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90C37" w14:textId="298B0436" w:rsidR="00016FCA" w:rsidRDefault="00016FCA" w:rsidP="0010456C">
      <w:pPr>
        <w:pStyle w:val="Heading1"/>
        <w:jc w:val="center"/>
      </w:pPr>
      <w:bookmarkStart w:id="0" w:name="_Toc162266976"/>
      <w:r>
        <w:t>South Carolina State Health Assessment</w:t>
      </w:r>
      <w:bookmarkEnd w:id="0"/>
    </w:p>
    <w:p w14:paraId="44C602C9" w14:textId="77777777" w:rsidR="0010456C" w:rsidRDefault="0010456C" w:rsidP="0010456C"/>
    <w:p w14:paraId="0893E7B3" w14:textId="77777777" w:rsidR="0010456C" w:rsidRDefault="0010456C" w:rsidP="0010456C"/>
    <w:p w14:paraId="1DA66C8E" w14:textId="77777777" w:rsidR="0010456C" w:rsidRPr="0010456C" w:rsidRDefault="0010456C" w:rsidP="0010456C"/>
    <w:p w14:paraId="35701BB5" w14:textId="77777777" w:rsidR="00DC77AC" w:rsidRDefault="00DC77AC">
      <w:r>
        <w:br w:type="page"/>
      </w:r>
    </w:p>
    <w:p w14:paraId="52D64403" w14:textId="77777777" w:rsidR="00DC77AC" w:rsidRDefault="00DC77AC" w:rsidP="00DC77AC">
      <w:pPr>
        <w:pStyle w:val="Heading2"/>
      </w:pPr>
      <w:bookmarkStart w:id="1" w:name="_Toc162266977"/>
      <w:r>
        <w:lastRenderedPageBreak/>
        <w:t>Acknowledgements</w:t>
      </w:r>
      <w:bookmarkEnd w:id="1"/>
    </w:p>
    <w:p w14:paraId="27FD3BB7" w14:textId="77777777" w:rsidR="00DC77AC" w:rsidRDefault="00DC77AC" w:rsidP="00DC77AC"/>
    <w:p w14:paraId="627B9A33" w14:textId="3CDFFB7C" w:rsidR="00DC77AC" w:rsidRPr="00DC77AC" w:rsidRDefault="00251959" w:rsidP="00DC77AC">
      <w:r w:rsidRPr="00251959">
        <w:t>This work is made possible with the close and extensive collaboration of DHEC's State Health Improvement Office with epidemiologists and program experts across the agency and the involvement of many committees and stakeholders from across the state.</w:t>
      </w:r>
      <w:r>
        <w:t xml:space="preserve"> </w:t>
      </w:r>
      <w:r w:rsidR="00DC77AC" w:rsidRPr="00DC77AC">
        <w:t>Thank you to the DHEC Executive Advisory Committee for the continued support and leadership; to the LHSC Advisory Committee and the members of the Alliance for a Healthier SC for the diverse perspectives and critical input; to the DHEC Project Planning Team for leading the process and development of the report</w:t>
      </w:r>
      <w:r>
        <w:t>.</w:t>
      </w:r>
      <w:r w:rsidR="00DC77AC" w:rsidRPr="00DC77AC">
        <w:t xml:space="preserve"> </w:t>
      </w:r>
      <w:r w:rsidRPr="00251959">
        <w:t>A special thank you to the workgroups who shared their expertise and wrote the assessment chapters; and to Carlos Avalos, Elizabeth Barton, Dr. Linda Kelemen, Katherine O’Shields, and Suzanne Sanders</w:t>
      </w:r>
      <w:r w:rsidR="00C82C60">
        <w:t>,</w:t>
      </w:r>
      <w:r w:rsidRPr="00251959">
        <w:t xml:space="preserve"> who led the workgroups. To the Editorial</w:t>
      </w:r>
      <w:r>
        <w:t xml:space="preserve"> </w:t>
      </w:r>
      <w:r w:rsidR="00DC77AC" w:rsidRPr="00DC77AC">
        <w:t xml:space="preserve">and Communications teams, thank you for dedicating time to ensuring </w:t>
      </w:r>
      <w:r w:rsidR="00C82C60">
        <w:t xml:space="preserve">that </w:t>
      </w:r>
      <w:r w:rsidR="00DC77AC" w:rsidRPr="00DC77AC">
        <w:t xml:space="preserve">the 2023 State Health Assessment contains quality, comprehensive information </w:t>
      </w:r>
      <w:r w:rsidR="00C82C60">
        <w:t xml:space="preserve">which </w:t>
      </w:r>
      <w:r w:rsidR="00DC77AC" w:rsidRPr="00DC77AC">
        <w:t>represents our state.</w:t>
      </w:r>
    </w:p>
    <w:p w14:paraId="3AD7778F" w14:textId="77777777" w:rsidR="00DC77AC" w:rsidRPr="00DC77AC" w:rsidRDefault="00DC77AC" w:rsidP="00DC77AC"/>
    <w:p w14:paraId="77128B67" w14:textId="77777777" w:rsidR="00DC77AC" w:rsidRPr="00DC77AC" w:rsidRDefault="00DC77AC" w:rsidP="00DC77AC">
      <w:r w:rsidRPr="00DC77AC">
        <w:t>To the stakeholders, regions, and coalitions who dedicated their time to provide a voice for the communities around the state, these contributions ensure inclusivity and equitable decision-making as our state develops the next five-year roadmap to improving SC's health and wellbeing. To Deep Roots Research and Evaluation, thank you for the comprehensive and quality analysis and reporting of the community engagement efforts. Thank you to ADCO for your exceptional services. The hard work put into the design of the report really shows.</w:t>
      </w:r>
    </w:p>
    <w:p w14:paraId="1D7AE22F" w14:textId="77777777" w:rsidR="00DC77AC" w:rsidRPr="00DC77AC" w:rsidRDefault="00DC77AC" w:rsidP="00DC77AC"/>
    <w:p w14:paraId="0E43F0FB" w14:textId="77777777" w:rsidR="00DC77AC" w:rsidRPr="00DC77AC" w:rsidRDefault="00DC77AC" w:rsidP="00DC77AC">
      <w:r w:rsidRPr="00DC77AC">
        <w:t xml:space="preserve">For all individuals, communities, regions, organizations, and public health entities involved in the development of this report, we would like to express our deepest appreciation. We are South Carolina, and together, we are making strides towards becoming a healthier, happier state. </w:t>
      </w:r>
    </w:p>
    <w:p w14:paraId="5F8080BC" w14:textId="77777777" w:rsidR="00DC77AC" w:rsidRPr="00DC77AC" w:rsidRDefault="00DC77AC" w:rsidP="00DC77AC"/>
    <w:p w14:paraId="5FD784EF" w14:textId="77777777" w:rsidR="00DC77AC" w:rsidRPr="00DC77AC" w:rsidRDefault="00DC77AC" w:rsidP="00DC77AC">
      <w:r w:rsidRPr="00DC77AC">
        <w:t xml:space="preserve">For additional copies of this report, please contact: </w:t>
      </w:r>
    </w:p>
    <w:p w14:paraId="6A13C074" w14:textId="77777777" w:rsidR="00DC77AC" w:rsidRPr="00DC77AC" w:rsidRDefault="00DC77AC" w:rsidP="00DC77AC">
      <w:r w:rsidRPr="00DC77AC">
        <w:t>South Carolina Department of Health and Environmental Control</w:t>
      </w:r>
    </w:p>
    <w:p w14:paraId="12CB171B" w14:textId="77777777" w:rsidR="00DC77AC" w:rsidRPr="00DC77AC" w:rsidRDefault="00DC77AC" w:rsidP="00DC77AC">
      <w:r w:rsidRPr="00DC77AC">
        <w:t>State Health Improvement Office</w:t>
      </w:r>
    </w:p>
    <w:p w14:paraId="14422F0B" w14:textId="77777777" w:rsidR="00DC77AC" w:rsidRPr="00DC77AC" w:rsidRDefault="00DC77AC" w:rsidP="00DC77AC">
      <w:r w:rsidRPr="00DC77AC">
        <w:t>2100 Bull Street</w:t>
      </w:r>
    </w:p>
    <w:p w14:paraId="4A13705E" w14:textId="77777777" w:rsidR="00DC77AC" w:rsidRPr="00DC77AC" w:rsidRDefault="00DC77AC" w:rsidP="00DC77AC">
      <w:r w:rsidRPr="00DC77AC">
        <w:t>Columbia, SC 29201</w:t>
      </w:r>
    </w:p>
    <w:p w14:paraId="66CAA8E7" w14:textId="77777777" w:rsidR="00DC77AC" w:rsidRPr="00DC77AC" w:rsidRDefault="00DC77AC" w:rsidP="00DC77AC">
      <w:r w:rsidRPr="00DC77AC">
        <w:t>(803) 898-3432</w:t>
      </w:r>
    </w:p>
    <w:p w14:paraId="07BE8F32" w14:textId="77777777" w:rsidR="00DC77AC" w:rsidRPr="00DC77AC" w:rsidRDefault="00DC77AC" w:rsidP="00DC77AC"/>
    <w:p w14:paraId="34882C82" w14:textId="2C528110" w:rsidR="00DC77AC" w:rsidRPr="00DC77AC" w:rsidRDefault="00251959" w:rsidP="00DC77AC">
      <w:r w:rsidRPr="00251959">
        <w:lastRenderedPageBreak/>
        <w:t xml:space="preserve">This report is available on the </w:t>
      </w:r>
      <w:hyperlink r:id="rId8" w:history="1">
        <w:r w:rsidRPr="00251959">
          <w:rPr>
            <w:rStyle w:val="Hyperlink"/>
          </w:rPr>
          <w:t>DHEC Website</w:t>
        </w:r>
      </w:hyperlink>
      <w:r>
        <w:t xml:space="preserve">, </w:t>
      </w:r>
      <w:r w:rsidRPr="00251959">
        <w:t xml:space="preserve">the </w:t>
      </w:r>
      <w:hyperlink r:id="rId9" w:history="1">
        <w:r w:rsidRPr="00251959">
          <w:rPr>
            <w:rStyle w:val="Hyperlink"/>
          </w:rPr>
          <w:t>Alliance for a Healthier South Carolina Website</w:t>
        </w:r>
      </w:hyperlink>
      <w:r w:rsidRPr="00251959">
        <w:t xml:space="preserve"> or by visiting</w:t>
      </w:r>
      <w:r>
        <w:t xml:space="preserve"> the</w:t>
      </w:r>
      <w:r w:rsidRPr="00251959">
        <w:t xml:space="preserve"> </w:t>
      </w:r>
      <w:hyperlink r:id="rId10" w:history="1">
        <w:r>
          <w:rPr>
            <w:rStyle w:val="Hyperlink"/>
          </w:rPr>
          <w:t>Live Healthy SC website.</w:t>
        </w:r>
      </w:hyperlink>
    </w:p>
    <w:p w14:paraId="67204BAB" w14:textId="77777777" w:rsidR="00DC77AC" w:rsidRPr="00DC77AC" w:rsidRDefault="00DC77AC" w:rsidP="00DC77AC"/>
    <w:p w14:paraId="5D03D428" w14:textId="77777777" w:rsidR="00DC77AC" w:rsidRPr="00DC77AC" w:rsidRDefault="00DC77AC" w:rsidP="00DC77AC">
      <w:r w:rsidRPr="00DC77AC">
        <w:t>Published: December 2023</w:t>
      </w:r>
    </w:p>
    <w:p w14:paraId="76EEF817" w14:textId="77777777" w:rsidR="00DC77AC" w:rsidRPr="00DC77AC" w:rsidRDefault="00DC77AC" w:rsidP="00DC77AC"/>
    <w:p w14:paraId="140783E9" w14:textId="592775E2" w:rsidR="00DC77AC" w:rsidRDefault="00DC77AC" w:rsidP="00DC77AC">
      <w:r w:rsidRPr="00DC77AC">
        <w:t>The South Carolina Department of Health and Environmental Control will be splitting into two separate agencies come July 1, 2024, forming the Department of Public Health (DPH) and the Department of Environmental Services. Although the state's public health infrastructure is changing, this does not affect our commitment to improving the health of all South Carolinian's. The new DPH will continue these efforts, and build upon the work DHEC, its partners, and communities have started to develop</w:t>
      </w:r>
      <w:r w:rsidR="00C82C60">
        <w:t xml:space="preserve"> in</w:t>
      </w:r>
      <w:r w:rsidRPr="00DC77AC">
        <w:t xml:space="preserve"> the new 2024 State Health Improvement Plan.</w:t>
      </w:r>
    </w:p>
    <w:p w14:paraId="11E15BBE" w14:textId="77777777" w:rsidR="00DC77AC" w:rsidRDefault="00DC77AC" w:rsidP="00DC77AC"/>
    <w:p w14:paraId="6803C968" w14:textId="77777777" w:rsidR="00DC77AC" w:rsidRDefault="00DC77AC">
      <w:r>
        <w:br w:type="page"/>
      </w:r>
    </w:p>
    <w:p w14:paraId="35034CE4" w14:textId="77777777" w:rsidR="00DC77AC" w:rsidRPr="00DC77AC" w:rsidRDefault="00DC77AC" w:rsidP="00DC77AC">
      <w:pPr>
        <w:pStyle w:val="Heading2"/>
      </w:pPr>
      <w:bookmarkStart w:id="2" w:name="_Toc162266978"/>
      <w:r w:rsidRPr="00DC77AC">
        <w:lastRenderedPageBreak/>
        <w:t>Joint Letter from Live Healthy South Carolina Leadership</w:t>
      </w:r>
      <w:bookmarkEnd w:id="2"/>
    </w:p>
    <w:p w14:paraId="3D8700AE" w14:textId="77777777" w:rsidR="00DC77AC" w:rsidRDefault="00DC77AC" w:rsidP="00DC77AC"/>
    <w:p w14:paraId="1CEDEBAF" w14:textId="77777777" w:rsidR="00DC77AC" w:rsidRDefault="00DC77AC" w:rsidP="00DC77AC">
      <w:r w:rsidRPr="00DC77AC">
        <w:t>Live Healthy South Carolina, a statewide effort between the South Carolina Department of Health and Environmental Control (DHEC) and the Alliance for a Healthier South Carolina (Alliance), is pleased to present South Carolina’s 2023 State Health Assessment, a comprehensive resource of the latest public health data, issues and trends affecting all South Carolinians.</w:t>
      </w:r>
    </w:p>
    <w:p w14:paraId="4E572424" w14:textId="77777777" w:rsidR="007A7C83" w:rsidRPr="00DC77AC" w:rsidRDefault="007A7C83" w:rsidP="00DC77AC"/>
    <w:p w14:paraId="6E77660C" w14:textId="77777777" w:rsidR="00DC77AC" w:rsidRDefault="00DC77AC" w:rsidP="00DC77AC">
      <w:r w:rsidRPr="00DC77AC">
        <w:t xml:space="preserve">Together, Live Healthy South Carolina represents more than 60 state and community leaders and organizations collaborating with the shared goal of improving the health of all South Carolinians at a population level. </w:t>
      </w:r>
    </w:p>
    <w:p w14:paraId="5C45990C" w14:textId="77777777" w:rsidR="007A7C83" w:rsidRPr="00DC77AC" w:rsidRDefault="007A7C83" w:rsidP="00DC77AC"/>
    <w:p w14:paraId="7592D384" w14:textId="57366125" w:rsidR="00DC77AC" w:rsidRDefault="00DC77AC" w:rsidP="00DC77AC">
      <w:r w:rsidRPr="00DC77AC">
        <w:t>In 2023, DHEC executives served as advis</w:t>
      </w:r>
      <w:r w:rsidR="00C82C60">
        <w:t>o</w:t>
      </w:r>
      <w:r w:rsidRPr="00DC77AC">
        <w:t xml:space="preserve">rs on the Live Healthy South Carolina Executive Advisory Committee providing leadership, support, and oversight for the state health assessment framework. </w:t>
      </w:r>
    </w:p>
    <w:p w14:paraId="19EC7896" w14:textId="77777777" w:rsidR="007A7C83" w:rsidRPr="00DC77AC" w:rsidRDefault="007A7C83" w:rsidP="00DC77AC"/>
    <w:p w14:paraId="1CC96438" w14:textId="77777777" w:rsidR="00DC77AC" w:rsidRDefault="00DC77AC" w:rsidP="00DC77AC">
      <w:r w:rsidRPr="00DC77AC">
        <w:t>We believe everyone in the Palmetto State deserves the opportunity to live a healthy, productive life. To achieve healthy outcomes for all South Carolinians requires examining the conditions in the places where people live, learn, work and play. Called social determinants of health, they are the non-medical factors that affect a wide range of health risks and outcomes. This assessment analyzes these conditions to reveal gaps, disparities, and opportunities for improvement in our state and uses that data to inform best practices that can help create a healthier South Carolina for everyone.</w:t>
      </w:r>
    </w:p>
    <w:p w14:paraId="284DFCBB" w14:textId="77777777" w:rsidR="007A7C83" w:rsidRPr="00DC77AC" w:rsidRDefault="007A7C83" w:rsidP="00DC77AC"/>
    <w:p w14:paraId="75167628" w14:textId="77777777" w:rsidR="00DC77AC" w:rsidRDefault="00DC77AC" w:rsidP="00DC77AC">
      <w:r w:rsidRPr="00DC77AC">
        <w:t xml:space="preserve">South Carolina’s 2023 State Health Assessment is a comprehensive evaluation of the health status of South Carolinians designed to inform health improvement plans at the state and community levels. In addition, it serves as a health data resource that organizations, the </w:t>
      </w:r>
      <w:proofErr w:type="gramStart"/>
      <w:r w:rsidRPr="00DC77AC">
        <w:t>media</w:t>
      </w:r>
      <w:proofErr w:type="gramEnd"/>
      <w:r w:rsidRPr="00DC77AC">
        <w:t xml:space="preserve"> and the public can use.</w:t>
      </w:r>
    </w:p>
    <w:p w14:paraId="447BB296" w14:textId="77777777" w:rsidR="007A7C83" w:rsidRPr="00DC77AC" w:rsidRDefault="007A7C83" w:rsidP="00DC77AC"/>
    <w:p w14:paraId="79BFD71C" w14:textId="77777777" w:rsidR="00DC77AC" w:rsidRPr="00DC77AC" w:rsidRDefault="00DC77AC" w:rsidP="00DC77AC">
      <w:r w:rsidRPr="00DC77AC">
        <w:t>We encourage all South Carolinians to join Live Healthy South Carolina in pursuing optimal health at a personal, community and statewide level.</w:t>
      </w:r>
    </w:p>
    <w:p w14:paraId="4FAC53AB" w14:textId="77777777" w:rsidR="00DC77AC" w:rsidRPr="00DC77AC" w:rsidRDefault="00DC77AC" w:rsidP="00DC77AC"/>
    <w:p w14:paraId="2112A2C3" w14:textId="77777777" w:rsidR="00DC77AC" w:rsidRPr="00DC77AC" w:rsidRDefault="00DC77AC" w:rsidP="00DC77AC">
      <w:r w:rsidRPr="00DC77AC">
        <w:t>Sincerely,</w:t>
      </w:r>
      <w:r w:rsidRPr="00DC77AC">
        <w:tab/>
      </w:r>
    </w:p>
    <w:p w14:paraId="33D33136" w14:textId="77777777" w:rsidR="00DC77AC" w:rsidRDefault="00DC77AC" w:rsidP="00DC77AC">
      <w:r w:rsidRPr="00DC77AC">
        <w:t>Live Healthy South Carolina Leadership</w:t>
      </w:r>
    </w:p>
    <w:p w14:paraId="35598463" w14:textId="77777777" w:rsidR="00DC77AC" w:rsidRDefault="00DC77AC" w:rsidP="00DC77AC"/>
    <w:p w14:paraId="2B484FE6" w14:textId="77777777" w:rsidR="00DC77AC" w:rsidRPr="00DC77AC" w:rsidRDefault="00DC77AC" w:rsidP="00DC77AC">
      <w:r w:rsidRPr="00DC77AC">
        <w:lastRenderedPageBreak/>
        <w:t>Edward Simmer, MD, MPH, DFAPA</w:t>
      </w:r>
      <w:r w:rsidRPr="00DC77AC">
        <w:br/>
        <w:t>Director, DHEC</w:t>
      </w:r>
    </w:p>
    <w:p w14:paraId="5A4E99DD" w14:textId="77777777" w:rsidR="00DC77AC" w:rsidRDefault="00DC77AC" w:rsidP="00DC77AC"/>
    <w:p w14:paraId="2D278133" w14:textId="77777777" w:rsidR="00DC77AC" w:rsidRPr="00DC77AC" w:rsidRDefault="00DC77AC" w:rsidP="00DC77AC">
      <w:r w:rsidRPr="00DC77AC">
        <w:t>Brannon Traxler, MD, MPH</w:t>
      </w:r>
      <w:r w:rsidRPr="00DC77AC">
        <w:br/>
        <w:t>Director of Public Health, DHEC</w:t>
      </w:r>
    </w:p>
    <w:p w14:paraId="23FE9349" w14:textId="77777777" w:rsidR="00DC77AC" w:rsidRDefault="00DC77AC" w:rsidP="00DC77AC"/>
    <w:p w14:paraId="57DC64E0" w14:textId="77777777" w:rsidR="00DC77AC" w:rsidRPr="00DC77AC" w:rsidRDefault="00DC77AC" w:rsidP="00DC77AC">
      <w:r w:rsidRPr="00DC77AC">
        <w:t>Karla Buru, DrPH</w:t>
      </w:r>
      <w:r w:rsidRPr="00DC77AC">
        <w:br/>
        <w:t>Chief of Staff, DHEC</w:t>
      </w:r>
    </w:p>
    <w:p w14:paraId="3911C2E5" w14:textId="77777777" w:rsidR="00DC77AC" w:rsidRDefault="00DC77AC" w:rsidP="00DC77AC"/>
    <w:p w14:paraId="237EE3EF" w14:textId="77777777" w:rsidR="00DC77AC" w:rsidRPr="00DC77AC" w:rsidRDefault="00DC77AC" w:rsidP="00DC77AC">
      <w:r w:rsidRPr="00DC77AC">
        <w:t>Kobra Eghtedary, PhD</w:t>
      </w:r>
      <w:r w:rsidRPr="00DC77AC">
        <w:br/>
        <w:t>State Health Improvement Director, DHEC</w:t>
      </w:r>
    </w:p>
    <w:p w14:paraId="4B017B92" w14:textId="77777777" w:rsidR="00DC77AC" w:rsidRDefault="00DC77AC" w:rsidP="00DC77AC"/>
    <w:p w14:paraId="5FB9CA66" w14:textId="77777777" w:rsidR="00DC77AC" w:rsidRPr="00DC77AC" w:rsidRDefault="00DC77AC" w:rsidP="00DC77AC">
      <w:proofErr w:type="spellStart"/>
      <w:r w:rsidRPr="00DC77AC">
        <w:t>Cristi</w:t>
      </w:r>
      <w:proofErr w:type="spellEnd"/>
      <w:r w:rsidRPr="00DC77AC">
        <w:t xml:space="preserve"> Moore</w:t>
      </w:r>
      <w:r w:rsidRPr="00DC77AC">
        <w:br/>
        <w:t>Chief Communications Officer, DHEC</w:t>
      </w:r>
    </w:p>
    <w:p w14:paraId="45723CA1" w14:textId="77777777" w:rsidR="00DC77AC" w:rsidRDefault="00DC77AC" w:rsidP="00DC77AC"/>
    <w:p w14:paraId="170E65C4" w14:textId="339B49B9" w:rsidR="00DC77AC" w:rsidRPr="00DC77AC" w:rsidRDefault="00DC77AC" w:rsidP="00DC77AC">
      <w:r w:rsidRPr="00DC77AC">
        <w:t>Suzanne Sanders, MPH, MCHES</w:t>
      </w:r>
      <w:r w:rsidRPr="00DC77AC">
        <w:br/>
        <w:t>Director of Community Engagement, D</w:t>
      </w:r>
      <w:r w:rsidR="007A7C83">
        <w:t>HE</w:t>
      </w:r>
      <w:r w:rsidRPr="00DC77AC">
        <w:t>C</w:t>
      </w:r>
    </w:p>
    <w:p w14:paraId="3EB4414B" w14:textId="77777777" w:rsidR="00DC77AC" w:rsidRDefault="00DC77AC" w:rsidP="00DC77AC"/>
    <w:p w14:paraId="518866A7" w14:textId="77777777" w:rsidR="00DC77AC" w:rsidRPr="00DC77AC" w:rsidRDefault="00DC77AC" w:rsidP="00DC77AC">
      <w:r w:rsidRPr="00DC77AC">
        <w:t>Monty Robertson, MHA</w:t>
      </w:r>
      <w:r w:rsidRPr="00DC77AC">
        <w:br/>
        <w:t>Executive Director, Alliance for a Healthier SC</w:t>
      </w:r>
    </w:p>
    <w:p w14:paraId="52B10F3F" w14:textId="77777777" w:rsidR="00DC77AC" w:rsidRDefault="00DC77AC" w:rsidP="00DC77AC"/>
    <w:p w14:paraId="19F31C1D" w14:textId="77777777" w:rsidR="00DC77AC" w:rsidRPr="00DC77AC" w:rsidRDefault="00DC77AC" w:rsidP="00DC77AC">
      <w:r w:rsidRPr="00DC77AC">
        <w:t>Shawn Stinson, MD</w:t>
      </w:r>
      <w:r w:rsidRPr="00DC77AC">
        <w:br/>
        <w:t>Chair, Alliance for a Healthier SC</w:t>
      </w:r>
    </w:p>
    <w:p w14:paraId="3C4B4338" w14:textId="77777777" w:rsidR="00DC77AC" w:rsidRDefault="00DC77AC" w:rsidP="00DC77AC"/>
    <w:p w14:paraId="3DB2F44E" w14:textId="77777777" w:rsidR="00DC77AC" w:rsidRPr="00DC77AC" w:rsidRDefault="00DC77AC" w:rsidP="00DC77AC">
      <w:proofErr w:type="spellStart"/>
      <w:r w:rsidRPr="00DC77AC">
        <w:t>Marisette</w:t>
      </w:r>
      <w:proofErr w:type="spellEnd"/>
      <w:r w:rsidRPr="00DC77AC">
        <w:t xml:space="preserve"> Hasan</w:t>
      </w:r>
      <w:r w:rsidRPr="00DC77AC">
        <w:br/>
        <w:t>Vice Chair, Alliance for a Healthier SC</w:t>
      </w:r>
    </w:p>
    <w:p w14:paraId="0D5DD9D4" w14:textId="77777777" w:rsidR="00DC77AC" w:rsidRDefault="00DC77AC" w:rsidP="00DC77AC"/>
    <w:p w14:paraId="4529535B" w14:textId="77777777" w:rsidR="00DC77AC" w:rsidRPr="00DC77AC" w:rsidRDefault="00DC77AC" w:rsidP="00DC77AC">
      <w:r w:rsidRPr="00DC77AC">
        <w:t>Nick Davidson</w:t>
      </w:r>
      <w:r w:rsidRPr="00DC77AC">
        <w:br/>
        <w:t>Senior Deputy for Public Health, DHEC</w:t>
      </w:r>
    </w:p>
    <w:p w14:paraId="05CF42A5" w14:textId="77777777" w:rsidR="00DC77AC" w:rsidRDefault="00DC77AC" w:rsidP="00DC77AC"/>
    <w:p w14:paraId="554A3D35" w14:textId="77777777" w:rsidR="00DC77AC" w:rsidRPr="00DC77AC" w:rsidRDefault="00DC77AC" w:rsidP="00DC77AC">
      <w:r w:rsidRPr="00DC77AC">
        <w:t>Farren Allen, MPH, LMSW</w:t>
      </w:r>
      <w:r w:rsidRPr="00DC77AC">
        <w:br/>
        <w:t>State Health Improvement Strategist, DHEC</w:t>
      </w:r>
    </w:p>
    <w:p w14:paraId="663B9EB8" w14:textId="77777777" w:rsidR="00DC77AC" w:rsidRDefault="00DC77AC" w:rsidP="00DC77AC"/>
    <w:p w14:paraId="24252BCF" w14:textId="77777777" w:rsidR="00DC77AC" w:rsidRPr="00DC77AC" w:rsidRDefault="00DC77AC" w:rsidP="00DC77AC">
      <w:r w:rsidRPr="00DC77AC">
        <w:t>Cassandra Harris</w:t>
      </w:r>
      <w:r w:rsidRPr="00DC77AC">
        <w:br/>
        <w:t>Chief Strategy and Engagement Officer, DHEC</w:t>
      </w:r>
    </w:p>
    <w:p w14:paraId="289CF2B3" w14:textId="504AF23B" w:rsidR="00016FCA" w:rsidRDefault="00016FCA" w:rsidP="00DC77AC">
      <w:r>
        <w:br w:type="page"/>
      </w:r>
    </w:p>
    <w:sdt>
      <w:sdtPr>
        <w:rPr>
          <w:rFonts w:asciiTheme="minorHAnsi" w:eastAsiaTheme="minorHAnsi" w:hAnsiTheme="minorHAnsi" w:cstheme="minorBidi"/>
          <w:b w:val="0"/>
          <w:bCs w:val="0"/>
          <w:color w:val="auto"/>
          <w:kern w:val="2"/>
          <w:szCs w:val="24"/>
          <w14:ligatures w14:val="standardContextual"/>
        </w:rPr>
        <w:id w:val="1344828808"/>
        <w:docPartObj>
          <w:docPartGallery w:val="Table of Contents"/>
          <w:docPartUnique/>
        </w:docPartObj>
      </w:sdtPr>
      <w:sdtEndPr>
        <w:rPr>
          <w:noProof/>
        </w:rPr>
      </w:sdtEndPr>
      <w:sdtContent>
        <w:p w14:paraId="351CB2E1" w14:textId="680878F1" w:rsidR="00016FCA" w:rsidRPr="00736DA9" w:rsidRDefault="00016FCA">
          <w:pPr>
            <w:pStyle w:val="TOCHeading"/>
            <w:rPr>
              <w:rStyle w:val="Heading3Char"/>
            </w:rPr>
          </w:pPr>
          <w:r w:rsidRPr="00736DA9">
            <w:rPr>
              <w:rStyle w:val="Heading3Char"/>
            </w:rPr>
            <w:t>Table of Contents</w:t>
          </w:r>
        </w:p>
        <w:p w14:paraId="607576C7" w14:textId="4B74CB70" w:rsidR="00736DA9" w:rsidRDefault="00D33671">
          <w:pPr>
            <w:pStyle w:val="TOC1"/>
            <w:tabs>
              <w:tab w:val="right" w:pos="9350"/>
            </w:tabs>
            <w:rPr>
              <w:rFonts w:asciiTheme="minorHAnsi" w:eastAsiaTheme="minorEastAsia" w:hAnsiTheme="minorHAnsi" w:cstheme="minorBidi"/>
              <w:b w:val="0"/>
              <w:bCs w:val="0"/>
              <w:caps w:val="0"/>
              <w:noProof/>
            </w:rPr>
          </w:pPr>
          <w:r>
            <w:rPr>
              <w:caps w:val="0"/>
            </w:rPr>
            <w:fldChar w:fldCharType="begin"/>
          </w:r>
          <w:r>
            <w:rPr>
              <w:caps w:val="0"/>
            </w:rPr>
            <w:instrText xml:space="preserve"> TOC \o "1-4" \h \z \u </w:instrText>
          </w:r>
          <w:r>
            <w:rPr>
              <w:caps w:val="0"/>
            </w:rPr>
            <w:fldChar w:fldCharType="separate"/>
          </w:r>
          <w:hyperlink w:anchor="_Toc162266976" w:history="1">
            <w:r w:rsidR="00736DA9" w:rsidRPr="004372B1">
              <w:rPr>
                <w:rStyle w:val="Hyperlink"/>
                <w:noProof/>
              </w:rPr>
              <w:t>South Carolina State Health Assessment</w:t>
            </w:r>
            <w:r w:rsidR="00736DA9">
              <w:rPr>
                <w:noProof/>
                <w:webHidden/>
              </w:rPr>
              <w:tab/>
            </w:r>
            <w:r w:rsidR="00736DA9">
              <w:rPr>
                <w:noProof/>
                <w:webHidden/>
              </w:rPr>
              <w:fldChar w:fldCharType="begin"/>
            </w:r>
            <w:r w:rsidR="00736DA9">
              <w:rPr>
                <w:noProof/>
                <w:webHidden/>
              </w:rPr>
              <w:instrText xml:space="preserve"> PAGEREF _Toc162266976 \h </w:instrText>
            </w:r>
            <w:r w:rsidR="00736DA9">
              <w:rPr>
                <w:noProof/>
                <w:webHidden/>
              </w:rPr>
            </w:r>
            <w:r w:rsidR="00736DA9">
              <w:rPr>
                <w:noProof/>
                <w:webHidden/>
              </w:rPr>
              <w:fldChar w:fldCharType="separate"/>
            </w:r>
            <w:r w:rsidR="00736DA9">
              <w:rPr>
                <w:noProof/>
                <w:webHidden/>
              </w:rPr>
              <w:t>1</w:t>
            </w:r>
            <w:r w:rsidR="00736DA9">
              <w:rPr>
                <w:noProof/>
                <w:webHidden/>
              </w:rPr>
              <w:fldChar w:fldCharType="end"/>
            </w:r>
          </w:hyperlink>
        </w:p>
        <w:p w14:paraId="155A9107" w14:textId="7B38405B" w:rsidR="00736DA9" w:rsidRDefault="00000000">
          <w:pPr>
            <w:pStyle w:val="TOC2"/>
            <w:tabs>
              <w:tab w:val="right" w:pos="9350"/>
            </w:tabs>
            <w:rPr>
              <w:rFonts w:eastAsiaTheme="minorEastAsia" w:cstheme="minorBidi"/>
              <w:b w:val="0"/>
              <w:bCs w:val="0"/>
              <w:noProof/>
              <w:sz w:val="24"/>
              <w:szCs w:val="24"/>
            </w:rPr>
          </w:pPr>
          <w:hyperlink w:anchor="_Toc162266977" w:history="1">
            <w:r w:rsidR="00736DA9" w:rsidRPr="004372B1">
              <w:rPr>
                <w:rStyle w:val="Hyperlink"/>
                <w:noProof/>
              </w:rPr>
              <w:t>Acknowledgements</w:t>
            </w:r>
            <w:r w:rsidR="00736DA9">
              <w:rPr>
                <w:noProof/>
                <w:webHidden/>
              </w:rPr>
              <w:tab/>
            </w:r>
            <w:r w:rsidR="00736DA9">
              <w:rPr>
                <w:noProof/>
                <w:webHidden/>
              </w:rPr>
              <w:fldChar w:fldCharType="begin"/>
            </w:r>
            <w:r w:rsidR="00736DA9">
              <w:rPr>
                <w:noProof/>
                <w:webHidden/>
              </w:rPr>
              <w:instrText xml:space="preserve"> PAGEREF _Toc162266977 \h </w:instrText>
            </w:r>
            <w:r w:rsidR="00736DA9">
              <w:rPr>
                <w:noProof/>
                <w:webHidden/>
              </w:rPr>
            </w:r>
            <w:r w:rsidR="00736DA9">
              <w:rPr>
                <w:noProof/>
                <w:webHidden/>
              </w:rPr>
              <w:fldChar w:fldCharType="separate"/>
            </w:r>
            <w:r w:rsidR="00736DA9">
              <w:rPr>
                <w:noProof/>
                <w:webHidden/>
              </w:rPr>
              <w:t>2</w:t>
            </w:r>
            <w:r w:rsidR="00736DA9">
              <w:rPr>
                <w:noProof/>
                <w:webHidden/>
              </w:rPr>
              <w:fldChar w:fldCharType="end"/>
            </w:r>
          </w:hyperlink>
        </w:p>
        <w:p w14:paraId="4E7A8020" w14:textId="6894B9BA" w:rsidR="00736DA9" w:rsidRDefault="00000000">
          <w:pPr>
            <w:pStyle w:val="TOC2"/>
            <w:tabs>
              <w:tab w:val="right" w:pos="9350"/>
            </w:tabs>
            <w:rPr>
              <w:rFonts w:eastAsiaTheme="minorEastAsia" w:cstheme="minorBidi"/>
              <w:b w:val="0"/>
              <w:bCs w:val="0"/>
              <w:noProof/>
              <w:sz w:val="24"/>
              <w:szCs w:val="24"/>
            </w:rPr>
          </w:pPr>
          <w:hyperlink w:anchor="_Toc162266978" w:history="1">
            <w:r w:rsidR="00736DA9" w:rsidRPr="004372B1">
              <w:rPr>
                <w:rStyle w:val="Hyperlink"/>
                <w:noProof/>
              </w:rPr>
              <w:t>Joint Letter from Live Healthy South Carolina Leadership</w:t>
            </w:r>
            <w:r w:rsidR="00736DA9">
              <w:rPr>
                <w:noProof/>
                <w:webHidden/>
              </w:rPr>
              <w:tab/>
            </w:r>
            <w:r w:rsidR="00736DA9">
              <w:rPr>
                <w:noProof/>
                <w:webHidden/>
              </w:rPr>
              <w:fldChar w:fldCharType="begin"/>
            </w:r>
            <w:r w:rsidR="00736DA9">
              <w:rPr>
                <w:noProof/>
                <w:webHidden/>
              </w:rPr>
              <w:instrText xml:space="preserve"> PAGEREF _Toc162266978 \h </w:instrText>
            </w:r>
            <w:r w:rsidR="00736DA9">
              <w:rPr>
                <w:noProof/>
                <w:webHidden/>
              </w:rPr>
            </w:r>
            <w:r w:rsidR="00736DA9">
              <w:rPr>
                <w:noProof/>
                <w:webHidden/>
              </w:rPr>
              <w:fldChar w:fldCharType="separate"/>
            </w:r>
            <w:r w:rsidR="00736DA9">
              <w:rPr>
                <w:noProof/>
                <w:webHidden/>
              </w:rPr>
              <w:t>4</w:t>
            </w:r>
            <w:r w:rsidR="00736DA9">
              <w:rPr>
                <w:noProof/>
                <w:webHidden/>
              </w:rPr>
              <w:fldChar w:fldCharType="end"/>
            </w:r>
          </w:hyperlink>
        </w:p>
        <w:p w14:paraId="4C922982" w14:textId="65BA652A" w:rsidR="00736DA9" w:rsidRDefault="00000000">
          <w:pPr>
            <w:pStyle w:val="TOC2"/>
            <w:tabs>
              <w:tab w:val="right" w:pos="9350"/>
            </w:tabs>
            <w:rPr>
              <w:rFonts w:eastAsiaTheme="minorEastAsia" w:cstheme="minorBidi"/>
              <w:b w:val="0"/>
              <w:bCs w:val="0"/>
              <w:noProof/>
              <w:sz w:val="24"/>
              <w:szCs w:val="24"/>
            </w:rPr>
          </w:pPr>
          <w:hyperlink w:anchor="_Toc162266979" w:history="1">
            <w:r w:rsidR="00736DA9" w:rsidRPr="004372B1">
              <w:rPr>
                <w:rStyle w:val="Hyperlink"/>
                <w:noProof/>
              </w:rPr>
              <w:t>Chapter 1: Introduction</w:t>
            </w:r>
            <w:r w:rsidR="00736DA9">
              <w:rPr>
                <w:noProof/>
                <w:webHidden/>
              </w:rPr>
              <w:tab/>
            </w:r>
            <w:r w:rsidR="00736DA9">
              <w:rPr>
                <w:noProof/>
                <w:webHidden/>
              </w:rPr>
              <w:fldChar w:fldCharType="begin"/>
            </w:r>
            <w:r w:rsidR="00736DA9">
              <w:rPr>
                <w:noProof/>
                <w:webHidden/>
              </w:rPr>
              <w:instrText xml:space="preserve"> PAGEREF _Toc162266979 \h </w:instrText>
            </w:r>
            <w:r w:rsidR="00736DA9">
              <w:rPr>
                <w:noProof/>
                <w:webHidden/>
              </w:rPr>
            </w:r>
            <w:r w:rsidR="00736DA9">
              <w:rPr>
                <w:noProof/>
                <w:webHidden/>
              </w:rPr>
              <w:fldChar w:fldCharType="separate"/>
            </w:r>
            <w:r w:rsidR="00736DA9">
              <w:rPr>
                <w:noProof/>
                <w:webHidden/>
              </w:rPr>
              <w:t>22</w:t>
            </w:r>
            <w:r w:rsidR="00736DA9">
              <w:rPr>
                <w:noProof/>
                <w:webHidden/>
              </w:rPr>
              <w:fldChar w:fldCharType="end"/>
            </w:r>
          </w:hyperlink>
        </w:p>
        <w:p w14:paraId="1E4F50EC" w14:textId="3C934E96" w:rsidR="00736DA9" w:rsidRDefault="00000000">
          <w:pPr>
            <w:pStyle w:val="TOC3"/>
            <w:tabs>
              <w:tab w:val="right" w:pos="9350"/>
            </w:tabs>
            <w:rPr>
              <w:rFonts w:eastAsiaTheme="minorEastAsia" w:cstheme="minorBidi"/>
              <w:noProof/>
              <w:sz w:val="24"/>
              <w:szCs w:val="24"/>
            </w:rPr>
          </w:pPr>
          <w:hyperlink w:anchor="_Toc162266980" w:history="1">
            <w:r w:rsidR="00736DA9" w:rsidRPr="004372B1">
              <w:rPr>
                <w:rStyle w:val="Hyperlink"/>
                <w:noProof/>
              </w:rPr>
              <w:t>Live Healthy South Carolina</w:t>
            </w:r>
            <w:r w:rsidR="00736DA9">
              <w:rPr>
                <w:noProof/>
                <w:webHidden/>
              </w:rPr>
              <w:tab/>
            </w:r>
            <w:r w:rsidR="00736DA9">
              <w:rPr>
                <w:noProof/>
                <w:webHidden/>
              </w:rPr>
              <w:fldChar w:fldCharType="begin"/>
            </w:r>
            <w:r w:rsidR="00736DA9">
              <w:rPr>
                <w:noProof/>
                <w:webHidden/>
              </w:rPr>
              <w:instrText xml:space="preserve"> PAGEREF _Toc162266980 \h </w:instrText>
            </w:r>
            <w:r w:rsidR="00736DA9">
              <w:rPr>
                <w:noProof/>
                <w:webHidden/>
              </w:rPr>
            </w:r>
            <w:r w:rsidR="00736DA9">
              <w:rPr>
                <w:noProof/>
                <w:webHidden/>
              </w:rPr>
              <w:fldChar w:fldCharType="separate"/>
            </w:r>
            <w:r w:rsidR="00736DA9">
              <w:rPr>
                <w:noProof/>
                <w:webHidden/>
              </w:rPr>
              <w:t>22</w:t>
            </w:r>
            <w:r w:rsidR="00736DA9">
              <w:rPr>
                <w:noProof/>
                <w:webHidden/>
              </w:rPr>
              <w:fldChar w:fldCharType="end"/>
            </w:r>
          </w:hyperlink>
        </w:p>
        <w:p w14:paraId="63E02867" w14:textId="48EC04F1" w:rsidR="00736DA9" w:rsidRDefault="00000000">
          <w:pPr>
            <w:pStyle w:val="TOC4"/>
            <w:tabs>
              <w:tab w:val="right" w:pos="9350"/>
            </w:tabs>
            <w:rPr>
              <w:rFonts w:eastAsiaTheme="minorEastAsia" w:cstheme="minorBidi"/>
              <w:noProof/>
              <w:sz w:val="24"/>
              <w:szCs w:val="24"/>
            </w:rPr>
          </w:pPr>
          <w:hyperlink w:anchor="_Toc162266981" w:history="1">
            <w:r w:rsidR="00736DA9" w:rsidRPr="004372B1">
              <w:rPr>
                <w:rStyle w:val="Hyperlink"/>
                <w:noProof/>
              </w:rPr>
              <w:t>Figure 1.1: DHEC’s Core Values.</w:t>
            </w:r>
            <w:r w:rsidR="00736DA9">
              <w:rPr>
                <w:noProof/>
                <w:webHidden/>
              </w:rPr>
              <w:tab/>
            </w:r>
            <w:r w:rsidR="00736DA9">
              <w:rPr>
                <w:noProof/>
                <w:webHidden/>
              </w:rPr>
              <w:fldChar w:fldCharType="begin"/>
            </w:r>
            <w:r w:rsidR="00736DA9">
              <w:rPr>
                <w:noProof/>
                <w:webHidden/>
              </w:rPr>
              <w:instrText xml:space="preserve"> PAGEREF _Toc162266981 \h </w:instrText>
            </w:r>
            <w:r w:rsidR="00736DA9">
              <w:rPr>
                <w:noProof/>
                <w:webHidden/>
              </w:rPr>
            </w:r>
            <w:r w:rsidR="00736DA9">
              <w:rPr>
                <w:noProof/>
                <w:webHidden/>
              </w:rPr>
              <w:fldChar w:fldCharType="separate"/>
            </w:r>
            <w:r w:rsidR="00736DA9">
              <w:rPr>
                <w:noProof/>
                <w:webHidden/>
              </w:rPr>
              <w:t>24</w:t>
            </w:r>
            <w:r w:rsidR="00736DA9">
              <w:rPr>
                <w:noProof/>
                <w:webHidden/>
              </w:rPr>
              <w:fldChar w:fldCharType="end"/>
            </w:r>
          </w:hyperlink>
        </w:p>
        <w:p w14:paraId="297AD9E0" w14:textId="0AFD4881" w:rsidR="00736DA9" w:rsidRDefault="00000000">
          <w:pPr>
            <w:pStyle w:val="TOC3"/>
            <w:tabs>
              <w:tab w:val="right" w:pos="9350"/>
            </w:tabs>
            <w:rPr>
              <w:rFonts w:eastAsiaTheme="minorEastAsia" w:cstheme="minorBidi"/>
              <w:noProof/>
              <w:sz w:val="24"/>
              <w:szCs w:val="24"/>
            </w:rPr>
          </w:pPr>
          <w:hyperlink w:anchor="_Toc162266982" w:history="1">
            <w:r w:rsidR="00736DA9" w:rsidRPr="004372B1">
              <w:rPr>
                <w:rStyle w:val="Hyperlink"/>
                <w:noProof/>
              </w:rPr>
              <w:t>The State Health Assessment and State Health Improvement Plan</w:t>
            </w:r>
            <w:r w:rsidR="00736DA9">
              <w:rPr>
                <w:noProof/>
                <w:webHidden/>
              </w:rPr>
              <w:tab/>
            </w:r>
            <w:r w:rsidR="00736DA9">
              <w:rPr>
                <w:noProof/>
                <w:webHidden/>
              </w:rPr>
              <w:fldChar w:fldCharType="begin"/>
            </w:r>
            <w:r w:rsidR="00736DA9">
              <w:rPr>
                <w:noProof/>
                <w:webHidden/>
              </w:rPr>
              <w:instrText xml:space="preserve"> PAGEREF _Toc162266982 \h </w:instrText>
            </w:r>
            <w:r w:rsidR="00736DA9">
              <w:rPr>
                <w:noProof/>
                <w:webHidden/>
              </w:rPr>
            </w:r>
            <w:r w:rsidR="00736DA9">
              <w:rPr>
                <w:noProof/>
                <w:webHidden/>
              </w:rPr>
              <w:fldChar w:fldCharType="separate"/>
            </w:r>
            <w:r w:rsidR="00736DA9">
              <w:rPr>
                <w:noProof/>
                <w:webHidden/>
              </w:rPr>
              <w:t>25</w:t>
            </w:r>
            <w:r w:rsidR="00736DA9">
              <w:rPr>
                <w:noProof/>
                <w:webHidden/>
              </w:rPr>
              <w:fldChar w:fldCharType="end"/>
            </w:r>
          </w:hyperlink>
        </w:p>
        <w:p w14:paraId="690533C6" w14:textId="373C8DAD" w:rsidR="00736DA9" w:rsidRDefault="00000000">
          <w:pPr>
            <w:pStyle w:val="TOC4"/>
            <w:tabs>
              <w:tab w:val="right" w:pos="9350"/>
            </w:tabs>
            <w:rPr>
              <w:rFonts w:eastAsiaTheme="minorEastAsia" w:cstheme="minorBidi"/>
              <w:noProof/>
              <w:sz w:val="24"/>
              <w:szCs w:val="24"/>
            </w:rPr>
          </w:pPr>
          <w:hyperlink w:anchor="_Toc162266983" w:history="1">
            <w:r w:rsidR="00736DA9" w:rsidRPr="004372B1">
              <w:rPr>
                <w:rStyle w:val="Hyperlink"/>
                <w:noProof/>
              </w:rPr>
              <w:t>Figure 1.2: Essential Public Health Functions.</w:t>
            </w:r>
            <w:r w:rsidR="00736DA9">
              <w:rPr>
                <w:noProof/>
                <w:webHidden/>
              </w:rPr>
              <w:tab/>
            </w:r>
            <w:r w:rsidR="00736DA9">
              <w:rPr>
                <w:noProof/>
                <w:webHidden/>
              </w:rPr>
              <w:fldChar w:fldCharType="begin"/>
            </w:r>
            <w:r w:rsidR="00736DA9">
              <w:rPr>
                <w:noProof/>
                <w:webHidden/>
              </w:rPr>
              <w:instrText xml:space="preserve"> PAGEREF _Toc162266983 \h </w:instrText>
            </w:r>
            <w:r w:rsidR="00736DA9">
              <w:rPr>
                <w:noProof/>
                <w:webHidden/>
              </w:rPr>
            </w:r>
            <w:r w:rsidR="00736DA9">
              <w:rPr>
                <w:noProof/>
                <w:webHidden/>
              </w:rPr>
              <w:fldChar w:fldCharType="separate"/>
            </w:r>
            <w:r w:rsidR="00736DA9">
              <w:rPr>
                <w:noProof/>
                <w:webHidden/>
              </w:rPr>
              <w:t>25</w:t>
            </w:r>
            <w:r w:rsidR="00736DA9">
              <w:rPr>
                <w:noProof/>
                <w:webHidden/>
              </w:rPr>
              <w:fldChar w:fldCharType="end"/>
            </w:r>
          </w:hyperlink>
        </w:p>
        <w:p w14:paraId="07A02520" w14:textId="4797C884" w:rsidR="00736DA9" w:rsidRDefault="00000000">
          <w:pPr>
            <w:pStyle w:val="TOC4"/>
            <w:tabs>
              <w:tab w:val="right" w:pos="9350"/>
            </w:tabs>
            <w:rPr>
              <w:rFonts w:eastAsiaTheme="minorEastAsia" w:cstheme="minorBidi"/>
              <w:noProof/>
              <w:sz w:val="24"/>
              <w:szCs w:val="24"/>
            </w:rPr>
          </w:pPr>
          <w:hyperlink w:anchor="_Toc162266984" w:history="1">
            <w:r w:rsidR="00736DA9" w:rsidRPr="004372B1">
              <w:rPr>
                <w:rStyle w:val="Hyperlink"/>
                <w:noProof/>
              </w:rPr>
              <w:t>Figure 1.3: Healthy People 2030.</w:t>
            </w:r>
            <w:r w:rsidR="00736DA9">
              <w:rPr>
                <w:noProof/>
                <w:webHidden/>
              </w:rPr>
              <w:tab/>
            </w:r>
            <w:r w:rsidR="00736DA9">
              <w:rPr>
                <w:noProof/>
                <w:webHidden/>
              </w:rPr>
              <w:fldChar w:fldCharType="begin"/>
            </w:r>
            <w:r w:rsidR="00736DA9">
              <w:rPr>
                <w:noProof/>
                <w:webHidden/>
              </w:rPr>
              <w:instrText xml:space="preserve"> PAGEREF _Toc162266984 \h </w:instrText>
            </w:r>
            <w:r w:rsidR="00736DA9">
              <w:rPr>
                <w:noProof/>
                <w:webHidden/>
              </w:rPr>
            </w:r>
            <w:r w:rsidR="00736DA9">
              <w:rPr>
                <w:noProof/>
                <w:webHidden/>
              </w:rPr>
              <w:fldChar w:fldCharType="separate"/>
            </w:r>
            <w:r w:rsidR="00736DA9">
              <w:rPr>
                <w:noProof/>
                <w:webHidden/>
              </w:rPr>
              <w:t>26</w:t>
            </w:r>
            <w:r w:rsidR="00736DA9">
              <w:rPr>
                <w:noProof/>
                <w:webHidden/>
              </w:rPr>
              <w:fldChar w:fldCharType="end"/>
            </w:r>
          </w:hyperlink>
        </w:p>
        <w:p w14:paraId="25BCE936" w14:textId="13E01BF4" w:rsidR="00736DA9" w:rsidRDefault="00000000">
          <w:pPr>
            <w:pStyle w:val="TOC4"/>
            <w:tabs>
              <w:tab w:val="right" w:pos="9350"/>
            </w:tabs>
            <w:rPr>
              <w:rFonts w:eastAsiaTheme="minorEastAsia" w:cstheme="minorBidi"/>
              <w:noProof/>
              <w:sz w:val="24"/>
              <w:szCs w:val="24"/>
            </w:rPr>
          </w:pPr>
          <w:hyperlink w:anchor="_Toc162266985" w:history="1">
            <w:r w:rsidR="00736DA9" w:rsidRPr="004372B1">
              <w:rPr>
                <w:rStyle w:val="Hyperlink"/>
                <w:noProof/>
              </w:rPr>
              <w:t>Public Health Accreditation</w:t>
            </w:r>
            <w:r w:rsidR="00736DA9">
              <w:rPr>
                <w:noProof/>
                <w:webHidden/>
              </w:rPr>
              <w:tab/>
            </w:r>
            <w:r w:rsidR="00736DA9">
              <w:rPr>
                <w:noProof/>
                <w:webHidden/>
              </w:rPr>
              <w:fldChar w:fldCharType="begin"/>
            </w:r>
            <w:r w:rsidR="00736DA9">
              <w:rPr>
                <w:noProof/>
                <w:webHidden/>
              </w:rPr>
              <w:instrText xml:space="preserve"> PAGEREF _Toc162266985 \h </w:instrText>
            </w:r>
            <w:r w:rsidR="00736DA9">
              <w:rPr>
                <w:noProof/>
                <w:webHidden/>
              </w:rPr>
            </w:r>
            <w:r w:rsidR="00736DA9">
              <w:rPr>
                <w:noProof/>
                <w:webHidden/>
              </w:rPr>
              <w:fldChar w:fldCharType="separate"/>
            </w:r>
            <w:r w:rsidR="00736DA9">
              <w:rPr>
                <w:noProof/>
                <w:webHidden/>
              </w:rPr>
              <w:t>27</w:t>
            </w:r>
            <w:r w:rsidR="00736DA9">
              <w:rPr>
                <w:noProof/>
                <w:webHidden/>
              </w:rPr>
              <w:fldChar w:fldCharType="end"/>
            </w:r>
          </w:hyperlink>
        </w:p>
        <w:p w14:paraId="5B4B7304" w14:textId="1EEE1F52" w:rsidR="00736DA9" w:rsidRDefault="00000000">
          <w:pPr>
            <w:pStyle w:val="TOC4"/>
            <w:tabs>
              <w:tab w:val="right" w:pos="9350"/>
            </w:tabs>
            <w:rPr>
              <w:rFonts w:eastAsiaTheme="minorEastAsia" w:cstheme="minorBidi"/>
              <w:noProof/>
              <w:sz w:val="24"/>
              <w:szCs w:val="24"/>
            </w:rPr>
          </w:pPr>
          <w:hyperlink w:anchor="_Toc162266986" w:history="1">
            <w:r w:rsidR="00736DA9" w:rsidRPr="004372B1">
              <w:rPr>
                <w:rStyle w:val="Hyperlink"/>
                <w:noProof/>
              </w:rPr>
              <w:t>Strategic Frameworks</w:t>
            </w:r>
            <w:r w:rsidR="00736DA9">
              <w:rPr>
                <w:noProof/>
                <w:webHidden/>
              </w:rPr>
              <w:tab/>
            </w:r>
            <w:r w:rsidR="00736DA9">
              <w:rPr>
                <w:noProof/>
                <w:webHidden/>
              </w:rPr>
              <w:fldChar w:fldCharType="begin"/>
            </w:r>
            <w:r w:rsidR="00736DA9">
              <w:rPr>
                <w:noProof/>
                <w:webHidden/>
              </w:rPr>
              <w:instrText xml:space="preserve"> PAGEREF _Toc162266986 \h </w:instrText>
            </w:r>
            <w:r w:rsidR="00736DA9">
              <w:rPr>
                <w:noProof/>
                <w:webHidden/>
              </w:rPr>
            </w:r>
            <w:r w:rsidR="00736DA9">
              <w:rPr>
                <w:noProof/>
                <w:webHidden/>
              </w:rPr>
              <w:fldChar w:fldCharType="separate"/>
            </w:r>
            <w:r w:rsidR="00736DA9">
              <w:rPr>
                <w:noProof/>
                <w:webHidden/>
              </w:rPr>
              <w:t>28</w:t>
            </w:r>
            <w:r w:rsidR="00736DA9">
              <w:rPr>
                <w:noProof/>
                <w:webHidden/>
              </w:rPr>
              <w:fldChar w:fldCharType="end"/>
            </w:r>
          </w:hyperlink>
        </w:p>
        <w:p w14:paraId="78883558" w14:textId="789AF2AE" w:rsidR="00736DA9" w:rsidRDefault="00000000">
          <w:pPr>
            <w:pStyle w:val="TOC4"/>
            <w:tabs>
              <w:tab w:val="right" w:pos="9350"/>
            </w:tabs>
            <w:rPr>
              <w:rFonts w:eastAsiaTheme="minorEastAsia" w:cstheme="minorBidi"/>
              <w:noProof/>
              <w:sz w:val="24"/>
              <w:szCs w:val="24"/>
            </w:rPr>
          </w:pPr>
          <w:hyperlink w:anchor="_Toc162266987" w:history="1">
            <w:r w:rsidR="00736DA9" w:rsidRPr="004372B1">
              <w:rPr>
                <w:rStyle w:val="Hyperlink"/>
                <w:noProof/>
              </w:rPr>
              <w:t>Figure 1.4: South Carolina SHA and SHIP Process.</w:t>
            </w:r>
            <w:r w:rsidR="00736DA9">
              <w:rPr>
                <w:noProof/>
                <w:webHidden/>
              </w:rPr>
              <w:tab/>
            </w:r>
            <w:r w:rsidR="00736DA9">
              <w:rPr>
                <w:noProof/>
                <w:webHidden/>
              </w:rPr>
              <w:fldChar w:fldCharType="begin"/>
            </w:r>
            <w:r w:rsidR="00736DA9">
              <w:rPr>
                <w:noProof/>
                <w:webHidden/>
              </w:rPr>
              <w:instrText xml:space="preserve"> PAGEREF _Toc162266987 \h </w:instrText>
            </w:r>
            <w:r w:rsidR="00736DA9">
              <w:rPr>
                <w:noProof/>
                <w:webHidden/>
              </w:rPr>
            </w:r>
            <w:r w:rsidR="00736DA9">
              <w:rPr>
                <w:noProof/>
                <w:webHidden/>
              </w:rPr>
              <w:fldChar w:fldCharType="separate"/>
            </w:r>
            <w:r w:rsidR="00736DA9">
              <w:rPr>
                <w:noProof/>
                <w:webHidden/>
              </w:rPr>
              <w:t>28</w:t>
            </w:r>
            <w:r w:rsidR="00736DA9">
              <w:rPr>
                <w:noProof/>
                <w:webHidden/>
              </w:rPr>
              <w:fldChar w:fldCharType="end"/>
            </w:r>
          </w:hyperlink>
        </w:p>
        <w:p w14:paraId="1C736975" w14:textId="2FC0002A" w:rsidR="00736DA9" w:rsidRDefault="00000000">
          <w:pPr>
            <w:pStyle w:val="TOC4"/>
            <w:tabs>
              <w:tab w:val="right" w:pos="9350"/>
            </w:tabs>
            <w:rPr>
              <w:rFonts w:eastAsiaTheme="minorEastAsia" w:cstheme="minorBidi"/>
              <w:noProof/>
              <w:sz w:val="24"/>
              <w:szCs w:val="24"/>
            </w:rPr>
          </w:pPr>
          <w:hyperlink w:anchor="_Toc162266988" w:history="1">
            <w:r w:rsidR="00736DA9" w:rsidRPr="004372B1">
              <w:rPr>
                <w:rStyle w:val="Hyperlink"/>
                <w:noProof/>
              </w:rPr>
              <w:t>Figure 1.5: The SHA Teams.</w:t>
            </w:r>
            <w:r w:rsidR="00736DA9">
              <w:rPr>
                <w:noProof/>
                <w:webHidden/>
              </w:rPr>
              <w:tab/>
            </w:r>
            <w:r w:rsidR="00736DA9">
              <w:rPr>
                <w:noProof/>
                <w:webHidden/>
              </w:rPr>
              <w:fldChar w:fldCharType="begin"/>
            </w:r>
            <w:r w:rsidR="00736DA9">
              <w:rPr>
                <w:noProof/>
                <w:webHidden/>
              </w:rPr>
              <w:instrText xml:space="preserve"> PAGEREF _Toc162266988 \h </w:instrText>
            </w:r>
            <w:r w:rsidR="00736DA9">
              <w:rPr>
                <w:noProof/>
                <w:webHidden/>
              </w:rPr>
            </w:r>
            <w:r w:rsidR="00736DA9">
              <w:rPr>
                <w:noProof/>
                <w:webHidden/>
              </w:rPr>
              <w:fldChar w:fldCharType="separate"/>
            </w:r>
            <w:r w:rsidR="00736DA9">
              <w:rPr>
                <w:noProof/>
                <w:webHidden/>
              </w:rPr>
              <w:t>29</w:t>
            </w:r>
            <w:r w:rsidR="00736DA9">
              <w:rPr>
                <w:noProof/>
                <w:webHidden/>
              </w:rPr>
              <w:fldChar w:fldCharType="end"/>
            </w:r>
          </w:hyperlink>
        </w:p>
        <w:p w14:paraId="12A163FB" w14:textId="4DB43C19" w:rsidR="00736DA9" w:rsidRDefault="00000000">
          <w:pPr>
            <w:pStyle w:val="TOC4"/>
            <w:tabs>
              <w:tab w:val="right" w:pos="9350"/>
            </w:tabs>
            <w:rPr>
              <w:rFonts w:eastAsiaTheme="minorEastAsia" w:cstheme="minorBidi"/>
              <w:noProof/>
              <w:sz w:val="24"/>
              <w:szCs w:val="24"/>
            </w:rPr>
          </w:pPr>
          <w:hyperlink w:anchor="_Toc162266989" w:history="1">
            <w:r w:rsidR="00736DA9" w:rsidRPr="004372B1">
              <w:rPr>
                <w:rStyle w:val="Hyperlink"/>
                <w:noProof/>
              </w:rPr>
              <w:t>Figure 1.6: South Carolina State Health Assessment Development – Roles and Responsibilities.</w:t>
            </w:r>
            <w:r w:rsidR="00736DA9">
              <w:rPr>
                <w:noProof/>
                <w:webHidden/>
              </w:rPr>
              <w:tab/>
            </w:r>
            <w:r w:rsidR="00736DA9">
              <w:rPr>
                <w:noProof/>
                <w:webHidden/>
              </w:rPr>
              <w:fldChar w:fldCharType="begin"/>
            </w:r>
            <w:r w:rsidR="00736DA9">
              <w:rPr>
                <w:noProof/>
                <w:webHidden/>
              </w:rPr>
              <w:instrText xml:space="preserve"> PAGEREF _Toc162266989 \h </w:instrText>
            </w:r>
            <w:r w:rsidR="00736DA9">
              <w:rPr>
                <w:noProof/>
                <w:webHidden/>
              </w:rPr>
            </w:r>
            <w:r w:rsidR="00736DA9">
              <w:rPr>
                <w:noProof/>
                <w:webHidden/>
              </w:rPr>
              <w:fldChar w:fldCharType="separate"/>
            </w:r>
            <w:r w:rsidR="00736DA9">
              <w:rPr>
                <w:noProof/>
                <w:webHidden/>
              </w:rPr>
              <w:t>29</w:t>
            </w:r>
            <w:r w:rsidR="00736DA9">
              <w:rPr>
                <w:noProof/>
                <w:webHidden/>
              </w:rPr>
              <w:fldChar w:fldCharType="end"/>
            </w:r>
          </w:hyperlink>
        </w:p>
        <w:p w14:paraId="548549AE" w14:textId="6FDB6917" w:rsidR="00736DA9" w:rsidRDefault="00000000">
          <w:pPr>
            <w:pStyle w:val="TOC4"/>
            <w:tabs>
              <w:tab w:val="right" w:pos="9350"/>
            </w:tabs>
            <w:rPr>
              <w:rFonts w:eastAsiaTheme="minorEastAsia" w:cstheme="minorBidi"/>
              <w:noProof/>
              <w:sz w:val="24"/>
              <w:szCs w:val="24"/>
            </w:rPr>
          </w:pPr>
          <w:hyperlink w:anchor="_Toc162266990" w:history="1">
            <w:r w:rsidR="00736DA9" w:rsidRPr="004372B1">
              <w:rPr>
                <w:rStyle w:val="Hyperlink"/>
                <w:noProof/>
              </w:rPr>
              <w:t>Figure 1.7: Population Health Framework.</w:t>
            </w:r>
            <w:r w:rsidR="00736DA9">
              <w:rPr>
                <w:noProof/>
                <w:webHidden/>
              </w:rPr>
              <w:tab/>
            </w:r>
            <w:r w:rsidR="00736DA9">
              <w:rPr>
                <w:noProof/>
                <w:webHidden/>
              </w:rPr>
              <w:fldChar w:fldCharType="begin"/>
            </w:r>
            <w:r w:rsidR="00736DA9">
              <w:rPr>
                <w:noProof/>
                <w:webHidden/>
              </w:rPr>
              <w:instrText xml:space="preserve"> PAGEREF _Toc162266990 \h </w:instrText>
            </w:r>
            <w:r w:rsidR="00736DA9">
              <w:rPr>
                <w:noProof/>
                <w:webHidden/>
              </w:rPr>
            </w:r>
            <w:r w:rsidR="00736DA9">
              <w:rPr>
                <w:noProof/>
                <w:webHidden/>
              </w:rPr>
              <w:fldChar w:fldCharType="separate"/>
            </w:r>
            <w:r w:rsidR="00736DA9">
              <w:rPr>
                <w:noProof/>
                <w:webHidden/>
              </w:rPr>
              <w:t>31</w:t>
            </w:r>
            <w:r w:rsidR="00736DA9">
              <w:rPr>
                <w:noProof/>
                <w:webHidden/>
              </w:rPr>
              <w:fldChar w:fldCharType="end"/>
            </w:r>
          </w:hyperlink>
        </w:p>
        <w:p w14:paraId="18688C94" w14:textId="71D1D091" w:rsidR="00736DA9" w:rsidRDefault="00000000">
          <w:pPr>
            <w:pStyle w:val="TOC4"/>
            <w:tabs>
              <w:tab w:val="right" w:pos="9350"/>
            </w:tabs>
            <w:rPr>
              <w:rFonts w:eastAsiaTheme="minorEastAsia" w:cstheme="minorBidi"/>
              <w:noProof/>
              <w:sz w:val="24"/>
              <w:szCs w:val="24"/>
            </w:rPr>
          </w:pPr>
          <w:hyperlink w:anchor="_Toc162266991" w:history="1">
            <w:r w:rsidR="00736DA9" w:rsidRPr="004372B1">
              <w:rPr>
                <w:rStyle w:val="Hyperlink"/>
                <w:noProof/>
              </w:rPr>
              <w:t>State Health Improvement Plan</w:t>
            </w:r>
            <w:r w:rsidR="00736DA9">
              <w:rPr>
                <w:noProof/>
                <w:webHidden/>
              </w:rPr>
              <w:tab/>
            </w:r>
            <w:r w:rsidR="00736DA9">
              <w:rPr>
                <w:noProof/>
                <w:webHidden/>
              </w:rPr>
              <w:fldChar w:fldCharType="begin"/>
            </w:r>
            <w:r w:rsidR="00736DA9">
              <w:rPr>
                <w:noProof/>
                <w:webHidden/>
              </w:rPr>
              <w:instrText xml:space="preserve"> PAGEREF _Toc162266991 \h </w:instrText>
            </w:r>
            <w:r w:rsidR="00736DA9">
              <w:rPr>
                <w:noProof/>
                <w:webHidden/>
              </w:rPr>
            </w:r>
            <w:r w:rsidR="00736DA9">
              <w:rPr>
                <w:noProof/>
                <w:webHidden/>
              </w:rPr>
              <w:fldChar w:fldCharType="separate"/>
            </w:r>
            <w:r w:rsidR="00736DA9">
              <w:rPr>
                <w:noProof/>
                <w:webHidden/>
              </w:rPr>
              <w:t>32</w:t>
            </w:r>
            <w:r w:rsidR="00736DA9">
              <w:rPr>
                <w:noProof/>
                <w:webHidden/>
              </w:rPr>
              <w:fldChar w:fldCharType="end"/>
            </w:r>
          </w:hyperlink>
        </w:p>
        <w:p w14:paraId="7DE5C09C" w14:textId="797EAF2E" w:rsidR="00736DA9" w:rsidRDefault="00000000">
          <w:pPr>
            <w:pStyle w:val="TOC4"/>
            <w:tabs>
              <w:tab w:val="right" w:pos="9350"/>
            </w:tabs>
            <w:rPr>
              <w:rFonts w:eastAsiaTheme="minorEastAsia" w:cstheme="minorBidi"/>
              <w:noProof/>
              <w:sz w:val="24"/>
              <w:szCs w:val="24"/>
            </w:rPr>
          </w:pPr>
          <w:hyperlink w:anchor="_Toc162266992" w:history="1">
            <w:r w:rsidR="00736DA9" w:rsidRPr="004372B1">
              <w:rPr>
                <w:rStyle w:val="Hyperlink"/>
                <w:noProof/>
              </w:rPr>
              <w:t>Process</w:t>
            </w:r>
            <w:r w:rsidR="00736DA9">
              <w:rPr>
                <w:noProof/>
                <w:webHidden/>
              </w:rPr>
              <w:tab/>
            </w:r>
            <w:r w:rsidR="00736DA9">
              <w:rPr>
                <w:noProof/>
                <w:webHidden/>
              </w:rPr>
              <w:fldChar w:fldCharType="begin"/>
            </w:r>
            <w:r w:rsidR="00736DA9">
              <w:rPr>
                <w:noProof/>
                <w:webHidden/>
              </w:rPr>
              <w:instrText xml:space="preserve"> PAGEREF _Toc162266992 \h </w:instrText>
            </w:r>
            <w:r w:rsidR="00736DA9">
              <w:rPr>
                <w:noProof/>
                <w:webHidden/>
              </w:rPr>
            </w:r>
            <w:r w:rsidR="00736DA9">
              <w:rPr>
                <w:noProof/>
                <w:webHidden/>
              </w:rPr>
              <w:fldChar w:fldCharType="separate"/>
            </w:r>
            <w:r w:rsidR="00736DA9">
              <w:rPr>
                <w:noProof/>
                <w:webHidden/>
              </w:rPr>
              <w:t>32</w:t>
            </w:r>
            <w:r w:rsidR="00736DA9">
              <w:rPr>
                <w:noProof/>
                <w:webHidden/>
              </w:rPr>
              <w:fldChar w:fldCharType="end"/>
            </w:r>
          </w:hyperlink>
        </w:p>
        <w:p w14:paraId="721B1F5F" w14:textId="480B0658" w:rsidR="00736DA9" w:rsidRDefault="00000000">
          <w:pPr>
            <w:pStyle w:val="TOC4"/>
            <w:tabs>
              <w:tab w:val="right" w:pos="9350"/>
            </w:tabs>
            <w:rPr>
              <w:rFonts w:eastAsiaTheme="minorEastAsia" w:cstheme="minorBidi"/>
              <w:noProof/>
              <w:sz w:val="24"/>
              <w:szCs w:val="24"/>
            </w:rPr>
          </w:pPr>
          <w:hyperlink w:anchor="_Toc162266993" w:history="1">
            <w:r w:rsidR="00736DA9" w:rsidRPr="004372B1">
              <w:rPr>
                <w:rStyle w:val="Hyperlink"/>
                <w:noProof/>
              </w:rPr>
              <w:t>Structure of the State Health Assessment</w:t>
            </w:r>
            <w:r w:rsidR="00736DA9">
              <w:rPr>
                <w:noProof/>
                <w:webHidden/>
              </w:rPr>
              <w:tab/>
            </w:r>
            <w:r w:rsidR="00736DA9">
              <w:rPr>
                <w:noProof/>
                <w:webHidden/>
              </w:rPr>
              <w:fldChar w:fldCharType="begin"/>
            </w:r>
            <w:r w:rsidR="00736DA9">
              <w:rPr>
                <w:noProof/>
                <w:webHidden/>
              </w:rPr>
              <w:instrText xml:space="preserve"> PAGEREF _Toc162266993 \h </w:instrText>
            </w:r>
            <w:r w:rsidR="00736DA9">
              <w:rPr>
                <w:noProof/>
                <w:webHidden/>
              </w:rPr>
            </w:r>
            <w:r w:rsidR="00736DA9">
              <w:rPr>
                <w:noProof/>
                <w:webHidden/>
              </w:rPr>
              <w:fldChar w:fldCharType="separate"/>
            </w:r>
            <w:r w:rsidR="00736DA9">
              <w:rPr>
                <w:noProof/>
                <w:webHidden/>
              </w:rPr>
              <w:t>33</w:t>
            </w:r>
            <w:r w:rsidR="00736DA9">
              <w:rPr>
                <w:noProof/>
                <w:webHidden/>
              </w:rPr>
              <w:fldChar w:fldCharType="end"/>
            </w:r>
          </w:hyperlink>
        </w:p>
        <w:p w14:paraId="158F85B6" w14:textId="05EC90C2" w:rsidR="00736DA9" w:rsidRDefault="00000000">
          <w:pPr>
            <w:pStyle w:val="TOC4"/>
            <w:tabs>
              <w:tab w:val="right" w:pos="9350"/>
            </w:tabs>
            <w:rPr>
              <w:rFonts w:eastAsiaTheme="minorEastAsia" w:cstheme="minorBidi"/>
              <w:noProof/>
              <w:sz w:val="24"/>
              <w:szCs w:val="24"/>
            </w:rPr>
          </w:pPr>
          <w:hyperlink w:anchor="_Toc162266994" w:history="1">
            <w:r w:rsidR="00736DA9" w:rsidRPr="004372B1">
              <w:rPr>
                <w:rStyle w:val="Hyperlink"/>
                <w:noProof/>
              </w:rPr>
              <w:t>Figure 1.8: The SHA Process.</w:t>
            </w:r>
            <w:r w:rsidR="00736DA9">
              <w:rPr>
                <w:noProof/>
                <w:webHidden/>
              </w:rPr>
              <w:tab/>
            </w:r>
            <w:r w:rsidR="00736DA9">
              <w:rPr>
                <w:noProof/>
                <w:webHidden/>
              </w:rPr>
              <w:fldChar w:fldCharType="begin"/>
            </w:r>
            <w:r w:rsidR="00736DA9">
              <w:rPr>
                <w:noProof/>
                <w:webHidden/>
              </w:rPr>
              <w:instrText xml:space="preserve"> PAGEREF _Toc162266994 \h </w:instrText>
            </w:r>
            <w:r w:rsidR="00736DA9">
              <w:rPr>
                <w:noProof/>
                <w:webHidden/>
              </w:rPr>
            </w:r>
            <w:r w:rsidR="00736DA9">
              <w:rPr>
                <w:noProof/>
                <w:webHidden/>
              </w:rPr>
              <w:fldChar w:fldCharType="separate"/>
            </w:r>
            <w:r w:rsidR="00736DA9">
              <w:rPr>
                <w:noProof/>
                <w:webHidden/>
              </w:rPr>
              <w:t>33</w:t>
            </w:r>
            <w:r w:rsidR="00736DA9">
              <w:rPr>
                <w:noProof/>
                <w:webHidden/>
              </w:rPr>
              <w:fldChar w:fldCharType="end"/>
            </w:r>
          </w:hyperlink>
        </w:p>
        <w:p w14:paraId="3E0956E2" w14:textId="056B676C" w:rsidR="00736DA9" w:rsidRDefault="00000000">
          <w:pPr>
            <w:pStyle w:val="TOC2"/>
            <w:tabs>
              <w:tab w:val="right" w:pos="9350"/>
            </w:tabs>
            <w:rPr>
              <w:rFonts w:eastAsiaTheme="minorEastAsia" w:cstheme="minorBidi"/>
              <w:b w:val="0"/>
              <w:bCs w:val="0"/>
              <w:noProof/>
              <w:sz w:val="24"/>
              <w:szCs w:val="24"/>
            </w:rPr>
          </w:pPr>
          <w:hyperlink w:anchor="_Toc162266995" w:history="1">
            <w:r w:rsidR="00736DA9" w:rsidRPr="004372B1">
              <w:rPr>
                <w:rStyle w:val="Hyperlink"/>
                <w:noProof/>
              </w:rPr>
              <w:t>Chapter 2: Methodology</w:t>
            </w:r>
            <w:r w:rsidR="00736DA9">
              <w:rPr>
                <w:noProof/>
                <w:webHidden/>
              </w:rPr>
              <w:tab/>
            </w:r>
            <w:r w:rsidR="00736DA9">
              <w:rPr>
                <w:noProof/>
                <w:webHidden/>
              </w:rPr>
              <w:fldChar w:fldCharType="begin"/>
            </w:r>
            <w:r w:rsidR="00736DA9">
              <w:rPr>
                <w:noProof/>
                <w:webHidden/>
              </w:rPr>
              <w:instrText xml:space="preserve"> PAGEREF _Toc162266995 \h </w:instrText>
            </w:r>
            <w:r w:rsidR="00736DA9">
              <w:rPr>
                <w:noProof/>
                <w:webHidden/>
              </w:rPr>
            </w:r>
            <w:r w:rsidR="00736DA9">
              <w:rPr>
                <w:noProof/>
                <w:webHidden/>
              </w:rPr>
              <w:fldChar w:fldCharType="separate"/>
            </w:r>
            <w:r w:rsidR="00736DA9">
              <w:rPr>
                <w:noProof/>
                <w:webHidden/>
              </w:rPr>
              <w:t>35</w:t>
            </w:r>
            <w:r w:rsidR="00736DA9">
              <w:rPr>
                <w:noProof/>
                <w:webHidden/>
              </w:rPr>
              <w:fldChar w:fldCharType="end"/>
            </w:r>
          </w:hyperlink>
        </w:p>
        <w:p w14:paraId="0756E5AF" w14:textId="4DCE0850" w:rsidR="00736DA9" w:rsidRDefault="00000000">
          <w:pPr>
            <w:pStyle w:val="TOC3"/>
            <w:tabs>
              <w:tab w:val="right" w:pos="9350"/>
            </w:tabs>
            <w:rPr>
              <w:rFonts w:eastAsiaTheme="minorEastAsia" w:cstheme="minorBidi"/>
              <w:noProof/>
              <w:sz w:val="24"/>
              <w:szCs w:val="24"/>
            </w:rPr>
          </w:pPr>
          <w:hyperlink w:anchor="_Toc162266996" w:history="1">
            <w:r w:rsidR="00736DA9" w:rsidRPr="004372B1">
              <w:rPr>
                <w:rStyle w:val="Hyperlink"/>
                <w:noProof/>
              </w:rPr>
              <w:t>Methodology</w:t>
            </w:r>
            <w:r w:rsidR="00736DA9">
              <w:rPr>
                <w:noProof/>
                <w:webHidden/>
              </w:rPr>
              <w:tab/>
            </w:r>
            <w:r w:rsidR="00736DA9">
              <w:rPr>
                <w:noProof/>
                <w:webHidden/>
              </w:rPr>
              <w:fldChar w:fldCharType="begin"/>
            </w:r>
            <w:r w:rsidR="00736DA9">
              <w:rPr>
                <w:noProof/>
                <w:webHidden/>
              </w:rPr>
              <w:instrText xml:space="preserve"> PAGEREF _Toc162266996 \h </w:instrText>
            </w:r>
            <w:r w:rsidR="00736DA9">
              <w:rPr>
                <w:noProof/>
                <w:webHidden/>
              </w:rPr>
            </w:r>
            <w:r w:rsidR="00736DA9">
              <w:rPr>
                <w:noProof/>
                <w:webHidden/>
              </w:rPr>
              <w:fldChar w:fldCharType="separate"/>
            </w:r>
            <w:r w:rsidR="00736DA9">
              <w:rPr>
                <w:noProof/>
                <w:webHidden/>
              </w:rPr>
              <w:t>35</w:t>
            </w:r>
            <w:r w:rsidR="00736DA9">
              <w:rPr>
                <w:noProof/>
                <w:webHidden/>
              </w:rPr>
              <w:fldChar w:fldCharType="end"/>
            </w:r>
          </w:hyperlink>
        </w:p>
        <w:p w14:paraId="2BB62C4A" w14:textId="3A23CDEE" w:rsidR="00736DA9" w:rsidRDefault="00000000">
          <w:pPr>
            <w:pStyle w:val="TOC4"/>
            <w:tabs>
              <w:tab w:val="right" w:pos="9350"/>
            </w:tabs>
            <w:rPr>
              <w:rFonts w:eastAsiaTheme="minorEastAsia" w:cstheme="minorBidi"/>
              <w:noProof/>
              <w:sz w:val="24"/>
              <w:szCs w:val="24"/>
            </w:rPr>
          </w:pPr>
          <w:hyperlink w:anchor="_Toc162266997" w:history="1">
            <w:r w:rsidR="00736DA9" w:rsidRPr="004372B1">
              <w:rPr>
                <w:rStyle w:val="Hyperlink"/>
                <w:noProof/>
              </w:rPr>
              <w:t>Figure 2.1: State Health Assessment Criteria.</w:t>
            </w:r>
            <w:r w:rsidR="00736DA9">
              <w:rPr>
                <w:noProof/>
                <w:webHidden/>
              </w:rPr>
              <w:tab/>
            </w:r>
            <w:r w:rsidR="00736DA9">
              <w:rPr>
                <w:noProof/>
                <w:webHidden/>
              </w:rPr>
              <w:fldChar w:fldCharType="begin"/>
            </w:r>
            <w:r w:rsidR="00736DA9">
              <w:rPr>
                <w:noProof/>
                <w:webHidden/>
              </w:rPr>
              <w:instrText xml:space="preserve"> PAGEREF _Toc162266997 \h </w:instrText>
            </w:r>
            <w:r w:rsidR="00736DA9">
              <w:rPr>
                <w:noProof/>
                <w:webHidden/>
              </w:rPr>
            </w:r>
            <w:r w:rsidR="00736DA9">
              <w:rPr>
                <w:noProof/>
                <w:webHidden/>
              </w:rPr>
              <w:fldChar w:fldCharType="separate"/>
            </w:r>
            <w:r w:rsidR="00736DA9">
              <w:rPr>
                <w:noProof/>
                <w:webHidden/>
              </w:rPr>
              <w:t>36</w:t>
            </w:r>
            <w:r w:rsidR="00736DA9">
              <w:rPr>
                <w:noProof/>
                <w:webHidden/>
              </w:rPr>
              <w:fldChar w:fldCharType="end"/>
            </w:r>
          </w:hyperlink>
        </w:p>
        <w:p w14:paraId="06CDD1D4" w14:textId="587BBF29" w:rsidR="00736DA9" w:rsidRDefault="00000000">
          <w:pPr>
            <w:pStyle w:val="TOC4"/>
            <w:tabs>
              <w:tab w:val="right" w:pos="9350"/>
            </w:tabs>
            <w:rPr>
              <w:rFonts w:eastAsiaTheme="minorEastAsia" w:cstheme="minorBidi"/>
              <w:noProof/>
              <w:sz w:val="24"/>
              <w:szCs w:val="24"/>
            </w:rPr>
          </w:pPr>
          <w:hyperlink w:anchor="_Toc162266998" w:history="1">
            <w:r w:rsidR="00736DA9" w:rsidRPr="004372B1">
              <w:rPr>
                <w:rStyle w:val="Hyperlink"/>
                <w:noProof/>
              </w:rPr>
              <w:t>Table 2.1: Breast Cancer Screenings in the Past Two Years (Women, 50-74 years).</w:t>
            </w:r>
            <w:r w:rsidR="00736DA9">
              <w:rPr>
                <w:noProof/>
                <w:webHidden/>
              </w:rPr>
              <w:tab/>
            </w:r>
            <w:r w:rsidR="00736DA9">
              <w:rPr>
                <w:noProof/>
                <w:webHidden/>
              </w:rPr>
              <w:fldChar w:fldCharType="begin"/>
            </w:r>
            <w:r w:rsidR="00736DA9">
              <w:rPr>
                <w:noProof/>
                <w:webHidden/>
              </w:rPr>
              <w:instrText xml:space="preserve"> PAGEREF _Toc162266998 \h </w:instrText>
            </w:r>
            <w:r w:rsidR="00736DA9">
              <w:rPr>
                <w:noProof/>
                <w:webHidden/>
              </w:rPr>
            </w:r>
            <w:r w:rsidR="00736DA9">
              <w:rPr>
                <w:noProof/>
                <w:webHidden/>
              </w:rPr>
              <w:fldChar w:fldCharType="separate"/>
            </w:r>
            <w:r w:rsidR="00736DA9">
              <w:rPr>
                <w:noProof/>
                <w:webHidden/>
              </w:rPr>
              <w:t>39</w:t>
            </w:r>
            <w:r w:rsidR="00736DA9">
              <w:rPr>
                <w:noProof/>
                <w:webHidden/>
              </w:rPr>
              <w:fldChar w:fldCharType="end"/>
            </w:r>
          </w:hyperlink>
        </w:p>
        <w:p w14:paraId="20F7554F" w14:textId="35FA4F97" w:rsidR="00736DA9" w:rsidRDefault="00000000">
          <w:pPr>
            <w:pStyle w:val="TOC4"/>
            <w:tabs>
              <w:tab w:val="right" w:pos="9350"/>
            </w:tabs>
            <w:rPr>
              <w:rFonts w:eastAsiaTheme="minorEastAsia" w:cstheme="minorBidi"/>
              <w:noProof/>
              <w:sz w:val="24"/>
              <w:szCs w:val="24"/>
            </w:rPr>
          </w:pPr>
          <w:hyperlink w:anchor="_Toc162266999" w:history="1">
            <w:r w:rsidR="00736DA9" w:rsidRPr="004372B1">
              <w:rPr>
                <w:rStyle w:val="Hyperlink"/>
                <w:noProof/>
              </w:rPr>
              <w:t>Table 2.2: Cervical Cancer Screenings in the Past Three Years (Women, 21-65 years).</w:t>
            </w:r>
            <w:r w:rsidR="00736DA9">
              <w:rPr>
                <w:noProof/>
                <w:webHidden/>
              </w:rPr>
              <w:tab/>
            </w:r>
            <w:r w:rsidR="00736DA9">
              <w:rPr>
                <w:noProof/>
                <w:webHidden/>
              </w:rPr>
              <w:fldChar w:fldCharType="begin"/>
            </w:r>
            <w:r w:rsidR="00736DA9">
              <w:rPr>
                <w:noProof/>
                <w:webHidden/>
              </w:rPr>
              <w:instrText xml:space="preserve"> PAGEREF _Toc162266999 \h </w:instrText>
            </w:r>
            <w:r w:rsidR="00736DA9">
              <w:rPr>
                <w:noProof/>
                <w:webHidden/>
              </w:rPr>
            </w:r>
            <w:r w:rsidR="00736DA9">
              <w:rPr>
                <w:noProof/>
                <w:webHidden/>
              </w:rPr>
              <w:fldChar w:fldCharType="separate"/>
            </w:r>
            <w:r w:rsidR="00736DA9">
              <w:rPr>
                <w:noProof/>
                <w:webHidden/>
              </w:rPr>
              <w:t>39</w:t>
            </w:r>
            <w:r w:rsidR="00736DA9">
              <w:rPr>
                <w:noProof/>
                <w:webHidden/>
              </w:rPr>
              <w:fldChar w:fldCharType="end"/>
            </w:r>
          </w:hyperlink>
        </w:p>
        <w:p w14:paraId="4B908061" w14:textId="56E6850C" w:rsidR="00736DA9" w:rsidRDefault="00000000">
          <w:pPr>
            <w:pStyle w:val="TOC4"/>
            <w:tabs>
              <w:tab w:val="right" w:pos="9350"/>
            </w:tabs>
            <w:rPr>
              <w:rFonts w:eastAsiaTheme="minorEastAsia" w:cstheme="minorBidi"/>
              <w:noProof/>
              <w:sz w:val="24"/>
              <w:szCs w:val="24"/>
            </w:rPr>
          </w:pPr>
          <w:hyperlink w:anchor="_Toc162267000" w:history="1">
            <w:r w:rsidR="00736DA9" w:rsidRPr="004372B1">
              <w:rPr>
                <w:rStyle w:val="Hyperlink"/>
                <w:noProof/>
              </w:rPr>
              <w:t>Table 2.3: Current Cigarette Smoker (18+).</w:t>
            </w:r>
            <w:r w:rsidR="00736DA9">
              <w:rPr>
                <w:noProof/>
                <w:webHidden/>
              </w:rPr>
              <w:tab/>
            </w:r>
            <w:r w:rsidR="00736DA9">
              <w:rPr>
                <w:noProof/>
                <w:webHidden/>
              </w:rPr>
              <w:fldChar w:fldCharType="begin"/>
            </w:r>
            <w:r w:rsidR="00736DA9">
              <w:rPr>
                <w:noProof/>
                <w:webHidden/>
              </w:rPr>
              <w:instrText xml:space="preserve"> PAGEREF _Toc162267000 \h </w:instrText>
            </w:r>
            <w:r w:rsidR="00736DA9">
              <w:rPr>
                <w:noProof/>
                <w:webHidden/>
              </w:rPr>
            </w:r>
            <w:r w:rsidR="00736DA9">
              <w:rPr>
                <w:noProof/>
                <w:webHidden/>
              </w:rPr>
              <w:fldChar w:fldCharType="separate"/>
            </w:r>
            <w:r w:rsidR="00736DA9">
              <w:rPr>
                <w:noProof/>
                <w:webHidden/>
              </w:rPr>
              <w:t>39</w:t>
            </w:r>
            <w:r w:rsidR="00736DA9">
              <w:rPr>
                <w:noProof/>
                <w:webHidden/>
              </w:rPr>
              <w:fldChar w:fldCharType="end"/>
            </w:r>
          </w:hyperlink>
        </w:p>
        <w:p w14:paraId="0199EA6D" w14:textId="729A20FC" w:rsidR="00736DA9" w:rsidRDefault="00000000">
          <w:pPr>
            <w:pStyle w:val="TOC4"/>
            <w:tabs>
              <w:tab w:val="right" w:pos="9350"/>
            </w:tabs>
            <w:rPr>
              <w:rFonts w:eastAsiaTheme="minorEastAsia" w:cstheme="minorBidi"/>
              <w:noProof/>
              <w:sz w:val="24"/>
              <w:szCs w:val="24"/>
            </w:rPr>
          </w:pPr>
          <w:hyperlink w:anchor="_Toc162267001" w:history="1">
            <w:r w:rsidR="00736DA9" w:rsidRPr="004372B1">
              <w:rPr>
                <w:rStyle w:val="Hyperlink"/>
                <w:noProof/>
              </w:rPr>
              <w:t>Table 2.4: Met at Least One US Preventive Services Task Force (USPSTF) Recommendation for Colorectal Cancer Screening.</w:t>
            </w:r>
            <w:r w:rsidR="00736DA9">
              <w:rPr>
                <w:noProof/>
                <w:webHidden/>
              </w:rPr>
              <w:tab/>
            </w:r>
            <w:r w:rsidR="00736DA9">
              <w:rPr>
                <w:noProof/>
                <w:webHidden/>
              </w:rPr>
              <w:fldChar w:fldCharType="begin"/>
            </w:r>
            <w:r w:rsidR="00736DA9">
              <w:rPr>
                <w:noProof/>
                <w:webHidden/>
              </w:rPr>
              <w:instrText xml:space="preserve"> PAGEREF _Toc162267001 \h </w:instrText>
            </w:r>
            <w:r w:rsidR="00736DA9">
              <w:rPr>
                <w:noProof/>
                <w:webHidden/>
              </w:rPr>
            </w:r>
            <w:r w:rsidR="00736DA9">
              <w:rPr>
                <w:noProof/>
                <w:webHidden/>
              </w:rPr>
              <w:fldChar w:fldCharType="separate"/>
            </w:r>
            <w:r w:rsidR="00736DA9">
              <w:rPr>
                <w:noProof/>
                <w:webHidden/>
              </w:rPr>
              <w:t>39</w:t>
            </w:r>
            <w:r w:rsidR="00736DA9">
              <w:rPr>
                <w:noProof/>
                <w:webHidden/>
              </w:rPr>
              <w:fldChar w:fldCharType="end"/>
            </w:r>
          </w:hyperlink>
        </w:p>
        <w:p w14:paraId="08C2FB44" w14:textId="58B91FE0" w:rsidR="00736DA9" w:rsidRDefault="00000000">
          <w:pPr>
            <w:pStyle w:val="TOC4"/>
            <w:tabs>
              <w:tab w:val="right" w:pos="9350"/>
            </w:tabs>
            <w:rPr>
              <w:rFonts w:eastAsiaTheme="minorEastAsia" w:cstheme="minorBidi"/>
              <w:noProof/>
              <w:sz w:val="24"/>
              <w:szCs w:val="24"/>
            </w:rPr>
          </w:pPr>
          <w:hyperlink w:anchor="_Toc162267002" w:history="1">
            <w:r w:rsidR="00736DA9" w:rsidRPr="004372B1">
              <w:rPr>
                <w:rStyle w:val="Hyperlink"/>
                <w:noProof/>
              </w:rPr>
              <w:t>Table 2.5: Obesity (ages 20+).</w:t>
            </w:r>
            <w:r w:rsidR="00736DA9">
              <w:rPr>
                <w:noProof/>
                <w:webHidden/>
              </w:rPr>
              <w:tab/>
            </w:r>
            <w:r w:rsidR="00736DA9">
              <w:rPr>
                <w:noProof/>
                <w:webHidden/>
              </w:rPr>
              <w:fldChar w:fldCharType="begin"/>
            </w:r>
            <w:r w:rsidR="00736DA9">
              <w:rPr>
                <w:noProof/>
                <w:webHidden/>
              </w:rPr>
              <w:instrText xml:space="preserve"> PAGEREF _Toc162267002 \h </w:instrText>
            </w:r>
            <w:r w:rsidR="00736DA9">
              <w:rPr>
                <w:noProof/>
                <w:webHidden/>
              </w:rPr>
            </w:r>
            <w:r w:rsidR="00736DA9">
              <w:rPr>
                <w:noProof/>
                <w:webHidden/>
              </w:rPr>
              <w:fldChar w:fldCharType="separate"/>
            </w:r>
            <w:r w:rsidR="00736DA9">
              <w:rPr>
                <w:noProof/>
                <w:webHidden/>
              </w:rPr>
              <w:t>39</w:t>
            </w:r>
            <w:r w:rsidR="00736DA9">
              <w:rPr>
                <w:noProof/>
                <w:webHidden/>
              </w:rPr>
              <w:fldChar w:fldCharType="end"/>
            </w:r>
          </w:hyperlink>
        </w:p>
        <w:p w14:paraId="3B2E24DD" w14:textId="23417A58" w:rsidR="00736DA9" w:rsidRDefault="00000000">
          <w:pPr>
            <w:pStyle w:val="TOC4"/>
            <w:tabs>
              <w:tab w:val="right" w:pos="9350"/>
            </w:tabs>
            <w:rPr>
              <w:rFonts w:eastAsiaTheme="minorEastAsia" w:cstheme="minorBidi"/>
              <w:noProof/>
              <w:sz w:val="24"/>
              <w:szCs w:val="24"/>
            </w:rPr>
          </w:pPr>
          <w:hyperlink w:anchor="_Toc162267003" w:history="1">
            <w:r w:rsidR="00736DA9" w:rsidRPr="004372B1">
              <w:rPr>
                <w:rStyle w:val="Hyperlink"/>
                <w:noProof/>
              </w:rPr>
              <w:t>Chapter 2 References</w:t>
            </w:r>
            <w:r w:rsidR="00736DA9">
              <w:rPr>
                <w:noProof/>
                <w:webHidden/>
              </w:rPr>
              <w:tab/>
            </w:r>
            <w:r w:rsidR="00736DA9">
              <w:rPr>
                <w:noProof/>
                <w:webHidden/>
              </w:rPr>
              <w:fldChar w:fldCharType="begin"/>
            </w:r>
            <w:r w:rsidR="00736DA9">
              <w:rPr>
                <w:noProof/>
                <w:webHidden/>
              </w:rPr>
              <w:instrText xml:space="preserve"> PAGEREF _Toc162267003 \h </w:instrText>
            </w:r>
            <w:r w:rsidR="00736DA9">
              <w:rPr>
                <w:noProof/>
                <w:webHidden/>
              </w:rPr>
            </w:r>
            <w:r w:rsidR="00736DA9">
              <w:rPr>
                <w:noProof/>
                <w:webHidden/>
              </w:rPr>
              <w:fldChar w:fldCharType="separate"/>
            </w:r>
            <w:r w:rsidR="00736DA9">
              <w:rPr>
                <w:noProof/>
                <w:webHidden/>
              </w:rPr>
              <w:t>40</w:t>
            </w:r>
            <w:r w:rsidR="00736DA9">
              <w:rPr>
                <w:noProof/>
                <w:webHidden/>
              </w:rPr>
              <w:fldChar w:fldCharType="end"/>
            </w:r>
          </w:hyperlink>
        </w:p>
        <w:p w14:paraId="74490A5C" w14:textId="59DD3EC1" w:rsidR="00736DA9" w:rsidRDefault="00000000">
          <w:pPr>
            <w:pStyle w:val="TOC2"/>
            <w:tabs>
              <w:tab w:val="right" w:pos="9350"/>
            </w:tabs>
            <w:rPr>
              <w:rFonts w:eastAsiaTheme="minorEastAsia" w:cstheme="minorBidi"/>
              <w:b w:val="0"/>
              <w:bCs w:val="0"/>
              <w:noProof/>
              <w:sz w:val="24"/>
              <w:szCs w:val="24"/>
            </w:rPr>
          </w:pPr>
          <w:hyperlink w:anchor="_Toc162267004" w:history="1">
            <w:r w:rsidR="00736DA9" w:rsidRPr="004372B1">
              <w:rPr>
                <w:rStyle w:val="Hyperlink"/>
                <w:noProof/>
              </w:rPr>
              <w:t>Chapter 3: Community Voices</w:t>
            </w:r>
            <w:r w:rsidR="00736DA9">
              <w:rPr>
                <w:noProof/>
                <w:webHidden/>
              </w:rPr>
              <w:tab/>
            </w:r>
            <w:r w:rsidR="00736DA9">
              <w:rPr>
                <w:noProof/>
                <w:webHidden/>
              </w:rPr>
              <w:fldChar w:fldCharType="begin"/>
            </w:r>
            <w:r w:rsidR="00736DA9">
              <w:rPr>
                <w:noProof/>
                <w:webHidden/>
              </w:rPr>
              <w:instrText xml:space="preserve"> PAGEREF _Toc162267004 \h </w:instrText>
            </w:r>
            <w:r w:rsidR="00736DA9">
              <w:rPr>
                <w:noProof/>
                <w:webHidden/>
              </w:rPr>
            </w:r>
            <w:r w:rsidR="00736DA9">
              <w:rPr>
                <w:noProof/>
                <w:webHidden/>
              </w:rPr>
              <w:fldChar w:fldCharType="separate"/>
            </w:r>
            <w:r w:rsidR="00736DA9">
              <w:rPr>
                <w:noProof/>
                <w:webHidden/>
              </w:rPr>
              <w:t>41</w:t>
            </w:r>
            <w:r w:rsidR="00736DA9">
              <w:rPr>
                <w:noProof/>
                <w:webHidden/>
              </w:rPr>
              <w:fldChar w:fldCharType="end"/>
            </w:r>
          </w:hyperlink>
        </w:p>
        <w:p w14:paraId="311F6C60" w14:textId="452DB534" w:rsidR="00736DA9" w:rsidRDefault="00000000">
          <w:pPr>
            <w:pStyle w:val="TOC3"/>
            <w:tabs>
              <w:tab w:val="right" w:pos="9350"/>
            </w:tabs>
            <w:rPr>
              <w:rFonts w:eastAsiaTheme="minorEastAsia" w:cstheme="minorBidi"/>
              <w:noProof/>
              <w:sz w:val="24"/>
              <w:szCs w:val="24"/>
            </w:rPr>
          </w:pPr>
          <w:hyperlink w:anchor="_Toc162267005" w:history="1">
            <w:r w:rsidR="00736DA9" w:rsidRPr="004372B1">
              <w:rPr>
                <w:rStyle w:val="Hyperlink"/>
                <w:noProof/>
              </w:rPr>
              <w:t>Community Voices</w:t>
            </w:r>
            <w:r w:rsidR="00736DA9">
              <w:rPr>
                <w:noProof/>
                <w:webHidden/>
              </w:rPr>
              <w:tab/>
            </w:r>
            <w:r w:rsidR="00736DA9">
              <w:rPr>
                <w:noProof/>
                <w:webHidden/>
              </w:rPr>
              <w:fldChar w:fldCharType="begin"/>
            </w:r>
            <w:r w:rsidR="00736DA9">
              <w:rPr>
                <w:noProof/>
                <w:webHidden/>
              </w:rPr>
              <w:instrText xml:space="preserve"> PAGEREF _Toc162267005 \h </w:instrText>
            </w:r>
            <w:r w:rsidR="00736DA9">
              <w:rPr>
                <w:noProof/>
                <w:webHidden/>
              </w:rPr>
            </w:r>
            <w:r w:rsidR="00736DA9">
              <w:rPr>
                <w:noProof/>
                <w:webHidden/>
              </w:rPr>
              <w:fldChar w:fldCharType="separate"/>
            </w:r>
            <w:r w:rsidR="00736DA9">
              <w:rPr>
                <w:noProof/>
                <w:webHidden/>
              </w:rPr>
              <w:t>41</w:t>
            </w:r>
            <w:r w:rsidR="00736DA9">
              <w:rPr>
                <w:noProof/>
                <w:webHidden/>
              </w:rPr>
              <w:fldChar w:fldCharType="end"/>
            </w:r>
          </w:hyperlink>
        </w:p>
        <w:p w14:paraId="1D8D6995" w14:textId="68D64764" w:rsidR="00736DA9" w:rsidRDefault="00000000">
          <w:pPr>
            <w:pStyle w:val="TOC3"/>
            <w:tabs>
              <w:tab w:val="right" w:pos="9350"/>
            </w:tabs>
            <w:rPr>
              <w:rFonts w:eastAsiaTheme="minorEastAsia" w:cstheme="minorBidi"/>
              <w:noProof/>
              <w:sz w:val="24"/>
              <w:szCs w:val="24"/>
            </w:rPr>
          </w:pPr>
          <w:hyperlink w:anchor="_Toc162267006" w:history="1">
            <w:r w:rsidR="00736DA9" w:rsidRPr="004372B1">
              <w:rPr>
                <w:rStyle w:val="Hyperlink"/>
                <w:noProof/>
              </w:rPr>
              <w:t>Methods</w:t>
            </w:r>
            <w:r w:rsidR="00736DA9">
              <w:rPr>
                <w:noProof/>
                <w:webHidden/>
              </w:rPr>
              <w:tab/>
            </w:r>
            <w:r w:rsidR="00736DA9">
              <w:rPr>
                <w:noProof/>
                <w:webHidden/>
              </w:rPr>
              <w:fldChar w:fldCharType="begin"/>
            </w:r>
            <w:r w:rsidR="00736DA9">
              <w:rPr>
                <w:noProof/>
                <w:webHidden/>
              </w:rPr>
              <w:instrText xml:space="preserve"> PAGEREF _Toc162267006 \h </w:instrText>
            </w:r>
            <w:r w:rsidR="00736DA9">
              <w:rPr>
                <w:noProof/>
                <w:webHidden/>
              </w:rPr>
            </w:r>
            <w:r w:rsidR="00736DA9">
              <w:rPr>
                <w:noProof/>
                <w:webHidden/>
              </w:rPr>
              <w:fldChar w:fldCharType="separate"/>
            </w:r>
            <w:r w:rsidR="00736DA9">
              <w:rPr>
                <w:noProof/>
                <w:webHidden/>
              </w:rPr>
              <w:t>41</w:t>
            </w:r>
            <w:r w:rsidR="00736DA9">
              <w:rPr>
                <w:noProof/>
                <w:webHidden/>
              </w:rPr>
              <w:fldChar w:fldCharType="end"/>
            </w:r>
          </w:hyperlink>
        </w:p>
        <w:p w14:paraId="55183046" w14:textId="02330C1E" w:rsidR="00736DA9" w:rsidRDefault="00000000">
          <w:pPr>
            <w:pStyle w:val="TOC4"/>
            <w:tabs>
              <w:tab w:val="right" w:pos="9350"/>
            </w:tabs>
            <w:rPr>
              <w:rFonts w:eastAsiaTheme="minorEastAsia" w:cstheme="minorBidi"/>
              <w:noProof/>
              <w:sz w:val="24"/>
              <w:szCs w:val="24"/>
            </w:rPr>
          </w:pPr>
          <w:hyperlink w:anchor="_Toc162267007" w:history="1">
            <w:r w:rsidR="00736DA9" w:rsidRPr="004372B1">
              <w:rPr>
                <w:rStyle w:val="Hyperlink"/>
                <w:noProof/>
              </w:rPr>
              <w:t>Table 3.1: Data Sources.</w:t>
            </w:r>
            <w:r w:rsidR="00736DA9">
              <w:rPr>
                <w:noProof/>
                <w:webHidden/>
              </w:rPr>
              <w:tab/>
            </w:r>
            <w:r w:rsidR="00736DA9">
              <w:rPr>
                <w:noProof/>
                <w:webHidden/>
              </w:rPr>
              <w:fldChar w:fldCharType="begin"/>
            </w:r>
            <w:r w:rsidR="00736DA9">
              <w:rPr>
                <w:noProof/>
                <w:webHidden/>
              </w:rPr>
              <w:instrText xml:space="preserve"> PAGEREF _Toc162267007 \h </w:instrText>
            </w:r>
            <w:r w:rsidR="00736DA9">
              <w:rPr>
                <w:noProof/>
                <w:webHidden/>
              </w:rPr>
            </w:r>
            <w:r w:rsidR="00736DA9">
              <w:rPr>
                <w:noProof/>
                <w:webHidden/>
              </w:rPr>
              <w:fldChar w:fldCharType="separate"/>
            </w:r>
            <w:r w:rsidR="00736DA9">
              <w:rPr>
                <w:noProof/>
                <w:webHidden/>
              </w:rPr>
              <w:t>42</w:t>
            </w:r>
            <w:r w:rsidR="00736DA9">
              <w:rPr>
                <w:noProof/>
                <w:webHidden/>
              </w:rPr>
              <w:fldChar w:fldCharType="end"/>
            </w:r>
          </w:hyperlink>
        </w:p>
        <w:p w14:paraId="1C00E1A5" w14:textId="5F89AB8B" w:rsidR="00736DA9" w:rsidRDefault="00000000">
          <w:pPr>
            <w:pStyle w:val="TOC4"/>
            <w:tabs>
              <w:tab w:val="right" w:pos="9350"/>
            </w:tabs>
            <w:rPr>
              <w:rFonts w:eastAsiaTheme="minorEastAsia" w:cstheme="minorBidi"/>
              <w:noProof/>
              <w:sz w:val="24"/>
              <w:szCs w:val="24"/>
            </w:rPr>
          </w:pPr>
          <w:hyperlink w:anchor="_Toc162267008" w:history="1">
            <w:r w:rsidR="00736DA9" w:rsidRPr="004372B1">
              <w:rPr>
                <w:rStyle w:val="Hyperlink"/>
                <w:noProof/>
              </w:rPr>
              <w:t>Table 3.2: Stakeholder Interviews.</w:t>
            </w:r>
            <w:r w:rsidR="00736DA9">
              <w:rPr>
                <w:noProof/>
                <w:webHidden/>
              </w:rPr>
              <w:tab/>
            </w:r>
            <w:r w:rsidR="00736DA9">
              <w:rPr>
                <w:noProof/>
                <w:webHidden/>
              </w:rPr>
              <w:fldChar w:fldCharType="begin"/>
            </w:r>
            <w:r w:rsidR="00736DA9">
              <w:rPr>
                <w:noProof/>
                <w:webHidden/>
              </w:rPr>
              <w:instrText xml:space="preserve"> PAGEREF _Toc162267008 \h </w:instrText>
            </w:r>
            <w:r w:rsidR="00736DA9">
              <w:rPr>
                <w:noProof/>
                <w:webHidden/>
              </w:rPr>
            </w:r>
            <w:r w:rsidR="00736DA9">
              <w:rPr>
                <w:noProof/>
                <w:webHidden/>
              </w:rPr>
              <w:fldChar w:fldCharType="separate"/>
            </w:r>
            <w:r w:rsidR="00736DA9">
              <w:rPr>
                <w:noProof/>
                <w:webHidden/>
              </w:rPr>
              <w:t>42</w:t>
            </w:r>
            <w:r w:rsidR="00736DA9">
              <w:rPr>
                <w:noProof/>
                <w:webHidden/>
              </w:rPr>
              <w:fldChar w:fldCharType="end"/>
            </w:r>
          </w:hyperlink>
        </w:p>
        <w:p w14:paraId="68DD4637" w14:textId="68418111" w:rsidR="00736DA9" w:rsidRDefault="00000000">
          <w:pPr>
            <w:pStyle w:val="TOC4"/>
            <w:tabs>
              <w:tab w:val="right" w:pos="9350"/>
            </w:tabs>
            <w:rPr>
              <w:rFonts w:eastAsiaTheme="minorEastAsia" w:cstheme="minorBidi"/>
              <w:noProof/>
              <w:sz w:val="24"/>
              <w:szCs w:val="24"/>
            </w:rPr>
          </w:pPr>
          <w:hyperlink w:anchor="_Toc162267009" w:history="1">
            <w:r w:rsidR="00736DA9" w:rsidRPr="004372B1">
              <w:rPr>
                <w:rStyle w:val="Hyperlink"/>
                <w:noProof/>
              </w:rPr>
              <w:t>Table 3.3: Forces of Change Survey.</w:t>
            </w:r>
            <w:r w:rsidR="00736DA9">
              <w:rPr>
                <w:noProof/>
                <w:webHidden/>
              </w:rPr>
              <w:tab/>
            </w:r>
            <w:r w:rsidR="00736DA9">
              <w:rPr>
                <w:noProof/>
                <w:webHidden/>
              </w:rPr>
              <w:fldChar w:fldCharType="begin"/>
            </w:r>
            <w:r w:rsidR="00736DA9">
              <w:rPr>
                <w:noProof/>
                <w:webHidden/>
              </w:rPr>
              <w:instrText xml:space="preserve"> PAGEREF _Toc162267009 \h </w:instrText>
            </w:r>
            <w:r w:rsidR="00736DA9">
              <w:rPr>
                <w:noProof/>
                <w:webHidden/>
              </w:rPr>
            </w:r>
            <w:r w:rsidR="00736DA9">
              <w:rPr>
                <w:noProof/>
                <w:webHidden/>
              </w:rPr>
              <w:fldChar w:fldCharType="separate"/>
            </w:r>
            <w:r w:rsidR="00736DA9">
              <w:rPr>
                <w:noProof/>
                <w:webHidden/>
              </w:rPr>
              <w:t>42</w:t>
            </w:r>
            <w:r w:rsidR="00736DA9">
              <w:rPr>
                <w:noProof/>
                <w:webHidden/>
              </w:rPr>
              <w:fldChar w:fldCharType="end"/>
            </w:r>
          </w:hyperlink>
        </w:p>
        <w:p w14:paraId="0BDB8C91" w14:textId="6B99FE57" w:rsidR="00736DA9" w:rsidRDefault="00000000">
          <w:pPr>
            <w:pStyle w:val="TOC4"/>
            <w:tabs>
              <w:tab w:val="right" w:pos="9350"/>
            </w:tabs>
            <w:rPr>
              <w:rFonts w:eastAsiaTheme="minorEastAsia" w:cstheme="minorBidi"/>
              <w:noProof/>
              <w:sz w:val="24"/>
              <w:szCs w:val="24"/>
            </w:rPr>
          </w:pPr>
          <w:hyperlink w:anchor="_Toc162267010" w:history="1">
            <w:r w:rsidR="00736DA9" w:rsidRPr="004372B1">
              <w:rPr>
                <w:rStyle w:val="Hyperlink"/>
                <w:noProof/>
              </w:rPr>
              <w:t>Table 3.4: Community Listening Sessions, a total of 29.</w:t>
            </w:r>
            <w:r w:rsidR="00736DA9">
              <w:rPr>
                <w:noProof/>
                <w:webHidden/>
              </w:rPr>
              <w:tab/>
            </w:r>
            <w:r w:rsidR="00736DA9">
              <w:rPr>
                <w:noProof/>
                <w:webHidden/>
              </w:rPr>
              <w:fldChar w:fldCharType="begin"/>
            </w:r>
            <w:r w:rsidR="00736DA9">
              <w:rPr>
                <w:noProof/>
                <w:webHidden/>
              </w:rPr>
              <w:instrText xml:space="preserve"> PAGEREF _Toc162267010 \h </w:instrText>
            </w:r>
            <w:r w:rsidR="00736DA9">
              <w:rPr>
                <w:noProof/>
                <w:webHidden/>
              </w:rPr>
            </w:r>
            <w:r w:rsidR="00736DA9">
              <w:rPr>
                <w:noProof/>
                <w:webHidden/>
              </w:rPr>
              <w:fldChar w:fldCharType="separate"/>
            </w:r>
            <w:r w:rsidR="00736DA9">
              <w:rPr>
                <w:noProof/>
                <w:webHidden/>
              </w:rPr>
              <w:t>43</w:t>
            </w:r>
            <w:r w:rsidR="00736DA9">
              <w:rPr>
                <w:noProof/>
                <w:webHidden/>
              </w:rPr>
              <w:fldChar w:fldCharType="end"/>
            </w:r>
          </w:hyperlink>
        </w:p>
        <w:p w14:paraId="00AC4F53" w14:textId="350F28E8" w:rsidR="00736DA9" w:rsidRDefault="00000000">
          <w:pPr>
            <w:pStyle w:val="TOC4"/>
            <w:tabs>
              <w:tab w:val="right" w:pos="9350"/>
            </w:tabs>
            <w:rPr>
              <w:rFonts w:eastAsiaTheme="minorEastAsia" w:cstheme="minorBidi"/>
              <w:noProof/>
              <w:sz w:val="24"/>
              <w:szCs w:val="24"/>
            </w:rPr>
          </w:pPr>
          <w:hyperlink w:anchor="_Toc162267011" w:history="1">
            <w:r w:rsidR="00736DA9" w:rsidRPr="004372B1">
              <w:rPr>
                <w:rStyle w:val="Hyperlink"/>
                <w:noProof/>
              </w:rPr>
              <w:t>Table 3.5: Codebook Major Themes and Subthemes.</w:t>
            </w:r>
            <w:r w:rsidR="00736DA9">
              <w:rPr>
                <w:noProof/>
                <w:webHidden/>
              </w:rPr>
              <w:tab/>
            </w:r>
            <w:r w:rsidR="00736DA9">
              <w:rPr>
                <w:noProof/>
                <w:webHidden/>
              </w:rPr>
              <w:fldChar w:fldCharType="begin"/>
            </w:r>
            <w:r w:rsidR="00736DA9">
              <w:rPr>
                <w:noProof/>
                <w:webHidden/>
              </w:rPr>
              <w:instrText xml:space="preserve"> PAGEREF _Toc162267011 \h </w:instrText>
            </w:r>
            <w:r w:rsidR="00736DA9">
              <w:rPr>
                <w:noProof/>
                <w:webHidden/>
              </w:rPr>
            </w:r>
            <w:r w:rsidR="00736DA9">
              <w:rPr>
                <w:noProof/>
                <w:webHidden/>
              </w:rPr>
              <w:fldChar w:fldCharType="separate"/>
            </w:r>
            <w:r w:rsidR="00736DA9">
              <w:rPr>
                <w:noProof/>
                <w:webHidden/>
              </w:rPr>
              <w:t>44</w:t>
            </w:r>
            <w:r w:rsidR="00736DA9">
              <w:rPr>
                <w:noProof/>
                <w:webHidden/>
              </w:rPr>
              <w:fldChar w:fldCharType="end"/>
            </w:r>
          </w:hyperlink>
        </w:p>
        <w:p w14:paraId="6D6BE2EA" w14:textId="62C336BB" w:rsidR="00736DA9" w:rsidRDefault="00000000">
          <w:pPr>
            <w:pStyle w:val="TOC3"/>
            <w:tabs>
              <w:tab w:val="right" w:pos="9350"/>
            </w:tabs>
            <w:rPr>
              <w:rFonts w:eastAsiaTheme="minorEastAsia" w:cstheme="minorBidi"/>
              <w:noProof/>
              <w:sz w:val="24"/>
              <w:szCs w:val="24"/>
            </w:rPr>
          </w:pPr>
          <w:hyperlink w:anchor="_Toc162267012" w:history="1">
            <w:r w:rsidR="00736DA9" w:rsidRPr="004372B1">
              <w:rPr>
                <w:rStyle w:val="Hyperlink"/>
                <w:noProof/>
              </w:rPr>
              <w:t>Results</w:t>
            </w:r>
            <w:r w:rsidR="00736DA9">
              <w:rPr>
                <w:noProof/>
                <w:webHidden/>
              </w:rPr>
              <w:tab/>
            </w:r>
            <w:r w:rsidR="00736DA9">
              <w:rPr>
                <w:noProof/>
                <w:webHidden/>
              </w:rPr>
              <w:fldChar w:fldCharType="begin"/>
            </w:r>
            <w:r w:rsidR="00736DA9">
              <w:rPr>
                <w:noProof/>
                <w:webHidden/>
              </w:rPr>
              <w:instrText xml:space="preserve"> PAGEREF _Toc162267012 \h </w:instrText>
            </w:r>
            <w:r w:rsidR="00736DA9">
              <w:rPr>
                <w:noProof/>
                <w:webHidden/>
              </w:rPr>
            </w:r>
            <w:r w:rsidR="00736DA9">
              <w:rPr>
                <w:noProof/>
                <w:webHidden/>
              </w:rPr>
              <w:fldChar w:fldCharType="separate"/>
            </w:r>
            <w:r w:rsidR="00736DA9">
              <w:rPr>
                <w:noProof/>
                <w:webHidden/>
              </w:rPr>
              <w:t>45</w:t>
            </w:r>
            <w:r w:rsidR="00736DA9">
              <w:rPr>
                <w:noProof/>
                <w:webHidden/>
              </w:rPr>
              <w:fldChar w:fldCharType="end"/>
            </w:r>
          </w:hyperlink>
        </w:p>
        <w:p w14:paraId="5EED1AF3" w14:textId="2A31B907" w:rsidR="00736DA9" w:rsidRDefault="00000000">
          <w:pPr>
            <w:pStyle w:val="TOC4"/>
            <w:tabs>
              <w:tab w:val="right" w:pos="9350"/>
            </w:tabs>
            <w:rPr>
              <w:rFonts w:eastAsiaTheme="minorEastAsia" w:cstheme="minorBidi"/>
              <w:noProof/>
              <w:sz w:val="24"/>
              <w:szCs w:val="24"/>
            </w:rPr>
          </w:pPr>
          <w:hyperlink w:anchor="_Toc162267013" w:history="1">
            <w:r w:rsidR="00736DA9" w:rsidRPr="004372B1">
              <w:rPr>
                <w:rStyle w:val="Hyperlink"/>
                <w:noProof/>
              </w:rPr>
              <w:t>Result #1: Community Health Changes</w:t>
            </w:r>
            <w:r w:rsidR="00736DA9">
              <w:rPr>
                <w:noProof/>
                <w:webHidden/>
              </w:rPr>
              <w:tab/>
            </w:r>
            <w:r w:rsidR="00736DA9">
              <w:rPr>
                <w:noProof/>
                <w:webHidden/>
              </w:rPr>
              <w:fldChar w:fldCharType="begin"/>
            </w:r>
            <w:r w:rsidR="00736DA9">
              <w:rPr>
                <w:noProof/>
                <w:webHidden/>
              </w:rPr>
              <w:instrText xml:space="preserve"> PAGEREF _Toc162267013 \h </w:instrText>
            </w:r>
            <w:r w:rsidR="00736DA9">
              <w:rPr>
                <w:noProof/>
                <w:webHidden/>
              </w:rPr>
            </w:r>
            <w:r w:rsidR="00736DA9">
              <w:rPr>
                <w:noProof/>
                <w:webHidden/>
              </w:rPr>
              <w:fldChar w:fldCharType="separate"/>
            </w:r>
            <w:r w:rsidR="00736DA9">
              <w:rPr>
                <w:noProof/>
                <w:webHidden/>
              </w:rPr>
              <w:t>46</w:t>
            </w:r>
            <w:r w:rsidR="00736DA9">
              <w:rPr>
                <w:noProof/>
                <w:webHidden/>
              </w:rPr>
              <w:fldChar w:fldCharType="end"/>
            </w:r>
          </w:hyperlink>
        </w:p>
        <w:p w14:paraId="492FCFE4" w14:textId="4A26A1D6" w:rsidR="00736DA9" w:rsidRDefault="00000000">
          <w:pPr>
            <w:pStyle w:val="TOC4"/>
            <w:tabs>
              <w:tab w:val="right" w:pos="9350"/>
            </w:tabs>
            <w:rPr>
              <w:rFonts w:eastAsiaTheme="minorEastAsia" w:cstheme="minorBidi"/>
              <w:noProof/>
              <w:sz w:val="24"/>
              <w:szCs w:val="24"/>
            </w:rPr>
          </w:pPr>
          <w:hyperlink w:anchor="_Toc162267014" w:history="1">
            <w:r w:rsidR="00736DA9" w:rsidRPr="004372B1">
              <w:rPr>
                <w:rStyle w:val="Hyperlink"/>
                <w:noProof/>
              </w:rPr>
              <w:t>Result #2: Top Health Issues</w:t>
            </w:r>
            <w:r w:rsidR="00736DA9">
              <w:rPr>
                <w:noProof/>
                <w:webHidden/>
              </w:rPr>
              <w:tab/>
            </w:r>
            <w:r w:rsidR="00736DA9">
              <w:rPr>
                <w:noProof/>
                <w:webHidden/>
              </w:rPr>
              <w:fldChar w:fldCharType="begin"/>
            </w:r>
            <w:r w:rsidR="00736DA9">
              <w:rPr>
                <w:noProof/>
                <w:webHidden/>
              </w:rPr>
              <w:instrText xml:space="preserve"> PAGEREF _Toc162267014 \h </w:instrText>
            </w:r>
            <w:r w:rsidR="00736DA9">
              <w:rPr>
                <w:noProof/>
                <w:webHidden/>
              </w:rPr>
            </w:r>
            <w:r w:rsidR="00736DA9">
              <w:rPr>
                <w:noProof/>
                <w:webHidden/>
              </w:rPr>
              <w:fldChar w:fldCharType="separate"/>
            </w:r>
            <w:r w:rsidR="00736DA9">
              <w:rPr>
                <w:noProof/>
                <w:webHidden/>
              </w:rPr>
              <w:t>48</w:t>
            </w:r>
            <w:r w:rsidR="00736DA9">
              <w:rPr>
                <w:noProof/>
                <w:webHidden/>
              </w:rPr>
              <w:fldChar w:fldCharType="end"/>
            </w:r>
          </w:hyperlink>
        </w:p>
        <w:p w14:paraId="4A474215" w14:textId="27DE2643" w:rsidR="00736DA9" w:rsidRDefault="00000000">
          <w:pPr>
            <w:pStyle w:val="TOC4"/>
            <w:tabs>
              <w:tab w:val="right" w:pos="9350"/>
            </w:tabs>
            <w:rPr>
              <w:rFonts w:eastAsiaTheme="minorEastAsia" w:cstheme="minorBidi"/>
              <w:noProof/>
              <w:sz w:val="24"/>
              <w:szCs w:val="24"/>
            </w:rPr>
          </w:pPr>
          <w:hyperlink w:anchor="_Toc162267015" w:history="1">
            <w:r w:rsidR="00736DA9" w:rsidRPr="004372B1">
              <w:rPr>
                <w:rStyle w:val="Hyperlink"/>
                <w:noProof/>
              </w:rPr>
              <w:t>Table 3.6: Top Health Issues.</w:t>
            </w:r>
            <w:r w:rsidR="00736DA9">
              <w:rPr>
                <w:noProof/>
                <w:webHidden/>
              </w:rPr>
              <w:tab/>
            </w:r>
            <w:r w:rsidR="00736DA9">
              <w:rPr>
                <w:noProof/>
                <w:webHidden/>
              </w:rPr>
              <w:fldChar w:fldCharType="begin"/>
            </w:r>
            <w:r w:rsidR="00736DA9">
              <w:rPr>
                <w:noProof/>
                <w:webHidden/>
              </w:rPr>
              <w:instrText xml:space="preserve"> PAGEREF _Toc162267015 \h </w:instrText>
            </w:r>
            <w:r w:rsidR="00736DA9">
              <w:rPr>
                <w:noProof/>
                <w:webHidden/>
              </w:rPr>
            </w:r>
            <w:r w:rsidR="00736DA9">
              <w:rPr>
                <w:noProof/>
                <w:webHidden/>
              </w:rPr>
              <w:fldChar w:fldCharType="separate"/>
            </w:r>
            <w:r w:rsidR="00736DA9">
              <w:rPr>
                <w:noProof/>
                <w:webHidden/>
              </w:rPr>
              <w:t>48</w:t>
            </w:r>
            <w:r w:rsidR="00736DA9">
              <w:rPr>
                <w:noProof/>
                <w:webHidden/>
              </w:rPr>
              <w:fldChar w:fldCharType="end"/>
            </w:r>
          </w:hyperlink>
        </w:p>
        <w:p w14:paraId="2ABEFAD1" w14:textId="2599AEDC" w:rsidR="00736DA9" w:rsidRDefault="00000000">
          <w:pPr>
            <w:pStyle w:val="TOC4"/>
            <w:tabs>
              <w:tab w:val="right" w:pos="9350"/>
            </w:tabs>
            <w:rPr>
              <w:rFonts w:eastAsiaTheme="minorEastAsia" w:cstheme="minorBidi"/>
              <w:noProof/>
              <w:sz w:val="24"/>
              <w:szCs w:val="24"/>
            </w:rPr>
          </w:pPr>
          <w:hyperlink w:anchor="_Toc162267016" w:history="1">
            <w:r w:rsidR="00736DA9" w:rsidRPr="004372B1">
              <w:rPr>
                <w:rStyle w:val="Hyperlink"/>
                <w:noProof/>
              </w:rPr>
              <w:t>Figure 3.1: Top SC Issues Identified.</w:t>
            </w:r>
            <w:r w:rsidR="00736DA9">
              <w:rPr>
                <w:noProof/>
                <w:webHidden/>
              </w:rPr>
              <w:tab/>
            </w:r>
            <w:r w:rsidR="00736DA9">
              <w:rPr>
                <w:noProof/>
                <w:webHidden/>
              </w:rPr>
              <w:fldChar w:fldCharType="begin"/>
            </w:r>
            <w:r w:rsidR="00736DA9">
              <w:rPr>
                <w:noProof/>
                <w:webHidden/>
              </w:rPr>
              <w:instrText xml:space="preserve"> PAGEREF _Toc162267016 \h </w:instrText>
            </w:r>
            <w:r w:rsidR="00736DA9">
              <w:rPr>
                <w:noProof/>
                <w:webHidden/>
              </w:rPr>
            </w:r>
            <w:r w:rsidR="00736DA9">
              <w:rPr>
                <w:noProof/>
                <w:webHidden/>
              </w:rPr>
              <w:fldChar w:fldCharType="separate"/>
            </w:r>
            <w:r w:rsidR="00736DA9">
              <w:rPr>
                <w:noProof/>
                <w:webHidden/>
              </w:rPr>
              <w:t>50</w:t>
            </w:r>
            <w:r w:rsidR="00736DA9">
              <w:rPr>
                <w:noProof/>
                <w:webHidden/>
              </w:rPr>
              <w:fldChar w:fldCharType="end"/>
            </w:r>
          </w:hyperlink>
        </w:p>
        <w:p w14:paraId="7BA8FFEF" w14:textId="0656D632" w:rsidR="00736DA9" w:rsidRDefault="00000000">
          <w:pPr>
            <w:pStyle w:val="TOC4"/>
            <w:tabs>
              <w:tab w:val="right" w:pos="9350"/>
            </w:tabs>
            <w:rPr>
              <w:rFonts w:eastAsiaTheme="minorEastAsia" w:cstheme="minorBidi"/>
              <w:noProof/>
              <w:sz w:val="24"/>
              <w:szCs w:val="24"/>
            </w:rPr>
          </w:pPr>
          <w:hyperlink w:anchor="_Toc162267017" w:history="1">
            <w:r w:rsidR="00736DA9" w:rsidRPr="004372B1">
              <w:rPr>
                <w:rStyle w:val="Hyperlink"/>
                <w:noProof/>
              </w:rPr>
              <w:t>Result #3: Underlying Causes of Health Issues</w:t>
            </w:r>
            <w:r w:rsidR="00736DA9">
              <w:rPr>
                <w:noProof/>
                <w:webHidden/>
              </w:rPr>
              <w:tab/>
            </w:r>
            <w:r w:rsidR="00736DA9">
              <w:rPr>
                <w:noProof/>
                <w:webHidden/>
              </w:rPr>
              <w:fldChar w:fldCharType="begin"/>
            </w:r>
            <w:r w:rsidR="00736DA9">
              <w:rPr>
                <w:noProof/>
                <w:webHidden/>
              </w:rPr>
              <w:instrText xml:space="preserve"> PAGEREF _Toc162267017 \h </w:instrText>
            </w:r>
            <w:r w:rsidR="00736DA9">
              <w:rPr>
                <w:noProof/>
                <w:webHidden/>
              </w:rPr>
            </w:r>
            <w:r w:rsidR="00736DA9">
              <w:rPr>
                <w:noProof/>
                <w:webHidden/>
              </w:rPr>
              <w:fldChar w:fldCharType="separate"/>
            </w:r>
            <w:r w:rsidR="00736DA9">
              <w:rPr>
                <w:noProof/>
                <w:webHidden/>
              </w:rPr>
              <w:t>50</w:t>
            </w:r>
            <w:r w:rsidR="00736DA9">
              <w:rPr>
                <w:noProof/>
                <w:webHidden/>
              </w:rPr>
              <w:fldChar w:fldCharType="end"/>
            </w:r>
          </w:hyperlink>
        </w:p>
        <w:p w14:paraId="1D6F7621" w14:textId="6DD05EB1" w:rsidR="00736DA9" w:rsidRDefault="00000000">
          <w:pPr>
            <w:pStyle w:val="TOC4"/>
            <w:tabs>
              <w:tab w:val="right" w:pos="9350"/>
            </w:tabs>
            <w:rPr>
              <w:rFonts w:eastAsiaTheme="minorEastAsia" w:cstheme="minorBidi"/>
              <w:noProof/>
              <w:sz w:val="24"/>
              <w:szCs w:val="24"/>
            </w:rPr>
          </w:pPr>
          <w:hyperlink w:anchor="_Toc162267018" w:history="1">
            <w:r w:rsidR="00736DA9" w:rsidRPr="004372B1">
              <w:rPr>
                <w:rStyle w:val="Hyperlink"/>
                <w:noProof/>
              </w:rPr>
              <w:t>Figure 3.2: Underlying Causes of SC Health Issues.</w:t>
            </w:r>
            <w:r w:rsidR="00736DA9">
              <w:rPr>
                <w:noProof/>
                <w:webHidden/>
              </w:rPr>
              <w:tab/>
            </w:r>
            <w:r w:rsidR="00736DA9">
              <w:rPr>
                <w:noProof/>
                <w:webHidden/>
              </w:rPr>
              <w:fldChar w:fldCharType="begin"/>
            </w:r>
            <w:r w:rsidR="00736DA9">
              <w:rPr>
                <w:noProof/>
                <w:webHidden/>
              </w:rPr>
              <w:instrText xml:space="preserve"> PAGEREF _Toc162267018 \h </w:instrText>
            </w:r>
            <w:r w:rsidR="00736DA9">
              <w:rPr>
                <w:noProof/>
                <w:webHidden/>
              </w:rPr>
            </w:r>
            <w:r w:rsidR="00736DA9">
              <w:rPr>
                <w:noProof/>
                <w:webHidden/>
              </w:rPr>
              <w:fldChar w:fldCharType="separate"/>
            </w:r>
            <w:r w:rsidR="00736DA9">
              <w:rPr>
                <w:noProof/>
                <w:webHidden/>
              </w:rPr>
              <w:t>52</w:t>
            </w:r>
            <w:r w:rsidR="00736DA9">
              <w:rPr>
                <w:noProof/>
                <w:webHidden/>
              </w:rPr>
              <w:fldChar w:fldCharType="end"/>
            </w:r>
          </w:hyperlink>
        </w:p>
        <w:p w14:paraId="58137EAB" w14:textId="6ED35C49" w:rsidR="00736DA9" w:rsidRDefault="00000000">
          <w:pPr>
            <w:pStyle w:val="TOC4"/>
            <w:tabs>
              <w:tab w:val="right" w:pos="9350"/>
            </w:tabs>
            <w:rPr>
              <w:rFonts w:eastAsiaTheme="minorEastAsia" w:cstheme="minorBidi"/>
              <w:noProof/>
              <w:sz w:val="24"/>
              <w:szCs w:val="24"/>
            </w:rPr>
          </w:pPr>
          <w:hyperlink w:anchor="_Toc162267019" w:history="1">
            <w:r w:rsidR="00736DA9" w:rsidRPr="004372B1">
              <w:rPr>
                <w:rStyle w:val="Hyperlink"/>
                <w:noProof/>
              </w:rPr>
              <w:t>Result #4: Biggest Challenges in Addressing SC’s Health Issues and Causes</w:t>
            </w:r>
            <w:r w:rsidR="00736DA9">
              <w:rPr>
                <w:noProof/>
                <w:webHidden/>
              </w:rPr>
              <w:tab/>
            </w:r>
            <w:r w:rsidR="00736DA9">
              <w:rPr>
                <w:noProof/>
                <w:webHidden/>
              </w:rPr>
              <w:fldChar w:fldCharType="begin"/>
            </w:r>
            <w:r w:rsidR="00736DA9">
              <w:rPr>
                <w:noProof/>
                <w:webHidden/>
              </w:rPr>
              <w:instrText xml:space="preserve"> PAGEREF _Toc162267019 \h </w:instrText>
            </w:r>
            <w:r w:rsidR="00736DA9">
              <w:rPr>
                <w:noProof/>
                <w:webHidden/>
              </w:rPr>
            </w:r>
            <w:r w:rsidR="00736DA9">
              <w:rPr>
                <w:noProof/>
                <w:webHidden/>
              </w:rPr>
              <w:fldChar w:fldCharType="separate"/>
            </w:r>
            <w:r w:rsidR="00736DA9">
              <w:rPr>
                <w:noProof/>
                <w:webHidden/>
              </w:rPr>
              <w:t>52</w:t>
            </w:r>
            <w:r w:rsidR="00736DA9">
              <w:rPr>
                <w:noProof/>
                <w:webHidden/>
              </w:rPr>
              <w:fldChar w:fldCharType="end"/>
            </w:r>
          </w:hyperlink>
        </w:p>
        <w:p w14:paraId="7EEF462D" w14:textId="588097DC" w:rsidR="00736DA9" w:rsidRDefault="00000000">
          <w:pPr>
            <w:pStyle w:val="TOC4"/>
            <w:tabs>
              <w:tab w:val="right" w:pos="9350"/>
            </w:tabs>
            <w:rPr>
              <w:rFonts w:eastAsiaTheme="minorEastAsia" w:cstheme="minorBidi"/>
              <w:noProof/>
              <w:sz w:val="24"/>
              <w:szCs w:val="24"/>
            </w:rPr>
          </w:pPr>
          <w:hyperlink w:anchor="_Toc162267020" w:history="1">
            <w:r w:rsidR="00736DA9" w:rsidRPr="004372B1">
              <w:rPr>
                <w:rStyle w:val="Hyperlink"/>
                <w:noProof/>
              </w:rPr>
              <w:t>Result #5: Strengths</w:t>
            </w:r>
            <w:r w:rsidR="00736DA9">
              <w:rPr>
                <w:noProof/>
                <w:webHidden/>
              </w:rPr>
              <w:tab/>
            </w:r>
            <w:r w:rsidR="00736DA9">
              <w:rPr>
                <w:noProof/>
                <w:webHidden/>
              </w:rPr>
              <w:fldChar w:fldCharType="begin"/>
            </w:r>
            <w:r w:rsidR="00736DA9">
              <w:rPr>
                <w:noProof/>
                <w:webHidden/>
              </w:rPr>
              <w:instrText xml:space="preserve"> PAGEREF _Toc162267020 \h </w:instrText>
            </w:r>
            <w:r w:rsidR="00736DA9">
              <w:rPr>
                <w:noProof/>
                <w:webHidden/>
              </w:rPr>
            </w:r>
            <w:r w:rsidR="00736DA9">
              <w:rPr>
                <w:noProof/>
                <w:webHidden/>
              </w:rPr>
              <w:fldChar w:fldCharType="separate"/>
            </w:r>
            <w:r w:rsidR="00736DA9">
              <w:rPr>
                <w:noProof/>
                <w:webHidden/>
              </w:rPr>
              <w:t>53</w:t>
            </w:r>
            <w:r w:rsidR="00736DA9">
              <w:rPr>
                <w:noProof/>
                <w:webHidden/>
              </w:rPr>
              <w:fldChar w:fldCharType="end"/>
            </w:r>
          </w:hyperlink>
        </w:p>
        <w:p w14:paraId="3C64274E" w14:textId="65731F9C" w:rsidR="00736DA9" w:rsidRDefault="00000000">
          <w:pPr>
            <w:pStyle w:val="TOC4"/>
            <w:tabs>
              <w:tab w:val="right" w:pos="9350"/>
            </w:tabs>
            <w:rPr>
              <w:rFonts w:eastAsiaTheme="minorEastAsia" w:cstheme="minorBidi"/>
              <w:noProof/>
              <w:sz w:val="24"/>
              <w:szCs w:val="24"/>
            </w:rPr>
          </w:pPr>
          <w:hyperlink w:anchor="_Toc162267021" w:history="1">
            <w:r w:rsidR="00736DA9" w:rsidRPr="004372B1">
              <w:rPr>
                <w:rStyle w:val="Hyperlink"/>
                <w:noProof/>
              </w:rPr>
              <w:t>Result #6: Future Strategies in Addressing SC’s Health Issues and Underlying Causes</w:t>
            </w:r>
            <w:r w:rsidR="00736DA9">
              <w:rPr>
                <w:noProof/>
                <w:webHidden/>
              </w:rPr>
              <w:tab/>
            </w:r>
            <w:r w:rsidR="00736DA9">
              <w:rPr>
                <w:noProof/>
                <w:webHidden/>
              </w:rPr>
              <w:fldChar w:fldCharType="begin"/>
            </w:r>
            <w:r w:rsidR="00736DA9">
              <w:rPr>
                <w:noProof/>
                <w:webHidden/>
              </w:rPr>
              <w:instrText xml:space="preserve"> PAGEREF _Toc162267021 \h </w:instrText>
            </w:r>
            <w:r w:rsidR="00736DA9">
              <w:rPr>
                <w:noProof/>
                <w:webHidden/>
              </w:rPr>
            </w:r>
            <w:r w:rsidR="00736DA9">
              <w:rPr>
                <w:noProof/>
                <w:webHidden/>
              </w:rPr>
              <w:fldChar w:fldCharType="separate"/>
            </w:r>
            <w:r w:rsidR="00736DA9">
              <w:rPr>
                <w:noProof/>
                <w:webHidden/>
              </w:rPr>
              <w:t>55</w:t>
            </w:r>
            <w:r w:rsidR="00736DA9">
              <w:rPr>
                <w:noProof/>
                <w:webHidden/>
              </w:rPr>
              <w:fldChar w:fldCharType="end"/>
            </w:r>
          </w:hyperlink>
        </w:p>
        <w:p w14:paraId="6944B805" w14:textId="7147BBD3" w:rsidR="00736DA9" w:rsidRDefault="00000000">
          <w:pPr>
            <w:pStyle w:val="TOC4"/>
            <w:tabs>
              <w:tab w:val="right" w:pos="9350"/>
            </w:tabs>
            <w:rPr>
              <w:rFonts w:eastAsiaTheme="minorEastAsia" w:cstheme="minorBidi"/>
              <w:noProof/>
              <w:sz w:val="24"/>
              <w:szCs w:val="24"/>
            </w:rPr>
          </w:pPr>
          <w:hyperlink w:anchor="_Toc162267022" w:history="1">
            <w:r w:rsidR="00736DA9" w:rsidRPr="004372B1">
              <w:rPr>
                <w:rStyle w:val="Hyperlink"/>
                <w:noProof/>
              </w:rPr>
              <w:t>Result #7: Addressing Health Issues</w:t>
            </w:r>
            <w:r w:rsidR="00736DA9">
              <w:rPr>
                <w:noProof/>
                <w:webHidden/>
              </w:rPr>
              <w:tab/>
            </w:r>
            <w:r w:rsidR="00736DA9">
              <w:rPr>
                <w:noProof/>
                <w:webHidden/>
              </w:rPr>
              <w:fldChar w:fldCharType="begin"/>
            </w:r>
            <w:r w:rsidR="00736DA9">
              <w:rPr>
                <w:noProof/>
                <w:webHidden/>
              </w:rPr>
              <w:instrText xml:space="preserve"> PAGEREF _Toc162267022 \h </w:instrText>
            </w:r>
            <w:r w:rsidR="00736DA9">
              <w:rPr>
                <w:noProof/>
                <w:webHidden/>
              </w:rPr>
            </w:r>
            <w:r w:rsidR="00736DA9">
              <w:rPr>
                <w:noProof/>
                <w:webHidden/>
              </w:rPr>
              <w:fldChar w:fldCharType="separate"/>
            </w:r>
            <w:r w:rsidR="00736DA9">
              <w:rPr>
                <w:noProof/>
                <w:webHidden/>
              </w:rPr>
              <w:t>56</w:t>
            </w:r>
            <w:r w:rsidR="00736DA9">
              <w:rPr>
                <w:noProof/>
                <w:webHidden/>
              </w:rPr>
              <w:fldChar w:fldCharType="end"/>
            </w:r>
          </w:hyperlink>
        </w:p>
        <w:p w14:paraId="0C548C1C" w14:textId="1A481408" w:rsidR="00736DA9" w:rsidRDefault="00000000">
          <w:pPr>
            <w:pStyle w:val="TOC3"/>
            <w:tabs>
              <w:tab w:val="right" w:pos="9350"/>
            </w:tabs>
            <w:rPr>
              <w:rFonts w:eastAsiaTheme="minorEastAsia" w:cstheme="minorBidi"/>
              <w:noProof/>
              <w:sz w:val="24"/>
              <w:szCs w:val="24"/>
            </w:rPr>
          </w:pPr>
          <w:hyperlink w:anchor="_Toc162267023" w:history="1">
            <w:r w:rsidR="00736DA9" w:rsidRPr="004372B1">
              <w:rPr>
                <w:rStyle w:val="Hyperlink"/>
                <w:noProof/>
              </w:rPr>
              <w:t>Forces of Change Survey Results</w:t>
            </w:r>
            <w:r w:rsidR="00736DA9">
              <w:rPr>
                <w:noProof/>
                <w:webHidden/>
              </w:rPr>
              <w:tab/>
            </w:r>
            <w:r w:rsidR="00736DA9">
              <w:rPr>
                <w:noProof/>
                <w:webHidden/>
              </w:rPr>
              <w:fldChar w:fldCharType="begin"/>
            </w:r>
            <w:r w:rsidR="00736DA9">
              <w:rPr>
                <w:noProof/>
                <w:webHidden/>
              </w:rPr>
              <w:instrText xml:space="preserve"> PAGEREF _Toc162267023 \h </w:instrText>
            </w:r>
            <w:r w:rsidR="00736DA9">
              <w:rPr>
                <w:noProof/>
                <w:webHidden/>
              </w:rPr>
            </w:r>
            <w:r w:rsidR="00736DA9">
              <w:rPr>
                <w:noProof/>
                <w:webHidden/>
              </w:rPr>
              <w:fldChar w:fldCharType="separate"/>
            </w:r>
            <w:r w:rsidR="00736DA9">
              <w:rPr>
                <w:noProof/>
                <w:webHidden/>
              </w:rPr>
              <w:t>57</w:t>
            </w:r>
            <w:r w:rsidR="00736DA9">
              <w:rPr>
                <w:noProof/>
                <w:webHidden/>
              </w:rPr>
              <w:fldChar w:fldCharType="end"/>
            </w:r>
          </w:hyperlink>
        </w:p>
        <w:p w14:paraId="228FBE0E" w14:textId="335515CF" w:rsidR="00736DA9" w:rsidRDefault="00000000">
          <w:pPr>
            <w:pStyle w:val="TOC3"/>
            <w:tabs>
              <w:tab w:val="right" w:pos="9350"/>
            </w:tabs>
            <w:rPr>
              <w:rFonts w:eastAsiaTheme="minorEastAsia" w:cstheme="minorBidi"/>
              <w:noProof/>
              <w:sz w:val="24"/>
              <w:szCs w:val="24"/>
            </w:rPr>
          </w:pPr>
          <w:hyperlink w:anchor="_Toc162267024" w:history="1">
            <w:r w:rsidR="00736DA9" w:rsidRPr="004372B1">
              <w:rPr>
                <w:rStyle w:val="Hyperlink"/>
                <w:noProof/>
              </w:rPr>
              <w:t>What forces are affecting SC?</w:t>
            </w:r>
            <w:r w:rsidR="00736DA9">
              <w:rPr>
                <w:noProof/>
                <w:webHidden/>
              </w:rPr>
              <w:tab/>
            </w:r>
            <w:r w:rsidR="00736DA9">
              <w:rPr>
                <w:noProof/>
                <w:webHidden/>
              </w:rPr>
              <w:fldChar w:fldCharType="begin"/>
            </w:r>
            <w:r w:rsidR="00736DA9">
              <w:rPr>
                <w:noProof/>
                <w:webHidden/>
              </w:rPr>
              <w:instrText xml:space="preserve"> PAGEREF _Toc162267024 \h </w:instrText>
            </w:r>
            <w:r w:rsidR="00736DA9">
              <w:rPr>
                <w:noProof/>
                <w:webHidden/>
              </w:rPr>
            </w:r>
            <w:r w:rsidR="00736DA9">
              <w:rPr>
                <w:noProof/>
                <w:webHidden/>
              </w:rPr>
              <w:fldChar w:fldCharType="separate"/>
            </w:r>
            <w:r w:rsidR="00736DA9">
              <w:rPr>
                <w:noProof/>
                <w:webHidden/>
              </w:rPr>
              <w:t>58</w:t>
            </w:r>
            <w:r w:rsidR="00736DA9">
              <w:rPr>
                <w:noProof/>
                <w:webHidden/>
              </w:rPr>
              <w:fldChar w:fldCharType="end"/>
            </w:r>
          </w:hyperlink>
        </w:p>
        <w:p w14:paraId="7F7AD52E" w14:textId="0D8E4CE8" w:rsidR="00736DA9" w:rsidRDefault="00000000">
          <w:pPr>
            <w:pStyle w:val="TOC3"/>
            <w:tabs>
              <w:tab w:val="right" w:pos="9350"/>
            </w:tabs>
            <w:rPr>
              <w:rFonts w:eastAsiaTheme="minorEastAsia" w:cstheme="minorBidi"/>
              <w:noProof/>
              <w:sz w:val="24"/>
              <w:szCs w:val="24"/>
            </w:rPr>
          </w:pPr>
          <w:hyperlink w:anchor="_Toc162267025" w:history="1">
            <w:r w:rsidR="00736DA9" w:rsidRPr="004372B1">
              <w:rPr>
                <w:rStyle w:val="Hyperlink"/>
                <w:noProof/>
              </w:rPr>
              <w:t>What forces might hinder us from creating a healthier state?</w:t>
            </w:r>
            <w:r w:rsidR="00736DA9">
              <w:rPr>
                <w:noProof/>
                <w:webHidden/>
              </w:rPr>
              <w:tab/>
            </w:r>
            <w:r w:rsidR="00736DA9">
              <w:rPr>
                <w:noProof/>
                <w:webHidden/>
              </w:rPr>
              <w:fldChar w:fldCharType="begin"/>
            </w:r>
            <w:r w:rsidR="00736DA9">
              <w:rPr>
                <w:noProof/>
                <w:webHidden/>
              </w:rPr>
              <w:instrText xml:space="preserve"> PAGEREF _Toc162267025 \h </w:instrText>
            </w:r>
            <w:r w:rsidR="00736DA9">
              <w:rPr>
                <w:noProof/>
                <w:webHidden/>
              </w:rPr>
            </w:r>
            <w:r w:rsidR="00736DA9">
              <w:rPr>
                <w:noProof/>
                <w:webHidden/>
              </w:rPr>
              <w:fldChar w:fldCharType="separate"/>
            </w:r>
            <w:r w:rsidR="00736DA9">
              <w:rPr>
                <w:noProof/>
                <w:webHidden/>
              </w:rPr>
              <w:t>59</w:t>
            </w:r>
            <w:r w:rsidR="00736DA9">
              <w:rPr>
                <w:noProof/>
                <w:webHidden/>
              </w:rPr>
              <w:fldChar w:fldCharType="end"/>
            </w:r>
          </w:hyperlink>
        </w:p>
        <w:p w14:paraId="26514B76" w14:textId="5EAFB415" w:rsidR="00736DA9" w:rsidRDefault="00000000">
          <w:pPr>
            <w:pStyle w:val="TOC4"/>
            <w:tabs>
              <w:tab w:val="right" w:pos="9350"/>
            </w:tabs>
            <w:rPr>
              <w:rFonts w:eastAsiaTheme="minorEastAsia" w:cstheme="minorBidi"/>
              <w:noProof/>
              <w:sz w:val="24"/>
              <w:szCs w:val="24"/>
            </w:rPr>
          </w:pPr>
          <w:hyperlink w:anchor="_Toc162267026" w:history="1">
            <w:r w:rsidR="00736DA9" w:rsidRPr="004372B1">
              <w:rPr>
                <w:rStyle w:val="Hyperlink"/>
                <w:noProof/>
              </w:rPr>
              <w:t>Table 3.7: Forces Affecting Health and Hindrances in SC.</w:t>
            </w:r>
            <w:r w:rsidR="00736DA9">
              <w:rPr>
                <w:noProof/>
                <w:webHidden/>
              </w:rPr>
              <w:tab/>
            </w:r>
            <w:r w:rsidR="00736DA9">
              <w:rPr>
                <w:noProof/>
                <w:webHidden/>
              </w:rPr>
              <w:fldChar w:fldCharType="begin"/>
            </w:r>
            <w:r w:rsidR="00736DA9">
              <w:rPr>
                <w:noProof/>
                <w:webHidden/>
              </w:rPr>
              <w:instrText xml:space="preserve"> PAGEREF _Toc162267026 \h </w:instrText>
            </w:r>
            <w:r w:rsidR="00736DA9">
              <w:rPr>
                <w:noProof/>
                <w:webHidden/>
              </w:rPr>
            </w:r>
            <w:r w:rsidR="00736DA9">
              <w:rPr>
                <w:noProof/>
                <w:webHidden/>
              </w:rPr>
              <w:fldChar w:fldCharType="separate"/>
            </w:r>
            <w:r w:rsidR="00736DA9">
              <w:rPr>
                <w:noProof/>
                <w:webHidden/>
              </w:rPr>
              <w:t>60</w:t>
            </w:r>
            <w:r w:rsidR="00736DA9">
              <w:rPr>
                <w:noProof/>
                <w:webHidden/>
              </w:rPr>
              <w:fldChar w:fldCharType="end"/>
            </w:r>
          </w:hyperlink>
        </w:p>
        <w:p w14:paraId="17C8AA30" w14:textId="4127FA83" w:rsidR="00736DA9" w:rsidRDefault="00000000">
          <w:pPr>
            <w:pStyle w:val="TOC3"/>
            <w:tabs>
              <w:tab w:val="right" w:pos="9350"/>
            </w:tabs>
            <w:rPr>
              <w:rFonts w:eastAsiaTheme="minorEastAsia" w:cstheme="minorBidi"/>
              <w:noProof/>
              <w:sz w:val="24"/>
              <w:szCs w:val="24"/>
            </w:rPr>
          </w:pPr>
          <w:hyperlink w:anchor="_Toc162267027" w:history="1">
            <w:r w:rsidR="00736DA9" w:rsidRPr="004372B1">
              <w:rPr>
                <w:rStyle w:val="Hyperlink"/>
                <w:noProof/>
              </w:rPr>
              <w:t>What are the top three actions SC could take in response to those forces that could lead to health improvement?</w:t>
            </w:r>
            <w:r w:rsidR="00736DA9">
              <w:rPr>
                <w:noProof/>
                <w:webHidden/>
              </w:rPr>
              <w:tab/>
            </w:r>
            <w:r w:rsidR="00736DA9">
              <w:rPr>
                <w:noProof/>
                <w:webHidden/>
              </w:rPr>
              <w:fldChar w:fldCharType="begin"/>
            </w:r>
            <w:r w:rsidR="00736DA9">
              <w:rPr>
                <w:noProof/>
                <w:webHidden/>
              </w:rPr>
              <w:instrText xml:space="preserve"> PAGEREF _Toc162267027 \h </w:instrText>
            </w:r>
            <w:r w:rsidR="00736DA9">
              <w:rPr>
                <w:noProof/>
                <w:webHidden/>
              </w:rPr>
            </w:r>
            <w:r w:rsidR="00736DA9">
              <w:rPr>
                <w:noProof/>
                <w:webHidden/>
              </w:rPr>
              <w:fldChar w:fldCharType="separate"/>
            </w:r>
            <w:r w:rsidR="00736DA9">
              <w:rPr>
                <w:noProof/>
                <w:webHidden/>
              </w:rPr>
              <w:t>60</w:t>
            </w:r>
            <w:r w:rsidR="00736DA9">
              <w:rPr>
                <w:noProof/>
                <w:webHidden/>
              </w:rPr>
              <w:fldChar w:fldCharType="end"/>
            </w:r>
          </w:hyperlink>
        </w:p>
        <w:p w14:paraId="0835AF62" w14:textId="2C5AC73B" w:rsidR="00736DA9" w:rsidRDefault="00000000">
          <w:pPr>
            <w:pStyle w:val="TOC4"/>
            <w:tabs>
              <w:tab w:val="right" w:pos="9350"/>
            </w:tabs>
            <w:rPr>
              <w:rFonts w:eastAsiaTheme="minorEastAsia" w:cstheme="minorBidi"/>
              <w:noProof/>
              <w:sz w:val="24"/>
              <w:szCs w:val="24"/>
            </w:rPr>
          </w:pPr>
          <w:hyperlink w:anchor="_Toc162267028" w:history="1">
            <w:r w:rsidR="00736DA9" w:rsidRPr="004372B1">
              <w:rPr>
                <w:rStyle w:val="Hyperlink"/>
                <w:noProof/>
              </w:rPr>
              <w:t>Table 3.8: Top Actions in SC.</w:t>
            </w:r>
            <w:r w:rsidR="00736DA9">
              <w:rPr>
                <w:noProof/>
                <w:webHidden/>
              </w:rPr>
              <w:tab/>
            </w:r>
            <w:r w:rsidR="00736DA9">
              <w:rPr>
                <w:noProof/>
                <w:webHidden/>
              </w:rPr>
              <w:fldChar w:fldCharType="begin"/>
            </w:r>
            <w:r w:rsidR="00736DA9">
              <w:rPr>
                <w:noProof/>
                <w:webHidden/>
              </w:rPr>
              <w:instrText xml:space="preserve"> PAGEREF _Toc162267028 \h </w:instrText>
            </w:r>
            <w:r w:rsidR="00736DA9">
              <w:rPr>
                <w:noProof/>
                <w:webHidden/>
              </w:rPr>
            </w:r>
            <w:r w:rsidR="00736DA9">
              <w:rPr>
                <w:noProof/>
                <w:webHidden/>
              </w:rPr>
              <w:fldChar w:fldCharType="separate"/>
            </w:r>
            <w:r w:rsidR="00736DA9">
              <w:rPr>
                <w:noProof/>
                <w:webHidden/>
              </w:rPr>
              <w:t>61</w:t>
            </w:r>
            <w:r w:rsidR="00736DA9">
              <w:rPr>
                <w:noProof/>
                <w:webHidden/>
              </w:rPr>
              <w:fldChar w:fldCharType="end"/>
            </w:r>
          </w:hyperlink>
        </w:p>
        <w:p w14:paraId="0E960212" w14:textId="096785B6" w:rsidR="00736DA9" w:rsidRDefault="00000000">
          <w:pPr>
            <w:pStyle w:val="TOC3"/>
            <w:tabs>
              <w:tab w:val="right" w:pos="9350"/>
            </w:tabs>
            <w:rPr>
              <w:rFonts w:eastAsiaTheme="minorEastAsia" w:cstheme="minorBidi"/>
              <w:noProof/>
              <w:sz w:val="24"/>
              <w:szCs w:val="24"/>
            </w:rPr>
          </w:pPr>
          <w:hyperlink w:anchor="_Toc162267029" w:history="1">
            <w:r w:rsidR="00736DA9" w:rsidRPr="004372B1">
              <w:rPr>
                <w:rStyle w:val="Hyperlink"/>
                <w:noProof/>
              </w:rPr>
              <w:t>Strengths and Limitations</w:t>
            </w:r>
            <w:r w:rsidR="00736DA9">
              <w:rPr>
                <w:noProof/>
                <w:webHidden/>
              </w:rPr>
              <w:tab/>
            </w:r>
            <w:r w:rsidR="00736DA9">
              <w:rPr>
                <w:noProof/>
                <w:webHidden/>
              </w:rPr>
              <w:fldChar w:fldCharType="begin"/>
            </w:r>
            <w:r w:rsidR="00736DA9">
              <w:rPr>
                <w:noProof/>
                <w:webHidden/>
              </w:rPr>
              <w:instrText xml:space="preserve"> PAGEREF _Toc162267029 \h </w:instrText>
            </w:r>
            <w:r w:rsidR="00736DA9">
              <w:rPr>
                <w:noProof/>
                <w:webHidden/>
              </w:rPr>
            </w:r>
            <w:r w:rsidR="00736DA9">
              <w:rPr>
                <w:noProof/>
                <w:webHidden/>
              </w:rPr>
              <w:fldChar w:fldCharType="separate"/>
            </w:r>
            <w:r w:rsidR="00736DA9">
              <w:rPr>
                <w:noProof/>
                <w:webHidden/>
              </w:rPr>
              <w:t>63</w:t>
            </w:r>
            <w:r w:rsidR="00736DA9">
              <w:rPr>
                <w:noProof/>
                <w:webHidden/>
              </w:rPr>
              <w:fldChar w:fldCharType="end"/>
            </w:r>
          </w:hyperlink>
        </w:p>
        <w:p w14:paraId="2BDA1A3F" w14:textId="2D458270" w:rsidR="00736DA9" w:rsidRDefault="00000000">
          <w:pPr>
            <w:pStyle w:val="TOC3"/>
            <w:tabs>
              <w:tab w:val="right" w:pos="9350"/>
            </w:tabs>
            <w:rPr>
              <w:rFonts w:eastAsiaTheme="minorEastAsia" w:cstheme="minorBidi"/>
              <w:noProof/>
              <w:sz w:val="24"/>
              <w:szCs w:val="24"/>
            </w:rPr>
          </w:pPr>
          <w:hyperlink w:anchor="_Toc162267030" w:history="1">
            <w:r w:rsidR="00736DA9" w:rsidRPr="004372B1">
              <w:rPr>
                <w:rStyle w:val="Hyperlink"/>
                <w:noProof/>
              </w:rPr>
              <w:t>Conclusions</w:t>
            </w:r>
            <w:r w:rsidR="00736DA9">
              <w:rPr>
                <w:noProof/>
                <w:webHidden/>
              </w:rPr>
              <w:tab/>
            </w:r>
            <w:r w:rsidR="00736DA9">
              <w:rPr>
                <w:noProof/>
                <w:webHidden/>
              </w:rPr>
              <w:fldChar w:fldCharType="begin"/>
            </w:r>
            <w:r w:rsidR="00736DA9">
              <w:rPr>
                <w:noProof/>
                <w:webHidden/>
              </w:rPr>
              <w:instrText xml:space="preserve"> PAGEREF _Toc162267030 \h </w:instrText>
            </w:r>
            <w:r w:rsidR="00736DA9">
              <w:rPr>
                <w:noProof/>
                <w:webHidden/>
              </w:rPr>
            </w:r>
            <w:r w:rsidR="00736DA9">
              <w:rPr>
                <w:noProof/>
                <w:webHidden/>
              </w:rPr>
              <w:fldChar w:fldCharType="separate"/>
            </w:r>
            <w:r w:rsidR="00736DA9">
              <w:rPr>
                <w:noProof/>
                <w:webHidden/>
              </w:rPr>
              <w:t>63</w:t>
            </w:r>
            <w:r w:rsidR="00736DA9">
              <w:rPr>
                <w:noProof/>
                <w:webHidden/>
              </w:rPr>
              <w:fldChar w:fldCharType="end"/>
            </w:r>
          </w:hyperlink>
        </w:p>
        <w:p w14:paraId="692DB515" w14:textId="179F87CE" w:rsidR="00736DA9" w:rsidRDefault="00000000">
          <w:pPr>
            <w:pStyle w:val="TOC4"/>
            <w:tabs>
              <w:tab w:val="right" w:pos="9350"/>
            </w:tabs>
            <w:rPr>
              <w:rFonts w:eastAsiaTheme="minorEastAsia" w:cstheme="minorBidi"/>
              <w:noProof/>
              <w:sz w:val="24"/>
              <w:szCs w:val="24"/>
            </w:rPr>
          </w:pPr>
          <w:hyperlink w:anchor="_Toc162267031" w:history="1">
            <w:r w:rsidR="00736DA9" w:rsidRPr="004372B1">
              <w:rPr>
                <w:rStyle w:val="Hyperlink"/>
                <w:noProof/>
              </w:rPr>
              <w:t>Chapter 3 References</w:t>
            </w:r>
            <w:r w:rsidR="00736DA9">
              <w:rPr>
                <w:noProof/>
                <w:webHidden/>
              </w:rPr>
              <w:tab/>
            </w:r>
            <w:r w:rsidR="00736DA9">
              <w:rPr>
                <w:noProof/>
                <w:webHidden/>
              </w:rPr>
              <w:fldChar w:fldCharType="begin"/>
            </w:r>
            <w:r w:rsidR="00736DA9">
              <w:rPr>
                <w:noProof/>
                <w:webHidden/>
              </w:rPr>
              <w:instrText xml:space="preserve"> PAGEREF _Toc162267031 \h </w:instrText>
            </w:r>
            <w:r w:rsidR="00736DA9">
              <w:rPr>
                <w:noProof/>
                <w:webHidden/>
              </w:rPr>
            </w:r>
            <w:r w:rsidR="00736DA9">
              <w:rPr>
                <w:noProof/>
                <w:webHidden/>
              </w:rPr>
              <w:fldChar w:fldCharType="separate"/>
            </w:r>
            <w:r w:rsidR="00736DA9">
              <w:rPr>
                <w:noProof/>
                <w:webHidden/>
              </w:rPr>
              <w:t>64</w:t>
            </w:r>
            <w:r w:rsidR="00736DA9">
              <w:rPr>
                <w:noProof/>
                <w:webHidden/>
              </w:rPr>
              <w:fldChar w:fldCharType="end"/>
            </w:r>
          </w:hyperlink>
        </w:p>
        <w:p w14:paraId="1988CA70" w14:textId="07CF6555" w:rsidR="00736DA9" w:rsidRDefault="00000000">
          <w:pPr>
            <w:pStyle w:val="TOC2"/>
            <w:tabs>
              <w:tab w:val="right" w:pos="9350"/>
            </w:tabs>
            <w:rPr>
              <w:rFonts w:eastAsiaTheme="minorEastAsia" w:cstheme="minorBidi"/>
              <w:b w:val="0"/>
              <w:bCs w:val="0"/>
              <w:noProof/>
              <w:sz w:val="24"/>
              <w:szCs w:val="24"/>
            </w:rPr>
          </w:pPr>
          <w:hyperlink w:anchor="_Toc162267032" w:history="1">
            <w:r w:rsidR="00736DA9" w:rsidRPr="004372B1">
              <w:rPr>
                <w:rStyle w:val="Hyperlink"/>
                <w:noProof/>
              </w:rPr>
              <w:t>Chapter 4: Population</w:t>
            </w:r>
            <w:r w:rsidR="00736DA9">
              <w:rPr>
                <w:noProof/>
                <w:webHidden/>
              </w:rPr>
              <w:tab/>
            </w:r>
            <w:r w:rsidR="00736DA9">
              <w:rPr>
                <w:noProof/>
                <w:webHidden/>
              </w:rPr>
              <w:fldChar w:fldCharType="begin"/>
            </w:r>
            <w:r w:rsidR="00736DA9">
              <w:rPr>
                <w:noProof/>
                <w:webHidden/>
              </w:rPr>
              <w:instrText xml:space="preserve"> PAGEREF _Toc162267032 \h </w:instrText>
            </w:r>
            <w:r w:rsidR="00736DA9">
              <w:rPr>
                <w:noProof/>
                <w:webHidden/>
              </w:rPr>
            </w:r>
            <w:r w:rsidR="00736DA9">
              <w:rPr>
                <w:noProof/>
                <w:webHidden/>
              </w:rPr>
              <w:fldChar w:fldCharType="separate"/>
            </w:r>
            <w:r w:rsidR="00736DA9">
              <w:rPr>
                <w:noProof/>
                <w:webHidden/>
              </w:rPr>
              <w:t>65</w:t>
            </w:r>
            <w:r w:rsidR="00736DA9">
              <w:rPr>
                <w:noProof/>
                <w:webHidden/>
              </w:rPr>
              <w:fldChar w:fldCharType="end"/>
            </w:r>
          </w:hyperlink>
        </w:p>
        <w:p w14:paraId="2FCADC11" w14:textId="315C267C" w:rsidR="00736DA9" w:rsidRDefault="00000000">
          <w:pPr>
            <w:pStyle w:val="TOC3"/>
            <w:tabs>
              <w:tab w:val="right" w:pos="9350"/>
            </w:tabs>
            <w:rPr>
              <w:rFonts w:eastAsiaTheme="minorEastAsia" w:cstheme="minorBidi"/>
              <w:noProof/>
              <w:sz w:val="24"/>
              <w:szCs w:val="24"/>
            </w:rPr>
          </w:pPr>
          <w:hyperlink w:anchor="_Toc162267033" w:history="1">
            <w:r w:rsidR="00736DA9" w:rsidRPr="004372B1">
              <w:rPr>
                <w:rStyle w:val="Hyperlink"/>
                <w:noProof/>
              </w:rPr>
              <w:t>Trends</w:t>
            </w:r>
            <w:r w:rsidR="00736DA9">
              <w:rPr>
                <w:noProof/>
                <w:webHidden/>
              </w:rPr>
              <w:tab/>
            </w:r>
            <w:r w:rsidR="00736DA9">
              <w:rPr>
                <w:noProof/>
                <w:webHidden/>
              </w:rPr>
              <w:fldChar w:fldCharType="begin"/>
            </w:r>
            <w:r w:rsidR="00736DA9">
              <w:rPr>
                <w:noProof/>
                <w:webHidden/>
              </w:rPr>
              <w:instrText xml:space="preserve"> PAGEREF _Toc162267033 \h </w:instrText>
            </w:r>
            <w:r w:rsidR="00736DA9">
              <w:rPr>
                <w:noProof/>
                <w:webHidden/>
              </w:rPr>
            </w:r>
            <w:r w:rsidR="00736DA9">
              <w:rPr>
                <w:noProof/>
                <w:webHidden/>
              </w:rPr>
              <w:fldChar w:fldCharType="separate"/>
            </w:r>
            <w:r w:rsidR="00736DA9">
              <w:rPr>
                <w:noProof/>
                <w:webHidden/>
              </w:rPr>
              <w:t>65</w:t>
            </w:r>
            <w:r w:rsidR="00736DA9">
              <w:rPr>
                <w:noProof/>
                <w:webHidden/>
              </w:rPr>
              <w:fldChar w:fldCharType="end"/>
            </w:r>
          </w:hyperlink>
        </w:p>
        <w:p w14:paraId="1469468E" w14:textId="4D8A2FD4" w:rsidR="00736DA9" w:rsidRDefault="00000000">
          <w:pPr>
            <w:pStyle w:val="TOC4"/>
            <w:tabs>
              <w:tab w:val="right" w:pos="9350"/>
            </w:tabs>
            <w:rPr>
              <w:rFonts w:eastAsiaTheme="minorEastAsia" w:cstheme="minorBidi"/>
              <w:noProof/>
              <w:sz w:val="24"/>
              <w:szCs w:val="24"/>
            </w:rPr>
          </w:pPr>
          <w:hyperlink w:anchor="_Toc162267034" w:history="1">
            <w:r w:rsidR="00736DA9" w:rsidRPr="004372B1">
              <w:rPr>
                <w:rStyle w:val="Hyperlink"/>
                <w:noProof/>
              </w:rPr>
              <w:t>Figure 4.1: Total Population Size of South Carolina Countries.</w:t>
            </w:r>
            <w:r w:rsidR="00736DA9">
              <w:rPr>
                <w:noProof/>
                <w:webHidden/>
              </w:rPr>
              <w:tab/>
            </w:r>
            <w:r w:rsidR="00736DA9">
              <w:rPr>
                <w:noProof/>
                <w:webHidden/>
              </w:rPr>
              <w:fldChar w:fldCharType="begin"/>
            </w:r>
            <w:r w:rsidR="00736DA9">
              <w:rPr>
                <w:noProof/>
                <w:webHidden/>
              </w:rPr>
              <w:instrText xml:space="preserve"> PAGEREF _Toc162267034 \h </w:instrText>
            </w:r>
            <w:r w:rsidR="00736DA9">
              <w:rPr>
                <w:noProof/>
                <w:webHidden/>
              </w:rPr>
            </w:r>
            <w:r w:rsidR="00736DA9">
              <w:rPr>
                <w:noProof/>
                <w:webHidden/>
              </w:rPr>
              <w:fldChar w:fldCharType="separate"/>
            </w:r>
            <w:r w:rsidR="00736DA9">
              <w:rPr>
                <w:noProof/>
                <w:webHidden/>
              </w:rPr>
              <w:t>65</w:t>
            </w:r>
            <w:r w:rsidR="00736DA9">
              <w:rPr>
                <w:noProof/>
                <w:webHidden/>
              </w:rPr>
              <w:fldChar w:fldCharType="end"/>
            </w:r>
          </w:hyperlink>
        </w:p>
        <w:p w14:paraId="25C468EA" w14:textId="205F5076" w:rsidR="00736DA9" w:rsidRDefault="00000000">
          <w:pPr>
            <w:pStyle w:val="TOC4"/>
            <w:tabs>
              <w:tab w:val="right" w:pos="9350"/>
            </w:tabs>
            <w:rPr>
              <w:rFonts w:eastAsiaTheme="minorEastAsia" w:cstheme="minorBidi"/>
              <w:noProof/>
              <w:sz w:val="24"/>
              <w:szCs w:val="24"/>
            </w:rPr>
          </w:pPr>
          <w:hyperlink w:anchor="_Toc162267035" w:history="1">
            <w:r w:rsidR="00736DA9" w:rsidRPr="004372B1">
              <w:rPr>
                <w:rStyle w:val="Hyperlink"/>
                <w:noProof/>
              </w:rPr>
              <w:t>Figure 4.2: South Carolina Total Population.</w:t>
            </w:r>
            <w:r w:rsidR="00736DA9">
              <w:rPr>
                <w:noProof/>
                <w:webHidden/>
              </w:rPr>
              <w:tab/>
            </w:r>
            <w:r w:rsidR="00736DA9">
              <w:rPr>
                <w:noProof/>
                <w:webHidden/>
              </w:rPr>
              <w:fldChar w:fldCharType="begin"/>
            </w:r>
            <w:r w:rsidR="00736DA9">
              <w:rPr>
                <w:noProof/>
                <w:webHidden/>
              </w:rPr>
              <w:instrText xml:space="preserve"> PAGEREF _Toc162267035 \h </w:instrText>
            </w:r>
            <w:r w:rsidR="00736DA9">
              <w:rPr>
                <w:noProof/>
                <w:webHidden/>
              </w:rPr>
            </w:r>
            <w:r w:rsidR="00736DA9">
              <w:rPr>
                <w:noProof/>
                <w:webHidden/>
              </w:rPr>
              <w:fldChar w:fldCharType="separate"/>
            </w:r>
            <w:r w:rsidR="00736DA9">
              <w:rPr>
                <w:noProof/>
                <w:webHidden/>
              </w:rPr>
              <w:t>66</w:t>
            </w:r>
            <w:r w:rsidR="00736DA9">
              <w:rPr>
                <w:noProof/>
                <w:webHidden/>
              </w:rPr>
              <w:fldChar w:fldCharType="end"/>
            </w:r>
          </w:hyperlink>
        </w:p>
        <w:p w14:paraId="7AF99CBD" w14:textId="5819CD0E" w:rsidR="00736DA9" w:rsidRDefault="00000000">
          <w:pPr>
            <w:pStyle w:val="TOC4"/>
            <w:tabs>
              <w:tab w:val="right" w:pos="9350"/>
            </w:tabs>
            <w:rPr>
              <w:rFonts w:eastAsiaTheme="minorEastAsia" w:cstheme="minorBidi"/>
              <w:noProof/>
              <w:sz w:val="24"/>
              <w:szCs w:val="24"/>
            </w:rPr>
          </w:pPr>
          <w:hyperlink w:anchor="_Toc162267036" w:history="1">
            <w:r w:rsidR="00736DA9" w:rsidRPr="004372B1">
              <w:rPr>
                <w:rStyle w:val="Hyperlink"/>
                <w:noProof/>
              </w:rPr>
              <w:t>Figure 4.3: South Carolina Population, by Age Group and Sex.</w:t>
            </w:r>
            <w:r w:rsidR="00736DA9">
              <w:rPr>
                <w:noProof/>
                <w:webHidden/>
              </w:rPr>
              <w:tab/>
            </w:r>
            <w:r w:rsidR="00736DA9">
              <w:rPr>
                <w:noProof/>
                <w:webHidden/>
              </w:rPr>
              <w:fldChar w:fldCharType="begin"/>
            </w:r>
            <w:r w:rsidR="00736DA9">
              <w:rPr>
                <w:noProof/>
                <w:webHidden/>
              </w:rPr>
              <w:instrText xml:space="preserve"> PAGEREF _Toc162267036 \h </w:instrText>
            </w:r>
            <w:r w:rsidR="00736DA9">
              <w:rPr>
                <w:noProof/>
                <w:webHidden/>
              </w:rPr>
            </w:r>
            <w:r w:rsidR="00736DA9">
              <w:rPr>
                <w:noProof/>
                <w:webHidden/>
              </w:rPr>
              <w:fldChar w:fldCharType="separate"/>
            </w:r>
            <w:r w:rsidR="00736DA9">
              <w:rPr>
                <w:noProof/>
                <w:webHidden/>
              </w:rPr>
              <w:t>67</w:t>
            </w:r>
            <w:r w:rsidR="00736DA9">
              <w:rPr>
                <w:noProof/>
                <w:webHidden/>
              </w:rPr>
              <w:fldChar w:fldCharType="end"/>
            </w:r>
          </w:hyperlink>
        </w:p>
        <w:p w14:paraId="54FF06A7" w14:textId="43111B50" w:rsidR="00736DA9" w:rsidRDefault="00000000">
          <w:pPr>
            <w:pStyle w:val="TOC3"/>
            <w:tabs>
              <w:tab w:val="right" w:pos="9350"/>
            </w:tabs>
            <w:rPr>
              <w:rFonts w:eastAsiaTheme="minorEastAsia" w:cstheme="minorBidi"/>
              <w:noProof/>
              <w:sz w:val="24"/>
              <w:szCs w:val="24"/>
            </w:rPr>
          </w:pPr>
          <w:hyperlink w:anchor="_Toc162267037" w:history="1">
            <w:r w:rsidR="00736DA9" w:rsidRPr="004372B1">
              <w:rPr>
                <w:rStyle w:val="Hyperlink"/>
                <w:noProof/>
              </w:rPr>
              <w:t>Race and Ethnicity</w:t>
            </w:r>
            <w:r w:rsidR="00736DA9">
              <w:rPr>
                <w:noProof/>
                <w:webHidden/>
              </w:rPr>
              <w:tab/>
            </w:r>
            <w:r w:rsidR="00736DA9">
              <w:rPr>
                <w:noProof/>
                <w:webHidden/>
              </w:rPr>
              <w:fldChar w:fldCharType="begin"/>
            </w:r>
            <w:r w:rsidR="00736DA9">
              <w:rPr>
                <w:noProof/>
                <w:webHidden/>
              </w:rPr>
              <w:instrText xml:space="preserve"> PAGEREF _Toc162267037 \h </w:instrText>
            </w:r>
            <w:r w:rsidR="00736DA9">
              <w:rPr>
                <w:noProof/>
                <w:webHidden/>
              </w:rPr>
            </w:r>
            <w:r w:rsidR="00736DA9">
              <w:rPr>
                <w:noProof/>
                <w:webHidden/>
              </w:rPr>
              <w:fldChar w:fldCharType="separate"/>
            </w:r>
            <w:r w:rsidR="00736DA9">
              <w:rPr>
                <w:noProof/>
                <w:webHidden/>
              </w:rPr>
              <w:t>68</w:t>
            </w:r>
            <w:r w:rsidR="00736DA9">
              <w:rPr>
                <w:noProof/>
                <w:webHidden/>
              </w:rPr>
              <w:fldChar w:fldCharType="end"/>
            </w:r>
          </w:hyperlink>
        </w:p>
        <w:p w14:paraId="56AF2895" w14:textId="72FD1EEA" w:rsidR="00736DA9" w:rsidRDefault="00000000">
          <w:pPr>
            <w:pStyle w:val="TOC4"/>
            <w:tabs>
              <w:tab w:val="right" w:pos="9350"/>
            </w:tabs>
            <w:rPr>
              <w:rFonts w:eastAsiaTheme="minorEastAsia" w:cstheme="minorBidi"/>
              <w:noProof/>
              <w:sz w:val="24"/>
              <w:szCs w:val="24"/>
            </w:rPr>
          </w:pPr>
          <w:hyperlink w:anchor="_Toc162267038" w:history="1">
            <w:r w:rsidR="00736DA9" w:rsidRPr="004372B1">
              <w:rPr>
                <w:rStyle w:val="Hyperlink"/>
                <w:noProof/>
              </w:rPr>
              <w:t>Figure 4.4: Racial/Ethnic Breakdown of South Carolina Population.</w:t>
            </w:r>
            <w:r w:rsidR="00736DA9">
              <w:rPr>
                <w:noProof/>
                <w:webHidden/>
              </w:rPr>
              <w:tab/>
            </w:r>
            <w:r w:rsidR="00736DA9">
              <w:rPr>
                <w:noProof/>
                <w:webHidden/>
              </w:rPr>
              <w:fldChar w:fldCharType="begin"/>
            </w:r>
            <w:r w:rsidR="00736DA9">
              <w:rPr>
                <w:noProof/>
                <w:webHidden/>
              </w:rPr>
              <w:instrText xml:space="preserve"> PAGEREF _Toc162267038 \h </w:instrText>
            </w:r>
            <w:r w:rsidR="00736DA9">
              <w:rPr>
                <w:noProof/>
                <w:webHidden/>
              </w:rPr>
            </w:r>
            <w:r w:rsidR="00736DA9">
              <w:rPr>
                <w:noProof/>
                <w:webHidden/>
              </w:rPr>
              <w:fldChar w:fldCharType="separate"/>
            </w:r>
            <w:r w:rsidR="00736DA9">
              <w:rPr>
                <w:noProof/>
                <w:webHidden/>
              </w:rPr>
              <w:t>68</w:t>
            </w:r>
            <w:r w:rsidR="00736DA9">
              <w:rPr>
                <w:noProof/>
                <w:webHidden/>
              </w:rPr>
              <w:fldChar w:fldCharType="end"/>
            </w:r>
          </w:hyperlink>
        </w:p>
        <w:p w14:paraId="18B4B5E5" w14:textId="60DD3B13" w:rsidR="00736DA9" w:rsidRDefault="00000000">
          <w:pPr>
            <w:pStyle w:val="TOC4"/>
            <w:tabs>
              <w:tab w:val="right" w:pos="9350"/>
            </w:tabs>
            <w:rPr>
              <w:rFonts w:eastAsiaTheme="minorEastAsia" w:cstheme="minorBidi"/>
              <w:noProof/>
              <w:sz w:val="24"/>
              <w:szCs w:val="24"/>
            </w:rPr>
          </w:pPr>
          <w:hyperlink w:anchor="_Toc162267039" w:history="1">
            <w:r w:rsidR="00736DA9" w:rsidRPr="004372B1">
              <w:rPr>
                <w:rStyle w:val="Hyperlink"/>
                <w:noProof/>
              </w:rPr>
              <w:t>Figure 4.5: South Carolina Hispanic Origin, by Nationality.</w:t>
            </w:r>
            <w:r w:rsidR="00736DA9">
              <w:rPr>
                <w:noProof/>
                <w:webHidden/>
              </w:rPr>
              <w:tab/>
            </w:r>
            <w:r w:rsidR="00736DA9">
              <w:rPr>
                <w:noProof/>
                <w:webHidden/>
              </w:rPr>
              <w:fldChar w:fldCharType="begin"/>
            </w:r>
            <w:r w:rsidR="00736DA9">
              <w:rPr>
                <w:noProof/>
                <w:webHidden/>
              </w:rPr>
              <w:instrText xml:space="preserve"> PAGEREF _Toc162267039 \h </w:instrText>
            </w:r>
            <w:r w:rsidR="00736DA9">
              <w:rPr>
                <w:noProof/>
                <w:webHidden/>
              </w:rPr>
            </w:r>
            <w:r w:rsidR="00736DA9">
              <w:rPr>
                <w:noProof/>
                <w:webHidden/>
              </w:rPr>
              <w:fldChar w:fldCharType="separate"/>
            </w:r>
            <w:r w:rsidR="00736DA9">
              <w:rPr>
                <w:noProof/>
                <w:webHidden/>
              </w:rPr>
              <w:t>68</w:t>
            </w:r>
            <w:r w:rsidR="00736DA9">
              <w:rPr>
                <w:noProof/>
                <w:webHidden/>
              </w:rPr>
              <w:fldChar w:fldCharType="end"/>
            </w:r>
          </w:hyperlink>
        </w:p>
        <w:p w14:paraId="67B2DCE5" w14:textId="7579CD83" w:rsidR="00736DA9" w:rsidRDefault="00000000">
          <w:pPr>
            <w:pStyle w:val="TOC4"/>
            <w:tabs>
              <w:tab w:val="right" w:pos="9350"/>
            </w:tabs>
            <w:rPr>
              <w:rFonts w:eastAsiaTheme="minorEastAsia" w:cstheme="minorBidi"/>
              <w:noProof/>
              <w:sz w:val="24"/>
              <w:szCs w:val="24"/>
            </w:rPr>
          </w:pPr>
          <w:hyperlink w:anchor="_Toc162267040" w:history="1">
            <w:r w:rsidR="00736DA9" w:rsidRPr="004372B1">
              <w:rPr>
                <w:rStyle w:val="Hyperlink"/>
                <w:noProof/>
              </w:rPr>
              <w:t>Figure 4.6: Foreign-Born versus Native-Born.</w:t>
            </w:r>
            <w:r w:rsidR="00736DA9">
              <w:rPr>
                <w:noProof/>
                <w:webHidden/>
              </w:rPr>
              <w:tab/>
            </w:r>
            <w:r w:rsidR="00736DA9">
              <w:rPr>
                <w:noProof/>
                <w:webHidden/>
              </w:rPr>
              <w:fldChar w:fldCharType="begin"/>
            </w:r>
            <w:r w:rsidR="00736DA9">
              <w:rPr>
                <w:noProof/>
                <w:webHidden/>
              </w:rPr>
              <w:instrText xml:space="preserve"> PAGEREF _Toc162267040 \h </w:instrText>
            </w:r>
            <w:r w:rsidR="00736DA9">
              <w:rPr>
                <w:noProof/>
                <w:webHidden/>
              </w:rPr>
            </w:r>
            <w:r w:rsidR="00736DA9">
              <w:rPr>
                <w:noProof/>
                <w:webHidden/>
              </w:rPr>
              <w:fldChar w:fldCharType="separate"/>
            </w:r>
            <w:r w:rsidR="00736DA9">
              <w:rPr>
                <w:noProof/>
                <w:webHidden/>
              </w:rPr>
              <w:t>69</w:t>
            </w:r>
            <w:r w:rsidR="00736DA9">
              <w:rPr>
                <w:noProof/>
                <w:webHidden/>
              </w:rPr>
              <w:fldChar w:fldCharType="end"/>
            </w:r>
          </w:hyperlink>
        </w:p>
        <w:p w14:paraId="53D11AB3" w14:textId="408B1658" w:rsidR="00736DA9" w:rsidRDefault="00000000">
          <w:pPr>
            <w:pStyle w:val="TOC4"/>
            <w:tabs>
              <w:tab w:val="right" w:pos="9350"/>
            </w:tabs>
            <w:rPr>
              <w:rFonts w:eastAsiaTheme="minorEastAsia" w:cstheme="minorBidi"/>
              <w:noProof/>
              <w:sz w:val="24"/>
              <w:szCs w:val="24"/>
            </w:rPr>
          </w:pPr>
          <w:hyperlink w:anchor="_Toc162267041" w:history="1">
            <w:r w:rsidR="00736DA9" w:rsidRPr="004372B1">
              <w:rPr>
                <w:rStyle w:val="Hyperlink"/>
                <w:noProof/>
              </w:rPr>
              <w:t>Table 4.1: Language Spoken at Home.</w:t>
            </w:r>
            <w:r w:rsidR="00736DA9">
              <w:rPr>
                <w:noProof/>
                <w:webHidden/>
              </w:rPr>
              <w:tab/>
            </w:r>
            <w:r w:rsidR="00736DA9">
              <w:rPr>
                <w:noProof/>
                <w:webHidden/>
              </w:rPr>
              <w:fldChar w:fldCharType="begin"/>
            </w:r>
            <w:r w:rsidR="00736DA9">
              <w:rPr>
                <w:noProof/>
                <w:webHidden/>
              </w:rPr>
              <w:instrText xml:space="preserve"> PAGEREF _Toc162267041 \h </w:instrText>
            </w:r>
            <w:r w:rsidR="00736DA9">
              <w:rPr>
                <w:noProof/>
                <w:webHidden/>
              </w:rPr>
            </w:r>
            <w:r w:rsidR="00736DA9">
              <w:rPr>
                <w:noProof/>
                <w:webHidden/>
              </w:rPr>
              <w:fldChar w:fldCharType="separate"/>
            </w:r>
            <w:r w:rsidR="00736DA9">
              <w:rPr>
                <w:noProof/>
                <w:webHidden/>
              </w:rPr>
              <w:t>69</w:t>
            </w:r>
            <w:r w:rsidR="00736DA9">
              <w:rPr>
                <w:noProof/>
                <w:webHidden/>
              </w:rPr>
              <w:fldChar w:fldCharType="end"/>
            </w:r>
          </w:hyperlink>
        </w:p>
        <w:p w14:paraId="17FA393E" w14:textId="0DF3FA76" w:rsidR="00736DA9" w:rsidRDefault="00000000">
          <w:pPr>
            <w:pStyle w:val="TOC4"/>
            <w:tabs>
              <w:tab w:val="right" w:pos="9350"/>
            </w:tabs>
            <w:rPr>
              <w:rFonts w:eastAsiaTheme="minorEastAsia" w:cstheme="minorBidi"/>
              <w:noProof/>
              <w:sz w:val="24"/>
              <w:szCs w:val="24"/>
            </w:rPr>
          </w:pPr>
          <w:hyperlink w:anchor="_Toc162267042" w:history="1">
            <w:r w:rsidR="00736DA9" w:rsidRPr="004372B1">
              <w:rPr>
                <w:rStyle w:val="Hyperlink"/>
                <w:noProof/>
              </w:rPr>
              <w:t>Figure 4.7: Households With and Without Internet Access.</w:t>
            </w:r>
            <w:r w:rsidR="00736DA9">
              <w:rPr>
                <w:noProof/>
                <w:webHidden/>
              </w:rPr>
              <w:tab/>
            </w:r>
            <w:r w:rsidR="00736DA9">
              <w:rPr>
                <w:noProof/>
                <w:webHidden/>
              </w:rPr>
              <w:fldChar w:fldCharType="begin"/>
            </w:r>
            <w:r w:rsidR="00736DA9">
              <w:rPr>
                <w:noProof/>
                <w:webHidden/>
              </w:rPr>
              <w:instrText xml:space="preserve"> PAGEREF _Toc162267042 \h </w:instrText>
            </w:r>
            <w:r w:rsidR="00736DA9">
              <w:rPr>
                <w:noProof/>
                <w:webHidden/>
              </w:rPr>
            </w:r>
            <w:r w:rsidR="00736DA9">
              <w:rPr>
                <w:noProof/>
                <w:webHidden/>
              </w:rPr>
              <w:fldChar w:fldCharType="separate"/>
            </w:r>
            <w:r w:rsidR="00736DA9">
              <w:rPr>
                <w:noProof/>
                <w:webHidden/>
              </w:rPr>
              <w:t>70</w:t>
            </w:r>
            <w:r w:rsidR="00736DA9">
              <w:rPr>
                <w:noProof/>
                <w:webHidden/>
              </w:rPr>
              <w:fldChar w:fldCharType="end"/>
            </w:r>
          </w:hyperlink>
        </w:p>
        <w:p w14:paraId="7572CECB" w14:textId="6C816E3C" w:rsidR="00736DA9" w:rsidRDefault="00000000">
          <w:pPr>
            <w:pStyle w:val="TOC4"/>
            <w:tabs>
              <w:tab w:val="right" w:pos="9350"/>
            </w:tabs>
            <w:rPr>
              <w:rFonts w:eastAsiaTheme="minorEastAsia" w:cstheme="minorBidi"/>
              <w:noProof/>
              <w:sz w:val="24"/>
              <w:szCs w:val="24"/>
            </w:rPr>
          </w:pPr>
          <w:hyperlink w:anchor="_Toc162267043" w:history="1">
            <w:r w:rsidR="00736DA9" w:rsidRPr="004372B1">
              <w:rPr>
                <w:rStyle w:val="Hyperlink"/>
                <w:noProof/>
              </w:rPr>
              <w:t>Figure 4.8: Households With No Internet Access.</w:t>
            </w:r>
            <w:r w:rsidR="00736DA9">
              <w:rPr>
                <w:noProof/>
                <w:webHidden/>
              </w:rPr>
              <w:tab/>
            </w:r>
            <w:r w:rsidR="00736DA9">
              <w:rPr>
                <w:noProof/>
                <w:webHidden/>
              </w:rPr>
              <w:fldChar w:fldCharType="begin"/>
            </w:r>
            <w:r w:rsidR="00736DA9">
              <w:rPr>
                <w:noProof/>
                <w:webHidden/>
              </w:rPr>
              <w:instrText xml:space="preserve"> PAGEREF _Toc162267043 \h </w:instrText>
            </w:r>
            <w:r w:rsidR="00736DA9">
              <w:rPr>
                <w:noProof/>
                <w:webHidden/>
              </w:rPr>
            </w:r>
            <w:r w:rsidR="00736DA9">
              <w:rPr>
                <w:noProof/>
                <w:webHidden/>
              </w:rPr>
              <w:fldChar w:fldCharType="separate"/>
            </w:r>
            <w:r w:rsidR="00736DA9">
              <w:rPr>
                <w:noProof/>
                <w:webHidden/>
              </w:rPr>
              <w:t>70</w:t>
            </w:r>
            <w:r w:rsidR="00736DA9">
              <w:rPr>
                <w:noProof/>
                <w:webHidden/>
              </w:rPr>
              <w:fldChar w:fldCharType="end"/>
            </w:r>
          </w:hyperlink>
        </w:p>
        <w:p w14:paraId="507448B1" w14:textId="1E092D05" w:rsidR="00736DA9" w:rsidRDefault="00000000">
          <w:pPr>
            <w:pStyle w:val="TOC3"/>
            <w:tabs>
              <w:tab w:val="right" w:pos="9350"/>
            </w:tabs>
            <w:rPr>
              <w:rFonts w:eastAsiaTheme="minorEastAsia" w:cstheme="minorBidi"/>
              <w:noProof/>
              <w:sz w:val="24"/>
              <w:szCs w:val="24"/>
            </w:rPr>
          </w:pPr>
          <w:hyperlink w:anchor="_Toc162267044" w:history="1">
            <w:r w:rsidR="00736DA9" w:rsidRPr="004372B1">
              <w:rPr>
                <w:rStyle w:val="Hyperlink"/>
                <w:noProof/>
              </w:rPr>
              <w:t>Transportation</w:t>
            </w:r>
            <w:r w:rsidR="00736DA9">
              <w:rPr>
                <w:noProof/>
                <w:webHidden/>
              </w:rPr>
              <w:tab/>
            </w:r>
            <w:r w:rsidR="00736DA9">
              <w:rPr>
                <w:noProof/>
                <w:webHidden/>
              </w:rPr>
              <w:fldChar w:fldCharType="begin"/>
            </w:r>
            <w:r w:rsidR="00736DA9">
              <w:rPr>
                <w:noProof/>
                <w:webHidden/>
              </w:rPr>
              <w:instrText xml:space="preserve"> PAGEREF _Toc162267044 \h </w:instrText>
            </w:r>
            <w:r w:rsidR="00736DA9">
              <w:rPr>
                <w:noProof/>
                <w:webHidden/>
              </w:rPr>
            </w:r>
            <w:r w:rsidR="00736DA9">
              <w:rPr>
                <w:noProof/>
                <w:webHidden/>
              </w:rPr>
              <w:fldChar w:fldCharType="separate"/>
            </w:r>
            <w:r w:rsidR="00736DA9">
              <w:rPr>
                <w:noProof/>
                <w:webHidden/>
              </w:rPr>
              <w:t>72</w:t>
            </w:r>
            <w:r w:rsidR="00736DA9">
              <w:rPr>
                <w:noProof/>
                <w:webHidden/>
              </w:rPr>
              <w:fldChar w:fldCharType="end"/>
            </w:r>
          </w:hyperlink>
        </w:p>
        <w:p w14:paraId="18158D63" w14:textId="6136AB24" w:rsidR="00736DA9" w:rsidRDefault="00000000">
          <w:pPr>
            <w:pStyle w:val="TOC4"/>
            <w:tabs>
              <w:tab w:val="right" w:pos="9350"/>
            </w:tabs>
            <w:rPr>
              <w:rFonts w:eastAsiaTheme="minorEastAsia" w:cstheme="minorBidi"/>
              <w:noProof/>
              <w:sz w:val="24"/>
              <w:szCs w:val="24"/>
            </w:rPr>
          </w:pPr>
          <w:hyperlink w:anchor="_Toc162267045" w:history="1">
            <w:r w:rsidR="00736DA9" w:rsidRPr="004372B1">
              <w:rPr>
                <w:rStyle w:val="Hyperlink"/>
                <w:noProof/>
              </w:rPr>
              <w:t>Figure 4.9: Method of Transportation to Work.</w:t>
            </w:r>
            <w:r w:rsidR="00736DA9">
              <w:rPr>
                <w:noProof/>
                <w:webHidden/>
              </w:rPr>
              <w:tab/>
            </w:r>
            <w:r w:rsidR="00736DA9">
              <w:rPr>
                <w:noProof/>
                <w:webHidden/>
              </w:rPr>
              <w:fldChar w:fldCharType="begin"/>
            </w:r>
            <w:r w:rsidR="00736DA9">
              <w:rPr>
                <w:noProof/>
                <w:webHidden/>
              </w:rPr>
              <w:instrText xml:space="preserve"> PAGEREF _Toc162267045 \h </w:instrText>
            </w:r>
            <w:r w:rsidR="00736DA9">
              <w:rPr>
                <w:noProof/>
                <w:webHidden/>
              </w:rPr>
            </w:r>
            <w:r w:rsidR="00736DA9">
              <w:rPr>
                <w:noProof/>
                <w:webHidden/>
              </w:rPr>
              <w:fldChar w:fldCharType="separate"/>
            </w:r>
            <w:r w:rsidR="00736DA9">
              <w:rPr>
                <w:noProof/>
                <w:webHidden/>
              </w:rPr>
              <w:t>72</w:t>
            </w:r>
            <w:r w:rsidR="00736DA9">
              <w:rPr>
                <w:noProof/>
                <w:webHidden/>
              </w:rPr>
              <w:fldChar w:fldCharType="end"/>
            </w:r>
          </w:hyperlink>
        </w:p>
        <w:p w14:paraId="0DDDD5B3" w14:textId="0C329E3C" w:rsidR="00736DA9" w:rsidRDefault="00000000">
          <w:pPr>
            <w:pStyle w:val="TOC4"/>
            <w:tabs>
              <w:tab w:val="right" w:pos="9350"/>
            </w:tabs>
            <w:rPr>
              <w:rFonts w:eastAsiaTheme="minorEastAsia" w:cstheme="minorBidi"/>
              <w:noProof/>
              <w:sz w:val="24"/>
              <w:szCs w:val="24"/>
            </w:rPr>
          </w:pPr>
          <w:hyperlink w:anchor="_Toc162267046" w:history="1">
            <w:r w:rsidR="00736DA9" w:rsidRPr="004372B1">
              <w:rPr>
                <w:rStyle w:val="Hyperlink"/>
                <w:noProof/>
              </w:rPr>
              <w:t>Figure 4.10: Households with a Motor Vehicle.</w:t>
            </w:r>
            <w:r w:rsidR="00736DA9">
              <w:rPr>
                <w:noProof/>
                <w:webHidden/>
              </w:rPr>
              <w:tab/>
            </w:r>
            <w:r w:rsidR="00736DA9">
              <w:rPr>
                <w:noProof/>
                <w:webHidden/>
              </w:rPr>
              <w:fldChar w:fldCharType="begin"/>
            </w:r>
            <w:r w:rsidR="00736DA9">
              <w:rPr>
                <w:noProof/>
                <w:webHidden/>
              </w:rPr>
              <w:instrText xml:space="preserve"> PAGEREF _Toc162267046 \h </w:instrText>
            </w:r>
            <w:r w:rsidR="00736DA9">
              <w:rPr>
                <w:noProof/>
                <w:webHidden/>
              </w:rPr>
            </w:r>
            <w:r w:rsidR="00736DA9">
              <w:rPr>
                <w:noProof/>
                <w:webHidden/>
              </w:rPr>
              <w:fldChar w:fldCharType="separate"/>
            </w:r>
            <w:r w:rsidR="00736DA9">
              <w:rPr>
                <w:noProof/>
                <w:webHidden/>
              </w:rPr>
              <w:t>72</w:t>
            </w:r>
            <w:r w:rsidR="00736DA9">
              <w:rPr>
                <w:noProof/>
                <w:webHidden/>
              </w:rPr>
              <w:fldChar w:fldCharType="end"/>
            </w:r>
          </w:hyperlink>
        </w:p>
        <w:p w14:paraId="125BF97D" w14:textId="4F6F6BEC" w:rsidR="00736DA9" w:rsidRDefault="00000000">
          <w:pPr>
            <w:pStyle w:val="TOC4"/>
            <w:tabs>
              <w:tab w:val="right" w:pos="9350"/>
            </w:tabs>
            <w:rPr>
              <w:rFonts w:eastAsiaTheme="minorEastAsia" w:cstheme="minorBidi"/>
              <w:noProof/>
              <w:sz w:val="24"/>
              <w:szCs w:val="24"/>
            </w:rPr>
          </w:pPr>
          <w:hyperlink w:anchor="_Toc162267047" w:history="1">
            <w:r w:rsidR="00736DA9" w:rsidRPr="004372B1">
              <w:rPr>
                <w:rStyle w:val="Hyperlink"/>
                <w:noProof/>
              </w:rPr>
              <w:t>Chapter 4 References</w:t>
            </w:r>
            <w:r w:rsidR="00736DA9">
              <w:rPr>
                <w:noProof/>
                <w:webHidden/>
              </w:rPr>
              <w:tab/>
            </w:r>
            <w:r w:rsidR="00736DA9">
              <w:rPr>
                <w:noProof/>
                <w:webHidden/>
              </w:rPr>
              <w:fldChar w:fldCharType="begin"/>
            </w:r>
            <w:r w:rsidR="00736DA9">
              <w:rPr>
                <w:noProof/>
                <w:webHidden/>
              </w:rPr>
              <w:instrText xml:space="preserve"> PAGEREF _Toc162267047 \h </w:instrText>
            </w:r>
            <w:r w:rsidR="00736DA9">
              <w:rPr>
                <w:noProof/>
                <w:webHidden/>
              </w:rPr>
            </w:r>
            <w:r w:rsidR="00736DA9">
              <w:rPr>
                <w:noProof/>
                <w:webHidden/>
              </w:rPr>
              <w:fldChar w:fldCharType="separate"/>
            </w:r>
            <w:r w:rsidR="00736DA9">
              <w:rPr>
                <w:noProof/>
                <w:webHidden/>
              </w:rPr>
              <w:t>73</w:t>
            </w:r>
            <w:r w:rsidR="00736DA9">
              <w:rPr>
                <w:noProof/>
                <w:webHidden/>
              </w:rPr>
              <w:fldChar w:fldCharType="end"/>
            </w:r>
          </w:hyperlink>
        </w:p>
        <w:p w14:paraId="6D7EF27F" w14:textId="70AC419C" w:rsidR="00736DA9" w:rsidRDefault="00000000">
          <w:pPr>
            <w:pStyle w:val="TOC2"/>
            <w:tabs>
              <w:tab w:val="right" w:pos="9350"/>
            </w:tabs>
            <w:rPr>
              <w:rFonts w:eastAsiaTheme="minorEastAsia" w:cstheme="minorBidi"/>
              <w:b w:val="0"/>
              <w:bCs w:val="0"/>
              <w:noProof/>
              <w:sz w:val="24"/>
              <w:szCs w:val="24"/>
            </w:rPr>
          </w:pPr>
          <w:hyperlink w:anchor="_Toc162267048" w:history="1">
            <w:r w:rsidR="00736DA9" w:rsidRPr="004372B1">
              <w:rPr>
                <w:rStyle w:val="Hyperlink"/>
                <w:noProof/>
              </w:rPr>
              <w:t>Chapter 5: Health Equity</w:t>
            </w:r>
            <w:r w:rsidR="00736DA9">
              <w:rPr>
                <w:noProof/>
                <w:webHidden/>
              </w:rPr>
              <w:tab/>
            </w:r>
            <w:r w:rsidR="00736DA9">
              <w:rPr>
                <w:noProof/>
                <w:webHidden/>
              </w:rPr>
              <w:fldChar w:fldCharType="begin"/>
            </w:r>
            <w:r w:rsidR="00736DA9">
              <w:rPr>
                <w:noProof/>
                <w:webHidden/>
              </w:rPr>
              <w:instrText xml:space="preserve"> PAGEREF _Toc162267048 \h </w:instrText>
            </w:r>
            <w:r w:rsidR="00736DA9">
              <w:rPr>
                <w:noProof/>
                <w:webHidden/>
              </w:rPr>
            </w:r>
            <w:r w:rsidR="00736DA9">
              <w:rPr>
                <w:noProof/>
                <w:webHidden/>
              </w:rPr>
              <w:fldChar w:fldCharType="separate"/>
            </w:r>
            <w:r w:rsidR="00736DA9">
              <w:rPr>
                <w:noProof/>
                <w:webHidden/>
              </w:rPr>
              <w:t>74</w:t>
            </w:r>
            <w:r w:rsidR="00736DA9">
              <w:rPr>
                <w:noProof/>
                <w:webHidden/>
              </w:rPr>
              <w:fldChar w:fldCharType="end"/>
            </w:r>
          </w:hyperlink>
        </w:p>
        <w:p w14:paraId="3A29D3EB" w14:textId="71ABC867" w:rsidR="00736DA9" w:rsidRDefault="00000000">
          <w:pPr>
            <w:pStyle w:val="TOC3"/>
            <w:tabs>
              <w:tab w:val="right" w:pos="9350"/>
            </w:tabs>
            <w:rPr>
              <w:rFonts w:eastAsiaTheme="minorEastAsia" w:cstheme="minorBidi"/>
              <w:noProof/>
              <w:sz w:val="24"/>
              <w:szCs w:val="24"/>
            </w:rPr>
          </w:pPr>
          <w:hyperlink w:anchor="_Toc162267049" w:history="1">
            <w:r w:rsidR="00736DA9" w:rsidRPr="004372B1">
              <w:rPr>
                <w:rStyle w:val="Hyperlink"/>
                <w:noProof/>
              </w:rPr>
              <w:t>What is Health Equity?</w:t>
            </w:r>
            <w:r w:rsidR="00736DA9">
              <w:rPr>
                <w:noProof/>
                <w:webHidden/>
              </w:rPr>
              <w:tab/>
            </w:r>
            <w:r w:rsidR="00736DA9">
              <w:rPr>
                <w:noProof/>
                <w:webHidden/>
              </w:rPr>
              <w:fldChar w:fldCharType="begin"/>
            </w:r>
            <w:r w:rsidR="00736DA9">
              <w:rPr>
                <w:noProof/>
                <w:webHidden/>
              </w:rPr>
              <w:instrText xml:space="preserve"> PAGEREF _Toc162267049 \h </w:instrText>
            </w:r>
            <w:r w:rsidR="00736DA9">
              <w:rPr>
                <w:noProof/>
                <w:webHidden/>
              </w:rPr>
            </w:r>
            <w:r w:rsidR="00736DA9">
              <w:rPr>
                <w:noProof/>
                <w:webHidden/>
              </w:rPr>
              <w:fldChar w:fldCharType="separate"/>
            </w:r>
            <w:r w:rsidR="00736DA9">
              <w:rPr>
                <w:noProof/>
                <w:webHidden/>
              </w:rPr>
              <w:t>74</w:t>
            </w:r>
            <w:r w:rsidR="00736DA9">
              <w:rPr>
                <w:noProof/>
                <w:webHidden/>
              </w:rPr>
              <w:fldChar w:fldCharType="end"/>
            </w:r>
          </w:hyperlink>
        </w:p>
        <w:p w14:paraId="71B3B9DB" w14:textId="2D41FC2E" w:rsidR="00736DA9" w:rsidRDefault="00000000">
          <w:pPr>
            <w:pStyle w:val="TOC4"/>
            <w:tabs>
              <w:tab w:val="right" w:pos="9350"/>
            </w:tabs>
            <w:rPr>
              <w:rFonts w:eastAsiaTheme="minorEastAsia" w:cstheme="minorBidi"/>
              <w:noProof/>
              <w:sz w:val="24"/>
              <w:szCs w:val="24"/>
            </w:rPr>
          </w:pPr>
          <w:hyperlink w:anchor="_Toc162267050" w:history="1">
            <w:r w:rsidR="00736DA9" w:rsidRPr="004372B1">
              <w:rPr>
                <w:rStyle w:val="Hyperlink"/>
                <w:noProof/>
              </w:rPr>
              <w:t>Figure 5.1: Equality vs. Equity vs. Justice.</w:t>
            </w:r>
            <w:r w:rsidR="00736DA9">
              <w:rPr>
                <w:noProof/>
                <w:webHidden/>
              </w:rPr>
              <w:tab/>
            </w:r>
            <w:r w:rsidR="00736DA9">
              <w:rPr>
                <w:noProof/>
                <w:webHidden/>
              </w:rPr>
              <w:fldChar w:fldCharType="begin"/>
            </w:r>
            <w:r w:rsidR="00736DA9">
              <w:rPr>
                <w:noProof/>
                <w:webHidden/>
              </w:rPr>
              <w:instrText xml:space="preserve"> PAGEREF _Toc162267050 \h </w:instrText>
            </w:r>
            <w:r w:rsidR="00736DA9">
              <w:rPr>
                <w:noProof/>
                <w:webHidden/>
              </w:rPr>
            </w:r>
            <w:r w:rsidR="00736DA9">
              <w:rPr>
                <w:noProof/>
                <w:webHidden/>
              </w:rPr>
              <w:fldChar w:fldCharType="separate"/>
            </w:r>
            <w:r w:rsidR="00736DA9">
              <w:rPr>
                <w:noProof/>
                <w:webHidden/>
              </w:rPr>
              <w:t>74</w:t>
            </w:r>
            <w:r w:rsidR="00736DA9">
              <w:rPr>
                <w:noProof/>
                <w:webHidden/>
              </w:rPr>
              <w:fldChar w:fldCharType="end"/>
            </w:r>
          </w:hyperlink>
        </w:p>
        <w:p w14:paraId="16EDFE72" w14:textId="4FDA7480" w:rsidR="00736DA9" w:rsidRDefault="00000000">
          <w:pPr>
            <w:pStyle w:val="TOC4"/>
            <w:tabs>
              <w:tab w:val="right" w:pos="9350"/>
            </w:tabs>
            <w:rPr>
              <w:rFonts w:eastAsiaTheme="minorEastAsia" w:cstheme="minorBidi"/>
              <w:noProof/>
              <w:sz w:val="24"/>
              <w:szCs w:val="24"/>
            </w:rPr>
          </w:pPr>
          <w:hyperlink w:anchor="_Toc162267051" w:history="1">
            <w:r w:rsidR="00736DA9" w:rsidRPr="004372B1">
              <w:rPr>
                <w:rStyle w:val="Hyperlink"/>
                <w:noProof/>
              </w:rPr>
              <w:t>References 5.1</w:t>
            </w:r>
            <w:r w:rsidR="00736DA9">
              <w:rPr>
                <w:noProof/>
                <w:webHidden/>
              </w:rPr>
              <w:tab/>
            </w:r>
            <w:r w:rsidR="00736DA9">
              <w:rPr>
                <w:noProof/>
                <w:webHidden/>
              </w:rPr>
              <w:fldChar w:fldCharType="begin"/>
            </w:r>
            <w:r w:rsidR="00736DA9">
              <w:rPr>
                <w:noProof/>
                <w:webHidden/>
              </w:rPr>
              <w:instrText xml:space="preserve"> PAGEREF _Toc162267051 \h </w:instrText>
            </w:r>
            <w:r w:rsidR="00736DA9">
              <w:rPr>
                <w:noProof/>
                <w:webHidden/>
              </w:rPr>
            </w:r>
            <w:r w:rsidR="00736DA9">
              <w:rPr>
                <w:noProof/>
                <w:webHidden/>
              </w:rPr>
              <w:fldChar w:fldCharType="separate"/>
            </w:r>
            <w:r w:rsidR="00736DA9">
              <w:rPr>
                <w:noProof/>
                <w:webHidden/>
              </w:rPr>
              <w:t>74</w:t>
            </w:r>
            <w:r w:rsidR="00736DA9">
              <w:rPr>
                <w:noProof/>
                <w:webHidden/>
              </w:rPr>
              <w:fldChar w:fldCharType="end"/>
            </w:r>
          </w:hyperlink>
        </w:p>
        <w:p w14:paraId="434726DE" w14:textId="6BD4C0D5" w:rsidR="00736DA9" w:rsidRDefault="00000000">
          <w:pPr>
            <w:pStyle w:val="TOC3"/>
            <w:tabs>
              <w:tab w:val="right" w:pos="9350"/>
            </w:tabs>
            <w:rPr>
              <w:rFonts w:eastAsiaTheme="minorEastAsia" w:cstheme="minorBidi"/>
              <w:noProof/>
              <w:sz w:val="24"/>
              <w:szCs w:val="24"/>
            </w:rPr>
          </w:pPr>
          <w:hyperlink w:anchor="_Toc162267052" w:history="1">
            <w:r w:rsidR="00736DA9" w:rsidRPr="004372B1">
              <w:rPr>
                <w:rStyle w:val="Hyperlink"/>
                <w:noProof/>
              </w:rPr>
              <w:t>Why Care About Health Equity?</w:t>
            </w:r>
            <w:r w:rsidR="00736DA9">
              <w:rPr>
                <w:noProof/>
                <w:webHidden/>
              </w:rPr>
              <w:tab/>
            </w:r>
            <w:r w:rsidR="00736DA9">
              <w:rPr>
                <w:noProof/>
                <w:webHidden/>
              </w:rPr>
              <w:fldChar w:fldCharType="begin"/>
            </w:r>
            <w:r w:rsidR="00736DA9">
              <w:rPr>
                <w:noProof/>
                <w:webHidden/>
              </w:rPr>
              <w:instrText xml:space="preserve"> PAGEREF _Toc162267052 \h </w:instrText>
            </w:r>
            <w:r w:rsidR="00736DA9">
              <w:rPr>
                <w:noProof/>
                <w:webHidden/>
              </w:rPr>
            </w:r>
            <w:r w:rsidR="00736DA9">
              <w:rPr>
                <w:noProof/>
                <w:webHidden/>
              </w:rPr>
              <w:fldChar w:fldCharType="separate"/>
            </w:r>
            <w:r w:rsidR="00736DA9">
              <w:rPr>
                <w:noProof/>
                <w:webHidden/>
              </w:rPr>
              <w:t>75</w:t>
            </w:r>
            <w:r w:rsidR="00736DA9">
              <w:rPr>
                <w:noProof/>
                <w:webHidden/>
              </w:rPr>
              <w:fldChar w:fldCharType="end"/>
            </w:r>
          </w:hyperlink>
        </w:p>
        <w:p w14:paraId="1BAAE91E" w14:textId="12B37BE3" w:rsidR="00736DA9" w:rsidRDefault="00000000">
          <w:pPr>
            <w:pStyle w:val="TOC3"/>
            <w:tabs>
              <w:tab w:val="right" w:pos="9350"/>
            </w:tabs>
            <w:rPr>
              <w:rFonts w:eastAsiaTheme="minorEastAsia" w:cstheme="minorBidi"/>
              <w:noProof/>
              <w:sz w:val="24"/>
              <w:szCs w:val="24"/>
            </w:rPr>
          </w:pPr>
          <w:hyperlink w:anchor="_Toc162267053" w:history="1">
            <w:r w:rsidR="00736DA9" w:rsidRPr="004372B1">
              <w:rPr>
                <w:rStyle w:val="Hyperlink"/>
                <w:noProof/>
              </w:rPr>
              <w:t>Equity, Justice, and the Environment</w:t>
            </w:r>
            <w:r w:rsidR="00736DA9">
              <w:rPr>
                <w:noProof/>
                <w:webHidden/>
              </w:rPr>
              <w:tab/>
            </w:r>
            <w:r w:rsidR="00736DA9">
              <w:rPr>
                <w:noProof/>
                <w:webHidden/>
              </w:rPr>
              <w:fldChar w:fldCharType="begin"/>
            </w:r>
            <w:r w:rsidR="00736DA9">
              <w:rPr>
                <w:noProof/>
                <w:webHidden/>
              </w:rPr>
              <w:instrText xml:space="preserve"> PAGEREF _Toc162267053 \h </w:instrText>
            </w:r>
            <w:r w:rsidR="00736DA9">
              <w:rPr>
                <w:noProof/>
                <w:webHidden/>
              </w:rPr>
            </w:r>
            <w:r w:rsidR="00736DA9">
              <w:rPr>
                <w:noProof/>
                <w:webHidden/>
              </w:rPr>
              <w:fldChar w:fldCharType="separate"/>
            </w:r>
            <w:r w:rsidR="00736DA9">
              <w:rPr>
                <w:noProof/>
                <w:webHidden/>
              </w:rPr>
              <w:t>75</w:t>
            </w:r>
            <w:r w:rsidR="00736DA9">
              <w:rPr>
                <w:noProof/>
                <w:webHidden/>
              </w:rPr>
              <w:fldChar w:fldCharType="end"/>
            </w:r>
          </w:hyperlink>
        </w:p>
        <w:p w14:paraId="06BDEEE8" w14:textId="2F51AED9" w:rsidR="00736DA9" w:rsidRDefault="00000000">
          <w:pPr>
            <w:pStyle w:val="TOC4"/>
            <w:tabs>
              <w:tab w:val="right" w:pos="9350"/>
            </w:tabs>
            <w:rPr>
              <w:rFonts w:eastAsiaTheme="minorEastAsia" w:cstheme="minorBidi"/>
              <w:noProof/>
              <w:sz w:val="24"/>
              <w:szCs w:val="24"/>
            </w:rPr>
          </w:pPr>
          <w:hyperlink w:anchor="_Toc162267054" w:history="1">
            <w:r w:rsidR="00736DA9" w:rsidRPr="004372B1">
              <w:rPr>
                <w:rStyle w:val="Hyperlink"/>
                <w:noProof/>
              </w:rPr>
              <w:t>References 5.2</w:t>
            </w:r>
            <w:r w:rsidR="00736DA9">
              <w:rPr>
                <w:noProof/>
                <w:webHidden/>
              </w:rPr>
              <w:tab/>
            </w:r>
            <w:r w:rsidR="00736DA9">
              <w:rPr>
                <w:noProof/>
                <w:webHidden/>
              </w:rPr>
              <w:fldChar w:fldCharType="begin"/>
            </w:r>
            <w:r w:rsidR="00736DA9">
              <w:rPr>
                <w:noProof/>
                <w:webHidden/>
              </w:rPr>
              <w:instrText xml:space="preserve"> PAGEREF _Toc162267054 \h </w:instrText>
            </w:r>
            <w:r w:rsidR="00736DA9">
              <w:rPr>
                <w:noProof/>
                <w:webHidden/>
              </w:rPr>
            </w:r>
            <w:r w:rsidR="00736DA9">
              <w:rPr>
                <w:noProof/>
                <w:webHidden/>
              </w:rPr>
              <w:fldChar w:fldCharType="separate"/>
            </w:r>
            <w:r w:rsidR="00736DA9">
              <w:rPr>
                <w:noProof/>
                <w:webHidden/>
              </w:rPr>
              <w:t>76</w:t>
            </w:r>
            <w:r w:rsidR="00736DA9">
              <w:rPr>
                <w:noProof/>
                <w:webHidden/>
              </w:rPr>
              <w:fldChar w:fldCharType="end"/>
            </w:r>
          </w:hyperlink>
        </w:p>
        <w:p w14:paraId="3F82E6F0" w14:textId="15920FB1" w:rsidR="00736DA9" w:rsidRDefault="00000000">
          <w:pPr>
            <w:pStyle w:val="TOC3"/>
            <w:tabs>
              <w:tab w:val="right" w:pos="9350"/>
            </w:tabs>
            <w:rPr>
              <w:rFonts w:eastAsiaTheme="minorEastAsia" w:cstheme="minorBidi"/>
              <w:noProof/>
              <w:sz w:val="24"/>
              <w:szCs w:val="24"/>
            </w:rPr>
          </w:pPr>
          <w:hyperlink w:anchor="_Toc162267055" w:history="1">
            <w:r w:rsidR="00736DA9" w:rsidRPr="004372B1">
              <w:rPr>
                <w:rStyle w:val="Hyperlink"/>
                <w:noProof/>
              </w:rPr>
              <w:t>What are Examples of Environmental Equity and Environmental Justice in South Carolina?</w:t>
            </w:r>
            <w:r w:rsidR="00736DA9">
              <w:rPr>
                <w:noProof/>
                <w:webHidden/>
              </w:rPr>
              <w:tab/>
            </w:r>
            <w:r w:rsidR="00736DA9">
              <w:rPr>
                <w:noProof/>
                <w:webHidden/>
              </w:rPr>
              <w:fldChar w:fldCharType="begin"/>
            </w:r>
            <w:r w:rsidR="00736DA9">
              <w:rPr>
                <w:noProof/>
                <w:webHidden/>
              </w:rPr>
              <w:instrText xml:space="preserve"> PAGEREF _Toc162267055 \h </w:instrText>
            </w:r>
            <w:r w:rsidR="00736DA9">
              <w:rPr>
                <w:noProof/>
                <w:webHidden/>
              </w:rPr>
            </w:r>
            <w:r w:rsidR="00736DA9">
              <w:rPr>
                <w:noProof/>
                <w:webHidden/>
              </w:rPr>
              <w:fldChar w:fldCharType="separate"/>
            </w:r>
            <w:r w:rsidR="00736DA9">
              <w:rPr>
                <w:noProof/>
                <w:webHidden/>
              </w:rPr>
              <w:t>76</w:t>
            </w:r>
            <w:r w:rsidR="00736DA9">
              <w:rPr>
                <w:noProof/>
                <w:webHidden/>
              </w:rPr>
              <w:fldChar w:fldCharType="end"/>
            </w:r>
          </w:hyperlink>
        </w:p>
        <w:p w14:paraId="1BE268EB" w14:textId="3AD83752" w:rsidR="00736DA9" w:rsidRDefault="00000000">
          <w:pPr>
            <w:pStyle w:val="TOC3"/>
            <w:tabs>
              <w:tab w:val="right" w:pos="9350"/>
            </w:tabs>
            <w:rPr>
              <w:rFonts w:eastAsiaTheme="minorEastAsia" w:cstheme="minorBidi"/>
              <w:noProof/>
              <w:sz w:val="24"/>
              <w:szCs w:val="24"/>
            </w:rPr>
          </w:pPr>
          <w:hyperlink w:anchor="_Toc162267056" w:history="1">
            <w:r w:rsidR="00736DA9" w:rsidRPr="004372B1">
              <w:rPr>
                <w:rStyle w:val="Hyperlink"/>
                <w:noProof/>
              </w:rPr>
              <w:t>Identifying Vulnerable Environments and Communities</w:t>
            </w:r>
            <w:r w:rsidR="00736DA9">
              <w:rPr>
                <w:noProof/>
                <w:webHidden/>
              </w:rPr>
              <w:tab/>
            </w:r>
            <w:r w:rsidR="00736DA9">
              <w:rPr>
                <w:noProof/>
                <w:webHidden/>
              </w:rPr>
              <w:fldChar w:fldCharType="begin"/>
            </w:r>
            <w:r w:rsidR="00736DA9">
              <w:rPr>
                <w:noProof/>
                <w:webHidden/>
              </w:rPr>
              <w:instrText xml:space="preserve"> PAGEREF _Toc162267056 \h </w:instrText>
            </w:r>
            <w:r w:rsidR="00736DA9">
              <w:rPr>
                <w:noProof/>
                <w:webHidden/>
              </w:rPr>
            </w:r>
            <w:r w:rsidR="00736DA9">
              <w:rPr>
                <w:noProof/>
                <w:webHidden/>
              </w:rPr>
              <w:fldChar w:fldCharType="separate"/>
            </w:r>
            <w:r w:rsidR="00736DA9">
              <w:rPr>
                <w:noProof/>
                <w:webHidden/>
              </w:rPr>
              <w:t>77</w:t>
            </w:r>
            <w:r w:rsidR="00736DA9">
              <w:rPr>
                <w:noProof/>
                <w:webHidden/>
              </w:rPr>
              <w:fldChar w:fldCharType="end"/>
            </w:r>
          </w:hyperlink>
        </w:p>
        <w:p w14:paraId="57DFD025" w14:textId="05A6752C" w:rsidR="00736DA9" w:rsidRDefault="00000000">
          <w:pPr>
            <w:pStyle w:val="TOC4"/>
            <w:tabs>
              <w:tab w:val="right" w:pos="9350"/>
            </w:tabs>
            <w:rPr>
              <w:rFonts w:eastAsiaTheme="minorEastAsia" w:cstheme="minorBidi"/>
              <w:noProof/>
              <w:sz w:val="24"/>
              <w:szCs w:val="24"/>
            </w:rPr>
          </w:pPr>
          <w:hyperlink w:anchor="_Toc162267057" w:history="1">
            <w:r w:rsidR="00736DA9" w:rsidRPr="004372B1">
              <w:rPr>
                <w:rStyle w:val="Hyperlink"/>
                <w:noProof/>
              </w:rPr>
              <w:t>References 5.3</w:t>
            </w:r>
            <w:r w:rsidR="00736DA9">
              <w:rPr>
                <w:noProof/>
                <w:webHidden/>
              </w:rPr>
              <w:tab/>
            </w:r>
            <w:r w:rsidR="00736DA9">
              <w:rPr>
                <w:noProof/>
                <w:webHidden/>
              </w:rPr>
              <w:fldChar w:fldCharType="begin"/>
            </w:r>
            <w:r w:rsidR="00736DA9">
              <w:rPr>
                <w:noProof/>
                <w:webHidden/>
              </w:rPr>
              <w:instrText xml:space="preserve"> PAGEREF _Toc162267057 \h </w:instrText>
            </w:r>
            <w:r w:rsidR="00736DA9">
              <w:rPr>
                <w:noProof/>
                <w:webHidden/>
              </w:rPr>
            </w:r>
            <w:r w:rsidR="00736DA9">
              <w:rPr>
                <w:noProof/>
                <w:webHidden/>
              </w:rPr>
              <w:fldChar w:fldCharType="separate"/>
            </w:r>
            <w:r w:rsidR="00736DA9">
              <w:rPr>
                <w:noProof/>
                <w:webHidden/>
              </w:rPr>
              <w:t>78</w:t>
            </w:r>
            <w:r w:rsidR="00736DA9">
              <w:rPr>
                <w:noProof/>
                <w:webHidden/>
              </w:rPr>
              <w:fldChar w:fldCharType="end"/>
            </w:r>
          </w:hyperlink>
        </w:p>
        <w:p w14:paraId="4040EDF0" w14:textId="7CBBA0EC" w:rsidR="00736DA9" w:rsidRDefault="00000000">
          <w:pPr>
            <w:pStyle w:val="TOC3"/>
            <w:tabs>
              <w:tab w:val="right" w:pos="9350"/>
            </w:tabs>
            <w:rPr>
              <w:rFonts w:eastAsiaTheme="minorEastAsia" w:cstheme="minorBidi"/>
              <w:noProof/>
              <w:sz w:val="24"/>
              <w:szCs w:val="24"/>
            </w:rPr>
          </w:pPr>
          <w:hyperlink w:anchor="_Toc162267058" w:history="1">
            <w:r w:rsidR="00736DA9" w:rsidRPr="004372B1">
              <w:rPr>
                <w:rStyle w:val="Hyperlink"/>
                <w:noProof/>
              </w:rPr>
              <w:t>What is the Social Vulnerability Index (SVI)?</w:t>
            </w:r>
            <w:r w:rsidR="00736DA9">
              <w:rPr>
                <w:noProof/>
                <w:webHidden/>
              </w:rPr>
              <w:tab/>
            </w:r>
            <w:r w:rsidR="00736DA9">
              <w:rPr>
                <w:noProof/>
                <w:webHidden/>
              </w:rPr>
              <w:fldChar w:fldCharType="begin"/>
            </w:r>
            <w:r w:rsidR="00736DA9">
              <w:rPr>
                <w:noProof/>
                <w:webHidden/>
              </w:rPr>
              <w:instrText xml:space="preserve"> PAGEREF _Toc162267058 \h </w:instrText>
            </w:r>
            <w:r w:rsidR="00736DA9">
              <w:rPr>
                <w:noProof/>
                <w:webHidden/>
              </w:rPr>
            </w:r>
            <w:r w:rsidR="00736DA9">
              <w:rPr>
                <w:noProof/>
                <w:webHidden/>
              </w:rPr>
              <w:fldChar w:fldCharType="separate"/>
            </w:r>
            <w:r w:rsidR="00736DA9">
              <w:rPr>
                <w:noProof/>
                <w:webHidden/>
              </w:rPr>
              <w:t>78</w:t>
            </w:r>
            <w:r w:rsidR="00736DA9">
              <w:rPr>
                <w:noProof/>
                <w:webHidden/>
              </w:rPr>
              <w:fldChar w:fldCharType="end"/>
            </w:r>
          </w:hyperlink>
        </w:p>
        <w:p w14:paraId="15F4E981" w14:textId="0B17B60F" w:rsidR="00736DA9" w:rsidRDefault="00000000">
          <w:pPr>
            <w:pStyle w:val="TOC4"/>
            <w:tabs>
              <w:tab w:val="right" w:pos="9350"/>
            </w:tabs>
            <w:rPr>
              <w:rFonts w:eastAsiaTheme="minorEastAsia" w:cstheme="minorBidi"/>
              <w:noProof/>
              <w:sz w:val="24"/>
              <w:szCs w:val="24"/>
            </w:rPr>
          </w:pPr>
          <w:hyperlink w:anchor="_Toc162267059" w:history="1">
            <w:r w:rsidR="00736DA9" w:rsidRPr="004372B1">
              <w:rPr>
                <w:rStyle w:val="Hyperlink"/>
                <w:noProof/>
              </w:rPr>
              <w:t>Figure 5.2: South Carolina Social Vulnerable Index, by County, 2020.</w:t>
            </w:r>
            <w:r w:rsidR="00736DA9">
              <w:rPr>
                <w:noProof/>
                <w:webHidden/>
              </w:rPr>
              <w:tab/>
            </w:r>
            <w:r w:rsidR="00736DA9">
              <w:rPr>
                <w:noProof/>
                <w:webHidden/>
              </w:rPr>
              <w:fldChar w:fldCharType="begin"/>
            </w:r>
            <w:r w:rsidR="00736DA9">
              <w:rPr>
                <w:noProof/>
                <w:webHidden/>
              </w:rPr>
              <w:instrText xml:space="preserve"> PAGEREF _Toc162267059 \h </w:instrText>
            </w:r>
            <w:r w:rsidR="00736DA9">
              <w:rPr>
                <w:noProof/>
                <w:webHidden/>
              </w:rPr>
            </w:r>
            <w:r w:rsidR="00736DA9">
              <w:rPr>
                <w:noProof/>
                <w:webHidden/>
              </w:rPr>
              <w:fldChar w:fldCharType="separate"/>
            </w:r>
            <w:r w:rsidR="00736DA9">
              <w:rPr>
                <w:noProof/>
                <w:webHidden/>
              </w:rPr>
              <w:t>78</w:t>
            </w:r>
            <w:r w:rsidR="00736DA9">
              <w:rPr>
                <w:noProof/>
                <w:webHidden/>
              </w:rPr>
              <w:fldChar w:fldCharType="end"/>
            </w:r>
          </w:hyperlink>
        </w:p>
        <w:p w14:paraId="6FAEC11E" w14:textId="416FD24C" w:rsidR="00736DA9" w:rsidRDefault="00000000">
          <w:pPr>
            <w:pStyle w:val="TOC3"/>
            <w:tabs>
              <w:tab w:val="right" w:pos="9350"/>
            </w:tabs>
            <w:rPr>
              <w:rFonts w:eastAsiaTheme="minorEastAsia" w:cstheme="minorBidi"/>
              <w:noProof/>
              <w:sz w:val="24"/>
              <w:szCs w:val="24"/>
            </w:rPr>
          </w:pPr>
          <w:hyperlink w:anchor="_Toc162267060" w:history="1">
            <w:r w:rsidR="00736DA9" w:rsidRPr="004372B1">
              <w:rPr>
                <w:rStyle w:val="Hyperlink"/>
                <w:noProof/>
              </w:rPr>
              <w:t>What is Being Done to Mitigate Social Vulnerability?</w:t>
            </w:r>
            <w:r w:rsidR="00736DA9">
              <w:rPr>
                <w:noProof/>
                <w:webHidden/>
              </w:rPr>
              <w:tab/>
            </w:r>
            <w:r w:rsidR="00736DA9">
              <w:rPr>
                <w:noProof/>
                <w:webHidden/>
              </w:rPr>
              <w:fldChar w:fldCharType="begin"/>
            </w:r>
            <w:r w:rsidR="00736DA9">
              <w:rPr>
                <w:noProof/>
                <w:webHidden/>
              </w:rPr>
              <w:instrText xml:space="preserve"> PAGEREF _Toc162267060 \h </w:instrText>
            </w:r>
            <w:r w:rsidR="00736DA9">
              <w:rPr>
                <w:noProof/>
                <w:webHidden/>
              </w:rPr>
            </w:r>
            <w:r w:rsidR="00736DA9">
              <w:rPr>
                <w:noProof/>
                <w:webHidden/>
              </w:rPr>
              <w:fldChar w:fldCharType="separate"/>
            </w:r>
            <w:r w:rsidR="00736DA9">
              <w:rPr>
                <w:noProof/>
                <w:webHidden/>
              </w:rPr>
              <w:t>80</w:t>
            </w:r>
            <w:r w:rsidR="00736DA9">
              <w:rPr>
                <w:noProof/>
                <w:webHidden/>
              </w:rPr>
              <w:fldChar w:fldCharType="end"/>
            </w:r>
          </w:hyperlink>
        </w:p>
        <w:p w14:paraId="1E339223" w14:textId="2EB483EB" w:rsidR="00736DA9" w:rsidRDefault="00000000">
          <w:pPr>
            <w:pStyle w:val="TOC4"/>
            <w:tabs>
              <w:tab w:val="right" w:pos="9350"/>
            </w:tabs>
            <w:rPr>
              <w:rFonts w:eastAsiaTheme="minorEastAsia" w:cstheme="minorBidi"/>
              <w:noProof/>
              <w:sz w:val="24"/>
              <w:szCs w:val="24"/>
            </w:rPr>
          </w:pPr>
          <w:hyperlink w:anchor="_Toc162267061" w:history="1">
            <w:r w:rsidR="00736DA9" w:rsidRPr="004372B1">
              <w:rPr>
                <w:rStyle w:val="Hyperlink"/>
                <w:noProof/>
              </w:rPr>
              <w:t>References 5.4</w:t>
            </w:r>
            <w:r w:rsidR="00736DA9">
              <w:rPr>
                <w:noProof/>
                <w:webHidden/>
              </w:rPr>
              <w:tab/>
            </w:r>
            <w:r w:rsidR="00736DA9">
              <w:rPr>
                <w:noProof/>
                <w:webHidden/>
              </w:rPr>
              <w:fldChar w:fldCharType="begin"/>
            </w:r>
            <w:r w:rsidR="00736DA9">
              <w:rPr>
                <w:noProof/>
                <w:webHidden/>
              </w:rPr>
              <w:instrText xml:space="preserve"> PAGEREF _Toc162267061 \h </w:instrText>
            </w:r>
            <w:r w:rsidR="00736DA9">
              <w:rPr>
                <w:noProof/>
                <w:webHidden/>
              </w:rPr>
            </w:r>
            <w:r w:rsidR="00736DA9">
              <w:rPr>
                <w:noProof/>
                <w:webHidden/>
              </w:rPr>
              <w:fldChar w:fldCharType="separate"/>
            </w:r>
            <w:r w:rsidR="00736DA9">
              <w:rPr>
                <w:noProof/>
                <w:webHidden/>
              </w:rPr>
              <w:t>80</w:t>
            </w:r>
            <w:r w:rsidR="00736DA9">
              <w:rPr>
                <w:noProof/>
                <w:webHidden/>
              </w:rPr>
              <w:fldChar w:fldCharType="end"/>
            </w:r>
          </w:hyperlink>
        </w:p>
        <w:p w14:paraId="3B7A1451" w14:textId="05B2A168" w:rsidR="00736DA9" w:rsidRDefault="00000000">
          <w:pPr>
            <w:pStyle w:val="TOC3"/>
            <w:tabs>
              <w:tab w:val="right" w:pos="9350"/>
            </w:tabs>
            <w:rPr>
              <w:rFonts w:eastAsiaTheme="minorEastAsia" w:cstheme="minorBidi"/>
              <w:noProof/>
              <w:sz w:val="24"/>
              <w:szCs w:val="24"/>
            </w:rPr>
          </w:pPr>
          <w:hyperlink w:anchor="_Toc162267062" w:history="1">
            <w:r w:rsidR="00736DA9" w:rsidRPr="004372B1">
              <w:rPr>
                <w:rStyle w:val="Hyperlink"/>
                <w:noProof/>
              </w:rPr>
              <w:t>Highlighting Health Disparities</w:t>
            </w:r>
            <w:r w:rsidR="00736DA9">
              <w:rPr>
                <w:noProof/>
                <w:webHidden/>
              </w:rPr>
              <w:tab/>
            </w:r>
            <w:r w:rsidR="00736DA9">
              <w:rPr>
                <w:noProof/>
                <w:webHidden/>
              </w:rPr>
              <w:fldChar w:fldCharType="begin"/>
            </w:r>
            <w:r w:rsidR="00736DA9">
              <w:rPr>
                <w:noProof/>
                <w:webHidden/>
              </w:rPr>
              <w:instrText xml:space="preserve"> PAGEREF _Toc162267062 \h </w:instrText>
            </w:r>
            <w:r w:rsidR="00736DA9">
              <w:rPr>
                <w:noProof/>
                <w:webHidden/>
              </w:rPr>
            </w:r>
            <w:r w:rsidR="00736DA9">
              <w:rPr>
                <w:noProof/>
                <w:webHidden/>
              </w:rPr>
              <w:fldChar w:fldCharType="separate"/>
            </w:r>
            <w:r w:rsidR="00736DA9">
              <w:rPr>
                <w:noProof/>
                <w:webHidden/>
              </w:rPr>
              <w:t>81</w:t>
            </w:r>
            <w:r w:rsidR="00736DA9">
              <w:rPr>
                <w:noProof/>
                <w:webHidden/>
              </w:rPr>
              <w:fldChar w:fldCharType="end"/>
            </w:r>
          </w:hyperlink>
        </w:p>
        <w:p w14:paraId="556A4BD4" w14:textId="6FCBE05B" w:rsidR="00736DA9" w:rsidRDefault="00000000">
          <w:pPr>
            <w:pStyle w:val="TOC3"/>
            <w:tabs>
              <w:tab w:val="right" w:pos="9350"/>
            </w:tabs>
            <w:rPr>
              <w:rFonts w:eastAsiaTheme="minorEastAsia" w:cstheme="minorBidi"/>
              <w:noProof/>
              <w:sz w:val="24"/>
              <w:szCs w:val="24"/>
            </w:rPr>
          </w:pPr>
          <w:hyperlink w:anchor="_Toc162267063" w:history="1">
            <w:r w:rsidR="00736DA9" w:rsidRPr="004372B1">
              <w:rPr>
                <w:rStyle w:val="Hyperlink"/>
                <w:noProof/>
              </w:rPr>
              <w:t>Examples of Health Disparities in South Carolina</w:t>
            </w:r>
            <w:r w:rsidR="00736DA9">
              <w:rPr>
                <w:noProof/>
                <w:webHidden/>
              </w:rPr>
              <w:tab/>
            </w:r>
            <w:r w:rsidR="00736DA9">
              <w:rPr>
                <w:noProof/>
                <w:webHidden/>
              </w:rPr>
              <w:fldChar w:fldCharType="begin"/>
            </w:r>
            <w:r w:rsidR="00736DA9">
              <w:rPr>
                <w:noProof/>
                <w:webHidden/>
              </w:rPr>
              <w:instrText xml:space="preserve"> PAGEREF _Toc162267063 \h </w:instrText>
            </w:r>
            <w:r w:rsidR="00736DA9">
              <w:rPr>
                <w:noProof/>
                <w:webHidden/>
              </w:rPr>
            </w:r>
            <w:r w:rsidR="00736DA9">
              <w:rPr>
                <w:noProof/>
                <w:webHidden/>
              </w:rPr>
              <w:fldChar w:fldCharType="separate"/>
            </w:r>
            <w:r w:rsidR="00736DA9">
              <w:rPr>
                <w:noProof/>
                <w:webHidden/>
              </w:rPr>
              <w:t>81</w:t>
            </w:r>
            <w:r w:rsidR="00736DA9">
              <w:rPr>
                <w:noProof/>
                <w:webHidden/>
              </w:rPr>
              <w:fldChar w:fldCharType="end"/>
            </w:r>
          </w:hyperlink>
        </w:p>
        <w:p w14:paraId="69EBED23" w14:textId="39C294C8" w:rsidR="00736DA9" w:rsidRDefault="00000000">
          <w:pPr>
            <w:pStyle w:val="TOC4"/>
            <w:tabs>
              <w:tab w:val="right" w:pos="9350"/>
            </w:tabs>
            <w:rPr>
              <w:rFonts w:eastAsiaTheme="minorEastAsia" w:cstheme="minorBidi"/>
              <w:noProof/>
              <w:sz w:val="24"/>
              <w:szCs w:val="24"/>
            </w:rPr>
          </w:pPr>
          <w:hyperlink w:anchor="_Toc162267064" w:history="1">
            <w:r w:rsidR="00736DA9" w:rsidRPr="004372B1">
              <w:rPr>
                <w:rStyle w:val="Hyperlink"/>
                <w:noProof/>
              </w:rPr>
              <w:t>I. Diabetes</w:t>
            </w:r>
            <w:r w:rsidR="00736DA9">
              <w:rPr>
                <w:noProof/>
                <w:webHidden/>
              </w:rPr>
              <w:tab/>
            </w:r>
            <w:r w:rsidR="00736DA9">
              <w:rPr>
                <w:noProof/>
                <w:webHidden/>
              </w:rPr>
              <w:fldChar w:fldCharType="begin"/>
            </w:r>
            <w:r w:rsidR="00736DA9">
              <w:rPr>
                <w:noProof/>
                <w:webHidden/>
              </w:rPr>
              <w:instrText xml:space="preserve"> PAGEREF _Toc162267064 \h </w:instrText>
            </w:r>
            <w:r w:rsidR="00736DA9">
              <w:rPr>
                <w:noProof/>
                <w:webHidden/>
              </w:rPr>
            </w:r>
            <w:r w:rsidR="00736DA9">
              <w:rPr>
                <w:noProof/>
                <w:webHidden/>
              </w:rPr>
              <w:fldChar w:fldCharType="separate"/>
            </w:r>
            <w:r w:rsidR="00736DA9">
              <w:rPr>
                <w:noProof/>
                <w:webHidden/>
              </w:rPr>
              <w:t>81</w:t>
            </w:r>
            <w:r w:rsidR="00736DA9">
              <w:rPr>
                <w:noProof/>
                <w:webHidden/>
              </w:rPr>
              <w:fldChar w:fldCharType="end"/>
            </w:r>
          </w:hyperlink>
        </w:p>
        <w:p w14:paraId="1AF551DA" w14:textId="08326A9C" w:rsidR="00736DA9" w:rsidRDefault="00000000">
          <w:pPr>
            <w:pStyle w:val="TOC4"/>
            <w:tabs>
              <w:tab w:val="right" w:pos="9350"/>
            </w:tabs>
            <w:rPr>
              <w:rFonts w:eastAsiaTheme="minorEastAsia" w:cstheme="minorBidi"/>
              <w:noProof/>
              <w:sz w:val="24"/>
              <w:szCs w:val="24"/>
            </w:rPr>
          </w:pPr>
          <w:hyperlink w:anchor="_Toc162267065" w:history="1">
            <w:r w:rsidR="00736DA9" w:rsidRPr="004372B1">
              <w:rPr>
                <w:rStyle w:val="Hyperlink"/>
                <w:noProof/>
              </w:rPr>
              <w:t>Figure 5.3: Diabetes Hospitalizations in ZIP Code 29203, by Race.</w:t>
            </w:r>
            <w:r w:rsidR="00736DA9">
              <w:rPr>
                <w:noProof/>
                <w:webHidden/>
              </w:rPr>
              <w:tab/>
            </w:r>
            <w:r w:rsidR="00736DA9">
              <w:rPr>
                <w:noProof/>
                <w:webHidden/>
              </w:rPr>
              <w:fldChar w:fldCharType="begin"/>
            </w:r>
            <w:r w:rsidR="00736DA9">
              <w:rPr>
                <w:noProof/>
                <w:webHidden/>
              </w:rPr>
              <w:instrText xml:space="preserve"> PAGEREF _Toc162267065 \h </w:instrText>
            </w:r>
            <w:r w:rsidR="00736DA9">
              <w:rPr>
                <w:noProof/>
                <w:webHidden/>
              </w:rPr>
            </w:r>
            <w:r w:rsidR="00736DA9">
              <w:rPr>
                <w:noProof/>
                <w:webHidden/>
              </w:rPr>
              <w:fldChar w:fldCharType="separate"/>
            </w:r>
            <w:r w:rsidR="00736DA9">
              <w:rPr>
                <w:noProof/>
                <w:webHidden/>
              </w:rPr>
              <w:t>82</w:t>
            </w:r>
            <w:r w:rsidR="00736DA9">
              <w:rPr>
                <w:noProof/>
                <w:webHidden/>
              </w:rPr>
              <w:fldChar w:fldCharType="end"/>
            </w:r>
          </w:hyperlink>
        </w:p>
        <w:p w14:paraId="5051CE85" w14:textId="6268E642" w:rsidR="00736DA9" w:rsidRDefault="00000000">
          <w:pPr>
            <w:pStyle w:val="TOC4"/>
            <w:tabs>
              <w:tab w:val="right" w:pos="9350"/>
            </w:tabs>
            <w:rPr>
              <w:rFonts w:eastAsiaTheme="minorEastAsia" w:cstheme="minorBidi"/>
              <w:noProof/>
              <w:sz w:val="24"/>
              <w:szCs w:val="24"/>
            </w:rPr>
          </w:pPr>
          <w:hyperlink w:anchor="_Toc162267066" w:history="1">
            <w:r w:rsidR="00736DA9" w:rsidRPr="004372B1">
              <w:rPr>
                <w:rStyle w:val="Hyperlink"/>
                <w:noProof/>
              </w:rPr>
              <w:t>References 5.5</w:t>
            </w:r>
            <w:r w:rsidR="00736DA9">
              <w:rPr>
                <w:noProof/>
                <w:webHidden/>
              </w:rPr>
              <w:tab/>
            </w:r>
            <w:r w:rsidR="00736DA9">
              <w:rPr>
                <w:noProof/>
                <w:webHidden/>
              </w:rPr>
              <w:fldChar w:fldCharType="begin"/>
            </w:r>
            <w:r w:rsidR="00736DA9">
              <w:rPr>
                <w:noProof/>
                <w:webHidden/>
              </w:rPr>
              <w:instrText xml:space="preserve"> PAGEREF _Toc162267066 \h </w:instrText>
            </w:r>
            <w:r w:rsidR="00736DA9">
              <w:rPr>
                <w:noProof/>
                <w:webHidden/>
              </w:rPr>
            </w:r>
            <w:r w:rsidR="00736DA9">
              <w:rPr>
                <w:noProof/>
                <w:webHidden/>
              </w:rPr>
              <w:fldChar w:fldCharType="separate"/>
            </w:r>
            <w:r w:rsidR="00736DA9">
              <w:rPr>
                <w:noProof/>
                <w:webHidden/>
              </w:rPr>
              <w:t>82</w:t>
            </w:r>
            <w:r w:rsidR="00736DA9">
              <w:rPr>
                <w:noProof/>
                <w:webHidden/>
              </w:rPr>
              <w:fldChar w:fldCharType="end"/>
            </w:r>
          </w:hyperlink>
        </w:p>
        <w:p w14:paraId="6D6C923D" w14:textId="590049AA" w:rsidR="00736DA9" w:rsidRDefault="00000000">
          <w:pPr>
            <w:pStyle w:val="TOC4"/>
            <w:tabs>
              <w:tab w:val="right" w:pos="9350"/>
            </w:tabs>
            <w:rPr>
              <w:rFonts w:eastAsiaTheme="minorEastAsia" w:cstheme="minorBidi"/>
              <w:noProof/>
              <w:sz w:val="24"/>
              <w:szCs w:val="24"/>
            </w:rPr>
          </w:pPr>
          <w:hyperlink w:anchor="_Toc162267067" w:history="1">
            <w:r w:rsidR="00736DA9" w:rsidRPr="004372B1">
              <w:rPr>
                <w:rStyle w:val="Hyperlink"/>
                <w:noProof/>
              </w:rPr>
              <w:t>II. Maternal Mortality</w:t>
            </w:r>
            <w:r w:rsidR="00736DA9">
              <w:rPr>
                <w:noProof/>
                <w:webHidden/>
              </w:rPr>
              <w:tab/>
            </w:r>
            <w:r w:rsidR="00736DA9">
              <w:rPr>
                <w:noProof/>
                <w:webHidden/>
              </w:rPr>
              <w:fldChar w:fldCharType="begin"/>
            </w:r>
            <w:r w:rsidR="00736DA9">
              <w:rPr>
                <w:noProof/>
                <w:webHidden/>
              </w:rPr>
              <w:instrText xml:space="preserve"> PAGEREF _Toc162267067 \h </w:instrText>
            </w:r>
            <w:r w:rsidR="00736DA9">
              <w:rPr>
                <w:noProof/>
                <w:webHidden/>
              </w:rPr>
            </w:r>
            <w:r w:rsidR="00736DA9">
              <w:rPr>
                <w:noProof/>
                <w:webHidden/>
              </w:rPr>
              <w:fldChar w:fldCharType="separate"/>
            </w:r>
            <w:r w:rsidR="00736DA9">
              <w:rPr>
                <w:noProof/>
                <w:webHidden/>
              </w:rPr>
              <w:t>83</w:t>
            </w:r>
            <w:r w:rsidR="00736DA9">
              <w:rPr>
                <w:noProof/>
                <w:webHidden/>
              </w:rPr>
              <w:fldChar w:fldCharType="end"/>
            </w:r>
          </w:hyperlink>
        </w:p>
        <w:p w14:paraId="79332AC3" w14:textId="26E83879" w:rsidR="00736DA9" w:rsidRDefault="00000000">
          <w:pPr>
            <w:pStyle w:val="TOC4"/>
            <w:tabs>
              <w:tab w:val="right" w:pos="9350"/>
            </w:tabs>
            <w:rPr>
              <w:rFonts w:eastAsiaTheme="minorEastAsia" w:cstheme="minorBidi"/>
              <w:noProof/>
              <w:sz w:val="24"/>
              <w:szCs w:val="24"/>
            </w:rPr>
          </w:pPr>
          <w:hyperlink w:anchor="_Toc162267068" w:history="1">
            <w:r w:rsidR="00736DA9" w:rsidRPr="004372B1">
              <w:rPr>
                <w:rStyle w:val="Hyperlink"/>
                <w:noProof/>
              </w:rPr>
              <w:t>Figure 5.4: Maternal Mortality Rate, by Race and Ethnicity, 2018-2019.</w:t>
            </w:r>
            <w:r w:rsidR="00736DA9">
              <w:rPr>
                <w:noProof/>
                <w:webHidden/>
              </w:rPr>
              <w:tab/>
            </w:r>
            <w:r w:rsidR="00736DA9">
              <w:rPr>
                <w:noProof/>
                <w:webHidden/>
              </w:rPr>
              <w:fldChar w:fldCharType="begin"/>
            </w:r>
            <w:r w:rsidR="00736DA9">
              <w:rPr>
                <w:noProof/>
                <w:webHidden/>
              </w:rPr>
              <w:instrText xml:space="preserve"> PAGEREF _Toc162267068 \h </w:instrText>
            </w:r>
            <w:r w:rsidR="00736DA9">
              <w:rPr>
                <w:noProof/>
                <w:webHidden/>
              </w:rPr>
            </w:r>
            <w:r w:rsidR="00736DA9">
              <w:rPr>
                <w:noProof/>
                <w:webHidden/>
              </w:rPr>
              <w:fldChar w:fldCharType="separate"/>
            </w:r>
            <w:r w:rsidR="00736DA9">
              <w:rPr>
                <w:noProof/>
                <w:webHidden/>
              </w:rPr>
              <w:t>83</w:t>
            </w:r>
            <w:r w:rsidR="00736DA9">
              <w:rPr>
                <w:noProof/>
                <w:webHidden/>
              </w:rPr>
              <w:fldChar w:fldCharType="end"/>
            </w:r>
          </w:hyperlink>
        </w:p>
        <w:p w14:paraId="3AFC7DBD" w14:textId="020BC6C5" w:rsidR="00736DA9" w:rsidRDefault="00000000">
          <w:pPr>
            <w:pStyle w:val="TOC4"/>
            <w:tabs>
              <w:tab w:val="right" w:pos="9350"/>
            </w:tabs>
            <w:rPr>
              <w:rFonts w:eastAsiaTheme="minorEastAsia" w:cstheme="minorBidi"/>
              <w:noProof/>
              <w:sz w:val="24"/>
              <w:szCs w:val="24"/>
            </w:rPr>
          </w:pPr>
          <w:hyperlink w:anchor="_Toc162267069" w:history="1">
            <w:r w:rsidR="00736DA9" w:rsidRPr="004372B1">
              <w:rPr>
                <w:rStyle w:val="Hyperlink"/>
                <w:noProof/>
              </w:rPr>
              <w:t>Figure 5.5: Chronic Health Burden (CHB) and Preterm Birth (PTB) in South Carolina, by County, 2022.</w:t>
            </w:r>
            <w:r w:rsidR="00736DA9">
              <w:rPr>
                <w:noProof/>
                <w:webHidden/>
              </w:rPr>
              <w:tab/>
            </w:r>
            <w:r w:rsidR="00736DA9">
              <w:rPr>
                <w:noProof/>
                <w:webHidden/>
              </w:rPr>
              <w:fldChar w:fldCharType="begin"/>
            </w:r>
            <w:r w:rsidR="00736DA9">
              <w:rPr>
                <w:noProof/>
                <w:webHidden/>
              </w:rPr>
              <w:instrText xml:space="preserve"> PAGEREF _Toc162267069 \h </w:instrText>
            </w:r>
            <w:r w:rsidR="00736DA9">
              <w:rPr>
                <w:noProof/>
                <w:webHidden/>
              </w:rPr>
            </w:r>
            <w:r w:rsidR="00736DA9">
              <w:rPr>
                <w:noProof/>
                <w:webHidden/>
              </w:rPr>
              <w:fldChar w:fldCharType="separate"/>
            </w:r>
            <w:r w:rsidR="00736DA9">
              <w:rPr>
                <w:noProof/>
                <w:webHidden/>
              </w:rPr>
              <w:t>84</w:t>
            </w:r>
            <w:r w:rsidR="00736DA9">
              <w:rPr>
                <w:noProof/>
                <w:webHidden/>
              </w:rPr>
              <w:fldChar w:fldCharType="end"/>
            </w:r>
          </w:hyperlink>
        </w:p>
        <w:p w14:paraId="0370A217" w14:textId="11698B23" w:rsidR="00736DA9" w:rsidRDefault="00000000">
          <w:pPr>
            <w:pStyle w:val="TOC4"/>
            <w:tabs>
              <w:tab w:val="right" w:pos="9350"/>
            </w:tabs>
            <w:rPr>
              <w:rFonts w:eastAsiaTheme="minorEastAsia" w:cstheme="minorBidi"/>
              <w:noProof/>
              <w:sz w:val="24"/>
              <w:szCs w:val="24"/>
            </w:rPr>
          </w:pPr>
          <w:hyperlink w:anchor="_Toc162267070" w:history="1">
            <w:r w:rsidR="00736DA9" w:rsidRPr="004372B1">
              <w:rPr>
                <w:rStyle w:val="Hyperlink"/>
                <w:noProof/>
              </w:rPr>
              <w:t>Figure 5.6: Distance to Birthing Hospital in South Carolina, by County, 2022.</w:t>
            </w:r>
            <w:r w:rsidR="00736DA9">
              <w:rPr>
                <w:noProof/>
                <w:webHidden/>
              </w:rPr>
              <w:tab/>
            </w:r>
            <w:r w:rsidR="00736DA9">
              <w:rPr>
                <w:noProof/>
                <w:webHidden/>
              </w:rPr>
              <w:fldChar w:fldCharType="begin"/>
            </w:r>
            <w:r w:rsidR="00736DA9">
              <w:rPr>
                <w:noProof/>
                <w:webHidden/>
              </w:rPr>
              <w:instrText xml:space="preserve"> PAGEREF _Toc162267070 \h </w:instrText>
            </w:r>
            <w:r w:rsidR="00736DA9">
              <w:rPr>
                <w:noProof/>
                <w:webHidden/>
              </w:rPr>
            </w:r>
            <w:r w:rsidR="00736DA9">
              <w:rPr>
                <w:noProof/>
                <w:webHidden/>
              </w:rPr>
              <w:fldChar w:fldCharType="separate"/>
            </w:r>
            <w:r w:rsidR="00736DA9">
              <w:rPr>
                <w:noProof/>
                <w:webHidden/>
              </w:rPr>
              <w:t>86</w:t>
            </w:r>
            <w:r w:rsidR="00736DA9">
              <w:rPr>
                <w:noProof/>
                <w:webHidden/>
              </w:rPr>
              <w:fldChar w:fldCharType="end"/>
            </w:r>
          </w:hyperlink>
        </w:p>
        <w:p w14:paraId="13070B73" w14:textId="2FA3A2A9" w:rsidR="00736DA9" w:rsidRDefault="00000000">
          <w:pPr>
            <w:pStyle w:val="TOC4"/>
            <w:tabs>
              <w:tab w:val="right" w:pos="9350"/>
            </w:tabs>
            <w:rPr>
              <w:rFonts w:eastAsiaTheme="minorEastAsia" w:cstheme="minorBidi"/>
              <w:noProof/>
              <w:sz w:val="24"/>
              <w:szCs w:val="24"/>
            </w:rPr>
          </w:pPr>
          <w:hyperlink w:anchor="_Toc162267071" w:history="1">
            <w:r w:rsidR="00736DA9" w:rsidRPr="004372B1">
              <w:rPr>
                <w:rStyle w:val="Hyperlink"/>
                <w:noProof/>
              </w:rPr>
              <w:t>References 5.6</w:t>
            </w:r>
            <w:r w:rsidR="00736DA9">
              <w:rPr>
                <w:noProof/>
                <w:webHidden/>
              </w:rPr>
              <w:tab/>
            </w:r>
            <w:r w:rsidR="00736DA9">
              <w:rPr>
                <w:noProof/>
                <w:webHidden/>
              </w:rPr>
              <w:fldChar w:fldCharType="begin"/>
            </w:r>
            <w:r w:rsidR="00736DA9">
              <w:rPr>
                <w:noProof/>
                <w:webHidden/>
              </w:rPr>
              <w:instrText xml:space="preserve"> PAGEREF _Toc162267071 \h </w:instrText>
            </w:r>
            <w:r w:rsidR="00736DA9">
              <w:rPr>
                <w:noProof/>
                <w:webHidden/>
              </w:rPr>
            </w:r>
            <w:r w:rsidR="00736DA9">
              <w:rPr>
                <w:noProof/>
                <w:webHidden/>
              </w:rPr>
              <w:fldChar w:fldCharType="separate"/>
            </w:r>
            <w:r w:rsidR="00736DA9">
              <w:rPr>
                <w:noProof/>
                <w:webHidden/>
              </w:rPr>
              <w:t>88</w:t>
            </w:r>
            <w:r w:rsidR="00736DA9">
              <w:rPr>
                <w:noProof/>
                <w:webHidden/>
              </w:rPr>
              <w:fldChar w:fldCharType="end"/>
            </w:r>
          </w:hyperlink>
        </w:p>
        <w:p w14:paraId="104EEC02" w14:textId="6F96987D" w:rsidR="00736DA9" w:rsidRDefault="00000000">
          <w:pPr>
            <w:pStyle w:val="TOC4"/>
            <w:tabs>
              <w:tab w:val="right" w:pos="9350"/>
            </w:tabs>
            <w:rPr>
              <w:rFonts w:eastAsiaTheme="minorEastAsia" w:cstheme="minorBidi"/>
              <w:noProof/>
              <w:sz w:val="24"/>
              <w:szCs w:val="24"/>
            </w:rPr>
          </w:pPr>
          <w:hyperlink w:anchor="_Toc162267072" w:history="1">
            <w:r w:rsidR="00736DA9" w:rsidRPr="004372B1">
              <w:rPr>
                <w:rStyle w:val="Hyperlink"/>
                <w:noProof/>
              </w:rPr>
              <w:t>III. Infant Mortality</w:t>
            </w:r>
            <w:r w:rsidR="00736DA9">
              <w:rPr>
                <w:noProof/>
                <w:webHidden/>
              </w:rPr>
              <w:tab/>
            </w:r>
            <w:r w:rsidR="00736DA9">
              <w:rPr>
                <w:noProof/>
                <w:webHidden/>
              </w:rPr>
              <w:fldChar w:fldCharType="begin"/>
            </w:r>
            <w:r w:rsidR="00736DA9">
              <w:rPr>
                <w:noProof/>
                <w:webHidden/>
              </w:rPr>
              <w:instrText xml:space="preserve"> PAGEREF _Toc162267072 \h </w:instrText>
            </w:r>
            <w:r w:rsidR="00736DA9">
              <w:rPr>
                <w:noProof/>
                <w:webHidden/>
              </w:rPr>
            </w:r>
            <w:r w:rsidR="00736DA9">
              <w:rPr>
                <w:noProof/>
                <w:webHidden/>
              </w:rPr>
              <w:fldChar w:fldCharType="separate"/>
            </w:r>
            <w:r w:rsidR="00736DA9">
              <w:rPr>
                <w:noProof/>
                <w:webHidden/>
              </w:rPr>
              <w:t>88</w:t>
            </w:r>
            <w:r w:rsidR="00736DA9">
              <w:rPr>
                <w:noProof/>
                <w:webHidden/>
              </w:rPr>
              <w:fldChar w:fldCharType="end"/>
            </w:r>
          </w:hyperlink>
        </w:p>
        <w:p w14:paraId="3EC0C92A" w14:textId="7A6F669C" w:rsidR="00736DA9" w:rsidRDefault="00000000">
          <w:pPr>
            <w:pStyle w:val="TOC4"/>
            <w:tabs>
              <w:tab w:val="right" w:pos="9350"/>
            </w:tabs>
            <w:rPr>
              <w:rFonts w:eastAsiaTheme="minorEastAsia" w:cstheme="minorBidi"/>
              <w:noProof/>
              <w:sz w:val="24"/>
              <w:szCs w:val="24"/>
            </w:rPr>
          </w:pPr>
          <w:hyperlink w:anchor="_Toc162267073" w:history="1">
            <w:r w:rsidR="00736DA9" w:rsidRPr="004372B1">
              <w:rPr>
                <w:rStyle w:val="Hyperlink"/>
                <w:noProof/>
              </w:rPr>
              <w:t>Figure 5.7: Trend in Infant Mortality, by Race and Hispanic Origin* of Mother, 2017-2021.</w:t>
            </w:r>
            <w:r w:rsidR="00736DA9">
              <w:rPr>
                <w:noProof/>
                <w:webHidden/>
              </w:rPr>
              <w:tab/>
            </w:r>
            <w:r w:rsidR="00736DA9">
              <w:rPr>
                <w:noProof/>
                <w:webHidden/>
              </w:rPr>
              <w:fldChar w:fldCharType="begin"/>
            </w:r>
            <w:r w:rsidR="00736DA9">
              <w:rPr>
                <w:noProof/>
                <w:webHidden/>
              </w:rPr>
              <w:instrText xml:space="preserve"> PAGEREF _Toc162267073 \h </w:instrText>
            </w:r>
            <w:r w:rsidR="00736DA9">
              <w:rPr>
                <w:noProof/>
                <w:webHidden/>
              </w:rPr>
            </w:r>
            <w:r w:rsidR="00736DA9">
              <w:rPr>
                <w:noProof/>
                <w:webHidden/>
              </w:rPr>
              <w:fldChar w:fldCharType="separate"/>
            </w:r>
            <w:r w:rsidR="00736DA9">
              <w:rPr>
                <w:noProof/>
                <w:webHidden/>
              </w:rPr>
              <w:t>89</w:t>
            </w:r>
            <w:r w:rsidR="00736DA9">
              <w:rPr>
                <w:noProof/>
                <w:webHidden/>
              </w:rPr>
              <w:fldChar w:fldCharType="end"/>
            </w:r>
          </w:hyperlink>
        </w:p>
        <w:p w14:paraId="04F23231" w14:textId="2A121A33" w:rsidR="00736DA9" w:rsidRDefault="00000000">
          <w:pPr>
            <w:pStyle w:val="TOC4"/>
            <w:tabs>
              <w:tab w:val="right" w:pos="9350"/>
            </w:tabs>
            <w:rPr>
              <w:rFonts w:eastAsiaTheme="minorEastAsia" w:cstheme="minorBidi"/>
              <w:noProof/>
              <w:sz w:val="24"/>
              <w:szCs w:val="24"/>
            </w:rPr>
          </w:pPr>
          <w:hyperlink w:anchor="_Toc162267074" w:history="1">
            <w:r w:rsidR="00736DA9" w:rsidRPr="004372B1">
              <w:rPr>
                <w:rStyle w:val="Hyperlink"/>
                <w:noProof/>
              </w:rPr>
              <w:t>Figure 5.8: Infant, Neonatal and Post Neonatal Mortality, by Race and Hispanic Origin of Mother, 2021.</w:t>
            </w:r>
            <w:r w:rsidR="00736DA9">
              <w:rPr>
                <w:noProof/>
                <w:webHidden/>
              </w:rPr>
              <w:tab/>
            </w:r>
            <w:r w:rsidR="00736DA9">
              <w:rPr>
                <w:noProof/>
                <w:webHidden/>
              </w:rPr>
              <w:fldChar w:fldCharType="begin"/>
            </w:r>
            <w:r w:rsidR="00736DA9">
              <w:rPr>
                <w:noProof/>
                <w:webHidden/>
              </w:rPr>
              <w:instrText xml:space="preserve"> PAGEREF _Toc162267074 \h </w:instrText>
            </w:r>
            <w:r w:rsidR="00736DA9">
              <w:rPr>
                <w:noProof/>
                <w:webHidden/>
              </w:rPr>
            </w:r>
            <w:r w:rsidR="00736DA9">
              <w:rPr>
                <w:noProof/>
                <w:webHidden/>
              </w:rPr>
              <w:fldChar w:fldCharType="separate"/>
            </w:r>
            <w:r w:rsidR="00736DA9">
              <w:rPr>
                <w:noProof/>
                <w:webHidden/>
              </w:rPr>
              <w:t>89</w:t>
            </w:r>
            <w:r w:rsidR="00736DA9">
              <w:rPr>
                <w:noProof/>
                <w:webHidden/>
              </w:rPr>
              <w:fldChar w:fldCharType="end"/>
            </w:r>
          </w:hyperlink>
        </w:p>
        <w:p w14:paraId="5A7C44C9" w14:textId="1A0CF4E4" w:rsidR="00736DA9" w:rsidRDefault="00000000">
          <w:pPr>
            <w:pStyle w:val="TOC4"/>
            <w:tabs>
              <w:tab w:val="right" w:pos="9350"/>
            </w:tabs>
            <w:rPr>
              <w:rFonts w:eastAsiaTheme="minorEastAsia" w:cstheme="minorBidi"/>
              <w:noProof/>
              <w:sz w:val="24"/>
              <w:szCs w:val="24"/>
            </w:rPr>
          </w:pPr>
          <w:hyperlink w:anchor="_Toc162267075" w:history="1">
            <w:r w:rsidR="00736DA9" w:rsidRPr="004372B1">
              <w:rPr>
                <w:rStyle w:val="Hyperlink"/>
                <w:noProof/>
              </w:rPr>
              <w:t>References 5.7</w:t>
            </w:r>
            <w:r w:rsidR="00736DA9">
              <w:rPr>
                <w:noProof/>
                <w:webHidden/>
              </w:rPr>
              <w:tab/>
            </w:r>
            <w:r w:rsidR="00736DA9">
              <w:rPr>
                <w:noProof/>
                <w:webHidden/>
              </w:rPr>
              <w:fldChar w:fldCharType="begin"/>
            </w:r>
            <w:r w:rsidR="00736DA9">
              <w:rPr>
                <w:noProof/>
                <w:webHidden/>
              </w:rPr>
              <w:instrText xml:space="preserve"> PAGEREF _Toc162267075 \h </w:instrText>
            </w:r>
            <w:r w:rsidR="00736DA9">
              <w:rPr>
                <w:noProof/>
                <w:webHidden/>
              </w:rPr>
            </w:r>
            <w:r w:rsidR="00736DA9">
              <w:rPr>
                <w:noProof/>
                <w:webHidden/>
              </w:rPr>
              <w:fldChar w:fldCharType="separate"/>
            </w:r>
            <w:r w:rsidR="00736DA9">
              <w:rPr>
                <w:noProof/>
                <w:webHidden/>
              </w:rPr>
              <w:t>90</w:t>
            </w:r>
            <w:r w:rsidR="00736DA9">
              <w:rPr>
                <w:noProof/>
                <w:webHidden/>
              </w:rPr>
              <w:fldChar w:fldCharType="end"/>
            </w:r>
          </w:hyperlink>
        </w:p>
        <w:p w14:paraId="6C67BBB1" w14:textId="19DB163E" w:rsidR="00736DA9" w:rsidRDefault="00000000">
          <w:pPr>
            <w:pStyle w:val="TOC4"/>
            <w:tabs>
              <w:tab w:val="right" w:pos="9350"/>
            </w:tabs>
            <w:rPr>
              <w:rFonts w:eastAsiaTheme="minorEastAsia" w:cstheme="minorBidi"/>
              <w:noProof/>
              <w:sz w:val="24"/>
              <w:szCs w:val="24"/>
            </w:rPr>
          </w:pPr>
          <w:hyperlink w:anchor="_Toc162267076" w:history="1">
            <w:r w:rsidR="00736DA9" w:rsidRPr="004372B1">
              <w:rPr>
                <w:rStyle w:val="Hyperlink"/>
                <w:noProof/>
              </w:rPr>
              <w:t>IV. Drug-overdose and the Opioid Crisis</w:t>
            </w:r>
            <w:r w:rsidR="00736DA9">
              <w:rPr>
                <w:noProof/>
                <w:webHidden/>
              </w:rPr>
              <w:tab/>
            </w:r>
            <w:r w:rsidR="00736DA9">
              <w:rPr>
                <w:noProof/>
                <w:webHidden/>
              </w:rPr>
              <w:fldChar w:fldCharType="begin"/>
            </w:r>
            <w:r w:rsidR="00736DA9">
              <w:rPr>
                <w:noProof/>
                <w:webHidden/>
              </w:rPr>
              <w:instrText xml:space="preserve"> PAGEREF _Toc162267076 \h </w:instrText>
            </w:r>
            <w:r w:rsidR="00736DA9">
              <w:rPr>
                <w:noProof/>
                <w:webHidden/>
              </w:rPr>
            </w:r>
            <w:r w:rsidR="00736DA9">
              <w:rPr>
                <w:noProof/>
                <w:webHidden/>
              </w:rPr>
              <w:fldChar w:fldCharType="separate"/>
            </w:r>
            <w:r w:rsidR="00736DA9">
              <w:rPr>
                <w:noProof/>
                <w:webHidden/>
              </w:rPr>
              <w:t>91</w:t>
            </w:r>
            <w:r w:rsidR="00736DA9">
              <w:rPr>
                <w:noProof/>
                <w:webHidden/>
              </w:rPr>
              <w:fldChar w:fldCharType="end"/>
            </w:r>
          </w:hyperlink>
        </w:p>
        <w:p w14:paraId="62986BFC" w14:textId="70E8340D" w:rsidR="00736DA9" w:rsidRDefault="00000000">
          <w:pPr>
            <w:pStyle w:val="TOC4"/>
            <w:tabs>
              <w:tab w:val="right" w:pos="9350"/>
            </w:tabs>
            <w:rPr>
              <w:rFonts w:eastAsiaTheme="minorEastAsia" w:cstheme="minorBidi"/>
              <w:noProof/>
              <w:sz w:val="24"/>
              <w:szCs w:val="24"/>
            </w:rPr>
          </w:pPr>
          <w:hyperlink w:anchor="_Toc162267077" w:history="1">
            <w:r w:rsidR="00736DA9" w:rsidRPr="004372B1">
              <w:rPr>
                <w:rStyle w:val="Hyperlink"/>
                <w:noProof/>
              </w:rPr>
              <w:t>Figure 5.9: Overdose Deaths, by Race and Ethnicity and Rural or Urban Area, United States, 2020.</w:t>
            </w:r>
            <w:r w:rsidR="00736DA9">
              <w:rPr>
                <w:noProof/>
                <w:webHidden/>
              </w:rPr>
              <w:tab/>
            </w:r>
            <w:r w:rsidR="00736DA9">
              <w:rPr>
                <w:noProof/>
                <w:webHidden/>
              </w:rPr>
              <w:fldChar w:fldCharType="begin"/>
            </w:r>
            <w:r w:rsidR="00736DA9">
              <w:rPr>
                <w:noProof/>
                <w:webHidden/>
              </w:rPr>
              <w:instrText xml:space="preserve"> PAGEREF _Toc162267077 \h </w:instrText>
            </w:r>
            <w:r w:rsidR="00736DA9">
              <w:rPr>
                <w:noProof/>
                <w:webHidden/>
              </w:rPr>
            </w:r>
            <w:r w:rsidR="00736DA9">
              <w:rPr>
                <w:noProof/>
                <w:webHidden/>
              </w:rPr>
              <w:fldChar w:fldCharType="separate"/>
            </w:r>
            <w:r w:rsidR="00736DA9">
              <w:rPr>
                <w:noProof/>
                <w:webHidden/>
              </w:rPr>
              <w:t>91</w:t>
            </w:r>
            <w:r w:rsidR="00736DA9">
              <w:rPr>
                <w:noProof/>
                <w:webHidden/>
              </w:rPr>
              <w:fldChar w:fldCharType="end"/>
            </w:r>
          </w:hyperlink>
        </w:p>
        <w:p w14:paraId="0C7397F7" w14:textId="4FF1AA71" w:rsidR="00736DA9" w:rsidRDefault="00000000">
          <w:pPr>
            <w:pStyle w:val="TOC4"/>
            <w:tabs>
              <w:tab w:val="right" w:pos="9350"/>
            </w:tabs>
            <w:rPr>
              <w:rFonts w:eastAsiaTheme="minorEastAsia" w:cstheme="minorBidi"/>
              <w:noProof/>
              <w:sz w:val="24"/>
              <w:szCs w:val="24"/>
            </w:rPr>
          </w:pPr>
          <w:hyperlink w:anchor="_Toc162267078" w:history="1">
            <w:r w:rsidR="00736DA9" w:rsidRPr="004372B1">
              <w:rPr>
                <w:rStyle w:val="Hyperlink"/>
                <w:noProof/>
              </w:rPr>
              <w:t>Figure 5.10: Number of Opioid-Involved Overdose Deaths in South Carolina, by County, 2021.</w:t>
            </w:r>
            <w:r w:rsidR="00736DA9">
              <w:rPr>
                <w:noProof/>
                <w:webHidden/>
              </w:rPr>
              <w:tab/>
            </w:r>
            <w:r w:rsidR="00736DA9">
              <w:rPr>
                <w:noProof/>
                <w:webHidden/>
              </w:rPr>
              <w:fldChar w:fldCharType="begin"/>
            </w:r>
            <w:r w:rsidR="00736DA9">
              <w:rPr>
                <w:noProof/>
                <w:webHidden/>
              </w:rPr>
              <w:instrText xml:space="preserve"> PAGEREF _Toc162267078 \h </w:instrText>
            </w:r>
            <w:r w:rsidR="00736DA9">
              <w:rPr>
                <w:noProof/>
                <w:webHidden/>
              </w:rPr>
            </w:r>
            <w:r w:rsidR="00736DA9">
              <w:rPr>
                <w:noProof/>
                <w:webHidden/>
              </w:rPr>
              <w:fldChar w:fldCharType="separate"/>
            </w:r>
            <w:r w:rsidR="00736DA9">
              <w:rPr>
                <w:noProof/>
                <w:webHidden/>
              </w:rPr>
              <w:t>91</w:t>
            </w:r>
            <w:r w:rsidR="00736DA9">
              <w:rPr>
                <w:noProof/>
                <w:webHidden/>
              </w:rPr>
              <w:fldChar w:fldCharType="end"/>
            </w:r>
          </w:hyperlink>
        </w:p>
        <w:p w14:paraId="4999840B" w14:textId="1F6BCAFC" w:rsidR="00736DA9" w:rsidRDefault="00000000">
          <w:pPr>
            <w:pStyle w:val="TOC4"/>
            <w:tabs>
              <w:tab w:val="right" w:pos="9350"/>
            </w:tabs>
            <w:rPr>
              <w:rFonts w:eastAsiaTheme="minorEastAsia" w:cstheme="minorBidi"/>
              <w:noProof/>
              <w:sz w:val="24"/>
              <w:szCs w:val="24"/>
            </w:rPr>
          </w:pPr>
          <w:hyperlink w:anchor="_Toc162267079" w:history="1">
            <w:r w:rsidR="00736DA9" w:rsidRPr="004372B1">
              <w:rPr>
                <w:rStyle w:val="Hyperlink"/>
                <w:noProof/>
              </w:rPr>
              <w:t>Figure 5.11: Overdose Deaths Among Males, by Race/Ethnicity and Age Group.</w:t>
            </w:r>
            <w:r w:rsidR="00736DA9">
              <w:rPr>
                <w:noProof/>
                <w:webHidden/>
              </w:rPr>
              <w:tab/>
            </w:r>
            <w:r w:rsidR="00736DA9">
              <w:rPr>
                <w:noProof/>
                <w:webHidden/>
              </w:rPr>
              <w:fldChar w:fldCharType="begin"/>
            </w:r>
            <w:r w:rsidR="00736DA9">
              <w:rPr>
                <w:noProof/>
                <w:webHidden/>
              </w:rPr>
              <w:instrText xml:space="preserve"> PAGEREF _Toc162267079 \h </w:instrText>
            </w:r>
            <w:r w:rsidR="00736DA9">
              <w:rPr>
                <w:noProof/>
                <w:webHidden/>
              </w:rPr>
            </w:r>
            <w:r w:rsidR="00736DA9">
              <w:rPr>
                <w:noProof/>
                <w:webHidden/>
              </w:rPr>
              <w:fldChar w:fldCharType="separate"/>
            </w:r>
            <w:r w:rsidR="00736DA9">
              <w:rPr>
                <w:noProof/>
                <w:webHidden/>
              </w:rPr>
              <w:t>93</w:t>
            </w:r>
            <w:r w:rsidR="00736DA9">
              <w:rPr>
                <w:noProof/>
                <w:webHidden/>
              </w:rPr>
              <w:fldChar w:fldCharType="end"/>
            </w:r>
          </w:hyperlink>
        </w:p>
        <w:p w14:paraId="216B855F" w14:textId="6D295D04" w:rsidR="00736DA9" w:rsidRDefault="00000000">
          <w:pPr>
            <w:pStyle w:val="TOC4"/>
            <w:tabs>
              <w:tab w:val="right" w:pos="9350"/>
            </w:tabs>
            <w:rPr>
              <w:rFonts w:eastAsiaTheme="minorEastAsia" w:cstheme="minorBidi"/>
              <w:noProof/>
              <w:sz w:val="24"/>
              <w:szCs w:val="24"/>
            </w:rPr>
          </w:pPr>
          <w:hyperlink w:anchor="_Toc162267080" w:history="1">
            <w:r w:rsidR="00736DA9" w:rsidRPr="004372B1">
              <w:rPr>
                <w:rStyle w:val="Hyperlink"/>
                <w:noProof/>
              </w:rPr>
              <w:t>References 5.8</w:t>
            </w:r>
            <w:r w:rsidR="00736DA9">
              <w:rPr>
                <w:noProof/>
                <w:webHidden/>
              </w:rPr>
              <w:tab/>
            </w:r>
            <w:r w:rsidR="00736DA9">
              <w:rPr>
                <w:noProof/>
                <w:webHidden/>
              </w:rPr>
              <w:fldChar w:fldCharType="begin"/>
            </w:r>
            <w:r w:rsidR="00736DA9">
              <w:rPr>
                <w:noProof/>
                <w:webHidden/>
              </w:rPr>
              <w:instrText xml:space="preserve"> PAGEREF _Toc162267080 \h </w:instrText>
            </w:r>
            <w:r w:rsidR="00736DA9">
              <w:rPr>
                <w:noProof/>
                <w:webHidden/>
              </w:rPr>
            </w:r>
            <w:r w:rsidR="00736DA9">
              <w:rPr>
                <w:noProof/>
                <w:webHidden/>
              </w:rPr>
              <w:fldChar w:fldCharType="separate"/>
            </w:r>
            <w:r w:rsidR="00736DA9">
              <w:rPr>
                <w:noProof/>
                <w:webHidden/>
              </w:rPr>
              <w:t>94</w:t>
            </w:r>
            <w:r w:rsidR="00736DA9">
              <w:rPr>
                <w:noProof/>
                <w:webHidden/>
              </w:rPr>
              <w:fldChar w:fldCharType="end"/>
            </w:r>
          </w:hyperlink>
        </w:p>
        <w:p w14:paraId="34E84C27" w14:textId="70DC63B4" w:rsidR="00736DA9" w:rsidRDefault="00000000">
          <w:pPr>
            <w:pStyle w:val="TOC3"/>
            <w:tabs>
              <w:tab w:val="right" w:pos="9350"/>
            </w:tabs>
            <w:rPr>
              <w:rFonts w:eastAsiaTheme="minorEastAsia" w:cstheme="minorBidi"/>
              <w:noProof/>
              <w:sz w:val="24"/>
              <w:szCs w:val="24"/>
            </w:rPr>
          </w:pPr>
          <w:hyperlink w:anchor="_Toc162267081" w:history="1">
            <w:r w:rsidR="00736DA9" w:rsidRPr="004372B1">
              <w:rPr>
                <w:rStyle w:val="Hyperlink"/>
                <w:noProof/>
              </w:rPr>
              <w:t>Highlighting Cross-Cutting Themes</w:t>
            </w:r>
            <w:r w:rsidR="00736DA9">
              <w:rPr>
                <w:noProof/>
                <w:webHidden/>
              </w:rPr>
              <w:tab/>
            </w:r>
            <w:r w:rsidR="00736DA9">
              <w:rPr>
                <w:noProof/>
                <w:webHidden/>
              </w:rPr>
              <w:fldChar w:fldCharType="begin"/>
            </w:r>
            <w:r w:rsidR="00736DA9">
              <w:rPr>
                <w:noProof/>
                <w:webHidden/>
              </w:rPr>
              <w:instrText xml:space="preserve"> PAGEREF _Toc162267081 \h </w:instrText>
            </w:r>
            <w:r w:rsidR="00736DA9">
              <w:rPr>
                <w:noProof/>
                <w:webHidden/>
              </w:rPr>
            </w:r>
            <w:r w:rsidR="00736DA9">
              <w:rPr>
                <w:noProof/>
                <w:webHidden/>
              </w:rPr>
              <w:fldChar w:fldCharType="separate"/>
            </w:r>
            <w:r w:rsidR="00736DA9">
              <w:rPr>
                <w:noProof/>
                <w:webHidden/>
              </w:rPr>
              <w:t>95</w:t>
            </w:r>
            <w:r w:rsidR="00736DA9">
              <w:rPr>
                <w:noProof/>
                <w:webHidden/>
              </w:rPr>
              <w:fldChar w:fldCharType="end"/>
            </w:r>
          </w:hyperlink>
        </w:p>
        <w:p w14:paraId="4EBE4850" w14:textId="7BE79C5E" w:rsidR="00736DA9" w:rsidRDefault="00000000">
          <w:pPr>
            <w:pStyle w:val="TOC4"/>
            <w:tabs>
              <w:tab w:val="right" w:pos="9350"/>
            </w:tabs>
            <w:rPr>
              <w:rFonts w:eastAsiaTheme="minorEastAsia" w:cstheme="minorBidi"/>
              <w:noProof/>
              <w:sz w:val="24"/>
              <w:szCs w:val="24"/>
            </w:rPr>
          </w:pPr>
          <w:hyperlink w:anchor="_Toc162267082" w:history="1">
            <w:r w:rsidR="00736DA9" w:rsidRPr="004372B1">
              <w:rPr>
                <w:rStyle w:val="Hyperlink"/>
                <w:noProof/>
              </w:rPr>
              <w:t>I. Representation Inequity Among Minority Groups</w:t>
            </w:r>
            <w:r w:rsidR="00736DA9">
              <w:rPr>
                <w:noProof/>
                <w:webHidden/>
              </w:rPr>
              <w:tab/>
            </w:r>
            <w:r w:rsidR="00736DA9">
              <w:rPr>
                <w:noProof/>
                <w:webHidden/>
              </w:rPr>
              <w:fldChar w:fldCharType="begin"/>
            </w:r>
            <w:r w:rsidR="00736DA9">
              <w:rPr>
                <w:noProof/>
                <w:webHidden/>
              </w:rPr>
              <w:instrText xml:space="preserve"> PAGEREF _Toc162267082 \h </w:instrText>
            </w:r>
            <w:r w:rsidR="00736DA9">
              <w:rPr>
                <w:noProof/>
                <w:webHidden/>
              </w:rPr>
            </w:r>
            <w:r w:rsidR="00736DA9">
              <w:rPr>
                <w:noProof/>
                <w:webHidden/>
              </w:rPr>
              <w:fldChar w:fldCharType="separate"/>
            </w:r>
            <w:r w:rsidR="00736DA9">
              <w:rPr>
                <w:noProof/>
                <w:webHidden/>
              </w:rPr>
              <w:t>95</w:t>
            </w:r>
            <w:r w:rsidR="00736DA9">
              <w:rPr>
                <w:noProof/>
                <w:webHidden/>
              </w:rPr>
              <w:fldChar w:fldCharType="end"/>
            </w:r>
          </w:hyperlink>
        </w:p>
        <w:p w14:paraId="74E8FE39" w14:textId="4327EBDB" w:rsidR="00736DA9" w:rsidRDefault="00000000">
          <w:pPr>
            <w:pStyle w:val="TOC4"/>
            <w:tabs>
              <w:tab w:val="right" w:pos="9350"/>
            </w:tabs>
            <w:rPr>
              <w:rFonts w:eastAsiaTheme="minorEastAsia" w:cstheme="minorBidi"/>
              <w:noProof/>
              <w:sz w:val="24"/>
              <w:szCs w:val="24"/>
            </w:rPr>
          </w:pPr>
          <w:hyperlink w:anchor="_Toc162267083" w:history="1">
            <w:r w:rsidR="00736DA9" w:rsidRPr="004372B1">
              <w:rPr>
                <w:rStyle w:val="Hyperlink"/>
                <w:noProof/>
              </w:rPr>
              <w:t>Figure 5.12: Population Change in South Carolina, by Race and Ethnicity, 2010 to 2020.</w:t>
            </w:r>
            <w:r w:rsidR="00736DA9">
              <w:rPr>
                <w:noProof/>
                <w:webHidden/>
              </w:rPr>
              <w:tab/>
            </w:r>
            <w:r w:rsidR="00736DA9">
              <w:rPr>
                <w:noProof/>
                <w:webHidden/>
              </w:rPr>
              <w:fldChar w:fldCharType="begin"/>
            </w:r>
            <w:r w:rsidR="00736DA9">
              <w:rPr>
                <w:noProof/>
                <w:webHidden/>
              </w:rPr>
              <w:instrText xml:space="preserve"> PAGEREF _Toc162267083 \h </w:instrText>
            </w:r>
            <w:r w:rsidR="00736DA9">
              <w:rPr>
                <w:noProof/>
                <w:webHidden/>
              </w:rPr>
            </w:r>
            <w:r w:rsidR="00736DA9">
              <w:rPr>
                <w:noProof/>
                <w:webHidden/>
              </w:rPr>
              <w:fldChar w:fldCharType="separate"/>
            </w:r>
            <w:r w:rsidR="00736DA9">
              <w:rPr>
                <w:noProof/>
                <w:webHidden/>
              </w:rPr>
              <w:t>96</w:t>
            </w:r>
            <w:r w:rsidR="00736DA9">
              <w:rPr>
                <w:noProof/>
                <w:webHidden/>
              </w:rPr>
              <w:fldChar w:fldCharType="end"/>
            </w:r>
          </w:hyperlink>
        </w:p>
        <w:p w14:paraId="296DD6C1" w14:textId="7356ADB6" w:rsidR="00736DA9" w:rsidRDefault="00000000">
          <w:pPr>
            <w:pStyle w:val="TOC4"/>
            <w:tabs>
              <w:tab w:val="right" w:pos="9350"/>
            </w:tabs>
            <w:rPr>
              <w:rFonts w:eastAsiaTheme="minorEastAsia" w:cstheme="minorBidi"/>
              <w:noProof/>
              <w:sz w:val="24"/>
              <w:szCs w:val="24"/>
            </w:rPr>
          </w:pPr>
          <w:hyperlink w:anchor="_Toc162267084" w:history="1">
            <w:r w:rsidR="00736DA9" w:rsidRPr="004372B1">
              <w:rPr>
                <w:rStyle w:val="Hyperlink"/>
                <w:noProof/>
              </w:rPr>
              <w:t>References 5.9</w:t>
            </w:r>
            <w:r w:rsidR="00736DA9">
              <w:rPr>
                <w:noProof/>
                <w:webHidden/>
              </w:rPr>
              <w:tab/>
            </w:r>
            <w:r w:rsidR="00736DA9">
              <w:rPr>
                <w:noProof/>
                <w:webHidden/>
              </w:rPr>
              <w:fldChar w:fldCharType="begin"/>
            </w:r>
            <w:r w:rsidR="00736DA9">
              <w:rPr>
                <w:noProof/>
                <w:webHidden/>
              </w:rPr>
              <w:instrText xml:space="preserve"> PAGEREF _Toc162267084 \h </w:instrText>
            </w:r>
            <w:r w:rsidR="00736DA9">
              <w:rPr>
                <w:noProof/>
                <w:webHidden/>
              </w:rPr>
            </w:r>
            <w:r w:rsidR="00736DA9">
              <w:rPr>
                <w:noProof/>
                <w:webHidden/>
              </w:rPr>
              <w:fldChar w:fldCharType="separate"/>
            </w:r>
            <w:r w:rsidR="00736DA9">
              <w:rPr>
                <w:noProof/>
                <w:webHidden/>
              </w:rPr>
              <w:t>96</w:t>
            </w:r>
            <w:r w:rsidR="00736DA9">
              <w:rPr>
                <w:noProof/>
                <w:webHidden/>
              </w:rPr>
              <w:fldChar w:fldCharType="end"/>
            </w:r>
          </w:hyperlink>
        </w:p>
        <w:p w14:paraId="75D4824D" w14:textId="33DDC465" w:rsidR="00736DA9" w:rsidRDefault="00000000">
          <w:pPr>
            <w:pStyle w:val="TOC4"/>
            <w:tabs>
              <w:tab w:val="right" w:pos="9350"/>
            </w:tabs>
            <w:rPr>
              <w:rFonts w:eastAsiaTheme="minorEastAsia" w:cstheme="minorBidi"/>
              <w:noProof/>
              <w:sz w:val="24"/>
              <w:szCs w:val="24"/>
            </w:rPr>
          </w:pPr>
          <w:hyperlink w:anchor="_Toc162267085" w:history="1">
            <w:r w:rsidR="00736DA9" w:rsidRPr="004372B1">
              <w:rPr>
                <w:rStyle w:val="Hyperlink"/>
                <w:noProof/>
              </w:rPr>
              <w:t>II. Life Expectancy</w:t>
            </w:r>
            <w:r w:rsidR="00736DA9">
              <w:rPr>
                <w:noProof/>
                <w:webHidden/>
              </w:rPr>
              <w:tab/>
            </w:r>
            <w:r w:rsidR="00736DA9">
              <w:rPr>
                <w:noProof/>
                <w:webHidden/>
              </w:rPr>
              <w:fldChar w:fldCharType="begin"/>
            </w:r>
            <w:r w:rsidR="00736DA9">
              <w:rPr>
                <w:noProof/>
                <w:webHidden/>
              </w:rPr>
              <w:instrText xml:space="preserve"> PAGEREF _Toc162267085 \h </w:instrText>
            </w:r>
            <w:r w:rsidR="00736DA9">
              <w:rPr>
                <w:noProof/>
                <w:webHidden/>
              </w:rPr>
            </w:r>
            <w:r w:rsidR="00736DA9">
              <w:rPr>
                <w:noProof/>
                <w:webHidden/>
              </w:rPr>
              <w:fldChar w:fldCharType="separate"/>
            </w:r>
            <w:r w:rsidR="00736DA9">
              <w:rPr>
                <w:noProof/>
                <w:webHidden/>
              </w:rPr>
              <w:t>97</w:t>
            </w:r>
            <w:r w:rsidR="00736DA9">
              <w:rPr>
                <w:noProof/>
                <w:webHidden/>
              </w:rPr>
              <w:fldChar w:fldCharType="end"/>
            </w:r>
          </w:hyperlink>
        </w:p>
        <w:p w14:paraId="7497BC28" w14:textId="5FB5294D" w:rsidR="00736DA9" w:rsidRDefault="00000000">
          <w:pPr>
            <w:pStyle w:val="TOC4"/>
            <w:tabs>
              <w:tab w:val="right" w:pos="9350"/>
            </w:tabs>
            <w:rPr>
              <w:rFonts w:eastAsiaTheme="minorEastAsia" w:cstheme="minorBidi"/>
              <w:noProof/>
              <w:sz w:val="24"/>
              <w:szCs w:val="24"/>
            </w:rPr>
          </w:pPr>
          <w:hyperlink w:anchor="_Toc162267086" w:history="1">
            <w:r w:rsidR="00736DA9" w:rsidRPr="004372B1">
              <w:rPr>
                <w:rStyle w:val="Hyperlink"/>
                <w:noProof/>
              </w:rPr>
              <w:t>Figure 5.13: United States Life Expectancy in 2021, by Race and Ethnicity.</w:t>
            </w:r>
            <w:r w:rsidR="00736DA9">
              <w:rPr>
                <w:noProof/>
                <w:webHidden/>
              </w:rPr>
              <w:tab/>
            </w:r>
            <w:r w:rsidR="00736DA9">
              <w:rPr>
                <w:noProof/>
                <w:webHidden/>
              </w:rPr>
              <w:fldChar w:fldCharType="begin"/>
            </w:r>
            <w:r w:rsidR="00736DA9">
              <w:rPr>
                <w:noProof/>
                <w:webHidden/>
              </w:rPr>
              <w:instrText xml:space="preserve"> PAGEREF _Toc162267086 \h </w:instrText>
            </w:r>
            <w:r w:rsidR="00736DA9">
              <w:rPr>
                <w:noProof/>
                <w:webHidden/>
              </w:rPr>
            </w:r>
            <w:r w:rsidR="00736DA9">
              <w:rPr>
                <w:noProof/>
                <w:webHidden/>
              </w:rPr>
              <w:fldChar w:fldCharType="separate"/>
            </w:r>
            <w:r w:rsidR="00736DA9">
              <w:rPr>
                <w:noProof/>
                <w:webHidden/>
              </w:rPr>
              <w:t>97</w:t>
            </w:r>
            <w:r w:rsidR="00736DA9">
              <w:rPr>
                <w:noProof/>
                <w:webHidden/>
              </w:rPr>
              <w:fldChar w:fldCharType="end"/>
            </w:r>
          </w:hyperlink>
        </w:p>
        <w:p w14:paraId="7C1A31DB" w14:textId="44F90370" w:rsidR="00736DA9" w:rsidRDefault="00000000">
          <w:pPr>
            <w:pStyle w:val="TOC4"/>
            <w:tabs>
              <w:tab w:val="right" w:pos="9350"/>
            </w:tabs>
            <w:rPr>
              <w:rFonts w:eastAsiaTheme="minorEastAsia" w:cstheme="minorBidi"/>
              <w:noProof/>
              <w:sz w:val="24"/>
              <w:szCs w:val="24"/>
            </w:rPr>
          </w:pPr>
          <w:hyperlink w:anchor="_Toc162267087" w:history="1">
            <w:r w:rsidR="00736DA9" w:rsidRPr="004372B1">
              <w:rPr>
                <w:rStyle w:val="Hyperlink"/>
                <w:noProof/>
              </w:rPr>
              <w:t>Figure 5.14: Life Expectancy in Columbia, SC.</w:t>
            </w:r>
            <w:r w:rsidR="00736DA9">
              <w:rPr>
                <w:noProof/>
                <w:webHidden/>
              </w:rPr>
              <w:tab/>
            </w:r>
            <w:r w:rsidR="00736DA9">
              <w:rPr>
                <w:noProof/>
                <w:webHidden/>
              </w:rPr>
              <w:fldChar w:fldCharType="begin"/>
            </w:r>
            <w:r w:rsidR="00736DA9">
              <w:rPr>
                <w:noProof/>
                <w:webHidden/>
              </w:rPr>
              <w:instrText xml:space="preserve"> PAGEREF _Toc162267087 \h </w:instrText>
            </w:r>
            <w:r w:rsidR="00736DA9">
              <w:rPr>
                <w:noProof/>
                <w:webHidden/>
              </w:rPr>
            </w:r>
            <w:r w:rsidR="00736DA9">
              <w:rPr>
                <w:noProof/>
                <w:webHidden/>
              </w:rPr>
              <w:fldChar w:fldCharType="separate"/>
            </w:r>
            <w:r w:rsidR="00736DA9">
              <w:rPr>
                <w:noProof/>
                <w:webHidden/>
              </w:rPr>
              <w:t>98</w:t>
            </w:r>
            <w:r w:rsidR="00736DA9">
              <w:rPr>
                <w:noProof/>
                <w:webHidden/>
              </w:rPr>
              <w:fldChar w:fldCharType="end"/>
            </w:r>
          </w:hyperlink>
        </w:p>
        <w:p w14:paraId="13F78AFC" w14:textId="6ECE4DFC" w:rsidR="00736DA9" w:rsidRDefault="00000000">
          <w:pPr>
            <w:pStyle w:val="TOC4"/>
            <w:tabs>
              <w:tab w:val="right" w:pos="9350"/>
            </w:tabs>
            <w:rPr>
              <w:rFonts w:eastAsiaTheme="minorEastAsia" w:cstheme="minorBidi"/>
              <w:noProof/>
              <w:sz w:val="24"/>
              <w:szCs w:val="24"/>
            </w:rPr>
          </w:pPr>
          <w:hyperlink w:anchor="_Toc162267088" w:history="1">
            <w:r w:rsidR="00736DA9" w:rsidRPr="004372B1">
              <w:rPr>
                <w:rStyle w:val="Hyperlink"/>
                <w:noProof/>
              </w:rPr>
              <w:t>III. Mental Health</w:t>
            </w:r>
            <w:r w:rsidR="00736DA9">
              <w:rPr>
                <w:noProof/>
                <w:webHidden/>
              </w:rPr>
              <w:tab/>
            </w:r>
            <w:r w:rsidR="00736DA9">
              <w:rPr>
                <w:noProof/>
                <w:webHidden/>
              </w:rPr>
              <w:fldChar w:fldCharType="begin"/>
            </w:r>
            <w:r w:rsidR="00736DA9">
              <w:rPr>
                <w:noProof/>
                <w:webHidden/>
              </w:rPr>
              <w:instrText xml:space="preserve"> PAGEREF _Toc162267088 \h </w:instrText>
            </w:r>
            <w:r w:rsidR="00736DA9">
              <w:rPr>
                <w:noProof/>
                <w:webHidden/>
              </w:rPr>
            </w:r>
            <w:r w:rsidR="00736DA9">
              <w:rPr>
                <w:noProof/>
                <w:webHidden/>
              </w:rPr>
              <w:fldChar w:fldCharType="separate"/>
            </w:r>
            <w:r w:rsidR="00736DA9">
              <w:rPr>
                <w:noProof/>
                <w:webHidden/>
              </w:rPr>
              <w:t>98</w:t>
            </w:r>
            <w:r w:rsidR="00736DA9">
              <w:rPr>
                <w:noProof/>
                <w:webHidden/>
              </w:rPr>
              <w:fldChar w:fldCharType="end"/>
            </w:r>
          </w:hyperlink>
        </w:p>
        <w:p w14:paraId="1A9B92BB" w14:textId="74990A43" w:rsidR="00736DA9" w:rsidRDefault="00000000">
          <w:pPr>
            <w:pStyle w:val="TOC4"/>
            <w:tabs>
              <w:tab w:val="right" w:pos="9350"/>
            </w:tabs>
            <w:rPr>
              <w:rFonts w:eastAsiaTheme="minorEastAsia" w:cstheme="minorBidi"/>
              <w:noProof/>
              <w:sz w:val="24"/>
              <w:szCs w:val="24"/>
            </w:rPr>
          </w:pPr>
          <w:hyperlink w:anchor="_Toc162267089" w:history="1">
            <w:r w:rsidR="00736DA9" w:rsidRPr="004372B1">
              <w:rPr>
                <w:rStyle w:val="Hyperlink"/>
                <w:noProof/>
              </w:rPr>
              <w:t>Figure 5.15: Poor Mental Health, by Subpopulation.</w:t>
            </w:r>
            <w:r w:rsidR="00736DA9">
              <w:rPr>
                <w:noProof/>
                <w:webHidden/>
              </w:rPr>
              <w:tab/>
            </w:r>
            <w:r w:rsidR="00736DA9">
              <w:rPr>
                <w:noProof/>
                <w:webHidden/>
              </w:rPr>
              <w:fldChar w:fldCharType="begin"/>
            </w:r>
            <w:r w:rsidR="00736DA9">
              <w:rPr>
                <w:noProof/>
                <w:webHidden/>
              </w:rPr>
              <w:instrText xml:space="preserve"> PAGEREF _Toc162267089 \h </w:instrText>
            </w:r>
            <w:r w:rsidR="00736DA9">
              <w:rPr>
                <w:noProof/>
                <w:webHidden/>
              </w:rPr>
            </w:r>
            <w:r w:rsidR="00736DA9">
              <w:rPr>
                <w:noProof/>
                <w:webHidden/>
              </w:rPr>
              <w:fldChar w:fldCharType="separate"/>
            </w:r>
            <w:r w:rsidR="00736DA9">
              <w:rPr>
                <w:noProof/>
                <w:webHidden/>
              </w:rPr>
              <w:t>98</w:t>
            </w:r>
            <w:r w:rsidR="00736DA9">
              <w:rPr>
                <w:noProof/>
                <w:webHidden/>
              </w:rPr>
              <w:fldChar w:fldCharType="end"/>
            </w:r>
          </w:hyperlink>
        </w:p>
        <w:p w14:paraId="5D58D7B7" w14:textId="286B0CAB" w:rsidR="00736DA9" w:rsidRDefault="00000000">
          <w:pPr>
            <w:pStyle w:val="TOC4"/>
            <w:tabs>
              <w:tab w:val="right" w:pos="9350"/>
            </w:tabs>
            <w:rPr>
              <w:rFonts w:eastAsiaTheme="minorEastAsia" w:cstheme="minorBidi"/>
              <w:noProof/>
              <w:sz w:val="24"/>
              <w:szCs w:val="24"/>
            </w:rPr>
          </w:pPr>
          <w:hyperlink w:anchor="_Toc162267090" w:history="1">
            <w:r w:rsidR="00736DA9" w:rsidRPr="004372B1">
              <w:rPr>
                <w:rStyle w:val="Hyperlink"/>
                <w:noProof/>
              </w:rPr>
              <w:t>Figure 5.16: Delayed Medical Care due to Cost, by Subpopulation.</w:t>
            </w:r>
            <w:r w:rsidR="00736DA9">
              <w:rPr>
                <w:noProof/>
                <w:webHidden/>
              </w:rPr>
              <w:tab/>
            </w:r>
            <w:r w:rsidR="00736DA9">
              <w:rPr>
                <w:noProof/>
                <w:webHidden/>
              </w:rPr>
              <w:fldChar w:fldCharType="begin"/>
            </w:r>
            <w:r w:rsidR="00736DA9">
              <w:rPr>
                <w:noProof/>
                <w:webHidden/>
              </w:rPr>
              <w:instrText xml:space="preserve"> PAGEREF _Toc162267090 \h </w:instrText>
            </w:r>
            <w:r w:rsidR="00736DA9">
              <w:rPr>
                <w:noProof/>
                <w:webHidden/>
              </w:rPr>
            </w:r>
            <w:r w:rsidR="00736DA9">
              <w:rPr>
                <w:noProof/>
                <w:webHidden/>
              </w:rPr>
              <w:fldChar w:fldCharType="separate"/>
            </w:r>
            <w:r w:rsidR="00736DA9">
              <w:rPr>
                <w:noProof/>
                <w:webHidden/>
              </w:rPr>
              <w:t>99</w:t>
            </w:r>
            <w:r w:rsidR="00736DA9">
              <w:rPr>
                <w:noProof/>
                <w:webHidden/>
              </w:rPr>
              <w:fldChar w:fldCharType="end"/>
            </w:r>
          </w:hyperlink>
        </w:p>
        <w:p w14:paraId="345861C5" w14:textId="7FC93255" w:rsidR="00736DA9" w:rsidRDefault="00000000">
          <w:pPr>
            <w:pStyle w:val="TOC4"/>
            <w:tabs>
              <w:tab w:val="right" w:pos="9350"/>
            </w:tabs>
            <w:rPr>
              <w:rFonts w:eastAsiaTheme="minorEastAsia" w:cstheme="minorBidi"/>
              <w:noProof/>
              <w:sz w:val="24"/>
              <w:szCs w:val="24"/>
            </w:rPr>
          </w:pPr>
          <w:hyperlink w:anchor="_Toc162267091" w:history="1">
            <w:r w:rsidR="00736DA9" w:rsidRPr="004372B1">
              <w:rPr>
                <w:rStyle w:val="Hyperlink"/>
                <w:noProof/>
              </w:rPr>
              <w:t>References 5.10</w:t>
            </w:r>
            <w:r w:rsidR="00736DA9">
              <w:rPr>
                <w:noProof/>
                <w:webHidden/>
              </w:rPr>
              <w:tab/>
            </w:r>
            <w:r w:rsidR="00736DA9">
              <w:rPr>
                <w:noProof/>
                <w:webHidden/>
              </w:rPr>
              <w:fldChar w:fldCharType="begin"/>
            </w:r>
            <w:r w:rsidR="00736DA9">
              <w:rPr>
                <w:noProof/>
                <w:webHidden/>
              </w:rPr>
              <w:instrText xml:space="preserve"> PAGEREF _Toc162267091 \h </w:instrText>
            </w:r>
            <w:r w:rsidR="00736DA9">
              <w:rPr>
                <w:noProof/>
                <w:webHidden/>
              </w:rPr>
            </w:r>
            <w:r w:rsidR="00736DA9">
              <w:rPr>
                <w:noProof/>
                <w:webHidden/>
              </w:rPr>
              <w:fldChar w:fldCharType="separate"/>
            </w:r>
            <w:r w:rsidR="00736DA9">
              <w:rPr>
                <w:noProof/>
                <w:webHidden/>
              </w:rPr>
              <w:t>100</w:t>
            </w:r>
            <w:r w:rsidR="00736DA9">
              <w:rPr>
                <w:noProof/>
                <w:webHidden/>
              </w:rPr>
              <w:fldChar w:fldCharType="end"/>
            </w:r>
          </w:hyperlink>
        </w:p>
        <w:p w14:paraId="3DAB97AF" w14:textId="60288EDE" w:rsidR="00736DA9" w:rsidRDefault="00000000">
          <w:pPr>
            <w:pStyle w:val="TOC3"/>
            <w:tabs>
              <w:tab w:val="right" w:pos="9350"/>
            </w:tabs>
            <w:rPr>
              <w:rFonts w:eastAsiaTheme="minorEastAsia" w:cstheme="minorBidi"/>
              <w:noProof/>
              <w:sz w:val="24"/>
              <w:szCs w:val="24"/>
            </w:rPr>
          </w:pPr>
          <w:hyperlink w:anchor="_Toc162267092" w:history="1">
            <w:r w:rsidR="00736DA9" w:rsidRPr="004372B1">
              <w:rPr>
                <w:rStyle w:val="Hyperlink"/>
                <w:noProof/>
              </w:rPr>
              <w:t>Populations Facing Health Inequity</w:t>
            </w:r>
            <w:r w:rsidR="00736DA9">
              <w:rPr>
                <w:noProof/>
                <w:webHidden/>
              </w:rPr>
              <w:tab/>
            </w:r>
            <w:r w:rsidR="00736DA9">
              <w:rPr>
                <w:noProof/>
                <w:webHidden/>
              </w:rPr>
              <w:fldChar w:fldCharType="begin"/>
            </w:r>
            <w:r w:rsidR="00736DA9">
              <w:rPr>
                <w:noProof/>
                <w:webHidden/>
              </w:rPr>
              <w:instrText xml:space="preserve"> PAGEREF _Toc162267092 \h </w:instrText>
            </w:r>
            <w:r w:rsidR="00736DA9">
              <w:rPr>
                <w:noProof/>
                <w:webHidden/>
              </w:rPr>
            </w:r>
            <w:r w:rsidR="00736DA9">
              <w:rPr>
                <w:noProof/>
                <w:webHidden/>
              </w:rPr>
              <w:fldChar w:fldCharType="separate"/>
            </w:r>
            <w:r w:rsidR="00736DA9">
              <w:rPr>
                <w:noProof/>
                <w:webHidden/>
              </w:rPr>
              <w:t>100</w:t>
            </w:r>
            <w:r w:rsidR="00736DA9">
              <w:rPr>
                <w:noProof/>
                <w:webHidden/>
              </w:rPr>
              <w:fldChar w:fldCharType="end"/>
            </w:r>
          </w:hyperlink>
        </w:p>
        <w:p w14:paraId="7AE6FB99" w14:textId="53B51E8F" w:rsidR="00736DA9" w:rsidRDefault="00000000">
          <w:pPr>
            <w:pStyle w:val="TOC4"/>
            <w:tabs>
              <w:tab w:val="right" w:pos="9350"/>
            </w:tabs>
            <w:rPr>
              <w:rFonts w:eastAsiaTheme="minorEastAsia" w:cstheme="minorBidi"/>
              <w:noProof/>
              <w:sz w:val="24"/>
              <w:szCs w:val="24"/>
            </w:rPr>
          </w:pPr>
          <w:hyperlink w:anchor="_Toc162267093" w:history="1">
            <w:r w:rsidR="00736DA9" w:rsidRPr="004372B1">
              <w:rPr>
                <w:rStyle w:val="Hyperlink"/>
                <w:noProof/>
              </w:rPr>
              <w:t>Rural and Urban Populations</w:t>
            </w:r>
            <w:r w:rsidR="00736DA9">
              <w:rPr>
                <w:noProof/>
                <w:webHidden/>
              </w:rPr>
              <w:tab/>
            </w:r>
            <w:r w:rsidR="00736DA9">
              <w:rPr>
                <w:noProof/>
                <w:webHidden/>
              </w:rPr>
              <w:fldChar w:fldCharType="begin"/>
            </w:r>
            <w:r w:rsidR="00736DA9">
              <w:rPr>
                <w:noProof/>
                <w:webHidden/>
              </w:rPr>
              <w:instrText xml:space="preserve"> PAGEREF _Toc162267093 \h </w:instrText>
            </w:r>
            <w:r w:rsidR="00736DA9">
              <w:rPr>
                <w:noProof/>
                <w:webHidden/>
              </w:rPr>
            </w:r>
            <w:r w:rsidR="00736DA9">
              <w:rPr>
                <w:noProof/>
                <w:webHidden/>
              </w:rPr>
              <w:fldChar w:fldCharType="separate"/>
            </w:r>
            <w:r w:rsidR="00736DA9">
              <w:rPr>
                <w:noProof/>
                <w:webHidden/>
              </w:rPr>
              <w:t>100</w:t>
            </w:r>
            <w:r w:rsidR="00736DA9">
              <w:rPr>
                <w:noProof/>
                <w:webHidden/>
              </w:rPr>
              <w:fldChar w:fldCharType="end"/>
            </w:r>
          </w:hyperlink>
        </w:p>
        <w:p w14:paraId="0A4F136C" w14:textId="02F9D21A" w:rsidR="00736DA9" w:rsidRDefault="00000000">
          <w:pPr>
            <w:pStyle w:val="TOC4"/>
            <w:tabs>
              <w:tab w:val="right" w:pos="9350"/>
            </w:tabs>
            <w:rPr>
              <w:rFonts w:eastAsiaTheme="minorEastAsia" w:cstheme="minorBidi"/>
              <w:noProof/>
              <w:sz w:val="24"/>
              <w:szCs w:val="24"/>
            </w:rPr>
          </w:pPr>
          <w:hyperlink w:anchor="_Toc162267094" w:history="1">
            <w:r w:rsidR="00736DA9" w:rsidRPr="004372B1">
              <w:rPr>
                <w:rStyle w:val="Hyperlink"/>
                <w:noProof/>
              </w:rPr>
              <w:t>Figure 5.17 - Rural-Urban Land Area in South Carolina, by County and Census Tract, 2010.</w:t>
            </w:r>
            <w:r w:rsidR="00736DA9">
              <w:rPr>
                <w:noProof/>
                <w:webHidden/>
              </w:rPr>
              <w:tab/>
            </w:r>
            <w:r w:rsidR="00736DA9">
              <w:rPr>
                <w:noProof/>
                <w:webHidden/>
              </w:rPr>
              <w:fldChar w:fldCharType="begin"/>
            </w:r>
            <w:r w:rsidR="00736DA9">
              <w:rPr>
                <w:noProof/>
                <w:webHidden/>
              </w:rPr>
              <w:instrText xml:space="preserve"> PAGEREF _Toc162267094 \h </w:instrText>
            </w:r>
            <w:r w:rsidR="00736DA9">
              <w:rPr>
                <w:noProof/>
                <w:webHidden/>
              </w:rPr>
            </w:r>
            <w:r w:rsidR="00736DA9">
              <w:rPr>
                <w:noProof/>
                <w:webHidden/>
              </w:rPr>
              <w:fldChar w:fldCharType="separate"/>
            </w:r>
            <w:r w:rsidR="00736DA9">
              <w:rPr>
                <w:noProof/>
                <w:webHidden/>
              </w:rPr>
              <w:t>101</w:t>
            </w:r>
            <w:r w:rsidR="00736DA9">
              <w:rPr>
                <w:noProof/>
                <w:webHidden/>
              </w:rPr>
              <w:fldChar w:fldCharType="end"/>
            </w:r>
          </w:hyperlink>
        </w:p>
        <w:p w14:paraId="16A8CCDC" w14:textId="6D62842C" w:rsidR="00736DA9" w:rsidRDefault="00000000">
          <w:pPr>
            <w:pStyle w:val="TOC4"/>
            <w:tabs>
              <w:tab w:val="right" w:pos="9350"/>
            </w:tabs>
            <w:rPr>
              <w:rFonts w:eastAsiaTheme="minorEastAsia" w:cstheme="minorBidi"/>
              <w:noProof/>
              <w:sz w:val="24"/>
              <w:szCs w:val="24"/>
            </w:rPr>
          </w:pPr>
          <w:hyperlink w:anchor="_Toc162267095" w:history="1">
            <w:r w:rsidR="00736DA9" w:rsidRPr="004372B1">
              <w:rPr>
                <w:rStyle w:val="Hyperlink"/>
                <w:noProof/>
              </w:rPr>
              <w:t>Figure 5.18: Poor Physical Health, by Race and Ethnicity and Rural or Urban Area.</w:t>
            </w:r>
            <w:r w:rsidR="00736DA9">
              <w:rPr>
                <w:noProof/>
                <w:webHidden/>
              </w:rPr>
              <w:tab/>
            </w:r>
            <w:r w:rsidR="00736DA9">
              <w:rPr>
                <w:noProof/>
                <w:webHidden/>
              </w:rPr>
              <w:fldChar w:fldCharType="begin"/>
            </w:r>
            <w:r w:rsidR="00736DA9">
              <w:rPr>
                <w:noProof/>
                <w:webHidden/>
              </w:rPr>
              <w:instrText xml:space="preserve"> PAGEREF _Toc162267095 \h </w:instrText>
            </w:r>
            <w:r w:rsidR="00736DA9">
              <w:rPr>
                <w:noProof/>
                <w:webHidden/>
              </w:rPr>
            </w:r>
            <w:r w:rsidR="00736DA9">
              <w:rPr>
                <w:noProof/>
                <w:webHidden/>
              </w:rPr>
              <w:fldChar w:fldCharType="separate"/>
            </w:r>
            <w:r w:rsidR="00736DA9">
              <w:rPr>
                <w:noProof/>
                <w:webHidden/>
              </w:rPr>
              <w:t>103</w:t>
            </w:r>
            <w:r w:rsidR="00736DA9">
              <w:rPr>
                <w:noProof/>
                <w:webHidden/>
              </w:rPr>
              <w:fldChar w:fldCharType="end"/>
            </w:r>
          </w:hyperlink>
        </w:p>
        <w:p w14:paraId="64C7D75B" w14:textId="658C21B2" w:rsidR="00736DA9" w:rsidRDefault="00000000">
          <w:pPr>
            <w:pStyle w:val="TOC4"/>
            <w:tabs>
              <w:tab w:val="right" w:pos="9350"/>
            </w:tabs>
            <w:rPr>
              <w:rFonts w:eastAsiaTheme="minorEastAsia" w:cstheme="minorBidi"/>
              <w:noProof/>
              <w:sz w:val="24"/>
              <w:szCs w:val="24"/>
            </w:rPr>
          </w:pPr>
          <w:hyperlink w:anchor="_Toc162267096" w:history="1">
            <w:r w:rsidR="00736DA9" w:rsidRPr="004372B1">
              <w:rPr>
                <w:rStyle w:val="Hyperlink"/>
                <w:noProof/>
              </w:rPr>
              <w:t>References 5.9</w:t>
            </w:r>
            <w:r w:rsidR="00736DA9">
              <w:rPr>
                <w:noProof/>
                <w:webHidden/>
              </w:rPr>
              <w:tab/>
            </w:r>
            <w:r w:rsidR="00736DA9">
              <w:rPr>
                <w:noProof/>
                <w:webHidden/>
              </w:rPr>
              <w:fldChar w:fldCharType="begin"/>
            </w:r>
            <w:r w:rsidR="00736DA9">
              <w:rPr>
                <w:noProof/>
                <w:webHidden/>
              </w:rPr>
              <w:instrText xml:space="preserve"> PAGEREF _Toc162267096 \h </w:instrText>
            </w:r>
            <w:r w:rsidR="00736DA9">
              <w:rPr>
                <w:noProof/>
                <w:webHidden/>
              </w:rPr>
            </w:r>
            <w:r w:rsidR="00736DA9">
              <w:rPr>
                <w:noProof/>
                <w:webHidden/>
              </w:rPr>
              <w:fldChar w:fldCharType="separate"/>
            </w:r>
            <w:r w:rsidR="00736DA9">
              <w:rPr>
                <w:noProof/>
                <w:webHidden/>
              </w:rPr>
              <w:t>104</w:t>
            </w:r>
            <w:r w:rsidR="00736DA9">
              <w:rPr>
                <w:noProof/>
                <w:webHidden/>
              </w:rPr>
              <w:fldChar w:fldCharType="end"/>
            </w:r>
          </w:hyperlink>
        </w:p>
        <w:p w14:paraId="619DAA2E" w14:textId="2A890ECA" w:rsidR="00736DA9" w:rsidRDefault="00000000">
          <w:pPr>
            <w:pStyle w:val="TOC3"/>
            <w:tabs>
              <w:tab w:val="right" w:pos="9350"/>
            </w:tabs>
            <w:rPr>
              <w:rFonts w:eastAsiaTheme="minorEastAsia" w:cstheme="minorBidi"/>
              <w:noProof/>
              <w:sz w:val="24"/>
              <w:szCs w:val="24"/>
            </w:rPr>
          </w:pPr>
          <w:hyperlink w:anchor="_Toc162267097" w:history="1">
            <w:r w:rsidR="00736DA9" w:rsidRPr="004372B1">
              <w:rPr>
                <w:rStyle w:val="Hyperlink"/>
                <w:noProof/>
              </w:rPr>
              <w:t>Low Socioeconomic Status Populations</w:t>
            </w:r>
            <w:r w:rsidR="00736DA9">
              <w:rPr>
                <w:noProof/>
                <w:webHidden/>
              </w:rPr>
              <w:tab/>
            </w:r>
            <w:r w:rsidR="00736DA9">
              <w:rPr>
                <w:noProof/>
                <w:webHidden/>
              </w:rPr>
              <w:fldChar w:fldCharType="begin"/>
            </w:r>
            <w:r w:rsidR="00736DA9">
              <w:rPr>
                <w:noProof/>
                <w:webHidden/>
              </w:rPr>
              <w:instrText xml:space="preserve"> PAGEREF _Toc162267097 \h </w:instrText>
            </w:r>
            <w:r w:rsidR="00736DA9">
              <w:rPr>
                <w:noProof/>
                <w:webHidden/>
              </w:rPr>
            </w:r>
            <w:r w:rsidR="00736DA9">
              <w:rPr>
                <w:noProof/>
                <w:webHidden/>
              </w:rPr>
              <w:fldChar w:fldCharType="separate"/>
            </w:r>
            <w:r w:rsidR="00736DA9">
              <w:rPr>
                <w:noProof/>
                <w:webHidden/>
              </w:rPr>
              <w:t>105</w:t>
            </w:r>
            <w:r w:rsidR="00736DA9">
              <w:rPr>
                <w:noProof/>
                <w:webHidden/>
              </w:rPr>
              <w:fldChar w:fldCharType="end"/>
            </w:r>
          </w:hyperlink>
        </w:p>
        <w:p w14:paraId="789684AB" w14:textId="08729DB4" w:rsidR="00736DA9" w:rsidRDefault="00000000">
          <w:pPr>
            <w:pStyle w:val="TOC4"/>
            <w:tabs>
              <w:tab w:val="right" w:pos="9350"/>
            </w:tabs>
            <w:rPr>
              <w:rFonts w:eastAsiaTheme="minorEastAsia" w:cstheme="minorBidi"/>
              <w:noProof/>
              <w:sz w:val="24"/>
              <w:szCs w:val="24"/>
            </w:rPr>
          </w:pPr>
          <w:hyperlink w:anchor="_Toc162267098" w:history="1">
            <w:r w:rsidR="00736DA9" w:rsidRPr="004372B1">
              <w:rPr>
                <w:rStyle w:val="Hyperlink"/>
                <w:noProof/>
              </w:rPr>
              <w:t>Figure 5.19: Gini Index of Income Inequality in South Carolina, by County.</w:t>
            </w:r>
            <w:r w:rsidR="00736DA9">
              <w:rPr>
                <w:noProof/>
                <w:webHidden/>
              </w:rPr>
              <w:tab/>
            </w:r>
            <w:r w:rsidR="00736DA9">
              <w:rPr>
                <w:noProof/>
                <w:webHidden/>
              </w:rPr>
              <w:fldChar w:fldCharType="begin"/>
            </w:r>
            <w:r w:rsidR="00736DA9">
              <w:rPr>
                <w:noProof/>
                <w:webHidden/>
              </w:rPr>
              <w:instrText xml:space="preserve"> PAGEREF _Toc162267098 \h </w:instrText>
            </w:r>
            <w:r w:rsidR="00736DA9">
              <w:rPr>
                <w:noProof/>
                <w:webHidden/>
              </w:rPr>
            </w:r>
            <w:r w:rsidR="00736DA9">
              <w:rPr>
                <w:noProof/>
                <w:webHidden/>
              </w:rPr>
              <w:fldChar w:fldCharType="separate"/>
            </w:r>
            <w:r w:rsidR="00736DA9">
              <w:rPr>
                <w:noProof/>
                <w:webHidden/>
              </w:rPr>
              <w:t>106</w:t>
            </w:r>
            <w:r w:rsidR="00736DA9">
              <w:rPr>
                <w:noProof/>
                <w:webHidden/>
              </w:rPr>
              <w:fldChar w:fldCharType="end"/>
            </w:r>
          </w:hyperlink>
        </w:p>
        <w:p w14:paraId="416C8BC8" w14:textId="16FDAB88" w:rsidR="00736DA9" w:rsidRDefault="00000000">
          <w:pPr>
            <w:pStyle w:val="TOC4"/>
            <w:tabs>
              <w:tab w:val="right" w:pos="9350"/>
            </w:tabs>
            <w:rPr>
              <w:rFonts w:eastAsiaTheme="minorEastAsia" w:cstheme="minorBidi"/>
              <w:noProof/>
              <w:sz w:val="24"/>
              <w:szCs w:val="24"/>
            </w:rPr>
          </w:pPr>
          <w:hyperlink w:anchor="_Toc162267099" w:history="1">
            <w:r w:rsidR="00736DA9" w:rsidRPr="004372B1">
              <w:rPr>
                <w:rStyle w:val="Hyperlink"/>
                <w:noProof/>
              </w:rPr>
              <w:t>Figure 5.20: Median Household Income, by Race and Ethnicity.</w:t>
            </w:r>
            <w:r w:rsidR="00736DA9">
              <w:rPr>
                <w:noProof/>
                <w:webHidden/>
              </w:rPr>
              <w:tab/>
            </w:r>
            <w:r w:rsidR="00736DA9">
              <w:rPr>
                <w:noProof/>
                <w:webHidden/>
              </w:rPr>
              <w:fldChar w:fldCharType="begin"/>
            </w:r>
            <w:r w:rsidR="00736DA9">
              <w:rPr>
                <w:noProof/>
                <w:webHidden/>
              </w:rPr>
              <w:instrText xml:space="preserve"> PAGEREF _Toc162267099 \h </w:instrText>
            </w:r>
            <w:r w:rsidR="00736DA9">
              <w:rPr>
                <w:noProof/>
                <w:webHidden/>
              </w:rPr>
            </w:r>
            <w:r w:rsidR="00736DA9">
              <w:rPr>
                <w:noProof/>
                <w:webHidden/>
              </w:rPr>
              <w:fldChar w:fldCharType="separate"/>
            </w:r>
            <w:r w:rsidR="00736DA9">
              <w:rPr>
                <w:noProof/>
                <w:webHidden/>
              </w:rPr>
              <w:t>107</w:t>
            </w:r>
            <w:r w:rsidR="00736DA9">
              <w:rPr>
                <w:noProof/>
                <w:webHidden/>
              </w:rPr>
              <w:fldChar w:fldCharType="end"/>
            </w:r>
          </w:hyperlink>
        </w:p>
        <w:p w14:paraId="7C3B54A4" w14:textId="6A3660FD" w:rsidR="00736DA9" w:rsidRDefault="00000000">
          <w:pPr>
            <w:pStyle w:val="TOC4"/>
            <w:tabs>
              <w:tab w:val="right" w:pos="9350"/>
            </w:tabs>
            <w:rPr>
              <w:rFonts w:eastAsiaTheme="minorEastAsia" w:cstheme="minorBidi"/>
              <w:noProof/>
              <w:sz w:val="24"/>
              <w:szCs w:val="24"/>
            </w:rPr>
          </w:pPr>
          <w:hyperlink w:anchor="_Toc162267100" w:history="1">
            <w:r w:rsidR="00736DA9" w:rsidRPr="004372B1">
              <w:rPr>
                <w:rStyle w:val="Hyperlink"/>
                <w:noProof/>
              </w:rPr>
              <w:t>Figure 5.21: Family Households Below Poverty Line, by Race and Ethnicity.</w:t>
            </w:r>
            <w:r w:rsidR="00736DA9">
              <w:rPr>
                <w:noProof/>
                <w:webHidden/>
              </w:rPr>
              <w:tab/>
            </w:r>
            <w:r w:rsidR="00736DA9">
              <w:rPr>
                <w:noProof/>
                <w:webHidden/>
              </w:rPr>
              <w:fldChar w:fldCharType="begin"/>
            </w:r>
            <w:r w:rsidR="00736DA9">
              <w:rPr>
                <w:noProof/>
                <w:webHidden/>
              </w:rPr>
              <w:instrText xml:space="preserve"> PAGEREF _Toc162267100 \h </w:instrText>
            </w:r>
            <w:r w:rsidR="00736DA9">
              <w:rPr>
                <w:noProof/>
                <w:webHidden/>
              </w:rPr>
            </w:r>
            <w:r w:rsidR="00736DA9">
              <w:rPr>
                <w:noProof/>
                <w:webHidden/>
              </w:rPr>
              <w:fldChar w:fldCharType="separate"/>
            </w:r>
            <w:r w:rsidR="00736DA9">
              <w:rPr>
                <w:noProof/>
                <w:webHidden/>
              </w:rPr>
              <w:t>108</w:t>
            </w:r>
            <w:r w:rsidR="00736DA9">
              <w:rPr>
                <w:noProof/>
                <w:webHidden/>
              </w:rPr>
              <w:fldChar w:fldCharType="end"/>
            </w:r>
          </w:hyperlink>
        </w:p>
        <w:p w14:paraId="0B2B0161" w14:textId="63D6BDF3" w:rsidR="00736DA9" w:rsidRDefault="00000000">
          <w:pPr>
            <w:pStyle w:val="TOC4"/>
            <w:tabs>
              <w:tab w:val="right" w:pos="9350"/>
            </w:tabs>
            <w:rPr>
              <w:rFonts w:eastAsiaTheme="minorEastAsia" w:cstheme="minorBidi"/>
              <w:noProof/>
              <w:sz w:val="24"/>
              <w:szCs w:val="24"/>
            </w:rPr>
          </w:pPr>
          <w:hyperlink w:anchor="_Toc162267101" w:history="1">
            <w:r w:rsidR="00736DA9" w:rsidRPr="004372B1">
              <w:rPr>
                <w:rStyle w:val="Hyperlink"/>
                <w:noProof/>
              </w:rPr>
              <w:t>References 5.10</w:t>
            </w:r>
            <w:r w:rsidR="00736DA9">
              <w:rPr>
                <w:noProof/>
                <w:webHidden/>
              </w:rPr>
              <w:tab/>
            </w:r>
            <w:r w:rsidR="00736DA9">
              <w:rPr>
                <w:noProof/>
                <w:webHidden/>
              </w:rPr>
              <w:fldChar w:fldCharType="begin"/>
            </w:r>
            <w:r w:rsidR="00736DA9">
              <w:rPr>
                <w:noProof/>
                <w:webHidden/>
              </w:rPr>
              <w:instrText xml:space="preserve"> PAGEREF _Toc162267101 \h </w:instrText>
            </w:r>
            <w:r w:rsidR="00736DA9">
              <w:rPr>
                <w:noProof/>
                <w:webHidden/>
              </w:rPr>
            </w:r>
            <w:r w:rsidR="00736DA9">
              <w:rPr>
                <w:noProof/>
                <w:webHidden/>
              </w:rPr>
              <w:fldChar w:fldCharType="separate"/>
            </w:r>
            <w:r w:rsidR="00736DA9">
              <w:rPr>
                <w:noProof/>
                <w:webHidden/>
              </w:rPr>
              <w:t>108</w:t>
            </w:r>
            <w:r w:rsidR="00736DA9">
              <w:rPr>
                <w:noProof/>
                <w:webHidden/>
              </w:rPr>
              <w:fldChar w:fldCharType="end"/>
            </w:r>
          </w:hyperlink>
        </w:p>
        <w:p w14:paraId="0BE0AC00" w14:textId="4184C6F3" w:rsidR="00736DA9" w:rsidRDefault="00000000">
          <w:pPr>
            <w:pStyle w:val="TOC3"/>
            <w:tabs>
              <w:tab w:val="right" w:pos="9350"/>
            </w:tabs>
            <w:rPr>
              <w:rFonts w:eastAsiaTheme="minorEastAsia" w:cstheme="minorBidi"/>
              <w:noProof/>
              <w:sz w:val="24"/>
              <w:szCs w:val="24"/>
            </w:rPr>
          </w:pPr>
          <w:hyperlink w:anchor="_Toc162267102" w:history="1">
            <w:r w:rsidR="00736DA9" w:rsidRPr="004372B1">
              <w:rPr>
                <w:rStyle w:val="Hyperlink"/>
                <w:noProof/>
              </w:rPr>
              <w:t>Populations Experiencing Homelessness</w:t>
            </w:r>
            <w:r w:rsidR="00736DA9">
              <w:rPr>
                <w:noProof/>
                <w:webHidden/>
              </w:rPr>
              <w:tab/>
            </w:r>
            <w:r w:rsidR="00736DA9">
              <w:rPr>
                <w:noProof/>
                <w:webHidden/>
              </w:rPr>
              <w:fldChar w:fldCharType="begin"/>
            </w:r>
            <w:r w:rsidR="00736DA9">
              <w:rPr>
                <w:noProof/>
                <w:webHidden/>
              </w:rPr>
              <w:instrText xml:space="preserve"> PAGEREF _Toc162267102 \h </w:instrText>
            </w:r>
            <w:r w:rsidR="00736DA9">
              <w:rPr>
                <w:noProof/>
                <w:webHidden/>
              </w:rPr>
            </w:r>
            <w:r w:rsidR="00736DA9">
              <w:rPr>
                <w:noProof/>
                <w:webHidden/>
              </w:rPr>
              <w:fldChar w:fldCharType="separate"/>
            </w:r>
            <w:r w:rsidR="00736DA9">
              <w:rPr>
                <w:noProof/>
                <w:webHidden/>
              </w:rPr>
              <w:t>110</w:t>
            </w:r>
            <w:r w:rsidR="00736DA9">
              <w:rPr>
                <w:noProof/>
                <w:webHidden/>
              </w:rPr>
              <w:fldChar w:fldCharType="end"/>
            </w:r>
          </w:hyperlink>
        </w:p>
        <w:p w14:paraId="45333399" w14:textId="586CACF7" w:rsidR="00736DA9" w:rsidRDefault="00000000">
          <w:pPr>
            <w:pStyle w:val="TOC4"/>
            <w:tabs>
              <w:tab w:val="right" w:pos="9350"/>
            </w:tabs>
            <w:rPr>
              <w:rFonts w:eastAsiaTheme="minorEastAsia" w:cstheme="minorBidi"/>
              <w:noProof/>
              <w:sz w:val="24"/>
              <w:szCs w:val="24"/>
            </w:rPr>
          </w:pPr>
          <w:hyperlink w:anchor="_Toc162267103" w:history="1">
            <w:r w:rsidR="00736DA9" w:rsidRPr="004372B1">
              <w:rPr>
                <w:rStyle w:val="Hyperlink"/>
                <w:noProof/>
              </w:rPr>
              <w:t>Figure 5.22: Demographic Comparison of Persons Experiencing Homelessness, by Year.</w:t>
            </w:r>
            <w:r w:rsidR="00736DA9">
              <w:rPr>
                <w:noProof/>
                <w:webHidden/>
              </w:rPr>
              <w:tab/>
            </w:r>
            <w:r w:rsidR="00736DA9">
              <w:rPr>
                <w:noProof/>
                <w:webHidden/>
              </w:rPr>
              <w:fldChar w:fldCharType="begin"/>
            </w:r>
            <w:r w:rsidR="00736DA9">
              <w:rPr>
                <w:noProof/>
                <w:webHidden/>
              </w:rPr>
              <w:instrText xml:space="preserve"> PAGEREF _Toc162267103 \h </w:instrText>
            </w:r>
            <w:r w:rsidR="00736DA9">
              <w:rPr>
                <w:noProof/>
                <w:webHidden/>
              </w:rPr>
            </w:r>
            <w:r w:rsidR="00736DA9">
              <w:rPr>
                <w:noProof/>
                <w:webHidden/>
              </w:rPr>
              <w:fldChar w:fldCharType="separate"/>
            </w:r>
            <w:r w:rsidR="00736DA9">
              <w:rPr>
                <w:noProof/>
                <w:webHidden/>
              </w:rPr>
              <w:t>111</w:t>
            </w:r>
            <w:r w:rsidR="00736DA9">
              <w:rPr>
                <w:noProof/>
                <w:webHidden/>
              </w:rPr>
              <w:fldChar w:fldCharType="end"/>
            </w:r>
          </w:hyperlink>
        </w:p>
        <w:p w14:paraId="584F45E1" w14:textId="0C9A5205" w:rsidR="00736DA9" w:rsidRDefault="00000000">
          <w:pPr>
            <w:pStyle w:val="TOC4"/>
            <w:tabs>
              <w:tab w:val="right" w:pos="9350"/>
            </w:tabs>
            <w:rPr>
              <w:rFonts w:eastAsiaTheme="minorEastAsia" w:cstheme="minorBidi"/>
              <w:noProof/>
              <w:sz w:val="24"/>
              <w:szCs w:val="24"/>
            </w:rPr>
          </w:pPr>
          <w:hyperlink w:anchor="_Toc162267104" w:history="1">
            <w:r w:rsidR="00736DA9" w:rsidRPr="004372B1">
              <w:rPr>
                <w:rStyle w:val="Hyperlink"/>
                <w:noProof/>
              </w:rPr>
              <w:t>Figure 5.23: Count of Persons Experiencing Chronic Homelessness, by Subpopulation.</w:t>
            </w:r>
            <w:r w:rsidR="00736DA9">
              <w:rPr>
                <w:noProof/>
                <w:webHidden/>
              </w:rPr>
              <w:tab/>
            </w:r>
            <w:r w:rsidR="00736DA9">
              <w:rPr>
                <w:noProof/>
                <w:webHidden/>
              </w:rPr>
              <w:fldChar w:fldCharType="begin"/>
            </w:r>
            <w:r w:rsidR="00736DA9">
              <w:rPr>
                <w:noProof/>
                <w:webHidden/>
              </w:rPr>
              <w:instrText xml:space="preserve"> PAGEREF _Toc162267104 \h </w:instrText>
            </w:r>
            <w:r w:rsidR="00736DA9">
              <w:rPr>
                <w:noProof/>
                <w:webHidden/>
              </w:rPr>
            </w:r>
            <w:r w:rsidR="00736DA9">
              <w:rPr>
                <w:noProof/>
                <w:webHidden/>
              </w:rPr>
              <w:fldChar w:fldCharType="separate"/>
            </w:r>
            <w:r w:rsidR="00736DA9">
              <w:rPr>
                <w:noProof/>
                <w:webHidden/>
              </w:rPr>
              <w:t>111</w:t>
            </w:r>
            <w:r w:rsidR="00736DA9">
              <w:rPr>
                <w:noProof/>
                <w:webHidden/>
              </w:rPr>
              <w:fldChar w:fldCharType="end"/>
            </w:r>
          </w:hyperlink>
        </w:p>
        <w:p w14:paraId="7438A5A6" w14:textId="7850A435" w:rsidR="00736DA9" w:rsidRDefault="00000000">
          <w:pPr>
            <w:pStyle w:val="TOC4"/>
            <w:tabs>
              <w:tab w:val="right" w:pos="9350"/>
            </w:tabs>
            <w:rPr>
              <w:rFonts w:eastAsiaTheme="minorEastAsia" w:cstheme="minorBidi"/>
              <w:noProof/>
              <w:sz w:val="24"/>
              <w:szCs w:val="24"/>
            </w:rPr>
          </w:pPr>
          <w:hyperlink w:anchor="_Toc162267105" w:history="1">
            <w:r w:rsidR="00736DA9" w:rsidRPr="004372B1">
              <w:rPr>
                <w:rStyle w:val="Hyperlink"/>
                <w:noProof/>
              </w:rPr>
              <w:t>References 5.11</w:t>
            </w:r>
            <w:r w:rsidR="00736DA9">
              <w:rPr>
                <w:noProof/>
                <w:webHidden/>
              </w:rPr>
              <w:tab/>
            </w:r>
            <w:r w:rsidR="00736DA9">
              <w:rPr>
                <w:noProof/>
                <w:webHidden/>
              </w:rPr>
              <w:fldChar w:fldCharType="begin"/>
            </w:r>
            <w:r w:rsidR="00736DA9">
              <w:rPr>
                <w:noProof/>
                <w:webHidden/>
              </w:rPr>
              <w:instrText xml:space="preserve"> PAGEREF _Toc162267105 \h </w:instrText>
            </w:r>
            <w:r w:rsidR="00736DA9">
              <w:rPr>
                <w:noProof/>
                <w:webHidden/>
              </w:rPr>
            </w:r>
            <w:r w:rsidR="00736DA9">
              <w:rPr>
                <w:noProof/>
                <w:webHidden/>
              </w:rPr>
              <w:fldChar w:fldCharType="separate"/>
            </w:r>
            <w:r w:rsidR="00736DA9">
              <w:rPr>
                <w:noProof/>
                <w:webHidden/>
              </w:rPr>
              <w:t>112</w:t>
            </w:r>
            <w:r w:rsidR="00736DA9">
              <w:rPr>
                <w:noProof/>
                <w:webHidden/>
              </w:rPr>
              <w:fldChar w:fldCharType="end"/>
            </w:r>
          </w:hyperlink>
        </w:p>
        <w:p w14:paraId="3C37B423" w14:textId="39983BD4" w:rsidR="00736DA9" w:rsidRDefault="00000000">
          <w:pPr>
            <w:pStyle w:val="TOC3"/>
            <w:tabs>
              <w:tab w:val="right" w:pos="9350"/>
            </w:tabs>
            <w:rPr>
              <w:rFonts w:eastAsiaTheme="minorEastAsia" w:cstheme="minorBidi"/>
              <w:noProof/>
              <w:sz w:val="24"/>
              <w:szCs w:val="24"/>
            </w:rPr>
          </w:pPr>
          <w:hyperlink w:anchor="_Toc162267106" w:history="1">
            <w:r w:rsidR="00736DA9" w:rsidRPr="004372B1">
              <w:rPr>
                <w:rStyle w:val="Hyperlink"/>
                <w:noProof/>
              </w:rPr>
              <w:t>Individuals with Disabilities</w:t>
            </w:r>
            <w:r w:rsidR="00736DA9">
              <w:rPr>
                <w:noProof/>
                <w:webHidden/>
              </w:rPr>
              <w:tab/>
            </w:r>
            <w:r w:rsidR="00736DA9">
              <w:rPr>
                <w:noProof/>
                <w:webHidden/>
              </w:rPr>
              <w:fldChar w:fldCharType="begin"/>
            </w:r>
            <w:r w:rsidR="00736DA9">
              <w:rPr>
                <w:noProof/>
                <w:webHidden/>
              </w:rPr>
              <w:instrText xml:space="preserve"> PAGEREF _Toc162267106 \h </w:instrText>
            </w:r>
            <w:r w:rsidR="00736DA9">
              <w:rPr>
                <w:noProof/>
                <w:webHidden/>
              </w:rPr>
            </w:r>
            <w:r w:rsidR="00736DA9">
              <w:rPr>
                <w:noProof/>
                <w:webHidden/>
              </w:rPr>
              <w:fldChar w:fldCharType="separate"/>
            </w:r>
            <w:r w:rsidR="00736DA9">
              <w:rPr>
                <w:noProof/>
                <w:webHidden/>
              </w:rPr>
              <w:t>113</w:t>
            </w:r>
            <w:r w:rsidR="00736DA9">
              <w:rPr>
                <w:noProof/>
                <w:webHidden/>
              </w:rPr>
              <w:fldChar w:fldCharType="end"/>
            </w:r>
          </w:hyperlink>
        </w:p>
        <w:p w14:paraId="40066CAB" w14:textId="2C1C79E4" w:rsidR="00736DA9" w:rsidRDefault="00000000">
          <w:pPr>
            <w:pStyle w:val="TOC4"/>
            <w:tabs>
              <w:tab w:val="right" w:pos="9350"/>
            </w:tabs>
            <w:rPr>
              <w:rFonts w:eastAsiaTheme="minorEastAsia" w:cstheme="minorBidi"/>
              <w:noProof/>
              <w:sz w:val="24"/>
              <w:szCs w:val="24"/>
            </w:rPr>
          </w:pPr>
          <w:hyperlink w:anchor="_Toc162267107" w:history="1">
            <w:r w:rsidR="00736DA9" w:rsidRPr="004372B1">
              <w:rPr>
                <w:rStyle w:val="Hyperlink"/>
                <w:noProof/>
              </w:rPr>
              <w:t>Table 5.1: Survey Definition of Disability.</w:t>
            </w:r>
            <w:r w:rsidR="00736DA9">
              <w:rPr>
                <w:noProof/>
                <w:webHidden/>
              </w:rPr>
              <w:tab/>
            </w:r>
            <w:r w:rsidR="00736DA9">
              <w:rPr>
                <w:noProof/>
                <w:webHidden/>
              </w:rPr>
              <w:fldChar w:fldCharType="begin"/>
            </w:r>
            <w:r w:rsidR="00736DA9">
              <w:rPr>
                <w:noProof/>
                <w:webHidden/>
              </w:rPr>
              <w:instrText xml:space="preserve"> PAGEREF _Toc162267107 \h </w:instrText>
            </w:r>
            <w:r w:rsidR="00736DA9">
              <w:rPr>
                <w:noProof/>
                <w:webHidden/>
              </w:rPr>
            </w:r>
            <w:r w:rsidR="00736DA9">
              <w:rPr>
                <w:noProof/>
                <w:webHidden/>
              </w:rPr>
              <w:fldChar w:fldCharType="separate"/>
            </w:r>
            <w:r w:rsidR="00736DA9">
              <w:rPr>
                <w:noProof/>
                <w:webHidden/>
              </w:rPr>
              <w:t>113</w:t>
            </w:r>
            <w:r w:rsidR="00736DA9">
              <w:rPr>
                <w:noProof/>
                <w:webHidden/>
              </w:rPr>
              <w:fldChar w:fldCharType="end"/>
            </w:r>
          </w:hyperlink>
        </w:p>
        <w:p w14:paraId="5183C0AD" w14:textId="1CEDBF66" w:rsidR="00736DA9" w:rsidRDefault="00000000">
          <w:pPr>
            <w:pStyle w:val="TOC4"/>
            <w:tabs>
              <w:tab w:val="right" w:pos="9350"/>
            </w:tabs>
            <w:rPr>
              <w:rFonts w:eastAsiaTheme="minorEastAsia" w:cstheme="minorBidi"/>
              <w:noProof/>
              <w:sz w:val="24"/>
              <w:szCs w:val="24"/>
            </w:rPr>
          </w:pPr>
          <w:hyperlink w:anchor="_Toc162267108" w:history="1">
            <w:r w:rsidR="00736DA9" w:rsidRPr="004372B1">
              <w:rPr>
                <w:rStyle w:val="Hyperlink"/>
                <w:noProof/>
              </w:rPr>
              <w:t>Figure 5.24: Individuals with Disabilities, by Race/Ethnicity.</w:t>
            </w:r>
            <w:r w:rsidR="00736DA9">
              <w:rPr>
                <w:noProof/>
                <w:webHidden/>
              </w:rPr>
              <w:tab/>
            </w:r>
            <w:r w:rsidR="00736DA9">
              <w:rPr>
                <w:noProof/>
                <w:webHidden/>
              </w:rPr>
              <w:fldChar w:fldCharType="begin"/>
            </w:r>
            <w:r w:rsidR="00736DA9">
              <w:rPr>
                <w:noProof/>
                <w:webHidden/>
              </w:rPr>
              <w:instrText xml:space="preserve"> PAGEREF _Toc162267108 \h </w:instrText>
            </w:r>
            <w:r w:rsidR="00736DA9">
              <w:rPr>
                <w:noProof/>
                <w:webHidden/>
              </w:rPr>
            </w:r>
            <w:r w:rsidR="00736DA9">
              <w:rPr>
                <w:noProof/>
                <w:webHidden/>
              </w:rPr>
              <w:fldChar w:fldCharType="separate"/>
            </w:r>
            <w:r w:rsidR="00736DA9">
              <w:rPr>
                <w:noProof/>
                <w:webHidden/>
              </w:rPr>
              <w:t>114</w:t>
            </w:r>
            <w:r w:rsidR="00736DA9">
              <w:rPr>
                <w:noProof/>
                <w:webHidden/>
              </w:rPr>
              <w:fldChar w:fldCharType="end"/>
            </w:r>
          </w:hyperlink>
        </w:p>
        <w:p w14:paraId="46837D8C" w14:textId="39ED06F0" w:rsidR="00736DA9" w:rsidRDefault="00000000">
          <w:pPr>
            <w:pStyle w:val="TOC4"/>
            <w:tabs>
              <w:tab w:val="right" w:pos="9350"/>
            </w:tabs>
            <w:rPr>
              <w:rFonts w:eastAsiaTheme="minorEastAsia" w:cstheme="minorBidi"/>
              <w:noProof/>
              <w:sz w:val="24"/>
              <w:szCs w:val="24"/>
            </w:rPr>
          </w:pPr>
          <w:hyperlink w:anchor="_Toc162267109" w:history="1">
            <w:r w:rsidR="00736DA9" w:rsidRPr="004372B1">
              <w:rPr>
                <w:rStyle w:val="Hyperlink"/>
                <w:noProof/>
              </w:rPr>
              <w:t>Figure 5.25: Individuals with Disabilities in South Carolina, by Age and Sex.</w:t>
            </w:r>
            <w:r w:rsidR="00736DA9">
              <w:rPr>
                <w:noProof/>
                <w:webHidden/>
              </w:rPr>
              <w:tab/>
            </w:r>
            <w:r w:rsidR="00736DA9">
              <w:rPr>
                <w:noProof/>
                <w:webHidden/>
              </w:rPr>
              <w:fldChar w:fldCharType="begin"/>
            </w:r>
            <w:r w:rsidR="00736DA9">
              <w:rPr>
                <w:noProof/>
                <w:webHidden/>
              </w:rPr>
              <w:instrText xml:space="preserve"> PAGEREF _Toc162267109 \h </w:instrText>
            </w:r>
            <w:r w:rsidR="00736DA9">
              <w:rPr>
                <w:noProof/>
                <w:webHidden/>
              </w:rPr>
            </w:r>
            <w:r w:rsidR="00736DA9">
              <w:rPr>
                <w:noProof/>
                <w:webHidden/>
              </w:rPr>
              <w:fldChar w:fldCharType="separate"/>
            </w:r>
            <w:r w:rsidR="00736DA9">
              <w:rPr>
                <w:noProof/>
                <w:webHidden/>
              </w:rPr>
              <w:t>114</w:t>
            </w:r>
            <w:r w:rsidR="00736DA9">
              <w:rPr>
                <w:noProof/>
                <w:webHidden/>
              </w:rPr>
              <w:fldChar w:fldCharType="end"/>
            </w:r>
          </w:hyperlink>
        </w:p>
        <w:p w14:paraId="3D742F63" w14:textId="072528BC" w:rsidR="00736DA9" w:rsidRDefault="00000000">
          <w:pPr>
            <w:pStyle w:val="TOC4"/>
            <w:tabs>
              <w:tab w:val="right" w:pos="9350"/>
            </w:tabs>
            <w:rPr>
              <w:rFonts w:eastAsiaTheme="minorEastAsia" w:cstheme="minorBidi"/>
              <w:noProof/>
              <w:sz w:val="24"/>
              <w:szCs w:val="24"/>
            </w:rPr>
          </w:pPr>
          <w:hyperlink w:anchor="_Toc162267110" w:history="1">
            <w:r w:rsidR="00736DA9" w:rsidRPr="004372B1">
              <w:rPr>
                <w:rStyle w:val="Hyperlink"/>
                <w:noProof/>
              </w:rPr>
              <w:t>Figure 5.26: Individuals with Disabilities by Disability Type.</w:t>
            </w:r>
            <w:r w:rsidR="00736DA9">
              <w:rPr>
                <w:noProof/>
                <w:webHidden/>
              </w:rPr>
              <w:tab/>
            </w:r>
            <w:r w:rsidR="00736DA9">
              <w:rPr>
                <w:noProof/>
                <w:webHidden/>
              </w:rPr>
              <w:fldChar w:fldCharType="begin"/>
            </w:r>
            <w:r w:rsidR="00736DA9">
              <w:rPr>
                <w:noProof/>
                <w:webHidden/>
              </w:rPr>
              <w:instrText xml:space="preserve"> PAGEREF _Toc162267110 \h </w:instrText>
            </w:r>
            <w:r w:rsidR="00736DA9">
              <w:rPr>
                <w:noProof/>
                <w:webHidden/>
              </w:rPr>
            </w:r>
            <w:r w:rsidR="00736DA9">
              <w:rPr>
                <w:noProof/>
                <w:webHidden/>
              </w:rPr>
              <w:fldChar w:fldCharType="separate"/>
            </w:r>
            <w:r w:rsidR="00736DA9">
              <w:rPr>
                <w:noProof/>
                <w:webHidden/>
              </w:rPr>
              <w:t>114</w:t>
            </w:r>
            <w:r w:rsidR="00736DA9">
              <w:rPr>
                <w:noProof/>
                <w:webHidden/>
              </w:rPr>
              <w:fldChar w:fldCharType="end"/>
            </w:r>
          </w:hyperlink>
        </w:p>
        <w:p w14:paraId="2D4AC667" w14:textId="55D41E15" w:rsidR="00736DA9" w:rsidRDefault="00000000">
          <w:pPr>
            <w:pStyle w:val="TOC4"/>
            <w:tabs>
              <w:tab w:val="right" w:pos="9350"/>
            </w:tabs>
            <w:rPr>
              <w:rFonts w:eastAsiaTheme="minorEastAsia" w:cstheme="minorBidi"/>
              <w:noProof/>
              <w:sz w:val="24"/>
              <w:szCs w:val="24"/>
            </w:rPr>
          </w:pPr>
          <w:hyperlink w:anchor="_Toc162267111" w:history="1">
            <w:r w:rsidR="00736DA9" w:rsidRPr="004372B1">
              <w:rPr>
                <w:rStyle w:val="Hyperlink"/>
                <w:noProof/>
              </w:rPr>
              <w:t>References 5.12</w:t>
            </w:r>
            <w:r w:rsidR="00736DA9">
              <w:rPr>
                <w:noProof/>
                <w:webHidden/>
              </w:rPr>
              <w:tab/>
            </w:r>
            <w:r w:rsidR="00736DA9">
              <w:rPr>
                <w:noProof/>
                <w:webHidden/>
              </w:rPr>
              <w:fldChar w:fldCharType="begin"/>
            </w:r>
            <w:r w:rsidR="00736DA9">
              <w:rPr>
                <w:noProof/>
                <w:webHidden/>
              </w:rPr>
              <w:instrText xml:space="preserve"> PAGEREF _Toc162267111 \h </w:instrText>
            </w:r>
            <w:r w:rsidR="00736DA9">
              <w:rPr>
                <w:noProof/>
                <w:webHidden/>
              </w:rPr>
            </w:r>
            <w:r w:rsidR="00736DA9">
              <w:rPr>
                <w:noProof/>
                <w:webHidden/>
              </w:rPr>
              <w:fldChar w:fldCharType="separate"/>
            </w:r>
            <w:r w:rsidR="00736DA9">
              <w:rPr>
                <w:noProof/>
                <w:webHidden/>
              </w:rPr>
              <w:t>115</w:t>
            </w:r>
            <w:r w:rsidR="00736DA9">
              <w:rPr>
                <w:noProof/>
                <w:webHidden/>
              </w:rPr>
              <w:fldChar w:fldCharType="end"/>
            </w:r>
          </w:hyperlink>
        </w:p>
        <w:p w14:paraId="28AA244D" w14:textId="5E8EF0AF" w:rsidR="00736DA9" w:rsidRDefault="00000000">
          <w:pPr>
            <w:pStyle w:val="TOC3"/>
            <w:tabs>
              <w:tab w:val="right" w:pos="9350"/>
            </w:tabs>
            <w:rPr>
              <w:rFonts w:eastAsiaTheme="minorEastAsia" w:cstheme="minorBidi"/>
              <w:noProof/>
              <w:sz w:val="24"/>
              <w:szCs w:val="24"/>
            </w:rPr>
          </w:pPr>
          <w:hyperlink w:anchor="_Toc162267112" w:history="1">
            <w:r w:rsidR="00736DA9" w:rsidRPr="004372B1">
              <w:rPr>
                <w:rStyle w:val="Hyperlink"/>
                <w:noProof/>
              </w:rPr>
              <w:t>Indigenous Populations</w:t>
            </w:r>
            <w:r w:rsidR="00736DA9">
              <w:rPr>
                <w:noProof/>
                <w:webHidden/>
              </w:rPr>
              <w:tab/>
            </w:r>
            <w:r w:rsidR="00736DA9">
              <w:rPr>
                <w:noProof/>
                <w:webHidden/>
              </w:rPr>
              <w:fldChar w:fldCharType="begin"/>
            </w:r>
            <w:r w:rsidR="00736DA9">
              <w:rPr>
                <w:noProof/>
                <w:webHidden/>
              </w:rPr>
              <w:instrText xml:space="preserve"> PAGEREF _Toc162267112 \h </w:instrText>
            </w:r>
            <w:r w:rsidR="00736DA9">
              <w:rPr>
                <w:noProof/>
                <w:webHidden/>
              </w:rPr>
            </w:r>
            <w:r w:rsidR="00736DA9">
              <w:rPr>
                <w:noProof/>
                <w:webHidden/>
              </w:rPr>
              <w:fldChar w:fldCharType="separate"/>
            </w:r>
            <w:r w:rsidR="00736DA9">
              <w:rPr>
                <w:noProof/>
                <w:webHidden/>
              </w:rPr>
              <w:t>116</w:t>
            </w:r>
            <w:r w:rsidR="00736DA9">
              <w:rPr>
                <w:noProof/>
                <w:webHidden/>
              </w:rPr>
              <w:fldChar w:fldCharType="end"/>
            </w:r>
          </w:hyperlink>
        </w:p>
        <w:p w14:paraId="223F715F" w14:textId="35A78B07" w:rsidR="00736DA9" w:rsidRDefault="00000000">
          <w:pPr>
            <w:pStyle w:val="TOC4"/>
            <w:tabs>
              <w:tab w:val="right" w:pos="9350"/>
            </w:tabs>
            <w:rPr>
              <w:rFonts w:eastAsiaTheme="minorEastAsia" w:cstheme="minorBidi"/>
              <w:noProof/>
              <w:sz w:val="24"/>
              <w:szCs w:val="24"/>
            </w:rPr>
          </w:pPr>
          <w:hyperlink w:anchor="_Toc162267113" w:history="1">
            <w:r w:rsidR="00736DA9" w:rsidRPr="004372B1">
              <w:rPr>
                <w:rStyle w:val="Hyperlink"/>
                <w:noProof/>
              </w:rPr>
              <w:t>Figure 5.27: Prevalence of Chronic Conditions, by Race/Ethnicity and Survey.</w:t>
            </w:r>
            <w:r w:rsidR="00736DA9">
              <w:rPr>
                <w:noProof/>
                <w:webHidden/>
              </w:rPr>
              <w:tab/>
            </w:r>
            <w:r w:rsidR="00736DA9">
              <w:rPr>
                <w:noProof/>
                <w:webHidden/>
              </w:rPr>
              <w:fldChar w:fldCharType="begin"/>
            </w:r>
            <w:r w:rsidR="00736DA9">
              <w:rPr>
                <w:noProof/>
                <w:webHidden/>
              </w:rPr>
              <w:instrText xml:space="preserve"> PAGEREF _Toc162267113 \h </w:instrText>
            </w:r>
            <w:r w:rsidR="00736DA9">
              <w:rPr>
                <w:noProof/>
                <w:webHidden/>
              </w:rPr>
            </w:r>
            <w:r w:rsidR="00736DA9">
              <w:rPr>
                <w:noProof/>
                <w:webHidden/>
              </w:rPr>
              <w:fldChar w:fldCharType="separate"/>
            </w:r>
            <w:r w:rsidR="00736DA9">
              <w:rPr>
                <w:noProof/>
                <w:webHidden/>
              </w:rPr>
              <w:t>117</w:t>
            </w:r>
            <w:r w:rsidR="00736DA9">
              <w:rPr>
                <w:noProof/>
                <w:webHidden/>
              </w:rPr>
              <w:fldChar w:fldCharType="end"/>
            </w:r>
          </w:hyperlink>
        </w:p>
        <w:p w14:paraId="76ED035A" w14:textId="7084A162" w:rsidR="00736DA9" w:rsidRDefault="00000000">
          <w:pPr>
            <w:pStyle w:val="TOC4"/>
            <w:tabs>
              <w:tab w:val="right" w:pos="9350"/>
            </w:tabs>
            <w:rPr>
              <w:rFonts w:eastAsiaTheme="minorEastAsia" w:cstheme="minorBidi"/>
              <w:noProof/>
              <w:sz w:val="24"/>
              <w:szCs w:val="24"/>
            </w:rPr>
          </w:pPr>
          <w:hyperlink w:anchor="_Toc162267114" w:history="1">
            <w:r w:rsidR="00736DA9" w:rsidRPr="004372B1">
              <w:rPr>
                <w:rStyle w:val="Hyperlink"/>
                <w:noProof/>
              </w:rPr>
              <w:t>Figure 5.28: Services provided by Pine Hill Health Network to Native Americans in South Carolina, 2022.</w:t>
            </w:r>
            <w:r w:rsidR="00736DA9">
              <w:rPr>
                <w:noProof/>
                <w:webHidden/>
              </w:rPr>
              <w:tab/>
            </w:r>
            <w:r w:rsidR="00736DA9">
              <w:rPr>
                <w:noProof/>
                <w:webHidden/>
              </w:rPr>
              <w:fldChar w:fldCharType="begin"/>
            </w:r>
            <w:r w:rsidR="00736DA9">
              <w:rPr>
                <w:noProof/>
                <w:webHidden/>
              </w:rPr>
              <w:instrText xml:space="preserve"> PAGEREF _Toc162267114 \h </w:instrText>
            </w:r>
            <w:r w:rsidR="00736DA9">
              <w:rPr>
                <w:noProof/>
                <w:webHidden/>
              </w:rPr>
            </w:r>
            <w:r w:rsidR="00736DA9">
              <w:rPr>
                <w:noProof/>
                <w:webHidden/>
              </w:rPr>
              <w:fldChar w:fldCharType="separate"/>
            </w:r>
            <w:r w:rsidR="00736DA9">
              <w:rPr>
                <w:noProof/>
                <w:webHidden/>
              </w:rPr>
              <w:t>118</w:t>
            </w:r>
            <w:r w:rsidR="00736DA9">
              <w:rPr>
                <w:noProof/>
                <w:webHidden/>
              </w:rPr>
              <w:fldChar w:fldCharType="end"/>
            </w:r>
          </w:hyperlink>
        </w:p>
        <w:p w14:paraId="7DA69C96" w14:textId="677C8E5E" w:rsidR="00736DA9" w:rsidRDefault="00000000">
          <w:pPr>
            <w:pStyle w:val="TOC4"/>
            <w:tabs>
              <w:tab w:val="right" w:pos="9350"/>
            </w:tabs>
            <w:rPr>
              <w:rFonts w:eastAsiaTheme="minorEastAsia" w:cstheme="minorBidi"/>
              <w:noProof/>
              <w:sz w:val="24"/>
              <w:szCs w:val="24"/>
            </w:rPr>
          </w:pPr>
          <w:hyperlink w:anchor="_Toc162267115" w:history="1">
            <w:r w:rsidR="00736DA9" w:rsidRPr="004372B1">
              <w:rPr>
                <w:rStyle w:val="Hyperlink"/>
                <w:noProof/>
              </w:rPr>
              <w:t>Figure 5.29: 10 Leading Causes of Death, by Race and Ethnicity.</w:t>
            </w:r>
            <w:r w:rsidR="00736DA9">
              <w:rPr>
                <w:noProof/>
                <w:webHidden/>
              </w:rPr>
              <w:tab/>
            </w:r>
            <w:r w:rsidR="00736DA9">
              <w:rPr>
                <w:noProof/>
                <w:webHidden/>
              </w:rPr>
              <w:fldChar w:fldCharType="begin"/>
            </w:r>
            <w:r w:rsidR="00736DA9">
              <w:rPr>
                <w:noProof/>
                <w:webHidden/>
              </w:rPr>
              <w:instrText xml:space="preserve"> PAGEREF _Toc162267115 \h </w:instrText>
            </w:r>
            <w:r w:rsidR="00736DA9">
              <w:rPr>
                <w:noProof/>
                <w:webHidden/>
              </w:rPr>
            </w:r>
            <w:r w:rsidR="00736DA9">
              <w:rPr>
                <w:noProof/>
                <w:webHidden/>
              </w:rPr>
              <w:fldChar w:fldCharType="separate"/>
            </w:r>
            <w:r w:rsidR="00736DA9">
              <w:rPr>
                <w:noProof/>
                <w:webHidden/>
              </w:rPr>
              <w:t>119</w:t>
            </w:r>
            <w:r w:rsidR="00736DA9">
              <w:rPr>
                <w:noProof/>
                <w:webHidden/>
              </w:rPr>
              <w:fldChar w:fldCharType="end"/>
            </w:r>
          </w:hyperlink>
        </w:p>
        <w:p w14:paraId="7BD2214C" w14:textId="01414150" w:rsidR="00736DA9" w:rsidRDefault="00000000">
          <w:pPr>
            <w:pStyle w:val="TOC4"/>
            <w:tabs>
              <w:tab w:val="right" w:pos="9350"/>
            </w:tabs>
            <w:rPr>
              <w:rFonts w:eastAsiaTheme="minorEastAsia" w:cstheme="minorBidi"/>
              <w:noProof/>
              <w:sz w:val="24"/>
              <w:szCs w:val="24"/>
            </w:rPr>
          </w:pPr>
          <w:hyperlink w:anchor="_Toc162267116" w:history="1">
            <w:r w:rsidR="00736DA9" w:rsidRPr="004372B1">
              <w:rPr>
                <w:rStyle w:val="Hyperlink"/>
                <w:noProof/>
              </w:rPr>
              <w:t>Figure 5.30: Years of Potential Life Lost, by Race-Ethnicity.</w:t>
            </w:r>
            <w:r w:rsidR="00736DA9">
              <w:rPr>
                <w:noProof/>
                <w:webHidden/>
              </w:rPr>
              <w:tab/>
            </w:r>
            <w:r w:rsidR="00736DA9">
              <w:rPr>
                <w:noProof/>
                <w:webHidden/>
              </w:rPr>
              <w:fldChar w:fldCharType="begin"/>
            </w:r>
            <w:r w:rsidR="00736DA9">
              <w:rPr>
                <w:noProof/>
                <w:webHidden/>
              </w:rPr>
              <w:instrText xml:space="preserve"> PAGEREF _Toc162267116 \h </w:instrText>
            </w:r>
            <w:r w:rsidR="00736DA9">
              <w:rPr>
                <w:noProof/>
                <w:webHidden/>
              </w:rPr>
            </w:r>
            <w:r w:rsidR="00736DA9">
              <w:rPr>
                <w:noProof/>
                <w:webHidden/>
              </w:rPr>
              <w:fldChar w:fldCharType="separate"/>
            </w:r>
            <w:r w:rsidR="00736DA9">
              <w:rPr>
                <w:noProof/>
                <w:webHidden/>
              </w:rPr>
              <w:t>120</w:t>
            </w:r>
            <w:r w:rsidR="00736DA9">
              <w:rPr>
                <w:noProof/>
                <w:webHidden/>
              </w:rPr>
              <w:fldChar w:fldCharType="end"/>
            </w:r>
          </w:hyperlink>
        </w:p>
        <w:p w14:paraId="475455B9" w14:textId="2419458E" w:rsidR="00736DA9" w:rsidRDefault="00000000">
          <w:pPr>
            <w:pStyle w:val="TOC4"/>
            <w:tabs>
              <w:tab w:val="right" w:pos="9350"/>
            </w:tabs>
            <w:rPr>
              <w:rFonts w:eastAsiaTheme="minorEastAsia" w:cstheme="minorBidi"/>
              <w:noProof/>
              <w:sz w:val="24"/>
              <w:szCs w:val="24"/>
            </w:rPr>
          </w:pPr>
          <w:hyperlink w:anchor="_Toc162267117" w:history="1">
            <w:r w:rsidR="00736DA9" w:rsidRPr="004372B1">
              <w:rPr>
                <w:rStyle w:val="Hyperlink"/>
                <w:noProof/>
              </w:rPr>
              <w:t>References 5.13</w:t>
            </w:r>
            <w:r w:rsidR="00736DA9">
              <w:rPr>
                <w:noProof/>
                <w:webHidden/>
              </w:rPr>
              <w:tab/>
            </w:r>
            <w:r w:rsidR="00736DA9">
              <w:rPr>
                <w:noProof/>
                <w:webHidden/>
              </w:rPr>
              <w:fldChar w:fldCharType="begin"/>
            </w:r>
            <w:r w:rsidR="00736DA9">
              <w:rPr>
                <w:noProof/>
                <w:webHidden/>
              </w:rPr>
              <w:instrText xml:space="preserve"> PAGEREF _Toc162267117 \h </w:instrText>
            </w:r>
            <w:r w:rsidR="00736DA9">
              <w:rPr>
                <w:noProof/>
                <w:webHidden/>
              </w:rPr>
            </w:r>
            <w:r w:rsidR="00736DA9">
              <w:rPr>
                <w:noProof/>
                <w:webHidden/>
              </w:rPr>
              <w:fldChar w:fldCharType="separate"/>
            </w:r>
            <w:r w:rsidR="00736DA9">
              <w:rPr>
                <w:noProof/>
                <w:webHidden/>
              </w:rPr>
              <w:t>121</w:t>
            </w:r>
            <w:r w:rsidR="00736DA9">
              <w:rPr>
                <w:noProof/>
                <w:webHidden/>
              </w:rPr>
              <w:fldChar w:fldCharType="end"/>
            </w:r>
          </w:hyperlink>
        </w:p>
        <w:p w14:paraId="09697074" w14:textId="62CB0779" w:rsidR="00736DA9" w:rsidRDefault="00000000">
          <w:pPr>
            <w:pStyle w:val="TOC4"/>
            <w:tabs>
              <w:tab w:val="right" w:pos="9350"/>
            </w:tabs>
            <w:rPr>
              <w:rFonts w:eastAsiaTheme="minorEastAsia" w:cstheme="minorBidi"/>
              <w:noProof/>
              <w:sz w:val="24"/>
              <w:szCs w:val="24"/>
            </w:rPr>
          </w:pPr>
          <w:hyperlink w:anchor="_Toc162267118" w:history="1">
            <w:r w:rsidR="00736DA9" w:rsidRPr="004372B1">
              <w:rPr>
                <w:rStyle w:val="Hyperlink"/>
                <w:noProof/>
              </w:rPr>
              <w:t>Figure 5.31: Physical and Mental Health Among Ages Over 65 Years, by Veteran Status.</w:t>
            </w:r>
            <w:r w:rsidR="00736DA9">
              <w:rPr>
                <w:noProof/>
                <w:webHidden/>
              </w:rPr>
              <w:tab/>
            </w:r>
            <w:r w:rsidR="00736DA9">
              <w:rPr>
                <w:noProof/>
                <w:webHidden/>
              </w:rPr>
              <w:fldChar w:fldCharType="begin"/>
            </w:r>
            <w:r w:rsidR="00736DA9">
              <w:rPr>
                <w:noProof/>
                <w:webHidden/>
              </w:rPr>
              <w:instrText xml:space="preserve"> PAGEREF _Toc162267118 \h </w:instrText>
            </w:r>
            <w:r w:rsidR="00736DA9">
              <w:rPr>
                <w:noProof/>
                <w:webHidden/>
              </w:rPr>
            </w:r>
            <w:r w:rsidR="00736DA9">
              <w:rPr>
                <w:noProof/>
                <w:webHidden/>
              </w:rPr>
              <w:fldChar w:fldCharType="separate"/>
            </w:r>
            <w:r w:rsidR="00736DA9">
              <w:rPr>
                <w:noProof/>
                <w:webHidden/>
              </w:rPr>
              <w:t>123</w:t>
            </w:r>
            <w:r w:rsidR="00736DA9">
              <w:rPr>
                <w:noProof/>
                <w:webHidden/>
              </w:rPr>
              <w:fldChar w:fldCharType="end"/>
            </w:r>
          </w:hyperlink>
        </w:p>
        <w:p w14:paraId="2D0BC83E" w14:textId="5B362D7F" w:rsidR="00736DA9" w:rsidRDefault="00000000">
          <w:pPr>
            <w:pStyle w:val="TOC4"/>
            <w:tabs>
              <w:tab w:val="right" w:pos="9350"/>
            </w:tabs>
            <w:rPr>
              <w:rFonts w:eastAsiaTheme="minorEastAsia" w:cstheme="minorBidi"/>
              <w:noProof/>
              <w:sz w:val="24"/>
              <w:szCs w:val="24"/>
            </w:rPr>
          </w:pPr>
          <w:hyperlink w:anchor="_Toc162267119" w:history="1">
            <w:r w:rsidR="00736DA9" w:rsidRPr="004372B1">
              <w:rPr>
                <w:rStyle w:val="Hyperlink"/>
                <w:noProof/>
              </w:rPr>
              <w:t>Figure 5.32: 10 Leading Causes of Death, by Veteran Status.</w:t>
            </w:r>
            <w:r w:rsidR="00736DA9">
              <w:rPr>
                <w:noProof/>
                <w:webHidden/>
              </w:rPr>
              <w:tab/>
            </w:r>
            <w:r w:rsidR="00736DA9">
              <w:rPr>
                <w:noProof/>
                <w:webHidden/>
              </w:rPr>
              <w:fldChar w:fldCharType="begin"/>
            </w:r>
            <w:r w:rsidR="00736DA9">
              <w:rPr>
                <w:noProof/>
                <w:webHidden/>
              </w:rPr>
              <w:instrText xml:space="preserve"> PAGEREF _Toc162267119 \h </w:instrText>
            </w:r>
            <w:r w:rsidR="00736DA9">
              <w:rPr>
                <w:noProof/>
                <w:webHidden/>
              </w:rPr>
            </w:r>
            <w:r w:rsidR="00736DA9">
              <w:rPr>
                <w:noProof/>
                <w:webHidden/>
              </w:rPr>
              <w:fldChar w:fldCharType="separate"/>
            </w:r>
            <w:r w:rsidR="00736DA9">
              <w:rPr>
                <w:noProof/>
                <w:webHidden/>
              </w:rPr>
              <w:t>124</w:t>
            </w:r>
            <w:r w:rsidR="00736DA9">
              <w:rPr>
                <w:noProof/>
                <w:webHidden/>
              </w:rPr>
              <w:fldChar w:fldCharType="end"/>
            </w:r>
          </w:hyperlink>
        </w:p>
        <w:p w14:paraId="380DAB8B" w14:textId="60EBE04F" w:rsidR="00736DA9" w:rsidRDefault="00000000">
          <w:pPr>
            <w:pStyle w:val="TOC4"/>
            <w:tabs>
              <w:tab w:val="right" w:pos="9350"/>
            </w:tabs>
            <w:rPr>
              <w:rFonts w:eastAsiaTheme="minorEastAsia" w:cstheme="minorBidi"/>
              <w:noProof/>
              <w:sz w:val="24"/>
              <w:szCs w:val="24"/>
            </w:rPr>
          </w:pPr>
          <w:hyperlink w:anchor="_Toc162267120" w:history="1">
            <w:r w:rsidR="00736DA9" w:rsidRPr="004372B1">
              <w:rPr>
                <w:rStyle w:val="Hyperlink"/>
                <w:noProof/>
              </w:rPr>
              <w:t>Figure 5.33: Suicide Circumstances, by Veteran Status.</w:t>
            </w:r>
            <w:r w:rsidR="00736DA9">
              <w:rPr>
                <w:noProof/>
                <w:webHidden/>
              </w:rPr>
              <w:tab/>
            </w:r>
            <w:r w:rsidR="00736DA9">
              <w:rPr>
                <w:noProof/>
                <w:webHidden/>
              </w:rPr>
              <w:fldChar w:fldCharType="begin"/>
            </w:r>
            <w:r w:rsidR="00736DA9">
              <w:rPr>
                <w:noProof/>
                <w:webHidden/>
              </w:rPr>
              <w:instrText xml:space="preserve"> PAGEREF _Toc162267120 \h </w:instrText>
            </w:r>
            <w:r w:rsidR="00736DA9">
              <w:rPr>
                <w:noProof/>
                <w:webHidden/>
              </w:rPr>
            </w:r>
            <w:r w:rsidR="00736DA9">
              <w:rPr>
                <w:noProof/>
                <w:webHidden/>
              </w:rPr>
              <w:fldChar w:fldCharType="separate"/>
            </w:r>
            <w:r w:rsidR="00736DA9">
              <w:rPr>
                <w:noProof/>
                <w:webHidden/>
              </w:rPr>
              <w:t>125</w:t>
            </w:r>
            <w:r w:rsidR="00736DA9">
              <w:rPr>
                <w:noProof/>
                <w:webHidden/>
              </w:rPr>
              <w:fldChar w:fldCharType="end"/>
            </w:r>
          </w:hyperlink>
        </w:p>
        <w:p w14:paraId="7F7AD619" w14:textId="5F16C5E5" w:rsidR="00736DA9" w:rsidRDefault="00000000">
          <w:pPr>
            <w:pStyle w:val="TOC4"/>
            <w:tabs>
              <w:tab w:val="right" w:pos="9350"/>
            </w:tabs>
            <w:rPr>
              <w:rFonts w:eastAsiaTheme="minorEastAsia" w:cstheme="minorBidi"/>
              <w:noProof/>
              <w:sz w:val="24"/>
              <w:szCs w:val="24"/>
            </w:rPr>
          </w:pPr>
          <w:hyperlink w:anchor="_Toc162267121" w:history="1">
            <w:r w:rsidR="00736DA9" w:rsidRPr="004372B1">
              <w:rPr>
                <w:rStyle w:val="Hyperlink"/>
                <w:noProof/>
              </w:rPr>
              <w:t>References 5.14</w:t>
            </w:r>
            <w:r w:rsidR="00736DA9">
              <w:rPr>
                <w:noProof/>
                <w:webHidden/>
              </w:rPr>
              <w:tab/>
            </w:r>
            <w:r w:rsidR="00736DA9">
              <w:rPr>
                <w:noProof/>
                <w:webHidden/>
              </w:rPr>
              <w:fldChar w:fldCharType="begin"/>
            </w:r>
            <w:r w:rsidR="00736DA9">
              <w:rPr>
                <w:noProof/>
                <w:webHidden/>
              </w:rPr>
              <w:instrText xml:space="preserve"> PAGEREF _Toc162267121 \h </w:instrText>
            </w:r>
            <w:r w:rsidR="00736DA9">
              <w:rPr>
                <w:noProof/>
                <w:webHidden/>
              </w:rPr>
            </w:r>
            <w:r w:rsidR="00736DA9">
              <w:rPr>
                <w:noProof/>
                <w:webHidden/>
              </w:rPr>
              <w:fldChar w:fldCharType="separate"/>
            </w:r>
            <w:r w:rsidR="00736DA9">
              <w:rPr>
                <w:noProof/>
                <w:webHidden/>
              </w:rPr>
              <w:t>126</w:t>
            </w:r>
            <w:r w:rsidR="00736DA9">
              <w:rPr>
                <w:noProof/>
                <w:webHidden/>
              </w:rPr>
              <w:fldChar w:fldCharType="end"/>
            </w:r>
          </w:hyperlink>
        </w:p>
        <w:p w14:paraId="26747EC9" w14:textId="6EF6D149" w:rsidR="00736DA9" w:rsidRDefault="00000000">
          <w:pPr>
            <w:pStyle w:val="TOC3"/>
            <w:tabs>
              <w:tab w:val="right" w:pos="9350"/>
            </w:tabs>
            <w:rPr>
              <w:rFonts w:eastAsiaTheme="minorEastAsia" w:cstheme="minorBidi"/>
              <w:noProof/>
              <w:sz w:val="24"/>
              <w:szCs w:val="24"/>
            </w:rPr>
          </w:pPr>
          <w:hyperlink w:anchor="_Toc162267122" w:history="1">
            <w:r w:rsidR="00736DA9" w:rsidRPr="004372B1">
              <w:rPr>
                <w:rStyle w:val="Hyperlink"/>
                <w:noProof/>
              </w:rPr>
              <w:t>LGBTQIA+ Communities</w:t>
            </w:r>
            <w:r w:rsidR="00736DA9">
              <w:rPr>
                <w:noProof/>
                <w:webHidden/>
              </w:rPr>
              <w:tab/>
            </w:r>
            <w:r w:rsidR="00736DA9">
              <w:rPr>
                <w:noProof/>
                <w:webHidden/>
              </w:rPr>
              <w:fldChar w:fldCharType="begin"/>
            </w:r>
            <w:r w:rsidR="00736DA9">
              <w:rPr>
                <w:noProof/>
                <w:webHidden/>
              </w:rPr>
              <w:instrText xml:space="preserve"> PAGEREF _Toc162267122 \h </w:instrText>
            </w:r>
            <w:r w:rsidR="00736DA9">
              <w:rPr>
                <w:noProof/>
                <w:webHidden/>
              </w:rPr>
            </w:r>
            <w:r w:rsidR="00736DA9">
              <w:rPr>
                <w:noProof/>
                <w:webHidden/>
              </w:rPr>
              <w:fldChar w:fldCharType="separate"/>
            </w:r>
            <w:r w:rsidR="00736DA9">
              <w:rPr>
                <w:noProof/>
                <w:webHidden/>
              </w:rPr>
              <w:t>127</w:t>
            </w:r>
            <w:r w:rsidR="00736DA9">
              <w:rPr>
                <w:noProof/>
                <w:webHidden/>
              </w:rPr>
              <w:fldChar w:fldCharType="end"/>
            </w:r>
          </w:hyperlink>
        </w:p>
        <w:p w14:paraId="5E30A8AE" w14:textId="13877777" w:rsidR="00736DA9" w:rsidRDefault="00000000">
          <w:pPr>
            <w:pStyle w:val="TOC4"/>
            <w:tabs>
              <w:tab w:val="right" w:pos="9350"/>
            </w:tabs>
            <w:rPr>
              <w:rFonts w:eastAsiaTheme="minorEastAsia" w:cstheme="minorBidi"/>
              <w:noProof/>
              <w:sz w:val="24"/>
              <w:szCs w:val="24"/>
            </w:rPr>
          </w:pPr>
          <w:hyperlink w:anchor="_Toc162267123" w:history="1">
            <w:r w:rsidR="00736DA9" w:rsidRPr="004372B1">
              <w:rPr>
                <w:rStyle w:val="Hyperlink"/>
                <w:noProof/>
              </w:rPr>
              <w:t>Figure 5.34: Mental Wellbeing, by Sexual Minority Status.</w:t>
            </w:r>
            <w:r w:rsidR="00736DA9">
              <w:rPr>
                <w:noProof/>
                <w:webHidden/>
              </w:rPr>
              <w:tab/>
            </w:r>
            <w:r w:rsidR="00736DA9">
              <w:rPr>
                <w:noProof/>
                <w:webHidden/>
              </w:rPr>
              <w:fldChar w:fldCharType="begin"/>
            </w:r>
            <w:r w:rsidR="00736DA9">
              <w:rPr>
                <w:noProof/>
                <w:webHidden/>
              </w:rPr>
              <w:instrText xml:space="preserve"> PAGEREF _Toc162267123 \h </w:instrText>
            </w:r>
            <w:r w:rsidR="00736DA9">
              <w:rPr>
                <w:noProof/>
                <w:webHidden/>
              </w:rPr>
            </w:r>
            <w:r w:rsidR="00736DA9">
              <w:rPr>
                <w:noProof/>
                <w:webHidden/>
              </w:rPr>
              <w:fldChar w:fldCharType="separate"/>
            </w:r>
            <w:r w:rsidR="00736DA9">
              <w:rPr>
                <w:noProof/>
                <w:webHidden/>
              </w:rPr>
              <w:t>128</w:t>
            </w:r>
            <w:r w:rsidR="00736DA9">
              <w:rPr>
                <w:noProof/>
                <w:webHidden/>
              </w:rPr>
              <w:fldChar w:fldCharType="end"/>
            </w:r>
          </w:hyperlink>
        </w:p>
        <w:p w14:paraId="0BC3F5E1" w14:textId="427C674C" w:rsidR="00736DA9" w:rsidRDefault="00000000">
          <w:pPr>
            <w:pStyle w:val="TOC4"/>
            <w:tabs>
              <w:tab w:val="right" w:pos="9350"/>
            </w:tabs>
            <w:rPr>
              <w:rFonts w:eastAsiaTheme="minorEastAsia" w:cstheme="minorBidi"/>
              <w:noProof/>
              <w:sz w:val="24"/>
              <w:szCs w:val="24"/>
            </w:rPr>
          </w:pPr>
          <w:hyperlink w:anchor="_Toc162267124" w:history="1">
            <w:r w:rsidR="00736DA9" w:rsidRPr="004372B1">
              <w:rPr>
                <w:rStyle w:val="Hyperlink"/>
                <w:noProof/>
              </w:rPr>
              <w:t>Figure 5.35: Access to Care, by Sexual Minority Status.</w:t>
            </w:r>
            <w:r w:rsidR="00736DA9">
              <w:rPr>
                <w:noProof/>
                <w:webHidden/>
              </w:rPr>
              <w:tab/>
            </w:r>
            <w:r w:rsidR="00736DA9">
              <w:rPr>
                <w:noProof/>
                <w:webHidden/>
              </w:rPr>
              <w:fldChar w:fldCharType="begin"/>
            </w:r>
            <w:r w:rsidR="00736DA9">
              <w:rPr>
                <w:noProof/>
                <w:webHidden/>
              </w:rPr>
              <w:instrText xml:space="preserve"> PAGEREF _Toc162267124 \h </w:instrText>
            </w:r>
            <w:r w:rsidR="00736DA9">
              <w:rPr>
                <w:noProof/>
                <w:webHidden/>
              </w:rPr>
            </w:r>
            <w:r w:rsidR="00736DA9">
              <w:rPr>
                <w:noProof/>
                <w:webHidden/>
              </w:rPr>
              <w:fldChar w:fldCharType="separate"/>
            </w:r>
            <w:r w:rsidR="00736DA9">
              <w:rPr>
                <w:noProof/>
                <w:webHidden/>
              </w:rPr>
              <w:t>128</w:t>
            </w:r>
            <w:r w:rsidR="00736DA9">
              <w:rPr>
                <w:noProof/>
                <w:webHidden/>
              </w:rPr>
              <w:fldChar w:fldCharType="end"/>
            </w:r>
          </w:hyperlink>
        </w:p>
        <w:p w14:paraId="77BC63F8" w14:textId="129A32AF" w:rsidR="00736DA9" w:rsidRDefault="00000000">
          <w:pPr>
            <w:pStyle w:val="TOC4"/>
            <w:tabs>
              <w:tab w:val="right" w:pos="9350"/>
            </w:tabs>
            <w:rPr>
              <w:rFonts w:eastAsiaTheme="minorEastAsia" w:cstheme="minorBidi"/>
              <w:noProof/>
              <w:sz w:val="24"/>
              <w:szCs w:val="24"/>
            </w:rPr>
          </w:pPr>
          <w:hyperlink w:anchor="_Toc162267125" w:history="1">
            <w:r w:rsidR="00736DA9" w:rsidRPr="004372B1">
              <w:rPr>
                <w:rStyle w:val="Hyperlink"/>
                <w:noProof/>
              </w:rPr>
              <w:t>Figure 5.36: Smoking, Alcohol, and Substance Use, by Sexual Minority.</w:t>
            </w:r>
            <w:r w:rsidR="00736DA9">
              <w:rPr>
                <w:noProof/>
                <w:webHidden/>
              </w:rPr>
              <w:tab/>
            </w:r>
            <w:r w:rsidR="00736DA9">
              <w:rPr>
                <w:noProof/>
                <w:webHidden/>
              </w:rPr>
              <w:fldChar w:fldCharType="begin"/>
            </w:r>
            <w:r w:rsidR="00736DA9">
              <w:rPr>
                <w:noProof/>
                <w:webHidden/>
              </w:rPr>
              <w:instrText xml:space="preserve"> PAGEREF _Toc162267125 \h </w:instrText>
            </w:r>
            <w:r w:rsidR="00736DA9">
              <w:rPr>
                <w:noProof/>
                <w:webHidden/>
              </w:rPr>
            </w:r>
            <w:r w:rsidR="00736DA9">
              <w:rPr>
                <w:noProof/>
                <w:webHidden/>
              </w:rPr>
              <w:fldChar w:fldCharType="separate"/>
            </w:r>
            <w:r w:rsidR="00736DA9">
              <w:rPr>
                <w:noProof/>
                <w:webHidden/>
              </w:rPr>
              <w:t>129</w:t>
            </w:r>
            <w:r w:rsidR="00736DA9">
              <w:rPr>
                <w:noProof/>
                <w:webHidden/>
              </w:rPr>
              <w:fldChar w:fldCharType="end"/>
            </w:r>
          </w:hyperlink>
        </w:p>
        <w:p w14:paraId="115419E2" w14:textId="4ABD589F" w:rsidR="00736DA9" w:rsidRDefault="00000000">
          <w:pPr>
            <w:pStyle w:val="TOC4"/>
            <w:tabs>
              <w:tab w:val="right" w:pos="9350"/>
            </w:tabs>
            <w:rPr>
              <w:rFonts w:eastAsiaTheme="minorEastAsia" w:cstheme="minorBidi"/>
              <w:noProof/>
              <w:sz w:val="24"/>
              <w:szCs w:val="24"/>
            </w:rPr>
          </w:pPr>
          <w:hyperlink w:anchor="_Toc162267126" w:history="1">
            <w:r w:rsidR="00736DA9" w:rsidRPr="004372B1">
              <w:rPr>
                <w:rStyle w:val="Hyperlink"/>
                <w:noProof/>
              </w:rPr>
              <w:t>References 5.15</w:t>
            </w:r>
            <w:r w:rsidR="00736DA9">
              <w:rPr>
                <w:noProof/>
                <w:webHidden/>
              </w:rPr>
              <w:tab/>
            </w:r>
            <w:r w:rsidR="00736DA9">
              <w:rPr>
                <w:noProof/>
                <w:webHidden/>
              </w:rPr>
              <w:fldChar w:fldCharType="begin"/>
            </w:r>
            <w:r w:rsidR="00736DA9">
              <w:rPr>
                <w:noProof/>
                <w:webHidden/>
              </w:rPr>
              <w:instrText xml:space="preserve"> PAGEREF _Toc162267126 \h </w:instrText>
            </w:r>
            <w:r w:rsidR="00736DA9">
              <w:rPr>
                <w:noProof/>
                <w:webHidden/>
              </w:rPr>
            </w:r>
            <w:r w:rsidR="00736DA9">
              <w:rPr>
                <w:noProof/>
                <w:webHidden/>
              </w:rPr>
              <w:fldChar w:fldCharType="separate"/>
            </w:r>
            <w:r w:rsidR="00736DA9">
              <w:rPr>
                <w:noProof/>
                <w:webHidden/>
              </w:rPr>
              <w:t>129</w:t>
            </w:r>
            <w:r w:rsidR="00736DA9">
              <w:rPr>
                <w:noProof/>
                <w:webHidden/>
              </w:rPr>
              <w:fldChar w:fldCharType="end"/>
            </w:r>
          </w:hyperlink>
        </w:p>
        <w:p w14:paraId="62719F15" w14:textId="0A1D8FB3" w:rsidR="00736DA9" w:rsidRDefault="00000000">
          <w:pPr>
            <w:pStyle w:val="TOC3"/>
            <w:tabs>
              <w:tab w:val="right" w:pos="9350"/>
            </w:tabs>
            <w:rPr>
              <w:rFonts w:eastAsiaTheme="minorEastAsia" w:cstheme="minorBidi"/>
              <w:noProof/>
              <w:sz w:val="24"/>
              <w:szCs w:val="24"/>
            </w:rPr>
          </w:pPr>
          <w:hyperlink w:anchor="_Toc162267127" w:history="1">
            <w:r w:rsidR="00736DA9" w:rsidRPr="004372B1">
              <w:rPr>
                <w:rStyle w:val="Hyperlink"/>
                <w:noProof/>
              </w:rPr>
              <w:t>Incarceration and Health Equity</w:t>
            </w:r>
            <w:r w:rsidR="00736DA9">
              <w:rPr>
                <w:noProof/>
                <w:webHidden/>
              </w:rPr>
              <w:tab/>
            </w:r>
            <w:r w:rsidR="00736DA9">
              <w:rPr>
                <w:noProof/>
                <w:webHidden/>
              </w:rPr>
              <w:fldChar w:fldCharType="begin"/>
            </w:r>
            <w:r w:rsidR="00736DA9">
              <w:rPr>
                <w:noProof/>
                <w:webHidden/>
              </w:rPr>
              <w:instrText xml:space="preserve"> PAGEREF _Toc162267127 \h </w:instrText>
            </w:r>
            <w:r w:rsidR="00736DA9">
              <w:rPr>
                <w:noProof/>
                <w:webHidden/>
              </w:rPr>
            </w:r>
            <w:r w:rsidR="00736DA9">
              <w:rPr>
                <w:noProof/>
                <w:webHidden/>
              </w:rPr>
              <w:fldChar w:fldCharType="separate"/>
            </w:r>
            <w:r w:rsidR="00736DA9">
              <w:rPr>
                <w:noProof/>
                <w:webHidden/>
              </w:rPr>
              <w:t>130</w:t>
            </w:r>
            <w:r w:rsidR="00736DA9">
              <w:rPr>
                <w:noProof/>
                <w:webHidden/>
              </w:rPr>
              <w:fldChar w:fldCharType="end"/>
            </w:r>
          </w:hyperlink>
        </w:p>
        <w:p w14:paraId="3BF0DA5F" w14:textId="19BBBCF5" w:rsidR="00736DA9" w:rsidRDefault="00000000">
          <w:pPr>
            <w:pStyle w:val="TOC4"/>
            <w:tabs>
              <w:tab w:val="right" w:pos="9350"/>
            </w:tabs>
            <w:rPr>
              <w:rFonts w:eastAsiaTheme="minorEastAsia" w:cstheme="minorBidi"/>
              <w:noProof/>
              <w:sz w:val="24"/>
              <w:szCs w:val="24"/>
            </w:rPr>
          </w:pPr>
          <w:hyperlink w:anchor="_Toc162267128" w:history="1">
            <w:r w:rsidR="00736DA9" w:rsidRPr="004372B1">
              <w:rPr>
                <w:rStyle w:val="Hyperlink"/>
                <w:noProof/>
              </w:rPr>
              <w:t>Figure 5.37: Prison Incarceration Rates in 2020, by County.</w:t>
            </w:r>
            <w:r w:rsidR="00736DA9">
              <w:rPr>
                <w:noProof/>
                <w:webHidden/>
              </w:rPr>
              <w:tab/>
            </w:r>
            <w:r w:rsidR="00736DA9">
              <w:rPr>
                <w:noProof/>
                <w:webHidden/>
              </w:rPr>
              <w:fldChar w:fldCharType="begin"/>
            </w:r>
            <w:r w:rsidR="00736DA9">
              <w:rPr>
                <w:noProof/>
                <w:webHidden/>
              </w:rPr>
              <w:instrText xml:space="preserve"> PAGEREF _Toc162267128 \h </w:instrText>
            </w:r>
            <w:r w:rsidR="00736DA9">
              <w:rPr>
                <w:noProof/>
                <w:webHidden/>
              </w:rPr>
            </w:r>
            <w:r w:rsidR="00736DA9">
              <w:rPr>
                <w:noProof/>
                <w:webHidden/>
              </w:rPr>
              <w:fldChar w:fldCharType="separate"/>
            </w:r>
            <w:r w:rsidR="00736DA9">
              <w:rPr>
                <w:noProof/>
                <w:webHidden/>
              </w:rPr>
              <w:t>132</w:t>
            </w:r>
            <w:r w:rsidR="00736DA9">
              <w:rPr>
                <w:noProof/>
                <w:webHidden/>
              </w:rPr>
              <w:fldChar w:fldCharType="end"/>
            </w:r>
          </w:hyperlink>
        </w:p>
        <w:p w14:paraId="21F63E03" w14:textId="1CE00D67" w:rsidR="00736DA9" w:rsidRDefault="00000000">
          <w:pPr>
            <w:pStyle w:val="TOC4"/>
            <w:tabs>
              <w:tab w:val="right" w:pos="9350"/>
            </w:tabs>
            <w:rPr>
              <w:rFonts w:eastAsiaTheme="minorEastAsia" w:cstheme="minorBidi"/>
              <w:noProof/>
              <w:sz w:val="24"/>
              <w:szCs w:val="24"/>
            </w:rPr>
          </w:pPr>
          <w:hyperlink w:anchor="_Toc162267129" w:history="1">
            <w:r w:rsidR="00736DA9" w:rsidRPr="004372B1">
              <w:rPr>
                <w:rStyle w:val="Hyperlink"/>
                <w:noProof/>
              </w:rPr>
              <w:t>Figure 5.38: Prevalence of HIV/AIDS, by Population.</w:t>
            </w:r>
            <w:r w:rsidR="00736DA9">
              <w:rPr>
                <w:noProof/>
                <w:webHidden/>
              </w:rPr>
              <w:tab/>
            </w:r>
            <w:r w:rsidR="00736DA9">
              <w:rPr>
                <w:noProof/>
                <w:webHidden/>
              </w:rPr>
              <w:fldChar w:fldCharType="begin"/>
            </w:r>
            <w:r w:rsidR="00736DA9">
              <w:rPr>
                <w:noProof/>
                <w:webHidden/>
              </w:rPr>
              <w:instrText xml:space="preserve"> PAGEREF _Toc162267129 \h </w:instrText>
            </w:r>
            <w:r w:rsidR="00736DA9">
              <w:rPr>
                <w:noProof/>
                <w:webHidden/>
              </w:rPr>
            </w:r>
            <w:r w:rsidR="00736DA9">
              <w:rPr>
                <w:noProof/>
                <w:webHidden/>
              </w:rPr>
              <w:fldChar w:fldCharType="separate"/>
            </w:r>
            <w:r w:rsidR="00736DA9">
              <w:rPr>
                <w:noProof/>
                <w:webHidden/>
              </w:rPr>
              <w:t>133</w:t>
            </w:r>
            <w:r w:rsidR="00736DA9">
              <w:rPr>
                <w:noProof/>
                <w:webHidden/>
              </w:rPr>
              <w:fldChar w:fldCharType="end"/>
            </w:r>
          </w:hyperlink>
        </w:p>
        <w:p w14:paraId="7EB5C836" w14:textId="2B90E655" w:rsidR="00736DA9" w:rsidRDefault="00000000">
          <w:pPr>
            <w:pStyle w:val="TOC4"/>
            <w:tabs>
              <w:tab w:val="right" w:pos="9350"/>
            </w:tabs>
            <w:rPr>
              <w:rFonts w:eastAsiaTheme="minorEastAsia" w:cstheme="minorBidi"/>
              <w:noProof/>
              <w:sz w:val="24"/>
              <w:szCs w:val="24"/>
            </w:rPr>
          </w:pPr>
          <w:hyperlink w:anchor="_Toc162267130" w:history="1">
            <w:r w:rsidR="00736DA9" w:rsidRPr="004372B1">
              <w:rPr>
                <w:rStyle w:val="Hyperlink"/>
                <w:noProof/>
              </w:rPr>
              <w:t>Figure 5.39: Point in Time Count of Hepatitis C Test Results in South Carolina Prisons</w:t>
            </w:r>
            <w:r w:rsidR="00736DA9">
              <w:rPr>
                <w:noProof/>
                <w:webHidden/>
              </w:rPr>
              <w:tab/>
            </w:r>
            <w:r w:rsidR="00736DA9">
              <w:rPr>
                <w:noProof/>
                <w:webHidden/>
              </w:rPr>
              <w:fldChar w:fldCharType="begin"/>
            </w:r>
            <w:r w:rsidR="00736DA9">
              <w:rPr>
                <w:noProof/>
                <w:webHidden/>
              </w:rPr>
              <w:instrText xml:space="preserve"> PAGEREF _Toc162267130 \h </w:instrText>
            </w:r>
            <w:r w:rsidR="00736DA9">
              <w:rPr>
                <w:noProof/>
                <w:webHidden/>
              </w:rPr>
            </w:r>
            <w:r w:rsidR="00736DA9">
              <w:rPr>
                <w:noProof/>
                <w:webHidden/>
              </w:rPr>
              <w:fldChar w:fldCharType="separate"/>
            </w:r>
            <w:r w:rsidR="00736DA9">
              <w:rPr>
                <w:noProof/>
                <w:webHidden/>
              </w:rPr>
              <w:t>133</w:t>
            </w:r>
            <w:r w:rsidR="00736DA9">
              <w:rPr>
                <w:noProof/>
                <w:webHidden/>
              </w:rPr>
              <w:fldChar w:fldCharType="end"/>
            </w:r>
          </w:hyperlink>
        </w:p>
        <w:p w14:paraId="1ECEB8A1" w14:textId="7586247B" w:rsidR="00736DA9" w:rsidRDefault="00000000">
          <w:pPr>
            <w:pStyle w:val="TOC4"/>
            <w:tabs>
              <w:tab w:val="right" w:pos="9350"/>
            </w:tabs>
            <w:rPr>
              <w:rFonts w:eastAsiaTheme="minorEastAsia" w:cstheme="minorBidi"/>
              <w:noProof/>
              <w:sz w:val="24"/>
              <w:szCs w:val="24"/>
            </w:rPr>
          </w:pPr>
          <w:hyperlink w:anchor="_Toc162267131" w:history="1">
            <w:r w:rsidR="00736DA9" w:rsidRPr="004372B1">
              <w:rPr>
                <w:rStyle w:val="Hyperlink"/>
                <w:noProof/>
              </w:rPr>
              <w:t>Figure 5.40: Point in Time Count of Hepatitis C Test Results in South Carolina Prisons, by Race</w:t>
            </w:r>
            <w:r w:rsidR="00736DA9">
              <w:rPr>
                <w:noProof/>
                <w:webHidden/>
              </w:rPr>
              <w:tab/>
            </w:r>
            <w:r w:rsidR="00736DA9">
              <w:rPr>
                <w:noProof/>
                <w:webHidden/>
              </w:rPr>
              <w:fldChar w:fldCharType="begin"/>
            </w:r>
            <w:r w:rsidR="00736DA9">
              <w:rPr>
                <w:noProof/>
                <w:webHidden/>
              </w:rPr>
              <w:instrText xml:space="preserve"> PAGEREF _Toc162267131 \h </w:instrText>
            </w:r>
            <w:r w:rsidR="00736DA9">
              <w:rPr>
                <w:noProof/>
                <w:webHidden/>
              </w:rPr>
            </w:r>
            <w:r w:rsidR="00736DA9">
              <w:rPr>
                <w:noProof/>
                <w:webHidden/>
              </w:rPr>
              <w:fldChar w:fldCharType="separate"/>
            </w:r>
            <w:r w:rsidR="00736DA9">
              <w:rPr>
                <w:noProof/>
                <w:webHidden/>
              </w:rPr>
              <w:t>134</w:t>
            </w:r>
            <w:r w:rsidR="00736DA9">
              <w:rPr>
                <w:noProof/>
                <w:webHidden/>
              </w:rPr>
              <w:fldChar w:fldCharType="end"/>
            </w:r>
          </w:hyperlink>
        </w:p>
        <w:p w14:paraId="7B8DB973" w14:textId="22D082D8" w:rsidR="00736DA9" w:rsidRDefault="00000000">
          <w:pPr>
            <w:pStyle w:val="TOC4"/>
            <w:tabs>
              <w:tab w:val="right" w:pos="9350"/>
            </w:tabs>
            <w:rPr>
              <w:rFonts w:eastAsiaTheme="minorEastAsia" w:cstheme="minorBidi"/>
              <w:noProof/>
              <w:sz w:val="24"/>
              <w:szCs w:val="24"/>
            </w:rPr>
          </w:pPr>
          <w:hyperlink w:anchor="_Toc162267132" w:history="1">
            <w:r w:rsidR="00736DA9" w:rsidRPr="004372B1">
              <w:rPr>
                <w:rStyle w:val="Hyperlink"/>
                <w:noProof/>
              </w:rPr>
              <w:t>References 5.16</w:t>
            </w:r>
            <w:r w:rsidR="00736DA9">
              <w:rPr>
                <w:noProof/>
                <w:webHidden/>
              </w:rPr>
              <w:tab/>
            </w:r>
            <w:r w:rsidR="00736DA9">
              <w:rPr>
                <w:noProof/>
                <w:webHidden/>
              </w:rPr>
              <w:fldChar w:fldCharType="begin"/>
            </w:r>
            <w:r w:rsidR="00736DA9">
              <w:rPr>
                <w:noProof/>
                <w:webHidden/>
              </w:rPr>
              <w:instrText xml:space="preserve"> PAGEREF _Toc162267132 \h </w:instrText>
            </w:r>
            <w:r w:rsidR="00736DA9">
              <w:rPr>
                <w:noProof/>
                <w:webHidden/>
              </w:rPr>
            </w:r>
            <w:r w:rsidR="00736DA9">
              <w:rPr>
                <w:noProof/>
                <w:webHidden/>
              </w:rPr>
              <w:fldChar w:fldCharType="separate"/>
            </w:r>
            <w:r w:rsidR="00736DA9">
              <w:rPr>
                <w:noProof/>
                <w:webHidden/>
              </w:rPr>
              <w:t>134</w:t>
            </w:r>
            <w:r w:rsidR="00736DA9">
              <w:rPr>
                <w:noProof/>
                <w:webHidden/>
              </w:rPr>
              <w:fldChar w:fldCharType="end"/>
            </w:r>
          </w:hyperlink>
        </w:p>
        <w:p w14:paraId="07105D21" w14:textId="5CACC085" w:rsidR="00736DA9" w:rsidRDefault="00000000">
          <w:pPr>
            <w:pStyle w:val="TOC3"/>
            <w:tabs>
              <w:tab w:val="right" w:pos="9350"/>
            </w:tabs>
            <w:rPr>
              <w:rFonts w:eastAsiaTheme="minorEastAsia" w:cstheme="minorBidi"/>
              <w:noProof/>
              <w:sz w:val="24"/>
              <w:szCs w:val="24"/>
            </w:rPr>
          </w:pPr>
          <w:hyperlink w:anchor="_Toc162267133" w:history="1">
            <w:r w:rsidR="00736DA9" w:rsidRPr="004372B1">
              <w:rPr>
                <w:rStyle w:val="Hyperlink"/>
                <w:noProof/>
              </w:rPr>
              <w:t>Connecting the Dots/Summary</w:t>
            </w:r>
            <w:r w:rsidR="00736DA9">
              <w:rPr>
                <w:noProof/>
                <w:webHidden/>
              </w:rPr>
              <w:tab/>
            </w:r>
            <w:r w:rsidR="00736DA9">
              <w:rPr>
                <w:noProof/>
                <w:webHidden/>
              </w:rPr>
              <w:fldChar w:fldCharType="begin"/>
            </w:r>
            <w:r w:rsidR="00736DA9">
              <w:rPr>
                <w:noProof/>
                <w:webHidden/>
              </w:rPr>
              <w:instrText xml:space="preserve"> PAGEREF _Toc162267133 \h </w:instrText>
            </w:r>
            <w:r w:rsidR="00736DA9">
              <w:rPr>
                <w:noProof/>
                <w:webHidden/>
              </w:rPr>
            </w:r>
            <w:r w:rsidR="00736DA9">
              <w:rPr>
                <w:noProof/>
                <w:webHidden/>
              </w:rPr>
              <w:fldChar w:fldCharType="separate"/>
            </w:r>
            <w:r w:rsidR="00736DA9">
              <w:rPr>
                <w:noProof/>
                <w:webHidden/>
              </w:rPr>
              <w:t>135</w:t>
            </w:r>
            <w:r w:rsidR="00736DA9">
              <w:rPr>
                <w:noProof/>
                <w:webHidden/>
              </w:rPr>
              <w:fldChar w:fldCharType="end"/>
            </w:r>
          </w:hyperlink>
        </w:p>
        <w:p w14:paraId="19D16121" w14:textId="5BD07C40" w:rsidR="00736DA9" w:rsidRDefault="00000000">
          <w:pPr>
            <w:pStyle w:val="TOC2"/>
            <w:tabs>
              <w:tab w:val="right" w:pos="9350"/>
            </w:tabs>
            <w:rPr>
              <w:rFonts w:eastAsiaTheme="minorEastAsia" w:cstheme="minorBidi"/>
              <w:b w:val="0"/>
              <w:bCs w:val="0"/>
              <w:noProof/>
              <w:sz w:val="24"/>
              <w:szCs w:val="24"/>
            </w:rPr>
          </w:pPr>
          <w:hyperlink w:anchor="_Toc162267134" w:history="1">
            <w:r w:rsidR="00736DA9" w:rsidRPr="004372B1">
              <w:rPr>
                <w:rStyle w:val="Hyperlink"/>
                <w:noProof/>
              </w:rPr>
              <w:t>Chapter 6: Healthy Communities</w:t>
            </w:r>
            <w:r w:rsidR="00736DA9">
              <w:rPr>
                <w:noProof/>
                <w:webHidden/>
              </w:rPr>
              <w:tab/>
            </w:r>
            <w:r w:rsidR="00736DA9">
              <w:rPr>
                <w:noProof/>
                <w:webHidden/>
              </w:rPr>
              <w:fldChar w:fldCharType="begin"/>
            </w:r>
            <w:r w:rsidR="00736DA9">
              <w:rPr>
                <w:noProof/>
                <w:webHidden/>
              </w:rPr>
              <w:instrText xml:space="preserve"> PAGEREF _Toc162267134 \h </w:instrText>
            </w:r>
            <w:r w:rsidR="00736DA9">
              <w:rPr>
                <w:noProof/>
                <w:webHidden/>
              </w:rPr>
            </w:r>
            <w:r w:rsidR="00736DA9">
              <w:rPr>
                <w:noProof/>
                <w:webHidden/>
              </w:rPr>
              <w:fldChar w:fldCharType="separate"/>
            </w:r>
            <w:r w:rsidR="00736DA9">
              <w:rPr>
                <w:noProof/>
                <w:webHidden/>
              </w:rPr>
              <w:t>137</w:t>
            </w:r>
            <w:r w:rsidR="00736DA9">
              <w:rPr>
                <w:noProof/>
                <w:webHidden/>
              </w:rPr>
              <w:fldChar w:fldCharType="end"/>
            </w:r>
          </w:hyperlink>
        </w:p>
        <w:p w14:paraId="1087F3ED" w14:textId="05B221C0" w:rsidR="00736DA9" w:rsidRDefault="00000000">
          <w:pPr>
            <w:pStyle w:val="TOC3"/>
            <w:tabs>
              <w:tab w:val="right" w:pos="9350"/>
            </w:tabs>
            <w:rPr>
              <w:rFonts w:eastAsiaTheme="minorEastAsia" w:cstheme="minorBidi"/>
              <w:noProof/>
              <w:sz w:val="24"/>
              <w:szCs w:val="24"/>
            </w:rPr>
          </w:pPr>
          <w:hyperlink w:anchor="_Toc162267135" w:history="1">
            <w:r w:rsidR="00736DA9" w:rsidRPr="004372B1">
              <w:rPr>
                <w:rStyle w:val="Hyperlink"/>
                <w:noProof/>
              </w:rPr>
              <w:t>Neighborhood/Housing</w:t>
            </w:r>
            <w:r w:rsidR="00736DA9">
              <w:rPr>
                <w:noProof/>
                <w:webHidden/>
              </w:rPr>
              <w:tab/>
            </w:r>
            <w:r w:rsidR="00736DA9">
              <w:rPr>
                <w:noProof/>
                <w:webHidden/>
              </w:rPr>
              <w:fldChar w:fldCharType="begin"/>
            </w:r>
            <w:r w:rsidR="00736DA9">
              <w:rPr>
                <w:noProof/>
                <w:webHidden/>
              </w:rPr>
              <w:instrText xml:space="preserve"> PAGEREF _Toc162267135 \h </w:instrText>
            </w:r>
            <w:r w:rsidR="00736DA9">
              <w:rPr>
                <w:noProof/>
                <w:webHidden/>
              </w:rPr>
            </w:r>
            <w:r w:rsidR="00736DA9">
              <w:rPr>
                <w:noProof/>
                <w:webHidden/>
              </w:rPr>
              <w:fldChar w:fldCharType="separate"/>
            </w:r>
            <w:r w:rsidR="00736DA9">
              <w:rPr>
                <w:noProof/>
                <w:webHidden/>
              </w:rPr>
              <w:t>137</w:t>
            </w:r>
            <w:r w:rsidR="00736DA9">
              <w:rPr>
                <w:noProof/>
                <w:webHidden/>
              </w:rPr>
              <w:fldChar w:fldCharType="end"/>
            </w:r>
          </w:hyperlink>
        </w:p>
        <w:p w14:paraId="4AA582C5" w14:textId="1EB6E358" w:rsidR="00736DA9" w:rsidRDefault="00000000">
          <w:pPr>
            <w:pStyle w:val="TOC4"/>
            <w:tabs>
              <w:tab w:val="right" w:pos="9350"/>
            </w:tabs>
            <w:rPr>
              <w:rFonts w:eastAsiaTheme="minorEastAsia" w:cstheme="minorBidi"/>
              <w:noProof/>
              <w:sz w:val="24"/>
              <w:szCs w:val="24"/>
            </w:rPr>
          </w:pPr>
          <w:hyperlink w:anchor="_Toc162267136" w:history="1">
            <w:r w:rsidR="00736DA9" w:rsidRPr="004372B1">
              <w:rPr>
                <w:rStyle w:val="Hyperlink"/>
                <w:noProof/>
              </w:rPr>
              <w:t>Figure 6.1: Homeownership Rate.</w:t>
            </w:r>
            <w:r w:rsidR="00736DA9">
              <w:rPr>
                <w:noProof/>
                <w:webHidden/>
              </w:rPr>
              <w:tab/>
            </w:r>
            <w:r w:rsidR="00736DA9">
              <w:rPr>
                <w:noProof/>
                <w:webHidden/>
              </w:rPr>
              <w:fldChar w:fldCharType="begin"/>
            </w:r>
            <w:r w:rsidR="00736DA9">
              <w:rPr>
                <w:noProof/>
                <w:webHidden/>
              </w:rPr>
              <w:instrText xml:space="preserve"> PAGEREF _Toc162267136 \h </w:instrText>
            </w:r>
            <w:r w:rsidR="00736DA9">
              <w:rPr>
                <w:noProof/>
                <w:webHidden/>
              </w:rPr>
            </w:r>
            <w:r w:rsidR="00736DA9">
              <w:rPr>
                <w:noProof/>
                <w:webHidden/>
              </w:rPr>
              <w:fldChar w:fldCharType="separate"/>
            </w:r>
            <w:r w:rsidR="00736DA9">
              <w:rPr>
                <w:noProof/>
                <w:webHidden/>
              </w:rPr>
              <w:t>137</w:t>
            </w:r>
            <w:r w:rsidR="00736DA9">
              <w:rPr>
                <w:noProof/>
                <w:webHidden/>
              </w:rPr>
              <w:fldChar w:fldCharType="end"/>
            </w:r>
          </w:hyperlink>
        </w:p>
        <w:p w14:paraId="4A9697D5" w14:textId="0A556A09" w:rsidR="00736DA9" w:rsidRDefault="00000000">
          <w:pPr>
            <w:pStyle w:val="TOC4"/>
            <w:tabs>
              <w:tab w:val="right" w:pos="9350"/>
            </w:tabs>
            <w:rPr>
              <w:rFonts w:eastAsiaTheme="minorEastAsia" w:cstheme="minorBidi"/>
              <w:noProof/>
              <w:sz w:val="24"/>
              <w:szCs w:val="24"/>
            </w:rPr>
          </w:pPr>
          <w:hyperlink w:anchor="_Toc162267137" w:history="1">
            <w:r w:rsidR="00736DA9" w:rsidRPr="004372B1">
              <w:rPr>
                <w:rStyle w:val="Hyperlink"/>
                <w:noProof/>
              </w:rPr>
              <w:t>Figure 6.2: Median Gross Rent.</w:t>
            </w:r>
            <w:r w:rsidR="00736DA9">
              <w:rPr>
                <w:noProof/>
                <w:webHidden/>
              </w:rPr>
              <w:tab/>
            </w:r>
            <w:r w:rsidR="00736DA9">
              <w:rPr>
                <w:noProof/>
                <w:webHidden/>
              </w:rPr>
              <w:fldChar w:fldCharType="begin"/>
            </w:r>
            <w:r w:rsidR="00736DA9">
              <w:rPr>
                <w:noProof/>
                <w:webHidden/>
              </w:rPr>
              <w:instrText xml:space="preserve"> PAGEREF _Toc162267137 \h </w:instrText>
            </w:r>
            <w:r w:rsidR="00736DA9">
              <w:rPr>
                <w:noProof/>
                <w:webHidden/>
              </w:rPr>
            </w:r>
            <w:r w:rsidR="00736DA9">
              <w:rPr>
                <w:noProof/>
                <w:webHidden/>
              </w:rPr>
              <w:fldChar w:fldCharType="separate"/>
            </w:r>
            <w:r w:rsidR="00736DA9">
              <w:rPr>
                <w:noProof/>
                <w:webHidden/>
              </w:rPr>
              <w:t>137</w:t>
            </w:r>
            <w:r w:rsidR="00736DA9">
              <w:rPr>
                <w:noProof/>
                <w:webHidden/>
              </w:rPr>
              <w:fldChar w:fldCharType="end"/>
            </w:r>
          </w:hyperlink>
        </w:p>
        <w:p w14:paraId="0E4B9F2C" w14:textId="306864FF" w:rsidR="00736DA9" w:rsidRDefault="00000000">
          <w:pPr>
            <w:pStyle w:val="TOC4"/>
            <w:tabs>
              <w:tab w:val="right" w:pos="9350"/>
            </w:tabs>
            <w:rPr>
              <w:rFonts w:eastAsiaTheme="minorEastAsia" w:cstheme="minorBidi"/>
              <w:noProof/>
              <w:sz w:val="24"/>
              <w:szCs w:val="24"/>
            </w:rPr>
          </w:pPr>
          <w:hyperlink w:anchor="_Toc162267138" w:history="1">
            <w:r w:rsidR="00736DA9" w:rsidRPr="004372B1">
              <w:rPr>
                <w:rStyle w:val="Hyperlink"/>
                <w:noProof/>
              </w:rPr>
              <w:t>Figure 6.3: Severe Renter Cost Burden.</w:t>
            </w:r>
            <w:r w:rsidR="00736DA9">
              <w:rPr>
                <w:noProof/>
                <w:webHidden/>
              </w:rPr>
              <w:tab/>
            </w:r>
            <w:r w:rsidR="00736DA9">
              <w:rPr>
                <w:noProof/>
                <w:webHidden/>
              </w:rPr>
              <w:fldChar w:fldCharType="begin"/>
            </w:r>
            <w:r w:rsidR="00736DA9">
              <w:rPr>
                <w:noProof/>
                <w:webHidden/>
              </w:rPr>
              <w:instrText xml:space="preserve"> PAGEREF _Toc162267138 \h </w:instrText>
            </w:r>
            <w:r w:rsidR="00736DA9">
              <w:rPr>
                <w:noProof/>
                <w:webHidden/>
              </w:rPr>
            </w:r>
            <w:r w:rsidR="00736DA9">
              <w:rPr>
                <w:noProof/>
                <w:webHidden/>
              </w:rPr>
              <w:fldChar w:fldCharType="separate"/>
            </w:r>
            <w:r w:rsidR="00736DA9">
              <w:rPr>
                <w:noProof/>
                <w:webHidden/>
              </w:rPr>
              <w:t>139</w:t>
            </w:r>
            <w:r w:rsidR="00736DA9">
              <w:rPr>
                <w:noProof/>
                <w:webHidden/>
              </w:rPr>
              <w:fldChar w:fldCharType="end"/>
            </w:r>
          </w:hyperlink>
        </w:p>
        <w:p w14:paraId="062617D4" w14:textId="38662B66" w:rsidR="00736DA9" w:rsidRDefault="00000000">
          <w:pPr>
            <w:pStyle w:val="TOC4"/>
            <w:tabs>
              <w:tab w:val="right" w:pos="9350"/>
            </w:tabs>
            <w:rPr>
              <w:rFonts w:eastAsiaTheme="minorEastAsia" w:cstheme="minorBidi"/>
              <w:noProof/>
              <w:sz w:val="24"/>
              <w:szCs w:val="24"/>
            </w:rPr>
          </w:pPr>
          <w:hyperlink w:anchor="_Toc162267139"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_Toc162267139 \h </w:instrText>
            </w:r>
            <w:r w:rsidR="00736DA9">
              <w:rPr>
                <w:noProof/>
                <w:webHidden/>
              </w:rPr>
            </w:r>
            <w:r w:rsidR="00736DA9">
              <w:rPr>
                <w:noProof/>
                <w:webHidden/>
              </w:rPr>
              <w:fldChar w:fldCharType="separate"/>
            </w:r>
            <w:r w:rsidR="00736DA9">
              <w:rPr>
                <w:noProof/>
                <w:webHidden/>
              </w:rPr>
              <w:t>140</w:t>
            </w:r>
            <w:r w:rsidR="00736DA9">
              <w:rPr>
                <w:noProof/>
                <w:webHidden/>
              </w:rPr>
              <w:fldChar w:fldCharType="end"/>
            </w:r>
          </w:hyperlink>
        </w:p>
        <w:p w14:paraId="7E6CE65F" w14:textId="261D094A" w:rsidR="00736DA9" w:rsidRDefault="00000000">
          <w:pPr>
            <w:pStyle w:val="TOC4"/>
            <w:tabs>
              <w:tab w:val="right" w:pos="9350"/>
            </w:tabs>
            <w:rPr>
              <w:rFonts w:eastAsiaTheme="minorEastAsia" w:cstheme="minorBidi"/>
              <w:noProof/>
              <w:sz w:val="24"/>
              <w:szCs w:val="24"/>
            </w:rPr>
          </w:pPr>
          <w:hyperlink w:anchor="_Toc162267140" w:history="1">
            <w:r w:rsidR="00736DA9" w:rsidRPr="004372B1">
              <w:rPr>
                <w:rStyle w:val="Hyperlink"/>
                <w:noProof/>
              </w:rPr>
              <w:t>References 6.1</w:t>
            </w:r>
            <w:r w:rsidR="00736DA9">
              <w:rPr>
                <w:noProof/>
                <w:webHidden/>
              </w:rPr>
              <w:tab/>
            </w:r>
            <w:r w:rsidR="00736DA9">
              <w:rPr>
                <w:noProof/>
                <w:webHidden/>
              </w:rPr>
              <w:fldChar w:fldCharType="begin"/>
            </w:r>
            <w:r w:rsidR="00736DA9">
              <w:rPr>
                <w:noProof/>
                <w:webHidden/>
              </w:rPr>
              <w:instrText xml:space="preserve"> PAGEREF _Toc162267140 \h </w:instrText>
            </w:r>
            <w:r w:rsidR="00736DA9">
              <w:rPr>
                <w:noProof/>
                <w:webHidden/>
              </w:rPr>
            </w:r>
            <w:r w:rsidR="00736DA9">
              <w:rPr>
                <w:noProof/>
                <w:webHidden/>
              </w:rPr>
              <w:fldChar w:fldCharType="separate"/>
            </w:r>
            <w:r w:rsidR="00736DA9">
              <w:rPr>
                <w:noProof/>
                <w:webHidden/>
              </w:rPr>
              <w:t>141</w:t>
            </w:r>
            <w:r w:rsidR="00736DA9">
              <w:rPr>
                <w:noProof/>
                <w:webHidden/>
              </w:rPr>
              <w:fldChar w:fldCharType="end"/>
            </w:r>
          </w:hyperlink>
        </w:p>
        <w:p w14:paraId="32CEB9DB" w14:textId="28BF7435" w:rsidR="00736DA9" w:rsidRDefault="00000000">
          <w:pPr>
            <w:pStyle w:val="TOC3"/>
            <w:tabs>
              <w:tab w:val="right" w:pos="9350"/>
            </w:tabs>
            <w:rPr>
              <w:rFonts w:eastAsiaTheme="minorEastAsia" w:cstheme="minorBidi"/>
              <w:noProof/>
              <w:sz w:val="24"/>
              <w:szCs w:val="24"/>
            </w:rPr>
          </w:pPr>
          <w:hyperlink w:anchor="_Toc162267141" w:history="1">
            <w:r w:rsidR="00736DA9" w:rsidRPr="004372B1">
              <w:rPr>
                <w:rStyle w:val="Hyperlink"/>
                <w:noProof/>
              </w:rPr>
              <w:t>Brownfields Redevelopment</w:t>
            </w:r>
            <w:r w:rsidR="00736DA9">
              <w:rPr>
                <w:noProof/>
                <w:webHidden/>
              </w:rPr>
              <w:tab/>
            </w:r>
            <w:r w:rsidR="00736DA9">
              <w:rPr>
                <w:noProof/>
                <w:webHidden/>
              </w:rPr>
              <w:fldChar w:fldCharType="begin"/>
            </w:r>
            <w:r w:rsidR="00736DA9">
              <w:rPr>
                <w:noProof/>
                <w:webHidden/>
              </w:rPr>
              <w:instrText xml:space="preserve"> PAGEREF _Toc162267141 \h </w:instrText>
            </w:r>
            <w:r w:rsidR="00736DA9">
              <w:rPr>
                <w:noProof/>
                <w:webHidden/>
              </w:rPr>
            </w:r>
            <w:r w:rsidR="00736DA9">
              <w:rPr>
                <w:noProof/>
                <w:webHidden/>
              </w:rPr>
              <w:fldChar w:fldCharType="separate"/>
            </w:r>
            <w:r w:rsidR="00736DA9">
              <w:rPr>
                <w:noProof/>
                <w:webHidden/>
              </w:rPr>
              <w:t>141</w:t>
            </w:r>
            <w:r w:rsidR="00736DA9">
              <w:rPr>
                <w:noProof/>
                <w:webHidden/>
              </w:rPr>
              <w:fldChar w:fldCharType="end"/>
            </w:r>
          </w:hyperlink>
        </w:p>
        <w:p w14:paraId="3FBCDD40" w14:textId="3B9A960D" w:rsidR="00736DA9" w:rsidRDefault="00000000">
          <w:pPr>
            <w:pStyle w:val="TOC4"/>
            <w:tabs>
              <w:tab w:val="right" w:pos="9350"/>
            </w:tabs>
            <w:rPr>
              <w:rFonts w:eastAsiaTheme="minorEastAsia" w:cstheme="minorBidi"/>
              <w:noProof/>
              <w:sz w:val="24"/>
              <w:szCs w:val="24"/>
            </w:rPr>
          </w:pPr>
          <w:hyperlink w:anchor="_Toc162267142" w:history="1">
            <w:r w:rsidR="00736DA9" w:rsidRPr="004372B1">
              <w:rPr>
                <w:rStyle w:val="Hyperlink"/>
                <w:noProof/>
              </w:rPr>
              <w:t>Figure 6.4: Brownfield Areas Read for Beneficial Reuse.</w:t>
            </w:r>
            <w:r w:rsidR="00736DA9">
              <w:rPr>
                <w:noProof/>
                <w:webHidden/>
              </w:rPr>
              <w:tab/>
            </w:r>
            <w:r w:rsidR="00736DA9">
              <w:rPr>
                <w:noProof/>
                <w:webHidden/>
              </w:rPr>
              <w:fldChar w:fldCharType="begin"/>
            </w:r>
            <w:r w:rsidR="00736DA9">
              <w:rPr>
                <w:noProof/>
                <w:webHidden/>
              </w:rPr>
              <w:instrText xml:space="preserve"> PAGEREF _Toc162267142 \h </w:instrText>
            </w:r>
            <w:r w:rsidR="00736DA9">
              <w:rPr>
                <w:noProof/>
                <w:webHidden/>
              </w:rPr>
            </w:r>
            <w:r w:rsidR="00736DA9">
              <w:rPr>
                <w:noProof/>
                <w:webHidden/>
              </w:rPr>
              <w:fldChar w:fldCharType="separate"/>
            </w:r>
            <w:r w:rsidR="00736DA9">
              <w:rPr>
                <w:noProof/>
                <w:webHidden/>
              </w:rPr>
              <w:t>142</w:t>
            </w:r>
            <w:r w:rsidR="00736DA9">
              <w:rPr>
                <w:noProof/>
                <w:webHidden/>
              </w:rPr>
              <w:fldChar w:fldCharType="end"/>
            </w:r>
          </w:hyperlink>
        </w:p>
        <w:p w14:paraId="4B80C028" w14:textId="7026979C" w:rsidR="00736DA9" w:rsidRDefault="00000000">
          <w:pPr>
            <w:pStyle w:val="TOC4"/>
            <w:tabs>
              <w:tab w:val="right" w:pos="9350"/>
            </w:tabs>
            <w:rPr>
              <w:rFonts w:eastAsiaTheme="minorEastAsia" w:cstheme="minorBidi"/>
              <w:noProof/>
              <w:sz w:val="24"/>
              <w:szCs w:val="24"/>
            </w:rPr>
          </w:pPr>
          <w:hyperlink w:anchor="_Toc162267143"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_Toc162267143 \h </w:instrText>
            </w:r>
            <w:r w:rsidR="00736DA9">
              <w:rPr>
                <w:noProof/>
                <w:webHidden/>
              </w:rPr>
            </w:r>
            <w:r w:rsidR="00736DA9">
              <w:rPr>
                <w:noProof/>
                <w:webHidden/>
              </w:rPr>
              <w:fldChar w:fldCharType="separate"/>
            </w:r>
            <w:r w:rsidR="00736DA9">
              <w:rPr>
                <w:noProof/>
                <w:webHidden/>
              </w:rPr>
              <w:t>142</w:t>
            </w:r>
            <w:r w:rsidR="00736DA9">
              <w:rPr>
                <w:noProof/>
                <w:webHidden/>
              </w:rPr>
              <w:fldChar w:fldCharType="end"/>
            </w:r>
          </w:hyperlink>
        </w:p>
        <w:p w14:paraId="2558AB8E" w14:textId="4878D8EE" w:rsidR="00736DA9" w:rsidRDefault="00000000">
          <w:pPr>
            <w:pStyle w:val="TOC4"/>
            <w:tabs>
              <w:tab w:val="right" w:pos="9350"/>
            </w:tabs>
            <w:rPr>
              <w:rFonts w:eastAsiaTheme="minorEastAsia" w:cstheme="minorBidi"/>
              <w:noProof/>
              <w:sz w:val="24"/>
              <w:szCs w:val="24"/>
            </w:rPr>
          </w:pPr>
          <w:hyperlink w:anchor="_Toc162267144" w:history="1">
            <w:r w:rsidR="00736DA9" w:rsidRPr="004372B1">
              <w:rPr>
                <w:rStyle w:val="Hyperlink"/>
                <w:noProof/>
              </w:rPr>
              <w:t>References 6.2</w:t>
            </w:r>
            <w:r w:rsidR="00736DA9">
              <w:rPr>
                <w:noProof/>
                <w:webHidden/>
              </w:rPr>
              <w:tab/>
            </w:r>
            <w:r w:rsidR="00736DA9">
              <w:rPr>
                <w:noProof/>
                <w:webHidden/>
              </w:rPr>
              <w:fldChar w:fldCharType="begin"/>
            </w:r>
            <w:r w:rsidR="00736DA9">
              <w:rPr>
                <w:noProof/>
                <w:webHidden/>
              </w:rPr>
              <w:instrText xml:space="preserve"> PAGEREF _Toc162267144 \h </w:instrText>
            </w:r>
            <w:r w:rsidR="00736DA9">
              <w:rPr>
                <w:noProof/>
                <w:webHidden/>
              </w:rPr>
            </w:r>
            <w:r w:rsidR="00736DA9">
              <w:rPr>
                <w:noProof/>
                <w:webHidden/>
              </w:rPr>
              <w:fldChar w:fldCharType="separate"/>
            </w:r>
            <w:r w:rsidR="00736DA9">
              <w:rPr>
                <w:noProof/>
                <w:webHidden/>
              </w:rPr>
              <w:t>143</w:t>
            </w:r>
            <w:r w:rsidR="00736DA9">
              <w:rPr>
                <w:noProof/>
                <w:webHidden/>
              </w:rPr>
              <w:fldChar w:fldCharType="end"/>
            </w:r>
          </w:hyperlink>
        </w:p>
        <w:p w14:paraId="55BA2513" w14:textId="50B897DF" w:rsidR="00736DA9" w:rsidRDefault="00000000">
          <w:pPr>
            <w:pStyle w:val="TOC3"/>
            <w:tabs>
              <w:tab w:val="right" w:pos="9350"/>
            </w:tabs>
            <w:rPr>
              <w:rFonts w:eastAsiaTheme="minorEastAsia" w:cstheme="minorBidi"/>
              <w:noProof/>
              <w:sz w:val="24"/>
              <w:szCs w:val="24"/>
            </w:rPr>
          </w:pPr>
          <w:hyperlink w:anchor="_Toc162267145" w:history="1">
            <w:r w:rsidR="00736DA9" w:rsidRPr="004372B1">
              <w:rPr>
                <w:rStyle w:val="Hyperlink"/>
                <w:noProof/>
              </w:rPr>
              <w:t>Crime</w:t>
            </w:r>
            <w:r w:rsidR="00736DA9">
              <w:rPr>
                <w:noProof/>
                <w:webHidden/>
              </w:rPr>
              <w:tab/>
            </w:r>
            <w:r w:rsidR="00736DA9">
              <w:rPr>
                <w:noProof/>
                <w:webHidden/>
              </w:rPr>
              <w:fldChar w:fldCharType="begin"/>
            </w:r>
            <w:r w:rsidR="00736DA9">
              <w:rPr>
                <w:noProof/>
                <w:webHidden/>
              </w:rPr>
              <w:instrText xml:space="preserve"> PAGEREF _Toc162267145 \h </w:instrText>
            </w:r>
            <w:r w:rsidR="00736DA9">
              <w:rPr>
                <w:noProof/>
                <w:webHidden/>
              </w:rPr>
            </w:r>
            <w:r w:rsidR="00736DA9">
              <w:rPr>
                <w:noProof/>
                <w:webHidden/>
              </w:rPr>
              <w:fldChar w:fldCharType="separate"/>
            </w:r>
            <w:r w:rsidR="00736DA9">
              <w:rPr>
                <w:noProof/>
                <w:webHidden/>
              </w:rPr>
              <w:t>143</w:t>
            </w:r>
            <w:r w:rsidR="00736DA9">
              <w:rPr>
                <w:noProof/>
                <w:webHidden/>
              </w:rPr>
              <w:fldChar w:fldCharType="end"/>
            </w:r>
          </w:hyperlink>
        </w:p>
        <w:p w14:paraId="612D3679" w14:textId="7E03BD89" w:rsidR="00736DA9" w:rsidRDefault="00000000">
          <w:pPr>
            <w:pStyle w:val="TOC4"/>
            <w:tabs>
              <w:tab w:val="right" w:pos="9350"/>
            </w:tabs>
            <w:rPr>
              <w:rFonts w:eastAsiaTheme="minorEastAsia" w:cstheme="minorBidi"/>
              <w:noProof/>
              <w:sz w:val="24"/>
              <w:szCs w:val="24"/>
            </w:rPr>
          </w:pPr>
          <w:hyperlink w:anchor="_Toc162267146" w:history="1">
            <w:r w:rsidR="00736DA9" w:rsidRPr="004372B1">
              <w:rPr>
                <w:rStyle w:val="Hyperlink"/>
                <w:noProof/>
              </w:rPr>
              <w:t>Figure 6.5: Crime in South Carolina.</w:t>
            </w:r>
            <w:r w:rsidR="00736DA9">
              <w:rPr>
                <w:noProof/>
                <w:webHidden/>
              </w:rPr>
              <w:tab/>
            </w:r>
            <w:r w:rsidR="00736DA9">
              <w:rPr>
                <w:noProof/>
                <w:webHidden/>
              </w:rPr>
              <w:fldChar w:fldCharType="begin"/>
            </w:r>
            <w:r w:rsidR="00736DA9">
              <w:rPr>
                <w:noProof/>
                <w:webHidden/>
              </w:rPr>
              <w:instrText xml:space="preserve"> PAGEREF _Toc162267146 \h </w:instrText>
            </w:r>
            <w:r w:rsidR="00736DA9">
              <w:rPr>
                <w:noProof/>
                <w:webHidden/>
              </w:rPr>
            </w:r>
            <w:r w:rsidR="00736DA9">
              <w:rPr>
                <w:noProof/>
                <w:webHidden/>
              </w:rPr>
              <w:fldChar w:fldCharType="separate"/>
            </w:r>
            <w:r w:rsidR="00736DA9">
              <w:rPr>
                <w:noProof/>
                <w:webHidden/>
              </w:rPr>
              <w:t>144</w:t>
            </w:r>
            <w:r w:rsidR="00736DA9">
              <w:rPr>
                <w:noProof/>
                <w:webHidden/>
              </w:rPr>
              <w:fldChar w:fldCharType="end"/>
            </w:r>
          </w:hyperlink>
        </w:p>
        <w:p w14:paraId="1E8FA15E" w14:textId="046CE6E9" w:rsidR="00736DA9" w:rsidRDefault="00000000">
          <w:pPr>
            <w:pStyle w:val="TOC4"/>
            <w:tabs>
              <w:tab w:val="right" w:pos="9350"/>
            </w:tabs>
            <w:rPr>
              <w:rFonts w:eastAsiaTheme="minorEastAsia" w:cstheme="minorBidi"/>
              <w:noProof/>
              <w:sz w:val="24"/>
              <w:szCs w:val="24"/>
            </w:rPr>
          </w:pPr>
          <w:hyperlink w:anchor="_Toc162267147" w:history="1">
            <w:r w:rsidR="00736DA9" w:rsidRPr="004372B1">
              <w:rPr>
                <w:rStyle w:val="Hyperlink"/>
                <w:noProof/>
              </w:rPr>
              <w:t>Figure 6.6: Violent Crime, by County.</w:t>
            </w:r>
            <w:r w:rsidR="00736DA9">
              <w:rPr>
                <w:noProof/>
                <w:webHidden/>
              </w:rPr>
              <w:tab/>
            </w:r>
            <w:r w:rsidR="00736DA9">
              <w:rPr>
                <w:noProof/>
                <w:webHidden/>
              </w:rPr>
              <w:fldChar w:fldCharType="begin"/>
            </w:r>
            <w:r w:rsidR="00736DA9">
              <w:rPr>
                <w:noProof/>
                <w:webHidden/>
              </w:rPr>
              <w:instrText xml:space="preserve"> PAGEREF _Toc162267147 \h </w:instrText>
            </w:r>
            <w:r w:rsidR="00736DA9">
              <w:rPr>
                <w:noProof/>
                <w:webHidden/>
              </w:rPr>
            </w:r>
            <w:r w:rsidR="00736DA9">
              <w:rPr>
                <w:noProof/>
                <w:webHidden/>
              </w:rPr>
              <w:fldChar w:fldCharType="separate"/>
            </w:r>
            <w:r w:rsidR="00736DA9">
              <w:rPr>
                <w:noProof/>
                <w:webHidden/>
              </w:rPr>
              <w:t>144</w:t>
            </w:r>
            <w:r w:rsidR="00736DA9">
              <w:rPr>
                <w:noProof/>
                <w:webHidden/>
              </w:rPr>
              <w:fldChar w:fldCharType="end"/>
            </w:r>
          </w:hyperlink>
        </w:p>
        <w:p w14:paraId="072E4BB9" w14:textId="35B8C643" w:rsidR="00736DA9" w:rsidRDefault="00000000">
          <w:pPr>
            <w:pStyle w:val="TOC4"/>
            <w:tabs>
              <w:tab w:val="right" w:pos="9350"/>
            </w:tabs>
            <w:rPr>
              <w:rFonts w:eastAsiaTheme="minorEastAsia" w:cstheme="minorBidi"/>
              <w:noProof/>
              <w:sz w:val="24"/>
              <w:szCs w:val="24"/>
            </w:rPr>
          </w:pPr>
          <w:hyperlink w:anchor="_Toc162267148" w:history="1">
            <w:r w:rsidR="00736DA9" w:rsidRPr="004372B1">
              <w:rPr>
                <w:rStyle w:val="Hyperlink"/>
                <w:noProof/>
              </w:rPr>
              <w:t>Figure 6.7: Violent Crime, by Sex.</w:t>
            </w:r>
            <w:r w:rsidR="00736DA9">
              <w:rPr>
                <w:noProof/>
                <w:webHidden/>
              </w:rPr>
              <w:tab/>
            </w:r>
            <w:r w:rsidR="00736DA9">
              <w:rPr>
                <w:noProof/>
                <w:webHidden/>
              </w:rPr>
              <w:fldChar w:fldCharType="begin"/>
            </w:r>
            <w:r w:rsidR="00736DA9">
              <w:rPr>
                <w:noProof/>
                <w:webHidden/>
              </w:rPr>
              <w:instrText xml:space="preserve"> PAGEREF _Toc162267148 \h </w:instrText>
            </w:r>
            <w:r w:rsidR="00736DA9">
              <w:rPr>
                <w:noProof/>
                <w:webHidden/>
              </w:rPr>
            </w:r>
            <w:r w:rsidR="00736DA9">
              <w:rPr>
                <w:noProof/>
                <w:webHidden/>
              </w:rPr>
              <w:fldChar w:fldCharType="separate"/>
            </w:r>
            <w:r w:rsidR="00736DA9">
              <w:rPr>
                <w:noProof/>
                <w:webHidden/>
              </w:rPr>
              <w:t>146</w:t>
            </w:r>
            <w:r w:rsidR="00736DA9">
              <w:rPr>
                <w:noProof/>
                <w:webHidden/>
              </w:rPr>
              <w:fldChar w:fldCharType="end"/>
            </w:r>
          </w:hyperlink>
        </w:p>
        <w:p w14:paraId="161BB101" w14:textId="495CE62A" w:rsidR="00736DA9" w:rsidRDefault="00000000">
          <w:pPr>
            <w:pStyle w:val="TOC4"/>
            <w:tabs>
              <w:tab w:val="right" w:pos="9350"/>
            </w:tabs>
            <w:rPr>
              <w:rFonts w:eastAsiaTheme="minorEastAsia" w:cstheme="minorBidi"/>
              <w:noProof/>
              <w:sz w:val="24"/>
              <w:szCs w:val="24"/>
            </w:rPr>
          </w:pPr>
          <w:hyperlink w:anchor="_Toc162267149"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_Toc162267149 \h </w:instrText>
            </w:r>
            <w:r w:rsidR="00736DA9">
              <w:rPr>
                <w:noProof/>
                <w:webHidden/>
              </w:rPr>
            </w:r>
            <w:r w:rsidR="00736DA9">
              <w:rPr>
                <w:noProof/>
                <w:webHidden/>
              </w:rPr>
              <w:fldChar w:fldCharType="separate"/>
            </w:r>
            <w:r w:rsidR="00736DA9">
              <w:rPr>
                <w:noProof/>
                <w:webHidden/>
              </w:rPr>
              <w:t>146</w:t>
            </w:r>
            <w:r w:rsidR="00736DA9">
              <w:rPr>
                <w:noProof/>
                <w:webHidden/>
              </w:rPr>
              <w:fldChar w:fldCharType="end"/>
            </w:r>
          </w:hyperlink>
        </w:p>
        <w:p w14:paraId="3F624110" w14:textId="1C7D7567" w:rsidR="00736DA9" w:rsidRDefault="00000000">
          <w:pPr>
            <w:pStyle w:val="TOC4"/>
            <w:tabs>
              <w:tab w:val="right" w:pos="9350"/>
            </w:tabs>
            <w:rPr>
              <w:rFonts w:eastAsiaTheme="minorEastAsia" w:cstheme="minorBidi"/>
              <w:noProof/>
              <w:sz w:val="24"/>
              <w:szCs w:val="24"/>
            </w:rPr>
          </w:pPr>
          <w:hyperlink w:anchor="_Toc162267150" w:history="1">
            <w:r w:rsidR="00736DA9" w:rsidRPr="004372B1">
              <w:rPr>
                <w:rStyle w:val="Hyperlink"/>
                <w:noProof/>
              </w:rPr>
              <w:t>References 6.3</w:t>
            </w:r>
            <w:r w:rsidR="00736DA9">
              <w:rPr>
                <w:noProof/>
                <w:webHidden/>
              </w:rPr>
              <w:tab/>
            </w:r>
            <w:r w:rsidR="00736DA9">
              <w:rPr>
                <w:noProof/>
                <w:webHidden/>
              </w:rPr>
              <w:fldChar w:fldCharType="begin"/>
            </w:r>
            <w:r w:rsidR="00736DA9">
              <w:rPr>
                <w:noProof/>
                <w:webHidden/>
              </w:rPr>
              <w:instrText xml:space="preserve"> PAGEREF _Toc162267150 \h </w:instrText>
            </w:r>
            <w:r w:rsidR="00736DA9">
              <w:rPr>
                <w:noProof/>
                <w:webHidden/>
              </w:rPr>
            </w:r>
            <w:r w:rsidR="00736DA9">
              <w:rPr>
                <w:noProof/>
                <w:webHidden/>
              </w:rPr>
              <w:fldChar w:fldCharType="separate"/>
            </w:r>
            <w:r w:rsidR="00736DA9">
              <w:rPr>
                <w:noProof/>
                <w:webHidden/>
              </w:rPr>
              <w:t>146</w:t>
            </w:r>
            <w:r w:rsidR="00736DA9">
              <w:rPr>
                <w:noProof/>
                <w:webHidden/>
              </w:rPr>
              <w:fldChar w:fldCharType="end"/>
            </w:r>
          </w:hyperlink>
        </w:p>
        <w:p w14:paraId="3766EA84" w14:textId="455C9018" w:rsidR="00736DA9" w:rsidRDefault="00000000">
          <w:pPr>
            <w:pStyle w:val="TOC3"/>
            <w:tabs>
              <w:tab w:val="right" w:pos="9350"/>
            </w:tabs>
            <w:rPr>
              <w:rFonts w:eastAsiaTheme="minorEastAsia" w:cstheme="minorBidi"/>
              <w:noProof/>
              <w:sz w:val="24"/>
              <w:szCs w:val="24"/>
            </w:rPr>
          </w:pPr>
          <w:hyperlink w:anchor="_Toc162267151" w:history="1">
            <w:r w:rsidR="00736DA9" w:rsidRPr="004372B1">
              <w:rPr>
                <w:rStyle w:val="Hyperlink"/>
                <w:noProof/>
              </w:rPr>
              <w:t>Employment</w:t>
            </w:r>
            <w:r w:rsidR="00736DA9">
              <w:rPr>
                <w:noProof/>
                <w:webHidden/>
              </w:rPr>
              <w:tab/>
            </w:r>
            <w:r w:rsidR="00736DA9">
              <w:rPr>
                <w:noProof/>
                <w:webHidden/>
              </w:rPr>
              <w:fldChar w:fldCharType="begin"/>
            </w:r>
            <w:r w:rsidR="00736DA9">
              <w:rPr>
                <w:noProof/>
                <w:webHidden/>
              </w:rPr>
              <w:instrText xml:space="preserve"> PAGEREF _Toc162267151 \h </w:instrText>
            </w:r>
            <w:r w:rsidR="00736DA9">
              <w:rPr>
                <w:noProof/>
                <w:webHidden/>
              </w:rPr>
            </w:r>
            <w:r w:rsidR="00736DA9">
              <w:rPr>
                <w:noProof/>
                <w:webHidden/>
              </w:rPr>
              <w:fldChar w:fldCharType="separate"/>
            </w:r>
            <w:r w:rsidR="00736DA9">
              <w:rPr>
                <w:noProof/>
                <w:webHidden/>
              </w:rPr>
              <w:t>147</w:t>
            </w:r>
            <w:r w:rsidR="00736DA9">
              <w:rPr>
                <w:noProof/>
                <w:webHidden/>
              </w:rPr>
              <w:fldChar w:fldCharType="end"/>
            </w:r>
          </w:hyperlink>
        </w:p>
        <w:p w14:paraId="023F8C6B" w14:textId="324F2805" w:rsidR="00736DA9" w:rsidRDefault="00000000">
          <w:pPr>
            <w:pStyle w:val="TOC4"/>
            <w:tabs>
              <w:tab w:val="right" w:pos="9350"/>
            </w:tabs>
            <w:rPr>
              <w:rFonts w:eastAsiaTheme="minorEastAsia" w:cstheme="minorBidi"/>
              <w:noProof/>
              <w:sz w:val="24"/>
              <w:szCs w:val="24"/>
            </w:rPr>
          </w:pPr>
          <w:hyperlink w:anchor="_Toc162267152" w:history="1">
            <w:r w:rsidR="00736DA9" w:rsidRPr="004372B1">
              <w:rPr>
                <w:rStyle w:val="Hyperlink"/>
                <w:noProof/>
              </w:rPr>
              <w:t>Figure 6.8: Unemployment Rate.</w:t>
            </w:r>
            <w:r w:rsidR="00736DA9">
              <w:rPr>
                <w:noProof/>
                <w:webHidden/>
              </w:rPr>
              <w:tab/>
            </w:r>
            <w:r w:rsidR="00736DA9">
              <w:rPr>
                <w:noProof/>
                <w:webHidden/>
              </w:rPr>
              <w:fldChar w:fldCharType="begin"/>
            </w:r>
            <w:r w:rsidR="00736DA9">
              <w:rPr>
                <w:noProof/>
                <w:webHidden/>
              </w:rPr>
              <w:instrText xml:space="preserve"> PAGEREF _Toc162267152 \h </w:instrText>
            </w:r>
            <w:r w:rsidR="00736DA9">
              <w:rPr>
                <w:noProof/>
                <w:webHidden/>
              </w:rPr>
            </w:r>
            <w:r w:rsidR="00736DA9">
              <w:rPr>
                <w:noProof/>
                <w:webHidden/>
              </w:rPr>
              <w:fldChar w:fldCharType="separate"/>
            </w:r>
            <w:r w:rsidR="00736DA9">
              <w:rPr>
                <w:noProof/>
                <w:webHidden/>
              </w:rPr>
              <w:t>147</w:t>
            </w:r>
            <w:r w:rsidR="00736DA9">
              <w:rPr>
                <w:noProof/>
                <w:webHidden/>
              </w:rPr>
              <w:fldChar w:fldCharType="end"/>
            </w:r>
          </w:hyperlink>
        </w:p>
        <w:p w14:paraId="5AFA9CC4" w14:textId="670ED21A" w:rsidR="00736DA9" w:rsidRDefault="00000000">
          <w:pPr>
            <w:pStyle w:val="TOC4"/>
            <w:tabs>
              <w:tab w:val="right" w:pos="9350"/>
            </w:tabs>
            <w:rPr>
              <w:rFonts w:eastAsiaTheme="minorEastAsia" w:cstheme="minorBidi"/>
              <w:noProof/>
              <w:sz w:val="24"/>
              <w:szCs w:val="24"/>
            </w:rPr>
          </w:pPr>
          <w:hyperlink w:anchor="_Toc162267153" w:history="1">
            <w:r w:rsidR="00736DA9" w:rsidRPr="004372B1">
              <w:rPr>
                <w:rStyle w:val="Hyperlink"/>
                <w:noProof/>
              </w:rPr>
              <w:t>Figure 6.9: Place of Work.</w:t>
            </w:r>
            <w:r w:rsidR="00736DA9">
              <w:rPr>
                <w:noProof/>
                <w:webHidden/>
              </w:rPr>
              <w:tab/>
            </w:r>
            <w:r w:rsidR="00736DA9">
              <w:rPr>
                <w:noProof/>
                <w:webHidden/>
              </w:rPr>
              <w:fldChar w:fldCharType="begin"/>
            </w:r>
            <w:r w:rsidR="00736DA9">
              <w:rPr>
                <w:noProof/>
                <w:webHidden/>
              </w:rPr>
              <w:instrText xml:space="preserve"> PAGEREF _Toc162267153 \h </w:instrText>
            </w:r>
            <w:r w:rsidR="00736DA9">
              <w:rPr>
                <w:noProof/>
                <w:webHidden/>
              </w:rPr>
            </w:r>
            <w:r w:rsidR="00736DA9">
              <w:rPr>
                <w:noProof/>
                <w:webHidden/>
              </w:rPr>
              <w:fldChar w:fldCharType="separate"/>
            </w:r>
            <w:r w:rsidR="00736DA9">
              <w:rPr>
                <w:noProof/>
                <w:webHidden/>
              </w:rPr>
              <w:t>148</w:t>
            </w:r>
            <w:r w:rsidR="00736DA9">
              <w:rPr>
                <w:noProof/>
                <w:webHidden/>
              </w:rPr>
              <w:fldChar w:fldCharType="end"/>
            </w:r>
          </w:hyperlink>
        </w:p>
        <w:p w14:paraId="5B5CF860" w14:textId="73E140CA" w:rsidR="00736DA9" w:rsidRDefault="00000000">
          <w:pPr>
            <w:pStyle w:val="TOC4"/>
            <w:tabs>
              <w:tab w:val="right" w:pos="9350"/>
            </w:tabs>
            <w:rPr>
              <w:rFonts w:eastAsiaTheme="minorEastAsia" w:cstheme="minorBidi"/>
              <w:noProof/>
              <w:sz w:val="24"/>
              <w:szCs w:val="24"/>
            </w:rPr>
          </w:pPr>
          <w:hyperlink w:anchor="_Toc162267154" w:history="1">
            <w:r w:rsidR="00736DA9" w:rsidRPr="004372B1">
              <w:rPr>
                <w:rStyle w:val="Hyperlink"/>
                <w:noProof/>
              </w:rPr>
              <w:t>Figure 6.10: Top 10 Labor Market Projections from 2020-2030, by Industry Type.</w:t>
            </w:r>
            <w:r w:rsidR="00736DA9">
              <w:rPr>
                <w:noProof/>
                <w:webHidden/>
              </w:rPr>
              <w:tab/>
            </w:r>
            <w:r w:rsidR="00736DA9">
              <w:rPr>
                <w:noProof/>
                <w:webHidden/>
              </w:rPr>
              <w:fldChar w:fldCharType="begin"/>
            </w:r>
            <w:r w:rsidR="00736DA9">
              <w:rPr>
                <w:noProof/>
                <w:webHidden/>
              </w:rPr>
              <w:instrText xml:space="preserve"> PAGEREF _Toc162267154 \h </w:instrText>
            </w:r>
            <w:r w:rsidR="00736DA9">
              <w:rPr>
                <w:noProof/>
                <w:webHidden/>
              </w:rPr>
            </w:r>
            <w:r w:rsidR="00736DA9">
              <w:rPr>
                <w:noProof/>
                <w:webHidden/>
              </w:rPr>
              <w:fldChar w:fldCharType="separate"/>
            </w:r>
            <w:r w:rsidR="00736DA9">
              <w:rPr>
                <w:noProof/>
                <w:webHidden/>
              </w:rPr>
              <w:t>148</w:t>
            </w:r>
            <w:r w:rsidR="00736DA9">
              <w:rPr>
                <w:noProof/>
                <w:webHidden/>
              </w:rPr>
              <w:fldChar w:fldCharType="end"/>
            </w:r>
          </w:hyperlink>
        </w:p>
        <w:p w14:paraId="18B15E4F" w14:textId="6DCC6153" w:rsidR="00736DA9" w:rsidRDefault="00000000">
          <w:pPr>
            <w:pStyle w:val="TOC4"/>
            <w:tabs>
              <w:tab w:val="right" w:pos="9350"/>
            </w:tabs>
            <w:rPr>
              <w:rFonts w:eastAsiaTheme="minorEastAsia" w:cstheme="minorBidi"/>
              <w:noProof/>
              <w:sz w:val="24"/>
              <w:szCs w:val="24"/>
            </w:rPr>
          </w:pPr>
          <w:hyperlink w:anchor="_Toc162267155"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_Toc162267155 \h </w:instrText>
            </w:r>
            <w:r w:rsidR="00736DA9">
              <w:rPr>
                <w:noProof/>
                <w:webHidden/>
              </w:rPr>
            </w:r>
            <w:r w:rsidR="00736DA9">
              <w:rPr>
                <w:noProof/>
                <w:webHidden/>
              </w:rPr>
              <w:fldChar w:fldCharType="separate"/>
            </w:r>
            <w:r w:rsidR="00736DA9">
              <w:rPr>
                <w:noProof/>
                <w:webHidden/>
              </w:rPr>
              <w:t>148</w:t>
            </w:r>
            <w:r w:rsidR="00736DA9">
              <w:rPr>
                <w:noProof/>
                <w:webHidden/>
              </w:rPr>
              <w:fldChar w:fldCharType="end"/>
            </w:r>
          </w:hyperlink>
        </w:p>
        <w:p w14:paraId="677BB199" w14:textId="3DF84637" w:rsidR="00736DA9" w:rsidRDefault="00000000">
          <w:pPr>
            <w:pStyle w:val="TOC4"/>
            <w:tabs>
              <w:tab w:val="right" w:pos="9350"/>
            </w:tabs>
            <w:rPr>
              <w:rFonts w:eastAsiaTheme="minorEastAsia" w:cstheme="minorBidi"/>
              <w:noProof/>
              <w:sz w:val="24"/>
              <w:szCs w:val="24"/>
            </w:rPr>
          </w:pPr>
          <w:hyperlink w:anchor="_Toc162267156" w:history="1">
            <w:r w:rsidR="00736DA9" w:rsidRPr="004372B1">
              <w:rPr>
                <w:rStyle w:val="Hyperlink"/>
                <w:noProof/>
              </w:rPr>
              <w:t>References 6.4</w:t>
            </w:r>
            <w:r w:rsidR="00736DA9">
              <w:rPr>
                <w:noProof/>
                <w:webHidden/>
              </w:rPr>
              <w:tab/>
            </w:r>
            <w:r w:rsidR="00736DA9">
              <w:rPr>
                <w:noProof/>
                <w:webHidden/>
              </w:rPr>
              <w:fldChar w:fldCharType="begin"/>
            </w:r>
            <w:r w:rsidR="00736DA9">
              <w:rPr>
                <w:noProof/>
                <w:webHidden/>
              </w:rPr>
              <w:instrText xml:space="preserve"> PAGEREF _Toc162267156 \h </w:instrText>
            </w:r>
            <w:r w:rsidR="00736DA9">
              <w:rPr>
                <w:noProof/>
                <w:webHidden/>
              </w:rPr>
            </w:r>
            <w:r w:rsidR="00736DA9">
              <w:rPr>
                <w:noProof/>
                <w:webHidden/>
              </w:rPr>
              <w:fldChar w:fldCharType="separate"/>
            </w:r>
            <w:r w:rsidR="00736DA9">
              <w:rPr>
                <w:noProof/>
                <w:webHidden/>
              </w:rPr>
              <w:t>149</w:t>
            </w:r>
            <w:r w:rsidR="00736DA9">
              <w:rPr>
                <w:noProof/>
                <w:webHidden/>
              </w:rPr>
              <w:fldChar w:fldCharType="end"/>
            </w:r>
          </w:hyperlink>
        </w:p>
        <w:p w14:paraId="0F591D91" w14:textId="7F99E9E2" w:rsidR="00736DA9" w:rsidRDefault="00000000">
          <w:pPr>
            <w:pStyle w:val="TOC3"/>
            <w:tabs>
              <w:tab w:val="right" w:pos="9350"/>
            </w:tabs>
            <w:rPr>
              <w:rFonts w:eastAsiaTheme="minorEastAsia" w:cstheme="minorBidi"/>
              <w:noProof/>
              <w:sz w:val="24"/>
              <w:szCs w:val="24"/>
            </w:rPr>
          </w:pPr>
          <w:hyperlink w:anchor="_Toc162267157" w:history="1">
            <w:r w:rsidR="00736DA9" w:rsidRPr="004372B1">
              <w:rPr>
                <w:rStyle w:val="Hyperlink"/>
                <w:noProof/>
              </w:rPr>
              <w:t>Food Insecurity and Food Deserts</w:t>
            </w:r>
            <w:r w:rsidR="00736DA9">
              <w:rPr>
                <w:noProof/>
                <w:webHidden/>
              </w:rPr>
              <w:tab/>
            </w:r>
            <w:r w:rsidR="00736DA9">
              <w:rPr>
                <w:noProof/>
                <w:webHidden/>
              </w:rPr>
              <w:fldChar w:fldCharType="begin"/>
            </w:r>
            <w:r w:rsidR="00736DA9">
              <w:rPr>
                <w:noProof/>
                <w:webHidden/>
              </w:rPr>
              <w:instrText xml:space="preserve"> PAGEREF _Toc162267157 \h </w:instrText>
            </w:r>
            <w:r w:rsidR="00736DA9">
              <w:rPr>
                <w:noProof/>
                <w:webHidden/>
              </w:rPr>
            </w:r>
            <w:r w:rsidR="00736DA9">
              <w:rPr>
                <w:noProof/>
                <w:webHidden/>
              </w:rPr>
              <w:fldChar w:fldCharType="separate"/>
            </w:r>
            <w:r w:rsidR="00736DA9">
              <w:rPr>
                <w:noProof/>
                <w:webHidden/>
              </w:rPr>
              <w:t>149</w:t>
            </w:r>
            <w:r w:rsidR="00736DA9">
              <w:rPr>
                <w:noProof/>
                <w:webHidden/>
              </w:rPr>
              <w:fldChar w:fldCharType="end"/>
            </w:r>
          </w:hyperlink>
        </w:p>
        <w:p w14:paraId="68CFF520" w14:textId="0A8F9BB3" w:rsidR="00736DA9" w:rsidRDefault="00000000">
          <w:pPr>
            <w:pStyle w:val="TOC4"/>
            <w:tabs>
              <w:tab w:val="right" w:pos="9350"/>
            </w:tabs>
            <w:rPr>
              <w:rFonts w:eastAsiaTheme="minorEastAsia" w:cstheme="minorBidi"/>
              <w:noProof/>
              <w:sz w:val="24"/>
              <w:szCs w:val="24"/>
            </w:rPr>
          </w:pPr>
          <w:hyperlink w:anchor="_Toc162267158" w:history="1">
            <w:r w:rsidR="00736DA9" w:rsidRPr="004372B1">
              <w:rPr>
                <w:rStyle w:val="Hyperlink"/>
                <w:noProof/>
              </w:rPr>
              <w:t>Figure 6.11: Food Insecurity Rate.</w:t>
            </w:r>
            <w:r w:rsidR="00736DA9">
              <w:rPr>
                <w:noProof/>
                <w:webHidden/>
              </w:rPr>
              <w:tab/>
            </w:r>
            <w:r w:rsidR="00736DA9">
              <w:rPr>
                <w:noProof/>
                <w:webHidden/>
              </w:rPr>
              <w:fldChar w:fldCharType="begin"/>
            </w:r>
            <w:r w:rsidR="00736DA9">
              <w:rPr>
                <w:noProof/>
                <w:webHidden/>
              </w:rPr>
              <w:instrText xml:space="preserve"> PAGEREF _Toc162267158 \h </w:instrText>
            </w:r>
            <w:r w:rsidR="00736DA9">
              <w:rPr>
                <w:noProof/>
                <w:webHidden/>
              </w:rPr>
            </w:r>
            <w:r w:rsidR="00736DA9">
              <w:rPr>
                <w:noProof/>
                <w:webHidden/>
              </w:rPr>
              <w:fldChar w:fldCharType="separate"/>
            </w:r>
            <w:r w:rsidR="00736DA9">
              <w:rPr>
                <w:noProof/>
                <w:webHidden/>
              </w:rPr>
              <w:t>150</w:t>
            </w:r>
            <w:r w:rsidR="00736DA9">
              <w:rPr>
                <w:noProof/>
                <w:webHidden/>
              </w:rPr>
              <w:fldChar w:fldCharType="end"/>
            </w:r>
          </w:hyperlink>
        </w:p>
        <w:p w14:paraId="0CFBC856" w14:textId="178E3201" w:rsidR="00736DA9" w:rsidRDefault="00000000">
          <w:pPr>
            <w:pStyle w:val="TOC4"/>
            <w:tabs>
              <w:tab w:val="right" w:pos="9350"/>
            </w:tabs>
            <w:rPr>
              <w:rFonts w:eastAsiaTheme="minorEastAsia" w:cstheme="minorBidi"/>
              <w:noProof/>
              <w:sz w:val="24"/>
              <w:szCs w:val="24"/>
            </w:rPr>
          </w:pPr>
          <w:hyperlink w:anchor="_Toc162267159" w:history="1">
            <w:r w:rsidR="00736DA9" w:rsidRPr="004372B1">
              <w:rPr>
                <w:rStyle w:val="Hyperlink"/>
                <w:noProof/>
              </w:rPr>
              <w:t>Figure 6.12 – Food Desert Map, in South Carolina.</w:t>
            </w:r>
            <w:r w:rsidR="00736DA9">
              <w:rPr>
                <w:noProof/>
                <w:webHidden/>
              </w:rPr>
              <w:tab/>
            </w:r>
            <w:r w:rsidR="00736DA9">
              <w:rPr>
                <w:noProof/>
                <w:webHidden/>
              </w:rPr>
              <w:fldChar w:fldCharType="begin"/>
            </w:r>
            <w:r w:rsidR="00736DA9">
              <w:rPr>
                <w:noProof/>
                <w:webHidden/>
              </w:rPr>
              <w:instrText xml:space="preserve"> PAGEREF _Toc162267159 \h </w:instrText>
            </w:r>
            <w:r w:rsidR="00736DA9">
              <w:rPr>
                <w:noProof/>
                <w:webHidden/>
              </w:rPr>
            </w:r>
            <w:r w:rsidR="00736DA9">
              <w:rPr>
                <w:noProof/>
                <w:webHidden/>
              </w:rPr>
              <w:fldChar w:fldCharType="separate"/>
            </w:r>
            <w:r w:rsidR="00736DA9">
              <w:rPr>
                <w:noProof/>
                <w:webHidden/>
              </w:rPr>
              <w:t>150</w:t>
            </w:r>
            <w:r w:rsidR="00736DA9">
              <w:rPr>
                <w:noProof/>
                <w:webHidden/>
              </w:rPr>
              <w:fldChar w:fldCharType="end"/>
            </w:r>
          </w:hyperlink>
        </w:p>
        <w:p w14:paraId="32413A73" w14:textId="7D6AD3D9" w:rsidR="00736DA9" w:rsidRDefault="00000000">
          <w:pPr>
            <w:pStyle w:val="TOC4"/>
            <w:tabs>
              <w:tab w:val="right" w:pos="9350"/>
            </w:tabs>
            <w:rPr>
              <w:rFonts w:eastAsiaTheme="minorEastAsia" w:cstheme="minorBidi"/>
              <w:noProof/>
              <w:sz w:val="24"/>
              <w:szCs w:val="24"/>
            </w:rPr>
          </w:pPr>
          <w:hyperlink w:anchor="_Toc162267160" w:history="1">
            <w:r w:rsidR="00736DA9" w:rsidRPr="004372B1">
              <w:rPr>
                <w:rStyle w:val="Hyperlink"/>
                <w:noProof/>
              </w:rPr>
              <w:t>Figure 6.13: Food Insecurity Rate, by Race/Ethnicity.</w:t>
            </w:r>
            <w:r w:rsidR="00736DA9">
              <w:rPr>
                <w:noProof/>
                <w:webHidden/>
              </w:rPr>
              <w:tab/>
            </w:r>
            <w:r w:rsidR="00736DA9">
              <w:rPr>
                <w:noProof/>
                <w:webHidden/>
              </w:rPr>
              <w:fldChar w:fldCharType="begin"/>
            </w:r>
            <w:r w:rsidR="00736DA9">
              <w:rPr>
                <w:noProof/>
                <w:webHidden/>
              </w:rPr>
              <w:instrText xml:space="preserve"> PAGEREF _Toc162267160 \h </w:instrText>
            </w:r>
            <w:r w:rsidR="00736DA9">
              <w:rPr>
                <w:noProof/>
                <w:webHidden/>
              </w:rPr>
            </w:r>
            <w:r w:rsidR="00736DA9">
              <w:rPr>
                <w:noProof/>
                <w:webHidden/>
              </w:rPr>
              <w:fldChar w:fldCharType="separate"/>
            </w:r>
            <w:r w:rsidR="00736DA9">
              <w:rPr>
                <w:noProof/>
                <w:webHidden/>
              </w:rPr>
              <w:t>152</w:t>
            </w:r>
            <w:r w:rsidR="00736DA9">
              <w:rPr>
                <w:noProof/>
                <w:webHidden/>
              </w:rPr>
              <w:fldChar w:fldCharType="end"/>
            </w:r>
          </w:hyperlink>
        </w:p>
        <w:p w14:paraId="0B6C11E4" w14:textId="01BCF8A0" w:rsidR="00736DA9" w:rsidRDefault="00000000">
          <w:pPr>
            <w:pStyle w:val="TOC4"/>
            <w:tabs>
              <w:tab w:val="right" w:pos="9350"/>
            </w:tabs>
            <w:rPr>
              <w:rFonts w:eastAsiaTheme="minorEastAsia" w:cstheme="minorBidi"/>
              <w:noProof/>
              <w:sz w:val="24"/>
              <w:szCs w:val="24"/>
            </w:rPr>
          </w:pPr>
          <w:hyperlink w:anchor="_Toc162267161"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_Toc162267161 \h </w:instrText>
            </w:r>
            <w:r w:rsidR="00736DA9">
              <w:rPr>
                <w:noProof/>
                <w:webHidden/>
              </w:rPr>
            </w:r>
            <w:r w:rsidR="00736DA9">
              <w:rPr>
                <w:noProof/>
                <w:webHidden/>
              </w:rPr>
              <w:fldChar w:fldCharType="separate"/>
            </w:r>
            <w:r w:rsidR="00736DA9">
              <w:rPr>
                <w:noProof/>
                <w:webHidden/>
              </w:rPr>
              <w:t>152</w:t>
            </w:r>
            <w:r w:rsidR="00736DA9">
              <w:rPr>
                <w:noProof/>
                <w:webHidden/>
              </w:rPr>
              <w:fldChar w:fldCharType="end"/>
            </w:r>
          </w:hyperlink>
        </w:p>
        <w:p w14:paraId="4BF70F93" w14:textId="4EAC09D0" w:rsidR="00736DA9" w:rsidRDefault="00000000">
          <w:pPr>
            <w:pStyle w:val="TOC4"/>
            <w:tabs>
              <w:tab w:val="right" w:pos="9350"/>
            </w:tabs>
            <w:rPr>
              <w:rFonts w:eastAsiaTheme="minorEastAsia" w:cstheme="minorBidi"/>
              <w:noProof/>
              <w:sz w:val="24"/>
              <w:szCs w:val="24"/>
            </w:rPr>
          </w:pPr>
          <w:hyperlink w:anchor="_Toc162267162" w:history="1">
            <w:r w:rsidR="00736DA9" w:rsidRPr="004372B1">
              <w:rPr>
                <w:rStyle w:val="Hyperlink"/>
                <w:noProof/>
              </w:rPr>
              <w:t>References 6.5</w:t>
            </w:r>
            <w:r w:rsidR="00736DA9">
              <w:rPr>
                <w:noProof/>
                <w:webHidden/>
              </w:rPr>
              <w:tab/>
            </w:r>
            <w:r w:rsidR="00736DA9">
              <w:rPr>
                <w:noProof/>
                <w:webHidden/>
              </w:rPr>
              <w:fldChar w:fldCharType="begin"/>
            </w:r>
            <w:r w:rsidR="00736DA9">
              <w:rPr>
                <w:noProof/>
                <w:webHidden/>
              </w:rPr>
              <w:instrText xml:space="preserve"> PAGEREF _Toc162267162 \h </w:instrText>
            </w:r>
            <w:r w:rsidR="00736DA9">
              <w:rPr>
                <w:noProof/>
                <w:webHidden/>
              </w:rPr>
            </w:r>
            <w:r w:rsidR="00736DA9">
              <w:rPr>
                <w:noProof/>
                <w:webHidden/>
              </w:rPr>
              <w:fldChar w:fldCharType="separate"/>
            </w:r>
            <w:r w:rsidR="00736DA9">
              <w:rPr>
                <w:noProof/>
                <w:webHidden/>
              </w:rPr>
              <w:t>152</w:t>
            </w:r>
            <w:r w:rsidR="00736DA9">
              <w:rPr>
                <w:noProof/>
                <w:webHidden/>
              </w:rPr>
              <w:fldChar w:fldCharType="end"/>
            </w:r>
          </w:hyperlink>
        </w:p>
        <w:p w14:paraId="601D59A2" w14:textId="38DFF718" w:rsidR="00736DA9" w:rsidRDefault="00000000">
          <w:pPr>
            <w:pStyle w:val="TOC3"/>
            <w:tabs>
              <w:tab w:val="right" w:pos="9350"/>
            </w:tabs>
            <w:rPr>
              <w:rFonts w:eastAsiaTheme="minorEastAsia" w:cstheme="minorBidi"/>
              <w:noProof/>
              <w:sz w:val="24"/>
              <w:szCs w:val="24"/>
            </w:rPr>
          </w:pPr>
          <w:hyperlink w:anchor="_Toc162267163" w:history="1">
            <w:r w:rsidR="00736DA9" w:rsidRPr="004372B1">
              <w:rPr>
                <w:rStyle w:val="Hyperlink"/>
                <w:noProof/>
              </w:rPr>
              <w:t>Healthy Eating</w:t>
            </w:r>
            <w:r w:rsidR="00736DA9">
              <w:rPr>
                <w:noProof/>
                <w:webHidden/>
              </w:rPr>
              <w:tab/>
            </w:r>
            <w:r w:rsidR="00736DA9">
              <w:rPr>
                <w:noProof/>
                <w:webHidden/>
              </w:rPr>
              <w:fldChar w:fldCharType="begin"/>
            </w:r>
            <w:r w:rsidR="00736DA9">
              <w:rPr>
                <w:noProof/>
                <w:webHidden/>
              </w:rPr>
              <w:instrText xml:space="preserve"> PAGEREF _Toc162267163 \h </w:instrText>
            </w:r>
            <w:r w:rsidR="00736DA9">
              <w:rPr>
                <w:noProof/>
                <w:webHidden/>
              </w:rPr>
            </w:r>
            <w:r w:rsidR="00736DA9">
              <w:rPr>
                <w:noProof/>
                <w:webHidden/>
              </w:rPr>
              <w:fldChar w:fldCharType="separate"/>
            </w:r>
            <w:r w:rsidR="00736DA9">
              <w:rPr>
                <w:noProof/>
                <w:webHidden/>
              </w:rPr>
              <w:t>153</w:t>
            </w:r>
            <w:r w:rsidR="00736DA9">
              <w:rPr>
                <w:noProof/>
                <w:webHidden/>
              </w:rPr>
              <w:fldChar w:fldCharType="end"/>
            </w:r>
          </w:hyperlink>
        </w:p>
        <w:p w14:paraId="610496E2" w14:textId="1E9C3E1D" w:rsidR="00736DA9" w:rsidRDefault="00000000">
          <w:pPr>
            <w:pStyle w:val="TOC4"/>
            <w:tabs>
              <w:tab w:val="right" w:pos="9350"/>
            </w:tabs>
            <w:rPr>
              <w:rFonts w:eastAsiaTheme="minorEastAsia" w:cstheme="minorBidi"/>
              <w:noProof/>
              <w:sz w:val="24"/>
              <w:szCs w:val="24"/>
            </w:rPr>
          </w:pPr>
          <w:hyperlink w:anchor="_Toc162267164" w:history="1">
            <w:r w:rsidR="00736DA9" w:rsidRPr="004372B1">
              <w:rPr>
                <w:rStyle w:val="Hyperlink"/>
                <w:noProof/>
              </w:rPr>
              <w:t>Figure 6.14: Adults Who Did Not Eat Fruit at Least Once a Day, by Race/Ethnicity.</w:t>
            </w:r>
            <w:r w:rsidR="00736DA9">
              <w:rPr>
                <w:noProof/>
                <w:webHidden/>
              </w:rPr>
              <w:tab/>
            </w:r>
            <w:r w:rsidR="00736DA9">
              <w:rPr>
                <w:noProof/>
                <w:webHidden/>
              </w:rPr>
              <w:fldChar w:fldCharType="begin"/>
            </w:r>
            <w:r w:rsidR="00736DA9">
              <w:rPr>
                <w:noProof/>
                <w:webHidden/>
              </w:rPr>
              <w:instrText xml:space="preserve"> PAGEREF _Toc162267164 \h </w:instrText>
            </w:r>
            <w:r w:rsidR="00736DA9">
              <w:rPr>
                <w:noProof/>
                <w:webHidden/>
              </w:rPr>
            </w:r>
            <w:r w:rsidR="00736DA9">
              <w:rPr>
                <w:noProof/>
                <w:webHidden/>
              </w:rPr>
              <w:fldChar w:fldCharType="separate"/>
            </w:r>
            <w:r w:rsidR="00736DA9">
              <w:rPr>
                <w:noProof/>
                <w:webHidden/>
              </w:rPr>
              <w:t>153</w:t>
            </w:r>
            <w:r w:rsidR="00736DA9">
              <w:rPr>
                <w:noProof/>
                <w:webHidden/>
              </w:rPr>
              <w:fldChar w:fldCharType="end"/>
            </w:r>
          </w:hyperlink>
        </w:p>
        <w:p w14:paraId="081D3FAF" w14:textId="102A8FC5" w:rsidR="00736DA9" w:rsidRDefault="00000000">
          <w:pPr>
            <w:pStyle w:val="TOC4"/>
            <w:tabs>
              <w:tab w:val="right" w:pos="9350"/>
            </w:tabs>
            <w:rPr>
              <w:rFonts w:eastAsiaTheme="minorEastAsia" w:cstheme="minorBidi"/>
              <w:noProof/>
              <w:sz w:val="24"/>
              <w:szCs w:val="24"/>
            </w:rPr>
          </w:pPr>
          <w:hyperlink w:anchor="_Toc162267165" w:history="1">
            <w:r w:rsidR="00736DA9" w:rsidRPr="004372B1">
              <w:rPr>
                <w:rStyle w:val="Hyperlink"/>
                <w:noProof/>
              </w:rPr>
              <w:t>Figure 6.15: Adults Who Did Not Eat Vegetables At least Once a Day, by Education.</w:t>
            </w:r>
            <w:r w:rsidR="00736DA9">
              <w:rPr>
                <w:noProof/>
                <w:webHidden/>
              </w:rPr>
              <w:tab/>
            </w:r>
            <w:r w:rsidR="00736DA9">
              <w:rPr>
                <w:noProof/>
                <w:webHidden/>
              </w:rPr>
              <w:fldChar w:fldCharType="begin"/>
            </w:r>
            <w:r w:rsidR="00736DA9">
              <w:rPr>
                <w:noProof/>
                <w:webHidden/>
              </w:rPr>
              <w:instrText xml:space="preserve"> PAGEREF _Toc162267165 \h </w:instrText>
            </w:r>
            <w:r w:rsidR="00736DA9">
              <w:rPr>
                <w:noProof/>
                <w:webHidden/>
              </w:rPr>
            </w:r>
            <w:r w:rsidR="00736DA9">
              <w:rPr>
                <w:noProof/>
                <w:webHidden/>
              </w:rPr>
              <w:fldChar w:fldCharType="separate"/>
            </w:r>
            <w:r w:rsidR="00736DA9">
              <w:rPr>
                <w:noProof/>
                <w:webHidden/>
              </w:rPr>
              <w:t>153</w:t>
            </w:r>
            <w:r w:rsidR="00736DA9">
              <w:rPr>
                <w:noProof/>
                <w:webHidden/>
              </w:rPr>
              <w:fldChar w:fldCharType="end"/>
            </w:r>
          </w:hyperlink>
        </w:p>
        <w:p w14:paraId="6520DF69" w14:textId="412C211E" w:rsidR="00736DA9" w:rsidRDefault="00000000">
          <w:pPr>
            <w:pStyle w:val="TOC4"/>
            <w:tabs>
              <w:tab w:val="right" w:pos="9350"/>
            </w:tabs>
            <w:rPr>
              <w:rFonts w:eastAsiaTheme="minorEastAsia" w:cstheme="minorBidi"/>
              <w:noProof/>
              <w:sz w:val="24"/>
              <w:szCs w:val="24"/>
            </w:rPr>
          </w:pPr>
          <w:hyperlink w:anchor="_Toc162267166" w:history="1">
            <w:r w:rsidR="00736DA9" w:rsidRPr="004372B1">
              <w:rPr>
                <w:rStyle w:val="Hyperlink"/>
                <w:noProof/>
              </w:rPr>
              <w:t>Figure 6.16: Top Reasons for Not Eating Healthy Foods.</w:t>
            </w:r>
            <w:r w:rsidR="00736DA9">
              <w:rPr>
                <w:noProof/>
                <w:webHidden/>
              </w:rPr>
              <w:tab/>
            </w:r>
            <w:r w:rsidR="00736DA9">
              <w:rPr>
                <w:noProof/>
                <w:webHidden/>
              </w:rPr>
              <w:fldChar w:fldCharType="begin"/>
            </w:r>
            <w:r w:rsidR="00736DA9">
              <w:rPr>
                <w:noProof/>
                <w:webHidden/>
              </w:rPr>
              <w:instrText xml:space="preserve"> PAGEREF _Toc162267166 \h </w:instrText>
            </w:r>
            <w:r w:rsidR="00736DA9">
              <w:rPr>
                <w:noProof/>
                <w:webHidden/>
              </w:rPr>
            </w:r>
            <w:r w:rsidR="00736DA9">
              <w:rPr>
                <w:noProof/>
                <w:webHidden/>
              </w:rPr>
              <w:fldChar w:fldCharType="separate"/>
            </w:r>
            <w:r w:rsidR="00736DA9">
              <w:rPr>
                <w:noProof/>
                <w:webHidden/>
              </w:rPr>
              <w:t>154</w:t>
            </w:r>
            <w:r w:rsidR="00736DA9">
              <w:rPr>
                <w:noProof/>
                <w:webHidden/>
              </w:rPr>
              <w:fldChar w:fldCharType="end"/>
            </w:r>
          </w:hyperlink>
        </w:p>
        <w:p w14:paraId="392799E2" w14:textId="1A697544" w:rsidR="00736DA9" w:rsidRDefault="00000000">
          <w:pPr>
            <w:pStyle w:val="TOC4"/>
            <w:tabs>
              <w:tab w:val="right" w:pos="9350"/>
            </w:tabs>
            <w:rPr>
              <w:rFonts w:eastAsiaTheme="minorEastAsia" w:cstheme="minorBidi"/>
              <w:noProof/>
              <w:sz w:val="24"/>
              <w:szCs w:val="24"/>
            </w:rPr>
          </w:pPr>
          <w:hyperlink w:anchor="_Toc162267167"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_Toc162267167 \h </w:instrText>
            </w:r>
            <w:r w:rsidR="00736DA9">
              <w:rPr>
                <w:noProof/>
                <w:webHidden/>
              </w:rPr>
            </w:r>
            <w:r w:rsidR="00736DA9">
              <w:rPr>
                <w:noProof/>
                <w:webHidden/>
              </w:rPr>
              <w:fldChar w:fldCharType="separate"/>
            </w:r>
            <w:r w:rsidR="00736DA9">
              <w:rPr>
                <w:noProof/>
                <w:webHidden/>
              </w:rPr>
              <w:t>154</w:t>
            </w:r>
            <w:r w:rsidR="00736DA9">
              <w:rPr>
                <w:noProof/>
                <w:webHidden/>
              </w:rPr>
              <w:fldChar w:fldCharType="end"/>
            </w:r>
          </w:hyperlink>
        </w:p>
        <w:p w14:paraId="3F474BAB" w14:textId="2109ACF5" w:rsidR="00736DA9" w:rsidRDefault="00000000">
          <w:pPr>
            <w:pStyle w:val="TOC4"/>
            <w:tabs>
              <w:tab w:val="right" w:pos="9350"/>
            </w:tabs>
            <w:rPr>
              <w:rFonts w:eastAsiaTheme="minorEastAsia" w:cstheme="minorBidi"/>
              <w:noProof/>
              <w:sz w:val="24"/>
              <w:szCs w:val="24"/>
            </w:rPr>
          </w:pPr>
          <w:hyperlink w:anchor="_Toc162267168" w:history="1">
            <w:r w:rsidR="00736DA9" w:rsidRPr="004372B1">
              <w:rPr>
                <w:rStyle w:val="Hyperlink"/>
                <w:noProof/>
              </w:rPr>
              <w:t>References 6.6</w:t>
            </w:r>
            <w:r w:rsidR="00736DA9">
              <w:rPr>
                <w:noProof/>
                <w:webHidden/>
              </w:rPr>
              <w:tab/>
            </w:r>
            <w:r w:rsidR="00736DA9">
              <w:rPr>
                <w:noProof/>
                <w:webHidden/>
              </w:rPr>
              <w:fldChar w:fldCharType="begin"/>
            </w:r>
            <w:r w:rsidR="00736DA9">
              <w:rPr>
                <w:noProof/>
                <w:webHidden/>
              </w:rPr>
              <w:instrText xml:space="preserve"> PAGEREF _Toc162267168 \h </w:instrText>
            </w:r>
            <w:r w:rsidR="00736DA9">
              <w:rPr>
                <w:noProof/>
                <w:webHidden/>
              </w:rPr>
            </w:r>
            <w:r w:rsidR="00736DA9">
              <w:rPr>
                <w:noProof/>
                <w:webHidden/>
              </w:rPr>
              <w:fldChar w:fldCharType="separate"/>
            </w:r>
            <w:r w:rsidR="00736DA9">
              <w:rPr>
                <w:noProof/>
                <w:webHidden/>
              </w:rPr>
              <w:t>155</w:t>
            </w:r>
            <w:r w:rsidR="00736DA9">
              <w:rPr>
                <w:noProof/>
                <w:webHidden/>
              </w:rPr>
              <w:fldChar w:fldCharType="end"/>
            </w:r>
          </w:hyperlink>
        </w:p>
        <w:p w14:paraId="2D2EAD6C" w14:textId="5639422A" w:rsidR="00736DA9" w:rsidRDefault="00000000">
          <w:pPr>
            <w:pStyle w:val="TOC3"/>
            <w:tabs>
              <w:tab w:val="right" w:pos="9350"/>
            </w:tabs>
            <w:rPr>
              <w:rFonts w:eastAsiaTheme="minorEastAsia" w:cstheme="minorBidi"/>
              <w:noProof/>
              <w:sz w:val="24"/>
              <w:szCs w:val="24"/>
            </w:rPr>
          </w:pPr>
          <w:hyperlink w:anchor="_Toc162267169" w:history="1">
            <w:r w:rsidR="00736DA9" w:rsidRPr="004372B1">
              <w:rPr>
                <w:rStyle w:val="Hyperlink"/>
                <w:noProof/>
              </w:rPr>
              <w:t>Physical Activity</w:t>
            </w:r>
            <w:r w:rsidR="00736DA9">
              <w:rPr>
                <w:noProof/>
                <w:webHidden/>
              </w:rPr>
              <w:tab/>
            </w:r>
            <w:r w:rsidR="00736DA9">
              <w:rPr>
                <w:noProof/>
                <w:webHidden/>
              </w:rPr>
              <w:fldChar w:fldCharType="begin"/>
            </w:r>
            <w:r w:rsidR="00736DA9">
              <w:rPr>
                <w:noProof/>
                <w:webHidden/>
              </w:rPr>
              <w:instrText xml:space="preserve"> PAGEREF _Toc162267169 \h </w:instrText>
            </w:r>
            <w:r w:rsidR="00736DA9">
              <w:rPr>
                <w:noProof/>
                <w:webHidden/>
              </w:rPr>
            </w:r>
            <w:r w:rsidR="00736DA9">
              <w:rPr>
                <w:noProof/>
                <w:webHidden/>
              </w:rPr>
              <w:fldChar w:fldCharType="separate"/>
            </w:r>
            <w:r w:rsidR="00736DA9">
              <w:rPr>
                <w:noProof/>
                <w:webHidden/>
              </w:rPr>
              <w:t>155</w:t>
            </w:r>
            <w:r w:rsidR="00736DA9">
              <w:rPr>
                <w:noProof/>
                <w:webHidden/>
              </w:rPr>
              <w:fldChar w:fldCharType="end"/>
            </w:r>
          </w:hyperlink>
        </w:p>
        <w:p w14:paraId="72BFDAF4" w14:textId="4304C622" w:rsidR="00736DA9" w:rsidRDefault="00000000">
          <w:pPr>
            <w:pStyle w:val="TOC4"/>
            <w:tabs>
              <w:tab w:val="right" w:pos="9350"/>
            </w:tabs>
            <w:rPr>
              <w:rFonts w:eastAsiaTheme="minorEastAsia" w:cstheme="minorBidi"/>
              <w:noProof/>
              <w:sz w:val="24"/>
              <w:szCs w:val="24"/>
            </w:rPr>
          </w:pPr>
          <w:hyperlink w:anchor="_Toc162267170" w:history="1">
            <w:r w:rsidR="00736DA9" w:rsidRPr="004372B1">
              <w:rPr>
                <w:rStyle w:val="Hyperlink"/>
                <w:noProof/>
              </w:rPr>
              <w:t>Figure 6.17: No Leisure-Time Physical Activity Among Adults.</w:t>
            </w:r>
            <w:r w:rsidR="00736DA9">
              <w:rPr>
                <w:noProof/>
                <w:webHidden/>
              </w:rPr>
              <w:tab/>
            </w:r>
            <w:r w:rsidR="00736DA9">
              <w:rPr>
                <w:noProof/>
                <w:webHidden/>
              </w:rPr>
              <w:fldChar w:fldCharType="begin"/>
            </w:r>
            <w:r w:rsidR="00736DA9">
              <w:rPr>
                <w:noProof/>
                <w:webHidden/>
              </w:rPr>
              <w:instrText xml:space="preserve"> PAGEREF _Toc162267170 \h </w:instrText>
            </w:r>
            <w:r w:rsidR="00736DA9">
              <w:rPr>
                <w:noProof/>
                <w:webHidden/>
              </w:rPr>
            </w:r>
            <w:r w:rsidR="00736DA9">
              <w:rPr>
                <w:noProof/>
                <w:webHidden/>
              </w:rPr>
              <w:fldChar w:fldCharType="separate"/>
            </w:r>
            <w:r w:rsidR="00736DA9">
              <w:rPr>
                <w:noProof/>
                <w:webHidden/>
              </w:rPr>
              <w:t>155</w:t>
            </w:r>
            <w:r w:rsidR="00736DA9">
              <w:rPr>
                <w:noProof/>
                <w:webHidden/>
              </w:rPr>
              <w:fldChar w:fldCharType="end"/>
            </w:r>
          </w:hyperlink>
        </w:p>
        <w:p w14:paraId="453FB0DC" w14:textId="30401712" w:rsidR="00736DA9" w:rsidRDefault="00000000">
          <w:pPr>
            <w:pStyle w:val="TOC4"/>
            <w:tabs>
              <w:tab w:val="right" w:pos="9350"/>
            </w:tabs>
            <w:rPr>
              <w:rFonts w:eastAsiaTheme="minorEastAsia" w:cstheme="minorBidi"/>
              <w:noProof/>
              <w:sz w:val="24"/>
              <w:szCs w:val="24"/>
            </w:rPr>
          </w:pPr>
          <w:hyperlink w:anchor="_Toc162267171" w:history="1">
            <w:r w:rsidR="00736DA9" w:rsidRPr="004372B1">
              <w:rPr>
                <w:rStyle w:val="Hyperlink"/>
                <w:noProof/>
              </w:rPr>
              <w:t>Figure 6.18: No Leisure-Time Physical Activity Among Adults, by Education.</w:t>
            </w:r>
            <w:r w:rsidR="00736DA9">
              <w:rPr>
                <w:noProof/>
                <w:webHidden/>
              </w:rPr>
              <w:tab/>
            </w:r>
            <w:r w:rsidR="00736DA9">
              <w:rPr>
                <w:noProof/>
                <w:webHidden/>
              </w:rPr>
              <w:fldChar w:fldCharType="begin"/>
            </w:r>
            <w:r w:rsidR="00736DA9">
              <w:rPr>
                <w:noProof/>
                <w:webHidden/>
              </w:rPr>
              <w:instrText xml:space="preserve"> PAGEREF _Toc162267171 \h </w:instrText>
            </w:r>
            <w:r w:rsidR="00736DA9">
              <w:rPr>
                <w:noProof/>
                <w:webHidden/>
              </w:rPr>
            </w:r>
            <w:r w:rsidR="00736DA9">
              <w:rPr>
                <w:noProof/>
                <w:webHidden/>
              </w:rPr>
              <w:fldChar w:fldCharType="separate"/>
            </w:r>
            <w:r w:rsidR="00736DA9">
              <w:rPr>
                <w:noProof/>
                <w:webHidden/>
              </w:rPr>
              <w:t>156</w:t>
            </w:r>
            <w:r w:rsidR="00736DA9">
              <w:rPr>
                <w:noProof/>
                <w:webHidden/>
              </w:rPr>
              <w:fldChar w:fldCharType="end"/>
            </w:r>
          </w:hyperlink>
        </w:p>
        <w:p w14:paraId="3770C941" w14:textId="239028D8" w:rsidR="00736DA9" w:rsidRDefault="00000000">
          <w:pPr>
            <w:pStyle w:val="TOC4"/>
            <w:tabs>
              <w:tab w:val="right" w:pos="9350"/>
            </w:tabs>
            <w:rPr>
              <w:rFonts w:eastAsiaTheme="minorEastAsia" w:cstheme="minorBidi"/>
              <w:noProof/>
              <w:sz w:val="24"/>
              <w:szCs w:val="24"/>
            </w:rPr>
          </w:pPr>
          <w:hyperlink w:anchor="_Toc162267172" w:history="1">
            <w:r w:rsidR="00736DA9" w:rsidRPr="004372B1">
              <w:rPr>
                <w:rStyle w:val="Hyperlink"/>
                <w:noProof/>
              </w:rPr>
              <w:t>Figure 6.19: Adults Who Met Physical Activity Recommendations.</w:t>
            </w:r>
            <w:r w:rsidR="00736DA9">
              <w:rPr>
                <w:noProof/>
                <w:webHidden/>
              </w:rPr>
              <w:tab/>
            </w:r>
            <w:r w:rsidR="00736DA9">
              <w:rPr>
                <w:noProof/>
                <w:webHidden/>
              </w:rPr>
              <w:fldChar w:fldCharType="begin"/>
            </w:r>
            <w:r w:rsidR="00736DA9">
              <w:rPr>
                <w:noProof/>
                <w:webHidden/>
              </w:rPr>
              <w:instrText xml:space="preserve"> PAGEREF _Toc162267172 \h </w:instrText>
            </w:r>
            <w:r w:rsidR="00736DA9">
              <w:rPr>
                <w:noProof/>
                <w:webHidden/>
              </w:rPr>
            </w:r>
            <w:r w:rsidR="00736DA9">
              <w:rPr>
                <w:noProof/>
                <w:webHidden/>
              </w:rPr>
              <w:fldChar w:fldCharType="separate"/>
            </w:r>
            <w:r w:rsidR="00736DA9">
              <w:rPr>
                <w:noProof/>
                <w:webHidden/>
              </w:rPr>
              <w:t>156</w:t>
            </w:r>
            <w:r w:rsidR="00736DA9">
              <w:rPr>
                <w:noProof/>
                <w:webHidden/>
              </w:rPr>
              <w:fldChar w:fldCharType="end"/>
            </w:r>
          </w:hyperlink>
        </w:p>
        <w:p w14:paraId="7CE59A93" w14:textId="11942BFD" w:rsidR="00736DA9" w:rsidRDefault="00000000">
          <w:pPr>
            <w:pStyle w:val="TOC4"/>
            <w:tabs>
              <w:tab w:val="right" w:pos="9350"/>
            </w:tabs>
            <w:rPr>
              <w:rFonts w:eastAsiaTheme="minorEastAsia" w:cstheme="minorBidi"/>
              <w:noProof/>
              <w:sz w:val="24"/>
              <w:szCs w:val="24"/>
            </w:rPr>
          </w:pPr>
          <w:hyperlink w:anchor="_Toc162267173" w:history="1">
            <w:r w:rsidR="00736DA9" w:rsidRPr="004372B1">
              <w:rPr>
                <w:rStyle w:val="Hyperlink"/>
                <w:noProof/>
              </w:rPr>
              <w:t>Figure 6.20: Top Reasons that Prevent People in Community from being Physically Active.</w:t>
            </w:r>
            <w:r w:rsidR="00736DA9">
              <w:rPr>
                <w:noProof/>
                <w:webHidden/>
              </w:rPr>
              <w:tab/>
            </w:r>
            <w:r w:rsidR="00736DA9">
              <w:rPr>
                <w:noProof/>
                <w:webHidden/>
              </w:rPr>
              <w:fldChar w:fldCharType="begin"/>
            </w:r>
            <w:r w:rsidR="00736DA9">
              <w:rPr>
                <w:noProof/>
                <w:webHidden/>
              </w:rPr>
              <w:instrText xml:space="preserve"> PAGEREF _Toc162267173 \h </w:instrText>
            </w:r>
            <w:r w:rsidR="00736DA9">
              <w:rPr>
                <w:noProof/>
                <w:webHidden/>
              </w:rPr>
            </w:r>
            <w:r w:rsidR="00736DA9">
              <w:rPr>
                <w:noProof/>
                <w:webHidden/>
              </w:rPr>
              <w:fldChar w:fldCharType="separate"/>
            </w:r>
            <w:r w:rsidR="00736DA9">
              <w:rPr>
                <w:noProof/>
                <w:webHidden/>
              </w:rPr>
              <w:t>156</w:t>
            </w:r>
            <w:r w:rsidR="00736DA9">
              <w:rPr>
                <w:noProof/>
                <w:webHidden/>
              </w:rPr>
              <w:fldChar w:fldCharType="end"/>
            </w:r>
          </w:hyperlink>
        </w:p>
        <w:p w14:paraId="0F68030D" w14:textId="340B7E8B" w:rsidR="00736DA9" w:rsidRDefault="00000000">
          <w:pPr>
            <w:pStyle w:val="TOC4"/>
            <w:tabs>
              <w:tab w:val="right" w:pos="9350"/>
            </w:tabs>
            <w:rPr>
              <w:rFonts w:eastAsiaTheme="minorEastAsia" w:cstheme="minorBidi"/>
              <w:noProof/>
              <w:sz w:val="24"/>
              <w:szCs w:val="24"/>
            </w:rPr>
          </w:pPr>
          <w:hyperlink w:anchor="_Toc162267174"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_Toc162267174 \h </w:instrText>
            </w:r>
            <w:r w:rsidR="00736DA9">
              <w:rPr>
                <w:noProof/>
                <w:webHidden/>
              </w:rPr>
            </w:r>
            <w:r w:rsidR="00736DA9">
              <w:rPr>
                <w:noProof/>
                <w:webHidden/>
              </w:rPr>
              <w:fldChar w:fldCharType="separate"/>
            </w:r>
            <w:r w:rsidR="00736DA9">
              <w:rPr>
                <w:noProof/>
                <w:webHidden/>
              </w:rPr>
              <w:t>157</w:t>
            </w:r>
            <w:r w:rsidR="00736DA9">
              <w:rPr>
                <w:noProof/>
                <w:webHidden/>
              </w:rPr>
              <w:fldChar w:fldCharType="end"/>
            </w:r>
          </w:hyperlink>
        </w:p>
        <w:p w14:paraId="2449B0C3" w14:textId="12912977" w:rsidR="00736DA9" w:rsidRDefault="00000000">
          <w:pPr>
            <w:pStyle w:val="TOC3"/>
            <w:tabs>
              <w:tab w:val="right" w:pos="9350"/>
            </w:tabs>
            <w:rPr>
              <w:rFonts w:eastAsiaTheme="minorEastAsia" w:cstheme="minorBidi"/>
              <w:noProof/>
              <w:sz w:val="24"/>
              <w:szCs w:val="24"/>
            </w:rPr>
          </w:pPr>
          <w:hyperlink w:anchor="_Toc162267175" w:history="1">
            <w:r w:rsidR="00736DA9" w:rsidRPr="004372B1">
              <w:rPr>
                <w:rStyle w:val="Hyperlink"/>
                <w:noProof/>
              </w:rPr>
              <w:t>Air Emissions</w:t>
            </w:r>
            <w:r w:rsidR="00736DA9">
              <w:rPr>
                <w:noProof/>
                <w:webHidden/>
              </w:rPr>
              <w:tab/>
            </w:r>
            <w:r w:rsidR="00736DA9">
              <w:rPr>
                <w:noProof/>
                <w:webHidden/>
              </w:rPr>
              <w:fldChar w:fldCharType="begin"/>
            </w:r>
            <w:r w:rsidR="00736DA9">
              <w:rPr>
                <w:noProof/>
                <w:webHidden/>
              </w:rPr>
              <w:instrText xml:space="preserve"> PAGEREF _Toc162267175 \h </w:instrText>
            </w:r>
            <w:r w:rsidR="00736DA9">
              <w:rPr>
                <w:noProof/>
                <w:webHidden/>
              </w:rPr>
            </w:r>
            <w:r w:rsidR="00736DA9">
              <w:rPr>
                <w:noProof/>
                <w:webHidden/>
              </w:rPr>
              <w:fldChar w:fldCharType="separate"/>
            </w:r>
            <w:r w:rsidR="00736DA9">
              <w:rPr>
                <w:noProof/>
                <w:webHidden/>
              </w:rPr>
              <w:t>157</w:t>
            </w:r>
            <w:r w:rsidR="00736DA9">
              <w:rPr>
                <w:noProof/>
                <w:webHidden/>
              </w:rPr>
              <w:fldChar w:fldCharType="end"/>
            </w:r>
          </w:hyperlink>
        </w:p>
        <w:p w14:paraId="3A0EF4AB" w14:textId="0E1A3757" w:rsidR="00736DA9" w:rsidRDefault="00000000">
          <w:pPr>
            <w:pStyle w:val="TOC4"/>
            <w:tabs>
              <w:tab w:val="right" w:pos="9350"/>
            </w:tabs>
            <w:rPr>
              <w:rFonts w:eastAsiaTheme="minorEastAsia" w:cstheme="minorBidi"/>
              <w:noProof/>
              <w:sz w:val="24"/>
              <w:szCs w:val="24"/>
            </w:rPr>
          </w:pPr>
          <w:hyperlink w:anchor="_Toc162267176" w:history="1">
            <w:r w:rsidR="00736DA9" w:rsidRPr="004372B1">
              <w:rPr>
                <w:rStyle w:val="Hyperlink"/>
                <w:noProof/>
              </w:rPr>
              <w:t>Figure 6.21: Criteria Pollutant Air Emissions, in tons.</w:t>
            </w:r>
            <w:r w:rsidR="00736DA9">
              <w:rPr>
                <w:noProof/>
                <w:webHidden/>
              </w:rPr>
              <w:tab/>
            </w:r>
            <w:r w:rsidR="00736DA9">
              <w:rPr>
                <w:noProof/>
                <w:webHidden/>
              </w:rPr>
              <w:fldChar w:fldCharType="begin"/>
            </w:r>
            <w:r w:rsidR="00736DA9">
              <w:rPr>
                <w:noProof/>
                <w:webHidden/>
              </w:rPr>
              <w:instrText xml:space="preserve"> PAGEREF _Toc162267176 \h </w:instrText>
            </w:r>
            <w:r w:rsidR="00736DA9">
              <w:rPr>
                <w:noProof/>
                <w:webHidden/>
              </w:rPr>
            </w:r>
            <w:r w:rsidR="00736DA9">
              <w:rPr>
                <w:noProof/>
                <w:webHidden/>
              </w:rPr>
              <w:fldChar w:fldCharType="separate"/>
            </w:r>
            <w:r w:rsidR="00736DA9">
              <w:rPr>
                <w:noProof/>
                <w:webHidden/>
              </w:rPr>
              <w:t>158</w:t>
            </w:r>
            <w:r w:rsidR="00736DA9">
              <w:rPr>
                <w:noProof/>
                <w:webHidden/>
              </w:rPr>
              <w:fldChar w:fldCharType="end"/>
            </w:r>
          </w:hyperlink>
        </w:p>
        <w:p w14:paraId="6ACD1710" w14:textId="52A0310C" w:rsidR="00736DA9" w:rsidRDefault="00000000">
          <w:pPr>
            <w:pStyle w:val="TOC4"/>
            <w:tabs>
              <w:tab w:val="right" w:pos="9350"/>
            </w:tabs>
            <w:rPr>
              <w:rFonts w:eastAsiaTheme="minorEastAsia" w:cstheme="minorBidi"/>
              <w:noProof/>
              <w:sz w:val="24"/>
              <w:szCs w:val="24"/>
            </w:rPr>
          </w:pPr>
          <w:hyperlink w:anchor="_Toc162267177"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_Toc162267177 \h </w:instrText>
            </w:r>
            <w:r w:rsidR="00736DA9">
              <w:rPr>
                <w:noProof/>
                <w:webHidden/>
              </w:rPr>
            </w:r>
            <w:r w:rsidR="00736DA9">
              <w:rPr>
                <w:noProof/>
                <w:webHidden/>
              </w:rPr>
              <w:fldChar w:fldCharType="separate"/>
            </w:r>
            <w:r w:rsidR="00736DA9">
              <w:rPr>
                <w:noProof/>
                <w:webHidden/>
              </w:rPr>
              <w:t>158</w:t>
            </w:r>
            <w:r w:rsidR="00736DA9">
              <w:rPr>
                <w:noProof/>
                <w:webHidden/>
              </w:rPr>
              <w:fldChar w:fldCharType="end"/>
            </w:r>
          </w:hyperlink>
        </w:p>
        <w:p w14:paraId="58FAC3F0" w14:textId="4D97373A" w:rsidR="00736DA9" w:rsidRDefault="00000000">
          <w:pPr>
            <w:pStyle w:val="TOC4"/>
            <w:tabs>
              <w:tab w:val="right" w:pos="9350"/>
            </w:tabs>
            <w:rPr>
              <w:rFonts w:eastAsiaTheme="minorEastAsia" w:cstheme="minorBidi"/>
              <w:noProof/>
              <w:sz w:val="24"/>
              <w:szCs w:val="24"/>
            </w:rPr>
          </w:pPr>
          <w:hyperlink w:anchor="_Toc162267178" w:history="1">
            <w:r w:rsidR="00736DA9" w:rsidRPr="004372B1">
              <w:rPr>
                <w:rStyle w:val="Hyperlink"/>
                <w:noProof/>
              </w:rPr>
              <w:t>References 6.7</w:t>
            </w:r>
            <w:r w:rsidR="00736DA9">
              <w:rPr>
                <w:noProof/>
                <w:webHidden/>
              </w:rPr>
              <w:tab/>
            </w:r>
            <w:r w:rsidR="00736DA9">
              <w:rPr>
                <w:noProof/>
                <w:webHidden/>
              </w:rPr>
              <w:fldChar w:fldCharType="begin"/>
            </w:r>
            <w:r w:rsidR="00736DA9">
              <w:rPr>
                <w:noProof/>
                <w:webHidden/>
              </w:rPr>
              <w:instrText xml:space="preserve"> PAGEREF _Toc162267178 \h </w:instrText>
            </w:r>
            <w:r w:rsidR="00736DA9">
              <w:rPr>
                <w:noProof/>
                <w:webHidden/>
              </w:rPr>
            </w:r>
            <w:r w:rsidR="00736DA9">
              <w:rPr>
                <w:noProof/>
                <w:webHidden/>
              </w:rPr>
              <w:fldChar w:fldCharType="separate"/>
            </w:r>
            <w:r w:rsidR="00736DA9">
              <w:rPr>
                <w:noProof/>
                <w:webHidden/>
              </w:rPr>
              <w:t>159</w:t>
            </w:r>
            <w:r w:rsidR="00736DA9">
              <w:rPr>
                <w:noProof/>
                <w:webHidden/>
              </w:rPr>
              <w:fldChar w:fldCharType="end"/>
            </w:r>
          </w:hyperlink>
        </w:p>
        <w:p w14:paraId="273BA315" w14:textId="45BC3254" w:rsidR="00736DA9" w:rsidRDefault="00000000">
          <w:pPr>
            <w:pStyle w:val="TOC3"/>
            <w:tabs>
              <w:tab w:val="right" w:pos="9350"/>
            </w:tabs>
            <w:rPr>
              <w:rFonts w:eastAsiaTheme="minorEastAsia" w:cstheme="minorBidi"/>
              <w:noProof/>
              <w:sz w:val="24"/>
              <w:szCs w:val="24"/>
            </w:rPr>
          </w:pPr>
          <w:hyperlink w:anchor="_Toc162267179" w:history="1">
            <w:r w:rsidR="00736DA9" w:rsidRPr="004372B1">
              <w:rPr>
                <w:rStyle w:val="Hyperlink"/>
                <w:noProof/>
              </w:rPr>
              <w:t>Ambient Water</w:t>
            </w:r>
            <w:r w:rsidR="00736DA9">
              <w:rPr>
                <w:noProof/>
                <w:webHidden/>
              </w:rPr>
              <w:tab/>
            </w:r>
            <w:r w:rsidR="00736DA9">
              <w:rPr>
                <w:noProof/>
                <w:webHidden/>
              </w:rPr>
              <w:fldChar w:fldCharType="begin"/>
            </w:r>
            <w:r w:rsidR="00736DA9">
              <w:rPr>
                <w:noProof/>
                <w:webHidden/>
              </w:rPr>
              <w:instrText xml:space="preserve"> PAGEREF _Toc162267179 \h </w:instrText>
            </w:r>
            <w:r w:rsidR="00736DA9">
              <w:rPr>
                <w:noProof/>
                <w:webHidden/>
              </w:rPr>
            </w:r>
            <w:r w:rsidR="00736DA9">
              <w:rPr>
                <w:noProof/>
                <w:webHidden/>
              </w:rPr>
              <w:fldChar w:fldCharType="separate"/>
            </w:r>
            <w:r w:rsidR="00736DA9">
              <w:rPr>
                <w:noProof/>
                <w:webHidden/>
              </w:rPr>
              <w:t>159</w:t>
            </w:r>
            <w:r w:rsidR="00736DA9">
              <w:rPr>
                <w:noProof/>
                <w:webHidden/>
              </w:rPr>
              <w:fldChar w:fldCharType="end"/>
            </w:r>
          </w:hyperlink>
        </w:p>
        <w:p w14:paraId="35EC2EC0" w14:textId="57F306DD" w:rsidR="00736DA9" w:rsidRDefault="00000000">
          <w:pPr>
            <w:pStyle w:val="TOC4"/>
            <w:tabs>
              <w:tab w:val="right" w:pos="9350"/>
            </w:tabs>
            <w:rPr>
              <w:rFonts w:eastAsiaTheme="minorEastAsia" w:cstheme="minorBidi"/>
              <w:noProof/>
              <w:sz w:val="24"/>
              <w:szCs w:val="24"/>
            </w:rPr>
          </w:pPr>
          <w:hyperlink w:anchor="_Toc162267180" w:history="1">
            <w:r w:rsidR="00736DA9" w:rsidRPr="004372B1">
              <w:rPr>
                <w:rStyle w:val="Hyperlink"/>
                <w:noProof/>
              </w:rPr>
              <w:t>Figure 6.22: Aquatic Life and Recreational Use Fully Supported.</w:t>
            </w:r>
            <w:r w:rsidR="00736DA9">
              <w:rPr>
                <w:noProof/>
                <w:webHidden/>
              </w:rPr>
              <w:tab/>
            </w:r>
            <w:r w:rsidR="00736DA9">
              <w:rPr>
                <w:noProof/>
                <w:webHidden/>
              </w:rPr>
              <w:fldChar w:fldCharType="begin"/>
            </w:r>
            <w:r w:rsidR="00736DA9">
              <w:rPr>
                <w:noProof/>
                <w:webHidden/>
              </w:rPr>
              <w:instrText xml:space="preserve"> PAGEREF _Toc162267180 \h </w:instrText>
            </w:r>
            <w:r w:rsidR="00736DA9">
              <w:rPr>
                <w:noProof/>
                <w:webHidden/>
              </w:rPr>
            </w:r>
            <w:r w:rsidR="00736DA9">
              <w:rPr>
                <w:noProof/>
                <w:webHidden/>
              </w:rPr>
              <w:fldChar w:fldCharType="separate"/>
            </w:r>
            <w:r w:rsidR="00736DA9">
              <w:rPr>
                <w:noProof/>
                <w:webHidden/>
              </w:rPr>
              <w:t>160</w:t>
            </w:r>
            <w:r w:rsidR="00736DA9">
              <w:rPr>
                <w:noProof/>
                <w:webHidden/>
              </w:rPr>
              <w:fldChar w:fldCharType="end"/>
            </w:r>
          </w:hyperlink>
        </w:p>
        <w:p w14:paraId="40CA5896" w14:textId="3DF1EE9C" w:rsidR="00736DA9" w:rsidRDefault="00000000">
          <w:pPr>
            <w:pStyle w:val="TOC4"/>
            <w:tabs>
              <w:tab w:val="right" w:pos="9350"/>
            </w:tabs>
            <w:rPr>
              <w:rFonts w:eastAsiaTheme="minorEastAsia" w:cstheme="minorBidi"/>
              <w:noProof/>
              <w:sz w:val="24"/>
              <w:szCs w:val="24"/>
            </w:rPr>
          </w:pPr>
          <w:hyperlink w:anchor="_Toc162267181"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_Toc162267181 \h </w:instrText>
            </w:r>
            <w:r w:rsidR="00736DA9">
              <w:rPr>
                <w:noProof/>
                <w:webHidden/>
              </w:rPr>
            </w:r>
            <w:r w:rsidR="00736DA9">
              <w:rPr>
                <w:noProof/>
                <w:webHidden/>
              </w:rPr>
              <w:fldChar w:fldCharType="separate"/>
            </w:r>
            <w:r w:rsidR="00736DA9">
              <w:rPr>
                <w:noProof/>
                <w:webHidden/>
              </w:rPr>
              <w:t>161</w:t>
            </w:r>
            <w:r w:rsidR="00736DA9">
              <w:rPr>
                <w:noProof/>
                <w:webHidden/>
              </w:rPr>
              <w:fldChar w:fldCharType="end"/>
            </w:r>
          </w:hyperlink>
        </w:p>
        <w:p w14:paraId="2DB54E5B" w14:textId="7CDFDABA" w:rsidR="00736DA9" w:rsidRDefault="00000000">
          <w:pPr>
            <w:pStyle w:val="TOC4"/>
            <w:tabs>
              <w:tab w:val="right" w:pos="9350"/>
            </w:tabs>
            <w:rPr>
              <w:rFonts w:eastAsiaTheme="minorEastAsia" w:cstheme="minorBidi"/>
              <w:noProof/>
              <w:sz w:val="24"/>
              <w:szCs w:val="24"/>
            </w:rPr>
          </w:pPr>
          <w:hyperlink w:anchor="_Toc162267182" w:history="1">
            <w:r w:rsidR="00736DA9" w:rsidRPr="004372B1">
              <w:rPr>
                <w:rStyle w:val="Hyperlink"/>
                <w:noProof/>
              </w:rPr>
              <w:t>References 6.8</w:t>
            </w:r>
            <w:r w:rsidR="00736DA9">
              <w:rPr>
                <w:noProof/>
                <w:webHidden/>
              </w:rPr>
              <w:tab/>
            </w:r>
            <w:r w:rsidR="00736DA9">
              <w:rPr>
                <w:noProof/>
                <w:webHidden/>
              </w:rPr>
              <w:fldChar w:fldCharType="begin"/>
            </w:r>
            <w:r w:rsidR="00736DA9">
              <w:rPr>
                <w:noProof/>
                <w:webHidden/>
              </w:rPr>
              <w:instrText xml:space="preserve"> PAGEREF _Toc162267182 \h </w:instrText>
            </w:r>
            <w:r w:rsidR="00736DA9">
              <w:rPr>
                <w:noProof/>
                <w:webHidden/>
              </w:rPr>
            </w:r>
            <w:r w:rsidR="00736DA9">
              <w:rPr>
                <w:noProof/>
                <w:webHidden/>
              </w:rPr>
              <w:fldChar w:fldCharType="separate"/>
            </w:r>
            <w:r w:rsidR="00736DA9">
              <w:rPr>
                <w:noProof/>
                <w:webHidden/>
              </w:rPr>
              <w:t>161</w:t>
            </w:r>
            <w:r w:rsidR="00736DA9">
              <w:rPr>
                <w:noProof/>
                <w:webHidden/>
              </w:rPr>
              <w:fldChar w:fldCharType="end"/>
            </w:r>
          </w:hyperlink>
        </w:p>
        <w:p w14:paraId="1F8BC710" w14:textId="64E89248" w:rsidR="00736DA9" w:rsidRDefault="00000000">
          <w:pPr>
            <w:pStyle w:val="TOC3"/>
            <w:tabs>
              <w:tab w:val="right" w:pos="9350"/>
            </w:tabs>
            <w:rPr>
              <w:rFonts w:eastAsiaTheme="minorEastAsia" w:cstheme="minorBidi"/>
              <w:noProof/>
              <w:sz w:val="24"/>
              <w:szCs w:val="24"/>
            </w:rPr>
          </w:pPr>
          <w:hyperlink w:anchor="_Toc162267183" w:history="1">
            <w:r w:rsidR="00736DA9" w:rsidRPr="004372B1">
              <w:rPr>
                <w:rStyle w:val="Hyperlink"/>
                <w:noProof/>
              </w:rPr>
              <w:t>Drinking Water</w:t>
            </w:r>
            <w:r w:rsidR="00736DA9">
              <w:rPr>
                <w:noProof/>
                <w:webHidden/>
              </w:rPr>
              <w:tab/>
            </w:r>
            <w:r w:rsidR="00736DA9">
              <w:rPr>
                <w:noProof/>
                <w:webHidden/>
              </w:rPr>
              <w:fldChar w:fldCharType="begin"/>
            </w:r>
            <w:r w:rsidR="00736DA9">
              <w:rPr>
                <w:noProof/>
                <w:webHidden/>
              </w:rPr>
              <w:instrText xml:space="preserve"> PAGEREF _Toc162267183 \h </w:instrText>
            </w:r>
            <w:r w:rsidR="00736DA9">
              <w:rPr>
                <w:noProof/>
                <w:webHidden/>
              </w:rPr>
            </w:r>
            <w:r w:rsidR="00736DA9">
              <w:rPr>
                <w:noProof/>
                <w:webHidden/>
              </w:rPr>
              <w:fldChar w:fldCharType="separate"/>
            </w:r>
            <w:r w:rsidR="00736DA9">
              <w:rPr>
                <w:noProof/>
                <w:webHidden/>
              </w:rPr>
              <w:t>161</w:t>
            </w:r>
            <w:r w:rsidR="00736DA9">
              <w:rPr>
                <w:noProof/>
                <w:webHidden/>
              </w:rPr>
              <w:fldChar w:fldCharType="end"/>
            </w:r>
          </w:hyperlink>
        </w:p>
        <w:p w14:paraId="506067A9" w14:textId="642E4ECF" w:rsidR="00736DA9" w:rsidRDefault="00000000">
          <w:pPr>
            <w:pStyle w:val="TOC4"/>
            <w:tabs>
              <w:tab w:val="right" w:pos="9350"/>
            </w:tabs>
            <w:rPr>
              <w:rFonts w:eastAsiaTheme="minorEastAsia" w:cstheme="minorBidi"/>
              <w:noProof/>
              <w:sz w:val="24"/>
              <w:szCs w:val="24"/>
            </w:rPr>
          </w:pPr>
          <w:hyperlink w:anchor="_Toc162267184" w:history="1">
            <w:r w:rsidR="00736DA9" w:rsidRPr="004372B1">
              <w:rPr>
                <w:rStyle w:val="Hyperlink"/>
                <w:noProof/>
              </w:rPr>
              <w:t>Figure 6.23: Residents Served by Public Water Systems Meeting All Health Based Standards.</w:t>
            </w:r>
            <w:r w:rsidR="00736DA9">
              <w:rPr>
                <w:noProof/>
                <w:webHidden/>
              </w:rPr>
              <w:tab/>
            </w:r>
            <w:r w:rsidR="00736DA9">
              <w:rPr>
                <w:noProof/>
                <w:webHidden/>
              </w:rPr>
              <w:fldChar w:fldCharType="begin"/>
            </w:r>
            <w:r w:rsidR="00736DA9">
              <w:rPr>
                <w:noProof/>
                <w:webHidden/>
              </w:rPr>
              <w:instrText xml:space="preserve"> PAGEREF _Toc162267184 \h </w:instrText>
            </w:r>
            <w:r w:rsidR="00736DA9">
              <w:rPr>
                <w:noProof/>
                <w:webHidden/>
              </w:rPr>
            </w:r>
            <w:r w:rsidR="00736DA9">
              <w:rPr>
                <w:noProof/>
                <w:webHidden/>
              </w:rPr>
              <w:fldChar w:fldCharType="separate"/>
            </w:r>
            <w:r w:rsidR="00736DA9">
              <w:rPr>
                <w:noProof/>
                <w:webHidden/>
              </w:rPr>
              <w:t>162</w:t>
            </w:r>
            <w:r w:rsidR="00736DA9">
              <w:rPr>
                <w:noProof/>
                <w:webHidden/>
              </w:rPr>
              <w:fldChar w:fldCharType="end"/>
            </w:r>
          </w:hyperlink>
        </w:p>
        <w:p w14:paraId="1D7596BD" w14:textId="45E2DF49" w:rsidR="00736DA9" w:rsidRDefault="00000000">
          <w:pPr>
            <w:pStyle w:val="TOC4"/>
            <w:tabs>
              <w:tab w:val="right" w:pos="9350"/>
            </w:tabs>
            <w:rPr>
              <w:rFonts w:eastAsiaTheme="minorEastAsia" w:cstheme="minorBidi"/>
              <w:noProof/>
              <w:sz w:val="24"/>
              <w:szCs w:val="24"/>
            </w:rPr>
          </w:pPr>
          <w:hyperlink w:anchor="_Toc162267185"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_Toc162267185 \h </w:instrText>
            </w:r>
            <w:r w:rsidR="00736DA9">
              <w:rPr>
                <w:noProof/>
                <w:webHidden/>
              </w:rPr>
            </w:r>
            <w:r w:rsidR="00736DA9">
              <w:rPr>
                <w:noProof/>
                <w:webHidden/>
              </w:rPr>
              <w:fldChar w:fldCharType="separate"/>
            </w:r>
            <w:r w:rsidR="00736DA9">
              <w:rPr>
                <w:noProof/>
                <w:webHidden/>
              </w:rPr>
              <w:t>163</w:t>
            </w:r>
            <w:r w:rsidR="00736DA9">
              <w:rPr>
                <w:noProof/>
                <w:webHidden/>
              </w:rPr>
              <w:fldChar w:fldCharType="end"/>
            </w:r>
          </w:hyperlink>
        </w:p>
        <w:p w14:paraId="43248A0E" w14:textId="634ABACA" w:rsidR="00736DA9" w:rsidRDefault="00000000">
          <w:pPr>
            <w:pStyle w:val="TOC4"/>
            <w:tabs>
              <w:tab w:val="right" w:pos="9350"/>
            </w:tabs>
            <w:rPr>
              <w:rFonts w:eastAsiaTheme="minorEastAsia" w:cstheme="minorBidi"/>
              <w:noProof/>
              <w:sz w:val="24"/>
              <w:szCs w:val="24"/>
            </w:rPr>
          </w:pPr>
          <w:hyperlink w:anchor="_Toc162267186" w:history="1">
            <w:r w:rsidR="00736DA9" w:rsidRPr="004372B1">
              <w:rPr>
                <w:rStyle w:val="Hyperlink"/>
                <w:noProof/>
              </w:rPr>
              <w:t>References 6.9</w:t>
            </w:r>
            <w:r w:rsidR="00736DA9">
              <w:rPr>
                <w:noProof/>
                <w:webHidden/>
              </w:rPr>
              <w:tab/>
            </w:r>
            <w:r w:rsidR="00736DA9">
              <w:rPr>
                <w:noProof/>
                <w:webHidden/>
              </w:rPr>
              <w:fldChar w:fldCharType="begin"/>
            </w:r>
            <w:r w:rsidR="00736DA9">
              <w:rPr>
                <w:noProof/>
                <w:webHidden/>
              </w:rPr>
              <w:instrText xml:space="preserve"> PAGEREF _Toc162267186 \h </w:instrText>
            </w:r>
            <w:r w:rsidR="00736DA9">
              <w:rPr>
                <w:noProof/>
                <w:webHidden/>
              </w:rPr>
            </w:r>
            <w:r w:rsidR="00736DA9">
              <w:rPr>
                <w:noProof/>
                <w:webHidden/>
              </w:rPr>
              <w:fldChar w:fldCharType="separate"/>
            </w:r>
            <w:r w:rsidR="00736DA9">
              <w:rPr>
                <w:noProof/>
                <w:webHidden/>
              </w:rPr>
              <w:t>163</w:t>
            </w:r>
            <w:r w:rsidR="00736DA9">
              <w:rPr>
                <w:noProof/>
                <w:webHidden/>
              </w:rPr>
              <w:fldChar w:fldCharType="end"/>
            </w:r>
          </w:hyperlink>
        </w:p>
        <w:p w14:paraId="6BD11A2B" w14:textId="06875209" w:rsidR="00736DA9" w:rsidRDefault="00000000">
          <w:pPr>
            <w:pStyle w:val="TOC3"/>
            <w:tabs>
              <w:tab w:val="right" w:pos="9350"/>
            </w:tabs>
            <w:rPr>
              <w:rFonts w:eastAsiaTheme="minorEastAsia" w:cstheme="minorBidi"/>
              <w:noProof/>
              <w:sz w:val="24"/>
              <w:szCs w:val="24"/>
            </w:rPr>
          </w:pPr>
          <w:hyperlink w:anchor="_Toc162267187" w:history="1">
            <w:r w:rsidR="00736DA9" w:rsidRPr="004372B1">
              <w:rPr>
                <w:rStyle w:val="Hyperlink"/>
                <w:noProof/>
              </w:rPr>
              <w:t>Solid Waste</w:t>
            </w:r>
            <w:r w:rsidR="00736DA9">
              <w:rPr>
                <w:noProof/>
                <w:webHidden/>
              </w:rPr>
              <w:tab/>
            </w:r>
            <w:r w:rsidR="00736DA9">
              <w:rPr>
                <w:noProof/>
                <w:webHidden/>
              </w:rPr>
              <w:fldChar w:fldCharType="begin"/>
            </w:r>
            <w:r w:rsidR="00736DA9">
              <w:rPr>
                <w:noProof/>
                <w:webHidden/>
              </w:rPr>
              <w:instrText xml:space="preserve"> PAGEREF _Toc162267187 \h </w:instrText>
            </w:r>
            <w:r w:rsidR="00736DA9">
              <w:rPr>
                <w:noProof/>
                <w:webHidden/>
              </w:rPr>
            </w:r>
            <w:r w:rsidR="00736DA9">
              <w:rPr>
                <w:noProof/>
                <w:webHidden/>
              </w:rPr>
              <w:fldChar w:fldCharType="separate"/>
            </w:r>
            <w:r w:rsidR="00736DA9">
              <w:rPr>
                <w:noProof/>
                <w:webHidden/>
              </w:rPr>
              <w:t>163</w:t>
            </w:r>
            <w:r w:rsidR="00736DA9">
              <w:rPr>
                <w:noProof/>
                <w:webHidden/>
              </w:rPr>
              <w:fldChar w:fldCharType="end"/>
            </w:r>
          </w:hyperlink>
        </w:p>
        <w:p w14:paraId="4FE5D0B7" w14:textId="27D16ABD" w:rsidR="00736DA9" w:rsidRDefault="00000000">
          <w:pPr>
            <w:pStyle w:val="TOC4"/>
            <w:tabs>
              <w:tab w:val="right" w:pos="9350"/>
            </w:tabs>
            <w:rPr>
              <w:rFonts w:eastAsiaTheme="minorEastAsia" w:cstheme="minorBidi"/>
              <w:noProof/>
              <w:sz w:val="24"/>
              <w:szCs w:val="24"/>
            </w:rPr>
          </w:pPr>
          <w:hyperlink w:anchor="_Toc162267188" w:history="1">
            <w:r w:rsidR="00736DA9" w:rsidRPr="004372B1">
              <w:rPr>
                <w:rStyle w:val="Hyperlink"/>
                <w:noProof/>
              </w:rPr>
              <w:t>Figure 6.24: Disposed and Recycled Waste.</w:t>
            </w:r>
            <w:r w:rsidR="00736DA9">
              <w:rPr>
                <w:noProof/>
                <w:webHidden/>
              </w:rPr>
              <w:tab/>
            </w:r>
            <w:r w:rsidR="00736DA9">
              <w:rPr>
                <w:noProof/>
                <w:webHidden/>
              </w:rPr>
              <w:fldChar w:fldCharType="begin"/>
            </w:r>
            <w:r w:rsidR="00736DA9">
              <w:rPr>
                <w:noProof/>
                <w:webHidden/>
              </w:rPr>
              <w:instrText xml:space="preserve"> PAGEREF _Toc162267188 \h </w:instrText>
            </w:r>
            <w:r w:rsidR="00736DA9">
              <w:rPr>
                <w:noProof/>
                <w:webHidden/>
              </w:rPr>
            </w:r>
            <w:r w:rsidR="00736DA9">
              <w:rPr>
                <w:noProof/>
                <w:webHidden/>
              </w:rPr>
              <w:fldChar w:fldCharType="separate"/>
            </w:r>
            <w:r w:rsidR="00736DA9">
              <w:rPr>
                <w:noProof/>
                <w:webHidden/>
              </w:rPr>
              <w:t>164</w:t>
            </w:r>
            <w:r w:rsidR="00736DA9">
              <w:rPr>
                <w:noProof/>
                <w:webHidden/>
              </w:rPr>
              <w:fldChar w:fldCharType="end"/>
            </w:r>
          </w:hyperlink>
        </w:p>
        <w:p w14:paraId="3E84E84D" w14:textId="011EBCD9" w:rsidR="00736DA9" w:rsidRDefault="00000000">
          <w:pPr>
            <w:pStyle w:val="TOC4"/>
            <w:tabs>
              <w:tab w:val="right" w:pos="9350"/>
            </w:tabs>
            <w:rPr>
              <w:rFonts w:eastAsiaTheme="minorEastAsia" w:cstheme="minorBidi"/>
              <w:noProof/>
              <w:sz w:val="24"/>
              <w:szCs w:val="24"/>
            </w:rPr>
          </w:pPr>
          <w:hyperlink w:anchor="_Toc162267189"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_Toc162267189 \h </w:instrText>
            </w:r>
            <w:r w:rsidR="00736DA9">
              <w:rPr>
                <w:noProof/>
                <w:webHidden/>
              </w:rPr>
            </w:r>
            <w:r w:rsidR="00736DA9">
              <w:rPr>
                <w:noProof/>
                <w:webHidden/>
              </w:rPr>
              <w:fldChar w:fldCharType="separate"/>
            </w:r>
            <w:r w:rsidR="00736DA9">
              <w:rPr>
                <w:noProof/>
                <w:webHidden/>
              </w:rPr>
              <w:t>164</w:t>
            </w:r>
            <w:r w:rsidR="00736DA9">
              <w:rPr>
                <w:noProof/>
                <w:webHidden/>
              </w:rPr>
              <w:fldChar w:fldCharType="end"/>
            </w:r>
          </w:hyperlink>
        </w:p>
        <w:p w14:paraId="0BD0BA6D" w14:textId="018733C9" w:rsidR="00736DA9" w:rsidRDefault="00000000">
          <w:pPr>
            <w:pStyle w:val="TOC4"/>
            <w:tabs>
              <w:tab w:val="right" w:pos="9350"/>
            </w:tabs>
            <w:rPr>
              <w:rFonts w:eastAsiaTheme="minorEastAsia" w:cstheme="minorBidi"/>
              <w:noProof/>
              <w:sz w:val="24"/>
              <w:szCs w:val="24"/>
            </w:rPr>
          </w:pPr>
          <w:hyperlink w:anchor="_Toc162267190" w:history="1">
            <w:r w:rsidR="00736DA9" w:rsidRPr="004372B1">
              <w:rPr>
                <w:rStyle w:val="Hyperlink"/>
                <w:noProof/>
              </w:rPr>
              <w:t>References 6.10</w:t>
            </w:r>
            <w:r w:rsidR="00736DA9">
              <w:rPr>
                <w:noProof/>
                <w:webHidden/>
              </w:rPr>
              <w:tab/>
            </w:r>
            <w:r w:rsidR="00736DA9">
              <w:rPr>
                <w:noProof/>
                <w:webHidden/>
              </w:rPr>
              <w:fldChar w:fldCharType="begin"/>
            </w:r>
            <w:r w:rsidR="00736DA9">
              <w:rPr>
                <w:noProof/>
                <w:webHidden/>
              </w:rPr>
              <w:instrText xml:space="preserve"> PAGEREF _Toc162267190 \h </w:instrText>
            </w:r>
            <w:r w:rsidR="00736DA9">
              <w:rPr>
                <w:noProof/>
                <w:webHidden/>
              </w:rPr>
            </w:r>
            <w:r w:rsidR="00736DA9">
              <w:rPr>
                <w:noProof/>
                <w:webHidden/>
              </w:rPr>
              <w:fldChar w:fldCharType="separate"/>
            </w:r>
            <w:r w:rsidR="00736DA9">
              <w:rPr>
                <w:noProof/>
                <w:webHidden/>
              </w:rPr>
              <w:t>165</w:t>
            </w:r>
            <w:r w:rsidR="00736DA9">
              <w:rPr>
                <w:noProof/>
                <w:webHidden/>
              </w:rPr>
              <w:fldChar w:fldCharType="end"/>
            </w:r>
          </w:hyperlink>
        </w:p>
        <w:p w14:paraId="618CA304" w14:textId="6E6E9888" w:rsidR="00736DA9" w:rsidRDefault="00000000">
          <w:pPr>
            <w:pStyle w:val="TOC3"/>
            <w:tabs>
              <w:tab w:val="right" w:pos="9350"/>
            </w:tabs>
            <w:rPr>
              <w:rFonts w:eastAsiaTheme="minorEastAsia" w:cstheme="minorBidi"/>
              <w:noProof/>
              <w:sz w:val="24"/>
              <w:szCs w:val="24"/>
            </w:rPr>
          </w:pPr>
          <w:hyperlink w:anchor="_Toc162267191" w:history="1">
            <w:r w:rsidR="00736DA9" w:rsidRPr="004372B1">
              <w:rPr>
                <w:rStyle w:val="Hyperlink"/>
                <w:noProof/>
              </w:rPr>
              <w:t>Health Insurance</w:t>
            </w:r>
            <w:r w:rsidR="00736DA9">
              <w:rPr>
                <w:noProof/>
                <w:webHidden/>
              </w:rPr>
              <w:tab/>
            </w:r>
            <w:r w:rsidR="00736DA9">
              <w:rPr>
                <w:noProof/>
                <w:webHidden/>
              </w:rPr>
              <w:fldChar w:fldCharType="begin"/>
            </w:r>
            <w:r w:rsidR="00736DA9">
              <w:rPr>
                <w:noProof/>
                <w:webHidden/>
              </w:rPr>
              <w:instrText xml:space="preserve"> PAGEREF _Toc162267191 \h </w:instrText>
            </w:r>
            <w:r w:rsidR="00736DA9">
              <w:rPr>
                <w:noProof/>
                <w:webHidden/>
              </w:rPr>
            </w:r>
            <w:r w:rsidR="00736DA9">
              <w:rPr>
                <w:noProof/>
                <w:webHidden/>
              </w:rPr>
              <w:fldChar w:fldCharType="separate"/>
            </w:r>
            <w:r w:rsidR="00736DA9">
              <w:rPr>
                <w:noProof/>
                <w:webHidden/>
              </w:rPr>
              <w:t>165</w:t>
            </w:r>
            <w:r w:rsidR="00736DA9">
              <w:rPr>
                <w:noProof/>
                <w:webHidden/>
              </w:rPr>
              <w:fldChar w:fldCharType="end"/>
            </w:r>
          </w:hyperlink>
        </w:p>
        <w:p w14:paraId="6B56ABDD" w14:textId="1838EF27" w:rsidR="00736DA9" w:rsidRDefault="00000000">
          <w:pPr>
            <w:pStyle w:val="TOC4"/>
            <w:tabs>
              <w:tab w:val="right" w:pos="9350"/>
            </w:tabs>
            <w:rPr>
              <w:rFonts w:eastAsiaTheme="minorEastAsia" w:cstheme="minorBidi"/>
              <w:noProof/>
              <w:sz w:val="24"/>
              <w:szCs w:val="24"/>
            </w:rPr>
          </w:pPr>
          <w:hyperlink w:anchor="_Toc162267192" w:history="1">
            <w:r w:rsidR="00736DA9" w:rsidRPr="004372B1">
              <w:rPr>
                <w:rStyle w:val="Hyperlink"/>
                <w:noProof/>
              </w:rPr>
              <w:t>Figure 6.25: Health Insurance Coverage Among Adults.</w:t>
            </w:r>
            <w:r w:rsidR="00736DA9">
              <w:rPr>
                <w:noProof/>
                <w:webHidden/>
              </w:rPr>
              <w:tab/>
            </w:r>
            <w:r w:rsidR="00736DA9">
              <w:rPr>
                <w:noProof/>
                <w:webHidden/>
              </w:rPr>
              <w:fldChar w:fldCharType="begin"/>
            </w:r>
            <w:r w:rsidR="00736DA9">
              <w:rPr>
                <w:noProof/>
                <w:webHidden/>
              </w:rPr>
              <w:instrText xml:space="preserve"> PAGEREF _Toc162267192 \h </w:instrText>
            </w:r>
            <w:r w:rsidR="00736DA9">
              <w:rPr>
                <w:noProof/>
                <w:webHidden/>
              </w:rPr>
            </w:r>
            <w:r w:rsidR="00736DA9">
              <w:rPr>
                <w:noProof/>
                <w:webHidden/>
              </w:rPr>
              <w:fldChar w:fldCharType="separate"/>
            </w:r>
            <w:r w:rsidR="00736DA9">
              <w:rPr>
                <w:noProof/>
                <w:webHidden/>
              </w:rPr>
              <w:t>165</w:t>
            </w:r>
            <w:r w:rsidR="00736DA9">
              <w:rPr>
                <w:noProof/>
                <w:webHidden/>
              </w:rPr>
              <w:fldChar w:fldCharType="end"/>
            </w:r>
          </w:hyperlink>
        </w:p>
        <w:p w14:paraId="770C2E33" w14:textId="788A265F" w:rsidR="00736DA9" w:rsidRDefault="00000000">
          <w:pPr>
            <w:pStyle w:val="TOC4"/>
            <w:tabs>
              <w:tab w:val="right" w:pos="9350"/>
            </w:tabs>
            <w:rPr>
              <w:rFonts w:eastAsiaTheme="minorEastAsia" w:cstheme="minorBidi"/>
              <w:noProof/>
              <w:sz w:val="24"/>
              <w:szCs w:val="24"/>
            </w:rPr>
          </w:pPr>
          <w:hyperlink w:anchor="_Toc162267193" w:history="1">
            <w:r w:rsidR="00736DA9" w:rsidRPr="004372B1">
              <w:rPr>
                <w:rStyle w:val="Hyperlink"/>
                <w:noProof/>
              </w:rPr>
              <w:t>Figure 6.26: Health Insurance Coverage Among Adults, by Race/Ethnicity.</w:t>
            </w:r>
            <w:r w:rsidR="00736DA9">
              <w:rPr>
                <w:noProof/>
                <w:webHidden/>
              </w:rPr>
              <w:tab/>
            </w:r>
            <w:r w:rsidR="00736DA9">
              <w:rPr>
                <w:noProof/>
                <w:webHidden/>
              </w:rPr>
              <w:fldChar w:fldCharType="begin"/>
            </w:r>
            <w:r w:rsidR="00736DA9">
              <w:rPr>
                <w:noProof/>
                <w:webHidden/>
              </w:rPr>
              <w:instrText xml:space="preserve"> PAGEREF _Toc162267193 \h </w:instrText>
            </w:r>
            <w:r w:rsidR="00736DA9">
              <w:rPr>
                <w:noProof/>
                <w:webHidden/>
              </w:rPr>
            </w:r>
            <w:r w:rsidR="00736DA9">
              <w:rPr>
                <w:noProof/>
                <w:webHidden/>
              </w:rPr>
              <w:fldChar w:fldCharType="separate"/>
            </w:r>
            <w:r w:rsidR="00736DA9">
              <w:rPr>
                <w:noProof/>
                <w:webHidden/>
              </w:rPr>
              <w:t>166</w:t>
            </w:r>
            <w:r w:rsidR="00736DA9">
              <w:rPr>
                <w:noProof/>
                <w:webHidden/>
              </w:rPr>
              <w:fldChar w:fldCharType="end"/>
            </w:r>
          </w:hyperlink>
        </w:p>
        <w:p w14:paraId="2955508B" w14:textId="776BF92F" w:rsidR="00736DA9" w:rsidRDefault="00000000">
          <w:pPr>
            <w:pStyle w:val="TOC4"/>
            <w:tabs>
              <w:tab w:val="right" w:pos="9350"/>
            </w:tabs>
            <w:rPr>
              <w:rFonts w:eastAsiaTheme="minorEastAsia" w:cstheme="minorBidi"/>
              <w:noProof/>
              <w:sz w:val="24"/>
              <w:szCs w:val="24"/>
            </w:rPr>
          </w:pPr>
          <w:hyperlink w:anchor="_Toc162267194" w:history="1">
            <w:r w:rsidR="00736DA9" w:rsidRPr="004372B1">
              <w:rPr>
                <w:rStyle w:val="Hyperlink"/>
                <w:noProof/>
              </w:rPr>
              <w:t>Figure 6.27: Health Insurance Coverage Among Adults, by County.</w:t>
            </w:r>
            <w:r w:rsidR="00736DA9">
              <w:rPr>
                <w:noProof/>
                <w:webHidden/>
              </w:rPr>
              <w:tab/>
            </w:r>
            <w:r w:rsidR="00736DA9">
              <w:rPr>
                <w:noProof/>
                <w:webHidden/>
              </w:rPr>
              <w:fldChar w:fldCharType="begin"/>
            </w:r>
            <w:r w:rsidR="00736DA9">
              <w:rPr>
                <w:noProof/>
                <w:webHidden/>
              </w:rPr>
              <w:instrText xml:space="preserve"> PAGEREF _Toc162267194 \h </w:instrText>
            </w:r>
            <w:r w:rsidR="00736DA9">
              <w:rPr>
                <w:noProof/>
                <w:webHidden/>
              </w:rPr>
            </w:r>
            <w:r w:rsidR="00736DA9">
              <w:rPr>
                <w:noProof/>
                <w:webHidden/>
              </w:rPr>
              <w:fldChar w:fldCharType="separate"/>
            </w:r>
            <w:r w:rsidR="00736DA9">
              <w:rPr>
                <w:noProof/>
                <w:webHidden/>
              </w:rPr>
              <w:t>166</w:t>
            </w:r>
            <w:r w:rsidR="00736DA9">
              <w:rPr>
                <w:noProof/>
                <w:webHidden/>
              </w:rPr>
              <w:fldChar w:fldCharType="end"/>
            </w:r>
          </w:hyperlink>
        </w:p>
        <w:p w14:paraId="48FF9B45" w14:textId="4FAB50A6" w:rsidR="00736DA9" w:rsidRDefault="00000000">
          <w:pPr>
            <w:pStyle w:val="TOC4"/>
            <w:tabs>
              <w:tab w:val="right" w:pos="9350"/>
            </w:tabs>
            <w:rPr>
              <w:rFonts w:eastAsiaTheme="minorEastAsia" w:cstheme="minorBidi"/>
              <w:noProof/>
              <w:sz w:val="24"/>
              <w:szCs w:val="24"/>
            </w:rPr>
          </w:pPr>
          <w:hyperlink w:anchor="_Toc162267195"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_Toc162267195 \h </w:instrText>
            </w:r>
            <w:r w:rsidR="00736DA9">
              <w:rPr>
                <w:noProof/>
                <w:webHidden/>
              </w:rPr>
            </w:r>
            <w:r w:rsidR="00736DA9">
              <w:rPr>
                <w:noProof/>
                <w:webHidden/>
              </w:rPr>
              <w:fldChar w:fldCharType="separate"/>
            </w:r>
            <w:r w:rsidR="00736DA9">
              <w:rPr>
                <w:noProof/>
                <w:webHidden/>
              </w:rPr>
              <w:t>167</w:t>
            </w:r>
            <w:r w:rsidR="00736DA9">
              <w:rPr>
                <w:noProof/>
                <w:webHidden/>
              </w:rPr>
              <w:fldChar w:fldCharType="end"/>
            </w:r>
          </w:hyperlink>
        </w:p>
        <w:p w14:paraId="10F47771" w14:textId="7A537DAB" w:rsidR="00736DA9" w:rsidRDefault="00000000">
          <w:pPr>
            <w:pStyle w:val="TOC4"/>
            <w:tabs>
              <w:tab w:val="right" w:pos="9350"/>
            </w:tabs>
            <w:rPr>
              <w:rFonts w:eastAsiaTheme="minorEastAsia" w:cstheme="minorBidi"/>
              <w:noProof/>
              <w:sz w:val="24"/>
              <w:szCs w:val="24"/>
            </w:rPr>
          </w:pPr>
          <w:hyperlink w:anchor="_Toc162267196" w:history="1">
            <w:r w:rsidR="00736DA9" w:rsidRPr="004372B1">
              <w:rPr>
                <w:rStyle w:val="Hyperlink"/>
                <w:noProof/>
              </w:rPr>
              <w:t>References 6.11</w:t>
            </w:r>
            <w:r w:rsidR="00736DA9">
              <w:rPr>
                <w:noProof/>
                <w:webHidden/>
              </w:rPr>
              <w:tab/>
            </w:r>
            <w:r w:rsidR="00736DA9">
              <w:rPr>
                <w:noProof/>
                <w:webHidden/>
              </w:rPr>
              <w:fldChar w:fldCharType="begin"/>
            </w:r>
            <w:r w:rsidR="00736DA9">
              <w:rPr>
                <w:noProof/>
                <w:webHidden/>
              </w:rPr>
              <w:instrText xml:space="preserve"> PAGEREF _Toc162267196 \h </w:instrText>
            </w:r>
            <w:r w:rsidR="00736DA9">
              <w:rPr>
                <w:noProof/>
                <w:webHidden/>
              </w:rPr>
            </w:r>
            <w:r w:rsidR="00736DA9">
              <w:rPr>
                <w:noProof/>
                <w:webHidden/>
              </w:rPr>
              <w:fldChar w:fldCharType="separate"/>
            </w:r>
            <w:r w:rsidR="00736DA9">
              <w:rPr>
                <w:noProof/>
                <w:webHidden/>
              </w:rPr>
              <w:t>168</w:t>
            </w:r>
            <w:r w:rsidR="00736DA9">
              <w:rPr>
                <w:noProof/>
                <w:webHidden/>
              </w:rPr>
              <w:fldChar w:fldCharType="end"/>
            </w:r>
          </w:hyperlink>
        </w:p>
        <w:p w14:paraId="0D96E792" w14:textId="06E85CD2" w:rsidR="00736DA9" w:rsidRDefault="00000000">
          <w:pPr>
            <w:pStyle w:val="TOC3"/>
            <w:tabs>
              <w:tab w:val="right" w:pos="9350"/>
            </w:tabs>
            <w:rPr>
              <w:rFonts w:eastAsiaTheme="minorEastAsia" w:cstheme="minorBidi"/>
              <w:noProof/>
              <w:sz w:val="24"/>
              <w:szCs w:val="24"/>
            </w:rPr>
          </w:pPr>
          <w:hyperlink w:anchor="_Toc162267197" w:history="1">
            <w:r w:rsidR="00736DA9" w:rsidRPr="004372B1">
              <w:rPr>
                <w:rStyle w:val="Hyperlink"/>
                <w:noProof/>
              </w:rPr>
              <w:t>Delayed Medical Care</w:t>
            </w:r>
            <w:r w:rsidR="00736DA9">
              <w:rPr>
                <w:noProof/>
                <w:webHidden/>
              </w:rPr>
              <w:tab/>
            </w:r>
            <w:r w:rsidR="00736DA9">
              <w:rPr>
                <w:noProof/>
                <w:webHidden/>
              </w:rPr>
              <w:fldChar w:fldCharType="begin"/>
            </w:r>
            <w:r w:rsidR="00736DA9">
              <w:rPr>
                <w:noProof/>
                <w:webHidden/>
              </w:rPr>
              <w:instrText xml:space="preserve"> PAGEREF _Toc162267197 \h </w:instrText>
            </w:r>
            <w:r w:rsidR="00736DA9">
              <w:rPr>
                <w:noProof/>
                <w:webHidden/>
              </w:rPr>
            </w:r>
            <w:r w:rsidR="00736DA9">
              <w:rPr>
                <w:noProof/>
                <w:webHidden/>
              </w:rPr>
              <w:fldChar w:fldCharType="separate"/>
            </w:r>
            <w:r w:rsidR="00736DA9">
              <w:rPr>
                <w:noProof/>
                <w:webHidden/>
              </w:rPr>
              <w:t>168</w:t>
            </w:r>
            <w:r w:rsidR="00736DA9">
              <w:rPr>
                <w:noProof/>
                <w:webHidden/>
              </w:rPr>
              <w:fldChar w:fldCharType="end"/>
            </w:r>
          </w:hyperlink>
        </w:p>
        <w:p w14:paraId="713E8462" w14:textId="7C1B9E11" w:rsidR="00736DA9" w:rsidRDefault="00000000">
          <w:pPr>
            <w:pStyle w:val="TOC4"/>
            <w:tabs>
              <w:tab w:val="right" w:pos="9350"/>
            </w:tabs>
            <w:rPr>
              <w:rFonts w:eastAsiaTheme="minorEastAsia" w:cstheme="minorBidi"/>
              <w:noProof/>
              <w:sz w:val="24"/>
              <w:szCs w:val="24"/>
            </w:rPr>
          </w:pPr>
          <w:hyperlink w:anchor="_Toc162267198" w:history="1">
            <w:r w:rsidR="00736DA9" w:rsidRPr="004372B1">
              <w:rPr>
                <w:rStyle w:val="Hyperlink"/>
                <w:noProof/>
              </w:rPr>
              <w:t>Figure 6.28: Delayed Medical Care due to Cost, by Race/Ethnicity.</w:t>
            </w:r>
            <w:r w:rsidR="00736DA9">
              <w:rPr>
                <w:noProof/>
                <w:webHidden/>
              </w:rPr>
              <w:tab/>
            </w:r>
            <w:r w:rsidR="00736DA9">
              <w:rPr>
                <w:noProof/>
                <w:webHidden/>
              </w:rPr>
              <w:fldChar w:fldCharType="begin"/>
            </w:r>
            <w:r w:rsidR="00736DA9">
              <w:rPr>
                <w:noProof/>
                <w:webHidden/>
              </w:rPr>
              <w:instrText xml:space="preserve"> PAGEREF _Toc162267198 \h </w:instrText>
            </w:r>
            <w:r w:rsidR="00736DA9">
              <w:rPr>
                <w:noProof/>
                <w:webHidden/>
              </w:rPr>
            </w:r>
            <w:r w:rsidR="00736DA9">
              <w:rPr>
                <w:noProof/>
                <w:webHidden/>
              </w:rPr>
              <w:fldChar w:fldCharType="separate"/>
            </w:r>
            <w:r w:rsidR="00736DA9">
              <w:rPr>
                <w:noProof/>
                <w:webHidden/>
              </w:rPr>
              <w:t>168</w:t>
            </w:r>
            <w:r w:rsidR="00736DA9">
              <w:rPr>
                <w:noProof/>
                <w:webHidden/>
              </w:rPr>
              <w:fldChar w:fldCharType="end"/>
            </w:r>
          </w:hyperlink>
        </w:p>
        <w:p w14:paraId="06699439" w14:textId="31EFB058" w:rsidR="00736DA9" w:rsidRDefault="00000000">
          <w:pPr>
            <w:pStyle w:val="TOC4"/>
            <w:tabs>
              <w:tab w:val="right" w:pos="9350"/>
            </w:tabs>
            <w:rPr>
              <w:rFonts w:eastAsiaTheme="minorEastAsia" w:cstheme="minorBidi"/>
              <w:noProof/>
              <w:sz w:val="24"/>
              <w:szCs w:val="24"/>
            </w:rPr>
          </w:pPr>
          <w:hyperlink w:anchor="_Toc162267199" w:history="1">
            <w:r w:rsidR="00736DA9" w:rsidRPr="004372B1">
              <w:rPr>
                <w:rStyle w:val="Hyperlink"/>
                <w:noProof/>
              </w:rPr>
              <w:t>Figure 6.29: Delayed Medical Care due to Cost, by Insurance Status.</w:t>
            </w:r>
            <w:r w:rsidR="00736DA9">
              <w:rPr>
                <w:noProof/>
                <w:webHidden/>
              </w:rPr>
              <w:tab/>
            </w:r>
            <w:r w:rsidR="00736DA9">
              <w:rPr>
                <w:noProof/>
                <w:webHidden/>
              </w:rPr>
              <w:fldChar w:fldCharType="begin"/>
            </w:r>
            <w:r w:rsidR="00736DA9">
              <w:rPr>
                <w:noProof/>
                <w:webHidden/>
              </w:rPr>
              <w:instrText xml:space="preserve"> PAGEREF _Toc162267199 \h </w:instrText>
            </w:r>
            <w:r w:rsidR="00736DA9">
              <w:rPr>
                <w:noProof/>
                <w:webHidden/>
              </w:rPr>
            </w:r>
            <w:r w:rsidR="00736DA9">
              <w:rPr>
                <w:noProof/>
                <w:webHidden/>
              </w:rPr>
              <w:fldChar w:fldCharType="separate"/>
            </w:r>
            <w:r w:rsidR="00736DA9">
              <w:rPr>
                <w:noProof/>
                <w:webHidden/>
              </w:rPr>
              <w:t>169</w:t>
            </w:r>
            <w:r w:rsidR="00736DA9">
              <w:rPr>
                <w:noProof/>
                <w:webHidden/>
              </w:rPr>
              <w:fldChar w:fldCharType="end"/>
            </w:r>
          </w:hyperlink>
        </w:p>
        <w:p w14:paraId="1B68027C" w14:textId="6AE0608C" w:rsidR="00736DA9" w:rsidRDefault="00000000">
          <w:pPr>
            <w:pStyle w:val="TOC4"/>
            <w:tabs>
              <w:tab w:val="right" w:pos="9350"/>
            </w:tabs>
            <w:rPr>
              <w:rFonts w:eastAsiaTheme="minorEastAsia" w:cstheme="minorBidi"/>
              <w:noProof/>
              <w:sz w:val="24"/>
              <w:szCs w:val="24"/>
            </w:rPr>
          </w:pPr>
          <w:hyperlink w:anchor="_Toc162267200" w:history="1">
            <w:r w:rsidR="00736DA9" w:rsidRPr="004372B1">
              <w:rPr>
                <w:rStyle w:val="Hyperlink"/>
                <w:noProof/>
              </w:rPr>
              <w:t>Figure 6.30: Top Reasons that Prevent People in Community From Receiving Preventative Screenings and Care.</w:t>
            </w:r>
            <w:r w:rsidR="00736DA9">
              <w:rPr>
                <w:noProof/>
                <w:webHidden/>
              </w:rPr>
              <w:tab/>
            </w:r>
            <w:r w:rsidR="00736DA9">
              <w:rPr>
                <w:noProof/>
                <w:webHidden/>
              </w:rPr>
              <w:fldChar w:fldCharType="begin"/>
            </w:r>
            <w:r w:rsidR="00736DA9">
              <w:rPr>
                <w:noProof/>
                <w:webHidden/>
              </w:rPr>
              <w:instrText xml:space="preserve"> PAGEREF _Toc162267200 \h </w:instrText>
            </w:r>
            <w:r w:rsidR="00736DA9">
              <w:rPr>
                <w:noProof/>
                <w:webHidden/>
              </w:rPr>
            </w:r>
            <w:r w:rsidR="00736DA9">
              <w:rPr>
                <w:noProof/>
                <w:webHidden/>
              </w:rPr>
              <w:fldChar w:fldCharType="separate"/>
            </w:r>
            <w:r w:rsidR="00736DA9">
              <w:rPr>
                <w:noProof/>
                <w:webHidden/>
              </w:rPr>
              <w:t>169</w:t>
            </w:r>
            <w:r w:rsidR="00736DA9">
              <w:rPr>
                <w:noProof/>
                <w:webHidden/>
              </w:rPr>
              <w:fldChar w:fldCharType="end"/>
            </w:r>
          </w:hyperlink>
        </w:p>
        <w:p w14:paraId="0034163C" w14:textId="50E52129" w:rsidR="00736DA9" w:rsidRDefault="00000000">
          <w:pPr>
            <w:pStyle w:val="TOC4"/>
            <w:tabs>
              <w:tab w:val="right" w:pos="9350"/>
            </w:tabs>
            <w:rPr>
              <w:rFonts w:eastAsiaTheme="minorEastAsia" w:cstheme="minorBidi"/>
              <w:noProof/>
              <w:sz w:val="24"/>
              <w:szCs w:val="24"/>
            </w:rPr>
          </w:pPr>
          <w:hyperlink w:anchor="_Toc162267201"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_Toc162267201 \h </w:instrText>
            </w:r>
            <w:r w:rsidR="00736DA9">
              <w:rPr>
                <w:noProof/>
                <w:webHidden/>
              </w:rPr>
            </w:r>
            <w:r w:rsidR="00736DA9">
              <w:rPr>
                <w:noProof/>
                <w:webHidden/>
              </w:rPr>
              <w:fldChar w:fldCharType="separate"/>
            </w:r>
            <w:r w:rsidR="00736DA9">
              <w:rPr>
                <w:noProof/>
                <w:webHidden/>
              </w:rPr>
              <w:t>169</w:t>
            </w:r>
            <w:r w:rsidR="00736DA9">
              <w:rPr>
                <w:noProof/>
                <w:webHidden/>
              </w:rPr>
              <w:fldChar w:fldCharType="end"/>
            </w:r>
          </w:hyperlink>
        </w:p>
        <w:p w14:paraId="69459E56" w14:textId="4ABB121C" w:rsidR="00736DA9" w:rsidRDefault="00000000">
          <w:pPr>
            <w:pStyle w:val="TOC4"/>
            <w:tabs>
              <w:tab w:val="right" w:pos="9350"/>
            </w:tabs>
            <w:rPr>
              <w:rFonts w:eastAsiaTheme="minorEastAsia" w:cstheme="minorBidi"/>
              <w:noProof/>
              <w:sz w:val="24"/>
              <w:szCs w:val="24"/>
            </w:rPr>
          </w:pPr>
          <w:hyperlink w:anchor="_Toc162267202" w:history="1">
            <w:r w:rsidR="00736DA9" w:rsidRPr="004372B1">
              <w:rPr>
                <w:rStyle w:val="Hyperlink"/>
                <w:noProof/>
              </w:rPr>
              <w:t>References 6.12</w:t>
            </w:r>
            <w:r w:rsidR="00736DA9">
              <w:rPr>
                <w:noProof/>
                <w:webHidden/>
              </w:rPr>
              <w:tab/>
            </w:r>
            <w:r w:rsidR="00736DA9">
              <w:rPr>
                <w:noProof/>
                <w:webHidden/>
              </w:rPr>
              <w:fldChar w:fldCharType="begin"/>
            </w:r>
            <w:r w:rsidR="00736DA9">
              <w:rPr>
                <w:noProof/>
                <w:webHidden/>
              </w:rPr>
              <w:instrText xml:space="preserve"> PAGEREF _Toc162267202 \h </w:instrText>
            </w:r>
            <w:r w:rsidR="00736DA9">
              <w:rPr>
                <w:noProof/>
                <w:webHidden/>
              </w:rPr>
            </w:r>
            <w:r w:rsidR="00736DA9">
              <w:rPr>
                <w:noProof/>
                <w:webHidden/>
              </w:rPr>
              <w:fldChar w:fldCharType="separate"/>
            </w:r>
            <w:r w:rsidR="00736DA9">
              <w:rPr>
                <w:noProof/>
                <w:webHidden/>
              </w:rPr>
              <w:t>170</w:t>
            </w:r>
            <w:r w:rsidR="00736DA9">
              <w:rPr>
                <w:noProof/>
                <w:webHidden/>
              </w:rPr>
              <w:fldChar w:fldCharType="end"/>
            </w:r>
          </w:hyperlink>
        </w:p>
        <w:p w14:paraId="2ED83F55" w14:textId="4C9FBA73" w:rsidR="00736DA9" w:rsidRDefault="00000000">
          <w:pPr>
            <w:pStyle w:val="TOC3"/>
            <w:tabs>
              <w:tab w:val="right" w:pos="9350"/>
            </w:tabs>
            <w:rPr>
              <w:rFonts w:eastAsiaTheme="minorEastAsia" w:cstheme="minorBidi"/>
              <w:noProof/>
              <w:sz w:val="24"/>
              <w:szCs w:val="24"/>
            </w:rPr>
          </w:pPr>
          <w:hyperlink w:anchor="_Toc162267203" w:history="1">
            <w:r w:rsidR="00736DA9" w:rsidRPr="004372B1">
              <w:rPr>
                <w:rStyle w:val="Hyperlink"/>
                <w:noProof/>
              </w:rPr>
              <w:t>Avoidable Hospitalizations</w:t>
            </w:r>
            <w:r w:rsidR="00736DA9">
              <w:rPr>
                <w:noProof/>
                <w:webHidden/>
              </w:rPr>
              <w:tab/>
            </w:r>
            <w:r w:rsidR="00736DA9">
              <w:rPr>
                <w:noProof/>
                <w:webHidden/>
              </w:rPr>
              <w:fldChar w:fldCharType="begin"/>
            </w:r>
            <w:r w:rsidR="00736DA9">
              <w:rPr>
                <w:noProof/>
                <w:webHidden/>
              </w:rPr>
              <w:instrText xml:space="preserve"> PAGEREF _Toc162267203 \h </w:instrText>
            </w:r>
            <w:r w:rsidR="00736DA9">
              <w:rPr>
                <w:noProof/>
                <w:webHidden/>
              </w:rPr>
            </w:r>
            <w:r w:rsidR="00736DA9">
              <w:rPr>
                <w:noProof/>
                <w:webHidden/>
              </w:rPr>
              <w:fldChar w:fldCharType="separate"/>
            </w:r>
            <w:r w:rsidR="00736DA9">
              <w:rPr>
                <w:noProof/>
                <w:webHidden/>
              </w:rPr>
              <w:t>170</w:t>
            </w:r>
            <w:r w:rsidR="00736DA9">
              <w:rPr>
                <w:noProof/>
                <w:webHidden/>
              </w:rPr>
              <w:fldChar w:fldCharType="end"/>
            </w:r>
          </w:hyperlink>
        </w:p>
        <w:p w14:paraId="39026BEF" w14:textId="29ACB456" w:rsidR="00736DA9" w:rsidRDefault="00000000">
          <w:pPr>
            <w:pStyle w:val="TOC4"/>
            <w:tabs>
              <w:tab w:val="right" w:pos="9350"/>
            </w:tabs>
            <w:rPr>
              <w:rFonts w:eastAsiaTheme="minorEastAsia" w:cstheme="minorBidi"/>
              <w:noProof/>
              <w:sz w:val="24"/>
              <w:szCs w:val="24"/>
            </w:rPr>
          </w:pPr>
          <w:hyperlink w:anchor="_Toc162267204" w:history="1">
            <w:r w:rsidR="00736DA9" w:rsidRPr="004372B1">
              <w:rPr>
                <w:rStyle w:val="Hyperlink"/>
                <w:noProof/>
              </w:rPr>
              <w:t>Figure 6.31: Avoidable Inpatient Hospitalizations and Emergency Department Visits.</w:t>
            </w:r>
            <w:r w:rsidR="00736DA9">
              <w:rPr>
                <w:noProof/>
                <w:webHidden/>
              </w:rPr>
              <w:tab/>
            </w:r>
            <w:r w:rsidR="00736DA9">
              <w:rPr>
                <w:noProof/>
                <w:webHidden/>
              </w:rPr>
              <w:fldChar w:fldCharType="begin"/>
            </w:r>
            <w:r w:rsidR="00736DA9">
              <w:rPr>
                <w:noProof/>
                <w:webHidden/>
              </w:rPr>
              <w:instrText xml:space="preserve"> PAGEREF _Toc162267204 \h </w:instrText>
            </w:r>
            <w:r w:rsidR="00736DA9">
              <w:rPr>
                <w:noProof/>
                <w:webHidden/>
              </w:rPr>
            </w:r>
            <w:r w:rsidR="00736DA9">
              <w:rPr>
                <w:noProof/>
                <w:webHidden/>
              </w:rPr>
              <w:fldChar w:fldCharType="separate"/>
            </w:r>
            <w:r w:rsidR="00736DA9">
              <w:rPr>
                <w:noProof/>
                <w:webHidden/>
              </w:rPr>
              <w:t>171</w:t>
            </w:r>
            <w:r w:rsidR="00736DA9">
              <w:rPr>
                <w:noProof/>
                <w:webHidden/>
              </w:rPr>
              <w:fldChar w:fldCharType="end"/>
            </w:r>
          </w:hyperlink>
        </w:p>
        <w:p w14:paraId="2CF37150" w14:textId="0B696A57" w:rsidR="00736DA9" w:rsidRDefault="00000000">
          <w:pPr>
            <w:pStyle w:val="TOC4"/>
            <w:tabs>
              <w:tab w:val="right" w:pos="9350"/>
            </w:tabs>
            <w:rPr>
              <w:rFonts w:eastAsiaTheme="minorEastAsia" w:cstheme="minorBidi"/>
              <w:noProof/>
              <w:sz w:val="24"/>
              <w:szCs w:val="24"/>
            </w:rPr>
          </w:pPr>
          <w:hyperlink w:anchor="_Toc162267205" w:history="1">
            <w:r w:rsidR="00736DA9" w:rsidRPr="004372B1">
              <w:rPr>
                <w:rStyle w:val="Hyperlink"/>
                <w:noProof/>
              </w:rPr>
              <w:t>Figure 6.32: Avoidable Emergency Department Visits, by Race.</w:t>
            </w:r>
            <w:r w:rsidR="00736DA9">
              <w:rPr>
                <w:noProof/>
                <w:webHidden/>
              </w:rPr>
              <w:tab/>
            </w:r>
            <w:r w:rsidR="00736DA9">
              <w:rPr>
                <w:noProof/>
                <w:webHidden/>
              </w:rPr>
              <w:fldChar w:fldCharType="begin"/>
            </w:r>
            <w:r w:rsidR="00736DA9">
              <w:rPr>
                <w:noProof/>
                <w:webHidden/>
              </w:rPr>
              <w:instrText xml:space="preserve"> PAGEREF _Toc162267205 \h </w:instrText>
            </w:r>
            <w:r w:rsidR="00736DA9">
              <w:rPr>
                <w:noProof/>
                <w:webHidden/>
              </w:rPr>
            </w:r>
            <w:r w:rsidR="00736DA9">
              <w:rPr>
                <w:noProof/>
                <w:webHidden/>
              </w:rPr>
              <w:fldChar w:fldCharType="separate"/>
            </w:r>
            <w:r w:rsidR="00736DA9">
              <w:rPr>
                <w:noProof/>
                <w:webHidden/>
              </w:rPr>
              <w:t>171</w:t>
            </w:r>
            <w:r w:rsidR="00736DA9">
              <w:rPr>
                <w:noProof/>
                <w:webHidden/>
              </w:rPr>
              <w:fldChar w:fldCharType="end"/>
            </w:r>
          </w:hyperlink>
        </w:p>
        <w:p w14:paraId="124EDA77" w14:textId="2A93BF3E" w:rsidR="00736DA9" w:rsidRDefault="00000000">
          <w:pPr>
            <w:pStyle w:val="TOC4"/>
            <w:tabs>
              <w:tab w:val="right" w:pos="9350"/>
            </w:tabs>
            <w:rPr>
              <w:rFonts w:eastAsiaTheme="minorEastAsia" w:cstheme="minorBidi"/>
              <w:noProof/>
              <w:sz w:val="24"/>
              <w:szCs w:val="24"/>
            </w:rPr>
          </w:pPr>
          <w:hyperlink w:anchor="_Toc162267206" w:history="1">
            <w:r w:rsidR="00736DA9" w:rsidRPr="004372B1">
              <w:rPr>
                <w:rStyle w:val="Hyperlink"/>
                <w:noProof/>
              </w:rPr>
              <w:t>Figure 6.33: Avoidable Impatient Hospitalizations, by County.</w:t>
            </w:r>
            <w:r w:rsidR="00736DA9">
              <w:rPr>
                <w:noProof/>
                <w:webHidden/>
              </w:rPr>
              <w:tab/>
            </w:r>
            <w:r w:rsidR="00736DA9">
              <w:rPr>
                <w:noProof/>
                <w:webHidden/>
              </w:rPr>
              <w:fldChar w:fldCharType="begin"/>
            </w:r>
            <w:r w:rsidR="00736DA9">
              <w:rPr>
                <w:noProof/>
                <w:webHidden/>
              </w:rPr>
              <w:instrText xml:space="preserve"> PAGEREF _Toc162267206 \h </w:instrText>
            </w:r>
            <w:r w:rsidR="00736DA9">
              <w:rPr>
                <w:noProof/>
                <w:webHidden/>
              </w:rPr>
            </w:r>
            <w:r w:rsidR="00736DA9">
              <w:rPr>
                <w:noProof/>
                <w:webHidden/>
              </w:rPr>
              <w:fldChar w:fldCharType="separate"/>
            </w:r>
            <w:r w:rsidR="00736DA9">
              <w:rPr>
                <w:noProof/>
                <w:webHidden/>
              </w:rPr>
              <w:t>171</w:t>
            </w:r>
            <w:r w:rsidR="00736DA9">
              <w:rPr>
                <w:noProof/>
                <w:webHidden/>
              </w:rPr>
              <w:fldChar w:fldCharType="end"/>
            </w:r>
          </w:hyperlink>
        </w:p>
        <w:p w14:paraId="761FB6E2" w14:textId="601B6A35" w:rsidR="00736DA9" w:rsidRDefault="00000000">
          <w:pPr>
            <w:pStyle w:val="TOC4"/>
            <w:tabs>
              <w:tab w:val="right" w:pos="9350"/>
            </w:tabs>
            <w:rPr>
              <w:rFonts w:eastAsiaTheme="minorEastAsia" w:cstheme="minorBidi"/>
              <w:noProof/>
              <w:sz w:val="24"/>
              <w:szCs w:val="24"/>
            </w:rPr>
          </w:pPr>
          <w:hyperlink w:anchor="_Toc162267207"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_Toc162267207 \h </w:instrText>
            </w:r>
            <w:r w:rsidR="00736DA9">
              <w:rPr>
                <w:noProof/>
                <w:webHidden/>
              </w:rPr>
            </w:r>
            <w:r w:rsidR="00736DA9">
              <w:rPr>
                <w:noProof/>
                <w:webHidden/>
              </w:rPr>
              <w:fldChar w:fldCharType="separate"/>
            </w:r>
            <w:r w:rsidR="00736DA9">
              <w:rPr>
                <w:noProof/>
                <w:webHidden/>
              </w:rPr>
              <w:t>173</w:t>
            </w:r>
            <w:r w:rsidR="00736DA9">
              <w:rPr>
                <w:noProof/>
                <w:webHidden/>
              </w:rPr>
              <w:fldChar w:fldCharType="end"/>
            </w:r>
          </w:hyperlink>
        </w:p>
        <w:p w14:paraId="39B7EA06" w14:textId="6BE1B694" w:rsidR="00736DA9" w:rsidRDefault="00000000">
          <w:pPr>
            <w:pStyle w:val="TOC4"/>
            <w:tabs>
              <w:tab w:val="right" w:pos="9350"/>
            </w:tabs>
            <w:rPr>
              <w:rFonts w:eastAsiaTheme="minorEastAsia" w:cstheme="minorBidi"/>
              <w:noProof/>
              <w:sz w:val="24"/>
              <w:szCs w:val="24"/>
            </w:rPr>
          </w:pPr>
          <w:hyperlink w:anchor="_Toc162267208" w:history="1">
            <w:r w:rsidR="00736DA9" w:rsidRPr="004372B1">
              <w:rPr>
                <w:rStyle w:val="Hyperlink"/>
                <w:noProof/>
              </w:rPr>
              <w:t>References 6.13</w:t>
            </w:r>
            <w:r w:rsidR="00736DA9">
              <w:rPr>
                <w:noProof/>
                <w:webHidden/>
              </w:rPr>
              <w:tab/>
            </w:r>
            <w:r w:rsidR="00736DA9">
              <w:rPr>
                <w:noProof/>
                <w:webHidden/>
              </w:rPr>
              <w:fldChar w:fldCharType="begin"/>
            </w:r>
            <w:r w:rsidR="00736DA9">
              <w:rPr>
                <w:noProof/>
                <w:webHidden/>
              </w:rPr>
              <w:instrText xml:space="preserve"> PAGEREF _Toc162267208 \h </w:instrText>
            </w:r>
            <w:r w:rsidR="00736DA9">
              <w:rPr>
                <w:noProof/>
                <w:webHidden/>
              </w:rPr>
            </w:r>
            <w:r w:rsidR="00736DA9">
              <w:rPr>
                <w:noProof/>
                <w:webHidden/>
              </w:rPr>
              <w:fldChar w:fldCharType="separate"/>
            </w:r>
            <w:r w:rsidR="00736DA9">
              <w:rPr>
                <w:noProof/>
                <w:webHidden/>
              </w:rPr>
              <w:t>173</w:t>
            </w:r>
            <w:r w:rsidR="00736DA9">
              <w:rPr>
                <w:noProof/>
                <w:webHidden/>
              </w:rPr>
              <w:fldChar w:fldCharType="end"/>
            </w:r>
          </w:hyperlink>
        </w:p>
        <w:p w14:paraId="5F99ADA3" w14:textId="7638D6B5" w:rsidR="00736DA9" w:rsidRDefault="00000000">
          <w:pPr>
            <w:pStyle w:val="TOC3"/>
            <w:tabs>
              <w:tab w:val="right" w:pos="9350"/>
            </w:tabs>
            <w:rPr>
              <w:rFonts w:eastAsiaTheme="minorEastAsia" w:cstheme="minorBidi"/>
              <w:noProof/>
              <w:sz w:val="24"/>
              <w:szCs w:val="24"/>
            </w:rPr>
          </w:pPr>
          <w:hyperlink w:anchor="_Toc162267209" w:history="1">
            <w:r w:rsidR="00736DA9" w:rsidRPr="004372B1">
              <w:rPr>
                <w:rStyle w:val="Hyperlink"/>
                <w:noProof/>
              </w:rPr>
              <w:t>Health Professional Shortage Areas</w:t>
            </w:r>
            <w:r w:rsidR="00736DA9">
              <w:rPr>
                <w:noProof/>
                <w:webHidden/>
              </w:rPr>
              <w:tab/>
            </w:r>
            <w:r w:rsidR="00736DA9">
              <w:rPr>
                <w:noProof/>
                <w:webHidden/>
              </w:rPr>
              <w:fldChar w:fldCharType="begin"/>
            </w:r>
            <w:r w:rsidR="00736DA9">
              <w:rPr>
                <w:noProof/>
                <w:webHidden/>
              </w:rPr>
              <w:instrText xml:space="preserve"> PAGEREF _Toc162267209 \h </w:instrText>
            </w:r>
            <w:r w:rsidR="00736DA9">
              <w:rPr>
                <w:noProof/>
                <w:webHidden/>
              </w:rPr>
            </w:r>
            <w:r w:rsidR="00736DA9">
              <w:rPr>
                <w:noProof/>
                <w:webHidden/>
              </w:rPr>
              <w:fldChar w:fldCharType="separate"/>
            </w:r>
            <w:r w:rsidR="00736DA9">
              <w:rPr>
                <w:noProof/>
                <w:webHidden/>
              </w:rPr>
              <w:t>174</w:t>
            </w:r>
            <w:r w:rsidR="00736DA9">
              <w:rPr>
                <w:noProof/>
                <w:webHidden/>
              </w:rPr>
              <w:fldChar w:fldCharType="end"/>
            </w:r>
          </w:hyperlink>
        </w:p>
        <w:p w14:paraId="25A72EAB" w14:textId="5E10DB64" w:rsidR="00736DA9" w:rsidRDefault="00000000">
          <w:pPr>
            <w:pStyle w:val="TOC4"/>
            <w:tabs>
              <w:tab w:val="right" w:pos="9350"/>
            </w:tabs>
            <w:rPr>
              <w:rFonts w:eastAsiaTheme="minorEastAsia" w:cstheme="minorBidi"/>
              <w:noProof/>
              <w:sz w:val="24"/>
              <w:szCs w:val="24"/>
            </w:rPr>
          </w:pPr>
          <w:hyperlink w:anchor="_Toc162267210" w:history="1">
            <w:r w:rsidR="00736DA9" w:rsidRPr="004372B1">
              <w:rPr>
                <w:rStyle w:val="Hyperlink"/>
                <w:noProof/>
              </w:rPr>
              <w:t>Figure 6.34: Primary Care Health Professional Shortage Area, by Category.</w:t>
            </w:r>
            <w:r w:rsidR="00736DA9">
              <w:rPr>
                <w:noProof/>
                <w:webHidden/>
              </w:rPr>
              <w:tab/>
            </w:r>
            <w:r w:rsidR="00736DA9">
              <w:rPr>
                <w:noProof/>
                <w:webHidden/>
              </w:rPr>
              <w:fldChar w:fldCharType="begin"/>
            </w:r>
            <w:r w:rsidR="00736DA9">
              <w:rPr>
                <w:noProof/>
                <w:webHidden/>
              </w:rPr>
              <w:instrText xml:space="preserve"> PAGEREF _Toc162267210 \h </w:instrText>
            </w:r>
            <w:r w:rsidR="00736DA9">
              <w:rPr>
                <w:noProof/>
                <w:webHidden/>
              </w:rPr>
            </w:r>
            <w:r w:rsidR="00736DA9">
              <w:rPr>
                <w:noProof/>
                <w:webHidden/>
              </w:rPr>
              <w:fldChar w:fldCharType="separate"/>
            </w:r>
            <w:r w:rsidR="00736DA9">
              <w:rPr>
                <w:noProof/>
                <w:webHidden/>
              </w:rPr>
              <w:t>174</w:t>
            </w:r>
            <w:r w:rsidR="00736DA9">
              <w:rPr>
                <w:noProof/>
                <w:webHidden/>
              </w:rPr>
              <w:fldChar w:fldCharType="end"/>
            </w:r>
          </w:hyperlink>
        </w:p>
        <w:p w14:paraId="19B6118B" w14:textId="60CA1688" w:rsidR="00736DA9" w:rsidRDefault="00000000">
          <w:pPr>
            <w:pStyle w:val="TOC4"/>
            <w:tabs>
              <w:tab w:val="right" w:pos="9350"/>
            </w:tabs>
            <w:rPr>
              <w:rFonts w:eastAsiaTheme="minorEastAsia" w:cstheme="minorBidi"/>
              <w:noProof/>
              <w:sz w:val="24"/>
              <w:szCs w:val="24"/>
            </w:rPr>
          </w:pPr>
          <w:hyperlink w:anchor="_Toc162267211" w:history="1">
            <w:r w:rsidR="00736DA9" w:rsidRPr="004372B1">
              <w:rPr>
                <w:rStyle w:val="Hyperlink"/>
                <w:noProof/>
              </w:rPr>
              <w:t>Figure 6.35: Dental Care Health Professional Shortage Area, by Category.</w:t>
            </w:r>
            <w:r w:rsidR="00736DA9">
              <w:rPr>
                <w:noProof/>
                <w:webHidden/>
              </w:rPr>
              <w:tab/>
            </w:r>
            <w:r w:rsidR="00736DA9">
              <w:rPr>
                <w:noProof/>
                <w:webHidden/>
              </w:rPr>
              <w:fldChar w:fldCharType="begin"/>
            </w:r>
            <w:r w:rsidR="00736DA9">
              <w:rPr>
                <w:noProof/>
                <w:webHidden/>
              </w:rPr>
              <w:instrText xml:space="preserve"> PAGEREF _Toc162267211 \h </w:instrText>
            </w:r>
            <w:r w:rsidR="00736DA9">
              <w:rPr>
                <w:noProof/>
                <w:webHidden/>
              </w:rPr>
            </w:r>
            <w:r w:rsidR="00736DA9">
              <w:rPr>
                <w:noProof/>
                <w:webHidden/>
              </w:rPr>
              <w:fldChar w:fldCharType="separate"/>
            </w:r>
            <w:r w:rsidR="00736DA9">
              <w:rPr>
                <w:noProof/>
                <w:webHidden/>
              </w:rPr>
              <w:t>176</w:t>
            </w:r>
            <w:r w:rsidR="00736DA9">
              <w:rPr>
                <w:noProof/>
                <w:webHidden/>
              </w:rPr>
              <w:fldChar w:fldCharType="end"/>
            </w:r>
          </w:hyperlink>
        </w:p>
        <w:p w14:paraId="78CBB68B" w14:textId="07BFE8BF" w:rsidR="00736DA9" w:rsidRDefault="00000000">
          <w:pPr>
            <w:pStyle w:val="TOC4"/>
            <w:tabs>
              <w:tab w:val="right" w:pos="9350"/>
            </w:tabs>
            <w:rPr>
              <w:rFonts w:eastAsiaTheme="minorEastAsia" w:cstheme="minorBidi"/>
              <w:noProof/>
              <w:sz w:val="24"/>
              <w:szCs w:val="24"/>
            </w:rPr>
          </w:pPr>
          <w:hyperlink w:anchor="_Toc162267212" w:history="1">
            <w:r w:rsidR="00736DA9" w:rsidRPr="004372B1">
              <w:rPr>
                <w:rStyle w:val="Hyperlink"/>
                <w:noProof/>
              </w:rPr>
              <w:t>Figure 6.36: Mental Health Care Health Professional Shortage Area, by Category.</w:t>
            </w:r>
            <w:r w:rsidR="00736DA9">
              <w:rPr>
                <w:noProof/>
                <w:webHidden/>
              </w:rPr>
              <w:tab/>
            </w:r>
            <w:r w:rsidR="00736DA9">
              <w:rPr>
                <w:noProof/>
                <w:webHidden/>
              </w:rPr>
              <w:fldChar w:fldCharType="begin"/>
            </w:r>
            <w:r w:rsidR="00736DA9">
              <w:rPr>
                <w:noProof/>
                <w:webHidden/>
              </w:rPr>
              <w:instrText xml:space="preserve"> PAGEREF _Toc162267212 \h </w:instrText>
            </w:r>
            <w:r w:rsidR="00736DA9">
              <w:rPr>
                <w:noProof/>
                <w:webHidden/>
              </w:rPr>
            </w:r>
            <w:r w:rsidR="00736DA9">
              <w:rPr>
                <w:noProof/>
                <w:webHidden/>
              </w:rPr>
              <w:fldChar w:fldCharType="separate"/>
            </w:r>
            <w:r w:rsidR="00736DA9">
              <w:rPr>
                <w:noProof/>
                <w:webHidden/>
              </w:rPr>
              <w:t>177</w:t>
            </w:r>
            <w:r w:rsidR="00736DA9">
              <w:rPr>
                <w:noProof/>
                <w:webHidden/>
              </w:rPr>
              <w:fldChar w:fldCharType="end"/>
            </w:r>
          </w:hyperlink>
        </w:p>
        <w:p w14:paraId="3A26E36A" w14:textId="6F8CE246" w:rsidR="00736DA9" w:rsidRDefault="00000000">
          <w:pPr>
            <w:pStyle w:val="TOC4"/>
            <w:tabs>
              <w:tab w:val="right" w:pos="9350"/>
            </w:tabs>
            <w:rPr>
              <w:rFonts w:eastAsiaTheme="minorEastAsia" w:cstheme="minorBidi"/>
              <w:noProof/>
              <w:sz w:val="24"/>
              <w:szCs w:val="24"/>
            </w:rPr>
          </w:pPr>
          <w:hyperlink w:anchor="_Toc162267213"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_Toc162267213 \h </w:instrText>
            </w:r>
            <w:r w:rsidR="00736DA9">
              <w:rPr>
                <w:noProof/>
                <w:webHidden/>
              </w:rPr>
            </w:r>
            <w:r w:rsidR="00736DA9">
              <w:rPr>
                <w:noProof/>
                <w:webHidden/>
              </w:rPr>
              <w:fldChar w:fldCharType="separate"/>
            </w:r>
            <w:r w:rsidR="00736DA9">
              <w:rPr>
                <w:noProof/>
                <w:webHidden/>
              </w:rPr>
              <w:t>179</w:t>
            </w:r>
            <w:r w:rsidR="00736DA9">
              <w:rPr>
                <w:noProof/>
                <w:webHidden/>
              </w:rPr>
              <w:fldChar w:fldCharType="end"/>
            </w:r>
          </w:hyperlink>
        </w:p>
        <w:p w14:paraId="00EF2929" w14:textId="1245BA2A" w:rsidR="00736DA9" w:rsidRDefault="00000000">
          <w:pPr>
            <w:pStyle w:val="TOC4"/>
            <w:tabs>
              <w:tab w:val="right" w:pos="9350"/>
            </w:tabs>
            <w:rPr>
              <w:rFonts w:eastAsiaTheme="minorEastAsia" w:cstheme="minorBidi"/>
              <w:noProof/>
              <w:sz w:val="24"/>
              <w:szCs w:val="24"/>
            </w:rPr>
          </w:pPr>
          <w:hyperlink w:anchor="_Toc162267214" w:history="1">
            <w:r w:rsidR="00736DA9" w:rsidRPr="004372B1">
              <w:rPr>
                <w:rStyle w:val="Hyperlink"/>
                <w:noProof/>
              </w:rPr>
              <w:t>References 6.14</w:t>
            </w:r>
            <w:r w:rsidR="00736DA9">
              <w:rPr>
                <w:noProof/>
                <w:webHidden/>
              </w:rPr>
              <w:tab/>
            </w:r>
            <w:r w:rsidR="00736DA9">
              <w:rPr>
                <w:noProof/>
                <w:webHidden/>
              </w:rPr>
              <w:fldChar w:fldCharType="begin"/>
            </w:r>
            <w:r w:rsidR="00736DA9">
              <w:rPr>
                <w:noProof/>
                <w:webHidden/>
              </w:rPr>
              <w:instrText xml:space="preserve"> PAGEREF _Toc162267214 \h </w:instrText>
            </w:r>
            <w:r w:rsidR="00736DA9">
              <w:rPr>
                <w:noProof/>
                <w:webHidden/>
              </w:rPr>
            </w:r>
            <w:r w:rsidR="00736DA9">
              <w:rPr>
                <w:noProof/>
                <w:webHidden/>
              </w:rPr>
              <w:fldChar w:fldCharType="separate"/>
            </w:r>
            <w:r w:rsidR="00736DA9">
              <w:rPr>
                <w:noProof/>
                <w:webHidden/>
              </w:rPr>
              <w:t>179</w:t>
            </w:r>
            <w:r w:rsidR="00736DA9">
              <w:rPr>
                <w:noProof/>
                <w:webHidden/>
              </w:rPr>
              <w:fldChar w:fldCharType="end"/>
            </w:r>
          </w:hyperlink>
        </w:p>
        <w:p w14:paraId="720AC097" w14:textId="0E41598E" w:rsidR="00736DA9" w:rsidRDefault="00000000">
          <w:pPr>
            <w:pStyle w:val="TOC3"/>
            <w:tabs>
              <w:tab w:val="right" w:pos="9350"/>
            </w:tabs>
            <w:rPr>
              <w:rFonts w:eastAsiaTheme="minorEastAsia" w:cstheme="minorBidi"/>
              <w:noProof/>
              <w:sz w:val="24"/>
              <w:szCs w:val="24"/>
            </w:rPr>
          </w:pPr>
          <w:hyperlink w:anchor="_Toc162267215" w:history="1">
            <w:r w:rsidR="00736DA9" w:rsidRPr="004372B1">
              <w:rPr>
                <w:rStyle w:val="Hyperlink"/>
                <w:noProof/>
              </w:rPr>
              <w:t>Primary Care Physicians</w:t>
            </w:r>
            <w:r w:rsidR="00736DA9">
              <w:rPr>
                <w:noProof/>
                <w:webHidden/>
              </w:rPr>
              <w:tab/>
            </w:r>
            <w:r w:rsidR="00736DA9">
              <w:rPr>
                <w:noProof/>
                <w:webHidden/>
              </w:rPr>
              <w:fldChar w:fldCharType="begin"/>
            </w:r>
            <w:r w:rsidR="00736DA9">
              <w:rPr>
                <w:noProof/>
                <w:webHidden/>
              </w:rPr>
              <w:instrText xml:space="preserve"> PAGEREF _Toc162267215 \h </w:instrText>
            </w:r>
            <w:r w:rsidR="00736DA9">
              <w:rPr>
                <w:noProof/>
                <w:webHidden/>
              </w:rPr>
            </w:r>
            <w:r w:rsidR="00736DA9">
              <w:rPr>
                <w:noProof/>
                <w:webHidden/>
              </w:rPr>
              <w:fldChar w:fldCharType="separate"/>
            </w:r>
            <w:r w:rsidR="00736DA9">
              <w:rPr>
                <w:noProof/>
                <w:webHidden/>
              </w:rPr>
              <w:t>180</w:t>
            </w:r>
            <w:r w:rsidR="00736DA9">
              <w:rPr>
                <w:noProof/>
                <w:webHidden/>
              </w:rPr>
              <w:fldChar w:fldCharType="end"/>
            </w:r>
          </w:hyperlink>
        </w:p>
        <w:p w14:paraId="218B51A0" w14:textId="1AAD25C6" w:rsidR="00736DA9" w:rsidRDefault="00000000">
          <w:pPr>
            <w:pStyle w:val="TOC4"/>
            <w:tabs>
              <w:tab w:val="right" w:pos="9350"/>
            </w:tabs>
            <w:rPr>
              <w:rFonts w:eastAsiaTheme="minorEastAsia" w:cstheme="minorBidi"/>
              <w:noProof/>
              <w:sz w:val="24"/>
              <w:szCs w:val="24"/>
            </w:rPr>
          </w:pPr>
          <w:hyperlink w:anchor="_Toc162267216" w:history="1">
            <w:r w:rsidR="00736DA9" w:rsidRPr="004372B1">
              <w:rPr>
                <w:rStyle w:val="Hyperlink"/>
                <w:noProof/>
              </w:rPr>
              <w:t>Figure 6.37: Primary Care Physicians, by County.</w:t>
            </w:r>
            <w:r w:rsidR="00736DA9">
              <w:rPr>
                <w:noProof/>
                <w:webHidden/>
              </w:rPr>
              <w:tab/>
            </w:r>
            <w:r w:rsidR="00736DA9">
              <w:rPr>
                <w:noProof/>
                <w:webHidden/>
              </w:rPr>
              <w:fldChar w:fldCharType="begin"/>
            </w:r>
            <w:r w:rsidR="00736DA9">
              <w:rPr>
                <w:noProof/>
                <w:webHidden/>
              </w:rPr>
              <w:instrText xml:space="preserve"> PAGEREF _Toc162267216 \h </w:instrText>
            </w:r>
            <w:r w:rsidR="00736DA9">
              <w:rPr>
                <w:noProof/>
                <w:webHidden/>
              </w:rPr>
            </w:r>
            <w:r w:rsidR="00736DA9">
              <w:rPr>
                <w:noProof/>
                <w:webHidden/>
              </w:rPr>
              <w:fldChar w:fldCharType="separate"/>
            </w:r>
            <w:r w:rsidR="00736DA9">
              <w:rPr>
                <w:noProof/>
                <w:webHidden/>
              </w:rPr>
              <w:t>180</w:t>
            </w:r>
            <w:r w:rsidR="00736DA9">
              <w:rPr>
                <w:noProof/>
                <w:webHidden/>
              </w:rPr>
              <w:fldChar w:fldCharType="end"/>
            </w:r>
          </w:hyperlink>
        </w:p>
        <w:p w14:paraId="78C73439" w14:textId="27597EB9" w:rsidR="00736DA9" w:rsidRDefault="00000000">
          <w:pPr>
            <w:pStyle w:val="TOC4"/>
            <w:tabs>
              <w:tab w:val="right" w:pos="9350"/>
            </w:tabs>
            <w:rPr>
              <w:rFonts w:eastAsiaTheme="minorEastAsia" w:cstheme="minorBidi"/>
              <w:noProof/>
              <w:sz w:val="24"/>
              <w:szCs w:val="24"/>
            </w:rPr>
          </w:pPr>
          <w:hyperlink w:anchor="_Toc162267217" w:history="1">
            <w:r w:rsidR="00736DA9" w:rsidRPr="004372B1">
              <w:rPr>
                <w:rStyle w:val="Hyperlink"/>
                <w:noProof/>
              </w:rPr>
              <w:t>Figure 6.38: Primary Care Physicians, by Rurality.</w:t>
            </w:r>
            <w:r w:rsidR="00736DA9">
              <w:rPr>
                <w:noProof/>
                <w:webHidden/>
              </w:rPr>
              <w:tab/>
            </w:r>
            <w:r w:rsidR="00736DA9">
              <w:rPr>
                <w:noProof/>
                <w:webHidden/>
              </w:rPr>
              <w:fldChar w:fldCharType="begin"/>
            </w:r>
            <w:r w:rsidR="00736DA9">
              <w:rPr>
                <w:noProof/>
                <w:webHidden/>
              </w:rPr>
              <w:instrText xml:space="preserve"> PAGEREF _Toc162267217 \h </w:instrText>
            </w:r>
            <w:r w:rsidR="00736DA9">
              <w:rPr>
                <w:noProof/>
                <w:webHidden/>
              </w:rPr>
            </w:r>
            <w:r w:rsidR="00736DA9">
              <w:rPr>
                <w:noProof/>
                <w:webHidden/>
              </w:rPr>
              <w:fldChar w:fldCharType="separate"/>
            </w:r>
            <w:r w:rsidR="00736DA9">
              <w:rPr>
                <w:noProof/>
                <w:webHidden/>
              </w:rPr>
              <w:t>181</w:t>
            </w:r>
            <w:r w:rsidR="00736DA9">
              <w:rPr>
                <w:noProof/>
                <w:webHidden/>
              </w:rPr>
              <w:fldChar w:fldCharType="end"/>
            </w:r>
          </w:hyperlink>
        </w:p>
        <w:p w14:paraId="0D2B6B64" w14:textId="5256C69B" w:rsidR="00736DA9" w:rsidRDefault="00000000">
          <w:pPr>
            <w:pStyle w:val="TOC4"/>
            <w:tabs>
              <w:tab w:val="right" w:pos="9350"/>
            </w:tabs>
            <w:rPr>
              <w:rFonts w:eastAsiaTheme="minorEastAsia" w:cstheme="minorBidi"/>
              <w:noProof/>
              <w:sz w:val="24"/>
              <w:szCs w:val="24"/>
            </w:rPr>
          </w:pPr>
          <w:hyperlink w:anchor="_Toc162267218" w:history="1">
            <w:r w:rsidR="00736DA9" w:rsidRPr="004372B1">
              <w:rPr>
                <w:rStyle w:val="Hyperlink"/>
                <w:noProof/>
              </w:rPr>
              <w:t>Figure 6.39: Primary Care Physicians.</w:t>
            </w:r>
            <w:r w:rsidR="00736DA9">
              <w:rPr>
                <w:noProof/>
                <w:webHidden/>
              </w:rPr>
              <w:tab/>
            </w:r>
            <w:r w:rsidR="00736DA9">
              <w:rPr>
                <w:noProof/>
                <w:webHidden/>
              </w:rPr>
              <w:fldChar w:fldCharType="begin"/>
            </w:r>
            <w:r w:rsidR="00736DA9">
              <w:rPr>
                <w:noProof/>
                <w:webHidden/>
              </w:rPr>
              <w:instrText xml:space="preserve"> PAGEREF _Toc162267218 \h </w:instrText>
            </w:r>
            <w:r w:rsidR="00736DA9">
              <w:rPr>
                <w:noProof/>
                <w:webHidden/>
              </w:rPr>
            </w:r>
            <w:r w:rsidR="00736DA9">
              <w:rPr>
                <w:noProof/>
                <w:webHidden/>
              </w:rPr>
              <w:fldChar w:fldCharType="separate"/>
            </w:r>
            <w:r w:rsidR="00736DA9">
              <w:rPr>
                <w:noProof/>
                <w:webHidden/>
              </w:rPr>
              <w:t>182</w:t>
            </w:r>
            <w:r w:rsidR="00736DA9">
              <w:rPr>
                <w:noProof/>
                <w:webHidden/>
              </w:rPr>
              <w:fldChar w:fldCharType="end"/>
            </w:r>
          </w:hyperlink>
        </w:p>
        <w:p w14:paraId="55C39865" w14:textId="4406564F" w:rsidR="00736DA9" w:rsidRDefault="00000000">
          <w:pPr>
            <w:pStyle w:val="TOC4"/>
            <w:tabs>
              <w:tab w:val="right" w:pos="9350"/>
            </w:tabs>
            <w:rPr>
              <w:rFonts w:eastAsiaTheme="minorEastAsia" w:cstheme="minorBidi"/>
              <w:noProof/>
              <w:sz w:val="24"/>
              <w:szCs w:val="24"/>
            </w:rPr>
          </w:pPr>
          <w:hyperlink w:anchor="_Toc162267219"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_Toc162267219 \h </w:instrText>
            </w:r>
            <w:r w:rsidR="00736DA9">
              <w:rPr>
                <w:noProof/>
                <w:webHidden/>
              </w:rPr>
            </w:r>
            <w:r w:rsidR="00736DA9">
              <w:rPr>
                <w:noProof/>
                <w:webHidden/>
              </w:rPr>
              <w:fldChar w:fldCharType="separate"/>
            </w:r>
            <w:r w:rsidR="00736DA9">
              <w:rPr>
                <w:noProof/>
                <w:webHidden/>
              </w:rPr>
              <w:t>182</w:t>
            </w:r>
            <w:r w:rsidR="00736DA9">
              <w:rPr>
                <w:noProof/>
                <w:webHidden/>
              </w:rPr>
              <w:fldChar w:fldCharType="end"/>
            </w:r>
          </w:hyperlink>
        </w:p>
        <w:p w14:paraId="4BBA35F4" w14:textId="29A70E27" w:rsidR="00736DA9" w:rsidRDefault="00000000">
          <w:pPr>
            <w:pStyle w:val="TOC4"/>
            <w:tabs>
              <w:tab w:val="right" w:pos="9350"/>
            </w:tabs>
            <w:rPr>
              <w:rFonts w:eastAsiaTheme="minorEastAsia" w:cstheme="minorBidi"/>
              <w:noProof/>
              <w:sz w:val="24"/>
              <w:szCs w:val="24"/>
            </w:rPr>
          </w:pPr>
          <w:hyperlink w:anchor="_Toc162267220" w:history="1">
            <w:r w:rsidR="00736DA9" w:rsidRPr="004372B1">
              <w:rPr>
                <w:rStyle w:val="Hyperlink"/>
                <w:noProof/>
              </w:rPr>
              <w:t>References 6.15</w:t>
            </w:r>
            <w:r w:rsidR="00736DA9">
              <w:rPr>
                <w:noProof/>
                <w:webHidden/>
              </w:rPr>
              <w:tab/>
            </w:r>
            <w:r w:rsidR="00736DA9">
              <w:rPr>
                <w:noProof/>
                <w:webHidden/>
              </w:rPr>
              <w:fldChar w:fldCharType="begin"/>
            </w:r>
            <w:r w:rsidR="00736DA9">
              <w:rPr>
                <w:noProof/>
                <w:webHidden/>
              </w:rPr>
              <w:instrText xml:space="preserve"> PAGEREF _Toc162267220 \h </w:instrText>
            </w:r>
            <w:r w:rsidR="00736DA9">
              <w:rPr>
                <w:noProof/>
                <w:webHidden/>
              </w:rPr>
            </w:r>
            <w:r w:rsidR="00736DA9">
              <w:rPr>
                <w:noProof/>
                <w:webHidden/>
              </w:rPr>
              <w:fldChar w:fldCharType="separate"/>
            </w:r>
            <w:r w:rsidR="00736DA9">
              <w:rPr>
                <w:noProof/>
                <w:webHidden/>
              </w:rPr>
              <w:t>182</w:t>
            </w:r>
            <w:r w:rsidR="00736DA9">
              <w:rPr>
                <w:noProof/>
                <w:webHidden/>
              </w:rPr>
              <w:fldChar w:fldCharType="end"/>
            </w:r>
          </w:hyperlink>
        </w:p>
        <w:p w14:paraId="41B4B49F" w14:textId="0E4ED400" w:rsidR="00736DA9" w:rsidRDefault="00000000">
          <w:pPr>
            <w:pStyle w:val="TOC3"/>
            <w:tabs>
              <w:tab w:val="right" w:pos="9350"/>
            </w:tabs>
            <w:rPr>
              <w:rFonts w:eastAsiaTheme="minorEastAsia" w:cstheme="minorBidi"/>
              <w:noProof/>
              <w:sz w:val="24"/>
              <w:szCs w:val="24"/>
            </w:rPr>
          </w:pPr>
          <w:hyperlink w:anchor="_Toc162267221" w:history="1">
            <w:r w:rsidR="00736DA9" w:rsidRPr="004372B1">
              <w:rPr>
                <w:rStyle w:val="Hyperlink"/>
                <w:noProof/>
              </w:rPr>
              <w:t>Nurse Practitioners and Physician Associates</w:t>
            </w:r>
            <w:r w:rsidR="00736DA9">
              <w:rPr>
                <w:noProof/>
                <w:webHidden/>
              </w:rPr>
              <w:tab/>
            </w:r>
            <w:r w:rsidR="00736DA9">
              <w:rPr>
                <w:noProof/>
                <w:webHidden/>
              </w:rPr>
              <w:fldChar w:fldCharType="begin"/>
            </w:r>
            <w:r w:rsidR="00736DA9">
              <w:rPr>
                <w:noProof/>
                <w:webHidden/>
              </w:rPr>
              <w:instrText xml:space="preserve"> PAGEREF _Toc162267221 \h </w:instrText>
            </w:r>
            <w:r w:rsidR="00736DA9">
              <w:rPr>
                <w:noProof/>
                <w:webHidden/>
              </w:rPr>
            </w:r>
            <w:r w:rsidR="00736DA9">
              <w:rPr>
                <w:noProof/>
                <w:webHidden/>
              </w:rPr>
              <w:fldChar w:fldCharType="separate"/>
            </w:r>
            <w:r w:rsidR="00736DA9">
              <w:rPr>
                <w:noProof/>
                <w:webHidden/>
              </w:rPr>
              <w:t>183</w:t>
            </w:r>
            <w:r w:rsidR="00736DA9">
              <w:rPr>
                <w:noProof/>
                <w:webHidden/>
              </w:rPr>
              <w:fldChar w:fldCharType="end"/>
            </w:r>
          </w:hyperlink>
        </w:p>
        <w:p w14:paraId="4C820F94" w14:textId="75C6BA6E" w:rsidR="00736DA9" w:rsidRDefault="00000000">
          <w:pPr>
            <w:pStyle w:val="TOC4"/>
            <w:tabs>
              <w:tab w:val="right" w:pos="9350"/>
            </w:tabs>
            <w:rPr>
              <w:rFonts w:eastAsiaTheme="minorEastAsia" w:cstheme="minorBidi"/>
              <w:noProof/>
              <w:sz w:val="24"/>
              <w:szCs w:val="24"/>
            </w:rPr>
          </w:pPr>
          <w:hyperlink w:anchor="_Toc162267222" w:history="1">
            <w:r w:rsidR="00736DA9" w:rsidRPr="004372B1">
              <w:rPr>
                <w:rStyle w:val="Hyperlink"/>
                <w:noProof/>
              </w:rPr>
              <w:t>Figure 6.40: Growth in Nurse Practitioners and Physician Associates, by Rurality.</w:t>
            </w:r>
            <w:r w:rsidR="00736DA9">
              <w:rPr>
                <w:noProof/>
                <w:webHidden/>
              </w:rPr>
              <w:tab/>
            </w:r>
            <w:r w:rsidR="00736DA9">
              <w:rPr>
                <w:noProof/>
                <w:webHidden/>
              </w:rPr>
              <w:fldChar w:fldCharType="begin"/>
            </w:r>
            <w:r w:rsidR="00736DA9">
              <w:rPr>
                <w:noProof/>
                <w:webHidden/>
              </w:rPr>
              <w:instrText xml:space="preserve"> PAGEREF _Toc162267222 \h </w:instrText>
            </w:r>
            <w:r w:rsidR="00736DA9">
              <w:rPr>
                <w:noProof/>
                <w:webHidden/>
              </w:rPr>
            </w:r>
            <w:r w:rsidR="00736DA9">
              <w:rPr>
                <w:noProof/>
                <w:webHidden/>
              </w:rPr>
              <w:fldChar w:fldCharType="separate"/>
            </w:r>
            <w:r w:rsidR="00736DA9">
              <w:rPr>
                <w:noProof/>
                <w:webHidden/>
              </w:rPr>
              <w:t>183</w:t>
            </w:r>
            <w:r w:rsidR="00736DA9">
              <w:rPr>
                <w:noProof/>
                <w:webHidden/>
              </w:rPr>
              <w:fldChar w:fldCharType="end"/>
            </w:r>
          </w:hyperlink>
        </w:p>
        <w:p w14:paraId="349C761C" w14:textId="577E9BA9" w:rsidR="00736DA9" w:rsidRDefault="00000000">
          <w:pPr>
            <w:pStyle w:val="TOC4"/>
            <w:tabs>
              <w:tab w:val="right" w:pos="9350"/>
            </w:tabs>
            <w:rPr>
              <w:rFonts w:eastAsiaTheme="minorEastAsia" w:cstheme="minorBidi"/>
              <w:noProof/>
              <w:sz w:val="24"/>
              <w:szCs w:val="24"/>
            </w:rPr>
          </w:pPr>
          <w:hyperlink w:anchor="_Toc162267223" w:history="1">
            <w:r w:rsidR="00736DA9" w:rsidRPr="004372B1">
              <w:rPr>
                <w:rStyle w:val="Hyperlink"/>
                <w:noProof/>
              </w:rPr>
              <w:t>Figure 6.41: Nurse Practitioners and Physician Associates, by County.</w:t>
            </w:r>
            <w:r w:rsidR="00736DA9">
              <w:rPr>
                <w:noProof/>
                <w:webHidden/>
              </w:rPr>
              <w:tab/>
            </w:r>
            <w:r w:rsidR="00736DA9">
              <w:rPr>
                <w:noProof/>
                <w:webHidden/>
              </w:rPr>
              <w:fldChar w:fldCharType="begin"/>
            </w:r>
            <w:r w:rsidR="00736DA9">
              <w:rPr>
                <w:noProof/>
                <w:webHidden/>
              </w:rPr>
              <w:instrText xml:space="preserve"> PAGEREF _Toc162267223 \h </w:instrText>
            </w:r>
            <w:r w:rsidR="00736DA9">
              <w:rPr>
                <w:noProof/>
                <w:webHidden/>
              </w:rPr>
            </w:r>
            <w:r w:rsidR="00736DA9">
              <w:rPr>
                <w:noProof/>
                <w:webHidden/>
              </w:rPr>
              <w:fldChar w:fldCharType="separate"/>
            </w:r>
            <w:r w:rsidR="00736DA9">
              <w:rPr>
                <w:noProof/>
                <w:webHidden/>
              </w:rPr>
              <w:t>183</w:t>
            </w:r>
            <w:r w:rsidR="00736DA9">
              <w:rPr>
                <w:noProof/>
                <w:webHidden/>
              </w:rPr>
              <w:fldChar w:fldCharType="end"/>
            </w:r>
          </w:hyperlink>
        </w:p>
        <w:p w14:paraId="716BE5BD" w14:textId="524BCCA6" w:rsidR="00736DA9" w:rsidRDefault="00000000">
          <w:pPr>
            <w:pStyle w:val="TOC4"/>
            <w:tabs>
              <w:tab w:val="right" w:pos="9350"/>
            </w:tabs>
            <w:rPr>
              <w:rFonts w:eastAsiaTheme="minorEastAsia" w:cstheme="minorBidi"/>
              <w:noProof/>
              <w:sz w:val="24"/>
              <w:szCs w:val="24"/>
            </w:rPr>
          </w:pPr>
          <w:hyperlink w:anchor="_Toc162267224" w:history="1">
            <w:r w:rsidR="00736DA9" w:rsidRPr="004372B1">
              <w:rPr>
                <w:rStyle w:val="Hyperlink"/>
                <w:noProof/>
              </w:rPr>
              <w:t>Figure 6.42: Nurse Practitioners and Physician Associates, by Rurality.</w:t>
            </w:r>
            <w:r w:rsidR="00736DA9">
              <w:rPr>
                <w:noProof/>
                <w:webHidden/>
              </w:rPr>
              <w:tab/>
            </w:r>
            <w:r w:rsidR="00736DA9">
              <w:rPr>
                <w:noProof/>
                <w:webHidden/>
              </w:rPr>
              <w:fldChar w:fldCharType="begin"/>
            </w:r>
            <w:r w:rsidR="00736DA9">
              <w:rPr>
                <w:noProof/>
                <w:webHidden/>
              </w:rPr>
              <w:instrText xml:space="preserve"> PAGEREF _Toc162267224 \h </w:instrText>
            </w:r>
            <w:r w:rsidR="00736DA9">
              <w:rPr>
                <w:noProof/>
                <w:webHidden/>
              </w:rPr>
            </w:r>
            <w:r w:rsidR="00736DA9">
              <w:rPr>
                <w:noProof/>
                <w:webHidden/>
              </w:rPr>
              <w:fldChar w:fldCharType="separate"/>
            </w:r>
            <w:r w:rsidR="00736DA9">
              <w:rPr>
                <w:noProof/>
                <w:webHidden/>
              </w:rPr>
              <w:t>185</w:t>
            </w:r>
            <w:r w:rsidR="00736DA9">
              <w:rPr>
                <w:noProof/>
                <w:webHidden/>
              </w:rPr>
              <w:fldChar w:fldCharType="end"/>
            </w:r>
          </w:hyperlink>
        </w:p>
        <w:p w14:paraId="53596E22" w14:textId="1624C90E" w:rsidR="00736DA9" w:rsidRDefault="00000000">
          <w:pPr>
            <w:pStyle w:val="TOC4"/>
            <w:tabs>
              <w:tab w:val="right" w:pos="9350"/>
            </w:tabs>
            <w:rPr>
              <w:rFonts w:eastAsiaTheme="minorEastAsia" w:cstheme="minorBidi"/>
              <w:noProof/>
              <w:sz w:val="24"/>
              <w:szCs w:val="24"/>
            </w:rPr>
          </w:pPr>
          <w:hyperlink w:anchor="_Toc162267225"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_Toc162267225 \h </w:instrText>
            </w:r>
            <w:r w:rsidR="00736DA9">
              <w:rPr>
                <w:noProof/>
                <w:webHidden/>
              </w:rPr>
            </w:r>
            <w:r w:rsidR="00736DA9">
              <w:rPr>
                <w:noProof/>
                <w:webHidden/>
              </w:rPr>
              <w:fldChar w:fldCharType="separate"/>
            </w:r>
            <w:r w:rsidR="00736DA9">
              <w:rPr>
                <w:noProof/>
                <w:webHidden/>
              </w:rPr>
              <w:t>185</w:t>
            </w:r>
            <w:r w:rsidR="00736DA9">
              <w:rPr>
                <w:noProof/>
                <w:webHidden/>
              </w:rPr>
              <w:fldChar w:fldCharType="end"/>
            </w:r>
          </w:hyperlink>
        </w:p>
        <w:p w14:paraId="28E2EC8A" w14:textId="160C3286" w:rsidR="00736DA9" w:rsidRDefault="00000000">
          <w:pPr>
            <w:pStyle w:val="TOC4"/>
            <w:tabs>
              <w:tab w:val="right" w:pos="9350"/>
            </w:tabs>
            <w:rPr>
              <w:rFonts w:eastAsiaTheme="minorEastAsia" w:cstheme="minorBidi"/>
              <w:noProof/>
              <w:sz w:val="24"/>
              <w:szCs w:val="24"/>
            </w:rPr>
          </w:pPr>
          <w:hyperlink w:anchor="_Toc162267226" w:history="1">
            <w:r w:rsidR="00736DA9" w:rsidRPr="004372B1">
              <w:rPr>
                <w:rStyle w:val="Hyperlink"/>
                <w:noProof/>
              </w:rPr>
              <w:t>References 6.16</w:t>
            </w:r>
            <w:r w:rsidR="00736DA9">
              <w:rPr>
                <w:noProof/>
                <w:webHidden/>
              </w:rPr>
              <w:tab/>
            </w:r>
            <w:r w:rsidR="00736DA9">
              <w:rPr>
                <w:noProof/>
                <w:webHidden/>
              </w:rPr>
              <w:fldChar w:fldCharType="begin"/>
            </w:r>
            <w:r w:rsidR="00736DA9">
              <w:rPr>
                <w:noProof/>
                <w:webHidden/>
              </w:rPr>
              <w:instrText xml:space="preserve"> PAGEREF _Toc162267226 \h </w:instrText>
            </w:r>
            <w:r w:rsidR="00736DA9">
              <w:rPr>
                <w:noProof/>
                <w:webHidden/>
              </w:rPr>
            </w:r>
            <w:r w:rsidR="00736DA9">
              <w:rPr>
                <w:noProof/>
                <w:webHidden/>
              </w:rPr>
              <w:fldChar w:fldCharType="separate"/>
            </w:r>
            <w:r w:rsidR="00736DA9">
              <w:rPr>
                <w:noProof/>
                <w:webHidden/>
              </w:rPr>
              <w:t>186</w:t>
            </w:r>
            <w:r w:rsidR="00736DA9">
              <w:rPr>
                <w:noProof/>
                <w:webHidden/>
              </w:rPr>
              <w:fldChar w:fldCharType="end"/>
            </w:r>
          </w:hyperlink>
        </w:p>
        <w:p w14:paraId="249929F9" w14:textId="55F44B23" w:rsidR="00736DA9" w:rsidRDefault="00000000">
          <w:pPr>
            <w:pStyle w:val="TOC3"/>
            <w:tabs>
              <w:tab w:val="right" w:pos="9350"/>
            </w:tabs>
            <w:rPr>
              <w:rFonts w:eastAsiaTheme="minorEastAsia" w:cstheme="minorBidi"/>
              <w:noProof/>
              <w:sz w:val="24"/>
              <w:szCs w:val="24"/>
            </w:rPr>
          </w:pPr>
          <w:hyperlink w:anchor="_Toc162267227" w:history="1">
            <w:r w:rsidR="00736DA9" w:rsidRPr="004372B1">
              <w:rPr>
                <w:rStyle w:val="Hyperlink"/>
                <w:noProof/>
              </w:rPr>
              <w:t>Mental Health Providers</w:t>
            </w:r>
            <w:r w:rsidR="00736DA9">
              <w:rPr>
                <w:noProof/>
                <w:webHidden/>
              </w:rPr>
              <w:tab/>
            </w:r>
            <w:r w:rsidR="00736DA9">
              <w:rPr>
                <w:noProof/>
                <w:webHidden/>
              </w:rPr>
              <w:fldChar w:fldCharType="begin"/>
            </w:r>
            <w:r w:rsidR="00736DA9">
              <w:rPr>
                <w:noProof/>
                <w:webHidden/>
              </w:rPr>
              <w:instrText xml:space="preserve"> PAGEREF _Toc162267227 \h </w:instrText>
            </w:r>
            <w:r w:rsidR="00736DA9">
              <w:rPr>
                <w:noProof/>
                <w:webHidden/>
              </w:rPr>
            </w:r>
            <w:r w:rsidR="00736DA9">
              <w:rPr>
                <w:noProof/>
                <w:webHidden/>
              </w:rPr>
              <w:fldChar w:fldCharType="separate"/>
            </w:r>
            <w:r w:rsidR="00736DA9">
              <w:rPr>
                <w:noProof/>
                <w:webHidden/>
              </w:rPr>
              <w:t>186</w:t>
            </w:r>
            <w:r w:rsidR="00736DA9">
              <w:rPr>
                <w:noProof/>
                <w:webHidden/>
              </w:rPr>
              <w:fldChar w:fldCharType="end"/>
            </w:r>
          </w:hyperlink>
        </w:p>
        <w:p w14:paraId="22EC0602" w14:textId="77FB7E6E" w:rsidR="00736DA9" w:rsidRDefault="00000000">
          <w:pPr>
            <w:pStyle w:val="TOC4"/>
            <w:tabs>
              <w:tab w:val="right" w:pos="9350"/>
            </w:tabs>
            <w:rPr>
              <w:rFonts w:eastAsiaTheme="minorEastAsia" w:cstheme="minorBidi"/>
              <w:noProof/>
              <w:sz w:val="24"/>
              <w:szCs w:val="24"/>
            </w:rPr>
          </w:pPr>
          <w:hyperlink w:anchor="_Toc162267228" w:history="1">
            <w:r w:rsidR="00736DA9" w:rsidRPr="004372B1">
              <w:rPr>
                <w:rStyle w:val="Hyperlink"/>
                <w:noProof/>
              </w:rPr>
              <w:t>Figure 6.43: Growth in General Psychiatrists, by Rurality.</w:t>
            </w:r>
            <w:r w:rsidR="00736DA9">
              <w:rPr>
                <w:noProof/>
                <w:webHidden/>
              </w:rPr>
              <w:tab/>
            </w:r>
            <w:r w:rsidR="00736DA9">
              <w:rPr>
                <w:noProof/>
                <w:webHidden/>
              </w:rPr>
              <w:fldChar w:fldCharType="begin"/>
            </w:r>
            <w:r w:rsidR="00736DA9">
              <w:rPr>
                <w:noProof/>
                <w:webHidden/>
              </w:rPr>
              <w:instrText xml:space="preserve"> PAGEREF _Toc162267228 \h </w:instrText>
            </w:r>
            <w:r w:rsidR="00736DA9">
              <w:rPr>
                <w:noProof/>
                <w:webHidden/>
              </w:rPr>
            </w:r>
            <w:r w:rsidR="00736DA9">
              <w:rPr>
                <w:noProof/>
                <w:webHidden/>
              </w:rPr>
              <w:fldChar w:fldCharType="separate"/>
            </w:r>
            <w:r w:rsidR="00736DA9">
              <w:rPr>
                <w:noProof/>
                <w:webHidden/>
              </w:rPr>
              <w:t>187</w:t>
            </w:r>
            <w:r w:rsidR="00736DA9">
              <w:rPr>
                <w:noProof/>
                <w:webHidden/>
              </w:rPr>
              <w:fldChar w:fldCharType="end"/>
            </w:r>
          </w:hyperlink>
        </w:p>
        <w:p w14:paraId="53AF3851" w14:textId="04AFB7E0" w:rsidR="00736DA9" w:rsidRDefault="00000000">
          <w:pPr>
            <w:pStyle w:val="TOC4"/>
            <w:tabs>
              <w:tab w:val="right" w:pos="9350"/>
            </w:tabs>
            <w:rPr>
              <w:rFonts w:eastAsiaTheme="minorEastAsia" w:cstheme="minorBidi"/>
              <w:noProof/>
              <w:sz w:val="24"/>
              <w:szCs w:val="24"/>
            </w:rPr>
          </w:pPr>
          <w:hyperlink w:anchor="_Toc162267229" w:history="1">
            <w:r w:rsidR="00736DA9" w:rsidRPr="004372B1">
              <w:rPr>
                <w:rStyle w:val="Hyperlink"/>
                <w:noProof/>
              </w:rPr>
              <w:t>Figure 6.44: Psychiatrists and Licensed Psychologists in South Carolina, by County.</w:t>
            </w:r>
            <w:r w:rsidR="00736DA9">
              <w:rPr>
                <w:noProof/>
                <w:webHidden/>
              </w:rPr>
              <w:tab/>
            </w:r>
            <w:r w:rsidR="00736DA9">
              <w:rPr>
                <w:noProof/>
                <w:webHidden/>
              </w:rPr>
              <w:fldChar w:fldCharType="begin"/>
            </w:r>
            <w:r w:rsidR="00736DA9">
              <w:rPr>
                <w:noProof/>
                <w:webHidden/>
              </w:rPr>
              <w:instrText xml:space="preserve"> PAGEREF _Toc162267229 \h </w:instrText>
            </w:r>
            <w:r w:rsidR="00736DA9">
              <w:rPr>
                <w:noProof/>
                <w:webHidden/>
              </w:rPr>
            </w:r>
            <w:r w:rsidR="00736DA9">
              <w:rPr>
                <w:noProof/>
                <w:webHidden/>
              </w:rPr>
              <w:fldChar w:fldCharType="separate"/>
            </w:r>
            <w:r w:rsidR="00736DA9">
              <w:rPr>
                <w:noProof/>
                <w:webHidden/>
              </w:rPr>
              <w:t>187</w:t>
            </w:r>
            <w:r w:rsidR="00736DA9">
              <w:rPr>
                <w:noProof/>
                <w:webHidden/>
              </w:rPr>
              <w:fldChar w:fldCharType="end"/>
            </w:r>
          </w:hyperlink>
        </w:p>
        <w:p w14:paraId="0410611C" w14:textId="45A382CA" w:rsidR="00736DA9" w:rsidRDefault="00000000">
          <w:pPr>
            <w:pStyle w:val="TOC4"/>
            <w:tabs>
              <w:tab w:val="right" w:pos="9350"/>
            </w:tabs>
            <w:rPr>
              <w:rFonts w:eastAsiaTheme="minorEastAsia" w:cstheme="minorBidi"/>
              <w:noProof/>
              <w:sz w:val="24"/>
              <w:szCs w:val="24"/>
            </w:rPr>
          </w:pPr>
          <w:hyperlink w:anchor="_Toc162267230"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_Toc162267230 \h </w:instrText>
            </w:r>
            <w:r w:rsidR="00736DA9">
              <w:rPr>
                <w:noProof/>
                <w:webHidden/>
              </w:rPr>
            </w:r>
            <w:r w:rsidR="00736DA9">
              <w:rPr>
                <w:noProof/>
                <w:webHidden/>
              </w:rPr>
              <w:fldChar w:fldCharType="separate"/>
            </w:r>
            <w:r w:rsidR="00736DA9">
              <w:rPr>
                <w:noProof/>
                <w:webHidden/>
              </w:rPr>
              <w:t>188</w:t>
            </w:r>
            <w:r w:rsidR="00736DA9">
              <w:rPr>
                <w:noProof/>
                <w:webHidden/>
              </w:rPr>
              <w:fldChar w:fldCharType="end"/>
            </w:r>
          </w:hyperlink>
        </w:p>
        <w:p w14:paraId="036A0EF2" w14:textId="6E627B52" w:rsidR="00736DA9" w:rsidRDefault="00000000">
          <w:pPr>
            <w:pStyle w:val="TOC4"/>
            <w:tabs>
              <w:tab w:val="right" w:pos="9350"/>
            </w:tabs>
            <w:rPr>
              <w:rFonts w:eastAsiaTheme="minorEastAsia" w:cstheme="minorBidi"/>
              <w:noProof/>
              <w:sz w:val="24"/>
              <w:szCs w:val="24"/>
            </w:rPr>
          </w:pPr>
          <w:hyperlink w:anchor="_Toc162267231" w:history="1">
            <w:r w:rsidR="00736DA9" w:rsidRPr="004372B1">
              <w:rPr>
                <w:rStyle w:val="Hyperlink"/>
                <w:noProof/>
              </w:rPr>
              <w:t>References 6.17</w:t>
            </w:r>
            <w:r w:rsidR="00736DA9">
              <w:rPr>
                <w:noProof/>
                <w:webHidden/>
              </w:rPr>
              <w:tab/>
            </w:r>
            <w:r w:rsidR="00736DA9">
              <w:rPr>
                <w:noProof/>
                <w:webHidden/>
              </w:rPr>
              <w:fldChar w:fldCharType="begin"/>
            </w:r>
            <w:r w:rsidR="00736DA9">
              <w:rPr>
                <w:noProof/>
                <w:webHidden/>
              </w:rPr>
              <w:instrText xml:space="preserve"> PAGEREF _Toc162267231 \h </w:instrText>
            </w:r>
            <w:r w:rsidR="00736DA9">
              <w:rPr>
                <w:noProof/>
                <w:webHidden/>
              </w:rPr>
            </w:r>
            <w:r w:rsidR="00736DA9">
              <w:rPr>
                <w:noProof/>
                <w:webHidden/>
              </w:rPr>
              <w:fldChar w:fldCharType="separate"/>
            </w:r>
            <w:r w:rsidR="00736DA9">
              <w:rPr>
                <w:noProof/>
                <w:webHidden/>
              </w:rPr>
              <w:t>189</w:t>
            </w:r>
            <w:r w:rsidR="00736DA9">
              <w:rPr>
                <w:noProof/>
                <w:webHidden/>
              </w:rPr>
              <w:fldChar w:fldCharType="end"/>
            </w:r>
          </w:hyperlink>
        </w:p>
        <w:p w14:paraId="16CC0DFE" w14:textId="1BAEDFA2" w:rsidR="00736DA9" w:rsidRDefault="00000000">
          <w:pPr>
            <w:pStyle w:val="TOC3"/>
            <w:tabs>
              <w:tab w:val="right" w:pos="9350"/>
            </w:tabs>
            <w:rPr>
              <w:rFonts w:eastAsiaTheme="minorEastAsia" w:cstheme="minorBidi"/>
              <w:noProof/>
              <w:sz w:val="24"/>
              <w:szCs w:val="24"/>
            </w:rPr>
          </w:pPr>
          <w:hyperlink w:anchor="_Toc162267232" w:history="1">
            <w:r w:rsidR="00736DA9" w:rsidRPr="004372B1">
              <w:rPr>
                <w:rStyle w:val="Hyperlink"/>
                <w:noProof/>
              </w:rPr>
              <w:t>Dentists</w:t>
            </w:r>
            <w:r w:rsidR="00736DA9">
              <w:rPr>
                <w:noProof/>
                <w:webHidden/>
              </w:rPr>
              <w:tab/>
            </w:r>
            <w:r w:rsidR="00736DA9">
              <w:rPr>
                <w:noProof/>
                <w:webHidden/>
              </w:rPr>
              <w:fldChar w:fldCharType="begin"/>
            </w:r>
            <w:r w:rsidR="00736DA9">
              <w:rPr>
                <w:noProof/>
                <w:webHidden/>
              </w:rPr>
              <w:instrText xml:space="preserve"> PAGEREF _Toc162267232 \h </w:instrText>
            </w:r>
            <w:r w:rsidR="00736DA9">
              <w:rPr>
                <w:noProof/>
                <w:webHidden/>
              </w:rPr>
            </w:r>
            <w:r w:rsidR="00736DA9">
              <w:rPr>
                <w:noProof/>
                <w:webHidden/>
              </w:rPr>
              <w:fldChar w:fldCharType="separate"/>
            </w:r>
            <w:r w:rsidR="00736DA9">
              <w:rPr>
                <w:noProof/>
                <w:webHidden/>
              </w:rPr>
              <w:t>189</w:t>
            </w:r>
            <w:r w:rsidR="00736DA9">
              <w:rPr>
                <w:noProof/>
                <w:webHidden/>
              </w:rPr>
              <w:fldChar w:fldCharType="end"/>
            </w:r>
          </w:hyperlink>
        </w:p>
        <w:p w14:paraId="2D4185F8" w14:textId="7DB2DE26" w:rsidR="00736DA9" w:rsidRDefault="00000000">
          <w:pPr>
            <w:pStyle w:val="TOC4"/>
            <w:tabs>
              <w:tab w:val="right" w:pos="9350"/>
            </w:tabs>
            <w:rPr>
              <w:rFonts w:eastAsiaTheme="minorEastAsia" w:cstheme="minorBidi"/>
              <w:noProof/>
              <w:sz w:val="24"/>
              <w:szCs w:val="24"/>
            </w:rPr>
          </w:pPr>
          <w:hyperlink w:anchor="_Toc162267233" w:history="1">
            <w:r w:rsidR="00736DA9" w:rsidRPr="004372B1">
              <w:rPr>
                <w:rStyle w:val="Hyperlink"/>
                <w:noProof/>
              </w:rPr>
              <w:t>Figure 6.45: Dentists, by County.</w:t>
            </w:r>
            <w:r w:rsidR="00736DA9">
              <w:rPr>
                <w:noProof/>
                <w:webHidden/>
              </w:rPr>
              <w:tab/>
            </w:r>
            <w:r w:rsidR="00736DA9">
              <w:rPr>
                <w:noProof/>
                <w:webHidden/>
              </w:rPr>
              <w:fldChar w:fldCharType="begin"/>
            </w:r>
            <w:r w:rsidR="00736DA9">
              <w:rPr>
                <w:noProof/>
                <w:webHidden/>
              </w:rPr>
              <w:instrText xml:space="preserve"> PAGEREF _Toc162267233 \h </w:instrText>
            </w:r>
            <w:r w:rsidR="00736DA9">
              <w:rPr>
                <w:noProof/>
                <w:webHidden/>
              </w:rPr>
            </w:r>
            <w:r w:rsidR="00736DA9">
              <w:rPr>
                <w:noProof/>
                <w:webHidden/>
              </w:rPr>
              <w:fldChar w:fldCharType="separate"/>
            </w:r>
            <w:r w:rsidR="00736DA9">
              <w:rPr>
                <w:noProof/>
                <w:webHidden/>
              </w:rPr>
              <w:t>189</w:t>
            </w:r>
            <w:r w:rsidR="00736DA9">
              <w:rPr>
                <w:noProof/>
                <w:webHidden/>
              </w:rPr>
              <w:fldChar w:fldCharType="end"/>
            </w:r>
          </w:hyperlink>
        </w:p>
        <w:p w14:paraId="45BD3384" w14:textId="5ED1AAF4" w:rsidR="00736DA9" w:rsidRDefault="00000000">
          <w:pPr>
            <w:pStyle w:val="TOC4"/>
            <w:tabs>
              <w:tab w:val="right" w:pos="9350"/>
            </w:tabs>
            <w:rPr>
              <w:rFonts w:eastAsiaTheme="minorEastAsia" w:cstheme="minorBidi"/>
              <w:noProof/>
              <w:sz w:val="24"/>
              <w:szCs w:val="24"/>
            </w:rPr>
          </w:pPr>
          <w:hyperlink w:anchor="_Toc162267234" w:history="1">
            <w:r w:rsidR="00736DA9" w:rsidRPr="004372B1">
              <w:rPr>
                <w:rStyle w:val="Hyperlink"/>
                <w:noProof/>
              </w:rPr>
              <w:t>Figure 6.46: Dentists in South Carolina, by Rurality.</w:t>
            </w:r>
            <w:r w:rsidR="00736DA9">
              <w:rPr>
                <w:noProof/>
                <w:webHidden/>
              </w:rPr>
              <w:tab/>
            </w:r>
            <w:r w:rsidR="00736DA9">
              <w:rPr>
                <w:noProof/>
                <w:webHidden/>
              </w:rPr>
              <w:fldChar w:fldCharType="begin"/>
            </w:r>
            <w:r w:rsidR="00736DA9">
              <w:rPr>
                <w:noProof/>
                <w:webHidden/>
              </w:rPr>
              <w:instrText xml:space="preserve"> PAGEREF _Toc162267234 \h </w:instrText>
            </w:r>
            <w:r w:rsidR="00736DA9">
              <w:rPr>
                <w:noProof/>
                <w:webHidden/>
              </w:rPr>
            </w:r>
            <w:r w:rsidR="00736DA9">
              <w:rPr>
                <w:noProof/>
                <w:webHidden/>
              </w:rPr>
              <w:fldChar w:fldCharType="separate"/>
            </w:r>
            <w:r w:rsidR="00736DA9">
              <w:rPr>
                <w:noProof/>
                <w:webHidden/>
              </w:rPr>
              <w:t>191</w:t>
            </w:r>
            <w:r w:rsidR="00736DA9">
              <w:rPr>
                <w:noProof/>
                <w:webHidden/>
              </w:rPr>
              <w:fldChar w:fldCharType="end"/>
            </w:r>
          </w:hyperlink>
        </w:p>
        <w:p w14:paraId="066E202E" w14:textId="64466FFB" w:rsidR="00736DA9" w:rsidRDefault="00000000">
          <w:pPr>
            <w:pStyle w:val="TOC4"/>
            <w:tabs>
              <w:tab w:val="right" w:pos="9350"/>
            </w:tabs>
            <w:rPr>
              <w:rFonts w:eastAsiaTheme="minorEastAsia" w:cstheme="minorBidi"/>
              <w:noProof/>
              <w:sz w:val="24"/>
              <w:szCs w:val="24"/>
            </w:rPr>
          </w:pPr>
          <w:hyperlink w:anchor="_Toc162267235"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_Toc162267235 \h </w:instrText>
            </w:r>
            <w:r w:rsidR="00736DA9">
              <w:rPr>
                <w:noProof/>
                <w:webHidden/>
              </w:rPr>
            </w:r>
            <w:r w:rsidR="00736DA9">
              <w:rPr>
                <w:noProof/>
                <w:webHidden/>
              </w:rPr>
              <w:fldChar w:fldCharType="separate"/>
            </w:r>
            <w:r w:rsidR="00736DA9">
              <w:rPr>
                <w:noProof/>
                <w:webHidden/>
              </w:rPr>
              <w:t>191</w:t>
            </w:r>
            <w:r w:rsidR="00736DA9">
              <w:rPr>
                <w:noProof/>
                <w:webHidden/>
              </w:rPr>
              <w:fldChar w:fldCharType="end"/>
            </w:r>
          </w:hyperlink>
        </w:p>
        <w:p w14:paraId="49D5344A" w14:textId="1B0B424A" w:rsidR="00736DA9" w:rsidRDefault="00000000">
          <w:pPr>
            <w:pStyle w:val="TOC4"/>
            <w:tabs>
              <w:tab w:val="right" w:pos="9350"/>
            </w:tabs>
            <w:rPr>
              <w:rFonts w:eastAsiaTheme="minorEastAsia" w:cstheme="minorBidi"/>
              <w:noProof/>
              <w:sz w:val="24"/>
              <w:szCs w:val="24"/>
            </w:rPr>
          </w:pPr>
          <w:hyperlink w:anchor="_Toc162267236" w:history="1">
            <w:r w:rsidR="00736DA9" w:rsidRPr="004372B1">
              <w:rPr>
                <w:rStyle w:val="Hyperlink"/>
                <w:noProof/>
              </w:rPr>
              <w:t>References 6.18</w:t>
            </w:r>
            <w:r w:rsidR="00736DA9">
              <w:rPr>
                <w:noProof/>
                <w:webHidden/>
              </w:rPr>
              <w:tab/>
            </w:r>
            <w:r w:rsidR="00736DA9">
              <w:rPr>
                <w:noProof/>
                <w:webHidden/>
              </w:rPr>
              <w:fldChar w:fldCharType="begin"/>
            </w:r>
            <w:r w:rsidR="00736DA9">
              <w:rPr>
                <w:noProof/>
                <w:webHidden/>
              </w:rPr>
              <w:instrText xml:space="preserve"> PAGEREF _Toc162267236 \h </w:instrText>
            </w:r>
            <w:r w:rsidR="00736DA9">
              <w:rPr>
                <w:noProof/>
                <w:webHidden/>
              </w:rPr>
            </w:r>
            <w:r w:rsidR="00736DA9">
              <w:rPr>
                <w:noProof/>
                <w:webHidden/>
              </w:rPr>
              <w:fldChar w:fldCharType="separate"/>
            </w:r>
            <w:r w:rsidR="00736DA9">
              <w:rPr>
                <w:noProof/>
                <w:webHidden/>
              </w:rPr>
              <w:t>191</w:t>
            </w:r>
            <w:r w:rsidR="00736DA9">
              <w:rPr>
                <w:noProof/>
                <w:webHidden/>
              </w:rPr>
              <w:fldChar w:fldCharType="end"/>
            </w:r>
          </w:hyperlink>
        </w:p>
        <w:p w14:paraId="1343E1D6" w14:textId="17B42AF0" w:rsidR="00736DA9" w:rsidRDefault="00000000">
          <w:pPr>
            <w:pStyle w:val="TOC3"/>
            <w:tabs>
              <w:tab w:val="right" w:pos="9350"/>
            </w:tabs>
            <w:rPr>
              <w:rFonts w:eastAsiaTheme="minorEastAsia" w:cstheme="minorBidi"/>
              <w:noProof/>
              <w:sz w:val="24"/>
              <w:szCs w:val="24"/>
            </w:rPr>
          </w:pPr>
          <w:hyperlink w:anchor="_Toc162267237" w:history="1">
            <w:r w:rsidR="00736DA9" w:rsidRPr="004372B1">
              <w:rPr>
                <w:rStyle w:val="Hyperlink"/>
                <w:noProof/>
              </w:rPr>
              <w:t>Methicillin-resistant Staphylococcus aureus Bloodstream Infections</w:t>
            </w:r>
            <w:r w:rsidR="00736DA9">
              <w:rPr>
                <w:noProof/>
                <w:webHidden/>
              </w:rPr>
              <w:tab/>
            </w:r>
            <w:r w:rsidR="00736DA9">
              <w:rPr>
                <w:noProof/>
                <w:webHidden/>
              </w:rPr>
              <w:fldChar w:fldCharType="begin"/>
            </w:r>
            <w:r w:rsidR="00736DA9">
              <w:rPr>
                <w:noProof/>
                <w:webHidden/>
              </w:rPr>
              <w:instrText xml:space="preserve"> PAGEREF _Toc162267237 \h </w:instrText>
            </w:r>
            <w:r w:rsidR="00736DA9">
              <w:rPr>
                <w:noProof/>
                <w:webHidden/>
              </w:rPr>
            </w:r>
            <w:r w:rsidR="00736DA9">
              <w:rPr>
                <w:noProof/>
                <w:webHidden/>
              </w:rPr>
              <w:fldChar w:fldCharType="separate"/>
            </w:r>
            <w:r w:rsidR="00736DA9">
              <w:rPr>
                <w:noProof/>
                <w:webHidden/>
              </w:rPr>
              <w:t>192</w:t>
            </w:r>
            <w:r w:rsidR="00736DA9">
              <w:rPr>
                <w:noProof/>
                <w:webHidden/>
              </w:rPr>
              <w:fldChar w:fldCharType="end"/>
            </w:r>
          </w:hyperlink>
        </w:p>
        <w:p w14:paraId="2E3B9840" w14:textId="7F442873" w:rsidR="00736DA9" w:rsidRDefault="00000000">
          <w:pPr>
            <w:pStyle w:val="TOC4"/>
            <w:tabs>
              <w:tab w:val="right" w:pos="9350"/>
            </w:tabs>
            <w:rPr>
              <w:rFonts w:eastAsiaTheme="minorEastAsia" w:cstheme="minorBidi"/>
              <w:noProof/>
              <w:sz w:val="24"/>
              <w:szCs w:val="24"/>
            </w:rPr>
          </w:pPr>
          <w:hyperlink w:anchor="_Toc162267238" w:history="1">
            <w:r w:rsidR="00736DA9" w:rsidRPr="004372B1">
              <w:rPr>
                <w:rStyle w:val="Hyperlink"/>
                <w:noProof/>
              </w:rPr>
              <w:t>Figure 6.47: Hospital Onset Methicillin-resistant Staphylococcus aureus Bloodstream Infections.</w:t>
            </w:r>
            <w:r w:rsidR="00736DA9">
              <w:rPr>
                <w:noProof/>
                <w:webHidden/>
              </w:rPr>
              <w:tab/>
            </w:r>
            <w:r w:rsidR="00736DA9">
              <w:rPr>
                <w:noProof/>
                <w:webHidden/>
              </w:rPr>
              <w:fldChar w:fldCharType="begin"/>
            </w:r>
            <w:r w:rsidR="00736DA9">
              <w:rPr>
                <w:noProof/>
                <w:webHidden/>
              </w:rPr>
              <w:instrText xml:space="preserve"> PAGEREF _Toc162267238 \h </w:instrText>
            </w:r>
            <w:r w:rsidR="00736DA9">
              <w:rPr>
                <w:noProof/>
                <w:webHidden/>
              </w:rPr>
            </w:r>
            <w:r w:rsidR="00736DA9">
              <w:rPr>
                <w:noProof/>
                <w:webHidden/>
              </w:rPr>
              <w:fldChar w:fldCharType="separate"/>
            </w:r>
            <w:r w:rsidR="00736DA9">
              <w:rPr>
                <w:noProof/>
                <w:webHidden/>
              </w:rPr>
              <w:t>192</w:t>
            </w:r>
            <w:r w:rsidR="00736DA9">
              <w:rPr>
                <w:noProof/>
                <w:webHidden/>
              </w:rPr>
              <w:fldChar w:fldCharType="end"/>
            </w:r>
          </w:hyperlink>
        </w:p>
        <w:p w14:paraId="3F4C89FF" w14:textId="6DB6776F" w:rsidR="00736DA9" w:rsidRDefault="00000000">
          <w:pPr>
            <w:pStyle w:val="TOC4"/>
            <w:tabs>
              <w:tab w:val="right" w:pos="9350"/>
            </w:tabs>
            <w:rPr>
              <w:rFonts w:eastAsiaTheme="minorEastAsia" w:cstheme="minorBidi"/>
              <w:noProof/>
              <w:sz w:val="24"/>
              <w:szCs w:val="24"/>
            </w:rPr>
          </w:pPr>
          <w:hyperlink w:anchor="_Toc162267239"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_Toc162267239 \h </w:instrText>
            </w:r>
            <w:r w:rsidR="00736DA9">
              <w:rPr>
                <w:noProof/>
                <w:webHidden/>
              </w:rPr>
            </w:r>
            <w:r w:rsidR="00736DA9">
              <w:rPr>
                <w:noProof/>
                <w:webHidden/>
              </w:rPr>
              <w:fldChar w:fldCharType="separate"/>
            </w:r>
            <w:r w:rsidR="00736DA9">
              <w:rPr>
                <w:noProof/>
                <w:webHidden/>
              </w:rPr>
              <w:t>193</w:t>
            </w:r>
            <w:r w:rsidR="00736DA9">
              <w:rPr>
                <w:noProof/>
                <w:webHidden/>
              </w:rPr>
              <w:fldChar w:fldCharType="end"/>
            </w:r>
          </w:hyperlink>
        </w:p>
        <w:p w14:paraId="7656BEB2" w14:textId="31FFBABF" w:rsidR="00736DA9" w:rsidRDefault="00000000">
          <w:pPr>
            <w:pStyle w:val="TOC4"/>
            <w:tabs>
              <w:tab w:val="right" w:pos="9350"/>
            </w:tabs>
            <w:rPr>
              <w:rFonts w:eastAsiaTheme="minorEastAsia" w:cstheme="minorBidi"/>
              <w:noProof/>
              <w:sz w:val="24"/>
              <w:szCs w:val="24"/>
            </w:rPr>
          </w:pPr>
          <w:hyperlink w:anchor="_Toc162267240" w:history="1">
            <w:r w:rsidR="00736DA9" w:rsidRPr="004372B1">
              <w:rPr>
                <w:rStyle w:val="Hyperlink"/>
                <w:noProof/>
              </w:rPr>
              <w:t>References 6.19</w:t>
            </w:r>
            <w:r w:rsidR="00736DA9">
              <w:rPr>
                <w:noProof/>
                <w:webHidden/>
              </w:rPr>
              <w:tab/>
            </w:r>
            <w:r w:rsidR="00736DA9">
              <w:rPr>
                <w:noProof/>
                <w:webHidden/>
              </w:rPr>
              <w:fldChar w:fldCharType="begin"/>
            </w:r>
            <w:r w:rsidR="00736DA9">
              <w:rPr>
                <w:noProof/>
                <w:webHidden/>
              </w:rPr>
              <w:instrText xml:space="preserve"> PAGEREF _Toc162267240 \h </w:instrText>
            </w:r>
            <w:r w:rsidR="00736DA9">
              <w:rPr>
                <w:noProof/>
                <w:webHidden/>
              </w:rPr>
            </w:r>
            <w:r w:rsidR="00736DA9">
              <w:rPr>
                <w:noProof/>
                <w:webHidden/>
              </w:rPr>
              <w:fldChar w:fldCharType="separate"/>
            </w:r>
            <w:r w:rsidR="00736DA9">
              <w:rPr>
                <w:noProof/>
                <w:webHidden/>
              </w:rPr>
              <w:t>193</w:t>
            </w:r>
            <w:r w:rsidR="00736DA9">
              <w:rPr>
                <w:noProof/>
                <w:webHidden/>
              </w:rPr>
              <w:fldChar w:fldCharType="end"/>
            </w:r>
          </w:hyperlink>
        </w:p>
        <w:p w14:paraId="78DEA24E" w14:textId="736C15D1" w:rsidR="00736DA9" w:rsidRDefault="00000000">
          <w:pPr>
            <w:pStyle w:val="TOC3"/>
            <w:tabs>
              <w:tab w:val="right" w:pos="9350"/>
            </w:tabs>
            <w:rPr>
              <w:rFonts w:eastAsiaTheme="minorEastAsia" w:cstheme="minorBidi"/>
              <w:noProof/>
              <w:sz w:val="24"/>
              <w:szCs w:val="24"/>
            </w:rPr>
          </w:pPr>
          <w:hyperlink w:anchor="_Toc162267241" w:history="1">
            <w:r w:rsidR="00736DA9" w:rsidRPr="004372B1">
              <w:rPr>
                <w:rStyle w:val="Hyperlink"/>
                <w:noProof/>
              </w:rPr>
              <w:t>Hospital Onset Clostridioides difficile Infections</w:t>
            </w:r>
            <w:r w:rsidR="00736DA9">
              <w:rPr>
                <w:noProof/>
                <w:webHidden/>
              </w:rPr>
              <w:tab/>
            </w:r>
            <w:r w:rsidR="00736DA9">
              <w:rPr>
                <w:noProof/>
                <w:webHidden/>
              </w:rPr>
              <w:fldChar w:fldCharType="begin"/>
            </w:r>
            <w:r w:rsidR="00736DA9">
              <w:rPr>
                <w:noProof/>
                <w:webHidden/>
              </w:rPr>
              <w:instrText xml:space="preserve"> PAGEREF _Toc162267241 \h </w:instrText>
            </w:r>
            <w:r w:rsidR="00736DA9">
              <w:rPr>
                <w:noProof/>
                <w:webHidden/>
              </w:rPr>
            </w:r>
            <w:r w:rsidR="00736DA9">
              <w:rPr>
                <w:noProof/>
                <w:webHidden/>
              </w:rPr>
              <w:fldChar w:fldCharType="separate"/>
            </w:r>
            <w:r w:rsidR="00736DA9">
              <w:rPr>
                <w:noProof/>
                <w:webHidden/>
              </w:rPr>
              <w:t>193</w:t>
            </w:r>
            <w:r w:rsidR="00736DA9">
              <w:rPr>
                <w:noProof/>
                <w:webHidden/>
              </w:rPr>
              <w:fldChar w:fldCharType="end"/>
            </w:r>
          </w:hyperlink>
        </w:p>
        <w:p w14:paraId="10057CE8" w14:textId="17CC7B86" w:rsidR="00736DA9" w:rsidRDefault="00000000">
          <w:pPr>
            <w:pStyle w:val="TOC4"/>
            <w:tabs>
              <w:tab w:val="right" w:pos="9350"/>
            </w:tabs>
            <w:rPr>
              <w:rFonts w:eastAsiaTheme="minorEastAsia" w:cstheme="minorBidi"/>
              <w:noProof/>
              <w:sz w:val="24"/>
              <w:szCs w:val="24"/>
            </w:rPr>
          </w:pPr>
          <w:hyperlink w:anchor="_Toc162267242" w:history="1">
            <w:r w:rsidR="00736DA9" w:rsidRPr="004372B1">
              <w:rPr>
                <w:rStyle w:val="Hyperlink"/>
                <w:noProof/>
              </w:rPr>
              <w:t>Figure 6.48: Hospital Onset Clostridioides difficile Infections.</w:t>
            </w:r>
            <w:r w:rsidR="00736DA9">
              <w:rPr>
                <w:noProof/>
                <w:webHidden/>
              </w:rPr>
              <w:tab/>
            </w:r>
            <w:r w:rsidR="00736DA9">
              <w:rPr>
                <w:noProof/>
                <w:webHidden/>
              </w:rPr>
              <w:fldChar w:fldCharType="begin"/>
            </w:r>
            <w:r w:rsidR="00736DA9">
              <w:rPr>
                <w:noProof/>
                <w:webHidden/>
              </w:rPr>
              <w:instrText xml:space="preserve"> PAGEREF _Toc162267242 \h </w:instrText>
            </w:r>
            <w:r w:rsidR="00736DA9">
              <w:rPr>
                <w:noProof/>
                <w:webHidden/>
              </w:rPr>
            </w:r>
            <w:r w:rsidR="00736DA9">
              <w:rPr>
                <w:noProof/>
                <w:webHidden/>
              </w:rPr>
              <w:fldChar w:fldCharType="separate"/>
            </w:r>
            <w:r w:rsidR="00736DA9">
              <w:rPr>
                <w:noProof/>
                <w:webHidden/>
              </w:rPr>
              <w:t>194</w:t>
            </w:r>
            <w:r w:rsidR="00736DA9">
              <w:rPr>
                <w:noProof/>
                <w:webHidden/>
              </w:rPr>
              <w:fldChar w:fldCharType="end"/>
            </w:r>
          </w:hyperlink>
        </w:p>
        <w:p w14:paraId="3D95796B" w14:textId="21EC1EA0" w:rsidR="00736DA9" w:rsidRDefault="00000000">
          <w:pPr>
            <w:pStyle w:val="TOC4"/>
            <w:tabs>
              <w:tab w:val="right" w:pos="9350"/>
            </w:tabs>
            <w:rPr>
              <w:rFonts w:eastAsiaTheme="minorEastAsia" w:cstheme="minorBidi"/>
              <w:noProof/>
              <w:sz w:val="24"/>
              <w:szCs w:val="24"/>
            </w:rPr>
          </w:pPr>
          <w:hyperlink w:anchor="_Toc162267243"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_Toc162267243 \h </w:instrText>
            </w:r>
            <w:r w:rsidR="00736DA9">
              <w:rPr>
                <w:noProof/>
                <w:webHidden/>
              </w:rPr>
            </w:r>
            <w:r w:rsidR="00736DA9">
              <w:rPr>
                <w:noProof/>
                <w:webHidden/>
              </w:rPr>
              <w:fldChar w:fldCharType="separate"/>
            </w:r>
            <w:r w:rsidR="00736DA9">
              <w:rPr>
                <w:noProof/>
                <w:webHidden/>
              </w:rPr>
              <w:t>194</w:t>
            </w:r>
            <w:r w:rsidR="00736DA9">
              <w:rPr>
                <w:noProof/>
                <w:webHidden/>
              </w:rPr>
              <w:fldChar w:fldCharType="end"/>
            </w:r>
          </w:hyperlink>
        </w:p>
        <w:p w14:paraId="2A5FCCFF" w14:textId="5130368C" w:rsidR="00736DA9" w:rsidRDefault="00000000">
          <w:pPr>
            <w:pStyle w:val="TOC4"/>
            <w:tabs>
              <w:tab w:val="right" w:pos="9350"/>
            </w:tabs>
            <w:rPr>
              <w:rFonts w:eastAsiaTheme="minorEastAsia" w:cstheme="minorBidi"/>
              <w:noProof/>
              <w:sz w:val="24"/>
              <w:szCs w:val="24"/>
            </w:rPr>
          </w:pPr>
          <w:hyperlink w:anchor="_Toc162267244" w:history="1">
            <w:r w:rsidR="00736DA9" w:rsidRPr="004372B1">
              <w:rPr>
                <w:rStyle w:val="Hyperlink"/>
                <w:noProof/>
              </w:rPr>
              <w:t>References 6.20</w:t>
            </w:r>
            <w:r w:rsidR="00736DA9">
              <w:rPr>
                <w:noProof/>
                <w:webHidden/>
              </w:rPr>
              <w:tab/>
            </w:r>
            <w:r w:rsidR="00736DA9">
              <w:rPr>
                <w:noProof/>
                <w:webHidden/>
              </w:rPr>
              <w:fldChar w:fldCharType="begin"/>
            </w:r>
            <w:r w:rsidR="00736DA9">
              <w:rPr>
                <w:noProof/>
                <w:webHidden/>
              </w:rPr>
              <w:instrText xml:space="preserve"> PAGEREF _Toc162267244 \h </w:instrText>
            </w:r>
            <w:r w:rsidR="00736DA9">
              <w:rPr>
                <w:noProof/>
                <w:webHidden/>
              </w:rPr>
            </w:r>
            <w:r w:rsidR="00736DA9">
              <w:rPr>
                <w:noProof/>
                <w:webHidden/>
              </w:rPr>
              <w:fldChar w:fldCharType="separate"/>
            </w:r>
            <w:r w:rsidR="00736DA9">
              <w:rPr>
                <w:noProof/>
                <w:webHidden/>
              </w:rPr>
              <w:t>195</w:t>
            </w:r>
            <w:r w:rsidR="00736DA9">
              <w:rPr>
                <w:noProof/>
                <w:webHidden/>
              </w:rPr>
              <w:fldChar w:fldCharType="end"/>
            </w:r>
          </w:hyperlink>
        </w:p>
        <w:p w14:paraId="38482549" w14:textId="3ACC2792" w:rsidR="00736DA9" w:rsidRDefault="00000000">
          <w:pPr>
            <w:pStyle w:val="TOC3"/>
            <w:tabs>
              <w:tab w:val="right" w:pos="9350"/>
            </w:tabs>
            <w:rPr>
              <w:rFonts w:eastAsiaTheme="minorEastAsia" w:cstheme="minorBidi"/>
              <w:noProof/>
              <w:sz w:val="24"/>
              <w:szCs w:val="24"/>
            </w:rPr>
          </w:pPr>
          <w:hyperlink w:anchor="_Toc162267245" w:history="1">
            <w:r w:rsidR="00736DA9" w:rsidRPr="004372B1">
              <w:rPr>
                <w:rStyle w:val="Hyperlink"/>
                <w:noProof/>
              </w:rPr>
              <w:t>COVID-19</w:t>
            </w:r>
            <w:r w:rsidR="00736DA9">
              <w:rPr>
                <w:noProof/>
                <w:webHidden/>
              </w:rPr>
              <w:tab/>
            </w:r>
            <w:r w:rsidR="00736DA9">
              <w:rPr>
                <w:noProof/>
                <w:webHidden/>
              </w:rPr>
              <w:fldChar w:fldCharType="begin"/>
            </w:r>
            <w:r w:rsidR="00736DA9">
              <w:rPr>
                <w:noProof/>
                <w:webHidden/>
              </w:rPr>
              <w:instrText xml:space="preserve"> PAGEREF _Toc162267245 \h </w:instrText>
            </w:r>
            <w:r w:rsidR="00736DA9">
              <w:rPr>
                <w:noProof/>
                <w:webHidden/>
              </w:rPr>
            </w:r>
            <w:r w:rsidR="00736DA9">
              <w:rPr>
                <w:noProof/>
                <w:webHidden/>
              </w:rPr>
              <w:fldChar w:fldCharType="separate"/>
            </w:r>
            <w:r w:rsidR="00736DA9">
              <w:rPr>
                <w:noProof/>
                <w:webHidden/>
              </w:rPr>
              <w:t>195</w:t>
            </w:r>
            <w:r w:rsidR="00736DA9">
              <w:rPr>
                <w:noProof/>
                <w:webHidden/>
              </w:rPr>
              <w:fldChar w:fldCharType="end"/>
            </w:r>
          </w:hyperlink>
        </w:p>
        <w:p w14:paraId="42CB2268" w14:textId="4EBEAC30" w:rsidR="00736DA9" w:rsidRDefault="00000000">
          <w:pPr>
            <w:pStyle w:val="TOC4"/>
            <w:tabs>
              <w:tab w:val="right" w:pos="9350"/>
            </w:tabs>
            <w:rPr>
              <w:rFonts w:eastAsiaTheme="minorEastAsia" w:cstheme="minorBidi"/>
              <w:noProof/>
              <w:sz w:val="24"/>
              <w:szCs w:val="24"/>
            </w:rPr>
          </w:pPr>
          <w:hyperlink w:anchor="_Toc162267246" w:history="1">
            <w:r w:rsidR="00736DA9" w:rsidRPr="004372B1">
              <w:rPr>
                <w:rStyle w:val="Hyperlink"/>
                <w:noProof/>
              </w:rPr>
              <w:t>Figure 6.49: COVID-19 Cases, by Sex in South Carolina.</w:t>
            </w:r>
            <w:r w:rsidR="00736DA9">
              <w:rPr>
                <w:noProof/>
                <w:webHidden/>
              </w:rPr>
              <w:tab/>
            </w:r>
            <w:r w:rsidR="00736DA9">
              <w:rPr>
                <w:noProof/>
                <w:webHidden/>
              </w:rPr>
              <w:fldChar w:fldCharType="begin"/>
            </w:r>
            <w:r w:rsidR="00736DA9">
              <w:rPr>
                <w:noProof/>
                <w:webHidden/>
              </w:rPr>
              <w:instrText xml:space="preserve"> PAGEREF _Toc162267246 \h </w:instrText>
            </w:r>
            <w:r w:rsidR="00736DA9">
              <w:rPr>
                <w:noProof/>
                <w:webHidden/>
              </w:rPr>
            </w:r>
            <w:r w:rsidR="00736DA9">
              <w:rPr>
                <w:noProof/>
                <w:webHidden/>
              </w:rPr>
              <w:fldChar w:fldCharType="separate"/>
            </w:r>
            <w:r w:rsidR="00736DA9">
              <w:rPr>
                <w:noProof/>
                <w:webHidden/>
              </w:rPr>
              <w:t>196</w:t>
            </w:r>
            <w:r w:rsidR="00736DA9">
              <w:rPr>
                <w:noProof/>
                <w:webHidden/>
              </w:rPr>
              <w:fldChar w:fldCharType="end"/>
            </w:r>
          </w:hyperlink>
        </w:p>
        <w:p w14:paraId="05F3D52A" w14:textId="51E870DE" w:rsidR="00736DA9" w:rsidRDefault="00000000">
          <w:pPr>
            <w:pStyle w:val="TOC4"/>
            <w:tabs>
              <w:tab w:val="right" w:pos="9350"/>
            </w:tabs>
            <w:rPr>
              <w:rFonts w:eastAsiaTheme="minorEastAsia" w:cstheme="minorBidi"/>
              <w:noProof/>
              <w:sz w:val="24"/>
              <w:szCs w:val="24"/>
            </w:rPr>
          </w:pPr>
          <w:hyperlink w:anchor="_Toc162267247" w:history="1">
            <w:r w:rsidR="00736DA9" w:rsidRPr="004372B1">
              <w:rPr>
                <w:rStyle w:val="Hyperlink"/>
                <w:noProof/>
              </w:rPr>
              <w:t>Figure 6.50: COVID-19 Cases, by Race in South Carolina.</w:t>
            </w:r>
            <w:r w:rsidR="00736DA9">
              <w:rPr>
                <w:noProof/>
                <w:webHidden/>
              </w:rPr>
              <w:tab/>
            </w:r>
            <w:r w:rsidR="00736DA9">
              <w:rPr>
                <w:noProof/>
                <w:webHidden/>
              </w:rPr>
              <w:fldChar w:fldCharType="begin"/>
            </w:r>
            <w:r w:rsidR="00736DA9">
              <w:rPr>
                <w:noProof/>
                <w:webHidden/>
              </w:rPr>
              <w:instrText xml:space="preserve"> PAGEREF _Toc162267247 \h </w:instrText>
            </w:r>
            <w:r w:rsidR="00736DA9">
              <w:rPr>
                <w:noProof/>
                <w:webHidden/>
              </w:rPr>
            </w:r>
            <w:r w:rsidR="00736DA9">
              <w:rPr>
                <w:noProof/>
                <w:webHidden/>
              </w:rPr>
              <w:fldChar w:fldCharType="separate"/>
            </w:r>
            <w:r w:rsidR="00736DA9">
              <w:rPr>
                <w:noProof/>
                <w:webHidden/>
              </w:rPr>
              <w:t>200</w:t>
            </w:r>
            <w:r w:rsidR="00736DA9">
              <w:rPr>
                <w:noProof/>
                <w:webHidden/>
              </w:rPr>
              <w:fldChar w:fldCharType="end"/>
            </w:r>
          </w:hyperlink>
        </w:p>
        <w:p w14:paraId="76455684" w14:textId="4B72CC24" w:rsidR="00736DA9" w:rsidRDefault="00000000">
          <w:pPr>
            <w:pStyle w:val="TOC4"/>
            <w:tabs>
              <w:tab w:val="right" w:pos="9350"/>
            </w:tabs>
            <w:rPr>
              <w:rFonts w:eastAsiaTheme="minorEastAsia" w:cstheme="minorBidi"/>
              <w:noProof/>
              <w:sz w:val="24"/>
              <w:szCs w:val="24"/>
            </w:rPr>
          </w:pPr>
          <w:hyperlink w:anchor="_Toc162267248" w:history="1">
            <w:r w:rsidR="00736DA9" w:rsidRPr="004372B1">
              <w:rPr>
                <w:rStyle w:val="Hyperlink"/>
                <w:noProof/>
              </w:rPr>
              <w:t>Figure 6.51: Fully Vaccinated Individuals, by Race in South Carolina.</w:t>
            </w:r>
            <w:r w:rsidR="00736DA9">
              <w:rPr>
                <w:noProof/>
                <w:webHidden/>
              </w:rPr>
              <w:tab/>
            </w:r>
            <w:r w:rsidR="00736DA9">
              <w:rPr>
                <w:noProof/>
                <w:webHidden/>
              </w:rPr>
              <w:fldChar w:fldCharType="begin"/>
            </w:r>
            <w:r w:rsidR="00736DA9">
              <w:rPr>
                <w:noProof/>
                <w:webHidden/>
              </w:rPr>
              <w:instrText xml:space="preserve"> PAGEREF _Toc162267248 \h </w:instrText>
            </w:r>
            <w:r w:rsidR="00736DA9">
              <w:rPr>
                <w:noProof/>
                <w:webHidden/>
              </w:rPr>
            </w:r>
            <w:r w:rsidR="00736DA9">
              <w:rPr>
                <w:noProof/>
                <w:webHidden/>
              </w:rPr>
              <w:fldChar w:fldCharType="separate"/>
            </w:r>
            <w:r w:rsidR="00736DA9">
              <w:rPr>
                <w:noProof/>
                <w:webHidden/>
              </w:rPr>
              <w:t>204</w:t>
            </w:r>
            <w:r w:rsidR="00736DA9">
              <w:rPr>
                <w:noProof/>
                <w:webHidden/>
              </w:rPr>
              <w:fldChar w:fldCharType="end"/>
            </w:r>
          </w:hyperlink>
        </w:p>
        <w:p w14:paraId="5D14F0E0" w14:textId="0FBC47F8" w:rsidR="00736DA9" w:rsidRDefault="00000000">
          <w:pPr>
            <w:pStyle w:val="TOC4"/>
            <w:tabs>
              <w:tab w:val="right" w:pos="9350"/>
            </w:tabs>
            <w:rPr>
              <w:rFonts w:eastAsiaTheme="minorEastAsia" w:cstheme="minorBidi"/>
              <w:noProof/>
              <w:sz w:val="24"/>
              <w:szCs w:val="24"/>
            </w:rPr>
          </w:pPr>
          <w:hyperlink w:anchor="_Toc162267249" w:history="1">
            <w:r w:rsidR="00736DA9" w:rsidRPr="004372B1">
              <w:rPr>
                <w:rStyle w:val="Hyperlink"/>
                <w:noProof/>
              </w:rPr>
              <w:t>Figure 6.52: Deaths, by Age Group in South Carolina.</w:t>
            </w:r>
            <w:r w:rsidR="00736DA9">
              <w:rPr>
                <w:noProof/>
                <w:webHidden/>
              </w:rPr>
              <w:tab/>
            </w:r>
            <w:r w:rsidR="00736DA9">
              <w:rPr>
                <w:noProof/>
                <w:webHidden/>
              </w:rPr>
              <w:fldChar w:fldCharType="begin"/>
            </w:r>
            <w:r w:rsidR="00736DA9">
              <w:rPr>
                <w:noProof/>
                <w:webHidden/>
              </w:rPr>
              <w:instrText xml:space="preserve"> PAGEREF _Toc162267249 \h </w:instrText>
            </w:r>
            <w:r w:rsidR="00736DA9">
              <w:rPr>
                <w:noProof/>
                <w:webHidden/>
              </w:rPr>
            </w:r>
            <w:r w:rsidR="00736DA9">
              <w:rPr>
                <w:noProof/>
                <w:webHidden/>
              </w:rPr>
              <w:fldChar w:fldCharType="separate"/>
            </w:r>
            <w:r w:rsidR="00736DA9">
              <w:rPr>
                <w:noProof/>
                <w:webHidden/>
              </w:rPr>
              <w:t>206</w:t>
            </w:r>
            <w:r w:rsidR="00736DA9">
              <w:rPr>
                <w:noProof/>
                <w:webHidden/>
              </w:rPr>
              <w:fldChar w:fldCharType="end"/>
            </w:r>
          </w:hyperlink>
        </w:p>
        <w:p w14:paraId="0769A303" w14:textId="28E6D45C" w:rsidR="00736DA9" w:rsidRDefault="00000000">
          <w:pPr>
            <w:pStyle w:val="TOC4"/>
            <w:tabs>
              <w:tab w:val="right" w:pos="9350"/>
            </w:tabs>
            <w:rPr>
              <w:rFonts w:eastAsiaTheme="minorEastAsia" w:cstheme="minorBidi"/>
              <w:noProof/>
              <w:sz w:val="24"/>
              <w:szCs w:val="24"/>
            </w:rPr>
          </w:pPr>
          <w:hyperlink w:anchor="_Toc162267250" w:history="1">
            <w:r w:rsidR="00736DA9" w:rsidRPr="004372B1">
              <w:rPr>
                <w:rStyle w:val="Hyperlink"/>
                <w:noProof/>
              </w:rPr>
              <w:t>Figure 6.53: COVID-19 Patients Hospitalized and Ventilated, by Week.</w:t>
            </w:r>
            <w:r w:rsidR="00736DA9">
              <w:rPr>
                <w:noProof/>
                <w:webHidden/>
              </w:rPr>
              <w:tab/>
            </w:r>
            <w:r w:rsidR="00736DA9">
              <w:rPr>
                <w:noProof/>
                <w:webHidden/>
              </w:rPr>
              <w:fldChar w:fldCharType="begin"/>
            </w:r>
            <w:r w:rsidR="00736DA9">
              <w:rPr>
                <w:noProof/>
                <w:webHidden/>
              </w:rPr>
              <w:instrText xml:space="preserve"> PAGEREF _Toc162267250 \h </w:instrText>
            </w:r>
            <w:r w:rsidR="00736DA9">
              <w:rPr>
                <w:noProof/>
                <w:webHidden/>
              </w:rPr>
            </w:r>
            <w:r w:rsidR="00736DA9">
              <w:rPr>
                <w:noProof/>
                <w:webHidden/>
              </w:rPr>
              <w:fldChar w:fldCharType="separate"/>
            </w:r>
            <w:r w:rsidR="00736DA9">
              <w:rPr>
                <w:noProof/>
                <w:webHidden/>
              </w:rPr>
              <w:t>210</w:t>
            </w:r>
            <w:r w:rsidR="00736DA9">
              <w:rPr>
                <w:noProof/>
                <w:webHidden/>
              </w:rPr>
              <w:fldChar w:fldCharType="end"/>
            </w:r>
          </w:hyperlink>
        </w:p>
        <w:p w14:paraId="7A9F5133" w14:textId="466C58A6" w:rsidR="00736DA9" w:rsidRDefault="00000000">
          <w:pPr>
            <w:pStyle w:val="TOC4"/>
            <w:tabs>
              <w:tab w:val="right" w:pos="9350"/>
            </w:tabs>
            <w:rPr>
              <w:rFonts w:eastAsiaTheme="minorEastAsia" w:cstheme="minorBidi"/>
              <w:noProof/>
              <w:sz w:val="24"/>
              <w:szCs w:val="24"/>
            </w:rPr>
          </w:pPr>
          <w:hyperlink w:anchor="_Toc162267251" w:history="1">
            <w:r w:rsidR="00736DA9" w:rsidRPr="004372B1">
              <w:rPr>
                <w:rStyle w:val="Hyperlink"/>
                <w:noProof/>
              </w:rPr>
              <w:t>Figure 6.54: Frequently Reported Comorbities with COVID-19.</w:t>
            </w:r>
            <w:r w:rsidR="00736DA9">
              <w:rPr>
                <w:noProof/>
                <w:webHidden/>
              </w:rPr>
              <w:tab/>
            </w:r>
            <w:r w:rsidR="00736DA9">
              <w:rPr>
                <w:noProof/>
                <w:webHidden/>
              </w:rPr>
              <w:fldChar w:fldCharType="begin"/>
            </w:r>
            <w:r w:rsidR="00736DA9">
              <w:rPr>
                <w:noProof/>
                <w:webHidden/>
              </w:rPr>
              <w:instrText xml:space="preserve"> PAGEREF _Toc162267251 \h </w:instrText>
            </w:r>
            <w:r w:rsidR="00736DA9">
              <w:rPr>
                <w:noProof/>
                <w:webHidden/>
              </w:rPr>
            </w:r>
            <w:r w:rsidR="00736DA9">
              <w:rPr>
                <w:noProof/>
                <w:webHidden/>
              </w:rPr>
              <w:fldChar w:fldCharType="separate"/>
            </w:r>
            <w:r w:rsidR="00736DA9">
              <w:rPr>
                <w:noProof/>
                <w:webHidden/>
              </w:rPr>
              <w:t>214</w:t>
            </w:r>
            <w:r w:rsidR="00736DA9">
              <w:rPr>
                <w:noProof/>
                <w:webHidden/>
              </w:rPr>
              <w:fldChar w:fldCharType="end"/>
            </w:r>
          </w:hyperlink>
        </w:p>
        <w:p w14:paraId="4CFB0AB0" w14:textId="7AA96DBE" w:rsidR="00736DA9" w:rsidRDefault="00000000">
          <w:pPr>
            <w:pStyle w:val="TOC4"/>
            <w:tabs>
              <w:tab w:val="right" w:pos="9350"/>
            </w:tabs>
            <w:rPr>
              <w:rFonts w:eastAsiaTheme="minorEastAsia" w:cstheme="minorBidi"/>
              <w:noProof/>
              <w:sz w:val="24"/>
              <w:szCs w:val="24"/>
            </w:rPr>
          </w:pPr>
          <w:hyperlink w:anchor="_Toc162267252"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_Toc162267252 \h </w:instrText>
            </w:r>
            <w:r w:rsidR="00736DA9">
              <w:rPr>
                <w:noProof/>
                <w:webHidden/>
              </w:rPr>
            </w:r>
            <w:r w:rsidR="00736DA9">
              <w:rPr>
                <w:noProof/>
                <w:webHidden/>
              </w:rPr>
              <w:fldChar w:fldCharType="separate"/>
            </w:r>
            <w:r w:rsidR="00736DA9">
              <w:rPr>
                <w:noProof/>
                <w:webHidden/>
              </w:rPr>
              <w:t>214</w:t>
            </w:r>
            <w:r w:rsidR="00736DA9">
              <w:rPr>
                <w:noProof/>
                <w:webHidden/>
              </w:rPr>
              <w:fldChar w:fldCharType="end"/>
            </w:r>
          </w:hyperlink>
        </w:p>
        <w:p w14:paraId="55D5D0D6" w14:textId="32E6756D" w:rsidR="00736DA9" w:rsidRDefault="00000000">
          <w:pPr>
            <w:pStyle w:val="TOC4"/>
            <w:tabs>
              <w:tab w:val="right" w:pos="9350"/>
            </w:tabs>
            <w:rPr>
              <w:rFonts w:eastAsiaTheme="minorEastAsia" w:cstheme="minorBidi"/>
              <w:noProof/>
              <w:sz w:val="24"/>
              <w:szCs w:val="24"/>
            </w:rPr>
          </w:pPr>
          <w:hyperlink w:anchor="_Toc162267253" w:history="1">
            <w:r w:rsidR="00736DA9" w:rsidRPr="004372B1">
              <w:rPr>
                <w:rStyle w:val="Hyperlink"/>
                <w:noProof/>
              </w:rPr>
              <w:t>References 6.21</w:t>
            </w:r>
            <w:r w:rsidR="00736DA9">
              <w:rPr>
                <w:noProof/>
                <w:webHidden/>
              </w:rPr>
              <w:tab/>
            </w:r>
            <w:r w:rsidR="00736DA9">
              <w:rPr>
                <w:noProof/>
                <w:webHidden/>
              </w:rPr>
              <w:fldChar w:fldCharType="begin"/>
            </w:r>
            <w:r w:rsidR="00736DA9">
              <w:rPr>
                <w:noProof/>
                <w:webHidden/>
              </w:rPr>
              <w:instrText xml:space="preserve"> PAGEREF _Toc162267253 \h </w:instrText>
            </w:r>
            <w:r w:rsidR="00736DA9">
              <w:rPr>
                <w:noProof/>
                <w:webHidden/>
              </w:rPr>
            </w:r>
            <w:r w:rsidR="00736DA9">
              <w:rPr>
                <w:noProof/>
                <w:webHidden/>
              </w:rPr>
              <w:fldChar w:fldCharType="separate"/>
            </w:r>
            <w:r w:rsidR="00736DA9">
              <w:rPr>
                <w:noProof/>
                <w:webHidden/>
              </w:rPr>
              <w:t>216</w:t>
            </w:r>
            <w:r w:rsidR="00736DA9">
              <w:rPr>
                <w:noProof/>
                <w:webHidden/>
              </w:rPr>
              <w:fldChar w:fldCharType="end"/>
            </w:r>
          </w:hyperlink>
        </w:p>
        <w:p w14:paraId="06B985DA" w14:textId="33C652D6" w:rsidR="00736DA9" w:rsidRDefault="00000000">
          <w:pPr>
            <w:pStyle w:val="TOC2"/>
            <w:tabs>
              <w:tab w:val="right" w:pos="9350"/>
            </w:tabs>
            <w:rPr>
              <w:rFonts w:eastAsiaTheme="minorEastAsia" w:cstheme="minorBidi"/>
              <w:b w:val="0"/>
              <w:bCs w:val="0"/>
              <w:noProof/>
              <w:sz w:val="24"/>
              <w:szCs w:val="24"/>
            </w:rPr>
          </w:pPr>
          <w:hyperlink w:anchor="_Toc162267254" w:history="1">
            <w:r w:rsidR="00736DA9" w:rsidRPr="004372B1">
              <w:rPr>
                <w:rStyle w:val="Hyperlink"/>
                <w:noProof/>
              </w:rPr>
              <w:t>Chapter 7: Healthy Mothers and Infants</w:t>
            </w:r>
            <w:r w:rsidR="00736DA9">
              <w:rPr>
                <w:noProof/>
                <w:webHidden/>
              </w:rPr>
              <w:tab/>
            </w:r>
            <w:r w:rsidR="00736DA9">
              <w:rPr>
                <w:noProof/>
                <w:webHidden/>
              </w:rPr>
              <w:fldChar w:fldCharType="begin"/>
            </w:r>
            <w:r w:rsidR="00736DA9">
              <w:rPr>
                <w:noProof/>
                <w:webHidden/>
              </w:rPr>
              <w:instrText xml:space="preserve"> PAGEREF _Toc162267254 \h </w:instrText>
            </w:r>
            <w:r w:rsidR="00736DA9">
              <w:rPr>
                <w:noProof/>
                <w:webHidden/>
              </w:rPr>
            </w:r>
            <w:r w:rsidR="00736DA9">
              <w:rPr>
                <w:noProof/>
                <w:webHidden/>
              </w:rPr>
              <w:fldChar w:fldCharType="separate"/>
            </w:r>
            <w:r w:rsidR="00736DA9">
              <w:rPr>
                <w:noProof/>
                <w:webHidden/>
              </w:rPr>
              <w:t>217</w:t>
            </w:r>
            <w:r w:rsidR="00736DA9">
              <w:rPr>
                <w:noProof/>
                <w:webHidden/>
              </w:rPr>
              <w:fldChar w:fldCharType="end"/>
            </w:r>
          </w:hyperlink>
        </w:p>
        <w:p w14:paraId="1650A316" w14:textId="45D658F6" w:rsidR="00736DA9" w:rsidRDefault="00000000">
          <w:pPr>
            <w:pStyle w:val="TOC3"/>
            <w:tabs>
              <w:tab w:val="right" w:pos="9350"/>
            </w:tabs>
            <w:rPr>
              <w:rFonts w:eastAsiaTheme="minorEastAsia" w:cstheme="minorBidi"/>
              <w:noProof/>
              <w:sz w:val="24"/>
              <w:szCs w:val="24"/>
            </w:rPr>
          </w:pPr>
          <w:hyperlink w:anchor="_Toc162267255" w:history="1">
            <w:r w:rsidR="00736DA9" w:rsidRPr="004372B1">
              <w:rPr>
                <w:rStyle w:val="Hyperlink"/>
                <w:noProof/>
              </w:rPr>
              <w:t>Infant Mortality</w:t>
            </w:r>
            <w:r w:rsidR="00736DA9">
              <w:rPr>
                <w:noProof/>
                <w:webHidden/>
              </w:rPr>
              <w:tab/>
            </w:r>
            <w:r w:rsidR="00736DA9">
              <w:rPr>
                <w:noProof/>
                <w:webHidden/>
              </w:rPr>
              <w:fldChar w:fldCharType="begin"/>
            </w:r>
            <w:r w:rsidR="00736DA9">
              <w:rPr>
                <w:noProof/>
                <w:webHidden/>
              </w:rPr>
              <w:instrText xml:space="preserve"> PAGEREF _Toc162267255 \h </w:instrText>
            </w:r>
            <w:r w:rsidR="00736DA9">
              <w:rPr>
                <w:noProof/>
                <w:webHidden/>
              </w:rPr>
            </w:r>
            <w:r w:rsidR="00736DA9">
              <w:rPr>
                <w:noProof/>
                <w:webHidden/>
              </w:rPr>
              <w:fldChar w:fldCharType="separate"/>
            </w:r>
            <w:r w:rsidR="00736DA9">
              <w:rPr>
                <w:noProof/>
                <w:webHidden/>
              </w:rPr>
              <w:t>217</w:t>
            </w:r>
            <w:r w:rsidR="00736DA9">
              <w:rPr>
                <w:noProof/>
                <w:webHidden/>
              </w:rPr>
              <w:fldChar w:fldCharType="end"/>
            </w:r>
          </w:hyperlink>
        </w:p>
        <w:p w14:paraId="2E8D40E2" w14:textId="79FD96FA" w:rsidR="00736DA9" w:rsidRDefault="00000000">
          <w:pPr>
            <w:pStyle w:val="TOC4"/>
            <w:tabs>
              <w:tab w:val="right" w:pos="9350"/>
            </w:tabs>
            <w:rPr>
              <w:rFonts w:eastAsiaTheme="minorEastAsia" w:cstheme="minorBidi"/>
              <w:noProof/>
              <w:sz w:val="24"/>
              <w:szCs w:val="24"/>
            </w:rPr>
          </w:pPr>
          <w:hyperlink w:anchor="_Toc162267256" w:history="1">
            <w:r w:rsidR="00736DA9" w:rsidRPr="004372B1">
              <w:rPr>
                <w:rStyle w:val="Hyperlink"/>
                <w:noProof/>
              </w:rPr>
              <w:t>Figure 7.1: Infant Mortality, by Maternal Race/Ethnicity.</w:t>
            </w:r>
            <w:r w:rsidR="00736DA9">
              <w:rPr>
                <w:noProof/>
                <w:webHidden/>
              </w:rPr>
              <w:tab/>
            </w:r>
            <w:r w:rsidR="00736DA9">
              <w:rPr>
                <w:noProof/>
                <w:webHidden/>
              </w:rPr>
              <w:fldChar w:fldCharType="begin"/>
            </w:r>
            <w:r w:rsidR="00736DA9">
              <w:rPr>
                <w:noProof/>
                <w:webHidden/>
              </w:rPr>
              <w:instrText xml:space="preserve"> PAGEREF _Toc162267256 \h </w:instrText>
            </w:r>
            <w:r w:rsidR="00736DA9">
              <w:rPr>
                <w:noProof/>
                <w:webHidden/>
              </w:rPr>
            </w:r>
            <w:r w:rsidR="00736DA9">
              <w:rPr>
                <w:noProof/>
                <w:webHidden/>
              </w:rPr>
              <w:fldChar w:fldCharType="separate"/>
            </w:r>
            <w:r w:rsidR="00736DA9">
              <w:rPr>
                <w:noProof/>
                <w:webHidden/>
              </w:rPr>
              <w:t>217</w:t>
            </w:r>
            <w:r w:rsidR="00736DA9">
              <w:rPr>
                <w:noProof/>
                <w:webHidden/>
              </w:rPr>
              <w:fldChar w:fldCharType="end"/>
            </w:r>
          </w:hyperlink>
        </w:p>
        <w:p w14:paraId="7BFEF949" w14:textId="5FE78A07" w:rsidR="00736DA9" w:rsidRDefault="00000000">
          <w:pPr>
            <w:pStyle w:val="TOC4"/>
            <w:tabs>
              <w:tab w:val="right" w:pos="9350"/>
            </w:tabs>
            <w:rPr>
              <w:rFonts w:eastAsiaTheme="minorEastAsia" w:cstheme="minorBidi"/>
              <w:noProof/>
              <w:sz w:val="24"/>
              <w:szCs w:val="24"/>
            </w:rPr>
          </w:pPr>
          <w:hyperlink w:anchor="_Toc162267257" w:history="1">
            <w:r w:rsidR="00736DA9" w:rsidRPr="004372B1">
              <w:rPr>
                <w:rStyle w:val="Hyperlink"/>
                <w:noProof/>
              </w:rPr>
              <w:t>Figure 7.2: Infant Mortality, by Age at Death.</w:t>
            </w:r>
            <w:r w:rsidR="00736DA9">
              <w:rPr>
                <w:noProof/>
                <w:webHidden/>
              </w:rPr>
              <w:tab/>
            </w:r>
            <w:r w:rsidR="00736DA9">
              <w:rPr>
                <w:noProof/>
                <w:webHidden/>
              </w:rPr>
              <w:fldChar w:fldCharType="begin"/>
            </w:r>
            <w:r w:rsidR="00736DA9">
              <w:rPr>
                <w:noProof/>
                <w:webHidden/>
              </w:rPr>
              <w:instrText xml:space="preserve"> PAGEREF _Toc162267257 \h </w:instrText>
            </w:r>
            <w:r w:rsidR="00736DA9">
              <w:rPr>
                <w:noProof/>
                <w:webHidden/>
              </w:rPr>
            </w:r>
            <w:r w:rsidR="00736DA9">
              <w:rPr>
                <w:noProof/>
                <w:webHidden/>
              </w:rPr>
              <w:fldChar w:fldCharType="separate"/>
            </w:r>
            <w:r w:rsidR="00736DA9">
              <w:rPr>
                <w:noProof/>
                <w:webHidden/>
              </w:rPr>
              <w:t>218</w:t>
            </w:r>
            <w:r w:rsidR="00736DA9">
              <w:rPr>
                <w:noProof/>
                <w:webHidden/>
              </w:rPr>
              <w:fldChar w:fldCharType="end"/>
            </w:r>
          </w:hyperlink>
        </w:p>
        <w:p w14:paraId="7FAE67E4" w14:textId="6BF09A0A" w:rsidR="00736DA9" w:rsidRDefault="00000000">
          <w:pPr>
            <w:pStyle w:val="TOC4"/>
            <w:tabs>
              <w:tab w:val="right" w:pos="9350"/>
            </w:tabs>
            <w:rPr>
              <w:rFonts w:eastAsiaTheme="minorEastAsia" w:cstheme="minorBidi"/>
              <w:noProof/>
              <w:sz w:val="24"/>
              <w:szCs w:val="24"/>
            </w:rPr>
          </w:pPr>
          <w:hyperlink w:anchor="_Toc162267258"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_Toc162267258 \h </w:instrText>
            </w:r>
            <w:r w:rsidR="00736DA9">
              <w:rPr>
                <w:noProof/>
                <w:webHidden/>
              </w:rPr>
            </w:r>
            <w:r w:rsidR="00736DA9">
              <w:rPr>
                <w:noProof/>
                <w:webHidden/>
              </w:rPr>
              <w:fldChar w:fldCharType="separate"/>
            </w:r>
            <w:r w:rsidR="00736DA9">
              <w:rPr>
                <w:noProof/>
                <w:webHidden/>
              </w:rPr>
              <w:t>218</w:t>
            </w:r>
            <w:r w:rsidR="00736DA9">
              <w:rPr>
                <w:noProof/>
                <w:webHidden/>
              </w:rPr>
              <w:fldChar w:fldCharType="end"/>
            </w:r>
          </w:hyperlink>
        </w:p>
        <w:p w14:paraId="60D49820" w14:textId="69179DF1" w:rsidR="00736DA9" w:rsidRDefault="00000000">
          <w:pPr>
            <w:pStyle w:val="TOC4"/>
            <w:tabs>
              <w:tab w:val="right" w:pos="9350"/>
            </w:tabs>
            <w:rPr>
              <w:rFonts w:eastAsiaTheme="minorEastAsia" w:cstheme="minorBidi"/>
              <w:noProof/>
              <w:sz w:val="24"/>
              <w:szCs w:val="24"/>
            </w:rPr>
          </w:pPr>
          <w:hyperlink w:anchor="_Toc162267259" w:history="1">
            <w:r w:rsidR="00736DA9" w:rsidRPr="004372B1">
              <w:rPr>
                <w:rStyle w:val="Hyperlink"/>
                <w:noProof/>
              </w:rPr>
              <w:t>References 7.1</w:t>
            </w:r>
            <w:r w:rsidR="00736DA9">
              <w:rPr>
                <w:noProof/>
                <w:webHidden/>
              </w:rPr>
              <w:tab/>
            </w:r>
            <w:r w:rsidR="00736DA9">
              <w:rPr>
                <w:noProof/>
                <w:webHidden/>
              </w:rPr>
              <w:fldChar w:fldCharType="begin"/>
            </w:r>
            <w:r w:rsidR="00736DA9">
              <w:rPr>
                <w:noProof/>
                <w:webHidden/>
              </w:rPr>
              <w:instrText xml:space="preserve"> PAGEREF _Toc162267259 \h </w:instrText>
            </w:r>
            <w:r w:rsidR="00736DA9">
              <w:rPr>
                <w:noProof/>
                <w:webHidden/>
              </w:rPr>
            </w:r>
            <w:r w:rsidR="00736DA9">
              <w:rPr>
                <w:noProof/>
                <w:webHidden/>
              </w:rPr>
              <w:fldChar w:fldCharType="separate"/>
            </w:r>
            <w:r w:rsidR="00736DA9">
              <w:rPr>
                <w:noProof/>
                <w:webHidden/>
              </w:rPr>
              <w:t>218</w:t>
            </w:r>
            <w:r w:rsidR="00736DA9">
              <w:rPr>
                <w:noProof/>
                <w:webHidden/>
              </w:rPr>
              <w:fldChar w:fldCharType="end"/>
            </w:r>
          </w:hyperlink>
        </w:p>
        <w:p w14:paraId="56DCFF08" w14:textId="5BF4D495" w:rsidR="00736DA9" w:rsidRDefault="00000000">
          <w:pPr>
            <w:pStyle w:val="TOC3"/>
            <w:tabs>
              <w:tab w:val="right" w:pos="9350"/>
            </w:tabs>
            <w:rPr>
              <w:rFonts w:eastAsiaTheme="minorEastAsia" w:cstheme="minorBidi"/>
              <w:noProof/>
              <w:sz w:val="24"/>
              <w:szCs w:val="24"/>
            </w:rPr>
          </w:pPr>
          <w:hyperlink w:anchor="_Toc162267260" w:history="1">
            <w:r w:rsidR="00736DA9" w:rsidRPr="004372B1">
              <w:rPr>
                <w:rStyle w:val="Hyperlink"/>
                <w:noProof/>
              </w:rPr>
              <w:t>Maternal Mortality</w:t>
            </w:r>
            <w:r w:rsidR="00736DA9">
              <w:rPr>
                <w:noProof/>
                <w:webHidden/>
              </w:rPr>
              <w:tab/>
            </w:r>
            <w:r w:rsidR="00736DA9">
              <w:rPr>
                <w:noProof/>
                <w:webHidden/>
              </w:rPr>
              <w:fldChar w:fldCharType="begin"/>
            </w:r>
            <w:r w:rsidR="00736DA9">
              <w:rPr>
                <w:noProof/>
                <w:webHidden/>
              </w:rPr>
              <w:instrText xml:space="preserve"> PAGEREF _Toc162267260 \h </w:instrText>
            </w:r>
            <w:r w:rsidR="00736DA9">
              <w:rPr>
                <w:noProof/>
                <w:webHidden/>
              </w:rPr>
            </w:r>
            <w:r w:rsidR="00736DA9">
              <w:rPr>
                <w:noProof/>
                <w:webHidden/>
              </w:rPr>
              <w:fldChar w:fldCharType="separate"/>
            </w:r>
            <w:r w:rsidR="00736DA9">
              <w:rPr>
                <w:noProof/>
                <w:webHidden/>
              </w:rPr>
              <w:t>219</w:t>
            </w:r>
            <w:r w:rsidR="00736DA9">
              <w:rPr>
                <w:noProof/>
                <w:webHidden/>
              </w:rPr>
              <w:fldChar w:fldCharType="end"/>
            </w:r>
          </w:hyperlink>
        </w:p>
        <w:p w14:paraId="7730B5F6" w14:textId="31E9B57E" w:rsidR="00736DA9" w:rsidRDefault="00000000">
          <w:pPr>
            <w:pStyle w:val="TOC4"/>
            <w:tabs>
              <w:tab w:val="right" w:pos="9350"/>
            </w:tabs>
            <w:rPr>
              <w:rFonts w:eastAsiaTheme="minorEastAsia" w:cstheme="minorBidi"/>
              <w:noProof/>
              <w:sz w:val="24"/>
              <w:szCs w:val="24"/>
            </w:rPr>
          </w:pPr>
          <w:hyperlink w:anchor="_Toc162267261" w:history="1">
            <w:r w:rsidR="00736DA9" w:rsidRPr="004372B1">
              <w:rPr>
                <w:rStyle w:val="Hyperlink"/>
                <w:noProof/>
              </w:rPr>
              <w:t>Figure 7.3: Pregnancy-Related Mortality, by Age/Ethnicity.</w:t>
            </w:r>
            <w:r w:rsidR="00736DA9">
              <w:rPr>
                <w:noProof/>
                <w:webHidden/>
              </w:rPr>
              <w:tab/>
            </w:r>
            <w:r w:rsidR="00736DA9">
              <w:rPr>
                <w:noProof/>
                <w:webHidden/>
              </w:rPr>
              <w:fldChar w:fldCharType="begin"/>
            </w:r>
            <w:r w:rsidR="00736DA9">
              <w:rPr>
                <w:noProof/>
                <w:webHidden/>
              </w:rPr>
              <w:instrText xml:space="preserve"> PAGEREF _Toc162267261 \h </w:instrText>
            </w:r>
            <w:r w:rsidR="00736DA9">
              <w:rPr>
                <w:noProof/>
                <w:webHidden/>
              </w:rPr>
            </w:r>
            <w:r w:rsidR="00736DA9">
              <w:rPr>
                <w:noProof/>
                <w:webHidden/>
              </w:rPr>
              <w:fldChar w:fldCharType="separate"/>
            </w:r>
            <w:r w:rsidR="00736DA9">
              <w:rPr>
                <w:noProof/>
                <w:webHidden/>
              </w:rPr>
              <w:t>219</w:t>
            </w:r>
            <w:r w:rsidR="00736DA9">
              <w:rPr>
                <w:noProof/>
                <w:webHidden/>
              </w:rPr>
              <w:fldChar w:fldCharType="end"/>
            </w:r>
          </w:hyperlink>
        </w:p>
        <w:p w14:paraId="22C19954" w14:textId="2980C88B" w:rsidR="00736DA9" w:rsidRDefault="00000000">
          <w:pPr>
            <w:pStyle w:val="TOC4"/>
            <w:tabs>
              <w:tab w:val="right" w:pos="9350"/>
            </w:tabs>
            <w:rPr>
              <w:rFonts w:eastAsiaTheme="minorEastAsia" w:cstheme="minorBidi"/>
              <w:noProof/>
              <w:sz w:val="24"/>
              <w:szCs w:val="24"/>
            </w:rPr>
          </w:pPr>
          <w:hyperlink w:anchor="_Toc162267262" w:history="1">
            <w:r w:rsidR="00736DA9" w:rsidRPr="004372B1">
              <w:rPr>
                <w:rStyle w:val="Hyperlink"/>
                <w:noProof/>
              </w:rPr>
              <w:t>Figure 7.4: Leading Causes of Pregnancy-Related Mortality.</w:t>
            </w:r>
            <w:r w:rsidR="00736DA9">
              <w:rPr>
                <w:noProof/>
                <w:webHidden/>
              </w:rPr>
              <w:tab/>
            </w:r>
            <w:r w:rsidR="00736DA9">
              <w:rPr>
                <w:noProof/>
                <w:webHidden/>
              </w:rPr>
              <w:fldChar w:fldCharType="begin"/>
            </w:r>
            <w:r w:rsidR="00736DA9">
              <w:rPr>
                <w:noProof/>
                <w:webHidden/>
              </w:rPr>
              <w:instrText xml:space="preserve"> PAGEREF _Toc162267262 \h </w:instrText>
            </w:r>
            <w:r w:rsidR="00736DA9">
              <w:rPr>
                <w:noProof/>
                <w:webHidden/>
              </w:rPr>
            </w:r>
            <w:r w:rsidR="00736DA9">
              <w:rPr>
                <w:noProof/>
                <w:webHidden/>
              </w:rPr>
              <w:fldChar w:fldCharType="separate"/>
            </w:r>
            <w:r w:rsidR="00736DA9">
              <w:rPr>
                <w:noProof/>
                <w:webHidden/>
              </w:rPr>
              <w:t>219</w:t>
            </w:r>
            <w:r w:rsidR="00736DA9">
              <w:rPr>
                <w:noProof/>
                <w:webHidden/>
              </w:rPr>
              <w:fldChar w:fldCharType="end"/>
            </w:r>
          </w:hyperlink>
        </w:p>
        <w:p w14:paraId="7823E1D6" w14:textId="5DE71A43" w:rsidR="00736DA9" w:rsidRDefault="00000000">
          <w:pPr>
            <w:pStyle w:val="TOC4"/>
            <w:tabs>
              <w:tab w:val="right" w:pos="9350"/>
            </w:tabs>
            <w:rPr>
              <w:rFonts w:eastAsiaTheme="minorEastAsia" w:cstheme="minorBidi"/>
              <w:noProof/>
              <w:sz w:val="24"/>
              <w:szCs w:val="24"/>
            </w:rPr>
          </w:pPr>
          <w:hyperlink w:anchor="_Toc162267263"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_Toc162267263 \h </w:instrText>
            </w:r>
            <w:r w:rsidR="00736DA9">
              <w:rPr>
                <w:noProof/>
                <w:webHidden/>
              </w:rPr>
            </w:r>
            <w:r w:rsidR="00736DA9">
              <w:rPr>
                <w:noProof/>
                <w:webHidden/>
              </w:rPr>
              <w:fldChar w:fldCharType="separate"/>
            </w:r>
            <w:r w:rsidR="00736DA9">
              <w:rPr>
                <w:noProof/>
                <w:webHidden/>
              </w:rPr>
              <w:t>220</w:t>
            </w:r>
            <w:r w:rsidR="00736DA9">
              <w:rPr>
                <w:noProof/>
                <w:webHidden/>
              </w:rPr>
              <w:fldChar w:fldCharType="end"/>
            </w:r>
          </w:hyperlink>
        </w:p>
        <w:p w14:paraId="139BC309" w14:textId="1434C556" w:rsidR="00736DA9" w:rsidRDefault="00000000">
          <w:pPr>
            <w:pStyle w:val="TOC4"/>
            <w:tabs>
              <w:tab w:val="right" w:pos="9350"/>
            </w:tabs>
            <w:rPr>
              <w:rFonts w:eastAsiaTheme="minorEastAsia" w:cstheme="minorBidi"/>
              <w:noProof/>
              <w:sz w:val="24"/>
              <w:szCs w:val="24"/>
            </w:rPr>
          </w:pPr>
          <w:hyperlink w:anchor="_Toc162267264" w:history="1">
            <w:r w:rsidR="00736DA9" w:rsidRPr="004372B1">
              <w:rPr>
                <w:rStyle w:val="Hyperlink"/>
                <w:noProof/>
              </w:rPr>
              <w:t>References 7.2</w:t>
            </w:r>
            <w:r w:rsidR="00736DA9">
              <w:rPr>
                <w:noProof/>
                <w:webHidden/>
              </w:rPr>
              <w:tab/>
            </w:r>
            <w:r w:rsidR="00736DA9">
              <w:rPr>
                <w:noProof/>
                <w:webHidden/>
              </w:rPr>
              <w:fldChar w:fldCharType="begin"/>
            </w:r>
            <w:r w:rsidR="00736DA9">
              <w:rPr>
                <w:noProof/>
                <w:webHidden/>
              </w:rPr>
              <w:instrText xml:space="preserve"> PAGEREF _Toc162267264 \h </w:instrText>
            </w:r>
            <w:r w:rsidR="00736DA9">
              <w:rPr>
                <w:noProof/>
                <w:webHidden/>
              </w:rPr>
            </w:r>
            <w:r w:rsidR="00736DA9">
              <w:rPr>
                <w:noProof/>
                <w:webHidden/>
              </w:rPr>
              <w:fldChar w:fldCharType="separate"/>
            </w:r>
            <w:r w:rsidR="00736DA9">
              <w:rPr>
                <w:noProof/>
                <w:webHidden/>
              </w:rPr>
              <w:t>220</w:t>
            </w:r>
            <w:r w:rsidR="00736DA9">
              <w:rPr>
                <w:noProof/>
                <w:webHidden/>
              </w:rPr>
              <w:fldChar w:fldCharType="end"/>
            </w:r>
          </w:hyperlink>
        </w:p>
        <w:p w14:paraId="5995E026" w14:textId="394618F2" w:rsidR="00736DA9" w:rsidRDefault="00000000">
          <w:pPr>
            <w:pStyle w:val="TOC3"/>
            <w:tabs>
              <w:tab w:val="right" w:pos="9350"/>
            </w:tabs>
            <w:rPr>
              <w:rFonts w:eastAsiaTheme="minorEastAsia" w:cstheme="minorBidi"/>
              <w:noProof/>
              <w:sz w:val="24"/>
              <w:szCs w:val="24"/>
            </w:rPr>
          </w:pPr>
          <w:hyperlink w:anchor="_Toc162267265" w:history="1">
            <w:r w:rsidR="00736DA9" w:rsidRPr="004372B1">
              <w:rPr>
                <w:rStyle w:val="Hyperlink"/>
                <w:noProof/>
              </w:rPr>
              <w:t>Preconception Health: Healthy Weight</w:t>
            </w:r>
            <w:r w:rsidR="00736DA9">
              <w:rPr>
                <w:noProof/>
                <w:webHidden/>
              </w:rPr>
              <w:tab/>
            </w:r>
            <w:r w:rsidR="00736DA9">
              <w:rPr>
                <w:noProof/>
                <w:webHidden/>
              </w:rPr>
              <w:fldChar w:fldCharType="begin"/>
            </w:r>
            <w:r w:rsidR="00736DA9">
              <w:rPr>
                <w:noProof/>
                <w:webHidden/>
              </w:rPr>
              <w:instrText xml:space="preserve"> PAGEREF _Toc162267265 \h </w:instrText>
            </w:r>
            <w:r w:rsidR="00736DA9">
              <w:rPr>
                <w:noProof/>
                <w:webHidden/>
              </w:rPr>
            </w:r>
            <w:r w:rsidR="00736DA9">
              <w:rPr>
                <w:noProof/>
                <w:webHidden/>
              </w:rPr>
              <w:fldChar w:fldCharType="separate"/>
            </w:r>
            <w:r w:rsidR="00736DA9">
              <w:rPr>
                <w:noProof/>
                <w:webHidden/>
              </w:rPr>
              <w:t>220</w:t>
            </w:r>
            <w:r w:rsidR="00736DA9">
              <w:rPr>
                <w:noProof/>
                <w:webHidden/>
              </w:rPr>
              <w:fldChar w:fldCharType="end"/>
            </w:r>
          </w:hyperlink>
        </w:p>
        <w:p w14:paraId="65C4EE44" w14:textId="1F7EC854" w:rsidR="00736DA9" w:rsidRDefault="00000000">
          <w:pPr>
            <w:pStyle w:val="TOC4"/>
            <w:tabs>
              <w:tab w:val="right" w:pos="9350"/>
            </w:tabs>
            <w:rPr>
              <w:rFonts w:eastAsiaTheme="minorEastAsia" w:cstheme="minorBidi"/>
              <w:noProof/>
              <w:sz w:val="24"/>
              <w:szCs w:val="24"/>
            </w:rPr>
          </w:pPr>
          <w:hyperlink w:anchor="_Toc162267266"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_Toc162267266 \h </w:instrText>
            </w:r>
            <w:r w:rsidR="00736DA9">
              <w:rPr>
                <w:noProof/>
                <w:webHidden/>
              </w:rPr>
            </w:r>
            <w:r w:rsidR="00736DA9">
              <w:rPr>
                <w:noProof/>
                <w:webHidden/>
              </w:rPr>
              <w:fldChar w:fldCharType="separate"/>
            </w:r>
            <w:r w:rsidR="00736DA9">
              <w:rPr>
                <w:noProof/>
                <w:webHidden/>
              </w:rPr>
              <w:t>221</w:t>
            </w:r>
            <w:r w:rsidR="00736DA9">
              <w:rPr>
                <w:noProof/>
                <w:webHidden/>
              </w:rPr>
              <w:fldChar w:fldCharType="end"/>
            </w:r>
          </w:hyperlink>
        </w:p>
        <w:p w14:paraId="4EF58616" w14:textId="05AA17E2" w:rsidR="00736DA9" w:rsidRDefault="00000000">
          <w:pPr>
            <w:pStyle w:val="TOC4"/>
            <w:tabs>
              <w:tab w:val="right" w:pos="9350"/>
            </w:tabs>
            <w:rPr>
              <w:rFonts w:eastAsiaTheme="minorEastAsia" w:cstheme="minorBidi"/>
              <w:noProof/>
              <w:sz w:val="24"/>
              <w:szCs w:val="24"/>
            </w:rPr>
          </w:pPr>
          <w:hyperlink w:anchor="_Toc162267267" w:history="1">
            <w:r w:rsidR="00736DA9" w:rsidRPr="004372B1">
              <w:rPr>
                <w:rStyle w:val="Hyperlink"/>
                <w:noProof/>
              </w:rPr>
              <w:t>Figure 7.5: Healthy Weight (18.5 ≤ BMI &lt; 25) Prior to Pregnancy.</w:t>
            </w:r>
            <w:r w:rsidR="00736DA9">
              <w:rPr>
                <w:noProof/>
                <w:webHidden/>
              </w:rPr>
              <w:tab/>
            </w:r>
            <w:r w:rsidR="00736DA9">
              <w:rPr>
                <w:noProof/>
                <w:webHidden/>
              </w:rPr>
              <w:fldChar w:fldCharType="begin"/>
            </w:r>
            <w:r w:rsidR="00736DA9">
              <w:rPr>
                <w:noProof/>
                <w:webHidden/>
              </w:rPr>
              <w:instrText xml:space="preserve"> PAGEREF _Toc162267267 \h </w:instrText>
            </w:r>
            <w:r w:rsidR="00736DA9">
              <w:rPr>
                <w:noProof/>
                <w:webHidden/>
              </w:rPr>
            </w:r>
            <w:r w:rsidR="00736DA9">
              <w:rPr>
                <w:noProof/>
                <w:webHidden/>
              </w:rPr>
              <w:fldChar w:fldCharType="separate"/>
            </w:r>
            <w:r w:rsidR="00736DA9">
              <w:rPr>
                <w:noProof/>
                <w:webHidden/>
              </w:rPr>
              <w:t>221</w:t>
            </w:r>
            <w:r w:rsidR="00736DA9">
              <w:rPr>
                <w:noProof/>
                <w:webHidden/>
              </w:rPr>
              <w:fldChar w:fldCharType="end"/>
            </w:r>
          </w:hyperlink>
        </w:p>
        <w:p w14:paraId="3C25DC99" w14:textId="6E0E32D6" w:rsidR="00736DA9" w:rsidRDefault="00000000">
          <w:pPr>
            <w:pStyle w:val="TOC4"/>
            <w:tabs>
              <w:tab w:val="right" w:pos="9350"/>
            </w:tabs>
            <w:rPr>
              <w:rFonts w:eastAsiaTheme="minorEastAsia" w:cstheme="minorBidi"/>
              <w:noProof/>
              <w:sz w:val="24"/>
              <w:szCs w:val="24"/>
            </w:rPr>
          </w:pPr>
          <w:hyperlink w:anchor="_Toc162267268" w:history="1">
            <w:r w:rsidR="00736DA9" w:rsidRPr="004372B1">
              <w:rPr>
                <w:rStyle w:val="Hyperlink"/>
                <w:noProof/>
              </w:rPr>
              <w:t>Figure 7.6: Healthy Weight (18.5 ≤ BMI &lt; 25) Prior to Pregnancy, by Age Group and Race/Ethnicity.</w:t>
            </w:r>
            <w:r w:rsidR="00736DA9">
              <w:rPr>
                <w:noProof/>
                <w:webHidden/>
              </w:rPr>
              <w:tab/>
            </w:r>
            <w:r w:rsidR="00736DA9">
              <w:rPr>
                <w:noProof/>
                <w:webHidden/>
              </w:rPr>
              <w:fldChar w:fldCharType="begin"/>
            </w:r>
            <w:r w:rsidR="00736DA9">
              <w:rPr>
                <w:noProof/>
                <w:webHidden/>
              </w:rPr>
              <w:instrText xml:space="preserve"> PAGEREF _Toc162267268 \h </w:instrText>
            </w:r>
            <w:r w:rsidR="00736DA9">
              <w:rPr>
                <w:noProof/>
                <w:webHidden/>
              </w:rPr>
            </w:r>
            <w:r w:rsidR="00736DA9">
              <w:rPr>
                <w:noProof/>
                <w:webHidden/>
              </w:rPr>
              <w:fldChar w:fldCharType="separate"/>
            </w:r>
            <w:r w:rsidR="00736DA9">
              <w:rPr>
                <w:noProof/>
                <w:webHidden/>
              </w:rPr>
              <w:t>221</w:t>
            </w:r>
            <w:r w:rsidR="00736DA9">
              <w:rPr>
                <w:noProof/>
                <w:webHidden/>
              </w:rPr>
              <w:fldChar w:fldCharType="end"/>
            </w:r>
          </w:hyperlink>
        </w:p>
        <w:p w14:paraId="138CB4EC" w14:textId="5FEBFB88" w:rsidR="00736DA9" w:rsidRDefault="00000000">
          <w:pPr>
            <w:pStyle w:val="TOC4"/>
            <w:tabs>
              <w:tab w:val="right" w:pos="9350"/>
            </w:tabs>
            <w:rPr>
              <w:rFonts w:eastAsiaTheme="minorEastAsia" w:cstheme="minorBidi"/>
              <w:noProof/>
              <w:sz w:val="24"/>
              <w:szCs w:val="24"/>
            </w:rPr>
          </w:pPr>
          <w:hyperlink w:anchor="_Toc162267269" w:history="1">
            <w:r w:rsidR="00736DA9" w:rsidRPr="004372B1">
              <w:rPr>
                <w:rStyle w:val="Hyperlink"/>
                <w:noProof/>
              </w:rPr>
              <w:t>References 7.3</w:t>
            </w:r>
            <w:r w:rsidR="00736DA9">
              <w:rPr>
                <w:noProof/>
                <w:webHidden/>
              </w:rPr>
              <w:tab/>
            </w:r>
            <w:r w:rsidR="00736DA9">
              <w:rPr>
                <w:noProof/>
                <w:webHidden/>
              </w:rPr>
              <w:fldChar w:fldCharType="begin"/>
            </w:r>
            <w:r w:rsidR="00736DA9">
              <w:rPr>
                <w:noProof/>
                <w:webHidden/>
              </w:rPr>
              <w:instrText xml:space="preserve"> PAGEREF _Toc162267269 \h </w:instrText>
            </w:r>
            <w:r w:rsidR="00736DA9">
              <w:rPr>
                <w:noProof/>
                <w:webHidden/>
              </w:rPr>
            </w:r>
            <w:r w:rsidR="00736DA9">
              <w:rPr>
                <w:noProof/>
                <w:webHidden/>
              </w:rPr>
              <w:fldChar w:fldCharType="separate"/>
            </w:r>
            <w:r w:rsidR="00736DA9">
              <w:rPr>
                <w:noProof/>
                <w:webHidden/>
              </w:rPr>
              <w:t>221</w:t>
            </w:r>
            <w:r w:rsidR="00736DA9">
              <w:rPr>
                <w:noProof/>
                <w:webHidden/>
              </w:rPr>
              <w:fldChar w:fldCharType="end"/>
            </w:r>
          </w:hyperlink>
        </w:p>
        <w:p w14:paraId="18058553" w14:textId="1D2F893A" w:rsidR="00736DA9" w:rsidRDefault="00000000">
          <w:pPr>
            <w:pStyle w:val="TOC3"/>
            <w:tabs>
              <w:tab w:val="right" w:pos="9350"/>
            </w:tabs>
            <w:rPr>
              <w:rFonts w:eastAsiaTheme="minorEastAsia" w:cstheme="minorBidi"/>
              <w:noProof/>
              <w:sz w:val="24"/>
              <w:szCs w:val="24"/>
            </w:rPr>
          </w:pPr>
          <w:hyperlink w:anchor="_Toc162267270" w:history="1">
            <w:r w:rsidR="00736DA9" w:rsidRPr="004372B1">
              <w:rPr>
                <w:rStyle w:val="Hyperlink"/>
                <w:noProof/>
              </w:rPr>
              <w:t>Preconception Health: Pre-Pregnancy Hypertension</w:t>
            </w:r>
            <w:r w:rsidR="00736DA9">
              <w:rPr>
                <w:noProof/>
                <w:webHidden/>
              </w:rPr>
              <w:tab/>
            </w:r>
            <w:r w:rsidR="00736DA9">
              <w:rPr>
                <w:noProof/>
                <w:webHidden/>
              </w:rPr>
              <w:fldChar w:fldCharType="begin"/>
            </w:r>
            <w:r w:rsidR="00736DA9">
              <w:rPr>
                <w:noProof/>
                <w:webHidden/>
              </w:rPr>
              <w:instrText xml:space="preserve"> PAGEREF _Toc162267270 \h </w:instrText>
            </w:r>
            <w:r w:rsidR="00736DA9">
              <w:rPr>
                <w:noProof/>
                <w:webHidden/>
              </w:rPr>
            </w:r>
            <w:r w:rsidR="00736DA9">
              <w:rPr>
                <w:noProof/>
                <w:webHidden/>
              </w:rPr>
              <w:fldChar w:fldCharType="separate"/>
            </w:r>
            <w:r w:rsidR="00736DA9">
              <w:rPr>
                <w:noProof/>
                <w:webHidden/>
              </w:rPr>
              <w:t>222</w:t>
            </w:r>
            <w:r w:rsidR="00736DA9">
              <w:rPr>
                <w:noProof/>
                <w:webHidden/>
              </w:rPr>
              <w:fldChar w:fldCharType="end"/>
            </w:r>
          </w:hyperlink>
        </w:p>
        <w:p w14:paraId="26D86E7C" w14:textId="64112023" w:rsidR="00736DA9" w:rsidRDefault="00000000">
          <w:pPr>
            <w:pStyle w:val="TOC4"/>
            <w:tabs>
              <w:tab w:val="right" w:pos="9350"/>
            </w:tabs>
            <w:rPr>
              <w:rFonts w:eastAsiaTheme="minorEastAsia" w:cstheme="minorBidi"/>
              <w:noProof/>
              <w:sz w:val="24"/>
              <w:szCs w:val="24"/>
            </w:rPr>
          </w:pPr>
          <w:hyperlink w:anchor="_Toc162267271"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_Toc162267271 \h </w:instrText>
            </w:r>
            <w:r w:rsidR="00736DA9">
              <w:rPr>
                <w:noProof/>
                <w:webHidden/>
              </w:rPr>
            </w:r>
            <w:r w:rsidR="00736DA9">
              <w:rPr>
                <w:noProof/>
                <w:webHidden/>
              </w:rPr>
              <w:fldChar w:fldCharType="separate"/>
            </w:r>
            <w:r w:rsidR="00736DA9">
              <w:rPr>
                <w:noProof/>
                <w:webHidden/>
              </w:rPr>
              <w:t>222</w:t>
            </w:r>
            <w:r w:rsidR="00736DA9">
              <w:rPr>
                <w:noProof/>
                <w:webHidden/>
              </w:rPr>
              <w:fldChar w:fldCharType="end"/>
            </w:r>
          </w:hyperlink>
        </w:p>
        <w:p w14:paraId="581360C4" w14:textId="6F4ECEF7" w:rsidR="00736DA9" w:rsidRDefault="00000000">
          <w:pPr>
            <w:pStyle w:val="TOC4"/>
            <w:tabs>
              <w:tab w:val="right" w:pos="9350"/>
            </w:tabs>
            <w:rPr>
              <w:rFonts w:eastAsiaTheme="minorEastAsia" w:cstheme="minorBidi"/>
              <w:noProof/>
              <w:sz w:val="24"/>
              <w:szCs w:val="24"/>
            </w:rPr>
          </w:pPr>
          <w:hyperlink w:anchor="_Toc162267272" w:history="1">
            <w:r w:rsidR="00736DA9" w:rsidRPr="004372B1">
              <w:rPr>
                <w:rStyle w:val="Hyperlink"/>
                <w:noProof/>
              </w:rPr>
              <w:t>Figure 7.7: Hypertension 3 Months Before Pregnancy.</w:t>
            </w:r>
            <w:r w:rsidR="00736DA9">
              <w:rPr>
                <w:noProof/>
                <w:webHidden/>
              </w:rPr>
              <w:tab/>
            </w:r>
            <w:r w:rsidR="00736DA9">
              <w:rPr>
                <w:noProof/>
                <w:webHidden/>
              </w:rPr>
              <w:fldChar w:fldCharType="begin"/>
            </w:r>
            <w:r w:rsidR="00736DA9">
              <w:rPr>
                <w:noProof/>
                <w:webHidden/>
              </w:rPr>
              <w:instrText xml:space="preserve"> PAGEREF _Toc162267272 \h </w:instrText>
            </w:r>
            <w:r w:rsidR="00736DA9">
              <w:rPr>
                <w:noProof/>
                <w:webHidden/>
              </w:rPr>
            </w:r>
            <w:r w:rsidR="00736DA9">
              <w:rPr>
                <w:noProof/>
                <w:webHidden/>
              </w:rPr>
              <w:fldChar w:fldCharType="separate"/>
            </w:r>
            <w:r w:rsidR="00736DA9">
              <w:rPr>
                <w:noProof/>
                <w:webHidden/>
              </w:rPr>
              <w:t>222</w:t>
            </w:r>
            <w:r w:rsidR="00736DA9">
              <w:rPr>
                <w:noProof/>
                <w:webHidden/>
              </w:rPr>
              <w:fldChar w:fldCharType="end"/>
            </w:r>
          </w:hyperlink>
        </w:p>
        <w:p w14:paraId="7A74113F" w14:textId="30E04E8C" w:rsidR="00736DA9" w:rsidRDefault="00000000">
          <w:pPr>
            <w:pStyle w:val="TOC4"/>
            <w:tabs>
              <w:tab w:val="right" w:pos="9350"/>
            </w:tabs>
            <w:rPr>
              <w:rFonts w:eastAsiaTheme="minorEastAsia" w:cstheme="minorBidi"/>
              <w:noProof/>
              <w:sz w:val="24"/>
              <w:szCs w:val="24"/>
            </w:rPr>
          </w:pPr>
          <w:hyperlink w:anchor="_Toc162267273" w:history="1">
            <w:r w:rsidR="00736DA9" w:rsidRPr="004372B1">
              <w:rPr>
                <w:rStyle w:val="Hyperlink"/>
                <w:noProof/>
              </w:rPr>
              <w:t>Figure 7.8: Hypertension 3 Months Before Pregnancy, by Age Group and Race/Ethnicity.</w:t>
            </w:r>
            <w:r w:rsidR="00736DA9">
              <w:rPr>
                <w:noProof/>
                <w:webHidden/>
              </w:rPr>
              <w:tab/>
            </w:r>
            <w:r w:rsidR="00736DA9">
              <w:rPr>
                <w:noProof/>
                <w:webHidden/>
              </w:rPr>
              <w:fldChar w:fldCharType="begin"/>
            </w:r>
            <w:r w:rsidR="00736DA9">
              <w:rPr>
                <w:noProof/>
                <w:webHidden/>
              </w:rPr>
              <w:instrText xml:space="preserve"> PAGEREF _Toc162267273 \h </w:instrText>
            </w:r>
            <w:r w:rsidR="00736DA9">
              <w:rPr>
                <w:noProof/>
                <w:webHidden/>
              </w:rPr>
            </w:r>
            <w:r w:rsidR="00736DA9">
              <w:rPr>
                <w:noProof/>
                <w:webHidden/>
              </w:rPr>
              <w:fldChar w:fldCharType="separate"/>
            </w:r>
            <w:r w:rsidR="00736DA9">
              <w:rPr>
                <w:noProof/>
                <w:webHidden/>
              </w:rPr>
              <w:t>222</w:t>
            </w:r>
            <w:r w:rsidR="00736DA9">
              <w:rPr>
                <w:noProof/>
                <w:webHidden/>
              </w:rPr>
              <w:fldChar w:fldCharType="end"/>
            </w:r>
          </w:hyperlink>
        </w:p>
        <w:p w14:paraId="51C69A1E" w14:textId="323A4F70" w:rsidR="00736DA9" w:rsidRDefault="00000000">
          <w:pPr>
            <w:pStyle w:val="TOC4"/>
            <w:tabs>
              <w:tab w:val="right" w:pos="9350"/>
            </w:tabs>
            <w:rPr>
              <w:rFonts w:eastAsiaTheme="minorEastAsia" w:cstheme="minorBidi"/>
              <w:noProof/>
              <w:sz w:val="24"/>
              <w:szCs w:val="24"/>
            </w:rPr>
          </w:pPr>
          <w:hyperlink w:anchor="_Toc162267274" w:history="1">
            <w:r w:rsidR="00736DA9" w:rsidRPr="004372B1">
              <w:rPr>
                <w:rStyle w:val="Hyperlink"/>
                <w:noProof/>
              </w:rPr>
              <w:t>References 7.4</w:t>
            </w:r>
            <w:r w:rsidR="00736DA9">
              <w:rPr>
                <w:noProof/>
                <w:webHidden/>
              </w:rPr>
              <w:tab/>
            </w:r>
            <w:r w:rsidR="00736DA9">
              <w:rPr>
                <w:noProof/>
                <w:webHidden/>
              </w:rPr>
              <w:fldChar w:fldCharType="begin"/>
            </w:r>
            <w:r w:rsidR="00736DA9">
              <w:rPr>
                <w:noProof/>
                <w:webHidden/>
              </w:rPr>
              <w:instrText xml:space="preserve"> PAGEREF _Toc162267274 \h </w:instrText>
            </w:r>
            <w:r w:rsidR="00736DA9">
              <w:rPr>
                <w:noProof/>
                <w:webHidden/>
              </w:rPr>
            </w:r>
            <w:r w:rsidR="00736DA9">
              <w:rPr>
                <w:noProof/>
                <w:webHidden/>
              </w:rPr>
              <w:fldChar w:fldCharType="separate"/>
            </w:r>
            <w:r w:rsidR="00736DA9">
              <w:rPr>
                <w:noProof/>
                <w:webHidden/>
              </w:rPr>
              <w:t>223</w:t>
            </w:r>
            <w:r w:rsidR="00736DA9">
              <w:rPr>
                <w:noProof/>
                <w:webHidden/>
              </w:rPr>
              <w:fldChar w:fldCharType="end"/>
            </w:r>
          </w:hyperlink>
        </w:p>
        <w:p w14:paraId="4B1350E2" w14:textId="7B3002F9" w:rsidR="00736DA9" w:rsidRDefault="00000000">
          <w:pPr>
            <w:pStyle w:val="TOC3"/>
            <w:tabs>
              <w:tab w:val="right" w:pos="9350"/>
            </w:tabs>
            <w:rPr>
              <w:rFonts w:eastAsiaTheme="minorEastAsia" w:cstheme="minorBidi"/>
              <w:noProof/>
              <w:sz w:val="24"/>
              <w:szCs w:val="24"/>
            </w:rPr>
          </w:pPr>
          <w:hyperlink w:anchor="_Toc162267275" w:history="1">
            <w:r w:rsidR="00736DA9" w:rsidRPr="004372B1">
              <w:rPr>
                <w:rStyle w:val="Hyperlink"/>
                <w:noProof/>
              </w:rPr>
              <w:t>Preconception Health: Pregnancy Intention</w:t>
            </w:r>
            <w:r w:rsidR="00736DA9">
              <w:rPr>
                <w:noProof/>
                <w:webHidden/>
              </w:rPr>
              <w:tab/>
            </w:r>
            <w:r w:rsidR="00736DA9">
              <w:rPr>
                <w:noProof/>
                <w:webHidden/>
              </w:rPr>
              <w:fldChar w:fldCharType="begin"/>
            </w:r>
            <w:r w:rsidR="00736DA9">
              <w:rPr>
                <w:noProof/>
                <w:webHidden/>
              </w:rPr>
              <w:instrText xml:space="preserve"> PAGEREF _Toc162267275 \h </w:instrText>
            </w:r>
            <w:r w:rsidR="00736DA9">
              <w:rPr>
                <w:noProof/>
                <w:webHidden/>
              </w:rPr>
            </w:r>
            <w:r w:rsidR="00736DA9">
              <w:rPr>
                <w:noProof/>
                <w:webHidden/>
              </w:rPr>
              <w:fldChar w:fldCharType="separate"/>
            </w:r>
            <w:r w:rsidR="00736DA9">
              <w:rPr>
                <w:noProof/>
                <w:webHidden/>
              </w:rPr>
              <w:t>223</w:t>
            </w:r>
            <w:r w:rsidR="00736DA9">
              <w:rPr>
                <w:noProof/>
                <w:webHidden/>
              </w:rPr>
              <w:fldChar w:fldCharType="end"/>
            </w:r>
          </w:hyperlink>
        </w:p>
        <w:p w14:paraId="3F12BBBA" w14:textId="0FB38C91" w:rsidR="00736DA9" w:rsidRDefault="00000000">
          <w:pPr>
            <w:pStyle w:val="TOC4"/>
            <w:tabs>
              <w:tab w:val="right" w:pos="9350"/>
            </w:tabs>
            <w:rPr>
              <w:rFonts w:eastAsiaTheme="minorEastAsia" w:cstheme="minorBidi"/>
              <w:noProof/>
              <w:sz w:val="24"/>
              <w:szCs w:val="24"/>
            </w:rPr>
          </w:pPr>
          <w:hyperlink w:anchor="_Toc162267276" w:history="1">
            <w:r w:rsidR="00736DA9" w:rsidRPr="004372B1">
              <w:rPr>
                <w:rStyle w:val="Hyperlink"/>
                <w:noProof/>
              </w:rPr>
              <w:t>Figure 7.9: Unintended Pregnancy.</w:t>
            </w:r>
            <w:r w:rsidR="00736DA9">
              <w:rPr>
                <w:noProof/>
                <w:webHidden/>
              </w:rPr>
              <w:tab/>
            </w:r>
            <w:r w:rsidR="00736DA9">
              <w:rPr>
                <w:noProof/>
                <w:webHidden/>
              </w:rPr>
              <w:fldChar w:fldCharType="begin"/>
            </w:r>
            <w:r w:rsidR="00736DA9">
              <w:rPr>
                <w:noProof/>
                <w:webHidden/>
              </w:rPr>
              <w:instrText xml:space="preserve"> PAGEREF _Toc162267276 \h </w:instrText>
            </w:r>
            <w:r w:rsidR="00736DA9">
              <w:rPr>
                <w:noProof/>
                <w:webHidden/>
              </w:rPr>
            </w:r>
            <w:r w:rsidR="00736DA9">
              <w:rPr>
                <w:noProof/>
                <w:webHidden/>
              </w:rPr>
              <w:fldChar w:fldCharType="separate"/>
            </w:r>
            <w:r w:rsidR="00736DA9">
              <w:rPr>
                <w:noProof/>
                <w:webHidden/>
              </w:rPr>
              <w:t>223</w:t>
            </w:r>
            <w:r w:rsidR="00736DA9">
              <w:rPr>
                <w:noProof/>
                <w:webHidden/>
              </w:rPr>
              <w:fldChar w:fldCharType="end"/>
            </w:r>
          </w:hyperlink>
        </w:p>
        <w:p w14:paraId="4CB8AF4D" w14:textId="303E36F7" w:rsidR="00736DA9" w:rsidRDefault="00000000">
          <w:pPr>
            <w:pStyle w:val="TOC4"/>
            <w:tabs>
              <w:tab w:val="right" w:pos="9350"/>
            </w:tabs>
            <w:rPr>
              <w:rFonts w:eastAsiaTheme="minorEastAsia" w:cstheme="minorBidi"/>
              <w:noProof/>
              <w:sz w:val="24"/>
              <w:szCs w:val="24"/>
            </w:rPr>
          </w:pPr>
          <w:hyperlink w:anchor="_Toc162267277" w:history="1">
            <w:r w:rsidR="00736DA9" w:rsidRPr="004372B1">
              <w:rPr>
                <w:rStyle w:val="Hyperlink"/>
                <w:noProof/>
              </w:rPr>
              <w:t>Figure 7.10: Unintended Pregnancy, by Age Group and Race/Ethnicity.</w:t>
            </w:r>
            <w:r w:rsidR="00736DA9">
              <w:rPr>
                <w:noProof/>
                <w:webHidden/>
              </w:rPr>
              <w:tab/>
            </w:r>
            <w:r w:rsidR="00736DA9">
              <w:rPr>
                <w:noProof/>
                <w:webHidden/>
              </w:rPr>
              <w:fldChar w:fldCharType="begin"/>
            </w:r>
            <w:r w:rsidR="00736DA9">
              <w:rPr>
                <w:noProof/>
                <w:webHidden/>
              </w:rPr>
              <w:instrText xml:space="preserve"> PAGEREF _Toc162267277 \h </w:instrText>
            </w:r>
            <w:r w:rsidR="00736DA9">
              <w:rPr>
                <w:noProof/>
                <w:webHidden/>
              </w:rPr>
            </w:r>
            <w:r w:rsidR="00736DA9">
              <w:rPr>
                <w:noProof/>
                <w:webHidden/>
              </w:rPr>
              <w:fldChar w:fldCharType="separate"/>
            </w:r>
            <w:r w:rsidR="00736DA9">
              <w:rPr>
                <w:noProof/>
                <w:webHidden/>
              </w:rPr>
              <w:t>224</w:t>
            </w:r>
            <w:r w:rsidR="00736DA9">
              <w:rPr>
                <w:noProof/>
                <w:webHidden/>
              </w:rPr>
              <w:fldChar w:fldCharType="end"/>
            </w:r>
          </w:hyperlink>
        </w:p>
        <w:p w14:paraId="642A09EB" w14:textId="09662F3B" w:rsidR="00736DA9" w:rsidRDefault="00000000">
          <w:pPr>
            <w:pStyle w:val="TOC4"/>
            <w:tabs>
              <w:tab w:val="right" w:pos="9350"/>
            </w:tabs>
            <w:rPr>
              <w:rFonts w:eastAsiaTheme="minorEastAsia" w:cstheme="minorBidi"/>
              <w:noProof/>
              <w:sz w:val="24"/>
              <w:szCs w:val="24"/>
            </w:rPr>
          </w:pPr>
          <w:hyperlink w:anchor="_Toc162267278"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_Toc162267278 \h </w:instrText>
            </w:r>
            <w:r w:rsidR="00736DA9">
              <w:rPr>
                <w:noProof/>
                <w:webHidden/>
              </w:rPr>
            </w:r>
            <w:r w:rsidR="00736DA9">
              <w:rPr>
                <w:noProof/>
                <w:webHidden/>
              </w:rPr>
              <w:fldChar w:fldCharType="separate"/>
            </w:r>
            <w:r w:rsidR="00736DA9">
              <w:rPr>
                <w:noProof/>
                <w:webHidden/>
              </w:rPr>
              <w:t>224</w:t>
            </w:r>
            <w:r w:rsidR="00736DA9">
              <w:rPr>
                <w:noProof/>
                <w:webHidden/>
              </w:rPr>
              <w:fldChar w:fldCharType="end"/>
            </w:r>
          </w:hyperlink>
        </w:p>
        <w:p w14:paraId="3BCB5A42" w14:textId="790BAE6E" w:rsidR="00736DA9" w:rsidRDefault="00000000">
          <w:pPr>
            <w:pStyle w:val="TOC4"/>
            <w:tabs>
              <w:tab w:val="right" w:pos="9350"/>
            </w:tabs>
            <w:rPr>
              <w:rFonts w:eastAsiaTheme="minorEastAsia" w:cstheme="minorBidi"/>
              <w:noProof/>
              <w:sz w:val="24"/>
              <w:szCs w:val="24"/>
            </w:rPr>
          </w:pPr>
          <w:hyperlink w:anchor="_Toc162267279" w:history="1">
            <w:r w:rsidR="00736DA9" w:rsidRPr="004372B1">
              <w:rPr>
                <w:rStyle w:val="Hyperlink"/>
                <w:noProof/>
              </w:rPr>
              <w:t>References 7.5</w:t>
            </w:r>
            <w:r w:rsidR="00736DA9">
              <w:rPr>
                <w:noProof/>
                <w:webHidden/>
              </w:rPr>
              <w:tab/>
            </w:r>
            <w:r w:rsidR="00736DA9">
              <w:rPr>
                <w:noProof/>
                <w:webHidden/>
              </w:rPr>
              <w:fldChar w:fldCharType="begin"/>
            </w:r>
            <w:r w:rsidR="00736DA9">
              <w:rPr>
                <w:noProof/>
                <w:webHidden/>
              </w:rPr>
              <w:instrText xml:space="preserve"> PAGEREF _Toc162267279 \h </w:instrText>
            </w:r>
            <w:r w:rsidR="00736DA9">
              <w:rPr>
                <w:noProof/>
                <w:webHidden/>
              </w:rPr>
            </w:r>
            <w:r w:rsidR="00736DA9">
              <w:rPr>
                <w:noProof/>
                <w:webHidden/>
              </w:rPr>
              <w:fldChar w:fldCharType="separate"/>
            </w:r>
            <w:r w:rsidR="00736DA9">
              <w:rPr>
                <w:noProof/>
                <w:webHidden/>
              </w:rPr>
              <w:t>224</w:t>
            </w:r>
            <w:r w:rsidR="00736DA9">
              <w:rPr>
                <w:noProof/>
                <w:webHidden/>
              </w:rPr>
              <w:fldChar w:fldCharType="end"/>
            </w:r>
          </w:hyperlink>
        </w:p>
        <w:p w14:paraId="0352604F" w14:textId="352187EF" w:rsidR="00736DA9" w:rsidRDefault="00000000">
          <w:pPr>
            <w:pStyle w:val="TOC3"/>
            <w:tabs>
              <w:tab w:val="right" w:pos="9350"/>
            </w:tabs>
            <w:rPr>
              <w:rFonts w:eastAsiaTheme="minorEastAsia" w:cstheme="minorBidi"/>
              <w:noProof/>
              <w:sz w:val="24"/>
              <w:szCs w:val="24"/>
            </w:rPr>
          </w:pPr>
          <w:hyperlink w:anchor="_Toc162267280" w:history="1">
            <w:r w:rsidR="00736DA9" w:rsidRPr="004372B1">
              <w:rPr>
                <w:rStyle w:val="Hyperlink"/>
                <w:noProof/>
              </w:rPr>
              <w:t>Preconception Health: Fertility</w:t>
            </w:r>
            <w:r w:rsidR="00736DA9">
              <w:rPr>
                <w:noProof/>
                <w:webHidden/>
              </w:rPr>
              <w:tab/>
            </w:r>
            <w:r w:rsidR="00736DA9">
              <w:rPr>
                <w:noProof/>
                <w:webHidden/>
              </w:rPr>
              <w:fldChar w:fldCharType="begin"/>
            </w:r>
            <w:r w:rsidR="00736DA9">
              <w:rPr>
                <w:noProof/>
                <w:webHidden/>
              </w:rPr>
              <w:instrText xml:space="preserve"> PAGEREF _Toc162267280 \h </w:instrText>
            </w:r>
            <w:r w:rsidR="00736DA9">
              <w:rPr>
                <w:noProof/>
                <w:webHidden/>
              </w:rPr>
            </w:r>
            <w:r w:rsidR="00736DA9">
              <w:rPr>
                <w:noProof/>
                <w:webHidden/>
              </w:rPr>
              <w:fldChar w:fldCharType="separate"/>
            </w:r>
            <w:r w:rsidR="00736DA9">
              <w:rPr>
                <w:noProof/>
                <w:webHidden/>
              </w:rPr>
              <w:t>224</w:t>
            </w:r>
            <w:r w:rsidR="00736DA9">
              <w:rPr>
                <w:noProof/>
                <w:webHidden/>
              </w:rPr>
              <w:fldChar w:fldCharType="end"/>
            </w:r>
          </w:hyperlink>
        </w:p>
        <w:p w14:paraId="0A45715F" w14:textId="36713AB1" w:rsidR="00736DA9" w:rsidRDefault="00000000">
          <w:pPr>
            <w:pStyle w:val="TOC4"/>
            <w:tabs>
              <w:tab w:val="right" w:pos="9350"/>
            </w:tabs>
            <w:rPr>
              <w:rFonts w:eastAsiaTheme="minorEastAsia" w:cstheme="minorBidi"/>
              <w:noProof/>
              <w:sz w:val="24"/>
              <w:szCs w:val="24"/>
            </w:rPr>
          </w:pPr>
          <w:hyperlink w:anchor="_Toc162267281" w:history="1">
            <w:r w:rsidR="00736DA9" w:rsidRPr="004372B1">
              <w:rPr>
                <w:rStyle w:val="Hyperlink"/>
                <w:noProof/>
              </w:rPr>
              <w:t>Figure 7.11: General Fertility.</w:t>
            </w:r>
            <w:r w:rsidR="00736DA9">
              <w:rPr>
                <w:noProof/>
                <w:webHidden/>
              </w:rPr>
              <w:tab/>
            </w:r>
            <w:r w:rsidR="00736DA9">
              <w:rPr>
                <w:noProof/>
                <w:webHidden/>
              </w:rPr>
              <w:fldChar w:fldCharType="begin"/>
            </w:r>
            <w:r w:rsidR="00736DA9">
              <w:rPr>
                <w:noProof/>
                <w:webHidden/>
              </w:rPr>
              <w:instrText xml:space="preserve"> PAGEREF _Toc162267281 \h </w:instrText>
            </w:r>
            <w:r w:rsidR="00736DA9">
              <w:rPr>
                <w:noProof/>
                <w:webHidden/>
              </w:rPr>
            </w:r>
            <w:r w:rsidR="00736DA9">
              <w:rPr>
                <w:noProof/>
                <w:webHidden/>
              </w:rPr>
              <w:fldChar w:fldCharType="separate"/>
            </w:r>
            <w:r w:rsidR="00736DA9">
              <w:rPr>
                <w:noProof/>
                <w:webHidden/>
              </w:rPr>
              <w:t>225</w:t>
            </w:r>
            <w:r w:rsidR="00736DA9">
              <w:rPr>
                <w:noProof/>
                <w:webHidden/>
              </w:rPr>
              <w:fldChar w:fldCharType="end"/>
            </w:r>
          </w:hyperlink>
        </w:p>
        <w:p w14:paraId="251B059C" w14:textId="008518CE" w:rsidR="00736DA9" w:rsidRDefault="00000000">
          <w:pPr>
            <w:pStyle w:val="TOC4"/>
            <w:tabs>
              <w:tab w:val="right" w:pos="9350"/>
            </w:tabs>
            <w:rPr>
              <w:rFonts w:eastAsiaTheme="minorEastAsia" w:cstheme="minorBidi"/>
              <w:noProof/>
              <w:sz w:val="24"/>
              <w:szCs w:val="24"/>
            </w:rPr>
          </w:pPr>
          <w:hyperlink w:anchor="_Toc162267282" w:history="1">
            <w:r w:rsidR="00736DA9" w:rsidRPr="004372B1">
              <w:rPr>
                <w:rStyle w:val="Hyperlink"/>
                <w:noProof/>
              </w:rPr>
              <w:t>Figure 7.12: General Fertility, by Race and Ethnicity.</w:t>
            </w:r>
            <w:r w:rsidR="00736DA9">
              <w:rPr>
                <w:noProof/>
                <w:webHidden/>
              </w:rPr>
              <w:tab/>
            </w:r>
            <w:r w:rsidR="00736DA9">
              <w:rPr>
                <w:noProof/>
                <w:webHidden/>
              </w:rPr>
              <w:fldChar w:fldCharType="begin"/>
            </w:r>
            <w:r w:rsidR="00736DA9">
              <w:rPr>
                <w:noProof/>
                <w:webHidden/>
              </w:rPr>
              <w:instrText xml:space="preserve"> PAGEREF _Toc162267282 \h </w:instrText>
            </w:r>
            <w:r w:rsidR="00736DA9">
              <w:rPr>
                <w:noProof/>
                <w:webHidden/>
              </w:rPr>
            </w:r>
            <w:r w:rsidR="00736DA9">
              <w:rPr>
                <w:noProof/>
                <w:webHidden/>
              </w:rPr>
              <w:fldChar w:fldCharType="separate"/>
            </w:r>
            <w:r w:rsidR="00736DA9">
              <w:rPr>
                <w:noProof/>
                <w:webHidden/>
              </w:rPr>
              <w:t>225</w:t>
            </w:r>
            <w:r w:rsidR="00736DA9">
              <w:rPr>
                <w:noProof/>
                <w:webHidden/>
              </w:rPr>
              <w:fldChar w:fldCharType="end"/>
            </w:r>
          </w:hyperlink>
        </w:p>
        <w:p w14:paraId="18B2EFB5" w14:textId="4D00FC81" w:rsidR="00736DA9" w:rsidRDefault="00000000">
          <w:pPr>
            <w:pStyle w:val="TOC4"/>
            <w:tabs>
              <w:tab w:val="right" w:pos="9350"/>
            </w:tabs>
            <w:rPr>
              <w:rFonts w:eastAsiaTheme="minorEastAsia" w:cstheme="minorBidi"/>
              <w:noProof/>
              <w:sz w:val="24"/>
              <w:szCs w:val="24"/>
            </w:rPr>
          </w:pPr>
          <w:hyperlink w:anchor="_Toc162267283"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_Toc162267283 \h </w:instrText>
            </w:r>
            <w:r w:rsidR="00736DA9">
              <w:rPr>
                <w:noProof/>
                <w:webHidden/>
              </w:rPr>
            </w:r>
            <w:r w:rsidR="00736DA9">
              <w:rPr>
                <w:noProof/>
                <w:webHidden/>
              </w:rPr>
              <w:fldChar w:fldCharType="separate"/>
            </w:r>
            <w:r w:rsidR="00736DA9">
              <w:rPr>
                <w:noProof/>
                <w:webHidden/>
              </w:rPr>
              <w:t>225</w:t>
            </w:r>
            <w:r w:rsidR="00736DA9">
              <w:rPr>
                <w:noProof/>
                <w:webHidden/>
              </w:rPr>
              <w:fldChar w:fldCharType="end"/>
            </w:r>
          </w:hyperlink>
        </w:p>
        <w:p w14:paraId="23A2A645" w14:textId="779E5945" w:rsidR="00736DA9" w:rsidRDefault="00000000">
          <w:pPr>
            <w:pStyle w:val="TOC4"/>
            <w:tabs>
              <w:tab w:val="right" w:pos="9350"/>
            </w:tabs>
            <w:rPr>
              <w:rFonts w:eastAsiaTheme="minorEastAsia" w:cstheme="minorBidi"/>
              <w:noProof/>
              <w:sz w:val="24"/>
              <w:szCs w:val="24"/>
            </w:rPr>
          </w:pPr>
          <w:hyperlink w:anchor="_Toc162267284" w:history="1">
            <w:r w:rsidR="00736DA9" w:rsidRPr="004372B1">
              <w:rPr>
                <w:rStyle w:val="Hyperlink"/>
                <w:noProof/>
              </w:rPr>
              <w:t>References 7.6</w:t>
            </w:r>
            <w:r w:rsidR="00736DA9">
              <w:rPr>
                <w:noProof/>
                <w:webHidden/>
              </w:rPr>
              <w:tab/>
            </w:r>
            <w:r w:rsidR="00736DA9">
              <w:rPr>
                <w:noProof/>
                <w:webHidden/>
              </w:rPr>
              <w:fldChar w:fldCharType="begin"/>
            </w:r>
            <w:r w:rsidR="00736DA9">
              <w:rPr>
                <w:noProof/>
                <w:webHidden/>
              </w:rPr>
              <w:instrText xml:space="preserve"> PAGEREF _Toc162267284 \h </w:instrText>
            </w:r>
            <w:r w:rsidR="00736DA9">
              <w:rPr>
                <w:noProof/>
                <w:webHidden/>
              </w:rPr>
            </w:r>
            <w:r w:rsidR="00736DA9">
              <w:rPr>
                <w:noProof/>
                <w:webHidden/>
              </w:rPr>
              <w:fldChar w:fldCharType="separate"/>
            </w:r>
            <w:r w:rsidR="00736DA9">
              <w:rPr>
                <w:noProof/>
                <w:webHidden/>
              </w:rPr>
              <w:t>225</w:t>
            </w:r>
            <w:r w:rsidR="00736DA9">
              <w:rPr>
                <w:noProof/>
                <w:webHidden/>
              </w:rPr>
              <w:fldChar w:fldCharType="end"/>
            </w:r>
          </w:hyperlink>
        </w:p>
        <w:p w14:paraId="31D1670B" w14:textId="7F4EA48C" w:rsidR="00736DA9" w:rsidRDefault="00000000">
          <w:pPr>
            <w:pStyle w:val="TOC3"/>
            <w:tabs>
              <w:tab w:val="right" w:pos="9350"/>
            </w:tabs>
            <w:rPr>
              <w:rFonts w:eastAsiaTheme="minorEastAsia" w:cstheme="minorBidi"/>
              <w:noProof/>
              <w:sz w:val="24"/>
              <w:szCs w:val="24"/>
            </w:rPr>
          </w:pPr>
          <w:hyperlink w:anchor="_Toc162267285" w:history="1">
            <w:r w:rsidR="00736DA9" w:rsidRPr="004372B1">
              <w:rPr>
                <w:rStyle w:val="Hyperlink"/>
                <w:noProof/>
              </w:rPr>
              <w:t>Pregnancy Health: Prenatal Care</w:t>
            </w:r>
            <w:r w:rsidR="00736DA9">
              <w:rPr>
                <w:noProof/>
                <w:webHidden/>
              </w:rPr>
              <w:tab/>
            </w:r>
            <w:r w:rsidR="00736DA9">
              <w:rPr>
                <w:noProof/>
                <w:webHidden/>
              </w:rPr>
              <w:fldChar w:fldCharType="begin"/>
            </w:r>
            <w:r w:rsidR="00736DA9">
              <w:rPr>
                <w:noProof/>
                <w:webHidden/>
              </w:rPr>
              <w:instrText xml:space="preserve"> PAGEREF _Toc162267285 \h </w:instrText>
            </w:r>
            <w:r w:rsidR="00736DA9">
              <w:rPr>
                <w:noProof/>
                <w:webHidden/>
              </w:rPr>
            </w:r>
            <w:r w:rsidR="00736DA9">
              <w:rPr>
                <w:noProof/>
                <w:webHidden/>
              </w:rPr>
              <w:fldChar w:fldCharType="separate"/>
            </w:r>
            <w:r w:rsidR="00736DA9">
              <w:rPr>
                <w:noProof/>
                <w:webHidden/>
              </w:rPr>
              <w:t>226</w:t>
            </w:r>
            <w:r w:rsidR="00736DA9">
              <w:rPr>
                <w:noProof/>
                <w:webHidden/>
              </w:rPr>
              <w:fldChar w:fldCharType="end"/>
            </w:r>
          </w:hyperlink>
        </w:p>
        <w:p w14:paraId="496AD525" w14:textId="6FEA0264" w:rsidR="00736DA9" w:rsidRDefault="00000000">
          <w:pPr>
            <w:pStyle w:val="TOC4"/>
            <w:tabs>
              <w:tab w:val="right" w:pos="9350"/>
            </w:tabs>
            <w:rPr>
              <w:rFonts w:eastAsiaTheme="minorEastAsia" w:cstheme="minorBidi"/>
              <w:noProof/>
              <w:sz w:val="24"/>
              <w:szCs w:val="24"/>
            </w:rPr>
          </w:pPr>
          <w:hyperlink w:anchor="_Toc162267286" w:history="1">
            <w:r w:rsidR="00736DA9" w:rsidRPr="004372B1">
              <w:rPr>
                <w:rStyle w:val="Hyperlink"/>
                <w:noProof/>
              </w:rPr>
              <w:t>Figure 7.13: Adequate Prenatal Care.</w:t>
            </w:r>
            <w:r w:rsidR="00736DA9">
              <w:rPr>
                <w:noProof/>
                <w:webHidden/>
              </w:rPr>
              <w:tab/>
            </w:r>
            <w:r w:rsidR="00736DA9">
              <w:rPr>
                <w:noProof/>
                <w:webHidden/>
              </w:rPr>
              <w:fldChar w:fldCharType="begin"/>
            </w:r>
            <w:r w:rsidR="00736DA9">
              <w:rPr>
                <w:noProof/>
                <w:webHidden/>
              </w:rPr>
              <w:instrText xml:space="preserve"> PAGEREF _Toc162267286 \h </w:instrText>
            </w:r>
            <w:r w:rsidR="00736DA9">
              <w:rPr>
                <w:noProof/>
                <w:webHidden/>
              </w:rPr>
            </w:r>
            <w:r w:rsidR="00736DA9">
              <w:rPr>
                <w:noProof/>
                <w:webHidden/>
              </w:rPr>
              <w:fldChar w:fldCharType="separate"/>
            </w:r>
            <w:r w:rsidR="00736DA9">
              <w:rPr>
                <w:noProof/>
                <w:webHidden/>
              </w:rPr>
              <w:t>226</w:t>
            </w:r>
            <w:r w:rsidR="00736DA9">
              <w:rPr>
                <w:noProof/>
                <w:webHidden/>
              </w:rPr>
              <w:fldChar w:fldCharType="end"/>
            </w:r>
          </w:hyperlink>
        </w:p>
        <w:p w14:paraId="227FBADB" w14:textId="12F21309" w:rsidR="00736DA9" w:rsidRDefault="00000000">
          <w:pPr>
            <w:pStyle w:val="TOC4"/>
            <w:tabs>
              <w:tab w:val="right" w:pos="9350"/>
            </w:tabs>
            <w:rPr>
              <w:rFonts w:eastAsiaTheme="minorEastAsia" w:cstheme="minorBidi"/>
              <w:noProof/>
              <w:sz w:val="24"/>
              <w:szCs w:val="24"/>
            </w:rPr>
          </w:pPr>
          <w:hyperlink w:anchor="_Toc162267287" w:history="1">
            <w:r w:rsidR="00736DA9" w:rsidRPr="004372B1">
              <w:rPr>
                <w:rStyle w:val="Hyperlink"/>
                <w:noProof/>
              </w:rPr>
              <w:t>Figure 7.14: Adequate Prenatal Care, by Race/Ethnicity.</w:t>
            </w:r>
            <w:r w:rsidR="00736DA9">
              <w:rPr>
                <w:noProof/>
                <w:webHidden/>
              </w:rPr>
              <w:tab/>
            </w:r>
            <w:r w:rsidR="00736DA9">
              <w:rPr>
                <w:noProof/>
                <w:webHidden/>
              </w:rPr>
              <w:fldChar w:fldCharType="begin"/>
            </w:r>
            <w:r w:rsidR="00736DA9">
              <w:rPr>
                <w:noProof/>
                <w:webHidden/>
              </w:rPr>
              <w:instrText xml:space="preserve"> PAGEREF _Toc162267287 \h </w:instrText>
            </w:r>
            <w:r w:rsidR="00736DA9">
              <w:rPr>
                <w:noProof/>
                <w:webHidden/>
              </w:rPr>
            </w:r>
            <w:r w:rsidR="00736DA9">
              <w:rPr>
                <w:noProof/>
                <w:webHidden/>
              </w:rPr>
              <w:fldChar w:fldCharType="separate"/>
            </w:r>
            <w:r w:rsidR="00736DA9">
              <w:rPr>
                <w:noProof/>
                <w:webHidden/>
              </w:rPr>
              <w:t>226</w:t>
            </w:r>
            <w:r w:rsidR="00736DA9">
              <w:rPr>
                <w:noProof/>
                <w:webHidden/>
              </w:rPr>
              <w:fldChar w:fldCharType="end"/>
            </w:r>
          </w:hyperlink>
        </w:p>
        <w:p w14:paraId="19302D97" w14:textId="6544BEE5" w:rsidR="00736DA9" w:rsidRDefault="00000000">
          <w:pPr>
            <w:pStyle w:val="TOC4"/>
            <w:tabs>
              <w:tab w:val="right" w:pos="9350"/>
            </w:tabs>
            <w:rPr>
              <w:rFonts w:eastAsiaTheme="minorEastAsia" w:cstheme="minorBidi"/>
              <w:noProof/>
              <w:sz w:val="24"/>
              <w:szCs w:val="24"/>
            </w:rPr>
          </w:pPr>
          <w:hyperlink w:anchor="_Toc162267288"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_Toc162267288 \h </w:instrText>
            </w:r>
            <w:r w:rsidR="00736DA9">
              <w:rPr>
                <w:noProof/>
                <w:webHidden/>
              </w:rPr>
            </w:r>
            <w:r w:rsidR="00736DA9">
              <w:rPr>
                <w:noProof/>
                <w:webHidden/>
              </w:rPr>
              <w:fldChar w:fldCharType="separate"/>
            </w:r>
            <w:r w:rsidR="00736DA9">
              <w:rPr>
                <w:noProof/>
                <w:webHidden/>
              </w:rPr>
              <w:t>227</w:t>
            </w:r>
            <w:r w:rsidR="00736DA9">
              <w:rPr>
                <w:noProof/>
                <w:webHidden/>
              </w:rPr>
              <w:fldChar w:fldCharType="end"/>
            </w:r>
          </w:hyperlink>
        </w:p>
        <w:p w14:paraId="6851BF03" w14:textId="29C31CDD" w:rsidR="00736DA9" w:rsidRDefault="00000000">
          <w:pPr>
            <w:pStyle w:val="TOC4"/>
            <w:tabs>
              <w:tab w:val="right" w:pos="9350"/>
            </w:tabs>
            <w:rPr>
              <w:rFonts w:eastAsiaTheme="minorEastAsia" w:cstheme="minorBidi"/>
              <w:noProof/>
              <w:sz w:val="24"/>
              <w:szCs w:val="24"/>
            </w:rPr>
          </w:pPr>
          <w:hyperlink w:anchor="_Toc162267289" w:history="1">
            <w:r w:rsidR="00736DA9" w:rsidRPr="004372B1">
              <w:rPr>
                <w:rStyle w:val="Hyperlink"/>
                <w:noProof/>
              </w:rPr>
              <w:t>References 7.7</w:t>
            </w:r>
            <w:r w:rsidR="00736DA9">
              <w:rPr>
                <w:noProof/>
                <w:webHidden/>
              </w:rPr>
              <w:tab/>
            </w:r>
            <w:r w:rsidR="00736DA9">
              <w:rPr>
                <w:noProof/>
                <w:webHidden/>
              </w:rPr>
              <w:fldChar w:fldCharType="begin"/>
            </w:r>
            <w:r w:rsidR="00736DA9">
              <w:rPr>
                <w:noProof/>
                <w:webHidden/>
              </w:rPr>
              <w:instrText xml:space="preserve"> PAGEREF _Toc162267289 \h </w:instrText>
            </w:r>
            <w:r w:rsidR="00736DA9">
              <w:rPr>
                <w:noProof/>
                <w:webHidden/>
              </w:rPr>
            </w:r>
            <w:r w:rsidR="00736DA9">
              <w:rPr>
                <w:noProof/>
                <w:webHidden/>
              </w:rPr>
              <w:fldChar w:fldCharType="separate"/>
            </w:r>
            <w:r w:rsidR="00736DA9">
              <w:rPr>
                <w:noProof/>
                <w:webHidden/>
              </w:rPr>
              <w:t>227</w:t>
            </w:r>
            <w:r w:rsidR="00736DA9">
              <w:rPr>
                <w:noProof/>
                <w:webHidden/>
              </w:rPr>
              <w:fldChar w:fldCharType="end"/>
            </w:r>
          </w:hyperlink>
        </w:p>
        <w:p w14:paraId="2319C908" w14:textId="748DE8C1" w:rsidR="00736DA9" w:rsidRDefault="00000000">
          <w:pPr>
            <w:pStyle w:val="TOC3"/>
            <w:tabs>
              <w:tab w:val="right" w:pos="9350"/>
            </w:tabs>
            <w:rPr>
              <w:rFonts w:eastAsiaTheme="minorEastAsia" w:cstheme="minorBidi"/>
              <w:noProof/>
              <w:sz w:val="24"/>
              <w:szCs w:val="24"/>
            </w:rPr>
          </w:pPr>
          <w:hyperlink w:anchor="_Toc162267290" w:history="1">
            <w:r w:rsidR="00736DA9" w:rsidRPr="004372B1">
              <w:rPr>
                <w:rStyle w:val="Hyperlink"/>
                <w:noProof/>
              </w:rPr>
              <w:t>Pregnancy Health: Gestational Diabetes</w:t>
            </w:r>
            <w:r w:rsidR="00736DA9">
              <w:rPr>
                <w:noProof/>
                <w:webHidden/>
              </w:rPr>
              <w:tab/>
            </w:r>
            <w:r w:rsidR="00736DA9">
              <w:rPr>
                <w:noProof/>
                <w:webHidden/>
              </w:rPr>
              <w:fldChar w:fldCharType="begin"/>
            </w:r>
            <w:r w:rsidR="00736DA9">
              <w:rPr>
                <w:noProof/>
                <w:webHidden/>
              </w:rPr>
              <w:instrText xml:space="preserve"> PAGEREF _Toc162267290 \h </w:instrText>
            </w:r>
            <w:r w:rsidR="00736DA9">
              <w:rPr>
                <w:noProof/>
                <w:webHidden/>
              </w:rPr>
            </w:r>
            <w:r w:rsidR="00736DA9">
              <w:rPr>
                <w:noProof/>
                <w:webHidden/>
              </w:rPr>
              <w:fldChar w:fldCharType="separate"/>
            </w:r>
            <w:r w:rsidR="00736DA9">
              <w:rPr>
                <w:noProof/>
                <w:webHidden/>
              </w:rPr>
              <w:t>228</w:t>
            </w:r>
            <w:r w:rsidR="00736DA9">
              <w:rPr>
                <w:noProof/>
                <w:webHidden/>
              </w:rPr>
              <w:fldChar w:fldCharType="end"/>
            </w:r>
          </w:hyperlink>
        </w:p>
        <w:p w14:paraId="2F4203CF" w14:textId="37E9CD6D" w:rsidR="00736DA9" w:rsidRDefault="00000000">
          <w:pPr>
            <w:pStyle w:val="TOC4"/>
            <w:tabs>
              <w:tab w:val="right" w:pos="9350"/>
            </w:tabs>
            <w:rPr>
              <w:rFonts w:eastAsiaTheme="minorEastAsia" w:cstheme="minorBidi"/>
              <w:noProof/>
              <w:sz w:val="24"/>
              <w:szCs w:val="24"/>
            </w:rPr>
          </w:pPr>
          <w:hyperlink w:anchor="_Toc162267291" w:history="1">
            <w:r w:rsidR="00736DA9" w:rsidRPr="004372B1">
              <w:rPr>
                <w:rStyle w:val="Hyperlink"/>
                <w:noProof/>
              </w:rPr>
              <w:t>Figure 7.15: Gestational Diabetes.</w:t>
            </w:r>
            <w:r w:rsidR="00736DA9">
              <w:rPr>
                <w:noProof/>
                <w:webHidden/>
              </w:rPr>
              <w:tab/>
            </w:r>
            <w:r w:rsidR="00736DA9">
              <w:rPr>
                <w:noProof/>
                <w:webHidden/>
              </w:rPr>
              <w:fldChar w:fldCharType="begin"/>
            </w:r>
            <w:r w:rsidR="00736DA9">
              <w:rPr>
                <w:noProof/>
                <w:webHidden/>
              </w:rPr>
              <w:instrText xml:space="preserve"> PAGEREF _Toc162267291 \h </w:instrText>
            </w:r>
            <w:r w:rsidR="00736DA9">
              <w:rPr>
                <w:noProof/>
                <w:webHidden/>
              </w:rPr>
            </w:r>
            <w:r w:rsidR="00736DA9">
              <w:rPr>
                <w:noProof/>
                <w:webHidden/>
              </w:rPr>
              <w:fldChar w:fldCharType="separate"/>
            </w:r>
            <w:r w:rsidR="00736DA9">
              <w:rPr>
                <w:noProof/>
                <w:webHidden/>
              </w:rPr>
              <w:t>228</w:t>
            </w:r>
            <w:r w:rsidR="00736DA9">
              <w:rPr>
                <w:noProof/>
                <w:webHidden/>
              </w:rPr>
              <w:fldChar w:fldCharType="end"/>
            </w:r>
          </w:hyperlink>
        </w:p>
        <w:p w14:paraId="1298F61E" w14:textId="246074AC" w:rsidR="00736DA9" w:rsidRDefault="00000000">
          <w:pPr>
            <w:pStyle w:val="TOC4"/>
            <w:tabs>
              <w:tab w:val="right" w:pos="9350"/>
            </w:tabs>
            <w:rPr>
              <w:rFonts w:eastAsiaTheme="minorEastAsia" w:cstheme="minorBidi"/>
              <w:noProof/>
              <w:sz w:val="24"/>
              <w:szCs w:val="24"/>
            </w:rPr>
          </w:pPr>
          <w:hyperlink w:anchor="_Toc162267292" w:history="1">
            <w:r w:rsidR="00736DA9" w:rsidRPr="004372B1">
              <w:rPr>
                <w:rStyle w:val="Hyperlink"/>
                <w:noProof/>
              </w:rPr>
              <w:t>Figure 7.16: Gestational Diabetes, by Race/Ethnicity.</w:t>
            </w:r>
            <w:r w:rsidR="00736DA9">
              <w:rPr>
                <w:noProof/>
                <w:webHidden/>
              </w:rPr>
              <w:tab/>
            </w:r>
            <w:r w:rsidR="00736DA9">
              <w:rPr>
                <w:noProof/>
                <w:webHidden/>
              </w:rPr>
              <w:fldChar w:fldCharType="begin"/>
            </w:r>
            <w:r w:rsidR="00736DA9">
              <w:rPr>
                <w:noProof/>
                <w:webHidden/>
              </w:rPr>
              <w:instrText xml:space="preserve"> PAGEREF _Toc162267292 \h </w:instrText>
            </w:r>
            <w:r w:rsidR="00736DA9">
              <w:rPr>
                <w:noProof/>
                <w:webHidden/>
              </w:rPr>
            </w:r>
            <w:r w:rsidR="00736DA9">
              <w:rPr>
                <w:noProof/>
                <w:webHidden/>
              </w:rPr>
              <w:fldChar w:fldCharType="separate"/>
            </w:r>
            <w:r w:rsidR="00736DA9">
              <w:rPr>
                <w:noProof/>
                <w:webHidden/>
              </w:rPr>
              <w:t>228</w:t>
            </w:r>
            <w:r w:rsidR="00736DA9">
              <w:rPr>
                <w:noProof/>
                <w:webHidden/>
              </w:rPr>
              <w:fldChar w:fldCharType="end"/>
            </w:r>
          </w:hyperlink>
        </w:p>
        <w:p w14:paraId="11268F2E" w14:textId="32F1B349" w:rsidR="00736DA9" w:rsidRDefault="00000000">
          <w:pPr>
            <w:pStyle w:val="TOC4"/>
            <w:tabs>
              <w:tab w:val="right" w:pos="9350"/>
            </w:tabs>
            <w:rPr>
              <w:rFonts w:eastAsiaTheme="minorEastAsia" w:cstheme="minorBidi"/>
              <w:noProof/>
              <w:sz w:val="24"/>
              <w:szCs w:val="24"/>
            </w:rPr>
          </w:pPr>
          <w:hyperlink w:anchor="_Toc162267293"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_Toc162267293 \h </w:instrText>
            </w:r>
            <w:r w:rsidR="00736DA9">
              <w:rPr>
                <w:noProof/>
                <w:webHidden/>
              </w:rPr>
            </w:r>
            <w:r w:rsidR="00736DA9">
              <w:rPr>
                <w:noProof/>
                <w:webHidden/>
              </w:rPr>
              <w:fldChar w:fldCharType="separate"/>
            </w:r>
            <w:r w:rsidR="00736DA9">
              <w:rPr>
                <w:noProof/>
                <w:webHidden/>
              </w:rPr>
              <w:t>229</w:t>
            </w:r>
            <w:r w:rsidR="00736DA9">
              <w:rPr>
                <w:noProof/>
                <w:webHidden/>
              </w:rPr>
              <w:fldChar w:fldCharType="end"/>
            </w:r>
          </w:hyperlink>
        </w:p>
        <w:p w14:paraId="0F4F869F" w14:textId="3C846899" w:rsidR="00736DA9" w:rsidRDefault="00000000">
          <w:pPr>
            <w:pStyle w:val="TOC4"/>
            <w:tabs>
              <w:tab w:val="right" w:pos="9350"/>
            </w:tabs>
            <w:rPr>
              <w:rFonts w:eastAsiaTheme="minorEastAsia" w:cstheme="minorBidi"/>
              <w:noProof/>
              <w:sz w:val="24"/>
              <w:szCs w:val="24"/>
            </w:rPr>
          </w:pPr>
          <w:hyperlink w:anchor="_Toc162267294" w:history="1">
            <w:r w:rsidR="00736DA9" w:rsidRPr="004372B1">
              <w:rPr>
                <w:rStyle w:val="Hyperlink"/>
                <w:noProof/>
              </w:rPr>
              <w:t>References 7.8</w:t>
            </w:r>
            <w:r w:rsidR="00736DA9">
              <w:rPr>
                <w:noProof/>
                <w:webHidden/>
              </w:rPr>
              <w:tab/>
            </w:r>
            <w:r w:rsidR="00736DA9">
              <w:rPr>
                <w:noProof/>
                <w:webHidden/>
              </w:rPr>
              <w:fldChar w:fldCharType="begin"/>
            </w:r>
            <w:r w:rsidR="00736DA9">
              <w:rPr>
                <w:noProof/>
                <w:webHidden/>
              </w:rPr>
              <w:instrText xml:space="preserve"> PAGEREF _Toc162267294 \h </w:instrText>
            </w:r>
            <w:r w:rsidR="00736DA9">
              <w:rPr>
                <w:noProof/>
                <w:webHidden/>
              </w:rPr>
            </w:r>
            <w:r w:rsidR="00736DA9">
              <w:rPr>
                <w:noProof/>
                <w:webHidden/>
              </w:rPr>
              <w:fldChar w:fldCharType="separate"/>
            </w:r>
            <w:r w:rsidR="00736DA9">
              <w:rPr>
                <w:noProof/>
                <w:webHidden/>
              </w:rPr>
              <w:t>229</w:t>
            </w:r>
            <w:r w:rsidR="00736DA9">
              <w:rPr>
                <w:noProof/>
                <w:webHidden/>
              </w:rPr>
              <w:fldChar w:fldCharType="end"/>
            </w:r>
          </w:hyperlink>
        </w:p>
        <w:p w14:paraId="78EC29FF" w14:textId="70808550" w:rsidR="00736DA9" w:rsidRDefault="00000000">
          <w:pPr>
            <w:pStyle w:val="TOC3"/>
            <w:tabs>
              <w:tab w:val="right" w:pos="9350"/>
            </w:tabs>
            <w:rPr>
              <w:rFonts w:eastAsiaTheme="minorEastAsia" w:cstheme="minorBidi"/>
              <w:noProof/>
              <w:sz w:val="24"/>
              <w:szCs w:val="24"/>
            </w:rPr>
          </w:pPr>
          <w:hyperlink w:anchor="_Toc162267295" w:history="1">
            <w:r w:rsidR="00736DA9" w:rsidRPr="004372B1">
              <w:rPr>
                <w:rStyle w:val="Hyperlink"/>
                <w:noProof/>
              </w:rPr>
              <w:t>Pregnancy Health: Oral Health</w:t>
            </w:r>
            <w:r w:rsidR="00736DA9">
              <w:rPr>
                <w:noProof/>
                <w:webHidden/>
              </w:rPr>
              <w:tab/>
            </w:r>
            <w:r w:rsidR="00736DA9">
              <w:rPr>
                <w:noProof/>
                <w:webHidden/>
              </w:rPr>
              <w:fldChar w:fldCharType="begin"/>
            </w:r>
            <w:r w:rsidR="00736DA9">
              <w:rPr>
                <w:noProof/>
                <w:webHidden/>
              </w:rPr>
              <w:instrText xml:space="preserve"> PAGEREF _Toc162267295 \h </w:instrText>
            </w:r>
            <w:r w:rsidR="00736DA9">
              <w:rPr>
                <w:noProof/>
                <w:webHidden/>
              </w:rPr>
            </w:r>
            <w:r w:rsidR="00736DA9">
              <w:rPr>
                <w:noProof/>
                <w:webHidden/>
              </w:rPr>
              <w:fldChar w:fldCharType="separate"/>
            </w:r>
            <w:r w:rsidR="00736DA9">
              <w:rPr>
                <w:noProof/>
                <w:webHidden/>
              </w:rPr>
              <w:t>229</w:t>
            </w:r>
            <w:r w:rsidR="00736DA9">
              <w:rPr>
                <w:noProof/>
                <w:webHidden/>
              </w:rPr>
              <w:fldChar w:fldCharType="end"/>
            </w:r>
          </w:hyperlink>
        </w:p>
        <w:p w14:paraId="17140A3C" w14:textId="281C9281" w:rsidR="00736DA9" w:rsidRDefault="00000000">
          <w:pPr>
            <w:pStyle w:val="TOC4"/>
            <w:tabs>
              <w:tab w:val="right" w:pos="9350"/>
            </w:tabs>
            <w:rPr>
              <w:rFonts w:eastAsiaTheme="minorEastAsia" w:cstheme="minorBidi"/>
              <w:noProof/>
              <w:sz w:val="24"/>
              <w:szCs w:val="24"/>
            </w:rPr>
          </w:pPr>
          <w:hyperlink w:anchor="_Toc162267296" w:history="1">
            <w:r w:rsidR="00736DA9" w:rsidRPr="004372B1">
              <w:rPr>
                <w:rStyle w:val="Hyperlink"/>
                <w:noProof/>
              </w:rPr>
              <w:t>Figure 7.17: Teeth Cleaned During Pregnancy.</w:t>
            </w:r>
            <w:r w:rsidR="00736DA9">
              <w:rPr>
                <w:noProof/>
                <w:webHidden/>
              </w:rPr>
              <w:tab/>
            </w:r>
            <w:r w:rsidR="00736DA9">
              <w:rPr>
                <w:noProof/>
                <w:webHidden/>
              </w:rPr>
              <w:fldChar w:fldCharType="begin"/>
            </w:r>
            <w:r w:rsidR="00736DA9">
              <w:rPr>
                <w:noProof/>
                <w:webHidden/>
              </w:rPr>
              <w:instrText xml:space="preserve"> PAGEREF _Toc162267296 \h </w:instrText>
            </w:r>
            <w:r w:rsidR="00736DA9">
              <w:rPr>
                <w:noProof/>
                <w:webHidden/>
              </w:rPr>
            </w:r>
            <w:r w:rsidR="00736DA9">
              <w:rPr>
                <w:noProof/>
                <w:webHidden/>
              </w:rPr>
              <w:fldChar w:fldCharType="separate"/>
            </w:r>
            <w:r w:rsidR="00736DA9">
              <w:rPr>
                <w:noProof/>
                <w:webHidden/>
              </w:rPr>
              <w:t>230</w:t>
            </w:r>
            <w:r w:rsidR="00736DA9">
              <w:rPr>
                <w:noProof/>
                <w:webHidden/>
              </w:rPr>
              <w:fldChar w:fldCharType="end"/>
            </w:r>
          </w:hyperlink>
        </w:p>
        <w:p w14:paraId="76D9572A" w14:textId="4BADE851" w:rsidR="00736DA9" w:rsidRDefault="00000000">
          <w:pPr>
            <w:pStyle w:val="TOC4"/>
            <w:tabs>
              <w:tab w:val="right" w:pos="9350"/>
            </w:tabs>
            <w:rPr>
              <w:rFonts w:eastAsiaTheme="minorEastAsia" w:cstheme="minorBidi"/>
              <w:noProof/>
              <w:sz w:val="24"/>
              <w:szCs w:val="24"/>
            </w:rPr>
          </w:pPr>
          <w:hyperlink w:anchor="_Toc162267297" w:history="1">
            <w:r w:rsidR="00736DA9" w:rsidRPr="004372B1">
              <w:rPr>
                <w:rStyle w:val="Hyperlink"/>
                <w:noProof/>
              </w:rPr>
              <w:t>Figure 7.18: Teeth Cleaned During Pregnancy, by Race/Ethnicity.</w:t>
            </w:r>
            <w:r w:rsidR="00736DA9">
              <w:rPr>
                <w:noProof/>
                <w:webHidden/>
              </w:rPr>
              <w:tab/>
            </w:r>
            <w:r w:rsidR="00736DA9">
              <w:rPr>
                <w:noProof/>
                <w:webHidden/>
              </w:rPr>
              <w:fldChar w:fldCharType="begin"/>
            </w:r>
            <w:r w:rsidR="00736DA9">
              <w:rPr>
                <w:noProof/>
                <w:webHidden/>
              </w:rPr>
              <w:instrText xml:space="preserve"> PAGEREF _Toc162267297 \h </w:instrText>
            </w:r>
            <w:r w:rsidR="00736DA9">
              <w:rPr>
                <w:noProof/>
                <w:webHidden/>
              </w:rPr>
            </w:r>
            <w:r w:rsidR="00736DA9">
              <w:rPr>
                <w:noProof/>
                <w:webHidden/>
              </w:rPr>
              <w:fldChar w:fldCharType="separate"/>
            </w:r>
            <w:r w:rsidR="00736DA9">
              <w:rPr>
                <w:noProof/>
                <w:webHidden/>
              </w:rPr>
              <w:t>230</w:t>
            </w:r>
            <w:r w:rsidR="00736DA9">
              <w:rPr>
                <w:noProof/>
                <w:webHidden/>
              </w:rPr>
              <w:fldChar w:fldCharType="end"/>
            </w:r>
          </w:hyperlink>
        </w:p>
        <w:p w14:paraId="0AF1EF61" w14:textId="4D9418D6" w:rsidR="00736DA9" w:rsidRDefault="00000000">
          <w:pPr>
            <w:pStyle w:val="TOC4"/>
            <w:tabs>
              <w:tab w:val="right" w:pos="9350"/>
            </w:tabs>
            <w:rPr>
              <w:rFonts w:eastAsiaTheme="minorEastAsia" w:cstheme="minorBidi"/>
              <w:noProof/>
              <w:sz w:val="24"/>
              <w:szCs w:val="24"/>
            </w:rPr>
          </w:pPr>
          <w:hyperlink w:anchor="_Toc162267298"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_Toc162267298 \h </w:instrText>
            </w:r>
            <w:r w:rsidR="00736DA9">
              <w:rPr>
                <w:noProof/>
                <w:webHidden/>
              </w:rPr>
            </w:r>
            <w:r w:rsidR="00736DA9">
              <w:rPr>
                <w:noProof/>
                <w:webHidden/>
              </w:rPr>
              <w:fldChar w:fldCharType="separate"/>
            </w:r>
            <w:r w:rsidR="00736DA9">
              <w:rPr>
                <w:noProof/>
                <w:webHidden/>
              </w:rPr>
              <w:t>230</w:t>
            </w:r>
            <w:r w:rsidR="00736DA9">
              <w:rPr>
                <w:noProof/>
                <w:webHidden/>
              </w:rPr>
              <w:fldChar w:fldCharType="end"/>
            </w:r>
          </w:hyperlink>
        </w:p>
        <w:p w14:paraId="7E791F25" w14:textId="4EAF3CB4" w:rsidR="00736DA9" w:rsidRDefault="00000000">
          <w:pPr>
            <w:pStyle w:val="TOC4"/>
            <w:tabs>
              <w:tab w:val="right" w:pos="9350"/>
            </w:tabs>
            <w:rPr>
              <w:rFonts w:eastAsiaTheme="minorEastAsia" w:cstheme="minorBidi"/>
              <w:noProof/>
              <w:sz w:val="24"/>
              <w:szCs w:val="24"/>
            </w:rPr>
          </w:pPr>
          <w:hyperlink w:anchor="_Toc162267299" w:history="1">
            <w:r w:rsidR="00736DA9" w:rsidRPr="004372B1">
              <w:rPr>
                <w:rStyle w:val="Hyperlink"/>
                <w:noProof/>
              </w:rPr>
              <w:t>References 7.9</w:t>
            </w:r>
            <w:r w:rsidR="00736DA9">
              <w:rPr>
                <w:noProof/>
                <w:webHidden/>
              </w:rPr>
              <w:tab/>
            </w:r>
            <w:r w:rsidR="00736DA9">
              <w:rPr>
                <w:noProof/>
                <w:webHidden/>
              </w:rPr>
              <w:fldChar w:fldCharType="begin"/>
            </w:r>
            <w:r w:rsidR="00736DA9">
              <w:rPr>
                <w:noProof/>
                <w:webHidden/>
              </w:rPr>
              <w:instrText xml:space="preserve"> PAGEREF _Toc162267299 \h </w:instrText>
            </w:r>
            <w:r w:rsidR="00736DA9">
              <w:rPr>
                <w:noProof/>
                <w:webHidden/>
              </w:rPr>
            </w:r>
            <w:r w:rsidR="00736DA9">
              <w:rPr>
                <w:noProof/>
                <w:webHidden/>
              </w:rPr>
              <w:fldChar w:fldCharType="separate"/>
            </w:r>
            <w:r w:rsidR="00736DA9">
              <w:rPr>
                <w:noProof/>
                <w:webHidden/>
              </w:rPr>
              <w:t>231</w:t>
            </w:r>
            <w:r w:rsidR="00736DA9">
              <w:rPr>
                <w:noProof/>
                <w:webHidden/>
              </w:rPr>
              <w:fldChar w:fldCharType="end"/>
            </w:r>
          </w:hyperlink>
        </w:p>
        <w:p w14:paraId="07ACD684" w14:textId="7BCD0660" w:rsidR="00736DA9" w:rsidRDefault="00000000">
          <w:pPr>
            <w:pStyle w:val="TOC3"/>
            <w:tabs>
              <w:tab w:val="right" w:pos="9350"/>
            </w:tabs>
            <w:rPr>
              <w:rFonts w:eastAsiaTheme="minorEastAsia" w:cstheme="minorBidi"/>
              <w:noProof/>
              <w:sz w:val="24"/>
              <w:szCs w:val="24"/>
            </w:rPr>
          </w:pPr>
          <w:hyperlink w:anchor="_Toc162267300" w:history="1">
            <w:r w:rsidR="00736DA9" w:rsidRPr="004372B1">
              <w:rPr>
                <w:rStyle w:val="Hyperlink"/>
                <w:noProof/>
              </w:rPr>
              <w:t>Behavioral Health: Mental Health</w:t>
            </w:r>
            <w:r w:rsidR="00736DA9">
              <w:rPr>
                <w:noProof/>
                <w:webHidden/>
              </w:rPr>
              <w:tab/>
            </w:r>
            <w:r w:rsidR="00736DA9">
              <w:rPr>
                <w:noProof/>
                <w:webHidden/>
              </w:rPr>
              <w:fldChar w:fldCharType="begin"/>
            </w:r>
            <w:r w:rsidR="00736DA9">
              <w:rPr>
                <w:noProof/>
                <w:webHidden/>
              </w:rPr>
              <w:instrText xml:space="preserve"> PAGEREF _Toc162267300 \h </w:instrText>
            </w:r>
            <w:r w:rsidR="00736DA9">
              <w:rPr>
                <w:noProof/>
                <w:webHidden/>
              </w:rPr>
            </w:r>
            <w:r w:rsidR="00736DA9">
              <w:rPr>
                <w:noProof/>
                <w:webHidden/>
              </w:rPr>
              <w:fldChar w:fldCharType="separate"/>
            </w:r>
            <w:r w:rsidR="00736DA9">
              <w:rPr>
                <w:noProof/>
                <w:webHidden/>
              </w:rPr>
              <w:t>231</w:t>
            </w:r>
            <w:r w:rsidR="00736DA9">
              <w:rPr>
                <w:noProof/>
                <w:webHidden/>
              </w:rPr>
              <w:fldChar w:fldCharType="end"/>
            </w:r>
          </w:hyperlink>
        </w:p>
        <w:p w14:paraId="0CAE340A" w14:textId="3C00E642" w:rsidR="00736DA9" w:rsidRDefault="00000000">
          <w:pPr>
            <w:pStyle w:val="TOC4"/>
            <w:tabs>
              <w:tab w:val="right" w:pos="9350"/>
            </w:tabs>
            <w:rPr>
              <w:rFonts w:eastAsiaTheme="minorEastAsia" w:cstheme="minorBidi"/>
              <w:noProof/>
              <w:sz w:val="24"/>
              <w:szCs w:val="24"/>
            </w:rPr>
          </w:pPr>
          <w:hyperlink w:anchor="_Toc162267301" w:history="1">
            <w:r w:rsidR="00736DA9" w:rsidRPr="004372B1">
              <w:rPr>
                <w:rStyle w:val="Hyperlink"/>
                <w:noProof/>
              </w:rPr>
              <w:t>Figure 7.19: Prevalence of Depression among Women 18-44, by Race/Ethnicity.</w:t>
            </w:r>
            <w:r w:rsidR="00736DA9">
              <w:rPr>
                <w:noProof/>
                <w:webHidden/>
              </w:rPr>
              <w:tab/>
            </w:r>
            <w:r w:rsidR="00736DA9">
              <w:rPr>
                <w:noProof/>
                <w:webHidden/>
              </w:rPr>
              <w:fldChar w:fldCharType="begin"/>
            </w:r>
            <w:r w:rsidR="00736DA9">
              <w:rPr>
                <w:noProof/>
                <w:webHidden/>
              </w:rPr>
              <w:instrText xml:space="preserve"> PAGEREF _Toc162267301 \h </w:instrText>
            </w:r>
            <w:r w:rsidR="00736DA9">
              <w:rPr>
                <w:noProof/>
                <w:webHidden/>
              </w:rPr>
            </w:r>
            <w:r w:rsidR="00736DA9">
              <w:rPr>
                <w:noProof/>
                <w:webHidden/>
              </w:rPr>
              <w:fldChar w:fldCharType="separate"/>
            </w:r>
            <w:r w:rsidR="00736DA9">
              <w:rPr>
                <w:noProof/>
                <w:webHidden/>
              </w:rPr>
              <w:t>231</w:t>
            </w:r>
            <w:r w:rsidR="00736DA9">
              <w:rPr>
                <w:noProof/>
                <w:webHidden/>
              </w:rPr>
              <w:fldChar w:fldCharType="end"/>
            </w:r>
          </w:hyperlink>
        </w:p>
        <w:p w14:paraId="120F0BF3" w14:textId="5D044C01" w:rsidR="00736DA9" w:rsidRDefault="00000000">
          <w:pPr>
            <w:pStyle w:val="TOC4"/>
            <w:tabs>
              <w:tab w:val="right" w:pos="9350"/>
            </w:tabs>
            <w:rPr>
              <w:rFonts w:eastAsiaTheme="minorEastAsia" w:cstheme="minorBidi"/>
              <w:noProof/>
              <w:sz w:val="24"/>
              <w:szCs w:val="24"/>
            </w:rPr>
          </w:pPr>
          <w:hyperlink w:anchor="_Toc162267302" w:history="1">
            <w:r w:rsidR="00736DA9" w:rsidRPr="004372B1">
              <w:rPr>
                <w:rStyle w:val="Hyperlink"/>
                <w:noProof/>
              </w:rPr>
              <w:t>Figure 7.20: Prevalence of Depression During Pregnancy, by Year.</w:t>
            </w:r>
            <w:r w:rsidR="00736DA9">
              <w:rPr>
                <w:noProof/>
                <w:webHidden/>
              </w:rPr>
              <w:tab/>
            </w:r>
            <w:r w:rsidR="00736DA9">
              <w:rPr>
                <w:noProof/>
                <w:webHidden/>
              </w:rPr>
              <w:fldChar w:fldCharType="begin"/>
            </w:r>
            <w:r w:rsidR="00736DA9">
              <w:rPr>
                <w:noProof/>
                <w:webHidden/>
              </w:rPr>
              <w:instrText xml:space="preserve"> PAGEREF _Toc162267302 \h </w:instrText>
            </w:r>
            <w:r w:rsidR="00736DA9">
              <w:rPr>
                <w:noProof/>
                <w:webHidden/>
              </w:rPr>
            </w:r>
            <w:r w:rsidR="00736DA9">
              <w:rPr>
                <w:noProof/>
                <w:webHidden/>
              </w:rPr>
              <w:fldChar w:fldCharType="separate"/>
            </w:r>
            <w:r w:rsidR="00736DA9">
              <w:rPr>
                <w:noProof/>
                <w:webHidden/>
              </w:rPr>
              <w:t>232</w:t>
            </w:r>
            <w:r w:rsidR="00736DA9">
              <w:rPr>
                <w:noProof/>
                <w:webHidden/>
              </w:rPr>
              <w:fldChar w:fldCharType="end"/>
            </w:r>
          </w:hyperlink>
        </w:p>
        <w:p w14:paraId="664A121C" w14:textId="7F950FD1" w:rsidR="00736DA9" w:rsidRDefault="00000000">
          <w:pPr>
            <w:pStyle w:val="TOC4"/>
            <w:tabs>
              <w:tab w:val="right" w:pos="9350"/>
            </w:tabs>
            <w:rPr>
              <w:rFonts w:eastAsiaTheme="minorEastAsia" w:cstheme="minorBidi"/>
              <w:noProof/>
              <w:sz w:val="24"/>
              <w:szCs w:val="24"/>
            </w:rPr>
          </w:pPr>
          <w:hyperlink w:anchor="_Toc162267303"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_Toc162267303 \h </w:instrText>
            </w:r>
            <w:r w:rsidR="00736DA9">
              <w:rPr>
                <w:noProof/>
                <w:webHidden/>
              </w:rPr>
            </w:r>
            <w:r w:rsidR="00736DA9">
              <w:rPr>
                <w:noProof/>
                <w:webHidden/>
              </w:rPr>
              <w:fldChar w:fldCharType="separate"/>
            </w:r>
            <w:r w:rsidR="00736DA9">
              <w:rPr>
                <w:noProof/>
                <w:webHidden/>
              </w:rPr>
              <w:t>232</w:t>
            </w:r>
            <w:r w:rsidR="00736DA9">
              <w:rPr>
                <w:noProof/>
                <w:webHidden/>
              </w:rPr>
              <w:fldChar w:fldCharType="end"/>
            </w:r>
          </w:hyperlink>
        </w:p>
        <w:p w14:paraId="42A5BC26" w14:textId="78EE4628" w:rsidR="00736DA9" w:rsidRDefault="00000000">
          <w:pPr>
            <w:pStyle w:val="TOC4"/>
            <w:tabs>
              <w:tab w:val="right" w:pos="9350"/>
            </w:tabs>
            <w:rPr>
              <w:rFonts w:eastAsiaTheme="minorEastAsia" w:cstheme="minorBidi"/>
              <w:noProof/>
              <w:sz w:val="24"/>
              <w:szCs w:val="24"/>
            </w:rPr>
          </w:pPr>
          <w:hyperlink w:anchor="_Toc162267304" w:history="1">
            <w:r w:rsidR="00736DA9" w:rsidRPr="004372B1">
              <w:rPr>
                <w:rStyle w:val="Hyperlink"/>
                <w:noProof/>
              </w:rPr>
              <w:t>References 7.10</w:t>
            </w:r>
            <w:r w:rsidR="00736DA9">
              <w:rPr>
                <w:noProof/>
                <w:webHidden/>
              </w:rPr>
              <w:tab/>
            </w:r>
            <w:r w:rsidR="00736DA9">
              <w:rPr>
                <w:noProof/>
                <w:webHidden/>
              </w:rPr>
              <w:fldChar w:fldCharType="begin"/>
            </w:r>
            <w:r w:rsidR="00736DA9">
              <w:rPr>
                <w:noProof/>
                <w:webHidden/>
              </w:rPr>
              <w:instrText xml:space="preserve"> PAGEREF _Toc162267304 \h </w:instrText>
            </w:r>
            <w:r w:rsidR="00736DA9">
              <w:rPr>
                <w:noProof/>
                <w:webHidden/>
              </w:rPr>
            </w:r>
            <w:r w:rsidR="00736DA9">
              <w:rPr>
                <w:noProof/>
                <w:webHidden/>
              </w:rPr>
              <w:fldChar w:fldCharType="separate"/>
            </w:r>
            <w:r w:rsidR="00736DA9">
              <w:rPr>
                <w:noProof/>
                <w:webHidden/>
              </w:rPr>
              <w:t>232</w:t>
            </w:r>
            <w:r w:rsidR="00736DA9">
              <w:rPr>
                <w:noProof/>
                <w:webHidden/>
              </w:rPr>
              <w:fldChar w:fldCharType="end"/>
            </w:r>
          </w:hyperlink>
        </w:p>
        <w:p w14:paraId="6B2FE0EF" w14:textId="4EDD7ED0" w:rsidR="00736DA9" w:rsidRDefault="00000000">
          <w:pPr>
            <w:pStyle w:val="TOC3"/>
            <w:tabs>
              <w:tab w:val="right" w:pos="9350"/>
            </w:tabs>
            <w:rPr>
              <w:rFonts w:eastAsiaTheme="minorEastAsia" w:cstheme="minorBidi"/>
              <w:noProof/>
              <w:sz w:val="24"/>
              <w:szCs w:val="24"/>
            </w:rPr>
          </w:pPr>
          <w:hyperlink w:anchor="_Toc162267305" w:history="1">
            <w:r w:rsidR="00736DA9" w:rsidRPr="004372B1">
              <w:rPr>
                <w:rStyle w:val="Hyperlink"/>
                <w:noProof/>
              </w:rPr>
              <w:t>Behavioral Health: Substance Use</w:t>
            </w:r>
            <w:r w:rsidR="00736DA9">
              <w:rPr>
                <w:noProof/>
                <w:webHidden/>
              </w:rPr>
              <w:tab/>
            </w:r>
            <w:r w:rsidR="00736DA9">
              <w:rPr>
                <w:noProof/>
                <w:webHidden/>
              </w:rPr>
              <w:fldChar w:fldCharType="begin"/>
            </w:r>
            <w:r w:rsidR="00736DA9">
              <w:rPr>
                <w:noProof/>
                <w:webHidden/>
              </w:rPr>
              <w:instrText xml:space="preserve"> PAGEREF _Toc162267305 \h </w:instrText>
            </w:r>
            <w:r w:rsidR="00736DA9">
              <w:rPr>
                <w:noProof/>
                <w:webHidden/>
              </w:rPr>
            </w:r>
            <w:r w:rsidR="00736DA9">
              <w:rPr>
                <w:noProof/>
                <w:webHidden/>
              </w:rPr>
              <w:fldChar w:fldCharType="separate"/>
            </w:r>
            <w:r w:rsidR="00736DA9">
              <w:rPr>
                <w:noProof/>
                <w:webHidden/>
              </w:rPr>
              <w:t>233</w:t>
            </w:r>
            <w:r w:rsidR="00736DA9">
              <w:rPr>
                <w:noProof/>
                <w:webHidden/>
              </w:rPr>
              <w:fldChar w:fldCharType="end"/>
            </w:r>
          </w:hyperlink>
        </w:p>
        <w:p w14:paraId="26D51694" w14:textId="1CE64710" w:rsidR="00736DA9" w:rsidRDefault="00000000">
          <w:pPr>
            <w:pStyle w:val="TOC4"/>
            <w:tabs>
              <w:tab w:val="right" w:pos="9350"/>
            </w:tabs>
            <w:rPr>
              <w:rFonts w:eastAsiaTheme="minorEastAsia" w:cstheme="minorBidi"/>
              <w:noProof/>
              <w:sz w:val="24"/>
              <w:szCs w:val="24"/>
            </w:rPr>
          </w:pPr>
          <w:hyperlink w:anchor="_Toc162267306" w:history="1">
            <w:r w:rsidR="00736DA9" w:rsidRPr="004372B1">
              <w:rPr>
                <w:rStyle w:val="Hyperlink"/>
                <w:noProof/>
              </w:rPr>
              <w:t>Figure 7.21: Prevalence of Ever Having a Problem with Alcohol or Drugs among Women 18-44, by Race/Ethnicity.</w:t>
            </w:r>
            <w:r w:rsidR="00736DA9">
              <w:rPr>
                <w:noProof/>
                <w:webHidden/>
              </w:rPr>
              <w:tab/>
            </w:r>
            <w:r w:rsidR="00736DA9">
              <w:rPr>
                <w:noProof/>
                <w:webHidden/>
              </w:rPr>
              <w:fldChar w:fldCharType="begin"/>
            </w:r>
            <w:r w:rsidR="00736DA9">
              <w:rPr>
                <w:noProof/>
                <w:webHidden/>
              </w:rPr>
              <w:instrText xml:space="preserve"> PAGEREF _Toc162267306 \h </w:instrText>
            </w:r>
            <w:r w:rsidR="00736DA9">
              <w:rPr>
                <w:noProof/>
                <w:webHidden/>
              </w:rPr>
            </w:r>
            <w:r w:rsidR="00736DA9">
              <w:rPr>
                <w:noProof/>
                <w:webHidden/>
              </w:rPr>
              <w:fldChar w:fldCharType="separate"/>
            </w:r>
            <w:r w:rsidR="00736DA9">
              <w:rPr>
                <w:noProof/>
                <w:webHidden/>
              </w:rPr>
              <w:t>233</w:t>
            </w:r>
            <w:r w:rsidR="00736DA9">
              <w:rPr>
                <w:noProof/>
                <w:webHidden/>
              </w:rPr>
              <w:fldChar w:fldCharType="end"/>
            </w:r>
          </w:hyperlink>
        </w:p>
        <w:p w14:paraId="57CFF8DE" w14:textId="08B4A267" w:rsidR="00736DA9" w:rsidRDefault="00000000">
          <w:pPr>
            <w:pStyle w:val="TOC4"/>
            <w:tabs>
              <w:tab w:val="right" w:pos="9350"/>
            </w:tabs>
            <w:rPr>
              <w:rFonts w:eastAsiaTheme="minorEastAsia" w:cstheme="minorBidi"/>
              <w:noProof/>
              <w:sz w:val="24"/>
              <w:szCs w:val="24"/>
            </w:rPr>
          </w:pPr>
          <w:hyperlink w:anchor="_Toc162267307" w:history="1">
            <w:r w:rsidR="00736DA9" w:rsidRPr="004372B1">
              <w:rPr>
                <w:rStyle w:val="Hyperlink"/>
                <w:noProof/>
              </w:rPr>
              <w:t>Figure 7.22: Prevalence of Currently Having a Problem with Alcohol or Drugs among Women 18-44, by Race/Ethnicity.</w:t>
            </w:r>
            <w:r w:rsidR="00736DA9">
              <w:rPr>
                <w:noProof/>
                <w:webHidden/>
              </w:rPr>
              <w:tab/>
            </w:r>
            <w:r w:rsidR="00736DA9">
              <w:rPr>
                <w:noProof/>
                <w:webHidden/>
              </w:rPr>
              <w:fldChar w:fldCharType="begin"/>
            </w:r>
            <w:r w:rsidR="00736DA9">
              <w:rPr>
                <w:noProof/>
                <w:webHidden/>
              </w:rPr>
              <w:instrText xml:space="preserve"> PAGEREF _Toc162267307 \h </w:instrText>
            </w:r>
            <w:r w:rsidR="00736DA9">
              <w:rPr>
                <w:noProof/>
                <w:webHidden/>
              </w:rPr>
            </w:r>
            <w:r w:rsidR="00736DA9">
              <w:rPr>
                <w:noProof/>
                <w:webHidden/>
              </w:rPr>
              <w:fldChar w:fldCharType="separate"/>
            </w:r>
            <w:r w:rsidR="00736DA9">
              <w:rPr>
                <w:noProof/>
                <w:webHidden/>
              </w:rPr>
              <w:t>233</w:t>
            </w:r>
            <w:r w:rsidR="00736DA9">
              <w:rPr>
                <w:noProof/>
                <w:webHidden/>
              </w:rPr>
              <w:fldChar w:fldCharType="end"/>
            </w:r>
          </w:hyperlink>
        </w:p>
        <w:p w14:paraId="608B32F7" w14:textId="448CFBA8" w:rsidR="00736DA9" w:rsidRDefault="00000000">
          <w:pPr>
            <w:pStyle w:val="TOC4"/>
            <w:tabs>
              <w:tab w:val="right" w:pos="9350"/>
            </w:tabs>
            <w:rPr>
              <w:rFonts w:eastAsiaTheme="minorEastAsia" w:cstheme="minorBidi"/>
              <w:noProof/>
              <w:sz w:val="24"/>
              <w:szCs w:val="24"/>
            </w:rPr>
          </w:pPr>
          <w:hyperlink w:anchor="_Toc162267308" w:history="1">
            <w:r w:rsidR="00736DA9" w:rsidRPr="004372B1">
              <w:rPr>
                <w:rStyle w:val="Hyperlink"/>
                <w:noProof/>
              </w:rPr>
              <w:t>Figure 7.23: Prevalence of Prescription Opioid Use during Pregnancy, by Race/Ethnicity.</w:t>
            </w:r>
            <w:r w:rsidR="00736DA9">
              <w:rPr>
                <w:noProof/>
                <w:webHidden/>
              </w:rPr>
              <w:tab/>
            </w:r>
            <w:r w:rsidR="00736DA9">
              <w:rPr>
                <w:noProof/>
                <w:webHidden/>
              </w:rPr>
              <w:fldChar w:fldCharType="begin"/>
            </w:r>
            <w:r w:rsidR="00736DA9">
              <w:rPr>
                <w:noProof/>
                <w:webHidden/>
              </w:rPr>
              <w:instrText xml:space="preserve"> PAGEREF _Toc162267308 \h </w:instrText>
            </w:r>
            <w:r w:rsidR="00736DA9">
              <w:rPr>
                <w:noProof/>
                <w:webHidden/>
              </w:rPr>
            </w:r>
            <w:r w:rsidR="00736DA9">
              <w:rPr>
                <w:noProof/>
                <w:webHidden/>
              </w:rPr>
              <w:fldChar w:fldCharType="separate"/>
            </w:r>
            <w:r w:rsidR="00736DA9">
              <w:rPr>
                <w:noProof/>
                <w:webHidden/>
              </w:rPr>
              <w:t>234</w:t>
            </w:r>
            <w:r w:rsidR="00736DA9">
              <w:rPr>
                <w:noProof/>
                <w:webHidden/>
              </w:rPr>
              <w:fldChar w:fldCharType="end"/>
            </w:r>
          </w:hyperlink>
        </w:p>
        <w:p w14:paraId="572F1129" w14:textId="1EC92CD7" w:rsidR="00736DA9" w:rsidRDefault="00000000">
          <w:pPr>
            <w:pStyle w:val="TOC4"/>
            <w:tabs>
              <w:tab w:val="right" w:pos="9350"/>
            </w:tabs>
            <w:rPr>
              <w:rFonts w:eastAsiaTheme="minorEastAsia" w:cstheme="minorBidi"/>
              <w:noProof/>
              <w:sz w:val="24"/>
              <w:szCs w:val="24"/>
            </w:rPr>
          </w:pPr>
          <w:hyperlink w:anchor="_Toc162267309"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_Toc162267309 \h </w:instrText>
            </w:r>
            <w:r w:rsidR="00736DA9">
              <w:rPr>
                <w:noProof/>
                <w:webHidden/>
              </w:rPr>
            </w:r>
            <w:r w:rsidR="00736DA9">
              <w:rPr>
                <w:noProof/>
                <w:webHidden/>
              </w:rPr>
              <w:fldChar w:fldCharType="separate"/>
            </w:r>
            <w:r w:rsidR="00736DA9">
              <w:rPr>
                <w:noProof/>
                <w:webHidden/>
              </w:rPr>
              <w:t>234</w:t>
            </w:r>
            <w:r w:rsidR="00736DA9">
              <w:rPr>
                <w:noProof/>
                <w:webHidden/>
              </w:rPr>
              <w:fldChar w:fldCharType="end"/>
            </w:r>
          </w:hyperlink>
        </w:p>
        <w:p w14:paraId="43B22D28" w14:textId="18B08134" w:rsidR="00736DA9" w:rsidRDefault="00000000">
          <w:pPr>
            <w:pStyle w:val="TOC4"/>
            <w:tabs>
              <w:tab w:val="right" w:pos="9350"/>
            </w:tabs>
            <w:rPr>
              <w:rFonts w:eastAsiaTheme="minorEastAsia" w:cstheme="minorBidi"/>
              <w:noProof/>
              <w:sz w:val="24"/>
              <w:szCs w:val="24"/>
            </w:rPr>
          </w:pPr>
          <w:hyperlink w:anchor="_Toc162267310" w:history="1">
            <w:r w:rsidR="00736DA9" w:rsidRPr="004372B1">
              <w:rPr>
                <w:rStyle w:val="Hyperlink"/>
                <w:noProof/>
              </w:rPr>
              <w:t>References 7.11</w:t>
            </w:r>
            <w:r w:rsidR="00736DA9">
              <w:rPr>
                <w:noProof/>
                <w:webHidden/>
              </w:rPr>
              <w:tab/>
            </w:r>
            <w:r w:rsidR="00736DA9">
              <w:rPr>
                <w:noProof/>
                <w:webHidden/>
              </w:rPr>
              <w:fldChar w:fldCharType="begin"/>
            </w:r>
            <w:r w:rsidR="00736DA9">
              <w:rPr>
                <w:noProof/>
                <w:webHidden/>
              </w:rPr>
              <w:instrText xml:space="preserve"> PAGEREF _Toc162267310 \h </w:instrText>
            </w:r>
            <w:r w:rsidR="00736DA9">
              <w:rPr>
                <w:noProof/>
                <w:webHidden/>
              </w:rPr>
            </w:r>
            <w:r w:rsidR="00736DA9">
              <w:rPr>
                <w:noProof/>
                <w:webHidden/>
              </w:rPr>
              <w:fldChar w:fldCharType="separate"/>
            </w:r>
            <w:r w:rsidR="00736DA9">
              <w:rPr>
                <w:noProof/>
                <w:webHidden/>
              </w:rPr>
              <w:t>235</w:t>
            </w:r>
            <w:r w:rsidR="00736DA9">
              <w:rPr>
                <w:noProof/>
                <w:webHidden/>
              </w:rPr>
              <w:fldChar w:fldCharType="end"/>
            </w:r>
          </w:hyperlink>
        </w:p>
        <w:p w14:paraId="257B3A83" w14:textId="6F3F9F49" w:rsidR="00736DA9" w:rsidRDefault="00000000">
          <w:pPr>
            <w:pStyle w:val="TOC3"/>
            <w:tabs>
              <w:tab w:val="right" w:pos="9350"/>
            </w:tabs>
            <w:rPr>
              <w:rFonts w:eastAsiaTheme="minorEastAsia" w:cstheme="minorBidi"/>
              <w:noProof/>
              <w:sz w:val="24"/>
              <w:szCs w:val="24"/>
            </w:rPr>
          </w:pPr>
          <w:hyperlink w:anchor="_Toc162267311" w:history="1">
            <w:r w:rsidR="00736DA9" w:rsidRPr="004372B1">
              <w:rPr>
                <w:rStyle w:val="Hyperlink"/>
                <w:noProof/>
              </w:rPr>
              <w:t>Healthy Infants: Preterm Births</w:t>
            </w:r>
            <w:r w:rsidR="00736DA9">
              <w:rPr>
                <w:noProof/>
                <w:webHidden/>
              </w:rPr>
              <w:tab/>
            </w:r>
            <w:r w:rsidR="00736DA9">
              <w:rPr>
                <w:noProof/>
                <w:webHidden/>
              </w:rPr>
              <w:fldChar w:fldCharType="begin"/>
            </w:r>
            <w:r w:rsidR="00736DA9">
              <w:rPr>
                <w:noProof/>
                <w:webHidden/>
              </w:rPr>
              <w:instrText xml:space="preserve"> PAGEREF _Toc162267311 \h </w:instrText>
            </w:r>
            <w:r w:rsidR="00736DA9">
              <w:rPr>
                <w:noProof/>
                <w:webHidden/>
              </w:rPr>
            </w:r>
            <w:r w:rsidR="00736DA9">
              <w:rPr>
                <w:noProof/>
                <w:webHidden/>
              </w:rPr>
              <w:fldChar w:fldCharType="separate"/>
            </w:r>
            <w:r w:rsidR="00736DA9">
              <w:rPr>
                <w:noProof/>
                <w:webHidden/>
              </w:rPr>
              <w:t>235</w:t>
            </w:r>
            <w:r w:rsidR="00736DA9">
              <w:rPr>
                <w:noProof/>
                <w:webHidden/>
              </w:rPr>
              <w:fldChar w:fldCharType="end"/>
            </w:r>
          </w:hyperlink>
        </w:p>
        <w:p w14:paraId="03808B69" w14:textId="5589F8E1" w:rsidR="00736DA9" w:rsidRDefault="00000000">
          <w:pPr>
            <w:pStyle w:val="TOC4"/>
            <w:tabs>
              <w:tab w:val="right" w:pos="9350"/>
            </w:tabs>
            <w:rPr>
              <w:rFonts w:eastAsiaTheme="minorEastAsia" w:cstheme="minorBidi"/>
              <w:noProof/>
              <w:sz w:val="24"/>
              <w:szCs w:val="24"/>
            </w:rPr>
          </w:pPr>
          <w:hyperlink w:anchor="_Toc162267312" w:history="1">
            <w:r w:rsidR="00736DA9" w:rsidRPr="004372B1">
              <w:rPr>
                <w:rStyle w:val="Hyperlink"/>
                <w:noProof/>
              </w:rPr>
              <w:t>Figure 7.24: Preterm Births.</w:t>
            </w:r>
            <w:r w:rsidR="00736DA9">
              <w:rPr>
                <w:noProof/>
                <w:webHidden/>
              </w:rPr>
              <w:tab/>
            </w:r>
            <w:r w:rsidR="00736DA9">
              <w:rPr>
                <w:noProof/>
                <w:webHidden/>
              </w:rPr>
              <w:fldChar w:fldCharType="begin"/>
            </w:r>
            <w:r w:rsidR="00736DA9">
              <w:rPr>
                <w:noProof/>
                <w:webHidden/>
              </w:rPr>
              <w:instrText xml:space="preserve"> PAGEREF _Toc162267312 \h </w:instrText>
            </w:r>
            <w:r w:rsidR="00736DA9">
              <w:rPr>
                <w:noProof/>
                <w:webHidden/>
              </w:rPr>
            </w:r>
            <w:r w:rsidR="00736DA9">
              <w:rPr>
                <w:noProof/>
                <w:webHidden/>
              </w:rPr>
              <w:fldChar w:fldCharType="separate"/>
            </w:r>
            <w:r w:rsidR="00736DA9">
              <w:rPr>
                <w:noProof/>
                <w:webHidden/>
              </w:rPr>
              <w:t>236</w:t>
            </w:r>
            <w:r w:rsidR="00736DA9">
              <w:rPr>
                <w:noProof/>
                <w:webHidden/>
              </w:rPr>
              <w:fldChar w:fldCharType="end"/>
            </w:r>
          </w:hyperlink>
        </w:p>
        <w:p w14:paraId="7570EA1F" w14:textId="1AF0D0D5" w:rsidR="00736DA9" w:rsidRDefault="00000000">
          <w:pPr>
            <w:pStyle w:val="TOC4"/>
            <w:tabs>
              <w:tab w:val="right" w:pos="9350"/>
            </w:tabs>
            <w:rPr>
              <w:rFonts w:eastAsiaTheme="minorEastAsia" w:cstheme="minorBidi"/>
              <w:noProof/>
              <w:sz w:val="24"/>
              <w:szCs w:val="24"/>
            </w:rPr>
          </w:pPr>
          <w:hyperlink w:anchor="_Toc162267313" w:history="1">
            <w:r w:rsidR="00736DA9" w:rsidRPr="004372B1">
              <w:rPr>
                <w:rStyle w:val="Hyperlink"/>
                <w:noProof/>
              </w:rPr>
              <w:t>Figure 7.25: Preterm Births, by Maternal Age.</w:t>
            </w:r>
            <w:r w:rsidR="00736DA9">
              <w:rPr>
                <w:noProof/>
                <w:webHidden/>
              </w:rPr>
              <w:tab/>
            </w:r>
            <w:r w:rsidR="00736DA9">
              <w:rPr>
                <w:noProof/>
                <w:webHidden/>
              </w:rPr>
              <w:fldChar w:fldCharType="begin"/>
            </w:r>
            <w:r w:rsidR="00736DA9">
              <w:rPr>
                <w:noProof/>
                <w:webHidden/>
              </w:rPr>
              <w:instrText xml:space="preserve"> PAGEREF _Toc162267313 \h </w:instrText>
            </w:r>
            <w:r w:rsidR="00736DA9">
              <w:rPr>
                <w:noProof/>
                <w:webHidden/>
              </w:rPr>
            </w:r>
            <w:r w:rsidR="00736DA9">
              <w:rPr>
                <w:noProof/>
                <w:webHidden/>
              </w:rPr>
              <w:fldChar w:fldCharType="separate"/>
            </w:r>
            <w:r w:rsidR="00736DA9">
              <w:rPr>
                <w:noProof/>
                <w:webHidden/>
              </w:rPr>
              <w:t>236</w:t>
            </w:r>
            <w:r w:rsidR="00736DA9">
              <w:rPr>
                <w:noProof/>
                <w:webHidden/>
              </w:rPr>
              <w:fldChar w:fldCharType="end"/>
            </w:r>
          </w:hyperlink>
        </w:p>
        <w:p w14:paraId="07D2A332" w14:textId="0E65986C" w:rsidR="00736DA9" w:rsidRDefault="00000000">
          <w:pPr>
            <w:pStyle w:val="TOC4"/>
            <w:tabs>
              <w:tab w:val="right" w:pos="9350"/>
            </w:tabs>
            <w:rPr>
              <w:rFonts w:eastAsiaTheme="minorEastAsia" w:cstheme="minorBidi"/>
              <w:noProof/>
              <w:sz w:val="24"/>
              <w:szCs w:val="24"/>
            </w:rPr>
          </w:pPr>
          <w:hyperlink w:anchor="_Toc162267314" w:history="1">
            <w:r w:rsidR="00736DA9" w:rsidRPr="004372B1">
              <w:rPr>
                <w:rStyle w:val="Hyperlink"/>
                <w:noProof/>
              </w:rPr>
              <w:t>Figure 7.26: Preterm Births, by Maternal Race/Ethnicity.</w:t>
            </w:r>
            <w:r w:rsidR="00736DA9">
              <w:rPr>
                <w:noProof/>
                <w:webHidden/>
              </w:rPr>
              <w:tab/>
            </w:r>
            <w:r w:rsidR="00736DA9">
              <w:rPr>
                <w:noProof/>
                <w:webHidden/>
              </w:rPr>
              <w:fldChar w:fldCharType="begin"/>
            </w:r>
            <w:r w:rsidR="00736DA9">
              <w:rPr>
                <w:noProof/>
                <w:webHidden/>
              </w:rPr>
              <w:instrText xml:space="preserve"> PAGEREF _Toc162267314 \h </w:instrText>
            </w:r>
            <w:r w:rsidR="00736DA9">
              <w:rPr>
                <w:noProof/>
                <w:webHidden/>
              </w:rPr>
            </w:r>
            <w:r w:rsidR="00736DA9">
              <w:rPr>
                <w:noProof/>
                <w:webHidden/>
              </w:rPr>
              <w:fldChar w:fldCharType="separate"/>
            </w:r>
            <w:r w:rsidR="00736DA9">
              <w:rPr>
                <w:noProof/>
                <w:webHidden/>
              </w:rPr>
              <w:t>236</w:t>
            </w:r>
            <w:r w:rsidR="00736DA9">
              <w:rPr>
                <w:noProof/>
                <w:webHidden/>
              </w:rPr>
              <w:fldChar w:fldCharType="end"/>
            </w:r>
          </w:hyperlink>
        </w:p>
        <w:p w14:paraId="36CB7946" w14:textId="0B0CA3B5" w:rsidR="00736DA9" w:rsidRDefault="00000000">
          <w:pPr>
            <w:pStyle w:val="TOC4"/>
            <w:tabs>
              <w:tab w:val="right" w:pos="9350"/>
            </w:tabs>
            <w:rPr>
              <w:rFonts w:eastAsiaTheme="minorEastAsia" w:cstheme="minorBidi"/>
              <w:noProof/>
              <w:sz w:val="24"/>
              <w:szCs w:val="24"/>
            </w:rPr>
          </w:pPr>
          <w:hyperlink w:anchor="_Toc162267315"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_Toc162267315 \h </w:instrText>
            </w:r>
            <w:r w:rsidR="00736DA9">
              <w:rPr>
                <w:noProof/>
                <w:webHidden/>
              </w:rPr>
            </w:r>
            <w:r w:rsidR="00736DA9">
              <w:rPr>
                <w:noProof/>
                <w:webHidden/>
              </w:rPr>
              <w:fldChar w:fldCharType="separate"/>
            </w:r>
            <w:r w:rsidR="00736DA9">
              <w:rPr>
                <w:noProof/>
                <w:webHidden/>
              </w:rPr>
              <w:t>236</w:t>
            </w:r>
            <w:r w:rsidR="00736DA9">
              <w:rPr>
                <w:noProof/>
                <w:webHidden/>
              </w:rPr>
              <w:fldChar w:fldCharType="end"/>
            </w:r>
          </w:hyperlink>
        </w:p>
        <w:p w14:paraId="36F8508A" w14:textId="2C9136C5" w:rsidR="00736DA9" w:rsidRDefault="00000000">
          <w:pPr>
            <w:pStyle w:val="TOC4"/>
            <w:tabs>
              <w:tab w:val="right" w:pos="9350"/>
            </w:tabs>
            <w:rPr>
              <w:rFonts w:eastAsiaTheme="minorEastAsia" w:cstheme="minorBidi"/>
              <w:noProof/>
              <w:sz w:val="24"/>
              <w:szCs w:val="24"/>
            </w:rPr>
          </w:pPr>
          <w:hyperlink w:anchor="_Toc162267316" w:history="1">
            <w:r w:rsidR="00736DA9" w:rsidRPr="004372B1">
              <w:rPr>
                <w:rStyle w:val="Hyperlink"/>
                <w:noProof/>
              </w:rPr>
              <w:t>References 7.12</w:t>
            </w:r>
            <w:r w:rsidR="00736DA9">
              <w:rPr>
                <w:noProof/>
                <w:webHidden/>
              </w:rPr>
              <w:tab/>
            </w:r>
            <w:r w:rsidR="00736DA9">
              <w:rPr>
                <w:noProof/>
                <w:webHidden/>
              </w:rPr>
              <w:fldChar w:fldCharType="begin"/>
            </w:r>
            <w:r w:rsidR="00736DA9">
              <w:rPr>
                <w:noProof/>
                <w:webHidden/>
              </w:rPr>
              <w:instrText xml:space="preserve"> PAGEREF _Toc162267316 \h </w:instrText>
            </w:r>
            <w:r w:rsidR="00736DA9">
              <w:rPr>
                <w:noProof/>
                <w:webHidden/>
              </w:rPr>
            </w:r>
            <w:r w:rsidR="00736DA9">
              <w:rPr>
                <w:noProof/>
                <w:webHidden/>
              </w:rPr>
              <w:fldChar w:fldCharType="separate"/>
            </w:r>
            <w:r w:rsidR="00736DA9">
              <w:rPr>
                <w:noProof/>
                <w:webHidden/>
              </w:rPr>
              <w:t>237</w:t>
            </w:r>
            <w:r w:rsidR="00736DA9">
              <w:rPr>
                <w:noProof/>
                <w:webHidden/>
              </w:rPr>
              <w:fldChar w:fldCharType="end"/>
            </w:r>
          </w:hyperlink>
        </w:p>
        <w:p w14:paraId="6F369D5D" w14:textId="46DD7396" w:rsidR="00736DA9" w:rsidRDefault="00000000">
          <w:pPr>
            <w:pStyle w:val="TOC3"/>
            <w:tabs>
              <w:tab w:val="right" w:pos="9350"/>
            </w:tabs>
            <w:rPr>
              <w:rFonts w:eastAsiaTheme="minorEastAsia" w:cstheme="minorBidi"/>
              <w:noProof/>
              <w:sz w:val="24"/>
              <w:szCs w:val="24"/>
            </w:rPr>
          </w:pPr>
          <w:hyperlink w:anchor="_Toc162267317" w:history="1">
            <w:r w:rsidR="00736DA9" w:rsidRPr="004372B1">
              <w:rPr>
                <w:rStyle w:val="Hyperlink"/>
                <w:noProof/>
              </w:rPr>
              <w:t>Healthy Infants: Low Birthweight</w:t>
            </w:r>
            <w:r w:rsidR="00736DA9">
              <w:rPr>
                <w:noProof/>
                <w:webHidden/>
              </w:rPr>
              <w:tab/>
            </w:r>
            <w:r w:rsidR="00736DA9">
              <w:rPr>
                <w:noProof/>
                <w:webHidden/>
              </w:rPr>
              <w:fldChar w:fldCharType="begin"/>
            </w:r>
            <w:r w:rsidR="00736DA9">
              <w:rPr>
                <w:noProof/>
                <w:webHidden/>
              </w:rPr>
              <w:instrText xml:space="preserve"> PAGEREF _Toc162267317 \h </w:instrText>
            </w:r>
            <w:r w:rsidR="00736DA9">
              <w:rPr>
                <w:noProof/>
                <w:webHidden/>
              </w:rPr>
            </w:r>
            <w:r w:rsidR="00736DA9">
              <w:rPr>
                <w:noProof/>
                <w:webHidden/>
              </w:rPr>
              <w:fldChar w:fldCharType="separate"/>
            </w:r>
            <w:r w:rsidR="00736DA9">
              <w:rPr>
                <w:noProof/>
                <w:webHidden/>
              </w:rPr>
              <w:t>237</w:t>
            </w:r>
            <w:r w:rsidR="00736DA9">
              <w:rPr>
                <w:noProof/>
                <w:webHidden/>
              </w:rPr>
              <w:fldChar w:fldCharType="end"/>
            </w:r>
          </w:hyperlink>
        </w:p>
        <w:p w14:paraId="1D3FF3D2" w14:textId="71C9322F" w:rsidR="00736DA9" w:rsidRDefault="00000000">
          <w:pPr>
            <w:pStyle w:val="TOC4"/>
            <w:tabs>
              <w:tab w:val="right" w:pos="9350"/>
            </w:tabs>
            <w:rPr>
              <w:rFonts w:eastAsiaTheme="minorEastAsia" w:cstheme="minorBidi"/>
              <w:noProof/>
              <w:sz w:val="24"/>
              <w:szCs w:val="24"/>
            </w:rPr>
          </w:pPr>
          <w:hyperlink w:anchor="_Toc162267318" w:history="1">
            <w:r w:rsidR="00736DA9" w:rsidRPr="004372B1">
              <w:rPr>
                <w:rStyle w:val="Hyperlink"/>
                <w:noProof/>
              </w:rPr>
              <w:t>Figure 7.27: Low Birthweight, by Maternal Age.</w:t>
            </w:r>
            <w:r w:rsidR="00736DA9">
              <w:rPr>
                <w:noProof/>
                <w:webHidden/>
              </w:rPr>
              <w:tab/>
            </w:r>
            <w:r w:rsidR="00736DA9">
              <w:rPr>
                <w:noProof/>
                <w:webHidden/>
              </w:rPr>
              <w:fldChar w:fldCharType="begin"/>
            </w:r>
            <w:r w:rsidR="00736DA9">
              <w:rPr>
                <w:noProof/>
                <w:webHidden/>
              </w:rPr>
              <w:instrText xml:space="preserve"> PAGEREF _Toc162267318 \h </w:instrText>
            </w:r>
            <w:r w:rsidR="00736DA9">
              <w:rPr>
                <w:noProof/>
                <w:webHidden/>
              </w:rPr>
            </w:r>
            <w:r w:rsidR="00736DA9">
              <w:rPr>
                <w:noProof/>
                <w:webHidden/>
              </w:rPr>
              <w:fldChar w:fldCharType="separate"/>
            </w:r>
            <w:r w:rsidR="00736DA9">
              <w:rPr>
                <w:noProof/>
                <w:webHidden/>
              </w:rPr>
              <w:t>238</w:t>
            </w:r>
            <w:r w:rsidR="00736DA9">
              <w:rPr>
                <w:noProof/>
                <w:webHidden/>
              </w:rPr>
              <w:fldChar w:fldCharType="end"/>
            </w:r>
          </w:hyperlink>
        </w:p>
        <w:p w14:paraId="39797C82" w14:textId="67E88053" w:rsidR="00736DA9" w:rsidRDefault="00000000">
          <w:pPr>
            <w:pStyle w:val="TOC4"/>
            <w:tabs>
              <w:tab w:val="right" w:pos="9350"/>
            </w:tabs>
            <w:rPr>
              <w:rFonts w:eastAsiaTheme="minorEastAsia" w:cstheme="minorBidi"/>
              <w:noProof/>
              <w:sz w:val="24"/>
              <w:szCs w:val="24"/>
            </w:rPr>
          </w:pPr>
          <w:hyperlink w:anchor="_Toc162267319" w:history="1">
            <w:r w:rsidR="00736DA9" w:rsidRPr="004372B1">
              <w:rPr>
                <w:rStyle w:val="Hyperlink"/>
                <w:noProof/>
              </w:rPr>
              <w:t>Figure 7.28: Low Birthweight, by Maternal Race/Ethnicity.</w:t>
            </w:r>
            <w:r w:rsidR="00736DA9">
              <w:rPr>
                <w:noProof/>
                <w:webHidden/>
              </w:rPr>
              <w:tab/>
            </w:r>
            <w:r w:rsidR="00736DA9">
              <w:rPr>
                <w:noProof/>
                <w:webHidden/>
              </w:rPr>
              <w:fldChar w:fldCharType="begin"/>
            </w:r>
            <w:r w:rsidR="00736DA9">
              <w:rPr>
                <w:noProof/>
                <w:webHidden/>
              </w:rPr>
              <w:instrText xml:space="preserve"> PAGEREF _Toc162267319 \h </w:instrText>
            </w:r>
            <w:r w:rsidR="00736DA9">
              <w:rPr>
                <w:noProof/>
                <w:webHidden/>
              </w:rPr>
            </w:r>
            <w:r w:rsidR="00736DA9">
              <w:rPr>
                <w:noProof/>
                <w:webHidden/>
              </w:rPr>
              <w:fldChar w:fldCharType="separate"/>
            </w:r>
            <w:r w:rsidR="00736DA9">
              <w:rPr>
                <w:noProof/>
                <w:webHidden/>
              </w:rPr>
              <w:t>238</w:t>
            </w:r>
            <w:r w:rsidR="00736DA9">
              <w:rPr>
                <w:noProof/>
                <w:webHidden/>
              </w:rPr>
              <w:fldChar w:fldCharType="end"/>
            </w:r>
          </w:hyperlink>
        </w:p>
        <w:p w14:paraId="04AA4A11" w14:textId="47464980" w:rsidR="00736DA9" w:rsidRDefault="00000000">
          <w:pPr>
            <w:pStyle w:val="TOC4"/>
            <w:tabs>
              <w:tab w:val="right" w:pos="9350"/>
            </w:tabs>
            <w:rPr>
              <w:rFonts w:eastAsiaTheme="minorEastAsia" w:cstheme="minorBidi"/>
              <w:noProof/>
              <w:sz w:val="24"/>
              <w:szCs w:val="24"/>
            </w:rPr>
          </w:pPr>
          <w:hyperlink w:anchor="_Toc162267320" w:history="1">
            <w:r w:rsidR="00736DA9" w:rsidRPr="004372B1">
              <w:rPr>
                <w:rStyle w:val="Hyperlink"/>
                <w:noProof/>
              </w:rPr>
              <w:t>Figure 7.29: Low Birthweight, by County.</w:t>
            </w:r>
            <w:r w:rsidR="00736DA9">
              <w:rPr>
                <w:noProof/>
                <w:webHidden/>
              </w:rPr>
              <w:tab/>
            </w:r>
            <w:r w:rsidR="00736DA9">
              <w:rPr>
                <w:noProof/>
                <w:webHidden/>
              </w:rPr>
              <w:fldChar w:fldCharType="begin"/>
            </w:r>
            <w:r w:rsidR="00736DA9">
              <w:rPr>
                <w:noProof/>
                <w:webHidden/>
              </w:rPr>
              <w:instrText xml:space="preserve"> PAGEREF _Toc162267320 \h </w:instrText>
            </w:r>
            <w:r w:rsidR="00736DA9">
              <w:rPr>
                <w:noProof/>
                <w:webHidden/>
              </w:rPr>
            </w:r>
            <w:r w:rsidR="00736DA9">
              <w:rPr>
                <w:noProof/>
                <w:webHidden/>
              </w:rPr>
              <w:fldChar w:fldCharType="separate"/>
            </w:r>
            <w:r w:rsidR="00736DA9">
              <w:rPr>
                <w:noProof/>
                <w:webHidden/>
              </w:rPr>
              <w:t>239</w:t>
            </w:r>
            <w:r w:rsidR="00736DA9">
              <w:rPr>
                <w:noProof/>
                <w:webHidden/>
              </w:rPr>
              <w:fldChar w:fldCharType="end"/>
            </w:r>
          </w:hyperlink>
        </w:p>
        <w:p w14:paraId="13E8228E" w14:textId="090094F8" w:rsidR="00736DA9" w:rsidRDefault="00000000">
          <w:pPr>
            <w:pStyle w:val="TOC4"/>
            <w:tabs>
              <w:tab w:val="right" w:pos="9350"/>
            </w:tabs>
            <w:rPr>
              <w:rFonts w:eastAsiaTheme="minorEastAsia" w:cstheme="minorBidi"/>
              <w:noProof/>
              <w:sz w:val="24"/>
              <w:szCs w:val="24"/>
            </w:rPr>
          </w:pPr>
          <w:hyperlink w:anchor="_Toc162267321"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_Toc162267321 \h </w:instrText>
            </w:r>
            <w:r w:rsidR="00736DA9">
              <w:rPr>
                <w:noProof/>
                <w:webHidden/>
              </w:rPr>
            </w:r>
            <w:r w:rsidR="00736DA9">
              <w:rPr>
                <w:noProof/>
                <w:webHidden/>
              </w:rPr>
              <w:fldChar w:fldCharType="separate"/>
            </w:r>
            <w:r w:rsidR="00736DA9">
              <w:rPr>
                <w:noProof/>
                <w:webHidden/>
              </w:rPr>
              <w:t>240</w:t>
            </w:r>
            <w:r w:rsidR="00736DA9">
              <w:rPr>
                <w:noProof/>
                <w:webHidden/>
              </w:rPr>
              <w:fldChar w:fldCharType="end"/>
            </w:r>
          </w:hyperlink>
        </w:p>
        <w:p w14:paraId="4B8253CA" w14:textId="513F386F" w:rsidR="00736DA9" w:rsidRDefault="00000000">
          <w:pPr>
            <w:pStyle w:val="TOC4"/>
            <w:tabs>
              <w:tab w:val="right" w:pos="9350"/>
            </w:tabs>
            <w:rPr>
              <w:rFonts w:eastAsiaTheme="minorEastAsia" w:cstheme="minorBidi"/>
              <w:noProof/>
              <w:sz w:val="24"/>
              <w:szCs w:val="24"/>
            </w:rPr>
          </w:pPr>
          <w:hyperlink w:anchor="_Toc162267322" w:history="1">
            <w:r w:rsidR="00736DA9" w:rsidRPr="004372B1">
              <w:rPr>
                <w:rStyle w:val="Hyperlink"/>
                <w:noProof/>
              </w:rPr>
              <w:t>References 7.13</w:t>
            </w:r>
            <w:r w:rsidR="00736DA9">
              <w:rPr>
                <w:noProof/>
                <w:webHidden/>
              </w:rPr>
              <w:tab/>
            </w:r>
            <w:r w:rsidR="00736DA9">
              <w:rPr>
                <w:noProof/>
                <w:webHidden/>
              </w:rPr>
              <w:fldChar w:fldCharType="begin"/>
            </w:r>
            <w:r w:rsidR="00736DA9">
              <w:rPr>
                <w:noProof/>
                <w:webHidden/>
              </w:rPr>
              <w:instrText xml:space="preserve"> PAGEREF _Toc162267322 \h </w:instrText>
            </w:r>
            <w:r w:rsidR="00736DA9">
              <w:rPr>
                <w:noProof/>
                <w:webHidden/>
              </w:rPr>
            </w:r>
            <w:r w:rsidR="00736DA9">
              <w:rPr>
                <w:noProof/>
                <w:webHidden/>
              </w:rPr>
              <w:fldChar w:fldCharType="separate"/>
            </w:r>
            <w:r w:rsidR="00736DA9">
              <w:rPr>
                <w:noProof/>
                <w:webHidden/>
              </w:rPr>
              <w:t>241</w:t>
            </w:r>
            <w:r w:rsidR="00736DA9">
              <w:rPr>
                <w:noProof/>
                <w:webHidden/>
              </w:rPr>
              <w:fldChar w:fldCharType="end"/>
            </w:r>
          </w:hyperlink>
        </w:p>
        <w:p w14:paraId="61D53AAE" w14:textId="13282BF1" w:rsidR="00736DA9" w:rsidRDefault="00000000">
          <w:pPr>
            <w:pStyle w:val="TOC3"/>
            <w:tabs>
              <w:tab w:val="right" w:pos="9350"/>
            </w:tabs>
            <w:rPr>
              <w:rFonts w:eastAsiaTheme="minorEastAsia" w:cstheme="minorBidi"/>
              <w:noProof/>
              <w:sz w:val="24"/>
              <w:szCs w:val="24"/>
            </w:rPr>
          </w:pPr>
          <w:hyperlink w:anchor="_Toc162267323" w:history="1">
            <w:r w:rsidR="00736DA9" w:rsidRPr="004372B1">
              <w:rPr>
                <w:rStyle w:val="Hyperlink"/>
                <w:noProof/>
              </w:rPr>
              <w:t>Healthy Infants: Birth Defects</w:t>
            </w:r>
            <w:r w:rsidR="00736DA9">
              <w:rPr>
                <w:noProof/>
                <w:webHidden/>
              </w:rPr>
              <w:tab/>
            </w:r>
            <w:r w:rsidR="00736DA9">
              <w:rPr>
                <w:noProof/>
                <w:webHidden/>
              </w:rPr>
              <w:fldChar w:fldCharType="begin"/>
            </w:r>
            <w:r w:rsidR="00736DA9">
              <w:rPr>
                <w:noProof/>
                <w:webHidden/>
              </w:rPr>
              <w:instrText xml:space="preserve"> PAGEREF _Toc162267323 \h </w:instrText>
            </w:r>
            <w:r w:rsidR="00736DA9">
              <w:rPr>
                <w:noProof/>
                <w:webHidden/>
              </w:rPr>
            </w:r>
            <w:r w:rsidR="00736DA9">
              <w:rPr>
                <w:noProof/>
                <w:webHidden/>
              </w:rPr>
              <w:fldChar w:fldCharType="separate"/>
            </w:r>
            <w:r w:rsidR="00736DA9">
              <w:rPr>
                <w:noProof/>
                <w:webHidden/>
              </w:rPr>
              <w:t>241</w:t>
            </w:r>
            <w:r w:rsidR="00736DA9">
              <w:rPr>
                <w:noProof/>
                <w:webHidden/>
              </w:rPr>
              <w:fldChar w:fldCharType="end"/>
            </w:r>
          </w:hyperlink>
        </w:p>
        <w:p w14:paraId="4C391E4B" w14:textId="37F3A6EE" w:rsidR="00736DA9" w:rsidRDefault="00000000">
          <w:pPr>
            <w:pStyle w:val="TOC4"/>
            <w:tabs>
              <w:tab w:val="right" w:pos="9350"/>
            </w:tabs>
            <w:rPr>
              <w:rFonts w:eastAsiaTheme="minorEastAsia" w:cstheme="minorBidi"/>
              <w:noProof/>
              <w:sz w:val="24"/>
              <w:szCs w:val="24"/>
            </w:rPr>
          </w:pPr>
          <w:hyperlink w:anchor="_Toc162267324" w:history="1">
            <w:r w:rsidR="00736DA9" w:rsidRPr="004372B1">
              <w:rPr>
                <w:rStyle w:val="Hyperlink"/>
                <w:noProof/>
              </w:rPr>
              <w:t>Figure 7.30: Rate of Birth Defects by Organ System.</w:t>
            </w:r>
            <w:r w:rsidR="00736DA9">
              <w:rPr>
                <w:noProof/>
                <w:webHidden/>
              </w:rPr>
              <w:tab/>
            </w:r>
            <w:r w:rsidR="00736DA9">
              <w:rPr>
                <w:noProof/>
                <w:webHidden/>
              </w:rPr>
              <w:fldChar w:fldCharType="begin"/>
            </w:r>
            <w:r w:rsidR="00736DA9">
              <w:rPr>
                <w:noProof/>
                <w:webHidden/>
              </w:rPr>
              <w:instrText xml:space="preserve"> PAGEREF _Toc162267324 \h </w:instrText>
            </w:r>
            <w:r w:rsidR="00736DA9">
              <w:rPr>
                <w:noProof/>
                <w:webHidden/>
              </w:rPr>
            </w:r>
            <w:r w:rsidR="00736DA9">
              <w:rPr>
                <w:noProof/>
                <w:webHidden/>
              </w:rPr>
              <w:fldChar w:fldCharType="separate"/>
            </w:r>
            <w:r w:rsidR="00736DA9">
              <w:rPr>
                <w:noProof/>
                <w:webHidden/>
              </w:rPr>
              <w:t>241</w:t>
            </w:r>
            <w:r w:rsidR="00736DA9">
              <w:rPr>
                <w:noProof/>
                <w:webHidden/>
              </w:rPr>
              <w:fldChar w:fldCharType="end"/>
            </w:r>
          </w:hyperlink>
        </w:p>
        <w:p w14:paraId="464C1177" w14:textId="3164EF00" w:rsidR="00736DA9" w:rsidRDefault="00000000">
          <w:pPr>
            <w:pStyle w:val="TOC4"/>
            <w:tabs>
              <w:tab w:val="right" w:pos="9350"/>
            </w:tabs>
            <w:rPr>
              <w:rFonts w:eastAsiaTheme="minorEastAsia" w:cstheme="minorBidi"/>
              <w:noProof/>
              <w:sz w:val="24"/>
              <w:szCs w:val="24"/>
            </w:rPr>
          </w:pPr>
          <w:hyperlink w:anchor="_Toc162267325"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_Toc162267325 \h </w:instrText>
            </w:r>
            <w:r w:rsidR="00736DA9">
              <w:rPr>
                <w:noProof/>
                <w:webHidden/>
              </w:rPr>
            </w:r>
            <w:r w:rsidR="00736DA9">
              <w:rPr>
                <w:noProof/>
                <w:webHidden/>
              </w:rPr>
              <w:fldChar w:fldCharType="separate"/>
            </w:r>
            <w:r w:rsidR="00736DA9">
              <w:rPr>
                <w:noProof/>
                <w:webHidden/>
              </w:rPr>
              <w:t>242</w:t>
            </w:r>
            <w:r w:rsidR="00736DA9">
              <w:rPr>
                <w:noProof/>
                <w:webHidden/>
              </w:rPr>
              <w:fldChar w:fldCharType="end"/>
            </w:r>
          </w:hyperlink>
        </w:p>
        <w:p w14:paraId="6F46E37C" w14:textId="3AE1B944" w:rsidR="00736DA9" w:rsidRDefault="00000000">
          <w:pPr>
            <w:pStyle w:val="TOC4"/>
            <w:tabs>
              <w:tab w:val="right" w:pos="9350"/>
            </w:tabs>
            <w:rPr>
              <w:rFonts w:eastAsiaTheme="minorEastAsia" w:cstheme="minorBidi"/>
              <w:noProof/>
              <w:sz w:val="24"/>
              <w:szCs w:val="24"/>
            </w:rPr>
          </w:pPr>
          <w:hyperlink w:anchor="_Toc162267326" w:history="1">
            <w:r w:rsidR="00736DA9" w:rsidRPr="004372B1">
              <w:rPr>
                <w:rStyle w:val="Hyperlink"/>
                <w:noProof/>
              </w:rPr>
              <w:t>References 7.14</w:t>
            </w:r>
            <w:r w:rsidR="00736DA9">
              <w:rPr>
                <w:noProof/>
                <w:webHidden/>
              </w:rPr>
              <w:tab/>
            </w:r>
            <w:r w:rsidR="00736DA9">
              <w:rPr>
                <w:noProof/>
                <w:webHidden/>
              </w:rPr>
              <w:fldChar w:fldCharType="begin"/>
            </w:r>
            <w:r w:rsidR="00736DA9">
              <w:rPr>
                <w:noProof/>
                <w:webHidden/>
              </w:rPr>
              <w:instrText xml:space="preserve"> PAGEREF _Toc162267326 \h </w:instrText>
            </w:r>
            <w:r w:rsidR="00736DA9">
              <w:rPr>
                <w:noProof/>
                <w:webHidden/>
              </w:rPr>
            </w:r>
            <w:r w:rsidR="00736DA9">
              <w:rPr>
                <w:noProof/>
                <w:webHidden/>
              </w:rPr>
              <w:fldChar w:fldCharType="separate"/>
            </w:r>
            <w:r w:rsidR="00736DA9">
              <w:rPr>
                <w:noProof/>
                <w:webHidden/>
              </w:rPr>
              <w:t>242</w:t>
            </w:r>
            <w:r w:rsidR="00736DA9">
              <w:rPr>
                <w:noProof/>
                <w:webHidden/>
              </w:rPr>
              <w:fldChar w:fldCharType="end"/>
            </w:r>
          </w:hyperlink>
        </w:p>
        <w:p w14:paraId="0D920369" w14:textId="26A563D2" w:rsidR="00736DA9" w:rsidRDefault="00000000">
          <w:pPr>
            <w:pStyle w:val="TOC3"/>
            <w:tabs>
              <w:tab w:val="right" w:pos="9350"/>
            </w:tabs>
            <w:rPr>
              <w:rFonts w:eastAsiaTheme="minorEastAsia" w:cstheme="minorBidi"/>
              <w:noProof/>
              <w:sz w:val="24"/>
              <w:szCs w:val="24"/>
            </w:rPr>
          </w:pPr>
          <w:hyperlink w:anchor="_Toc162267327" w:history="1">
            <w:r w:rsidR="00736DA9" w:rsidRPr="004372B1">
              <w:rPr>
                <w:rStyle w:val="Hyperlink"/>
                <w:noProof/>
              </w:rPr>
              <w:t>Healthy Infants: Breastfeeding</w:t>
            </w:r>
            <w:r w:rsidR="00736DA9">
              <w:rPr>
                <w:noProof/>
                <w:webHidden/>
              </w:rPr>
              <w:tab/>
            </w:r>
            <w:r w:rsidR="00736DA9">
              <w:rPr>
                <w:noProof/>
                <w:webHidden/>
              </w:rPr>
              <w:fldChar w:fldCharType="begin"/>
            </w:r>
            <w:r w:rsidR="00736DA9">
              <w:rPr>
                <w:noProof/>
                <w:webHidden/>
              </w:rPr>
              <w:instrText xml:space="preserve"> PAGEREF _Toc162267327 \h </w:instrText>
            </w:r>
            <w:r w:rsidR="00736DA9">
              <w:rPr>
                <w:noProof/>
                <w:webHidden/>
              </w:rPr>
            </w:r>
            <w:r w:rsidR="00736DA9">
              <w:rPr>
                <w:noProof/>
                <w:webHidden/>
              </w:rPr>
              <w:fldChar w:fldCharType="separate"/>
            </w:r>
            <w:r w:rsidR="00736DA9">
              <w:rPr>
                <w:noProof/>
                <w:webHidden/>
              </w:rPr>
              <w:t>242</w:t>
            </w:r>
            <w:r w:rsidR="00736DA9">
              <w:rPr>
                <w:noProof/>
                <w:webHidden/>
              </w:rPr>
              <w:fldChar w:fldCharType="end"/>
            </w:r>
          </w:hyperlink>
        </w:p>
        <w:p w14:paraId="35999442" w14:textId="7334EC10" w:rsidR="00736DA9" w:rsidRDefault="00000000">
          <w:pPr>
            <w:pStyle w:val="TOC4"/>
            <w:tabs>
              <w:tab w:val="right" w:pos="9350"/>
            </w:tabs>
            <w:rPr>
              <w:rFonts w:eastAsiaTheme="minorEastAsia" w:cstheme="minorBidi"/>
              <w:noProof/>
              <w:sz w:val="24"/>
              <w:szCs w:val="24"/>
            </w:rPr>
          </w:pPr>
          <w:hyperlink w:anchor="_Toc162267328" w:history="1">
            <w:r w:rsidR="00736DA9" w:rsidRPr="004372B1">
              <w:rPr>
                <w:rStyle w:val="Hyperlink"/>
                <w:noProof/>
              </w:rPr>
              <w:t>Figure 7.31: Breastfeeding Initiation, by Maternal Race/Ethnicity.</w:t>
            </w:r>
            <w:r w:rsidR="00736DA9">
              <w:rPr>
                <w:noProof/>
                <w:webHidden/>
              </w:rPr>
              <w:tab/>
            </w:r>
            <w:r w:rsidR="00736DA9">
              <w:rPr>
                <w:noProof/>
                <w:webHidden/>
              </w:rPr>
              <w:fldChar w:fldCharType="begin"/>
            </w:r>
            <w:r w:rsidR="00736DA9">
              <w:rPr>
                <w:noProof/>
                <w:webHidden/>
              </w:rPr>
              <w:instrText xml:space="preserve"> PAGEREF _Toc162267328 \h </w:instrText>
            </w:r>
            <w:r w:rsidR="00736DA9">
              <w:rPr>
                <w:noProof/>
                <w:webHidden/>
              </w:rPr>
            </w:r>
            <w:r w:rsidR="00736DA9">
              <w:rPr>
                <w:noProof/>
                <w:webHidden/>
              </w:rPr>
              <w:fldChar w:fldCharType="separate"/>
            </w:r>
            <w:r w:rsidR="00736DA9">
              <w:rPr>
                <w:noProof/>
                <w:webHidden/>
              </w:rPr>
              <w:t>243</w:t>
            </w:r>
            <w:r w:rsidR="00736DA9">
              <w:rPr>
                <w:noProof/>
                <w:webHidden/>
              </w:rPr>
              <w:fldChar w:fldCharType="end"/>
            </w:r>
          </w:hyperlink>
        </w:p>
        <w:p w14:paraId="5FD97BE5" w14:textId="5EBD0D5C" w:rsidR="00736DA9" w:rsidRDefault="00000000">
          <w:pPr>
            <w:pStyle w:val="TOC4"/>
            <w:tabs>
              <w:tab w:val="right" w:pos="9350"/>
            </w:tabs>
            <w:rPr>
              <w:rFonts w:eastAsiaTheme="minorEastAsia" w:cstheme="minorBidi"/>
              <w:noProof/>
              <w:sz w:val="24"/>
              <w:szCs w:val="24"/>
            </w:rPr>
          </w:pPr>
          <w:hyperlink w:anchor="_Toc162267329" w:history="1">
            <w:r w:rsidR="00736DA9" w:rsidRPr="004372B1">
              <w:rPr>
                <w:rStyle w:val="Hyperlink"/>
                <w:noProof/>
              </w:rPr>
              <w:t>Figure 7.32: Breastfeeding Initiation, by Maternal Age.</w:t>
            </w:r>
            <w:r w:rsidR="00736DA9">
              <w:rPr>
                <w:noProof/>
                <w:webHidden/>
              </w:rPr>
              <w:tab/>
            </w:r>
            <w:r w:rsidR="00736DA9">
              <w:rPr>
                <w:noProof/>
                <w:webHidden/>
              </w:rPr>
              <w:fldChar w:fldCharType="begin"/>
            </w:r>
            <w:r w:rsidR="00736DA9">
              <w:rPr>
                <w:noProof/>
                <w:webHidden/>
              </w:rPr>
              <w:instrText xml:space="preserve"> PAGEREF _Toc162267329 \h </w:instrText>
            </w:r>
            <w:r w:rsidR="00736DA9">
              <w:rPr>
                <w:noProof/>
                <w:webHidden/>
              </w:rPr>
            </w:r>
            <w:r w:rsidR="00736DA9">
              <w:rPr>
                <w:noProof/>
                <w:webHidden/>
              </w:rPr>
              <w:fldChar w:fldCharType="separate"/>
            </w:r>
            <w:r w:rsidR="00736DA9">
              <w:rPr>
                <w:noProof/>
                <w:webHidden/>
              </w:rPr>
              <w:t>244</w:t>
            </w:r>
            <w:r w:rsidR="00736DA9">
              <w:rPr>
                <w:noProof/>
                <w:webHidden/>
              </w:rPr>
              <w:fldChar w:fldCharType="end"/>
            </w:r>
          </w:hyperlink>
        </w:p>
        <w:p w14:paraId="3572EAD1" w14:textId="2E55AC3F" w:rsidR="00736DA9" w:rsidRDefault="00000000">
          <w:pPr>
            <w:pStyle w:val="TOC4"/>
            <w:tabs>
              <w:tab w:val="right" w:pos="9350"/>
            </w:tabs>
            <w:rPr>
              <w:rFonts w:eastAsiaTheme="minorEastAsia" w:cstheme="minorBidi"/>
              <w:noProof/>
              <w:sz w:val="24"/>
              <w:szCs w:val="24"/>
            </w:rPr>
          </w:pPr>
          <w:hyperlink w:anchor="_Toc162267330" w:history="1">
            <w:r w:rsidR="00736DA9" w:rsidRPr="004372B1">
              <w:rPr>
                <w:rStyle w:val="Hyperlink"/>
                <w:noProof/>
              </w:rPr>
              <w:t>Figure 7.33: Exclusive Breastfeeding.</w:t>
            </w:r>
            <w:r w:rsidR="00736DA9">
              <w:rPr>
                <w:noProof/>
                <w:webHidden/>
              </w:rPr>
              <w:tab/>
            </w:r>
            <w:r w:rsidR="00736DA9">
              <w:rPr>
                <w:noProof/>
                <w:webHidden/>
              </w:rPr>
              <w:fldChar w:fldCharType="begin"/>
            </w:r>
            <w:r w:rsidR="00736DA9">
              <w:rPr>
                <w:noProof/>
                <w:webHidden/>
              </w:rPr>
              <w:instrText xml:space="preserve"> PAGEREF _Toc162267330 \h </w:instrText>
            </w:r>
            <w:r w:rsidR="00736DA9">
              <w:rPr>
                <w:noProof/>
                <w:webHidden/>
              </w:rPr>
            </w:r>
            <w:r w:rsidR="00736DA9">
              <w:rPr>
                <w:noProof/>
                <w:webHidden/>
              </w:rPr>
              <w:fldChar w:fldCharType="separate"/>
            </w:r>
            <w:r w:rsidR="00736DA9">
              <w:rPr>
                <w:noProof/>
                <w:webHidden/>
              </w:rPr>
              <w:t>244</w:t>
            </w:r>
            <w:r w:rsidR="00736DA9">
              <w:rPr>
                <w:noProof/>
                <w:webHidden/>
              </w:rPr>
              <w:fldChar w:fldCharType="end"/>
            </w:r>
          </w:hyperlink>
        </w:p>
        <w:p w14:paraId="14A7199D" w14:textId="2E7AC09B" w:rsidR="00736DA9" w:rsidRDefault="00000000">
          <w:pPr>
            <w:pStyle w:val="TOC4"/>
            <w:tabs>
              <w:tab w:val="right" w:pos="9350"/>
            </w:tabs>
            <w:rPr>
              <w:rFonts w:eastAsiaTheme="minorEastAsia" w:cstheme="minorBidi"/>
              <w:noProof/>
              <w:sz w:val="24"/>
              <w:szCs w:val="24"/>
            </w:rPr>
          </w:pPr>
          <w:hyperlink w:anchor="_Toc162267331" w:history="1">
            <w:r w:rsidR="00736DA9" w:rsidRPr="004372B1">
              <w:rPr>
                <w:rStyle w:val="Hyperlink"/>
                <w:noProof/>
              </w:rPr>
              <w:t>Figure 7.34: Breastfeeding among Infants who are Part of the WIC Program.</w:t>
            </w:r>
            <w:r w:rsidR="00736DA9">
              <w:rPr>
                <w:noProof/>
                <w:webHidden/>
              </w:rPr>
              <w:tab/>
            </w:r>
            <w:r w:rsidR="00736DA9">
              <w:rPr>
                <w:noProof/>
                <w:webHidden/>
              </w:rPr>
              <w:fldChar w:fldCharType="begin"/>
            </w:r>
            <w:r w:rsidR="00736DA9">
              <w:rPr>
                <w:noProof/>
                <w:webHidden/>
              </w:rPr>
              <w:instrText xml:space="preserve"> PAGEREF _Toc162267331 \h </w:instrText>
            </w:r>
            <w:r w:rsidR="00736DA9">
              <w:rPr>
                <w:noProof/>
                <w:webHidden/>
              </w:rPr>
            </w:r>
            <w:r w:rsidR="00736DA9">
              <w:rPr>
                <w:noProof/>
                <w:webHidden/>
              </w:rPr>
              <w:fldChar w:fldCharType="separate"/>
            </w:r>
            <w:r w:rsidR="00736DA9">
              <w:rPr>
                <w:noProof/>
                <w:webHidden/>
              </w:rPr>
              <w:t>244</w:t>
            </w:r>
            <w:r w:rsidR="00736DA9">
              <w:rPr>
                <w:noProof/>
                <w:webHidden/>
              </w:rPr>
              <w:fldChar w:fldCharType="end"/>
            </w:r>
          </w:hyperlink>
        </w:p>
        <w:p w14:paraId="698E4CA9" w14:textId="2968A82A" w:rsidR="00736DA9" w:rsidRDefault="00000000">
          <w:pPr>
            <w:pStyle w:val="TOC4"/>
            <w:tabs>
              <w:tab w:val="right" w:pos="9350"/>
            </w:tabs>
            <w:rPr>
              <w:rFonts w:eastAsiaTheme="minorEastAsia" w:cstheme="minorBidi"/>
              <w:noProof/>
              <w:sz w:val="24"/>
              <w:szCs w:val="24"/>
            </w:rPr>
          </w:pPr>
          <w:hyperlink w:anchor="_Toc162267332" w:history="1">
            <w:r w:rsidR="00736DA9" w:rsidRPr="004372B1">
              <w:rPr>
                <w:rStyle w:val="Hyperlink"/>
                <w:noProof/>
              </w:rPr>
              <w:t>Figure 7.35: Breastfeeding Initiation, by County.</w:t>
            </w:r>
            <w:r w:rsidR="00736DA9">
              <w:rPr>
                <w:noProof/>
                <w:webHidden/>
              </w:rPr>
              <w:tab/>
            </w:r>
            <w:r w:rsidR="00736DA9">
              <w:rPr>
                <w:noProof/>
                <w:webHidden/>
              </w:rPr>
              <w:fldChar w:fldCharType="begin"/>
            </w:r>
            <w:r w:rsidR="00736DA9">
              <w:rPr>
                <w:noProof/>
                <w:webHidden/>
              </w:rPr>
              <w:instrText xml:space="preserve"> PAGEREF _Toc162267332 \h </w:instrText>
            </w:r>
            <w:r w:rsidR="00736DA9">
              <w:rPr>
                <w:noProof/>
                <w:webHidden/>
              </w:rPr>
            </w:r>
            <w:r w:rsidR="00736DA9">
              <w:rPr>
                <w:noProof/>
                <w:webHidden/>
              </w:rPr>
              <w:fldChar w:fldCharType="separate"/>
            </w:r>
            <w:r w:rsidR="00736DA9">
              <w:rPr>
                <w:noProof/>
                <w:webHidden/>
              </w:rPr>
              <w:t>245</w:t>
            </w:r>
            <w:r w:rsidR="00736DA9">
              <w:rPr>
                <w:noProof/>
                <w:webHidden/>
              </w:rPr>
              <w:fldChar w:fldCharType="end"/>
            </w:r>
          </w:hyperlink>
        </w:p>
        <w:p w14:paraId="131FEB2E" w14:textId="1D01D6CB" w:rsidR="00736DA9" w:rsidRDefault="00000000">
          <w:pPr>
            <w:pStyle w:val="TOC4"/>
            <w:tabs>
              <w:tab w:val="right" w:pos="9350"/>
            </w:tabs>
            <w:rPr>
              <w:rFonts w:eastAsiaTheme="minorEastAsia" w:cstheme="minorBidi"/>
              <w:noProof/>
              <w:sz w:val="24"/>
              <w:szCs w:val="24"/>
            </w:rPr>
          </w:pPr>
          <w:hyperlink w:anchor="_Toc162267333"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_Toc162267333 \h </w:instrText>
            </w:r>
            <w:r w:rsidR="00736DA9">
              <w:rPr>
                <w:noProof/>
                <w:webHidden/>
              </w:rPr>
            </w:r>
            <w:r w:rsidR="00736DA9">
              <w:rPr>
                <w:noProof/>
                <w:webHidden/>
              </w:rPr>
              <w:fldChar w:fldCharType="separate"/>
            </w:r>
            <w:r w:rsidR="00736DA9">
              <w:rPr>
                <w:noProof/>
                <w:webHidden/>
              </w:rPr>
              <w:t>246</w:t>
            </w:r>
            <w:r w:rsidR="00736DA9">
              <w:rPr>
                <w:noProof/>
                <w:webHidden/>
              </w:rPr>
              <w:fldChar w:fldCharType="end"/>
            </w:r>
          </w:hyperlink>
        </w:p>
        <w:p w14:paraId="4A8DF9E2" w14:textId="1263AC11" w:rsidR="00736DA9" w:rsidRDefault="00000000">
          <w:pPr>
            <w:pStyle w:val="TOC4"/>
            <w:tabs>
              <w:tab w:val="right" w:pos="9350"/>
            </w:tabs>
            <w:rPr>
              <w:rFonts w:eastAsiaTheme="minorEastAsia" w:cstheme="minorBidi"/>
              <w:noProof/>
              <w:sz w:val="24"/>
              <w:szCs w:val="24"/>
            </w:rPr>
          </w:pPr>
          <w:hyperlink w:anchor="_Toc162267334" w:history="1">
            <w:r w:rsidR="00736DA9" w:rsidRPr="004372B1">
              <w:rPr>
                <w:rStyle w:val="Hyperlink"/>
                <w:noProof/>
              </w:rPr>
              <w:t>References 7.15</w:t>
            </w:r>
            <w:r w:rsidR="00736DA9">
              <w:rPr>
                <w:noProof/>
                <w:webHidden/>
              </w:rPr>
              <w:tab/>
            </w:r>
            <w:r w:rsidR="00736DA9">
              <w:rPr>
                <w:noProof/>
                <w:webHidden/>
              </w:rPr>
              <w:fldChar w:fldCharType="begin"/>
            </w:r>
            <w:r w:rsidR="00736DA9">
              <w:rPr>
                <w:noProof/>
                <w:webHidden/>
              </w:rPr>
              <w:instrText xml:space="preserve"> PAGEREF _Toc162267334 \h </w:instrText>
            </w:r>
            <w:r w:rsidR="00736DA9">
              <w:rPr>
                <w:noProof/>
                <w:webHidden/>
              </w:rPr>
            </w:r>
            <w:r w:rsidR="00736DA9">
              <w:rPr>
                <w:noProof/>
                <w:webHidden/>
              </w:rPr>
              <w:fldChar w:fldCharType="separate"/>
            </w:r>
            <w:r w:rsidR="00736DA9">
              <w:rPr>
                <w:noProof/>
                <w:webHidden/>
              </w:rPr>
              <w:t>247</w:t>
            </w:r>
            <w:r w:rsidR="00736DA9">
              <w:rPr>
                <w:noProof/>
                <w:webHidden/>
              </w:rPr>
              <w:fldChar w:fldCharType="end"/>
            </w:r>
          </w:hyperlink>
        </w:p>
        <w:p w14:paraId="43B83974" w14:textId="40689326" w:rsidR="00736DA9" w:rsidRDefault="00000000">
          <w:pPr>
            <w:pStyle w:val="TOC3"/>
            <w:tabs>
              <w:tab w:val="right" w:pos="9350"/>
            </w:tabs>
            <w:rPr>
              <w:rFonts w:eastAsiaTheme="minorEastAsia" w:cstheme="minorBidi"/>
              <w:noProof/>
              <w:sz w:val="24"/>
              <w:szCs w:val="24"/>
            </w:rPr>
          </w:pPr>
          <w:hyperlink w:anchor="_Toc162267335" w:history="1">
            <w:r w:rsidR="00736DA9" w:rsidRPr="004372B1">
              <w:rPr>
                <w:rStyle w:val="Hyperlink"/>
                <w:noProof/>
              </w:rPr>
              <w:t>Healthy Infants: Safe Sleep</w:t>
            </w:r>
            <w:r w:rsidR="00736DA9">
              <w:rPr>
                <w:noProof/>
                <w:webHidden/>
              </w:rPr>
              <w:tab/>
            </w:r>
            <w:r w:rsidR="00736DA9">
              <w:rPr>
                <w:noProof/>
                <w:webHidden/>
              </w:rPr>
              <w:fldChar w:fldCharType="begin"/>
            </w:r>
            <w:r w:rsidR="00736DA9">
              <w:rPr>
                <w:noProof/>
                <w:webHidden/>
              </w:rPr>
              <w:instrText xml:space="preserve"> PAGEREF _Toc162267335 \h </w:instrText>
            </w:r>
            <w:r w:rsidR="00736DA9">
              <w:rPr>
                <w:noProof/>
                <w:webHidden/>
              </w:rPr>
            </w:r>
            <w:r w:rsidR="00736DA9">
              <w:rPr>
                <w:noProof/>
                <w:webHidden/>
              </w:rPr>
              <w:fldChar w:fldCharType="separate"/>
            </w:r>
            <w:r w:rsidR="00736DA9">
              <w:rPr>
                <w:noProof/>
                <w:webHidden/>
              </w:rPr>
              <w:t>247</w:t>
            </w:r>
            <w:r w:rsidR="00736DA9">
              <w:rPr>
                <w:noProof/>
                <w:webHidden/>
              </w:rPr>
              <w:fldChar w:fldCharType="end"/>
            </w:r>
          </w:hyperlink>
        </w:p>
        <w:p w14:paraId="0D80F5A1" w14:textId="39D46615" w:rsidR="00736DA9" w:rsidRDefault="00000000">
          <w:pPr>
            <w:pStyle w:val="TOC4"/>
            <w:tabs>
              <w:tab w:val="right" w:pos="9350"/>
            </w:tabs>
            <w:rPr>
              <w:rFonts w:eastAsiaTheme="minorEastAsia" w:cstheme="minorBidi"/>
              <w:noProof/>
              <w:sz w:val="24"/>
              <w:szCs w:val="24"/>
            </w:rPr>
          </w:pPr>
          <w:hyperlink w:anchor="_Toc162267336" w:history="1">
            <w:r w:rsidR="00736DA9" w:rsidRPr="004372B1">
              <w:rPr>
                <w:rStyle w:val="Hyperlink"/>
                <w:noProof/>
              </w:rPr>
              <w:t>Figure 7.36: Infants Who Are Put to Sleep on Their Backs.</w:t>
            </w:r>
            <w:r w:rsidR="00736DA9">
              <w:rPr>
                <w:noProof/>
                <w:webHidden/>
              </w:rPr>
              <w:tab/>
            </w:r>
            <w:r w:rsidR="00736DA9">
              <w:rPr>
                <w:noProof/>
                <w:webHidden/>
              </w:rPr>
              <w:fldChar w:fldCharType="begin"/>
            </w:r>
            <w:r w:rsidR="00736DA9">
              <w:rPr>
                <w:noProof/>
                <w:webHidden/>
              </w:rPr>
              <w:instrText xml:space="preserve"> PAGEREF _Toc162267336 \h </w:instrText>
            </w:r>
            <w:r w:rsidR="00736DA9">
              <w:rPr>
                <w:noProof/>
                <w:webHidden/>
              </w:rPr>
            </w:r>
            <w:r w:rsidR="00736DA9">
              <w:rPr>
                <w:noProof/>
                <w:webHidden/>
              </w:rPr>
              <w:fldChar w:fldCharType="separate"/>
            </w:r>
            <w:r w:rsidR="00736DA9">
              <w:rPr>
                <w:noProof/>
                <w:webHidden/>
              </w:rPr>
              <w:t>247</w:t>
            </w:r>
            <w:r w:rsidR="00736DA9">
              <w:rPr>
                <w:noProof/>
                <w:webHidden/>
              </w:rPr>
              <w:fldChar w:fldCharType="end"/>
            </w:r>
          </w:hyperlink>
        </w:p>
        <w:p w14:paraId="275BD6D7" w14:textId="497B3252" w:rsidR="00736DA9" w:rsidRDefault="00000000">
          <w:pPr>
            <w:pStyle w:val="TOC4"/>
            <w:tabs>
              <w:tab w:val="right" w:pos="9350"/>
            </w:tabs>
            <w:rPr>
              <w:rFonts w:eastAsiaTheme="minorEastAsia" w:cstheme="minorBidi"/>
              <w:noProof/>
              <w:sz w:val="24"/>
              <w:szCs w:val="24"/>
            </w:rPr>
          </w:pPr>
          <w:hyperlink w:anchor="_Toc162267337" w:history="1">
            <w:r w:rsidR="00736DA9" w:rsidRPr="004372B1">
              <w:rPr>
                <w:rStyle w:val="Hyperlink"/>
                <w:noProof/>
              </w:rPr>
              <w:t>Figure 7.37: Infants Who Are Put to Sleep on Their Backs, by Maternal Race/Ethnicity and Age.</w:t>
            </w:r>
            <w:r w:rsidR="00736DA9">
              <w:rPr>
                <w:noProof/>
                <w:webHidden/>
              </w:rPr>
              <w:tab/>
            </w:r>
            <w:r w:rsidR="00736DA9">
              <w:rPr>
                <w:noProof/>
                <w:webHidden/>
              </w:rPr>
              <w:fldChar w:fldCharType="begin"/>
            </w:r>
            <w:r w:rsidR="00736DA9">
              <w:rPr>
                <w:noProof/>
                <w:webHidden/>
              </w:rPr>
              <w:instrText xml:space="preserve"> PAGEREF _Toc162267337 \h </w:instrText>
            </w:r>
            <w:r w:rsidR="00736DA9">
              <w:rPr>
                <w:noProof/>
                <w:webHidden/>
              </w:rPr>
            </w:r>
            <w:r w:rsidR="00736DA9">
              <w:rPr>
                <w:noProof/>
                <w:webHidden/>
              </w:rPr>
              <w:fldChar w:fldCharType="separate"/>
            </w:r>
            <w:r w:rsidR="00736DA9">
              <w:rPr>
                <w:noProof/>
                <w:webHidden/>
              </w:rPr>
              <w:t>248</w:t>
            </w:r>
            <w:r w:rsidR="00736DA9">
              <w:rPr>
                <w:noProof/>
                <w:webHidden/>
              </w:rPr>
              <w:fldChar w:fldCharType="end"/>
            </w:r>
          </w:hyperlink>
        </w:p>
        <w:p w14:paraId="094DB62C" w14:textId="2B0F3369" w:rsidR="00736DA9" w:rsidRDefault="00000000">
          <w:pPr>
            <w:pStyle w:val="TOC4"/>
            <w:tabs>
              <w:tab w:val="right" w:pos="9350"/>
            </w:tabs>
            <w:rPr>
              <w:rFonts w:eastAsiaTheme="minorEastAsia" w:cstheme="minorBidi"/>
              <w:noProof/>
              <w:sz w:val="24"/>
              <w:szCs w:val="24"/>
            </w:rPr>
          </w:pPr>
          <w:hyperlink w:anchor="_Toc162267338"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_Toc162267338 \h </w:instrText>
            </w:r>
            <w:r w:rsidR="00736DA9">
              <w:rPr>
                <w:noProof/>
                <w:webHidden/>
              </w:rPr>
            </w:r>
            <w:r w:rsidR="00736DA9">
              <w:rPr>
                <w:noProof/>
                <w:webHidden/>
              </w:rPr>
              <w:fldChar w:fldCharType="separate"/>
            </w:r>
            <w:r w:rsidR="00736DA9">
              <w:rPr>
                <w:noProof/>
                <w:webHidden/>
              </w:rPr>
              <w:t>248</w:t>
            </w:r>
            <w:r w:rsidR="00736DA9">
              <w:rPr>
                <w:noProof/>
                <w:webHidden/>
              </w:rPr>
              <w:fldChar w:fldCharType="end"/>
            </w:r>
          </w:hyperlink>
        </w:p>
        <w:p w14:paraId="05527514" w14:textId="6B836C4B" w:rsidR="00736DA9" w:rsidRDefault="00000000">
          <w:pPr>
            <w:pStyle w:val="TOC4"/>
            <w:tabs>
              <w:tab w:val="right" w:pos="9350"/>
            </w:tabs>
            <w:rPr>
              <w:rFonts w:eastAsiaTheme="minorEastAsia" w:cstheme="minorBidi"/>
              <w:noProof/>
              <w:sz w:val="24"/>
              <w:szCs w:val="24"/>
            </w:rPr>
          </w:pPr>
          <w:hyperlink w:anchor="_Toc162267339" w:history="1">
            <w:r w:rsidR="00736DA9" w:rsidRPr="004372B1">
              <w:rPr>
                <w:rStyle w:val="Hyperlink"/>
                <w:noProof/>
              </w:rPr>
              <w:t>References 7.16</w:t>
            </w:r>
            <w:r w:rsidR="00736DA9">
              <w:rPr>
                <w:noProof/>
                <w:webHidden/>
              </w:rPr>
              <w:tab/>
            </w:r>
            <w:r w:rsidR="00736DA9">
              <w:rPr>
                <w:noProof/>
                <w:webHidden/>
              </w:rPr>
              <w:fldChar w:fldCharType="begin"/>
            </w:r>
            <w:r w:rsidR="00736DA9">
              <w:rPr>
                <w:noProof/>
                <w:webHidden/>
              </w:rPr>
              <w:instrText xml:space="preserve"> PAGEREF _Toc162267339 \h </w:instrText>
            </w:r>
            <w:r w:rsidR="00736DA9">
              <w:rPr>
                <w:noProof/>
                <w:webHidden/>
              </w:rPr>
            </w:r>
            <w:r w:rsidR="00736DA9">
              <w:rPr>
                <w:noProof/>
                <w:webHidden/>
              </w:rPr>
              <w:fldChar w:fldCharType="separate"/>
            </w:r>
            <w:r w:rsidR="00736DA9">
              <w:rPr>
                <w:noProof/>
                <w:webHidden/>
              </w:rPr>
              <w:t>248</w:t>
            </w:r>
            <w:r w:rsidR="00736DA9">
              <w:rPr>
                <w:noProof/>
                <w:webHidden/>
              </w:rPr>
              <w:fldChar w:fldCharType="end"/>
            </w:r>
          </w:hyperlink>
        </w:p>
        <w:p w14:paraId="4762317E" w14:textId="517D7345" w:rsidR="00736DA9" w:rsidRDefault="00000000">
          <w:pPr>
            <w:pStyle w:val="TOC2"/>
            <w:tabs>
              <w:tab w:val="right" w:pos="9350"/>
            </w:tabs>
            <w:rPr>
              <w:rFonts w:eastAsiaTheme="minorEastAsia" w:cstheme="minorBidi"/>
              <w:b w:val="0"/>
              <w:bCs w:val="0"/>
              <w:noProof/>
              <w:sz w:val="24"/>
              <w:szCs w:val="24"/>
            </w:rPr>
          </w:pPr>
          <w:hyperlink w:anchor="_Toc162267340" w:history="1">
            <w:r w:rsidR="00736DA9" w:rsidRPr="004372B1">
              <w:rPr>
                <w:rStyle w:val="Hyperlink"/>
                <w:noProof/>
              </w:rPr>
              <w:t>Chapter 8: Healthy Children and Adolescents</w:t>
            </w:r>
            <w:r w:rsidR="00736DA9">
              <w:rPr>
                <w:noProof/>
                <w:webHidden/>
              </w:rPr>
              <w:tab/>
            </w:r>
            <w:r w:rsidR="00736DA9">
              <w:rPr>
                <w:noProof/>
                <w:webHidden/>
              </w:rPr>
              <w:fldChar w:fldCharType="begin"/>
            </w:r>
            <w:r w:rsidR="00736DA9">
              <w:rPr>
                <w:noProof/>
                <w:webHidden/>
              </w:rPr>
              <w:instrText xml:space="preserve"> PAGEREF _Toc162267340 \h </w:instrText>
            </w:r>
            <w:r w:rsidR="00736DA9">
              <w:rPr>
                <w:noProof/>
                <w:webHidden/>
              </w:rPr>
            </w:r>
            <w:r w:rsidR="00736DA9">
              <w:rPr>
                <w:noProof/>
                <w:webHidden/>
              </w:rPr>
              <w:fldChar w:fldCharType="separate"/>
            </w:r>
            <w:r w:rsidR="00736DA9">
              <w:rPr>
                <w:noProof/>
                <w:webHidden/>
              </w:rPr>
              <w:t>250</w:t>
            </w:r>
            <w:r w:rsidR="00736DA9">
              <w:rPr>
                <w:noProof/>
                <w:webHidden/>
              </w:rPr>
              <w:fldChar w:fldCharType="end"/>
            </w:r>
          </w:hyperlink>
        </w:p>
        <w:p w14:paraId="1D119594" w14:textId="1F25218A" w:rsidR="00736DA9" w:rsidRDefault="00000000">
          <w:pPr>
            <w:pStyle w:val="TOC3"/>
            <w:tabs>
              <w:tab w:val="right" w:pos="9350"/>
            </w:tabs>
            <w:rPr>
              <w:rFonts w:eastAsiaTheme="minorEastAsia" w:cstheme="minorBidi"/>
              <w:noProof/>
              <w:sz w:val="24"/>
              <w:szCs w:val="24"/>
            </w:rPr>
          </w:pPr>
          <w:hyperlink w:anchor="_Toc162267341" w:history="1">
            <w:r w:rsidR="00736DA9" w:rsidRPr="004372B1">
              <w:rPr>
                <w:rStyle w:val="Hyperlink"/>
                <w:noProof/>
              </w:rPr>
              <w:t>Leading Causes of Hospitalizations and Deaths</w:t>
            </w:r>
            <w:r w:rsidR="00736DA9">
              <w:rPr>
                <w:noProof/>
                <w:webHidden/>
              </w:rPr>
              <w:tab/>
            </w:r>
            <w:r w:rsidR="00736DA9">
              <w:rPr>
                <w:noProof/>
                <w:webHidden/>
              </w:rPr>
              <w:fldChar w:fldCharType="begin"/>
            </w:r>
            <w:r w:rsidR="00736DA9">
              <w:rPr>
                <w:noProof/>
                <w:webHidden/>
              </w:rPr>
              <w:instrText xml:space="preserve"> PAGEREF _Toc162267341 \h </w:instrText>
            </w:r>
            <w:r w:rsidR="00736DA9">
              <w:rPr>
                <w:noProof/>
                <w:webHidden/>
              </w:rPr>
            </w:r>
            <w:r w:rsidR="00736DA9">
              <w:rPr>
                <w:noProof/>
                <w:webHidden/>
              </w:rPr>
              <w:fldChar w:fldCharType="separate"/>
            </w:r>
            <w:r w:rsidR="00736DA9">
              <w:rPr>
                <w:noProof/>
                <w:webHidden/>
              </w:rPr>
              <w:t>250</w:t>
            </w:r>
            <w:r w:rsidR="00736DA9">
              <w:rPr>
                <w:noProof/>
                <w:webHidden/>
              </w:rPr>
              <w:fldChar w:fldCharType="end"/>
            </w:r>
          </w:hyperlink>
        </w:p>
        <w:p w14:paraId="46A40A55" w14:textId="1A9961E8" w:rsidR="00736DA9" w:rsidRDefault="00000000">
          <w:pPr>
            <w:pStyle w:val="TOC4"/>
            <w:tabs>
              <w:tab w:val="right" w:pos="9350"/>
            </w:tabs>
            <w:rPr>
              <w:rFonts w:eastAsiaTheme="minorEastAsia" w:cstheme="minorBidi"/>
              <w:noProof/>
              <w:sz w:val="24"/>
              <w:szCs w:val="24"/>
            </w:rPr>
          </w:pPr>
          <w:hyperlink w:anchor="_Toc162267342" w:history="1">
            <w:r w:rsidR="00736DA9" w:rsidRPr="004372B1">
              <w:rPr>
                <w:rStyle w:val="Hyperlink"/>
                <w:noProof/>
              </w:rPr>
              <w:t>Table 8.1: Leading Hospitalizations in Children Aged 1-17, by Inpatient Discharge Primary Diagnoses and Age Group.</w:t>
            </w:r>
            <w:r w:rsidR="00736DA9">
              <w:rPr>
                <w:noProof/>
                <w:webHidden/>
              </w:rPr>
              <w:tab/>
            </w:r>
            <w:r w:rsidR="00736DA9">
              <w:rPr>
                <w:noProof/>
                <w:webHidden/>
              </w:rPr>
              <w:fldChar w:fldCharType="begin"/>
            </w:r>
            <w:r w:rsidR="00736DA9">
              <w:rPr>
                <w:noProof/>
                <w:webHidden/>
              </w:rPr>
              <w:instrText xml:space="preserve"> PAGEREF _Toc162267342 \h </w:instrText>
            </w:r>
            <w:r w:rsidR="00736DA9">
              <w:rPr>
                <w:noProof/>
                <w:webHidden/>
              </w:rPr>
            </w:r>
            <w:r w:rsidR="00736DA9">
              <w:rPr>
                <w:noProof/>
                <w:webHidden/>
              </w:rPr>
              <w:fldChar w:fldCharType="separate"/>
            </w:r>
            <w:r w:rsidR="00736DA9">
              <w:rPr>
                <w:noProof/>
                <w:webHidden/>
              </w:rPr>
              <w:t>250</w:t>
            </w:r>
            <w:r w:rsidR="00736DA9">
              <w:rPr>
                <w:noProof/>
                <w:webHidden/>
              </w:rPr>
              <w:fldChar w:fldCharType="end"/>
            </w:r>
          </w:hyperlink>
        </w:p>
        <w:p w14:paraId="1E2D483B" w14:textId="5BF13A23" w:rsidR="00736DA9" w:rsidRDefault="00000000">
          <w:pPr>
            <w:pStyle w:val="TOC4"/>
            <w:tabs>
              <w:tab w:val="right" w:pos="9350"/>
            </w:tabs>
            <w:rPr>
              <w:rFonts w:eastAsiaTheme="minorEastAsia" w:cstheme="minorBidi"/>
              <w:noProof/>
              <w:sz w:val="24"/>
              <w:szCs w:val="24"/>
            </w:rPr>
          </w:pPr>
          <w:hyperlink w:anchor="_Toc162267343" w:history="1">
            <w:r w:rsidR="00736DA9" w:rsidRPr="004372B1">
              <w:rPr>
                <w:rStyle w:val="Hyperlink"/>
                <w:noProof/>
              </w:rPr>
              <w:t>Figure 8.1: Leading Causes of Death in Children Aged 1-17.</w:t>
            </w:r>
            <w:r w:rsidR="00736DA9">
              <w:rPr>
                <w:noProof/>
                <w:webHidden/>
              </w:rPr>
              <w:tab/>
            </w:r>
            <w:r w:rsidR="00736DA9">
              <w:rPr>
                <w:noProof/>
                <w:webHidden/>
              </w:rPr>
              <w:fldChar w:fldCharType="begin"/>
            </w:r>
            <w:r w:rsidR="00736DA9">
              <w:rPr>
                <w:noProof/>
                <w:webHidden/>
              </w:rPr>
              <w:instrText xml:space="preserve"> PAGEREF _Toc162267343 \h </w:instrText>
            </w:r>
            <w:r w:rsidR="00736DA9">
              <w:rPr>
                <w:noProof/>
                <w:webHidden/>
              </w:rPr>
            </w:r>
            <w:r w:rsidR="00736DA9">
              <w:rPr>
                <w:noProof/>
                <w:webHidden/>
              </w:rPr>
              <w:fldChar w:fldCharType="separate"/>
            </w:r>
            <w:r w:rsidR="00736DA9">
              <w:rPr>
                <w:noProof/>
                <w:webHidden/>
              </w:rPr>
              <w:t>251</w:t>
            </w:r>
            <w:r w:rsidR="00736DA9">
              <w:rPr>
                <w:noProof/>
                <w:webHidden/>
              </w:rPr>
              <w:fldChar w:fldCharType="end"/>
            </w:r>
          </w:hyperlink>
        </w:p>
        <w:p w14:paraId="4A38C1BF" w14:textId="47378A03" w:rsidR="00736DA9" w:rsidRDefault="00000000">
          <w:pPr>
            <w:pStyle w:val="TOC4"/>
            <w:tabs>
              <w:tab w:val="right" w:pos="9350"/>
            </w:tabs>
            <w:rPr>
              <w:rFonts w:eastAsiaTheme="minorEastAsia" w:cstheme="minorBidi"/>
              <w:noProof/>
              <w:sz w:val="24"/>
              <w:szCs w:val="24"/>
            </w:rPr>
          </w:pPr>
          <w:hyperlink w:anchor="_Toc162267344"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_Toc162267344 \h </w:instrText>
            </w:r>
            <w:r w:rsidR="00736DA9">
              <w:rPr>
                <w:noProof/>
                <w:webHidden/>
              </w:rPr>
            </w:r>
            <w:r w:rsidR="00736DA9">
              <w:rPr>
                <w:noProof/>
                <w:webHidden/>
              </w:rPr>
              <w:fldChar w:fldCharType="separate"/>
            </w:r>
            <w:r w:rsidR="00736DA9">
              <w:rPr>
                <w:noProof/>
                <w:webHidden/>
              </w:rPr>
              <w:t>251</w:t>
            </w:r>
            <w:r w:rsidR="00736DA9">
              <w:rPr>
                <w:noProof/>
                <w:webHidden/>
              </w:rPr>
              <w:fldChar w:fldCharType="end"/>
            </w:r>
          </w:hyperlink>
        </w:p>
        <w:p w14:paraId="7E6D8CB5" w14:textId="067B2AE6" w:rsidR="00736DA9" w:rsidRDefault="00000000">
          <w:pPr>
            <w:pStyle w:val="TOC4"/>
            <w:tabs>
              <w:tab w:val="right" w:pos="9350"/>
            </w:tabs>
            <w:rPr>
              <w:rFonts w:eastAsiaTheme="minorEastAsia" w:cstheme="minorBidi"/>
              <w:noProof/>
              <w:sz w:val="24"/>
              <w:szCs w:val="24"/>
            </w:rPr>
          </w:pPr>
          <w:hyperlink w:anchor="_Toc162267345" w:history="1">
            <w:r w:rsidR="00736DA9" w:rsidRPr="004372B1">
              <w:rPr>
                <w:rStyle w:val="Hyperlink"/>
                <w:noProof/>
              </w:rPr>
              <w:t>References 8.1</w:t>
            </w:r>
            <w:r w:rsidR="00736DA9">
              <w:rPr>
                <w:noProof/>
                <w:webHidden/>
              </w:rPr>
              <w:tab/>
            </w:r>
            <w:r w:rsidR="00736DA9">
              <w:rPr>
                <w:noProof/>
                <w:webHidden/>
              </w:rPr>
              <w:fldChar w:fldCharType="begin"/>
            </w:r>
            <w:r w:rsidR="00736DA9">
              <w:rPr>
                <w:noProof/>
                <w:webHidden/>
              </w:rPr>
              <w:instrText xml:space="preserve"> PAGEREF _Toc162267345 \h </w:instrText>
            </w:r>
            <w:r w:rsidR="00736DA9">
              <w:rPr>
                <w:noProof/>
                <w:webHidden/>
              </w:rPr>
            </w:r>
            <w:r w:rsidR="00736DA9">
              <w:rPr>
                <w:noProof/>
                <w:webHidden/>
              </w:rPr>
              <w:fldChar w:fldCharType="separate"/>
            </w:r>
            <w:r w:rsidR="00736DA9">
              <w:rPr>
                <w:noProof/>
                <w:webHidden/>
              </w:rPr>
              <w:t>252</w:t>
            </w:r>
            <w:r w:rsidR="00736DA9">
              <w:rPr>
                <w:noProof/>
                <w:webHidden/>
              </w:rPr>
              <w:fldChar w:fldCharType="end"/>
            </w:r>
          </w:hyperlink>
        </w:p>
        <w:p w14:paraId="4BBBF12B" w14:textId="52BCC6E2" w:rsidR="00736DA9" w:rsidRDefault="00000000">
          <w:pPr>
            <w:pStyle w:val="TOC3"/>
            <w:tabs>
              <w:tab w:val="right" w:pos="9350"/>
            </w:tabs>
            <w:rPr>
              <w:rFonts w:eastAsiaTheme="minorEastAsia" w:cstheme="minorBidi"/>
              <w:noProof/>
              <w:sz w:val="24"/>
              <w:szCs w:val="24"/>
            </w:rPr>
          </w:pPr>
          <w:hyperlink w:anchor="_Toc162267346" w:history="1">
            <w:r w:rsidR="00736DA9" w:rsidRPr="004372B1">
              <w:rPr>
                <w:rStyle w:val="Hyperlink"/>
                <w:noProof/>
              </w:rPr>
              <w:t>Injuries and Injury-Related Deaths: Drownings</w:t>
            </w:r>
            <w:r w:rsidR="00736DA9">
              <w:rPr>
                <w:noProof/>
                <w:webHidden/>
              </w:rPr>
              <w:tab/>
            </w:r>
            <w:r w:rsidR="00736DA9">
              <w:rPr>
                <w:noProof/>
                <w:webHidden/>
              </w:rPr>
              <w:fldChar w:fldCharType="begin"/>
            </w:r>
            <w:r w:rsidR="00736DA9">
              <w:rPr>
                <w:noProof/>
                <w:webHidden/>
              </w:rPr>
              <w:instrText xml:space="preserve"> PAGEREF _Toc162267346 \h </w:instrText>
            </w:r>
            <w:r w:rsidR="00736DA9">
              <w:rPr>
                <w:noProof/>
                <w:webHidden/>
              </w:rPr>
            </w:r>
            <w:r w:rsidR="00736DA9">
              <w:rPr>
                <w:noProof/>
                <w:webHidden/>
              </w:rPr>
              <w:fldChar w:fldCharType="separate"/>
            </w:r>
            <w:r w:rsidR="00736DA9">
              <w:rPr>
                <w:noProof/>
                <w:webHidden/>
              </w:rPr>
              <w:t>252</w:t>
            </w:r>
            <w:r w:rsidR="00736DA9">
              <w:rPr>
                <w:noProof/>
                <w:webHidden/>
              </w:rPr>
              <w:fldChar w:fldCharType="end"/>
            </w:r>
          </w:hyperlink>
        </w:p>
        <w:p w14:paraId="041FCA61" w14:textId="3419C8BA" w:rsidR="00736DA9" w:rsidRDefault="00000000">
          <w:pPr>
            <w:pStyle w:val="TOC4"/>
            <w:tabs>
              <w:tab w:val="right" w:pos="9350"/>
            </w:tabs>
            <w:rPr>
              <w:rFonts w:eastAsiaTheme="minorEastAsia" w:cstheme="minorBidi"/>
              <w:noProof/>
              <w:sz w:val="24"/>
              <w:szCs w:val="24"/>
            </w:rPr>
          </w:pPr>
          <w:hyperlink w:anchor="_Toc162267347" w:history="1">
            <w:r w:rsidR="00736DA9" w:rsidRPr="004372B1">
              <w:rPr>
                <w:rStyle w:val="Hyperlink"/>
                <w:noProof/>
              </w:rPr>
              <w:t>Figure 8.2: Unintentional Drowning Mortality in Children Aged 1-17, by Age Group.</w:t>
            </w:r>
            <w:r w:rsidR="00736DA9">
              <w:rPr>
                <w:noProof/>
                <w:webHidden/>
              </w:rPr>
              <w:tab/>
            </w:r>
            <w:r w:rsidR="00736DA9">
              <w:rPr>
                <w:noProof/>
                <w:webHidden/>
              </w:rPr>
              <w:fldChar w:fldCharType="begin"/>
            </w:r>
            <w:r w:rsidR="00736DA9">
              <w:rPr>
                <w:noProof/>
                <w:webHidden/>
              </w:rPr>
              <w:instrText xml:space="preserve"> PAGEREF _Toc162267347 \h </w:instrText>
            </w:r>
            <w:r w:rsidR="00736DA9">
              <w:rPr>
                <w:noProof/>
                <w:webHidden/>
              </w:rPr>
            </w:r>
            <w:r w:rsidR="00736DA9">
              <w:rPr>
                <w:noProof/>
                <w:webHidden/>
              </w:rPr>
              <w:fldChar w:fldCharType="separate"/>
            </w:r>
            <w:r w:rsidR="00736DA9">
              <w:rPr>
                <w:noProof/>
                <w:webHidden/>
              </w:rPr>
              <w:t>252</w:t>
            </w:r>
            <w:r w:rsidR="00736DA9">
              <w:rPr>
                <w:noProof/>
                <w:webHidden/>
              </w:rPr>
              <w:fldChar w:fldCharType="end"/>
            </w:r>
          </w:hyperlink>
        </w:p>
        <w:p w14:paraId="52A390DA" w14:textId="38A02947" w:rsidR="00736DA9" w:rsidRDefault="00000000">
          <w:pPr>
            <w:pStyle w:val="TOC4"/>
            <w:tabs>
              <w:tab w:val="right" w:pos="9350"/>
            </w:tabs>
            <w:rPr>
              <w:rFonts w:eastAsiaTheme="minorEastAsia" w:cstheme="minorBidi"/>
              <w:noProof/>
              <w:sz w:val="24"/>
              <w:szCs w:val="24"/>
            </w:rPr>
          </w:pPr>
          <w:hyperlink w:anchor="_Toc162267348" w:history="1">
            <w:r w:rsidR="00736DA9" w:rsidRPr="004372B1">
              <w:rPr>
                <w:rStyle w:val="Hyperlink"/>
                <w:noProof/>
              </w:rPr>
              <w:t>Figure 8.3: Unintentional Drowning Mortality in Children Aged 1-17, by Sex.</w:t>
            </w:r>
            <w:r w:rsidR="00736DA9">
              <w:rPr>
                <w:noProof/>
                <w:webHidden/>
              </w:rPr>
              <w:tab/>
            </w:r>
            <w:r w:rsidR="00736DA9">
              <w:rPr>
                <w:noProof/>
                <w:webHidden/>
              </w:rPr>
              <w:fldChar w:fldCharType="begin"/>
            </w:r>
            <w:r w:rsidR="00736DA9">
              <w:rPr>
                <w:noProof/>
                <w:webHidden/>
              </w:rPr>
              <w:instrText xml:space="preserve"> PAGEREF _Toc162267348 \h </w:instrText>
            </w:r>
            <w:r w:rsidR="00736DA9">
              <w:rPr>
                <w:noProof/>
                <w:webHidden/>
              </w:rPr>
            </w:r>
            <w:r w:rsidR="00736DA9">
              <w:rPr>
                <w:noProof/>
                <w:webHidden/>
              </w:rPr>
              <w:fldChar w:fldCharType="separate"/>
            </w:r>
            <w:r w:rsidR="00736DA9">
              <w:rPr>
                <w:noProof/>
                <w:webHidden/>
              </w:rPr>
              <w:t>253</w:t>
            </w:r>
            <w:r w:rsidR="00736DA9">
              <w:rPr>
                <w:noProof/>
                <w:webHidden/>
              </w:rPr>
              <w:fldChar w:fldCharType="end"/>
            </w:r>
          </w:hyperlink>
        </w:p>
        <w:p w14:paraId="67F8DC13" w14:textId="3F4916F2" w:rsidR="00736DA9" w:rsidRDefault="00000000">
          <w:pPr>
            <w:pStyle w:val="TOC4"/>
            <w:tabs>
              <w:tab w:val="right" w:pos="9350"/>
            </w:tabs>
            <w:rPr>
              <w:rFonts w:eastAsiaTheme="minorEastAsia" w:cstheme="minorBidi"/>
              <w:noProof/>
              <w:sz w:val="24"/>
              <w:szCs w:val="24"/>
            </w:rPr>
          </w:pPr>
          <w:hyperlink w:anchor="_Toc162267349"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_Toc162267349 \h </w:instrText>
            </w:r>
            <w:r w:rsidR="00736DA9">
              <w:rPr>
                <w:noProof/>
                <w:webHidden/>
              </w:rPr>
            </w:r>
            <w:r w:rsidR="00736DA9">
              <w:rPr>
                <w:noProof/>
                <w:webHidden/>
              </w:rPr>
              <w:fldChar w:fldCharType="separate"/>
            </w:r>
            <w:r w:rsidR="00736DA9">
              <w:rPr>
                <w:noProof/>
                <w:webHidden/>
              </w:rPr>
              <w:t>253</w:t>
            </w:r>
            <w:r w:rsidR="00736DA9">
              <w:rPr>
                <w:noProof/>
                <w:webHidden/>
              </w:rPr>
              <w:fldChar w:fldCharType="end"/>
            </w:r>
          </w:hyperlink>
        </w:p>
        <w:p w14:paraId="511FBFC9" w14:textId="0140E142" w:rsidR="00736DA9" w:rsidRDefault="00000000">
          <w:pPr>
            <w:pStyle w:val="TOC4"/>
            <w:tabs>
              <w:tab w:val="right" w:pos="9350"/>
            </w:tabs>
            <w:rPr>
              <w:rFonts w:eastAsiaTheme="minorEastAsia" w:cstheme="minorBidi"/>
              <w:noProof/>
              <w:sz w:val="24"/>
              <w:szCs w:val="24"/>
            </w:rPr>
          </w:pPr>
          <w:hyperlink w:anchor="_Toc162267350" w:history="1">
            <w:r w:rsidR="00736DA9" w:rsidRPr="004372B1">
              <w:rPr>
                <w:rStyle w:val="Hyperlink"/>
                <w:noProof/>
              </w:rPr>
              <w:t>References 8.2</w:t>
            </w:r>
            <w:r w:rsidR="00736DA9">
              <w:rPr>
                <w:noProof/>
                <w:webHidden/>
              </w:rPr>
              <w:tab/>
            </w:r>
            <w:r w:rsidR="00736DA9">
              <w:rPr>
                <w:noProof/>
                <w:webHidden/>
              </w:rPr>
              <w:fldChar w:fldCharType="begin"/>
            </w:r>
            <w:r w:rsidR="00736DA9">
              <w:rPr>
                <w:noProof/>
                <w:webHidden/>
              </w:rPr>
              <w:instrText xml:space="preserve"> PAGEREF _Toc162267350 \h </w:instrText>
            </w:r>
            <w:r w:rsidR="00736DA9">
              <w:rPr>
                <w:noProof/>
                <w:webHidden/>
              </w:rPr>
            </w:r>
            <w:r w:rsidR="00736DA9">
              <w:rPr>
                <w:noProof/>
                <w:webHidden/>
              </w:rPr>
              <w:fldChar w:fldCharType="separate"/>
            </w:r>
            <w:r w:rsidR="00736DA9">
              <w:rPr>
                <w:noProof/>
                <w:webHidden/>
              </w:rPr>
              <w:t>253</w:t>
            </w:r>
            <w:r w:rsidR="00736DA9">
              <w:rPr>
                <w:noProof/>
                <w:webHidden/>
              </w:rPr>
              <w:fldChar w:fldCharType="end"/>
            </w:r>
          </w:hyperlink>
        </w:p>
        <w:p w14:paraId="4A0D57AA" w14:textId="0F815E11" w:rsidR="00736DA9" w:rsidRDefault="00000000">
          <w:pPr>
            <w:pStyle w:val="TOC3"/>
            <w:tabs>
              <w:tab w:val="right" w:pos="9350"/>
            </w:tabs>
            <w:rPr>
              <w:rFonts w:eastAsiaTheme="minorEastAsia" w:cstheme="minorBidi"/>
              <w:noProof/>
              <w:sz w:val="24"/>
              <w:szCs w:val="24"/>
            </w:rPr>
          </w:pPr>
          <w:hyperlink w:anchor="_Toc162267351" w:history="1">
            <w:r w:rsidR="00736DA9" w:rsidRPr="004372B1">
              <w:rPr>
                <w:rStyle w:val="Hyperlink"/>
                <w:noProof/>
              </w:rPr>
              <w:t>Injuries and Injury-Related Deaths: Motor Vehicle Crashes</w:t>
            </w:r>
            <w:r w:rsidR="00736DA9">
              <w:rPr>
                <w:noProof/>
                <w:webHidden/>
              </w:rPr>
              <w:tab/>
            </w:r>
            <w:r w:rsidR="00736DA9">
              <w:rPr>
                <w:noProof/>
                <w:webHidden/>
              </w:rPr>
              <w:fldChar w:fldCharType="begin"/>
            </w:r>
            <w:r w:rsidR="00736DA9">
              <w:rPr>
                <w:noProof/>
                <w:webHidden/>
              </w:rPr>
              <w:instrText xml:space="preserve"> PAGEREF _Toc162267351 \h </w:instrText>
            </w:r>
            <w:r w:rsidR="00736DA9">
              <w:rPr>
                <w:noProof/>
                <w:webHidden/>
              </w:rPr>
            </w:r>
            <w:r w:rsidR="00736DA9">
              <w:rPr>
                <w:noProof/>
                <w:webHidden/>
              </w:rPr>
              <w:fldChar w:fldCharType="separate"/>
            </w:r>
            <w:r w:rsidR="00736DA9">
              <w:rPr>
                <w:noProof/>
                <w:webHidden/>
              </w:rPr>
              <w:t>254</w:t>
            </w:r>
            <w:r w:rsidR="00736DA9">
              <w:rPr>
                <w:noProof/>
                <w:webHidden/>
              </w:rPr>
              <w:fldChar w:fldCharType="end"/>
            </w:r>
          </w:hyperlink>
        </w:p>
        <w:p w14:paraId="7CE8DFD5" w14:textId="272185A9" w:rsidR="00736DA9" w:rsidRDefault="00000000">
          <w:pPr>
            <w:pStyle w:val="TOC4"/>
            <w:tabs>
              <w:tab w:val="right" w:pos="9350"/>
            </w:tabs>
            <w:rPr>
              <w:rFonts w:eastAsiaTheme="minorEastAsia" w:cstheme="minorBidi"/>
              <w:noProof/>
              <w:sz w:val="24"/>
              <w:szCs w:val="24"/>
            </w:rPr>
          </w:pPr>
          <w:hyperlink w:anchor="_Toc162267352" w:history="1">
            <w:r w:rsidR="00736DA9" w:rsidRPr="004372B1">
              <w:rPr>
                <w:rStyle w:val="Hyperlink"/>
                <w:noProof/>
              </w:rPr>
              <w:t>Figure 8.4: Motor Vehicle Crash Deaths in Children Aged 1-17, by Race/Ethnicity.</w:t>
            </w:r>
            <w:r w:rsidR="00736DA9">
              <w:rPr>
                <w:noProof/>
                <w:webHidden/>
              </w:rPr>
              <w:tab/>
            </w:r>
            <w:r w:rsidR="00736DA9">
              <w:rPr>
                <w:noProof/>
                <w:webHidden/>
              </w:rPr>
              <w:fldChar w:fldCharType="begin"/>
            </w:r>
            <w:r w:rsidR="00736DA9">
              <w:rPr>
                <w:noProof/>
                <w:webHidden/>
              </w:rPr>
              <w:instrText xml:space="preserve"> PAGEREF _Toc162267352 \h </w:instrText>
            </w:r>
            <w:r w:rsidR="00736DA9">
              <w:rPr>
                <w:noProof/>
                <w:webHidden/>
              </w:rPr>
            </w:r>
            <w:r w:rsidR="00736DA9">
              <w:rPr>
                <w:noProof/>
                <w:webHidden/>
              </w:rPr>
              <w:fldChar w:fldCharType="separate"/>
            </w:r>
            <w:r w:rsidR="00736DA9">
              <w:rPr>
                <w:noProof/>
                <w:webHidden/>
              </w:rPr>
              <w:t>254</w:t>
            </w:r>
            <w:r w:rsidR="00736DA9">
              <w:rPr>
                <w:noProof/>
                <w:webHidden/>
              </w:rPr>
              <w:fldChar w:fldCharType="end"/>
            </w:r>
          </w:hyperlink>
        </w:p>
        <w:p w14:paraId="0CDFEEBC" w14:textId="497AF4EC" w:rsidR="00736DA9" w:rsidRDefault="00000000">
          <w:pPr>
            <w:pStyle w:val="TOC4"/>
            <w:tabs>
              <w:tab w:val="right" w:pos="9350"/>
            </w:tabs>
            <w:rPr>
              <w:rFonts w:eastAsiaTheme="minorEastAsia" w:cstheme="minorBidi"/>
              <w:noProof/>
              <w:sz w:val="24"/>
              <w:szCs w:val="24"/>
            </w:rPr>
          </w:pPr>
          <w:hyperlink w:anchor="_Toc162267353" w:history="1">
            <w:r w:rsidR="00736DA9" w:rsidRPr="004372B1">
              <w:rPr>
                <w:rStyle w:val="Hyperlink"/>
                <w:noProof/>
              </w:rPr>
              <w:t>Figure 8.5: Motor Vehicle Crash Deaths in Children Aged 1-17, by Sex and Age Group.</w:t>
            </w:r>
            <w:r w:rsidR="00736DA9">
              <w:rPr>
                <w:noProof/>
                <w:webHidden/>
              </w:rPr>
              <w:tab/>
            </w:r>
            <w:r w:rsidR="00736DA9">
              <w:rPr>
                <w:noProof/>
                <w:webHidden/>
              </w:rPr>
              <w:fldChar w:fldCharType="begin"/>
            </w:r>
            <w:r w:rsidR="00736DA9">
              <w:rPr>
                <w:noProof/>
                <w:webHidden/>
              </w:rPr>
              <w:instrText xml:space="preserve"> PAGEREF _Toc162267353 \h </w:instrText>
            </w:r>
            <w:r w:rsidR="00736DA9">
              <w:rPr>
                <w:noProof/>
                <w:webHidden/>
              </w:rPr>
            </w:r>
            <w:r w:rsidR="00736DA9">
              <w:rPr>
                <w:noProof/>
                <w:webHidden/>
              </w:rPr>
              <w:fldChar w:fldCharType="separate"/>
            </w:r>
            <w:r w:rsidR="00736DA9">
              <w:rPr>
                <w:noProof/>
                <w:webHidden/>
              </w:rPr>
              <w:t>255</w:t>
            </w:r>
            <w:r w:rsidR="00736DA9">
              <w:rPr>
                <w:noProof/>
                <w:webHidden/>
              </w:rPr>
              <w:fldChar w:fldCharType="end"/>
            </w:r>
          </w:hyperlink>
        </w:p>
        <w:p w14:paraId="05D65B9F" w14:textId="6EDC7800" w:rsidR="00736DA9" w:rsidRDefault="00000000">
          <w:pPr>
            <w:pStyle w:val="TOC4"/>
            <w:tabs>
              <w:tab w:val="right" w:pos="9350"/>
            </w:tabs>
            <w:rPr>
              <w:rFonts w:eastAsiaTheme="minorEastAsia" w:cstheme="minorBidi"/>
              <w:noProof/>
              <w:sz w:val="24"/>
              <w:szCs w:val="24"/>
            </w:rPr>
          </w:pPr>
          <w:hyperlink w:anchor="_Toc162267354"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_Toc162267354 \h </w:instrText>
            </w:r>
            <w:r w:rsidR="00736DA9">
              <w:rPr>
                <w:noProof/>
                <w:webHidden/>
              </w:rPr>
            </w:r>
            <w:r w:rsidR="00736DA9">
              <w:rPr>
                <w:noProof/>
                <w:webHidden/>
              </w:rPr>
              <w:fldChar w:fldCharType="separate"/>
            </w:r>
            <w:r w:rsidR="00736DA9">
              <w:rPr>
                <w:noProof/>
                <w:webHidden/>
              </w:rPr>
              <w:t>255</w:t>
            </w:r>
            <w:r w:rsidR="00736DA9">
              <w:rPr>
                <w:noProof/>
                <w:webHidden/>
              </w:rPr>
              <w:fldChar w:fldCharType="end"/>
            </w:r>
          </w:hyperlink>
        </w:p>
        <w:p w14:paraId="0B859485" w14:textId="1144D941" w:rsidR="00736DA9" w:rsidRDefault="00000000">
          <w:pPr>
            <w:pStyle w:val="TOC4"/>
            <w:tabs>
              <w:tab w:val="right" w:pos="9350"/>
            </w:tabs>
            <w:rPr>
              <w:rFonts w:eastAsiaTheme="minorEastAsia" w:cstheme="minorBidi"/>
              <w:noProof/>
              <w:sz w:val="24"/>
              <w:szCs w:val="24"/>
            </w:rPr>
          </w:pPr>
          <w:hyperlink w:anchor="_Toc162267355" w:history="1">
            <w:r w:rsidR="00736DA9" w:rsidRPr="004372B1">
              <w:rPr>
                <w:rStyle w:val="Hyperlink"/>
                <w:noProof/>
              </w:rPr>
              <w:t>References 8.3</w:t>
            </w:r>
            <w:r w:rsidR="00736DA9">
              <w:rPr>
                <w:noProof/>
                <w:webHidden/>
              </w:rPr>
              <w:tab/>
            </w:r>
            <w:r w:rsidR="00736DA9">
              <w:rPr>
                <w:noProof/>
                <w:webHidden/>
              </w:rPr>
              <w:fldChar w:fldCharType="begin"/>
            </w:r>
            <w:r w:rsidR="00736DA9">
              <w:rPr>
                <w:noProof/>
                <w:webHidden/>
              </w:rPr>
              <w:instrText xml:space="preserve"> PAGEREF _Toc162267355 \h </w:instrText>
            </w:r>
            <w:r w:rsidR="00736DA9">
              <w:rPr>
                <w:noProof/>
                <w:webHidden/>
              </w:rPr>
            </w:r>
            <w:r w:rsidR="00736DA9">
              <w:rPr>
                <w:noProof/>
                <w:webHidden/>
              </w:rPr>
              <w:fldChar w:fldCharType="separate"/>
            </w:r>
            <w:r w:rsidR="00736DA9">
              <w:rPr>
                <w:noProof/>
                <w:webHidden/>
              </w:rPr>
              <w:t>255</w:t>
            </w:r>
            <w:r w:rsidR="00736DA9">
              <w:rPr>
                <w:noProof/>
                <w:webHidden/>
              </w:rPr>
              <w:fldChar w:fldCharType="end"/>
            </w:r>
          </w:hyperlink>
        </w:p>
        <w:p w14:paraId="1E9F56CF" w14:textId="487C78A0" w:rsidR="00736DA9" w:rsidRDefault="00000000">
          <w:pPr>
            <w:pStyle w:val="TOC3"/>
            <w:tabs>
              <w:tab w:val="right" w:pos="9350"/>
            </w:tabs>
            <w:rPr>
              <w:rFonts w:eastAsiaTheme="minorEastAsia" w:cstheme="minorBidi"/>
              <w:noProof/>
              <w:sz w:val="24"/>
              <w:szCs w:val="24"/>
            </w:rPr>
          </w:pPr>
          <w:hyperlink w:anchor="_Toc162267356" w:history="1">
            <w:r w:rsidR="00736DA9" w:rsidRPr="004372B1">
              <w:rPr>
                <w:rStyle w:val="Hyperlink"/>
                <w:noProof/>
              </w:rPr>
              <w:t>Injuries and Injury-Related Deaths: Homicide Deaths</w:t>
            </w:r>
            <w:r w:rsidR="00736DA9">
              <w:rPr>
                <w:noProof/>
                <w:webHidden/>
              </w:rPr>
              <w:tab/>
            </w:r>
            <w:r w:rsidR="00736DA9">
              <w:rPr>
                <w:noProof/>
                <w:webHidden/>
              </w:rPr>
              <w:fldChar w:fldCharType="begin"/>
            </w:r>
            <w:r w:rsidR="00736DA9">
              <w:rPr>
                <w:noProof/>
                <w:webHidden/>
              </w:rPr>
              <w:instrText xml:space="preserve"> PAGEREF _Toc162267356 \h </w:instrText>
            </w:r>
            <w:r w:rsidR="00736DA9">
              <w:rPr>
                <w:noProof/>
                <w:webHidden/>
              </w:rPr>
            </w:r>
            <w:r w:rsidR="00736DA9">
              <w:rPr>
                <w:noProof/>
                <w:webHidden/>
              </w:rPr>
              <w:fldChar w:fldCharType="separate"/>
            </w:r>
            <w:r w:rsidR="00736DA9">
              <w:rPr>
                <w:noProof/>
                <w:webHidden/>
              </w:rPr>
              <w:t>255</w:t>
            </w:r>
            <w:r w:rsidR="00736DA9">
              <w:rPr>
                <w:noProof/>
                <w:webHidden/>
              </w:rPr>
              <w:fldChar w:fldCharType="end"/>
            </w:r>
          </w:hyperlink>
        </w:p>
        <w:p w14:paraId="61D20848" w14:textId="15C75334" w:rsidR="00736DA9" w:rsidRDefault="00000000">
          <w:pPr>
            <w:pStyle w:val="TOC4"/>
            <w:tabs>
              <w:tab w:val="right" w:pos="9350"/>
            </w:tabs>
            <w:rPr>
              <w:rFonts w:eastAsiaTheme="minorEastAsia" w:cstheme="minorBidi"/>
              <w:noProof/>
              <w:sz w:val="24"/>
              <w:szCs w:val="24"/>
            </w:rPr>
          </w:pPr>
          <w:hyperlink w:anchor="_Toc162267357" w:history="1">
            <w:r w:rsidR="00736DA9" w:rsidRPr="004372B1">
              <w:rPr>
                <w:rStyle w:val="Hyperlink"/>
                <w:noProof/>
              </w:rPr>
              <w:t>Figure 8.6: Homicide in Children Aged 1-17.</w:t>
            </w:r>
            <w:r w:rsidR="00736DA9">
              <w:rPr>
                <w:noProof/>
                <w:webHidden/>
              </w:rPr>
              <w:tab/>
            </w:r>
            <w:r w:rsidR="00736DA9">
              <w:rPr>
                <w:noProof/>
                <w:webHidden/>
              </w:rPr>
              <w:fldChar w:fldCharType="begin"/>
            </w:r>
            <w:r w:rsidR="00736DA9">
              <w:rPr>
                <w:noProof/>
                <w:webHidden/>
              </w:rPr>
              <w:instrText xml:space="preserve"> PAGEREF _Toc162267357 \h </w:instrText>
            </w:r>
            <w:r w:rsidR="00736DA9">
              <w:rPr>
                <w:noProof/>
                <w:webHidden/>
              </w:rPr>
            </w:r>
            <w:r w:rsidR="00736DA9">
              <w:rPr>
                <w:noProof/>
                <w:webHidden/>
              </w:rPr>
              <w:fldChar w:fldCharType="separate"/>
            </w:r>
            <w:r w:rsidR="00736DA9">
              <w:rPr>
                <w:noProof/>
                <w:webHidden/>
              </w:rPr>
              <w:t>256</w:t>
            </w:r>
            <w:r w:rsidR="00736DA9">
              <w:rPr>
                <w:noProof/>
                <w:webHidden/>
              </w:rPr>
              <w:fldChar w:fldCharType="end"/>
            </w:r>
          </w:hyperlink>
        </w:p>
        <w:p w14:paraId="51949E21" w14:textId="35D5EC96" w:rsidR="00736DA9" w:rsidRDefault="00000000">
          <w:pPr>
            <w:pStyle w:val="TOC4"/>
            <w:tabs>
              <w:tab w:val="right" w:pos="9350"/>
            </w:tabs>
            <w:rPr>
              <w:rFonts w:eastAsiaTheme="minorEastAsia" w:cstheme="minorBidi"/>
              <w:noProof/>
              <w:sz w:val="24"/>
              <w:szCs w:val="24"/>
            </w:rPr>
          </w:pPr>
          <w:hyperlink w:anchor="_Toc162267358" w:history="1">
            <w:r w:rsidR="00736DA9" w:rsidRPr="004372B1">
              <w:rPr>
                <w:rStyle w:val="Hyperlink"/>
                <w:noProof/>
              </w:rPr>
              <w:t>Figure 8.7: Homicide in Children Aged 1-17, by Sex and Race.</w:t>
            </w:r>
            <w:r w:rsidR="00736DA9">
              <w:rPr>
                <w:noProof/>
                <w:webHidden/>
              </w:rPr>
              <w:tab/>
            </w:r>
            <w:r w:rsidR="00736DA9">
              <w:rPr>
                <w:noProof/>
                <w:webHidden/>
              </w:rPr>
              <w:fldChar w:fldCharType="begin"/>
            </w:r>
            <w:r w:rsidR="00736DA9">
              <w:rPr>
                <w:noProof/>
                <w:webHidden/>
              </w:rPr>
              <w:instrText xml:space="preserve"> PAGEREF _Toc162267358 \h </w:instrText>
            </w:r>
            <w:r w:rsidR="00736DA9">
              <w:rPr>
                <w:noProof/>
                <w:webHidden/>
              </w:rPr>
            </w:r>
            <w:r w:rsidR="00736DA9">
              <w:rPr>
                <w:noProof/>
                <w:webHidden/>
              </w:rPr>
              <w:fldChar w:fldCharType="separate"/>
            </w:r>
            <w:r w:rsidR="00736DA9">
              <w:rPr>
                <w:noProof/>
                <w:webHidden/>
              </w:rPr>
              <w:t>256</w:t>
            </w:r>
            <w:r w:rsidR="00736DA9">
              <w:rPr>
                <w:noProof/>
                <w:webHidden/>
              </w:rPr>
              <w:fldChar w:fldCharType="end"/>
            </w:r>
          </w:hyperlink>
        </w:p>
        <w:p w14:paraId="4D832803" w14:textId="44EBB22B" w:rsidR="00736DA9" w:rsidRDefault="00000000">
          <w:pPr>
            <w:pStyle w:val="TOC4"/>
            <w:tabs>
              <w:tab w:val="right" w:pos="9350"/>
            </w:tabs>
            <w:rPr>
              <w:rFonts w:eastAsiaTheme="minorEastAsia" w:cstheme="minorBidi"/>
              <w:noProof/>
              <w:sz w:val="24"/>
              <w:szCs w:val="24"/>
            </w:rPr>
          </w:pPr>
          <w:hyperlink w:anchor="_Toc162267359" w:history="1">
            <w:r w:rsidR="00736DA9" w:rsidRPr="004372B1">
              <w:rPr>
                <w:rStyle w:val="Hyperlink"/>
                <w:noProof/>
              </w:rPr>
              <w:t>Figure 8.8: Percent of Homicides by Firearm Among Children Aged 1-17, by Age Group.</w:t>
            </w:r>
            <w:r w:rsidR="00736DA9">
              <w:rPr>
                <w:noProof/>
                <w:webHidden/>
              </w:rPr>
              <w:tab/>
            </w:r>
            <w:r w:rsidR="00736DA9">
              <w:rPr>
                <w:noProof/>
                <w:webHidden/>
              </w:rPr>
              <w:fldChar w:fldCharType="begin"/>
            </w:r>
            <w:r w:rsidR="00736DA9">
              <w:rPr>
                <w:noProof/>
                <w:webHidden/>
              </w:rPr>
              <w:instrText xml:space="preserve"> PAGEREF _Toc162267359 \h </w:instrText>
            </w:r>
            <w:r w:rsidR="00736DA9">
              <w:rPr>
                <w:noProof/>
                <w:webHidden/>
              </w:rPr>
            </w:r>
            <w:r w:rsidR="00736DA9">
              <w:rPr>
                <w:noProof/>
                <w:webHidden/>
              </w:rPr>
              <w:fldChar w:fldCharType="separate"/>
            </w:r>
            <w:r w:rsidR="00736DA9">
              <w:rPr>
                <w:noProof/>
                <w:webHidden/>
              </w:rPr>
              <w:t>257</w:t>
            </w:r>
            <w:r w:rsidR="00736DA9">
              <w:rPr>
                <w:noProof/>
                <w:webHidden/>
              </w:rPr>
              <w:fldChar w:fldCharType="end"/>
            </w:r>
          </w:hyperlink>
        </w:p>
        <w:p w14:paraId="3BA2D4A1" w14:textId="430AC89D" w:rsidR="00736DA9" w:rsidRDefault="00000000">
          <w:pPr>
            <w:pStyle w:val="TOC4"/>
            <w:tabs>
              <w:tab w:val="right" w:pos="9350"/>
            </w:tabs>
            <w:rPr>
              <w:rFonts w:eastAsiaTheme="minorEastAsia" w:cstheme="minorBidi"/>
              <w:noProof/>
              <w:sz w:val="24"/>
              <w:szCs w:val="24"/>
            </w:rPr>
          </w:pPr>
          <w:hyperlink w:anchor="_Toc162267360"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_Toc162267360 \h </w:instrText>
            </w:r>
            <w:r w:rsidR="00736DA9">
              <w:rPr>
                <w:noProof/>
                <w:webHidden/>
              </w:rPr>
            </w:r>
            <w:r w:rsidR="00736DA9">
              <w:rPr>
                <w:noProof/>
                <w:webHidden/>
              </w:rPr>
              <w:fldChar w:fldCharType="separate"/>
            </w:r>
            <w:r w:rsidR="00736DA9">
              <w:rPr>
                <w:noProof/>
                <w:webHidden/>
              </w:rPr>
              <w:t>257</w:t>
            </w:r>
            <w:r w:rsidR="00736DA9">
              <w:rPr>
                <w:noProof/>
                <w:webHidden/>
              </w:rPr>
              <w:fldChar w:fldCharType="end"/>
            </w:r>
          </w:hyperlink>
        </w:p>
        <w:p w14:paraId="70C400A6" w14:textId="21EC842C" w:rsidR="00736DA9" w:rsidRDefault="00000000">
          <w:pPr>
            <w:pStyle w:val="TOC4"/>
            <w:tabs>
              <w:tab w:val="right" w:pos="9350"/>
            </w:tabs>
            <w:rPr>
              <w:rFonts w:eastAsiaTheme="minorEastAsia" w:cstheme="minorBidi"/>
              <w:noProof/>
              <w:sz w:val="24"/>
              <w:szCs w:val="24"/>
            </w:rPr>
          </w:pPr>
          <w:hyperlink w:anchor="_Toc162267361" w:history="1">
            <w:r w:rsidR="00736DA9" w:rsidRPr="004372B1">
              <w:rPr>
                <w:rStyle w:val="Hyperlink"/>
                <w:noProof/>
              </w:rPr>
              <w:t>References 8.4</w:t>
            </w:r>
            <w:r w:rsidR="00736DA9">
              <w:rPr>
                <w:noProof/>
                <w:webHidden/>
              </w:rPr>
              <w:tab/>
            </w:r>
            <w:r w:rsidR="00736DA9">
              <w:rPr>
                <w:noProof/>
                <w:webHidden/>
              </w:rPr>
              <w:fldChar w:fldCharType="begin"/>
            </w:r>
            <w:r w:rsidR="00736DA9">
              <w:rPr>
                <w:noProof/>
                <w:webHidden/>
              </w:rPr>
              <w:instrText xml:space="preserve"> PAGEREF _Toc162267361 \h </w:instrText>
            </w:r>
            <w:r w:rsidR="00736DA9">
              <w:rPr>
                <w:noProof/>
                <w:webHidden/>
              </w:rPr>
            </w:r>
            <w:r w:rsidR="00736DA9">
              <w:rPr>
                <w:noProof/>
                <w:webHidden/>
              </w:rPr>
              <w:fldChar w:fldCharType="separate"/>
            </w:r>
            <w:r w:rsidR="00736DA9">
              <w:rPr>
                <w:noProof/>
                <w:webHidden/>
              </w:rPr>
              <w:t>257</w:t>
            </w:r>
            <w:r w:rsidR="00736DA9">
              <w:rPr>
                <w:noProof/>
                <w:webHidden/>
              </w:rPr>
              <w:fldChar w:fldCharType="end"/>
            </w:r>
          </w:hyperlink>
        </w:p>
        <w:p w14:paraId="2A59CA2E" w14:textId="76CA4698" w:rsidR="00736DA9" w:rsidRDefault="00000000">
          <w:pPr>
            <w:pStyle w:val="TOC3"/>
            <w:tabs>
              <w:tab w:val="right" w:pos="9350"/>
            </w:tabs>
            <w:rPr>
              <w:rFonts w:eastAsiaTheme="minorEastAsia" w:cstheme="minorBidi"/>
              <w:noProof/>
              <w:sz w:val="24"/>
              <w:szCs w:val="24"/>
            </w:rPr>
          </w:pPr>
          <w:hyperlink w:anchor="_Toc162267362" w:history="1">
            <w:r w:rsidR="00736DA9" w:rsidRPr="004372B1">
              <w:rPr>
                <w:rStyle w:val="Hyperlink"/>
                <w:noProof/>
              </w:rPr>
              <w:t>Injuries and Injury-Related Deaths: Suicide Deaths</w:t>
            </w:r>
            <w:r w:rsidR="00736DA9">
              <w:rPr>
                <w:noProof/>
                <w:webHidden/>
              </w:rPr>
              <w:tab/>
            </w:r>
            <w:r w:rsidR="00736DA9">
              <w:rPr>
                <w:noProof/>
                <w:webHidden/>
              </w:rPr>
              <w:fldChar w:fldCharType="begin"/>
            </w:r>
            <w:r w:rsidR="00736DA9">
              <w:rPr>
                <w:noProof/>
                <w:webHidden/>
              </w:rPr>
              <w:instrText xml:space="preserve"> PAGEREF _Toc162267362 \h </w:instrText>
            </w:r>
            <w:r w:rsidR="00736DA9">
              <w:rPr>
                <w:noProof/>
                <w:webHidden/>
              </w:rPr>
            </w:r>
            <w:r w:rsidR="00736DA9">
              <w:rPr>
                <w:noProof/>
                <w:webHidden/>
              </w:rPr>
              <w:fldChar w:fldCharType="separate"/>
            </w:r>
            <w:r w:rsidR="00736DA9">
              <w:rPr>
                <w:noProof/>
                <w:webHidden/>
              </w:rPr>
              <w:t>258</w:t>
            </w:r>
            <w:r w:rsidR="00736DA9">
              <w:rPr>
                <w:noProof/>
                <w:webHidden/>
              </w:rPr>
              <w:fldChar w:fldCharType="end"/>
            </w:r>
          </w:hyperlink>
        </w:p>
        <w:p w14:paraId="51AE1383" w14:textId="7DD4ADED" w:rsidR="00736DA9" w:rsidRDefault="00000000">
          <w:pPr>
            <w:pStyle w:val="TOC4"/>
            <w:tabs>
              <w:tab w:val="right" w:pos="9350"/>
            </w:tabs>
            <w:rPr>
              <w:rFonts w:eastAsiaTheme="minorEastAsia" w:cstheme="minorBidi"/>
              <w:noProof/>
              <w:sz w:val="24"/>
              <w:szCs w:val="24"/>
            </w:rPr>
          </w:pPr>
          <w:hyperlink w:anchor="_Toc162267363" w:history="1">
            <w:r w:rsidR="00736DA9" w:rsidRPr="004372B1">
              <w:rPr>
                <w:rStyle w:val="Hyperlink"/>
                <w:noProof/>
              </w:rPr>
              <w:t>Figure 8.9: Suicide in Teens Aged 10-17.</w:t>
            </w:r>
            <w:r w:rsidR="00736DA9">
              <w:rPr>
                <w:noProof/>
                <w:webHidden/>
              </w:rPr>
              <w:tab/>
            </w:r>
            <w:r w:rsidR="00736DA9">
              <w:rPr>
                <w:noProof/>
                <w:webHidden/>
              </w:rPr>
              <w:fldChar w:fldCharType="begin"/>
            </w:r>
            <w:r w:rsidR="00736DA9">
              <w:rPr>
                <w:noProof/>
                <w:webHidden/>
              </w:rPr>
              <w:instrText xml:space="preserve"> PAGEREF _Toc162267363 \h </w:instrText>
            </w:r>
            <w:r w:rsidR="00736DA9">
              <w:rPr>
                <w:noProof/>
                <w:webHidden/>
              </w:rPr>
            </w:r>
            <w:r w:rsidR="00736DA9">
              <w:rPr>
                <w:noProof/>
                <w:webHidden/>
              </w:rPr>
              <w:fldChar w:fldCharType="separate"/>
            </w:r>
            <w:r w:rsidR="00736DA9">
              <w:rPr>
                <w:noProof/>
                <w:webHidden/>
              </w:rPr>
              <w:t>258</w:t>
            </w:r>
            <w:r w:rsidR="00736DA9">
              <w:rPr>
                <w:noProof/>
                <w:webHidden/>
              </w:rPr>
              <w:fldChar w:fldCharType="end"/>
            </w:r>
          </w:hyperlink>
        </w:p>
        <w:p w14:paraId="1E2F6966" w14:textId="37B43A79" w:rsidR="00736DA9" w:rsidRDefault="00000000">
          <w:pPr>
            <w:pStyle w:val="TOC4"/>
            <w:tabs>
              <w:tab w:val="right" w:pos="9350"/>
            </w:tabs>
            <w:rPr>
              <w:rFonts w:eastAsiaTheme="minorEastAsia" w:cstheme="minorBidi"/>
              <w:noProof/>
              <w:sz w:val="24"/>
              <w:szCs w:val="24"/>
            </w:rPr>
          </w:pPr>
          <w:hyperlink w:anchor="_Toc162267364" w:history="1">
            <w:r w:rsidR="00736DA9" w:rsidRPr="004372B1">
              <w:rPr>
                <w:rStyle w:val="Hyperlink"/>
                <w:noProof/>
              </w:rPr>
              <w:t>Figure 8.10: Suicide in Teens Aged 10-17, by Sex and Race.</w:t>
            </w:r>
            <w:r w:rsidR="00736DA9">
              <w:rPr>
                <w:noProof/>
                <w:webHidden/>
              </w:rPr>
              <w:tab/>
            </w:r>
            <w:r w:rsidR="00736DA9">
              <w:rPr>
                <w:noProof/>
                <w:webHidden/>
              </w:rPr>
              <w:fldChar w:fldCharType="begin"/>
            </w:r>
            <w:r w:rsidR="00736DA9">
              <w:rPr>
                <w:noProof/>
                <w:webHidden/>
              </w:rPr>
              <w:instrText xml:space="preserve"> PAGEREF _Toc162267364 \h </w:instrText>
            </w:r>
            <w:r w:rsidR="00736DA9">
              <w:rPr>
                <w:noProof/>
                <w:webHidden/>
              </w:rPr>
            </w:r>
            <w:r w:rsidR="00736DA9">
              <w:rPr>
                <w:noProof/>
                <w:webHidden/>
              </w:rPr>
              <w:fldChar w:fldCharType="separate"/>
            </w:r>
            <w:r w:rsidR="00736DA9">
              <w:rPr>
                <w:noProof/>
                <w:webHidden/>
              </w:rPr>
              <w:t>259</w:t>
            </w:r>
            <w:r w:rsidR="00736DA9">
              <w:rPr>
                <w:noProof/>
                <w:webHidden/>
              </w:rPr>
              <w:fldChar w:fldCharType="end"/>
            </w:r>
          </w:hyperlink>
        </w:p>
        <w:p w14:paraId="1BEB3B9C" w14:textId="3F7BF96B" w:rsidR="00736DA9" w:rsidRDefault="00000000">
          <w:pPr>
            <w:pStyle w:val="TOC4"/>
            <w:tabs>
              <w:tab w:val="right" w:pos="9350"/>
            </w:tabs>
            <w:rPr>
              <w:rFonts w:eastAsiaTheme="minorEastAsia" w:cstheme="minorBidi"/>
              <w:noProof/>
              <w:sz w:val="24"/>
              <w:szCs w:val="24"/>
            </w:rPr>
          </w:pPr>
          <w:hyperlink w:anchor="_Toc162267365"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_Toc162267365 \h </w:instrText>
            </w:r>
            <w:r w:rsidR="00736DA9">
              <w:rPr>
                <w:noProof/>
                <w:webHidden/>
              </w:rPr>
            </w:r>
            <w:r w:rsidR="00736DA9">
              <w:rPr>
                <w:noProof/>
                <w:webHidden/>
              </w:rPr>
              <w:fldChar w:fldCharType="separate"/>
            </w:r>
            <w:r w:rsidR="00736DA9">
              <w:rPr>
                <w:noProof/>
                <w:webHidden/>
              </w:rPr>
              <w:t>259</w:t>
            </w:r>
            <w:r w:rsidR="00736DA9">
              <w:rPr>
                <w:noProof/>
                <w:webHidden/>
              </w:rPr>
              <w:fldChar w:fldCharType="end"/>
            </w:r>
          </w:hyperlink>
        </w:p>
        <w:p w14:paraId="2A5A8313" w14:textId="42CB5C98" w:rsidR="00736DA9" w:rsidRDefault="00000000">
          <w:pPr>
            <w:pStyle w:val="TOC4"/>
            <w:tabs>
              <w:tab w:val="right" w:pos="9350"/>
            </w:tabs>
            <w:rPr>
              <w:rFonts w:eastAsiaTheme="minorEastAsia" w:cstheme="minorBidi"/>
              <w:noProof/>
              <w:sz w:val="24"/>
              <w:szCs w:val="24"/>
            </w:rPr>
          </w:pPr>
          <w:hyperlink w:anchor="_Toc162267366" w:history="1">
            <w:r w:rsidR="00736DA9" w:rsidRPr="004372B1">
              <w:rPr>
                <w:rStyle w:val="Hyperlink"/>
                <w:noProof/>
              </w:rPr>
              <w:t>References 8.5</w:t>
            </w:r>
            <w:r w:rsidR="00736DA9">
              <w:rPr>
                <w:noProof/>
                <w:webHidden/>
              </w:rPr>
              <w:tab/>
            </w:r>
            <w:r w:rsidR="00736DA9">
              <w:rPr>
                <w:noProof/>
                <w:webHidden/>
              </w:rPr>
              <w:fldChar w:fldCharType="begin"/>
            </w:r>
            <w:r w:rsidR="00736DA9">
              <w:rPr>
                <w:noProof/>
                <w:webHidden/>
              </w:rPr>
              <w:instrText xml:space="preserve"> PAGEREF _Toc162267366 \h </w:instrText>
            </w:r>
            <w:r w:rsidR="00736DA9">
              <w:rPr>
                <w:noProof/>
                <w:webHidden/>
              </w:rPr>
            </w:r>
            <w:r w:rsidR="00736DA9">
              <w:rPr>
                <w:noProof/>
                <w:webHidden/>
              </w:rPr>
              <w:fldChar w:fldCharType="separate"/>
            </w:r>
            <w:r w:rsidR="00736DA9">
              <w:rPr>
                <w:noProof/>
                <w:webHidden/>
              </w:rPr>
              <w:t>259</w:t>
            </w:r>
            <w:r w:rsidR="00736DA9">
              <w:rPr>
                <w:noProof/>
                <w:webHidden/>
              </w:rPr>
              <w:fldChar w:fldCharType="end"/>
            </w:r>
          </w:hyperlink>
        </w:p>
        <w:p w14:paraId="6D633A9A" w14:textId="2C9A36C0" w:rsidR="00736DA9" w:rsidRDefault="00000000">
          <w:pPr>
            <w:pStyle w:val="TOC3"/>
            <w:tabs>
              <w:tab w:val="right" w:pos="9350"/>
            </w:tabs>
            <w:rPr>
              <w:rFonts w:eastAsiaTheme="minorEastAsia" w:cstheme="minorBidi"/>
              <w:noProof/>
              <w:sz w:val="24"/>
              <w:szCs w:val="24"/>
            </w:rPr>
          </w:pPr>
          <w:hyperlink w:anchor="_Toc162267367" w:history="1">
            <w:r w:rsidR="00736DA9" w:rsidRPr="004372B1">
              <w:rPr>
                <w:rStyle w:val="Hyperlink"/>
                <w:noProof/>
              </w:rPr>
              <w:t>Injuries and Injury-Related Deaths: Firearm-Related Deaths</w:t>
            </w:r>
            <w:r w:rsidR="00736DA9">
              <w:rPr>
                <w:noProof/>
                <w:webHidden/>
              </w:rPr>
              <w:tab/>
            </w:r>
            <w:r w:rsidR="00736DA9">
              <w:rPr>
                <w:noProof/>
                <w:webHidden/>
              </w:rPr>
              <w:fldChar w:fldCharType="begin"/>
            </w:r>
            <w:r w:rsidR="00736DA9">
              <w:rPr>
                <w:noProof/>
                <w:webHidden/>
              </w:rPr>
              <w:instrText xml:space="preserve"> PAGEREF _Toc162267367 \h </w:instrText>
            </w:r>
            <w:r w:rsidR="00736DA9">
              <w:rPr>
                <w:noProof/>
                <w:webHidden/>
              </w:rPr>
            </w:r>
            <w:r w:rsidR="00736DA9">
              <w:rPr>
                <w:noProof/>
                <w:webHidden/>
              </w:rPr>
              <w:fldChar w:fldCharType="separate"/>
            </w:r>
            <w:r w:rsidR="00736DA9">
              <w:rPr>
                <w:noProof/>
                <w:webHidden/>
              </w:rPr>
              <w:t>260</w:t>
            </w:r>
            <w:r w:rsidR="00736DA9">
              <w:rPr>
                <w:noProof/>
                <w:webHidden/>
              </w:rPr>
              <w:fldChar w:fldCharType="end"/>
            </w:r>
          </w:hyperlink>
        </w:p>
        <w:p w14:paraId="12CC29D2" w14:textId="2F4596BB" w:rsidR="00736DA9" w:rsidRDefault="00000000">
          <w:pPr>
            <w:pStyle w:val="TOC4"/>
            <w:tabs>
              <w:tab w:val="right" w:pos="9350"/>
            </w:tabs>
            <w:rPr>
              <w:rFonts w:eastAsiaTheme="minorEastAsia" w:cstheme="minorBidi"/>
              <w:noProof/>
              <w:sz w:val="24"/>
              <w:szCs w:val="24"/>
            </w:rPr>
          </w:pPr>
          <w:hyperlink w:anchor="_Toc162267368" w:history="1">
            <w:r w:rsidR="00736DA9" w:rsidRPr="004372B1">
              <w:rPr>
                <w:rStyle w:val="Hyperlink"/>
                <w:noProof/>
              </w:rPr>
              <w:t>Figure 8.11: Type of Firearm-Related Deaths in Children, Aged 1-17.</w:t>
            </w:r>
            <w:r w:rsidR="00736DA9">
              <w:rPr>
                <w:noProof/>
                <w:webHidden/>
              </w:rPr>
              <w:tab/>
            </w:r>
            <w:r w:rsidR="00736DA9">
              <w:rPr>
                <w:noProof/>
                <w:webHidden/>
              </w:rPr>
              <w:fldChar w:fldCharType="begin"/>
            </w:r>
            <w:r w:rsidR="00736DA9">
              <w:rPr>
                <w:noProof/>
                <w:webHidden/>
              </w:rPr>
              <w:instrText xml:space="preserve"> PAGEREF _Toc162267368 \h </w:instrText>
            </w:r>
            <w:r w:rsidR="00736DA9">
              <w:rPr>
                <w:noProof/>
                <w:webHidden/>
              </w:rPr>
            </w:r>
            <w:r w:rsidR="00736DA9">
              <w:rPr>
                <w:noProof/>
                <w:webHidden/>
              </w:rPr>
              <w:fldChar w:fldCharType="separate"/>
            </w:r>
            <w:r w:rsidR="00736DA9">
              <w:rPr>
                <w:noProof/>
                <w:webHidden/>
              </w:rPr>
              <w:t>260</w:t>
            </w:r>
            <w:r w:rsidR="00736DA9">
              <w:rPr>
                <w:noProof/>
                <w:webHidden/>
              </w:rPr>
              <w:fldChar w:fldCharType="end"/>
            </w:r>
          </w:hyperlink>
        </w:p>
        <w:p w14:paraId="3D6D2B24" w14:textId="1A795EDA" w:rsidR="00736DA9" w:rsidRDefault="00000000">
          <w:pPr>
            <w:pStyle w:val="TOC4"/>
            <w:tabs>
              <w:tab w:val="right" w:pos="9350"/>
            </w:tabs>
            <w:rPr>
              <w:rFonts w:eastAsiaTheme="minorEastAsia" w:cstheme="minorBidi"/>
              <w:noProof/>
              <w:sz w:val="24"/>
              <w:szCs w:val="24"/>
            </w:rPr>
          </w:pPr>
          <w:hyperlink w:anchor="_Toc162267369" w:history="1">
            <w:r w:rsidR="00736DA9" w:rsidRPr="004372B1">
              <w:rPr>
                <w:rStyle w:val="Hyperlink"/>
                <w:noProof/>
              </w:rPr>
              <w:t>Figure 8.12: Unintentional Firearm Deaths Among Children Aged 1-17, by Relationship to Shooter.</w:t>
            </w:r>
            <w:r w:rsidR="00736DA9">
              <w:rPr>
                <w:noProof/>
                <w:webHidden/>
              </w:rPr>
              <w:tab/>
            </w:r>
            <w:r w:rsidR="00736DA9">
              <w:rPr>
                <w:noProof/>
                <w:webHidden/>
              </w:rPr>
              <w:fldChar w:fldCharType="begin"/>
            </w:r>
            <w:r w:rsidR="00736DA9">
              <w:rPr>
                <w:noProof/>
                <w:webHidden/>
              </w:rPr>
              <w:instrText xml:space="preserve"> PAGEREF _Toc162267369 \h </w:instrText>
            </w:r>
            <w:r w:rsidR="00736DA9">
              <w:rPr>
                <w:noProof/>
                <w:webHidden/>
              </w:rPr>
            </w:r>
            <w:r w:rsidR="00736DA9">
              <w:rPr>
                <w:noProof/>
                <w:webHidden/>
              </w:rPr>
              <w:fldChar w:fldCharType="separate"/>
            </w:r>
            <w:r w:rsidR="00736DA9">
              <w:rPr>
                <w:noProof/>
                <w:webHidden/>
              </w:rPr>
              <w:t>260</w:t>
            </w:r>
            <w:r w:rsidR="00736DA9">
              <w:rPr>
                <w:noProof/>
                <w:webHidden/>
              </w:rPr>
              <w:fldChar w:fldCharType="end"/>
            </w:r>
          </w:hyperlink>
        </w:p>
        <w:p w14:paraId="201CD35B" w14:textId="60077073" w:rsidR="00736DA9" w:rsidRDefault="00000000">
          <w:pPr>
            <w:pStyle w:val="TOC4"/>
            <w:tabs>
              <w:tab w:val="right" w:pos="9350"/>
            </w:tabs>
            <w:rPr>
              <w:rFonts w:eastAsiaTheme="minorEastAsia" w:cstheme="minorBidi"/>
              <w:noProof/>
              <w:sz w:val="24"/>
              <w:szCs w:val="24"/>
            </w:rPr>
          </w:pPr>
          <w:hyperlink w:anchor="_Toc162267370"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_Toc162267370 \h </w:instrText>
            </w:r>
            <w:r w:rsidR="00736DA9">
              <w:rPr>
                <w:noProof/>
                <w:webHidden/>
              </w:rPr>
            </w:r>
            <w:r w:rsidR="00736DA9">
              <w:rPr>
                <w:noProof/>
                <w:webHidden/>
              </w:rPr>
              <w:fldChar w:fldCharType="separate"/>
            </w:r>
            <w:r w:rsidR="00736DA9">
              <w:rPr>
                <w:noProof/>
                <w:webHidden/>
              </w:rPr>
              <w:t>261</w:t>
            </w:r>
            <w:r w:rsidR="00736DA9">
              <w:rPr>
                <w:noProof/>
                <w:webHidden/>
              </w:rPr>
              <w:fldChar w:fldCharType="end"/>
            </w:r>
          </w:hyperlink>
        </w:p>
        <w:p w14:paraId="0CE50448" w14:textId="55DCB589" w:rsidR="00736DA9" w:rsidRDefault="00000000">
          <w:pPr>
            <w:pStyle w:val="TOC4"/>
            <w:tabs>
              <w:tab w:val="right" w:pos="9350"/>
            </w:tabs>
            <w:rPr>
              <w:rFonts w:eastAsiaTheme="minorEastAsia" w:cstheme="minorBidi"/>
              <w:noProof/>
              <w:sz w:val="24"/>
              <w:szCs w:val="24"/>
            </w:rPr>
          </w:pPr>
          <w:hyperlink w:anchor="_Toc162267371" w:history="1">
            <w:r w:rsidR="00736DA9" w:rsidRPr="004372B1">
              <w:rPr>
                <w:rStyle w:val="Hyperlink"/>
                <w:noProof/>
              </w:rPr>
              <w:t>References 8.6</w:t>
            </w:r>
            <w:r w:rsidR="00736DA9">
              <w:rPr>
                <w:noProof/>
                <w:webHidden/>
              </w:rPr>
              <w:tab/>
            </w:r>
            <w:r w:rsidR="00736DA9">
              <w:rPr>
                <w:noProof/>
                <w:webHidden/>
              </w:rPr>
              <w:fldChar w:fldCharType="begin"/>
            </w:r>
            <w:r w:rsidR="00736DA9">
              <w:rPr>
                <w:noProof/>
                <w:webHidden/>
              </w:rPr>
              <w:instrText xml:space="preserve"> PAGEREF _Toc162267371 \h </w:instrText>
            </w:r>
            <w:r w:rsidR="00736DA9">
              <w:rPr>
                <w:noProof/>
                <w:webHidden/>
              </w:rPr>
            </w:r>
            <w:r w:rsidR="00736DA9">
              <w:rPr>
                <w:noProof/>
                <w:webHidden/>
              </w:rPr>
              <w:fldChar w:fldCharType="separate"/>
            </w:r>
            <w:r w:rsidR="00736DA9">
              <w:rPr>
                <w:noProof/>
                <w:webHidden/>
              </w:rPr>
              <w:t>261</w:t>
            </w:r>
            <w:r w:rsidR="00736DA9">
              <w:rPr>
                <w:noProof/>
                <w:webHidden/>
              </w:rPr>
              <w:fldChar w:fldCharType="end"/>
            </w:r>
          </w:hyperlink>
        </w:p>
        <w:p w14:paraId="48E1F6CD" w14:textId="2605505E" w:rsidR="00736DA9" w:rsidRDefault="00000000">
          <w:pPr>
            <w:pStyle w:val="TOC3"/>
            <w:tabs>
              <w:tab w:val="right" w:pos="9350"/>
            </w:tabs>
            <w:rPr>
              <w:rFonts w:eastAsiaTheme="minorEastAsia" w:cstheme="minorBidi"/>
              <w:noProof/>
              <w:sz w:val="24"/>
              <w:szCs w:val="24"/>
            </w:rPr>
          </w:pPr>
          <w:hyperlink w:anchor="_Toc162267372" w:history="1">
            <w:r w:rsidR="00736DA9" w:rsidRPr="004372B1">
              <w:rPr>
                <w:rStyle w:val="Hyperlink"/>
                <w:noProof/>
              </w:rPr>
              <w:t>Injuries and Injury-Related Deaths: Traumatic Brain Injuries</w:t>
            </w:r>
            <w:r w:rsidR="00736DA9">
              <w:rPr>
                <w:noProof/>
                <w:webHidden/>
              </w:rPr>
              <w:tab/>
            </w:r>
            <w:r w:rsidR="00736DA9">
              <w:rPr>
                <w:noProof/>
                <w:webHidden/>
              </w:rPr>
              <w:fldChar w:fldCharType="begin"/>
            </w:r>
            <w:r w:rsidR="00736DA9">
              <w:rPr>
                <w:noProof/>
                <w:webHidden/>
              </w:rPr>
              <w:instrText xml:space="preserve"> PAGEREF _Toc162267372 \h </w:instrText>
            </w:r>
            <w:r w:rsidR="00736DA9">
              <w:rPr>
                <w:noProof/>
                <w:webHidden/>
              </w:rPr>
            </w:r>
            <w:r w:rsidR="00736DA9">
              <w:rPr>
                <w:noProof/>
                <w:webHidden/>
              </w:rPr>
              <w:fldChar w:fldCharType="separate"/>
            </w:r>
            <w:r w:rsidR="00736DA9">
              <w:rPr>
                <w:noProof/>
                <w:webHidden/>
              </w:rPr>
              <w:t>261</w:t>
            </w:r>
            <w:r w:rsidR="00736DA9">
              <w:rPr>
                <w:noProof/>
                <w:webHidden/>
              </w:rPr>
              <w:fldChar w:fldCharType="end"/>
            </w:r>
          </w:hyperlink>
        </w:p>
        <w:p w14:paraId="1FC5FC9A" w14:textId="7E49BD76" w:rsidR="00736DA9" w:rsidRDefault="00000000">
          <w:pPr>
            <w:pStyle w:val="TOC4"/>
            <w:tabs>
              <w:tab w:val="right" w:pos="9350"/>
            </w:tabs>
            <w:rPr>
              <w:rFonts w:eastAsiaTheme="minorEastAsia" w:cstheme="minorBidi"/>
              <w:noProof/>
              <w:sz w:val="24"/>
              <w:szCs w:val="24"/>
            </w:rPr>
          </w:pPr>
          <w:hyperlink w:anchor="_Toc162267373" w:history="1">
            <w:r w:rsidR="00736DA9" w:rsidRPr="004372B1">
              <w:rPr>
                <w:rStyle w:val="Hyperlink"/>
                <w:noProof/>
              </w:rPr>
              <w:t>Figure 8.13: Traumatic Brain Injury Deaths in Children Aged 1-17, by Sex and Age Group.</w:t>
            </w:r>
            <w:r w:rsidR="00736DA9">
              <w:rPr>
                <w:noProof/>
                <w:webHidden/>
              </w:rPr>
              <w:tab/>
            </w:r>
            <w:r w:rsidR="00736DA9">
              <w:rPr>
                <w:noProof/>
                <w:webHidden/>
              </w:rPr>
              <w:fldChar w:fldCharType="begin"/>
            </w:r>
            <w:r w:rsidR="00736DA9">
              <w:rPr>
                <w:noProof/>
                <w:webHidden/>
              </w:rPr>
              <w:instrText xml:space="preserve"> PAGEREF _Toc162267373 \h </w:instrText>
            </w:r>
            <w:r w:rsidR="00736DA9">
              <w:rPr>
                <w:noProof/>
                <w:webHidden/>
              </w:rPr>
            </w:r>
            <w:r w:rsidR="00736DA9">
              <w:rPr>
                <w:noProof/>
                <w:webHidden/>
              </w:rPr>
              <w:fldChar w:fldCharType="separate"/>
            </w:r>
            <w:r w:rsidR="00736DA9">
              <w:rPr>
                <w:noProof/>
                <w:webHidden/>
              </w:rPr>
              <w:t>262</w:t>
            </w:r>
            <w:r w:rsidR="00736DA9">
              <w:rPr>
                <w:noProof/>
                <w:webHidden/>
              </w:rPr>
              <w:fldChar w:fldCharType="end"/>
            </w:r>
          </w:hyperlink>
        </w:p>
        <w:p w14:paraId="09786987" w14:textId="408C61AA" w:rsidR="00736DA9" w:rsidRDefault="00000000">
          <w:pPr>
            <w:pStyle w:val="TOC4"/>
            <w:tabs>
              <w:tab w:val="right" w:pos="9350"/>
            </w:tabs>
            <w:rPr>
              <w:rFonts w:eastAsiaTheme="minorEastAsia" w:cstheme="minorBidi"/>
              <w:noProof/>
              <w:sz w:val="24"/>
              <w:szCs w:val="24"/>
            </w:rPr>
          </w:pPr>
          <w:hyperlink w:anchor="_Toc162267374" w:history="1">
            <w:r w:rsidR="00736DA9" w:rsidRPr="004372B1">
              <w:rPr>
                <w:rStyle w:val="Hyperlink"/>
                <w:noProof/>
              </w:rPr>
              <w:t>Figure 8.14: Rate of Nonfatal TBIs seen in the Emergency Department among children 1-17, by Age Group.</w:t>
            </w:r>
            <w:r w:rsidR="00736DA9">
              <w:rPr>
                <w:noProof/>
                <w:webHidden/>
              </w:rPr>
              <w:tab/>
            </w:r>
            <w:r w:rsidR="00736DA9">
              <w:rPr>
                <w:noProof/>
                <w:webHidden/>
              </w:rPr>
              <w:fldChar w:fldCharType="begin"/>
            </w:r>
            <w:r w:rsidR="00736DA9">
              <w:rPr>
                <w:noProof/>
                <w:webHidden/>
              </w:rPr>
              <w:instrText xml:space="preserve"> PAGEREF _Toc162267374 \h </w:instrText>
            </w:r>
            <w:r w:rsidR="00736DA9">
              <w:rPr>
                <w:noProof/>
                <w:webHidden/>
              </w:rPr>
            </w:r>
            <w:r w:rsidR="00736DA9">
              <w:rPr>
                <w:noProof/>
                <w:webHidden/>
              </w:rPr>
              <w:fldChar w:fldCharType="separate"/>
            </w:r>
            <w:r w:rsidR="00736DA9">
              <w:rPr>
                <w:noProof/>
                <w:webHidden/>
              </w:rPr>
              <w:t>262</w:t>
            </w:r>
            <w:r w:rsidR="00736DA9">
              <w:rPr>
                <w:noProof/>
                <w:webHidden/>
              </w:rPr>
              <w:fldChar w:fldCharType="end"/>
            </w:r>
          </w:hyperlink>
        </w:p>
        <w:p w14:paraId="6B7521C1" w14:textId="20FACC63" w:rsidR="00736DA9" w:rsidRDefault="00000000">
          <w:pPr>
            <w:pStyle w:val="TOC4"/>
            <w:tabs>
              <w:tab w:val="right" w:pos="9350"/>
            </w:tabs>
            <w:rPr>
              <w:rFonts w:eastAsiaTheme="minorEastAsia" w:cstheme="minorBidi"/>
              <w:noProof/>
              <w:sz w:val="24"/>
              <w:szCs w:val="24"/>
            </w:rPr>
          </w:pPr>
          <w:hyperlink w:anchor="_Toc162267375"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_Toc162267375 \h </w:instrText>
            </w:r>
            <w:r w:rsidR="00736DA9">
              <w:rPr>
                <w:noProof/>
                <w:webHidden/>
              </w:rPr>
            </w:r>
            <w:r w:rsidR="00736DA9">
              <w:rPr>
                <w:noProof/>
                <w:webHidden/>
              </w:rPr>
              <w:fldChar w:fldCharType="separate"/>
            </w:r>
            <w:r w:rsidR="00736DA9">
              <w:rPr>
                <w:noProof/>
                <w:webHidden/>
              </w:rPr>
              <w:t>262</w:t>
            </w:r>
            <w:r w:rsidR="00736DA9">
              <w:rPr>
                <w:noProof/>
                <w:webHidden/>
              </w:rPr>
              <w:fldChar w:fldCharType="end"/>
            </w:r>
          </w:hyperlink>
        </w:p>
        <w:p w14:paraId="079CCE6C" w14:textId="00AAE684" w:rsidR="00736DA9" w:rsidRDefault="00000000">
          <w:pPr>
            <w:pStyle w:val="TOC4"/>
            <w:tabs>
              <w:tab w:val="right" w:pos="9350"/>
            </w:tabs>
            <w:rPr>
              <w:rFonts w:eastAsiaTheme="minorEastAsia" w:cstheme="minorBidi"/>
              <w:noProof/>
              <w:sz w:val="24"/>
              <w:szCs w:val="24"/>
            </w:rPr>
          </w:pPr>
          <w:hyperlink w:anchor="_Toc162267376" w:history="1">
            <w:r w:rsidR="00736DA9" w:rsidRPr="004372B1">
              <w:rPr>
                <w:rStyle w:val="Hyperlink"/>
                <w:noProof/>
              </w:rPr>
              <w:t>References 8.7</w:t>
            </w:r>
            <w:r w:rsidR="00736DA9">
              <w:rPr>
                <w:noProof/>
                <w:webHidden/>
              </w:rPr>
              <w:tab/>
            </w:r>
            <w:r w:rsidR="00736DA9">
              <w:rPr>
                <w:noProof/>
                <w:webHidden/>
              </w:rPr>
              <w:fldChar w:fldCharType="begin"/>
            </w:r>
            <w:r w:rsidR="00736DA9">
              <w:rPr>
                <w:noProof/>
                <w:webHidden/>
              </w:rPr>
              <w:instrText xml:space="preserve"> PAGEREF _Toc162267376 \h </w:instrText>
            </w:r>
            <w:r w:rsidR="00736DA9">
              <w:rPr>
                <w:noProof/>
                <w:webHidden/>
              </w:rPr>
            </w:r>
            <w:r w:rsidR="00736DA9">
              <w:rPr>
                <w:noProof/>
                <w:webHidden/>
              </w:rPr>
              <w:fldChar w:fldCharType="separate"/>
            </w:r>
            <w:r w:rsidR="00736DA9">
              <w:rPr>
                <w:noProof/>
                <w:webHidden/>
              </w:rPr>
              <w:t>263</w:t>
            </w:r>
            <w:r w:rsidR="00736DA9">
              <w:rPr>
                <w:noProof/>
                <w:webHidden/>
              </w:rPr>
              <w:fldChar w:fldCharType="end"/>
            </w:r>
          </w:hyperlink>
        </w:p>
        <w:p w14:paraId="25A7A887" w14:textId="7F16AB31" w:rsidR="00736DA9" w:rsidRDefault="00000000">
          <w:pPr>
            <w:pStyle w:val="TOC3"/>
            <w:tabs>
              <w:tab w:val="right" w:pos="9350"/>
            </w:tabs>
            <w:rPr>
              <w:rFonts w:eastAsiaTheme="minorEastAsia" w:cstheme="minorBidi"/>
              <w:noProof/>
              <w:sz w:val="24"/>
              <w:szCs w:val="24"/>
            </w:rPr>
          </w:pPr>
          <w:hyperlink w:anchor="_Toc162267377" w:history="1">
            <w:r w:rsidR="00736DA9" w:rsidRPr="004372B1">
              <w:rPr>
                <w:rStyle w:val="Hyperlink"/>
                <w:noProof/>
              </w:rPr>
              <w:t>Healthy Children: Nutrition, Physical Activity and Obesity</w:t>
            </w:r>
            <w:r w:rsidR="00736DA9">
              <w:rPr>
                <w:noProof/>
                <w:webHidden/>
              </w:rPr>
              <w:tab/>
            </w:r>
            <w:r w:rsidR="00736DA9">
              <w:rPr>
                <w:noProof/>
                <w:webHidden/>
              </w:rPr>
              <w:fldChar w:fldCharType="begin"/>
            </w:r>
            <w:r w:rsidR="00736DA9">
              <w:rPr>
                <w:noProof/>
                <w:webHidden/>
              </w:rPr>
              <w:instrText xml:space="preserve"> PAGEREF _Toc162267377 \h </w:instrText>
            </w:r>
            <w:r w:rsidR="00736DA9">
              <w:rPr>
                <w:noProof/>
                <w:webHidden/>
              </w:rPr>
            </w:r>
            <w:r w:rsidR="00736DA9">
              <w:rPr>
                <w:noProof/>
                <w:webHidden/>
              </w:rPr>
              <w:fldChar w:fldCharType="separate"/>
            </w:r>
            <w:r w:rsidR="00736DA9">
              <w:rPr>
                <w:noProof/>
                <w:webHidden/>
              </w:rPr>
              <w:t>263</w:t>
            </w:r>
            <w:r w:rsidR="00736DA9">
              <w:rPr>
                <w:noProof/>
                <w:webHidden/>
              </w:rPr>
              <w:fldChar w:fldCharType="end"/>
            </w:r>
          </w:hyperlink>
        </w:p>
        <w:p w14:paraId="2BF90BBA" w14:textId="3E54DDBD" w:rsidR="00736DA9" w:rsidRDefault="00000000">
          <w:pPr>
            <w:pStyle w:val="TOC4"/>
            <w:tabs>
              <w:tab w:val="right" w:pos="9350"/>
            </w:tabs>
            <w:rPr>
              <w:rFonts w:eastAsiaTheme="minorEastAsia" w:cstheme="minorBidi"/>
              <w:noProof/>
              <w:sz w:val="24"/>
              <w:szCs w:val="24"/>
            </w:rPr>
          </w:pPr>
          <w:hyperlink w:anchor="_Toc162267378" w:history="1">
            <w:r w:rsidR="00736DA9" w:rsidRPr="004372B1">
              <w:rPr>
                <w:rStyle w:val="Hyperlink"/>
                <w:noProof/>
              </w:rPr>
              <w:t>Figure 8.15: Weight Status among South Carolina Students, by School Year.</w:t>
            </w:r>
            <w:r w:rsidR="00736DA9">
              <w:rPr>
                <w:noProof/>
                <w:webHidden/>
              </w:rPr>
              <w:tab/>
            </w:r>
            <w:r w:rsidR="00736DA9">
              <w:rPr>
                <w:noProof/>
                <w:webHidden/>
              </w:rPr>
              <w:fldChar w:fldCharType="begin"/>
            </w:r>
            <w:r w:rsidR="00736DA9">
              <w:rPr>
                <w:noProof/>
                <w:webHidden/>
              </w:rPr>
              <w:instrText xml:space="preserve"> PAGEREF _Toc162267378 \h </w:instrText>
            </w:r>
            <w:r w:rsidR="00736DA9">
              <w:rPr>
                <w:noProof/>
                <w:webHidden/>
              </w:rPr>
            </w:r>
            <w:r w:rsidR="00736DA9">
              <w:rPr>
                <w:noProof/>
                <w:webHidden/>
              </w:rPr>
              <w:fldChar w:fldCharType="separate"/>
            </w:r>
            <w:r w:rsidR="00736DA9">
              <w:rPr>
                <w:noProof/>
                <w:webHidden/>
              </w:rPr>
              <w:t>264</w:t>
            </w:r>
            <w:r w:rsidR="00736DA9">
              <w:rPr>
                <w:noProof/>
                <w:webHidden/>
              </w:rPr>
              <w:fldChar w:fldCharType="end"/>
            </w:r>
          </w:hyperlink>
        </w:p>
        <w:p w14:paraId="0C439964" w14:textId="3D0FE5B5" w:rsidR="00736DA9" w:rsidRDefault="00000000">
          <w:pPr>
            <w:pStyle w:val="TOC4"/>
            <w:tabs>
              <w:tab w:val="right" w:pos="9350"/>
            </w:tabs>
            <w:rPr>
              <w:rFonts w:eastAsiaTheme="minorEastAsia" w:cstheme="minorBidi"/>
              <w:noProof/>
              <w:sz w:val="24"/>
              <w:szCs w:val="24"/>
            </w:rPr>
          </w:pPr>
          <w:hyperlink w:anchor="_Toc162267379" w:history="1">
            <w:r w:rsidR="00736DA9" w:rsidRPr="004372B1">
              <w:rPr>
                <w:rStyle w:val="Hyperlink"/>
                <w:noProof/>
              </w:rPr>
              <w:t>Figure 8.16: Obesity among Children, Aged 10-17.</w:t>
            </w:r>
            <w:r w:rsidR="00736DA9">
              <w:rPr>
                <w:noProof/>
                <w:webHidden/>
              </w:rPr>
              <w:tab/>
            </w:r>
            <w:r w:rsidR="00736DA9">
              <w:rPr>
                <w:noProof/>
                <w:webHidden/>
              </w:rPr>
              <w:fldChar w:fldCharType="begin"/>
            </w:r>
            <w:r w:rsidR="00736DA9">
              <w:rPr>
                <w:noProof/>
                <w:webHidden/>
              </w:rPr>
              <w:instrText xml:space="preserve"> PAGEREF _Toc162267379 \h </w:instrText>
            </w:r>
            <w:r w:rsidR="00736DA9">
              <w:rPr>
                <w:noProof/>
                <w:webHidden/>
              </w:rPr>
            </w:r>
            <w:r w:rsidR="00736DA9">
              <w:rPr>
                <w:noProof/>
                <w:webHidden/>
              </w:rPr>
              <w:fldChar w:fldCharType="separate"/>
            </w:r>
            <w:r w:rsidR="00736DA9">
              <w:rPr>
                <w:noProof/>
                <w:webHidden/>
              </w:rPr>
              <w:t>264</w:t>
            </w:r>
            <w:r w:rsidR="00736DA9">
              <w:rPr>
                <w:noProof/>
                <w:webHidden/>
              </w:rPr>
              <w:fldChar w:fldCharType="end"/>
            </w:r>
          </w:hyperlink>
        </w:p>
        <w:p w14:paraId="18605B5C" w14:textId="252465E5" w:rsidR="00736DA9" w:rsidRDefault="00000000">
          <w:pPr>
            <w:pStyle w:val="TOC4"/>
            <w:tabs>
              <w:tab w:val="right" w:pos="9350"/>
            </w:tabs>
            <w:rPr>
              <w:rFonts w:eastAsiaTheme="minorEastAsia" w:cstheme="minorBidi"/>
              <w:noProof/>
              <w:sz w:val="24"/>
              <w:szCs w:val="24"/>
            </w:rPr>
          </w:pPr>
          <w:hyperlink w:anchor="_Toc162267380" w:history="1">
            <w:r w:rsidR="00736DA9" w:rsidRPr="004372B1">
              <w:rPr>
                <w:rStyle w:val="Hyperlink"/>
                <w:noProof/>
              </w:rPr>
              <w:t>Figure 8.17: Consuming Fruits and Vegetables among High School Students Grades 9-12.</w:t>
            </w:r>
            <w:r w:rsidR="00736DA9">
              <w:rPr>
                <w:noProof/>
                <w:webHidden/>
              </w:rPr>
              <w:tab/>
            </w:r>
            <w:r w:rsidR="00736DA9">
              <w:rPr>
                <w:noProof/>
                <w:webHidden/>
              </w:rPr>
              <w:fldChar w:fldCharType="begin"/>
            </w:r>
            <w:r w:rsidR="00736DA9">
              <w:rPr>
                <w:noProof/>
                <w:webHidden/>
              </w:rPr>
              <w:instrText xml:space="preserve"> PAGEREF _Toc162267380 \h </w:instrText>
            </w:r>
            <w:r w:rsidR="00736DA9">
              <w:rPr>
                <w:noProof/>
                <w:webHidden/>
              </w:rPr>
            </w:r>
            <w:r w:rsidR="00736DA9">
              <w:rPr>
                <w:noProof/>
                <w:webHidden/>
              </w:rPr>
              <w:fldChar w:fldCharType="separate"/>
            </w:r>
            <w:r w:rsidR="00736DA9">
              <w:rPr>
                <w:noProof/>
                <w:webHidden/>
              </w:rPr>
              <w:t>265</w:t>
            </w:r>
            <w:r w:rsidR="00736DA9">
              <w:rPr>
                <w:noProof/>
                <w:webHidden/>
              </w:rPr>
              <w:fldChar w:fldCharType="end"/>
            </w:r>
          </w:hyperlink>
        </w:p>
        <w:p w14:paraId="439D9D95" w14:textId="7FEB4077" w:rsidR="00736DA9" w:rsidRDefault="00000000">
          <w:pPr>
            <w:pStyle w:val="TOC4"/>
            <w:tabs>
              <w:tab w:val="right" w:pos="9350"/>
            </w:tabs>
            <w:rPr>
              <w:rFonts w:eastAsiaTheme="minorEastAsia" w:cstheme="minorBidi"/>
              <w:noProof/>
              <w:sz w:val="24"/>
              <w:szCs w:val="24"/>
            </w:rPr>
          </w:pPr>
          <w:hyperlink w:anchor="_Toc162267381" w:history="1">
            <w:r w:rsidR="00736DA9" w:rsidRPr="004372B1">
              <w:rPr>
                <w:rStyle w:val="Hyperlink"/>
                <w:noProof/>
              </w:rPr>
              <w:t>Figure 8.18: Physical Activity among High School Students Grades 9-12.</w:t>
            </w:r>
            <w:r w:rsidR="00736DA9">
              <w:rPr>
                <w:noProof/>
                <w:webHidden/>
              </w:rPr>
              <w:tab/>
            </w:r>
            <w:r w:rsidR="00736DA9">
              <w:rPr>
                <w:noProof/>
                <w:webHidden/>
              </w:rPr>
              <w:fldChar w:fldCharType="begin"/>
            </w:r>
            <w:r w:rsidR="00736DA9">
              <w:rPr>
                <w:noProof/>
                <w:webHidden/>
              </w:rPr>
              <w:instrText xml:space="preserve"> PAGEREF _Toc162267381 \h </w:instrText>
            </w:r>
            <w:r w:rsidR="00736DA9">
              <w:rPr>
                <w:noProof/>
                <w:webHidden/>
              </w:rPr>
            </w:r>
            <w:r w:rsidR="00736DA9">
              <w:rPr>
                <w:noProof/>
                <w:webHidden/>
              </w:rPr>
              <w:fldChar w:fldCharType="separate"/>
            </w:r>
            <w:r w:rsidR="00736DA9">
              <w:rPr>
                <w:noProof/>
                <w:webHidden/>
              </w:rPr>
              <w:t>265</w:t>
            </w:r>
            <w:r w:rsidR="00736DA9">
              <w:rPr>
                <w:noProof/>
                <w:webHidden/>
              </w:rPr>
              <w:fldChar w:fldCharType="end"/>
            </w:r>
          </w:hyperlink>
        </w:p>
        <w:p w14:paraId="10B329B5" w14:textId="6EB2D09D" w:rsidR="00736DA9" w:rsidRDefault="00000000">
          <w:pPr>
            <w:pStyle w:val="TOC4"/>
            <w:tabs>
              <w:tab w:val="right" w:pos="9350"/>
            </w:tabs>
            <w:rPr>
              <w:rFonts w:eastAsiaTheme="minorEastAsia" w:cstheme="minorBidi"/>
              <w:noProof/>
              <w:sz w:val="24"/>
              <w:szCs w:val="24"/>
            </w:rPr>
          </w:pPr>
          <w:hyperlink w:anchor="_Toc162267382" w:history="1">
            <w:r w:rsidR="00736DA9" w:rsidRPr="004372B1">
              <w:rPr>
                <w:rStyle w:val="Hyperlink"/>
                <w:noProof/>
              </w:rPr>
              <w:t>References 8.8</w:t>
            </w:r>
            <w:r w:rsidR="00736DA9">
              <w:rPr>
                <w:noProof/>
                <w:webHidden/>
              </w:rPr>
              <w:tab/>
            </w:r>
            <w:r w:rsidR="00736DA9">
              <w:rPr>
                <w:noProof/>
                <w:webHidden/>
              </w:rPr>
              <w:fldChar w:fldCharType="begin"/>
            </w:r>
            <w:r w:rsidR="00736DA9">
              <w:rPr>
                <w:noProof/>
                <w:webHidden/>
              </w:rPr>
              <w:instrText xml:space="preserve"> PAGEREF _Toc162267382 \h </w:instrText>
            </w:r>
            <w:r w:rsidR="00736DA9">
              <w:rPr>
                <w:noProof/>
                <w:webHidden/>
              </w:rPr>
            </w:r>
            <w:r w:rsidR="00736DA9">
              <w:rPr>
                <w:noProof/>
                <w:webHidden/>
              </w:rPr>
              <w:fldChar w:fldCharType="separate"/>
            </w:r>
            <w:r w:rsidR="00736DA9">
              <w:rPr>
                <w:noProof/>
                <w:webHidden/>
              </w:rPr>
              <w:t>266</w:t>
            </w:r>
            <w:r w:rsidR="00736DA9">
              <w:rPr>
                <w:noProof/>
                <w:webHidden/>
              </w:rPr>
              <w:fldChar w:fldCharType="end"/>
            </w:r>
          </w:hyperlink>
        </w:p>
        <w:p w14:paraId="4453D0A8" w14:textId="422C9E1F" w:rsidR="00736DA9" w:rsidRDefault="00000000">
          <w:pPr>
            <w:pStyle w:val="TOC3"/>
            <w:tabs>
              <w:tab w:val="right" w:pos="9350"/>
            </w:tabs>
            <w:rPr>
              <w:rFonts w:eastAsiaTheme="minorEastAsia" w:cstheme="minorBidi"/>
              <w:noProof/>
              <w:sz w:val="24"/>
              <w:szCs w:val="24"/>
            </w:rPr>
          </w:pPr>
          <w:hyperlink w:anchor="_Toc162267383" w:history="1">
            <w:r w:rsidR="00736DA9" w:rsidRPr="004372B1">
              <w:rPr>
                <w:rStyle w:val="Hyperlink"/>
                <w:noProof/>
              </w:rPr>
              <w:t>Childhood Lead Exposure</w:t>
            </w:r>
            <w:r w:rsidR="00736DA9">
              <w:rPr>
                <w:noProof/>
                <w:webHidden/>
              </w:rPr>
              <w:tab/>
            </w:r>
            <w:r w:rsidR="00736DA9">
              <w:rPr>
                <w:noProof/>
                <w:webHidden/>
              </w:rPr>
              <w:fldChar w:fldCharType="begin"/>
            </w:r>
            <w:r w:rsidR="00736DA9">
              <w:rPr>
                <w:noProof/>
                <w:webHidden/>
              </w:rPr>
              <w:instrText xml:space="preserve"> PAGEREF _Toc162267383 \h </w:instrText>
            </w:r>
            <w:r w:rsidR="00736DA9">
              <w:rPr>
                <w:noProof/>
                <w:webHidden/>
              </w:rPr>
            </w:r>
            <w:r w:rsidR="00736DA9">
              <w:rPr>
                <w:noProof/>
                <w:webHidden/>
              </w:rPr>
              <w:fldChar w:fldCharType="separate"/>
            </w:r>
            <w:r w:rsidR="00736DA9">
              <w:rPr>
                <w:noProof/>
                <w:webHidden/>
              </w:rPr>
              <w:t>266</w:t>
            </w:r>
            <w:r w:rsidR="00736DA9">
              <w:rPr>
                <w:noProof/>
                <w:webHidden/>
              </w:rPr>
              <w:fldChar w:fldCharType="end"/>
            </w:r>
          </w:hyperlink>
        </w:p>
        <w:p w14:paraId="5E7896F2" w14:textId="53B60209" w:rsidR="00736DA9" w:rsidRDefault="00000000">
          <w:pPr>
            <w:pStyle w:val="TOC4"/>
            <w:tabs>
              <w:tab w:val="right" w:pos="9350"/>
            </w:tabs>
            <w:rPr>
              <w:rFonts w:eastAsiaTheme="minorEastAsia" w:cstheme="minorBidi"/>
              <w:noProof/>
              <w:sz w:val="24"/>
              <w:szCs w:val="24"/>
            </w:rPr>
          </w:pPr>
          <w:hyperlink w:anchor="_Toc162267384" w:history="1">
            <w:r w:rsidR="00736DA9" w:rsidRPr="004372B1">
              <w:rPr>
                <w:rStyle w:val="Hyperlink"/>
                <w:noProof/>
              </w:rPr>
              <w:t>Figure 8.19: Confirmed Elevated Blood Levels, by Race/Ethnicity.</w:t>
            </w:r>
            <w:r w:rsidR="00736DA9">
              <w:rPr>
                <w:noProof/>
                <w:webHidden/>
              </w:rPr>
              <w:tab/>
            </w:r>
            <w:r w:rsidR="00736DA9">
              <w:rPr>
                <w:noProof/>
                <w:webHidden/>
              </w:rPr>
              <w:fldChar w:fldCharType="begin"/>
            </w:r>
            <w:r w:rsidR="00736DA9">
              <w:rPr>
                <w:noProof/>
                <w:webHidden/>
              </w:rPr>
              <w:instrText xml:space="preserve"> PAGEREF _Toc162267384 \h </w:instrText>
            </w:r>
            <w:r w:rsidR="00736DA9">
              <w:rPr>
                <w:noProof/>
                <w:webHidden/>
              </w:rPr>
            </w:r>
            <w:r w:rsidR="00736DA9">
              <w:rPr>
                <w:noProof/>
                <w:webHidden/>
              </w:rPr>
              <w:fldChar w:fldCharType="separate"/>
            </w:r>
            <w:r w:rsidR="00736DA9">
              <w:rPr>
                <w:noProof/>
                <w:webHidden/>
              </w:rPr>
              <w:t>266</w:t>
            </w:r>
            <w:r w:rsidR="00736DA9">
              <w:rPr>
                <w:noProof/>
                <w:webHidden/>
              </w:rPr>
              <w:fldChar w:fldCharType="end"/>
            </w:r>
          </w:hyperlink>
        </w:p>
        <w:p w14:paraId="53439A8E" w14:textId="09E8F793" w:rsidR="00736DA9" w:rsidRDefault="00000000">
          <w:pPr>
            <w:pStyle w:val="TOC4"/>
            <w:tabs>
              <w:tab w:val="right" w:pos="9350"/>
            </w:tabs>
            <w:rPr>
              <w:rFonts w:eastAsiaTheme="minorEastAsia" w:cstheme="minorBidi"/>
              <w:noProof/>
              <w:sz w:val="24"/>
              <w:szCs w:val="24"/>
            </w:rPr>
          </w:pPr>
          <w:hyperlink w:anchor="_Toc162267385"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_Toc162267385 \h </w:instrText>
            </w:r>
            <w:r w:rsidR="00736DA9">
              <w:rPr>
                <w:noProof/>
                <w:webHidden/>
              </w:rPr>
            </w:r>
            <w:r w:rsidR="00736DA9">
              <w:rPr>
                <w:noProof/>
                <w:webHidden/>
              </w:rPr>
              <w:fldChar w:fldCharType="separate"/>
            </w:r>
            <w:r w:rsidR="00736DA9">
              <w:rPr>
                <w:noProof/>
                <w:webHidden/>
              </w:rPr>
              <w:t>267</w:t>
            </w:r>
            <w:r w:rsidR="00736DA9">
              <w:rPr>
                <w:noProof/>
                <w:webHidden/>
              </w:rPr>
              <w:fldChar w:fldCharType="end"/>
            </w:r>
          </w:hyperlink>
        </w:p>
        <w:p w14:paraId="638D0EDA" w14:textId="1F1E6D03" w:rsidR="00736DA9" w:rsidRDefault="00000000">
          <w:pPr>
            <w:pStyle w:val="TOC4"/>
            <w:tabs>
              <w:tab w:val="right" w:pos="9350"/>
            </w:tabs>
            <w:rPr>
              <w:rFonts w:eastAsiaTheme="minorEastAsia" w:cstheme="minorBidi"/>
              <w:noProof/>
              <w:sz w:val="24"/>
              <w:szCs w:val="24"/>
            </w:rPr>
          </w:pPr>
          <w:hyperlink w:anchor="_Toc162267386" w:history="1">
            <w:r w:rsidR="00736DA9" w:rsidRPr="004372B1">
              <w:rPr>
                <w:rStyle w:val="Hyperlink"/>
                <w:noProof/>
              </w:rPr>
              <w:t>References 8.9</w:t>
            </w:r>
            <w:r w:rsidR="00736DA9">
              <w:rPr>
                <w:noProof/>
                <w:webHidden/>
              </w:rPr>
              <w:tab/>
            </w:r>
            <w:r w:rsidR="00736DA9">
              <w:rPr>
                <w:noProof/>
                <w:webHidden/>
              </w:rPr>
              <w:fldChar w:fldCharType="begin"/>
            </w:r>
            <w:r w:rsidR="00736DA9">
              <w:rPr>
                <w:noProof/>
                <w:webHidden/>
              </w:rPr>
              <w:instrText xml:space="preserve"> PAGEREF _Toc162267386 \h </w:instrText>
            </w:r>
            <w:r w:rsidR="00736DA9">
              <w:rPr>
                <w:noProof/>
                <w:webHidden/>
              </w:rPr>
            </w:r>
            <w:r w:rsidR="00736DA9">
              <w:rPr>
                <w:noProof/>
                <w:webHidden/>
              </w:rPr>
              <w:fldChar w:fldCharType="separate"/>
            </w:r>
            <w:r w:rsidR="00736DA9">
              <w:rPr>
                <w:noProof/>
                <w:webHidden/>
              </w:rPr>
              <w:t>267</w:t>
            </w:r>
            <w:r w:rsidR="00736DA9">
              <w:rPr>
                <w:noProof/>
                <w:webHidden/>
              </w:rPr>
              <w:fldChar w:fldCharType="end"/>
            </w:r>
          </w:hyperlink>
        </w:p>
        <w:p w14:paraId="357FB629" w14:textId="7968291B" w:rsidR="00736DA9" w:rsidRDefault="00000000">
          <w:pPr>
            <w:pStyle w:val="TOC3"/>
            <w:tabs>
              <w:tab w:val="right" w:pos="9350"/>
            </w:tabs>
            <w:rPr>
              <w:rFonts w:eastAsiaTheme="minorEastAsia" w:cstheme="minorBidi"/>
              <w:noProof/>
              <w:sz w:val="24"/>
              <w:szCs w:val="24"/>
            </w:rPr>
          </w:pPr>
          <w:hyperlink w:anchor="_Toc162267387" w:history="1">
            <w:r w:rsidR="00736DA9" w:rsidRPr="004372B1">
              <w:rPr>
                <w:rStyle w:val="Hyperlink"/>
                <w:noProof/>
              </w:rPr>
              <w:t>Oral Health</w:t>
            </w:r>
            <w:r w:rsidR="00736DA9">
              <w:rPr>
                <w:noProof/>
                <w:webHidden/>
              </w:rPr>
              <w:tab/>
            </w:r>
            <w:r w:rsidR="00736DA9">
              <w:rPr>
                <w:noProof/>
                <w:webHidden/>
              </w:rPr>
              <w:fldChar w:fldCharType="begin"/>
            </w:r>
            <w:r w:rsidR="00736DA9">
              <w:rPr>
                <w:noProof/>
                <w:webHidden/>
              </w:rPr>
              <w:instrText xml:space="preserve"> PAGEREF _Toc162267387 \h </w:instrText>
            </w:r>
            <w:r w:rsidR="00736DA9">
              <w:rPr>
                <w:noProof/>
                <w:webHidden/>
              </w:rPr>
            </w:r>
            <w:r w:rsidR="00736DA9">
              <w:rPr>
                <w:noProof/>
                <w:webHidden/>
              </w:rPr>
              <w:fldChar w:fldCharType="separate"/>
            </w:r>
            <w:r w:rsidR="00736DA9">
              <w:rPr>
                <w:noProof/>
                <w:webHidden/>
              </w:rPr>
              <w:t>267</w:t>
            </w:r>
            <w:r w:rsidR="00736DA9">
              <w:rPr>
                <w:noProof/>
                <w:webHidden/>
              </w:rPr>
              <w:fldChar w:fldCharType="end"/>
            </w:r>
          </w:hyperlink>
        </w:p>
        <w:p w14:paraId="7F7C0B1F" w14:textId="283EF97C" w:rsidR="00736DA9" w:rsidRDefault="00000000">
          <w:pPr>
            <w:pStyle w:val="TOC4"/>
            <w:tabs>
              <w:tab w:val="right" w:pos="9350"/>
            </w:tabs>
            <w:rPr>
              <w:rFonts w:eastAsiaTheme="minorEastAsia" w:cstheme="minorBidi"/>
              <w:noProof/>
              <w:sz w:val="24"/>
              <w:szCs w:val="24"/>
            </w:rPr>
          </w:pPr>
          <w:hyperlink w:anchor="_Toc162267388" w:history="1">
            <w:r w:rsidR="00736DA9" w:rsidRPr="004372B1">
              <w:rPr>
                <w:rStyle w:val="Hyperlink"/>
                <w:noProof/>
              </w:rPr>
              <w:t>Figure 8.20: Proportion of Children and Adolescents With Tooth Decay.</w:t>
            </w:r>
            <w:r w:rsidR="00736DA9">
              <w:rPr>
                <w:noProof/>
                <w:webHidden/>
              </w:rPr>
              <w:tab/>
            </w:r>
            <w:r w:rsidR="00736DA9">
              <w:rPr>
                <w:noProof/>
                <w:webHidden/>
              </w:rPr>
              <w:fldChar w:fldCharType="begin"/>
            </w:r>
            <w:r w:rsidR="00736DA9">
              <w:rPr>
                <w:noProof/>
                <w:webHidden/>
              </w:rPr>
              <w:instrText xml:space="preserve"> PAGEREF _Toc162267388 \h </w:instrText>
            </w:r>
            <w:r w:rsidR="00736DA9">
              <w:rPr>
                <w:noProof/>
                <w:webHidden/>
              </w:rPr>
            </w:r>
            <w:r w:rsidR="00736DA9">
              <w:rPr>
                <w:noProof/>
                <w:webHidden/>
              </w:rPr>
              <w:fldChar w:fldCharType="separate"/>
            </w:r>
            <w:r w:rsidR="00736DA9">
              <w:rPr>
                <w:noProof/>
                <w:webHidden/>
              </w:rPr>
              <w:t>267</w:t>
            </w:r>
            <w:r w:rsidR="00736DA9">
              <w:rPr>
                <w:noProof/>
                <w:webHidden/>
              </w:rPr>
              <w:fldChar w:fldCharType="end"/>
            </w:r>
          </w:hyperlink>
        </w:p>
        <w:p w14:paraId="54C3A85C" w14:textId="39A52F62" w:rsidR="00736DA9" w:rsidRDefault="00000000">
          <w:pPr>
            <w:pStyle w:val="TOC4"/>
            <w:tabs>
              <w:tab w:val="right" w:pos="9350"/>
            </w:tabs>
            <w:rPr>
              <w:rFonts w:eastAsiaTheme="minorEastAsia" w:cstheme="minorBidi"/>
              <w:noProof/>
              <w:sz w:val="24"/>
              <w:szCs w:val="24"/>
            </w:rPr>
          </w:pPr>
          <w:hyperlink w:anchor="_Toc162267389" w:history="1">
            <w:r w:rsidR="00736DA9" w:rsidRPr="004372B1">
              <w:rPr>
                <w:rStyle w:val="Hyperlink"/>
                <w:noProof/>
              </w:rPr>
              <w:t>Figure 8.21: Proportion of Children and Adolescents Who Have Dental Sealant.</w:t>
            </w:r>
            <w:r w:rsidR="00736DA9">
              <w:rPr>
                <w:noProof/>
                <w:webHidden/>
              </w:rPr>
              <w:tab/>
            </w:r>
            <w:r w:rsidR="00736DA9">
              <w:rPr>
                <w:noProof/>
                <w:webHidden/>
              </w:rPr>
              <w:fldChar w:fldCharType="begin"/>
            </w:r>
            <w:r w:rsidR="00736DA9">
              <w:rPr>
                <w:noProof/>
                <w:webHidden/>
              </w:rPr>
              <w:instrText xml:space="preserve"> PAGEREF _Toc162267389 \h </w:instrText>
            </w:r>
            <w:r w:rsidR="00736DA9">
              <w:rPr>
                <w:noProof/>
                <w:webHidden/>
              </w:rPr>
            </w:r>
            <w:r w:rsidR="00736DA9">
              <w:rPr>
                <w:noProof/>
                <w:webHidden/>
              </w:rPr>
              <w:fldChar w:fldCharType="separate"/>
            </w:r>
            <w:r w:rsidR="00736DA9">
              <w:rPr>
                <w:noProof/>
                <w:webHidden/>
              </w:rPr>
              <w:t>268</w:t>
            </w:r>
            <w:r w:rsidR="00736DA9">
              <w:rPr>
                <w:noProof/>
                <w:webHidden/>
              </w:rPr>
              <w:fldChar w:fldCharType="end"/>
            </w:r>
          </w:hyperlink>
        </w:p>
        <w:p w14:paraId="711EB440" w14:textId="5E5E7AD7" w:rsidR="00736DA9" w:rsidRDefault="00000000">
          <w:pPr>
            <w:pStyle w:val="TOC4"/>
            <w:tabs>
              <w:tab w:val="right" w:pos="9350"/>
            </w:tabs>
            <w:rPr>
              <w:rFonts w:eastAsiaTheme="minorEastAsia" w:cstheme="minorBidi"/>
              <w:noProof/>
              <w:sz w:val="24"/>
              <w:szCs w:val="24"/>
            </w:rPr>
          </w:pPr>
          <w:hyperlink w:anchor="_Toc162267390" w:history="1">
            <w:r w:rsidR="00736DA9" w:rsidRPr="004372B1">
              <w:rPr>
                <w:rStyle w:val="Hyperlink"/>
                <w:noProof/>
              </w:rPr>
              <w:t>References 8.10</w:t>
            </w:r>
            <w:r w:rsidR="00736DA9">
              <w:rPr>
                <w:noProof/>
                <w:webHidden/>
              </w:rPr>
              <w:tab/>
            </w:r>
            <w:r w:rsidR="00736DA9">
              <w:rPr>
                <w:noProof/>
                <w:webHidden/>
              </w:rPr>
              <w:fldChar w:fldCharType="begin"/>
            </w:r>
            <w:r w:rsidR="00736DA9">
              <w:rPr>
                <w:noProof/>
                <w:webHidden/>
              </w:rPr>
              <w:instrText xml:space="preserve"> PAGEREF _Toc162267390 \h </w:instrText>
            </w:r>
            <w:r w:rsidR="00736DA9">
              <w:rPr>
                <w:noProof/>
                <w:webHidden/>
              </w:rPr>
            </w:r>
            <w:r w:rsidR="00736DA9">
              <w:rPr>
                <w:noProof/>
                <w:webHidden/>
              </w:rPr>
              <w:fldChar w:fldCharType="separate"/>
            </w:r>
            <w:r w:rsidR="00736DA9">
              <w:rPr>
                <w:noProof/>
                <w:webHidden/>
              </w:rPr>
              <w:t>269</w:t>
            </w:r>
            <w:r w:rsidR="00736DA9">
              <w:rPr>
                <w:noProof/>
                <w:webHidden/>
              </w:rPr>
              <w:fldChar w:fldCharType="end"/>
            </w:r>
          </w:hyperlink>
        </w:p>
        <w:p w14:paraId="41F5EB7E" w14:textId="602B8018" w:rsidR="00736DA9" w:rsidRDefault="00000000">
          <w:pPr>
            <w:pStyle w:val="TOC3"/>
            <w:tabs>
              <w:tab w:val="right" w:pos="9350"/>
            </w:tabs>
            <w:rPr>
              <w:rFonts w:eastAsiaTheme="minorEastAsia" w:cstheme="minorBidi"/>
              <w:noProof/>
              <w:sz w:val="24"/>
              <w:szCs w:val="24"/>
            </w:rPr>
          </w:pPr>
          <w:hyperlink w:anchor="_Toc162267391" w:history="1">
            <w:r w:rsidR="00736DA9" w:rsidRPr="004372B1">
              <w:rPr>
                <w:rStyle w:val="Hyperlink"/>
                <w:noProof/>
              </w:rPr>
              <w:t>Behavioral Health:</w:t>
            </w:r>
            <w:r w:rsidR="00736DA9" w:rsidRPr="004372B1">
              <w:rPr>
                <w:rStyle w:val="Hyperlink"/>
                <w:rFonts w:ascii="DicoSlab-ExtraBold" w:hAnsi="DicoSlab-ExtraBold" w:cs="DicoSlab-ExtraBold"/>
                <w:noProof/>
              </w:rPr>
              <w:t xml:space="preserve"> </w:t>
            </w:r>
            <w:r w:rsidR="00736DA9" w:rsidRPr="004372B1">
              <w:rPr>
                <w:rStyle w:val="Hyperlink"/>
                <w:noProof/>
              </w:rPr>
              <w:t>Adolescent Mental Health</w:t>
            </w:r>
            <w:r w:rsidR="00736DA9">
              <w:rPr>
                <w:noProof/>
                <w:webHidden/>
              </w:rPr>
              <w:tab/>
            </w:r>
            <w:r w:rsidR="00736DA9">
              <w:rPr>
                <w:noProof/>
                <w:webHidden/>
              </w:rPr>
              <w:fldChar w:fldCharType="begin"/>
            </w:r>
            <w:r w:rsidR="00736DA9">
              <w:rPr>
                <w:noProof/>
                <w:webHidden/>
              </w:rPr>
              <w:instrText xml:space="preserve"> PAGEREF _Toc162267391 \h </w:instrText>
            </w:r>
            <w:r w:rsidR="00736DA9">
              <w:rPr>
                <w:noProof/>
                <w:webHidden/>
              </w:rPr>
            </w:r>
            <w:r w:rsidR="00736DA9">
              <w:rPr>
                <w:noProof/>
                <w:webHidden/>
              </w:rPr>
              <w:fldChar w:fldCharType="separate"/>
            </w:r>
            <w:r w:rsidR="00736DA9">
              <w:rPr>
                <w:noProof/>
                <w:webHidden/>
              </w:rPr>
              <w:t>269</w:t>
            </w:r>
            <w:r w:rsidR="00736DA9">
              <w:rPr>
                <w:noProof/>
                <w:webHidden/>
              </w:rPr>
              <w:fldChar w:fldCharType="end"/>
            </w:r>
          </w:hyperlink>
        </w:p>
        <w:p w14:paraId="12581E5D" w14:textId="0387F623" w:rsidR="00736DA9" w:rsidRDefault="00000000">
          <w:pPr>
            <w:pStyle w:val="TOC4"/>
            <w:tabs>
              <w:tab w:val="right" w:pos="9350"/>
            </w:tabs>
            <w:rPr>
              <w:rFonts w:eastAsiaTheme="minorEastAsia" w:cstheme="minorBidi"/>
              <w:noProof/>
              <w:sz w:val="24"/>
              <w:szCs w:val="24"/>
            </w:rPr>
          </w:pPr>
          <w:hyperlink w:anchor="_Toc162267392" w:history="1">
            <w:r w:rsidR="00736DA9" w:rsidRPr="004372B1">
              <w:rPr>
                <w:rStyle w:val="Hyperlink"/>
                <w:noProof/>
              </w:rPr>
              <w:t>Figure 8.22: Changes in Past-Year Major Depressive Episode (MDE) among Youth Aged 12–17 in South Carolina.</w:t>
            </w:r>
            <w:r w:rsidR="00736DA9">
              <w:rPr>
                <w:noProof/>
                <w:webHidden/>
              </w:rPr>
              <w:tab/>
            </w:r>
            <w:r w:rsidR="00736DA9">
              <w:rPr>
                <w:noProof/>
                <w:webHidden/>
              </w:rPr>
              <w:fldChar w:fldCharType="begin"/>
            </w:r>
            <w:r w:rsidR="00736DA9">
              <w:rPr>
                <w:noProof/>
                <w:webHidden/>
              </w:rPr>
              <w:instrText xml:space="preserve"> PAGEREF _Toc162267392 \h </w:instrText>
            </w:r>
            <w:r w:rsidR="00736DA9">
              <w:rPr>
                <w:noProof/>
                <w:webHidden/>
              </w:rPr>
            </w:r>
            <w:r w:rsidR="00736DA9">
              <w:rPr>
                <w:noProof/>
                <w:webHidden/>
              </w:rPr>
              <w:fldChar w:fldCharType="separate"/>
            </w:r>
            <w:r w:rsidR="00736DA9">
              <w:rPr>
                <w:noProof/>
                <w:webHidden/>
              </w:rPr>
              <w:t>269</w:t>
            </w:r>
            <w:r w:rsidR="00736DA9">
              <w:rPr>
                <w:noProof/>
                <w:webHidden/>
              </w:rPr>
              <w:fldChar w:fldCharType="end"/>
            </w:r>
          </w:hyperlink>
        </w:p>
        <w:p w14:paraId="5991843D" w14:textId="6A5C2F25" w:rsidR="00736DA9" w:rsidRDefault="00000000">
          <w:pPr>
            <w:pStyle w:val="TOC4"/>
            <w:tabs>
              <w:tab w:val="right" w:pos="9350"/>
            </w:tabs>
            <w:rPr>
              <w:rFonts w:eastAsiaTheme="minorEastAsia" w:cstheme="minorBidi"/>
              <w:noProof/>
              <w:sz w:val="24"/>
              <w:szCs w:val="24"/>
            </w:rPr>
          </w:pPr>
          <w:hyperlink w:anchor="_Toc162267393" w:history="1">
            <w:r w:rsidR="00736DA9" w:rsidRPr="004372B1">
              <w:rPr>
                <w:rStyle w:val="Hyperlink"/>
                <w:noProof/>
              </w:rPr>
              <w:t>Figure 8.23: Suicide Attempts in the Past 12 Months.</w:t>
            </w:r>
            <w:r w:rsidR="00736DA9">
              <w:rPr>
                <w:noProof/>
                <w:webHidden/>
              </w:rPr>
              <w:tab/>
            </w:r>
            <w:r w:rsidR="00736DA9">
              <w:rPr>
                <w:noProof/>
                <w:webHidden/>
              </w:rPr>
              <w:fldChar w:fldCharType="begin"/>
            </w:r>
            <w:r w:rsidR="00736DA9">
              <w:rPr>
                <w:noProof/>
                <w:webHidden/>
              </w:rPr>
              <w:instrText xml:space="preserve"> PAGEREF _Toc162267393 \h </w:instrText>
            </w:r>
            <w:r w:rsidR="00736DA9">
              <w:rPr>
                <w:noProof/>
                <w:webHidden/>
              </w:rPr>
            </w:r>
            <w:r w:rsidR="00736DA9">
              <w:rPr>
                <w:noProof/>
                <w:webHidden/>
              </w:rPr>
              <w:fldChar w:fldCharType="separate"/>
            </w:r>
            <w:r w:rsidR="00736DA9">
              <w:rPr>
                <w:noProof/>
                <w:webHidden/>
              </w:rPr>
              <w:t>270</w:t>
            </w:r>
            <w:r w:rsidR="00736DA9">
              <w:rPr>
                <w:noProof/>
                <w:webHidden/>
              </w:rPr>
              <w:fldChar w:fldCharType="end"/>
            </w:r>
          </w:hyperlink>
        </w:p>
        <w:p w14:paraId="3E8B09AD" w14:textId="16D0825E" w:rsidR="00736DA9" w:rsidRDefault="00000000">
          <w:pPr>
            <w:pStyle w:val="TOC4"/>
            <w:tabs>
              <w:tab w:val="right" w:pos="9350"/>
            </w:tabs>
            <w:rPr>
              <w:rFonts w:eastAsiaTheme="minorEastAsia" w:cstheme="minorBidi"/>
              <w:noProof/>
              <w:sz w:val="24"/>
              <w:szCs w:val="24"/>
            </w:rPr>
          </w:pPr>
          <w:hyperlink w:anchor="_Toc162267394" w:history="1">
            <w:r w:rsidR="00736DA9" w:rsidRPr="004372B1">
              <w:rPr>
                <w:rStyle w:val="Hyperlink"/>
                <w:noProof/>
              </w:rPr>
              <w:t>References 8.11</w:t>
            </w:r>
            <w:r w:rsidR="00736DA9">
              <w:rPr>
                <w:noProof/>
                <w:webHidden/>
              </w:rPr>
              <w:tab/>
            </w:r>
            <w:r w:rsidR="00736DA9">
              <w:rPr>
                <w:noProof/>
                <w:webHidden/>
              </w:rPr>
              <w:fldChar w:fldCharType="begin"/>
            </w:r>
            <w:r w:rsidR="00736DA9">
              <w:rPr>
                <w:noProof/>
                <w:webHidden/>
              </w:rPr>
              <w:instrText xml:space="preserve"> PAGEREF _Toc162267394 \h </w:instrText>
            </w:r>
            <w:r w:rsidR="00736DA9">
              <w:rPr>
                <w:noProof/>
                <w:webHidden/>
              </w:rPr>
            </w:r>
            <w:r w:rsidR="00736DA9">
              <w:rPr>
                <w:noProof/>
                <w:webHidden/>
              </w:rPr>
              <w:fldChar w:fldCharType="separate"/>
            </w:r>
            <w:r w:rsidR="00736DA9">
              <w:rPr>
                <w:noProof/>
                <w:webHidden/>
              </w:rPr>
              <w:t>270</w:t>
            </w:r>
            <w:r w:rsidR="00736DA9">
              <w:rPr>
                <w:noProof/>
                <w:webHidden/>
              </w:rPr>
              <w:fldChar w:fldCharType="end"/>
            </w:r>
          </w:hyperlink>
        </w:p>
        <w:p w14:paraId="76FF12CD" w14:textId="7A9A5123" w:rsidR="00736DA9" w:rsidRDefault="00000000">
          <w:pPr>
            <w:pStyle w:val="TOC3"/>
            <w:tabs>
              <w:tab w:val="right" w:pos="9350"/>
            </w:tabs>
            <w:rPr>
              <w:rFonts w:eastAsiaTheme="minorEastAsia" w:cstheme="minorBidi"/>
              <w:noProof/>
              <w:sz w:val="24"/>
              <w:szCs w:val="24"/>
            </w:rPr>
          </w:pPr>
          <w:hyperlink w:anchor="_Toc162267395" w:history="1">
            <w:r w:rsidR="00736DA9" w:rsidRPr="004372B1">
              <w:rPr>
                <w:rStyle w:val="Hyperlink"/>
                <w:noProof/>
              </w:rPr>
              <w:t>Adolescent Substance Use: Alcohol</w:t>
            </w:r>
            <w:r w:rsidR="00736DA9">
              <w:rPr>
                <w:noProof/>
                <w:webHidden/>
              </w:rPr>
              <w:tab/>
            </w:r>
            <w:r w:rsidR="00736DA9">
              <w:rPr>
                <w:noProof/>
                <w:webHidden/>
              </w:rPr>
              <w:fldChar w:fldCharType="begin"/>
            </w:r>
            <w:r w:rsidR="00736DA9">
              <w:rPr>
                <w:noProof/>
                <w:webHidden/>
              </w:rPr>
              <w:instrText xml:space="preserve"> PAGEREF _Toc162267395 \h </w:instrText>
            </w:r>
            <w:r w:rsidR="00736DA9">
              <w:rPr>
                <w:noProof/>
                <w:webHidden/>
              </w:rPr>
            </w:r>
            <w:r w:rsidR="00736DA9">
              <w:rPr>
                <w:noProof/>
                <w:webHidden/>
              </w:rPr>
              <w:fldChar w:fldCharType="separate"/>
            </w:r>
            <w:r w:rsidR="00736DA9">
              <w:rPr>
                <w:noProof/>
                <w:webHidden/>
              </w:rPr>
              <w:t>270</w:t>
            </w:r>
            <w:r w:rsidR="00736DA9">
              <w:rPr>
                <w:noProof/>
                <w:webHidden/>
              </w:rPr>
              <w:fldChar w:fldCharType="end"/>
            </w:r>
          </w:hyperlink>
        </w:p>
        <w:p w14:paraId="32814453" w14:textId="3BFBC467" w:rsidR="00736DA9" w:rsidRDefault="00000000">
          <w:pPr>
            <w:pStyle w:val="TOC4"/>
            <w:tabs>
              <w:tab w:val="right" w:pos="9350"/>
            </w:tabs>
            <w:rPr>
              <w:rFonts w:eastAsiaTheme="minorEastAsia" w:cstheme="minorBidi"/>
              <w:noProof/>
              <w:sz w:val="24"/>
              <w:szCs w:val="24"/>
            </w:rPr>
          </w:pPr>
          <w:hyperlink w:anchor="_Toc162267396" w:history="1">
            <w:r w:rsidR="00736DA9" w:rsidRPr="004372B1">
              <w:rPr>
                <w:rStyle w:val="Hyperlink"/>
                <w:noProof/>
              </w:rPr>
              <w:t>Figure 8.24: Adolescent Alcohol Use Past Month.</w:t>
            </w:r>
            <w:r w:rsidR="00736DA9">
              <w:rPr>
                <w:noProof/>
                <w:webHidden/>
              </w:rPr>
              <w:tab/>
            </w:r>
            <w:r w:rsidR="00736DA9">
              <w:rPr>
                <w:noProof/>
                <w:webHidden/>
              </w:rPr>
              <w:fldChar w:fldCharType="begin"/>
            </w:r>
            <w:r w:rsidR="00736DA9">
              <w:rPr>
                <w:noProof/>
                <w:webHidden/>
              </w:rPr>
              <w:instrText xml:space="preserve"> PAGEREF _Toc162267396 \h </w:instrText>
            </w:r>
            <w:r w:rsidR="00736DA9">
              <w:rPr>
                <w:noProof/>
                <w:webHidden/>
              </w:rPr>
            </w:r>
            <w:r w:rsidR="00736DA9">
              <w:rPr>
                <w:noProof/>
                <w:webHidden/>
              </w:rPr>
              <w:fldChar w:fldCharType="separate"/>
            </w:r>
            <w:r w:rsidR="00736DA9">
              <w:rPr>
                <w:noProof/>
                <w:webHidden/>
              </w:rPr>
              <w:t>271</w:t>
            </w:r>
            <w:r w:rsidR="00736DA9">
              <w:rPr>
                <w:noProof/>
                <w:webHidden/>
              </w:rPr>
              <w:fldChar w:fldCharType="end"/>
            </w:r>
          </w:hyperlink>
        </w:p>
        <w:p w14:paraId="2426F5C0" w14:textId="2CD16C74" w:rsidR="00736DA9" w:rsidRDefault="00000000">
          <w:pPr>
            <w:pStyle w:val="TOC4"/>
            <w:tabs>
              <w:tab w:val="right" w:pos="9350"/>
            </w:tabs>
            <w:rPr>
              <w:rFonts w:eastAsiaTheme="minorEastAsia" w:cstheme="minorBidi"/>
              <w:noProof/>
              <w:sz w:val="24"/>
              <w:szCs w:val="24"/>
            </w:rPr>
          </w:pPr>
          <w:hyperlink w:anchor="_Toc162267397"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_Toc162267397 \h </w:instrText>
            </w:r>
            <w:r w:rsidR="00736DA9">
              <w:rPr>
                <w:noProof/>
                <w:webHidden/>
              </w:rPr>
            </w:r>
            <w:r w:rsidR="00736DA9">
              <w:rPr>
                <w:noProof/>
                <w:webHidden/>
              </w:rPr>
              <w:fldChar w:fldCharType="separate"/>
            </w:r>
            <w:r w:rsidR="00736DA9">
              <w:rPr>
                <w:noProof/>
                <w:webHidden/>
              </w:rPr>
              <w:t>271</w:t>
            </w:r>
            <w:r w:rsidR="00736DA9">
              <w:rPr>
                <w:noProof/>
                <w:webHidden/>
              </w:rPr>
              <w:fldChar w:fldCharType="end"/>
            </w:r>
          </w:hyperlink>
        </w:p>
        <w:p w14:paraId="05AE992D" w14:textId="4E5862B7" w:rsidR="00736DA9" w:rsidRDefault="00000000">
          <w:pPr>
            <w:pStyle w:val="TOC4"/>
            <w:tabs>
              <w:tab w:val="right" w:pos="9350"/>
            </w:tabs>
            <w:rPr>
              <w:rFonts w:eastAsiaTheme="minorEastAsia" w:cstheme="minorBidi"/>
              <w:noProof/>
              <w:sz w:val="24"/>
              <w:szCs w:val="24"/>
            </w:rPr>
          </w:pPr>
          <w:hyperlink w:anchor="_Toc162267398" w:history="1">
            <w:r w:rsidR="00736DA9" w:rsidRPr="004372B1">
              <w:rPr>
                <w:rStyle w:val="Hyperlink"/>
                <w:noProof/>
              </w:rPr>
              <w:t>References 8.12</w:t>
            </w:r>
            <w:r w:rsidR="00736DA9">
              <w:rPr>
                <w:noProof/>
                <w:webHidden/>
              </w:rPr>
              <w:tab/>
            </w:r>
            <w:r w:rsidR="00736DA9">
              <w:rPr>
                <w:noProof/>
                <w:webHidden/>
              </w:rPr>
              <w:fldChar w:fldCharType="begin"/>
            </w:r>
            <w:r w:rsidR="00736DA9">
              <w:rPr>
                <w:noProof/>
                <w:webHidden/>
              </w:rPr>
              <w:instrText xml:space="preserve"> PAGEREF _Toc162267398 \h </w:instrText>
            </w:r>
            <w:r w:rsidR="00736DA9">
              <w:rPr>
                <w:noProof/>
                <w:webHidden/>
              </w:rPr>
            </w:r>
            <w:r w:rsidR="00736DA9">
              <w:rPr>
                <w:noProof/>
                <w:webHidden/>
              </w:rPr>
              <w:fldChar w:fldCharType="separate"/>
            </w:r>
            <w:r w:rsidR="00736DA9">
              <w:rPr>
                <w:noProof/>
                <w:webHidden/>
              </w:rPr>
              <w:t>272</w:t>
            </w:r>
            <w:r w:rsidR="00736DA9">
              <w:rPr>
                <w:noProof/>
                <w:webHidden/>
              </w:rPr>
              <w:fldChar w:fldCharType="end"/>
            </w:r>
          </w:hyperlink>
        </w:p>
        <w:p w14:paraId="1636FF55" w14:textId="440F878E" w:rsidR="00736DA9" w:rsidRDefault="00000000">
          <w:pPr>
            <w:pStyle w:val="TOC3"/>
            <w:tabs>
              <w:tab w:val="right" w:pos="9350"/>
            </w:tabs>
            <w:rPr>
              <w:rFonts w:eastAsiaTheme="minorEastAsia" w:cstheme="minorBidi"/>
              <w:noProof/>
              <w:sz w:val="24"/>
              <w:szCs w:val="24"/>
            </w:rPr>
          </w:pPr>
          <w:hyperlink w:anchor="_Toc162267399" w:history="1">
            <w:r w:rsidR="00736DA9" w:rsidRPr="004372B1">
              <w:rPr>
                <w:rStyle w:val="Hyperlink"/>
                <w:noProof/>
              </w:rPr>
              <w:t>Adolescent Substance Use: Marijuana</w:t>
            </w:r>
            <w:r w:rsidR="00736DA9">
              <w:rPr>
                <w:noProof/>
                <w:webHidden/>
              </w:rPr>
              <w:tab/>
            </w:r>
            <w:r w:rsidR="00736DA9">
              <w:rPr>
                <w:noProof/>
                <w:webHidden/>
              </w:rPr>
              <w:fldChar w:fldCharType="begin"/>
            </w:r>
            <w:r w:rsidR="00736DA9">
              <w:rPr>
                <w:noProof/>
                <w:webHidden/>
              </w:rPr>
              <w:instrText xml:space="preserve"> PAGEREF _Toc162267399 \h </w:instrText>
            </w:r>
            <w:r w:rsidR="00736DA9">
              <w:rPr>
                <w:noProof/>
                <w:webHidden/>
              </w:rPr>
            </w:r>
            <w:r w:rsidR="00736DA9">
              <w:rPr>
                <w:noProof/>
                <w:webHidden/>
              </w:rPr>
              <w:fldChar w:fldCharType="separate"/>
            </w:r>
            <w:r w:rsidR="00736DA9">
              <w:rPr>
                <w:noProof/>
                <w:webHidden/>
              </w:rPr>
              <w:t>272</w:t>
            </w:r>
            <w:r w:rsidR="00736DA9">
              <w:rPr>
                <w:noProof/>
                <w:webHidden/>
              </w:rPr>
              <w:fldChar w:fldCharType="end"/>
            </w:r>
          </w:hyperlink>
        </w:p>
        <w:p w14:paraId="56EE2B41" w14:textId="22E35BE3" w:rsidR="00736DA9" w:rsidRDefault="00000000">
          <w:pPr>
            <w:pStyle w:val="TOC4"/>
            <w:tabs>
              <w:tab w:val="right" w:pos="9350"/>
            </w:tabs>
            <w:rPr>
              <w:rFonts w:eastAsiaTheme="minorEastAsia" w:cstheme="minorBidi"/>
              <w:noProof/>
              <w:sz w:val="24"/>
              <w:szCs w:val="24"/>
            </w:rPr>
          </w:pPr>
          <w:hyperlink w:anchor="_Toc162267400" w:history="1">
            <w:r w:rsidR="00736DA9" w:rsidRPr="004372B1">
              <w:rPr>
                <w:rStyle w:val="Hyperlink"/>
                <w:noProof/>
              </w:rPr>
              <w:t>Figure 8.25: Adolescent Marijuana Use Past Month.</w:t>
            </w:r>
            <w:r w:rsidR="00736DA9">
              <w:rPr>
                <w:noProof/>
                <w:webHidden/>
              </w:rPr>
              <w:tab/>
            </w:r>
            <w:r w:rsidR="00736DA9">
              <w:rPr>
                <w:noProof/>
                <w:webHidden/>
              </w:rPr>
              <w:fldChar w:fldCharType="begin"/>
            </w:r>
            <w:r w:rsidR="00736DA9">
              <w:rPr>
                <w:noProof/>
                <w:webHidden/>
              </w:rPr>
              <w:instrText xml:space="preserve"> PAGEREF _Toc162267400 \h </w:instrText>
            </w:r>
            <w:r w:rsidR="00736DA9">
              <w:rPr>
                <w:noProof/>
                <w:webHidden/>
              </w:rPr>
            </w:r>
            <w:r w:rsidR="00736DA9">
              <w:rPr>
                <w:noProof/>
                <w:webHidden/>
              </w:rPr>
              <w:fldChar w:fldCharType="separate"/>
            </w:r>
            <w:r w:rsidR="00736DA9">
              <w:rPr>
                <w:noProof/>
                <w:webHidden/>
              </w:rPr>
              <w:t>273</w:t>
            </w:r>
            <w:r w:rsidR="00736DA9">
              <w:rPr>
                <w:noProof/>
                <w:webHidden/>
              </w:rPr>
              <w:fldChar w:fldCharType="end"/>
            </w:r>
          </w:hyperlink>
        </w:p>
        <w:p w14:paraId="09FE527B" w14:textId="4FEF2E3D" w:rsidR="00736DA9" w:rsidRDefault="00000000">
          <w:pPr>
            <w:pStyle w:val="TOC4"/>
            <w:tabs>
              <w:tab w:val="right" w:pos="9350"/>
            </w:tabs>
            <w:rPr>
              <w:rFonts w:eastAsiaTheme="minorEastAsia" w:cstheme="minorBidi"/>
              <w:noProof/>
              <w:sz w:val="24"/>
              <w:szCs w:val="24"/>
            </w:rPr>
          </w:pPr>
          <w:hyperlink w:anchor="_Toc162267401"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_Toc162267401 \h </w:instrText>
            </w:r>
            <w:r w:rsidR="00736DA9">
              <w:rPr>
                <w:noProof/>
                <w:webHidden/>
              </w:rPr>
            </w:r>
            <w:r w:rsidR="00736DA9">
              <w:rPr>
                <w:noProof/>
                <w:webHidden/>
              </w:rPr>
              <w:fldChar w:fldCharType="separate"/>
            </w:r>
            <w:r w:rsidR="00736DA9">
              <w:rPr>
                <w:noProof/>
                <w:webHidden/>
              </w:rPr>
              <w:t>273</w:t>
            </w:r>
            <w:r w:rsidR="00736DA9">
              <w:rPr>
                <w:noProof/>
                <w:webHidden/>
              </w:rPr>
              <w:fldChar w:fldCharType="end"/>
            </w:r>
          </w:hyperlink>
        </w:p>
        <w:p w14:paraId="7CAEE171" w14:textId="5EFE498A" w:rsidR="00736DA9" w:rsidRDefault="00000000">
          <w:pPr>
            <w:pStyle w:val="TOC4"/>
            <w:tabs>
              <w:tab w:val="right" w:pos="9350"/>
            </w:tabs>
            <w:rPr>
              <w:rFonts w:eastAsiaTheme="minorEastAsia" w:cstheme="minorBidi"/>
              <w:noProof/>
              <w:sz w:val="24"/>
              <w:szCs w:val="24"/>
            </w:rPr>
          </w:pPr>
          <w:hyperlink w:anchor="_Toc162267402" w:history="1">
            <w:r w:rsidR="00736DA9" w:rsidRPr="004372B1">
              <w:rPr>
                <w:rStyle w:val="Hyperlink"/>
                <w:noProof/>
              </w:rPr>
              <w:t>References 8.13</w:t>
            </w:r>
            <w:r w:rsidR="00736DA9">
              <w:rPr>
                <w:noProof/>
                <w:webHidden/>
              </w:rPr>
              <w:tab/>
            </w:r>
            <w:r w:rsidR="00736DA9">
              <w:rPr>
                <w:noProof/>
                <w:webHidden/>
              </w:rPr>
              <w:fldChar w:fldCharType="begin"/>
            </w:r>
            <w:r w:rsidR="00736DA9">
              <w:rPr>
                <w:noProof/>
                <w:webHidden/>
              </w:rPr>
              <w:instrText xml:space="preserve"> PAGEREF _Toc162267402 \h </w:instrText>
            </w:r>
            <w:r w:rsidR="00736DA9">
              <w:rPr>
                <w:noProof/>
                <w:webHidden/>
              </w:rPr>
            </w:r>
            <w:r w:rsidR="00736DA9">
              <w:rPr>
                <w:noProof/>
                <w:webHidden/>
              </w:rPr>
              <w:fldChar w:fldCharType="separate"/>
            </w:r>
            <w:r w:rsidR="00736DA9">
              <w:rPr>
                <w:noProof/>
                <w:webHidden/>
              </w:rPr>
              <w:t>273</w:t>
            </w:r>
            <w:r w:rsidR="00736DA9">
              <w:rPr>
                <w:noProof/>
                <w:webHidden/>
              </w:rPr>
              <w:fldChar w:fldCharType="end"/>
            </w:r>
          </w:hyperlink>
        </w:p>
        <w:p w14:paraId="5C0BA50F" w14:textId="78D8EF9D" w:rsidR="00736DA9" w:rsidRDefault="00000000">
          <w:pPr>
            <w:pStyle w:val="TOC3"/>
            <w:tabs>
              <w:tab w:val="right" w:pos="9350"/>
            </w:tabs>
            <w:rPr>
              <w:rFonts w:eastAsiaTheme="minorEastAsia" w:cstheme="minorBidi"/>
              <w:noProof/>
              <w:sz w:val="24"/>
              <w:szCs w:val="24"/>
            </w:rPr>
          </w:pPr>
          <w:hyperlink w:anchor="_Toc162267403" w:history="1">
            <w:r w:rsidR="00736DA9" w:rsidRPr="004372B1">
              <w:rPr>
                <w:rStyle w:val="Hyperlink"/>
                <w:noProof/>
              </w:rPr>
              <w:t>Adolescent Substance Use: Tobacco</w:t>
            </w:r>
            <w:r w:rsidR="00736DA9">
              <w:rPr>
                <w:noProof/>
                <w:webHidden/>
              </w:rPr>
              <w:tab/>
            </w:r>
            <w:r w:rsidR="00736DA9">
              <w:rPr>
                <w:noProof/>
                <w:webHidden/>
              </w:rPr>
              <w:fldChar w:fldCharType="begin"/>
            </w:r>
            <w:r w:rsidR="00736DA9">
              <w:rPr>
                <w:noProof/>
                <w:webHidden/>
              </w:rPr>
              <w:instrText xml:space="preserve"> PAGEREF _Toc162267403 \h </w:instrText>
            </w:r>
            <w:r w:rsidR="00736DA9">
              <w:rPr>
                <w:noProof/>
                <w:webHidden/>
              </w:rPr>
            </w:r>
            <w:r w:rsidR="00736DA9">
              <w:rPr>
                <w:noProof/>
                <w:webHidden/>
              </w:rPr>
              <w:fldChar w:fldCharType="separate"/>
            </w:r>
            <w:r w:rsidR="00736DA9">
              <w:rPr>
                <w:noProof/>
                <w:webHidden/>
              </w:rPr>
              <w:t>274</w:t>
            </w:r>
            <w:r w:rsidR="00736DA9">
              <w:rPr>
                <w:noProof/>
                <w:webHidden/>
              </w:rPr>
              <w:fldChar w:fldCharType="end"/>
            </w:r>
          </w:hyperlink>
        </w:p>
        <w:p w14:paraId="45C817C6" w14:textId="230441C1" w:rsidR="00736DA9" w:rsidRDefault="00000000">
          <w:pPr>
            <w:pStyle w:val="TOC4"/>
            <w:tabs>
              <w:tab w:val="right" w:pos="9350"/>
            </w:tabs>
            <w:rPr>
              <w:rFonts w:eastAsiaTheme="minorEastAsia" w:cstheme="minorBidi"/>
              <w:noProof/>
              <w:sz w:val="24"/>
              <w:szCs w:val="24"/>
            </w:rPr>
          </w:pPr>
          <w:hyperlink w:anchor="_Toc162267404" w:history="1">
            <w:r w:rsidR="00736DA9" w:rsidRPr="004372B1">
              <w:rPr>
                <w:rStyle w:val="Hyperlink"/>
                <w:noProof/>
              </w:rPr>
              <w:t>Figure 8.26: Current Smoking and Vaping among SC Youth.</w:t>
            </w:r>
            <w:r w:rsidR="00736DA9">
              <w:rPr>
                <w:noProof/>
                <w:webHidden/>
              </w:rPr>
              <w:tab/>
            </w:r>
            <w:r w:rsidR="00736DA9">
              <w:rPr>
                <w:noProof/>
                <w:webHidden/>
              </w:rPr>
              <w:fldChar w:fldCharType="begin"/>
            </w:r>
            <w:r w:rsidR="00736DA9">
              <w:rPr>
                <w:noProof/>
                <w:webHidden/>
              </w:rPr>
              <w:instrText xml:space="preserve"> PAGEREF _Toc162267404 \h </w:instrText>
            </w:r>
            <w:r w:rsidR="00736DA9">
              <w:rPr>
                <w:noProof/>
                <w:webHidden/>
              </w:rPr>
            </w:r>
            <w:r w:rsidR="00736DA9">
              <w:rPr>
                <w:noProof/>
                <w:webHidden/>
              </w:rPr>
              <w:fldChar w:fldCharType="separate"/>
            </w:r>
            <w:r w:rsidR="00736DA9">
              <w:rPr>
                <w:noProof/>
                <w:webHidden/>
              </w:rPr>
              <w:t>275</w:t>
            </w:r>
            <w:r w:rsidR="00736DA9">
              <w:rPr>
                <w:noProof/>
                <w:webHidden/>
              </w:rPr>
              <w:fldChar w:fldCharType="end"/>
            </w:r>
          </w:hyperlink>
        </w:p>
        <w:p w14:paraId="2844F347" w14:textId="3E52980A" w:rsidR="00736DA9" w:rsidRDefault="00000000">
          <w:pPr>
            <w:pStyle w:val="TOC4"/>
            <w:tabs>
              <w:tab w:val="right" w:pos="9350"/>
            </w:tabs>
            <w:rPr>
              <w:rFonts w:eastAsiaTheme="minorEastAsia" w:cstheme="minorBidi"/>
              <w:noProof/>
              <w:sz w:val="24"/>
              <w:szCs w:val="24"/>
            </w:rPr>
          </w:pPr>
          <w:hyperlink w:anchor="_Toc162267405"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_Toc162267405 \h </w:instrText>
            </w:r>
            <w:r w:rsidR="00736DA9">
              <w:rPr>
                <w:noProof/>
                <w:webHidden/>
              </w:rPr>
            </w:r>
            <w:r w:rsidR="00736DA9">
              <w:rPr>
                <w:noProof/>
                <w:webHidden/>
              </w:rPr>
              <w:fldChar w:fldCharType="separate"/>
            </w:r>
            <w:r w:rsidR="00736DA9">
              <w:rPr>
                <w:noProof/>
                <w:webHidden/>
              </w:rPr>
              <w:t>275</w:t>
            </w:r>
            <w:r w:rsidR="00736DA9">
              <w:rPr>
                <w:noProof/>
                <w:webHidden/>
              </w:rPr>
              <w:fldChar w:fldCharType="end"/>
            </w:r>
          </w:hyperlink>
        </w:p>
        <w:p w14:paraId="7835B74B" w14:textId="280098CB" w:rsidR="00736DA9" w:rsidRDefault="00000000">
          <w:pPr>
            <w:pStyle w:val="TOC4"/>
            <w:tabs>
              <w:tab w:val="right" w:pos="9350"/>
            </w:tabs>
            <w:rPr>
              <w:rFonts w:eastAsiaTheme="minorEastAsia" w:cstheme="minorBidi"/>
              <w:noProof/>
              <w:sz w:val="24"/>
              <w:szCs w:val="24"/>
            </w:rPr>
          </w:pPr>
          <w:hyperlink w:anchor="_Toc162267406" w:history="1">
            <w:r w:rsidR="00736DA9" w:rsidRPr="004372B1">
              <w:rPr>
                <w:rStyle w:val="Hyperlink"/>
                <w:noProof/>
              </w:rPr>
              <w:t>References 8.14</w:t>
            </w:r>
            <w:r w:rsidR="00736DA9">
              <w:rPr>
                <w:noProof/>
                <w:webHidden/>
              </w:rPr>
              <w:tab/>
            </w:r>
            <w:r w:rsidR="00736DA9">
              <w:rPr>
                <w:noProof/>
                <w:webHidden/>
              </w:rPr>
              <w:fldChar w:fldCharType="begin"/>
            </w:r>
            <w:r w:rsidR="00736DA9">
              <w:rPr>
                <w:noProof/>
                <w:webHidden/>
              </w:rPr>
              <w:instrText xml:space="preserve"> PAGEREF _Toc162267406 \h </w:instrText>
            </w:r>
            <w:r w:rsidR="00736DA9">
              <w:rPr>
                <w:noProof/>
                <w:webHidden/>
              </w:rPr>
            </w:r>
            <w:r w:rsidR="00736DA9">
              <w:rPr>
                <w:noProof/>
                <w:webHidden/>
              </w:rPr>
              <w:fldChar w:fldCharType="separate"/>
            </w:r>
            <w:r w:rsidR="00736DA9">
              <w:rPr>
                <w:noProof/>
                <w:webHidden/>
              </w:rPr>
              <w:t>275</w:t>
            </w:r>
            <w:r w:rsidR="00736DA9">
              <w:rPr>
                <w:noProof/>
                <w:webHidden/>
              </w:rPr>
              <w:fldChar w:fldCharType="end"/>
            </w:r>
          </w:hyperlink>
        </w:p>
        <w:p w14:paraId="3FC5A38B" w14:textId="6E011C74" w:rsidR="00736DA9" w:rsidRDefault="00000000">
          <w:pPr>
            <w:pStyle w:val="TOC3"/>
            <w:tabs>
              <w:tab w:val="right" w:pos="9350"/>
            </w:tabs>
            <w:rPr>
              <w:rFonts w:eastAsiaTheme="minorEastAsia" w:cstheme="minorBidi"/>
              <w:noProof/>
              <w:sz w:val="24"/>
              <w:szCs w:val="24"/>
            </w:rPr>
          </w:pPr>
          <w:hyperlink w:anchor="_Toc162267407" w:history="1">
            <w:r w:rsidR="00736DA9" w:rsidRPr="004372B1">
              <w:rPr>
                <w:rStyle w:val="Hyperlink"/>
                <w:noProof/>
              </w:rPr>
              <w:t>Bullying and Violence</w:t>
            </w:r>
            <w:r w:rsidR="00736DA9">
              <w:rPr>
                <w:noProof/>
                <w:webHidden/>
              </w:rPr>
              <w:tab/>
            </w:r>
            <w:r w:rsidR="00736DA9">
              <w:rPr>
                <w:noProof/>
                <w:webHidden/>
              </w:rPr>
              <w:fldChar w:fldCharType="begin"/>
            </w:r>
            <w:r w:rsidR="00736DA9">
              <w:rPr>
                <w:noProof/>
                <w:webHidden/>
              </w:rPr>
              <w:instrText xml:space="preserve"> PAGEREF _Toc162267407 \h </w:instrText>
            </w:r>
            <w:r w:rsidR="00736DA9">
              <w:rPr>
                <w:noProof/>
                <w:webHidden/>
              </w:rPr>
            </w:r>
            <w:r w:rsidR="00736DA9">
              <w:rPr>
                <w:noProof/>
                <w:webHidden/>
              </w:rPr>
              <w:fldChar w:fldCharType="separate"/>
            </w:r>
            <w:r w:rsidR="00736DA9">
              <w:rPr>
                <w:noProof/>
                <w:webHidden/>
              </w:rPr>
              <w:t>276</w:t>
            </w:r>
            <w:r w:rsidR="00736DA9">
              <w:rPr>
                <w:noProof/>
                <w:webHidden/>
              </w:rPr>
              <w:fldChar w:fldCharType="end"/>
            </w:r>
          </w:hyperlink>
        </w:p>
        <w:p w14:paraId="1C1FE989" w14:textId="701B04EE" w:rsidR="00736DA9" w:rsidRDefault="00000000">
          <w:pPr>
            <w:pStyle w:val="TOC4"/>
            <w:tabs>
              <w:tab w:val="right" w:pos="9350"/>
            </w:tabs>
            <w:rPr>
              <w:rFonts w:eastAsiaTheme="minorEastAsia" w:cstheme="minorBidi"/>
              <w:noProof/>
              <w:sz w:val="24"/>
              <w:szCs w:val="24"/>
            </w:rPr>
          </w:pPr>
          <w:hyperlink w:anchor="_Toc162267408" w:history="1">
            <w:r w:rsidR="00736DA9" w:rsidRPr="004372B1">
              <w:rPr>
                <w:rStyle w:val="Hyperlink"/>
                <w:noProof/>
              </w:rPr>
              <w:t>Figure 8.27: Physical Fight At Least One in the Last 12 Months.</w:t>
            </w:r>
            <w:r w:rsidR="00736DA9">
              <w:rPr>
                <w:noProof/>
                <w:webHidden/>
              </w:rPr>
              <w:tab/>
            </w:r>
            <w:r w:rsidR="00736DA9">
              <w:rPr>
                <w:noProof/>
                <w:webHidden/>
              </w:rPr>
              <w:fldChar w:fldCharType="begin"/>
            </w:r>
            <w:r w:rsidR="00736DA9">
              <w:rPr>
                <w:noProof/>
                <w:webHidden/>
              </w:rPr>
              <w:instrText xml:space="preserve"> PAGEREF _Toc162267408 \h </w:instrText>
            </w:r>
            <w:r w:rsidR="00736DA9">
              <w:rPr>
                <w:noProof/>
                <w:webHidden/>
              </w:rPr>
            </w:r>
            <w:r w:rsidR="00736DA9">
              <w:rPr>
                <w:noProof/>
                <w:webHidden/>
              </w:rPr>
              <w:fldChar w:fldCharType="separate"/>
            </w:r>
            <w:r w:rsidR="00736DA9">
              <w:rPr>
                <w:noProof/>
                <w:webHidden/>
              </w:rPr>
              <w:t>276</w:t>
            </w:r>
            <w:r w:rsidR="00736DA9">
              <w:rPr>
                <w:noProof/>
                <w:webHidden/>
              </w:rPr>
              <w:fldChar w:fldCharType="end"/>
            </w:r>
          </w:hyperlink>
        </w:p>
        <w:p w14:paraId="0F4EDEAD" w14:textId="5C0676A6" w:rsidR="00736DA9" w:rsidRDefault="00000000">
          <w:pPr>
            <w:pStyle w:val="TOC4"/>
            <w:tabs>
              <w:tab w:val="right" w:pos="9350"/>
            </w:tabs>
            <w:rPr>
              <w:rFonts w:eastAsiaTheme="minorEastAsia" w:cstheme="minorBidi"/>
              <w:noProof/>
              <w:sz w:val="24"/>
              <w:szCs w:val="24"/>
            </w:rPr>
          </w:pPr>
          <w:hyperlink w:anchor="_Toc162267409" w:history="1">
            <w:r w:rsidR="00736DA9" w:rsidRPr="004372B1">
              <w:rPr>
                <w:rStyle w:val="Hyperlink"/>
                <w:noProof/>
              </w:rPr>
              <w:t>Figure 8.28: Physical Fight At Least One in the Last 12 Months, by Race/Ethnicity.</w:t>
            </w:r>
            <w:r w:rsidR="00736DA9">
              <w:rPr>
                <w:noProof/>
                <w:webHidden/>
              </w:rPr>
              <w:tab/>
            </w:r>
            <w:r w:rsidR="00736DA9">
              <w:rPr>
                <w:noProof/>
                <w:webHidden/>
              </w:rPr>
              <w:fldChar w:fldCharType="begin"/>
            </w:r>
            <w:r w:rsidR="00736DA9">
              <w:rPr>
                <w:noProof/>
                <w:webHidden/>
              </w:rPr>
              <w:instrText xml:space="preserve"> PAGEREF _Toc162267409 \h </w:instrText>
            </w:r>
            <w:r w:rsidR="00736DA9">
              <w:rPr>
                <w:noProof/>
                <w:webHidden/>
              </w:rPr>
            </w:r>
            <w:r w:rsidR="00736DA9">
              <w:rPr>
                <w:noProof/>
                <w:webHidden/>
              </w:rPr>
              <w:fldChar w:fldCharType="separate"/>
            </w:r>
            <w:r w:rsidR="00736DA9">
              <w:rPr>
                <w:noProof/>
                <w:webHidden/>
              </w:rPr>
              <w:t>277</w:t>
            </w:r>
            <w:r w:rsidR="00736DA9">
              <w:rPr>
                <w:noProof/>
                <w:webHidden/>
              </w:rPr>
              <w:fldChar w:fldCharType="end"/>
            </w:r>
          </w:hyperlink>
        </w:p>
        <w:p w14:paraId="5FC14546" w14:textId="68F31414" w:rsidR="00736DA9" w:rsidRDefault="00000000">
          <w:pPr>
            <w:pStyle w:val="TOC4"/>
            <w:tabs>
              <w:tab w:val="right" w:pos="9350"/>
            </w:tabs>
            <w:rPr>
              <w:rFonts w:eastAsiaTheme="minorEastAsia" w:cstheme="minorBidi"/>
              <w:noProof/>
              <w:sz w:val="24"/>
              <w:szCs w:val="24"/>
            </w:rPr>
          </w:pPr>
          <w:hyperlink w:anchor="_Toc162267410"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_Toc162267410 \h </w:instrText>
            </w:r>
            <w:r w:rsidR="00736DA9">
              <w:rPr>
                <w:noProof/>
                <w:webHidden/>
              </w:rPr>
            </w:r>
            <w:r w:rsidR="00736DA9">
              <w:rPr>
                <w:noProof/>
                <w:webHidden/>
              </w:rPr>
              <w:fldChar w:fldCharType="separate"/>
            </w:r>
            <w:r w:rsidR="00736DA9">
              <w:rPr>
                <w:noProof/>
                <w:webHidden/>
              </w:rPr>
              <w:t>277</w:t>
            </w:r>
            <w:r w:rsidR="00736DA9">
              <w:rPr>
                <w:noProof/>
                <w:webHidden/>
              </w:rPr>
              <w:fldChar w:fldCharType="end"/>
            </w:r>
          </w:hyperlink>
        </w:p>
        <w:p w14:paraId="148B71A3" w14:textId="0306C6D4" w:rsidR="00736DA9" w:rsidRDefault="00000000">
          <w:pPr>
            <w:pStyle w:val="TOC4"/>
            <w:tabs>
              <w:tab w:val="right" w:pos="9350"/>
            </w:tabs>
            <w:rPr>
              <w:rFonts w:eastAsiaTheme="minorEastAsia" w:cstheme="minorBidi"/>
              <w:noProof/>
              <w:sz w:val="24"/>
              <w:szCs w:val="24"/>
            </w:rPr>
          </w:pPr>
          <w:hyperlink w:anchor="_Toc162267411" w:history="1">
            <w:r w:rsidR="00736DA9" w:rsidRPr="004372B1">
              <w:rPr>
                <w:rStyle w:val="Hyperlink"/>
                <w:noProof/>
              </w:rPr>
              <w:t>References 8.15</w:t>
            </w:r>
            <w:r w:rsidR="00736DA9">
              <w:rPr>
                <w:noProof/>
                <w:webHidden/>
              </w:rPr>
              <w:tab/>
            </w:r>
            <w:r w:rsidR="00736DA9">
              <w:rPr>
                <w:noProof/>
                <w:webHidden/>
              </w:rPr>
              <w:fldChar w:fldCharType="begin"/>
            </w:r>
            <w:r w:rsidR="00736DA9">
              <w:rPr>
                <w:noProof/>
                <w:webHidden/>
              </w:rPr>
              <w:instrText xml:space="preserve"> PAGEREF _Toc162267411 \h </w:instrText>
            </w:r>
            <w:r w:rsidR="00736DA9">
              <w:rPr>
                <w:noProof/>
                <w:webHidden/>
              </w:rPr>
            </w:r>
            <w:r w:rsidR="00736DA9">
              <w:rPr>
                <w:noProof/>
                <w:webHidden/>
              </w:rPr>
              <w:fldChar w:fldCharType="separate"/>
            </w:r>
            <w:r w:rsidR="00736DA9">
              <w:rPr>
                <w:noProof/>
                <w:webHidden/>
              </w:rPr>
              <w:t>277</w:t>
            </w:r>
            <w:r w:rsidR="00736DA9">
              <w:rPr>
                <w:noProof/>
                <w:webHidden/>
              </w:rPr>
              <w:fldChar w:fldCharType="end"/>
            </w:r>
          </w:hyperlink>
        </w:p>
        <w:p w14:paraId="44934093" w14:textId="58581970" w:rsidR="00736DA9" w:rsidRDefault="00000000">
          <w:pPr>
            <w:pStyle w:val="TOC3"/>
            <w:tabs>
              <w:tab w:val="right" w:pos="9350"/>
            </w:tabs>
            <w:rPr>
              <w:rFonts w:eastAsiaTheme="minorEastAsia" w:cstheme="minorBidi"/>
              <w:noProof/>
              <w:sz w:val="24"/>
              <w:szCs w:val="24"/>
            </w:rPr>
          </w:pPr>
          <w:hyperlink w:anchor="_Toc162267412" w:history="1">
            <w:r w:rsidR="00736DA9" w:rsidRPr="004372B1">
              <w:rPr>
                <w:rStyle w:val="Hyperlink"/>
                <w:noProof/>
              </w:rPr>
              <w:t>Teen Pregnancy</w:t>
            </w:r>
            <w:r w:rsidR="00736DA9">
              <w:rPr>
                <w:noProof/>
                <w:webHidden/>
              </w:rPr>
              <w:tab/>
            </w:r>
            <w:r w:rsidR="00736DA9">
              <w:rPr>
                <w:noProof/>
                <w:webHidden/>
              </w:rPr>
              <w:fldChar w:fldCharType="begin"/>
            </w:r>
            <w:r w:rsidR="00736DA9">
              <w:rPr>
                <w:noProof/>
                <w:webHidden/>
              </w:rPr>
              <w:instrText xml:space="preserve"> PAGEREF _Toc162267412 \h </w:instrText>
            </w:r>
            <w:r w:rsidR="00736DA9">
              <w:rPr>
                <w:noProof/>
                <w:webHidden/>
              </w:rPr>
            </w:r>
            <w:r w:rsidR="00736DA9">
              <w:rPr>
                <w:noProof/>
                <w:webHidden/>
              </w:rPr>
              <w:fldChar w:fldCharType="separate"/>
            </w:r>
            <w:r w:rsidR="00736DA9">
              <w:rPr>
                <w:noProof/>
                <w:webHidden/>
              </w:rPr>
              <w:t>278</w:t>
            </w:r>
            <w:r w:rsidR="00736DA9">
              <w:rPr>
                <w:noProof/>
                <w:webHidden/>
              </w:rPr>
              <w:fldChar w:fldCharType="end"/>
            </w:r>
          </w:hyperlink>
        </w:p>
        <w:p w14:paraId="60211062" w14:textId="4D623032" w:rsidR="00736DA9" w:rsidRDefault="00000000">
          <w:pPr>
            <w:pStyle w:val="TOC4"/>
            <w:tabs>
              <w:tab w:val="right" w:pos="9350"/>
            </w:tabs>
            <w:rPr>
              <w:rFonts w:eastAsiaTheme="minorEastAsia" w:cstheme="minorBidi"/>
              <w:noProof/>
              <w:sz w:val="24"/>
              <w:szCs w:val="24"/>
            </w:rPr>
          </w:pPr>
          <w:hyperlink w:anchor="_Toc162267413" w:history="1">
            <w:r w:rsidR="00736DA9" w:rsidRPr="004372B1">
              <w:rPr>
                <w:rStyle w:val="Hyperlink"/>
                <w:noProof/>
              </w:rPr>
              <w:t>Figure 8.29: Teen Birth Rate.</w:t>
            </w:r>
            <w:r w:rsidR="00736DA9">
              <w:rPr>
                <w:noProof/>
                <w:webHidden/>
              </w:rPr>
              <w:tab/>
            </w:r>
            <w:r w:rsidR="00736DA9">
              <w:rPr>
                <w:noProof/>
                <w:webHidden/>
              </w:rPr>
              <w:fldChar w:fldCharType="begin"/>
            </w:r>
            <w:r w:rsidR="00736DA9">
              <w:rPr>
                <w:noProof/>
                <w:webHidden/>
              </w:rPr>
              <w:instrText xml:space="preserve"> PAGEREF _Toc162267413 \h </w:instrText>
            </w:r>
            <w:r w:rsidR="00736DA9">
              <w:rPr>
                <w:noProof/>
                <w:webHidden/>
              </w:rPr>
            </w:r>
            <w:r w:rsidR="00736DA9">
              <w:rPr>
                <w:noProof/>
                <w:webHidden/>
              </w:rPr>
              <w:fldChar w:fldCharType="separate"/>
            </w:r>
            <w:r w:rsidR="00736DA9">
              <w:rPr>
                <w:noProof/>
                <w:webHidden/>
              </w:rPr>
              <w:t>278</w:t>
            </w:r>
            <w:r w:rsidR="00736DA9">
              <w:rPr>
                <w:noProof/>
                <w:webHidden/>
              </w:rPr>
              <w:fldChar w:fldCharType="end"/>
            </w:r>
          </w:hyperlink>
        </w:p>
        <w:p w14:paraId="6F7E564B" w14:textId="4EB2A412" w:rsidR="00736DA9" w:rsidRDefault="00000000">
          <w:pPr>
            <w:pStyle w:val="TOC4"/>
            <w:tabs>
              <w:tab w:val="right" w:pos="9350"/>
            </w:tabs>
            <w:rPr>
              <w:rFonts w:eastAsiaTheme="minorEastAsia" w:cstheme="minorBidi"/>
              <w:noProof/>
              <w:sz w:val="24"/>
              <w:szCs w:val="24"/>
            </w:rPr>
          </w:pPr>
          <w:hyperlink w:anchor="_Toc162267414" w:history="1">
            <w:r w:rsidR="00736DA9" w:rsidRPr="004372B1">
              <w:rPr>
                <w:rStyle w:val="Hyperlink"/>
                <w:noProof/>
              </w:rPr>
              <w:t>Figure 8.30: Teen Birth Rate, by Race/Ethnicity.</w:t>
            </w:r>
            <w:r w:rsidR="00736DA9">
              <w:rPr>
                <w:noProof/>
                <w:webHidden/>
              </w:rPr>
              <w:tab/>
            </w:r>
            <w:r w:rsidR="00736DA9">
              <w:rPr>
                <w:noProof/>
                <w:webHidden/>
              </w:rPr>
              <w:fldChar w:fldCharType="begin"/>
            </w:r>
            <w:r w:rsidR="00736DA9">
              <w:rPr>
                <w:noProof/>
                <w:webHidden/>
              </w:rPr>
              <w:instrText xml:space="preserve"> PAGEREF _Toc162267414 \h </w:instrText>
            </w:r>
            <w:r w:rsidR="00736DA9">
              <w:rPr>
                <w:noProof/>
                <w:webHidden/>
              </w:rPr>
            </w:r>
            <w:r w:rsidR="00736DA9">
              <w:rPr>
                <w:noProof/>
                <w:webHidden/>
              </w:rPr>
              <w:fldChar w:fldCharType="separate"/>
            </w:r>
            <w:r w:rsidR="00736DA9">
              <w:rPr>
                <w:noProof/>
                <w:webHidden/>
              </w:rPr>
              <w:t>278</w:t>
            </w:r>
            <w:r w:rsidR="00736DA9">
              <w:rPr>
                <w:noProof/>
                <w:webHidden/>
              </w:rPr>
              <w:fldChar w:fldCharType="end"/>
            </w:r>
          </w:hyperlink>
        </w:p>
        <w:p w14:paraId="5CC15B27" w14:textId="4AFF4806" w:rsidR="00736DA9" w:rsidRDefault="00000000">
          <w:pPr>
            <w:pStyle w:val="TOC4"/>
            <w:tabs>
              <w:tab w:val="right" w:pos="9350"/>
            </w:tabs>
            <w:rPr>
              <w:rFonts w:eastAsiaTheme="minorEastAsia" w:cstheme="minorBidi"/>
              <w:noProof/>
              <w:sz w:val="24"/>
              <w:szCs w:val="24"/>
            </w:rPr>
          </w:pPr>
          <w:hyperlink w:anchor="_Toc162267415"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_Toc162267415 \h </w:instrText>
            </w:r>
            <w:r w:rsidR="00736DA9">
              <w:rPr>
                <w:noProof/>
                <w:webHidden/>
              </w:rPr>
            </w:r>
            <w:r w:rsidR="00736DA9">
              <w:rPr>
                <w:noProof/>
                <w:webHidden/>
              </w:rPr>
              <w:fldChar w:fldCharType="separate"/>
            </w:r>
            <w:r w:rsidR="00736DA9">
              <w:rPr>
                <w:noProof/>
                <w:webHidden/>
              </w:rPr>
              <w:t>279</w:t>
            </w:r>
            <w:r w:rsidR="00736DA9">
              <w:rPr>
                <w:noProof/>
                <w:webHidden/>
              </w:rPr>
              <w:fldChar w:fldCharType="end"/>
            </w:r>
          </w:hyperlink>
        </w:p>
        <w:p w14:paraId="00D2D431" w14:textId="2A91FEB0" w:rsidR="00736DA9" w:rsidRDefault="00000000">
          <w:pPr>
            <w:pStyle w:val="TOC4"/>
            <w:tabs>
              <w:tab w:val="right" w:pos="9350"/>
            </w:tabs>
            <w:rPr>
              <w:rFonts w:eastAsiaTheme="minorEastAsia" w:cstheme="minorBidi"/>
              <w:noProof/>
              <w:sz w:val="24"/>
              <w:szCs w:val="24"/>
            </w:rPr>
          </w:pPr>
          <w:hyperlink w:anchor="_Toc162267416" w:history="1">
            <w:r w:rsidR="00736DA9" w:rsidRPr="004372B1">
              <w:rPr>
                <w:rStyle w:val="Hyperlink"/>
                <w:noProof/>
              </w:rPr>
              <w:t>References 8.16</w:t>
            </w:r>
            <w:r w:rsidR="00736DA9">
              <w:rPr>
                <w:noProof/>
                <w:webHidden/>
              </w:rPr>
              <w:tab/>
            </w:r>
            <w:r w:rsidR="00736DA9">
              <w:rPr>
                <w:noProof/>
                <w:webHidden/>
              </w:rPr>
              <w:fldChar w:fldCharType="begin"/>
            </w:r>
            <w:r w:rsidR="00736DA9">
              <w:rPr>
                <w:noProof/>
                <w:webHidden/>
              </w:rPr>
              <w:instrText xml:space="preserve"> PAGEREF _Toc162267416 \h </w:instrText>
            </w:r>
            <w:r w:rsidR="00736DA9">
              <w:rPr>
                <w:noProof/>
                <w:webHidden/>
              </w:rPr>
            </w:r>
            <w:r w:rsidR="00736DA9">
              <w:rPr>
                <w:noProof/>
                <w:webHidden/>
              </w:rPr>
              <w:fldChar w:fldCharType="separate"/>
            </w:r>
            <w:r w:rsidR="00736DA9">
              <w:rPr>
                <w:noProof/>
                <w:webHidden/>
              </w:rPr>
              <w:t>279</w:t>
            </w:r>
            <w:r w:rsidR="00736DA9">
              <w:rPr>
                <w:noProof/>
                <w:webHidden/>
              </w:rPr>
              <w:fldChar w:fldCharType="end"/>
            </w:r>
          </w:hyperlink>
        </w:p>
        <w:p w14:paraId="33231A4B" w14:textId="12FF3E6F" w:rsidR="00736DA9" w:rsidRDefault="00000000">
          <w:pPr>
            <w:pStyle w:val="TOC3"/>
            <w:tabs>
              <w:tab w:val="right" w:pos="9350"/>
            </w:tabs>
            <w:rPr>
              <w:rFonts w:eastAsiaTheme="minorEastAsia" w:cstheme="minorBidi"/>
              <w:noProof/>
              <w:sz w:val="24"/>
              <w:szCs w:val="24"/>
            </w:rPr>
          </w:pPr>
          <w:hyperlink w:anchor="_Toc162267417" w:history="1">
            <w:r w:rsidR="00736DA9" w:rsidRPr="004372B1">
              <w:rPr>
                <w:rStyle w:val="Hyperlink"/>
                <w:noProof/>
              </w:rPr>
              <w:t>Adverse Childhood Experiences</w:t>
            </w:r>
            <w:r w:rsidR="00736DA9">
              <w:rPr>
                <w:noProof/>
                <w:webHidden/>
              </w:rPr>
              <w:tab/>
            </w:r>
            <w:r w:rsidR="00736DA9">
              <w:rPr>
                <w:noProof/>
                <w:webHidden/>
              </w:rPr>
              <w:fldChar w:fldCharType="begin"/>
            </w:r>
            <w:r w:rsidR="00736DA9">
              <w:rPr>
                <w:noProof/>
                <w:webHidden/>
              </w:rPr>
              <w:instrText xml:space="preserve"> PAGEREF _Toc162267417 \h </w:instrText>
            </w:r>
            <w:r w:rsidR="00736DA9">
              <w:rPr>
                <w:noProof/>
                <w:webHidden/>
              </w:rPr>
            </w:r>
            <w:r w:rsidR="00736DA9">
              <w:rPr>
                <w:noProof/>
                <w:webHidden/>
              </w:rPr>
              <w:fldChar w:fldCharType="separate"/>
            </w:r>
            <w:r w:rsidR="00736DA9">
              <w:rPr>
                <w:noProof/>
                <w:webHidden/>
              </w:rPr>
              <w:t>279</w:t>
            </w:r>
            <w:r w:rsidR="00736DA9">
              <w:rPr>
                <w:noProof/>
                <w:webHidden/>
              </w:rPr>
              <w:fldChar w:fldCharType="end"/>
            </w:r>
          </w:hyperlink>
        </w:p>
        <w:p w14:paraId="64B47574" w14:textId="4BD6856E" w:rsidR="00736DA9" w:rsidRDefault="00000000">
          <w:pPr>
            <w:pStyle w:val="TOC4"/>
            <w:tabs>
              <w:tab w:val="right" w:pos="9350"/>
            </w:tabs>
            <w:rPr>
              <w:rFonts w:eastAsiaTheme="minorEastAsia" w:cstheme="minorBidi"/>
              <w:noProof/>
              <w:sz w:val="24"/>
              <w:szCs w:val="24"/>
            </w:rPr>
          </w:pPr>
          <w:hyperlink w:anchor="_Toc162267418" w:history="1">
            <w:r w:rsidR="00736DA9" w:rsidRPr="004372B1">
              <w:rPr>
                <w:rStyle w:val="Hyperlink"/>
                <w:noProof/>
              </w:rPr>
              <w:t>Figure 8.31: Children Who Experienced One or More Adverse Childhood Experiences.</w:t>
            </w:r>
            <w:r w:rsidR="00736DA9">
              <w:rPr>
                <w:noProof/>
                <w:webHidden/>
              </w:rPr>
              <w:tab/>
            </w:r>
            <w:r w:rsidR="00736DA9">
              <w:rPr>
                <w:noProof/>
                <w:webHidden/>
              </w:rPr>
              <w:fldChar w:fldCharType="begin"/>
            </w:r>
            <w:r w:rsidR="00736DA9">
              <w:rPr>
                <w:noProof/>
                <w:webHidden/>
              </w:rPr>
              <w:instrText xml:space="preserve"> PAGEREF _Toc162267418 \h </w:instrText>
            </w:r>
            <w:r w:rsidR="00736DA9">
              <w:rPr>
                <w:noProof/>
                <w:webHidden/>
              </w:rPr>
            </w:r>
            <w:r w:rsidR="00736DA9">
              <w:rPr>
                <w:noProof/>
                <w:webHidden/>
              </w:rPr>
              <w:fldChar w:fldCharType="separate"/>
            </w:r>
            <w:r w:rsidR="00736DA9">
              <w:rPr>
                <w:noProof/>
                <w:webHidden/>
              </w:rPr>
              <w:t>280</w:t>
            </w:r>
            <w:r w:rsidR="00736DA9">
              <w:rPr>
                <w:noProof/>
                <w:webHidden/>
              </w:rPr>
              <w:fldChar w:fldCharType="end"/>
            </w:r>
          </w:hyperlink>
        </w:p>
        <w:p w14:paraId="7A0AD00C" w14:textId="2E5B9BA6" w:rsidR="00736DA9" w:rsidRDefault="00000000">
          <w:pPr>
            <w:pStyle w:val="TOC4"/>
            <w:tabs>
              <w:tab w:val="right" w:pos="9350"/>
            </w:tabs>
            <w:rPr>
              <w:rFonts w:eastAsiaTheme="minorEastAsia" w:cstheme="minorBidi"/>
              <w:noProof/>
              <w:sz w:val="24"/>
              <w:szCs w:val="24"/>
            </w:rPr>
          </w:pPr>
          <w:hyperlink w:anchor="_Toc162267419" w:history="1">
            <w:r w:rsidR="00736DA9" w:rsidRPr="004372B1">
              <w:rPr>
                <w:rStyle w:val="Hyperlink"/>
                <w:noProof/>
              </w:rPr>
              <w:t>Figure 8.32: South Carolina Children Who Experienced One or More Adverse Childhood Experiences, by Age Group.</w:t>
            </w:r>
            <w:r w:rsidR="00736DA9">
              <w:rPr>
                <w:noProof/>
                <w:webHidden/>
              </w:rPr>
              <w:tab/>
            </w:r>
            <w:r w:rsidR="00736DA9">
              <w:rPr>
                <w:noProof/>
                <w:webHidden/>
              </w:rPr>
              <w:fldChar w:fldCharType="begin"/>
            </w:r>
            <w:r w:rsidR="00736DA9">
              <w:rPr>
                <w:noProof/>
                <w:webHidden/>
              </w:rPr>
              <w:instrText xml:space="preserve"> PAGEREF _Toc162267419 \h </w:instrText>
            </w:r>
            <w:r w:rsidR="00736DA9">
              <w:rPr>
                <w:noProof/>
                <w:webHidden/>
              </w:rPr>
            </w:r>
            <w:r w:rsidR="00736DA9">
              <w:rPr>
                <w:noProof/>
                <w:webHidden/>
              </w:rPr>
              <w:fldChar w:fldCharType="separate"/>
            </w:r>
            <w:r w:rsidR="00736DA9">
              <w:rPr>
                <w:noProof/>
                <w:webHidden/>
              </w:rPr>
              <w:t>280</w:t>
            </w:r>
            <w:r w:rsidR="00736DA9">
              <w:rPr>
                <w:noProof/>
                <w:webHidden/>
              </w:rPr>
              <w:fldChar w:fldCharType="end"/>
            </w:r>
          </w:hyperlink>
        </w:p>
        <w:p w14:paraId="0BDC49FC" w14:textId="5DB44AD2" w:rsidR="00736DA9" w:rsidRDefault="00000000">
          <w:pPr>
            <w:pStyle w:val="TOC4"/>
            <w:tabs>
              <w:tab w:val="right" w:pos="9350"/>
            </w:tabs>
            <w:rPr>
              <w:rFonts w:eastAsiaTheme="minorEastAsia" w:cstheme="minorBidi"/>
              <w:noProof/>
              <w:sz w:val="24"/>
              <w:szCs w:val="24"/>
            </w:rPr>
          </w:pPr>
          <w:hyperlink w:anchor="_Toc162267420"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_Toc162267420 \h </w:instrText>
            </w:r>
            <w:r w:rsidR="00736DA9">
              <w:rPr>
                <w:noProof/>
                <w:webHidden/>
              </w:rPr>
            </w:r>
            <w:r w:rsidR="00736DA9">
              <w:rPr>
                <w:noProof/>
                <w:webHidden/>
              </w:rPr>
              <w:fldChar w:fldCharType="separate"/>
            </w:r>
            <w:r w:rsidR="00736DA9">
              <w:rPr>
                <w:noProof/>
                <w:webHidden/>
              </w:rPr>
              <w:t>280</w:t>
            </w:r>
            <w:r w:rsidR="00736DA9">
              <w:rPr>
                <w:noProof/>
                <w:webHidden/>
              </w:rPr>
              <w:fldChar w:fldCharType="end"/>
            </w:r>
          </w:hyperlink>
        </w:p>
        <w:p w14:paraId="1D0EF222" w14:textId="07C04D47" w:rsidR="00736DA9" w:rsidRDefault="00000000">
          <w:pPr>
            <w:pStyle w:val="TOC4"/>
            <w:tabs>
              <w:tab w:val="right" w:pos="9350"/>
            </w:tabs>
            <w:rPr>
              <w:rFonts w:eastAsiaTheme="minorEastAsia" w:cstheme="minorBidi"/>
              <w:noProof/>
              <w:sz w:val="24"/>
              <w:szCs w:val="24"/>
            </w:rPr>
          </w:pPr>
          <w:hyperlink w:anchor="_Toc162267421" w:history="1">
            <w:r w:rsidR="00736DA9" w:rsidRPr="004372B1">
              <w:rPr>
                <w:rStyle w:val="Hyperlink"/>
                <w:noProof/>
              </w:rPr>
              <w:t>References 8.17</w:t>
            </w:r>
            <w:r w:rsidR="00736DA9">
              <w:rPr>
                <w:noProof/>
                <w:webHidden/>
              </w:rPr>
              <w:tab/>
            </w:r>
            <w:r w:rsidR="00736DA9">
              <w:rPr>
                <w:noProof/>
                <w:webHidden/>
              </w:rPr>
              <w:fldChar w:fldCharType="begin"/>
            </w:r>
            <w:r w:rsidR="00736DA9">
              <w:rPr>
                <w:noProof/>
                <w:webHidden/>
              </w:rPr>
              <w:instrText xml:space="preserve"> PAGEREF _Toc162267421 \h </w:instrText>
            </w:r>
            <w:r w:rsidR="00736DA9">
              <w:rPr>
                <w:noProof/>
                <w:webHidden/>
              </w:rPr>
            </w:r>
            <w:r w:rsidR="00736DA9">
              <w:rPr>
                <w:noProof/>
                <w:webHidden/>
              </w:rPr>
              <w:fldChar w:fldCharType="separate"/>
            </w:r>
            <w:r w:rsidR="00736DA9">
              <w:rPr>
                <w:noProof/>
                <w:webHidden/>
              </w:rPr>
              <w:t>281</w:t>
            </w:r>
            <w:r w:rsidR="00736DA9">
              <w:rPr>
                <w:noProof/>
                <w:webHidden/>
              </w:rPr>
              <w:fldChar w:fldCharType="end"/>
            </w:r>
          </w:hyperlink>
        </w:p>
        <w:p w14:paraId="616BD4EC" w14:textId="0E2EEA6E" w:rsidR="00736DA9" w:rsidRDefault="00000000">
          <w:pPr>
            <w:pStyle w:val="TOC3"/>
            <w:tabs>
              <w:tab w:val="right" w:pos="9350"/>
            </w:tabs>
            <w:rPr>
              <w:rFonts w:eastAsiaTheme="minorEastAsia" w:cstheme="minorBidi"/>
              <w:noProof/>
              <w:sz w:val="24"/>
              <w:szCs w:val="24"/>
            </w:rPr>
          </w:pPr>
          <w:hyperlink w:anchor="_Toc162267422" w:history="1">
            <w:r w:rsidR="00736DA9" w:rsidRPr="004372B1">
              <w:rPr>
                <w:rStyle w:val="Hyperlink"/>
                <w:noProof/>
              </w:rPr>
              <w:t>Chronic Disease: Childhood Cancer</w:t>
            </w:r>
            <w:r w:rsidR="00736DA9">
              <w:rPr>
                <w:noProof/>
                <w:webHidden/>
              </w:rPr>
              <w:tab/>
            </w:r>
            <w:r w:rsidR="00736DA9">
              <w:rPr>
                <w:noProof/>
                <w:webHidden/>
              </w:rPr>
              <w:fldChar w:fldCharType="begin"/>
            </w:r>
            <w:r w:rsidR="00736DA9">
              <w:rPr>
                <w:noProof/>
                <w:webHidden/>
              </w:rPr>
              <w:instrText xml:space="preserve"> PAGEREF _Toc162267422 \h </w:instrText>
            </w:r>
            <w:r w:rsidR="00736DA9">
              <w:rPr>
                <w:noProof/>
                <w:webHidden/>
              </w:rPr>
            </w:r>
            <w:r w:rsidR="00736DA9">
              <w:rPr>
                <w:noProof/>
                <w:webHidden/>
              </w:rPr>
              <w:fldChar w:fldCharType="separate"/>
            </w:r>
            <w:r w:rsidR="00736DA9">
              <w:rPr>
                <w:noProof/>
                <w:webHidden/>
              </w:rPr>
              <w:t>281</w:t>
            </w:r>
            <w:r w:rsidR="00736DA9">
              <w:rPr>
                <w:noProof/>
                <w:webHidden/>
              </w:rPr>
              <w:fldChar w:fldCharType="end"/>
            </w:r>
          </w:hyperlink>
        </w:p>
        <w:p w14:paraId="00D44205" w14:textId="3EB95A8B" w:rsidR="00736DA9" w:rsidRDefault="00000000">
          <w:pPr>
            <w:pStyle w:val="TOC4"/>
            <w:tabs>
              <w:tab w:val="right" w:pos="9350"/>
            </w:tabs>
            <w:rPr>
              <w:rFonts w:eastAsiaTheme="minorEastAsia" w:cstheme="minorBidi"/>
              <w:noProof/>
              <w:sz w:val="24"/>
              <w:szCs w:val="24"/>
            </w:rPr>
          </w:pPr>
          <w:hyperlink w:anchor="_Toc162267423" w:history="1">
            <w:r w:rsidR="00736DA9" w:rsidRPr="004372B1">
              <w:rPr>
                <w:rStyle w:val="Hyperlink"/>
                <w:noProof/>
              </w:rPr>
              <w:t>Figure 8.33: Top 5 Pediatric Cancers.</w:t>
            </w:r>
            <w:r w:rsidR="00736DA9">
              <w:rPr>
                <w:noProof/>
                <w:webHidden/>
              </w:rPr>
              <w:tab/>
            </w:r>
            <w:r w:rsidR="00736DA9">
              <w:rPr>
                <w:noProof/>
                <w:webHidden/>
              </w:rPr>
              <w:fldChar w:fldCharType="begin"/>
            </w:r>
            <w:r w:rsidR="00736DA9">
              <w:rPr>
                <w:noProof/>
                <w:webHidden/>
              </w:rPr>
              <w:instrText xml:space="preserve"> PAGEREF _Toc162267423 \h </w:instrText>
            </w:r>
            <w:r w:rsidR="00736DA9">
              <w:rPr>
                <w:noProof/>
                <w:webHidden/>
              </w:rPr>
            </w:r>
            <w:r w:rsidR="00736DA9">
              <w:rPr>
                <w:noProof/>
                <w:webHidden/>
              </w:rPr>
              <w:fldChar w:fldCharType="separate"/>
            </w:r>
            <w:r w:rsidR="00736DA9">
              <w:rPr>
                <w:noProof/>
                <w:webHidden/>
              </w:rPr>
              <w:t>281</w:t>
            </w:r>
            <w:r w:rsidR="00736DA9">
              <w:rPr>
                <w:noProof/>
                <w:webHidden/>
              </w:rPr>
              <w:fldChar w:fldCharType="end"/>
            </w:r>
          </w:hyperlink>
        </w:p>
        <w:p w14:paraId="69F57CF3" w14:textId="094AB8F0" w:rsidR="00736DA9" w:rsidRDefault="00000000">
          <w:pPr>
            <w:pStyle w:val="TOC4"/>
            <w:tabs>
              <w:tab w:val="right" w:pos="9350"/>
            </w:tabs>
            <w:rPr>
              <w:rFonts w:eastAsiaTheme="minorEastAsia" w:cstheme="minorBidi"/>
              <w:noProof/>
              <w:sz w:val="24"/>
              <w:szCs w:val="24"/>
            </w:rPr>
          </w:pPr>
          <w:hyperlink w:anchor="_Toc162267424" w:history="1">
            <w:r w:rsidR="00736DA9" w:rsidRPr="004372B1">
              <w:rPr>
                <w:rStyle w:val="Hyperlink"/>
                <w:noProof/>
              </w:rPr>
              <w:t>Figure 8.34: South Carolina All Pediatric Cancer Incidence, by Race and Sex.</w:t>
            </w:r>
            <w:r w:rsidR="00736DA9">
              <w:rPr>
                <w:noProof/>
                <w:webHidden/>
              </w:rPr>
              <w:tab/>
            </w:r>
            <w:r w:rsidR="00736DA9">
              <w:rPr>
                <w:noProof/>
                <w:webHidden/>
              </w:rPr>
              <w:fldChar w:fldCharType="begin"/>
            </w:r>
            <w:r w:rsidR="00736DA9">
              <w:rPr>
                <w:noProof/>
                <w:webHidden/>
              </w:rPr>
              <w:instrText xml:space="preserve"> PAGEREF _Toc162267424 \h </w:instrText>
            </w:r>
            <w:r w:rsidR="00736DA9">
              <w:rPr>
                <w:noProof/>
                <w:webHidden/>
              </w:rPr>
            </w:r>
            <w:r w:rsidR="00736DA9">
              <w:rPr>
                <w:noProof/>
                <w:webHidden/>
              </w:rPr>
              <w:fldChar w:fldCharType="separate"/>
            </w:r>
            <w:r w:rsidR="00736DA9">
              <w:rPr>
                <w:noProof/>
                <w:webHidden/>
              </w:rPr>
              <w:t>282</w:t>
            </w:r>
            <w:r w:rsidR="00736DA9">
              <w:rPr>
                <w:noProof/>
                <w:webHidden/>
              </w:rPr>
              <w:fldChar w:fldCharType="end"/>
            </w:r>
          </w:hyperlink>
        </w:p>
        <w:p w14:paraId="09C76CE5" w14:textId="36FD160B" w:rsidR="00736DA9" w:rsidRDefault="00000000">
          <w:pPr>
            <w:pStyle w:val="TOC4"/>
            <w:tabs>
              <w:tab w:val="right" w:pos="9350"/>
            </w:tabs>
            <w:rPr>
              <w:rFonts w:eastAsiaTheme="minorEastAsia" w:cstheme="minorBidi"/>
              <w:noProof/>
              <w:sz w:val="24"/>
              <w:szCs w:val="24"/>
            </w:rPr>
          </w:pPr>
          <w:hyperlink w:anchor="_Toc162267425" w:history="1">
            <w:r w:rsidR="00736DA9" w:rsidRPr="004372B1">
              <w:rPr>
                <w:rStyle w:val="Hyperlink"/>
                <w:noProof/>
              </w:rPr>
              <w:t>Figure 8.35: South Carolina All Pediatric Cancer Mortality, by Race and Sex.</w:t>
            </w:r>
            <w:r w:rsidR="00736DA9">
              <w:rPr>
                <w:noProof/>
                <w:webHidden/>
              </w:rPr>
              <w:tab/>
            </w:r>
            <w:r w:rsidR="00736DA9">
              <w:rPr>
                <w:noProof/>
                <w:webHidden/>
              </w:rPr>
              <w:fldChar w:fldCharType="begin"/>
            </w:r>
            <w:r w:rsidR="00736DA9">
              <w:rPr>
                <w:noProof/>
                <w:webHidden/>
              </w:rPr>
              <w:instrText xml:space="preserve"> PAGEREF _Toc162267425 \h </w:instrText>
            </w:r>
            <w:r w:rsidR="00736DA9">
              <w:rPr>
                <w:noProof/>
                <w:webHidden/>
              </w:rPr>
            </w:r>
            <w:r w:rsidR="00736DA9">
              <w:rPr>
                <w:noProof/>
                <w:webHidden/>
              </w:rPr>
              <w:fldChar w:fldCharType="separate"/>
            </w:r>
            <w:r w:rsidR="00736DA9">
              <w:rPr>
                <w:noProof/>
                <w:webHidden/>
              </w:rPr>
              <w:t>282</w:t>
            </w:r>
            <w:r w:rsidR="00736DA9">
              <w:rPr>
                <w:noProof/>
                <w:webHidden/>
              </w:rPr>
              <w:fldChar w:fldCharType="end"/>
            </w:r>
          </w:hyperlink>
        </w:p>
        <w:p w14:paraId="42A93A60" w14:textId="12B90B2C" w:rsidR="00736DA9" w:rsidRDefault="00000000">
          <w:pPr>
            <w:pStyle w:val="TOC4"/>
            <w:tabs>
              <w:tab w:val="right" w:pos="9350"/>
            </w:tabs>
            <w:rPr>
              <w:rFonts w:eastAsiaTheme="minorEastAsia" w:cstheme="minorBidi"/>
              <w:noProof/>
              <w:sz w:val="24"/>
              <w:szCs w:val="24"/>
            </w:rPr>
          </w:pPr>
          <w:hyperlink w:anchor="_Toc162267426"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_Toc162267426 \h </w:instrText>
            </w:r>
            <w:r w:rsidR="00736DA9">
              <w:rPr>
                <w:noProof/>
                <w:webHidden/>
              </w:rPr>
            </w:r>
            <w:r w:rsidR="00736DA9">
              <w:rPr>
                <w:noProof/>
                <w:webHidden/>
              </w:rPr>
              <w:fldChar w:fldCharType="separate"/>
            </w:r>
            <w:r w:rsidR="00736DA9">
              <w:rPr>
                <w:noProof/>
                <w:webHidden/>
              </w:rPr>
              <w:t>282</w:t>
            </w:r>
            <w:r w:rsidR="00736DA9">
              <w:rPr>
                <w:noProof/>
                <w:webHidden/>
              </w:rPr>
              <w:fldChar w:fldCharType="end"/>
            </w:r>
          </w:hyperlink>
        </w:p>
        <w:p w14:paraId="71313CA7" w14:textId="58E8552D" w:rsidR="00736DA9" w:rsidRDefault="00000000">
          <w:pPr>
            <w:pStyle w:val="TOC4"/>
            <w:tabs>
              <w:tab w:val="right" w:pos="9350"/>
            </w:tabs>
            <w:rPr>
              <w:rFonts w:eastAsiaTheme="minorEastAsia" w:cstheme="minorBidi"/>
              <w:noProof/>
              <w:sz w:val="24"/>
              <w:szCs w:val="24"/>
            </w:rPr>
          </w:pPr>
          <w:hyperlink w:anchor="_Toc162267427" w:history="1">
            <w:r w:rsidR="00736DA9" w:rsidRPr="004372B1">
              <w:rPr>
                <w:rStyle w:val="Hyperlink"/>
                <w:noProof/>
              </w:rPr>
              <w:t>References 8.18</w:t>
            </w:r>
            <w:r w:rsidR="00736DA9">
              <w:rPr>
                <w:noProof/>
                <w:webHidden/>
              </w:rPr>
              <w:tab/>
            </w:r>
            <w:r w:rsidR="00736DA9">
              <w:rPr>
                <w:noProof/>
                <w:webHidden/>
              </w:rPr>
              <w:fldChar w:fldCharType="begin"/>
            </w:r>
            <w:r w:rsidR="00736DA9">
              <w:rPr>
                <w:noProof/>
                <w:webHidden/>
              </w:rPr>
              <w:instrText xml:space="preserve"> PAGEREF _Toc162267427 \h </w:instrText>
            </w:r>
            <w:r w:rsidR="00736DA9">
              <w:rPr>
                <w:noProof/>
                <w:webHidden/>
              </w:rPr>
            </w:r>
            <w:r w:rsidR="00736DA9">
              <w:rPr>
                <w:noProof/>
                <w:webHidden/>
              </w:rPr>
              <w:fldChar w:fldCharType="separate"/>
            </w:r>
            <w:r w:rsidR="00736DA9">
              <w:rPr>
                <w:noProof/>
                <w:webHidden/>
              </w:rPr>
              <w:t>283</w:t>
            </w:r>
            <w:r w:rsidR="00736DA9">
              <w:rPr>
                <w:noProof/>
                <w:webHidden/>
              </w:rPr>
              <w:fldChar w:fldCharType="end"/>
            </w:r>
          </w:hyperlink>
        </w:p>
        <w:p w14:paraId="08F0D353" w14:textId="5529041D" w:rsidR="00736DA9" w:rsidRDefault="00000000">
          <w:pPr>
            <w:pStyle w:val="TOC3"/>
            <w:tabs>
              <w:tab w:val="right" w:pos="9350"/>
            </w:tabs>
            <w:rPr>
              <w:rFonts w:eastAsiaTheme="minorEastAsia" w:cstheme="minorBidi"/>
              <w:noProof/>
              <w:sz w:val="24"/>
              <w:szCs w:val="24"/>
            </w:rPr>
          </w:pPr>
          <w:hyperlink w:anchor="_Toc162267428" w:history="1">
            <w:r w:rsidR="00736DA9" w:rsidRPr="004372B1">
              <w:rPr>
                <w:rStyle w:val="Hyperlink"/>
                <w:noProof/>
              </w:rPr>
              <w:t>Chronic Disease: Childhood Asthma</w:t>
            </w:r>
            <w:r w:rsidR="00736DA9">
              <w:rPr>
                <w:noProof/>
                <w:webHidden/>
              </w:rPr>
              <w:tab/>
            </w:r>
            <w:r w:rsidR="00736DA9">
              <w:rPr>
                <w:noProof/>
                <w:webHidden/>
              </w:rPr>
              <w:fldChar w:fldCharType="begin"/>
            </w:r>
            <w:r w:rsidR="00736DA9">
              <w:rPr>
                <w:noProof/>
                <w:webHidden/>
              </w:rPr>
              <w:instrText xml:space="preserve"> PAGEREF _Toc162267428 \h </w:instrText>
            </w:r>
            <w:r w:rsidR="00736DA9">
              <w:rPr>
                <w:noProof/>
                <w:webHidden/>
              </w:rPr>
            </w:r>
            <w:r w:rsidR="00736DA9">
              <w:rPr>
                <w:noProof/>
                <w:webHidden/>
              </w:rPr>
              <w:fldChar w:fldCharType="separate"/>
            </w:r>
            <w:r w:rsidR="00736DA9">
              <w:rPr>
                <w:noProof/>
                <w:webHidden/>
              </w:rPr>
              <w:t>284</w:t>
            </w:r>
            <w:r w:rsidR="00736DA9">
              <w:rPr>
                <w:noProof/>
                <w:webHidden/>
              </w:rPr>
              <w:fldChar w:fldCharType="end"/>
            </w:r>
          </w:hyperlink>
        </w:p>
        <w:p w14:paraId="19E7C5FC" w14:textId="58C58BEF" w:rsidR="00736DA9" w:rsidRDefault="00000000">
          <w:pPr>
            <w:pStyle w:val="TOC4"/>
            <w:tabs>
              <w:tab w:val="right" w:pos="9350"/>
            </w:tabs>
            <w:rPr>
              <w:rFonts w:eastAsiaTheme="minorEastAsia" w:cstheme="minorBidi"/>
              <w:noProof/>
              <w:sz w:val="24"/>
              <w:szCs w:val="24"/>
            </w:rPr>
          </w:pPr>
          <w:hyperlink w:anchor="_Toc162267429" w:history="1">
            <w:r w:rsidR="00736DA9" w:rsidRPr="004372B1">
              <w:rPr>
                <w:rStyle w:val="Hyperlink"/>
                <w:noProof/>
              </w:rPr>
              <w:t>Figure 8.36: Childhood Asthma Prevalence, by Race/Ethnicity.</w:t>
            </w:r>
            <w:r w:rsidR="00736DA9">
              <w:rPr>
                <w:noProof/>
                <w:webHidden/>
              </w:rPr>
              <w:tab/>
            </w:r>
            <w:r w:rsidR="00736DA9">
              <w:rPr>
                <w:noProof/>
                <w:webHidden/>
              </w:rPr>
              <w:fldChar w:fldCharType="begin"/>
            </w:r>
            <w:r w:rsidR="00736DA9">
              <w:rPr>
                <w:noProof/>
                <w:webHidden/>
              </w:rPr>
              <w:instrText xml:space="preserve"> PAGEREF _Toc162267429 \h </w:instrText>
            </w:r>
            <w:r w:rsidR="00736DA9">
              <w:rPr>
                <w:noProof/>
                <w:webHidden/>
              </w:rPr>
            </w:r>
            <w:r w:rsidR="00736DA9">
              <w:rPr>
                <w:noProof/>
                <w:webHidden/>
              </w:rPr>
              <w:fldChar w:fldCharType="separate"/>
            </w:r>
            <w:r w:rsidR="00736DA9">
              <w:rPr>
                <w:noProof/>
                <w:webHidden/>
              </w:rPr>
              <w:t>284</w:t>
            </w:r>
            <w:r w:rsidR="00736DA9">
              <w:rPr>
                <w:noProof/>
                <w:webHidden/>
              </w:rPr>
              <w:fldChar w:fldCharType="end"/>
            </w:r>
          </w:hyperlink>
        </w:p>
        <w:p w14:paraId="6BA31C2D" w14:textId="2E01E4BF" w:rsidR="00736DA9" w:rsidRDefault="00000000">
          <w:pPr>
            <w:pStyle w:val="TOC4"/>
            <w:tabs>
              <w:tab w:val="right" w:pos="9350"/>
            </w:tabs>
            <w:rPr>
              <w:rFonts w:eastAsiaTheme="minorEastAsia" w:cstheme="minorBidi"/>
              <w:noProof/>
              <w:sz w:val="24"/>
              <w:szCs w:val="24"/>
            </w:rPr>
          </w:pPr>
          <w:hyperlink w:anchor="_Toc162267430" w:history="1">
            <w:r w:rsidR="00736DA9" w:rsidRPr="004372B1">
              <w:rPr>
                <w:rStyle w:val="Hyperlink"/>
                <w:noProof/>
              </w:rPr>
              <w:t>References 8.19</w:t>
            </w:r>
            <w:r w:rsidR="00736DA9">
              <w:rPr>
                <w:noProof/>
                <w:webHidden/>
              </w:rPr>
              <w:tab/>
            </w:r>
            <w:r w:rsidR="00736DA9">
              <w:rPr>
                <w:noProof/>
                <w:webHidden/>
              </w:rPr>
              <w:fldChar w:fldCharType="begin"/>
            </w:r>
            <w:r w:rsidR="00736DA9">
              <w:rPr>
                <w:noProof/>
                <w:webHidden/>
              </w:rPr>
              <w:instrText xml:space="preserve"> PAGEREF _Toc162267430 \h </w:instrText>
            </w:r>
            <w:r w:rsidR="00736DA9">
              <w:rPr>
                <w:noProof/>
                <w:webHidden/>
              </w:rPr>
            </w:r>
            <w:r w:rsidR="00736DA9">
              <w:rPr>
                <w:noProof/>
                <w:webHidden/>
              </w:rPr>
              <w:fldChar w:fldCharType="separate"/>
            </w:r>
            <w:r w:rsidR="00736DA9">
              <w:rPr>
                <w:noProof/>
                <w:webHidden/>
              </w:rPr>
              <w:t>285</w:t>
            </w:r>
            <w:r w:rsidR="00736DA9">
              <w:rPr>
                <w:noProof/>
                <w:webHidden/>
              </w:rPr>
              <w:fldChar w:fldCharType="end"/>
            </w:r>
          </w:hyperlink>
        </w:p>
        <w:p w14:paraId="6B7CDD10" w14:textId="4244B950" w:rsidR="00736DA9" w:rsidRDefault="00000000">
          <w:pPr>
            <w:pStyle w:val="TOC3"/>
            <w:tabs>
              <w:tab w:val="right" w:pos="9350"/>
            </w:tabs>
            <w:rPr>
              <w:rFonts w:eastAsiaTheme="minorEastAsia" w:cstheme="minorBidi"/>
              <w:noProof/>
              <w:sz w:val="24"/>
              <w:szCs w:val="24"/>
            </w:rPr>
          </w:pPr>
          <w:hyperlink w:anchor="_Toc162267431" w:history="1">
            <w:r w:rsidR="00736DA9" w:rsidRPr="004372B1">
              <w:rPr>
                <w:rStyle w:val="Hyperlink"/>
                <w:noProof/>
              </w:rPr>
              <w:t>Immunizations</w:t>
            </w:r>
            <w:r w:rsidR="00736DA9">
              <w:rPr>
                <w:noProof/>
                <w:webHidden/>
              </w:rPr>
              <w:tab/>
            </w:r>
            <w:r w:rsidR="00736DA9">
              <w:rPr>
                <w:noProof/>
                <w:webHidden/>
              </w:rPr>
              <w:fldChar w:fldCharType="begin"/>
            </w:r>
            <w:r w:rsidR="00736DA9">
              <w:rPr>
                <w:noProof/>
                <w:webHidden/>
              </w:rPr>
              <w:instrText xml:space="preserve"> PAGEREF _Toc162267431 \h </w:instrText>
            </w:r>
            <w:r w:rsidR="00736DA9">
              <w:rPr>
                <w:noProof/>
                <w:webHidden/>
              </w:rPr>
            </w:r>
            <w:r w:rsidR="00736DA9">
              <w:rPr>
                <w:noProof/>
                <w:webHidden/>
              </w:rPr>
              <w:fldChar w:fldCharType="separate"/>
            </w:r>
            <w:r w:rsidR="00736DA9">
              <w:rPr>
                <w:noProof/>
                <w:webHidden/>
              </w:rPr>
              <w:t>285</w:t>
            </w:r>
            <w:r w:rsidR="00736DA9">
              <w:rPr>
                <w:noProof/>
                <w:webHidden/>
              </w:rPr>
              <w:fldChar w:fldCharType="end"/>
            </w:r>
          </w:hyperlink>
        </w:p>
        <w:p w14:paraId="30398C40" w14:textId="19EF7ABB" w:rsidR="00736DA9" w:rsidRDefault="00000000">
          <w:pPr>
            <w:pStyle w:val="TOC4"/>
            <w:tabs>
              <w:tab w:val="right" w:pos="9350"/>
            </w:tabs>
            <w:rPr>
              <w:rFonts w:eastAsiaTheme="minorEastAsia" w:cstheme="minorBidi"/>
              <w:noProof/>
              <w:sz w:val="24"/>
              <w:szCs w:val="24"/>
            </w:rPr>
          </w:pPr>
          <w:hyperlink w:anchor="_Toc162267432" w:history="1">
            <w:r w:rsidR="00736DA9" w:rsidRPr="004372B1">
              <w:rPr>
                <w:rStyle w:val="Hyperlink"/>
                <w:noProof/>
              </w:rPr>
              <w:t>Figure 8.37: SC and Highest County K12 School Religious Exemptions for Vaccinations.</w:t>
            </w:r>
            <w:r w:rsidR="00736DA9">
              <w:rPr>
                <w:noProof/>
                <w:webHidden/>
              </w:rPr>
              <w:tab/>
            </w:r>
            <w:r w:rsidR="00736DA9">
              <w:rPr>
                <w:noProof/>
                <w:webHidden/>
              </w:rPr>
              <w:fldChar w:fldCharType="begin"/>
            </w:r>
            <w:r w:rsidR="00736DA9">
              <w:rPr>
                <w:noProof/>
                <w:webHidden/>
              </w:rPr>
              <w:instrText xml:space="preserve"> PAGEREF _Toc162267432 \h </w:instrText>
            </w:r>
            <w:r w:rsidR="00736DA9">
              <w:rPr>
                <w:noProof/>
                <w:webHidden/>
              </w:rPr>
            </w:r>
            <w:r w:rsidR="00736DA9">
              <w:rPr>
                <w:noProof/>
                <w:webHidden/>
              </w:rPr>
              <w:fldChar w:fldCharType="separate"/>
            </w:r>
            <w:r w:rsidR="00736DA9">
              <w:rPr>
                <w:noProof/>
                <w:webHidden/>
              </w:rPr>
              <w:t>286</w:t>
            </w:r>
            <w:r w:rsidR="00736DA9">
              <w:rPr>
                <w:noProof/>
                <w:webHidden/>
              </w:rPr>
              <w:fldChar w:fldCharType="end"/>
            </w:r>
          </w:hyperlink>
        </w:p>
        <w:p w14:paraId="2AC63A35" w14:textId="3CD3E6B2" w:rsidR="00736DA9" w:rsidRDefault="00000000">
          <w:pPr>
            <w:pStyle w:val="TOC4"/>
            <w:tabs>
              <w:tab w:val="right" w:pos="9350"/>
            </w:tabs>
            <w:rPr>
              <w:rFonts w:eastAsiaTheme="minorEastAsia" w:cstheme="minorBidi"/>
              <w:noProof/>
              <w:sz w:val="24"/>
              <w:szCs w:val="24"/>
            </w:rPr>
          </w:pPr>
          <w:hyperlink w:anchor="_Toc162267433" w:history="1">
            <w:r w:rsidR="00736DA9" w:rsidRPr="004372B1">
              <w:rPr>
                <w:rStyle w:val="Hyperlink"/>
                <w:noProof/>
              </w:rPr>
              <w:t>Figure 8.38: K12 School Religious Exemptions for Vaccinations, by County.</w:t>
            </w:r>
            <w:r w:rsidR="00736DA9">
              <w:rPr>
                <w:noProof/>
                <w:webHidden/>
              </w:rPr>
              <w:tab/>
            </w:r>
            <w:r w:rsidR="00736DA9">
              <w:rPr>
                <w:noProof/>
                <w:webHidden/>
              </w:rPr>
              <w:fldChar w:fldCharType="begin"/>
            </w:r>
            <w:r w:rsidR="00736DA9">
              <w:rPr>
                <w:noProof/>
                <w:webHidden/>
              </w:rPr>
              <w:instrText xml:space="preserve"> PAGEREF _Toc162267433 \h </w:instrText>
            </w:r>
            <w:r w:rsidR="00736DA9">
              <w:rPr>
                <w:noProof/>
                <w:webHidden/>
              </w:rPr>
            </w:r>
            <w:r w:rsidR="00736DA9">
              <w:rPr>
                <w:noProof/>
                <w:webHidden/>
              </w:rPr>
              <w:fldChar w:fldCharType="separate"/>
            </w:r>
            <w:r w:rsidR="00736DA9">
              <w:rPr>
                <w:noProof/>
                <w:webHidden/>
              </w:rPr>
              <w:t>286</w:t>
            </w:r>
            <w:r w:rsidR="00736DA9">
              <w:rPr>
                <w:noProof/>
                <w:webHidden/>
              </w:rPr>
              <w:fldChar w:fldCharType="end"/>
            </w:r>
          </w:hyperlink>
        </w:p>
        <w:p w14:paraId="11B3DD9F" w14:textId="12D15AFE" w:rsidR="00736DA9" w:rsidRDefault="00000000">
          <w:pPr>
            <w:pStyle w:val="TOC4"/>
            <w:tabs>
              <w:tab w:val="right" w:pos="9350"/>
            </w:tabs>
            <w:rPr>
              <w:rFonts w:eastAsiaTheme="minorEastAsia" w:cstheme="minorBidi"/>
              <w:noProof/>
              <w:sz w:val="24"/>
              <w:szCs w:val="24"/>
            </w:rPr>
          </w:pPr>
          <w:hyperlink w:anchor="_Toc162267434" w:history="1">
            <w:r w:rsidR="00736DA9" w:rsidRPr="004372B1">
              <w:rPr>
                <w:rStyle w:val="Hyperlink"/>
                <w:noProof/>
              </w:rPr>
              <w:t>Figure 8.39: ≥4 Doses DTaP Vaccination Coverage by 24 Months of Age, by Race and Ethnicity.</w:t>
            </w:r>
            <w:r w:rsidR="00736DA9">
              <w:rPr>
                <w:noProof/>
                <w:webHidden/>
              </w:rPr>
              <w:tab/>
            </w:r>
            <w:r w:rsidR="00736DA9">
              <w:rPr>
                <w:noProof/>
                <w:webHidden/>
              </w:rPr>
              <w:fldChar w:fldCharType="begin"/>
            </w:r>
            <w:r w:rsidR="00736DA9">
              <w:rPr>
                <w:noProof/>
                <w:webHidden/>
              </w:rPr>
              <w:instrText xml:space="preserve"> PAGEREF _Toc162267434 \h </w:instrText>
            </w:r>
            <w:r w:rsidR="00736DA9">
              <w:rPr>
                <w:noProof/>
                <w:webHidden/>
              </w:rPr>
            </w:r>
            <w:r w:rsidR="00736DA9">
              <w:rPr>
                <w:noProof/>
                <w:webHidden/>
              </w:rPr>
              <w:fldChar w:fldCharType="separate"/>
            </w:r>
            <w:r w:rsidR="00736DA9">
              <w:rPr>
                <w:noProof/>
                <w:webHidden/>
              </w:rPr>
              <w:t>287</w:t>
            </w:r>
            <w:r w:rsidR="00736DA9">
              <w:rPr>
                <w:noProof/>
                <w:webHidden/>
              </w:rPr>
              <w:fldChar w:fldCharType="end"/>
            </w:r>
          </w:hyperlink>
        </w:p>
        <w:p w14:paraId="3C49D27C" w14:textId="1B1FFABB" w:rsidR="00736DA9" w:rsidRDefault="00000000">
          <w:pPr>
            <w:pStyle w:val="TOC4"/>
            <w:tabs>
              <w:tab w:val="right" w:pos="9350"/>
            </w:tabs>
            <w:rPr>
              <w:rFonts w:eastAsiaTheme="minorEastAsia" w:cstheme="minorBidi"/>
              <w:noProof/>
              <w:sz w:val="24"/>
              <w:szCs w:val="24"/>
            </w:rPr>
          </w:pPr>
          <w:hyperlink w:anchor="_Toc162267435"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_Toc162267435 \h </w:instrText>
            </w:r>
            <w:r w:rsidR="00736DA9">
              <w:rPr>
                <w:noProof/>
                <w:webHidden/>
              </w:rPr>
            </w:r>
            <w:r w:rsidR="00736DA9">
              <w:rPr>
                <w:noProof/>
                <w:webHidden/>
              </w:rPr>
              <w:fldChar w:fldCharType="separate"/>
            </w:r>
            <w:r w:rsidR="00736DA9">
              <w:rPr>
                <w:noProof/>
                <w:webHidden/>
              </w:rPr>
              <w:t>288</w:t>
            </w:r>
            <w:r w:rsidR="00736DA9">
              <w:rPr>
                <w:noProof/>
                <w:webHidden/>
              </w:rPr>
              <w:fldChar w:fldCharType="end"/>
            </w:r>
          </w:hyperlink>
        </w:p>
        <w:p w14:paraId="771CC1F3" w14:textId="7D02FCBF" w:rsidR="00736DA9" w:rsidRDefault="00000000">
          <w:pPr>
            <w:pStyle w:val="TOC3"/>
            <w:tabs>
              <w:tab w:val="right" w:pos="9350"/>
            </w:tabs>
            <w:rPr>
              <w:rFonts w:eastAsiaTheme="minorEastAsia" w:cstheme="minorBidi"/>
              <w:noProof/>
              <w:sz w:val="24"/>
              <w:szCs w:val="24"/>
            </w:rPr>
          </w:pPr>
          <w:hyperlink w:anchor="_Toc162267436" w:history="1">
            <w:r w:rsidR="00736DA9" w:rsidRPr="004372B1">
              <w:rPr>
                <w:rStyle w:val="Hyperlink"/>
                <w:noProof/>
              </w:rPr>
              <w:t>Healthy Schools: K-5 Readiness</w:t>
            </w:r>
            <w:r w:rsidR="00736DA9">
              <w:rPr>
                <w:noProof/>
                <w:webHidden/>
              </w:rPr>
              <w:tab/>
            </w:r>
            <w:r w:rsidR="00736DA9">
              <w:rPr>
                <w:noProof/>
                <w:webHidden/>
              </w:rPr>
              <w:fldChar w:fldCharType="begin"/>
            </w:r>
            <w:r w:rsidR="00736DA9">
              <w:rPr>
                <w:noProof/>
                <w:webHidden/>
              </w:rPr>
              <w:instrText xml:space="preserve"> PAGEREF _Toc162267436 \h </w:instrText>
            </w:r>
            <w:r w:rsidR="00736DA9">
              <w:rPr>
                <w:noProof/>
                <w:webHidden/>
              </w:rPr>
            </w:r>
            <w:r w:rsidR="00736DA9">
              <w:rPr>
                <w:noProof/>
                <w:webHidden/>
              </w:rPr>
              <w:fldChar w:fldCharType="separate"/>
            </w:r>
            <w:r w:rsidR="00736DA9">
              <w:rPr>
                <w:noProof/>
                <w:webHidden/>
              </w:rPr>
              <w:t>288</w:t>
            </w:r>
            <w:r w:rsidR="00736DA9">
              <w:rPr>
                <w:noProof/>
                <w:webHidden/>
              </w:rPr>
              <w:fldChar w:fldCharType="end"/>
            </w:r>
          </w:hyperlink>
        </w:p>
        <w:p w14:paraId="25497E7D" w14:textId="080BF773" w:rsidR="00736DA9" w:rsidRDefault="00000000">
          <w:pPr>
            <w:pStyle w:val="TOC4"/>
            <w:tabs>
              <w:tab w:val="right" w:pos="9350"/>
            </w:tabs>
            <w:rPr>
              <w:rFonts w:eastAsiaTheme="minorEastAsia" w:cstheme="minorBidi"/>
              <w:noProof/>
              <w:sz w:val="24"/>
              <w:szCs w:val="24"/>
            </w:rPr>
          </w:pPr>
          <w:hyperlink w:anchor="_Toc162267437" w:history="1">
            <w:r w:rsidR="00736DA9" w:rsidRPr="004372B1">
              <w:rPr>
                <w:rStyle w:val="Hyperlink"/>
                <w:noProof/>
              </w:rPr>
              <w:t>Figure 8.40: Students Demonstrating Readiness, Overall and by Selected Characteristics.</w:t>
            </w:r>
            <w:r w:rsidR="00736DA9">
              <w:rPr>
                <w:noProof/>
                <w:webHidden/>
              </w:rPr>
              <w:tab/>
            </w:r>
            <w:r w:rsidR="00736DA9">
              <w:rPr>
                <w:noProof/>
                <w:webHidden/>
              </w:rPr>
              <w:fldChar w:fldCharType="begin"/>
            </w:r>
            <w:r w:rsidR="00736DA9">
              <w:rPr>
                <w:noProof/>
                <w:webHidden/>
              </w:rPr>
              <w:instrText xml:space="preserve"> PAGEREF _Toc162267437 \h </w:instrText>
            </w:r>
            <w:r w:rsidR="00736DA9">
              <w:rPr>
                <w:noProof/>
                <w:webHidden/>
              </w:rPr>
            </w:r>
            <w:r w:rsidR="00736DA9">
              <w:rPr>
                <w:noProof/>
                <w:webHidden/>
              </w:rPr>
              <w:fldChar w:fldCharType="separate"/>
            </w:r>
            <w:r w:rsidR="00736DA9">
              <w:rPr>
                <w:noProof/>
                <w:webHidden/>
              </w:rPr>
              <w:t>289</w:t>
            </w:r>
            <w:r w:rsidR="00736DA9">
              <w:rPr>
                <w:noProof/>
                <w:webHidden/>
              </w:rPr>
              <w:fldChar w:fldCharType="end"/>
            </w:r>
          </w:hyperlink>
        </w:p>
        <w:p w14:paraId="0F865AF4" w14:textId="5D343806" w:rsidR="00736DA9" w:rsidRDefault="00000000">
          <w:pPr>
            <w:pStyle w:val="TOC4"/>
            <w:tabs>
              <w:tab w:val="right" w:pos="9350"/>
            </w:tabs>
            <w:rPr>
              <w:rFonts w:eastAsiaTheme="minorEastAsia" w:cstheme="minorBidi"/>
              <w:noProof/>
              <w:sz w:val="24"/>
              <w:szCs w:val="24"/>
            </w:rPr>
          </w:pPr>
          <w:hyperlink w:anchor="_Toc162267438" w:history="1">
            <w:r w:rsidR="00736DA9" w:rsidRPr="004372B1">
              <w:rPr>
                <w:rStyle w:val="Hyperlink"/>
                <w:noProof/>
              </w:rPr>
              <w:t>Figure 8.41: Students Demonstrating Readiness, by Race/Ethnicity.</w:t>
            </w:r>
            <w:r w:rsidR="00736DA9">
              <w:rPr>
                <w:noProof/>
                <w:webHidden/>
              </w:rPr>
              <w:tab/>
            </w:r>
            <w:r w:rsidR="00736DA9">
              <w:rPr>
                <w:noProof/>
                <w:webHidden/>
              </w:rPr>
              <w:fldChar w:fldCharType="begin"/>
            </w:r>
            <w:r w:rsidR="00736DA9">
              <w:rPr>
                <w:noProof/>
                <w:webHidden/>
              </w:rPr>
              <w:instrText xml:space="preserve"> PAGEREF _Toc162267438 \h </w:instrText>
            </w:r>
            <w:r w:rsidR="00736DA9">
              <w:rPr>
                <w:noProof/>
                <w:webHidden/>
              </w:rPr>
            </w:r>
            <w:r w:rsidR="00736DA9">
              <w:rPr>
                <w:noProof/>
                <w:webHidden/>
              </w:rPr>
              <w:fldChar w:fldCharType="separate"/>
            </w:r>
            <w:r w:rsidR="00736DA9">
              <w:rPr>
                <w:noProof/>
                <w:webHidden/>
              </w:rPr>
              <w:t>289</w:t>
            </w:r>
            <w:r w:rsidR="00736DA9">
              <w:rPr>
                <w:noProof/>
                <w:webHidden/>
              </w:rPr>
              <w:fldChar w:fldCharType="end"/>
            </w:r>
          </w:hyperlink>
        </w:p>
        <w:p w14:paraId="305BF871" w14:textId="6C1B3A4F" w:rsidR="00736DA9" w:rsidRDefault="00000000">
          <w:pPr>
            <w:pStyle w:val="TOC4"/>
            <w:tabs>
              <w:tab w:val="right" w:pos="9350"/>
            </w:tabs>
            <w:rPr>
              <w:rFonts w:eastAsiaTheme="minorEastAsia" w:cstheme="minorBidi"/>
              <w:noProof/>
              <w:sz w:val="24"/>
              <w:szCs w:val="24"/>
            </w:rPr>
          </w:pPr>
          <w:hyperlink w:anchor="_Toc162267439"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_Toc162267439 \h </w:instrText>
            </w:r>
            <w:r w:rsidR="00736DA9">
              <w:rPr>
                <w:noProof/>
                <w:webHidden/>
              </w:rPr>
            </w:r>
            <w:r w:rsidR="00736DA9">
              <w:rPr>
                <w:noProof/>
                <w:webHidden/>
              </w:rPr>
              <w:fldChar w:fldCharType="separate"/>
            </w:r>
            <w:r w:rsidR="00736DA9">
              <w:rPr>
                <w:noProof/>
                <w:webHidden/>
              </w:rPr>
              <w:t>290</w:t>
            </w:r>
            <w:r w:rsidR="00736DA9">
              <w:rPr>
                <w:noProof/>
                <w:webHidden/>
              </w:rPr>
              <w:fldChar w:fldCharType="end"/>
            </w:r>
          </w:hyperlink>
        </w:p>
        <w:p w14:paraId="5356CA8F" w14:textId="5F4D09EE" w:rsidR="00736DA9" w:rsidRDefault="00000000">
          <w:pPr>
            <w:pStyle w:val="TOC4"/>
            <w:tabs>
              <w:tab w:val="right" w:pos="9350"/>
            </w:tabs>
            <w:rPr>
              <w:rFonts w:eastAsiaTheme="minorEastAsia" w:cstheme="minorBidi"/>
              <w:noProof/>
              <w:sz w:val="24"/>
              <w:szCs w:val="24"/>
            </w:rPr>
          </w:pPr>
          <w:hyperlink w:anchor="_Toc162267440" w:history="1">
            <w:r w:rsidR="00736DA9" w:rsidRPr="004372B1">
              <w:rPr>
                <w:rStyle w:val="Hyperlink"/>
                <w:noProof/>
              </w:rPr>
              <w:t>References 8.20</w:t>
            </w:r>
            <w:r w:rsidR="00736DA9">
              <w:rPr>
                <w:noProof/>
                <w:webHidden/>
              </w:rPr>
              <w:tab/>
            </w:r>
            <w:r w:rsidR="00736DA9">
              <w:rPr>
                <w:noProof/>
                <w:webHidden/>
              </w:rPr>
              <w:fldChar w:fldCharType="begin"/>
            </w:r>
            <w:r w:rsidR="00736DA9">
              <w:rPr>
                <w:noProof/>
                <w:webHidden/>
              </w:rPr>
              <w:instrText xml:space="preserve"> PAGEREF _Toc162267440 \h </w:instrText>
            </w:r>
            <w:r w:rsidR="00736DA9">
              <w:rPr>
                <w:noProof/>
                <w:webHidden/>
              </w:rPr>
            </w:r>
            <w:r w:rsidR="00736DA9">
              <w:rPr>
                <w:noProof/>
                <w:webHidden/>
              </w:rPr>
              <w:fldChar w:fldCharType="separate"/>
            </w:r>
            <w:r w:rsidR="00736DA9">
              <w:rPr>
                <w:noProof/>
                <w:webHidden/>
              </w:rPr>
              <w:t>291</w:t>
            </w:r>
            <w:r w:rsidR="00736DA9">
              <w:rPr>
                <w:noProof/>
                <w:webHidden/>
              </w:rPr>
              <w:fldChar w:fldCharType="end"/>
            </w:r>
          </w:hyperlink>
        </w:p>
        <w:p w14:paraId="43A5C30A" w14:textId="38A17465" w:rsidR="00736DA9" w:rsidRDefault="00000000">
          <w:pPr>
            <w:pStyle w:val="TOC3"/>
            <w:tabs>
              <w:tab w:val="right" w:pos="9350"/>
            </w:tabs>
            <w:rPr>
              <w:rFonts w:eastAsiaTheme="minorEastAsia" w:cstheme="minorBidi"/>
              <w:noProof/>
              <w:sz w:val="24"/>
              <w:szCs w:val="24"/>
            </w:rPr>
          </w:pPr>
          <w:hyperlink w:anchor="_Toc162267441" w:history="1">
            <w:r w:rsidR="00736DA9" w:rsidRPr="004372B1">
              <w:rPr>
                <w:rStyle w:val="Hyperlink"/>
                <w:noProof/>
              </w:rPr>
              <w:t>Healthy Schools: High School Dropout Rates</w:t>
            </w:r>
            <w:r w:rsidR="00736DA9">
              <w:rPr>
                <w:noProof/>
                <w:webHidden/>
              </w:rPr>
              <w:tab/>
            </w:r>
            <w:r w:rsidR="00736DA9">
              <w:rPr>
                <w:noProof/>
                <w:webHidden/>
              </w:rPr>
              <w:fldChar w:fldCharType="begin"/>
            </w:r>
            <w:r w:rsidR="00736DA9">
              <w:rPr>
                <w:noProof/>
                <w:webHidden/>
              </w:rPr>
              <w:instrText xml:space="preserve"> PAGEREF _Toc162267441 \h </w:instrText>
            </w:r>
            <w:r w:rsidR="00736DA9">
              <w:rPr>
                <w:noProof/>
                <w:webHidden/>
              </w:rPr>
            </w:r>
            <w:r w:rsidR="00736DA9">
              <w:rPr>
                <w:noProof/>
                <w:webHidden/>
              </w:rPr>
              <w:fldChar w:fldCharType="separate"/>
            </w:r>
            <w:r w:rsidR="00736DA9">
              <w:rPr>
                <w:noProof/>
                <w:webHidden/>
              </w:rPr>
              <w:t>291</w:t>
            </w:r>
            <w:r w:rsidR="00736DA9">
              <w:rPr>
                <w:noProof/>
                <w:webHidden/>
              </w:rPr>
              <w:fldChar w:fldCharType="end"/>
            </w:r>
          </w:hyperlink>
        </w:p>
        <w:p w14:paraId="49383079" w14:textId="72C847D6" w:rsidR="00736DA9" w:rsidRDefault="00000000">
          <w:pPr>
            <w:pStyle w:val="TOC4"/>
            <w:tabs>
              <w:tab w:val="right" w:pos="9350"/>
            </w:tabs>
            <w:rPr>
              <w:rFonts w:eastAsiaTheme="minorEastAsia" w:cstheme="minorBidi"/>
              <w:noProof/>
              <w:sz w:val="24"/>
              <w:szCs w:val="24"/>
            </w:rPr>
          </w:pPr>
          <w:hyperlink w:anchor="_Toc162267442" w:history="1">
            <w:r w:rsidR="00736DA9" w:rsidRPr="004372B1">
              <w:rPr>
                <w:rStyle w:val="Hyperlink"/>
                <w:noProof/>
              </w:rPr>
              <w:t>Figure 8.42: High School Dropout, by Selected Characteristics.</w:t>
            </w:r>
            <w:r w:rsidR="00736DA9">
              <w:rPr>
                <w:noProof/>
                <w:webHidden/>
              </w:rPr>
              <w:tab/>
            </w:r>
            <w:r w:rsidR="00736DA9">
              <w:rPr>
                <w:noProof/>
                <w:webHidden/>
              </w:rPr>
              <w:fldChar w:fldCharType="begin"/>
            </w:r>
            <w:r w:rsidR="00736DA9">
              <w:rPr>
                <w:noProof/>
                <w:webHidden/>
              </w:rPr>
              <w:instrText xml:space="preserve"> PAGEREF _Toc162267442 \h </w:instrText>
            </w:r>
            <w:r w:rsidR="00736DA9">
              <w:rPr>
                <w:noProof/>
                <w:webHidden/>
              </w:rPr>
            </w:r>
            <w:r w:rsidR="00736DA9">
              <w:rPr>
                <w:noProof/>
                <w:webHidden/>
              </w:rPr>
              <w:fldChar w:fldCharType="separate"/>
            </w:r>
            <w:r w:rsidR="00736DA9">
              <w:rPr>
                <w:noProof/>
                <w:webHidden/>
              </w:rPr>
              <w:t>292</w:t>
            </w:r>
            <w:r w:rsidR="00736DA9">
              <w:rPr>
                <w:noProof/>
                <w:webHidden/>
              </w:rPr>
              <w:fldChar w:fldCharType="end"/>
            </w:r>
          </w:hyperlink>
        </w:p>
        <w:p w14:paraId="0BA863A2" w14:textId="4F0E44C2" w:rsidR="00736DA9" w:rsidRDefault="00000000">
          <w:pPr>
            <w:pStyle w:val="TOC4"/>
            <w:tabs>
              <w:tab w:val="right" w:pos="9350"/>
            </w:tabs>
            <w:rPr>
              <w:rFonts w:eastAsiaTheme="minorEastAsia" w:cstheme="minorBidi"/>
              <w:noProof/>
              <w:sz w:val="24"/>
              <w:szCs w:val="24"/>
            </w:rPr>
          </w:pPr>
          <w:hyperlink w:anchor="_Toc162267443"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_Toc162267443 \h </w:instrText>
            </w:r>
            <w:r w:rsidR="00736DA9">
              <w:rPr>
                <w:noProof/>
                <w:webHidden/>
              </w:rPr>
            </w:r>
            <w:r w:rsidR="00736DA9">
              <w:rPr>
                <w:noProof/>
                <w:webHidden/>
              </w:rPr>
              <w:fldChar w:fldCharType="separate"/>
            </w:r>
            <w:r w:rsidR="00736DA9">
              <w:rPr>
                <w:noProof/>
                <w:webHidden/>
              </w:rPr>
              <w:t>292</w:t>
            </w:r>
            <w:r w:rsidR="00736DA9">
              <w:rPr>
                <w:noProof/>
                <w:webHidden/>
              </w:rPr>
              <w:fldChar w:fldCharType="end"/>
            </w:r>
          </w:hyperlink>
        </w:p>
        <w:p w14:paraId="5602F0E0" w14:textId="45001FE0" w:rsidR="00736DA9" w:rsidRDefault="00000000">
          <w:pPr>
            <w:pStyle w:val="TOC3"/>
            <w:tabs>
              <w:tab w:val="right" w:pos="9350"/>
            </w:tabs>
            <w:rPr>
              <w:rFonts w:eastAsiaTheme="minorEastAsia" w:cstheme="minorBidi"/>
              <w:noProof/>
              <w:sz w:val="24"/>
              <w:szCs w:val="24"/>
            </w:rPr>
          </w:pPr>
          <w:hyperlink w:anchor="_Toc162267444" w:history="1">
            <w:r w:rsidR="00736DA9" w:rsidRPr="004372B1">
              <w:rPr>
                <w:rStyle w:val="Hyperlink"/>
                <w:noProof/>
              </w:rPr>
              <w:t>Healthy Schools: High School Graduation</w:t>
            </w:r>
            <w:r w:rsidR="00736DA9">
              <w:rPr>
                <w:noProof/>
                <w:webHidden/>
              </w:rPr>
              <w:tab/>
            </w:r>
            <w:r w:rsidR="00736DA9">
              <w:rPr>
                <w:noProof/>
                <w:webHidden/>
              </w:rPr>
              <w:fldChar w:fldCharType="begin"/>
            </w:r>
            <w:r w:rsidR="00736DA9">
              <w:rPr>
                <w:noProof/>
                <w:webHidden/>
              </w:rPr>
              <w:instrText xml:space="preserve"> PAGEREF _Toc162267444 \h </w:instrText>
            </w:r>
            <w:r w:rsidR="00736DA9">
              <w:rPr>
                <w:noProof/>
                <w:webHidden/>
              </w:rPr>
            </w:r>
            <w:r w:rsidR="00736DA9">
              <w:rPr>
                <w:noProof/>
                <w:webHidden/>
              </w:rPr>
              <w:fldChar w:fldCharType="separate"/>
            </w:r>
            <w:r w:rsidR="00736DA9">
              <w:rPr>
                <w:noProof/>
                <w:webHidden/>
              </w:rPr>
              <w:t>292</w:t>
            </w:r>
            <w:r w:rsidR="00736DA9">
              <w:rPr>
                <w:noProof/>
                <w:webHidden/>
              </w:rPr>
              <w:fldChar w:fldCharType="end"/>
            </w:r>
          </w:hyperlink>
        </w:p>
        <w:p w14:paraId="49DFB5F7" w14:textId="67A01C0D" w:rsidR="00736DA9" w:rsidRDefault="00000000">
          <w:pPr>
            <w:pStyle w:val="TOC4"/>
            <w:tabs>
              <w:tab w:val="right" w:pos="9350"/>
            </w:tabs>
            <w:rPr>
              <w:rFonts w:eastAsiaTheme="minorEastAsia" w:cstheme="minorBidi"/>
              <w:noProof/>
              <w:sz w:val="24"/>
              <w:szCs w:val="24"/>
            </w:rPr>
          </w:pPr>
          <w:hyperlink w:anchor="_Toc162267445" w:history="1">
            <w:r w:rsidR="00736DA9" w:rsidRPr="004372B1">
              <w:rPr>
                <w:rStyle w:val="Hyperlink"/>
                <w:noProof/>
              </w:rPr>
              <w:t>Figure 8.43: High School Graduation, Overall and by Disability Status.</w:t>
            </w:r>
            <w:r w:rsidR="00736DA9">
              <w:rPr>
                <w:noProof/>
                <w:webHidden/>
              </w:rPr>
              <w:tab/>
            </w:r>
            <w:r w:rsidR="00736DA9">
              <w:rPr>
                <w:noProof/>
                <w:webHidden/>
              </w:rPr>
              <w:fldChar w:fldCharType="begin"/>
            </w:r>
            <w:r w:rsidR="00736DA9">
              <w:rPr>
                <w:noProof/>
                <w:webHidden/>
              </w:rPr>
              <w:instrText xml:space="preserve"> PAGEREF _Toc162267445 \h </w:instrText>
            </w:r>
            <w:r w:rsidR="00736DA9">
              <w:rPr>
                <w:noProof/>
                <w:webHidden/>
              </w:rPr>
            </w:r>
            <w:r w:rsidR="00736DA9">
              <w:rPr>
                <w:noProof/>
                <w:webHidden/>
              </w:rPr>
              <w:fldChar w:fldCharType="separate"/>
            </w:r>
            <w:r w:rsidR="00736DA9">
              <w:rPr>
                <w:noProof/>
                <w:webHidden/>
              </w:rPr>
              <w:t>293</w:t>
            </w:r>
            <w:r w:rsidR="00736DA9">
              <w:rPr>
                <w:noProof/>
                <w:webHidden/>
              </w:rPr>
              <w:fldChar w:fldCharType="end"/>
            </w:r>
          </w:hyperlink>
        </w:p>
        <w:p w14:paraId="2654907C" w14:textId="40512FD0" w:rsidR="00736DA9" w:rsidRDefault="00000000">
          <w:pPr>
            <w:pStyle w:val="TOC4"/>
            <w:tabs>
              <w:tab w:val="right" w:pos="9350"/>
            </w:tabs>
            <w:rPr>
              <w:rFonts w:eastAsiaTheme="minorEastAsia" w:cstheme="minorBidi"/>
              <w:noProof/>
              <w:sz w:val="24"/>
              <w:szCs w:val="24"/>
            </w:rPr>
          </w:pPr>
          <w:hyperlink w:anchor="_Toc162267446" w:history="1">
            <w:r w:rsidR="00736DA9" w:rsidRPr="004372B1">
              <w:rPr>
                <w:rStyle w:val="Hyperlink"/>
                <w:noProof/>
              </w:rPr>
              <w:t>Figure 8.44: High School Graduation, by Race/Ethnicity.</w:t>
            </w:r>
            <w:r w:rsidR="00736DA9">
              <w:rPr>
                <w:noProof/>
                <w:webHidden/>
              </w:rPr>
              <w:tab/>
            </w:r>
            <w:r w:rsidR="00736DA9">
              <w:rPr>
                <w:noProof/>
                <w:webHidden/>
              </w:rPr>
              <w:fldChar w:fldCharType="begin"/>
            </w:r>
            <w:r w:rsidR="00736DA9">
              <w:rPr>
                <w:noProof/>
                <w:webHidden/>
              </w:rPr>
              <w:instrText xml:space="preserve"> PAGEREF _Toc162267446 \h </w:instrText>
            </w:r>
            <w:r w:rsidR="00736DA9">
              <w:rPr>
                <w:noProof/>
                <w:webHidden/>
              </w:rPr>
            </w:r>
            <w:r w:rsidR="00736DA9">
              <w:rPr>
                <w:noProof/>
                <w:webHidden/>
              </w:rPr>
              <w:fldChar w:fldCharType="separate"/>
            </w:r>
            <w:r w:rsidR="00736DA9">
              <w:rPr>
                <w:noProof/>
                <w:webHidden/>
              </w:rPr>
              <w:t>293</w:t>
            </w:r>
            <w:r w:rsidR="00736DA9">
              <w:rPr>
                <w:noProof/>
                <w:webHidden/>
              </w:rPr>
              <w:fldChar w:fldCharType="end"/>
            </w:r>
          </w:hyperlink>
        </w:p>
        <w:p w14:paraId="1537B107" w14:textId="79EA7513" w:rsidR="00736DA9" w:rsidRDefault="00000000">
          <w:pPr>
            <w:pStyle w:val="TOC4"/>
            <w:tabs>
              <w:tab w:val="right" w:pos="9350"/>
            </w:tabs>
            <w:rPr>
              <w:rFonts w:eastAsiaTheme="minorEastAsia" w:cstheme="minorBidi"/>
              <w:noProof/>
              <w:sz w:val="24"/>
              <w:szCs w:val="24"/>
            </w:rPr>
          </w:pPr>
          <w:hyperlink w:anchor="_Toc162267447"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_Toc162267447 \h </w:instrText>
            </w:r>
            <w:r w:rsidR="00736DA9">
              <w:rPr>
                <w:noProof/>
                <w:webHidden/>
              </w:rPr>
            </w:r>
            <w:r w:rsidR="00736DA9">
              <w:rPr>
                <w:noProof/>
                <w:webHidden/>
              </w:rPr>
              <w:fldChar w:fldCharType="separate"/>
            </w:r>
            <w:r w:rsidR="00736DA9">
              <w:rPr>
                <w:noProof/>
                <w:webHidden/>
              </w:rPr>
              <w:t>293</w:t>
            </w:r>
            <w:r w:rsidR="00736DA9">
              <w:rPr>
                <w:noProof/>
                <w:webHidden/>
              </w:rPr>
              <w:fldChar w:fldCharType="end"/>
            </w:r>
          </w:hyperlink>
        </w:p>
        <w:p w14:paraId="148F1411" w14:textId="2F25BB8A" w:rsidR="00736DA9" w:rsidRDefault="00000000">
          <w:pPr>
            <w:pStyle w:val="TOC3"/>
            <w:tabs>
              <w:tab w:val="right" w:pos="9350"/>
            </w:tabs>
            <w:rPr>
              <w:rFonts w:eastAsiaTheme="minorEastAsia" w:cstheme="minorBidi"/>
              <w:noProof/>
              <w:sz w:val="24"/>
              <w:szCs w:val="24"/>
            </w:rPr>
          </w:pPr>
          <w:hyperlink w:anchor="_Toc162267448" w:history="1">
            <w:r w:rsidR="00736DA9" w:rsidRPr="004372B1">
              <w:rPr>
                <w:rStyle w:val="Hyperlink"/>
                <w:noProof/>
              </w:rPr>
              <w:t>Children and Youth with Special Health Care Needs</w:t>
            </w:r>
            <w:r w:rsidR="00736DA9">
              <w:rPr>
                <w:noProof/>
                <w:webHidden/>
              </w:rPr>
              <w:tab/>
            </w:r>
            <w:r w:rsidR="00736DA9">
              <w:rPr>
                <w:noProof/>
                <w:webHidden/>
              </w:rPr>
              <w:fldChar w:fldCharType="begin"/>
            </w:r>
            <w:r w:rsidR="00736DA9">
              <w:rPr>
                <w:noProof/>
                <w:webHidden/>
              </w:rPr>
              <w:instrText xml:space="preserve"> PAGEREF _Toc162267448 \h </w:instrText>
            </w:r>
            <w:r w:rsidR="00736DA9">
              <w:rPr>
                <w:noProof/>
                <w:webHidden/>
              </w:rPr>
            </w:r>
            <w:r w:rsidR="00736DA9">
              <w:rPr>
                <w:noProof/>
                <w:webHidden/>
              </w:rPr>
              <w:fldChar w:fldCharType="separate"/>
            </w:r>
            <w:r w:rsidR="00736DA9">
              <w:rPr>
                <w:noProof/>
                <w:webHidden/>
              </w:rPr>
              <w:t>294</w:t>
            </w:r>
            <w:r w:rsidR="00736DA9">
              <w:rPr>
                <w:noProof/>
                <w:webHidden/>
              </w:rPr>
              <w:fldChar w:fldCharType="end"/>
            </w:r>
          </w:hyperlink>
        </w:p>
        <w:p w14:paraId="50017E55" w14:textId="4FA1114C" w:rsidR="00736DA9" w:rsidRDefault="00000000">
          <w:pPr>
            <w:pStyle w:val="TOC4"/>
            <w:tabs>
              <w:tab w:val="right" w:pos="9350"/>
            </w:tabs>
            <w:rPr>
              <w:rFonts w:eastAsiaTheme="minorEastAsia" w:cstheme="minorBidi"/>
              <w:noProof/>
              <w:sz w:val="24"/>
              <w:szCs w:val="24"/>
            </w:rPr>
          </w:pPr>
          <w:hyperlink w:anchor="_Toc162267449"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_Toc162267449 \h </w:instrText>
            </w:r>
            <w:r w:rsidR="00736DA9">
              <w:rPr>
                <w:noProof/>
                <w:webHidden/>
              </w:rPr>
            </w:r>
            <w:r w:rsidR="00736DA9">
              <w:rPr>
                <w:noProof/>
                <w:webHidden/>
              </w:rPr>
              <w:fldChar w:fldCharType="separate"/>
            </w:r>
            <w:r w:rsidR="00736DA9">
              <w:rPr>
                <w:noProof/>
                <w:webHidden/>
              </w:rPr>
              <w:t>294</w:t>
            </w:r>
            <w:r w:rsidR="00736DA9">
              <w:rPr>
                <w:noProof/>
                <w:webHidden/>
              </w:rPr>
              <w:fldChar w:fldCharType="end"/>
            </w:r>
          </w:hyperlink>
        </w:p>
        <w:p w14:paraId="64585885" w14:textId="615930E4" w:rsidR="00736DA9" w:rsidRDefault="00000000">
          <w:pPr>
            <w:pStyle w:val="TOC4"/>
            <w:tabs>
              <w:tab w:val="right" w:pos="9350"/>
            </w:tabs>
            <w:rPr>
              <w:rFonts w:eastAsiaTheme="minorEastAsia" w:cstheme="minorBidi"/>
              <w:noProof/>
              <w:sz w:val="24"/>
              <w:szCs w:val="24"/>
            </w:rPr>
          </w:pPr>
          <w:hyperlink w:anchor="_Toc162267450" w:history="1">
            <w:r w:rsidR="00736DA9" w:rsidRPr="004372B1">
              <w:rPr>
                <w:rStyle w:val="Hyperlink"/>
                <w:noProof/>
              </w:rPr>
              <w:t>Figure 8.45: Children with Special Health Care Needs, Aged 0-17, by Race/Ethnicity.</w:t>
            </w:r>
            <w:r w:rsidR="00736DA9">
              <w:rPr>
                <w:noProof/>
                <w:webHidden/>
              </w:rPr>
              <w:tab/>
            </w:r>
            <w:r w:rsidR="00736DA9">
              <w:rPr>
                <w:noProof/>
                <w:webHidden/>
              </w:rPr>
              <w:fldChar w:fldCharType="begin"/>
            </w:r>
            <w:r w:rsidR="00736DA9">
              <w:rPr>
                <w:noProof/>
                <w:webHidden/>
              </w:rPr>
              <w:instrText xml:space="preserve"> PAGEREF _Toc162267450 \h </w:instrText>
            </w:r>
            <w:r w:rsidR="00736DA9">
              <w:rPr>
                <w:noProof/>
                <w:webHidden/>
              </w:rPr>
            </w:r>
            <w:r w:rsidR="00736DA9">
              <w:rPr>
                <w:noProof/>
                <w:webHidden/>
              </w:rPr>
              <w:fldChar w:fldCharType="separate"/>
            </w:r>
            <w:r w:rsidR="00736DA9">
              <w:rPr>
                <w:noProof/>
                <w:webHidden/>
              </w:rPr>
              <w:t>295</w:t>
            </w:r>
            <w:r w:rsidR="00736DA9">
              <w:rPr>
                <w:noProof/>
                <w:webHidden/>
              </w:rPr>
              <w:fldChar w:fldCharType="end"/>
            </w:r>
          </w:hyperlink>
        </w:p>
        <w:p w14:paraId="2C48D7C2" w14:textId="75C3FC22" w:rsidR="00736DA9" w:rsidRDefault="00000000">
          <w:pPr>
            <w:pStyle w:val="TOC4"/>
            <w:tabs>
              <w:tab w:val="right" w:pos="9350"/>
            </w:tabs>
            <w:rPr>
              <w:rFonts w:eastAsiaTheme="minorEastAsia" w:cstheme="minorBidi"/>
              <w:noProof/>
              <w:sz w:val="24"/>
              <w:szCs w:val="24"/>
            </w:rPr>
          </w:pPr>
          <w:hyperlink w:anchor="_Toc162267451" w:history="1">
            <w:r w:rsidR="00736DA9" w:rsidRPr="004372B1">
              <w:rPr>
                <w:rStyle w:val="Hyperlink"/>
                <w:noProof/>
              </w:rPr>
              <w:t>Figure 8.46: Children with Special Health Care Needs, Aged 0-17, Who Have a Medical Home.</w:t>
            </w:r>
            <w:r w:rsidR="00736DA9">
              <w:rPr>
                <w:noProof/>
                <w:webHidden/>
              </w:rPr>
              <w:tab/>
            </w:r>
            <w:r w:rsidR="00736DA9">
              <w:rPr>
                <w:noProof/>
                <w:webHidden/>
              </w:rPr>
              <w:fldChar w:fldCharType="begin"/>
            </w:r>
            <w:r w:rsidR="00736DA9">
              <w:rPr>
                <w:noProof/>
                <w:webHidden/>
              </w:rPr>
              <w:instrText xml:space="preserve"> PAGEREF _Toc162267451 \h </w:instrText>
            </w:r>
            <w:r w:rsidR="00736DA9">
              <w:rPr>
                <w:noProof/>
                <w:webHidden/>
              </w:rPr>
            </w:r>
            <w:r w:rsidR="00736DA9">
              <w:rPr>
                <w:noProof/>
                <w:webHidden/>
              </w:rPr>
              <w:fldChar w:fldCharType="separate"/>
            </w:r>
            <w:r w:rsidR="00736DA9">
              <w:rPr>
                <w:noProof/>
                <w:webHidden/>
              </w:rPr>
              <w:t>296</w:t>
            </w:r>
            <w:r w:rsidR="00736DA9">
              <w:rPr>
                <w:noProof/>
                <w:webHidden/>
              </w:rPr>
              <w:fldChar w:fldCharType="end"/>
            </w:r>
          </w:hyperlink>
        </w:p>
        <w:p w14:paraId="018A0778" w14:textId="36A02730" w:rsidR="00736DA9" w:rsidRDefault="00000000">
          <w:pPr>
            <w:pStyle w:val="TOC4"/>
            <w:tabs>
              <w:tab w:val="right" w:pos="9350"/>
            </w:tabs>
            <w:rPr>
              <w:rFonts w:eastAsiaTheme="minorEastAsia" w:cstheme="minorBidi"/>
              <w:noProof/>
              <w:sz w:val="24"/>
              <w:szCs w:val="24"/>
            </w:rPr>
          </w:pPr>
          <w:hyperlink w:anchor="_Toc162267452" w:history="1">
            <w:r w:rsidR="00736DA9" w:rsidRPr="004372B1">
              <w:rPr>
                <w:rStyle w:val="Hyperlink"/>
                <w:noProof/>
              </w:rPr>
              <w:t>References 8.21</w:t>
            </w:r>
            <w:r w:rsidR="00736DA9">
              <w:rPr>
                <w:noProof/>
                <w:webHidden/>
              </w:rPr>
              <w:tab/>
            </w:r>
            <w:r w:rsidR="00736DA9">
              <w:rPr>
                <w:noProof/>
                <w:webHidden/>
              </w:rPr>
              <w:fldChar w:fldCharType="begin"/>
            </w:r>
            <w:r w:rsidR="00736DA9">
              <w:rPr>
                <w:noProof/>
                <w:webHidden/>
              </w:rPr>
              <w:instrText xml:space="preserve"> PAGEREF _Toc162267452 \h </w:instrText>
            </w:r>
            <w:r w:rsidR="00736DA9">
              <w:rPr>
                <w:noProof/>
                <w:webHidden/>
              </w:rPr>
            </w:r>
            <w:r w:rsidR="00736DA9">
              <w:rPr>
                <w:noProof/>
                <w:webHidden/>
              </w:rPr>
              <w:fldChar w:fldCharType="separate"/>
            </w:r>
            <w:r w:rsidR="00736DA9">
              <w:rPr>
                <w:noProof/>
                <w:webHidden/>
              </w:rPr>
              <w:t>296</w:t>
            </w:r>
            <w:r w:rsidR="00736DA9">
              <w:rPr>
                <w:noProof/>
                <w:webHidden/>
              </w:rPr>
              <w:fldChar w:fldCharType="end"/>
            </w:r>
          </w:hyperlink>
        </w:p>
        <w:p w14:paraId="274D3FD7" w14:textId="6547A4C9" w:rsidR="00736DA9" w:rsidRDefault="00000000">
          <w:pPr>
            <w:pStyle w:val="TOC2"/>
            <w:tabs>
              <w:tab w:val="right" w:pos="9350"/>
            </w:tabs>
            <w:rPr>
              <w:rFonts w:eastAsiaTheme="minorEastAsia" w:cstheme="minorBidi"/>
              <w:b w:val="0"/>
              <w:bCs w:val="0"/>
              <w:noProof/>
              <w:sz w:val="24"/>
              <w:szCs w:val="24"/>
            </w:rPr>
          </w:pPr>
          <w:hyperlink w:anchor="_Toc162267453" w:history="1">
            <w:r w:rsidR="00736DA9" w:rsidRPr="004372B1">
              <w:rPr>
                <w:rStyle w:val="Hyperlink"/>
                <w:noProof/>
              </w:rPr>
              <w:t>Chapter 9: Healthy Adults</w:t>
            </w:r>
            <w:r w:rsidR="00736DA9">
              <w:rPr>
                <w:noProof/>
                <w:webHidden/>
              </w:rPr>
              <w:tab/>
            </w:r>
            <w:r w:rsidR="00736DA9">
              <w:rPr>
                <w:noProof/>
                <w:webHidden/>
              </w:rPr>
              <w:fldChar w:fldCharType="begin"/>
            </w:r>
            <w:r w:rsidR="00736DA9">
              <w:rPr>
                <w:noProof/>
                <w:webHidden/>
              </w:rPr>
              <w:instrText xml:space="preserve"> PAGEREF _Toc162267453 \h </w:instrText>
            </w:r>
            <w:r w:rsidR="00736DA9">
              <w:rPr>
                <w:noProof/>
                <w:webHidden/>
              </w:rPr>
            </w:r>
            <w:r w:rsidR="00736DA9">
              <w:rPr>
                <w:noProof/>
                <w:webHidden/>
              </w:rPr>
              <w:fldChar w:fldCharType="separate"/>
            </w:r>
            <w:r w:rsidR="00736DA9">
              <w:rPr>
                <w:noProof/>
                <w:webHidden/>
              </w:rPr>
              <w:t>297</w:t>
            </w:r>
            <w:r w:rsidR="00736DA9">
              <w:rPr>
                <w:noProof/>
                <w:webHidden/>
              </w:rPr>
              <w:fldChar w:fldCharType="end"/>
            </w:r>
          </w:hyperlink>
        </w:p>
        <w:p w14:paraId="5996EC41" w14:textId="2A11506D" w:rsidR="00736DA9" w:rsidRDefault="00000000">
          <w:pPr>
            <w:pStyle w:val="TOC3"/>
            <w:tabs>
              <w:tab w:val="right" w:pos="9350"/>
            </w:tabs>
            <w:rPr>
              <w:rFonts w:eastAsiaTheme="minorEastAsia" w:cstheme="minorBidi"/>
              <w:noProof/>
              <w:sz w:val="24"/>
              <w:szCs w:val="24"/>
            </w:rPr>
          </w:pPr>
          <w:hyperlink w:anchor="_Toc162267454" w:history="1">
            <w:r w:rsidR="00736DA9" w:rsidRPr="004372B1">
              <w:rPr>
                <w:rStyle w:val="Hyperlink"/>
                <w:noProof/>
              </w:rPr>
              <w:t>Leading Causes of Hospitalizations and Deaths</w:t>
            </w:r>
            <w:r w:rsidR="00736DA9">
              <w:rPr>
                <w:noProof/>
                <w:webHidden/>
              </w:rPr>
              <w:tab/>
            </w:r>
            <w:r w:rsidR="00736DA9">
              <w:rPr>
                <w:noProof/>
                <w:webHidden/>
              </w:rPr>
              <w:fldChar w:fldCharType="begin"/>
            </w:r>
            <w:r w:rsidR="00736DA9">
              <w:rPr>
                <w:noProof/>
                <w:webHidden/>
              </w:rPr>
              <w:instrText xml:space="preserve"> PAGEREF _Toc162267454 \h </w:instrText>
            </w:r>
            <w:r w:rsidR="00736DA9">
              <w:rPr>
                <w:noProof/>
                <w:webHidden/>
              </w:rPr>
            </w:r>
            <w:r w:rsidR="00736DA9">
              <w:rPr>
                <w:noProof/>
                <w:webHidden/>
              </w:rPr>
              <w:fldChar w:fldCharType="separate"/>
            </w:r>
            <w:r w:rsidR="00736DA9">
              <w:rPr>
                <w:noProof/>
                <w:webHidden/>
              </w:rPr>
              <w:t>297</w:t>
            </w:r>
            <w:r w:rsidR="00736DA9">
              <w:rPr>
                <w:noProof/>
                <w:webHidden/>
              </w:rPr>
              <w:fldChar w:fldCharType="end"/>
            </w:r>
          </w:hyperlink>
        </w:p>
        <w:p w14:paraId="0DF25418" w14:textId="233AE0E5" w:rsidR="00736DA9" w:rsidRDefault="00000000">
          <w:pPr>
            <w:pStyle w:val="TOC4"/>
            <w:tabs>
              <w:tab w:val="right" w:pos="9350"/>
            </w:tabs>
            <w:rPr>
              <w:rFonts w:eastAsiaTheme="minorEastAsia" w:cstheme="minorBidi"/>
              <w:noProof/>
              <w:sz w:val="24"/>
              <w:szCs w:val="24"/>
            </w:rPr>
          </w:pPr>
          <w:hyperlink w:anchor="_Toc162267455" w:history="1">
            <w:r w:rsidR="00736DA9" w:rsidRPr="004372B1">
              <w:rPr>
                <w:rStyle w:val="Hyperlink"/>
                <w:noProof/>
              </w:rPr>
              <w:t>Figure 9.1: Leading Causes of Hospitalizations, Ages 18-64 Years.</w:t>
            </w:r>
            <w:r w:rsidR="00736DA9">
              <w:rPr>
                <w:noProof/>
                <w:webHidden/>
              </w:rPr>
              <w:tab/>
            </w:r>
            <w:r w:rsidR="00736DA9">
              <w:rPr>
                <w:noProof/>
                <w:webHidden/>
              </w:rPr>
              <w:fldChar w:fldCharType="begin"/>
            </w:r>
            <w:r w:rsidR="00736DA9">
              <w:rPr>
                <w:noProof/>
                <w:webHidden/>
              </w:rPr>
              <w:instrText xml:space="preserve"> PAGEREF _Toc162267455 \h </w:instrText>
            </w:r>
            <w:r w:rsidR="00736DA9">
              <w:rPr>
                <w:noProof/>
                <w:webHidden/>
              </w:rPr>
            </w:r>
            <w:r w:rsidR="00736DA9">
              <w:rPr>
                <w:noProof/>
                <w:webHidden/>
              </w:rPr>
              <w:fldChar w:fldCharType="separate"/>
            </w:r>
            <w:r w:rsidR="00736DA9">
              <w:rPr>
                <w:noProof/>
                <w:webHidden/>
              </w:rPr>
              <w:t>297</w:t>
            </w:r>
            <w:r w:rsidR="00736DA9">
              <w:rPr>
                <w:noProof/>
                <w:webHidden/>
              </w:rPr>
              <w:fldChar w:fldCharType="end"/>
            </w:r>
          </w:hyperlink>
        </w:p>
        <w:p w14:paraId="2490C9C1" w14:textId="79A9B200" w:rsidR="00736DA9" w:rsidRDefault="00000000">
          <w:pPr>
            <w:pStyle w:val="TOC4"/>
            <w:tabs>
              <w:tab w:val="right" w:pos="9350"/>
            </w:tabs>
            <w:rPr>
              <w:rFonts w:eastAsiaTheme="minorEastAsia" w:cstheme="minorBidi"/>
              <w:noProof/>
              <w:sz w:val="24"/>
              <w:szCs w:val="24"/>
            </w:rPr>
          </w:pPr>
          <w:hyperlink w:anchor="_Toc162267456" w:history="1">
            <w:r w:rsidR="00736DA9" w:rsidRPr="004372B1">
              <w:rPr>
                <w:rStyle w:val="Hyperlink"/>
                <w:noProof/>
              </w:rPr>
              <w:t>Table 9.1: Leading Causes of Death, by Age Group.</w:t>
            </w:r>
            <w:r w:rsidR="00736DA9">
              <w:rPr>
                <w:noProof/>
                <w:webHidden/>
              </w:rPr>
              <w:tab/>
            </w:r>
            <w:r w:rsidR="00736DA9">
              <w:rPr>
                <w:noProof/>
                <w:webHidden/>
              </w:rPr>
              <w:fldChar w:fldCharType="begin"/>
            </w:r>
            <w:r w:rsidR="00736DA9">
              <w:rPr>
                <w:noProof/>
                <w:webHidden/>
              </w:rPr>
              <w:instrText xml:space="preserve"> PAGEREF _Toc162267456 \h </w:instrText>
            </w:r>
            <w:r w:rsidR="00736DA9">
              <w:rPr>
                <w:noProof/>
                <w:webHidden/>
              </w:rPr>
            </w:r>
            <w:r w:rsidR="00736DA9">
              <w:rPr>
                <w:noProof/>
                <w:webHidden/>
              </w:rPr>
              <w:fldChar w:fldCharType="separate"/>
            </w:r>
            <w:r w:rsidR="00736DA9">
              <w:rPr>
                <w:noProof/>
                <w:webHidden/>
              </w:rPr>
              <w:t>298</w:t>
            </w:r>
            <w:r w:rsidR="00736DA9">
              <w:rPr>
                <w:noProof/>
                <w:webHidden/>
              </w:rPr>
              <w:fldChar w:fldCharType="end"/>
            </w:r>
          </w:hyperlink>
        </w:p>
        <w:p w14:paraId="6198AAF5" w14:textId="64C611E5" w:rsidR="00736DA9" w:rsidRDefault="00000000">
          <w:pPr>
            <w:pStyle w:val="TOC4"/>
            <w:tabs>
              <w:tab w:val="right" w:pos="9350"/>
            </w:tabs>
            <w:rPr>
              <w:rFonts w:eastAsiaTheme="minorEastAsia" w:cstheme="minorBidi"/>
              <w:noProof/>
              <w:sz w:val="24"/>
              <w:szCs w:val="24"/>
            </w:rPr>
          </w:pPr>
          <w:hyperlink w:anchor="_Toc162267457"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_Toc162267457 \h </w:instrText>
            </w:r>
            <w:r w:rsidR="00736DA9">
              <w:rPr>
                <w:noProof/>
                <w:webHidden/>
              </w:rPr>
            </w:r>
            <w:r w:rsidR="00736DA9">
              <w:rPr>
                <w:noProof/>
                <w:webHidden/>
              </w:rPr>
              <w:fldChar w:fldCharType="separate"/>
            </w:r>
            <w:r w:rsidR="00736DA9">
              <w:rPr>
                <w:noProof/>
                <w:webHidden/>
              </w:rPr>
              <w:t>300</w:t>
            </w:r>
            <w:r w:rsidR="00736DA9">
              <w:rPr>
                <w:noProof/>
                <w:webHidden/>
              </w:rPr>
              <w:fldChar w:fldCharType="end"/>
            </w:r>
          </w:hyperlink>
        </w:p>
        <w:p w14:paraId="38E35B89" w14:textId="06AD771D" w:rsidR="00736DA9" w:rsidRDefault="00000000">
          <w:pPr>
            <w:pStyle w:val="TOC4"/>
            <w:tabs>
              <w:tab w:val="right" w:pos="9350"/>
            </w:tabs>
            <w:rPr>
              <w:rFonts w:eastAsiaTheme="minorEastAsia" w:cstheme="minorBidi"/>
              <w:noProof/>
              <w:sz w:val="24"/>
              <w:szCs w:val="24"/>
            </w:rPr>
          </w:pPr>
          <w:hyperlink w:anchor="_Toc162267458" w:history="1">
            <w:r w:rsidR="00736DA9" w:rsidRPr="004372B1">
              <w:rPr>
                <w:rStyle w:val="Hyperlink"/>
                <w:noProof/>
              </w:rPr>
              <w:t>References 9.1</w:t>
            </w:r>
            <w:r w:rsidR="00736DA9">
              <w:rPr>
                <w:noProof/>
                <w:webHidden/>
              </w:rPr>
              <w:tab/>
            </w:r>
            <w:r w:rsidR="00736DA9">
              <w:rPr>
                <w:noProof/>
                <w:webHidden/>
              </w:rPr>
              <w:fldChar w:fldCharType="begin"/>
            </w:r>
            <w:r w:rsidR="00736DA9">
              <w:rPr>
                <w:noProof/>
                <w:webHidden/>
              </w:rPr>
              <w:instrText xml:space="preserve"> PAGEREF _Toc162267458 \h </w:instrText>
            </w:r>
            <w:r w:rsidR="00736DA9">
              <w:rPr>
                <w:noProof/>
                <w:webHidden/>
              </w:rPr>
            </w:r>
            <w:r w:rsidR="00736DA9">
              <w:rPr>
                <w:noProof/>
                <w:webHidden/>
              </w:rPr>
              <w:fldChar w:fldCharType="separate"/>
            </w:r>
            <w:r w:rsidR="00736DA9">
              <w:rPr>
                <w:noProof/>
                <w:webHidden/>
              </w:rPr>
              <w:t>300</w:t>
            </w:r>
            <w:r w:rsidR="00736DA9">
              <w:rPr>
                <w:noProof/>
                <w:webHidden/>
              </w:rPr>
              <w:fldChar w:fldCharType="end"/>
            </w:r>
          </w:hyperlink>
        </w:p>
        <w:p w14:paraId="053B6B25" w14:textId="2B5CBBE1" w:rsidR="00736DA9" w:rsidRDefault="00000000">
          <w:pPr>
            <w:pStyle w:val="TOC3"/>
            <w:tabs>
              <w:tab w:val="right" w:pos="9350"/>
            </w:tabs>
            <w:rPr>
              <w:rFonts w:eastAsiaTheme="minorEastAsia" w:cstheme="minorBidi"/>
              <w:noProof/>
              <w:sz w:val="24"/>
              <w:szCs w:val="24"/>
            </w:rPr>
          </w:pPr>
          <w:hyperlink w:anchor="_Toc162267459" w:history="1">
            <w:r w:rsidR="00736DA9" w:rsidRPr="004372B1">
              <w:rPr>
                <w:rStyle w:val="Hyperlink"/>
                <w:noProof/>
              </w:rPr>
              <w:t>Multiple Chronic Conditions</w:t>
            </w:r>
            <w:r w:rsidR="00736DA9">
              <w:rPr>
                <w:noProof/>
                <w:webHidden/>
              </w:rPr>
              <w:tab/>
            </w:r>
            <w:r w:rsidR="00736DA9">
              <w:rPr>
                <w:noProof/>
                <w:webHidden/>
              </w:rPr>
              <w:fldChar w:fldCharType="begin"/>
            </w:r>
            <w:r w:rsidR="00736DA9">
              <w:rPr>
                <w:noProof/>
                <w:webHidden/>
              </w:rPr>
              <w:instrText xml:space="preserve"> PAGEREF _Toc162267459 \h </w:instrText>
            </w:r>
            <w:r w:rsidR="00736DA9">
              <w:rPr>
                <w:noProof/>
                <w:webHidden/>
              </w:rPr>
            </w:r>
            <w:r w:rsidR="00736DA9">
              <w:rPr>
                <w:noProof/>
                <w:webHidden/>
              </w:rPr>
              <w:fldChar w:fldCharType="separate"/>
            </w:r>
            <w:r w:rsidR="00736DA9">
              <w:rPr>
                <w:noProof/>
                <w:webHidden/>
              </w:rPr>
              <w:t>301</w:t>
            </w:r>
            <w:r w:rsidR="00736DA9">
              <w:rPr>
                <w:noProof/>
                <w:webHidden/>
              </w:rPr>
              <w:fldChar w:fldCharType="end"/>
            </w:r>
          </w:hyperlink>
        </w:p>
        <w:p w14:paraId="538A0BC9" w14:textId="57552939" w:rsidR="00736DA9" w:rsidRDefault="00000000">
          <w:pPr>
            <w:pStyle w:val="TOC4"/>
            <w:tabs>
              <w:tab w:val="right" w:pos="9350"/>
            </w:tabs>
            <w:rPr>
              <w:rFonts w:eastAsiaTheme="minorEastAsia" w:cstheme="minorBidi"/>
              <w:noProof/>
              <w:sz w:val="24"/>
              <w:szCs w:val="24"/>
            </w:rPr>
          </w:pPr>
          <w:hyperlink w:anchor="_Toc162267460" w:history="1">
            <w:r w:rsidR="00736DA9" w:rsidRPr="004372B1">
              <w:rPr>
                <w:rStyle w:val="Hyperlink"/>
                <w:noProof/>
              </w:rPr>
              <w:t>Figure 9.2: Multiple Chronic Conditions, by Age Group.</w:t>
            </w:r>
            <w:r w:rsidR="00736DA9">
              <w:rPr>
                <w:noProof/>
                <w:webHidden/>
              </w:rPr>
              <w:tab/>
            </w:r>
            <w:r w:rsidR="00736DA9">
              <w:rPr>
                <w:noProof/>
                <w:webHidden/>
              </w:rPr>
              <w:fldChar w:fldCharType="begin"/>
            </w:r>
            <w:r w:rsidR="00736DA9">
              <w:rPr>
                <w:noProof/>
                <w:webHidden/>
              </w:rPr>
              <w:instrText xml:space="preserve"> PAGEREF _Toc162267460 \h </w:instrText>
            </w:r>
            <w:r w:rsidR="00736DA9">
              <w:rPr>
                <w:noProof/>
                <w:webHidden/>
              </w:rPr>
            </w:r>
            <w:r w:rsidR="00736DA9">
              <w:rPr>
                <w:noProof/>
                <w:webHidden/>
              </w:rPr>
              <w:fldChar w:fldCharType="separate"/>
            </w:r>
            <w:r w:rsidR="00736DA9">
              <w:rPr>
                <w:noProof/>
                <w:webHidden/>
              </w:rPr>
              <w:t>301</w:t>
            </w:r>
            <w:r w:rsidR="00736DA9">
              <w:rPr>
                <w:noProof/>
                <w:webHidden/>
              </w:rPr>
              <w:fldChar w:fldCharType="end"/>
            </w:r>
          </w:hyperlink>
        </w:p>
        <w:p w14:paraId="71F2F156" w14:textId="5686D79A" w:rsidR="00736DA9" w:rsidRDefault="00000000">
          <w:pPr>
            <w:pStyle w:val="TOC4"/>
            <w:tabs>
              <w:tab w:val="right" w:pos="9350"/>
            </w:tabs>
            <w:rPr>
              <w:rFonts w:eastAsiaTheme="minorEastAsia" w:cstheme="minorBidi"/>
              <w:noProof/>
              <w:sz w:val="24"/>
              <w:szCs w:val="24"/>
            </w:rPr>
          </w:pPr>
          <w:hyperlink w:anchor="_Toc162267461" w:history="1">
            <w:r w:rsidR="00736DA9" w:rsidRPr="004372B1">
              <w:rPr>
                <w:rStyle w:val="Hyperlink"/>
                <w:noProof/>
              </w:rPr>
              <w:t>Figure 9.3: Multiple Chronic Conditions, by Race/Ethnicity.</w:t>
            </w:r>
            <w:r w:rsidR="00736DA9">
              <w:rPr>
                <w:noProof/>
                <w:webHidden/>
              </w:rPr>
              <w:tab/>
            </w:r>
            <w:r w:rsidR="00736DA9">
              <w:rPr>
                <w:noProof/>
                <w:webHidden/>
              </w:rPr>
              <w:fldChar w:fldCharType="begin"/>
            </w:r>
            <w:r w:rsidR="00736DA9">
              <w:rPr>
                <w:noProof/>
                <w:webHidden/>
              </w:rPr>
              <w:instrText xml:space="preserve"> PAGEREF _Toc162267461 \h </w:instrText>
            </w:r>
            <w:r w:rsidR="00736DA9">
              <w:rPr>
                <w:noProof/>
                <w:webHidden/>
              </w:rPr>
            </w:r>
            <w:r w:rsidR="00736DA9">
              <w:rPr>
                <w:noProof/>
                <w:webHidden/>
              </w:rPr>
              <w:fldChar w:fldCharType="separate"/>
            </w:r>
            <w:r w:rsidR="00736DA9">
              <w:rPr>
                <w:noProof/>
                <w:webHidden/>
              </w:rPr>
              <w:t>301</w:t>
            </w:r>
            <w:r w:rsidR="00736DA9">
              <w:rPr>
                <w:noProof/>
                <w:webHidden/>
              </w:rPr>
              <w:fldChar w:fldCharType="end"/>
            </w:r>
          </w:hyperlink>
        </w:p>
        <w:p w14:paraId="10216FD9" w14:textId="6688E924" w:rsidR="00736DA9" w:rsidRDefault="00000000">
          <w:pPr>
            <w:pStyle w:val="TOC4"/>
            <w:tabs>
              <w:tab w:val="right" w:pos="9350"/>
            </w:tabs>
            <w:rPr>
              <w:rFonts w:eastAsiaTheme="minorEastAsia" w:cstheme="minorBidi"/>
              <w:noProof/>
              <w:sz w:val="24"/>
              <w:szCs w:val="24"/>
            </w:rPr>
          </w:pPr>
          <w:hyperlink w:anchor="_Toc162267462"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_Toc162267462 \h </w:instrText>
            </w:r>
            <w:r w:rsidR="00736DA9">
              <w:rPr>
                <w:noProof/>
                <w:webHidden/>
              </w:rPr>
            </w:r>
            <w:r w:rsidR="00736DA9">
              <w:rPr>
                <w:noProof/>
                <w:webHidden/>
              </w:rPr>
              <w:fldChar w:fldCharType="separate"/>
            </w:r>
            <w:r w:rsidR="00736DA9">
              <w:rPr>
                <w:noProof/>
                <w:webHidden/>
              </w:rPr>
              <w:t>302</w:t>
            </w:r>
            <w:r w:rsidR="00736DA9">
              <w:rPr>
                <w:noProof/>
                <w:webHidden/>
              </w:rPr>
              <w:fldChar w:fldCharType="end"/>
            </w:r>
          </w:hyperlink>
        </w:p>
        <w:p w14:paraId="6DCC9831" w14:textId="26B7019F" w:rsidR="00736DA9" w:rsidRDefault="00000000">
          <w:pPr>
            <w:pStyle w:val="TOC4"/>
            <w:tabs>
              <w:tab w:val="right" w:pos="9350"/>
            </w:tabs>
            <w:rPr>
              <w:rFonts w:eastAsiaTheme="minorEastAsia" w:cstheme="minorBidi"/>
              <w:noProof/>
              <w:sz w:val="24"/>
              <w:szCs w:val="24"/>
            </w:rPr>
          </w:pPr>
          <w:hyperlink w:anchor="_Toc162267463" w:history="1">
            <w:r w:rsidR="00736DA9" w:rsidRPr="004372B1">
              <w:rPr>
                <w:rStyle w:val="Hyperlink"/>
                <w:noProof/>
              </w:rPr>
              <w:t>References 9.2</w:t>
            </w:r>
            <w:r w:rsidR="00736DA9">
              <w:rPr>
                <w:noProof/>
                <w:webHidden/>
              </w:rPr>
              <w:tab/>
            </w:r>
            <w:r w:rsidR="00736DA9">
              <w:rPr>
                <w:noProof/>
                <w:webHidden/>
              </w:rPr>
              <w:fldChar w:fldCharType="begin"/>
            </w:r>
            <w:r w:rsidR="00736DA9">
              <w:rPr>
                <w:noProof/>
                <w:webHidden/>
              </w:rPr>
              <w:instrText xml:space="preserve"> PAGEREF _Toc162267463 \h </w:instrText>
            </w:r>
            <w:r w:rsidR="00736DA9">
              <w:rPr>
                <w:noProof/>
                <w:webHidden/>
              </w:rPr>
            </w:r>
            <w:r w:rsidR="00736DA9">
              <w:rPr>
                <w:noProof/>
                <w:webHidden/>
              </w:rPr>
              <w:fldChar w:fldCharType="separate"/>
            </w:r>
            <w:r w:rsidR="00736DA9">
              <w:rPr>
                <w:noProof/>
                <w:webHidden/>
              </w:rPr>
              <w:t>302</w:t>
            </w:r>
            <w:r w:rsidR="00736DA9">
              <w:rPr>
                <w:noProof/>
                <w:webHidden/>
              </w:rPr>
              <w:fldChar w:fldCharType="end"/>
            </w:r>
          </w:hyperlink>
        </w:p>
        <w:p w14:paraId="5CF79120" w14:textId="18755FD4" w:rsidR="00736DA9" w:rsidRDefault="00000000">
          <w:pPr>
            <w:pStyle w:val="TOC3"/>
            <w:tabs>
              <w:tab w:val="right" w:pos="9350"/>
            </w:tabs>
            <w:rPr>
              <w:rFonts w:eastAsiaTheme="minorEastAsia" w:cstheme="minorBidi"/>
              <w:noProof/>
              <w:sz w:val="24"/>
              <w:szCs w:val="24"/>
            </w:rPr>
          </w:pPr>
          <w:hyperlink w:anchor="_Toc162267464" w:history="1">
            <w:r w:rsidR="00736DA9" w:rsidRPr="004372B1">
              <w:rPr>
                <w:rStyle w:val="Hyperlink"/>
                <w:noProof/>
              </w:rPr>
              <w:t>Obesity</w:t>
            </w:r>
            <w:r w:rsidR="00736DA9">
              <w:rPr>
                <w:noProof/>
                <w:webHidden/>
              </w:rPr>
              <w:tab/>
            </w:r>
            <w:r w:rsidR="00736DA9">
              <w:rPr>
                <w:noProof/>
                <w:webHidden/>
              </w:rPr>
              <w:fldChar w:fldCharType="begin"/>
            </w:r>
            <w:r w:rsidR="00736DA9">
              <w:rPr>
                <w:noProof/>
                <w:webHidden/>
              </w:rPr>
              <w:instrText xml:space="preserve"> PAGEREF _Toc162267464 \h </w:instrText>
            </w:r>
            <w:r w:rsidR="00736DA9">
              <w:rPr>
                <w:noProof/>
                <w:webHidden/>
              </w:rPr>
            </w:r>
            <w:r w:rsidR="00736DA9">
              <w:rPr>
                <w:noProof/>
                <w:webHidden/>
              </w:rPr>
              <w:fldChar w:fldCharType="separate"/>
            </w:r>
            <w:r w:rsidR="00736DA9">
              <w:rPr>
                <w:noProof/>
                <w:webHidden/>
              </w:rPr>
              <w:t>302</w:t>
            </w:r>
            <w:r w:rsidR="00736DA9">
              <w:rPr>
                <w:noProof/>
                <w:webHidden/>
              </w:rPr>
              <w:fldChar w:fldCharType="end"/>
            </w:r>
          </w:hyperlink>
        </w:p>
        <w:p w14:paraId="20876619" w14:textId="271E49FD" w:rsidR="00736DA9" w:rsidRDefault="00000000">
          <w:pPr>
            <w:pStyle w:val="TOC4"/>
            <w:tabs>
              <w:tab w:val="right" w:pos="9350"/>
            </w:tabs>
            <w:rPr>
              <w:rFonts w:eastAsiaTheme="minorEastAsia" w:cstheme="minorBidi"/>
              <w:noProof/>
              <w:sz w:val="24"/>
              <w:szCs w:val="24"/>
            </w:rPr>
          </w:pPr>
          <w:hyperlink w:anchor="_Toc162267465" w:history="1">
            <w:r w:rsidR="00736DA9" w:rsidRPr="004372B1">
              <w:rPr>
                <w:rStyle w:val="Hyperlink"/>
                <w:noProof/>
              </w:rPr>
              <w:t>Figure 9.4: Adults Who Are Obese.</w:t>
            </w:r>
            <w:r w:rsidR="00736DA9">
              <w:rPr>
                <w:noProof/>
                <w:webHidden/>
              </w:rPr>
              <w:tab/>
            </w:r>
            <w:r w:rsidR="00736DA9">
              <w:rPr>
                <w:noProof/>
                <w:webHidden/>
              </w:rPr>
              <w:fldChar w:fldCharType="begin"/>
            </w:r>
            <w:r w:rsidR="00736DA9">
              <w:rPr>
                <w:noProof/>
                <w:webHidden/>
              </w:rPr>
              <w:instrText xml:space="preserve"> PAGEREF _Toc162267465 \h </w:instrText>
            </w:r>
            <w:r w:rsidR="00736DA9">
              <w:rPr>
                <w:noProof/>
                <w:webHidden/>
              </w:rPr>
            </w:r>
            <w:r w:rsidR="00736DA9">
              <w:rPr>
                <w:noProof/>
                <w:webHidden/>
              </w:rPr>
              <w:fldChar w:fldCharType="separate"/>
            </w:r>
            <w:r w:rsidR="00736DA9">
              <w:rPr>
                <w:noProof/>
                <w:webHidden/>
              </w:rPr>
              <w:t>303</w:t>
            </w:r>
            <w:r w:rsidR="00736DA9">
              <w:rPr>
                <w:noProof/>
                <w:webHidden/>
              </w:rPr>
              <w:fldChar w:fldCharType="end"/>
            </w:r>
          </w:hyperlink>
        </w:p>
        <w:p w14:paraId="05648F06" w14:textId="6BC05C82" w:rsidR="00736DA9" w:rsidRDefault="00000000">
          <w:pPr>
            <w:pStyle w:val="TOC4"/>
            <w:tabs>
              <w:tab w:val="right" w:pos="9350"/>
            </w:tabs>
            <w:rPr>
              <w:rFonts w:eastAsiaTheme="minorEastAsia" w:cstheme="minorBidi"/>
              <w:noProof/>
              <w:sz w:val="24"/>
              <w:szCs w:val="24"/>
            </w:rPr>
          </w:pPr>
          <w:hyperlink w:anchor="_Toc162267466" w:history="1">
            <w:r w:rsidR="00736DA9" w:rsidRPr="004372B1">
              <w:rPr>
                <w:rStyle w:val="Hyperlink"/>
                <w:noProof/>
              </w:rPr>
              <w:t>Figure 9.5: Adults Who Are Obese, by Race/Ethnicity and Sex.</w:t>
            </w:r>
            <w:r w:rsidR="00736DA9">
              <w:rPr>
                <w:noProof/>
                <w:webHidden/>
              </w:rPr>
              <w:tab/>
            </w:r>
            <w:r w:rsidR="00736DA9">
              <w:rPr>
                <w:noProof/>
                <w:webHidden/>
              </w:rPr>
              <w:fldChar w:fldCharType="begin"/>
            </w:r>
            <w:r w:rsidR="00736DA9">
              <w:rPr>
                <w:noProof/>
                <w:webHidden/>
              </w:rPr>
              <w:instrText xml:space="preserve"> PAGEREF _Toc162267466 \h </w:instrText>
            </w:r>
            <w:r w:rsidR="00736DA9">
              <w:rPr>
                <w:noProof/>
                <w:webHidden/>
              </w:rPr>
            </w:r>
            <w:r w:rsidR="00736DA9">
              <w:rPr>
                <w:noProof/>
                <w:webHidden/>
              </w:rPr>
              <w:fldChar w:fldCharType="separate"/>
            </w:r>
            <w:r w:rsidR="00736DA9">
              <w:rPr>
                <w:noProof/>
                <w:webHidden/>
              </w:rPr>
              <w:t>303</w:t>
            </w:r>
            <w:r w:rsidR="00736DA9">
              <w:rPr>
                <w:noProof/>
                <w:webHidden/>
              </w:rPr>
              <w:fldChar w:fldCharType="end"/>
            </w:r>
          </w:hyperlink>
        </w:p>
        <w:p w14:paraId="7DCF86A8" w14:textId="28B9B785" w:rsidR="00736DA9" w:rsidRDefault="00000000">
          <w:pPr>
            <w:pStyle w:val="TOC4"/>
            <w:tabs>
              <w:tab w:val="right" w:pos="9350"/>
            </w:tabs>
            <w:rPr>
              <w:rFonts w:eastAsiaTheme="minorEastAsia" w:cstheme="minorBidi"/>
              <w:noProof/>
              <w:sz w:val="24"/>
              <w:szCs w:val="24"/>
            </w:rPr>
          </w:pPr>
          <w:hyperlink w:anchor="_Toc162267467" w:history="1">
            <w:r w:rsidR="00736DA9" w:rsidRPr="004372B1">
              <w:rPr>
                <w:rStyle w:val="Hyperlink"/>
                <w:noProof/>
              </w:rPr>
              <w:t>Figure 9.6: Adults Who Are Obese, by Income.</w:t>
            </w:r>
            <w:r w:rsidR="00736DA9">
              <w:rPr>
                <w:noProof/>
                <w:webHidden/>
              </w:rPr>
              <w:tab/>
            </w:r>
            <w:r w:rsidR="00736DA9">
              <w:rPr>
                <w:noProof/>
                <w:webHidden/>
              </w:rPr>
              <w:fldChar w:fldCharType="begin"/>
            </w:r>
            <w:r w:rsidR="00736DA9">
              <w:rPr>
                <w:noProof/>
                <w:webHidden/>
              </w:rPr>
              <w:instrText xml:space="preserve"> PAGEREF _Toc162267467 \h </w:instrText>
            </w:r>
            <w:r w:rsidR="00736DA9">
              <w:rPr>
                <w:noProof/>
                <w:webHidden/>
              </w:rPr>
            </w:r>
            <w:r w:rsidR="00736DA9">
              <w:rPr>
                <w:noProof/>
                <w:webHidden/>
              </w:rPr>
              <w:fldChar w:fldCharType="separate"/>
            </w:r>
            <w:r w:rsidR="00736DA9">
              <w:rPr>
                <w:noProof/>
                <w:webHidden/>
              </w:rPr>
              <w:t>304</w:t>
            </w:r>
            <w:r w:rsidR="00736DA9">
              <w:rPr>
                <w:noProof/>
                <w:webHidden/>
              </w:rPr>
              <w:fldChar w:fldCharType="end"/>
            </w:r>
          </w:hyperlink>
        </w:p>
        <w:p w14:paraId="1D6DE50D" w14:textId="2BC7CF48" w:rsidR="00736DA9" w:rsidRDefault="00000000">
          <w:pPr>
            <w:pStyle w:val="TOC4"/>
            <w:tabs>
              <w:tab w:val="right" w:pos="9350"/>
            </w:tabs>
            <w:rPr>
              <w:rFonts w:eastAsiaTheme="minorEastAsia" w:cstheme="minorBidi"/>
              <w:noProof/>
              <w:sz w:val="24"/>
              <w:szCs w:val="24"/>
            </w:rPr>
          </w:pPr>
          <w:hyperlink w:anchor="_Toc162267468"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_Toc162267468 \h </w:instrText>
            </w:r>
            <w:r w:rsidR="00736DA9">
              <w:rPr>
                <w:noProof/>
                <w:webHidden/>
              </w:rPr>
            </w:r>
            <w:r w:rsidR="00736DA9">
              <w:rPr>
                <w:noProof/>
                <w:webHidden/>
              </w:rPr>
              <w:fldChar w:fldCharType="separate"/>
            </w:r>
            <w:r w:rsidR="00736DA9">
              <w:rPr>
                <w:noProof/>
                <w:webHidden/>
              </w:rPr>
              <w:t>304</w:t>
            </w:r>
            <w:r w:rsidR="00736DA9">
              <w:rPr>
                <w:noProof/>
                <w:webHidden/>
              </w:rPr>
              <w:fldChar w:fldCharType="end"/>
            </w:r>
          </w:hyperlink>
        </w:p>
        <w:p w14:paraId="1BF8ED88" w14:textId="20FBEAEE" w:rsidR="00736DA9" w:rsidRDefault="00000000">
          <w:pPr>
            <w:pStyle w:val="TOC4"/>
            <w:tabs>
              <w:tab w:val="right" w:pos="9350"/>
            </w:tabs>
            <w:rPr>
              <w:rFonts w:eastAsiaTheme="minorEastAsia" w:cstheme="minorBidi"/>
              <w:noProof/>
              <w:sz w:val="24"/>
              <w:szCs w:val="24"/>
            </w:rPr>
          </w:pPr>
          <w:hyperlink w:anchor="_Toc162267469" w:history="1">
            <w:r w:rsidR="00736DA9" w:rsidRPr="004372B1">
              <w:rPr>
                <w:rStyle w:val="Hyperlink"/>
                <w:noProof/>
              </w:rPr>
              <w:t>References 9.3</w:t>
            </w:r>
            <w:r w:rsidR="00736DA9">
              <w:rPr>
                <w:noProof/>
                <w:webHidden/>
              </w:rPr>
              <w:tab/>
            </w:r>
            <w:r w:rsidR="00736DA9">
              <w:rPr>
                <w:noProof/>
                <w:webHidden/>
              </w:rPr>
              <w:fldChar w:fldCharType="begin"/>
            </w:r>
            <w:r w:rsidR="00736DA9">
              <w:rPr>
                <w:noProof/>
                <w:webHidden/>
              </w:rPr>
              <w:instrText xml:space="preserve"> PAGEREF _Toc162267469 \h </w:instrText>
            </w:r>
            <w:r w:rsidR="00736DA9">
              <w:rPr>
                <w:noProof/>
                <w:webHidden/>
              </w:rPr>
            </w:r>
            <w:r w:rsidR="00736DA9">
              <w:rPr>
                <w:noProof/>
                <w:webHidden/>
              </w:rPr>
              <w:fldChar w:fldCharType="separate"/>
            </w:r>
            <w:r w:rsidR="00736DA9">
              <w:rPr>
                <w:noProof/>
                <w:webHidden/>
              </w:rPr>
              <w:t>304</w:t>
            </w:r>
            <w:r w:rsidR="00736DA9">
              <w:rPr>
                <w:noProof/>
                <w:webHidden/>
              </w:rPr>
              <w:fldChar w:fldCharType="end"/>
            </w:r>
          </w:hyperlink>
        </w:p>
        <w:p w14:paraId="37BD2AA9" w14:textId="212F0390" w:rsidR="00736DA9" w:rsidRDefault="00000000">
          <w:pPr>
            <w:pStyle w:val="TOC3"/>
            <w:tabs>
              <w:tab w:val="right" w:pos="9350"/>
            </w:tabs>
            <w:rPr>
              <w:rFonts w:eastAsiaTheme="minorEastAsia" w:cstheme="minorBidi"/>
              <w:noProof/>
              <w:sz w:val="24"/>
              <w:szCs w:val="24"/>
            </w:rPr>
          </w:pPr>
          <w:hyperlink w:anchor="_Toc162267470" w:history="1">
            <w:r w:rsidR="00736DA9" w:rsidRPr="004372B1">
              <w:rPr>
                <w:rStyle w:val="Hyperlink"/>
                <w:noProof/>
              </w:rPr>
              <w:t>Cholesterol</w:t>
            </w:r>
            <w:r w:rsidR="00736DA9">
              <w:rPr>
                <w:noProof/>
                <w:webHidden/>
              </w:rPr>
              <w:tab/>
            </w:r>
            <w:r w:rsidR="00736DA9">
              <w:rPr>
                <w:noProof/>
                <w:webHidden/>
              </w:rPr>
              <w:fldChar w:fldCharType="begin"/>
            </w:r>
            <w:r w:rsidR="00736DA9">
              <w:rPr>
                <w:noProof/>
                <w:webHidden/>
              </w:rPr>
              <w:instrText xml:space="preserve"> PAGEREF _Toc162267470 \h </w:instrText>
            </w:r>
            <w:r w:rsidR="00736DA9">
              <w:rPr>
                <w:noProof/>
                <w:webHidden/>
              </w:rPr>
            </w:r>
            <w:r w:rsidR="00736DA9">
              <w:rPr>
                <w:noProof/>
                <w:webHidden/>
              </w:rPr>
              <w:fldChar w:fldCharType="separate"/>
            </w:r>
            <w:r w:rsidR="00736DA9">
              <w:rPr>
                <w:noProof/>
                <w:webHidden/>
              </w:rPr>
              <w:t>305</w:t>
            </w:r>
            <w:r w:rsidR="00736DA9">
              <w:rPr>
                <w:noProof/>
                <w:webHidden/>
              </w:rPr>
              <w:fldChar w:fldCharType="end"/>
            </w:r>
          </w:hyperlink>
        </w:p>
        <w:p w14:paraId="6F1A6E55" w14:textId="52D13622" w:rsidR="00736DA9" w:rsidRDefault="00000000">
          <w:pPr>
            <w:pStyle w:val="TOC4"/>
            <w:tabs>
              <w:tab w:val="right" w:pos="9350"/>
            </w:tabs>
            <w:rPr>
              <w:rFonts w:eastAsiaTheme="minorEastAsia" w:cstheme="minorBidi"/>
              <w:noProof/>
              <w:sz w:val="24"/>
              <w:szCs w:val="24"/>
            </w:rPr>
          </w:pPr>
          <w:hyperlink w:anchor="_Toc162267471" w:history="1">
            <w:r w:rsidR="00736DA9" w:rsidRPr="004372B1">
              <w:rPr>
                <w:rStyle w:val="Hyperlink"/>
                <w:noProof/>
              </w:rPr>
              <w:t>Figure 9.7: Adults with High Cholesterol, by Age Group.</w:t>
            </w:r>
            <w:r w:rsidR="00736DA9">
              <w:rPr>
                <w:noProof/>
                <w:webHidden/>
              </w:rPr>
              <w:tab/>
            </w:r>
            <w:r w:rsidR="00736DA9">
              <w:rPr>
                <w:noProof/>
                <w:webHidden/>
              </w:rPr>
              <w:fldChar w:fldCharType="begin"/>
            </w:r>
            <w:r w:rsidR="00736DA9">
              <w:rPr>
                <w:noProof/>
                <w:webHidden/>
              </w:rPr>
              <w:instrText xml:space="preserve"> PAGEREF _Toc162267471 \h </w:instrText>
            </w:r>
            <w:r w:rsidR="00736DA9">
              <w:rPr>
                <w:noProof/>
                <w:webHidden/>
              </w:rPr>
            </w:r>
            <w:r w:rsidR="00736DA9">
              <w:rPr>
                <w:noProof/>
                <w:webHidden/>
              </w:rPr>
              <w:fldChar w:fldCharType="separate"/>
            </w:r>
            <w:r w:rsidR="00736DA9">
              <w:rPr>
                <w:noProof/>
                <w:webHidden/>
              </w:rPr>
              <w:t>305</w:t>
            </w:r>
            <w:r w:rsidR="00736DA9">
              <w:rPr>
                <w:noProof/>
                <w:webHidden/>
              </w:rPr>
              <w:fldChar w:fldCharType="end"/>
            </w:r>
          </w:hyperlink>
        </w:p>
        <w:p w14:paraId="6407A405" w14:textId="321B3881" w:rsidR="00736DA9" w:rsidRDefault="00000000">
          <w:pPr>
            <w:pStyle w:val="TOC4"/>
            <w:tabs>
              <w:tab w:val="right" w:pos="9350"/>
            </w:tabs>
            <w:rPr>
              <w:rFonts w:eastAsiaTheme="minorEastAsia" w:cstheme="minorBidi"/>
              <w:noProof/>
              <w:sz w:val="24"/>
              <w:szCs w:val="24"/>
            </w:rPr>
          </w:pPr>
          <w:hyperlink w:anchor="_Toc162267472" w:history="1">
            <w:r w:rsidR="00736DA9" w:rsidRPr="004372B1">
              <w:rPr>
                <w:rStyle w:val="Hyperlink"/>
                <w:noProof/>
              </w:rPr>
              <w:t>Figure 9.8: Adults with High Cholesterol, by Race/Ethnicity.</w:t>
            </w:r>
            <w:r w:rsidR="00736DA9">
              <w:rPr>
                <w:noProof/>
                <w:webHidden/>
              </w:rPr>
              <w:tab/>
            </w:r>
            <w:r w:rsidR="00736DA9">
              <w:rPr>
                <w:noProof/>
                <w:webHidden/>
              </w:rPr>
              <w:fldChar w:fldCharType="begin"/>
            </w:r>
            <w:r w:rsidR="00736DA9">
              <w:rPr>
                <w:noProof/>
                <w:webHidden/>
              </w:rPr>
              <w:instrText xml:space="preserve"> PAGEREF _Toc162267472 \h </w:instrText>
            </w:r>
            <w:r w:rsidR="00736DA9">
              <w:rPr>
                <w:noProof/>
                <w:webHidden/>
              </w:rPr>
            </w:r>
            <w:r w:rsidR="00736DA9">
              <w:rPr>
                <w:noProof/>
                <w:webHidden/>
              </w:rPr>
              <w:fldChar w:fldCharType="separate"/>
            </w:r>
            <w:r w:rsidR="00736DA9">
              <w:rPr>
                <w:noProof/>
                <w:webHidden/>
              </w:rPr>
              <w:t>305</w:t>
            </w:r>
            <w:r w:rsidR="00736DA9">
              <w:rPr>
                <w:noProof/>
                <w:webHidden/>
              </w:rPr>
              <w:fldChar w:fldCharType="end"/>
            </w:r>
          </w:hyperlink>
        </w:p>
        <w:p w14:paraId="142C384C" w14:textId="0A437FED" w:rsidR="00736DA9" w:rsidRDefault="00000000">
          <w:pPr>
            <w:pStyle w:val="TOC4"/>
            <w:tabs>
              <w:tab w:val="right" w:pos="9350"/>
            </w:tabs>
            <w:rPr>
              <w:rFonts w:eastAsiaTheme="minorEastAsia" w:cstheme="minorBidi"/>
              <w:noProof/>
              <w:sz w:val="24"/>
              <w:szCs w:val="24"/>
            </w:rPr>
          </w:pPr>
          <w:hyperlink w:anchor="_Toc162267473"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_Toc162267473 \h </w:instrText>
            </w:r>
            <w:r w:rsidR="00736DA9">
              <w:rPr>
                <w:noProof/>
                <w:webHidden/>
              </w:rPr>
            </w:r>
            <w:r w:rsidR="00736DA9">
              <w:rPr>
                <w:noProof/>
                <w:webHidden/>
              </w:rPr>
              <w:fldChar w:fldCharType="separate"/>
            </w:r>
            <w:r w:rsidR="00736DA9">
              <w:rPr>
                <w:noProof/>
                <w:webHidden/>
              </w:rPr>
              <w:t>306</w:t>
            </w:r>
            <w:r w:rsidR="00736DA9">
              <w:rPr>
                <w:noProof/>
                <w:webHidden/>
              </w:rPr>
              <w:fldChar w:fldCharType="end"/>
            </w:r>
          </w:hyperlink>
        </w:p>
        <w:p w14:paraId="7F788556" w14:textId="1723AEED" w:rsidR="00736DA9" w:rsidRDefault="00000000">
          <w:pPr>
            <w:pStyle w:val="TOC4"/>
            <w:tabs>
              <w:tab w:val="right" w:pos="9350"/>
            </w:tabs>
            <w:rPr>
              <w:rFonts w:eastAsiaTheme="minorEastAsia" w:cstheme="minorBidi"/>
              <w:noProof/>
              <w:sz w:val="24"/>
              <w:szCs w:val="24"/>
            </w:rPr>
          </w:pPr>
          <w:hyperlink w:anchor="_Toc162267474" w:history="1">
            <w:r w:rsidR="00736DA9" w:rsidRPr="004372B1">
              <w:rPr>
                <w:rStyle w:val="Hyperlink"/>
                <w:noProof/>
              </w:rPr>
              <w:t>References 9.4</w:t>
            </w:r>
            <w:r w:rsidR="00736DA9">
              <w:rPr>
                <w:noProof/>
                <w:webHidden/>
              </w:rPr>
              <w:tab/>
            </w:r>
            <w:r w:rsidR="00736DA9">
              <w:rPr>
                <w:noProof/>
                <w:webHidden/>
              </w:rPr>
              <w:fldChar w:fldCharType="begin"/>
            </w:r>
            <w:r w:rsidR="00736DA9">
              <w:rPr>
                <w:noProof/>
                <w:webHidden/>
              </w:rPr>
              <w:instrText xml:space="preserve"> PAGEREF _Toc162267474 \h </w:instrText>
            </w:r>
            <w:r w:rsidR="00736DA9">
              <w:rPr>
                <w:noProof/>
                <w:webHidden/>
              </w:rPr>
            </w:r>
            <w:r w:rsidR="00736DA9">
              <w:rPr>
                <w:noProof/>
                <w:webHidden/>
              </w:rPr>
              <w:fldChar w:fldCharType="separate"/>
            </w:r>
            <w:r w:rsidR="00736DA9">
              <w:rPr>
                <w:noProof/>
                <w:webHidden/>
              </w:rPr>
              <w:t>306</w:t>
            </w:r>
            <w:r w:rsidR="00736DA9">
              <w:rPr>
                <w:noProof/>
                <w:webHidden/>
              </w:rPr>
              <w:fldChar w:fldCharType="end"/>
            </w:r>
          </w:hyperlink>
        </w:p>
        <w:p w14:paraId="4DA02A41" w14:textId="609CAB60" w:rsidR="00736DA9" w:rsidRDefault="00000000">
          <w:pPr>
            <w:pStyle w:val="TOC3"/>
            <w:tabs>
              <w:tab w:val="right" w:pos="9350"/>
            </w:tabs>
            <w:rPr>
              <w:rFonts w:eastAsiaTheme="minorEastAsia" w:cstheme="minorBidi"/>
              <w:noProof/>
              <w:sz w:val="24"/>
              <w:szCs w:val="24"/>
            </w:rPr>
          </w:pPr>
          <w:hyperlink w:anchor="_Toc162267475" w:history="1">
            <w:r w:rsidR="00736DA9" w:rsidRPr="004372B1">
              <w:rPr>
                <w:rStyle w:val="Hyperlink"/>
                <w:noProof/>
              </w:rPr>
              <w:t>Hypertension</w:t>
            </w:r>
            <w:r w:rsidR="00736DA9">
              <w:rPr>
                <w:noProof/>
                <w:webHidden/>
              </w:rPr>
              <w:tab/>
            </w:r>
            <w:r w:rsidR="00736DA9">
              <w:rPr>
                <w:noProof/>
                <w:webHidden/>
              </w:rPr>
              <w:fldChar w:fldCharType="begin"/>
            </w:r>
            <w:r w:rsidR="00736DA9">
              <w:rPr>
                <w:noProof/>
                <w:webHidden/>
              </w:rPr>
              <w:instrText xml:space="preserve"> PAGEREF _Toc162267475 \h </w:instrText>
            </w:r>
            <w:r w:rsidR="00736DA9">
              <w:rPr>
                <w:noProof/>
                <w:webHidden/>
              </w:rPr>
            </w:r>
            <w:r w:rsidR="00736DA9">
              <w:rPr>
                <w:noProof/>
                <w:webHidden/>
              </w:rPr>
              <w:fldChar w:fldCharType="separate"/>
            </w:r>
            <w:r w:rsidR="00736DA9">
              <w:rPr>
                <w:noProof/>
                <w:webHidden/>
              </w:rPr>
              <w:t>307</w:t>
            </w:r>
            <w:r w:rsidR="00736DA9">
              <w:rPr>
                <w:noProof/>
                <w:webHidden/>
              </w:rPr>
              <w:fldChar w:fldCharType="end"/>
            </w:r>
          </w:hyperlink>
        </w:p>
        <w:p w14:paraId="1481DCC1" w14:textId="1DB090E9" w:rsidR="00736DA9" w:rsidRDefault="00000000">
          <w:pPr>
            <w:pStyle w:val="TOC4"/>
            <w:tabs>
              <w:tab w:val="right" w:pos="9350"/>
            </w:tabs>
            <w:rPr>
              <w:rFonts w:eastAsiaTheme="minorEastAsia" w:cstheme="minorBidi"/>
              <w:noProof/>
              <w:sz w:val="24"/>
              <w:szCs w:val="24"/>
            </w:rPr>
          </w:pPr>
          <w:hyperlink w:anchor="_Toc162267476" w:history="1">
            <w:r w:rsidR="00736DA9" w:rsidRPr="004372B1">
              <w:rPr>
                <w:rStyle w:val="Hyperlink"/>
                <w:noProof/>
              </w:rPr>
              <w:t>Figure 9.9: Adults with High Blood Pressure.</w:t>
            </w:r>
            <w:r w:rsidR="00736DA9">
              <w:rPr>
                <w:noProof/>
                <w:webHidden/>
              </w:rPr>
              <w:tab/>
            </w:r>
            <w:r w:rsidR="00736DA9">
              <w:rPr>
                <w:noProof/>
                <w:webHidden/>
              </w:rPr>
              <w:fldChar w:fldCharType="begin"/>
            </w:r>
            <w:r w:rsidR="00736DA9">
              <w:rPr>
                <w:noProof/>
                <w:webHidden/>
              </w:rPr>
              <w:instrText xml:space="preserve"> PAGEREF _Toc162267476 \h </w:instrText>
            </w:r>
            <w:r w:rsidR="00736DA9">
              <w:rPr>
                <w:noProof/>
                <w:webHidden/>
              </w:rPr>
            </w:r>
            <w:r w:rsidR="00736DA9">
              <w:rPr>
                <w:noProof/>
                <w:webHidden/>
              </w:rPr>
              <w:fldChar w:fldCharType="separate"/>
            </w:r>
            <w:r w:rsidR="00736DA9">
              <w:rPr>
                <w:noProof/>
                <w:webHidden/>
              </w:rPr>
              <w:t>307</w:t>
            </w:r>
            <w:r w:rsidR="00736DA9">
              <w:rPr>
                <w:noProof/>
                <w:webHidden/>
              </w:rPr>
              <w:fldChar w:fldCharType="end"/>
            </w:r>
          </w:hyperlink>
        </w:p>
        <w:p w14:paraId="54FE831F" w14:textId="41E000E6" w:rsidR="00736DA9" w:rsidRDefault="00000000">
          <w:pPr>
            <w:pStyle w:val="TOC4"/>
            <w:tabs>
              <w:tab w:val="right" w:pos="9350"/>
            </w:tabs>
            <w:rPr>
              <w:rFonts w:eastAsiaTheme="minorEastAsia" w:cstheme="minorBidi"/>
              <w:noProof/>
              <w:sz w:val="24"/>
              <w:szCs w:val="24"/>
            </w:rPr>
          </w:pPr>
          <w:hyperlink w:anchor="_Toc162267477" w:history="1">
            <w:r w:rsidR="00736DA9" w:rsidRPr="004372B1">
              <w:rPr>
                <w:rStyle w:val="Hyperlink"/>
                <w:noProof/>
              </w:rPr>
              <w:t>Figure 9.10: Prevalence of Hypertension among Adults, by County.</w:t>
            </w:r>
            <w:r w:rsidR="00736DA9">
              <w:rPr>
                <w:noProof/>
                <w:webHidden/>
              </w:rPr>
              <w:tab/>
            </w:r>
            <w:r w:rsidR="00736DA9">
              <w:rPr>
                <w:noProof/>
                <w:webHidden/>
              </w:rPr>
              <w:fldChar w:fldCharType="begin"/>
            </w:r>
            <w:r w:rsidR="00736DA9">
              <w:rPr>
                <w:noProof/>
                <w:webHidden/>
              </w:rPr>
              <w:instrText xml:space="preserve"> PAGEREF _Toc162267477 \h </w:instrText>
            </w:r>
            <w:r w:rsidR="00736DA9">
              <w:rPr>
                <w:noProof/>
                <w:webHidden/>
              </w:rPr>
            </w:r>
            <w:r w:rsidR="00736DA9">
              <w:rPr>
                <w:noProof/>
                <w:webHidden/>
              </w:rPr>
              <w:fldChar w:fldCharType="separate"/>
            </w:r>
            <w:r w:rsidR="00736DA9">
              <w:rPr>
                <w:noProof/>
                <w:webHidden/>
              </w:rPr>
              <w:t>307</w:t>
            </w:r>
            <w:r w:rsidR="00736DA9">
              <w:rPr>
                <w:noProof/>
                <w:webHidden/>
              </w:rPr>
              <w:fldChar w:fldCharType="end"/>
            </w:r>
          </w:hyperlink>
        </w:p>
        <w:p w14:paraId="42F92024" w14:textId="5CE6967C" w:rsidR="00736DA9" w:rsidRDefault="00000000">
          <w:pPr>
            <w:pStyle w:val="TOC4"/>
            <w:tabs>
              <w:tab w:val="right" w:pos="9350"/>
            </w:tabs>
            <w:rPr>
              <w:rFonts w:eastAsiaTheme="minorEastAsia" w:cstheme="minorBidi"/>
              <w:noProof/>
              <w:sz w:val="24"/>
              <w:szCs w:val="24"/>
            </w:rPr>
          </w:pPr>
          <w:hyperlink w:anchor="_Toc162267478"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_Toc162267478 \h </w:instrText>
            </w:r>
            <w:r w:rsidR="00736DA9">
              <w:rPr>
                <w:noProof/>
                <w:webHidden/>
              </w:rPr>
            </w:r>
            <w:r w:rsidR="00736DA9">
              <w:rPr>
                <w:noProof/>
                <w:webHidden/>
              </w:rPr>
              <w:fldChar w:fldCharType="separate"/>
            </w:r>
            <w:r w:rsidR="00736DA9">
              <w:rPr>
                <w:noProof/>
                <w:webHidden/>
              </w:rPr>
              <w:t>309</w:t>
            </w:r>
            <w:r w:rsidR="00736DA9">
              <w:rPr>
                <w:noProof/>
                <w:webHidden/>
              </w:rPr>
              <w:fldChar w:fldCharType="end"/>
            </w:r>
          </w:hyperlink>
        </w:p>
        <w:p w14:paraId="6A52E3C9" w14:textId="301A9E9F" w:rsidR="00736DA9" w:rsidRDefault="00000000">
          <w:pPr>
            <w:pStyle w:val="TOC4"/>
            <w:tabs>
              <w:tab w:val="right" w:pos="9350"/>
            </w:tabs>
            <w:rPr>
              <w:rFonts w:eastAsiaTheme="minorEastAsia" w:cstheme="minorBidi"/>
              <w:noProof/>
              <w:sz w:val="24"/>
              <w:szCs w:val="24"/>
            </w:rPr>
          </w:pPr>
          <w:hyperlink w:anchor="_Toc162267479" w:history="1">
            <w:r w:rsidR="00736DA9" w:rsidRPr="004372B1">
              <w:rPr>
                <w:rStyle w:val="Hyperlink"/>
                <w:noProof/>
              </w:rPr>
              <w:t>References 9.5</w:t>
            </w:r>
            <w:r w:rsidR="00736DA9">
              <w:rPr>
                <w:noProof/>
                <w:webHidden/>
              </w:rPr>
              <w:tab/>
            </w:r>
            <w:r w:rsidR="00736DA9">
              <w:rPr>
                <w:noProof/>
                <w:webHidden/>
              </w:rPr>
              <w:fldChar w:fldCharType="begin"/>
            </w:r>
            <w:r w:rsidR="00736DA9">
              <w:rPr>
                <w:noProof/>
                <w:webHidden/>
              </w:rPr>
              <w:instrText xml:space="preserve"> PAGEREF _Toc162267479 \h </w:instrText>
            </w:r>
            <w:r w:rsidR="00736DA9">
              <w:rPr>
                <w:noProof/>
                <w:webHidden/>
              </w:rPr>
            </w:r>
            <w:r w:rsidR="00736DA9">
              <w:rPr>
                <w:noProof/>
                <w:webHidden/>
              </w:rPr>
              <w:fldChar w:fldCharType="separate"/>
            </w:r>
            <w:r w:rsidR="00736DA9">
              <w:rPr>
                <w:noProof/>
                <w:webHidden/>
              </w:rPr>
              <w:t>309</w:t>
            </w:r>
            <w:r w:rsidR="00736DA9">
              <w:rPr>
                <w:noProof/>
                <w:webHidden/>
              </w:rPr>
              <w:fldChar w:fldCharType="end"/>
            </w:r>
          </w:hyperlink>
        </w:p>
        <w:p w14:paraId="08F986A4" w14:textId="6962F44E" w:rsidR="00736DA9" w:rsidRDefault="00000000">
          <w:pPr>
            <w:pStyle w:val="TOC3"/>
            <w:tabs>
              <w:tab w:val="right" w:pos="9350"/>
            </w:tabs>
            <w:rPr>
              <w:rFonts w:eastAsiaTheme="minorEastAsia" w:cstheme="minorBidi"/>
              <w:noProof/>
              <w:sz w:val="24"/>
              <w:szCs w:val="24"/>
            </w:rPr>
          </w:pPr>
          <w:hyperlink w:anchor="_Toc162267480" w:history="1">
            <w:r w:rsidR="00736DA9" w:rsidRPr="004372B1">
              <w:rPr>
                <w:rStyle w:val="Hyperlink"/>
                <w:noProof/>
              </w:rPr>
              <w:t>Heart Disease</w:t>
            </w:r>
            <w:r w:rsidR="00736DA9">
              <w:rPr>
                <w:noProof/>
                <w:webHidden/>
              </w:rPr>
              <w:tab/>
            </w:r>
            <w:r w:rsidR="00736DA9">
              <w:rPr>
                <w:noProof/>
                <w:webHidden/>
              </w:rPr>
              <w:fldChar w:fldCharType="begin"/>
            </w:r>
            <w:r w:rsidR="00736DA9">
              <w:rPr>
                <w:noProof/>
                <w:webHidden/>
              </w:rPr>
              <w:instrText xml:space="preserve"> PAGEREF _Toc162267480 \h </w:instrText>
            </w:r>
            <w:r w:rsidR="00736DA9">
              <w:rPr>
                <w:noProof/>
                <w:webHidden/>
              </w:rPr>
            </w:r>
            <w:r w:rsidR="00736DA9">
              <w:rPr>
                <w:noProof/>
                <w:webHidden/>
              </w:rPr>
              <w:fldChar w:fldCharType="separate"/>
            </w:r>
            <w:r w:rsidR="00736DA9">
              <w:rPr>
                <w:noProof/>
                <w:webHidden/>
              </w:rPr>
              <w:t>310</w:t>
            </w:r>
            <w:r w:rsidR="00736DA9">
              <w:rPr>
                <w:noProof/>
                <w:webHidden/>
              </w:rPr>
              <w:fldChar w:fldCharType="end"/>
            </w:r>
          </w:hyperlink>
        </w:p>
        <w:p w14:paraId="67AEF547" w14:textId="1398A1D7" w:rsidR="00736DA9" w:rsidRDefault="00000000">
          <w:pPr>
            <w:pStyle w:val="TOC4"/>
            <w:tabs>
              <w:tab w:val="right" w:pos="9350"/>
            </w:tabs>
            <w:rPr>
              <w:rFonts w:eastAsiaTheme="minorEastAsia" w:cstheme="minorBidi"/>
              <w:noProof/>
              <w:sz w:val="24"/>
              <w:szCs w:val="24"/>
            </w:rPr>
          </w:pPr>
          <w:hyperlink w:anchor="_Toc162267481" w:history="1">
            <w:r w:rsidR="00736DA9" w:rsidRPr="004372B1">
              <w:rPr>
                <w:rStyle w:val="Hyperlink"/>
                <w:noProof/>
              </w:rPr>
              <w:t>Figure 9.11: Coronary Heart Disease Deaths.</w:t>
            </w:r>
            <w:r w:rsidR="00736DA9">
              <w:rPr>
                <w:noProof/>
                <w:webHidden/>
              </w:rPr>
              <w:tab/>
            </w:r>
            <w:r w:rsidR="00736DA9">
              <w:rPr>
                <w:noProof/>
                <w:webHidden/>
              </w:rPr>
              <w:fldChar w:fldCharType="begin"/>
            </w:r>
            <w:r w:rsidR="00736DA9">
              <w:rPr>
                <w:noProof/>
                <w:webHidden/>
              </w:rPr>
              <w:instrText xml:space="preserve"> PAGEREF _Toc162267481 \h </w:instrText>
            </w:r>
            <w:r w:rsidR="00736DA9">
              <w:rPr>
                <w:noProof/>
                <w:webHidden/>
              </w:rPr>
            </w:r>
            <w:r w:rsidR="00736DA9">
              <w:rPr>
                <w:noProof/>
                <w:webHidden/>
              </w:rPr>
              <w:fldChar w:fldCharType="separate"/>
            </w:r>
            <w:r w:rsidR="00736DA9">
              <w:rPr>
                <w:noProof/>
                <w:webHidden/>
              </w:rPr>
              <w:t>311</w:t>
            </w:r>
            <w:r w:rsidR="00736DA9">
              <w:rPr>
                <w:noProof/>
                <w:webHidden/>
              </w:rPr>
              <w:fldChar w:fldCharType="end"/>
            </w:r>
          </w:hyperlink>
        </w:p>
        <w:p w14:paraId="3E048B5F" w14:textId="55F4AADC" w:rsidR="00736DA9" w:rsidRDefault="00000000">
          <w:pPr>
            <w:pStyle w:val="TOC4"/>
            <w:tabs>
              <w:tab w:val="right" w:pos="9350"/>
            </w:tabs>
            <w:rPr>
              <w:rFonts w:eastAsiaTheme="minorEastAsia" w:cstheme="minorBidi"/>
              <w:noProof/>
              <w:sz w:val="24"/>
              <w:szCs w:val="24"/>
            </w:rPr>
          </w:pPr>
          <w:hyperlink w:anchor="_Toc162267482" w:history="1">
            <w:r w:rsidR="00736DA9" w:rsidRPr="004372B1">
              <w:rPr>
                <w:rStyle w:val="Hyperlink"/>
                <w:noProof/>
              </w:rPr>
              <w:t>Figure 9.12: Coronary Heart Disease Deaths, by Race/Ethnicity.</w:t>
            </w:r>
            <w:r w:rsidR="00736DA9">
              <w:rPr>
                <w:noProof/>
                <w:webHidden/>
              </w:rPr>
              <w:tab/>
            </w:r>
            <w:r w:rsidR="00736DA9">
              <w:rPr>
                <w:noProof/>
                <w:webHidden/>
              </w:rPr>
              <w:fldChar w:fldCharType="begin"/>
            </w:r>
            <w:r w:rsidR="00736DA9">
              <w:rPr>
                <w:noProof/>
                <w:webHidden/>
              </w:rPr>
              <w:instrText xml:space="preserve"> PAGEREF _Toc162267482 \h </w:instrText>
            </w:r>
            <w:r w:rsidR="00736DA9">
              <w:rPr>
                <w:noProof/>
                <w:webHidden/>
              </w:rPr>
            </w:r>
            <w:r w:rsidR="00736DA9">
              <w:rPr>
                <w:noProof/>
                <w:webHidden/>
              </w:rPr>
              <w:fldChar w:fldCharType="separate"/>
            </w:r>
            <w:r w:rsidR="00736DA9">
              <w:rPr>
                <w:noProof/>
                <w:webHidden/>
              </w:rPr>
              <w:t>311</w:t>
            </w:r>
            <w:r w:rsidR="00736DA9">
              <w:rPr>
                <w:noProof/>
                <w:webHidden/>
              </w:rPr>
              <w:fldChar w:fldCharType="end"/>
            </w:r>
          </w:hyperlink>
        </w:p>
        <w:p w14:paraId="4F63888A" w14:textId="08F132F3" w:rsidR="00736DA9" w:rsidRDefault="00000000">
          <w:pPr>
            <w:pStyle w:val="TOC4"/>
            <w:tabs>
              <w:tab w:val="right" w:pos="9350"/>
            </w:tabs>
            <w:rPr>
              <w:rFonts w:eastAsiaTheme="minorEastAsia" w:cstheme="minorBidi"/>
              <w:noProof/>
              <w:sz w:val="24"/>
              <w:szCs w:val="24"/>
            </w:rPr>
          </w:pPr>
          <w:hyperlink w:anchor="_Toc162267483"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_Toc162267483 \h </w:instrText>
            </w:r>
            <w:r w:rsidR="00736DA9">
              <w:rPr>
                <w:noProof/>
                <w:webHidden/>
              </w:rPr>
            </w:r>
            <w:r w:rsidR="00736DA9">
              <w:rPr>
                <w:noProof/>
                <w:webHidden/>
              </w:rPr>
              <w:fldChar w:fldCharType="separate"/>
            </w:r>
            <w:r w:rsidR="00736DA9">
              <w:rPr>
                <w:noProof/>
                <w:webHidden/>
              </w:rPr>
              <w:t>311</w:t>
            </w:r>
            <w:r w:rsidR="00736DA9">
              <w:rPr>
                <w:noProof/>
                <w:webHidden/>
              </w:rPr>
              <w:fldChar w:fldCharType="end"/>
            </w:r>
          </w:hyperlink>
        </w:p>
        <w:p w14:paraId="3879E57C" w14:textId="39FC4222" w:rsidR="00736DA9" w:rsidRDefault="00000000">
          <w:pPr>
            <w:pStyle w:val="TOC4"/>
            <w:tabs>
              <w:tab w:val="right" w:pos="9350"/>
            </w:tabs>
            <w:rPr>
              <w:rFonts w:eastAsiaTheme="minorEastAsia" w:cstheme="minorBidi"/>
              <w:noProof/>
              <w:sz w:val="24"/>
              <w:szCs w:val="24"/>
            </w:rPr>
          </w:pPr>
          <w:hyperlink w:anchor="_Toc162267484" w:history="1">
            <w:r w:rsidR="00736DA9" w:rsidRPr="004372B1">
              <w:rPr>
                <w:rStyle w:val="Hyperlink"/>
                <w:noProof/>
              </w:rPr>
              <w:t>References 9.6</w:t>
            </w:r>
            <w:r w:rsidR="00736DA9">
              <w:rPr>
                <w:noProof/>
                <w:webHidden/>
              </w:rPr>
              <w:tab/>
            </w:r>
            <w:r w:rsidR="00736DA9">
              <w:rPr>
                <w:noProof/>
                <w:webHidden/>
              </w:rPr>
              <w:fldChar w:fldCharType="begin"/>
            </w:r>
            <w:r w:rsidR="00736DA9">
              <w:rPr>
                <w:noProof/>
                <w:webHidden/>
              </w:rPr>
              <w:instrText xml:space="preserve"> PAGEREF _Toc162267484 \h </w:instrText>
            </w:r>
            <w:r w:rsidR="00736DA9">
              <w:rPr>
                <w:noProof/>
                <w:webHidden/>
              </w:rPr>
            </w:r>
            <w:r w:rsidR="00736DA9">
              <w:rPr>
                <w:noProof/>
                <w:webHidden/>
              </w:rPr>
              <w:fldChar w:fldCharType="separate"/>
            </w:r>
            <w:r w:rsidR="00736DA9">
              <w:rPr>
                <w:noProof/>
                <w:webHidden/>
              </w:rPr>
              <w:t>312</w:t>
            </w:r>
            <w:r w:rsidR="00736DA9">
              <w:rPr>
                <w:noProof/>
                <w:webHidden/>
              </w:rPr>
              <w:fldChar w:fldCharType="end"/>
            </w:r>
          </w:hyperlink>
        </w:p>
        <w:p w14:paraId="3765873C" w14:textId="3D96AFE3" w:rsidR="00736DA9" w:rsidRDefault="00000000">
          <w:pPr>
            <w:pStyle w:val="TOC3"/>
            <w:tabs>
              <w:tab w:val="right" w:pos="9350"/>
            </w:tabs>
            <w:rPr>
              <w:rFonts w:eastAsiaTheme="minorEastAsia" w:cstheme="minorBidi"/>
              <w:noProof/>
              <w:sz w:val="24"/>
              <w:szCs w:val="24"/>
            </w:rPr>
          </w:pPr>
          <w:hyperlink w:anchor="_Toc162267485" w:history="1">
            <w:r w:rsidR="00736DA9" w:rsidRPr="004372B1">
              <w:rPr>
                <w:rStyle w:val="Hyperlink"/>
                <w:noProof/>
              </w:rPr>
              <w:t>Prediabetes</w:t>
            </w:r>
            <w:r w:rsidR="00736DA9">
              <w:rPr>
                <w:noProof/>
                <w:webHidden/>
              </w:rPr>
              <w:tab/>
            </w:r>
            <w:r w:rsidR="00736DA9">
              <w:rPr>
                <w:noProof/>
                <w:webHidden/>
              </w:rPr>
              <w:fldChar w:fldCharType="begin"/>
            </w:r>
            <w:r w:rsidR="00736DA9">
              <w:rPr>
                <w:noProof/>
                <w:webHidden/>
              </w:rPr>
              <w:instrText xml:space="preserve"> PAGEREF _Toc162267485 \h </w:instrText>
            </w:r>
            <w:r w:rsidR="00736DA9">
              <w:rPr>
                <w:noProof/>
                <w:webHidden/>
              </w:rPr>
            </w:r>
            <w:r w:rsidR="00736DA9">
              <w:rPr>
                <w:noProof/>
                <w:webHidden/>
              </w:rPr>
              <w:fldChar w:fldCharType="separate"/>
            </w:r>
            <w:r w:rsidR="00736DA9">
              <w:rPr>
                <w:noProof/>
                <w:webHidden/>
              </w:rPr>
              <w:t>313</w:t>
            </w:r>
            <w:r w:rsidR="00736DA9">
              <w:rPr>
                <w:noProof/>
                <w:webHidden/>
              </w:rPr>
              <w:fldChar w:fldCharType="end"/>
            </w:r>
          </w:hyperlink>
        </w:p>
        <w:p w14:paraId="4D01E3AF" w14:textId="5BB41DCC" w:rsidR="00736DA9" w:rsidRDefault="00000000">
          <w:pPr>
            <w:pStyle w:val="TOC4"/>
            <w:tabs>
              <w:tab w:val="right" w:pos="9350"/>
            </w:tabs>
            <w:rPr>
              <w:rFonts w:eastAsiaTheme="minorEastAsia" w:cstheme="minorBidi"/>
              <w:noProof/>
              <w:sz w:val="24"/>
              <w:szCs w:val="24"/>
            </w:rPr>
          </w:pPr>
          <w:hyperlink w:anchor="_Toc162267486" w:history="1">
            <w:r w:rsidR="00736DA9" w:rsidRPr="004372B1">
              <w:rPr>
                <w:rStyle w:val="Hyperlink"/>
                <w:noProof/>
              </w:rPr>
              <w:t>Figure 9.13: Adults with Prediabetes.</w:t>
            </w:r>
            <w:r w:rsidR="00736DA9">
              <w:rPr>
                <w:noProof/>
                <w:webHidden/>
              </w:rPr>
              <w:tab/>
            </w:r>
            <w:r w:rsidR="00736DA9">
              <w:rPr>
                <w:noProof/>
                <w:webHidden/>
              </w:rPr>
              <w:fldChar w:fldCharType="begin"/>
            </w:r>
            <w:r w:rsidR="00736DA9">
              <w:rPr>
                <w:noProof/>
                <w:webHidden/>
              </w:rPr>
              <w:instrText xml:space="preserve"> PAGEREF _Toc162267486 \h </w:instrText>
            </w:r>
            <w:r w:rsidR="00736DA9">
              <w:rPr>
                <w:noProof/>
                <w:webHidden/>
              </w:rPr>
            </w:r>
            <w:r w:rsidR="00736DA9">
              <w:rPr>
                <w:noProof/>
                <w:webHidden/>
              </w:rPr>
              <w:fldChar w:fldCharType="separate"/>
            </w:r>
            <w:r w:rsidR="00736DA9">
              <w:rPr>
                <w:noProof/>
                <w:webHidden/>
              </w:rPr>
              <w:t>313</w:t>
            </w:r>
            <w:r w:rsidR="00736DA9">
              <w:rPr>
                <w:noProof/>
                <w:webHidden/>
              </w:rPr>
              <w:fldChar w:fldCharType="end"/>
            </w:r>
          </w:hyperlink>
        </w:p>
        <w:p w14:paraId="5C889713" w14:textId="6895D111" w:rsidR="00736DA9" w:rsidRDefault="00000000">
          <w:pPr>
            <w:pStyle w:val="TOC4"/>
            <w:tabs>
              <w:tab w:val="right" w:pos="9350"/>
            </w:tabs>
            <w:rPr>
              <w:rFonts w:eastAsiaTheme="minorEastAsia" w:cstheme="minorBidi"/>
              <w:noProof/>
              <w:sz w:val="24"/>
              <w:szCs w:val="24"/>
            </w:rPr>
          </w:pPr>
          <w:hyperlink w:anchor="_Toc162267487" w:history="1">
            <w:r w:rsidR="00736DA9" w:rsidRPr="004372B1">
              <w:rPr>
                <w:rStyle w:val="Hyperlink"/>
                <w:noProof/>
              </w:rPr>
              <w:t>Figure 9.14: Adults with Prediabetes, by Race/Ethnicity and Sex.</w:t>
            </w:r>
            <w:r w:rsidR="00736DA9">
              <w:rPr>
                <w:noProof/>
                <w:webHidden/>
              </w:rPr>
              <w:tab/>
            </w:r>
            <w:r w:rsidR="00736DA9">
              <w:rPr>
                <w:noProof/>
                <w:webHidden/>
              </w:rPr>
              <w:fldChar w:fldCharType="begin"/>
            </w:r>
            <w:r w:rsidR="00736DA9">
              <w:rPr>
                <w:noProof/>
                <w:webHidden/>
              </w:rPr>
              <w:instrText xml:space="preserve"> PAGEREF _Toc162267487 \h </w:instrText>
            </w:r>
            <w:r w:rsidR="00736DA9">
              <w:rPr>
                <w:noProof/>
                <w:webHidden/>
              </w:rPr>
            </w:r>
            <w:r w:rsidR="00736DA9">
              <w:rPr>
                <w:noProof/>
                <w:webHidden/>
              </w:rPr>
              <w:fldChar w:fldCharType="separate"/>
            </w:r>
            <w:r w:rsidR="00736DA9">
              <w:rPr>
                <w:noProof/>
                <w:webHidden/>
              </w:rPr>
              <w:t>314</w:t>
            </w:r>
            <w:r w:rsidR="00736DA9">
              <w:rPr>
                <w:noProof/>
                <w:webHidden/>
              </w:rPr>
              <w:fldChar w:fldCharType="end"/>
            </w:r>
          </w:hyperlink>
        </w:p>
        <w:p w14:paraId="7F18A052" w14:textId="1297B5EF" w:rsidR="00736DA9" w:rsidRDefault="00000000">
          <w:pPr>
            <w:pStyle w:val="TOC4"/>
            <w:tabs>
              <w:tab w:val="right" w:pos="9350"/>
            </w:tabs>
            <w:rPr>
              <w:rFonts w:eastAsiaTheme="minorEastAsia" w:cstheme="minorBidi"/>
              <w:noProof/>
              <w:sz w:val="24"/>
              <w:szCs w:val="24"/>
            </w:rPr>
          </w:pPr>
          <w:hyperlink w:anchor="_Toc162267488"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_Toc162267488 \h </w:instrText>
            </w:r>
            <w:r w:rsidR="00736DA9">
              <w:rPr>
                <w:noProof/>
                <w:webHidden/>
              </w:rPr>
            </w:r>
            <w:r w:rsidR="00736DA9">
              <w:rPr>
                <w:noProof/>
                <w:webHidden/>
              </w:rPr>
              <w:fldChar w:fldCharType="separate"/>
            </w:r>
            <w:r w:rsidR="00736DA9">
              <w:rPr>
                <w:noProof/>
                <w:webHidden/>
              </w:rPr>
              <w:t>314</w:t>
            </w:r>
            <w:r w:rsidR="00736DA9">
              <w:rPr>
                <w:noProof/>
                <w:webHidden/>
              </w:rPr>
              <w:fldChar w:fldCharType="end"/>
            </w:r>
          </w:hyperlink>
        </w:p>
        <w:p w14:paraId="6ECB639F" w14:textId="53F344D2" w:rsidR="00736DA9" w:rsidRDefault="00000000">
          <w:pPr>
            <w:pStyle w:val="TOC4"/>
            <w:tabs>
              <w:tab w:val="right" w:pos="9350"/>
            </w:tabs>
            <w:rPr>
              <w:rFonts w:eastAsiaTheme="minorEastAsia" w:cstheme="minorBidi"/>
              <w:noProof/>
              <w:sz w:val="24"/>
              <w:szCs w:val="24"/>
            </w:rPr>
          </w:pPr>
          <w:hyperlink w:anchor="_Toc162267489" w:history="1">
            <w:r w:rsidR="00736DA9" w:rsidRPr="004372B1">
              <w:rPr>
                <w:rStyle w:val="Hyperlink"/>
                <w:noProof/>
              </w:rPr>
              <w:t>References 9.7</w:t>
            </w:r>
            <w:r w:rsidR="00736DA9">
              <w:rPr>
                <w:noProof/>
                <w:webHidden/>
              </w:rPr>
              <w:tab/>
            </w:r>
            <w:r w:rsidR="00736DA9">
              <w:rPr>
                <w:noProof/>
                <w:webHidden/>
              </w:rPr>
              <w:fldChar w:fldCharType="begin"/>
            </w:r>
            <w:r w:rsidR="00736DA9">
              <w:rPr>
                <w:noProof/>
                <w:webHidden/>
              </w:rPr>
              <w:instrText xml:space="preserve"> PAGEREF _Toc162267489 \h </w:instrText>
            </w:r>
            <w:r w:rsidR="00736DA9">
              <w:rPr>
                <w:noProof/>
                <w:webHidden/>
              </w:rPr>
            </w:r>
            <w:r w:rsidR="00736DA9">
              <w:rPr>
                <w:noProof/>
                <w:webHidden/>
              </w:rPr>
              <w:fldChar w:fldCharType="separate"/>
            </w:r>
            <w:r w:rsidR="00736DA9">
              <w:rPr>
                <w:noProof/>
                <w:webHidden/>
              </w:rPr>
              <w:t>314</w:t>
            </w:r>
            <w:r w:rsidR="00736DA9">
              <w:rPr>
                <w:noProof/>
                <w:webHidden/>
              </w:rPr>
              <w:fldChar w:fldCharType="end"/>
            </w:r>
          </w:hyperlink>
        </w:p>
        <w:p w14:paraId="0BB9B1F1" w14:textId="74F72029" w:rsidR="00736DA9" w:rsidRDefault="00000000">
          <w:pPr>
            <w:pStyle w:val="TOC3"/>
            <w:tabs>
              <w:tab w:val="right" w:pos="9350"/>
            </w:tabs>
            <w:rPr>
              <w:rFonts w:eastAsiaTheme="minorEastAsia" w:cstheme="minorBidi"/>
              <w:noProof/>
              <w:sz w:val="24"/>
              <w:szCs w:val="24"/>
            </w:rPr>
          </w:pPr>
          <w:hyperlink w:anchor="_Toc162267490" w:history="1">
            <w:r w:rsidR="00736DA9" w:rsidRPr="004372B1">
              <w:rPr>
                <w:rStyle w:val="Hyperlink"/>
                <w:noProof/>
              </w:rPr>
              <w:t>Diabetes</w:t>
            </w:r>
            <w:r w:rsidR="00736DA9">
              <w:rPr>
                <w:noProof/>
                <w:webHidden/>
              </w:rPr>
              <w:tab/>
            </w:r>
            <w:r w:rsidR="00736DA9">
              <w:rPr>
                <w:noProof/>
                <w:webHidden/>
              </w:rPr>
              <w:fldChar w:fldCharType="begin"/>
            </w:r>
            <w:r w:rsidR="00736DA9">
              <w:rPr>
                <w:noProof/>
                <w:webHidden/>
              </w:rPr>
              <w:instrText xml:space="preserve"> PAGEREF _Toc162267490 \h </w:instrText>
            </w:r>
            <w:r w:rsidR="00736DA9">
              <w:rPr>
                <w:noProof/>
                <w:webHidden/>
              </w:rPr>
            </w:r>
            <w:r w:rsidR="00736DA9">
              <w:rPr>
                <w:noProof/>
                <w:webHidden/>
              </w:rPr>
              <w:fldChar w:fldCharType="separate"/>
            </w:r>
            <w:r w:rsidR="00736DA9">
              <w:rPr>
                <w:noProof/>
                <w:webHidden/>
              </w:rPr>
              <w:t>315</w:t>
            </w:r>
            <w:r w:rsidR="00736DA9">
              <w:rPr>
                <w:noProof/>
                <w:webHidden/>
              </w:rPr>
              <w:fldChar w:fldCharType="end"/>
            </w:r>
          </w:hyperlink>
        </w:p>
        <w:p w14:paraId="6DEC22AB" w14:textId="564ADD52" w:rsidR="00736DA9" w:rsidRDefault="00000000">
          <w:pPr>
            <w:pStyle w:val="TOC4"/>
            <w:tabs>
              <w:tab w:val="right" w:pos="9350"/>
            </w:tabs>
            <w:rPr>
              <w:rFonts w:eastAsiaTheme="minorEastAsia" w:cstheme="minorBidi"/>
              <w:noProof/>
              <w:sz w:val="24"/>
              <w:szCs w:val="24"/>
            </w:rPr>
          </w:pPr>
          <w:hyperlink w:anchor="_Toc162267491" w:history="1">
            <w:r w:rsidR="00736DA9" w:rsidRPr="004372B1">
              <w:rPr>
                <w:rStyle w:val="Hyperlink"/>
                <w:noProof/>
              </w:rPr>
              <w:t>Figure 9.15: Adults with Diabetes.</w:t>
            </w:r>
            <w:r w:rsidR="00736DA9">
              <w:rPr>
                <w:noProof/>
                <w:webHidden/>
              </w:rPr>
              <w:tab/>
            </w:r>
            <w:r w:rsidR="00736DA9">
              <w:rPr>
                <w:noProof/>
                <w:webHidden/>
              </w:rPr>
              <w:fldChar w:fldCharType="begin"/>
            </w:r>
            <w:r w:rsidR="00736DA9">
              <w:rPr>
                <w:noProof/>
                <w:webHidden/>
              </w:rPr>
              <w:instrText xml:space="preserve"> PAGEREF _Toc162267491 \h </w:instrText>
            </w:r>
            <w:r w:rsidR="00736DA9">
              <w:rPr>
                <w:noProof/>
                <w:webHidden/>
              </w:rPr>
            </w:r>
            <w:r w:rsidR="00736DA9">
              <w:rPr>
                <w:noProof/>
                <w:webHidden/>
              </w:rPr>
              <w:fldChar w:fldCharType="separate"/>
            </w:r>
            <w:r w:rsidR="00736DA9">
              <w:rPr>
                <w:noProof/>
                <w:webHidden/>
              </w:rPr>
              <w:t>315</w:t>
            </w:r>
            <w:r w:rsidR="00736DA9">
              <w:rPr>
                <w:noProof/>
                <w:webHidden/>
              </w:rPr>
              <w:fldChar w:fldCharType="end"/>
            </w:r>
          </w:hyperlink>
        </w:p>
        <w:p w14:paraId="16FAFC33" w14:textId="30C67563" w:rsidR="00736DA9" w:rsidRDefault="00000000">
          <w:pPr>
            <w:pStyle w:val="TOC4"/>
            <w:tabs>
              <w:tab w:val="right" w:pos="9350"/>
            </w:tabs>
            <w:rPr>
              <w:rFonts w:eastAsiaTheme="minorEastAsia" w:cstheme="minorBidi"/>
              <w:noProof/>
              <w:sz w:val="24"/>
              <w:szCs w:val="24"/>
            </w:rPr>
          </w:pPr>
          <w:hyperlink w:anchor="_Toc162267492" w:history="1">
            <w:r w:rsidR="00736DA9" w:rsidRPr="004372B1">
              <w:rPr>
                <w:rStyle w:val="Hyperlink"/>
                <w:noProof/>
              </w:rPr>
              <w:t>Figure 9.16: Adults with Diabetes, by Income Level.</w:t>
            </w:r>
            <w:r w:rsidR="00736DA9">
              <w:rPr>
                <w:noProof/>
                <w:webHidden/>
              </w:rPr>
              <w:tab/>
            </w:r>
            <w:r w:rsidR="00736DA9">
              <w:rPr>
                <w:noProof/>
                <w:webHidden/>
              </w:rPr>
              <w:fldChar w:fldCharType="begin"/>
            </w:r>
            <w:r w:rsidR="00736DA9">
              <w:rPr>
                <w:noProof/>
                <w:webHidden/>
              </w:rPr>
              <w:instrText xml:space="preserve"> PAGEREF _Toc162267492 \h </w:instrText>
            </w:r>
            <w:r w:rsidR="00736DA9">
              <w:rPr>
                <w:noProof/>
                <w:webHidden/>
              </w:rPr>
            </w:r>
            <w:r w:rsidR="00736DA9">
              <w:rPr>
                <w:noProof/>
                <w:webHidden/>
              </w:rPr>
              <w:fldChar w:fldCharType="separate"/>
            </w:r>
            <w:r w:rsidR="00736DA9">
              <w:rPr>
                <w:noProof/>
                <w:webHidden/>
              </w:rPr>
              <w:t>316</w:t>
            </w:r>
            <w:r w:rsidR="00736DA9">
              <w:rPr>
                <w:noProof/>
                <w:webHidden/>
              </w:rPr>
              <w:fldChar w:fldCharType="end"/>
            </w:r>
          </w:hyperlink>
        </w:p>
        <w:p w14:paraId="35A9F098" w14:textId="265E0D0B" w:rsidR="00736DA9" w:rsidRDefault="00000000">
          <w:pPr>
            <w:pStyle w:val="TOC4"/>
            <w:tabs>
              <w:tab w:val="right" w:pos="9350"/>
            </w:tabs>
            <w:rPr>
              <w:rFonts w:eastAsiaTheme="minorEastAsia" w:cstheme="minorBidi"/>
              <w:noProof/>
              <w:sz w:val="24"/>
              <w:szCs w:val="24"/>
            </w:rPr>
          </w:pPr>
          <w:hyperlink w:anchor="_Toc162267493" w:history="1">
            <w:r w:rsidR="00736DA9" w:rsidRPr="004372B1">
              <w:rPr>
                <w:rStyle w:val="Hyperlink"/>
                <w:noProof/>
              </w:rPr>
              <w:t>Figure 9.17: Diabetes Deaths, by Race/Ethnicity and Sex.</w:t>
            </w:r>
            <w:r w:rsidR="00736DA9">
              <w:rPr>
                <w:noProof/>
                <w:webHidden/>
              </w:rPr>
              <w:tab/>
            </w:r>
            <w:r w:rsidR="00736DA9">
              <w:rPr>
                <w:noProof/>
                <w:webHidden/>
              </w:rPr>
              <w:fldChar w:fldCharType="begin"/>
            </w:r>
            <w:r w:rsidR="00736DA9">
              <w:rPr>
                <w:noProof/>
                <w:webHidden/>
              </w:rPr>
              <w:instrText xml:space="preserve"> PAGEREF _Toc162267493 \h </w:instrText>
            </w:r>
            <w:r w:rsidR="00736DA9">
              <w:rPr>
                <w:noProof/>
                <w:webHidden/>
              </w:rPr>
            </w:r>
            <w:r w:rsidR="00736DA9">
              <w:rPr>
                <w:noProof/>
                <w:webHidden/>
              </w:rPr>
              <w:fldChar w:fldCharType="separate"/>
            </w:r>
            <w:r w:rsidR="00736DA9">
              <w:rPr>
                <w:noProof/>
                <w:webHidden/>
              </w:rPr>
              <w:t>316</w:t>
            </w:r>
            <w:r w:rsidR="00736DA9">
              <w:rPr>
                <w:noProof/>
                <w:webHidden/>
              </w:rPr>
              <w:fldChar w:fldCharType="end"/>
            </w:r>
          </w:hyperlink>
        </w:p>
        <w:p w14:paraId="537FB64F" w14:textId="4EEDBFF2" w:rsidR="00736DA9" w:rsidRDefault="00000000">
          <w:pPr>
            <w:pStyle w:val="TOC4"/>
            <w:tabs>
              <w:tab w:val="right" w:pos="9350"/>
            </w:tabs>
            <w:rPr>
              <w:rFonts w:eastAsiaTheme="minorEastAsia" w:cstheme="minorBidi"/>
              <w:noProof/>
              <w:sz w:val="24"/>
              <w:szCs w:val="24"/>
            </w:rPr>
          </w:pPr>
          <w:hyperlink w:anchor="_Toc162267494"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_Toc162267494 \h </w:instrText>
            </w:r>
            <w:r w:rsidR="00736DA9">
              <w:rPr>
                <w:noProof/>
                <w:webHidden/>
              </w:rPr>
            </w:r>
            <w:r w:rsidR="00736DA9">
              <w:rPr>
                <w:noProof/>
                <w:webHidden/>
              </w:rPr>
              <w:fldChar w:fldCharType="separate"/>
            </w:r>
            <w:r w:rsidR="00736DA9">
              <w:rPr>
                <w:noProof/>
                <w:webHidden/>
              </w:rPr>
              <w:t>316</w:t>
            </w:r>
            <w:r w:rsidR="00736DA9">
              <w:rPr>
                <w:noProof/>
                <w:webHidden/>
              </w:rPr>
              <w:fldChar w:fldCharType="end"/>
            </w:r>
          </w:hyperlink>
        </w:p>
        <w:p w14:paraId="6581CC4A" w14:textId="175E56F1" w:rsidR="00736DA9" w:rsidRDefault="00000000">
          <w:pPr>
            <w:pStyle w:val="TOC4"/>
            <w:tabs>
              <w:tab w:val="right" w:pos="9350"/>
            </w:tabs>
            <w:rPr>
              <w:rFonts w:eastAsiaTheme="minorEastAsia" w:cstheme="minorBidi"/>
              <w:noProof/>
              <w:sz w:val="24"/>
              <w:szCs w:val="24"/>
            </w:rPr>
          </w:pPr>
          <w:hyperlink w:anchor="_Toc162267495" w:history="1">
            <w:r w:rsidR="00736DA9" w:rsidRPr="004372B1">
              <w:rPr>
                <w:rStyle w:val="Hyperlink"/>
                <w:noProof/>
              </w:rPr>
              <w:t>References 9.8</w:t>
            </w:r>
            <w:r w:rsidR="00736DA9">
              <w:rPr>
                <w:noProof/>
                <w:webHidden/>
              </w:rPr>
              <w:tab/>
            </w:r>
            <w:r w:rsidR="00736DA9">
              <w:rPr>
                <w:noProof/>
                <w:webHidden/>
              </w:rPr>
              <w:fldChar w:fldCharType="begin"/>
            </w:r>
            <w:r w:rsidR="00736DA9">
              <w:rPr>
                <w:noProof/>
                <w:webHidden/>
              </w:rPr>
              <w:instrText xml:space="preserve"> PAGEREF _Toc162267495 \h </w:instrText>
            </w:r>
            <w:r w:rsidR="00736DA9">
              <w:rPr>
                <w:noProof/>
                <w:webHidden/>
              </w:rPr>
            </w:r>
            <w:r w:rsidR="00736DA9">
              <w:rPr>
                <w:noProof/>
                <w:webHidden/>
              </w:rPr>
              <w:fldChar w:fldCharType="separate"/>
            </w:r>
            <w:r w:rsidR="00736DA9">
              <w:rPr>
                <w:noProof/>
                <w:webHidden/>
              </w:rPr>
              <w:t>317</w:t>
            </w:r>
            <w:r w:rsidR="00736DA9">
              <w:rPr>
                <w:noProof/>
                <w:webHidden/>
              </w:rPr>
              <w:fldChar w:fldCharType="end"/>
            </w:r>
          </w:hyperlink>
        </w:p>
        <w:p w14:paraId="3F8719AF" w14:textId="7BAC3AFD" w:rsidR="00736DA9" w:rsidRDefault="00000000">
          <w:pPr>
            <w:pStyle w:val="TOC4"/>
            <w:tabs>
              <w:tab w:val="right" w:pos="9350"/>
            </w:tabs>
            <w:rPr>
              <w:rFonts w:eastAsiaTheme="minorEastAsia" w:cstheme="minorBidi"/>
              <w:noProof/>
              <w:sz w:val="24"/>
              <w:szCs w:val="24"/>
            </w:rPr>
          </w:pPr>
          <w:hyperlink w:anchor="_Toc162267496" w:history="1">
            <w:r w:rsidR="00736DA9" w:rsidRPr="004372B1">
              <w:rPr>
                <w:rStyle w:val="Hyperlink"/>
                <w:noProof/>
              </w:rPr>
              <w:t>Figure 9.18: Adults Who Were Seen by a Dentist in the Past Year for Any Reason, by Income Level.</w:t>
            </w:r>
            <w:r w:rsidR="00736DA9">
              <w:rPr>
                <w:noProof/>
                <w:webHidden/>
              </w:rPr>
              <w:tab/>
            </w:r>
            <w:r w:rsidR="00736DA9">
              <w:rPr>
                <w:noProof/>
                <w:webHidden/>
              </w:rPr>
              <w:fldChar w:fldCharType="begin"/>
            </w:r>
            <w:r w:rsidR="00736DA9">
              <w:rPr>
                <w:noProof/>
                <w:webHidden/>
              </w:rPr>
              <w:instrText xml:space="preserve"> PAGEREF _Toc162267496 \h </w:instrText>
            </w:r>
            <w:r w:rsidR="00736DA9">
              <w:rPr>
                <w:noProof/>
                <w:webHidden/>
              </w:rPr>
            </w:r>
            <w:r w:rsidR="00736DA9">
              <w:rPr>
                <w:noProof/>
                <w:webHidden/>
              </w:rPr>
              <w:fldChar w:fldCharType="separate"/>
            </w:r>
            <w:r w:rsidR="00736DA9">
              <w:rPr>
                <w:noProof/>
                <w:webHidden/>
              </w:rPr>
              <w:t>318</w:t>
            </w:r>
            <w:r w:rsidR="00736DA9">
              <w:rPr>
                <w:noProof/>
                <w:webHidden/>
              </w:rPr>
              <w:fldChar w:fldCharType="end"/>
            </w:r>
          </w:hyperlink>
        </w:p>
        <w:p w14:paraId="3CF13082" w14:textId="038EE482" w:rsidR="00736DA9" w:rsidRDefault="00000000">
          <w:pPr>
            <w:pStyle w:val="TOC4"/>
            <w:tabs>
              <w:tab w:val="right" w:pos="9350"/>
            </w:tabs>
            <w:rPr>
              <w:rFonts w:eastAsiaTheme="minorEastAsia" w:cstheme="minorBidi"/>
              <w:noProof/>
              <w:sz w:val="24"/>
              <w:szCs w:val="24"/>
            </w:rPr>
          </w:pPr>
          <w:hyperlink w:anchor="_Toc162267497"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_Toc162267497 \h </w:instrText>
            </w:r>
            <w:r w:rsidR="00736DA9">
              <w:rPr>
                <w:noProof/>
                <w:webHidden/>
              </w:rPr>
            </w:r>
            <w:r w:rsidR="00736DA9">
              <w:rPr>
                <w:noProof/>
                <w:webHidden/>
              </w:rPr>
              <w:fldChar w:fldCharType="separate"/>
            </w:r>
            <w:r w:rsidR="00736DA9">
              <w:rPr>
                <w:noProof/>
                <w:webHidden/>
              </w:rPr>
              <w:t>318</w:t>
            </w:r>
            <w:r w:rsidR="00736DA9">
              <w:rPr>
                <w:noProof/>
                <w:webHidden/>
              </w:rPr>
              <w:fldChar w:fldCharType="end"/>
            </w:r>
          </w:hyperlink>
        </w:p>
        <w:p w14:paraId="0BDEAE37" w14:textId="3171972C" w:rsidR="00736DA9" w:rsidRDefault="00000000">
          <w:pPr>
            <w:pStyle w:val="TOC4"/>
            <w:tabs>
              <w:tab w:val="right" w:pos="9350"/>
            </w:tabs>
            <w:rPr>
              <w:rFonts w:eastAsiaTheme="minorEastAsia" w:cstheme="minorBidi"/>
              <w:noProof/>
              <w:sz w:val="24"/>
              <w:szCs w:val="24"/>
            </w:rPr>
          </w:pPr>
          <w:hyperlink w:anchor="_Toc162267498" w:history="1">
            <w:r w:rsidR="00736DA9" w:rsidRPr="004372B1">
              <w:rPr>
                <w:rStyle w:val="Hyperlink"/>
                <w:noProof/>
              </w:rPr>
              <w:t>References 9.9</w:t>
            </w:r>
            <w:r w:rsidR="00736DA9">
              <w:rPr>
                <w:noProof/>
                <w:webHidden/>
              </w:rPr>
              <w:tab/>
            </w:r>
            <w:r w:rsidR="00736DA9">
              <w:rPr>
                <w:noProof/>
                <w:webHidden/>
              </w:rPr>
              <w:fldChar w:fldCharType="begin"/>
            </w:r>
            <w:r w:rsidR="00736DA9">
              <w:rPr>
                <w:noProof/>
                <w:webHidden/>
              </w:rPr>
              <w:instrText xml:space="preserve"> PAGEREF _Toc162267498 \h </w:instrText>
            </w:r>
            <w:r w:rsidR="00736DA9">
              <w:rPr>
                <w:noProof/>
                <w:webHidden/>
              </w:rPr>
            </w:r>
            <w:r w:rsidR="00736DA9">
              <w:rPr>
                <w:noProof/>
                <w:webHidden/>
              </w:rPr>
              <w:fldChar w:fldCharType="separate"/>
            </w:r>
            <w:r w:rsidR="00736DA9">
              <w:rPr>
                <w:noProof/>
                <w:webHidden/>
              </w:rPr>
              <w:t>318</w:t>
            </w:r>
            <w:r w:rsidR="00736DA9">
              <w:rPr>
                <w:noProof/>
                <w:webHidden/>
              </w:rPr>
              <w:fldChar w:fldCharType="end"/>
            </w:r>
          </w:hyperlink>
        </w:p>
        <w:p w14:paraId="78CE364A" w14:textId="775FAB6A" w:rsidR="00736DA9" w:rsidRDefault="00000000">
          <w:pPr>
            <w:pStyle w:val="TOC3"/>
            <w:tabs>
              <w:tab w:val="right" w:pos="9350"/>
            </w:tabs>
            <w:rPr>
              <w:rFonts w:eastAsiaTheme="minorEastAsia" w:cstheme="minorBidi"/>
              <w:noProof/>
              <w:sz w:val="24"/>
              <w:szCs w:val="24"/>
            </w:rPr>
          </w:pPr>
          <w:hyperlink w:anchor="_Toc162267499" w:history="1">
            <w:r w:rsidR="00736DA9" w:rsidRPr="004372B1">
              <w:rPr>
                <w:rStyle w:val="Hyperlink"/>
                <w:noProof/>
              </w:rPr>
              <w:t>Cigarette Smoking</w:t>
            </w:r>
            <w:r w:rsidR="00736DA9">
              <w:rPr>
                <w:noProof/>
                <w:webHidden/>
              </w:rPr>
              <w:tab/>
            </w:r>
            <w:r w:rsidR="00736DA9">
              <w:rPr>
                <w:noProof/>
                <w:webHidden/>
              </w:rPr>
              <w:fldChar w:fldCharType="begin"/>
            </w:r>
            <w:r w:rsidR="00736DA9">
              <w:rPr>
                <w:noProof/>
                <w:webHidden/>
              </w:rPr>
              <w:instrText xml:space="preserve"> PAGEREF _Toc162267499 \h </w:instrText>
            </w:r>
            <w:r w:rsidR="00736DA9">
              <w:rPr>
                <w:noProof/>
                <w:webHidden/>
              </w:rPr>
            </w:r>
            <w:r w:rsidR="00736DA9">
              <w:rPr>
                <w:noProof/>
                <w:webHidden/>
              </w:rPr>
              <w:fldChar w:fldCharType="separate"/>
            </w:r>
            <w:r w:rsidR="00736DA9">
              <w:rPr>
                <w:noProof/>
                <w:webHidden/>
              </w:rPr>
              <w:t>319</w:t>
            </w:r>
            <w:r w:rsidR="00736DA9">
              <w:rPr>
                <w:noProof/>
                <w:webHidden/>
              </w:rPr>
              <w:fldChar w:fldCharType="end"/>
            </w:r>
          </w:hyperlink>
        </w:p>
        <w:p w14:paraId="1A05AB92" w14:textId="7166F287" w:rsidR="00736DA9" w:rsidRDefault="00000000">
          <w:pPr>
            <w:pStyle w:val="TOC4"/>
            <w:tabs>
              <w:tab w:val="right" w:pos="9350"/>
            </w:tabs>
            <w:rPr>
              <w:rFonts w:eastAsiaTheme="minorEastAsia" w:cstheme="minorBidi"/>
              <w:noProof/>
              <w:sz w:val="24"/>
              <w:szCs w:val="24"/>
            </w:rPr>
          </w:pPr>
          <w:hyperlink w:anchor="_Toc162267500" w:history="1">
            <w:r w:rsidR="00736DA9" w:rsidRPr="004372B1">
              <w:rPr>
                <w:rStyle w:val="Hyperlink"/>
                <w:noProof/>
              </w:rPr>
              <w:t>Figure 9.19: Current Cigarette Smoking Among Adults.</w:t>
            </w:r>
            <w:r w:rsidR="00736DA9">
              <w:rPr>
                <w:noProof/>
                <w:webHidden/>
              </w:rPr>
              <w:tab/>
            </w:r>
            <w:r w:rsidR="00736DA9">
              <w:rPr>
                <w:noProof/>
                <w:webHidden/>
              </w:rPr>
              <w:fldChar w:fldCharType="begin"/>
            </w:r>
            <w:r w:rsidR="00736DA9">
              <w:rPr>
                <w:noProof/>
                <w:webHidden/>
              </w:rPr>
              <w:instrText xml:space="preserve"> PAGEREF _Toc162267500 \h </w:instrText>
            </w:r>
            <w:r w:rsidR="00736DA9">
              <w:rPr>
                <w:noProof/>
                <w:webHidden/>
              </w:rPr>
            </w:r>
            <w:r w:rsidR="00736DA9">
              <w:rPr>
                <w:noProof/>
                <w:webHidden/>
              </w:rPr>
              <w:fldChar w:fldCharType="separate"/>
            </w:r>
            <w:r w:rsidR="00736DA9">
              <w:rPr>
                <w:noProof/>
                <w:webHidden/>
              </w:rPr>
              <w:t>319</w:t>
            </w:r>
            <w:r w:rsidR="00736DA9">
              <w:rPr>
                <w:noProof/>
                <w:webHidden/>
              </w:rPr>
              <w:fldChar w:fldCharType="end"/>
            </w:r>
          </w:hyperlink>
        </w:p>
        <w:p w14:paraId="6693CF16" w14:textId="6E180FFC" w:rsidR="00736DA9" w:rsidRDefault="00000000">
          <w:pPr>
            <w:pStyle w:val="TOC4"/>
            <w:tabs>
              <w:tab w:val="right" w:pos="9350"/>
            </w:tabs>
            <w:rPr>
              <w:rFonts w:eastAsiaTheme="minorEastAsia" w:cstheme="minorBidi"/>
              <w:noProof/>
              <w:sz w:val="24"/>
              <w:szCs w:val="24"/>
            </w:rPr>
          </w:pPr>
          <w:hyperlink w:anchor="_Toc162267501" w:history="1">
            <w:r w:rsidR="00736DA9" w:rsidRPr="004372B1">
              <w:rPr>
                <w:rStyle w:val="Hyperlink"/>
                <w:noProof/>
              </w:rPr>
              <w:t>Figure 9.20: Current Cigarette Smoking Among Adults, by Race/Ethnicity.</w:t>
            </w:r>
            <w:r w:rsidR="00736DA9">
              <w:rPr>
                <w:noProof/>
                <w:webHidden/>
              </w:rPr>
              <w:tab/>
            </w:r>
            <w:r w:rsidR="00736DA9">
              <w:rPr>
                <w:noProof/>
                <w:webHidden/>
              </w:rPr>
              <w:fldChar w:fldCharType="begin"/>
            </w:r>
            <w:r w:rsidR="00736DA9">
              <w:rPr>
                <w:noProof/>
                <w:webHidden/>
              </w:rPr>
              <w:instrText xml:space="preserve"> PAGEREF _Toc162267501 \h </w:instrText>
            </w:r>
            <w:r w:rsidR="00736DA9">
              <w:rPr>
                <w:noProof/>
                <w:webHidden/>
              </w:rPr>
            </w:r>
            <w:r w:rsidR="00736DA9">
              <w:rPr>
                <w:noProof/>
                <w:webHidden/>
              </w:rPr>
              <w:fldChar w:fldCharType="separate"/>
            </w:r>
            <w:r w:rsidR="00736DA9">
              <w:rPr>
                <w:noProof/>
                <w:webHidden/>
              </w:rPr>
              <w:t>320</w:t>
            </w:r>
            <w:r w:rsidR="00736DA9">
              <w:rPr>
                <w:noProof/>
                <w:webHidden/>
              </w:rPr>
              <w:fldChar w:fldCharType="end"/>
            </w:r>
          </w:hyperlink>
        </w:p>
        <w:p w14:paraId="4F7C7108" w14:textId="7C707D5B" w:rsidR="00736DA9" w:rsidRDefault="00000000">
          <w:pPr>
            <w:pStyle w:val="TOC4"/>
            <w:tabs>
              <w:tab w:val="right" w:pos="9350"/>
            </w:tabs>
            <w:rPr>
              <w:rFonts w:eastAsiaTheme="minorEastAsia" w:cstheme="minorBidi"/>
              <w:noProof/>
              <w:sz w:val="24"/>
              <w:szCs w:val="24"/>
            </w:rPr>
          </w:pPr>
          <w:hyperlink w:anchor="_Toc162267502" w:history="1">
            <w:r w:rsidR="00736DA9" w:rsidRPr="004372B1">
              <w:rPr>
                <w:rStyle w:val="Hyperlink"/>
                <w:noProof/>
              </w:rPr>
              <w:t>Figure 9.21: Current Cigarette Smoking Among Adults, by Income Level.</w:t>
            </w:r>
            <w:r w:rsidR="00736DA9">
              <w:rPr>
                <w:noProof/>
                <w:webHidden/>
              </w:rPr>
              <w:tab/>
            </w:r>
            <w:r w:rsidR="00736DA9">
              <w:rPr>
                <w:noProof/>
                <w:webHidden/>
              </w:rPr>
              <w:fldChar w:fldCharType="begin"/>
            </w:r>
            <w:r w:rsidR="00736DA9">
              <w:rPr>
                <w:noProof/>
                <w:webHidden/>
              </w:rPr>
              <w:instrText xml:space="preserve"> PAGEREF _Toc162267502 \h </w:instrText>
            </w:r>
            <w:r w:rsidR="00736DA9">
              <w:rPr>
                <w:noProof/>
                <w:webHidden/>
              </w:rPr>
            </w:r>
            <w:r w:rsidR="00736DA9">
              <w:rPr>
                <w:noProof/>
                <w:webHidden/>
              </w:rPr>
              <w:fldChar w:fldCharType="separate"/>
            </w:r>
            <w:r w:rsidR="00736DA9">
              <w:rPr>
                <w:noProof/>
                <w:webHidden/>
              </w:rPr>
              <w:t>320</w:t>
            </w:r>
            <w:r w:rsidR="00736DA9">
              <w:rPr>
                <w:noProof/>
                <w:webHidden/>
              </w:rPr>
              <w:fldChar w:fldCharType="end"/>
            </w:r>
          </w:hyperlink>
        </w:p>
        <w:p w14:paraId="74092B47" w14:textId="7AC3A2AE" w:rsidR="00736DA9" w:rsidRDefault="00000000">
          <w:pPr>
            <w:pStyle w:val="TOC4"/>
            <w:tabs>
              <w:tab w:val="right" w:pos="9350"/>
            </w:tabs>
            <w:rPr>
              <w:rFonts w:eastAsiaTheme="minorEastAsia" w:cstheme="minorBidi"/>
              <w:noProof/>
              <w:sz w:val="24"/>
              <w:szCs w:val="24"/>
            </w:rPr>
          </w:pPr>
          <w:hyperlink w:anchor="_Toc162267503"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_Toc162267503 \h </w:instrText>
            </w:r>
            <w:r w:rsidR="00736DA9">
              <w:rPr>
                <w:noProof/>
                <w:webHidden/>
              </w:rPr>
            </w:r>
            <w:r w:rsidR="00736DA9">
              <w:rPr>
                <w:noProof/>
                <w:webHidden/>
              </w:rPr>
              <w:fldChar w:fldCharType="separate"/>
            </w:r>
            <w:r w:rsidR="00736DA9">
              <w:rPr>
                <w:noProof/>
                <w:webHidden/>
              </w:rPr>
              <w:t>320</w:t>
            </w:r>
            <w:r w:rsidR="00736DA9">
              <w:rPr>
                <w:noProof/>
                <w:webHidden/>
              </w:rPr>
              <w:fldChar w:fldCharType="end"/>
            </w:r>
          </w:hyperlink>
        </w:p>
        <w:p w14:paraId="1ECE27CC" w14:textId="74A44636" w:rsidR="00736DA9" w:rsidRDefault="00000000">
          <w:pPr>
            <w:pStyle w:val="TOC4"/>
            <w:tabs>
              <w:tab w:val="right" w:pos="9350"/>
            </w:tabs>
            <w:rPr>
              <w:rFonts w:eastAsiaTheme="minorEastAsia" w:cstheme="minorBidi"/>
              <w:noProof/>
              <w:sz w:val="24"/>
              <w:szCs w:val="24"/>
            </w:rPr>
          </w:pPr>
          <w:hyperlink w:anchor="_Toc162267504" w:history="1">
            <w:r w:rsidR="00736DA9" w:rsidRPr="004372B1">
              <w:rPr>
                <w:rStyle w:val="Hyperlink"/>
                <w:noProof/>
              </w:rPr>
              <w:t>References 9.10</w:t>
            </w:r>
            <w:r w:rsidR="00736DA9">
              <w:rPr>
                <w:noProof/>
                <w:webHidden/>
              </w:rPr>
              <w:tab/>
            </w:r>
            <w:r w:rsidR="00736DA9">
              <w:rPr>
                <w:noProof/>
                <w:webHidden/>
              </w:rPr>
              <w:fldChar w:fldCharType="begin"/>
            </w:r>
            <w:r w:rsidR="00736DA9">
              <w:rPr>
                <w:noProof/>
                <w:webHidden/>
              </w:rPr>
              <w:instrText xml:space="preserve"> PAGEREF _Toc162267504 \h </w:instrText>
            </w:r>
            <w:r w:rsidR="00736DA9">
              <w:rPr>
                <w:noProof/>
                <w:webHidden/>
              </w:rPr>
            </w:r>
            <w:r w:rsidR="00736DA9">
              <w:rPr>
                <w:noProof/>
                <w:webHidden/>
              </w:rPr>
              <w:fldChar w:fldCharType="separate"/>
            </w:r>
            <w:r w:rsidR="00736DA9">
              <w:rPr>
                <w:noProof/>
                <w:webHidden/>
              </w:rPr>
              <w:t>321</w:t>
            </w:r>
            <w:r w:rsidR="00736DA9">
              <w:rPr>
                <w:noProof/>
                <w:webHidden/>
              </w:rPr>
              <w:fldChar w:fldCharType="end"/>
            </w:r>
          </w:hyperlink>
        </w:p>
        <w:p w14:paraId="65D99140" w14:textId="3ABEEF1D" w:rsidR="00736DA9" w:rsidRDefault="00000000">
          <w:pPr>
            <w:pStyle w:val="TOC3"/>
            <w:tabs>
              <w:tab w:val="right" w:pos="9350"/>
            </w:tabs>
            <w:rPr>
              <w:rFonts w:eastAsiaTheme="minorEastAsia" w:cstheme="minorBidi"/>
              <w:noProof/>
              <w:sz w:val="24"/>
              <w:szCs w:val="24"/>
            </w:rPr>
          </w:pPr>
          <w:hyperlink w:anchor="_Toc162267505" w:history="1">
            <w:r w:rsidR="00736DA9" w:rsidRPr="004372B1">
              <w:rPr>
                <w:rStyle w:val="Hyperlink"/>
                <w:noProof/>
              </w:rPr>
              <w:t>Smoking Attributable Deaths</w:t>
            </w:r>
            <w:r w:rsidR="00736DA9">
              <w:rPr>
                <w:noProof/>
                <w:webHidden/>
              </w:rPr>
              <w:tab/>
            </w:r>
            <w:r w:rsidR="00736DA9">
              <w:rPr>
                <w:noProof/>
                <w:webHidden/>
              </w:rPr>
              <w:fldChar w:fldCharType="begin"/>
            </w:r>
            <w:r w:rsidR="00736DA9">
              <w:rPr>
                <w:noProof/>
                <w:webHidden/>
              </w:rPr>
              <w:instrText xml:space="preserve"> PAGEREF _Toc162267505 \h </w:instrText>
            </w:r>
            <w:r w:rsidR="00736DA9">
              <w:rPr>
                <w:noProof/>
                <w:webHidden/>
              </w:rPr>
            </w:r>
            <w:r w:rsidR="00736DA9">
              <w:rPr>
                <w:noProof/>
                <w:webHidden/>
              </w:rPr>
              <w:fldChar w:fldCharType="separate"/>
            </w:r>
            <w:r w:rsidR="00736DA9">
              <w:rPr>
                <w:noProof/>
                <w:webHidden/>
              </w:rPr>
              <w:t>322</w:t>
            </w:r>
            <w:r w:rsidR="00736DA9">
              <w:rPr>
                <w:noProof/>
                <w:webHidden/>
              </w:rPr>
              <w:fldChar w:fldCharType="end"/>
            </w:r>
          </w:hyperlink>
        </w:p>
        <w:p w14:paraId="66A643C7" w14:textId="250CE8B9" w:rsidR="00736DA9" w:rsidRDefault="00000000">
          <w:pPr>
            <w:pStyle w:val="TOC4"/>
            <w:tabs>
              <w:tab w:val="right" w:pos="9350"/>
            </w:tabs>
            <w:rPr>
              <w:rFonts w:eastAsiaTheme="minorEastAsia" w:cstheme="minorBidi"/>
              <w:noProof/>
              <w:sz w:val="24"/>
              <w:szCs w:val="24"/>
            </w:rPr>
          </w:pPr>
          <w:hyperlink w:anchor="_Toc162267506" w:history="1">
            <w:r w:rsidR="00736DA9" w:rsidRPr="004372B1">
              <w:rPr>
                <w:rStyle w:val="Hyperlink"/>
                <w:noProof/>
              </w:rPr>
              <w:t>Figure 9.22: Deaths Linked to Smoking, by County.</w:t>
            </w:r>
            <w:r w:rsidR="00736DA9">
              <w:rPr>
                <w:noProof/>
                <w:webHidden/>
              </w:rPr>
              <w:tab/>
            </w:r>
            <w:r w:rsidR="00736DA9">
              <w:rPr>
                <w:noProof/>
                <w:webHidden/>
              </w:rPr>
              <w:fldChar w:fldCharType="begin"/>
            </w:r>
            <w:r w:rsidR="00736DA9">
              <w:rPr>
                <w:noProof/>
                <w:webHidden/>
              </w:rPr>
              <w:instrText xml:space="preserve"> PAGEREF _Toc162267506 \h </w:instrText>
            </w:r>
            <w:r w:rsidR="00736DA9">
              <w:rPr>
                <w:noProof/>
                <w:webHidden/>
              </w:rPr>
            </w:r>
            <w:r w:rsidR="00736DA9">
              <w:rPr>
                <w:noProof/>
                <w:webHidden/>
              </w:rPr>
              <w:fldChar w:fldCharType="separate"/>
            </w:r>
            <w:r w:rsidR="00736DA9">
              <w:rPr>
                <w:noProof/>
                <w:webHidden/>
              </w:rPr>
              <w:t>322</w:t>
            </w:r>
            <w:r w:rsidR="00736DA9">
              <w:rPr>
                <w:noProof/>
                <w:webHidden/>
              </w:rPr>
              <w:fldChar w:fldCharType="end"/>
            </w:r>
          </w:hyperlink>
        </w:p>
        <w:p w14:paraId="138308FB" w14:textId="4383D1A8" w:rsidR="00736DA9" w:rsidRDefault="00000000">
          <w:pPr>
            <w:pStyle w:val="TOC4"/>
            <w:tabs>
              <w:tab w:val="right" w:pos="9350"/>
            </w:tabs>
            <w:rPr>
              <w:rFonts w:eastAsiaTheme="minorEastAsia" w:cstheme="minorBidi"/>
              <w:noProof/>
              <w:sz w:val="24"/>
              <w:szCs w:val="24"/>
            </w:rPr>
          </w:pPr>
          <w:hyperlink w:anchor="_Toc162267507"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_Toc162267507 \h </w:instrText>
            </w:r>
            <w:r w:rsidR="00736DA9">
              <w:rPr>
                <w:noProof/>
                <w:webHidden/>
              </w:rPr>
            </w:r>
            <w:r w:rsidR="00736DA9">
              <w:rPr>
                <w:noProof/>
                <w:webHidden/>
              </w:rPr>
              <w:fldChar w:fldCharType="separate"/>
            </w:r>
            <w:r w:rsidR="00736DA9">
              <w:rPr>
                <w:noProof/>
                <w:webHidden/>
              </w:rPr>
              <w:t>324</w:t>
            </w:r>
            <w:r w:rsidR="00736DA9">
              <w:rPr>
                <w:noProof/>
                <w:webHidden/>
              </w:rPr>
              <w:fldChar w:fldCharType="end"/>
            </w:r>
          </w:hyperlink>
        </w:p>
        <w:p w14:paraId="24FC36F0" w14:textId="1B797A3C" w:rsidR="00736DA9" w:rsidRDefault="00000000">
          <w:pPr>
            <w:pStyle w:val="TOC4"/>
            <w:tabs>
              <w:tab w:val="right" w:pos="9350"/>
            </w:tabs>
            <w:rPr>
              <w:rFonts w:eastAsiaTheme="minorEastAsia" w:cstheme="minorBidi"/>
              <w:noProof/>
              <w:sz w:val="24"/>
              <w:szCs w:val="24"/>
            </w:rPr>
          </w:pPr>
          <w:hyperlink w:anchor="_Toc162267508" w:history="1">
            <w:r w:rsidR="00736DA9" w:rsidRPr="004372B1">
              <w:rPr>
                <w:rStyle w:val="Hyperlink"/>
                <w:noProof/>
              </w:rPr>
              <w:t>References 9.11</w:t>
            </w:r>
            <w:r w:rsidR="00736DA9">
              <w:rPr>
                <w:noProof/>
                <w:webHidden/>
              </w:rPr>
              <w:tab/>
            </w:r>
            <w:r w:rsidR="00736DA9">
              <w:rPr>
                <w:noProof/>
                <w:webHidden/>
              </w:rPr>
              <w:fldChar w:fldCharType="begin"/>
            </w:r>
            <w:r w:rsidR="00736DA9">
              <w:rPr>
                <w:noProof/>
                <w:webHidden/>
              </w:rPr>
              <w:instrText xml:space="preserve"> PAGEREF _Toc162267508 \h </w:instrText>
            </w:r>
            <w:r w:rsidR="00736DA9">
              <w:rPr>
                <w:noProof/>
                <w:webHidden/>
              </w:rPr>
            </w:r>
            <w:r w:rsidR="00736DA9">
              <w:rPr>
                <w:noProof/>
                <w:webHidden/>
              </w:rPr>
              <w:fldChar w:fldCharType="separate"/>
            </w:r>
            <w:r w:rsidR="00736DA9">
              <w:rPr>
                <w:noProof/>
                <w:webHidden/>
              </w:rPr>
              <w:t>324</w:t>
            </w:r>
            <w:r w:rsidR="00736DA9">
              <w:rPr>
                <w:noProof/>
                <w:webHidden/>
              </w:rPr>
              <w:fldChar w:fldCharType="end"/>
            </w:r>
          </w:hyperlink>
        </w:p>
        <w:p w14:paraId="7AD4600A" w14:textId="296AC121" w:rsidR="00736DA9" w:rsidRDefault="00000000">
          <w:pPr>
            <w:pStyle w:val="TOC3"/>
            <w:tabs>
              <w:tab w:val="right" w:pos="9350"/>
            </w:tabs>
            <w:rPr>
              <w:rFonts w:eastAsiaTheme="minorEastAsia" w:cstheme="minorBidi"/>
              <w:noProof/>
              <w:sz w:val="24"/>
              <w:szCs w:val="24"/>
            </w:rPr>
          </w:pPr>
          <w:hyperlink w:anchor="_Toc162267509" w:history="1">
            <w:r w:rsidR="00736DA9" w:rsidRPr="004372B1">
              <w:rPr>
                <w:rStyle w:val="Hyperlink"/>
                <w:noProof/>
              </w:rPr>
              <w:t>Secondhand Smoke Exposure</w:t>
            </w:r>
            <w:r w:rsidR="00736DA9">
              <w:rPr>
                <w:noProof/>
                <w:webHidden/>
              </w:rPr>
              <w:tab/>
            </w:r>
            <w:r w:rsidR="00736DA9">
              <w:rPr>
                <w:noProof/>
                <w:webHidden/>
              </w:rPr>
              <w:fldChar w:fldCharType="begin"/>
            </w:r>
            <w:r w:rsidR="00736DA9">
              <w:rPr>
                <w:noProof/>
                <w:webHidden/>
              </w:rPr>
              <w:instrText xml:space="preserve"> PAGEREF _Toc162267509 \h </w:instrText>
            </w:r>
            <w:r w:rsidR="00736DA9">
              <w:rPr>
                <w:noProof/>
                <w:webHidden/>
              </w:rPr>
            </w:r>
            <w:r w:rsidR="00736DA9">
              <w:rPr>
                <w:noProof/>
                <w:webHidden/>
              </w:rPr>
              <w:fldChar w:fldCharType="separate"/>
            </w:r>
            <w:r w:rsidR="00736DA9">
              <w:rPr>
                <w:noProof/>
                <w:webHidden/>
              </w:rPr>
              <w:t>325</w:t>
            </w:r>
            <w:r w:rsidR="00736DA9">
              <w:rPr>
                <w:noProof/>
                <w:webHidden/>
              </w:rPr>
              <w:fldChar w:fldCharType="end"/>
            </w:r>
          </w:hyperlink>
        </w:p>
        <w:p w14:paraId="40754B15" w14:textId="584F9991" w:rsidR="00736DA9" w:rsidRDefault="00000000">
          <w:pPr>
            <w:pStyle w:val="TOC4"/>
            <w:tabs>
              <w:tab w:val="right" w:pos="9350"/>
            </w:tabs>
            <w:rPr>
              <w:rFonts w:eastAsiaTheme="minorEastAsia" w:cstheme="minorBidi"/>
              <w:noProof/>
              <w:sz w:val="24"/>
              <w:szCs w:val="24"/>
            </w:rPr>
          </w:pPr>
          <w:hyperlink w:anchor="_Toc162267510" w:history="1">
            <w:r w:rsidR="00736DA9" w:rsidRPr="004372B1">
              <w:rPr>
                <w:rStyle w:val="Hyperlink"/>
                <w:noProof/>
              </w:rPr>
              <w:t>Figure 9.22: Deaths Linked to Smoking, by County.</w:t>
            </w:r>
            <w:r w:rsidR="00736DA9">
              <w:rPr>
                <w:noProof/>
                <w:webHidden/>
              </w:rPr>
              <w:tab/>
            </w:r>
            <w:r w:rsidR="00736DA9">
              <w:rPr>
                <w:noProof/>
                <w:webHidden/>
              </w:rPr>
              <w:fldChar w:fldCharType="begin"/>
            </w:r>
            <w:r w:rsidR="00736DA9">
              <w:rPr>
                <w:noProof/>
                <w:webHidden/>
              </w:rPr>
              <w:instrText xml:space="preserve"> PAGEREF _Toc162267510 \h </w:instrText>
            </w:r>
            <w:r w:rsidR="00736DA9">
              <w:rPr>
                <w:noProof/>
                <w:webHidden/>
              </w:rPr>
            </w:r>
            <w:r w:rsidR="00736DA9">
              <w:rPr>
                <w:noProof/>
                <w:webHidden/>
              </w:rPr>
              <w:fldChar w:fldCharType="separate"/>
            </w:r>
            <w:r w:rsidR="00736DA9">
              <w:rPr>
                <w:noProof/>
                <w:webHidden/>
              </w:rPr>
              <w:t>326</w:t>
            </w:r>
            <w:r w:rsidR="00736DA9">
              <w:rPr>
                <w:noProof/>
                <w:webHidden/>
              </w:rPr>
              <w:fldChar w:fldCharType="end"/>
            </w:r>
          </w:hyperlink>
        </w:p>
        <w:p w14:paraId="6ECE2A3C" w14:textId="09FB77BB" w:rsidR="00736DA9" w:rsidRDefault="00000000">
          <w:pPr>
            <w:pStyle w:val="TOC4"/>
            <w:tabs>
              <w:tab w:val="right" w:pos="9350"/>
            </w:tabs>
            <w:rPr>
              <w:rFonts w:eastAsiaTheme="minorEastAsia" w:cstheme="minorBidi"/>
              <w:noProof/>
              <w:sz w:val="24"/>
              <w:szCs w:val="24"/>
            </w:rPr>
          </w:pPr>
          <w:hyperlink w:anchor="_Toc162267511" w:history="1">
            <w:r w:rsidR="00736DA9" w:rsidRPr="004372B1">
              <w:rPr>
                <w:rStyle w:val="Hyperlink"/>
                <w:noProof/>
              </w:rPr>
              <w:t>Figure 9.23 – Smoke-Free Work Ordinances.</w:t>
            </w:r>
            <w:r w:rsidR="00736DA9">
              <w:rPr>
                <w:noProof/>
                <w:webHidden/>
              </w:rPr>
              <w:tab/>
            </w:r>
            <w:r w:rsidR="00736DA9">
              <w:rPr>
                <w:noProof/>
                <w:webHidden/>
              </w:rPr>
              <w:fldChar w:fldCharType="begin"/>
            </w:r>
            <w:r w:rsidR="00736DA9">
              <w:rPr>
                <w:noProof/>
                <w:webHidden/>
              </w:rPr>
              <w:instrText xml:space="preserve"> PAGEREF _Toc162267511 \h </w:instrText>
            </w:r>
            <w:r w:rsidR="00736DA9">
              <w:rPr>
                <w:noProof/>
                <w:webHidden/>
              </w:rPr>
            </w:r>
            <w:r w:rsidR="00736DA9">
              <w:rPr>
                <w:noProof/>
                <w:webHidden/>
              </w:rPr>
              <w:fldChar w:fldCharType="separate"/>
            </w:r>
            <w:r w:rsidR="00736DA9">
              <w:rPr>
                <w:noProof/>
                <w:webHidden/>
              </w:rPr>
              <w:t>328</w:t>
            </w:r>
            <w:r w:rsidR="00736DA9">
              <w:rPr>
                <w:noProof/>
                <w:webHidden/>
              </w:rPr>
              <w:fldChar w:fldCharType="end"/>
            </w:r>
          </w:hyperlink>
        </w:p>
        <w:p w14:paraId="7637362E" w14:textId="38A0EB8C" w:rsidR="00736DA9" w:rsidRDefault="00000000">
          <w:pPr>
            <w:pStyle w:val="TOC4"/>
            <w:tabs>
              <w:tab w:val="right" w:pos="9350"/>
            </w:tabs>
            <w:rPr>
              <w:rFonts w:eastAsiaTheme="minorEastAsia" w:cstheme="minorBidi"/>
              <w:noProof/>
              <w:sz w:val="24"/>
              <w:szCs w:val="24"/>
            </w:rPr>
          </w:pPr>
          <w:hyperlink w:anchor="_Toc162267512"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_Toc162267512 \h </w:instrText>
            </w:r>
            <w:r w:rsidR="00736DA9">
              <w:rPr>
                <w:noProof/>
                <w:webHidden/>
              </w:rPr>
            </w:r>
            <w:r w:rsidR="00736DA9">
              <w:rPr>
                <w:noProof/>
                <w:webHidden/>
              </w:rPr>
              <w:fldChar w:fldCharType="separate"/>
            </w:r>
            <w:r w:rsidR="00736DA9">
              <w:rPr>
                <w:noProof/>
                <w:webHidden/>
              </w:rPr>
              <w:t>330</w:t>
            </w:r>
            <w:r w:rsidR="00736DA9">
              <w:rPr>
                <w:noProof/>
                <w:webHidden/>
              </w:rPr>
              <w:fldChar w:fldCharType="end"/>
            </w:r>
          </w:hyperlink>
        </w:p>
        <w:p w14:paraId="3F26829D" w14:textId="7D7FB687" w:rsidR="00736DA9" w:rsidRDefault="00000000">
          <w:pPr>
            <w:pStyle w:val="TOC4"/>
            <w:tabs>
              <w:tab w:val="right" w:pos="9350"/>
            </w:tabs>
            <w:rPr>
              <w:rFonts w:eastAsiaTheme="minorEastAsia" w:cstheme="minorBidi"/>
              <w:noProof/>
              <w:sz w:val="24"/>
              <w:szCs w:val="24"/>
            </w:rPr>
          </w:pPr>
          <w:hyperlink w:anchor="_Toc162267513" w:history="1">
            <w:r w:rsidR="00736DA9" w:rsidRPr="004372B1">
              <w:rPr>
                <w:rStyle w:val="Hyperlink"/>
                <w:noProof/>
              </w:rPr>
              <w:t>References 9.12</w:t>
            </w:r>
            <w:r w:rsidR="00736DA9">
              <w:rPr>
                <w:noProof/>
                <w:webHidden/>
              </w:rPr>
              <w:tab/>
            </w:r>
            <w:r w:rsidR="00736DA9">
              <w:rPr>
                <w:noProof/>
                <w:webHidden/>
              </w:rPr>
              <w:fldChar w:fldCharType="begin"/>
            </w:r>
            <w:r w:rsidR="00736DA9">
              <w:rPr>
                <w:noProof/>
                <w:webHidden/>
              </w:rPr>
              <w:instrText xml:space="preserve"> PAGEREF _Toc162267513 \h </w:instrText>
            </w:r>
            <w:r w:rsidR="00736DA9">
              <w:rPr>
                <w:noProof/>
                <w:webHidden/>
              </w:rPr>
            </w:r>
            <w:r w:rsidR="00736DA9">
              <w:rPr>
                <w:noProof/>
                <w:webHidden/>
              </w:rPr>
              <w:fldChar w:fldCharType="separate"/>
            </w:r>
            <w:r w:rsidR="00736DA9">
              <w:rPr>
                <w:noProof/>
                <w:webHidden/>
              </w:rPr>
              <w:t>331</w:t>
            </w:r>
            <w:r w:rsidR="00736DA9">
              <w:rPr>
                <w:noProof/>
                <w:webHidden/>
              </w:rPr>
              <w:fldChar w:fldCharType="end"/>
            </w:r>
          </w:hyperlink>
        </w:p>
        <w:p w14:paraId="436D9D46" w14:textId="132174ED" w:rsidR="00736DA9" w:rsidRDefault="00000000">
          <w:pPr>
            <w:pStyle w:val="TOC3"/>
            <w:tabs>
              <w:tab w:val="right" w:pos="9350"/>
            </w:tabs>
            <w:rPr>
              <w:rFonts w:eastAsiaTheme="minorEastAsia" w:cstheme="minorBidi"/>
              <w:noProof/>
              <w:sz w:val="24"/>
              <w:szCs w:val="24"/>
            </w:rPr>
          </w:pPr>
          <w:hyperlink w:anchor="_Toc162267514" w:history="1">
            <w:r w:rsidR="00736DA9" w:rsidRPr="004372B1">
              <w:rPr>
                <w:rStyle w:val="Hyperlink"/>
                <w:noProof/>
              </w:rPr>
              <w:t>All Cancers</w:t>
            </w:r>
            <w:r w:rsidR="00736DA9">
              <w:rPr>
                <w:noProof/>
                <w:webHidden/>
              </w:rPr>
              <w:tab/>
            </w:r>
            <w:r w:rsidR="00736DA9">
              <w:rPr>
                <w:noProof/>
                <w:webHidden/>
              </w:rPr>
              <w:fldChar w:fldCharType="begin"/>
            </w:r>
            <w:r w:rsidR="00736DA9">
              <w:rPr>
                <w:noProof/>
                <w:webHidden/>
              </w:rPr>
              <w:instrText xml:space="preserve"> PAGEREF _Toc162267514 \h </w:instrText>
            </w:r>
            <w:r w:rsidR="00736DA9">
              <w:rPr>
                <w:noProof/>
                <w:webHidden/>
              </w:rPr>
            </w:r>
            <w:r w:rsidR="00736DA9">
              <w:rPr>
                <w:noProof/>
                <w:webHidden/>
              </w:rPr>
              <w:fldChar w:fldCharType="separate"/>
            </w:r>
            <w:r w:rsidR="00736DA9">
              <w:rPr>
                <w:noProof/>
                <w:webHidden/>
              </w:rPr>
              <w:t>332</w:t>
            </w:r>
            <w:r w:rsidR="00736DA9">
              <w:rPr>
                <w:noProof/>
                <w:webHidden/>
              </w:rPr>
              <w:fldChar w:fldCharType="end"/>
            </w:r>
          </w:hyperlink>
        </w:p>
        <w:p w14:paraId="5F3750E8" w14:textId="1D922A70" w:rsidR="00736DA9" w:rsidRDefault="00000000">
          <w:pPr>
            <w:pStyle w:val="TOC4"/>
            <w:tabs>
              <w:tab w:val="right" w:pos="9350"/>
            </w:tabs>
            <w:rPr>
              <w:rFonts w:eastAsiaTheme="minorEastAsia" w:cstheme="minorBidi"/>
              <w:noProof/>
              <w:sz w:val="24"/>
              <w:szCs w:val="24"/>
            </w:rPr>
          </w:pPr>
          <w:hyperlink w:anchor="_Toc162267515" w:history="1">
            <w:r w:rsidR="00736DA9" w:rsidRPr="004372B1">
              <w:rPr>
                <w:rStyle w:val="Hyperlink"/>
                <w:noProof/>
              </w:rPr>
              <w:t>Table 9.2: Leading Number of New Cases of Cancer.</w:t>
            </w:r>
            <w:r w:rsidR="00736DA9">
              <w:rPr>
                <w:noProof/>
                <w:webHidden/>
              </w:rPr>
              <w:tab/>
            </w:r>
            <w:r w:rsidR="00736DA9">
              <w:rPr>
                <w:noProof/>
                <w:webHidden/>
              </w:rPr>
              <w:fldChar w:fldCharType="begin"/>
            </w:r>
            <w:r w:rsidR="00736DA9">
              <w:rPr>
                <w:noProof/>
                <w:webHidden/>
              </w:rPr>
              <w:instrText xml:space="preserve"> PAGEREF _Toc162267515 \h </w:instrText>
            </w:r>
            <w:r w:rsidR="00736DA9">
              <w:rPr>
                <w:noProof/>
                <w:webHidden/>
              </w:rPr>
            </w:r>
            <w:r w:rsidR="00736DA9">
              <w:rPr>
                <w:noProof/>
                <w:webHidden/>
              </w:rPr>
              <w:fldChar w:fldCharType="separate"/>
            </w:r>
            <w:r w:rsidR="00736DA9">
              <w:rPr>
                <w:noProof/>
                <w:webHidden/>
              </w:rPr>
              <w:t>333</w:t>
            </w:r>
            <w:r w:rsidR="00736DA9">
              <w:rPr>
                <w:noProof/>
                <w:webHidden/>
              </w:rPr>
              <w:fldChar w:fldCharType="end"/>
            </w:r>
          </w:hyperlink>
        </w:p>
        <w:p w14:paraId="6827C33F" w14:textId="0D4DE4D3" w:rsidR="00736DA9" w:rsidRDefault="00000000">
          <w:pPr>
            <w:pStyle w:val="TOC4"/>
            <w:tabs>
              <w:tab w:val="right" w:pos="9350"/>
            </w:tabs>
            <w:rPr>
              <w:rFonts w:eastAsiaTheme="minorEastAsia" w:cstheme="minorBidi"/>
              <w:noProof/>
              <w:sz w:val="24"/>
              <w:szCs w:val="24"/>
            </w:rPr>
          </w:pPr>
          <w:hyperlink w:anchor="_Toc162267516" w:history="1">
            <w:r w:rsidR="00736DA9" w:rsidRPr="004372B1">
              <w:rPr>
                <w:rStyle w:val="Hyperlink"/>
                <w:noProof/>
              </w:rPr>
              <w:t>Figure 9.24: All Cancer Incidence.</w:t>
            </w:r>
            <w:r w:rsidR="00736DA9">
              <w:rPr>
                <w:noProof/>
                <w:webHidden/>
              </w:rPr>
              <w:tab/>
            </w:r>
            <w:r w:rsidR="00736DA9">
              <w:rPr>
                <w:noProof/>
                <w:webHidden/>
              </w:rPr>
              <w:fldChar w:fldCharType="begin"/>
            </w:r>
            <w:r w:rsidR="00736DA9">
              <w:rPr>
                <w:noProof/>
                <w:webHidden/>
              </w:rPr>
              <w:instrText xml:space="preserve"> PAGEREF _Toc162267516 \h </w:instrText>
            </w:r>
            <w:r w:rsidR="00736DA9">
              <w:rPr>
                <w:noProof/>
                <w:webHidden/>
              </w:rPr>
            </w:r>
            <w:r w:rsidR="00736DA9">
              <w:rPr>
                <w:noProof/>
                <w:webHidden/>
              </w:rPr>
              <w:fldChar w:fldCharType="separate"/>
            </w:r>
            <w:r w:rsidR="00736DA9">
              <w:rPr>
                <w:noProof/>
                <w:webHidden/>
              </w:rPr>
              <w:t>333</w:t>
            </w:r>
            <w:r w:rsidR="00736DA9">
              <w:rPr>
                <w:noProof/>
                <w:webHidden/>
              </w:rPr>
              <w:fldChar w:fldCharType="end"/>
            </w:r>
          </w:hyperlink>
        </w:p>
        <w:p w14:paraId="587A4876" w14:textId="2728DF96" w:rsidR="00736DA9" w:rsidRDefault="00000000">
          <w:pPr>
            <w:pStyle w:val="TOC4"/>
            <w:tabs>
              <w:tab w:val="right" w:pos="9350"/>
            </w:tabs>
            <w:rPr>
              <w:rFonts w:eastAsiaTheme="minorEastAsia" w:cstheme="minorBidi"/>
              <w:noProof/>
              <w:sz w:val="24"/>
              <w:szCs w:val="24"/>
            </w:rPr>
          </w:pPr>
          <w:hyperlink w:anchor="_Toc162267517" w:history="1">
            <w:r w:rsidR="00736DA9" w:rsidRPr="004372B1">
              <w:rPr>
                <w:rStyle w:val="Hyperlink"/>
                <w:noProof/>
              </w:rPr>
              <w:t>Figure 9.25: All Cancer Incidence, by Race/Ethnicity and Sex.</w:t>
            </w:r>
            <w:r w:rsidR="00736DA9">
              <w:rPr>
                <w:noProof/>
                <w:webHidden/>
              </w:rPr>
              <w:tab/>
            </w:r>
            <w:r w:rsidR="00736DA9">
              <w:rPr>
                <w:noProof/>
                <w:webHidden/>
              </w:rPr>
              <w:fldChar w:fldCharType="begin"/>
            </w:r>
            <w:r w:rsidR="00736DA9">
              <w:rPr>
                <w:noProof/>
                <w:webHidden/>
              </w:rPr>
              <w:instrText xml:space="preserve"> PAGEREF _Toc162267517 \h </w:instrText>
            </w:r>
            <w:r w:rsidR="00736DA9">
              <w:rPr>
                <w:noProof/>
                <w:webHidden/>
              </w:rPr>
            </w:r>
            <w:r w:rsidR="00736DA9">
              <w:rPr>
                <w:noProof/>
                <w:webHidden/>
              </w:rPr>
              <w:fldChar w:fldCharType="separate"/>
            </w:r>
            <w:r w:rsidR="00736DA9">
              <w:rPr>
                <w:noProof/>
                <w:webHidden/>
              </w:rPr>
              <w:t>334</w:t>
            </w:r>
            <w:r w:rsidR="00736DA9">
              <w:rPr>
                <w:noProof/>
                <w:webHidden/>
              </w:rPr>
              <w:fldChar w:fldCharType="end"/>
            </w:r>
          </w:hyperlink>
        </w:p>
        <w:p w14:paraId="663ACB61" w14:textId="39C2828C" w:rsidR="00736DA9" w:rsidRDefault="00000000">
          <w:pPr>
            <w:pStyle w:val="TOC4"/>
            <w:tabs>
              <w:tab w:val="right" w:pos="9350"/>
            </w:tabs>
            <w:rPr>
              <w:rFonts w:eastAsiaTheme="minorEastAsia" w:cstheme="minorBidi"/>
              <w:noProof/>
              <w:sz w:val="24"/>
              <w:szCs w:val="24"/>
            </w:rPr>
          </w:pPr>
          <w:hyperlink w:anchor="_Toc162267518" w:history="1">
            <w:r w:rsidR="00736DA9" w:rsidRPr="004372B1">
              <w:rPr>
                <w:rStyle w:val="Hyperlink"/>
                <w:noProof/>
              </w:rPr>
              <w:t>Figure 9.26: All Cancer Deaths.</w:t>
            </w:r>
            <w:r w:rsidR="00736DA9">
              <w:rPr>
                <w:noProof/>
                <w:webHidden/>
              </w:rPr>
              <w:tab/>
            </w:r>
            <w:r w:rsidR="00736DA9">
              <w:rPr>
                <w:noProof/>
                <w:webHidden/>
              </w:rPr>
              <w:fldChar w:fldCharType="begin"/>
            </w:r>
            <w:r w:rsidR="00736DA9">
              <w:rPr>
                <w:noProof/>
                <w:webHidden/>
              </w:rPr>
              <w:instrText xml:space="preserve"> PAGEREF _Toc162267518 \h </w:instrText>
            </w:r>
            <w:r w:rsidR="00736DA9">
              <w:rPr>
                <w:noProof/>
                <w:webHidden/>
              </w:rPr>
            </w:r>
            <w:r w:rsidR="00736DA9">
              <w:rPr>
                <w:noProof/>
                <w:webHidden/>
              </w:rPr>
              <w:fldChar w:fldCharType="separate"/>
            </w:r>
            <w:r w:rsidR="00736DA9">
              <w:rPr>
                <w:noProof/>
                <w:webHidden/>
              </w:rPr>
              <w:t>334</w:t>
            </w:r>
            <w:r w:rsidR="00736DA9">
              <w:rPr>
                <w:noProof/>
                <w:webHidden/>
              </w:rPr>
              <w:fldChar w:fldCharType="end"/>
            </w:r>
          </w:hyperlink>
        </w:p>
        <w:p w14:paraId="78993362" w14:textId="72B8E443" w:rsidR="00736DA9" w:rsidRDefault="00000000">
          <w:pPr>
            <w:pStyle w:val="TOC4"/>
            <w:tabs>
              <w:tab w:val="right" w:pos="9350"/>
            </w:tabs>
            <w:rPr>
              <w:rFonts w:eastAsiaTheme="minorEastAsia" w:cstheme="minorBidi"/>
              <w:noProof/>
              <w:sz w:val="24"/>
              <w:szCs w:val="24"/>
            </w:rPr>
          </w:pPr>
          <w:hyperlink w:anchor="_Toc162267519" w:history="1">
            <w:r w:rsidR="00736DA9" w:rsidRPr="004372B1">
              <w:rPr>
                <w:rStyle w:val="Hyperlink"/>
                <w:noProof/>
              </w:rPr>
              <w:t>Figure 9.27: All Cancer Deaths, by Race/Ethnicity and Sex.</w:t>
            </w:r>
            <w:r w:rsidR="00736DA9">
              <w:rPr>
                <w:noProof/>
                <w:webHidden/>
              </w:rPr>
              <w:tab/>
            </w:r>
            <w:r w:rsidR="00736DA9">
              <w:rPr>
                <w:noProof/>
                <w:webHidden/>
              </w:rPr>
              <w:fldChar w:fldCharType="begin"/>
            </w:r>
            <w:r w:rsidR="00736DA9">
              <w:rPr>
                <w:noProof/>
                <w:webHidden/>
              </w:rPr>
              <w:instrText xml:space="preserve"> PAGEREF _Toc162267519 \h </w:instrText>
            </w:r>
            <w:r w:rsidR="00736DA9">
              <w:rPr>
                <w:noProof/>
                <w:webHidden/>
              </w:rPr>
            </w:r>
            <w:r w:rsidR="00736DA9">
              <w:rPr>
                <w:noProof/>
                <w:webHidden/>
              </w:rPr>
              <w:fldChar w:fldCharType="separate"/>
            </w:r>
            <w:r w:rsidR="00736DA9">
              <w:rPr>
                <w:noProof/>
                <w:webHidden/>
              </w:rPr>
              <w:t>334</w:t>
            </w:r>
            <w:r w:rsidR="00736DA9">
              <w:rPr>
                <w:noProof/>
                <w:webHidden/>
              </w:rPr>
              <w:fldChar w:fldCharType="end"/>
            </w:r>
          </w:hyperlink>
        </w:p>
        <w:p w14:paraId="28552D11" w14:textId="0374A652" w:rsidR="00736DA9" w:rsidRDefault="00000000">
          <w:pPr>
            <w:pStyle w:val="TOC4"/>
            <w:tabs>
              <w:tab w:val="right" w:pos="9350"/>
            </w:tabs>
            <w:rPr>
              <w:rFonts w:eastAsiaTheme="minorEastAsia" w:cstheme="minorBidi"/>
              <w:noProof/>
              <w:sz w:val="24"/>
              <w:szCs w:val="24"/>
            </w:rPr>
          </w:pPr>
          <w:hyperlink w:anchor="_Toc162267520"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_Toc162267520 \h </w:instrText>
            </w:r>
            <w:r w:rsidR="00736DA9">
              <w:rPr>
                <w:noProof/>
                <w:webHidden/>
              </w:rPr>
            </w:r>
            <w:r w:rsidR="00736DA9">
              <w:rPr>
                <w:noProof/>
                <w:webHidden/>
              </w:rPr>
              <w:fldChar w:fldCharType="separate"/>
            </w:r>
            <w:r w:rsidR="00736DA9">
              <w:rPr>
                <w:noProof/>
                <w:webHidden/>
              </w:rPr>
              <w:t>335</w:t>
            </w:r>
            <w:r w:rsidR="00736DA9">
              <w:rPr>
                <w:noProof/>
                <w:webHidden/>
              </w:rPr>
              <w:fldChar w:fldCharType="end"/>
            </w:r>
          </w:hyperlink>
        </w:p>
        <w:p w14:paraId="66AE9F65" w14:textId="7FAE216A" w:rsidR="00736DA9" w:rsidRDefault="00000000">
          <w:pPr>
            <w:pStyle w:val="TOC4"/>
            <w:tabs>
              <w:tab w:val="right" w:pos="9350"/>
            </w:tabs>
            <w:rPr>
              <w:rFonts w:eastAsiaTheme="minorEastAsia" w:cstheme="minorBidi"/>
              <w:noProof/>
              <w:sz w:val="24"/>
              <w:szCs w:val="24"/>
            </w:rPr>
          </w:pPr>
          <w:hyperlink w:anchor="_Toc162267521" w:history="1">
            <w:r w:rsidR="00736DA9" w:rsidRPr="004372B1">
              <w:rPr>
                <w:rStyle w:val="Hyperlink"/>
                <w:noProof/>
              </w:rPr>
              <w:t>References 9.13</w:t>
            </w:r>
            <w:r w:rsidR="00736DA9">
              <w:rPr>
                <w:noProof/>
                <w:webHidden/>
              </w:rPr>
              <w:tab/>
            </w:r>
            <w:r w:rsidR="00736DA9">
              <w:rPr>
                <w:noProof/>
                <w:webHidden/>
              </w:rPr>
              <w:fldChar w:fldCharType="begin"/>
            </w:r>
            <w:r w:rsidR="00736DA9">
              <w:rPr>
                <w:noProof/>
                <w:webHidden/>
              </w:rPr>
              <w:instrText xml:space="preserve"> PAGEREF _Toc162267521 \h </w:instrText>
            </w:r>
            <w:r w:rsidR="00736DA9">
              <w:rPr>
                <w:noProof/>
                <w:webHidden/>
              </w:rPr>
            </w:r>
            <w:r w:rsidR="00736DA9">
              <w:rPr>
                <w:noProof/>
                <w:webHidden/>
              </w:rPr>
              <w:fldChar w:fldCharType="separate"/>
            </w:r>
            <w:r w:rsidR="00736DA9">
              <w:rPr>
                <w:noProof/>
                <w:webHidden/>
              </w:rPr>
              <w:t>335</w:t>
            </w:r>
            <w:r w:rsidR="00736DA9">
              <w:rPr>
                <w:noProof/>
                <w:webHidden/>
              </w:rPr>
              <w:fldChar w:fldCharType="end"/>
            </w:r>
          </w:hyperlink>
        </w:p>
        <w:p w14:paraId="5425C4B3" w14:textId="51CAA483" w:rsidR="00736DA9" w:rsidRDefault="00000000">
          <w:pPr>
            <w:pStyle w:val="TOC3"/>
            <w:tabs>
              <w:tab w:val="right" w:pos="9350"/>
            </w:tabs>
            <w:rPr>
              <w:rFonts w:eastAsiaTheme="minorEastAsia" w:cstheme="minorBidi"/>
              <w:noProof/>
              <w:sz w:val="24"/>
              <w:szCs w:val="24"/>
            </w:rPr>
          </w:pPr>
          <w:hyperlink w:anchor="_Toc162267522" w:history="1">
            <w:r w:rsidR="00736DA9" w:rsidRPr="004372B1">
              <w:rPr>
                <w:rStyle w:val="Hyperlink"/>
                <w:noProof/>
              </w:rPr>
              <w:t>Lung Cancer</w:t>
            </w:r>
            <w:r w:rsidR="00736DA9">
              <w:rPr>
                <w:noProof/>
                <w:webHidden/>
              </w:rPr>
              <w:tab/>
            </w:r>
            <w:r w:rsidR="00736DA9">
              <w:rPr>
                <w:noProof/>
                <w:webHidden/>
              </w:rPr>
              <w:fldChar w:fldCharType="begin"/>
            </w:r>
            <w:r w:rsidR="00736DA9">
              <w:rPr>
                <w:noProof/>
                <w:webHidden/>
              </w:rPr>
              <w:instrText xml:space="preserve"> PAGEREF _Toc162267522 \h </w:instrText>
            </w:r>
            <w:r w:rsidR="00736DA9">
              <w:rPr>
                <w:noProof/>
                <w:webHidden/>
              </w:rPr>
            </w:r>
            <w:r w:rsidR="00736DA9">
              <w:rPr>
                <w:noProof/>
                <w:webHidden/>
              </w:rPr>
              <w:fldChar w:fldCharType="separate"/>
            </w:r>
            <w:r w:rsidR="00736DA9">
              <w:rPr>
                <w:noProof/>
                <w:webHidden/>
              </w:rPr>
              <w:t>336</w:t>
            </w:r>
            <w:r w:rsidR="00736DA9">
              <w:rPr>
                <w:noProof/>
                <w:webHidden/>
              </w:rPr>
              <w:fldChar w:fldCharType="end"/>
            </w:r>
          </w:hyperlink>
        </w:p>
        <w:p w14:paraId="47F7ED28" w14:textId="4DD25DDF" w:rsidR="00736DA9" w:rsidRDefault="00000000">
          <w:pPr>
            <w:pStyle w:val="TOC4"/>
            <w:tabs>
              <w:tab w:val="right" w:pos="9350"/>
            </w:tabs>
            <w:rPr>
              <w:rFonts w:eastAsiaTheme="minorEastAsia" w:cstheme="minorBidi"/>
              <w:noProof/>
              <w:sz w:val="24"/>
              <w:szCs w:val="24"/>
            </w:rPr>
          </w:pPr>
          <w:hyperlink w:anchor="_Toc162267523" w:history="1">
            <w:r w:rsidR="00736DA9" w:rsidRPr="004372B1">
              <w:rPr>
                <w:rStyle w:val="Hyperlink"/>
                <w:noProof/>
              </w:rPr>
              <w:t>Table 9.2: Leading Number of New Cases of Cancer.</w:t>
            </w:r>
            <w:r w:rsidR="00736DA9">
              <w:rPr>
                <w:noProof/>
                <w:webHidden/>
              </w:rPr>
              <w:tab/>
            </w:r>
            <w:r w:rsidR="00736DA9">
              <w:rPr>
                <w:noProof/>
                <w:webHidden/>
              </w:rPr>
              <w:fldChar w:fldCharType="begin"/>
            </w:r>
            <w:r w:rsidR="00736DA9">
              <w:rPr>
                <w:noProof/>
                <w:webHidden/>
              </w:rPr>
              <w:instrText xml:space="preserve"> PAGEREF _Toc162267523 \h </w:instrText>
            </w:r>
            <w:r w:rsidR="00736DA9">
              <w:rPr>
                <w:noProof/>
                <w:webHidden/>
              </w:rPr>
            </w:r>
            <w:r w:rsidR="00736DA9">
              <w:rPr>
                <w:noProof/>
                <w:webHidden/>
              </w:rPr>
              <w:fldChar w:fldCharType="separate"/>
            </w:r>
            <w:r w:rsidR="00736DA9">
              <w:rPr>
                <w:noProof/>
                <w:webHidden/>
              </w:rPr>
              <w:t>336</w:t>
            </w:r>
            <w:r w:rsidR="00736DA9">
              <w:rPr>
                <w:noProof/>
                <w:webHidden/>
              </w:rPr>
              <w:fldChar w:fldCharType="end"/>
            </w:r>
          </w:hyperlink>
        </w:p>
        <w:p w14:paraId="0D51E11D" w14:textId="6F435803" w:rsidR="00736DA9" w:rsidRDefault="00000000">
          <w:pPr>
            <w:pStyle w:val="TOC4"/>
            <w:tabs>
              <w:tab w:val="right" w:pos="9350"/>
            </w:tabs>
            <w:rPr>
              <w:rFonts w:eastAsiaTheme="minorEastAsia" w:cstheme="minorBidi"/>
              <w:noProof/>
              <w:sz w:val="24"/>
              <w:szCs w:val="24"/>
            </w:rPr>
          </w:pPr>
          <w:hyperlink w:anchor="_Toc162267524" w:history="1">
            <w:r w:rsidR="00736DA9" w:rsidRPr="004372B1">
              <w:rPr>
                <w:rStyle w:val="Hyperlink"/>
                <w:noProof/>
              </w:rPr>
              <w:t>Figure 9.28: Lung Cancer Incidence, by Race/Ethnicity and Sex.</w:t>
            </w:r>
            <w:r w:rsidR="00736DA9">
              <w:rPr>
                <w:noProof/>
                <w:webHidden/>
              </w:rPr>
              <w:tab/>
            </w:r>
            <w:r w:rsidR="00736DA9">
              <w:rPr>
                <w:noProof/>
                <w:webHidden/>
              </w:rPr>
              <w:fldChar w:fldCharType="begin"/>
            </w:r>
            <w:r w:rsidR="00736DA9">
              <w:rPr>
                <w:noProof/>
                <w:webHidden/>
              </w:rPr>
              <w:instrText xml:space="preserve"> PAGEREF _Toc162267524 \h </w:instrText>
            </w:r>
            <w:r w:rsidR="00736DA9">
              <w:rPr>
                <w:noProof/>
                <w:webHidden/>
              </w:rPr>
            </w:r>
            <w:r w:rsidR="00736DA9">
              <w:rPr>
                <w:noProof/>
                <w:webHidden/>
              </w:rPr>
              <w:fldChar w:fldCharType="separate"/>
            </w:r>
            <w:r w:rsidR="00736DA9">
              <w:rPr>
                <w:noProof/>
                <w:webHidden/>
              </w:rPr>
              <w:t>337</w:t>
            </w:r>
            <w:r w:rsidR="00736DA9">
              <w:rPr>
                <w:noProof/>
                <w:webHidden/>
              </w:rPr>
              <w:fldChar w:fldCharType="end"/>
            </w:r>
          </w:hyperlink>
        </w:p>
        <w:p w14:paraId="1935D740" w14:textId="338A598C" w:rsidR="00736DA9" w:rsidRDefault="00000000">
          <w:pPr>
            <w:pStyle w:val="TOC4"/>
            <w:tabs>
              <w:tab w:val="right" w:pos="9350"/>
            </w:tabs>
            <w:rPr>
              <w:rFonts w:eastAsiaTheme="minorEastAsia" w:cstheme="minorBidi"/>
              <w:noProof/>
              <w:sz w:val="24"/>
              <w:szCs w:val="24"/>
            </w:rPr>
          </w:pPr>
          <w:hyperlink w:anchor="_Toc162267525" w:history="1">
            <w:r w:rsidR="00736DA9" w:rsidRPr="004372B1">
              <w:rPr>
                <w:rStyle w:val="Hyperlink"/>
                <w:noProof/>
              </w:rPr>
              <w:t>Figure 9.29: Lung Cancer Deaths, by Race/Ethnicity and Sex.</w:t>
            </w:r>
            <w:r w:rsidR="00736DA9">
              <w:rPr>
                <w:noProof/>
                <w:webHidden/>
              </w:rPr>
              <w:tab/>
            </w:r>
            <w:r w:rsidR="00736DA9">
              <w:rPr>
                <w:noProof/>
                <w:webHidden/>
              </w:rPr>
              <w:fldChar w:fldCharType="begin"/>
            </w:r>
            <w:r w:rsidR="00736DA9">
              <w:rPr>
                <w:noProof/>
                <w:webHidden/>
              </w:rPr>
              <w:instrText xml:space="preserve"> PAGEREF _Toc162267525 \h </w:instrText>
            </w:r>
            <w:r w:rsidR="00736DA9">
              <w:rPr>
                <w:noProof/>
                <w:webHidden/>
              </w:rPr>
            </w:r>
            <w:r w:rsidR="00736DA9">
              <w:rPr>
                <w:noProof/>
                <w:webHidden/>
              </w:rPr>
              <w:fldChar w:fldCharType="separate"/>
            </w:r>
            <w:r w:rsidR="00736DA9">
              <w:rPr>
                <w:noProof/>
                <w:webHidden/>
              </w:rPr>
              <w:t>337</w:t>
            </w:r>
            <w:r w:rsidR="00736DA9">
              <w:rPr>
                <w:noProof/>
                <w:webHidden/>
              </w:rPr>
              <w:fldChar w:fldCharType="end"/>
            </w:r>
          </w:hyperlink>
        </w:p>
        <w:p w14:paraId="418F7131" w14:textId="1B199B5A" w:rsidR="00736DA9" w:rsidRDefault="00000000">
          <w:pPr>
            <w:pStyle w:val="TOC4"/>
            <w:tabs>
              <w:tab w:val="right" w:pos="9350"/>
            </w:tabs>
            <w:rPr>
              <w:rFonts w:eastAsiaTheme="minorEastAsia" w:cstheme="minorBidi"/>
              <w:noProof/>
              <w:sz w:val="24"/>
              <w:szCs w:val="24"/>
            </w:rPr>
          </w:pPr>
          <w:hyperlink w:anchor="_Toc162267526"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_Toc162267526 \h </w:instrText>
            </w:r>
            <w:r w:rsidR="00736DA9">
              <w:rPr>
                <w:noProof/>
                <w:webHidden/>
              </w:rPr>
            </w:r>
            <w:r w:rsidR="00736DA9">
              <w:rPr>
                <w:noProof/>
                <w:webHidden/>
              </w:rPr>
              <w:fldChar w:fldCharType="separate"/>
            </w:r>
            <w:r w:rsidR="00736DA9">
              <w:rPr>
                <w:noProof/>
                <w:webHidden/>
              </w:rPr>
              <w:t>338</w:t>
            </w:r>
            <w:r w:rsidR="00736DA9">
              <w:rPr>
                <w:noProof/>
                <w:webHidden/>
              </w:rPr>
              <w:fldChar w:fldCharType="end"/>
            </w:r>
          </w:hyperlink>
        </w:p>
        <w:p w14:paraId="36F62E75" w14:textId="132190F5" w:rsidR="00736DA9" w:rsidRDefault="00000000">
          <w:pPr>
            <w:pStyle w:val="TOC4"/>
            <w:tabs>
              <w:tab w:val="right" w:pos="9350"/>
            </w:tabs>
            <w:rPr>
              <w:rFonts w:eastAsiaTheme="minorEastAsia" w:cstheme="minorBidi"/>
              <w:noProof/>
              <w:sz w:val="24"/>
              <w:szCs w:val="24"/>
            </w:rPr>
          </w:pPr>
          <w:hyperlink w:anchor="_Toc162267527" w:history="1">
            <w:r w:rsidR="00736DA9" w:rsidRPr="004372B1">
              <w:rPr>
                <w:rStyle w:val="Hyperlink"/>
                <w:noProof/>
              </w:rPr>
              <w:t>References 9.14</w:t>
            </w:r>
            <w:r w:rsidR="00736DA9">
              <w:rPr>
                <w:noProof/>
                <w:webHidden/>
              </w:rPr>
              <w:tab/>
            </w:r>
            <w:r w:rsidR="00736DA9">
              <w:rPr>
                <w:noProof/>
                <w:webHidden/>
              </w:rPr>
              <w:fldChar w:fldCharType="begin"/>
            </w:r>
            <w:r w:rsidR="00736DA9">
              <w:rPr>
                <w:noProof/>
                <w:webHidden/>
              </w:rPr>
              <w:instrText xml:space="preserve"> PAGEREF _Toc162267527 \h </w:instrText>
            </w:r>
            <w:r w:rsidR="00736DA9">
              <w:rPr>
                <w:noProof/>
                <w:webHidden/>
              </w:rPr>
            </w:r>
            <w:r w:rsidR="00736DA9">
              <w:rPr>
                <w:noProof/>
                <w:webHidden/>
              </w:rPr>
              <w:fldChar w:fldCharType="separate"/>
            </w:r>
            <w:r w:rsidR="00736DA9">
              <w:rPr>
                <w:noProof/>
                <w:webHidden/>
              </w:rPr>
              <w:t>338</w:t>
            </w:r>
            <w:r w:rsidR="00736DA9">
              <w:rPr>
                <w:noProof/>
                <w:webHidden/>
              </w:rPr>
              <w:fldChar w:fldCharType="end"/>
            </w:r>
          </w:hyperlink>
        </w:p>
        <w:p w14:paraId="1D610730" w14:textId="384C1210" w:rsidR="00736DA9" w:rsidRDefault="00000000">
          <w:pPr>
            <w:pStyle w:val="TOC3"/>
            <w:tabs>
              <w:tab w:val="right" w:pos="9350"/>
            </w:tabs>
            <w:rPr>
              <w:rFonts w:eastAsiaTheme="minorEastAsia" w:cstheme="minorBidi"/>
              <w:noProof/>
              <w:sz w:val="24"/>
              <w:szCs w:val="24"/>
            </w:rPr>
          </w:pPr>
          <w:hyperlink w:anchor="_Toc162267528" w:history="1">
            <w:r w:rsidR="00736DA9" w:rsidRPr="004372B1">
              <w:rPr>
                <w:rStyle w:val="Hyperlink"/>
                <w:noProof/>
              </w:rPr>
              <w:t>Colorectal Cancer</w:t>
            </w:r>
            <w:r w:rsidR="00736DA9">
              <w:rPr>
                <w:noProof/>
                <w:webHidden/>
              </w:rPr>
              <w:tab/>
            </w:r>
            <w:r w:rsidR="00736DA9">
              <w:rPr>
                <w:noProof/>
                <w:webHidden/>
              </w:rPr>
              <w:fldChar w:fldCharType="begin"/>
            </w:r>
            <w:r w:rsidR="00736DA9">
              <w:rPr>
                <w:noProof/>
                <w:webHidden/>
              </w:rPr>
              <w:instrText xml:space="preserve"> PAGEREF _Toc162267528 \h </w:instrText>
            </w:r>
            <w:r w:rsidR="00736DA9">
              <w:rPr>
                <w:noProof/>
                <w:webHidden/>
              </w:rPr>
            </w:r>
            <w:r w:rsidR="00736DA9">
              <w:rPr>
                <w:noProof/>
                <w:webHidden/>
              </w:rPr>
              <w:fldChar w:fldCharType="separate"/>
            </w:r>
            <w:r w:rsidR="00736DA9">
              <w:rPr>
                <w:noProof/>
                <w:webHidden/>
              </w:rPr>
              <w:t>339</w:t>
            </w:r>
            <w:r w:rsidR="00736DA9">
              <w:rPr>
                <w:noProof/>
                <w:webHidden/>
              </w:rPr>
              <w:fldChar w:fldCharType="end"/>
            </w:r>
          </w:hyperlink>
        </w:p>
        <w:p w14:paraId="2E5D7742" w14:textId="4021C0FD" w:rsidR="00736DA9" w:rsidRDefault="00000000">
          <w:pPr>
            <w:pStyle w:val="TOC4"/>
            <w:tabs>
              <w:tab w:val="right" w:pos="9350"/>
            </w:tabs>
            <w:rPr>
              <w:rFonts w:eastAsiaTheme="minorEastAsia" w:cstheme="minorBidi"/>
              <w:noProof/>
              <w:sz w:val="24"/>
              <w:szCs w:val="24"/>
            </w:rPr>
          </w:pPr>
          <w:hyperlink w:anchor="_Toc162267529" w:history="1">
            <w:r w:rsidR="00736DA9" w:rsidRPr="004372B1">
              <w:rPr>
                <w:rStyle w:val="Hyperlink"/>
                <w:noProof/>
              </w:rPr>
              <w:t>Figure 9.30: Received the Recommended Colorectal Cancer Screenings, by Race/Ethnicity.</w:t>
            </w:r>
            <w:r w:rsidR="00736DA9">
              <w:rPr>
                <w:noProof/>
                <w:webHidden/>
              </w:rPr>
              <w:tab/>
            </w:r>
            <w:r w:rsidR="00736DA9">
              <w:rPr>
                <w:noProof/>
                <w:webHidden/>
              </w:rPr>
              <w:fldChar w:fldCharType="begin"/>
            </w:r>
            <w:r w:rsidR="00736DA9">
              <w:rPr>
                <w:noProof/>
                <w:webHidden/>
              </w:rPr>
              <w:instrText xml:space="preserve"> PAGEREF _Toc162267529 \h </w:instrText>
            </w:r>
            <w:r w:rsidR="00736DA9">
              <w:rPr>
                <w:noProof/>
                <w:webHidden/>
              </w:rPr>
            </w:r>
            <w:r w:rsidR="00736DA9">
              <w:rPr>
                <w:noProof/>
                <w:webHidden/>
              </w:rPr>
              <w:fldChar w:fldCharType="separate"/>
            </w:r>
            <w:r w:rsidR="00736DA9">
              <w:rPr>
                <w:noProof/>
                <w:webHidden/>
              </w:rPr>
              <w:t>339</w:t>
            </w:r>
            <w:r w:rsidR="00736DA9">
              <w:rPr>
                <w:noProof/>
                <w:webHidden/>
              </w:rPr>
              <w:fldChar w:fldCharType="end"/>
            </w:r>
          </w:hyperlink>
        </w:p>
        <w:p w14:paraId="52B4E901" w14:textId="115C8478" w:rsidR="00736DA9" w:rsidRDefault="00000000">
          <w:pPr>
            <w:pStyle w:val="TOC4"/>
            <w:tabs>
              <w:tab w:val="right" w:pos="9350"/>
            </w:tabs>
            <w:rPr>
              <w:rFonts w:eastAsiaTheme="minorEastAsia" w:cstheme="minorBidi"/>
              <w:noProof/>
              <w:sz w:val="24"/>
              <w:szCs w:val="24"/>
            </w:rPr>
          </w:pPr>
          <w:hyperlink w:anchor="_Toc162267530" w:history="1">
            <w:r w:rsidR="00736DA9" w:rsidRPr="004372B1">
              <w:rPr>
                <w:rStyle w:val="Hyperlink"/>
                <w:noProof/>
              </w:rPr>
              <w:t>Figure 9.31: Colorectal Cancer Incidence, by Race/Ethnicity and Sex.</w:t>
            </w:r>
            <w:r w:rsidR="00736DA9">
              <w:rPr>
                <w:noProof/>
                <w:webHidden/>
              </w:rPr>
              <w:tab/>
            </w:r>
            <w:r w:rsidR="00736DA9">
              <w:rPr>
                <w:noProof/>
                <w:webHidden/>
              </w:rPr>
              <w:fldChar w:fldCharType="begin"/>
            </w:r>
            <w:r w:rsidR="00736DA9">
              <w:rPr>
                <w:noProof/>
                <w:webHidden/>
              </w:rPr>
              <w:instrText xml:space="preserve"> PAGEREF _Toc162267530 \h </w:instrText>
            </w:r>
            <w:r w:rsidR="00736DA9">
              <w:rPr>
                <w:noProof/>
                <w:webHidden/>
              </w:rPr>
            </w:r>
            <w:r w:rsidR="00736DA9">
              <w:rPr>
                <w:noProof/>
                <w:webHidden/>
              </w:rPr>
              <w:fldChar w:fldCharType="separate"/>
            </w:r>
            <w:r w:rsidR="00736DA9">
              <w:rPr>
                <w:noProof/>
                <w:webHidden/>
              </w:rPr>
              <w:t>340</w:t>
            </w:r>
            <w:r w:rsidR="00736DA9">
              <w:rPr>
                <w:noProof/>
                <w:webHidden/>
              </w:rPr>
              <w:fldChar w:fldCharType="end"/>
            </w:r>
          </w:hyperlink>
        </w:p>
        <w:p w14:paraId="015BB6E4" w14:textId="1AF4682D" w:rsidR="00736DA9" w:rsidRDefault="00000000">
          <w:pPr>
            <w:pStyle w:val="TOC4"/>
            <w:tabs>
              <w:tab w:val="right" w:pos="9350"/>
            </w:tabs>
            <w:rPr>
              <w:rFonts w:eastAsiaTheme="minorEastAsia" w:cstheme="minorBidi"/>
              <w:noProof/>
              <w:sz w:val="24"/>
              <w:szCs w:val="24"/>
            </w:rPr>
          </w:pPr>
          <w:hyperlink w:anchor="_Toc162267531" w:history="1">
            <w:r w:rsidR="00736DA9" w:rsidRPr="004372B1">
              <w:rPr>
                <w:rStyle w:val="Hyperlink"/>
                <w:noProof/>
              </w:rPr>
              <w:t>Figure 9.32: Colorectal Cancer Deaths, by Race/Ethnicity and Sex.</w:t>
            </w:r>
            <w:r w:rsidR="00736DA9">
              <w:rPr>
                <w:noProof/>
                <w:webHidden/>
              </w:rPr>
              <w:tab/>
            </w:r>
            <w:r w:rsidR="00736DA9">
              <w:rPr>
                <w:noProof/>
                <w:webHidden/>
              </w:rPr>
              <w:fldChar w:fldCharType="begin"/>
            </w:r>
            <w:r w:rsidR="00736DA9">
              <w:rPr>
                <w:noProof/>
                <w:webHidden/>
              </w:rPr>
              <w:instrText xml:space="preserve"> PAGEREF _Toc162267531 \h </w:instrText>
            </w:r>
            <w:r w:rsidR="00736DA9">
              <w:rPr>
                <w:noProof/>
                <w:webHidden/>
              </w:rPr>
            </w:r>
            <w:r w:rsidR="00736DA9">
              <w:rPr>
                <w:noProof/>
                <w:webHidden/>
              </w:rPr>
              <w:fldChar w:fldCharType="separate"/>
            </w:r>
            <w:r w:rsidR="00736DA9">
              <w:rPr>
                <w:noProof/>
                <w:webHidden/>
              </w:rPr>
              <w:t>340</w:t>
            </w:r>
            <w:r w:rsidR="00736DA9">
              <w:rPr>
                <w:noProof/>
                <w:webHidden/>
              </w:rPr>
              <w:fldChar w:fldCharType="end"/>
            </w:r>
          </w:hyperlink>
        </w:p>
        <w:p w14:paraId="3683EF0B" w14:textId="35B3D65F" w:rsidR="00736DA9" w:rsidRDefault="00000000">
          <w:pPr>
            <w:pStyle w:val="TOC4"/>
            <w:tabs>
              <w:tab w:val="right" w:pos="9350"/>
            </w:tabs>
            <w:rPr>
              <w:rFonts w:eastAsiaTheme="minorEastAsia" w:cstheme="minorBidi"/>
              <w:noProof/>
              <w:sz w:val="24"/>
              <w:szCs w:val="24"/>
            </w:rPr>
          </w:pPr>
          <w:hyperlink w:anchor="_Toc162267532"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_Toc162267532 \h </w:instrText>
            </w:r>
            <w:r w:rsidR="00736DA9">
              <w:rPr>
                <w:noProof/>
                <w:webHidden/>
              </w:rPr>
            </w:r>
            <w:r w:rsidR="00736DA9">
              <w:rPr>
                <w:noProof/>
                <w:webHidden/>
              </w:rPr>
              <w:fldChar w:fldCharType="separate"/>
            </w:r>
            <w:r w:rsidR="00736DA9">
              <w:rPr>
                <w:noProof/>
                <w:webHidden/>
              </w:rPr>
              <w:t>340</w:t>
            </w:r>
            <w:r w:rsidR="00736DA9">
              <w:rPr>
                <w:noProof/>
                <w:webHidden/>
              </w:rPr>
              <w:fldChar w:fldCharType="end"/>
            </w:r>
          </w:hyperlink>
        </w:p>
        <w:p w14:paraId="7E7644E5" w14:textId="261D078C" w:rsidR="00736DA9" w:rsidRDefault="00000000">
          <w:pPr>
            <w:pStyle w:val="TOC4"/>
            <w:tabs>
              <w:tab w:val="right" w:pos="9350"/>
            </w:tabs>
            <w:rPr>
              <w:rFonts w:eastAsiaTheme="minorEastAsia" w:cstheme="minorBidi"/>
              <w:noProof/>
              <w:sz w:val="24"/>
              <w:szCs w:val="24"/>
            </w:rPr>
          </w:pPr>
          <w:hyperlink w:anchor="_Toc162267533" w:history="1">
            <w:r w:rsidR="00736DA9" w:rsidRPr="004372B1">
              <w:rPr>
                <w:rStyle w:val="Hyperlink"/>
                <w:noProof/>
              </w:rPr>
              <w:t>References 9.15</w:t>
            </w:r>
            <w:r w:rsidR="00736DA9">
              <w:rPr>
                <w:noProof/>
                <w:webHidden/>
              </w:rPr>
              <w:tab/>
            </w:r>
            <w:r w:rsidR="00736DA9">
              <w:rPr>
                <w:noProof/>
                <w:webHidden/>
              </w:rPr>
              <w:fldChar w:fldCharType="begin"/>
            </w:r>
            <w:r w:rsidR="00736DA9">
              <w:rPr>
                <w:noProof/>
                <w:webHidden/>
              </w:rPr>
              <w:instrText xml:space="preserve"> PAGEREF _Toc162267533 \h </w:instrText>
            </w:r>
            <w:r w:rsidR="00736DA9">
              <w:rPr>
                <w:noProof/>
                <w:webHidden/>
              </w:rPr>
            </w:r>
            <w:r w:rsidR="00736DA9">
              <w:rPr>
                <w:noProof/>
                <w:webHidden/>
              </w:rPr>
              <w:fldChar w:fldCharType="separate"/>
            </w:r>
            <w:r w:rsidR="00736DA9">
              <w:rPr>
                <w:noProof/>
                <w:webHidden/>
              </w:rPr>
              <w:t>341</w:t>
            </w:r>
            <w:r w:rsidR="00736DA9">
              <w:rPr>
                <w:noProof/>
                <w:webHidden/>
              </w:rPr>
              <w:fldChar w:fldCharType="end"/>
            </w:r>
          </w:hyperlink>
        </w:p>
        <w:p w14:paraId="1A3E10EF" w14:textId="2E5BD073" w:rsidR="00736DA9" w:rsidRDefault="00000000">
          <w:pPr>
            <w:pStyle w:val="TOC3"/>
            <w:tabs>
              <w:tab w:val="right" w:pos="9350"/>
            </w:tabs>
            <w:rPr>
              <w:rFonts w:eastAsiaTheme="minorEastAsia" w:cstheme="minorBidi"/>
              <w:noProof/>
              <w:sz w:val="24"/>
              <w:szCs w:val="24"/>
            </w:rPr>
          </w:pPr>
          <w:hyperlink w:anchor="_Toc162267534" w:history="1">
            <w:r w:rsidR="00736DA9" w:rsidRPr="004372B1">
              <w:rPr>
                <w:rStyle w:val="Hyperlink"/>
                <w:noProof/>
              </w:rPr>
              <w:t>Female Breast Cancer</w:t>
            </w:r>
            <w:r w:rsidR="00736DA9">
              <w:rPr>
                <w:noProof/>
                <w:webHidden/>
              </w:rPr>
              <w:tab/>
            </w:r>
            <w:r w:rsidR="00736DA9">
              <w:rPr>
                <w:noProof/>
                <w:webHidden/>
              </w:rPr>
              <w:fldChar w:fldCharType="begin"/>
            </w:r>
            <w:r w:rsidR="00736DA9">
              <w:rPr>
                <w:noProof/>
                <w:webHidden/>
              </w:rPr>
              <w:instrText xml:space="preserve"> PAGEREF _Toc162267534 \h </w:instrText>
            </w:r>
            <w:r w:rsidR="00736DA9">
              <w:rPr>
                <w:noProof/>
                <w:webHidden/>
              </w:rPr>
            </w:r>
            <w:r w:rsidR="00736DA9">
              <w:rPr>
                <w:noProof/>
                <w:webHidden/>
              </w:rPr>
              <w:fldChar w:fldCharType="separate"/>
            </w:r>
            <w:r w:rsidR="00736DA9">
              <w:rPr>
                <w:noProof/>
                <w:webHidden/>
              </w:rPr>
              <w:t>342</w:t>
            </w:r>
            <w:r w:rsidR="00736DA9">
              <w:rPr>
                <w:noProof/>
                <w:webHidden/>
              </w:rPr>
              <w:fldChar w:fldCharType="end"/>
            </w:r>
          </w:hyperlink>
        </w:p>
        <w:p w14:paraId="5A1C7185" w14:textId="47B0FC06" w:rsidR="00736DA9" w:rsidRDefault="00000000">
          <w:pPr>
            <w:pStyle w:val="TOC4"/>
            <w:tabs>
              <w:tab w:val="right" w:pos="9350"/>
            </w:tabs>
            <w:rPr>
              <w:rFonts w:eastAsiaTheme="minorEastAsia" w:cstheme="minorBidi"/>
              <w:noProof/>
              <w:sz w:val="24"/>
              <w:szCs w:val="24"/>
            </w:rPr>
          </w:pPr>
          <w:hyperlink w:anchor="_Toc162267535" w:history="1">
            <w:r w:rsidR="00736DA9" w:rsidRPr="004372B1">
              <w:rPr>
                <w:rStyle w:val="Hyperlink"/>
                <w:noProof/>
              </w:rPr>
              <w:t>Table 9.2: Leading Number of New Cases of Cancer.</w:t>
            </w:r>
            <w:r w:rsidR="00736DA9">
              <w:rPr>
                <w:noProof/>
                <w:webHidden/>
              </w:rPr>
              <w:tab/>
            </w:r>
            <w:r w:rsidR="00736DA9">
              <w:rPr>
                <w:noProof/>
                <w:webHidden/>
              </w:rPr>
              <w:fldChar w:fldCharType="begin"/>
            </w:r>
            <w:r w:rsidR="00736DA9">
              <w:rPr>
                <w:noProof/>
                <w:webHidden/>
              </w:rPr>
              <w:instrText xml:space="preserve"> PAGEREF _Toc162267535 \h </w:instrText>
            </w:r>
            <w:r w:rsidR="00736DA9">
              <w:rPr>
                <w:noProof/>
                <w:webHidden/>
              </w:rPr>
            </w:r>
            <w:r w:rsidR="00736DA9">
              <w:rPr>
                <w:noProof/>
                <w:webHidden/>
              </w:rPr>
              <w:fldChar w:fldCharType="separate"/>
            </w:r>
            <w:r w:rsidR="00736DA9">
              <w:rPr>
                <w:noProof/>
                <w:webHidden/>
              </w:rPr>
              <w:t>342</w:t>
            </w:r>
            <w:r w:rsidR="00736DA9">
              <w:rPr>
                <w:noProof/>
                <w:webHidden/>
              </w:rPr>
              <w:fldChar w:fldCharType="end"/>
            </w:r>
          </w:hyperlink>
        </w:p>
        <w:p w14:paraId="103BED36" w14:textId="2DA6B14D" w:rsidR="00736DA9" w:rsidRDefault="00000000">
          <w:pPr>
            <w:pStyle w:val="TOC4"/>
            <w:tabs>
              <w:tab w:val="right" w:pos="9350"/>
            </w:tabs>
            <w:rPr>
              <w:rFonts w:eastAsiaTheme="minorEastAsia" w:cstheme="minorBidi"/>
              <w:noProof/>
              <w:sz w:val="24"/>
              <w:szCs w:val="24"/>
            </w:rPr>
          </w:pPr>
          <w:hyperlink w:anchor="_Toc162267536" w:history="1">
            <w:r w:rsidR="00736DA9" w:rsidRPr="004372B1">
              <w:rPr>
                <w:rStyle w:val="Hyperlink"/>
                <w:noProof/>
              </w:rPr>
              <w:t>Figure 9.33: Mammogram in the Past Two Years, by Race/Ethnicity.</w:t>
            </w:r>
            <w:r w:rsidR="00736DA9">
              <w:rPr>
                <w:noProof/>
                <w:webHidden/>
              </w:rPr>
              <w:tab/>
            </w:r>
            <w:r w:rsidR="00736DA9">
              <w:rPr>
                <w:noProof/>
                <w:webHidden/>
              </w:rPr>
              <w:fldChar w:fldCharType="begin"/>
            </w:r>
            <w:r w:rsidR="00736DA9">
              <w:rPr>
                <w:noProof/>
                <w:webHidden/>
              </w:rPr>
              <w:instrText xml:space="preserve"> PAGEREF _Toc162267536 \h </w:instrText>
            </w:r>
            <w:r w:rsidR="00736DA9">
              <w:rPr>
                <w:noProof/>
                <w:webHidden/>
              </w:rPr>
            </w:r>
            <w:r w:rsidR="00736DA9">
              <w:rPr>
                <w:noProof/>
                <w:webHidden/>
              </w:rPr>
              <w:fldChar w:fldCharType="separate"/>
            </w:r>
            <w:r w:rsidR="00736DA9">
              <w:rPr>
                <w:noProof/>
                <w:webHidden/>
              </w:rPr>
              <w:t>343</w:t>
            </w:r>
            <w:r w:rsidR="00736DA9">
              <w:rPr>
                <w:noProof/>
                <w:webHidden/>
              </w:rPr>
              <w:fldChar w:fldCharType="end"/>
            </w:r>
          </w:hyperlink>
        </w:p>
        <w:p w14:paraId="6607E7B0" w14:textId="65070E84" w:rsidR="00736DA9" w:rsidRDefault="00000000">
          <w:pPr>
            <w:pStyle w:val="TOC4"/>
            <w:tabs>
              <w:tab w:val="right" w:pos="9350"/>
            </w:tabs>
            <w:rPr>
              <w:rFonts w:eastAsiaTheme="minorEastAsia" w:cstheme="minorBidi"/>
              <w:noProof/>
              <w:sz w:val="24"/>
              <w:szCs w:val="24"/>
            </w:rPr>
          </w:pPr>
          <w:hyperlink w:anchor="_Toc162267537" w:history="1">
            <w:r w:rsidR="00736DA9" w:rsidRPr="004372B1">
              <w:rPr>
                <w:rStyle w:val="Hyperlink"/>
                <w:noProof/>
              </w:rPr>
              <w:t>Figure 9.34: Breast Cancer Incidence, by Race/Ethnicity.</w:t>
            </w:r>
            <w:r w:rsidR="00736DA9">
              <w:rPr>
                <w:noProof/>
                <w:webHidden/>
              </w:rPr>
              <w:tab/>
            </w:r>
            <w:r w:rsidR="00736DA9">
              <w:rPr>
                <w:noProof/>
                <w:webHidden/>
              </w:rPr>
              <w:fldChar w:fldCharType="begin"/>
            </w:r>
            <w:r w:rsidR="00736DA9">
              <w:rPr>
                <w:noProof/>
                <w:webHidden/>
              </w:rPr>
              <w:instrText xml:space="preserve"> PAGEREF _Toc162267537 \h </w:instrText>
            </w:r>
            <w:r w:rsidR="00736DA9">
              <w:rPr>
                <w:noProof/>
                <w:webHidden/>
              </w:rPr>
            </w:r>
            <w:r w:rsidR="00736DA9">
              <w:rPr>
                <w:noProof/>
                <w:webHidden/>
              </w:rPr>
              <w:fldChar w:fldCharType="separate"/>
            </w:r>
            <w:r w:rsidR="00736DA9">
              <w:rPr>
                <w:noProof/>
                <w:webHidden/>
              </w:rPr>
              <w:t>343</w:t>
            </w:r>
            <w:r w:rsidR="00736DA9">
              <w:rPr>
                <w:noProof/>
                <w:webHidden/>
              </w:rPr>
              <w:fldChar w:fldCharType="end"/>
            </w:r>
          </w:hyperlink>
        </w:p>
        <w:p w14:paraId="5850382F" w14:textId="104654F3" w:rsidR="00736DA9" w:rsidRDefault="00000000">
          <w:pPr>
            <w:pStyle w:val="TOC4"/>
            <w:tabs>
              <w:tab w:val="right" w:pos="9350"/>
            </w:tabs>
            <w:rPr>
              <w:rFonts w:eastAsiaTheme="minorEastAsia" w:cstheme="minorBidi"/>
              <w:noProof/>
              <w:sz w:val="24"/>
              <w:szCs w:val="24"/>
            </w:rPr>
          </w:pPr>
          <w:hyperlink w:anchor="_Toc162267538" w:history="1">
            <w:r w:rsidR="00736DA9" w:rsidRPr="004372B1">
              <w:rPr>
                <w:rStyle w:val="Hyperlink"/>
                <w:noProof/>
              </w:rPr>
              <w:t>Figure 9.35: Breast Cancer Deaths, by Race/Ethnicity.</w:t>
            </w:r>
            <w:r w:rsidR="00736DA9">
              <w:rPr>
                <w:noProof/>
                <w:webHidden/>
              </w:rPr>
              <w:tab/>
            </w:r>
            <w:r w:rsidR="00736DA9">
              <w:rPr>
                <w:noProof/>
                <w:webHidden/>
              </w:rPr>
              <w:fldChar w:fldCharType="begin"/>
            </w:r>
            <w:r w:rsidR="00736DA9">
              <w:rPr>
                <w:noProof/>
                <w:webHidden/>
              </w:rPr>
              <w:instrText xml:space="preserve"> PAGEREF _Toc162267538 \h </w:instrText>
            </w:r>
            <w:r w:rsidR="00736DA9">
              <w:rPr>
                <w:noProof/>
                <w:webHidden/>
              </w:rPr>
            </w:r>
            <w:r w:rsidR="00736DA9">
              <w:rPr>
                <w:noProof/>
                <w:webHidden/>
              </w:rPr>
              <w:fldChar w:fldCharType="separate"/>
            </w:r>
            <w:r w:rsidR="00736DA9">
              <w:rPr>
                <w:noProof/>
                <w:webHidden/>
              </w:rPr>
              <w:t>343</w:t>
            </w:r>
            <w:r w:rsidR="00736DA9">
              <w:rPr>
                <w:noProof/>
                <w:webHidden/>
              </w:rPr>
              <w:fldChar w:fldCharType="end"/>
            </w:r>
          </w:hyperlink>
        </w:p>
        <w:p w14:paraId="18883679" w14:textId="2C739AB8" w:rsidR="00736DA9" w:rsidRDefault="00000000">
          <w:pPr>
            <w:pStyle w:val="TOC4"/>
            <w:tabs>
              <w:tab w:val="right" w:pos="9350"/>
            </w:tabs>
            <w:rPr>
              <w:rFonts w:eastAsiaTheme="minorEastAsia" w:cstheme="minorBidi"/>
              <w:noProof/>
              <w:sz w:val="24"/>
              <w:szCs w:val="24"/>
            </w:rPr>
          </w:pPr>
          <w:hyperlink w:anchor="_Toc162267539"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_Toc162267539 \h </w:instrText>
            </w:r>
            <w:r w:rsidR="00736DA9">
              <w:rPr>
                <w:noProof/>
                <w:webHidden/>
              </w:rPr>
            </w:r>
            <w:r w:rsidR="00736DA9">
              <w:rPr>
                <w:noProof/>
                <w:webHidden/>
              </w:rPr>
              <w:fldChar w:fldCharType="separate"/>
            </w:r>
            <w:r w:rsidR="00736DA9">
              <w:rPr>
                <w:noProof/>
                <w:webHidden/>
              </w:rPr>
              <w:t>344</w:t>
            </w:r>
            <w:r w:rsidR="00736DA9">
              <w:rPr>
                <w:noProof/>
                <w:webHidden/>
              </w:rPr>
              <w:fldChar w:fldCharType="end"/>
            </w:r>
          </w:hyperlink>
        </w:p>
        <w:p w14:paraId="3C9E79CD" w14:textId="369E93CB" w:rsidR="00736DA9" w:rsidRDefault="00000000">
          <w:pPr>
            <w:pStyle w:val="TOC4"/>
            <w:tabs>
              <w:tab w:val="right" w:pos="9350"/>
            </w:tabs>
            <w:rPr>
              <w:rFonts w:eastAsiaTheme="minorEastAsia" w:cstheme="minorBidi"/>
              <w:noProof/>
              <w:sz w:val="24"/>
              <w:szCs w:val="24"/>
            </w:rPr>
          </w:pPr>
          <w:hyperlink w:anchor="_Toc162267540" w:history="1">
            <w:r w:rsidR="00736DA9" w:rsidRPr="004372B1">
              <w:rPr>
                <w:rStyle w:val="Hyperlink"/>
                <w:noProof/>
              </w:rPr>
              <w:t>References 9.16</w:t>
            </w:r>
            <w:r w:rsidR="00736DA9">
              <w:rPr>
                <w:noProof/>
                <w:webHidden/>
              </w:rPr>
              <w:tab/>
            </w:r>
            <w:r w:rsidR="00736DA9">
              <w:rPr>
                <w:noProof/>
                <w:webHidden/>
              </w:rPr>
              <w:fldChar w:fldCharType="begin"/>
            </w:r>
            <w:r w:rsidR="00736DA9">
              <w:rPr>
                <w:noProof/>
                <w:webHidden/>
              </w:rPr>
              <w:instrText xml:space="preserve"> PAGEREF _Toc162267540 \h </w:instrText>
            </w:r>
            <w:r w:rsidR="00736DA9">
              <w:rPr>
                <w:noProof/>
                <w:webHidden/>
              </w:rPr>
            </w:r>
            <w:r w:rsidR="00736DA9">
              <w:rPr>
                <w:noProof/>
                <w:webHidden/>
              </w:rPr>
              <w:fldChar w:fldCharType="separate"/>
            </w:r>
            <w:r w:rsidR="00736DA9">
              <w:rPr>
                <w:noProof/>
                <w:webHidden/>
              </w:rPr>
              <w:t>345</w:t>
            </w:r>
            <w:r w:rsidR="00736DA9">
              <w:rPr>
                <w:noProof/>
                <w:webHidden/>
              </w:rPr>
              <w:fldChar w:fldCharType="end"/>
            </w:r>
          </w:hyperlink>
        </w:p>
        <w:p w14:paraId="26B39001" w14:textId="44C51E2B" w:rsidR="00736DA9" w:rsidRDefault="00000000">
          <w:pPr>
            <w:pStyle w:val="TOC3"/>
            <w:tabs>
              <w:tab w:val="right" w:pos="9350"/>
            </w:tabs>
            <w:rPr>
              <w:rFonts w:eastAsiaTheme="minorEastAsia" w:cstheme="minorBidi"/>
              <w:noProof/>
              <w:sz w:val="24"/>
              <w:szCs w:val="24"/>
            </w:rPr>
          </w:pPr>
          <w:hyperlink w:anchor="_Toc162267541" w:history="1">
            <w:r w:rsidR="00736DA9" w:rsidRPr="004372B1">
              <w:rPr>
                <w:rStyle w:val="Hyperlink"/>
                <w:noProof/>
              </w:rPr>
              <w:t>Cervical Cancer</w:t>
            </w:r>
            <w:r w:rsidR="00736DA9">
              <w:rPr>
                <w:noProof/>
                <w:webHidden/>
              </w:rPr>
              <w:tab/>
            </w:r>
            <w:r w:rsidR="00736DA9">
              <w:rPr>
                <w:noProof/>
                <w:webHidden/>
              </w:rPr>
              <w:fldChar w:fldCharType="begin"/>
            </w:r>
            <w:r w:rsidR="00736DA9">
              <w:rPr>
                <w:noProof/>
                <w:webHidden/>
              </w:rPr>
              <w:instrText xml:space="preserve"> PAGEREF _Toc162267541 \h </w:instrText>
            </w:r>
            <w:r w:rsidR="00736DA9">
              <w:rPr>
                <w:noProof/>
                <w:webHidden/>
              </w:rPr>
            </w:r>
            <w:r w:rsidR="00736DA9">
              <w:rPr>
                <w:noProof/>
                <w:webHidden/>
              </w:rPr>
              <w:fldChar w:fldCharType="separate"/>
            </w:r>
            <w:r w:rsidR="00736DA9">
              <w:rPr>
                <w:noProof/>
                <w:webHidden/>
              </w:rPr>
              <w:t>345</w:t>
            </w:r>
            <w:r w:rsidR="00736DA9">
              <w:rPr>
                <w:noProof/>
                <w:webHidden/>
              </w:rPr>
              <w:fldChar w:fldCharType="end"/>
            </w:r>
          </w:hyperlink>
        </w:p>
        <w:p w14:paraId="51A84ABB" w14:textId="5D8B5322" w:rsidR="00736DA9" w:rsidRDefault="00000000">
          <w:pPr>
            <w:pStyle w:val="TOC4"/>
            <w:tabs>
              <w:tab w:val="right" w:pos="9350"/>
            </w:tabs>
            <w:rPr>
              <w:rFonts w:eastAsiaTheme="minorEastAsia" w:cstheme="minorBidi"/>
              <w:noProof/>
              <w:sz w:val="24"/>
              <w:szCs w:val="24"/>
            </w:rPr>
          </w:pPr>
          <w:hyperlink w:anchor="_Toc162267542" w:history="1">
            <w:r w:rsidR="00736DA9" w:rsidRPr="004372B1">
              <w:rPr>
                <w:rStyle w:val="Hyperlink"/>
                <w:noProof/>
              </w:rPr>
              <w:t>Figure 9.36: Pap Test within the Past Two Years, by Race/Ethnicity.</w:t>
            </w:r>
            <w:r w:rsidR="00736DA9">
              <w:rPr>
                <w:noProof/>
                <w:webHidden/>
              </w:rPr>
              <w:tab/>
            </w:r>
            <w:r w:rsidR="00736DA9">
              <w:rPr>
                <w:noProof/>
                <w:webHidden/>
              </w:rPr>
              <w:fldChar w:fldCharType="begin"/>
            </w:r>
            <w:r w:rsidR="00736DA9">
              <w:rPr>
                <w:noProof/>
                <w:webHidden/>
              </w:rPr>
              <w:instrText xml:space="preserve"> PAGEREF _Toc162267542 \h </w:instrText>
            </w:r>
            <w:r w:rsidR="00736DA9">
              <w:rPr>
                <w:noProof/>
                <w:webHidden/>
              </w:rPr>
            </w:r>
            <w:r w:rsidR="00736DA9">
              <w:rPr>
                <w:noProof/>
                <w:webHidden/>
              </w:rPr>
              <w:fldChar w:fldCharType="separate"/>
            </w:r>
            <w:r w:rsidR="00736DA9">
              <w:rPr>
                <w:noProof/>
                <w:webHidden/>
              </w:rPr>
              <w:t>346</w:t>
            </w:r>
            <w:r w:rsidR="00736DA9">
              <w:rPr>
                <w:noProof/>
                <w:webHidden/>
              </w:rPr>
              <w:fldChar w:fldCharType="end"/>
            </w:r>
          </w:hyperlink>
        </w:p>
        <w:p w14:paraId="4047D601" w14:textId="13D98159" w:rsidR="00736DA9" w:rsidRDefault="00000000">
          <w:pPr>
            <w:pStyle w:val="TOC4"/>
            <w:tabs>
              <w:tab w:val="right" w:pos="9350"/>
            </w:tabs>
            <w:rPr>
              <w:rFonts w:eastAsiaTheme="minorEastAsia" w:cstheme="minorBidi"/>
              <w:noProof/>
              <w:sz w:val="24"/>
              <w:szCs w:val="24"/>
            </w:rPr>
          </w:pPr>
          <w:hyperlink w:anchor="_Toc162267543" w:history="1">
            <w:r w:rsidR="00736DA9" w:rsidRPr="004372B1">
              <w:rPr>
                <w:rStyle w:val="Hyperlink"/>
                <w:noProof/>
              </w:rPr>
              <w:t>Figure 9.37: Cervical Cancer Incidence, by Race/Ethnicity.</w:t>
            </w:r>
            <w:r w:rsidR="00736DA9">
              <w:rPr>
                <w:noProof/>
                <w:webHidden/>
              </w:rPr>
              <w:tab/>
            </w:r>
            <w:r w:rsidR="00736DA9">
              <w:rPr>
                <w:noProof/>
                <w:webHidden/>
              </w:rPr>
              <w:fldChar w:fldCharType="begin"/>
            </w:r>
            <w:r w:rsidR="00736DA9">
              <w:rPr>
                <w:noProof/>
                <w:webHidden/>
              </w:rPr>
              <w:instrText xml:space="preserve"> PAGEREF _Toc162267543 \h </w:instrText>
            </w:r>
            <w:r w:rsidR="00736DA9">
              <w:rPr>
                <w:noProof/>
                <w:webHidden/>
              </w:rPr>
            </w:r>
            <w:r w:rsidR="00736DA9">
              <w:rPr>
                <w:noProof/>
                <w:webHidden/>
              </w:rPr>
              <w:fldChar w:fldCharType="separate"/>
            </w:r>
            <w:r w:rsidR="00736DA9">
              <w:rPr>
                <w:noProof/>
                <w:webHidden/>
              </w:rPr>
              <w:t>346</w:t>
            </w:r>
            <w:r w:rsidR="00736DA9">
              <w:rPr>
                <w:noProof/>
                <w:webHidden/>
              </w:rPr>
              <w:fldChar w:fldCharType="end"/>
            </w:r>
          </w:hyperlink>
        </w:p>
        <w:p w14:paraId="1EE9B7B0" w14:textId="1E2E435F" w:rsidR="00736DA9" w:rsidRDefault="00000000">
          <w:pPr>
            <w:pStyle w:val="TOC4"/>
            <w:tabs>
              <w:tab w:val="right" w:pos="9350"/>
            </w:tabs>
            <w:rPr>
              <w:rFonts w:eastAsiaTheme="minorEastAsia" w:cstheme="minorBidi"/>
              <w:noProof/>
              <w:sz w:val="24"/>
              <w:szCs w:val="24"/>
            </w:rPr>
          </w:pPr>
          <w:hyperlink w:anchor="_Toc162267544" w:history="1">
            <w:r w:rsidR="00736DA9" w:rsidRPr="004372B1">
              <w:rPr>
                <w:rStyle w:val="Hyperlink"/>
                <w:noProof/>
              </w:rPr>
              <w:t>Figure 9.38: Cervical Cancer Deaths, by Race/Ethnicity.</w:t>
            </w:r>
            <w:r w:rsidR="00736DA9">
              <w:rPr>
                <w:noProof/>
                <w:webHidden/>
              </w:rPr>
              <w:tab/>
            </w:r>
            <w:r w:rsidR="00736DA9">
              <w:rPr>
                <w:noProof/>
                <w:webHidden/>
              </w:rPr>
              <w:fldChar w:fldCharType="begin"/>
            </w:r>
            <w:r w:rsidR="00736DA9">
              <w:rPr>
                <w:noProof/>
                <w:webHidden/>
              </w:rPr>
              <w:instrText xml:space="preserve"> PAGEREF _Toc162267544 \h </w:instrText>
            </w:r>
            <w:r w:rsidR="00736DA9">
              <w:rPr>
                <w:noProof/>
                <w:webHidden/>
              </w:rPr>
            </w:r>
            <w:r w:rsidR="00736DA9">
              <w:rPr>
                <w:noProof/>
                <w:webHidden/>
              </w:rPr>
              <w:fldChar w:fldCharType="separate"/>
            </w:r>
            <w:r w:rsidR="00736DA9">
              <w:rPr>
                <w:noProof/>
                <w:webHidden/>
              </w:rPr>
              <w:t>346</w:t>
            </w:r>
            <w:r w:rsidR="00736DA9">
              <w:rPr>
                <w:noProof/>
                <w:webHidden/>
              </w:rPr>
              <w:fldChar w:fldCharType="end"/>
            </w:r>
          </w:hyperlink>
        </w:p>
        <w:p w14:paraId="07388DD1" w14:textId="7205F43D" w:rsidR="00736DA9" w:rsidRDefault="00000000">
          <w:pPr>
            <w:pStyle w:val="TOC4"/>
            <w:tabs>
              <w:tab w:val="right" w:pos="9350"/>
            </w:tabs>
            <w:rPr>
              <w:rFonts w:eastAsiaTheme="minorEastAsia" w:cstheme="minorBidi"/>
              <w:noProof/>
              <w:sz w:val="24"/>
              <w:szCs w:val="24"/>
            </w:rPr>
          </w:pPr>
          <w:hyperlink w:anchor="_Toc162267545"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_Toc162267545 \h </w:instrText>
            </w:r>
            <w:r w:rsidR="00736DA9">
              <w:rPr>
                <w:noProof/>
                <w:webHidden/>
              </w:rPr>
            </w:r>
            <w:r w:rsidR="00736DA9">
              <w:rPr>
                <w:noProof/>
                <w:webHidden/>
              </w:rPr>
              <w:fldChar w:fldCharType="separate"/>
            </w:r>
            <w:r w:rsidR="00736DA9">
              <w:rPr>
                <w:noProof/>
                <w:webHidden/>
              </w:rPr>
              <w:t>346</w:t>
            </w:r>
            <w:r w:rsidR="00736DA9">
              <w:rPr>
                <w:noProof/>
                <w:webHidden/>
              </w:rPr>
              <w:fldChar w:fldCharType="end"/>
            </w:r>
          </w:hyperlink>
        </w:p>
        <w:p w14:paraId="1FA54B37" w14:textId="06010A70" w:rsidR="00736DA9" w:rsidRDefault="00000000">
          <w:pPr>
            <w:pStyle w:val="TOC4"/>
            <w:tabs>
              <w:tab w:val="right" w:pos="9350"/>
            </w:tabs>
            <w:rPr>
              <w:rFonts w:eastAsiaTheme="minorEastAsia" w:cstheme="minorBidi"/>
              <w:noProof/>
              <w:sz w:val="24"/>
              <w:szCs w:val="24"/>
            </w:rPr>
          </w:pPr>
          <w:hyperlink w:anchor="_Toc162267546" w:history="1">
            <w:r w:rsidR="00736DA9" w:rsidRPr="004372B1">
              <w:rPr>
                <w:rStyle w:val="Hyperlink"/>
                <w:noProof/>
              </w:rPr>
              <w:t>References 9.17</w:t>
            </w:r>
            <w:r w:rsidR="00736DA9">
              <w:rPr>
                <w:noProof/>
                <w:webHidden/>
              </w:rPr>
              <w:tab/>
            </w:r>
            <w:r w:rsidR="00736DA9">
              <w:rPr>
                <w:noProof/>
                <w:webHidden/>
              </w:rPr>
              <w:fldChar w:fldCharType="begin"/>
            </w:r>
            <w:r w:rsidR="00736DA9">
              <w:rPr>
                <w:noProof/>
                <w:webHidden/>
              </w:rPr>
              <w:instrText xml:space="preserve"> PAGEREF _Toc162267546 \h </w:instrText>
            </w:r>
            <w:r w:rsidR="00736DA9">
              <w:rPr>
                <w:noProof/>
                <w:webHidden/>
              </w:rPr>
            </w:r>
            <w:r w:rsidR="00736DA9">
              <w:rPr>
                <w:noProof/>
                <w:webHidden/>
              </w:rPr>
              <w:fldChar w:fldCharType="separate"/>
            </w:r>
            <w:r w:rsidR="00736DA9">
              <w:rPr>
                <w:noProof/>
                <w:webHidden/>
              </w:rPr>
              <w:t>347</w:t>
            </w:r>
            <w:r w:rsidR="00736DA9">
              <w:rPr>
                <w:noProof/>
                <w:webHidden/>
              </w:rPr>
              <w:fldChar w:fldCharType="end"/>
            </w:r>
          </w:hyperlink>
        </w:p>
        <w:p w14:paraId="234350FA" w14:textId="0DE94289" w:rsidR="00736DA9" w:rsidRDefault="00000000">
          <w:pPr>
            <w:pStyle w:val="TOC3"/>
            <w:tabs>
              <w:tab w:val="right" w:pos="9350"/>
            </w:tabs>
            <w:rPr>
              <w:rFonts w:eastAsiaTheme="minorEastAsia" w:cstheme="minorBidi"/>
              <w:noProof/>
              <w:sz w:val="24"/>
              <w:szCs w:val="24"/>
            </w:rPr>
          </w:pPr>
          <w:hyperlink w:anchor="_Toc162267547" w:history="1">
            <w:r w:rsidR="00736DA9" w:rsidRPr="004372B1">
              <w:rPr>
                <w:rStyle w:val="Hyperlink"/>
                <w:noProof/>
              </w:rPr>
              <w:t>Prostate Cancer</w:t>
            </w:r>
            <w:r w:rsidR="00736DA9">
              <w:rPr>
                <w:noProof/>
                <w:webHidden/>
              </w:rPr>
              <w:tab/>
            </w:r>
            <w:r w:rsidR="00736DA9">
              <w:rPr>
                <w:noProof/>
                <w:webHidden/>
              </w:rPr>
              <w:fldChar w:fldCharType="begin"/>
            </w:r>
            <w:r w:rsidR="00736DA9">
              <w:rPr>
                <w:noProof/>
                <w:webHidden/>
              </w:rPr>
              <w:instrText xml:space="preserve"> PAGEREF _Toc162267547 \h </w:instrText>
            </w:r>
            <w:r w:rsidR="00736DA9">
              <w:rPr>
                <w:noProof/>
                <w:webHidden/>
              </w:rPr>
            </w:r>
            <w:r w:rsidR="00736DA9">
              <w:rPr>
                <w:noProof/>
                <w:webHidden/>
              </w:rPr>
              <w:fldChar w:fldCharType="separate"/>
            </w:r>
            <w:r w:rsidR="00736DA9">
              <w:rPr>
                <w:noProof/>
                <w:webHidden/>
              </w:rPr>
              <w:t>348</w:t>
            </w:r>
            <w:r w:rsidR="00736DA9">
              <w:rPr>
                <w:noProof/>
                <w:webHidden/>
              </w:rPr>
              <w:fldChar w:fldCharType="end"/>
            </w:r>
          </w:hyperlink>
        </w:p>
        <w:p w14:paraId="6886520C" w14:textId="7F4668BD" w:rsidR="00736DA9" w:rsidRDefault="00000000">
          <w:pPr>
            <w:pStyle w:val="TOC4"/>
            <w:tabs>
              <w:tab w:val="right" w:pos="9350"/>
            </w:tabs>
            <w:rPr>
              <w:rFonts w:eastAsiaTheme="minorEastAsia" w:cstheme="minorBidi"/>
              <w:noProof/>
              <w:sz w:val="24"/>
              <w:szCs w:val="24"/>
            </w:rPr>
          </w:pPr>
          <w:hyperlink w:anchor="_Toc162267548" w:history="1">
            <w:r w:rsidR="00736DA9" w:rsidRPr="004372B1">
              <w:rPr>
                <w:rStyle w:val="Hyperlink"/>
                <w:noProof/>
              </w:rPr>
              <w:t>Figure 9.39: Received PSA Test in the Past Two Years, by Race/Ethnicity.</w:t>
            </w:r>
            <w:r w:rsidR="00736DA9">
              <w:rPr>
                <w:noProof/>
                <w:webHidden/>
              </w:rPr>
              <w:tab/>
            </w:r>
            <w:r w:rsidR="00736DA9">
              <w:rPr>
                <w:noProof/>
                <w:webHidden/>
              </w:rPr>
              <w:fldChar w:fldCharType="begin"/>
            </w:r>
            <w:r w:rsidR="00736DA9">
              <w:rPr>
                <w:noProof/>
                <w:webHidden/>
              </w:rPr>
              <w:instrText xml:space="preserve"> PAGEREF _Toc162267548 \h </w:instrText>
            </w:r>
            <w:r w:rsidR="00736DA9">
              <w:rPr>
                <w:noProof/>
                <w:webHidden/>
              </w:rPr>
            </w:r>
            <w:r w:rsidR="00736DA9">
              <w:rPr>
                <w:noProof/>
                <w:webHidden/>
              </w:rPr>
              <w:fldChar w:fldCharType="separate"/>
            </w:r>
            <w:r w:rsidR="00736DA9">
              <w:rPr>
                <w:noProof/>
                <w:webHidden/>
              </w:rPr>
              <w:t>348</w:t>
            </w:r>
            <w:r w:rsidR="00736DA9">
              <w:rPr>
                <w:noProof/>
                <w:webHidden/>
              </w:rPr>
              <w:fldChar w:fldCharType="end"/>
            </w:r>
          </w:hyperlink>
        </w:p>
        <w:p w14:paraId="04067E4A" w14:textId="0D4FEC2A" w:rsidR="00736DA9" w:rsidRDefault="00000000">
          <w:pPr>
            <w:pStyle w:val="TOC4"/>
            <w:tabs>
              <w:tab w:val="right" w:pos="9350"/>
            </w:tabs>
            <w:rPr>
              <w:rFonts w:eastAsiaTheme="minorEastAsia" w:cstheme="minorBidi"/>
              <w:noProof/>
              <w:sz w:val="24"/>
              <w:szCs w:val="24"/>
            </w:rPr>
          </w:pPr>
          <w:hyperlink w:anchor="_Toc162267549" w:history="1">
            <w:r w:rsidR="00736DA9" w:rsidRPr="004372B1">
              <w:rPr>
                <w:rStyle w:val="Hyperlink"/>
                <w:noProof/>
              </w:rPr>
              <w:t>Figure 9.40: Prostate Cancer Incidence, by Race/Ethnicity.</w:t>
            </w:r>
            <w:r w:rsidR="00736DA9">
              <w:rPr>
                <w:noProof/>
                <w:webHidden/>
              </w:rPr>
              <w:tab/>
            </w:r>
            <w:r w:rsidR="00736DA9">
              <w:rPr>
                <w:noProof/>
                <w:webHidden/>
              </w:rPr>
              <w:fldChar w:fldCharType="begin"/>
            </w:r>
            <w:r w:rsidR="00736DA9">
              <w:rPr>
                <w:noProof/>
                <w:webHidden/>
              </w:rPr>
              <w:instrText xml:space="preserve"> PAGEREF _Toc162267549 \h </w:instrText>
            </w:r>
            <w:r w:rsidR="00736DA9">
              <w:rPr>
                <w:noProof/>
                <w:webHidden/>
              </w:rPr>
            </w:r>
            <w:r w:rsidR="00736DA9">
              <w:rPr>
                <w:noProof/>
                <w:webHidden/>
              </w:rPr>
              <w:fldChar w:fldCharType="separate"/>
            </w:r>
            <w:r w:rsidR="00736DA9">
              <w:rPr>
                <w:noProof/>
                <w:webHidden/>
              </w:rPr>
              <w:t>348</w:t>
            </w:r>
            <w:r w:rsidR="00736DA9">
              <w:rPr>
                <w:noProof/>
                <w:webHidden/>
              </w:rPr>
              <w:fldChar w:fldCharType="end"/>
            </w:r>
          </w:hyperlink>
        </w:p>
        <w:p w14:paraId="08278DE4" w14:textId="696AABFC" w:rsidR="00736DA9" w:rsidRDefault="00000000">
          <w:pPr>
            <w:pStyle w:val="TOC4"/>
            <w:tabs>
              <w:tab w:val="right" w:pos="9350"/>
            </w:tabs>
            <w:rPr>
              <w:rFonts w:eastAsiaTheme="minorEastAsia" w:cstheme="minorBidi"/>
              <w:noProof/>
              <w:sz w:val="24"/>
              <w:szCs w:val="24"/>
            </w:rPr>
          </w:pPr>
          <w:hyperlink w:anchor="_Toc162267550" w:history="1">
            <w:r w:rsidR="00736DA9" w:rsidRPr="004372B1">
              <w:rPr>
                <w:rStyle w:val="Hyperlink"/>
                <w:noProof/>
              </w:rPr>
              <w:t>Figure 9.41: Prostate Cancer Deaths, by Race/Ethnicity.</w:t>
            </w:r>
            <w:r w:rsidR="00736DA9">
              <w:rPr>
                <w:noProof/>
                <w:webHidden/>
              </w:rPr>
              <w:tab/>
            </w:r>
            <w:r w:rsidR="00736DA9">
              <w:rPr>
                <w:noProof/>
                <w:webHidden/>
              </w:rPr>
              <w:fldChar w:fldCharType="begin"/>
            </w:r>
            <w:r w:rsidR="00736DA9">
              <w:rPr>
                <w:noProof/>
                <w:webHidden/>
              </w:rPr>
              <w:instrText xml:space="preserve"> PAGEREF _Toc162267550 \h </w:instrText>
            </w:r>
            <w:r w:rsidR="00736DA9">
              <w:rPr>
                <w:noProof/>
                <w:webHidden/>
              </w:rPr>
            </w:r>
            <w:r w:rsidR="00736DA9">
              <w:rPr>
                <w:noProof/>
                <w:webHidden/>
              </w:rPr>
              <w:fldChar w:fldCharType="separate"/>
            </w:r>
            <w:r w:rsidR="00736DA9">
              <w:rPr>
                <w:noProof/>
                <w:webHidden/>
              </w:rPr>
              <w:t>349</w:t>
            </w:r>
            <w:r w:rsidR="00736DA9">
              <w:rPr>
                <w:noProof/>
                <w:webHidden/>
              </w:rPr>
              <w:fldChar w:fldCharType="end"/>
            </w:r>
          </w:hyperlink>
        </w:p>
        <w:p w14:paraId="707B0F5C" w14:textId="3FB2FC12" w:rsidR="00736DA9" w:rsidRDefault="00000000">
          <w:pPr>
            <w:pStyle w:val="TOC4"/>
            <w:tabs>
              <w:tab w:val="right" w:pos="9350"/>
            </w:tabs>
            <w:rPr>
              <w:rFonts w:eastAsiaTheme="minorEastAsia" w:cstheme="minorBidi"/>
              <w:noProof/>
              <w:sz w:val="24"/>
              <w:szCs w:val="24"/>
            </w:rPr>
          </w:pPr>
          <w:hyperlink w:anchor="_Toc162267551"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_Toc162267551 \h </w:instrText>
            </w:r>
            <w:r w:rsidR="00736DA9">
              <w:rPr>
                <w:noProof/>
                <w:webHidden/>
              </w:rPr>
            </w:r>
            <w:r w:rsidR="00736DA9">
              <w:rPr>
                <w:noProof/>
                <w:webHidden/>
              </w:rPr>
              <w:fldChar w:fldCharType="separate"/>
            </w:r>
            <w:r w:rsidR="00736DA9">
              <w:rPr>
                <w:noProof/>
                <w:webHidden/>
              </w:rPr>
              <w:t>349</w:t>
            </w:r>
            <w:r w:rsidR="00736DA9">
              <w:rPr>
                <w:noProof/>
                <w:webHidden/>
              </w:rPr>
              <w:fldChar w:fldCharType="end"/>
            </w:r>
          </w:hyperlink>
        </w:p>
        <w:p w14:paraId="3C092AB8" w14:textId="0A440141" w:rsidR="00736DA9" w:rsidRDefault="00000000">
          <w:pPr>
            <w:pStyle w:val="TOC4"/>
            <w:tabs>
              <w:tab w:val="right" w:pos="9350"/>
            </w:tabs>
            <w:rPr>
              <w:rFonts w:eastAsiaTheme="minorEastAsia" w:cstheme="minorBidi"/>
              <w:noProof/>
              <w:sz w:val="24"/>
              <w:szCs w:val="24"/>
            </w:rPr>
          </w:pPr>
          <w:hyperlink w:anchor="_Toc162267552" w:history="1">
            <w:r w:rsidR="00736DA9" w:rsidRPr="004372B1">
              <w:rPr>
                <w:rStyle w:val="Hyperlink"/>
                <w:noProof/>
              </w:rPr>
              <w:t>References 9.18</w:t>
            </w:r>
            <w:r w:rsidR="00736DA9">
              <w:rPr>
                <w:noProof/>
                <w:webHidden/>
              </w:rPr>
              <w:tab/>
            </w:r>
            <w:r w:rsidR="00736DA9">
              <w:rPr>
                <w:noProof/>
                <w:webHidden/>
              </w:rPr>
              <w:fldChar w:fldCharType="begin"/>
            </w:r>
            <w:r w:rsidR="00736DA9">
              <w:rPr>
                <w:noProof/>
                <w:webHidden/>
              </w:rPr>
              <w:instrText xml:space="preserve"> PAGEREF _Toc162267552 \h </w:instrText>
            </w:r>
            <w:r w:rsidR="00736DA9">
              <w:rPr>
                <w:noProof/>
                <w:webHidden/>
              </w:rPr>
            </w:r>
            <w:r w:rsidR="00736DA9">
              <w:rPr>
                <w:noProof/>
                <w:webHidden/>
              </w:rPr>
              <w:fldChar w:fldCharType="separate"/>
            </w:r>
            <w:r w:rsidR="00736DA9">
              <w:rPr>
                <w:noProof/>
                <w:webHidden/>
              </w:rPr>
              <w:t>350</w:t>
            </w:r>
            <w:r w:rsidR="00736DA9">
              <w:rPr>
                <w:noProof/>
                <w:webHidden/>
              </w:rPr>
              <w:fldChar w:fldCharType="end"/>
            </w:r>
          </w:hyperlink>
        </w:p>
        <w:p w14:paraId="46B896B5" w14:textId="47A3830E" w:rsidR="00736DA9" w:rsidRDefault="00000000">
          <w:pPr>
            <w:pStyle w:val="TOC3"/>
            <w:tabs>
              <w:tab w:val="right" w:pos="9350"/>
            </w:tabs>
            <w:rPr>
              <w:rFonts w:eastAsiaTheme="minorEastAsia" w:cstheme="minorBidi"/>
              <w:noProof/>
              <w:sz w:val="24"/>
              <w:szCs w:val="24"/>
            </w:rPr>
          </w:pPr>
          <w:hyperlink w:anchor="_Toc162267553" w:history="1">
            <w:r w:rsidR="00736DA9" w:rsidRPr="004372B1">
              <w:rPr>
                <w:rStyle w:val="Hyperlink"/>
                <w:noProof/>
              </w:rPr>
              <w:t>Poor Mental Health</w:t>
            </w:r>
            <w:r w:rsidR="00736DA9">
              <w:rPr>
                <w:noProof/>
                <w:webHidden/>
              </w:rPr>
              <w:tab/>
            </w:r>
            <w:r w:rsidR="00736DA9">
              <w:rPr>
                <w:noProof/>
                <w:webHidden/>
              </w:rPr>
              <w:fldChar w:fldCharType="begin"/>
            </w:r>
            <w:r w:rsidR="00736DA9">
              <w:rPr>
                <w:noProof/>
                <w:webHidden/>
              </w:rPr>
              <w:instrText xml:space="preserve"> PAGEREF _Toc162267553 \h </w:instrText>
            </w:r>
            <w:r w:rsidR="00736DA9">
              <w:rPr>
                <w:noProof/>
                <w:webHidden/>
              </w:rPr>
            </w:r>
            <w:r w:rsidR="00736DA9">
              <w:rPr>
                <w:noProof/>
                <w:webHidden/>
              </w:rPr>
              <w:fldChar w:fldCharType="separate"/>
            </w:r>
            <w:r w:rsidR="00736DA9">
              <w:rPr>
                <w:noProof/>
                <w:webHidden/>
              </w:rPr>
              <w:t>351</w:t>
            </w:r>
            <w:r w:rsidR="00736DA9">
              <w:rPr>
                <w:noProof/>
                <w:webHidden/>
              </w:rPr>
              <w:fldChar w:fldCharType="end"/>
            </w:r>
          </w:hyperlink>
        </w:p>
        <w:p w14:paraId="327A6AA2" w14:textId="0D5B02FA" w:rsidR="00736DA9" w:rsidRDefault="00000000">
          <w:pPr>
            <w:pStyle w:val="TOC4"/>
            <w:tabs>
              <w:tab w:val="right" w:pos="9350"/>
            </w:tabs>
            <w:rPr>
              <w:rFonts w:eastAsiaTheme="minorEastAsia" w:cstheme="minorBidi"/>
              <w:noProof/>
              <w:sz w:val="24"/>
              <w:szCs w:val="24"/>
            </w:rPr>
          </w:pPr>
          <w:hyperlink w:anchor="_Toc162267554" w:history="1">
            <w:r w:rsidR="00736DA9" w:rsidRPr="004372B1">
              <w:rPr>
                <w:rStyle w:val="Hyperlink"/>
                <w:noProof/>
              </w:rPr>
              <w:t>Figure 9.42: Adults Who Experienced 14 or More Poor Mental Health Days, by Age Group.</w:t>
            </w:r>
            <w:r w:rsidR="00736DA9">
              <w:rPr>
                <w:noProof/>
                <w:webHidden/>
              </w:rPr>
              <w:tab/>
            </w:r>
            <w:r w:rsidR="00736DA9">
              <w:rPr>
                <w:noProof/>
                <w:webHidden/>
              </w:rPr>
              <w:fldChar w:fldCharType="begin"/>
            </w:r>
            <w:r w:rsidR="00736DA9">
              <w:rPr>
                <w:noProof/>
                <w:webHidden/>
              </w:rPr>
              <w:instrText xml:space="preserve"> PAGEREF _Toc162267554 \h </w:instrText>
            </w:r>
            <w:r w:rsidR="00736DA9">
              <w:rPr>
                <w:noProof/>
                <w:webHidden/>
              </w:rPr>
            </w:r>
            <w:r w:rsidR="00736DA9">
              <w:rPr>
                <w:noProof/>
                <w:webHidden/>
              </w:rPr>
              <w:fldChar w:fldCharType="separate"/>
            </w:r>
            <w:r w:rsidR="00736DA9">
              <w:rPr>
                <w:noProof/>
                <w:webHidden/>
              </w:rPr>
              <w:t>351</w:t>
            </w:r>
            <w:r w:rsidR="00736DA9">
              <w:rPr>
                <w:noProof/>
                <w:webHidden/>
              </w:rPr>
              <w:fldChar w:fldCharType="end"/>
            </w:r>
          </w:hyperlink>
        </w:p>
        <w:p w14:paraId="1D598A44" w14:textId="3C3FC596" w:rsidR="00736DA9" w:rsidRDefault="00000000">
          <w:pPr>
            <w:pStyle w:val="TOC4"/>
            <w:tabs>
              <w:tab w:val="right" w:pos="9350"/>
            </w:tabs>
            <w:rPr>
              <w:rFonts w:eastAsiaTheme="minorEastAsia" w:cstheme="minorBidi"/>
              <w:noProof/>
              <w:sz w:val="24"/>
              <w:szCs w:val="24"/>
            </w:rPr>
          </w:pPr>
          <w:hyperlink w:anchor="_Toc162267555" w:history="1">
            <w:r w:rsidR="00736DA9" w:rsidRPr="004372B1">
              <w:rPr>
                <w:rStyle w:val="Hyperlink"/>
                <w:noProof/>
              </w:rPr>
              <w:t>Figure 9.43: Adults Who Experienced 14 or More Poor Mental Health Days, by Disability Status.</w:t>
            </w:r>
            <w:r w:rsidR="00736DA9">
              <w:rPr>
                <w:noProof/>
                <w:webHidden/>
              </w:rPr>
              <w:tab/>
            </w:r>
            <w:r w:rsidR="00736DA9">
              <w:rPr>
                <w:noProof/>
                <w:webHidden/>
              </w:rPr>
              <w:fldChar w:fldCharType="begin"/>
            </w:r>
            <w:r w:rsidR="00736DA9">
              <w:rPr>
                <w:noProof/>
                <w:webHidden/>
              </w:rPr>
              <w:instrText xml:space="preserve"> PAGEREF _Toc162267555 \h </w:instrText>
            </w:r>
            <w:r w:rsidR="00736DA9">
              <w:rPr>
                <w:noProof/>
                <w:webHidden/>
              </w:rPr>
            </w:r>
            <w:r w:rsidR="00736DA9">
              <w:rPr>
                <w:noProof/>
                <w:webHidden/>
              </w:rPr>
              <w:fldChar w:fldCharType="separate"/>
            </w:r>
            <w:r w:rsidR="00736DA9">
              <w:rPr>
                <w:noProof/>
                <w:webHidden/>
              </w:rPr>
              <w:t>352</w:t>
            </w:r>
            <w:r w:rsidR="00736DA9">
              <w:rPr>
                <w:noProof/>
                <w:webHidden/>
              </w:rPr>
              <w:fldChar w:fldCharType="end"/>
            </w:r>
          </w:hyperlink>
        </w:p>
        <w:p w14:paraId="0F1A1C23" w14:textId="1AEB01CB" w:rsidR="00736DA9" w:rsidRDefault="00000000">
          <w:pPr>
            <w:pStyle w:val="TOC4"/>
            <w:tabs>
              <w:tab w:val="right" w:pos="9350"/>
            </w:tabs>
            <w:rPr>
              <w:rFonts w:eastAsiaTheme="minorEastAsia" w:cstheme="minorBidi"/>
              <w:noProof/>
              <w:sz w:val="24"/>
              <w:szCs w:val="24"/>
            </w:rPr>
          </w:pPr>
          <w:hyperlink w:anchor="_Toc162267556" w:history="1">
            <w:r w:rsidR="00736DA9" w:rsidRPr="004372B1">
              <w:rPr>
                <w:rStyle w:val="Hyperlink"/>
                <w:noProof/>
              </w:rPr>
              <w:t>Figure 9.44: Adults Who Experienced 14 or More Poor Mental Health Days, by Income Level.</w:t>
            </w:r>
            <w:r w:rsidR="00736DA9">
              <w:rPr>
                <w:noProof/>
                <w:webHidden/>
              </w:rPr>
              <w:tab/>
            </w:r>
            <w:r w:rsidR="00736DA9">
              <w:rPr>
                <w:noProof/>
                <w:webHidden/>
              </w:rPr>
              <w:fldChar w:fldCharType="begin"/>
            </w:r>
            <w:r w:rsidR="00736DA9">
              <w:rPr>
                <w:noProof/>
                <w:webHidden/>
              </w:rPr>
              <w:instrText xml:space="preserve"> PAGEREF _Toc162267556 \h </w:instrText>
            </w:r>
            <w:r w:rsidR="00736DA9">
              <w:rPr>
                <w:noProof/>
                <w:webHidden/>
              </w:rPr>
            </w:r>
            <w:r w:rsidR="00736DA9">
              <w:rPr>
                <w:noProof/>
                <w:webHidden/>
              </w:rPr>
              <w:fldChar w:fldCharType="separate"/>
            </w:r>
            <w:r w:rsidR="00736DA9">
              <w:rPr>
                <w:noProof/>
                <w:webHidden/>
              </w:rPr>
              <w:t>352</w:t>
            </w:r>
            <w:r w:rsidR="00736DA9">
              <w:rPr>
                <w:noProof/>
                <w:webHidden/>
              </w:rPr>
              <w:fldChar w:fldCharType="end"/>
            </w:r>
          </w:hyperlink>
        </w:p>
        <w:p w14:paraId="77B61E7D" w14:textId="68D449F7" w:rsidR="00736DA9" w:rsidRDefault="00000000">
          <w:pPr>
            <w:pStyle w:val="TOC4"/>
            <w:tabs>
              <w:tab w:val="right" w:pos="9350"/>
            </w:tabs>
            <w:rPr>
              <w:rFonts w:eastAsiaTheme="minorEastAsia" w:cstheme="minorBidi"/>
              <w:noProof/>
              <w:sz w:val="24"/>
              <w:szCs w:val="24"/>
            </w:rPr>
          </w:pPr>
          <w:hyperlink w:anchor="_Toc162267557"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_Toc162267557 \h </w:instrText>
            </w:r>
            <w:r w:rsidR="00736DA9">
              <w:rPr>
                <w:noProof/>
                <w:webHidden/>
              </w:rPr>
            </w:r>
            <w:r w:rsidR="00736DA9">
              <w:rPr>
                <w:noProof/>
                <w:webHidden/>
              </w:rPr>
              <w:fldChar w:fldCharType="separate"/>
            </w:r>
            <w:r w:rsidR="00736DA9">
              <w:rPr>
                <w:noProof/>
                <w:webHidden/>
              </w:rPr>
              <w:t>352</w:t>
            </w:r>
            <w:r w:rsidR="00736DA9">
              <w:rPr>
                <w:noProof/>
                <w:webHidden/>
              </w:rPr>
              <w:fldChar w:fldCharType="end"/>
            </w:r>
          </w:hyperlink>
        </w:p>
        <w:p w14:paraId="20BC8EF5" w14:textId="1E57AB1E" w:rsidR="00736DA9" w:rsidRDefault="00000000">
          <w:pPr>
            <w:pStyle w:val="TOC4"/>
            <w:tabs>
              <w:tab w:val="right" w:pos="9350"/>
            </w:tabs>
            <w:rPr>
              <w:rFonts w:eastAsiaTheme="minorEastAsia" w:cstheme="minorBidi"/>
              <w:noProof/>
              <w:sz w:val="24"/>
              <w:szCs w:val="24"/>
            </w:rPr>
          </w:pPr>
          <w:hyperlink w:anchor="_Toc162267558" w:history="1">
            <w:r w:rsidR="00736DA9" w:rsidRPr="004372B1">
              <w:rPr>
                <w:rStyle w:val="Hyperlink"/>
                <w:noProof/>
              </w:rPr>
              <w:t>References 9.19</w:t>
            </w:r>
            <w:r w:rsidR="00736DA9">
              <w:rPr>
                <w:noProof/>
                <w:webHidden/>
              </w:rPr>
              <w:tab/>
            </w:r>
            <w:r w:rsidR="00736DA9">
              <w:rPr>
                <w:noProof/>
                <w:webHidden/>
              </w:rPr>
              <w:fldChar w:fldCharType="begin"/>
            </w:r>
            <w:r w:rsidR="00736DA9">
              <w:rPr>
                <w:noProof/>
                <w:webHidden/>
              </w:rPr>
              <w:instrText xml:space="preserve"> PAGEREF _Toc162267558 \h </w:instrText>
            </w:r>
            <w:r w:rsidR="00736DA9">
              <w:rPr>
                <w:noProof/>
                <w:webHidden/>
              </w:rPr>
            </w:r>
            <w:r w:rsidR="00736DA9">
              <w:rPr>
                <w:noProof/>
                <w:webHidden/>
              </w:rPr>
              <w:fldChar w:fldCharType="separate"/>
            </w:r>
            <w:r w:rsidR="00736DA9">
              <w:rPr>
                <w:noProof/>
                <w:webHidden/>
              </w:rPr>
              <w:t>353</w:t>
            </w:r>
            <w:r w:rsidR="00736DA9">
              <w:rPr>
                <w:noProof/>
                <w:webHidden/>
              </w:rPr>
              <w:fldChar w:fldCharType="end"/>
            </w:r>
          </w:hyperlink>
        </w:p>
        <w:p w14:paraId="7CC515E8" w14:textId="4BB28A2F" w:rsidR="00736DA9" w:rsidRDefault="00000000">
          <w:pPr>
            <w:pStyle w:val="TOC3"/>
            <w:tabs>
              <w:tab w:val="right" w:pos="9350"/>
            </w:tabs>
            <w:rPr>
              <w:rFonts w:eastAsiaTheme="minorEastAsia" w:cstheme="minorBidi"/>
              <w:noProof/>
              <w:sz w:val="24"/>
              <w:szCs w:val="24"/>
            </w:rPr>
          </w:pPr>
          <w:hyperlink w:anchor="_Toc162267559" w:history="1">
            <w:r w:rsidR="00736DA9" w:rsidRPr="004372B1">
              <w:rPr>
                <w:rStyle w:val="Hyperlink"/>
                <w:noProof/>
              </w:rPr>
              <w:t>Depression</w:t>
            </w:r>
            <w:r w:rsidR="00736DA9">
              <w:rPr>
                <w:noProof/>
                <w:webHidden/>
              </w:rPr>
              <w:tab/>
            </w:r>
            <w:r w:rsidR="00736DA9">
              <w:rPr>
                <w:noProof/>
                <w:webHidden/>
              </w:rPr>
              <w:fldChar w:fldCharType="begin"/>
            </w:r>
            <w:r w:rsidR="00736DA9">
              <w:rPr>
                <w:noProof/>
                <w:webHidden/>
              </w:rPr>
              <w:instrText xml:space="preserve"> PAGEREF _Toc162267559 \h </w:instrText>
            </w:r>
            <w:r w:rsidR="00736DA9">
              <w:rPr>
                <w:noProof/>
                <w:webHidden/>
              </w:rPr>
            </w:r>
            <w:r w:rsidR="00736DA9">
              <w:rPr>
                <w:noProof/>
                <w:webHidden/>
              </w:rPr>
              <w:fldChar w:fldCharType="separate"/>
            </w:r>
            <w:r w:rsidR="00736DA9">
              <w:rPr>
                <w:noProof/>
                <w:webHidden/>
              </w:rPr>
              <w:t>353</w:t>
            </w:r>
            <w:r w:rsidR="00736DA9">
              <w:rPr>
                <w:noProof/>
                <w:webHidden/>
              </w:rPr>
              <w:fldChar w:fldCharType="end"/>
            </w:r>
          </w:hyperlink>
        </w:p>
        <w:p w14:paraId="2FE65B5F" w14:textId="1270642B" w:rsidR="00736DA9" w:rsidRDefault="00000000">
          <w:pPr>
            <w:pStyle w:val="TOC4"/>
            <w:tabs>
              <w:tab w:val="right" w:pos="9350"/>
            </w:tabs>
            <w:rPr>
              <w:rFonts w:eastAsiaTheme="minorEastAsia" w:cstheme="minorBidi"/>
              <w:noProof/>
              <w:sz w:val="24"/>
              <w:szCs w:val="24"/>
            </w:rPr>
          </w:pPr>
          <w:hyperlink w:anchor="_Toc162267560" w:history="1">
            <w:r w:rsidR="00736DA9" w:rsidRPr="004372B1">
              <w:rPr>
                <w:rStyle w:val="Hyperlink"/>
                <w:noProof/>
              </w:rPr>
              <w:t>Figure 9.45: Depression Among Adults, by Sex.</w:t>
            </w:r>
            <w:r w:rsidR="00736DA9">
              <w:rPr>
                <w:noProof/>
                <w:webHidden/>
              </w:rPr>
              <w:tab/>
            </w:r>
            <w:r w:rsidR="00736DA9">
              <w:rPr>
                <w:noProof/>
                <w:webHidden/>
              </w:rPr>
              <w:fldChar w:fldCharType="begin"/>
            </w:r>
            <w:r w:rsidR="00736DA9">
              <w:rPr>
                <w:noProof/>
                <w:webHidden/>
              </w:rPr>
              <w:instrText xml:space="preserve"> PAGEREF _Toc162267560 \h </w:instrText>
            </w:r>
            <w:r w:rsidR="00736DA9">
              <w:rPr>
                <w:noProof/>
                <w:webHidden/>
              </w:rPr>
            </w:r>
            <w:r w:rsidR="00736DA9">
              <w:rPr>
                <w:noProof/>
                <w:webHidden/>
              </w:rPr>
              <w:fldChar w:fldCharType="separate"/>
            </w:r>
            <w:r w:rsidR="00736DA9">
              <w:rPr>
                <w:noProof/>
                <w:webHidden/>
              </w:rPr>
              <w:t>354</w:t>
            </w:r>
            <w:r w:rsidR="00736DA9">
              <w:rPr>
                <w:noProof/>
                <w:webHidden/>
              </w:rPr>
              <w:fldChar w:fldCharType="end"/>
            </w:r>
          </w:hyperlink>
        </w:p>
        <w:p w14:paraId="334C092E" w14:textId="54173F56" w:rsidR="00736DA9" w:rsidRDefault="00000000">
          <w:pPr>
            <w:pStyle w:val="TOC4"/>
            <w:tabs>
              <w:tab w:val="right" w:pos="9350"/>
            </w:tabs>
            <w:rPr>
              <w:rFonts w:eastAsiaTheme="minorEastAsia" w:cstheme="minorBidi"/>
              <w:noProof/>
              <w:sz w:val="24"/>
              <w:szCs w:val="24"/>
            </w:rPr>
          </w:pPr>
          <w:hyperlink w:anchor="_Toc162267561" w:history="1">
            <w:r w:rsidR="00736DA9" w:rsidRPr="004372B1">
              <w:rPr>
                <w:rStyle w:val="Hyperlink"/>
                <w:noProof/>
              </w:rPr>
              <w:t>Figure 9.46: Depression Among Adults, by Race/Ethnicity.</w:t>
            </w:r>
            <w:r w:rsidR="00736DA9">
              <w:rPr>
                <w:noProof/>
                <w:webHidden/>
              </w:rPr>
              <w:tab/>
            </w:r>
            <w:r w:rsidR="00736DA9">
              <w:rPr>
                <w:noProof/>
                <w:webHidden/>
              </w:rPr>
              <w:fldChar w:fldCharType="begin"/>
            </w:r>
            <w:r w:rsidR="00736DA9">
              <w:rPr>
                <w:noProof/>
                <w:webHidden/>
              </w:rPr>
              <w:instrText xml:space="preserve"> PAGEREF _Toc162267561 \h </w:instrText>
            </w:r>
            <w:r w:rsidR="00736DA9">
              <w:rPr>
                <w:noProof/>
                <w:webHidden/>
              </w:rPr>
            </w:r>
            <w:r w:rsidR="00736DA9">
              <w:rPr>
                <w:noProof/>
                <w:webHidden/>
              </w:rPr>
              <w:fldChar w:fldCharType="separate"/>
            </w:r>
            <w:r w:rsidR="00736DA9">
              <w:rPr>
                <w:noProof/>
                <w:webHidden/>
              </w:rPr>
              <w:t>354</w:t>
            </w:r>
            <w:r w:rsidR="00736DA9">
              <w:rPr>
                <w:noProof/>
                <w:webHidden/>
              </w:rPr>
              <w:fldChar w:fldCharType="end"/>
            </w:r>
          </w:hyperlink>
        </w:p>
        <w:p w14:paraId="0708EFFF" w14:textId="74EA74FB" w:rsidR="00736DA9" w:rsidRDefault="00000000">
          <w:pPr>
            <w:pStyle w:val="TOC4"/>
            <w:tabs>
              <w:tab w:val="right" w:pos="9350"/>
            </w:tabs>
            <w:rPr>
              <w:rFonts w:eastAsiaTheme="minorEastAsia" w:cstheme="minorBidi"/>
              <w:noProof/>
              <w:sz w:val="24"/>
              <w:szCs w:val="24"/>
            </w:rPr>
          </w:pPr>
          <w:hyperlink w:anchor="_Toc162267562" w:history="1">
            <w:r w:rsidR="00736DA9" w:rsidRPr="004372B1">
              <w:rPr>
                <w:rStyle w:val="Hyperlink"/>
                <w:noProof/>
              </w:rPr>
              <w:t>Figure 9.47: Any Mental Illness Compared to Receipt of Mental Health Services among Adults, by Age Group.</w:t>
            </w:r>
            <w:r w:rsidR="00736DA9">
              <w:rPr>
                <w:noProof/>
                <w:webHidden/>
              </w:rPr>
              <w:tab/>
            </w:r>
            <w:r w:rsidR="00736DA9">
              <w:rPr>
                <w:noProof/>
                <w:webHidden/>
              </w:rPr>
              <w:fldChar w:fldCharType="begin"/>
            </w:r>
            <w:r w:rsidR="00736DA9">
              <w:rPr>
                <w:noProof/>
                <w:webHidden/>
              </w:rPr>
              <w:instrText xml:space="preserve"> PAGEREF _Toc162267562 \h </w:instrText>
            </w:r>
            <w:r w:rsidR="00736DA9">
              <w:rPr>
                <w:noProof/>
                <w:webHidden/>
              </w:rPr>
            </w:r>
            <w:r w:rsidR="00736DA9">
              <w:rPr>
                <w:noProof/>
                <w:webHidden/>
              </w:rPr>
              <w:fldChar w:fldCharType="separate"/>
            </w:r>
            <w:r w:rsidR="00736DA9">
              <w:rPr>
                <w:noProof/>
                <w:webHidden/>
              </w:rPr>
              <w:t>354</w:t>
            </w:r>
            <w:r w:rsidR="00736DA9">
              <w:rPr>
                <w:noProof/>
                <w:webHidden/>
              </w:rPr>
              <w:fldChar w:fldCharType="end"/>
            </w:r>
          </w:hyperlink>
        </w:p>
        <w:p w14:paraId="7CEBCBA5" w14:textId="336E7677" w:rsidR="00736DA9" w:rsidRDefault="00000000">
          <w:pPr>
            <w:pStyle w:val="TOC4"/>
            <w:tabs>
              <w:tab w:val="right" w:pos="9350"/>
            </w:tabs>
            <w:rPr>
              <w:rFonts w:eastAsiaTheme="minorEastAsia" w:cstheme="minorBidi"/>
              <w:noProof/>
              <w:sz w:val="24"/>
              <w:szCs w:val="24"/>
            </w:rPr>
          </w:pPr>
          <w:hyperlink w:anchor="_Toc162267563"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_Toc162267563 \h </w:instrText>
            </w:r>
            <w:r w:rsidR="00736DA9">
              <w:rPr>
                <w:noProof/>
                <w:webHidden/>
              </w:rPr>
            </w:r>
            <w:r w:rsidR="00736DA9">
              <w:rPr>
                <w:noProof/>
                <w:webHidden/>
              </w:rPr>
              <w:fldChar w:fldCharType="separate"/>
            </w:r>
            <w:r w:rsidR="00736DA9">
              <w:rPr>
                <w:noProof/>
                <w:webHidden/>
              </w:rPr>
              <w:t>355</w:t>
            </w:r>
            <w:r w:rsidR="00736DA9">
              <w:rPr>
                <w:noProof/>
                <w:webHidden/>
              </w:rPr>
              <w:fldChar w:fldCharType="end"/>
            </w:r>
          </w:hyperlink>
        </w:p>
        <w:p w14:paraId="7CF07A1D" w14:textId="2099A0FB" w:rsidR="00736DA9" w:rsidRDefault="00000000">
          <w:pPr>
            <w:pStyle w:val="TOC4"/>
            <w:tabs>
              <w:tab w:val="right" w:pos="9350"/>
            </w:tabs>
            <w:rPr>
              <w:rFonts w:eastAsiaTheme="minorEastAsia" w:cstheme="minorBidi"/>
              <w:noProof/>
              <w:sz w:val="24"/>
              <w:szCs w:val="24"/>
            </w:rPr>
          </w:pPr>
          <w:hyperlink w:anchor="_Toc162267564" w:history="1">
            <w:r w:rsidR="00736DA9" w:rsidRPr="004372B1">
              <w:rPr>
                <w:rStyle w:val="Hyperlink"/>
                <w:noProof/>
              </w:rPr>
              <w:t>References 9.20</w:t>
            </w:r>
            <w:r w:rsidR="00736DA9">
              <w:rPr>
                <w:noProof/>
                <w:webHidden/>
              </w:rPr>
              <w:tab/>
            </w:r>
            <w:r w:rsidR="00736DA9">
              <w:rPr>
                <w:noProof/>
                <w:webHidden/>
              </w:rPr>
              <w:fldChar w:fldCharType="begin"/>
            </w:r>
            <w:r w:rsidR="00736DA9">
              <w:rPr>
                <w:noProof/>
                <w:webHidden/>
              </w:rPr>
              <w:instrText xml:space="preserve"> PAGEREF _Toc162267564 \h </w:instrText>
            </w:r>
            <w:r w:rsidR="00736DA9">
              <w:rPr>
                <w:noProof/>
                <w:webHidden/>
              </w:rPr>
            </w:r>
            <w:r w:rsidR="00736DA9">
              <w:rPr>
                <w:noProof/>
                <w:webHidden/>
              </w:rPr>
              <w:fldChar w:fldCharType="separate"/>
            </w:r>
            <w:r w:rsidR="00736DA9">
              <w:rPr>
                <w:noProof/>
                <w:webHidden/>
              </w:rPr>
              <w:t>355</w:t>
            </w:r>
            <w:r w:rsidR="00736DA9">
              <w:rPr>
                <w:noProof/>
                <w:webHidden/>
              </w:rPr>
              <w:fldChar w:fldCharType="end"/>
            </w:r>
          </w:hyperlink>
        </w:p>
        <w:p w14:paraId="3089B06F" w14:textId="15E13642" w:rsidR="00736DA9" w:rsidRDefault="00000000">
          <w:pPr>
            <w:pStyle w:val="TOC3"/>
            <w:tabs>
              <w:tab w:val="right" w:pos="9350"/>
            </w:tabs>
            <w:rPr>
              <w:rFonts w:eastAsiaTheme="minorEastAsia" w:cstheme="minorBidi"/>
              <w:noProof/>
              <w:sz w:val="24"/>
              <w:szCs w:val="24"/>
            </w:rPr>
          </w:pPr>
          <w:hyperlink w:anchor="_Toc162267565" w:history="1">
            <w:r w:rsidR="00736DA9" w:rsidRPr="004372B1">
              <w:rPr>
                <w:rStyle w:val="Hyperlink"/>
                <w:noProof/>
              </w:rPr>
              <w:t>Substance Use</w:t>
            </w:r>
            <w:r w:rsidR="00736DA9">
              <w:rPr>
                <w:noProof/>
                <w:webHidden/>
              </w:rPr>
              <w:tab/>
            </w:r>
            <w:r w:rsidR="00736DA9">
              <w:rPr>
                <w:noProof/>
                <w:webHidden/>
              </w:rPr>
              <w:fldChar w:fldCharType="begin"/>
            </w:r>
            <w:r w:rsidR="00736DA9">
              <w:rPr>
                <w:noProof/>
                <w:webHidden/>
              </w:rPr>
              <w:instrText xml:space="preserve"> PAGEREF _Toc162267565 \h </w:instrText>
            </w:r>
            <w:r w:rsidR="00736DA9">
              <w:rPr>
                <w:noProof/>
                <w:webHidden/>
              </w:rPr>
            </w:r>
            <w:r w:rsidR="00736DA9">
              <w:rPr>
                <w:noProof/>
                <w:webHidden/>
              </w:rPr>
              <w:fldChar w:fldCharType="separate"/>
            </w:r>
            <w:r w:rsidR="00736DA9">
              <w:rPr>
                <w:noProof/>
                <w:webHidden/>
              </w:rPr>
              <w:t>356</w:t>
            </w:r>
            <w:r w:rsidR="00736DA9">
              <w:rPr>
                <w:noProof/>
                <w:webHidden/>
              </w:rPr>
              <w:fldChar w:fldCharType="end"/>
            </w:r>
          </w:hyperlink>
        </w:p>
        <w:p w14:paraId="2D425C94" w14:textId="59673A6D" w:rsidR="00736DA9" w:rsidRDefault="00000000">
          <w:pPr>
            <w:pStyle w:val="TOC4"/>
            <w:tabs>
              <w:tab w:val="right" w:pos="9350"/>
            </w:tabs>
            <w:rPr>
              <w:rFonts w:eastAsiaTheme="minorEastAsia" w:cstheme="minorBidi"/>
              <w:noProof/>
              <w:sz w:val="24"/>
              <w:szCs w:val="24"/>
            </w:rPr>
          </w:pPr>
          <w:hyperlink w:anchor="_Toc162267566" w:history="1">
            <w:r w:rsidR="00736DA9" w:rsidRPr="004372B1">
              <w:rPr>
                <w:rStyle w:val="Hyperlink"/>
                <w:noProof/>
              </w:rPr>
              <w:t>Figure 9.48: Binge Drinking, by Age Group</w:t>
            </w:r>
            <w:r w:rsidR="00736DA9">
              <w:rPr>
                <w:noProof/>
                <w:webHidden/>
              </w:rPr>
              <w:tab/>
            </w:r>
            <w:r w:rsidR="00736DA9">
              <w:rPr>
                <w:noProof/>
                <w:webHidden/>
              </w:rPr>
              <w:fldChar w:fldCharType="begin"/>
            </w:r>
            <w:r w:rsidR="00736DA9">
              <w:rPr>
                <w:noProof/>
                <w:webHidden/>
              </w:rPr>
              <w:instrText xml:space="preserve"> PAGEREF _Toc162267566 \h </w:instrText>
            </w:r>
            <w:r w:rsidR="00736DA9">
              <w:rPr>
                <w:noProof/>
                <w:webHidden/>
              </w:rPr>
            </w:r>
            <w:r w:rsidR="00736DA9">
              <w:rPr>
                <w:noProof/>
                <w:webHidden/>
              </w:rPr>
              <w:fldChar w:fldCharType="separate"/>
            </w:r>
            <w:r w:rsidR="00736DA9">
              <w:rPr>
                <w:noProof/>
                <w:webHidden/>
              </w:rPr>
              <w:t>356</w:t>
            </w:r>
            <w:r w:rsidR="00736DA9">
              <w:rPr>
                <w:noProof/>
                <w:webHidden/>
              </w:rPr>
              <w:fldChar w:fldCharType="end"/>
            </w:r>
          </w:hyperlink>
        </w:p>
        <w:p w14:paraId="65E673D4" w14:textId="3F62BF8C" w:rsidR="00736DA9" w:rsidRDefault="00000000">
          <w:pPr>
            <w:pStyle w:val="TOC4"/>
            <w:tabs>
              <w:tab w:val="right" w:pos="9350"/>
            </w:tabs>
            <w:rPr>
              <w:rFonts w:eastAsiaTheme="minorEastAsia" w:cstheme="minorBidi"/>
              <w:noProof/>
              <w:sz w:val="24"/>
              <w:szCs w:val="24"/>
            </w:rPr>
          </w:pPr>
          <w:hyperlink w:anchor="_Toc162267567" w:history="1">
            <w:r w:rsidR="00736DA9" w:rsidRPr="004372B1">
              <w:rPr>
                <w:rStyle w:val="Hyperlink"/>
                <w:noProof/>
              </w:rPr>
              <w:t>Figure 9.49: Cirrhosis Deaths</w:t>
            </w:r>
            <w:r w:rsidR="00736DA9">
              <w:rPr>
                <w:noProof/>
                <w:webHidden/>
              </w:rPr>
              <w:tab/>
            </w:r>
            <w:r w:rsidR="00736DA9">
              <w:rPr>
                <w:noProof/>
                <w:webHidden/>
              </w:rPr>
              <w:fldChar w:fldCharType="begin"/>
            </w:r>
            <w:r w:rsidR="00736DA9">
              <w:rPr>
                <w:noProof/>
                <w:webHidden/>
              </w:rPr>
              <w:instrText xml:space="preserve"> PAGEREF _Toc162267567 \h </w:instrText>
            </w:r>
            <w:r w:rsidR="00736DA9">
              <w:rPr>
                <w:noProof/>
                <w:webHidden/>
              </w:rPr>
            </w:r>
            <w:r w:rsidR="00736DA9">
              <w:rPr>
                <w:noProof/>
                <w:webHidden/>
              </w:rPr>
              <w:fldChar w:fldCharType="separate"/>
            </w:r>
            <w:r w:rsidR="00736DA9">
              <w:rPr>
                <w:noProof/>
                <w:webHidden/>
              </w:rPr>
              <w:t>357</w:t>
            </w:r>
            <w:r w:rsidR="00736DA9">
              <w:rPr>
                <w:noProof/>
                <w:webHidden/>
              </w:rPr>
              <w:fldChar w:fldCharType="end"/>
            </w:r>
          </w:hyperlink>
        </w:p>
        <w:p w14:paraId="54F67297" w14:textId="581FFB0B" w:rsidR="00736DA9" w:rsidRDefault="00000000">
          <w:pPr>
            <w:pStyle w:val="TOC4"/>
            <w:tabs>
              <w:tab w:val="right" w:pos="9350"/>
            </w:tabs>
            <w:rPr>
              <w:rFonts w:eastAsiaTheme="minorEastAsia" w:cstheme="minorBidi"/>
              <w:noProof/>
              <w:sz w:val="24"/>
              <w:szCs w:val="24"/>
            </w:rPr>
          </w:pPr>
          <w:hyperlink w:anchor="_Toc162267568" w:history="1">
            <w:r w:rsidR="00736DA9" w:rsidRPr="004372B1">
              <w:rPr>
                <w:rStyle w:val="Hyperlink"/>
                <w:noProof/>
              </w:rPr>
              <w:t>Alcohol Use Data Interpretation:</w:t>
            </w:r>
            <w:r w:rsidR="00736DA9">
              <w:rPr>
                <w:noProof/>
                <w:webHidden/>
              </w:rPr>
              <w:tab/>
            </w:r>
            <w:r w:rsidR="00736DA9">
              <w:rPr>
                <w:noProof/>
                <w:webHidden/>
              </w:rPr>
              <w:fldChar w:fldCharType="begin"/>
            </w:r>
            <w:r w:rsidR="00736DA9">
              <w:rPr>
                <w:noProof/>
                <w:webHidden/>
              </w:rPr>
              <w:instrText xml:space="preserve"> PAGEREF _Toc162267568 \h </w:instrText>
            </w:r>
            <w:r w:rsidR="00736DA9">
              <w:rPr>
                <w:noProof/>
                <w:webHidden/>
              </w:rPr>
            </w:r>
            <w:r w:rsidR="00736DA9">
              <w:rPr>
                <w:noProof/>
                <w:webHidden/>
              </w:rPr>
              <w:fldChar w:fldCharType="separate"/>
            </w:r>
            <w:r w:rsidR="00736DA9">
              <w:rPr>
                <w:noProof/>
                <w:webHidden/>
              </w:rPr>
              <w:t>357</w:t>
            </w:r>
            <w:r w:rsidR="00736DA9">
              <w:rPr>
                <w:noProof/>
                <w:webHidden/>
              </w:rPr>
              <w:fldChar w:fldCharType="end"/>
            </w:r>
          </w:hyperlink>
        </w:p>
        <w:p w14:paraId="0D96FE40" w14:textId="4F5A6DFA" w:rsidR="00736DA9" w:rsidRDefault="00000000">
          <w:pPr>
            <w:pStyle w:val="TOC4"/>
            <w:tabs>
              <w:tab w:val="right" w:pos="9350"/>
            </w:tabs>
            <w:rPr>
              <w:rFonts w:eastAsiaTheme="minorEastAsia" w:cstheme="minorBidi"/>
              <w:noProof/>
              <w:sz w:val="24"/>
              <w:szCs w:val="24"/>
            </w:rPr>
          </w:pPr>
          <w:hyperlink w:anchor="_Toc162267569" w:history="1">
            <w:r w:rsidR="00736DA9" w:rsidRPr="004372B1">
              <w:rPr>
                <w:rStyle w:val="Hyperlink"/>
                <w:noProof/>
              </w:rPr>
              <w:t>Figure 9.50: Prescriptions of Controlled Drugs</w:t>
            </w:r>
            <w:r w:rsidR="00736DA9">
              <w:rPr>
                <w:noProof/>
                <w:webHidden/>
              </w:rPr>
              <w:tab/>
            </w:r>
            <w:r w:rsidR="00736DA9">
              <w:rPr>
                <w:noProof/>
                <w:webHidden/>
              </w:rPr>
              <w:fldChar w:fldCharType="begin"/>
            </w:r>
            <w:r w:rsidR="00736DA9">
              <w:rPr>
                <w:noProof/>
                <w:webHidden/>
              </w:rPr>
              <w:instrText xml:space="preserve"> PAGEREF _Toc162267569 \h </w:instrText>
            </w:r>
            <w:r w:rsidR="00736DA9">
              <w:rPr>
                <w:noProof/>
                <w:webHidden/>
              </w:rPr>
            </w:r>
            <w:r w:rsidR="00736DA9">
              <w:rPr>
                <w:noProof/>
                <w:webHidden/>
              </w:rPr>
              <w:fldChar w:fldCharType="separate"/>
            </w:r>
            <w:r w:rsidR="00736DA9">
              <w:rPr>
                <w:noProof/>
                <w:webHidden/>
              </w:rPr>
              <w:t>358</w:t>
            </w:r>
            <w:r w:rsidR="00736DA9">
              <w:rPr>
                <w:noProof/>
                <w:webHidden/>
              </w:rPr>
              <w:fldChar w:fldCharType="end"/>
            </w:r>
          </w:hyperlink>
        </w:p>
        <w:p w14:paraId="74A4863C" w14:textId="0126BBEA" w:rsidR="00736DA9" w:rsidRDefault="00000000">
          <w:pPr>
            <w:pStyle w:val="TOC4"/>
            <w:tabs>
              <w:tab w:val="right" w:pos="9350"/>
            </w:tabs>
            <w:rPr>
              <w:rFonts w:eastAsiaTheme="minorEastAsia" w:cstheme="minorBidi"/>
              <w:noProof/>
              <w:sz w:val="24"/>
              <w:szCs w:val="24"/>
            </w:rPr>
          </w:pPr>
          <w:hyperlink w:anchor="_Toc162267570" w:history="1">
            <w:r w:rsidR="00736DA9" w:rsidRPr="004372B1">
              <w:rPr>
                <w:rStyle w:val="Hyperlink"/>
                <w:noProof/>
              </w:rPr>
              <w:t>Figure 9.51: Drug Overdose Deaths</w:t>
            </w:r>
            <w:r w:rsidR="00736DA9">
              <w:rPr>
                <w:noProof/>
                <w:webHidden/>
              </w:rPr>
              <w:tab/>
            </w:r>
            <w:r w:rsidR="00736DA9">
              <w:rPr>
                <w:noProof/>
                <w:webHidden/>
              </w:rPr>
              <w:fldChar w:fldCharType="begin"/>
            </w:r>
            <w:r w:rsidR="00736DA9">
              <w:rPr>
                <w:noProof/>
                <w:webHidden/>
              </w:rPr>
              <w:instrText xml:space="preserve"> PAGEREF _Toc162267570 \h </w:instrText>
            </w:r>
            <w:r w:rsidR="00736DA9">
              <w:rPr>
                <w:noProof/>
                <w:webHidden/>
              </w:rPr>
            </w:r>
            <w:r w:rsidR="00736DA9">
              <w:rPr>
                <w:noProof/>
                <w:webHidden/>
              </w:rPr>
              <w:fldChar w:fldCharType="separate"/>
            </w:r>
            <w:r w:rsidR="00736DA9">
              <w:rPr>
                <w:noProof/>
                <w:webHidden/>
              </w:rPr>
              <w:t>358</w:t>
            </w:r>
            <w:r w:rsidR="00736DA9">
              <w:rPr>
                <w:noProof/>
                <w:webHidden/>
              </w:rPr>
              <w:fldChar w:fldCharType="end"/>
            </w:r>
          </w:hyperlink>
        </w:p>
        <w:p w14:paraId="66BE9359" w14:textId="5F65B960" w:rsidR="00736DA9" w:rsidRDefault="00000000">
          <w:pPr>
            <w:pStyle w:val="TOC4"/>
            <w:tabs>
              <w:tab w:val="right" w:pos="9350"/>
            </w:tabs>
            <w:rPr>
              <w:rFonts w:eastAsiaTheme="minorEastAsia" w:cstheme="minorBidi"/>
              <w:noProof/>
              <w:sz w:val="24"/>
              <w:szCs w:val="24"/>
            </w:rPr>
          </w:pPr>
          <w:hyperlink w:anchor="_Toc162267571" w:history="1">
            <w:r w:rsidR="00736DA9" w:rsidRPr="004372B1">
              <w:rPr>
                <w:rStyle w:val="Hyperlink"/>
                <w:noProof/>
              </w:rPr>
              <w:t>Figure 9.52: Prevalence of Substance Use Disorder and Treatment.</w:t>
            </w:r>
            <w:r w:rsidR="00736DA9">
              <w:rPr>
                <w:noProof/>
                <w:webHidden/>
              </w:rPr>
              <w:tab/>
            </w:r>
            <w:r w:rsidR="00736DA9">
              <w:rPr>
                <w:noProof/>
                <w:webHidden/>
              </w:rPr>
              <w:fldChar w:fldCharType="begin"/>
            </w:r>
            <w:r w:rsidR="00736DA9">
              <w:rPr>
                <w:noProof/>
                <w:webHidden/>
              </w:rPr>
              <w:instrText xml:space="preserve"> PAGEREF _Toc162267571 \h </w:instrText>
            </w:r>
            <w:r w:rsidR="00736DA9">
              <w:rPr>
                <w:noProof/>
                <w:webHidden/>
              </w:rPr>
            </w:r>
            <w:r w:rsidR="00736DA9">
              <w:rPr>
                <w:noProof/>
                <w:webHidden/>
              </w:rPr>
              <w:fldChar w:fldCharType="separate"/>
            </w:r>
            <w:r w:rsidR="00736DA9">
              <w:rPr>
                <w:noProof/>
                <w:webHidden/>
              </w:rPr>
              <w:t>358</w:t>
            </w:r>
            <w:r w:rsidR="00736DA9">
              <w:rPr>
                <w:noProof/>
                <w:webHidden/>
              </w:rPr>
              <w:fldChar w:fldCharType="end"/>
            </w:r>
          </w:hyperlink>
        </w:p>
        <w:p w14:paraId="38279839" w14:textId="7F611494" w:rsidR="00736DA9" w:rsidRDefault="00000000">
          <w:pPr>
            <w:pStyle w:val="TOC4"/>
            <w:tabs>
              <w:tab w:val="right" w:pos="9350"/>
            </w:tabs>
            <w:rPr>
              <w:rFonts w:eastAsiaTheme="minorEastAsia" w:cstheme="minorBidi"/>
              <w:noProof/>
              <w:sz w:val="24"/>
              <w:szCs w:val="24"/>
            </w:rPr>
          </w:pPr>
          <w:hyperlink w:anchor="_Toc162267572" w:history="1">
            <w:r w:rsidR="00736DA9" w:rsidRPr="004372B1">
              <w:rPr>
                <w:rStyle w:val="Hyperlink"/>
                <w:noProof/>
              </w:rPr>
              <w:t>Drug Use Data Interpretation:</w:t>
            </w:r>
            <w:r w:rsidR="00736DA9">
              <w:rPr>
                <w:noProof/>
                <w:webHidden/>
              </w:rPr>
              <w:tab/>
            </w:r>
            <w:r w:rsidR="00736DA9">
              <w:rPr>
                <w:noProof/>
                <w:webHidden/>
              </w:rPr>
              <w:fldChar w:fldCharType="begin"/>
            </w:r>
            <w:r w:rsidR="00736DA9">
              <w:rPr>
                <w:noProof/>
                <w:webHidden/>
              </w:rPr>
              <w:instrText xml:space="preserve"> PAGEREF _Toc162267572 \h </w:instrText>
            </w:r>
            <w:r w:rsidR="00736DA9">
              <w:rPr>
                <w:noProof/>
                <w:webHidden/>
              </w:rPr>
            </w:r>
            <w:r w:rsidR="00736DA9">
              <w:rPr>
                <w:noProof/>
                <w:webHidden/>
              </w:rPr>
              <w:fldChar w:fldCharType="separate"/>
            </w:r>
            <w:r w:rsidR="00736DA9">
              <w:rPr>
                <w:noProof/>
                <w:webHidden/>
              </w:rPr>
              <w:t>359</w:t>
            </w:r>
            <w:r w:rsidR="00736DA9">
              <w:rPr>
                <w:noProof/>
                <w:webHidden/>
              </w:rPr>
              <w:fldChar w:fldCharType="end"/>
            </w:r>
          </w:hyperlink>
        </w:p>
        <w:p w14:paraId="620782D8" w14:textId="1E18077E" w:rsidR="00736DA9" w:rsidRDefault="00000000">
          <w:pPr>
            <w:pStyle w:val="TOC4"/>
            <w:tabs>
              <w:tab w:val="right" w:pos="9350"/>
            </w:tabs>
            <w:rPr>
              <w:rFonts w:eastAsiaTheme="minorEastAsia" w:cstheme="minorBidi"/>
              <w:noProof/>
              <w:sz w:val="24"/>
              <w:szCs w:val="24"/>
            </w:rPr>
          </w:pPr>
          <w:hyperlink w:anchor="_Toc162267573" w:history="1">
            <w:r w:rsidR="00736DA9" w:rsidRPr="004372B1">
              <w:rPr>
                <w:rStyle w:val="Hyperlink"/>
                <w:noProof/>
              </w:rPr>
              <w:t>References 9.21</w:t>
            </w:r>
            <w:r w:rsidR="00736DA9">
              <w:rPr>
                <w:noProof/>
                <w:webHidden/>
              </w:rPr>
              <w:tab/>
            </w:r>
            <w:r w:rsidR="00736DA9">
              <w:rPr>
                <w:noProof/>
                <w:webHidden/>
              </w:rPr>
              <w:fldChar w:fldCharType="begin"/>
            </w:r>
            <w:r w:rsidR="00736DA9">
              <w:rPr>
                <w:noProof/>
                <w:webHidden/>
              </w:rPr>
              <w:instrText xml:space="preserve"> PAGEREF _Toc162267573 \h </w:instrText>
            </w:r>
            <w:r w:rsidR="00736DA9">
              <w:rPr>
                <w:noProof/>
                <w:webHidden/>
              </w:rPr>
            </w:r>
            <w:r w:rsidR="00736DA9">
              <w:rPr>
                <w:noProof/>
                <w:webHidden/>
              </w:rPr>
              <w:fldChar w:fldCharType="separate"/>
            </w:r>
            <w:r w:rsidR="00736DA9">
              <w:rPr>
                <w:noProof/>
                <w:webHidden/>
              </w:rPr>
              <w:t>359</w:t>
            </w:r>
            <w:r w:rsidR="00736DA9">
              <w:rPr>
                <w:noProof/>
                <w:webHidden/>
              </w:rPr>
              <w:fldChar w:fldCharType="end"/>
            </w:r>
          </w:hyperlink>
        </w:p>
        <w:p w14:paraId="553384E4" w14:textId="0F19F540" w:rsidR="00736DA9" w:rsidRDefault="00000000">
          <w:pPr>
            <w:pStyle w:val="TOC3"/>
            <w:tabs>
              <w:tab w:val="right" w:pos="9350"/>
            </w:tabs>
            <w:rPr>
              <w:rFonts w:eastAsiaTheme="minorEastAsia" w:cstheme="minorBidi"/>
              <w:noProof/>
              <w:sz w:val="24"/>
              <w:szCs w:val="24"/>
            </w:rPr>
          </w:pPr>
          <w:hyperlink w:anchor="_Toc162267574" w:history="1">
            <w:r w:rsidR="00736DA9" w:rsidRPr="004372B1">
              <w:rPr>
                <w:rStyle w:val="Hyperlink"/>
                <w:noProof/>
              </w:rPr>
              <w:t>Overall Injuries</w:t>
            </w:r>
            <w:r w:rsidR="00736DA9">
              <w:rPr>
                <w:noProof/>
                <w:webHidden/>
              </w:rPr>
              <w:tab/>
            </w:r>
            <w:r w:rsidR="00736DA9">
              <w:rPr>
                <w:noProof/>
                <w:webHidden/>
              </w:rPr>
              <w:fldChar w:fldCharType="begin"/>
            </w:r>
            <w:r w:rsidR="00736DA9">
              <w:rPr>
                <w:noProof/>
                <w:webHidden/>
              </w:rPr>
              <w:instrText xml:space="preserve"> PAGEREF _Toc162267574 \h </w:instrText>
            </w:r>
            <w:r w:rsidR="00736DA9">
              <w:rPr>
                <w:noProof/>
                <w:webHidden/>
              </w:rPr>
            </w:r>
            <w:r w:rsidR="00736DA9">
              <w:rPr>
                <w:noProof/>
                <w:webHidden/>
              </w:rPr>
              <w:fldChar w:fldCharType="separate"/>
            </w:r>
            <w:r w:rsidR="00736DA9">
              <w:rPr>
                <w:noProof/>
                <w:webHidden/>
              </w:rPr>
              <w:t>360</w:t>
            </w:r>
            <w:r w:rsidR="00736DA9">
              <w:rPr>
                <w:noProof/>
                <w:webHidden/>
              </w:rPr>
              <w:fldChar w:fldCharType="end"/>
            </w:r>
          </w:hyperlink>
        </w:p>
        <w:p w14:paraId="347DF24D" w14:textId="1F5E2D92" w:rsidR="00736DA9" w:rsidRDefault="00000000">
          <w:pPr>
            <w:pStyle w:val="TOC4"/>
            <w:tabs>
              <w:tab w:val="right" w:pos="9350"/>
            </w:tabs>
            <w:rPr>
              <w:rFonts w:eastAsiaTheme="minorEastAsia" w:cstheme="minorBidi"/>
              <w:noProof/>
              <w:sz w:val="24"/>
              <w:szCs w:val="24"/>
            </w:rPr>
          </w:pPr>
          <w:hyperlink w:anchor="_Toc162267575" w:history="1">
            <w:r w:rsidR="00736DA9" w:rsidRPr="004372B1">
              <w:rPr>
                <w:rStyle w:val="Hyperlink"/>
                <w:noProof/>
              </w:rPr>
              <w:t>Figure 9.53: Injuries in South Carolina, 2021.</w:t>
            </w:r>
            <w:r w:rsidR="00736DA9">
              <w:rPr>
                <w:noProof/>
                <w:webHidden/>
              </w:rPr>
              <w:tab/>
            </w:r>
            <w:r w:rsidR="00736DA9">
              <w:rPr>
                <w:noProof/>
                <w:webHidden/>
              </w:rPr>
              <w:fldChar w:fldCharType="begin"/>
            </w:r>
            <w:r w:rsidR="00736DA9">
              <w:rPr>
                <w:noProof/>
                <w:webHidden/>
              </w:rPr>
              <w:instrText xml:space="preserve"> PAGEREF _Toc162267575 \h </w:instrText>
            </w:r>
            <w:r w:rsidR="00736DA9">
              <w:rPr>
                <w:noProof/>
                <w:webHidden/>
              </w:rPr>
            </w:r>
            <w:r w:rsidR="00736DA9">
              <w:rPr>
                <w:noProof/>
                <w:webHidden/>
              </w:rPr>
              <w:fldChar w:fldCharType="separate"/>
            </w:r>
            <w:r w:rsidR="00736DA9">
              <w:rPr>
                <w:noProof/>
                <w:webHidden/>
              </w:rPr>
              <w:t>361</w:t>
            </w:r>
            <w:r w:rsidR="00736DA9">
              <w:rPr>
                <w:noProof/>
                <w:webHidden/>
              </w:rPr>
              <w:fldChar w:fldCharType="end"/>
            </w:r>
          </w:hyperlink>
        </w:p>
        <w:p w14:paraId="5EC534C9" w14:textId="77F31845" w:rsidR="00736DA9" w:rsidRDefault="00000000">
          <w:pPr>
            <w:pStyle w:val="TOC4"/>
            <w:tabs>
              <w:tab w:val="right" w:pos="9350"/>
            </w:tabs>
            <w:rPr>
              <w:rFonts w:eastAsiaTheme="minorEastAsia" w:cstheme="minorBidi"/>
              <w:noProof/>
              <w:sz w:val="24"/>
              <w:szCs w:val="24"/>
            </w:rPr>
          </w:pPr>
          <w:hyperlink w:anchor="_Toc162267576" w:history="1">
            <w:r w:rsidR="00736DA9" w:rsidRPr="004372B1">
              <w:rPr>
                <w:rStyle w:val="Hyperlink"/>
                <w:noProof/>
              </w:rPr>
              <w:t>Figure 9.54: Fatal Injuries in South Carolina.</w:t>
            </w:r>
            <w:r w:rsidR="00736DA9">
              <w:rPr>
                <w:noProof/>
                <w:webHidden/>
              </w:rPr>
              <w:tab/>
            </w:r>
            <w:r w:rsidR="00736DA9">
              <w:rPr>
                <w:noProof/>
                <w:webHidden/>
              </w:rPr>
              <w:fldChar w:fldCharType="begin"/>
            </w:r>
            <w:r w:rsidR="00736DA9">
              <w:rPr>
                <w:noProof/>
                <w:webHidden/>
              </w:rPr>
              <w:instrText xml:space="preserve"> PAGEREF _Toc162267576 \h </w:instrText>
            </w:r>
            <w:r w:rsidR="00736DA9">
              <w:rPr>
                <w:noProof/>
                <w:webHidden/>
              </w:rPr>
            </w:r>
            <w:r w:rsidR="00736DA9">
              <w:rPr>
                <w:noProof/>
                <w:webHidden/>
              </w:rPr>
              <w:fldChar w:fldCharType="separate"/>
            </w:r>
            <w:r w:rsidR="00736DA9">
              <w:rPr>
                <w:noProof/>
                <w:webHidden/>
              </w:rPr>
              <w:t>361</w:t>
            </w:r>
            <w:r w:rsidR="00736DA9">
              <w:rPr>
                <w:noProof/>
                <w:webHidden/>
              </w:rPr>
              <w:fldChar w:fldCharType="end"/>
            </w:r>
          </w:hyperlink>
        </w:p>
        <w:p w14:paraId="4E86E16E" w14:textId="293D8331" w:rsidR="00736DA9" w:rsidRDefault="00000000">
          <w:pPr>
            <w:pStyle w:val="TOC4"/>
            <w:tabs>
              <w:tab w:val="right" w:pos="9350"/>
            </w:tabs>
            <w:rPr>
              <w:rFonts w:eastAsiaTheme="minorEastAsia" w:cstheme="minorBidi"/>
              <w:noProof/>
              <w:sz w:val="24"/>
              <w:szCs w:val="24"/>
            </w:rPr>
          </w:pPr>
          <w:hyperlink w:anchor="_Toc162267577" w:history="1">
            <w:r w:rsidR="00736DA9" w:rsidRPr="004372B1">
              <w:rPr>
                <w:rStyle w:val="Hyperlink"/>
                <w:noProof/>
              </w:rPr>
              <w:t>Figure 9.55: Overall Injury Deaths, by County.</w:t>
            </w:r>
            <w:r w:rsidR="00736DA9">
              <w:rPr>
                <w:noProof/>
                <w:webHidden/>
              </w:rPr>
              <w:tab/>
            </w:r>
            <w:r w:rsidR="00736DA9">
              <w:rPr>
                <w:noProof/>
                <w:webHidden/>
              </w:rPr>
              <w:fldChar w:fldCharType="begin"/>
            </w:r>
            <w:r w:rsidR="00736DA9">
              <w:rPr>
                <w:noProof/>
                <w:webHidden/>
              </w:rPr>
              <w:instrText xml:space="preserve"> PAGEREF _Toc162267577 \h </w:instrText>
            </w:r>
            <w:r w:rsidR="00736DA9">
              <w:rPr>
                <w:noProof/>
                <w:webHidden/>
              </w:rPr>
            </w:r>
            <w:r w:rsidR="00736DA9">
              <w:rPr>
                <w:noProof/>
                <w:webHidden/>
              </w:rPr>
              <w:fldChar w:fldCharType="separate"/>
            </w:r>
            <w:r w:rsidR="00736DA9">
              <w:rPr>
                <w:noProof/>
                <w:webHidden/>
              </w:rPr>
              <w:t>362</w:t>
            </w:r>
            <w:r w:rsidR="00736DA9">
              <w:rPr>
                <w:noProof/>
                <w:webHidden/>
              </w:rPr>
              <w:fldChar w:fldCharType="end"/>
            </w:r>
          </w:hyperlink>
        </w:p>
        <w:p w14:paraId="27830DB5" w14:textId="6CFC354A" w:rsidR="00736DA9" w:rsidRDefault="00000000">
          <w:pPr>
            <w:pStyle w:val="TOC4"/>
            <w:tabs>
              <w:tab w:val="right" w:pos="9350"/>
            </w:tabs>
            <w:rPr>
              <w:rFonts w:eastAsiaTheme="minorEastAsia" w:cstheme="minorBidi"/>
              <w:noProof/>
              <w:sz w:val="24"/>
              <w:szCs w:val="24"/>
            </w:rPr>
          </w:pPr>
          <w:hyperlink w:anchor="_Toc162267578"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_Toc162267578 \h </w:instrText>
            </w:r>
            <w:r w:rsidR="00736DA9">
              <w:rPr>
                <w:noProof/>
                <w:webHidden/>
              </w:rPr>
            </w:r>
            <w:r w:rsidR="00736DA9">
              <w:rPr>
                <w:noProof/>
                <w:webHidden/>
              </w:rPr>
              <w:fldChar w:fldCharType="separate"/>
            </w:r>
            <w:r w:rsidR="00736DA9">
              <w:rPr>
                <w:noProof/>
                <w:webHidden/>
              </w:rPr>
              <w:t>363</w:t>
            </w:r>
            <w:r w:rsidR="00736DA9">
              <w:rPr>
                <w:noProof/>
                <w:webHidden/>
              </w:rPr>
              <w:fldChar w:fldCharType="end"/>
            </w:r>
          </w:hyperlink>
        </w:p>
        <w:p w14:paraId="69B19CF0" w14:textId="57BF2324" w:rsidR="00736DA9" w:rsidRDefault="00000000">
          <w:pPr>
            <w:pStyle w:val="TOC4"/>
            <w:tabs>
              <w:tab w:val="right" w:pos="9350"/>
            </w:tabs>
            <w:rPr>
              <w:rFonts w:eastAsiaTheme="minorEastAsia" w:cstheme="minorBidi"/>
              <w:noProof/>
              <w:sz w:val="24"/>
              <w:szCs w:val="24"/>
            </w:rPr>
          </w:pPr>
          <w:hyperlink w:anchor="_Toc162267579" w:history="1">
            <w:r w:rsidR="00736DA9" w:rsidRPr="004372B1">
              <w:rPr>
                <w:rStyle w:val="Hyperlink"/>
                <w:noProof/>
              </w:rPr>
              <w:t>References 9.22</w:t>
            </w:r>
            <w:r w:rsidR="00736DA9">
              <w:rPr>
                <w:noProof/>
                <w:webHidden/>
              </w:rPr>
              <w:tab/>
            </w:r>
            <w:r w:rsidR="00736DA9">
              <w:rPr>
                <w:noProof/>
                <w:webHidden/>
              </w:rPr>
              <w:fldChar w:fldCharType="begin"/>
            </w:r>
            <w:r w:rsidR="00736DA9">
              <w:rPr>
                <w:noProof/>
                <w:webHidden/>
              </w:rPr>
              <w:instrText xml:space="preserve"> PAGEREF _Toc162267579 \h </w:instrText>
            </w:r>
            <w:r w:rsidR="00736DA9">
              <w:rPr>
                <w:noProof/>
                <w:webHidden/>
              </w:rPr>
            </w:r>
            <w:r w:rsidR="00736DA9">
              <w:rPr>
                <w:noProof/>
                <w:webHidden/>
              </w:rPr>
              <w:fldChar w:fldCharType="separate"/>
            </w:r>
            <w:r w:rsidR="00736DA9">
              <w:rPr>
                <w:noProof/>
                <w:webHidden/>
              </w:rPr>
              <w:t>364</w:t>
            </w:r>
            <w:r w:rsidR="00736DA9">
              <w:rPr>
                <w:noProof/>
                <w:webHidden/>
              </w:rPr>
              <w:fldChar w:fldCharType="end"/>
            </w:r>
          </w:hyperlink>
        </w:p>
        <w:p w14:paraId="5DDE8844" w14:textId="4D1597FE" w:rsidR="00736DA9" w:rsidRDefault="00000000">
          <w:pPr>
            <w:pStyle w:val="TOC3"/>
            <w:tabs>
              <w:tab w:val="right" w:pos="9350"/>
            </w:tabs>
            <w:rPr>
              <w:rFonts w:eastAsiaTheme="minorEastAsia" w:cstheme="minorBidi"/>
              <w:noProof/>
              <w:sz w:val="24"/>
              <w:szCs w:val="24"/>
            </w:rPr>
          </w:pPr>
          <w:hyperlink w:anchor="_Toc162267580" w:history="1">
            <w:r w:rsidR="00736DA9" w:rsidRPr="004372B1">
              <w:rPr>
                <w:rStyle w:val="Hyperlink"/>
                <w:noProof/>
              </w:rPr>
              <w:t>Homicide</w:t>
            </w:r>
            <w:r w:rsidR="00736DA9">
              <w:rPr>
                <w:noProof/>
                <w:webHidden/>
              </w:rPr>
              <w:tab/>
            </w:r>
            <w:r w:rsidR="00736DA9">
              <w:rPr>
                <w:noProof/>
                <w:webHidden/>
              </w:rPr>
              <w:fldChar w:fldCharType="begin"/>
            </w:r>
            <w:r w:rsidR="00736DA9">
              <w:rPr>
                <w:noProof/>
                <w:webHidden/>
              </w:rPr>
              <w:instrText xml:space="preserve"> PAGEREF _Toc162267580 \h </w:instrText>
            </w:r>
            <w:r w:rsidR="00736DA9">
              <w:rPr>
                <w:noProof/>
                <w:webHidden/>
              </w:rPr>
            </w:r>
            <w:r w:rsidR="00736DA9">
              <w:rPr>
                <w:noProof/>
                <w:webHidden/>
              </w:rPr>
              <w:fldChar w:fldCharType="separate"/>
            </w:r>
            <w:r w:rsidR="00736DA9">
              <w:rPr>
                <w:noProof/>
                <w:webHidden/>
              </w:rPr>
              <w:t>364</w:t>
            </w:r>
            <w:r w:rsidR="00736DA9">
              <w:rPr>
                <w:noProof/>
                <w:webHidden/>
              </w:rPr>
              <w:fldChar w:fldCharType="end"/>
            </w:r>
          </w:hyperlink>
        </w:p>
        <w:p w14:paraId="3D1E73D1" w14:textId="07E69592" w:rsidR="00736DA9" w:rsidRDefault="00000000">
          <w:pPr>
            <w:pStyle w:val="TOC4"/>
            <w:tabs>
              <w:tab w:val="right" w:pos="9350"/>
            </w:tabs>
            <w:rPr>
              <w:rFonts w:eastAsiaTheme="minorEastAsia" w:cstheme="minorBidi"/>
              <w:noProof/>
              <w:sz w:val="24"/>
              <w:szCs w:val="24"/>
            </w:rPr>
          </w:pPr>
          <w:hyperlink w:anchor="_Toc162267581" w:history="1">
            <w:r w:rsidR="00736DA9" w:rsidRPr="004372B1">
              <w:rPr>
                <w:rStyle w:val="Hyperlink"/>
                <w:noProof/>
              </w:rPr>
              <w:t>Figure 9.56: Homicide Deaths, by County.</w:t>
            </w:r>
            <w:r w:rsidR="00736DA9">
              <w:rPr>
                <w:noProof/>
                <w:webHidden/>
              </w:rPr>
              <w:tab/>
            </w:r>
            <w:r w:rsidR="00736DA9">
              <w:rPr>
                <w:noProof/>
                <w:webHidden/>
              </w:rPr>
              <w:fldChar w:fldCharType="begin"/>
            </w:r>
            <w:r w:rsidR="00736DA9">
              <w:rPr>
                <w:noProof/>
                <w:webHidden/>
              </w:rPr>
              <w:instrText xml:space="preserve"> PAGEREF _Toc162267581 \h </w:instrText>
            </w:r>
            <w:r w:rsidR="00736DA9">
              <w:rPr>
                <w:noProof/>
                <w:webHidden/>
              </w:rPr>
            </w:r>
            <w:r w:rsidR="00736DA9">
              <w:rPr>
                <w:noProof/>
                <w:webHidden/>
              </w:rPr>
              <w:fldChar w:fldCharType="separate"/>
            </w:r>
            <w:r w:rsidR="00736DA9">
              <w:rPr>
                <w:noProof/>
                <w:webHidden/>
              </w:rPr>
              <w:t>365</w:t>
            </w:r>
            <w:r w:rsidR="00736DA9">
              <w:rPr>
                <w:noProof/>
                <w:webHidden/>
              </w:rPr>
              <w:fldChar w:fldCharType="end"/>
            </w:r>
          </w:hyperlink>
        </w:p>
        <w:p w14:paraId="544DEDF8" w14:textId="5084B413" w:rsidR="00736DA9" w:rsidRDefault="00000000">
          <w:pPr>
            <w:pStyle w:val="TOC4"/>
            <w:tabs>
              <w:tab w:val="right" w:pos="9350"/>
            </w:tabs>
            <w:rPr>
              <w:rFonts w:eastAsiaTheme="minorEastAsia" w:cstheme="minorBidi"/>
              <w:noProof/>
              <w:sz w:val="24"/>
              <w:szCs w:val="24"/>
            </w:rPr>
          </w:pPr>
          <w:hyperlink w:anchor="_Toc162267582" w:history="1">
            <w:r w:rsidR="00736DA9" w:rsidRPr="004372B1">
              <w:rPr>
                <w:rStyle w:val="Hyperlink"/>
                <w:noProof/>
              </w:rPr>
              <w:t>Figure 9.57: Homicide, All Ages.</w:t>
            </w:r>
            <w:r w:rsidR="00736DA9">
              <w:rPr>
                <w:noProof/>
                <w:webHidden/>
              </w:rPr>
              <w:tab/>
            </w:r>
            <w:r w:rsidR="00736DA9">
              <w:rPr>
                <w:noProof/>
                <w:webHidden/>
              </w:rPr>
              <w:fldChar w:fldCharType="begin"/>
            </w:r>
            <w:r w:rsidR="00736DA9">
              <w:rPr>
                <w:noProof/>
                <w:webHidden/>
              </w:rPr>
              <w:instrText xml:space="preserve"> PAGEREF _Toc162267582 \h </w:instrText>
            </w:r>
            <w:r w:rsidR="00736DA9">
              <w:rPr>
                <w:noProof/>
                <w:webHidden/>
              </w:rPr>
            </w:r>
            <w:r w:rsidR="00736DA9">
              <w:rPr>
                <w:noProof/>
                <w:webHidden/>
              </w:rPr>
              <w:fldChar w:fldCharType="separate"/>
            </w:r>
            <w:r w:rsidR="00736DA9">
              <w:rPr>
                <w:noProof/>
                <w:webHidden/>
              </w:rPr>
              <w:t>366</w:t>
            </w:r>
            <w:r w:rsidR="00736DA9">
              <w:rPr>
                <w:noProof/>
                <w:webHidden/>
              </w:rPr>
              <w:fldChar w:fldCharType="end"/>
            </w:r>
          </w:hyperlink>
        </w:p>
        <w:p w14:paraId="4CAF2327" w14:textId="66C541D2" w:rsidR="00736DA9" w:rsidRDefault="00000000">
          <w:pPr>
            <w:pStyle w:val="TOC4"/>
            <w:tabs>
              <w:tab w:val="right" w:pos="9350"/>
            </w:tabs>
            <w:rPr>
              <w:rFonts w:eastAsiaTheme="minorEastAsia" w:cstheme="minorBidi"/>
              <w:noProof/>
              <w:sz w:val="24"/>
              <w:szCs w:val="24"/>
            </w:rPr>
          </w:pPr>
          <w:hyperlink w:anchor="_Toc162267583" w:history="1">
            <w:r w:rsidR="00736DA9" w:rsidRPr="004372B1">
              <w:rPr>
                <w:rStyle w:val="Hyperlink"/>
                <w:noProof/>
              </w:rPr>
              <w:t>Figure 9.58: Homicide Among Adults Aged 18-64, by Race/Ethnicity and Sex.</w:t>
            </w:r>
            <w:r w:rsidR="00736DA9">
              <w:rPr>
                <w:noProof/>
                <w:webHidden/>
              </w:rPr>
              <w:tab/>
            </w:r>
            <w:r w:rsidR="00736DA9">
              <w:rPr>
                <w:noProof/>
                <w:webHidden/>
              </w:rPr>
              <w:fldChar w:fldCharType="begin"/>
            </w:r>
            <w:r w:rsidR="00736DA9">
              <w:rPr>
                <w:noProof/>
                <w:webHidden/>
              </w:rPr>
              <w:instrText xml:space="preserve"> PAGEREF _Toc162267583 \h </w:instrText>
            </w:r>
            <w:r w:rsidR="00736DA9">
              <w:rPr>
                <w:noProof/>
                <w:webHidden/>
              </w:rPr>
            </w:r>
            <w:r w:rsidR="00736DA9">
              <w:rPr>
                <w:noProof/>
                <w:webHidden/>
              </w:rPr>
              <w:fldChar w:fldCharType="separate"/>
            </w:r>
            <w:r w:rsidR="00736DA9">
              <w:rPr>
                <w:noProof/>
                <w:webHidden/>
              </w:rPr>
              <w:t>367</w:t>
            </w:r>
            <w:r w:rsidR="00736DA9">
              <w:rPr>
                <w:noProof/>
                <w:webHidden/>
              </w:rPr>
              <w:fldChar w:fldCharType="end"/>
            </w:r>
          </w:hyperlink>
        </w:p>
        <w:p w14:paraId="75E463C2" w14:textId="7F467091" w:rsidR="00736DA9" w:rsidRDefault="00000000">
          <w:pPr>
            <w:pStyle w:val="TOC4"/>
            <w:tabs>
              <w:tab w:val="right" w:pos="9350"/>
            </w:tabs>
            <w:rPr>
              <w:rFonts w:eastAsiaTheme="minorEastAsia" w:cstheme="minorBidi"/>
              <w:noProof/>
              <w:sz w:val="24"/>
              <w:szCs w:val="24"/>
            </w:rPr>
          </w:pPr>
          <w:hyperlink w:anchor="_Toc162267584" w:history="1">
            <w:r w:rsidR="00736DA9" w:rsidRPr="004372B1">
              <w:rPr>
                <w:rStyle w:val="Hyperlink"/>
                <w:noProof/>
              </w:rPr>
              <w:t>Figure 9.59: Homicide, by Age Group.</w:t>
            </w:r>
            <w:r w:rsidR="00736DA9">
              <w:rPr>
                <w:noProof/>
                <w:webHidden/>
              </w:rPr>
              <w:tab/>
            </w:r>
            <w:r w:rsidR="00736DA9">
              <w:rPr>
                <w:noProof/>
                <w:webHidden/>
              </w:rPr>
              <w:fldChar w:fldCharType="begin"/>
            </w:r>
            <w:r w:rsidR="00736DA9">
              <w:rPr>
                <w:noProof/>
                <w:webHidden/>
              </w:rPr>
              <w:instrText xml:space="preserve"> PAGEREF _Toc162267584 \h </w:instrText>
            </w:r>
            <w:r w:rsidR="00736DA9">
              <w:rPr>
                <w:noProof/>
                <w:webHidden/>
              </w:rPr>
            </w:r>
            <w:r w:rsidR="00736DA9">
              <w:rPr>
                <w:noProof/>
                <w:webHidden/>
              </w:rPr>
              <w:fldChar w:fldCharType="separate"/>
            </w:r>
            <w:r w:rsidR="00736DA9">
              <w:rPr>
                <w:noProof/>
                <w:webHidden/>
              </w:rPr>
              <w:t>367</w:t>
            </w:r>
            <w:r w:rsidR="00736DA9">
              <w:rPr>
                <w:noProof/>
                <w:webHidden/>
              </w:rPr>
              <w:fldChar w:fldCharType="end"/>
            </w:r>
          </w:hyperlink>
        </w:p>
        <w:p w14:paraId="55D40C73" w14:textId="1C238C65" w:rsidR="00736DA9" w:rsidRDefault="00000000">
          <w:pPr>
            <w:pStyle w:val="TOC4"/>
            <w:tabs>
              <w:tab w:val="right" w:pos="9350"/>
            </w:tabs>
            <w:rPr>
              <w:rFonts w:eastAsiaTheme="minorEastAsia" w:cstheme="minorBidi"/>
              <w:noProof/>
              <w:sz w:val="24"/>
              <w:szCs w:val="24"/>
            </w:rPr>
          </w:pPr>
          <w:hyperlink w:anchor="_Toc162267585"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_Toc162267585 \h </w:instrText>
            </w:r>
            <w:r w:rsidR="00736DA9">
              <w:rPr>
                <w:noProof/>
                <w:webHidden/>
              </w:rPr>
            </w:r>
            <w:r w:rsidR="00736DA9">
              <w:rPr>
                <w:noProof/>
                <w:webHidden/>
              </w:rPr>
              <w:fldChar w:fldCharType="separate"/>
            </w:r>
            <w:r w:rsidR="00736DA9">
              <w:rPr>
                <w:noProof/>
                <w:webHidden/>
              </w:rPr>
              <w:t>368</w:t>
            </w:r>
            <w:r w:rsidR="00736DA9">
              <w:rPr>
                <w:noProof/>
                <w:webHidden/>
              </w:rPr>
              <w:fldChar w:fldCharType="end"/>
            </w:r>
          </w:hyperlink>
        </w:p>
        <w:p w14:paraId="42EE8519" w14:textId="2DC4B1E6" w:rsidR="00736DA9" w:rsidRDefault="00000000">
          <w:pPr>
            <w:pStyle w:val="TOC4"/>
            <w:tabs>
              <w:tab w:val="right" w:pos="9350"/>
            </w:tabs>
            <w:rPr>
              <w:rFonts w:eastAsiaTheme="minorEastAsia" w:cstheme="minorBidi"/>
              <w:noProof/>
              <w:sz w:val="24"/>
              <w:szCs w:val="24"/>
            </w:rPr>
          </w:pPr>
          <w:hyperlink w:anchor="_Toc162267586" w:history="1">
            <w:r w:rsidR="00736DA9" w:rsidRPr="004372B1">
              <w:rPr>
                <w:rStyle w:val="Hyperlink"/>
                <w:noProof/>
              </w:rPr>
              <w:t>References 9.23</w:t>
            </w:r>
            <w:r w:rsidR="00736DA9">
              <w:rPr>
                <w:noProof/>
                <w:webHidden/>
              </w:rPr>
              <w:tab/>
            </w:r>
            <w:r w:rsidR="00736DA9">
              <w:rPr>
                <w:noProof/>
                <w:webHidden/>
              </w:rPr>
              <w:fldChar w:fldCharType="begin"/>
            </w:r>
            <w:r w:rsidR="00736DA9">
              <w:rPr>
                <w:noProof/>
                <w:webHidden/>
              </w:rPr>
              <w:instrText xml:space="preserve"> PAGEREF _Toc162267586 \h </w:instrText>
            </w:r>
            <w:r w:rsidR="00736DA9">
              <w:rPr>
                <w:noProof/>
                <w:webHidden/>
              </w:rPr>
            </w:r>
            <w:r w:rsidR="00736DA9">
              <w:rPr>
                <w:noProof/>
                <w:webHidden/>
              </w:rPr>
              <w:fldChar w:fldCharType="separate"/>
            </w:r>
            <w:r w:rsidR="00736DA9">
              <w:rPr>
                <w:noProof/>
                <w:webHidden/>
              </w:rPr>
              <w:t>369</w:t>
            </w:r>
            <w:r w:rsidR="00736DA9">
              <w:rPr>
                <w:noProof/>
                <w:webHidden/>
              </w:rPr>
              <w:fldChar w:fldCharType="end"/>
            </w:r>
          </w:hyperlink>
        </w:p>
        <w:p w14:paraId="5374EA72" w14:textId="2D829171" w:rsidR="00736DA9" w:rsidRDefault="00000000">
          <w:pPr>
            <w:pStyle w:val="TOC3"/>
            <w:tabs>
              <w:tab w:val="right" w:pos="9350"/>
            </w:tabs>
            <w:rPr>
              <w:rFonts w:eastAsiaTheme="minorEastAsia" w:cstheme="minorBidi"/>
              <w:noProof/>
              <w:sz w:val="24"/>
              <w:szCs w:val="24"/>
            </w:rPr>
          </w:pPr>
          <w:hyperlink w:anchor="_Toc162267587" w:history="1">
            <w:r w:rsidR="00736DA9" w:rsidRPr="004372B1">
              <w:rPr>
                <w:rStyle w:val="Hyperlink"/>
                <w:noProof/>
              </w:rPr>
              <w:t>Suicide</w:t>
            </w:r>
            <w:r w:rsidR="00736DA9">
              <w:rPr>
                <w:noProof/>
                <w:webHidden/>
              </w:rPr>
              <w:tab/>
            </w:r>
            <w:r w:rsidR="00736DA9">
              <w:rPr>
                <w:noProof/>
                <w:webHidden/>
              </w:rPr>
              <w:fldChar w:fldCharType="begin"/>
            </w:r>
            <w:r w:rsidR="00736DA9">
              <w:rPr>
                <w:noProof/>
                <w:webHidden/>
              </w:rPr>
              <w:instrText xml:space="preserve"> PAGEREF _Toc162267587 \h </w:instrText>
            </w:r>
            <w:r w:rsidR="00736DA9">
              <w:rPr>
                <w:noProof/>
                <w:webHidden/>
              </w:rPr>
            </w:r>
            <w:r w:rsidR="00736DA9">
              <w:rPr>
                <w:noProof/>
                <w:webHidden/>
              </w:rPr>
              <w:fldChar w:fldCharType="separate"/>
            </w:r>
            <w:r w:rsidR="00736DA9">
              <w:rPr>
                <w:noProof/>
                <w:webHidden/>
              </w:rPr>
              <w:t>369</w:t>
            </w:r>
            <w:r w:rsidR="00736DA9">
              <w:rPr>
                <w:noProof/>
                <w:webHidden/>
              </w:rPr>
              <w:fldChar w:fldCharType="end"/>
            </w:r>
          </w:hyperlink>
        </w:p>
        <w:p w14:paraId="4752F380" w14:textId="63AF92AD" w:rsidR="00736DA9" w:rsidRDefault="00000000">
          <w:pPr>
            <w:pStyle w:val="TOC4"/>
            <w:tabs>
              <w:tab w:val="right" w:pos="9350"/>
            </w:tabs>
            <w:rPr>
              <w:rFonts w:eastAsiaTheme="minorEastAsia" w:cstheme="minorBidi"/>
              <w:noProof/>
              <w:sz w:val="24"/>
              <w:szCs w:val="24"/>
            </w:rPr>
          </w:pPr>
          <w:hyperlink w:anchor="_Toc162267588" w:history="1">
            <w:r w:rsidR="00736DA9" w:rsidRPr="004372B1">
              <w:rPr>
                <w:rStyle w:val="Hyperlink"/>
                <w:noProof/>
              </w:rPr>
              <w:t>Figure 9.60: Suicide Deaths, by County.</w:t>
            </w:r>
            <w:r w:rsidR="00736DA9">
              <w:rPr>
                <w:noProof/>
                <w:webHidden/>
              </w:rPr>
              <w:tab/>
            </w:r>
            <w:r w:rsidR="00736DA9">
              <w:rPr>
                <w:noProof/>
                <w:webHidden/>
              </w:rPr>
              <w:fldChar w:fldCharType="begin"/>
            </w:r>
            <w:r w:rsidR="00736DA9">
              <w:rPr>
                <w:noProof/>
                <w:webHidden/>
              </w:rPr>
              <w:instrText xml:space="preserve"> PAGEREF _Toc162267588 \h </w:instrText>
            </w:r>
            <w:r w:rsidR="00736DA9">
              <w:rPr>
                <w:noProof/>
                <w:webHidden/>
              </w:rPr>
            </w:r>
            <w:r w:rsidR="00736DA9">
              <w:rPr>
                <w:noProof/>
                <w:webHidden/>
              </w:rPr>
              <w:fldChar w:fldCharType="separate"/>
            </w:r>
            <w:r w:rsidR="00736DA9">
              <w:rPr>
                <w:noProof/>
                <w:webHidden/>
              </w:rPr>
              <w:t>369</w:t>
            </w:r>
            <w:r w:rsidR="00736DA9">
              <w:rPr>
                <w:noProof/>
                <w:webHidden/>
              </w:rPr>
              <w:fldChar w:fldCharType="end"/>
            </w:r>
          </w:hyperlink>
        </w:p>
        <w:p w14:paraId="54545868" w14:textId="72B13B04" w:rsidR="00736DA9" w:rsidRDefault="00000000">
          <w:pPr>
            <w:pStyle w:val="TOC4"/>
            <w:tabs>
              <w:tab w:val="right" w:pos="9350"/>
            </w:tabs>
            <w:rPr>
              <w:rFonts w:eastAsiaTheme="minorEastAsia" w:cstheme="minorBidi"/>
              <w:noProof/>
              <w:sz w:val="24"/>
              <w:szCs w:val="24"/>
            </w:rPr>
          </w:pPr>
          <w:hyperlink w:anchor="_Toc162267589" w:history="1">
            <w:r w:rsidR="00736DA9" w:rsidRPr="004372B1">
              <w:rPr>
                <w:rStyle w:val="Hyperlink"/>
                <w:noProof/>
              </w:rPr>
              <w:t>Figure 9.61: All Ages.</w:t>
            </w:r>
            <w:r w:rsidR="00736DA9">
              <w:rPr>
                <w:noProof/>
                <w:webHidden/>
              </w:rPr>
              <w:tab/>
            </w:r>
            <w:r w:rsidR="00736DA9">
              <w:rPr>
                <w:noProof/>
                <w:webHidden/>
              </w:rPr>
              <w:fldChar w:fldCharType="begin"/>
            </w:r>
            <w:r w:rsidR="00736DA9">
              <w:rPr>
                <w:noProof/>
                <w:webHidden/>
              </w:rPr>
              <w:instrText xml:space="preserve"> PAGEREF _Toc162267589 \h </w:instrText>
            </w:r>
            <w:r w:rsidR="00736DA9">
              <w:rPr>
                <w:noProof/>
                <w:webHidden/>
              </w:rPr>
            </w:r>
            <w:r w:rsidR="00736DA9">
              <w:rPr>
                <w:noProof/>
                <w:webHidden/>
              </w:rPr>
              <w:fldChar w:fldCharType="separate"/>
            </w:r>
            <w:r w:rsidR="00736DA9">
              <w:rPr>
                <w:noProof/>
                <w:webHidden/>
              </w:rPr>
              <w:t>371</w:t>
            </w:r>
            <w:r w:rsidR="00736DA9">
              <w:rPr>
                <w:noProof/>
                <w:webHidden/>
              </w:rPr>
              <w:fldChar w:fldCharType="end"/>
            </w:r>
          </w:hyperlink>
        </w:p>
        <w:p w14:paraId="42D05EA1" w14:textId="10B4CF69" w:rsidR="00736DA9" w:rsidRDefault="00000000">
          <w:pPr>
            <w:pStyle w:val="TOC4"/>
            <w:tabs>
              <w:tab w:val="right" w:pos="9350"/>
            </w:tabs>
            <w:rPr>
              <w:rFonts w:eastAsiaTheme="minorEastAsia" w:cstheme="minorBidi"/>
              <w:noProof/>
              <w:sz w:val="24"/>
              <w:szCs w:val="24"/>
            </w:rPr>
          </w:pPr>
          <w:hyperlink w:anchor="_Toc162267590" w:history="1">
            <w:r w:rsidR="00736DA9" w:rsidRPr="004372B1">
              <w:rPr>
                <w:rStyle w:val="Hyperlink"/>
                <w:noProof/>
              </w:rPr>
              <w:t>Figure 9.62: Suicide, by Age Group.</w:t>
            </w:r>
            <w:r w:rsidR="00736DA9">
              <w:rPr>
                <w:noProof/>
                <w:webHidden/>
              </w:rPr>
              <w:tab/>
            </w:r>
            <w:r w:rsidR="00736DA9">
              <w:rPr>
                <w:noProof/>
                <w:webHidden/>
              </w:rPr>
              <w:fldChar w:fldCharType="begin"/>
            </w:r>
            <w:r w:rsidR="00736DA9">
              <w:rPr>
                <w:noProof/>
                <w:webHidden/>
              </w:rPr>
              <w:instrText xml:space="preserve"> PAGEREF _Toc162267590 \h </w:instrText>
            </w:r>
            <w:r w:rsidR="00736DA9">
              <w:rPr>
                <w:noProof/>
                <w:webHidden/>
              </w:rPr>
            </w:r>
            <w:r w:rsidR="00736DA9">
              <w:rPr>
                <w:noProof/>
                <w:webHidden/>
              </w:rPr>
              <w:fldChar w:fldCharType="separate"/>
            </w:r>
            <w:r w:rsidR="00736DA9">
              <w:rPr>
                <w:noProof/>
                <w:webHidden/>
              </w:rPr>
              <w:t>371</w:t>
            </w:r>
            <w:r w:rsidR="00736DA9">
              <w:rPr>
                <w:noProof/>
                <w:webHidden/>
              </w:rPr>
              <w:fldChar w:fldCharType="end"/>
            </w:r>
          </w:hyperlink>
        </w:p>
        <w:p w14:paraId="4ECB1FF4" w14:textId="1A67CAE1" w:rsidR="00736DA9" w:rsidRDefault="00000000">
          <w:pPr>
            <w:pStyle w:val="TOC4"/>
            <w:tabs>
              <w:tab w:val="right" w:pos="9350"/>
            </w:tabs>
            <w:rPr>
              <w:rFonts w:eastAsiaTheme="minorEastAsia" w:cstheme="minorBidi"/>
              <w:noProof/>
              <w:sz w:val="24"/>
              <w:szCs w:val="24"/>
            </w:rPr>
          </w:pPr>
          <w:hyperlink w:anchor="_Toc162267591" w:history="1">
            <w:r w:rsidR="00736DA9" w:rsidRPr="004372B1">
              <w:rPr>
                <w:rStyle w:val="Hyperlink"/>
                <w:noProof/>
              </w:rPr>
              <w:t>Figure 9.63: Suicide Among Adults Aged 18-64, by Race/Ethnicity and Sex.</w:t>
            </w:r>
            <w:r w:rsidR="00736DA9">
              <w:rPr>
                <w:noProof/>
                <w:webHidden/>
              </w:rPr>
              <w:tab/>
            </w:r>
            <w:r w:rsidR="00736DA9">
              <w:rPr>
                <w:noProof/>
                <w:webHidden/>
              </w:rPr>
              <w:fldChar w:fldCharType="begin"/>
            </w:r>
            <w:r w:rsidR="00736DA9">
              <w:rPr>
                <w:noProof/>
                <w:webHidden/>
              </w:rPr>
              <w:instrText xml:space="preserve"> PAGEREF _Toc162267591 \h </w:instrText>
            </w:r>
            <w:r w:rsidR="00736DA9">
              <w:rPr>
                <w:noProof/>
                <w:webHidden/>
              </w:rPr>
            </w:r>
            <w:r w:rsidR="00736DA9">
              <w:rPr>
                <w:noProof/>
                <w:webHidden/>
              </w:rPr>
              <w:fldChar w:fldCharType="separate"/>
            </w:r>
            <w:r w:rsidR="00736DA9">
              <w:rPr>
                <w:noProof/>
                <w:webHidden/>
              </w:rPr>
              <w:t>372</w:t>
            </w:r>
            <w:r w:rsidR="00736DA9">
              <w:rPr>
                <w:noProof/>
                <w:webHidden/>
              </w:rPr>
              <w:fldChar w:fldCharType="end"/>
            </w:r>
          </w:hyperlink>
        </w:p>
        <w:p w14:paraId="6195A8D5" w14:textId="51A73FCF" w:rsidR="00736DA9" w:rsidRDefault="00000000">
          <w:pPr>
            <w:pStyle w:val="TOC4"/>
            <w:tabs>
              <w:tab w:val="right" w:pos="9350"/>
            </w:tabs>
            <w:rPr>
              <w:rFonts w:eastAsiaTheme="minorEastAsia" w:cstheme="minorBidi"/>
              <w:noProof/>
              <w:sz w:val="24"/>
              <w:szCs w:val="24"/>
            </w:rPr>
          </w:pPr>
          <w:hyperlink w:anchor="_Toc162267592" w:history="1">
            <w:r w:rsidR="00736DA9" w:rsidRPr="004372B1">
              <w:rPr>
                <w:rStyle w:val="Hyperlink"/>
                <w:noProof/>
              </w:rPr>
              <w:t>Figure 9.64: Nonfatal Self-Harm Emergency Department Visits Among Adults 18-64, by Sex.</w:t>
            </w:r>
            <w:r w:rsidR="00736DA9">
              <w:rPr>
                <w:noProof/>
                <w:webHidden/>
              </w:rPr>
              <w:tab/>
            </w:r>
            <w:r w:rsidR="00736DA9">
              <w:rPr>
                <w:noProof/>
                <w:webHidden/>
              </w:rPr>
              <w:fldChar w:fldCharType="begin"/>
            </w:r>
            <w:r w:rsidR="00736DA9">
              <w:rPr>
                <w:noProof/>
                <w:webHidden/>
              </w:rPr>
              <w:instrText xml:space="preserve"> PAGEREF _Toc162267592 \h </w:instrText>
            </w:r>
            <w:r w:rsidR="00736DA9">
              <w:rPr>
                <w:noProof/>
                <w:webHidden/>
              </w:rPr>
            </w:r>
            <w:r w:rsidR="00736DA9">
              <w:rPr>
                <w:noProof/>
                <w:webHidden/>
              </w:rPr>
              <w:fldChar w:fldCharType="separate"/>
            </w:r>
            <w:r w:rsidR="00736DA9">
              <w:rPr>
                <w:noProof/>
                <w:webHidden/>
              </w:rPr>
              <w:t>372</w:t>
            </w:r>
            <w:r w:rsidR="00736DA9">
              <w:rPr>
                <w:noProof/>
                <w:webHidden/>
              </w:rPr>
              <w:fldChar w:fldCharType="end"/>
            </w:r>
          </w:hyperlink>
        </w:p>
        <w:p w14:paraId="457AE160" w14:textId="6FAEE258" w:rsidR="00736DA9" w:rsidRDefault="00000000">
          <w:pPr>
            <w:pStyle w:val="TOC4"/>
            <w:tabs>
              <w:tab w:val="right" w:pos="9350"/>
            </w:tabs>
            <w:rPr>
              <w:rFonts w:eastAsiaTheme="minorEastAsia" w:cstheme="minorBidi"/>
              <w:noProof/>
              <w:sz w:val="24"/>
              <w:szCs w:val="24"/>
            </w:rPr>
          </w:pPr>
          <w:hyperlink w:anchor="_Toc162267593"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_Toc162267593 \h </w:instrText>
            </w:r>
            <w:r w:rsidR="00736DA9">
              <w:rPr>
                <w:noProof/>
                <w:webHidden/>
              </w:rPr>
            </w:r>
            <w:r w:rsidR="00736DA9">
              <w:rPr>
                <w:noProof/>
                <w:webHidden/>
              </w:rPr>
              <w:fldChar w:fldCharType="separate"/>
            </w:r>
            <w:r w:rsidR="00736DA9">
              <w:rPr>
                <w:noProof/>
                <w:webHidden/>
              </w:rPr>
              <w:t>372</w:t>
            </w:r>
            <w:r w:rsidR="00736DA9">
              <w:rPr>
                <w:noProof/>
                <w:webHidden/>
              </w:rPr>
              <w:fldChar w:fldCharType="end"/>
            </w:r>
          </w:hyperlink>
        </w:p>
        <w:p w14:paraId="1624EC3B" w14:textId="13EEF080" w:rsidR="00736DA9" w:rsidRDefault="00000000">
          <w:pPr>
            <w:pStyle w:val="TOC4"/>
            <w:tabs>
              <w:tab w:val="right" w:pos="9350"/>
            </w:tabs>
            <w:rPr>
              <w:rFonts w:eastAsiaTheme="minorEastAsia" w:cstheme="minorBidi"/>
              <w:noProof/>
              <w:sz w:val="24"/>
              <w:szCs w:val="24"/>
            </w:rPr>
          </w:pPr>
          <w:hyperlink w:anchor="_Toc162267594" w:history="1">
            <w:r w:rsidR="00736DA9" w:rsidRPr="004372B1">
              <w:rPr>
                <w:rStyle w:val="Hyperlink"/>
                <w:noProof/>
              </w:rPr>
              <w:t>References 9.24</w:t>
            </w:r>
            <w:r w:rsidR="00736DA9">
              <w:rPr>
                <w:noProof/>
                <w:webHidden/>
              </w:rPr>
              <w:tab/>
            </w:r>
            <w:r w:rsidR="00736DA9">
              <w:rPr>
                <w:noProof/>
                <w:webHidden/>
              </w:rPr>
              <w:fldChar w:fldCharType="begin"/>
            </w:r>
            <w:r w:rsidR="00736DA9">
              <w:rPr>
                <w:noProof/>
                <w:webHidden/>
              </w:rPr>
              <w:instrText xml:space="preserve"> PAGEREF _Toc162267594 \h </w:instrText>
            </w:r>
            <w:r w:rsidR="00736DA9">
              <w:rPr>
                <w:noProof/>
                <w:webHidden/>
              </w:rPr>
            </w:r>
            <w:r w:rsidR="00736DA9">
              <w:rPr>
                <w:noProof/>
                <w:webHidden/>
              </w:rPr>
              <w:fldChar w:fldCharType="separate"/>
            </w:r>
            <w:r w:rsidR="00736DA9">
              <w:rPr>
                <w:noProof/>
                <w:webHidden/>
              </w:rPr>
              <w:t>373</w:t>
            </w:r>
            <w:r w:rsidR="00736DA9">
              <w:rPr>
                <w:noProof/>
                <w:webHidden/>
              </w:rPr>
              <w:fldChar w:fldCharType="end"/>
            </w:r>
          </w:hyperlink>
        </w:p>
        <w:p w14:paraId="21874A6F" w14:textId="0A6F3E82" w:rsidR="00736DA9" w:rsidRDefault="00000000">
          <w:pPr>
            <w:pStyle w:val="TOC3"/>
            <w:tabs>
              <w:tab w:val="right" w:pos="9350"/>
            </w:tabs>
            <w:rPr>
              <w:rFonts w:eastAsiaTheme="minorEastAsia" w:cstheme="minorBidi"/>
              <w:noProof/>
              <w:sz w:val="24"/>
              <w:szCs w:val="24"/>
            </w:rPr>
          </w:pPr>
          <w:hyperlink w:anchor="_Toc162267595" w:history="1">
            <w:r w:rsidR="00736DA9" w:rsidRPr="004372B1">
              <w:rPr>
                <w:rStyle w:val="Hyperlink"/>
                <w:noProof/>
              </w:rPr>
              <w:t>Firearm-Related Injuries</w:t>
            </w:r>
            <w:r w:rsidR="00736DA9">
              <w:rPr>
                <w:noProof/>
                <w:webHidden/>
              </w:rPr>
              <w:tab/>
            </w:r>
            <w:r w:rsidR="00736DA9">
              <w:rPr>
                <w:noProof/>
                <w:webHidden/>
              </w:rPr>
              <w:fldChar w:fldCharType="begin"/>
            </w:r>
            <w:r w:rsidR="00736DA9">
              <w:rPr>
                <w:noProof/>
                <w:webHidden/>
              </w:rPr>
              <w:instrText xml:space="preserve"> PAGEREF _Toc162267595 \h </w:instrText>
            </w:r>
            <w:r w:rsidR="00736DA9">
              <w:rPr>
                <w:noProof/>
                <w:webHidden/>
              </w:rPr>
            </w:r>
            <w:r w:rsidR="00736DA9">
              <w:rPr>
                <w:noProof/>
                <w:webHidden/>
              </w:rPr>
              <w:fldChar w:fldCharType="separate"/>
            </w:r>
            <w:r w:rsidR="00736DA9">
              <w:rPr>
                <w:noProof/>
                <w:webHidden/>
              </w:rPr>
              <w:t>373</w:t>
            </w:r>
            <w:r w:rsidR="00736DA9">
              <w:rPr>
                <w:noProof/>
                <w:webHidden/>
              </w:rPr>
              <w:fldChar w:fldCharType="end"/>
            </w:r>
          </w:hyperlink>
        </w:p>
        <w:p w14:paraId="5E3F443D" w14:textId="53EA08E0" w:rsidR="00736DA9" w:rsidRDefault="00000000">
          <w:pPr>
            <w:pStyle w:val="TOC4"/>
            <w:tabs>
              <w:tab w:val="right" w:pos="9350"/>
            </w:tabs>
            <w:rPr>
              <w:rFonts w:eastAsiaTheme="minorEastAsia" w:cstheme="minorBidi"/>
              <w:noProof/>
              <w:sz w:val="24"/>
              <w:szCs w:val="24"/>
            </w:rPr>
          </w:pPr>
          <w:hyperlink w:anchor="_Toc162267596" w:history="1">
            <w:r w:rsidR="00736DA9" w:rsidRPr="004372B1">
              <w:rPr>
                <w:rStyle w:val="Hyperlink"/>
                <w:noProof/>
              </w:rPr>
              <w:t>Figure 9.65: Firearm-Related Deaths, All Ages.</w:t>
            </w:r>
            <w:r w:rsidR="00736DA9">
              <w:rPr>
                <w:noProof/>
                <w:webHidden/>
              </w:rPr>
              <w:tab/>
            </w:r>
            <w:r w:rsidR="00736DA9">
              <w:rPr>
                <w:noProof/>
                <w:webHidden/>
              </w:rPr>
              <w:fldChar w:fldCharType="begin"/>
            </w:r>
            <w:r w:rsidR="00736DA9">
              <w:rPr>
                <w:noProof/>
                <w:webHidden/>
              </w:rPr>
              <w:instrText xml:space="preserve"> PAGEREF _Toc162267596 \h </w:instrText>
            </w:r>
            <w:r w:rsidR="00736DA9">
              <w:rPr>
                <w:noProof/>
                <w:webHidden/>
              </w:rPr>
            </w:r>
            <w:r w:rsidR="00736DA9">
              <w:rPr>
                <w:noProof/>
                <w:webHidden/>
              </w:rPr>
              <w:fldChar w:fldCharType="separate"/>
            </w:r>
            <w:r w:rsidR="00736DA9">
              <w:rPr>
                <w:noProof/>
                <w:webHidden/>
              </w:rPr>
              <w:t>374</w:t>
            </w:r>
            <w:r w:rsidR="00736DA9">
              <w:rPr>
                <w:noProof/>
                <w:webHidden/>
              </w:rPr>
              <w:fldChar w:fldCharType="end"/>
            </w:r>
          </w:hyperlink>
        </w:p>
        <w:p w14:paraId="3C29AFAD" w14:textId="1ECBF261" w:rsidR="00736DA9" w:rsidRDefault="00000000">
          <w:pPr>
            <w:pStyle w:val="TOC4"/>
            <w:tabs>
              <w:tab w:val="right" w:pos="9350"/>
            </w:tabs>
            <w:rPr>
              <w:rFonts w:eastAsiaTheme="minorEastAsia" w:cstheme="minorBidi"/>
              <w:noProof/>
              <w:sz w:val="24"/>
              <w:szCs w:val="24"/>
            </w:rPr>
          </w:pPr>
          <w:hyperlink w:anchor="_Toc162267597" w:history="1">
            <w:r w:rsidR="00736DA9" w:rsidRPr="004372B1">
              <w:rPr>
                <w:rStyle w:val="Hyperlink"/>
                <w:noProof/>
              </w:rPr>
              <w:t>Figure 9.66: Firearm-Related Deaths, by Sex and Race/Ethnicity.</w:t>
            </w:r>
            <w:r w:rsidR="00736DA9">
              <w:rPr>
                <w:noProof/>
                <w:webHidden/>
              </w:rPr>
              <w:tab/>
            </w:r>
            <w:r w:rsidR="00736DA9">
              <w:rPr>
                <w:noProof/>
                <w:webHidden/>
              </w:rPr>
              <w:fldChar w:fldCharType="begin"/>
            </w:r>
            <w:r w:rsidR="00736DA9">
              <w:rPr>
                <w:noProof/>
                <w:webHidden/>
              </w:rPr>
              <w:instrText xml:space="preserve"> PAGEREF _Toc162267597 \h </w:instrText>
            </w:r>
            <w:r w:rsidR="00736DA9">
              <w:rPr>
                <w:noProof/>
                <w:webHidden/>
              </w:rPr>
            </w:r>
            <w:r w:rsidR="00736DA9">
              <w:rPr>
                <w:noProof/>
                <w:webHidden/>
              </w:rPr>
              <w:fldChar w:fldCharType="separate"/>
            </w:r>
            <w:r w:rsidR="00736DA9">
              <w:rPr>
                <w:noProof/>
                <w:webHidden/>
              </w:rPr>
              <w:t>374</w:t>
            </w:r>
            <w:r w:rsidR="00736DA9">
              <w:rPr>
                <w:noProof/>
                <w:webHidden/>
              </w:rPr>
              <w:fldChar w:fldCharType="end"/>
            </w:r>
          </w:hyperlink>
        </w:p>
        <w:p w14:paraId="26455FAF" w14:textId="5CB56E15" w:rsidR="00736DA9" w:rsidRDefault="00000000">
          <w:pPr>
            <w:pStyle w:val="TOC4"/>
            <w:tabs>
              <w:tab w:val="right" w:pos="9350"/>
            </w:tabs>
            <w:rPr>
              <w:rFonts w:eastAsiaTheme="minorEastAsia" w:cstheme="minorBidi"/>
              <w:noProof/>
              <w:sz w:val="24"/>
              <w:szCs w:val="24"/>
            </w:rPr>
          </w:pPr>
          <w:hyperlink w:anchor="_Toc162267598"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_Toc162267598 \h </w:instrText>
            </w:r>
            <w:r w:rsidR="00736DA9">
              <w:rPr>
                <w:noProof/>
                <w:webHidden/>
              </w:rPr>
            </w:r>
            <w:r w:rsidR="00736DA9">
              <w:rPr>
                <w:noProof/>
                <w:webHidden/>
              </w:rPr>
              <w:fldChar w:fldCharType="separate"/>
            </w:r>
            <w:r w:rsidR="00736DA9">
              <w:rPr>
                <w:noProof/>
                <w:webHidden/>
              </w:rPr>
              <w:t>375</w:t>
            </w:r>
            <w:r w:rsidR="00736DA9">
              <w:rPr>
                <w:noProof/>
                <w:webHidden/>
              </w:rPr>
              <w:fldChar w:fldCharType="end"/>
            </w:r>
          </w:hyperlink>
        </w:p>
        <w:p w14:paraId="4E747C43" w14:textId="072915A1" w:rsidR="00736DA9" w:rsidRDefault="00000000">
          <w:pPr>
            <w:pStyle w:val="TOC4"/>
            <w:tabs>
              <w:tab w:val="right" w:pos="9350"/>
            </w:tabs>
            <w:rPr>
              <w:rFonts w:eastAsiaTheme="minorEastAsia" w:cstheme="minorBidi"/>
              <w:noProof/>
              <w:sz w:val="24"/>
              <w:szCs w:val="24"/>
            </w:rPr>
          </w:pPr>
          <w:hyperlink w:anchor="_Toc162267599" w:history="1">
            <w:r w:rsidR="00736DA9" w:rsidRPr="004372B1">
              <w:rPr>
                <w:rStyle w:val="Hyperlink"/>
                <w:noProof/>
              </w:rPr>
              <w:t>References 9.25</w:t>
            </w:r>
            <w:r w:rsidR="00736DA9">
              <w:rPr>
                <w:noProof/>
                <w:webHidden/>
              </w:rPr>
              <w:tab/>
            </w:r>
            <w:r w:rsidR="00736DA9">
              <w:rPr>
                <w:noProof/>
                <w:webHidden/>
              </w:rPr>
              <w:fldChar w:fldCharType="begin"/>
            </w:r>
            <w:r w:rsidR="00736DA9">
              <w:rPr>
                <w:noProof/>
                <w:webHidden/>
              </w:rPr>
              <w:instrText xml:space="preserve"> PAGEREF _Toc162267599 \h </w:instrText>
            </w:r>
            <w:r w:rsidR="00736DA9">
              <w:rPr>
                <w:noProof/>
                <w:webHidden/>
              </w:rPr>
            </w:r>
            <w:r w:rsidR="00736DA9">
              <w:rPr>
                <w:noProof/>
                <w:webHidden/>
              </w:rPr>
              <w:fldChar w:fldCharType="separate"/>
            </w:r>
            <w:r w:rsidR="00736DA9">
              <w:rPr>
                <w:noProof/>
                <w:webHidden/>
              </w:rPr>
              <w:t>375</w:t>
            </w:r>
            <w:r w:rsidR="00736DA9">
              <w:rPr>
                <w:noProof/>
                <w:webHidden/>
              </w:rPr>
              <w:fldChar w:fldCharType="end"/>
            </w:r>
          </w:hyperlink>
        </w:p>
        <w:p w14:paraId="65CFFF50" w14:textId="6DD7AC68" w:rsidR="00736DA9" w:rsidRDefault="00000000">
          <w:pPr>
            <w:pStyle w:val="TOC3"/>
            <w:tabs>
              <w:tab w:val="right" w:pos="9350"/>
            </w:tabs>
            <w:rPr>
              <w:rFonts w:eastAsiaTheme="minorEastAsia" w:cstheme="minorBidi"/>
              <w:noProof/>
              <w:sz w:val="24"/>
              <w:szCs w:val="24"/>
            </w:rPr>
          </w:pPr>
          <w:hyperlink w:anchor="_Toc162267600" w:history="1">
            <w:r w:rsidR="00736DA9" w:rsidRPr="004372B1">
              <w:rPr>
                <w:rStyle w:val="Hyperlink"/>
                <w:noProof/>
              </w:rPr>
              <w:t>Unintentional Injuries</w:t>
            </w:r>
            <w:r w:rsidR="00736DA9">
              <w:rPr>
                <w:noProof/>
                <w:webHidden/>
              </w:rPr>
              <w:tab/>
            </w:r>
            <w:r w:rsidR="00736DA9">
              <w:rPr>
                <w:noProof/>
                <w:webHidden/>
              </w:rPr>
              <w:fldChar w:fldCharType="begin"/>
            </w:r>
            <w:r w:rsidR="00736DA9">
              <w:rPr>
                <w:noProof/>
                <w:webHidden/>
              </w:rPr>
              <w:instrText xml:space="preserve"> PAGEREF _Toc162267600 \h </w:instrText>
            </w:r>
            <w:r w:rsidR="00736DA9">
              <w:rPr>
                <w:noProof/>
                <w:webHidden/>
              </w:rPr>
            </w:r>
            <w:r w:rsidR="00736DA9">
              <w:rPr>
                <w:noProof/>
                <w:webHidden/>
              </w:rPr>
              <w:fldChar w:fldCharType="separate"/>
            </w:r>
            <w:r w:rsidR="00736DA9">
              <w:rPr>
                <w:noProof/>
                <w:webHidden/>
              </w:rPr>
              <w:t>375</w:t>
            </w:r>
            <w:r w:rsidR="00736DA9">
              <w:rPr>
                <w:noProof/>
                <w:webHidden/>
              </w:rPr>
              <w:fldChar w:fldCharType="end"/>
            </w:r>
          </w:hyperlink>
        </w:p>
        <w:p w14:paraId="77828C42" w14:textId="2E34B398" w:rsidR="00736DA9" w:rsidRDefault="00000000">
          <w:pPr>
            <w:pStyle w:val="TOC4"/>
            <w:tabs>
              <w:tab w:val="right" w:pos="9350"/>
            </w:tabs>
            <w:rPr>
              <w:rFonts w:eastAsiaTheme="minorEastAsia" w:cstheme="minorBidi"/>
              <w:noProof/>
              <w:sz w:val="24"/>
              <w:szCs w:val="24"/>
            </w:rPr>
          </w:pPr>
          <w:hyperlink w:anchor="_Toc162267601" w:history="1">
            <w:r w:rsidR="00736DA9" w:rsidRPr="004372B1">
              <w:rPr>
                <w:rStyle w:val="Hyperlink"/>
                <w:noProof/>
              </w:rPr>
              <w:t>Figure 9.67: Unintentional Injury Deaths, All Ages.</w:t>
            </w:r>
            <w:r w:rsidR="00736DA9">
              <w:rPr>
                <w:noProof/>
                <w:webHidden/>
              </w:rPr>
              <w:tab/>
            </w:r>
            <w:r w:rsidR="00736DA9">
              <w:rPr>
                <w:noProof/>
                <w:webHidden/>
              </w:rPr>
              <w:fldChar w:fldCharType="begin"/>
            </w:r>
            <w:r w:rsidR="00736DA9">
              <w:rPr>
                <w:noProof/>
                <w:webHidden/>
              </w:rPr>
              <w:instrText xml:space="preserve"> PAGEREF _Toc162267601 \h </w:instrText>
            </w:r>
            <w:r w:rsidR="00736DA9">
              <w:rPr>
                <w:noProof/>
                <w:webHidden/>
              </w:rPr>
            </w:r>
            <w:r w:rsidR="00736DA9">
              <w:rPr>
                <w:noProof/>
                <w:webHidden/>
              </w:rPr>
              <w:fldChar w:fldCharType="separate"/>
            </w:r>
            <w:r w:rsidR="00736DA9">
              <w:rPr>
                <w:noProof/>
                <w:webHidden/>
              </w:rPr>
              <w:t>376</w:t>
            </w:r>
            <w:r w:rsidR="00736DA9">
              <w:rPr>
                <w:noProof/>
                <w:webHidden/>
              </w:rPr>
              <w:fldChar w:fldCharType="end"/>
            </w:r>
          </w:hyperlink>
        </w:p>
        <w:p w14:paraId="664BA4E7" w14:textId="546D9A9F" w:rsidR="00736DA9" w:rsidRDefault="00000000">
          <w:pPr>
            <w:pStyle w:val="TOC4"/>
            <w:tabs>
              <w:tab w:val="right" w:pos="9350"/>
            </w:tabs>
            <w:rPr>
              <w:rFonts w:eastAsiaTheme="minorEastAsia" w:cstheme="minorBidi"/>
              <w:noProof/>
              <w:sz w:val="24"/>
              <w:szCs w:val="24"/>
            </w:rPr>
          </w:pPr>
          <w:hyperlink w:anchor="_Toc162267602" w:history="1">
            <w:r w:rsidR="00736DA9" w:rsidRPr="004372B1">
              <w:rPr>
                <w:rStyle w:val="Hyperlink"/>
                <w:noProof/>
              </w:rPr>
              <w:t>Table 9.3: Leading Causes of Unintentional Injury Deaths Among Adults Ages 18-64.</w:t>
            </w:r>
            <w:r w:rsidR="00736DA9">
              <w:rPr>
                <w:noProof/>
                <w:webHidden/>
              </w:rPr>
              <w:tab/>
            </w:r>
            <w:r w:rsidR="00736DA9">
              <w:rPr>
                <w:noProof/>
                <w:webHidden/>
              </w:rPr>
              <w:fldChar w:fldCharType="begin"/>
            </w:r>
            <w:r w:rsidR="00736DA9">
              <w:rPr>
                <w:noProof/>
                <w:webHidden/>
              </w:rPr>
              <w:instrText xml:space="preserve"> PAGEREF _Toc162267602 \h </w:instrText>
            </w:r>
            <w:r w:rsidR="00736DA9">
              <w:rPr>
                <w:noProof/>
                <w:webHidden/>
              </w:rPr>
            </w:r>
            <w:r w:rsidR="00736DA9">
              <w:rPr>
                <w:noProof/>
                <w:webHidden/>
              </w:rPr>
              <w:fldChar w:fldCharType="separate"/>
            </w:r>
            <w:r w:rsidR="00736DA9">
              <w:rPr>
                <w:noProof/>
                <w:webHidden/>
              </w:rPr>
              <w:t>376</w:t>
            </w:r>
            <w:r w:rsidR="00736DA9">
              <w:rPr>
                <w:noProof/>
                <w:webHidden/>
              </w:rPr>
              <w:fldChar w:fldCharType="end"/>
            </w:r>
          </w:hyperlink>
        </w:p>
        <w:p w14:paraId="7F022587" w14:textId="330CFE7B" w:rsidR="00736DA9" w:rsidRDefault="00000000">
          <w:pPr>
            <w:pStyle w:val="TOC4"/>
            <w:tabs>
              <w:tab w:val="right" w:pos="9350"/>
            </w:tabs>
            <w:rPr>
              <w:rFonts w:eastAsiaTheme="minorEastAsia" w:cstheme="minorBidi"/>
              <w:noProof/>
              <w:sz w:val="24"/>
              <w:szCs w:val="24"/>
            </w:rPr>
          </w:pPr>
          <w:hyperlink w:anchor="_Toc162267603" w:history="1">
            <w:r w:rsidR="00736DA9" w:rsidRPr="004372B1">
              <w:rPr>
                <w:rStyle w:val="Hyperlink"/>
                <w:noProof/>
              </w:rPr>
              <w:t>Figure 9.68: Nonfatal Unintentional Injury Emergency Department Visits.</w:t>
            </w:r>
            <w:r w:rsidR="00736DA9">
              <w:rPr>
                <w:noProof/>
                <w:webHidden/>
              </w:rPr>
              <w:tab/>
            </w:r>
            <w:r w:rsidR="00736DA9">
              <w:rPr>
                <w:noProof/>
                <w:webHidden/>
              </w:rPr>
              <w:fldChar w:fldCharType="begin"/>
            </w:r>
            <w:r w:rsidR="00736DA9">
              <w:rPr>
                <w:noProof/>
                <w:webHidden/>
              </w:rPr>
              <w:instrText xml:space="preserve"> PAGEREF _Toc162267603 \h </w:instrText>
            </w:r>
            <w:r w:rsidR="00736DA9">
              <w:rPr>
                <w:noProof/>
                <w:webHidden/>
              </w:rPr>
            </w:r>
            <w:r w:rsidR="00736DA9">
              <w:rPr>
                <w:noProof/>
                <w:webHidden/>
              </w:rPr>
              <w:fldChar w:fldCharType="separate"/>
            </w:r>
            <w:r w:rsidR="00736DA9">
              <w:rPr>
                <w:noProof/>
                <w:webHidden/>
              </w:rPr>
              <w:t>377</w:t>
            </w:r>
            <w:r w:rsidR="00736DA9">
              <w:rPr>
                <w:noProof/>
                <w:webHidden/>
              </w:rPr>
              <w:fldChar w:fldCharType="end"/>
            </w:r>
          </w:hyperlink>
        </w:p>
        <w:p w14:paraId="1066B6AA" w14:textId="52A9AB77" w:rsidR="00736DA9" w:rsidRDefault="00000000">
          <w:pPr>
            <w:pStyle w:val="TOC4"/>
            <w:tabs>
              <w:tab w:val="right" w:pos="9350"/>
            </w:tabs>
            <w:rPr>
              <w:rFonts w:eastAsiaTheme="minorEastAsia" w:cstheme="minorBidi"/>
              <w:noProof/>
              <w:sz w:val="24"/>
              <w:szCs w:val="24"/>
            </w:rPr>
          </w:pPr>
          <w:hyperlink w:anchor="_Toc162267604"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_Toc162267604 \h </w:instrText>
            </w:r>
            <w:r w:rsidR="00736DA9">
              <w:rPr>
                <w:noProof/>
                <w:webHidden/>
              </w:rPr>
            </w:r>
            <w:r w:rsidR="00736DA9">
              <w:rPr>
                <w:noProof/>
                <w:webHidden/>
              </w:rPr>
              <w:fldChar w:fldCharType="separate"/>
            </w:r>
            <w:r w:rsidR="00736DA9">
              <w:rPr>
                <w:noProof/>
                <w:webHidden/>
              </w:rPr>
              <w:t>377</w:t>
            </w:r>
            <w:r w:rsidR="00736DA9">
              <w:rPr>
                <w:noProof/>
                <w:webHidden/>
              </w:rPr>
              <w:fldChar w:fldCharType="end"/>
            </w:r>
          </w:hyperlink>
        </w:p>
        <w:p w14:paraId="4F7A4C95" w14:textId="19A84CEA" w:rsidR="00736DA9" w:rsidRDefault="00000000">
          <w:pPr>
            <w:pStyle w:val="TOC4"/>
            <w:tabs>
              <w:tab w:val="right" w:pos="9350"/>
            </w:tabs>
            <w:rPr>
              <w:rFonts w:eastAsiaTheme="minorEastAsia" w:cstheme="minorBidi"/>
              <w:noProof/>
              <w:sz w:val="24"/>
              <w:szCs w:val="24"/>
            </w:rPr>
          </w:pPr>
          <w:hyperlink w:anchor="_Toc162267605" w:history="1">
            <w:r w:rsidR="00736DA9" w:rsidRPr="004372B1">
              <w:rPr>
                <w:rStyle w:val="Hyperlink"/>
                <w:noProof/>
              </w:rPr>
              <w:t>References 9.26</w:t>
            </w:r>
            <w:r w:rsidR="00736DA9">
              <w:rPr>
                <w:noProof/>
                <w:webHidden/>
              </w:rPr>
              <w:tab/>
            </w:r>
            <w:r w:rsidR="00736DA9">
              <w:rPr>
                <w:noProof/>
                <w:webHidden/>
              </w:rPr>
              <w:fldChar w:fldCharType="begin"/>
            </w:r>
            <w:r w:rsidR="00736DA9">
              <w:rPr>
                <w:noProof/>
                <w:webHidden/>
              </w:rPr>
              <w:instrText xml:space="preserve"> PAGEREF _Toc162267605 \h </w:instrText>
            </w:r>
            <w:r w:rsidR="00736DA9">
              <w:rPr>
                <w:noProof/>
                <w:webHidden/>
              </w:rPr>
            </w:r>
            <w:r w:rsidR="00736DA9">
              <w:rPr>
                <w:noProof/>
                <w:webHidden/>
              </w:rPr>
              <w:fldChar w:fldCharType="separate"/>
            </w:r>
            <w:r w:rsidR="00736DA9">
              <w:rPr>
                <w:noProof/>
                <w:webHidden/>
              </w:rPr>
              <w:t>378</w:t>
            </w:r>
            <w:r w:rsidR="00736DA9">
              <w:rPr>
                <w:noProof/>
                <w:webHidden/>
              </w:rPr>
              <w:fldChar w:fldCharType="end"/>
            </w:r>
          </w:hyperlink>
        </w:p>
        <w:p w14:paraId="21D8CC25" w14:textId="1080D6B9" w:rsidR="00736DA9" w:rsidRDefault="00000000">
          <w:pPr>
            <w:pStyle w:val="TOC3"/>
            <w:tabs>
              <w:tab w:val="right" w:pos="9350"/>
            </w:tabs>
            <w:rPr>
              <w:rFonts w:eastAsiaTheme="minorEastAsia" w:cstheme="minorBidi"/>
              <w:noProof/>
              <w:sz w:val="24"/>
              <w:szCs w:val="24"/>
            </w:rPr>
          </w:pPr>
          <w:hyperlink w:anchor="_Toc162267606" w:history="1">
            <w:r w:rsidR="00736DA9" w:rsidRPr="004372B1">
              <w:rPr>
                <w:rStyle w:val="Hyperlink"/>
                <w:noProof/>
              </w:rPr>
              <w:t>Motor Vehicle Crashes</w:t>
            </w:r>
            <w:r w:rsidR="00736DA9">
              <w:rPr>
                <w:noProof/>
                <w:webHidden/>
              </w:rPr>
              <w:tab/>
            </w:r>
            <w:r w:rsidR="00736DA9">
              <w:rPr>
                <w:noProof/>
                <w:webHidden/>
              </w:rPr>
              <w:fldChar w:fldCharType="begin"/>
            </w:r>
            <w:r w:rsidR="00736DA9">
              <w:rPr>
                <w:noProof/>
                <w:webHidden/>
              </w:rPr>
              <w:instrText xml:space="preserve"> PAGEREF _Toc162267606 \h </w:instrText>
            </w:r>
            <w:r w:rsidR="00736DA9">
              <w:rPr>
                <w:noProof/>
                <w:webHidden/>
              </w:rPr>
            </w:r>
            <w:r w:rsidR="00736DA9">
              <w:rPr>
                <w:noProof/>
                <w:webHidden/>
              </w:rPr>
              <w:fldChar w:fldCharType="separate"/>
            </w:r>
            <w:r w:rsidR="00736DA9">
              <w:rPr>
                <w:noProof/>
                <w:webHidden/>
              </w:rPr>
              <w:t>378</w:t>
            </w:r>
            <w:r w:rsidR="00736DA9">
              <w:rPr>
                <w:noProof/>
                <w:webHidden/>
              </w:rPr>
              <w:fldChar w:fldCharType="end"/>
            </w:r>
          </w:hyperlink>
        </w:p>
        <w:p w14:paraId="151C5D05" w14:textId="7B1814A9" w:rsidR="00736DA9" w:rsidRDefault="00000000">
          <w:pPr>
            <w:pStyle w:val="TOC4"/>
            <w:tabs>
              <w:tab w:val="right" w:pos="9350"/>
            </w:tabs>
            <w:rPr>
              <w:rFonts w:eastAsiaTheme="minorEastAsia" w:cstheme="minorBidi"/>
              <w:noProof/>
              <w:sz w:val="24"/>
              <w:szCs w:val="24"/>
            </w:rPr>
          </w:pPr>
          <w:hyperlink w:anchor="_Toc162267607" w:history="1">
            <w:r w:rsidR="00736DA9" w:rsidRPr="004372B1">
              <w:rPr>
                <w:rStyle w:val="Hyperlink"/>
                <w:noProof/>
              </w:rPr>
              <w:t>Figure 9.69: Motor Vehicle Crash Deaths.</w:t>
            </w:r>
            <w:r w:rsidR="00736DA9">
              <w:rPr>
                <w:noProof/>
                <w:webHidden/>
              </w:rPr>
              <w:tab/>
            </w:r>
            <w:r w:rsidR="00736DA9">
              <w:rPr>
                <w:noProof/>
                <w:webHidden/>
              </w:rPr>
              <w:fldChar w:fldCharType="begin"/>
            </w:r>
            <w:r w:rsidR="00736DA9">
              <w:rPr>
                <w:noProof/>
                <w:webHidden/>
              </w:rPr>
              <w:instrText xml:space="preserve"> PAGEREF _Toc162267607 \h </w:instrText>
            </w:r>
            <w:r w:rsidR="00736DA9">
              <w:rPr>
                <w:noProof/>
                <w:webHidden/>
              </w:rPr>
            </w:r>
            <w:r w:rsidR="00736DA9">
              <w:rPr>
                <w:noProof/>
                <w:webHidden/>
              </w:rPr>
              <w:fldChar w:fldCharType="separate"/>
            </w:r>
            <w:r w:rsidR="00736DA9">
              <w:rPr>
                <w:noProof/>
                <w:webHidden/>
              </w:rPr>
              <w:t>378</w:t>
            </w:r>
            <w:r w:rsidR="00736DA9">
              <w:rPr>
                <w:noProof/>
                <w:webHidden/>
              </w:rPr>
              <w:fldChar w:fldCharType="end"/>
            </w:r>
          </w:hyperlink>
        </w:p>
        <w:p w14:paraId="7C29376B" w14:textId="27D92AD2" w:rsidR="00736DA9" w:rsidRDefault="00000000">
          <w:pPr>
            <w:pStyle w:val="TOC4"/>
            <w:tabs>
              <w:tab w:val="right" w:pos="9350"/>
            </w:tabs>
            <w:rPr>
              <w:rFonts w:eastAsiaTheme="minorEastAsia" w:cstheme="minorBidi"/>
              <w:noProof/>
              <w:sz w:val="24"/>
              <w:szCs w:val="24"/>
            </w:rPr>
          </w:pPr>
          <w:hyperlink w:anchor="_Toc162267608" w:history="1">
            <w:r w:rsidR="00736DA9" w:rsidRPr="004372B1">
              <w:rPr>
                <w:rStyle w:val="Hyperlink"/>
                <w:noProof/>
              </w:rPr>
              <w:t>Figure 9.70: Motor Vehicle Crash Deaths Among Adults Aged 18-64, by Sex and Race/Ethnicity.</w:t>
            </w:r>
            <w:r w:rsidR="00736DA9">
              <w:rPr>
                <w:noProof/>
                <w:webHidden/>
              </w:rPr>
              <w:tab/>
            </w:r>
            <w:r w:rsidR="00736DA9">
              <w:rPr>
                <w:noProof/>
                <w:webHidden/>
              </w:rPr>
              <w:fldChar w:fldCharType="begin"/>
            </w:r>
            <w:r w:rsidR="00736DA9">
              <w:rPr>
                <w:noProof/>
                <w:webHidden/>
              </w:rPr>
              <w:instrText xml:space="preserve"> PAGEREF _Toc162267608 \h </w:instrText>
            </w:r>
            <w:r w:rsidR="00736DA9">
              <w:rPr>
                <w:noProof/>
                <w:webHidden/>
              </w:rPr>
            </w:r>
            <w:r w:rsidR="00736DA9">
              <w:rPr>
                <w:noProof/>
                <w:webHidden/>
              </w:rPr>
              <w:fldChar w:fldCharType="separate"/>
            </w:r>
            <w:r w:rsidR="00736DA9">
              <w:rPr>
                <w:noProof/>
                <w:webHidden/>
              </w:rPr>
              <w:t>379</w:t>
            </w:r>
            <w:r w:rsidR="00736DA9">
              <w:rPr>
                <w:noProof/>
                <w:webHidden/>
              </w:rPr>
              <w:fldChar w:fldCharType="end"/>
            </w:r>
          </w:hyperlink>
        </w:p>
        <w:p w14:paraId="54400353" w14:textId="7D959BDF" w:rsidR="00736DA9" w:rsidRDefault="00000000">
          <w:pPr>
            <w:pStyle w:val="TOC4"/>
            <w:tabs>
              <w:tab w:val="right" w:pos="9350"/>
            </w:tabs>
            <w:rPr>
              <w:rFonts w:eastAsiaTheme="minorEastAsia" w:cstheme="minorBidi"/>
              <w:noProof/>
              <w:sz w:val="24"/>
              <w:szCs w:val="24"/>
            </w:rPr>
          </w:pPr>
          <w:hyperlink w:anchor="_Toc162267609" w:history="1">
            <w:r w:rsidR="00736DA9" w:rsidRPr="004372B1">
              <w:rPr>
                <w:rStyle w:val="Hyperlink"/>
                <w:noProof/>
              </w:rPr>
              <w:t>Figure 9.71: Car Passenger Deaths, by Restraint Status.</w:t>
            </w:r>
            <w:r w:rsidR="00736DA9">
              <w:rPr>
                <w:noProof/>
                <w:webHidden/>
              </w:rPr>
              <w:tab/>
            </w:r>
            <w:r w:rsidR="00736DA9">
              <w:rPr>
                <w:noProof/>
                <w:webHidden/>
              </w:rPr>
              <w:fldChar w:fldCharType="begin"/>
            </w:r>
            <w:r w:rsidR="00736DA9">
              <w:rPr>
                <w:noProof/>
                <w:webHidden/>
              </w:rPr>
              <w:instrText xml:space="preserve"> PAGEREF _Toc162267609 \h </w:instrText>
            </w:r>
            <w:r w:rsidR="00736DA9">
              <w:rPr>
                <w:noProof/>
                <w:webHidden/>
              </w:rPr>
            </w:r>
            <w:r w:rsidR="00736DA9">
              <w:rPr>
                <w:noProof/>
                <w:webHidden/>
              </w:rPr>
              <w:fldChar w:fldCharType="separate"/>
            </w:r>
            <w:r w:rsidR="00736DA9">
              <w:rPr>
                <w:noProof/>
                <w:webHidden/>
              </w:rPr>
              <w:t>379</w:t>
            </w:r>
            <w:r w:rsidR="00736DA9">
              <w:rPr>
                <w:noProof/>
                <w:webHidden/>
              </w:rPr>
              <w:fldChar w:fldCharType="end"/>
            </w:r>
          </w:hyperlink>
        </w:p>
        <w:p w14:paraId="36CC5FF1" w14:textId="01A2A8A4" w:rsidR="00736DA9" w:rsidRDefault="00000000">
          <w:pPr>
            <w:pStyle w:val="TOC4"/>
            <w:tabs>
              <w:tab w:val="right" w:pos="9350"/>
            </w:tabs>
            <w:rPr>
              <w:rFonts w:eastAsiaTheme="minorEastAsia" w:cstheme="minorBidi"/>
              <w:noProof/>
              <w:sz w:val="24"/>
              <w:szCs w:val="24"/>
            </w:rPr>
          </w:pPr>
          <w:hyperlink w:anchor="_Toc162267610"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_Toc162267610 \h </w:instrText>
            </w:r>
            <w:r w:rsidR="00736DA9">
              <w:rPr>
                <w:noProof/>
                <w:webHidden/>
              </w:rPr>
            </w:r>
            <w:r w:rsidR="00736DA9">
              <w:rPr>
                <w:noProof/>
                <w:webHidden/>
              </w:rPr>
              <w:fldChar w:fldCharType="separate"/>
            </w:r>
            <w:r w:rsidR="00736DA9">
              <w:rPr>
                <w:noProof/>
                <w:webHidden/>
              </w:rPr>
              <w:t>379</w:t>
            </w:r>
            <w:r w:rsidR="00736DA9">
              <w:rPr>
                <w:noProof/>
                <w:webHidden/>
              </w:rPr>
              <w:fldChar w:fldCharType="end"/>
            </w:r>
          </w:hyperlink>
        </w:p>
        <w:p w14:paraId="598983C1" w14:textId="1FDC42A2" w:rsidR="00736DA9" w:rsidRDefault="00000000">
          <w:pPr>
            <w:pStyle w:val="TOC4"/>
            <w:tabs>
              <w:tab w:val="right" w:pos="9350"/>
            </w:tabs>
            <w:rPr>
              <w:rFonts w:eastAsiaTheme="minorEastAsia" w:cstheme="minorBidi"/>
              <w:noProof/>
              <w:sz w:val="24"/>
              <w:szCs w:val="24"/>
            </w:rPr>
          </w:pPr>
          <w:hyperlink w:anchor="_Toc162267611" w:history="1">
            <w:r w:rsidR="00736DA9" w:rsidRPr="004372B1">
              <w:rPr>
                <w:rStyle w:val="Hyperlink"/>
                <w:noProof/>
              </w:rPr>
              <w:t>References 9.27</w:t>
            </w:r>
            <w:r w:rsidR="00736DA9">
              <w:rPr>
                <w:noProof/>
                <w:webHidden/>
              </w:rPr>
              <w:tab/>
            </w:r>
            <w:r w:rsidR="00736DA9">
              <w:rPr>
                <w:noProof/>
                <w:webHidden/>
              </w:rPr>
              <w:fldChar w:fldCharType="begin"/>
            </w:r>
            <w:r w:rsidR="00736DA9">
              <w:rPr>
                <w:noProof/>
                <w:webHidden/>
              </w:rPr>
              <w:instrText xml:space="preserve"> PAGEREF _Toc162267611 \h </w:instrText>
            </w:r>
            <w:r w:rsidR="00736DA9">
              <w:rPr>
                <w:noProof/>
                <w:webHidden/>
              </w:rPr>
            </w:r>
            <w:r w:rsidR="00736DA9">
              <w:rPr>
                <w:noProof/>
                <w:webHidden/>
              </w:rPr>
              <w:fldChar w:fldCharType="separate"/>
            </w:r>
            <w:r w:rsidR="00736DA9">
              <w:rPr>
                <w:noProof/>
                <w:webHidden/>
              </w:rPr>
              <w:t>380</w:t>
            </w:r>
            <w:r w:rsidR="00736DA9">
              <w:rPr>
                <w:noProof/>
                <w:webHidden/>
              </w:rPr>
              <w:fldChar w:fldCharType="end"/>
            </w:r>
          </w:hyperlink>
        </w:p>
        <w:p w14:paraId="0B906FD6" w14:textId="0D4D52FB" w:rsidR="00736DA9" w:rsidRDefault="00000000">
          <w:pPr>
            <w:pStyle w:val="TOC3"/>
            <w:tabs>
              <w:tab w:val="right" w:pos="9350"/>
            </w:tabs>
            <w:rPr>
              <w:rFonts w:eastAsiaTheme="minorEastAsia" w:cstheme="minorBidi"/>
              <w:noProof/>
              <w:sz w:val="24"/>
              <w:szCs w:val="24"/>
            </w:rPr>
          </w:pPr>
          <w:hyperlink w:anchor="_Toc162267612" w:history="1">
            <w:r w:rsidR="00736DA9" w:rsidRPr="004372B1">
              <w:rPr>
                <w:rStyle w:val="Hyperlink"/>
                <w:noProof/>
              </w:rPr>
              <w:t>Sexually Transmitted Infections</w:t>
            </w:r>
            <w:r w:rsidR="00736DA9">
              <w:rPr>
                <w:noProof/>
                <w:webHidden/>
              </w:rPr>
              <w:tab/>
            </w:r>
            <w:r w:rsidR="00736DA9">
              <w:rPr>
                <w:noProof/>
                <w:webHidden/>
              </w:rPr>
              <w:fldChar w:fldCharType="begin"/>
            </w:r>
            <w:r w:rsidR="00736DA9">
              <w:rPr>
                <w:noProof/>
                <w:webHidden/>
              </w:rPr>
              <w:instrText xml:space="preserve"> PAGEREF _Toc162267612 \h </w:instrText>
            </w:r>
            <w:r w:rsidR="00736DA9">
              <w:rPr>
                <w:noProof/>
                <w:webHidden/>
              </w:rPr>
            </w:r>
            <w:r w:rsidR="00736DA9">
              <w:rPr>
                <w:noProof/>
                <w:webHidden/>
              </w:rPr>
              <w:fldChar w:fldCharType="separate"/>
            </w:r>
            <w:r w:rsidR="00736DA9">
              <w:rPr>
                <w:noProof/>
                <w:webHidden/>
              </w:rPr>
              <w:t>380</w:t>
            </w:r>
            <w:r w:rsidR="00736DA9">
              <w:rPr>
                <w:noProof/>
                <w:webHidden/>
              </w:rPr>
              <w:fldChar w:fldCharType="end"/>
            </w:r>
          </w:hyperlink>
        </w:p>
        <w:p w14:paraId="3F1F2DB9" w14:textId="30B5303B" w:rsidR="00736DA9" w:rsidRDefault="00000000">
          <w:pPr>
            <w:pStyle w:val="TOC4"/>
            <w:tabs>
              <w:tab w:val="right" w:pos="9350"/>
            </w:tabs>
            <w:rPr>
              <w:rFonts w:eastAsiaTheme="minorEastAsia" w:cstheme="minorBidi"/>
              <w:noProof/>
              <w:sz w:val="24"/>
              <w:szCs w:val="24"/>
            </w:rPr>
          </w:pPr>
          <w:hyperlink w:anchor="_Toc162267613" w:history="1">
            <w:r w:rsidR="00736DA9" w:rsidRPr="004372B1">
              <w:rPr>
                <w:rStyle w:val="Hyperlink"/>
                <w:noProof/>
              </w:rPr>
              <w:t>Figure 9.72: Chlamydia and Gonorrhea Cases.</w:t>
            </w:r>
            <w:r w:rsidR="00736DA9">
              <w:rPr>
                <w:noProof/>
                <w:webHidden/>
              </w:rPr>
              <w:tab/>
            </w:r>
            <w:r w:rsidR="00736DA9">
              <w:rPr>
                <w:noProof/>
                <w:webHidden/>
              </w:rPr>
              <w:fldChar w:fldCharType="begin"/>
            </w:r>
            <w:r w:rsidR="00736DA9">
              <w:rPr>
                <w:noProof/>
                <w:webHidden/>
              </w:rPr>
              <w:instrText xml:space="preserve"> PAGEREF _Toc162267613 \h </w:instrText>
            </w:r>
            <w:r w:rsidR="00736DA9">
              <w:rPr>
                <w:noProof/>
                <w:webHidden/>
              </w:rPr>
            </w:r>
            <w:r w:rsidR="00736DA9">
              <w:rPr>
                <w:noProof/>
                <w:webHidden/>
              </w:rPr>
              <w:fldChar w:fldCharType="separate"/>
            </w:r>
            <w:r w:rsidR="00736DA9">
              <w:rPr>
                <w:noProof/>
                <w:webHidden/>
              </w:rPr>
              <w:t>381</w:t>
            </w:r>
            <w:r w:rsidR="00736DA9">
              <w:rPr>
                <w:noProof/>
                <w:webHidden/>
              </w:rPr>
              <w:fldChar w:fldCharType="end"/>
            </w:r>
          </w:hyperlink>
        </w:p>
        <w:p w14:paraId="2A29E8E7" w14:textId="0D845C10" w:rsidR="00736DA9" w:rsidRDefault="00000000">
          <w:pPr>
            <w:pStyle w:val="TOC4"/>
            <w:tabs>
              <w:tab w:val="right" w:pos="9350"/>
            </w:tabs>
            <w:rPr>
              <w:rFonts w:eastAsiaTheme="minorEastAsia" w:cstheme="minorBidi"/>
              <w:noProof/>
              <w:sz w:val="24"/>
              <w:szCs w:val="24"/>
            </w:rPr>
          </w:pPr>
          <w:hyperlink w:anchor="_Toc162267614" w:history="1">
            <w:r w:rsidR="00736DA9" w:rsidRPr="004372B1">
              <w:rPr>
                <w:rStyle w:val="Hyperlink"/>
                <w:noProof/>
              </w:rPr>
              <w:t>Figure 9.73: Syphilis Cases.</w:t>
            </w:r>
            <w:r w:rsidR="00736DA9">
              <w:rPr>
                <w:noProof/>
                <w:webHidden/>
              </w:rPr>
              <w:tab/>
            </w:r>
            <w:r w:rsidR="00736DA9">
              <w:rPr>
                <w:noProof/>
                <w:webHidden/>
              </w:rPr>
              <w:fldChar w:fldCharType="begin"/>
            </w:r>
            <w:r w:rsidR="00736DA9">
              <w:rPr>
                <w:noProof/>
                <w:webHidden/>
              </w:rPr>
              <w:instrText xml:space="preserve"> PAGEREF _Toc162267614 \h </w:instrText>
            </w:r>
            <w:r w:rsidR="00736DA9">
              <w:rPr>
                <w:noProof/>
                <w:webHidden/>
              </w:rPr>
            </w:r>
            <w:r w:rsidR="00736DA9">
              <w:rPr>
                <w:noProof/>
                <w:webHidden/>
              </w:rPr>
              <w:fldChar w:fldCharType="separate"/>
            </w:r>
            <w:r w:rsidR="00736DA9">
              <w:rPr>
                <w:noProof/>
                <w:webHidden/>
              </w:rPr>
              <w:t>381</w:t>
            </w:r>
            <w:r w:rsidR="00736DA9">
              <w:rPr>
                <w:noProof/>
                <w:webHidden/>
              </w:rPr>
              <w:fldChar w:fldCharType="end"/>
            </w:r>
          </w:hyperlink>
        </w:p>
        <w:p w14:paraId="24D89F77" w14:textId="1F6F171C" w:rsidR="00736DA9" w:rsidRDefault="00000000">
          <w:pPr>
            <w:pStyle w:val="TOC4"/>
            <w:tabs>
              <w:tab w:val="right" w:pos="9350"/>
            </w:tabs>
            <w:rPr>
              <w:rFonts w:eastAsiaTheme="minorEastAsia" w:cstheme="minorBidi"/>
              <w:noProof/>
              <w:sz w:val="24"/>
              <w:szCs w:val="24"/>
            </w:rPr>
          </w:pPr>
          <w:hyperlink w:anchor="_Toc162267615"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_Toc162267615 \h </w:instrText>
            </w:r>
            <w:r w:rsidR="00736DA9">
              <w:rPr>
                <w:noProof/>
                <w:webHidden/>
              </w:rPr>
            </w:r>
            <w:r w:rsidR="00736DA9">
              <w:rPr>
                <w:noProof/>
                <w:webHidden/>
              </w:rPr>
              <w:fldChar w:fldCharType="separate"/>
            </w:r>
            <w:r w:rsidR="00736DA9">
              <w:rPr>
                <w:noProof/>
                <w:webHidden/>
              </w:rPr>
              <w:t>382</w:t>
            </w:r>
            <w:r w:rsidR="00736DA9">
              <w:rPr>
                <w:noProof/>
                <w:webHidden/>
              </w:rPr>
              <w:fldChar w:fldCharType="end"/>
            </w:r>
          </w:hyperlink>
        </w:p>
        <w:p w14:paraId="256A5EE4" w14:textId="1A353DCB" w:rsidR="00736DA9" w:rsidRDefault="00000000">
          <w:pPr>
            <w:pStyle w:val="TOC4"/>
            <w:tabs>
              <w:tab w:val="right" w:pos="9350"/>
            </w:tabs>
            <w:rPr>
              <w:rFonts w:eastAsiaTheme="minorEastAsia" w:cstheme="minorBidi"/>
              <w:noProof/>
              <w:sz w:val="24"/>
              <w:szCs w:val="24"/>
            </w:rPr>
          </w:pPr>
          <w:hyperlink w:anchor="_Toc162267616" w:history="1">
            <w:r w:rsidR="00736DA9" w:rsidRPr="004372B1">
              <w:rPr>
                <w:rStyle w:val="Hyperlink"/>
                <w:noProof/>
              </w:rPr>
              <w:t>References 9.28</w:t>
            </w:r>
            <w:r w:rsidR="00736DA9">
              <w:rPr>
                <w:noProof/>
                <w:webHidden/>
              </w:rPr>
              <w:tab/>
            </w:r>
            <w:r w:rsidR="00736DA9">
              <w:rPr>
                <w:noProof/>
                <w:webHidden/>
              </w:rPr>
              <w:fldChar w:fldCharType="begin"/>
            </w:r>
            <w:r w:rsidR="00736DA9">
              <w:rPr>
                <w:noProof/>
                <w:webHidden/>
              </w:rPr>
              <w:instrText xml:space="preserve"> PAGEREF _Toc162267616 \h </w:instrText>
            </w:r>
            <w:r w:rsidR="00736DA9">
              <w:rPr>
                <w:noProof/>
                <w:webHidden/>
              </w:rPr>
            </w:r>
            <w:r w:rsidR="00736DA9">
              <w:rPr>
                <w:noProof/>
                <w:webHidden/>
              </w:rPr>
              <w:fldChar w:fldCharType="separate"/>
            </w:r>
            <w:r w:rsidR="00736DA9">
              <w:rPr>
                <w:noProof/>
                <w:webHidden/>
              </w:rPr>
              <w:t>382</w:t>
            </w:r>
            <w:r w:rsidR="00736DA9">
              <w:rPr>
                <w:noProof/>
                <w:webHidden/>
              </w:rPr>
              <w:fldChar w:fldCharType="end"/>
            </w:r>
          </w:hyperlink>
        </w:p>
        <w:p w14:paraId="7CC70F51" w14:textId="06351C79" w:rsidR="00736DA9" w:rsidRDefault="00000000">
          <w:pPr>
            <w:pStyle w:val="TOC3"/>
            <w:tabs>
              <w:tab w:val="right" w:pos="9350"/>
            </w:tabs>
            <w:rPr>
              <w:rFonts w:eastAsiaTheme="minorEastAsia" w:cstheme="minorBidi"/>
              <w:noProof/>
              <w:sz w:val="24"/>
              <w:szCs w:val="24"/>
            </w:rPr>
          </w:pPr>
          <w:hyperlink w:anchor="_Toc162267617" w:history="1">
            <w:r w:rsidR="00736DA9" w:rsidRPr="004372B1">
              <w:rPr>
                <w:rStyle w:val="Hyperlink"/>
                <w:noProof/>
              </w:rPr>
              <w:t>Hepatitis</w:t>
            </w:r>
            <w:r w:rsidR="00736DA9">
              <w:rPr>
                <w:noProof/>
                <w:webHidden/>
              </w:rPr>
              <w:tab/>
            </w:r>
            <w:r w:rsidR="00736DA9">
              <w:rPr>
                <w:noProof/>
                <w:webHidden/>
              </w:rPr>
              <w:fldChar w:fldCharType="begin"/>
            </w:r>
            <w:r w:rsidR="00736DA9">
              <w:rPr>
                <w:noProof/>
                <w:webHidden/>
              </w:rPr>
              <w:instrText xml:space="preserve"> PAGEREF _Toc162267617 \h </w:instrText>
            </w:r>
            <w:r w:rsidR="00736DA9">
              <w:rPr>
                <w:noProof/>
                <w:webHidden/>
              </w:rPr>
            </w:r>
            <w:r w:rsidR="00736DA9">
              <w:rPr>
                <w:noProof/>
                <w:webHidden/>
              </w:rPr>
              <w:fldChar w:fldCharType="separate"/>
            </w:r>
            <w:r w:rsidR="00736DA9">
              <w:rPr>
                <w:noProof/>
                <w:webHidden/>
              </w:rPr>
              <w:t>383</w:t>
            </w:r>
            <w:r w:rsidR="00736DA9">
              <w:rPr>
                <w:noProof/>
                <w:webHidden/>
              </w:rPr>
              <w:fldChar w:fldCharType="end"/>
            </w:r>
          </w:hyperlink>
        </w:p>
        <w:p w14:paraId="7BA382FE" w14:textId="6EC32831" w:rsidR="00736DA9" w:rsidRDefault="00000000">
          <w:pPr>
            <w:pStyle w:val="TOC4"/>
            <w:tabs>
              <w:tab w:val="right" w:pos="9350"/>
            </w:tabs>
            <w:rPr>
              <w:rFonts w:eastAsiaTheme="minorEastAsia" w:cstheme="minorBidi"/>
              <w:noProof/>
              <w:sz w:val="24"/>
              <w:szCs w:val="24"/>
            </w:rPr>
          </w:pPr>
          <w:hyperlink w:anchor="_Toc162267618" w:history="1">
            <w:r w:rsidR="00736DA9" w:rsidRPr="004372B1">
              <w:rPr>
                <w:rStyle w:val="Hyperlink"/>
                <w:noProof/>
              </w:rPr>
              <w:t>Figure 9.74: New Cases of Acute Hepatitis C.</w:t>
            </w:r>
            <w:r w:rsidR="00736DA9">
              <w:rPr>
                <w:noProof/>
                <w:webHidden/>
              </w:rPr>
              <w:tab/>
            </w:r>
            <w:r w:rsidR="00736DA9">
              <w:rPr>
                <w:noProof/>
                <w:webHidden/>
              </w:rPr>
              <w:fldChar w:fldCharType="begin"/>
            </w:r>
            <w:r w:rsidR="00736DA9">
              <w:rPr>
                <w:noProof/>
                <w:webHidden/>
              </w:rPr>
              <w:instrText xml:space="preserve"> PAGEREF _Toc162267618 \h </w:instrText>
            </w:r>
            <w:r w:rsidR="00736DA9">
              <w:rPr>
                <w:noProof/>
                <w:webHidden/>
              </w:rPr>
            </w:r>
            <w:r w:rsidR="00736DA9">
              <w:rPr>
                <w:noProof/>
                <w:webHidden/>
              </w:rPr>
              <w:fldChar w:fldCharType="separate"/>
            </w:r>
            <w:r w:rsidR="00736DA9">
              <w:rPr>
                <w:noProof/>
                <w:webHidden/>
              </w:rPr>
              <w:t>384</w:t>
            </w:r>
            <w:r w:rsidR="00736DA9">
              <w:rPr>
                <w:noProof/>
                <w:webHidden/>
              </w:rPr>
              <w:fldChar w:fldCharType="end"/>
            </w:r>
          </w:hyperlink>
        </w:p>
        <w:p w14:paraId="4AE5521E" w14:textId="60984AAE" w:rsidR="00736DA9" w:rsidRDefault="00000000">
          <w:pPr>
            <w:pStyle w:val="TOC4"/>
            <w:tabs>
              <w:tab w:val="right" w:pos="9350"/>
            </w:tabs>
            <w:rPr>
              <w:rFonts w:eastAsiaTheme="minorEastAsia" w:cstheme="minorBidi"/>
              <w:noProof/>
              <w:sz w:val="24"/>
              <w:szCs w:val="24"/>
            </w:rPr>
          </w:pPr>
          <w:hyperlink w:anchor="_Toc162267619" w:history="1">
            <w:r w:rsidR="00736DA9" w:rsidRPr="004372B1">
              <w:rPr>
                <w:rStyle w:val="Hyperlink"/>
                <w:noProof/>
              </w:rPr>
              <w:t>Figure 9.75: New Cases of Chronic Hepatitis C.</w:t>
            </w:r>
            <w:r w:rsidR="00736DA9">
              <w:rPr>
                <w:noProof/>
                <w:webHidden/>
              </w:rPr>
              <w:tab/>
            </w:r>
            <w:r w:rsidR="00736DA9">
              <w:rPr>
                <w:noProof/>
                <w:webHidden/>
              </w:rPr>
              <w:fldChar w:fldCharType="begin"/>
            </w:r>
            <w:r w:rsidR="00736DA9">
              <w:rPr>
                <w:noProof/>
                <w:webHidden/>
              </w:rPr>
              <w:instrText xml:space="preserve"> PAGEREF _Toc162267619 \h </w:instrText>
            </w:r>
            <w:r w:rsidR="00736DA9">
              <w:rPr>
                <w:noProof/>
                <w:webHidden/>
              </w:rPr>
            </w:r>
            <w:r w:rsidR="00736DA9">
              <w:rPr>
                <w:noProof/>
                <w:webHidden/>
              </w:rPr>
              <w:fldChar w:fldCharType="separate"/>
            </w:r>
            <w:r w:rsidR="00736DA9">
              <w:rPr>
                <w:noProof/>
                <w:webHidden/>
              </w:rPr>
              <w:t>384</w:t>
            </w:r>
            <w:r w:rsidR="00736DA9">
              <w:rPr>
                <w:noProof/>
                <w:webHidden/>
              </w:rPr>
              <w:fldChar w:fldCharType="end"/>
            </w:r>
          </w:hyperlink>
        </w:p>
        <w:p w14:paraId="5A8C2EE0" w14:textId="060B8F7F" w:rsidR="00736DA9" w:rsidRDefault="00000000">
          <w:pPr>
            <w:pStyle w:val="TOC4"/>
            <w:tabs>
              <w:tab w:val="right" w:pos="9350"/>
            </w:tabs>
            <w:rPr>
              <w:rFonts w:eastAsiaTheme="minorEastAsia" w:cstheme="minorBidi"/>
              <w:noProof/>
              <w:sz w:val="24"/>
              <w:szCs w:val="24"/>
            </w:rPr>
          </w:pPr>
          <w:hyperlink w:anchor="_Toc162267620"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_Toc162267620 \h </w:instrText>
            </w:r>
            <w:r w:rsidR="00736DA9">
              <w:rPr>
                <w:noProof/>
                <w:webHidden/>
              </w:rPr>
            </w:r>
            <w:r w:rsidR="00736DA9">
              <w:rPr>
                <w:noProof/>
                <w:webHidden/>
              </w:rPr>
              <w:fldChar w:fldCharType="separate"/>
            </w:r>
            <w:r w:rsidR="00736DA9">
              <w:rPr>
                <w:noProof/>
                <w:webHidden/>
              </w:rPr>
              <w:t>385</w:t>
            </w:r>
            <w:r w:rsidR="00736DA9">
              <w:rPr>
                <w:noProof/>
                <w:webHidden/>
              </w:rPr>
              <w:fldChar w:fldCharType="end"/>
            </w:r>
          </w:hyperlink>
        </w:p>
        <w:p w14:paraId="4EEF2961" w14:textId="19A7E420" w:rsidR="00736DA9" w:rsidRDefault="00000000">
          <w:pPr>
            <w:pStyle w:val="TOC4"/>
            <w:tabs>
              <w:tab w:val="right" w:pos="9350"/>
            </w:tabs>
            <w:rPr>
              <w:rFonts w:eastAsiaTheme="minorEastAsia" w:cstheme="minorBidi"/>
              <w:noProof/>
              <w:sz w:val="24"/>
              <w:szCs w:val="24"/>
            </w:rPr>
          </w:pPr>
          <w:hyperlink w:anchor="_Toc162267621" w:history="1">
            <w:r w:rsidR="00736DA9" w:rsidRPr="004372B1">
              <w:rPr>
                <w:rStyle w:val="Hyperlink"/>
                <w:noProof/>
              </w:rPr>
              <w:t>References 9.29</w:t>
            </w:r>
            <w:r w:rsidR="00736DA9">
              <w:rPr>
                <w:noProof/>
                <w:webHidden/>
              </w:rPr>
              <w:tab/>
            </w:r>
            <w:r w:rsidR="00736DA9">
              <w:rPr>
                <w:noProof/>
                <w:webHidden/>
              </w:rPr>
              <w:fldChar w:fldCharType="begin"/>
            </w:r>
            <w:r w:rsidR="00736DA9">
              <w:rPr>
                <w:noProof/>
                <w:webHidden/>
              </w:rPr>
              <w:instrText xml:space="preserve"> PAGEREF _Toc162267621 \h </w:instrText>
            </w:r>
            <w:r w:rsidR="00736DA9">
              <w:rPr>
                <w:noProof/>
                <w:webHidden/>
              </w:rPr>
            </w:r>
            <w:r w:rsidR="00736DA9">
              <w:rPr>
                <w:noProof/>
                <w:webHidden/>
              </w:rPr>
              <w:fldChar w:fldCharType="separate"/>
            </w:r>
            <w:r w:rsidR="00736DA9">
              <w:rPr>
                <w:noProof/>
                <w:webHidden/>
              </w:rPr>
              <w:t>385</w:t>
            </w:r>
            <w:r w:rsidR="00736DA9">
              <w:rPr>
                <w:noProof/>
                <w:webHidden/>
              </w:rPr>
              <w:fldChar w:fldCharType="end"/>
            </w:r>
          </w:hyperlink>
        </w:p>
        <w:p w14:paraId="48135E8E" w14:textId="30D11A2C" w:rsidR="00736DA9" w:rsidRDefault="00000000">
          <w:pPr>
            <w:pStyle w:val="TOC3"/>
            <w:tabs>
              <w:tab w:val="right" w:pos="9350"/>
            </w:tabs>
            <w:rPr>
              <w:rFonts w:eastAsiaTheme="minorEastAsia" w:cstheme="minorBidi"/>
              <w:noProof/>
              <w:sz w:val="24"/>
              <w:szCs w:val="24"/>
            </w:rPr>
          </w:pPr>
          <w:hyperlink w:anchor="_Toc162267622" w:history="1">
            <w:r w:rsidR="00736DA9" w:rsidRPr="004372B1">
              <w:rPr>
                <w:rStyle w:val="Hyperlink"/>
                <w:noProof/>
              </w:rPr>
              <w:t>HIV/AIDS</w:t>
            </w:r>
            <w:r w:rsidR="00736DA9">
              <w:rPr>
                <w:noProof/>
                <w:webHidden/>
              </w:rPr>
              <w:tab/>
            </w:r>
            <w:r w:rsidR="00736DA9">
              <w:rPr>
                <w:noProof/>
                <w:webHidden/>
              </w:rPr>
              <w:fldChar w:fldCharType="begin"/>
            </w:r>
            <w:r w:rsidR="00736DA9">
              <w:rPr>
                <w:noProof/>
                <w:webHidden/>
              </w:rPr>
              <w:instrText xml:space="preserve"> PAGEREF _Toc162267622 \h </w:instrText>
            </w:r>
            <w:r w:rsidR="00736DA9">
              <w:rPr>
                <w:noProof/>
                <w:webHidden/>
              </w:rPr>
            </w:r>
            <w:r w:rsidR="00736DA9">
              <w:rPr>
                <w:noProof/>
                <w:webHidden/>
              </w:rPr>
              <w:fldChar w:fldCharType="separate"/>
            </w:r>
            <w:r w:rsidR="00736DA9">
              <w:rPr>
                <w:noProof/>
                <w:webHidden/>
              </w:rPr>
              <w:t>385</w:t>
            </w:r>
            <w:r w:rsidR="00736DA9">
              <w:rPr>
                <w:noProof/>
                <w:webHidden/>
              </w:rPr>
              <w:fldChar w:fldCharType="end"/>
            </w:r>
          </w:hyperlink>
        </w:p>
        <w:p w14:paraId="2A1F5224" w14:textId="2BB712DD" w:rsidR="00736DA9" w:rsidRDefault="00000000">
          <w:pPr>
            <w:pStyle w:val="TOC4"/>
            <w:tabs>
              <w:tab w:val="right" w:pos="9350"/>
            </w:tabs>
            <w:rPr>
              <w:rFonts w:eastAsiaTheme="minorEastAsia" w:cstheme="minorBidi"/>
              <w:noProof/>
              <w:sz w:val="24"/>
              <w:szCs w:val="24"/>
            </w:rPr>
          </w:pPr>
          <w:hyperlink w:anchor="_Toc162267623" w:history="1">
            <w:r w:rsidR="00736DA9" w:rsidRPr="004372B1">
              <w:rPr>
                <w:rStyle w:val="Hyperlink"/>
                <w:noProof/>
              </w:rPr>
              <w:t>Figure 9.76: HIV/AIDS Incidence, Prevalence and Deaths.</w:t>
            </w:r>
            <w:r w:rsidR="00736DA9">
              <w:rPr>
                <w:noProof/>
                <w:webHidden/>
              </w:rPr>
              <w:tab/>
            </w:r>
            <w:r w:rsidR="00736DA9">
              <w:rPr>
                <w:noProof/>
                <w:webHidden/>
              </w:rPr>
              <w:fldChar w:fldCharType="begin"/>
            </w:r>
            <w:r w:rsidR="00736DA9">
              <w:rPr>
                <w:noProof/>
                <w:webHidden/>
              </w:rPr>
              <w:instrText xml:space="preserve"> PAGEREF _Toc162267623 \h </w:instrText>
            </w:r>
            <w:r w:rsidR="00736DA9">
              <w:rPr>
                <w:noProof/>
                <w:webHidden/>
              </w:rPr>
            </w:r>
            <w:r w:rsidR="00736DA9">
              <w:rPr>
                <w:noProof/>
                <w:webHidden/>
              </w:rPr>
              <w:fldChar w:fldCharType="separate"/>
            </w:r>
            <w:r w:rsidR="00736DA9">
              <w:rPr>
                <w:noProof/>
                <w:webHidden/>
              </w:rPr>
              <w:t>386</w:t>
            </w:r>
            <w:r w:rsidR="00736DA9">
              <w:rPr>
                <w:noProof/>
                <w:webHidden/>
              </w:rPr>
              <w:fldChar w:fldCharType="end"/>
            </w:r>
          </w:hyperlink>
        </w:p>
        <w:p w14:paraId="0E9EFFC7" w14:textId="12732294" w:rsidR="00736DA9" w:rsidRDefault="00000000">
          <w:pPr>
            <w:pStyle w:val="TOC4"/>
            <w:tabs>
              <w:tab w:val="right" w:pos="9350"/>
            </w:tabs>
            <w:rPr>
              <w:rFonts w:eastAsiaTheme="minorEastAsia" w:cstheme="minorBidi"/>
              <w:noProof/>
              <w:sz w:val="24"/>
              <w:szCs w:val="24"/>
            </w:rPr>
          </w:pPr>
          <w:hyperlink w:anchor="_Toc162267624" w:history="1">
            <w:r w:rsidR="00736DA9" w:rsidRPr="004372B1">
              <w:rPr>
                <w:rStyle w:val="Hyperlink"/>
                <w:noProof/>
              </w:rPr>
              <w:t>Figure 9.77: HIV/AIDS Cases, by Sex.</w:t>
            </w:r>
            <w:r w:rsidR="00736DA9">
              <w:rPr>
                <w:noProof/>
                <w:webHidden/>
              </w:rPr>
              <w:tab/>
            </w:r>
            <w:r w:rsidR="00736DA9">
              <w:rPr>
                <w:noProof/>
                <w:webHidden/>
              </w:rPr>
              <w:fldChar w:fldCharType="begin"/>
            </w:r>
            <w:r w:rsidR="00736DA9">
              <w:rPr>
                <w:noProof/>
                <w:webHidden/>
              </w:rPr>
              <w:instrText xml:space="preserve"> PAGEREF _Toc162267624 \h </w:instrText>
            </w:r>
            <w:r w:rsidR="00736DA9">
              <w:rPr>
                <w:noProof/>
                <w:webHidden/>
              </w:rPr>
            </w:r>
            <w:r w:rsidR="00736DA9">
              <w:rPr>
                <w:noProof/>
                <w:webHidden/>
              </w:rPr>
              <w:fldChar w:fldCharType="separate"/>
            </w:r>
            <w:r w:rsidR="00736DA9">
              <w:rPr>
                <w:noProof/>
                <w:webHidden/>
              </w:rPr>
              <w:t>387</w:t>
            </w:r>
            <w:r w:rsidR="00736DA9">
              <w:rPr>
                <w:noProof/>
                <w:webHidden/>
              </w:rPr>
              <w:fldChar w:fldCharType="end"/>
            </w:r>
          </w:hyperlink>
        </w:p>
        <w:p w14:paraId="04C740D3" w14:textId="7237967C" w:rsidR="00736DA9" w:rsidRDefault="00000000">
          <w:pPr>
            <w:pStyle w:val="TOC4"/>
            <w:tabs>
              <w:tab w:val="right" w:pos="9350"/>
            </w:tabs>
            <w:rPr>
              <w:rFonts w:eastAsiaTheme="minorEastAsia" w:cstheme="minorBidi"/>
              <w:noProof/>
              <w:sz w:val="24"/>
              <w:szCs w:val="24"/>
            </w:rPr>
          </w:pPr>
          <w:hyperlink w:anchor="_Toc162267625" w:history="1">
            <w:r w:rsidR="00736DA9" w:rsidRPr="004372B1">
              <w:rPr>
                <w:rStyle w:val="Hyperlink"/>
                <w:noProof/>
              </w:rPr>
              <w:t>Figure 9.78: HIV/AIDS Cases, by Age Group.</w:t>
            </w:r>
            <w:r w:rsidR="00736DA9">
              <w:rPr>
                <w:noProof/>
                <w:webHidden/>
              </w:rPr>
              <w:tab/>
            </w:r>
            <w:r w:rsidR="00736DA9">
              <w:rPr>
                <w:noProof/>
                <w:webHidden/>
              </w:rPr>
              <w:fldChar w:fldCharType="begin"/>
            </w:r>
            <w:r w:rsidR="00736DA9">
              <w:rPr>
                <w:noProof/>
                <w:webHidden/>
              </w:rPr>
              <w:instrText xml:space="preserve"> PAGEREF _Toc162267625 \h </w:instrText>
            </w:r>
            <w:r w:rsidR="00736DA9">
              <w:rPr>
                <w:noProof/>
                <w:webHidden/>
              </w:rPr>
            </w:r>
            <w:r w:rsidR="00736DA9">
              <w:rPr>
                <w:noProof/>
                <w:webHidden/>
              </w:rPr>
              <w:fldChar w:fldCharType="separate"/>
            </w:r>
            <w:r w:rsidR="00736DA9">
              <w:rPr>
                <w:noProof/>
                <w:webHidden/>
              </w:rPr>
              <w:t>387</w:t>
            </w:r>
            <w:r w:rsidR="00736DA9">
              <w:rPr>
                <w:noProof/>
                <w:webHidden/>
              </w:rPr>
              <w:fldChar w:fldCharType="end"/>
            </w:r>
          </w:hyperlink>
        </w:p>
        <w:p w14:paraId="6B0E95B9" w14:textId="3C5EACF9" w:rsidR="00736DA9" w:rsidRDefault="00000000">
          <w:pPr>
            <w:pStyle w:val="TOC4"/>
            <w:tabs>
              <w:tab w:val="right" w:pos="9350"/>
            </w:tabs>
            <w:rPr>
              <w:rFonts w:eastAsiaTheme="minorEastAsia" w:cstheme="minorBidi"/>
              <w:noProof/>
              <w:sz w:val="24"/>
              <w:szCs w:val="24"/>
            </w:rPr>
          </w:pPr>
          <w:hyperlink w:anchor="_Toc162267626"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_Toc162267626 \h </w:instrText>
            </w:r>
            <w:r w:rsidR="00736DA9">
              <w:rPr>
                <w:noProof/>
                <w:webHidden/>
              </w:rPr>
            </w:r>
            <w:r w:rsidR="00736DA9">
              <w:rPr>
                <w:noProof/>
                <w:webHidden/>
              </w:rPr>
              <w:fldChar w:fldCharType="separate"/>
            </w:r>
            <w:r w:rsidR="00736DA9">
              <w:rPr>
                <w:noProof/>
                <w:webHidden/>
              </w:rPr>
              <w:t>387</w:t>
            </w:r>
            <w:r w:rsidR="00736DA9">
              <w:rPr>
                <w:noProof/>
                <w:webHidden/>
              </w:rPr>
              <w:fldChar w:fldCharType="end"/>
            </w:r>
          </w:hyperlink>
        </w:p>
        <w:p w14:paraId="2992C774" w14:textId="30A9771A" w:rsidR="00736DA9" w:rsidRDefault="00000000">
          <w:pPr>
            <w:pStyle w:val="TOC4"/>
            <w:tabs>
              <w:tab w:val="right" w:pos="9350"/>
            </w:tabs>
            <w:rPr>
              <w:rFonts w:eastAsiaTheme="minorEastAsia" w:cstheme="minorBidi"/>
              <w:noProof/>
              <w:sz w:val="24"/>
              <w:szCs w:val="24"/>
            </w:rPr>
          </w:pPr>
          <w:hyperlink w:anchor="_Toc162267627" w:history="1">
            <w:r w:rsidR="00736DA9" w:rsidRPr="004372B1">
              <w:rPr>
                <w:rStyle w:val="Hyperlink"/>
                <w:noProof/>
              </w:rPr>
              <w:t>References 9.30</w:t>
            </w:r>
            <w:r w:rsidR="00736DA9">
              <w:rPr>
                <w:noProof/>
                <w:webHidden/>
              </w:rPr>
              <w:tab/>
            </w:r>
            <w:r w:rsidR="00736DA9">
              <w:rPr>
                <w:noProof/>
                <w:webHidden/>
              </w:rPr>
              <w:fldChar w:fldCharType="begin"/>
            </w:r>
            <w:r w:rsidR="00736DA9">
              <w:rPr>
                <w:noProof/>
                <w:webHidden/>
              </w:rPr>
              <w:instrText xml:space="preserve"> PAGEREF _Toc162267627 \h </w:instrText>
            </w:r>
            <w:r w:rsidR="00736DA9">
              <w:rPr>
                <w:noProof/>
                <w:webHidden/>
              </w:rPr>
            </w:r>
            <w:r w:rsidR="00736DA9">
              <w:rPr>
                <w:noProof/>
                <w:webHidden/>
              </w:rPr>
              <w:fldChar w:fldCharType="separate"/>
            </w:r>
            <w:r w:rsidR="00736DA9">
              <w:rPr>
                <w:noProof/>
                <w:webHidden/>
              </w:rPr>
              <w:t>388</w:t>
            </w:r>
            <w:r w:rsidR="00736DA9">
              <w:rPr>
                <w:noProof/>
                <w:webHidden/>
              </w:rPr>
              <w:fldChar w:fldCharType="end"/>
            </w:r>
          </w:hyperlink>
        </w:p>
        <w:p w14:paraId="7EFA8088" w14:textId="6F6A9707" w:rsidR="00736DA9" w:rsidRDefault="00000000">
          <w:pPr>
            <w:pStyle w:val="TOC2"/>
            <w:tabs>
              <w:tab w:val="right" w:pos="9350"/>
            </w:tabs>
            <w:rPr>
              <w:rFonts w:eastAsiaTheme="minorEastAsia" w:cstheme="minorBidi"/>
              <w:b w:val="0"/>
              <w:bCs w:val="0"/>
              <w:noProof/>
              <w:sz w:val="24"/>
              <w:szCs w:val="24"/>
            </w:rPr>
          </w:pPr>
          <w:hyperlink w:anchor="_Toc162267628" w:history="1">
            <w:r w:rsidR="00736DA9" w:rsidRPr="004372B1">
              <w:rPr>
                <w:rStyle w:val="Hyperlink"/>
                <w:noProof/>
              </w:rPr>
              <w:t>Chapter 10: Healthy Aging</w:t>
            </w:r>
            <w:r w:rsidR="00736DA9">
              <w:rPr>
                <w:noProof/>
                <w:webHidden/>
              </w:rPr>
              <w:tab/>
            </w:r>
            <w:r w:rsidR="00736DA9">
              <w:rPr>
                <w:noProof/>
                <w:webHidden/>
              </w:rPr>
              <w:fldChar w:fldCharType="begin"/>
            </w:r>
            <w:r w:rsidR="00736DA9">
              <w:rPr>
                <w:noProof/>
                <w:webHidden/>
              </w:rPr>
              <w:instrText xml:space="preserve"> PAGEREF _Toc162267628 \h </w:instrText>
            </w:r>
            <w:r w:rsidR="00736DA9">
              <w:rPr>
                <w:noProof/>
                <w:webHidden/>
              </w:rPr>
            </w:r>
            <w:r w:rsidR="00736DA9">
              <w:rPr>
                <w:noProof/>
                <w:webHidden/>
              </w:rPr>
              <w:fldChar w:fldCharType="separate"/>
            </w:r>
            <w:r w:rsidR="00736DA9">
              <w:rPr>
                <w:noProof/>
                <w:webHidden/>
              </w:rPr>
              <w:t>390</w:t>
            </w:r>
            <w:r w:rsidR="00736DA9">
              <w:rPr>
                <w:noProof/>
                <w:webHidden/>
              </w:rPr>
              <w:fldChar w:fldCharType="end"/>
            </w:r>
          </w:hyperlink>
        </w:p>
        <w:p w14:paraId="6B21E7FA" w14:textId="7821086E" w:rsidR="00736DA9" w:rsidRDefault="00000000">
          <w:pPr>
            <w:pStyle w:val="TOC3"/>
            <w:tabs>
              <w:tab w:val="right" w:pos="9350"/>
            </w:tabs>
            <w:rPr>
              <w:rFonts w:eastAsiaTheme="minorEastAsia" w:cstheme="minorBidi"/>
              <w:noProof/>
              <w:sz w:val="24"/>
              <w:szCs w:val="24"/>
            </w:rPr>
          </w:pPr>
          <w:hyperlink w:anchor="_Toc162267629" w:history="1">
            <w:r w:rsidR="00736DA9" w:rsidRPr="004372B1">
              <w:rPr>
                <w:rStyle w:val="Hyperlink"/>
                <w:noProof/>
              </w:rPr>
              <w:t>Leading Causes of Death and Hospitalizations</w:t>
            </w:r>
            <w:r w:rsidR="00736DA9">
              <w:rPr>
                <w:noProof/>
                <w:webHidden/>
              </w:rPr>
              <w:tab/>
            </w:r>
            <w:r w:rsidR="00736DA9">
              <w:rPr>
                <w:noProof/>
                <w:webHidden/>
              </w:rPr>
              <w:fldChar w:fldCharType="begin"/>
            </w:r>
            <w:r w:rsidR="00736DA9">
              <w:rPr>
                <w:noProof/>
                <w:webHidden/>
              </w:rPr>
              <w:instrText xml:space="preserve"> PAGEREF _Toc162267629 \h </w:instrText>
            </w:r>
            <w:r w:rsidR="00736DA9">
              <w:rPr>
                <w:noProof/>
                <w:webHidden/>
              </w:rPr>
            </w:r>
            <w:r w:rsidR="00736DA9">
              <w:rPr>
                <w:noProof/>
                <w:webHidden/>
              </w:rPr>
              <w:fldChar w:fldCharType="separate"/>
            </w:r>
            <w:r w:rsidR="00736DA9">
              <w:rPr>
                <w:noProof/>
                <w:webHidden/>
              </w:rPr>
              <w:t>390</w:t>
            </w:r>
            <w:r w:rsidR="00736DA9">
              <w:rPr>
                <w:noProof/>
                <w:webHidden/>
              </w:rPr>
              <w:fldChar w:fldCharType="end"/>
            </w:r>
          </w:hyperlink>
        </w:p>
        <w:p w14:paraId="0ECD445B" w14:textId="6414A8B6" w:rsidR="00736DA9" w:rsidRDefault="00000000">
          <w:pPr>
            <w:pStyle w:val="TOC4"/>
            <w:tabs>
              <w:tab w:val="right" w:pos="9350"/>
            </w:tabs>
            <w:rPr>
              <w:rFonts w:eastAsiaTheme="minorEastAsia" w:cstheme="minorBidi"/>
              <w:noProof/>
              <w:sz w:val="24"/>
              <w:szCs w:val="24"/>
            </w:rPr>
          </w:pPr>
          <w:hyperlink w:anchor="_Toc162267630" w:history="1">
            <w:r w:rsidR="00736DA9" w:rsidRPr="004372B1">
              <w:rPr>
                <w:rStyle w:val="Hyperlink"/>
                <w:noProof/>
              </w:rPr>
              <w:t>Figure 10.1: Leading Causes of Hospitalizations Among Those 65+.</w:t>
            </w:r>
            <w:r w:rsidR="00736DA9">
              <w:rPr>
                <w:noProof/>
                <w:webHidden/>
              </w:rPr>
              <w:tab/>
            </w:r>
            <w:r w:rsidR="00736DA9">
              <w:rPr>
                <w:noProof/>
                <w:webHidden/>
              </w:rPr>
              <w:fldChar w:fldCharType="begin"/>
            </w:r>
            <w:r w:rsidR="00736DA9">
              <w:rPr>
                <w:noProof/>
                <w:webHidden/>
              </w:rPr>
              <w:instrText xml:space="preserve"> PAGEREF _Toc162267630 \h </w:instrText>
            </w:r>
            <w:r w:rsidR="00736DA9">
              <w:rPr>
                <w:noProof/>
                <w:webHidden/>
              </w:rPr>
            </w:r>
            <w:r w:rsidR="00736DA9">
              <w:rPr>
                <w:noProof/>
                <w:webHidden/>
              </w:rPr>
              <w:fldChar w:fldCharType="separate"/>
            </w:r>
            <w:r w:rsidR="00736DA9">
              <w:rPr>
                <w:noProof/>
                <w:webHidden/>
              </w:rPr>
              <w:t>390</w:t>
            </w:r>
            <w:r w:rsidR="00736DA9">
              <w:rPr>
                <w:noProof/>
                <w:webHidden/>
              </w:rPr>
              <w:fldChar w:fldCharType="end"/>
            </w:r>
          </w:hyperlink>
        </w:p>
        <w:p w14:paraId="73C40523" w14:textId="210B3139" w:rsidR="00736DA9" w:rsidRDefault="00000000">
          <w:pPr>
            <w:pStyle w:val="TOC4"/>
            <w:tabs>
              <w:tab w:val="right" w:pos="9350"/>
            </w:tabs>
            <w:rPr>
              <w:rFonts w:eastAsiaTheme="minorEastAsia" w:cstheme="minorBidi"/>
              <w:noProof/>
              <w:sz w:val="24"/>
              <w:szCs w:val="24"/>
            </w:rPr>
          </w:pPr>
          <w:hyperlink w:anchor="_Toc162267631" w:history="1">
            <w:r w:rsidR="00736DA9" w:rsidRPr="004372B1">
              <w:rPr>
                <w:rStyle w:val="Hyperlink"/>
                <w:noProof/>
              </w:rPr>
              <w:t>Table 10.1: Leading Causes of Death, by Age Group.</w:t>
            </w:r>
            <w:r w:rsidR="00736DA9">
              <w:rPr>
                <w:noProof/>
                <w:webHidden/>
              </w:rPr>
              <w:tab/>
            </w:r>
            <w:r w:rsidR="00736DA9">
              <w:rPr>
                <w:noProof/>
                <w:webHidden/>
              </w:rPr>
              <w:fldChar w:fldCharType="begin"/>
            </w:r>
            <w:r w:rsidR="00736DA9">
              <w:rPr>
                <w:noProof/>
                <w:webHidden/>
              </w:rPr>
              <w:instrText xml:space="preserve"> PAGEREF _Toc162267631 \h </w:instrText>
            </w:r>
            <w:r w:rsidR="00736DA9">
              <w:rPr>
                <w:noProof/>
                <w:webHidden/>
              </w:rPr>
            </w:r>
            <w:r w:rsidR="00736DA9">
              <w:rPr>
                <w:noProof/>
                <w:webHidden/>
              </w:rPr>
              <w:fldChar w:fldCharType="separate"/>
            </w:r>
            <w:r w:rsidR="00736DA9">
              <w:rPr>
                <w:noProof/>
                <w:webHidden/>
              </w:rPr>
              <w:t>391</w:t>
            </w:r>
            <w:r w:rsidR="00736DA9">
              <w:rPr>
                <w:noProof/>
                <w:webHidden/>
              </w:rPr>
              <w:fldChar w:fldCharType="end"/>
            </w:r>
          </w:hyperlink>
        </w:p>
        <w:p w14:paraId="420604C1" w14:textId="3F378694" w:rsidR="00736DA9" w:rsidRDefault="00000000">
          <w:pPr>
            <w:pStyle w:val="TOC4"/>
            <w:tabs>
              <w:tab w:val="right" w:pos="9350"/>
            </w:tabs>
            <w:rPr>
              <w:rFonts w:eastAsiaTheme="minorEastAsia" w:cstheme="minorBidi"/>
              <w:noProof/>
              <w:sz w:val="24"/>
              <w:szCs w:val="24"/>
            </w:rPr>
          </w:pPr>
          <w:hyperlink w:anchor="_Toc162267632"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_Toc162267632 \h </w:instrText>
            </w:r>
            <w:r w:rsidR="00736DA9">
              <w:rPr>
                <w:noProof/>
                <w:webHidden/>
              </w:rPr>
            </w:r>
            <w:r w:rsidR="00736DA9">
              <w:rPr>
                <w:noProof/>
                <w:webHidden/>
              </w:rPr>
              <w:fldChar w:fldCharType="separate"/>
            </w:r>
            <w:r w:rsidR="00736DA9">
              <w:rPr>
                <w:noProof/>
                <w:webHidden/>
              </w:rPr>
              <w:t>392</w:t>
            </w:r>
            <w:r w:rsidR="00736DA9">
              <w:rPr>
                <w:noProof/>
                <w:webHidden/>
              </w:rPr>
              <w:fldChar w:fldCharType="end"/>
            </w:r>
          </w:hyperlink>
        </w:p>
        <w:p w14:paraId="7BF12F4F" w14:textId="53112783" w:rsidR="00736DA9" w:rsidRDefault="00000000">
          <w:pPr>
            <w:pStyle w:val="TOC4"/>
            <w:tabs>
              <w:tab w:val="right" w:pos="9350"/>
            </w:tabs>
            <w:rPr>
              <w:rFonts w:eastAsiaTheme="minorEastAsia" w:cstheme="minorBidi"/>
              <w:noProof/>
              <w:sz w:val="24"/>
              <w:szCs w:val="24"/>
            </w:rPr>
          </w:pPr>
          <w:hyperlink w:anchor="_Toc162267633" w:history="1">
            <w:r w:rsidR="00736DA9" w:rsidRPr="004372B1">
              <w:rPr>
                <w:rStyle w:val="Hyperlink"/>
                <w:noProof/>
              </w:rPr>
              <w:t>References 10.1</w:t>
            </w:r>
            <w:r w:rsidR="00736DA9">
              <w:rPr>
                <w:noProof/>
                <w:webHidden/>
              </w:rPr>
              <w:tab/>
            </w:r>
            <w:r w:rsidR="00736DA9">
              <w:rPr>
                <w:noProof/>
                <w:webHidden/>
              </w:rPr>
              <w:fldChar w:fldCharType="begin"/>
            </w:r>
            <w:r w:rsidR="00736DA9">
              <w:rPr>
                <w:noProof/>
                <w:webHidden/>
              </w:rPr>
              <w:instrText xml:space="preserve"> PAGEREF _Toc162267633 \h </w:instrText>
            </w:r>
            <w:r w:rsidR="00736DA9">
              <w:rPr>
                <w:noProof/>
                <w:webHidden/>
              </w:rPr>
            </w:r>
            <w:r w:rsidR="00736DA9">
              <w:rPr>
                <w:noProof/>
                <w:webHidden/>
              </w:rPr>
              <w:fldChar w:fldCharType="separate"/>
            </w:r>
            <w:r w:rsidR="00736DA9">
              <w:rPr>
                <w:noProof/>
                <w:webHidden/>
              </w:rPr>
              <w:t>393</w:t>
            </w:r>
            <w:r w:rsidR="00736DA9">
              <w:rPr>
                <w:noProof/>
                <w:webHidden/>
              </w:rPr>
              <w:fldChar w:fldCharType="end"/>
            </w:r>
          </w:hyperlink>
        </w:p>
        <w:p w14:paraId="6EB0E9AD" w14:textId="0F353AE2" w:rsidR="00736DA9" w:rsidRDefault="00000000">
          <w:pPr>
            <w:pStyle w:val="TOC3"/>
            <w:tabs>
              <w:tab w:val="right" w:pos="9350"/>
            </w:tabs>
            <w:rPr>
              <w:rFonts w:eastAsiaTheme="minorEastAsia" w:cstheme="minorBidi"/>
              <w:noProof/>
              <w:sz w:val="24"/>
              <w:szCs w:val="24"/>
            </w:rPr>
          </w:pPr>
          <w:hyperlink w:anchor="_Toc162267634" w:history="1">
            <w:r w:rsidR="00736DA9" w:rsidRPr="004372B1">
              <w:rPr>
                <w:rStyle w:val="Hyperlink"/>
                <w:noProof/>
              </w:rPr>
              <w:t>Multiple Chronic Conditions</w:t>
            </w:r>
            <w:r w:rsidR="00736DA9">
              <w:rPr>
                <w:noProof/>
                <w:webHidden/>
              </w:rPr>
              <w:tab/>
            </w:r>
            <w:r w:rsidR="00736DA9">
              <w:rPr>
                <w:noProof/>
                <w:webHidden/>
              </w:rPr>
              <w:fldChar w:fldCharType="begin"/>
            </w:r>
            <w:r w:rsidR="00736DA9">
              <w:rPr>
                <w:noProof/>
                <w:webHidden/>
              </w:rPr>
              <w:instrText xml:space="preserve"> PAGEREF _Toc162267634 \h </w:instrText>
            </w:r>
            <w:r w:rsidR="00736DA9">
              <w:rPr>
                <w:noProof/>
                <w:webHidden/>
              </w:rPr>
            </w:r>
            <w:r w:rsidR="00736DA9">
              <w:rPr>
                <w:noProof/>
                <w:webHidden/>
              </w:rPr>
              <w:fldChar w:fldCharType="separate"/>
            </w:r>
            <w:r w:rsidR="00736DA9">
              <w:rPr>
                <w:noProof/>
                <w:webHidden/>
              </w:rPr>
              <w:t>393</w:t>
            </w:r>
            <w:r w:rsidR="00736DA9">
              <w:rPr>
                <w:noProof/>
                <w:webHidden/>
              </w:rPr>
              <w:fldChar w:fldCharType="end"/>
            </w:r>
          </w:hyperlink>
        </w:p>
        <w:p w14:paraId="140174FB" w14:textId="3935E53F" w:rsidR="00736DA9" w:rsidRDefault="00000000">
          <w:pPr>
            <w:pStyle w:val="TOC4"/>
            <w:tabs>
              <w:tab w:val="right" w:pos="9350"/>
            </w:tabs>
            <w:rPr>
              <w:rFonts w:eastAsiaTheme="minorEastAsia" w:cstheme="minorBidi"/>
              <w:noProof/>
              <w:sz w:val="24"/>
              <w:szCs w:val="24"/>
            </w:rPr>
          </w:pPr>
          <w:hyperlink w:anchor="_Toc162267635" w:history="1">
            <w:r w:rsidR="00736DA9" w:rsidRPr="004372B1">
              <w:rPr>
                <w:rStyle w:val="Hyperlink"/>
                <w:noProof/>
              </w:rPr>
              <w:t>Figure 10.2: Adults 65+ Diagnosed with Multiple Chronic Conditions, by Race/Ethnicity.</w:t>
            </w:r>
            <w:r w:rsidR="00736DA9">
              <w:rPr>
                <w:noProof/>
                <w:webHidden/>
              </w:rPr>
              <w:tab/>
            </w:r>
            <w:r w:rsidR="00736DA9">
              <w:rPr>
                <w:noProof/>
                <w:webHidden/>
              </w:rPr>
              <w:fldChar w:fldCharType="begin"/>
            </w:r>
            <w:r w:rsidR="00736DA9">
              <w:rPr>
                <w:noProof/>
                <w:webHidden/>
              </w:rPr>
              <w:instrText xml:space="preserve"> PAGEREF _Toc162267635 \h </w:instrText>
            </w:r>
            <w:r w:rsidR="00736DA9">
              <w:rPr>
                <w:noProof/>
                <w:webHidden/>
              </w:rPr>
            </w:r>
            <w:r w:rsidR="00736DA9">
              <w:rPr>
                <w:noProof/>
                <w:webHidden/>
              </w:rPr>
              <w:fldChar w:fldCharType="separate"/>
            </w:r>
            <w:r w:rsidR="00736DA9">
              <w:rPr>
                <w:noProof/>
                <w:webHidden/>
              </w:rPr>
              <w:t>394</w:t>
            </w:r>
            <w:r w:rsidR="00736DA9">
              <w:rPr>
                <w:noProof/>
                <w:webHidden/>
              </w:rPr>
              <w:fldChar w:fldCharType="end"/>
            </w:r>
          </w:hyperlink>
        </w:p>
        <w:p w14:paraId="16F180A7" w14:textId="5EF1C8A3" w:rsidR="00736DA9" w:rsidRDefault="00000000">
          <w:pPr>
            <w:pStyle w:val="TOC4"/>
            <w:tabs>
              <w:tab w:val="right" w:pos="9350"/>
            </w:tabs>
            <w:rPr>
              <w:rFonts w:eastAsiaTheme="minorEastAsia" w:cstheme="minorBidi"/>
              <w:noProof/>
              <w:sz w:val="24"/>
              <w:szCs w:val="24"/>
            </w:rPr>
          </w:pPr>
          <w:hyperlink w:anchor="_Toc162267636" w:history="1">
            <w:r w:rsidR="00736DA9" w:rsidRPr="004372B1">
              <w:rPr>
                <w:rStyle w:val="Hyperlink"/>
                <w:noProof/>
              </w:rPr>
              <w:t>Figure 10.3: Adults 65+ Diagnosed with Multiple Chronic Conditions, by Disability Status.</w:t>
            </w:r>
            <w:r w:rsidR="00736DA9">
              <w:rPr>
                <w:noProof/>
                <w:webHidden/>
              </w:rPr>
              <w:tab/>
            </w:r>
            <w:r w:rsidR="00736DA9">
              <w:rPr>
                <w:noProof/>
                <w:webHidden/>
              </w:rPr>
              <w:fldChar w:fldCharType="begin"/>
            </w:r>
            <w:r w:rsidR="00736DA9">
              <w:rPr>
                <w:noProof/>
                <w:webHidden/>
              </w:rPr>
              <w:instrText xml:space="preserve"> PAGEREF _Toc162267636 \h </w:instrText>
            </w:r>
            <w:r w:rsidR="00736DA9">
              <w:rPr>
                <w:noProof/>
                <w:webHidden/>
              </w:rPr>
            </w:r>
            <w:r w:rsidR="00736DA9">
              <w:rPr>
                <w:noProof/>
                <w:webHidden/>
              </w:rPr>
              <w:fldChar w:fldCharType="separate"/>
            </w:r>
            <w:r w:rsidR="00736DA9">
              <w:rPr>
                <w:noProof/>
                <w:webHidden/>
              </w:rPr>
              <w:t>394</w:t>
            </w:r>
            <w:r w:rsidR="00736DA9">
              <w:rPr>
                <w:noProof/>
                <w:webHidden/>
              </w:rPr>
              <w:fldChar w:fldCharType="end"/>
            </w:r>
          </w:hyperlink>
        </w:p>
        <w:p w14:paraId="49E13460" w14:textId="355FA77E" w:rsidR="00736DA9" w:rsidRDefault="00000000">
          <w:pPr>
            <w:pStyle w:val="TOC4"/>
            <w:tabs>
              <w:tab w:val="right" w:pos="9350"/>
            </w:tabs>
            <w:rPr>
              <w:rFonts w:eastAsiaTheme="minorEastAsia" w:cstheme="minorBidi"/>
              <w:noProof/>
              <w:sz w:val="24"/>
              <w:szCs w:val="24"/>
            </w:rPr>
          </w:pPr>
          <w:hyperlink w:anchor="_Toc162267637"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_Toc162267637 \h </w:instrText>
            </w:r>
            <w:r w:rsidR="00736DA9">
              <w:rPr>
                <w:noProof/>
                <w:webHidden/>
              </w:rPr>
            </w:r>
            <w:r w:rsidR="00736DA9">
              <w:rPr>
                <w:noProof/>
                <w:webHidden/>
              </w:rPr>
              <w:fldChar w:fldCharType="separate"/>
            </w:r>
            <w:r w:rsidR="00736DA9">
              <w:rPr>
                <w:noProof/>
                <w:webHidden/>
              </w:rPr>
              <w:t>394</w:t>
            </w:r>
            <w:r w:rsidR="00736DA9">
              <w:rPr>
                <w:noProof/>
                <w:webHidden/>
              </w:rPr>
              <w:fldChar w:fldCharType="end"/>
            </w:r>
          </w:hyperlink>
        </w:p>
        <w:p w14:paraId="5FA31912" w14:textId="0F174737" w:rsidR="00736DA9" w:rsidRDefault="00000000">
          <w:pPr>
            <w:pStyle w:val="TOC4"/>
            <w:tabs>
              <w:tab w:val="right" w:pos="9350"/>
            </w:tabs>
            <w:rPr>
              <w:rFonts w:eastAsiaTheme="minorEastAsia" w:cstheme="minorBidi"/>
              <w:noProof/>
              <w:sz w:val="24"/>
              <w:szCs w:val="24"/>
            </w:rPr>
          </w:pPr>
          <w:hyperlink w:anchor="_Toc162267638" w:history="1">
            <w:r w:rsidR="00736DA9" w:rsidRPr="004372B1">
              <w:rPr>
                <w:rStyle w:val="Hyperlink"/>
                <w:noProof/>
              </w:rPr>
              <w:t>References 10.2</w:t>
            </w:r>
            <w:r w:rsidR="00736DA9">
              <w:rPr>
                <w:noProof/>
                <w:webHidden/>
              </w:rPr>
              <w:tab/>
            </w:r>
            <w:r w:rsidR="00736DA9">
              <w:rPr>
                <w:noProof/>
                <w:webHidden/>
              </w:rPr>
              <w:fldChar w:fldCharType="begin"/>
            </w:r>
            <w:r w:rsidR="00736DA9">
              <w:rPr>
                <w:noProof/>
                <w:webHidden/>
              </w:rPr>
              <w:instrText xml:space="preserve"> PAGEREF _Toc162267638 \h </w:instrText>
            </w:r>
            <w:r w:rsidR="00736DA9">
              <w:rPr>
                <w:noProof/>
                <w:webHidden/>
              </w:rPr>
            </w:r>
            <w:r w:rsidR="00736DA9">
              <w:rPr>
                <w:noProof/>
                <w:webHidden/>
              </w:rPr>
              <w:fldChar w:fldCharType="separate"/>
            </w:r>
            <w:r w:rsidR="00736DA9">
              <w:rPr>
                <w:noProof/>
                <w:webHidden/>
              </w:rPr>
              <w:t>395</w:t>
            </w:r>
            <w:r w:rsidR="00736DA9">
              <w:rPr>
                <w:noProof/>
                <w:webHidden/>
              </w:rPr>
              <w:fldChar w:fldCharType="end"/>
            </w:r>
          </w:hyperlink>
        </w:p>
        <w:p w14:paraId="0F05AB59" w14:textId="14676116" w:rsidR="00736DA9" w:rsidRDefault="00000000">
          <w:pPr>
            <w:pStyle w:val="TOC3"/>
            <w:tabs>
              <w:tab w:val="right" w:pos="9350"/>
            </w:tabs>
            <w:rPr>
              <w:rFonts w:eastAsiaTheme="minorEastAsia" w:cstheme="minorBidi"/>
              <w:noProof/>
              <w:sz w:val="24"/>
              <w:szCs w:val="24"/>
            </w:rPr>
          </w:pPr>
          <w:hyperlink w:anchor="_Toc162267639" w:history="1">
            <w:r w:rsidR="00736DA9" w:rsidRPr="004372B1">
              <w:rPr>
                <w:rStyle w:val="Hyperlink"/>
                <w:noProof/>
              </w:rPr>
              <w:t>Stroke</w:t>
            </w:r>
            <w:r w:rsidR="00736DA9">
              <w:rPr>
                <w:noProof/>
                <w:webHidden/>
              </w:rPr>
              <w:tab/>
            </w:r>
            <w:r w:rsidR="00736DA9">
              <w:rPr>
                <w:noProof/>
                <w:webHidden/>
              </w:rPr>
              <w:fldChar w:fldCharType="begin"/>
            </w:r>
            <w:r w:rsidR="00736DA9">
              <w:rPr>
                <w:noProof/>
                <w:webHidden/>
              </w:rPr>
              <w:instrText xml:space="preserve"> PAGEREF _Toc162267639 \h </w:instrText>
            </w:r>
            <w:r w:rsidR="00736DA9">
              <w:rPr>
                <w:noProof/>
                <w:webHidden/>
              </w:rPr>
            </w:r>
            <w:r w:rsidR="00736DA9">
              <w:rPr>
                <w:noProof/>
                <w:webHidden/>
              </w:rPr>
              <w:fldChar w:fldCharType="separate"/>
            </w:r>
            <w:r w:rsidR="00736DA9">
              <w:rPr>
                <w:noProof/>
                <w:webHidden/>
              </w:rPr>
              <w:t>395</w:t>
            </w:r>
            <w:r w:rsidR="00736DA9">
              <w:rPr>
                <w:noProof/>
                <w:webHidden/>
              </w:rPr>
              <w:fldChar w:fldCharType="end"/>
            </w:r>
          </w:hyperlink>
        </w:p>
        <w:p w14:paraId="678B26B5" w14:textId="1BF2EAC3" w:rsidR="00736DA9" w:rsidRDefault="00000000">
          <w:pPr>
            <w:pStyle w:val="TOC4"/>
            <w:tabs>
              <w:tab w:val="right" w:pos="9350"/>
            </w:tabs>
            <w:rPr>
              <w:rFonts w:eastAsiaTheme="minorEastAsia" w:cstheme="minorBidi"/>
              <w:noProof/>
              <w:sz w:val="24"/>
              <w:szCs w:val="24"/>
            </w:rPr>
          </w:pPr>
          <w:hyperlink w:anchor="_Toc162267640" w:history="1">
            <w:r w:rsidR="00736DA9" w:rsidRPr="004372B1">
              <w:rPr>
                <w:rStyle w:val="Hyperlink"/>
                <w:noProof/>
              </w:rPr>
              <w:t>Figure 10.4: Stroke Deaths.</w:t>
            </w:r>
            <w:r w:rsidR="00736DA9">
              <w:rPr>
                <w:noProof/>
                <w:webHidden/>
              </w:rPr>
              <w:tab/>
            </w:r>
            <w:r w:rsidR="00736DA9">
              <w:rPr>
                <w:noProof/>
                <w:webHidden/>
              </w:rPr>
              <w:fldChar w:fldCharType="begin"/>
            </w:r>
            <w:r w:rsidR="00736DA9">
              <w:rPr>
                <w:noProof/>
                <w:webHidden/>
              </w:rPr>
              <w:instrText xml:space="preserve"> PAGEREF _Toc162267640 \h </w:instrText>
            </w:r>
            <w:r w:rsidR="00736DA9">
              <w:rPr>
                <w:noProof/>
                <w:webHidden/>
              </w:rPr>
            </w:r>
            <w:r w:rsidR="00736DA9">
              <w:rPr>
                <w:noProof/>
                <w:webHidden/>
              </w:rPr>
              <w:fldChar w:fldCharType="separate"/>
            </w:r>
            <w:r w:rsidR="00736DA9">
              <w:rPr>
                <w:noProof/>
                <w:webHidden/>
              </w:rPr>
              <w:t>395</w:t>
            </w:r>
            <w:r w:rsidR="00736DA9">
              <w:rPr>
                <w:noProof/>
                <w:webHidden/>
              </w:rPr>
              <w:fldChar w:fldCharType="end"/>
            </w:r>
          </w:hyperlink>
        </w:p>
        <w:p w14:paraId="6058E27E" w14:textId="4E5164CB" w:rsidR="00736DA9" w:rsidRDefault="00000000">
          <w:pPr>
            <w:pStyle w:val="TOC4"/>
            <w:tabs>
              <w:tab w:val="right" w:pos="9350"/>
            </w:tabs>
            <w:rPr>
              <w:rFonts w:eastAsiaTheme="minorEastAsia" w:cstheme="minorBidi"/>
              <w:noProof/>
              <w:sz w:val="24"/>
              <w:szCs w:val="24"/>
            </w:rPr>
          </w:pPr>
          <w:hyperlink w:anchor="_Toc162267641" w:history="1">
            <w:r w:rsidR="00736DA9" w:rsidRPr="004372B1">
              <w:rPr>
                <w:rStyle w:val="Hyperlink"/>
                <w:noProof/>
              </w:rPr>
              <w:t>Figure 10.5: Stroke Deaths, by Race/Ethnicity and Sex.</w:t>
            </w:r>
            <w:r w:rsidR="00736DA9">
              <w:rPr>
                <w:noProof/>
                <w:webHidden/>
              </w:rPr>
              <w:tab/>
            </w:r>
            <w:r w:rsidR="00736DA9">
              <w:rPr>
                <w:noProof/>
                <w:webHidden/>
              </w:rPr>
              <w:fldChar w:fldCharType="begin"/>
            </w:r>
            <w:r w:rsidR="00736DA9">
              <w:rPr>
                <w:noProof/>
                <w:webHidden/>
              </w:rPr>
              <w:instrText xml:space="preserve"> PAGEREF _Toc162267641 \h </w:instrText>
            </w:r>
            <w:r w:rsidR="00736DA9">
              <w:rPr>
                <w:noProof/>
                <w:webHidden/>
              </w:rPr>
            </w:r>
            <w:r w:rsidR="00736DA9">
              <w:rPr>
                <w:noProof/>
                <w:webHidden/>
              </w:rPr>
              <w:fldChar w:fldCharType="separate"/>
            </w:r>
            <w:r w:rsidR="00736DA9">
              <w:rPr>
                <w:noProof/>
                <w:webHidden/>
              </w:rPr>
              <w:t>396</w:t>
            </w:r>
            <w:r w:rsidR="00736DA9">
              <w:rPr>
                <w:noProof/>
                <w:webHidden/>
              </w:rPr>
              <w:fldChar w:fldCharType="end"/>
            </w:r>
          </w:hyperlink>
        </w:p>
        <w:p w14:paraId="4CF5D576" w14:textId="2915D72B" w:rsidR="00736DA9" w:rsidRDefault="00000000">
          <w:pPr>
            <w:pStyle w:val="TOC4"/>
            <w:tabs>
              <w:tab w:val="right" w:pos="9350"/>
            </w:tabs>
            <w:rPr>
              <w:rFonts w:eastAsiaTheme="minorEastAsia" w:cstheme="minorBidi"/>
              <w:noProof/>
              <w:sz w:val="24"/>
              <w:szCs w:val="24"/>
            </w:rPr>
          </w:pPr>
          <w:hyperlink w:anchor="_Toc162267642" w:history="1">
            <w:r w:rsidR="00736DA9" w:rsidRPr="004372B1">
              <w:rPr>
                <w:rStyle w:val="Hyperlink"/>
                <w:noProof/>
              </w:rPr>
              <w:t>Figure 10.6: Stroke Deaths, by County.</w:t>
            </w:r>
            <w:r w:rsidR="00736DA9">
              <w:rPr>
                <w:noProof/>
                <w:webHidden/>
              </w:rPr>
              <w:tab/>
            </w:r>
            <w:r w:rsidR="00736DA9">
              <w:rPr>
                <w:noProof/>
                <w:webHidden/>
              </w:rPr>
              <w:fldChar w:fldCharType="begin"/>
            </w:r>
            <w:r w:rsidR="00736DA9">
              <w:rPr>
                <w:noProof/>
                <w:webHidden/>
              </w:rPr>
              <w:instrText xml:space="preserve"> PAGEREF _Toc162267642 \h </w:instrText>
            </w:r>
            <w:r w:rsidR="00736DA9">
              <w:rPr>
                <w:noProof/>
                <w:webHidden/>
              </w:rPr>
            </w:r>
            <w:r w:rsidR="00736DA9">
              <w:rPr>
                <w:noProof/>
                <w:webHidden/>
              </w:rPr>
              <w:fldChar w:fldCharType="separate"/>
            </w:r>
            <w:r w:rsidR="00736DA9">
              <w:rPr>
                <w:noProof/>
                <w:webHidden/>
              </w:rPr>
              <w:t>396</w:t>
            </w:r>
            <w:r w:rsidR="00736DA9">
              <w:rPr>
                <w:noProof/>
                <w:webHidden/>
              </w:rPr>
              <w:fldChar w:fldCharType="end"/>
            </w:r>
          </w:hyperlink>
        </w:p>
        <w:p w14:paraId="0E0AF9F8" w14:textId="010D040A" w:rsidR="00736DA9" w:rsidRDefault="00000000">
          <w:pPr>
            <w:pStyle w:val="TOC4"/>
            <w:tabs>
              <w:tab w:val="right" w:pos="9350"/>
            </w:tabs>
            <w:rPr>
              <w:rFonts w:eastAsiaTheme="minorEastAsia" w:cstheme="minorBidi"/>
              <w:noProof/>
              <w:sz w:val="24"/>
              <w:szCs w:val="24"/>
            </w:rPr>
          </w:pPr>
          <w:hyperlink w:anchor="_Toc162267643"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_Toc162267643 \h </w:instrText>
            </w:r>
            <w:r w:rsidR="00736DA9">
              <w:rPr>
                <w:noProof/>
                <w:webHidden/>
              </w:rPr>
            </w:r>
            <w:r w:rsidR="00736DA9">
              <w:rPr>
                <w:noProof/>
                <w:webHidden/>
              </w:rPr>
              <w:fldChar w:fldCharType="separate"/>
            </w:r>
            <w:r w:rsidR="00736DA9">
              <w:rPr>
                <w:noProof/>
                <w:webHidden/>
              </w:rPr>
              <w:t>397</w:t>
            </w:r>
            <w:r w:rsidR="00736DA9">
              <w:rPr>
                <w:noProof/>
                <w:webHidden/>
              </w:rPr>
              <w:fldChar w:fldCharType="end"/>
            </w:r>
          </w:hyperlink>
        </w:p>
        <w:p w14:paraId="56245A5C" w14:textId="261CC4F0" w:rsidR="00736DA9" w:rsidRDefault="00000000">
          <w:pPr>
            <w:pStyle w:val="TOC4"/>
            <w:tabs>
              <w:tab w:val="right" w:pos="9350"/>
            </w:tabs>
            <w:rPr>
              <w:rFonts w:eastAsiaTheme="minorEastAsia" w:cstheme="minorBidi"/>
              <w:noProof/>
              <w:sz w:val="24"/>
              <w:szCs w:val="24"/>
            </w:rPr>
          </w:pPr>
          <w:hyperlink w:anchor="_Toc162267644" w:history="1">
            <w:r w:rsidR="00736DA9" w:rsidRPr="004372B1">
              <w:rPr>
                <w:rStyle w:val="Hyperlink"/>
                <w:noProof/>
              </w:rPr>
              <w:t>References 10.3</w:t>
            </w:r>
            <w:r w:rsidR="00736DA9">
              <w:rPr>
                <w:noProof/>
                <w:webHidden/>
              </w:rPr>
              <w:tab/>
            </w:r>
            <w:r w:rsidR="00736DA9">
              <w:rPr>
                <w:noProof/>
                <w:webHidden/>
              </w:rPr>
              <w:fldChar w:fldCharType="begin"/>
            </w:r>
            <w:r w:rsidR="00736DA9">
              <w:rPr>
                <w:noProof/>
                <w:webHidden/>
              </w:rPr>
              <w:instrText xml:space="preserve"> PAGEREF _Toc162267644 \h </w:instrText>
            </w:r>
            <w:r w:rsidR="00736DA9">
              <w:rPr>
                <w:noProof/>
                <w:webHidden/>
              </w:rPr>
            </w:r>
            <w:r w:rsidR="00736DA9">
              <w:rPr>
                <w:noProof/>
                <w:webHidden/>
              </w:rPr>
              <w:fldChar w:fldCharType="separate"/>
            </w:r>
            <w:r w:rsidR="00736DA9">
              <w:rPr>
                <w:noProof/>
                <w:webHidden/>
              </w:rPr>
              <w:t>398</w:t>
            </w:r>
            <w:r w:rsidR="00736DA9">
              <w:rPr>
                <w:noProof/>
                <w:webHidden/>
              </w:rPr>
              <w:fldChar w:fldCharType="end"/>
            </w:r>
          </w:hyperlink>
        </w:p>
        <w:p w14:paraId="4BAB6F43" w14:textId="366C66F4" w:rsidR="00736DA9" w:rsidRDefault="00000000">
          <w:pPr>
            <w:pStyle w:val="TOC4"/>
            <w:tabs>
              <w:tab w:val="right" w:pos="9350"/>
            </w:tabs>
            <w:rPr>
              <w:rFonts w:eastAsiaTheme="minorEastAsia" w:cstheme="minorBidi"/>
              <w:noProof/>
              <w:sz w:val="24"/>
              <w:szCs w:val="24"/>
            </w:rPr>
          </w:pPr>
          <w:hyperlink w:anchor="_Toc162267645" w:history="1">
            <w:r w:rsidR="00736DA9" w:rsidRPr="004372B1">
              <w:rPr>
                <w:rStyle w:val="Hyperlink"/>
                <w:noProof/>
              </w:rPr>
              <w:t>Figure 10.7: CLRD Deaths, by Age Group.</w:t>
            </w:r>
            <w:r w:rsidR="00736DA9">
              <w:rPr>
                <w:noProof/>
                <w:webHidden/>
              </w:rPr>
              <w:tab/>
            </w:r>
            <w:r w:rsidR="00736DA9">
              <w:rPr>
                <w:noProof/>
                <w:webHidden/>
              </w:rPr>
              <w:fldChar w:fldCharType="begin"/>
            </w:r>
            <w:r w:rsidR="00736DA9">
              <w:rPr>
                <w:noProof/>
                <w:webHidden/>
              </w:rPr>
              <w:instrText xml:space="preserve"> PAGEREF _Toc162267645 \h </w:instrText>
            </w:r>
            <w:r w:rsidR="00736DA9">
              <w:rPr>
                <w:noProof/>
                <w:webHidden/>
              </w:rPr>
            </w:r>
            <w:r w:rsidR="00736DA9">
              <w:rPr>
                <w:noProof/>
                <w:webHidden/>
              </w:rPr>
              <w:fldChar w:fldCharType="separate"/>
            </w:r>
            <w:r w:rsidR="00736DA9">
              <w:rPr>
                <w:noProof/>
                <w:webHidden/>
              </w:rPr>
              <w:t>399</w:t>
            </w:r>
            <w:r w:rsidR="00736DA9">
              <w:rPr>
                <w:noProof/>
                <w:webHidden/>
              </w:rPr>
              <w:fldChar w:fldCharType="end"/>
            </w:r>
          </w:hyperlink>
        </w:p>
        <w:p w14:paraId="0AD83024" w14:textId="61D5DE70" w:rsidR="00736DA9" w:rsidRDefault="00000000">
          <w:pPr>
            <w:pStyle w:val="TOC4"/>
            <w:tabs>
              <w:tab w:val="right" w:pos="9350"/>
            </w:tabs>
            <w:rPr>
              <w:rFonts w:eastAsiaTheme="minorEastAsia" w:cstheme="minorBidi"/>
              <w:noProof/>
              <w:sz w:val="24"/>
              <w:szCs w:val="24"/>
            </w:rPr>
          </w:pPr>
          <w:hyperlink w:anchor="_Toc162267646" w:history="1">
            <w:r w:rsidR="00736DA9" w:rsidRPr="004372B1">
              <w:rPr>
                <w:rStyle w:val="Hyperlink"/>
                <w:noProof/>
              </w:rPr>
              <w:t>Figure 10.8: CLRD Deaths, by Race/Ethnicity and Sex.</w:t>
            </w:r>
            <w:r w:rsidR="00736DA9">
              <w:rPr>
                <w:noProof/>
                <w:webHidden/>
              </w:rPr>
              <w:tab/>
            </w:r>
            <w:r w:rsidR="00736DA9">
              <w:rPr>
                <w:noProof/>
                <w:webHidden/>
              </w:rPr>
              <w:fldChar w:fldCharType="begin"/>
            </w:r>
            <w:r w:rsidR="00736DA9">
              <w:rPr>
                <w:noProof/>
                <w:webHidden/>
              </w:rPr>
              <w:instrText xml:space="preserve"> PAGEREF _Toc162267646 \h </w:instrText>
            </w:r>
            <w:r w:rsidR="00736DA9">
              <w:rPr>
                <w:noProof/>
                <w:webHidden/>
              </w:rPr>
            </w:r>
            <w:r w:rsidR="00736DA9">
              <w:rPr>
                <w:noProof/>
                <w:webHidden/>
              </w:rPr>
              <w:fldChar w:fldCharType="separate"/>
            </w:r>
            <w:r w:rsidR="00736DA9">
              <w:rPr>
                <w:noProof/>
                <w:webHidden/>
              </w:rPr>
              <w:t>399</w:t>
            </w:r>
            <w:r w:rsidR="00736DA9">
              <w:rPr>
                <w:noProof/>
                <w:webHidden/>
              </w:rPr>
              <w:fldChar w:fldCharType="end"/>
            </w:r>
          </w:hyperlink>
        </w:p>
        <w:p w14:paraId="22BB7D8B" w14:textId="001FA648" w:rsidR="00736DA9" w:rsidRDefault="00000000">
          <w:pPr>
            <w:pStyle w:val="TOC4"/>
            <w:tabs>
              <w:tab w:val="right" w:pos="9350"/>
            </w:tabs>
            <w:rPr>
              <w:rFonts w:eastAsiaTheme="minorEastAsia" w:cstheme="minorBidi"/>
              <w:noProof/>
              <w:sz w:val="24"/>
              <w:szCs w:val="24"/>
            </w:rPr>
          </w:pPr>
          <w:hyperlink w:anchor="_Toc162267647"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_Toc162267647 \h </w:instrText>
            </w:r>
            <w:r w:rsidR="00736DA9">
              <w:rPr>
                <w:noProof/>
                <w:webHidden/>
              </w:rPr>
            </w:r>
            <w:r w:rsidR="00736DA9">
              <w:rPr>
                <w:noProof/>
                <w:webHidden/>
              </w:rPr>
              <w:fldChar w:fldCharType="separate"/>
            </w:r>
            <w:r w:rsidR="00736DA9">
              <w:rPr>
                <w:noProof/>
                <w:webHidden/>
              </w:rPr>
              <w:t>399</w:t>
            </w:r>
            <w:r w:rsidR="00736DA9">
              <w:rPr>
                <w:noProof/>
                <w:webHidden/>
              </w:rPr>
              <w:fldChar w:fldCharType="end"/>
            </w:r>
          </w:hyperlink>
        </w:p>
        <w:p w14:paraId="0DCBF446" w14:textId="10BE485C" w:rsidR="00736DA9" w:rsidRDefault="00000000">
          <w:pPr>
            <w:pStyle w:val="TOC4"/>
            <w:tabs>
              <w:tab w:val="right" w:pos="9350"/>
            </w:tabs>
            <w:rPr>
              <w:rFonts w:eastAsiaTheme="minorEastAsia" w:cstheme="minorBidi"/>
              <w:noProof/>
              <w:sz w:val="24"/>
              <w:szCs w:val="24"/>
            </w:rPr>
          </w:pPr>
          <w:hyperlink w:anchor="_Toc162267648" w:history="1">
            <w:r w:rsidR="00736DA9" w:rsidRPr="004372B1">
              <w:rPr>
                <w:rStyle w:val="Hyperlink"/>
                <w:noProof/>
              </w:rPr>
              <w:t>References 10.4</w:t>
            </w:r>
            <w:r w:rsidR="00736DA9">
              <w:rPr>
                <w:noProof/>
                <w:webHidden/>
              </w:rPr>
              <w:tab/>
            </w:r>
            <w:r w:rsidR="00736DA9">
              <w:rPr>
                <w:noProof/>
                <w:webHidden/>
              </w:rPr>
              <w:fldChar w:fldCharType="begin"/>
            </w:r>
            <w:r w:rsidR="00736DA9">
              <w:rPr>
                <w:noProof/>
                <w:webHidden/>
              </w:rPr>
              <w:instrText xml:space="preserve"> PAGEREF _Toc162267648 \h </w:instrText>
            </w:r>
            <w:r w:rsidR="00736DA9">
              <w:rPr>
                <w:noProof/>
                <w:webHidden/>
              </w:rPr>
            </w:r>
            <w:r w:rsidR="00736DA9">
              <w:rPr>
                <w:noProof/>
                <w:webHidden/>
              </w:rPr>
              <w:fldChar w:fldCharType="separate"/>
            </w:r>
            <w:r w:rsidR="00736DA9">
              <w:rPr>
                <w:noProof/>
                <w:webHidden/>
              </w:rPr>
              <w:t>400</w:t>
            </w:r>
            <w:r w:rsidR="00736DA9">
              <w:rPr>
                <w:noProof/>
                <w:webHidden/>
              </w:rPr>
              <w:fldChar w:fldCharType="end"/>
            </w:r>
          </w:hyperlink>
        </w:p>
        <w:p w14:paraId="6466CC70" w14:textId="4A8AC207" w:rsidR="00736DA9" w:rsidRDefault="00000000">
          <w:pPr>
            <w:pStyle w:val="TOC3"/>
            <w:tabs>
              <w:tab w:val="right" w:pos="9350"/>
            </w:tabs>
            <w:rPr>
              <w:rFonts w:eastAsiaTheme="minorEastAsia" w:cstheme="minorBidi"/>
              <w:noProof/>
              <w:sz w:val="24"/>
              <w:szCs w:val="24"/>
            </w:rPr>
          </w:pPr>
          <w:hyperlink w:anchor="_Toc162267649" w:history="1">
            <w:r w:rsidR="00736DA9" w:rsidRPr="004372B1">
              <w:rPr>
                <w:rStyle w:val="Hyperlink"/>
                <w:noProof/>
              </w:rPr>
              <w:t>Alzheimer’s Disease</w:t>
            </w:r>
            <w:r w:rsidR="00736DA9">
              <w:rPr>
                <w:noProof/>
                <w:webHidden/>
              </w:rPr>
              <w:tab/>
            </w:r>
            <w:r w:rsidR="00736DA9">
              <w:rPr>
                <w:noProof/>
                <w:webHidden/>
              </w:rPr>
              <w:fldChar w:fldCharType="begin"/>
            </w:r>
            <w:r w:rsidR="00736DA9">
              <w:rPr>
                <w:noProof/>
                <w:webHidden/>
              </w:rPr>
              <w:instrText xml:space="preserve"> PAGEREF _Toc162267649 \h </w:instrText>
            </w:r>
            <w:r w:rsidR="00736DA9">
              <w:rPr>
                <w:noProof/>
                <w:webHidden/>
              </w:rPr>
            </w:r>
            <w:r w:rsidR="00736DA9">
              <w:rPr>
                <w:noProof/>
                <w:webHidden/>
              </w:rPr>
              <w:fldChar w:fldCharType="separate"/>
            </w:r>
            <w:r w:rsidR="00736DA9">
              <w:rPr>
                <w:noProof/>
                <w:webHidden/>
              </w:rPr>
              <w:t>400</w:t>
            </w:r>
            <w:r w:rsidR="00736DA9">
              <w:rPr>
                <w:noProof/>
                <w:webHidden/>
              </w:rPr>
              <w:fldChar w:fldCharType="end"/>
            </w:r>
          </w:hyperlink>
        </w:p>
        <w:p w14:paraId="56BDC891" w14:textId="29320706" w:rsidR="00736DA9" w:rsidRDefault="00000000">
          <w:pPr>
            <w:pStyle w:val="TOC4"/>
            <w:tabs>
              <w:tab w:val="right" w:pos="9350"/>
            </w:tabs>
            <w:rPr>
              <w:rFonts w:eastAsiaTheme="minorEastAsia" w:cstheme="minorBidi"/>
              <w:noProof/>
              <w:sz w:val="24"/>
              <w:szCs w:val="24"/>
            </w:rPr>
          </w:pPr>
          <w:hyperlink w:anchor="_Toc162267650" w:history="1">
            <w:r w:rsidR="00736DA9" w:rsidRPr="004372B1">
              <w:rPr>
                <w:rStyle w:val="Hyperlink"/>
                <w:noProof/>
              </w:rPr>
              <w:t>Figure 10.9: Alzheimer’s Disease Deaths Among Adults Aged 65+.</w:t>
            </w:r>
            <w:r w:rsidR="00736DA9">
              <w:rPr>
                <w:noProof/>
                <w:webHidden/>
              </w:rPr>
              <w:tab/>
            </w:r>
            <w:r w:rsidR="00736DA9">
              <w:rPr>
                <w:noProof/>
                <w:webHidden/>
              </w:rPr>
              <w:fldChar w:fldCharType="begin"/>
            </w:r>
            <w:r w:rsidR="00736DA9">
              <w:rPr>
                <w:noProof/>
                <w:webHidden/>
              </w:rPr>
              <w:instrText xml:space="preserve"> PAGEREF _Toc162267650 \h </w:instrText>
            </w:r>
            <w:r w:rsidR="00736DA9">
              <w:rPr>
                <w:noProof/>
                <w:webHidden/>
              </w:rPr>
            </w:r>
            <w:r w:rsidR="00736DA9">
              <w:rPr>
                <w:noProof/>
                <w:webHidden/>
              </w:rPr>
              <w:fldChar w:fldCharType="separate"/>
            </w:r>
            <w:r w:rsidR="00736DA9">
              <w:rPr>
                <w:noProof/>
                <w:webHidden/>
              </w:rPr>
              <w:t>400</w:t>
            </w:r>
            <w:r w:rsidR="00736DA9">
              <w:rPr>
                <w:noProof/>
                <w:webHidden/>
              </w:rPr>
              <w:fldChar w:fldCharType="end"/>
            </w:r>
          </w:hyperlink>
        </w:p>
        <w:p w14:paraId="49C44163" w14:textId="49CE47C3" w:rsidR="00736DA9" w:rsidRDefault="00000000">
          <w:pPr>
            <w:pStyle w:val="TOC4"/>
            <w:tabs>
              <w:tab w:val="right" w:pos="9350"/>
            </w:tabs>
            <w:rPr>
              <w:rFonts w:eastAsiaTheme="minorEastAsia" w:cstheme="minorBidi"/>
              <w:noProof/>
              <w:sz w:val="24"/>
              <w:szCs w:val="24"/>
            </w:rPr>
          </w:pPr>
          <w:hyperlink w:anchor="_Toc162267651" w:history="1">
            <w:r w:rsidR="00736DA9" w:rsidRPr="004372B1">
              <w:rPr>
                <w:rStyle w:val="Hyperlink"/>
                <w:noProof/>
              </w:rPr>
              <w:t>Figure 10.10: Alzheimer’s Disease Deaths Among Adults Aged 65+, by Race/Ethnicity and Sex.</w:t>
            </w:r>
            <w:r w:rsidR="00736DA9">
              <w:rPr>
                <w:noProof/>
                <w:webHidden/>
              </w:rPr>
              <w:tab/>
            </w:r>
            <w:r w:rsidR="00736DA9">
              <w:rPr>
                <w:noProof/>
                <w:webHidden/>
              </w:rPr>
              <w:fldChar w:fldCharType="begin"/>
            </w:r>
            <w:r w:rsidR="00736DA9">
              <w:rPr>
                <w:noProof/>
                <w:webHidden/>
              </w:rPr>
              <w:instrText xml:space="preserve"> PAGEREF _Toc162267651 \h </w:instrText>
            </w:r>
            <w:r w:rsidR="00736DA9">
              <w:rPr>
                <w:noProof/>
                <w:webHidden/>
              </w:rPr>
            </w:r>
            <w:r w:rsidR="00736DA9">
              <w:rPr>
                <w:noProof/>
                <w:webHidden/>
              </w:rPr>
              <w:fldChar w:fldCharType="separate"/>
            </w:r>
            <w:r w:rsidR="00736DA9">
              <w:rPr>
                <w:noProof/>
                <w:webHidden/>
              </w:rPr>
              <w:t>401</w:t>
            </w:r>
            <w:r w:rsidR="00736DA9">
              <w:rPr>
                <w:noProof/>
                <w:webHidden/>
              </w:rPr>
              <w:fldChar w:fldCharType="end"/>
            </w:r>
          </w:hyperlink>
        </w:p>
        <w:p w14:paraId="090D3D39" w14:textId="23769C2C" w:rsidR="00736DA9" w:rsidRDefault="00000000">
          <w:pPr>
            <w:pStyle w:val="TOC4"/>
            <w:tabs>
              <w:tab w:val="right" w:pos="9350"/>
            </w:tabs>
            <w:rPr>
              <w:rFonts w:eastAsiaTheme="minorEastAsia" w:cstheme="minorBidi"/>
              <w:noProof/>
              <w:sz w:val="24"/>
              <w:szCs w:val="24"/>
            </w:rPr>
          </w:pPr>
          <w:hyperlink w:anchor="_Toc162267652" w:history="1">
            <w:r w:rsidR="00736DA9" w:rsidRPr="004372B1">
              <w:rPr>
                <w:rStyle w:val="Hyperlink"/>
                <w:noProof/>
              </w:rPr>
              <w:t>Figure 10.11: Adults With Subjective Cognitive Decline Who Have Discussed Their Symptoms With a Provider.</w:t>
            </w:r>
            <w:r w:rsidR="00736DA9">
              <w:rPr>
                <w:noProof/>
                <w:webHidden/>
              </w:rPr>
              <w:tab/>
            </w:r>
            <w:r w:rsidR="00736DA9">
              <w:rPr>
                <w:noProof/>
                <w:webHidden/>
              </w:rPr>
              <w:fldChar w:fldCharType="begin"/>
            </w:r>
            <w:r w:rsidR="00736DA9">
              <w:rPr>
                <w:noProof/>
                <w:webHidden/>
              </w:rPr>
              <w:instrText xml:space="preserve"> PAGEREF _Toc162267652 \h </w:instrText>
            </w:r>
            <w:r w:rsidR="00736DA9">
              <w:rPr>
                <w:noProof/>
                <w:webHidden/>
              </w:rPr>
            </w:r>
            <w:r w:rsidR="00736DA9">
              <w:rPr>
                <w:noProof/>
                <w:webHidden/>
              </w:rPr>
              <w:fldChar w:fldCharType="separate"/>
            </w:r>
            <w:r w:rsidR="00736DA9">
              <w:rPr>
                <w:noProof/>
                <w:webHidden/>
              </w:rPr>
              <w:t>401</w:t>
            </w:r>
            <w:r w:rsidR="00736DA9">
              <w:rPr>
                <w:noProof/>
                <w:webHidden/>
              </w:rPr>
              <w:fldChar w:fldCharType="end"/>
            </w:r>
          </w:hyperlink>
        </w:p>
        <w:p w14:paraId="5BF26768" w14:textId="017F55D3" w:rsidR="00736DA9" w:rsidRDefault="00000000">
          <w:pPr>
            <w:pStyle w:val="TOC4"/>
            <w:tabs>
              <w:tab w:val="right" w:pos="9350"/>
            </w:tabs>
            <w:rPr>
              <w:rFonts w:eastAsiaTheme="minorEastAsia" w:cstheme="minorBidi"/>
              <w:noProof/>
              <w:sz w:val="24"/>
              <w:szCs w:val="24"/>
            </w:rPr>
          </w:pPr>
          <w:hyperlink w:anchor="_Toc162267653"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_Toc162267653 \h </w:instrText>
            </w:r>
            <w:r w:rsidR="00736DA9">
              <w:rPr>
                <w:noProof/>
                <w:webHidden/>
              </w:rPr>
            </w:r>
            <w:r w:rsidR="00736DA9">
              <w:rPr>
                <w:noProof/>
                <w:webHidden/>
              </w:rPr>
              <w:fldChar w:fldCharType="separate"/>
            </w:r>
            <w:r w:rsidR="00736DA9">
              <w:rPr>
                <w:noProof/>
                <w:webHidden/>
              </w:rPr>
              <w:t>401</w:t>
            </w:r>
            <w:r w:rsidR="00736DA9">
              <w:rPr>
                <w:noProof/>
                <w:webHidden/>
              </w:rPr>
              <w:fldChar w:fldCharType="end"/>
            </w:r>
          </w:hyperlink>
        </w:p>
        <w:p w14:paraId="7D75E75B" w14:textId="0BB6B9A8" w:rsidR="00736DA9" w:rsidRDefault="00000000">
          <w:pPr>
            <w:pStyle w:val="TOC4"/>
            <w:tabs>
              <w:tab w:val="right" w:pos="9350"/>
            </w:tabs>
            <w:rPr>
              <w:rFonts w:eastAsiaTheme="minorEastAsia" w:cstheme="minorBidi"/>
              <w:noProof/>
              <w:sz w:val="24"/>
              <w:szCs w:val="24"/>
            </w:rPr>
          </w:pPr>
          <w:hyperlink w:anchor="_Toc162267654" w:history="1">
            <w:r w:rsidR="00736DA9" w:rsidRPr="004372B1">
              <w:rPr>
                <w:rStyle w:val="Hyperlink"/>
                <w:noProof/>
              </w:rPr>
              <w:t>References 10.5</w:t>
            </w:r>
            <w:r w:rsidR="00736DA9">
              <w:rPr>
                <w:noProof/>
                <w:webHidden/>
              </w:rPr>
              <w:tab/>
            </w:r>
            <w:r w:rsidR="00736DA9">
              <w:rPr>
                <w:noProof/>
                <w:webHidden/>
              </w:rPr>
              <w:fldChar w:fldCharType="begin"/>
            </w:r>
            <w:r w:rsidR="00736DA9">
              <w:rPr>
                <w:noProof/>
                <w:webHidden/>
              </w:rPr>
              <w:instrText xml:space="preserve"> PAGEREF _Toc162267654 \h </w:instrText>
            </w:r>
            <w:r w:rsidR="00736DA9">
              <w:rPr>
                <w:noProof/>
                <w:webHidden/>
              </w:rPr>
            </w:r>
            <w:r w:rsidR="00736DA9">
              <w:rPr>
                <w:noProof/>
                <w:webHidden/>
              </w:rPr>
              <w:fldChar w:fldCharType="separate"/>
            </w:r>
            <w:r w:rsidR="00736DA9">
              <w:rPr>
                <w:noProof/>
                <w:webHidden/>
              </w:rPr>
              <w:t>402</w:t>
            </w:r>
            <w:r w:rsidR="00736DA9">
              <w:rPr>
                <w:noProof/>
                <w:webHidden/>
              </w:rPr>
              <w:fldChar w:fldCharType="end"/>
            </w:r>
          </w:hyperlink>
        </w:p>
        <w:p w14:paraId="2F398173" w14:textId="4D93B75A" w:rsidR="00736DA9" w:rsidRDefault="00000000">
          <w:pPr>
            <w:pStyle w:val="TOC3"/>
            <w:tabs>
              <w:tab w:val="right" w:pos="9350"/>
            </w:tabs>
            <w:rPr>
              <w:rFonts w:eastAsiaTheme="minorEastAsia" w:cstheme="minorBidi"/>
              <w:noProof/>
              <w:sz w:val="24"/>
              <w:szCs w:val="24"/>
            </w:rPr>
          </w:pPr>
          <w:hyperlink w:anchor="_Toc162267655" w:history="1">
            <w:r w:rsidR="00736DA9" w:rsidRPr="004372B1">
              <w:rPr>
                <w:rStyle w:val="Hyperlink"/>
                <w:noProof/>
              </w:rPr>
              <w:t>Arthritis</w:t>
            </w:r>
            <w:r w:rsidR="00736DA9">
              <w:rPr>
                <w:noProof/>
                <w:webHidden/>
              </w:rPr>
              <w:tab/>
            </w:r>
            <w:r w:rsidR="00736DA9">
              <w:rPr>
                <w:noProof/>
                <w:webHidden/>
              </w:rPr>
              <w:fldChar w:fldCharType="begin"/>
            </w:r>
            <w:r w:rsidR="00736DA9">
              <w:rPr>
                <w:noProof/>
                <w:webHidden/>
              </w:rPr>
              <w:instrText xml:space="preserve"> PAGEREF _Toc162267655 \h </w:instrText>
            </w:r>
            <w:r w:rsidR="00736DA9">
              <w:rPr>
                <w:noProof/>
                <w:webHidden/>
              </w:rPr>
            </w:r>
            <w:r w:rsidR="00736DA9">
              <w:rPr>
                <w:noProof/>
                <w:webHidden/>
              </w:rPr>
              <w:fldChar w:fldCharType="separate"/>
            </w:r>
            <w:r w:rsidR="00736DA9">
              <w:rPr>
                <w:noProof/>
                <w:webHidden/>
              </w:rPr>
              <w:t>402</w:t>
            </w:r>
            <w:r w:rsidR="00736DA9">
              <w:rPr>
                <w:noProof/>
                <w:webHidden/>
              </w:rPr>
              <w:fldChar w:fldCharType="end"/>
            </w:r>
          </w:hyperlink>
        </w:p>
        <w:p w14:paraId="4C27E820" w14:textId="7508F423" w:rsidR="00736DA9" w:rsidRDefault="00000000">
          <w:pPr>
            <w:pStyle w:val="TOC4"/>
            <w:tabs>
              <w:tab w:val="right" w:pos="9350"/>
            </w:tabs>
            <w:rPr>
              <w:rFonts w:eastAsiaTheme="minorEastAsia" w:cstheme="minorBidi"/>
              <w:noProof/>
              <w:sz w:val="24"/>
              <w:szCs w:val="24"/>
            </w:rPr>
          </w:pPr>
          <w:hyperlink w:anchor="_Toc162267656" w:history="1">
            <w:r w:rsidR="00736DA9" w:rsidRPr="004372B1">
              <w:rPr>
                <w:rStyle w:val="Hyperlink"/>
                <w:noProof/>
              </w:rPr>
              <w:t>Figure 10.12: Adults Who Have Been Told They Have Arthritis, by Age Group.</w:t>
            </w:r>
            <w:r w:rsidR="00736DA9">
              <w:rPr>
                <w:noProof/>
                <w:webHidden/>
              </w:rPr>
              <w:tab/>
            </w:r>
            <w:r w:rsidR="00736DA9">
              <w:rPr>
                <w:noProof/>
                <w:webHidden/>
              </w:rPr>
              <w:fldChar w:fldCharType="begin"/>
            </w:r>
            <w:r w:rsidR="00736DA9">
              <w:rPr>
                <w:noProof/>
                <w:webHidden/>
              </w:rPr>
              <w:instrText xml:space="preserve"> PAGEREF _Toc162267656 \h </w:instrText>
            </w:r>
            <w:r w:rsidR="00736DA9">
              <w:rPr>
                <w:noProof/>
                <w:webHidden/>
              </w:rPr>
            </w:r>
            <w:r w:rsidR="00736DA9">
              <w:rPr>
                <w:noProof/>
                <w:webHidden/>
              </w:rPr>
              <w:fldChar w:fldCharType="separate"/>
            </w:r>
            <w:r w:rsidR="00736DA9">
              <w:rPr>
                <w:noProof/>
                <w:webHidden/>
              </w:rPr>
              <w:t>403</w:t>
            </w:r>
            <w:r w:rsidR="00736DA9">
              <w:rPr>
                <w:noProof/>
                <w:webHidden/>
              </w:rPr>
              <w:fldChar w:fldCharType="end"/>
            </w:r>
          </w:hyperlink>
        </w:p>
        <w:p w14:paraId="3200FB2D" w14:textId="4ECA75CB" w:rsidR="00736DA9" w:rsidRDefault="00000000">
          <w:pPr>
            <w:pStyle w:val="TOC4"/>
            <w:tabs>
              <w:tab w:val="right" w:pos="9350"/>
            </w:tabs>
            <w:rPr>
              <w:rFonts w:eastAsiaTheme="minorEastAsia" w:cstheme="minorBidi"/>
              <w:noProof/>
              <w:sz w:val="24"/>
              <w:szCs w:val="24"/>
            </w:rPr>
          </w:pPr>
          <w:hyperlink w:anchor="_Toc162267657" w:history="1">
            <w:r w:rsidR="00736DA9" w:rsidRPr="004372B1">
              <w:rPr>
                <w:rStyle w:val="Hyperlink"/>
                <w:noProof/>
              </w:rPr>
              <w:t>Figure 10.13: Any Activities Limited in Any Way due to Arthritis.</w:t>
            </w:r>
            <w:r w:rsidR="00736DA9">
              <w:rPr>
                <w:noProof/>
                <w:webHidden/>
              </w:rPr>
              <w:tab/>
            </w:r>
            <w:r w:rsidR="00736DA9">
              <w:rPr>
                <w:noProof/>
                <w:webHidden/>
              </w:rPr>
              <w:fldChar w:fldCharType="begin"/>
            </w:r>
            <w:r w:rsidR="00736DA9">
              <w:rPr>
                <w:noProof/>
                <w:webHidden/>
              </w:rPr>
              <w:instrText xml:space="preserve"> PAGEREF _Toc162267657 \h </w:instrText>
            </w:r>
            <w:r w:rsidR="00736DA9">
              <w:rPr>
                <w:noProof/>
                <w:webHidden/>
              </w:rPr>
            </w:r>
            <w:r w:rsidR="00736DA9">
              <w:rPr>
                <w:noProof/>
                <w:webHidden/>
              </w:rPr>
              <w:fldChar w:fldCharType="separate"/>
            </w:r>
            <w:r w:rsidR="00736DA9">
              <w:rPr>
                <w:noProof/>
                <w:webHidden/>
              </w:rPr>
              <w:t>403</w:t>
            </w:r>
            <w:r w:rsidR="00736DA9">
              <w:rPr>
                <w:noProof/>
                <w:webHidden/>
              </w:rPr>
              <w:fldChar w:fldCharType="end"/>
            </w:r>
          </w:hyperlink>
        </w:p>
        <w:p w14:paraId="6AB0C83C" w14:textId="6D213EC9" w:rsidR="00736DA9" w:rsidRDefault="00000000">
          <w:pPr>
            <w:pStyle w:val="TOC4"/>
            <w:tabs>
              <w:tab w:val="right" w:pos="9350"/>
            </w:tabs>
            <w:rPr>
              <w:rFonts w:eastAsiaTheme="minorEastAsia" w:cstheme="minorBidi"/>
              <w:noProof/>
              <w:sz w:val="24"/>
              <w:szCs w:val="24"/>
            </w:rPr>
          </w:pPr>
          <w:hyperlink w:anchor="_Toc162267658" w:history="1">
            <w:r w:rsidR="00736DA9" w:rsidRPr="004372B1">
              <w:rPr>
                <w:rStyle w:val="Hyperlink"/>
                <w:noProof/>
              </w:rPr>
              <w:t>Figure 10.14: Any Activities Limited in Any Way due to Arthritis, by Sex.</w:t>
            </w:r>
            <w:r w:rsidR="00736DA9">
              <w:rPr>
                <w:noProof/>
                <w:webHidden/>
              </w:rPr>
              <w:tab/>
            </w:r>
            <w:r w:rsidR="00736DA9">
              <w:rPr>
                <w:noProof/>
                <w:webHidden/>
              </w:rPr>
              <w:fldChar w:fldCharType="begin"/>
            </w:r>
            <w:r w:rsidR="00736DA9">
              <w:rPr>
                <w:noProof/>
                <w:webHidden/>
              </w:rPr>
              <w:instrText xml:space="preserve"> PAGEREF _Toc162267658 \h </w:instrText>
            </w:r>
            <w:r w:rsidR="00736DA9">
              <w:rPr>
                <w:noProof/>
                <w:webHidden/>
              </w:rPr>
            </w:r>
            <w:r w:rsidR="00736DA9">
              <w:rPr>
                <w:noProof/>
                <w:webHidden/>
              </w:rPr>
              <w:fldChar w:fldCharType="separate"/>
            </w:r>
            <w:r w:rsidR="00736DA9">
              <w:rPr>
                <w:noProof/>
                <w:webHidden/>
              </w:rPr>
              <w:t>403</w:t>
            </w:r>
            <w:r w:rsidR="00736DA9">
              <w:rPr>
                <w:noProof/>
                <w:webHidden/>
              </w:rPr>
              <w:fldChar w:fldCharType="end"/>
            </w:r>
          </w:hyperlink>
        </w:p>
        <w:p w14:paraId="1AFE8C4D" w14:textId="761C4726" w:rsidR="00736DA9" w:rsidRDefault="00000000">
          <w:pPr>
            <w:pStyle w:val="TOC4"/>
            <w:tabs>
              <w:tab w:val="right" w:pos="9350"/>
            </w:tabs>
            <w:rPr>
              <w:rFonts w:eastAsiaTheme="minorEastAsia" w:cstheme="minorBidi"/>
              <w:noProof/>
              <w:sz w:val="24"/>
              <w:szCs w:val="24"/>
            </w:rPr>
          </w:pPr>
          <w:hyperlink w:anchor="_Toc162267659"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_Toc162267659 \h </w:instrText>
            </w:r>
            <w:r w:rsidR="00736DA9">
              <w:rPr>
                <w:noProof/>
                <w:webHidden/>
              </w:rPr>
            </w:r>
            <w:r w:rsidR="00736DA9">
              <w:rPr>
                <w:noProof/>
                <w:webHidden/>
              </w:rPr>
              <w:fldChar w:fldCharType="separate"/>
            </w:r>
            <w:r w:rsidR="00736DA9">
              <w:rPr>
                <w:noProof/>
                <w:webHidden/>
              </w:rPr>
              <w:t>403</w:t>
            </w:r>
            <w:r w:rsidR="00736DA9">
              <w:rPr>
                <w:noProof/>
                <w:webHidden/>
              </w:rPr>
              <w:fldChar w:fldCharType="end"/>
            </w:r>
          </w:hyperlink>
        </w:p>
        <w:p w14:paraId="32592C08" w14:textId="7C40328F" w:rsidR="00736DA9" w:rsidRDefault="00000000">
          <w:pPr>
            <w:pStyle w:val="TOC4"/>
            <w:tabs>
              <w:tab w:val="right" w:pos="9350"/>
            </w:tabs>
            <w:rPr>
              <w:rFonts w:eastAsiaTheme="minorEastAsia" w:cstheme="minorBidi"/>
              <w:noProof/>
              <w:sz w:val="24"/>
              <w:szCs w:val="24"/>
            </w:rPr>
          </w:pPr>
          <w:hyperlink w:anchor="_Toc162267660" w:history="1">
            <w:r w:rsidR="00736DA9" w:rsidRPr="004372B1">
              <w:rPr>
                <w:rStyle w:val="Hyperlink"/>
                <w:noProof/>
              </w:rPr>
              <w:t>References 10.6</w:t>
            </w:r>
            <w:r w:rsidR="00736DA9">
              <w:rPr>
                <w:noProof/>
                <w:webHidden/>
              </w:rPr>
              <w:tab/>
            </w:r>
            <w:r w:rsidR="00736DA9">
              <w:rPr>
                <w:noProof/>
                <w:webHidden/>
              </w:rPr>
              <w:fldChar w:fldCharType="begin"/>
            </w:r>
            <w:r w:rsidR="00736DA9">
              <w:rPr>
                <w:noProof/>
                <w:webHidden/>
              </w:rPr>
              <w:instrText xml:space="preserve"> PAGEREF _Toc162267660 \h </w:instrText>
            </w:r>
            <w:r w:rsidR="00736DA9">
              <w:rPr>
                <w:noProof/>
                <w:webHidden/>
              </w:rPr>
            </w:r>
            <w:r w:rsidR="00736DA9">
              <w:rPr>
                <w:noProof/>
                <w:webHidden/>
              </w:rPr>
              <w:fldChar w:fldCharType="separate"/>
            </w:r>
            <w:r w:rsidR="00736DA9">
              <w:rPr>
                <w:noProof/>
                <w:webHidden/>
              </w:rPr>
              <w:t>404</w:t>
            </w:r>
            <w:r w:rsidR="00736DA9">
              <w:rPr>
                <w:noProof/>
                <w:webHidden/>
              </w:rPr>
              <w:fldChar w:fldCharType="end"/>
            </w:r>
          </w:hyperlink>
        </w:p>
        <w:p w14:paraId="21FB0261" w14:textId="00AA5397" w:rsidR="00736DA9" w:rsidRDefault="00000000">
          <w:pPr>
            <w:pStyle w:val="TOC3"/>
            <w:tabs>
              <w:tab w:val="right" w:pos="9350"/>
            </w:tabs>
            <w:rPr>
              <w:rFonts w:eastAsiaTheme="minorEastAsia" w:cstheme="minorBidi"/>
              <w:noProof/>
              <w:sz w:val="24"/>
              <w:szCs w:val="24"/>
            </w:rPr>
          </w:pPr>
          <w:hyperlink w:anchor="_Toc162267661" w:history="1">
            <w:r w:rsidR="00736DA9" w:rsidRPr="004372B1">
              <w:rPr>
                <w:rStyle w:val="Hyperlink"/>
                <w:noProof/>
              </w:rPr>
              <w:t>Unintentional Injury</w:t>
            </w:r>
            <w:r w:rsidR="00736DA9">
              <w:rPr>
                <w:noProof/>
                <w:webHidden/>
              </w:rPr>
              <w:tab/>
            </w:r>
            <w:r w:rsidR="00736DA9">
              <w:rPr>
                <w:noProof/>
                <w:webHidden/>
              </w:rPr>
              <w:fldChar w:fldCharType="begin"/>
            </w:r>
            <w:r w:rsidR="00736DA9">
              <w:rPr>
                <w:noProof/>
                <w:webHidden/>
              </w:rPr>
              <w:instrText xml:space="preserve"> PAGEREF _Toc162267661 \h </w:instrText>
            </w:r>
            <w:r w:rsidR="00736DA9">
              <w:rPr>
                <w:noProof/>
                <w:webHidden/>
              </w:rPr>
            </w:r>
            <w:r w:rsidR="00736DA9">
              <w:rPr>
                <w:noProof/>
                <w:webHidden/>
              </w:rPr>
              <w:fldChar w:fldCharType="separate"/>
            </w:r>
            <w:r w:rsidR="00736DA9">
              <w:rPr>
                <w:noProof/>
                <w:webHidden/>
              </w:rPr>
              <w:t>404</w:t>
            </w:r>
            <w:r w:rsidR="00736DA9">
              <w:rPr>
                <w:noProof/>
                <w:webHidden/>
              </w:rPr>
              <w:fldChar w:fldCharType="end"/>
            </w:r>
          </w:hyperlink>
        </w:p>
        <w:p w14:paraId="3597040D" w14:textId="5EEC8C2E" w:rsidR="00736DA9" w:rsidRDefault="00000000">
          <w:pPr>
            <w:pStyle w:val="TOC4"/>
            <w:tabs>
              <w:tab w:val="right" w:pos="9350"/>
            </w:tabs>
            <w:rPr>
              <w:rFonts w:eastAsiaTheme="minorEastAsia" w:cstheme="minorBidi"/>
              <w:noProof/>
              <w:sz w:val="24"/>
              <w:szCs w:val="24"/>
            </w:rPr>
          </w:pPr>
          <w:hyperlink w:anchor="_Toc162267662" w:history="1">
            <w:r w:rsidR="00736DA9" w:rsidRPr="004372B1">
              <w:rPr>
                <w:rStyle w:val="Hyperlink"/>
                <w:noProof/>
              </w:rPr>
              <w:t>Table 10.2: Top Two Leading Causes of Unintentional Injury Deaths, Ages 65+.</w:t>
            </w:r>
            <w:r w:rsidR="00736DA9">
              <w:rPr>
                <w:noProof/>
                <w:webHidden/>
              </w:rPr>
              <w:tab/>
            </w:r>
            <w:r w:rsidR="00736DA9">
              <w:rPr>
                <w:noProof/>
                <w:webHidden/>
              </w:rPr>
              <w:fldChar w:fldCharType="begin"/>
            </w:r>
            <w:r w:rsidR="00736DA9">
              <w:rPr>
                <w:noProof/>
                <w:webHidden/>
              </w:rPr>
              <w:instrText xml:space="preserve"> PAGEREF _Toc162267662 \h </w:instrText>
            </w:r>
            <w:r w:rsidR="00736DA9">
              <w:rPr>
                <w:noProof/>
                <w:webHidden/>
              </w:rPr>
            </w:r>
            <w:r w:rsidR="00736DA9">
              <w:rPr>
                <w:noProof/>
                <w:webHidden/>
              </w:rPr>
              <w:fldChar w:fldCharType="separate"/>
            </w:r>
            <w:r w:rsidR="00736DA9">
              <w:rPr>
                <w:noProof/>
                <w:webHidden/>
              </w:rPr>
              <w:t>405</w:t>
            </w:r>
            <w:r w:rsidR="00736DA9">
              <w:rPr>
                <w:noProof/>
                <w:webHidden/>
              </w:rPr>
              <w:fldChar w:fldCharType="end"/>
            </w:r>
          </w:hyperlink>
        </w:p>
        <w:p w14:paraId="7D834521" w14:textId="222EFD6A" w:rsidR="00736DA9" w:rsidRDefault="00000000">
          <w:pPr>
            <w:pStyle w:val="TOC4"/>
            <w:tabs>
              <w:tab w:val="right" w:pos="9350"/>
            </w:tabs>
            <w:rPr>
              <w:rFonts w:eastAsiaTheme="minorEastAsia" w:cstheme="minorBidi"/>
              <w:noProof/>
              <w:sz w:val="24"/>
              <w:szCs w:val="24"/>
            </w:rPr>
          </w:pPr>
          <w:hyperlink w:anchor="_Toc162267663" w:history="1">
            <w:r w:rsidR="00736DA9" w:rsidRPr="004372B1">
              <w:rPr>
                <w:rStyle w:val="Hyperlink"/>
                <w:noProof/>
              </w:rPr>
              <w:t>Figure 10.15: Unintentional Injury Deaths, Ages 65+.</w:t>
            </w:r>
            <w:r w:rsidR="00736DA9">
              <w:rPr>
                <w:noProof/>
                <w:webHidden/>
              </w:rPr>
              <w:tab/>
            </w:r>
            <w:r w:rsidR="00736DA9">
              <w:rPr>
                <w:noProof/>
                <w:webHidden/>
              </w:rPr>
              <w:fldChar w:fldCharType="begin"/>
            </w:r>
            <w:r w:rsidR="00736DA9">
              <w:rPr>
                <w:noProof/>
                <w:webHidden/>
              </w:rPr>
              <w:instrText xml:space="preserve"> PAGEREF _Toc162267663 \h </w:instrText>
            </w:r>
            <w:r w:rsidR="00736DA9">
              <w:rPr>
                <w:noProof/>
                <w:webHidden/>
              </w:rPr>
            </w:r>
            <w:r w:rsidR="00736DA9">
              <w:rPr>
                <w:noProof/>
                <w:webHidden/>
              </w:rPr>
              <w:fldChar w:fldCharType="separate"/>
            </w:r>
            <w:r w:rsidR="00736DA9">
              <w:rPr>
                <w:noProof/>
                <w:webHidden/>
              </w:rPr>
              <w:t>405</w:t>
            </w:r>
            <w:r w:rsidR="00736DA9">
              <w:rPr>
                <w:noProof/>
                <w:webHidden/>
              </w:rPr>
              <w:fldChar w:fldCharType="end"/>
            </w:r>
          </w:hyperlink>
        </w:p>
        <w:p w14:paraId="2FFFFE19" w14:textId="25D829D4" w:rsidR="00736DA9" w:rsidRDefault="00000000">
          <w:pPr>
            <w:pStyle w:val="TOC4"/>
            <w:tabs>
              <w:tab w:val="right" w:pos="9350"/>
            </w:tabs>
            <w:rPr>
              <w:rFonts w:eastAsiaTheme="minorEastAsia" w:cstheme="minorBidi"/>
              <w:noProof/>
              <w:sz w:val="24"/>
              <w:szCs w:val="24"/>
            </w:rPr>
          </w:pPr>
          <w:hyperlink w:anchor="_Toc162267664"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_Toc162267664 \h </w:instrText>
            </w:r>
            <w:r w:rsidR="00736DA9">
              <w:rPr>
                <w:noProof/>
                <w:webHidden/>
              </w:rPr>
            </w:r>
            <w:r w:rsidR="00736DA9">
              <w:rPr>
                <w:noProof/>
                <w:webHidden/>
              </w:rPr>
              <w:fldChar w:fldCharType="separate"/>
            </w:r>
            <w:r w:rsidR="00736DA9">
              <w:rPr>
                <w:noProof/>
                <w:webHidden/>
              </w:rPr>
              <w:t>406</w:t>
            </w:r>
            <w:r w:rsidR="00736DA9">
              <w:rPr>
                <w:noProof/>
                <w:webHidden/>
              </w:rPr>
              <w:fldChar w:fldCharType="end"/>
            </w:r>
          </w:hyperlink>
        </w:p>
        <w:p w14:paraId="0AC3C958" w14:textId="71AE6120" w:rsidR="00736DA9" w:rsidRDefault="00000000">
          <w:pPr>
            <w:pStyle w:val="TOC4"/>
            <w:tabs>
              <w:tab w:val="right" w:pos="9350"/>
            </w:tabs>
            <w:rPr>
              <w:rFonts w:eastAsiaTheme="minorEastAsia" w:cstheme="minorBidi"/>
              <w:noProof/>
              <w:sz w:val="24"/>
              <w:szCs w:val="24"/>
            </w:rPr>
          </w:pPr>
          <w:hyperlink w:anchor="_Toc162267665" w:history="1">
            <w:r w:rsidR="00736DA9" w:rsidRPr="004372B1">
              <w:rPr>
                <w:rStyle w:val="Hyperlink"/>
                <w:noProof/>
              </w:rPr>
              <w:t>References 10.7</w:t>
            </w:r>
            <w:r w:rsidR="00736DA9">
              <w:rPr>
                <w:noProof/>
                <w:webHidden/>
              </w:rPr>
              <w:tab/>
            </w:r>
            <w:r w:rsidR="00736DA9">
              <w:rPr>
                <w:noProof/>
                <w:webHidden/>
              </w:rPr>
              <w:fldChar w:fldCharType="begin"/>
            </w:r>
            <w:r w:rsidR="00736DA9">
              <w:rPr>
                <w:noProof/>
                <w:webHidden/>
              </w:rPr>
              <w:instrText xml:space="preserve"> PAGEREF _Toc162267665 \h </w:instrText>
            </w:r>
            <w:r w:rsidR="00736DA9">
              <w:rPr>
                <w:noProof/>
                <w:webHidden/>
              </w:rPr>
            </w:r>
            <w:r w:rsidR="00736DA9">
              <w:rPr>
                <w:noProof/>
                <w:webHidden/>
              </w:rPr>
              <w:fldChar w:fldCharType="separate"/>
            </w:r>
            <w:r w:rsidR="00736DA9">
              <w:rPr>
                <w:noProof/>
                <w:webHidden/>
              </w:rPr>
              <w:t>406</w:t>
            </w:r>
            <w:r w:rsidR="00736DA9">
              <w:rPr>
                <w:noProof/>
                <w:webHidden/>
              </w:rPr>
              <w:fldChar w:fldCharType="end"/>
            </w:r>
          </w:hyperlink>
        </w:p>
        <w:p w14:paraId="140FFAA8" w14:textId="3B65D399" w:rsidR="00736DA9" w:rsidRDefault="00000000">
          <w:pPr>
            <w:pStyle w:val="TOC3"/>
            <w:tabs>
              <w:tab w:val="right" w:pos="9350"/>
            </w:tabs>
            <w:rPr>
              <w:rFonts w:eastAsiaTheme="minorEastAsia" w:cstheme="minorBidi"/>
              <w:noProof/>
              <w:sz w:val="24"/>
              <w:szCs w:val="24"/>
            </w:rPr>
          </w:pPr>
          <w:hyperlink w:anchor="_Toc162267666" w:history="1">
            <w:r w:rsidR="00736DA9" w:rsidRPr="004372B1">
              <w:rPr>
                <w:rStyle w:val="Hyperlink"/>
                <w:noProof/>
              </w:rPr>
              <w:t>Falls</w:t>
            </w:r>
            <w:r w:rsidR="00736DA9">
              <w:rPr>
                <w:noProof/>
                <w:webHidden/>
              </w:rPr>
              <w:tab/>
            </w:r>
            <w:r w:rsidR="00736DA9">
              <w:rPr>
                <w:noProof/>
                <w:webHidden/>
              </w:rPr>
              <w:fldChar w:fldCharType="begin"/>
            </w:r>
            <w:r w:rsidR="00736DA9">
              <w:rPr>
                <w:noProof/>
                <w:webHidden/>
              </w:rPr>
              <w:instrText xml:space="preserve"> PAGEREF _Toc162267666 \h </w:instrText>
            </w:r>
            <w:r w:rsidR="00736DA9">
              <w:rPr>
                <w:noProof/>
                <w:webHidden/>
              </w:rPr>
            </w:r>
            <w:r w:rsidR="00736DA9">
              <w:rPr>
                <w:noProof/>
                <w:webHidden/>
              </w:rPr>
              <w:fldChar w:fldCharType="separate"/>
            </w:r>
            <w:r w:rsidR="00736DA9">
              <w:rPr>
                <w:noProof/>
                <w:webHidden/>
              </w:rPr>
              <w:t>406</w:t>
            </w:r>
            <w:r w:rsidR="00736DA9">
              <w:rPr>
                <w:noProof/>
                <w:webHidden/>
              </w:rPr>
              <w:fldChar w:fldCharType="end"/>
            </w:r>
          </w:hyperlink>
        </w:p>
        <w:p w14:paraId="440FAFA9" w14:textId="252A74AD" w:rsidR="00736DA9" w:rsidRDefault="00000000">
          <w:pPr>
            <w:pStyle w:val="TOC4"/>
            <w:tabs>
              <w:tab w:val="right" w:pos="9350"/>
            </w:tabs>
            <w:rPr>
              <w:rFonts w:eastAsiaTheme="minorEastAsia" w:cstheme="minorBidi"/>
              <w:noProof/>
              <w:sz w:val="24"/>
              <w:szCs w:val="24"/>
            </w:rPr>
          </w:pPr>
          <w:hyperlink w:anchor="_Toc162267667" w:history="1">
            <w:r w:rsidR="00736DA9" w:rsidRPr="004372B1">
              <w:rPr>
                <w:rStyle w:val="Hyperlink"/>
                <w:noProof/>
              </w:rPr>
              <w:t>Figure 10.16: Death from Falls, Ages 65+.</w:t>
            </w:r>
            <w:r w:rsidR="00736DA9">
              <w:rPr>
                <w:noProof/>
                <w:webHidden/>
              </w:rPr>
              <w:tab/>
            </w:r>
            <w:r w:rsidR="00736DA9">
              <w:rPr>
                <w:noProof/>
                <w:webHidden/>
              </w:rPr>
              <w:fldChar w:fldCharType="begin"/>
            </w:r>
            <w:r w:rsidR="00736DA9">
              <w:rPr>
                <w:noProof/>
                <w:webHidden/>
              </w:rPr>
              <w:instrText xml:space="preserve"> PAGEREF _Toc162267667 \h </w:instrText>
            </w:r>
            <w:r w:rsidR="00736DA9">
              <w:rPr>
                <w:noProof/>
                <w:webHidden/>
              </w:rPr>
            </w:r>
            <w:r w:rsidR="00736DA9">
              <w:rPr>
                <w:noProof/>
                <w:webHidden/>
              </w:rPr>
              <w:fldChar w:fldCharType="separate"/>
            </w:r>
            <w:r w:rsidR="00736DA9">
              <w:rPr>
                <w:noProof/>
                <w:webHidden/>
              </w:rPr>
              <w:t>407</w:t>
            </w:r>
            <w:r w:rsidR="00736DA9">
              <w:rPr>
                <w:noProof/>
                <w:webHidden/>
              </w:rPr>
              <w:fldChar w:fldCharType="end"/>
            </w:r>
          </w:hyperlink>
        </w:p>
        <w:p w14:paraId="28D2BBD1" w14:textId="7C4938FF" w:rsidR="00736DA9" w:rsidRDefault="00000000">
          <w:pPr>
            <w:pStyle w:val="TOC4"/>
            <w:tabs>
              <w:tab w:val="right" w:pos="9350"/>
            </w:tabs>
            <w:rPr>
              <w:rFonts w:eastAsiaTheme="minorEastAsia" w:cstheme="minorBidi"/>
              <w:noProof/>
              <w:sz w:val="24"/>
              <w:szCs w:val="24"/>
            </w:rPr>
          </w:pPr>
          <w:hyperlink w:anchor="_Toc162267668" w:history="1">
            <w:r w:rsidR="00736DA9" w:rsidRPr="004372B1">
              <w:rPr>
                <w:rStyle w:val="Hyperlink"/>
                <w:noProof/>
              </w:rPr>
              <w:t>Figure 10.17: Nonfatal Fall Injury Emergency Department Visits, Ages 65+, by Age Group and Sex.</w:t>
            </w:r>
            <w:r w:rsidR="00736DA9">
              <w:rPr>
                <w:noProof/>
                <w:webHidden/>
              </w:rPr>
              <w:tab/>
            </w:r>
            <w:r w:rsidR="00736DA9">
              <w:rPr>
                <w:noProof/>
                <w:webHidden/>
              </w:rPr>
              <w:fldChar w:fldCharType="begin"/>
            </w:r>
            <w:r w:rsidR="00736DA9">
              <w:rPr>
                <w:noProof/>
                <w:webHidden/>
              </w:rPr>
              <w:instrText xml:space="preserve"> PAGEREF _Toc162267668 \h </w:instrText>
            </w:r>
            <w:r w:rsidR="00736DA9">
              <w:rPr>
                <w:noProof/>
                <w:webHidden/>
              </w:rPr>
            </w:r>
            <w:r w:rsidR="00736DA9">
              <w:rPr>
                <w:noProof/>
                <w:webHidden/>
              </w:rPr>
              <w:fldChar w:fldCharType="separate"/>
            </w:r>
            <w:r w:rsidR="00736DA9">
              <w:rPr>
                <w:noProof/>
                <w:webHidden/>
              </w:rPr>
              <w:t>407</w:t>
            </w:r>
            <w:r w:rsidR="00736DA9">
              <w:rPr>
                <w:noProof/>
                <w:webHidden/>
              </w:rPr>
              <w:fldChar w:fldCharType="end"/>
            </w:r>
          </w:hyperlink>
        </w:p>
        <w:p w14:paraId="377BF71A" w14:textId="7696A946" w:rsidR="00736DA9" w:rsidRDefault="00000000">
          <w:pPr>
            <w:pStyle w:val="TOC4"/>
            <w:tabs>
              <w:tab w:val="right" w:pos="9350"/>
            </w:tabs>
            <w:rPr>
              <w:rFonts w:eastAsiaTheme="minorEastAsia" w:cstheme="minorBidi"/>
              <w:noProof/>
              <w:sz w:val="24"/>
              <w:szCs w:val="24"/>
            </w:rPr>
          </w:pPr>
          <w:hyperlink w:anchor="_Toc162267669"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_Toc162267669 \h </w:instrText>
            </w:r>
            <w:r w:rsidR="00736DA9">
              <w:rPr>
                <w:noProof/>
                <w:webHidden/>
              </w:rPr>
            </w:r>
            <w:r w:rsidR="00736DA9">
              <w:rPr>
                <w:noProof/>
                <w:webHidden/>
              </w:rPr>
              <w:fldChar w:fldCharType="separate"/>
            </w:r>
            <w:r w:rsidR="00736DA9">
              <w:rPr>
                <w:noProof/>
                <w:webHidden/>
              </w:rPr>
              <w:t>408</w:t>
            </w:r>
            <w:r w:rsidR="00736DA9">
              <w:rPr>
                <w:noProof/>
                <w:webHidden/>
              </w:rPr>
              <w:fldChar w:fldCharType="end"/>
            </w:r>
          </w:hyperlink>
        </w:p>
        <w:p w14:paraId="29C36070" w14:textId="73951881" w:rsidR="00736DA9" w:rsidRDefault="00000000">
          <w:pPr>
            <w:pStyle w:val="TOC4"/>
            <w:tabs>
              <w:tab w:val="right" w:pos="9350"/>
            </w:tabs>
            <w:rPr>
              <w:rFonts w:eastAsiaTheme="minorEastAsia" w:cstheme="minorBidi"/>
              <w:noProof/>
              <w:sz w:val="24"/>
              <w:szCs w:val="24"/>
            </w:rPr>
          </w:pPr>
          <w:hyperlink w:anchor="_Toc162267670" w:history="1">
            <w:r w:rsidR="00736DA9" w:rsidRPr="004372B1">
              <w:rPr>
                <w:rStyle w:val="Hyperlink"/>
                <w:noProof/>
              </w:rPr>
              <w:t>References 10.8</w:t>
            </w:r>
            <w:r w:rsidR="00736DA9">
              <w:rPr>
                <w:noProof/>
                <w:webHidden/>
              </w:rPr>
              <w:tab/>
            </w:r>
            <w:r w:rsidR="00736DA9">
              <w:rPr>
                <w:noProof/>
                <w:webHidden/>
              </w:rPr>
              <w:fldChar w:fldCharType="begin"/>
            </w:r>
            <w:r w:rsidR="00736DA9">
              <w:rPr>
                <w:noProof/>
                <w:webHidden/>
              </w:rPr>
              <w:instrText xml:space="preserve"> PAGEREF _Toc162267670 \h </w:instrText>
            </w:r>
            <w:r w:rsidR="00736DA9">
              <w:rPr>
                <w:noProof/>
                <w:webHidden/>
              </w:rPr>
            </w:r>
            <w:r w:rsidR="00736DA9">
              <w:rPr>
                <w:noProof/>
                <w:webHidden/>
              </w:rPr>
              <w:fldChar w:fldCharType="separate"/>
            </w:r>
            <w:r w:rsidR="00736DA9">
              <w:rPr>
                <w:noProof/>
                <w:webHidden/>
              </w:rPr>
              <w:t>409</w:t>
            </w:r>
            <w:r w:rsidR="00736DA9">
              <w:rPr>
                <w:noProof/>
                <w:webHidden/>
              </w:rPr>
              <w:fldChar w:fldCharType="end"/>
            </w:r>
          </w:hyperlink>
        </w:p>
        <w:p w14:paraId="475760CF" w14:textId="454E39DC" w:rsidR="00736DA9" w:rsidRDefault="00000000">
          <w:pPr>
            <w:pStyle w:val="TOC3"/>
            <w:tabs>
              <w:tab w:val="right" w:pos="9350"/>
            </w:tabs>
            <w:rPr>
              <w:rFonts w:eastAsiaTheme="minorEastAsia" w:cstheme="minorBidi"/>
              <w:noProof/>
              <w:sz w:val="24"/>
              <w:szCs w:val="24"/>
            </w:rPr>
          </w:pPr>
          <w:hyperlink w:anchor="_Toc162267671" w:history="1">
            <w:r w:rsidR="00736DA9" w:rsidRPr="004372B1">
              <w:rPr>
                <w:rStyle w:val="Hyperlink"/>
                <w:noProof/>
              </w:rPr>
              <w:t>Traumatic Brain Injury</w:t>
            </w:r>
            <w:r w:rsidR="00736DA9">
              <w:rPr>
                <w:noProof/>
                <w:webHidden/>
              </w:rPr>
              <w:tab/>
            </w:r>
            <w:r w:rsidR="00736DA9">
              <w:rPr>
                <w:noProof/>
                <w:webHidden/>
              </w:rPr>
              <w:fldChar w:fldCharType="begin"/>
            </w:r>
            <w:r w:rsidR="00736DA9">
              <w:rPr>
                <w:noProof/>
                <w:webHidden/>
              </w:rPr>
              <w:instrText xml:space="preserve"> PAGEREF _Toc162267671 \h </w:instrText>
            </w:r>
            <w:r w:rsidR="00736DA9">
              <w:rPr>
                <w:noProof/>
                <w:webHidden/>
              </w:rPr>
            </w:r>
            <w:r w:rsidR="00736DA9">
              <w:rPr>
                <w:noProof/>
                <w:webHidden/>
              </w:rPr>
              <w:fldChar w:fldCharType="separate"/>
            </w:r>
            <w:r w:rsidR="00736DA9">
              <w:rPr>
                <w:noProof/>
                <w:webHidden/>
              </w:rPr>
              <w:t>409</w:t>
            </w:r>
            <w:r w:rsidR="00736DA9">
              <w:rPr>
                <w:noProof/>
                <w:webHidden/>
              </w:rPr>
              <w:fldChar w:fldCharType="end"/>
            </w:r>
          </w:hyperlink>
        </w:p>
        <w:p w14:paraId="7E29C0E8" w14:textId="3E698ADA" w:rsidR="00736DA9" w:rsidRDefault="00000000">
          <w:pPr>
            <w:pStyle w:val="TOC4"/>
            <w:tabs>
              <w:tab w:val="right" w:pos="9350"/>
            </w:tabs>
            <w:rPr>
              <w:rFonts w:eastAsiaTheme="minorEastAsia" w:cstheme="minorBidi"/>
              <w:noProof/>
              <w:sz w:val="24"/>
              <w:szCs w:val="24"/>
            </w:rPr>
          </w:pPr>
          <w:hyperlink w:anchor="_Toc162267672" w:history="1">
            <w:r w:rsidR="00736DA9" w:rsidRPr="004372B1">
              <w:rPr>
                <w:rStyle w:val="Hyperlink"/>
                <w:noProof/>
              </w:rPr>
              <w:t>Figure 10.18: Traumatic Brain Injury Deaths in Adults 65+, by Age Group.</w:t>
            </w:r>
            <w:r w:rsidR="00736DA9">
              <w:rPr>
                <w:noProof/>
                <w:webHidden/>
              </w:rPr>
              <w:tab/>
            </w:r>
            <w:r w:rsidR="00736DA9">
              <w:rPr>
                <w:noProof/>
                <w:webHidden/>
              </w:rPr>
              <w:fldChar w:fldCharType="begin"/>
            </w:r>
            <w:r w:rsidR="00736DA9">
              <w:rPr>
                <w:noProof/>
                <w:webHidden/>
              </w:rPr>
              <w:instrText xml:space="preserve"> PAGEREF _Toc162267672 \h </w:instrText>
            </w:r>
            <w:r w:rsidR="00736DA9">
              <w:rPr>
                <w:noProof/>
                <w:webHidden/>
              </w:rPr>
            </w:r>
            <w:r w:rsidR="00736DA9">
              <w:rPr>
                <w:noProof/>
                <w:webHidden/>
              </w:rPr>
              <w:fldChar w:fldCharType="separate"/>
            </w:r>
            <w:r w:rsidR="00736DA9">
              <w:rPr>
                <w:noProof/>
                <w:webHidden/>
              </w:rPr>
              <w:t>409</w:t>
            </w:r>
            <w:r w:rsidR="00736DA9">
              <w:rPr>
                <w:noProof/>
                <w:webHidden/>
              </w:rPr>
              <w:fldChar w:fldCharType="end"/>
            </w:r>
          </w:hyperlink>
        </w:p>
        <w:p w14:paraId="22DA9113" w14:textId="43D38429" w:rsidR="00736DA9" w:rsidRDefault="00000000">
          <w:pPr>
            <w:pStyle w:val="TOC4"/>
            <w:tabs>
              <w:tab w:val="right" w:pos="9350"/>
            </w:tabs>
            <w:rPr>
              <w:rFonts w:eastAsiaTheme="minorEastAsia" w:cstheme="minorBidi"/>
              <w:noProof/>
              <w:sz w:val="24"/>
              <w:szCs w:val="24"/>
            </w:rPr>
          </w:pPr>
          <w:hyperlink w:anchor="_Toc162267673" w:history="1">
            <w:r w:rsidR="00736DA9" w:rsidRPr="004372B1">
              <w:rPr>
                <w:rStyle w:val="Hyperlink"/>
                <w:noProof/>
              </w:rPr>
              <w:t>Figure 10.19: Causes of Nonfatal Traumatic Brain Injuries Seen in the Emergency Department Among Adults Aged 65+.</w:t>
            </w:r>
            <w:r w:rsidR="00736DA9">
              <w:rPr>
                <w:noProof/>
                <w:webHidden/>
              </w:rPr>
              <w:tab/>
            </w:r>
            <w:r w:rsidR="00736DA9">
              <w:rPr>
                <w:noProof/>
                <w:webHidden/>
              </w:rPr>
              <w:fldChar w:fldCharType="begin"/>
            </w:r>
            <w:r w:rsidR="00736DA9">
              <w:rPr>
                <w:noProof/>
                <w:webHidden/>
              </w:rPr>
              <w:instrText xml:space="preserve"> PAGEREF _Toc162267673 \h </w:instrText>
            </w:r>
            <w:r w:rsidR="00736DA9">
              <w:rPr>
                <w:noProof/>
                <w:webHidden/>
              </w:rPr>
            </w:r>
            <w:r w:rsidR="00736DA9">
              <w:rPr>
                <w:noProof/>
                <w:webHidden/>
              </w:rPr>
              <w:fldChar w:fldCharType="separate"/>
            </w:r>
            <w:r w:rsidR="00736DA9">
              <w:rPr>
                <w:noProof/>
                <w:webHidden/>
              </w:rPr>
              <w:t>409</w:t>
            </w:r>
            <w:r w:rsidR="00736DA9">
              <w:rPr>
                <w:noProof/>
                <w:webHidden/>
              </w:rPr>
              <w:fldChar w:fldCharType="end"/>
            </w:r>
          </w:hyperlink>
        </w:p>
        <w:p w14:paraId="35FC4511" w14:textId="22F2AE87" w:rsidR="00736DA9" w:rsidRDefault="00000000">
          <w:pPr>
            <w:pStyle w:val="TOC4"/>
            <w:tabs>
              <w:tab w:val="right" w:pos="9350"/>
            </w:tabs>
            <w:rPr>
              <w:rFonts w:eastAsiaTheme="minorEastAsia" w:cstheme="minorBidi"/>
              <w:noProof/>
              <w:sz w:val="24"/>
              <w:szCs w:val="24"/>
            </w:rPr>
          </w:pPr>
          <w:hyperlink w:anchor="_Toc162267674" w:history="1">
            <w:r w:rsidR="00736DA9" w:rsidRPr="004372B1">
              <w:rPr>
                <w:rStyle w:val="Hyperlink"/>
                <w:noProof/>
              </w:rPr>
              <w:t>References 10.9</w:t>
            </w:r>
            <w:r w:rsidR="00736DA9">
              <w:rPr>
                <w:noProof/>
                <w:webHidden/>
              </w:rPr>
              <w:tab/>
            </w:r>
            <w:r w:rsidR="00736DA9">
              <w:rPr>
                <w:noProof/>
                <w:webHidden/>
              </w:rPr>
              <w:fldChar w:fldCharType="begin"/>
            </w:r>
            <w:r w:rsidR="00736DA9">
              <w:rPr>
                <w:noProof/>
                <w:webHidden/>
              </w:rPr>
              <w:instrText xml:space="preserve"> PAGEREF _Toc162267674 \h </w:instrText>
            </w:r>
            <w:r w:rsidR="00736DA9">
              <w:rPr>
                <w:noProof/>
                <w:webHidden/>
              </w:rPr>
            </w:r>
            <w:r w:rsidR="00736DA9">
              <w:rPr>
                <w:noProof/>
                <w:webHidden/>
              </w:rPr>
              <w:fldChar w:fldCharType="separate"/>
            </w:r>
            <w:r w:rsidR="00736DA9">
              <w:rPr>
                <w:noProof/>
                <w:webHidden/>
              </w:rPr>
              <w:t>410</w:t>
            </w:r>
            <w:r w:rsidR="00736DA9">
              <w:rPr>
                <w:noProof/>
                <w:webHidden/>
              </w:rPr>
              <w:fldChar w:fldCharType="end"/>
            </w:r>
          </w:hyperlink>
        </w:p>
        <w:p w14:paraId="29F27BBD" w14:textId="25CA9D7E" w:rsidR="00736DA9" w:rsidRDefault="00000000">
          <w:pPr>
            <w:pStyle w:val="TOC3"/>
            <w:tabs>
              <w:tab w:val="right" w:pos="9350"/>
            </w:tabs>
            <w:rPr>
              <w:rFonts w:eastAsiaTheme="minorEastAsia" w:cstheme="minorBidi"/>
              <w:noProof/>
              <w:sz w:val="24"/>
              <w:szCs w:val="24"/>
            </w:rPr>
          </w:pPr>
          <w:hyperlink w:anchor="_Toc162267675" w:history="1">
            <w:r w:rsidR="00736DA9" w:rsidRPr="004372B1">
              <w:rPr>
                <w:rStyle w:val="Hyperlink"/>
                <w:noProof/>
              </w:rPr>
              <w:t>Motor Vehicle Crashes</w:t>
            </w:r>
            <w:r w:rsidR="00736DA9">
              <w:rPr>
                <w:noProof/>
                <w:webHidden/>
              </w:rPr>
              <w:tab/>
            </w:r>
            <w:r w:rsidR="00736DA9">
              <w:rPr>
                <w:noProof/>
                <w:webHidden/>
              </w:rPr>
              <w:fldChar w:fldCharType="begin"/>
            </w:r>
            <w:r w:rsidR="00736DA9">
              <w:rPr>
                <w:noProof/>
                <w:webHidden/>
              </w:rPr>
              <w:instrText xml:space="preserve"> PAGEREF _Toc162267675 \h </w:instrText>
            </w:r>
            <w:r w:rsidR="00736DA9">
              <w:rPr>
                <w:noProof/>
                <w:webHidden/>
              </w:rPr>
            </w:r>
            <w:r w:rsidR="00736DA9">
              <w:rPr>
                <w:noProof/>
                <w:webHidden/>
              </w:rPr>
              <w:fldChar w:fldCharType="separate"/>
            </w:r>
            <w:r w:rsidR="00736DA9">
              <w:rPr>
                <w:noProof/>
                <w:webHidden/>
              </w:rPr>
              <w:t>411</w:t>
            </w:r>
            <w:r w:rsidR="00736DA9">
              <w:rPr>
                <w:noProof/>
                <w:webHidden/>
              </w:rPr>
              <w:fldChar w:fldCharType="end"/>
            </w:r>
          </w:hyperlink>
        </w:p>
        <w:p w14:paraId="5681BDFA" w14:textId="7C0EF003" w:rsidR="00736DA9" w:rsidRDefault="00000000">
          <w:pPr>
            <w:pStyle w:val="TOC4"/>
            <w:tabs>
              <w:tab w:val="right" w:pos="9350"/>
            </w:tabs>
            <w:rPr>
              <w:rFonts w:eastAsiaTheme="minorEastAsia" w:cstheme="minorBidi"/>
              <w:noProof/>
              <w:sz w:val="24"/>
              <w:szCs w:val="24"/>
            </w:rPr>
          </w:pPr>
          <w:hyperlink w:anchor="_Toc162267676" w:history="1">
            <w:r w:rsidR="00736DA9" w:rsidRPr="004372B1">
              <w:rPr>
                <w:rStyle w:val="Hyperlink"/>
                <w:noProof/>
              </w:rPr>
              <w:t>Figure 10.20: Motor Vehicle Crash Deaths, by Age Group.</w:t>
            </w:r>
            <w:r w:rsidR="00736DA9">
              <w:rPr>
                <w:noProof/>
                <w:webHidden/>
              </w:rPr>
              <w:tab/>
            </w:r>
            <w:r w:rsidR="00736DA9">
              <w:rPr>
                <w:noProof/>
                <w:webHidden/>
              </w:rPr>
              <w:fldChar w:fldCharType="begin"/>
            </w:r>
            <w:r w:rsidR="00736DA9">
              <w:rPr>
                <w:noProof/>
                <w:webHidden/>
              </w:rPr>
              <w:instrText xml:space="preserve"> PAGEREF _Toc162267676 \h </w:instrText>
            </w:r>
            <w:r w:rsidR="00736DA9">
              <w:rPr>
                <w:noProof/>
                <w:webHidden/>
              </w:rPr>
            </w:r>
            <w:r w:rsidR="00736DA9">
              <w:rPr>
                <w:noProof/>
                <w:webHidden/>
              </w:rPr>
              <w:fldChar w:fldCharType="separate"/>
            </w:r>
            <w:r w:rsidR="00736DA9">
              <w:rPr>
                <w:noProof/>
                <w:webHidden/>
              </w:rPr>
              <w:t>411</w:t>
            </w:r>
            <w:r w:rsidR="00736DA9">
              <w:rPr>
                <w:noProof/>
                <w:webHidden/>
              </w:rPr>
              <w:fldChar w:fldCharType="end"/>
            </w:r>
          </w:hyperlink>
        </w:p>
        <w:p w14:paraId="4A620220" w14:textId="2007530C" w:rsidR="00736DA9" w:rsidRDefault="00000000">
          <w:pPr>
            <w:pStyle w:val="TOC4"/>
            <w:tabs>
              <w:tab w:val="right" w:pos="9350"/>
            </w:tabs>
            <w:rPr>
              <w:rFonts w:eastAsiaTheme="minorEastAsia" w:cstheme="minorBidi"/>
              <w:noProof/>
              <w:sz w:val="24"/>
              <w:szCs w:val="24"/>
            </w:rPr>
          </w:pPr>
          <w:hyperlink w:anchor="_Toc162267677" w:history="1">
            <w:r w:rsidR="00736DA9" w:rsidRPr="004372B1">
              <w:rPr>
                <w:rStyle w:val="Hyperlink"/>
                <w:noProof/>
              </w:rPr>
              <w:t>Figure 10.21: Nonfatal Motor Vehicle Crash Injury Emergency Department Visits, Ages 65+, by Age Group and Sex.</w:t>
            </w:r>
            <w:r w:rsidR="00736DA9">
              <w:rPr>
                <w:noProof/>
                <w:webHidden/>
              </w:rPr>
              <w:tab/>
            </w:r>
            <w:r w:rsidR="00736DA9">
              <w:rPr>
                <w:noProof/>
                <w:webHidden/>
              </w:rPr>
              <w:fldChar w:fldCharType="begin"/>
            </w:r>
            <w:r w:rsidR="00736DA9">
              <w:rPr>
                <w:noProof/>
                <w:webHidden/>
              </w:rPr>
              <w:instrText xml:space="preserve"> PAGEREF _Toc162267677 \h </w:instrText>
            </w:r>
            <w:r w:rsidR="00736DA9">
              <w:rPr>
                <w:noProof/>
                <w:webHidden/>
              </w:rPr>
            </w:r>
            <w:r w:rsidR="00736DA9">
              <w:rPr>
                <w:noProof/>
                <w:webHidden/>
              </w:rPr>
              <w:fldChar w:fldCharType="separate"/>
            </w:r>
            <w:r w:rsidR="00736DA9">
              <w:rPr>
                <w:noProof/>
                <w:webHidden/>
              </w:rPr>
              <w:t>411</w:t>
            </w:r>
            <w:r w:rsidR="00736DA9">
              <w:rPr>
                <w:noProof/>
                <w:webHidden/>
              </w:rPr>
              <w:fldChar w:fldCharType="end"/>
            </w:r>
          </w:hyperlink>
        </w:p>
        <w:p w14:paraId="2CF86B74" w14:textId="3C737AE7" w:rsidR="00736DA9" w:rsidRDefault="00000000">
          <w:pPr>
            <w:pStyle w:val="TOC4"/>
            <w:tabs>
              <w:tab w:val="right" w:pos="9350"/>
            </w:tabs>
            <w:rPr>
              <w:rFonts w:eastAsiaTheme="minorEastAsia" w:cstheme="minorBidi"/>
              <w:noProof/>
              <w:sz w:val="24"/>
              <w:szCs w:val="24"/>
            </w:rPr>
          </w:pPr>
          <w:hyperlink w:anchor="_Toc162267678"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_Toc162267678 \h </w:instrText>
            </w:r>
            <w:r w:rsidR="00736DA9">
              <w:rPr>
                <w:noProof/>
                <w:webHidden/>
              </w:rPr>
            </w:r>
            <w:r w:rsidR="00736DA9">
              <w:rPr>
                <w:noProof/>
                <w:webHidden/>
              </w:rPr>
              <w:fldChar w:fldCharType="separate"/>
            </w:r>
            <w:r w:rsidR="00736DA9">
              <w:rPr>
                <w:noProof/>
                <w:webHidden/>
              </w:rPr>
              <w:t>412</w:t>
            </w:r>
            <w:r w:rsidR="00736DA9">
              <w:rPr>
                <w:noProof/>
                <w:webHidden/>
              </w:rPr>
              <w:fldChar w:fldCharType="end"/>
            </w:r>
          </w:hyperlink>
        </w:p>
        <w:p w14:paraId="513F1536" w14:textId="2F660526" w:rsidR="00736DA9" w:rsidRDefault="00000000">
          <w:pPr>
            <w:pStyle w:val="TOC4"/>
            <w:tabs>
              <w:tab w:val="right" w:pos="9350"/>
            </w:tabs>
            <w:rPr>
              <w:rFonts w:eastAsiaTheme="minorEastAsia" w:cstheme="minorBidi"/>
              <w:noProof/>
              <w:sz w:val="24"/>
              <w:szCs w:val="24"/>
            </w:rPr>
          </w:pPr>
          <w:hyperlink w:anchor="_Toc162267679" w:history="1">
            <w:r w:rsidR="00736DA9" w:rsidRPr="004372B1">
              <w:rPr>
                <w:rStyle w:val="Hyperlink"/>
                <w:noProof/>
              </w:rPr>
              <w:t>References 10.10</w:t>
            </w:r>
            <w:r w:rsidR="00736DA9">
              <w:rPr>
                <w:noProof/>
                <w:webHidden/>
              </w:rPr>
              <w:tab/>
            </w:r>
            <w:r w:rsidR="00736DA9">
              <w:rPr>
                <w:noProof/>
                <w:webHidden/>
              </w:rPr>
              <w:fldChar w:fldCharType="begin"/>
            </w:r>
            <w:r w:rsidR="00736DA9">
              <w:rPr>
                <w:noProof/>
                <w:webHidden/>
              </w:rPr>
              <w:instrText xml:space="preserve"> PAGEREF _Toc162267679 \h </w:instrText>
            </w:r>
            <w:r w:rsidR="00736DA9">
              <w:rPr>
                <w:noProof/>
                <w:webHidden/>
              </w:rPr>
            </w:r>
            <w:r w:rsidR="00736DA9">
              <w:rPr>
                <w:noProof/>
                <w:webHidden/>
              </w:rPr>
              <w:fldChar w:fldCharType="separate"/>
            </w:r>
            <w:r w:rsidR="00736DA9">
              <w:rPr>
                <w:noProof/>
                <w:webHidden/>
              </w:rPr>
              <w:t>412</w:t>
            </w:r>
            <w:r w:rsidR="00736DA9">
              <w:rPr>
                <w:noProof/>
                <w:webHidden/>
              </w:rPr>
              <w:fldChar w:fldCharType="end"/>
            </w:r>
          </w:hyperlink>
        </w:p>
        <w:p w14:paraId="7C1D8ACF" w14:textId="05BA2723" w:rsidR="00736DA9" w:rsidRDefault="00000000">
          <w:pPr>
            <w:pStyle w:val="TOC3"/>
            <w:tabs>
              <w:tab w:val="right" w:pos="9350"/>
            </w:tabs>
            <w:rPr>
              <w:rFonts w:eastAsiaTheme="minorEastAsia" w:cstheme="minorBidi"/>
              <w:noProof/>
              <w:sz w:val="24"/>
              <w:szCs w:val="24"/>
            </w:rPr>
          </w:pPr>
          <w:hyperlink w:anchor="_Toc162267680" w:history="1">
            <w:r w:rsidR="00736DA9" w:rsidRPr="004372B1">
              <w:rPr>
                <w:rStyle w:val="Hyperlink"/>
                <w:noProof/>
              </w:rPr>
              <w:t>Homicide</w:t>
            </w:r>
            <w:r w:rsidR="00736DA9">
              <w:rPr>
                <w:noProof/>
                <w:webHidden/>
              </w:rPr>
              <w:tab/>
            </w:r>
            <w:r w:rsidR="00736DA9">
              <w:rPr>
                <w:noProof/>
                <w:webHidden/>
              </w:rPr>
              <w:fldChar w:fldCharType="begin"/>
            </w:r>
            <w:r w:rsidR="00736DA9">
              <w:rPr>
                <w:noProof/>
                <w:webHidden/>
              </w:rPr>
              <w:instrText xml:space="preserve"> PAGEREF _Toc162267680 \h </w:instrText>
            </w:r>
            <w:r w:rsidR="00736DA9">
              <w:rPr>
                <w:noProof/>
                <w:webHidden/>
              </w:rPr>
            </w:r>
            <w:r w:rsidR="00736DA9">
              <w:rPr>
                <w:noProof/>
                <w:webHidden/>
              </w:rPr>
              <w:fldChar w:fldCharType="separate"/>
            </w:r>
            <w:r w:rsidR="00736DA9">
              <w:rPr>
                <w:noProof/>
                <w:webHidden/>
              </w:rPr>
              <w:t>413</w:t>
            </w:r>
            <w:r w:rsidR="00736DA9">
              <w:rPr>
                <w:noProof/>
                <w:webHidden/>
              </w:rPr>
              <w:fldChar w:fldCharType="end"/>
            </w:r>
          </w:hyperlink>
        </w:p>
        <w:p w14:paraId="1463315F" w14:textId="63AF84C8" w:rsidR="00736DA9" w:rsidRDefault="00000000">
          <w:pPr>
            <w:pStyle w:val="TOC4"/>
            <w:tabs>
              <w:tab w:val="right" w:pos="9350"/>
            </w:tabs>
            <w:rPr>
              <w:rFonts w:eastAsiaTheme="minorEastAsia" w:cstheme="minorBidi"/>
              <w:noProof/>
              <w:sz w:val="24"/>
              <w:szCs w:val="24"/>
            </w:rPr>
          </w:pPr>
          <w:hyperlink w:anchor="_Toc162267681" w:history="1">
            <w:r w:rsidR="00736DA9" w:rsidRPr="004372B1">
              <w:rPr>
                <w:rStyle w:val="Hyperlink"/>
                <w:noProof/>
              </w:rPr>
              <w:t>Figure 10.22: Homicide.</w:t>
            </w:r>
            <w:r w:rsidR="00736DA9">
              <w:rPr>
                <w:noProof/>
                <w:webHidden/>
              </w:rPr>
              <w:tab/>
            </w:r>
            <w:r w:rsidR="00736DA9">
              <w:rPr>
                <w:noProof/>
                <w:webHidden/>
              </w:rPr>
              <w:fldChar w:fldCharType="begin"/>
            </w:r>
            <w:r w:rsidR="00736DA9">
              <w:rPr>
                <w:noProof/>
                <w:webHidden/>
              </w:rPr>
              <w:instrText xml:space="preserve"> PAGEREF _Toc162267681 \h </w:instrText>
            </w:r>
            <w:r w:rsidR="00736DA9">
              <w:rPr>
                <w:noProof/>
                <w:webHidden/>
              </w:rPr>
            </w:r>
            <w:r w:rsidR="00736DA9">
              <w:rPr>
                <w:noProof/>
                <w:webHidden/>
              </w:rPr>
              <w:fldChar w:fldCharType="separate"/>
            </w:r>
            <w:r w:rsidR="00736DA9">
              <w:rPr>
                <w:noProof/>
                <w:webHidden/>
              </w:rPr>
              <w:t>413</w:t>
            </w:r>
            <w:r w:rsidR="00736DA9">
              <w:rPr>
                <w:noProof/>
                <w:webHidden/>
              </w:rPr>
              <w:fldChar w:fldCharType="end"/>
            </w:r>
          </w:hyperlink>
        </w:p>
        <w:p w14:paraId="3C69BAE4" w14:textId="7FD731BA" w:rsidR="00736DA9" w:rsidRDefault="00000000">
          <w:pPr>
            <w:pStyle w:val="TOC4"/>
            <w:tabs>
              <w:tab w:val="right" w:pos="9350"/>
            </w:tabs>
            <w:rPr>
              <w:rFonts w:eastAsiaTheme="minorEastAsia" w:cstheme="minorBidi"/>
              <w:noProof/>
              <w:sz w:val="24"/>
              <w:szCs w:val="24"/>
            </w:rPr>
          </w:pPr>
          <w:hyperlink w:anchor="_Toc162267682" w:history="1">
            <w:r w:rsidR="00736DA9" w:rsidRPr="004372B1">
              <w:rPr>
                <w:rStyle w:val="Hyperlink"/>
                <w:noProof/>
              </w:rPr>
              <w:t>Figure 10.23: Homicide in Adults Ages 65+, by Race/Ethnicity.</w:t>
            </w:r>
            <w:r w:rsidR="00736DA9">
              <w:rPr>
                <w:noProof/>
                <w:webHidden/>
              </w:rPr>
              <w:tab/>
            </w:r>
            <w:r w:rsidR="00736DA9">
              <w:rPr>
                <w:noProof/>
                <w:webHidden/>
              </w:rPr>
              <w:fldChar w:fldCharType="begin"/>
            </w:r>
            <w:r w:rsidR="00736DA9">
              <w:rPr>
                <w:noProof/>
                <w:webHidden/>
              </w:rPr>
              <w:instrText xml:space="preserve"> PAGEREF _Toc162267682 \h </w:instrText>
            </w:r>
            <w:r w:rsidR="00736DA9">
              <w:rPr>
                <w:noProof/>
                <w:webHidden/>
              </w:rPr>
            </w:r>
            <w:r w:rsidR="00736DA9">
              <w:rPr>
                <w:noProof/>
                <w:webHidden/>
              </w:rPr>
              <w:fldChar w:fldCharType="separate"/>
            </w:r>
            <w:r w:rsidR="00736DA9">
              <w:rPr>
                <w:noProof/>
                <w:webHidden/>
              </w:rPr>
              <w:t>414</w:t>
            </w:r>
            <w:r w:rsidR="00736DA9">
              <w:rPr>
                <w:noProof/>
                <w:webHidden/>
              </w:rPr>
              <w:fldChar w:fldCharType="end"/>
            </w:r>
          </w:hyperlink>
        </w:p>
        <w:p w14:paraId="3F338B34" w14:textId="02194DF0" w:rsidR="00736DA9" w:rsidRDefault="00000000">
          <w:pPr>
            <w:pStyle w:val="TOC4"/>
            <w:tabs>
              <w:tab w:val="right" w:pos="9350"/>
            </w:tabs>
            <w:rPr>
              <w:rFonts w:eastAsiaTheme="minorEastAsia" w:cstheme="minorBidi"/>
              <w:noProof/>
              <w:sz w:val="24"/>
              <w:szCs w:val="24"/>
            </w:rPr>
          </w:pPr>
          <w:hyperlink w:anchor="_Toc162267683"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_Toc162267683 \h </w:instrText>
            </w:r>
            <w:r w:rsidR="00736DA9">
              <w:rPr>
                <w:noProof/>
                <w:webHidden/>
              </w:rPr>
            </w:r>
            <w:r w:rsidR="00736DA9">
              <w:rPr>
                <w:noProof/>
                <w:webHidden/>
              </w:rPr>
              <w:fldChar w:fldCharType="separate"/>
            </w:r>
            <w:r w:rsidR="00736DA9">
              <w:rPr>
                <w:noProof/>
                <w:webHidden/>
              </w:rPr>
              <w:t>414</w:t>
            </w:r>
            <w:r w:rsidR="00736DA9">
              <w:rPr>
                <w:noProof/>
                <w:webHidden/>
              </w:rPr>
              <w:fldChar w:fldCharType="end"/>
            </w:r>
          </w:hyperlink>
        </w:p>
        <w:p w14:paraId="37702395" w14:textId="6BE7436E" w:rsidR="00736DA9" w:rsidRDefault="00000000">
          <w:pPr>
            <w:pStyle w:val="TOC4"/>
            <w:tabs>
              <w:tab w:val="right" w:pos="9350"/>
            </w:tabs>
            <w:rPr>
              <w:rFonts w:eastAsiaTheme="minorEastAsia" w:cstheme="minorBidi"/>
              <w:noProof/>
              <w:sz w:val="24"/>
              <w:szCs w:val="24"/>
            </w:rPr>
          </w:pPr>
          <w:hyperlink w:anchor="_Toc162267684" w:history="1">
            <w:r w:rsidR="00736DA9" w:rsidRPr="004372B1">
              <w:rPr>
                <w:rStyle w:val="Hyperlink"/>
                <w:noProof/>
              </w:rPr>
              <w:t>References 10.11</w:t>
            </w:r>
            <w:r w:rsidR="00736DA9">
              <w:rPr>
                <w:noProof/>
                <w:webHidden/>
              </w:rPr>
              <w:tab/>
            </w:r>
            <w:r w:rsidR="00736DA9">
              <w:rPr>
                <w:noProof/>
                <w:webHidden/>
              </w:rPr>
              <w:fldChar w:fldCharType="begin"/>
            </w:r>
            <w:r w:rsidR="00736DA9">
              <w:rPr>
                <w:noProof/>
                <w:webHidden/>
              </w:rPr>
              <w:instrText xml:space="preserve"> PAGEREF _Toc162267684 \h </w:instrText>
            </w:r>
            <w:r w:rsidR="00736DA9">
              <w:rPr>
                <w:noProof/>
                <w:webHidden/>
              </w:rPr>
            </w:r>
            <w:r w:rsidR="00736DA9">
              <w:rPr>
                <w:noProof/>
                <w:webHidden/>
              </w:rPr>
              <w:fldChar w:fldCharType="separate"/>
            </w:r>
            <w:r w:rsidR="00736DA9">
              <w:rPr>
                <w:noProof/>
                <w:webHidden/>
              </w:rPr>
              <w:t>415</w:t>
            </w:r>
            <w:r w:rsidR="00736DA9">
              <w:rPr>
                <w:noProof/>
                <w:webHidden/>
              </w:rPr>
              <w:fldChar w:fldCharType="end"/>
            </w:r>
          </w:hyperlink>
        </w:p>
        <w:p w14:paraId="6411CEDD" w14:textId="511A8C30" w:rsidR="00736DA9" w:rsidRDefault="00000000">
          <w:pPr>
            <w:pStyle w:val="TOC3"/>
            <w:tabs>
              <w:tab w:val="right" w:pos="9350"/>
            </w:tabs>
            <w:rPr>
              <w:rFonts w:eastAsiaTheme="minorEastAsia" w:cstheme="minorBidi"/>
              <w:noProof/>
              <w:sz w:val="24"/>
              <w:szCs w:val="24"/>
            </w:rPr>
          </w:pPr>
          <w:hyperlink w:anchor="_Toc162267685" w:history="1">
            <w:r w:rsidR="00736DA9" w:rsidRPr="004372B1">
              <w:rPr>
                <w:rStyle w:val="Hyperlink"/>
                <w:noProof/>
              </w:rPr>
              <w:t>Suicide</w:t>
            </w:r>
            <w:r w:rsidR="00736DA9">
              <w:rPr>
                <w:noProof/>
                <w:webHidden/>
              </w:rPr>
              <w:tab/>
            </w:r>
            <w:r w:rsidR="00736DA9">
              <w:rPr>
                <w:noProof/>
                <w:webHidden/>
              </w:rPr>
              <w:fldChar w:fldCharType="begin"/>
            </w:r>
            <w:r w:rsidR="00736DA9">
              <w:rPr>
                <w:noProof/>
                <w:webHidden/>
              </w:rPr>
              <w:instrText xml:space="preserve"> PAGEREF _Toc162267685 \h </w:instrText>
            </w:r>
            <w:r w:rsidR="00736DA9">
              <w:rPr>
                <w:noProof/>
                <w:webHidden/>
              </w:rPr>
            </w:r>
            <w:r w:rsidR="00736DA9">
              <w:rPr>
                <w:noProof/>
                <w:webHidden/>
              </w:rPr>
              <w:fldChar w:fldCharType="separate"/>
            </w:r>
            <w:r w:rsidR="00736DA9">
              <w:rPr>
                <w:noProof/>
                <w:webHidden/>
              </w:rPr>
              <w:t>415</w:t>
            </w:r>
            <w:r w:rsidR="00736DA9">
              <w:rPr>
                <w:noProof/>
                <w:webHidden/>
              </w:rPr>
              <w:fldChar w:fldCharType="end"/>
            </w:r>
          </w:hyperlink>
        </w:p>
        <w:p w14:paraId="1A39D5EB" w14:textId="4F1010F0" w:rsidR="00736DA9" w:rsidRDefault="00000000">
          <w:pPr>
            <w:pStyle w:val="TOC4"/>
            <w:tabs>
              <w:tab w:val="right" w:pos="9350"/>
            </w:tabs>
            <w:rPr>
              <w:rFonts w:eastAsiaTheme="minorEastAsia" w:cstheme="minorBidi"/>
              <w:noProof/>
              <w:sz w:val="24"/>
              <w:szCs w:val="24"/>
            </w:rPr>
          </w:pPr>
          <w:hyperlink w:anchor="_Toc162267686" w:history="1">
            <w:r w:rsidR="00736DA9" w:rsidRPr="004372B1">
              <w:rPr>
                <w:rStyle w:val="Hyperlink"/>
                <w:noProof/>
              </w:rPr>
              <w:t>Figure 10.24: Suicide.</w:t>
            </w:r>
            <w:r w:rsidR="00736DA9">
              <w:rPr>
                <w:noProof/>
                <w:webHidden/>
              </w:rPr>
              <w:tab/>
            </w:r>
            <w:r w:rsidR="00736DA9">
              <w:rPr>
                <w:noProof/>
                <w:webHidden/>
              </w:rPr>
              <w:fldChar w:fldCharType="begin"/>
            </w:r>
            <w:r w:rsidR="00736DA9">
              <w:rPr>
                <w:noProof/>
                <w:webHidden/>
              </w:rPr>
              <w:instrText xml:space="preserve"> PAGEREF _Toc162267686 \h </w:instrText>
            </w:r>
            <w:r w:rsidR="00736DA9">
              <w:rPr>
                <w:noProof/>
                <w:webHidden/>
              </w:rPr>
            </w:r>
            <w:r w:rsidR="00736DA9">
              <w:rPr>
                <w:noProof/>
                <w:webHidden/>
              </w:rPr>
              <w:fldChar w:fldCharType="separate"/>
            </w:r>
            <w:r w:rsidR="00736DA9">
              <w:rPr>
                <w:noProof/>
                <w:webHidden/>
              </w:rPr>
              <w:t>416</w:t>
            </w:r>
            <w:r w:rsidR="00736DA9">
              <w:rPr>
                <w:noProof/>
                <w:webHidden/>
              </w:rPr>
              <w:fldChar w:fldCharType="end"/>
            </w:r>
          </w:hyperlink>
        </w:p>
        <w:p w14:paraId="37D065D9" w14:textId="0502C94F" w:rsidR="00736DA9" w:rsidRDefault="00000000">
          <w:pPr>
            <w:pStyle w:val="TOC4"/>
            <w:tabs>
              <w:tab w:val="right" w:pos="9350"/>
            </w:tabs>
            <w:rPr>
              <w:rFonts w:eastAsiaTheme="minorEastAsia" w:cstheme="minorBidi"/>
              <w:noProof/>
              <w:sz w:val="24"/>
              <w:szCs w:val="24"/>
            </w:rPr>
          </w:pPr>
          <w:hyperlink w:anchor="_Toc162267687" w:history="1">
            <w:r w:rsidR="00736DA9" w:rsidRPr="004372B1">
              <w:rPr>
                <w:rStyle w:val="Hyperlink"/>
                <w:noProof/>
              </w:rPr>
              <w:t>Figure 10.25: Suicides by Firearm, by Age Group.</w:t>
            </w:r>
            <w:r w:rsidR="00736DA9">
              <w:rPr>
                <w:noProof/>
                <w:webHidden/>
              </w:rPr>
              <w:tab/>
            </w:r>
            <w:r w:rsidR="00736DA9">
              <w:rPr>
                <w:noProof/>
                <w:webHidden/>
              </w:rPr>
              <w:fldChar w:fldCharType="begin"/>
            </w:r>
            <w:r w:rsidR="00736DA9">
              <w:rPr>
                <w:noProof/>
                <w:webHidden/>
              </w:rPr>
              <w:instrText xml:space="preserve"> PAGEREF _Toc162267687 \h </w:instrText>
            </w:r>
            <w:r w:rsidR="00736DA9">
              <w:rPr>
                <w:noProof/>
                <w:webHidden/>
              </w:rPr>
            </w:r>
            <w:r w:rsidR="00736DA9">
              <w:rPr>
                <w:noProof/>
                <w:webHidden/>
              </w:rPr>
              <w:fldChar w:fldCharType="separate"/>
            </w:r>
            <w:r w:rsidR="00736DA9">
              <w:rPr>
                <w:noProof/>
                <w:webHidden/>
              </w:rPr>
              <w:t>416</w:t>
            </w:r>
            <w:r w:rsidR="00736DA9">
              <w:rPr>
                <w:noProof/>
                <w:webHidden/>
              </w:rPr>
              <w:fldChar w:fldCharType="end"/>
            </w:r>
          </w:hyperlink>
        </w:p>
        <w:p w14:paraId="50E008A1" w14:textId="0A7009D8" w:rsidR="00736DA9" w:rsidRDefault="00000000">
          <w:pPr>
            <w:pStyle w:val="TOC4"/>
            <w:tabs>
              <w:tab w:val="right" w:pos="9350"/>
            </w:tabs>
            <w:rPr>
              <w:rFonts w:eastAsiaTheme="minorEastAsia" w:cstheme="minorBidi"/>
              <w:noProof/>
              <w:sz w:val="24"/>
              <w:szCs w:val="24"/>
            </w:rPr>
          </w:pPr>
          <w:hyperlink w:anchor="_Toc162267688"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_Toc162267688 \h </w:instrText>
            </w:r>
            <w:r w:rsidR="00736DA9">
              <w:rPr>
                <w:noProof/>
                <w:webHidden/>
              </w:rPr>
            </w:r>
            <w:r w:rsidR="00736DA9">
              <w:rPr>
                <w:noProof/>
                <w:webHidden/>
              </w:rPr>
              <w:fldChar w:fldCharType="separate"/>
            </w:r>
            <w:r w:rsidR="00736DA9">
              <w:rPr>
                <w:noProof/>
                <w:webHidden/>
              </w:rPr>
              <w:t>416</w:t>
            </w:r>
            <w:r w:rsidR="00736DA9">
              <w:rPr>
                <w:noProof/>
                <w:webHidden/>
              </w:rPr>
              <w:fldChar w:fldCharType="end"/>
            </w:r>
          </w:hyperlink>
        </w:p>
        <w:p w14:paraId="3DB7D750" w14:textId="0C992E0C" w:rsidR="00736DA9" w:rsidRDefault="00000000">
          <w:pPr>
            <w:pStyle w:val="TOC4"/>
            <w:tabs>
              <w:tab w:val="right" w:pos="9350"/>
            </w:tabs>
            <w:rPr>
              <w:rFonts w:eastAsiaTheme="minorEastAsia" w:cstheme="minorBidi"/>
              <w:noProof/>
              <w:sz w:val="24"/>
              <w:szCs w:val="24"/>
            </w:rPr>
          </w:pPr>
          <w:hyperlink w:anchor="_Toc162267689" w:history="1">
            <w:r w:rsidR="00736DA9" w:rsidRPr="004372B1">
              <w:rPr>
                <w:rStyle w:val="Hyperlink"/>
                <w:noProof/>
              </w:rPr>
              <w:t>References 10.12</w:t>
            </w:r>
            <w:r w:rsidR="00736DA9">
              <w:rPr>
                <w:noProof/>
                <w:webHidden/>
              </w:rPr>
              <w:tab/>
            </w:r>
            <w:r w:rsidR="00736DA9">
              <w:rPr>
                <w:noProof/>
                <w:webHidden/>
              </w:rPr>
              <w:fldChar w:fldCharType="begin"/>
            </w:r>
            <w:r w:rsidR="00736DA9">
              <w:rPr>
                <w:noProof/>
                <w:webHidden/>
              </w:rPr>
              <w:instrText xml:space="preserve"> PAGEREF _Toc162267689 \h </w:instrText>
            </w:r>
            <w:r w:rsidR="00736DA9">
              <w:rPr>
                <w:noProof/>
                <w:webHidden/>
              </w:rPr>
            </w:r>
            <w:r w:rsidR="00736DA9">
              <w:rPr>
                <w:noProof/>
                <w:webHidden/>
              </w:rPr>
              <w:fldChar w:fldCharType="separate"/>
            </w:r>
            <w:r w:rsidR="00736DA9">
              <w:rPr>
                <w:noProof/>
                <w:webHidden/>
              </w:rPr>
              <w:t>417</w:t>
            </w:r>
            <w:r w:rsidR="00736DA9">
              <w:rPr>
                <w:noProof/>
                <w:webHidden/>
              </w:rPr>
              <w:fldChar w:fldCharType="end"/>
            </w:r>
          </w:hyperlink>
        </w:p>
        <w:p w14:paraId="50CBF533" w14:textId="0A846AB7" w:rsidR="00736DA9" w:rsidRDefault="00000000">
          <w:pPr>
            <w:pStyle w:val="TOC3"/>
            <w:tabs>
              <w:tab w:val="right" w:pos="9350"/>
            </w:tabs>
            <w:rPr>
              <w:rFonts w:eastAsiaTheme="minorEastAsia" w:cstheme="minorBidi"/>
              <w:noProof/>
              <w:sz w:val="24"/>
              <w:szCs w:val="24"/>
            </w:rPr>
          </w:pPr>
          <w:hyperlink w:anchor="_Toc162267690" w:history="1">
            <w:r w:rsidR="00736DA9" w:rsidRPr="004372B1">
              <w:rPr>
                <w:rStyle w:val="Hyperlink"/>
                <w:noProof/>
              </w:rPr>
              <w:t>Elder Abuse</w:t>
            </w:r>
            <w:r w:rsidR="00736DA9">
              <w:rPr>
                <w:noProof/>
                <w:webHidden/>
              </w:rPr>
              <w:tab/>
            </w:r>
            <w:r w:rsidR="00736DA9">
              <w:rPr>
                <w:noProof/>
                <w:webHidden/>
              </w:rPr>
              <w:fldChar w:fldCharType="begin"/>
            </w:r>
            <w:r w:rsidR="00736DA9">
              <w:rPr>
                <w:noProof/>
                <w:webHidden/>
              </w:rPr>
              <w:instrText xml:space="preserve"> PAGEREF _Toc162267690 \h </w:instrText>
            </w:r>
            <w:r w:rsidR="00736DA9">
              <w:rPr>
                <w:noProof/>
                <w:webHidden/>
              </w:rPr>
            </w:r>
            <w:r w:rsidR="00736DA9">
              <w:rPr>
                <w:noProof/>
                <w:webHidden/>
              </w:rPr>
              <w:fldChar w:fldCharType="separate"/>
            </w:r>
            <w:r w:rsidR="00736DA9">
              <w:rPr>
                <w:noProof/>
                <w:webHidden/>
              </w:rPr>
              <w:t>417</w:t>
            </w:r>
            <w:r w:rsidR="00736DA9">
              <w:rPr>
                <w:noProof/>
                <w:webHidden/>
              </w:rPr>
              <w:fldChar w:fldCharType="end"/>
            </w:r>
          </w:hyperlink>
        </w:p>
        <w:p w14:paraId="3B8A76E6" w14:textId="03E42FB1" w:rsidR="00736DA9" w:rsidRDefault="00000000">
          <w:pPr>
            <w:pStyle w:val="TOC4"/>
            <w:tabs>
              <w:tab w:val="right" w:pos="9350"/>
            </w:tabs>
            <w:rPr>
              <w:rFonts w:eastAsiaTheme="minorEastAsia" w:cstheme="minorBidi"/>
              <w:noProof/>
              <w:sz w:val="24"/>
              <w:szCs w:val="24"/>
            </w:rPr>
          </w:pPr>
          <w:hyperlink w:anchor="_Toc162267691" w:history="1">
            <w:r w:rsidR="00736DA9" w:rsidRPr="004372B1">
              <w:rPr>
                <w:rStyle w:val="Hyperlink"/>
                <w:noProof/>
              </w:rPr>
              <w:t>Figure 10.26: Adult Protective Services Investigations Among Adults 65+, by Type.</w:t>
            </w:r>
            <w:r w:rsidR="00736DA9">
              <w:rPr>
                <w:noProof/>
                <w:webHidden/>
              </w:rPr>
              <w:tab/>
            </w:r>
            <w:r w:rsidR="00736DA9">
              <w:rPr>
                <w:noProof/>
                <w:webHidden/>
              </w:rPr>
              <w:fldChar w:fldCharType="begin"/>
            </w:r>
            <w:r w:rsidR="00736DA9">
              <w:rPr>
                <w:noProof/>
                <w:webHidden/>
              </w:rPr>
              <w:instrText xml:space="preserve"> PAGEREF _Toc162267691 \h </w:instrText>
            </w:r>
            <w:r w:rsidR="00736DA9">
              <w:rPr>
                <w:noProof/>
                <w:webHidden/>
              </w:rPr>
            </w:r>
            <w:r w:rsidR="00736DA9">
              <w:rPr>
                <w:noProof/>
                <w:webHidden/>
              </w:rPr>
              <w:fldChar w:fldCharType="separate"/>
            </w:r>
            <w:r w:rsidR="00736DA9">
              <w:rPr>
                <w:noProof/>
                <w:webHidden/>
              </w:rPr>
              <w:t>418</w:t>
            </w:r>
            <w:r w:rsidR="00736DA9">
              <w:rPr>
                <w:noProof/>
                <w:webHidden/>
              </w:rPr>
              <w:fldChar w:fldCharType="end"/>
            </w:r>
          </w:hyperlink>
        </w:p>
        <w:p w14:paraId="4A00396F" w14:textId="65FC6557" w:rsidR="00736DA9" w:rsidRDefault="00000000">
          <w:pPr>
            <w:pStyle w:val="TOC4"/>
            <w:tabs>
              <w:tab w:val="right" w:pos="9350"/>
            </w:tabs>
            <w:rPr>
              <w:rFonts w:eastAsiaTheme="minorEastAsia" w:cstheme="minorBidi"/>
              <w:noProof/>
              <w:sz w:val="24"/>
              <w:szCs w:val="24"/>
            </w:rPr>
          </w:pPr>
          <w:hyperlink w:anchor="_Toc162267692" w:history="1">
            <w:r w:rsidR="00736DA9" w:rsidRPr="004372B1">
              <w:rPr>
                <w:rStyle w:val="Hyperlink"/>
                <w:noProof/>
              </w:rPr>
              <w:t>Figure 10.27: Adult Protective Services Investigations Among Adults 65+, by Sex.</w:t>
            </w:r>
            <w:r w:rsidR="00736DA9">
              <w:rPr>
                <w:noProof/>
                <w:webHidden/>
              </w:rPr>
              <w:tab/>
            </w:r>
            <w:r w:rsidR="00736DA9">
              <w:rPr>
                <w:noProof/>
                <w:webHidden/>
              </w:rPr>
              <w:fldChar w:fldCharType="begin"/>
            </w:r>
            <w:r w:rsidR="00736DA9">
              <w:rPr>
                <w:noProof/>
                <w:webHidden/>
              </w:rPr>
              <w:instrText xml:space="preserve"> PAGEREF _Toc162267692 \h </w:instrText>
            </w:r>
            <w:r w:rsidR="00736DA9">
              <w:rPr>
                <w:noProof/>
                <w:webHidden/>
              </w:rPr>
            </w:r>
            <w:r w:rsidR="00736DA9">
              <w:rPr>
                <w:noProof/>
                <w:webHidden/>
              </w:rPr>
              <w:fldChar w:fldCharType="separate"/>
            </w:r>
            <w:r w:rsidR="00736DA9">
              <w:rPr>
                <w:noProof/>
                <w:webHidden/>
              </w:rPr>
              <w:t>418</w:t>
            </w:r>
            <w:r w:rsidR="00736DA9">
              <w:rPr>
                <w:noProof/>
                <w:webHidden/>
              </w:rPr>
              <w:fldChar w:fldCharType="end"/>
            </w:r>
          </w:hyperlink>
        </w:p>
        <w:p w14:paraId="05A8360A" w14:textId="5699616F" w:rsidR="00736DA9" w:rsidRDefault="00000000">
          <w:pPr>
            <w:pStyle w:val="TOC4"/>
            <w:tabs>
              <w:tab w:val="right" w:pos="9350"/>
            </w:tabs>
            <w:rPr>
              <w:rFonts w:eastAsiaTheme="minorEastAsia" w:cstheme="minorBidi"/>
              <w:noProof/>
              <w:sz w:val="24"/>
              <w:szCs w:val="24"/>
            </w:rPr>
          </w:pPr>
          <w:hyperlink w:anchor="_Toc162267693"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_Toc162267693 \h </w:instrText>
            </w:r>
            <w:r w:rsidR="00736DA9">
              <w:rPr>
                <w:noProof/>
                <w:webHidden/>
              </w:rPr>
            </w:r>
            <w:r w:rsidR="00736DA9">
              <w:rPr>
                <w:noProof/>
                <w:webHidden/>
              </w:rPr>
              <w:fldChar w:fldCharType="separate"/>
            </w:r>
            <w:r w:rsidR="00736DA9">
              <w:rPr>
                <w:noProof/>
                <w:webHidden/>
              </w:rPr>
              <w:t>418</w:t>
            </w:r>
            <w:r w:rsidR="00736DA9">
              <w:rPr>
                <w:noProof/>
                <w:webHidden/>
              </w:rPr>
              <w:fldChar w:fldCharType="end"/>
            </w:r>
          </w:hyperlink>
        </w:p>
        <w:p w14:paraId="212DC187" w14:textId="57779D0A" w:rsidR="00736DA9" w:rsidRDefault="00000000">
          <w:pPr>
            <w:pStyle w:val="TOC4"/>
            <w:tabs>
              <w:tab w:val="right" w:pos="9350"/>
            </w:tabs>
            <w:rPr>
              <w:rFonts w:eastAsiaTheme="minorEastAsia" w:cstheme="minorBidi"/>
              <w:noProof/>
              <w:sz w:val="24"/>
              <w:szCs w:val="24"/>
            </w:rPr>
          </w:pPr>
          <w:hyperlink w:anchor="_Toc162267694" w:history="1">
            <w:r w:rsidR="00736DA9" w:rsidRPr="004372B1">
              <w:rPr>
                <w:rStyle w:val="Hyperlink"/>
                <w:noProof/>
              </w:rPr>
              <w:t>References 10.13</w:t>
            </w:r>
            <w:r w:rsidR="00736DA9">
              <w:rPr>
                <w:noProof/>
                <w:webHidden/>
              </w:rPr>
              <w:tab/>
            </w:r>
            <w:r w:rsidR="00736DA9">
              <w:rPr>
                <w:noProof/>
                <w:webHidden/>
              </w:rPr>
              <w:fldChar w:fldCharType="begin"/>
            </w:r>
            <w:r w:rsidR="00736DA9">
              <w:rPr>
                <w:noProof/>
                <w:webHidden/>
              </w:rPr>
              <w:instrText xml:space="preserve"> PAGEREF _Toc162267694 \h </w:instrText>
            </w:r>
            <w:r w:rsidR="00736DA9">
              <w:rPr>
                <w:noProof/>
                <w:webHidden/>
              </w:rPr>
            </w:r>
            <w:r w:rsidR="00736DA9">
              <w:rPr>
                <w:noProof/>
                <w:webHidden/>
              </w:rPr>
              <w:fldChar w:fldCharType="separate"/>
            </w:r>
            <w:r w:rsidR="00736DA9">
              <w:rPr>
                <w:noProof/>
                <w:webHidden/>
              </w:rPr>
              <w:t>419</w:t>
            </w:r>
            <w:r w:rsidR="00736DA9">
              <w:rPr>
                <w:noProof/>
                <w:webHidden/>
              </w:rPr>
              <w:fldChar w:fldCharType="end"/>
            </w:r>
          </w:hyperlink>
        </w:p>
        <w:p w14:paraId="73660BBE" w14:textId="1F97DCAD" w:rsidR="00736DA9" w:rsidRDefault="00000000">
          <w:pPr>
            <w:pStyle w:val="TOC3"/>
            <w:tabs>
              <w:tab w:val="right" w:pos="9350"/>
            </w:tabs>
            <w:rPr>
              <w:rFonts w:eastAsiaTheme="minorEastAsia" w:cstheme="minorBidi"/>
              <w:noProof/>
              <w:sz w:val="24"/>
              <w:szCs w:val="24"/>
            </w:rPr>
          </w:pPr>
          <w:hyperlink w:anchor="_Toc162267695" w:history="1">
            <w:r w:rsidR="00736DA9" w:rsidRPr="004372B1">
              <w:rPr>
                <w:rStyle w:val="Hyperlink"/>
                <w:noProof/>
              </w:rPr>
              <w:t>Caregiver and Caregiver Health</w:t>
            </w:r>
            <w:r w:rsidR="00736DA9">
              <w:rPr>
                <w:noProof/>
                <w:webHidden/>
              </w:rPr>
              <w:tab/>
            </w:r>
            <w:r w:rsidR="00736DA9">
              <w:rPr>
                <w:noProof/>
                <w:webHidden/>
              </w:rPr>
              <w:fldChar w:fldCharType="begin"/>
            </w:r>
            <w:r w:rsidR="00736DA9">
              <w:rPr>
                <w:noProof/>
                <w:webHidden/>
              </w:rPr>
              <w:instrText xml:space="preserve"> PAGEREF _Toc162267695 \h </w:instrText>
            </w:r>
            <w:r w:rsidR="00736DA9">
              <w:rPr>
                <w:noProof/>
                <w:webHidden/>
              </w:rPr>
            </w:r>
            <w:r w:rsidR="00736DA9">
              <w:rPr>
                <w:noProof/>
                <w:webHidden/>
              </w:rPr>
              <w:fldChar w:fldCharType="separate"/>
            </w:r>
            <w:r w:rsidR="00736DA9">
              <w:rPr>
                <w:noProof/>
                <w:webHidden/>
              </w:rPr>
              <w:t>419</w:t>
            </w:r>
            <w:r w:rsidR="00736DA9">
              <w:rPr>
                <w:noProof/>
                <w:webHidden/>
              </w:rPr>
              <w:fldChar w:fldCharType="end"/>
            </w:r>
          </w:hyperlink>
        </w:p>
        <w:p w14:paraId="2CDD5E9A" w14:textId="7206DCE8" w:rsidR="00736DA9" w:rsidRDefault="00000000">
          <w:pPr>
            <w:pStyle w:val="TOC4"/>
            <w:tabs>
              <w:tab w:val="right" w:pos="9350"/>
            </w:tabs>
            <w:rPr>
              <w:rFonts w:eastAsiaTheme="minorEastAsia" w:cstheme="minorBidi"/>
              <w:noProof/>
              <w:sz w:val="24"/>
              <w:szCs w:val="24"/>
            </w:rPr>
          </w:pPr>
          <w:hyperlink w:anchor="_Toc162267696" w:history="1">
            <w:r w:rsidR="00736DA9" w:rsidRPr="004372B1">
              <w:rPr>
                <w:rStyle w:val="Hyperlink"/>
                <w:noProof/>
              </w:rPr>
              <w:t>Figure 10.28: Adults Providing Regular Care to a Friend or Family Member Who has a Health Problem or Disability, by Race/Ethnicity.</w:t>
            </w:r>
            <w:r w:rsidR="00736DA9">
              <w:rPr>
                <w:noProof/>
                <w:webHidden/>
              </w:rPr>
              <w:tab/>
            </w:r>
            <w:r w:rsidR="00736DA9">
              <w:rPr>
                <w:noProof/>
                <w:webHidden/>
              </w:rPr>
              <w:fldChar w:fldCharType="begin"/>
            </w:r>
            <w:r w:rsidR="00736DA9">
              <w:rPr>
                <w:noProof/>
                <w:webHidden/>
              </w:rPr>
              <w:instrText xml:space="preserve"> PAGEREF _Toc162267696 \h </w:instrText>
            </w:r>
            <w:r w:rsidR="00736DA9">
              <w:rPr>
                <w:noProof/>
                <w:webHidden/>
              </w:rPr>
            </w:r>
            <w:r w:rsidR="00736DA9">
              <w:rPr>
                <w:noProof/>
                <w:webHidden/>
              </w:rPr>
              <w:fldChar w:fldCharType="separate"/>
            </w:r>
            <w:r w:rsidR="00736DA9">
              <w:rPr>
                <w:noProof/>
                <w:webHidden/>
              </w:rPr>
              <w:t>420</w:t>
            </w:r>
            <w:r w:rsidR="00736DA9">
              <w:rPr>
                <w:noProof/>
                <w:webHidden/>
              </w:rPr>
              <w:fldChar w:fldCharType="end"/>
            </w:r>
          </w:hyperlink>
        </w:p>
        <w:p w14:paraId="4383070C" w14:textId="4555285B" w:rsidR="00736DA9" w:rsidRDefault="00000000">
          <w:pPr>
            <w:pStyle w:val="TOC4"/>
            <w:tabs>
              <w:tab w:val="right" w:pos="9350"/>
            </w:tabs>
            <w:rPr>
              <w:rFonts w:eastAsiaTheme="minorEastAsia" w:cstheme="minorBidi"/>
              <w:noProof/>
              <w:sz w:val="24"/>
              <w:szCs w:val="24"/>
            </w:rPr>
          </w:pPr>
          <w:hyperlink w:anchor="_Toc162267697" w:history="1">
            <w:r w:rsidR="00736DA9" w:rsidRPr="004372B1">
              <w:rPr>
                <w:rStyle w:val="Hyperlink"/>
                <w:noProof/>
              </w:rPr>
              <w:t>Figure 10.29: Type of Care Provided by Adults who Provide Regular Care to a Friend or Family Member.</w:t>
            </w:r>
            <w:r w:rsidR="00736DA9">
              <w:rPr>
                <w:noProof/>
                <w:webHidden/>
              </w:rPr>
              <w:tab/>
            </w:r>
            <w:r w:rsidR="00736DA9">
              <w:rPr>
                <w:noProof/>
                <w:webHidden/>
              </w:rPr>
              <w:fldChar w:fldCharType="begin"/>
            </w:r>
            <w:r w:rsidR="00736DA9">
              <w:rPr>
                <w:noProof/>
                <w:webHidden/>
              </w:rPr>
              <w:instrText xml:space="preserve"> PAGEREF _Toc162267697 \h </w:instrText>
            </w:r>
            <w:r w:rsidR="00736DA9">
              <w:rPr>
                <w:noProof/>
                <w:webHidden/>
              </w:rPr>
            </w:r>
            <w:r w:rsidR="00736DA9">
              <w:rPr>
                <w:noProof/>
                <w:webHidden/>
              </w:rPr>
              <w:fldChar w:fldCharType="separate"/>
            </w:r>
            <w:r w:rsidR="00736DA9">
              <w:rPr>
                <w:noProof/>
                <w:webHidden/>
              </w:rPr>
              <w:t>420</w:t>
            </w:r>
            <w:r w:rsidR="00736DA9">
              <w:rPr>
                <w:noProof/>
                <w:webHidden/>
              </w:rPr>
              <w:fldChar w:fldCharType="end"/>
            </w:r>
          </w:hyperlink>
        </w:p>
        <w:p w14:paraId="14B22DAE" w14:textId="33986DAD" w:rsidR="00736DA9" w:rsidRDefault="00000000">
          <w:pPr>
            <w:pStyle w:val="TOC4"/>
            <w:tabs>
              <w:tab w:val="right" w:pos="9350"/>
            </w:tabs>
            <w:rPr>
              <w:rFonts w:eastAsiaTheme="minorEastAsia" w:cstheme="minorBidi"/>
              <w:noProof/>
              <w:sz w:val="24"/>
              <w:szCs w:val="24"/>
            </w:rPr>
          </w:pPr>
          <w:hyperlink w:anchor="_Toc162267698"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_Toc162267698 \h </w:instrText>
            </w:r>
            <w:r w:rsidR="00736DA9">
              <w:rPr>
                <w:noProof/>
                <w:webHidden/>
              </w:rPr>
            </w:r>
            <w:r w:rsidR="00736DA9">
              <w:rPr>
                <w:noProof/>
                <w:webHidden/>
              </w:rPr>
              <w:fldChar w:fldCharType="separate"/>
            </w:r>
            <w:r w:rsidR="00736DA9">
              <w:rPr>
                <w:noProof/>
                <w:webHidden/>
              </w:rPr>
              <w:t>420</w:t>
            </w:r>
            <w:r w:rsidR="00736DA9">
              <w:rPr>
                <w:noProof/>
                <w:webHidden/>
              </w:rPr>
              <w:fldChar w:fldCharType="end"/>
            </w:r>
          </w:hyperlink>
        </w:p>
        <w:p w14:paraId="128F2948" w14:textId="2CD16C2C" w:rsidR="00736DA9" w:rsidRDefault="00000000">
          <w:pPr>
            <w:pStyle w:val="TOC4"/>
            <w:tabs>
              <w:tab w:val="right" w:pos="9350"/>
            </w:tabs>
            <w:rPr>
              <w:rFonts w:eastAsiaTheme="minorEastAsia" w:cstheme="minorBidi"/>
              <w:noProof/>
              <w:sz w:val="24"/>
              <w:szCs w:val="24"/>
            </w:rPr>
          </w:pPr>
          <w:hyperlink w:anchor="_Toc162267699" w:history="1">
            <w:r w:rsidR="00736DA9" w:rsidRPr="004372B1">
              <w:rPr>
                <w:rStyle w:val="Hyperlink"/>
                <w:noProof/>
              </w:rPr>
              <w:t>References 10.14</w:t>
            </w:r>
            <w:r w:rsidR="00736DA9">
              <w:rPr>
                <w:noProof/>
                <w:webHidden/>
              </w:rPr>
              <w:tab/>
            </w:r>
            <w:r w:rsidR="00736DA9">
              <w:rPr>
                <w:noProof/>
                <w:webHidden/>
              </w:rPr>
              <w:fldChar w:fldCharType="begin"/>
            </w:r>
            <w:r w:rsidR="00736DA9">
              <w:rPr>
                <w:noProof/>
                <w:webHidden/>
              </w:rPr>
              <w:instrText xml:space="preserve"> PAGEREF _Toc162267699 \h </w:instrText>
            </w:r>
            <w:r w:rsidR="00736DA9">
              <w:rPr>
                <w:noProof/>
                <w:webHidden/>
              </w:rPr>
            </w:r>
            <w:r w:rsidR="00736DA9">
              <w:rPr>
                <w:noProof/>
                <w:webHidden/>
              </w:rPr>
              <w:fldChar w:fldCharType="separate"/>
            </w:r>
            <w:r w:rsidR="00736DA9">
              <w:rPr>
                <w:noProof/>
                <w:webHidden/>
              </w:rPr>
              <w:t>421</w:t>
            </w:r>
            <w:r w:rsidR="00736DA9">
              <w:rPr>
                <w:noProof/>
                <w:webHidden/>
              </w:rPr>
              <w:fldChar w:fldCharType="end"/>
            </w:r>
          </w:hyperlink>
        </w:p>
        <w:p w14:paraId="192F640F" w14:textId="5F7F87A2" w:rsidR="00736DA9" w:rsidRDefault="00000000">
          <w:pPr>
            <w:pStyle w:val="TOC3"/>
            <w:tabs>
              <w:tab w:val="right" w:pos="9350"/>
            </w:tabs>
            <w:rPr>
              <w:rFonts w:eastAsiaTheme="minorEastAsia" w:cstheme="minorBidi"/>
              <w:noProof/>
              <w:sz w:val="24"/>
              <w:szCs w:val="24"/>
            </w:rPr>
          </w:pPr>
          <w:hyperlink w:anchor="_Toc162267700" w:history="1">
            <w:r w:rsidR="00736DA9" w:rsidRPr="004372B1">
              <w:rPr>
                <w:rStyle w:val="Hyperlink"/>
                <w:noProof/>
              </w:rPr>
              <w:t>Social Interactions &amp; Connectedness</w:t>
            </w:r>
            <w:r w:rsidR="00736DA9">
              <w:rPr>
                <w:noProof/>
                <w:webHidden/>
              </w:rPr>
              <w:tab/>
            </w:r>
            <w:r w:rsidR="00736DA9">
              <w:rPr>
                <w:noProof/>
                <w:webHidden/>
              </w:rPr>
              <w:fldChar w:fldCharType="begin"/>
            </w:r>
            <w:r w:rsidR="00736DA9">
              <w:rPr>
                <w:noProof/>
                <w:webHidden/>
              </w:rPr>
              <w:instrText xml:space="preserve"> PAGEREF _Toc162267700 \h </w:instrText>
            </w:r>
            <w:r w:rsidR="00736DA9">
              <w:rPr>
                <w:noProof/>
                <w:webHidden/>
              </w:rPr>
            </w:r>
            <w:r w:rsidR="00736DA9">
              <w:rPr>
                <w:noProof/>
                <w:webHidden/>
              </w:rPr>
              <w:fldChar w:fldCharType="separate"/>
            </w:r>
            <w:r w:rsidR="00736DA9">
              <w:rPr>
                <w:noProof/>
                <w:webHidden/>
              </w:rPr>
              <w:t>421</w:t>
            </w:r>
            <w:r w:rsidR="00736DA9">
              <w:rPr>
                <w:noProof/>
                <w:webHidden/>
              </w:rPr>
              <w:fldChar w:fldCharType="end"/>
            </w:r>
          </w:hyperlink>
        </w:p>
        <w:p w14:paraId="4A1E5011" w14:textId="59757FB4" w:rsidR="00736DA9" w:rsidRDefault="00000000">
          <w:pPr>
            <w:pStyle w:val="TOC4"/>
            <w:tabs>
              <w:tab w:val="right" w:pos="9350"/>
            </w:tabs>
            <w:rPr>
              <w:rFonts w:eastAsiaTheme="minorEastAsia" w:cstheme="minorBidi"/>
              <w:noProof/>
              <w:sz w:val="24"/>
              <w:szCs w:val="24"/>
            </w:rPr>
          </w:pPr>
          <w:hyperlink w:anchor="_Toc162267701" w:history="1">
            <w:r w:rsidR="00736DA9" w:rsidRPr="004372B1">
              <w:rPr>
                <w:rStyle w:val="Hyperlink"/>
                <w:noProof/>
              </w:rPr>
              <w:t>Figure 10.30: Social Associations in South Carolina.</w:t>
            </w:r>
            <w:r w:rsidR="00736DA9">
              <w:rPr>
                <w:noProof/>
                <w:webHidden/>
              </w:rPr>
              <w:tab/>
            </w:r>
            <w:r w:rsidR="00736DA9">
              <w:rPr>
                <w:noProof/>
                <w:webHidden/>
              </w:rPr>
              <w:fldChar w:fldCharType="begin"/>
            </w:r>
            <w:r w:rsidR="00736DA9">
              <w:rPr>
                <w:noProof/>
                <w:webHidden/>
              </w:rPr>
              <w:instrText xml:space="preserve"> PAGEREF _Toc162267701 \h </w:instrText>
            </w:r>
            <w:r w:rsidR="00736DA9">
              <w:rPr>
                <w:noProof/>
                <w:webHidden/>
              </w:rPr>
            </w:r>
            <w:r w:rsidR="00736DA9">
              <w:rPr>
                <w:noProof/>
                <w:webHidden/>
              </w:rPr>
              <w:fldChar w:fldCharType="separate"/>
            </w:r>
            <w:r w:rsidR="00736DA9">
              <w:rPr>
                <w:noProof/>
                <w:webHidden/>
              </w:rPr>
              <w:t>422</w:t>
            </w:r>
            <w:r w:rsidR="00736DA9">
              <w:rPr>
                <w:noProof/>
                <w:webHidden/>
              </w:rPr>
              <w:fldChar w:fldCharType="end"/>
            </w:r>
          </w:hyperlink>
        </w:p>
        <w:p w14:paraId="07F273FF" w14:textId="3164F276" w:rsidR="00736DA9" w:rsidRDefault="00000000">
          <w:pPr>
            <w:pStyle w:val="TOC4"/>
            <w:tabs>
              <w:tab w:val="right" w:pos="9350"/>
            </w:tabs>
            <w:rPr>
              <w:rFonts w:eastAsiaTheme="minorEastAsia" w:cstheme="minorBidi"/>
              <w:noProof/>
              <w:sz w:val="24"/>
              <w:szCs w:val="24"/>
            </w:rPr>
          </w:pPr>
          <w:hyperlink w:anchor="_Toc162267702" w:history="1">
            <w:r w:rsidR="00736DA9" w:rsidRPr="004372B1">
              <w:rPr>
                <w:rStyle w:val="Hyperlink"/>
                <w:noProof/>
              </w:rPr>
              <w:t>Figure 10.31: Social Associations.</w:t>
            </w:r>
            <w:r w:rsidR="00736DA9">
              <w:rPr>
                <w:noProof/>
                <w:webHidden/>
              </w:rPr>
              <w:tab/>
            </w:r>
            <w:r w:rsidR="00736DA9">
              <w:rPr>
                <w:noProof/>
                <w:webHidden/>
              </w:rPr>
              <w:fldChar w:fldCharType="begin"/>
            </w:r>
            <w:r w:rsidR="00736DA9">
              <w:rPr>
                <w:noProof/>
                <w:webHidden/>
              </w:rPr>
              <w:instrText xml:space="preserve"> PAGEREF _Toc162267702 \h </w:instrText>
            </w:r>
            <w:r w:rsidR="00736DA9">
              <w:rPr>
                <w:noProof/>
                <w:webHidden/>
              </w:rPr>
            </w:r>
            <w:r w:rsidR="00736DA9">
              <w:rPr>
                <w:noProof/>
                <w:webHidden/>
              </w:rPr>
              <w:fldChar w:fldCharType="separate"/>
            </w:r>
            <w:r w:rsidR="00736DA9">
              <w:rPr>
                <w:noProof/>
                <w:webHidden/>
              </w:rPr>
              <w:t>423</w:t>
            </w:r>
            <w:r w:rsidR="00736DA9">
              <w:rPr>
                <w:noProof/>
                <w:webHidden/>
              </w:rPr>
              <w:fldChar w:fldCharType="end"/>
            </w:r>
          </w:hyperlink>
        </w:p>
        <w:p w14:paraId="7B58AC9D" w14:textId="68C4542D" w:rsidR="00736DA9" w:rsidRDefault="00000000">
          <w:pPr>
            <w:pStyle w:val="TOC4"/>
            <w:tabs>
              <w:tab w:val="right" w:pos="9350"/>
            </w:tabs>
            <w:rPr>
              <w:rFonts w:eastAsiaTheme="minorEastAsia" w:cstheme="minorBidi"/>
              <w:noProof/>
              <w:sz w:val="24"/>
              <w:szCs w:val="24"/>
            </w:rPr>
          </w:pPr>
          <w:hyperlink w:anchor="_Toc162267703"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_Toc162267703 \h </w:instrText>
            </w:r>
            <w:r w:rsidR="00736DA9">
              <w:rPr>
                <w:noProof/>
                <w:webHidden/>
              </w:rPr>
            </w:r>
            <w:r w:rsidR="00736DA9">
              <w:rPr>
                <w:noProof/>
                <w:webHidden/>
              </w:rPr>
              <w:fldChar w:fldCharType="separate"/>
            </w:r>
            <w:r w:rsidR="00736DA9">
              <w:rPr>
                <w:noProof/>
                <w:webHidden/>
              </w:rPr>
              <w:t>423</w:t>
            </w:r>
            <w:r w:rsidR="00736DA9">
              <w:rPr>
                <w:noProof/>
                <w:webHidden/>
              </w:rPr>
              <w:fldChar w:fldCharType="end"/>
            </w:r>
          </w:hyperlink>
        </w:p>
        <w:p w14:paraId="13E2FEF8" w14:textId="3A4E908A" w:rsidR="00736DA9" w:rsidRDefault="00000000">
          <w:pPr>
            <w:pStyle w:val="TOC4"/>
            <w:tabs>
              <w:tab w:val="right" w:pos="9350"/>
            </w:tabs>
            <w:rPr>
              <w:rFonts w:eastAsiaTheme="minorEastAsia" w:cstheme="minorBidi"/>
              <w:noProof/>
              <w:sz w:val="24"/>
              <w:szCs w:val="24"/>
            </w:rPr>
          </w:pPr>
          <w:hyperlink w:anchor="_Toc162267704" w:history="1">
            <w:r w:rsidR="00736DA9" w:rsidRPr="004372B1">
              <w:rPr>
                <w:rStyle w:val="Hyperlink"/>
                <w:noProof/>
              </w:rPr>
              <w:t>References 10.15</w:t>
            </w:r>
            <w:r w:rsidR="00736DA9">
              <w:rPr>
                <w:noProof/>
                <w:webHidden/>
              </w:rPr>
              <w:tab/>
            </w:r>
            <w:r w:rsidR="00736DA9">
              <w:rPr>
                <w:noProof/>
                <w:webHidden/>
              </w:rPr>
              <w:fldChar w:fldCharType="begin"/>
            </w:r>
            <w:r w:rsidR="00736DA9">
              <w:rPr>
                <w:noProof/>
                <w:webHidden/>
              </w:rPr>
              <w:instrText xml:space="preserve"> PAGEREF _Toc162267704 \h </w:instrText>
            </w:r>
            <w:r w:rsidR="00736DA9">
              <w:rPr>
                <w:noProof/>
                <w:webHidden/>
              </w:rPr>
            </w:r>
            <w:r w:rsidR="00736DA9">
              <w:rPr>
                <w:noProof/>
                <w:webHidden/>
              </w:rPr>
              <w:fldChar w:fldCharType="separate"/>
            </w:r>
            <w:r w:rsidR="00736DA9">
              <w:rPr>
                <w:noProof/>
                <w:webHidden/>
              </w:rPr>
              <w:t>424</w:t>
            </w:r>
            <w:r w:rsidR="00736DA9">
              <w:rPr>
                <w:noProof/>
                <w:webHidden/>
              </w:rPr>
              <w:fldChar w:fldCharType="end"/>
            </w:r>
          </w:hyperlink>
        </w:p>
        <w:p w14:paraId="065C3435" w14:textId="25618140" w:rsidR="00736DA9" w:rsidRDefault="00000000">
          <w:pPr>
            <w:pStyle w:val="TOC3"/>
            <w:tabs>
              <w:tab w:val="right" w:pos="9350"/>
            </w:tabs>
            <w:rPr>
              <w:rFonts w:eastAsiaTheme="minorEastAsia" w:cstheme="minorBidi"/>
              <w:noProof/>
              <w:sz w:val="24"/>
              <w:szCs w:val="24"/>
            </w:rPr>
          </w:pPr>
          <w:hyperlink w:anchor="_Toc162267705" w:history="1">
            <w:r w:rsidR="00736DA9" w:rsidRPr="004372B1">
              <w:rPr>
                <w:rStyle w:val="Hyperlink"/>
                <w:noProof/>
              </w:rPr>
              <w:t>Immunizations</w:t>
            </w:r>
            <w:r w:rsidR="00736DA9">
              <w:rPr>
                <w:noProof/>
                <w:webHidden/>
              </w:rPr>
              <w:tab/>
            </w:r>
            <w:r w:rsidR="00736DA9">
              <w:rPr>
                <w:noProof/>
                <w:webHidden/>
              </w:rPr>
              <w:fldChar w:fldCharType="begin"/>
            </w:r>
            <w:r w:rsidR="00736DA9">
              <w:rPr>
                <w:noProof/>
                <w:webHidden/>
              </w:rPr>
              <w:instrText xml:space="preserve"> PAGEREF _Toc162267705 \h </w:instrText>
            </w:r>
            <w:r w:rsidR="00736DA9">
              <w:rPr>
                <w:noProof/>
                <w:webHidden/>
              </w:rPr>
            </w:r>
            <w:r w:rsidR="00736DA9">
              <w:rPr>
                <w:noProof/>
                <w:webHidden/>
              </w:rPr>
              <w:fldChar w:fldCharType="separate"/>
            </w:r>
            <w:r w:rsidR="00736DA9">
              <w:rPr>
                <w:noProof/>
                <w:webHidden/>
              </w:rPr>
              <w:t>424</w:t>
            </w:r>
            <w:r w:rsidR="00736DA9">
              <w:rPr>
                <w:noProof/>
                <w:webHidden/>
              </w:rPr>
              <w:fldChar w:fldCharType="end"/>
            </w:r>
          </w:hyperlink>
        </w:p>
        <w:p w14:paraId="1A4B8D01" w14:textId="35DCF2B3" w:rsidR="00736DA9" w:rsidRDefault="00000000">
          <w:pPr>
            <w:pStyle w:val="TOC4"/>
            <w:tabs>
              <w:tab w:val="right" w:pos="9350"/>
            </w:tabs>
            <w:rPr>
              <w:rFonts w:eastAsiaTheme="minorEastAsia" w:cstheme="minorBidi"/>
              <w:noProof/>
              <w:sz w:val="24"/>
              <w:szCs w:val="24"/>
            </w:rPr>
          </w:pPr>
          <w:hyperlink w:anchor="_Toc162267706" w:history="1">
            <w:r w:rsidR="00736DA9" w:rsidRPr="004372B1">
              <w:rPr>
                <w:rStyle w:val="Hyperlink"/>
                <w:noProof/>
              </w:rPr>
              <w:t>Figure 10.32: Adults 65+ Receiving Recommended Vaccines.</w:t>
            </w:r>
            <w:r w:rsidR="00736DA9">
              <w:rPr>
                <w:noProof/>
                <w:webHidden/>
              </w:rPr>
              <w:tab/>
            </w:r>
            <w:r w:rsidR="00736DA9">
              <w:rPr>
                <w:noProof/>
                <w:webHidden/>
              </w:rPr>
              <w:fldChar w:fldCharType="begin"/>
            </w:r>
            <w:r w:rsidR="00736DA9">
              <w:rPr>
                <w:noProof/>
                <w:webHidden/>
              </w:rPr>
              <w:instrText xml:space="preserve"> PAGEREF _Toc162267706 \h </w:instrText>
            </w:r>
            <w:r w:rsidR="00736DA9">
              <w:rPr>
                <w:noProof/>
                <w:webHidden/>
              </w:rPr>
            </w:r>
            <w:r w:rsidR="00736DA9">
              <w:rPr>
                <w:noProof/>
                <w:webHidden/>
              </w:rPr>
              <w:fldChar w:fldCharType="separate"/>
            </w:r>
            <w:r w:rsidR="00736DA9">
              <w:rPr>
                <w:noProof/>
                <w:webHidden/>
              </w:rPr>
              <w:t>425</w:t>
            </w:r>
            <w:r w:rsidR="00736DA9">
              <w:rPr>
                <w:noProof/>
                <w:webHidden/>
              </w:rPr>
              <w:fldChar w:fldCharType="end"/>
            </w:r>
          </w:hyperlink>
        </w:p>
        <w:p w14:paraId="5F6D183B" w14:textId="0A5B4FF5" w:rsidR="00736DA9" w:rsidRDefault="00000000">
          <w:pPr>
            <w:pStyle w:val="TOC4"/>
            <w:tabs>
              <w:tab w:val="right" w:pos="9350"/>
            </w:tabs>
            <w:rPr>
              <w:rFonts w:eastAsiaTheme="minorEastAsia" w:cstheme="minorBidi"/>
              <w:noProof/>
              <w:sz w:val="24"/>
              <w:szCs w:val="24"/>
            </w:rPr>
          </w:pPr>
          <w:hyperlink w:anchor="_Toc162267707" w:history="1">
            <w:r w:rsidR="00736DA9" w:rsidRPr="004372B1">
              <w:rPr>
                <w:rStyle w:val="Hyperlink"/>
                <w:noProof/>
              </w:rPr>
              <w:t>Figure 10.33: Adults 65+ Receiving Recommended Vaccines, by Race/Ethnicity.</w:t>
            </w:r>
            <w:r w:rsidR="00736DA9">
              <w:rPr>
                <w:noProof/>
                <w:webHidden/>
              </w:rPr>
              <w:tab/>
            </w:r>
            <w:r w:rsidR="00736DA9">
              <w:rPr>
                <w:noProof/>
                <w:webHidden/>
              </w:rPr>
              <w:fldChar w:fldCharType="begin"/>
            </w:r>
            <w:r w:rsidR="00736DA9">
              <w:rPr>
                <w:noProof/>
                <w:webHidden/>
              </w:rPr>
              <w:instrText xml:space="preserve"> PAGEREF _Toc162267707 \h </w:instrText>
            </w:r>
            <w:r w:rsidR="00736DA9">
              <w:rPr>
                <w:noProof/>
                <w:webHidden/>
              </w:rPr>
            </w:r>
            <w:r w:rsidR="00736DA9">
              <w:rPr>
                <w:noProof/>
                <w:webHidden/>
              </w:rPr>
              <w:fldChar w:fldCharType="separate"/>
            </w:r>
            <w:r w:rsidR="00736DA9">
              <w:rPr>
                <w:noProof/>
                <w:webHidden/>
              </w:rPr>
              <w:t>425</w:t>
            </w:r>
            <w:r w:rsidR="00736DA9">
              <w:rPr>
                <w:noProof/>
                <w:webHidden/>
              </w:rPr>
              <w:fldChar w:fldCharType="end"/>
            </w:r>
          </w:hyperlink>
        </w:p>
        <w:p w14:paraId="77478A76" w14:textId="463C0061" w:rsidR="00736DA9" w:rsidRDefault="00000000">
          <w:pPr>
            <w:pStyle w:val="TOC4"/>
            <w:tabs>
              <w:tab w:val="right" w:pos="9350"/>
            </w:tabs>
            <w:rPr>
              <w:rFonts w:eastAsiaTheme="minorEastAsia" w:cstheme="minorBidi"/>
              <w:noProof/>
              <w:sz w:val="24"/>
              <w:szCs w:val="24"/>
            </w:rPr>
          </w:pPr>
          <w:hyperlink w:anchor="_Toc162267708" w:history="1">
            <w:r w:rsidR="00736DA9" w:rsidRPr="004372B1">
              <w:rPr>
                <w:rStyle w:val="Hyperlink"/>
                <w:noProof/>
              </w:rPr>
              <w:t>Figure 10.34: Adults 65+ Receiving Recommended Vaccines, by Sex.</w:t>
            </w:r>
            <w:r w:rsidR="00736DA9">
              <w:rPr>
                <w:noProof/>
                <w:webHidden/>
              </w:rPr>
              <w:tab/>
            </w:r>
            <w:r w:rsidR="00736DA9">
              <w:rPr>
                <w:noProof/>
                <w:webHidden/>
              </w:rPr>
              <w:fldChar w:fldCharType="begin"/>
            </w:r>
            <w:r w:rsidR="00736DA9">
              <w:rPr>
                <w:noProof/>
                <w:webHidden/>
              </w:rPr>
              <w:instrText xml:space="preserve"> PAGEREF _Toc162267708 \h </w:instrText>
            </w:r>
            <w:r w:rsidR="00736DA9">
              <w:rPr>
                <w:noProof/>
                <w:webHidden/>
              </w:rPr>
            </w:r>
            <w:r w:rsidR="00736DA9">
              <w:rPr>
                <w:noProof/>
                <w:webHidden/>
              </w:rPr>
              <w:fldChar w:fldCharType="separate"/>
            </w:r>
            <w:r w:rsidR="00736DA9">
              <w:rPr>
                <w:noProof/>
                <w:webHidden/>
              </w:rPr>
              <w:t>425</w:t>
            </w:r>
            <w:r w:rsidR="00736DA9">
              <w:rPr>
                <w:noProof/>
                <w:webHidden/>
              </w:rPr>
              <w:fldChar w:fldCharType="end"/>
            </w:r>
          </w:hyperlink>
        </w:p>
        <w:p w14:paraId="0E97DAD0" w14:textId="47F3B8A8" w:rsidR="00736DA9" w:rsidRDefault="00000000">
          <w:pPr>
            <w:pStyle w:val="TOC4"/>
            <w:tabs>
              <w:tab w:val="right" w:pos="9350"/>
            </w:tabs>
            <w:rPr>
              <w:rFonts w:eastAsiaTheme="minorEastAsia" w:cstheme="minorBidi"/>
              <w:noProof/>
              <w:sz w:val="24"/>
              <w:szCs w:val="24"/>
            </w:rPr>
          </w:pPr>
          <w:hyperlink w:anchor="_Toc162267709" w:history="1">
            <w:r w:rsidR="00736DA9" w:rsidRPr="004372B1">
              <w:rPr>
                <w:rStyle w:val="Hyperlink"/>
                <w:noProof/>
              </w:rPr>
              <w:t>Data Interpretations:</w:t>
            </w:r>
            <w:r w:rsidR="00736DA9">
              <w:rPr>
                <w:noProof/>
                <w:webHidden/>
              </w:rPr>
              <w:tab/>
            </w:r>
            <w:r w:rsidR="00736DA9">
              <w:rPr>
                <w:noProof/>
                <w:webHidden/>
              </w:rPr>
              <w:fldChar w:fldCharType="begin"/>
            </w:r>
            <w:r w:rsidR="00736DA9">
              <w:rPr>
                <w:noProof/>
                <w:webHidden/>
              </w:rPr>
              <w:instrText xml:space="preserve"> PAGEREF _Toc162267709 \h </w:instrText>
            </w:r>
            <w:r w:rsidR="00736DA9">
              <w:rPr>
                <w:noProof/>
                <w:webHidden/>
              </w:rPr>
            </w:r>
            <w:r w:rsidR="00736DA9">
              <w:rPr>
                <w:noProof/>
                <w:webHidden/>
              </w:rPr>
              <w:fldChar w:fldCharType="separate"/>
            </w:r>
            <w:r w:rsidR="00736DA9">
              <w:rPr>
                <w:noProof/>
                <w:webHidden/>
              </w:rPr>
              <w:t>426</w:t>
            </w:r>
            <w:r w:rsidR="00736DA9">
              <w:rPr>
                <w:noProof/>
                <w:webHidden/>
              </w:rPr>
              <w:fldChar w:fldCharType="end"/>
            </w:r>
          </w:hyperlink>
        </w:p>
        <w:p w14:paraId="72B22078" w14:textId="53E7214F" w:rsidR="00736DA9" w:rsidRDefault="00000000">
          <w:pPr>
            <w:pStyle w:val="TOC4"/>
            <w:tabs>
              <w:tab w:val="right" w:pos="9350"/>
            </w:tabs>
            <w:rPr>
              <w:rFonts w:eastAsiaTheme="minorEastAsia" w:cstheme="minorBidi"/>
              <w:noProof/>
              <w:sz w:val="24"/>
              <w:szCs w:val="24"/>
            </w:rPr>
          </w:pPr>
          <w:hyperlink w:anchor="_Toc162267710" w:history="1">
            <w:r w:rsidR="00736DA9" w:rsidRPr="004372B1">
              <w:rPr>
                <w:rStyle w:val="Hyperlink"/>
                <w:noProof/>
              </w:rPr>
              <w:t>References 10.16</w:t>
            </w:r>
            <w:r w:rsidR="00736DA9">
              <w:rPr>
                <w:noProof/>
                <w:webHidden/>
              </w:rPr>
              <w:tab/>
            </w:r>
            <w:r w:rsidR="00736DA9">
              <w:rPr>
                <w:noProof/>
                <w:webHidden/>
              </w:rPr>
              <w:fldChar w:fldCharType="begin"/>
            </w:r>
            <w:r w:rsidR="00736DA9">
              <w:rPr>
                <w:noProof/>
                <w:webHidden/>
              </w:rPr>
              <w:instrText xml:space="preserve"> PAGEREF _Toc162267710 \h </w:instrText>
            </w:r>
            <w:r w:rsidR="00736DA9">
              <w:rPr>
                <w:noProof/>
                <w:webHidden/>
              </w:rPr>
            </w:r>
            <w:r w:rsidR="00736DA9">
              <w:rPr>
                <w:noProof/>
                <w:webHidden/>
              </w:rPr>
              <w:fldChar w:fldCharType="separate"/>
            </w:r>
            <w:r w:rsidR="00736DA9">
              <w:rPr>
                <w:noProof/>
                <w:webHidden/>
              </w:rPr>
              <w:t>426</w:t>
            </w:r>
            <w:r w:rsidR="00736DA9">
              <w:rPr>
                <w:noProof/>
                <w:webHidden/>
              </w:rPr>
              <w:fldChar w:fldCharType="end"/>
            </w:r>
          </w:hyperlink>
        </w:p>
        <w:p w14:paraId="3694A3AA" w14:textId="277158E8" w:rsidR="00736DA9" w:rsidRDefault="00000000">
          <w:pPr>
            <w:pStyle w:val="TOC2"/>
            <w:tabs>
              <w:tab w:val="right" w:pos="9350"/>
            </w:tabs>
            <w:rPr>
              <w:rFonts w:eastAsiaTheme="minorEastAsia" w:cstheme="minorBidi"/>
              <w:b w:val="0"/>
              <w:bCs w:val="0"/>
              <w:noProof/>
              <w:sz w:val="24"/>
              <w:szCs w:val="24"/>
            </w:rPr>
          </w:pPr>
          <w:hyperlink w:anchor="_Toc162267711" w:history="1">
            <w:r w:rsidR="00736DA9" w:rsidRPr="004372B1">
              <w:rPr>
                <w:rStyle w:val="Hyperlink"/>
                <w:noProof/>
              </w:rPr>
              <w:t>Chapter 11: Capacity to Address Health Issues</w:t>
            </w:r>
            <w:r w:rsidR="00736DA9">
              <w:rPr>
                <w:noProof/>
                <w:webHidden/>
              </w:rPr>
              <w:tab/>
            </w:r>
            <w:r w:rsidR="00736DA9">
              <w:rPr>
                <w:noProof/>
                <w:webHidden/>
              </w:rPr>
              <w:fldChar w:fldCharType="begin"/>
            </w:r>
            <w:r w:rsidR="00736DA9">
              <w:rPr>
                <w:noProof/>
                <w:webHidden/>
              </w:rPr>
              <w:instrText xml:space="preserve"> PAGEREF _Toc162267711 \h </w:instrText>
            </w:r>
            <w:r w:rsidR="00736DA9">
              <w:rPr>
                <w:noProof/>
                <w:webHidden/>
              </w:rPr>
            </w:r>
            <w:r w:rsidR="00736DA9">
              <w:rPr>
                <w:noProof/>
                <w:webHidden/>
              </w:rPr>
              <w:fldChar w:fldCharType="separate"/>
            </w:r>
            <w:r w:rsidR="00736DA9">
              <w:rPr>
                <w:noProof/>
                <w:webHidden/>
              </w:rPr>
              <w:t>427</w:t>
            </w:r>
            <w:r w:rsidR="00736DA9">
              <w:rPr>
                <w:noProof/>
                <w:webHidden/>
              </w:rPr>
              <w:fldChar w:fldCharType="end"/>
            </w:r>
          </w:hyperlink>
        </w:p>
        <w:p w14:paraId="7F578533" w14:textId="63EFEC84" w:rsidR="00736DA9" w:rsidRDefault="00000000">
          <w:pPr>
            <w:pStyle w:val="TOC3"/>
            <w:tabs>
              <w:tab w:val="right" w:pos="9350"/>
            </w:tabs>
            <w:rPr>
              <w:rFonts w:eastAsiaTheme="minorEastAsia" w:cstheme="minorBidi"/>
              <w:noProof/>
              <w:sz w:val="24"/>
              <w:szCs w:val="24"/>
            </w:rPr>
          </w:pPr>
          <w:hyperlink w:anchor="_Toc162267712" w:history="1">
            <w:r w:rsidR="00736DA9" w:rsidRPr="004372B1">
              <w:rPr>
                <w:rStyle w:val="Hyperlink"/>
                <w:noProof/>
              </w:rPr>
              <w:t>Introduction</w:t>
            </w:r>
            <w:r w:rsidR="00736DA9">
              <w:rPr>
                <w:noProof/>
                <w:webHidden/>
              </w:rPr>
              <w:tab/>
            </w:r>
            <w:r w:rsidR="00736DA9">
              <w:rPr>
                <w:noProof/>
                <w:webHidden/>
              </w:rPr>
              <w:fldChar w:fldCharType="begin"/>
            </w:r>
            <w:r w:rsidR="00736DA9">
              <w:rPr>
                <w:noProof/>
                <w:webHidden/>
              </w:rPr>
              <w:instrText xml:space="preserve"> PAGEREF _Toc162267712 \h </w:instrText>
            </w:r>
            <w:r w:rsidR="00736DA9">
              <w:rPr>
                <w:noProof/>
                <w:webHidden/>
              </w:rPr>
            </w:r>
            <w:r w:rsidR="00736DA9">
              <w:rPr>
                <w:noProof/>
                <w:webHidden/>
              </w:rPr>
              <w:fldChar w:fldCharType="separate"/>
            </w:r>
            <w:r w:rsidR="00736DA9">
              <w:rPr>
                <w:noProof/>
                <w:webHidden/>
              </w:rPr>
              <w:t>427</w:t>
            </w:r>
            <w:r w:rsidR="00736DA9">
              <w:rPr>
                <w:noProof/>
                <w:webHidden/>
              </w:rPr>
              <w:fldChar w:fldCharType="end"/>
            </w:r>
          </w:hyperlink>
        </w:p>
        <w:p w14:paraId="5B9DEA90" w14:textId="50B662CA" w:rsidR="00736DA9" w:rsidRDefault="00000000">
          <w:pPr>
            <w:pStyle w:val="TOC4"/>
            <w:tabs>
              <w:tab w:val="right" w:pos="9350"/>
            </w:tabs>
            <w:rPr>
              <w:rFonts w:eastAsiaTheme="minorEastAsia" w:cstheme="minorBidi"/>
              <w:noProof/>
              <w:sz w:val="24"/>
              <w:szCs w:val="24"/>
            </w:rPr>
          </w:pPr>
          <w:hyperlink w:anchor="_Toc162267713" w:history="1">
            <w:r w:rsidR="00736DA9" w:rsidRPr="004372B1">
              <w:rPr>
                <w:rStyle w:val="Hyperlink"/>
                <w:noProof/>
              </w:rPr>
              <w:t>References 11.1</w:t>
            </w:r>
            <w:r w:rsidR="00736DA9">
              <w:rPr>
                <w:noProof/>
                <w:webHidden/>
              </w:rPr>
              <w:tab/>
            </w:r>
            <w:r w:rsidR="00736DA9">
              <w:rPr>
                <w:noProof/>
                <w:webHidden/>
              </w:rPr>
              <w:fldChar w:fldCharType="begin"/>
            </w:r>
            <w:r w:rsidR="00736DA9">
              <w:rPr>
                <w:noProof/>
                <w:webHidden/>
              </w:rPr>
              <w:instrText xml:space="preserve"> PAGEREF _Toc162267713 \h </w:instrText>
            </w:r>
            <w:r w:rsidR="00736DA9">
              <w:rPr>
                <w:noProof/>
                <w:webHidden/>
              </w:rPr>
            </w:r>
            <w:r w:rsidR="00736DA9">
              <w:rPr>
                <w:noProof/>
                <w:webHidden/>
              </w:rPr>
              <w:fldChar w:fldCharType="separate"/>
            </w:r>
            <w:r w:rsidR="00736DA9">
              <w:rPr>
                <w:noProof/>
                <w:webHidden/>
              </w:rPr>
              <w:t>429</w:t>
            </w:r>
            <w:r w:rsidR="00736DA9">
              <w:rPr>
                <w:noProof/>
                <w:webHidden/>
              </w:rPr>
              <w:fldChar w:fldCharType="end"/>
            </w:r>
          </w:hyperlink>
        </w:p>
        <w:p w14:paraId="543C8BE0" w14:textId="5ABF3729" w:rsidR="00736DA9" w:rsidRDefault="00000000">
          <w:pPr>
            <w:pStyle w:val="TOC3"/>
            <w:tabs>
              <w:tab w:val="right" w:pos="9350"/>
            </w:tabs>
            <w:rPr>
              <w:rFonts w:eastAsiaTheme="minorEastAsia" w:cstheme="minorBidi"/>
              <w:noProof/>
              <w:sz w:val="24"/>
              <w:szCs w:val="24"/>
            </w:rPr>
          </w:pPr>
          <w:hyperlink w:anchor="_Toc162267714" w:history="1">
            <w:r w:rsidR="00736DA9" w:rsidRPr="004372B1">
              <w:rPr>
                <w:rStyle w:val="Hyperlink"/>
                <w:noProof/>
              </w:rPr>
              <w:t>Public Health Capacity to Address Health Disparities and Health Equity</w:t>
            </w:r>
            <w:r w:rsidR="00736DA9">
              <w:rPr>
                <w:noProof/>
                <w:webHidden/>
              </w:rPr>
              <w:tab/>
            </w:r>
            <w:r w:rsidR="00736DA9">
              <w:rPr>
                <w:noProof/>
                <w:webHidden/>
              </w:rPr>
              <w:fldChar w:fldCharType="begin"/>
            </w:r>
            <w:r w:rsidR="00736DA9">
              <w:rPr>
                <w:noProof/>
                <w:webHidden/>
              </w:rPr>
              <w:instrText xml:space="preserve"> PAGEREF _Toc162267714 \h </w:instrText>
            </w:r>
            <w:r w:rsidR="00736DA9">
              <w:rPr>
                <w:noProof/>
                <w:webHidden/>
              </w:rPr>
            </w:r>
            <w:r w:rsidR="00736DA9">
              <w:rPr>
                <w:noProof/>
                <w:webHidden/>
              </w:rPr>
              <w:fldChar w:fldCharType="separate"/>
            </w:r>
            <w:r w:rsidR="00736DA9">
              <w:rPr>
                <w:noProof/>
                <w:webHidden/>
              </w:rPr>
              <w:t>429</w:t>
            </w:r>
            <w:r w:rsidR="00736DA9">
              <w:rPr>
                <w:noProof/>
                <w:webHidden/>
              </w:rPr>
              <w:fldChar w:fldCharType="end"/>
            </w:r>
          </w:hyperlink>
        </w:p>
        <w:p w14:paraId="31CEE9FE" w14:textId="19ED1630" w:rsidR="00736DA9" w:rsidRDefault="00000000">
          <w:pPr>
            <w:pStyle w:val="TOC4"/>
            <w:tabs>
              <w:tab w:val="right" w:pos="9350"/>
            </w:tabs>
            <w:rPr>
              <w:rFonts w:eastAsiaTheme="minorEastAsia" w:cstheme="minorBidi"/>
              <w:noProof/>
              <w:sz w:val="24"/>
              <w:szCs w:val="24"/>
            </w:rPr>
          </w:pPr>
          <w:hyperlink w:anchor="_Toc162267715" w:history="1">
            <w:r w:rsidR="00736DA9" w:rsidRPr="004372B1">
              <w:rPr>
                <w:rStyle w:val="Hyperlink"/>
                <w:noProof/>
              </w:rPr>
              <w:t>Assets in South Carolina to Address Health Equity:</w:t>
            </w:r>
            <w:r w:rsidR="00736DA9">
              <w:rPr>
                <w:noProof/>
                <w:webHidden/>
              </w:rPr>
              <w:tab/>
            </w:r>
            <w:r w:rsidR="00736DA9">
              <w:rPr>
                <w:noProof/>
                <w:webHidden/>
              </w:rPr>
              <w:fldChar w:fldCharType="begin"/>
            </w:r>
            <w:r w:rsidR="00736DA9">
              <w:rPr>
                <w:noProof/>
                <w:webHidden/>
              </w:rPr>
              <w:instrText xml:space="preserve"> PAGEREF _Toc162267715 \h </w:instrText>
            </w:r>
            <w:r w:rsidR="00736DA9">
              <w:rPr>
                <w:noProof/>
                <w:webHidden/>
              </w:rPr>
            </w:r>
            <w:r w:rsidR="00736DA9">
              <w:rPr>
                <w:noProof/>
                <w:webHidden/>
              </w:rPr>
              <w:fldChar w:fldCharType="separate"/>
            </w:r>
            <w:r w:rsidR="00736DA9">
              <w:rPr>
                <w:noProof/>
                <w:webHidden/>
              </w:rPr>
              <w:t>429</w:t>
            </w:r>
            <w:r w:rsidR="00736DA9">
              <w:rPr>
                <w:noProof/>
                <w:webHidden/>
              </w:rPr>
              <w:fldChar w:fldCharType="end"/>
            </w:r>
          </w:hyperlink>
        </w:p>
        <w:p w14:paraId="69F3720A" w14:textId="6E3AFE6D" w:rsidR="00736DA9" w:rsidRDefault="00000000">
          <w:pPr>
            <w:pStyle w:val="TOC3"/>
            <w:tabs>
              <w:tab w:val="right" w:pos="9350"/>
            </w:tabs>
            <w:rPr>
              <w:rFonts w:eastAsiaTheme="minorEastAsia" w:cstheme="minorBidi"/>
              <w:noProof/>
              <w:sz w:val="24"/>
              <w:szCs w:val="24"/>
            </w:rPr>
          </w:pPr>
          <w:hyperlink w:anchor="_Toc162267716" w:history="1">
            <w:r w:rsidR="00736DA9" w:rsidRPr="004372B1">
              <w:rPr>
                <w:rStyle w:val="Hyperlink"/>
                <w:noProof/>
              </w:rPr>
              <w:t>State Programs</w:t>
            </w:r>
            <w:r w:rsidR="00736DA9">
              <w:rPr>
                <w:noProof/>
                <w:webHidden/>
              </w:rPr>
              <w:tab/>
            </w:r>
            <w:r w:rsidR="00736DA9">
              <w:rPr>
                <w:noProof/>
                <w:webHidden/>
              </w:rPr>
              <w:fldChar w:fldCharType="begin"/>
            </w:r>
            <w:r w:rsidR="00736DA9">
              <w:rPr>
                <w:noProof/>
                <w:webHidden/>
              </w:rPr>
              <w:instrText xml:space="preserve"> PAGEREF _Toc162267716 \h </w:instrText>
            </w:r>
            <w:r w:rsidR="00736DA9">
              <w:rPr>
                <w:noProof/>
                <w:webHidden/>
              </w:rPr>
            </w:r>
            <w:r w:rsidR="00736DA9">
              <w:rPr>
                <w:noProof/>
                <w:webHidden/>
              </w:rPr>
              <w:fldChar w:fldCharType="separate"/>
            </w:r>
            <w:r w:rsidR="00736DA9">
              <w:rPr>
                <w:noProof/>
                <w:webHidden/>
              </w:rPr>
              <w:t>434</w:t>
            </w:r>
            <w:r w:rsidR="00736DA9">
              <w:rPr>
                <w:noProof/>
                <w:webHidden/>
              </w:rPr>
              <w:fldChar w:fldCharType="end"/>
            </w:r>
          </w:hyperlink>
        </w:p>
        <w:p w14:paraId="3B6ACF63" w14:textId="3DFD99C8" w:rsidR="00736DA9" w:rsidRDefault="00000000">
          <w:pPr>
            <w:pStyle w:val="TOC4"/>
            <w:tabs>
              <w:tab w:val="right" w:pos="9350"/>
            </w:tabs>
            <w:rPr>
              <w:rFonts w:eastAsiaTheme="minorEastAsia" w:cstheme="minorBidi"/>
              <w:noProof/>
              <w:sz w:val="24"/>
              <w:szCs w:val="24"/>
            </w:rPr>
          </w:pPr>
          <w:hyperlink w:anchor="_Toc162267717" w:history="1">
            <w:r w:rsidR="00736DA9" w:rsidRPr="004372B1">
              <w:rPr>
                <w:rStyle w:val="Hyperlink"/>
                <w:noProof/>
              </w:rPr>
              <w:t>SC Department on Aging</w:t>
            </w:r>
            <w:r w:rsidR="00736DA9">
              <w:rPr>
                <w:noProof/>
                <w:webHidden/>
              </w:rPr>
              <w:tab/>
            </w:r>
            <w:r w:rsidR="00736DA9">
              <w:rPr>
                <w:noProof/>
                <w:webHidden/>
              </w:rPr>
              <w:fldChar w:fldCharType="begin"/>
            </w:r>
            <w:r w:rsidR="00736DA9">
              <w:rPr>
                <w:noProof/>
                <w:webHidden/>
              </w:rPr>
              <w:instrText xml:space="preserve"> PAGEREF _Toc162267717 \h </w:instrText>
            </w:r>
            <w:r w:rsidR="00736DA9">
              <w:rPr>
                <w:noProof/>
                <w:webHidden/>
              </w:rPr>
            </w:r>
            <w:r w:rsidR="00736DA9">
              <w:rPr>
                <w:noProof/>
                <w:webHidden/>
              </w:rPr>
              <w:fldChar w:fldCharType="separate"/>
            </w:r>
            <w:r w:rsidR="00736DA9">
              <w:rPr>
                <w:noProof/>
                <w:webHidden/>
              </w:rPr>
              <w:t>435</w:t>
            </w:r>
            <w:r w:rsidR="00736DA9">
              <w:rPr>
                <w:noProof/>
                <w:webHidden/>
              </w:rPr>
              <w:fldChar w:fldCharType="end"/>
            </w:r>
          </w:hyperlink>
        </w:p>
        <w:p w14:paraId="0BA2D612" w14:textId="3BCE5609" w:rsidR="00736DA9" w:rsidRDefault="00000000">
          <w:pPr>
            <w:pStyle w:val="TOC4"/>
            <w:tabs>
              <w:tab w:val="right" w:pos="9350"/>
            </w:tabs>
            <w:rPr>
              <w:rFonts w:eastAsiaTheme="minorEastAsia" w:cstheme="minorBidi"/>
              <w:noProof/>
              <w:sz w:val="24"/>
              <w:szCs w:val="24"/>
            </w:rPr>
          </w:pPr>
          <w:hyperlink w:anchor="_Toc162267718" w:history="1">
            <w:r w:rsidR="00736DA9" w:rsidRPr="004372B1">
              <w:rPr>
                <w:rStyle w:val="Hyperlink"/>
                <w:noProof/>
              </w:rPr>
              <w:t>SC Department of Children’s Advocacy</w:t>
            </w:r>
            <w:r w:rsidR="00736DA9">
              <w:rPr>
                <w:noProof/>
                <w:webHidden/>
              </w:rPr>
              <w:tab/>
            </w:r>
            <w:r w:rsidR="00736DA9">
              <w:rPr>
                <w:noProof/>
                <w:webHidden/>
              </w:rPr>
              <w:fldChar w:fldCharType="begin"/>
            </w:r>
            <w:r w:rsidR="00736DA9">
              <w:rPr>
                <w:noProof/>
                <w:webHidden/>
              </w:rPr>
              <w:instrText xml:space="preserve"> PAGEREF _Toc162267718 \h </w:instrText>
            </w:r>
            <w:r w:rsidR="00736DA9">
              <w:rPr>
                <w:noProof/>
                <w:webHidden/>
              </w:rPr>
            </w:r>
            <w:r w:rsidR="00736DA9">
              <w:rPr>
                <w:noProof/>
                <w:webHidden/>
              </w:rPr>
              <w:fldChar w:fldCharType="separate"/>
            </w:r>
            <w:r w:rsidR="00736DA9">
              <w:rPr>
                <w:noProof/>
                <w:webHidden/>
              </w:rPr>
              <w:t>435</w:t>
            </w:r>
            <w:r w:rsidR="00736DA9">
              <w:rPr>
                <w:noProof/>
                <w:webHidden/>
              </w:rPr>
              <w:fldChar w:fldCharType="end"/>
            </w:r>
          </w:hyperlink>
        </w:p>
        <w:p w14:paraId="00FB207F" w14:textId="0A152C11" w:rsidR="00736DA9" w:rsidRDefault="00000000">
          <w:pPr>
            <w:pStyle w:val="TOC4"/>
            <w:tabs>
              <w:tab w:val="right" w:pos="9350"/>
            </w:tabs>
            <w:rPr>
              <w:rFonts w:eastAsiaTheme="minorEastAsia" w:cstheme="minorBidi"/>
              <w:noProof/>
              <w:sz w:val="24"/>
              <w:szCs w:val="24"/>
            </w:rPr>
          </w:pPr>
          <w:hyperlink w:anchor="_Toc162267719" w:history="1">
            <w:r w:rsidR="00736DA9" w:rsidRPr="004372B1">
              <w:rPr>
                <w:rStyle w:val="Hyperlink"/>
                <w:noProof/>
              </w:rPr>
              <w:t>SC Commission for the Blind (SCCB)</w:t>
            </w:r>
            <w:r w:rsidR="00736DA9">
              <w:rPr>
                <w:noProof/>
                <w:webHidden/>
              </w:rPr>
              <w:tab/>
            </w:r>
            <w:r w:rsidR="00736DA9">
              <w:rPr>
                <w:noProof/>
                <w:webHidden/>
              </w:rPr>
              <w:fldChar w:fldCharType="begin"/>
            </w:r>
            <w:r w:rsidR="00736DA9">
              <w:rPr>
                <w:noProof/>
                <w:webHidden/>
              </w:rPr>
              <w:instrText xml:space="preserve"> PAGEREF _Toc162267719 \h </w:instrText>
            </w:r>
            <w:r w:rsidR="00736DA9">
              <w:rPr>
                <w:noProof/>
                <w:webHidden/>
              </w:rPr>
            </w:r>
            <w:r w:rsidR="00736DA9">
              <w:rPr>
                <w:noProof/>
                <w:webHidden/>
              </w:rPr>
              <w:fldChar w:fldCharType="separate"/>
            </w:r>
            <w:r w:rsidR="00736DA9">
              <w:rPr>
                <w:noProof/>
                <w:webHidden/>
              </w:rPr>
              <w:t>435</w:t>
            </w:r>
            <w:r w:rsidR="00736DA9">
              <w:rPr>
                <w:noProof/>
                <w:webHidden/>
              </w:rPr>
              <w:fldChar w:fldCharType="end"/>
            </w:r>
          </w:hyperlink>
        </w:p>
        <w:p w14:paraId="3D1A6534" w14:textId="35327F62" w:rsidR="00736DA9" w:rsidRDefault="00000000">
          <w:pPr>
            <w:pStyle w:val="TOC4"/>
            <w:tabs>
              <w:tab w:val="right" w:pos="9350"/>
            </w:tabs>
            <w:rPr>
              <w:rFonts w:eastAsiaTheme="minorEastAsia" w:cstheme="minorBidi"/>
              <w:noProof/>
              <w:sz w:val="24"/>
              <w:szCs w:val="24"/>
            </w:rPr>
          </w:pPr>
          <w:hyperlink w:anchor="_Toc162267720" w:history="1">
            <w:r w:rsidR="00736DA9" w:rsidRPr="004372B1">
              <w:rPr>
                <w:rStyle w:val="Hyperlink"/>
                <w:noProof/>
              </w:rPr>
              <w:t>SC Department of Disabilities and Special Needs (DDSN)</w:t>
            </w:r>
            <w:r w:rsidR="00736DA9">
              <w:rPr>
                <w:noProof/>
                <w:webHidden/>
              </w:rPr>
              <w:tab/>
            </w:r>
            <w:r w:rsidR="00736DA9">
              <w:rPr>
                <w:noProof/>
                <w:webHidden/>
              </w:rPr>
              <w:fldChar w:fldCharType="begin"/>
            </w:r>
            <w:r w:rsidR="00736DA9">
              <w:rPr>
                <w:noProof/>
                <w:webHidden/>
              </w:rPr>
              <w:instrText xml:space="preserve"> PAGEREF _Toc162267720 \h </w:instrText>
            </w:r>
            <w:r w:rsidR="00736DA9">
              <w:rPr>
                <w:noProof/>
                <w:webHidden/>
              </w:rPr>
            </w:r>
            <w:r w:rsidR="00736DA9">
              <w:rPr>
                <w:noProof/>
                <w:webHidden/>
              </w:rPr>
              <w:fldChar w:fldCharType="separate"/>
            </w:r>
            <w:r w:rsidR="00736DA9">
              <w:rPr>
                <w:noProof/>
                <w:webHidden/>
              </w:rPr>
              <w:t>436</w:t>
            </w:r>
            <w:r w:rsidR="00736DA9">
              <w:rPr>
                <w:noProof/>
                <w:webHidden/>
              </w:rPr>
              <w:fldChar w:fldCharType="end"/>
            </w:r>
          </w:hyperlink>
        </w:p>
        <w:p w14:paraId="38A95728" w14:textId="0365007E" w:rsidR="00736DA9" w:rsidRDefault="00000000">
          <w:pPr>
            <w:pStyle w:val="TOC4"/>
            <w:tabs>
              <w:tab w:val="right" w:pos="9350"/>
            </w:tabs>
            <w:rPr>
              <w:rFonts w:eastAsiaTheme="minorEastAsia" w:cstheme="minorBidi"/>
              <w:noProof/>
              <w:sz w:val="24"/>
              <w:szCs w:val="24"/>
            </w:rPr>
          </w:pPr>
          <w:hyperlink w:anchor="_Toc162267721" w:history="1">
            <w:r w:rsidR="00736DA9" w:rsidRPr="004372B1">
              <w:rPr>
                <w:rStyle w:val="Hyperlink"/>
                <w:noProof/>
              </w:rPr>
              <w:t>SC Department of Education (SCDE)</w:t>
            </w:r>
            <w:r w:rsidR="00736DA9">
              <w:rPr>
                <w:noProof/>
                <w:webHidden/>
              </w:rPr>
              <w:tab/>
            </w:r>
            <w:r w:rsidR="00736DA9">
              <w:rPr>
                <w:noProof/>
                <w:webHidden/>
              </w:rPr>
              <w:fldChar w:fldCharType="begin"/>
            </w:r>
            <w:r w:rsidR="00736DA9">
              <w:rPr>
                <w:noProof/>
                <w:webHidden/>
              </w:rPr>
              <w:instrText xml:space="preserve"> PAGEREF _Toc162267721 \h </w:instrText>
            </w:r>
            <w:r w:rsidR="00736DA9">
              <w:rPr>
                <w:noProof/>
                <w:webHidden/>
              </w:rPr>
            </w:r>
            <w:r w:rsidR="00736DA9">
              <w:rPr>
                <w:noProof/>
                <w:webHidden/>
              </w:rPr>
              <w:fldChar w:fldCharType="separate"/>
            </w:r>
            <w:r w:rsidR="00736DA9">
              <w:rPr>
                <w:noProof/>
                <w:webHidden/>
              </w:rPr>
              <w:t>436</w:t>
            </w:r>
            <w:r w:rsidR="00736DA9">
              <w:rPr>
                <w:noProof/>
                <w:webHidden/>
              </w:rPr>
              <w:fldChar w:fldCharType="end"/>
            </w:r>
          </w:hyperlink>
        </w:p>
        <w:p w14:paraId="5381619D" w14:textId="35C3D80C" w:rsidR="00736DA9" w:rsidRDefault="00000000">
          <w:pPr>
            <w:pStyle w:val="TOC4"/>
            <w:tabs>
              <w:tab w:val="right" w:pos="9350"/>
            </w:tabs>
            <w:rPr>
              <w:rFonts w:eastAsiaTheme="minorEastAsia" w:cstheme="minorBidi"/>
              <w:noProof/>
              <w:sz w:val="24"/>
              <w:szCs w:val="24"/>
            </w:rPr>
          </w:pPr>
          <w:hyperlink w:anchor="_Toc162267722" w:history="1">
            <w:r w:rsidR="00736DA9" w:rsidRPr="004372B1">
              <w:rPr>
                <w:rStyle w:val="Hyperlink"/>
                <w:noProof/>
              </w:rPr>
              <w:t>SC Department of Health and Human Services (DHHS)</w:t>
            </w:r>
            <w:r w:rsidR="00736DA9">
              <w:rPr>
                <w:noProof/>
                <w:webHidden/>
              </w:rPr>
              <w:tab/>
            </w:r>
            <w:r w:rsidR="00736DA9">
              <w:rPr>
                <w:noProof/>
                <w:webHidden/>
              </w:rPr>
              <w:fldChar w:fldCharType="begin"/>
            </w:r>
            <w:r w:rsidR="00736DA9">
              <w:rPr>
                <w:noProof/>
                <w:webHidden/>
              </w:rPr>
              <w:instrText xml:space="preserve"> PAGEREF _Toc162267722 \h </w:instrText>
            </w:r>
            <w:r w:rsidR="00736DA9">
              <w:rPr>
                <w:noProof/>
                <w:webHidden/>
              </w:rPr>
            </w:r>
            <w:r w:rsidR="00736DA9">
              <w:rPr>
                <w:noProof/>
                <w:webHidden/>
              </w:rPr>
              <w:fldChar w:fldCharType="separate"/>
            </w:r>
            <w:r w:rsidR="00736DA9">
              <w:rPr>
                <w:noProof/>
                <w:webHidden/>
              </w:rPr>
              <w:t>436</w:t>
            </w:r>
            <w:r w:rsidR="00736DA9">
              <w:rPr>
                <w:noProof/>
                <w:webHidden/>
              </w:rPr>
              <w:fldChar w:fldCharType="end"/>
            </w:r>
          </w:hyperlink>
        </w:p>
        <w:p w14:paraId="258A93D6" w14:textId="2128187B" w:rsidR="00736DA9" w:rsidRDefault="00000000">
          <w:pPr>
            <w:pStyle w:val="TOC4"/>
            <w:tabs>
              <w:tab w:val="right" w:pos="9350"/>
            </w:tabs>
            <w:rPr>
              <w:rFonts w:eastAsiaTheme="minorEastAsia" w:cstheme="minorBidi"/>
              <w:noProof/>
              <w:sz w:val="24"/>
              <w:szCs w:val="24"/>
            </w:rPr>
          </w:pPr>
          <w:hyperlink w:anchor="_Toc162267723" w:history="1">
            <w:r w:rsidR="00736DA9" w:rsidRPr="004372B1">
              <w:rPr>
                <w:rStyle w:val="Hyperlink"/>
                <w:noProof/>
              </w:rPr>
              <w:t>SC Department of Social Services (DSS)</w:t>
            </w:r>
            <w:r w:rsidR="00736DA9">
              <w:rPr>
                <w:noProof/>
                <w:webHidden/>
              </w:rPr>
              <w:tab/>
            </w:r>
            <w:r w:rsidR="00736DA9">
              <w:rPr>
                <w:noProof/>
                <w:webHidden/>
              </w:rPr>
              <w:fldChar w:fldCharType="begin"/>
            </w:r>
            <w:r w:rsidR="00736DA9">
              <w:rPr>
                <w:noProof/>
                <w:webHidden/>
              </w:rPr>
              <w:instrText xml:space="preserve"> PAGEREF _Toc162267723 \h </w:instrText>
            </w:r>
            <w:r w:rsidR="00736DA9">
              <w:rPr>
                <w:noProof/>
                <w:webHidden/>
              </w:rPr>
            </w:r>
            <w:r w:rsidR="00736DA9">
              <w:rPr>
                <w:noProof/>
                <w:webHidden/>
              </w:rPr>
              <w:fldChar w:fldCharType="separate"/>
            </w:r>
            <w:r w:rsidR="00736DA9">
              <w:rPr>
                <w:noProof/>
                <w:webHidden/>
              </w:rPr>
              <w:t>437</w:t>
            </w:r>
            <w:r w:rsidR="00736DA9">
              <w:rPr>
                <w:noProof/>
                <w:webHidden/>
              </w:rPr>
              <w:fldChar w:fldCharType="end"/>
            </w:r>
          </w:hyperlink>
        </w:p>
        <w:p w14:paraId="50563D60" w14:textId="354BAFD6" w:rsidR="00736DA9" w:rsidRDefault="00000000">
          <w:pPr>
            <w:pStyle w:val="TOC4"/>
            <w:tabs>
              <w:tab w:val="right" w:pos="9350"/>
            </w:tabs>
            <w:rPr>
              <w:rFonts w:eastAsiaTheme="minorEastAsia" w:cstheme="minorBidi"/>
              <w:noProof/>
              <w:sz w:val="24"/>
              <w:szCs w:val="24"/>
            </w:rPr>
          </w:pPr>
          <w:hyperlink w:anchor="_Toc162267724" w:history="1">
            <w:r w:rsidR="00736DA9" w:rsidRPr="004372B1">
              <w:rPr>
                <w:rStyle w:val="Hyperlink"/>
                <w:noProof/>
              </w:rPr>
              <w:t>SC Vocational Rehabilitation Department</w:t>
            </w:r>
            <w:r w:rsidR="00736DA9">
              <w:rPr>
                <w:noProof/>
                <w:webHidden/>
              </w:rPr>
              <w:tab/>
            </w:r>
            <w:r w:rsidR="00736DA9">
              <w:rPr>
                <w:noProof/>
                <w:webHidden/>
              </w:rPr>
              <w:fldChar w:fldCharType="begin"/>
            </w:r>
            <w:r w:rsidR="00736DA9">
              <w:rPr>
                <w:noProof/>
                <w:webHidden/>
              </w:rPr>
              <w:instrText xml:space="preserve"> PAGEREF _Toc162267724 \h </w:instrText>
            </w:r>
            <w:r w:rsidR="00736DA9">
              <w:rPr>
                <w:noProof/>
                <w:webHidden/>
              </w:rPr>
            </w:r>
            <w:r w:rsidR="00736DA9">
              <w:rPr>
                <w:noProof/>
                <w:webHidden/>
              </w:rPr>
              <w:fldChar w:fldCharType="separate"/>
            </w:r>
            <w:r w:rsidR="00736DA9">
              <w:rPr>
                <w:noProof/>
                <w:webHidden/>
              </w:rPr>
              <w:t>437</w:t>
            </w:r>
            <w:r w:rsidR="00736DA9">
              <w:rPr>
                <w:noProof/>
                <w:webHidden/>
              </w:rPr>
              <w:fldChar w:fldCharType="end"/>
            </w:r>
          </w:hyperlink>
        </w:p>
        <w:p w14:paraId="177D7467" w14:textId="5E51EEA1" w:rsidR="00736DA9" w:rsidRDefault="00000000">
          <w:pPr>
            <w:pStyle w:val="TOC4"/>
            <w:tabs>
              <w:tab w:val="right" w:pos="9350"/>
            </w:tabs>
            <w:rPr>
              <w:rFonts w:eastAsiaTheme="minorEastAsia" w:cstheme="minorBidi"/>
              <w:noProof/>
              <w:sz w:val="24"/>
              <w:szCs w:val="24"/>
            </w:rPr>
          </w:pPr>
          <w:hyperlink w:anchor="_Toc162267725" w:history="1">
            <w:r w:rsidR="00736DA9" w:rsidRPr="004372B1">
              <w:rPr>
                <w:rStyle w:val="Hyperlink"/>
                <w:noProof/>
              </w:rPr>
              <w:t>DHEC Direct Service Provision</w:t>
            </w:r>
            <w:r w:rsidR="00736DA9">
              <w:rPr>
                <w:noProof/>
                <w:webHidden/>
              </w:rPr>
              <w:tab/>
            </w:r>
            <w:r w:rsidR="00736DA9">
              <w:rPr>
                <w:noProof/>
                <w:webHidden/>
              </w:rPr>
              <w:fldChar w:fldCharType="begin"/>
            </w:r>
            <w:r w:rsidR="00736DA9">
              <w:rPr>
                <w:noProof/>
                <w:webHidden/>
              </w:rPr>
              <w:instrText xml:space="preserve"> PAGEREF _Toc162267725 \h </w:instrText>
            </w:r>
            <w:r w:rsidR="00736DA9">
              <w:rPr>
                <w:noProof/>
                <w:webHidden/>
              </w:rPr>
            </w:r>
            <w:r w:rsidR="00736DA9">
              <w:rPr>
                <w:noProof/>
                <w:webHidden/>
              </w:rPr>
              <w:fldChar w:fldCharType="separate"/>
            </w:r>
            <w:r w:rsidR="00736DA9">
              <w:rPr>
                <w:noProof/>
                <w:webHidden/>
              </w:rPr>
              <w:t>437</w:t>
            </w:r>
            <w:r w:rsidR="00736DA9">
              <w:rPr>
                <w:noProof/>
                <w:webHidden/>
              </w:rPr>
              <w:fldChar w:fldCharType="end"/>
            </w:r>
          </w:hyperlink>
        </w:p>
        <w:p w14:paraId="42E755CE" w14:textId="0C35BAB0" w:rsidR="00736DA9" w:rsidRDefault="00000000">
          <w:pPr>
            <w:pStyle w:val="TOC4"/>
            <w:tabs>
              <w:tab w:val="right" w:pos="9350"/>
            </w:tabs>
            <w:rPr>
              <w:rFonts w:eastAsiaTheme="minorEastAsia" w:cstheme="minorBidi"/>
              <w:noProof/>
              <w:sz w:val="24"/>
              <w:szCs w:val="24"/>
            </w:rPr>
          </w:pPr>
          <w:hyperlink w:anchor="_Toc162267726" w:history="1">
            <w:r w:rsidR="00736DA9" w:rsidRPr="004372B1">
              <w:rPr>
                <w:rStyle w:val="Hyperlink"/>
                <w:noProof/>
              </w:rPr>
              <w:t>Preventive Health Services (PH)</w:t>
            </w:r>
            <w:r w:rsidR="00736DA9">
              <w:rPr>
                <w:noProof/>
                <w:webHidden/>
              </w:rPr>
              <w:tab/>
            </w:r>
            <w:r w:rsidR="00736DA9">
              <w:rPr>
                <w:noProof/>
                <w:webHidden/>
              </w:rPr>
              <w:fldChar w:fldCharType="begin"/>
            </w:r>
            <w:r w:rsidR="00736DA9">
              <w:rPr>
                <w:noProof/>
                <w:webHidden/>
              </w:rPr>
              <w:instrText xml:space="preserve"> PAGEREF _Toc162267726 \h </w:instrText>
            </w:r>
            <w:r w:rsidR="00736DA9">
              <w:rPr>
                <w:noProof/>
                <w:webHidden/>
              </w:rPr>
            </w:r>
            <w:r w:rsidR="00736DA9">
              <w:rPr>
                <w:noProof/>
                <w:webHidden/>
              </w:rPr>
              <w:fldChar w:fldCharType="separate"/>
            </w:r>
            <w:r w:rsidR="00736DA9">
              <w:rPr>
                <w:noProof/>
                <w:webHidden/>
              </w:rPr>
              <w:t>438</w:t>
            </w:r>
            <w:r w:rsidR="00736DA9">
              <w:rPr>
                <w:noProof/>
                <w:webHidden/>
              </w:rPr>
              <w:fldChar w:fldCharType="end"/>
            </w:r>
          </w:hyperlink>
        </w:p>
        <w:p w14:paraId="3FD39721" w14:textId="3E1B315C" w:rsidR="00736DA9" w:rsidRDefault="00000000">
          <w:pPr>
            <w:pStyle w:val="TOC4"/>
            <w:tabs>
              <w:tab w:val="right" w:pos="9350"/>
            </w:tabs>
            <w:rPr>
              <w:rFonts w:eastAsiaTheme="minorEastAsia" w:cstheme="minorBidi"/>
              <w:noProof/>
              <w:sz w:val="24"/>
              <w:szCs w:val="24"/>
            </w:rPr>
          </w:pPr>
          <w:hyperlink w:anchor="_Toc162267727" w:history="1">
            <w:r w:rsidR="00736DA9" w:rsidRPr="004372B1">
              <w:rPr>
                <w:rStyle w:val="Hyperlink"/>
                <w:noProof/>
              </w:rPr>
              <w:t>Maternal and Child Health (MCH) Services</w:t>
            </w:r>
            <w:r w:rsidR="00736DA9">
              <w:rPr>
                <w:noProof/>
                <w:webHidden/>
              </w:rPr>
              <w:tab/>
            </w:r>
            <w:r w:rsidR="00736DA9">
              <w:rPr>
                <w:noProof/>
                <w:webHidden/>
              </w:rPr>
              <w:fldChar w:fldCharType="begin"/>
            </w:r>
            <w:r w:rsidR="00736DA9">
              <w:rPr>
                <w:noProof/>
                <w:webHidden/>
              </w:rPr>
              <w:instrText xml:space="preserve"> PAGEREF _Toc162267727 \h </w:instrText>
            </w:r>
            <w:r w:rsidR="00736DA9">
              <w:rPr>
                <w:noProof/>
                <w:webHidden/>
              </w:rPr>
            </w:r>
            <w:r w:rsidR="00736DA9">
              <w:rPr>
                <w:noProof/>
                <w:webHidden/>
              </w:rPr>
              <w:fldChar w:fldCharType="separate"/>
            </w:r>
            <w:r w:rsidR="00736DA9">
              <w:rPr>
                <w:noProof/>
                <w:webHidden/>
              </w:rPr>
              <w:t>438</w:t>
            </w:r>
            <w:r w:rsidR="00736DA9">
              <w:rPr>
                <w:noProof/>
                <w:webHidden/>
              </w:rPr>
              <w:fldChar w:fldCharType="end"/>
            </w:r>
          </w:hyperlink>
        </w:p>
        <w:p w14:paraId="335997EB" w14:textId="35DD06B1" w:rsidR="00736DA9" w:rsidRDefault="00000000">
          <w:pPr>
            <w:pStyle w:val="TOC4"/>
            <w:tabs>
              <w:tab w:val="right" w:pos="9350"/>
            </w:tabs>
            <w:rPr>
              <w:rFonts w:eastAsiaTheme="minorEastAsia" w:cstheme="minorBidi"/>
              <w:noProof/>
              <w:sz w:val="24"/>
              <w:szCs w:val="24"/>
            </w:rPr>
          </w:pPr>
          <w:hyperlink w:anchor="_Toc162267728" w:history="1">
            <w:r w:rsidR="00736DA9" w:rsidRPr="004372B1">
              <w:rPr>
                <w:rStyle w:val="Hyperlink"/>
                <w:noProof/>
              </w:rPr>
              <w:t>Women, Infants and Children (WIC) Services</w:t>
            </w:r>
            <w:r w:rsidR="00736DA9">
              <w:rPr>
                <w:noProof/>
                <w:webHidden/>
              </w:rPr>
              <w:tab/>
            </w:r>
            <w:r w:rsidR="00736DA9">
              <w:rPr>
                <w:noProof/>
                <w:webHidden/>
              </w:rPr>
              <w:fldChar w:fldCharType="begin"/>
            </w:r>
            <w:r w:rsidR="00736DA9">
              <w:rPr>
                <w:noProof/>
                <w:webHidden/>
              </w:rPr>
              <w:instrText xml:space="preserve"> PAGEREF _Toc162267728 \h </w:instrText>
            </w:r>
            <w:r w:rsidR="00736DA9">
              <w:rPr>
                <w:noProof/>
                <w:webHidden/>
              </w:rPr>
            </w:r>
            <w:r w:rsidR="00736DA9">
              <w:rPr>
                <w:noProof/>
                <w:webHidden/>
              </w:rPr>
              <w:fldChar w:fldCharType="separate"/>
            </w:r>
            <w:r w:rsidR="00736DA9">
              <w:rPr>
                <w:noProof/>
                <w:webHidden/>
              </w:rPr>
              <w:t>439</w:t>
            </w:r>
            <w:r w:rsidR="00736DA9">
              <w:rPr>
                <w:noProof/>
                <w:webHidden/>
              </w:rPr>
              <w:fldChar w:fldCharType="end"/>
            </w:r>
          </w:hyperlink>
        </w:p>
        <w:p w14:paraId="0F25DE6D" w14:textId="4D396519" w:rsidR="00736DA9" w:rsidRDefault="00000000">
          <w:pPr>
            <w:pStyle w:val="TOC4"/>
            <w:tabs>
              <w:tab w:val="right" w:pos="9350"/>
            </w:tabs>
            <w:rPr>
              <w:rFonts w:eastAsiaTheme="minorEastAsia" w:cstheme="minorBidi"/>
              <w:noProof/>
              <w:sz w:val="24"/>
              <w:szCs w:val="24"/>
            </w:rPr>
          </w:pPr>
          <w:hyperlink w:anchor="_Toc162267729" w:history="1">
            <w:r w:rsidR="00736DA9" w:rsidRPr="004372B1">
              <w:rPr>
                <w:rStyle w:val="Hyperlink"/>
                <w:noProof/>
              </w:rPr>
              <w:t>Immunizations</w:t>
            </w:r>
            <w:r w:rsidR="00736DA9">
              <w:rPr>
                <w:noProof/>
                <w:webHidden/>
              </w:rPr>
              <w:tab/>
            </w:r>
            <w:r w:rsidR="00736DA9">
              <w:rPr>
                <w:noProof/>
                <w:webHidden/>
              </w:rPr>
              <w:fldChar w:fldCharType="begin"/>
            </w:r>
            <w:r w:rsidR="00736DA9">
              <w:rPr>
                <w:noProof/>
                <w:webHidden/>
              </w:rPr>
              <w:instrText xml:space="preserve"> PAGEREF _Toc162267729 \h </w:instrText>
            </w:r>
            <w:r w:rsidR="00736DA9">
              <w:rPr>
                <w:noProof/>
                <w:webHidden/>
              </w:rPr>
            </w:r>
            <w:r w:rsidR="00736DA9">
              <w:rPr>
                <w:noProof/>
                <w:webHidden/>
              </w:rPr>
              <w:fldChar w:fldCharType="separate"/>
            </w:r>
            <w:r w:rsidR="00736DA9">
              <w:rPr>
                <w:noProof/>
                <w:webHidden/>
              </w:rPr>
              <w:t>439</w:t>
            </w:r>
            <w:r w:rsidR="00736DA9">
              <w:rPr>
                <w:noProof/>
                <w:webHidden/>
              </w:rPr>
              <w:fldChar w:fldCharType="end"/>
            </w:r>
          </w:hyperlink>
        </w:p>
        <w:p w14:paraId="3AD2BD16" w14:textId="5FE45FF7" w:rsidR="00736DA9" w:rsidRDefault="00000000">
          <w:pPr>
            <w:pStyle w:val="TOC4"/>
            <w:tabs>
              <w:tab w:val="right" w:pos="9350"/>
            </w:tabs>
            <w:rPr>
              <w:rFonts w:eastAsiaTheme="minorEastAsia" w:cstheme="minorBidi"/>
              <w:noProof/>
              <w:sz w:val="24"/>
              <w:szCs w:val="24"/>
            </w:rPr>
          </w:pPr>
          <w:hyperlink w:anchor="_Toc162267730" w:history="1">
            <w:r w:rsidR="00736DA9" w:rsidRPr="004372B1">
              <w:rPr>
                <w:rStyle w:val="Hyperlink"/>
                <w:noProof/>
              </w:rPr>
              <w:t>Additional Services</w:t>
            </w:r>
            <w:r w:rsidR="00736DA9">
              <w:rPr>
                <w:noProof/>
                <w:webHidden/>
              </w:rPr>
              <w:tab/>
            </w:r>
            <w:r w:rsidR="00736DA9">
              <w:rPr>
                <w:noProof/>
                <w:webHidden/>
              </w:rPr>
              <w:fldChar w:fldCharType="begin"/>
            </w:r>
            <w:r w:rsidR="00736DA9">
              <w:rPr>
                <w:noProof/>
                <w:webHidden/>
              </w:rPr>
              <w:instrText xml:space="preserve"> PAGEREF _Toc162267730 \h </w:instrText>
            </w:r>
            <w:r w:rsidR="00736DA9">
              <w:rPr>
                <w:noProof/>
                <w:webHidden/>
              </w:rPr>
            </w:r>
            <w:r w:rsidR="00736DA9">
              <w:rPr>
                <w:noProof/>
                <w:webHidden/>
              </w:rPr>
              <w:fldChar w:fldCharType="separate"/>
            </w:r>
            <w:r w:rsidR="00736DA9">
              <w:rPr>
                <w:noProof/>
                <w:webHidden/>
              </w:rPr>
              <w:t>439</w:t>
            </w:r>
            <w:r w:rsidR="00736DA9">
              <w:rPr>
                <w:noProof/>
                <w:webHidden/>
              </w:rPr>
              <w:fldChar w:fldCharType="end"/>
            </w:r>
          </w:hyperlink>
        </w:p>
        <w:p w14:paraId="41ACC564" w14:textId="3A7E9476" w:rsidR="00736DA9" w:rsidRDefault="00000000">
          <w:pPr>
            <w:pStyle w:val="TOC4"/>
            <w:tabs>
              <w:tab w:val="right" w:pos="9350"/>
            </w:tabs>
            <w:rPr>
              <w:rFonts w:eastAsiaTheme="minorEastAsia" w:cstheme="minorBidi"/>
              <w:noProof/>
              <w:sz w:val="24"/>
              <w:szCs w:val="24"/>
            </w:rPr>
          </w:pPr>
          <w:hyperlink w:anchor="_Toc162267731" w:history="1">
            <w:r w:rsidR="00736DA9" w:rsidRPr="004372B1">
              <w:rPr>
                <w:rStyle w:val="Hyperlink"/>
                <w:noProof/>
              </w:rPr>
              <w:t>References 11.2</w:t>
            </w:r>
            <w:r w:rsidR="00736DA9">
              <w:rPr>
                <w:noProof/>
                <w:webHidden/>
              </w:rPr>
              <w:tab/>
            </w:r>
            <w:r w:rsidR="00736DA9">
              <w:rPr>
                <w:noProof/>
                <w:webHidden/>
              </w:rPr>
              <w:fldChar w:fldCharType="begin"/>
            </w:r>
            <w:r w:rsidR="00736DA9">
              <w:rPr>
                <w:noProof/>
                <w:webHidden/>
              </w:rPr>
              <w:instrText xml:space="preserve"> PAGEREF _Toc162267731 \h </w:instrText>
            </w:r>
            <w:r w:rsidR="00736DA9">
              <w:rPr>
                <w:noProof/>
                <w:webHidden/>
              </w:rPr>
            </w:r>
            <w:r w:rsidR="00736DA9">
              <w:rPr>
                <w:noProof/>
                <w:webHidden/>
              </w:rPr>
              <w:fldChar w:fldCharType="separate"/>
            </w:r>
            <w:r w:rsidR="00736DA9">
              <w:rPr>
                <w:noProof/>
                <w:webHidden/>
              </w:rPr>
              <w:t>439</w:t>
            </w:r>
            <w:r w:rsidR="00736DA9">
              <w:rPr>
                <w:noProof/>
                <w:webHidden/>
              </w:rPr>
              <w:fldChar w:fldCharType="end"/>
            </w:r>
          </w:hyperlink>
        </w:p>
        <w:p w14:paraId="1C1D6359" w14:textId="1E8A41A0" w:rsidR="00736DA9" w:rsidRDefault="00000000">
          <w:pPr>
            <w:pStyle w:val="TOC3"/>
            <w:tabs>
              <w:tab w:val="right" w:pos="9350"/>
            </w:tabs>
            <w:rPr>
              <w:rFonts w:eastAsiaTheme="minorEastAsia" w:cstheme="minorBidi"/>
              <w:noProof/>
              <w:sz w:val="24"/>
              <w:szCs w:val="24"/>
            </w:rPr>
          </w:pPr>
          <w:hyperlink w:anchor="_Toc162267732" w:history="1">
            <w:r w:rsidR="00736DA9" w:rsidRPr="004372B1">
              <w:rPr>
                <w:rStyle w:val="Hyperlink"/>
                <w:noProof/>
              </w:rPr>
              <w:t>DHEC Public Health Workforce</w:t>
            </w:r>
            <w:r w:rsidR="00736DA9">
              <w:rPr>
                <w:noProof/>
                <w:webHidden/>
              </w:rPr>
              <w:tab/>
            </w:r>
            <w:r w:rsidR="00736DA9">
              <w:rPr>
                <w:noProof/>
                <w:webHidden/>
              </w:rPr>
              <w:fldChar w:fldCharType="begin"/>
            </w:r>
            <w:r w:rsidR="00736DA9">
              <w:rPr>
                <w:noProof/>
                <w:webHidden/>
              </w:rPr>
              <w:instrText xml:space="preserve"> PAGEREF _Toc162267732 \h </w:instrText>
            </w:r>
            <w:r w:rsidR="00736DA9">
              <w:rPr>
                <w:noProof/>
                <w:webHidden/>
              </w:rPr>
            </w:r>
            <w:r w:rsidR="00736DA9">
              <w:rPr>
                <w:noProof/>
                <w:webHidden/>
              </w:rPr>
              <w:fldChar w:fldCharType="separate"/>
            </w:r>
            <w:r w:rsidR="00736DA9">
              <w:rPr>
                <w:noProof/>
                <w:webHidden/>
              </w:rPr>
              <w:t>440</w:t>
            </w:r>
            <w:r w:rsidR="00736DA9">
              <w:rPr>
                <w:noProof/>
                <w:webHidden/>
              </w:rPr>
              <w:fldChar w:fldCharType="end"/>
            </w:r>
          </w:hyperlink>
        </w:p>
        <w:p w14:paraId="2E7914E4" w14:textId="468884F3" w:rsidR="00736DA9" w:rsidRDefault="00000000">
          <w:pPr>
            <w:pStyle w:val="TOC4"/>
            <w:tabs>
              <w:tab w:val="right" w:pos="9350"/>
            </w:tabs>
            <w:rPr>
              <w:rFonts w:eastAsiaTheme="minorEastAsia" w:cstheme="minorBidi"/>
              <w:noProof/>
              <w:sz w:val="24"/>
              <w:szCs w:val="24"/>
            </w:rPr>
          </w:pPr>
          <w:hyperlink w:anchor="_Toc162267733" w:history="1">
            <w:r w:rsidR="00736DA9" w:rsidRPr="004372B1">
              <w:rPr>
                <w:rStyle w:val="Hyperlink"/>
                <w:noProof/>
              </w:rPr>
              <w:t>References 11.3</w:t>
            </w:r>
            <w:r w:rsidR="00736DA9">
              <w:rPr>
                <w:noProof/>
                <w:webHidden/>
              </w:rPr>
              <w:tab/>
            </w:r>
            <w:r w:rsidR="00736DA9">
              <w:rPr>
                <w:noProof/>
                <w:webHidden/>
              </w:rPr>
              <w:fldChar w:fldCharType="begin"/>
            </w:r>
            <w:r w:rsidR="00736DA9">
              <w:rPr>
                <w:noProof/>
                <w:webHidden/>
              </w:rPr>
              <w:instrText xml:space="preserve"> PAGEREF _Toc162267733 \h </w:instrText>
            </w:r>
            <w:r w:rsidR="00736DA9">
              <w:rPr>
                <w:noProof/>
                <w:webHidden/>
              </w:rPr>
            </w:r>
            <w:r w:rsidR="00736DA9">
              <w:rPr>
                <w:noProof/>
                <w:webHidden/>
              </w:rPr>
              <w:fldChar w:fldCharType="separate"/>
            </w:r>
            <w:r w:rsidR="00736DA9">
              <w:rPr>
                <w:noProof/>
                <w:webHidden/>
              </w:rPr>
              <w:t>442</w:t>
            </w:r>
            <w:r w:rsidR="00736DA9">
              <w:rPr>
                <w:noProof/>
                <w:webHidden/>
              </w:rPr>
              <w:fldChar w:fldCharType="end"/>
            </w:r>
          </w:hyperlink>
        </w:p>
        <w:p w14:paraId="76233435" w14:textId="1794C70F" w:rsidR="00736DA9" w:rsidRDefault="00000000">
          <w:pPr>
            <w:pStyle w:val="TOC3"/>
            <w:tabs>
              <w:tab w:val="right" w:pos="9350"/>
            </w:tabs>
            <w:rPr>
              <w:rFonts w:eastAsiaTheme="minorEastAsia" w:cstheme="minorBidi"/>
              <w:noProof/>
              <w:sz w:val="24"/>
              <w:szCs w:val="24"/>
            </w:rPr>
          </w:pPr>
          <w:hyperlink w:anchor="_Toc162267734" w:history="1">
            <w:r w:rsidR="00736DA9" w:rsidRPr="004372B1">
              <w:rPr>
                <w:rStyle w:val="Hyperlink"/>
                <w:noProof/>
              </w:rPr>
              <w:t>Primary Care and Oral Health Care in SC</w:t>
            </w:r>
            <w:r w:rsidR="00736DA9">
              <w:rPr>
                <w:noProof/>
                <w:webHidden/>
              </w:rPr>
              <w:tab/>
            </w:r>
            <w:r w:rsidR="00736DA9">
              <w:rPr>
                <w:noProof/>
                <w:webHidden/>
              </w:rPr>
              <w:fldChar w:fldCharType="begin"/>
            </w:r>
            <w:r w:rsidR="00736DA9">
              <w:rPr>
                <w:noProof/>
                <w:webHidden/>
              </w:rPr>
              <w:instrText xml:space="preserve"> PAGEREF _Toc162267734 \h </w:instrText>
            </w:r>
            <w:r w:rsidR="00736DA9">
              <w:rPr>
                <w:noProof/>
                <w:webHidden/>
              </w:rPr>
            </w:r>
            <w:r w:rsidR="00736DA9">
              <w:rPr>
                <w:noProof/>
                <w:webHidden/>
              </w:rPr>
              <w:fldChar w:fldCharType="separate"/>
            </w:r>
            <w:r w:rsidR="00736DA9">
              <w:rPr>
                <w:noProof/>
                <w:webHidden/>
              </w:rPr>
              <w:t>442</w:t>
            </w:r>
            <w:r w:rsidR="00736DA9">
              <w:rPr>
                <w:noProof/>
                <w:webHidden/>
              </w:rPr>
              <w:fldChar w:fldCharType="end"/>
            </w:r>
          </w:hyperlink>
        </w:p>
        <w:p w14:paraId="3F96DD19" w14:textId="5CC888F0" w:rsidR="00736DA9" w:rsidRDefault="00000000">
          <w:pPr>
            <w:pStyle w:val="TOC4"/>
            <w:tabs>
              <w:tab w:val="right" w:pos="9350"/>
            </w:tabs>
            <w:rPr>
              <w:rFonts w:eastAsiaTheme="minorEastAsia" w:cstheme="minorBidi"/>
              <w:noProof/>
              <w:sz w:val="24"/>
              <w:szCs w:val="24"/>
            </w:rPr>
          </w:pPr>
          <w:hyperlink w:anchor="_Toc162267735" w:history="1">
            <w:r w:rsidR="00736DA9" w:rsidRPr="004372B1">
              <w:rPr>
                <w:rStyle w:val="Hyperlink"/>
                <w:noProof/>
              </w:rPr>
              <w:t>Key Findings for Primary Care Needs Assessment</w:t>
            </w:r>
            <w:r w:rsidR="00736DA9">
              <w:rPr>
                <w:noProof/>
                <w:webHidden/>
              </w:rPr>
              <w:tab/>
            </w:r>
            <w:r w:rsidR="00736DA9">
              <w:rPr>
                <w:noProof/>
                <w:webHidden/>
              </w:rPr>
              <w:fldChar w:fldCharType="begin"/>
            </w:r>
            <w:r w:rsidR="00736DA9">
              <w:rPr>
                <w:noProof/>
                <w:webHidden/>
              </w:rPr>
              <w:instrText xml:space="preserve"> PAGEREF _Toc162267735 \h </w:instrText>
            </w:r>
            <w:r w:rsidR="00736DA9">
              <w:rPr>
                <w:noProof/>
                <w:webHidden/>
              </w:rPr>
            </w:r>
            <w:r w:rsidR="00736DA9">
              <w:rPr>
                <w:noProof/>
                <w:webHidden/>
              </w:rPr>
              <w:fldChar w:fldCharType="separate"/>
            </w:r>
            <w:r w:rsidR="00736DA9">
              <w:rPr>
                <w:noProof/>
                <w:webHidden/>
              </w:rPr>
              <w:t>443</w:t>
            </w:r>
            <w:r w:rsidR="00736DA9">
              <w:rPr>
                <w:noProof/>
                <w:webHidden/>
              </w:rPr>
              <w:fldChar w:fldCharType="end"/>
            </w:r>
          </w:hyperlink>
        </w:p>
        <w:p w14:paraId="19ACEE10" w14:textId="31606710" w:rsidR="00736DA9" w:rsidRDefault="00000000">
          <w:pPr>
            <w:pStyle w:val="TOC4"/>
            <w:tabs>
              <w:tab w:val="right" w:pos="9350"/>
            </w:tabs>
            <w:rPr>
              <w:rFonts w:eastAsiaTheme="minorEastAsia" w:cstheme="minorBidi"/>
              <w:noProof/>
              <w:sz w:val="24"/>
              <w:szCs w:val="24"/>
            </w:rPr>
          </w:pPr>
          <w:hyperlink w:anchor="_Toc162267736" w:history="1">
            <w:r w:rsidR="00736DA9" w:rsidRPr="004372B1">
              <w:rPr>
                <w:rStyle w:val="Hyperlink"/>
                <w:noProof/>
              </w:rPr>
              <w:t>Key Findings for Oral Health Needs Assessment</w:t>
            </w:r>
            <w:r w:rsidR="00736DA9">
              <w:rPr>
                <w:noProof/>
                <w:webHidden/>
              </w:rPr>
              <w:tab/>
            </w:r>
            <w:r w:rsidR="00736DA9">
              <w:rPr>
                <w:noProof/>
                <w:webHidden/>
              </w:rPr>
              <w:fldChar w:fldCharType="begin"/>
            </w:r>
            <w:r w:rsidR="00736DA9">
              <w:rPr>
                <w:noProof/>
                <w:webHidden/>
              </w:rPr>
              <w:instrText xml:space="preserve"> PAGEREF _Toc162267736 \h </w:instrText>
            </w:r>
            <w:r w:rsidR="00736DA9">
              <w:rPr>
                <w:noProof/>
                <w:webHidden/>
              </w:rPr>
            </w:r>
            <w:r w:rsidR="00736DA9">
              <w:rPr>
                <w:noProof/>
                <w:webHidden/>
              </w:rPr>
              <w:fldChar w:fldCharType="separate"/>
            </w:r>
            <w:r w:rsidR="00736DA9">
              <w:rPr>
                <w:noProof/>
                <w:webHidden/>
              </w:rPr>
              <w:t>444</w:t>
            </w:r>
            <w:r w:rsidR="00736DA9">
              <w:rPr>
                <w:noProof/>
                <w:webHidden/>
              </w:rPr>
              <w:fldChar w:fldCharType="end"/>
            </w:r>
          </w:hyperlink>
        </w:p>
        <w:p w14:paraId="1A359775" w14:textId="7AD27B62" w:rsidR="00736DA9" w:rsidRDefault="00000000">
          <w:pPr>
            <w:pStyle w:val="TOC4"/>
            <w:tabs>
              <w:tab w:val="right" w:pos="9350"/>
            </w:tabs>
            <w:rPr>
              <w:rFonts w:eastAsiaTheme="minorEastAsia" w:cstheme="minorBidi"/>
              <w:noProof/>
              <w:sz w:val="24"/>
              <w:szCs w:val="24"/>
            </w:rPr>
          </w:pPr>
          <w:hyperlink w:anchor="_Toc162267737" w:history="1">
            <w:r w:rsidR="00736DA9" w:rsidRPr="004372B1">
              <w:rPr>
                <w:rStyle w:val="Hyperlink"/>
                <w:noProof/>
              </w:rPr>
              <w:t>Marketplace</w:t>
            </w:r>
            <w:r w:rsidR="00736DA9">
              <w:rPr>
                <w:noProof/>
                <w:webHidden/>
              </w:rPr>
              <w:tab/>
            </w:r>
            <w:r w:rsidR="00736DA9">
              <w:rPr>
                <w:noProof/>
                <w:webHidden/>
              </w:rPr>
              <w:fldChar w:fldCharType="begin"/>
            </w:r>
            <w:r w:rsidR="00736DA9">
              <w:rPr>
                <w:noProof/>
                <w:webHidden/>
              </w:rPr>
              <w:instrText xml:space="preserve"> PAGEREF _Toc162267737 \h </w:instrText>
            </w:r>
            <w:r w:rsidR="00736DA9">
              <w:rPr>
                <w:noProof/>
                <w:webHidden/>
              </w:rPr>
            </w:r>
            <w:r w:rsidR="00736DA9">
              <w:rPr>
                <w:noProof/>
                <w:webHidden/>
              </w:rPr>
              <w:fldChar w:fldCharType="separate"/>
            </w:r>
            <w:r w:rsidR="00736DA9">
              <w:rPr>
                <w:noProof/>
                <w:webHidden/>
              </w:rPr>
              <w:t>444</w:t>
            </w:r>
            <w:r w:rsidR="00736DA9">
              <w:rPr>
                <w:noProof/>
                <w:webHidden/>
              </w:rPr>
              <w:fldChar w:fldCharType="end"/>
            </w:r>
          </w:hyperlink>
        </w:p>
        <w:p w14:paraId="15002D76" w14:textId="46061578" w:rsidR="00736DA9" w:rsidRDefault="00000000">
          <w:pPr>
            <w:pStyle w:val="TOC4"/>
            <w:tabs>
              <w:tab w:val="right" w:pos="9350"/>
            </w:tabs>
            <w:rPr>
              <w:rFonts w:eastAsiaTheme="minorEastAsia" w:cstheme="minorBidi"/>
              <w:noProof/>
              <w:sz w:val="24"/>
              <w:szCs w:val="24"/>
            </w:rPr>
          </w:pPr>
          <w:hyperlink w:anchor="_Toc162267738" w:history="1">
            <w:r w:rsidR="00736DA9" w:rsidRPr="004372B1">
              <w:rPr>
                <w:rStyle w:val="Hyperlink"/>
                <w:noProof/>
              </w:rPr>
              <w:t>References 11.4</w:t>
            </w:r>
            <w:r w:rsidR="00736DA9">
              <w:rPr>
                <w:noProof/>
                <w:webHidden/>
              </w:rPr>
              <w:tab/>
            </w:r>
            <w:r w:rsidR="00736DA9">
              <w:rPr>
                <w:noProof/>
                <w:webHidden/>
              </w:rPr>
              <w:fldChar w:fldCharType="begin"/>
            </w:r>
            <w:r w:rsidR="00736DA9">
              <w:rPr>
                <w:noProof/>
                <w:webHidden/>
              </w:rPr>
              <w:instrText xml:space="preserve"> PAGEREF _Toc162267738 \h </w:instrText>
            </w:r>
            <w:r w:rsidR="00736DA9">
              <w:rPr>
                <w:noProof/>
                <w:webHidden/>
              </w:rPr>
            </w:r>
            <w:r w:rsidR="00736DA9">
              <w:rPr>
                <w:noProof/>
                <w:webHidden/>
              </w:rPr>
              <w:fldChar w:fldCharType="separate"/>
            </w:r>
            <w:r w:rsidR="00736DA9">
              <w:rPr>
                <w:noProof/>
                <w:webHidden/>
              </w:rPr>
              <w:t>445</w:t>
            </w:r>
            <w:r w:rsidR="00736DA9">
              <w:rPr>
                <w:noProof/>
                <w:webHidden/>
              </w:rPr>
              <w:fldChar w:fldCharType="end"/>
            </w:r>
          </w:hyperlink>
        </w:p>
        <w:p w14:paraId="42DCC60F" w14:textId="5E86C66D" w:rsidR="00736DA9" w:rsidRDefault="00000000">
          <w:pPr>
            <w:pStyle w:val="TOC3"/>
            <w:tabs>
              <w:tab w:val="right" w:pos="9350"/>
            </w:tabs>
            <w:rPr>
              <w:rFonts w:eastAsiaTheme="minorEastAsia" w:cstheme="minorBidi"/>
              <w:noProof/>
              <w:sz w:val="24"/>
              <w:szCs w:val="24"/>
            </w:rPr>
          </w:pPr>
          <w:hyperlink w:anchor="_Toc162267739" w:history="1">
            <w:r w:rsidR="00736DA9" w:rsidRPr="004372B1">
              <w:rPr>
                <w:rStyle w:val="Hyperlink"/>
                <w:noProof/>
              </w:rPr>
              <w:t>Behavioral Health Capacity in SC</w:t>
            </w:r>
            <w:r w:rsidR="00736DA9">
              <w:rPr>
                <w:noProof/>
                <w:webHidden/>
              </w:rPr>
              <w:tab/>
            </w:r>
            <w:r w:rsidR="00736DA9">
              <w:rPr>
                <w:noProof/>
                <w:webHidden/>
              </w:rPr>
              <w:fldChar w:fldCharType="begin"/>
            </w:r>
            <w:r w:rsidR="00736DA9">
              <w:rPr>
                <w:noProof/>
                <w:webHidden/>
              </w:rPr>
              <w:instrText xml:space="preserve"> PAGEREF _Toc162267739 \h </w:instrText>
            </w:r>
            <w:r w:rsidR="00736DA9">
              <w:rPr>
                <w:noProof/>
                <w:webHidden/>
              </w:rPr>
            </w:r>
            <w:r w:rsidR="00736DA9">
              <w:rPr>
                <w:noProof/>
                <w:webHidden/>
              </w:rPr>
              <w:fldChar w:fldCharType="separate"/>
            </w:r>
            <w:r w:rsidR="00736DA9">
              <w:rPr>
                <w:noProof/>
                <w:webHidden/>
              </w:rPr>
              <w:t>445</w:t>
            </w:r>
            <w:r w:rsidR="00736DA9">
              <w:rPr>
                <w:noProof/>
                <w:webHidden/>
              </w:rPr>
              <w:fldChar w:fldCharType="end"/>
            </w:r>
          </w:hyperlink>
        </w:p>
        <w:p w14:paraId="2AA6FE26" w14:textId="1F47EB51" w:rsidR="00736DA9" w:rsidRDefault="00000000">
          <w:pPr>
            <w:pStyle w:val="TOC4"/>
            <w:tabs>
              <w:tab w:val="right" w:pos="9350"/>
            </w:tabs>
            <w:rPr>
              <w:rFonts w:eastAsiaTheme="minorEastAsia" w:cstheme="minorBidi"/>
              <w:noProof/>
              <w:sz w:val="24"/>
              <w:szCs w:val="24"/>
            </w:rPr>
          </w:pPr>
          <w:hyperlink w:anchor="_Toc162267740" w:history="1">
            <w:r w:rsidR="00736DA9" w:rsidRPr="004372B1">
              <w:rPr>
                <w:rStyle w:val="Hyperlink"/>
                <w:noProof/>
              </w:rPr>
              <w:t>References 11.5</w:t>
            </w:r>
            <w:r w:rsidR="00736DA9">
              <w:rPr>
                <w:noProof/>
                <w:webHidden/>
              </w:rPr>
              <w:tab/>
            </w:r>
            <w:r w:rsidR="00736DA9">
              <w:rPr>
                <w:noProof/>
                <w:webHidden/>
              </w:rPr>
              <w:fldChar w:fldCharType="begin"/>
            </w:r>
            <w:r w:rsidR="00736DA9">
              <w:rPr>
                <w:noProof/>
                <w:webHidden/>
              </w:rPr>
              <w:instrText xml:space="preserve"> PAGEREF _Toc162267740 \h </w:instrText>
            </w:r>
            <w:r w:rsidR="00736DA9">
              <w:rPr>
                <w:noProof/>
                <w:webHidden/>
              </w:rPr>
            </w:r>
            <w:r w:rsidR="00736DA9">
              <w:rPr>
                <w:noProof/>
                <w:webHidden/>
              </w:rPr>
              <w:fldChar w:fldCharType="separate"/>
            </w:r>
            <w:r w:rsidR="00736DA9">
              <w:rPr>
                <w:noProof/>
                <w:webHidden/>
              </w:rPr>
              <w:t>448</w:t>
            </w:r>
            <w:r w:rsidR="00736DA9">
              <w:rPr>
                <w:noProof/>
                <w:webHidden/>
              </w:rPr>
              <w:fldChar w:fldCharType="end"/>
            </w:r>
          </w:hyperlink>
        </w:p>
        <w:p w14:paraId="6370C355" w14:textId="379CD423" w:rsidR="00736DA9" w:rsidRDefault="00000000">
          <w:pPr>
            <w:pStyle w:val="TOC3"/>
            <w:tabs>
              <w:tab w:val="right" w:pos="9350"/>
            </w:tabs>
            <w:rPr>
              <w:rFonts w:eastAsiaTheme="minorEastAsia" w:cstheme="minorBidi"/>
              <w:noProof/>
              <w:sz w:val="24"/>
              <w:szCs w:val="24"/>
            </w:rPr>
          </w:pPr>
          <w:hyperlink w:anchor="_Toc162267741" w:history="1">
            <w:r w:rsidR="00736DA9" w:rsidRPr="004372B1">
              <w:rPr>
                <w:rStyle w:val="Hyperlink"/>
                <w:noProof/>
              </w:rPr>
              <w:t>Public Health Capacity Through Engagement and Partnerships</w:t>
            </w:r>
            <w:r w:rsidR="00736DA9">
              <w:rPr>
                <w:noProof/>
                <w:webHidden/>
              </w:rPr>
              <w:tab/>
            </w:r>
            <w:r w:rsidR="00736DA9">
              <w:rPr>
                <w:noProof/>
                <w:webHidden/>
              </w:rPr>
              <w:fldChar w:fldCharType="begin"/>
            </w:r>
            <w:r w:rsidR="00736DA9">
              <w:rPr>
                <w:noProof/>
                <w:webHidden/>
              </w:rPr>
              <w:instrText xml:space="preserve"> PAGEREF _Toc162267741 \h </w:instrText>
            </w:r>
            <w:r w:rsidR="00736DA9">
              <w:rPr>
                <w:noProof/>
                <w:webHidden/>
              </w:rPr>
            </w:r>
            <w:r w:rsidR="00736DA9">
              <w:rPr>
                <w:noProof/>
                <w:webHidden/>
              </w:rPr>
              <w:fldChar w:fldCharType="separate"/>
            </w:r>
            <w:r w:rsidR="00736DA9">
              <w:rPr>
                <w:noProof/>
                <w:webHidden/>
              </w:rPr>
              <w:t>449</w:t>
            </w:r>
            <w:r w:rsidR="00736DA9">
              <w:rPr>
                <w:noProof/>
                <w:webHidden/>
              </w:rPr>
              <w:fldChar w:fldCharType="end"/>
            </w:r>
          </w:hyperlink>
        </w:p>
        <w:p w14:paraId="78027150" w14:textId="458AC2C4" w:rsidR="00736DA9" w:rsidRDefault="00000000">
          <w:pPr>
            <w:pStyle w:val="TOC4"/>
            <w:tabs>
              <w:tab w:val="right" w:pos="9350"/>
            </w:tabs>
            <w:rPr>
              <w:rFonts w:eastAsiaTheme="minorEastAsia" w:cstheme="minorBidi"/>
              <w:noProof/>
              <w:sz w:val="24"/>
              <w:szCs w:val="24"/>
            </w:rPr>
          </w:pPr>
          <w:hyperlink w:anchor="_Toc162267742" w:history="1">
            <w:r w:rsidR="00736DA9" w:rsidRPr="004372B1">
              <w:rPr>
                <w:rStyle w:val="Hyperlink"/>
                <w:noProof/>
              </w:rPr>
              <w:t>Capacity through State-level Engagement and Partnerships</w:t>
            </w:r>
            <w:r w:rsidR="00736DA9">
              <w:rPr>
                <w:noProof/>
                <w:webHidden/>
              </w:rPr>
              <w:tab/>
            </w:r>
            <w:r w:rsidR="00736DA9">
              <w:rPr>
                <w:noProof/>
                <w:webHidden/>
              </w:rPr>
              <w:fldChar w:fldCharType="begin"/>
            </w:r>
            <w:r w:rsidR="00736DA9">
              <w:rPr>
                <w:noProof/>
                <w:webHidden/>
              </w:rPr>
              <w:instrText xml:space="preserve"> PAGEREF _Toc162267742 \h </w:instrText>
            </w:r>
            <w:r w:rsidR="00736DA9">
              <w:rPr>
                <w:noProof/>
                <w:webHidden/>
              </w:rPr>
            </w:r>
            <w:r w:rsidR="00736DA9">
              <w:rPr>
                <w:noProof/>
                <w:webHidden/>
              </w:rPr>
              <w:fldChar w:fldCharType="separate"/>
            </w:r>
            <w:r w:rsidR="00736DA9">
              <w:rPr>
                <w:noProof/>
                <w:webHidden/>
              </w:rPr>
              <w:t>449</w:t>
            </w:r>
            <w:r w:rsidR="00736DA9">
              <w:rPr>
                <w:noProof/>
                <w:webHidden/>
              </w:rPr>
              <w:fldChar w:fldCharType="end"/>
            </w:r>
          </w:hyperlink>
        </w:p>
        <w:p w14:paraId="10C1F750" w14:textId="084E7894" w:rsidR="00736DA9" w:rsidRDefault="00000000">
          <w:pPr>
            <w:pStyle w:val="TOC4"/>
            <w:tabs>
              <w:tab w:val="right" w:pos="9350"/>
            </w:tabs>
            <w:rPr>
              <w:rFonts w:eastAsiaTheme="minorEastAsia" w:cstheme="minorBidi"/>
              <w:noProof/>
              <w:sz w:val="24"/>
              <w:szCs w:val="24"/>
            </w:rPr>
          </w:pPr>
          <w:hyperlink w:anchor="_Toc162267743" w:history="1">
            <w:r w:rsidR="00736DA9" w:rsidRPr="004372B1">
              <w:rPr>
                <w:rStyle w:val="Hyperlink"/>
                <w:noProof/>
              </w:rPr>
              <w:t>Capacity through Local Level Engagement and Partnerships</w:t>
            </w:r>
            <w:r w:rsidR="00736DA9">
              <w:rPr>
                <w:noProof/>
                <w:webHidden/>
              </w:rPr>
              <w:tab/>
            </w:r>
            <w:r w:rsidR="00736DA9">
              <w:rPr>
                <w:noProof/>
                <w:webHidden/>
              </w:rPr>
              <w:fldChar w:fldCharType="begin"/>
            </w:r>
            <w:r w:rsidR="00736DA9">
              <w:rPr>
                <w:noProof/>
                <w:webHidden/>
              </w:rPr>
              <w:instrText xml:space="preserve"> PAGEREF _Toc162267743 \h </w:instrText>
            </w:r>
            <w:r w:rsidR="00736DA9">
              <w:rPr>
                <w:noProof/>
                <w:webHidden/>
              </w:rPr>
            </w:r>
            <w:r w:rsidR="00736DA9">
              <w:rPr>
                <w:noProof/>
                <w:webHidden/>
              </w:rPr>
              <w:fldChar w:fldCharType="separate"/>
            </w:r>
            <w:r w:rsidR="00736DA9">
              <w:rPr>
                <w:noProof/>
                <w:webHidden/>
              </w:rPr>
              <w:t>449</w:t>
            </w:r>
            <w:r w:rsidR="00736DA9">
              <w:rPr>
                <w:noProof/>
                <w:webHidden/>
              </w:rPr>
              <w:fldChar w:fldCharType="end"/>
            </w:r>
          </w:hyperlink>
        </w:p>
        <w:p w14:paraId="7C396517" w14:textId="12D33443" w:rsidR="00736DA9" w:rsidRDefault="00000000">
          <w:pPr>
            <w:pStyle w:val="TOC2"/>
            <w:tabs>
              <w:tab w:val="right" w:pos="9350"/>
            </w:tabs>
            <w:rPr>
              <w:rFonts w:eastAsiaTheme="minorEastAsia" w:cstheme="minorBidi"/>
              <w:b w:val="0"/>
              <w:bCs w:val="0"/>
              <w:noProof/>
              <w:sz w:val="24"/>
              <w:szCs w:val="24"/>
            </w:rPr>
          </w:pPr>
          <w:hyperlink w:anchor="_Toc162267744" w:history="1">
            <w:r w:rsidR="00736DA9" w:rsidRPr="004372B1">
              <w:rPr>
                <w:rStyle w:val="Hyperlink"/>
                <w:noProof/>
              </w:rPr>
              <w:t>Appendices</w:t>
            </w:r>
            <w:r w:rsidR="00736DA9">
              <w:rPr>
                <w:noProof/>
                <w:webHidden/>
              </w:rPr>
              <w:tab/>
            </w:r>
            <w:r w:rsidR="00736DA9">
              <w:rPr>
                <w:noProof/>
                <w:webHidden/>
              </w:rPr>
              <w:fldChar w:fldCharType="begin"/>
            </w:r>
            <w:r w:rsidR="00736DA9">
              <w:rPr>
                <w:noProof/>
                <w:webHidden/>
              </w:rPr>
              <w:instrText xml:space="preserve"> PAGEREF _Toc162267744 \h </w:instrText>
            </w:r>
            <w:r w:rsidR="00736DA9">
              <w:rPr>
                <w:noProof/>
                <w:webHidden/>
              </w:rPr>
            </w:r>
            <w:r w:rsidR="00736DA9">
              <w:rPr>
                <w:noProof/>
                <w:webHidden/>
              </w:rPr>
              <w:fldChar w:fldCharType="separate"/>
            </w:r>
            <w:r w:rsidR="00736DA9">
              <w:rPr>
                <w:noProof/>
                <w:webHidden/>
              </w:rPr>
              <w:t>451</w:t>
            </w:r>
            <w:r w:rsidR="00736DA9">
              <w:rPr>
                <w:noProof/>
                <w:webHidden/>
              </w:rPr>
              <w:fldChar w:fldCharType="end"/>
            </w:r>
          </w:hyperlink>
        </w:p>
        <w:p w14:paraId="40E829ED" w14:textId="49C13870" w:rsidR="00736DA9" w:rsidRDefault="00000000">
          <w:pPr>
            <w:pStyle w:val="TOC3"/>
            <w:tabs>
              <w:tab w:val="right" w:pos="9350"/>
            </w:tabs>
            <w:rPr>
              <w:rFonts w:eastAsiaTheme="minorEastAsia" w:cstheme="minorBidi"/>
              <w:noProof/>
              <w:sz w:val="24"/>
              <w:szCs w:val="24"/>
            </w:rPr>
          </w:pPr>
          <w:hyperlink w:anchor="_Toc162267745" w:history="1">
            <w:r w:rsidR="00736DA9" w:rsidRPr="004372B1">
              <w:rPr>
                <w:rStyle w:val="Hyperlink"/>
                <w:noProof/>
              </w:rPr>
              <w:t>Appendix A: Alliance Member Directory</w:t>
            </w:r>
            <w:r w:rsidR="00736DA9">
              <w:rPr>
                <w:noProof/>
                <w:webHidden/>
              </w:rPr>
              <w:tab/>
            </w:r>
            <w:r w:rsidR="00736DA9">
              <w:rPr>
                <w:noProof/>
                <w:webHidden/>
              </w:rPr>
              <w:fldChar w:fldCharType="begin"/>
            </w:r>
            <w:r w:rsidR="00736DA9">
              <w:rPr>
                <w:noProof/>
                <w:webHidden/>
              </w:rPr>
              <w:instrText xml:space="preserve"> PAGEREF _Toc162267745 \h </w:instrText>
            </w:r>
            <w:r w:rsidR="00736DA9">
              <w:rPr>
                <w:noProof/>
                <w:webHidden/>
              </w:rPr>
            </w:r>
            <w:r w:rsidR="00736DA9">
              <w:rPr>
                <w:noProof/>
                <w:webHidden/>
              </w:rPr>
              <w:fldChar w:fldCharType="separate"/>
            </w:r>
            <w:r w:rsidR="00736DA9">
              <w:rPr>
                <w:noProof/>
                <w:webHidden/>
              </w:rPr>
              <w:t>451</w:t>
            </w:r>
            <w:r w:rsidR="00736DA9">
              <w:rPr>
                <w:noProof/>
                <w:webHidden/>
              </w:rPr>
              <w:fldChar w:fldCharType="end"/>
            </w:r>
          </w:hyperlink>
        </w:p>
        <w:p w14:paraId="259D4BA1" w14:textId="0AC42E2D" w:rsidR="00736DA9" w:rsidRDefault="00000000">
          <w:pPr>
            <w:pStyle w:val="TOC3"/>
            <w:tabs>
              <w:tab w:val="right" w:pos="9350"/>
            </w:tabs>
            <w:rPr>
              <w:rFonts w:eastAsiaTheme="minorEastAsia" w:cstheme="minorBidi"/>
              <w:noProof/>
              <w:sz w:val="24"/>
              <w:szCs w:val="24"/>
            </w:rPr>
          </w:pPr>
          <w:hyperlink w:anchor="_Toc162267746" w:history="1">
            <w:r w:rsidR="00736DA9" w:rsidRPr="004372B1">
              <w:rPr>
                <w:rStyle w:val="Hyperlink"/>
                <w:noProof/>
              </w:rPr>
              <w:t>Appendix B: South Carolina Community Health Needs Assessment</w:t>
            </w:r>
            <w:r w:rsidR="00736DA9">
              <w:rPr>
                <w:noProof/>
                <w:webHidden/>
              </w:rPr>
              <w:tab/>
            </w:r>
            <w:r w:rsidR="00736DA9">
              <w:rPr>
                <w:noProof/>
                <w:webHidden/>
              </w:rPr>
              <w:fldChar w:fldCharType="begin"/>
            </w:r>
            <w:r w:rsidR="00736DA9">
              <w:rPr>
                <w:noProof/>
                <w:webHidden/>
              </w:rPr>
              <w:instrText xml:space="preserve"> PAGEREF _Toc162267746 \h </w:instrText>
            </w:r>
            <w:r w:rsidR="00736DA9">
              <w:rPr>
                <w:noProof/>
                <w:webHidden/>
              </w:rPr>
            </w:r>
            <w:r w:rsidR="00736DA9">
              <w:rPr>
                <w:noProof/>
                <w:webHidden/>
              </w:rPr>
              <w:fldChar w:fldCharType="separate"/>
            </w:r>
            <w:r w:rsidR="00736DA9">
              <w:rPr>
                <w:noProof/>
                <w:webHidden/>
              </w:rPr>
              <w:t>453</w:t>
            </w:r>
            <w:r w:rsidR="00736DA9">
              <w:rPr>
                <w:noProof/>
                <w:webHidden/>
              </w:rPr>
              <w:fldChar w:fldCharType="end"/>
            </w:r>
          </w:hyperlink>
        </w:p>
        <w:p w14:paraId="1E6B33DC" w14:textId="0604FEFA" w:rsidR="00736DA9" w:rsidRDefault="00000000">
          <w:pPr>
            <w:pStyle w:val="TOC4"/>
            <w:tabs>
              <w:tab w:val="right" w:pos="9350"/>
            </w:tabs>
            <w:rPr>
              <w:rFonts w:eastAsiaTheme="minorEastAsia" w:cstheme="minorBidi"/>
              <w:noProof/>
              <w:sz w:val="24"/>
              <w:szCs w:val="24"/>
            </w:rPr>
          </w:pPr>
          <w:hyperlink w:anchor="_Toc162267747" w:history="1">
            <w:r w:rsidR="00736DA9" w:rsidRPr="004372B1">
              <w:rPr>
                <w:rStyle w:val="Hyperlink"/>
                <w:noProof/>
              </w:rPr>
              <w:t>Figure 1: Community Health Needs Assessment Survey Distribution.</w:t>
            </w:r>
            <w:r w:rsidR="00736DA9">
              <w:rPr>
                <w:noProof/>
                <w:webHidden/>
              </w:rPr>
              <w:tab/>
            </w:r>
            <w:r w:rsidR="00736DA9">
              <w:rPr>
                <w:noProof/>
                <w:webHidden/>
              </w:rPr>
              <w:fldChar w:fldCharType="begin"/>
            </w:r>
            <w:r w:rsidR="00736DA9">
              <w:rPr>
                <w:noProof/>
                <w:webHidden/>
              </w:rPr>
              <w:instrText xml:space="preserve"> PAGEREF _Toc162267747 \h </w:instrText>
            </w:r>
            <w:r w:rsidR="00736DA9">
              <w:rPr>
                <w:noProof/>
                <w:webHidden/>
              </w:rPr>
            </w:r>
            <w:r w:rsidR="00736DA9">
              <w:rPr>
                <w:noProof/>
                <w:webHidden/>
              </w:rPr>
              <w:fldChar w:fldCharType="separate"/>
            </w:r>
            <w:r w:rsidR="00736DA9">
              <w:rPr>
                <w:noProof/>
                <w:webHidden/>
              </w:rPr>
              <w:t>453</w:t>
            </w:r>
            <w:r w:rsidR="00736DA9">
              <w:rPr>
                <w:noProof/>
                <w:webHidden/>
              </w:rPr>
              <w:fldChar w:fldCharType="end"/>
            </w:r>
          </w:hyperlink>
        </w:p>
        <w:p w14:paraId="11B146A2" w14:textId="1871B196" w:rsidR="00736DA9" w:rsidRDefault="00000000">
          <w:pPr>
            <w:pStyle w:val="TOC4"/>
            <w:tabs>
              <w:tab w:val="right" w:pos="9350"/>
            </w:tabs>
            <w:rPr>
              <w:rFonts w:eastAsiaTheme="minorEastAsia" w:cstheme="minorBidi"/>
              <w:noProof/>
              <w:sz w:val="24"/>
              <w:szCs w:val="24"/>
            </w:rPr>
          </w:pPr>
          <w:hyperlink w:anchor="_Toc162267748" w:history="1">
            <w:r w:rsidR="00736DA9" w:rsidRPr="004372B1">
              <w:rPr>
                <w:rStyle w:val="Hyperlink"/>
                <w:noProof/>
              </w:rPr>
              <w:t>Figure 2: How Healthy is Your Community?</w:t>
            </w:r>
            <w:r w:rsidR="00736DA9">
              <w:rPr>
                <w:noProof/>
                <w:webHidden/>
              </w:rPr>
              <w:tab/>
            </w:r>
            <w:r w:rsidR="00736DA9">
              <w:rPr>
                <w:noProof/>
                <w:webHidden/>
              </w:rPr>
              <w:fldChar w:fldCharType="begin"/>
            </w:r>
            <w:r w:rsidR="00736DA9">
              <w:rPr>
                <w:noProof/>
                <w:webHidden/>
              </w:rPr>
              <w:instrText xml:space="preserve"> PAGEREF _Toc162267748 \h </w:instrText>
            </w:r>
            <w:r w:rsidR="00736DA9">
              <w:rPr>
                <w:noProof/>
                <w:webHidden/>
              </w:rPr>
            </w:r>
            <w:r w:rsidR="00736DA9">
              <w:rPr>
                <w:noProof/>
                <w:webHidden/>
              </w:rPr>
              <w:fldChar w:fldCharType="separate"/>
            </w:r>
            <w:r w:rsidR="00736DA9">
              <w:rPr>
                <w:noProof/>
                <w:webHidden/>
              </w:rPr>
              <w:t>455</w:t>
            </w:r>
            <w:r w:rsidR="00736DA9">
              <w:rPr>
                <w:noProof/>
                <w:webHidden/>
              </w:rPr>
              <w:fldChar w:fldCharType="end"/>
            </w:r>
          </w:hyperlink>
        </w:p>
        <w:p w14:paraId="58EF61CF" w14:textId="6C449DB7" w:rsidR="00736DA9" w:rsidRDefault="00000000">
          <w:pPr>
            <w:pStyle w:val="TOC4"/>
            <w:tabs>
              <w:tab w:val="right" w:pos="9350"/>
            </w:tabs>
            <w:rPr>
              <w:rFonts w:eastAsiaTheme="minorEastAsia" w:cstheme="minorBidi"/>
              <w:noProof/>
              <w:sz w:val="24"/>
              <w:szCs w:val="24"/>
            </w:rPr>
          </w:pPr>
          <w:hyperlink w:anchor="_Toc162267749" w:history="1">
            <w:r w:rsidR="00736DA9" w:rsidRPr="004372B1">
              <w:rPr>
                <w:rStyle w:val="Hyperlink"/>
                <w:noProof/>
              </w:rPr>
              <w:t>Figure 3: Top Four Health Services Most Important to Keeping You Healthy.</w:t>
            </w:r>
            <w:r w:rsidR="00736DA9">
              <w:rPr>
                <w:noProof/>
                <w:webHidden/>
              </w:rPr>
              <w:tab/>
            </w:r>
            <w:r w:rsidR="00736DA9">
              <w:rPr>
                <w:noProof/>
                <w:webHidden/>
              </w:rPr>
              <w:fldChar w:fldCharType="begin"/>
            </w:r>
            <w:r w:rsidR="00736DA9">
              <w:rPr>
                <w:noProof/>
                <w:webHidden/>
              </w:rPr>
              <w:instrText xml:space="preserve"> PAGEREF _Toc162267749 \h </w:instrText>
            </w:r>
            <w:r w:rsidR="00736DA9">
              <w:rPr>
                <w:noProof/>
                <w:webHidden/>
              </w:rPr>
            </w:r>
            <w:r w:rsidR="00736DA9">
              <w:rPr>
                <w:noProof/>
                <w:webHidden/>
              </w:rPr>
              <w:fldChar w:fldCharType="separate"/>
            </w:r>
            <w:r w:rsidR="00736DA9">
              <w:rPr>
                <w:noProof/>
                <w:webHidden/>
              </w:rPr>
              <w:t>455</w:t>
            </w:r>
            <w:r w:rsidR="00736DA9">
              <w:rPr>
                <w:noProof/>
                <w:webHidden/>
              </w:rPr>
              <w:fldChar w:fldCharType="end"/>
            </w:r>
          </w:hyperlink>
        </w:p>
        <w:p w14:paraId="72881B70" w14:textId="122AE5A4" w:rsidR="00736DA9" w:rsidRDefault="00000000">
          <w:pPr>
            <w:pStyle w:val="TOC4"/>
            <w:tabs>
              <w:tab w:val="right" w:pos="9350"/>
            </w:tabs>
            <w:rPr>
              <w:rFonts w:eastAsiaTheme="minorEastAsia" w:cstheme="minorBidi"/>
              <w:noProof/>
              <w:sz w:val="24"/>
              <w:szCs w:val="24"/>
            </w:rPr>
          </w:pPr>
          <w:hyperlink w:anchor="_Toc162267750" w:history="1">
            <w:r w:rsidR="00736DA9" w:rsidRPr="004372B1">
              <w:rPr>
                <w:rStyle w:val="Hyperlink"/>
                <w:noProof/>
              </w:rPr>
              <w:t>Figure 4: Leading Health Factors for a Healthy Community.</w:t>
            </w:r>
            <w:r w:rsidR="00736DA9">
              <w:rPr>
                <w:noProof/>
                <w:webHidden/>
              </w:rPr>
              <w:tab/>
            </w:r>
            <w:r w:rsidR="00736DA9">
              <w:rPr>
                <w:noProof/>
                <w:webHidden/>
              </w:rPr>
              <w:fldChar w:fldCharType="begin"/>
            </w:r>
            <w:r w:rsidR="00736DA9">
              <w:rPr>
                <w:noProof/>
                <w:webHidden/>
              </w:rPr>
              <w:instrText xml:space="preserve"> PAGEREF _Toc162267750 \h </w:instrText>
            </w:r>
            <w:r w:rsidR="00736DA9">
              <w:rPr>
                <w:noProof/>
                <w:webHidden/>
              </w:rPr>
            </w:r>
            <w:r w:rsidR="00736DA9">
              <w:rPr>
                <w:noProof/>
                <w:webHidden/>
              </w:rPr>
              <w:fldChar w:fldCharType="separate"/>
            </w:r>
            <w:r w:rsidR="00736DA9">
              <w:rPr>
                <w:noProof/>
                <w:webHidden/>
              </w:rPr>
              <w:t>456</w:t>
            </w:r>
            <w:r w:rsidR="00736DA9">
              <w:rPr>
                <w:noProof/>
                <w:webHidden/>
              </w:rPr>
              <w:fldChar w:fldCharType="end"/>
            </w:r>
          </w:hyperlink>
        </w:p>
        <w:p w14:paraId="6A917E56" w14:textId="7663FE54" w:rsidR="00736DA9" w:rsidRDefault="00000000">
          <w:pPr>
            <w:pStyle w:val="TOC3"/>
            <w:tabs>
              <w:tab w:val="right" w:pos="9350"/>
            </w:tabs>
            <w:rPr>
              <w:rFonts w:eastAsiaTheme="minorEastAsia" w:cstheme="minorBidi"/>
              <w:noProof/>
              <w:sz w:val="24"/>
              <w:szCs w:val="24"/>
            </w:rPr>
          </w:pPr>
          <w:hyperlink w:anchor="_Toc162267751" w:history="1">
            <w:r w:rsidR="00736DA9" w:rsidRPr="004372B1">
              <w:rPr>
                <w:rStyle w:val="Hyperlink"/>
                <w:noProof/>
              </w:rPr>
              <w:t>Appendix B: South Carolina Community Health Needs Assessment Survey</w:t>
            </w:r>
            <w:r w:rsidR="00736DA9">
              <w:rPr>
                <w:noProof/>
                <w:webHidden/>
              </w:rPr>
              <w:tab/>
            </w:r>
            <w:r w:rsidR="00736DA9">
              <w:rPr>
                <w:noProof/>
                <w:webHidden/>
              </w:rPr>
              <w:fldChar w:fldCharType="begin"/>
            </w:r>
            <w:r w:rsidR="00736DA9">
              <w:rPr>
                <w:noProof/>
                <w:webHidden/>
              </w:rPr>
              <w:instrText xml:space="preserve"> PAGEREF _Toc162267751 \h </w:instrText>
            </w:r>
            <w:r w:rsidR="00736DA9">
              <w:rPr>
                <w:noProof/>
                <w:webHidden/>
              </w:rPr>
            </w:r>
            <w:r w:rsidR="00736DA9">
              <w:rPr>
                <w:noProof/>
                <w:webHidden/>
              </w:rPr>
              <w:fldChar w:fldCharType="separate"/>
            </w:r>
            <w:r w:rsidR="00736DA9">
              <w:rPr>
                <w:noProof/>
                <w:webHidden/>
              </w:rPr>
              <w:t>457</w:t>
            </w:r>
            <w:r w:rsidR="00736DA9">
              <w:rPr>
                <w:noProof/>
                <w:webHidden/>
              </w:rPr>
              <w:fldChar w:fldCharType="end"/>
            </w:r>
          </w:hyperlink>
        </w:p>
        <w:p w14:paraId="6AA8A399" w14:textId="144796B6" w:rsidR="00736DA9" w:rsidRDefault="00000000">
          <w:pPr>
            <w:pStyle w:val="TOC4"/>
            <w:tabs>
              <w:tab w:val="right" w:pos="9350"/>
            </w:tabs>
            <w:rPr>
              <w:rFonts w:eastAsiaTheme="minorEastAsia" w:cstheme="minorBidi"/>
              <w:noProof/>
              <w:sz w:val="24"/>
              <w:szCs w:val="24"/>
            </w:rPr>
          </w:pPr>
          <w:hyperlink w:anchor="_Toc162267752" w:history="1">
            <w:r w:rsidR="00736DA9" w:rsidRPr="004372B1">
              <w:rPr>
                <w:rStyle w:val="Hyperlink"/>
                <w:noProof/>
              </w:rPr>
              <w:t>SC Community Health Needs Assessment</w:t>
            </w:r>
            <w:r w:rsidR="00736DA9">
              <w:rPr>
                <w:noProof/>
                <w:webHidden/>
              </w:rPr>
              <w:tab/>
            </w:r>
            <w:r w:rsidR="00736DA9">
              <w:rPr>
                <w:noProof/>
                <w:webHidden/>
              </w:rPr>
              <w:fldChar w:fldCharType="begin"/>
            </w:r>
            <w:r w:rsidR="00736DA9">
              <w:rPr>
                <w:noProof/>
                <w:webHidden/>
              </w:rPr>
              <w:instrText xml:space="preserve"> PAGEREF _Toc162267752 \h </w:instrText>
            </w:r>
            <w:r w:rsidR="00736DA9">
              <w:rPr>
                <w:noProof/>
                <w:webHidden/>
              </w:rPr>
            </w:r>
            <w:r w:rsidR="00736DA9">
              <w:rPr>
                <w:noProof/>
                <w:webHidden/>
              </w:rPr>
              <w:fldChar w:fldCharType="separate"/>
            </w:r>
            <w:r w:rsidR="00736DA9">
              <w:rPr>
                <w:noProof/>
                <w:webHidden/>
              </w:rPr>
              <w:t>457</w:t>
            </w:r>
            <w:r w:rsidR="00736DA9">
              <w:rPr>
                <w:noProof/>
                <w:webHidden/>
              </w:rPr>
              <w:fldChar w:fldCharType="end"/>
            </w:r>
          </w:hyperlink>
        </w:p>
        <w:p w14:paraId="6299162C" w14:textId="7226107A" w:rsidR="00736DA9" w:rsidRDefault="00000000">
          <w:pPr>
            <w:pStyle w:val="TOC3"/>
            <w:tabs>
              <w:tab w:val="right" w:pos="9350"/>
            </w:tabs>
            <w:rPr>
              <w:rFonts w:eastAsiaTheme="minorEastAsia" w:cstheme="minorBidi"/>
              <w:noProof/>
              <w:sz w:val="24"/>
              <w:szCs w:val="24"/>
            </w:rPr>
          </w:pPr>
          <w:hyperlink w:anchor="_Toc162267753" w:history="1">
            <w:r w:rsidR="00736DA9" w:rsidRPr="004372B1">
              <w:rPr>
                <w:rStyle w:val="Hyperlink"/>
                <w:noProof/>
              </w:rPr>
              <w:t>Appendix C: Healthy People 2030</w:t>
            </w:r>
            <w:r w:rsidR="00736DA9">
              <w:rPr>
                <w:noProof/>
                <w:webHidden/>
              </w:rPr>
              <w:tab/>
            </w:r>
            <w:r w:rsidR="00736DA9">
              <w:rPr>
                <w:noProof/>
                <w:webHidden/>
              </w:rPr>
              <w:fldChar w:fldCharType="begin"/>
            </w:r>
            <w:r w:rsidR="00736DA9">
              <w:rPr>
                <w:noProof/>
                <w:webHidden/>
              </w:rPr>
              <w:instrText xml:space="preserve"> PAGEREF _Toc162267753 \h </w:instrText>
            </w:r>
            <w:r w:rsidR="00736DA9">
              <w:rPr>
                <w:noProof/>
                <w:webHidden/>
              </w:rPr>
            </w:r>
            <w:r w:rsidR="00736DA9">
              <w:rPr>
                <w:noProof/>
                <w:webHidden/>
              </w:rPr>
              <w:fldChar w:fldCharType="separate"/>
            </w:r>
            <w:r w:rsidR="00736DA9">
              <w:rPr>
                <w:noProof/>
                <w:webHidden/>
              </w:rPr>
              <w:t>466</w:t>
            </w:r>
            <w:r w:rsidR="00736DA9">
              <w:rPr>
                <w:noProof/>
                <w:webHidden/>
              </w:rPr>
              <w:fldChar w:fldCharType="end"/>
            </w:r>
          </w:hyperlink>
        </w:p>
        <w:p w14:paraId="25F47DE9" w14:textId="0BB5413C" w:rsidR="00736DA9" w:rsidRDefault="00000000">
          <w:pPr>
            <w:pStyle w:val="TOC4"/>
            <w:tabs>
              <w:tab w:val="right" w:pos="9350"/>
            </w:tabs>
            <w:rPr>
              <w:rFonts w:eastAsiaTheme="minorEastAsia" w:cstheme="minorBidi"/>
              <w:noProof/>
              <w:sz w:val="24"/>
              <w:szCs w:val="24"/>
            </w:rPr>
          </w:pPr>
          <w:hyperlink w:anchor="_Toc162267754" w:history="1">
            <w:r w:rsidR="00736DA9" w:rsidRPr="004372B1">
              <w:rPr>
                <w:rStyle w:val="Hyperlink"/>
                <w:noProof/>
              </w:rPr>
              <w:t>Healthy Communities.</w:t>
            </w:r>
            <w:r w:rsidR="00736DA9">
              <w:rPr>
                <w:noProof/>
                <w:webHidden/>
              </w:rPr>
              <w:tab/>
            </w:r>
            <w:r w:rsidR="00736DA9">
              <w:rPr>
                <w:noProof/>
                <w:webHidden/>
              </w:rPr>
              <w:fldChar w:fldCharType="begin"/>
            </w:r>
            <w:r w:rsidR="00736DA9">
              <w:rPr>
                <w:noProof/>
                <w:webHidden/>
              </w:rPr>
              <w:instrText xml:space="preserve"> PAGEREF _Toc162267754 \h </w:instrText>
            </w:r>
            <w:r w:rsidR="00736DA9">
              <w:rPr>
                <w:noProof/>
                <w:webHidden/>
              </w:rPr>
            </w:r>
            <w:r w:rsidR="00736DA9">
              <w:rPr>
                <w:noProof/>
                <w:webHidden/>
              </w:rPr>
              <w:fldChar w:fldCharType="separate"/>
            </w:r>
            <w:r w:rsidR="00736DA9">
              <w:rPr>
                <w:noProof/>
                <w:webHidden/>
              </w:rPr>
              <w:t>466</w:t>
            </w:r>
            <w:r w:rsidR="00736DA9">
              <w:rPr>
                <w:noProof/>
                <w:webHidden/>
              </w:rPr>
              <w:fldChar w:fldCharType="end"/>
            </w:r>
          </w:hyperlink>
        </w:p>
        <w:p w14:paraId="2F8F2B03" w14:textId="7DE39D35" w:rsidR="00736DA9" w:rsidRDefault="00000000">
          <w:pPr>
            <w:pStyle w:val="TOC4"/>
            <w:tabs>
              <w:tab w:val="right" w:pos="9350"/>
            </w:tabs>
            <w:rPr>
              <w:rFonts w:eastAsiaTheme="minorEastAsia" w:cstheme="minorBidi"/>
              <w:noProof/>
              <w:sz w:val="24"/>
              <w:szCs w:val="24"/>
            </w:rPr>
          </w:pPr>
          <w:hyperlink w:anchor="_Toc162267755" w:history="1">
            <w:r w:rsidR="00736DA9" w:rsidRPr="004372B1">
              <w:rPr>
                <w:rStyle w:val="Hyperlink"/>
                <w:noProof/>
              </w:rPr>
              <w:t>Healthy Mothers and Infants.</w:t>
            </w:r>
            <w:r w:rsidR="00736DA9">
              <w:rPr>
                <w:noProof/>
                <w:webHidden/>
              </w:rPr>
              <w:tab/>
            </w:r>
            <w:r w:rsidR="00736DA9">
              <w:rPr>
                <w:noProof/>
                <w:webHidden/>
              </w:rPr>
              <w:fldChar w:fldCharType="begin"/>
            </w:r>
            <w:r w:rsidR="00736DA9">
              <w:rPr>
                <w:noProof/>
                <w:webHidden/>
              </w:rPr>
              <w:instrText xml:space="preserve"> PAGEREF _Toc162267755 \h </w:instrText>
            </w:r>
            <w:r w:rsidR="00736DA9">
              <w:rPr>
                <w:noProof/>
                <w:webHidden/>
              </w:rPr>
            </w:r>
            <w:r w:rsidR="00736DA9">
              <w:rPr>
                <w:noProof/>
                <w:webHidden/>
              </w:rPr>
              <w:fldChar w:fldCharType="separate"/>
            </w:r>
            <w:r w:rsidR="00736DA9">
              <w:rPr>
                <w:noProof/>
                <w:webHidden/>
              </w:rPr>
              <w:t>466</w:t>
            </w:r>
            <w:r w:rsidR="00736DA9">
              <w:rPr>
                <w:noProof/>
                <w:webHidden/>
              </w:rPr>
              <w:fldChar w:fldCharType="end"/>
            </w:r>
          </w:hyperlink>
        </w:p>
        <w:p w14:paraId="2271E3FD" w14:textId="1A4E1991" w:rsidR="00736DA9" w:rsidRDefault="00000000">
          <w:pPr>
            <w:pStyle w:val="TOC4"/>
            <w:tabs>
              <w:tab w:val="right" w:pos="9350"/>
            </w:tabs>
            <w:rPr>
              <w:rFonts w:eastAsiaTheme="minorEastAsia" w:cstheme="minorBidi"/>
              <w:noProof/>
              <w:sz w:val="24"/>
              <w:szCs w:val="24"/>
            </w:rPr>
          </w:pPr>
          <w:hyperlink w:anchor="_Toc162267756" w:history="1">
            <w:r w:rsidR="00736DA9" w:rsidRPr="004372B1">
              <w:rPr>
                <w:rStyle w:val="Hyperlink"/>
                <w:noProof/>
              </w:rPr>
              <w:t>Healthy Children and Adolescents.</w:t>
            </w:r>
            <w:r w:rsidR="00736DA9">
              <w:rPr>
                <w:noProof/>
                <w:webHidden/>
              </w:rPr>
              <w:tab/>
            </w:r>
            <w:r w:rsidR="00736DA9">
              <w:rPr>
                <w:noProof/>
                <w:webHidden/>
              </w:rPr>
              <w:fldChar w:fldCharType="begin"/>
            </w:r>
            <w:r w:rsidR="00736DA9">
              <w:rPr>
                <w:noProof/>
                <w:webHidden/>
              </w:rPr>
              <w:instrText xml:space="preserve"> PAGEREF _Toc162267756 \h </w:instrText>
            </w:r>
            <w:r w:rsidR="00736DA9">
              <w:rPr>
                <w:noProof/>
                <w:webHidden/>
              </w:rPr>
            </w:r>
            <w:r w:rsidR="00736DA9">
              <w:rPr>
                <w:noProof/>
                <w:webHidden/>
              </w:rPr>
              <w:fldChar w:fldCharType="separate"/>
            </w:r>
            <w:r w:rsidR="00736DA9">
              <w:rPr>
                <w:noProof/>
                <w:webHidden/>
              </w:rPr>
              <w:t>466</w:t>
            </w:r>
            <w:r w:rsidR="00736DA9">
              <w:rPr>
                <w:noProof/>
                <w:webHidden/>
              </w:rPr>
              <w:fldChar w:fldCharType="end"/>
            </w:r>
          </w:hyperlink>
        </w:p>
        <w:p w14:paraId="064428D8" w14:textId="09669999" w:rsidR="00736DA9" w:rsidRDefault="00000000">
          <w:pPr>
            <w:pStyle w:val="TOC4"/>
            <w:tabs>
              <w:tab w:val="right" w:pos="9350"/>
            </w:tabs>
            <w:rPr>
              <w:rFonts w:eastAsiaTheme="minorEastAsia" w:cstheme="minorBidi"/>
              <w:noProof/>
              <w:sz w:val="24"/>
              <w:szCs w:val="24"/>
            </w:rPr>
          </w:pPr>
          <w:hyperlink w:anchor="_Toc162267757" w:history="1">
            <w:r w:rsidR="00736DA9" w:rsidRPr="004372B1">
              <w:rPr>
                <w:rStyle w:val="Hyperlink"/>
                <w:noProof/>
              </w:rPr>
              <w:t>Healthy Adults.</w:t>
            </w:r>
            <w:r w:rsidR="00736DA9">
              <w:rPr>
                <w:noProof/>
                <w:webHidden/>
              </w:rPr>
              <w:tab/>
            </w:r>
            <w:r w:rsidR="00736DA9">
              <w:rPr>
                <w:noProof/>
                <w:webHidden/>
              </w:rPr>
              <w:fldChar w:fldCharType="begin"/>
            </w:r>
            <w:r w:rsidR="00736DA9">
              <w:rPr>
                <w:noProof/>
                <w:webHidden/>
              </w:rPr>
              <w:instrText xml:space="preserve"> PAGEREF _Toc162267757 \h </w:instrText>
            </w:r>
            <w:r w:rsidR="00736DA9">
              <w:rPr>
                <w:noProof/>
                <w:webHidden/>
              </w:rPr>
            </w:r>
            <w:r w:rsidR="00736DA9">
              <w:rPr>
                <w:noProof/>
                <w:webHidden/>
              </w:rPr>
              <w:fldChar w:fldCharType="separate"/>
            </w:r>
            <w:r w:rsidR="00736DA9">
              <w:rPr>
                <w:noProof/>
                <w:webHidden/>
              </w:rPr>
              <w:t>466</w:t>
            </w:r>
            <w:r w:rsidR="00736DA9">
              <w:rPr>
                <w:noProof/>
                <w:webHidden/>
              </w:rPr>
              <w:fldChar w:fldCharType="end"/>
            </w:r>
          </w:hyperlink>
        </w:p>
        <w:p w14:paraId="7FDFA854" w14:textId="06469516" w:rsidR="00736DA9" w:rsidRDefault="00000000">
          <w:pPr>
            <w:pStyle w:val="TOC4"/>
            <w:tabs>
              <w:tab w:val="right" w:pos="9350"/>
            </w:tabs>
            <w:rPr>
              <w:rFonts w:eastAsiaTheme="minorEastAsia" w:cstheme="minorBidi"/>
              <w:noProof/>
              <w:sz w:val="24"/>
              <w:szCs w:val="24"/>
            </w:rPr>
          </w:pPr>
          <w:hyperlink w:anchor="_Toc162267758" w:history="1">
            <w:r w:rsidR="00736DA9" w:rsidRPr="004372B1">
              <w:rPr>
                <w:rStyle w:val="Hyperlink"/>
                <w:noProof/>
              </w:rPr>
              <w:t>Healthy Aging.</w:t>
            </w:r>
            <w:r w:rsidR="00736DA9">
              <w:rPr>
                <w:noProof/>
                <w:webHidden/>
              </w:rPr>
              <w:tab/>
            </w:r>
            <w:r w:rsidR="00736DA9">
              <w:rPr>
                <w:noProof/>
                <w:webHidden/>
              </w:rPr>
              <w:fldChar w:fldCharType="begin"/>
            </w:r>
            <w:r w:rsidR="00736DA9">
              <w:rPr>
                <w:noProof/>
                <w:webHidden/>
              </w:rPr>
              <w:instrText xml:space="preserve"> PAGEREF _Toc162267758 \h </w:instrText>
            </w:r>
            <w:r w:rsidR="00736DA9">
              <w:rPr>
                <w:noProof/>
                <w:webHidden/>
              </w:rPr>
            </w:r>
            <w:r w:rsidR="00736DA9">
              <w:rPr>
                <w:noProof/>
                <w:webHidden/>
              </w:rPr>
              <w:fldChar w:fldCharType="separate"/>
            </w:r>
            <w:r w:rsidR="00736DA9">
              <w:rPr>
                <w:noProof/>
                <w:webHidden/>
              </w:rPr>
              <w:t>467</w:t>
            </w:r>
            <w:r w:rsidR="00736DA9">
              <w:rPr>
                <w:noProof/>
                <w:webHidden/>
              </w:rPr>
              <w:fldChar w:fldCharType="end"/>
            </w:r>
          </w:hyperlink>
        </w:p>
        <w:p w14:paraId="424991C1" w14:textId="6C378727" w:rsidR="00736DA9" w:rsidRDefault="00000000">
          <w:pPr>
            <w:pStyle w:val="TOC3"/>
            <w:tabs>
              <w:tab w:val="right" w:pos="9350"/>
            </w:tabs>
            <w:rPr>
              <w:rFonts w:eastAsiaTheme="minorEastAsia" w:cstheme="minorBidi"/>
              <w:noProof/>
              <w:sz w:val="24"/>
              <w:szCs w:val="24"/>
            </w:rPr>
          </w:pPr>
          <w:hyperlink w:anchor="_Toc162267759" w:history="1">
            <w:r w:rsidR="00736DA9" w:rsidRPr="004372B1">
              <w:rPr>
                <w:rStyle w:val="Hyperlink"/>
                <w:noProof/>
              </w:rPr>
              <w:t>Appendix D: SHA Project Teams</w:t>
            </w:r>
            <w:r w:rsidR="00736DA9">
              <w:rPr>
                <w:noProof/>
                <w:webHidden/>
              </w:rPr>
              <w:tab/>
            </w:r>
            <w:r w:rsidR="00736DA9">
              <w:rPr>
                <w:noProof/>
                <w:webHidden/>
              </w:rPr>
              <w:fldChar w:fldCharType="begin"/>
            </w:r>
            <w:r w:rsidR="00736DA9">
              <w:rPr>
                <w:noProof/>
                <w:webHidden/>
              </w:rPr>
              <w:instrText xml:space="preserve"> PAGEREF _Toc162267759 \h </w:instrText>
            </w:r>
            <w:r w:rsidR="00736DA9">
              <w:rPr>
                <w:noProof/>
                <w:webHidden/>
              </w:rPr>
            </w:r>
            <w:r w:rsidR="00736DA9">
              <w:rPr>
                <w:noProof/>
                <w:webHidden/>
              </w:rPr>
              <w:fldChar w:fldCharType="separate"/>
            </w:r>
            <w:r w:rsidR="00736DA9">
              <w:rPr>
                <w:noProof/>
                <w:webHidden/>
              </w:rPr>
              <w:t>468</w:t>
            </w:r>
            <w:r w:rsidR="00736DA9">
              <w:rPr>
                <w:noProof/>
                <w:webHidden/>
              </w:rPr>
              <w:fldChar w:fldCharType="end"/>
            </w:r>
          </w:hyperlink>
        </w:p>
        <w:p w14:paraId="1B6980E4" w14:textId="53AD8CBB" w:rsidR="00736DA9" w:rsidRDefault="00000000">
          <w:pPr>
            <w:pStyle w:val="TOC4"/>
            <w:tabs>
              <w:tab w:val="right" w:pos="9350"/>
            </w:tabs>
            <w:rPr>
              <w:rFonts w:eastAsiaTheme="minorEastAsia" w:cstheme="minorBidi"/>
              <w:noProof/>
              <w:sz w:val="24"/>
              <w:szCs w:val="24"/>
            </w:rPr>
          </w:pPr>
          <w:hyperlink w:anchor="_Toc162267760" w:history="1">
            <w:r w:rsidR="00736DA9" w:rsidRPr="004372B1">
              <w:rPr>
                <w:rStyle w:val="Hyperlink"/>
                <w:noProof/>
              </w:rPr>
              <w:t>State Health Improvement Office.</w:t>
            </w:r>
            <w:r w:rsidR="00736DA9">
              <w:rPr>
                <w:noProof/>
                <w:webHidden/>
              </w:rPr>
              <w:tab/>
            </w:r>
            <w:r w:rsidR="00736DA9">
              <w:rPr>
                <w:noProof/>
                <w:webHidden/>
              </w:rPr>
              <w:fldChar w:fldCharType="begin"/>
            </w:r>
            <w:r w:rsidR="00736DA9">
              <w:rPr>
                <w:noProof/>
                <w:webHidden/>
              </w:rPr>
              <w:instrText xml:space="preserve"> PAGEREF _Toc162267760 \h </w:instrText>
            </w:r>
            <w:r w:rsidR="00736DA9">
              <w:rPr>
                <w:noProof/>
                <w:webHidden/>
              </w:rPr>
            </w:r>
            <w:r w:rsidR="00736DA9">
              <w:rPr>
                <w:noProof/>
                <w:webHidden/>
              </w:rPr>
              <w:fldChar w:fldCharType="separate"/>
            </w:r>
            <w:r w:rsidR="00736DA9">
              <w:rPr>
                <w:noProof/>
                <w:webHidden/>
              </w:rPr>
              <w:t>468</w:t>
            </w:r>
            <w:r w:rsidR="00736DA9">
              <w:rPr>
                <w:noProof/>
                <w:webHidden/>
              </w:rPr>
              <w:fldChar w:fldCharType="end"/>
            </w:r>
          </w:hyperlink>
        </w:p>
        <w:p w14:paraId="39827442" w14:textId="585EC09D" w:rsidR="00736DA9" w:rsidRDefault="00000000">
          <w:pPr>
            <w:pStyle w:val="TOC4"/>
            <w:tabs>
              <w:tab w:val="right" w:pos="9350"/>
            </w:tabs>
            <w:rPr>
              <w:rFonts w:eastAsiaTheme="minorEastAsia" w:cstheme="minorBidi"/>
              <w:noProof/>
              <w:sz w:val="24"/>
              <w:szCs w:val="24"/>
            </w:rPr>
          </w:pPr>
          <w:hyperlink w:anchor="_Toc162267761" w:history="1">
            <w:r w:rsidR="00736DA9" w:rsidRPr="004372B1">
              <w:rPr>
                <w:rStyle w:val="Hyperlink"/>
                <w:noProof/>
              </w:rPr>
              <w:t>DHEC Executive Advisory Team.</w:t>
            </w:r>
            <w:r w:rsidR="00736DA9">
              <w:rPr>
                <w:noProof/>
                <w:webHidden/>
              </w:rPr>
              <w:tab/>
            </w:r>
            <w:r w:rsidR="00736DA9">
              <w:rPr>
                <w:noProof/>
                <w:webHidden/>
              </w:rPr>
              <w:fldChar w:fldCharType="begin"/>
            </w:r>
            <w:r w:rsidR="00736DA9">
              <w:rPr>
                <w:noProof/>
                <w:webHidden/>
              </w:rPr>
              <w:instrText xml:space="preserve"> PAGEREF _Toc162267761 \h </w:instrText>
            </w:r>
            <w:r w:rsidR="00736DA9">
              <w:rPr>
                <w:noProof/>
                <w:webHidden/>
              </w:rPr>
            </w:r>
            <w:r w:rsidR="00736DA9">
              <w:rPr>
                <w:noProof/>
                <w:webHidden/>
              </w:rPr>
              <w:fldChar w:fldCharType="separate"/>
            </w:r>
            <w:r w:rsidR="00736DA9">
              <w:rPr>
                <w:noProof/>
                <w:webHidden/>
              </w:rPr>
              <w:t>468</w:t>
            </w:r>
            <w:r w:rsidR="00736DA9">
              <w:rPr>
                <w:noProof/>
                <w:webHidden/>
              </w:rPr>
              <w:fldChar w:fldCharType="end"/>
            </w:r>
          </w:hyperlink>
        </w:p>
        <w:p w14:paraId="5CB2E21D" w14:textId="52D35C1E" w:rsidR="00736DA9" w:rsidRDefault="00000000">
          <w:pPr>
            <w:pStyle w:val="TOC4"/>
            <w:tabs>
              <w:tab w:val="right" w:pos="9350"/>
            </w:tabs>
            <w:rPr>
              <w:rFonts w:eastAsiaTheme="minorEastAsia" w:cstheme="minorBidi"/>
              <w:noProof/>
              <w:sz w:val="24"/>
              <w:szCs w:val="24"/>
            </w:rPr>
          </w:pPr>
          <w:hyperlink w:anchor="_Toc162267762" w:history="1">
            <w:r w:rsidR="00736DA9" w:rsidRPr="004372B1">
              <w:rPr>
                <w:rStyle w:val="Hyperlink"/>
                <w:noProof/>
              </w:rPr>
              <w:t>LHSC Project Management Team.</w:t>
            </w:r>
            <w:r w:rsidR="00736DA9">
              <w:rPr>
                <w:noProof/>
                <w:webHidden/>
              </w:rPr>
              <w:tab/>
            </w:r>
            <w:r w:rsidR="00736DA9">
              <w:rPr>
                <w:noProof/>
                <w:webHidden/>
              </w:rPr>
              <w:fldChar w:fldCharType="begin"/>
            </w:r>
            <w:r w:rsidR="00736DA9">
              <w:rPr>
                <w:noProof/>
                <w:webHidden/>
              </w:rPr>
              <w:instrText xml:space="preserve"> PAGEREF _Toc162267762 \h </w:instrText>
            </w:r>
            <w:r w:rsidR="00736DA9">
              <w:rPr>
                <w:noProof/>
                <w:webHidden/>
              </w:rPr>
            </w:r>
            <w:r w:rsidR="00736DA9">
              <w:rPr>
                <w:noProof/>
                <w:webHidden/>
              </w:rPr>
              <w:fldChar w:fldCharType="separate"/>
            </w:r>
            <w:r w:rsidR="00736DA9">
              <w:rPr>
                <w:noProof/>
                <w:webHidden/>
              </w:rPr>
              <w:t>468</w:t>
            </w:r>
            <w:r w:rsidR="00736DA9">
              <w:rPr>
                <w:noProof/>
                <w:webHidden/>
              </w:rPr>
              <w:fldChar w:fldCharType="end"/>
            </w:r>
          </w:hyperlink>
        </w:p>
        <w:p w14:paraId="55996014" w14:textId="555EFE03" w:rsidR="00736DA9" w:rsidRDefault="00000000">
          <w:pPr>
            <w:pStyle w:val="TOC4"/>
            <w:tabs>
              <w:tab w:val="right" w:pos="9350"/>
            </w:tabs>
            <w:rPr>
              <w:rFonts w:eastAsiaTheme="minorEastAsia" w:cstheme="minorBidi"/>
              <w:noProof/>
              <w:sz w:val="24"/>
              <w:szCs w:val="24"/>
            </w:rPr>
          </w:pPr>
          <w:hyperlink w:anchor="_Toc162267763" w:history="1">
            <w:r w:rsidR="00736DA9" w:rsidRPr="004372B1">
              <w:rPr>
                <w:rStyle w:val="Hyperlink"/>
                <w:noProof/>
              </w:rPr>
              <w:t>DHEC Planning Committee.</w:t>
            </w:r>
            <w:r w:rsidR="00736DA9">
              <w:rPr>
                <w:noProof/>
                <w:webHidden/>
              </w:rPr>
              <w:tab/>
            </w:r>
            <w:r w:rsidR="00736DA9">
              <w:rPr>
                <w:noProof/>
                <w:webHidden/>
              </w:rPr>
              <w:fldChar w:fldCharType="begin"/>
            </w:r>
            <w:r w:rsidR="00736DA9">
              <w:rPr>
                <w:noProof/>
                <w:webHidden/>
              </w:rPr>
              <w:instrText xml:space="preserve"> PAGEREF _Toc162267763 \h </w:instrText>
            </w:r>
            <w:r w:rsidR="00736DA9">
              <w:rPr>
                <w:noProof/>
                <w:webHidden/>
              </w:rPr>
            </w:r>
            <w:r w:rsidR="00736DA9">
              <w:rPr>
                <w:noProof/>
                <w:webHidden/>
              </w:rPr>
              <w:fldChar w:fldCharType="separate"/>
            </w:r>
            <w:r w:rsidR="00736DA9">
              <w:rPr>
                <w:noProof/>
                <w:webHidden/>
              </w:rPr>
              <w:t>468</w:t>
            </w:r>
            <w:r w:rsidR="00736DA9">
              <w:rPr>
                <w:noProof/>
                <w:webHidden/>
              </w:rPr>
              <w:fldChar w:fldCharType="end"/>
            </w:r>
          </w:hyperlink>
        </w:p>
        <w:p w14:paraId="7807CE88" w14:textId="5AEA4173" w:rsidR="00736DA9" w:rsidRDefault="00000000">
          <w:pPr>
            <w:pStyle w:val="TOC4"/>
            <w:tabs>
              <w:tab w:val="right" w:pos="9350"/>
            </w:tabs>
            <w:rPr>
              <w:rFonts w:eastAsiaTheme="minorEastAsia" w:cstheme="minorBidi"/>
              <w:noProof/>
              <w:sz w:val="24"/>
              <w:szCs w:val="24"/>
            </w:rPr>
          </w:pPr>
          <w:hyperlink w:anchor="_Toc162267764" w:history="1">
            <w:r w:rsidR="00736DA9" w:rsidRPr="004372B1">
              <w:rPr>
                <w:rStyle w:val="Hyperlink"/>
                <w:noProof/>
              </w:rPr>
              <w:t>LHSC Advisory Committee, by organization.</w:t>
            </w:r>
            <w:r w:rsidR="00736DA9">
              <w:rPr>
                <w:noProof/>
                <w:webHidden/>
              </w:rPr>
              <w:tab/>
            </w:r>
            <w:r w:rsidR="00736DA9">
              <w:rPr>
                <w:noProof/>
                <w:webHidden/>
              </w:rPr>
              <w:fldChar w:fldCharType="begin"/>
            </w:r>
            <w:r w:rsidR="00736DA9">
              <w:rPr>
                <w:noProof/>
                <w:webHidden/>
              </w:rPr>
              <w:instrText xml:space="preserve"> PAGEREF _Toc162267764 \h </w:instrText>
            </w:r>
            <w:r w:rsidR="00736DA9">
              <w:rPr>
                <w:noProof/>
                <w:webHidden/>
              </w:rPr>
            </w:r>
            <w:r w:rsidR="00736DA9">
              <w:rPr>
                <w:noProof/>
                <w:webHidden/>
              </w:rPr>
              <w:fldChar w:fldCharType="separate"/>
            </w:r>
            <w:r w:rsidR="00736DA9">
              <w:rPr>
                <w:noProof/>
                <w:webHidden/>
              </w:rPr>
              <w:t>469</w:t>
            </w:r>
            <w:r w:rsidR="00736DA9">
              <w:rPr>
                <w:noProof/>
                <w:webHidden/>
              </w:rPr>
              <w:fldChar w:fldCharType="end"/>
            </w:r>
          </w:hyperlink>
        </w:p>
        <w:p w14:paraId="5E8B2D7E" w14:textId="031AB467" w:rsidR="00736DA9" w:rsidRDefault="00000000">
          <w:pPr>
            <w:pStyle w:val="TOC4"/>
            <w:tabs>
              <w:tab w:val="right" w:pos="9350"/>
            </w:tabs>
            <w:rPr>
              <w:rFonts w:eastAsiaTheme="minorEastAsia" w:cstheme="minorBidi"/>
              <w:noProof/>
              <w:sz w:val="24"/>
              <w:szCs w:val="24"/>
            </w:rPr>
          </w:pPr>
          <w:hyperlink w:anchor="_Toc162267765" w:history="1">
            <w:r w:rsidR="00736DA9" w:rsidRPr="004372B1">
              <w:rPr>
                <w:rStyle w:val="Hyperlink"/>
                <w:noProof/>
              </w:rPr>
              <w:t>DHEC SHA Workgroups, by chapter.</w:t>
            </w:r>
            <w:r w:rsidR="00736DA9">
              <w:rPr>
                <w:noProof/>
                <w:webHidden/>
              </w:rPr>
              <w:tab/>
            </w:r>
            <w:r w:rsidR="00736DA9">
              <w:rPr>
                <w:noProof/>
                <w:webHidden/>
              </w:rPr>
              <w:fldChar w:fldCharType="begin"/>
            </w:r>
            <w:r w:rsidR="00736DA9">
              <w:rPr>
                <w:noProof/>
                <w:webHidden/>
              </w:rPr>
              <w:instrText xml:space="preserve"> PAGEREF _Toc162267765 \h </w:instrText>
            </w:r>
            <w:r w:rsidR="00736DA9">
              <w:rPr>
                <w:noProof/>
                <w:webHidden/>
              </w:rPr>
            </w:r>
            <w:r w:rsidR="00736DA9">
              <w:rPr>
                <w:noProof/>
                <w:webHidden/>
              </w:rPr>
              <w:fldChar w:fldCharType="separate"/>
            </w:r>
            <w:r w:rsidR="00736DA9">
              <w:rPr>
                <w:noProof/>
                <w:webHidden/>
              </w:rPr>
              <w:t>470</w:t>
            </w:r>
            <w:r w:rsidR="00736DA9">
              <w:rPr>
                <w:noProof/>
                <w:webHidden/>
              </w:rPr>
              <w:fldChar w:fldCharType="end"/>
            </w:r>
          </w:hyperlink>
        </w:p>
        <w:p w14:paraId="1C5D1ECE" w14:textId="6952D2FB" w:rsidR="00736DA9" w:rsidRDefault="00000000">
          <w:pPr>
            <w:pStyle w:val="TOC4"/>
            <w:tabs>
              <w:tab w:val="right" w:pos="9350"/>
            </w:tabs>
            <w:rPr>
              <w:rFonts w:eastAsiaTheme="minorEastAsia" w:cstheme="minorBidi"/>
              <w:noProof/>
              <w:sz w:val="24"/>
              <w:szCs w:val="24"/>
            </w:rPr>
          </w:pPr>
          <w:hyperlink w:anchor="_Toc162267766" w:history="1">
            <w:r w:rsidR="00736DA9" w:rsidRPr="004372B1">
              <w:rPr>
                <w:rStyle w:val="Hyperlink"/>
                <w:noProof/>
              </w:rPr>
              <w:t>LHSC Editorial Team.</w:t>
            </w:r>
            <w:r w:rsidR="00736DA9">
              <w:rPr>
                <w:noProof/>
                <w:webHidden/>
              </w:rPr>
              <w:tab/>
            </w:r>
            <w:r w:rsidR="00736DA9">
              <w:rPr>
                <w:noProof/>
                <w:webHidden/>
              </w:rPr>
              <w:fldChar w:fldCharType="begin"/>
            </w:r>
            <w:r w:rsidR="00736DA9">
              <w:rPr>
                <w:noProof/>
                <w:webHidden/>
              </w:rPr>
              <w:instrText xml:space="preserve"> PAGEREF _Toc162267766 \h </w:instrText>
            </w:r>
            <w:r w:rsidR="00736DA9">
              <w:rPr>
                <w:noProof/>
                <w:webHidden/>
              </w:rPr>
            </w:r>
            <w:r w:rsidR="00736DA9">
              <w:rPr>
                <w:noProof/>
                <w:webHidden/>
              </w:rPr>
              <w:fldChar w:fldCharType="separate"/>
            </w:r>
            <w:r w:rsidR="00736DA9">
              <w:rPr>
                <w:noProof/>
                <w:webHidden/>
              </w:rPr>
              <w:t>473</w:t>
            </w:r>
            <w:r w:rsidR="00736DA9">
              <w:rPr>
                <w:noProof/>
                <w:webHidden/>
              </w:rPr>
              <w:fldChar w:fldCharType="end"/>
            </w:r>
          </w:hyperlink>
        </w:p>
        <w:p w14:paraId="3B738B1F" w14:textId="6AED9C45" w:rsidR="00736DA9" w:rsidRDefault="00000000">
          <w:pPr>
            <w:pStyle w:val="TOC4"/>
            <w:tabs>
              <w:tab w:val="right" w:pos="9350"/>
            </w:tabs>
            <w:rPr>
              <w:rFonts w:eastAsiaTheme="minorEastAsia" w:cstheme="minorBidi"/>
              <w:noProof/>
              <w:sz w:val="24"/>
              <w:szCs w:val="24"/>
            </w:rPr>
          </w:pPr>
          <w:hyperlink w:anchor="_Toc162267767" w:history="1">
            <w:r w:rsidR="00736DA9" w:rsidRPr="004372B1">
              <w:rPr>
                <w:rStyle w:val="Hyperlink"/>
                <w:noProof/>
              </w:rPr>
              <w:t>DHEC Communications Team.</w:t>
            </w:r>
            <w:r w:rsidR="00736DA9">
              <w:rPr>
                <w:noProof/>
                <w:webHidden/>
              </w:rPr>
              <w:tab/>
            </w:r>
            <w:r w:rsidR="00736DA9">
              <w:rPr>
                <w:noProof/>
                <w:webHidden/>
              </w:rPr>
              <w:fldChar w:fldCharType="begin"/>
            </w:r>
            <w:r w:rsidR="00736DA9">
              <w:rPr>
                <w:noProof/>
                <w:webHidden/>
              </w:rPr>
              <w:instrText xml:space="preserve"> PAGEREF _Toc162267767 \h </w:instrText>
            </w:r>
            <w:r w:rsidR="00736DA9">
              <w:rPr>
                <w:noProof/>
                <w:webHidden/>
              </w:rPr>
            </w:r>
            <w:r w:rsidR="00736DA9">
              <w:rPr>
                <w:noProof/>
                <w:webHidden/>
              </w:rPr>
              <w:fldChar w:fldCharType="separate"/>
            </w:r>
            <w:r w:rsidR="00736DA9">
              <w:rPr>
                <w:noProof/>
                <w:webHidden/>
              </w:rPr>
              <w:t>473</w:t>
            </w:r>
            <w:r w:rsidR="00736DA9">
              <w:rPr>
                <w:noProof/>
                <w:webHidden/>
              </w:rPr>
              <w:fldChar w:fldCharType="end"/>
            </w:r>
          </w:hyperlink>
        </w:p>
        <w:p w14:paraId="5AACE646" w14:textId="26E11439" w:rsidR="00736DA9" w:rsidRDefault="00000000">
          <w:pPr>
            <w:pStyle w:val="TOC3"/>
            <w:tabs>
              <w:tab w:val="right" w:pos="9350"/>
            </w:tabs>
            <w:rPr>
              <w:rFonts w:eastAsiaTheme="minorEastAsia" w:cstheme="minorBidi"/>
              <w:noProof/>
              <w:sz w:val="24"/>
              <w:szCs w:val="24"/>
            </w:rPr>
          </w:pPr>
          <w:hyperlink w:anchor="_Toc162267768" w:history="1">
            <w:r w:rsidR="00736DA9" w:rsidRPr="004372B1">
              <w:rPr>
                <w:rStyle w:val="Hyperlink"/>
                <w:noProof/>
              </w:rPr>
              <w:t>Appendix E: Data Sources</w:t>
            </w:r>
            <w:r w:rsidR="00736DA9">
              <w:rPr>
                <w:noProof/>
                <w:webHidden/>
              </w:rPr>
              <w:tab/>
            </w:r>
            <w:r w:rsidR="00736DA9">
              <w:rPr>
                <w:noProof/>
                <w:webHidden/>
              </w:rPr>
              <w:fldChar w:fldCharType="begin"/>
            </w:r>
            <w:r w:rsidR="00736DA9">
              <w:rPr>
                <w:noProof/>
                <w:webHidden/>
              </w:rPr>
              <w:instrText xml:space="preserve"> PAGEREF _Toc162267768 \h </w:instrText>
            </w:r>
            <w:r w:rsidR="00736DA9">
              <w:rPr>
                <w:noProof/>
                <w:webHidden/>
              </w:rPr>
            </w:r>
            <w:r w:rsidR="00736DA9">
              <w:rPr>
                <w:noProof/>
                <w:webHidden/>
              </w:rPr>
              <w:fldChar w:fldCharType="separate"/>
            </w:r>
            <w:r w:rsidR="00736DA9">
              <w:rPr>
                <w:noProof/>
                <w:webHidden/>
              </w:rPr>
              <w:t>474</w:t>
            </w:r>
            <w:r w:rsidR="00736DA9">
              <w:rPr>
                <w:noProof/>
                <w:webHidden/>
              </w:rPr>
              <w:fldChar w:fldCharType="end"/>
            </w:r>
          </w:hyperlink>
        </w:p>
        <w:p w14:paraId="360AE63E" w14:textId="337B7454" w:rsidR="00736DA9" w:rsidRDefault="00000000">
          <w:pPr>
            <w:pStyle w:val="TOC3"/>
            <w:tabs>
              <w:tab w:val="right" w:pos="9350"/>
            </w:tabs>
            <w:rPr>
              <w:rFonts w:eastAsiaTheme="minorEastAsia" w:cstheme="minorBidi"/>
              <w:noProof/>
              <w:sz w:val="24"/>
              <w:szCs w:val="24"/>
            </w:rPr>
          </w:pPr>
          <w:hyperlink w:anchor="_Toc162267769" w:history="1">
            <w:r w:rsidR="00736DA9" w:rsidRPr="004372B1">
              <w:rPr>
                <w:rStyle w:val="Hyperlink"/>
                <w:noProof/>
              </w:rPr>
              <w:t>Appendix F: Asset Inventory</w:t>
            </w:r>
            <w:r w:rsidR="00736DA9">
              <w:rPr>
                <w:noProof/>
                <w:webHidden/>
              </w:rPr>
              <w:tab/>
            </w:r>
            <w:r w:rsidR="00736DA9">
              <w:rPr>
                <w:noProof/>
                <w:webHidden/>
              </w:rPr>
              <w:fldChar w:fldCharType="begin"/>
            </w:r>
            <w:r w:rsidR="00736DA9">
              <w:rPr>
                <w:noProof/>
                <w:webHidden/>
              </w:rPr>
              <w:instrText xml:space="preserve"> PAGEREF _Toc162267769 \h </w:instrText>
            </w:r>
            <w:r w:rsidR="00736DA9">
              <w:rPr>
                <w:noProof/>
                <w:webHidden/>
              </w:rPr>
            </w:r>
            <w:r w:rsidR="00736DA9">
              <w:rPr>
                <w:noProof/>
                <w:webHidden/>
              </w:rPr>
              <w:fldChar w:fldCharType="separate"/>
            </w:r>
            <w:r w:rsidR="00736DA9">
              <w:rPr>
                <w:noProof/>
                <w:webHidden/>
              </w:rPr>
              <w:t>499</w:t>
            </w:r>
            <w:r w:rsidR="00736DA9">
              <w:rPr>
                <w:noProof/>
                <w:webHidden/>
              </w:rPr>
              <w:fldChar w:fldCharType="end"/>
            </w:r>
          </w:hyperlink>
        </w:p>
        <w:p w14:paraId="5B2FB80E" w14:textId="23CC25ED" w:rsidR="00736DA9" w:rsidRDefault="00000000">
          <w:pPr>
            <w:pStyle w:val="TOC4"/>
            <w:tabs>
              <w:tab w:val="right" w:pos="9350"/>
            </w:tabs>
            <w:rPr>
              <w:rFonts w:eastAsiaTheme="minorEastAsia" w:cstheme="minorBidi"/>
              <w:noProof/>
              <w:sz w:val="24"/>
              <w:szCs w:val="24"/>
            </w:rPr>
          </w:pPr>
          <w:hyperlink w:anchor="_Toc162267770" w:history="1">
            <w:r w:rsidR="00736DA9" w:rsidRPr="004372B1">
              <w:rPr>
                <w:rStyle w:val="Hyperlink"/>
                <w:noProof/>
              </w:rPr>
              <w:t>Equity</w:t>
            </w:r>
            <w:r w:rsidR="00736DA9">
              <w:rPr>
                <w:noProof/>
                <w:webHidden/>
              </w:rPr>
              <w:tab/>
            </w:r>
            <w:r w:rsidR="00736DA9">
              <w:rPr>
                <w:noProof/>
                <w:webHidden/>
              </w:rPr>
              <w:fldChar w:fldCharType="begin"/>
            </w:r>
            <w:r w:rsidR="00736DA9">
              <w:rPr>
                <w:noProof/>
                <w:webHidden/>
              </w:rPr>
              <w:instrText xml:space="preserve"> PAGEREF _Toc162267770 \h </w:instrText>
            </w:r>
            <w:r w:rsidR="00736DA9">
              <w:rPr>
                <w:noProof/>
                <w:webHidden/>
              </w:rPr>
            </w:r>
            <w:r w:rsidR="00736DA9">
              <w:rPr>
                <w:noProof/>
                <w:webHidden/>
              </w:rPr>
              <w:fldChar w:fldCharType="separate"/>
            </w:r>
            <w:r w:rsidR="00736DA9">
              <w:rPr>
                <w:noProof/>
                <w:webHidden/>
              </w:rPr>
              <w:t>499</w:t>
            </w:r>
            <w:r w:rsidR="00736DA9">
              <w:rPr>
                <w:noProof/>
                <w:webHidden/>
              </w:rPr>
              <w:fldChar w:fldCharType="end"/>
            </w:r>
          </w:hyperlink>
        </w:p>
        <w:p w14:paraId="50B4E1A1" w14:textId="12B3534E" w:rsidR="00736DA9" w:rsidRDefault="00000000">
          <w:pPr>
            <w:pStyle w:val="TOC4"/>
            <w:tabs>
              <w:tab w:val="right" w:pos="9350"/>
            </w:tabs>
            <w:rPr>
              <w:rFonts w:eastAsiaTheme="minorEastAsia" w:cstheme="minorBidi"/>
              <w:noProof/>
              <w:sz w:val="24"/>
              <w:szCs w:val="24"/>
            </w:rPr>
          </w:pPr>
          <w:hyperlink w:anchor="_Toc162267771" w:history="1">
            <w:r w:rsidR="00736DA9" w:rsidRPr="004372B1">
              <w:rPr>
                <w:rStyle w:val="Hyperlink"/>
                <w:noProof/>
              </w:rPr>
              <w:t>Communities</w:t>
            </w:r>
            <w:r w:rsidR="00736DA9">
              <w:rPr>
                <w:noProof/>
                <w:webHidden/>
              </w:rPr>
              <w:tab/>
            </w:r>
            <w:r w:rsidR="00736DA9">
              <w:rPr>
                <w:noProof/>
                <w:webHidden/>
              </w:rPr>
              <w:fldChar w:fldCharType="begin"/>
            </w:r>
            <w:r w:rsidR="00736DA9">
              <w:rPr>
                <w:noProof/>
                <w:webHidden/>
              </w:rPr>
              <w:instrText xml:space="preserve"> PAGEREF _Toc162267771 \h </w:instrText>
            </w:r>
            <w:r w:rsidR="00736DA9">
              <w:rPr>
                <w:noProof/>
                <w:webHidden/>
              </w:rPr>
            </w:r>
            <w:r w:rsidR="00736DA9">
              <w:rPr>
                <w:noProof/>
                <w:webHidden/>
              </w:rPr>
              <w:fldChar w:fldCharType="separate"/>
            </w:r>
            <w:r w:rsidR="00736DA9">
              <w:rPr>
                <w:noProof/>
                <w:webHidden/>
              </w:rPr>
              <w:t>501</w:t>
            </w:r>
            <w:r w:rsidR="00736DA9">
              <w:rPr>
                <w:noProof/>
                <w:webHidden/>
              </w:rPr>
              <w:fldChar w:fldCharType="end"/>
            </w:r>
          </w:hyperlink>
        </w:p>
        <w:p w14:paraId="4640B095" w14:textId="06FBE126" w:rsidR="00736DA9" w:rsidRDefault="00000000">
          <w:pPr>
            <w:pStyle w:val="TOC4"/>
            <w:tabs>
              <w:tab w:val="right" w:pos="9350"/>
            </w:tabs>
            <w:rPr>
              <w:rFonts w:eastAsiaTheme="minorEastAsia" w:cstheme="minorBidi"/>
              <w:noProof/>
              <w:sz w:val="24"/>
              <w:szCs w:val="24"/>
            </w:rPr>
          </w:pPr>
          <w:hyperlink w:anchor="_Toc162267772" w:history="1">
            <w:r w:rsidR="00736DA9" w:rsidRPr="004372B1">
              <w:rPr>
                <w:rStyle w:val="Hyperlink"/>
                <w:noProof/>
              </w:rPr>
              <w:t>Maternal Infant Health</w:t>
            </w:r>
            <w:r w:rsidR="00736DA9">
              <w:rPr>
                <w:noProof/>
                <w:webHidden/>
              </w:rPr>
              <w:tab/>
            </w:r>
            <w:r w:rsidR="00736DA9">
              <w:rPr>
                <w:noProof/>
                <w:webHidden/>
              </w:rPr>
              <w:fldChar w:fldCharType="begin"/>
            </w:r>
            <w:r w:rsidR="00736DA9">
              <w:rPr>
                <w:noProof/>
                <w:webHidden/>
              </w:rPr>
              <w:instrText xml:space="preserve"> PAGEREF _Toc162267772 \h </w:instrText>
            </w:r>
            <w:r w:rsidR="00736DA9">
              <w:rPr>
                <w:noProof/>
                <w:webHidden/>
              </w:rPr>
            </w:r>
            <w:r w:rsidR="00736DA9">
              <w:rPr>
                <w:noProof/>
                <w:webHidden/>
              </w:rPr>
              <w:fldChar w:fldCharType="separate"/>
            </w:r>
            <w:r w:rsidR="00736DA9">
              <w:rPr>
                <w:noProof/>
                <w:webHidden/>
              </w:rPr>
              <w:t>503</w:t>
            </w:r>
            <w:r w:rsidR="00736DA9">
              <w:rPr>
                <w:noProof/>
                <w:webHidden/>
              </w:rPr>
              <w:fldChar w:fldCharType="end"/>
            </w:r>
          </w:hyperlink>
        </w:p>
        <w:p w14:paraId="3AC32ED4" w14:textId="39E89D1E" w:rsidR="00736DA9" w:rsidRDefault="00000000">
          <w:pPr>
            <w:pStyle w:val="TOC4"/>
            <w:tabs>
              <w:tab w:val="right" w:pos="9350"/>
            </w:tabs>
            <w:rPr>
              <w:rFonts w:eastAsiaTheme="minorEastAsia" w:cstheme="minorBidi"/>
              <w:noProof/>
              <w:sz w:val="24"/>
              <w:szCs w:val="24"/>
            </w:rPr>
          </w:pPr>
          <w:hyperlink w:anchor="_Toc162267773" w:history="1">
            <w:r w:rsidR="00736DA9" w:rsidRPr="004372B1">
              <w:rPr>
                <w:rStyle w:val="Hyperlink"/>
                <w:noProof/>
              </w:rPr>
              <w:t>Child Adolescent</w:t>
            </w:r>
            <w:r w:rsidR="00736DA9">
              <w:rPr>
                <w:noProof/>
                <w:webHidden/>
              </w:rPr>
              <w:tab/>
            </w:r>
            <w:r w:rsidR="00736DA9">
              <w:rPr>
                <w:noProof/>
                <w:webHidden/>
              </w:rPr>
              <w:fldChar w:fldCharType="begin"/>
            </w:r>
            <w:r w:rsidR="00736DA9">
              <w:rPr>
                <w:noProof/>
                <w:webHidden/>
              </w:rPr>
              <w:instrText xml:space="preserve"> PAGEREF _Toc162267773 \h </w:instrText>
            </w:r>
            <w:r w:rsidR="00736DA9">
              <w:rPr>
                <w:noProof/>
                <w:webHidden/>
              </w:rPr>
            </w:r>
            <w:r w:rsidR="00736DA9">
              <w:rPr>
                <w:noProof/>
                <w:webHidden/>
              </w:rPr>
              <w:fldChar w:fldCharType="separate"/>
            </w:r>
            <w:r w:rsidR="00736DA9">
              <w:rPr>
                <w:noProof/>
                <w:webHidden/>
              </w:rPr>
              <w:t>504</w:t>
            </w:r>
            <w:r w:rsidR="00736DA9">
              <w:rPr>
                <w:noProof/>
                <w:webHidden/>
              </w:rPr>
              <w:fldChar w:fldCharType="end"/>
            </w:r>
          </w:hyperlink>
        </w:p>
        <w:p w14:paraId="6CE847AA" w14:textId="66ADA4B5" w:rsidR="00736DA9" w:rsidRDefault="00000000">
          <w:pPr>
            <w:pStyle w:val="TOC4"/>
            <w:tabs>
              <w:tab w:val="right" w:pos="9350"/>
            </w:tabs>
            <w:rPr>
              <w:rFonts w:eastAsiaTheme="minorEastAsia" w:cstheme="minorBidi"/>
              <w:noProof/>
              <w:sz w:val="24"/>
              <w:szCs w:val="24"/>
            </w:rPr>
          </w:pPr>
          <w:hyperlink w:anchor="_Toc162267774" w:history="1">
            <w:r w:rsidR="00736DA9" w:rsidRPr="004372B1">
              <w:rPr>
                <w:rStyle w:val="Hyperlink"/>
                <w:noProof/>
              </w:rPr>
              <w:t>Adults</w:t>
            </w:r>
            <w:r w:rsidR="00736DA9">
              <w:rPr>
                <w:noProof/>
                <w:webHidden/>
              </w:rPr>
              <w:tab/>
            </w:r>
            <w:r w:rsidR="00736DA9">
              <w:rPr>
                <w:noProof/>
                <w:webHidden/>
              </w:rPr>
              <w:fldChar w:fldCharType="begin"/>
            </w:r>
            <w:r w:rsidR="00736DA9">
              <w:rPr>
                <w:noProof/>
                <w:webHidden/>
              </w:rPr>
              <w:instrText xml:space="preserve"> PAGEREF _Toc162267774 \h </w:instrText>
            </w:r>
            <w:r w:rsidR="00736DA9">
              <w:rPr>
                <w:noProof/>
                <w:webHidden/>
              </w:rPr>
            </w:r>
            <w:r w:rsidR="00736DA9">
              <w:rPr>
                <w:noProof/>
                <w:webHidden/>
              </w:rPr>
              <w:fldChar w:fldCharType="separate"/>
            </w:r>
            <w:r w:rsidR="00736DA9">
              <w:rPr>
                <w:noProof/>
                <w:webHidden/>
              </w:rPr>
              <w:t>505</w:t>
            </w:r>
            <w:r w:rsidR="00736DA9">
              <w:rPr>
                <w:noProof/>
                <w:webHidden/>
              </w:rPr>
              <w:fldChar w:fldCharType="end"/>
            </w:r>
          </w:hyperlink>
        </w:p>
        <w:p w14:paraId="26123DFE" w14:textId="274AEB5E" w:rsidR="00736DA9" w:rsidRDefault="00000000">
          <w:pPr>
            <w:pStyle w:val="TOC4"/>
            <w:tabs>
              <w:tab w:val="right" w:pos="9350"/>
            </w:tabs>
            <w:rPr>
              <w:rFonts w:eastAsiaTheme="minorEastAsia" w:cstheme="minorBidi"/>
              <w:noProof/>
              <w:sz w:val="24"/>
              <w:szCs w:val="24"/>
            </w:rPr>
          </w:pPr>
          <w:hyperlink w:anchor="_Toc162267775" w:history="1">
            <w:r w:rsidR="00736DA9" w:rsidRPr="004372B1">
              <w:rPr>
                <w:rStyle w:val="Hyperlink"/>
                <w:noProof/>
              </w:rPr>
              <w:t>Aging</w:t>
            </w:r>
            <w:r w:rsidR="00736DA9">
              <w:rPr>
                <w:noProof/>
                <w:webHidden/>
              </w:rPr>
              <w:tab/>
            </w:r>
            <w:r w:rsidR="00736DA9">
              <w:rPr>
                <w:noProof/>
                <w:webHidden/>
              </w:rPr>
              <w:fldChar w:fldCharType="begin"/>
            </w:r>
            <w:r w:rsidR="00736DA9">
              <w:rPr>
                <w:noProof/>
                <w:webHidden/>
              </w:rPr>
              <w:instrText xml:space="preserve"> PAGEREF _Toc162267775 \h </w:instrText>
            </w:r>
            <w:r w:rsidR="00736DA9">
              <w:rPr>
                <w:noProof/>
                <w:webHidden/>
              </w:rPr>
            </w:r>
            <w:r w:rsidR="00736DA9">
              <w:rPr>
                <w:noProof/>
                <w:webHidden/>
              </w:rPr>
              <w:fldChar w:fldCharType="separate"/>
            </w:r>
            <w:r w:rsidR="00736DA9">
              <w:rPr>
                <w:noProof/>
                <w:webHidden/>
              </w:rPr>
              <w:t>506</w:t>
            </w:r>
            <w:r w:rsidR="00736DA9">
              <w:rPr>
                <w:noProof/>
                <w:webHidden/>
              </w:rPr>
              <w:fldChar w:fldCharType="end"/>
            </w:r>
          </w:hyperlink>
        </w:p>
        <w:p w14:paraId="24E10F11" w14:textId="6C1A9028" w:rsidR="00736DA9" w:rsidRDefault="00000000">
          <w:pPr>
            <w:pStyle w:val="TOC3"/>
            <w:tabs>
              <w:tab w:val="right" w:pos="9350"/>
            </w:tabs>
            <w:rPr>
              <w:rFonts w:eastAsiaTheme="minorEastAsia" w:cstheme="minorBidi"/>
              <w:noProof/>
              <w:sz w:val="24"/>
              <w:szCs w:val="24"/>
            </w:rPr>
          </w:pPr>
          <w:hyperlink w:anchor="_Toc162267776" w:history="1">
            <w:r w:rsidR="00736DA9" w:rsidRPr="004372B1">
              <w:rPr>
                <w:rStyle w:val="Hyperlink"/>
                <w:noProof/>
              </w:rPr>
              <w:t>Appendix G: Forces of Change Survey</w:t>
            </w:r>
            <w:r w:rsidR="00736DA9">
              <w:rPr>
                <w:noProof/>
                <w:webHidden/>
              </w:rPr>
              <w:tab/>
            </w:r>
            <w:r w:rsidR="00736DA9">
              <w:rPr>
                <w:noProof/>
                <w:webHidden/>
              </w:rPr>
              <w:fldChar w:fldCharType="begin"/>
            </w:r>
            <w:r w:rsidR="00736DA9">
              <w:rPr>
                <w:noProof/>
                <w:webHidden/>
              </w:rPr>
              <w:instrText xml:space="preserve"> PAGEREF _Toc162267776 \h </w:instrText>
            </w:r>
            <w:r w:rsidR="00736DA9">
              <w:rPr>
                <w:noProof/>
                <w:webHidden/>
              </w:rPr>
            </w:r>
            <w:r w:rsidR="00736DA9">
              <w:rPr>
                <w:noProof/>
                <w:webHidden/>
              </w:rPr>
              <w:fldChar w:fldCharType="separate"/>
            </w:r>
            <w:r w:rsidR="00736DA9">
              <w:rPr>
                <w:noProof/>
                <w:webHidden/>
              </w:rPr>
              <w:t>508</w:t>
            </w:r>
            <w:r w:rsidR="00736DA9">
              <w:rPr>
                <w:noProof/>
                <w:webHidden/>
              </w:rPr>
              <w:fldChar w:fldCharType="end"/>
            </w:r>
          </w:hyperlink>
        </w:p>
        <w:p w14:paraId="690BD830" w14:textId="45F21AB1" w:rsidR="00736DA9" w:rsidRDefault="00000000">
          <w:pPr>
            <w:pStyle w:val="TOC3"/>
            <w:tabs>
              <w:tab w:val="right" w:pos="9350"/>
            </w:tabs>
            <w:rPr>
              <w:rFonts w:eastAsiaTheme="minorEastAsia" w:cstheme="minorBidi"/>
              <w:noProof/>
              <w:sz w:val="24"/>
              <w:szCs w:val="24"/>
            </w:rPr>
          </w:pPr>
          <w:hyperlink w:anchor="_Toc162267777" w:history="1">
            <w:r w:rsidR="00736DA9" w:rsidRPr="004372B1">
              <w:rPr>
                <w:rStyle w:val="Hyperlink"/>
                <w:noProof/>
              </w:rPr>
              <w:t>Appendix H: Community Listening Sessions</w:t>
            </w:r>
            <w:r w:rsidR="00736DA9">
              <w:rPr>
                <w:noProof/>
                <w:webHidden/>
              </w:rPr>
              <w:tab/>
            </w:r>
            <w:r w:rsidR="00736DA9">
              <w:rPr>
                <w:noProof/>
                <w:webHidden/>
              </w:rPr>
              <w:fldChar w:fldCharType="begin"/>
            </w:r>
            <w:r w:rsidR="00736DA9">
              <w:rPr>
                <w:noProof/>
                <w:webHidden/>
              </w:rPr>
              <w:instrText xml:space="preserve"> PAGEREF _Toc162267777 \h </w:instrText>
            </w:r>
            <w:r w:rsidR="00736DA9">
              <w:rPr>
                <w:noProof/>
                <w:webHidden/>
              </w:rPr>
            </w:r>
            <w:r w:rsidR="00736DA9">
              <w:rPr>
                <w:noProof/>
                <w:webHidden/>
              </w:rPr>
              <w:fldChar w:fldCharType="separate"/>
            </w:r>
            <w:r w:rsidR="00736DA9">
              <w:rPr>
                <w:noProof/>
                <w:webHidden/>
              </w:rPr>
              <w:t>509</w:t>
            </w:r>
            <w:r w:rsidR="00736DA9">
              <w:rPr>
                <w:noProof/>
                <w:webHidden/>
              </w:rPr>
              <w:fldChar w:fldCharType="end"/>
            </w:r>
          </w:hyperlink>
        </w:p>
        <w:p w14:paraId="0671A18D" w14:textId="20B823D3" w:rsidR="00736DA9" w:rsidRDefault="00000000">
          <w:pPr>
            <w:pStyle w:val="TOC3"/>
            <w:tabs>
              <w:tab w:val="right" w:pos="9350"/>
            </w:tabs>
            <w:rPr>
              <w:rFonts w:eastAsiaTheme="minorEastAsia" w:cstheme="minorBidi"/>
              <w:noProof/>
              <w:sz w:val="24"/>
              <w:szCs w:val="24"/>
            </w:rPr>
          </w:pPr>
          <w:hyperlink w:anchor="_Toc162267778" w:history="1">
            <w:r w:rsidR="00736DA9" w:rsidRPr="004372B1">
              <w:rPr>
                <w:rStyle w:val="Hyperlink"/>
                <w:noProof/>
              </w:rPr>
              <w:t>Appendix I: Key Stakeholder Interview Questions</w:t>
            </w:r>
            <w:r w:rsidR="00736DA9">
              <w:rPr>
                <w:noProof/>
                <w:webHidden/>
              </w:rPr>
              <w:tab/>
            </w:r>
            <w:r w:rsidR="00736DA9">
              <w:rPr>
                <w:noProof/>
                <w:webHidden/>
              </w:rPr>
              <w:fldChar w:fldCharType="begin"/>
            </w:r>
            <w:r w:rsidR="00736DA9">
              <w:rPr>
                <w:noProof/>
                <w:webHidden/>
              </w:rPr>
              <w:instrText xml:space="preserve"> PAGEREF _Toc162267778 \h </w:instrText>
            </w:r>
            <w:r w:rsidR="00736DA9">
              <w:rPr>
                <w:noProof/>
                <w:webHidden/>
              </w:rPr>
            </w:r>
            <w:r w:rsidR="00736DA9">
              <w:rPr>
                <w:noProof/>
                <w:webHidden/>
              </w:rPr>
              <w:fldChar w:fldCharType="separate"/>
            </w:r>
            <w:r w:rsidR="00736DA9">
              <w:rPr>
                <w:noProof/>
                <w:webHidden/>
              </w:rPr>
              <w:t>510</w:t>
            </w:r>
            <w:r w:rsidR="00736DA9">
              <w:rPr>
                <w:noProof/>
                <w:webHidden/>
              </w:rPr>
              <w:fldChar w:fldCharType="end"/>
            </w:r>
          </w:hyperlink>
        </w:p>
        <w:p w14:paraId="504F5837" w14:textId="25509F30" w:rsidR="00736DA9" w:rsidRDefault="00000000">
          <w:pPr>
            <w:pStyle w:val="TOC3"/>
            <w:tabs>
              <w:tab w:val="right" w:pos="9350"/>
            </w:tabs>
            <w:rPr>
              <w:rFonts w:eastAsiaTheme="minorEastAsia" w:cstheme="minorBidi"/>
              <w:noProof/>
              <w:sz w:val="24"/>
              <w:szCs w:val="24"/>
            </w:rPr>
          </w:pPr>
          <w:hyperlink w:anchor="_Toc162267779" w:history="1">
            <w:r w:rsidR="00736DA9" w:rsidRPr="004372B1">
              <w:rPr>
                <w:rStyle w:val="Hyperlink"/>
                <w:noProof/>
              </w:rPr>
              <w:t>Appendix J: Acronyms</w:t>
            </w:r>
            <w:r w:rsidR="00736DA9">
              <w:rPr>
                <w:noProof/>
                <w:webHidden/>
              </w:rPr>
              <w:tab/>
            </w:r>
            <w:r w:rsidR="00736DA9">
              <w:rPr>
                <w:noProof/>
                <w:webHidden/>
              </w:rPr>
              <w:fldChar w:fldCharType="begin"/>
            </w:r>
            <w:r w:rsidR="00736DA9">
              <w:rPr>
                <w:noProof/>
                <w:webHidden/>
              </w:rPr>
              <w:instrText xml:space="preserve"> PAGEREF _Toc162267779 \h </w:instrText>
            </w:r>
            <w:r w:rsidR="00736DA9">
              <w:rPr>
                <w:noProof/>
                <w:webHidden/>
              </w:rPr>
            </w:r>
            <w:r w:rsidR="00736DA9">
              <w:rPr>
                <w:noProof/>
                <w:webHidden/>
              </w:rPr>
              <w:fldChar w:fldCharType="separate"/>
            </w:r>
            <w:r w:rsidR="00736DA9">
              <w:rPr>
                <w:noProof/>
                <w:webHidden/>
              </w:rPr>
              <w:t>511</w:t>
            </w:r>
            <w:r w:rsidR="00736DA9">
              <w:rPr>
                <w:noProof/>
                <w:webHidden/>
              </w:rPr>
              <w:fldChar w:fldCharType="end"/>
            </w:r>
          </w:hyperlink>
        </w:p>
        <w:p w14:paraId="29073343" w14:textId="0EF82673" w:rsidR="00016FCA" w:rsidRDefault="00D33671">
          <w:r>
            <w:rPr>
              <w:rFonts w:asciiTheme="majorHAnsi" w:hAnsiTheme="majorHAnsi" w:cstheme="majorHAnsi"/>
              <w:caps/>
              <w:sz w:val="24"/>
            </w:rPr>
            <w:fldChar w:fldCharType="end"/>
          </w:r>
        </w:p>
      </w:sdtContent>
    </w:sdt>
    <w:p w14:paraId="40BDAC06" w14:textId="66B351BB" w:rsidR="00016FCA" w:rsidRDefault="00016FCA">
      <w:r>
        <w:br w:type="page"/>
      </w:r>
    </w:p>
    <w:p w14:paraId="31B2D901" w14:textId="77777777" w:rsidR="00DC77AC" w:rsidRDefault="00DC77AC" w:rsidP="00CC70B7">
      <w:pPr>
        <w:pStyle w:val="Heading2"/>
      </w:pPr>
      <w:bookmarkStart w:id="3" w:name="_Toc162266979"/>
      <w:r>
        <w:lastRenderedPageBreak/>
        <w:t>Chapter 1: Introduction</w:t>
      </w:r>
      <w:bookmarkEnd w:id="3"/>
      <w:r>
        <w:t xml:space="preserve"> </w:t>
      </w:r>
    </w:p>
    <w:p w14:paraId="612FC8E7" w14:textId="747AD7A8" w:rsidR="00DC77AC" w:rsidRDefault="00DC77AC" w:rsidP="00DC77AC">
      <w:pPr>
        <w:pStyle w:val="Heading3"/>
      </w:pPr>
      <w:bookmarkStart w:id="4" w:name="_Toc162266980"/>
      <w:r w:rsidRPr="00DC77AC">
        <w:t>Live Healthy South Carolina</w:t>
      </w:r>
      <w:bookmarkEnd w:id="4"/>
    </w:p>
    <w:p w14:paraId="4C50FFEF" w14:textId="77777777" w:rsidR="00DC77AC" w:rsidRPr="00DC77AC" w:rsidRDefault="00DC77AC" w:rsidP="00DC77AC">
      <w:r w:rsidRPr="00DC77AC">
        <w:t>While South Carolina (SC) is a small, diverse state of just over 5 million people, the effort to maintain the health and well-being of its people is a complex undertaking that demands the collaborative effort of the entire population — from state agencies and community leaders to public health stakeholders and health care experts. The natural question would be, how do you bring all these together for this grand undertaking?</w:t>
      </w:r>
    </w:p>
    <w:p w14:paraId="34BA09C6" w14:textId="77777777" w:rsidR="00DC77AC" w:rsidRDefault="00DC77AC" w:rsidP="00DC77AC"/>
    <w:p w14:paraId="5A775B73" w14:textId="27B3B882" w:rsidR="00DC77AC" w:rsidRPr="00DC77AC" w:rsidRDefault="00DC77AC" w:rsidP="00DC77AC">
      <w:r w:rsidRPr="00DC77AC">
        <w:t>The answer: Live Healthy South Carolina (LHSC), an initiative created in June 2017 to systematically assess and advance the health of all South Carolinians.</w:t>
      </w:r>
    </w:p>
    <w:p w14:paraId="2FFC2CA3" w14:textId="77777777" w:rsidR="00DC77AC" w:rsidRPr="00DC77AC" w:rsidRDefault="00DC77AC" w:rsidP="00DC77AC">
      <w:r w:rsidRPr="00DC77AC">
        <w:t xml:space="preserve">LHSC has been a collaborative effort between the South Carolina Department of Health and Environmental Control (DHEC) and the Alliance for a Healthier South Carolina (Alliance). SC's first comprehensive State Health Assessment (SHA) and State Health Improvement Plan (SHIP) were created through this initiative in 2018 with support from the SC Office of Rural Health, and the collaborative continues to be the foundation for this work. </w:t>
      </w:r>
    </w:p>
    <w:p w14:paraId="15E906BA" w14:textId="77777777" w:rsidR="00DC77AC" w:rsidRDefault="00DC77AC" w:rsidP="00DC77AC"/>
    <w:p w14:paraId="3A6F0908" w14:textId="3046599F" w:rsidR="00DC77AC" w:rsidRDefault="00DC77AC" w:rsidP="00DC77AC">
      <w:r w:rsidRPr="00DC77AC">
        <w:t>LHSC has five goals:</w:t>
      </w:r>
    </w:p>
    <w:p w14:paraId="2926353B" w14:textId="697EA439" w:rsidR="00DC77AC" w:rsidRPr="00DC77AC" w:rsidRDefault="00DC77AC" w:rsidP="00926EB3">
      <w:pPr>
        <w:pStyle w:val="ListParagraph"/>
        <w:numPr>
          <w:ilvl w:val="0"/>
          <w:numId w:val="1"/>
        </w:numPr>
      </w:pPr>
      <w:r w:rsidRPr="00DC77AC">
        <w:t>Assess state-level health outcomes, along with risk and protective factors that affect health, every three to five years.</w:t>
      </w:r>
    </w:p>
    <w:p w14:paraId="39D4E862" w14:textId="156C0EBF" w:rsidR="00DC77AC" w:rsidRPr="00DC77AC" w:rsidRDefault="00DC77AC" w:rsidP="00926EB3">
      <w:pPr>
        <w:pStyle w:val="ListParagraph"/>
        <w:numPr>
          <w:ilvl w:val="0"/>
          <w:numId w:val="1"/>
        </w:numPr>
      </w:pPr>
      <w:r w:rsidRPr="00DC77AC">
        <w:t>Identify priority areas for SC to address based on quantitative and qualitative data presented in the SHA.</w:t>
      </w:r>
    </w:p>
    <w:p w14:paraId="37E3CA2C" w14:textId="24A6A22D" w:rsidR="00DC77AC" w:rsidRPr="00DC77AC" w:rsidRDefault="00DC77AC" w:rsidP="00926EB3">
      <w:pPr>
        <w:pStyle w:val="ListParagraph"/>
        <w:numPr>
          <w:ilvl w:val="0"/>
          <w:numId w:val="1"/>
        </w:numPr>
      </w:pPr>
      <w:r w:rsidRPr="00DC77AC">
        <w:t xml:space="preserve">Identify strategies, based on best practices, for each priority area that could be implemented to move SC forward. </w:t>
      </w:r>
    </w:p>
    <w:p w14:paraId="38CFDA45" w14:textId="012F0FC6" w:rsidR="00DC77AC" w:rsidRPr="00DC77AC" w:rsidRDefault="00DC77AC" w:rsidP="00926EB3">
      <w:pPr>
        <w:pStyle w:val="ListParagraph"/>
        <w:numPr>
          <w:ilvl w:val="0"/>
          <w:numId w:val="1"/>
        </w:numPr>
      </w:pPr>
      <w:r w:rsidRPr="00DC77AC">
        <w:t>Establish a roadmap for SC population health for the next five years.</w:t>
      </w:r>
    </w:p>
    <w:p w14:paraId="18F54C34" w14:textId="1F590033" w:rsidR="00DC77AC" w:rsidRDefault="00DC77AC" w:rsidP="00926EB3">
      <w:pPr>
        <w:pStyle w:val="ListParagraph"/>
        <w:numPr>
          <w:ilvl w:val="0"/>
          <w:numId w:val="1"/>
        </w:numPr>
      </w:pPr>
      <w:r w:rsidRPr="00DC77AC">
        <w:t>Track population health metrics and the SHIP annually.</w:t>
      </w:r>
    </w:p>
    <w:p w14:paraId="4069A9B8" w14:textId="77777777" w:rsidR="00DC77AC" w:rsidRDefault="00DC77AC" w:rsidP="00DC77AC"/>
    <w:p w14:paraId="58ED5894" w14:textId="77777777" w:rsidR="00DC77AC" w:rsidRPr="00DC77AC" w:rsidRDefault="00DC77AC" w:rsidP="00DC77AC">
      <w:r w:rsidRPr="00DC77AC">
        <w:t xml:space="preserve">Since the 2018 assessment, DHEC and the Alliance have continued to partner to enhance the work being done as part of the initiative. To showcase and share the 2018 SHA data with stakeholders and community leaders, DHEC launched community Data Walks in 2019. Data Walks are an interactive data-sharing experience, allowing the audience to interact with subject matter experts about the issues affecting their communities. This experience provides tools to empower various community leaders to make data-driven decisions for the betterment of the public’s health.  This process has been instrumental in relaying and sharing </w:t>
      </w:r>
      <w:r w:rsidRPr="00DC77AC">
        <w:lastRenderedPageBreak/>
        <w:t xml:space="preserve">SHA data with the public, as well as supporting counties in developing their community health needs assessments and improvement plans. </w:t>
      </w:r>
    </w:p>
    <w:p w14:paraId="2901552A" w14:textId="77777777" w:rsidR="00DC77AC" w:rsidRDefault="00DC77AC" w:rsidP="00DC77AC"/>
    <w:p w14:paraId="246BF9A6" w14:textId="34D9F7B9" w:rsidR="00DC77AC" w:rsidRPr="00DC77AC" w:rsidRDefault="00DC77AC" w:rsidP="00DC77AC">
      <w:r w:rsidRPr="00DC77AC">
        <w:t xml:space="preserve">DHEC has also worked with various community partners, including other state departments, agencies and coalitions serving underrepresented populations, faith-based organizations, and additional public health entities to implement and monitor the priorities from the 2018 SHIP. The Alliance has served as a convener for bringing key stakeholders together to connect these state-level initiatives to the local, community-level health improvement efforts. DHEC and the Alliance utilized these partnerships to develop a universal Community Health Needs Assessment (CHNA) survey tool that is being piloted in various hospital systems and communities across SC. Following the pilot, stakeholders will be convened to discuss lessons learned and to develop a model to align public health, hospitals, and other community-based organizations' community health assessment and improvement plan processes (more information on the CHNA can be found in </w:t>
      </w:r>
      <w:r w:rsidRPr="00DC77AC">
        <w:rPr>
          <w:b/>
          <w:bCs/>
        </w:rPr>
        <w:t>Appendix B</w:t>
      </w:r>
      <w:r w:rsidRPr="00DC77AC">
        <w:t xml:space="preserve">). Over the past five years, to further support the partnership between DHEC and the Alliance, LHSC has been highlighted at each Alliance quarterly meeting and included in all annual events. </w:t>
      </w:r>
    </w:p>
    <w:p w14:paraId="618EFBE8" w14:textId="77777777" w:rsidR="00DC77AC" w:rsidRDefault="00DC77AC" w:rsidP="00DC77AC"/>
    <w:p w14:paraId="60A2AAA7" w14:textId="77777777" w:rsidR="00DC77AC" w:rsidRPr="00DC77AC" w:rsidRDefault="00DC77AC" w:rsidP="00DC77AC">
      <w:r w:rsidRPr="00DC77AC">
        <w:t>The COVID-19 pandemic occurred after the completion of the 2018 SHA and during the implementation of the SHIP. The virus had a significant impact on the health and well-being of individuals nationwide, and all public health efforts had to shift as a result. In SC, existing</w:t>
      </w:r>
      <w:r>
        <w:t xml:space="preserve"> </w:t>
      </w:r>
      <w:r w:rsidRPr="00DC77AC">
        <w:t xml:space="preserve">health disparities were amplified, and the state’s public health infrastructure was tested. In response, DHEC and the Alliance both strengthened their diversity, equity, and inclusion (DEI) efforts and worked to mobilize partnerships to address the issues SC was facing. </w:t>
      </w:r>
    </w:p>
    <w:p w14:paraId="6AD387BF" w14:textId="77777777" w:rsidR="00DC77AC" w:rsidRDefault="00DC77AC" w:rsidP="00DC77AC"/>
    <w:p w14:paraId="5B79C1FA" w14:textId="37203D11" w:rsidR="00DC77AC" w:rsidRPr="00DC77AC" w:rsidRDefault="00DC77AC" w:rsidP="00DC77AC">
      <w:r w:rsidRPr="00DC77AC">
        <w:t xml:space="preserve">The Alliance launched </w:t>
      </w:r>
      <w:proofErr w:type="gramStart"/>
      <w:r w:rsidRPr="00DC77AC">
        <w:t>Take Action</w:t>
      </w:r>
      <w:proofErr w:type="gramEnd"/>
      <w:r w:rsidRPr="00DC77AC">
        <w:t xml:space="preserve"> Tuesdays to align with national observances and the LHSC priorities to recognize programs, projects, and best practices that exemplify the highest level of commitment to improving the health and well-being of communities across SC. They also developed and used the Collaborative Strategies for Advancing Health and Racial Equity in SC as a roadmap to increase awareness, strengthen educational opportunities, and enhance advocacy efforts.</w:t>
      </w:r>
    </w:p>
    <w:p w14:paraId="69137094" w14:textId="77777777" w:rsidR="00DC77AC" w:rsidRPr="00DC77AC" w:rsidRDefault="00DC77AC" w:rsidP="00DC77AC">
      <w:r w:rsidRPr="00DC77AC">
        <w:t xml:space="preserve">DHEC hired a Chief Inclusion Officer and created a public health DEI office dedicated to advancing diversity and inclusion within the agency and in the services provided to South Carolinians. Additionally, as part of DHEC’s initial strategic planning process, advancing equity was outlined as a core value of the </w:t>
      </w:r>
      <w:r w:rsidRPr="00DC77AC">
        <w:lastRenderedPageBreak/>
        <w:t xml:space="preserve">agency (see </w:t>
      </w:r>
      <w:r w:rsidRPr="00DC77AC">
        <w:rPr>
          <w:b/>
          <w:bCs/>
        </w:rPr>
        <w:t>Figure 1.1</w:t>
      </w:r>
      <w:r w:rsidRPr="00DC77AC">
        <w:t>). DHEC also transitioned and mobilized epidemiologists and data analysts to provide insight on the impact of COVID-19. As a result, the agency was able to transform the data to action by working with various sectors of the community to increase testing and vaccination rates.</w:t>
      </w:r>
    </w:p>
    <w:p w14:paraId="65D3ABB1" w14:textId="77777777" w:rsidR="00DC77AC" w:rsidRDefault="00DC77AC" w:rsidP="00DC77AC"/>
    <w:p w14:paraId="0D162D61" w14:textId="500B8AAB" w:rsidR="00DC77AC" w:rsidRPr="00DC77AC" w:rsidRDefault="00DC77AC" w:rsidP="00DC77AC">
      <w:r w:rsidRPr="00DC77AC">
        <w:t>SC’s public health infrastructure has proven to be adaptable and flexible over the last five years. The state’s health departments continued providing high-quality services, workforce development and training increased, data and information systems are continuously updated, and partnerships are increasingly mobilized to improve the health of the population.</w:t>
      </w:r>
    </w:p>
    <w:p w14:paraId="03DE3A10" w14:textId="77777777" w:rsidR="00DC77AC" w:rsidRPr="00DC77AC" w:rsidRDefault="00DC77AC" w:rsidP="00DC77AC"/>
    <w:p w14:paraId="6D8341FC" w14:textId="58E5CA86" w:rsidR="00DC77AC" w:rsidRPr="00DC77AC" w:rsidRDefault="00DC77AC" w:rsidP="00DC77AC">
      <w:pPr>
        <w:rPr>
          <w:i/>
          <w:iCs/>
        </w:rPr>
      </w:pPr>
      <w:r w:rsidRPr="00DC77AC">
        <w:rPr>
          <w:i/>
          <w:iCs/>
        </w:rPr>
        <w:t>The South Carolina Department of Health and Environmental Control is the state regulatory agency charged with promoting and protecting the state's environmental and public health. The work is implemented statewide in four core deputy areas, including public health, environmental affairs, health care quality, and support services. The agency’s mission is to improve the quality of life for all South Carolinians by protecting and promoting the health of the public and the environment. This includes working with partners, communities, and others to help every South Carolinian have the access, resources, and information they need to improve the environment in which they live, make decisions that enhance their health, and have access to the highest quality health care. DHEC envisions a state with healthy people living in healthy communities. More information about DHEC can be found at www.scdhec.gov.</w:t>
      </w:r>
    </w:p>
    <w:p w14:paraId="5541D06D" w14:textId="77777777" w:rsidR="00DC77AC" w:rsidRPr="00DC77AC" w:rsidRDefault="00DC77AC" w:rsidP="00DC77AC">
      <w:pPr>
        <w:rPr>
          <w:i/>
          <w:iCs/>
        </w:rPr>
      </w:pPr>
    </w:p>
    <w:p w14:paraId="6AA831CB" w14:textId="77777777" w:rsidR="00DC77AC" w:rsidRDefault="00DC77AC" w:rsidP="00DC77AC">
      <w:pPr>
        <w:rPr>
          <w:i/>
          <w:iCs/>
        </w:rPr>
      </w:pPr>
      <w:r w:rsidRPr="00DC77AC">
        <w:rPr>
          <w:i/>
          <w:iCs/>
        </w:rPr>
        <w:t xml:space="preserve">The Alliance for a Healthier South Carolina is a coalition of more than 60 executive leaders from diverse organizations across the state, including communities traditionally underserved, working together to improve the health and well-being of all South Carolinians. The Alliance places a primary focus on aligning health equity-based goals, metrics and actions across organizations, </w:t>
      </w:r>
      <w:proofErr w:type="gramStart"/>
      <w:r w:rsidRPr="00DC77AC">
        <w:rPr>
          <w:i/>
          <w:iCs/>
        </w:rPr>
        <w:t>institutions</w:t>
      </w:r>
      <w:proofErr w:type="gramEnd"/>
      <w:r w:rsidRPr="00DC77AC">
        <w:rPr>
          <w:i/>
          <w:iCs/>
        </w:rPr>
        <w:t xml:space="preserve"> and agencies at both the state and community levels, and actively connecting both existing and planned equity-focused work on the policy and practice fronts. See Appendix A for a listing of the Alliance membership. More information about the Alliance can be found at healthiersc.org.</w:t>
      </w:r>
    </w:p>
    <w:p w14:paraId="658A6EA5" w14:textId="77777777" w:rsidR="00DC77AC" w:rsidRDefault="00DC77AC" w:rsidP="00DC77AC">
      <w:pPr>
        <w:rPr>
          <w:i/>
          <w:iCs/>
        </w:rPr>
      </w:pPr>
    </w:p>
    <w:p w14:paraId="124DBBD0" w14:textId="7923B98A" w:rsidR="001144C9" w:rsidRDefault="001144C9" w:rsidP="001144C9">
      <w:pPr>
        <w:pStyle w:val="Heading4"/>
      </w:pPr>
      <w:bookmarkStart w:id="5" w:name="_Toc154569750"/>
      <w:bookmarkStart w:id="6" w:name="_Toc162266981"/>
      <w:r>
        <w:t>Figure 1.1: DHEC’s Core Values.</w:t>
      </w:r>
      <w:bookmarkEnd w:id="5"/>
      <w:bookmarkEnd w:id="6"/>
    </w:p>
    <w:p w14:paraId="559C1893" w14:textId="336D0AA3" w:rsidR="001144C9" w:rsidRDefault="001144C9" w:rsidP="00926EB3">
      <w:pPr>
        <w:pStyle w:val="ListParagraph"/>
        <w:numPr>
          <w:ilvl w:val="0"/>
          <w:numId w:val="36"/>
        </w:numPr>
      </w:pPr>
      <w:r>
        <w:t>Embracing Service.</w:t>
      </w:r>
    </w:p>
    <w:p w14:paraId="53AD3797" w14:textId="7A0A7F8C" w:rsidR="001144C9" w:rsidRDefault="001144C9" w:rsidP="00926EB3">
      <w:pPr>
        <w:pStyle w:val="ListParagraph"/>
        <w:numPr>
          <w:ilvl w:val="0"/>
          <w:numId w:val="36"/>
        </w:numPr>
      </w:pPr>
      <w:r>
        <w:t>Inspiring Innovation.</w:t>
      </w:r>
    </w:p>
    <w:p w14:paraId="53820ACE" w14:textId="48BAD5C7" w:rsidR="001144C9" w:rsidRDefault="001144C9" w:rsidP="00926EB3">
      <w:pPr>
        <w:pStyle w:val="ListParagraph"/>
        <w:numPr>
          <w:ilvl w:val="0"/>
          <w:numId w:val="36"/>
        </w:numPr>
      </w:pPr>
      <w:r>
        <w:lastRenderedPageBreak/>
        <w:t xml:space="preserve">Promoting Teamwork. </w:t>
      </w:r>
    </w:p>
    <w:p w14:paraId="46B8C43E" w14:textId="1BC0014B" w:rsidR="001144C9" w:rsidRDefault="001144C9" w:rsidP="00926EB3">
      <w:pPr>
        <w:pStyle w:val="ListParagraph"/>
        <w:numPr>
          <w:ilvl w:val="0"/>
          <w:numId w:val="36"/>
        </w:numPr>
      </w:pPr>
      <w:r>
        <w:t>Pursuing Excellence.</w:t>
      </w:r>
    </w:p>
    <w:p w14:paraId="6D74E5E1" w14:textId="77777777" w:rsidR="00C9754C" w:rsidRPr="00C9754C" w:rsidRDefault="001144C9" w:rsidP="00926EB3">
      <w:pPr>
        <w:pStyle w:val="ListParagraph"/>
        <w:numPr>
          <w:ilvl w:val="0"/>
          <w:numId w:val="36"/>
        </w:numPr>
      </w:pPr>
      <w:r>
        <w:t>Advancing Equity.</w:t>
      </w:r>
    </w:p>
    <w:p w14:paraId="60AEC905" w14:textId="77777777" w:rsidR="00C9754C" w:rsidRDefault="00C9754C" w:rsidP="00C9754C"/>
    <w:p w14:paraId="3122F7E0" w14:textId="240B4DA7" w:rsidR="00DC77AC" w:rsidRDefault="00DC77AC" w:rsidP="00C9754C">
      <w:pPr>
        <w:pStyle w:val="Heading3"/>
      </w:pPr>
      <w:bookmarkStart w:id="7" w:name="_Toc162266982"/>
      <w:r w:rsidRPr="00DC77AC">
        <w:t>The State Health Assessment and State Health Improvement Plan</w:t>
      </w:r>
      <w:bookmarkEnd w:id="7"/>
    </w:p>
    <w:p w14:paraId="60B4881C" w14:textId="6E1EFB1E" w:rsidR="00DC77AC" w:rsidRDefault="00DC77AC" w:rsidP="00DC77AC">
      <w:r w:rsidRPr="00DC77AC">
        <w:t xml:space="preserve">DHEC led the development of this assessment with key support from the Alliance and its membership. The SHA is a comprehensive compilation of health-related data outlining health across the lifespan, from maternal and infant health to healthy aging. It highlights SC’s </w:t>
      </w:r>
      <w:proofErr w:type="gramStart"/>
      <w:r w:rsidRPr="00DC77AC">
        <w:t>population as a whole, as well as</w:t>
      </w:r>
      <w:proofErr w:type="gramEnd"/>
      <w:r w:rsidRPr="00DC77AC">
        <w:t xml:space="preserve"> the demographic subpopulations making SC the diverse state it is. The assessment is used to examine key health indicators, identify health </w:t>
      </w:r>
      <w:proofErr w:type="gramStart"/>
      <w:r w:rsidRPr="00DC77AC">
        <w:t>disparities</w:t>
      </w:r>
      <w:proofErr w:type="gramEnd"/>
      <w:r w:rsidRPr="00DC77AC">
        <w:t xml:space="preserve"> and monitor trends and progress in the field of public health. It builds on extensive community engagement and highlights capacity throughout our state, including resources and assets that work collaboratively to improve the health of SC residents.</w:t>
      </w:r>
      <w:r w:rsidR="00F678C8">
        <w:t xml:space="preserve"> </w:t>
      </w:r>
      <w:r w:rsidR="00F678C8" w:rsidRPr="00F678C8">
        <w:t>The information presented throughout the report, though comprehensive, does not include all data available.</w:t>
      </w:r>
    </w:p>
    <w:p w14:paraId="0D7D53D4" w14:textId="77777777" w:rsidR="00DC77AC" w:rsidRDefault="00DC77AC" w:rsidP="00DC77AC"/>
    <w:p w14:paraId="24ED97B5" w14:textId="4007A2AF" w:rsidR="00DC77AC" w:rsidRPr="00DC77AC" w:rsidRDefault="00DC77AC" w:rsidP="00DC77AC">
      <w:r w:rsidRPr="00DC77AC">
        <w:t>Since the development of the 2018 SHA, the CDC updated the 10 Essential Public Health Services (EPHS), by placing equity at the center in 2020 (</w:t>
      </w:r>
      <w:r w:rsidRPr="00DC77AC">
        <w:rPr>
          <w:b/>
          <w:bCs/>
        </w:rPr>
        <w:t>Figure 1.2</w:t>
      </w:r>
      <w:r w:rsidRPr="00DC77AC">
        <w:t>). The EPHS describes the public health activities all communities should undertake to promote and protect the health of all people in all communities. To achieve health equity, the EPHS actively promotes policies, systems, and overall community conditions that enable optimal health for all and remove systemic and structural barriers that have resulted in health disparities. This assessment is designed to include all populations, highlighting the gaps, disparities, and resources to be mobilized to make strides towards advancing health equity.</w:t>
      </w:r>
    </w:p>
    <w:p w14:paraId="1DC1C216" w14:textId="77777777" w:rsidR="00DC77AC" w:rsidRDefault="00DC77AC" w:rsidP="00DC77AC"/>
    <w:p w14:paraId="7A2727D9" w14:textId="4FCB4B27" w:rsidR="001144C9" w:rsidRDefault="001144C9" w:rsidP="001144C9">
      <w:pPr>
        <w:pStyle w:val="Heading4"/>
      </w:pPr>
      <w:bookmarkStart w:id="8" w:name="_Toc162266983"/>
      <w:r>
        <w:t>Figure 1.2: Essential Public Health Functions.</w:t>
      </w:r>
      <w:bookmarkEnd w:id="8"/>
    </w:p>
    <w:p w14:paraId="6C45E89B" w14:textId="01815F66" w:rsidR="001144C9" w:rsidRDefault="001144C9" w:rsidP="001144C9">
      <w:pPr>
        <w:pStyle w:val="Heading5"/>
      </w:pPr>
      <w:r>
        <w:t>Assessment:</w:t>
      </w:r>
    </w:p>
    <w:p w14:paraId="2D732134" w14:textId="3FDE69BF" w:rsidR="001144C9" w:rsidRDefault="001144C9" w:rsidP="00926EB3">
      <w:pPr>
        <w:pStyle w:val="ListParagraph"/>
        <w:numPr>
          <w:ilvl w:val="0"/>
          <w:numId w:val="37"/>
        </w:numPr>
      </w:pPr>
      <w:r>
        <w:t>Assess and monitor population health.</w:t>
      </w:r>
    </w:p>
    <w:p w14:paraId="4E7BE8AF" w14:textId="187384E0" w:rsidR="001144C9" w:rsidRDefault="001144C9" w:rsidP="00926EB3">
      <w:pPr>
        <w:pStyle w:val="ListParagraph"/>
        <w:numPr>
          <w:ilvl w:val="0"/>
          <w:numId w:val="37"/>
        </w:numPr>
      </w:pPr>
      <w:r>
        <w:t xml:space="preserve">Investigate, diagnose, and address health hazards and root causes. </w:t>
      </w:r>
    </w:p>
    <w:p w14:paraId="50F2CC97" w14:textId="7A5D1B45" w:rsidR="001144C9" w:rsidRDefault="001144C9" w:rsidP="001144C9">
      <w:pPr>
        <w:pStyle w:val="Heading5"/>
      </w:pPr>
      <w:r>
        <w:t>Policy Development:</w:t>
      </w:r>
    </w:p>
    <w:p w14:paraId="5E095C4C" w14:textId="6AE64E86" w:rsidR="001144C9" w:rsidRDefault="001144C9" w:rsidP="00926EB3">
      <w:pPr>
        <w:pStyle w:val="ListParagraph"/>
        <w:numPr>
          <w:ilvl w:val="0"/>
          <w:numId w:val="38"/>
        </w:numPr>
      </w:pPr>
      <w:r>
        <w:t>Communicate effectively to inform and educate.</w:t>
      </w:r>
    </w:p>
    <w:p w14:paraId="02A64A8D" w14:textId="401A3AB5" w:rsidR="001144C9" w:rsidRDefault="001144C9" w:rsidP="00926EB3">
      <w:pPr>
        <w:pStyle w:val="ListParagraph"/>
        <w:numPr>
          <w:ilvl w:val="0"/>
          <w:numId w:val="38"/>
        </w:numPr>
      </w:pPr>
      <w:r>
        <w:t xml:space="preserve">Strengthen, support, and mobilize communities and partnerships. </w:t>
      </w:r>
    </w:p>
    <w:p w14:paraId="6095460B" w14:textId="2649A45F" w:rsidR="001144C9" w:rsidRDefault="001144C9" w:rsidP="00926EB3">
      <w:pPr>
        <w:pStyle w:val="ListParagraph"/>
        <w:numPr>
          <w:ilvl w:val="0"/>
          <w:numId w:val="38"/>
        </w:numPr>
      </w:pPr>
      <w:r>
        <w:t xml:space="preserve">Create, champion, and implement policies, </w:t>
      </w:r>
      <w:proofErr w:type="gramStart"/>
      <w:r>
        <w:t>plans</w:t>
      </w:r>
      <w:proofErr w:type="gramEnd"/>
      <w:r>
        <w:t xml:space="preserve"> and laws.</w:t>
      </w:r>
    </w:p>
    <w:p w14:paraId="432C4F97" w14:textId="0312CEAA" w:rsidR="001144C9" w:rsidRDefault="001144C9" w:rsidP="00926EB3">
      <w:pPr>
        <w:pStyle w:val="ListParagraph"/>
        <w:numPr>
          <w:ilvl w:val="0"/>
          <w:numId w:val="38"/>
        </w:numPr>
      </w:pPr>
      <w:r>
        <w:lastRenderedPageBreak/>
        <w:t xml:space="preserve">Utilize legal and regulatory actions. </w:t>
      </w:r>
    </w:p>
    <w:p w14:paraId="1FF1ECAE" w14:textId="690B9163" w:rsidR="001144C9" w:rsidRDefault="001144C9" w:rsidP="001144C9">
      <w:pPr>
        <w:pStyle w:val="Heading5"/>
      </w:pPr>
      <w:r>
        <w:t>Assurance:</w:t>
      </w:r>
    </w:p>
    <w:p w14:paraId="48B9DE6E" w14:textId="50515F24" w:rsidR="001144C9" w:rsidRDefault="001144C9" w:rsidP="00926EB3">
      <w:pPr>
        <w:pStyle w:val="ListParagraph"/>
        <w:numPr>
          <w:ilvl w:val="0"/>
          <w:numId w:val="39"/>
        </w:numPr>
      </w:pPr>
      <w:r>
        <w:t>Enable equitable access.</w:t>
      </w:r>
    </w:p>
    <w:p w14:paraId="288FB71E" w14:textId="2DA99D42" w:rsidR="001144C9" w:rsidRDefault="001144C9" w:rsidP="00926EB3">
      <w:pPr>
        <w:pStyle w:val="ListParagraph"/>
        <w:numPr>
          <w:ilvl w:val="0"/>
          <w:numId w:val="39"/>
        </w:numPr>
      </w:pPr>
      <w:r>
        <w:t>Build a diverse and skilled workforce.</w:t>
      </w:r>
    </w:p>
    <w:p w14:paraId="061F6DCB" w14:textId="72D1577F" w:rsidR="001144C9" w:rsidRDefault="001144C9" w:rsidP="00926EB3">
      <w:pPr>
        <w:pStyle w:val="ListParagraph"/>
        <w:numPr>
          <w:ilvl w:val="0"/>
          <w:numId w:val="39"/>
        </w:numPr>
      </w:pPr>
      <w:r>
        <w:t>Improve and innovate through evaluation, research, and quality improvement.</w:t>
      </w:r>
    </w:p>
    <w:p w14:paraId="517709F1" w14:textId="0178475C" w:rsidR="001144C9" w:rsidRDefault="001144C9" w:rsidP="00926EB3">
      <w:pPr>
        <w:pStyle w:val="ListParagraph"/>
        <w:numPr>
          <w:ilvl w:val="0"/>
          <w:numId w:val="39"/>
        </w:numPr>
      </w:pPr>
      <w:r>
        <w:t xml:space="preserve">Build and maintain a strong organizational infrastructure for public health. </w:t>
      </w:r>
    </w:p>
    <w:p w14:paraId="4C1196C2" w14:textId="7B03F2F3" w:rsidR="001144C9" w:rsidRPr="001144C9" w:rsidRDefault="001144C9" w:rsidP="001144C9">
      <w:r>
        <w:t xml:space="preserve">At the center of all of this is: Equity. </w:t>
      </w:r>
    </w:p>
    <w:p w14:paraId="23235C6F" w14:textId="77777777" w:rsidR="00DC77AC" w:rsidRDefault="00DC77AC" w:rsidP="00DC77AC"/>
    <w:p w14:paraId="5DE770B7" w14:textId="1CCEAE76" w:rsidR="00DC77AC" w:rsidRDefault="00DC77AC" w:rsidP="00DC77AC">
      <w:r w:rsidRPr="00DC77AC">
        <w:t>Additionally, the U.S. Department of Health and Human Services Healthy People 2030 (HP 2030) initiative has strengthened its focus on health equity, which is reflected in the overarching goal of “eliminating health disparities, achieve health equity and attain health literacy to improve the health and well-being of all.” (</w:t>
      </w:r>
      <w:r w:rsidRPr="00DC77AC">
        <w:rPr>
          <w:b/>
          <w:bCs/>
        </w:rPr>
        <w:t>Figure 1.3</w:t>
      </w:r>
      <w:r w:rsidRPr="00DC77AC">
        <w:t xml:space="preserve">) An effort was made throughout the assessment not only to include comparisons to the HP 2030 targets (list of Healthy People 2030 objectives can be found in </w:t>
      </w:r>
      <w:r w:rsidRPr="00DC77AC">
        <w:rPr>
          <w:b/>
          <w:bCs/>
        </w:rPr>
        <w:t>Appendix C</w:t>
      </w:r>
      <w:r w:rsidRPr="00DC77AC">
        <w:t>), but to also leverage HP to advance health equity by focusing on social determinants of health across populations leading to the reduction of disparities in health and health care.</w:t>
      </w:r>
    </w:p>
    <w:p w14:paraId="53F831BC" w14:textId="77777777" w:rsidR="00DC77AC" w:rsidRPr="00DC77AC" w:rsidRDefault="00DC77AC" w:rsidP="00DC77AC"/>
    <w:p w14:paraId="5F134A1E" w14:textId="01F65268" w:rsidR="001144C9" w:rsidRDefault="001144C9" w:rsidP="001144C9">
      <w:pPr>
        <w:pStyle w:val="Heading4"/>
      </w:pPr>
      <w:bookmarkStart w:id="9" w:name="_Toc162266984"/>
      <w:r>
        <w:t>Figure 1.3: Healthy People 2030.</w:t>
      </w:r>
      <w:bookmarkEnd w:id="9"/>
    </w:p>
    <w:p w14:paraId="7C1840A3" w14:textId="77777777" w:rsidR="00A33C67" w:rsidRDefault="001144C9" w:rsidP="001144C9">
      <w:pPr>
        <w:pStyle w:val="Heading5"/>
      </w:pPr>
      <w:r>
        <w:t>Leveraging Healthy People to Advance Health Equity.</w:t>
      </w:r>
    </w:p>
    <w:p w14:paraId="39AAE215" w14:textId="1AE0429F" w:rsidR="001144C9" w:rsidRDefault="00A33C67" w:rsidP="00A33C67">
      <w:r w:rsidRPr="00A33C67">
        <w:t>Health Equity is the attainment of the highest level of health for all people.</w:t>
      </w:r>
      <w:r w:rsidR="001144C9">
        <w:t xml:space="preserve"> </w:t>
      </w:r>
    </w:p>
    <w:p w14:paraId="32DE7A00" w14:textId="77777777" w:rsidR="00A33C67" w:rsidRDefault="00A33C67" w:rsidP="00A33C67"/>
    <w:p w14:paraId="09445D07" w14:textId="3B2CA339" w:rsidR="00A33C67" w:rsidRDefault="00A33C67" w:rsidP="00A33C67">
      <w:r>
        <w:t>Achieving health equity requires valuing everyone equally with focused and ongoing societal efforts to address avoidable inequalities, historical and contemporary injustices, and social determinants of Health</w:t>
      </w:r>
      <w:r>
        <w:softHyphen/>
        <w:t>–and to eliminate disparities in health and health care.</w:t>
      </w:r>
    </w:p>
    <w:p w14:paraId="2405B3D9" w14:textId="70ECA5AD" w:rsidR="00A33C67" w:rsidRDefault="00A33C67" w:rsidP="00A33C67">
      <w:pPr>
        <w:pStyle w:val="Heading5"/>
      </w:pPr>
      <w:r>
        <w:t>Objectives:</w:t>
      </w:r>
    </w:p>
    <w:p w14:paraId="1E7D87F5" w14:textId="50D59181" w:rsidR="00A33C67" w:rsidRDefault="00A33C67" w:rsidP="00926EB3">
      <w:pPr>
        <w:pStyle w:val="ListParagraph"/>
        <w:numPr>
          <w:ilvl w:val="0"/>
          <w:numId w:val="40"/>
        </w:numPr>
      </w:pPr>
      <w:r>
        <w:t xml:space="preserve">Identify priorities by browsing </w:t>
      </w:r>
      <w:r w:rsidRPr="00A33C67">
        <w:rPr>
          <w:b/>
          <w:bCs/>
        </w:rPr>
        <w:t>Leading Health Indicators and other objectives.</w:t>
      </w:r>
    </w:p>
    <w:p w14:paraId="39B78DA1" w14:textId="144489ED" w:rsidR="00A33C67" w:rsidRDefault="00A33C67" w:rsidP="00926EB3">
      <w:pPr>
        <w:pStyle w:val="ListParagraph"/>
        <w:numPr>
          <w:ilvl w:val="0"/>
          <w:numId w:val="40"/>
        </w:numPr>
        <w:rPr>
          <w:b/>
          <w:bCs/>
        </w:rPr>
      </w:pPr>
      <w:r>
        <w:t xml:space="preserve">Compare </w:t>
      </w:r>
      <w:r w:rsidRPr="00A33C67">
        <w:rPr>
          <w:b/>
          <w:bCs/>
        </w:rPr>
        <w:t>population-level progress to national targets.</w:t>
      </w:r>
    </w:p>
    <w:p w14:paraId="42283C57" w14:textId="3178E71D" w:rsidR="00A33C67" w:rsidRDefault="00A33C67" w:rsidP="00A33C67">
      <w:pPr>
        <w:pStyle w:val="Heading5"/>
      </w:pPr>
      <w:r>
        <w:t>Data:</w:t>
      </w:r>
    </w:p>
    <w:p w14:paraId="71A638E3" w14:textId="2385D8B9" w:rsidR="00A33C67" w:rsidRPr="00A33C67" w:rsidRDefault="00A33C67" w:rsidP="00926EB3">
      <w:pPr>
        <w:pStyle w:val="ListParagraph"/>
        <w:numPr>
          <w:ilvl w:val="0"/>
          <w:numId w:val="41"/>
        </w:numPr>
      </w:pPr>
      <w:r>
        <w:t xml:space="preserve">Use </w:t>
      </w:r>
      <w:r>
        <w:rPr>
          <w:b/>
        </w:rPr>
        <w:t>Healthy People data</w:t>
      </w:r>
      <w:r>
        <w:rPr>
          <w:bCs/>
        </w:rPr>
        <w:t xml:space="preserve"> to</w:t>
      </w:r>
      <w:r w:rsidR="001315B0">
        <w:rPr>
          <w:bCs/>
        </w:rPr>
        <w:t xml:space="preserve"> t</w:t>
      </w:r>
      <w:r>
        <w:rPr>
          <w:bCs/>
        </w:rPr>
        <w:t xml:space="preserve">rack health disparities and inform program and policy development. </w:t>
      </w:r>
    </w:p>
    <w:p w14:paraId="4A60EDBE" w14:textId="59AB111A" w:rsidR="00A33C67" w:rsidRDefault="00A33C67" w:rsidP="00A33C67">
      <w:pPr>
        <w:pStyle w:val="Heading5"/>
      </w:pPr>
      <w:r>
        <w:lastRenderedPageBreak/>
        <w:t xml:space="preserve">Resources: </w:t>
      </w:r>
    </w:p>
    <w:p w14:paraId="0F551DCF" w14:textId="33FCB716" w:rsidR="00A33C67" w:rsidRDefault="00A33C67" w:rsidP="00926EB3">
      <w:pPr>
        <w:pStyle w:val="ListParagraph"/>
        <w:numPr>
          <w:ilvl w:val="0"/>
          <w:numId w:val="41"/>
        </w:numPr>
      </w:pPr>
      <w:r>
        <w:t xml:space="preserve">Find inspiration by consulting </w:t>
      </w:r>
      <w:r>
        <w:rPr>
          <w:b/>
          <w:bCs/>
        </w:rPr>
        <w:t>evidence-based resources</w:t>
      </w:r>
      <w:r>
        <w:t xml:space="preserve"> to use in your community.</w:t>
      </w:r>
    </w:p>
    <w:p w14:paraId="07F01A6F" w14:textId="7640E69F" w:rsidR="00A33C67" w:rsidRDefault="00A33C67" w:rsidP="00926EB3">
      <w:pPr>
        <w:pStyle w:val="ListParagraph"/>
        <w:numPr>
          <w:ilvl w:val="0"/>
          <w:numId w:val="41"/>
        </w:numPr>
      </w:pPr>
      <w:r>
        <w:t xml:space="preserve">Review </w:t>
      </w:r>
      <w:r>
        <w:rPr>
          <w:b/>
          <w:bCs/>
        </w:rPr>
        <w:t>Healthy People in Action stories</w:t>
      </w:r>
      <w:r>
        <w:t xml:space="preserve"> to learn how others are addressing health equity. </w:t>
      </w:r>
    </w:p>
    <w:p w14:paraId="48B8D428" w14:textId="073BE75D" w:rsidR="00A33C67" w:rsidRDefault="00A33C67" w:rsidP="00A33C67">
      <w:pPr>
        <w:pStyle w:val="Heading5"/>
      </w:pPr>
      <w:r>
        <w:t>Frameworks:</w:t>
      </w:r>
    </w:p>
    <w:p w14:paraId="26646AB7" w14:textId="0A201E61" w:rsidR="00A33C67" w:rsidRDefault="00A33C67" w:rsidP="00926EB3">
      <w:pPr>
        <w:pStyle w:val="ListParagraph"/>
        <w:numPr>
          <w:ilvl w:val="0"/>
          <w:numId w:val="42"/>
        </w:numPr>
      </w:pPr>
      <w:r>
        <w:t xml:space="preserve">Use the </w:t>
      </w:r>
      <w:r>
        <w:rPr>
          <w:b/>
          <w:bCs/>
        </w:rPr>
        <w:t>Healthy People 2030 framework</w:t>
      </w:r>
      <w:r>
        <w:t xml:space="preserve"> as a model for program planning. </w:t>
      </w:r>
    </w:p>
    <w:p w14:paraId="0A191ABE" w14:textId="6C9A0EA5" w:rsidR="00A33C67" w:rsidRDefault="00A33C67" w:rsidP="00926EB3">
      <w:pPr>
        <w:pStyle w:val="ListParagraph"/>
        <w:numPr>
          <w:ilvl w:val="0"/>
          <w:numId w:val="42"/>
        </w:numPr>
      </w:pPr>
      <w:r>
        <w:t xml:space="preserve">Use the </w:t>
      </w:r>
      <w:r>
        <w:rPr>
          <w:b/>
          <w:bCs/>
        </w:rPr>
        <w:t xml:space="preserve">social determinants of health framework </w:t>
      </w:r>
      <w:r>
        <w:t xml:space="preserve">to build </w:t>
      </w:r>
      <w:r>
        <w:rPr>
          <w:b/>
          <w:bCs/>
        </w:rPr>
        <w:t>partnerships across sectors</w:t>
      </w:r>
      <w:r>
        <w:t xml:space="preserve"> and communicate root causes of health disparities. </w:t>
      </w:r>
    </w:p>
    <w:p w14:paraId="03AB38D5" w14:textId="57BD3D88" w:rsidR="00A33C67" w:rsidRDefault="00A33C67" w:rsidP="00A33C67">
      <w:pPr>
        <w:pStyle w:val="Heading5"/>
      </w:pPr>
      <w:r>
        <w:t>Definitions:</w:t>
      </w:r>
    </w:p>
    <w:p w14:paraId="0F9AE828" w14:textId="16099592" w:rsidR="00A33C67" w:rsidRPr="00A33C67" w:rsidRDefault="00A33C67" w:rsidP="00926EB3">
      <w:pPr>
        <w:pStyle w:val="ListParagraph"/>
        <w:numPr>
          <w:ilvl w:val="0"/>
          <w:numId w:val="43"/>
        </w:numPr>
      </w:pPr>
      <w:r>
        <w:t xml:space="preserve">Use the definitions of </w:t>
      </w:r>
      <w:r>
        <w:rPr>
          <w:b/>
          <w:bCs/>
        </w:rPr>
        <w:t>health equity</w:t>
      </w:r>
      <w:r>
        <w:t xml:space="preserve"> and </w:t>
      </w:r>
      <w:r>
        <w:rPr>
          <w:b/>
          <w:bCs/>
        </w:rPr>
        <w:t xml:space="preserve">health disparities </w:t>
      </w:r>
      <w:r>
        <w:t xml:space="preserve">to promote a shared understanding and identify areas for collaborative action to improve health for all. </w:t>
      </w:r>
    </w:p>
    <w:p w14:paraId="75F7ED5D" w14:textId="77777777" w:rsidR="001144C9" w:rsidRPr="00A33C67" w:rsidRDefault="001144C9" w:rsidP="001144C9">
      <w:pPr>
        <w:rPr>
          <w:b/>
          <w:bCs/>
        </w:rPr>
      </w:pPr>
    </w:p>
    <w:p w14:paraId="35C2A3C7" w14:textId="4E3929B1" w:rsidR="00DC77AC" w:rsidRPr="00DC77AC" w:rsidRDefault="00DC77AC" w:rsidP="00DC77AC">
      <w:r w:rsidRPr="00DC77AC">
        <w:t xml:space="preserve">Throughout the assessment, information is used to identify high-priority issues, develop strategies to address public health concerns, and inform the next iteration of SC’s SHIP. The SHIP provides a vision for continuous health improvement and will be a roadmap used by government agencies, community-based organizations, healthcare professionals, advocates, policy makers, and other stakeholders to take action to leverage resources and focus work </w:t>
      </w:r>
      <w:proofErr w:type="gramStart"/>
      <w:r w:rsidRPr="00DC77AC">
        <w:t>towards</w:t>
      </w:r>
      <w:proofErr w:type="gramEnd"/>
      <w:r w:rsidRPr="00DC77AC">
        <w:t xml:space="preserve"> measurable improvement. </w:t>
      </w:r>
    </w:p>
    <w:p w14:paraId="6BF65458" w14:textId="77777777" w:rsidR="00DC77AC" w:rsidRDefault="00DC77AC" w:rsidP="00DC77AC"/>
    <w:p w14:paraId="0711CFA8" w14:textId="156F5AAD" w:rsidR="00DC77AC" w:rsidRPr="00DC77AC" w:rsidRDefault="00DC77AC" w:rsidP="00DC77AC">
      <w:r w:rsidRPr="00DC77AC">
        <w:t xml:space="preserve">Additionally, DHEC will use this assessment in its strategic planning. DHEC is currently working to revamp the agency’s strategic planning process to ensure it is constant. This includes promoting a culture of continuous improvement and building in consistent mechanisms for listening, planning, doing, monitoring, evaluating, and adjusting to make sure the strategic planning efforts continuously align with statewide needs. To do so, DHEC launched a two-year Bridge Strategic Plan, set to end in 2024. DHEC will use the SHA, as well as the SHIP, as roadmaps to revamp the agency’s strategic plan to ensure the direction set for the agency aligns with the identified needs. </w:t>
      </w:r>
    </w:p>
    <w:p w14:paraId="114FAD5B" w14:textId="77777777" w:rsidR="00DC77AC" w:rsidRPr="00DC77AC" w:rsidRDefault="00DC77AC" w:rsidP="00DC77AC"/>
    <w:p w14:paraId="79C60490" w14:textId="77777777" w:rsidR="00DC77AC" w:rsidRPr="00DC77AC" w:rsidRDefault="00DC77AC" w:rsidP="00DC77AC">
      <w:pPr>
        <w:pStyle w:val="Heading4"/>
      </w:pPr>
      <w:bookmarkStart w:id="10" w:name="_Toc162266985"/>
      <w:r w:rsidRPr="00DC77AC">
        <w:t>Public Health Accreditation</w:t>
      </w:r>
      <w:bookmarkEnd w:id="10"/>
    </w:p>
    <w:p w14:paraId="3CAA0A50" w14:textId="020147B1" w:rsidR="00DC77AC" w:rsidRPr="00DC77AC" w:rsidRDefault="00DC77AC" w:rsidP="00DC77AC">
      <w:r w:rsidRPr="00DC77AC">
        <w:t xml:space="preserve">DHEC received national accreditation through the Public Health Accreditation Board (PHAB) in 2021. Public health accreditation, which lasts five years, sets standards that state, regional, and local public health departments use to continuously improve the quality of their services and performance. To achieve </w:t>
      </w:r>
      <w:r w:rsidRPr="00DC77AC">
        <w:lastRenderedPageBreak/>
        <w:t xml:space="preserve">accreditation, health departments must go through a rigorous, multifaceted peer-review assessment to ensure they meet a set of quality standards and measures. </w:t>
      </w:r>
    </w:p>
    <w:p w14:paraId="43B452A1" w14:textId="417E21ED" w:rsidR="00DC77AC" w:rsidRPr="00DC77AC" w:rsidRDefault="00DC77AC" w:rsidP="00DC77AC">
      <w:r w:rsidRPr="00DC77AC">
        <w:t xml:space="preserve">Accreditation allows for increased awareness of an agency’s strengths and weaknesses, aligning its strategic direction and initiatives with the SHIP priorities, and stimulates quality and performance improvement activities. Since </w:t>
      </w:r>
      <w:r w:rsidR="00C82C60">
        <w:t xml:space="preserve">its </w:t>
      </w:r>
      <w:r w:rsidRPr="00DC77AC">
        <w:t>accreditation in 2021, DHEC created the State Health Improvement Office, has strengthened its quality improvement program, bolstered relationships with key partners, and adapted and improved strategic planning processes. It continues to improve the agency’s capacity to provide high-quality programs and services. DHEC is maintaining activities in alignment with accreditation standards and intends</w:t>
      </w:r>
      <w:r>
        <w:t xml:space="preserve"> </w:t>
      </w:r>
      <w:r w:rsidRPr="00DC77AC">
        <w:t xml:space="preserve">to pursue reaccreditation. The SHA is a critical piece of reaccreditation, and will help to inform an updated strategic plan. </w:t>
      </w:r>
    </w:p>
    <w:p w14:paraId="278F1A0B" w14:textId="77777777" w:rsidR="00DC77AC" w:rsidRDefault="00DC77AC" w:rsidP="00DC77AC">
      <w:pPr>
        <w:rPr>
          <w:b/>
          <w:bCs/>
        </w:rPr>
      </w:pPr>
    </w:p>
    <w:p w14:paraId="77D2B75D" w14:textId="2326EE42" w:rsidR="00DC77AC" w:rsidRPr="00DC77AC" w:rsidRDefault="00DC77AC" w:rsidP="00DC77AC">
      <w:pPr>
        <w:pStyle w:val="Heading4"/>
      </w:pPr>
      <w:bookmarkStart w:id="11" w:name="_Toc162266986"/>
      <w:r w:rsidRPr="00DC77AC">
        <w:t>Strategic Frameworks</w:t>
      </w:r>
      <w:bookmarkEnd w:id="11"/>
    </w:p>
    <w:p w14:paraId="15CC80C6" w14:textId="7FF8E7CA" w:rsidR="00DC77AC" w:rsidRDefault="00DC77AC" w:rsidP="00DC77AC">
      <w:pPr>
        <w:rPr>
          <w:b/>
          <w:bCs/>
        </w:rPr>
      </w:pPr>
      <w:r w:rsidRPr="00DC77AC">
        <w:t xml:space="preserve">The SHA and SHIP development process follows a modified Mobilizing for Action Through Planning and Partnerships (MAPP) model developed by the National Association of City and County Health Officials (NACCHO) and the Centers for Disease Control and Prevention (CDC). MAPP is a community-driven strategic planning process for improving population health. It uses a participatory process based on partnerships and collaboration among all relevant public health bodies and between the public health system and the community. The framework helps stakeholders prioritize the state’s public health issues, identify resources for addressing them, and determine the best plan of action to drive change. Stakeholders are included in the assessment, planning and implementation phases, ensuring the community drives and assumes ownership of the resulting plan. </w:t>
      </w:r>
    </w:p>
    <w:p w14:paraId="7D03315F" w14:textId="77777777" w:rsidR="00DC77AC" w:rsidRDefault="00DC77AC" w:rsidP="00DC77AC">
      <w:pPr>
        <w:rPr>
          <w:b/>
          <w:bCs/>
        </w:rPr>
      </w:pPr>
    </w:p>
    <w:p w14:paraId="6940CDAB" w14:textId="139C1569" w:rsidR="00A33C67" w:rsidRDefault="00A33C67" w:rsidP="00A33C67">
      <w:pPr>
        <w:pStyle w:val="Heading4"/>
      </w:pPr>
      <w:bookmarkStart w:id="12" w:name="_Toc162266987"/>
      <w:r>
        <w:t>Figure 1.4: South Carolina SHA and SHIP Process.</w:t>
      </w:r>
      <w:bookmarkEnd w:id="12"/>
    </w:p>
    <w:p w14:paraId="0D0AB238" w14:textId="65EE1A82" w:rsidR="00A33C67" w:rsidRDefault="00A33C67" w:rsidP="00926EB3">
      <w:pPr>
        <w:pStyle w:val="ListParagraph"/>
        <w:numPr>
          <w:ilvl w:val="0"/>
          <w:numId w:val="44"/>
        </w:numPr>
      </w:pPr>
      <w:r>
        <w:t>Engage Stakeholders.</w:t>
      </w:r>
    </w:p>
    <w:p w14:paraId="3909DD34" w14:textId="12987FD6" w:rsidR="00A33C67" w:rsidRDefault="00A33C67" w:rsidP="00926EB3">
      <w:pPr>
        <w:pStyle w:val="ListParagraph"/>
        <w:numPr>
          <w:ilvl w:val="0"/>
          <w:numId w:val="44"/>
        </w:numPr>
      </w:pPr>
      <w:r>
        <w:t>Qualitative Data Assessment and Quantitative Data Assessment.</w:t>
      </w:r>
    </w:p>
    <w:p w14:paraId="7DF49647" w14:textId="6313583B" w:rsidR="00A33C67" w:rsidRDefault="00A33C67" w:rsidP="00926EB3">
      <w:pPr>
        <w:pStyle w:val="ListParagraph"/>
        <w:numPr>
          <w:ilvl w:val="0"/>
          <w:numId w:val="44"/>
        </w:numPr>
      </w:pPr>
      <w:r>
        <w:t>Develop SHA.</w:t>
      </w:r>
    </w:p>
    <w:p w14:paraId="66551DDB" w14:textId="4FC64270" w:rsidR="00A33C67" w:rsidRDefault="00A33C67" w:rsidP="00926EB3">
      <w:pPr>
        <w:pStyle w:val="ListParagraph"/>
        <w:numPr>
          <w:ilvl w:val="0"/>
          <w:numId w:val="44"/>
        </w:numPr>
      </w:pPr>
      <w:r>
        <w:t xml:space="preserve">Establish Priorities. </w:t>
      </w:r>
    </w:p>
    <w:p w14:paraId="18C24AD3" w14:textId="5C6F7240" w:rsidR="00A33C67" w:rsidRDefault="00A33C67" w:rsidP="00926EB3">
      <w:pPr>
        <w:pStyle w:val="ListParagraph"/>
        <w:numPr>
          <w:ilvl w:val="0"/>
          <w:numId w:val="44"/>
        </w:numPr>
      </w:pPr>
      <w:r>
        <w:t xml:space="preserve">Develop SHIP. </w:t>
      </w:r>
    </w:p>
    <w:p w14:paraId="32DB0E2C" w14:textId="4516689C" w:rsidR="00A33C67" w:rsidRDefault="00A33C67" w:rsidP="00926EB3">
      <w:pPr>
        <w:pStyle w:val="ListParagraph"/>
        <w:numPr>
          <w:ilvl w:val="0"/>
          <w:numId w:val="44"/>
        </w:numPr>
      </w:pPr>
      <w:r>
        <w:t xml:space="preserve">Monitor Health Outcomes &amp; SHIP Priorities. </w:t>
      </w:r>
    </w:p>
    <w:p w14:paraId="370C06DE" w14:textId="6F9424D7" w:rsidR="00A33C67" w:rsidRPr="00823B72" w:rsidRDefault="00A33C67" w:rsidP="00926EB3">
      <w:pPr>
        <w:pStyle w:val="ListParagraph"/>
        <w:numPr>
          <w:ilvl w:val="0"/>
          <w:numId w:val="44"/>
        </w:numPr>
      </w:pPr>
      <w:r w:rsidRPr="00823B72">
        <w:t>Repeat.</w:t>
      </w:r>
    </w:p>
    <w:p w14:paraId="223F17EE" w14:textId="77777777" w:rsidR="00DC77AC" w:rsidRDefault="00DC77AC" w:rsidP="00DC77AC"/>
    <w:p w14:paraId="7704E8D9" w14:textId="77777777" w:rsidR="00DC77AC" w:rsidRPr="00DC77AC" w:rsidRDefault="00DC77AC" w:rsidP="00DC77AC">
      <w:r w:rsidRPr="00DC77AC">
        <w:lastRenderedPageBreak/>
        <w:t xml:space="preserve">As part of this process, the DHEC State Health Improvement Office formed a multi-layered project management organization, partnering with an inclusive list of more than 100 thought leaders and experts. The internal and external stakeholders comprised multiple different committees and were leveraged to collaborate and inform the direction of the project (see </w:t>
      </w:r>
      <w:r w:rsidRPr="00DC77AC">
        <w:rPr>
          <w:b/>
          <w:bCs/>
        </w:rPr>
        <w:t xml:space="preserve">Appendix D </w:t>
      </w:r>
      <w:r w:rsidRPr="00DC77AC">
        <w:t>for team member listing).</w:t>
      </w:r>
    </w:p>
    <w:p w14:paraId="2433C5A2" w14:textId="77777777" w:rsidR="00DC77AC" w:rsidRDefault="00DC77AC" w:rsidP="00DC77AC"/>
    <w:p w14:paraId="29DFAEF8" w14:textId="51E5D4E7" w:rsidR="00A33C67" w:rsidRDefault="00A33C67" w:rsidP="00A33C67">
      <w:pPr>
        <w:pStyle w:val="Heading4"/>
      </w:pPr>
      <w:bookmarkStart w:id="13" w:name="_Toc162266988"/>
      <w:r>
        <w:t xml:space="preserve">Figure 1.5: </w:t>
      </w:r>
      <w:r w:rsidR="00C82C60">
        <w:t xml:space="preserve">The </w:t>
      </w:r>
      <w:r>
        <w:t>SHA Teams.</w:t>
      </w:r>
      <w:bookmarkEnd w:id="13"/>
    </w:p>
    <w:p w14:paraId="315F1AF1" w14:textId="0848EA51" w:rsidR="00A33C67" w:rsidRDefault="00A33C67" w:rsidP="00926EB3">
      <w:pPr>
        <w:pStyle w:val="ListParagraph"/>
        <w:numPr>
          <w:ilvl w:val="0"/>
          <w:numId w:val="43"/>
        </w:numPr>
      </w:pPr>
      <w:r>
        <w:t>DHEC Executive Committee.</w:t>
      </w:r>
    </w:p>
    <w:p w14:paraId="0D0C7DD6" w14:textId="63DCCDFB" w:rsidR="00A33C67" w:rsidRDefault="00A33C67" w:rsidP="00926EB3">
      <w:pPr>
        <w:pStyle w:val="ListParagraph"/>
        <w:numPr>
          <w:ilvl w:val="0"/>
          <w:numId w:val="43"/>
        </w:numPr>
      </w:pPr>
      <w:r>
        <w:t>LHSC Advisory Committee.</w:t>
      </w:r>
    </w:p>
    <w:p w14:paraId="5CD37909" w14:textId="6926C65B" w:rsidR="00A33C67" w:rsidRDefault="00A33C67" w:rsidP="00926EB3">
      <w:pPr>
        <w:pStyle w:val="ListParagraph"/>
        <w:numPr>
          <w:ilvl w:val="0"/>
          <w:numId w:val="43"/>
        </w:numPr>
      </w:pPr>
      <w:r>
        <w:t>LHSC Project Management Team.</w:t>
      </w:r>
    </w:p>
    <w:p w14:paraId="509B7443" w14:textId="614243E6" w:rsidR="00A33C67" w:rsidRDefault="00A33C67" w:rsidP="00926EB3">
      <w:pPr>
        <w:pStyle w:val="ListParagraph"/>
        <w:numPr>
          <w:ilvl w:val="0"/>
          <w:numId w:val="43"/>
        </w:numPr>
      </w:pPr>
      <w:r>
        <w:t>Project Planning Committee.</w:t>
      </w:r>
    </w:p>
    <w:p w14:paraId="49D53993" w14:textId="0ABF64AD" w:rsidR="00A33C67" w:rsidRDefault="00A33C67" w:rsidP="00926EB3">
      <w:pPr>
        <w:pStyle w:val="ListParagraph"/>
        <w:numPr>
          <w:ilvl w:val="0"/>
          <w:numId w:val="43"/>
        </w:numPr>
      </w:pPr>
      <w:r>
        <w:t>8 Data Ana</w:t>
      </w:r>
      <w:r w:rsidR="00EE21C4">
        <w:t>lytics and Program Teams.</w:t>
      </w:r>
    </w:p>
    <w:p w14:paraId="10509F6B" w14:textId="17E6E284" w:rsidR="00EE21C4" w:rsidRDefault="00EE21C4" w:rsidP="00926EB3">
      <w:pPr>
        <w:pStyle w:val="ListParagraph"/>
        <w:numPr>
          <w:ilvl w:val="0"/>
          <w:numId w:val="43"/>
        </w:numPr>
      </w:pPr>
      <w:r>
        <w:t>Project Communications Team.</w:t>
      </w:r>
    </w:p>
    <w:p w14:paraId="2058C29C" w14:textId="650ED62C" w:rsidR="00EE21C4" w:rsidRDefault="00EE21C4" w:rsidP="00926EB3">
      <w:pPr>
        <w:pStyle w:val="ListParagraph"/>
        <w:numPr>
          <w:ilvl w:val="0"/>
          <w:numId w:val="43"/>
        </w:numPr>
      </w:pPr>
      <w:r>
        <w:t>SHA Editorial Team.</w:t>
      </w:r>
    </w:p>
    <w:p w14:paraId="4B13BE69" w14:textId="77777777" w:rsidR="00EE21C4" w:rsidRPr="00A33C67" w:rsidRDefault="00EE21C4" w:rsidP="00EE21C4">
      <w:pPr>
        <w:pStyle w:val="ListParagraph"/>
      </w:pPr>
    </w:p>
    <w:p w14:paraId="770F4CA4" w14:textId="660286DB" w:rsidR="00EE21C4" w:rsidRDefault="00EE21C4" w:rsidP="00EE21C4">
      <w:pPr>
        <w:pStyle w:val="Heading4"/>
      </w:pPr>
      <w:bookmarkStart w:id="14" w:name="_Toc162266989"/>
      <w:r>
        <w:t xml:space="preserve">Figure 1.6: </w:t>
      </w:r>
      <w:r w:rsidRPr="00EE21C4">
        <w:t>South Carolina State Health Assessment Development – Roles and Responsibilities</w:t>
      </w:r>
      <w:r>
        <w:t>.</w:t>
      </w:r>
      <w:bookmarkEnd w:id="14"/>
      <w:r>
        <w:t xml:space="preserve"> </w:t>
      </w:r>
    </w:p>
    <w:p w14:paraId="4C1812DD" w14:textId="67B7771A" w:rsidR="00EE21C4" w:rsidRDefault="00EE21C4" w:rsidP="00926EB3">
      <w:pPr>
        <w:pStyle w:val="ListParagraph"/>
        <w:numPr>
          <w:ilvl w:val="0"/>
          <w:numId w:val="43"/>
        </w:numPr>
      </w:pPr>
      <w:r>
        <w:t>DHEC Executive Committee:</w:t>
      </w:r>
    </w:p>
    <w:p w14:paraId="627F6E1A" w14:textId="04610B72" w:rsidR="00EE21C4" w:rsidRPr="00EE21C4" w:rsidRDefault="00EE21C4" w:rsidP="00926EB3">
      <w:pPr>
        <w:pStyle w:val="ListParagraph"/>
        <w:numPr>
          <w:ilvl w:val="1"/>
          <w:numId w:val="43"/>
        </w:numPr>
      </w:pPr>
      <w:r w:rsidRPr="00EE21C4">
        <w:t>Approved SHA framework</w:t>
      </w:r>
      <w:r>
        <w:t>.</w:t>
      </w:r>
    </w:p>
    <w:p w14:paraId="4DAFC159" w14:textId="6BB4AACB" w:rsidR="00EE21C4" w:rsidRPr="00EE21C4" w:rsidRDefault="00EE21C4" w:rsidP="00926EB3">
      <w:pPr>
        <w:pStyle w:val="ListParagraph"/>
        <w:numPr>
          <w:ilvl w:val="1"/>
          <w:numId w:val="43"/>
        </w:numPr>
      </w:pPr>
      <w:r w:rsidRPr="00EE21C4">
        <w:t>Provided counsel on project timeline and resource availability</w:t>
      </w:r>
      <w:r>
        <w:t>.</w:t>
      </w:r>
    </w:p>
    <w:p w14:paraId="6A994E5E" w14:textId="0D09202A" w:rsidR="00EE21C4" w:rsidRPr="00EE21C4" w:rsidRDefault="00EE21C4" w:rsidP="00926EB3">
      <w:pPr>
        <w:pStyle w:val="ListParagraph"/>
        <w:numPr>
          <w:ilvl w:val="1"/>
          <w:numId w:val="43"/>
        </w:numPr>
      </w:pPr>
      <w:r w:rsidRPr="00EE21C4">
        <w:t>Ensured PHAB public health reaccreditation guidelines were followed</w:t>
      </w:r>
      <w:r>
        <w:t>.</w:t>
      </w:r>
    </w:p>
    <w:p w14:paraId="72E1F23C" w14:textId="3223ACD2" w:rsidR="00EE21C4" w:rsidRDefault="00EE21C4" w:rsidP="00926EB3">
      <w:pPr>
        <w:pStyle w:val="ListParagraph"/>
        <w:numPr>
          <w:ilvl w:val="1"/>
          <w:numId w:val="43"/>
        </w:numPr>
      </w:pPr>
      <w:r w:rsidRPr="00EE21C4">
        <w:t>Held monthly meetings</w:t>
      </w:r>
      <w:r>
        <w:t>.</w:t>
      </w:r>
    </w:p>
    <w:p w14:paraId="529886FE" w14:textId="7FB1B450" w:rsidR="00EE21C4" w:rsidRDefault="00EE21C4" w:rsidP="00926EB3">
      <w:pPr>
        <w:pStyle w:val="ListParagraph"/>
        <w:numPr>
          <w:ilvl w:val="0"/>
          <w:numId w:val="43"/>
        </w:numPr>
      </w:pPr>
      <w:r>
        <w:t>LHSC Advisory Committee:</w:t>
      </w:r>
    </w:p>
    <w:p w14:paraId="2A41371A" w14:textId="6DD5214D" w:rsidR="00EE21C4" w:rsidRPr="00EE21C4" w:rsidRDefault="00EE21C4" w:rsidP="00926EB3">
      <w:pPr>
        <w:pStyle w:val="ListParagraph"/>
        <w:numPr>
          <w:ilvl w:val="1"/>
          <w:numId w:val="43"/>
        </w:numPr>
      </w:pPr>
      <w:r w:rsidRPr="00EE21C4">
        <w:t>Provided input and feedback on strategic frameworks, data sources, and possible solutions</w:t>
      </w:r>
      <w:r>
        <w:t>.</w:t>
      </w:r>
    </w:p>
    <w:p w14:paraId="22EBB02C" w14:textId="246B8920" w:rsidR="00EE21C4" w:rsidRPr="00EE21C4" w:rsidRDefault="00EE21C4" w:rsidP="00926EB3">
      <w:pPr>
        <w:pStyle w:val="ListParagraph"/>
        <w:numPr>
          <w:ilvl w:val="1"/>
          <w:numId w:val="43"/>
        </w:numPr>
      </w:pPr>
      <w:r w:rsidRPr="00EE21C4">
        <w:t>Identified gaps and additional needs in both qualitative and quantitative data collection</w:t>
      </w:r>
      <w:r>
        <w:t>.</w:t>
      </w:r>
    </w:p>
    <w:p w14:paraId="46D245A6" w14:textId="0342F53D" w:rsidR="00EE21C4" w:rsidRPr="00EE21C4" w:rsidRDefault="00EE21C4" w:rsidP="00926EB3">
      <w:pPr>
        <w:pStyle w:val="ListParagraph"/>
        <w:numPr>
          <w:ilvl w:val="1"/>
          <w:numId w:val="43"/>
        </w:numPr>
      </w:pPr>
      <w:r w:rsidRPr="00EE21C4">
        <w:t>Completed the MAPP activities</w:t>
      </w:r>
      <w:r>
        <w:t>.</w:t>
      </w:r>
    </w:p>
    <w:p w14:paraId="0BC6DDF4" w14:textId="3AC6C89A" w:rsidR="00EE21C4" w:rsidRPr="00EE21C4" w:rsidRDefault="00EE21C4" w:rsidP="00926EB3">
      <w:pPr>
        <w:pStyle w:val="ListParagraph"/>
        <w:numPr>
          <w:ilvl w:val="1"/>
          <w:numId w:val="43"/>
        </w:numPr>
      </w:pPr>
      <w:r w:rsidRPr="00EE21C4">
        <w:t>Mobilized local-level partnerships for inclusion of community voice</w:t>
      </w:r>
      <w:r>
        <w:t>.</w:t>
      </w:r>
    </w:p>
    <w:p w14:paraId="673D9BA6" w14:textId="770A9290" w:rsidR="00EE21C4" w:rsidRPr="00EE21C4" w:rsidRDefault="00EE21C4" w:rsidP="00926EB3">
      <w:pPr>
        <w:pStyle w:val="ListParagraph"/>
        <w:numPr>
          <w:ilvl w:val="1"/>
          <w:numId w:val="43"/>
        </w:numPr>
      </w:pPr>
      <w:r w:rsidRPr="00EE21C4">
        <w:t>Identified potential assets to support health improvement work</w:t>
      </w:r>
      <w:r>
        <w:t>.</w:t>
      </w:r>
    </w:p>
    <w:p w14:paraId="15F6BDEE" w14:textId="6BA58E41" w:rsidR="00EE21C4" w:rsidRDefault="00EE21C4" w:rsidP="00926EB3">
      <w:pPr>
        <w:pStyle w:val="ListParagraph"/>
        <w:numPr>
          <w:ilvl w:val="1"/>
          <w:numId w:val="43"/>
        </w:numPr>
      </w:pPr>
      <w:r w:rsidRPr="00EE21C4">
        <w:t>Held monthly meetings</w:t>
      </w:r>
      <w:r>
        <w:t>.</w:t>
      </w:r>
    </w:p>
    <w:p w14:paraId="407FAEE4" w14:textId="67C1AF48" w:rsidR="00EE21C4" w:rsidRDefault="00EE21C4" w:rsidP="00926EB3">
      <w:pPr>
        <w:pStyle w:val="ListParagraph"/>
        <w:numPr>
          <w:ilvl w:val="0"/>
          <w:numId w:val="43"/>
        </w:numPr>
      </w:pPr>
      <w:r>
        <w:t>LHSC Project Management Team:</w:t>
      </w:r>
    </w:p>
    <w:p w14:paraId="108674E4" w14:textId="3CF5D84D" w:rsidR="00EE21C4" w:rsidRPr="00EE21C4" w:rsidRDefault="00EE21C4" w:rsidP="00926EB3">
      <w:pPr>
        <w:pStyle w:val="ListParagraph"/>
        <w:numPr>
          <w:ilvl w:val="1"/>
          <w:numId w:val="43"/>
        </w:numPr>
      </w:pPr>
      <w:r w:rsidRPr="00EE21C4">
        <w:t xml:space="preserve">Provided oversight on project timeline and </w:t>
      </w:r>
      <w:r w:rsidR="00C82C60">
        <w:t>milestone accomplishments</w:t>
      </w:r>
      <w:r>
        <w:t>.</w:t>
      </w:r>
    </w:p>
    <w:p w14:paraId="113F0E72" w14:textId="16EDCF9A" w:rsidR="00EE21C4" w:rsidRPr="00EE21C4" w:rsidRDefault="00EE21C4" w:rsidP="00926EB3">
      <w:pPr>
        <w:pStyle w:val="ListParagraph"/>
        <w:numPr>
          <w:ilvl w:val="1"/>
          <w:numId w:val="43"/>
        </w:numPr>
      </w:pPr>
      <w:r w:rsidRPr="00EE21C4">
        <w:t>Reviewed project progress and guided decision</w:t>
      </w:r>
      <w:r w:rsidR="00C82C60">
        <w:t>-</w:t>
      </w:r>
      <w:r w:rsidRPr="00EE21C4">
        <w:t>making</w:t>
      </w:r>
      <w:r>
        <w:t>.</w:t>
      </w:r>
    </w:p>
    <w:p w14:paraId="7C68B8FC" w14:textId="13057629" w:rsidR="00EE21C4" w:rsidRDefault="00EE21C4" w:rsidP="00926EB3">
      <w:pPr>
        <w:pStyle w:val="ListParagraph"/>
        <w:numPr>
          <w:ilvl w:val="1"/>
          <w:numId w:val="43"/>
        </w:numPr>
      </w:pPr>
      <w:r w:rsidRPr="00EE21C4">
        <w:t>Held monthly meetings</w:t>
      </w:r>
      <w:r>
        <w:t>.</w:t>
      </w:r>
    </w:p>
    <w:p w14:paraId="7D653AE3" w14:textId="3FE69B1D" w:rsidR="00EE21C4" w:rsidRDefault="00EE21C4" w:rsidP="00926EB3">
      <w:pPr>
        <w:pStyle w:val="ListParagraph"/>
        <w:numPr>
          <w:ilvl w:val="0"/>
          <w:numId w:val="43"/>
        </w:numPr>
      </w:pPr>
      <w:r>
        <w:lastRenderedPageBreak/>
        <w:t>Project Planning Committee:</w:t>
      </w:r>
    </w:p>
    <w:p w14:paraId="06FF689D" w14:textId="3F567F95" w:rsidR="00EE21C4" w:rsidRPr="00EE21C4" w:rsidRDefault="00EE21C4" w:rsidP="00926EB3">
      <w:pPr>
        <w:pStyle w:val="ListParagraph"/>
        <w:numPr>
          <w:ilvl w:val="1"/>
          <w:numId w:val="43"/>
        </w:numPr>
      </w:pPr>
      <w:r w:rsidRPr="00EE21C4">
        <w:t>Set project timeline and framework</w:t>
      </w:r>
      <w:r>
        <w:t>.</w:t>
      </w:r>
    </w:p>
    <w:p w14:paraId="0F5D0523" w14:textId="74695157" w:rsidR="00EE21C4" w:rsidRPr="00EE21C4" w:rsidRDefault="00EE21C4" w:rsidP="00926EB3">
      <w:pPr>
        <w:pStyle w:val="ListParagraph"/>
        <w:numPr>
          <w:ilvl w:val="1"/>
          <w:numId w:val="43"/>
        </w:numPr>
      </w:pPr>
      <w:r w:rsidRPr="00EE21C4">
        <w:t>Established and ensured maintenance of day-to-day activities</w:t>
      </w:r>
      <w:r>
        <w:t>.</w:t>
      </w:r>
    </w:p>
    <w:p w14:paraId="7E9AC8BB" w14:textId="744DCFE6" w:rsidR="00EE21C4" w:rsidRPr="00EE21C4" w:rsidRDefault="00EE21C4" w:rsidP="00926EB3">
      <w:pPr>
        <w:pStyle w:val="ListParagraph"/>
        <w:numPr>
          <w:ilvl w:val="1"/>
          <w:numId w:val="43"/>
        </w:numPr>
      </w:pPr>
      <w:r w:rsidRPr="00EE21C4">
        <w:t>Assessed and mobilized resources</w:t>
      </w:r>
      <w:r>
        <w:t>.</w:t>
      </w:r>
    </w:p>
    <w:p w14:paraId="1313B6E8" w14:textId="682DA955" w:rsidR="00EE21C4" w:rsidRPr="00EE21C4" w:rsidRDefault="00EE21C4" w:rsidP="00926EB3">
      <w:pPr>
        <w:pStyle w:val="ListParagraph"/>
        <w:numPr>
          <w:ilvl w:val="1"/>
          <w:numId w:val="43"/>
        </w:numPr>
      </w:pPr>
      <w:r w:rsidRPr="00EE21C4">
        <w:t>Led data analytics and chapter workgroups</w:t>
      </w:r>
      <w:r>
        <w:t>.</w:t>
      </w:r>
    </w:p>
    <w:p w14:paraId="765C9741" w14:textId="3AC6089B" w:rsidR="00EE21C4" w:rsidRPr="00EE21C4" w:rsidRDefault="00EE21C4" w:rsidP="00926EB3">
      <w:pPr>
        <w:pStyle w:val="ListParagraph"/>
        <w:numPr>
          <w:ilvl w:val="1"/>
          <w:numId w:val="43"/>
        </w:numPr>
      </w:pPr>
      <w:r w:rsidRPr="00EE21C4">
        <w:t>Led MAPP and community engagement activities</w:t>
      </w:r>
      <w:r>
        <w:t>.</w:t>
      </w:r>
      <w:r w:rsidRPr="00EE21C4">
        <w:t xml:space="preserve"> </w:t>
      </w:r>
    </w:p>
    <w:p w14:paraId="59238290" w14:textId="5A44FD45" w:rsidR="00EE21C4" w:rsidRPr="00EE21C4" w:rsidRDefault="00EE21C4" w:rsidP="00926EB3">
      <w:pPr>
        <w:pStyle w:val="ListParagraph"/>
        <w:numPr>
          <w:ilvl w:val="1"/>
          <w:numId w:val="43"/>
        </w:numPr>
      </w:pPr>
      <w:r w:rsidRPr="00EE21C4">
        <w:t>Outlined and executed administrative tasks</w:t>
      </w:r>
      <w:r>
        <w:t>.</w:t>
      </w:r>
      <w:r w:rsidRPr="00EE21C4">
        <w:t xml:space="preserve"> </w:t>
      </w:r>
    </w:p>
    <w:p w14:paraId="0E2B5E39" w14:textId="446A0C00" w:rsidR="00EE21C4" w:rsidRDefault="00EE21C4" w:rsidP="00926EB3">
      <w:pPr>
        <w:pStyle w:val="ListParagraph"/>
        <w:numPr>
          <w:ilvl w:val="1"/>
          <w:numId w:val="43"/>
        </w:numPr>
      </w:pPr>
      <w:r w:rsidRPr="00EE21C4">
        <w:t>Held weekly meetings</w:t>
      </w:r>
      <w:r>
        <w:t>.</w:t>
      </w:r>
    </w:p>
    <w:p w14:paraId="2F912368" w14:textId="1A0A49E8" w:rsidR="00EE21C4" w:rsidRDefault="00EE21C4" w:rsidP="00926EB3">
      <w:pPr>
        <w:pStyle w:val="ListParagraph"/>
        <w:numPr>
          <w:ilvl w:val="0"/>
          <w:numId w:val="43"/>
        </w:numPr>
      </w:pPr>
      <w:r>
        <w:t>8 Data Analytics and Program Teams:</w:t>
      </w:r>
    </w:p>
    <w:p w14:paraId="7A71DCA0" w14:textId="789DB804" w:rsidR="00EE21C4" w:rsidRPr="00EE21C4" w:rsidRDefault="00EE21C4" w:rsidP="00926EB3">
      <w:pPr>
        <w:pStyle w:val="ListParagraph"/>
        <w:numPr>
          <w:ilvl w:val="1"/>
          <w:numId w:val="43"/>
        </w:numPr>
      </w:pPr>
      <w:r w:rsidRPr="00EE21C4">
        <w:t>Compiled data and created charts for 110+ indicators</w:t>
      </w:r>
      <w:r>
        <w:t>.</w:t>
      </w:r>
    </w:p>
    <w:p w14:paraId="7D29DC95" w14:textId="55A969B6" w:rsidR="00EE21C4" w:rsidRPr="00EE21C4" w:rsidRDefault="00EE21C4" w:rsidP="00926EB3">
      <w:pPr>
        <w:pStyle w:val="ListParagraph"/>
        <w:numPr>
          <w:ilvl w:val="1"/>
          <w:numId w:val="43"/>
        </w:numPr>
      </w:pPr>
      <w:r w:rsidRPr="00EE21C4">
        <w:t>Tabulated results of community engagement efforts</w:t>
      </w:r>
      <w:r>
        <w:t>.</w:t>
      </w:r>
    </w:p>
    <w:p w14:paraId="4A004713" w14:textId="1BFAD93E" w:rsidR="00EE21C4" w:rsidRPr="00EE21C4" w:rsidRDefault="00EE21C4" w:rsidP="00926EB3">
      <w:pPr>
        <w:pStyle w:val="ListParagraph"/>
        <w:numPr>
          <w:ilvl w:val="1"/>
          <w:numId w:val="43"/>
        </w:numPr>
      </w:pPr>
      <w:r w:rsidRPr="00EE21C4">
        <w:t>Wrote and developed assessment chapters</w:t>
      </w:r>
      <w:r>
        <w:t>.</w:t>
      </w:r>
    </w:p>
    <w:p w14:paraId="07B382FD" w14:textId="016CE848" w:rsidR="00EE21C4" w:rsidRPr="00EE21C4" w:rsidRDefault="00EE21C4" w:rsidP="00926EB3">
      <w:pPr>
        <w:pStyle w:val="ListParagraph"/>
        <w:numPr>
          <w:ilvl w:val="1"/>
          <w:numId w:val="43"/>
        </w:numPr>
      </w:pPr>
      <w:r w:rsidRPr="00EE21C4">
        <w:t>Staffed data walks</w:t>
      </w:r>
      <w:r>
        <w:t>.</w:t>
      </w:r>
    </w:p>
    <w:p w14:paraId="5B48D73B" w14:textId="4A17D3F1" w:rsidR="00EE21C4" w:rsidRDefault="00EE21C4" w:rsidP="00926EB3">
      <w:pPr>
        <w:pStyle w:val="ListParagraph"/>
        <w:numPr>
          <w:ilvl w:val="1"/>
          <w:numId w:val="43"/>
        </w:numPr>
      </w:pPr>
      <w:r w:rsidRPr="00EE21C4">
        <w:t>Held weekly to biweekly meetings</w:t>
      </w:r>
      <w:r>
        <w:t>.</w:t>
      </w:r>
    </w:p>
    <w:p w14:paraId="6E0819E1" w14:textId="24336450" w:rsidR="00EE21C4" w:rsidRDefault="00EE21C4" w:rsidP="00926EB3">
      <w:pPr>
        <w:pStyle w:val="ListParagraph"/>
        <w:numPr>
          <w:ilvl w:val="0"/>
          <w:numId w:val="43"/>
        </w:numPr>
      </w:pPr>
      <w:r>
        <w:t>Project Communications Team:</w:t>
      </w:r>
    </w:p>
    <w:p w14:paraId="25C70A54" w14:textId="6AE7C384" w:rsidR="00EE21C4" w:rsidRPr="00EE21C4" w:rsidRDefault="00EE21C4" w:rsidP="00926EB3">
      <w:pPr>
        <w:pStyle w:val="ListParagraph"/>
        <w:numPr>
          <w:ilvl w:val="1"/>
          <w:numId w:val="43"/>
        </w:numPr>
      </w:pPr>
      <w:r w:rsidRPr="00EE21C4">
        <w:t>Assisted in the development of data walk posters and materials</w:t>
      </w:r>
      <w:r>
        <w:t>.</w:t>
      </w:r>
    </w:p>
    <w:p w14:paraId="5FE3ECD0" w14:textId="569CD570" w:rsidR="00EE21C4" w:rsidRPr="00EE21C4" w:rsidRDefault="00EE21C4" w:rsidP="00926EB3">
      <w:pPr>
        <w:pStyle w:val="ListParagraph"/>
        <w:numPr>
          <w:ilvl w:val="1"/>
          <w:numId w:val="43"/>
        </w:numPr>
      </w:pPr>
      <w:r w:rsidRPr="00EE21C4">
        <w:t>Provided expertise during the graphic design process</w:t>
      </w:r>
      <w:r>
        <w:t>.</w:t>
      </w:r>
    </w:p>
    <w:p w14:paraId="4600DF86" w14:textId="102FC566" w:rsidR="00EE21C4" w:rsidRPr="00EE21C4" w:rsidRDefault="00EE21C4" w:rsidP="00926EB3">
      <w:pPr>
        <w:pStyle w:val="ListParagraph"/>
        <w:numPr>
          <w:ilvl w:val="1"/>
          <w:numId w:val="43"/>
        </w:numPr>
      </w:pPr>
      <w:r w:rsidRPr="00EE21C4">
        <w:t>Developed the SHA highlight report</w:t>
      </w:r>
      <w:r>
        <w:t>.</w:t>
      </w:r>
    </w:p>
    <w:p w14:paraId="73CE5FA6" w14:textId="13B49C4B" w:rsidR="00EE21C4" w:rsidRDefault="00EE21C4" w:rsidP="00926EB3">
      <w:pPr>
        <w:pStyle w:val="ListParagraph"/>
        <w:numPr>
          <w:ilvl w:val="1"/>
          <w:numId w:val="43"/>
        </w:numPr>
      </w:pPr>
      <w:r w:rsidRPr="00EE21C4">
        <w:t>Led the marketing and public relations activities</w:t>
      </w:r>
      <w:r>
        <w:t>.</w:t>
      </w:r>
    </w:p>
    <w:p w14:paraId="47D5C96B" w14:textId="2D964A3C" w:rsidR="00EE21C4" w:rsidRDefault="00EE21C4" w:rsidP="00926EB3">
      <w:pPr>
        <w:pStyle w:val="ListParagraph"/>
        <w:numPr>
          <w:ilvl w:val="0"/>
          <w:numId w:val="43"/>
        </w:numPr>
      </w:pPr>
      <w:r>
        <w:t>SHA Editorial Team:</w:t>
      </w:r>
    </w:p>
    <w:p w14:paraId="2494587B" w14:textId="0BB4FBD5" w:rsidR="00EE21C4" w:rsidRPr="00EE21C4" w:rsidRDefault="00EE21C4" w:rsidP="00926EB3">
      <w:pPr>
        <w:pStyle w:val="ListParagraph"/>
        <w:numPr>
          <w:ilvl w:val="1"/>
          <w:numId w:val="43"/>
        </w:numPr>
      </w:pPr>
      <w:r w:rsidRPr="00EE21C4">
        <w:t>Reviewed full SHA report</w:t>
      </w:r>
      <w:r>
        <w:t>.</w:t>
      </w:r>
    </w:p>
    <w:p w14:paraId="79EEEA6C" w14:textId="4E17641F" w:rsidR="00EE21C4" w:rsidRDefault="00EE21C4" w:rsidP="00926EB3">
      <w:pPr>
        <w:pStyle w:val="ListParagraph"/>
        <w:numPr>
          <w:ilvl w:val="1"/>
          <w:numId w:val="43"/>
        </w:numPr>
      </w:pPr>
      <w:r w:rsidRPr="00EE21C4">
        <w:t>Provided feedback and recommendations to improve the overall quality of the report, including consistency, readability, and messaging</w:t>
      </w:r>
      <w:r>
        <w:t>.</w:t>
      </w:r>
    </w:p>
    <w:p w14:paraId="7131ACE4" w14:textId="06CEBF97" w:rsidR="00DC77AC" w:rsidRPr="00DC77AC" w:rsidRDefault="00DC77AC" w:rsidP="00DC77AC">
      <w:pPr>
        <w:pStyle w:val="Heading4"/>
        <w:rPr>
          <w:color w:val="FF0000"/>
        </w:rPr>
      </w:pPr>
    </w:p>
    <w:p w14:paraId="512C48C0" w14:textId="79BBD8FC" w:rsidR="00DC77AC" w:rsidRPr="00DC77AC" w:rsidRDefault="00DC77AC" w:rsidP="00DC77AC">
      <w:r w:rsidRPr="00DC77AC">
        <w:t xml:space="preserve">The committees established early on the need </w:t>
      </w:r>
      <w:r w:rsidR="00C82C60">
        <w:t>to focus</w:t>
      </w:r>
      <w:r w:rsidRPr="00DC77AC">
        <w:t xml:space="preserve"> on health equity and the social determinants of health. In recognition of the fact that 80% of an individual's health influences are those conditions in which people are born, grow, live, and work, the Population Health Framework was adopted to assist in the identification of drivers of health. The Population Health Framework is based on a conceptual model of population health that includes both Health Outcomes (length and quality of life) and Health Factors (determinants of health) (</w:t>
      </w:r>
      <w:r w:rsidRPr="00DC77AC">
        <w:rPr>
          <w:b/>
          <w:bCs/>
        </w:rPr>
        <w:t>See Figure 1.7</w:t>
      </w:r>
      <w:r w:rsidRPr="00DC77AC">
        <w:t>).</w:t>
      </w:r>
    </w:p>
    <w:p w14:paraId="1DCB27C2" w14:textId="77777777" w:rsidR="00DC77AC" w:rsidRDefault="00DC77AC" w:rsidP="00DC77AC">
      <w:pPr>
        <w:rPr>
          <w:b/>
          <w:bCs/>
        </w:rPr>
      </w:pPr>
    </w:p>
    <w:p w14:paraId="2AEFBDDA" w14:textId="7B2D8EC5" w:rsidR="00DC77AC" w:rsidRPr="00DC77AC" w:rsidRDefault="00DC77AC" w:rsidP="00DC77AC">
      <w:r w:rsidRPr="00DC77AC">
        <w:t>Population Health Framework:</w:t>
      </w:r>
    </w:p>
    <w:p w14:paraId="29EF998A" w14:textId="77777777" w:rsidR="00DC77AC" w:rsidRDefault="00DC77AC" w:rsidP="00DC77AC">
      <w:r w:rsidRPr="00DC77AC">
        <w:t xml:space="preserve">Health Outcomes include two sub-areas: </w:t>
      </w:r>
    </w:p>
    <w:p w14:paraId="7558E964" w14:textId="77777777" w:rsidR="00DC77AC" w:rsidRDefault="00DC77AC" w:rsidP="00926EB3">
      <w:pPr>
        <w:pStyle w:val="ListParagraph"/>
        <w:numPr>
          <w:ilvl w:val="0"/>
          <w:numId w:val="2"/>
        </w:numPr>
      </w:pPr>
      <w:r w:rsidRPr="00DC77AC">
        <w:t>Length of Life</w:t>
      </w:r>
    </w:p>
    <w:p w14:paraId="697E5F30" w14:textId="0383E0EF" w:rsidR="00DC77AC" w:rsidRPr="00DC77AC" w:rsidRDefault="00DC77AC" w:rsidP="00926EB3">
      <w:pPr>
        <w:pStyle w:val="ListParagraph"/>
        <w:numPr>
          <w:ilvl w:val="0"/>
          <w:numId w:val="2"/>
        </w:numPr>
      </w:pPr>
      <w:r w:rsidRPr="00DC77AC">
        <w:t>Quality of Life</w:t>
      </w:r>
    </w:p>
    <w:p w14:paraId="3016A402" w14:textId="77777777" w:rsidR="00DC77AC" w:rsidRPr="00DC77AC" w:rsidRDefault="00DC77AC" w:rsidP="00DC77AC"/>
    <w:p w14:paraId="6F9EA5F5" w14:textId="77777777" w:rsidR="00DC77AC" w:rsidRPr="00DC77AC" w:rsidRDefault="00DC77AC" w:rsidP="00DC77AC">
      <w:r w:rsidRPr="00DC77AC">
        <w:t xml:space="preserve">Health Factors include four sub-areas: </w:t>
      </w:r>
    </w:p>
    <w:p w14:paraId="5C115E28" w14:textId="77777777" w:rsidR="00DC77AC" w:rsidRDefault="00DC77AC" w:rsidP="00926EB3">
      <w:pPr>
        <w:pStyle w:val="ListParagraph"/>
        <w:numPr>
          <w:ilvl w:val="0"/>
          <w:numId w:val="2"/>
        </w:numPr>
      </w:pPr>
      <w:r w:rsidRPr="00DC77AC">
        <w:t>Health Behaviors</w:t>
      </w:r>
    </w:p>
    <w:p w14:paraId="52C8CF8F" w14:textId="77777777" w:rsidR="00DC77AC" w:rsidRDefault="00DC77AC" w:rsidP="00926EB3">
      <w:pPr>
        <w:pStyle w:val="ListParagraph"/>
        <w:numPr>
          <w:ilvl w:val="0"/>
          <w:numId w:val="2"/>
        </w:numPr>
      </w:pPr>
      <w:r w:rsidRPr="00DC77AC">
        <w:t>Clinical Care</w:t>
      </w:r>
    </w:p>
    <w:p w14:paraId="6CF800B9" w14:textId="77777777" w:rsidR="00DC77AC" w:rsidRDefault="00DC77AC" w:rsidP="00926EB3">
      <w:pPr>
        <w:pStyle w:val="ListParagraph"/>
        <w:numPr>
          <w:ilvl w:val="0"/>
          <w:numId w:val="2"/>
        </w:numPr>
      </w:pPr>
      <w:r w:rsidRPr="00DC77AC">
        <w:t>Social and Economic Factors</w:t>
      </w:r>
    </w:p>
    <w:p w14:paraId="201A057F" w14:textId="683FA709" w:rsidR="00DC77AC" w:rsidRPr="00DC77AC" w:rsidRDefault="00DC77AC" w:rsidP="00926EB3">
      <w:pPr>
        <w:pStyle w:val="ListParagraph"/>
        <w:numPr>
          <w:ilvl w:val="0"/>
          <w:numId w:val="2"/>
        </w:numPr>
      </w:pPr>
      <w:r w:rsidRPr="00DC77AC">
        <w:t>Physical Environmen</w:t>
      </w:r>
      <w:r>
        <w:t>t</w:t>
      </w:r>
    </w:p>
    <w:p w14:paraId="07CCD226" w14:textId="77777777" w:rsidR="00DC77AC" w:rsidRDefault="00DC77AC" w:rsidP="00DC77AC"/>
    <w:p w14:paraId="21519A2D" w14:textId="57A6C070" w:rsidR="00DC77AC" w:rsidRDefault="00DC77AC" w:rsidP="00DC77AC">
      <w:pPr>
        <w:rPr>
          <w:b/>
          <w:bCs/>
        </w:rPr>
      </w:pPr>
      <w:r w:rsidRPr="00DC77AC">
        <w:t xml:space="preserve">The model illustrates a broad vision of population health, helping to outline all the factors impacting health and where to </w:t>
      </w:r>
      <w:proofErr w:type="gramStart"/>
      <w:r w:rsidRPr="00DC77AC">
        <w:t>take action</w:t>
      </w:r>
      <w:proofErr w:type="gramEnd"/>
      <w:r w:rsidRPr="00DC77AC">
        <w:t xml:space="preserve"> (</w:t>
      </w:r>
      <w:r w:rsidRPr="00DC77AC">
        <w:rPr>
          <w:b/>
          <w:bCs/>
        </w:rPr>
        <w:t>Figure 1.7</w:t>
      </w:r>
      <w:r w:rsidRPr="00DC77AC">
        <w:t>). With the framework guiding selection, as well as data availability, trends, and representation, key indicators were chosen and assessed to highlight the impact on health throughout the life course.</w:t>
      </w:r>
    </w:p>
    <w:p w14:paraId="7AD007FA" w14:textId="77777777" w:rsidR="00DC77AC" w:rsidRPr="00DC77AC" w:rsidRDefault="00DC77AC" w:rsidP="00DC77AC">
      <w:pPr>
        <w:rPr>
          <w:b/>
          <w:bCs/>
        </w:rPr>
      </w:pPr>
    </w:p>
    <w:p w14:paraId="2AB1FD25" w14:textId="14D6BF30" w:rsidR="00DC77AC" w:rsidRDefault="00DC77AC" w:rsidP="00EE21C4">
      <w:pPr>
        <w:pStyle w:val="Heading4"/>
      </w:pPr>
      <w:bookmarkStart w:id="15" w:name="_Toc162266990"/>
      <w:r w:rsidRPr="00EE21C4">
        <w:t>Figure 1.7</w:t>
      </w:r>
      <w:r w:rsidR="00EE21C4">
        <w:t>: Population Health Framework.</w:t>
      </w:r>
      <w:bookmarkEnd w:id="15"/>
    </w:p>
    <w:p w14:paraId="2B99B74D" w14:textId="1EDA7F52" w:rsidR="00EE21C4" w:rsidRDefault="00EE21C4" w:rsidP="00926EB3">
      <w:pPr>
        <w:pStyle w:val="ListParagraph"/>
        <w:numPr>
          <w:ilvl w:val="0"/>
          <w:numId w:val="45"/>
        </w:numPr>
      </w:pPr>
      <w:r>
        <w:t>Policies and Programs affect Health Factors.</w:t>
      </w:r>
    </w:p>
    <w:p w14:paraId="047C4BB0" w14:textId="2DA25035" w:rsidR="00EE21C4" w:rsidRDefault="00EE21C4" w:rsidP="00926EB3">
      <w:pPr>
        <w:pStyle w:val="ListParagraph"/>
        <w:numPr>
          <w:ilvl w:val="0"/>
          <w:numId w:val="45"/>
        </w:numPr>
      </w:pPr>
      <w:r>
        <w:t>Health Factors include:</w:t>
      </w:r>
    </w:p>
    <w:p w14:paraId="5C72BC3E" w14:textId="284521EC" w:rsidR="00EE21C4" w:rsidRDefault="00EE21C4" w:rsidP="00926EB3">
      <w:pPr>
        <w:pStyle w:val="ListParagraph"/>
        <w:numPr>
          <w:ilvl w:val="1"/>
          <w:numId w:val="45"/>
        </w:numPr>
      </w:pPr>
      <w:r>
        <w:t>Health Behaviors (30%) include:</w:t>
      </w:r>
    </w:p>
    <w:p w14:paraId="51622A81" w14:textId="6F526C05" w:rsidR="00EE21C4" w:rsidRDefault="00EE21C4" w:rsidP="00926EB3">
      <w:pPr>
        <w:pStyle w:val="ListParagraph"/>
        <w:numPr>
          <w:ilvl w:val="2"/>
          <w:numId w:val="45"/>
        </w:numPr>
      </w:pPr>
      <w:r>
        <w:t>Tobacco Use.</w:t>
      </w:r>
    </w:p>
    <w:p w14:paraId="4B110AD4" w14:textId="71391B71" w:rsidR="00EE21C4" w:rsidRDefault="00EE21C4" w:rsidP="00926EB3">
      <w:pPr>
        <w:pStyle w:val="ListParagraph"/>
        <w:numPr>
          <w:ilvl w:val="2"/>
          <w:numId w:val="45"/>
        </w:numPr>
      </w:pPr>
      <w:r>
        <w:t xml:space="preserve">Diet and Exercise. </w:t>
      </w:r>
    </w:p>
    <w:p w14:paraId="18302CA4" w14:textId="478B19C9" w:rsidR="00EE21C4" w:rsidRDefault="00EE21C4" w:rsidP="00926EB3">
      <w:pPr>
        <w:pStyle w:val="ListParagraph"/>
        <w:numPr>
          <w:ilvl w:val="2"/>
          <w:numId w:val="45"/>
        </w:numPr>
      </w:pPr>
      <w:r>
        <w:t>Alcohol and Drug Use.</w:t>
      </w:r>
    </w:p>
    <w:p w14:paraId="5FC9BCA5" w14:textId="4CA14CE6" w:rsidR="00EE21C4" w:rsidRDefault="00EE21C4" w:rsidP="00926EB3">
      <w:pPr>
        <w:pStyle w:val="ListParagraph"/>
        <w:numPr>
          <w:ilvl w:val="2"/>
          <w:numId w:val="45"/>
        </w:numPr>
      </w:pPr>
      <w:r>
        <w:t>Sexual Activity.</w:t>
      </w:r>
    </w:p>
    <w:p w14:paraId="73865F35" w14:textId="0C76339B" w:rsidR="00EE21C4" w:rsidRDefault="00EE21C4" w:rsidP="00926EB3">
      <w:pPr>
        <w:pStyle w:val="ListParagraph"/>
        <w:numPr>
          <w:ilvl w:val="1"/>
          <w:numId w:val="45"/>
        </w:numPr>
      </w:pPr>
      <w:r>
        <w:t>Clinical Care (20%) include:</w:t>
      </w:r>
    </w:p>
    <w:p w14:paraId="64822435" w14:textId="24CE459B" w:rsidR="00EE21C4" w:rsidRDefault="00EE21C4" w:rsidP="00926EB3">
      <w:pPr>
        <w:pStyle w:val="ListParagraph"/>
        <w:numPr>
          <w:ilvl w:val="2"/>
          <w:numId w:val="45"/>
        </w:numPr>
      </w:pPr>
      <w:r>
        <w:t>Access to Care.</w:t>
      </w:r>
    </w:p>
    <w:p w14:paraId="7722CCFD" w14:textId="1473CFF0" w:rsidR="00EE21C4" w:rsidRDefault="00EE21C4" w:rsidP="00926EB3">
      <w:pPr>
        <w:pStyle w:val="ListParagraph"/>
        <w:numPr>
          <w:ilvl w:val="2"/>
          <w:numId w:val="45"/>
        </w:numPr>
      </w:pPr>
      <w:r>
        <w:t>Quality of Care.</w:t>
      </w:r>
    </w:p>
    <w:p w14:paraId="382C0DC3" w14:textId="731C7F9B" w:rsidR="00EE21C4" w:rsidRDefault="00EE21C4" w:rsidP="00926EB3">
      <w:pPr>
        <w:pStyle w:val="ListParagraph"/>
        <w:numPr>
          <w:ilvl w:val="1"/>
          <w:numId w:val="45"/>
        </w:numPr>
      </w:pPr>
      <w:r>
        <w:t>Social and Economic Factors (40%) include:</w:t>
      </w:r>
    </w:p>
    <w:p w14:paraId="5DFB4D7E" w14:textId="7973B9B4" w:rsidR="00EE21C4" w:rsidRDefault="00EE21C4" w:rsidP="00926EB3">
      <w:pPr>
        <w:pStyle w:val="ListParagraph"/>
        <w:numPr>
          <w:ilvl w:val="2"/>
          <w:numId w:val="45"/>
        </w:numPr>
      </w:pPr>
      <w:r>
        <w:t>Education.</w:t>
      </w:r>
    </w:p>
    <w:p w14:paraId="36BD753F" w14:textId="577E7F05" w:rsidR="00EE21C4" w:rsidRDefault="00EE21C4" w:rsidP="00926EB3">
      <w:pPr>
        <w:pStyle w:val="ListParagraph"/>
        <w:numPr>
          <w:ilvl w:val="2"/>
          <w:numId w:val="45"/>
        </w:numPr>
      </w:pPr>
      <w:r>
        <w:t>Employment.</w:t>
      </w:r>
    </w:p>
    <w:p w14:paraId="4D4E2EC5" w14:textId="49805E9D" w:rsidR="00EE21C4" w:rsidRDefault="00EE21C4" w:rsidP="00926EB3">
      <w:pPr>
        <w:pStyle w:val="ListParagraph"/>
        <w:numPr>
          <w:ilvl w:val="2"/>
          <w:numId w:val="45"/>
        </w:numPr>
      </w:pPr>
      <w:r>
        <w:t>Income.</w:t>
      </w:r>
    </w:p>
    <w:p w14:paraId="7C507FF9" w14:textId="734C94A2" w:rsidR="00EE21C4" w:rsidRDefault="00EE21C4" w:rsidP="00926EB3">
      <w:pPr>
        <w:pStyle w:val="ListParagraph"/>
        <w:numPr>
          <w:ilvl w:val="2"/>
          <w:numId w:val="45"/>
        </w:numPr>
      </w:pPr>
      <w:r>
        <w:t>Family and Social Support.</w:t>
      </w:r>
    </w:p>
    <w:p w14:paraId="79DBC89C" w14:textId="64F87F35" w:rsidR="00EE21C4" w:rsidRDefault="00EE21C4" w:rsidP="00926EB3">
      <w:pPr>
        <w:pStyle w:val="ListParagraph"/>
        <w:numPr>
          <w:ilvl w:val="2"/>
          <w:numId w:val="45"/>
        </w:numPr>
      </w:pPr>
      <w:r>
        <w:t>Community Safety.</w:t>
      </w:r>
    </w:p>
    <w:p w14:paraId="0B394B53" w14:textId="78D324E2" w:rsidR="00EE21C4" w:rsidRDefault="00EE21C4" w:rsidP="00926EB3">
      <w:pPr>
        <w:pStyle w:val="ListParagraph"/>
        <w:numPr>
          <w:ilvl w:val="1"/>
          <w:numId w:val="45"/>
        </w:numPr>
      </w:pPr>
      <w:r>
        <w:t>Physical Environment (10%) include:</w:t>
      </w:r>
    </w:p>
    <w:p w14:paraId="0CEF9AC2" w14:textId="7C659FDA" w:rsidR="00EE21C4" w:rsidRDefault="00EE21C4" w:rsidP="00926EB3">
      <w:pPr>
        <w:pStyle w:val="ListParagraph"/>
        <w:numPr>
          <w:ilvl w:val="2"/>
          <w:numId w:val="45"/>
        </w:numPr>
      </w:pPr>
      <w:r>
        <w:t xml:space="preserve">Air and Water Quality. </w:t>
      </w:r>
    </w:p>
    <w:p w14:paraId="14A3F7D8" w14:textId="1C557892" w:rsidR="00EE21C4" w:rsidRDefault="00EE21C4" w:rsidP="00926EB3">
      <w:pPr>
        <w:pStyle w:val="ListParagraph"/>
        <w:numPr>
          <w:ilvl w:val="2"/>
          <w:numId w:val="45"/>
        </w:numPr>
      </w:pPr>
      <w:r>
        <w:t>Housing and Transit.</w:t>
      </w:r>
    </w:p>
    <w:p w14:paraId="78DFFB2F" w14:textId="116CB87C" w:rsidR="00EE21C4" w:rsidRDefault="00EE21C4" w:rsidP="00926EB3">
      <w:pPr>
        <w:pStyle w:val="ListParagraph"/>
        <w:numPr>
          <w:ilvl w:val="0"/>
          <w:numId w:val="45"/>
        </w:numPr>
      </w:pPr>
      <w:r>
        <w:t>Health Factors affect Health Outcomes.</w:t>
      </w:r>
    </w:p>
    <w:p w14:paraId="57F49D3A" w14:textId="461FB99C" w:rsidR="00EE21C4" w:rsidRDefault="00EE21C4" w:rsidP="00926EB3">
      <w:pPr>
        <w:pStyle w:val="ListParagraph"/>
        <w:numPr>
          <w:ilvl w:val="0"/>
          <w:numId w:val="45"/>
        </w:numPr>
      </w:pPr>
      <w:r>
        <w:t>Health Outcomes include:</w:t>
      </w:r>
    </w:p>
    <w:p w14:paraId="5B2BD1B3" w14:textId="7394FF59" w:rsidR="00EE21C4" w:rsidRDefault="00EE21C4" w:rsidP="00926EB3">
      <w:pPr>
        <w:pStyle w:val="ListParagraph"/>
        <w:numPr>
          <w:ilvl w:val="1"/>
          <w:numId w:val="45"/>
        </w:numPr>
      </w:pPr>
      <w:r>
        <w:t>Length of Life (50%).</w:t>
      </w:r>
    </w:p>
    <w:p w14:paraId="5C48BEDD" w14:textId="48D8EE96" w:rsidR="00EE21C4" w:rsidRPr="00EE21C4" w:rsidRDefault="00EE21C4" w:rsidP="00926EB3">
      <w:pPr>
        <w:pStyle w:val="ListParagraph"/>
        <w:numPr>
          <w:ilvl w:val="1"/>
          <w:numId w:val="45"/>
        </w:numPr>
      </w:pPr>
      <w:r>
        <w:t xml:space="preserve">Quality of Life (50%). </w:t>
      </w:r>
    </w:p>
    <w:p w14:paraId="7489CFED" w14:textId="77777777" w:rsidR="00DC77AC" w:rsidRDefault="00DC77AC" w:rsidP="00DC77AC"/>
    <w:p w14:paraId="1D694055" w14:textId="21848423" w:rsidR="00DC77AC" w:rsidRPr="00DC77AC" w:rsidRDefault="00DC77AC" w:rsidP="00DC77AC">
      <w:pPr>
        <w:pStyle w:val="Heading4"/>
      </w:pPr>
      <w:bookmarkStart w:id="16" w:name="_Toc162266991"/>
      <w:r w:rsidRPr="00DC77AC">
        <w:t>State Health Improvement Plan</w:t>
      </w:r>
      <w:bookmarkEnd w:id="16"/>
    </w:p>
    <w:p w14:paraId="46947CB5" w14:textId="77777777" w:rsidR="00DC77AC" w:rsidRDefault="00DC77AC" w:rsidP="00DC77AC">
      <w:r w:rsidRPr="00DC77AC">
        <w:t>The SHIP is a strategic plan formed through a collaborative process that identifies health improvement priorities to be addressed over a period of five years. The 2024 SHIP methodology will be modeled after a Results-Based Accountability (RBA) framework. RBA is a data-driven decision-making process to help our state and communities move from talking about problems to taking action to solve them. The framework focuses on results by analyzing the quality and effectiveness of services being offered across the state using three simple questions:</w:t>
      </w:r>
    </w:p>
    <w:p w14:paraId="73A12255" w14:textId="77777777" w:rsidR="00DC77AC" w:rsidRDefault="00DC77AC" w:rsidP="00926EB3">
      <w:pPr>
        <w:pStyle w:val="ListParagraph"/>
        <w:numPr>
          <w:ilvl w:val="0"/>
          <w:numId w:val="4"/>
        </w:numPr>
      </w:pPr>
      <w:r w:rsidRPr="00DC77AC">
        <w:t>How much was done?</w:t>
      </w:r>
    </w:p>
    <w:p w14:paraId="5F01E13F" w14:textId="77777777" w:rsidR="00DC77AC" w:rsidRDefault="00DC77AC" w:rsidP="00926EB3">
      <w:pPr>
        <w:pStyle w:val="ListParagraph"/>
        <w:numPr>
          <w:ilvl w:val="0"/>
          <w:numId w:val="4"/>
        </w:numPr>
      </w:pPr>
      <w:r w:rsidRPr="00DC77AC">
        <w:t>How well was it done?</w:t>
      </w:r>
    </w:p>
    <w:p w14:paraId="40E1B420" w14:textId="07AEFBE3" w:rsidR="00DC77AC" w:rsidRPr="00DC77AC" w:rsidRDefault="00DC77AC" w:rsidP="00926EB3">
      <w:pPr>
        <w:pStyle w:val="ListParagraph"/>
        <w:numPr>
          <w:ilvl w:val="0"/>
          <w:numId w:val="4"/>
        </w:numPr>
      </w:pPr>
      <w:r w:rsidRPr="00DC77AC">
        <w:t>Is anyone better off?</w:t>
      </w:r>
    </w:p>
    <w:p w14:paraId="2A95BBFE" w14:textId="77777777" w:rsidR="00DC77AC" w:rsidRDefault="00DC77AC" w:rsidP="00DC77AC"/>
    <w:p w14:paraId="2DC7F8FB" w14:textId="036A92FE" w:rsidR="00DC77AC" w:rsidRPr="00DC77AC" w:rsidRDefault="00DC77AC" w:rsidP="00DC77AC">
      <w:r w:rsidRPr="00DC77AC">
        <w:t xml:space="preserve">DHEC, in partnership with the Alliance, will lead this collaborative process with SC’s community organizers, public health leaders and stakeholders to identify the priority areas the state will monitor over the next five years. To monitor the success of the SHIP priorities, a web-based performance reporting software will be used. </w:t>
      </w:r>
    </w:p>
    <w:p w14:paraId="0969D08A" w14:textId="77777777" w:rsidR="00DC77AC" w:rsidRDefault="00DC77AC" w:rsidP="00DC77AC">
      <w:pPr>
        <w:rPr>
          <w:b/>
          <w:bCs/>
        </w:rPr>
      </w:pPr>
    </w:p>
    <w:p w14:paraId="6BA7885A" w14:textId="73CDEA16" w:rsidR="00DC77AC" w:rsidRPr="00DC77AC" w:rsidRDefault="00DC77AC" w:rsidP="00DC77AC">
      <w:pPr>
        <w:pStyle w:val="Heading4"/>
      </w:pPr>
      <w:bookmarkStart w:id="17" w:name="_Toc162266992"/>
      <w:r w:rsidRPr="00DC77AC">
        <w:t>Process</w:t>
      </w:r>
      <w:bookmarkEnd w:id="17"/>
    </w:p>
    <w:p w14:paraId="337D7C59" w14:textId="77777777" w:rsidR="00DC77AC" w:rsidRDefault="00DC77AC" w:rsidP="00DC77AC">
      <w:r w:rsidRPr="00DC77AC">
        <w:t>The SHA and SHIP process utilize diverse stakeholders and leaders from across SC. The SHA was completed between May 2022 and November 2023 with support from and collaboration with more than 60 organizations across the state. Under the leadership of DHEC, in partnership with the Alliance, state-level executive partners met to provide input on health indicator selection, to review data and to consider data sources. Additionally, community-level stakeholders were involved throughout the process to ensure alignment of state and local efforts. This assessment process addresses the lessons learned from the 2018 SHA. This included a focus on inclusivity by:</w:t>
      </w:r>
    </w:p>
    <w:p w14:paraId="6AACCDF8" w14:textId="77777777" w:rsidR="00DC77AC" w:rsidRDefault="00DC77AC" w:rsidP="00926EB3">
      <w:pPr>
        <w:pStyle w:val="ListParagraph"/>
        <w:numPr>
          <w:ilvl w:val="0"/>
          <w:numId w:val="5"/>
        </w:numPr>
      </w:pPr>
      <w:r w:rsidRPr="00DC77AC">
        <w:t>Increasing involvement and commitment from staff at all levels of DHEC</w:t>
      </w:r>
    </w:p>
    <w:p w14:paraId="31E1E257" w14:textId="77777777" w:rsidR="00DC77AC" w:rsidRDefault="00DC77AC" w:rsidP="00926EB3">
      <w:pPr>
        <w:pStyle w:val="ListParagraph"/>
        <w:numPr>
          <w:ilvl w:val="0"/>
          <w:numId w:val="5"/>
        </w:numPr>
      </w:pPr>
      <w:r w:rsidRPr="00DC77AC">
        <w:t>Strengthening Alliance and external partner collaboration and prioritizing multidisciplinary team engagement.</w:t>
      </w:r>
    </w:p>
    <w:p w14:paraId="56CAEE54" w14:textId="77777777" w:rsidR="00DC77AC" w:rsidRDefault="00DC77AC" w:rsidP="00926EB3">
      <w:pPr>
        <w:pStyle w:val="ListParagraph"/>
        <w:numPr>
          <w:ilvl w:val="0"/>
          <w:numId w:val="5"/>
        </w:numPr>
      </w:pPr>
      <w:r w:rsidRPr="00DC77AC">
        <w:t>Incorporating both quantitative and qualitative data sources.</w:t>
      </w:r>
    </w:p>
    <w:p w14:paraId="2856D317" w14:textId="41B4F940" w:rsidR="00DC77AC" w:rsidRPr="00DC77AC" w:rsidRDefault="00DC77AC" w:rsidP="00926EB3">
      <w:pPr>
        <w:pStyle w:val="ListParagraph"/>
        <w:numPr>
          <w:ilvl w:val="0"/>
          <w:numId w:val="5"/>
        </w:numPr>
      </w:pPr>
      <w:r w:rsidRPr="00DC77AC">
        <w:t>Developing a comprehensive list of data indicators to have a wider representation of state data, with a focus on health disparity and social determinants of health.</w:t>
      </w:r>
    </w:p>
    <w:p w14:paraId="4D58F862" w14:textId="77777777" w:rsidR="00DC77AC" w:rsidRDefault="00DC77AC" w:rsidP="00DC77AC">
      <w:pPr>
        <w:rPr>
          <w:b/>
          <w:bCs/>
        </w:rPr>
      </w:pPr>
    </w:p>
    <w:p w14:paraId="25ECE975" w14:textId="0036B20B" w:rsidR="00DC77AC" w:rsidRPr="00DC77AC" w:rsidRDefault="00DC77AC" w:rsidP="00DC77AC">
      <w:pPr>
        <w:pStyle w:val="Heading4"/>
      </w:pPr>
      <w:bookmarkStart w:id="18" w:name="_Toc162266993"/>
      <w:r w:rsidRPr="00DC77AC">
        <w:lastRenderedPageBreak/>
        <w:t>Structure of the State Health Assessment</w:t>
      </w:r>
      <w:bookmarkEnd w:id="18"/>
      <w:r w:rsidRPr="00DC77AC">
        <w:t xml:space="preserve"> </w:t>
      </w:r>
    </w:p>
    <w:p w14:paraId="0CC4FEA8" w14:textId="77777777" w:rsidR="00DC77AC" w:rsidRDefault="00DC77AC" w:rsidP="00DC77AC">
      <w:r w:rsidRPr="00DC77AC">
        <w:t xml:space="preserve">The SHA and SHIP documents serve as the cornerstone of planning for population health. Public health in SC is provided through a centralized system, and all regional and county health departments fall under the jurisdiction of the state. The chapters outlined throughout this document represent the populations served, including SC Demographics, Health Equity, Healthy Communities, Healthy Mothers and Infants, Healthy Children and Adolescents, Healthy Adults, and Healthy Aging. Selected indicators within chapters include background information and how each indicator affects population health. The data is disaggregated by various demographics — including race, ethnicity, gender, geographic location, and education — to capture health disparities across populations in SC. Data tables and figures are showcased to identify which populations are most affected, when and where issues are taking place, and how certain populations or areas are most affected. In the final chapter of the document, Capacity to Address Public Health Issues, the state’s ability to address health priorities and social determinants of health is highlighted.    </w:t>
      </w:r>
    </w:p>
    <w:p w14:paraId="5ED475D8" w14:textId="77777777" w:rsidR="00E50F24" w:rsidRPr="00DC77AC" w:rsidRDefault="00E50F24" w:rsidP="00DC77AC"/>
    <w:p w14:paraId="7C6A1BA4" w14:textId="77777777" w:rsidR="00DC77AC" w:rsidRPr="00DC77AC" w:rsidRDefault="00DC77AC" w:rsidP="00DC77AC">
      <w:pPr>
        <w:rPr>
          <w:b/>
          <w:bCs/>
        </w:rPr>
      </w:pPr>
      <w:r w:rsidRPr="00DC77AC">
        <w:t xml:space="preserve">This assessment brings together the voices of various sectors of the community and data from multiple sources to tell the story of SC’s health. It identifies disparities among populations, what resources are available to mitigate these issues, and provides a foundation to improve the health of all South Carolinians (see </w:t>
      </w:r>
      <w:r w:rsidRPr="00DC77AC">
        <w:rPr>
          <w:b/>
          <w:bCs/>
        </w:rPr>
        <w:t>Appendix F</w:t>
      </w:r>
      <w:r w:rsidRPr="00DC77AC">
        <w:t xml:space="preserve"> for a list of resources).  </w:t>
      </w:r>
    </w:p>
    <w:p w14:paraId="5F4CF8A9" w14:textId="77777777" w:rsidR="00DC77AC" w:rsidRPr="00DC77AC" w:rsidRDefault="00DC77AC" w:rsidP="00DC77AC"/>
    <w:p w14:paraId="65A98EBA" w14:textId="667916E4" w:rsidR="00DC77AC" w:rsidRDefault="00DC77AC" w:rsidP="00EE21C4">
      <w:pPr>
        <w:pStyle w:val="Heading4"/>
      </w:pPr>
      <w:bookmarkStart w:id="19" w:name="_Toc162266994"/>
      <w:r w:rsidRPr="00EE21C4">
        <w:t>Figure 1.8</w:t>
      </w:r>
      <w:r w:rsidR="00EE21C4" w:rsidRPr="00EE21C4">
        <w:t>: The SHA Process.</w:t>
      </w:r>
      <w:bookmarkEnd w:id="19"/>
    </w:p>
    <w:p w14:paraId="78336313" w14:textId="534B05FF" w:rsidR="00EE21C4" w:rsidRDefault="00EE21C4" w:rsidP="00EE21C4">
      <w:pPr>
        <w:pStyle w:val="Heading5"/>
      </w:pPr>
      <w:r>
        <w:t>SHA Kickoff Process.</w:t>
      </w:r>
    </w:p>
    <w:p w14:paraId="6C2387B7" w14:textId="2CE837C3" w:rsidR="00EE21C4" w:rsidRPr="00EE21C4" w:rsidRDefault="00EE21C4" w:rsidP="00926EB3">
      <w:pPr>
        <w:pStyle w:val="ListParagraph"/>
        <w:numPr>
          <w:ilvl w:val="0"/>
          <w:numId w:val="46"/>
        </w:numPr>
      </w:pPr>
      <w:r w:rsidRPr="00EE21C4">
        <w:t>Stakeholder &amp; partner engagement</w:t>
      </w:r>
      <w:r>
        <w:t>.</w:t>
      </w:r>
    </w:p>
    <w:p w14:paraId="16B79F12" w14:textId="63AFF1BB" w:rsidR="00EE21C4" w:rsidRDefault="00EE21C4" w:rsidP="00926EB3">
      <w:pPr>
        <w:pStyle w:val="ListParagraph"/>
        <w:numPr>
          <w:ilvl w:val="0"/>
          <w:numId w:val="46"/>
        </w:numPr>
      </w:pPr>
      <w:r w:rsidRPr="00EE21C4">
        <w:t>Formation of internal and external committees &amp; workgroups</w:t>
      </w:r>
      <w:r>
        <w:t>.</w:t>
      </w:r>
    </w:p>
    <w:p w14:paraId="03627747" w14:textId="1CE67ABA" w:rsidR="00EE21C4" w:rsidRDefault="00EE21C4" w:rsidP="00EE21C4">
      <w:pPr>
        <w:pStyle w:val="Heading5"/>
      </w:pPr>
      <w:r>
        <w:t>Data Compilation.</w:t>
      </w:r>
    </w:p>
    <w:p w14:paraId="6959885B" w14:textId="3381733F" w:rsidR="00EE21C4" w:rsidRPr="00EE21C4" w:rsidRDefault="00EE21C4" w:rsidP="00926EB3">
      <w:pPr>
        <w:pStyle w:val="ListParagraph"/>
        <w:numPr>
          <w:ilvl w:val="0"/>
          <w:numId w:val="47"/>
        </w:numPr>
      </w:pPr>
      <w:r w:rsidRPr="00EE21C4">
        <w:t>Health indicator inclusion</w:t>
      </w:r>
      <w:r>
        <w:t>.</w:t>
      </w:r>
    </w:p>
    <w:p w14:paraId="2AD0FA1B" w14:textId="082F0C42" w:rsidR="00EE21C4" w:rsidRPr="00EE21C4" w:rsidRDefault="00EE21C4" w:rsidP="00926EB3">
      <w:pPr>
        <w:pStyle w:val="ListParagraph"/>
        <w:numPr>
          <w:ilvl w:val="0"/>
          <w:numId w:val="47"/>
        </w:numPr>
      </w:pPr>
      <w:r w:rsidRPr="00EE21C4">
        <w:t>Data source listing</w:t>
      </w:r>
      <w:r>
        <w:t>.</w:t>
      </w:r>
    </w:p>
    <w:p w14:paraId="5D8BF032" w14:textId="0FF607B0" w:rsidR="00EE21C4" w:rsidRDefault="00EE21C4" w:rsidP="00926EB3">
      <w:pPr>
        <w:pStyle w:val="ListParagraph"/>
        <w:numPr>
          <w:ilvl w:val="0"/>
          <w:numId w:val="47"/>
        </w:numPr>
      </w:pPr>
      <w:r w:rsidRPr="00EE21C4">
        <w:t>Compilation &amp; analysis of quantitative data</w:t>
      </w:r>
      <w:r>
        <w:t>.</w:t>
      </w:r>
    </w:p>
    <w:p w14:paraId="287D056F" w14:textId="0AAD2D39" w:rsidR="00EE21C4" w:rsidRDefault="00EE21C4" w:rsidP="00EE21C4">
      <w:pPr>
        <w:pStyle w:val="Heading5"/>
      </w:pPr>
      <w:r>
        <w:t>Community Engagement.</w:t>
      </w:r>
    </w:p>
    <w:p w14:paraId="421B9D31" w14:textId="30AC929D" w:rsidR="00EE21C4" w:rsidRPr="00EE21C4" w:rsidRDefault="00EE21C4" w:rsidP="00926EB3">
      <w:pPr>
        <w:pStyle w:val="ListParagraph"/>
        <w:numPr>
          <w:ilvl w:val="0"/>
          <w:numId w:val="48"/>
        </w:numPr>
      </w:pPr>
      <w:r w:rsidRPr="00EE21C4">
        <w:t>Community listening sessions</w:t>
      </w:r>
      <w:r>
        <w:t>.</w:t>
      </w:r>
      <w:r w:rsidRPr="00EE21C4">
        <w:t xml:space="preserve"> </w:t>
      </w:r>
    </w:p>
    <w:p w14:paraId="386A3219" w14:textId="1F1C5390" w:rsidR="00EE21C4" w:rsidRPr="00EE21C4" w:rsidRDefault="00EE21C4" w:rsidP="00926EB3">
      <w:pPr>
        <w:pStyle w:val="ListParagraph"/>
        <w:numPr>
          <w:ilvl w:val="0"/>
          <w:numId w:val="48"/>
        </w:numPr>
      </w:pPr>
      <w:r w:rsidRPr="00EE21C4">
        <w:t>Stakeholder Interviews</w:t>
      </w:r>
      <w:r>
        <w:t>.</w:t>
      </w:r>
    </w:p>
    <w:p w14:paraId="0819D9E1" w14:textId="1CBE7E3A" w:rsidR="00EE21C4" w:rsidRDefault="00EE21C4" w:rsidP="00926EB3">
      <w:pPr>
        <w:pStyle w:val="ListParagraph"/>
        <w:numPr>
          <w:ilvl w:val="0"/>
          <w:numId w:val="48"/>
        </w:numPr>
      </w:pPr>
      <w:r w:rsidRPr="00EE21C4">
        <w:t>Forces of change assessment &amp; activity</w:t>
      </w:r>
      <w:r>
        <w:t>.</w:t>
      </w:r>
    </w:p>
    <w:p w14:paraId="5683E0F3" w14:textId="091DD014" w:rsidR="00EE21C4" w:rsidRDefault="00EE21C4" w:rsidP="00EE21C4">
      <w:pPr>
        <w:pStyle w:val="Heading5"/>
      </w:pPr>
      <w:r>
        <w:lastRenderedPageBreak/>
        <w:t>SHA Development.</w:t>
      </w:r>
    </w:p>
    <w:p w14:paraId="777C134E" w14:textId="5071A452" w:rsidR="00EE21C4" w:rsidRPr="00EE21C4" w:rsidRDefault="00EE21C4" w:rsidP="00926EB3">
      <w:pPr>
        <w:pStyle w:val="ListParagraph"/>
        <w:numPr>
          <w:ilvl w:val="0"/>
          <w:numId w:val="49"/>
        </w:numPr>
      </w:pPr>
      <w:r w:rsidRPr="00EE21C4">
        <w:t>Integration of qualitative and quantitative findings</w:t>
      </w:r>
      <w:r>
        <w:t>.</w:t>
      </w:r>
    </w:p>
    <w:p w14:paraId="1FB9FF44" w14:textId="10F04B0F" w:rsidR="00EE21C4" w:rsidRDefault="00EE21C4" w:rsidP="00926EB3">
      <w:pPr>
        <w:pStyle w:val="ListParagraph"/>
        <w:numPr>
          <w:ilvl w:val="0"/>
          <w:numId w:val="49"/>
        </w:numPr>
      </w:pPr>
      <w:r w:rsidRPr="00EE21C4">
        <w:t>Development of SHA Report</w:t>
      </w:r>
      <w:r>
        <w:t>.</w:t>
      </w:r>
    </w:p>
    <w:p w14:paraId="1B5E9ACC" w14:textId="2654E67D" w:rsidR="00EE21C4" w:rsidRDefault="00EE21C4" w:rsidP="00EE21C4">
      <w:pPr>
        <w:pStyle w:val="Heading5"/>
      </w:pPr>
      <w:r>
        <w:t>SHA Publication.</w:t>
      </w:r>
    </w:p>
    <w:p w14:paraId="0320DF23" w14:textId="0F55D661" w:rsidR="00EE21C4" w:rsidRPr="00EE21C4" w:rsidRDefault="00EE21C4" w:rsidP="00926EB3">
      <w:pPr>
        <w:pStyle w:val="ListParagraph"/>
        <w:numPr>
          <w:ilvl w:val="0"/>
          <w:numId w:val="50"/>
        </w:numPr>
      </w:pPr>
      <w:r w:rsidRPr="00EE21C4">
        <w:t>Share report with public health leaders and community partners</w:t>
      </w:r>
      <w:r>
        <w:t>.</w:t>
      </w:r>
    </w:p>
    <w:p w14:paraId="1F1CF98A" w14:textId="04F5D85E" w:rsidR="00EE21C4" w:rsidRPr="00EE21C4" w:rsidRDefault="00EE21C4" w:rsidP="00926EB3">
      <w:pPr>
        <w:pStyle w:val="ListParagraph"/>
        <w:numPr>
          <w:ilvl w:val="0"/>
          <w:numId w:val="50"/>
        </w:numPr>
      </w:pPr>
      <w:r w:rsidRPr="00EE21C4">
        <w:t>Obtain feedback from public comment and leaders</w:t>
      </w:r>
      <w:r>
        <w:t>.</w:t>
      </w:r>
    </w:p>
    <w:p w14:paraId="01C0327E" w14:textId="667A419F" w:rsidR="00EE21C4" w:rsidRPr="00EE21C4" w:rsidRDefault="00EE21C4" w:rsidP="00926EB3">
      <w:pPr>
        <w:pStyle w:val="ListParagraph"/>
        <w:numPr>
          <w:ilvl w:val="0"/>
          <w:numId w:val="50"/>
        </w:numPr>
      </w:pPr>
      <w:r w:rsidRPr="00EE21C4">
        <w:t>Publish the report</w:t>
      </w:r>
      <w:r>
        <w:t>.</w:t>
      </w:r>
    </w:p>
    <w:p w14:paraId="68B55B64" w14:textId="77777777" w:rsidR="00DC77AC" w:rsidRDefault="00DC77AC" w:rsidP="00DC77AC"/>
    <w:p w14:paraId="107FF91A" w14:textId="6952D28F" w:rsidR="00DC77AC" w:rsidRDefault="00DC77AC" w:rsidP="00DC77AC">
      <w:r>
        <w:t>Statistics in the preceding chapter were referenced from the following reports:</w:t>
      </w:r>
    </w:p>
    <w:p w14:paraId="4F17F32E" w14:textId="6DB6AE3C" w:rsidR="00DC77AC" w:rsidRDefault="00000000" w:rsidP="00926EB3">
      <w:pPr>
        <w:pStyle w:val="ListParagraph"/>
        <w:numPr>
          <w:ilvl w:val="0"/>
          <w:numId w:val="6"/>
        </w:numPr>
      </w:pPr>
      <w:hyperlink r:id="rId11" w:history="1">
        <w:r w:rsidR="00DC77AC" w:rsidRPr="00DC77AC">
          <w:rPr>
            <w:rStyle w:val="Hyperlink"/>
          </w:rPr>
          <w:t>Centers for Disease Control and Prevention 2023 report “10 essential public health services — public health infrastructure center.”</w:t>
        </w:r>
      </w:hyperlink>
    </w:p>
    <w:p w14:paraId="35102810" w14:textId="42541EDB" w:rsidR="00DC77AC" w:rsidRPr="00DC77AC" w:rsidRDefault="00000000" w:rsidP="00926EB3">
      <w:pPr>
        <w:pStyle w:val="ListParagraph"/>
        <w:numPr>
          <w:ilvl w:val="0"/>
          <w:numId w:val="6"/>
        </w:numPr>
      </w:pPr>
      <w:hyperlink r:id="rId12" w:history="1">
        <w:r w:rsidR="00DC77AC" w:rsidRPr="00DC77AC">
          <w:rPr>
            <w:rStyle w:val="Hyperlink"/>
          </w:rPr>
          <w:t>Healthy People 2023 report “Health Equity in Healthy People 2030.”</w:t>
        </w:r>
      </w:hyperlink>
    </w:p>
    <w:p w14:paraId="08722EE5" w14:textId="2DBD629F" w:rsidR="00DC77AC" w:rsidRDefault="00000000" w:rsidP="00926EB3">
      <w:pPr>
        <w:pStyle w:val="ListParagraph"/>
        <w:numPr>
          <w:ilvl w:val="0"/>
          <w:numId w:val="6"/>
        </w:numPr>
      </w:pPr>
      <w:hyperlink r:id="rId13" w:history="1">
        <w:r w:rsidR="00DC77AC" w:rsidRPr="00DC77AC">
          <w:rPr>
            <w:rStyle w:val="Hyperlink"/>
          </w:rPr>
          <w:t>The National Association of County and City Health Officials (NACCHO) framework “Mobilizing for action through planning and partnerships (MAPP).</w:t>
        </w:r>
      </w:hyperlink>
    </w:p>
    <w:p w14:paraId="2A656BD7" w14:textId="32175AA7" w:rsidR="00DC77AC" w:rsidRDefault="00000000" w:rsidP="00926EB3">
      <w:pPr>
        <w:pStyle w:val="ListParagraph"/>
        <w:numPr>
          <w:ilvl w:val="0"/>
          <w:numId w:val="6"/>
        </w:numPr>
      </w:pPr>
      <w:hyperlink r:id="rId14" w:history="1">
        <w:r w:rsidR="00DC77AC" w:rsidRPr="00DC77AC">
          <w:rPr>
            <w:rStyle w:val="Hyperlink"/>
          </w:rPr>
          <w:t>The University of Wisconsin Population Health Institute 2022 report “County Health Rankings &amp; Roadmaps.”</w:t>
        </w:r>
      </w:hyperlink>
    </w:p>
    <w:p w14:paraId="7270463B" w14:textId="4E02A6E5" w:rsidR="00DC77AC" w:rsidRDefault="00DC77AC">
      <w:r>
        <w:br w:type="page"/>
      </w:r>
    </w:p>
    <w:p w14:paraId="0BD00717" w14:textId="0EB80DC2" w:rsidR="00DC77AC" w:rsidRDefault="00DC77AC" w:rsidP="00DC77AC">
      <w:pPr>
        <w:pStyle w:val="Heading2"/>
      </w:pPr>
      <w:bookmarkStart w:id="20" w:name="_Toc162266995"/>
      <w:r>
        <w:lastRenderedPageBreak/>
        <w:t>Chapter 2: Methodology</w:t>
      </w:r>
      <w:bookmarkEnd w:id="20"/>
    </w:p>
    <w:p w14:paraId="4F60EC31" w14:textId="08BBB23E" w:rsidR="00DC77AC" w:rsidRPr="00DC77AC" w:rsidRDefault="00DC77AC" w:rsidP="00DC77AC">
      <w:pPr>
        <w:pStyle w:val="Heading3"/>
      </w:pPr>
      <w:bookmarkStart w:id="21" w:name="_Toc162266996"/>
      <w:r w:rsidRPr="00DC77AC">
        <w:t>Methodology</w:t>
      </w:r>
      <w:bookmarkEnd w:id="21"/>
    </w:p>
    <w:p w14:paraId="351DDEE8" w14:textId="77777777" w:rsidR="00DC77AC" w:rsidRPr="00DC77AC" w:rsidRDefault="00DC77AC" w:rsidP="00DC77AC">
      <w:r w:rsidRPr="00DC77AC">
        <w:t xml:space="preserve">In 2022, the South Carolina (SC) Department of Health and Environmental Control (DHEC) formed an internal workgroup to discuss the planning and implementation of the second SC State Health Assessment (SHA). This workgroup was comprised of individuals representing various bureaus in the agency. This multidisciplinary team met to review data sources from the first iteration of the SHA published in 2018 and identify new data sources to be considered in the second iteration of the SHA. The team also sought to determine a way to select and group indicators for the SHA, which is described in detail below. All information discussed in this working group was then shared in regular meetings with the Alliance, a statewide coalition representing diverse organizations across the state working to ensure all people in SC </w:t>
      </w:r>
      <w:proofErr w:type="gramStart"/>
      <w:r w:rsidRPr="00DC77AC">
        <w:t>have the opportunity to</w:t>
      </w:r>
      <w:proofErr w:type="gramEnd"/>
      <w:r w:rsidRPr="00DC77AC">
        <w:t xml:space="preserve"> have healthy bodies, minds and communities, and the Live Healthy SC Advisory Committee, which included both Alliance members and other relevant community leaders and experts from across the state.</w:t>
      </w:r>
    </w:p>
    <w:p w14:paraId="346791AD" w14:textId="77777777" w:rsidR="00DC77AC" w:rsidRDefault="00DC77AC" w:rsidP="00DC77AC"/>
    <w:p w14:paraId="55FD2879" w14:textId="09CA63E9" w:rsidR="00DC77AC" w:rsidRPr="00DC77AC" w:rsidRDefault="00DC77AC" w:rsidP="00DC77AC">
      <w:r w:rsidRPr="00DC77AC">
        <w:t>To determine which data indicators should be included in the SHA, a document was developed outlining the criteria for indicator selection (</w:t>
      </w:r>
      <w:r w:rsidRPr="00DC77AC">
        <w:rPr>
          <w:b/>
          <w:bCs/>
        </w:rPr>
        <w:t>Figure 2.1</w:t>
      </w:r>
      <w:r w:rsidRPr="00DC77AC">
        <w:t xml:space="preserve">). Ten criteria were determined and used to assess indicator availability. Data indicators needed to have a large magnitude, meaning the health issue in question impacted a large proportion of the population. The indicator also needed to be a serious issue impacting the state with high severity, such as high mortality, morbidity, disability, or significant pain and suffering. Data indicators also needed to have the ability to change with available resources, evidenced-based </w:t>
      </w:r>
      <w:proofErr w:type="gramStart"/>
      <w:r w:rsidRPr="00DC77AC">
        <w:t>interventions</w:t>
      </w:r>
      <w:proofErr w:type="gramEnd"/>
      <w:r w:rsidRPr="00DC77AC">
        <w:t xml:space="preserve"> and existing working groups. There was a large focus for indicators examining health equity. Indicators needed to measure issues that disproportionately impact population subgroups.</w:t>
      </w:r>
    </w:p>
    <w:p w14:paraId="1ED91A15" w14:textId="77777777" w:rsidR="00DC77AC" w:rsidRDefault="00DC77AC" w:rsidP="00DC77AC"/>
    <w:p w14:paraId="5471BDD6" w14:textId="22A13E20" w:rsidR="00DC77AC" w:rsidRPr="00DC77AC" w:rsidRDefault="00DC77AC" w:rsidP="00DC77AC">
      <w:r w:rsidRPr="00DC77AC">
        <w:t xml:space="preserve">Being able to stratify data sources by various population subgroups was crucial in determining key disparities in the state and identifying root causes or social determinants that affect multiple health issues. When selecting data sources and indicators it was necessary to have quality data sources available to measure and track the selected indicators. There was also a need for showing and tracking data trends to determine if the condition was improving or getting worse in the state and for various population groups. Having comparison data available was critical to ensure readers could see how the state was doing when compared to the </w:t>
      </w:r>
      <w:r w:rsidRPr="00DC77AC">
        <w:lastRenderedPageBreak/>
        <w:t>nation or other regions in the country and state. The Live Healthy SC Advisory Committee and DHEC also wanted to include as many Healthy People 2030 objectives as possible, to show if the state was meeting these key health goals. Healthy People has provided science-based 10-year national objectives for improving the health of all Americans since 1979. This program establishes benchmarks, monitors progress over time to encourage collaborations across communities and sectors and measures the impact of prevention activities. The indicators with an accompanying Healthy People 2030 goal are outlined in Appendix C. Finally, several data indicators included in the SHA would be selected as</w:t>
      </w:r>
      <w:r>
        <w:t xml:space="preserve"> </w:t>
      </w:r>
      <w:r w:rsidRPr="00DC77AC">
        <w:t xml:space="preserve">State Health Improvement Plan (SHIP) objectives, so having data at the county level that could be tracked to measure annual progress was imperative. </w:t>
      </w:r>
    </w:p>
    <w:p w14:paraId="5B003ED7" w14:textId="77777777" w:rsidR="00DC77AC" w:rsidRDefault="00DC77AC" w:rsidP="00DC77AC"/>
    <w:p w14:paraId="10DE7021" w14:textId="1F510DC4" w:rsidR="00DC77AC" w:rsidRDefault="00DC77AC" w:rsidP="00864DF2">
      <w:pPr>
        <w:pStyle w:val="Heading4"/>
      </w:pPr>
      <w:bookmarkStart w:id="22" w:name="_Toc162266997"/>
      <w:r w:rsidRPr="00864DF2">
        <w:t>Figure 2.1</w:t>
      </w:r>
      <w:r w:rsidR="00864DF2" w:rsidRPr="00864DF2">
        <w:t>: State Health Assessment Criteria.</w:t>
      </w:r>
      <w:bookmarkEnd w:id="22"/>
      <w:r w:rsidR="00864DF2" w:rsidRPr="00864DF2">
        <w:t xml:space="preserve"> </w:t>
      </w:r>
    </w:p>
    <w:p w14:paraId="29A5847D" w14:textId="54E2E266" w:rsidR="00864DF2" w:rsidRDefault="00864DF2" w:rsidP="00926EB3">
      <w:pPr>
        <w:pStyle w:val="ListParagraph"/>
        <w:numPr>
          <w:ilvl w:val="0"/>
          <w:numId w:val="51"/>
        </w:numPr>
      </w:pPr>
      <w:r>
        <w:t>Magnitude (size): Does the health indicator measure health issues that affect a large proportion of the population?</w:t>
      </w:r>
    </w:p>
    <w:p w14:paraId="5E7AA0FF" w14:textId="75E5BEAD" w:rsidR="00864DF2" w:rsidRDefault="00864DF2" w:rsidP="00926EB3">
      <w:pPr>
        <w:pStyle w:val="ListParagraph"/>
        <w:numPr>
          <w:ilvl w:val="0"/>
          <w:numId w:val="51"/>
        </w:numPr>
      </w:pPr>
      <w:r>
        <w:t>Seriousness: Does the health indicator reflect health issues with high severity, such as high mortality or morbidity rate, severe disability, or significant pain and suffering?</w:t>
      </w:r>
    </w:p>
    <w:p w14:paraId="646F43A9" w14:textId="74767ABB" w:rsidR="00864DF2" w:rsidRDefault="00864DF2" w:rsidP="00926EB3">
      <w:pPr>
        <w:pStyle w:val="ListParagraph"/>
        <w:numPr>
          <w:ilvl w:val="0"/>
          <w:numId w:val="51"/>
        </w:numPr>
      </w:pPr>
      <w:r>
        <w:t xml:space="preserve">Ability to Change (feasibility): Does the health indicator measure health issues that are feasible to change, </w:t>
      </w:r>
      <w:proofErr w:type="gramStart"/>
      <w:r>
        <w:t>taking into account</w:t>
      </w:r>
      <w:proofErr w:type="gramEnd"/>
      <w:r>
        <w:t xml:space="preserve"> resources, evidenced-based interventions, and existing groups working on it?</w:t>
      </w:r>
    </w:p>
    <w:p w14:paraId="1FD0BF55" w14:textId="0C47B429" w:rsidR="00864DF2" w:rsidRDefault="00864DF2" w:rsidP="00926EB3">
      <w:pPr>
        <w:pStyle w:val="ListParagraph"/>
        <w:numPr>
          <w:ilvl w:val="0"/>
          <w:numId w:val="51"/>
        </w:numPr>
      </w:pPr>
      <w:r>
        <w:t xml:space="preserve">Health Equity: Does the indicator measure </w:t>
      </w:r>
      <w:proofErr w:type="gramStart"/>
      <w:r>
        <w:t>issues</w:t>
      </w:r>
      <w:proofErr w:type="gramEnd"/>
      <w:r>
        <w:t xml:space="preserve"> that disproportionately affect population subgroups?</w:t>
      </w:r>
    </w:p>
    <w:p w14:paraId="1A82537E" w14:textId="77FEC536" w:rsidR="00864DF2" w:rsidRDefault="00864DF2" w:rsidP="00926EB3">
      <w:pPr>
        <w:pStyle w:val="ListParagraph"/>
        <w:numPr>
          <w:ilvl w:val="0"/>
          <w:numId w:val="51"/>
        </w:numPr>
      </w:pPr>
      <w:r>
        <w:t>Root Cause or Social Determinants that Affect Multiple Health Issues: Is the health indicator a measure of a social determinant that affects multiple health issues?</w:t>
      </w:r>
    </w:p>
    <w:p w14:paraId="1CDFB70D" w14:textId="0F24EC3C" w:rsidR="00864DF2" w:rsidRDefault="00864DF2" w:rsidP="00926EB3">
      <w:pPr>
        <w:pStyle w:val="ListParagraph"/>
        <w:numPr>
          <w:ilvl w:val="0"/>
          <w:numId w:val="51"/>
        </w:numPr>
      </w:pPr>
      <w:r>
        <w:t>Quality of the Data: Are there quality data available to measure and track the health indicator?</w:t>
      </w:r>
    </w:p>
    <w:p w14:paraId="7BCC47B0" w14:textId="5E83B9B6" w:rsidR="00864DF2" w:rsidRDefault="00864DF2" w:rsidP="00926EB3">
      <w:pPr>
        <w:pStyle w:val="ListParagraph"/>
        <w:numPr>
          <w:ilvl w:val="0"/>
          <w:numId w:val="51"/>
        </w:numPr>
      </w:pPr>
      <w:r>
        <w:t>Trend Data Available: Are there trend data available or is there an opportunity to track the health indicator over time?</w:t>
      </w:r>
    </w:p>
    <w:p w14:paraId="1883F820" w14:textId="77777777" w:rsidR="00864DF2" w:rsidRDefault="00864DF2" w:rsidP="00926EB3">
      <w:pPr>
        <w:pStyle w:val="ListParagraph"/>
        <w:numPr>
          <w:ilvl w:val="0"/>
          <w:numId w:val="51"/>
        </w:numPr>
      </w:pPr>
      <w:r>
        <w:t>Comparison Data Available: Does the indicator have data available for comparing with other states and/or comparing regions within the state?</w:t>
      </w:r>
    </w:p>
    <w:p w14:paraId="6AB967E4" w14:textId="6F6151C7" w:rsidR="00864DF2" w:rsidRDefault="00864DF2" w:rsidP="00926EB3">
      <w:pPr>
        <w:pStyle w:val="ListParagraph"/>
        <w:numPr>
          <w:ilvl w:val="0"/>
          <w:numId w:val="51"/>
        </w:numPr>
      </w:pPr>
      <w:r>
        <w:t>Healthy People 2030 objective?</w:t>
      </w:r>
    </w:p>
    <w:p w14:paraId="68315AB0" w14:textId="0F75A06D" w:rsidR="00864DF2" w:rsidRDefault="00864DF2" w:rsidP="00926EB3">
      <w:pPr>
        <w:pStyle w:val="ListParagraph"/>
        <w:numPr>
          <w:ilvl w:val="0"/>
          <w:numId w:val="51"/>
        </w:numPr>
      </w:pPr>
      <w:r>
        <w:t>Ship Objective: Does the indicator have data that can be tracked at the county-level to measure annual progress toward the ship goals?</w:t>
      </w:r>
    </w:p>
    <w:p w14:paraId="211E708A" w14:textId="3C553E29" w:rsidR="00864DF2" w:rsidRDefault="00864DF2" w:rsidP="00926EB3">
      <w:pPr>
        <w:pStyle w:val="ListParagraph"/>
        <w:numPr>
          <w:ilvl w:val="0"/>
          <w:numId w:val="51"/>
        </w:numPr>
      </w:pPr>
      <w:r>
        <w:t>Primary Data are collected first-hand through surveys, listening sessions, interviews, and observations.</w:t>
      </w:r>
    </w:p>
    <w:p w14:paraId="539F04A6" w14:textId="20AC5FD6" w:rsidR="00864DF2" w:rsidRDefault="00864DF2" w:rsidP="00926EB3">
      <w:pPr>
        <w:pStyle w:val="ListParagraph"/>
        <w:numPr>
          <w:ilvl w:val="0"/>
          <w:numId w:val="51"/>
        </w:numPr>
      </w:pPr>
      <w:r>
        <w:lastRenderedPageBreak/>
        <w:t>Secondary Data are collected by another entity or for another purpose.</w:t>
      </w:r>
    </w:p>
    <w:p w14:paraId="6D29BA52" w14:textId="053B1DFC" w:rsidR="00864DF2" w:rsidRPr="00864DF2" w:rsidRDefault="00864DF2" w:rsidP="00926EB3">
      <w:pPr>
        <w:pStyle w:val="ListParagraph"/>
        <w:numPr>
          <w:ilvl w:val="0"/>
          <w:numId w:val="51"/>
        </w:numPr>
      </w:pPr>
      <w:r>
        <w:t xml:space="preserve">Indicators are secondary data that have been analyzed and can be used to compare rates or trends of priority community health outcomes and determinant. </w:t>
      </w:r>
    </w:p>
    <w:p w14:paraId="6105F3AC" w14:textId="77777777" w:rsidR="00DC77AC" w:rsidRDefault="00DC77AC" w:rsidP="00DC77AC"/>
    <w:p w14:paraId="2A8C9362" w14:textId="05AD3023" w:rsidR="00DC77AC" w:rsidRPr="00DC77AC" w:rsidRDefault="00DC77AC" w:rsidP="00DC77AC">
      <w:r w:rsidRPr="00DC77AC">
        <w:t xml:space="preserve">Using the data and indicator criteria as a guide, 120+ indicators were recommended for inclusion in the SHA, an increase from the first iteration of the SHA which saw 92 data indicators. Potential internal (to DHEC) and external data sources were then identified for the recommended indicators. Data source and other reporting system recommendations included surveys (i.e., SC Behavioral Risk Factor Surveillance System </w:t>
      </w:r>
      <w:r w:rsidR="00C82C60">
        <w:t>[</w:t>
      </w:r>
      <w:r w:rsidRPr="00DC77AC">
        <w:t>BRFSS</w:t>
      </w:r>
      <w:r w:rsidR="00C82C60">
        <w:t>]</w:t>
      </w:r>
      <w:r w:rsidRPr="00DC77AC">
        <w:t xml:space="preserve">, Pregnancy Risk Assessment Monitoring System </w:t>
      </w:r>
      <w:r w:rsidR="00C82C60">
        <w:t>[</w:t>
      </w:r>
      <w:r w:rsidRPr="00DC77AC">
        <w:t>PRAMS</w:t>
      </w:r>
      <w:r w:rsidR="00C82C60">
        <w:t>]</w:t>
      </w:r>
      <w:r w:rsidRPr="00DC77AC">
        <w:t xml:space="preserve">, Youth Risk Behavioral Surveillance System </w:t>
      </w:r>
      <w:r w:rsidR="00C82C60">
        <w:t>[</w:t>
      </w:r>
      <w:r w:rsidRPr="00DC77AC">
        <w:t>YRBSS</w:t>
      </w:r>
      <w:r w:rsidR="00C82C60">
        <w:t>]</w:t>
      </w:r>
      <w:r w:rsidRPr="00DC77AC">
        <w:t xml:space="preserve">, etc.), registries (i.e., Cancer Registry, Lead, Vital Statistics, Birth Defects, etc.), and focus groups. These recommendations were continuously shared with a large DHEC team comprised of data experts and stewards throughout the agency as well as with the Alliance and the Data Advisory Team. During these meetings, additional data sources were identified and discussed. </w:t>
      </w:r>
    </w:p>
    <w:p w14:paraId="00BA7E3F" w14:textId="77777777" w:rsidR="00DC77AC" w:rsidRDefault="00DC77AC" w:rsidP="00DC77AC"/>
    <w:p w14:paraId="6DFEEBDE" w14:textId="255EAD1A" w:rsidR="00DC77AC" w:rsidRDefault="00DC77AC" w:rsidP="00DC77AC">
      <w:r w:rsidRPr="00DC77AC">
        <w:t xml:space="preserve">In total, over 55 data sources were identified for assessing the 120+ indicators highlighted in the 2023 SHA. Both primary and secondary data sources were used including surveys, vital statistics records, registries, claims/billing or hospitalization data, </w:t>
      </w:r>
      <w:proofErr w:type="gramStart"/>
      <w:r w:rsidRPr="00DC77AC">
        <w:t>census</w:t>
      </w:r>
      <w:proofErr w:type="gramEnd"/>
      <w:r w:rsidRPr="00DC77AC">
        <w:t xml:space="preserve"> and administrative/program data, and focus groups/listening sessions. Data were collected from a variety of organizations including public health, healthcare, law enforcement, housing, education, mental </w:t>
      </w:r>
      <w:proofErr w:type="gramStart"/>
      <w:r w:rsidRPr="00DC77AC">
        <w:t>health</w:t>
      </w:r>
      <w:proofErr w:type="gramEnd"/>
      <w:r w:rsidRPr="00DC77AC">
        <w:t xml:space="preserve"> and social services. A detailed list outlining all data sources in the SHA including a description, strengths and limitations is documented in</w:t>
      </w:r>
      <w:r w:rsidRPr="00DC77AC">
        <w:rPr>
          <w:b/>
          <w:bCs/>
        </w:rPr>
        <w:t xml:space="preserve"> Appendix E</w:t>
      </w:r>
      <w:r w:rsidRPr="00DC77AC">
        <w:t xml:space="preserve">. </w:t>
      </w:r>
    </w:p>
    <w:p w14:paraId="3C79BD44" w14:textId="77777777" w:rsidR="00C82C60" w:rsidRPr="00DC77AC" w:rsidRDefault="00C82C60" w:rsidP="00DC77AC"/>
    <w:p w14:paraId="67AB989C" w14:textId="781584A2" w:rsidR="00DC77AC" w:rsidRPr="00DC77AC" w:rsidRDefault="00DC77AC" w:rsidP="00DC77AC">
      <w:r w:rsidRPr="00DC77AC">
        <w:t xml:space="preserve">During internal and external planning sessions with the Alliance, it was recommended the SHA be organized by life course. The first iteration of the SHA was organized by topic area, </w:t>
      </w:r>
      <w:proofErr w:type="gramStart"/>
      <w:r w:rsidRPr="00DC77AC">
        <w:t>similar to</w:t>
      </w:r>
      <w:proofErr w:type="gramEnd"/>
      <w:r w:rsidRPr="00DC77AC">
        <w:t xml:space="preserve"> </w:t>
      </w:r>
      <w:r w:rsidR="00C82C60">
        <w:t>the way</w:t>
      </w:r>
      <w:r w:rsidRPr="00DC77AC">
        <w:t xml:space="preserve"> DHEC is organized. However, many organizations and working groups throughout the state are organized based on age of the residents they serve (i.e., SC Birth Outcomes Initiative, AARP, etc.). To make the document the most useful for the constituents DHEC and the Alliance serve, the life</w:t>
      </w:r>
      <w:r w:rsidR="00C82C60">
        <w:t>-</w:t>
      </w:r>
      <w:r w:rsidRPr="00DC77AC">
        <w:t xml:space="preserve">course model and approach was implemented. Four dedicated life-course chapters were created: Healthy Mothers and Infants, Healthy Children and Adolescents, Healthy Adults and Healthy Aging. Additional chapters were also created to highlight healthy communities in the state, the demographics of our </w:t>
      </w:r>
      <w:r w:rsidRPr="00DC77AC">
        <w:lastRenderedPageBreak/>
        <w:t xml:space="preserve">state, the organizations, agencies, and policies working </w:t>
      </w:r>
      <w:r w:rsidR="00C82C60">
        <w:t>to improve</w:t>
      </w:r>
      <w:r w:rsidRPr="00DC77AC">
        <w:t xml:space="preserve"> the health </w:t>
      </w:r>
      <w:r w:rsidR="00C82C60">
        <w:t>of</w:t>
      </w:r>
      <w:r w:rsidRPr="00DC77AC">
        <w:t xml:space="preserve"> South Carolinians, and a chapter dedicated to highlighting vulnerable and underrepresented population groups in the state. The data indicators and sources were then divided into their respective chapters. </w:t>
      </w:r>
    </w:p>
    <w:p w14:paraId="005DD30A" w14:textId="77777777" w:rsidR="00DC77AC" w:rsidRDefault="00DC77AC" w:rsidP="00DC77AC"/>
    <w:p w14:paraId="04337D52" w14:textId="77777777" w:rsidR="00DC77AC" w:rsidRDefault="00DC77AC" w:rsidP="00DC77AC">
      <w:r w:rsidRPr="00DC77AC">
        <w:t xml:space="preserve">Upon completing the various data planning meetings, chapter-specific workgroups were formed. These workgroups consisted of epidemiologists, data analysts and program staff who worked closely with the population groups and/or indicators in the respective chapters. Workgroups decided on data needed to populate the indicators represented throughout the SHA, requested, analyzed, visually depicted, and interpreted the data. </w:t>
      </w:r>
      <w:r w:rsidRPr="00DC77AC">
        <w:br/>
      </w:r>
    </w:p>
    <w:p w14:paraId="3D0A8757" w14:textId="465B7417" w:rsidR="00DC77AC" w:rsidRPr="00DC77AC" w:rsidRDefault="00DC77AC" w:rsidP="00DC77AC">
      <w:r w:rsidRPr="00DC77AC">
        <w:t xml:space="preserve">Crude, age-adjusted rates and/or weighted prevalence estimates were calculated for indicators. Both crude and age-adjusted rates were calculated using population estimates acquired from the National Center for Health Statistics (NCHS). When visualizing maps, quartiles were calculated using the data provided. This allowed for easier comparisons and interpretations. </w:t>
      </w:r>
    </w:p>
    <w:p w14:paraId="56F02D11" w14:textId="77777777" w:rsidR="00DC77AC" w:rsidRDefault="00DC77AC" w:rsidP="00DC77AC"/>
    <w:p w14:paraId="06D4580F" w14:textId="71F1A073" w:rsidR="00DC77AC" w:rsidRDefault="00DC77AC" w:rsidP="00DC77AC">
      <w:r w:rsidRPr="00DC77AC">
        <w:t xml:space="preserve">Prior to 2021, bridge-race population estimates were used. Bridged-race population estimates are estimates used to make multiple-race and single-race data collection systems sufficiently comparable to permit estimation and analysis of race-specific statistics. These estimates had been used to calculate birth and death rates for data year 2000 onward. However, in 2021 those estimates were archived and transitioned to single-race population estimates to align with data best practices and the current Office of Management and Budget (OMB) standards. The transition to single-race estimates follows the OMB standards change as well as the Census’s improvement to their collection of race and ethnicity data. Therefore, all population denominators using 2021 data are of single-race estimates, differing from the bridge-race estimates used for 2012 to 2020 data. This change is denoted in the footnotes of all graphics and figures. </w:t>
      </w:r>
    </w:p>
    <w:p w14:paraId="38C72A56" w14:textId="61F172F7" w:rsidR="00DC77AC" w:rsidRPr="00DC77AC" w:rsidRDefault="00DC77AC" w:rsidP="00DC77AC">
      <w:r w:rsidRPr="00DC77AC">
        <w:t>To align with Healthy People 2030, either CDC grouped or the NCHS grouped weights were used. CDC grouped weights were calculated using the same methodology as published in the 2001 NCHS document. The following variables were age-adjusted, and their accompanying adjustment distributions are outlined on (</w:t>
      </w:r>
      <w:r w:rsidRPr="00DC77AC">
        <w:rPr>
          <w:b/>
          <w:bCs/>
        </w:rPr>
        <w:t>Tables 2.1-2.5</w:t>
      </w:r>
      <w:r w:rsidRPr="00DC77AC">
        <w:t xml:space="preserve">). </w:t>
      </w:r>
    </w:p>
    <w:p w14:paraId="56C983BE" w14:textId="4BAFE887" w:rsidR="00DC77AC" w:rsidRPr="00DC77AC" w:rsidRDefault="00DC77AC" w:rsidP="00DC77AC"/>
    <w:p w14:paraId="3D70C753" w14:textId="77777777" w:rsidR="00DC77AC" w:rsidRPr="00DC77AC" w:rsidRDefault="00DC77AC" w:rsidP="00DC77AC">
      <w:pPr>
        <w:pStyle w:val="ListParagraph"/>
      </w:pPr>
    </w:p>
    <w:p w14:paraId="3E08B8D0" w14:textId="77777777" w:rsidR="00864DF2" w:rsidRDefault="00864DF2" w:rsidP="00864DF2">
      <w:pPr>
        <w:pStyle w:val="Heading4"/>
      </w:pPr>
      <w:bookmarkStart w:id="23" w:name="_Toc162266998"/>
      <w:r>
        <w:lastRenderedPageBreak/>
        <w:t>Table 2.1: Breast Cancer Screenings in the Past Two Years (Women, 50-74 years).</w:t>
      </w:r>
      <w:bookmarkEnd w:id="23"/>
    </w:p>
    <w:p w14:paraId="6FA6D0E3" w14:textId="77777777" w:rsidR="00864DF2" w:rsidRPr="00461CC0" w:rsidRDefault="00864DF2" w:rsidP="00864DF2">
      <w:pPr>
        <w:pStyle w:val="Heading5"/>
      </w:pPr>
      <w:r>
        <w:t xml:space="preserve">Using CDC Weights. </w:t>
      </w:r>
    </w:p>
    <w:tbl>
      <w:tblPr>
        <w:tblStyle w:val="TableGrid"/>
        <w:tblW w:w="0" w:type="auto"/>
        <w:tblLook w:val="04A0" w:firstRow="1" w:lastRow="0" w:firstColumn="1" w:lastColumn="0" w:noHBand="0" w:noVBand="1"/>
      </w:tblPr>
      <w:tblGrid>
        <w:gridCol w:w="4675"/>
        <w:gridCol w:w="4675"/>
      </w:tblGrid>
      <w:tr w:rsidR="00864DF2" w14:paraId="0A8794B3" w14:textId="77777777" w:rsidTr="001515D5">
        <w:tc>
          <w:tcPr>
            <w:tcW w:w="4675" w:type="dxa"/>
          </w:tcPr>
          <w:p w14:paraId="6DA87FAF" w14:textId="77777777" w:rsidR="00864DF2" w:rsidRDefault="00864DF2" w:rsidP="001515D5">
            <w:r>
              <w:t>Age Group</w:t>
            </w:r>
          </w:p>
        </w:tc>
        <w:tc>
          <w:tcPr>
            <w:tcW w:w="4675" w:type="dxa"/>
          </w:tcPr>
          <w:p w14:paraId="74375A14" w14:textId="77777777" w:rsidR="00864DF2" w:rsidRDefault="00864DF2" w:rsidP="001515D5">
            <w:r>
              <w:t>Weight</w:t>
            </w:r>
          </w:p>
        </w:tc>
      </w:tr>
      <w:tr w:rsidR="00864DF2" w14:paraId="6F2F8EF8" w14:textId="77777777" w:rsidTr="001515D5">
        <w:tc>
          <w:tcPr>
            <w:tcW w:w="4675" w:type="dxa"/>
          </w:tcPr>
          <w:p w14:paraId="0E604C01" w14:textId="77777777" w:rsidR="00864DF2" w:rsidRDefault="00864DF2" w:rsidP="001515D5">
            <w:r>
              <w:t>50-59</w:t>
            </w:r>
          </w:p>
        </w:tc>
        <w:tc>
          <w:tcPr>
            <w:tcW w:w="4675" w:type="dxa"/>
          </w:tcPr>
          <w:p w14:paraId="1F5085F3" w14:textId="77777777" w:rsidR="00864DF2" w:rsidRDefault="00864DF2" w:rsidP="001515D5">
            <w:r>
              <w:t>0.503095679</w:t>
            </w:r>
          </w:p>
        </w:tc>
      </w:tr>
      <w:tr w:rsidR="00864DF2" w14:paraId="6FE2E48E" w14:textId="77777777" w:rsidTr="001515D5">
        <w:tc>
          <w:tcPr>
            <w:tcW w:w="4675" w:type="dxa"/>
          </w:tcPr>
          <w:p w14:paraId="0E8CBC2E" w14:textId="77777777" w:rsidR="00864DF2" w:rsidRDefault="00864DF2" w:rsidP="001515D5">
            <w:r>
              <w:t>60-74</w:t>
            </w:r>
          </w:p>
        </w:tc>
        <w:tc>
          <w:tcPr>
            <w:tcW w:w="4675" w:type="dxa"/>
          </w:tcPr>
          <w:p w14:paraId="481BDC65" w14:textId="77777777" w:rsidR="00864DF2" w:rsidRDefault="00864DF2" w:rsidP="001515D5">
            <w:r>
              <w:t>0.496904321</w:t>
            </w:r>
          </w:p>
        </w:tc>
      </w:tr>
    </w:tbl>
    <w:p w14:paraId="6E6721EE" w14:textId="77777777" w:rsidR="00864DF2" w:rsidRDefault="00864DF2" w:rsidP="00864DF2">
      <w:pPr>
        <w:pStyle w:val="Heading4"/>
      </w:pPr>
      <w:bookmarkStart w:id="24" w:name="_Toc154569751"/>
      <w:bookmarkStart w:id="25" w:name="_Toc162266999"/>
      <w:r>
        <w:t>Table 2.2: Cervical Cancer Screenings in the Past Three Years (Women, 21-65 years).</w:t>
      </w:r>
      <w:bookmarkEnd w:id="24"/>
      <w:bookmarkEnd w:id="25"/>
      <w:r>
        <w:t xml:space="preserve"> </w:t>
      </w:r>
    </w:p>
    <w:p w14:paraId="058D9B87" w14:textId="77777777" w:rsidR="00864DF2" w:rsidRPr="007621EB" w:rsidRDefault="00864DF2" w:rsidP="00864DF2">
      <w:pPr>
        <w:pStyle w:val="Heading5"/>
      </w:pPr>
      <w:r>
        <w:t xml:space="preserve">Using CDC Weights. </w:t>
      </w:r>
    </w:p>
    <w:tbl>
      <w:tblPr>
        <w:tblStyle w:val="TableGrid"/>
        <w:tblW w:w="0" w:type="auto"/>
        <w:tblLook w:val="04A0" w:firstRow="1" w:lastRow="0" w:firstColumn="1" w:lastColumn="0" w:noHBand="0" w:noVBand="1"/>
      </w:tblPr>
      <w:tblGrid>
        <w:gridCol w:w="4675"/>
        <w:gridCol w:w="4675"/>
      </w:tblGrid>
      <w:tr w:rsidR="00864DF2" w14:paraId="1E07FAF7" w14:textId="77777777" w:rsidTr="001515D5">
        <w:tc>
          <w:tcPr>
            <w:tcW w:w="4675" w:type="dxa"/>
          </w:tcPr>
          <w:p w14:paraId="24944B75" w14:textId="77777777" w:rsidR="00864DF2" w:rsidRDefault="00864DF2" w:rsidP="001515D5">
            <w:r>
              <w:t>Age Group</w:t>
            </w:r>
          </w:p>
        </w:tc>
        <w:tc>
          <w:tcPr>
            <w:tcW w:w="4675" w:type="dxa"/>
          </w:tcPr>
          <w:p w14:paraId="681F90EE" w14:textId="77777777" w:rsidR="00864DF2" w:rsidRDefault="00864DF2" w:rsidP="001515D5">
            <w:r>
              <w:t>Weight</w:t>
            </w:r>
          </w:p>
        </w:tc>
      </w:tr>
      <w:tr w:rsidR="00864DF2" w14:paraId="477931BB" w14:textId="77777777" w:rsidTr="001515D5">
        <w:tc>
          <w:tcPr>
            <w:tcW w:w="4675" w:type="dxa"/>
          </w:tcPr>
          <w:p w14:paraId="33339CEA" w14:textId="77777777" w:rsidR="00864DF2" w:rsidRDefault="00864DF2" w:rsidP="001515D5">
            <w:r>
              <w:t>21-44</w:t>
            </w:r>
          </w:p>
        </w:tc>
        <w:tc>
          <w:tcPr>
            <w:tcW w:w="4675" w:type="dxa"/>
          </w:tcPr>
          <w:p w14:paraId="5E1785E9" w14:textId="77777777" w:rsidR="00864DF2" w:rsidRDefault="00864DF2" w:rsidP="001515D5">
            <w:r w:rsidRPr="007621EB">
              <w:t>0.597372335</w:t>
            </w:r>
          </w:p>
        </w:tc>
      </w:tr>
      <w:tr w:rsidR="00864DF2" w14:paraId="34E9A377" w14:textId="77777777" w:rsidTr="001515D5">
        <w:tc>
          <w:tcPr>
            <w:tcW w:w="4675" w:type="dxa"/>
          </w:tcPr>
          <w:p w14:paraId="0F75B6F7" w14:textId="77777777" w:rsidR="00864DF2" w:rsidRDefault="00864DF2" w:rsidP="001515D5">
            <w:r>
              <w:t>45-65</w:t>
            </w:r>
          </w:p>
        </w:tc>
        <w:tc>
          <w:tcPr>
            <w:tcW w:w="4675" w:type="dxa"/>
          </w:tcPr>
          <w:p w14:paraId="31F8E804" w14:textId="77777777" w:rsidR="00864DF2" w:rsidRDefault="00864DF2" w:rsidP="001515D5">
            <w:r w:rsidRPr="007621EB">
              <w:t>0.402627665</w:t>
            </w:r>
          </w:p>
        </w:tc>
      </w:tr>
    </w:tbl>
    <w:p w14:paraId="0230E70C" w14:textId="77777777" w:rsidR="00864DF2" w:rsidRDefault="00864DF2" w:rsidP="00864DF2">
      <w:pPr>
        <w:pStyle w:val="Heading4"/>
      </w:pPr>
      <w:bookmarkStart w:id="26" w:name="_Toc154569752"/>
      <w:bookmarkStart w:id="27" w:name="_Toc162267000"/>
      <w:r>
        <w:t>Table 2.3: Current Cigarette Smoker (18+).</w:t>
      </w:r>
      <w:bookmarkEnd w:id="26"/>
      <w:bookmarkEnd w:id="27"/>
      <w:r>
        <w:t xml:space="preserve"> </w:t>
      </w:r>
    </w:p>
    <w:p w14:paraId="291C7088" w14:textId="77777777" w:rsidR="00864DF2" w:rsidRPr="007621EB" w:rsidRDefault="00864DF2" w:rsidP="00864DF2">
      <w:pPr>
        <w:pStyle w:val="Heading5"/>
      </w:pPr>
      <w:r>
        <w:t xml:space="preserve">Using CDC Weights. </w:t>
      </w:r>
    </w:p>
    <w:tbl>
      <w:tblPr>
        <w:tblStyle w:val="TableGrid"/>
        <w:tblW w:w="0" w:type="auto"/>
        <w:tblLook w:val="04A0" w:firstRow="1" w:lastRow="0" w:firstColumn="1" w:lastColumn="0" w:noHBand="0" w:noVBand="1"/>
      </w:tblPr>
      <w:tblGrid>
        <w:gridCol w:w="4675"/>
        <w:gridCol w:w="4675"/>
      </w:tblGrid>
      <w:tr w:rsidR="00864DF2" w14:paraId="6BAEC97C" w14:textId="77777777" w:rsidTr="001515D5">
        <w:tc>
          <w:tcPr>
            <w:tcW w:w="4675" w:type="dxa"/>
          </w:tcPr>
          <w:p w14:paraId="4315DB96" w14:textId="77777777" w:rsidR="00864DF2" w:rsidRDefault="00864DF2" w:rsidP="001515D5">
            <w:r>
              <w:t>Age Group</w:t>
            </w:r>
          </w:p>
        </w:tc>
        <w:tc>
          <w:tcPr>
            <w:tcW w:w="4675" w:type="dxa"/>
          </w:tcPr>
          <w:p w14:paraId="3895F397" w14:textId="77777777" w:rsidR="00864DF2" w:rsidRDefault="00864DF2" w:rsidP="001515D5">
            <w:r>
              <w:t>Weight</w:t>
            </w:r>
          </w:p>
        </w:tc>
      </w:tr>
      <w:tr w:rsidR="00864DF2" w14:paraId="4CA0A92A" w14:textId="77777777" w:rsidTr="001515D5">
        <w:tc>
          <w:tcPr>
            <w:tcW w:w="4675" w:type="dxa"/>
          </w:tcPr>
          <w:p w14:paraId="2B748DE3" w14:textId="77777777" w:rsidR="00864DF2" w:rsidRDefault="00864DF2" w:rsidP="001515D5">
            <w:r>
              <w:t>18-44</w:t>
            </w:r>
          </w:p>
        </w:tc>
        <w:tc>
          <w:tcPr>
            <w:tcW w:w="4675" w:type="dxa"/>
          </w:tcPr>
          <w:p w14:paraId="31741043" w14:textId="77777777" w:rsidR="00864DF2" w:rsidRDefault="00864DF2" w:rsidP="001515D5">
            <w:r w:rsidRPr="007621EB">
              <w:t>0.530534557</w:t>
            </w:r>
          </w:p>
        </w:tc>
      </w:tr>
      <w:tr w:rsidR="00864DF2" w14:paraId="272CA2B2" w14:textId="77777777" w:rsidTr="001515D5">
        <w:tc>
          <w:tcPr>
            <w:tcW w:w="4675" w:type="dxa"/>
          </w:tcPr>
          <w:p w14:paraId="4A868D65" w14:textId="77777777" w:rsidR="00864DF2" w:rsidRDefault="00864DF2" w:rsidP="001515D5">
            <w:r>
              <w:t>45-64</w:t>
            </w:r>
          </w:p>
        </w:tc>
        <w:tc>
          <w:tcPr>
            <w:tcW w:w="4675" w:type="dxa"/>
          </w:tcPr>
          <w:p w14:paraId="26EB2D11" w14:textId="77777777" w:rsidR="00864DF2" w:rsidRDefault="00864DF2" w:rsidP="001515D5">
            <w:r w:rsidRPr="007621EB">
              <w:t>0.299194019</w:t>
            </w:r>
          </w:p>
        </w:tc>
      </w:tr>
      <w:tr w:rsidR="00864DF2" w14:paraId="50E5AA1B" w14:textId="77777777" w:rsidTr="001515D5">
        <w:tc>
          <w:tcPr>
            <w:tcW w:w="4675" w:type="dxa"/>
          </w:tcPr>
          <w:p w14:paraId="766A3F02" w14:textId="77777777" w:rsidR="00864DF2" w:rsidRDefault="00864DF2" w:rsidP="001515D5">
            <w:r>
              <w:t>65+</w:t>
            </w:r>
          </w:p>
        </w:tc>
        <w:tc>
          <w:tcPr>
            <w:tcW w:w="4675" w:type="dxa"/>
          </w:tcPr>
          <w:p w14:paraId="65002058" w14:textId="77777777" w:rsidR="00864DF2" w:rsidRPr="007621EB" w:rsidRDefault="00864DF2" w:rsidP="001515D5">
            <w:r w:rsidRPr="007621EB">
              <w:t>0.170271424</w:t>
            </w:r>
          </w:p>
        </w:tc>
      </w:tr>
    </w:tbl>
    <w:p w14:paraId="15BBBB5B" w14:textId="6C8E2180" w:rsidR="00864DF2" w:rsidRDefault="00864DF2" w:rsidP="00864DF2">
      <w:pPr>
        <w:pStyle w:val="Heading4"/>
      </w:pPr>
      <w:bookmarkStart w:id="28" w:name="_Toc154569753"/>
      <w:bookmarkStart w:id="29" w:name="_Toc162267001"/>
      <w:r>
        <w:t xml:space="preserve">Table 2.4: </w:t>
      </w:r>
      <w:r w:rsidRPr="007621EB">
        <w:t>Met at Least One US Preventive Services Task Force (USPSTF)</w:t>
      </w:r>
      <w:r>
        <w:t xml:space="preserve"> </w:t>
      </w:r>
      <w:r w:rsidRPr="007621EB">
        <w:t>Recommendation for Colorectal Cancer Screening</w:t>
      </w:r>
      <w:r>
        <w:t>.</w:t>
      </w:r>
      <w:bookmarkEnd w:id="28"/>
      <w:bookmarkEnd w:id="29"/>
    </w:p>
    <w:p w14:paraId="5E0F5AF6" w14:textId="77777777" w:rsidR="00864DF2" w:rsidRPr="007621EB" w:rsidRDefault="00864DF2" w:rsidP="00864DF2">
      <w:pPr>
        <w:pStyle w:val="Heading5"/>
      </w:pPr>
      <w:r>
        <w:t>Using CDC Weights.</w:t>
      </w:r>
    </w:p>
    <w:tbl>
      <w:tblPr>
        <w:tblStyle w:val="TableGrid"/>
        <w:tblW w:w="0" w:type="auto"/>
        <w:tblLook w:val="04A0" w:firstRow="1" w:lastRow="0" w:firstColumn="1" w:lastColumn="0" w:noHBand="0" w:noVBand="1"/>
      </w:tblPr>
      <w:tblGrid>
        <w:gridCol w:w="4675"/>
        <w:gridCol w:w="4675"/>
      </w:tblGrid>
      <w:tr w:rsidR="00864DF2" w14:paraId="05F93945" w14:textId="77777777" w:rsidTr="001515D5">
        <w:tc>
          <w:tcPr>
            <w:tcW w:w="4675" w:type="dxa"/>
          </w:tcPr>
          <w:p w14:paraId="0E218575" w14:textId="77777777" w:rsidR="00864DF2" w:rsidRDefault="00864DF2" w:rsidP="001515D5">
            <w:r>
              <w:t>Age Group</w:t>
            </w:r>
          </w:p>
        </w:tc>
        <w:tc>
          <w:tcPr>
            <w:tcW w:w="4675" w:type="dxa"/>
          </w:tcPr>
          <w:p w14:paraId="3709972C" w14:textId="77777777" w:rsidR="00864DF2" w:rsidRDefault="00864DF2" w:rsidP="001515D5">
            <w:r>
              <w:t>Weight</w:t>
            </w:r>
          </w:p>
        </w:tc>
      </w:tr>
      <w:tr w:rsidR="00864DF2" w14:paraId="112BCECD" w14:textId="77777777" w:rsidTr="001515D5">
        <w:tc>
          <w:tcPr>
            <w:tcW w:w="4675" w:type="dxa"/>
          </w:tcPr>
          <w:p w14:paraId="4516CE14" w14:textId="77777777" w:rsidR="00864DF2" w:rsidRDefault="00864DF2" w:rsidP="001515D5">
            <w:r>
              <w:t>50-64</w:t>
            </w:r>
          </w:p>
        </w:tc>
        <w:tc>
          <w:tcPr>
            <w:tcW w:w="4675" w:type="dxa"/>
          </w:tcPr>
          <w:p w14:paraId="16ECB015" w14:textId="77777777" w:rsidR="00864DF2" w:rsidRDefault="00864DF2" w:rsidP="001515D5">
            <w:r w:rsidRPr="007621EB">
              <w:t>0.677340307</w:t>
            </w:r>
          </w:p>
        </w:tc>
      </w:tr>
      <w:tr w:rsidR="00864DF2" w14:paraId="610E1089" w14:textId="77777777" w:rsidTr="001515D5">
        <w:tc>
          <w:tcPr>
            <w:tcW w:w="4675" w:type="dxa"/>
          </w:tcPr>
          <w:p w14:paraId="58A958A7" w14:textId="77777777" w:rsidR="00864DF2" w:rsidRDefault="00864DF2" w:rsidP="001515D5">
            <w:r>
              <w:t>65-75</w:t>
            </w:r>
          </w:p>
        </w:tc>
        <w:tc>
          <w:tcPr>
            <w:tcW w:w="4675" w:type="dxa"/>
          </w:tcPr>
          <w:p w14:paraId="73BAD1C3" w14:textId="77777777" w:rsidR="00864DF2" w:rsidRDefault="00864DF2" w:rsidP="001515D5">
            <w:r w:rsidRPr="007621EB">
              <w:t>0.322659693</w:t>
            </w:r>
          </w:p>
        </w:tc>
      </w:tr>
    </w:tbl>
    <w:p w14:paraId="739D4AC8" w14:textId="77777777" w:rsidR="00864DF2" w:rsidRDefault="00864DF2" w:rsidP="00864DF2">
      <w:pPr>
        <w:pStyle w:val="Heading4"/>
      </w:pPr>
      <w:bookmarkStart w:id="30" w:name="_Toc154569754"/>
      <w:bookmarkStart w:id="31" w:name="_Toc162267002"/>
      <w:r>
        <w:t>Table 2.5: Obesity (ages 20+).</w:t>
      </w:r>
      <w:bookmarkEnd w:id="30"/>
      <w:bookmarkEnd w:id="31"/>
    </w:p>
    <w:p w14:paraId="744AD3E3" w14:textId="77777777" w:rsidR="00864DF2" w:rsidRPr="007621EB" w:rsidRDefault="00864DF2" w:rsidP="00864DF2">
      <w:pPr>
        <w:pStyle w:val="Heading5"/>
      </w:pPr>
      <w:r>
        <w:t>Using CDC Weights.</w:t>
      </w:r>
    </w:p>
    <w:tbl>
      <w:tblPr>
        <w:tblStyle w:val="TableGrid"/>
        <w:tblW w:w="0" w:type="auto"/>
        <w:tblLook w:val="04A0" w:firstRow="1" w:lastRow="0" w:firstColumn="1" w:lastColumn="0" w:noHBand="0" w:noVBand="1"/>
      </w:tblPr>
      <w:tblGrid>
        <w:gridCol w:w="4675"/>
        <w:gridCol w:w="4675"/>
      </w:tblGrid>
      <w:tr w:rsidR="00864DF2" w14:paraId="173D1EFD" w14:textId="77777777" w:rsidTr="001515D5">
        <w:tc>
          <w:tcPr>
            <w:tcW w:w="4675" w:type="dxa"/>
          </w:tcPr>
          <w:p w14:paraId="75AFA79E" w14:textId="77777777" w:rsidR="00864DF2" w:rsidRDefault="00864DF2" w:rsidP="001515D5">
            <w:r>
              <w:t>Age Group</w:t>
            </w:r>
          </w:p>
        </w:tc>
        <w:tc>
          <w:tcPr>
            <w:tcW w:w="4675" w:type="dxa"/>
          </w:tcPr>
          <w:p w14:paraId="6EBE57D9" w14:textId="77777777" w:rsidR="00864DF2" w:rsidRDefault="00864DF2" w:rsidP="001515D5">
            <w:r>
              <w:t>Weight</w:t>
            </w:r>
          </w:p>
        </w:tc>
      </w:tr>
      <w:tr w:rsidR="00864DF2" w14:paraId="1EEAEAD5" w14:textId="77777777" w:rsidTr="001515D5">
        <w:tc>
          <w:tcPr>
            <w:tcW w:w="4675" w:type="dxa"/>
          </w:tcPr>
          <w:p w14:paraId="1EDA8CD4" w14:textId="77777777" w:rsidR="00864DF2" w:rsidRDefault="00864DF2" w:rsidP="001515D5">
            <w:r>
              <w:t>20-44</w:t>
            </w:r>
          </w:p>
        </w:tc>
        <w:tc>
          <w:tcPr>
            <w:tcW w:w="4675" w:type="dxa"/>
          </w:tcPr>
          <w:p w14:paraId="41596E58" w14:textId="77777777" w:rsidR="00864DF2" w:rsidRDefault="00864DF2" w:rsidP="001515D5">
            <w:r w:rsidRPr="007621EB">
              <w:t>0.511356</w:t>
            </w:r>
          </w:p>
        </w:tc>
      </w:tr>
      <w:tr w:rsidR="00864DF2" w14:paraId="78C339DE" w14:textId="77777777" w:rsidTr="001515D5">
        <w:tc>
          <w:tcPr>
            <w:tcW w:w="4675" w:type="dxa"/>
          </w:tcPr>
          <w:p w14:paraId="353F9E15" w14:textId="77777777" w:rsidR="00864DF2" w:rsidRDefault="00864DF2" w:rsidP="001515D5">
            <w:r>
              <w:t>45-64</w:t>
            </w:r>
          </w:p>
        </w:tc>
        <w:tc>
          <w:tcPr>
            <w:tcW w:w="4675" w:type="dxa"/>
          </w:tcPr>
          <w:p w14:paraId="64A06803" w14:textId="77777777" w:rsidR="00864DF2" w:rsidRDefault="00864DF2" w:rsidP="001515D5">
            <w:r w:rsidRPr="007621EB">
              <w:t>0.311417</w:t>
            </w:r>
          </w:p>
        </w:tc>
      </w:tr>
      <w:tr w:rsidR="00864DF2" w14:paraId="5C79E828" w14:textId="77777777" w:rsidTr="001515D5">
        <w:tc>
          <w:tcPr>
            <w:tcW w:w="4675" w:type="dxa"/>
          </w:tcPr>
          <w:p w14:paraId="748FE05F" w14:textId="77777777" w:rsidR="00864DF2" w:rsidRDefault="00864DF2" w:rsidP="001515D5">
            <w:r>
              <w:t>65+</w:t>
            </w:r>
          </w:p>
        </w:tc>
        <w:tc>
          <w:tcPr>
            <w:tcW w:w="4675" w:type="dxa"/>
          </w:tcPr>
          <w:p w14:paraId="4E9F9DEA" w14:textId="77777777" w:rsidR="00864DF2" w:rsidRPr="007621EB" w:rsidRDefault="00864DF2" w:rsidP="001515D5">
            <w:r w:rsidRPr="007621EB">
              <w:t>0.177227</w:t>
            </w:r>
          </w:p>
        </w:tc>
      </w:tr>
    </w:tbl>
    <w:p w14:paraId="03AF379C" w14:textId="77777777" w:rsidR="00E25FEE" w:rsidRDefault="00E25FEE" w:rsidP="00E25FEE"/>
    <w:p w14:paraId="4E31AF3B" w14:textId="77777777" w:rsidR="00E25FEE" w:rsidRDefault="00E25FEE" w:rsidP="00E25FEE">
      <w:r w:rsidRPr="00E25FEE">
        <w:t xml:space="preserve">Descriptive analyses were performed for all data indicators, stratifying the data by various demographic and geographic groups. Disparities were identified and highlighted throughout the document. To identify disparities, demographic and geographic group estimates were compared through the calculation of disparity ratios, percent differences, and analyzing the confidence intervals to determine significance. County-level state maps were also developed to visually show regional differences in the state. Additionally, estimates were collected from the </w:t>
      </w:r>
      <w:r w:rsidRPr="00E25FEE">
        <w:lastRenderedPageBreak/>
        <w:t>previous 10 years, where possible, to showcase the trends happening in the state and how that compared to what was seen at the national level. All estimates for the SHA followed suppression rules outlined by the data stewards and datasets. Where no suppression rules were outlined, frequencies less than five were suppressed. Weighted prevalence estimates with a coefficient of variation more than 20% were suppressed.</w:t>
      </w:r>
    </w:p>
    <w:p w14:paraId="75C68F47" w14:textId="77777777" w:rsidR="00E25FEE" w:rsidRDefault="00E25FEE" w:rsidP="00E25FEE"/>
    <w:p w14:paraId="521CC9E8" w14:textId="77777777" w:rsidR="00E25FEE" w:rsidRPr="00E25FEE" w:rsidRDefault="00E25FEE" w:rsidP="00E25FEE">
      <w:r w:rsidRPr="00E25FEE">
        <w:t>Descriptive analyses were performed for all data indicators, stratifying the data by various demographic and geographic groups. Disparities were identified and highlighted throughout the document. To identify disparities, demographic and geographic group estimates were compared through the calculation of disparity ratios, percent differences, and analyzing the confidence intervals to determine significance. County-level state maps were also developed to visually show regional differences in the state. Additionally, estimates were collected from the previous 10 years, where possible, to showcase the trends happening in the state and how that compared to what was seen at the national level. All estimates for the SHA followed suppression rules outlined by the data stewards and datasets. Where no suppression rules were outlined, frequencies less than five were suppressed. Weighted prevalence estimates with a coefficient of variation more than 20% were suppressed.</w:t>
      </w:r>
    </w:p>
    <w:p w14:paraId="328C3364" w14:textId="77777777" w:rsidR="00E25FEE" w:rsidRPr="00E25FEE" w:rsidRDefault="00E25FEE" w:rsidP="00E25FEE"/>
    <w:p w14:paraId="0E9A7702" w14:textId="45BD42E2" w:rsidR="00E25FEE" w:rsidRPr="00DA2D21" w:rsidRDefault="00E25FEE" w:rsidP="00DA2D21">
      <w:pPr>
        <w:pStyle w:val="Heading4"/>
        <w:rPr>
          <w:rFonts w:asciiTheme="minorHAnsi" w:hAnsiTheme="minorHAnsi" w:cstheme="minorHAnsi"/>
          <w:color w:val="auto"/>
        </w:rPr>
      </w:pPr>
      <w:bookmarkStart w:id="32" w:name="_Toc162267003"/>
      <w:r w:rsidRPr="00DA2D21">
        <w:rPr>
          <w:rFonts w:asciiTheme="minorHAnsi" w:hAnsiTheme="minorHAnsi" w:cstheme="minorHAnsi"/>
          <w:color w:val="auto"/>
        </w:rPr>
        <w:t>Chapter 2 References</w:t>
      </w:r>
      <w:bookmarkEnd w:id="32"/>
    </w:p>
    <w:p w14:paraId="03986B19" w14:textId="61838BE3" w:rsidR="00E25FEE" w:rsidRDefault="00E25FEE" w:rsidP="00E25FEE">
      <w:r>
        <w:t>Statistics in the preceding chapter were referenced from the following reports:</w:t>
      </w:r>
    </w:p>
    <w:p w14:paraId="006D5CC9" w14:textId="6BBD898A" w:rsidR="00E25FEE" w:rsidRPr="00E25FEE" w:rsidRDefault="00000000" w:rsidP="00926EB3">
      <w:pPr>
        <w:pStyle w:val="ListParagraph"/>
        <w:numPr>
          <w:ilvl w:val="0"/>
          <w:numId w:val="7"/>
        </w:numPr>
      </w:pPr>
      <w:hyperlink r:id="rId15" w:history="1">
        <w:r w:rsidR="00E25FEE" w:rsidRPr="00E25FEE">
          <w:rPr>
            <w:rStyle w:val="Hyperlink"/>
          </w:rPr>
          <w:t>Center</w:t>
        </w:r>
        <w:r w:rsidR="00E25FEE">
          <w:rPr>
            <w:rStyle w:val="Hyperlink"/>
          </w:rPr>
          <w:t>s</w:t>
        </w:r>
        <w:r w:rsidR="00E25FEE" w:rsidRPr="00E25FEE">
          <w:rPr>
            <w:rStyle w:val="Hyperlink"/>
          </w:rPr>
          <w:t xml:space="preserve"> for Disease Control &amp; Prevention, U.S. Census Populations With Bridged Race Categories, 2020.</w:t>
        </w:r>
      </w:hyperlink>
    </w:p>
    <w:p w14:paraId="4B6156D9" w14:textId="123898A0" w:rsidR="00E25FEE" w:rsidRPr="00E25FEE" w:rsidRDefault="00000000" w:rsidP="00926EB3">
      <w:pPr>
        <w:pStyle w:val="ListParagraph"/>
        <w:numPr>
          <w:ilvl w:val="0"/>
          <w:numId w:val="7"/>
        </w:numPr>
      </w:pPr>
      <w:hyperlink r:id="rId16" w:history="1">
        <w:r w:rsidR="00E25FEE" w:rsidRPr="00E25FEE">
          <w:rPr>
            <w:rStyle w:val="Hyperlink"/>
          </w:rPr>
          <w:t xml:space="preserve">“Changing Population Estimates: Implications for Data Users” by Robert Hess, 2022. Accessed via the State Health Access </w:t>
        </w:r>
        <w:r w:rsidR="005476B7" w:rsidRPr="00E25FEE">
          <w:rPr>
            <w:rStyle w:val="Hyperlink"/>
          </w:rPr>
          <w:t>Data</w:t>
        </w:r>
        <w:r w:rsidR="00E25FEE" w:rsidRPr="00E25FEE">
          <w:rPr>
            <w:rStyle w:val="Hyperlink"/>
          </w:rPr>
          <w:t xml:space="preserve"> Assistance Center.</w:t>
        </w:r>
      </w:hyperlink>
    </w:p>
    <w:p w14:paraId="1ADFFBA7" w14:textId="535305A2" w:rsidR="00E25FEE" w:rsidRDefault="00E25FEE">
      <w:r>
        <w:br w:type="page"/>
      </w:r>
    </w:p>
    <w:p w14:paraId="330C00E7" w14:textId="77777777" w:rsidR="00E25FEE" w:rsidRPr="00E25FEE" w:rsidRDefault="00E25FEE" w:rsidP="00E25FEE"/>
    <w:p w14:paraId="73BB0F84" w14:textId="37C5DCDF" w:rsidR="00E25FEE" w:rsidRDefault="00E25FEE" w:rsidP="00E25FEE">
      <w:pPr>
        <w:pStyle w:val="Heading2"/>
      </w:pPr>
      <w:bookmarkStart w:id="33" w:name="_Toc162267004"/>
      <w:r>
        <w:t>Chapter 3: Community Voices</w:t>
      </w:r>
      <w:bookmarkEnd w:id="33"/>
    </w:p>
    <w:p w14:paraId="70971DF9" w14:textId="6B876F14" w:rsidR="00E25FEE" w:rsidRDefault="00E25FEE" w:rsidP="00F73294">
      <w:pPr>
        <w:pStyle w:val="Heading3"/>
      </w:pPr>
      <w:bookmarkStart w:id="34" w:name="_Toc162267005"/>
      <w:r>
        <w:t>Community Voices</w:t>
      </w:r>
      <w:bookmarkEnd w:id="34"/>
    </w:p>
    <w:p w14:paraId="442236C9" w14:textId="71A1B409" w:rsidR="00E25FEE" w:rsidRPr="00E25FEE" w:rsidRDefault="00E25FEE" w:rsidP="00E25FEE">
      <w:r w:rsidRPr="00E25FEE">
        <w:t xml:space="preserve">The South Carolina (SC) State Health Assessment (SHA) incorporates a variety of perspectives, including state and local agencies and governments, nonprofit organizations, scientific experts, and community voices. This chapter is dedicated to further ensuring community voices are assessed and embedded within the plan. Data were collected from community listening sessions, </w:t>
      </w:r>
      <w:r w:rsidR="00E50F24">
        <w:t>S</w:t>
      </w:r>
      <w:r w:rsidRPr="00E25FEE">
        <w:t xml:space="preserve">takeholder </w:t>
      </w:r>
      <w:r w:rsidR="00E50F24">
        <w:t>I</w:t>
      </w:r>
      <w:r w:rsidRPr="00E25FEE">
        <w:t xml:space="preserve">nterviews, community health documents, and Forces of Change activities. Health issues were examined from several different angles, including top health issues, community health changes, underlying causes of health issues, biggest challenges in addressing health issues, and strengths that could be mobilized to improve health. A qualitative analysis was conducted to determine key themes and subthemes.  </w:t>
      </w:r>
    </w:p>
    <w:p w14:paraId="524090AB" w14:textId="77777777" w:rsidR="00E25FEE" w:rsidRDefault="00E25FEE" w:rsidP="00E25FEE"/>
    <w:p w14:paraId="5089CAEA" w14:textId="046D2DEC" w:rsidR="00E25FEE" w:rsidRDefault="00E25FEE" w:rsidP="00F73294">
      <w:pPr>
        <w:pStyle w:val="Heading3"/>
      </w:pPr>
      <w:bookmarkStart w:id="35" w:name="_Toc162267006"/>
      <w:r>
        <w:t>Methods</w:t>
      </w:r>
      <w:bookmarkEnd w:id="35"/>
    </w:p>
    <w:p w14:paraId="1A1B8105" w14:textId="00A1CE28" w:rsidR="00E25FEE" w:rsidRDefault="00E25FEE" w:rsidP="00E25FEE">
      <w:r w:rsidRPr="00E25FEE">
        <w:t xml:space="preserve">There were 50 health leaders interviewed </w:t>
      </w:r>
      <w:r w:rsidR="00E50F24">
        <w:t xml:space="preserve">from </w:t>
      </w:r>
      <w:r w:rsidRPr="00E25FEE">
        <w:t xml:space="preserve">March-April 2023 in all 46 counties for the Stakeholder Interviews (see </w:t>
      </w:r>
      <w:r w:rsidRPr="00E25FEE">
        <w:rPr>
          <w:b/>
          <w:bCs/>
        </w:rPr>
        <w:t>Appendix I</w:t>
      </w:r>
      <w:r w:rsidRPr="00E25FEE">
        <w:t xml:space="preserve">). In addition, 15 Community Health Assessments (CHAs) and Community Improvement Plans (CHIPs) were collected and analyzed. Forces of Change survey results (n=157) were captured in Survey Monkey and then utilized to complete a full Forces of Change activity in April 2023 with multiple partners from across the state (see </w:t>
      </w:r>
      <w:r w:rsidRPr="00E25FEE">
        <w:rPr>
          <w:b/>
          <w:bCs/>
        </w:rPr>
        <w:t>Appendix G</w:t>
      </w:r>
      <w:r w:rsidRPr="00E25FEE">
        <w:t xml:space="preserve"> for more information). There were 29 community listening sessions held March-April 2023 by DHEC with established coalitions throughout the state using the Forces of Change format to guide questions (see </w:t>
      </w:r>
      <w:r w:rsidRPr="00E25FEE">
        <w:rPr>
          <w:b/>
          <w:bCs/>
        </w:rPr>
        <w:t>Appendix H</w:t>
      </w:r>
      <w:r w:rsidRPr="00E25FEE">
        <w:t xml:space="preserve"> for more information on the Community Listening Sessions). </w:t>
      </w:r>
    </w:p>
    <w:p w14:paraId="4E1D59CE" w14:textId="77777777" w:rsidR="00E50F24" w:rsidRPr="00E25FEE" w:rsidRDefault="00E50F24" w:rsidP="00E25FEE"/>
    <w:p w14:paraId="2C31608E" w14:textId="280B920B" w:rsidR="00E25FEE" w:rsidRDefault="00E25FEE" w:rsidP="00E25FEE">
      <w:r w:rsidRPr="00E25FEE">
        <w:t xml:space="preserve">Mobilizing for Action through Planning and Partnerships (MAPP) is a strategic planning process focused on health equity. MAPP goals include assessing the most pressing population health issues, with a focus on aligning resources and actions. The Forces of Change Assessment is a MAPP activity identifying factors such as technology, legislation, and social forces affecting the public health system and the communities it serves. Forces of Change survey data was collected from February-April 2023. The survey was distributed to external SC Department of Health and Environmental Control (DHEC) partners and the Alliance for a Healthier SC (Alliance) partners. These partners were also encouraged to further share the </w:t>
      </w:r>
      <w:r w:rsidRPr="00E25FEE">
        <w:lastRenderedPageBreak/>
        <w:t xml:space="preserve">survey through their own networks through listservs, emails, and in meetings. This chapter includes the Forces of Change survey results and </w:t>
      </w:r>
      <w:r w:rsidR="00E50F24">
        <w:t>the way</w:t>
      </w:r>
      <w:r w:rsidRPr="00E25FEE">
        <w:t xml:space="preserve"> these results compare to results from other data sources in this chapter.</w:t>
      </w:r>
    </w:p>
    <w:p w14:paraId="60AAB9E7" w14:textId="77777777" w:rsidR="00E50F24" w:rsidRPr="00E25FEE" w:rsidRDefault="00E50F24" w:rsidP="00E25FEE"/>
    <w:p w14:paraId="7D51E2DA" w14:textId="29B0E3FD" w:rsidR="00E25FEE" w:rsidRPr="00E25FEE" w:rsidRDefault="00E25FEE" w:rsidP="00E25FEE">
      <w:r w:rsidRPr="00E25FEE">
        <w:t>Below are tables outlining the count by data source (</w:t>
      </w:r>
      <w:r w:rsidRPr="00E25FEE">
        <w:rPr>
          <w:b/>
          <w:bCs/>
        </w:rPr>
        <w:t xml:space="preserve">Table </w:t>
      </w:r>
      <w:r>
        <w:rPr>
          <w:b/>
          <w:bCs/>
        </w:rPr>
        <w:t>3.</w:t>
      </w:r>
      <w:r w:rsidRPr="00E25FEE">
        <w:rPr>
          <w:b/>
          <w:bCs/>
        </w:rPr>
        <w:t>1</w:t>
      </w:r>
      <w:r w:rsidRPr="00E25FEE">
        <w:t>), what organization types were represented in Stakeholder Interviews (</w:t>
      </w:r>
      <w:r w:rsidRPr="00E25FEE">
        <w:rPr>
          <w:b/>
          <w:bCs/>
        </w:rPr>
        <w:t xml:space="preserve">Table </w:t>
      </w:r>
      <w:r>
        <w:rPr>
          <w:b/>
          <w:bCs/>
        </w:rPr>
        <w:t>3.</w:t>
      </w:r>
      <w:r w:rsidRPr="00E25FEE">
        <w:rPr>
          <w:b/>
          <w:bCs/>
        </w:rPr>
        <w:t>2</w:t>
      </w:r>
      <w:r w:rsidRPr="00E25FEE">
        <w:t>), answer totals by question on the Forces of Change Survey (</w:t>
      </w:r>
      <w:r w:rsidRPr="00E25FEE">
        <w:rPr>
          <w:b/>
          <w:bCs/>
        </w:rPr>
        <w:t>Table 3</w:t>
      </w:r>
      <w:r>
        <w:rPr>
          <w:b/>
          <w:bCs/>
        </w:rPr>
        <w:t>.3</w:t>
      </w:r>
      <w:r w:rsidRPr="00E25FEE">
        <w:t>), and</w:t>
      </w:r>
      <w:r w:rsidR="001E28D5" w:rsidRPr="001E28D5">
        <w:t xml:space="preserve"> counties represented in the community listening sessions, (</w:t>
      </w:r>
      <w:r w:rsidR="001E28D5" w:rsidRPr="001E28D5">
        <w:rPr>
          <w:b/>
          <w:bCs/>
        </w:rPr>
        <w:t>Table 3.4</w:t>
      </w:r>
      <w:r w:rsidR="001E28D5" w:rsidRPr="001E28D5">
        <w:t>)</w:t>
      </w:r>
      <w:r w:rsidRPr="00E25FEE">
        <w:t>.</w:t>
      </w:r>
    </w:p>
    <w:p w14:paraId="43558181" w14:textId="77777777" w:rsidR="00E25FEE" w:rsidRPr="00E25FEE" w:rsidRDefault="00E25FEE" w:rsidP="00E25FEE"/>
    <w:p w14:paraId="3C2C9088" w14:textId="77777777" w:rsidR="00864DF2" w:rsidRPr="007621EB" w:rsidRDefault="00864DF2" w:rsidP="00864DF2">
      <w:pPr>
        <w:pStyle w:val="Heading4"/>
      </w:pPr>
      <w:bookmarkStart w:id="36" w:name="_Toc154569755"/>
      <w:bookmarkStart w:id="37" w:name="_Toc162267007"/>
      <w:r>
        <w:t>Table 3.1: Data Sources.</w:t>
      </w:r>
      <w:bookmarkEnd w:id="36"/>
      <w:bookmarkEnd w:id="37"/>
      <w:r>
        <w:t xml:space="preserve"> </w:t>
      </w:r>
    </w:p>
    <w:tbl>
      <w:tblPr>
        <w:tblStyle w:val="TableGrid"/>
        <w:tblW w:w="0" w:type="auto"/>
        <w:tblLook w:val="04A0" w:firstRow="1" w:lastRow="0" w:firstColumn="1" w:lastColumn="0" w:noHBand="0" w:noVBand="1"/>
      </w:tblPr>
      <w:tblGrid>
        <w:gridCol w:w="4675"/>
        <w:gridCol w:w="4675"/>
      </w:tblGrid>
      <w:tr w:rsidR="00864DF2" w14:paraId="4382F50F" w14:textId="77777777" w:rsidTr="001515D5">
        <w:tc>
          <w:tcPr>
            <w:tcW w:w="4675" w:type="dxa"/>
          </w:tcPr>
          <w:p w14:paraId="14B18F12" w14:textId="77777777" w:rsidR="00864DF2" w:rsidRDefault="00864DF2" w:rsidP="001515D5">
            <w:r>
              <w:t>Sources</w:t>
            </w:r>
          </w:p>
        </w:tc>
        <w:tc>
          <w:tcPr>
            <w:tcW w:w="4675" w:type="dxa"/>
          </w:tcPr>
          <w:p w14:paraId="7ACA71F6" w14:textId="77777777" w:rsidR="00864DF2" w:rsidRDefault="00864DF2" w:rsidP="001515D5">
            <w:r>
              <w:t>Count</w:t>
            </w:r>
          </w:p>
        </w:tc>
      </w:tr>
      <w:tr w:rsidR="00864DF2" w14:paraId="595626BA" w14:textId="77777777" w:rsidTr="001515D5">
        <w:tc>
          <w:tcPr>
            <w:tcW w:w="4675" w:type="dxa"/>
          </w:tcPr>
          <w:p w14:paraId="120022AF" w14:textId="77777777" w:rsidR="00864DF2" w:rsidRDefault="00864DF2" w:rsidP="001515D5">
            <w:r>
              <w:t>Community Listening Sessions</w:t>
            </w:r>
          </w:p>
        </w:tc>
        <w:tc>
          <w:tcPr>
            <w:tcW w:w="4675" w:type="dxa"/>
          </w:tcPr>
          <w:p w14:paraId="2A3F4C12" w14:textId="77777777" w:rsidR="00864DF2" w:rsidRDefault="00864DF2" w:rsidP="001515D5">
            <w:r>
              <w:t>29</w:t>
            </w:r>
          </w:p>
        </w:tc>
      </w:tr>
      <w:tr w:rsidR="00864DF2" w14:paraId="6FCBE908" w14:textId="77777777" w:rsidTr="001515D5">
        <w:tc>
          <w:tcPr>
            <w:tcW w:w="4675" w:type="dxa"/>
          </w:tcPr>
          <w:p w14:paraId="5918A5C1" w14:textId="77777777" w:rsidR="00864DF2" w:rsidRDefault="00864DF2" w:rsidP="001515D5">
            <w:r>
              <w:t>Stakeholder Interview Questions</w:t>
            </w:r>
          </w:p>
        </w:tc>
        <w:tc>
          <w:tcPr>
            <w:tcW w:w="4675" w:type="dxa"/>
          </w:tcPr>
          <w:p w14:paraId="219BC471" w14:textId="77777777" w:rsidR="00864DF2" w:rsidRDefault="00864DF2" w:rsidP="001515D5">
            <w:r>
              <w:t>50</w:t>
            </w:r>
          </w:p>
        </w:tc>
      </w:tr>
      <w:tr w:rsidR="00864DF2" w14:paraId="18AB2645" w14:textId="77777777" w:rsidTr="001515D5">
        <w:tc>
          <w:tcPr>
            <w:tcW w:w="4675" w:type="dxa"/>
          </w:tcPr>
          <w:p w14:paraId="7CB7CAC5" w14:textId="77777777" w:rsidR="00864DF2" w:rsidRDefault="00864DF2" w:rsidP="001515D5">
            <w:r>
              <w:t>Community Documents- CHAs</w:t>
            </w:r>
          </w:p>
        </w:tc>
        <w:tc>
          <w:tcPr>
            <w:tcW w:w="4675" w:type="dxa"/>
          </w:tcPr>
          <w:p w14:paraId="31EAD2F1" w14:textId="77777777" w:rsidR="00864DF2" w:rsidRPr="007621EB" w:rsidRDefault="00864DF2" w:rsidP="001515D5">
            <w:r>
              <w:t>6</w:t>
            </w:r>
          </w:p>
        </w:tc>
      </w:tr>
      <w:tr w:rsidR="00864DF2" w14:paraId="081E393B" w14:textId="77777777" w:rsidTr="001515D5">
        <w:tc>
          <w:tcPr>
            <w:tcW w:w="4675" w:type="dxa"/>
          </w:tcPr>
          <w:p w14:paraId="78E7D9D0" w14:textId="77777777" w:rsidR="00864DF2" w:rsidRDefault="00864DF2" w:rsidP="001515D5">
            <w:r>
              <w:t>Community Documents- CHIPs</w:t>
            </w:r>
          </w:p>
        </w:tc>
        <w:tc>
          <w:tcPr>
            <w:tcW w:w="4675" w:type="dxa"/>
          </w:tcPr>
          <w:p w14:paraId="719BFBF7" w14:textId="77777777" w:rsidR="00864DF2" w:rsidRDefault="00864DF2" w:rsidP="001515D5">
            <w:r>
              <w:t>9</w:t>
            </w:r>
          </w:p>
        </w:tc>
      </w:tr>
      <w:tr w:rsidR="00864DF2" w14:paraId="48DCAD31" w14:textId="77777777" w:rsidTr="001515D5">
        <w:tc>
          <w:tcPr>
            <w:tcW w:w="4675" w:type="dxa"/>
          </w:tcPr>
          <w:p w14:paraId="0A8641B6" w14:textId="77777777" w:rsidR="00864DF2" w:rsidRDefault="00864DF2" w:rsidP="001515D5">
            <w:r>
              <w:t>Forces of Change Survey</w:t>
            </w:r>
          </w:p>
        </w:tc>
        <w:tc>
          <w:tcPr>
            <w:tcW w:w="4675" w:type="dxa"/>
          </w:tcPr>
          <w:p w14:paraId="5B939C36" w14:textId="77777777" w:rsidR="00864DF2" w:rsidRDefault="00864DF2" w:rsidP="001515D5">
            <w:r>
              <w:t>157</w:t>
            </w:r>
          </w:p>
        </w:tc>
      </w:tr>
    </w:tbl>
    <w:p w14:paraId="54ED0804" w14:textId="77777777" w:rsidR="00864DF2" w:rsidRPr="007621EB" w:rsidRDefault="00864DF2" w:rsidP="00864DF2">
      <w:pPr>
        <w:pStyle w:val="Heading4"/>
      </w:pPr>
      <w:bookmarkStart w:id="38" w:name="_Toc154569756"/>
      <w:bookmarkStart w:id="39" w:name="_Toc162267008"/>
      <w:r>
        <w:t>Table 3.2: Stakeholder Interviews.</w:t>
      </w:r>
      <w:bookmarkEnd w:id="38"/>
      <w:bookmarkEnd w:id="39"/>
      <w:r>
        <w:t xml:space="preserve"> </w:t>
      </w:r>
    </w:p>
    <w:tbl>
      <w:tblPr>
        <w:tblStyle w:val="TableGrid"/>
        <w:tblW w:w="0" w:type="auto"/>
        <w:tblLook w:val="04A0" w:firstRow="1" w:lastRow="0" w:firstColumn="1" w:lastColumn="0" w:noHBand="0" w:noVBand="1"/>
      </w:tblPr>
      <w:tblGrid>
        <w:gridCol w:w="4675"/>
        <w:gridCol w:w="4675"/>
      </w:tblGrid>
      <w:tr w:rsidR="00864DF2" w14:paraId="30DB99B5" w14:textId="77777777" w:rsidTr="001515D5">
        <w:tc>
          <w:tcPr>
            <w:tcW w:w="4675" w:type="dxa"/>
          </w:tcPr>
          <w:p w14:paraId="24596BC7" w14:textId="77777777" w:rsidR="00864DF2" w:rsidRDefault="00864DF2" w:rsidP="001515D5">
            <w:r>
              <w:t>Organization Types</w:t>
            </w:r>
          </w:p>
        </w:tc>
        <w:tc>
          <w:tcPr>
            <w:tcW w:w="4675" w:type="dxa"/>
          </w:tcPr>
          <w:p w14:paraId="15888178" w14:textId="77777777" w:rsidR="00864DF2" w:rsidRDefault="00864DF2" w:rsidP="001515D5">
            <w:r>
              <w:t>Count</w:t>
            </w:r>
          </w:p>
        </w:tc>
      </w:tr>
      <w:tr w:rsidR="00864DF2" w14:paraId="72FC0CED" w14:textId="77777777" w:rsidTr="001515D5">
        <w:tc>
          <w:tcPr>
            <w:tcW w:w="4675" w:type="dxa"/>
          </w:tcPr>
          <w:p w14:paraId="73A488AC" w14:textId="77777777" w:rsidR="00864DF2" w:rsidRDefault="00864DF2" w:rsidP="001515D5">
            <w:r>
              <w:t>Non-profit</w:t>
            </w:r>
          </w:p>
        </w:tc>
        <w:tc>
          <w:tcPr>
            <w:tcW w:w="4675" w:type="dxa"/>
          </w:tcPr>
          <w:p w14:paraId="0A1C191C" w14:textId="77777777" w:rsidR="00864DF2" w:rsidRDefault="00864DF2" w:rsidP="001515D5">
            <w:r>
              <w:t>36</w:t>
            </w:r>
          </w:p>
        </w:tc>
      </w:tr>
      <w:tr w:rsidR="00864DF2" w14:paraId="74794251" w14:textId="77777777" w:rsidTr="001515D5">
        <w:tc>
          <w:tcPr>
            <w:tcW w:w="4675" w:type="dxa"/>
          </w:tcPr>
          <w:p w14:paraId="4A88E46C" w14:textId="77777777" w:rsidR="00864DF2" w:rsidRDefault="00864DF2" w:rsidP="001515D5">
            <w:r>
              <w:t>Public</w:t>
            </w:r>
          </w:p>
        </w:tc>
        <w:tc>
          <w:tcPr>
            <w:tcW w:w="4675" w:type="dxa"/>
          </w:tcPr>
          <w:p w14:paraId="00AFD489" w14:textId="77777777" w:rsidR="00864DF2" w:rsidRDefault="00864DF2" w:rsidP="001515D5">
            <w:r>
              <w:t>14</w:t>
            </w:r>
          </w:p>
        </w:tc>
      </w:tr>
      <w:tr w:rsidR="00864DF2" w14:paraId="73D2546E" w14:textId="77777777" w:rsidTr="001515D5">
        <w:tc>
          <w:tcPr>
            <w:tcW w:w="4675" w:type="dxa"/>
          </w:tcPr>
          <w:p w14:paraId="6AF20041" w14:textId="77777777" w:rsidR="00864DF2" w:rsidRDefault="00864DF2" w:rsidP="001515D5">
            <w:r>
              <w:t>Total</w:t>
            </w:r>
          </w:p>
        </w:tc>
        <w:tc>
          <w:tcPr>
            <w:tcW w:w="4675" w:type="dxa"/>
          </w:tcPr>
          <w:p w14:paraId="6100B951" w14:textId="77777777" w:rsidR="00864DF2" w:rsidRPr="007621EB" w:rsidRDefault="00864DF2" w:rsidP="001515D5">
            <w:r>
              <w:t>50</w:t>
            </w:r>
          </w:p>
        </w:tc>
      </w:tr>
    </w:tbl>
    <w:p w14:paraId="66FDF166" w14:textId="77777777" w:rsidR="00864DF2" w:rsidRPr="007621EB" w:rsidRDefault="00864DF2" w:rsidP="00864DF2">
      <w:pPr>
        <w:pStyle w:val="Heading4"/>
      </w:pPr>
      <w:bookmarkStart w:id="40" w:name="_Toc154569757"/>
      <w:bookmarkStart w:id="41" w:name="_Toc162267009"/>
      <w:r>
        <w:t>Table 3.3: Forces of Change Survey.</w:t>
      </w:r>
      <w:bookmarkEnd w:id="40"/>
      <w:bookmarkEnd w:id="41"/>
    </w:p>
    <w:tbl>
      <w:tblPr>
        <w:tblStyle w:val="TableGrid"/>
        <w:tblW w:w="0" w:type="auto"/>
        <w:tblLook w:val="04A0" w:firstRow="1" w:lastRow="0" w:firstColumn="1" w:lastColumn="0" w:noHBand="0" w:noVBand="1"/>
      </w:tblPr>
      <w:tblGrid>
        <w:gridCol w:w="2734"/>
        <w:gridCol w:w="2310"/>
        <w:gridCol w:w="2153"/>
        <w:gridCol w:w="2153"/>
      </w:tblGrid>
      <w:tr w:rsidR="00864DF2" w14:paraId="4E7B7751" w14:textId="77777777" w:rsidTr="001515D5">
        <w:tc>
          <w:tcPr>
            <w:tcW w:w="2734" w:type="dxa"/>
          </w:tcPr>
          <w:p w14:paraId="3722D668" w14:textId="77777777" w:rsidR="00864DF2" w:rsidRPr="007621EB" w:rsidRDefault="00864DF2" w:rsidP="00661074">
            <w:r>
              <w:t>Total Answers By Question (n=157)</w:t>
            </w:r>
          </w:p>
        </w:tc>
        <w:tc>
          <w:tcPr>
            <w:tcW w:w="2310" w:type="dxa"/>
          </w:tcPr>
          <w:p w14:paraId="4E883364" w14:textId="77777777" w:rsidR="00864DF2" w:rsidRPr="007621EB" w:rsidRDefault="00864DF2" w:rsidP="00661074"/>
        </w:tc>
        <w:tc>
          <w:tcPr>
            <w:tcW w:w="2153" w:type="dxa"/>
          </w:tcPr>
          <w:p w14:paraId="5A285479" w14:textId="77777777" w:rsidR="00864DF2" w:rsidRPr="007621EB" w:rsidRDefault="00864DF2" w:rsidP="00661074"/>
        </w:tc>
        <w:tc>
          <w:tcPr>
            <w:tcW w:w="2153" w:type="dxa"/>
          </w:tcPr>
          <w:p w14:paraId="583D9B4B" w14:textId="77777777" w:rsidR="00864DF2" w:rsidRPr="007621EB" w:rsidRDefault="00864DF2" w:rsidP="00661074"/>
        </w:tc>
      </w:tr>
      <w:tr w:rsidR="00864DF2" w14:paraId="17AC25BF" w14:textId="77777777" w:rsidTr="001515D5">
        <w:tc>
          <w:tcPr>
            <w:tcW w:w="2734" w:type="dxa"/>
          </w:tcPr>
          <w:p w14:paraId="719D4DEB" w14:textId="77777777" w:rsidR="00864DF2" w:rsidRPr="007621EB" w:rsidRDefault="00864DF2" w:rsidP="00661074">
            <w:r>
              <w:t>What forces are affecting SC? (can list more than one in each box)</w:t>
            </w:r>
          </w:p>
        </w:tc>
        <w:tc>
          <w:tcPr>
            <w:tcW w:w="2310" w:type="dxa"/>
          </w:tcPr>
          <w:p w14:paraId="3AC31500" w14:textId="77777777" w:rsidR="00864DF2" w:rsidRPr="007621EB" w:rsidRDefault="00864DF2" w:rsidP="00661074">
            <w:r>
              <w:t>Trends (n=70)</w:t>
            </w:r>
          </w:p>
        </w:tc>
        <w:tc>
          <w:tcPr>
            <w:tcW w:w="2153" w:type="dxa"/>
          </w:tcPr>
          <w:p w14:paraId="690978BD" w14:textId="77777777" w:rsidR="00864DF2" w:rsidRPr="007621EB" w:rsidRDefault="00864DF2" w:rsidP="00661074">
            <w:r>
              <w:t>Factors (n=67)</w:t>
            </w:r>
          </w:p>
        </w:tc>
        <w:tc>
          <w:tcPr>
            <w:tcW w:w="2153" w:type="dxa"/>
          </w:tcPr>
          <w:p w14:paraId="2B69DF66" w14:textId="77777777" w:rsidR="00864DF2" w:rsidRPr="007621EB" w:rsidRDefault="00864DF2" w:rsidP="00661074">
            <w:r>
              <w:t>Events (n=65)</w:t>
            </w:r>
          </w:p>
        </w:tc>
      </w:tr>
      <w:tr w:rsidR="00864DF2" w14:paraId="0968B033" w14:textId="77777777" w:rsidTr="001515D5">
        <w:tc>
          <w:tcPr>
            <w:tcW w:w="2734" w:type="dxa"/>
          </w:tcPr>
          <w:p w14:paraId="4230D41F" w14:textId="77777777" w:rsidR="00864DF2" w:rsidRPr="007621EB" w:rsidRDefault="00864DF2" w:rsidP="00661074">
            <w:r>
              <w:t>What forces might hinder us from creating a healthier state? (can list more than one in each box)</w:t>
            </w:r>
          </w:p>
        </w:tc>
        <w:tc>
          <w:tcPr>
            <w:tcW w:w="2310" w:type="dxa"/>
          </w:tcPr>
          <w:p w14:paraId="66468AE4" w14:textId="77777777" w:rsidR="00864DF2" w:rsidRPr="007621EB" w:rsidRDefault="00864DF2" w:rsidP="00661074">
            <w:r>
              <w:t>Trends (n=62)</w:t>
            </w:r>
          </w:p>
        </w:tc>
        <w:tc>
          <w:tcPr>
            <w:tcW w:w="2153" w:type="dxa"/>
          </w:tcPr>
          <w:p w14:paraId="3B4B40AB" w14:textId="77777777" w:rsidR="00864DF2" w:rsidRPr="007621EB" w:rsidRDefault="00864DF2" w:rsidP="00661074">
            <w:r>
              <w:t>Factors (n=60)</w:t>
            </w:r>
          </w:p>
        </w:tc>
        <w:tc>
          <w:tcPr>
            <w:tcW w:w="2153" w:type="dxa"/>
          </w:tcPr>
          <w:p w14:paraId="50FCB2EB" w14:textId="77777777" w:rsidR="00864DF2" w:rsidRPr="007621EB" w:rsidRDefault="00864DF2" w:rsidP="00661074">
            <w:r>
              <w:t>Events (n=48_</w:t>
            </w:r>
          </w:p>
        </w:tc>
      </w:tr>
      <w:tr w:rsidR="00864DF2" w14:paraId="5ECB629F" w14:textId="77777777" w:rsidTr="001515D5">
        <w:tc>
          <w:tcPr>
            <w:tcW w:w="2734" w:type="dxa"/>
          </w:tcPr>
          <w:p w14:paraId="103C4B4E" w14:textId="77777777" w:rsidR="00864DF2" w:rsidRPr="007621EB" w:rsidRDefault="00864DF2" w:rsidP="00661074">
            <w:r>
              <w:t xml:space="preserve">What are the top three actions SC could take in response to those forces that </w:t>
            </w:r>
            <w:r>
              <w:lastRenderedPageBreak/>
              <w:t>could lead to health improvement?</w:t>
            </w:r>
          </w:p>
        </w:tc>
        <w:tc>
          <w:tcPr>
            <w:tcW w:w="2310" w:type="dxa"/>
          </w:tcPr>
          <w:p w14:paraId="74219A58" w14:textId="77777777" w:rsidR="00864DF2" w:rsidRPr="007621EB" w:rsidRDefault="00864DF2" w:rsidP="00661074">
            <w:r>
              <w:lastRenderedPageBreak/>
              <w:t>Top Action #1: 63</w:t>
            </w:r>
          </w:p>
        </w:tc>
        <w:tc>
          <w:tcPr>
            <w:tcW w:w="2153" w:type="dxa"/>
          </w:tcPr>
          <w:p w14:paraId="482B05D9" w14:textId="77777777" w:rsidR="00864DF2" w:rsidRPr="007621EB" w:rsidRDefault="00864DF2" w:rsidP="00661074">
            <w:r>
              <w:t>Top Action #2: 60</w:t>
            </w:r>
          </w:p>
        </w:tc>
        <w:tc>
          <w:tcPr>
            <w:tcW w:w="2153" w:type="dxa"/>
          </w:tcPr>
          <w:p w14:paraId="358C349E" w14:textId="77777777" w:rsidR="00864DF2" w:rsidRPr="007621EB" w:rsidRDefault="00864DF2" w:rsidP="00661074">
            <w:r>
              <w:t>Top Action #3: 54</w:t>
            </w:r>
          </w:p>
        </w:tc>
      </w:tr>
    </w:tbl>
    <w:p w14:paraId="3B9343B4" w14:textId="77777777" w:rsidR="00864DF2" w:rsidRDefault="00864DF2" w:rsidP="00864DF2">
      <w:r>
        <w:t>Note: Refer to table 8 for the top three actions communities identified the state could take to improve health.</w:t>
      </w:r>
    </w:p>
    <w:p w14:paraId="1B993758" w14:textId="77777777" w:rsidR="00864DF2" w:rsidRPr="007621EB" w:rsidRDefault="00864DF2" w:rsidP="00864DF2">
      <w:pPr>
        <w:pStyle w:val="Heading4"/>
      </w:pPr>
      <w:bookmarkStart w:id="42" w:name="_Toc154569758"/>
      <w:bookmarkStart w:id="43" w:name="_Toc162267010"/>
      <w:r>
        <w:t>Table 3.4: Community Listening Sessions, a total of 29.</w:t>
      </w:r>
      <w:bookmarkEnd w:id="42"/>
      <w:bookmarkEnd w:id="43"/>
      <w:r>
        <w:t xml:space="preserve"> </w:t>
      </w:r>
    </w:p>
    <w:tbl>
      <w:tblPr>
        <w:tblStyle w:val="TableGrid"/>
        <w:tblW w:w="0" w:type="auto"/>
        <w:tblLook w:val="04A0" w:firstRow="1" w:lastRow="0" w:firstColumn="1" w:lastColumn="0" w:noHBand="0" w:noVBand="1"/>
      </w:tblPr>
      <w:tblGrid>
        <w:gridCol w:w="4675"/>
        <w:gridCol w:w="4675"/>
      </w:tblGrid>
      <w:tr w:rsidR="00864DF2" w14:paraId="5CF4FA3C" w14:textId="77777777" w:rsidTr="001515D5">
        <w:tc>
          <w:tcPr>
            <w:tcW w:w="4675" w:type="dxa"/>
          </w:tcPr>
          <w:p w14:paraId="5FECF479" w14:textId="16FF5052" w:rsidR="00864DF2" w:rsidRDefault="001E28D5" w:rsidP="001515D5">
            <w:r>
              <w:t>County Representation</w:t>
            </w:r>
          </w:p>
        </w:tc>
        <w:tc>
          <w:tcPr>
            <w:tcW w:w="4675" w:type="dxa"/>
          </w:tcPr>
          <w:p w14:paraId="206BA711" w14:textId="77777777" w:rsidR="00864DF2" w:rsidRDefault="00864DF2" w:rsidP="001515D5">
            <w:r>
              <w:t>Count</w:t>
            </w:r>
          </w:p>
        </w:tc>
      </w:tr>
      <w:tr w:rsidR="00864DF2" w14:paraId="67EE7309" w14:textId="77777777" w:rsidTr="001515D5">
        <w:tc>
          <w:tcPr>
            <w:tcW w:w="4675" w:type="dxa"/>
          </w:tcPr>
          <w:p w14:paraId="3D30BF71" w14:textId="77777777" w:rsidR="00864DF2" w:rsidRDefault="00864DF2" w:rsidP="001515D5">
            <w:r>
              <w:t>Aiken</w:t>
            </w:r>
          </w:p>
        </w:tc>
        <w:tc>
          <w:tcPr>
            <w:tcW w:w="4675" w:type="dxa"/>
          </w:tcPr>
          <w:p w14:paraId="122D1E42" w14:textId="77777777" w:rsidR="00864DF2" w:rsidRDefault="00864DF2" w:rsidP="001515D5">
            <w:r>
              <w:t>4</w:t>
            </w:r>
          </w:p>
        </w:tc>
      </w:tr>
      <w:tr w:rsidR="00864DF2" w14:paraId="3C04C2AF" w14:textId="77777777" w:rsidTr="001515D5">
        <w:tc>
          <w:tcPr>
            <w:tcW w:w="4675" w:type="dxa"/>
          </w:tcPr>
          <w:p w14:paraId="41C00ECA" w14:textId="77777777" w:rsidR="00864DF2" w:rsidRDefault="00864DF2" w:rsidP="001515D5">
            <w:r>
              <w:t>Dillon</w:t>
            </w:r>
          </w:p>
        </w:tc>
        <w:tc>
          <w:tcPr>
            <w:tcW w:w="4675" w:type="dxa"/>
          </w:tcPr>
          <w:p w14:paraId="00043227" w14:textId="77777777" w:rsidR="00864DF2" w:rsidRDefault="00864DF2" w:rsidP="001515D5">
            <w:r>
              <w:t>3</w:t>
            </w:r>
          </w:p>
        </w:tc>
      </w:tr>
      <w:tr w:rsidR="00864DF2" w14:paraId="631EFB2D" w14:textId="77777777" w:rsidTr="001515D5">
        <w:tc>
          <w:tcPr>
            <w:tcW w:w="4675" w:type="dxa"/>
          </w:tcPr>
          <w:p w14:paraId="1DAD761D" w14:textId="77777777" w:rsidR="00864DF2" w:rsidRDefault="00864DF2" w:rsidP="001515D5">
            <w:r>
              <w:t>Fairfield</w:t>
            </w:r>
          </w:p>
        </w:tc>
        <w:tc>
          <w:tcPr>
            <w:tcW w:w="4675" w:type="dxa"/>
          </w:tcPr>
          <w:p w14:paraId="22990344" w14:textId="77777777" w:rsidR="00864DF2" w:rsidRPr="007621EB" w:rsidRDefault="00864DF2" w:rsidP="001515D5">
            <w:r>
              <w:t>3</w:t>
            </w:r>
          </w:p>
        </w:tc>
      </w:tr>
      <w:tr w:rsidR="00864DF2" w14:paraId="28EE1380" w14:textId="77777777" w:rsidTr="001515D5">
        <w:tc>
          <w:tcPr>
            <w:tcW w:w="4675" w:type="dxa"/>
          </w:tcPr>
          <w:p w14:paraId="3696E562" w14:textId="77777777" w:rsidR="00864DF2" w:rsidRDefault="00864DF2" w:rsidP="001515D5">
            <w:r>
              <w:t>Saluda</w:t>
            </w:r>
          </w:p>
        </w:tc>
        <w:tc>
          <w:tcPr>
            <w:tcW w:w="4675" w:type="dxa"/>
          </w:tcPr>
          <w:p w14:paraId="55EAB9FD" w14:textId="77777777" w:rsidR="00864DF2" w:rsidRDefault="00864DF2" w:rsidP="001515D5">
            <w:r>
              <w:t>2</w:t>
            </w:r>
          </w:p>
        </w:tc>
      </w:tr>
      <w:tr w:rsidR="00864DF2" w14:paraId="2CD4EFBD" w14:textId="77777777" w:rsidTr="001515D5">
        <w:tc>
          <w:tcPr>
            <w:tcW w:w="4675" w:type="dxa"/>
          </w:tcPr>
          <w:p w14:paraId="506EE140" w14:textId="77777777" w:rsidR="00864DF2" w:rsidRDefault="00864DF2" w:rsidP="001515D5">
            <w:r>
              <w:t>Richland</w:t>
            </w:r>
          </w:p>
        </w:tc>
        <w:tc>
          <w:tcPr>
            <w:tcW w:w="4675" w:type="dxa"/>
          </w:tcPr>
          <w:p w14:paraId="48C44697" w14:textId="77777777" w:rsidR="00864DF2" w:rsidRDefault="00864DF2" w:rsidP="001515D5">
            <w:r>
              <w:t>2</w:t>
            </w:r>
          </w:p>
        </w:tc>
      </w:tr>
      <w:tr w:rsidR="00864DF2" w14:paraId="64DC4A36" w14:textId="77777777" w:rsidTr="001515D5">
        <w:tc>
          <w:tcPr>
            <w:tcW w:w="4675" w:type="dxa"/>
          </w:tcPr>
          <w:p w14:paraId="7FFDFA2D" w14:textId="77777777" w:rsidR="00864DF2" w:rsidRDefault="00864DF2" w:rsidP="001515D5">
            <w:r>
              <w:t>York</w:t>
            </w:r>
          </w:p>
        </w:tc>
        <w:tc>
          <w:tcPr>
            <w:tcW w:w="4675" w:type="dxa"/>
          </w:tcPr>
          <w:p w14:paraId="4D738C5A" w14:textId="77777777" w:rsidR="00864DF2" w:rsidRDefault="00864DF2" w:rsidP="001515D5">
            <w:r>
              <w:t>2</w:t>
            </w:r>
          </w:p>
        </w:tc>
      </w:tr>
      <w:tr w:rsidR="00864DF2" w14:paraId="7B13406C" w14:textId="77777777" w:rsidTr="001515D5">
        <w:tc>
          <w:tcPr>
            <w:tcW w:w="4675" w:type="dxa"/>
          </w:tcPr>
          <w:p w14:paraId="7217DA92" w14:textId="77777777" w:rsidR="00864DF2" w:rsidRDefault="00864DF2" w:rsidP="001515D5">
            <w:r>
              <w:t>Marlboro</w:t>
            </w:r>
          </w:p>
        </w:tc>
        <w:tc>
          <w:tcPr>
            <w:tcW w:w="4675" w:type="dxa"/>
          </w:tcPr>
          <w:p w14:paraId="182914E4" w14:textId="77777777" w:rsidR="00864DF2" w:rsidRDefault="00864DF2" w:rsidP="001515D5">
            <w:r>
              <w:t>2</w:t>
            </w:r>
          </w:p>
        </w:tc>
      </w:tr>
      <w:tr w:rsidR="00864DF2" w14:paraId="4C79C8A3" w14:textId="77777777" w:rsidTr="001515D5">
        <w:tc>
          <w:tcPr>
            <w:tcW w:w="4675" w:type="dxa"/>
          </w:tcPr>
          <w:p w14:paraId="2C9B6805" w14:textId="77777777" w:rsidR="00864DF2" w:rsidRDefault="00864DF2" w:rsidP="001515D5">
            <w:r>
              <w:t>Chester</w:t>
            </w:r>
          </w:p>
        </w:tc>
        <w:tc>
          <w:tcPr>
            <w:tcW w:w="4675" w:type="dxa"/>
          </w:tcPr>
          <w:p w14:paraId="60F25A29" w14:textId="77777777" w:rsidR="00864DF2" w:rsidRDefault="00864DF2" w:rsidP="001515D5">
            <w:r>
              <w:t>2</w:t>
            </w:r>
          </w:p>
        </w:tc>
      </w:tr>
      <w:tr w:rsidR="00864DF2" w14:paraId="7DAC7FF3" w14:textId="77777777" w:rsidTr="001515D5">
        <w:tc>
          <w:tcPr>
            <w:tcW w:w="4675" w:type="dxa"/>
          </w:tcPr>
          <w:p w14:paraId="7712E4B6" w14:textId="77777777" w:rsidR="00864DF2" w:rsidRDefault="00864DF2" w:rsidP="001515D5">
            <w:r>
              <w:t>Lancaster</w:t>
            </w:r>
          </w:p>
        </w:tc>
        <w:tc>
          <w:tcPr>
            <w:tcW w:w="4675" w:type="dxa"/>
          </w:tcPr>
          <w:p w14:paraId="2ADD0F9B" w14:textId="77777777" w:rsidR="00864DF2" w:rsidRDefault="00864DF2" w:rsidP="001515D5">
            <w:r>
              <w:t>2</w:t>
            </w:r>
          </w:p>
        </w:tc>
      </w:tr>
      <w:tr w:rsidR="00864DF2" w14:paraId="03D57BE1" w14:textId="77777777" w:rsidTr="001515D5">
        <w:tc>
          <w:tcPr>
            <w:tcW w:w="4675" w:type="dxa"/>
          </w:tcPr>
          <w:p w14:paraId="5DB59AE4" w14:textId="77777777" w:rsidR="00864DF2" w:rsidRDefault="00864DF2" w:rsidP="001515D5">
            <w:r>
              <w:t>Barnwell</w:t>
            </w:r>
          </w:p>
        </w:tc>
        <w:tc>
          <w:tcPr>
            <w:tcW w:w="4675" w:type="dxa"/>
          </w:tcPr>
          <w:p w14:paraId="1B040235" w14:textId="77777777" w:rsidR="00864DF2" w:rsidRDefault="00864DF2" w:rsidP="001515D5">
            <w:r>
              <w:t>2</w:t>
            </w:r>
          </w:p>
        </w:tc>
      </w:tr>
      <w:tr w:rsidR="00864DF2" w14:paraId="76710C20" w14:textId="77777777" w:rsidTr="001515D5">
        <w:tc>
          <w:tcPr>
            <w:tcW w:w="4675" w:type="dxa"/>
          </w:tcPr>
          <w:p w14:paraId="2FFE2B4D" w14:textId="77777777" w:rsidR="00864DF2" w:rsidRDefault="00864DF2" w:rsidP="001515D5">
            <w:r>
              <w:t>Oconee</w:t>
            </w:r>
          </w:p>
        </w:tc>
        <w:tc>
          <w:tcPr>
            <w:tcW w:w="4675" w:type="dxa"/>
          </w:tcPr>
          <w:p w14:paraId="44CFE42B" w14:textId="77777777" w:rsidR="00864DF2" w:rsidRDefault="00864DF2" w:rsidP="001515D5">
            <w:r>
              <w:t>1</w:t>
            </w:r>
          </w:p>
        </w:tc>
      </w:tr>
      <w:tr w:rsidR="00864DF2" w14:paraId="2A503498" w14:textId="77777777" w:rsidTr="001515D5">
        <w:tc>
          <w:tcPr>
            <w:tcW w:w="4675" w:type="dxa"/>
          </w:tcPr>
          <w:p w14:paraId="69EB24E7" w14:textId="77777777" w:rsidR="00864DF2" w:rsidRDefault="00864DF2" w:rsidP="001515D5">
            <w:r>
              <w:t>Darlington</w:t>
            </w:r>
          </w:p>
        </w:tc>
        <w:tc>
          <w:tcPr>
            <w:tcW w:w="4675" w:type="dxa"/>
          </w:tcPr>
          <w:p w14:paraId="7CF3A6BA" w14:textId="77777777" w:rsidR="00864DF2" w:rsidRDefault="00864DF2" w:rsidP="001515D5">
            <w:r>
              <w:t>1</w:t>
            </w:r>
          </w:p>
        </w:tc>
      </w:tr>
      <w:tr w:rsidR="00864DF2" w14:paraId="7BD352EA" w14:textId="77777777" w:rsidTr="001515D5">
        <w:tc>
          <w:tcPr>
            <w:tcW w:w="4675" w:type="dxa"/>
          </w:tcPr>
          <w:p w14:paraId="61FE6AD5" w14:textId="77777777" w:rsidR="00864DF2" w:rsidRDefault="00864DF2" w:rsidP="001515D5">
            <w:r>
              <w:t>Edgefield</w:t>
            </w:r>
          </w:p>
        </w:tc>
        <w:tc>
          <w:tcPr>
            <w:tcW w:w="4675" w:type="dxa"/>
          </w:tcPr>
          <w:p w14:paraId="78554F62" w14:textId="77777777" w:rsidR="00864DF2" w:rsidRDefault="00864DF2" w:rsidP="001515D5">
            <w:r>
              <w:t>1</w:t>
            </w:r>
          </w:p>
        </w:tc>
      </w:tr>
      <w:tr w:rsidR="00864DF2" w14:paraId="315FF879" w14:textId="77777777" w:rsidTr="001515D5">
        <w:tc>
          <w:tcPr>
            <w:tcW w:w="4675" w:type="dxa"/>
          </w:tcPr>
          <w:p w14:paraId="7520E5FF" w14:textId="77777777" w:rsidR="00864DF2" w:rsidRDefault="00864DF2" w:rsidP="001515D5">
            <w:r>
              <w:t>Newberry</w:t>
            </w:r>
          </w:p>
        </w:tc>
        <w:tc>
          <w:tcPr>
            <w:tcW w:w="4675" w:type="dxa"/>
          </w:tcPr>
          <w:p w14:paraId="0A2465BF" w14:textId="77777777" w:rsidR="00864DF2" w:rsidRDefault="00864DF2" w:rsidP="001515D5">
            <w:r>
              <w:t>1</w:t>
            </w:r>
          </w:p>
        </w:tc>
      </w:tr>
      <w:tr w:rsidR="00864DF2" w14:paraId="65E95818" w14:textId="77777777" w:rsidTr="001515D5">
        <w:tc>
          <w:tcPr>
            <w:tcW w:w="4675" w:type="dxa"/>
          </w:tcPr>
          <w:p w14:paraId="49CC1A9D" w14:textId="77777777" w:rsidR="00864DF2" w:rsidRDefault="00864DF2" w:rsidP="001515D5">
            <w:r>
              <w:t>Anderson</w:t>
            </w:r>
          </w:p>
        </w:tc>
        <w:tc>
          <w:tcPr>
            <w:tcW w:w="4675" w:type="dxa"/>
          </w:tcPr>
          <w:p w14:paraId="3625DF03" w14:textId="77777777" w:rsidR="00864DF2" w:rsidRDefault="00864DF2" w:rsidP="001515D5">
            <w:r>
              <w:t>1</w:t>
            </w:r>
          </w:p>
        </w:tc>
      </w:tr>
      <w:tr w:rsidR="00864DF2" w14:paraId="0AD5E15B" w14:textId="77777777" w:rsidTr="001515D5">
        <w:tc>
          <w:tcPr>
            <w:tcW w:w="4675" w:type="dxa"/>
          </w:tcPr>
          <w:p w14:paraId="43E58109" w14:textId="77777777" w:rsidR="00864DF2" w:rsidRDefault="00864DF2" w:rsidP="001515D5">
            <w:r>
              <w:t>Florence</w:t>
            </w:r>
          </w:p>
        </w:tc>
        <w:tc>
          <w:tcPr>
            <w:tcW w:w="4675" w:type="dxa"/>
          </w:tcPr>
          <w:p w14:paraId="56941AD2" w14:textId="77777777" w:rsidR="00864DF2" w:rsidRDefault="00864DF2" w:rsidP="001515D5">
            <w:r>
              <w:t>1</w:t>
            </w:r>
          </w:p>
        </w:tc>
      </w:tr>
      <w:tr w:rsidR="00864DF2" w14:paraId="47090753" w14:textId="77777777" w:rsidTr="001515D5">
        <w:tc>
          <w:tcPr>
            <w:tcW w:w="4675" w:type="dxa"/>
          </w:tcPr>
          <w:p w14:paraId="4A330539" w14:textId="77777777" w:rsidR="00864DF2" w:rsidRDefault="00864DF2" w:rsidP="001515D5">
            <w:r>
              <w:t>Williamsburg</w:t>
            </w:r>
          </w:p>
        </w:tc>
        <w:tc>
          <w:tcPr>
            <w:tcW w:w="4675" w:type="dxa"/>
          </w:tcPr>
          <w:p w14:paraId="225C3925" w14:textId="77777777" w:rsidR="00864DF2" w:rsidRDefault="00864DF2" w:rsidP="001515D5">
            <w:r>
              <w:t>1</w:t>
            </w:r>
          </w:p>
        </w:tc>
      </w:tr>
      <w:tr w:rsidR="00864DF2" w14:paraId="1CCFBBB5" w14:textId="77777777" w:rsidTr="001515D5">
        <w:tc>
          <w:tcPr>
            <w:tcW w:w="4675" w:type="dxa"/>
          </w:tcPr>
          <w:p w14:paraId="406ACE8C" w14:textId="77777777" w:rsidR="00864DF2" w:rsidRDefault="00864DF2" w:rsidP="001515D5">
            <w:r>
              <w:t>Georgetown</w:t>
            </w:r>
          </w:p>
        </w:tc>
        <w:tc>
          <w:tcPr>
            <w:tcW w:w="4675" w:type="dxa"/>
          </w:tcPr>
          <w:p w14:paraId="5C82B111" w14:textId="77777777" w:rsidR="00864DF2" w:rsidRDefault="00864DF2" w:rsidP="001515D5">
            <w:r>
              <w:t>1</w:t>
            </w:r>
          </w:p>
        </w:tc>
      </w:tr>
      <w:tr w:rsidR="00864DF2" w14:paraId="64F73232" w14:textId="77777777" w:rsidTr="001515D5">
        <w:tc>
          <w:tcPr>
            <w:tcW w:w="4675" w:type="dxa"/>
          </w:tcPr>
          <w:p w14:paraId="6860E31F" w14:textId="77777777" w:rsidR="00864DF2" w:rsidRDefault="00864DF2" w:rsidP="001515D5">
            <w:r>
              <w:t>Chesterfield</w:t>
            </w:r>
          </w:p>
        </w:tc>
        <w:tc>
          <w:tcPr>
            <w:tcW w:w="4675" w:type="dxa"/>
          </w:tcPr>
          <w:p w14:paraId="67F60A54" w14:textId="77777777" w:rsidR="00864DF2" w:rsidRDefault="00864DF2" w:rsidP="001515D5">
            <w:r>
              <w:t>1</w:t>
            </w:r>
          </w:p>
        </w:tc>
      </w:tr>
      <w:tr w:rsidR="00864DF2" w14:paraId="3409D58E" w14:textId="77777777" w:rsidTr="001515D5">
        <w:tc>
          <w:tcPr>
            <w:tcW w:w="4675" w:type="dxa"/>
          </w:tcPr>
          <w:p w14:paraId="7A4DA7C4" w14:textId="77777777" w:rsidR="00864DF2" w:rsidRDefault="00864DF2" w:rsidP="001515D5">
            <w:r>
              <w:t>Horry</w:t>
            </w:r>
          </w:p>
        </w:tc>
        <w:tc>
          <w:tcPr>
            <w:tcW w:w="4675" w:type="dxa"/>
          </w:tcPr>
          <w:p w14:paraId="1029F0DC" w14:textId="77777777" w:rsidR="00864DF2" w:rsidRDefault="00864DF2" w:rsidP="001515D5">
            <w:r>
              <w:t>1</w:t>
            </w:r>
          </w:p>
        </w:tc>
      </w:tr>
      <w:tr w:rsidR="00864DF2" w14:paraId="2997C4DA" w14:textId="77777777" w:rsidTr="001515D5">
        <w:tc>
          <w:tcPr>
            <w:tcW w:w="4675" w:type="dxa"/>
          </w:tcPr>
          <w:p w14:paraId="785273D0" w14:textId="77777777" w:rsidR="00864DF2" w:rsidRDefault="00864DF2" w:rsidP="001515D5">
            <w:r>
              <w:t>Greenville</w:t>
            </w:r>
          </w:p>
        </w:tc>
        <w:tc>
          <w:tcPr>
            <w:tcW w:w="4675" w:type="dxa"/>
          </w:tcPr>
          <w:p w14:paraId="0E31DA7E" w14:textId="77777777" w:rsidR="00864DF2" w:rsidRDefault="00864DF2" w:rsidP="001515D5">
            <w:r>
              <w:t>1</w:t>
            </w:r>
          </w:p>
        </w:tc>
      </w:tr>
      <w:tr w:rsidR="00864DF2" w14:paraId="0A04195D" w14:textId="77777777" w:rsidTr="001515D5">
        <w:tc>
          <w:tcPr>
            <w:tcW w:w="4675" w:type="dxa"/>
          </w:tcPr>
          <w:p w14:paraId="3E67B810" w14:textId="77777777" w:rsidR="00864DF2" w:rsidRDefault="00864DF2" w:rsidP="001515D5">
            <w:r>
              <w:t>Spartanburg</w:t>
            </w:r>
          </w:p>
        </w:tc>
        <w:tc>
          <w:tcPr>
            <w:tcW w:w="4675" w:type="dxa"/>
          </w:tcPr>
          <w:p w14:paraId="2C0D01A0" w14:textId="77777777" w:rsidR="00864DF2" w:rsidRDefault="00864DF2" w:rsidP="001515D5">
            <w:r>
              <w:t>1</w:t>
            </w:r>
          </w:p>
        </w:tc>
      </w:tr>
    </w:tbl>
    <w:p w14:paraId="132C9506" w14:textId="77777777" w:rsidR="00E25FEE" w:rsidRDefault="00E25FEE" w:rsidP="00E25FEE">
      <w:pPr>
        <w:pStyle w:val="Heading4"/>
      </w:pPr>
    </w:p>
    <w:p w14:paraId="4F0A893D" w14:textId="7FEAAC12" w:rsidR="00E25FEE" w:rsidRPr="00E25FEE" w:rsidRDefault="00E25FEE" w:rsidP="00E25FEE">
      <w:r w:rsidRPr="00E25FEE">
        <w:t xml:space="preserve">All qualitative data were analyzed using best practices in qualitative research through the iterative coding process. The data were coded using content thematic analysis in accordance with grounded theory analysis methods, through which concepts emerge from participants rather than imposing an </w:t>
      </w:r>
      <w:r w:rsidRPr="00E50F24">
        <w:rPr>
          <w:i/>
          <w:iCs/>
        </w:rPr>
        <w:t xml:space="preserve">a priori </w:t>
      </w:r>
      <w:r w:rsidRPr="00E25FEE">
        <w:t>theory.</w:t>
      </w:r>
      <w:r w:rsidRPr="00E25FEE">
        <w:rPr>
          <w:b/>
          <w:bCs/>
        </w:rPr>
        <w:t>2-3</w:t>
      </w:r>
      <w:r w:rsidRPr="00E25FEE">
        <w:t xml:space="preserve"> Grounded theory methods were used as an inductive approach for coding and analysis. Trained qualitative analysts reviewed the data to identify themes and patterns. Themes and subthemes from participants’ experiences were identified </w:t>
      </w:r>
      <w:r w:rsidRPr="00E25FEE">
        <w:lastRenderedPageBreak/>
        <w:t>by coders, tracked, and cataloged into a table of themes and subthemes. A consensus building process called "double coding" was used to ensure the reliability of coding. This included having at least two analysts for double coding, so that 20% of data was coded and the definitions were solidified before proceeding with analyzing the entire data set. A codebook was developed through the consensus-building process. Results include key themes and subthemes. Quotes were used when available to illuminate results.</w:t>
      </w:r>
    </w:p>
    <w:p w14:paraId="48F61BA7" w14:textId="77777777" w:rsidR="00E25FEE" w:rsidRDefault="00E25FEE" w:rsidP="00E25FEE"/>
    <w:p w14:paraId="623FDA86" w14:textId="3624CD38" w:rsidR="00E25FEE" w:rsidRDefault="00E25FEE" w:rsidP="00E25FEE">
      <w:r w:rsidRPr="00E25FEE">
        <w:t xml:space="preserve">The Socioecological Model was utilized in pulling out codes to frame the analysis.  Using the Socioecological Model in Public Health helps to consider the interplay between individual, interpersonal, community, organizational, and societal influences on health. Additionally, concepts such as policy, system, and environmental (PSE) change strategies were used to frame coding, as these approaches can create sustainable changes in communities and can be used to target the Social Determinants of Health (SDOH). </w:t>
      </w:r>
      <w:r w:rsidRPr="00E25FEE">
        <w:rPr>
          <w:b/>
          <w:bCs/>
        </w:rPr>
        <w:t xml:space="preserve">Table </w:t>
      </w:r>
      <w:r>
        <w:rPr>
          <w:b/>
          <w:bCs/>
        </w:rPr>
        <w:t>3.</w:t>
      </w:r>
      <w:r w:rsidRPr="00E25FEE">
        <w:rPr>
          <w:b/>
          <w:bCs/>
        </w:rPr>
        <w:t>5</w:t>
      </w:r>
      <w:r w:rsidRPr="00E25FEE">
        <w:t xml:space="preserve"> lists the major themes and subthemes of the codebook. </w:t>
      </w:r>
    </w:p>
    <w:p w14:paraId="6212F224" w14:textId="77777777" w:rsidR="00864DF2" w:rsidRPr="00E25FEE" w:rsidRDefault="00864DF2" w:rsidP="00E25FEE"/>
    <w:p w14:paraId="063F1831" w14:textId="77777777" w:rsidR="001E28D5" w:rsidRPr="007621EB" w:rsidRDefault="001E28D5" w:rsidP="001E28D5">
      <w:pPr>
        <w:pStyle w:val="Heading4"/>
      </w:pPr>
      <w:bookmarkStart w:id="44" w:name="_Toc154576294"/>
      <w:bookmarkStart w:id="45" w:name="_Toc162267011"/>
      <w:r>
        <w:t>Table 3.5: Codebook Major Themes and Subthemes.</w:t>
      </w:r>
      <w:bookmarkEnd w:id="44"/>
      <w:bookmarkEnd w:id="45"/>
      <w:r>
        <w:t xml:space="preserve"> </w:t>
      </w:r>
    </w:p>
    <w:tbl>
      <w:tblPr>
        <w:tblStyle w:val="TableGrid"/>
        <w:tblW w:w="0" w:type="auto"/>
        <w:tblLook w:val="04A0" w:firstRow="1" w:lastRow="0" w:firstColumn="1" w:lastColumn="0" w:noHBand="0" w:noVBand="1"/>
      </w:tblPr>
      <w:tblGrid>
        <w:gridCol w:w="4675"/>
        <w:gridCol w:w="4675"/>
      </w:tblGrid>
      <w:tr w:rsidR="001E28D5" w14:paraId="5E058152" w14:textId="77777777" w:rsidTr="00F63578">
        <w:tc>
          <w:tcPr>
            <w:tcW w:w="4675" w:type="dxa"/>
          </w:tcPr>
          <w:p w14:paraId="3D8FC00E" w14:textId="77777777" w:rsidR="001E28D5" w:rsidRPr="00E50F24" w:rsidRDefault="001E28D5" w:rsidP="00F63578">
            <w:pPr>
              <w:rPr>
                <w:color w:val="000000" w:themeColor="text1"/>
              </w:rPr>
            </w:pPr>
            <w:r w:rsidRPr="00E50F24">
              <w:rPr>
                <w:color w:val="000000" w:themeColor="text1"/>
              </w:rPr>
              <w:t>Themes</w:t>
            </w:r>
          </w:p>
        </w:tc>
        <w:tc>
          <w:tcPr>
            <w:tcW w:w="4675" w:type="dxa"/>
          </w:tcPr>
          <w:p w14:paraId="4EC7B206" w14:textId="77777777" w:rsidR="001E28D5" w:rsidRPr="00E50F24" w:rsidRDefault="001E28D5" w:rsidP="00F63578">
            <w:pPr>
              <w:rPr>
                <w:color w:val="000000" w:themeColor="text1"/>
              </w:rPr>
            </w:pPr>
            <w:r w:rsidRPr="00E50F24">
              <w:rPr>
                <w:color w:val="000000" w:themeColor="text1"/>
              </w:rPr>
              <w:t>Subthemes</w:t>
            </w:r>
          </w:p>
        </w:tc>
      </w:tr>
      <w:tr w:rsidR="001E28D5" w14:paraId="06F0A4C3" w14:textId="77777777" w:rsidTr="00F63578">
        <w:tc>
          <w:tcPr>
            <w:tcW w:w="4675" w:type="dxa"/>
            <w:vAlign w:val="center"/>
          </w:tcPr>
          <w:p w14:paraId="143F0B45" w14:textId="3BCD93A6" w:rsidR="001E28D5" w:rsidRPr="00E50F24" w:rsidRDefault="001E28D5" w:rsidP="00F63578">
            <w:pPr>
              <w:rPr>
                <w:rFonts w:cstheme="minorHAnsi"/>
                <w:color w:val="000000" w:themeColor="text1"/>
                <w:szCs w:val="28"/>
              </w:rPr>
            </w:pPr>
            <w:r w:rsidRPr="00E50F24">
              <w:t>Community Health Changes:</w:t>
            </w:r>
            <w:r w:rsidRPr="00E50F24">
              <w:rPr>
                <w:rStyle w:val="BoldP"/>
                <w:rFonts w:cstheme="minorHAnsi"/>
                <w:color w:val="000000" w:themeColor="text1"/>
                <w:szCs w:val="28"/>
              </w:rPr>
              <w:t xml:space="preserve"> </w:t>
            </w:r>
            <w:r w:rsidRPr="00E50F24">
              <w:rPr>
                <w:rFonts w:cstheme="minorHAnsi"/>
                <w:color w:val="000000" w:themeColor="text1"/>
                <w:szCs w:val="28"/>
              </w:rPr>
              <w:t>PSE changes affecting community health in the last 3-5 years</w:t>
            </w:r>
          </w:p>
        </w:tc>
        <w:tc>
          <w:tcPr>
            <w:tcW w:w="4675" w:type="dxa"/>
            <w:vAlign w:val="center"/>
          </w:tcPr>
          <w:p w14:paraId="51A01FCC" w14:textId="58A618FA" w:rsidR="001E28D5" w:rsidRPr="00E50F24" w:rsidRDefault="001E28D5" w:rsidP="00F63578">
            <w:pPr>
              <w:rPr>
                <w:color w:val="000000" w:themeColor="text1"/>
              </w:rPr>
            </w:pPr>
            <w:r w:rsidRPr="00E50F24">
              <w:rPr>
                <w:color w:val="000000" w:themeColor="text1"/>
              </w:rPr>
              <w:t>COVID-19; Disparities; Engagement/Collaborations; Overall Health Trends; Infrastructure; Transportation; Prevention and Intervention; Resource sharing</w:t>
            </w:r>
          </w:p>
        </w:tc>
      </w:tr>
      <w:tr w:rsidR="001E28D5" w14:paraId="574CE2C5" w14:textId="77777777" w:rsidTr="00F63578">
        <w:tc>
          <w:tcPr>
            <w:tcW w:w="4675" w:type="dxa"/>
            <w:vAlign w:val="center"/>
          </w:tcPr>
          <w:p w14:paraId="58ED8389" w14:textId="24C8861C" w:rsidR="001E28D5" w:rsidRPr="00E50F24" w:rsidRDefault="001E28D5" w:rsidP="00F63578">
            <w:pPr>
              <w:rPr>
                <w:color w:val="000000" w:themeColor="text1"/>
              </w:rPr>
            </w:pPr>
            <w:r w:rsidRPr="00E50F24">
              <w:t>Top Health Issues:</w:t>
            </w:r>
            <w:r w:rsidRPr="00E50F24">
              <w:rPr>
                <w:rStyle w:val="BoldP"/>
                <w:color w:val="000000" w:themeColor="text1"/>
                <w:szCs w:val="28"/>
              </w:rPr>
              <w:t xml:space="preserve"> </w:t>
            </w:r>
            <w:r w:rsidRPr="00E50F24">
              <w:rPr>
                <w:color w:val="000000" w:themeColor="text1"/>
              </w:rPr>
              <w:t>Most important health issues and priorities identified by participants</w:t>
            </w:r>
          </w:p>
        </w:tc>
        <w:tc>
          <w:tcPr>
            <w:tcW w:w="4675" w:type="dxa"/>
            <w:vAlign w:val="center"/>
          </w:tcPr>
          <w:p w14:paraId="2ADC0F8A" w14:textId="40F226D5" w:rsidR="001E28D5" w:rsidRPr="00E50F24" w:rsidRDefault="001E28D5" w:rsidP="00F63578">
            <w:pPr>
              <w:rPr>
                <w:color w:val="000000" w:themeColor="text1"/>
              </w:rPr>
            </w:pPr>
            <w:r w:rsidRPr="00E50F24">
              <w:rPr>
                <w:color w:val="000000" w:themeColor="text1"/>
              </w:rPr>
              <w:t>Access to care; Substance use; Mental Health; Oral Health; Sexual Health; Tobacco use; Injury and violence; Maternal, infant and child health; Obesity, nutrition, and physical activity; Chronic disease; Domestic and child abuse; Clinical and preventative services; Workplace Stress; Obesity; Diabetes; High Blood Pressure; Cancer</w:t>
            </w:r>
          </w:p>
        </w:tc>
      </w:tr>
      <w:tr w:rsidR="001E28D5" w14:paraId="0CB278F9" w14:textId="77777777" w:rsidTr="00F63578">
        <w:tc>
          <w:tcPr>
            <w:tcW w:w="4675" w:type="dxa"/>
            <w:vAlign w:val="center"/>
          </w:tcPr>
          <w:p w14:paraId="3BA47DE7" w14:textId="2C57D77A" w:rsidR="001E28D5" w:rsidRPr="00E50F24" w:rsidRDefault="001E28D5" w:rsidP="00F63578">
            <w:pPr>
              <w:rPr>
                <w:color w:val="000000" w:themeColor="text1"/>
              </w:rPr>
            </w:pPr>
            <w:r w:rsidRPr="00E50F24">
              <w:t>Underlying Causes of Health Issues:</w:t>
            </w:r>
            <w:r w:rsidRPr="00E50F24">
              <w:rPr>
                <w:rStyle w:val="BoldP"/>
                <w:color w:val="000000" w:themeColor="text1"/>
                <w:sz w:val="26"/>
                <w:szCs w:val="26"/>
              </w:rPr>
              <w:t xml:space="preserve"> </w:t>
            </w:r>
            <w:r w:rsidRPr="00E50F24">
              <w:rPr>
                <w:color w:val="000000" w:themeColor="text1"/>
              </w:rPr>
              <w:t>The underlying causes that affect community health including PSE factors</w:t>
            </w:r>
          </w:p>
        </w:tc>
        <w:tc>
          <w:tcPr>
            <w:tcW w:w="4675" w:type="dxa"/>
            <w:vAlign w:val="center"/>
          </w:tcPr>
          <w:p w14:paraId="307ED4B2" w14:textId="77190835" w:rsidR="001E28D5" w:rsidRPr="00E50F24" w:rsidRDefault="001E28D5" w:rsidP="00F63578">
            <w:pPr>
              <w:rPr>
                <w:color w:val="000000" w:themeColor="text1"/>
              </w:rPr>
            </w:pPr>
            <w:r w:rsidRPr="00E50F24">
              <w:rPr>
                <w:color w:val="000000" w:themeColor="text1"/>
              </w:rPr>
              <w:t>COVID-19; Socioeconomics; Health System Infrastructure; Transportation</w:t>
            </w:r>
          </w:p>
        </w:tc>
      </w:tr>
      <w:tr w:rsidR="001E28D5" w14:paraId="427068AC" w14:textId="77777777" w:rsidTr="00F63578">
        <w:tc>
          <w:tcPr>
            <w:tcW w:w="4675" w:type="dxa"/>
            <w:vAlign w:val="center"/>
          </w:tcPr>
          <w:p w14:paraId="35D7A6CC" w14:textId="77777777" w:rsidR="001E28D5" w:rsidRPr="00E50F24" w:rsidRDefault="001E28D5" w:rsidP="00F63578">
            <w:pPr>
              <w:rPr>
                <w:rFonts w:cstheme="minorHAnsi"/>
                <w:color w:val="000000" w:themeColor="text1"/>
                <w:szCs w:val="28"/>
              </w:rPr>
            </w:pPr>
            <w:r w:rsidRPr="00E50F24">
              <w:lastRenderedPageBreak/>
              <w:t>Organization’s Role in Addressing Health Issues:</w:t>
            </w:r>
            <w:r w:rsidRPr="00E50F24">
              <w:rPr>
                <w:rStyle w:val="BoldP"/>
                <w:color w:val="000000" w:themeColor="text1"/>
              </w:rPr>
              <w:t xml:space="preserve"> </w:t>
            </w:r>
            <w:r w:rsidRPr="00E50F24">
              <w:rPr>
                <w:color w:val="000000" w:themeColor="text1"/>
              </w:rPr>
              <w:t>How organizations define their roles and responsibilities in addressing SC’s health issues</w:t>
            </w:r>
          </w:p>
        </w:tc>
        <w:tc>
          <w:tcPr>
            <w:tcW w:w="4675" w:type="dxa"/>
            <w:vAlign w:val="center"/>
          </w:tcPr>
          <w:p w14:paraId="2D26BEBF" w14:textId="77777777" w:rsidR="001E28D5" w:rsidRPr="00E50F24" w:rsidRDefault="001E28D5" w:rsidP="00F63578">
            <w:pPr>
              <w:rPr>
                <w:color w:val="000000" w:themeColor="text1"/>
              </w:rPr>
            </w:pPr>
            <w:r w:rsidRPr="00E50F24">
              <w:rPr>
                <w:color w:val="000000" w:themeColor="text1"/>
              </w:rPr>
              <w:t>Collaborative Partnerships; Community Engagement and Outreach; Funding Efforts; Feedback Loops; Specific Programming Strategies; Policy and Advocacy</w:t>
            </w:r>
          </w:p>
        </w:tc>
      </w:tr>
      <w:tr w:rsidR="001E28D5" w14:paraId="39D8BAB3" w14:textId="77777777" w:rsidTr="00F63578">
        <w:tc>
          <w:tcPr>
            <w:tcW w:w="4675" w:type="dxa"/>
            <w:vAlign w:val="center"/>
          </w:tcPr>
          <w:p w14:paraId="6D6C6CAB" w14:textId="77777777" w:rsidR="001E28D5" w:rsidRPr="00E50F24" w:rsidRDefault="001E28D5" w:rsidP="00F63578">
            <w:pPr>
              <w:rPr>
                <w:rFonts w:cstheme="minorHAnsi"/>
                <w:color w:val="000000" w:themeColor="text1"/>
                <w:szCs w:val="28"/>
              </w:rPr>
            </w:pPr>
            <w:r w:rsidRPr="00E50F24">
              <w:t>Addressing Health Issues Causes:</w:t>
            </w:r>
            <w:r w:rsidRPr="00E50F24">
              <w:rPr>
                <w:color w:val="000000" w:themeColor="text1"/>
              </w:rPr>
              <w:t xml:space="preserve"> Specific activities organizations are implementing to address SC’s health issues</w:t>
            </w:r>
          </w:p>
        </w:tc>
        <w:tc>
          <w:tcPr>
            <w:tcW w:w="4675" w:type="dxa"/>
            <w:vAlign w:val="center"/>
          </w:tcPr>
          <w:p w14:paraId="7391C252" w14:textId="77777777" w:rsidR="001E28D5" w:rsidRPr="00E50F24" w:rsidRDefault="001E28D5" w:rsidP="00F63578">
            <w:pPr>
              <w:rPr>
                <w:color w:val="000000" w:themeColor="text1"/>
              </w:rPr>
            </w:pPr>
            <w:r w:rsidRPr="00E50F24">
              <w:rPr>
                <w:color w:val="000000" w:themeColor="text1"/>
              </w:rPr>
              <w:t>Connecting; Providing Individua</w:t>
            </w:r>
            <w:r>
              <w:rPr>
                <w:color w:val="000000" w:themeColor="text1"/>
              </w:rPr>
              <w:t>l-</w:t>
            </w:r>
            <w:r w:rsidRPr="00E50F24">
              <w:rPr>
                <w:color w:val="000000" w:themeColor="text1"/>
              </w:rPr>
              <w:t>Level Programming; Feedback Loops; Policies</w:t>
            </w:r>
          </w:p>
        </w:tc>
      </w:tr>
      <w:tr w:rsidR="001E28D5" w14:paraId="18311050" w14:textId="77777777" w:rsidTr="00F63578">
        <w:tc>
          <w:tcPr>
            <w:tcW w:w="4675" w:type="dxa"/>
            <w:vAlign w:val="center"/>
          </w:tcPr>
          <w:p w14:paraId="4A7F490E" w14:textId="77777777" w:rsidR="001E28D5" w:rsidRPr="00E50F24" w:rsidRDefault="001E28D5" w:rsidP="00F63578">
            <w:pPr>
              <w:rPr>
                <w:rFonts w:cstheme="minorHAnsi"/>
                <w:color w:val="000000" w:themeColor="text1"/>
                <w:szCs w:val="28"/>
              </w:rPr>
            </w:pPr>
            <w:r w:rsidRPr="00E50F24">
              <w:t>Biggest Challenges in Addressing SC’s Health Issues and Causes:</w:t>
            </w:r>
            <w:r w:rsidRPr="00E50F24">
              <w:rPr>
                <w:rStyle w:val="BoldP"/>
                <w:color w:val="000000" w:themeColor="text1"/>
              </w:rPr>
              <w:t xml:space="preserve"> </w:t>
            </w:r>
            <w:r w:rsidRPr="00E50F24">
              <w:rPr>
                <w:color w:val="000000" w:themeColor="text1"/>
              </w:rPr>
              <w:t>The challenges for individuals and organizations in addressing SC’s health issues and causes</w:t>
            </w:r>
          </w:p>
        </w:tc>
        <w:tc>
          <w:tcPr>
            <w:tcW w:w="4675" w:type="dxa"/>
            <w:vAlign w:val="center"/>
          </w:tcPr>
          <w:p w14:paraId="10228ABC" w14:textId="77777777" w:rsidR="001E28D5" w:rsidRPr="00E50F24" w:rsidRDefault="001E28D5" w:rsidP="00F63578">
            <w:pPr>
              <w:rPr>
                <w:color w:val="000000" w:themeColor="text1"/>
              </w:rPr>
            </w:pPr>
            <w:r w:rsidRPr="00E50F24">
              <w:rPr>
                <w:color w:val="000000" w:themeColor="text1"/>
              </w:rPr>
              <w:t>Health</w:t>
            </w:r>
            <w:r>
              <w:rPr>
                <w:color w:val="000000" w:themeColor="text1"/>
              </w:rPr>
              <w:t>c</w:t>
            </w:r>
            <w:r w:rsidRPr="00E50F24">
              <w:rPr>
                <w:color w:val="000000" w:themeColor="text1"/>
              </w:rPr>
              <w:t>are Infrastructure and Resources; Distrust and Discrimination; Socioeconomic; Access to Health PSE; Individual</w:t>
            </w:r>
            <w:r>
              <w:rPr>
                <w:color w:val="000000" w:themeColor="text1"/>
              </w:rPr>
              <w:t>-</w:t>
            </w:r>
            <w:r w:rsidRPr="00E50F24">
              <w:rPr>
                <w:color w:val="000000" w:themeColor="text1"/>
              </w:rPr>
              <w:t>Level Barriers; Transportation; Outreach; Policy Level</w:t>
            </w:r>
          </w:p>
        </w:tc>
      </w:tr>
      <w:tr w:rsidR="001E28D5" w14:paraId="568BBBCE" w14:textId="77777777" w:rsidTr="00F63578">
        <w:tc>
          <w:tcPr>
            <w:tcW w:w="4675" w:type="dxa"/>
            <w:vAlign w:val="center"/>
          </w:tcPr>
          <w:p w14:paraId="2D4B8184" w14:textId="77777777" w:rsidR="001E28D5" w:rsidRPr="00E50F24" w:rsidRDefault="001E28D5" w:rsidP="00F63578">
            <w:pPr>
              <w:rPr>
                <w:rFonts w:cstheme="minorHAnsi"/>
                <w:color w:val="000000" w:themeColor="text1"/>
                <w:szCs w:val="28"/>
              </w:rPr>
            </w:pPr>
            <w:r w:rsidRPr="00E50F24">
              <w:t>Future Strategies in Addressing SC’s Health Issues and Underlying Causes:</w:t>
            </w:r>
            <w:r w:rsidRPr="00E50F24">
              <w:rPr>
                <w:rStyle w:val="BoldP"/>
                <w:color w:val="000000" w:themeColor="text1"/>
              </w:rPr>
              <w:t xml:space="preserve"> </w:t>
            </w:r>
            <w:r w:rsidRPr="00E50F24">
              <w:rPr>
                <w:color w:val="000000" w:themeColor="text1"/>
              </w:rPr>
              <w:t>The strategies and activities organizations will utilize in the next 5-10 years to improve health issues and underlying causes</w:t>
            </w:r>
          </w:p>
        </w:tc>
        <w:tc>
          <w:tcPr>
            <w:tcW w:w="4675" w:type="dxa"/>
            <w:vAlign w:val="center"/>
          </w:tcPr>
          <w:p w14:paraId="44B45E20" w14:textId="77777777" w:rsidR="001E28D5" w:rsidRPr="00E50F24" w:rsidRDefault="001E28D5" w:rsidP="00F63578">
            <w:pPr>
              <w:rPr>
                <w:color w:val="000000" w:themeColor="text1"/>
              </w:rPr>
            </w:pPr>
            <w:r w:rsidRPr="00E50F24">
              <w:rPr>
                <w:color w:val="000000" w:themeColor="text1"/>
              </w:rPr>
              <w:t>Sustainability; Strategic Planning; Education and Training; Infrastructure; Advocacy; Collaborations and Partners; Outreach, Awareness, and Trust; Funding; Organized Creative Efforts</w:t>
            </w:r>
          </w:p>
        </w:tc>
      </w:tr>
      <w:tr w:rsidR="001E28D5" w14:paraId="53A4B28C" w14:textId="77777777" w:rsidTr="00F63578">
        <w:tc>
          <w:tcPr>
            <w:tcW w:w="4675" w:type="dxa"/>
            <w:vAlign w:val="center"/>
          </w:tcPr>
          <w:p w14:paraId="49B0A0EE" w14:textId="77777777" w:rsidR="001E28D5" w:rsidRPr="00E50F24" w:rsidRDefault="001E28D5" w:rsidP="00F63578">
            <w:pPr>
              <w:rPr>
                <w:rFonts w:cstheme="minorHAnsi"/>
                <w:color w:val="000000" w:themeColor="text1"/>
                <w:szCs w:val="28"/>
              </w:rPr>
            </w:pPr>
            <w:r w:rsidRPr="00E50F24">
              <w:t>Strengths: Strengths</w:t>
            </w:r>
            <w:r w:rsidRPr="00E50F24">
              <w:rPr>
                <w:color w:val="000000" w:themeColor="text1"/>
              </w:rPr>
              <w:t xml:space="preserve"> to be mobilized to improve the health of SC?</w:t>
            </w:r>
          </w:p>
        </w:tc>
        <w:tc>
          <w:tcPr>
            <w:tcW w:w="4675" w:type="dxa"/>
            <w:vAlign w:val="center"/>
          </w:tcPr>
          <w:p w14:paraId="181AB529" w14:textId="77777777" w:rsidR="001E28D5" w:rsidRPr="00E50F24" w:rsidRDefault="001E28D5" w:rsidP="00F63578">
            <w:pPr>
              <w:rPr>
                <w:color w:val="000000" w:themeColor="text1"/>
              </w:rPr>
            </w:pPr>
            <w:r w:rsidRPr="00E50F24">
              <w:rPr>
                <w:color w:val="000000" w:themeColor="text1"/>
              </w:rPr>
              <w:t>Awareness; Providing Support and Resources; More Data/Research; Type of Organizations Named; Volunteers; Structured Strategy; Building Collaborations and Community Engagement; Social Determinants of Health</w:t>
            </w:r>
          </w:p>
        </w:tc>
      </w:tr>
    </w:tbl>
    <w:p w14:paraId="65DB9CA0" w14:textId="77777777" w:rsidR="00E25FEE" w:rsidRDefault="00E25FEE" w:rsidP="00E25FEE">
      <w:pPr>
        <w:pStyle w:val="Heading4"/>
        <w:rPr>
          <w:b/>
          <w:i w:val="0"/>
          <w:iCs w:val="0"/>
          <w:sz w:val="40"/>
          <w:szCs w:val="26"/>
        </w:rPr>
      </w:pPr>
    </w:p>
    <w:p w14:paraId="6DE723D7" w14:textId="27D3ACA9" w:rsidR="00E25FEE" w:rsidRPr="00123D8C" w:rsidRDefault="00E25FEE" w:rsidP="00123D8C">
      <w:pPr>
        <w:pStyle w:val="Heading3"/>
      </w:pPr>
      <w:bookmarkStart w:id="46" w:name="_Toc162267012"/>
      <w:r w:rsidRPr="00123D8C">
        <w:t>Results</w:t>
      </w:r>
      <w:bookmarkEnd w:id="46"/>
    </w:p>
    <w:p w14:paraId="3CE18FA6" w14:textId="77777777" w:rsidR="00E25FEE" w:rsidRPr="00E25FEE" w:rsidRDefault="00E25FEE" w:rsidP="00E25FEE">
      <w:r w:rsidRPr="00E25FEE">
        <w:t xml:space="preserve">Key results included: </w:t>
      </w:r>
    </w:p>
    <w:p w14:paraId="3F2CDDB9" w14:textId="5EEE73A8" w:rsidR="00E25FEE" w:rsidRPr="00E25FEE" w:rsidRDefault="00E25FEE" w:rsidP="00926EB3">
      <w:pPr>
        <w:pStyle w:val="ListParagraph"/>
        <w:numPr>
          <w:ilvl w:val="0"/>
          <w:numId w:val="8"/>
        </w:numPr>
      </w:pPr>
      <w:r w:rsidRPr="00E25FEE">
        <w:rPr>
          <w:b/>
          <w:bCs/>
        </w:rPr>
        <w:t xml:space="preserve">Access to Health Care </w:t>
      </w:r>
      <w:r w:rsidRPr="00E25FEE">
        <w:t xml:space="preserve">was the number-one top health issue identified, and was the issue most often discussed throughout all data sources and main key themes.  Access to affordable health insurance, access to affordable quality health care, and healthcare infrastructure issues, specifically in rural areas, were discussed. </w:t>
      </w:r>
    </w:p>
    <w:p w14:paraId="3742D501" w14:textId="77777777" w:rsidR="00E25FEE" w:rsidRPr="00E25FEE" w:rsidRDefault="00E25FEE" w:rsidP="00926EB3">
      <w:pPr>
        <w:pStyle w:val="ListParagraph"/>
        <w:numPr>
          <w:ilvl w:val="0"/>
          <w:numId w:val="8"/>
        </w:numPr>
      </w:pPr>
      <w:r w:rsidRPr="00E25FEE">
        <w:rPr>
          <w:b/>
          <w:bCs/>
        </w:rPr>
        <w:lastRenderedPageBreak/>
        <w:t xml:space="preserve">Socioeconomics and poverty </w:t>
      </w:r>
      <w:r w:rsidRPr="00E25FEE">
        <w:t xml:space="preserve">were discussed as root causes of health disparities and as impacting the SDOH for many South Carolinians. This discussion was interwoven specifically with the Access to Health Care theme. </w:t>
      </w:r>
    </w:p>
    <w:p w14:paraId="19F25631" w14:textId="77777777" w:rsidR="00E25FEE" w:rsidRPr="00E25FEE" w:rsidRDefault="00E25FEE" w:rsidP="00926EB3">
      <w:pPr>
        <w:pStyle w:val="ListParagraph"/>
        <w:numPr>
          <w:ilvl w:val="0"/>
          <w:numId w:val="8"/>
        </w:numPr>
      </w:pPr>
      <w:r w:rsidRPr="00E25FEE">
        <w:rPr>
          <w:b/>
          <w:bCs/>
        </w:rPr>
        <w:t xml:space="preserve">Transportation </w:t>
      </w:r>
      <w:r w:rsidRPr="00E25FEE">
        <w:t xml:space="preserve">was present as a determinant, and as a barrier for many South Carolinians living in both rural and urban areas. </w:t>
      </w:r>
    </w:p>
    <w:p w14:paraId="00E14C94" w14:textId="77777777" w:rsidR="00E25FEE" w:rsidRPr="00E25FEE" w:rsidRDefault="00E25FEE" w:rsidP="00926EB3">
      <w:pPr>
        <w:pStyle w:val="ListParagraph"/>
        <w:numPr>
          <w:ilvl w:val="0"/>
          <w:numId w:val="8"/>
        </w:numPr>
      </w:pPr>
      <w:r w:rsidRPr="00E25FEE">
        <w:rPr>
          <w:b/>
          <w:bCs/>
        </w:rPr>
        <w:t xml:space="preserve">Mental health and substance use </w:t>
      </w:r>
      <w:r w:rsidRPr="00E25FEE">
        <w:t xml:space="preserve">were health issues emerging since the COVID-19 pandemic began. </w:t>
      </w:r>
    </w:p>
    <w:p w14:paraId="5E4374C6" w14:textId="77777777" w:rsidR="00E25FEE" w:rsidRPr="00E25FEE" w:rsidRDefault="00E25FEE" w:rsidP="00926EB3">
      <w:pPr>
        <w:pStyle w:val="ListParagraph"/>
        <w:numPr>
          <w:ilvl w:val="0"/>
          <w:numId w:val="8"/>
        </w:numPr>
      </w:pPr>
      <w:r w:rsidRPr="00E25FEE">
        <w:rPr>
          <w:b/>
          <w:bCs/>
        </w:rPr>
        <w:t xml:space="preserve">COVID-19 </w:t>
      </w:r>
      <w:r w:rsidRPr="00E25FEE">
        <w:t xml:space="preserve">was discussed as highlighting many issues and challenges that were present before COVID-19, but the pandemic worsened these issues further and brought more awareness. </w:t>
      </w:r>
    </w:p>
    <w:p w14:paraId="5CE3B3CF" w14:textId="7E215442" w:rsidR="00E25FEE" w:rsidRPr="00E25FEE" w:rsidRDefault="00E25FEE" w:rsidP="00926EB3">
      <w:pPr>
        <w:pStyle w:val="ListParagraph"/>
        <w:numPr>
          <w:ilvl w:val="0"/>
          <w:numId w:val="8"/>
        </w:numPr>
      </w:pPr>
      <w:r w:rsidRPr="00E25FEE">
        <w:rPr>
          <w:b/>
          <w:bCs/>
        </w:rPr>
        <w:t>Individual</w:t>
      </w:r>
      <w:r w:rsidR="00E50F24">
        <w:rPr>
          <w:b/>
          <w:bCs/>
        </w:rPr>
        <w:t>-</w:t>
      </w:r>
      <w:r w:rsidRPr="00E25FEE">
        <w:rPr>
          <w:b/>
          <w:bCs/>
        </w:rPr>
        <w:t>level barriers to health</w:t>
      </w:r>
      <w:r w:rsidRPr="00E25FEE">
        <w:t xml:space="preserve"> included discussions around improving health literacy levels of South Carolinians.</w:t>
      </w:r>
    </w:p>
    <w:p w14:paraId="106ABA5A" w14:textId="77777777" w:rsidR="00E25FEE" w:rsidRDefault="00E25FEE" w:rsidP="00E25FEE"/>
    <w:p w14:paraId="37F4DB0A" w14:textId="70ABF88A" w:rsidR="00E25FEE" w:rsidRDefault="00E25FEE" w:rsidP="00E25FEE">
      <w:r w:rsidRPr="00E25FEE">
        <w:t xml:space="preserve">Participants discussed the fact that </w:t>
      </w:r>
      <w:r w:rsidRPr="00E25FEE">
        <w:rPr>
          <w:b/>
          <w:bCs/>
        </w:rPr>
        <w:t>more collaborations between stakeholders</w:t>
      </w:r>
      <w:r w:rsidRPr="00E25FEE">
        <w:t xml:space="preserve"> were needed, as well as more community engagement, </w:t>
      </w:r>
      <w:proofErr w:type="gramStart"/>
      <w:r w:rsidRPr="00E25FEE">
        <w:t>in order to</w:t>
      </w:r>
      <w:proofErr w:type="gramEnd"/>
      <w:r w:rsidRPr="00E25FEE">
        <w:t xml:space="preserve"> improve the health of South Carolinians. These included partners gaining a better understanding of current resources and services available and working more collaboratively to bridge gaps. </w:t>
      </w:r>
    </w:p>
    <w:p w14:paraId="25A2C6A9" w14:textId="77777777" w:rsidR="00E25FEE" w:rsidRDefault="00E25FEE" w:rsidP="00E25FEE"/>
    <w:p w14:paraId="4A4275C3" w14:textId="77777777" w:rsidR="00E25FEE" w:rsidRDefault="00E25FEE" w:rsidP="00E25FEE">
      <w:r w:rsidRPr="00E25FEE">
        <w:t xml:space="preserve">In addition to raising partner awareness of resources and services, participants said South Carolinians needed more awareness of currently available resources and services. </w:t>
      </w:r>
    </w:p>
    <w:p w14:paraId="61D28A12" w14:textId="77777777" w:rsidR="00E25FEE" w:rsidRDefault="00E25FEE" w:rsidP="00E25FEE"/>
    <w:p w14:paraId="2651CB22" w14:textId="77777777" w:rsidR="00E50F24" w:rsidRDefault="00E50F24" w:rsidP="00E25FEE"/>
    <w:p w14:paraId="16CAD195" w14:textId="5F8EC0BC" w:rsidR="00E25FEE" w:rsidRPr="00123D8C" w:rsidRDefault="00E25FEE" w:rsidP="00123D8C">
      <w:pPr>
        <w:pStyle w:val="Heading4"/>
      </w:pPr>
      <w:bookmarkStart w:id="47" w:name="_Toc162267013"/>
      <w:r w:rsidRPr="00E25FEE">
        <w:t>Result #1: Community Health Changes</w:t>
      </w:r>
      <w:bookmarkEnd w:id="47"/>
    </w:p>
    <w:p w14:paraId="74C1A41F" w14:textId="77777777" w:rsidR="00F73294" w:rsidRDefault="00E25FEE" w:rsidP="00983AE8">
      <w:pPr>
        <w:pStyle w:val="Heading5"/>
      </w:pPr>
      <w:r w:rsidRPr="00E25FEE">
        <w:t xml:space="preserve">Definition: </w:t>
      </w:r>
    </w:p>
    <w:p w14:paraId="2A905EB2" w14:textId="1B4D04E6" w:rsidR="00E25FEE" w:rsidRDefault="00E25FEE" w:rsidP="00F73294">
      <w:r w:rsidRPr="00E25FEE">
        <w:t>PSE changes affecting community health in the last 3-5 years.</w:t>
      </w:r>
    </w:p>
    <w:p w14:paraId="49DB7D92" w14:textId="77777777" w:rsidR="00F73294" w:rsidRPr="00E25FEE" w:rsidRDefault="00F73294" w:rsidP="00F73294"/>
    <w:p w14:paraId="7F8DAB73" w14:textId="77777777" w:rsidR="00E25FEE" w:rsidRDefault="00E25FEE" w:rsidP="00E25FEE">
      <w:r w:rsidRPr="00E25FEE">
        <w:t xml:space="preserve">The top subthemes that emerged under the Community Health Changes theme were overall health trends, infrastructure, and COVID-19. Mental health was </w:t>
      </w:r>
      <w:proofErr w:type="gramStart"/>
      <w:r w:rsidRPr="00E25FEE">
        <w:t>a main focus</w:t>
      </w:r>
      <w:proofErr w:type="gramEnd"/>
      <w:r w:rsidRPr="00E25FEE">
        <w:t xml:space="preserve"> among all three of these subthemes. Participants noted mental health was affected during the COVID-19 pandemic, particularly for those who experienced heightened anxiety and depression. Access to care and stigma around mental health treatment were also mentioned as barriers. </w:t>
      </w:r>
    </w:p>
    <w:p w14:paraId="3F4D0B04" w14:textId="77777777" w:rsidR="00E25FEE" w:rsidRDefault="00E25FEE" w:rsidP="00E25FEE"/>
    <w:p w14:paraId="0F519510" w14:textId="13520313" w:rsidR="00E25FEE" w:rsidRPr="00E25FEE" w:rsidRDefault="00E25FEE" w:rsidP="00E25FEE">
      <w:r>
        <w:lastRenderedPageBreak/>
        <w:t xml:space="preserve">A quote collected on this subject: </w:t>
      </w:r>
      <w:r w:rsidRPr="00E25FEE">
        <w:t>“Mental health issues among children, teens, and adults have drastically increased due to C</w:t>
      </w:r>
      <w:r w:rsidR="00DA29BD">
        <w:t>OVID</w:t>
      </w:r>
      <w:r w:rsidRPr="00E25FEE">
        <w:t>-19. An unprecedented number of people are experiencing anxiety, depression, and panic attacks throughout the communities we serve. We need to normalize conversations about mental health and reduce stigmas associated with these conditions, especially among Black and Hispanic residents.”</w:t>
      </w:r>
    </w:p>
    <w:p w14:paraId="3E680BFB" w14:textId="47D0533D" w:rsidR="00E25FEE" w:rsidRDefault="00E25FEE" w:rsidP="00E25FEE"/>
    <w:p w14:paraId="27E30BFD" w14:textId="77777777" w:rsidR="00E25FEE" w:rsidRPr="00E25FEE" w:rsidRDefault="00E25FEE" w:rsidP="00983AE8">
      <w:pPr>
        <w:pStyle w:val="Heading5"/>
      </w:pPr>
      <w:r w:rsidRPr="00E25FEE">
        <w:t>COVID-19 Pandemic</w:t>
      </w:r>
    </w:p>
    <w:p w14:paraId="4C4FB869" w14:textId="77777777" w:rsidR="00E25FEE" w:rsidRPr="00E25FEE" w:rsidRDefault="00E25FEE" w:rsidP="00E25FEE">
      <w:r w:rsidRPr="00E25FEE">
        <w:t xml:space="preserve">Participants discussed the effects of the COVID-19 pandemic extensively. Responses focused on the economic impacts during and after the pandemic, increases in telehealth usage, and how isolation and lack of social connectedness affected individuals, particularly senior </w:t>
      </w:r>
      <w:proofErr w:type="gramStart"/>
      <w:r w:rsidRPr="00E25FEE">
        <w:t>citizens</w:t>
      </w:r>
      <w:proofErr w:type="gramEnd"/>
      <w:r w:rsidRPr="00E25FEE">
        <w:t xml:space="preserve"> and children. The COVID-19 pandemic was mostly described as having a negative effect, causing such problems as increased anxiety, educational issues such as decline in kindergarten readiness, financial issues creating emergency situations around basic needs such as rent and food, and lack of access to health care (e.g., availability of appointments, limited access to providers in rural areas). COVID-19 also affected prevention efforts since people were in a reactive state rather than a preventative state of mind. However, some participants described the COVID-19 pandemic as a catalyst for positive change and innovation. For example, people are paying more attention to their health, having conversations about mental health and access issues, and systems are implementing innovative approaches to providing care, such as more telehealth options.</w:t>
      </w:r>
    </w:p>
    <w:p w14:paraId="5A52D9DE" w14:textId="77777777" w:rsidR="00E25FEE" w:rsidRDefault="00E25FEE" w:rsidP="00E25FEE"/>
    <w:p w14:paraId="37C9177F" w14:textId="677DC499" w:rsidR="00E25FEE" w:rsidRPr="00E25FEE" w:rsidRDefault="00E25FEE" w:rsidP="00E25FEE">
      <w:r w:rsidRPr="00E25FEE">
        <w:t xml:space="preserve">Another notable finding was </w:t>
      </w:r>
      <w:r w:rsidR="00DA29BD">
        <w:t xml:space="preserve">that </w:t>
      </w:r>
      <w:r w:rsidRPr="00E25FEE">
        <w:t>while the COVID-19 pandemic was its own subtheme, it overlapped key themes. Some participants noticed a rise in substance use during the COVID-19 pandemic, and this rise was also mentioned in the Overall Health Trends subtheme. COVID-19 also had a great impact on chronic disease conditions. For example, one response noted some people delayed seeking care for their diabetes due to the pandemic, and found their condition had worsened when resuming care after the pandemic ended.</w:t>
      </w:r>
    </w:p>
    <w:p w14:paraId="1B33D41A" w14:textId="77777777" w:rsidR="00E25FEE" w:rsidRDefault="00E25FEE" w:rsidP="00E25FEE"/>
    <w:p w14:paraId="01B03847" w14:textId="70B65005" w:rsidR="00E25FEE" w:rsidRPr="00E25FEE" w:rsidRDefault="00E25FEE" w:rsidP="00E25FEE">
      <w:r>
        <w:t>Quotes collected on this subject read: “</w:t>
      </w:r>
      <w:r w:rsidRPr="00E25FEE">
        <w:t>After COVID-19, the community has been able to put together resources, and mobilize them better as a result of the pandemic.”</w:t>
      </w:r>
      <w:r>
        <w:t xml:space="preserve"> Also, “</w:t>
      </w:r>
      <w:r w:rsidRPr="00E25FEE">
        <w:t xml:space="preserve">They’re seeing the effects of Covid as far as populations who had less access to health care. Things have gotten worse in this regard. The diabetic population stopped going to the doctor, didn’t get meds refilled, or if they </w:t>
      </w:r>
      <w:r w:rsidRPr="00E25FEE">
        <w:lastRenderedPageBreak/>
        <w:t xml:space="preserve">were prediabetic, they are now diabetic. When they were getting feedback via virtual visits, it was brief and wouldn’t catch any issues in A1C levels.” </w:t>
      </w:r>
    </w:p>
    <w:p w14:paraId="155F037A" w14:textId="606BBEDA" w:rsidR="00E25FEE" w:rsidRDefault="00E25FEE" w:rsidP="00E25FEE"/>
    <w:p w14:paraId="40683115" w14:textId="2314EC1B" w:rsidR="00E25FEE" w:rsidRPr="00E25FEE" w:rsidRDefault="00E25FEE" w:rsidP="00983AE8">
      <w:pPr>
        <w:pStyle w:val="Heading5"/>
      </w:pPr>
      <w:proofErr w:type="gramStart"/>
      <w:r w:rsidRPr="00E25FEE">
        <w:t>Overall</w:t>
      </w:r>
      <w:proofErr w:type="gramEnd"/>
      <w:r w:rsidRPr="00E25FEE">
        <w:t xml:space="preserve"> Health Trends and Infrastructure</w:t>
      </w:r>
    </w:p>
    <w:p w14:paraId="72861213" w14:textId="77777777" w:rsidR="00E25FEE" w:rsidRPr="00E25FEE" w:rsidRDefault="00E25FEE" w:rsidP="00E25FEE">
      <w:r w:rsidRPr="00E25FEE">
        <w:t xml:space="preserve">The remaining subthemes under the Community Health Changes theme were overall health trends and infrastructure. One notable overall health trend mentioned was that people appeared to become more health-conscious since the COVID-19 pandemic. Responses mentioned an increase in physical activity, interest in nutrition and holistic medicine, and youth becoming more </w:t>
      </w:r>
      <w:proofErr w:type="gramStart"/>
      <w:r w:rsidRPr="00E25FEE">
        <w:t>health-conscious</w:t>
      </w:r>
      <w:proofErr w:type="gramEnd"/>
      <w:r w:rsidRPr="00E25FEE">
        <w:t>. It was also mentioned there was a greater focus on the health of young people. This finding also fits with the infrastructure subtheme, as it mentions “more systematic recovery support options for youth and families.” Under infrastructure, access to care was mentioned regarding the need for more medical providers. However, a few responses mentioned new health systems moving into new areas and the possible increase in access and quality of care that may come from those systems.</w:t>
      </w:r>
    </w:p>
    <w:p w14:paraId="09C50DF5" w14:textId="7915102C" w:rsidR="00E25FEE" w:rsidRDefault="00E25FEE" w:rsidP="00E25FEE"/>
    <w:p w14:paraId="4E22827D" w14:textId="7A8ED534" w:rsidR="00E25FEE" w:rsidRPr="00E25FEE" w:rsidRDefault="00E25FEE" w:rsidP="00E25FEE">
      <w:r>
        <w:t xml:space="preserve">A quote collected on this subject: </w:t>
      </w:r>
      <w:r w:rsidRPr="00E25FEE">
        <w:t xml:space="preserve">“Access to care has been a large issue in the community. Parents cannot access health care needs for themselves and their families. Parents lack the ability to advocate for their children and their own needs.” </w:t>
      </w:r>
    </w:p>
    <w:p w14:paraId="1B692B2C" w14:textId="1CF4E4D5" w:rsidR="00E25FEE" w:rsidRDefault="00E25FEE" w:rsidP="00E25FEE"/>
    <w:p w14:paraId="2647F18B" w14:textId="77777777" w:rsidR="00E25FEE" w:rsidRDefault="00E25FEE" w:rsidP="00123D8C">
      <w:pPr>
        <w:pStyle w:val="Heading4"/>
      </w:pPr>
      <w:bookmarkStart w:id="48" w:name="_Toc162267014"/>
      <w:r w:rsidRPr="00E25FEE">
        <w:t>Result #2: Top Health Issues</w:t>
      </w:r>
      <w:bookmarkEnd w:id="48"/>
    </w:p>
    <w:p w14:paraId="615B0736" w14:textId="77777777" w:rsidR="00F73294" w:rsidRDefault="00E25FEE" w:rsidP="00983AE8">
      <w:pPr>
        <w:pStyle w:val="Heading5"/>
      </w:pPr>
      <w:r w:rsidRPr="00E25FEE">
        <w:t xml:space="preserve">Definition: </w:t>
      </w:r>
    </w:p>
    <w:p w14:paraId="33B109C6" w14:textId="627C9B34" w:rsidR="00E25FEE" w:rsidRPr="00E25FEE" w:rsidRDefault="00E25FEE" w:rsidP="00F73294">
      <w:r w:rsidRPr="00E25FEE">
        <w:t xml:space="preserve">Top health issues identified by participants were analyzed as a count. </w:t>
      </w:r>
    </w:p>
    <w:p w14:paraId="53E1DFA1" w14:textId="77777777" w:rsidR="00F73294" w:rsidRDefault="00F73294" w:rsidP="00E25FEE"/>
    <w:p w14:paraId="11DD66D0" w14:textId="129744A4" w:rsidR="00E25FEE" w:rsidRDefault="00E25FEE" w:rsidP="00E25FEE">
      <w:r w:rsidRPr="00E25FEE">
        <w:t>The most important health issues and priorities identified by participants included:</w:t>
      </w:r>
    </w:p>
    <w:p w14:paraId="4D9D86AD" w14:textId="77777777" w:rsidR="002A0CBD" w:rsidRPr="007621EB" w:rsidRDefault="002A0CBD" w:rsidP="002A0CBD">
      <w:pPr>
        <w:pStyle w:val="Heading4"/>
      </w:pPr>
      <w:bookmarkStart w:id="49" w:name="_Toc154569760"/>
      <w:bookmarkStart w:id="50" w:name="_Toc162267015"/>
      <w:r>
        <w:t>Table 3.6: Top Health Issues.</w:t>
      </w:r>
      <w:bookmarkEnd w:id="49"/>
      <w:bookmarkEnd w:id="50"/>
    </w:p>
    <w:tbl>
      <w:tblPr>
        <w:tblStyle w:val="TableGrid"/>
        <w:tblW w:w="0" w:type="auto"/>
        <w:tblLook w:val="04A0" w:firstRow="1" w:lastRow="0" w:firstColumn="1" w:lastColumn="0" w:noHBand="0" w:noVBand="1"/>
      </w:tblPr>
      <w:tblGrid>
        <w:gridCol w:w="4675"/>
        <w:gridCol w:w="4675"/>
      </w:tblGrid>
      <w:tr w:rsidR="002A0CBD" w14:paraId="25702DB0" w14:textId="77777777" w:rsidTr="001515D5">
        <w:tc>
          <w:tcPr>
            <w:tcW w:w="4675" w:type="dxa"/>
          </w:tcPr>
          <w:p w14:paraId="2F4472E4" w14:textId="77777777" w:rsidR="002A0CBD" w:rsidRDefault="002A0CBD" w:rsidP="001515D5">
            <w:r>
              <w:t>Issues</w:t>
            </w:r>
          </w:p>
        </w:tc>
        <w:tc>
          <w:tcPr>
            <w:tcW w:w="4675" w:type="dxa"/>
          </w:tcPr>
          <w:p w14:paraId="6FF858B6" w14:textId="77777777" w:rsidR="002A0CBD" w:rsidRDefault="002A0CBD" w:rsidP="001515D5">
            <w:r>
              <w:t>Responses</w:t>
            </w:r>
          </w:p>
        </w:tc>
      </w:tr>
      <w:tr w:rsidR="002A0CBD" w14:paraId="09BD6015" w14:textId="77777777" w:rsidTr="001515D5">
        <w:tc>
          <w:tcPr>
            <w:tcW w:w="4675" w:type="dxa"/>
          </w:tcPr>
          <w:p w14:paraId="5B957E3F" w14:textId="77777777" w:rsidR="002A0CBD" w:rsidRDefault="002A0CBD" w:rsidP="001515D5">
            <w:r>
              <w:t>1. Access to Care</w:t>
            </w:r>
          </w:p>
        </w:tc>
        <w:tc>
          <w:tcPr>
            <w:tcW w:w="4675" w:type="dxa"/>
          </w:tcPr>
          <w:p w14:paraId="11191167" w14:textId="77777777" w:rsidR="002A0CBD" w:rsidRDefault="002A0CBD" w:rsidP="001515D5">
            <w:r>
              <w:t>61</w:t>
            </w:r>
          </w:p>
        </w:tc>
      </w:tr>
      <w:tr w:rsidR="002A0CBD" w14:paraId="4B6D5EDF" w14:textId="77777777" w:rsidTr="001515D5">
        <w:tc>
          <w:tcPr>
            <w:tcW w:w="4675" w:type="dxa"/>
          </w:tcPr>
          <w:p w14:paraId="411BB9EE" w14:textId="77777777" w:rsidR="002A0CBD" w:rsidRDefault="002A0CBD" w:rsidP="001515D5">
            <w:r>
              <w:t>2. Obesity, nutrition, and physical activity</w:t>
            </w:r>
          </w:p>
        </w:tc>
        <w:tc>
          <w:tcPr>
            <w:tcW w:w="4675" w:type="dxa"/>
          </w:tcPr>
          <w:p w14:paraId="5FB8B10E" w14:textId="77777777" w:rsidR="002A0CBD" w:rsidRDefault="002A0CBD" w:rsidP="001515D5">
            <w:r>
              <w:t>47</w:t>
            </w:r>
          </w:p>
        </w:tc>
      </w:tr>
      <w:tr w:rsidR="002A0CBD" w14:paraId="47B506F9" w14:textId="77777777" w:rsidTr="001515D5">
        <w:tc>
          <w:tcPr>
            <w:tcW w:w="4675" w:type="dxa"/>
          </w:tcPr>
          <w:p w14:paraId="3DDD635C" w14:textId="77777777" w:rsidR="002A0CBD" w:rsidRDefault="002A0CBD" w:rsidP="001515D5">
            <w:r>
              <w:t>3. (tie) Substance Use</w:t>
            </w:r>
          </w:p>
        </w:tc>
        <w:tc>
          <w:tcPr>
            <w:tcW w:w="4675" w:type="dxa"/>
          </w:tcPr>
          <w:p w14:paraId="71398BCC" w14:textId="77777777" w:rsidR="002A0CBD" w:rsidRPr="007621EB" w:rsidRDefault="002A0CBD" w:rsidP="001515D5">
            <w:r>
              <w:t>40</w:t>
            </w:r>
          </w:p>
        </w:tc>
      </w:tr>
      <w:tr w:rsidR="002A0CBD" w14:paraId="5E504012" w14:textId="77777777" w:rsidTr="001515D5">
        <w:tc>
          <w:tcPr>
            <w:tcW w:w="4675" w:type="dxa"/>
          </w:tcPr>
          <w:p w14:paraId="06D94DA9" w14:textId="77777777" w:rsidR="002A0CBD" w:rsidRDefault="002A0CBD" w:rsidP="001515D5">
            <w:r>
              <w:t>3. (tie) Mental Health</w:t>
            </w:r>
          </w:p>
        </w:tc>
        <w:tc>
          <w:tcPr>
            <w:tcW w:w="4675" w:type="dxa"/>
          </w:tcPr>
          <w:p w14:paraId="5984FFA5" w14:textId="77777777" w:rsidR="002A0CBD" w:rsidRDefault="002A0CBD" w:rsidP="001515D5">
            <w:r>
              <w:t>40</w:t>
            </w:r>
          </w:p>
        </w:tc>
      </w:tr>
    </w:tbl>
    <w:p w14:paraId="059DC769" w14:textId="4B9102FF" w:rsidR="00E25FEE" w:rsidRPr="00E25FEE" w:rsidRDefault="00E25FEE" w:rsidP="00E25FEE">
      <w:pPr>
        <w:pStyle w:val="ListParagraph"/>
      </w:pPr>
    </w:p>
    <w:p w14:paraId="53BE1C87" w14:textId="77777777" w:rsidR="00E25FEE" w:rsidRPr="00E25FEE" w:rsidRDefault="00E25FEE" w:rsidP="00E25FEE">
      <w:r w:rsidRPr="00E25FEE">
        <w:lastRenderedPageBreak/>
        <w:t xml:space="preserve">The community documents analyzed (CHIPs and CHAs) were mostly written before COVID-19, while Stakeholder Interviews, community listening sessions, and the Forces of Change survey results were collected in 2022 and 2023. Access to care issues were present across all data sources. CHIPs and CHAs most often identified chronic disease as top health issues (e.g., diabetes and obesity) while data sources collected in 2022 and 2023 emphasized substance use and mental health as top health issues. Participants often discussed more emphasis on substance use and mental health </w:t>
      </w:r>
      <w:proofErr w:type="gramStart"/>
      <w:r w:rsidRPr="00E25FEE">
        <w:t>as a result of</w:t>
      </w:r>
      <w:proofErr w:type="gramEnd"/>
      <w:r w:rsidRPr="00E25FEE">
        <w:t xml:space="preserve"> COVID-19.</w:t>
      </w:r>
    </w:p>
    <w:p w14:paraId="41CF8338" w14:textId="77777777" w:rsidR="00E25FEE" w:rsidRDefault="00E25FEE" w:rsidP="00E25FEE"/>
    <w:p w14:paraId="3F5948FA" w14:textId="5EEC0C5A" w:rsidR="00E25FEE" w:rsidRDefault="00E25FEE" w:rsidP="00E25FEE">
      <w:r w:rsidRPr="00E25FEE">
        <w:t xml:space="preserve">Access to care is a complex issue and was discussed throughout all data sources and main key themes. It was often described in terms of healthcare infrastructure and socioeconomics, interwoven throughout the chapter. </w:t>
      </w:r>
    </w:p>
    <w:p w14:paraId="382540E8" w14:textId="77777777" w:rsidR="00E25FEE" w:rsidRDefault="00E25FEE" w:rsidP="00E25FEE"/>
    <w:p w14:paraId="4CDBEC31" w14:textId="77777777" w:rsidR="00E25FEE" w:rsidRDefault="00E25FEE" w:rsidP="00E25FEE">
      <w:r w:rsidRPr="00E25FEE">
        <w:t>Access to care examples include:</w:t>
      </w:r>
    </w:p>
    <w:p w14:paraId="2E466BFF" w14:textId="20A2D2AE" w:rsidR="00E25FEE" w:rsidRDefault="00E25FEE" w:rsidP="00926EB3">
      <w:pPr>
        <w:pStyle w:val="ListParagraph"/>
        <w:numPr>
          <w:ilvl w:val="0"/>
          <w:numId w:val="9"/>
        </w:numPr>
      </w:pPr>
      <w:r w:rsidRPr="00E25FEE">
        <w:t>Lack of healthcare providers and supporting workforce, particularly in rural areas and within specialty care (e.g., psychiatrists). These issues also affect how much time providers can spend with patients, further affecting health care quality.</w:t>
      </w:r>
    </w:p>
    <w:p w14:paraId="37E43C4E" w14:textId="21792BF6" w:rsidR="00E25FEE" w:rsidRDefault="00E25FEE" w:rsidP="00926EB3">
      <w:pPr>
        <w:pStyle w:val="ListParagraph"/>
        <w:numPr>
          <w:ilvl w:val="0"/>
          <w:numId w:val="9"/>
        </w:numPr>
      </w:pPr>
      <w:r w:rsidRPr="00E25FEE">
        <w:t>Healthcare system mergers and the effect on physical localities, specifically in rural areas where there may be only one hospital or specialty provider.</w:t>
      </w:r>
    </w:p>
    <w:p w14:paraId="1F8872AF" w14:textId="77777777" w:rsidR="00E25FEE" w:rsidRDefault="00E25FEE" w:rsidP="00926EB3">
      <w:pPr>
        <w:pStyle w:val="ListParagraph"/>
        <w:numPr>
          <w:ilvl w:val="0"/>
          <w:numId w:val="9"/>
        </w:numPr>
      </w:pPr>
      <w:r w:rsidRPr="00E25FEE">
        <w:t>Lack of supporting infrastructure around care coordination between systems and direct care connections (e.g., community health workers, case managers).</w:t>
      </w:r>
    </w:p>
    <w:p w14:paraId="64ED15B2" w14:textId="40985289" w:rsidR="00E25FEE" w:rsidRDefault="00E25FEE" w:rsidP="00926EB3">
      <w:pPr>
        <w:pStyle w:val="ListParagraph"/>
        <w:numPr>
          <w:ilvl w:val="0"/>
          <w:numId w:val="9"/>
        </w:numPr>
      </w:pPr>
      <w:r w:rsidRPr="00E25FEE">
        <w:t>Lack of awareness around resources and care options for both patients and those working within healthcare systems.</w:t>
      </w:r>
    </w:p>
    <w:p w14:paraId="48F6CC80" w14:textId="77777777" w:rsidR="00E25FEE" w:rsidRDefault="00E25FEE" w:rsidP="00926EB3">
      <w:pPr>
        <w:pStyle w:val="ListParagraph"/>
        <w:numPr>
          <w:ilvl w:val="0"/>
          <w:numId w:val="9"/>
        </w:numPr>
      </w:pPr>
      <w:r w:rsidRPr="00E25FEE">
        <w:t>More access to evidence-based prevention programming needs.</w:t>
      </w:r>
    </w:p>
    <w:p w14:paraId="602C0A6F" w14:textId="442618D8" w:rsidR="00E25FEE" w:rsidRDefault="00E25FEE" w:rsidP="00926EB3">
      <w:pPr>
        <w:pStyle w:val="ListParagraph"/>
        <w:numPr>
          <w:ilvl w:val="0"/>
          <w:numId w:val="9"/>
        </w:numPr>
      </w:pPr>
      <w:r w:rsidRPr="00E25FEE">
        <w:t>Stigma around particular health topics (e.g., mental health), discrimination within the healthcare system, lack of trust between certain populations and the healthcare system.</w:t>
      </w:r>
    </w:p>
    <w:p w14:paraId="4638B513" w14:textId="77777777" w:rsidR="00E25FEE" w:rsidRDefault="00E25FEE" w:rsidP="00926EB3">
      <w:pPr>
        <w:pStyle w:val="ListParagraph"/>
        <w:numPr>
          <w:ilvl w:val="0"/>
          <w:numId w:val="9"/>
        </w:numPr>
      </w:pPr>
      <w:r w:rsidRPr="00E25FEE">
        <w:t xml:space="preserve">Advocacy capacity and health literacy levels of patients.  </w:t>
      </w:r>
    </w:p>
    <w:p w14:paraId="369A6772" w14:textId="77777777" w:rsidR="00E25FEE" w:rsidRDefault="00E25FEE" w:rsidP="00926EB3">
      <w:pPr>
        <w:pStyle w:val="ListParagraph"/>
        <w:numPr>
          <w:ilvl w:val="0"/>
          <w:numId w:val="9"/>
        </w:numPr>
      </w:pPr>
      <w:r w:rsidRPr="00E25FEE">
        <w:t>Access to affordable health insurance options for low- and middle-class South Carolinians, no Medicaid expansion, and lack of providers accepting Medicare and Medicaid.</w:t>
      </w:r>
    </w:p>
    <w:p w14:paraId="36C8DBFA" w14:textId="77777777" w:rsidR="00E25FEE" w:rsidRDefault="00E25FEE" w:rsidP="00926EB3">
      <w:pPr>
        <w:pStyle w:val="ListParagraph"/>
        <w:numPr>
          <w:ilvl w:val="0"/>
          <w:numId w:val="9"/>
        </w:numPr>
      </w:pPr>
      <w:r w:rsidRPr="00E25FEE">
        <w:t xml:space="preserve">Affordability of quality health care (e.g., copayments, deductibles). </w:t>
      </w:r>
    </w:p>
    <w:p w14:paraId="1BB4E134" w14:textId="77777777" w:rsidR="00E25FEE" w:rsidRDefault="00E25FEE" w:rsidP="00926EB3">
      <w:pPr>
        <w:pStyle w:val="ListParagraph"/>
        <w:numPr>
          <w:ilvl w:val="0"/>
          <w:numId w:val="9"/>
        </w:numPr>
      </w:pPr>
      <w:r w:rsidRPr="00E25FEE">
        <w:t>Socioeconomic issues such as unemployment, low wages, and inflation impacts on the affordability of basic needs (e.g., paying rent versus paying for health insurance or prescription medications).</w:t>
      </w:r>
    </w:p>
    <w:p w14:paraId="6281FABC" w14:textId="5E8B291B" w:rsidR="00E25FEE" w:rsidRPr="00E25FEE" w:rsidRDefault="00E25FEE" w:rsidP="00926EB3">
      <w:pPr>
        <w:pStyle w:val="ListParagraph"/>
        <w:numPr>
          <w:ilvl w:val="0"/>
          <w:numId w:val="9"/>
        </w:numPr>
      </w:pPr>
      <w:r w:rsidRPr="00E25FEE">
        <w:lastRenderedPageBreak/>
        <w:t>Opportunity costs to accessing care (e.g., paid time off from work, childcare issues, transportation), coupled with lack of flexible health care options (e.g., telehealth, mobile units, health care access outside of normal business hours).</w:t>
      </w:r>
    </w:p>
    <w:p w14:paraId="2B7FC2AD" w14:textId="77777777" w:rsidR="00E25FEE" w:rsidRPr="00E25FEE" w:rsidRDefault="00E25FEE" w:rsidP="00E25FEE"/>
    <w:p w14:paraId="0555A961" w14:textId="691977FA" w:rsidR="00E25FEE" w:rsidRDefault="00E25FEE" w:rsidP="002A0CBD">
      <w:pPr>
        <w:pStyle w:val="Heading4"/>
      </w:pPr>
      <w:bookmarkStart w:id="51" w:name="_Toc162267016"/>
      <w:r w:rsidRPr="002A0CBD">
        <w:t>Figure 3.</w:t>
      </w:r>
      <w:r w:rsidR="002A0CBD" w:rsidRPr="002A0CBD">
        <w:t>1: Top SC Issues Identified.</w:t>
      </w:r>
      <w:bookmarkEnd w:id="51"/>
    </w:p>
    <w:p w14:paraId="4EE7C0A3" w14:textId="2A194FA1" w:rsidR="002A0CBD" w:rsidRDefault="002A0CBD" w:rsidP="00926EB3">
      <w:pPr>
        <w:pStyle w:val="ListParagraph"/>
        <w:numPr>
          <w:ilvl w:val="0"/>
          <w:numId w:val="52"/>
        </w:numPr>
      </w:pPr>
      <w:r>
        <w:t>Access to Care.</w:t>
      </w:r>
    </w:p>
    <w:p w14:paraId="2299E3E8" w14:textId="1B2C9C47" w:rsidR="002A0CBD" w:rsidRDefault="002A0CBD" w:rsidP="00926EB3">
      <w:pPr>
        <w:pStyle w:val="ListParagraph"/>
        <w:numPr>
          <w:ilvl w:val="0"/>
          <w:numId w:val="52"/>
        </w:numPr>
      </w:pPr>
      <w:r>
        <w:t>Substance Use.</w:t>
      </w:r>
    </w:p>
    <w:p w14:paraId="135AB7FB" w14:textId="65DA1049" w:rsidR="002A0CBD" w:rsidRDefault="002A0CBD" w:rsidP="00926EB3">
      <w:pPr>
        <w:pStyle w:val="ListParagraph"/>
        <w:numPr>
          <w:ilvl w:val="0"/>
          <w:numId w:val="52"/>
        </w:numPr>
      </w:pPr>
      <w:r>
        <w:t>Mental Health.</w:t>
      </w:r>
    </w:p>
    <w:p w14:paraId="117DF924" w14:textId="5CDB2E5E" w:rsidR="002A0CBD" w:rsidRPr="002A0CBD" w:rsidRDefault="002A0CBD" w:rsidP="00926EB3">
      <w:pPr>
        <w:pStyle w:val="ListParagraph"/>
        <w:numPr>
          <w:ilvl w:val="0"/>
          <w:numId w:val="52"/>
        </w:numPr>
      </w:pPr>
      <w:r>
        <w:t xml:space="preserve">Obesity, Nutrition and Physical Activity. </w:t>
      </w:r>
    </w:p>
    <w:p w14:paraId="49B1F524" w14:textId="77777777" w:rsidR="00E25FEE" w:rsidRDefault="00E25FEE" w:rsidP="00E25FEE">
      <w:pPr>
        <w:pStyle w:val="Heading3"/>
      </w:pPr>
    </w:p>
    <w:p w14:paraId="62A11E3A" w14:textId="00B3619B" w:rsidR="00E25FEE" w:rsidRPr="00123D8C" w:rsidRDefault="00E25FEE" w:rsidP="00123D8C">
      <w:pPr>
        <w:pStyle w:val="Heading4"/>
      </w:pPr>
      <w:bookmarkStart w:id="52" w:name="_Toc162267017"/>
      <w:r w:rsidRPr="00123D8C">
        <w:t>Result #3: Underlying Causes of Health Issues</w:t>
      </w:r>
      <w:bookmarkEnd w:id="52"/>
    </w:p>
    <w:p w14:paraId="384244E9" w14:textId="0284DE6B" w:rsidR="00F73294" w:rsidRPr="00F73294" w:rsidRDefault="00E25FEE" w:rsidP="00123D8C">
      <w:pPr>
        <w:pStyle w:val="Heading5"/>
      </w:pPr>
      <w:r w:rsidRPr="00E25FEE">
        <w:t>Definition:</w:t>
      </w:r>
    </w:p>
    <w:p w14:paraId="2EB87FC3" w14:textId="3BB8C9E3" w:rsidR="00E25FEE" w:rsidRDefault="00E25FEE" w:rsidP="00E25FEE">
      <w:r w:rsidRPr="00E25FEE">
        <w:t>Participants often framed underlying cause discussions around the top health issues, which were access to care, obesity, nutrition, and physical activity, substance use, and mental health. The top emerging subthemes included health system infrastructure, socioeconomics, and individual</w:t>
      </w:r>
      <w:r w:rsidR="00DA29BD">
        <w:t>-</w:t>
      </w:r>
      <w:r w:rsidRPr="00E25FEE">
        <w:t>level barriers.</w:t>
      </w:r>
    </w:p>
    <w:p w14:paraId="374EBBDB" w14:textId="77777777" w:rsidR="00DA29BD" w:rsidRPr="00E25FEE" w:rsidRDefault="00DA29BD" w:rsidP="00E25FEE"/>
    <w:p w14:paraId="6B72DD50" w14:textId="77777777" w:rsidR="00E25FEE" w:rsidRDefault="00E25FEE" w:rsidP="00E25FEE">
      <w:r w:rsidRPr="00E25FEE">
        <w:t xml:space="preserve">Access to care was both the top health issue and an underlying cause of health issues, with participants noting affordability, translation resources and disparities for the Hispanic population, and inaccessibility/unavailability of Medicaid as access barriers. Similar issues were mentioned with substance use and mental health, specifically access and availability of mental health and substance-use treatment and insufficient resources. Obesity, nutrition, and physical activity were present among </w:t>
      </w:r>
      <w:proofErr w:type="gramStart"/>
      <w:r w:rsidRPr="00E25FEE">
        <w:t>all of</w:t>
      </w:r>
      <w:proofErr w:type="gramEnd"/>
      <w:r w:rsidRPr="00E25FEE">
        <w:t xml:space="preserve"> the subthemes under Underlying Causes. Responses commonly discussed food deserts, access to healthy food, and locations for physical activity. Funding, resources, and education were listed as ways to reduce the effects of these health issues.</w:t>
      </w:r>
    </w:p>
    <w:p w14:paraId="3359CFBF" w14:textId="77777777" w:rsidR="00E25FEE" w:rsidRDefault="00E25FEE" w:rsidP="00E25FEE"/>
    <w:p w14:paraId="37683138" w14:textId="2F811204" w:rsidR="00E25FEE" w:rsidRDefault="00E25FEE" w:rsidP="00E25FEE">
      <w:r>
        <w:t>A quote collected on this subject</w:t>
      </w:r>
      <w:r w:rsidR="00031CF5">
        <w:t xml:space="preserve">: </w:t>
      </w:r>
      <w:r>
        <w:t>“</w:t>
      </w:r>
      <w:r w:rsidRPr="00E25FEE">
        <w:t xml:space="preserve">I think the lack of access to care is one of the biggest underlying causes to the mental health crisis and substance misuse. With the growing population…the resources addressing these issues are being overworked and depleted, we don’t have enough to keep up with the demand. These issues will only continue to get worse unless we all come together to address them on a community level.”  </w:t>
      </w:r>
    </w:p>
    <w:p w14:paraId="15739651" w14:textId="77777777" w:rsidR="00E25FEE" w:rsidRDefault="00E25FEE" w:rsidP="00E25FEE"/>
    <w:p w14:paraId="41E5AE91" w14:textId="77777777" w:rsidR="00E25FEE" w:rsidRPr="00E25FEE" w:rsidRDefault="00E25FEE" w:rsidP="00983AE8">
      <w:pPr>
        <w:pStyle w:val="Heading5"/>
      </w:pPr>
      <w:r w:rsidRPr="00E25FEE">
        <w:lastRenderedPageBreak/>
        <w:t>Health System Infrastructure and Socioeconomics</w:t>
      </w:r>
    </w:p>
    <w:p w14:paraId="2366CD97" w14:textId="62898185" w:rsidR="00E25FEE" w:rsidRPr="00E25FEE" w:rsidRDefault="00E25FEE" w:rsidP="00E25FEE">
      <w:r w:rsidRPr="00E25FEE">
        <w:t xml:space="preserve">Health system infrastructure barriers were mentioned in terms of lack of healthcare providers (e.g., mental health care providers) and lack of supporting infrastructure connecting people to care, such as community health workers. Other common issues under both health system infrastructure and socioeconomics were unemployment and lack of health insurance. Economic issues had a heavy focus on economic development/unemployment, inflation, affordable housing, access to affordable health care, and access to educational opportunities. Poverty was a common word found in many participants’ responses. Participants discussed the effects of poverty on health, such as how poverty makes it more difficult to access care due to insufficient health insurance, affordability of care, and lost wages from taking time off from work. In some circumstances, poverty forces individuals to choose between paying for health insurance and other basic needs. </w:t>
      </w:r>
    </w:p>
    <w:p w14:paraId="27396E4A" w14:textId="77777777" w:rsidR="00E25FEE" w:rsidRDefault="00E25FEE" w:rsidP="00E25FEE"/>
    <w:p w14:paraId="430D6CCC" w14:textId="77777777" w:rsidR="00E25FEE" w:rsidRDefault="00E25FEE" w:rsidP="00E25FEE">
      <w:r w:rsidRPr="00E25FEE">
        <w:t>Transportation was mentioned in responses from each of these Underlying Cause subthemes, but particularly in the health system infrastructure and socioeconomic subthemes. Issues with transportation included lack of public transportation and lack of a personal vehicle, or inability to maintain a personal vehicle. Transportation issues are particularly important in rural areas, where food and health care resources are geographically spread out.</w:t>
      </w:r>
    </w:p>
    <w:p w14:paraId="14B1E6FB" w14:textId="38C1368B" w:rsidR="00E25FEE" w:rsidRPr="00E25FEE" w:rsidRDefault="00E25FEE" w:rsidP="00E25FEE"/>
    <w:p w14:paraId="194A4718" w14:textId="77A4C142" w:rsidR="00E25FEE" w:rsidRPr="00E25FEE" w:rsidRDefault="00E25FEE" w:rsidP="00983AE8">
      <w:pPr>
        <w:pStyle w:val="Heading5"/>
      </w:pPr>
      <w:r w:rsidRPr="00E25FEE">
        <w:t>Individual</w:t>
      </w:r>
      <w:r w:rsidR="00DA29BD">
        <w:t>-</w:t>
      </w:r>
      <w:r w:rsidRPr="00E25FEE">
        <w:t xml:space="preserve">Level Barriers </w:t>
      </w:r>
    </w:p>
    <w:p w14:paraId="20E6ADCB" w14:textId="77777777" w:rsidR="00E25FEE" w:rsidRDefault="00E25FEE" w:rsidP="00E25FEE">
      <w:r w:rsidRPr="00E25FEE">
        <w:t>Health literacy was mentioned often, with participants discussing educating people on how to eat healthy in an affordable way to help reduce obesity rates, and how to make appropriate health care decisions. This was similarly discussed regarding substance use. Some participants felt children and adults are not being educated properly on the dangers of substance use and tobacco use, including vaping.</w:t>
      </w:r>
    </w:p>
    <w:p w14:paraId="1780C540" w14:textId="77777777" w:rsidR="00E25FEE" w:rsidRDefault="00E25FEE" w:rsidP="00E25FEE"/>
    <w:p w14:paraId="421BEBD6" w14:textId="34AB7639" w:rsidR="00E25FEE" w:rsidRPr="00E25FEE" w:rsidRDefault="00E25FEE" w:rsidP="00E25FEE">
      <w:r>
        <w:t xml:space="preserve">A quote collected on </w:t>
      </w:r>
      <w:proofErr w:type="gramStart"/>
      <w:r>
        <w:t>this subject reads</w:t>
      </w:r>
      <w:proofErr w:type="gramEnd"/>
      <w:r>
        <w:t xml:space="preserve">: </w:t>
      </w:r>
      <w:r w:rsidRPr="00E25FEE">
        <w:t xml:space="preserve">“The economic status of an individual or household can create several challenges for their current and future health risks and well-being. Residents who face financial barriers may have limited insurance coverage or may not seek coverage due to cost, especially when a decision must be made between basic needs. Lower household income increases risk for injury, accidents, and physical abuse, and contributes to the frequency or severity of chronic conditions such as asthma, obesity, anxiety, and behavioral disorders. </w:t>
      </w:r>
      <w:r w:rsidRPr="00E25FEE">
        <w:lastRenderedPageBreak/>
        <w:t>These challenges are present at all ages, but may have lasting effects on children into adulthood.”</w:t>
      </w:r>
    </w:p>
    <w:p w14:paraId="290CB694" w14:textId="77777777" w:rsidR="00E25FEE" w:rsidRPr="00E25FEE" w:rsidRDefault="00E25FEE" w:rsidP="00E25FEE">
      <w:pPr>
        <w:rPr>
          <w:color w:val="FF0000"/>
        </w:rPr>
      </w:pPr>
      <w:r w:rsidRPr="00E25FEE">
        <w:rPr>
          <w:color w:val="FF0000"/>
        </w:rPr>
        <w:t xml:space="preserve"> </w:t>
      </w:r>
    </w:p>
    <w:p w14:paraId="63DB728D" w14:textId="05F4681F" w:rsidR="00E25FEE" w:rsidRDefault="00E25FEE" w:rsidP="002A0CBD">
      <w:pPr>
        <w:pStyle w:val="Heading4"/>
      </w:pPr>
      <w:bookmarkStart w:id="53" w:name="_Toc162267018"/>
      <w:r w:rsidRPr="002A0CBD">
        <w:t>Figure 3.2</w:t>
      </w:r>
      <w:r w:rsidR="002A0CBD" w:rsidRPr="002A0CBD">
        <w:t>: Underlying Causes of SC Health Issues.</w:t>
      </w:r>
      <w:bookmarkEnd w:id="53"/>
    </w:p>
    <w:p w14:paraId="0FB1A453" w14:textId="094D8070" w:rsidR="002A0CBD" w:rsidRDefault="002A0CBD" w:rsidP="00926EB3">
      <w:pPr>
        <w:pStyle w:val="ListParagraph"/>
        <w:numPr>
          <w:ilvl w:val="0"/>
          <w:numId w:val="53"/>
        </w:numPr>
      </w:pPr>
      <w:r>
        <w:t xml:space="preserve">Socioeconomics. </w:t>
      </w:r>
    </w:p>
    <w:p w14:paraId="5CF4AD20" w14:textId="66F31776" w:rsidR="002A0CBD" w:rsidRDefault="002A0CBD" w:rsidP="00926EB3">
      <w:pPr>
        <w:pStyle w:val="ListParagraph"/>
        <w:numPr>
          <w:ilvl w:val="0"/>
          <w:numId w:val="53"/>
        </w:numPr>
      </w:pPr>
      <w:r>
        <w:t>Individual</w:t>
      </w:r>
      <w:r w:rsidR="00DA29BD">
        <w:t>-</w:t>
      </w:r>
      <w:r>
        <w:t>Level Barriers.</w:t>
      </w:r>
    </w:p>
    <w:p w14:paraId="2422925D" w14:textId="35B3E993" w:rsidR="002A0CBD" w:rsidRPr="002A0CBD" w:rsidRDefault="002A0CBD" w:rsidP="00926EB3">
      <w:pPr>
        <w:pStyle w:val="ListParagraph"/>
        <w:numPr>
          <w:ilvl w:val="0"/>
          <w:numId w:val="53"/>
        </w:numPr>
      </w:pPr>
      <w:r>
        <w:t xml:space="preserve">Health System Infrastructure. </w:t>
      </w:r>
    </w:p>
    <w:p w14:paraId="7DF9DC1F" w14:textId="77777777" w:rsidR="00E25FEE" w:rsidRDefault="00E25FEE" w:rsidP="00E25FEE">
      <w:pPr>
        <w:pStyle w:val="Heading4"/>
        <w:rPr>
          <w:color w:val="FF0000"/>
        </w:rPr>
      </w:pPr>
    </w:p>
    <w:p w14:paraId="48211E22" w14:textId="615A3ED1" w:rsidR="00E25FEE" w:rsidRDefault="00E25FEE" w:rsidP="00E25FEE">
      <w:pPr>
        <w:pStyle w:val="Heading4"/>
      </w:pPr>
      <w:bookmarkStart w:id="54" w:name="_Toc162267019"/>
      <w:r w:rsidRPr="00123D8C">
        <w:t>Result #4: Biggest Challenges in Addressing SC’s Health Issues and Causes</w:t>
      </w:r>
      <w:bookmarkEnd w:id="54"/>
    </w:p>
    <w:p w14:paraId="4434A501" w14:textId="77777777" w:rsidR="00F73294" w:rsidRDefault="00E25FEE" w:rsidP="00983AE8">
      <w:pPr>
        <w:pStyle w:val="Heading5"/>
      </w:pPr>
      <w:r w:rsidRPr="00E25FEE">
        <w:t xml:space="preserve">Definition: </w:t>
      </w:r>
    </w:p>
    <w:p w14:paraId="0F13B78E" w14:textId="6CD50BDA" w:rsidR="00E25FEE" w:rsidRPr="00E25FEE" w:rsidRDefault="00E25FEE" w:rsidP="00F73294">
      <w:r w:rsidRPr="00E25FEE">
        <w:t>The challenges for individuals and organizations in addressing SC’s health issues and causes.</w:t>
      </w:r>
    </w:p>
    <w:p w14:paraId="38CDCEB2" w14:textId="77777777" w:rsidR="00F73294" w:rsidRDefault="00F73294" w:rsidP="00E25FEE"/>
    <w:p w14:paraId="7EBED91C" w14:textId="22D01AA5" w:rsidR="00E25FEE" w:rsidRDefault="00E25FEE" w:rsidP="00E25FEE">
      <w:r w:rsidRPr="00E25FEE">
        <w:t xml:space="preserve">The top subthemes that emerged under the Biggest Challenges theme were healthcare infrastructure and resources, and distrust and discrimination.  Mental health was an issue discussed across these subthemes. Responses discussed lengthy waiting periods for mental health care and the need for more mental health care resources. Under distrust and discrimination, stigma was mentioned as a barrier to obtaining mental health care.  </w:t>
      </w:r>
    </w:p>
    <w:p w14:paraId="7673D3C2" w14:textId="77777777" w:rsidR="00E25FEE" w:rsidRDefault="00E25FEE" w:rsidP="00E25FEE"/>
    <w:p w14:paraId="32232C10" w14:textId="277B5F80" w:rsidR="00E25FEE" w:rsidRPr="00E25FEE" w:rsidRDefault="00E25FEE" w:rsidP="00983AE8">
      <w:pPr>
        <w:pStyle w:val="Heading5"/>
      </w:pPr>
      <w:r w:rsidRPr="00E25FEE">
        <w:t>Health</w:t>
      </w:r>
      <w:r w:rsidR="00DA29BD">
        <w:t>c</w:t>
      </w:r>
      <w:r w:rsidRPr="00E25FEE">
        <w:t>are Infrastructure and Resources</w:t>
      </w:r>
    </w:p>
    <w:p w14:paraId="0A5E26FA" w14:textId="6E483516" w:rsidR="00E25FEE" w:rsidRDefault="00E25FEE" w:rsidP="00E25FEE">
      <w:r w:rsidRPr="00E25FEE">
        <w:t>The next most prevalent subtheme was healthcare infrastructure and resources. One issue mentioned was lack of funding for adequate healthcare staffing levels, thus leading to healthcare worker burn out, which compounds chronic understaffing. Additionally, staffing issues can affect the amount of time a provider can spend with patients and affect health care quality. Transportation was another issue, including having staff to transport patients. Finally, participants mentioned that a shortage of providers creates issues in accessing health care.</w:t>
      </w:r>
    </w:p>
    <w:p w14:paraId="4CDE001E" w14:textId="77777777" w:rsidR="00DA29BD" w:rsidRPr="00E25FEE" w:rsidRDefault="00DA29BD" w:rsidP="00E25FEE"/>
    <w:p w14:paraId="5909EB08" w14:textId="025537E4" w:rsidR="00E25FEE" w:rsidRDefault="00E25FEE" w:rsidP="00E25FEE">
      <w:r w:rsidRPr="00E25FEE">
        <w:t xml:space="preserve">One prevalent issue under the healthcare infrastructure and resources subtheme was the allocation of resources. Some responses mentioned that multiple organizations in the same geographic area provided similar services, or needed the same resources. Therefore, it would be beneficial for these organizations to share or combine resources. This was also an issue because these organizations are competing for the same pool of funding, causing a strain on resources. Finally, it was noted that there is a general lack of knowledge of resources available to the community. This lack of awareness applies to both community members and </w:t>
      </w:r>
      <w:r w:rsidRPr="00E25FEE">
        <w:lastRenderedPageBreak/>
        <w:t>organizations. One response mentioned that a community resource guide would be a helpful tool for community members and organizations.</w:t>
      </w:r>
    </w:p>
    <w:p w14:paraId="430DC541" w14:textId="77777777" w:rsidR="00DA29BD" w:rsidRPr="00E25FEE" w:rsidRDefault="00DA29BD" w:rsidP="00E25FEE"/>
    <w:p w14:paraId="6462173F" w14:textId="77777777" w:rsidR="00E25FEE" w:rsidRPr="00E25FEE" w:rsidRDefault="00E25FEE" w:rsidP="00E25FEE">
      <w:r w:rsidRPr="00E25FEE">
        <w:t>Another issue participants mentioned was how to address health literacy. As a response to this issue, the need to educate the public on health issues was discussed. Insurance and Medicare/Medicaid was another challenge that several participants mentioned. Lack of insurance was discussed, which creates an access to care issue. This issue was tied to employment issues as well. It was also mentioned that Medicare and Medicaid are not accepted</w:t>
      </w:r>
      <w:r>
        <w:t xml:space="preserve"> </w:t>
      </w:r>
      <w:r w:rsidRPr="00E25FEE">
        <w:t>by some providers, and some Medicare/Medicaid recipients have used emergency room services rather than going to their primary care doctors.</w:t>
      </w:r>
    </w:p>
    <w:p w14:paraId="27A82769" w14:textId="2222B9CF" w:rsidR="00E25FEE" w:rsidRDefault="00E25FEE" w:rsidP="00E25FEE"/>
    <w:p w14:paraId="4887CC87" w14:textId="38C4296F" w:rsidR="00E25FEE" w:rsidRDefault="00E25FEE" w:rsidP="00E25FEE">
      <w:r>
        <w:t xml:space="preserve">Quotes collected on this subject included: </w:t>
      </w:r>
      <w:r w:rsidRPr="00E25FEE">
        <w:t>“There is a large disconnect with community partners due to COVID-19 pandemic. There are challenges to addressing the increased need for mental health services, especially with children. There simply aren’t enough providers.”</w:t>
      </w:r>
      <w:r>
        <w:t xml:space="preserve"> Also, “</w:t>
      </w:r>
      <w:r w:rsidRPr="00E25FEE">
        <w:t>A large population of people are uninsured…Medicaid and Medicare recipients are over</w:t>
      </w:r>
      <w:r w:rsidR="00DA29BD">
        <w:t>-</w:t>
      </w:r>
      <w:r w:rsidRPr="00E25FEE">
        <w:t>utilizing and exhausting the medical system’s resources at the emergency room instead of going to see their primary care providers for routine services.”</w:t>
      </w:r>
    </w:p>
    <w:p w14:paraId="36E5E81A" w14:textId="77777777" w:rsidR="00E25FEE" w:rsidRDefault="00E25FEE" w:rsidP="00E25FEE"/>
    <w:p w14:paraId="6758A8D6" w14:textId="77777777" w:rsidR="00E25FEE" w:rsidRPr="00E25FEE" w:rsidRDefault="00E25FEE" w:rsidP="00983AE8">
      <w:pPr>
        <w:pStyle w:val="Heading5"/>
      </w:pPr>
      <w:r w:rsidRPr="00E25FEE">
        <w:t>Distrust and Discrimination</w:t>
      </w:r>
    </w:p>
    <w:p w14:paraId="5B5DCCAC" w14:textId="587646A3" w:rsidR="00E25FEE" w:rsidRDefault="00E25FEE" w:rsidP="00E25FEE">
      <w:r w:rsidRPr="00E25FEE">
        <w:t>It was noted under the "distrust and discrimination" subtheme that certain populations have issues with trust, including trusting healthcare providers or the organizations attempting to provide services. Participants interviewed did not go into detail about which specific populations they were describing. Furthermore, gaining trust at the community level beyond these populations was mentioned several times as a challenge. Stigma and shame were viewed as barriers to seeking care, specifically for mental health care and substance abuse treatment.</w:t>
      </w:r>
    </w:p>
    <w:p w14:paraId="75C164AD" w14:textId="77777777" w:rsidR="00E25FEE" w:rsidRDefault="00E25FEE" w:rsidP="00E25FEE"/>
    <w:p w14:paraId="1706A1BB" w14:textId="7B993824" w:rsidR="00E25FEE" w:rsidRDefault="00E25FEE" w:rsidP="00E25FEE">
      <w:r>
        <w:t>A quote collected on this subject</w:t>
      </w:r>
      <w:r w:rsidR="00031CF5">
        <w:t xml:space="preserve">: </w:t>
      </w:r>
      <w:r>
        <w:t>“</w:t>
      </w:r>
      <w:r w:rsidRPr="00E25FEE">
        <w:t>The biggest challenge is getting others to help carry their message. The message is that it’s okay to seek substance abuse treatment and recovery. And not only just to seek it, but to utilize the organization or the other services in the county.”</w:t>
      </w:r>
    </w:p>
    <w:p w14:paraId="3885B24B" w14:textId="77777777" w:rsidR="00E25FEE" w:rsidRDefault="00E25FEE" w:rsidP="00E25FEE"/>
    <w:p w14:paraId="576FFFFC" w14:textId="526FCB50" w:rsidR="00E25FEE" w:rsidRPr="00123D8C" w:rsidRDefault="00E25FEE" w:rsidP="00123D8C">
      <w:pPr>
        <w:pStyle w:val="Heading4"/>
      </w:pPr>
      <w:bookmarkStart w:id="55" w:name="_Toc162267020"/>
      <w:r w:rsidRPr="00123D8C">
        <w:t>Result #5: Strengths</w:t>
      </w:r>
      <w:bookmarkEnd w:id="55"/>
      <w:r w:rsidRPr="00123D8C">
        <w:t xml:space="preserve"> </w:t>
      </w:r>
    </w:p>
    <w:p w14:paraId="5B0EAB8B" w14:textId="77777777" w:rsidR="00F73294" w:rsidRDefault="00E25FEE" w:rsidP="00983AE8">
      <w:pPr>
        <w:pStyle w:val="Heading5"/>
      </w:pPr>
      <w:r w:rsidRPr="00E25FEE">
        <w:t xml:space="preserve">Definition: </w:t>
      </w:r>
    </w:p>
    <w:p w14:paraId="17075844" w14:textId="25D798D3" w:rsidR="00E25FEE" w:rsidRPr="00E25FEE" w:rsidRDefault="00E25FEE" w:rsidP="00F73294">
      <w:r w:rsidRPr="00E25FEE">
        <w:t>Strengths to be mobilized to improve the health of SC.</w:t>
      </w:r>
    </w:p>
    <w:p w14:paraId="12CA7583" w14:textId="77777777" w:rsidR="00F73294" w:rsidRDefault="00F73294" w:rsidP="00E25FEE"/>
    <w:p w14:paraId="6655E06D" w14:textId="4A7F5AC8" w:rsidR="00E25FEE" w:rsidRPr="00E25FEE" w:rsidRDefault="00E25FEE" w:rsidP="00E25FEE">
      <w:r w:rsidRPr="00E25FEE">
        <w:t xml:space="preserve">The top three subthemes that emerged under the Strengths theme were building collaborations and community engagement, providing support and resources, and awareness. The primary focus of </w:t>
      </w:r>
      <w:proofErr w:type="gramStart"/>
      <w:r w:rsidRPr="00E25FEE">
        <w:t>all of</w:t>
      </w:r>
      <w:proofErr w:type="gramEnd"/>
      <w:r w:rsidRPr="00E25FEE">
        <w:t xml:space="preserve"> these subthemes was sharing, providing, and obtaining resources.</w:t>
      </w:r>
    </w:p>
    <w:p w14:paraId="3C64952C" w14:textId="1CBE32D5" w:rsidR="00E25FEE" w:rsidRPr="00E25FEE" w:rsidRDefault="00E25FEE" w:rsidP="00E25FEE"/>
    <w:p w14:paraId="67C1B089" w14:textId="77777777" w:rsidR="00E25FEE" w:rsidRPr="00E25FEE" w:rsidRDefault="00E25FEE" w:rsidP="00983AE8">
      <w:pPr>
        <w:pStyle w:val="Heading5"/>
      </w:pPr>
      <w:r w:rsidRPr="00E25FEE">
        <w:t>Building Collaborations and Community Engagement</w:t>
      </w:r>
    </w:p>
    <w:p w14:paraId="0F59B4A1" w14:textId="0C9E54FC" w:rsidR="00E25FEE" w:rsidRDefault="00E25FEE" w:rsidP="00E25FEE">
      <w:r w:rsidRPr="00E25FEE">
        <w:t>Building partnerships was described as vital to sharing, providing, and obtaining resources. Once partnerships were established, participants said that organizations needed to work together to distribute resources through community outreach. These efforts rely on working with individuals from diverse backgrounds. Participants also specifically noted certain advantageous partnerships to facilitate the sharing and distribution of resources, including schools, hospitals, organizations, local government, and law enforcement.</w:t>
      </w:r>
    </w:p>
    <w:p w14:paraId="4A75B685" w14:textId="77777777" w:rsidR="00E25FEE" w:rsidRDefault="00E25FEE" w:rsidP="00E25FEE"/>
    <w:p w14:paraId="4763F574" w14:textId="77777777" w:rsidR="00E25FEE" w:rsidRPr="00E25FEE" w:rsidRDefault="00E25FEE" w:rsidP="00983AE8">
      <w:pPr>
        <w:pStyle w:val="Heading5"/>
      </w:pPr>
      <w:r w:rsidRPr="00E25FEE">
        <w:t>Providing Support and Resources</w:t>
      </w:r>
    </w:p>
    <w:p w14:paraId="3575A072" w14:textId="77777777" w:rsidR="00E25FEE" w:rsidRDefault="00E25FEE" w:rsidP="00E25FEE">
      <w:r w:rsidRPr="00E25FEE">
        <w:t>When discussing support and resources, participants focused on developing clarity as to what resources are needed to address public health issues, determining where resources are needed most, and lastly, identifying sources of money (e.g., Robert Wood Johnson grants and local</w:t>
      </w:r>
      <w:r>
        <w:t xml:space="preserve"> </w:t>
      </w:r>
      <w:r w:rsidRPr="00E25FEE">
        <w:t>family foundations) to fund efforts. Additionally, access to resources was a focus of several responses. Some needs in this area included transportation, delivery of goods (e.g., food), and mobile health services. It was also noted that more service coordination between organizations and systems is needed, as well as more resource knowledge, so people are better connected to services. Finally, mental health was specifically mentioned as an area that could be improved upon through better service coordination and better information dissemination.</w:t>
      </w:r>
    </w:p>
    <w:p w14:paraId="1C96F301" w14:textId="77777777" w:rsidR="00E25FEE" w:rsidRDefault="00E25FEE" w:rsidP="00E25FEE"/>
    <w:p w14:paraId="0F12B844" w14:textId="77777777" w:rsidR="00E25FEE" w:rsidRPr="00E25FEE" w:rsidRDefault="00E25FEE" w:rsidP="00983AE8">
      <w:pPr>
        <w:pStyle w:val="Heading5"/>
      </w:pPr>
      <w:r w:rsidRPr="00E25FEE">
        <w:t>Awareness</w:t>
      </w:r>
    </w:p>
    <w:p w14:paraId="0AA8AADF" w14:textId="5C33B06A" w:rsidR="00E25FEE" w:rsidRDefault="00E25FEE" w:rsidP="00E25FEE">
      <w:r w:rsidRPr="00E25FEE">
        <w:t xml:space="preserve">Some responses expanded further on how awareness would be a beneficial tool for improving health outcomes in SC. There were two </w:t>
      </w:r>
      <w:proofErr w:type="gramStart"/>
      <w:r w:rsidRPr="00E25FEE">
        <w:t>main focus</w:t>
      </w:r>
      <w:proofErr w:type="gramEnd"/>
      <w:r w:rsidRPr="00E25FEE">
        <w:t xml:space="preserve"> areas in this subtheme. The first was expanding awareness of community resources. Responses discussed knowing the target audience for needed services and that better information dissemination is needed. Another focus of this subtheme was raising resource awareness of other organizations in the community.  Organizations intended to achieve this through social media, participation in local government meetings, and holding events in the community.</w:t>
      </w:r>
    </w:p>
    <w:p w14:paraId="1502380F" w14:textId="77777777" w:rsidR="00E25FEE" w:rsidRDefault="00E25FEE" w:rsidP="00E25FEE"/>
    <w:p w14:paraId="2E860B06" w14:textId="0A4EA2BD" w:rsidR="00E25FEE" w:rsidRPr="00E25FEE" w:rsidRDefault="00E25FEE" w:rsidP="00E25FEE">
      <w:r>
        <w:t>Quotes collected on this subject read: “</w:t>
      </w:r>
      <w:r w:rsidRPr="00E25FEE">
        <w:t>We continue to increase our visibility by attending city council meetings and interacting with elected officials. We also host health fairs and small open houses to introduce people to our services. We maintain a social media presence and prioritize community engagement as well. Overall, we strongly believe that there is always an opportunity to educate, build relationships, and establish trust.”</w:t>
      </w:r>
      <w:r>
        <w:t xml:space="preserve"> Also, “</w:t>
      </w:r>
      <w:r w:rsidRPr="00E25FEE">
        <w:t>Our leadership is doing their best to make sure that we are still relevant within the community. The first is being on the community’s radar, such as additional offices throughout the counties. In that time, more people will recognize them and get to know them as an organization.”</w:t>
      </w:r>
    </w:p>
    <w:p w14:paraId="14C51390" w14:textId="6761BF3E" w:rsidR="00E25FEE" w:rsidRPr="00E25FEE" w:rsidRDefault="00E25FEE" w:rsidP="00E25FEE"/>
    <w:p w14:paraId="7E71FBCD" w14:textId="36BED7F6" w:rsidR="00E25FEE" w:rsidRDefault="00E25FEE" w:rsidP="00123D8C">
      <w:pPr>
        <w:pStyle w:val="Heading4"/>
      </w:pPr>
      <w:bookmarkStart w:id="56" w:name="_Toc162267021"/>
      <w:r w:rsidRPr="00E25FEE">
        <w:t>Result #6: Future Strategies in Addressing SC’s Health Issues and Underlying Causes</w:t>
      </w:r>
      <w:bookmarkEnd w:id="56"/>
    </w:p>
    <w:p w14:paraId="05320006" w14:textId="77777777" w:rsidR="00F73294" w:rsidRDefault="00E25FEE" w:rsidP="00983AE8">
      <w:pPr>
        <w:pStyle w:val="Heading5"/>
      </w:pPr>
      <w:r w:rsidRPr="00E25FEE">
        <w:t xml:space="preserve">Definition: </w:t>
      </w:r>
    </w:p>
    <w:p w14:paraId="62856DFF" w14:textId="4F943E97" w:rsidR="00E25FEE" w:rsidRPr="00E25FEE" w:rsidRDefault="00E25FEE" w:rsidP="00F73294">
      <w:r w:rsidRPr="00E25FEE">
        <w:t xml:space="preserve">The strategies and activities organizations will utilize in the next 5-10 years to improve health issues and underlying causes. </w:t>
      </w:r>
    </w:p>
    <w:p w14:paraId="49669D75" w14:textId="77777777" w:rsidR="00F73294" w:rsidRDefault="00F73294" w:rsidP="00E25FEE"/>
    <w:p w14:paraId="31D67F93" w14:textId="7C0AE7AC" w:rsidR="00E25FEE" w:rsidRDefault="00E25FEE" w:rsidP="00E25FEE">
      <w:r w:rsidRPr="00E25FEE">
        <w:t>The top three subthemes under the future strategies theme were strategic planning, sustainability, and collaborations and partners. Participants framed their responses in terms of their own organizations versus community-level strategies or state-level strategies.</w:t>
      </w:r>
    </w:p>
    <w:p w14:paraId="55BDFCA4" w14:textId="77777777" w:rsidR="00E25FEE" w:rsidRDefault="00E25FEE" w:rsidP="00E25FEE"/>
    <w:p w14:paraId="085B3295" w14:textId="77777777" w:rsidR="00E25FEE" w:rsidRPr="00E25FEE" w:rsidRDefault="00E25FEE" w:rsidP="00983AE8">
      <w:pPr>
        <w:pStyle w:val="Heading5"/>
      </w:pPr>
      <w:r w:rsidRPr="00E25FEE">
        <w:t>Strategic Planning</w:t>
      </w:r>
    </w:p>
    <w:p w14:paraId="234A7F4E" w14:textId="2DB03D5F" w:rsidR="00E25FEE" w:rsidRDefault="00E25FEE" w:rsidP="00E25FEE">
      <w:r w:rsidRPr="00E25FEE">
        <w:t>Sustainability was discussed at an organizational level. One issue that was raised under this subtheme was a sustainable workforce. Specifically, more volunteers and bilingual staff were needed. Medical mobile units were mentioned as a sustainable strategy to address access to care issues, specifically in rural areas. Finally, raising community awareness about organizations and programming offered was mentioned as a strategy to keep organizations relevant, thereby promoting sustainability.</w:t>
      </w:r>
    </w:p>
    <w:p w14:paraId="26FAF326" w14:textId="77777777" w:rsidR="00E25FEE" w:rsidRDefault="00E25FEE" w:rsidP="00E25FEE"/>
    <w:p w14:paraId="45682874" w14:textId="77777777" w:rsidR="00E25FEE" w:rsidRPr="00E25FEE" w:rsidRDefault="00E25FEE" w:rsidP="00983AE8">
      <w:pPr>
        <w:pStyle w:val="Heading5"/>
      </w:pPr>
      <w:r w:rsidRPr="00E25FEE">
        <w:t>Collaborations and Partners</w:t>
      </w:r>
    </w:p>
    <w:p w14:paraId="5BD4B991" w14:textId="0C8B6A30" w:rsidR="00E25FEE" w:rsidRDefault="00E25FEE" w:rsidP="00E25FEE">
      <w:proofErr w:type="gramStart"/>
      <w:r w:rsidRPr="00E25FEE">
        <w:t>A main focus</w:t>
      </w:r>
      <w:proofErr w:type="gramEnd"/>
      <w:r w:rsidRPr="00E25FEE">
        <w:t xml:space="preserve"> of collaborations and partnerships </w:t>
      </w:r>
      <w:r w:rsidR="00DA29BD">
        <w:t>were ways</w:t>
      </w:r>
      <w:r w:rsidRPr="00E25FEE">
        <w:t xml:space="preserve"> to get services out into the community. Participants mentioned connecting with other partners to provide services, particularly transportation services. Other types of partnerships mentioned included partnerships between neighboring counties, other local government entities, and healthcare systems. It was also noted that these partners could assist in getting information out to the community.  </w:t>
      </w:r>
    </w:p>
    <w:p w14:paraId="145C8312" w14:textId="77777777" w:rsidR="00751E60" w:rsidRDefault="00751E60" w:rsidP="00123D8C">
      <w:pPr>
        <w:pStyle w:val="Heading4"/>
      </w:pPr>
    </w:p>
    <w:p w14:paraId="0E6D5677" w14:textId="05C5E7DB" w:rsidR="00E25FEE" w:rsidRDefault="00E25FEE" w:rsidP="00123D8C">
      <w:pPr>
        <w:pStyle w:val="Heading4"/>
      </w:pPr>
      <w:bookmarkStart w:id="57" w:name="_Toc162267022"/>
      <w:r w:rsidRPr="00E25FEE">
        <w:t>Result #7: Addressing Health Issues</w:t>
      </w:r>
      <w:bookmarkEnd w:id="57"/>
    </w:p>
    <w:p w14:paraId="6310DACE" w14:textId="77777777" w:rsidR="00F73294" w:rsidRDefault="00E25FEE" w:rsidP="00983AE8">
      <w:pPr>
        <w:pStyle w:val="Heading5"/>
      </w:pPr>
      <w:r w:rsidRPr="00E25FEE">
        <w:t xml:space="preserve">Definition: </w:t>
      </w:r>
    </w:p>
    <w:p w14:paraId="5A66511C" w14:textId="68F6E735" w:rsidR="00E25FEE" w:rsidRDefault="00E25FEE" w:rsidP="00F73294">
      <w:r w:rsidRPr="00F73294">
        <w:t>How organizations define their roles and responsibilities in addressing SC’s health issues, and specific activities organizations are implementing to address these health issues.</w:t>
      </w:r>
    </w:p>
    <w:p w14:paraId="1F445CA3" w14:textId="77777777" w:rsidR="00E25FEE" w:rsidRDefault="00E25FEE" w:rsidP="00E25FEE"/>
    <w:p w14:paraId="3CDDAC63" w14:textId="77777777" w:rsidR="00E25FEE" w:rsidRPr="00E25FEE" w:rsidRDefault="00E25FEE" w:rsidP="00983AE8">
      <w:pPr>
        <w:pStyle w:val="Heading5"/>
      </w:pPr>
      <w:r w:rsidRPr="00E25FEE">
        <w:t>Organizations' Role in Addressing Health Issues</w:t>
      </w:r>
    </w:p>
    <w:p w14:paraId="3CDBA0C2" w14:textId="77777777" w:rsidR="00E25FEE" w:rsidRDefault="00E25FEE" w:rsidP="00E25FEE">
      <w:r w:rsidRPr="00E25FEE">
        <w:t>Organizations primarily defined their role in addressing SC’s health issues through collaborative partnerships, community engagement and outreach, and specific programming strategies. In collaborative partnerships, participants focused on how working together could increase services. In community engagement and outreach, participants looked to the community’s needs and raising community awareness of resources and services. Organizations also had specific programming strategies to further their goals. Some of these programming strategies included improving transportation services, providing financial assistance to those who need medical care, and educating about substance use and substance use resources.</w:t>
      </w:r>
    </w:p>
    <w:p w14:paraId="7CE0A0D8" w14:textId="77777777" w:rsidR="00E25FEE" w:rsidRDefault="00E25FEE" w:rsidP="00E25FEE"/>
    <w:p w14:paraId="1E26D099" w14:textId="4FAB794E" w:rsidR="00E25FEE" w:rsidRPr="00E25FEE" w:rsidRDefault="00E25FEE" w:rsidP="00E25FEE">
      <w:r>
        <w:t>A quote collected on this subject</w:t>
      </w:r>
      <w:r w:rsidR="00031CF5">
        <w:t xml:space="preserve">: </w:t>
      </w:r>
      <w:r>
        <w:t>“</w:t>
      </w:r>
      <w:r w:rsidRPr="00E25FEE">
        <w:t>We have services and programs designed to help people gain their own independence so that they can go back into their communities to attain work and live much more productive lives than when they first began with our help.”</w:t>
      </w:r>
    </w:p>
    <w:p w14:paraId="23806E07" w14:textId="77777777" w:rsidR="00E25FEE" w:rsidRDefault="00E25FEE" w:rsidP="00E25FEE"/>
    <w:p w14:paraId="4073C7E4" w14:textId="77777777" w:rsidR="00E25FEE" w:rsidRPr="00E25FEE" w:rsidRDefault="00E25FEE" w:rsidP="00983AE8">
      <w:pPr>
        <w:pStyle w:val="Heading5"/>
      </w:pPr>
      <w:r w:rsidRPr="00E25FEE">
        <w:t>Addressing Health Issue Causes</w:t>
      </w:r>
    </w:p>
    <w:p w14:paraId="3F46C61E" w14:textId="40FA1C31" w:rsidR="00E25FEE" w:rsidRDefault="00E25FEE" w:rsidP="00E25FEE">
      <w:r w:rsidRPr="00E25FEE">
        <w:t>The two main ways organizations addressed health issue causes were connecting and providing individual</w:t>
      </w:r>
      <w:r w:rsidR="00DA29BD">
        <w:t>-</w:t>
      </w:r>
      <w:r w:rsidRPr="00E25FEE">
        <w:t xml:space="preserve">level programming. Many responses mentioned access to care issues and connecting more with the community and coordinating with partners as a solution. Providing individual-level programming was described as allowing organizations to meet the specific needs of those they serve. Offering transportation services was a </w:t>
      </w:r>
      <w:proofErr w:type="gramStart"/>
      <w:r w:rsidRPr="00E25FEE">
        <w:t>way organizations</w:t>
      </w:r>
      <w:proofErr w:type="gramEnd"/>
      <w:r w:rsidRPr="00E25FEE">
        <w:t xml:space="preserve"> ensured the community could receive services. Participants described how their organizations served those with transportation issues. For example, some services could be provided over the phone, while others worked with the school systems to provide services to children while at school.</w:t>
      </w:r>
    </w:p>
    <w:p w14:paraId="42E0D0D7" w14:textId="77777777" w:rsidR="00E25FEE" w:rsidRDefault="00E25FEE" w:rsidP="00E25FEE"/>
    <w:p w14:paraId="3E589BEC" w14:textId="77777777" w:rsidR="00E25FEE" w:rsidRDefault="00E25FEE" w:rsidP="00E25FEE">
      <w:r>
        <w:lastRenderedPageBreak/>
        <w:t xml:space="preserve">A quote collected on </w:t>
      </w:r>
      <w:proofErr w:type="gramStart"/>
      <w:r>
        <w:t>this subject reads</w:t>
      </w:r>
      <w:proofErr w:type="gramEnd"/>
      <w:r>
        <w:t xml:space="preserve">: </w:t>
      </w:r>
      <w:r w:rsidRPr="00E25FEE">
        <w:t>“We provide care coordination services to link patients with organizations who can help reduce social determinant barriers. We link patients with organizations in the community to help provide overall care and support to each patient who is part of our programs.”</w:t>
      </w:r>
    </w:p>
    <w:p w14:paraId="6E8E6866" w14:textId="77777777" w:rsidR="00E25FEE" w:rsidRDefault="00E25FEE" w:rsidP="00E25FEE"/>
    <w:p w14:paraId="5A3F3CF3" w14:textId="77777777" w:rsidR="00E25FEE" w:rsidRPr="00E25FEE" w:rsidRDefault="00E25FEE" w:rsidP="00E25FEE">
      <w:pPr>
        <w:pStyle w:val="Heading3"/>
      </w:pPr>
      <w:bookmarkStart w:id="58" w:name="_Toc162267023"/>
      <w:r w:rsidRPr="00E25FEE">
        <w:t>Forces of Change Survey Results</w:t>
      </w:r>
      <w:bookmarkEnd w:id="58"/>
    </w:p>
    <w:p w14:paraId="3F237162" w14:textId="371A36DD" w:rsidR="00E25FEE" w:rsidRPr="00E25FEE" w:rsidRDefault="00E25FEE" w:rsidP="00E25FEE">
      <w:r w:rsidRPr="00E25FEE">
        <w:t xml:space="preserve">The Forces of Change survey was sent out to SC stakeholders from February-April 2023 through Survey Monkey, with 157 participants. Specifically, trends, events, and factors were identified for the Forces of Change Survey around three questions: </w:t>
      </w:r>
    </w:p>
    <w:p w14:paraId="2CDF9B47" w14:textId="77777777" w:rsidR="00E25FEE" w:rsidRPr="00E25FEE" w:rsidRDefault="00E25FEE" w:rsidP="00E25FEE"/>
    <w:p w14:paraId="00ACDD7F" w14:textId="57753276" w:rsidR="00E25FEE" w:rsidRDefault="00E25FEE" w:rsidP="00926EB3">
      <w:pPr>
        <w:pStyle w:val="ListParagraph"/>
        <w:numPr>
          <w:ilvl w:val="0"/>
          <w:numId w:val="10"/>
        </w:numPr>
      </w:pPr>
      <w:r w:rsidRPr="00E25FEE">
        <w:t>What forces are affecting SC?</w:t>
      </w:r>
    </w:p>
    <w:p w14:paraId="5A6327E6" w14:textId="6695C81E" w:rsidR="00E25FEE" w:rsidRPr="00E25FEE" w:rsidRDefault="00E25FEE" w:rsidP="00926EB3">
      <w:pPr>
        <w:pStyle w:val="ListParagraph"/>
        <w:numPr>
          <w:ilvl w:val="0"/>
          <w:numId w:val="10"/>
        </w:numPr>
      </w:pPr>
      <w:r w:rsidRPr="00E25FEE">
        <w:t xml:space="preserve">What forces might hinder us from creating a healthier state? </w:t>
      </w:r>
    </w:p>
    <w:p w14:paraId="7E49274A" w14:textId="4A57AA6D" w:rsidR="00E25FEE" w:rsidRDefault="00E25FEE" w:rsidP="00926EB3">
      <w:pPr>
        <w:pStyle w:val="ListParagraph"/>
        <w:numPr>
          <w:ilvl w:val="0"/>
          <w:numId w:val="10"/>
        </w:numPr>
      </w:pPr>
      <w:r w:rsidRPr="00E25FEE">
        <w:t>What are the top three actions SC could take in response to those forces that could lead to health improvement?</w:t>
      </w:r>
    </w:p>
    <w:p w14:paraId="3A1EA3CC" w14:textId="77777777" w:rsidR="00E25FEE" w:rsidRDefault="00E25FEE" w:rsidP="00E25FEE"/>
    <w:p w14:paraId="2C3DE2AC" w14:textId="77777777" w:rsidR="00E25FEE" w:rsidRDefault="00E25FEE" w:rsidP="00E25FEE">
      <w:r w:rsidRPr="00E25FEE">
        <w:t xml:space="preserve">The Forces of Change survey preliminary results and recommendations were shared in an Alliance quarterly partner meeting in April 2023. Partners worked in small groups and discussed the results in the context of their own communities. These forces of change were discussed using the frameworks of equity impacts, threats, and opportunities. The forces of change discussed included: </w:t>
      </w:r>
    </w:p>
    <w:p w14:paraId="0EBEF680" w14:textId="77777777" w:rsidR="00E25FEE" w:rsidRPr="00E25FEE" w:rsidRDefault="00E25FEE" w:rsidP="00E25FEE"/>
    <w:p w14:paraId="625F09DE" w14:textId="77777777" w:rsidR="00E25FEE" w:rsidRDefault="00E25FEE" w:rsidP="00926EB3">
      <w:pPr>
        <w:pStyle w:val="ListParagraph"/>
        <w:numPr>
          <w:ilvl w:val="0"/>
          <w:numId w:val="11"/>
        </w:numPr>
      </w:pPr>
      <w:r w:rsidRPr="00E25FEE">
        <w:t>Access to Mental Health Education and Care</w:t>
      </w:r>
    </w:p>
    <w:p w14:paraId="0903B8B7" w14:textId="7D352C1F" w:rsidR="00E25FEE" w:rsidRDefault="00E25FEE" w:rsidP="00926EB3">
      <w:pPr>
        <w:pStyle w:val="ListParagraph"/>
        <w:numPr>
          <w:ilvl w:val="0"/>
          <w:numId w:val="11"/>
        </w:numPr>
      </w:pPr>
      <w:r w:rsidRPr="00E25FEE">
        <w:t xml:space="preserve">Affordable Health </w:t>
      </w:r>
      <w:r w:rsidR="00DA29BD">
        <w:t>C</w:t>
      </w:r>
      <w:r w:rsidRPr="00E25FEE">
        <w:t>are and Medicaid Expansion Chronic Illness</w:t>
      </w:r>
    </w:p>
    <w:p w14:paraId="759924EE" w14:textId="77777777" w:rsidR="00E25FEE" w:rsidRDefault="00E25FEE" w:rsidP="00926EB3">
      <w:pPr>
        <w:pStyle w:val="ListParagraph"/>
        <w:numPr>
          <w:ilvl w:val="0"/>
          <w:numId w:val="11"/>
        </w:numPr>
      </w:pPr>
      <w:r w:rsidRPr="00E25FEE">
        <w:t>Structural and Systemic Inequalities</w:t>
      </w:r>
    </w:p>
    <w:p w14:paraId="404821D6" w14:textId="77777777" w:rsidR="00E25FEE" w:rsidRDefault="00E25FEE" w:rsidP="00926EB3">
      <w:pPr>
        <w:pStyle w:val="ListParagraph"/>
        <w:numPr>
          <w:ilvl w:val="0"/>
          <w:numId w:val="11"/>
        </w:numPr>
      </w:pPr>
      <w:r w:rsidRPr="00E25FEE">
        <w:t>Employment Opportunities and Livable Wages</w:t>
      </w:r>
    </w:p>
    <w:p w14:paraId="0F71CC6E" w14:textId="77777777" w:rsidR="00E25FEE" w:rsidRDefault="00E25FEE" w:rsidP="00926EB3">
      <w:pPr>
        <w:pStyle w:val="ListParagraph"/>
        <w:numPr>
          <w:ilvl w:val="0"/>
          <w:numId w:val="11"/>
        </w:numPr>
      </w:pPr>
      <w:r w:rsidRPr="00E25FEE">
        <w:t>Access to Resources</w:t>
      </w:r>
    </w:p>
    <w:p w14:paraId="7233B4D2" w14:textId="6FF2B4D8" w:rsidR="00E25FEE" w:rsidRDefault="00E25FEE" w:rsidP="00926EB3">
      <w:pPr>
        <w:pStyle w:val="ListParagraph"/>
        <w:numPr>
          <w:ilvl w:val="0"/>
          <w:numId w:val="11"/>
        </w:numPr>
      </w:pPr>
      <w:r w:rsidRPr="00E25FEE">
        <w:t>Health Policy and the Need for Policy Chang</w:t>
      </w:r>
      <w:r>
        <w:t>e</w:t>
      </w:r>
    </w:p>
    <w:p w14:paraId="16487AD3" w14:textId="77777777" w:rsidR="00E25FEE" w:rsidRDefault="00E25FEE" w:rsidP="00926EB3">
      <w:pPr>
        <w:pStyle w:val="ListParagraph"/>
        <w:numPr>
          <w:ilvl w:val="0"/>
          <w:numId w:val="11"/>
        </w:numPr>
      </w:pPr>
      <w:r w:rsidRPr="00E25FEE">
        <w:t>Social Determinants of Health</w:t>
      </w:r>
    </w:p>
    <w:p w14:paraId="15AEDA20" w14:textId="4D10BDA6" w:rsidR="00E25FEE" w:rsidRDefault="00E25FEE" w:rsidP="00926EB3">
      <w:pPr>
        <w:pStyle w:val="ListParagraph"/>
        <w:numPr>
          <w:ilvl w:val="0"/>
          <w:numId w:val="11"/>
        </w:numPr>
      </w:pPr>
      <w:r w:rsidRPr="00E25FEE">
        <w:t>Environmental Health</w:t>
      </w:r>
    </w:p>
    <w:p w14:paraId="31F30583" w14:textId="35D99EE1" w:rsidR="00E25FEE" w:rsidRDefault="00E25FEE" w:rsidP="00926EB3">
      <w:pPr>
        <w:pStyle w:val="ListParagraph"/>
        <w:numPr>
          <w:ilvl w:val="0"/>
          <w:numId w:val="11"/>
        </w:numPr>
      </w:pPr>
      <w:r w:rsidRPr="00E25FEE">
        <w:t>Technology and Artificial Intelligenc</w:t>
      </w:r>
      <w:r>
        <w:t>e</w:t>
      </w:r>
    </w:p>
    <w:p w14:paraId="71B57693" w14:textId="52147E13" w:rsidR="00E25FEE" w:rsidRPr="00E25FEE" w:rsidRDefault="002A0CBD" w:rsidP="00926EB3">
      <w:pPr>
        <w:pStyle w:val="ListParagraph"/>
        <w:numPr>
          <w:ilvl w:val="0"/>
          <w:numId w:val="11"/>
        </w:numPr>
      </w:pPr>
      <w:r>
        <w:t xml:space="preserve"> </w:t>
      </w:r>
      <w:r w:rsidR="00E25FEE" w:rsidRPr="00E25FEE">
        <w:t>Aging Population and Caregiver Health</w:t>
      </w:r>
    </w:p>
    <w:p w14:paraId="5992E9CD" w14:textId="77777777" w:rsidR="00E25FEE" w:rsidRPr="00E25FEE" w:rsidRDefault="00E25FEE" w:rsidP="00E25FEE"/>
    <w:p w14:paraId="079DED4C" w14:textId="77777777" w:rsidR="00E25FEE" w:rsidRDefault="00E25FEE" w:rsidP="00E25FEE">
      <w:r w:rsidRPr="00E25FEE">
        <w:t xml:space="preserve">The forces of change were then reported out and discussed in the larger group. The top five forces of change were voted upon by the larger group, building consensus around top events, factors, and trends to focus upon to improve SC’s health. These final five forces of change included: </w:t>
      </w:r>
    </w:p>
    <w:p w14:paraId="6DCE42AB" w14:textId="1CE07D2E" w:rsidR="00E25FEE" w:rsidRDefault="00E25FEE" w:rsidP="00926EB3">
      <w:pPr>
        <w:pStyle w:val="ListParagraph"/>
        <w:numPr>
          <w:ilvl w:val="0"/>
          <w:numId w:val="12"/>
        </w:numPr>
      </w:pPr>
      <w:r w:rsidRPr="00E25FEE">
        <w:lastRenderedPageBreak/>
        <w:t>Access to Mental Health Education and Care</w:t>
      </w:r>
    </w:p>
    <w:p w14:paraId="7EA61D3C" w14:textId="721ED0F6" w:rsidR="00E25FEE" w:rsidRDefault="00E25FEE" w:rsidP="00926EB3">
      <w:pPr>
        <w:pStyle w:val="ListParagraph"/>
        <w:numPr>
          <w:ilvl w:val="0"/>
          <w:numId w:val="12"/>
        </w:numPr>
      </w:pPr>
      <w:r w:rsidRPr="00E25FEE">
        <w:t xml:space="preserve">Health </w:t>
      </w:r>
      <w:r w:rsidR="00DA29BD">
        <w:t>C</w:t>
      </w:r>
      <w:r w:rsidRPr="00E25FEE">
        <w:t>are Costs and the Need for Affordable Care</w:t>
      </w:r>
    </w:p>
    <w:p w14:paraId="013E4246" w14:textId="77777777" w:rsidR="00E25FEE" w:rsidRDefault="00E25FEE" w:rsidP="00926EB3">
      <w:pPr>
        <w:pStyle w:val="ListParagraph"/>
        <w:numPr>
          <w:ilvl w:val="0"/>
          <w:numId w:val="12"/>
        </w:numPr>
      </w:pPr>
      <w:r w:rsidRPr="00E25FEE">
        <w:t>Structural and Systemic Inequities</w:t>
      </w:r>
    </w:p>
    <w:p w14:paraId="6EC911B0" w14:textId="77777777" w:rsidR="00E25FEE" w:rsidRDefault="00E25FEE" w:rsidP="00926EB3">
      <w:pPr>
        <w:pStyle w:val="ListParagraph"/>
        <w:numPr>
          <w:ilvl w:val="0"/>
          <w:numId w:val="12"/>
        </w:numPr>
      </w:pPr>
      <w:r w:rsidRPr="00E25FEE">
        <w:t>Social Determinants of Health</w:t>
      </w:r>
    </w:p>
    <w:p w14:paraId="4830C6F1" w14:textId="245AA6E2" w:rsidR="00E25FEE" w:rsidRDefault="00E25FEE" w:rsidP="00926EB3">
      <w:pPr>
        <w:pStyle w:val="ListParagraph"/>
        <w:numPr>
          <w:ilvl w:val="0"/>
          <w:numId w:val="12"/>
        </w:numPr>
      </w:pPr>
      <w:r w:rsidRPr="00E25FEE">
        <w:t>Health Policy</w:t>
      </w:r>
      <w:r>
        <w:t xml:space="preserve"> and </w:t>
      </w:r>
      <w:r w:rsidRPr="00E25FEE">
        <w:t>the Need for Policy Change</w:t>
      </w:r>
    </w:p>
    <w:p w14:paraId="366AC125" w14:textId="77777777" w:rsidR="00E25FEE" w:rsidRPr="00E25FEE" w:rsidRDefault="00E25FEE" w:rsidP="00E25FEE">
      <w:pPr>
        <w:pStyle w:val="ListParagraph"/>
      </w:pPr>
    </w:p>
    <w:p w14:paraId="124CE458" w14:textId="2343676D" w:rsidR="00E25FEE" w:rsidRPr="00E25FEE" w:rsidRDefault="00E25FEE" w:rsidP="00E25FEE">
      <w:r w:rsidRPr="00E25FEE">
        <w:t xml:space="preserve">For this chapter, the Forces of Change survey results were further analyzed beyond preliminary results. These results were analyzed separately from other data sources in the chapter (i.e., stakeholder interviews, community listening sessions, community health documents). The survey included more involvement from professionals working in the public health and healthcare arenas, whereas the stakeholder interviews and community listening sessions involved more participants from different professional backgrounds and more community members. Therefore, it was important to understand similarities and differences between these data sources. </w:t>
      </w:r>
    </w:p>
    <w:p w14:paraId="34945B85" w14:textId="77777777" w:rsidR="00E25FEE" w:rsidRDefault="00E25FEE" w:rsidP="00E25FEE"/>
    <w:p w14:paraId="2AE0C0D0" w14:textId="38807EFC" w:rsidR="00E25FEE" w:rsidRPr="00E25FEE" w:rsidRDefault="00E25FEE" w:rsidP="00E25FEE">
      <w:r w:rsidRPr="00E25FEE">
        <w:t xml:space="preserve">The impact of COVID-19, as well as economic influences on health (e.g., lack of affordable health insurance and health care) were discussed throughout all data sources. However, in the Forces of Change survey results, participants discussed population changes such as people moving to SC or people moving away from rural areas, and the infrastructure impacts occurring as a result. Additionally, political influences were discussed in the Forces of Change survey results more often than the other data sources.  </w:t>
      </w:r>
    </w:p>
    <w:p w14:paraId="7CE4F643" w14:textId="77777777" w:rsidR="00E25FEE" w:rsidRPr="00E25FEE" w:rsidRDefault="00E25FEE" w:rsidP="00E25FEE"/>
    <w:p w14:paraId="06B23E17" w14:textId="77777777" w:rsidR="00E25FEE" w:rsidRPr="00E25FEE" w:rsidRDefault="00E25FEE" w:rsidP="00E25FEE">
      <w:pPr>
        <w:pStyle w:val="Heading3"/>
      </w:pPr>
      <w:bookmarkStart w:id="59" w:name="_Toc162267024"/>
      <w:r w:rsidRPr="00E25FEE">
        <w:t>What forces are affecting SC?</w:t>
      </w:r>
      <w:bookmarkEnd w:id="59"/>
      <w:r w:rsidRPr="00E25FEE">
        <w:t xml:space="preserve"> </w:t>
      </w:r>
    </w:p>
    <w:p w14:paraId="069FFE77" w14:textId="77777777" w:rsidR="00E25FEE" w:rsidRPr="00E25FEE" w:rsidRDefault="00E25FEE" w:rsidP="00E25FEE">
      <w:r w:rsidRPr="00E25FEE">
        <w:t xml:space="preserve">The Forces of Change survey was sent out to SC stakeholders from February-April 2023 through Survey Monkey, with 157 participants. Specifically, trends, events, and factors were identified for the Forces of Change Survey around three questions: </w:t>
      </w:r>
    </w:p>
    <w:p w14:paraId="3063CC7B" w14:textId="77777777" w:rsidR="00E25FEE" w:rsidRDefault="00E25FEE" w:rsidP="00E25FEE">
      <w:pPr>
        <w:pStyle w:val="Heading4"/>
      </w:pPr>
    </w:p>
    <w:p w14:paraId="0EC79FB0" w14:textId="77777777" w:rsidR="00E25FEE" w:rsidRPr="00E25FEE" w:rsidRDefault="00E25FEE" w:rsidP="00983AE8">
      <w:pPr>
        <w:pStyle w:val="Heading5"/>
      </w:pPr>
      <w:r w:rsidRPr="00E25FEE">
        <w:t>Strategic Planning</w:t>
      </w:r>
    </w:p>
    <w:p w14:paraId="1B45D8E3" w14:textId="77777777" w:rsidR="00E25FEE" w:rsidRPr="00E25FEE" w:rsidRDefault="00E25FEE" w:rsidP="00E25FEE">
      <w:r w:rsidRPr="00E25FEE">
        <w:t xml:space="preserve">Sustainability was discussed at an organizational level. One issue that was raised under this subtheme was a sustainable workforce, specifically more volunteers and bilingual staff were needed. Medical mobile units were mentioned as a sustainable strategy to address access to care issues, specifically in rural areas. Finally, raising community awareness about organizations and programming </w:t>
      </w:r>
      <w:r w:rsidRPr="00E25FEE">
        <w:lastRenderedPageBreak/>
        <w:t xml:space="preserve">offered was mentioned as a strategy to keep organizations relevant, thereby promoting sustainability. </w:t>
      </w:r>
    </w:p>
    <w:p w14:paraId="0CCCDFA9" w14:textId="77777777" w:rsidR="00E25FEE" w:rsidRDefault="00E25FEE" w:rsidP="00E25FEE">
      <w:pPr>
        <w:pStyle w:val="Heading4"/>
      </w:pPr>
    </w:p>
    <w:p w14:paraId="619E4DE9" w14:textId="5CDFB26D" w:rsidR="00E25FEE" w:rsidRPr="00E25FEE" w:rsidRDefault="00E25FEE" w:rsidP="00983AE8">
      <w:pPr>
        <w:pStyle w:val="Heading5"/>
      </w:pPr>
      <w:r w:rsidRPr="00E25FEE">
        <w:t xml:space="preserve">Events: </w:t>
      </w:r>
    </w:p>
    <w:p w14:paraId="111FCE7F" w14:textId="77777777" w:rsidR="00E25FEE" w:rsidRPr="00E25FEE" w:rsidRDefault="00E25FEE" w:rsidP="00E25FEE">
      <w:r w:rsidRPr="00E25FEE">
        <w:t xml:space="preserve">COVID-19 (n=16) was mentioned as the number-one event affecting SC. When further description was provided, participants mentioned the long-term effects of COVID-19, including negative effects on mental health and a jump in people not being able to meet basic needs such as, housing. Secondly, natural disasters (n=12) such as hurricanes, flooding, and extreme weather were mentioned as the second most impactful events.  </w:t>
      </w:r>
    </w:p>
    <w:p w14:paraId="0C41925D" w14:textId="77777777" w:rsidR="00E25FEE" w:rsidRPr="00E25FEE" w:rsidRDefault="00E25FEE" w:rsidP="00E25FEE">
      <w:pPr>
        <w:rPr>
          <w:b/>
          <w:bCs/>
        </w:rPr>
      </w:pPr>
    </w:p>
    <w:p w14:paraId="4A98C46A" w14:textId="77777777" w:rsidR="00E25FEE" w:rsidRPr="00E25FEE" w:rsidRDefault="00E25FEE" w:rsidP="00983AE8">
      <w:pPr>
        <w:pStyle w:val="Heading5"/>
      </w:pPr>
      <w:r w:rsidRPr="00E25FEE">
        <w:t xml:space="preserve">Factors: </w:t>
      </w:r>
    </w:p>
    <w:p w14:paraId="61B3ED0C" w14:textId="2D1EDEF8" w:rsidR="00E25FEE" w:rsidRPr="00E25FEE" w:rsidRDefault="00E25FEE" w:rsidP="00E25FEE">
      <w:r w:rsidRPr="00E25FEE">
        <w:t>With 23 responses, economic factors were mentioned as the number-one factor affecting SC. Inflation, low wages and poverty, and lack of infrastructure investment and economic opportunities specifically in rural communities, contributes to disparities in rural areas. Lastly, with 11 responses, health care was mentioned as the second most impactful factor. Responses described affordable health care access, more health care access locations, and a stronger healthcare workforce, particularly in rural areas, as affecting SC.</w:t>
      </w:r>
    </w:p>
    <w:p w14:paraId="6268956E" w14:textId="77777777" w:rsidR="00E25FEE" w:rsidRDefault="00E25FEE" w:rsidP="00E25FEE">
      <w:pPr>
        <w:rPr>
          <w:b/>
          <w:bCs/>
        </w:rPr>
      </w:pPr>
    </w:p>
    <w:p w14:paraId="4E99DDB2" w14:textId="7A4C7670" w:rsidR="00E25FEE" w:rsidRPr="00E25FEE" w:rsidRDefault="00E25FEE" w:rsidP="00983AE8">
      <w:pPr>
        <w:pStyle w:val="Heading5"/>
      </w:pPr>
      <w:r w:rsidRPr="00E25FEE">
        <w:t>Trends:</w:t>
      </w:r>
    </w:p>
    <w:p w14:paraId="586F52BE" w14:textId="7FDAC48F" w:rsidR="00E25FEE" w:rsidRDefault="00E25FEE" w:rsidP="00E25FEE">
      <w:r w:rsidRPr="00E25FEE">
        <w:t>With 24 responses, population change was noted as the number-one trend affecting SC. People described the influx of new industries as drawing new residents, but also the relatively low cost of living especially drawing in retirees. Additionally, people immigrating from other countries to SC was mentioned as a trend affecting population changes. When people described population changes, they also described lack of current infrastructure (e.g., roads, housing, etc.) and a lack of future infrastructure planning as issues. Economic trends (n=21) were the second-highest trend reported as affecting SC. Inflation, particularly around basic needs such as food, housing, and affordable health insurance.</w:t>
      </w:r>
    </w:p>
    <w:p w14:paraId="2C3F28A8" w14:textId="77777777" w:rsidR="00E25FEE" w:rsidRPr="00E25FEE" w:rsidRDefault="00E25FEE" w:rsidP="00E25FEE">
      <w:pPr>
        <w:pStyle w:val="Heading3"/>
      </w:pPr>
      <w:bookmarkStart w:id="60" w:name="_Toc162267025"/>
      <w:r w:rsidRPr="00E25FEE">
        <w:t>What forces might hinder us from creating a healthier state?</w:t>
      </w:r>
      <w:bookmarkEnd w:id="60"/>
      <w:r w:rsidRPr="00E25FEE">
        <w:t xml:space="preserve"> </w:t>
      </w:r>
    </w:p>
    <w:p w14:paraId="039558F2" w14:textId="77777777" w:rsidR="00E25FEE" w:rsidRDefault="00E25FEE" w:rsidP="00E25FEE">
      <w:pPr>
        <w:rPr>
          <w:b/>
          <w:bCs/>
        </w:rPr>
      </w:pPr>
    </w:p>
    <w:p w14:paraId="57D91FF5" w14:textId="7FDE05E7" w:rsidR="00E25FEE" w:rsidRPr="00E25FEE" w:rsidRDefault="00E25FEE" w:rsidP="00983AE8">
      <w:pPr>
        <w:pStyle w:val="Heading5"/>
      </w:pPr>
      <w:r w:rsidRPr="00E25FEE">
        <w:t>Events:</w:t>
      </w:r>
    </w:p>
    <w:p w14:paraId="3FABDE2F" w14:textId="428860A4" w:rsidR="00E25FEE" w:rsidRPr="00E25FEE" w:rsidRDefault="00E25FEE" w:rsidP="00E25FEE">
      <w:r w:rsidRPr="00E25FEE">
        <w:t xml:space="preserve">With 13 responses, COVID-19 was mentioned as the most hindering event to creating a healthier state. Health care was also tied with economic and political hindrances. Health care access, such as affordable insurance, healthcare </w:t>
      </w:r>
      <w:r w:rsidRPr="00E25FEE">
        <w:lastRenderedPageBreak/>
        <w:t>workforce shortages, and lack of healthcare facilities, specifically in rural areas, were mentioned. Economic issues, including low wages and inflation, were mentioned. Lastly, political issues around legislation that hurt low-income South Carolinians were mentioned.</w:t>
      </w:r>
    </w:p>
    <w:p w14:paraId="0EE8FD1D" w14:textId="77777777" w:rsidR="00E25FEE" w:rsidRDefault="00E25FEE" w:rsidP="00E25FEE">
      <w:pPr>
        <w:rPr>
          <w:b/>
          <w:bCs/>
        </w:rPr>
      </w:pPr>
    </w:p>
    <w:p w14:paraId="3F77854B" w14:textId="763FF6B9" w:rsidR="00E25FEE" w:rsidRPr="00E25FEE" w:rsidRDefault="00E25FEE" w:rsidP="00983AE8">
      <w:pPr>
        <w:pStyle w:val="Heading5"/>
      </w:pPr>
      <w:r w:rsidRPr="00E25FEE">
        <w:t>Factors:</w:t>
      </w:r>
    </w:p>
    <w:p w14:paraId="67416E61" w14:textId="77777777" w:rsidR="00E25FEE" w:rsidRPr="00E25FEE" w:rsidRDefault="00E25FEE" w:rsidP="00E25FEE">
      <w:r w:rsidRPr="00E25FEE">
        <w:t xml:space="preserve">Economic factors (n=13) were mentioned as the number-one hindrance to a healthier SC. These included poverty, inflation, and lack of economic investment in rural areas. Politics were (n=11) the second most impactful hindrance and included not having enough funding or resources to address health issues. </w:t>
      </w:r>
    </w:p>
    <w:p w14:paraId="4EC8E673" w14:textId="77777777" w:rsidR="00E25FEE" w:rsidRDefault="00E25FEE" w:rsidP="00E25FEE">
      <w:pPr>
        <w:rPr>
          <w:b/>
          <w:bCs/>
        </w:rPr>
      </w:pPr>
    </w:p>
    <w:p w14:paraId="54345ACD" w14:textId="39BE261D" w:rsidR="00E25FEE" w:rsidRPr="00E25FEE" w:rsidRDefault="00E25FEE" w:rsidP="00983AE8">
      <w:pPr>
        <w:pStyle w:val="Heading5"/>
      </w:pPr>
      <w:r w:rsidRPr="00E25FEE">
        <w:t xml:space="preserve">Trends: </w:t>
      </w:r>
    </w:p>
    <w:p w14:paraId="1861A091" w14:textId="77777777" w:rsidR="00E25FEE" w:rsidRPr="00E25FEE" w:rsidRDefault="00E25FEE" w:rsidP="00E25FEE">
      <w:r w:rsidRPr="00E25FEE">
        <w:t>As in hindering factors, economic trends (n=18) were mentioned as the number-one trend hindering SC from</w:t>
      </w:r>
      <w:r>
        <w:t xml:space="preserve"> </w:t>
      </w:r>
      <w:r w:rsidRPr="00E25FEE">
        <w:t xml:space="preserve">becoming a healthier state. These trends included poverty and inflation around basic needs such as affordable housing, health insurance, and rising food costs. Leadership issues (n=13) were also mentioned as a hindrance. Most of these issues were described as political in nature, with a lack of understanding from politicians about what is needed on the community or local level, and passing legislation that is hurtful to low-income residents. </w:t>
      </w:r>
    </w:p>
    <w:p w14:paraId="2A00AFFC" w14:textId="74598E99" w:rsidR="00E25FEE" w:rsidRDefault="00E25FEE" w:rsidP="00E25FEE"/>
    <w:p w14:paraId="1123CAB3" w14:textId="77777777" w:rsidR="002A0CBD" w:rsidRPr="007621EB" w:rsidRDefault="002A0CBD" w:rsidP="002A0CBD">
      <w:pPr>
        <w:pStyle w:val="Heading4"/>
      </w:pPr>
      <w:bookmarkStart w:id="61" w:name="_Toc154569761"/>
      <w:bookmarkStart w:id="62" w:name="_Toc162267026"/>
      <w:r>
        <w:t>Table 3.7: Forces Affecting Health and Hindrances in SC.</w:t>
      </w:r>
      <w:bookmarkEnd w:id="61"/>
      <w:bookmarkEnd w:id="62"/>
      <w:r>
        <w:t xml:space="preserve"> </w:t>
      </w:r>
    </w:p>
    <w:tbl>
      <w:tblPr>
        <w:tblStyle w:val="TableGrid"/>
        <w:tblW w:w="0" w:type="auto"/>
        <w:tblLook w:val="04A0" w:firstRow="1" w:lastRow="0" w:firstColumn="1" w:lastColumn="0" w:noHBand="0" w:noVBand="1"/>
      </w:tblPr>
      <w:tblGrid>
        <w:gridCol w:w="3402"/>
        <w:gridCol w:w="3114"/>
        <w:gridCol w:w="2834"/>
      </w:tblGrid>
      <w:tr w:rsidR="002A0CBD" w14:paraId="04B55237" w14:textId="77777777" w:rsidTr="001515D5">
        <w:tc>
          <w:tcPr>
            <w:tcW w:w="3402" w:type="dxa"/>
          </w:tcPr>
          <w:p w14:paraId="2523DE2A" w14:textId="77777777" w:rsidR="002A0CBD" w:rsidRPr="00661074" w:rsidRDefault="002A0CBD" w:rsidP="001515D5">
            <w:r w:rsidRPr="00661074">
              <w:t>Category</w:t>
            </w:r>
          </w:p>
        </w:tc>
        <w:tc>
          <w:tcPr>
            <w:tcW w:w="3114" w:type="dxa"/>
          </w:tcPr>
          <w:p w14:paraId="6C0EC061" w14:textId="77777777" w:rsidR="002A0CBD" w:rsidRPr="00661074" w:rsidRDefault="002A0CBD" w:rsidP="001515D5">
            <w:r w:rsidRPr="00661074">
              <w:t>Forces Affecting</w:t>
            </w:r>
          </w:p>
        </w:tc>
        <w:tc>
          <w:tcPr>
            <w:tcW w:w="2834" w:type="dxa"/>
          </w:tcPr>
          <w:p w14:paraId="0CF74240" w14:textId="77777777" w:rsidR="002A0CBD" w:rsidRPr="00661074" w:rsidRDefault="002A0CBD" w:rsidP="001515D5">
            <w:r w:rsidRPr="00661074">
              <w:t>Hindrances</w:t>
            </w:r>
          </w:p>
        </w:tc>
      </w:tr>
      <w:tr w:rsidR="002A0CBD" w14:paraId="744FAEF7" w14:textId="77777777" w:rsidTr="001515D5">
        <w:tc>
          <w:tcPr>
            <w:tcW w:w="3402" w:type="dxa"/>
          </w:tcPr>
          <w:p w14:paraId="3B1FCDF7" w14:textId="77777777" w:rsidR="002A0CBD" w:rsidRPr="00661074" w:rsidRDefault="002A0CBD" w:rsidP="001515D5">
            <w:r w:rsidRPr="00661074">
              <w:t>Events</w:t>
            </w:r>
          </w:p>
        </w:tc>
        <w:tc>
          <w:tcPr>
            <w:tcW w:w="3114" w:type="dxa"/>
          </w:tcPr>
          <w:p w14:paraId="4E2D493B" w14:textId="77777777" w:rsidR="002A0CBD" w:rsidRPr="00661074" w:rsidRDefault="002A0CBD" w:rsidP="001515D5">
            <w:r w:rsidRPr="00661074">
              <w:t>COVID-19, Natural Disasters</w:t>
            </w:r>
          </w:p>
        </w:tc>
        <w:tc>
          <w:tcPr>
            <w:tcW w:w="2834" w:type="dxa"/>
          </w:tcPr>
          <w:p w14:paraId="3A5F47BB" w14:textId="77777777" w:rsidR="002A0CBD" w:rsidRPr="00661074" w:rsidRDefault="002A0CBD" w:rsidP="001515D5">
            <w:r w:rsidRPr="00661074">
              <w:t>COVID-19, Health Care, Political and Leadership</w:t>
            </w:r>
          </w:p>
        </w:tc>
      </w:tr>
      <w:tr w:rsidR="002A0CBD" w14:paraId="62038102" w14:textId="77777777" w:rsidTr="001515D5">
        <w:tc>
          <w:tcPr>
            <w:tcW w:w="3402" w:type="dxa"/>
          </w:tcPr>
          <w:p w14:paraId="2FF8385C" w14:textId="77777777" w:rsidR="002A0CBD" w:rsidRPr="00661074" w:rsidRDefault="002A0CBD" w:rsidP="001515D5">
            <w:r w:rsidRPr="00661074">
              <w:t>Factors</w:t>
            </w:r>
          </w:p>
        </w:tc>
        <w:tc>
          <w:tcPr>
            <w:tcW w:w="3114" w:type="dxa"/>
          </w:tcPr>
          <w:p w14:paraId="6096FA36" w14:textId="77777777" w:rsidR="002A0CBD" w:rsidRPr="00661074" w:rsidRDefault="002A0CBD" w:rsidP="001515D5">
            <w:r w:rsidRPr="00661074">
              <w:t>Economic, Health Care</w:t>
            </w:r>
          </w:p>
        </w:tc>
        <w:tc>
          <w:tcPr>
            <w:tcW w:w="2834" w:type="dxa"/>
          </w:tcPr>
          <w:p w14:paraId="1B09CCD3" w14:textId="77777777" w:rsidR="002A0CBD" w:rsidRPr="00661074" w:rsidRDefault="002A0CBD" w:rsidP="001515D5">
            <w:r w:rsidRPr="00661074">
              <w:t>Economic, Political</w:t>
            </w:r>
          </w:p>
        </w:tc>
      </w:tr>
      <w:tr w:rsidR="002A0CBD" w14:paraId="79647F9F" w14:textId="77777777" w:rsidTr="001515D5">
        <w:tc>
          <w:tcPr>
            <w:tcW w:w="3402" w:type="dxa"/>
          </w:tcPr>
          <w:p w14:paraId="3B791912" w14:textId="77777777" w:rsidR="002A0CBD" w:rsidRPr="00661074" w:rsidRDefault="002A0CBD" w:rsidP="001515D5">
            <w:r w:rsidRPr="00661074">
              <w:t>Trends</w:t>
            </w:r>
          </w:p>
        </w:tc>
        <w:tc>
          <w:tcPr>
            <w:tcW w:w="3114" w:type="dxa"/>
          </w:tcPr>
          <w:p w14:paraId="2FC39E3B" w14:textId="77777777" w:rsidR="002A0CBD" w:rsidRPr="00661074" w:rsidRDefault="002A0CBD" w:rsidP="001515D5">
            <w:r w:rsidRPr="00661074">
              <w:t>Population Changes, Economic</w:t>
            </w:r>
          </w:p>
        </w:tc>
        <w:tc>
          <w:tcPr>
            <w:tcW w:w="2834" w:type="dxa"/>
          </w:tcPr>
          <w:p w14:paraId="7E9A1D57" w14:textId="77777777" w:rsidR="002A0CBD" w:rsidRPr="00661074" w:rsidRDefault="002A0CBD" w:rsidP="001515D5">
            <w:r w:rsidRPr="00661074">
              <w:t>Economic, Leadership</w:t>
            </w:r>
          </w:p>
        </w:tc>
      </w:tr>
    </w:tbl>
    <w:p w14:paraId="6F8ECB66" w14:textId="77777777" w:rsidR="00E25FEE" w:rsidRPr="00E25FEE" w:rsidRDefault="00E25FEE" w:rsidP="00E25FEE"/>
    <w:p w14:paraId="338520CD" w14:textId="77777777" w:rsidR="00E25FEE" w:rsidRPr="00E25FEE" w:rsidRDefault="00E25FEE" w:rsidP="00E25FEE">
      <w:pPr>
        <w:pStyle w:val="Heading3"/>
      </w:pPr>
      <w:bookmarkStart w:id="63" w:name="_Toc162267027"/>
      <w:r w:rsidRPr="00E25FEE">
        <w:t>What are the top three actions SC could take in response to those forces that could lead to health improvement?</w:t>
      </w:r>
      <w:bookmarkEnd w:id="63"/>
    </w:p>
    <w:p w14:paraId="0692F116" w14:textId="77777777" w:rsidR="00E25FEE" w:rsidRPr="00E25FEE" w:rsidRDefault="00E25FEE" w:rsidP="00983AE8">
      <w:pPr>
        <w:pStyle w:val="Heading5"/>
      </w:pPr>
      <w:r w:rsidRPr="00E25FEE">
        <w:t xml:space="preserve">Action 1 (n=34): </w:t>
      </w:r>
    </w:p>
    <w:p w14:paraId="020F2C87" w14:textId="77777777" w:rsidR="00E25FEE" w:rsidRDefault="00E25FEE" w:rsidP="00E25FEE">
      <w:r w:rsidRPr="00E25FEE">
        <w:t xml:space="preserve">More services, including more funding and education, around: </w:t>
      </w:r>
    </w:p>
    <w:p w14:paraId="5AF5279C" w14:textId="5B73AA02" w:rsidR="00E25FEE" w:rsidRDefault="00E25FEE" w:rsidP="00926EB3">
      <w:pPr>
        <w:pStyle w:val="ListParagraph"/>
        <w:numPr>
          <w:ilvl w:val="0"/>
          <w:numId w:val="13"/>
        </w:numPr>
      </w:pPr>
      <w:r w:rsidRPr="00E25FEE">
        <w:t xml:space="preserve">Healthy food, including expanding healthy food accessibility, education on buying local, food prep, healthy </w:t>
      </w:r>
      <w:proofErr w:type="gramStart"/>
      <w:r w:rsidRPr="00E25FEE">
        <w:t>eating</w:t>
      </w:r>
      <w:proofErr w:type="gramEnd"/>
      <w:r w:rsidRPr="00E25FEE">
        <w:t xml:space="preserve"> and physical activity curriculum in </w:t>
      </w:r>
      <w:r w:rsidRPr="00E25FEE">
        <w:lastRenderedPageBreak/>
        <w:t>schools, building communities that incorporate health infrastructure such as bike paths and community gardens</w:t>
      </w:r>
      <w:r>
        <w:t>.</w:t>
      </w:r>
    </w:p>
    <w:p w14:paraId="6605C53E" w14:textId="48B821CA" w:rsidR="00E25FEE" w:rsidRPr="00E25FEE" w:rsidRDefault="00E25FEE" w:rsidP="00926EB3">
      <w:pPr>
        <w:pStyle w:val="ListParagraph"/>
        <w:numPr>
          <w:ilvl w:val="0"/>
          <w:numId w:val="13"/>
        </w:numPr>
      </w:pPr>
      <w:r w:rsidRPr="00E25FEE">
        <w:t>Mental health and substance use services and providers, along with more education and awareness lowering stigma.</w:t>
      </w:r>
    </w:p>
    <w:p w14:paraId="066CB84A" w14:textId="77777777" w:rsidR="00E25FEE" w:rsidRPr="00E25FEE" w:rsidRDefault="00E25FEE" w:rsidP="00E25FEE">
      <w:pPr>
        <w:pStyle w:val="Heading4"/>
      </w:pPr>
    </w:p>
    <w:p w14:paraId="13E69D6B" w14:textId="77777777" w:rsidR="00E25FEE" w:rsidRPr="00E25FEE" w:rsidRDefault="00E25FEE" w:rsidP="00983AE8">
      <w:pPr>
        <w:pStyle w:val="Heading5"/>
      </w:pPr>
      <w:r w:rsidRPr="00E25FEE">
        <w:t>Action 2 (n=33):</w:t>
      </w:r>
    </w:p>
    <w:p w14:paraId="7B940448" w14:textId="77777777" w:rsidR="00E25FEE" w:rsidRDefault="00E25FEE" w:rsidP="00E25FEE">
      <w:r w:rsidRPr="00E25FEE">
        <w:t xml:space="preserve">Increasing access to quality health care by: </w:t>
      </w:r>
    </w:p>
    <w:p w14:paraId="6B6509A8" w14:textId="04F058BC" w:rsidR="00E25FEE" w:rsidRDefault="00E25FEE" w:rsidP="00926EB3">
      <w:pPr>
        <w:pStyle w:val="ListParagraph"/>
        <w:numPr>
          <w:ilvl w:val="0"/>
          <w:numId w:val="14"/>
        </w:numPr>
      </w:pPr>
      <w:r w:rsidRPr="00E25FEE">
        <w:t>Lowering the cost of insurance and improving healthcare coverage to low- and middle-class South Carolinians, including efforts to expand Medicaid</w:t>
      </w:r>
      <w:r>
        <w:t>.</w:t>
      </w:r>
    </w:p>
    <w:p w14:paraId="2BE5A66E" w14:textId="1388E005" w:rsidR="00E25FEE" w:rsidRDefault="00E25FEE" w:rsidP="00926EB3">
      <w:pPr>
        <w:pStyle w:val="ListParagraph"/>
        <w:numPr>
          <w:ilvl w:val="0"/>
          <w:numId w:val="14"/>
        </w:numPr>
      </w:pPr>
      <w:r w:rsidRPr="00E25FEE">
        <w:t>More funding to incentivize healthcare systems to do more prevention programming, including more evidence-based programming focused on community health issues, with community partners and trusted community-based organizations</w:t>
      </w:r>
      <w:r>
        <w:t>.</w:t>
      </w:r>
    </w:p>
    <w:p w14:paraId="5C92BBCD" w14:textId="2B6898C6" w:rsidR="00E25FEE" w:rsidRDefault="00E25FEE" w:rsidP="00926EB3">
      <w:pPr>
        <w:pStyle w:val="ListParagraph"/>
        <w:numPr>
          <w:ilvl w:val="0"/>
          <w:numId w:val="14"/>
        </w:numPr>
      </w:pPr>
      <w:r w:rsidRPr="00E25FEE">
        <w:t>Focus on communities and healthcare infrastructure (i.e., more rural healthcare workforce development, more facilities, transportation, prescription medicine access); more affordable options and locations (e.g., mobile clinics and telehealth); more health care coordination between systems; and lastly, more education about health care options, including educating both individuals and the healthcare workforce about systems and services. This included a focus on rural communities.</w:t>
      </w:r>
    </w:p>
    <w:p w14:paraId="61198D57" w14:textId="77777777" w:rsidR="00E25FEE" w:rsidRDefault="00E25FEE" w:rsidP="00E25FEE"/>
    <w:p w14:paraId="36337769" w14:textId="77777777" w:rsidR="00E25FEE" w:rsidRPr="00E25FEE" w:rsidRDefault="00E25FEE" w:rsidP="00983AE8">
      <w:pPr>
        <w:pStyle w:val="Heading5"/>
      </w:pPr>
      <w:r w:rsidRPr="00E25FEE">
        <w:t>Action 3 (n=19):</w:t>
      </w:r>
    </w:p>
    <w:p w14:paraId="651A7318" w14:textId="77777777" w:rsidR="00E25FEE" w:rsidRDefault="00E25FEE" w:rsidP="00E25FEE">
      <w:r w:rsidRPr="00E25FEE">
        <w:t xml:space="preserve">More interaction with leadership at the state and local levels through: </w:t>
      </w:r>
    </w:p>
    <w:p w14:paraId="1D91FAC2" w14:textId="541CBF70" w:rsidR="00E25FEE" w:rsidRDefault="00E25FEE" w:rsidP="00926EB3">
      <w:pPr>
        <w:pStyle w:val="ListParagraph"/>
        <w:numPr>
          <w:ilvl w:val="0"/>
          <w:numId w:val="15"/>
        </w:numPr>
      </w:pPr>
      <w:r w:rsidRPr="00E25FEE">
        <w:t>More legislation and funding around evidence-based public health programming, including gun violence prevention programming, tobacco policies and illicit drug-policies</w:t>
      </w:r>
      <w:r>
        <w:t>.</w:t>
      </w:r>
    </w:p>
    <w:p w14:paraId="4AD12B7A" w14:textId="77777777" w:rsidR="00E25FEE" w:rsidRDefault="00E25FEE" w:rsidP="00926EB3">
      <w:pPr>
        <w:pStyle w:val="ListParagraph"/>
        <w:numPr>
          <w:ilvl w:val="0"/>
          <w:numId w:val="15"/>
        </w:numPr>
      </w:pPr>
      <w:r w:rsidRPr="00E25FEE">
        <w:t>More transparency and diversity in leadership positions</w:t>
      </w:r>
      <w:r>
        <w:t>.</w:t>
      </w:r>
    </w:p>
    <w:p w14:paraId="7B0BEE0A" w14:textId="77777777" w:rsidR="00E25FEE" w:rsidRDefault="00E25FEE" w:rsidP="00926EB3">
      <w:pPr>
        <w:pStyle w:val="ListParagraph"/>
        <w:numPr>
          <w:ilvl w:val="0"/>
          <w:numId w:val="15"/>
        </w:numPr>
      </w:pPr>
      <w:r w:rsidRPr="00E25FEE">
        <w:t xml:space="preserve">More communication between communities, particularly rural </w:t>
      </w:r>
      <w:proofErr w:type="gramStart"/>
      <w:r w:rsidRPr="00E25FEE">
        <w:t>communities</w:t>
      </w:r>
      <w:proofErr w:type="gramEnd"/>
      <w:r w:rsidRPr="00E25FEE">
        <w:t xml:space="preserve"> and state legislators, with more accountability to local communities they represent</w:t>
      </w:r>
      <w:r>
        <w:t>.</w:t>
      </w:r>
    </w:p>
    <w:p w14:paraId="1222B2B8" w14:textId="77777777" w:rsidR="00E25FEE" w:rsidRDefault="00E25FEE" w:rsidP="00926EB3">
      <w:pPr>
        <w:pStyle w:val="ListParagraph"/>
        <w:numPr>
          <w:ilvl w:val="0"/>
          <w:numId w:val="15"/>
        </w:numPr>
      </w:pPr>
      <w:r w:rsidRPr="00E25FEE">
        <w:t>Better allocation of state resources.</w:t>
      </w:r>
    </w:p>
    <w:p w14:paraId="40B3DF2C" w14:textId="77777777" w:rsidR="00E25FEE" w:rsidRDefault="00E25FEE" w:rsidP="00E25FEE"/>
    <w:p w14:paraId="2F23ECF3" w14:textId="77777777" w:rsidR="002A0CBD" w:rsidRPr="007621EB" w:rsidRDefault="002A0CBD" w:rsidP="002A0CBD">
      <w:pPr>
        <w:pStyle w:val="Heading4"/>
      </w:pPr>
      <w:bookmarkStart w:id="64" w:name="_Toc154569762"/>
      <w:bookmarkStart w:id="65" w:name="_Toc162267028"/>
      <w:r>
        <w:t>Table 3.8: Top Actions in SC.</w:t>
      </w:r>
      <w:bookmarkEnd w:id="64"/>
      <w:bookmarkEnd w:id="65"/>
    </w:p>
    <w:tbl>
      <w:tblPr>
        <w:tblStyle w:val="TableGrid"/>
        <w:tblW w:w="9355" w:type="dxa"/>
        <w:tblLook w:val="04A0" w:firstRow="1" w:lastRow="0" w:firstColumn="1" w:lastColumn="0" w:noHBand="0" w:noVBand="1"/>
      </w:tblPr>
      <w:tblGrid>
        <w:gridCol w:w="3402"/>
        <w:gridCol w:w="5953"/>
      </w:tblGrid>
      <w:tr w:rsidR="002A0CBD" w14:paraId="34A6AE8C" w14:textId="77777777" w:rsidTr="001515D5">
        <w:tc>
          <w:tcPr>
            <w:tcW w:w="3402" w:type="dxa"/>
          </w:tcPr>
          <w:p w14:paraId="1045F255" w14:textId="77777777" w:rsidR="002A0CBD" w:rsidRPr="00661074" w:rsidRDefault="002A0CBD" w:rsidP="001515D5">
            <w:r w:rsidRPr="00661074">
              <w:t>Overall Goals</w:t>
            </w:r>
          </w:p>
        </w:tc>
        <w:tc>
          <w:tcPr>
            <w:tcW w:w="5953" w:type="dxa"/>
          </w:tcPr>
          <w:p w14:paraId="666E685D" w14:textId="77777777" w:rsidR="002A0CBD" w:rsidRPr="00661074" w:rsidRDefault="002A0CBD" w:rsidP="001515D5">
            <w:r w:rsidRPr="00661074">
              <w:t>Specific Actions</w:t>
            </w:r>
          </w:p>
        </w:tc>
      </w:tr>
      <w:tr w:rsidR="002A0CBD" w14:paraId="7F240210" w14:textId="77777777" w:rsidTr="001515D5">
        <w:tc>
          <w:tcPr>
            <w:tcW w:w="3402" w:type="dxa"/>
            <w:vAlign w:val="center"/>
          </w:tcPr>
          <w:p w14:paraId="798306E0" w14:textId="77777777" w:rsidR="002A0CBD" w:rsidRPr="00661074" w:rsidRDefault="002A0CBD" w:rsidP="002A0CBD">
            <w:r w:rsidRPr="00661074">
              <w:t xml:space="preserve">More services including more funding and education </w:t>
            </w:r>
          </w:p>
        </w:tc>
        <w:tc>
          <w:tcPr>
            <w:tcW w:w="5953" w:type="dxa"/>
            <w:vAlign w:val="center"/>
          </w:tcPr>
          <w:p w14:paraId="32ABAD4C" w14:textId="77777777" w:rsidR="002A0CBD" w:rsidRPr="00661074" w:rsidRDefault="002A0CBD" w:rsidP="00661074">
            <w:pPr>
              <w:pStyle w:val="ListParagraph"/>
              <w:numPr>
                <w:ilvl w:val="0"/>
                <w:numId w:val="240"/>
              </w:numPr>
              <w:rPr>
                <w:rFonts w:cstheme="minorHAnsi"/>
                <w:szCs w:val="28"/>
              </w:rPr>
            </w:pPr>
            <w:r w:rsidRPr="00661074">
              <w:rPr>
                <w:rFonts w:cstheme="minorHAnsi"/>
                <w:szCs w:val="28"/>
              </w:rPr>
              <w:t xml:space="preserve">Food access, physical activity, mental </w:t>
            </w:r>
            <w:proofErr w:type="gramStart"/>
            <w:r w:rsidRPr="00661074">
              <w:rPr>
                <w:rFonts w:cstheme="minorHAnsi"/>
                <w:szCs w:val="28"/>
              </w:rPr>
              <w:t>health</w:t>
            </w:r>
            <w:proofErr w:type="gramEnd"/>
            <w:r w:rsidRPr="00661074">
              <w:rPr>
                <w:rFonts w:cstheme="minorHAnsi"/>
                <w:szCs w:val="28"/>
              </w:rPr>
              <w:t xml:space="preserve"> and substance use programming</w:t>
            </w:r>
          </w:p>
        </w:tc>
      </w:tr>
      <w:tr w:rsidR="002A0CBD" w14:paraId="1AC41AEC" w14:textId="77777777" w:rsidTr="001515D5">
        <w:tc>
          <w:tcPr>
            <w:tcW w:w="3402" w:type="dxa"/>
            <w:vAlign w:val="center"/>
          </w:tcPr>
          <w:p w14:paraId="23702EA1" w14:textId="77777777" w:rsidR="002A0CBD" w:rsidRPr="00661074" w:rsidRDefault="002A0CBD" w:rsidP="001515D5">
            <w:r w:rsidRPr="00661074">
              <w:lastRenderedPageBreak/>
              <w:t>Increasing access to quality health care</w:t>
            </w:r>
          </w:p>
        </w:tc>
        <w:tc>
          <w:tcPr>
            <w:tcW w:w="5953" w:type="dxa"/>
            <w:vAlign w:val="center"/>
          </w:tcPr>
          <w:p w14:paraId="3E3092C6" w14:textId="66B9ABEF" w:rsidR="00661074" w:rsidRDefault="002A0CBD" w:rsidP="00661074">
            <w:pPr>
              <w:pStyle w:val="TableBody1"/>
              <w:numPr>
                <w:ilvl w:val="0"/>
                <w:numId w:val="240"/>
              </w:numPr>
              <w:tabs>
                <w:tab w:val="left" w:pos="175"/>
              </w:tabs>
              <w:rPr>
                <w:rFonts w:asciiTheme="minorHAnsi" w:hAnsiTheme="minorHAnsi" w:cstheme="minorHAnsi"/>
                <w:color w:val="auto"/>
                <w:sz w:val="28"/>
                <w:szCs w:val="28"/>
              </w:rPr>
            </w:pPr>
            <w:r w:rsidRPr="00661074">
              <w:rPr>
                <w:rFonts w:asciiTheme="minorHAnsi" w:hAnsiTheme="minorHAnsi" w:cstheme="minorHAnsi"/>
                <w:color w:val="auto"/>
                <w:sz w:val="28"/>
                <w:szCs w:val="28"/>
              </w:rPr>
              <w:t>Lower the cost of insurance and improving healthcare coverage to low and middle class, including efforts to expand Medicaid,</w:t>
            </w:r>
            <w:r w:rsidR="00661074">
              <w:rPr>
                <w:rFonts w:asciiTheme="minorHAnsi" w:hAnsiTheme="minorHAnsi" w:cstheme="minorHAnsi"/>
                <w:color w:val="auto"/>
                <w:sz w:val="28"/>
                <w:szCs w:val="28"/>
              </w:rPr>
              <w:t xml:space="preserve"> </w:t>
            </w:r>
          </w:p>
          <w:p w14:paraId="671F4CB1" w14:textId="7C05DF04" w:rsidR="002A0CBD" w:rsidRPr="00661074" w:rsidRDefault="002A0CBD" w:rsidP="00661074">
            <w:pPr>
              <w:pStyle w:val="TableBody1"/>
              <w:numPr>
                <w:ilvl w:val="0"/>
                <w:numId w:val="240"/>
              </w:numPr>
              <w:tabs>
                <w:tab w:val="left" w:pos="175"/>
              </w:tabs>
              <w:rPr>
                <w:rFonts w:asciiTheme="minorHAnsi" w:hAnsiTheme="minorHAnsi" w:cstheme="minorHAnsi"/>
                <w:color w:val="auto"/>
                <w:sz w:val="28"/>
                <w:szCs w:val="28"/>
              </w:rPr>
            </w:pPr>
            <w:r w:rsidRPr="00661074">
              <w:rPr>
                <w:rFonts w:asciiTheme="minorHAnsi" w:hAnsiTheme="minorHAnsi" w:cstheme="minorHAnsi"/>
                <w:color w:val="auto"/>
                <w:sz w:val="28"/>
                <w:szCs w:val="28"/>
              </w:rPr>
              <w:t>More funding to incentivize healthcare systems to do more prevention programming, including more evidence-based programming focused on community health issues, with community partners and trusted community-based organizations,</w:t>
            </w:r>
          </w:p>
          <w:p w14:paraId="36CE1338" w14:textId="22ED2595" w:rsidR="002A0CBD" w:rsidRPr="00661074" w:rsidRDefault="002A0CBD" w:rsidP="00661074">
            <w:pPr>
              <w:pStyle w:val="TableBody1"/>
              <w:numPr>
                <w:ilvl w:val="0"/>
                <w:numId w:val="240"/>
              </w:numPr>
              <w:tabs>
                <w:tab w:val="left" w:pos="175"/>
              </w:tabs>
              <w:rPr>
                <w:rFonts w:asciiTheme="minorHAnsi" w:hAnsiTheme="minorHAnsi" w:cstheme="minorHAnsi"/>
                <w:color w:val="auto"/>
                <w:sz w:val="28"/>
                <w:szCs w:val="28"/>
              </w:rPr>
            </w:pPr>
            <w:r w:rsidRPr="00661074">
              <w:rPr>
                <w:rFonts w:asciiTheme="minorHAnsi" w:hAnsiTheme="minorHAnsi" w:cstheme="minorHAnsi"/>
                <w:color w:val="auto"/>
                <w:sz w:val="28"/>
                <w:szCs w:val="28"/>
              </w:rPr>
              <w:t>Focus on communities and healthcare infrastructure (i.e., more rural healthcare workforce development, more facilities, transportation, prescription medicine access); offering more affordable options and locations (e.g., mobile clinics and telehealth); more health care coordination between systems; and lastly, more education about health care options, including educating both individuals and healthcare workforce about systems and services. This included a focus on rural communities,</w:t>
            </w:r>
          </w:p>
        </w:tc>
      </w:tr>
      <w:tr w:rsidR="002A0CBD" w14:paraId="0E8104C1" w14:textId="77777777" w:rsidTr="001515D5">
        <w:tc>
          <w:tcPr>
            <w:tcW w:w="3402" w:type="dxa"/>
            <w:vAlign w:val="center"/>
          </w:tcPr>
          <w:p w14:paraId="70497F76" w14:textId="77777777" w:rsidR="002A0CBD" w:rsidRPr="00661074" w:rsidRDefault="002A0CBD" w:rsidP="001515D5">
            <w:r w:rsidRPr="00661074">
              <w:t xml:space="preserve">More interaction with leadership at the state and local levels </w:t>
            </w:r>
          </w:p>
        </w:tc>
        <w:tc>
          <w:tcPr>
            <w:tcW w:w="5953" w:type="dxa"/>
            <w:vAlign w:val="center"/>
          </w:tcPr>
          <w:p w14:paraId="15CBB5FC" w14:textId="77777777" w:rsidR="00661074" w:rsidRDefault="002A0CBD" w:rsidP="00661074">
            <w:pPr>
              <w:pStyle w:val="TableBody1"/>
              <w:numPr>
                <w:ilvl w:val="0"/>
                <w:numId w:val="241"/>
              </w:numPr>
              <w:rPr>
                <w:rFonts w:asciiTheme="minorHAnsi" w:hAnsiTheme="minorHAnsi" w:cstheme="minorHAnsi"/>
                <w:color w:val="auto"/>
                <w:sz w:val="28"/>
                <w:szCs w:val="28"/>
              </w:rPr>
            </w:pPr>
            <w:r w:rsidRPr="00661074">
              <w:rPr>
                <w:rFonts w:asciiTheme="minorHAnsi" w:hAnsiTheme="minorHAnsi" w:cstheme="minorHAnsi"/>
                <w:color w:val="auto"/>
                <w:sz w:val="28"/>
                <w:szCs w:val="28"/>
              </w:rPr>
              <w:t xml:space="preserve">More legislation and funding around evidence-based public health programming, including gun violence prevention programming, tobacco policies and illicit drug policies, </w:t>
            </w:r>
          </w:p>
          <w:p w14:paraId="530D6B7F" w14:textId="77777777" w:rsidR="00661074" w:rsidRDefault="002A0CBD" w:rsidP="00661074">
            <w:pPr>
              <w:pStyle w:val="TableBody1"/>
              <w:numPr>
                <w:ilvl w:val="0"/>
                <w:numId w:val="241"/>
              </w:numPr>
              <w:rPr>
                <w:rFonts w:asciiTheme="minorHAnsi" w:hAnsiTheme="minorHAnsi" w:cstheme="minorHAnsi"/>
                <w:color w:val="auto"/>
                <w:sz w:val="28"/>
                <w:szCs w:val="28"/>
              </w:rPr>
            </w:pPr>
            <w:r w:rsidRPr="00661074">
              <w:rPr>
                <w:rFonts w:asciiTheme="minorHAnsi" w:hAnsiTheme="minorHAnsi" w:cstheme="minorHAnsi"/>
                <w:color w:val="auto"/>
                <w:sz w:val="28"/>
                <w:szCs w:val="28"/>
              </w:rPr>
              <w:t xml:space="preserve">More transparency and diversity in leadership positions, </w:t>
            </w:r>
          </w:p>
          <w:p w14:paraId="1D0FB549" w14:textId="77777777" w:rsidR="00661074" w:rsidRDefault="002A0CBD" w:rsidP="00661074">
            <w:pPr>
              <w:pStyle w:val="TableBody1"/>
              <w:numPr>
                <w:ilvl w:val="0"/>
                <w:numId w:val="241"/>
              </w:numPr>
              <w:rPr>
                <w:rFonts w:asciiTheme="minorHAnsi" w:hAnsiTheme="minorHAnsi" w:cstheme="minorHAnsi"/>
                <w:color w:val="auto"/>
                <w:sz w:val="28"/>
                <w:szCs w:val="28"/>
              </w:rPr>
            </w:pPr>
            <w:r w:rsidRPr="00661074">
              <w:rPr>
                <w:rFonts w:asciiTheme="minorHAnsi" w:hAnsiTheme="minorHAnsi" w:cstheme="minorHAnsi"/>
                <w:color w:val="auto"/>
                <w:sz w:val="28"/>
                <w:szCs w:val="28"/>
              </w:rPr>
              <w:t xml:space="preserve">More communication between communities, particularly rural </w:t>
            </w:r>
            <w:proofErr w:type="gramStart"/>
            <w:r w:rsidRPr="00661074">
              <w:rPr>
                <w:rFonts w:asciiTheme="minorHAnsi" w:hAnsiTheme="minorHAnsi" w:cstheme="minorHAnsi"/>
                <w:color w:val="auto"/>
                <w:sz w:val="28"/>
                <w:szCs w:val="28"/>
              </w:rPr>
              <w:t>communities</w:t>
            </w:r>
            <w:proofErr w:type="gramEnd"/>
            <w:r w:rsidRPr="00661074">
              <w:rPr>
                <w:rFonts w:asciiTheme="minorHAnsi" w:hAnsiTheme="minorHAnsi" w:cstheme="minorHAnsi"/>
                <w:color w:val="auto"/>
                <w:sz w:val="28"/>
                <w:szCs w:val="28"/>
              </w:rPr>
              <w:t xml:space="preserve"> and state legislators, with more accountability to local communities they represent</w:t>
            </w:r>
            <w:r w:rsidR="00661074">
              <w:rPr>
                <w:rFonts w:asciiTheme="minorHAnsi" w:hAnsiTheme="minorHAnsi" w:cstheme="minorHAnsi"/>
                <w:color w:val="auto"/>
                <w:sz w:val="28"/>
                <w:szCs w:val="28"/>
              </w:rPr>
              <w:t>,</w:t>
            </w:r>
          </w:p>
          <w:p w14:paraId="26791756" w14:textId="6252C9AC" w:rsidR="002A0CBD" w:rsidRPr="00661074" w:rsidRDefault="002A0CBD" w:rsidP="00661074">
            <w:pPr>
              <w:pStyle w:val="TableBody1"/>
              <w:numPr>
                <w:ilvl w:val="0"/>
                <w:numId w:val="241"/>
              </w:numPr>
              <w:rPr>
                <w:rFonts w:asciiTheme="minorHAnsi" w:hAnsiTheme="minorHAnsi" w:cstheme="minorHAnsi"/>
                <w:color w:val="auto"/>
                <w:sz w:val="28"/>
                <w:szCs w:val="28"/>
              </w:rPr>
            </w:pPr>
            <w:r w:rsidRPr="00661074">
              <w:rPr>
                <w:rFonts w:asciiTheme="minorHAnsi" w:hAnsiTheme="minorHAnsi" w:cstheme="minorHAnsi"/>
                <w:color w:val="auto"/>
                <w:sz w:val="28"/>
                <w:szCs w:val="28"/>
              </w:rPr>
              <w:t>Better allocation of state resources</w:t>
            </w:r>
          </w:p>
        </w:tc>
      </w:tr>
    </w:tbl>
    <w:p w14:paraId="4283BF64" w14:textId="77777777" w:rsidR="00E25FEE" w:rsidRDefault="00E25FEE" w:rsidP="00E25FEE">
      <w:pPr>
        <w:pStyle w:val="Heading4"/>
        <w:rPr>
          <w:color w:val="FF0000"/>
        </w:rPr>
      </w:pPr>
    </w:p>
    <w:p w14:paraId="278BC28C" w14:textId="77777777" w:rsidR="00E25FEE" w:rsidRPr="00E25FEE" w:rsidRDefault="00E25FEE" w:rsidP="00E25FEE">
      <w:pPr>
        <w:pStyle w:val="Heading3"/>
      </w:pPr>
      <w:bookmarkStart w:id="66" w:name="_Toc162267029"/>
      <w:r w:rsidRPr="00E25FEE">
        <w:t>Strengths and Limitations</w:t>
      </w:r>
      <w:bookmarkEnd w:id="66"/>
    </w:p>
    <w:p w14:paraId="132492ED" w14:textId="5DA25C4D" w:rsidR="00E25FEE" w:rsidRDefault="00E25FEE" w:rsidP="00E25FEE">
      <w:r w:rsidRPr="00E25FEE">
        <w:t xml:space="preserve">Qualitative data can often provide rich, in-depth data that is not captured by quantitative data alone. This analysis included the voices of South Carolinians that may otherwise not be captured in the SC SHA plan quantitative data.  Additionally, having different data sources in this analysis helped to triangulate data, strengthening the validity of the findings. Lastly, 20% of data was </w:t>
      </w:r>
      <w:proofErr w:type="gramStart"/>
      <w:r w:rsidRPr="00E25FEE">
        <w:t>double</w:t>
      </w:r>
      <w:r w:rsidR="003E38E5">
        <w:t>-</w:t>
      </w:r>
      <w:r w:rsidRPr="00E25FEE">
        <w:t>coded</w:t>
      </w:r>
      <w:proofErr w:type="gramEnd"/>
      <w:r w:rsidRPr="00E25FEE">
        <w:t xml:space="preserve"> to establish the codebook. These methods were well above the gold standard in qualitative data analysis of double-coding 10% of data, ensuring the reliability of analysis. A limitation of this analysis is qualitative data has lower sample sizes, which may hinder generalizability. Additionally, some field notes were limited in detail, including limited quotes. Analysts practiced over-coding or including an entire paragraph in analysis versus a sentence about the code to pull out quotes and patterns between codes during analysis. </w:t>
      </w:r>
    </w:p>
    <w:p w14:paraId="68BEBBB4" w14:textId="77777777" w:rsidR="00E25FEE" w:rsidRDefault="00E25FEE" w:rsidP="00E25FEE"/>
    <w:p w14:paraId="568AFC48" w14:textId="77777777" w:rsidR="00E25FEE" w:rsidRPr="00E25FEE" w:rsidRDefault="00E25FEE" w:rsidP="00E25FEE">
      <w:pPr>
        <w:pStyle w:val="Heading3"/>
      </w:pPr>
      <w:bookmarkStart w:id="67" w:name="_Toc162267030"/>
      <w:r w:rsidRPr="00E25FEE">
        <w:t>Conclusions</w:t>
      </w:r>
      <w:bookmarkEnd w:id="67"/>
    </w:p>
    <w:p w14:paraId="48503620" w14:textId="38BBD0DD" w:rsidR="00E25FEE" w:rsidRPr="00E25FEE" w:rsidRDefault="00E25FEE" w:rsidP="00E25FEE">
      <w:r w:rsidRPr="00E25FEE">
        <w:t xml:space="preserve">The purpose of this chapter was to provide a community voice in the SC SHA plan. Data sources included Community Listening Sessions, Stakeholder Interviews (see </w:t>
      </w:r>
      <w:r w:rsidRPr="00E25FEE">
        <w:rPr>
          <w:b/>
          <w:bCs/>
        </w:rPr>
        <w:t>Appendix I</w:t>
      </w:r>
      <w:r w:rsidRPr="00E25FEE">
        <w:t xml:space="preserve"> for more information on Stakeholder interviews), Community Health Documents, and a Forces of Change Survey. Participants in </w:t>
      </w:r>
      <w:proofErr w:type="gramStart"/>
      <w:r w:rsidRPr="00E25FEE">
        <w:t>all of</w:t>
      </w:r>
      <w:proofErr w:type="gramEnd"/>
      <w:r w:rsidRPr="00E25FEE">
        <w:t xml:space="preserve"> these sources named Access to Health Care as the number-one health issue for SC. Root causes that affected SDOH for South Carolinians included socioeconomics and poverty.  Transportation was present as a</w:t>
      </w:r>
      <w:r w:rsidR="003E38E5">
        <w:t>n</w:t>
      </w:r>
      <w:r w:rsidRPr="00E25FEE">
        <w:t xml:space="preserve"> SDOH and as a barrier to health for many South Carolinians living in both rural and urban areas. The COVID-19 pandemic was also mentioned often in responses. The pandemic was described as an event that brought existing issues to light, and in some cases, that awareness led to more resources being pulled together for the benefit of the community. </w:t>
      </w:r>
    </w:p>
    <w:p w14:paraId="756FBA70" w14:textId="48393D2B" w:rsidR="00E25FEE" w:rsidRDefault="00E25FEE" w:rsidP="00E25FEE">
      <w:r w:rsidRPr="00E25FEE">
        <w:t>Some strengths that could be mobilized to improve the health of SC included more collaborations between stakeholders and increased awareness of available resources. Participants also provided future strategies their organizations could utilize to improve health issues and underlying causes, including planning for the future of their organizations, ensuring the organizations' sustainability, and collaborating with partners to get resources out to the community.</w:t>
      </w:r>
    </w:p>
    <w:p w14:paraId="52DDA6A4" w14:textId="77777777" w:rsidR="00E25FEE" w:rsidRDefault="00E25FEE" w:rsidP="00E25FEE"/>
    <w:p w14:paraId="51870933" w14:textId="3309BB60" w:rsidR="00E25FEE" w:rsidRPr="00751E60" w:rsidRDefault="00E25FEE" w:rsidP="00751E60">
      <w:pPr>
        <w:pStyle w:val="Heading4"/>
        <w:rPr>
          <w:rFonts w:asciiTheme="minorHAnsi" w:hAnsiTheme="minorHAnsi" w:cstheme="minorHAnsi"/>
          <w:color w:val="auto"/>
        </w:rPr>
      </w:pPr>
      <w:bookmarkStart w:id="68" w:name="_Toc162267031"/>
      <w:r w:rsidRPr="00751E60">
        <w:rPr>
          <w:rFonts w:asciiTheme="minorHAnsi" w:hAnsiTheme="minorHAnsi" w:cstheme="minorHAnsi"/>
          <w:color w:val="auto"/>
        </w:rPr>
        <w:lastRenderedPageBreak/>
        <w:t>Chapter 3 References</w:t>
      </w:r>
      <w:bookmarkEnd w:id="68"/>
    </w:p>
    <w:p w14:paraId="2774459E" w14:textId="33DE20DA" w:rsidR="00E25FEE" w:rsidRDefault="00000000" w:rsidP="00751E60">
      <w:pPr>
        <w:pStyle w:val="ListParagraph"/>
        <w:numPr>
          <w:ilvl w:val="0"/>
          <w:numId w:val="239"/>
        </w:numPr>
      </w:pPr>
      <w:hyperlink r:id="rId17" w:history="1">
        <w:r w:rsidR="00E25FEE" w:rsidRPr="00E25FEE">
          <w:rPr>
            <w:rStyle w:val="Hyperlink"/>
          </w:rPr>
          <w:t>National Association of City and County Health Officials report “Phase 3: Collecting and Analyzing Data,” 2023.</w:t>
        </w:r>
      </w:hyperlink>
    </w:p>
    <w:p w14:paraId="5E1D5DC7" w14:textId="487788EE" w:rsidR="00E25FEE" w:rsidRPr="00E25FEE" w:rsidRDefault="00E25FEE" w:rsidP="00751E60">
      <w:pPr>
        <w:pStyle w:val="ListParagraph"/>
        <w:numPr>
          <w:ilvl w:val="0"/>
          <w:numId w:val="239"/>
        </w:numPr>
      </w:pPr>
      <w:r w:rsidRPr="00E25FEE">
        <w:t xml:space="preserve">“Qualitative Research Design: An Interactive Approach.” </w:t>
      </w:r>
      <w:r>
        <w:t xml:space="preserve">by </w:t>
      </w:r>
      <w:r w:rsidRPr="00E25FEE">
        <w:t xml:space="preserve">Joseph A. </w:t>
      </w:r>
      <w:r>
        <w:t>Maxwell, published by Sage Publications in 2012.</w:t>
      </w:r>
      <w:r w:rsidR="00751E60">
        <w:t xml:space="preserve"> No hyperlink.</w:t>
      </w:r>
    </w:p>
    <w:p w14:paraId="27A37E5A" w14:textId="523640AF" w:rsidR="00E25FEE" w:rsidRPr="00E25FEE" w:rsidRDefault="00E25FEE" w:rsidP="00751E60">
      <w:pPr>
        <w:pStyle w:val="ListParagraph"/>
        <w:numPr>
          <w:ilvl w:val="0"/>
          <w:numId w:val="239"/>
        </w:numPr>
      </w:pPr>
      <w:r w:rsidRPr="00E25FEE">
        <w:t xml:space="preserve">“Qualitative Research &amp; Evaluation Methods: Integrating Theory and Practice.” </w:t>
      </w:r>
      <w:r>
        <w:t xml:space="preserve">By </w:t>
      </w:r>
      <w:r w:rsidRPr="00E25FEE">
        <w:t>Michael Quinn</w:t>
      </w:r>
      <w:r>
        <w:t xml:space="preserve"> Patton,</w:t>
      </w:r>
      <w:r w:rsidRPr="00E25FEE">
        <w:t xml:space="preserve"> </w:t>
      </w:r>
      <w:r>
        <w:t xml:space="preserve">published by Sage Publications in </w:t>
      </w:r>
      <w:r w:rsidRPr="00E25FEE">
        <w:t>2014.</w:t>
      </w:r>
      <w:r w:rsidR="00751E60">
        <w:t xml:space="preserve"> No hyperlink.</w:t>
      </w:r>
    </w:p>
    <w:p w14:paraId="4632FB1E" w14:textId="7F028F33" w:rsidR="00E25FEE" w:rsidRPr="00E25FEE" w:rsidRDefault="00E25FEE" w:rsidP="00751E60">
      <w:pPr>
        <w:pStyle w:val="ListParagraph"/>
        <w:numPr>
          <w:ilvl w:val="0"/>
          <w:numId w:val="239"/>
        </w:numPr>
      </w:pPr>
      <w:r w:rsidRPr="00E25FEE">
        <w:t>"Theory at a glance."</w:t>
      </w:r>
      <w:r>
        <w:t xml:space="preserve"> By </w:t>
      </w:r>
      <w:r w:rsidRPr="00E25FEE">
        <w:t>Karen</w:t>
      </w:r>
      <w:r>
        <w:t xml:space="preserve"> Glanz</w:t>
      </w:r>
      <w:r w:rsidRPr="00E25FEE">
        <w:t xml:space="preserve">. </w:t>
      </w:r>
      <w:r>
        <w:t>Pages 18 and 19 in “</w:t>
      </w:r>
      <w:r w:rsidRPr="00E25FEE">
        <w:t>A guide for health promotion practice</w:t>
      </w:r>
      <w:r>
        <w:t>”</w:t>
      </w:r>
      <w:r w:rsidRPr="00E25FEE">
        <w:t>, 2005</w:t>
      </w:r>
      <w:r>
        <w:t>.</w:t>
      </w:r>
      <w:r w:rsidR="00751E60">
        <w:t xml:space="preserve"> No hyperlink.</w:t>
      </w:r>
    </w:p>
    <w:p w14:paraId="1430C145" w14:textId="5CF11884" w:rsidR="00E25FEE" w:rsidRDefault="00E25FEE" w:rsidP="00751E60">
      <w:pPr>
        <w:pStyle w:val="ListParagraph"/>
        <w:numPr>
          <w:ilvl w:val="0"/>
          <w:numId w:val="239"/>
        </w:numPr>
      </w:pPr>
      <w:r w:rsidRPr="00E25FEE">
        <w:t xml:space="preserve">“2022 Allendale County Community Health Needs Assessment,” </w:t>
      </w:r>
      <w:r>
        <w:t xml:space="preserve">report by Allendale County Hospital, </w:t>
      </w:r>
      <w:r w:rsidRPr="00E25FEE">
        <w:t>2023.</w:t>
      </w:r>
      <w:r w:rsidR="00751E60">
        <w:t xml:space="preserve"> No hyperlink.</w:t>
      </w:r>
    </w:p>
    <w:p w14:paraId="0CDCAC4B" w14:textId="77777777" w:rsidR="00E25FEE" w:rsidRDefault="00E25FEE">
      <w:r>
        <w:br w:type="page"/>
      </w:r>
    </w:p>
    <w:p w14:paraId="6BDE3D1B" w14:textId="798B1643" w:rsidR="00722CE9" w:rsidRDefault="00722CE9" w:rsidP="00722CE9">
      <w:pPr>
        <w:pStyle w:val="Heading2"/>
      </w:pPr>
      <w:bookmarkStart w:id="69" w:name="_Toc162267032"/>
      <w:r>
        <w:lastRenderedPageBreak/>
        <w:t>Chapter 4: Population</w:t>
      </w:r>
      <w:bookmarkEnd w:id="69"/>
    </w:p>
    <w:p w14:paraId="47DB2CC5" w14:textId="6C899FE4" w:rsidR="00722CE9" w:rsidRDefault="00722CE9" w:rsidP="00722CE9">
      <w:pPr>
        <w:pStyle w:val="Heading3"/>
      </w:pPr>
      <w:bookmarkStart w:id="70" w:name="_Toc162267033"/>
      <w:r>
        <w:t>Trends</w:t>
      </w:r>
      <w:bookmarkEnd w:id="70"/>
    </w:p>
    <w:p w14:paraId="1C7AC43E" w14:textId="77777777" w:rsidR="00722CE9" w:rsidRPr="00722CE9" w:rsidRDefault="00722CE9" w:rsidP="00722CE9">
      <w:r w:rsidRPr="00722CE9">
        <w:t xml:space="preserve">In 2021, 5,190,705 residents lived in South Carolina (SC). The five most populated counties were Greenville (519,178), Richland (414,719), Charleston (404,946), Horry (344,865), and Spartanburg (322,864; </w:t>
      </w:r>
      <w:r w:rsidRPr="00722CE9">
        <w:rPr>
          <w:b/>
          <w:bCs/>
        </w:rPr>
        <w:t>Figure 4.1</w:t>
      </w:r>
      <w:r w:rsidRPr="00722CE9">
        <w:t>). Of all 46 counties in the state, 22 counties, or 47.8% of the state, had a population less than 50,000, with Allendale having the smallest population (8,304).</w:t>
      </w:r>
    </w:p>
    <w:p w14:paraId="2C77CD4D" w14:textId="77777777" w:rsidR="00722CE9" w:rsidRDefault="00722CE9" w:rsidP="00722CE9"/>
    <w:p w14:paraId="6C46E323" w14:textId="77777777" w:rsidR="002A0CBD" w:rsidRPr="007621EB" w:rsidRDefault="002A0CBD" w:rsidP="002A0CBD">
      <w:pPr>
        <w:pStyle w:val="Heading4"/>
      </w:pPr>
      <w:bookmarkStart w:id="71" w:name="_Toc154569763"/>
      <w:bookmarkStart w:id="72" w:name="_Toc162267034"/>
      <w:r>
        <w:t>Figure 4.1: Total Population Size of South Carolina Countries.</w:t>
      </w:r>
      <w:bookmarkEnd w:id="71"/>
      <w:bookmarkEnd w:id="72"/>
    </w:p>
    <w:tbl>
      <w:tblPr>
        <w:tblStyle w:val="TableGrid"/>
        <w:tblW w:w="0" w:type="auto"/>
        <w:tblLook w:val="04A0" w:firstRow="1" w:lastRow="0" w:firstColumn="1" w:lastColumn="0" w:noHBand="0" w:noVBand="1"/>
      </w:tblPr>
      <w:tblGrid>
        <w:gridCol w:w="4675"/>
        <w:gridCol w:w="4675"/>
      </w:tblGrid>
      <w:tr w:rsidR="002A0CBD" w14:paraId="1A61BD71" w14:textId="77777777" w:rsidTr="001515D5">
        <w:tc>
          <w:tcPr>
            <w:tcW w:w="4675" w:type="dxa"/>
          </w:tcPr>
          <w:p w14:paraId="7684A6DB" w14:textId="77777777" w:rsidR="002A0CBD" w:rsidRDefault="002A0CBD" w:rsidP="001515D5">
            <w:r>
              <w:t>County</w:t>
            </w:r>
          </w:p>
        </w:tc>
        <w:tc>
          <w:tcPr>
            <w:tcW w:w="4675" w:type="dxa"/>
          </w:tcPr>
          <w:p w14:paraId="5A020409" w14:textId="77777777" w:rsidR="002A0CBD" w:rsidRDefault="002A0CBD" w:rsidP="001515D5">
            <w:r>
              <w:t>Population</w:t>
            </w:r>
          </w:p>
        </w:tc>
      </w:tr>
      <w:tr w:rsidR="002A0CBD" w:rsidRPr="0061456A" w14:paraId="078CBB93" w14:textId="77777777" w:rsidTr="001515D5">
        <w:trPr>
          <w:trHeight w:val="300"/>
        </w:trPr>
        <w:tc>
          <w:tcPr>
            <w:tcW w:w="4675" w:type="dxa"/>
            <w:noWrap/>
            <w:hideMark/>
          </w:tcPr>
          <w:p w14:paraId="32AD484E"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Abbeville</w:t>
            </w:r>
          </w:p>
        </w:tc>
        <w:tc>
          <w:tcPr>
            <w:tcW w:w="4675" w:type="dxa"/>
            <w:hideMark/>
          </w:tcPr>
          <w:p w14:paraId="3CBBB147"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24,374</w:t>
            </w:r>
          </w:p>
        </w:tc>
      </w:tr>
      <w:tr w:rsidR="002A0CBD" w:rsidRPr="0061456A" w14:paraId="7ED6C801" w14:textId="77777777" w:rsidTr="001515D5">
        <w:trPr>
          <w:trHeight w:val="300"/>
        </w:trPr>
        <w:tc>
          <w:tcPr>
            <w:tcW w:w="4675" w:type="dxa"/>
            <w:noWrap/>
            <w:hideMark/>
          </w:tcPr>
          <w:p w14:paraId="3D04B485"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Aiken</w:t>
            </w:r>
          </w:p>
        </w:tc>
        <w:tc>
          <w:tcPr>
            <w:tcW w:w="4675" w:type="dxa"/>
            <w:hideMark/>
          </w:tcPr>
          <w:p w14:paraId="788E1C0B"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168,045</w:t>
            </w:r>
          </w:p>
        </w:tc>
      </w:tr>
      <w:tr w:rsidR="002A0CBD" w:rsidRPr="0061456A" w14:paraId="765EDCC7" w14:textId="77777777" w:rsidTr="001515D5">
        <w:trPr>
          <w:trHeight w:val="300"/>
        </w:trPr>
        <w:tc>
          <w:tcPr>
            <w:tcW w:w="4675" w:type="dxa"/>
            <w:noWrap/>
            <w:hideMark/>
          </w:tcPr>
          <w:p w14:paraId="10C3D1DE"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Allendale</w:t>
            </w:r>
          </w:p>
        </w:tc>
        <w:tc>
          <w:tcPr>
            <w:tcW w:w="4675" w:type="dxa"/>
            <w:hideMark/>
          </w:tcPr>
          <w:p w14:paraId="4356DCBB"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8,304</w:t>
            </w:r>
          </w:p>
        </w:tc>
      </w:tr>
      <w:tr w:rsidR="002A0CBD" w:rsidRPr="0061456A" w14:paraId="5E19E45D" w14:textId="77777777" w:rsidTr="001515D5">
        <w:trPr>
          <w:trHeight w:val="300"/>
        </w:trPr>
        <w:tc>
          <w:tcPr>
            <w:tcW w:w="4675" w:type="dxa"/>
            <w:noWrap/>
            <w:hideMark/>
          </w:tcPr>
          <w:p w14:paraId="3048BF3F"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Anderson</w:t>
            </w:r>
          </w:p>
        </w:tc>
        <w:tc>
          <w:tcPr>
            <w:tcW w:w="4675" w:type="dxa"/>
            <w:hideMark/>
          </w:tcPr>
          <w:p w14:paraId="71DD9E96"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202,223</w:t>
            </w:r>
          </w:p>
        </w:tc>
      </w:tr>
      <w:tr w:rsidR="002A0CBD" w:rsidRPr="0061456A" w14:paraId="108B0904" w14:textId="77777777" w:rsidTr="001515D5">
        <w:trPr>
          <w:trHeight w:val="300"/>
        </w:trPr>
        <w:tc>
          <w:tcPr>
            <w:tcW w:w="4675" w:type="dxa"/>
            <w:noWrap/>
            <w:hideMark/>
          </w:tcPr>
          <w:p w14:paraId="225AB800"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Bamberg</w:t>
            </w:r>
          </w:p>
        </w:tc>
        <w:tc>
          <w:tcPr>
            <w:tcW w:w="4675" w:type="dxa"/>
            <w:hideMark/>
          </w:tcPr>
          <w:p w14:paraId="0D51A747"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13,525</w:t>
            </w:r>
          </w:p>
        </w:tc>
      </w:tr>
      <w:tr w:rsidR="002A0CBD" w:rsidRPr="0061456A" w14:paraId="065D6133" w14:textId="77777777" w:rsidTr="001515D5">
        <w:trPr>
          <w:trHeight w:val="300"/>
        </w:trPr>
        <w:tc>
          <w:tcPr>
            <w:tcW w:w="4675" w:type="dxa"/>
            <w:noWrap/>
            <w:hideMark/>
          </w:tcPr>
          <w:p w14:paraId="40E59719"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Barnwell</w:t>
            </w:r>
          </w:p>
        </w:tc>
        <w:tc>
          <w:tcPr>
            <w:tcW w:w="4675" w:type="dxa"/>
            <w:hideMark/>
          </w:tcPr>
          <w:p w14:paraId="42E28036"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20,801</w:t>
            </w:r>
          </w:p>
        </w:tc>
      </w:tr>
      <w:tr w:rsidR="002A0CBD" w:rsidRPr="0061456A" w14:paraId="2A62DEE3" w14:textId="77777777" w:rsidTr="001515D5">
        <w:trPr>
          <w:trHeight w:val="300"/>
        </w:trPr>
        <w:tc>
          <w:tcPr>
            <w:tcW w:w="4675" w:type="dxa"/>
            <w:noWrap/>
            <w:hideMark/>
          </w:tcPr>
          <w:p w14:paraId="4766A33D"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Beaufort</w:t>
            </w:r>
          </w:p>
        </w:tc>
        <w:tc>
          <w:tcPr>
            <w:tcW w:w="4675" w:type="dxa"/>
            <w:hideMark/>
          </w:tcPr>
          <w:p w14:paraId="47914077"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186,007</w:t>
            </w:r>
          </w:p>
        </w:tc>
      </w:tr>
      <w:tr w:rsidR="002A0CBD" w:rsidRPr="0061456A" w14:paraId="10544B28" w14:textId="77777777" w:rsidTr="001515D5">
        <w:trPr>
          <w:trHeight w:val="300"/>
        </w:trPr>
        <w:tc>
          <w:tcPr>
            <w:tcW w:w="4675" w:type="dxa"/>
            <w:noWrap/>
            <w:hideMark/>
          </w:tcPr>
          <w:p w14:paraId="2E0D7326"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Berkeley</w:t>
            </w:r>
          </w:p>
        </w:tc>
        <w:tc>
          <w:tcPr>
            <w:tcW w:w="4675" w:type="dxa"/>
            <w:hideMark/>
          </w:tcPr>
          <w:p w14:paraId="5507339F"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224,806</w:t>
            </w:r>
          </w:p>
        </w:tc>
      </w:tr>
      <w:tr w:rsidR="002A0CBD" w:rsidRPr="0061456A" w14:paraId="6492DFA4" w14:textId="77777777" w:rsidTr="001515D5">
        <w:trPr>
          <w:trHeight w:val="300"/>
        </w:trPr>
        <w:tc>
          <w:tcPr>
            <w:tcW w:w="4675" w:type="dxa"/>
            <w:noWrap/>
            <w:hideMark/>
          </w:tcPr>
          <w:p w14:paraId="0CD402B2"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Calhoun</w:t>
            </w:r>
          </w:p>
        </w:tc>
        <w:tc>
          <w:tcPr>
            <w:tcW w:w="4675" w:type="dxa"/>
            <w:hideMark/>
          </w:tcPr>
          <w:p w14:paraId="3C780CE1"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14,198</w:t>
            </w:r>
          </w:p>
        </w:tc>
      </w:tr>
      <w:tr w:rsidR="002A0CBD" w:rsidRPr="0061456A" w14:paraId="723139D9" w14:textId="77777777" w:rsidTr="001515D5">
        <w:trPr>
          <w:trHeight w:val="300"/>
        </w:trPr>
        <w:tc>
          <w:tcPr>
            <w:tcW w:w="4675" w:type="dxa"/>
            <w:noWrap/>
            <w:hideMark/>
          </w:tcPr>
          <w:p w14:paraId="719A707D"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Charleston</w:t>
            </w:r>
          </w:p>
        </w:tc>
        <w:tc>
          <w:tcPr>
            <w:tcW w:w="4675" w:type="dxa"/>
            <w:hideMark/>
          </w:tcPr>
          <w:p w14:paraId="4CDA6A6A"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404,946</w:t>
            </w:r>
          </w:p>
        </w:tc>
      </w:tr>
      <w:tr w:rsidR="002A0CBD" w:rsidRPr="0061456A" w14:paraId="53512F2C" w14:textId="77777777" w:rsidTr="001515D5">
        <w:trPr>
          <w:trHeight w:val="300"/>
        </w:trPr>
        <w:tc>
          <w:tcPr>
            <w:tcW w:w="4675" w:type="dxa"/>
            <w:noWrap/>
            <w:hideMark/>
          </w:tcPr>
          <w:p w14:paraId="658535C3"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Cherokee</w:t>
            </w:r>
          </w:p>
        </w:tc>
        <w:tc>
          <w:tcPr>
            <w:tcW w:w="4675" w:type="dxa"/>
            <w:hideMark/>
          </w:tcPr>
          <w:p w14:paraId="426C6450"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56,204</w:t>
            </w:r>
          </w:p>
        </w:tc>
      </w:tr>
      <w:tr w:rsidR="002A0CBD" w:rsidRPr="0061456A" w14:paraId="4CAA65AB" w14:textId="77777777" w:rsidTr="001515D5">
        <w:trPr>
          <w:trHeight w:val="300"/>
        </w:trPr>
        <w:tc>
          <w:tcPr>
            <w:tcW w:w="4675" w:type="dxa"/>
            <w:noWrap/>
            <w:hideMark/>
          </w:tcPr>
          <w:p w14:paraId="6C8B8A37"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Chester</w:t>
            </w:r>
          </w:p>
        </w:tc>
        <w:tc>
          <w:tcPr>
            <w:tcW w:w="4675" w:type="dxa"/>
            <w:hideMark/>
          </w:tcPr>
          <w:p w14:paraId="40425B03"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32,273</w:t>
            </w:r>
          </w:p>
        </w:tc>
      </w:tr>
      <w:tr w:rsidR="002A0CBD" w:rsidRPr="0061456A" w14:paraId="073DB19D" w14:textId="77777777" w:rsidTr="001515D5">
        <w:trPr>
          <w:trHeight w:val="300"/>
        </w:trPr>
        <w:tc>
          <w:tcPr>
            <w:tcW w:w="4675" w:type="dxa"/>
            <w:noWrap/>
            <w:hideMark/>
          </w:tcPr>
          <w:p w14:paraId="400B3A52"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Chesterfield</w:t>
            </w:r>
          </w:p>
        </w:tc>
        <w:tc>
          <w:tcPr>
            <w:tcW w:w="4675" w:type="dxa"/>
            <w:hideMark/>
          </w:tcPr>
          <w:p w14:paraId="09C93688"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43,655</w:t>
            </w:r>
          </w:p>
        </w:tc>
      </w:tr>
      <w:tr w:rsidR="002A0CBD" w:rsidRPr="0061456A" w14:paraId="7E56F690" w14:textId="77777777" w:rsidTr="001515D5">
        <w:trPr>
          <w:trHeight w:val="300"/>
        </w:trPr>
        <w:tc>
          <w:tcPr>
            <w:tcW w:w="4675" w:type="dxa"/>
            <w:noWrap/>
            <w:hideMark/>
          </w:tcPr>
          <w:p w14:paraId="64D37BF8"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Clarendon</w:t>
            </w:r>
          </w:p>
        </w:tc>
        <w:tc>
          <w:tcPr>
            <w:tcW w:w="4675" w:type="dxa"/>
            <w:hideMark/>
          </w:tcPr>
          <w:p w14:paraId="2047D22E"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31,613</w:t>
            </w:r>
          </w:p>
        </w:tc>
      </w:tr>
      <w:tr w:rsidR="002A0CBD" w:rsidRPr="0061456A" w14:paraId="5D3A5DB0" w14:textId="77777777" w:rsidTr="001515D5">
        <w:trPr>
          <w:trHeight w:val="300"/>
        </w:trPr>
        <w:tc>
          <w:tcPr>
            <w:tcW w:w="4675" w:type="dxa"/>
            <w:noWrap/>
            <w:hideMark/>
          </w:tcPr>
          <w:p w14:paraId="693DF9EE"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Colleton</w:t>
            </w:r>
          </w:p>
        </w:tc>
        <w:tc>
          <w:tcPr>
            <w:tcW w:w="4675" w:type="dxa"/>
            <w:hideMark/>
          </w:tcPr>
          <w:p w14:paraId="09AA16D3"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38,520</w:t>
            </w:r>
          </w:p>
        </w:tc>
      </w:tr>
      <w:tr w:rsidR="002A0CBD" w:rsidRPr="0061456A" w14:paraId="231248F3" w14:textId="77777777" w:rsidTr="001515D5">
        <w:trPr>
          <w:trHeight w:val="300"/>
        </w:trPr>
        <w:tc>
          <w:tcPr>
            <w:tcW w:w="4675" w:type="dxa"/>
            <w:noWrap/>
            <w:hideMark/>
          </w:tcPr>
          <w:p w14:paraId="23291C41"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Darlington</w:t>
            </w:r>
          </w:p>
        </w:tc>
        <w:tc>
          <w:tcPr>
            <w:tcW w:w="4675" w:type="dxa"/>
            <w:hideMark/>
          </w:tcPr>
          <w:p w14:paraId="7B2DB1FE"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63,433</w:t>
            </w:r>
          </w:p>
        </w:tc>
      </w:tr>
      <w:tr w:rsidR="002A0CBD" w:rsidRPr="0061456A" w14:paraId="08B6F152" w14:textId="77777777" w:rsidTr="001515D5">
        <w:trPr>
          <w:trHeight w:val="300"/>
        </w:trPr>
        <w:tc>
          <w:tcPr>
            <w:tcW w:w="4675" w:type="dxa"/>
            <w:noWrap/>
            <w:hideMark/>
          </w:tcPr>
          <w:p w14:paraId="0F854681"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Dillon</w:t>
            </w:r>
          </w:p>
        </w:tc>
        <w:tc>
          <w:tcPr>
            <w:tcW w:w="4675" w:type="dxa"/>
            <w:hideMark/>
          </w:tcPr>
          <w:p w14:paraId="06EE8D7F"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28,527</w:t>
            </w:r>
          </w:p>
        </w:tc>
      </w:tr>
      <w:tr w:rsidR="002A0CBD" w:rsidRPr="0061456A" w14:paraId="5923E1D2" w14:textId="77777777" w:rsidTr="001515D5">
        <w:trPr>
          <w:trHeight w:val="300"/>
        </w:trPr>
        <w:tc>
          <w:tcPr>
            <w:tcW w:w="4675" w:type="dxa"/>
            <w:noWrap/>
            <w:hideMark/>
          </w:tcPr>
          <w:p w14:paraId="6D548265"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Dorchester</w:t>
            </w:r>
          </w:p>
        </w:tc>
        <w:tc>
          <w:tcPr>
            <w:tcW w:w="4675" w:type="dxa"/>
            <w:hideMark/>
          </w:tcPr>
          <w:p w14:paraId="5E1B51F4"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160,180</w:t>
            </w:r>
          </w:p>
        </w:tc>
      </w:tr>
      <w:tr w:rsidR="002A0CBD" w:rsidRPr="0061456A" w14:paraId="39BCC4FC" w14:textId="77777777" w:rsidTr="001515D5">
        <w:trPr>
          <w:trHeight w:val="300"/>
        </w:trPr>
        <w:tc>
          <w:tcPr>
            <w:tcW w:w="4675" w:type="dxa"/>
            <w:noWrap/>
            <w:hideMark/>
          </w:tcPr>
          <w:p w14:paraId="509B0982"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Edgefield</w:t>
            </w:r>
          </w:p>
        </w:tc>
        <w:tc>
          <w:tcPr>
            <w:tcW w:w="4675" w:type="dxa"/>
            <w:hideMark/>
          </w:tcPr>
          <w:p w14:paraId="66C8A05C"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25,938</w:t>
            </w:r>
          </w:p>
        </w:tc>
      </w:tr>
      <w:tr w:rsidR="002A0CBD" w:rsidRPr="0061456A" w14:paraId="4F7D9892" w14:textId="77777777" w:rsidTr="001515D5">
        <w:trPr>
          <w:trHeight w:val="300"/>
        </w:trPr>
        <w:tc>
          <w:tcPr>
            <w:tcW w:w="4675" w:type="dxa"/>
            <w:noWrap/>
            <w:hideMark/>
          </w:tcPr>
          <w:p w14:paraId="19DDD00A"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Fairfield</w:t>
            </w:r>
          </w:p>
        </w:tc>
        <w:tc>
          <w:tcPr>
            <w:tcW w:w="4675" w:type="dxa"/>
            <w:hideMark/>
          </w:tcPr>
          <w:p w14:paraId="6D82D6F6"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21,186</w:t>
            </w:r>
          </w:p>
        </w:tc>
      </w:tr>
      <w:tr w:rsidR="002A0CBD" w:rsidRPr="0061456A" w14:paraId="00DB373C" w14:textId="77777777" w:rsidTr="001515D5">
        <w:trPr>
          <w:trHeight w:val="300"/>
        </w:trPr>
        <w:tc>
          <w:tcPr>
            <w:tcW w:w="4675" w:type="dxa"/>
            <w:noWrap/>
            <w:hideMark/>
          </w:tcPr>
          <w:p w14:paraId="205306F6"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Florence</w:t>
            </w:r>
          </w:p>
        </w:tc>
        <w:tc>
          <w:tcPr>
            <w:tcW w:w="4675" w:type="dxa"/>
            <w:hideMark/>
          </w:tcPr>
          <w:p w14:paraId="2C3ED0C1"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137,276</w:t>
            </w:r>
          </w:p>
        </w:tc>
      </w:tr>
      <w:tr w:rsidR="002A0CBD" w:rsidRPr="0061456A" w14:paraId="358021B2" w14:textId="77777777" w:rsidTr="001515D5">
        <w:trPr>
          <w:trHeight w:val="300"/>
        </w:trPr>
        <w:tc>
          <w:tcPr>
            <w:tcW w:w="4675" w:type="dxa"/>
            <w:noWrap/>
            <w:hideMark/>
          </w:tcPr>
          <w:p w14:paraId="74E2B855"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Georgetown</w:t>
            </w:r>
          </w:p>
        </w:tc>
        <w:tc>
          <w:tcPr>
            <w:tcW w:w="4675" w:type="dxa"/>
            <w:hideMark/>
          </w:tcPr>
          <w:p w14:paraId="38C69648"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62,992</w:t>
            </w:r>
          </w:p>
        </w:tc>
      </w:tr>
      <w:tr w:rsidR="002A0CBD" w:rsidRPr="0061456A" w14:paraId="6838DCC4" w14:textId="77777777" w:rsidTr="001515D5">
        <w:trPr>
          <w:trHeight w:val="300"/>
        </w:trPr>
        <w:tc>
          <w:tcPr>
            <w:tcW w:w="4675" w:type="dxa"/>
            <w:noWrap/>
            <w:hideMark/>
          </w:tcPr>
          <w:p w14:paraId="0F9985D4"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Greenville</w:t>
            </w:r>
          </w:p>
        </w:tc>
        <w:tc>
          <w:tcPr>
            <w:tcW w:w="4675" w:type="dxa"/>
            <w:hideMark/>
          </w:tcPr>
          <w:p w14:paraId="0FAFD987"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519,178</w:t>
            </w:r>
          </w:p>
        </w:tc>
      </w:tr>
      <w:tr w:rsidR="002A0CBD" w:rsidRPr="0061456A" w14:paraId="721D8987" w14:textId="77777777" w:rsidTr="001515D5">
        <w:trPr>
          <w:trHeight w:val="300"/>
        </w:trPr>
        <w:tc>
          <w:tcPr>
            <w:tcW w:w="4675" w:type="dxa"/>
            <w:noWrap/>
            <w:hideMark/>
          </w:tcPr>
          <w:p w14:paraId="687A4B67"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Greenwood</w:t>
            </w:r>
          </w:p>
        </w:tc>
        <w:tc>
          <w:tcPr>
            <w:tcW w:w="4675" w:type="dxa"/>
            <w:hideMark/>
          </w:tcPr>
          <w:p w14:paraId="36ABA674"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69,338</w:t>
            </w:r>
          </w:p>
        </w:tc>
      </w:tr>
      <w:tr w:rsidR="002A0CBD" w:rsidRPr="0061456A" w14:paraId="0EA4245D" w14:textId="77777777" w:rsidTr="001515D5">
        <w:trPr>
          <w:trHeight w:val="300"/>
        </w:trPr>
        <w:tc>
          <w:tcPr>
            <w:tcW w:w="4675" w:type="dxa"/>
            <w:noWrap/>
            <w:hideMark/>
          </w:tcPr>
          <w:p w14:paraId="7231F4A1"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Hampton</w:t>
            </w:r>
          </w:p>
        </w:tc>
        <w:tc>
          <w:tcPr>
            <w:tcW w:w="4675" w:type="dxa"/>
            <w:hideMark/>
          </w:tcPr>
          <w:p w14:paraId="0182B69C"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19,227</w:t>
            </w:r>
          </w:p>
        </w:tc>
      </w:tr>
      <w:tr w:rsidR="002A0CBD" w:rsidRPr="0061456A" w14:paraId="26C17D39" w14:textId="77777777" w:rsidTr="001515D5">
        <w:trPr>
          <w:trHeight w:val="300"/>
        </w:trPr>
        <w:tc>
          <w:tcPr>
            <w:tcW w:w="4675" w:type="dxa"/>
            <w:noWrap/>
            <w:hideMark/>
          </w:tcPr>
          <w:p w14:paraId="4A13C546"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Horry</w:t>
            </w:r>
          </w:p>
        </w:tc>
        <w:tc>
          <w:tcPr>
            <w:tcW w:w="4675" w:type="dxa"/>
            <w:hideMark/>
          </w:tcPr>
          <w:p w14:paraId="7383EA54"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344,865</w:t>
            </w:r>
          </w:p>
        </w:tc>
      </w:tr>
      <w:tr w:rsidR="002A0CBD" w:rsidRPr="0061456A" w14:paraId="1C85FCC8" w14:textId="77777777" w:rsidTr="001515D5">
        <w:trPr>
          <w:trHeight w:val="300"/>
        </w:trPr>
        <w:tc>
          <w:tcPr>
            <w:tcW w:w="4675" w:type="dxa"/>
            <w:noWrap/>
            <w:hideMark/>
          </w:tcPr>
          <w:p w14:paraId="67EDABFA"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lastRenderedPageBreak/>
              <w:t>Jasper</w:t>
            </w:r>
          </w:p>
        </w:tc>
        <w:tc>
          <w:tcPr>
            <w:tcW w:w="4675" w:type="dxa"/>
            <w:hideMark/>
          </w:tcPr>
          <w:p w14:paraId="23EB7F79"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28,363</w:t>
            </w:r>
          </w:p>
        </w:tc>
      </w:tr>
      <w:tr w:rsidR="002A0CBD" w:rsidRPr="0061456A" w14:paraId="45A8F987" w14:textId="77777777" w:rsidTr="001515D5">
        <w:trPr>
          <w:trHeight w:val="300"/>
        </w:trPr>
        <w:tc>
          <w:tcPr>
            <w:tcW w:w="4675" w:type="dxa"/>
            <w:noWrap/>
            <w:hideMark/>
          </w:tcPr>
          <w:p w14:paraId="5B3F447E"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Kershaw</w:t>
            </w:r>
          </w:p>
        </w:tc>
        <w:tc>
          <w:tcPr>
            <w:tcW w:w="4675" w:type="dxa"/>
            <w:hideMark/>
          </w:tcPr>
          <w:p w14:paraId="25338CB0"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64,989</w:t>
            </w:r>
          </w:p>
        </w:tc>
      </w:tr>
      <w:tr w:rsidR="002A0CBD" w:rsidRPr="0061456A" w14:paraId="3721040B" w14:textId="77777777" w:rsidTr="001515D5">
        <w:trPr>
          <w:trHeight w:val="300"/>
        </w:trPr>
        <w:tc>
          <w:tcPr>
            <w:tcW w:w="4675" w:type="dxa"/>
            <w:noWrap/>
            <w:hideMark/>
          </w:tcPr>
          <w:p w14:paraId="7E7995B8"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Lancaster</w:t>
            </w:r>
          </w:p>
        </w:tc>
        <w:tc>
          <w:tcPr>
            <w:tcW w:w="4675" w:type="dxa"/>
            <w:hideMark/>
          </w:tcPr>
          <w:p w14:paraId="1971A058"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94,653</w:t>
            </w:r>
          </w:p>
        </w:tc>
      </w:tr>
      <w:tr w:rsidR="002A0CBD" w:rsidRPr="0061456A" w14:paraId="7DDBDE72" w14:textId="77777777" w:rsidTr="001515D5">
        <w:trPr>
          <w:trHeight w:val="300"/>
        </w:trPr>
        <w:tc>
          <w:tcPr>
            <w:tcW w:w="4675" w:type="dxa"/>
            <w:noWrap/>
            <w:hideMark/>
          </w:tcPr>
          <w:p w14:paraId="08A4FD0E"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Laurens</w:t>
            </w:r>
          </w:p>
        </w:tc>
        <w:tc>
          <w:tcPr>
            <w:tcW w:w="4675" w:type="dxa"/>
            <w:hideMark/>
          </w:tcPr>
          <w:p w14:paraId="3C8CBA82"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67,148</w:t>
            </w:r>
          </w:p>
        </w:tc>
      </w:tr>
      <w:tr w:rsidR="002A0CBD" w:rsidRPr="0061456A" w14:paraId="5BBBDF8F" w14:textId="77777777" w:rsidTr="001515D5">
        <w:trPr>
          <w:trHeight w:val="300"/>
        </w:trPr>
        <w:tc>
          <w:tcPr>
            <w:tcW w:w="4675" w:type="dxa"/>
            <w:noWrap/>
            <w:hideMark/>
          </w:tcPr>
          <w:p w14:paraId="76F1B7B8"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Lee</w:t>
            </w:r>
          </w:p>
        </w:tc>
        <w:tc>
          <w:tcPr>
            <w:tcW w:w="4675" w:type="dxa"/>
            <w:hideMark/>
          </w:tcPr>
          <w:p w14:paraId="3221F4DF"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16,730</w:t>
            </w:r>
          </w:p>
        </w:tc>
      </w:tr>
      <w:tr w:rsidR="002A0CBD" w:rsidRPr="0061456A" w14:paraId="797A3EB6" w14:textId="77777777" w:rsidTr="001515D5">
        <w:trPr>
          <w:trHeight w:val="300"/>
        </w:trPr>
        <w:tc>
          <w:tcPr>
            <w:tcW w:w="4675" w:type="dxa"/>
            <w:noWrap/>
            <w:hideMark/>
          </w:tcPr>
          <w:p w14:paraId="517C54E7"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Lexington</w:t>
            </w:r>
          </w:p>
        </w:tc>
        <w:tc>
          <w:tcPr>
            <w:tcW w:w="4675" w:type="dxa"/>
            <w:hideMark/>
          </w:tcPr>
          <w:p w14:paraId="29D20799"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291,723</w:t>
            </w:r>
          </w:p>
        </w:tc>
      </w:tr>
      <w:tr w:rsidR="002A0CBD" w:rsidRPr="0061456A" w14:paraId="6195B240" w14:textId="77777777" w:rsidTr="001515D5">
        <w:trPr>
          <w:trHeight w:val="300"/>
        </w:trPr>
        <w:tc>
          <w:tcPr>
            <w:tcW w:w="4675" w:type="dxa"/>
            <w:noWrap/>
            <w:hideMark/>
          </w:tcPr>
          <w:p w14:paraId="61C4CCEB"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McCormick</w:t>
            </w:r>
          </w:p>
        </w:tc>
        <w:tc>
          <w:tcPr>
            <w:tcW w:w="4675" w:type="dxa"/>
            <w:hideMark/>
          </w:tcPr>
          <w:p w14:paraId="55F63680"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9,584</w:t>
            </w:r>
          </w:p>
        </w:tc>
      </w:tr>
      <w:tr w:rsidR="002A0CBD" w:rsidRPr="0061456A" w14:paraId="6228438A" w14:textId="77777777" w:rsidTr="001515D5">
        <w:trPr>
          <w:trHeight w:val="300"/>
        </w:trPr>
        <w:tc>
          <w:tcPr>
            <w:tcW w:w="4675" w:type="dxa"/>
            <w:noWrap/>
            <w:hideMark/>
          </w:tcPr>
          <w:p w14:paraId="46E434B7"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Marion</w:t>
            </w:r>
          </w:p>
        </w:tc>
        <w:tc>
          <w:tcPr>
            <w:tcW w:w="4675" w:type="dxa"/>
            <w:hideMark/>
          </w:tcPr>
          <w:p w14:paraId="3BC726CC"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29,585</w:t>
            </w:r>
          </w:p>
        </w:tc>
      </w:tr>
      <w:tr w:rsidR="002A0CBD" w:rsidRPr="0061456A" w14:paraId="7BAD4F4C" w14:textId="77777777" w:rsidTr="001515D5">
        <w:trPr>
          <w:trHeight w:val="300"/>
        </w:trPr>
        <w:tc>
          <w:tcPr>
            <w:tcW w:w="4675" w:type="dxa"/>
            <w:noWrap/>
            <w:hideMark/>
          </w:tcPr>
          <w:p w14:paraId="3DB3E065"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Marlboro</w:t>
            </w:r>
          </w:p>
        </w:tc>
        <w:tc>
          <w:tcPr>
            <w:tcW w:w="4675" w:type="dxa"/>
            <w:hideMark/>
          </w:tcPr>
          <w:p w14:paraId="38B465AC"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26,912</w:t>
            </w:r>
          </w:p>
        </w:tc>
      </w:tr>
      <w:tr w:rsidR="002A0CBD" w:rsidRPr="0061456A" w14:paraId="3A78149E" w14:textId="77777777" w:rsidTr="001515D5">
        <w:trPr>
          <w:trHeight w:val="300"/>
        </w:trPr>
        <w:tc>
          <w:tcPr>
            <w:tcW w:w="4675" w:type="dxa"/>
            <w:noWrap/>
            <w:hideMark/>
          </w:tcPr>
          <w:p w14:paraId="42C81251"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Newberry</w:t>
            </w:r>
          </w:p>
        </w:tc>
        <w:tc>
          <w:tcPr>
            <w:tcW w:w="4675" w:type="dxa"/>
            <w:hideMark/>
          </w:tcPr>
          <w:p w14:paraId="10738312"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37,842</w:t>
            </w:r>
          </w:p>
        </w:tc>
      </w:tr>
      <w:tr w:rsidR="002A0CBD" w:rsidRPr="0061456A" w14:paraId="0162FC8E" w14:textId="77777777" w:rsidTr="001515D5">
        <w:trPr>
          <w:trHeight w:val="300"/>
        </w:trPr>
        <w:tc>
          <w:tcPr>
            <w:tcW w:w="4675" w:type="dxa"/>
            <w:noWrap/>
            <w:hideMark/>
          </w:tcPr>
          <w:p w14:paraId="2BBBCB64"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Oconee</w:t>
            </w:r>
          </w:p>
        </w:tc>
        <w:tc>
          <w:tcPr>
            <w:tcW w:w="4675" w:type="dxa"/>
            <w:hideMark/>
          </w:tcPr>
          <w:p w14:paraId="5E767492"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77,932</w:t>
            </w:r>
          </w:p>
        </w:tc>
      </w:tr>
      <w:tr w:rsidR="002A0CBD" w:rsidRPr="0061456A" w14:paraId="74BA79C0" w14:textId="77777777" w:rsidTr="001515D5">
        <w:trPr>
          <w:trHeight w:val="300"/>
        </w:trPr>
        <w:tc>
          <w:tcPr>
            <w:tcW w:w="4675" w:type="dxa"/>
            <w:noWrap/>
            <w:hideMark/>
          </w:tcPr>
          <w:p w14:paraId="4D7F7C32"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Orangeburg</w:t>
            </w:r>
          </w:p>
        </w:tc>
        <w:tc>
          <w:tcPr>
            <w:tcW w:w="4675" w:type="dxa"/>
            <w:hideMark/>
          </w:tcPr>
          <w:p w14:paraId="2ECC753D"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84,909</w:t>
            </w:r>
          </w:p>
        </w:tc>
      </w:tr>
      <w:tr w:rsidR="002A0CBD" w:rsidRPr="0061456A" w14:paraId="172BC869" w14:textId="77777777" w:rsidTr="001515D5">
        <w:trPr>
          <w:trHeight w:val="300"/>
        </w:trPr>
        <w:tc>
          <w:tcPr>
            <w:tcW w:w="4675" w:type="dxa"/>
            <w:noWrap/>
            <w:hideMark/>
          </w:tcPr>
          <w:p w14:paraId="30DDBDBA"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Pickens</w:t>
            </w:r>
          </w:p>
        </w:tc>
        <w:tc>
          <w:tcPr>
            <w:tcW w:w="4675" w:type="dxa"/>
            <w:hideMark/>
          </w:tcPr>
          <w:p w14:paraId="45C44F87"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129,617</w:t>
            </w:r>
          </w:p>
        </w:tc>
      </w:tr>
      <w:tr w:rsidR="002A0CBD" w:rsidRPr="0061456A" w14:paraId="6C8CE46E" w14:textId="77777777" w:rsidTr="001515D5">
        <w:trPr>
          <w:trHeight w:val="300"/>
        </w:trPr>
        <w:tc>
          <w:tcPr>
            <w:tcW w:w="4675" w:type="dxa"/>
            <w:noWrap/>
            <w:hideMark/>
          </w:tcPr>
          <w:p w14:paraId="05B419DF"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Richland</w:t>
            </w:r>
          </w:p>
        </w:tc>
        <w:tc>
          <w:tcPr>
            <w:tcW w:w="4675" w:type="dxa"/>
            <w:hideMark/>
          </w:tcPr>
          <w:p w14:paraId="69513C8D"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414,719</w:t>
            </w:r>
          </w:p>
        </w:tc>
      </w:tr>
      <w:tr w:rsidR="002A0CBD" w:rsidRPr="0061456A" w14:paraId="4F7C6E79" w14:textId="77777777" w:rsidTr="001515D5">
        <w:trPr>
          <w:trHeight w:val="300"/>
        </w:trPr>
        <w:tc>
          <w:tcPr>
            <w:tcW w:w="4675" w:type="dxa"/>
            <w:noWrap/>
            <w:hideMark/>
          </w:tcPr>
          <w:p w14:paraId="74244FC9"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Saluda</w:t>
            </w:r>
          </w:p>
        </w:tc>
        <w:tc>
          <w:tcPr>
            <w:tcW w:w="4675" w:type="dxa"/>
            <w:hideMark/>
          </w:tcPr>
          <w:p w14:paraId="3015CD94"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19,008</w:t>
            </w:r>
          </w:p>
        </w:tc>
      </w:tr>
      <w:tr w:rsidR="002A0CBD" w:rsidRPr="0061456A" w14:paraId="4DB205A2" w14:textId="77777777" w:rsidTr="001515D5">
        <w:trPr>
          <w:trHeight w:val="300"/>
        </w:trPr>
        <w:tc>
          <w:tcPr>
            <w:tcW w:w="4675" w:type="dxa"/>
            <w:noWrap/>
            <w:hideMark/>
          </w:tcPr>
          <w:p w14:paraId="73A6EB46"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Spartanburg</w:t>
            </w:r>
          </w:p>
        </w:tc>
        <w:tc>
          <w:tcPr>
            <w:tcW w:w="4675" w:type="dxa"/>
            <w:hideMark/>
          </w:tcPr>
          <w:p w14:paraId="659CDC08"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322,864</w:t>
            </w:r>
          </w:p>
        </w:tc>
      </w:tr>
      <w:tr w:rsidR="002A0CBD" w:rsidRPr="0061456A" w14:paraId="15AF3236" w14:textId="77777777" w:rsidTr="001515D5">
        <w:trPr>
          <w:trHeight w:val="300"/>
        </w:trPr>
        <w:tc>
          <w:tcPr>
            <w:tcW w:w="4675" w:type="dxa"/>
            <w:noWrap/>
            <w:hideMark/>
          </w:tcPr>
          <w:p w14:paraId="418EF2D1"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Sumter</w:t>
            </w:r>
          </w:p>
        </w:tc>
        <w:tc>
          <w:tcPr>
            <w:tcW w:w="4675" w:type="dxa"/>
            <w:hideMark/>
          </w:tcPr>
          <w:p w14:paraId="24060309"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105,537</w:t>
            </w:r>
          </w:p>
        </w:tc>
      </w:tr>
      <w:tr w:rsidR="002A0CBD" w:rsidRPr="0061456A" w14:paraId="7D7B9D76" w14:textId="77777777" w:rsidTr="001515D5">
        <w:trPr>
          <w:trHeight w:val="300"/>
        </w:trPr>
        <w:tc>
          <w:tcPr>
            <w:tcW w:w="4675" w:type="dxa"/>
            <w:noWrap/>
            <w:hideMark/>
          </w:tcPr>
          <w:p w14:paraId="7D25EF18"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Union</w:t>
            </w:r>
          </w:p>
        </w:tc>
        <w:tc>
          <w:tcPr>
            <w:tcW w:w="4675" w:type="dxa"/>
            <w:hideMark/>
          </w:tcPr>
          <w:p w14:paraId="335275BD"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27,306</w:t>
            </w:r>
          </w:p>
        </w:tc>
      </w:tr>
      <w:tr w:rsidR="002A0CBD" w:rsidRPr="0061456A" w14:paraId="27D893B6" w14:textId="77777777" w:rsidTr="001515D5">
        <w:trPr>
          <w:trHeight w:val="300"/>
        </w:trPr>
        <w:tc>
          <w:tcPr>
            <w:tcW w:w="4675" w:type="dxa"/>
            <w:noWrap/>
            <w:hideMark/>
          </w:tcPr>
          <w:p w14:paraId="0A54B4DA"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Williamsburg</w:t>
            </w:r>
          </w:p>
        </w:tc>
        <w:tc>
          <w:tcPr>
            <w:tcW w:w="4675" w:type="dxa"/>
            <w:hideMark/>
          </w:tcPr>
          <w:p w14:paraId="6EAAC1C5"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31,279</w:t>
            </w:r>
          </w:p>
        </w:tc>
      </w:tr>
      <w:tr w:rsidR="002A0CBD" w:rsidRPr="0061456A" w14:paraId="2A0658B2" w14:textId="77777777" w:rsidTr="001515D5">
        <w:trPr>
          <w:trHeight w:val="300"/>
        </w:trPr>
        <w:tc>
          <w:tcPr>
            <w:tcW w:w="4675" w:type="dxa"/>
            <w:noWrap/>
            <w:hideMark/>
          </w:tcPr>
          <w:p w14:paraId="3AA76B3C"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York</w:t>
            </w:r>
          </w:p>
        </w:tc>
        <w:tc>
          <w:tcPr>
            <w:tcW w:w="4675" w:type="dxa"/>
            <w:hideMark/>
          </w:tcPr>
          <w:p w14:paraId="43C9A687" w14:textId="77777777" w:rsidR="002A0CBD" w:rsidRPr="0061456A" w:rsidRDefault="002A0CBD" w:rsidP="001515D5">
            <w:pPr>
              <w:rPr>
                <w:rFonts w:eastAsia="Times New Roman" w:cstheme="minorHAnsi"/>
                <w:color w:val="000000"/>
                <w:kern w:val="0"/>
                <w:szCs w:val="28"/>
                <w14:ligatures w14:val="none"/>
              </w:rPr>
            </w:pPr>
            <w:r w:rsidRPr="0061456A">
              <w:rPr>
                <w:rFonts w:eastAsia="Times New Roman" w:cstheme="minorHAnsi"/>
                <w:color w:val="000000"/>
                <w:kern w:val="0"/>
                <w:szCs w:val="28"/>
                <w14:ligatures w14:val="none"/>
              </w:rPr>
              <w:t>276,569</w:t>
            </w:r>
          </w:p>
        </w:tc>
      </w:tr>
    </w:tbl>
    <w:p w14:paraId="50855B5C" w14:textId="77777777" w:rsidR="002A0CBD" w:rsidRDefault="002A0CBD" w:rsidP="002A0CBD">
      <w:pPr>
        <w:rPr>
          <w:rFonts w:cstheme="minorHAnsi"/>
          <w:szCs w:val="28"/>
        </w:rPr>
      </w:pPr>
      <w:r w:rsidRPr="00D079E2">
        <w:rPr>
          <w:rFonts w:cstheme="minorHAnsi"/>
          <w:szCs w:val="28"/>
        </w:rPr>
        <w:t xml:space="preserve">Source: US Census Bureau ACS, 2017-2021. </w:t>
      </w:r>
    </w:p>
    <w:p w14:paraId="270EC931" w14:textId="77777777" w:rsidR="002A0CBD" w:rsidRPr="00D079E2" w:rsidRDefault="002A0CBD" w:rsidP="002A0CBD">
      <w:pPr>
        <w:rPr>
          <w:rFonts w:cstheme="minorHAnsi"/>
          <w:szCs w:val="28"/>
        </w:rPr>
      </w:pPr>
      <w:r w:rsidRPr="00D079E2">
        <w:rPr>
          <w:rFonts w:cstheme="minorHAnsi"/>
          <w:szCs w:val="28"/>
        </w:rPr>
        <w:t>Note: 5</w:t>
      </w:r>
      <w:r>
        <w:rPr>
          <w:rFonts w:cstheme="minorHAnsi"/>
          <w:szCs w:val="28"/>
        </w:rPr>
        <w:t>-</w:t>
      </w:r>
      <w:r w:rsidRPr="00D079E2">
        <w:rPr>
          <w:rFonts w:cstheme="minorHAnsi"/>
          <w:szCs w:val="28"/>
        </w:rPr>
        <w:t>year estimates.</w:t>
      </w:r>
    </w:p>
    <w:p w14:paraId="36E44A60" w14:textId="77777777" w:rsidR="00722CE9" w:rsidRDefault="00722CE9" w:rsidP="00722CE9"/>
    <w:p w14:paraId="2CC73838" w14:textId="26020771" w:rsidR="00722CE9" w:rsidRPr="00722CE9" w:rsidRDefault="00722CE9" w:rsidP="00722CE9">
      <w:r w:rsidRPr="00722CE9">
        <w:t>South Carolina’s population is growing. The population in the state has increased from 4.6 million persons in 2010 to over 5.1 million in 2021, an increase of 12% compared to an overall 7.3% increase for the United States (U.S.) (</w:t>
      </w:r>
      <w:r w:rsidRPr="00722CE9">
        <w:rPr>
          <w:b/>
          <w:bCs/>
        </w:rPr>
        <w:t>Figure 4.2</w:t>
      </w:r>
      <w:r w:rsidRPr="00722CE9">
        <w:t>). Horry County had the largest population increase from 2016 to 2021 at 14.8%, followed by Lancaster (13.1%) and Berkeley (12.9%) counties (data not shown). The state’s growth is attributable to three main drivers: people within the US moving to the state, more births to SC residents, and people outside of the U.S. moving to the state. South Carolina’s population is also getting older. The proportion of SC residents who are over 65 years old increased from 13.7% in 2010 to 18.6% in 2021 (data not shown).</w:t>
      </w:r>
    </w:p>
    <w:p w14:paraId="60CCAD1D" w14:textId="77777777" w:rsidR="00722CE9" w:rsidRDefault="00722CE9" w:rsidP="00722CE9"/>
    <w:p w14:paraId="0252939F" w14:textId="77777777" w:rsidR="002A0CBD" w:rsidRPr="00555D13" w:rsidRDefault="002A0CBD" w:rsidP="002A0CBD">
      <w:pPr>
        <w:pStyle w:val="Heading4"/>
      </w:pPr>
      <w:bookmarkStart w:id="73" w:name="_Toc154569764"/>
      <w:bookmarkStart w:id="74" w:name="_Toc162267035"/>
      <w:r w:rsidRPr="00555D13">
        <w:t>Figure 4.2: South Carolina Total Population</w:t>
      </w:r>
      <w:r>
        <w:t>.</w:t>
      </w:r>
      <w:bookmarkEnd w:id="73"/>
      <w:bookmarkEnd w:id="74"/>
    </w:p>
    <w:tbl>
      <w:tblPr>
        <w:tblStyle w:val="TableGrid"/>
        <w:tblW w:w="0" w:type="auto"/>
        <w:tblLook w:val="04A0" w:firstRow="1" w:lastRow="0" w:firstColumn="1" w:lastColumn="0" w:noHBand="0" w:noVBand="1"/>
      </w:tblPr>
      <w:tblGrid>
        <w:gridCol w:w="4675"/>
        <w:gridCol w:w="4675"/>
      </w:tblGrid>
      <w:tr w:rsidR="002A0CBD" w:rsidRPr="00D079E2" w14:paraId="58D15DB4" w14:textId="77777777" w:rsidTr="001515D5">
        <w:tc>
          <w:tcPr>
            <w:tcW w:w="4675" w:type="dxa"/>
          </w:tcPr>
          <w:p w14:paraId="34F5E6BF" w14:textId="77777777" w:rsidR="002A0CBD" w:rsidRPr="00D079E2" w:rsidRDefault="002A0CBD" w:rsidP="001515D5">
            <w:pPr>
              <w:rPr>
                <w:rFonts w:cstheme="minorHAnsi"/>
                <w:szCs w:val="28"/>
              </w:rPr>
            </w:pPr>
            <w:r w:rsidRPr="00D079E2">
              <w:rPr>
                <w:rFonts w:cstheme="minorHAnsi"/>
                <w:szCs w:val="28"/>
              </w:rPr>
              <w:t>Year</w:t>
            </w:r>
          </w:p>
        </w:tc>
        <w:tc>
          <w:tcPr>
            <w:tcW w:w="4675" w:type="dxa"/>
          </w:tcPr>
          <w:p w14:paraId="58A1F8C4" w14:textId="77777777" w:rsidR="002A0CBD" w:rsidRPr="00D079E2" w:rsidRDefault="002A0CBD" w:rsidP="001515D5">
            <w:pPr>
              <w:rPr>
                <w:rFonts w:cstheme="minorHAnsi"/>
                <w:szCs w:val="28"/>
              </w:rPr>
            </w:pPr>
            <w:r w:rsidRPr="00D079E2">
              <w:rPr>
                <w:rFonts w:cstheme="minorHAnsi"/>
                <w:szCs w:val="28"/>
              </w:rPr>
              <w:t>Population</w:t>
            </w:r>
          </w:p>
        </w:tc>
      </w:tr>
      <w:tr w:rsidR="002A0CBD" w:rsidRPr="00D079E2" w14:paraId="17065B16" w14:textId="77777777" w:rsidTr="001515D5">
        <w:tc>
          <w:tcPr>
            <w:tcW w:w="4675" w:type="dxa"/>
            <w:vAlign w:val="bottom"/>
          </w:tcPr>
          <w:p w14:paraId="7304AECF" w14:textId="77777777" w:rsidR="002A0CBD" w:rsidRPr="00D079E2" w:rsidRDefault="002A0CBD" w:rsidP="001515D5">
            <w:pPr>
              <w:rPr>
                <w:rFonts w:cstheme="minorHAnsi"/>
                <w:szCs w:val="28"/>
              </w:rPr>
            </w:pPr>
            <w:r w:rsidRPr="00D079E2">
              <w:rPr>
                <w:rFonts w:cstheme="minorHAnsi"/>
                <w:color w:val="000000"/>
                <w:szCs w:val="28"/>
              </w:rPr>
              <w:t>2010</w:t>
            </w:r>
          </w:p>
        </w:tc>
        <w:tc>
          <w:tcPr>
            <w:tcW w:w="4675" w:type="dxa"/>
            <w:vAlign w:val="bottom"/>
          </w:tcPr>
          <w:p w14:paraId="15B33509" w14:textId="77777777" w:rsidR="002A0CBD" w:rsidRPr="00D079E2" w:rsidRDefault="002A0CBD" w:rsidP="001515D5">
            <w:pPr>
              <w:rPr>
                <w:rFonts w:cstheme="minorHAnsi"/>
                <w:szCs w:val="28"/>
              </w:rPr>
            </w:pPr>
            <w:r w:rsidRPr="00D079E2">
              <w:rPr>
                <w:rFonts w:cstheme="minorHAnsi"/>
                <w:color w:val="000000"/>
                <w:szCs w:val="28"/>
              </w:rPr>
              <w:t>4,636,312</w:t>
            </w:r>
          </w:p>
        </w:tc>
      </w:tr>
      <w:tr w:rsidR="002A0CBD" w:rsidRPr="00D079E2" w14:paraId="0986BC6D" w14:textId="77777777" w:rsidTr="001515D5">
        <w:tc>
          <w:tcPr>
            <w:tcW w:w="4675" w:type="dxa"/>
            <w:vAlign w:val="bottom"/>
          </w:tcPr>
          <w:p w14:paraId="69E11309" w14:textId="77777777" w:rsidR="002A0CBD" w:rsidRPr="00D079E2" w:rsidRDefault="002A0CBD" w:rsidP="001515D5">
            <w:pPr>
              <w:rPr>
                <w:rFonts w:cstheme="minorHAnsi"/>
                <w:szCs w:val="28"/>
              </w:rPr>
            </w:pPr>
            <w:r w:rsidRPr="00D079E2">
              <w:rPr>
                <w:rFonts w:cstheme="minorHAnsi"/>
                <w:color w:val="000000"/>
                <w:szCs w:val="28"/>
              </w:rPr>
              <w:lastRenderedPageBreak/>
              <w:t>2011</w:t>
            </w:r>
          </w:p>
        </w:tc>
        <w:tc>
          <w:tcPr>
            <w:tcW w:w="4675" w:type="dxa"/>
            <w:vAlign w:val="bottom"/>
          </w:tcPr>
          <w:p w14:paraId="7AA43B60" w14:textId="77777777" w:rsidR="002A0CBD" w:rsidRPr="00D079E2" w:rsidRDefault="002A0CBD" w:rsidP="001515D5">
            <w:pPr>
              <w:rPr>
                <w:rFonts w:cstheme="minorHAnsi"/>
                <w:szCs w:val="28"/>
              </w:rPr>
            </w:pPr>
            <w:r w:rsidRPr="00D079E2">
              <w:rPr>
                <w:rFonts w:cstheme="minorHAnsi"/>
                <w:color w:val="000000"/>
                <w:szCs w:val="28"/>
              </w:rPr>
              <w:t>4,679,230</w:t>
            </w:r>
          </w:p>
        </w:tc>
      </w:tr>
      <w:tr w:rsidR="002A0CBD" w:rsidRPr="00D079E2" w14:paraId="37446B64" w14:textId="77777777" w:rsidTr="001515D5">
        <w:tc>
          <w:tcPr>
            <w:tcW w:w="4675" w:type="dxa"/>
            <w:vAlign w:val="bottom"/>
          </w:tcPr>
          <w:p w14:paraId="10F76051" w14:textId="77777777" w:rsidR="002A0CBD" w:rsidRPr="00D079E2" w:rsidRDefault="002A0CBD" w:rsidP="001515D5">
            <w:pPr>
              <w:rPr>
                <w:rFonts w:cstheme="minorHAnsi"/>
                <w:szCs w:val="28"/>
              </w:rPr>
            </w:pPr>
            <w:r w:rsidRPr="00D079E2">
              <w:rPr>
                <w:rFonts w:cstheme="minorHAnsi"/>
                <w:color w:val="000000"/>
                <w:szCs w:val="28"/>
              </w:rPr>
              <w:t>2012</w:t>
            </w:r>
          </w:p>
        </w:tc>
        <w:tc>
          <w:tcPr>
            <w:tcW w:w="4675" w:type="dxa"/>
            <w:vAlign w:val="bottom"/>
          </w:tcPr>
          <w:p w14:paraId="7D36B82C" w14:textId="77777777" w:rsidR="002A0CBD" w:rsidRPr="00D079E2" w:rsidRDefault="002A0CBD" w:rsidP="001515D5">
            <w:pPr>
              <w:rPr>
                <w:rFonts w:cstheme="minorHAnsi"/>
                <w:szCs w:val="28"/>
              </w:rPr>
            </w:pPr>
            <w:r w:rsidRPr="00D079E2">
              <w:rPr>
                <w:rFonts w:cstheme="minorHAnsi"/>
                <w:color w:val="000000"/>
                <w:szCs w:val="28"/>
              </w:rPr>
              <w:t>4,723,723</w:t>
            </w:r>
          </w:p>
        </w:tc>
      </w:tr>
      <w:tr w:rsidR="002A0CBD" w:rsidRPr="00D079E2" w14:paraId="34EB4974" w14:textId="77777777" w:rsidTr="001515D5">
        <w:tc>
          <w:tcPr>
            <w:tcW w:w="4675" w:type="dxa"/>
            <w:vAlign w:val="bottom"/>
          </w:tcPr>
          <w:p w14:paraId="56D8BB76" w14:textId="77777777" w:rsidR="002A0CBD" w:rsidRPr="00D079E2" w:rsidRDefault="002A0CBD" w:rsidP="001515D5">
            <w:pPr>
              <w:rPr>
                <w:rFonts w:cstheme="minorHAnsi"/>
                <w:szCs w:val="28"/>
              </w:rPr>
            </w:pPr>
            <w:r w:rsidRPr="00D079E2">
              <w:rPr>
                <w:rFonts w:cstheme="minorHAnsi"/>
                <w:color w:val="000000"/>
                <w:szCs w:val="28"/>
              </w:rPr>
              <w:t>2013</w:t>
            </w:r>
          </w:p>
        </w:tc>
        <w:tc>
          <w:tcPr>
            <w:tcW w:w="4675" w:type="dxa"/>
            <w:vAlign w:val="bottom"/>
          </w:tcPr>
          <w:p w14:paraId="539C796E" w14:textId="77777777" w:rsidR="002A0CBD" w:rsidRPr="00D079E2" w:rsidRDefault="002A0CBD" w:rsidP="001515D5">
            <w:pPr>
              <w:rPr>
                <w:rFonts w:cstheme="minorHAnsi"/>
                <w:szCs w:val="28"/>
              </w:rPr>
            </w:pPr>
            <w:r w:rsidRPr="00D079E2">
              <w:rPr>
                <w:rFonts w:cstheme="minorHAnsi"/>
                <w:color w:val="000000"/>
                <w:szCs w:val="28"/>
              </w:rPr>
              <w:t>4,774,839</w:t>
            </w:r>
          </w:p>
        </w:tc>
      </w:tr>
      <w:tr w:rsidR="002A0CBD" w:rsidRPr="00D079E2" w14:paraId="38CF35F4" w14:textId="77777777" w:rsidTr="001515D5">
        <w:tc>
          <w:tcPr>
            <w:tcW w:w="4675" w:type="dxa"/>
            <w:vAlign w:val="bottom"/>
          </w:tcPr>
          <w:p w14:paraId="416DAE79" w14:textId="77777777" w:rsidR="002A0CBD" w:rsidRPr="00D079E2" w:rsidRDefault="002A0CBD" w:rsidP="001515D5">
            <w:pPr>
              <w:rPr>
                <w:rFonts w:cstheme="minorHAnsi"/>
                <w:szCs w:val="28"/>
              </w:rPr>
            </w:pPr>
            <w:r w:rsidRPr="00D079E2">
              <w:rPr>
                <w:rFonts w:cstheme="minorHAnsi"/>
                <w:color w:val="000000"/>
                <w:szCs w:val="28"/>
              </w:rPr>
              <w:t>2014</w:t>
            </w:r>
          </w:p>
        </w:tc>
        <w:tc>
          <w:tcPr>
            <w:tcW w:w="4675" w:type="dxa"/>
            <w:vAlign w:val="bottom"/>
          </w:tcPr>
          <w:p w14:paraId="27CB2ECD" w14:textId="77777777" w:rsidR="002A0CBD" w:rsidRPr="00D079E2" w:rsidRDefault="002A0CBD" w:rsidP="001515D5">
            <w:pPr>
              <w:rPr>
                <w:rFonts w:cstheme="minorHAnsi"/>
                <w:szCs w:val="28"/>
              </w:rPr>
            </w:pPr>
            <w:r w:rsidRPr="00D079E2">
              <w:rPr>
                <w:rFonts w:cstheme="minorHAnsi"/>
                <w:color w:val="000000"/>
                <w:szCs w:val="28"/>
              </w:rPr>
              <w:t>4,832,482</w:t>
            </w:r>
          </w:p>
        </w:tc>
      </w:tr>
      <w:tr w:rsidR="002A0CBD" w:rsidRPr="00D079E2" w14:paraId="149F637D" w14:textId="77777777" w:rsidTr="001515D5">
        <w:tc>
          <w:tcPr>
            <w:tcW w:w="4675" w:type="dxa"/>
            <w:vAlign w:val="bottom"/>
          </w:tcPr>
          <w:p w14:paraId="0055B66C" w14:textId="77777777" w:rsidR="002A0CBD" w:rsidRPr="00D079E2" w:rsidRDefault="002A0CBD" w:rsidP="001515D5">
            <w:pPr>
              <w:rPr>
                <w:rFonts w:cstheme="minorHAnsi"/>
                <w:szCs w:val="28"/>
              </w:rPr>
            </w:pPr>
            <w:r w:rsidRPr="00D079E2">
              <w:rPr>
                <w:rFonts w:cstheme="minorHAnsi"/>
                <w:color w:val="000000"/>
                <w:szCs w:val="28"/>
              </w:rPr>
              <w:t>2015</w:t>
            </w:r>
          </w:p>
        </w:tc>
        <w:tc>
          <w:tcPr>
            <w:tcW w:w="4675" w:type="dxa"/>
            <w:vAlign w:val="bottom"/>
          </w:tcPr>
          <w:p w14:paraId="73440C79" w14:textId="77777777" w:rsidR="002A0CBD" w:rsidRPr="00D079E2" w:rsidRDefault="002A0CBD" w:rsidP="001515D5">
            <w:pPr>
              <w:rPr>
                <w:rFonts w:cstheme="minorHAnsi"/>
                <w:szCs w:val="28"/>
              </w:rPr>
            </w:pPr>
            <w:r w:rsidRPr="00D079E2">
              <w:rPr>
                <w:rFonts w:cstheme="minorHAnsi"/>
                <w:color w:val="000000"/>
                <w:szCs w:val="28"/>
              </w:rPr>
              <w:t>4,896,146</w:t>
            </w:r>
          </w:p>
        </w:tc>
      </w:tr>
      <w:tr w:rsidR="002A0CBD" w:rsidRPr="00D079E2" w14:paraId="700F3355" w14:textId="77777777" w:rsidTr="001515D5">
        <w:tc>
          <w:tcPr>
            <w:tcW w:w="4675" w:type="dxa"/>
            <w:vAlign w:val="bottom"/>
          </w:tcPr>
          <w:p w14:paraId="41B878EB" w14:textId="77777777" w:rsidR="002A0CBD" w:rsidRPr="00D079E2" w:rsidRDefault="002A0CBD" w:rsidP="001515D5">
            <w:pPr>
              <w:rPr>
                <w:rFonts w:cstheme="minorHAnsi"/>
                <w:szCs w:val="28"/>
              </w:rPr>
            </w:pPr>
            <w:r w:rsidRPr="00D079E2">
              <w:rPr>
                <w:rFonts w:cstheme="minorHAnsi"/>
                <w:color w:val="000000"/>
                <w:szCs w:val="28"/>
              </w:rPr>
              <w:t>2016</w:t>
            </w:r>
          </w:p>
        </w:tc>
        <w:tc>
          <w:tcPr>
            <w:tcW w:w="4675" w:type="dxa"/>
            <w:vAlign w:val="bottom"/>
          </w:tcPr>
          <w:p w14:paraId="5D03A649" w14:textId="77777777" w:rsidR="002A0CBD" w:rsidRPr="00D079E2" w:rsidRDefault="002A0CBD" w:rsidP="001515D5">
            <w:pPr>
              <w:rPr>
                <w:rFonts w:cstheme="minorHAnsi"/>
                <w:szCs w:val="28"/>
              </w:rPr>
            </w:pPr>
            <w:r w:rsidRPr="00D079E2">
              <w:rPr>
                <w:rFonts w:cstheme="minorHAnsi"/>
                <w:color w:val="000000"/>
                <w:szCs w:val="28"/>
              </w:rPr>
              <w:t>4,961,119</w:t>
            </w:r>
          </w:p>
        </w:tc>
      </w:tr>
      <w:tr w:rsidR="002A0CBD" w:rsidRPr="00D079E2" w14:paraId="58A55E64" w14:textId="77777777" w:rsidTr="001515D5">
        <w:tc>
          <w:tcPr>
            <w:tcW w:w="4675" w:type="dxa"/>
            <w:vAlign w:val="bottom"/>
          </w:tcPr>
          <w:p w14:paraId="1231248A" w14:textId="77777777" w:rsidR="002A0CBD" w:rsidRPr="00D079E2" w:rsidRDefault="002A0CBD" w:rsidP="001515D5">
            <w:pPr>
              <w:rPr>
                <w:rFonts w:cstheme="minorHAnsi"/>
                <w:szCs w:val="28"/>
              </w:rPr>
            </w:pPr>
            <w:r w:rsidRPr="00D079E2">
              <w:rPr>
                <w:rFonts w:cstheme="minorHAnsi"/>
                <w:color w:val="000000"/>
                <w:szCs w:val="28"/>
              </w:rPr>
              <w:t>2017</w:t>
            </w:r>
          </w:p>
        </w:tc>
        <w:tc>
          <w:tcPr>
            <w:tcW w:w="4675" w:type="dxa"/>
            <w:vAlign w:val="bottom"/>
          </w:tcPr>
          <w:p w14:paraId="025381C0" w14:textId="77777777" w:rsidR="002A0CBD" w:rsidRPr="00D079E2" w:rsidRDefault="002A0CBD" w:rsidP="001515D5">
            <w:pPr>
              <w:rPr>
                <w:rFonts w:cstheme="minorHAnsi"/>
                <w:szCs w:val="28"/>
              </w:rPr>
            </w:pPr>
            <w:r w:rsidRPr="00D079E2">
              <w:rPr>
                <w:rFonts w:cstheme="minorHAnsi"/>
                <w:color w:val="000000"/>
                <w:szCs w:val="28"/>
              </w:rPr>
              <w:t>5,024,369</w:t>
            </w:r>
          </w:p>
        </w:tc>
      </w:tr>
      <w:tr w:rsidR="002A0CBD" w:rsidRPr="00D079E2" w14:paraId="7183D921" w14:textId="77777777" w:rsidTr="001515D5">
        <w:tc>
          <w:tcPr>
            <w:tcW w:w="4675" w:type="dxa"/>
            <w:vAlign w:val="bottom"/>
          </w:tcPr>
          <w:p w14:paraId="5B2312A6" w14:textId="77777777" w:rsidR="002A0CBD" w:rsidRPr="00D079E2" w:rsidRDefault="002A0CBD" w:rsidP="001515D5">
            <w:pPr>
              <w:rPr>
                <w:rFonts w:cstheme="minorHAnsi"/>
                <w:szCs w:val="28"/>
              </w:rPr>
            </w:pPr>
            <w:r w:rsidRPr="00D079E2">
              <w:rPr>
                <w:rFonts w:cstheme="minorHAnsi"/>
                <w:color w:val="000000"/>
                <w:szCs w:val="28"/>
              </w:rPr>
              <w:t>2018</w:t>
            </w:r>
          </w:p>
        </w:tc>
        <w:tc>
          <w:tcPr>
            <w:tcW w:w="4675" w:type="dxa"/>
            <w:vAlign w:val="bottom"/>
          </w:tcPr>
          <w:p w14:paraId="6B8F3F7F" w14:textId="77777777" w:rsidR="002A0CBD" w:rsidRPr="00D079E2" w:rsidRDefault="002A0CBD" w:rsidP="001515D5">
            <w:pPr>
              <w:rPr>
                <w:rFonts w:cstheme="minorHAnsi"/>
                <w:szCs w:val="28"/>
              </w:rPr>
            </w:pPr>
            <w:r w:rsidRPr="00D079E2">
              <w:rPr>
                <w:rFonts w:cstheme="minorHAnsi"/>
                <w:color w:val="000000"/>
                <w:szCs w:val="28"/>
              </w:rPr>
              <w:t>5,084,127</w:t>
            </w:r>
          </w:p>
        </w:tc>
      </w:tr>
      <w:tr w:rsidR="002A0CBD" w:rsidRPr="00D079E2" w14:paraId="08E48AE7" w14:textId="77777777" w:rsidTr="001515D5">
        <w:tc>
          <w:tcPr>
            <w:tcW w:w="4675" w:type="dxa"/>
            <w:vAlign w:val="bottom"/>
          </w:tcPr>
          <w:p w14:paraId="6A2DB9B4" w14:textId="77777777" w:rsidR="002A0CBD" w:rsidRPr="00D079E2" w:rsidRDefault="002A0CBD" w:rsidP="001515D5">
            <w:pPr>
              <w:rPr>
                <w:rFonts w:cstheme="minorHAnsi"/>
                <w:szCs w:val="28"/>
              </w:rPr>
            </w:pPr>
            <w:r w:rsidRPr="00D079E2">
              <w:rPr>
                <w:rFonts w:cstheme="minorHAnsi"/>
                <w:color w:val="000000"/>
                <w:szCs w:val="28"/>
              </w:rPr>
              <w:t>2019</w:t>
            </w:r>
          </w:p>
        </w:tc>
        <w:tc>
          <w:tcPr>
            <w:tcW w:w="4675" w:type="dxa"/>
            <w:vAlign w:val="bottom"/>
          </w:tcPr>
          <w:p w14:paraId="773A0BD3" w14:textId="77777777" w:rsidR="002A0CBD" w:rsidRPr="00D079E2" w:rsidRDefault="002A0CBD" w:rsidP="001515D5">
            <w:pPr>
              <w:rPr>
                <w:rFonts w:cstheme="minorHAnsi"/>
                <w:szCs w:val="28"/>
              </w:rPr>
            </w:pPr>
            <w:r w:rsidRPr="00D079E2">
              <w:rPr>
                <w:rFonts w:cstheme="minorHAnsi"/>
                <w:color w:val="000000"/>
                <w:szCs w:val="28"/>
              </w:rPr>
              <w:t>5,148,714</w:t>
            </w:r>
          </w:p>
        </w:tc>
      </w:tr>
      <w:tr w:rsidR="002A0CBD" w:rsidRPr="00D079E2" w14:paraId="3B0D2594" w14:textId="77777777" w:rsidTr="001515D5">
        <w:tc>
          <w:tcPr>
            <w:tcW w:w="4675" w:type="dxa"/>
            <w:vAlign w:val="bottom"/>
          </w:tcPr>
          <w:p w14:paraId="42B16CF3" w14:textId="77777777" w:rsidR="002A0CBD" w:rsidRPr="00D079E2" w:rsidRDefault="002A0CBD" w:rsidP="001515D5">
            <w:pPr>
              <w:rPr>
                <w:rFonts w:cstheme="minorHAnsi"/>
                <w:szCs w:val="28"/>
              </w:rPr>
            </w:pPr>
            <w:r w:rsidRPr="00D079E2">
              <w:rPr>
                <w:rFonts w:cstheme="minorHAnsi"/>
                <w:color w:val="000000"/>
                <w:szCs w:val="28"/>
              </w:rPr>
              <w:t>2020</w:t>
            </w:r>
          </w:p>
        </w:tc>
        <w:tc>
          <w:tcPr>
            <w:tcW w:w="4675" w:type="dxa"/>
            <w:vAlign w:val="bottom"/>
          </w:tcPr>
          <w:p w14:paraId="2BAD867D" w14:textId="77777777" w:rsidR="002A0CBD" w:rsidRPr="00D079E2" w:rsidRDefault="002A0CBD" w:rsidP="001515D5">
            <w:pPr>
              <w:rPr>
                <w:rFonts w:cstheme="minorHAnsi"/>
                <w:szCs w:val="28"/>
              </w:rPr>
            </w:pPr>
            <w:r w:rsidRPr="00D079E2">
              <w:rPr>
                <w:rFonts w:cstheme="minorHAnsi"/>
                <w:color w:val="000000"/>
                <w:szCs w:val="28"/>
              </w:rPr>
              <w:t>5,091,517</w:t>
            </w:r>
          </w:p>
        </w:tc>
      </w:tr>
      <w:tr w:rsidR="002A0CBD" w:rsidRPr="00D079E2" w14:paraId="2DAD7B8F" w14:textId="77777777" w:rsidTr="001515D5">
        <w:tc>
          <w:tcPr>
            <w:tcW w:w="4675" w:type="dxa"/>
            <w:vAlign w:val="bottom"/>
          </w:tcPr>
          <w:p w14:paraId="02677324" w14:textId="77777777" w:rsidR="002A0CBD" w:rsidRPr="00D079E2" w:rsidRDefault="002A0CBD" w:rsidP="001515D5">
            <w:pPr>
              <w:rPr>
                <w:rFonts w:cstheme="minorHAnsi"/>
                <w:szCs w:val="28"/>
              </w:rPr>
            </w:pPr>
            <w:r w:rsidRPr="00D079E2">
              <w:rPr>
                <w:rFonts w:cstheme="minorHAnsi"/>
                <w:color w:val="000000"/>
                <w:szCs w:val="28"/>
              </w:rPr>
              <w:t>2021</w:t>
            </w:r>
          </w:p>
        </w:tc>
        <w:tc>
          <w:tcPr>
            <w:tcW w:w="4675" w:type="dxa"/>
            <w:vAlign w:val="bottom"/>
          </w:tcPr>
          <w:p w14:paraId="55B8CD6C" w14:textId="77777777" w:rsidR="002A0CBD" w:rsidRPr="00D079E2" w:rsidRDefault="002A0CBD" w:rsidP="001515D5">
            <w:pPr>
              <w:rPr>
                <w:rFonts w:cstheme="minorHAnsi"/>
                <w:szCs w:val="28"/>
              </w:rPr>
            </w:pPr>
            <w:r w:rsidRPr="00D079E2">
              <w:rPr>
                <w:rFonts w:cstheme="minorHAnsi"/>
                <w:color w:val="000000"/>
                <w:szCs w:val="28"/>
              </w:rPr>
              <w:t>5,190,705</w:t>
            </w:r>
          </w:p>
        </w:tc>
      </w:tr>
    </w:tbl>
    <w:p w14:paraId="34927C79" w14:textId="77777777" w:rsidR="002A0CBD" w:rsidRDefault="002A0CBD" w:rsidP="002A0CBD">
      <w:pPr>
        <w:rPr>
          <w:rFonts w:cstheme="minorHAnsi"/>
          <w:szCs w:val="28"/>
        </w:rPr>
      </w:pPr>
      <w:r w:rsidRPr="00D079E2">
        <w:rPr>
          <w:rFonts w:cstheme="minorHAnsi"/>
          <w:szCs w:val="28"/>
        </w:rPr>
        <w:t>Source: US Census Bureau ACS, 201</w:t>
      </w:r>
      <w:r>
        <w:rPr>
          <w:rFonts w:cstheme="minorHAnsi"/>
          <w:szCs w:val="28"/>
        </w:rPr>
        <w:t>0</w:t>
      </w:r>
      <w:r w:rsidRPr="00D079E2">
        <w:rPr>
          <w:rFonts w:cstheme="minorHAnsi"/>
          <w:szCs w:val="28"/>
        </w:rPr>
        <w:t xml:space="preserve">-2021. </w:t>
      </w:r>
    </w:p>
    <w:p w14:paraId="7369E6D3" w14:textId="09CDBB2E" w:rsidR="002A0CBD" w:rsidRPr="00D079E2" w:rsidRDefault="002A0CBD" w:rsidP="002A0CBD">
      <w:pPr>
        <w:rPr>
          <w:rFonts w:cstheme="minorHAnsi"/>
          <w:szCs w:val="28"/>
        </w:rPr>
      </w:pPr>
      <w:r w:rsidRPr="00D079E2">
        <w:rPr>
          <w:rFonts w:cstheme="minorHAnsi"/>
          <w:szCs w:val="28"/>
        </w:rPr>
        <w:t xml:space="preserve">Note: </w:t>
      </w:r>
      <w:r>
        <w:rPr>
          <w:rFonts w:cstheme="minorHAnsi"/>
          <w:szCs w:val="28"/>
        </w:rPr>
        <w:t>1-</w:t>
      </w:r>
      <w:r w:rsidRPr="00D079E2">
        <w:rPr>
          <w:rFonts w:cstheme="minorHAnsi"/>
          <w:szCs w:val="28"/>
        </w:rPr>
        <w:t>year estimates.</w:t>
      </w:r>
    </w:p>
    <w:p w14:paraId="36A8B3C9" w14:textId="77777777" w:rsidR="00722CE9" w:rsidRPr="00722CE9" w:rsidRDefault="00722CE9" w:rsidP="00722CE9"/>
    <w:p w14:paraId="230D95A1" w14:textId="77777777" w:rsidR="00722CE9" w:rsidRDefault="00722CE9" w:rsidP="00722CE9">
      <w:r w:rsidRPr="00722CE9">
        <w:t>In 2021, males made up 48.6% of the population of SC, while females made up 51.4%. Males outnumbered females aged 0-24, and females outnumbered males in all other age groups (</w:t>
      </w:r>
      <w:r w:rsidRPr="00722CE9">
        <w:rPr>
          <w:b/>
          <w:bCs/>
        </w:rPr>
        <w:t>Figure 4.3</w:t>
      </w:r>
      <w:r w:rsidRPr="00722CE9">
        <w:t xml:space="preserve">). </w:t>
      </w:r>
      <w:proofErr w:type="gramStart"/>
      <w:r w:rsidRPr="00722CE9">
        <w:t>In particular, females</w:t>
      </w:r>
      <w:proofErr w:type="gramEnd"/>
      <w:r w:rsidRPr="00722CE9">
        <w:t xml:space="preserve"> are more than double the count of males among residents aged 85 and older.  </w:t>
      </w:r>
    </w:p>
    <w:p w14:paraId="270B13D8" w14:textId="77777777" w:rsidR="00722CE9" w:rsidRDefault="00722CE9" w:rsidP="00722CE9"/>
    <w:p w14:paraId="6F544AF0" w14:textId="77777777" w:rsidR="002A0CBD" w:rsidRPr="00555D13" w:rsidRDefault="002A0CBD" w:rsidP="002A0CBD">
      <w:pPr>
        <w:pStyle w:val="Heading4"/>
      </w:pPr>
      <w:bookmarkStart w:id="75" w:name="_Toc154569765"/>
      <w:bookmarkStart w:id="76" w:name="_Toc162267036"/>
      <w:r w:rsidRPr="00555D13">
        <w:t>Figure 4.3: South Carolina Population, by Age Group and Sex</w:t>
      </w:r>
      <w:r>
        <w:t>.</w:t>
      </w:r>
      <w:bookmarkEnd w:id="75"/>
      <w:bookmarkEnd w:id="76"/>
    </w:p>
    <w:tbl>
      <w:tblPr>
        <w:tblStyle w:val="TableGrid"/>
        <w:tblW w:w="0" w:type="auto"/>
        <w:tblLook w:val="04A0" w:firstRow="1" w:lastRow="0" w:firstColumn="1" w:lastColumn="0" w:noHBand="0" w:noVBand="1"/>
      </w:tblPr>
      <w:tblGrid>
        <w:gridCol w:w="3104"/>
        <w:gridCol w:w="3370"/>
        <w:gridCol w:w="2876"/>
      </w:tblGrid>
      <w:tr w:rsidR="002A0CBD" w:rsidRPr="00D079E2" w14:paraId="1DD1EC14" w14:textId="77777777" w:rsidTr="001515D5">
        <w:tc>
          <w:tcPr>
            <w:tcW w:w="3104" w:type="dxa"/>
          </w:tcPr>
          <w:p w14:paraId="0FCBC490" w14:textId="77777777" w:rsidR="002A0CBD" w:rsidRPr="00D079E2" w:rsidRDefault="002A0CBD" w:rsidP="001515D5">
            <w:pPr>
              <w:rPr>
                <w:rFonts w:cstheme="minorHAnsi"/>
                <w:szCs w:val="28"/>
              </w:rPr>
            </w:pPr>
            <w:r>
              <w:rPr>
                <w:rFonts w:cstheme="minorHAnsi"/>
                <w:szCs w:val="28"/>
              </w:rPr>
              <w:t>Age Group</w:t>
            </w:r>
          </w:p>
        </w:tc>
        <w:tc>
          <w:tcPr>
            <w:tcW w:w="3370" w:type="dxa"/>
          </w:tcPr>
          <w:p w14:paraId="17408708" w14:textId="77777777" w:rsidR="002A0CBD" w:rsidRPr="00D079E2" w:rsidRDefault="002A0CBD" w:rsidP="001515D5">
            <w:pPr>
              <w:rPr>
                <w:rFonts w:cstheme="minorHAnsi"/>
                <w:szCs w:val="28"/>
              </w:rPr>
            </w:pPr>
            <w:r>
              <w:rPr>
                <w:rFonts w:cstheme="minorHAnsi"/>
                <w:szCs w:val="28"/>
              </w:rPr>
              <w:t>Male</w:t>
            </w:r>
          </w:p>
        </w:tc>
        <w:tc>
          <w:tcPr>
            <w:tcW w:w="2876" w:type="dxa"/>
          </w:tcPr>
          <w:p w14:paraId="2188F2A8" w14:textId="77777777" w:rsidR="002A0CBD" w:rsidRPr="00D079E2" w:rsidRDefault="002A0CBD" w:rsidP="001515D5">
            <w:pPr>
              <w:rPr>
                <w:rFonts w:cstheme="minorHAnsi"/>
                <w:szCs w:val="28"/>
              </w:rPr>
            </w:pPr>
            <w:r>
              <w:rPr>
                <w:rFonts w:cstheme="minorHAnsi"/>
                <w:szCs w:val="28"/>
              </w:rPr>
              <w:t>Female</w:t>
            </w:r>
          </w:p>
        </w:tc>
      </w:tr>
      <w:tr w:rsidR="002A0CBD" w:rsidRPr="00D079E2" w14:paraId="3BCDD624" w14:textId="77777777" w:rsidTr="001515D5">
        <w:tc>
          <w:tcPr>
            <w:tcW w:w="3104" w:type="dxa"/>
            <w:vAlign w:val="bottom"/>
          </w:tcPr>
          <w:p w14:paraId="195A74F7" w14:textId="77777777" w:rsidR="002A0CBD" w:rsidRPr="00D079E2" w:rsidRDefault="002A0CBD" w:rsidP="001515D5">
            <w:pPr>
              <w:jc w:val="both"/>
              <w:rPr>
                <w:rFonts w:cstheme="minorHAnsi"/>
                <w:szCs w:val="28"/>
              </w:rPr>
            </w:pPr>
            <w:r w:rsidRPr="00D079E2">
              <w:rPr>
                <w:rFonts w:ascii="Calibri" w:hAnsi="Calibri" w:cs="Calibri"/>
                <w:color w:val="000000"/>
                <w:szCs w:val="28"/>
              </w:rPr>
              <w:t>&lt; 5</w:t>
            </w:r>
          </w:p>
        </w:tc>
        <w:tc>
          <w:tcPr>
            <w:tcW w:w="3370" w:type="dxa"/>
            <w:vAlign w:val="bottom"/>
          </w:tcPr>
          <w:p w14:paraId="3E45D5F6" w14:textId="77777777" w:rsidR="002A0CBD" w:rsidRPr="00D079E2" w:rsidRDefault="002A0CBD" w:rsidP="001515D5">
            <w:pPr>
              <w:jc w:val="both"/>
              <w:rPr>
                <w:rFonts w:cstheme="minorHAnsi"/>
                <w:szCs w:val="28"/>
              </w:rPr>
            </w:pPr>
            <w:r w:rsidRPr="00D079E2">
              <w:rPr>
                <w:rFonts w:ascii="Calibri" w:hAnsi="Calibri" w:cs="Calibri"/>
                <w:color w:val="000000"/>
                <w:szCs w:val="28"/>
              </w:rPr>
              <w:t xml:space="preserve">141,024 </w:t>
            </w:r>
          </w:p>
        </w:tc>
        <w:tc>
          <w:tcPr>
            <w:tcW w:w="2876" w:type="dxa"/>
            <w:vAlign w:val="bottom"/>
          </w:tcPr>
          <w:p w14:paraId="182E1AFB" w14:textId="77777777" w:rsidR="002A0CBD" w:rsidRPr="00D079E2" w:rsidRDefault="002A0CBD" w:rsidP="001515D5">
            <w:pPr>
              <w:jc w:val="both"/>
              <w:rPr>
                <w:rFonts w:cstheme="minorHAnsi"/>
                <w:color w:val="000000"/>
                <w:szCs w:val="28"/>
              </w:rPr>
            </w:pPr>
            <w:r w:rsidRPr="00D079E2">
              <w:rPr>
                <w:rFonts w:ascii="Calibri" w:hAnsi="Calibri" w:cs="Calibri"/>
                <w:color w:val="000000"/>
                <w:szCs w:val="28"/>
              </w:rPr>
              <w:t xml:space="preserve">134,769 </w:t>
            </w:r>
          </w:p>
        </w:tc>
      </w:tr>
      <w:tr w:rsidR="002A0CBD" w:rsidRPr="00D079E2" w14:paraId="799CF59B" w14:textId="77777777" w:rsidTr="001515D5">
        <w:tc>
          <w:tcPr>
            <w:tcW w:w="3104" w:type="dxa"/>
            <w:vAlign w:val="bottom"/>
          </w:tcPr>
          <w:p w14:paraId="629CFD71" w14:textId="77777777" w:rsidR="002A0CBD" w:rsidRPr="00D079E2" w:rsidRDefault="002A0CBD" w:rsidP="001515D5">
            <w:pPr>
              <w:jc w:val="both"/>
              <w:rPr>
                <w:rFonts w:cstheme="minorHAnsi"/>
                <w:szCs w:val="28"/>
              </w:rPr>
            </w:pPr>
            <w:r w:rsidRPr="00D079E2">
              <w:rPr>
                <w:rFonts w:ascii="Calibri" w:hAnsi="Calibri" w:cs="Calibri"/>
                <w:color w:val="000000"/>
                <w:szCs w:val="28"/>
              </w:rPr>
              <w:t>5 - 9</w:t>
            </w:r>
          </w:p>
        </w:tc>
        <w:tc>
          <w:tcPr>
            <w:tcW w:w="3370" w:type="dxa"/>
            <w:vAlign w:val="bottom"/>
          </w:tcPr>
          <w:p w14:paraId="3BB3B423" w14:textId="77777777" w:rsidR="002A0CBD" w:rsidRPr="00D079E2" w:rsidRDefault="002A0CBD" w:rsidP="001515D5">
            <w:pPr>
              <w:jc w:val="both"/>
              <w:rPr>
                <w:rFonts w:cstheme="minorHAnsi"/>
                <w:szCs w:val="28"/>
              </w:rPr>
            </w:pPr>
            <w:r w:rsidRPr="00D079E2">
              <w:rPr>
                <w:rFonts w:ascii="Calibri" w:hAnsi="Calibri" w:cs="Calibri"/>
                <w:color w:val="000000"/>
                <w:szCs w:val="28"/>
              </w:rPr>
              <w:t xml:space="preserve">158,706 </w:t>
            </w:r>
          </w:p>
        </w:tc>
        <w:tc>
          <w:tcPr>
            <w:tcW w:w="2876" w:type="dxa"/>
            <w:vAlign w:val="bottom"/>
          </w:tcPr>
          <w:p w14:paraId="7812859E" w14:textId="77777777" w:rsidR="002A0CBD" w:rsidRPr="00D079E2" w:rsidRDefault="002A0CBD" w:rsidP="001515D5">
            <w:pPr>
              <w:jc w:val="both"/>
              <w:rPr>
                <w:rFonts w:cstheme="minorHAnsi"/>
                <w:color w:val="000000"/>
                <w:szCs w:val="28"/>
              </w:rPr>
            </w:pPr>
            <w:r w:rsidRPr="00D079E2">
              <w:rPr>
                <w:rFonts w:ascii="Calibri" w:hAnsi="Calibri" w:cs="Calibri"/>
                <w:color w:val="000000"/>
                <w:szCs w:val="28"/>
              </w:rPr>
              <w:t xml:space="preserve">149,390 </w:t>
            </w:r>
          </w:p>
        </w:tc>
      </w:tr>
      <w:tr w:rsidR="002A0CBD" w:rsidRPr="00D079E2" w14:paraId="7A5DE63C" w14:textId="77777777" w:rsidTr="001515D5">
        <w:tc>
          <w:tcPr>
            <w:tcW w:w="3104" w:type="dxa"/>
            <w:vAlign w:val="bottom"/>
          </w:tcPr>
          <w:p w14:paraId="15873B37" w14:textId="77777777" w:rsidR="002A0CBD" w:rsidRPr="00D079E2" w:rsidRDefault="002A0CBD" w:rsidP="001515D5">
            <w:pPr>
              <w:jc w:val="both"/>
              <w:rPr>
                <w:rFonts w:cstheme="minorHAnsi"/>
                <w:szCs w:val="28"/>
              </w:rPr>
            </w:pPr>
            <w:r w:rsidRPr="00D079E2">
              <w:rPr>
                <w:rFonts w:ascii="Calibri" w:hAnsi="Calibri" w:cs="Calibri"/>
                <w:color w:val="000000"/>
                <w:szCs w:val="28"/>
              </w:rPr>
              <w:t>10 - 14</w:t>
            </w:r>
          </w:p>
        </w:tc>
        <w:tc>
          <w:tcPr>
            <w:tcW w:w="3370" w:type="dxa"/>
            <w:vAlign w:val="bottom"/>
          </w:tcPr>
          <w:p w14:paraId="7FF762DA" w14:textId="77777777" w:rsidR="002A0CBD" w:rsidRPr="00D079E2" w:rsidRDefault="002A0CBD" w:rsidP="001515D5">
            <w:pPr>
              <w:rPr>
                <w:rFonts w:cstheme="minorHAnsi"/>
                <w:szCs w:val="28"/>
              </w:rPr>
            </w:pPr>
            <w:r w:rsidRPr="00D079E2">
              <w:rPr>
                <w:rFonts w:ascii="Calibri" w:hAnsi="Calibri" w:cs="Calibri"/>
                <w:color w:val="000000"/>
                <w:szCs w:val="28"/>
              </w:rPr>
              <w:t xml:space="preserve">165,384 </w:t>
            </w:r>
          </w:p>
        </w:tc>
        <w:tc>
          <w:tcPr>
            <w:tcW w:w="2876" w:type="dxa"/>
            <w:vAlign w:val="bottom"/>
          </w:tcPr>
          <w:p w14:paraId="50983609" w14:textId="77777777" w:rsidR="002A0CBD" w:rsidRPr="00D079E2" w:rsidRDefault="002A0CBD" w:rsidP="001515D5">
            <w:pPr>
              <w:jc w:val="both"/>
              <w:rPr>
                <w:rFonts w:cstheme="minorHAnsi"/>
                <w:color w:val="000000"/>
                <w:szCs w:val="28"/>
              </w:rPr>
            </w:pPr>
            <w:r w:rsidRPr="00D079E2">
              <w:rPr>
                <w:rFonts w:ascii="Calibri" w:hAnsi="Calibri" w:cs="Calibri"/>
                <w:color w:val="000000"/>
                <w:szCs w:val="28"/>
              </w:rPr>
              <w:t xml:space="preserve">164,719 </w:t>
            </w:r>
          </w:p>
        </w:tc>
      </w:tr>
      <w:tr w:rsidR="002A0CBD" w:rsidRPr="00D079E2" w14:paraId="64BE687C" w14:textId="77777777" w:rsidTr="001515D5">
        <w:tc>
          <w:tcPr>
            <w:tcW w:w="3104" w:type="dxa"/>
            <w:vAlign w:val="bottom"/>
          </w:tcPr>
          <w:p w14:paraId="7F568C5F" w14:textId="77777777" w:rsidR="002A0CBD" w:rsidRPr="00D079E2" w:rsidRDefault="002A0CBD" w:rsidP="001515D5">
            <w:pPr>
              <w:jc w:val="both"/>
              <w:rPr>
                <w:rFonts w:cstheme="minorHAnsi"/>
                <w:szCs w:val="28"/>
              </w:rPr>
            </w:pPr>
            <w:r w:rsidRPr="00D079E2">
              <w:rPr>
                <w:rFonts w:ascii="Calibri" w:hAnsi="Calibri" w:cs="Calibri"/>
                <w:color w:val="000000"/>
                <w:szCs w:val="28"/>
              </w:rPr>
              <w:t>15 - 19</w:t>
            </w:r>
          </w:p>
        </w:tc>
        <w:tc>
          <w:tcPr>
            <w:tcW w:w="3370" w:type="dxa"/>
            <w:vAlign w:val="bottom"/>
          </w:tcPr>
          <w:p w14:paraId="36540D07" w14:textId="77777777" w:rsidR="002A0CBD" w:rsidRPr="00D079E2" w:rsidRDefault="002A0CBD" w:rsidP="001515D5">
            <w:pPr>
              <w:rPr>
                <w:rFonts w:cstheme="minorHAnsi"/>
                <w:szCs w:val="28"/>
              </w:rPr>
            </w:pPr>
            <w:r w:rsidRPr="00D079E2">
              <w:rPr>
                <w:rFonts w:ascii="Calibri" w:hAnsi="Calibri" w:cs="Calibri"/>
                <w:color w:val="000000"/>
                <w:szCs w:val="28"/>
              </w:rPr>
              <w:t xml:space="preserve">179,156 </w:t>
            </w:r>
          </w:p>
        </w:tc>
        <w:tc>
          <w:tcPr>
            <w:tcW w:w="2876" w:type="dxa"/>
            <w:vAlign w:val="bottom"/>
          </w:tcPr>
          <w:p w14:paraId="51848A67" w14:textId="77777777" w:rsidR="002A0CBD" w:rsidRPr="00D079E2" w:rsidRDefault="002A0CBD" w:rsidP="001515D5">
            <w:pPr>
              <w:jc w:val="both"/>
              <w:rPr>
                <w:rFonts w:cstheme="minorHAnsi"/>
                <w:color w:val="000000"/>
                <w:szCs w:val="28"/>
              </w:rPr>
            </w:pPr>
            <w:r w:rsidRPr="00D079E2">
              <w:rPr>
                <w:rFonts w:ascii="Calibri" w:hAnsi="Calibri" w:cs="Calibri"/>
                <w:color w:val="000000"/>
                <w:szCs w:val="28"/>
              </w:rPr>
              <w:t xml:space="preserve">172,678 </w:t>
            </w:r>
          </w:p>
        </w:tc>
      </w:tr>
      <w:tr w:rsidR="002A0CBD" w:rsidRPr="00D079E2" w14:paraId="40F24CEE" w14:textId="77777777" w:rsidTr="001515D5">
        <w:tc>
          <w:tcPr>
            <w:tcW w:w="3104" w:type="dxa"/>
            <w:vAlign w:val="bottom"/>
          </w:tcPr>
          <w:p w14:paraId="77BB396E" w14:textId="77777777" w:rsidR="002A0CBD" w:rsidRPr="00D079E2" w:rsidRDefault="002A0CBD" w:rsidP="001515D5">
            <w:pPr>
              <w:jc w:val="both"/>
              <w:rPr>
                <w:rFonts w:cstheme="minorHAnsi"/>
                <w:szCs w:val="28"/>
              </w:rPr>
            </w:pPr>
            <w:r w:rsidRPr="00D079E2">
              <w:rPr>
                <w:rFonts w:ascii="Calibri" w:hAnsi="Calibri" w:cs="Calibri"/>
                <w:color w:val="000000"/>
                <w:szCs w:val="28"/>
              </w:rPr>
              <w:t>20 - 24</w:t>
            </w:r>
          </w:p>
        </w:tc>
        <w:tc>
          <w:tcPr>
            <w:tcW w:w="3370" w:type="dxa"/>
            <w:vAlign w:val="bottom"/>
          </w:tcPr>
          <w:p w14:paraId="64972FBD" w14:textId="77777777" w:rsidR="002A0CBD" w:rsidRPr="00D079E2" w:rsidRDefault="002A0CBD" w:rsidP="001515D5">
            <w:pPr>
              <w:rPr>
                <w:rFonts w:cstheme="minorHAnsi"/>
                <w:szCs w:val="28"/>
              </w:rPr>
            </w:pPr>
            <w:r w:rsidRPr="00D079E2">
              <w:rPr>
                <w:rFonts w:ascii="Calibri" w:hAnsi="Calibri" w:cs="Calibri"/>
                <w:color w:val="000000"/>
                <w:szCs w:val="28"/>
              </w:rPr>
              <w:t xml:space="preserve">169,635 </w:t>
            </w:r>
          </w:p>
        </w:tc>
        <w:tc>
          <w:tcPr>
            <w:tcW w:w="2876" w:type="dxa"/>
            <w:vAlign w:val="bottom"/>
          </w:tcPr>
          <w:p w14:paraId="170F4C64" w14:textId="77777777" w:rsidR="002A0CBD" w:rsidRPr="00D079E2" w:rsidRDefault="002A0CBD" w:rsidP="001515D5">
            <w:pPr>
              <w:jc w:val="both"/>
              <w:rPr>
                <w:rFonts w:cstheme="minorHAnsi"/>
                <w:color w:val="000000"/>
                <w:szCs w:val="28"/>
              </w:rPr>
            </w:pPr>
            <w:r w:rsidRPr="00D079E2">
              <w:rPr>
                <w:rFonts w:ascii="Calibri" w:hAnsi="Calibri" w:cs="Calibri"/>
                <w:color w:val="000000"/>
                <w:szCs w:val="28"/>
              </w:rPr>
              <w:t xml:space="preserve">156,846 </w:t>
            </w:r>
          </w:p>
        </w:tc>
      </w:tr>
      <w:tr w:rsidR="002A0CBD" w:rsidRPr="00D079E2" w14:paraId="36D0B26A" w14:textId="77777777" w:rsidTr="001515D5">
        <w:tc>
          <w:tcPr>
            <w:tcW w:w="3104" w:type="dxa"/>
            <w:vAlign w:val="bottom"/>
          </w:tcPr>
          <w:p w14:paraId="2A7E0D92" w14:textId="77777777" w:rsidR="002A0CBD" w:rsidRPr="00D079E2" w:rsidRDefault="002A0CBD" w:rsidP="001515D5">
            <w:pPr>
              <w:jc w:val="both"/>
              <w:rPr>
                <w:rFonts w:cstheme="minorHAnsi"/>
                <w:szCs w:val="28"/>
              </w:rPr>
            </w:pPr>
            <w:r w:rsidRPr="00D079E2">
              <w:rPr>
                <w:rFonts w:ascii="Calibri" w:hAnsi="Calibri" w:cs="Calibri"/>
                <w:color w:val="000000"/>
                <w:szCs w:val="28"/>
              </w:rPr>
              <w:t>25 - 34</w:t>
            </w:r>
          </w:p>
        </w:tc>
        <w:tc>
          <w:tcPr>
            <w:tcW w:w="3370" w:type="dxa"/>
            <w:vAlign w:val="bottom"/>
          </w:tcPr>
          <w:p w14:paraId="40DB5BFA" w14:textId="77777777" w:rsidR="002A0CBD" w:rsidRPr="00D079E2" w:rsidRDefault="002A0CBD" w:rsidP="001515D5">
            <w:pPr>
              <w:rPr>
                <w:rFonts w:cstheme="minorHAnsi"/>
                <w:szCs w:val="28"/>
              </w:rPr>
            </w:pPr>
            <w:r w:rsidRPr="00D079E2">
              <w:rPr>
                <w:rFonts w:ascii="Calibri" w:hAnsi="Calibri" w:cs="Calibri"/>
                <w:color w:val="000000"/>
                <w:szCs w:val="28"/>
              </w:rPr>
              <w:t xml:space="preserve">323,032 </w:t>
            </w:r>
          </w:p>
        </w:tc>
        <w:tc>
          <w:tcPr>
            <w:tcW w:w="2876" w:type="dxa"/>
            <w:vAlign w:val="bottom"/>
          </w:tcPr>
          <w:p w14:paraId="3A6459AA" w14:textId="77777777" w:rsidR="002A0CBD" w:rsidRPr="00D079E2" w:rsidRDefault="002A0CBD" w:rsidP="001515D5">
            <w:pPr>
              <w:jc w:val="both"/>
              <w:rPr>
                <w:rFonts w:cstheme="minorHAnsi"/>
                <w:color w:val="000000"/>
                <w:szCs w:val="28"/>
              </w:rPr>
            </w:pPr>
            <w:r w:rsidRPr="00D079E2">
              <w:rPr>
                <w:rFonts w:ascii="Calibri" w:hAnsi="Calibri" w:cs="Calibri"/>
                <w:color w:val="000000"/>
                <w:szCs w:val="28"/>
              </w:rPr>
              <w:t xml:space="preserve">337,903 </w:t>
            </w:r>
          </w:p>
        </w:tc>
      </w:tr>
      <w:tr w:rsidR="002A0CBD" w:rsidRPr="00D079E2" w14:paraId="7071B7F2" w14:textId="77777777" w:rsidTr="001515D5">
        <w:tc>
          <w:tcPr>
            <w:tcW w:w="3104" w:type="dxa"/>
            <w:vAlign w:val="bottom"/>
          </w:tcPr>
          <w:p w14:paraId="7F59564F" w14:textId="77777777" w:rsidR="002A0CBD" w:rsidRPr="00D079E2" w:rsidRDefault="002A0CBD" w:rsidP="001515D5">
            <w:pPr>
              <w:jc w:val="both"/>
              <w:rPr>
                <w:rFonts w:cstheme="minorHAnsi"/>
                <w:szCs w:val="28"/>
              </w:rPr>
            </w:pPr>
            <w:r w:rsidRPr="00D079E2">
              <w:rPr>
                <w:rFonts w:ascii="Calibri" w:hAnsi="Calibri" w:cs="Calibri"/>
                <w:color w:val="000000"/>
                <w:szCs w:val="28"/>
              </w:rPr>
              <w:t>35 - 44</w:t>
            </w:r>
          </w:p>
        </w:tc>
        <w:tc>
          <w:tcPr>
            <w:tcW w:w="3370" w:type="dxa"/>
            <w:vAlign w:val="bottom"/>
          </w:tcPr>
          <w:p w14:paraId="215111AF" w14:textId="77777777" w:rsidR="002A0CBD" w:rsidRPr="00D079E2" w:rsidRDefault="002A0CBD" w:rsidP="001515D5">
            <w:pPr>
              <w:rPr>
                <w:rFonts w:cstheme="minorHAnsi"/>
                <w:szCs w:val="28"/>
              </w:rPr>
            </w:pPr>
            <w:r w:rsidRPr="00D079E2">
              <w:rPr>
                <w:rFonts w:ascii="Calibri" w:hAnsi="Calibri" w:cs="Calibri"/>
                <w:color w:val="000000"/>
                <w:szCs w:val="28"/>
              </w:rPr>
              <w:t xml:space="preserve">318,060 </w:t>
            </w:r>
          </w:p>
        </w:tc>
        <w:tc>
          <w:tcPr>
            <w:tcW w:w="2876" w:type="dxa"/>
            <w:vAlign w:val="bottom"/>
          </w:tcPr>
          <w:p w14:paraId="3E201927" w14:textId="77777777" w:rsidR="002A0CBD" w:rsidRPr="00D079E2" w:rsidRDefault="002A0CBD" w:rsidP="001515D5">
            <w:pPr>
              <w:jc w:val="both"/>
              <w:rPr>
                <w:rFonts w:cstheme="minorHAnsi"/>
                <w:color w:val="000000"/>
                <w:szCs w:val="28"/>
              </w:rPr>
            </w:pPr>
            <w:r w:rsidRPr="00D079E2">
              <w:rPr>
                <w:rFonts w:ascii="Calibri" w:hAnsi="Calibri" w:cs="Calibri"/>
                <w:color w:val="000000"/>
                <w:szCs w:val="28"/>
              </w:rPr>
              <w:t xml:space="preserve">333,208 </w:t>
            </w:r>
          </w:p>
        </w:tc>
      </w:tr>
      <w:tr w:rsidR="002A0CBD" w:rsidRPr="00D079E2" w14:paraId="7F86E60D" w14:textId="77777777" w:rsidTr="001515D5">
        <w:tc>
          <w:tcPr>
            <w:tcW w:w="3104" w:type="dxa"/>
            <w:vAlign w:val="bottom"/>
          </w:tcPr>
          <w:p w14:paraId="55AAA364" w14:textId="77777777" w:rsidR="002A0CBD" w:rsidRPr="00D079E2" w:rsidRDefault="002A0CBD" w:rsidP="001515D5">
            <w:pPr>
              <w:jc w:val="both"/>
              <w:rPr>
                <w:rFonts w:cstheme="minorHAnsi"/>
                <w:szCs w:val="28"/>
              </w:rPr>
            </w:pPr>
            <w:r w:rsidRPr="00D079E2">
              <w:rPr>
                <w:rFonts w:ascii="Calibri" w:hAnsi="Calibri" w:cs="Calibri"/>
                <w:color w:val="000000"/>
                <w:szCs w:val="28"/>
              </w:rPr>
              <w:t>45 - 54</w:t>
            </w:r>
          </w:p>
        </w:tc>
        <w:tc>
          <w:tcPr>
            <w:tcW w:w="3370" w:type="dxa"/>
            <w:vAlign w:val="bottom"/>
          </w:tcPr>
          <w:p w14:paraId="0E4B2380" w14:textId="77777777" w:rsidR="002A0CBD" w:rsidRPr="00D079E2" w:rsidRDefault="002A0CBD" w:rsidP="001515D5">
            <w:pPr>
              <w:rPr>
                <w:rFonts w:cstheme="minorHAnsi"/>
                <w:szCs w:val="28"/>
              </w:rPr>
            </w:pPr>
            <w:r w:rsidRPr="00D079E2">
              <w:rPr>
                <w:rFonts w:ascii="Calibri" w:hAnsi="Calibri" w:cs="Calibri"/>
                <w:color w:val="000000"/>
                <w:szCs w:val="28"/>
              </w:rPr>
              <w:t xml:space="preserve">302,941 </w:t>
            </w:r>
          </w:p>
        </w:tc>
        <w:tc>
          <w:tcPr>
            <w:tcW w:w="2876" w:type="dxa"/>
            <w:vAlign w:val="bottom"/>
          </w:tcPr>
          <w:p w14:paraId="739D95C0" w14:textId="77777777" w:rsidR="002A0CBD" w:rsidRPr="00D079E2" w:rsidRDefault="002A0CBD" w:rsidP="001515D5">
            <w:pPr>
              <w:jc w:val="both"/>
              <w:rPr>
                <w:rFonts w:cstheme="minorHAnsi"/>
                <w:color w:val="000000"/>
                <w:szCs w:val="28"/>
              </w:rPr>
            </w:pPr>
            <w:r w:rsidRPr="00D079E2">
              <w:rPr>
                <w:rFonts w:ascii="Calibri" w:hAnsi="Calibri" w:cs="Calibri"/>
                <w:color w:val="000000"/>
                <w:szCs w:val="28"/>
              </w:rPr>
              <w:t xml:space="preserve">320,103 </w:t>
            </w:r>
          </w:p>
        </w:tc>
      </w:tr>
      <w:tr w:rsidR="002A0CBD" w:rsidRPr="00D079E2" w14:paraId="5EEE8983" w14:textId="77777777" w:rsidTr="001515D5">
        <w:tc>
          <w:tcPr>
            <w:tcW w:w="3104" w:type="dxa"/>
            <w:vAlign w:val="bottom"/>
          </w:tcPr>
          <w:p w14:paraId="753471F0" w14:textId="77777777" w:rsidR="002A0CBD" w:rsidRPr="00D079E2" w:rsidRDefault="002A0CBD" w:rsidP="001515D5">
            <w:pPr>
              <w:jc w:val="both"/>
              <w:rPr>
                <w:rFonts w:cstheme="minorHAnsi"/>
                <w:szCs w:val="28"/>
              </w:rPr>
            </w:pPr>
            <w:r w:rsidRPr="00D079E2">
              <w:rPr>
                <w:rFonts w:ascii="Calibri" w:hAnsi="Calibri" w:cs="Calibri"/>
                <w:color w:val="000000"/>
                <w:szCs w:val="28"/>
              </w:rPr>
              <w:t>55 - 64</w:t>
            </w:r>
          </w:p>
        </w:tc>
        <w:tc>
          <w:tcPr>
            <w:tcW w:w="3370" w:type="dxa"/>
            <w:vAlign w:val="bottom"/>
          </w:tcPr>
          <w:p w14:paraId="7803EFB5" w14:textId="77777777" w:rsidR="002A0CBD" w:rsidRPr="00D079E2" w:rsidRDefault="002A0CBD" w:rsidP="001515D5">
            <w:pPr>
              <w:rPr>
                <w:rFonts w:cstheme="minorHAnsi"/>
                <w:szCs w:val="28"/>
              </w:rPr>
            </w:pPr>
            <w:r w:rsidRPr="00D079E2">
              <w:rPr>
                <w:rFonts w:ascii="Calibri" w:hAnsi="Calibri" w:cs="Calibri"/>
                <w:color w:val="000000"/>
                <w:szCs w:val="28"/>
              </w:rPr>
              <w:t xml:space="preserve">329,804 </w:t>
            </w:r>
          </w:p>
        </w:tc>
        <w:tc>
          <w:tcPr>
            <w:tcW w:w="2876" w:type="dxa"/>
            <w:vAlign w:val="bottom"/>
          </w:tcPr>
          <w:p w14:paraId="4A0FE5C5" w14:textId="77777777" w:rsidR="002A0CBD" w:rsidRPr="00D079E2" w:rsidRDefault="002A0CBD" w:rsidP="001515D5">
            <w:pPr>
              <w:jc w:val="both"/>
              <w:rPr>
                <w:rFonts w:cstheme="minorHAnsi"/>
                <w:color w:val="000000"/>
                <w:szCs w:val="28"/>
              </w:rPr>
            </w:pPr>
            <w:r w:rsidRPr="00D079E2">
              <w:rPr>
                <w:rFonts w:ascii="Calibri" w:hAnsi="Calibri" w:cs="Calibri"/>
                <w:color w:val="000000"/>
                <w:szCs w:val="28"/>
              </w:rPr>
              <w:t xml:space="preserve">366,124 </w:t>
            </w:r>
          </w:p>
        </w:tc>
      </w:tr>
      <w:tr w:rsidR="002A0CBD" w:rsidRPr="00D079E2" w14:paraId="3C64B40B" w14:textId="77777777" w:rsidTr="001515D5">
        <w:tc>
          <w:tcPr>
            <w:tcW w:w="3104" w:type="dxa"/>
            <w:vAlign w:val="bottom"/>
          </w:tcPr>
          <w:p w14:paraId="001E435B" w14:textId="77777777" w:rsidR="002A0CBD" w:rsidRPr="00D079E2" w:rsidRDefault="002A0CBD" w:rsidP="001515D5">
            <w:pPr>
              <w:jc w:val="both"/>
              <w:rPr>
                <w:rFonts w:cstheme="minorHAnsi"/>
                <w:szCs w:val="28"/>
              </w:rPr>
            </w:pPr>
            <w:r w:rsidRPr="00D079E2">
              <w:rPr>
                <w:rFonts w:ascii="Calibri" w:hAnsi="Calibri" w:cs="Calibri"/>
                <w:color w:val="000000"/>
                <w:szCs w:val="28"/>
              </w:rPr>
              <w:t>65 - 74</w:t>
            </w:r>
          </w:p>
        </w:tc>
        <w:tc>
          <w:tcPr>
            <w:tcW w:w="3370" w:type="dxa"/>
            <w:vAlign w:val="bottom"/>
          </w:tcPr>
          <w:p w14:paraId="240AA897" w14:textId="77777777" w:rsidR="002A0CBD" w:rsidRPr="00D079E2" w:rsidRDefault="002A0CBD" w:rsidP="001515D5">
            <w:pPr>
              <w:rPr>
                <w:rFonts w:cstheme="minorHAnsi"/>
                <w:szCs w:val="28"/>
              </w:rPr>
            </w:pPr>
            <w:r w:rsidRPr="00D079E2">
              <w:rPr>
                <w:rFonts w:ascii="Calibri" w:hAnsi="Calibri" w:cs="Calibri"/>
                <w:color w:val="000000"/>
                <w:szCs w:val="28"/>
              </w:rPr>
              <w:t xml:space="preserve">280,868 </w:t>
            </w:r>
          </w:p>
        </w:tc>
        <w:tc>
          <w:tcPr>
            <w:tcW w:w="2876" w:type="dxa"/>
            <w:vAlign w:val="bottom"/>
          </w:tcPr>
          <w:p w14:paraId="47F27AFA" w14:textId="77777777" w:rsidR="002A0CBD" w:rsidRPr="00D079E2" w:rsidRDefault="002A0CBD" w:rsidP="001515D5">
            <w:pPr>
              <w:jc w:val="both"/>
              <w:rPr>
                <w:rFonts w:cstheme="minorHAnsi"/>
                <w:color w:val="000000"/>
                <w:szCs w:val="28"/>
              </w:rPr>
            </w:pPr>
            <w:r w:rsidRPr="00D079E2">
              <w:rPr>
                <w:rFonts w:ascii="Calibri" w:hAnsi="Calibri" w:cs="Calibri"/>
                <w:color w:val="000000"/>
                <w:szCs w:val="28"/>
              </w:rPr>
              <w:t xml:space="preserve">325,684 </w:t>
            </w:r>
          </w:p>
        </w:tc>
      </w:tr>
      <w:tr w:rsidR="002A0CBD" w:rsidRPr="00D079E2" w14:paraId="6F552725" w14:textId="77777777" w:rsidTr="001515D5">
        <w:tc>
          <w:tcPr>
            <w:tcW w:w="3104" w:type="dxa"/>
            <w:vAlign w:val="bottom"/>
          </w:tcPr>
          <w:p w14:paraId="7E5BE10F" w14:textId="77777777" w:rsidR="002A0CBD" w:rsidRPr="00D079E2" w:rsidRDefault="002A0CBD" w:rsidP="001515D5">
            <w:pPr>
              <w:jc w:val="both"/>
              <w:rPr>
                <w:rFonts w:cstheme="minorHAnsi"/>
                <w:szCs w:val="28"/>
              </w:rPr>
            </w:pPr>
            <w:r w:rsidRPr="00D079E2">
              <w:rPr>
                <w:rFonts w:ascii="Calibri" w:hAnsi="Calibri" w:cs="Calibri"/>
                <w:color w:val="000000"/>
                <w:szCs w:val="28"/>
              </w:rPr>
              <w:t>75 - 84</w:t>
            </w:r>
          </w:p>
        </w:tc>
        <w:tc>
          <w:tcPr>
            <w:tcW w:w="3370" w:type="dxa"/>
            <w:vAlign w:val="bottom"/>
          </w:tcPr>
          <w:p w14:paraId="25D5FF33" w14:textId="77777777" w:rsidR="002A0CBD" w:rsidRPr="00D079E2" w:rsidRDefault="002A0CBD" w:rsidP="001515D5">
            <w:pPr>
              <w:rPr>
                <w:rFonts w:cstheme="minorHAnsi"/>
                <w:szCs w:val="28"/>
              </w:rPr>
            </w:pPr>
            <w:r w:rsidRPr="00D079E2">
              <w:rPr>
                <w:rFonts w:ascii="Calibri" w:hAnsi="Calibri" w:cs="Calibri"/>
                <w:color w:val="000000"/>
                <w:szCs w:val="28"/>
              </w:rPr>
              <w:t xml:space="preserve">123,466 </w:t>
            </w:r>
          </w:p>
        </w:tc>
        <w:tc>
          <w:tcPr>
            <w:tcW w:w="2876" w:type="dxa"/>
            <w:vAlign w:val="bottom"/>
          </w:tcPr>
          <w:p w14:paraId="1DAC2005" w14:textId="77777777" w:rsidR="002A0CBD" w:rsidRPr="00D079E2" w:rsidRDefault="002A0CBD" w:rsidP="001515D5">
            <w:pPr>
              <w:jc w:val="both"/>
              <w:rPr>
                <w:rFonts w:cstheme="minorHAnsi"/>
                <w:color w:val="000000"/>
                <w:szCs w:val="28"/>
              </w:rPr>
            </w:pPr>
            <w:r w:rsidRPr="00D079E2">
              <w:rPr>
                <w:rFonts w:ascii="Calibri" w:hAnsi="Calibri" w:cs="Calibri"/>
                <w:color w:val="000000"/>
                <w:szCs w:val="28"/>
              </w:rPr>
              <w:t xml:space="preserve">152,777 </w:t>
            </w:r>
          </w:p>
        </w:tc>
      </w:tr>
      <w:tr w:rsidR="002A0CBD" w:rsidRPr="00D079E2" w14:paraId="2131969B" w14:textId="77777777" w:rsidTr="001515D5">
        <w:tc>
          <w:tcPr>
            <w:tcW w:w="3104" w:type="dxa"/>
            <w:vAlign w:val="bottom"/>
          </w:tcPr>
          <w:p w14:paraId="30CBB3A6" w14:textId="77777777" w:rsidR="002A0CBD" w:rsidRPr="00D079E2" w:rsidRDefault="002A0CBD" w:rsidP="001515D5">
            <w:pPr>
              <w:jc w:val="both"/>
              <w:rPr>
                <w:rFonts w:cstheme="minorHAnsi"/>
                <w:szCs w:val="28"/>
              </w:rPr>
            </w:pPr>
            <w:r w:rsidRPr="00D079E2">
              <w:rPr>
                <w:rFonts w:ascii="Calibri" w:hAnsi="Calibri" w:cs="Calibri"/>
                <w:color w:val="000000"/>
                <w:szCs w:val="28"/>
              </w:rPr>
              <w:t>85+</w:t>
            </w:r>
          </w:p>
        </w:tc>
        <w:tc>
          <w:tcPr>
            <w:tcW w:w="3370" w:type="dxa"/>
            <w:vAlign w:val="bottom"/>
          </w:tcPr>
          <w:p w14:paraId="11B7AEDD" w14:textId="77777777" w:rsidR="002A0CBD" w:rsidRPr="00D079E2" w:rsidRDefault="002A0CBD" w:rsidP="001515D5">
            <w:pPr>
              <w:rPr>
                <w:rFonts w:cstheme="minorHAnsi"/>
                <w:szCs w:val="28"/>
              </w:rPr>
            </w:pPr>
            <w:r w:rsidRPr="00D079E2">
              <w:rPr>
                <w:rFonts w:ascii="Calibri" w:hAnsi="Calibri" w:cs="Calibri"/>
                <w:color w:val="000000"/>
                <w:szCs w:val="28"/>
              </w:rPr>
              <w:t xml:space="preserve">29,613 </w:t>
            </w:r>
          </w:p>
        </w:tc>
        <w:tc>
          <w:tcPr>
            <w:tcW w:w="2876" w:type="dxa"/>
            <w:vAlign w:val="bottom"/>
          </w:tcPr>
          <w:p w14:paraId="4EBC19AB" w14:textId="77777777" w:rsidR="002A0CBD" w:rsidRPr="00D079E2" w:rsidRDefault="002A0CBD" w:rsidP="001515D5">
            <w:pPr>
              <w:jc w:val="both"/>
              <w:rPr>
                <w:rFonts w:cstheme="minorHAnsi"/>
                <w:color w:val="000000"/>
                <w:szCs w:val="28"/>
              </w:rPr>
            </w:pPr>
            <w:r w:rsidRPr="00D079E2">
              <w:rPr>
                <w:rFonts w:ascii="Calibri" w:hAnsi="Calibri" w:cs="Calibri"/>
                <w:color w:val="000000"/>
                <w:szCs w:val="28"/>
              </w:rPr>
              <w:t xml:space="preserve">54,815 </w:t>
            </w:r>
          </w:p>
        </w:tc>
      </w:tr>
    </w:tbl>
    <w:p w14:paraId="7584AB9D" w14:textId="77777777" w:rsidR="002A0CBD" w:rsidRDefault="002A0CBD" w:rsidP="00722CE9">
      <w:pPr>
        <w:rPr>
          <w:rFonts w:cstheme="minorHAnsi"/>
          <w:szCs w:val="28"/>
        </w:rPr>
      </w:pPr>
      <w:r w:rsidRPr="00D079E2">
        <w:rPr>
          <w:rFonts w:cstheme="minorHAnsi"/>
          <w:szCs w:val="28"/>
        </w:rPr>
        <w:t xml:space="preserve">Source: US Census Bureau ACS, 2021. </w:t>
      </w:r>
    </w:p>
    <w:p w14:paraId="690FDA90" w14:textId="6F4642FC" w:rsidR="00722CE9" w:rsidRDefault="002A0CBD" w:rsidP="00722CE9">
      <w:r w:rsidRPr="00D079E2">
        <w:rPr>
          <w:rFonts w:cstheme="minorHAnsi"/>
          <w:szCs w:val="28"/>
        </w:rPr>
        <w:t xml:space="preserve">Note: </w:t>
      </w:r>
      <w:r>
        <w:rPr>
          <w:rFonts w:cstheme="minorHAnsi"/>
          <w:szCs w:val="28"/>
        </w:rPr>
        <w:t>1-</w:t>
      </w:r>
      <w:r w:rsidRPr="00D079E2">
        <w:rPr>
          <w:rFonts w:cstheme="minorHAnsi"/>
          <w:szCs w:val="28"/>
        </w:rPr>
        <w:t>year estimates.</w:t>
      </w:r>
    </w:p>
    <w:p w14:paraId="4403EC90" w14:textId="10970040" w:rsidR="00722CE9" w:rsidRDefault="00722CE9" w:rsidP="00722CE9">
      <w:pPr>
        <w:pStyle w:val="Heading3"/>
      </w:pPr>
      <w:bookmarkStart w:id="77" w:name="_Toc162267037"/>
      <w:r>
        <w:lastRenderedPageBreak/>
        <w:t>Race and Ethnicity</w:t>
      </w:r>
      <w:bookmarkEnd w:id="77"/>
    </w:p>
    <w:p w14:paraId="758B61B1" w14:textId="77777777" w:rsidR="00722CE9" w:rsidRPr="00722CE9" w:rsidRDefault="00722CE9" w:rsidP="00722CE9">
      <w:r w:rsidRPr="00722CE9">
        <w:t>The three largest racial and ethnic groups in SC in 2021 were non-Hispanic Whites (3.2 million residents, 62.6%), non-Hispanic Blacks (1.3 million residents, 24.9%), and Hispanics (329,424 residents, 6.4%) (</w:t>
      </w:r>
      <w:r w:rsidRPr="00722CE9">
        <w:rPr>
          <w:b/>
          <w:bCs/>
        </w:rPr>
        <w:t>Figure 4.4</w:t>
      </w:r>
      <w:r w:rsidRPr="00722CE9">
        <w:t xml:space="preserve">). From 2010 to 2021, SC has seen a decrease in non-Hispanic White and non-Hispanic Black population groups and an increase in Hispanic and people with two or more races. </w:t>
      </w:r>
    </w:p>
    <w:p w14:paraId="7F2FB1C7" w14:textId="77777777" w:rsidR="00722CE9" w:rsidRPr="00722CE9" w:rsidRDefault="00722CE9" w:rsidP="00722CE9">
      <w:r w:rsidRPr="00722CE9">
        <w:t>Of the 329,424 Hispanic residents of SC during 2021, 50.2% were of Mexican origin (</w:t>
      </w:r>
      <w:r w:rsidRPr="00722CE9">
        <w:rPr>
          <w:b/>
          <w:bCs/>
        </w:rPr>
        <w:t>Figure 4.5</w:t>
      </w:r>
      <w:r w:rsidRPr="00722CE9">
        <w:t xml:space="preserve">). Hispanics from Puerto Rico comprised 12.2%, followed by Honduras (6.2%), Colombia (5.1%), and Guatemala (4.9%). SC residents from other Spanish-speaking countries made up 14.5% of the Hispanic population. </w:t>
      </w:r>
    </w:p>
    <w:p w14:paraId="7BA2CD90" w14:textId="77777777" w:rsidR="00722CE9" w:rsidRDefault="00722CE9" w:rsidP="00722CE9"/>
    <w:p w14:paraId="17E3442A" w14:textId="77777777" w:rsidR="002A0CBD" w:rsidRPr="00555D13" w:rsidRDefault="002A0CBD" w:rsidP="002A0CBD">
      <w:pPr>
        <w:pStyle w:val="Heading4"/>
      </w:pPr>
      <w:bookmarkStart w:id="78" w:name="_Toc154569766"/>
      <w:bookmarkStart w:id="79" w:name="_Toc162267038"/>
      <w:r w:rsidRPr="00555D13">
        <w:t>Figure 4.4: Racial/Ethnic Breakdown of South Carolina Population</w:t>
      </w:r>
      <w:r>
        <w:t>.</w:t>
      </w:r>
      <w:bookmarkEnd w:id="78"/>
      <w:bookmarkEnd w:id="79"/>
    </w:p>
    <w:tbl>
      <w:tblPr>
        <w:tblStyle w:val="TableGrid"/>
        <w:tblW w:w="9355" w:type="dxa"/>
        <w:tblLook w:val="04A0" w:firstRow="1" w:lastRow="0" w:firstColumn="1" w:lastColumn="0" w:noHBand="0" w:noVBand="1"/>
      </w:tblPr>
      <w:tblGrid>
        <w:gridCol w:w="3370"/>
        <w:gridCol w:w="5985"/>
      </w:tblGrid>
      <w:tr w:rsidR="002A0CBD" w:rsidRPr="00D079E2" w14:paraId="6BF5022E" w14:textId="77777777" w:rsidTr="001515D5">
        <w:tc>
          <w:tcPr>
            <w:tcW w:w="3370" w:type="dxa"/>
            <w:vAlign w:val="bottom"/>
          </w:tcPr>
          <w:p w14:paraId="04BACB9D" w14:textId="77777777" w:rsidR="002A0CBD" w:rsidRPr="00D079E2" w:rsidRDefault="002A0CBD" w:rsidP="001515D5">
            <w:pPr>
              <w:rPr>
                <w:rFonts w:cstheme="minorHAnsi"/>
                <w:szCs w:val="28"/>
              </w:rPr>
            </w:pPr>
            <w:r>
              <w:t>Race/Ethnicity</w:t>
            </w:r>
          </w:p>
        </w:tc>
        <w:tc>
          <w:tcPr>
            <w:tcW w:w="5985" w:type="dxa"/>
            <w:vAlign w:val="bottom"/>
          </w:tcPr>
          <w:p w14:paraId="0D21FD09" w14:textId="77777777" w:rsidR="002A0CBD" w:rsidRPr="00D079E2" w:rsidRDefault="002A0CBD" w:rsidP="001515D5">
            <w:pPr>
              <w:rPr>
                <w:rFonts w:cstheme="minorHAnsi"/>
                <w:szCs w:val="28"/>
              </w:rPr>
            </w:pPr>
            <w:r>
              <w:t>Number</w:t>
            </w:r>
          </w:p>
        </w:tc>
      </w:tr>
      <w:tr w:rsidR="002A0CBD" w:rsidRPr="00D079E2" w14:paraId="75DC41FD" w14:textId="77777777" w:rsidTr="001515D5">
        <w:tc>
          <w:tcPr>
            <w:tcW w:w="3370" w:type="dxa"/>
            <w:vAlign w:val="bottom"/>
          </w:tcPr>
          <w:p w14:paraId="31619C97" w14:textId="77777777" w:rsidR="002A0CBD" w:rsidRPr="00D079E2" w:rsidRDefault="002A0CBD" w:rsidP="001515D5">
            <w:pPr>
              <w:rPr>
                <w:rFonts w:cstheme="minorHAnsi"/>
                <w:szCs w:val="28"/>
              </w:rPr>
            </w:pPr>
            <w:r>
              <w:t>Non-Hispanic White</w:t>
            </w:r>
          </w:p>
        </w:tc>
        <w:tc>
          <w:tcPr>
            <w:tcW w:w="5985" w:type="dxa"/>
            <w:vAlign w:val="bottom"/>
          </w:tcPr>
          <w:p w14:paraId="08C12CB1" w14:textId="77777777" w:rsidR="002A0CBD" w:rsidRPr="00D079E2" w:rsidRDefault="002A0CBD" w:rsidP="001515D5">
            <w:pPr>
              <w:rPr>
                <w:rFonts w:cstheme="minorHAnsi"/>
                <w:szCs w:val="28"/>
              </w:rPr>
            </w:pPr>
            <w:r>
              <w:t>3,249,208</w:t>
            </w:r>
          </w:p>
        </w:tc>
      </w:tr>
      <w:tr w:rsidR="002A0CBD" w:rsidRPr="00D079E2" w14:paraId="6E1CB168" w14:textId="77777777" w:rsidTr="001515D5">
        <w:tc>
          <w:tcPr>
            <w:tcW w:w="3370" w:type="dxa"/>
            <w:vAlign w:val="bottom"/>
          </w:tcPr>
          <w:p w14:paraId="1DDC6FE3" w14:textId="77777777" w:rsidR="002A0CBD" w:rsidRPr="00D079E2" w:rsidRDefault="002A0CBD" w:rsidP="001515D5">
            <w:pPr>
              <w:rPr>
                <w:rFonts w:cstheme="minorHAnsi"/>
                <w:szCs w:val="28"/>
              </w:rPr>
            </w:pPr>
            <w:r>
              <w:t>Non-Hispanic Black</w:t>
            </w:r>
          </w:p>
        </w:tc>
        <w:tc>
          <w:tcPr>
            <w:tcW w:w="5985" w:type="dxa"/>
            <w:vAlign w:val="bottom"/>
          </w:tcPr>
          <w:p w14:paraId="2CBD1D60" w14:textId="77777777" w:rsidR="002A0CBD" w:rsidRPr="00D079E2" w:rsidRDefault="002A0CBD" w:rsidP="001515D5">
            <w:pPr>
              <w:rPr>
                <w:rFonts w:cstheme="minorHAnsi"/>
                <w:szCs w:val="28"/>
              </w:rPr>
            </w:pPr>
            <w:r>
              <w:t>1,291,548</w:t>
            </w:r>
          </w:p>
        </w:tc>
      </w:tr>
      <w:tr w:rsidR="002A0CBD" w:rsidRPr="00D079E2" w14:paraId="03430919" w14:textId="77777777" w:rsidTr="001515D5">
        <w:tc>
          <w:tcPr>
            <w:tcW w:w="3370" w:type="dxa"/>
            <w:vAlign w:val="bottom"/>
          </w:tcPr>
          <w:p w14:paraId="5DCED233" w14:textId="77777777" w:rsidR="002A0CBD" w:rsidRPr="00D079E2" w:rsidRDefault="002A0CBD" w:rsidP="001515D5">
            <w:pPr>
              <w:rPr>
                <w:rFonts w:cstheme="minorHAnsi"/>
                <w:szCs w:val="28"/>
              </w:rPr>
            </w:pPr>
            <w:r>
              <w:t>Hispanic</w:t>
            </w:r>
          </w:p>
        </w:tc>
        <w:tc>
          <w:tcPr>
            <w:tcW w:w="5985" w:type="dxa"/>
            <w:vAlign w:val="bottom"/>
          </w:tcPr>
          <w:p w14:paraId="6262CC43" w14:textId="77777777" w:rsidR="002A0CBD" w:rsidRPr="00D079E2" w:rsidRDefault="002A0CBD" w:rsidP="001515D5">
            <w:pPr>
              <w:rPr>
                <w:rFonts w:cstheme="minorHAnsi"/>
                <w:szCs w:val="28"/>
              </w:rPr>
            </w:pPr>
            <w:r>
              <w:t>329,424</w:t>
            </w:r>
          </w:p>
        </w:tc>
      </w:tr>
      <w:tr w:rsidR="002A0CBD" w:rsidRPr="00D079E2" w14:paraId="15038BA2" w14:textId="77777777" w:rsidTr="001515D5">
        <w:tc>
          <w:tcPr>
            <w:tcW w:w="3370" w:type="dxa"/>
            <w:vAlign w:val="bottom"/>
          </w:tcPr>
          <w:p w14:paraId="3DC0C6FE" w14:textId="77777777" w:rsidR="002A0CBD" w:rsidRPr="00D079E2" w:rsidRDefault="002A0CBD" w:rsidP="001515D5">
            <w:pPr>
              <w:rPr>
                <w:rFonts w:cstheme="minorHAnsi"/>
                <w:szCs w:val="28"/>
              </w:rPr>
            </w:pPr>
            <w:r>
              <w:t>Two or more races</w:t>
            </w:r>
          </w:p>
        </w:tc>
        <w:tc>
          <w:tcPr>
            <w:tcW w:w="5985" w:type="dxa"/>
            <w:vAlign w:val="bottom"/>
          </w:tcPr>
          <w:p w14:paraId="279EDFFC" w14:textId="77777777" w:rsidR="002A0CBD" w:rsidRPr="00D079E2" w:rsidRDefault="002A0CBD" w:rsidP="001515D5">
            <w:pPr>
              <w:rPr>
                <w:rFonts w:cstheme="minorHAnsi"/>
                <w:szCs w:val="28"/>
              </w:rPr>
            </w:pPr>
            <w:r>
              <w:t>201,687</w:t>
            </w:r>
          </w:p>
        </w:tc>
      </w:tr>
      <w:tr w:rsidR="002A0CBD" w:rsidRPr="00D079E2" w14:paraId="5892ED5E" w14:textId="77777777" w:rsidTr="001515D5">
        <w:tc>
          <w:tcPr>
            <w:tcW w:w="3370" w:type="dxa"/>
            <w:vAlign w:val="bottom"/>
          </w:tcPr>
          <w:p w14:paraId="44108B76" w14:textId="77777777" w:rsidR="002A0CBD" w:rsidRPr="00D079E2" w:rsidRDefault="002A0CBD" w:rsidP="001515D5">
            <w:pPr>
              <w:rPr>
                <w:rFonts w:cstheme="minorHAnsi"/>
                <w:szCs w:val="28"/>
              </w:rPr>
            </w:pPr>
            <w:r>
              <w:t>Non-Hispanic Asian</w:t>
            </w:r>
          </w:p>
        </w:tc>
        <w:tc>
          <w:tcPr>
            <w:tcW w:w="5985" w:type="dxa"/>
            <w:vAlign w:val="bottom"/>
          </w:tcPr>
          <w:p w14:paraId="49C2FDE4" w14:textId="77777777" w:rsidR="002A0CBD" w:rsidRPr="00D079E2" w:rsidRDefault="002A0CBD" w:rsidP="001515D5">
            <w:pPr>
              <w:rPr>
                <w:rFonts w:cstheme="minorHAnsi"/>
                <w:szCs w:val="28"/>
              </w:rPr>
            </w:pPr>
            <w:r>
              <w:t>83,805</w:t>
            </w:r>
          </w:p>
        </w:tc>
      </w:tr>
      <w:tr w:rsidR="002A0CBD" w:rsidRPr="00D079E2" w14:paraId="35793721" w14:textId="77777777" w:rsidTr="001515D5">
        <w:tc>
          <w:tcPr>
            <w:tcW w:w="3370" w:type="dxa"/>
            <w:vAlign w:val="bottom"/>
          </w:tcPr>
          <w:p w14:paraId="17A90B50" w14:textId="77777777" w:rsidR="002A0CBD" w:rsidRPr="00D079E2" w:rsidRDefault="002A0CBD" w:rsidP="001515D5">
            <w:pPr>
              <w:rPr>
                <w:rFonts w:cstheme="minorHAnsi"/>
                <w:szCs w:val="28"/>
              </w:rPr>
            </w:pPr>
            <w:r>
              <w:t>Non-Hispanic Other</w:t>
            </w:r>
          </w:p>
        </w:tc>
        <w:tc>
          <w:tcPr>
            <w:tcW w:w="5985" w:type="dxa"/>
            <w:vAlign w:val="bottom"/>
          </w:tcPr>
          <w:p w14:paraId="4B23BF93" w14:textId="77777777" w:rsidR="002A0CBD" w:rsidRPr="00D079E2" w:rsidRDefault="002A0CBD" w:rsidP="001515D5">
            <w:pPr>
              <w:rPr>
                <w:rFonts w:cstheme="minorHAnsi"/>
                <w:szCs w:val="28"/>
              </w:rPr>
            </w:pPr>
            <w:r>
              <w:t>21,694</w:t>
            </w:r>
          </w:p>
        </w:tc>
      </w:tr>
      <w:tr w:rsidR="002A0CBD" w:rsidRPr="00D079E2" w14:paraId="04CB2D55" w14:textId="77777777" w:rsidTr="001515D5">
        <w:tc>
          <w:tcPr>
            <w:tcW w:w="3370" w:type="dxa"/>
            <w:vAlign w:val="bottom"/>
          </w:tcPr>
          <w:p w14:paraId="0644C6D5" w14:textId="77777777" w:rsidR="002A0CBD" w:rsidRPr="00D079E2" w:rsidRDefault="002A0CBD" w:rsidP="001515D5">
            <w:pPr>
              <w:rPr>
                <w:rFonts w:cstheme="minorHAnsi"/>
                <w:szCs w:val="28"/>
              </w:rPr>
            </w:pPr>
            <w:r>
              <w:t>Non-Hispanic American Indian and Alaskan Native</w:t>
            </w:r>
          </w:p>
        </w:tc>
        <w:tc>
          <w:tcPr>
            <w:tcW w:w="5985" w:type="dxa"/>
            <w:vAlign w:val="bottom"/>
          </w:tcPr>
          <w:p w14:paraId="178C84B1" w14:textId="77777777" w:rsidR="002A0CBD" w:rsidRPr="00D079E2" w:rsidRDefault="002A0CBD" w:rsidP="001515D5">
            <w:pPr>
              <w:rPr>
                <w:rFonts w:cstheme="minorHAnsi"/>
                <w:szCs w:val="28"/>
              </w:rPr>
            </w:pPr>
            <w:r>
              <w:t>11,427</w:t>
            </w:r>
          </w:p>
        </w:tc>
      </w:tr>
      <w:tr w:rsidR="002A0CBD" w:rsidRPr="00D079E2" w14:paraId="2523B746" w14:textId="77777777" w:rsidTr="001515D5">
        <w:tc>
          <w:tcPr>
            <w:tcW w:w="3370" w:type="dxa"/>
            <w:vAlign w:val="bottom"/>
          </w:tcPr>
          <w:p w14:paraId="0196BDBF" w14:textId="77777777" w:rsidR="002A0CBD" w:rsidRPr="00D079E2" w:rsidRDefault="002A0CBD" w:rsidP="001515D5">
            <w:pPr>
              <w:rPr>
                <w:rFonts w:cstheme="minorHAnsi"/>
                <w:szCs w:val="28"/>
              </w:rPr>
            </w:pPr>
            <w:r>
              <w:t>Non-Hispanic Native Hawaiian and Pacific Islander</w:t>
            </w:r>
          </w:p>
        </w:tc>
        <w:tc>
          <w:tcPr>
            <w:tcW w:w="5985" w:type="dxa"/>
            <w:vAlign w:val="bottom"/>
          </w:tcPr>
          <w:p w14:paraId="0EF9EDC7" w14:textId="77777777" w:rsidR="002A0CBD" w:rsidRPr="00D079E2" w:rsidRDefault="002A0CBD" w:rsidP="001515D5">
            <w:pPr>
              <w:rPr>
                <w:rFonts w:cstheme="minorHAnsi"/>
                <w:szCs w:val="28"/>
              </w:rPr>
            </w:pPr>
            <w:r>
              <w:t>1,912</w:t>
            </w:r>
          </w:p>
        </w:tc>
      </w:tr>
    </w:tbl>
    <w:p w14:paraId="663ABE73" w14:textId="77777777" w:rsidR="002A0CBD" w:rsidRDefault="002A0CBD" w:rsidP="002A0CBD">
      <w:r>
        <w:t xml:space="preserve">Source: US Census Bureau ACS, 2021. </w:t>
      </w:r>
    </w:p>
    <w:p w14:paraId="76A924F1" w14:textId="77777777" w:rsidR="002A0CBD" w:rsidRDefault="002A0CBD" w:rsidP="002A0CBD">
      <w:r>
        <w:t>Note: 1-year estimates.</w:t>
      </w:r>
    </w:p>
    <w:p w14:paraId="4AB0FD0C" w14:textId="77777777" w:rsidR="002A0CBD" w:rsidRDefault="002A0CBD" w:rsidP="002A0CBD"/>
    <w:p w14:paraId="51FB2E02" w14:textId="77777777" w:rsidR="002A0CBD" w:rsidRPr="00555D13" w:rsidRDefault="002A0CBD" w:rsidP="002A0CBD">
      <w:pPr>
        <w:pStyle w:val="Heading4"/>
      </w:pPr>
      <w:bookmarkStart w:id="80" w:name="_Toc154569767"/>
      <w:bookmarkStart w:id="81" w:name="_Toc162267039"/>
      <w:r w:rsidRPr="00555D13">
        <w:t>Figure 4.5: South Carolina Hispanic Origin, by Nationality</w:t>
      </w:r>
      <w:r>
        <w:t>.</w:t>
      </w:r>
      <w:bookmarkEnd w:id="80"/>
      <w:bookmarkEnd w:id="81"/>
    </w:p>
    <w:tbl>
      <w:tblPr>
        <w:tblStyle w:val="TableGrid"/>
        <w:tblW w:w="9355" w:type="dxa"/>
        <w:tblLook w:val="04A0" w:firstRow="1" w:lastRow="0" w:firstColumn="1" w:lastColumn="0" w:noHBand="0" w:noVBand="1"/>
      </w:tblPr>
      <w:tblGrid>
        <w:gridCol w:w="3370"/>
        <w:gridCol w:w="5985"/>
      </w:tblGrid>
      <w:tr w:rsidR="002A0CBD" w:rsidRPr="00D079E2" w14:paraId="0665BC20" w14:textId="77777777" w:rsidTr="001515D5">
        <w:tc>
          <w:tcPr>
            <w:tcW w:w="3370" w:type="dxa"/>
            <w:vAlign w:val="bottom"/>
          </w:tcPr>
          <w:p w14:paraId="2C20D154" w14:textId="77777777" w:rsidR="002A0CBD" w:rsidRPr="00D079E2" w:rsidRDefault="002A0CBD" w:rsidP="001515D5">
            <w:pPr>
              <w:rPr>
                <w:rFonts w:cstheme="minorHAnsi"/>
                <w:szCs w:val="28"/>
              </w:rPr>
            </w:pPr>
            <w:r>
              <w:t>Nationality</w:t>
            </w:r>
          </w:p>
        </w:tc>
        <w:tc>
          <w:tcPr>
            <w:tcW w:w="5985" w:type="dxa"/>
            <w:vAlign w:val="bottom"/>
          </w:tcPr>
          <w:p w14:paraId="020B4BC0" w14:textId="77777777" w:rsidR="002A0CBD" w:rsidRPr="00D079E2" w:rsidRDefault="002A0CBD" w:rsidP="001515D5">
            <w:pPr>
              <w:rPr>
                <w:rFonts w:cstheme="minorHAnsi"/>
                <w:szCs w:val="28"/>
              </w:rPr>
            </w:pPr>
            <w:r>
              <w:t>Percent</w:t>
            </w:r>
          </w:p>
        </w:tc>
      </w:tr>
      <w:tr w:rsidR="002A0CBD" w:rsidRPr="00D079E2" w14:paraId="2CD7B997" w14:textId="77777777" w:rsidTr="001515D5">
        <w:tc>
          <w:tcPr>
            <w:tcW w:w="3370" w:type="dxa"/>
            <w:vAlign w:val="bottom"/>
          </w:tcPr>
          <w:p w14:paraId="07EED406" w14:textId="77777777" w:rsidR="002A0CBD" w:rsidRPr="00D079E2" w:rsidRDefault="002A0CBD" w:rsidP="001515D5">
            <w:pPr>
              <w:rPr>
                <w:rFonts w:cstheme="minorHAnsi"/>
                <w:szCs w:val="28"/>
              </w:rPr>
            </w:pPr>
            <w:r>
              <w:t>Mexico</w:t>
            </w:r>
          </w:p>
        </w:tc>
        <w:tc>
          <w:tcPr>
            <w:tcW w:w="5985" w:type="dxa"/>
            <w:vAlign w:val="bottom"/>
          </w:tcPr>
          <w:p w14:paraId="70489DB9" w14:textId="77777777" w:rsidR="002A0CBD" w:rsidRPr="00D079E2" w:rsidRDefault="002A0CBD" w:rsidP="001515D5">
            <w:pPr>
              <w:rPr>
                <w:rFonts w:cstheme="minorHAnsi"/>
                <w:szCs w:val="28"/>
              </w:rPr>
            </w:pPr>
            <w:r>
              <w:t>50.2%</w:t>
            </w:r>
          </w:p>
        </w:tc>
      </w:tr>
      <w:tr w:rsidR="002A0CBD" w:rsidRPr="00D079E2" w14:paraId="6EE5914D" w14:textId="77777777" w:rsidTr="001515D5">
        <w:tc>
          <w:tcPr>
            <w:tcW w:w="3370" w:type="dxa"/>
            <w:vAlign w:val="bottom"/>
          </w:tcPr>
          <w:p w14:paraId="6AF78F06" w14:textId="77777777" w:rsidR="002A0CBD" w:rsidRPr="00D079E2" w:rsidRDefault="002A0CBD" w:rsidP="001515D5">
            <w:pPr>
              <w:rPr>
                <w:rFonts w:cstheme="minorHAnsi"/>
                <w:szCs w:val="28"/>
              </w:rPr>
            </w:pPr>
            <w:r>
              <w:t>Puerto Rico</w:t>
            </w:r>
          </w:p>
        </w:tc>
        <w:tc>
          <w:tcPr>
            <w:tcW w:w="5985" w:type="dxa"/>
            <w:vAlign w:val="bottom"/>
          </w:tcPr>
          <w:p w14:paraId="3636C9B9" w14:textId="77777777" w:rsidR="002A0CBD" w:rsidRPr="00D079E2" w:rsidRDefault="002A0CBD" w:rsidP="001515D5">
            <w:pPr>
              <w:rPr>
                <w:rFonts w:cstheme="minorHAnsi"/>
                <w:szCs w:val="28"/>
              </w:rPr>
            </w:pPr>
            <w:r>
              <w:t>12.2%</w:t>
            </w:r>
          </w:p>
        </w:tc>
      </w:tr>
      <w:tr w:rsidR="002A0CBD" w:rsidRPr="00D079E2" w14:paraId="188261AA" w14:textId="77777777" w:rsidTr="001515D5">
        <w:tc>
          <w:tcPr>
            <w:tcW w:w="3370" w:type="dxa"/>
            <w:vAlign w:val="bottom"/>
          </w:tcPr>
          <w:p w14:paraId="780421AB" w14:textId="77777777" w:rsidR="002A0CBD" w:rsidRPr="00D079E2" w:rsidRDefault="002A0CBD" w:rsidP="001515D5">
            <w:pPr>
              <w:rPr>
                <w:rFonts w:cstheme="minorHAnsi"/>
                <w:szCs w:val="28"/>
              </w:rPr>
            </w:pPr>
            <w:r>
              <w:t>Honduras</w:t>
            </w:r>
          </w:p>
        </w:tc>
        <w:tc>
          <w:tcPr>
            <w:tcW w:w="5985" w:type="dxa"/>
            <w:vAlign w:val="bottom"/>
          </w:tcPr>
          <w:p w14:paraId="518C9023" w14:textId="77777777" w:rsidR="002A0CBD" w:rsidRPr="00D079E2" w:rsidRDefault="002A0CBD" w:rsidP="001515D5">
            <w:pPr>
              <w:rPr>
                <w:rFonts w:cstheme="minorHAnsi"/>
                <w:szCs w:val="28"/>
              </w:rPr>
            </w:pPr>
            <w:r>
              <w:t>6.2%</w:t>
            </w:r>
          </w:p>
        </w:tc>
      </w:tr>
      <w:tr w:rsidR="002A0CBD" w:rsidRPr="00D079E2" w14:paraId="580563B8" w14:textId="77777777" w:rsidTr="001515D5">
        <w:tc>
          <w:tcPr>
            <w:tcW w:w="3370" w:type="dxa"/>
            <w:vAlign w:val="bottom"/>
          </w:tcPr>
          <w:p w14:paraId="5CE96D28" w14:textId="77777777" w:rsidR="002A0CBD" w:rsidRPr="00D079E2" w:rsidRDefault="002A0CBD" w:rsidP="001515D5">
            <w:pPr>
              <w:rPr>
                <w:rFonts w:cstheme="minorHAnsi"/>
                <w:szCs w:val="28"/>
              </w:rPr>
            </w:pPr>
            <w:r>
              <w:t>Colombia</w:t>
            </w:r>
          </w:p>
        </w:tc>
        <w:tc>
          <w:tcPr>
            <w:tcW w:w="5985" w:type="dxa"/>
            <w:vAlign w:val="bottom"/>
          </w:tcPr>
          <w:p w14:paraId="020D6C6E" w14:textId="77777777" w:rsidR="002A0CBD" w:rsidRPr="00D079E2" w:rsidRDefault="002A0CBD" w:rsidP="001515D5">
            <w:pPr>
              <w:rPr>
                <w:rFonts w:cstheme="minorHAnsi"/>
                <w:szCs w:val="28"/>
              </w:rPr>
            </w:pPr>
            <w:r>
              <w:t>5.1%</w:t>
            </w:r>
          </w:p>
        </w:tc>
      </w:tr>
      <w:tr w:rsidR="002A0CBD" w:rsidRPr="00D079E2" w14:paraId="47460833" w14:textId="77777777" w:rsidTr="001515D5">
        <w:tc>
          <w:tcPr>
            <w:tcW w:w="3370" w:type="dxa"/>
            <w:vAlign w:val="bottom"/>
          </w:tcPr>
          <w:p w14:paraId="61CF66AE" w14:textId="77777777" w:rsidR="002A0CBD" w:rsidRPr="00D079E2" w:rsidRDefault="002A0CBD" w:rsidP="001515D5">
            <w:pPr>
              <w:rPr>
                <w:rFonts w:cstheme="minorHAnsi"/>
                <w:szCs w:val="28"/>
              </w:rPr>
            </w:pPr>
            <w:r>
              <w:t>Guatemala</w:t>
            </w:r>
          </w:p>
        </w:tc>
        <w:tc>
          <w:tcPr>
            <w:tcW w:w="5985" w:type="dxa"/>
            <w:vAlign w:val="bottom"/>
          </w:tcPr>
          <w:p w14:paraId="6CA31413" w14:textId="77777777" w:rsidR="002A0CBD" w:rsidRPr="00D079E2" w:rsidRDefault="002A0CBD" w:rsidP="001515D5">
            <w:pPr>
              <w:rPr>
                <w:rFonts w:cstheme="minorHAnsi"/>
                <w:szCs w:val="28"/>
              </w:rPr>
            </w:pPr>
            <w:r>
              <w:t>4.9%</w:t>
            </w:r>
          </w:p>
        </w:tc>
      </w:tr>
      <w:tr w:rsidR="002A0CBD" w:rsidRPr="00D079E2" w14:paraId="2A5E7C8F" w14:textId="77777777" w:rsidTr="001515D5">
        <w:tc>
          <w:tcPr>
            <w:tcW w:w="3370" w:type="dxa"/>
            <w:vAlign w:val="bottom"/>
          </w:tcPr>
          <w:p w14:paraId="64B56A8F" w14:textId="77777777" w:rsidR="002A0CBD" w:rsidRPr="00D079E2" w:rsidRDefault="002A0CBD" w:rsidP="001515D5">
            <w:pPr>
              <w:rPr>
                <w:rFonts w:cstheme="minorHAnsi"/>
                <w:szCs w:val="28"/>
              </w:rPr>
            </w:pPr>
            <w:r>
              <w:t>Cuba</w:t>
            </w:r>
          </w:p>
        </w:tc>
        <w:tc>
          <w:tcPr>
            <w:tcW w:w="5985" w:type="dxa"/>
            <w:vAlign w:val="bottom"/>
          </w:tcPr>
          <w:p w14:paraId="1EC5EE95" w14:textId="77777777" w:rsidR="002A0CBD" w:rsidRPr="00D079E2" w:rsidRDefault="002A0CBD" w:rsidP="001515D5">
            <w:pPr>
              <w:rPr>
                <w:rFonts w:cstheme="minorHAnsi"/>
                <w:szCs w:val="28"/>
              </w:rPr>
            </w:pPr>
            <w:r>
              <w:t>3.4%</w:t>
            </w:r>
          </w:p>
        </w:tc>
      </w:tr>
      <w:tr w:rsidR="002A0CBD" w:rsidRPr="00D079E2" w14:paraId="18BB64CB" w14:textId="77777777" w:rsidTr="001515D5">
        <w:tc>
          <w:tcPr>
            <w:tcW w:w="3370" w:type="dxa"/>
            <w:vAlign w:val="bottom"/>
          </w:tcPr>
          <w:p w14:paraId="05DD36CB" w14:textId="77777777" w:rsidR="002A0CBD" w:rsidRPr="00D079E2" w:rsidRDefault="002A0CBD" w:rsidP="001515D5">
            <w:pPr>
              <w:rPr>
                <w:rFonts w:cstheme="minorHAnsi"/>
                <w:szCs w:val="28"/>
              </w:rPr>
            </w:pPr>
            <w:r>
              <w:t>El Salvador</w:t>
            </w:r>
          </w:p>
        </w:tc>
        <w:tc>
          <w:tcPr>
            <w:tcW w:w="5985" w:type="dxa"/>
            <w:vAlign w:val="bottom"/>
          </w:tcPr>
          <w:p w14:paraId="128BD01B" w14:textId="77777777" w:rsidR="002A0CBD" w:rsidRPr="00D079E2" w:rsidRDefault="002A0CBD" w:rsidP="001515D5">
            <w:pPr>
              <w:rPr>
                <w:rFonts w:cstheme="minorHAnsi"/>
                <w:szCs w:val="28"/>
              </w:rPr>
            </w:pPr>
            <w:r>
              <w:t>1.9%</w:t>
            </w:r>
          </w:p>
        </w:tc>
      </w:tr>
      <w:tr w:rsidR="002A0CBD" w:rsidRPr="00D079E2" w14:paraId="1F7FBA39" w14:textId="77777777" w:rsidTr="001515D5">
        <w:tc>
          <w:tcPr>
            <w:tcW w:w="3370" w:type="dxa"/>
            <w:vAlign w:val="bottom"/>
          </w:tcPr>
          <w:p w14:paraId="68167013" w14:textId="77777777" w:rsidR="002A0CBD" w:rsidRPr="00D079E2" w:rsidRDefault="002A0CBD" w:rsidP="001515D5">
            <w:pPr>
              <w:rPr>
                <w:rFonts w:cstheme="minorHAnsi"/>
                <w:szCs w:val="28"/>
              </w:rPr>
            </w:pPr>
            <w:r>
              <w:lastRenderedPageBreak/>
              <w:t>Dominican Republic</w:t>
            </w:r>
          </w:p>
        </w:tc>
        <w:tc>
          <w:tcPr>
            <w:tcW w:w="5985" w:type="dxa"/>
            <w:vAlign w:val="bottom"/>
          </w:tcPr>
          <w:p w14:paraId="3FD668D0" w14:textId="77777777" w:rsidR="002A0CBD" w:rsidRPr="00D079E2" w:rsidRDefault="002A0CBD" w:rsidP="001515D5">
            <w:pPr>
              <w:rPr>
                <w:rFonts w:cstheme="minorHAnsi"/>
                <w:szCs w:val="28"/>
              </w:rPr>
            </w:pPr>
            <w:r>
              <w:t>1.6%</w:t>
            </w:r>
          </w:p>
        </w:tc>
      </w:tr>
      <w:tr w:rsidR="002A0CBD" w:rsidRPr="00D079E2" w14:paraId="1FB982B5" w14:textId="77777777" w:rsidTr="001515D5">
        <w:tc>
          <w:tcPr>
            <w:tcW w:w="3370" w:type="dxa"/>
            <w:vAlign w:val="bottom"/>
          </w:tcPr>
          <w:p w14:paraId="0217DB34" w14:textId="77777777" w:rsidR="002A0CBD" w:rsidRDefault="002A0CBD" w:rsidP="001515D5">
            <w:r>
              <w:t>Other</w:t>
            </w:r>
          </w:p>
        </w:tc>
        <w:tc>
          <w:tcPr>
            <w:tcW w:w="5985" w:type="dxa"/>
            <w:vAlign w:val="bottom"/>
          </w:tcPr>
          <w:p w14:paraId="6840F9BC" w14:textId="77777777" w:rsidR="002A0CBD" w:rsidRDefault="002A0CBD" w:rsidP="001515D5">
            <w:r>
              <w:t>14.5%</w:t>
            </w:r>
          </w:p>
        </w:tc>
      </w:tr>
    </w:tbl>
    <w:p w14:paraId="2AD82954" w14:textId="77777777" w:rsidR="002A0CBD" w:rsidRDefault="002A0CBD" w:rsidP="002A0CBD">
      <w:r>
        <w:t xml:space="preserve">Source: US Census Bureau ACS, 2021. </w:t>
      </w:r>
    </w:p>
    <w:p w14:paraId="41B6519C" w14:textId="77777777" w:rsidR="002A0CBD" w:rsidRDefault="002A0CBD" w:rsidP="002A0CBD">
      <w:r>
        <w:t>Note: 1-year estimates.</w:t>
      </w:r>
    </w:p>
    <w:p w14:paraId="76056451" w14:textId="77777777" w:rsidR="00722CE9" w:rsidRDefault="00722CE9" w:rsidP="00722CE9"/>
    <w:p w14:paraId="69FBCE6F" w14:textId="77777777" w:rsidR="00722CE9" w:rsidRPr="00722CE9" w:rsidRDefault="00722CE9" w:rsidP="00722CE9">
      <w:pPr>
        <w:rPr>
          <w:rFonts w:asciiTheme="majorHAnsi" w:eastAsiaTheme="majorEastAsia" w:hAnsiTheme="majorHAnsi" w:cstheme="majorBidi"/>
          <w:color w:val="2F5496" w:themeColor="accent1" w:themeShade="BF"/>
          <w:sz w:val="36"/>
        </w:rPr>
      </w:pPr>
      <w:r w:rsidRPr="00722CE9">
        <w:rPr>
          <w:rFonts w:asciiTheme="majorHAnsi" w:eastAsiaTheme="majorEastAsia" w:hAnsiTheme="majorHAnsi" w:cstheme="majorBidi"/>
          <w:color w:val="2F5496" w:themeColor="accent1" w:themeShade="BF"/>
          <w:sz w:val="36"/>
        </w:rPr>
        <w:t>Foreign-Born Versus Native-Born</w:t>
      </w:r>
    </w:p>
    <w:p w14:paraId="6F3BC5B2" w14:textId="77777777" w:rsidR="00722CE9" w:rsidRPr="00722CE9" w:rsidRDefault="00722CE9" w:rsidP="00722CE9">
      <w:r w:rsidRPr="00722CE9">
        <w:t>In 2021, SC’s population consisted of 4,919,425 (94.8%) native residents and 271,280 (5.2%) residents that were foreign-born (</w:t>
      </w:r>
      <w:r w:rsidRPr="00722CE9">
        <w:rPr>
          <w:b/>
          <w:bCs/>
        </w:rPr>
        <w:t>Figure 4.6</w:t>
      </w:r>
      <w:r w:rsidRPr="00722CE9">
        <w:t>).</w:t>
      </w:r>
    </w:p>
    <w:p w14:paraId="631C1D7F" w14:textId="77777777" w:rsidR="00722CE9" w:rsidRDefault="00722CE9" w:rsidP="00722CE9"/>
    <w:p w14:paraId="0D4E47A5" w14:textId="77777777" w:rsidR="002A0CBD" w:rsidRPr="00555D13" w:rsidRDefault="002A0CBD" w:rsidP="002A0CBD">
      <w:pPr>
        <w:pStyle w:val="Heading4"/>
      </w:pPr>
      <w:bookmarkStart w:id="82" w:name="_Toc154569768"/>
      <w:bookmarkStart w:id="83" w:name="_Toc162267040"/>
      <w:r w:rsidRPr="00555D13">
        <w:t>Figure 4.6: Foreign-Born versus Native-Born</w:t>
      </w:r>
      <w:r>
        <w:t>.</w:t>
      </w:r>
      <w:bookmarkEnd w:id="82"/>
      <w:bookmarkEnd w:id="83"/>
    </w:p>
    <w:tbl>
      <w:tblPr>
        <w:tblStyle w:val="TableGrid"/>
        <w:tblW w:w="9355" w:type="dxa"/>
        <w:tblLook w:val="04A0" w:firstRow="1" w:lastRow="0" w:firstColumn="1" w:lastColumn="0" w:noHBand="0" w:noVBand="1"/>
      </w:tblPr>
      <w:tblGrid>
        <w:gridCol w:w="3370"/>
        <w:gridCol w:w="5985"/>
      </w:tblGrid>
      <w:tr w:rsidR="002A0CBD" w:rsidRPr="00D079E2" w14:paraId="278A26F5" w14:textId="77777777" w:rsidTr="001515D5">
        <w:tc>
          <w:tcPr>
            <w:tcW w:w="3370" w:type="dxa"/>
            <w:vAlign w:val="bottom"/>
          </w:tcPr>
          <w:p w14:paraId="0F1F4981" w14:textId="77777777" w:rsidR="002A0CBD" w:rsidRPr="00D079E2" w:rsidRDefault="002A0CBD" w:rsidP="001515D5">
            <w:pPr>
              <w:rPr>
                <w:rFonts w:cstheme="minorHAnsi"/>
                <w:szCs w:val="28"/>
              </w:rPr>
            </w:pPr>
            <w:r>
              <w:t>Place of Birth</w:t>
            </w:r>
          </w:p>
        </w:tc>
        <w:tc>
          <w:tcPr>
            <w:tcW w:w="5985" w:type="dxa"/>
            <w:vAlign w:val="bottom"/>
          </w:tcPr>
          <w:p w14:paraId="3E53950F" w14:textId="77777777" w:rsidR="002A0CBD" w:rsidRPr="00D079E2" w:rsidRDefault="002A0CBD" w:rsidP="001515D5">
            <w:pPr>
              <w:rPr>
                <w:rFonts w:cstheme="minorHAnsi"/>
                <w:szCs w:val="28"/>
              </w:rPr>
            </w:pPr>
            <w:r>
              <w:t>Percent</w:t>
            </w:r>
          </w:p>
        </w:tc>
      </w:tr>
      <w:tr w:rsidR="002A0CBD" w:rsidRPr="00D079E2" w14:paraId="497F5ACE" w14:textId="77777777" w:rsidTr="001515D5">
        <w:tc>
          <w:tcPr>
            <w:tcW w:w="3370" w:type="dxa"/>
            <w:vAlign w:val="bottom"/>
          </w:tcPr>
          <w:p w14:paraId="7A055BEB" w14:textId="77777777" w:rsidR="002A0CBD" w:rsidRPr="00D079E2" w:rsidRDefault="002A0CBD" w:rsidP="001515D5">
            <w:pPr>
              <w:rPr>
                <w:rFonts w:cstheme="minorHAnsi"/>
                <w:szCs w:val="28"/>
              </w:rPr>
            </w:pPr>
            <w:r>
              <w:t>Native-Born</w:t>
            </w:r>
          </w:p>
        </w:tc>
        <w:tc>
          <w:tcPr>
            <w:tcW w:w="5985" w:type="dxa"/>
            <w:vAlign w:val="bottom"/>
          </w:tcPr>
          <w:p w14:paraId="3AA43B2F" w14:textId="77777777" w:rsidR="002A0CBD" w:rsidRPr="00D079E2" w:rsidRDefault="002A0CBD" w:rsidP="001515D5">
            <w:pPr>
              <w:rPr>
                <w:rFonts w:cstheme="minorHAnsi"/>
                <w:szCs w:val="28"/>
              </w:rPr>
            </w:pPr>
            <w:r>
              <w:t>94.80%</w:t>
            </w:r>
          </w:p>
        </w:tc>
      </w:tr>
      <w:tr w:rsidR="002A0CBD" w:rsidRPr="00D079E2" w14:paraId="108381D4" w14:textId="77777777" w:rsidTr="001515D5">
        <w:tc>
          <w:tcPr>
            <w:tcW w:w="3370" w:type="dxa"/>
            <w:vAlign w:val="bottom"/>
          </w:tcPr>
          <w:p w14:paraId="35CB7DC8" w14:textId="77777777" w:rsidR="002A0CBD" w:rsidRPr="00D079E2" w:rsidRDefault="002A0CBD" w:rsidP="001515D5">
            <w:pPr>
              <w:rPr>
                <w:rFonts w:cstheme="minorHAnsi"/>
                <w:szCs w:val="28"/>
              </w:rPr>
            </w:pPr>
            <w:r>
              <w:t>Foreign-Born</w:t>
            </w:r>
          </w:p>
        </w:tc>
        <w:tc>
          <w:tcPr>
            <w:tcW w:w="5985" w:type="dxa"/>
            <w:vAlign w:val="bottom"/>
          </w:tcPr>
          <w:p w14:paraId="5AA53F8A" w14:textId="77777777" w:rsidR="002A0CBD" w:rsidRPr="00D079E2" w:rsidRDefault="002A0CBD" w:rsidP="001515D5">
            <w:pPr>
              <w:rPr>
                <w:rFonts w:cstheme="minorHAnsi"/>
                <w:szCs w:val="28"/>
              </w:rPr>
            </w:pPr>
            <w:r>
              <w:t>5.20%</w:t>
            </w:r>
          </w:p>
        </w:tc>
      </w:tr>
    </w:tbl>
    <w:p w14:paraId="20185CB0" w14:textId="77777777" w:rsidR="002A0CBD" w:rsidRDefault="002A0CBD" w:rsidP="002A0CBD">
      <w:r>
        <w:t xml:space="preserve">Source: US Census Bureau ACS, 2021. </w:t>
      </w:r>
    </w:p>
    <w:p w14:paraId="61A88807" w14:textId="77777777" w:rsidR="002A0CBD" w:rsidRDefault="002A0CBD" w:rsidP="002A0CBD">
      <w:r>
        <w:t>Note: 1-year estimates.</w:t>
      </w:r>
    </w:p>
    <w:p w14:paraId="138AF2F9" w14:textId="77777777" w:rsidR="00722CE9" w:rsidRPr="00722CE9" w:rsidRDefault="00722CE9" w:rsidP="00722CE9"/>
    <w:p w14:paraId="48A47744" w14:textId="77777777" w:rsidR="00722CE9" w:rsidRPr="00722CE9" w:rsidRDefault="00722CE9" w:rsidP="00722CE9">
      <w:r w:rsidRPr="00722CE9">
        <w:t xml:space="preserve">In 2021, the most common language spoken at home was English (92.4%; </w:t>
      </w:r>
      <w:r w:rsidRPr="00722CE9">
        <w:rPr>
          <w:b/>
          <w:bCs/>
        </w:rPr>
        <w:t>Table 4.1</w:t>
      </w:r>
      <w:r w:rsidRPr="00722CE9">
        <w:t>). Of the 7.6% that spoke another language, Spanish (4.7%) was the most common, followed by other Indo-European (1.6%).</w:t>
      </w:r>
    </w:p>
    <w:p w14:paraId="3FF5F621" w14:textId="77777777" w:rsidR="00722CE9" w:rsidRDefault="00722CE9" w:rsidP="00722CE9"/>
    <w:p w14:paraId="5EA27889" w14:textId="77777777" w:rsidR="002A0CBD" w:rsidRPr="00555D13" w:rsidRDefault="002A0CBD" w:rsidP="002A0CBD">
      <w:pPr>
        <w:pStyle w:val="Heading4"/>
      </w:pPr>
      <w:bookmarkStart w:id="84" w:name="_Toc154569769"/>
      <w:bookmarkStart w:id="85" w:name="_Toc162267041"/>
      <w:r w:rsidRPr="00555D13">
        <w:t>Table 4.1: Language Spoken at Home</w:t>
      </w:r>
      <w:r>
        <w:t>.</w:t>
      </w:r>
      <w:bookmarkEnd w:id="84"/>
      <w:bookmarkEnd w:id="85"/>
    </w:p>
    <w:tbl>
      <w:tblPr>
        <w:tblStyle w:val="TableGrid"/>
        <w:tblW w:w="9355" w:type="dxa"/>
        <w:tblLook w:val="04A0" w:firstRow="1" w:lastRow="0" w:firstColumn="1" w:lastColumn="0" w:noHBand="0" w:noVBand="1"/>
      </w:tblPr>
      <w:tblGrid>
        <w:gridCol w:w="3370"/>
        <w:gridCol w:w="5985"/>
      </w:tblGrid>
      <w:tr w:rsidR="002A0CBD" w:rsidRPr="00D079E2" w14:paraId="2E6F115F" w14:textId="77777777" w:rsidTr="001515D5">
        <w:tc>
          <w:tcPr>
            <w:tcW w:w="3370" w:type="dxa"/>
            <w:vAlign w:val="bottom"/>
          </w:tcPr>
          <w:p w14:paraId="19F71197" w14:textId="77777777" w:rsidR="002A0CBD" w:rsidRPr="00D079E2" w:rsidRDefault="002A0CBD" w:rsidP="001515D5">
            <w:pPr>
              <w:rPr>
                <w:rFonts w:cstheme="minorHAnsi"/>
                <w:szCs w:val="28"/>
              </w:rPr>
            </w:pPr>
            <w:r>
              <w:t>Language</w:t>
            </w:r>
          </w:p>
        </w:tc>
        <w:tc>
          <w:tcPr>
            <w:tcW w:w="5985" w:type="dxa"/>
            <w:vAlign w:val="bottom"/>
          </w:tcPr>
          <w:p w14:paraId="366A7DF6" w14:textId="77777777" w:rsidR="002A0CBD" w:rsidRPr="00D079E2" w:rsidRDefault="002A0CBD" w:rsidP="001515D5">
            <w:pPr>
              <w:rPr>
                <w:rFonts w:cstheme="minorHAnsi"/>
                <w:szCs w:val="28"/>
              </w:rPr>
            </w:pPr>
            <w:r>
              <w:t>Percent</w:t>
            </w:r>
          </w:p>
        </w:tc>
      </w:tr>
      <w:tr w:rsidR="002A0CBD" w:rsidRPr="00D079E2" w14:paraId="0A2B3C91" w14:textId="77777777" w:rsidTr="001515D5">
        <w:tc>
          <w:tcPr>
            <w:tcW w:w="3370" w:type="dxa"/>
            <w:vAlign w:val="bottom"/>
          </w:tcPr>
          <w:p w14:paraId="75FA3C88" w14:textId="77777777" w:rsidR="002A0CBD" w:rsidRPr="00D079E2" w:rsidRDefault="002A0CBD" w:rsidP="001515D5">
            <w:pPr>
              <w:rPr>
                <w:rFonts w:cstheme="minorHAnsi"/>
                <w:szCs w:val="28"/>
              </w:rPr>
            </w:pPr>
            <w:r>
              <w:t>English Only</w:t>
            </w:r>
          </w:p>
        </w:tc>
        <w:tc>
          <w:tcPr>
            <w:tcW w:w="5985" w:type="dxa"/>
            <w:vAlign w:val="bottom"/>
          </w:tcPr>
          <w:p w14:paraId="1BF11123" w14:textId="77777777" w:rsidR="002A0CBD" w:rsidRPr="00D079E2" w:rsidRDefault="002A0CBD" w:rsidP="001515D5">
            <w:pPr>
              <w:rPr>
                <w:rFonts w:cstheme="minorHAnsi"/>
                <w:szCs w:val="28"/>
              </w:rPr>
            </w:pPr>
            <w:r>
              <w:t>92.40%</w:t>
            </w:r>
          </w:p>
        </w:tc>
      </w:tr>
      <w:tr w:rsidR="002A0CBD" w:rsidRPr="00D079E2" w14:paraId="47A0EF0B" w14:textId="77777777" w:rsidTr="001515D5">
        <w:tc>
          <w:tcPr>
            <w:tcW w:w="3370" w:type="dxa"/>
            <w:vAlign w:val="bottom"/>
          </w:tcPr>
          <w:p w14:paraId="37BF39C7" w14:textId="77777777" w:rsidR="002A0CBD" w:rsidRPr="00D079E2" w:rsidRDefault="002A0CBD" w:rsidP="001515D5">
            <w:pPr>
              <w:rPr>
                <w:rFonts w:cstheme="minorHAnsi"/>
                <w:szCs w:val="28"/>
              </w:rPr>
            </w:pPr>
            <w:r>
              <w:t>Language Other than English</w:t>
            </w:r>
          </w:p>
        </w:tc>
        <w:tc>
          <w:tcPr>
            <w:tcW w:w="5985" w:type="dxa"/>
            <w:vAlign w:val="bottom"/>
          </w:tcPr>
          <w:p w14:paraId="3E185C7D" w14:textId="77777777" w:rsidR="002A0CBD" w:rsidRPr="00D079E2" w:rsidRDefault="002A0CBD" w:rsidP="001515D5">
            <w:pPr>
              <w:rPr>
                <w:rFonts w:cstheme="minorHAnsi"/>
                <w:szCs w:val="28"/>
              </w:rPr>
            </w:pPr>
            <w:r>
              <w:t>7.60%</w:t>
            </w:r>
          </w:p>
        </w:tc>
      </w:tr>
      <w:tr w:rsidR="002A0CBD" w:rsidRPr="00D079E2" w14:paraId="6B9C2093" w14:textId="77777777" w:rsidTr="001515D5">
        <w:tc>
          <w:tcPr>
            <w:tcW w:w="3370" w:type="dxa"/>
            <w:vAlign w:val="bottom"/>
          </w:tcPr>
          <w:p w14:paraId="03FF455A" w14:textId="77777777" w:rsidR="002A0CBD" w:rsidRDefault="002A0CBD" w:rsidP="001515D5">
            <w:r>
              <w:t>Spanish</w:t>
            </w:r>
          </w:p>
        </w:tc>
        <w:tc>
          <w:tcPr>
            <w:tcW w:w="5985" w:type="dxa"/>
            <w:vAlign w:val="bottom"/>
          </w:tcPr>
          <w:p w14:paraId="731444B1" w14:textId="77777777" w:rsidR="002A0CBD" w:rsidRDefault="002A0CBD" w:rsidP="001515D5">
            <w:r>
              <w:t>4.70%</w:t>
            </w:r>
          </w:p>
        </w:tc>
      </w:tr>
      <w:tr w:rsidR="002A0CBD" w:rsidRPr="00D079E2" w14:paraId="3B670BB9" w14:textId="77777777" w:rsidTr="001515D5">
        <w:tc>
          <w:tcPr>
            <w:tcW w:w="3370" w:type="dxa"/>
            <w:vAlign w:val="bottom"/>
          </w:tcPr>
          <w:p w14:paraId="5F9AA55B" w14:textId="77777777" w:rsidR="002A0CBD" w:rsidRDefault="002A0CBD" w:rsidP="001515D5">
            <w:r>
              <w:t>Other Indo-European</w:t>
            </w:r>
          </w:p>
        </w:tc>
        <w:tc>
          <w:tcPr>
            <w:tcW w:w="5985" w:type="dxa"/>
            <w:vAlign w:val="bottom"/>
          </w:tcPr>
          <w:p w14:paraId="4AC67AEF" w14:textId="77777777" w:rsidR="002A0CBD" w:rsidRDefault="002A0CBD" w:rsidP="001515D5">
            <w:r>
              <w:t>1.60%</w:t>
            </w:r>
          </w:p>
        </w:tc>
      </w:tr>
      <w:tr w:rsidR="002A0CBD" w:rsidRPr="00D079E2" w14:paraId="439DF3AD" w14:textId="77777777" w:rsidTr="001515D5">
        <w:tc>
          <w:tcPr>
            <w:tcW w:w="3370" w:type="dxa"/>
            <w:vAlign w:val="bottom"/>
          </w:tcPr>
          <w:p w14:paraId="7B399D6F" w14:textId="77777777" w:rsidR="002A0CBD" w:rsidRDefault="002A0CBD" w:rsidP="001515D5">
            <w:r>
              <w:t>Asian and Pacific Island</w:t>
            </w:r>
          </w:p>
        </w:tc>
        <w:tc>
          <w:tcPr>
            <w:tcW w:w="5985" w:type="dxa"/>
            <w:vAlign w:val="bottom"/>
          </w:tcPr>
          <w:p w14:paraId="6C59945F" w14:textId="77777777" w:rsidR="002A0CBD" w:rsidRDefault="002A0CBD" w:rsidP="001515D5">
            <w:r>
              <w:t>0.90%</w:t>
            </w:r>
          </w:p>
        </w:tc>
      </w:tr>
      <w:tr w:rsidR="002A0CBD" w:rsidRPr="00D079E2" w14:paraId="740F1DC8" w14:textId="77777777" w:rsidTr="001515D5">
        <w:tc>
          <w:tcPr>
            <w:tcW w:w="3370" w:type="dxa"/>
            <w:vAlign w:val="bottom"/>
          </w:tcPr>
          <w:p w14:paraId="1D9A14BB" w14:textId="77777777" w:rsidR="002A0CBD" w:rsidRDefault="002A0CBD" w:rsidP="001515D5">
            <w:r>
              <w:t xml:space="preserve">Other </w:t>
            </w:r>
          </w:p>
        </w:tc>
        <w:tc>
          <w:tcPr>
            <w:tcW w:w="5985" w:type="dxa"/>
            <w:vAlign w:val="bottom"/>
          </w:tcPr>
          <w:p w14:paraId="3B1A1E74" w14:textId="77777777" w:rsidR="002A0CBD" w:rsidRDefault="002A0CBD" w:rsidP="001515D5">
            <w:r>
              <w:t>0.40%</w:t>
            </w:r>
          </w:p>
        </w:tc>
      </w:tr>
    </w:tbl>
    <w:p w14:paraId="02F6731A" w14:textId="77777777" w:rsidR="002A0CBD" w:rsidRDefault="002A0CBD" w:rsidP="002A0CBD">
      <w:r>
        <w:t xml:space="preserve">Source: US Census Bureau ACS, 2021. </w:t>
      </w:r>
    </w:p>
    <w:p w14:paraId="43AA6012" w14:textId="77777777" w:rsidR="002A0CBD" w:rsidRDefault="002A0CBD" w:rsidP="002A0CBD">
      <w:r>
        <w:t>Note: 1-year estimates.</w:t>
      </w:r>
    </w:p>
    <w:p w14:paraId="3EA19914" w14:textId="77777777" w:rsidR="00722CE9" w:rsidRDefault="00722CE9" w:rsidP="00722CE9"/>
    <w:p w14:paraId="587A66C3" w14:textId="29EBE9A1" w:rsidR="00722CE9" w:rsidRDefault="00722CE9" w:rsidP="00722CE9">
      <w:pPr>
        <w:rPr>
          <w:rFonts w:asciiTheme="majorHAnsi" w:eastAsiaTheme="majorEastAsia" w:hAnsiTheme="majorHAnsi" w:cstheme="majorBidi"/>
          <w:color w:val="2F5496" w:themeColor="accent1" w:themeShade="BF"/>
          <w:sz w:val="36"/>
        </w:rPr>
      </w:pPr>
      <w:r>
        <w:rPr>
          <w:rFonts w:asciiTheme="majorHAnsi" w:eastAsiaTheme="majorEastAsia" w:hAnsiTheme="majorHAnsi" w:cstheme="majorBidi"/>
          <w:color w:val="2F5496" w:themeColor="accent1" w:themeShade="BF"/>
          <w:sz w:val="36"/>
        </w:rPr>
        <w:t>Internet</w:t>
      </w:r>
    </w:p>
    <w:p w14:paraId="70D62926" w14:textId="42C9F9B9" w:rsidR="00722CE9" w:rsidRPr="00722CE9" w:rsidRDefault="00722CE9" w:rsidP="00722CE9">
      <w:r w:rsidRPr="00722CE9">
        <w:t xml:space="preserve">The internet has become a fundamental tool that connects, </w:t>
      </w:r>
      <w:proofErr w:type="gramStart"/>
      <w:r w:rsidRPr="00722CE9">
        <w:t>informs</w:t>
      </w:r>
      <w:proofErr w:type="gramEnd"/>
      <w:r w:rsidRPr="00722CE9">
        <w:t xml:space="preserve"> and empowers people on a global scale. It provides access to reliable health information so individuals can make informed health decisions, manage their </w:t>
      </w:r>
      <w:proofErr w:type="gramStart"/>
      <w:r w:rsidRPr="00722CE9">
        <w:lastRenderedPageBreak/>
        <w:t>health</w:t>
      </w:r>
      <w:proofErr w:type="gramEnd"/>
      <w:r w:rsidRPr="00722CE9">
        <w:t xml:space="preserve"> and prevent diseases. The internet has also enabled telemedicine, allowing people in remote or under-served areas to access timely health care services. </w:t>
      </w:r>
    </w:p>
    <w:p w14:paraId="7CB813C4" w14:textId="77777777" w:rsidR="00722CE9" w:rsidRDefault="00722CE9" w:rsidP="00722CE9"/>
    <w:p w14:paraId="62F582D9" w14:textId="597DF623" w:rsidR="00722CE9" w:rsidRPr="00722CE9" w:rsidRDefault="00722CE9" w:rsidP="00722CE9">
      <w:r w:rsidRPr="00722CE9">
        <w:t xml:space="preserve">A lack of internet access can disproportionately affect disadvantaged communities, including those in rural areas, low-income </w:t>
      </w:r>
      <w:proofErr w:type="gramStart"/>
      <w:r w:rsidRPr="00722CE9">
        <w:t>communities</w:t>
      </w:r>
      <w:proofErr w:type="gramEnd"/>
      <w:r w:rsidRPr="00722CE9">
        <w:t xml:space="preserve"> or marginalized groups. No internet access can further exacerbate existing health disparities among these communities. </w:t>
      </w:r>
    </w:p>
    <w:p w14:paraId="0FED3556" w14:textId="77777777" w:rsidR="00751E60" w:rsidRDefault="00751E60" w:rsidP="00722CE9"/>
    <w:p w14:paraId="7FA9BC2F" w14:textId="2FCABE24" w:rsidR="00722CE9" w:rsidRPr="00722CE9" w:rsidRDefault="00722CE9" w:rsidP="00722CE9">
      <w:r w:rsidRPr="00722CE9">
        <w:t>In 2021, there were 1,852,241 (90.4%) SC households who had access to the internet, while 197,731 (9.6%) of households had no internet access (</w:t>
      </w:r>
      <w:r w:rsidRPr="00722CE9">
        <w:rPr>
          <w:b/>
          <w:bCs/>
        </w:rPr>
        <w:t>Figure 4.7</w:t>
      </w:r>
      <w:r w:rsidRPr="00722CE9">
        <w:t>). Marlboro County had the highest percentage of households with no internet access (35.0%), followed by Allendale (32.9%), Dillon (32.2%) and Marion (29.5%) (</w:t>
      </w:r>
      <w:r w:rsidRPr="00722CE9">
        <w:rPr>
          <w:b/>
          <w:bCs/>
        </w:rPr>
        <w:t>Figure 4.8</w:t>
      </w:r>
      <w:r w:rsidRPr="00722CE9">
        <w:t>).</w:t>
      </w:r>
    </w:p>
    <w:p w14:paraId="08AC9555" w14:textId="77777777" w:rsidR="00722CE9" w:rsidRPr="00722CE9" w:rsidRDefault="00722CE9" w:rsidP="00722CE9"/>
    <w:p w14:paraId="439A4108" w14:textId="77777777" w:rsidR="001E2F9C" w:rsidRPr="00555D13" w:rsidRDefault="001E2F9C" w:rsidP="001E2F9C">
      <w:pPr>
        <w:pStyle w:val="Heading4"/>
      </w:pPr>
      <w:bookmarkStart w:id="86" w:name="_Toc154569770"/>
      <w:bookmarkStart w:id="87" w:name="_Toc162267042"/>
      <w:r w:rsidRPr="00555D13">
        <w:t>Figure 4.7: Households With and Without Internet Access</w:t>
      </w:r>
      <w:r>
        <w:t>.</w:t>
      </w:r>
      <w:bookmarkEnd w:id="86"/>
      <w:bookmarkEnd w:id="87"/>
    </w:p>
    <w:tbl>
      <w:tblPr>
        <w:tblStyle w:val="TableGrid"/>
        <w:tblW w:w="9355" w:type="dxa"/>
        <w:tblLook w:val="04A0" w:firstRow="1" w:lastRow="0" w:firstColumn="1" w:lastColumn="0" w:noHBand="0" w:noVBand="1"/>
      </w:tblPr>
      <w:tblGrid>
        <w:gridCol w:w="3370"/>
        <w:gridCol w:w="5985"/>
      </w:tblGrid>
      <w:tr w:rsidR="001E2F9C" w:rsidRPr="00D079E2" w14:paraId="516D4430" w14:textId="77777777" w:rsidTr="001515D5">
        <w:tc>
          <w:tcPr>
            <w:tcW w:w="3370" w:type="dxa"/>
            <w:vAlign w:val="bottom"/>
          </w:tcPr>
          <w:p w14:paraId="0FBDB3CA" w14:textId="77777777" w:rsidR="001E2F9C" w:rsidRPr="00D079E2" w:rsidRDefault="001E2F9C" w:rsidP="001515D5">
            <w:pPr>
              <w:rPr>
                <w:rFonts w:cstheme="minorHAnsi"/>
                <w:szCs w:val="28"/>
              </w:rPr>
            </w:pPr>
            <w:r>
              <w:t>Internet Access</w:t>
            </w:r>
          </w:p>
        </w:tc>
        <w:tc>
          <w:tcPr>
            <w:tcW w:w="5985" w:type="dxa"/>
            <w:vAlign w:val="bottom"/>
          </w:tcPr>
          <w:p w14:paraId="7BA704BA" w14:textId="77777777" w:rsidR="001E2F9C" w:rsidRPr="00D079E2" w:rsidRDefault="001E2F9C" w:rsidP="001515D5">
            <w:pPr>
              <w:rPr>
                <w:rFonts w:cstheme="minorHAnsi"/>
                <w:szCs w:val="28"/>
              </w:rPr>
            </w:pPr>
            <w:r>
              <w:t>Percent</w:t>
            </w:r>
          </w:p>
        </w:tc>
      </w:tr>
      <w:tr w:rsidR="001E2F9C" w:rsidRPr="00D079E2" w14:paraId="6B39CE2E" w14:textId="77777777" w:rsidTr="001515D5">
        <w:tc>
          <w:tcPr>
            <w:tcW w:w="3370" w:type="dxa"/>
            <w:vAlign w:val="bottom"/>
          </w:tcPr>
          <w:p w14:paraId="67DDBF93" w14:textId="77777777" w:rsidR="001E2F9C" w:rsidRPr="00D079E2" w:rsidRDefault="001E2F9C" w:rsidP="001515D5">
            <w:pPr>
              <w:rPr>
                <w:rFonts w:cstheme="minorHAnsi"/>
                <w:szCs w:val="28"/>
              </w:rPr>
            </w:pPr>
            <w:r>
              <w:t>Internet Access</w:t>
            </w:r>
          </w:p>
        </w:tc>
        <w:tc>
          <w:tcPr>
            <w:tcW w:w="5985" w:type="dxa"/>
            <w:vAlign w:val="bottom"/>
          </w:tcPr>
          <w:p w14:paraId="410B57F3" w14:textId="77777777" w:rsidR="001E2F9C" w:rsidRPr="00D079E2" w:rsidRDefault="001E2F9C" w:rsidP="001515D5">
            <w:pPr>
              <w:rPr>
                <w:rFonts w:cstheme="minorHAnsi"/>
                <w:szCs w:val="28"/>
              </w:rPr>
            </w:pPr>
            <w:r>
              <w:t>90.4%</w:t>
            </w:r>
          </w:p>
        </w:tc>
      </w:tr>
      <w:tr w:rsidR="001E2F9C" w:rsidRPr="00D079E2" w14:paraId="08F9395D" w14:textId="77777777" w:rsidTr="001515D5">
        <w:tc>
          <w:tcPr>
            <w:tcW w:w="3370" w:type="dxa"/>
            <w:vAlign w:val="bottom"/>
          </w:tcPr>
          <w:p w14:paraId="23A7B0CD" w14:textId="77777777" w:rsidR="001E2F9C" w:rsidRPr="00D079E2" w:rsidRDefault="001E2F9C" w:rsidP="001515D5">
            <w:pPr>
              <w:rPr>
                <w:rFonts w:cstheme="minorHAnsi"/>
                <w:szCs w:val="28"/>
              </w:rPr>
            </w:pPr>
            <w:r>
              <w:t>No Internet Access</w:t>
            </w:r>
          </w:p>
        </w:tc>
        <w:tc>
          <w:tcPr>
            <w:tcW w:w="5985" w:type="dxa"/>
            <w:vAlign w:val="bottom"/>
          </w:tcPr>
          <w:p w14:paraId="73366623" w14:textId="77777777" w:rsidR="001E2F9C" w:rsidRPr="00D079E2" w:rsidRDefault="001E2F9C" w:rsidP="001515D5">
            <w:pPr>
              <w:rPr>
                <w:rFonts w:cstheme="minorHAnsi"/>
                <w:szCs w:val="28"/>
              </w:rPr>
            </w:pPr>
            <w:r>
              <w:t>9.6%</w:t>
            </w:r>
          </w:p>
        </w:tc>
      </w:tr>
    </w:tbl>
    <w:p w14:paraId="5C1A66CC" w14:textId="77777777" w:rsidR="001E2F9C" w:rsidRDefault="001E2F9C" w:rsidP="001E2F9C">
      <w:r>
        <w:t xml:space="preserve">Source: US Census Bureau ACS, 2021. </w:t>
      </w:r>
    </w:p>
    <w:p w14:paraId="7BE67AEB" w14:textId="77777777" w:rsidR="001E2F9C" w:rsidRDefault="001E2F9C" w:rsidP="001E2F9C">
      <w:r>
        <w:t>Note: 1-year estimates.</w:t>
      </w:r>
    </w:p>
    <w:p w14:paraId="4842E8F1" w14:textId="77777777" w:rsidR="001E2F9C" w:rsidRDefault="001E2F9C" w:rsidP="001E2F9C"/>
    <w:p w14:paraId="54068F44" w14:textId="77777777" w:rsidR="001E2F9C" w:rsidRPr="00555D13" w:rsidRDefault="001E2F9C" w:rsidP="001E2F9C">
      <w:pPr>
        <w:pStyle w:val="Heading4"/>
      </w:pPr>
      <w:bookmarkStart w:id="88" w:name="_Toc154569771"/>
      <w:bookmarkStart w:id="89" w:name="_Toc162267043"/>
      <w:r w:rsidRPr="00555D13">
        <w:t>Figure 4.8: Households With No Internet Access</w:t>
      </w:r>
      <w:r>
        <w:t>.</w:t>
      </w:r>
      <w:bookmarkEnd w:id="88"/>
      <w:bookmarkEnd w:id="89"/>
    </w:p>
    <w:tbl>
      <w:tblPr>
        <w:tblStyle w:val="TableGrid"/>
        <w:tblW w:w="0" w:type="auto"/>
        <w:tblLook w:val="04A0" w:firstRow="1" w:lastRow="0" w:firstColumn="1" w:lastColumn="0" w:noHBand="0" w:noVBand="1"/>
      </w:tblPr>
      <w:tblGrid>
        <w:gridCol w:w="4675"/>
        <w:gridCol w:w="4675"/>
      </w:tblGrid>
      <w:tr w:rsidR="001E2F9C" w14:paraId="46DFFCC6" w14:textId="77777777" w:rsidTr="001515D5">
        <w:tc>
          <w:tcPr>
            <w:tcW w:w="4675" w:type="dxa"/>
            <w:vAlign w:val="bottom"/>
          </w:tcPr>
          <w:p w14:paraId="1AB31453" w14:textId="77777777" w:rsidR="001E2F9C" w:rsidRDefault="001E2F9C" w:rsidP="001515D5">
            <w:r>
              <w:t>County</w:t>
            </w:r>
          </w:p>
        </w:tc>
        <w:tc>
          <w:tcPr>
            <w:tcW w:w="4675" w:type="dxa"/>
            <w:vAlign w:val="bottom"/>
          </w:tcPr>
          <w:p w14:paraId="631F67DA" w14:textId="77777777" w:rsidR="001E2F9C" w:rsidRDefault="001E2F9C" w:rsidP="001515D5">
            <w:r>
              <w:t>Percent</w:t>
            </w:r>
          </w:p>
        </w:tc>
      </w:tr>
      <w:tr w:rsidR="001E2F9C" w14:paraId="202C3640" w14:textId="77777777" w:rsidTr="001515D5">
        <w:tc>
          <w:tcPr>
            <w:tcW w:w="4675" w:type="dxa"/>
            <w:vAlign w:val="bottom"/>
          </w:tcPr>
          <w:p w14:paraId="19F104F5" w14:textId="77777777" w:rsidR="001E2F9C" w:rsidRDefault="001E2F9C" w:rsidP="001515D5">
            <w:r>
              <w:t>Abbeville</w:t>
            </w:r>
          </w:p>
        </w:tc>
        <w:tc>
          <w:tcPr>
            <w:tcW w:w="4675" w:type="dxa"/>
            <w:vAlign w:val="bottom"/>
          </w:tcPr>
          <w:p w14:paraId="4E57FA5A" w14:textId="77777777" w:rsidR="001E2F9C" w:rsidRDefault="001E2F9C" w:rsidP="001515D5">
            <w:r>
              <w:t>22.70%</w:t>
            </w:r>
          </w:p>
        </w:tc>
      </w:tr>
      <w:tr w:rsidR="001E2F9C" w14:paraId="272D6362" w14:textId="77777777" w:rsidTr="001515D5">
        <w:tc>
          <w:tcPr>
            <w:tcW w:w="4675" w:type="dxa"/>
            <w:vAlign w:val="bottom"/>
          </w:tcPr>
          <w:p w14:paraId="5B29E9C6" w14:textId="77777777" w:rsidR="001E2F9C" w:rsidRDefault="001E2F9C" w:rsidP="001515D5">
            <w:r>
              <w:t>Aiken</w:t>
            </w:r>
          </w:p>
        </w:tc>
        <w:tc>
          <w:tcPr>
            <w:tcW w:w="4675" w:type="dxa"/>
            <w:vAlign w:val="bottom"/>
          </w:tcPr>
          <w:p w14:paraId="71FA376E" w14:textId="77777777" w:rsidR="001E2F9C" w:rsidRDefault="001E2F9C" w:rsidP="001515D5">
            <w:r>
              <w:t>12.50%</w:t>
            </w:r>
          </w:p>
        </w:tc>
      </w:tr>
      <w:tr w:rsidR="001E2F9C" w14:paraId="565B13C8" w14:textId="77777777" w:rsidTr="001515D5">
        <w:tc>
          <w:tcPr>
            <w:tcW w:w="4675" w:type="dxa"/>
            <w:vAlign w:val="bottom"/>
          </w:tcPr>
          <w:p w14:paraId="134A7A26" w14:textId="77777777" w:rsidR="001E2F9C" w:rsidRDefault="001E2F9C" w:rsidP="001515D5">
            <w:r>
              <w:t>Allendale</w:t>
            </w:r>
          </w:p>
        </w:tc>
        <w:tc>
          <w:tcPr>
            <w:tcW w:w="4675" w:type="dxa"/>
            <w:vAlign w:val="bottom"/>
          </w:tcPr>
          <w:p w14:paraId="2B3CCB96" w14:textId="77777777" w:rsidR="001E2F9C" w:rsidRDefault="001E2F9C" w:rsidP="001515D5">
            <w:r>
              <w:t>32.90%</w:t>
            </w:r>
          </w:p>
        </w:tc>
      </w:tr>
      <w:tr w:rsidR="001E2F9C" w14:paraId="2BE7E58E" w14:textId="77777777" w:rsidTr="001515D5">
        <w:tc>
          <w:tcPr>
            <w:tcW w:w="4675" w:type="dxa"/>
            <w:vAlign w:val="bottom"/>
          </w:tcPr>
          <w:p w14:paraId="7F12B4C5" w14:textId="77777777" w:rsidR="001E2F9C" w:rsidRDefault="001E2F9C" w:rsidP="001515D5">
            <w:r>
              <w:t>Anderson</w:t>
            </w:r>
          </w:p>
        </w:tc>
        <w:tc>
          <w:tcPr>
            <w:tcW w:w="4675" w:type="dxa"/>
            <w:vAlign w:val="bottom"/>
          </w:tcPr>
          <w:p w14:paraId="0BADF6F6" w14:textId="77777777" w:rsidR="001E2F9C" w:rsidRDefault="001E2F9C" w:rsidP="001515D5">
            <w:r>
              <w:t>13.60%</w:t>
            </w:r>
          </w:p>
        </w:tc>
      </w:tr>
      <w:tr w:rsidR="001E2F9C" w14:paraId="475ECCC0" w14:textId="77777777" w:rsidTr="001515D5">
        <w:tc>
          <w:tcPr>
            <w:tcW w:w="4675" w:type="dxa"/>
            <w:vAlign w:val="bottom"/>
          </w:tcPr>
          <w:p w14:paraId="7A5E362C" w14:textId="77777777" w:rsidR="001E2F9C" w:rsidRDefault="001E2F9C" w:rsidP="001515D5">
            <w:r>
              <w:t>Bamberg</w:t>
            </w:r>
          </w:p>
        </w:tc>
        <w:tc>
          <w:tcPr>
            <w:tcW w:w="4675" w:type="dxa"/>
            <w:vAlign w:val="bottom"/>
          </w:tcPr>
          <w:p w14:paraId="0B514207" w14:textId="77777777" w:rsidR="001E2F9C" w:rsidRDefault="001E2F9C" w:rsidP="001515D5">
            <w:r>
              <w:t>24.70%</w:t>
            </w:r>
          </w:p>
        </w:tc>
      </w:tr>
      <w:tr w:rsidR="001E2F9C" w14:paraId="03001865" w14:textId="77777777" w:rsidTr="001515D5">
        <w:tc>
          <w:tcPr>
            <w:tcW w:w="4675" w:type="dxa"/>
            <w:vAlign w:val="bottom"/>
          </w:tcPr>
          <w:p w14:paraId="1AE1C329" w14:textId="77777777" w:rsidR="001E2F9C" w:rsidRDefault="001E2F9C" w:rsidP="001515D5">
            <w:r>
              <w:t>Barnwell</w:t>
            </w:r>
          </w:p>
        </w:tc>
        <w:tc>
          <w:tcPr>
            <w:tcW w:w="4675" w:type="dxa"/>
            <w:vAlign w:val="bottom"/>
          </w:tcPr>
          <w:p w14:paraId="6208B477" w14:textId="77777777" w:rsidR="001E2F9C" w:rsidRDefault="001E2F9C" w:rsidP="001515D5">
            <w:r>
              <w:t>27.60%</w:t>
            </w:r>
          </w:p>
        </w:tc>
      </w:tr>
      <w:tr w:rsidR="001E2F9C" w14:paraId="6E140059" w14:textId="77777777" w:rsidTr="001515D5">
        <w:tc>
          <w:tcPr>
            <w:tcW w:w="4675" w:type="dxa"/>
            <w:vAlign w:val="bottom"/>
          </w:tcPr>
          <w:p w14:paraId="35B48208" w14:textId="77777777" w:rsidR="001E2F9C" w:rsidRDefault="001E2F9C" w:rsidP="001515D5">
            <w:r>
              <w:t>Beaufort</w:t>
            </w:r>
          </w:p>
        </w:tc>
        <w:tc>
          <w:tcPr>
            <w:tcW w:w="4675" w:type="dxa"/>
            <w:vAlign w:val="bottom"/>
          </w:tcPr>
          <w:p w14:paraId="68ED2E3E" w14:textId="77777777" w:rsidR="001E2F9C" w:rsidRDefault="001E2F9C" w:rsidP="001515D5">
            <w:r>
              <w:t>6.80%</w:t>
            </w:r>
          </w:p>
        </w:tc>
      </w:tr>
      <w:tr w:rsidR="001E2F9C" w14:paraId="5DF5DE17" w14:textId="77777777" w:rsidTr="001515D5">
        <w:tc>
          <w:tcPr>
            <w:tcW w:w="4675" w:type="dxa"/>
            <w:vAlign w:val="bottom"/>
          </w:tcPr>
          <w:p w14:paraId="105E51E4" w14:textId="77777777" w:rsidR="001E2F9C" w:rsidRDefault="001E2F9C" w:rsidP="001515D5">
            <w:r>
              <w:t>Berkeley</w:t>
            </w:r>
          </w:p>
        </w:tc>
        <w:tc>
          <w:tcPr>
            <w:tcW w:w="4675" w:type="dxa"/>
            <w:vAlign w:val="bottom"/>
          </w:tcPr>
          <w:p w14:paraId="0D785F8A" w14:textId="77777777" w:rsidR="001E2F9C" w:rsidRDefault="001E2F9C" w:rsidP="001515D5">
            <w:r>
              <w:t>11.50%</w:t>
            </w:r>
          </w:p>
        </w:tc>
      </w:tr>
      <w:tr w:rsidR="001E2F9C" w14:paraId="64395101" w14:textId="77777777" w:rsidTr="001515D5">
        <w:tc>
          <w:tcPr>
            <w:tcW w:w="4675" w:type="dxa"/>
            <w:vAlign w:val="bottom"/>
          </w:tcPr>
          <w:p w14:paraId="3C55F198" w14:textId="77777777" w:rsidR="001E2F9C" w:rsidRDefault="001E2F9C" w:rsidP="001515D5">
            <w:r>
              <w:t>Calhoun</w:t>
            </w:r>
          </w:p>
        </w:tc>
        <w:tc>
          <w:tcPr>
            <w:tcW w:w="4675" w:type="dxa"/>
            <w:vAlign w:val="bottom"/>
          </w:tcPr>
          <w:p w14:paraId="48223ADF" w14:textId="77777777" w:rsidR="001E2F9C" w:rsidRDefault="001E2F9C" w:rsidP="001515D5">
            <w:r>
              <w:t>21.10%</w:t>
            </w:r>
          </w:p>
        </w:tc>
      </w:tr>
      <w:tr w:rsidR="001E2F9C" w14:paraId="6393CE0A" w14:textId="77777777" w:rsidTr="001515D5">
        <w:tc>
          <w:tcPr>
            <w:tcW w:w="4675" w:type="dxa"/>
            <w:vAlign w:val="bottom"/>
          </w:tcPr>
          <w:p w14:paraId="05E584F5" w14:textId="77777777" w:rsidR="001E2F9C" w:rsidRDefault="001E2F9C" w:rsidP="001515D5">
            <w:r>
              <w:t>Charleston</w:t>
            </w:r>
          </w:p>
        </w:tc>
        <w:tc>
          <w:tcPr>
            <w:tcW w:w="4675" w:type="dxa"/>
            <w:vAlign w:val="bottom"/>
          </w:tcPr>
          <w:p w14:paraId="512A6C91" w14:textId="77777777" w:rsidR="001E2F9C" w:rsidRDefault="001E2F9C" w:rsidP="001515D5">
            <w:r>
              <w:t>9.40%</w:t>
            </w:r>
          </w:p>
        </w:tc>
      </w:tr>
      <w:tr w:rsidR="001E2F9C" w14:paraId="62ED177C" w14:textId="77777777" w:rsidTr="001515D5">
        <w:tc>
          <w:tcPr>
            <w:tcW w:w="4675" w:type="dxa"/>
            <w:vAlign w:val="bottom"/>
          </w:tcPr>
          <w:p w14:paraId="38544DE5" w14:textId="77777777" w:rsidR="001E2F9C" w:rsidRDefault="001E2F9C" w:rsidP="001515D5">
            <w:r>
              <w:t>Cherokee</w:t>
            </w:r>
          </w:p>
        </w:tc>
        <w:tc>
          <w:tcPr>
            <w:tcW w:w="4675" w:type="dxa"/>
            <w:vAlign w:val="bottom"/>
          </w:tcPr>
          <w:p w14:paraId="153D1220" w14:textId="77777777" w:rsidR="001E2F9C" w:rsidRDefault="001E2F9C" w:rsidP="001515D5">
            <w:r>
              <w:t>23.10%</w:t>
            </w:r>
          </w:p>
        </w:tc>
      </w:tr>
      <w:tr w:rsidR="001E2F9C" w14:paraId="2594E00B" w14:textId="77777777" w:rsidTr="001515D5">
        <w:tc>
          <w:tcPr>
            <w:tcW w:w="4675" w:type="dxa"/>
            <w:vAlign w:val="bottom"/>
          </w:tcPr>
          <w:p w14:paraId="3CAAE34A" w14:textId="77777777" w:rsidR="001E2F9C" w:rsidRDefault="001E2F9C" w:rsidP="001515D5">
            <w:r>
              <w:t>Chester</w:t>
            </w:r>
          </w:p>
        </w:tc>
        <w:tc>
          <w:tcPr>
            <w:tcW w:w="4675" w:type="dxa"/>
            <w:vAlign w:val="bottom"/>
          </w:tcPr>
          <w:p w14:paraId="02DE4F4D" w14:textId="77777777" w:rsidR="001E2F9C" w:rsidRDefault="001E2F9C" w:rsidP="001515D5">
            <w:r>
              <w:t>24.60%</w:t>
            </w:r>
          </w:p>
        </w:tc>
      </w:tr>
      <w:tr w:rsidR="001E2F9C" w14:paraId="31E2A1BD" w14:textId="77777777" w:rsidTr="001515D5">
        <w:tc>
          <w:tcPr>
            <w:tcW w:w="4675" w:type="dxa"/>
            <w:vAlign w:val="bottom"/>
          </w:tcPr>
          <w:p w14:paraId="5B63B9C6" w14:textId="77777777" w:rsidR="001E2F9C" w:rsidRDefault="001E2F9C" w:rsidP="001515D5">
            <w:r>
              <w:t>Chesterfield</w:t>
            </w:r>
          </w:p>
        </w:tc>
        <w:tc>
          <w:tcPr>
            <w:tcW w:w="4675" w:type="dxa"/>
            <w:vAlign w:val="bottom"/>
          </w:tcPr>
          <w:p w14:paraId="1BDABF1E" w14:textId="77777777" w:rsidR="001E2F9C" w:rsidRDefault="001E2F9C" w:rsidP="001515D5">
            <w:r>
              <w:t>21.50%</w:t>
            </w:r>
          </w:p>
        </w:tc>
      </w:tr>
      <w:tr w:rsidR="001E2F9C" w14:paraId="129CD7EF" w14:textId="77777777" w:rsidTr="001515D5">
        <w:tc>
          <w:tcPr>
            <w:tcW w:w="4675" w:type="dxa"/>
            <w:vAlign w:val="bottom"/>
          </w:tcPr>
          <w:p w14:paraId="5E63A035" w14:textId="77777777" w:rsidR="001E2F9C" w:rsidRDefault="001E2F9C" w:rsidP="001515D5">
            <w:r>
              <w:t>Clarendon</w:t>
            </w:r>
          </w:p>
        </w:tc>
        <w:tc>
          <w:tcPr>
            <w:tcW w:w="4675" w:type="dxa"/>
            <w:vAlign w:val="bottom"/>
          </w:tcPr>
          <w:p w14:paraId="2F05F536" w14:textId="77777777" w:rsidR="001E2F9C" w:rsidRDefault="001E2F9C" w:rsidP="001515D5">
            <w:r>
              <w:t>19.60%</w:t>
            </w:r>
          </w:p>
        </w:tc>
      </w:tr>
      <w:tr w:rsidR="001E2F9C" w14:paraId="1391781C" w14:textId="77777777" w:rsidTr="001515D5">
        <w:tc>
          <w:tcPr>
            <w:tcW w:w="4675" w:type="dxa"/>
            <w:vAlign w:val="bottom"/>
          </w:tcPr>
          <w:p w14:paraId="2614B1F6" w14:textId="77777777" w:rsidR="001E2F9C" w:rsidRDefault="001E2F9C" w:rsidP="001515D5">
            <w:r>
              <w:lastRenderedPageBreak/>
              <w:t>Colleton</w:t>
            </w:r>
          </w:p>
        </w:tc>
        <w:tc>
          <w:tcPr>
            <w:tcW w:w="4675" w:type="dxa"/>
            <w:vAlign w:val="bottom"/>
          </w:tcPr>
          <w:p w14:paraId="02FBDE72" w14:textId="77777777" w:rsidR="001E2F9C" w:rsidRDefault="001E2F9C" w:rsidP="001515D5">
            <w:r>
              <w:t>16.70%</w:t>
            </w:r>
          </w:p>
        </w:tc>
      </w:tr>
      <w:tr w:rsidR="001E2F9C" w14:paraId="05AF874B" w14:textId="77777777" w:rsidTr="001515D5">
        <w:tc>
          <w:tcPr>
            <w:tcW w:w="4675" w:type="dxa"/>
            <w:vAlign w:val="bottom"/>
          </w:tcPr>
          <w:p w14:paraId="4EB98298" w14:textId="77777777" w:rsidR="001E2F9C" w:rsidRDefault="001E2F9C" w:rsidP="001515D5">
            <w:r>
              <w:t>Darlington</w:t>
            </w:r>
          </w:p>
        </w:tc>
        <w:tc>
          <w:tcPr>
            <w:tcW w:w="4675" w:type="dxa"/>
            <w:vAlign w:val="bottom"/>
          </w:tcPr>
          <w:p w14:paraId="3DD3E972" w14:textId="77777777" w:rsidR="001E2F9C" w:rsidRDefault="001E2F9C" w:rsidP="001515D5">
            <w:r>
              <w:t>25.20%</w:t>
            </w:r>
          </w:p>
        </w:tc>
      </w:tr>
      <w:tr w:rsidR="001E2F9C" w14:paraId="216EB5CB" w14:textId="77777777" w:rsidTr="001515D5">
        <w:tc>
          <w:tcPr>
            <w:tcW w:w="4675" w:type="dxa"/>
            <w:vAlign w:val="bottom"/>
          </w:tcPr>
          <w:p w14:paraId="39E609A9" w14:textId="77777777" w:rsidR="001E2F9C" w:rsidRDefault="001E2F9C" w:rsidP="001515D5">
            <w:r>
              <w:t>Dillon</w:t>
            </w:r>
          </w:p>
        </w:tc>
        <w:tc>
          <w:tcPr>
            <w:tcW w:w="4675" w:type="dxa"/>
            <w:vAlign w:val="bottom"/>
          </w:tcPr>
          <w:p w14:paraId="490D61D3" w14:textId="77777777" w:rsidR="001E2F9C" w:rsidRDefault="001E2F9C" w:rsidP="001515D5">
            <w:r>
              <w:t>32.20%</w:t>
            </w:r>
          </w:p>
        </w:tc>
      </w:tr>
      <w:tr w:rsidR="001E2F9C" w14:paraId="072C77E0" w14:textId="77777777" w:rsidTr="001515D5">
        <w:tc>
          <w:tcPr>
            <w:tcW w:w="4675" w:type="dxa"/>
            <w:vAlign w:val="bottom"/>
          </w:tcPr>
          <w:p w14:paraId="2F40F3EE" w14:textId="77777777" w:rsidR="001E2F9C" w:rsidRDefault="001E2F9C" w:rsidP="001515D5">
            <w:r>
              <w:t>Dorchester</w:t>
            </w:r>
          </w:p>
        </w:tc>
        <w:tc>
          <w:tcPr>
            <w:tcW w:w="4675" w:type="dxa"/>
            <w:vAlign w:val="bottom"/>
          </w:tcPr>
          <w:p w14:paraId="69DABA5D" w14:textId="77777777" w:rsidR="001E2F9C" w:rsidRDefault="001E2F9C" w:rsidP="001515D5">
            <w:r>
              <w:t>9.90%</w:t>
            </w:r>
          </w:p>
        </w:tc>
      </w:tr>
      <w:tr w:rsidR="001E2F9C" w14:paraId="01E2222C" w14:textId="77777777" w:rsidTr="001515D5">
        <w:tc>
          <w:tcPr>
            <w:tcW w:w="4675" w:type="dxa"/>
            <w:vAlign w:val="bottom"/>
          </w:tcPr>
          <w:p w14:paraId="4FFF8A0A" w14:textId="77777777" w:rsidR="001E2F9C" w:rsidRDefault="001E2F9C" w:rsidP="001515D5">
            <w:r>
              <w:t>Edgefield</w:t>
            </w:r>
          </w:p>
        </w:tc>
        <w:tc>
          <w:tcPr>
            <w:tcW w:w="4675" w:type="dxa"/>
            <w:vAlign w:val="bottom"/>
          </w:tcPr>
          <w:p w14:paraId="195F8E48" w14:textId="77777777" w:rsidR="001E2F9C" w:rsidRDefault="001E2F9C" w:rsidP="001515D5">
            <w:r>
              <w:t>24.20%</w:t>
            </w:r>
          </w:p>
        </w:tc>
      </w:tr>
      <w:tr w:rsidR="001E2F9C" w14:paraId="45490C1B" w14:textId="77777777" w:rsidTr="001515D5">
        <w:tc>
          <w:tcPr>
            <w:tcW w:w="4675" w:type="dxa"/>
            <w:vAlign w:val="bottom"/>
          </w:tcPr>
          <w:p w14:paraId="5B45A66F" w14:textId="77777777" w:rsidR="001E2F9C" w:rsidRDefault="001E2F9C" w:rsidP="001515D5">
            <w:r>
              <w:t>Fairfield</w:t>
            </w:r>
          </w:p>
        </w:tc>
        <w:tc>
          <w:tcPr>
            <w:tcW w:w="4675" w:type="dxa"/>
            <w:vAlign w:val="bottom"/>
          </w:tcPr>
          <w:p w14:paraId="1A0ECFDD" w14:textId="77777777" w:rsidR="001E2F9C" w:rsidRDefault="001E2F9C" w:rsidP="001515D5">
            <w:r>
              <w:t>23.10%</w:t>
            </w:r>
          </w:p>
        </w:tc>
      </w:tr>
      <w:tr w:rsidR="001E2F9C" w14:paraId="10425F48" w14:textId="77777777" w:rsidTr="001515D5">
        <w:tc>
          <w:tcPr>
            <w:tcW w:w="4675" w:type="dxa"/>
            <w:vAlign w:val="bottom"/>
          </w:tcPr>
          <w:p w14:paraId="1E6231D7" w14:textId="77777777" w:rsidR="001E2F9C" w:rsidRDefault="001E2F9C" w:rsidP="001515D5">
            <w:r>
              <w:t>Florence</w:t>
            </w:r>
          </w:p>
        </w:tc>
        <w:tc>
          <w:tcPr>
            <w:tcW w:w="4675" w:type="dxa"/>
            <w:vAlign w:val="bottom"/>
          </w:tcPr>
          <w:p w14:paraId="381ECA44" w14:textId="77777777" w:rsidR="001E2F9C" w:rsidRDefault="001E2F9C" w:rsidP="001515D5">
            <w:r>
              <w:t>19.80%</w:t>
            </w:r>
          </w:p>
        </w:tc>
      </w:tr>
      <w:tr w:rsidR="001E2F9C" w14:paraId="3F137E6D" w14:textId="77777777" w:rsidTr="001515D5">
        <w:tc>
          <w:tcPr>
            <w:tcW w:w="4675" w:type="dxa"/>
            <w:vAlign w:val="bottom"/>
          </w:tcPr>
          <w:p w14:paraId="5D4E190F" w14:textId="77777777" w:rsidR="001E2F9C" w:rsidRDefault="001E2F9C" w:rsidP="001515D5">
            <w:r>
              <w:t>Georgetown</w:t>
            </w:r>
          </w:p>
        </w:tc>
        <w:tc>
          <w:tcPr>
            <w:tcW w:w="4675" w:type="dxa"/>
            <w:vAlign w:val="bottom"/>
          </w:tcPr>
          <w:p w14:paraId="18242E5E" w14:textId="77777777" w:rsidR="001E2F9C" w:rsidRDefault="001E2F9C" w:rsidP="001515D5">
            <w:r>
              <w:t>17.30%</w:t>
            </w:r>
          </w:p>
        </w:tc>
      </w:tr>
      <w:tr w:rsidR="001E2F9C" w14:paraId="495EB67B" w14:textId="77777777" w:rsidTr="001515D5">
        <w:tc>
          <w:tcPr>
            <w:tcW w:w="4675" w:type="dxa"/>
            <w:vAlign w:val="bottom"/>
          </w:tcPr>
          <w:p w14:paraId="69E5F0DD" w14:textId="77777777" w:rsidR="001E2F9C" w:rsidRDefault="001E2F9C" w:rsidP="001515D5">
            <w:r>
              <w:t>Greenville</w:t>
            </w:r>
          </w:p>
        </w:tc>
        <w:tc>
          <w:tcPr>
            <w:tcW w:w="4675" w:type="dxa"/>
            <w:vAlign w:val="bottom"/>
          </w:tcPr>
          <w:p w14:paraId="35564340" w14:textId="77777777" w:rsidR="001E2F9C" w:rsidRDefault="001E2F9C" w:rsidP="001515D5">
            <w:r>
              <w:t>9.60%</w:t>
            </w:r>
          </w:p>
        </w:tc>
      </w:tr>
      <w:tr w:rsidR="001E2F9C" w14:paraId="49407C66" w14:textId="77777777" w:rsidTr="001515D5">
        <w:tc>
          <w:tcPr>
            <w:tcW w:w="4675" w:type="dxa"/>
            <w:vAlign w:val="bottom"/>
          </w:tcPr>
          <w:p w14:paraId="518B6A6B" w14:textId="77777777" w:rsidR="001E2F9C" w:rsidRDefault="001E2F9C" w:rsidP="001515D5">
            <w:r>
              <w:t>Greenwood</w:t>
            </w:r>
          </w:p>
        </w:tc>
        <w:tc>
          <w:tcPr>
            <w:tcW w:w="4675" w:type="dxa"/>
            <w:vAlign w:val="bottom"/>
          </w:tcPr>
          <w:p w14:paraId="6C7E6DA0" w14:textId="77777777" w:rsidR="001E2F9C" w:rsidRDefault="001E2F9C" w:rsidP="001515D5">
            <w:r>
              <w:t>18.50%</w:t>
            </w:r>
          </w:p>
        </w:tc>
      </w:tr>
      <w:tr w:rsidR="001E2F9C" w14:paraId="12D44817" w14:textId="77777777" w:rsidTr="001515D5">
        <w:tc>
          <w:tcPr>
            <w:tcW w:w="4675" w:type="dxa"/>
            <w:vAlign w:val="bottom"/>
          </w:tcPr>
          <w:p w14:paraId="49F136D6" w14:textId="77777777" w:rsidR="001E2F9C" w:rsidRDefault="001E2F9C" w:rsidP="001515D5">
            <w:r>
              <w:t>Hampton</w:t>
            </w:r>
          </w:p>
        </w:tc>
        <w:tc>
          <w:tcPr>
            <w:tcW w:w="4675" w:type="dxa"/>
            <w:vAlign w:val="bottom"/>
          </w:tcPr>
          <w:p w14:paraId="45D18B28" w14:textId="77777777" w:rsidR="001E2F9C" w:rsidRDefault="001E2F9C" w:rsidP="001515D5">
            <w:r>
              <w:t>20.40%</w:t>
            </w:r>
          </w:p>
        </w:tc>
      </w:tr>
      <w:tr w:rsidR="001E2F9C" w14:paraId="6F123F2A" w14:textId="77777777" w:rsidTr="001515D5">
        <w:tc>
          <w:tcPr>
            <w:tcW w:w="4675" w:type="dxa"/>
            <w:vAlign w:val="bottom"/>
          </w:tcPr>
          <w:p w14:paraId="74DE4390" w14:textId="77777777" w:rsidR="001E2F9C" w:rsidRDefault="001E2F9C" w:rsidP="001515D5">
            <w:r>
              <w:t>Horry</w:t>
            </w:r>
          </w:p>
        </w:tc>
        <w:tc>
          <w:tcPr>
            <w:tcW w:w="4675" w:type="dxa"/>
            <w:vAlign w:val="bottom"/>
          </w:tcPr>
          <w:p w14:paraId="0DD2E7C6" w14:textId="77777777" w:rsidR="001E2F9C" w:rsidRDefault="001E2F9C" w:rsidP="001515D5">
            <w:r>
              <w:t>8.50%</w:t>
            </w:r>
          </w:p>
        </w:tc>
      </w:tr>
      <w:tr w:rsidR="001E2F9C" w14:paraId="10AAF138" w14:textId="77777777" w:rsidTr="001515D5">
        <w:tc>
          <w:tcPr>
            <w:tcW w:w="4675" w:type="dxa"/>
            <w:vAlign w:val="bottom"/>
          </w:tcPr>
          <w:p w14:paraId="2A0E1CDB" w14:textId="77777777" w:rsidR="001E2F9C" w:rsidRDefault="001E2F9C" w:rsidP="001515D5">
            <w:r>
              <w:t>Jasper</w:t>
            </w:r>
          </w:p>
        </w:tc>
        <w:tc>
          <w:tcPr>
            <w:tcW w:w="4675" w:type="dxa"/>
            <w:vAlign w:val="bottom"/>
          </w:tcPr>
          <w:p w14:paraId="7A75B4ED" w14:textId="77777777" w:rsidR="001E2F9C" w:rsidRDefault="001E2F9C" w:rsidP="001515D5">
            <w:r>
              <w:t>23.20%</w:t>
            </w:r>
          </w:p>
        </w:tc>
      </w:tr>
      <w:tr w:rsidR="001E2F9C" w14:paraId="4AF0353C" w14:textId="77777777" w:rsidTr="001515D5">
        <w:tc>
          <w:tcPr>
            <w:tcW w:w="4675" w:type="dxa"/>
            <w:vAlign w:val="bottom"/>
          </w:tcPr>
          <w:p w14:paraId="08F4B442" w14:textId="77777777" w:rsidR="001E2F9C" w:rsidRDefault="001E2F9C" w:rsidP="001515D5">
            <w:r>
              <w:t>Kershaw</w:t>
            </w:r>
          </w:p>
        </w:tc>
        <w:tc>
          <w:tcPr>
            <w:tcW w:w="4675" w:type="dxa"/>
            <w:vAlign w:val="bottom"/>
          </w:tcPr>
          <w:p w14:paraId="2EB40352" w14:textId="77777777" w:rsidR="001E2F9C" w:rsidRDefault="001E2F9C" w:rsidP="001515D5">
            <w:r>
              <w:t>12.80%</w:t>
            </w:r>
          </w:p>
        </w:tc>
      </w:tr>
      <w:tr w:rsidR="001E2F9C" w14:paraId="6BE89A38" w14:textId="77777777" w:rsidTr="001515D5">
        <w:tc>
          <w:tcPr>
            <w:tcW w:w="4675" w:type="dxa"/>
            <w:vAlign w:val="bottom"/>
          </w:tcPr>
          <w:p w14:paraId="7C370D78" w14:textId="77777777" w:rsidR="001E2F9C" w:rsidRDefault="001E2F9C" w:rsidP="001515D5">
            <w:r>
              <w:t>Lancaster</w:t>
            </w:r>
          </w:p>
        </w:tc>
        <w:tc>
          <w:tcPr>
            <w:tcW w:w="4675" w:type="dxa"/>
            <w:vAlign w:val="bottom"/>
          </w:tcPr>
          <w:p w14:paraId="670CAA27" w14:textId="77777777" w:rsidR="001E2F9C" w:rsidRDefault="001E2F9C" w:rsidP="001515D5">
            <w:r>
              <w:t>12.70%</w:t>
            </w:r>
          </w:p>
        </w:tc>
      </w:tr>
      <w:tr w:rsidR="001E2F9C" w14:paraId="5406D70D" w14:textId="77777777" w:rsidTr="001515D5">
        <w:tc>
          <w:tcPr>
            <w:tcW w:w="4675" w:type="dxa"/>
            <w:vAlign w:val="bottom"/>
          </w:tcPr>
          <w:p w14:paraId="55714071" w14:textId="77777777" w:rsidR="001E2F9C" w:rsidRDefault="001E2F9C" w:rsidP="001515D5">
            <w:r>
              <w:t>Laurens</w:t>
            </w:r>
          </w:p>
        </w:tc>
        <w:tc>
          <w:tcPr>
            <w:tcW w:w="4675" w:type="dxa"/>
            <w:vAlign w:val="bottom"/>
          </w:tcPr>
          <w:p w14:paraId="74C210AE" w14:textId="77777777" w:rsidR="001E2F9C" w:rsidRDefault="001E2F9C" w:rsidP="001515D5">
            <w:r>
              <w:t>18.10%</w:t>
            </w:r>
          </w:p>
        </w:tc>
      </w:tr>
      <w:tr w:rsidR="001E2F9C" w14:paraId="2428CB37" w14:textId="77777777" w:rsidTr="001515D5">
        <w:tc>
          <w:tcPr>
            <w:tcW w:w="4675" w:type="dxa"/>
            <w:vAlign w:val="bottom"/>
          </w:tcPr>
          <w:p w14:paraId="2574E085" w14:textId="77777777" w:rsidR="001E2F9C" w:rsidRDefault="001E2F9C" w:rsidP="001515D5">
            <w:r>
              <w:t>Lee</w:t>
            </w:r>
          </w:p>
        </w:tc>
        <w:tc>
          <w:tcPr>
            <w:tcW w:w="4675" w:type="dxa"/>
            <w:vAlign w:val="bottom"/>
          </w:tcPr>
          <w:p w14:paraId="0FD61D25" w14:textId="77777777" w:rsidR="001E2F9C" w:rsidRDefault="001E2F9C" w:rsidP="001515D5">
            <w:r>
              <w:t>27.80%</w:t>
            </w:r>
          </w:p>
        </w:tc>
      </w:tr>
      <w:tr w:rsidR="001E2F9C" w14:paraId="42F7841D" w14:textId="77777777" w:rsidTr="001515D5">
        <w:tc>
          <w:tcPr>
            <w:tcW w:w="4675" w:type="dxa"/>
            <w:vAlign w:val="bottom"/>
          </w:tcPr>
          <w:p w14:paraId="4C08CE5A" w14:textId="77777777" w:rsidR="001E2F9C" w:rsidRDefault="001E2F9C" w:rsidP="001515D5">
            <w:r>
              <w:t>Lexington</w:t>
            </w:r>
          </w:p>
        </w:tc>
        <w:tc>
          <w:tcPr>
            <w:tcW w:w="4675" w:type="dxa"/>
            <w:vAlign w:val="bottom"/>
          </w:tcPr>
          <w:p w14:paraId="08E13694" w14:textId="77777777" w:rsidR="001E2F9C" w:rsidRDefault="001E2F9C" w:rsidP="001515D5">
            <w:r>
              <w:t>9.30%</w:t>
            </w:r>
          </w:p>
        </w:tc>
      </w:tr>
      <w:tr w:rsidR="001E2F9C" w14:paraId="1EE584FE" w14:textId="77777777" w:rsidTr="001515D5">
        <w:tc>
          <w:tcPr>
            <w:tcW w:w="4675" w:type="dxa"/>
            <w:vAlign w:val="bottom"/>
          </w:tcPr>
          <w:p w14:paraId="2C9416CA" w14:textId="77777777" w:rsidR="001E2F9C" w:rsidRDefault="001E2F9C" w:rsidP="001515D5">
            <w:r>
              <w:t>McCormick</w:t>
            </w:r>
          </w:p>
        </w:tc>
        <w:tc>
          <w:tcPr>
            <w:tcW w:w="4675" w:type="dxa"/>
            <w:vAlign w:val="bottom"/>
          </w:tcPr>
          <w:p w14:paraId="483B1D72" w14:textId="77777777" w:rsidR="001E2F9C" w:rsidRDefault="001E2F9C" w:rsidP="001515D5">
            <w:r>
              <w:t>19.00%</w:t>
            </w:r>
          </w:p>
        </w:tc>
      </w:tr>
      <w:tr w:rsidR="001E2F9C" w14:paraId="10DB9F58" w14:textId="77777777" w:rsidTr="001515D5">
        <w:tc>
          <w:tcPr>
            <w:tcW w:w="4675" w:type="dxa"/>
            <w:vAlign w:val="bottom"/>
          </w:tcPr>
          <w:p w14:paraId="662BD14C" w14:textId="77777777" w:rsidR="001E2F9C" w:rsidRDefault="001E2F9C" w:rsidP="001515D5">
            <w:r>
              <w:t>Marion</w:t>
            </w:r>
          </w:p>
        </w:tc>
        <w:tc>
          <w:tcPr>
            <w:tcW w:w="4675" w:type="dxa"/>
            <w:vAlign w:val="bottom"/>
          </w:tcPr>
          <w:p w14:paraId="3A094653" w14:textId="77777777" w:rsidR="001E2F9C" w:rsidRDefault="001E2F9C" w:rsidP="001515D5">
            <w:r>
              <w:t>29.50%</w:t>
            </w:r>
          </w:p>
        </w:tc>
      </w:tr>
      <w:tr w:rsidR="001E2F9C" w14:paraId="237D30DA" w14:textId="77777777" w:rsidTr="001515D5">
        <w:tc>
          <w:tcPr>
            <w:tcW w:w="4675" w:type="dxa"/>
            <w:vAlign w:val="bottom"/>
          </w:tcPr>
          <w:p w14:paraId="547CA77E" w14:textId="77777777" w:rsidR="001E2F9C" w:rsidRDefault="001E2F9C" w:rsidP="001515D5">
            <w:r>
              <w:t>Marlboro</w:t>
            </w:r>
          </w:p>
        </w:tc>
        <w:tc>
          <w:tcPr>
            <w:tcW w:w="4675" w:type="dxa"/>
            <w:vAlign w:val="bottom"/>
          </w:tcPr>
          <w:p w14:paraId="4D327346" w14:textId="77777777" w:rsidR="001E2F9C" w:rsidRDefault="001E2F9C" w:rsidP="001515D5">
            <w:r>
              <w:t>35.00%</w:t>
            </w:r>
          </w:p>
        </w:tc>
      </w:tr>
      <w:tr w:rsidR="001E2F9C" w14:paraId="28116D3C" w14:textId="77777777" w:rsidTr="001515D5">
        <w:tc>
          <w:tcPr>
            <w:tcW w:w="4675" w:type="dxa"/>
            <w:vAlign w:val="bottom"/>
          </w:tcPr>
          <w:p w14:paraId="14C7EEAB" w14:textId="77777777" w:rsidR="001E2F9C" w:rsidRDefault="001E2F9C" w:rsidP="001515D5">
            <w:r>
              <w:t>Newberry</w:t>
            </w:r>
          </w:p>
        </w:tc>
        <w:tc>
          <w:tcPr>
            <w:tcW w:w="4675" w:type="dxa"/>
            <w:vAlign w:val="bottom"/>
          </w:tcPr>
          <w:p w14:paraId="551BD6EF" w14:textId="77777777" w:rsidR="001E2F9C" w:rsidRDefault="001E2F9C" w:rsidP="001515D5">
            <w:r>
              <w:t>20.60%</w:t>
            </w:r>
          </w:p>
        </w:tc>
      </w:tr>
      <w:tr w:rsidR="001E2F9C" w14:paraId="3D96334A" w14:textId="77777777" w:rsidTr="001515D5">
        <w:tc>
          <w:tcPr>
            <w:tcW w:w="4675" w:type="dxa"/>
            <w:vAlign w:val="bottom"/>
          </w:tcPr>
          <w:p w14:paraId="3F986B8B" w14:textId="77777777" w:rsidR="001E2F9C" w:rsidRDefault="001E2F9C" w:rsidP="001515D5">
            <w:r>
              <w:t>Oconee</w:t>
            </w:r>
          </w:p>
        </w:tc>
        <w:tc>
          <w:tcPr>
            <w:tcW w:w="4675" w:type="dxa"/>
            <w:vAlign w:val="bottom"/>
          </w:tcPr>
          <w:p w14:paraId="556277AE" w14:textId="77777777" w:rsidR="001E2F9C" w:rsidRDefault="001E2F9C" w:rsidP="001515D5">
            <w:r>
              <w:t>16.60%</w:t>
            </w:r>
          </w:p>
        </w:tc>
      </w:tr>
      <w:tr w:rsidR="001E2F9C" w14:paraId="66D42A44" w14:textId="77777777" w:rsidTr="001515D5">
        <w:tc>
          <w:tcPr>
            <w:tcW w:w="4675" w:type="dxa"/>
            <w:vAlign w:val="bottom"/>
          </w:tcPr>
          <w:p w14:paraId="463A78FF" w14:textId="77777777" w:rsidR="001E2F9C" w:rsidRDefault="001E2F9C" w:rsidP="001515D5">
            <w:r>
              <w:t>Orangeburg</w:t>
            </w:r>
          </w:p>
        </w:tc>
        <w:tc>
          <w:tcPr>
            <w:tcW w:w="4675" w:type="dxa"/>
            <w:vAlign w:val="bottom"/>
          </w:tcPr>
          <w:p w14:paraId="4C40A3AE" w14:textId="77777777" w:rsidR="001E2F9C" w:rsidRDefault="001E2F9C" w:rsidP="001515D5">
            <w:r>
              <w:t>22.60%</w:t>
            </w:r>
          </w:p>
        </w:tc>
      </w:tr>
      <w:tr w:rsidR="001E2F9C" w14:paraId="78F118AE" w14:textId="77777777" w:rsidTr="001515D5">
        <w:tc>
          <w:tcPr>
            <w:tcW w:w="4675" w:type="dxa"/>
            <w:vAlign w:val="bottom"/>
          </w:tcPr>
          <w:p w14:paraId="74666DA8" w14:textId="77777777" w:rsidR="001E2F9C" w:rsidRDefault="001E2F9C" w:rsidP="001515D5">
            <w:r>
              <w:t>Pickens</w:t>
            </w:r>
          </w:p>
        </w:tc>
        <w:tc>
          <w:tcPr>
            <w:tcW w:w="4675" w:type="dxa"/>
            <w:vAlign w:val="bottom"/>
          </w:tcPr>
          <w:p w14:paraId="1889C902" w14:textId="77777777" w:rsidR="001E2F9C" w:rsidRDefault="001E2F9C" w:rsidP="001515D5">
            <w:r>
              <w:t>14.90%</w:t>
            </w:r>
          </w:p>
        </w:tc>
      </w:tr>
      <w:tr w:rsidR="001E2F9C" w14:paraId="12506A57" w14:textId="77777777" w:rsidTr="001515D5">
        <w:tc>
          <w:tcPr>
            <w:tcW w:w="4675" w:type="dxa"/>
            <w:vAlign w:val="bottom"/>
          </w:tcPr>
          <w:p w14:paraId="544CCBF0" w14:textId="77777777" w:rsidR="001E2F9C" w:rsidRDefault="001E2F9C" w:rsidP="001515D5">
            <w:r>
              <w:t>Richland</w:t>
            </w:r>
          </w:p>
        </w:tc>
        <w:tc>
          <w:tcPr>
            <w:tcW w:w="4675" w:type="dxa"/>
            <w:vAlign w:val="bottom"/>
          </w:tcPr>
          <w:p w14:paraId="21389247" w14:textId="77777777" w:rsidR="001E2F9C" w:rsidRDefault="001E2F9C" w:rsidP="001515D5">
            <w:r>
              <w:t>12.20%</w:t>
            </w:r>
          </w:p>
        </w:tc>
      </w:tr>
      <w:tr w:rsidR="001E2F9C" w14:paraId="74ADF27B" w14:textId="77777777" w:rsidTr="001515D5">
        <w:tc>
          <w:tcPr>
            <w:tcW w:w="4675" w:type="dxa"/>
            <w:vAlign w:val="bottom"/>
          </w:tcPr>
          <w:p w14:paraId="320C3617" w14:textId="77777777" w:rsidR="001E2F9C" w:rsidRDefault="001E2F9C" w:rsidP="001515D5">
            <w:r>
              <w:t>Saluda</w:t>
            </w:r>
          </w:p>
        </w:tc>
        <w:tc>
          <w:tcPr>
            <w:tcW w:w="4675" w:type="dxa"/>
            <w:vAlign w:val="bottom"/>
          </w:tcPr>
          <w:p w14:paraId="1983E9D3" w14:textId="77777777" w:rsidR="001E2F9C" w:rsidRDefault="001E2F9C" w:rsidP="001515D5">
            <w:r>
              <w:t>21.70%</w:t>
            </w:r>
          </w:p>
        </w:tc>
      </w:tr>
      <w:tr w:rsidR="001E2F9C" w14:paraId="765C6AAC" w14:textId="77777777" w:rsidTr="001515D5">
        <w:tc>
          <w:tcPr>
            <w:tcW w:w="4675" w:type="dxa"/>
            <w:vAlign w:val="bottom"/>
          </w:tcPr>
          <w:p w14:paraId="503C46AD" w14:textId="77777777" w:rsidR="001E2F9C" w:rsidRDefault="001E2F9C" w:rsidP="001515D5">
            <w:r>
              <w:t>Spartanburg</w:t>
            </w:r>
          </w:p>
        </w:tc>
        <w:tc>
          <w:tcPr>
            <w:tcW w:w="4675" w:type="dxa"/>
            <w:vAlign w:val="bottom"/>
          </w:tcPr>
          <w:p w14:paraId="33704D90" w14:textId="77777777" w:rsidR="001E2F9C" w:rsidRDefault="001E2F9C" w:rsidP="001515D5">
            <w:r>
              <w:t>14.00%</w:t>
            </w:r>
          </w:p>
        </w:tc>
      </w:tr>
      <w:tr w:rsidR="001E2F9C" w14:paraId="4ABC50C3" w14:textId="77777777" w:rsidTr="001515D5">
        <w:tc>
          <w:tcPr>
            <w:tcW w:w="4675" w:type="dxa"/>
            <w:vAlign w:val="bottom"/>
          </w:tcPr>
          <w:p w14:paraId="52752EC3" w14:textId="77777777" w:rsidR="001E2F9C" w:rsidRDefault="001E2F9C" w:rsidP="001515D5">
            <w:r>
              <w:t>Sumter</w:t>
            </w:r>
          </w:p>
        </w:tc>
        <w:tc>
          <w:tcPr>
            <w:tcW w:w="4675" w:type="dxa"/>
            <w:vAlign w:val="bottom"/>
          </w:tcPr>
          <w:p w14:paraId="748FC66E" w14:textId="77777777" w:rsidR="001E2F9C" w:rsidRDefault="001E2F9C" w:rsidP="001515D5">
            <w:r>
              <w:t>17.70%</w:t>
            </w:r>
          </w:p>
        </w:tc>
      </w:tr>
      <w:tr w:rsidR="001E2F9C" w14:paraId="195BE9AF" w14:textId="77777777" w:rsidTr="001515D5">
        <w:tc>
          <w:tcPr>
            <w:tcW w:w="4675" w:type="dxa"/>
            <w:vAlign w:val="bottom"/>
          </w:tcPr>
          <w:p w14:paraId="35732AC6" w14:textId="77777777" w:rsidR="001E2F9C" w:rsidRDefault="001E2F9C" w:rsidP="001515D5">
            <w:r>
              <w:t>Union</w:t>
            </w:r>
          </w:p>
        </w:tc>
        <w:tc>
          <w:tcPr>
            <w:tcW w:w="4675" w:type="dxa"/>
            <w:vAlign w:val="bottom"/>
          </w:tcPr>
          <w:p w14:paraId="1E3CB0EB" w14:textId="77777777" w:rsidR="001E2F9C" w:rsidRDefault="001E2F9C" w:rsidP="001515D5">
            <w:r>
              <w:t>21.00%</w:t>
            </w:r>
          </w:p>
        </w:tc>
      </w:tr>
      <w:tr w:rsidR="001E2F9C" w14:paraId="31D31210" w14:textId="77777777" w:rsidTr="001515D5">
        <w:tc>
          <w:tcPr>
            <w:tcW w:w="4675" w:type="dxa"/>
            <w:vAlign w:val="bottom"/>
          </w:tcPr>
          <w:p w14:paraId="7620AEE5" w14:textId="77777777" w:rsidR="001E2F9C" w:rsidRDefault="001E2F9C" w:rsidP="001515D5">
            <w:r>
              <w:t>Williamsburg</w:t>
            </w:r>
          </w:p>
        </w:tc>
        <w:tc>
          <w:tcPr>
            <w:tcW w:w="4675" w:type="dxa"/>
            <w:vAlign w:val="bottom"/>
          </w:tcPr>
          <w:p w14:paraId="5EE27C9A" w14:textId="77777777" w:rsidR="001E2F9C" w:rsidRDefault="001E2F9C" w:rsidP="001515D5">
            <w:r>
              <w:t>28.10%</w:t>
            </w:r>
          </w:p>
        </w:tc>
      </w:tr>
      <w:tr w:rsidR="001E2F9C" w14:paraId="1BB1A63A" w14:textId="77777777" w:rsidTr="001515D5">
        <w:tc>
          <w:tcPr>
            <w:tcW w:w="4675" w:type="dxa"/>
            <w:vAlign w:val="bottom"/>
          </w:tcPr>
          <w:p w14:paraId="0968BBCB" w14:textId="77777777" w:rsidR="001E2F9C" w:rsidRDefault="001E2F9C" w:rsidP="001515D5">
            <w:r>
              <w:t>York</w:t>
            </w:r>
          </w:p>
        </w:tc>
        <w:tc>
          <w:tcPr>
            <w:tcW w:w="4675" w:type="dxa"/>
            <w:vAlign w:val="bottom"/>
          </w:tcPr>
          <w:p w14:paraId="11F91545" w14:textId="77777777" w:rsidR="001E2F9C" w:rsidRDefault="001E2F9C" w:rsidP="001515D5">
            <w:r>
              <w:t>7.50%</w:t>
            </w:r>
          </w:p>
        </w:tc>
      </w:tr>
    </w:tbl>
    <w:p w14:paraId="0942AE5B" w14:textId="77777777" w:rsidR="001E2F9C" w:rsidRDefault="001E2F9C" w:rsidP="001E2F9C">
      <w:r>
        <w:t>Source: US Census Bureau ACS, 2017-2021.</w:t>
      </w:r>
    </w:p>
    <w:p w14:paraId="5E277DC6" w14:textId="77777777" w:rsidR="001E2F9C" w:rsidRDefault="001E2F9C" w:rsidP="001E2F9C">
      <w:r>
        <w:t>Note: 5-year estimates.</w:t>
      </w:r>
    </w:p>
    <w:p w14:paraId="4F9D8D12" w14:textId="77777777" w:rsidR="00722CE9" w:rsidRDefault="00722CE9" w:rsidP="00722CE9"/>
    <w:p w14:paraId="65A8F2F5" w14:textId="77777777" w:rsidR="00722CE9" w:rsidRPr="00722CE9" w:rsidRDefault="00722CE9" w:rsidP="00751E60">
      <w:pPr>
        <w:pStyle w:val="Heading3"/>
      </w:pPr>
      <w:bookmarkStart w:id="90" w:name="_Toc162267044"/>
      <w:r w:rsidRPr="00722CE9">
        <w:lastRenderedPageBreak/>
        <w:t>Transportation</w:t>
      </w:r>
      <w:bookmarkEnd w:id="90"/>
    </w:p>
    <w:p w14:paraId="3A4D3B82" w14:textId="6A2C20FA" w:rsidR="00722CE9" w:rsidRPr="00722CE9" w:rsidRDefault="00722CE9" w:rsidP="00722CE9">
      <w:r w:rsidRPr="00722CE9">
        <w:t>Transportation is an essential component of any society. It provides opportunities to access goods and services, plays a critical role in economic development, and improves quality of life.</w:t>
      </w:r>
      <w:r>
        <w:rPr>
          <w:b/>
          <w:bCs/>
        </w:rPr>
        <w:t xml:space="preserve"> </w:t>
      </w:r>
      <w:r w:rsidRPr="00722CE9">
        <w:t xml:space="preserve">Transportation systems can encourage or discourage healthy behaviors and are important in improving population health outcomes. </w:t>
      </w:r>
    </w:p>
    <w:p w14:paraId="3FF0B6A7" w14:textId="1662DFB0" w:rsidR="00722CE9" w:rsidRPr="00722CE9" w:rsidRDefault="00722CE9" w:rsidP="00722CE9">
      <w:r w:rsidRPr="00722CE9">
        <w:t>A lack of transportation options in society impacts economic and health care costs. Transportation is a commonly identified barrier to accessing health care, especially for disadvantaged populations and those who reside in rural areas.</w:t>
      </w:r>
      <w:r>
        <w:rPr>
          <w:b/>
          <w:bCs/>
        </w:rPr>
        <w:t xml:space="preserve"> </w:t>
      </w:r>
      <w:r w:rsidRPr="00722CE9">
        <w:t xml:space="preserve">Minority and special populations, including children, the </w:t>
      </w:r>
      <w:proofErr w:type="gramStart"/>
      <w:r w:rsidRPr="00722CE9">
        <w:t>elderly</w:t>
      </w:r>
      <w:proofErr w:type="gramEnd"/>
      <w:r w:rsidRPr="00722CE9">
        <w:t xml:space="preserve"> and veterans, have frequently reported that transportation barriers affected their health care use, resulting in lower rates of prescriptions filled, more missed appointments, and fewer health care visits.</w:t>
      </w:r>
    </w:p>
    <w:p w14:paraId="14BA2E97" w14:textId="77777777" w:rsidR="00722CE9" w:rsidRDefault="00722CE9" w:rsidP="00722CE9"/>
    <w:p w14:paraId="109C0900" w14:textId="7D8C9196" w:rsidR="00722CE9" w:rsidRPr="00722CE9" w:rsidRDefault="00722CE9" w:rsidP="00722CE9">
      <w:r w:rsidRPr="00722CE9">
        <w:t>For those reporting employment in SC in 2021, 77.3% of residents drove alone to work. Comparatively, only 8.0% carpooled, and another 11.7% worked from home (</w:t>
      </w:r>
      <w:r w:rsidRPr="00722CE9">
        <w:rPr>
          <w:b/>
          <w:bCs/>
        </w:rPr>
        <w:t>Figure 4.9</w:t>
      </w:r>
      <w:r w:rsidRPr="00722CE9">
        <w:t>). Less than 1.0% of SC residents used public transportation to get to work.</w:t>
      </w:r>
    </w:p>
    <w:p w14:paraId="446B0F72" w14:textId="77777777" w:rsidR="00722CE9" w:rsidRDefault="00722CE9" w:rsidP="00722CE9"/>
    <w:p w14:paraId="13739E5B" w14:textId="77777777" w:rsidR="001E2F9C" w:rsidRPr="00555D13" w:rsidRDefault="001E2F9C" w:rsidP="001E2F9C">
      <w:pPr>
        <w:pStyle w:val="Heading4"/>
      </w:pPr>
      <w:bookmarkStart w:id="91" w:name="_Toc154569772"/>
      <w:bookmarkStart w:id="92" w:name="_Toc162267045"/>
      <w:r w:rsidRPr="00555D13">
        <w:t>Figure 4.9: Method of Transportation to Work</w:t>
      </w:r>
      <w:r>
        <w:t>.</w:t>
      </w:r>
      <w:bookmarkEnd w:id="91"/>
      <w:bookmarkEnd w:id="92"/>
    </w:p>
    <w:tbl>
      <w:tblPr>
        <w:tblStyle w:val="TableGrid"/>
        <w:tblW w:w="0" w:type="auto"/>
        <w:tblLook w:val="04A0" w:firstRow="1" w:lastRow="0" w:firstColumn="1" w:lastColumn="0" w:noHBand="0" w:noVBand="1"/>
      </w:tblPr>
      <w:tblGrid>
        <w:gridCol w:w="4675"/>
        <w:gridCol w:w="4675"/>
      </w:tblGrid>
      <w:tr w:rsidR="001E2F9C" w14:paraId="1F963A96" w14:textId="77777777" w:rsidTr="001515D5">
        <w:tc>
          <w:tcPr>
            <w:tcW w:w="4675" w:type="dxa"/>
            <w:vAlign w:val="bottom"/>
          </w:tcPr>
          <w:p w14:paraId="558EC29A" w14:textId="77777777" w:rsidR="001E2F9C" w:rsidRDefault="001E2F9C" w:rsidP="001515D5">
            <w:r>
              <w:t>Transportation Type</w:t>
            </w:r>
          </w:p>
        </w:tc>
        <w:tc>
          <w:tcPr>
            <w:tcW w:w="4675" w:type="dxa"/>
            <w:vAlign w:val="bottom"/>
          </w:tcPr>
          <w:p w14:paraId="60CC7AF7" w14:textId="77777777" w:rsidR="001E2F9C" w:rsidRDefault="001E2F9C" w:rsidP="001515D5">
            <w:r>
              <w:t>Percent</w:t>
            </w:r>
          </w:p>
        </w:tc>
      </w:tr>
      <w:tr w:rsidR="001E2F9C" w14:paraId="3B6E4742" w14:textId="77777777" w:rsidTr="001515D5">
        <w:tc>
          <w:tcPr>
            <w:tcW w:w="4675" w:type="dxa"/>
            <w:vAlign w:val="bottom"/>
          </w:tcPr>
          <w:p w14:paraId="615252B3" w14:textId="77777777" w:rsidR="001E2F9C" w:rsidRDefault="001E2F9C" w:rsidP="001515D5">
            <w:r>
              <w:t>Drove Alone</w:t>
            </w:r>
          </w:p>
        </w:tc>
        <w:tc>
          <w:tcPr>
            <w:tcW w:w="4675" w:type="dxa"/>
            <w:vAlign w:val="bottom"/>
          </w:tcPr>
          <w:p w14:paraId="2E3B7E6F" w14:textId="77777777" w:rsidR="001E2F9C" w:rsidRDefault="001E2F9C" w:rsidP="001515D5">
            <w:r>
              <w:t>77.3%</w:t>
            </w:r>
          </w:p>
        </w:tc>
      </w:tr>
      <w:tr w:rsidR="001E2F9C" w14:paraId="03E8A436" w14:textId="77777777" w:rsidTr="001515D5">
        <w:tc>
          <w:tcPr>
            <w:tcW w:w="4675" w:type="dxa"/>
            <w:vAlign w:val="bottom"/>
          </w:tcPr>
          <w:p w14:paraId="10B08E24" w14:textId="77777777" w:rsidR="001E2F9C" w:rsidRDefault="001E2F9C" w:rsidP="001515D5">
            <w:r>
              <w:t>Worked From Home</w:t>
            </w:r>
          </w:p>
        </w:tc>
        <w:tc>
          <w:tcPr>
            <w:tcW w:w="4675" w:type="dxa"/>
            <w:vAlign w:val="bottom"/>
          </w:tcPr>
          <w:p w14:paraId="6049A26A" w14:textId="77777777" w:rsidR="001E2F9C" w:rsidRDefault="001E2F9C" w:rsidP="001515D5">
            <w:r>
              <w:t>11.7%</w:t>
            </w:r>
          </w:p>
        </w:tc>
      </w:tr>
      <w:tr w:rsidR="001E2F9C" w14:paraId="18AEA8DA" w14:textId="77777777" w:rsidTr="001515D5">
        <w:tc>
          <w:tcPr>
            <w:tcW w:w="4675" w:type="dxa"/>
            <w:vAlign w:val="bottom"/>
          </w:tcPr>
          <w:p w14:paraId="0EF06E15" w14:textId="77777777" w:rsidR="001E2F9C" w:rsidRDefault="001E2F9C" w:rsidP="001515D5">
            <w:r>
              <w:t>Carpooled</w:t>
            </w:r>
          </w:p>
        </w:tc>
        <w:tc>
          <w:tcPr>
            <w:tcW w:w="4675" w:type="dxa"/>
            <w:vAlign w:val="bottom"/>
          </w:tcPr>
          <w:p w14:paraId="38BBD387" w14:textId="77777777" w:rsidR="001E2F9C" w:rsidRDefault="001E2F9C" w:rsidP="001515D5">
            <w:r>
              <w:t>8.0%</w:t>
            </w:r>
          </w:p>
        </w:tc>
      </w:tr>
      <w:tr w:rsidR="001E2F9C" w14:paraId="01EDE397" w14:textId="77777777" w:rsidTr="001515D5">
        <w:tc>
          <w:tcPr>
            <w:tcW w:w="4675" w:type="dxa"/>
            <w:vAlign w:val="bottom"/>
          </w:tcPr>
          <w:p w14:paraId="7F907F9E" w14:textId="77777777" w:rsidR="001E2F9C" w:rsidRDefault="001E2F9C" w:rsidP="001515D5">
            <w:r>
              <w:t>Taxicab, Bike, or Other Means</w:t>
            </w:r>
          </w:p>
        </w:tc>
        <w:tc>
          <w:tcPr>
            <w:tcW w:w="4675" w:type="dxa"/>
            <w:vAlign w:val="bottom"/>
          </w:tcPr>
          <w:p w14:paraId="657CDB17" w14:textId="77777777" w:rsidR="001E2F9C" w:rsidRDefault="001E2F9C" w:rsidP="001515D5">
            <w:r>
              <w:t>1.7%</w:t>
            </w:r>
          </w:p>
        </w:tc>
      </w:tr>
      <w:tr w:rsidR="001E2F9C" w14:paraId="26AAC14B" w14:textId="77777777" w:rsidTr="001515D5">
        <w:tc>
          <w:tcPr>
            <w:tcW w:w="4675" w:type="dxa"/>
            <w:vAlign w:val="bottom"/>
          </w:tcPr>
          <w:p w14:paraId="1E40D05B" w14:textId="77777777" w:rsidR="001E2F9C" w:rsidRDefault="001E2F9C" w:rsidP="001515D5">
            <w:r>
              <w:t>Walked</w:t>
            </w:r>
          </w:p>
        </w:tc>
        <w:tc>
          <w:tcPr>
            <w:tcW w:w="4675" w:type="dxa"/>
            <w:vAlign w:val="bottom"/>
          </w:tcPr>
          <w:p w14:paraId="3785E4E4" w14:textId="77777777" w:rsidR="001E2F9C" w:rsidRDefault="001E2F9C" w:rsidP="001515D5">
            <w:r>
              <w:t>1.0%</w:t>
            </w:r>
          </w:p>
        </w:tc>
      </w:tr>
      <w:tr w:rsidR="001E2F9C" w14:paraId="24B84FC1" w14:textId="77777777" w:rsidTr="001515D5">
        <w:tc>
          <w:tcPr>
            <w:tcW w:w="4675" w:type="dxa"/>
            <w:vAlign w:val="bottom"/>
          </w:tcPr>
          <w:p w14:paraId="7FC61224" w14:textId="77777777" w:rsidR="001E2F9C" w:rsidRDefault="001E2F9C" w:rsidP="001515D5">
            <w:r>
              <w:t>Public Transportation</w:t>
            </w:r>
          </w:p>
        </w:tc>
        <w:tc>
          <w:tcPr>
            <w:tcW w:w="4675" w:type="dxa"/>
            <w:vAlign w:val="bottom"/>
          </w:tcPr>
          <w:p w14:paraId="6CB2DC3F" w14:textId="77777777" w:rsidR="001E2F9C" w:rsidRDefault="001E2F9C" w:rsidP="001515D5">
            <w:r>
              <w:t>0.3%</w:t>
            </w:r>
          </w:p>
        </w:tc>
      </w:tr>
    </w:tbl>
    <w:p w14:paraId="4DD8641F" w14:textId="77777777" w:rsidR="001E2F9C" w:rsidRDefault="001E2F9C" w:rsidP="001E2F9C">
      <w:r>
        <w:t xml:space="preserve">Source: US Census Bureau ACS, 2021. </w:t>
      </w:r>
    </w:p>
    <w:p w14:paraId="0185DE45" w14:textId="77777777" w:rsidR="001E2F9C" w:rsidRDefault="001E2F9C" w:rsidP="001E2F9C">
      <w:r>
        <w:t>Notes: 1-year estimates, workers 16+.</w:t>
      </w:r>
    </w:p>
    <w:p w14:paraId="1CF2A843" w14:textId="77777777" w:rsidR="00722CE9" w:rsidRDefault="00722CE9" w:rsidP="00722CE9"/>
    <w:p w14:paraId="4D1200CB" w14:textId="459A1D83" w:rsidR="00722CE9" w:rsidRPr="00722CE9" w:rsidRDefault="00722CE9" w:rsidP="00722CE9">
      <w:r w:rsidRPr="00722CE9">
        <w:t>In 2021, 38.6% of SC households had two vehicles, 32.7% had one vehicle, and 23.5% had three or more vehicles. In comparison, 5.2% of households had no vehicle available to them (</w:t>
      </w:r>
      <w:r w:rsidRPr="00722CE9">
        <w:rPr>
          <w:b/>
          <w:bCs/>
        </w:rPr>
        <w:t>Figure 4.10</w:t>
      </w:r>
      <w:r w:rsidRPr="00722CE9">
        <w:t>).</w:t>
      </w:r>
    </w:p>
    <w:p w14:paraId="6763E9C5" w14:textId="77777777" w:rsidR="00722CE9" w:rsidRDefault="00722CE9" w:rsidP="00722CE9"/>
    <w:p w14:paraId="12CA4FE3" w14:textId="77777777" w:rsidR="001E2F9C" w:rsidRPr="00555D13" w:rsidRDefault="001E2F9C" w:rsidP="001E2F9C">
      <w:pPr>
        <w:pStyle w:val="Heading4"/>
      </w:pPr>
      <w:bookmarkStart w:id="93" w:name="_Toc154569773"/>
      <w:bookmarkStart w:id="94" w:name="_Toc162267046"/>
      <w:r w:rsidRPr="00555D13">
        <w:t>Figure 4.10: Households with a Motor Vehicle</w:t>
      </w:r>
      <w:r>
        <w:t>.</w:t>
      </w:r>
      <w:bookmarkEnd w:id="93"/>
      <w:bookmarkEnd w:id="94"/>
    </w:p>
    <w:tbl>
      <w:tblPr>
        <w:tblStyle w:val="TableGrid"/>
        <w:tblW w:w="0" w:type="auto"/>
        <w:tblLook w:val="04A0" w:firstRow="1" w:lastRow="0" w:firstColumn="1" w:lastColumn="0" w:noHBand="0" w:noVBand="1"/>
      </w:tblPr>
      <w:tblGrid>
        <w:gridCol w:w="4675"/>
        <w:gridCol w:w="4675"/>
      </w:tblGrid>
      <w:tr w:rsidR="001E2F9C" w14:paraId="35BC4040" w14:textId="77777777" w:rsidTr="001515D5">
        <w:tc>
          <w:tcPr>
            <w:tcW w:w="4675" w:type="dxa"/>
            <w:vAlign w:val="bottom"/>
          </w:tcPr>
          <w:p w14:paraId="7667634B" w14:textId="77777777" w:rsidR="001E2F9C" w:rsidRDefault="001E2F9C" w:rsidP="001515D5">
            <w:r>
              <w:t>Transportation</w:t>
            </w:r>
          </w:p>
        </w:tc>
        <w:tc>
          <w:tcPr>
            <w:tcW w:w="4675" w:type="dxa"/>
            <w:vAlign w:val="bottom"/>
          </w:tcPr>
          <w:p w14:paraId="77593E69" w14:textId="77777777" w:rsidR="001E2F9C" w:rsidRDefault="001E2F9C" w:rsidP="001515D5">
            <w:r>
              <w:t>Percent</w:t>
            </w:r>
          </w:p>
        </w:tc>
      </w:tr>
      <w:tr w:rsidR="001E2F9C" w14:paraId="63F8B38D" w14:textId="77777777" w:rsidTr="001515D5">
        <w:tc>
          <w:tcPr>
            <w:tcW w:w="4675" w:type="dxa"/>
            <w:vAlign w:val="bottom"/>
          </w:tcPr>
          <w:p w14:paraId="11F9A5B4" w14:textId="77777777" w:rsidR="001E2F9C" w:rsidRDefault="001E2F9C" w:rsidP="001515D5">
            <w:r>
              <w:t>No Vehicle</w:t>
            </w:r>
          </w:p>
        </w:tc>
        <w:tc>
          <w:tcPr>
            <w:tcW w:w="4675" w:type="dxa"/>
            <w:vAlign w:val="bottom"/>
          </w:tcPr>
          <w:p w14:paraId="3156A4B0" w14:textId="77777777" w:rsidR="001E2F9C" w:rsidRDefault="001E2F9C" w:rsidP="001515D5">
            <w:r>
              <w:t>5.2%</w:t>
            </w:r>
          </w:p>
        </w:tc>
      </w:tr>
      <w:tr w:rsidR="001E2F9C" w14:paraId="177C1185" w14:textId="77777777" w:rsidTr="001515D5">
        <w:tc>
          <w:tcPr>
            <w:tcW w:w="4675" w:type="dxa"/>
            <w:vAlign w:val="bottom"/>
          </w:tcPr>
          <w:p w14:paraId="570D0A3A" w14:textId="77777777" w:rsidR="001E2F9C" w:rsidRDefault="001E2F9C" w:rsidP="001515D5">
            <w:r>
              <w:t>1 Vehicle</w:t>
            </w:r>
          </w:p>
        </w:tc>
        <w:tc>
          <w:tcPr>
            <w:tcW w:w="4675" w:type="dxa"/>
            <w:vAlign w:val="bottom"/>
          </w:tcPr>
          <w:p w14:paraId="2A4E4364" w14:textId="77777777" w:rsidR="001E2F9C" w:rsidRDefault="001E2F9C" w:rsidP="001515D5">
            <w:r>
              <w:t>32.7%</w:t>
            </w:r>
          </w:p>
        </w:tc>
      </w:tr>
      <w:tr w:rsidR="001E2F9C" w14:paraId="4C551A9E" w14:textId="77777777" w:rsidTr="001515D5">
        <w:tc>
          <w:tcPr>
            <w:tcW w:w="4675" w:type="dxa"/>
            <w:vAlign w:val="bottom"/>
          </w:tcPr>
          <w:p w14:paraId="0DB8EC04" w14:textId="77777777" w:rsidR="001E2F9C" w:rsidRDefault="001E2F9C" w:rsidP="001515D5">
            <w:r>
              <w:lastRenderedPageBreak/>
              <w:t>2 Vehicles</w:t>
            </w:r>
          </w:p>
        </w:tc>
        <w:tc>
          <w:tcPr>
            <w:tcW w:w="4675" w:type="dxa"/>
            <w:vAlign w:val="bottom"/>
          </w:tcPr>
          <w:p w14:paraId="0A4320FC" w14:textId="77777777" w:rsidR="001E2F9C" w:rsidRDefault="001E2F9C" w:rsidP="001515D5">
            <w:r>
              <w:t>38.6%</w:t>
            </w:r>
          </w:p>
        </w:tc>
      </w:tr>
      <w:tr w:rsidR="001E2F9C" w14:paraId="2E146887" w14:textId="77777777" w:rsidTr="001515D5">
        <w:tc>
          <w:tcPr>
            <w:tcW w:w="4675" w:type="dxa"/>
            <w:vAlign w:val="bottom"/>
          </w:tcPr>
          <w:p w14:paraId="77EB0CA4" w14:textId="77777777" w:rsidR="001E2F9C" w:rsidRDefault="001E2F9C" w:rsidP="001515D5">
            <w:r>
              <w:t>3 or more Vehicles</w:t>
            </w:r>
          </w:p>
        </w:tc>
        <w:tc>
          <w:tcPr>
            <w:tcW w:w="4675" w:type="dxa"/>
            <w:vAlign w:val="bottom"/>
          </w:tcPr>
          <w:p w14:paraId="0F50E957" w14:textId="77777777" w:rsidR="001E2F9C" w:rsidRDefault="001E2F9C" w:rsidP="001515D5">
            <w:r>
              <w:t>23.5%</w:t>
            </w:r>
          </w:p>
        </w:tc>
      </w:tr>
    </w:tbl>
    <w:p w14:paraId="5FFAC62D" w14:textId="77777777" w:rsidR="001E2F9C" w:rsidRDefault="001E2F9C" w:rsidP="001E2F9C">
      <w:r>
        <w:t>Source: US Census Bureau ACS, 2021.</w:t>
      </w:r>
    </w:p>
    <w:p w14:paraId="3291A2F6" w14:textId="77777777" w:rsidR="001E2F9C" w:rsidRDefault="001E2F9C" w:rsidP="001E2F9C">
      <w:r>
        <w:t>Notes: 1-year estimates, vehicle availability for households.</w:t>
      </w:r>
    </w:p>
    <w:p w14:paraId="72B2DE94" w14:textId="77777777" w:rsidR="00722CE9" w:rsidRDefault="00722CE9" w:rsidP="00722CE9"/>
    <w:p w14:paraId="18C04027" w14:textId="6B0732FF" w:rsidR="00751E60" w:rsidRPr="00751E60" w:rsidRDefault="00751E60" w:rsidP="00751E60">
      <w:pPr>
        <w:pStyle w:val="Heading4"/>
        <w:rPr>
          <w:rFonts w:asciiTheme="minorHAnsi" w:hAnsiTheme="minorHAnsi" w:cstheme="minorHAnsi"/>
          <w:color w:val="auto"/>
        </w:rPr>
      </w:pPr>
      <w:bookmarkStart w:id="95" w:name="_Toc162267047"/>
      <w:r w:rsidRPr="00751E60">
        <w:rPr>
          <w:rFonts w:asciiTheme="minorHAnsi" w:hAnsiTheme="minorHAnsi" w:cstheme="minorHAnsi"/>
          <w:color w:val="auto"/>
        </w:rPr>
        <w:t>Chapter 4 References</w:t>
      </w:r>
      <w:bookmarkEnd w:id="95"/>
    </w:p>
    <w:p w14:paraId="6A39D2DD" w14:textId="1F04DDDE" w:rsidR="00722CE9" w:rsidRPr="00722CE9" w:rsidRDefault="00722CE9" w:rsidP="00722CE9">
      <w:r w:rsidRPr="00722CE9">
        <w:t>Statistics in the preceding</w:t>
      </w:r>
      <w:r>
        <w:t xml:space="preserve"> chapter</w:t>
      </w:r>
      <w:r w:rsidRPr="00722CE9">
        <w:t xml:space="preserve"> were referenced from the following report</w:t>
      </w:r>
      <w:r>
        <w:t>s</w:t>
      </w:r>
      <w:r w:rsidRPr="00722CE9">
        <w:t>:</w:t>
      </w:r>
    </w:p>
    <w:p w14:paraId="22A3F446" w14:textId="0F4823A7" w:rsidR="00722CE9" w:rsidRPr="00722CE9" w:rsidRDefault="00000000" w:rsidP="00751E60">
      <w:pPr>
        <w:pStyle w:val="ListParagraph"/>
        <w:numPr>
          <w:ilvl w:val="0"/>
          <w:numId w:val="238"/>
        </w:numPr>
      </w:pPr>
      <w:hyperlink r:id="rId18" w:history="1">
        <w:r w:rsidR="00722CE9" w:rsidRPr="00722CE9">
          <w:rPr>
            <w:rStyle w:val="Hyperlink"/>
          </w:rPr>
          <w:t xml:space="preserve"> “Association of internet access and inability to access health care during the COVID-19 pandemic 2020-2021” </w:t>
        </w:r>
        <w:r w:rsidR="00722CE9">
          <w:rPr>
            <w:rStyle w:val="Hyperlink"/>
          </w:rPr>
          <w:t>b</w:t>
        </w:r>
        <w:r w:rsidR="00722CE9" w:rsidRPr="00722CE9">
          <w:rPr>
            <w:rStyle w:val="Hyperlink"/>
          </w:rPr>
          <w:t>y Behr, C. L., &amp; Barnett, M. L., 2022.</w:t>
        </w:r>
      </w:hyperlink>
      <w:r w:rsidR="00722CE9" w:rsidRPr="00722CE9">
        <w:t xml:space="preserve"> </w:t>
      </w:r>
    </w:p>
    <w:p w14:paraId="06DEF414" w14:textId="531095FC" w:rsidR="00722CE9" w:rsidRPr="00722CE9" w:rsidRDefault="00000000" w:rsidP="00751E60">
      <w:pPr>
        <w:pStyle w:val="ListParagraph"/>
        <w:numPr>
          <w:ilvl w:val="0"/>
          <w:numId w:val="238"/>
        </w:numPr>
      </w:pPr>
      <w:hyperlink r:id="rId19" w:history="1">
        <w:r w:rsidR="003E38E5">
          <w:rPr>
            <w:rStyle w:val="Hyperlink"/>
          </w:rPr>
          <w:t xml:space="preserve">“Why public health and transportation: Setting the Stage” by Dannenberg, A. L., &amp; </w:t>
        </w:r>
        <w:proofErr w:type="spellStart"/>
        <w:r w:rsidR="003E38E5">
          <w:rPr>
            <w:rStyle w:val="Hyperlink"/>
          </w:rPr>
          <w:t>Sener</w:t>
        </w:r>
        <w:proofErr w:type="spellEnd"/>
        <w:r w:rsidR="003E38E5">
          <w:rPr>
            <w:rStyle w:val="Hyperlink"/>
          </w:rPr>
          <w:t>, I. N., 2015.</w:t>
        </w:r>
      </w:hyperlink>
      <w:r w:rsidR="00722CE9" w:rsidRPr="00722CE9">
        <w:t xml:space="preserve"> </w:t>
      </w:r>
    </w:p>
    <w:p w14:paraId="475541AF" w14:textId="77777777" w:rsidR="00722CE9" w:rsidRDefault="00722CE9" w:rsidP="00751E60">
      <w:pPr>
        <w:pStyle w:val="ListParagraph"/>
        <w:numPr>
          <w:ilvl w:val="0"/>
          <w:numId w:val="238"/>
        </w:numPr>
      </w:pPr>
      <w:r>
        <w:t>“</w:t>
      </w:r>
      <w:r w:rsidRPr="00722CE9">
        <w:t>Traveling towards disease: transportation barriers to health care access</w:t>
      </w:r>
      <w:r>
        <w:t>” by</w:t>
      </w:r>
      <w:r w:rsidRPr="00722CE9">
        <w:t xml:space="preserve"> Syed, S. T., Gerber, B. S., &amp; Sharp, L. K. </w:t>
      </w:r>
      <w:r>
        <w:t xml:space="preserve">in the Journal of Community Health, </w:t>
      </w:r>
      <w:r w:rsidRPr="00722CE9">
        <w:t xml:space="preserve">2013.  </w:t>
      </w:r>
    </w:p>
    <w:p w14:paraId="1948A292" w14:textId="77777777" w:rsidR="00722CE9" w:rsidRDefault="00722CE9" w:rsidP="00751E60">
      <w:pPr>
        <w:pStyle w:val="ListParagraph"/>
        <w:numPr>
          <w:ilvl w:val="0"/>
          <w:numId w:val="238"/>
        </w:numPr>
      </w:pPr>
      <w:r>
        <w:t>“</w:t>
      </w:r>
      <w:r w:rsidRPr="00722CE9">
        <w:t>The effects of geography and spatial behavior on health care use among the residents of a rural region</w:t>
      </w:r>
      <w:r>
        <w:t>” by</w:t>
      </w:r>
      <w:r w:rsidRPr="00722CE9">
        <w:t xml:space="preserve"> </w:t>
      </w:r>
      <w:proofErr w:type="spellStart"/>
      <w:r w:rsidRPr="00722CE9">
        <w:t>Arcury</w:t>
      </w:r>
      <w:proofErr w:type="spellEnd"/>
      <w:r w:rsidRPr="00722CE9">
        <w:t xml:space="preserve">, T. A., </w:t>
      </w:r>
      <w:proofErr w:type="spellStart"/>
      <w:r w:rsidRPr="00722CE9">
        <w:t>Gesler</w:t>
      </w:r>
      <w:proofErr w:type="spellEnd"/>
      <w:r w:rsidRPr="00722CE9">
        <w:t xml:space="preserve">, W. M., </w:t>
      </w:r>
      <w:proofErr w:type="spellStart"/>
      <w:r w:rsidRPr="00722CE9">
        <w:t>Preisser</w:t>
      </w:r>
      <w:proofErr w:type="spellEnd"/>
      <w:r w:rsidRPr="00722CE9">
        <w:t xml:space="preserve">, J. S., Sherman, J., Spencer, J., &amp; </w:t>
      </w:r>
      <w:proofErr w:type="spellStart"/>
      <w:r w:rsidRPr="00722CE9">
        <w:t>Perin</w:t>
      </w:r>
      <w:proofErr w:type="spellEnd"/>
      <w:r w:rsidRPr="00722CE9">
        <w:t>, J.</w:t>
      </w:r>
      <w:r>
        <w:t xml:space="preserve">, </w:t>
      </w:r>
      <w:r w:rsidRPr="00722CE9">
        <w:t xml:space="preserve">2005. </w:t>
      </w:r>
    </w:p>
    <w:p w14:paraId="73884A3F" w14:textId="77777777" w:rsidR="00722CE9" w:rsidRDefault="00722CE9">
      <w:r>
        <w:br w:type="page"/>
      </w:r>
    </w:p>
    <w:p w14:paraId="4E9550EA" w14:textId="1E19D4E6" w:rsidR="00722CE9" w:rsidRDefault="00722CE9" w:rsidP="00722CE9">
      <w:pPr>
        <w:pStyle w:val="Heading2"/>
      </w:pPr>
      <w:bookmarkStart w:id="96" w:name="_Toc162267048"/>
      <w:r>
        <w:lastRenderedPageBreak/>
        <w:t>Chapter 5: Health Equity</w:t>
      </w:r>
      <w:bookmarkEnd w:id="96"/>
    </w:p>
    <w:p w14:paraId="5D4C8155" w14:textId="77777777" w:rsidR="00722CE9" w:rsidRPr="00722CE9" w:rsidRDefault="00722CE9" w:rsidP="00722CE9">
      <w:pPr>
        <w:pStyle w:val="Heading3"/>
      </w:pPr>
      <w:bookmarkStart w:id="97" w:name="_Toc162267049"/>
      <w:r w:rsidRPr="00722CE9">
        <w:t>What is Health Equity?</w:t>
      </w:r>
      <w:bookmarkEnd w:id="97"/>
    </w:p>
    <w:p w14:paraId="1DE5A8C6" w14:textId="0B17541B" w:rsidR="00722CE9" w:rsidRDefault="00722CE9" w:rsidP="00722CE9">
      <w:pPr>
        <w:rPr>
          <w:b/>
          <w:bCs/>
        </w:rPr>
      </w:pPr>
      <w:r w:rsidRPr="00722CE9">
        <w:t>If health is the attainment of complete physical, mental, and social well-being, then health equity is the fair and just opportunity to attain the highest level of health for all people, regardless of race, ethnicity, disability, sexual orientation, gender identity, socioeconomic status, geography, preferred language, or other factors that affect access to care and health outcomes. Achieving health equity requires valuing everyone equally, with focused and ongoing societal efforts to address avoidable inequalities due to past and present injustices, and eliminating health and health care disparities.</w:t>
      </w:r>
    </w:p>
    <w:p w14:paraId="09DE7689" w14:textId="77777777" w:rsidR="00722CE9" w:rsidRDefault="00722CE9" w:rsidP="00722CE9"/>
    <w:p w14:paraId="0A4E1A53" w14:textId="367620E4" w:rsidR="00722CE9" w:rsidRPr="00722CE9" w:rsidRDefault="00722CE9" w:rsidP="00722CE9">
      <w:r w:rsidRPr="00722CE9">
        <w:t xml:space="preserve">Equity is not the same as equality. Health equality is the treatment of all individuals in the same manner without accounting for historical and current inequities. It assumes that the same approach will work for everyone and that no one has barriers to achieving the best health possible. In contrast, the goal of health equity is to adjust treatment, care, and resources based on circumstances and needs to ensure quality health care and good health for all. Finally, the goal of justice is to dismantle barriers such as discrimination and lack of resources that lead to inequality and inequity. The distinction between equality, equity and justice is illustrated in </w:t>
      </w:r>
      <w:r w:rsidRPr="00722CE9">
        <w:rPr>
          <w:b/>
          <w:bCs/>
        </w:rPr>
        <w:t>Figure 5.1</w:t>
      </w:r>
      <w:r w:rsidRPr="00722CE9">
        <w:t>.</w:t>
      </w:r>
    </w:p>
    <w:p w14:paraId="40A91DDF" w14:textId="77777777" w:rsidR="00722CE9" w:rsidRDefault="00722CE9" w:rsidP="00722CE9"/>
    <w:p w14:paraId="58B828D3" w14:textId="77777777" w:rsidR="001E2F9C" w:rsidRDefault="001E2F9C" w:rsidP="001E2F9C">
      <w:pPr>
        <w:pStyle w:val="Heading4"/>
      </w:pPr>
      <w:bookmarkStart w:id="98" w:name="_Toc154569774"/>
      <w:bookmarkStart w:id="99" w:name="_Toc162267050"/>
      <w:r>
        <w:t>Figure 5.1: Equality vs. Equity vs. Justice.</w:t>
      </w:r>
      <w:bookmarkEnd w:id="98"/>
      <w:bookmarkEnd w:id="99"/>
      <w:r>
        <w:t xml:space="preserve"> </w:t>
      </w:r>
    </w:p>
    <w:tbl>
      <w:tblPr>
        <w:tblStyle w:val="TableGrid"/>
        <w:tblW w:w="9445" w:type="dxa"/>
        <w:tblLook w:val="04A0" w:firstRow="1" w:lastRow="0" w:firstColumn="1" w:lastColumn="0" w:noHBand="0" w:noVBand="1"/>
      </w:tblPr>
      <w:tblGrid>
        <w:gridCol w:w="3116"/>
        <w:gridCol w:w="6329"/>
      </w:tblGrid>
      <w:tr w:rsidR="001E2F9C" w14:paraId="4C1BC996" w14:textId="77777777" w:rsidTr="001515D5">
        <w:tc>
          <w:tcPr>
            <w:tcW w:w="3116" w:type="dxa"/>
          </w:tcPr>
          <w:p w14:paraId="2C0300A5" w14:textId="77777777" w:rsidR="001E2F9C" w:rsidRPr="00661074" w:rsidRDefault="001E2F9C" w:rsidP="001515D5">
            <w:r w:rsidRPr="00661074">
              <w:t>Equality</w:t>
            </w:r>
          </w:p>
        </w:tc>
        <w:tc>
          <w:tcPr>
            <w:tcW w:w="6329" w:type="dxa"/>
          </w:tcPr>
          <w:p w14:paraId="0A3C7331" w14:textId="77777777" w:rsidR="001E2F9C" w:rsidRPr="00661074" w:rsidRDefault="001E2F9C" w:rsidP="001515D5">
            <w:r w:rsidRPr="00661074">
              <w:t>The assumption that everyone benefits from the same supports. This is equal treatment.</w:t>
            </w:r>
          </w:p>
        </w:tc>
      </w:tr>
      <w:tr w:rsidR="001E2F9C" w14:paraId="34F07778" w14:textId="77777777" w:rsidTr="001515D5">
        <w:tc>
          <w:tcPr>
            <w:tcW w:w="3116" w:type="dxa"/>
          </w:tcPr>
          <w:p w14:paraId="61114E77" w14:textId="77777777" w:rsidR="001E2F9C" w:rsidRPr="00661074" w:rsidRDefault="001E2F9C" w:rsidP="001515D5">
            <w:r w:rsidRPr="00661074">
              <w:t>Equity</w:t>
            </w:r>
          </w:p>
        </w:tc>
        <w:tc>
          <w:tcPr>
            <w:tcW w:w="6329" w:type="dxa"/>
          </w:tcPr>
          <w:p w14:paraId="6FFC164D" w14:textId="77777777" w:rsidR="001E2F9C" w:rsidRPr="00661074" w:rsidRDefault="001E2F9C" w:rsidP="001515D5">
            <w:r w:rsidRPr="00661074">
              <w:t>Everyone gets the support they need, thus producing equity.</w:t>
            </w:r>
          </w:p>
        </w:tc>
      </w:tr>
      <w:tr w:rsidR="001E2F9C" w14:paraId="42E02F43" w14:textId="77777777" w:rsidTr="001515D5">
        <w:tc>
          <w:tcPr>
            <w:tcW w:w="3116" w:type="dxa"/>
          </w:tcPr>
          <w:p w14:paraId="0823F4DD" w14:textId="77777777" w:rsidR="001E2F9C" w:rsidRPr="00661074" w:rsidRDefault="001E2F9C" w:rsidP="001515D5">
            <w:r w:rsidRPr="00661074">
              <w:t>Justice</w:t>
            </w:r>
          </w:p>
        </w:tc>
        <w:tc>
          <w:tcPr>
            <w:tcW w:w="6329" w:type="dxa"/>
          </w:tcPr>
          <w:p w14:paraId="66757396" w14:textId="77777777" w:rsidR="001E2F9C" w:rsidRPr="00661074" w:rsidRDefault="001E2F9C" w:rsidP="001515D5">
            <w:r w:rsidRPr="00661074">
              <w:t>All 3 can see the sunrise over the ocean without supports because the cause(s) of the inequity was addressed. The systemic barrier was removed.</w:t>
            </w:r>
          </w:p>
        </w:tc>
      </w:tr>
    </w:tbl>
    <w:p w14:paraId="2D81FB27" w14:textId="77777777" w:rsidR="001E2F9C" w:rsidRDefault="001E2F9C" w:rsidP="001E2F9C">
      <w:r>
        <w:t>Source: The Avarna Group.</w:t>
      </w:r>
    </w:p>
    <w:p w14:paraId="767D8DCD" w14:textId="77777777" w:rsidR="00722CE9" w:rsidRPr="00270B2E" w:rsidRDefault="00722CE9" w:rsidP="00722CE9">
      <w:pPr>
        <w:rPr>
          <w:rStyle w:val="Heading4Char"/>
          <w:rFonts w:asciiTheme="minorHAnsi" w:hAnsiTheme="minorHAnsi" w:cstheme="minorHAnsi"/>
          <w:color w:val="000000" w:themeColor="text1"/>
        </w:rPr>
      </w:pPr>
    </w:p>
    <w:p w14:paraId="61E8E3E8" w14:textId="46398476" w:rsidR="00722CE9" w:rsidRPr="00270B2E" w:rsidRDefault="00722CE9" w:rsidP="001E2F9C">
      <w:pPr>
        <w:rPr>
          <w:rStyle w:val="Heading4Char"/>
          <w:rFonts w:asciiTheme="minorHAnsi" w:hAnsiTheme="minorHAnsi" w:cstheme="minorHAnsi"/>
          <w:color w:val="000000" w:themeColor="text1"/>
        </w:rPr>
      </w:pPr>
      <w:bookmarkStart w:id="100" w:name="_Toc162267051"/>
      <w:r w:rsidRPr="00270B2E">
        <w:rPr>
          <w:rStyle w:val="Heading4Char"/>
          <w:rFonts w:asciiTheme="minorHAnsi" w:hAnsiTheme="minorHAnsi" w:cstheme="minorHAnsi"/>
          <w:color w:val="000000" w:themeColor="text1"/>
        </w:rPr>
        <w:t>References 5.1</w:t>
      </w:r>
      <w:bookmarkEnd w:id="100"/>
    </w:p>
    <w:p w14:paraId="46E4BDCC" w14:textId="1B52F8A8" w:rsidR="00722CE9" w:rsidRPr="00722CE9" w:rsidRDefault="00722CE9" w:rsidP="00722CE9">
      <w:r w:rsidRPr="00722CE9">
        <w:t xml:space="preserve">Statistics in the </w:t>
      </w:r>
      <w:r>
        <w:t xml:space="preserve">two </w:t>
      </w:r>
      <w:r w:rsidRPr="00722CE9">
        <w:t>preceding</w:t>
      </w:r>
      <w:r>
        <w:t xml:space="preserve"> paragraphs and Figure 5.1 </w:t>
      </w:r>
      <w:r w:rsidRPr="00722CE9">
        <w:t>were referenced from the following reports:</w:t>
      </w:r>
    </w:p>
    <w:p w14:paraId="0BB24E4C" w14:textId="549D8A0B" w:rsidR="00722CE9" w:rsidRPr="00722CE9" w:rsidRDefault="00000000" w:rsidP="00926EB3">
      <w:pPr>
        <w:pStyle w:val="ListParagraph"/>
        <w:numPr>
          <w:ilvl w:val="0"/>
          <w:numId w:val="230"/>
        </w:numPr>
      </w:pPr>
      <w:hyperlink r:id="rId20" w:history="1">
        <w:r w:rsidR="00722CE9" w:rsidRPr="00722CE9">
          <w:rPr>
            <w:rStyle w:val="Hyperlink"/>
          </w:rPr>
          <w:t>“Federal Policy to Advance Racial, Ethnic, and Tribal Health Equity” by the National Academies of Sciences, Engineering, and Medicine, 2023. Published by The National Academies Press in Washington, DC. </w:t>
        </w:r>
      </w:hyperlink>
    </w:p>
    <w:p w14:paraId="52725FBF" w14:textId="394CB907" w:rsidR="00722CE9" w:rsidRPr="00722CE9" w:rsidRDefault="00000000" w:rsidP="00926EB3">
      <w:pPr>
        <w:pStyle w:val="ListParagraph"/>
        <w:numPr>
          <w:ilvl w:val="0"/>
          <w:numId w:val="230"/>
        </w:numPr>
      </w:pPr>
      <w:hyperlink r:id="rId21" w:history="1">
        <w:r w:rsidR="00722CE9" w:rsidRPr="00722CE9">
          <w:rPr>
            <w:rStyle w:val="Hyperlink"/>
          </w:rPr>
          <w:t>“Health Equity” by Centers for Medicare &amp; Medicaid Services. (2022, October 3).</w:t>
        </w:r>
      </w:hyperlink>
      <w:r w:rsidR="00722CE9" w:rsidRPr="00722CE9">
        <w:t xml:space="preserve"> </w:t>
      </w:r>
    </w:p>
    <w:p w14:paraId="08D00DB0" w14:textId="22311168" w:rsidR="00722CE9" w:rsidRDefault="00000000" w:rsidP="00926EB3">
      <w:pPr>
        <w:pStyle w:val="ListParagraph"/>
        <w:numPr>
          <w:ilvl w:val="0"/>
          <w:numId w:val="230"/>
        </w:numPr>
      </w:pPr>
      <w:hyperlink r:id="rId22" w:history="1">
        <w:r w:rsidR="00722CE9" w:rsidRPr="00722CE9">
          <w:rPr>
            <w:rStyle w:val="Hyperlink"/>
          </w:rPr>
          <w:t>“Health Equity in Healthy People 2030,” from Healthy People 2030.</w:t>
        </w:r>
      </w:hyperlink>
      <w:r w:rsidR="00722CE9" w:rsidRPr="00722CE9">
        <w:t xml:space="preserve"> </w:t>
      </w:r>
    </w:p>
    <w:p w14:paraId="589B1424" w14:textId="0FBF3CDE" w:rsidR="00722CE9" w:rsidRPr="00722CE9" w:rsidRDefault="00000000" w:rsidP="00926EB3">
      <w:pPr>
        <w:pStyle w:val="ListParagraph"/>
        <w:numPr>
          <w:ilvl w:val="0"/>
          <w:numId w:val="230"/>
        </w:numPr>
      </w:pPr>
      <w:hyperlink r:id="rId23" w:history="1">
        <w:r w:rsidR="00722CE9" w:rsidRPr="00722CE9">
          <w:rPr>
            <w:rStyle w:val="Hyperlink"/>
          </w:rPr>
          <w:t>“And … here’s yet another equity v. equality (v. justice) image series” by The Avarna Group, 2019.</w:t>
        </w:r>
      </w:hyperlink>
      <w:r w:rsidR="00722CE9">
        <w:t xml:space="preserve"> </w:t>
      </w:r>
    </w:p>
    <w:p w14:paraId="3958D54C" w14:textId="77777777" w:rsidR="00722CE9" w:rsidRDefault="00722CE9" w:rsidP="00722CE9"/>
    <w:p w14:paraId="00787C20" w14:textId="77777777" w:rsidR="00722CE9" w:rsidRPr="00722CE9" w:rsidRDefault="00722CE9" w:rsidP="00722CE9">
      <w:pPr>
        <w:pStyle w:val="Heading3"/>
      </w:pPr>
      <w:bookmarkStart w:id="101" w:name="_Toc162267052"/>
      <w:r w:rsidRPr="00722CE9">
        <w:t>Why Care About Health Equity?</w:t>
      </w:r>
      <w:bookmarkEnd w:id="101"/>
      <w:r w:rsidRPr="00722CE9">
        <w:t xml:space="preserve"> </w:t>
      </w:r>
    </w:p>
    <w:p w14:paraId="3384AB47" w14:textId="3D25F5CE" w:rsidR="00722CE9" w:rsidRPr="00722CE9" w:rsidRDefault="00722CE9" w:rsidP="00722CE9">
      <w:r w:rsidRPr="00722CE9">
        <w:t>The health of a population depends on how effectively state agencies, institutions, and programs work with communities to eliminate differences in health outcomes among those populations experiencing a disproportionate burden of disease, disability, and death. Health inequities are the direct result of these differences in health outcomes among certain groups of people. Eliminating differences in health outcomes by achieving health equity results in lower prevalence of disease, lower rates of premature death, longer life expectancy, lower health care utilization for costly treatments and care, and greater economic wealth from a healthier workforce.</w:t>
      </w:r>
    </w:p>
    <w:p w14:paraId="48D66CBD" w14:textId="77777777" w:rsidR="00722CE9" w:rsidRDefault="00722CE9" w:rsidP="00722CE9">
      <w:pPr>
        <w:pStyle w:val="Heading3"/>
      </w:pPr>
    </w:p>
    <w:p w14:paraId="48146A92" w14:textId="77777777" w:rsidR="00722CE9" w:rsidRPr="00722CE9" w:rsidRDefault="00722CE9" w:rsidP="00722CE9">
      <w:pPr>
        <w:pStyle w:val="Heading3"/>
      </w:pPr>
      <w:bookmarkStart w:id="102" w:name="_Toc162267053"/>
      <w:r w:rsidRPr="00722CE9">
        <w:t>Equity, Justice, and the Environment</w:t>
      </w:r>
      <w:bookmarkEnd w:id="102"/>
      <w:r w:rsidRPr="00722CE9">
        <w:t xml:space="preserve"> </w:t>
      </w:r>
    </w:p>
    <w:p w14:paraId="79F06A78" w14:textId="5766DF9F" w:rsidR="00722CE9" w:rsidRPr="00722CE9" w:rsidRDefault="00722CE9" w:rsidP="00722CE9">
      <w:r w:rsidRPr="00722CE9">
        <w:t xml:space="preserve">Equity and justice also refer to the fair and just opportunity to live, learn, </w:t>
      </w:r>
      <w:proofErr w:type="gramStart"/>
      <w:r w:rsidRPr="00722CE9">
        <w:t>work</w:t>
      </w:r>
      <w:proofErr w:type="gramEnd"/>
      <w:r w:rsidRPr="00722CE9">
        <w:t xml:space="preserve"> and play in a healthy environment. An unhealthy environment due to higher levels of pollution, flooding, or other hazards can lead to poorer health outcomes such as increased asthma or infection. Environmental equity ensures that individuals or communities receive the assistance they need to deal with environmental hazards, disasters, or pollution regardless of race, color, national origin, or income. Environmental justice is the removal of systemic barriers of environmental inequities by addressing the root cause(s). </w:t>
      </w:r>
    </w:p>
    <w:p w14:paraId="607C0154" w14:textId="77777777" w:rsidR="00722CE9" w:rsidRDefault="00722CE9" w:rsidP="00722CE9"/>
    <w:p w14:paraId="17316BD1" w14:textId="6F395BB0" w:rsidR="00722CE9" w:rsidRPr="00722CE9" w:rsidRDefault="00722CE9" w:rsidP="00722CE9">
      <w:pPr>
        <w:rPr>
          <w:b/>
          <w:bCs/>
        </w:rPr>
      </w:pPr>
      <w:r w:rsidRPr="00722CE9">
        <w:t xml:space="preserve">According to the Environmental Protection Agency (EPA), environmental justice involves fair treatment and meaningful involvement. Fair treatment means that everyone has the same degree of protection from environmental and health hazards. Meaningful involvement means that everyone has equitable access to the decision-making processes for a healthy environment through town hall </w:t>
      </w:r>
      <w:r w:rsidRPr="00722CE9">
        <w:lastRenderedPageBreak/>
        <w:t xml:space="preserve">meetings or written comments by the public, and that government agencies will actively seek feedback from affected communities. </w:t>
      </w:r>
    </w:p>
    <w:p w14:paraId="476B09B9" w14:textId="77777777" w:rsidR="00722CE9" w:rsidRDefault="00722CE9" w:rsidP="00722CE9"/>
    <w:p w14:paraId="5E01EBE5" w14:textId="5F3CA7D4" w:rsidR="00722CE9" w:rsidRPr="00722CE9" w:rsidRDefault="00722CE9" w:rsidP="00722CE9">
      <w:r w:rsidRPr="00722CE9">
        <w:t>The South Carolina (SC) Department of Health and Environmental Control (DHEC) created the Environmental Justice Advisory Committee. This committee assesses existing practices at state agencies regarding environmental justice issues and convenes a workgroup called the Environmental Justice (EJ) Hub. The EJ Hub’s purpose is to bring EJ community leaders and stakeholders together to network and collaborate on revitalization efforts. DHEC facilitates discussions, provides technical assistance, and shares resource opportunities with the EJ Hub. Together with the EPA, DHEC aims to achieve progress in five EJ challenge areas (lead exposure, drinking water quality, air quality, hazardous waste sites, and coastal resiliency), with special emphasis on addressing challenges in underserved communities.</w:t>
      </w:r>
    </w:p>
    <w:p w14:paraId="0F607E69" w14:textId="77777777" w:rsidR="00722CE9" w:rsidRDefault="00722CE9" w:rsidP="00722CE9"/>
    <w:p w14:paraId="03DE41D6" w14:textId="0D5AC32C" w:rsidR="00722CE9" w:rsidRPr="00270B2E" w:rsidRDefault="00722CE9" w:rsidP="00722CE9">
      <w:pPr>
        <w:rPr>
          <w:rStyle w:val="Heading4Char"/>
          <w:rFonts w:asciiTheme="minorHAnsi" w:hAnsiTheme="minorHAnsi" w:cstheme="minorHAnsi"/>
          <w:color w:val="000000" w:themeColor="text1"/>
        </w:rPr>
      </w:pPr>
      <w:bookmarkStart w:id="103" w:name="_Toc162267054"/>
      <w:r w:rsidRPr="00270B2E">
        <w:rPr>
          <w:rStyle w:val="Heading4Char"/>
          <w:rFonts w:asciiTheme="minorHAnsi" w:hAnsiTheme="minorHAnsi" w:cstheme="minorHAnsi"/>
          <w:color w:val="000000" w:themeColor="text1"/>
        </w:rPr>
        <w:t>References 5.2</w:t>
      </w:r>
      <w:bookmarkEnd w:id="103"/>
    </w:p>
    <w:p w14:paraId="0090715C" w14:textId="642DB9AF" w:rsidR="00722CE9" w:rsidRDefault="00722CE9" w:rsidP="00722CE9">
      <w:r w:rsidRPr="00722CE9">
        <w:t>Statistics in the t</w:t>
      </w:r>
      <w:r>
        <w:t>hree</w:t>
      </w:r>
      <w:r w:rsidRPr="00722CE9">
        <w:t xml:space="preserve"> preceding paragraphs were referenced from the following reports:</w:t>
      </w:r>
    </w:p>
    <w:p w14:paraId="412D038A" w14:textId="7F80F1E8" w:rsidR="00722CE9" w:rsidRPr="00722CE9" w:rsidRDefault="00000000" w:rsidP="00926EB3">
      <w:pPr>
        <w:pStyle w:val="ListParagraph"/>
        <w:numPr>
          <w:ilvl w:val="0"/>
          <w:numId w:val="230"/>
        </w:numPr>
      </w:pPr>
      <w:hyperlink r:id="rId24" w:history="1">
        <w:r w:rsidR="00722CE9" w:rsidRPr="00722CE9">
          <w:rPr>
            <w:rStyle w:val="Hyperlink"/>
          </w:rPr>
          <w:t>Centers for Disease Control and Prevention. (2023, August 4). “About CDC’s Office of Health Equity” by Centers for Disease Control and Prevention, 2023.</w:t>
        </w:r>
      </w:hyperlink>
      <w:r w:rsidR="00722CE9">
        <w:t xml:space="preserve"> </w:t>
      </w:r>
    </w:p>
    <w:p w14:paraId="76ED9DFF" w14:textId="2F717544" w:rsidR="00722CE9" w:rsidRPr="00722CE9" w:rsidRDefault="00000000" w:rsidP="00926EB3">
      <w:pPr>
        <w:pStyle w:val="ListParagraph"/>
        <w:numPr>
          <w:ilvl w:val="0"/>
          <w:numId w:val="230"/>
        </w:numPr>
      </w:pPr>
      <w:hyperlink r:id="rId25" w:history="1">
        <w:r w:rsidR="00722CE9" w:rsidRPr="00722CE9">
          <w:rPr>
            <w:rStyle w:val="Hyperlink"/>
          </w:rPr>
          <w:t>“Environmental Justice” webpage by the Environmental Protection Agency.</w:t>
        </w:r>
      </w:hyperlink>
      <w:r w:rsidR="00722CE9">
        <w:t xml:space="preserve"> </w:t>
      </w:r>
    </w:p>
    <w:p w14:paraId="14D329D0" w14:textId="71E571D1" w:rsidR="00722CE9" w:rsidRPr="00722CE9" w:rsidRDefault="00000000" w:rsidP="00926EB3">
      <w:pPr>
        <w:pStyle w:val="ListParagraph"/>
        <w:numPr>
          <w:ilvl w:val="0"/>
          <w:numId w:val="230"/>
        </w:numPr>
      </w:pPr>
      <w:hyperlink r:id="rId26" w:anchor="existing" w:history="1">
        <w:r w:rsidR="00722CE9" w:rsidRPr="00722CE9">
          <w:rPr>
            <w:rStyle w:val="Hyperlink"/>
          </w:rPr>
          <w:t>“EJ 2020: National EJ Challenges” by the Environmental Protection Agency, 2023.</w:t>
        </w:r>
      </w:hyperlink>
    </w:p>
    <w:p w14:paraId="6C4EE3D4" w14:textId="77777777" w:rsidR="00722CE9" w:rsidRDefault="00722CE9" w:rsidP="00722CE9"/>
    <w:p w14:paraId="447735BA" w14:textId="77777777" w:rsidR="00722CE9" w:rsidRPr="00722CE9" w:rsidRDefault="00722CE9" w:rsidP="00722CE9">
      <w:pPr>
        <w:pStyle w:val="Heading3"/>
      </w:pPr>
      <w:bookmarkStart w:id="104" w:name="_Toc162267055"/>
      <w:r w:rsidRPr="00722CE9">
        <w:t>What are Examples of Environmental Equity and Environmental Justice in South Carolina?</w:t>
      </w:r>
      <w:bookmarkEnd w:id="104"/>
    </w:p>
    <w:p w14:paraId="1E6A8359" w14:textId="6C2461CB" w:rsidR="00722CE9" w:rsidRPr="00722CE9" w:rsidRDefault="00722CE9" w:rsidP="00722CE9">
      <w:r w:rsidRPr="00722CE9">
        <w:t>The nonprofit Lowcountry Alliance for Model Communities (LAMC) partnered with DHEC to address the disproportionate impacts of pollution and high rates of childhood asthma in the historically Black Gullah Geechee Rosemont community in North Charleston. While DHEC provided air quality monitoring devices and technical assistance, the community collected data, reported findings, and identified solutions. LAMC continues its work in Rosemont by helping residents develop a resiliency plan for flooding and storm surge impacts related to climate change.</w:t>
      </w:r>
    </w:p>
    <w:p w14:paraId="14720DDF" w14:textId="77777777" w:rsidR="00722CE9" w:rsidRDefault="00722CE9" w:rsidP="00722CE9"/>
    <w:p w14:paraId="773DB7F5" w14:textId="4AC8AC78" w:rsidR="00722CE9" w:rsidRPr="00722CE9" w:rsidRDefault="00722CE9" w:rsidP="00722CE9">
      <w:r w:rsidRPr="00722CE9">
        <w:lastRenderedPageBreak/>
        <w:t>EJ Strong is a hands-on training program hosted by DHEC to empower community leaders to better understand disasters, risk reduction, and recovery during natural, agricultural, environmental, and human-made disasters. Leaders who live or work in overburdened communities within SC serve as captains for their communities and learn more about their neighbors, local governments, and emergency managers. During the COVID-19 pandemic, SC rural communities such as Oconee County were challenged with food insecurity and decreased food availability arising from labor and supply chain shortages, and from job losses in the food and hospitality industry. In response, Clemson University developed a food map for rural areas that allows residents to locate and access community pantries, nonprofit food delivery organizations, and hot meal offerings in the area. By spotlighting places for community support, this collaboration promoted sustainability in emergency response through the lens of environmental justice. The food map is hosted on the DHEC website, and has been expanded to show food pantries in every county to aid families facing food insecurity.</w:t>
      </w:r>
    </w:p>
    <w:p w14:paraId="46C7701A" w14:textId="77777777" w:rsidR="00722CE9" w:rsidRDefault="00722CE9" w:rsidP="00722CE9"/>
    <w:p w14:paraId="15C72EEA" w14:textId="3D570B87" w:rsidR="00722CE9" w:rsidRPr="00722CE9" w:rsidRDefault="00722CE9" w:rsidP="00722CE9">
      <w:r w:rsidRPr="00722CE9">
        <w:t>Britton’s Neck in Marion County is a flood-prone community in the Coastal Plains of SC. Heavy logging in the area exacerbates and contributes to climate issues that threaten people’s homes and livelihoods. To mitigate future climate threats to the community, a local pastor partnered with several organizations to build the South’s first environmental justice training center to teach sustainability. The facility boasts hydro panels that pull moisture from the air to provide clean water, a greenhouse to teach people how to grow food sustainably, pollinator gardens and classrooms. Faculty from SC universities teach the community how to select and grow plants that will adapt and be resilient to changing weather.</w:t>
      </w:r>
    </w:p>
    <w:p w14:paraId="01878C6E" w14:textId="77777777" w:rsidR="00722CE9" w:rsidRDefault="00722CE9" w:rsidP="00722CE9"/>
    <w:p w14:paraId="5D80D51E" w14:textId="77777777" w:rsidR="00722CE9" w:rsidRPr="00722CE9" w:rsidRDefault="00722CE9" w:rsidP="00722CE9">
      <w:pPr>
        <w:pStyle w:val="Heading3"/>
      </w:pPr>
      <w:bookmarkStart w:id="105" w:name="_Toc162267056"/>
      <w:r w:rsidRPr="00722CE9">
        <w:t>Identifying Vulnerable Environments and Communities</w:t>
      </w:r>
      <w:bookmarkEnd w:id="105"/>
      <w:r w:rsidRPr="00722CE9">
        <w:t xml:space="preserve"> </w:t>
      </w:r>
    </w:p>
    <w:p w14:paraId="5EF5F37F" w14:textId="24FC9D8D" w:rsidR="00722CE9" w:rsidRPr="00722CE9" w:rsidRDefault="00722CE9" w:rsidP="00722CE9">
      <w:pPr>
        <w:rPr>
          <w:b/>
          <w:bCs/>
        </w:rPr>
      </w:pPr>
      <w:r w:rsidRPr="00722CE9">
        <w:t>A community is a group of people who share the same region and interact with each other. Communities are affected by their surrounding environment and may encounter various hazardous events, including natural disasters such as hurricanes, disease outbreaks, or human-made events such as chemical spills. Factors such as poverty, lack of access to transportation, and crowded housing weaken a community’s ability to prevent human suffering and financial loss during hazardous events. These factors describe a community’s social vulnerability. Reducing social vulnerability can decrease both human suffering and economic loss.</w:t>
      </w:r>
    </w:p>
    <w:p w14:paraId="45FA94B0" w14:textId="77777777" w:rsidR="00722CE9" w:rsidRDefault="00722CE9" w:rsidP="00722CE9"/>
    <w:p w14:paraId="3926F1DD" w14:textId="75917C1C" w:rsidR="00722CE9" w:rsidRPr="00270B2E" w:rsidRDefault="00722CE9" w:rsidP="00722CE9">
      <w:pPr>
        <w:rPr>
          <w:rStyle w:val="Heading4Char"/>
          <w:rFonts w:asciiTheme="minorHAnsi" w:hAnsiTheme="minorHAnsi" w:cstheme="minorHAnsi"/>
          <w:color w:val="000000" w:themeColor="text1"/>
        </w:rPr>
      </w:pPr>
      <w:bookmarkStart w:id="106" w:name="_Toc162267057"/>
      <w:r w:rsidRPr="00270B2E">
        <w:rPr>
          <w:rStyle w:val="Heading4Char"/>
          <w:rFonts w:asciiTheme="minorHAnsi" w:hAnsiTheme="minorHAnsi" w:cstheme="minorHAnsi"/>
          <w:color w:val="000000" w:themeColor="text1"/>
        </w:rPr>
        <w:lastRenderedPageBreak/>
        <w:t>References 5.3</w:t>
      </w:r>
      <w:bookmarkEnd w:id="106"/>
    </w:p>
    <w:p w14:paraId="2E39C8C4" w14:textId="38304C1E" w:rsidR="00722CE9" w:rsidRDefault="00722CE9" w:rsidP="00722CE9">
      <w:r w:rsidRPr="00722CE9">
        <w:t xml:space="preserve">Statistics in the </w:t>
      </w:r>
      <w:r w:rsidR="00926EB3">
        <w:t>preceding section</w:t>
      </w:r>
      <w:r w:rsidRPr="00722CE9">
        <w:t xml:space="preserve"> were referenced from the following reports:</w:t>
      </w:r>
    </w:p>
    <w:p w14:paraId="7AFF1767" w14:textId="77777777" w:rsidR="00722CE9" w:rsidRDefault="00000000" w:rsidP="00926EB3">
      <w:pPr>
        <w:pStyle w:val="ListParagraph"/>
        <w:numPr>
          <w:ilvl w:val="0"/>
          <w:numId w:val="231"/>
        </w:numPr>
      </w:pPr>
      <w:hyperlink r:id="rId27" w:history="1">
        <w:r w:rsidR="00722CE9" w:rsidRPr="00722CE9">
          <w:rPr>
            <w:rStyle w:val="Hyperlink"/>
          </w:rPr>
          <w:t>“Residents of North Charleston address environmental racism and prepare for future challenges” by Hampson, M. Published by “How We Respond,” 2021.</w:t>
        </w:r>
      </w:hyperlink>
      <w:r w:rsidR="00722CE9" w:rsidRPr="00722CE9">
        <w:t xml:space="preserve"> </w:t>
      </w:r>
    </w:p>
    <w:p w14:paraId="31EC41F5" w14:textId="5F5F2472" w:rsidR="00722CE9" w:rsidRPr="00722CE9" w:rsidRDefault="00000000" w:rsidP="00926EB3">
      <w:pPr>
        <w:pStyle w:val="ListParagraph"/>
        <w:numPr>
          <w:ilvl w:val="0"/>
          <w:numId w:val="231"/>
        </w:numPr>
      </w:pPr>
      <w:hyperlink r:id="rId28" w:history="1">
        <w:r w:rsidR="00722CE9" w:rsidRPr="00722CE9">
          <w:rPr>
            <w:rStyle w:val="Hyperlink"/>
          </w:rPr>
          <w:t>“Environmental Justice and Food Security: Considerations for Community-engaged emergency response from South Carolina’s pilot project, EJ Strong – RHIHUB Emergency Preparedness Toolkit” by Rural Health Information Hub</w:t>
        </w:r>
      </w:hyperlink>
      <w:r w:rsidR="00722CE9">
        <w:t>.</w:t>
      </w:r>
      <w:r w:rsidR="00722CE9" w:rsidRPr="00722CE9">
        <w:t xml:space="preserve"> </w:t>
      </w:r>
    </w:p>
    <w:p w14:paraId="2F4E35C5" w14:textId="77777777" w:rsidR="00722CE9" w:rsidRDefault="00000000" w:rsidP="00926EB3">
      <w:pPr>
        <w:pStyle w:val="ListParagraph"/>
        <w:numPr>
          <w:ilvl w:val="0"/>
          <w:numId w:val="231"/>
        </w:numPr>
      </w:pPr>
      <w:hyperlink r:id="rId29" w:history="1">
        <w:r w:rsidR="00722CE9" w:rsidRPr="00722CE9">
          <w:rPr>
            <w:rStyle w:val="Hyperlink"/>
          </w:rPr>
          <w:t>“In a community prone to flooding, now sits the South’s first environmental justice training center,” by Eaddy, T. on South Carolina Public Radio, 2023.</w:t>
        </w:r>
      </w:hyperlink>
    </w:p>
    <w:p w14:paraId="66EA56CF" w14:textId="77777777" w:rsidR="00722CE9" w:rsidRPr="00722CE9" w:rsidRDefault="00722CE9" w:rsidP="00722CE9"/>
    <w:p w14:paraId="3C4ECD25" w14:textId="77777777" w:rsidR="00722CE9" w:rsidRPr="00722CE9" w:rsidRDefault="00722CE9" w:rsidP="00722CE9">
      <w:pPr>
        <w:pStyle w:val="Heading3"/>
      </w:pPr>
      <w:bookmarkStart w:id="107" w:name="_Toc162267058"/>
      <w:r w:rsidRPr="00722CE9">
        <w:t>What is the Social Vulnerability Index (SVI)?</w:t>
      </w:r>
      <w:bookmarkEnd w:id="107"/>
    </w:p>
    <w:p w14:paraId="24A9D2B0" w14:textId="44266407" w:rsidR="00722CE9" w:rsidRPr="00722CE9" w:rsidRDefault="00722CE9" w:rsidP="00722CE9">
      <w:r w:rsidRPr="00722CE9">
        <w:t>The Centers for Disease Control and Prevention (CDC) and the Agency for Toxic Substances and Disease Registry (ATSDR) use United States (US) Census data to calculate the social vulnerability of each census tract (subdivisions of counties). The SVI is used to help public health officials and emergency response planners identify communities that may need additional support before, during, and after a hazardous event. The SVI is based on a ranking of 16 socioeconomic and demographic factors that are grouped into four main themes: socioeconomic status, household characteristics, racial and ethnic minority status, and housing type and transportation. Each census tract receives a ranking for each of the four themes as well as an overall ranking. Areas with higher SVI scores are considered more socially vulnerable and may require additional support and resources during public health emergencies to ensure equitable access to health care and other services.</w:t>
      </w:r>
    </w:p>
    <w:p w14:paraId="4FE51725" w14:textId="77777777" w:rsidR="00722CE9" w:rsidRDefault="00722CE9" w:rsidP="00722CE9"/>
    <w:p w14:paraId="22046B34" w14:textId="504DB351" w:rsidR="00722CE9" w:rsidRPr="00722CE9" w:rsidRDefault="00722CE9" w:rsidP="00722CE9">
      <w:r w:rsidRPr="00722CE9">
        <w:t>In 2020, the overall SVI in SC ranged from low to high, with half of the state designated as medium-high to high vulnerability (</w:t>
      </w:r>
      <w:r w:rsidRPr="00722CE9">
        <w:rPr>
          <w:b/>
          <w:bCs/>
        </w:rPr>
        <w:t>Figure 5.2</w:t>
      </w:r>
      <w:r w:rsidRPr="00722CE9">
        <w:t>). The highest areas of vulnerability spanned the length of the I-95 interstate from Jasper County to Dillon County and the North Carolina border, commonly called the “Corridor of Shame.”</w:t>
      </w:r>
    </w:p>
    <w:p w14:paraId="1C68D9D0" w14:textId="77777777" w:rsidR="00722CE9" w:rsidRDefault="00722CE9" w:rsidP="00722CE9"/>
    <w:p w14:paraId="71305705" w14:textId="77777777" w:rsidR="001E2F9C" w:rsidRDefault="001E2F9C" w:rsidP="001E2F9C">
      <w:pPr>
        <w:pStyle w:val="Heading4"/>
      </w:pPr>
      <w:bookmarkStart w:id="108" w:name="_Toc154569775"/>
      <w:bookmarkStart w:id="109" w:name="_Toc162267059"/>
      <w:r>
        <w:t xml:space="preserve">Figure 5.2: South Carolina </w:t>
      </w:r>
      <w:proofErr w:type="gramStart"/>
      <w:r>
        <w:t>Social</w:t>
      </w:r>
      <w:proofErr w:type="gramEnd"/>
      <w:r>
        <w:t xml:space="preserve"> Vulnerable Index, by County, 2020.</w:t>
      </w:r>
      <w:bookmarkEnd w:id="108"/>
      <w:bookmarkEnd w:id="109"/>
      <w:r>
        <w:tab/>
      </w:r>
    </w:p>
    <w:tbl>
      <w:tblPr>
        <w:tblStyle w:val="TableGrid"/>
        <w:tblW w:w="0" w:type="auto"/>
        <w:tblLook w:val="04A0" w:firstRow="1" w:lastRow="0" w:firstColumn="1" w:lastColumn="0" w:noHBand="0" w:noVBand="1"/>
      </w:tblPr>
      <w:tblGrid>
        <w:gridCol w:w="4675"/>
        <w:gridCol w:w="4675"/>
      </w:tblGrid>
      <w:tr w:rsidR="001E2F9C" w14:paraId="2945FD80" w14:textId="77777777" w:rsidTr="001515D5">
        <w:tc>
          <w:tcPr>
            <w:tcW w:w="4675" w:type="dxa"/>
            <w:vAlign w:val="bottom"/>
          </w:tcPr>
          <w:p w14:paraId="66873C4C" w14:textId="77777777" w:rsidR="001E2F9C" w:rsidRDefault="001E2F9C" w:rsidP="001515D5">
            <w:r>
              <w:t>County</w:t>
            </w:r>
          </w:p>
        </w:tc>
        <w:tc>
          <w:tcPr>
            <w:tcW w:w="4675" w:type="dxa"/>
            <w:vAlign w:val="bottom"/>
          </w:tcPr>
          <w:p w14:paraId="6D211596" w14:textId="77777777" w:rsidR="001E2F9C" w:rsidRDefault="001E2F9C" w:rsidP="001515D5">
            <w:r>
              <w:t>SVI</w:t>
            </w:r>
          </w:p>
        </w:tc>
      </w:tr>
      <w:tr w:rsidR="001E2F9C" w14:paraId="64C2945C" w14:textId="77777777" w:rsidTr="001515D5">
        <w:tc>
          <w:tcPr>
            <w:tcW w:w="4675" w:type="dxa"/>
            <w:vAlign w:val="bottom"/>
          </w:tcPr>
          <w:p w14:paraId="7D1AE173" w14:textId="77777777" w:rsidR="001E2F9C" w:rsidRDefault="001E2F9C" w:rsidP="001515D5">
            <w:r>
              <w:t>Abbeville</w:t>
            </w:r>
          </w:p>
        </w:tc>
        <w:tc>
          <w:tcPr>
            <w:tcW w:w="4675" w:type="dxa"/>
            <w:vAlign w:val="bottom"/>
          </w:tcPr>
          <w:p w14:paraId="0B4803B3" w14:textId="77777777" w:rsidR="001E2F9C" w:rsidRDefault="001E2F9C" w:rsidP="001515D5">
            <w:r>
              <w:t>Medium-High</w:t>
            </w:r>
          </w:p>
        </w:tc>
      </w:tr>
      <w:tr w:rsidR="001E2F9C" w14:paraId="23FBDE62" w14:textId="77777777" w:rsidTr="001515D5">
        <w:tc>
          <w:tcPr>
            <w:tcW w:w="4675" w:type="dxa"/>
            <w:vAlign w:val="bottom"/>
          </w:tcPr>
          <w:p w14:paraId="17C27F51" w14:textId="77777777" w:rsidR="001E2F9C" w:rsidRDefault="001E2F9C" w:rsidP="001515D5">
            <w:r>
              <w:t>Aiken</w:t>
            </w:r>
          </w:p>
        </w:tc>
        <w:tc>
          <w:tcPr>
            <w:tcW w:w="4675" w:type="dxa"/>
            <w:vAlign w:val="bottom"/>
          </w:tcPr>
          <w:p w14:paraId="1B9AFD80" w14:textId="77777777" w:rsidR="001E2F9C" w:rsidRDefault="001E2F9C" w:rsidP="001515D5">
            <w:r>
              <w:t>Low</w:t>
            </w:r>
          </w:p>
        </w:tc>
      </w:tr>
      <w:tr w:rsidR="001E2F9C" w14:paraId="1AEEA701" w14:textId="77777777" w:rsidTr="001515D5">
        <w:tc>
          <w:tcPr>
            <w:tcW w:w="4675" w:type="dxa"/>
            <w:vAlign w:val="bottom"/>
          </w:tcPr>
          <w:p w14:paraId="108F2900" w14:textId="77777777" w:rsidR="001E2F9C" w:rsidRDefault="001E2F9C" w:rsidP="001515D5">
            <w:r>
              <w:t>Allendale</w:t>
            </w:r>
          </w:p>
        </w:tc>
        <w:tc>
          <w:tcPr>
            <w:tcW w:w="4675" w:type="dxa"/>
            <w:vAlign w:val="bottom"/>
          </w:tcPr>
          <w:p w14:paraId="5F249ED8" w14:textId="77777777" w:rsidR="001E2F9C" w:rsidRDefault="001E2F9C" w:rsidP="001515D5">
            <w:r>
              <w:t>High</w:t>
            </w:r>
          </w:p>
        </w:tc>
      </w:tr>
      <w:tr w:rsidR="001E2F9C" w14:paraId="763562A9" w14:textId="77777777" w:rsidTr="001515D5">
        <w:tc>
          <w:tcPr>
            <w:tcW w:w="4675" w:type="dxa"/>
            <w:vAlign w:val="bottom"/>
          </w:tcPr>
          <w:p w14:paraId="50897F5E" w14:textId="77777777" w:rsidR="001E2F9C" w:rsidRDefault="001E2F9C" w:rsidP="001515D5">
            <w:r>
              <w:lastRenderedPageBreak/>
              <w:t>Anderson</w:t>
            </w:r>
          </w:p>
        </w:tc>
        <w:tc>
          <w:tcPr>
            <w:tcW w:w="4675" w:type="dxa"/>
            <w:vAlign w:val="bottom"/>
          </w:tcPr>
          <w:p w14:paraId="45E82738" w14:textId="77777777" w:rsidR="001E2F9C" w:rsidRDefault="001E2F9C" w:rsidP="001515D5">
            <w:r>
              <w:t>Low</w:t>
            </w:r>
          </w:p>
        </w:tc>
      </w:tr>
      <w:tr w:rsidR="001E2F9C" w14:paraId="26359FD3" w14:textId="77777777" w:rsidTr="001515D5">
        <w:tc>
          <w:tcPr>
            <w:tcW w:w="4675" w:type="dxa"/>
            <w:vAlign w:val="bottom"/>
          </w:tcPr>
          <w:p w14:paraId="7916ECFF" w14:textId="77777777" w:rsidR="001E2F9C" w:rsidRDefault="001E2F9C" w:rsidP="001515D5">
            <w:r>
              <w:t>Bamberg</w:t>
            </w:r>
          </w:p>
        </w:tc>
        <w:tc>
          <w:tcPr>
            <w:tcW w:w="4675" w:type="dxa"/>
            <w:vAlign w:val="bottom"/>
          </w:tcPr>
          <w:p w14:paraId="7F8ED95C" w14:textId="77777777" w:rsidR="001E2F9C" w:rsidRDefault="001E2F9C" w:rsidP="001515D5">
            <w:r>
              <w:t>High</w:t>
            </w:r>
          </w:p>
        </w:tc>
      </w:tr>
      <w:tr w:rsidR="001E2F9C" w14:paraId="5A11C1DC" w14:textId="77777777" w:rsidTr="001515D5">
        <w:tc>
          <w:tcPr>
            <w:tcW w:w="4675" w:type="dxa"/>
            <w:vAlign w:val="bottom"/>
          </w:tcPr>
          <w:p w14:paraId="72412FCD" w14:textId="77777777" w:rsidR="001E2F9C" w:rsidRDefault="001E2F9C" w:rsidP="001515D5">
            <w:r>
              <w:t>Barnwell</w:t>
            </w:r>
          </w:p>
        </w:tc>
        <w:tc>
          <w:tcPr>
            <w:tcW w:w="4675" w:type="dxa"/>
            <w:vAlign w:val="bottom"/>
          </w:tcPr>
          <w:p w14:paraId="49D3B69F" w14:textId="77777777" w:rsidR="001E2F9C" w:rsidRDefault="001E2F9C" w:rsidP="001515D5">
            <w:r>
              <w:t>High</w:t>
            </w:r>
          </w:p>
        </w:tc>
      </w:tr>
      <w:tr w:rsidR="001E2F9C" w14:paraId="5AC3CB52" w14:textId="77777777" w:rsidTr="001515D5">
        <w:tc>
          <w:tcPr>
            <w:tcW w:w="4675" w:type="dxa"/>
            <w:vAlign w:val="bottom"/>
          </w:tcPr>
          <w:p w14:paraId="7646F56D" w14:textId="77777777" w:rsidR="001E2F9C" w:rsidRDefault="001E2F9C" w:rsidP="001515D5">
            <w:r>
              <w:t>Beaufort</w:t>
            </w:r>
          </w:p>
        </w:tc>
        <w:tc>
          <w:tcPr>
            <w:tcW w:w="4675" w:type="dxa"/>
            <w:vAlign w:val="bottom"/>
          </w:tcPr>
          <w:p w14:paraId="1B425501" w14:textId="77777777" w:rsidR="001E2F9C" w:rsidRDefault="001E2F9C" w:rsidP="001515D5">
            <w:r>
              <w:t>Low</w:t>
            </w:r>
          </w:p>
        </w:tc>
      </w:tr>
      <w:tr w:rsidR="001E2F9C" w14:paraId="6EC1C668" w14:textId="77777777" w:rsidTr="001515D5">
        <w:tc>
          <w:tcPr>
            <w:tcW w:w="4675" w:type="dxa"/>
            <w:vAlign w:val="bottom"/>
          </w:tcPr>
          <w:p w14:paraId="245BFF54" w14:textId="77777777" w:rsidR="001E2F9C" w:rsidRDefault="001E2F9C" w:rsidP="001515D5">
            <w:r>
              <w:t>Berkeley</w:t>
            </w:r>
          </w:p>
        </w:tc>
        <w:tc>
          <w:tcPr>
            <w:tcW w:w="4675" w:type="dxa"/>
            <w:vAlign w:val="bottom"/>
          </w:tcPr>
          <w:p w14:paraId="785EFAA0" w14:textId="77777777" w:rsidR="001E2F9C" w:rsidRDefault="001E2F9C" w:rsidP="001515D5">
            <w:r>
              <w:t>Low</w:t>
            </w:r>
          </w:p>
        </w:tc>
      </w:tr>
      <w:tr w:rsidR="001E2F9C" w14:paraId="3C49F918" w14:textId="77777777" w:rsidTr="001515D5">
        <w:tc>
          <w:tcPr>
            <w:tcW w:w="4675" w:type="dxa"/>
            <w:vAlign w:val="bottom"/>
          </w:tcPr>
          <w:p w14:paraId="1AE56E68" w14:textId="77777777" w:rsidR="001E2F9C" w:rsidRDefault="001E2F9C" w:rsidP="001515D5">
            <w:r>
              <w:t>Calhoun</w:t>
            </w:r>
          </w:p>
        </w:tc>
        <w:tc>
          <w:tcPr>
            <w:tcW w:w="4675" w:type="dxa"/>
            <w:vAlign w:val="bottom"/>
          </w:tcPr>
          <w:p w14:paraId="6EC95189" w14:textId="77777777" w:rsidR="001E2F9C" w:rsidRDefault="001E2F9C" w:rsidP="001515D5">
            <w:r>
              <w:t>Medium-High</w:t>
            </w:r>
          </w:p>
        </w:tc>
      </w:tr>
      <w:tr w:rsidR="001E2F9C" w14:paraId="15A1C79E" w14:textId="77777777" w:rsidTr="001515D5">
        <w:tc>
          <w:tcPr>
            <w:tcW w:w="4675" w:type="dxa"/>
            <w:vAlign w:val="bottom"/>
          </w:tcPr>
          <w:p w14:paraId="7CE5DF03" w14:textId="77777777" w:rsidR="001E2F9C" w:rsidRDefault="001E2F9C" w:rsidP="001515D5">
            <w:r>
              <w:t>Charleston</w:t>
            </w:r>
          </w:p>
        </w:tc>
        <w:tc>
          <w:tcPr>
            <w:tcW w:w="4675" w:type="dxa"/>
            <w:vAlign w:val="bottom"/>
          </w:tcPr>
          <w:p w14:paraId="19A9795E" w14:textId="77777777" w:rsidR="001E2F9C" w:rsidRDefault="001E2F9C" w:rsidP="001515D5">
            <w:r>
              <w:t>Low</w:t>
            </w:r>
          </w:p>
        </w:tc>
      </w:tr>
      <w:tr w:rsidR="001E2F9C" w14:paraId="48E88D22" w14:textId="77777777" w:rsidTr="001515D5">
        <w:tc>
          <w:tcPr>
            <w:tcW w:w="4675" w:type="dxa"/>
            <w:vAlign w:val="bottom"/>
          </w:tcPr>
          <w:p w14:paraId="7A73C246" w14:textId="77777777" w:rsidR="001E2F9C" w:rsidRDefault="001E2F9C" w:rsidP="001515D5">
            <w:r>
              <w:t>Cherokee</w:t>
            </w:r>
          </w:p>
        </w:tc>
        <w:tc>
          <w:tcPr>
            <w:tcW w:w="4675" w:type="dxa"/>
            <w:vAlign w:val="bottom"/>
          </w:tcPr>
          <w:p w14:paraId="45F0FB61" w14:textId="77777777" w:rsidR="001E2F9C" w:rsidRDefault="001E2F9C" w:rsidP="001515D5">
            <w:r>
              <w:t>Low-Medium</w:t>
            </w:r>
          </w:p>
        </w:tc>
      </w:tr>
      <w:tr w:rsidR="001E2F9C" w14:paraId="71A7089B" w14:textId="77777777" w:rsidTr="001515D5">
        <w:tc>
          <w:tcPr>
            <w:tcW w:w="4675" w:type="dxa"/>
            <w:vAlign w:val="bottom"/>
          </w:tcPr>
          <w:p w14:paraId="1C7B237A" w14:textId="77777777" w:rsidR="001E2F9C" w:rsidRDefault="001E2F9C" w:rsidP="001515D5">
            <w:r>
              <w:t>Chester</w:t>
            </w:r>
          </w:p>
        </w:tc>
        <w:tc>
          <w:tcPr>
            <w:tcW w:w="4675" w:type="dxa"/>
            <w:vAlign w:val="bottom"/>
          </w:tcPr>
          <w:p w14:paraId="3B0CB5CB" w14:textId="77777777" w:rsidR="001E2F9C" w:rsidRDefault="001E2F9C" w:rsidP="001515D5">
            <w:r>
              <w:t>Low-Medium</w:t>
            </w:r>
          </w:p>
        </w:tc>
      </w:tr>
      <w:tr w:rsidR="001E2F9C" w14:paraId="5A46E1E0" w14:textId="77777777" w:rsidTr="001515D5">
        <w:tc>
          <w:tcPr>
            <w:tcW w:w="4675" w:type="dxa"/>
            <w:vAlign w:val="bottom"/>
          </w:tcPr>
          <w:p w14:paraId="300216AC" w14:textId="77777777" w:rsidR="001E2F9C" w:rsidRDefault="001E2F9C" w:rsidP="001515D5">
            <w:r>
              <w:t>Chesterfield</w:t>
            </w:r>
          </w:p>
        </w:tc>
        <w:tc>
          <w:tcPr>
            <w:tcW w:w="4675" w:type="dxa"/>
            <w:vAlign w:val="bottom"/>
          </w:tcPr>
          <w:p w14:paraId="5B2CA1C5" w14:textId="77777777" w:rsidR="001E2F9C" w:rsidRDefault="001E2F9C" w:rsidP="001515D5">
            <w:r>
              <w:t>High</w:t>
            </w:r>
          </w:p>
        </w:tc>
      </w:tr>
      <w:tr w:rsidR="001E2F9C" w14:paraId="703BA86E" w14:textId="77777777" w:rsidTr="001515D5">
        <w:tc>
          <w:tcPr>
            <w:tcW w:w="4675" w:type="dxa"/>
            <w:vAlign w:val="bottom"/>
          </w:tcPr>
          <w:p w14:paraId="6C542A03" w14:textId="77777777" w:rsidR="001E2F9C" w:rsidRDefault="001E2F9C" w:rsidP="001515D5">
            <w:r>
              <w:t>Clarendon</w:t>
            </w:r>
          </w:p>
        </w:tc>
        <w:tc>
          <w:tcPr>
            <w:tcW w:w="4675" w:type="dxa"/>
            <w:vAlign w:val="bottom"/>
          </w:tcPr>
          <w:p w14:paraId="73DC948C" w14:textId="77777777" w:rsidR="001E2F9C" w:rsidRDefault="001E2F9C" w:rsidP="001515D5">
            <w:r>
              <w:t>High</w:t>
            </w:r>
          </w:p>
        </w:tc>
      </w:tr>
      <w:tr w:rsidR="001E2F9C" w14:paraId="790F236F" w14:textId="77777777" w:rsidTr="001515D5">
        <w:tc>
          <w:tcPr>
            <w:tcW w:w="4675" w:type="dxa"/>
            <w:vAlign w:val="bottom"/>
          </w:tcPr>
          <w:p w14:paraId="3BB9819E" w14:textId="77777777" w:rsidR="001E2F9C" w:rsidRDefault="001E2F9C" w:rsidP="001515D5">
            <w:r>
              <w:t>Colleton</w:t>
            </w:r>
          </w:p>
        </w:tc>
        <w:tc>
          <w:tcPr>
            <w:tcW w:w="4675" w:type="dxa"/>
            <w:vAlign w:val="bottom"/>
          </w:tcPr>
          <w:p w14:paraId="56AE5567" w14:textId="77777777" w:rsidR="001E2F9C" w:rsidRDefault="001E2F9C" w:rsidP="001515D5">
            <w:r>
              <w:t>Medium-High</w:t>
            </w:r>
          </w:p>
        </w:tc>
      </w:tr>
      <w:tr w:rsidR="001E2F9C" w14:paraId="4CC4FC4F" w14:textId="77777777" w:rsidTr="001515D5">
        <w:tc>
          <w:tcPr>
            <w:tcW w:w="4675" w:type="dxa"/>
            <w:vAlign w:val="bottom"/>
          </w:tcPr>
          <w:p w14:paraId="54CF636B" w14:textId="77777777" w:rsidR="001E2F9C" w:rsidRDefault="001E2F9C" w:rsidP="001515D5">
            <w:r>
              <w:t>Darlington</w:t>
            </w:r>
          </w:p>
        </w:tc>
        <w:tc>
          <w:tcPr>
            <w:tcW w:w="4675" w:type="dxa"/>
            <w:vAlign w:val="bottom"/>
          </w:tcPr>
          <w:p w14:paraId="3325D0B8" w14:textId="77777777" w:rsidR="001E2F9C" w:rsidRDefault="001E2F9C" w:rsidP="001515D5">
            <w:r>
              <w:t>High</w:t>
            </w:r>
          </w:p>
        </w:tc>
      </w:tr>
      <w:tr w:rsidR="001E2F9C" w14:paraId="232E5202" w14:textId="77777777" w:rsidTr="001515D5">
        <w:tc>
          <w:tcPr>
            <w:tcW w:w="4675" w:type="dxa"/>
            <w:vAlign w:val="bottom"/>
          </w:tcPr>
          <w:p w14:paraId="3C1037E5" w14:textId="77777777" w:rsidR="001E2F9C" w:rsidRDefault="001E2F9C" w:rsidP="001515D5">
            <w:r>
              <w:t>Dillon</w:t>
            </w:r>
          </w:p>
        </w:tc>
        <w:tc>
          <w:tcPr>
            <w:tcW w:w="4675" w:type="dxa"/>
            <w:vAlign w:val="bottom"/>
          </w:tcPr>
          <w:p w14:paraId="553D13D2" w14:textId="77777777" w:rsidR="001E2F9C" w:rsidRDefault="001E2F9C" w:rsidP="001515D5">
            <w:r>
              <w:t>High</w:t>
            </w:r>
          </w:p>
        </w:tc>
      </w:tr>
      <w:tr w:rsidR="001E2F9C" w14:paraId="0BE12491" w14:textId="77777777" w:rsidTr="001515D5">
        <w:tc>
          <w:tcPr>
            <w:tcW w:w="4675" w:type="dxa"/>
            <w:vAlign w:val="bottom"/>
          </w:tcPr>
          <w:p w14:paraId="430CCDB9" w14:textId="77777777" w:rsidR="001E2F9C" w:rsidRDefault="001E2F9C" w:rsidP="001515D5">
            <w:r>
              <w:t>Dorchester</w:t>
            </w:r>
          </w:p>
        </w:tc>
        <w:tc>
          <w:tcPr>
            <w:tcW w:w="4675" w:type="dxa"/>
            <w:vAlign w:val="bottom"/>
          </w:tcPr>
          <w:p w14:paraId="5D3D187C" w14:textId="77777777" w:rsidR="001E2F9C" w:rsidRDefault="001E2F9C" w:rsidP="001515D5">
            <w:r>
              <w:t>Low-Medium</w:t>
            </w:r>
          </w:p>
        </w:tc>
      </w:tr>
      <w:tr w:rsidR="001E2F9C" w14:paraId="42CF9FC0" w14:textId="77777777" w:rsidTr="001515D5">
        <w:tc>
          <w:tcPr>
            <w:tcW w:w="4675" w:type="dxa"/>
            <w:vAlign w:val="bottom"/>
          </w:tcPr>
          <w:p w14:paraId="57448825" w14:textId="77777777" w:rsidR="001E2F9C" w:rsidRDefault="001E2F9C" w:rsidP="001515D5">
            <w:r>
              <w:t>Edgefield</w:t>
            </w:r>
          </w:p>
        </w:tc>
        <w:tc>
          <w:tcPr>
            <w:tcW w:w="4675" w:type="dxa"/>
            <w:vAlign w:val="bottom"/>
          </w:tcPr>
          <w:p w14:paraId="7B27D97E" w14:textId="77777777" w:rsidR="001E2F9C" w:rsidRDefault="001E2F9C" w:rsidP="001515D5">
            <w:r>
              <w:t>Low-Medium</w:t>
            </w:r>
          </w:p>
        </w:tc>
      </w:tr>
      <w:tr w:rsidR="001E2F9C" w14:paraId="631A6984" w14:textId="77777777" w:rsidTr="001515D5">
        <w:tc>
          <w:tcPr>
            <w:tcW w:w="4675" w:type="dxa"/>
            <w:vAlign w:val="bottom"/>
          </w:tcPr>
          <w:p w14:paraId="32304EA9" w14:textId="77777777" w:rsidR="001E2F9C" w:rsidRDefault="001E2F9C" w:rsidP="001515D5">
            <w:r>
              <w:t>Fairfield</w:t>
            </w:r>
          </w:p>
        </w:tc>
        <w:tc>
          <w:tcPr>
            <w:tcW w:w="4675" w:type="dxa"/>
            <w:vAlign w:val="bottom"/>
          </w:tcPr>
          <w:p w14:paraId="02466EEF" w14:textId="77777777" w:rsidR="001E2F9C" w:rsidRDefault="001E2F9C" w:rsidP="001515D5">
            <w:r>
              <w:t>Low-Medium</w:t>
            </w:r>
          </w:p>
        </w:tc>
      </w:tr>
      <w:tr w:rsidR="001E2F9C" w14:paraId="7F6111FA" w14:textId="77777777" w:rsidTr="001515D5">
        <w:tc>
          <w:tcPr>
            <w:tcW w:w="4675" w:type="dxa"/>
            <w:vAlign w:val="bottom"/>
          </w:tcPr>
          <w:p w14:paraId="074ECA9F" w14:textId="77777777" w:rsidR="001E2F9C" w:rsidRDefault="001E2F9C" w:rsidP="001515D5">
            <w:r>
              <w:t>Florence</w:t>
            </w:r>
          </w:p>
        </w:tc>
        <w:tc>
          <w:tcPr>
            <w:tcW w:w="4675" w:type="dxa"/>
            <w:vAlign w:val="bottom"/>
          </w:tcPr>
          <w:p w14:paraId="74BFDBD3" w14:textId="77777777" w:rsidR="001E2F9C" w:rsidRDefault="001E2F9C" w:rsidP="001515D5">
            <w:r>
              <w:t>Medium-High</w:t>
            </w:r>
          </w:p>
        </w:tc>
      </w:tr>
      <w:tr w:rsidR="001E2F9C" w14:paraId="71CBF735" w14:textId="77777777" w:rsidTr="001515D5">
        <w:tc>
          <w:tcPr>
            <w:tcW w:w="4675" w:type="dxa"/>
            <w:vAlign w:val="bottom"/>
          </w:tcPr>
          <w:p w14:paraId="49FBAC6A" w14:textId="77777777" w:rsidR="001E2F9C" w:rsidRDefault="001E2F9C" w:rsidP="001515D5">
            <w:r>
              <w:t>Georgetown</w:t>
            </w:r>
          </w:p>
        </w:tc>
        <w:tc>
          <w:tcPr>
            <w:tcW w:w="4675" w:type="dxa"/>
            <w:vAlign w:val="bottom"/>
          </w:tcPr>
          <w:p w14:paraId="57123D71" w14:textId="77777777" w:rsidR="001E2F9C" w:rsidRDefault="001E2F9C" w:rsidP="001515D5">
            <w:r>
              <w:t>Low-Medium</w:t>
            </w:r>
          </w:p>
        </w:tc>
      </w:tr>
      <w:tr w:rsidR="001E2F9C" w14:paraId="5D3C3352" w14:textId="77777777" w:rsidTr="001515D5">
        <w:tc>
          <w:tcPr>
            <w:tcW w:w="4675" w:type="dxa"/>
            <w:vAlign w:val="bottom"/>
          </w:tcPr>
          <w:p w14:paraId="38D7A052" w14:textId="77777777" w:rsidR="001E2F9C" w:rsidRDefault="001E2F9C" w:rsidP="001515D5">
            <w:r>
              <w:t>Greenville</w:t>
            </w:r>
          </w:p>
        </w:tc>
        <w:tc>
          <w:tcPr>
            <w:tcW w:w="4675" w:type="dxa"/>
            <w:vAlign w:val="bottom"/>
          </w:tcPr>
          <w:p w14:paraId="432E2B34" w14:textId="77777777" w:rsidR="001E2F9C" w:rsidRDefault="001E2F9C" w:rsidP="001515D5">
            <w:r>
              <w:t>Low</w:t>
            </w:r>
          </w:p>
        </w:tc>
      </w:tr>
      <w:tr w:rsidR="001E2F9C" w14:paraId="021D09DA" w14:textId="77777777" w:rsidTr="001515D5">
        <w:tc>
          <w:tcPr>
            <w:tcW w:w="4675" w:type="dxa"/>
            <w:vAlign w:val="bottom"/>
          </w:tcPr>
          <w:p w14:paraId="6989AAED" w14:textId="77777777" w:rsidR="001E2F9C" w:rsidRDefault="001E2F9C" w:rsidP="001515D5">
            <w:r>
              <w:t>Greenwood</w:t>
            </w:r>
          </w:p>
        </w:tc>
        <w:tc>
          <w:tcPr>
            <w:tcW w:w="4675" w:type="dxa"/>
            <w:vAlign w:val="bottom"/>
          </w:tcPr>
          <w:p w14:paraId="616F33A4" w14:textId="77777777" w:rsidR="001E2F9C" w:rsidRDefault="001E2F9C" w:rsidP="001515D5">
            <w:r>
              <w:t>Medium-High</w:t>
            </w:r>
          </w:p>
        </w:tc>
      </w:tr>
      <w:tr w:rsidR="001E2F9C" w14:paraId="27244AB0" w14:textId="77777777" w:rsidTr="001515D5">
        <w:tc>
          <w:tcPr>
            <w:tcW w:w="4675" w:type="dxa"/>
            <w:vAlign w:val="bottom"/>
          </w:tcPr>
          <w:p w14:paraId="2F0F998F" w14:textId="77777777" w:rsidR="001E2F9C" w:rsidRDefault="001E2F9C" w:rsidP="001515D5">
            <w:r>
              <w:t>Hampton</w:t>
            </w:r>
          </w:p>
        </w:tc>
        <w:tc>
          <w:tcPr>
            <w:tcW w:w="4675" w:type="dxa"/>
            <w:vAlign w:val="bottom"/>
          </w:tcPr>
          <w:p w14:paraId="0482C09F" w14:textId="77777777" w:rsidR="001E2F9C" w:rsidRDefault="001E2F9C" w:rsidP="001515D5">
            <w:r>
              <w:t>Medium-High</w:t>
            </w:r>
          </w:p>
        </w:tc>
      </w:tr>
      <w:tr w:rsidR="001E2F9C" w14:paraId="1C87B11F" w14:textId="77777777" w:rsidTr="001515D5">
        <w:tc>
          <w:tcPr>
            <w:tcW w:w="4675" w:type="dxa"/>
            <w:vAlign w:val="bottom"/>
          </w:tcPr>
          <w:p w14:paraId="3651FAE2" w14:textId="77777777" w:rsidR="001E2F9C" w:rsidRDefault="001E2F9C" w:rsidP="001515D5">
            <w:r>
              <w:t>Horry</w:t>
            </w:r>
          </w:p>
        </w:tc>
        <w:tc>
          <w:tcPr>
            <w:tcW w:w="4675" w:type="dxa"/>
            <w:vAlign w:val="bottom"/>
          </w:tcPr>
          <w:p w14:paraId="02128BBE" w14:textId="77777777" w:rsidR="001E2F9C" w:rsidRDefault="001E2F9C" w:rsidP="001515D5">
            <w:r>
              <w:t>Low-Medium</w:t>
            </w:r>
          </w:p>
        </w:tc>
      </w:tr>
      <w:tr w:rsidR="001E2F9C" w14:paraId="381D8C9B" w14:textId="77777777" w:rsidTr="001515D5">
        <w:tc>
          <w:tcPr>
            <w:tcW w:w="4675" w:type="dxa"/>
            <w:vAlign w:val="bottom"/>
          </w:tcPr>
          <w:p w14:paraId="1CA2B57A" w14:textId="77777777" w:rsidR="001E2F9C" w:rsidRDefault="001E2F9C" w:rsidP="001515D5">
            <w:r>
              <w:t>Jasper</w:t>
            </w:r>
          </w:p>
        </w:tc>
        <w:tc>
          <w:tcPr>
            <w:tcW w:w="4675" w:type="dxa"/>
            <w:vAlign w:val="bottom"/>
          </w:tcPr>
          <w:p w14:paraId="2918D12E" w14:textId="77777777" w:rsidR="001E2F9C" w:rsidRDefault="001E2F9C" w:rsidP="001515D5">
            <w:r>
              <w:t>High</w:t>
            </w:r>
          </w:p>
        </w:tc>
      </w:tr>
      <w:tr w:rsidR="001E2F9C" w14:paraId="4BE1599C" w14:textId="77777777" w:rsidTr="001515D5">
        <w:tc>
          <w:tcPr>
            <w:tcW w:w="4675" w:type="dxa"/>
            <w:vAlign w:val="bottom"/>
          </w:tcPr>
          <w:p w14:paraId="60A7E74E" w14:textId="77777777" w:rsidR="001E2F9C" w:rsidRDefault="001E2F9C" w:rsidP="001515D5">
            <w:r>
              <w:t>Kershaw</w:t>
            </w:r>
          </w:p>
        </w:tc>
        <w:tc>
          <w:tcPr>
            <w:tcW w:w="4675" w:type="dxa"/>
            <w:vAlign w:val="bottom"/>
          </w:tcPr>
          <w:p w14:paraId="246182BD" w14:textId="77777777" w:rsidR="001E2F9C" w:rsidRDefault="001E2F9C" w:rsidP="001515D5">
            <w:r>
              <w:t>Low</w:t>
            </w:r>
          </w:p>
        </w:tc>
      </w:tr>
      <w:tr w:rsidR="001E2F9C" w14:paraId="2DE2593A" w14:textId="77777777" w:rsidTr="001515D5">
        <w:tc>
          <w:tcPr>
            <w:tcW w:w="4675" w:type="dxa"/>
            <w:vAlign w:val="bottom"/>
          </w:tcPr>
          <w:p w14:paraId="1F37A46B" w14:textId="77777777" w:rsidR="001E2F9C" w:rsidRDefault="001E2F9C" w:rsidP="001515D5">
            <w:r>
              <w:t>Lancaster</w:t>
            </w:r>
          </w:p>
        </w:tc>
        <w:tc>
          <w:tcPr>
            <w:tcW w:w="4675" w:type="dxa"/>
            <w:vAlign w:val="bottom"/>
          </w:tcPr>
          <w:p w14:paraId="34AB622E" w14:textId="77777777" w:rsidR="001E2F9C" w:rsidRDefault="001E2F9C" w:rsidP="001515D5">
            <w:r>
              <w:t>Low</w:t>
            </w:r>
          </w:p>
        </w:tc>
      </w:tr>
      <w:tr w:rsidR="001E2F9C" w14:paraId="46ACF02E" w14:textId="77777777" w:rsidTr="001515D5">
        <w:tc>
          <w:tcPr>
            <w:tcW w:w="4675" w:type="dxa"/>
            <w:vAlign w:val="bottom"/>
          </w:tcPr>
          <w:p w14:paraId="5F85C9BB" w14:textId="77777777" w:rsidR="001E2F9C" w:rsidRDefault="001E2F9C" w:rsidP="001515D5">
            <w:r>
              <w:t>Laurens</w:t>
            </w:r>
          </w:p>
        </w:tc>
        <w:tc>
          <w:tcPr>
            <w:tcW w:w="4675" w:type="dxa"/>
            <w:vAlign w:val="bottom"/>
          </w:tcPr>
          <w:p w14:paraId="2A98E599" w14:textId="77777777" w:rsidR="001E2F9C" w:rsidRDefault="001E2F9C" w:rsidP="001515D5">
            <w:r>
              <w:t>Medium-High</w:t>
            </w:r>
          </w:p>
        </w:tc>
      </w:tr>
      <w:tr w:rsidR="001E2F9C" w14:paraId="3FDBFF7B" w14:textId="77777777" w:rsidTr="001515D5">
        <w:tc>
          <w:tcPr>
            <w:tcW w:w="4675" w:type="dxa"/>
            <w:vAlign w:val="bottom"/>
          </w:tcPr>
          <w:p w14:paraId="7386E721" w14:textId="77777777" w:rsidR="001E2F9C" w:rsidRDefault="001E2F9C" w:rsidP="001515D5">
            <w:r>
              <w:t>Lee</w:t>
            </w:r>
          </w:p>
        </w:tc>
        <w:tc>
          <w:tcPr>
            <w:tcW w:w="4675" w:type="dxa"/>
            <w:vAlign w:val="bottom"/>
          </w:tcPr>
          <w:p w14:paraId="195DD5B3" w14:textId="77777777" w:rsidR="001E2F9C" w:rsidRDefault="001E2F9C" w:rsidP="001515D5">
            <w:r>
              <w:t>High</w:t>
            </w:r>
          </w:p>
        </w:tc>
      </w:tr>
      <w:tr w:rsidR="001E2F9C" w14:paraId="5D0CCA14" w14:textId="77777777" w:rsidTr="001515D5">
        <w:tc>
          <w:tcPr>
            <w:tcW w:w="4675" w:type="dxa"/>
            <w:vAlign w:val="bottom"/>
          </w:tcPr>
          <w:p w14:paraId="75E4E826" w14:textId="77777777" w:rsidR="001E2F9C" w:rsidRDefault="001E2F9C" w:rsidP="001515D5">
            <w:r>
              <w:t>Lexington</w:t>
            </w:r>
          </w:p>
        </w:tc>
        <w:tc>
          <w:tcPr>
            <w:tcW w:w="4675" w:type="dxa"/>
            <w:vAlign w:val="bottom"/>
          </w:tcPr>
          <w:p w14:paraId="69AAEB2B" w14:textId="77777777" w:rsidR="001E2F9C" w:rsidRDefault="001E2F9C" w:rsidP="001515D5">
            <w:r>
              <w:t>Low</w:t>
            </w:r>
          </w:p>
        </w:tc>
      </w:tr>
      <w:tr w:rsidR="001E2F9C" w14:paraId="03A6F57A" w14:textId="77777777" w:rsidTr="001515D5">
        <w:tc>
          <w:tcPr>
            <w:tcW w:w="4675" w:type="dxa"/>
            <w:vAlign w:val="bottom"/>
          </w:tcPr>
          <w:p w14:paraId="4EB14BF7" w14:textId="77777777" w:rsidR="001E2F9C" w:rsidRDefault="001E2F9C" w:rsidP="001515D5">
            <w:r>
              <w:t>McCormick</w:t>
            </w:r>
          </w:p>
        </w:tc>
        <w:tc>
          <w:tcPr>
            <w:tcW w:w="4675" w:type="dxa"/>
            <w:vAlign w:val="bottom"/>
          </w:tcPr>
          <w:p w14:paraId="02BC0F63" w14:textId="77777777" w:rsidR="001E2F9C" w:rsidRDefault="001E2F9C" w:rsidP="001515D5">
            <w:r>
              <w:t>Low</w:t>
            </w:r>
          </w:p>
        </w:tc>
      </w:tr>
      <w:tr w:rsidR="001E2F9C" w14:paraId="0B84993F" w14:textId="77777777" w:rsidTr="001515D5">
        <w:tc>
          <w:tcPr>
            <w:tcW w:w="4675" w:type="dxa"/>
            <w:vAlign w:val="bottom"/>
          </w:tcPr>
          <w:p w14:paraId="3723F8C1" w14:textId="77777777" w:rsidR="001E2F9C" w:rsidRDefault="001E2F9C" w:rsidP="001515D5">
            <w:r>
              <w:t>Marion</w:t>
            </w:r>
          </w:p>
        </w:tc>
        <w:tc>
          <w:tcPr>
            <w:tcW w:w="4675" w:type="dxa"/>
            <w:vAlign w:val="bottom"/>
          </w:tcPr>
          <w:p w14:paraId="7A0ACDC3" w14:textId="77777777" w:rsidR="001E2F9C" w:rsidRDefault="001E2F9C" w:rsidP="001515D5">
            <w:r>
              <w:t>High</w:t>
            </w:r>
          </w:p>
        </w:tc>
      </w:tr>
      <w:tr w:rsidR="001E2F9C" w14:paraId="3A429AB3" w14:textId="77777777" w:rsidTr="001515D5">
        <w:tc>
          <w:tcPr>
            <w:tcW w:w="4675" w:type="dxa"/>
            <w:vAlign w:val="bottom"/>
          </w:tcPr>
          <w:p w14:paraId="78F7AC79" w14:textId="77777777" w:rsidR="001E2F9C" w:rsidRDefault="001E2F9C" w:rsidP="001515D5">
            <w:r>
              <w:t>Marlboro</w:t>
            </w:r>
          </w:p>
        </w:tc>
        <w:tc>
          <w:tcPr>
            <w:tcW w:w="4675" w:type="dxa"/>
            <w:vAlign w:val="bottom"/>
          </w:tcPr>
          <w:p w14:paraId="50A08CB3" w14:textId="77777777" w:rsidR="001E2F9C" w:rsidRDefault="001E2F9C" w:rsidP="001515D5">
            <w:r>
              <w:t>High</w:t>
            </w:r>
          </w:p>
        </w:tc>
      </w:tr>
      <w:tr w:rsidR="001E2F9C" w14:paraId="3C53E832" w14:textId="77777777" w:rsidTr="001515D5">
        <w:tc>
          <w:tcPr>
            <w:tcW w:w="4675" w:type="dxa"/>
            <w:vAlign w:val="bottom"/>
          </w:tcPr>
          <w:p w14:paraId="28359F8B" w14:textId="77777777" w:rsidR="001E2F9C" w:rsidRDefault="001E2F9C" w:rsidP="001515D5">
            <w:r>
              <w:t>Newberry</w:t>
            </w:r>
          </w:p>
        </w:tc>
        <w:tc>
          <w:tcPr>
            <w:tcW w:w="4675" w:type="dxa"/>
            <w:vAlign w:val="bottom"/>
          </w:tcPr>
          <w:p w14:paraId="2C365B28" w14:textId="77777777" w:rsidR="001E2F9C" w:rsidRDefault="001E2F9C" w:rsidP="001515D5">
            <w:r>
              <w:t>Low-Medium</w:t>
            </w:r>
          </w:p>
        </w:tc>
      </w:tr>
      <w:tr w:rsidR="001E2F9C" w14:paraId="5C276AAF" w14:textId="77777777" w:rsidTr="001515D5">
        <w:tc>
          <w:tcPr>
            <w:tcW w:w="4675" w:type="dxa"/>
            <w:vAlign w:val="bottom"/>
          </w:tcPr>
          <w:p w14:paraId="79FF97C2" w14:textId="77777777" w:rsidR="001E2F9C" w:rsidRDefault="001E2F9C" w:rsidP="001515D5">
            <w:r>
              <w:t>Oconee</w:t>
            </w:r>
          </w:p>
        </w:tc>
        <w:tc>
          <w:tcPr>
            <w:tcW w:w="4675" w:type="dxa"/>
            <w:vAlign w:val="bottom"/>
          </w:tcPr>
          <w:p w14:paraId="5D6DE642" w14:textId="77777777" w:rsidR="001E2F9C" w:rsidRDefault="001E2F9C" w:rsidP="001515D5">
            <w:r>
              <w:t>Low-Medium</w:t>
            </w:r>
          </w:p>
        </w:tc>
      </w:tr>
      <w:tr w:rsidR="001E2F9C" w14:paraId="6E41124B" w14:textId="77777777" w:rsidTr="001515D5">
        <w:tc>
          <w:tcPr>
            <w:tcW w:w="4675" w:type="dxa"/>
            <w:vAlign w:val="bottom"/>
          </w:tcPr>
          <w:p w14:paraId="6F34AD50" w14:textId="77777777" w:rsidR="001E2F9C" w:rsidRDefault="001E2F9C" w:rsidP="001515D5">
            <w:r>
              <w:t>Orangeburg</w:t>
            </w:r>
          </w:p>
        </w:tc>
        <w:tc>
          <w:tcPr>
            <w:tcW w:w="4675" w:type="dxa"/>
            <w:vAlign w:val="bottom"/>
          </w:tcPr>
          <w:p w14:paraId="52E9CBED" w14:textId="77777777" w:rsidR="001E2F9C" w:rsidRDefault="001E2F9C" w:rsidP="001515D5">
            <w:r>
              <w:t>Medium-High</w:t>
            </w:r>
          </w:p>
        </w:tc>
      </w:tr>
      <w:tr w:rsidR="001E2F9C" w14:paraId="2189CF7F" w14:textId="77777777" w:rsidTr="001515D5">
        <w:tc>
          <w:tcPr>
            <w:tcW w:w="4675" w:type="dxa"/>
            <w:vAlign w:val="bottom"/>
          </w:tcPr>
          <w:p w14:paraId="5167C739" w14:textId="77777777" w:rsidR="001E2F9C" w:rsidRDefault="001E2F9C" w:rsidP="001515D5">
            <w:r>
              <w:t>Pickens</w:t>
            </w:r>
          </w:p>
        </w:tc>
        <w:tc>
          <w:tcPr>
            <w:tcW w:w="4675" w:type="dxa"/>
            <w:vAlign w:val="bottom"/>
          </w:tcPr>
          <w:p w14:paraId="1552B8D7" w14:textId="77777777" w:rsidR="001E2F9C" w:rsidRDefault="001E2F9C" w:rsidP="001515D5">
            <w:r>
              <w:t>Low</w:t>
            </w:r>
          </w:p>
        </w:tc>
      </w:tr>
      <w:tr w:rsidR="001E2F9C" w14:paraId="5ADF45C0" w14:textId="77777777" w:rsidTr="001515D5">
        <w:tc>
          <w:tcPr>
            <w:tcW w:w="4675" w:type="dxa"/>
            <w:vAlign w:val="bottom"/>
          </w:tcPr>
          <w:p w14:paraId="3EEA083D" w14:textId="77777777" w:rsidR="001E2F9C" w:rsidRDefault="001E2F9C" w:rsidP="001515D5">
            <w:r>
              <w:lastRenderedPageBreak/>
              <w:t>Richland</w:t>
            </w:r>
          </w:p>
        </w:tc>
        <w:tc>
          <w:tcPr>
            <w:tcW w:w="4675" w:type="dxa"/>
            <w:vAlign w:val="bottom"/>
          </w:tcPr>
          <w:p w14:paraId="334AE27B" w14:textId="77777777" w:rsidR="001E2F9C" w:rsidRDefault="001E2F9C" w:rsidP="001515D5">
            <w:r>
              <w:t>Low-Medium</w:t>
            </w:r>
          </w:p>
        </w:tc>
      </w:tr>
      <w:tr w:rsidR="001E2F9C" w14:paraId="2B7C8A5B" w14:textId="77777777" w:rsidTr="001515D5">
        <w:tc>
          <w:tcPr>
            <w:tcW w:w="4675" w:type="dxa"/>
            <w:vAlign w:val="bottom"/>
          </w:tcPr>
          <w:p w14:paraId="4283B203" w14:textId="77777777" w:rsidR="001E2F9C" w:rsidRDefault="001E2F9C" w:rsidP="001515D5">
            <w:r>
              <w:t>Saluda</w:t>
            </w:r>
          </w:p>
        </w:tc>
        <w:tc>
          <w:tcPr>
            <w:tcW w:w="4675" w:type="dxa"/>
            <w:vAlign w:val="bottom"/>
          </w:tcPr>
          <w:p w14:paraId="51510012" w14:textId="77777777" w:rsidR="001E2F9C" w:rsidRDefault="001E2F9C" w:rsidP="001515D5">
            <w:r>
              <w:t>Medium-High</w:t>
            </w:r>
          </w:p>
        </w:tc>
      </w:tr>
      <w:tr w:rsidR="001E2F9C" w14:paraId="642E4C05" w14:textId="77777777" w:rsidTr="001515D5">
        <w:tc>
          <w:tcPr>
            <w:tcW w:w="4675" w:type="dxa"/>
            <w:vAlign w:val="bottom"/>
          </w:tcPr>
          <w:p w14:paraId="63D49A66" w14:textId="77777777" w:rsidR="001E2F9C" w:rsidRDefault="001E2F9C" w:rsidP="001515D5">
            <w:r>
              <w:t>Spartanburg</w:t>
            </w:r>
          </w:p>
        </w:tc>
        <w:tc>
          <w:tcPr>
            <w:tcW w:w="4675" w:type="dxa"/>
            <w:vAlign w:val="bottom"/>
          </w:tcPr>
          <w:p w14:paraId="6E3436FC" w14:textId="77777777" w:rsidR="001E2F9C" w:rsidRDefault="001E2F9C" w:rsidP="001515D5">
            <w:r>
              <w:t>Low-Medium</w:t>
            </w:r>
          </w:p>
        </w:tc>
      </w:tr>
      <w:tr w:rsidR="001E2F9C" w14:paraId="4A86B370" w14:textId="77777777" w:rsidTr="001515D5">
        <w:tc>
          <w:tcPr>
            <w:tcW w:w="4675" w:type="dxa"/>
            <w:vAlign w:val="bottom"/>
          </w:tcPr>
          <w:p w14:paraId="5F273A00" w14:textId="77777777" w:rsidR="001E2F9C" w:rsidRDefault="001E2F9C" w:rsidP="001515D5">
            <w:r>
              <w:t>Sumter</w:t>
            </w:r>
          </w:p>
        </w:tc>
        <w:tc>
          <w:tcPr>
            <w:tcW w:w="4675" w:type="dxa"/>
            <w:vAlign w:val="bottom"/>
          </w:tcPr>
          <w:p w14:paraId="7EE8F833" w14:textId="77777777" w:rsidR="001E2F9C" w:rsidRDefault="001E2F9C" w:rsidP="001515D5">
            <w:r>
              <w:t>Medium-High</w:t>
            </w:r>
          </w:p>
        </w:tc>
      </w:tr>
      <w:tr w:rsidR="001E2F9C" w14:paraId="35B19400" w14:textId="77777777" w:rsidTr="001515D5">
        <w:tc>
          <w:tcPr>
            <w:tcW w:w="4675" w:type="dxa"/>
            <w:vAlign w:val="bottom"/>
          </w:tcPr>
          <w:p w14:paraId="2C9EB3B8" w14:textId="77777777" w:rsidR="001E2F9C" w:rsidRDefault="001E2F9C" w:rsidP="001515D5">
            <w:r>
              <w:t>Union</w:t>
            </w:r>
          </w:p>
        </w:tc>
        <w:tc>
          <w:tcPr>
            <w:tcW w:w="4675" w:type="dxa"/>
            <w:vAlign w:val="bottom"/>
          </w:tcPr>
          <w:p w14:paraId="5F616020" w14:textId="77777777" w:rsidR="001E2F9C" w:rsidRDefault="001E2F9C" w:rsidP="001515D5">
            <w:r>
              <w:t>Medium-High</w:t>
            </w:r>
          </w:p>
        </w:tc>
      </w:tr>
      <w:tr w:rsidR="001E2F9C" w14:paraId="27D39656" w14:textId="77777777" w:rsidTr="001515D5">
        <w:tc>
          <w:tcPr>
            <w:tcW w:w="4675" w:type="dxa"/>
            <w:vAlign w:val="bottom"/>
          </w:tcPr>
          <w:p w14:paraId="78879ECF" w14:textId="77777777" w:rsidR="001E2F9C" w:rsidRDefault="001E2F9C" w:rsidP="001515D5">
            <w:r>
              <w:t>Williamsburg</w:t>
            </w:r>
          </w:p>
        </w:tc>
        <w:tc>
          <w:tcPr>
            <w:tcW w:w="4675" w:type="dxa"/>
            <w:vAlign w:val="bottom"/>
          </w:tcPr>
          <w:p w14:paraId="05E4711A" w14:textId="77777777" w:rsidR="001E2F9C" w:rsidRDefault="001E2F9C" w:rsidP="001515D5">
            <w:r>
              <w:t>High</w:t>
            </w:r>
          </w:p>
        </w:tc>
      </w:tr>
      <w:tr w:rsidR="001E2F9C" w14:paraId="1A72AF1D" w14:textId="77777777" w:rsidTr="001515D5">
        <w:tc>
          <w:tcPr>
            <w:tcW w:w="4675" w:type="dxa"/>
            <w:vAlign w:val="bottom"/>
          </w:tcPr>
          <w:p w14:paraId="7B3B3B4D" w14:textId="77777777" w:rsidR="001E2F9C" w:rsidRDefault="001E2F9C" w:rsidP="001515D5">
            <w:r>
              <w:t>York</w:t>
            </w:r>
          </w:p>
        </w:tc>
        <w:tc>
          <w:tcPr>
            <w:tcW w:w="4675" w:type="dxa"/>
            <w:vAlign w:val="bottom"/>
          </w:tcPr>
          <w:p w14:paraId="2A5F05EA" w14:textId="77777777" w:rsidR="001E2F9C" w:rsidRDefault="001E2F9C" w:rsidP="001515D5">
            <w:r>
              <w:t>Low</w:t>
            </w:r>
          </w:p>
        </w:tc>
      </w:tr>
    </w:tbl>
    <w:p w14:paraId="3CB49B7D" w14:textId="77777777" w:rsidR="001E2F9C" w:rsidRDefault="001E2F9C" w:rsidP="001E2F9C">
      <w:r>
        <w:t>Source: CDC, 2022.</w:t>
      </w:r>
    </w:p>
    <w:p w14:paraId="1BC4E81E" w14:textId="77777777" w:rsidR="00722CE9" w:rsidRDefault="00722CE9" w:rsidP="00722CE9"/>
    <w:p w14:paraId="4A50E689" w14:textId="77777777" w:rsidR="00722CE9" w:rsidRPr="00722CE9" w:rsidRDefault="00722CE9" w:rsidP="00722CE9">
      <w:pPr>
        <w:pStyle w:val="Heading3"/>
      </w:pPr>
      <w:bookmarkStart w:id="110" w:name="_Toc162267060"/>
      <w:r w:rsidRPr="00722CE9">
        <w:t>What is Being Done to Mitigate Social Vulnerability?</w:t>
      </w:r>
      <w:bookmarkEnd w:id="110"/>
    </w:p>
    <w:p w14:paraId="4431275E" w14:textId="227EBA40" w:rsidR="00722CE9" w:rsidRPr="00722CE9" w:rsidRDefault="00F73294" w:rsidP="00722CE9">
      <w:r>
        <w:t>T</w:t>
      </w:r>
      <w:r w:rsidR="00722CE9" w:rsidRPr="00722CE9">
        <w:t xml:space="preserve">o mitigate social vulnerability and reduce health inequities, various efforts and strategies are implemented across public health. DHEC works to advance health equity through partnership with community leaders and organizations across the state. These initiatives include conducting community data walks to discuss relevant community-specific health data and ways to improve the health of the community, improving access to actionable, community-level public health data, and increasing awareness of existing health disparities. </w:t>
      </w:r>
    </w:p>
    <w:p w14:paraId="7B061F72" w14:textId="77777777" w:rsidR="00722CE9" w:rsidRDefault="00722CE9" w:rsidP="00722CE9"/>
    <w:p w14:paraId="2CC020FC" w14:textId="58CD3EEE" w:rsidR="00722CE9" w:rsidRPr="00722CE9" w:rsidRDefault="00722CE9" w:rsidP="00722CE9">
      <w:r w:rsidRPr="00722CE9">
        <w:t>The COVID-19 pandemic is a stark example of how certain factors made some communities more vulnerable. For example, the pandemic highlighted existing racial and ethnic disparities in health care and health outcomes. Racial minority groups were disproportionately affected and experienced higher infection rates, hospitalization rates, and mortality rates compared to non-Hispanic White people. In response to the pandemic, the SVI was adapted to incorporate COVID-19-related disparities. This provide</w:t>
      </w:r>
      <w:r w:rsidR="003E38E5">
        <w:t>s</w:t>
      </w:r>
      <w:r w:rsidRPr="00722CE9">
        <w:t xml:space="preserve"> leaders with detailed, localized data for current outreach programs and helps to identify and plan support for vulnerable communities before, during, and after future public health emergencies. </w:t>
      </w:r>
    </w:p>
    <w:p w14:paraId="3DC62815" w14:textId="77777777" w:rsidR="00722CE9" w:rsidRDefault="00722CE9" w:rsidP="00722CE9"/>
    <w:p w14:paraId="39EF864F" w14:textId="77777777" w:rsidR="00722CE9" w:rsidRPr="00270B2E" w:rsidRDefault="00722CE9" w:rsidP="00722CE9">
      <w:pPr>
        <w:rPr>
          <w:rStyle w:val="Heading4Char"/>
          <w:rFonts w:asciiTheme="minorHAnsi" w:hAnsiTheme="minorHAnsi" w:cstheme="minorHAnsi"/>
          <w:color w:val="000000" w:themeColor="text1"/>
        </w:rPr>
      </w:pPr>
      <w:bookmarkStart w:id="111" w:name="_Toc162267061"/>
      <w:r w:rsidRPr="00270B2E">
        <w:rPr>
          <w:rStyle w:val="Heading4Char"/>
          <w:rFonts w:asciiTheme="minorHAnsi" w:hAnsiTheme="minorHAnsi" w:cstheme="minorHAnsi"/>
          <w:color w:val="000000" w:themeColor="text1"/>
        </w:rPr>
        <w:t>References 5.4</w:t>
      </w:r>
      <w:bookmarkEnd w:id="111"/>
    </w:p>
    <w:p w14:paraId="67D64138" w14:textId="6B77BCCC" w:rsidR="00722CE9" w:rsidRDefault="00722CE9" w:rsidP="00722CE9">
      <w:r w:rsidRPr="00722CE9">
        <w:t xml:space="preserve">Statistics in the preceding </w:t>
      </w:r>
      <w:r w:rsidR="00926EB3">
        <w:t>section</w:t>
      </w:r>
      <w:r w:rsidRPr="00722CE9">
        <w:t xml:space="preserve"> were referenced from the following reports:</w:t>
      </w:r>
    </w:p>
    <w:p w14:paraId="2190F868" w14:textId="5CFC31B0" w:rsidR="00722CE9" w:rsidRDefault="00000000" w:rsidP="00926EB3">
      <w:pPr>
        <w:pStyle w:val="ListParagraph"/>
        <w:numPr>
          <w:ilvl w:val="0"/>
          <w:numId w:val="231"/>
        </w:numPr>
      </w:pPr>
      <w:hyperlink r:id="rId30" w:history="1">
        <w:r w:rsidR="00722CE9" w:rsidRPr="00722CE9">
          <w:rPr>
            <w:rStyle w:val="Hyperlink"/>
          </w:rPr>
          <w:t>“CDC/ATSDR social vulnerability index (SVI)” by the Centers for Disease Control and Prevention, 2022.</w:t>
        </w:r>
      </w:hyperlink>
      <w:r w:rsidR="00722CE9" w:rsidRPr="00722CE9">
        <w:t xml:space="preserve"> </w:t>
      </w:r>
    </w:p>
    <w:p w14:paraId="5196794F" w14:textId="18CBB626" w:rsidR="00722CE9" w:rsidRPr="00722CE9" w:rsidRDefault="00000000" w:rsidP="00926EB3">
      <w:pPr>
        <w:numPr>
          <w:ilvl w:val="0"/>
          <w:numId w:val="231"/>
        </w:numPr>
        <w:rPr>
          <w:u w:val="thick"/>
        </w:rPr>
      </w:pPr>
      <w:hyperlink r:id="rId31" w:history="1">
        <w:r w:rsidR="00722CE9" w:rsidRPr="00722CE9">
          <w:rPr>
            <w:rStyle w:val="Hyperlink"/>
          </w:rPr>
          <w:t>“The U.S. COVID Community Vulnerability Index (CCVI)” by Precision for COVID.</w:t>
        </w:r>
      </w:hyperlink>
    </w:p>
    <w:p w14:paraId="156AB6B2" w14:textId="77777777" w:rsidR="00722CE9" w:rsidRDefault="00722CE9" w:rsidP="00722CE9"/>
    <w:p w14:paraId="3F1729B4" w14:textId="77777777" w:rsidR="00722CE9" w:rsidRPr="00722CE9" w:rsidRDefault="00722CE9" w:rsidP="00722CE9">
      <w:pPr>
        <w:pStyle w:val="Heading3"/>
      </w:pPr>
      <w:bookmarkStart w:id="112" w:name="_Toc162267062"/>
      <w:r w:rsidRPr="00722CE9">
        <w:lastRenderedPageBreak/>
        <w:t>Highlighting Health Disparities</w:t>
      </w:r>
      <w:bookmarkEnd w:id="112"/>
    </w:p>
    <w:p w14:paraId="1F392EEC" w14:textId="537F808E" w:rsidR="00722CE9" w:rsidRPr="00722CE9" w:rsidRDefault="00722CE9" w:rsidP="00722CE9">
      <w:r w:rsidRPr="00722CE9">
        <w:t>Health disparities refer to differences that affect one’s ability to achieve optimal health, such as race, gender, education, income, sexual orientation, community and physical environment, mental illness, physical or cognitive abilities, and health care access. These differences result in disproportionately higher rates among some population groups in SC of illness and death from conditions such as diabetes, maternal mortality, infant mortality, and drug overdoses</w:t>
      </w:r>
      <w:r>
        <w:t>.</w:t>
      </w:r>
    </w:p>
    <w:p w14:paraId="438950FE" w14:textId="77777777" w:rsidR="00722CE9" w:rsidRDefault="00722CE9" w:rsidP="00722CE9"/>
    <w:p w14:paraId="01B4E658" w14:textId="77777777" w:rsidR="00722CE9" w:rsidRPr="00722CE9" w:rsidRDefault="00722CE9" w:rsidP="00722CE9">
      <w:pPr>
        <w:pStyle w:val="Heading3"/>
      </w:pPr>
      <w:bookmarkStart w:id="113" w:name="_Toc162267063"/>
      <w:r w:rsidRPr="00722CE9">
        <w:t>Examples of Health Disparities in South Carolina</w:t>
      </w:r>
      <w:bookmarkEnd w:id="113"/>
      <w:r w:rsidRPr="00722CE9">
        <w:t xml:space="preserve"> </w:t>
      </w:r>
    </w:p>
    <w:p w14:paraId="1D3EDC6D" w14:textId="77777777" w:rsidR="00722CE9" w:rsidRPr="00722CE9" w:rsidRDefault="00722CE9" w:rsidP="00722CE9">
      <w:pPr>
        <w:pStyle w:val="Heading4"/>
      </w:pPr>
      <w:bookmarkStart w:id="114" w:name="_Toc162267064"/>
      <w:r w:rsidRPr="00722CE9">
        <w:t>I. Diabetes</w:t>
      </w:r>
      <w:bookmarkEnd w:id="114"/>
    </w:p>
    <w:p w14:paraId="71247154" w14:textId="0C4FCBC5" w:rsidR="00722CE9" w:rsidRPr="00722CE9" w:rsidRDefault="00722CE9" w:rsidP="00722CE9">
      <w:r w:rsidRPr="00722CE9">
        <w:t>In 2020, SC had the 6th-highest prevalence of diabetes in the US. It is estimated that 123,000 people in the state have type 2 diabetes but do not know it, which greatly increases their risk for developing diabetes complications.</w:t>
      </w:r>
      <w:r>
        <w:rPr>
          <w:b/>
          <w:bCs/>
        </w:rPr>
        <w:t xml:space="preserve"> </w:t>
      </w:r>
      <w:r w:rsidRPr="00722CE9">
        <w:t>More than 30% of SC’s adult population ha</w:t>
      </w:r>
      <w:r w:rsidR="003E38E5">
        <w:t>s</w:t>
      </w:r>
      <w:r w:rsidRPr="00722CE9">
        <w:t xml:space="preserve"> prediabetes, with blood sugar levels higher than normal but not yet high enough for healthcare providers to diagnose as diabetes. Prediabetes can often be reversed but, without </w:t>
      </w:r>
      <w:proofErr w:type="gramStart"/>
      <w:r w:rsidRPr="00722CE9">
        <w:t>taking action</w:t>
      </w:r>
      <w:proofErr w:type="gramEnd"/>
      <w:r w:rsidRPr="00722CE9">
        <w:t xml:space="preserve">, many people with prediabetes could develop type 2 diabetes within five years. </w:t>
      </w:r>
    </w:p>
    <w:p w14:paraId="3F2E32E3" w14:textId="77777777" w:rsidR="00722CE9" w:rsidRDefault="00722CE9" w:rsidP="00722CE9"/>
    <w:p w14:paraId="1E1C8C91" w14:textId="318F3567" w:rsidR="00722CE9" w:rsidRPr="00722CE9" w:rsidRDefault="00722CE9" w:rsidP="00722CE9">
      <w:r w:rsidRPr="00722CE9">
        <w:t>In SC, diabetes affects one in five non-Hispanic Black adults compared to one in eight non-Hispanic White adults, one in five low-income earners, and 80% of adults who are overweight or obese. Low-income earners are disproportionately burdened by the cost of type 2 diabetes because medical expenses are approximately 2.3 times more for those with than without the disease. Type 2 diabetes costs SC nearly $6 billion in total direct and indirect medical expenses. Nationally, diabetes is more likely to occur among Black people living in poor neighborhoods than among White people in the same neighborhood regardless of Hispanic ethnicity. Likewise, hospitalizations in SC also vary by neighborhood and race. For example, Black residents comprised 91% of all hospitalizations with a primary diagnosis of diabetes from the ZIP code 29203 in 2020, and had a hospitalization rate twice as high as White residents from the same ZIP code (</w:t>
      </w:r>
      <w:r w:rsidRPr="00722CE9">
        <w:rPr>
          <w:b/>
          <w:bCs/>
        </w:rPr>
        <w:t>Figure 5.3</w:t>
      </w:r>
      <w:r w:rsidRPr="00722CE9">
        <w:t xml:space="preserve">). Additionally, hospital length of stay was longer, on average, for Black residents compared to White residents (7.3 days vs 5.1 days, respectively) despite the much younger average age of Black than White residents (49.7 years vs 57.5 years, respectively). </w:t>
      </w:r>
    </w:p>
    <w:p w14:paraId="464C297F" w14:textId="77777777" w:rsidR="00722CE9" w:rsidRDefault="00722CE9" w:rsidP="00722CE9"/>
    <w:p w14:paraId="31722151" w14:textId="77777777" w:rsidR="001E2F9C" w:rsidRDefault="001E2F9C" w:rsidP="001E2F9C">
      <w:pPr>
        <w:pStyle w:val="Heading4"/>
      </w:pPr>
      <w:bookmarkStart w:id="115" w:name="_Toc154569776"/>
      <w:bookmarkStart w:id="116" w:name="_Toc162267065"/>
      <w:r>
        <w:lastRenderedPageBreak/>
        <w:t>Figure 5.3: Diabetes Hospitalizations in ZIP Code 29203, by Race.</w:t>
      </w:r>
      <w:bookmarkEnd w:id="115"/>
      <w:bookmarkEnd w:id="116"/>
    </w:p>
    <w:p w14:paraId="0274F5D9" w14:textId="77777777" w:rsidR="001E2F9C" w:rsidRPr="0033584C" w:rsidRDefault="001E2F9C" w:rsidP="001E2F9C">
      <w:pPr>
        <w:pStyle w:val="Heading5"/>
      </w:pPr>
      <w:r>
        <w:t>Rate per 100,000 population.</w:t>
      </w:r>
    </w:p>
    <w:tbl>
      <w:tblPr>
        <w:tblStyle w:val="TableGrid"/>
        <w:tblW w:w="0" w:type="auto"/>
        <w:tblLook w:val="04A0" w:firstRow="1" w:lastRow="0" w:firstColumn="1" w:lastColumn="0" w:noHBand="0" w:noVBand="1"/>
      </w:tblPr>
      <w:tblGrid>
        <w:gridCol w:w="4675"/>
        <w:gridCol w:w="4675"/>
      </w:tblGrid>
      <w:tr w:rsidR="001E2F9C" w14:paraId="7970D9F7" w14:textId="77777777" w:rsidTr="001515D5">
        <w:tc>
          <w:tcPr>
            <w:tcW w:w="4675" w:type="dxa"/>
            <w:vAlign w:val="bottom"/>
          </w:tcPr>
          <w:p w14:paraId="5C083C01" w14:textId="77777777" w:rsidR="001E2F9C" w:rsidRDefault="001E2F9C" w:rsidP="001515D5">
            <w:r>
              <w:t>Race</w:t>
            </w:r>
          </w:p>
        </w:tc>
        <w:tc>
          <w:tcPr>
            <w:tcW w:w="4675" w:type="dxa"/>
            <w:vAlign w:val="bottom"/>
          </w:tcPr>
          <w:p w14:paraId="42F2D8B8" w14:textId="77777777" w:rsidR="001E2F9C" w:rsidRDefault="001E2F9C" w:rsidP="001515D5">
            <w:r>
              <w:t>Hospitalizations</w:t>
            </w:r>
          </w:p>
        </w:tc>
      </w:tr>
      <w:tr w:rsidR="001E2F9C" w14:paraId="40A97DF8" w14:textId="77777777" w:rsidTr="001515D5">
        <w:tc>
          <w:tcPr>
            <w:tcW w:w="4675" w:type="dxa"/>
            <w:vAlign w:val="bottom"/>
          </w:tcPr>
          <w:p w14:paraId="7966D1BD" w14:textId="77777777" w:rsidR="001E2F9C" w:rsidRDefault="001E2F9C" w:rsidP="001515D5">
            <w:r>
              <w:rPr>
                <w:color w:val="000000"/>
              </w:rPr>
              <w:t>Non-Hispanic White</w:t>
            </w:r>
          </w:p>
        </w:tc>
        <w:tc>
          <w:tcPr>
            <w:tcW w:w="4675" w:type="dxa"/>
            <w:vAlign w:val="bottom"/>
          </w:tcPr>
          <w:p w14:paraId="788926FC" w14:textId="77777777" w:rsidR="001E2F9C" w:rsidRDefault="001E2F9C" w:rsidP="001515D5">
            <w:r>
              <w:rPr>
                <w:color w:val="000000"/>
              </w:rPr>
              <w:t>244.3</w:t>
            </w:r>
          </w:p>
        </w:tc>
      </w:tr>
      <w:tr w:rsidR="001E2F9C" w14:paraId="3C2EC8B6" w14:textId="77777777" w:rsidTr="001515D5">
        <w:tc>
          <w:tcPr>
            <w:tcW w:w="4675" w:type="dxa"/>
            <w:vAlign w:val="bottom"/>
          </w:tcPr>
          <w:p w14:paraId="415266A4" w14:textId="77777777" w:rsidR="001E2F9C" w:rsidRDefault="001E2F9C" w:rsidP="001515D5">
            <w:r>
              <w:rPr>
                <w:color w:val="000000"/>
              </w:rPr>
              <w:t>Non-Hispanic Black</w:t>
            </w:r>
          </w:p>
        </w:tc>
        <w:tc>
          <w:tcPr>
            <w:tcW w:w="4675" w:type="dxa"/>
            <w:vAlign w:val="bottom"/>
          </w:tcPr>
          <w:p w14:paraId="1138695D" w14:textId="77777777" w:rsidR="001E2F9C" w:rsidRDefault="001E2F9C" w:rsidP="001515D5">
            <w:r>
              <w:rPr>
                <w:color w:val="000000"/>
              </w:rPr>
              <w:t>494.4</w:t>
            </w:r>
          </w:p>
        </w:tc>
      </w:tr>
    </w:tbl>
    <w:p w14:paraId="69D6C33C" w14:textId="77777777" w:rsidR="001E2F9C" w:rsidRDefault="001E2F9C" w:rsidP="001E2F9C">
      <w:r>
        <w:t>Source: SC RFA, 2020.</w:t>
      </w:r>
    </w:p>
    <w:p w14:paraId="6F0CBBD2" w14:textId="48268BEB" w:rsidR="001E2F9C" w:rsidRDefault="001E2F9C" w:rsidP="001E2F9C">
      <w:r>
        <w:t>Notes: Primary diagnoses.</w:t>
      </w:r>
    </w:p>
    <w:p w14:paraId="5657FE22" w14:textId="77777777" w:rsidR="00722CE9" w:rsidRDefault="00722CE9" w:rsidP="00722CE9"/>
    <w:p w14:paraId="3006A7BD" w14:textId="518406C4" w:rsidR="00722CE9" w:rsidRPr="00722CE9" w:rsidRDefault="00722CE9" w:rsidP="00722CE9">
      <w:r w:rsidRPr="00722CE9">
        <w:t>Nationally, the mortality rate for diabetes is 2.5 times higher among non-Hispanic Black people than among non-Hispanic White people, and 62.6% higher among males than females regardless of race or ethnicity. Diabetes complications such as eye damage, kidney disease, hardened arteries, and nerve damage are more often seen among non-Hispanic Black and Hispanic adults, compared to non-Hispanic White adults. Amputations related to diabetes increase the risk of death and are three times higher nationally in Black people than in White people regardless of Hispanic ethnicity, with the rural South seeing even higher rates. These data show the disproportionate burden among non-Hispanic Black residents in SC for diabetes, diabetes risk factors, diabetes complications, and mortality from diabetes. Factors that contribute to racial disparities include economic inequalities, lack of access to primary care or affordability of care, lack of community resources such as transportation to attend appointments, and lack of insurance coverage.</w:t>
      </w:r>
    </w:p>
    <w:p w14:paraId="52862809" w14:textId="11445733" w:rsidR="00DC77AC" w:rsidRDefault="00DC77AC" w:rsidP="00722CE9"/>
    <w:p w14:paraId="2AE97C7A" w14:textId="16981B37" w:rsidR="00722CE9" w:rsidRPr="00270B2E" w:rsidRDefault="00722CE9" w:rsidP="00722CE9">
      <w:pPr>
        <w:rPr>
          <w:rStyle w:val="Heading4Char"/>
          <w:rFonts w:asciiTheme="minorHAnsi" w:hAnsiTheme="minorHAnsi" w:cstheme="minorHAnsi"/>
          <w:color w:val="000000" w:themeColor="text1"/>
        </w:rPr>
      </w:pPr>
      <w:bookmarkStart w:id="117" w:name="_Toc162267066"/>
      <w:r w:rsidRPr="00270B2E">
        <w:rPr>
          <w:rStyle w:val="Heading4Char"/>
          <w:rFonts w:asciiTheme="minorHAnsi" w:hAnsiTheme="minorHAnsi" w:cstheme="minorHAnsi"/>
          <w:color w:val="000000" w:themeColor="text1"/>
        </w:rPr>
        <w:t>References 5.5</w:t>
      </w:r>
      <w:bookmarkEnd w:id="117"/>
    </w:p>
    <w:p w14:paraId="5A5925D7" w14:textId="213F8ACE" w:rsidR="00722CE9" w:rsidRDefault="00722CE9" w:rsidP="00722CE9">
      <w:r w:rsidRPr="00722CE9">
        <w:t xml:space="preserve">Statistics in the preceding </w:t>
      </w:r>
      <w:r w:rsidR="00926EB3">
        <w:t>section</w:t>
      </w:r>
      <w:r w:rsidRPr="00722CE9">
        <w:t xml:space="preserve"> were referenced from the following reports:</w:t>
      </w:r>
    </w:p>
    <w:p w14:paraId="6716D467" w14:textId="5A4752E8" w:rsidR="00722CE9" w:rsidRDefault="00000000" w:rsidP="00926EB3">
      <w:pPr>
        <w:pStyle w:val="ListParagraph"/>
        <w:numPr>
          <w:ilvl w:val="0"/>
          <w:numId w:val="231"/>
        </w:numPr>
      </w:pPr>
      <w:hyperlink r:id="rId32" w:history="1">
        <w:r w:rsidR="00722CE9" w:rsidRPr="00722CE9">
          <w:rPr>
            <w:rStyle w:val="Hyperlink"/>
          </w:rPr>
          <w:t>“Diabetes impact in South Carolina” by SC DHEC, 2022.</w:t>
        </w:r>
      </w:hyperlink>
      <w:r w:rsidR="00722CE9" w:rsidRPr="00722CE9">
        <w:t xml:space="preserve"> </w:t>
      </w:r>
    </w:p>
    <w:p w14:paraId="225872B0" w14:textId="77777777" w:rsidR="00722CE9" w:rsidRDefault="00000000" w:rsidP="00926EB3">
      <w:pPr>
        <w:pStyle w:val="ListParagraph"/>
        <w:numPr>
          <w:ilvl w:val="0"/>
          <w:numId w:val="231"/>
        </w:numPr>
      </w:pPr>
      <w:hyperlink r:id="rId33" w:history="1">
        <w:r w:rsidR="00722CE9" w:rsidRPr="00722CE9">
          <w:rPr>
            <w:rStyle w:val="Hyperlink"/>
          </w:rPr>
          <w:t>“The Burden of Diabetes in South Carolina” by the American Diabetes Association, 2022.</w:t>
        </w:r>
      </w:hyperlink>
      <w:r w:rsidR="00722CE9" w:rsidRPr="00722CE9">
        <w:t xml:space="preserve"> </w:t>
      </w:r>
    </w:p>
    <w:p w14:paraId="33569027" w14:textId="0B32A7BA" w:rsidR="00722CE9" w:rsidRPr="00722CE9" w:rsidRDefault="00000000" w:rsidP="00926EB3">
      <w:pPr>
        <w:pStyle w:val="ListParagraph"/>
        <w:numPr>
          <w:ilvl w:val="0"/>
          <w:numId w:val="231"/>
        </w:numPr>
      </w:pPr>
      <w:hyperlink r:id="rId34" w:history="1">
        <w:r w:rsidR="00722CE9" w:rsidRPr="00722CE9">
          <w:rPr>
            <w:rStyle w:val="Hyperlink"/>
          </w:rPr>
          <w:t>“National Diabetes Prevention Program” by the Centers for Disease Control and Prevention, 2023.</w:t>
        </w:r>
      </w:hyperlink>
      <w:r w:rsidR="00722CE9" w:rsidRPr="00722CE9">
        <w:t xml:space="preserve"> </w:t>
      </w:r>
    </w:p>
    <w:p w14:paraId="2D9132A5" w14:textId="4A6A60D7" w:rsidR="00722CE9" w:rsidRDefault="00000000" w:rsidP="00926EB3">
      <w:pPr>
        <w:pStyle w:val="ListParagraph"/>
        <w:numPr>
          <w:ilvl w:val="0"/>
          <w:numId w:val="231"/>
        </w:numPr>
      </w:pPr>
      <w:hyperlink r:id="rId35" w:history="1">
        <w:r w:rsidR="00722CE9" w:rsidRPr="00722CE9">
          <w:rPr>
            <w:rStyle w:val="Hyperlink"/>
          </w:rPr>
          <w:t xml:space="preserve">“Disparities in diabetes: The nexus of race, poverty, and place” by Gaskin, D. J., Thorpe, R. J., McGinty, E. E., Bower, K., Rohde, C., Young, J. H., LaVeist, T. A., &amp; </w:t>
        </w:r>
        <w:proofErr w:type="spellStart"/>
        <w:r w:rsidR="00722CE9" w:rsidRPr="00722CE9">
          <w:rPr>
            <w:rStyle w:val="Hyperlink"/>
          </w:rPr>
          <w:t>Dubay</w:t>
        </w:r>
        <w:proofErr w:type="spellEnd"/>
        <w:r w:rsidR="00722CE9" w:rsidRPr="00722CE9">
          <w:rPr>
            <w:rStyle w:val="Hyperlink"/>
          </w:rPr>
          <w:t xml:space="preserve">, L. </w:t>
        </w:r>
        <w:r w:rsidR="00722CE9">
          <w:rPr>
            <w:rStyle w:val="Hyperlink"/>
          </w:rPr>
          <w:t>P</w:t>
        </w:r>
        <w:r w:rsidR="00722CE9" w:rsidRPr="00722CE9">
          <w:rPr>
            <w:rStyle w:val="Hyperlink"/>
          </w:rPr>
          <w:t>ublished in the American Journal of Public Health, 2014.</w:t>
        </w:r>
      </w:hyperlink>
    </w:p>
    <w:p w14:paraId="35E74CB6" w14:textId="3A370609" w:rsidR="00722CE9" w:rsidRPr="00722CE9" w:rsidRDefault="00000000" w:rsidP="00926EB3">
      <w:pPr>
        <w:pStyle w:val="ListParagraph"/>
        <w:numPr>
          <w:ilvl w:val="0"/>
          <w:numId w:val="231"/>
        </w:numPr>
      </w:pPr>
      <w:hyperlink r:id="rId36" w:history="1">
        <w:r w:rsidR="00722CE9" w:rsidRPr="00722CE9">
          <w:rPr>
            <w:rStyle w:val="Hyperlink"/>
          </w:rPr>
          <w:t xml:space="preserve">“Diabetes Complications in Racial and Ethnic Minority Populations in the USA” by Haw, J. S., Shah, M., </w:t>
        </w:r>
        <w:proofErr w:type="spellStart"/>
        <w:r w:rsidR="00722CE9" w:rsidRPr="00722CE9">
          <w:rPr>
            <w:rStyle w:val="Hyperlink"/>
          </w:rPr>
          <w:t>Turbow</w:t>
        </w:r>
        <w:proofErr w:type="spellEnd"/>
        <w:r w:rsidR="00722CE9" w:rsidRPr="00722CE9">
          <w:rPr>
            <w:rStyle w:val="Hyperlink"/>
          </w:rPr>
          <w:t xml:space="preserve">, S., </w:t>
        </w:r>
        <w:proofErr w:type="spellStart"/>
        <w:r w:rsidR="00722CE9" w:rsidRPr="00722CE9">
          <w:rPr>
            <w:rStyle w:val="Hyperlink"/>
          </w:rPr>
          <w:t>Egeolu</w:t>
        </w:r>
        <w:proofErr w:type="spellEnd"/>
        <w:r w:rsidR="00722CE9" w:rsidRPr="00722CE9">
          <w:rPr>
            <w:rStyle w:val="Hyperlink"/>
          </w:rPr>
          <w:t xml:space="preserve">, M., &amp; </w:t>
        </w:r>
        <w:proofErr w:type="spellStart"/>
        <w:r w:rsidR="00722CE9" w:rsidRPr="00722CE9">
          <w:rPr>
            <w:rStyle w:val="Hyperlink"/>
          </w:rPr>
          <w:t>Umpierrez</w:t>
        </w:r>
        <w:proofErr w:type="spellEnd"/>
        <w:r w:rsidR="00722CE9" w:rsidRPr="00722CE9">
          <w:rPr>
            <w:rStyle w:val="Hyperlink"/>
          </w:rPr>
          <w:t>, G</w:t>
        </w:r>
        <w:r w:rsidR="00722CE9">
          <w:rPr>
            <w:rStyle w:val="Hyperlink"/>
          </w:rPr>
          <w:t>. P</w:t>
        </w:r>
        <w:r w:rsidR="00722CE9" w:rsidRPr="00722CE9">
          <w:rPr>
            <w:rStyle w:val="Hyperlink"/>
          </w:rPr>
          <w:t>ublished in Current Diabetes Reports, 2021. </w:t>
        </w:r>
      </w:hyperlink>
      <w:r w:rsidR="00722CE9" w:rsidRPr="00722CE9">
        <w:t xml:space="preserve"> </w:t>
      </w:r>
    </w:p>
    <w:p w14:paraId="798B6ABF" w14:textId="74E39392" w:rsidR="00722CE9" w:rsidRPr="00722CE9" w:rsidRDefault="00000000" w:rsidP="00926EB3">
      <w:pPr>
        <w:pStyle w:val="ListParagraph"/>
        <w:numPr>
          <w:ilvl w:val="0"/>
          <w:numId w:val="231"/>
        </w:numPr>
      </w:pPr>
      <w:hyperlink r:id="rId37" w:history="1">
        <w:r w:rsidR="00722CE9" w:rsidRPr="00722CE9">
          <w:rPr>
            <w:rStyle w:val="Hyperlink"/>
          </w:rPr>
          <w:t>Al-Hasan, D. (2023, March 18). “Black South Carolina County has highest diabetic amputation rate in Deep South” by Al-Hasan, D. Published by Liberation News.</w:t>
        </w:r>
      </w:hyperlink>
      <w:r w:rsidR="00722CE9" w:rsidRPr="00722CE9">
        <w:t xml:space="preserve"> </w:t>
      </w:r>
    </w:p>
    <w:p w14:paraId="3114599A" w14:textId="29D7F0F0" w:rsidR="00722CE9" w:rsidRPr="00722CE9" w:rsidRDefault="00000000" w:rsidP="00926EB3">
      <w:pPr>
        <w:pStyle w:val="ListParagraph"/>
        <w:numPr>
          <w:ilvl w:val="0"/>
          <w:numId w:val="231"/>
        </w:numPr>
      </w:pPr>
      <w:hyperlink r:id="rId38" w:history="1">
        <w:r w:rsidR="00722CE9" w:rsidRPr="00722CE9">
          <w:rPr>
            <w:rStyle w:val="Hyperlink"/>
          </w:rPr>
          <w:t>“Access to Health Services – Health Care Access and Quality” by Healthy People 2030.</w:t>
        </w:r>
      </w:hyperlink>
      <w:r w:rsidR="00722CE9" w:rsidRPr="00722CE9">
        <w:t xml:space="preserve"> </w:t>
      </w:r>
    </w:p>
    <w:p w14:paraId="39CE2E10" w14:textId="77777777" w:rsidR="00722CE9" w:rsidRDefault="00722CE9"/>
    <w:p w14:paraId="35C9FB1F" w14:textId="4E072CC7" w:rsidR="00722CE9" w:rsidRDefault="00722CE9" w:rsidP="00722CE9">
      <w:pPr>
        <w:pStyle w:val="Heading4"/>
      </w:pPr>
      <w:bookmarkStart w:id="118" w:name="_Toc162267067"/>
      <w:r>
        <w:t>I</w:t>
      </w:r>
      <w:r w:rsidRPr="00722CE9">
        <w:t xml:space="preserve">I. </w:t>
      </w:r>
      <w:r>
        <w:t>Maternal Mortality</w:t>
      </w:r>
      <w:bookmarkEnd w:id="118"/>
    </w:p>
    <w:p w14:paraId="79EBC056" w14:textId="0C15D447" w:rsidR="00722CE9" w:rsidRPr="00722CE9" w:rsidRDefault="00722CE9" w:rsidP="00722CE9">
      <w:r w:rsidRPr="00722CE9">
        <w:t>A pregnancy-related death is a death occurring while pregnant or within one year of the end of pregnancy from any cause related to, or aggravated by, the pregnancy. From 2018-2019, the pregnancy-related mortality rate in SC was 48.9 deaths per 100,000 live births for non-Hispanic Black women, which was nearly twice as high as the rate of 29.3 deaths per 100,000 live births for non-Hispanic White women (</w:t>
      </w:r>
      <w:r w:rsidRPr="00722CE9">
        <w:rPr>
          <w:b/>
          <w:bCs/>
        </w:rPr>
        <w:t>Figure 5.4</w:t>
      </w:r>
      <w:r w:rsidRPr="00722CE9">
        <w:t xml:space="preserve">). More than 70% of pregnancy-related deaths in SC occurred during the post-partum period in 2019, and 81.8% of pregnancy-related deaths were determined to be preventable, an increase of 6.8% from 2018. </w:t>
      </w:r>
    </w:p>
    <w:p w14:paraId="4C5ACB1F" w14:textId="77777777" w:rsidR="00722CE9" w:rsidRDefault="00722CE9" w:rsidP="00722CE9">
      <w:pPr>
        <w:pStyle w:val="Heading4"/>
        <w:rPr>
          <w:color w:val="FF0000"/>
        </w:rPr>
      </w:pPr>
    </w:p>
    <w:p w14:paraId="4BE8F440" w14:textId="77777777" w:rsidR="001E2F9C" w:rsidRDefault="001E2F9C" w:rsidP="001E2F9C">
      <w:pPr>
        <w:pStyle w:val="Heading4"/>
      </w:pPr>
      <w:bookmarkStart w:id="119" w:name="_Toc154569777"/>
      <w:bookmarkStart w:id="120" w:name="_Toc162267068"/>
      <w:r>
        <w:t xml:space="preserve">Figure 5.4: </w:t>
      </w:r>
      <w:r w:rsidRPr="0033584C">
        <w:t>Maternal Mortality Rate, by Race and Ethnicity, 2018-2019</w:t>
      </w:r>
      <w:r>
        <w:t>.</w:t>
      </w:r>
      <w:bookmarkEnd w:id="119"/>
      <w:bookmarkEnd w:id="120"/>
    </w:p>
    <w:p w14:paraId="42EF2739" w14:textId="77777777" w:rsidR="001E2F9C" w:rsidRPr="0033584C" w:rsidRDefault="001E2F9C" w:rsidP="001E2F9C">
      <w:pPr>
        <w:pStyle w:val="Heading5"/>
      </w:pPr>
      <w:r>
        <w:t>Rate per 100,000 live births.</w:t>
      </w:r>
    </w:p>
    <w:tbl>
      <w:tblPr>
        <w:tblStyle w:val="TableGrid"/>
        <w:tblW w:w="0" w:type="auto"/>
        <w:tblLook w:val="04A0" w:firstRow="1" w:lastRow="0" w:firstColumn="1" w:lastColumn="0" w:noHBand="0" w:noVBand="1"/>
      </w:tblPr>
      <w:tblGrid>
        <w:gridCol w:w="4675"/>
        <w:gridCol w:w="4675"/>
      </w:tblGrid>
      <w:tr w:rsidR="001E2F9C" w14:paraId="016B6E33" w14:textId="77777777" w:rsidTr="001515D5">
        <w:tc>
          <w:tcPr>
            <w:tcW w:w="4675" w:type="dxa"/>
            <w:vAlign w:val="bottom"/>
          </w:tcPr>
          <w:p w14:paraId="6BC085BA" w14:textId="77777777" w:rsidR="001E2F9C" w:rsidRDefault="001E2F9C" w:rsidP="001515D5">
            <w:r>
              <w:t>Race</w:t>
            </w:r>
          </w:p>
        </w:tc>
        <w:tc>
          <w:tcPr>
            <w:tcW w:w="4675" w:type="dxa"/>
            <w:vAlign w:val="bottom"/>
          </w:tcPr>
          <w:p w14:paraId="53D73079" w14:textId="77777777" w:rsidR="001E2F9C" w:rsidRDefault="001E2F9C" w:rsidP="001515D5">
            <w:r>
              <w:t>Rate</w:t>
            </w:r>
          </w:p>
        </w:tc>
      </w:tr>
      <w:tr w:rsidR="001E2F9C" w14:paraId="1C2BC894" w14:textId="77777777" w:rsidTr="001515D5">
        <w:tc>
          <w:tcPr>
            <w:tcW w:w="4675" w:type="dxa"/>
            <w:vAlign w:val="bottom"/>
          </w:tcPr>
          <w:p w14:paraId="116F3EA5" w14:textId="77777777" w:rsidR="001E2F9C" w:rsidRDefault="001E2F9C" w:rsidP="001515D5">
            <w:r>
              <w:t>Non-Hispanic White</w:t>
            </w:r>
          </w:p>
        </w:tc>
        <w:tc>
          <w:tcPr>
            <w:tcW w:w="4675" w:type="dxa"/>
            <w:vAlign w:val="bottom"/>
          </w:tcPr>
          <w:p w14:paraId="73C3088C" w14:textId="77777777" w:rsidR="001E2F9C" w:rsidRDefault="001E2F9C" w:rsidP="001515D5">
            <w:r>
              <w:t>29.3</w:t>
            </w:r>
          </w:p>
        </w:tc>
      </w:tr>
      <w:tr w:rsidR="001E2F9C" w14:paraId="7BDFA02D" w14:textId="77777777" w:rsidTr="001515D5">
        <w:tc>
          <w:tcPr>
            <w:tcW w:w="4675" w:type="dxa"/>
            <w:vAlign w:val="bottom"/>
          </w:tcPr>
          <w:p w14:paraId="56BA8C3D" w14:textId="77777777" w:rsidR="001E2F9C" w:rsidRDefault="001E2F9C" w:rsidP="001515D5">
            <w:r>
              <w:t>Non-Hispanic Black &amp; Other</w:t>
            </w:r>
          </w:p>
        </w:tc>
        <w:tc>
          <w:tcPr>
            <w:tcW w:w="4675" w:type="dxa"/>
            <w:vAlign w:val="bottom"/>
          </w:tcPr>
          <w:p w14:paraId="4DA2DC06" w14:textId="77777777" w:rsidR="001E2F9C" w:rsidRDefault="001E2F9C" w:rsidP="001515D5">
            <w:r>
              <w:t>48.9</w:t>
            </w:r>
          </w:p>
        </w:tc>
      </w:tr>
      <w:tr w:rsidR="001E2F9C" w14:paraId="7AF4FFA8" w14:textId="77777777" w:rsidTr="001515D5">
        <w:tc>
          <w:tcPr>
            <w:tcW w:w="4675" w:type="dxa"/>
            <w:vAlign w:val="bottom"/>
          </w:tcPr>
          <w:p w14:paraId="4D10E1EC" w14:textId="77777777" w:rsidR="001E2F9C" w:rsidRDefault="001E2F9C" w:rsidP="001515D5">
            <w:r>
              <w:t>South Carolina</w:t>
            </w:r>
          </w:p>
        </w:tc>
        <w:tc>
          <w:tcPr>
            <w:tcW w:w="4675" w:type="dxa"/>
            <w:vAlign w:val="bottom"/>
          </w:tcPr>
          <w:p w14:paraId="1BB7F314" w14:textId="77777777" w:rsidR="001E2F9C" w:rsidRDefault="001E2F9C" w:rsidP="001515D5">
            <w:r>
              <w:t>36.9</w:t>
            </w:r>
          </w:p>
        </w:tc>
      </w:tr>
    </w:tbl>
    <w:p w14:paraId="2400D57B" w14:textId="77777777" w:rsidR="001E2F9C" w:rsidRDefault="001E2F9C" w:rsidP="001E2F9C">
      <w:r w:rsidRPr="0033584C">
        <w:t xml:space="preserve">Source: SC MMMRC, 2018-2019. </w:t>
      </w:r>
    </w:p>
    <w:p w14:paraId="4B0E9D2F" w14:textId="77777777" w:rsidR="00722CE9" w:rsidRDefault="00722CE9" w:rsidP="00722CE9"/>
    <w:p w14:paraId="49BCA846" w14:textId="7A968B89" w:rsidR="00722CE9" w:rsidRPr="00722CE9" w:rsidRDefault="00722CE9" w:rsidP="00722CE9">
      <w:r w:rsidRPr="00722CE9">
        <w:t>Factors that increase the risk of pregnancy-related complications and maternal death vary disproportionately by racial and ethnic group. They include inadequate prenatal care, environmental or neighborhood factors, pre-existing chronic health conditions before pregnancy, residence in rural counties, distance to a birthing hospital, and structural racism and implicit bias. More women in SC receive inadequate prenatal care compared to the US (16.7% and 14.8%, respectively), and Black and Indigenous women and other women of color fare worse historically than White women. Crime, lack of access to transportation and unstable housing create barriers that increase the risk of inadequate prenatal care among Black and Indigenous women and other women of color by 31% compared to those living in areas with fewer environmental barriers.</w:t>
      </w:r>
      <w:r>
        <w:t xml:space="preserve"> </w:t>
      </w:r>
      <w:r w:rsidRPr="00722CE9">
        <w:t xml:space="preserve">More women in SC than in the US have one or more chronic health conditions (44.5% and 37.8%, respectively). Women with one or more chronic health conditions before </w:t>
      </w:r>
      <w:r w:rsidRPr="00722CE9">
        <w:lastRenderedPageBreak/>
        <w:t>pregnancy, including hypertension and diabetes, smoking, and being underweight or obese, have a 54% higher risk of a preterm birth, which is a serious pregnancy complication, compared to women without any chronic health conditions. Non-Hispanic Black and Hispanic</w:t>
      </w:r>
      <w:r>
        <w:t xml:space="preserve"> </w:t>
      </w:r>
      <w:r w:rsidRPr="00722CE9">
        <w:t>women are more likely to deliver a preterm birth because they more frequently have uncontrolled hypertension, diabetes and obesity than do non-Hispanic White women in the US. Women residing in more than 82% of counties in SC have a high burden of chronic health conditions, defined as greater than the overall state percent, and a high percent of preterm birth, defined as greater than the national target of 9.4% (</w:t>
      </w:r>
      <w:r w:rsidRPr="00722CE9">
        <w:rPr>
          <w:b/>
          <w:bCs/>
        </w:rPr>
        <w:t>Figure 5.5</w:t>
      </w:r>
      <w:r w:rsidRPr="00722CE9">
        <w:t xml:space="preserve">). There are no counties where chronic health conditions and preterm birth are both low, or where chronic health conditions are high and preterm birth is low. </w:t>
      </w:r>
    </w:p>
    <w:p w14:paraId="0AE5E881" w14:textId="77777777" w:rsidR="00722CE9" w:rsidRDefault="00722CE9" w:rsidP="00722CE9"/>
    <w:p w14:paraId="22929718" w14:textId="77777777" w:rsidR="001E2F9C" w:rsidRDefault="001E2F9C" w:rsidP="001E2F9C">
      <w:pPr>
        <w:pStyle w:val="Heading4"/>
      </w:pPr>
      <w:bookmarkStart w:id="121" w:name="_Toc154569778"/>
      <w:bookmarkStart w:id="122" w:name="_Toc162267069"/>
      <w:r>
        <w:t>Figure 5.5:</w:t>
      </w:r>
      <w:r w:rsidRPr="00D50218">
        <w:t xml:space="preserve"> </w:t>
      </w:r>
      <w:r>
        <w:t>Chronic Health Burden (CHB) and Preterm Birth (PTB) in South Carolina, by County, 2022.</w:t>
      </w:r>
      <w:bookmarkEnd w:id="121"/>
      <w:bookmarkEnd w:id="122"/>
    </w:p>
    <w:tbl>
      <w:tblPr>
        <w:tblStyle w:val="TableGrid"/>
        <w:tblW w:w="0" w:type="auto"/>
        <w:tblLook w:val="04A0" w:firstRow="1" w:lastRow="0" w:firstColumn="1" w:lastColumn="0" w:noHBand="0" w:noVBand="1"/>
      </w:tblPr>
      <w:tblGrid>
        <w:gridCol w:w="4675"/>
        <w:gridCol w:w="4675"/>
      </w:tblGrid>
      <w:tr w:rsidR="001E2F9C" w14:paraId="2A0324AD" w14:textId="77777777" w:rsidTr="001515D5">
        <w:tc>
          <w:tcPr>
            <w:tcW w:w="4675" w:type="dxa"/>
            <w:vAlign w:val="bottom"/>
          </w:tcPr>
          <w:p w14:paraId="6CBB4457" w14:textId="77777777" w:rsidR="001E2F9C" w:rsidRDefault="001E2F9C" w:rsidP="001515D5">
            <w:r>
              <w:t>County</w:t>
            </w:r>
          </w:p>
        </w:tc>
        <w:tc>
          <w:tcPr>
            <w:tcW w:w="4675" w:type="dxa"/>
            <w:vAlign w:val="bottom"/>
          </w:tcPr>
          <w:p w14:paraId="6739A887" w14:textId="77777777" w:rsidR="001E2F9C" w:rsidRDefault="001E2F9C" w:rsidP="001515D5">
            <w:r>
              <w:t>Chronic Health Burden and Preterm Birth</w:t>
            </w:r>
          </w:p>
        </w:tc>
      </w:tr>
      <w:tr w:rsidR="001E2F9C" w14:paraId="5413F11A" w14:textId="77777777" w:rsidTr="001515D5">
        <w:tc>
          <w:tcPr>
            <w:tcW w:w="4675" w:type="dxa"/>
            <w:vAlign w:val="bottom"/>
          </w:tcPr>
          <w:p w14:paraId="55A2CE53" w14:textId="77777777" w:rsidR="001E2F9C" w:rsidRDefault="001E2F9C" w:rsidP="001515D5">
            <w:r>
              <w:rPr>
                <w:color w:val="000000"/>
              </w:rPr>
              <w:t>Abbeville</w:t>
            </w:r>
          </w:p>
        </w:tc>
        <w:tc>
          <w:tcPr>
            <w:tcW w:w="4675" w:type="dxa"/>
            <w:vAlign w:val="bottom"/>
          </w:tcPr>
          <w:p w14:paraId="61D218F2" w14:textId="77777777" w:rsidR="001E2F9C" w:rsidRDefault="001E2F9C" w:rsidP="001515D5">
            <w:r>
              <w:rPr>
                <w:color w:val="000000"/>
              </w:rPr>
              <w:t>PTB and CHB (both high %)</w:t>
            </w:r>
          </w:p>
        </w:tc>
      </w:tr>
      <w:tr w:rsidR="001E2F9C" w14:paraId="67708A61" w14:textId="77777777" w:rsidTr="001515D5">
        <w:tc>
          <w:tcPr>
            <w:tcW w:w="4675" w:type="dxa"/>
            <w:vAlign w:val="bottom"/>
          </w:tcPr>
          <w:p w14:paraId="1C154F95" w14:textId="77777777" w:rsidR="001E2F9C" w:rsidRDefault="001E2F9C" w:rsidP="001515D5">
            <w:r>
              <w:rPr>
                <w:color w:val="000000"/>
              </w:rPr>
              <w:t>Aiken</w:t>
            </w:r>
          </w:p>
        </w:tc>
        <w:tc>
          <w:tcPr>
            <w:tcW w:w="4675" w:type="dxa"/>
            <w:vAlign w:val="bottom"/>
          </w:tcPr>
          <w:p w14:paraId="789AD87F" w14:textId="77777777" w:rsidR="001E2F9C" w:rsidRDefault="001E2F9C" w:rsidP="001515D5">
            <w:r>
              <w:rPr>
                <w:color w:val="000000"/>
              </w:rPr>
              <w:t>PTB and CHB (both high %)</w:t>
            </w:r>
          </w:p>
        </w:tc>
      </w:tr>
      <w:tr w:rsidR="001E2F9C" w14:paraId="43911A5C" w14:textId="77777777" w:rsidTr="001515D5">
        <w:tc>
          <w:tcPr>
            <w:tcW w:w="4675" w:type="dxa"/>
            <w:vAlign w:val="bottom"/>
          </w:tcPr>
          <w:p w14:paraId="63798A05" w14:textId="77777777" w:rsidR="001E2F9C" w:rsidRDefault="001E2F9C" w:rsidP="001515D5">
            <w:r>
              <w:rPr>
                <w:color w:val="000000"/>
              </w:rPr>
              <w:t>Allendale</w:t>
            </w:r>
          </w:p>
        </w:tc>
        <w:tc>
          <w:tcPr>
            <w:tcW w:w="4675" w:type="dxa"/>
            <w:vAlign w:val="bottom"/>
          </w:tcPr>
          <w:p w14:paraId="48B0D967" w14:textId="77777777" w:rsidR="001E2F9C" w:rsidRDefault="001E2F9C" w:rsidP="001515D5">
            <w:r>
              <w:rPr>
                <w:color w:val="000000"/>
              </w:rPr>
              <w:t>PTB and CHB (both high %)</w:t>
            </w:r>
          </w:p>
        </w:tc>
      </w:tr>
      <w:tr w:rsidR="001E2F9C" w14:paraId="648C1858" w14:textId="77777777" w:rsidTr="001515D5">
        <w:tc>
          <w:tcPr>
            <w:tcW w:w="4675" w:type="dxa"/>
            <w:vAlign w:val="bottom"/>
          </w:tcPr>
          <w:p w14:paraId="30AD2260" w14:textId="77777777" w:rsidR="001E2F9C" w:rsidRDefault="001E2F9C" w:rsidP="001515D5">
            <w:r>
              <w:rPr>
                <w:color w:val="000000"/>
              </w:rPr>
              <w:t>Anderson</w:t>
            </w:r>
          </w:p>
        </w:tc>
        <w:tc>
          <w:tcPr>
            <w:tcW w:w="4675" w:type="dxa"/>
            <w:vAlign w:val="bottom"/>
          </w:tcPr>
          <w:p w14:paraId="7D0C8660" w14:textId="77777777" w:rsidR="001E2F9C" w:rsidRDefault="001E2F9C" w:rsidP="001515D5">
            <w:r>
              <w:rPr>
                <w:color w:val="000000"/>
              </w:rPr>
              <w:t>PTB and CHB (both high %)</w:t>
            </w:r>
          </w:p>
        </w:tc>
      </w:tr>
      <w:tr w:rsidR="001E2F9C" w14:paraId="7DA794A8" w14:textId="77777777" w:rsidTr="001515D5">
        <w:tc>
          <w:tcPr>
            <w:tcW w:w="4675" w:type="dxa"/>
            <w:vAlign w:val="bottom"/>
          </w:tcPr>
          <w:p w14:paraId="6D8ED164" w14:textId="77777777" w:rsidR="001E2F9C" w:rsidRDefault="001E2F9C" w:rsidP="001515D5">
            <w:r>
              <w:rPr>
                <w:color w:val="000000"/>
              </w:rPr>
              <w:t>Bamberg</w:t>
            </w:r>
          </w:p>
        </w:tc>
        <w:tc>
          <w:tcPr>
            <w:tcW w:w="4675" w:type="dxa"/>
            <w:vAlign w:val="bottom"/>
          </w:tcPr>
          <w:p w14:paraId="1B03D8F9" w14:textId="77777777" w:rsidR="001E2F9C" w:rsidRDefault="001E2F9C" w:rsidP="001515D5">
            <w:r>
              <w:rPr>
                <w:color w:val="000000"/>
              </w:rPr>
              <w:t>PTB and CHB (both high %)</w:t>
            </w:r>
          </w:p>
        </w:tc>
      </w:tr>
      <w:tr w:rsidR="001E2F9C" w14:paraId="3DA1C22E" w14:textId="77777777" w:rsidTr="001515D5">
        <w:tc>
          <w:tcPr>
            <w:tcW w:w="4675" w:type="dxa"/>
            <w:vAlign w:val="bottom"/>
          </w:tcPr>
          <w:p w14:paraId="20FEE6D2" w14:textId="77777777" w:rsidR="001E2F9C" w:rsidRDefault="001E2F9C" w:rsidP="001515D5">
            <w:r>
              <w:rPr>
                <w:color w:val="000000"/>
              </w:rPr>
              <w:t>Barnwell</w:t>
            </w:r>
          </w:p>
        </w:tc>
        <w:tc>
          <w:tcPr>
            <w:tcW w:w="4675" w:type="dxa"/>
            <w:vAlign w:val="bottom"/>
          </w:tcPr>
          <w:p w14:paraId="6DE9CE71" w14:textId="77777777" w:rsidR="001E2F9C" w:rsidRDefault="001E2F9C" w:rsidP="001515D5">
            <w:r>
              <w:rPr>
                <w:color w:val="000000"/>
              </w:rPr>
              <w:t>PTB and CHB (both high %)</w:t>
            </w:r>
          </w:p>
        </w:tc>
      </w:tr>
      <w:tr w:rsidR="001E2F9C" w14:paraId="05CB0590" w14:textId="77777777" w:rsidTr="001515D5">
        <w:tc>
          <w:tcPr>
            <w:tcW w:w="4675" w:type="dxa"/>
            <w:vAlign w:val="bottom"/>
          </w:tcPr>
          <w:p w14:paraId="01A34597" w14:textId="77777777" w:rsidR="001E2F9C" w:rsidRDefault="001E2F9C" w:rsidP="001515D5">
            <w:r>
              <w:rPr>
                <w:color w:val="000000"/>
              </w:rPr>
              <w:t>Beaufort</w:t>
            </w:r>
          </w:p>
        </w:tc>
        <w:tc>
          <w:tcPr>
            <w:tcW w:w="4675" w:type="dxa"/>
            <w:vAlign w:val="bottom"/>
          </w:tcPr>
          <w:p w14:paraId="6FB17464" w14:textId="77777777" w:rsidR="001E2F9C" w:rsidRDefault="001E2F9C" w:rsidP="001515D5">
            <w:r>
              <w:rPr>
                <w:color w:val="000000"/>
              </w:rPr>
              <w:t>PTB (high %) and CHB (low %)</w:t>
            </w:r>
          </w:p>
        </w:tc>
      </w:tr>
      <w:tr w:rsidR="001E2F9C" w14:paraId="196B9E89" w14:textId="77777777" w:rsidTr="001515D5">
        <w:tc>
          <w:tcPr>
            <w:tcW w:w="4675" w:type="dxa"/>
            <w:vAlign w:val="bottom"/>
          </w:tcPr>
          <w:p w14:paraId="58A10D19" w14:textId="77777777" w:rsidR="001E2F9C" w:rsidRDefault="001E2F9C" w:rsidP="001515D5">
            <w:r>
              <w:rPr>
                <w:color w:val="000000"/>
              </w:rPr>
              <w:t>Berkeley</w:t>
            </w:r>
          </w:p>
        </w:tc>
        <w:tc>
          <w:tcPr>
            <w:tcW w:w="4675" w:type="dxa"/>
            <w:vAlign w:val="bottom"/>
          </w:tcPr>
          <w:p w14:paraId="3580633B" w14:textId="77777777" w:rsidR="001E2F9C" w:rsidRDefault="001E2F9C" w:rsidP="001515D5">
            <w:r>
              <w:rPr>
                <w:color w:val="000000"/>
              </w:rPr>
              <w:t>PTB (high %) and CHB (low %)</w:t>
            </w:r>
          </w:p>
        </w:tc>
      </w:tr>
      <w:tr w:rsidR="001E2F9C" w14:paraId="3DAF7A9C" w14:textId="77777777" w:rsidTr="001515D5">
        <w:tc>
          <w:tcPr>
            <w:tcW w:w="4675" w:type="dxa"/>
            <w:vAlign w:val="bottom"/>
          </w:tcPr>
          <w:p w14:paraId="50ADA7EA" w14:textId="77777777" w:rsidR="001E2F9C" w:rsidRDefault="001E2F9C" w:rsidP="001515D5">
            <w:r>
              <w:rPr>
                <w:color w:val="000000"/>
              </w:rPr>
              <w:t>Calhoun</w:t>
            </w:r>
          </w:p>
        </w:tc>
        <w:tc>
          <w:tcPr>
            <w:tcW w:w="4675" w:type="dxa"/>
            <w:vAlign w:val="bottom"/>
          </w:tcPr>
          <w:p w14:paraId="310F940D" w14:textId="77777777" w:rsidR="001E2F9C" w:rsidRDefault="001E2F9C" w:rsidP="001515D5">
            <w:r>
              <w:rPr>
                <w:color w:val="000000"/>
              </w:rPr>
              <w:t>PTB and CHB (both high %)</w:t>
            </w:r>
          </w:p>
        </w:tc>
      </w:tr>
      <w:tr w:rsidR="001E2F9C" w14:paraId="53E3C300" w14:textId="77777777" w:rsidTr="001515D5">
        <w:tc>
          <w:tcPr>
            <w:tcW w:w="4675" w:type="dxa"/>
            <w:vAlign w:val="bottom"/>
          </w:tcPr>
          <w:p w14:paraId="0FFF7BE1" w14:textId="77777777" w:rsidR="001E2F9C" w:rsidRDefault="001E2F9C" w:rsidP="001515D5">
            <w:r>
              <w:rPr>
                <w:color w:val="000000"/>
              </w:rPr>
              <w:t>Charleston</w:t>
            </w:r>
          </w:p>
        </w:tc>
        <w:tc>
          <w:tcPr>
            <w:tcW w:w="4675" w:type="dxa"/>
            <w:vAlign w:val="bottom"/>
          </w:tcPr>
          <w:p w14:paraId="57402BF9" w14:textId="77777777" w:rsidR="001E2F9C" w:rsidRDefault="001E2F9C" w:rsidP="001515D5">
            <w:r>
              <w:rPr>
                <w:color w:val="000000"/>
              </w:rPr>
              <w:t>PTB (high %) and CHB (low %)</w:t>
            </w:r>
          </w:p>
        </w:tc>
      </w:tr>
      <w:tr w:rsidR="001E2F9C" w14:paraId="537D390D" w14:textId="77777777" w:rsidTr="001515D5">
        <w:tc>
          <w:tcPr>
            <w:tcW w:w="4675" w:type="dxa"/>
            <w:vAlign w:val="bottom"/>
          </w:tcPr>
          <w:p w14:paraId="63BCC525" w14:textId="77777777" w:rsidR="001E2F9C" w:rsidRDefault="001E2F9C" w:rsidP="001515D5">
            <w:r>
              <w:rPr>
                <w:color w:val="000000"/>
              </w:rPr>
              <w:t>Cherokee</w:t>
            </w:r>
          </w:p>
        </w:tc>
        <w:tc>
          <w:tcPr>
            <w:tcW w:w="4675" w:type="dxa"/>
            <w:vAlign w:val="bottom"/>
          </w:tcPr>
          <w:p w14:paraId="5BE3F6BB" w14:textId="77777777" w:rsidR="001E2F9C" w:rsidRDefault="001E2F9C" w:rsidP="001515D5">
            <w:r>
              <w:rPr>
                <w:color w:val="000000"/>
              </w:rPr>
              <w:t>PTB and CHB (both high %)</w:t>
            </w:r>
          </w:p>
        </w:tc>
      </w:tr>
      <w:tr w:rsidR="001E2F9C" w14:paraId="324C63B2" w14:textId="77777777" w:rsidTr="001515D5">
        <w:tc>
          <w:tcPr>
            <w:tcW w:w="4675" w:type="dxa"/>
            <w:vAlign w:val="bottom"/>
          </w:tcPr>
          <w:p w14:paraId="06028EC1" w14:textId="77777777" w:rsidR="001E2F9C" w:rsidRDefault="001E2F9C" w:rsidP="001515D5">
            <w:r>
              <w:rPr>
                <w:color w:val="000000"/>
              </w:rPr>
              <w:t>Chester</w:t>
            </w:r>
          </w:p>
        </w:tc>
        <w:tc>
          <w:tcPr>
            <w:tcW w:w="4675" w:type="dxa"/>
            <w:vAlign w:val="bottom"/>
          </w:tcPr>
          <w:p w14:paraId="2B2B2C39" w14:textId="77777777" w:rsidR="001E2F9C" w:rsidRDefault="001E2F9C" w:rsidP="001515D5">
            <w:r>
              <w:rPr>
                <w:color w:val="000000"/>
              </w:rPr>
              <w:t>PTB and CHB (both high %)</w:t>
            </w:r>
          </w:p>
        </w:tc>
      </w:tr>
      <w:tr w:rsidR="001E2F9C" w14:paraId="2B01A6DA" w14:textId="77777777" w:rsidTr="001515D5">
        <w:tc>
          <w:tcPr>
            <w:tcW w:w="4675" w:type="dxa"/>
            <w:vAlign w:val="bottom"/>
          </w:tcPr>
          <w:p w14:paraId="3799671A" w14:textId="77777777" w:rsidR="001E2F9C" w:rsidRDefault="001E2F9C" w:rsidP="001515D5">
            <w:r>
              <w:rPr>
                <w:color w:val="000000"/>
              </w:rPr>
              <w:t>Chesterfield</w:t>
            </w:r>
          </w:p>
        </w:tc>
        <w:tc>
          <w:tcPr>
            <w:tcW w:w="4675" w:type="dxa"/>
            <w:vAlign w:val="bottom"/>
          </w:tcPr>
          <w:p w14:paraId="13151635" w14:textId="77777777" w:rsidR="001E2F9C" w:rsidRDefault="001E2F9C" w:rsidP="001515D5">
            <w:r>
              <w:rPr>
                <w:color w:val="000000"/>
              </w:rPr>
              <w:t>PTB and CHB (both high %)</w:t>
            </w:r>
          </w:p>
        </w:tc>
      </w:tr>
      <w:tr w:rsidR="001E2F9C" w14:paraId="0DDDBC68" w14:textId="77777777" w:rsidTr="001515D5">
        <w:tc>
          <w:tcPr>
            <w:tcW w:w="4675" w:type="dxa"/>
            <w:vAlign w:val="bottom"/>
          </w:tcPr>
          <w:p w14:paraId="796ACA7D" w14:textId="77777777" w:rsidR="001E2F9C" w:rsidRDefault="001E2F9C" w:rsidP="001515D5">
            <w:r>
              <w:rPr>
                <w:color w:val="000000"/>
              </w:rPr>
              <w:t>Clarendon</w:t>
            </w:r>
          </w:p>
        </w:tc>
        <w:tc>
          <w:tcPr>
            <w:tcW w:w="4675" w:type="dxa"/>
            <w:vAlign w:val="bottom"/>
          </w:tcPr>
          <w:p w14:paraId="10E720B0" w14:textId="77777777" w:rsidR="001E2F9C" w:rsidRDefault="001E2F9C" w:rsidP="001515D5">
            <w:r>
              <w:rPr>
                <w:color w:val="000000"/>
              </w:rPr>
              <w:t>PTB and CHB (both high %)</w:t>
            </w:r>
          </w:p>
        </w:tc>
      </w:tr>
      <w:tr w:rsidR="001E2F9C" w14:paraId="33D02501" w14:textId="77777777" w:rsidTr="001515D5">
        <w:tc>
          <w:tcPr>
            <w:tcW w:w="4675" w:type="dxa"/>
            <w:vAlign w:val="bottom"/>
          </w:tcPr>
          <w:p w14:paraId="0E91ABAA" w14:textId="77777777" w:rsidR="001E2F9C" w:rsidRDefault="001E2F9C" w:rsidP="001515D5">
            <w:r>
              <w:rPr>
                <w:color w:val="000000"/>
              </w:rPr>
              <w:t>Colleton</w:t>
            </w:r>
          </w:p>
        </w:tc>
        <w:tc>
          <w:tcPr>
            <w:tcW w:w="4675" w:type="dxa"/>
            <w:vAlign w:val="bottom"/>
          </w:tcPr>
          <w:p w14:paraId="05734FFC" w14:textId="77777777" w:rsidR="001E2F9C" w:rsidRDefault="001E2F9C" w:rsidP="001515D5">
            <w:r>
              <w:rPr>
                <w:color w:val="000000"/>
              </w:rPr>
              <w:t>PTB and CHB (both high %)</w:t>
            </w:r>
          </w:p>
        </w:tc>
      </w:tr>
      <w:tr w:rsidR="001E2F9C" w14:paraId="080BC023" w14:textId="77777777" w:rsidTr="001515D5">
        <w:tc>
          <w:tcPr>
            <w:tcW w:w="4675" w:type="dxa"/>
            <w:vAlign w:val="bottom"/>
          </w:tcPr>
          <w:p w14:paraId="53286284" w14:textId="77777777" w:rsidR="001E2F9C" w:rsidRDefault="001E2F9C" w:rsidP="001515D5">
            <w:r>
              <w:rPr>
                <w:color w:val="000000"/>
              </w:rPr>
              <w:t>Darlington</w:t>
            </w:r>
          </w:p>
        </w:tc>
        <w:tc>
          <w:tcPr>
            <w:tcW w:w="4675" w:type="dxa"/>
            <w:vAlign w:val="bottom"/>
          </w:tcPr>
          <w:p w14:paraId="4F5842E9" w14:textId="77777777" w:rsidR="001E2F9C" w:rsidRDefault="001E2F9C" w:rsidP="001515D5">
            <w:r>
              <w:rPr>
                <w:color w:val="000000"/>
              </w:rPr>
              <w:t>PTB and CHB (both high %)</w:t>
            </w:r>
          </w:p>
        </w:tc>
      </w:tr>
      <w:tr w:rsidR="001E2F9C" w14:paraId="43FBB87C" w14:textId="77777777" w:rsidTr="001515D5">
        <w:tc>
          <w:tcPr>
            <w:tcW w:w="4675" w:type="dxa"/>
            <w:vAlign w:val="bottom"/>
          </w:tcPr>
          <w:p w14:paraId="45D6A9E0" w14:textId="77777777" w:rsidR="001E2F9C" w:rsidRDefault="001E2F9C" w:rsidP="001515D5">
            <w:r>
              <w:rPr>
                <w:color w:val="000000"/>
              </w:rPr>
              <w:t>Dillon</w:t>
            </w:r>
          </w:p>
        </w:tc>
        <w:tc>
          <w:tcPr>
            <w:tcW w:w="4675" w:type="dxa"/>
            <w:vAlign w:val="bottom"/>
          </w:tcPr>
          <w:p w14:paraId="573FC1D4" w14:textId="77777777" w:rsidR="001E2F9C" w:rsidRDefault="001E2F9C" w:rsidP="001515D5">
            <w:r>
              <w:rPr>
                <w:color w:val="000000"/>
              </w:rPr>
              <w:t>PTB and CHB (both high %)</w:t>
            </w:r>
          </w:p>
        </w:tc>
      </w:tr>
      <w:tr w:rsidR="001E2F9C" w14:paraId="59F1E5C0" w14:textId="77777777" w:rsidTr="001515D5">
        <w:tc>
          <w:tcPr>
            <w:tcW w:w="4675" w:type="dxa"/>
            <w:vAlign w:val="bottom"/>
          </w:tcPr>
          <w:p w14:paraId="2AE1380D" w14:textId="77777777" w:rsidR="001E2F9C" w:rsidRDefault="001E2F9C" w:rsidP="001515D5">
            <w:r>
              <w:rPr>
                <w:color w:val="000000"/>
              </w:rPr>
              <w:t>Dorchester</w:t>
            </w:r>
          </w:p>
        </w:tc>
        <w:tc>
          <w:tcPr>
            <w:tcW w:w="4675" w:type="dxa"/>
            <w:vAlign w:val="bottom"/>
          </w:tcPr>
          <w:p w14:paraId="1D301DBF" w14:textId="77777777" w:rsidR="001E2F9C" w:rsidRDefault="001E2F9C" w:rsidP="001515D5">
            <w:r>
              <w:rPr>
                <w:color w:val="000000"/>
              </w:rPr>
              <w:t>PTB and CHB (both high %)</w:t>
            </w:r>
          </w:p>
        </w:tc>
      </w:tr>
      <w:tr w:rsidR="001E2F9C" w14:paraId="522B89AE" w14:textId="77777777" w:rsidTr="001515D5">
        <w:tc>
          <w:tcPr>
            <w:tcW w:w="4675" w:type="dxa"/>
            <w:vAlign w:val="bottom"/>
          </w:tcPr>
          <w:p w14:paraId="3007EDE3" w14:textId="77777777" w:rsidR="001E2F9C" w:rsidRDefault="001E2F9C" w:rsidP="001515D5">
            <w:r>
              <w:rPr>
                <w:color w:val="000000"/>
              </w:rPr>
              <w:t>Edgefield</w:t>
            </w:r>
          </w:p>
        </w:tc>
        <w:tc>
          <w:tcPr>
            <w:tcW w:w="4675" w:type="dxa"/>
            <w:vAlign w:val="bottom"/>
          </w:tcPr>
          <w:p w14:paraId="3B3DEFF6" w14:textId="77777777" w:rsidR="001E2F9C" w:rsidRDefault="001E2F9C" w:rsidP="001515D5">
            <w:r>
              <w:rPr>
                <w:color w:val="000000"/>
              </w:rPr>
              <w:t>PTB and CHB (both high %)</w:t>
            </w:r>
          </w:p>
        </w:tc>
      </w:tr>
      <w:tr w:rsidR="001E2F9C" w14:paraId="43992537" w14:textId="77777777" w:rsidTr="001515D5">
        <w:tc>
          <w:tcPr>
            <w:tcW w:w="4675" w:type="dxa"/>
            <w:vAlign w:val="bottom"/>
          </w:tcPr>
          <w:p w14:paraId="6B4DC5D4" w14:textId="77777777" w:rsidR="001E2F9C" w:rsidRDefault="001E2F9C" w:rsidP="001515D5">
            <w:r>
              <w:rPr>
                <w:color w:val="000000"/>
              </w:rPr>
              <w:t>Fairfield</w:t>
            </w:r>
          </w:p>
        </w:tc>
        <w:tc>
          <w:tcPr>
            <w:tcW w:w="4675" w:type="dxa"/>
            <w:vAlign w:val="bottom"/>
          </w:tcPr>
          <w:p w14:paraId="21AB4C41" w14:textId="77777777" w:rsidR="001E2F9C" w:rsidRDefault="001E2F9C" w:rsidP="001515D5">
            <w:r>
              <w:rPr>
                <w:color w:val="000000"/>
              </w:rPr>
              <w:t>PTB and CHB (both high %)</w:t>
            </w:r>
          </w:p>
        </w:tc>
      </w:tr>
      <w:tr w:rsidR="001E2F9C" w14:paraId="3E565657" w14:textId="77777777" w:rsidTr="001515D5">
        <w:tc>
          <w:tcPr>
            <w:tcW w:w="4675" w:type="dxa"/>
            <w:vAlign w:val="bottom"/>
          </w:tcPr>
          <w:p w14:paraId="65359362" w14:textId="77777777" w:rsidR="001E2F9C" w:rsidRDefault="001E2F9C" w:rsidP="001515D5">
            <w:r>
              <w:rPr>
                <w:color w:val="000000"/>
              </w:rPr>
              <w:t>Florence</w:t>
            </w:r>
          </w:p>
        </w:tc>
        <w:tc>
          <w:tcPr>
            <w:tcW w:w="4675" w:type="dxa"/>
            <w:vAlign w:val="bottom"/>
          </w:tcPr>
          <w:p w14:paraId="5363FFBA" w14:textId="77777777" w:rsidR="001E2F9C" w:rsidRDefault="001E2F9C" w:rsidP="001515D5">
            <w:r>
              <w:rPr>
                <w:color w:val="000000"/>
              </w:rPr>
              <w:t>PTB and CHB (both high %)</w:t>
            </w:r>
          </w:p>
        </w:tc>
      </w:tr>
      <w:tr w:rsidR="001E2F9C" w14:paraId="1174B13B" w14:textId="77777777" w:rsidTr="001515D5">
        <w:tc>
          <w:tcPr>
            <w:tcW w:w="4675" w:type="dxa"/>
            <w:vAlign w:val="bottom"/>
          </w:tcPr>
          <w:p w14:paraId="113B244C" w14:textId="77777777" w:rsidR="001E2F9C" w:rsidRDefault="001E2F9C" w:rsidP="001515D5">
            <w:r>
              <w:rPr>
                <w:color w:val="000000"/>
              </w:rPr>
              <w:lastRenderedPageBreak/>
              <w:t>Georgetown</w:t>
            </w:r>
          </w:p>
        </w:tc>
        <w:tc>
          <w:tcPr>
            <w:tcW w:w="4675" w:type="dxa"/>
            <w:vAlign w:val="bottom"/>
          </w:tcPr>
          <w:p w14:paraId="24EC1F2C" w14:textId="77777777" w:rsidR="001E2F9C" w:rsidRDefault="001E2F9C" w:rsidP="001515D5">
            <w:r>
              <w:rPr>
                <w:color w:val="000000"/>
              </w:rPr>
              <w:t>PTB and CHB (both high %)</w:t>
            </w:r>
          </w:p>
        </w:tc>
      </w:tr>
      <w:tr w:rsidR="001E2F9C" w14:paraId="2A5391FD" w14:textId="77777777" w:rsidTr="001515D5">
        <w:tc>
          <w:tcPr>
            <w:tcW w:w="4675" w:type="dxa"/>
            <w:vAlign w:val="bottom"/>
          </w:tcPr>
          <w:p w14:paraId="44BFDA88" w14:textId="77777777" w:rsidR="001E2F9C" w:rsidRDefault="001E2F9C" w:rsidP="001515D5">
            <w:r>
              <w:rPr>
                <w:color w:val="000000"/>
              </w:rPr>
              <w:t>Greenville</w:t>
            </w:r>
          </w:p>
        </w:tc>
        <w:tc>
          <w:tcPr>
            <w:tcW w:w="4675" w:type="dxa"/>
            <w:vAlign w:val="bottom"/>
          </w:tcPr>
          <w:p w14:paraId="0F2F72CB" w14:textId="77777777" w:rsidR="001E2F9C" w:rsidRDefault="001E2F9C" w:rsidP="001515D5">
            <w:r>
              <w:rPr>
                <w:color w:val="000000"/>
              </w:rPr>
              <w:t>PTB (high %) and CHB (low %)</w:t>
            </w:r>
          </w:p>
        </w:tc>
      </w:tr>
      <w:tr w:rsidR="001E2F9C" w14:paraId="34DF1970" w14:textId="77777777" w:rsidTr="001515D5">
        <w:tc>
          <w:tcPr>
            <w:tcW w:w="4675" w:type="dxa"/>
            <w:vAlign w:val="bottom"/>
          </w:tcPr>
          <w:p w14:paraId="6314723F" w14:textId="77777777" w:rsidR="001E2F9C" w:rsidRDefault="001E2F9C" w:rsidP="001515D5">
            <w:r>
              <w:rPr>
                <w:color w:val="000000"/>
              </w:rPr>
              <w:t>Greenwood</w:t>
            </w:r>
          </w:p>
        </w:tc>
        <w:tc>
          <w:tcPr>
            <w:tcW w:w="4675" w:type="dxa"/>
            <w:vAlign w:val="bottom"/>
          </w:tcPr>
          <w:p w14:paraId="226FC4D6" w14:textId="77777777" w:rsidR="001E2F9C" w:rsidRDefault="001E2F9C" w:rsidP="001515D5">
            <w:r>
              <w:rPr>
                <w:color w:val="000000"/>
              </w:rPr>
              <w:t>PTB and CHB (both high %)</w:t>
            </w:r>
          </w:p>
        </w:tc>
      </w:tr>
      <w:tr w:rsidR="001E2F9C" w14:paraId="249290F6" w14:textId="77777777" w:rsidTr="001515D5">
        <w:tc>
          <w:tcPr>
            <w:tcW w:w="4675" w:type="dxa"/>
            <w:vAlign w:val="bottom"/>
          </w:tcPr>
          <w:p w14:paraId="6DDFB367" w14:textId="77777777" w:rsidR="001E2F9C" w:rsidRDefault="001E2F9C" w:rsidP="001515D5">
            <w:r>
              <w:rPr>
                <w:color w:val="000000"/>
              </w:rPr>
              <w:t>Hampton</w:t>
            </w:r>
          </w:p>
        </w:tc>
        <w:tc>
          <w:tcPr>
            <w:tcW w:w="4675" w:type="dxa"/>
            <w:vAlign w:val="bottom"/>
          </w:tcPr>
          <w:p w14:paraId="39F26ED4" w14:textId="77777777" w:rsidR="001E2F9C" w:rsidRDefault="001E2F9C" w:rsidP="001515D5">
            <w:r>
              <w:rPr>
                <w:color w:val="000000"/>
              </w:rPr>
              <w:t>PTB and CHB (both high %)</w:t>
            </w:r>
          </w:p>
        </w:tc>
      </w:tr>
      <w:tr w:rsidR="001E2F9C" w14:paraId="5A55F155" w14:textId="77777777" w:rsidTr="001515D5">
        <w:tc>
          <w:tcPr>
            <w:tcW w:w="4675" w:type="dxa"/>
            <w:vAlign w:val="bottom"/>
          </w:tcPr>
          <w:p w14:paraId="25CFEDF5" w14:textId="77777777" w:rsidR="001E2F9C" w:rsidRDefault="001E2F9C" w:rsidP="001515D5">
            <w:r>
              <w:rPr>
                <w:color w:val="000000"/>
              </w:rPr>
              <w:t>Horry</w:t>
            </w:r>
          </w:p>
        </w:tc>
        <w:tc>
          <w:tcPr>
            <w:tcW w:w="4675" w:type="dxa"/>
            <w:vAlign w:val="bottom"/>
          </w:tcPr>
          <w:p w14:paraId="34E89982" w14:textId="77777777" w:rsidR="001E2F9C" w:rsidRDefault="001E2F9C" w:rsidP="001515D5">
            <w:r>
              <w:rPr>
                <w:color w:val="000000"/>
              </w:rPr>
              <w:t>PTB and CHB (both high %)</w:t>
            </w:r>
          </w:p>
        </w:tc>
      </w:tr>
      <w:tr w:rsidR="001E2F9C" w14:paraId="30A5799A" w14:textId="77777777" w:rsidTr="001515D5">
        <w:tc>
          <w:tcPr>
            <w:tcW w:w="4675" w:type="dxa"/>
            <w:vAlign w:val="bottom"/>
          </w:tcPr>
          <w:p w14:paraId="2E18334E" w14:textId="77777777" w:rsidR="001E2F9C" w:rsidRDefault="001E2F9C" w:rsidP="001515D5">
            <w:r>
              <w:rPr>
                <w:color w:val="000000"/>
              </w:rPr>
              <w:t>Jasper</w:t>
            </w:r>
          </w:p>
        </w:tc>
        <w:tc>
          <w:tcPr>
            <w:tcW w:w="4675" w:type="dxa"/>
            <w:vAlign w:val="bottom"/>
          </w:tcPr>
          <w:p w14:paraId="7175009D" w14:textId="77777777" w:rsidR="001E2F9C" w:rsidRDefault="001E2F9C" w:rsidP="001515D5">
            <w:r>
              <w:rPr>
                <w:color w:val="000000"/>
              </w:rPr>
              <w:t>PTB and CHB (both high %)</w:t>
            </w:r>
          </w:p>
        </w:tc>
      </w:tr>
      <w:tr w:rsidR="001E2F9C" w14:paraId="045CECC8" w14:textId="77777777" w:rsidTr="001515D5">
        <w:tc>
          <w:tcPr>
            <w:tcW w:w="4675" w:type="dxa"/>
            <w:vAlign w:val="bottom"/>
          </w:tcPr>
          <w:p w14:paraId="5736D871" w14:textId="77777777" w:rsidR="001E2F9C" w:rsidRDefault="001E2F9C" w:rsidP="001515D5">
            <w:r>
              <w:rPr>
                <w:color w:val="000000"/>
              </w:rPr>
              <w:t>Kershaw</w:t>
            </w:r>
          </w:p>
        </w:tc>
        <w:tc>
          <w:tcPr>
            <w:tcW w:w="4675" w:type="dxa"/>
            <w:vAlign w:val="bottom"/>
          </w:tcPr>
          <w:p w14:paraId="6E1A5C89" w14:textId="77777777" w:rsidR="001E2F9C" w:rsidRDefault="001E2F9C" w:rsidP="001515D5">
            <w:r>
              <w:rPr>
                <w:color w:val="000000"/>
              </w:rPr>
              <w:t>PTB and CHB (both high %)</w:t>
            </w:r>
          </w:p>
        </w:tc>
      </w:tr>
      <w:tr w:rsidR="001E2F9C" w14:paraId="7E7BDDE3" w14:textId="77777777" w:rsidTr="001515D5">
        <w:tc>
          <w:tcPr>
            <w:tcW w:w="4675" w:type="dxa"/>
            <w:vAlign w:val="bottom"/>
          </w:tcPr>
          <w:p w14:paraId="7BF4759E" w14:textId="77777777" w:rsidR="001E2F9C" w:rsidRDefault="001E2F9C" w:rsidP="001515D5">
            <w:r>
              <w:rPr>
                <w:color w:val="000000"/>
              </w:rPr>
              <w:t>Lancaster</w:t>
            </w:r>
          </w:p>
        </w:tc>
        <w:tc>
          <w:tcPr>
            <w:tcW w:w="4675" w:type="dxa"/>
            <w:vAlign w:val="bottom"/>
          </w:tcPr>
          <w:p w14:paraId="6C511ABE" w14:textId="77777777" w:rsidR="001E2F9C" w:rsidRDefault="001E2F9C" w:rsidP="001515D5">
            <w:r>
              <w:rPr>
                <w:color w:val="000000"/>
              </w:rPr>
              <w:t>PTB (high %) and CHB (low %)</w:t>
            </w:r>
          </w:p>
        </w:tc>
      </w:tr>
      <w:tr w:rsidR="001E2F9C" w14:paraId="5A65A97A" w14:textId="77777777" w:rsidTr="001515D5">
        <w:tc>
          <w:tcPr>
            <w:tcW w:w="4675" w:type="dxa"/>
            <w:vAlign w:val="bottom"/>
          </w:tcPr>
          <w:p w14:paraId="70FC38D6" w14:textId="77777777" w:rsidR="001E2F9C" w:rsidRDefault="001E2F9C" w:rsidP="001515D5">
            <w:r>
              <w:rPr>
                <w:color w:val="000000"/>
              </w:rPr>
              <w:t>Laurens</w:t>
            </w:r>
          </w:p>
        </w:tc>
        <w:tc>
          <w:tcPr>
            <w:tcW w:w="4675" w:type="dxa"/>
            <w:vAlign w:val="bottom"/>
          </w:tcPr>
          <w:p w14:paraId="171D4ED3" w14:textId="77777777" w:rsidR="001E2F9C" w:rsidRDefault="001E2F9C" w:rsidP="001515D5">
            <w:r>
              <w:rPr>
                <w:color w:val="000000"/>
              </w:rPr>
              <w:t>PTB and CHB (both high %)</w:t>
            </w:r>
          </w:p>
        </w:tc>
      </w:tr>
      <w:tr w:rsidR="001E2F9C" w14:paraId="6013EFE5" w14:textId="77777777" w:rsidTr="001515D5">
        <w:tc>
          <w:tcPr>
            <w:tcW w:w="4675" w:type="dxa"/>
            <w:vAlign w:val="bottom"/>
          </w:tcPr>
          <w:p w14:paraId="09238956" w14:textId="77777777" w:rsidR="001E2F9C" w:rsidRDefault="001E2F9C" w:rsidP="001515D5">
            <w:r>
              <w:rPr>
                <w:color w:val="000000"/>
              </w:rPr>
              <w:t>Lee</w:t>
            </w:r>
          </w:p>
        </w:tc>
        <w:tc>
          <w:tcPr>
            <w:tcW w:w="4675" w:type="dxa"/>
            <w:vAlign w:val="bottom"/>
          </w:tcPr>
          <w:p w14:paraId="33585DD1" w14:textId="77777777" w:rsidR="001E2F9C" w:rsidRDefault="001E2F9C" w:rsidP="001515D5">
            <w:r>
              <w:rPr>
                <w:color w:val="000000"/>
              </w:rPr>
              <w:t>PTB and CHB (both high %)</w:t>
            </w:r>
          </w:p>
        </w:tc>
      </w:tr>
      <w:tr w:rsidR="001E2F9C" w14:paraId="64F5C63F" w14:textId="77777777" w:rsidTr="001515D5">
        <w:tc>
          <w:tcPr>
            <w:tcW w:w="4675" w:type="dxa"/>
            <w:vAlign w:val="bottom"/>
          </w:tcPr>
          <w:p w14:paraId="77E6FD47" w14:textId="77777777" w:rsidR="001E2F9C" w:rsidRDefault="001E2F9C" w:rsidP="001515D5">
            <w:r>
              <w:rPr>
                <w:color w:val="000000"/>
              </w:rPr>
              <w:t>Lexington</w:t>
            </w:r>
          </w:p>
        </w:tc>
        <w:tc>
          <w:tcPr>
            <w:tcW w:w="4675" w:type="dxa"/>
            <w:vAlign w:val="bottom"/>
          </w:tcPr>
          <w:p w14:paraId="738F8BDE" w14:textId="77777777" w:rsidR="001E2F9C" w:rsidRDefault="001E2F9C" w:rsidP="001515D5">
            <w:r>
              <w:rPr>
                <w:color w:val="000000"/>
              </w:rPr>
              <w:t>PTB (high %) and CHB (low %)</w:t>
            </w:r>
          </w:p>
        </w:tc>
      </w:tr>
      <w:tr w:rsidR="001E2F9C" w14:paraId="4C7ACF3D" w14:textId="77777777" w:rsidTr="001515D5">
        <w:tc>
          <w:tcPr>
            <w:tcW w:w="4675" w:type="dxa"/>
            <w:vAlign w:val="bottom"/>
          </w:tcPr>
          <w:p w14:paraId="43C34FCE" w14:textId="77777777" w:rsidR="001E2F9C" w:rsidRDefault="001E2F9C" w:rsidP="001515D5">
            <w:r>
              <w:rPr>
                <w:color w:val="000000"/>
              </w:rPr>
              <w:t>McCormick</w:t>
            </w:r>
          </w:p>
        </w:tc>
        <w:tc>
          <w:tcPr>
            <w:tcW w:w="4675" w:type="dxa"/>
            <w:vAlign w:val="bottom"/>
          </w:tcPr>
          <w:p w14:paraId="36D96169" w14:textId="77777777" w:rsidR="001E2F9C" w:rsidRDefault="001E2F9C" w:rsidP="001515D5">
            <w:r>
              <w:rPr>
                <w:color w:val="000000"/>
              </w:rPr>
              <w:t>PTB and CHB (both high %)</w:t>
            </w:r>
          </w:p>
        </w:tc>
      </w:tr>
      <w:tr w:rsidR="001E2F9C" w14:paraId="5A349062" w14:textId="77777777" w:rsidTr="001515D5">
        <w:tc>
          <w:tcPr>
            <w:tcW w:w="4675" w:type="dxa"/>
            <w:vAlign w:val="bottom"/>
          </w:tcPr>
          <w:p w14:paraId="1E6D25B0" w14:textId="77777777" w:rsidR="001E2F9C" w:rsidRDefault="001E2F9C" w:rsidP="001515D5">
            <w:r>
              <w:rPr>
                <w:color w:val="000000"/>
              </w:rPr>
              <w:t>Marion</w:t>
            </w:r>
          </w:p>
        </w:tc>
        <w:tc>
          <w:tcPr>
            <w:tcW w:w="4675" w:type="dxa"/>
            <w:vAlign w:val="bottom"/>
          </w:tcPr>
          <w:p w14:paraId="5C4B9233" w14:textId="77777777" w:rsidR="001E2F9C" w:rsidRDefault="001E2F9C" w:rsidP="001515D5">
            <w:r>
              <w:rPr>
                <w:color w:val="000000"/>
              </w:rPr>
              <w:t>PTB and CHB (both high %)</w:t>
            </w:r>
          </w:p>
        </w:tc>
      </w:tr>
      <w:tr w:rsidR="001E2F9C" w14:paraId="521CDB22" w14:textId="77777777" w:rsidTr="001515D5">
        <w:tc>
          <w:tcPr>
            <w:tcW w:w="4675" w:type="dxa"/>
            <w:vAlign w:val="bottom"/>
          </w:tcPr>
          <w:p w14:paraId="2D93E1FC" w14:textId="77777777" w:rsidR="001E2F9C" w:rsidRDefault="001E2F9C" w:rsidP="001515D5">
            <w:r>
              <w:rPr>
                <w:color w:val="000000"/>
              </w:rPr>
              <w:t>Marlboro</w:t>
            </w:r>
          </w:p>
        </w:tc>
        <w:tc>
          <w:tcPr>
            <w:tcW w:w="4675" w:type="dxa"/>
            <w:vAlign w:val="bottom"/>
          </w:tcPr>
          <w:p w14:paraId="1D5146FB" w14:textId="77777777" w:rsidR="001E2F9C" w:rsidRDefault="001E2F9C" w:rsidP="001515D5">
            <w:r>
              <w:rPr>
                <w:color w:val="000000"/>
              </w:rPr>
              <w:t>PTB and CHB (both high %)</w:t>
            </w:r>
          </w:p>
        </w:tc>
      </w:tr>
      <w:tr w:rsidR="001E2F9C" w14:paraId="5C4309F3" w14:textId="77777777" w:rsidTr="001515D5">
        <w:tc>
          <w:tcPr>
            <w:tcW w:w="4675" w:type="dxa"/>
            <w:vAlign w:val="bottom"/>
          </w:tcPr>
          <w:p w14:paraId="380F79EC" w14:textId="77777777" w:rsidR="001E2F9C" w:rsidRDefault="001E2F9C" w:rsidP="001515D5">
            <w:r>
              <w:rPr>
                <w:color w:val="000000"/>
              </w:rPr>
              <w:t>Newberry</w:t>
            </w:r>
          </w:p>
        </w:tc>
        <w:tc>
          <w:tcPr>
            <w:tcW w:w="4675" w:type="dxa"/>
            <w:vAlign w:val="bottom"/>
          </w:tcPr>
          <w:p w14:paraId="44C53304" w14:textId="77777777" w:rsidR="001E2F9C" w:rsidRDefault="001E2F9C" w:rsidP="001515D5">
            <w:r>
              <w:rPr>
                <w:color w:val="000000"/>
              </w:rPr>
              <w:t>PTB and CHB (both high %)</w:t>
            </w:r>
          </w:p>
        </w:tc>
      </w:tr>
      <w:tr w:rsidR="001E2F9C" w14:paraId="78253171" w14:textId="77777777" w:rsidTr="001515D5">
        <w:tc>
          <w:tcPr>
            <w:tcW w:w="4675" w:type="dxa"/>
            <w:vAlign w:val="bottom"/>
          </w:tcPr>
          <w:p w14:paraId="12E1A5E4" w14:textId="77777777" w:rsidR="001E2F9C" w:rsidRDefault="001E2F9C" w:rsidP="001515D5">
            <w:r>
              <w:rPr>
                <w:color w:val="000000"/>
              </w:rPr>
              <w:t>Oconee</w:t>
            </w:r>
          </w:p>
        </w:tc>
        <w:tc>
          <w:tcPr>
            <w:tcW w:w="4675" w:type="dxa"/>
            <w:vAlign w:val="bottom"/>
          </w:tcPr>
          <w:p w14:paraId="75A5E3E8" w14:textId="77777777" w:rsidR="001E2F9C" w:rsidRDefault="001E2F9C" w:rsidP="001515D5">
            <w:r>
              <w:rPr>
                <w:color w:val="000000"/>
              </w:rPr>
              <w:t>PTB and CHB (both high %)</w:t>
            </w:r>
          </w:p>
        </w:tc>
      </w:tr>
      <w:tr w:rsidR="001E2F9C" w14:paraId="50EB939D" w14:textId="77777777" w:rsidTr="001515D5">
        <w:tc>
          <w:tcPr>
            <w:tcW w:w="4675" w:type="dxa"/>
            <w:vAlign w:val="bottom"/>
          </w:tcPr>
          <w:p w14:paraId="45E6A720" w14:textId="77777777" w:rsidR="001E2F9C" w:rsidRDefault="001E2F9C" w:rsidP="001515D5">
            <w:r>
              <w:rPr>
                <w:color w:val="000000"/>
              </w:rPr>
              <w:t>Orangeburg</w:t>
            </w:r>
          </w:p>
        </w:tc>
        <w:tc>
          <w:tcPr>
            <w:tcW w:w="4675" w:type="dxa"/>
            <w:vAlign w:val="bottom"/>
          </w:tcPr>
          <w:p w14:paraId="3CA63FD5" w14:textId="77777777" w:rsidR="001E2F9C" w:rsidRDefault="001E2F9C" w:rsidP="001515D5">
            <w:r>
              <w:rPr>
                <w:color w:val="000000"/>
              </w:rPr>
              <w:t>PTB and CHB (both high %)</w:t>
            </w:r>
          </w:p>
        </w:tc>
      </w:tr>
      <w:tr w:rsidR="001E2F9C" w14:paraId="41611CEF" w14:textId="77777777" w:rsidTr="001515D5">
        <w:tc>
          <w:tcPr>
            <w:tcW w:w="4675" w:type="dxa"/>
            <w:vAlign w:val="bottom"/>
          </w:tcPr>
          <w:p w14:paraId="788AC194" w14:textId="77777777" w:rsidR="001E2F9C" w:rsidRDefault="001E2F9C" w:rsidP="001515D5">
            <w:r>
              <w:rPr>
                <w:color w:val="000000"/>
              </w:rPr>
              <w:t>Pickens</w:t>
            </w:r>
          </w:p>
        </w:tc>
        <w:tc>
          <w:tcPr>
            <w:tcW w:w="4675" w:type="dxa"/>
            <w:vAlign w:val="bottom"/>
          </w:tcPr>
          <w:p w14:paraId="7E3138E8" w14:textId="77777777" w:rsidR="001E2F9C" w:rsidRDefault="001E2F9C" w:rsidP="001515D5">
            <w:r>
              <w:rPr>
                <w:color w:val="000000"/>
              </w:rPr>
              <w:t>PTB and CHB (both high %)</w:t>
            </w:r>
          </w:p>
        </w:tc>
      </w:tr>
      <w:tr w:rsidR="001E2F9C" w14:paraId="4797F521" w14:textId="77777777" w:rsidTr="001515D5">
        <w:tc>
          <w:tcPr>
            <w:tcW w:w="4675" w:type="dxa"/>
            <w:vAlign w:val="bottom"/>
          </w:tcPr>
          <w:p w14:paraId="459FD205" w14:textId="77777777" w:rsidR="001E2F9C" w:rsidRDefault="001E2F9C" w:rsidP="001515D5">
            <w:r>
              <w:rPr>
                <w:color w:val="000000"/>
              </w:rPr>
              <w:t>Richland</w:t>
            </w:r>
          </w:p>
        </w:tc>
        <w:tc>
          <w:tcPr>
            <w:tcW w:w="4675" w:type="dxa"/>
            <w:vAlign w:val="bottom"/>
          </w:tcPr>
          <w:p w14:paraId="1F48D173" w14:textId="77777777" w:rsidR="001E2F9C" w:rsidRDefault="001E2F9C" w:rsidP="001515D5">
            <w:r>
              <w:rPr>
                <w:color w:val="000000"/>
              </w:rPr>
              <w:t>PTB (high %) and CHB (low %)</w:t>
            </w:r>
          </w:p>
        </w:tc>
      </w:tr>
      <w:tr w:rsidR="001E2F9C" w14:paraId="3CC25430" w14:textId="77777777" w:rsidTr="001515D5">
        <w:tc>
          <w:tcPr>
            <w:tcW w:w="4675" w:type="dxa"/>
            <w:vAlign w:val="bottom"/>
          </w:tcPr>
          <w:p w14:paraId="2BA3D05A" w14:textId="77777777" w:rsidR="001E2F9C" w:rsidRDefault="001E2F9C" w:rsidP="001515D5">
            <w:r>
              <w:rPr>
                <w:color w:val="000000"/>
              </w:rPr>
              <w:t>Saluda</w:t>
            </w:r>
          </w:p>
        </w:tc>
        <w:tc>
          <w:tcPr>
            <w:tcW w:w="4675" w:type="dxa"/>
            <w:vAlign w:val="bottom"/>
          </w:tcPr>
          <w:p w14:paraId="467CCC9C" w14:textId="77777777" w:rsidR="001E2F9C" w:rsidRDefault="001E2F9C" w:rsidP="001515D5">
            <w:r>
              <w:rPr>
                <w:color w:val="000000"/>
              </w:rPr>
              <w:t>PTB and CHB (both high %)</w:t>
            </w:r>
          </w:p>
        </w:tc>
      </w:tr>
      <w:tr w:rsidR="001E2F9C" w14:paraId="654A8DDF" w14:textId="77777777" w:rsidTr="001515D5">
        <w:tc>
          <w:tcPr>
            <w:tcW w:w="4675" w:type="dxa"/>
            <w:vAlign w:val="bottom"/>
          </w:tcPr>
          <w:p w14:paraId="06249546" w14:textId="77777777" w:rsidR="001E2F9C" w:rsidRDefault="001E2F9C" w:rsidP="001515D5">
            <w:r>
              <w:rPr>
                <w:color w:val="000000"/>
              </w:rPr>
              <w:t>Spartanburg</w:t>
            </w:r>
          </w:p>
        </w:tc>
        <w:tc>
          <w:tcPr>
            <w:tcW w:w="4675" w:type="dxa"/>
            <w:vAlign w:val="bottom"/>
          </w:tcPr>
          <w:p w14:paraId="447F5E1E" w14:textId="77777777" w:rsidR="001E2F9C" w:rsidRDefault="001E2F9C" w:rsidP="001515D5">
            <w:r>
              <w:rPr>
                <w:color w:val="000000"/>
              </w:rPr>
              <w:t>PTB and CHB (both high %)</w:t>
            </w:r>
          </w:p>
        </w:tc>
      </w:tr>
      <w:tr w:rsidR="001E2F9C" w14:paraId="6FA3A653" w14:textId="77777777" w:rsidTr="001515D5">
        <w:tc>
          <w:tcPr>
            <w:tcW w:w="4675" w:type="dxa"/>
            <w:vAlign w:val="bottom"/>
          </w:tcPr>
          <w:p w14:paraId="78319034" w14:textId="77777777" w:rsidR="001E2F9C" w:rsidRDefault="001E2F9C" w:rsidP="001515D5">
            <w:r>
              <w:rPr>
                <w:color w:val="000000"/>
              </w:rPr>
              <w:t>Sumter</w:t>
            </w:r>
          </w:p>
        </w:tc>
        <w:tc>
          <w:tcPr>
            <w:tcW w:w="4675" w:type="dxa"/>
            <w:vAlign w:val="bottom"/>
          </w:tcPr>
          <w:p w14:paraId="2076262F" w14:textId="77777777" w:rsidR="001E2F9C" w:rsidRDefault="001E2F9C" w:rsidP="001515D5">
            <w:r>
              <w:rPr>
                <w:color w:val="000000"/>
              </w:rPr>
              <w:t>PTB and CHB (both high %)</w:t>
            </w:r>
          </w:p>
        </w:tc>
      </w:tr>
      <w:tr w:rsidR="001E2F9C" w14:paraId="2CEFE82F" w14:textId="77777777" w:rsidTr="001515D5">
        <w:tc>
          <w:tcPr>
            <w:tcW w:w="4675" w:type="dxa"/>
            <w:vAlign w:val="bottom"/>
          </w:tcPr>
          <w:p w14:paraId="7430A267" w14:textId="77777777" w:rsidR="001E2F9C" w:rsidRDefault="001E2F9C" w:rsidP="001515D5">
            <w:r>
              <w:rPr>
                <w:color w:val="000000"/>
              </w:rPr>
              <w:t>Union</w:t>
            </w:r>
          </w:p>
        </w:tc>
        <w:tc>
          <w:tcPr>
            <w:tcW w:w="4675" w:type="dxa"/>
            <w:vAlign w:val="bottom"/>
          </w:tcPr>
          <w:p w14:paraId="08D34AF9" w14:textId="77777777" w:rsidR="001E2F9C" w:rsidRDefault="001E2F9C" w:rsidP="001515D5">
            <w:r>
              <w:rPr>
                <w:color w:val="000000"/>
              </w:rPr>
              <w:t>PTB and CHB (both high %)</w:t>
            </w:r>
          </w:p>
        </w:tc>
      </w:tr>
      <w:tr w:rsidR="001E2F9C" w14:paraId="3D6DD75A" w14:textId="77777777" w:rsidTr="001515D5">
        <w:tc>
          <w:tcPr>
            <w:tcW w:w="4675" w:type="dxa"/>
            <w:vAlign w:val="bottom"/>
          </w:tcPr>
          <w:p w14:paraId="0AAB0F9F" w14:textId="77777777" w:rsidR="001E2F9C" w:rsidRDefault="001E2F9C" w:rsidP="001515D5">
            <w:r>
              <w:rPr>
                <w:color w:val="000000"/>
              </w:rPr>
              <w:t>Williamsburg</w:t>
            </w:r>
          </w:p>
        </w:tc>
        <w:tc>
          <w:tcPr>
            <w:tcW w:w="4675" w:type="dxa"/>
            <w:vAlign w:val="bottom"/>
          </w:tcPr>
          <w:p w14:paraId="5F82F13F" w14:textId="77777777" w:rsidR="001E2F9C" w:rsidRDefault="001E2F9C" w:rsidP="001515D5">
            <w:r>
              <w:rPr>
                <w:color w:val="000000"/>
              </w:rPr>
              <w:t>PTB and CHB (both high %)</w:t>
            </w:r>
          </w:p>
        </w:tc>
      </w:tr>
      <w:tr w:rsidR="001E2F9C" w14:paraId="4FAC3138" w14:textId="77777777" w:rsidTr="001515D5">
        <w:tc>
          <w:tcPr>
            <w:tcW w:w="4675" w:type="dxa"/>
            <w:vAlign w:val="bottom"/>
          </w:tcPr>
          <w:p w14:paraId="39EB6CE4" w14:textId="77777777" w:rsidR="001E2F9C" w:rsidRDefault="001E2F9C" w:rsidP="001515D5">
            <w:r>
              <w:rPr>
                <w:color w:val="000000"/>
              </w:rPr>
              <w:t>York</w:t>
            </w:r>
          </w:p>
        </w:tc>
        <w:tc>
          <w:tcPr>
            <w:tcW w:w="4675" w:type="dxa"/>
            <w:vAlign w:val="bottom"/>
          </w:tcPr>
          <w:p w14:paraId="17BD2E76" w14:textId="77777777" w:rsidR="001E2F9C" w:rsidRDefault="001E2F9C" w:rsidP="001515D5">
            <w:r>
              <w:rPr>
                <w:color w:val="000000"/>
              </w:rPr>
              <w:t>PTB (high %) and CHB (low %)</w:t>
            </w:r>
          </w:p>
        </w:tc>
      </w:tr>
    </w:tbl>
    <w:p w14:paraId="1BE90EB5" w14:textId="77777777" w:rsidR="001E2F9C" w:rsidRDefault="001E2F9C" w:rsidP="001E2F9C">
      <w:r>
        <w:t>Source: March of Dimes, 2023.</w:t>
      </w:r>
    </w:p>
    <w:p w14:paraId="56E5F5AB" w14:textId="77777777" w:rsidR="001E2F9C" w:rsidRPr="0033584C" w:rsidRDefault="001E2F9C" w:rsidP="001E2F9C">
      <w:r>
        <w:t>Note: The burden of chronic health conditions is the percent of birthing people in each county with one or more chronic conditions. A high percent of preterm birth is defined as greater than the national target of 9.4%.</w:t>
      </w:r>
    </w:p>
    <w:p w14:paraId="17B8424D" w14:textId="77777777" w:rsidR="00722CE9" w:rsidRDefault="00722CE9" w:rsidP="00722CE9"/>
    <w:p w14:paraId="65906F22" w14:textId="31154301" w:rsidR="00722CE9" w:rsidRPr="00722CE9" w:rsidRDefault="00722CE9" w:rsidP="00722CE9">
      <w:r w:rsidRPr="00722CE9">
        <w:t>In rural areas across SC, 100% of women live more than 30 minutes from a birthing hospital compared to 8.5% of women living in urban areas, greatly increasing the risk of maternal morbidity and adverse infant outcomes. Counties in which the travel distance to a birthing hospital is far (</w:t>
      </w:r>
      <w:r w:rsidRPr="00722CE9">
        <w:rPr>
          <w:b/>
          <w:bCs/>
        </w:rPr>
        <w:t>Figure 5.6</w:t>
      </w:r>
      <w:r w:rsidRPr="00722CE9">
        <w:t xml:space="preserve">) are more likely to be counties that are also designated as either a maternity care desert or a low-access level of maternity care (data not shown). From 2018-2019, the rate of </w:t>
      </w:r>
      <w:r w:rsidRPr="00722CE9">
        <w:lastRenderedPageBreak/>
        <w:t xml:space="preserve">pregnancy-related deaths among women who resided in rural counties of SC was 70.4% higher than that of women living in urban areas. </w:t>
      </w:r>
    </w:p>
    <w:p w14:paraId="09B64D63" w14:textId="77777777" w:rsidR="00722CE9" w:rsidRDefault="00722CE9" w:rsidP="00722CE9">
      <w:pPr>
        <w:pStyle w:val="Heading4"/>
        <w:rPr>
          <w:color w:val="FF0000"/>
        </w:rPr>
      </w:pPr>
    </w:p>
    <w:p w14:paraId="2D647405" w14:textId="77777777" w:rsidR="001E2F9C" w:rsidRDefault="001E2F9C" w:rsidP="001E2F9C">
      <w:pPr>
        <w:pStyle w:val="Heading4"/>
      </w:pPr>
      <w:bookmarkStart w:id="123" w:name="_Toc154569779"/>
      <w:bookmarkStart w:id="124" w:name="_Toc162267070"/>
      <w:r>
        <w:t>Figure 5.6:</w:t>
      </w:r>
      <w:r w:rsidRPr="00D50218">
        <w:t xml:space="preserve"> Distance to Birthing Hospital in South Carolina, by County, 2022</w:t>
      </w:r>
      <w:r>
        <w:t>.</w:t>
      </w:r>
      <w:bookmarkEnd w:id="123"/>
      <w:bookmarkEnd w:id="124"/>
    </w:p>
    <w:tbl>
      <w:tblPr>
        <w:tblStyle w:val="TableGrid"/>
        <w:tblW w:w="0" w:type="auto"/>
        <w:tblLook w:val="04A0" w:firstRow="1" w:lastRow="0" w:firstColumn="1" w:lastColumn="0" w:noHBand="0" w:noVBand="1"/>
      </w:tblPr>
      <w:tblGrid>
        <w:gridCol w:w="4675"/>
        <w:gridCol w:w="4675"/>
      </w:tblGrid>
      <w:tr w:rsidR="001E2F9C" w14:paraId="01FA99B9" w14:textId="77777777" w:rsidTr="001515D5">
        <w:tc>
          <w:tcPr>
            <w:tcW w:w="4675" w:type="dxa"/>
            <w:vAlign w:val="bottom"/>
          </w:tcPr>
          <w:p w14:paraId="01C3BAF6" w14:textId="77777777" w:rsidR="001E2F9C" w:rsidRDefault="001E2F9C" w:rsidP="001515D5">
            <w:r>
              <w:t>County</w:t>
            </w:r>
          </w:p>
        </w:tc>
        <w:tc>
          <w:tcPr>
            <w:tcW w:w="4675" w:type="dxa"/>
            <w:vAlign w:val="bottom"/>
          </w:tcPr>
          <w:p w14:paraId="4CE82C5C" w14:textId="77777777" w:rsidR="001E2F9C" w:rsidRDefault="001E2F9C" w:rsidP="001515D5">
            <w:r>
              <w:t>Average Miles</w:t>
            </w:r>
          </w:p>
        </w:tc>
      </w:tr>
      <w:tr w:rsidR="001E2F9C" w14:paraId="5F199456" w14:textId="77777777" w:rsidTr="001515D5">
        <w:tc>
          <w:tcPr>
            <w:tcW w:w="4675" w:type="dxa"/>
            <w:vAlign w:val="bottom"/>
          </w:tcPr>
          <w:p w14:paraId="05E7FF97" w14:textId="77777777" w:rsidR="001E2F9C" w:rsidRDefault="001E2F9C" w:rsidP="001515D5">
            <w:r>
              <w:rPr>
                <w:color w:val="000000"/>
              </w:rPr>
              <w:t>Abbeville</w:t>
            </w:r>
          </w:p>
        </w:tc>
        <w:tc>
          <w:tcPr>
            <w:tcW w:w="4675" w:type="dxa"/>
            <w:vAlign w:val="bottom"/>
          </w:tcPr>
          <w:p w14:paraId="3044EBDF" w14:textId="77777777" w:rsidR="001E2F9C" w:rsidRDefault="001E2F9C" w:rsidP="001515D5">
            <w:r>
              <w:rPr>
                <w:color w:val="000000"/>
              </w:rPr>
              <w:t>13.1-22.3</w:t>
            </w:r>
          </w:p>
        </w:tc>
      </w:tr>
      <w:tr w:rsidR="001E2F9C" w14:paraId="56C6EC04" w14:textId="77777777" w:rsidTr="001515D5">
        <w:tc>
          <w:tcPr>
            <w:tcW w:w="4675" w:type="dxa"/>
            <w:vAlign w:val="bottom"/>
          </w:tcPr>
          <w:p w14:paraId="735C80A1" w14:textId="77777777" w:rsidR="001E2F9C" w:rsidRDefault="001E2F9C" w:rsidP="001515D5">
            <w:r>
              <w:rPr>
                <w:color w:val="000000"/>
              </w:rPr>
              <w:t>Aiken</w:t>
            </w:r>
          </w:p>
        </w:tc>
        <w:tc>
          <w:tcPr>
            <w:tcW w:w="4675" w:type="dxa"/>
            <w:vAlign w:val="bottom"/>
          </w:tcPr>
          <w:p w14:paraId="3EBF9514" w14:textId="77777777" w:rsidR="001E2F9C" w:rsidRDefault="001E2F9C" w:rsidP="001515D5">
            <w:r>
              <w:rPr>
                <w:color w:val="000000"/>
              </w:rPr>
              <w:t>7.4-8.9</w:t>
            </w:r>
          </w:p>
        </w:tc>
      </w:tr>
      <w:tr w:rsidR="001E2F9C" w14:paraId="77AB5001" w14:textId="77777777" w:rsidTr="001515D5">
        <w:tc>
          <w:tcPr>
            <w:tcW w:w="4675" w:type="dxa"/>
            <w:vAlign w:val="bottom"/>
          </w:tcPr>
          <w:p w14:paraId="285947CC" w14:textId="77777777" w:rsidR="001E2F9C" w:rsidRDefault="001E2F9C" w:rsidP="001515D5">
            <w:r>
              <w:rPr>
                <w:color w:val="000000"/>
              </w:rPr>
              <w:t>Allendale</w:t>
            </w:r>
          </w:p>
        </w:tc>
        <w:tc>
          <w:tcPr>
            <w:tcW w:w="4675" w:type="dxa"/>
            <w:vAlign w:val="bottom"/>
          </w:tcPr>
          <w:p w14:paraId="042417A2" w14:textId="77777777" w:rsidR="001E2F9C" w:rsidRDefault="001E2F9C" w:rsidP="001515D5">
            <w:r>
              <w:rPr>
                <w:color w:val="000000"/>
              </w:rPr>
              <w:t>22.4-40.9</w:t>
            </w:r>
          </w:p>
        </w:tc>
      </w:tr>
      <w:tr w:rsidR="001E2F9C" w14:paraId="614427B7" w14:textId="77777777" w:rsidTr="001515D5">
        <w:tc>
          <w:tcPr>
            <w:tcW w:w="4675" w:type="dxa"/>
            <w:vAlign w:val="bottom"/>
          </w:tcPr>
          <w:p w14:paraId="02293260" w14:textId="77777777" w:rsidR="001E2F9C" w:rsidRDefault="001E2F9C" w:rsidP="001515D5">
            <w:r>
              <w:rPr>
                <w:color w:val="000000"/>
              </w:rPr>
              <w:t>Anderson</w:t>
            </w:r>
          </w:p>
        </w:tc>
        <w:tc>
          <w:tcPr>
            <w:tcW w:w="4675" w:type="dxa"/>
            <w:vAlign w:val="bottom"/>
          </w:tcPr>
          <w:p w14:paraId="017E31AB" w14:textId="77777777" w:rsidR="001E2F9C" w:rsidRDefault="001E2F9C" w:rsidP="001515D5">
            <w:r>
              <w:rPr>
                <w:color w:val="000000"/>
              </w:rPr>
              <w:t>9.0-13.0</w:t>
            </w:r>
          </w:p>
        </w:tc>
      </w:tr>
      <w:tr w:rsidR="001E2F9C" w14:paraId="6F3A697A" w14:textId="77777777" w:rsidTr="001515D5">
        <w:tc>
          <w:tcPr>
            <w:tcW w:w="4675" w:type="dxa"/>
            <w:vAlign w:val="bottom"/>
          </w:tcPr>
          <w:p w14:paraId="0EB489F8" w14:textId="77777777" w:rsidR="001E2F9C" w:rsidRDefault="001E2F9C" w:rsidP="001515D5">
            <w:r>
              <w:rPr>
                <w:color w:val="000000"/>
              </w:rPr>
              <w:t>Bamberg</w:t>
            </w:r>
          </w:p>
        </w:tc>
        <w:tc>
          <w:tcPr>
            <w:tcW w:w="4675" w:type="dxa"/>
            <w:vAlign w:val="bottom"/>
          </w:tcPr>
          <w:p w14:paraId="3F1DA471" w14:textId="77777777" w:rsidR="001E2F9C" w:rsidRDefault="001E2F9C" w:rsidP="001515D5">
            <w:r>
              <w:rPr>
                <w:color w:val="000000"/>
              </w:rPr>
              <w:t>22.4-40.9</w:t>
            </w:r>
          </w:p>
        </w:tc>
      </w:tr>
      <w:tr w:rsidR="001E2F9C" w14:paraId="04E3CE1F" w14:textId="77777777" w:rsidTr="001515D5">
        <w:tc>
          <w:tcPr>
            <w:tcW w:w="4675" w:type="dxa"/>
            <w:vAlign w:val="bottom"/>
          </w:tcPr>
          <w:p w14:paraId="2EED52C6" w14:textId="77777777" w:rsidR="001E2F9C" w:rsidRDefault="001E2F9C" w:rsidP="001515D5">
            <w:r>
              <w:rPr>
                <w:color w:val="000000"/>
              </w:rPr>
              <w:t>Barnwell</w:t>
            </w:r>
          </w:p>
        </w:tc>
        <w:tc>
          <w:tcPr>
            <w:tcW w:w="4675" w:type="dxa"/>
            <w:vAlign w:val="bottom"/>
          </w:tcPr>
          <w:p w14:paraId="618D4D85" w14:textId="77777777" w:rsidR="001E2F9C" w:rsidRDefault="001E2F9C" w:rsidP="001515D5">
            <w:r>
              <w:rPr>
                <w:color w:val="000000"/>
              </w:rPr>
              <w:t>22.4-40.9</w:t>
            </w:r>
          </w:p>
        </w:tc>
      </w:tr>
      <w:tr w:rsidR="001E2F9C" w14:paraId="2C117476" w14:textId="77777777" w:rsidTr="001515D5">
        <w:tc>
          <w:tcPr>
            <w:tcW w:w="4675" w:type="dxa"/>
            <w:vAlign w:val="bottom"/>
          </w:tcPr>
          <w:p w14:paraId="326736D5" w14:textId="77777777" w:rsidR="001E2F9C" w:rsidRDefault="001E2F9C" w:rsidP="001515D5">
            <w:r>
              <w:rPr>
                <w:color w:val="000000"/>
              </w:rPr>
              <w:t>Beaufort</w:t>
            </w:r>
          </w:p>
        </w:tc>
        <w:tc>
          <w:tcPr>
            <w:tcW w:w="4675" w:type="dxa"/>
            <w:vAlign w:val="bottom"/>
          </w:tcPr>
          <w:p w14:paraId="3CAF4C5E" w14:textId="77777777" w:rsidR="001E2F9C" w:rsidRDefault="001E2F9C" w:rsidP="001515D5">
            <w:r>
              <w:rPr>
                <w:color w:val="000000"/>
              </w:rPr>
              <w:t>7.4-8.9</w:t>
            </w:r>
          </w:p>
        </w:tc>
      </w:tr>
      <w:tr w:rsidR="001E2F9C" w14:paraId="19CF3FE0" w14:textId="77777777" w:rsidTr="001515D5">
        <w:tc>
          <w:tcPr>
            <w:tcW w:w="4675" w:type="dxa"/>
            <w:vAlign w:val="bottom"/>
          </w:tcPr>
          <w:p w14:paraId="34ADA331" w14:textId="77777777" w:rsidR="001E2F9C" w:rsidRDefault="001E2F9C" w:rsidP="001515D5">
            <w:r>
              <w:rPr>
                <w:color w:val="000000"/>
              </w:rPr>
              <w:t>Berkeley</w:t>
            </w:r>
          </w:p>
        </w:tc>
        <w:tc>
          <w:tcPr>
            <w:tcW w:w="4675" w:type="dxa"/>
            <w:vAlign w:val="bottom"/>
          </w:tcPr>
          <w:p w14:paraId="045A5DDB" w14:textId="77777777" w:rsidR="001E2F9C" w:rsidRDefault="001E2F9C" w:rsidP="001515D5">
            <w:r>
              <w:rPr>
                <w:color w:val="000000"/>
              </w:rPr>
              <w:t>7.4-8.9</w:t>
            </w:r>
          </w:p>
        </w:tc>
      </w:tr>
      <w:tr w:rsidR="001E2F9C" w14:paraId="1A449375" w14:textId="77777777" w:rsidTr="001515D5">
        <w:tc>
          <w:tcPr>
            <w:tcW w:w="4675" w:type="dxa"/>
            <w:vAlign w:val="bottom"/>
          </w:tcPr>
          <w:p w14:paraId="3ED23962" w14:textId="77777777" w:rsidR="001E2F9C" w:rsidRDefault="001E2F9C" w:rsidP="001515D5">
            <w:r>
              <w:rPr>
                <w:color w:val="000000"/>
              </w:rPr>
              <w:t>Calhoun</w:t>
            </w:r>
          </w:p>
        </w:tc>
        <w:tc>
          <w:tcPr>
            <w:tcW w:w="4675" w:type="dxa"/>
            <w:vAlign w:val="bottom"/>
          </w:tcPr>
          <w:p w14:paraId="21F0499B" w14:textId="77777777" w:rsidR="001E2F9C" w:rsidRDefault="001E2F9C" w:rsidP="001515D5">
            <w:r>
              <w:rPr>
                <w:color w:val="000000"/>
              </w:rPr>
              <w:t>9.0-13.0</w:t>
            </w:r>
          </w:p>
        </w:tc>
      </w:tr>
      <w:tr w:rsidR="001E2F9C" w14:paraId="78D419EE" w14:textId="77777777" w:rsidTr="001515D5">
        <w:tc>
          <w:tcPr>
            <w:tcW w:w="4675" w:type="dxa"/>
            <w:vAlign w:val="bottom"/>
          </w:tcPr>
          <w:p w14:paraId="53D9A24E" w14:textId="77777777" w:rsidR="001E2F9C" w:rsidRDefault="001E2F9C" w:rsidP="001515D5">
            <w:r>
              <w:rPr>
                <w:color w:val="000000"/>
              </w:rPr>
              <w:t>Charleston</w:t>
            </w:r>
          </w:p>
        </w:tc>
        <w:tc>
          <w:tcPr>
            <w:tcW w:w="4675" w:type="dxa"/>
            <w:vAlign w:val="bottom"/>
          </w:tcPr>
          <w:p w14:paraId="5F346A05" w14:textId="77777777" w:rsidR="001E2F9C" w:rsidRDefault="001E2F9C" w:rsidP="001515D5">
            <w:r>
              <w:rPr>
                <w:color w:val="000000"/>
              </w:rPr>
              <w:t>2.4-7.3</w:t>
            </w:r>
          </w:p>
        </w:tc>
      </w:tr>
      <w:tr w:rsidR="001E2F9C" w14:paraId="478CB12A" w14:textId="77777777" w:rsidTr="001515D5">
        <w:tc>
          <w:tcPr>
            <w:tcW w:w="4675" w:type="dxa"/>
            <w:vAlign w:val="bottom"/>
          </w:tcPr>
          <w:p w14:paraId="7BF3B0AD" w14:textId="77777777" w:rsidR="001E2F9C" w:rsidRDefault="001E2F9C" w:rsidP="001515D5">
            <w:r>
              <w:rPr>
                <w:color w:val="000000"/>
              </w:rPr>
              <w:t>Cherokee</w:t>
            </w:r>
          </w:p>
        </w:tc>
        <w:tc>
          <w:tcPr>
            <w:tcW w:w="4675" w:type="dxa"/>
            <w:vAlign w:val="bottom"/>
          </w:tcPr>
          <w:p w14:paraId="4ECDC85F" w14:textId="77777777" w:rsidR="001E2F9C" w:rsidRDefault="001E2F9C" w:rsidP="001515D5">
            <w:r>
              <w:rPr>
                <w:color w:val="000000"/>
              </w:rPr>
              <w:t>13.1-22.3</w:t>
            </w:r>
          </w:p>
        </w:tc>
      </w:tr>
      <w:tr w:rsidR="001E2F9C" w14:paraId="085A1FC0" w14:textId="77777777" w:rsidTr="001515D5">
        <w:tc>
          <w:tcPr>
            <w:tcW w:w="4675" w:type="dxa"/>
            <w:vAlign w:val="bottom"/>
          </w:tcPr>
          <w:p w14:paraId="7B756B20" w14:textId="77777777" w:rsidR="001E2F9C" w:rsidRDefault="001E2F9C" w:rsidP="001515D5">
            <w:r>
              <w:rPr>
                <w:color w:val="000000"/>
              </w:rPr>
              <w:t>Chester</w:t>
            </w:r>
          </w:p>
        </w:tc>
        <w:tc>
          <w:tcPr>
            <w:tcW w:w="4675" w:type="dxa"/>
            <w:vAlign w:val="bottom"/>
          </w:tcPr>
          <w:p w14:paraId="629BA6C8" w14:textId="77777777" w:rsidR="001E2F9C" w:rsidRDefault="001E2F9C" w:rsidP="001515D5">
            <w:r>
              <w:rPr>
                <w:color w:val="000000"/>
              </w:rPr>
              <w:t>13.1-22.3</w:t>
            </w:r>
          </w:p>
        </w:tc>
      </w:tr>
      <w:tr w:rsidR="001E2F9C" w14:paraId="0504F40F" w14:textId="77777777" w:rsidTr="001515D5">
        <w:tc>
          <w:tcPr>
            <w:tcW w:w="4675" w:type="dxa"/>
            <w:vAlign w:val="bottom"/>
          </w:tcPr>
          <w:p w14:paraId="0480BB1B" w14:textId="77777777" w:rsidR="001E2F9C" w:rsidRDefault="001E2F9C" w:rsidP="001515D5">
            <w:r>
              <w:rPr>
                <w:color w:val="000000"/>
              </w:rPr>
              <w:t>Chesterfield</w:t>
            </w:r>
          </w:p>
        </w:tc>
        <w:tc>
          <w:tcPr>
            <w:tcW w:w="4675" w:type="dxa"/>
            <w:vAlign w:val="bottom"/>
          </w:tcPr>
          <w:p w14:paraId="5996B0AE" w14:textId="77777777" w:rsidR="001E2F9C" w:rsidRDefault="001E2F9C" w:rsidP="001515D5">
            <w:r>
              <w:rPr>
                <w:color w:val="000000"/>
              </w:rPr>
              <w:t>22.4-40.9</w:t>
            </w:r>
          </w:p>
        </w:tc>
      </w:tr>
      <w:tr w:rsidR="001E2F9C" w14:paraId="7E32E31A" w14:textId="77777777" w:rsidTr="001515D5">
        <w:tc>
          <w:tcPr>
            <w:tcW w:w="4675" w:type="dxa"/>
            <w:vAlign w:val="bottom"/>
          </w:tcPr>
          <w:p w14:paraId="2A1385B1" w14:textId="77777777" w:rsidR="001E2F9C" w:rsidRDefault="001E2F9C" w:rsidP="001515D5">
            <w:r>
              <w:rPr>
                <w:color w:val="000000"/>
              </w:rPr>
              <w:t>Clarendon</w:t>
            </w:r>
          </w:p>
        </w:tc>
        <w:tc>
          <w:tcPr>
            <w:tcW w:w="4675" w:type="dxa"/>
            <w:vAlign w:val="bottom"/>
          </w:tcPr>
          <w:p w14:paraId="49FCB184" w14:textId="77777777" w:rsidR="001E2F9C" w:rsidRDefault="001E2F9C" w:rsidP="001515D5">
            <w:r>
              <w:rPr>
                <w:color w:val="000000"/>
              </w:rPr>
              <w:t>2.4-7.3</w:t>
            </w:r>
          </w:p>
        </w:tc>
      </w:tr>
      <w:tr w:rsidR="001E2F9C" w14:paraId="6A8A9DEF" w14:textId="77777777" w:rsidTr="001515D5">
        <w:tc>
          <w:tcPr>
            <w:tcW w:w="4675" w:type="dxa"/>
            <w:vAlign w:val="bottom"/>
          </w:tcPr>
          <w:p w14:paraId="013F4799" w14:textId="77777777" w:rsidR="001E2F9C" w:rsidRDefault="001E2F9C" w:rsidP="001515D5">
            <w:r>
              <w:rPr>
                <w:color w:val="000000"/>
              </w:rPr>
              <w:t>Colleton</w:t>
            </w:r>
          </w:p>
        </w:tc>
        <w:tc>
          <w:tcPr>
            <w:tcW w:w="4675" w:type="dxa"/>
            <w:vAlign w:val="bottom"/>
          </w:tcPr>
          <w:p w14:paraId="73AA6250" w14:textId="77777777" w:rsidR="001E2F9C" w:rsidRDefault="001E2F9C" w:rsidP="001515D5">
            <w:r>
              <w:rPr>
                <w:color w:val="000000"/>
              </w:rPr>
              <w:t>2.4-7.3</w:t>
            </w:r>
          </w:p>
        </w:tc>
      </w:tr>
      <w:tr w:rsidR="001E2F9C" w14:paraId="09FEE524" w14:textId="77777777" w:rsidTr="001515D5">
        <w:tc>
          <w:tcPr>
            <w:tcW w:w="4675" w:type="dxa"/>
            <w:vAlign w:val="bottom"/>
          </w:tcPr>
          <w:p w14:paraId="62D9BD67" w14:textId="77777777" w:rsidR="001E2F9C" w:rsidRDefault="001E2F9C" w:rsidP="001515D5">
            <w:r>
              <w:rPr>
                <w:color w:val="000000"/>
              </w:rPr>
              <w:t>Darlington</w:t>
            </w:r>
          </w:p>
        </w:tc>
        <w:tc>
          <w:tcPr>
            <w:tcW w:w="4675" w:type="dxa"/>
            <w:vAlign w:val="bottom"/>
          </w:tcPr>
          <w:p w14:paraId="5644019E" w14:textId="77777777" w:rsidR="001E2F9C" w:rsidRDefault="001E2F9C" w:rsidP="001515D5">
            <w:r>
              <w:rPr>
                <w:color w:val="000000"/>
              </w:rPr>
              <w:t>13.1-22.3</w:t>
            </w:r>
          </w:p>
        </w:tc>
      </w:tr>
      <w:tr w:rsidR="001E2F9C" w14:paraId="4C521B39" w14:textId="77777777" w:rsidTr="001515D5">
        <w:tc>
          <w:tcPr>
            <w:tcW w:w="4675" w:type="dxa"/>
            <w:vAlign w:val="bottom"/>
          </w:tcPr>
          <w:p w14:paraId="12A94848" w14:textId="77777777" w:rsidR="001E2F9C" w:rsidRDefault="001E2F9C" w:rsidP="001515D5">
            <w:r>
              <w:rPr>
                <w:color w:val="000000"/>
              </w:rPr>
              <w:t>Dillon</w:t>
            </w:r>
          </w:p>
        </w:tc>
        <w:tc>
          <w:tcPr>
            <w:tcW w:w="4675" w:type="dxa"/>
            <w:vAlign w:val="bottom"/>
          </w:tcPr>
          <w:p w14:paraId="0346C076" w14:textId="77777777" w:rsidR="001E2F9C" w:rsidRDefault="001E2F9C" w:rsidP="001515D5">
            <w:r>
              <w:rPr>
                <w:color w:val="000000"/>
              </w:rPr>
              <w:t>2.4-7.3</w:t>
            </w:r>
          </w:p>
        </w:tc>
      </w:tr>
      <w:tr w:rsidR="001E2F9C" w14:paraId="37455C5B" w14:textId="77777777" w:rsidTr="001515D5">
        <w:tc>
          <w:tcPr>
            <w:tcW w:w="4675" w:type="dxa"/>
            <w:vAlign w:val="bottom"/>
          </w:tcPr>
          <w:p w14:paraId="04EB47EF" w14:textId="77777777" w:rsidR="001E2F9C" w:rsidRDefault="001E2F9C" w:rsidP="001515D5">
            <w:r>
              <w:rPr>
                <w:color w:val="000000"/>
              </w:rPr>
              <w:t>Dorchester</w:t>
            </w:r>
          </w:p>
        </w:tc>
        <w:tc>
          <w:tcPr>
            <w:tcW w:w="4675" w:type="dxa"/>
            <w:vAlign w:val="bottom"/>
          </w:tcPr>
          <w:p w14:paraId="5133475B" w14:textId="77777777" w:rsidR="001E2F9C" w:rsidRDefault="001E2F9C" w:rsidP="001515D5">
            <w:r>
              <w:rPr>
                <w:color w:val="000000"/>
              </w:rPr>
              <w:t>9.0-13.0</w:t>
            </w:r>
          </w:p>
        </w:tc>
      </w:tr>
      <w:tr w:rsidR="001E2F9C" w14:paraId="19A6DA73" w14:textId="77777777" w:rsidTr="001515D5">
        <w:tc>
          <w:tcPr>
            <w:tcW w:w="4675" w:type="dxa"/>
            <w:vAlign w:val="bottom"/>
          </w:tcPr>
          <w:p w14:paraId="7AF4D0EB" w14:textId="77777777" w:rsidR="001E2F9C" w:rsidRDefault="001E2F9C" w:rsidP="001515D5">
            <w:r>
              <w:rPr>
                <w:color w:val="000000"/>
              </w:rPr>
              <w:t>Edgefield</w:t>
            </w:r>
          </w:p>
        </w:tc>
        <w:tc>
          <w:tcPr>
            <w:tcW w:w="4675" w:type="dxa"/>
            <w:vAlign w:val="bottom"/>
          </w:tcPr>
          <w:p w14:paraId="1CFFBA9D" w14:textId="77777777" w:rsidR="001E2F9C" w:rsidRDefault="001E2F9C" w:rsidP="001515D5">
            <w:r>
              <w:rPr>
                <w:color w:val="000000"/>
              </w:rPr>
              <w:t>9.0-13.0</w:t>
            </w:r>
          </w:p>
        </w:tc>
      </w:tr>
      <w:tr w:rsidR="001E2F9C" w14:paraId="3FA0D7E0" w14:textId="77777777" w:rsidTr="001515D5">
        <w:tc>
          <w:tcPr>
            <w:tcW w:w="4675" w:type="dxa"/>
            <w:vAlign w:val="bottom"/>
          </w:tcPr>
          <w:p w14:paraId="31173735" w14:textId="77777777" w:rsidR="001E2F9C" w:rsidRDefault="001E2F9C" w:rsidP="001515D5">
            <w:r>
              <w:rPr>
                <w:color w:val="000000"/>
              </w:rPr>
              <w:t>Fairfield</w:t>
            </w:r>
          </w:p>
        </w:tc>
        <w:tc>
          <w:tcPr>
            <w:tcW w:w="4675" w:type="dxa"/>
            <w:vAlign w:val="bottom"/>
          </w:tcPr>
          <w:p w14:paraId="62ADC664" w14:textId="77777777" w:rsidR="001E2F9C" w:rsidRDefault="001E2F9C" w:rsidP="001515D5">
            <w:r>
              <w:rPr>
                <w:color w:val="000000"/>
              </w:rPr>
              <w:t>22.4-40.9</w:t>
            </w:r>
          </w:p>
        </w:tc>
      </w:tr>
      <w:tr w:rsidR="001E2F9C" w14:paraId="446A0DC5" w14:textId="77777777" w:rsidTr="001515D5">
        <w:tc>
          <w:tcPr>
            <w:tcW w:w="4675" w:type="dxa"/>
            <w:vAlign w:val="bottom"/>
          </w:tcPr>
          <w:p w14:paraId="18867548" w14:textId="77777777" w:rsidR="001E2F9C" w:rsidRDefault="001E2F9C" w:rsidP="001515D5">
            <w:r>
              <w:rPr>
                <w:color w:val="000000"/>
              </w:rPr>
              <w:t>Florence</w:t>
            </w:r>
          </w:p>
        </w:tc>
        <w:tc>
          <w:tcPr>
            <w:tcW w:w="4675" w:type="dxa"/>
            <w:vAlign w:val="bottom"/>
          </w:tcPr>
          <w:p w14:paraId="794E1AE0" w14:textId="77777777" w:rsidR="001E2F9C" w:rsidRDefault="001E2F9C" w:rsidP="001515D5">
            <w:r>
              <w:rPr>
                <w:color w:val="000000"/>
              </w:rPr>
              <w:t>9.0-13.0</w:t>
            </w:r>
          </w:p>
        </w:tc>
      </w:tr>
      <w:tr w:rsidR="001E2F9C" w14:paraId="10D7F2F6" w14:textId="77777777" w:rsidTr="001515D5">
        <w:tc>
          <w:tcPr>
            <w:tcW w:w="4675" w:type="dxa"/>
            <w:vAlign w:val="bottom"/>
          </w:tcPr>
          <w:p w14:paraId="339F04ED" w14:textId="77777777" w:rsidR="001E2F9C" w:rsidRDefault="001E2F9C" w:rsidP="001515D5">
            <w:r>
              <w:rPr>
                <w:color w:val="000000"/>
              </w:rPr>
              <w:t>Georgetown</w:t>
            </w:r>
          </w:p>
        </w:tc>
        <w:tc>
          <w:tcPr>
            <w:tcW w:w="4675" w:type="dxa"/>
            <w:vAlign w:val="bottom"/>
          </w:tcPr>
          <w:p w14:paraId="768CC113" w14:textId="77777777" w:rsidR="001E2F9C" w:rsidRDefault="001E2F9C" w:rsidP="001515D5">
            <w:r>
              <w:rPr>
                <w:color w:val="000000"/>
              </w:rPr>
              <w:t>2.4-7.3</w:t>
            </w:r>
          </w:p>
        </w:tc>
      </w:tr>
      <w:tr w:rsidR="001E2F9C" w14:paraId="62AC6380" w14:textId="77777777" w:rsidTr="001515D5">
        <w:tc>
          <w:tcPr>
            <w:tcW w:w="4675" w:type="dxa"/>
            <w:vAlign w:val="bottom"/>
          </w:tcPr>
          <w:p w14:paraId="479080FD" w14:textId="77777777" w:rsidR="001E2F9C" w:rsidRDefault="001E2F9C" w:rsidP="001515D5">
            <w:r>
              <w:rPr>
                <w:color w:val="000000"/>
              </w:rPr>
              <w:t>Greenville</w:t>
            </w:r>
          </w:p>
        </w:tc>
        <w:tc>
          <w:tcPr>
            <w:tcW w:w="4675" w:type="dxa"/>
            <w:vAlign w:val="bottom"/>
          </w:tcPr>
          <w:p w14:paraId="0DB1378A" w14:textId="77777777" w:rsidR="001E2F9C" w:rsidRDefault="001E2F9C" w:rsidP="001515D5">
            <w:r>
              <w:rPr>
                <w:color w:val="000000"/>
              </w:rPr>
              <w:t>2.4-7.3</w:t>
            </w:r>
          </w:p>
        </w:tc>
      </w:tr>
      <w:tr w:rsidR="001E2F9C" w14:paraId="3FE5BD4D" w14:textId="77777777" w:rsidTr="001515D5">
        <w:tc>
          <w:tcPr>
            <w:tcW w:w="4675" w:type="dxa"/>
            <w:vAlign w:val="bottom"/>
          </w:tcPr>
          <w:p w14:paraId="0A721273" w14:textId="77777777" w:rsidR="001E2F9C" w:rsidRDefault="001E2F9C" w:rsidP="001515D5">
            <w:r>
              <w:rPr>
                <w:color w:val="000000"/>
              </w:rPr>
              <w:t>Greenwood</w:t>
            </w:r>
          </w:p>
        </w:tc>
        <w:tc>
          <w:tcPr>
            <w:tcW w:w="4675" w:type="dxa"/>
            <w:vAlign w:val="bottom"/>
          </w:tcPr>
          <w:p w14:paraId="553A7D4C" w14:textId="77777777" w:rsidR="001E2F9C" w:rsidRDefault="001E2F9C" w:rsidP="001515D5">
            <w:r>
              <w:rPr>
                <w:color w:val="000000"/>
              </w:rPr>
              <w:t>2.4-7.3</w:t>
            </w:r>
          </w:p>
        </w:tc>
      </w:tr>
      <w:tr w:rsidR="001E2F9C" w14:paraId="0267E1B2" w14:textId="77777777" w:rsidTr="001515D5">
        <w:tc>
          <w:tcPr>
            <w:tcW w:w="4675" w:type="dxa"/>
            <w:vAlign w:val="bottom"/>
          </w:tcPr>
          <w:p w14:paraId="6B9C1401" w14:textId="77777777" w:rsidR="001E2F9C" w:rsidRDefault="001E2F9C" w:rsidP="001515D5">
            <w:r>
              <w:rPr>
                <w:color w:val="000000"/>
              </w:rPr>
              <w:t>Hampton</w:t>
            </w:r>
          </w:p>
        </w:tc>
        <w:tc>
          <w:tcPr>
            <w:tcW w:w="4675" w:type="dxa"/>
            <w:vAlign w:val="bottom"/>
          </w:tcPr>
          <w:p w14:paraId="5DB84CD1" w14:textId="77777777" w:rsidR="001E2F9C" w:rsidRDefault="001E2F9C" w:rsidP="001515D5">
            <w:r>
              <w:rPr>
                <w:color w:val="000000"/>
              </w:rPr>
              <w:t>22.4-40.9</w:t>
            </w:r>
          </w:p>
        </w:tc>
      </w:tr>
      <w:tr w:rsidR="001E2F9C" w14:paraId="41F5BF97" w14:textId="77777777" w:rsidTr="001515D5">
        <w:tc>
          <w:tcPr>
            <w:tcW w:w="4675" w:type="dxa"/>
            <w:vAlign w:val="bottom"/>
          </w:tcPr>
          <w:p w14:paraId="664A0F20" w14:textId="77777777" w:rsidR="001E2F9C" w:rsidRDefault="001E2F9C" w:rsidP="001515D5">
            <w:r>
              <w:rPr>
                <w:color w:val="000000"/>
              </w:rPr>
              <w:t>Horry</w:t>
            </w:r>
          </w:p>
        </w:tc>
        <w:tc>
          <w:tcPr>
            <w:tcW w:w="4675" w:type="dxa"/>
            <w:vAlign w:val="bottom"/>
          </w:tcPr>
          <w:p w14:paraId="423337F0" w14:textId="77777777" w:rsidR="001E2F9C" w:rsidRDefault="001E2F9C" w:rsidP="001515D5">
            <w:r>
              <w:rPr>
                <w:color w:val="000000"/>
              </w:rPr>
              <w:t>7.4-8.9</w:t>
            </w:r>
          </w:p>
        </w:tc>
      </w:tr>
      <w:tr w:rsidR="001E2F9C" w14:paraId="01A8AE15" w14:textId="77777777" w:rsidTr="001515D5">
        <w:tc>
          <w:tcPr>
            <w:tcW w:w="4675" w:type="dxa"/>
            <w:vAlign w:val="bottom"/>
          </w:tcPr>
          <w:p w14:paraId="0BC3CFB0" w14:textId="77777777" w:rsidR="001E2F9C" w:rsidRDefault="001E2F9C" w:rsidP="001515D5">
            <w:r>
              <w:rPr>
                <w:color w:val="000000"/>
              </w:rPr>
              <w:t>Jasper</w:t>
            </w:r>
          </w:p>
        </w:tc>
        <w:tc>
          <w:tcPr>
            <w:tcW w:w="4675" w:type="dxa"/>
            <w:vAlign w:val="bottom"/>
          </w:tcPr>
          <w:p w14:paraId="72033F84" w14:textId="77777777" w:rsidR="001E2F9C" w:rsidRDefault="001E2F9C" w:rsidP="001515D5">
            <w:r>
              <w:rPr>
                <w:color w:val="000000"/>
              </w:rPr>
              <w:t>9.0-13.0</w:t>
            </w:r>
          </w:p>
        </w:tc>
      </w:tr>
      <w:tr w:rsidR="001E2F9C" w14:paraId="16C816C2" w14:textId="77777777" w:rsidTr="001515D5">
        <w:tc>
          <w:tcPr>
            <w:tcW w:w="4675" w:type="dxa"/>
            <w:vAlign w:val="bottom"/>
          </w:tcPr>
          <w:p w14:paraId="3F2B0A29" w14:textId="77777777" w:rsidR="001E2F9C" w:rsidRDefault="001E2F9C" w:rsidP="001515D5">
            <w:r>
              <w:rPr>
                <w:color w:val="000000"/>
              </w:rPr>
              <w:t>Kershaw</w:t>
            </w:r>
          </w:p>
        </w:tc>
        <w:tc>
          <w:tcPr>
            <w:tcW w:w="4675" w:type="dxa"/>
            <w:vAlign w:val="bottom"/>
          </w:tcPr>
          <w:p w14:paraId="71319904" w14:textId="77777777" w:rsidR="001E2F9C" w:rsidRDefault="001E2F9C" w:rsidP="001515D5">
            <w:r>
              <w:rPr>
                <w:color w:val="000000"/>
              </w:rPr>
              <w:t>7.4-8.9</w:t>
            </w:r>
          </w:p>
        </w:tc>
      </w:tr>
      <w:tr w:rsidR="001E2F9C" w14:paraId="64E97432" w14:textId="77777777" w:rsidTr="001515D5">
        <w:tc>
          <w:tcPr>
            <w:tcW w:w="4675" w:type="dxa"/>
            <w:vAlign w:val="bottom"/>
          </w:tcPr>
          <w:p w14:paraId="151DBDF6" w14:textId="77777777" w:rsidR="001E2F9C" w:rsidRDefault="001E2F9C" w:rsidP="001515D5">
            <w:r>
              <w:rPr>
                <w:color w:val="000000"/>
              </w:rPr>
              <w:t>Lancaster</w:t>
            </w:r>
          </w:p>
        </w:tc>
        <w:tc>
          <w:tcPr>
            <w:tcW w:w="4675" w:type="dxa"/>
            <w:vAlign w:val="bottom"/>
          </w:tcPr>
          <w:p w14:paraId="310D43A9" w14:textId="77777777" w:rsidR="001E2F9C" w:rsidRDefault="001E2F9C" w:rsidP="001515D5">
            <w:r>
              <w:rPr>
                <w:color w:val="000000"/>
              </w:rPr>
              <w:t>2.4-7.3</w:t>
            </w:r>
          </w:p>
        </w:tc>
      </w:tr>
      <w:tr w:rsidR="001E2F9C" w14:paraId="49B4A574" w14:textId="77777777" w:rsidTr="001515D5">
        <w:tc>
          <w:tcPr>
            <w:tcW w:w="4675" w:type="dxa"/>
            <w:vAlign w:val="bottom"/>
          </w:tcPr>
          <w:p w14:paraId="6B1B9F24" w14:textId="77777777" w:rsidR="001E2F9C" w:rsidRDefault="001E2F9C" w:rsidP="001515D5">
            <w:r>
              <w:rPr>
                <w:color w:val="000000"/>
              </w:rPr>
              <w:t>Laurens</w:t>
            </w:r>
          </w:p>
        </w:tc>
        <w:tc>
          <w:tcPr>
            <w:tcW w:w="4675" w:type="dxa"/>
            <w:vAlign w:val="bottom"/>
          </w:tcPr>
          <w:p w14:paraId="1DB52762" w14:textId="77777777" w:rsidR="001E2F9C" w:rsidRDefault="001E2F9C" w:rsidP="001515D5">
            <w:r>
              <w:rPr>
                <w:color w:val="000000"/>
              </w:rPr>
              <w:t>9.0-13.0</w:t>
            </w:r>
          </w:p>
        </w:tc>
      </w:tr>
      <w:tr w:rsidR="001E2F9C" w14:paraId="65316140" w14:textId="77777777" w:rsidTr="001515D5">
        <w:tc>
          <w:tcPr>
            <w:tcW w:w="4675" w:type="dxa"/>
            <w:vAlign w:val="bottom"/>
          </w:tcPr>
          <w:p w14:paraId="323C3E97" w14:textId="77777777" w:rsidR="001E2F9C" w:rsidRDefault="001E2F9C" w:rsidP="001515D5">
            <w:r>
              <w:rPr>
                <w:color w:val="000000"/>
              </w:rPr>
              <w:t>Lee</w:t>
            </w:r>
          </w:p>
        </w:tc>
        <w:tc>
          <w:tcPr>
            <w:tcW w:w="4675" w:type="dxa"/>
            <w:vAlign w:val="bottom"/>
          </w:tcPr>
          <w:p w14:paraId="4C39EC77" w14:textId="77777777" w:rsidR="001E2F9C" w:rsidRDefault="001E2F9C" w:rsidP="001515D5">
            <w:r>
              <w:rPr>
                <w:color w:val="000000"/>
              </w:rPr>
              <w:t>13.1-22.3</w:t>
            </w:r>
          </w:p>
        </w:tc>
      </w:tr>
      <w:tr w:rsidR="001E2F9C" w14:paraId="53935863" w14:textId="77777777" w:rsidTr="001515D5">
        <w:tc>
          <w:tcPr>
            <w:tcW w:w="4675" w:type="dxa"/>
            <w:vAlign w:val="bottom"/>
          </w:tcPr>
          <w:p w14:paraId="326CD427" w14:textId="77777777" w:rsidR="001E2F9C" w:rsidRDefault="001E2F9C" w:rsidP="001515D5">
            <w:r>
              <w:rPr>
                <w:color w:val="000000"/>
              </w:rPr>
              <w:lastRenderedPageBreak/>
              <w:t>Lexington</w:t>
            </w:r>
          </w:p>
        </w:tc>
        <w:tc>
          <w:tcPr>
            <w:tcW w:w="4675" w:type="dxa"/>
            <w:vAlign w:val="bottom"/>
          </w:tcPr>
          <w:p w14:paraId="1413B855" w14:textId="77777777" w:rsidR="001E2F9C" w:rsidRDefault="001E2F9C" w:rsidP="001515D5">
            <w:r>
              <w:rPr>
                <w:color w:val="000000"/>
              </w:rPr>
              <w:t>9.0-13.0</w:t>
            </w:r>
          </w:p>
        </w:tc>
      </w:tr>
      <w:tr w:rsidR="001E2F9C" w14:paraId="3160C8C5" w14:textId="77777777" w:rsidTr="001515D5">
        <w:tc>
          <w:tcPr>
            <w:tcW w:w="4675" w:type="dxa"/>
            <w:vAlign w:val="bottom"/>
          </w:tcPr>
          <w:p w14:paraId="56B2C10E" w14:textId="77777777" w:rsidR="001E2F9C" w:rsidRDefault="001E2F9C" w:rsidP="001515D5">
            <w:r>
              <w:rPr>
                <w:color w:val="000000"/>
              </w:rPr>
              <w:t>Marion</w:t>
            </w:r>
          </w:p>
        </w:tc>
        <w:tc>
          <w:tcPr>
            <w:tcW w:w="4675" w:type="dxa"/>
            <w:vAlign w:val="bottom"/>
          </w:tcPr>
          <w:p w14:paraId="22A50FED" w14:textId="77777777" w:rsidR="001E2F9C" w:rsidRDefault="001E2F9C" w:rsidP="001515D5">
            <w:r>
              <w:rPr>
                <w:color w:val="000000"/>
              </w:rPr>
              <w:t>13.1-22.3</w:t>
            </w:r>
          </w:p>
        </w:tc>
      </w:tr>
      <w:tr w:rsidR="001E2F9C" w14:paraId="7E9EAA2F" w14:textId="77777777" w:rsidTr="001515D5">
        <w:tc>
          <w:tcPr>
            <w:tcW w:w="4675" w:type="dxa"/>
            <w:vAlign w:val="bottom"/>
          </w:tcPr>
          <w:p w14:paraId="690306F4" w14:textId="77777777" w:rsidR="001E2F9C" w:rsidRDefault="001E2F9C" w:rsidP="001515D5">
            <w:r>
              <w:rPr>
                <w:color w:val="000000"/>
              </w:rPr>
              <w:t>Marlboro</w:t>
            </w:r>
          </w:p>
        </w:tc>
        <w:tc>
          <w:tcPr>
            <w:tcW w:w="4675" w:type="dxa"/>
            <w:vAlign w:val="bottom"/>
          </w:tcPr>
          <w:p w14:paraId="342EB33B" w14:textId="77777777" w:rsidR="001E2F9C" w:rsidRDefault="001E2F9C" w:rsidP="001515D5">
            <w:r>
              <w:rPr>
                <w:color w:val="000000"/>
              </w:rPr>
              <w:t>13.1-22.3</w:t>
            </w:r>
          </w:p>
        </w:tc>
      </w:tr>
      <w:tr w:rsidR="001E2F9C" w14:paraId="0CE49EDA" w14:textId="77777777" w:rsidTr="001515D5">
        <w:tc>
          <w:tcPr>
            <w:tcW w:w="4675" w:type="dxa"/>
            <w:vAlign w:val="bottom"/>
          </w:tcPr>
          <w:p w14:paraId="27F3BF6B" w14:textId="77777777" w:rsidR="001E2F9C" w:rsidRDefault="001E2F9C" w:rsidP="001515D5">
            <w:r>
              <w:rPr>
                <w:color w:val="000000"/>
              </w:rPr>
              <w:t>McCormick</w:t>
            </w:r>
          </w:p>
        </w:tc>
        <w:tc>
          <w:tcPr>
            <w:tcW w:w="4675" w:type="dxa"/>
            <w:vAlign w:val="bottom"/>
          </w:tcPr>
          <w:p w14:paraId="4D032664" w14:textId="77777777" w:rsidR="001E2F9C" w:rsidRDefault="001E2F9C" w:rsidP="001515D5">
            <w:r>
              <w:rPr>
                <w:color w:val="000000"/>
              </w:rPr>
              <w:t>22.4-40.9</w:t>
            </w:r>
          </w:p>
        </w:tc>
      </w:tr>
      <w:tr w:rsidR="001E2F9C" w14:paraId="202CCA0C" w14:textId="77777777" w:rsidTr="001515D5">
        <w:tc>
          <w:tcPr>
            <w:tcW w:w="4675" w:type="dxa"/>
            <w:vAlign w:val="bottom"/>
          </w:tcPr>
          <w:p w14:paraId="39AEC07A" w14:textId="77777777" w:rsidR="001E2F9C" w:rsidRDefault="001E2F9C" w:rsidP="001515D5">
            <w:r>
              <w:rPr>
                <w:color w:val="000000"/>
              </w:rPr>
              <w:t>Newberry</w:t>
            </w:r>
          </w:p>
        </w:tc>
        <w:tc>
          <w:tcPr>
            <w:tcW w:w="4675" w:type="dxa"/>
            <w:vAlign w:val="bottom"/>
          </w:tcPr>
          <w:p w14:paraId="001AD367" w14:textId="77777777" w:rsidR="001E2F9C" w:rsidRDefault="001E2F9C" w:rsidP="001515D5">
            <w:r>
              <w:rPr>
                <w:color w:val="000000"/>
              </w:rPr>
              <w:t>7.4-8.9</w:t>
            </w:r>
          </w:p>
        </w:tc>
      </w:tr>
      <w:tr w:rsidR="001E2F9C" w14:paraId="21479CBA" w14:textId="77777777" w:rsidTr="001515D5">
        <w:tc>
          <w:tcPr>
            <w:tcW w:w="4675" w:type="dxa"/>
            <w:vAlign w:val="bottom"/>
          </w:tcPr>
          <w:p w14:paraId="714FE79A" w14:textId="77777777" w:rsidR="001E2F9C" w:rsidRDefault="001E2F9C" w:rsidP="001515D5">
            <w:r>
              <w:rPr>
                <w:color w:val="000000"/>
              </w:rPr>
              <w:t>Oconee</w:t>
            </w:r>
          </w:p>
        </w:tc>
        <w:tc>
          <w:tcPr>
            <w:tcW w:w="4675" w:type="dxa"/>
            <w:vAlign w:val="bottom"/>
          </w:tcPr>
          <w:p w14:paraId="217504D8" w14:textId="77777777" w:rsidR="001E2F9C" w:rsidRDefault="001E2F9C" w:rsidP="001515D5">
            <w:r>
              <w:rPr>
                <w:color w:val="000000"/>
              </w:rPr>
              <w:t>7.4-8.9</w:t>
            </w:r>
          </w:p>
        </w:tc>
      </w:tr>
      <w:tr w:rsidR="001E2F9C" w14:paraId="064D26F9" w14:textId="77777777" w:rsidTr="001515D5">
        <w:tc>
          <w:tcPr>
            <w:tcW w:w="4675" w:type="dxa"/>
            <w:vAlign w:val="bottom"/>
          </w:tcPr>
          <w:p w14:paraId="53543F45" w14:textId="77777777" w:rsidR="001E2F9C" w:rsidRDefault="001E2F9C" w:rsidP="001515D5">
            <w:r>
              <w:rPr>
                <w:color w:val="000000"/>
              </w:rPr>
              <w:t>Orangeburg</w:t>
            </w:r>
          </w:p>
        </w:tc>
        <w:tc>
          <w:tcPr>
            <w:tcW w:w="4675" w:type="dxa"/>
            <w:vAlign w:val="bottom"/>
          </w:tcPr>
          <w:p w14:paraId="620C20A4" w14:textId="77777777" w:rsidR="001E2F9C" w:rsidRDefault="001E2F9C" w:rsidP="001515D5">
            <w:r>
              <w:rPr>
                <w:color w:val="000000"/>
              </w:rPr>
              <w:t>13.1-22.3</w:t>
            </w:r>
          </w:p>
        </w:tc>
      </w:tr>
      <w:tr w:rsidR="001E2F9C" w14:paraId="2001EBD6" w14:textId="77777777" w:rsidTr="001515D5">
        <w:tc>
          <w:tcPr>
            <w:tcW w:w="4675" w:type="dxa"/>
            <w:vAlign w:val="bottom"/>
          </w:tcPr>
          <w:p w14:paraId="58DCC771" w14:textId="77777777" w:rsidR="001E2F9C" w:rsidRDefault="001E2F9C" w:rsidP="001515D5">
            <w:r>
              <w:rPr>
                <w:color w:val="000000"/>
              </w:rPr>
              <w:t>Pickens</w:t>
            </w:r>
          </w:p>
        </w:tc>
        <w:tc>
          <w:tcPr>
            <w:tcW w:w="4675" w:type="dxa"/>
            <w:vAlign w:val="bottom"/>
          </w:tcPr>
          <w:p w14:paraId="28DC219A" w14:textId="77777777" w:rsidR="001E2F9C" w:rsidRDefault="001E2F9C" w:rsidP="001515D5">
            <w:r>
              <w:rPr>
                <w:color w:val="000000"/>
              </w:rPr>
              <w:t>13.1-22.3</w:t>
            </w:r>
          </w:p>
        </w:tc>
      </w:tr>
      <w:tr w:rsidR="001E2F9C" w14:paraId="137B3C5E" w14:textId="77777777" w:rsidTr="001515D5">
        <w:tc>
          <w:tcPr>
            <w:tcW w:w="4675" w:type="dxa"/>
            <w:vAlign w:val="bottom"/>
          </w:tcPr>
          <w:p w14:paraId="04C130E2" w14:textId="77777777" w:rsidR="001E2F9C" w:rsidRDefault="001E2F9C" w:rsidP="001515D5">
            <w:r>
              <w:rPr>
                <w:color w:val="000000"/>
              </w:rPr>
              <w:t>Richland</w:t>
            </w:r>
          </w:p>
        </w:tc>
        <w:tc>
          <w:tcPr>
            <w:tcW w:w="4675" w:type="dxa"/>
            <w:vAlign w:val="bottom"/>
          </w:tcPr>
          <w:p w14:paraId="027D142A" w14:textId="77777777" w:rsidR="001E2F9C" w:rsidRDefault="001E2F9C" w:rsidP="001515D5">
            <w:r>
              <w:rPr>
                <w:color w:val="000000"/>
              </w:rPr>
              <w:t>7.4-8.9</w:t>
            </w:r>
          </w:p>
        </w:tc>
      </w:tr>
      <w:tr w:rsidR="001E2F9C" w14:paraId="3FC84069" w14:textId="77777777" w:rsidTr="001515D5">
        <w:tc>
          <w:tcPr>
            <w:tcW w:w="4675" w:type="dxa"/>
            <w:vAlign w:val="bottom"/>
          </w:tcPr>
          <w:p w14:paraId="79C7A2F6" w14:textId="77777777" w:rsidR="001E2F9C" w:rsidRDefault="001E2F9C" w:rsidP="001515D5">
            <w:r>
              <w:rPr>
                <w:color w:val="000000"/>
              </w:rPr>
              <w:t>Saluda</w:t>
            </w:r>
          </w:p>
        </w:tc>
        <w:tc>
          <w:tcPr>
            <w:tcW w:w="4675" w:type="dxa"/>
            <w:vAlign w:val="bottom"/>
          </w:tcPr>
          <w:p w14:paraId="7AC3ACC7" w14:textId="77777777" w:rsidR="001E2F9C" w:rsidRDefault="001E2F9C" w:rsidP="001515D5">
            <w:r>
              <w:rPr>
                <w:color w:val="000000"/>
              </w:rPr>
              <w:t>22.4-40.9</w:t>
            </w:r>
          </w:p>
        </w:tc>
      </w:tr>
      <w:tr w:rsidR="001E2F9C" w14:paraId="3B527FDA" w14:textId="77777777" w:rsidTr="001515D5">
        <w:tc>
          <w:tcPr>
            <w:tcW w:w="4675" w:type="dxa"/>
            <w:vAlign w:val="bottom"/>
          </w:tcPr>
          <w:p w14:paraId="005BC833" w14:textId="77777777" w:rsidR="001E2F9C" w:rsidRDefault="001E2F9C" w:rsidP="001515D5">
            <w:r>
              <w:rPr>
                <w:color w:val="000000"/>
              </w:rPr>
              <w:t>Spartanburg</w:t>
            </w:r>
          </w:p>
        </w:tc>
        <w:tc>
          <w:tcPr>
            <w:tcW w:w="4675" w:type="dxa"/>
            <w:vAlign w:val="bottom"/>
          </w:tcPr>
          <w:p w14:paraId="5C1C0E03" w14:textId="77777777" w:rsidR="001E2F9C" w:rsidRDefault="001E2F9C" w:rsidP="001515D5">
            <w:r>
              <w:rPr>
                <w:color w:val="000000"/>
              </w:rPr>
              <w:t>9.0-13.0</w:t>
            </w:r>
          </w:p>
        </w:tc>
      </w:tr>
      <w:tr w:rsidR="001E2F9C" w14:paraId="3C1D7386" w14:textId="77777777" w:rsidTr="001515D5">
        <w:tc>
          <w:tcPr>
            <w:tcW w:w="4675" w:type="dxa"/>
            <w:vAlign w:val="bottom"/>
          </w:tcPr>
          <w:p w14:paraId="66FFB299" w14:textId="77777777" w:rsidR="001E2F9C" w:rsidRDefault="001E2F9C" w:rsidP="001515D5">
            <w:r>
              <w:rPr>
                <w:color w:val="000000"/>
              </w:rPr>
              <w:t>Sumter</w:t>
            </w:r>
          </w:p>
        </w:tc>
        <w:tc>
          <w:tcPr>
            <w:tcW w:w="4675" w:type="dxa"/>
            <w:vAlign w:val="bottom"/>
          </w:tcPr>
          <w:p w14:paraId="7A7380B4" w14:textId="77777777" w:rsidR="001E2F9C" w:rsidRDefault="001E2F9C" w:rsidP="001515D5">
            <w:r>
              <w:rPr>
                <w:color w:val="000000"/>
              </w:rPr>
              <w:t>2.4-7.3</w:t>
            </w:r>
          </w:p>
        </w:tc>
      </w:tr>
      <w:tr w:rsidR="001E2F9C" w14:paraId="56E1FB25" w14:textId="77777777" w:rsidTr="001515D5">
        <w:tc>
          <w:tcPr>
            <w:tcW w:w="4675" w:type="dxa"/>
            <w:vAlign w:val="bottom"/>
          </w:tcPr>
          <w:p w14:paraId="50E5B85E" w14:textId="77777777" w:rsidR="001E2F9C" w:rsidRDefault="001E2F9C" w:rsidP="001515D5">
            <w:r>
              <w:rPr>
                <w:color w:val="000000"/>
              </w:rPr>
              <w:t>Union</w:t>
            </w:r>
          </w:p>
        </w:tc>
        <w:tc>
          <w:tcPr>
            <w:tcW w:w="4675" w:type="dxa"/>
            <w:vAlign w:val="bottom"/>
          </w:tcPr>
          <w:p w14:paraId="17DEBC14" w14:textId="77777777" w:rsidR="001E2F9C" w:rsidRDefault="001E2F9C" w:rsidP="001515D5">
            <w:r>
              <w:rPr>
                <w:color w:val="000000"/>
              </w:rPr>
              <w:t>22.4-40.9</w:t>
            </w:r>
          </w:p>
        </w:tc>
      </w:tr>
      <w:tr w:rsidR="001E2F9C" w14:paraId="57E69B94" w14:textId="77777777" w:rsidTr="001515D5">
        <w:tc>
          <w:tcPr>
            <w:tcW w:w="4675" w:type="dxa"/>
            <w:vAlign w:val="bottom"/>
          </w:tcPr>
          <w:p w14:paraId="366C96E7" w14:textId="77777777" w:rsidR="001E2F9C" w:rsidRDefault="001E2F9C" w:rsidP="001515D5">
            <w:r>
              <w:rPr>
                <w:color w:val="000000"/>
              </w:rPr>
              <w:t>Williamsburg</w:t>
            </w:r>
          </w:p>
        </w:tc>
        <w:tc>
          <w:tcPr>
            <w:tcW w:w="4675" w:type="dxa"/>
            <w:vAlign w:val="bottom"/>
          </w:tcPr>
          <w:p w14:paraId="7EE5FB4C" w14:textId="77777777" w:rsidR="001E2F9C" w:rsidRDefault="001E2F9C" w:rsidP="001515D5">
            <w:r>
              <w:rPr>
                <w:color w:val="000000"/>
              </w:rPr>
              <w:t>22.4-40.9</w:t>
            </w:r>
          </w:p>
        </w:tc>
      </w:tr>
      <w:tr w:rsidR="001E2F9C" w14:paraId="73B14162" w14:textId="77777777" w:rsidTr="001515D5">
        <w:tc>
          <w:tcPr>
            <w:tcW w:w="4675" w:type="dxa"/>
            <w:vAlign w:val="bottom"/>
          </w:tcPr>
          <w:p w14:paraId="44EB581A" w14:textId="77777777" w:rsidR="001E2F9C" w:rsidRDefault="001E2F9C" w:rsidP="001515D5">
            <w:r>
              <w:rPr>
                <w:color w:val="000000"/>
              </w:rPr>
              <w:t>York</w:t>
            </w:r>
          </w:p>
        </w:tc>
        <w:tc>
          <w:tcPr>
            <w:tcW w:w="4675" w:type="dxa"/>
            <w:vAlign w:val="bottom"/>
          </w:tcPr>
          <w:p w14:paraId="139FC766" w14:textId="77777777" w:rsidR="001E2F9C" w:rsidRDefault="001E2F9C" w:rsidP="001515D5">
            <w:r>
              <w:rPr>
                <w:color w:val="000000"/>
              </w:rPr>
              <w:t>9.0-13.0</w:t>
            </w:r>
          </w:p>
        </w:tc>
      </w:tr>
    </w:tbl>
    <w:p w14:paraId="722648AE" w14:textId="77777777" w:rsidR="001E2F9C" w:rsidRDefault="001E2F9C" w:rsidP="001E2F9C">
      <w:r>
        <w:t>Source: March of Dimes, 2023.</w:t>
      </w:r>
    </w:p>
    <w:p w14:paraId="79C86641" w14:textId="77777777" w:rsidR="00722CE9" w:rsidRDefault="00722CE9" w:rsidP="00722CE9"/>
    <w:p w14:paraId="7104585F" w14:textId="49600D23" w:rsidR="00722CE9" w:rsidRPr="00722CE9" w:rsidRDefault="00722CE9" w:rsidP="00722CE9">
      <w:r w:rsidRPr="00722CE9">
        <w:t>Discrimination was recognized as the top contributing factor in more than half of pregnancy-related deaths reviewed by the SC Maternal Morbidity and Mortality Review Committee (MMMRC). Structural racism and implicit bias in the healthcare system prevent many from obtaining fair and just opportunities for optimal maternal care. Structural racism refers to racial discrimination that is promoted in society through systems such as housing, education, media, employment, and health care. Implicit bias is the unconscious thoughts and feelings that affect human understanding, actions, and decisions unknowingly. Both affect healthcare providers’ perceptions and decisions, lead to inequalities in care, and correlate with lower quality of care. For example, non-Hispanic Black and Hispanic women have higher prevalence of pre-pregnancy chronic health conditions, higher cesarean deliveries, and lower rates of epidural analgesia for pain compared to non-Hispanic White women</w:t>
      </w:r>
      <w:r>
        <w:t>.</w:t>
      </w:r>
      <w:r w:rsidRPr="00722CE9">
        <w:t xml:space="preserve"> These inequalities in care lead to more negative health outcomes for both the mother and baby. </w:t>
      </w:r>
    </w:p>
    <w:p w14:paraId="0C171A60" w14:textId="77777777" w:rsidR="00722CE9" w:rsidRDefault="00722CE9" w:rsidP="00722CE9"/>
    <w:p w14:paraId="30CAE273" w14:textId="04E4DD65" w:rsidR="00722CE9" w:rsidRPr="00722CE9" w:rsidRDefault="00722CE9" w:rsidP="00722CE9">
      <w:r w:rsidRPr="00722CE9">
        <w:t xml:space="preserve">The number-one priority recommended by the SC MMMRC in 2019 to prevent pregnancy-related deaths was health care access. To improve health care access, SC passed laws to permanently provide Medicaid telehealth coverage and reimbursement for maternity care services. However, more can be done at the community level with integrating respectful and culturally concordant care from </w:t>
      </w:r>
      <w:r w:rsidRPr="00722CE9">
        <w:lastRenderedPageBreak/>
        <w:t>midwives and from reimbursing doula care,</w:t>
      </w:r>
      <w:r>
        <w:rPr>
          <w:b/>
          <w:bCs/>
        </w:rPr>
        <w:t xml:space="preserve"> </w:t>
      </w:r>
      <w:r w:rsidRPr="00722CE9">
        <w:t>and in healthcare settings with training of providers in cultural humility.</w:t>
      </w:r>
    </w:p>
    <w:p w14:paraId="3308D660" w14:textId="77777777" w:rsidR="00722CE9" w:rsidRDefault="00722CE9"/>
    <w:p w14:paraId="51DF81F6" w14:textId="44443C43" w:rsidR="00722CE9" w:rsidRPr="00270B2E" w:rsidRDefault="00722CE9" w:rsidP="00722CE9">
      <w:pPr>
        <w:rPr>
          <w:rStyle w:val="Heading4Char"/>
          <w:rFonts w:asciiTheme="minorHAnsi" w:hAnsiTheme="minorHAnsi" w:cstheme="minorHAnsi"/>
          <w:color w:val="000000" w:themeColor="text1"/>
        </w:rPr>
      </w:pPr>
      <w:bookmarkStart w:id="125" w:name="_Toc162267071"/>
      <w:r w:rsidRPr="00270B2E">
        <w:rPr>
          <w:rStyle w:val="Heading4Char"/>
          <w:rFonts w:asciiTheme="minorHAnsi" w:hAnsiTheme="minorHAnsi" w:cstheme="minorHAnsi"/>
          <w:color w:val="000000" w:themeColor="text1"/>
        </w:rPr>
        <w:t>References 5.6</w:t>
      </w:r>
      <w:bookmarkEnd w:id="125"/>
    </w:p>
    <w:p w14:paraId="3DBE8ACC" w14:textId="587D62CE" w:rsidR="00722CE9" w:rsidRDefault="00722CE9">
      <w:r w:rsidRPr="00722CE9">
        <w:t xml:space="preserve">Statistics in </w:t>
      </w:r>
      <w:r w:rsidR="00926EB3">
        <w:t>the</w:t>
      </w:r>
      <w:r w:rsidRPr="00722CE9">
        <w:t xml:space="preserve"> preceding </w:t>
      </w:r>
      <w:r w:rsidR="00926EB3">
        <w:t>section</w:t>
      </w:r>
      <w:r w:rsidRPr="00722CE9">
        <w:t xml:space="preserve"> were referenced from the following reports:</w:t>
      </w:r>
    </w:p>
    <w:p w14:paraId="619551EA" w14:textId="7FAF4D3F" w:rsidR="00722CE9" w:rsidRPr="00722CE9" w:rsidRDefault="00000000" w:rsidP="00926EB3">
      <w:pPr>
        <w:pStyle w:val="ListParagraph"/>
        <w:numPr>
          <w:ilvl w:val="0"/>
          <w:numId w:val="231"/>
        </w:numPr>
      </w:pPr>
      <w:hyperlink r:id="rId39" w:history="1">
        <w:r w:rsidR="00722CE9" w:rsidRPr="00722CE9">
          <w:rPr>
            <w:rStyle w:val="Hyperlink"/>
          </w:rPr>
          <w:t>“Pregnancy Mortality Surveillance System” by the Centers for Disease Control and Prevention, 2023.</w:t>
        </w:r>
      </w:hyperlink>
      <w:r w:rsidR="00722CE9" w:rsidRPr="00722CE9">
        <w:t xml:space="preserve"> </w:t>
      </w:r>
    </w:p>
    <w:p w14:paraId="4D832DFA" w14:textId="77777777" w:rsidR="00722CE9" w:rsidRPr="00722CE9" w:rsidRDefault="00000000" w:rsidP="00926EB3">
      <w:pPr>
        <w:pStyle w:val="ListParagraph"/>
        <w:numPr>
          <w:ilvl w:val="0"/>
          <w:numId w:val="231"/>
        </w:numPr>
        <w:rPr>
          <w:u w:val="thick"/>
        </w:rPr>
      </w:pPr>
      <w:hyperlink r:id="rId40" w:history="1">
        <w:r w:rsidR="00722CE9" w:rsidRPr="00722CE9">
          <w:rPr>
            <w:rStyle w:val="Hyperlink"/>
          </w:rPr>
          <w:t>“South Carolina maternal morbidity and Mortality Review Committee” by SC DHEC, 2023.</w:t>
        </w:r>
      </w:hyperlink>
      <w:r w:rsidR="00722CE9" w:rsidRPr="00722CE9">
        <w:t xml:space="preserve"> </w:t>
      </w:r>
    </w:p>
    <w:p w14:paraId="7125C1BA" w14:textId="1165E5BA" w:rsidR="00722CE9" w:rsidRDefault="00000000" w:rsidP="00926EB3">
      <w:pPr>
        <w:pStyle w:val="ListParagraph"/>
        <w:numPr>
          <w:ilvl w:val="0"/>
          <w:numId w:val="231"/>
        </w:numPr>
        <w:rPr>
          <w:u w:val="thick"/>
        </w:rPr>
      </w:pPr>
      <w:hyperlink r:id="rId41" w:history="1">
        <w:r w:rsidR="00722CE9" w:rsidRPr="00722CE9">
          <w:rPr>
            <w:rStyle w:val="Hyperlink"/>
          </w:rPr>
          <w:t xml:space="preserve">“Where You Live Matters: Maternity Care Deserts and the Crisis of Access and Equity in South Carolina” by Fontenot, J., Lucas, R., </w:t>
        </w:r>
        <w:proofErr w:type="spellStart"/>
        <w:r w:rsidR="00722CE9" w:rsidRPr="00722CE9">
          <w:rPr>
            <w:rStyle w:val="Hyperlink"/>
          </w:rPr>
          <w:t>Stoneburner</w:t>
        </w:r>
        <w:proofErr w:type="spellEnd"/>
        <w:r w:rsidR="00722CE9" w:rsidRPr="00722CE9">
          <w:rPr>
            <w:rStyle w:val="Hyperlink"/>
          </w:rPr>
          <w:t>, A., Brigance, C., Hubbard, K., Jones, E., Mishkin, K. Published by March of Dimes, 2023.</w:t>
        </w:r>
      </w:hyperlink>
      <w:r w:rsidR="00722CE9" w:rsidRPr="00722CE9">
        <w:t xml:space="preserve"> </w:t>
      </w:r>
    </w:p>
    <w:p w14:paraId="649B86D7" w14:textId="327F432E" w:rsidR="00722CE9" w:rsidRDefault="00000000" w:rsidP="00926EB3">
      <w:pPr>
        <w:pStyle w:val="ListParagraph"/>
        <w:numPr>
          <w:ilvl w:val="0"/>
          <w:numId w:val="231"/>
        </w:numPr>
        <w:rPr>
          <w:u w:val="thick"/>
        </w:rPr>
      </w:pPr>
      <w:hyperlink r:id="rId42" w:history="1">
        <w:r w:rsidR="00722CE9" w:rsidRPr="00722CE9">
          <w:rPr>
            <w:rStyle w:val="Hyperlink"/>
          </w:rPr>
          <w:t>“How Implicit Bias Contributes to Racial Disparities in Maternal Morbidity and Mortality in the United States” by </w:t>
        </w:r>
        <w:proofErr w:type="spellStart"/>
        <w:r w:rsidR="00722CE9" w:rsidRPr="00722CE9">
          <w:rPr>
            <w:rStyle w:val="Hyperlink"/>
          </w:rPr>
          <w:t>Saluja</w:t>
        </w:r>
        <w:proofErr w:type="spellEnd"/>
        <w:r w:rsidR="00722CE9" w:rsidRPr="00722CE9">
          <w:rPr>
            <w:rStyle w:val="Hyperlink"/>
          </w:rPr>
          <w:t>, B., &amp; Bryant, Z. Published by the Journal of Women's Health 2002, 2021.</w:t>
        </w:r>
      </w:hyperlink>
      <w:r w:rsidR="00722CE9" w:rsidRPr="00722CE9">
        <w:t xml:space="preserve"> </w:t>
      </w:r>
    </w:p>
    <w:p w14:paraId="244D1E7D" w14:textId="18D636F7" w:rsidR="00722CE9" w:rsidRPr="00722CE9" w:rsidRDefault="00000000" w:rsidP="00926EB3">
      <w:pPr>
        <w:pStyle w:val="ListParagraph"/>
        <w:numPr>
          <w:ilvl w:val="0"/>
          <w:numId w:val="231"/>
        </w:numPr>
        <w:rPr>
          <w:u w:val="thick"/>
        </w:rPr>
      </w:pPr>
      <w:hyperlink r:id="rId43" w:history="1">
        <w:r w:rsidR="00722CE9" w:rsidRPr="00722CE9">
          <w:rPr>
            <w:rStyle w:val="Hyperlink"/>
          </w:rPr>
          <w:t>“Black and Hispanic Americans are at higher risk of hypertension, diabetes, obesity: Time to fix our broken food system” by Reeves, R.R., and Smith, F., 2020.</w:t>
        </w:r>
      </w:hyperlink>
      <w:r w:rsidR="00722CE9" w:rsidRPr="00722CE9">
        <w:t xml:space="preserve"> </w:t>
      </w:r>
    </w:p>
    <w:p w14:paraId="18B22251" w14:textId="77777777" w:rsidR="00722CE9" w:rsidRDefault="00722CE9"/>
    <w:p w14:paraId="1CD0D55D" w14:textId="77777777" w:rsidR="00722CE9" w:rsidRPr="00722CE9" w:rsidRDefault="00722CE9" w:rsidP="00722CE9">
      <w:pPr>
        <w:pStyle w:val="Heading4"/>
      </w:pPr>
      <w:bookmarkStart w:id="126" w:name="_Toc162267072"/>
      <w:r w:rsidRPr="00722CE9">
        <w:t>III. Infant Mortality</w:t>
      </w:r>
      <w:bookmarkEnd w:id="126"/>
      <w:r w:rsidRPr="00722CE9">
        <w:t xml:space="preserve"> </w:t>
      </w:r>
    </w:p>
    <w:p w14:paraId="1A320612" w14:textId="13ACFC1C" w:rsidR="00722CE9" w:rsidRPr="00722CE9" w:rsidRDefault="00722CE9" w:rsidP="00722CE9">
      <w:r w:rsidRPr="00722CE9">
        <w:t>Infant mortality refers to death of an infant before reaching the age of one year (&lt;365 days), and reflects the overall health of a population. SC ranks 11th in the US for the highest infant mortality rate. While the US infant mortality rate has been declining over the past several years, SC’s rate increased 12.3%, from 6.5 infant deaths per 1,000 live births in 2020 to 7.3 infant deaths per 1,000 live births in 2021 (</w:t>
      </w:r>
      <w:r w:rsidRPr="00722CE9">
        <w:rPr>
          <w:b/>
          <w:bCs/>
        </w:rPr>
        <w:t>Figure 5.7</w:t>
      </w:r>
      <w:r w:rsidRPr="00722CE9">
        <w:t>). The infant mortality rate in SC was consistently higher among births to non-Hispanic Black women over the past five years, representing an increase of almost 40% from 2017-2021, and was more than twice as high in 2021 than among births to non-Hispanic White women and Hispanic women (</w:t>
      </w:r>
      <w:r w:rsidRPr="00722CE9">
        <w:rPr>
          <w:b/>
          <w:bCs/>
        </w:rPr>
        <w:t>Figure 5.7</w:t>
      </w:r>
      <w:r w:rsidRPr="00722CE9">
        <w:t>).</w:t>
      </w:r>
    </w:p>
    <w:p w14:paraId="1DF9CC6E" w14:textId="77777777" w:rsidR="00722CE9" w:rsidRDefault="00722CE9" w:rsidP="00722CE9"/>
    <w:p w14:paraId="06BB1A13" w14:textId="77777777" w:rsidR="001E2F9C" w:rsidRDefault="001E2F9C" w:rsidP="001E2F9C">
      <w:pPr>
        <w:pStyle w:val="Heading4"/>
      </w:pPr>
      <w:bookmarkStart w:id="127" w:name="_Toc154569780"/>
      <w:bookmarkStart w:id="128" w:name="_Toc162267073"/>
      <w:r>
        <w:lastRenderedPageBreak/>
        <w:t>Figure 5.7:</w:t>
      </w:r>
      <w:r w:rsidRPr="00D50218">
        <w:t xml:space="preserve"> </w:t>
      </w:r>
      <w:r>
        <w:t>Trend in Infant Mortality, by Race and Hispanic Origin* of Mother, 2017-2021.</w:t>
      </w:r>
      <w:bookmarkEnd w:id="127"/>
      <w:bookmarkEnd w:id="128"/>
    </w:p>
    <w:p w14:paraId="5EB2B173" w14:textId="65F43DB3" w:rsidR="00637B75" w:rsidRPr="00637B75" w:rsidRDefault="00637B75" w:rsidP="00637B75">
      <w:pPr>
        <w:pStyle w:val="Heading5"/>
      </w:pPr>
      <w:r>
        <w:t>Rate per 1,000 live births.</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1E2F9C" w14:paraId="3A16CCD3" w14:textId="77777777" w:rsidTr="001515D5">
        <w:tc>
          <w:tcPr>
            <w:tcW w:w="1558" w:type="dxa"/>
            <w:vAlign w:val="bottom"/>
          </w:tcPr>
          <w:p w14:paraId="0EFBE86A" w14:textId="77777777" w:rsidR="001E2F9C" w:rsidRPr="00D50218" w:rsidRDefault="001E2F9C" w:rsidP="001515D5">
            <w:r>
              <w:t>Year</w:t>
            </w:r>
          </w:p>
        </w:tc>
        <w:tc>
          <w:tcPr>
            <w:tcW w:w="1558" w:type="dxa"/>
            <w:vAlign w:val="bottom"/>
          </w:tcPr>
          <w:p w14:paraId="710FE65F" w14:textId="77777777" w:rsidR="001E2F9C" w:rsidRPr="00D50218" w:rsidRDefault="001E2F9C" w:rsidP="001515D5">
            <w:r w:rsidRPr="00D50218">
              <w:t>Non-Hispanic White</w:t>
            </w:r>
          </w:p>
        </w:tc>
        <w:tc>
          <w:tcPr>
            <w:tcW w:w="1558" w:type="dxa"/>
            <w:vAlign w:val="bottom"/>
          </w:tcPr>
          <w:p w14:paraId="0A05CFBD" w14:textId="77777777" w:rsidR="001E2F9C" w:rsidRPr="00D50218" w:rsidRDefault="001E2F9C" w:rsidP="001515D5">
            <w:r w:rsidRPr="00D50218">
              <w:t>Non-Hispanic Black</w:t>
            </w:r>
          </w:p>
        </w:tc>
        <w:tc>
          <w:tcPr>
            <w:tcW w:w="1558" w:type="dxa"/>
            <w:vAlign w:val="bottom"/>
          </w:tcPr>
          <w:p w14:paraId="1BFF377D" w14:textId="77777777" w:rsidR="001E2F9C" w:rsidRPr="00D50218" w:rsidRDefault="001E2F9C" w:rsidP="001515D5">
            <w:r w:rsidRPr="00D50218">
              <w:t>Hispanic</w:t>
            </w:r>
          </w:p>
        </w:tc>
        <w:tc>
          <w:tcPr>
            <w:tcW w:w="1559" w:type="dxa"/>
            <w:vAlign w:val="bottom"/>
          </w:tcPr>
          <w:p w14:paraId="2900883C" w14:textId="77777777" w:rsidR="001E2F9C" w:rsidRPr="00D50218" w:rsidRDefault="001E2F9C" w:rsidP="001515D5">
            <w:r w:rsidRPr="00D50218">
              <w:t>Total</w:t>
            </w:r>
          </w:p>
        </w:tc>
        <w:tc>
          <w:tcPr>
            <w:tcW w:w="1559" w:type="dxa"/>
            <w:vAlign w:val="bottom"/>
          </w:tcPr>
          <w:p w14:paraId="147726C3" w14:textId="77777777" w:rsidR="001E2F9C" w:rsidRPr="00D50218" w:rsidRDefault="001E2F9C" w:rsidP="001515D5">
            <w:r w:rsidRPr="00D50218">
              <w:t>Grand Total</w:t>
            </w:r>
          </w:p>
        </w:tc>
      </w:tr>
      <w:tr w:rsidR="001E2F9C" w14:paraId="2EEC4D0F" w14:textId="77777777" w:rsidTr="001515D5">
        <w:tc>
          <w:tcPr>
            <w:tcW w:w="1558" w:type="dxa"/>
            <w:vAlign w:val="bottom"/>
          </w:tcPr>
          <w:p w14:paraId="17BC8728" w14:textId="77777777" w:rsidR="001E2F9C" w:rsidRPr="00D50218" w:rsidRDefault="001E2F9C" w:rsidP="001515D5">
            <w:r w:rsidRPr="00D50218">
              <w:t>2017</w:t>
            </w:r>
          </w:p>
        </w:tc>
        <w:tc>
          <w:tcPr>
            <w:tcW w:w="1558" w:type="dxa"/>
            <w:vAlign w:val="bottom"/>
          </w:tcPr>
          <w:p w14:paraId="3699CE77" w14:textId="77777777" w:rsidR="001E2F9C" w:rsidRPr="00D50218" w:rsidRDefault="001E2F9C" w:rsidP="001515D5">
            <w:r w:rsidRPr="00D50218">
              <w:t>5.1</w:t>
            </w:r>
          </w:p>
        </w:tc>
        <w:tc>
          <w:tcPr>
            <w:tcW w:w="1558" w:type="dxa"/>
            <w:vAlign w:val="bottom"/>
          </w:tcPr>
          <w:p w14:paraId="45928944" w14:textId="77777777" w:rsidR="001E2F9C" w:rsidRPr="00D50218" w:rsidRDefault="001E2F9C" w:rsidP="001515D5">
            <w:r w:rsidRPr="00D50218">
              <w:t>9.1</w:t>
            </w:r>
          </w:p>
        </w:tc>
        <w:tc>
          <w:tcPr>
            <w:tcW w:w="1558" w:type="dxa"/>
            <w:vAlign w:val="bottom"/>
          </w:tcPr>
          <w:p w14:paraId="21A8CDF9" w14:textId="77777777" w:rsidR="001E2F9C" w:rsidRPr="00D50218" w:rsidRDefault="001E2F9C" w:rsidP="001515D5">
            <w:r w:rsidRPr="00D50218">
              <w:t>6.5</w:t>
            </w:r>
          </w:p>
        </w:tc>
        <w:tc>
          <w:tcPr>
            <w:tcW w:w="1559" w:type="dxa"/>
            <w:vAlign w:val="bottom"/>
          </w:tcPr>
          <w:p w14:paraId="63F27BE2" w14:textId="77777777" w:rsidR="001E2F9C" w:rsidRPr="00D50218" w:rsidRDefault="001E2F9C" w:rsidP="001515D5">
            <w:r w:rsidRPr="00D50218">
              <w:t>6.5</w:t>
            </w:r>
          </w:p>
        </w:tc>
        <w:tc>
          <w:tcPr>
            <w:tcW w:w="1559" w:type="dxa"/>
            <w:vAlign w:val="bottom"/>
          </w:tcPr>
          <w:p w14:paraId="6887704E" w14:textId="77777777" w:rsidR="001E2F9C" w:rsidRPr="00D50218" w:rsidRDefault="001E2F9C" w:rsidP="001515D5">
            <w:r w:rsidRPr="00D50218">
              <w:t>27.2</w:t>
            </w:r>
          </w:p>
        </w:tc>
      </w:tr>
      <w:tr w:rsidR="001E2F9C" w14:paraId="48330EB8" w14:textId="77777777" w:rsidTr="001515D5">
        <w:tc>
          <w:tcPr>
            <w:tcW w:w="1558" w:type="dxa"/>
            <w:vAlign w:val="bottom"/>
          </w:tcPr>
          <w:p w14:paraId="3A55016E" w14:textId="77777777" w:rsidR="001E2F9C" w:rsidRPr="00D50218" w:rsidRDefault="001E2F9C" w:rsidP="001515D5">
            <w:r w:rsidRPr="00D50218">
              <w:t>2018</w:t>
            </w:r>
          </w:p>
        </w:tc>
        <w:tc>
          <w:tcPr>
            <w:tcW w:w="1558" w:type="dxa"/>
            <w:vAlign w:val="bottom"/>
          </w:tcPr>
          <w:p w14:paraId="6A24AFA7" w14:textId="77777777" w:rsidR="001E2F9C" w:rsidRPr="00D50218" w:rsidRDefault="001E2F9C" w:rsidP="001515D5">
            <w:r w:rsidRPr="00D50218">
              <w:t>5.2</w:t>
            </w:r>
          </w:p>
        </w:tc>
        <w:tc>
          <w:tcPr>
            <w:tcW w:w="1558" w:type="dxa"/>
            <w:vAlign w:val="bottom"/>
          </w:tcPr>
          <w:p w14:paraId="1C737994" w14:textId="77777777" w:rsidR="001E2F9C" w:rsidRPr="00D50218" w:rsidRDefault="001E2F9C" w:rsidP="001515D5">
            <w:r w:rsidRPr="00D50218">
              <w:t>11.7</w:t>
            </w:r>
          </w:p>
        </w:tc>
        <w:tc>
          <w:tcPr>
            <w:tcW w:w="1558" w:type="dxa"/>
            <w:vAlign w:val="bottom"/>
          </w:tcPr>
          <w:p w14:paraId="150BE96D" w14:textId="77777777" w:rsidR="001E2F9C" w:rsidRPr="00D50218" w:rsidRDefault="001E2F9C" w:rsidP="001515D5">
            <w:r w:rsidRPr="00D50218">
              <w:t>5.1</w:t>
            </w:r>
          </w:p>
        </w:tc>
        <w:tc>
          <w:tcPr>
            <w:tcW w:w="1559" w:type="dxa"/>
            <w:vAlign w:val="bottom"/>
          </w:tcPr>
          <w:p w14:paraId="0506B917" w14:textId="77777777" w:rsidR="001E2F9C" w:rsidRPr="00D50218" w:rsidRDefault="001E2F9C" w:rsidP="001515D5">
            <w:r w:rsidRPr="00D50218">
              <w:t>7.2</w:t>
            </w:r>
          </w:p>
        </w:tc>
        <w:tc>
          <w:tcPr>
            <w:tcW w:w="1559" w:type="dxa"/>
            <w:vAlign w:val="bottom"/>
          </w:tcPr>
          <w:p w14:paraId="6DF76D90" w14:textId="77777777" w:rsidR="001E2F9C" w:rsidRPr="00D50218" w:rsidRDefault="001E2F9C" w:rsidP="001515D5">
            <w:r w:rsidRPr="00D50218">
              <w:t>29.2</w:t>
            </w:r>
          </w:p>
        </w:tc>
      </w:tr>
      <w:tr w:rsidR="001E2F9C" w14:paraId="750405D7" w14:textId="77777777" w:rsidTr="001515D5">
        <w:tc>
          <w:tcPr>
            <w:tcW w:w="1558" w:type="dxa"/>
            <w:vAlign w:val="bottom"/>
          </w:tcPr>
          <w:p w14:paraId="69C887C7" w14:textId="77777777" w:rsidR="001E2F9C" w:rsidRPr="00D50218" w:rsidRDefault="001E2F9C" w:rsidP="001515D5">
            <w:r w:rsidRPr="00D50218">
              <w:t>2019</w:t>
            </w:r>
          </w:p>
        </w:tc>
        <w:tc>
          <w:tcPr>
            <w:tcW w:w="1558" w:type="dxa"/>
            <w:vAlign w:val="bottom"/>
          </w:tcPr>
          <w:p w14:paraId="4D0DBC74" w14:textId="77777777" w:rsidR="001E2F9C" w:rsidRPr="00D50218" w:rsidRDefault="001E2F9C" w:rsidP="001515D5">
            <w:r w:rsidRPr="00D50218">
              <w:t>4.5</w:t>
            </w:r>
          </w:p>
        </w:tc>
        <w:tc>
          <w:tcPr>
            <w:tcW w:w="1558" w:type="dxa"/>
            <w:vAlign w:val="bottom"/>
          </w:tcPr>
          <w:p w14:paraId="23037BD8" w14:textId="77777777" w:rsidR="001E2F9C" w:rsidRPr="00D50218" w:rsidRDefault="001E2F9C" w:rsidP="001515D5">
            <w:r w:rsidRPr="00D50218">
              <w:t>11.7</w:t>
            </w:r>
          </w:p>
        </w:tc>
        <w:tc>
          <w:tcPr>
            <w:tcW w:w="1558" w:type="dxa"/>
            <w:vAlign w:val="bottom"/>
          </w:tcPr>
          <w:p w14:paraId="57B2CECE" w14:textId="77777777" w:rsidR="001E2F9C" w:rsidRPr="00D50218" w:rsidRDefault="001E2F9C" w:rsidP="001515D5">
            <w:r w:rsidRPr="00D50218">
              <w:t>5.2</w:t>
            </w:r>
          </w:p>
        </w:tc>
        <w:tc>
          <w:tcPr>
            <w:tcW w:w="1559" w:type="dxa"/>
            <w:vAlign w:val="bottom"/>
          </w:tcPr>
          <w:p w14:paraId="01B49DAA" w14:textId="77777777" w:rsidR="001E2F9C" w:rsidRPr="00D50218" w:rsidRDefault="001E2F9C" w:rsidP="001515D5">
            <w:r w:rsidRPr="00D50218">
              <w:t>6.9</w:t>
            </w:r>
          </w:p>
        </w:tc>
        <w:tc>
          <w:tcPr>
            <w:tcW w:w="1559" w:type="dxa"/>
            <w:vAlign w:val="bottom"/>
          </w:tcPr>
          <w:p w14:paraId="09113AA8" w14:textId="77777777" w:rsidR="001E2F9C" w:rsidRPr="00D50218" w:rsidRDefault="001E2F9C" w:rsidP="001515D5">
            <w:r w:rsidRPr="00D50218">
              <w:t>28.3</w:t>
            </w:r>
          </w:p>
        </w:tc>
      </w:tr>
      <w:tr w:rsidR="001E2F9C" w14:paraId="7BA53771" w14:textId="77777777" w:rsidTr="001515D5">
        <w:tc>
          <w:tcPr>
            <w:tcW w:w="1558" w:type="dxa"/>
            <w:vAlign w:val="bottom"/>
          </w:tcPr>
          <w:p w14:paraId="3660EC87" w14:textId="77777777" w:rsidR="001E2F9C" w:rsidRPr="00D50218" w:rsidRDefault="001E2F9C" w:rsidP="001515D5">
            <w:r w:rsidRPr="00D50218">
              <w:t>2020</w:t>
            </w:r>
          </w:p>
        </w:tc>
        <w:tc>
          <w:tcPr>
            <w:tcW w:w="1558" w:type="dxa"/>
            <w:vAlign w:val="bottom"/>
          </w:tcPr>
          <w:p w14:paraId="3F5EC318" w14:textId="77777777" w:rsidR="001E2F9C" w:rsidRPr="00D50218" w:rsidRDefault="001E2F9C" w:rsidP="001515D5">
            <w:r w:rsidRPr="00D50218">
              <w:t>4.5</w:t>
            </w:r>
          </w:p>
        </w:tc>
        <w:tc>
          <w:tcPr>
            <w:tcW w:w="1558" w:type="dxa"/>
            <w:vAlign w:val="bottom"/>
          </w:tcPr>
          <w:p w14:paraId="316F5792" w14:textId="77777777" w:rsidR="001E2F9C" w:rsidRPr="00D50218" w:rsidRDefault="001E2F9C" w:rsidP="001515D5">
            <w:r w:rsidRPr="00D50218">
              <w:t>10.8</w:t>
            </w:r>
          </w:p>
        </w:tc>
        <w:tc>
          <w:tcPr>
            <w:tcW w:w="1558" w:type="dxa"/>
            <w:vAlign w:val="bottom"/>
          </w:tcPr>
          <w:p w14:paraId="177F4C71" w14:textId="77777777" w:rsidR="001E2F9C" w:rsidRPr="00D50218" w:rsidRDefault="001E2F9C" w:rsidP="001515D5">
            <w:r w:rsidRPr="00D50218">
              <w:t>5.2</w:t>
            </w:r>
          </w:p>
        </w:tc>
        <w:tc>
          <w:tcPr>
            <w:tcW w:w="1559" w:type="dxa"/>
            <w:vAlign w:val="bottom"/>
          </w:tcPr>
          <w:p w14:paraId="09A43AB5" w14:textId="77777777" w:rsidR="001E2F9C" w:rsidRPr="00D50218" w:rsidRDefault="001E2F9C" w:rsidP="001515D5">
            <w:r w:rsidRPr="00D50218">
              <w:t>6.5</w:t>
            </w:r>
          </w:p>
        </w:tc>
        <w:tc>
          <w:tcPr>
            <w:tcW w:w="1559" w:type="dxa"/>
            <w:vAlign w:val="bottom"/>
          </w:tcPr>
          <w:p w14:paraId="7C6CF94F" w14:textId="77777777" w:rsidR="001E2F9C" w:rsidRPr="00D50218" w:rsidRDefault="001E2F9C" w:rsidP="001515D5">
            <w:r w:rsidRPr="00D50218">
              <w:t>27</w:t>
            </w:r>
          </w:p>
        </w:tc>
      </w:tr>
      <w:tr w:rsidR="001E2F9C" w14:paraId="301A8B41" w14:textId="77777777" w:rsidTr="001515D5">
        <w:tc>
          <w:tcPr>
            <w:tcW w:w="1558" w:type="dxa"/>
            <w:vAlign w:val="bottom"/>
          </w:tcPr>
          <w:p w14:paraId="0C4CF1E6" w14:textId="77777777" w:rsidR="001E2F9C" w:rsidRPr="00D50218" w:rsidRDefault="001E2F9C" w:rsidP="001515D5">
            <w:r w:rsidRPr="00D50218">
              <w:t>2021</w:t>
            </w:r>
          </w:p>
        </w:tc>
        <w:tc>
          <w:tcPr>
            <w:tcW w:w="1558" w:type="dxa"/>
            <w:vAlign w:val="bottom"/>
          </w:tcPr>
          <w:p w14:paraId="7EE8C42A" w14:textId="77777777" w:rsidR="001E2F9C" w:rsidRPr="00D50218" w:rsidRDefault="001E2F9C" w:rsidP="001515D5">
            <w:r w:rsidRPr="00D50218">
              <w:t>5.2</w:t>
            </w:r>
          </w:p>
        </w:tc>
        <w:tc>
          <w:tcPr>
            <w:tcW w:w="1558" w:type="dxa"/>
            <w:vAlign w:val="bottom"/>
          </w:tcPr>
          <w:p w14:paraId="42BA87A1" w14:textId="77777777" w:rsidR="001E2F9C" w:rsidRPr="00D50218" w:rsidRDefault="001E2F9C" w:rsidP="001515D5">
            <w:r w:rsidRPr="00D50218">
              <w:t>12.7</w:t>
            </w:r>
          </w:p>
        </w:tc>
        <w:tc>
          <w:tcPr>
            <w:tcW w:w="1558" w:type="dxa"/>
            <w:vAlign w:val="bottom"/>
          </w:tcPr>
          <w:p w14:paraId="08F1F572" w14:textId="77777777" w:rsidR="001E2F9C" w:rsidRPr="00D50218" w:rsidRDefault="001E2F9C" w:rsidP="001515D5">
            <w:r w:rsidRPr="00D50218">
              <w:t>5.1</w:t>
            </w:r>
          </w:p>
        </w:tc>
        <w:tc>
          <w:tcPr>
            <w:tcW w:w="1559" w:type="dxa"/>
            <w:vAlign w:val="bottom"/>
          </w:tcPr>
          <w:p w14:paraId="4561D49B" w14:textId="77777777" w:rsidR="001E2F9C" w:rsidRPr="00D50218" w:rsidRDefault="001E2F9C" w:rsidP="001515D5">
            <w:r w:rsidRPr="00D50218">
              <w:t>7.3</w:t>
            </w:r>
          </w:p>
        </w:tc>
        <w:tc>
          <w:tcPr>
            <w:tcW w:w="1559" w:type="dxa"/>
            <w:vAlign w:val="bottom"/>
          </w:tcPr>
          <w:p w14:paraId="55260F01" w14:textId="77777777" w:rsidR="001E2F9C" w:rsidRPr="00D50218" w:rsidRDefault="001E2F9C" w:rsidP="001515D5">
            <w:r w:rsidRPr="00D50218">
              <w:t>30.3</w:t>
            </w:r>
          </w:p>
        </w:tc>
      </w:tr>
      <w:tr w:rsidR="001E2F9C" w14:paraId="025080FE" w14:textId="77777777" w:rsidTr="001515D5">
        <w:tc>
          <w:tcPr>
            <w:tcW w:w="1558" w:type="dxa"/>
            <w:vAlign w:val="bottom"/>
          </w:tcPr>
          <w:p w14:paraId="055D1A0E" w14:textId="77777777" w:rsidR="001E2F9C" w:rsidRPr="00D50218" w:rsidRDefault="001E2F9C" w:rsidP="001515D5">
            <w:r w:rsidRPr="00D50218">
              <w:t>Grand Total</w:t>
            </w:r>
          </w:p>
        </w:tc>
        <w:tc>
          <w:tcPr>
            <w:tcW w:w="1558" w:type="dxa"/>
            <w:vAlign w:val="bottom"/>
          </w:tcPr>
          <w:p w14:paraId="5FBD2B9A" w14:textId="77777777" w:rsidR="001E2F9C" w:rsidRPr="00D50218" w:rsidRDefault="001E2F9C" w:rsidP="001515D5">
            <w:r w:rsidRPr="00D50218">
              <w:t>24.5</w:t>
            </w:r>
          </w:p>
        </w:tc>
        <w:tc>
          <w:tcPr>
            <w:tcW w:w="1558" w:type="dxa"/>
            <w:vAlign w:val="bottom"/>
          </w:tcPr>
          <w:p w14:paraId="773EACB3" w14:textId="77777777" w:rsidR="001E2F9C" w:rsidRPr="00D50218" w:rsidRDefault="001E2F9C" w:rsidP="001515D5">
            <w:r w:rsidRPr="00D50218">
              <w:t>56</w:t>
            </w:r>
          </w:p>
        </w:tc>
        <w:tc>
          <w:tcPr>
            <w:tcW w:w="1558" w:type="dxa"/>
            <w:vAlign w:val="bottom"/>
          </w:tcPr>
          <w:p w14:paraId="3A745599" w14:textId="77777777" w:rsidR="001E2F9C" w:rsidRPr="00D50218" w:rsidRDefault="001E2F9C" w:rsidP="001515D5">
            <w:r w:rsidRPr="00D50218">
              <w:t>27.1</w:t>
            </w:r>
          </w:p>
        </w:tc>
        <w:tc>
          <w:tcPr>
            <w:tcW w:w="1559" w:type="dxa"/>
            <w:vAlign w:val="bottom"/>
          </w:tcPr>
          <w:p w14:paraId="1C04B11E" w14:textId="77777777" w:rsidR="001E2F9C" w:rsidRPr="00D50218" w:rsidRDefault="001E2F9C" w:rsidP="001515D5">
            <w:r w:rsidRPr="00D50218">
              <w:t>34.4</w:t>
            </w:r>
          </w:p>
        </w:tc>
        <w:tc>
          <w:tcPr>
            <w:tcW w:w="1559" w:type="dxa"/>
            <w:vAlign w:val="bottom"/>
          </w:tcPr>
          <w:p w14:paraId="7B0B79E7" w14:textId="77777777" w:rsidR="001E2F9C" w:rsidRPr="00D50218" w:rsidRDefault="001E2F9C" w:rsidP="001515D5">
            <w:r w:rsidRPr="00D50218">
              <w:t>142</w:t>
            </w:r>
          </w:p>
        </w:tc>
      </w:tr>
    </w:tbl>
    <w:p w14:paraId="65713D4E" w14:textId="77777777" w:rsidR="001E2F9C" w:rsidRDefault="001E2F9C" w:rsidP="001E2F9C">
      <w:r>
        <w:t>Source: SC DHEC Vital Statistics, 2017-2021.</w:t>
      </w:r>
    </w:p>
    <w:p w14:paraId="4449B98C" w14:textId="77777777" w:rsidR="001E2F9C" w:rsidRDefault="001E2F9C" w:rsidP="001E2F9C">
      <w:r>
        <w:t>*Due to small numbers among the non-Hispanic Other population, rates are not shown in the graph.</w:t>
      </w:r>
    </w:p>
    <w:p w14:paraId="252AFA12" w14:textId="77777777" w:rsidR="00722CE9" w:rsidRDefault="00722CE9" w:rsidP="00722CE9"/>
    <w:p w14:paraId="0C1F9751" w14:textId="59387B5B" w:rsidR="00722CE9" w:rsidRPr="00722CE9" w:rsidRDefault="00722CE9" w:rsidP="00722CE9">
      <w:r w:rsidRPr="00722CE9">
        <w:t>Deaths among infants in SC increased across both neonatal (less than 28 days after birth) and post-neonatal (from 28 days to 11 months after birth) periods from 2020-2021. By far, rates are highest among non-Hispanic Black women for both neonatal and post-neonatal deaths, compared to rates among non-Hispanic White women and Hispanic women (</w:t>
      </w:r>
      <w:r w:rsidRPr="00722CE9">
        <w:rPr>
          <w:b/>
          <w:bCs/>
        </w:rPr>
        <w:t>Figure 5.8</w:t>
      </w:r>
      <w:r w:rsidRPr="00722CE9">
        <w:t>).</w:t>
      </w:r>
      <w:r>
        <w:rPr>
          <w:b/>
          <w:bCs/>
        </w:rPr>
        <w:t xml:space="preserve"> </w:t>
      </w:r>
      <w:r w:rsidRPr="00722CE9">
        <w:t>Compared to post-neonatal mortality rates, neonatal mortality rates are 1.7 times as high among non-Hispanic White women and non-Hispanic Black women, but 3.5 times as high among Hispanic women (</w:t>
      </w:r>
      <w:r w:rsidRPr="00722CE9">
        <w:rPr>
          <w:b/>
          <w:bCs/>
        </w:rPr>
        <w:t>Figure 5.8</w:t>
      </w:r>
      <w:r w:rsidRPr="00722CE9">
        <w:t xml:space="preserve">). Post-neonatal deaths are more likely to be associated with conditions or events that arise after the delivery and may reflect environmental factors, while neonatal deaths are typically associated with events surrounding the prenatal and delivery periods. </w:t>
      </w:r>
    </w:p>
    <w:p w14:paraId="66F94CC0" w14:textId="77777777" w:rsidR="00722CE9" w:rsidRDefault="00722CE9" w:rsidP="00722CE9"/>
    <w:p w14:paraId="13BDB092" w14:textId="77777777" w:rsidR="001E2F9C" w:rsidRPr="00D50218" w:rsidRDefault="001E2F9C" w:rsidP="001E2F9C">
      <w:pPr>
        <w:pStyle w:val="Heading4"/>
      </w:pPr>
      <w:bookmarkStart w:id="129" w:name="_Toc154569781"/>
      <w:bookmarkStart w:id="130" w:name="_Toc162267074"/>
      <w:r>
        <w:t>Figure 5.8:</w:t>
      </w:r>
      <w:r w:rsidRPr="00D50218">
        <w:t xml:space="preserve"> Infant, Neonatal and Post Neonatal Mortality, by Race and Hispanic Origin of Mother, 2021</w:t>
      </w:r>
      <w:r>
        <w:t>.</w:t>
      </w:r>
      <w:bookmarkEnd w:id="129"/>
      <w:bookmarkEnd w:id="130"/>
    </w:p>
    <w:p w14:paraId="6F2B9C7D" w14:textId="1A076D0B" w:rsidR="001E2F9C" w:rsidRPr="002748B7" w:rsidRDefault="002748B7" w:rsidP="001E2F9C">
      <w:pPr>
        <w:pStyle w:val="Heading5"/>
        <w:rPr>
          <w:rStyle w:val="FigureTitleItalic"/>
          <w:rFonts w:asciiTheme="minorHAnsi" w:hAnsiTheme="minorHAnsi" w:cstheme="majorBidi"/>
          <w:b/>
          <w:bCs w:val="0"/>
          <w:i w:val="0"/>
          <w:iCs w:val="0"/>
          <w:sz w:val="28"/>
          <w:szCs w:val="24"/>
        </w:rPr>
      </w:pPr>
      <w:r>
        <w:t>Rate per 1,000 live births.</w:t>
      </w:r>
    </w:p>
    <w:tbl>
      <w:tblPr>
        <w:tblStyle w:val="TableGrid"/>
        <w:tblW w:w="9355" w:type="dxa"/>
        <w:tblLook w:val="04A0" w:firstRow="1" w:lastRow="0" w:firstColumn="1" w:lastColumn="0" w:noHBand="0" w:noVBand="1"/>
      </w:tblPr>
      <w:tblGrid>
        <w:gridCol w:w="2425"/>
        <w:gridCol w:w="2250"/>
        <w:gridCol w:w="2160"/>
        <w:gridCol w:w="2520"/>
      </w:tblGrid>
      <w:tr w:rsidR="001E2F9C" w14:paraId="41C89F29" w14:textId="77777777" w:rsidTr="001515D5">
        <w:tc>
          <w:tcPr>
            <w:tcW w:w="2425" w:type="dxa"/>
            <w:vAlign w:val="bottom"/>
          </w:tcPr>
          <w:p w14:paraId="771F643D" w14:textId="77777777" w:rsidR="001E2F9C" w:rsidRPr="00D50218" w:rsidRDefault="001E2F9C" w:rsidP="001515D5">
            <w:r>
              <w:t>Race</w:t>
            </w:r>
          </w:p>
        </w:tc>
        <w:tc>
          <w:tcPr>
            <w:tcW w:w="2250" w:type="dxa"/>
            <w:vAlign w:val="bottom"/>
          </w:tcPr>
          <w:p w14:paraId="0A556988" w14:textId="77777777" w:rsidR="001E2F9C" w:rsidRPr="00D50218" w:rsidRDefault="001E2F9C" w:rsidP="001515D5">
            <w:r>
              <w:t>Total Infant Deaths</w:t>
            </w:r>
          </w:p>
        </w:tc>
        <w:tc>
          <w:tcPr>
            <w:tcW w:w="2160" w:type="dxa"/>
            <w:vAlign w:val="bottom"/>
          </w:tcPr>
          <w:p w14:paraId="09BE3324" w14:textId="77777777" w:rsidR="001E2F9C" w:rsidRPr="00D50218" w:rsidRDefault="001E2F9C" w:rsidP="001515D5">
            <w:r>
              <w:t>Neonatal Deaths</w:t>
            </w:r>
          </w:p>
        </w:tc>
        <w:tc>
          <w:tcPr>
            <w:tcW w:w="2520" w:type="dxa"/>
            <w:vAlign w:val="bottom"/>
          </w:tcPr>
          <w:p w14:paraId="60BCB069" w14:textId="77777777" w:rsidR="001E2F9C" w:rsidRPr="00D50218" w:rsidRDefault="001E2F9C" w:rsidP="001515D5">
            <w:r>
              <w:t>Post Neonatal Deaths</w:t>
            </w:r>
          </w:p>
        </w:tc>
      </w:tr>
      <w:tr w:rsidR="001E2F9C" w14:paraId="19E4DFDE" w14:textId="77777777" w:rsidTr="001515D5">
        <w:tc>
          <w:tcPr>
            <w:tcW w:w="2425" w:type="dxa"/>
            <w:vAlign w:val="bottom"/>
          </w:tcPr>
          <w:p w14:paraId="488EBAC4" w14:textId="77777777" w:rsidR="001E2F9C" w:rsidRPr="00D50218" w:rsidRDefault="001E2F9C" w:rsidP="001515D5">
            <w:r>
              <w:t>South Carolina</w:t>
            </w:r>
          </w:p>
        </w:tc>
        <w:tc>
          <w:tcPr>
            <w:tcW w:w="2250" w:type="dxa"/>
            <w:vAlign w:val="bottom"/>
          </w:tcPr>
          <w:p w14:paraId="269FC6FF" w14:textId="77777777" w:rsidR="001E2F9C" w:rsidRPr="00D50218" w:rsidRDefault="001E2F9C" w:rsidP="001515D5">
            <w:r>
              <w:t>7.3</w:t>
            </w:r>
          </w:p>
        </w:tc>
        <w:tc>
          <w:tcPr>
            <w:tcW w:w="2160" w:type="dxa"/>
            <w:vAlign w:val="bottom"/>
          </w:tcPr>
          <w:p w14:paraId="5AA1FDA6" w14:textId="77777777" w:rsidR="001E2F9C" w:rsidRPr="00D50218" w:rsidRDefault="001E2F9C" w:rsidP="001515D5">
            <w:r>
              <w:t>4.7</w:t>
            </w:r>
          </w:p>
        </w:tc>
        <w:tc>
          <w:tcPr>
            <w:tcW w:w="2520" w:type="dxa"/>
            <w:vAlign w:val="bottom"/>
          </w:tcPr>
          <w:p w14:paraId="138CC16B" w14:textId="77777777" w:rsidR="001E2F9C" w:rsidRPr="00D50218" w:rsidRDefault="001E2F9C" w:rsidP="001515D5">
            <w:r>
              <w:t>2.6</w:t>
            </w:r>
          </w:p>
        </w:tc>
      </w:tr>
      <w:tr w:rsidR="001E2F9C" w14:paraId="54182521" w14:textId="77777777" w:rsidTr="001515D5">
        <w:tc>
          <w:tcPr>
            <w:tcW w:w="2425" w:type="dxa"/>
            <w:vAlign w:val="bottom"/>
          </w:tcPr>
          <w:p w14:paraId="7C6D11C0" w14:textId="77777777" w:rsidR="001E2F9C" w:rsidRDefault="001E2F9C" w:rsidP="001515D5">
            <w:r>
              <w:t>Non-Hispanic White</w:t>
            </w:r>
          </w:p>
        </w:tc>
        <w:tc>
          <w:tcPr>
            <w:tcW w:w="2250" w:type="dxa"/>
            <w:vAlign w:val="bottom"/>
          </w:tcPr>
          <w:p w14:paraId="7F4EE53D" w14:textId="77777777" w:rsidR="001E2F9C" w:rsidRDefault="001E2F9C" w:rsidP="001515D5">
            <w:r>
              <w:t>5.2</w:t>
            </w:r>
          </w:p>
        </w:tc>
        <w:tc>
          <w:tcPr>
            <w:tcW w:w="2160" w:type="dxa"/>
            <w:vAlign w:val="bottom"/>
          </w:tcPr>
          <w:p w14:paraId="10BD43FB" w14:textId="77777777" w:rsidR="001E2F9C" w:rsidRDefault="001E2F9C" w:rsidP="001515D5">
            <w:r>
              <w:t>3.3</w:t>
            </w:r>
          </w:p>
        </w:tc>
        <w:tc>
          <w:tcPr>
            <w:tcW w:w="2520" w:type="dxa"/>
            <w:vAlign w:val="bottom"/>
          </w:tcPr>
          <w:p w14:paraId="47E5C089" w14:textId="77777777" w:rsidR="001E2F9C" w:rsidRDefault="001E2F9C" w:rsidP="001515D5">
            <w:r>
              <w:t>1.9</w:t>
            </w:r>
          </w:p>
        </w:tc>
      </w:tr>
      <w:tr w:rsidR="001E2F9C" w14:paraId="2F2FEB08" w14:textId="77777777" w:rsidTr="001515D5">
        <w:tc>
          <w:tcPr>
            <w:tcW w:w="2425" w:type="dxa"/>
            <w:vAlign w:val="bottom"/>
          </w:tcPr>
          <w:p w14:paraId="3D554944" w14:textId="77777777" w:rsidR="001E2F9C" w:rsidRPr="00D50218" w:rsidRDefault="001E2F9C" w:rsidP="001515D5">
            <w:r>
              <w:t>Non-Hispanic Black</w:t>
            </w:r>
          </w:p>
        </w:tc>
        <w:tc>
          <w:tcPr>
            <w:tcW w:w="2250" w:type="dxa"/>
            <w:vAlign w:val="bottom"/>
          </w:tcPr>
          <w:p w14:paraId="0BE88D39" w14:textId="77777777" w:rsidR="001E2F9C" w:rsidRPr="00D50218" w:rsidRDefault="001E2F9C" w:rsidP="001515D5">
            <w:r>
              <w:t>12.7</w:t>
            </w:r>
          </w:p>
        </w:tc>
        <w:tc>
          <w:tcPr>
            <w:tcW w:w="2160" w:type="dxa"/>
            <w:vAlign w:val="bottom"/>
          </w:tcPr>
          <w:p w14:paraId="737E7D2D" w14:textId="77777777" w:rsidR="001E2F9C" w:rsidRPr="00D50218" w:rsidRDefault="001E2F9C" w:rsidP="001515D5">
            <w:r>
              <w:t>8.0</w:t>
            </w:r>
          </w:p>
        </w:tc>
        <w:tc>
          <w:tcPr>
            <w:tcW w:w="2520" w:type="dxa"/>
            <w:vAlign w:val="bottom"/>
          </w:tcPr>
          <w:p w14:paraId="56950D66" w14:textId="77777777" w:rsidR="001E2F9C" w:rsidRPr="00D50218" w:rsidRDefault="001E2F9C" w:rsidP="001515D5">
            <w:r>
              <w:t>4.7</w:t>
            </w:r>
          </w:p>
        </w:tc>
      </w:tr>
      <w:tr w:rsidR="001E2F9C" w14:paraId="6D7D7F1B" w14:textId="77777777" w:rsidTr="001515D5">
        <w:tc>
          <w:tcPr>
            <w:tcW w:w="2425" w:type="dxa"/>
            <w:vAlign w:val="bottom"/>
          </w:tcPr>
          <w:p w14:paraId="5C5857BD" w14:textId="77777777" w:rsidR="001E2F9C" w:rsidRPr="00D50218" w:rsidRDefault="001E2F9C" w:rsidP="001515D5">
            <w:r>
              <w:lastRenderedPageBreak/>
              <w:t>Hispanic</w:t>
            </w:r>
          </w:p>
        </w:tc>
        <w:tc>
          <w:tcPr>
            <w:tcW w:w="2250" w:type="dxa"/>
            <w:vAlign w:val="bottom"/>
          </w:tcPr>
          <w:p w14:paraId="442AD297" w14:textId="77777777" w:rsidR="001E2F9C" w:rsidRPr="00D50218" w:rsidRDefault="001E2F9C" w:rsidP="001515D5">
            <w:r>
              <w:t>5.1</w:t>
            </w:r>
          </w:p>
        </w:tc>
        <w:tc>
          <w:tcPr>
            <w:tcW w:w="2160" w:type="dxa"/>
            <w:vAlign w:val="bottom"/>
          </w:tcPr>
          <w:p w14:paraId="39DDB808" w14:textId="77777777" w:rsidR="001E2F9C" w:rsidRPr="00D50218" w:rsidRDefault="001E2F9C" w:rsidP="001515D5">
            <w:r>
              <w:t>3.9</w:t>
            </w:r>
          </w:p>
        </w:tc>
        <w:tc>
          <w:tcPr>
            <w:tcW w:w="2520" w:type="dxa"/>
            <w:vAlign w:val="bottom"/>
          </w:tcPr>
          <w:p w14:paraId="09E9E832" w14:textId="77777777" w:rsidR="001E2F9C" w:rsidRPr="00D50218" w:rsidRDefault="001E2F9C" w:rsidP="001515D5">
            <w:r>
              <w:t>1.1</w:t>
            </w:r>
          </w:p>
        </w:tc>
      </w:tr>
    </w:tbl>
    <w:p w14:paraId="028230D0" w14:textId="77777777" w:rsidR="001E2F9C" w:rsidRDefault="001E2F9C" w:rsidP="001E2F9C">
      <w:r>
        <w:t>Source: SC DHEC Vital Statistics, 2021.</w:t>
      </w:r>
    </w:p>
    <w:p w14:paraId="675EB861" w14:textId="77777777" w:rsidR="00722CE9" w:rsidRDefault="00722CE9" w:rsidP="00722CE9"/>
    <w:p w14:paraId="32FCA970" w14:textId="1D8B502A" w:rsidR="00722CE9" w:rsidRPr="00722CE9" w:rsidRDefault="00722CE9" w:rsidP="00722CE9">
      <w:r w:rsidRPr="00722CE9">
        <w:t xml:space="preserve">The top three causes of neonatal deaths in SC were congenital malformations, disorders related to short gestation (preterm birth) and maternal complications of pregnancy, while the top three causes of post-neonatal deaths in SC were accidents, sudden infant death syndrome and congenital malformations. The causes of neonatal mortality show how intricately linked preterm birth and maternal complications are with factors that increase the risk of pregnancy-related maternal mortality among non-Hispanic Black women and other women of color, such as pre-pregnancy chronic health conditions and inadequate access to prenatal care. In fact, 73.8% of non-Hispanic Black infant deaths were due to very low or low birth weight compared to 59.9% of non-Hispanic White infant deaths and 54.9% of Hispanic infant deaths. </w:t>
      </w:r>
    </w:p>
    <w:p w14:paraId="79348C80" w14:textId="77777777" w:rsidR="00722CE9" w:rsidRDefault="00722CE9" w:rsidP="00722CE9"/>
    <w:p w14:paraId="4CD01CF7" w14:textId="431E3719" w:rsidR="00722CE9" w:rsidRDefault="00722CE9" w:rsidP="00722CE9">
      <w:r w:rsidRPr="00722CE9">
        <w:t xml:space="preserve">Healthy People 2030 aims to reduce the infant mortality rate. </w:t>
      </w:r>
      <w:proofErr w:type="gramStart"/>
      <w:r w:rsidRPr="00722CE9">
        <w:t>In light of</w:t>
      </w:r>
      <w:proofErr w:type="gramEnd"/>
      <w:r w:rsidRPr="00722CE9">
        <w:t xml:space="preserve"> the increasing infant mortality rate in SC from 2020-2021, particularly among non-Hispanic Black women, the best approach to decrease infant mortality in SC is to invest in maternal health overall, and among women of color specifically, by improving health care access and implementing other targeted interventions to ensure equitable, high-quality care for moms and babies. </w:t>
      </w:r>
    </w:p>
    <w:p w14:paraId="0757304A" w14:textId="77777777" w:rsidR="001E2F9C" w:rsidRDefault="001E2F9C" w:rsidP="00722CE9"/>
    <w:p w14:paraId="4AD37C9E" w14:textId="7775DDA4" w:rsidR="00722CE9" w:rsidRPr="00270B2E" w:rsidRDefault="00722CE9" w:rsidP="00722CE9">
      <w:pPr>
        <w:rPr>
          <w:rStyle w:val="Heading4Char"/>
          <w:rFonts w:asciiTheme="minorHAnsi" w:hAnsiTheme="minorHAnsi" w:cstheme="minorHAnsi"/>
          <w:color w:val="000000" w:themeColor="text1"/>
        </w:rPr>
      </w:pPr>
      <w:bookmarkStart w:id="131" w:name="_Toc162267075"/>
      <w:r w:rsidRPr="00270B2E">
        <w:rPr>
          <w:rStyle w:val="Heading4Char"/>
          <w:rFonts w:asciiTheme="minorHAnsi" w:hAnsiTheme="minorHAnsi" w:cstheme="minorHAnsi"/>
          <w:color w:val="000000" w:themeColor="text1"/>
        </w:rPr>
        <w:t>References 5.7</w:t>
      </w:r>
      <w:bookmarkEnd w:id="131"/>
    </w:p>
    <w:p w14:paraId="3A793F36" w14:textId="5B84B21D" w:rsidR="00722CE9" w:rsidRDefault="00722CE9" w:rsidP="00722CE9">
      <w:r w:rsidRPr="00722CE9">
        <w:t xml:space="preserve">Statistics in the preceding </w:t>
      </w:r>
      <w:r w:rsidR="00926EB3">
        <w:t>section</w:t>
      </w:r>
      <w:r w:rsidRPr="00722CE9">
        <w:t xml:space="preserve"> were referenced from the following reports:</w:t>
      </w:r>
    </w:p>
    <w:p w14:paraId="79FD785E" w14:textId="1711C4F2" w:rsidR="00722CE9" w:rsidRPr="00926EB3" w:rsidRDefault="00926EB3" w:rsidP="00926EB3">
      <w:pPr>
        <w:ind w:left="360"/>
        <w:rPr>
          <w:u w:val="thick"/>
        </w:rPr>
      </w:pPr>
      <w:r>
        <w:t>21.</w:t>
      </w:r>
      <w:hyperlink r:id="rId44" w:history="1">
        <w:r w:rsidR="00722CE9" w:rsidRPr="00722CE9">
          <w:rPr>
            <w:rStyle w:val="Hyperlink"/>
          </w:rPr>
          <w:t>“South Carolina maternal morbidity and Mortality Review Committee” by SC DHEC, 2023.</w:t>
        </w:r>
      </w:hyperlink>
      <w:r w:rsidR="00722CE9" w:rsidRPr="00722CE9">
        <w:t xml:space="preserve"> </w:t>
      </w:r>
    </w:p>
    <w:p w14:paraId="461F3CFF" w14:textId="7FB0644A" w:rsidR="00722CE9" w:rsidRPr="00926EB3" w:rsidRDefault="00926EB3" w:rsidP="00926EB3">
      <w:pPr>
        <w:ind w:left="360"/>
        <w:rPr>
          <w:u w:val="thick"/>
        </w:rPr>
      </w:pPr>
      <w:r>
        <w:t>22.</w:t>
      </w:r>
      <w:hyperlink r:id="rId45" w:history="1">
        <w:r w:rsidR="00722CE9" w:rsidRPr="00722CE9">
          <w:rPr>
            <w:rStyle w:val="Hyperlink"/>
          </w:rPr>
          <w:t xml:space="preserve">“Where You Live Matters: Maternity Care Deserts and the Crisis of Access and Equity in South Carolina” by Fontenot, J., Lucas, R., </w:t>
        </w:r>
        <w:proofErr w:type="spellStart"/>
        <w:r w:rsidR="00722CE9" w:rsidRPr="00722CE9">
          <w:rPr>
            <w:rStyle w:val="Hyperlink"/>
          </w:rPr>
          <w:t>Stoneburner</w:t>
        </w:r>
        <w:proofErr w:type="spellEnd"/>
        <w:r w:rsidR="00722CE9" w:rsidRPr="00722CE9">
          <w:rPr>
            <w:rStyle w:val="Hyperlink"/>
          </w:rPr>
          <w:t>, A., Brigance, C., Hubbard, K., Jones, E., Mishkin, K. Published by March of Dimes, 2023.</w:t>
        </w:r>
      </w:hyperlink>
      <w:r w:rsidR="00722CE9" w:rsidRPr="00722CE9">
        <w:t xml:space="preserve"> </w:t>
      </w:r>
    </w:p>
    <w:p w14:paraId="1577DC7A" w14:textId="3A70F4D8" w:rsidR="00722CE9" w:rsidRPr="00722CE9" w:rsidRDefault="00000000" w:rsidP="00926EB3">
      <w:pPr>
        <w:pStyle w:val="ListParagraph"/>
        <w:numPr>
          <w:ilvl w:val="0"/>
          <w:numId w:val="231"/>
        </w:numPr>
      </w:pPr>
      <w:hyperlink r:id="rId46" w:history="1">
        <w:r w:rsidR="00722CE9" w:rsidRPr="00722CE9">
          <w:rPr>
            <w:rStyle w:val="Hyperlink"/>
          </w:rPr>
          <w:t>“Infant Mortality” by U.S. Department of Health and Human Services. Published by Eunice Kennedy Shriver National Institute of Child Health and Human Development, 2021.</w:t>
        </w:r>
      </w:hyperlink>
      <w:r w:rsidR="00722CE9" w:rsidRPr="00722CE9">
        <w:t xml:space="preserve"> </w:t>
      </w:r>
    </w:p>
    <w:p w14:paraId="3251DF2E" w14:textId="4CD28B0E" w:rsidR="00722CE9" w:rsidRPr="00722CE9" w:rsidRDefault="00000000" w:rsidP="00926EB3">
      <w:pPr>
        <w:pStyle w:val="ListParagraph"/>
        <w:numPr>
          <w:ilvl w:val="0"/>
          <w:numId w:val="231"/>
        </w:numPr>
      </w:pPr>
      <w:hyperlink r:id="rId47" w:history="1">
        <w:r w:rsidR="00722CE9" w:rsidRPr="00722CE9">
          <w:rPr>
            <w:rStyle w:val="Hyperlink"/>
          </w:rPr>
          <w:t>“Infant Mortality and Selected Birth Characteristics” by SC DHEC, 2023.</w:t>
        </w:r>
      </w:hyperlink>
      <w:r w:rsidR="00722CE9" w:rsidRPr="00722CE9">
        <w:t xml:space="preserve"> </w:t>
      </w:r>
    </w:p>
    <w:p w14:paraId="63015B7A" w14:textId="3F08C3D6" w:rsidR="00722CE9" w:rsidRPr="00722CE9" w:rsidRDefault="00000000" w:rsidP="00926EB3">
      <w:pPr>
        <w:pStyle w:val="ListParagraph"/>
        <w:numPr>
          <w:ilvl w:val="0"/>
          <w:numId w:val="231"/>
        </w:numPr>
      </w:pPr>
      <w:hyperlink r:id="rId48" w:history="1">
        <w:r w:rsidR="00722CE9" w:rsidRPr="00722CE9">
          <w:rPr>
            <w:rStyle w:val="Hyperlink"/>
          </w:rPr>
          <w:t>“Reduce the rate of infant deaths - MICH</w:t>
        </w:r>
        <w:r w:rsidR="00722CE9" w:rsidRPr="00722CE9">
          <w:rPr>
            <w:rStyle w:val="Hyperlink"/>
            <w:rFonts w:ascii="Cambria Math" w:hAnsi="Cambria Math" w:cs="Cambria Math"/>
          </w:rPr>
          <w:t>‑</w:t>
        </w:r>
        <w:r w:rsidR="00722CE9" w:rsidRPr="00722CE9">
          <w:rPr>
            <w:rStyle w:val="Hyperlink"/>
          </w:rPr>
          <w:t>02” by Healthy People 2030.</w:t>
        </w:r>
      </w:hyperlink>
      <w:r w:rsidR="00722CE9" w:rsidRPr="00722CE9">
        <w:t xml:space="preserve"> </w:t>
      </w:r>
    </w:p>
    <w:p w14:paraId="684DA8F4" w14:textId="77777777" w:rsidR="00722CE9" w:rsidRDefault="00722CE9" w:rsidP="00722CE9"/>
    <w:p w14:paraId="7D30C4C4" w14:textId="77777777" w:rsidR="00722CE9" w:rsidRPr="00722CE9" w:rsidRDefault="00722CE9" w:rsidP="00722CE9">
      <w:pPr>
        <w:pStyle w:val="Heading4"/>
      </w:pPr>
      <w:bookmarkStart w:id="132" w:name="_Toc162267076"/>
      <w:r w:rsidRPr="00722CE9">
        <w:lastRenderedPageBreak/>
        <w:t>IV. Drug-overdose and the Opioid Crisis</w:t>
      </w:r>
      <w:bookmarkEnd w:id="132"/>
    </w:p>
    <w:p w14:paraId="0FE497C0" w14:textId="3D1FE7A2" w:rsidR="00722CE9" w:rsidRDefault="00722CE9" w:rsidP="00722CE9">
      <w:r w:rsidRPr="00722CE9">
        <w:t>The age-adjusted rate of drug-overdose deaths increased by 31% in the US, from 2019 (21.6 per 100,000) to 2020 (28.3 per 100,000). Opioids, specifically synthetic opioids, represented 75% of drug-overdose deaths in the US in 2020. Similarly, the total number of drug-overdose deaths in SC increased by more than 25% from 2020 to 2021, with opioids contributing 80% of drug-overdose deaths in the state. In 2020 in the US, non-Hispanic American Indian or Alaska Native people had the highest rates of drug-overdose deaths overall compared to other racial and ethnic groups, but the largest geographical disparity was seen for non-Hispanic Black people, where rates were twice as high in urban compared to rural areas (</w:t>
      </w:r>
      <w:r w:rsidRPr="00722CE9">
        <w:rPr>
          <w:b/>
          <w:bCs/>
        </w:rPr>
        <w:t>Figure 5.9</w:t>
      </w:r>
      <w:r w:rsidRPr="00722CE9">
        <w:t xml:space="preserve">). In 2020 in SC, drug-overdose death rates were higher in urban counties (35.7 deaths per 100,000) than in rural counties (30.0 deaths per 100,000), and the number of opioid-related overdose deaths was highest in some northwestern, </w:t>
      </w:r>
      <w:proofErr w:type="gramStart"/>
      <w:r w:rsidRPr="00722CE9">
        <w:t>central</w:t>
      </w:r>
      <w:proofErr w:type="gramEnd"/>
      <w:r w:rsidRPr="00722CE9">
        <w:t xml:space="preserve"> and coastal SC counties (</w:t>
      </w:r>
      <w:r w:rsidRPr="00722CE9">
        <w:rPr>
          <w:b/>
          <w:bCs/>
        </w:rPr>
        <w:t>Figure 5.10</w:t>
      </w:r>
      <w:r w:rsidRPr="00722CE9">
        <w:t>). From 2017-2021, drug-overdose deaths in SC largely affected White, young adult and middle-aged men aged 25-54 years (</w:t>
      </w:r>
      <w:r w:rsidRPr="00722CE9">
        <w:rPr>
          <w:b/>
          <w:bCs/>
        </w:rPr>
        <w:t>Figure 5.11</w:t>
      </w:r>
      <w:r w:rsidRPr="00722CE9">
        <w:t>).</w:t>
      </w:r>
    </w:p>
    <w:p w14:paraId="33431E68" w14:textId="77777777" w:rsidR="00722CE9" w:rsidRDefault="00722CE9" w:rsidP="00722CE9"/>
    <w:p w14:paraId="54A14747" w14:textId="77777777" w:rsidR="001E2F9C" w:rsidRPr="00D50218" w:rsidRDefault="001E2F9C" w:rsidP="001E2F9C">
      <w:pPr>
        <w:pStyle w:val="Heading4"/>
      </w:pPr>
      <w:bookmarkStart w:id="133" w:name="_Toc154569782"/>
      <w:bookmarkStart w:id="134" w:name="_Toc162267077"/>
      <w:r>
        <w:t>Figure 5.9:</w:t>
      </w:r>
      <w:r w:rsidRPr="00D50218">
        <w:t xml:space="preserve"> </w:t>
      </w:r>
      <w:r w:rsidRPr="00B91867">
        <w:t>Overdose Deaths, by Race and Ethnicity and Rural or Urban Area, United States, 2020</w:t>
      </w:r>
      <w:r>
        <w:t>.</w:t>
      </w:r>
      <w:bookmarkEnd w:id="133"/>
      <w:bookmarkEnd w:id="134"/>
    </w:p>
    <w:p w14:paraId="4AB8C12E" w14:textId="3A1A3E12" w:rsidR="002748B7" w:rsidRPr="00637B75" w:rsidRDefault="002748B7" w:rsidP="002748B7">
      <w:pPr>
        <w:pStyle w:val="Heading5"/>
      </w:pPr>
      <w:r>
        <w:t>Rate per 100,000 population.</w:t>
      </w:r>
    </w:p>
    <w:tbl>
      <w:tblPr>
        <w:tblStyle w:val="TableGrid"/>
        <w:tblW w:w="9398" w:type="dxa"/>
        <w:tblLook w:val="04A0" w:firstRow="1" w:lastRow="0" w:firstColumn="1" w:lastColumn="0" w:noHBand="0" w:noVBand="1"/>
      </w:tblPr>
      <w:tblGrid>
        <w:gridCol w:w="3334"/>
        <w:gridCol w:w="3094"/>
        <w:gridCol w:w="2970"/>
      </w:tblGrid>
      <w:tr w:rsidR="001E2F9C" w14:paraId="0FEBCAB7" w14:textId="77777777" w:rsidTr="001515D5">
        <w:trPr>
          <w:trHeight w:val="332"/>
        </w:trPr>
        <w:tc>
          <w:tcPr>
            <w:tcW w:w="3334" w:type="dxa"/>
            <w:vAlign w:val="bottom"/>
          </w:tcPr>
          <w:p w14:paraId="703B1300" w14:textId="77777777" w:rsidR="001E2F9C" w:rsidRPr="00D50218" w:rsidRDefault="001E2F9C" w:rsidP="001515D5">
            <w:r>
              <w:t>Race</w:t>
            </w:r>
          </w:p>
        </w:tc>
        <w:tc>
          <w:tcPr>
            <w:tcW w:w="3094" w:type="dxa"/>
            <w:vAlign w:val="bottom"/>
          </w:tcPr>
          <w:p w14:paraId="2554C796" w14:textId="77777777" w:rsidR="001E2F9C" w:rsidRPr="00D50218" w:rsidRDefault="001E2F9C" w:rsidP="001515D5">
            <w:r>
              <w:t>Rural</w:t>
            </w:r>
          </w:p>
        </w:tc>
        <w:tc>
          <w:tcPr>
            <w:tcW w:w="2970" w:type="dxa"/>
            <w:vAlign w:val="bottom"/>
          </w:tcPr>
          <w:p w14:paraId="40797E37" w14:textId="77777777" w:rsidR="001E2F9C" w:rsidRPr="00D50218" w:rsidRDefault="001E2F9C" w:rsidP="001515D5">
            <w:r>
              <w:t>Urban</w:t>
            </w:r>
          </w:p>
        </w:tc>
      </w:tr>
      <w:tr w:rsidR="001E2F9C" w14:paraId="3F2D5E0D" w14:textId="77777777" w:rsidTr="001515D5">
        <w:trPr>
          <w:trHeight w:val="340"/>
        </w:trPr>
        <w:tc>
          <w:tcPr>
            <w:tcW w:w="3334" w:type="dxa"/>
            <w:vAlign w:val="bottom"/>
          </w:tcPr>
          <w:p w14:paraId="63CC93F0" w14:textId="77777777" w:rsidR="001E2F9C" w:rsidRPr="00D50218" w:rsidRDefault="001E2F9C" w:rsidP="001515D5">
            <w:r>
              <w:t>Non-Hispanic White</w:t>
            </w:r>
          </w:p>
        </w:tc>
        <w:tc>
          <w:tcPr>
            <w:tcW w:w="3094" w:type="dxa"/>
            <w:vAlign w:val="bottom"/>
          </w:tcPr>
          <w:p w14:paraId="3A5446A3" w14:textId="77777777" w:rsidR="001E2F9C" w:rsidRPr="00D50218" w:rsidRDefault="001E2F9C" w:rsidP="001515D5">
            <w:r>
              <w:t>28.8</w:t>
            </w:r>
          </w:p>
        </w:tc>
        <w:tc>
          <w:tcPr>
            <w:tcW w:w="2970" w:type="dxa"/>
            <w:vAlign w:val="bottom"/>
          </w:tcPr>
          <w:p w14:paraId="4E26BCFF" w14:textId="77777777" w:rsidR="001E2F9C" w:rsidRPr="00D50218" w:rsidRDefault="001E2F9C" w:rsidP="001515D5">
            <w:r>
              <w:t>33.9</w:t>
            </w:r>
          </w:p>
        </w:tc>
      </w:tr>
      <w:tr w:rsidR="001E2F9C" w14:paraId="3C038F0D" w14:textId="77777777" w:rsidTr="001515D5">
        <w:trPr>
          <w:trHeight w:val="340"/>
        </w:trPr>
        <w:tc>
          <w:tcPr>
            <w:tcW w:w="3334" w:type="dxa"/>
            <w:vAlign w:val="bottom"/>
          </w:tcPr>
          <w:p w14:paraId="4A7DE347" w14:textId="77777777" w:rsidR="001E2F9C" w:rsidRPr="00D50218" w:rsidRDefault="001E2F9C" w:rsidP="001515D5">
            <w:r>
              <w:t>Non-Hispanic Black</w:t>
            </w:r>
          </w:p>
        </w:tc>
        <w:tc>
          <w:tcPr>
            <w:tcW w:w="3094" w:type="dxa"/>
            <w:vAlign w:val="bottom"/>
          </w:tcPr>
          <w:p w14:paraId="5A84EA5E" w14:textId="77777777" w:rsidR="001E2F9C" w:rsidRPr="00D50218" w:rsidRDefault="001E2F9C" w:rsidP="001515D5">
            <w:r>
              <w:t>18.9</w:t>
            </w:r>
          </w:p>
        </w:tc>
        <w:tc>
          <w:tcPr>
            <w:tcW w:w="2970" w:type="dxa"/>
            <w:vAlign w:val="bottom"/>
          </w:tcPr>
          <w:p w14:paraId="381FEE3E" w14:textId="77777777" w:rsidR="001E2F9C" w:rsidRPr="00D50218" w:rsidRDefault="001E2F9C" w:rsidP="001515D5">
            <w:r>
              <w:t>37.4</w:t>
            </w:r>
          </w:p>
        </w:tc>
      </w:tr>
      <w:tr w:rsidR="001E2F9C" w14:paraId="5BA1B6E7" w14:textId="77777777" w:rsidTr="001515D5">
        <w:trPr>
          <w:trHeight w:val="340"/>
        </w:trPr>
        <w:tc>
          <w:tcPr>
            <w:tcW w:w="3334" w:type="dxa"/>
            <w:vAlign w:val="bottom"/>
          </w:tcPr>
          <w:p w14:paraId="6F93A6FC" w14:textId="77777777" w:rsidR="001E2F9C" w:rsidRPr="00D50218" w:rsidRDefault="001E2F9C" w:rsidP="001515D5">
            <w:r>
              <w:t>Non-Hispanic Asian</w:t>
            </w:r>
          </w:p>
        </w:tc>
        <w:tc>
          <w:tcPr>
            <w:tcW w:w="3094" w:type="dxa"/>
            <w:vAlign w:val="bottom"/>
          </w:tcPr>
          <w:p w14:paraId="0E79F368" w14:textId="77777777" w:rsidR="001E2F9C" w:rsidRPr="00D50218" w:rsidRDefault="001E2F9C" w:rsidP="001515D5">
            <w:r>
              <w:t>4.5</w:t>
            </w:r>
          </w:p>
        </w:tc>
        <w:tc>
          <w:tcPr>
            <w:tcW w:w="2970" w:type="dxa"/>
            <w:vAlign w:val="bottom"/>
          </w:tcPr>
          <w:p w14:paraId="777B98CC" w14:textId="77777777" w:rsidR="001E2F9C" w:rsidRPr="00D50218" w:rsidRDefault="001E2F9C" w:rsidP="001515D5">
            <w:r>
              <w:t>4.6</w:t>
            </w:r>
          </w:p>
        </w:tc>
      </w:tr>
      <w:tr w:rsidR="001E2F9C" w14:paraId="4516C571" w14:textId="77777777" w:rsidTr="001515D5">
        <w:trPr>
          <w:trHeight w:val="681"/>
        </w:trPr>
        <w:tc>
          <w:tcPr>
            <w:tcW w:w="3334" w:type="dxa"/>
            <w:vAlign w:val="bottom"/>
          </w:tcPr>
          <w:p w14:paraId="65F2B23A" w14:textId="77777777" w:rsidR="001E2F9C" w:rsidRPr="00D50218" w:rsidRDefault="001E2F9C" w:rsidP="001515D5">
            <w:r>
              <w:t>Non-Hispanic American Indian/Alaska Native</w:t>
            </w:r>
          </w:p>
        </w:tc>
        <w:tc>
          <w:tcPr>
            <w:tcW w:w="3094" w:type="dxa"/>
            <w:vAlign w:val="bottom"/>
          </w:tcPr>
          <w:p w14:paraId="2AAC5402" w14:textId="77777777" w:rsidR="001E2F9C" w:rsidRPr="00D50218" w:rsidRDefault="001E2F9C" w:rsidP="001515D5">
            <w:r>
              <w:t>39.8</w:t>
            </w:r>
          </w:p>
        </w:tc>
        <w:tc>
          <w:tcPr>
            <w:tcW w:w="2970" w:type="dxa"/>
            <w:vAlign w:val="bottom"/>
          </w:tcPr>
          <w:p w14:paraId="301F8AA6" w14:textId="77777777" w:rsidR="001E2F9C" w:rsidRPr="00D50218" w:rsidRDefault="001E2F9C" w:rsidP="001515D5">
            <w:r>
              <w:t>44.3</w:t>
            </w:r>
          </w:p>
        </w:tc>
      </w:tr>
      <w:tr w:rsidR="001E2F9C" w14:paraId="71520319" w14:textId="77777777" w:rsidTr="001515D5">
        <w:trPr>
          <w:trHeight w:val="340"/>
        </w:trPr>
        <w:tc>
          <w:tcPr>
            <w:tcW w:w="3334" w:type="dxa"/>
            <w:vAlign w:val="bottom"/>
          </w:tcPr>
          <w:p w14:paraId="15A1504D" w14:textId="77777777" w:rsidR="001E2F9C" w:rsidRDefault="001E2F9C" w:rsidP="001515D5">
            <w:r>
              <w:t>Hispanic</w:t>
            </w:r>
          </w:p>
        </w:tc>
        <w:tc>
          <w:tcPr>
            <w:tcW w:w="3094" w:type="dxa"/>
            <w:vAlign w:val="bottom"/>
          </w:tcPr>
          <w:p w14:paraId="6892620D" w14:textId="77777777" w:rsidR="001E2F9C" w:rsidRDefault="001E2F9C" w:rsidP="001515D5">
            <w:r>
              <w:t>13.7</w:t>
            </w:r>
          </w:p>
        </w:tc>
        <w:tc>
          <w:tcPr>
            <w:tcW w:w="2970" w:type="dxa"/>
            <w:vAlign w:val="bottom"/>
          </w:tcPr>
          <w:p w14:paraId="52C882E2" w14:textId="77777777" w:rsidR="001E2F9C" w:rsidRDefault="001E2F9C" w:rsidP="001515D5">
            <w:r>
              <w:t>17.9</w:t>
            </w:r>
          </w:p>
        </w:tc>
      </w:tr>
    </w:tbl>
    <w:p w14:paraId="724DBE9B" w14:textId="77777777" w:rsidR="001E2F9C" w:rsidRPr="00B91867" w:rsidRDefault="001E2F9C" w:rsidP="001E2F9C">
      <w:r w:rsidRPr="00B91867">
        <w:t>Source: NCHS, 2020.</w:t>
      </w:r>
    </w:p>
    <w:p w14:paraId="2B962923" w14:textId="77777777" w:rsidR="001E2F9C" w:rsidRDefault="001E2F9C" w:rsidP="001E2F9C">
      <w:r w:rsidRPr="00B91867">
        <w:t>Note: Rates are age-adjusted.</w:t>
      </w:r>
      <w:r>
        <w:t xml:space="preserve"> 2021.</w:t>
      </w:r>
    </w:p>
    <w:p w14:paraId="2FC0BFCD" w14:textId="77777777" w:rsidR="001E2F9C" w:rsidRPr="00D50218" w:rsidRDefault="001E2F9C" w:rsidP="001E2F9C"/>
    <w:p w14:paraId="3AB4DBB0" w14:textId="77777777" w:rsidR="001E2F9C" w:rsidRPr="00D50218" w:rsidRDefault="001E2F9C" w:rsidP="001E2F9C">
      <w:pPr>
        <w:pStyle w:val="Heading4"/>
      </w:pPr>
      <w:bookmarkStart w:id="135" w:name="_Toc154569783"/>
      <w:bookmarkStart w:id="136" w:name="_Toc162267078"/>
      <w:r>
        <w:t>Figure 5.10:</w:t>
      </w:r>
      <w:r w:rsidRPr="00D50218">
        <w:t xml:space="preserve"> </w:t>
      </w:r>
      <w:r>
        <w:t>Number of Opioid-Involved Overdose Deaths in South Carolina, by County, 2021.</w:t>
      </w:r>
      <w:bookmarkEnd w:id="135"/>
      <w:bookmarkEnd w:id="136"/>
    </w:p>
    <w:tbl>
      <w:tblPr>
        <w:tblStyle w:val="TableGrid"/>
        <w:tblW w:w="0" w:type="auto"/>
        <w:tblLook w:val="04A0" w:firstRow="1" w:lastRow="0" w:firstColumn="1" w:lastColumn="0" w:noHBand="0" w:noVBand="1"/>
      </w:tblPr>
      <w:tblGrid>
        <w:gridCol w:w="4675"/>
        <w:gridCol w:w="4675"/>
      </w:tblGrid>
      <w:tr w:rsidR="001E2F9C" w14:paraId="331983B9" w14:textId="77777777" w:rsidTr="001515D5">
        <w:tc>
          <w:tcPr>
            <w:tcW w:w="4675" w:type="dxa"/>
            <w:vAlign w:val="bottom"/>
          </w:tcPr>
          <w:p w14:paraId="475CBCB7" w14:textId="77777777" w:rsidR="001E2F9C" w:rsidRDefault="001E2F9C" w:rsidP="001515D5">
            <w:r>
              <w:t>County</w:t>
            </w:r>
          </w:p>
        </w:tc>
        <w:tc>
          <w:tcPr>
            <w:tcW w:w="4675" w:type="dxa"/>
            <w:vAlign w:val="bottom"/>
          </w:tcPr>
          <w:p w14:paraId="4BC080C9" w14:textId="77777777" w:rsidR="001E2F9C" w:rsidRDefault="001E2F9C" w:rsidP="001515D5">
            <w:r>
              <w:t>Number of deaths</w:t>
            </w:r>
          </w:p>
        </w:tc>
      </w:tr>
      <w:tr w:rsidR="001E2F9C" w14:paraId="07A5E54D" w14:textId="77777777" w:rsidTr="001515D5">
        <w:tc>
          <w:tcPr>
            <w:tcW w:w="4675" w:type="dxa"/>
            <w:vAlign w:val="bottom"/>
          </w:tcPr>
          <w:p w14:paraId="74DF2ED7" w14:textId="77777777" w:rsidR="001E2F9C" w:rsidRDefault="001E2F9C" w:rsidP="001515D5">
            <w:r>
              <w:t>Abbeville</w:t>
            </w:r>
          </w:p>
        </w:tc>
        <w:tc>
          <w:tcPr>
            <w:tcW w:w="4675" w:type="dxa"/>
            <w:vAlign w:val="bottom"/>
          </w:tcPr>
          <w:p w14:paraId="3114D7C1" w14:textId="77777777" w:rsidR="001E2F9C" w:rsidRDefault="001E2F9C" w:rsidP="001515D5">
            <w:r>
              <w:t>1-9</w:t>
            </w:r>
          </w:p>
        </w:tc>
      </w:tr>
      <w:tr w:rsidR="001E2F9C" w14:paraId="2C8F6C21" w14:textId="77777777" w:rsidTr="001515D5">
        <w:tc>
          <w:tcPr>
            <w:tcW w:w="4675" w:type="dxa"/>
            <w:vAlign w:val="bottom"/>
          </w:tcPr>
          <w:p w14:paraId="025A7AD1" w14:textId="77777777" w:rsidR="001E2F9C" w:rsidRDefault="001E2F9C" w:rsidP="001515D5">
            <w:r>
              <w:t>Aiken</w:t>
            </w:r>
          </w:p>
        </w:tc>
        <w:tc>
          <w:tcPr>
            <w:tcW w:w="4675" w:type="dxa"/>
            <w:vAlign w:val="bottom"/>
          </w:tcPr>
          <w:p w14:paraId="64264E1C" w14:textId="77777777" w:rsidR="001E2F9C" w:rsidRDefault="001E2F9C" w:rsidP="001515D5">
            <w:r>
              <w:t>&gt;50</w:t>
            </w:r>
          </w:p>
        </w:tc>
      </w:tr>
      <w:tr w:rsidR="001E2F9C" w14:paraId="21B4C578" w14:textId="77777777" w:rsidTr="001515D5">
        <w:tc>
          <w:tcPr>
            <w:tcW w:w="4675" w:type="dxa"/>
            <w:vAlign w:val="bottom"/>
          </w:tcPr>
          <w:p w14:paraId="1534044F" w14:textId="77777777" w:rsidR="001E2F9C" w:rsidRDefault="001E2F9C" w:rsidP="001515D5">
            <w:r>
              <w:t>Allendale</w:t>
            </w:r>
          </w:p>
        </w:tc>
        <w:tc>
          <w:tcPr>
            <w:tcW w:w="4675" w:type="dxa"/>
            <w:vAlign w:val="bottom"/>
          </w:tcPr>
          <w:p w14:paraId="079607C5" w14:textId="77777777" w:rsidR="001E2F9C" w:rsidRDefault="001E2F9C" w:rsidP="001515D5">
            <w:r>
              <w:t>1-9</w:t>
            </w:r>
          </w:p>
        </w:tc>
      </w:tr>
      <w:tr w:rsidR="001E2F9C" w14:paraId="0F989BAC" w14:textId="77777777" w:rsidTr="001515D5">
        <w:tc>
          <w:tcPr>
            <w:tcW w:w="4675" w:type="dxa"/>
            <w:vAlign w:val="bottom"/>
          </w:tcPr>
          <w:p w14:paraId="2F084936" w14:textId="77777777" w:rsidR="001E2F9C" w:rsidRDefault="001E2F9C" w:rsidP="001515D5">
            <w:r>
              <w:t>Anderson</w:t>
            </w:r>
          </w:p>
        </w:tc>
        <w:tc>
          <w:tcPr>
            <w:tcW w:w="4675" w:type="dxa"/>
            <w:vAlign w:val="bottom"/>
          </w:tcPr>
          <w:p w14:paraId="6BED746E" w14:textId="77777777" w:rsidR="001E2F9C" w:rsidRDefault="001E2F9C" w:rsidP="001515D5">
            <w:r>
              <w:t>31-50</w:t>
            </w:r>
          </w:p>
        </w:tc>
      </w:tr>
      <w:tr w:rsidR="001E2F9C" w14:paraId="044ACA26" w14:textId="77777777" w:rsidTr="001515D5">
        <w:tc>
          <w:tcPr>
            <w:tcW w:w="4675" w:type="dxa"/>
            <w:vAlign w:val="bottom"/>
          </w:tcPr>
          <w:p w14:paraId="6C98C4C3" w14:textId="77777777" w:rsidR="001E2F9C" w:rsidRDefault="001E2F9C" w:rsidP="001515D5">
            <w:r>
              <w:lastRenderedPageBreak/>
              <w:t>Bamberg</w:t>
            </w:r>
          </w:p>
        </w:tc>
        <w:tc>
          <w:tcPr>
            <w:tcW w:w="4675" w:type="dxa"/>
            <w:vAlign w:val="bottom"/>
          </w:tcPr>
          <w:p w14:paraId="3BC15E48" w14:textId="77777777" w:rsidR="001E2F9C" w:rsidRDefault="001E2F9C" w:rsidP="001515D5">
            <w:r>
              <w:t>1-9</w:t>
            </w:r>
          </w:p>
        </w:tc>
      </w:tr>
      <w:tr w:rsidR="001E2F9C" w14:paraId="513805FC" w14:textId="77777777" w:rsidTr="001515D5">
        <w:tc>
          <w:tcPr>
            <w:tcW w:w="4675" w:type="dxa"/>
            <w:vAlign w:val="bottom"/>
          </w:tcPr>
          <w:p w14:paraId="4439CD0D" w14:textId="77777777" w:rsidR="001E2F9C" w:rsidRDefault="001E2F9C" w:rsidP="001515D5">
            <w:r>
              <w:t>Barnwell</w:t>
            </w:r>
          </w:p>
        </w:tc>
        <w:tc>
          <w:tcPr>
            <w:tcW w:w="4675" w:type="dxa"/>
            <w:vAlign w:val="bottom"/>
          </w:tcPr>
          <w:p w14:paraId="787C3CDE" w14:textId="77777777" w:rsidR="001E2F9C" w:rsidRDefault="001E2F9C" w:rsidP="001515D5">
            <w:r>
              <w:t>1-9</w:t>
            </w:r>
          </w:p>
        </w:tc>
      </w:tr>
      <w:tr w:rsidR="001E2F9C" w14:paraId="76E47274" w14:textId="77777777" w:rsidTr="001515D5">
        <w:tc>
          <w:tcPr>
            <w:tcW w:w="4675" w:type="dxa"/>
            <w:vAlign w:val="bottom"/>
          </w:tcPr>
          <w:p w14:paraId="6D4A7F9E" w14:textId="77777777" w:rsidR="001E2F9C" w:rsidRDefault="001E2F9C" w:rsidP="001515D5">
            <w:r>
              <w:t>Beaufort</w:t>
            </w:r>
          </w:p>
        </w:tc>
        <w:tc>
          <w:tcPr>
            <w:tcW w:w="4675" w:type="dxa"/>
            <w:vAlign w:val="bottom"/>
          </w:tcPr>
          <w:p w14:paraId="5E0EBFE4" w14:textId="77777777" w:rsidR="001E2F9C" w:rsidRDefault="001E2F9C" w:rsidP="001515D5">
            <w:r>
              <w:t>31-50</w:t>
            </w:r>
          </w:p>
        </w:tc>
      </w:tr>
      <w:tr w:rsidR="001E2F9C" w14:paraId="6A7EF723" w14:textId="77777777" w:rsidTr="001515D5">
        <w:tc>
          <w:tcPr>
            <w:tcW w:w="4675" w:type="dxa"/>
            <w:vAlign w:val="bottom"/>
          </w:tcPr>
          <w:p w14:paraId="3507CA2C" w14:textId="77777777" w:rsidR="001E2F9C" w:rsidRDefault="001E2F9C" w:rsidP="001515D5">
            <w:r>
              <w:t>Berkeley</w:t>
            </w:r>
          </w:p>
        </w:tc>
        <w:tc>
          <w:tcPr>
            <w:tcW w:w="4675" w:type="dxa"/>
            <w:vAlign w:val="bottom"/>
          </w:tcPr>
          <w:p w14:paraId="06E3C165" w14:textId="77777777" w:rsidR="001E2F9C" w:rsidRDefault="001E2F9C" w:rsidP="001515D5">
            <w:r>
              <w:t>&gt;50</w:t>
            </w:r>
          </w:p>
        </w:tc>
      </w:tr>
      <w:tr w:rsidR="001E2F9C" w14:paraId="37DF2E30" w14:textId="77777777" w:rsidTr="001515D5">
        <w:tc>
          <w:tcPr>
            <w:tcW w:w="4675" w:type="dxa"/>
            <w:vAlign w:val="bottom"/>
          </w:tcPr>
          <w:p w14:paraId="23DBE371" w14:textId="77777777" w:rsidR="001E2F9C" w:rsidRDefault="001E2F9C" w:rsidP="001515D5">
            <w:r>
              <w:t>Calhoun</w:t>
            </w:r>
          </w:p>
        </w:tc>
        <w:tc>
          <w:tcPr>
            <w:tcW w:w="4675" w:type="dxa"/>
            <w:vAlign w:val="bottom"/>
          </w:tcPr>
          <w:p w14:paraId="45B124D7" w14:textId="77777777" w:rsidR="001E2F9C" w:rsidRDefault="001E2F9C" w:rsidP="001515D5">
            <w:r>
              <w:t>1-9</w:t>
            </w:r>
          </w:p>
        </w:tc>
      </w:tr>
      <w:tr w:rsidR="001E2F9C" w14:paraId="4C6E7FA1" w14:textId="77777777" w:rsidTr="001515D5">
        <w:tc>
          <w:tcPr>
            <w:tcW w:w="4675" w:type="dxa"/>
            <w:vAlign w:val="bottom"/>
          </w:tcPr>
          <w:p w14:paraId="07FBB85D" w14:textId="77777777" w:rsidR="001E2F9C" w:rsidRDefault="001E2F9C" w:rsidP="001515D5">
            <w:r>
              <w:t>Charleston</w:t>
            </w:r>
          </w:p>
        </w:tc>
        <w:tc>
          <w:tcPr>
            <w:tcW w:w="4675" w:type="dxa"/>
            <w:vAlign w:val="bottom"/>
          </w:tcPr>
          <w:p w14:paraId="5EDC81DA" w14:textId="77777777" w:rsidR="001E2F9C" w:rsidRDefault="001E2F9C" w:rsidP="001515D5">
            <w:r>
              <w:t>&gt;50</w:t>
            </w:r>
          </w:p>
        </w:tc>
      </w:tr>
      <w:tr w:rsidR="001E2F9C" w14:paraId="6116EDDE" w14:textId="77777777" w:rsidTr="001515D5">
        <w:tc>
          <w:tcPr>
            <w:tcW w:w="4675" w:type="dxa"/>
            <w:vAlign w:val="bottom"/>
          </w:tcPr>
          <w:p w14:paraId="462331DC" w14:textId="77777777" w:rsidR="001E2F9C" w:rsidRDefault="001E2F9C" w:rsidP="001515D5">
            <w:r>
              <w:t>Cherokee</w:t>
            </w:r>
          </w:p>
        </w:tc>
        <w:tc>
          <w:tcPr>
            <w:tcW w:w="4675" w:type="dxa"/>
            <w:vAlign w:val="bottom"/>
          </w:tcPr>
          <w:p w14:paraId="4F3C8DC0" w14:textId="77777777" w:rsidR="001E2F9C" w:rsidRDefault="001E2F9C" w:rsidP="001515D5">
            <w:r>
              <w:t>1-9</w:t>
            </w:r>
          </w:p>
        </w:tc>
      </w:tr>
      <w:tr w:rsidR="001E2F9C" w14:paraId="55F36822" w14:textId="77777777" w:rsidTr="001515D5">
        <w:tc>
          <w:tcPr>
            <w:tcW w:w="4675" w:type="dxa"/>
            <w:vAlign w:val="bottom"/>
          </w:tcPr>
          <w:p w14:paraId="47B045CC" w14:textId="77777777" w:rsidR="001E2F9C" w:rsidRDefault="001E2F9C" w:rsidP="001515D5">
            <w:r>
              <w:t>Chester</w:t>
            </w:r>
          </w:p>
        </w:tc>
        <w:tc>
          <w:tcPr>
            <w:tcW w:w="4675" w:type="dxa"/>
            <w:vAlign w:val="bottom"/>
          </w:tcPr>
          <w:p w14:paraId="50728F61" w14:textId="77777777" w:rsidR="001E2F9C" w:rsidRDefault="001E2F9C" w:rsidP="001515D5">
            <w:r>
              <w:t>10-30</w:t>
            </w:r>
          </w:p>
        </w:tc>
      </w:tr>
      <w:tr w:rsidR="001E2F9C" w14:paraId="1C810ADC" w14:textId="77777777" w:rsidTr="001515D5">
        <w:tc>
          <w:tcPr>
            <w:tcW w:w="4675" w:type="dxa"/>
            <w:vAlign w:val="bottom"/>
          </w:tcPr>
          <w:p w14:paraId="75EECFC4" w14:textId="77777777" w:rsidR="001E2F9C" w:rsidRDefault="001E2F9C" w:rsidP="001515D5">
            <w:r>
              <w:t>Chesterfield</w:t>
            </w:r>
          </w:p>
        </w:tc>
        <w:tc>
          <w:tcPr>
            <w:tcW w:w="4675" w:type="dxa"/>
            <w:vAlign w:val="bottom"/>
          </w:tcPr>
          <w:p w14:paraId="65A5963A" w14:textId="77777777" w:rsidR="001E2F9C" w:rsidRDefault="001E2F9C" w:rsidP="001515D5">
            <w:r>
              <w:t>10-30</w:t>
            </w:r>
          </w:p>
        </w:tc>
      </w:tr>
      <w:tr w:rsidR="001E2F9C" w14:paraId="4D73956C" w14:textId="77777777" w:rsidTr="001515D5">
        <w:tc>
          <w:tcPr>
            <w:tcW w:w="4675" w:type="dxa"/>
            <w:vAlign w:val="bottom"/>
          </w:tcPr>
          <w:p w14:paraId="1D8A60F5" w14:textId="77777777" w:rsidR="001E2F9C" w:rsidRDefault="001E2F9C" w:rsidP="001515D5">
            <w:r>
              <w:t>Clarendon</w:t>
            </w:r>
          </w:p>
        </w:tc>
        <w:tc>
          <w:tcPr>
            <w:tcW w:w="4675" w:type="dxa"/>
            <w:vAlign w:val="bottom"/>
          </w:tcPr>
          <w:p w14:paraId="60B651F9" w14:textId="77777777" w:rsidR="001E2F9C" w:rsidRDefault="001E2F9C" w:rsidP="001515D5">
            <w:r>
              <w:t>1-9</w:t>
            </w:r>
          </w:p>
        </w:tc>
      </w:tr>
      <w:tr w:rsidR="001E2F9C" w14:paraId="18D2BB05" w14:textId="77777777" w:rsidTr="001515D5">
        <w:tc>
          <w:tcPr>
            <w:tcW w:w="4675" w:type="dxa"/>
            <w:vAlign w:val="bottom"/>
          </w:tcPr>
          <w:p w14:paraId="66383383" w14:textId="77777777" w:rsidR="001E2F9C" w:rsidRDefault="001E2F9C" w:rsidP="001515D5">
            <w:r>
              <w:t>Colleton</w:t>
            </w:r>
          </w:p>
        </w:tc>
        <w:tc>
          <w:tcPr>
            <w:tcW w:w="4675" w:type="dxa"/>
            <w:vAlign w:val="bottom"/>
          </w:tcPr>
          <w:p w14:paraId="151D1C48" w14:textId="77777777" w:rsidR="001E2F9C" w:rsidRDefault="001E2F9C" w:rsidP="001515D5">
            <w:r>
              <w:t>1-9</w:t>
            </w:r>
          </w:p>
        </w:tc>
      </w:tr>
      <w:tr w:rsidR="001E2F9C" w14:paraId="4C7FCACE" w14:textId="77777777" w:rsidTr="001515D5">
        <w:tc>
          <w:tcPr>
            <w:tcW w:w="4675" w:type="dxa"/>
            <w:vAlign w:val="bottom"/>
          </w:tcPr>
          <w:p w14:paraId="675D5F85" w14:textId="77777777" w:rsidR="001E2F9C" w:rsidRDefault="001E2F9C" w:rsidP="001515D5">
            <w:r>
              <w:t>Darlington</w:t>
            </w:r>
          </w:p>
        </w:tc>
        <w:tc>
          <w:tcPr>
            <w:tcW w:w="4675" w:type="dxa"/>
            <w:vAlign w:val="bottom"/>
          </w:tcPr>
          <w:p w14:paraId="04264DB5" w14:textId="77777777" w:rsidR="001E2F9C" w:rsidRDefault="001E2F9C" w:rsidP="001515D5">
            <w:r>
              <w:t>10-30</w:t>
            </w:r>
          </w:p>
        </w:tc>
      </w:tr>
      <w:tr w:rsidR="001E2F9C" w14:paraId="06315CE7" w14:textId="77777777" w:rsidTr="001515D5">
        <w:tc>
          <w:tcPr>
            <w:tcW w:w="4675" w:type="dxa"/>
            <w:vAlign w:val="bottom"/>
          </w:tcPr>
          <w:p w14:paraId="5D942790" w14:textId="77777777" w:rsidR="001E2F9C" w:rsidRDefault="001E2F9C" w:rsidP="001515D5">
            <w:r>
              <w:t>Dillon</w:t>
            </w:r>
          </w:p>
        </w:tc>
        <w:tc>
          <w:tcPr>
            <w:tcW w:w="4675" w:type="dxa"/>
            <w:vAlign w:val="bottom"/>
          </w:tcPr>
          <w:p w14:paraId="17BE9A47" w14:textId="77777777" w:rsidR="001E2F9C" w:rsidRDefault="001E2F9C" w:rsidP="001515D5">
            <w:r>
              <w:t>10-30</w:t>
            </w:r>
          </w:p>
        </w:tc>
      </w:tr>
      <w:tr w:rsidR="001E2F9C" w14:paraId="765AA712" w14:textId="77777777" w:rsidTr="001515D5">
        <w:tc>
          <w:tcPr>
            <w:tcW w:w="4675" w:type="dxa"/>
            <w:vAlign w:val="bottom"/>
          </w:tcPr>
          <w:p w14:paraId="2EC5CBDB" w14:textId="77777777" w:rsidR="001E2F9C" w:rsidRDefault="001E2F9C" w:rsidP="001515D5">
            <w:r>
              <w:t>Dorchester</w:t>
            </w:r>
          </w:p>
        </w:tc>
        <w:tc>
          <w:tcPr>
            <w:tcW w:w="4675" w:type="dxa"/>
            <w:vAlign w:val="bottom"/>
          </w:tcPr>
          <w:p w14:paraId="752A6467" w14:textId="77777777" w:rsidR="001E2F9C" w:rsidRDefault="001E2F9C" w:rsidP="001515D5">
            <w:r>
              <w:t>10-30</w:t>
            </w:r>
          </w:p>
        </w:tc>
      </w:tr>
      <w:tr w:rsidR="001E2F9C" w14:paraId="5643C852" w14:textId="77777777" w:rsidTr="001515D5">
        <w:tc>
          <w:tcPr>
            <w:tcW w:w="4675" w:type="dxa"/>
            <w:vAlign w:val="bottom"/>
          </w:tcPr>
          <w:p w14:paraId="0EC84DB6" w14:textId="77777777" w:rsidR="001E2F9C" w:rsidRDefault="001E2F9C" w:rsidP="001515D5">
            <w:r>
              <w:t>Edgefield</w:t>
            </w:r>
          </w:p>
        </w:tc>
        <w:tc>
          <w:tcPr>
            <w:tcW w:w="4675" w:type="dxa"/>
            <w:vAlign w:val="bottom"/>
          </w:tcPr>
          <w:p w14:paraId="3559EF72" w14:textId="77777777" w:rsidR="001E2F9C" w:rsidRDefault="001E2F9C" w:rsidP="001515D5">
            <w:r>
              <w:t>1-9</w:t>
            </w:r>
          </w:p>
        </w:tc>
      </w:tr>
      <w:tr w:rsidR="001E2F9C" w14:paraId="27FB2F4C" w14:textId="77777777" w:rsidTr="001515D5">
        <w:tc>
          <w:tcPr>
            <w:tcW w:w="4675" w:type="dxa"/>
            <w:vAlign w:val="bottom"/>
          </w:tcPr>
          <w:p w14:paraId="0168DED0" w14:textId="77777777" w:rsidR="001E2F9C" w:rsidRDefault="001E2F9C" w:rsidP="001515D5">
            <w:r>
              <w:t>Fairfield</w:t>
            </w:r>
          </w:p>
        </w:tc>
        <w:tc>
          <w:tcPr>
            <w:tcW w:w="4675" w:type="dxa"/>
            <w:vAlign w:val="bottom"/>
          </w:tcPr>
          <w:p w14:paraId="2F38900E" w14:textId="77777777" w:rsidR="001E2F9C" w:rsidRDefault="001E2F9C" w:rsidP="001515D5">
            <w:r>
              <w:t>1-9</w:t>
            </w:r>
          </w:p>
        </w:tc>
      </w:tr>
      <w:tr w:rsidR="001E2F9C" w14:paraId="6ED41B5B" w14:textId="77777777" w:rsidTr="001515D5">
        <w:tc>
          <w:tcPr>
            <w:tcW w:w="4675" w:type="dxa"/>
            <w:vAlign w:val="bottom"/>
          </w:tcPr>
          <w:p w14:paraId="6A523D27" w14:textId="77777777" w:rsidR="001E2F9C" w:rsidRDefault="001E2F9C" w:rsidP="001515D5">
            <w:r>
              <w:t>Florence</w:t>
            </w:r>
          </w:p>
        </w:tc>
        <w:tc>
          <w:tcPr>
            <w:tcW w:w="4675" w:type="dxa"/>
            <w:vAlign w:val="bottom"/>
          </w:tcPr>
          <w:p w14:paraId="7000EEBF" w14:textId="77777777" w:rsidR="001E2F9C" w:rsidRDefault="001E2F9C" w:rsidP="001515D5">
            <w:r>
              <w:t>&gt;50</w:t>
            </w:r>
          </w:p>
        </w:tc>
      </w:tr>
      <w:tr w:rsidR="001E2F9C" w14:paraId="0E9B9F09" w14:textId="77777777" w:rsidTr="001515D5">
        <w:tc>
          <w:tcPr>
            <w:tcW w:w="4675" w:type="dxa"/>
            <w:vAlign w:val="bottom"/>
          </w:tcPr>
          <w:p w14:paraId="5A2A6991" w14:textId="77777777" w:rsidR="001E2F9C" w:rsidRDefault="001E2F9C" w:rsidP="001515D5">
            <w:r>
              <w:t>Georgetown</w:t>
            </w:r>
          </w:p>
        </w:tc>
        <w:tc>
          <w:tcPr>
            <w:tcW w:w="4675" w:type="dxa"/>
            <w:vAlign w:val="bottom"/>
          </w:tcPr>
          <w:p w14:paraId="2820D517" w14:textId="77777777" w:rsidR="001E2F9C" w:rsidRDefault="001E2F9C" w:rsidP="001515D5">
            <w:r>
              <w:t>31-50</w:t>
            </w:r>
          </w:p>
        </w:tc>
      </w:tr>
      <w:tr w:rsidR="001E2F9C" w14:paraId="67657741" w14:textId="77777777" w:rsidTr="001515D5">
        <w:tc>
          <w:tcPr>
            <w:tcW w:w="4675" w:type="dxa"/>
            <w:vAlign w:val="bottom"/>
          </w:tcPr>
          <w:p w14:paraId="0330E148" w14:textId="77777777" w:rsidR="001E2F9C" w:rsidRDefault="001E2F9C" w:rsidP="001515D5">
            <w:r>
              <w:t>Greenville</w:t>
            </w:r>
          </w:p>
        </w:tc>
        <w:tc>
          <w:tcPr>
            <w:tcW w:w="4675" w:type="dxa"/>
            <w:vAlign w:val="bottom"/>
          </w:tcPr>
          <w:p w14:paraId="053F45CD" w14:textId="77777777" w:rsidR="001E2F9C" w:rsidRDefault="001E2F9C" w:rsidP="001515D5">
            <w:r>
              <w:t>&gt;50</w:t>
            </w:r>
          </w:p>
        </w:tc>
      </w:tr>
      <w:tr w:rsidR="001E2F9C" w14:paraId="41F3C0C7" w14:textId="77777777" w:rsidTr="001515D5">
        <w:tc>
          <w:tcPr>
            <w:tcW w:w="4675" w:type="dxa"/>
            <w:vAlign w:val="bottom"/>
          </w:tcPr>
          <w:p w14:paraId="3A9CE8C7" w14:textId="77777777" w:rsidR="001E2F9C" w:rsidRDefault="001E2F9C" w:rsidP="001515D5">
            <w:r>
              <w:t>Greenwood</w:t>
            </w:r>
          </w:p>
        </w:tc>
        <w:tc>
          <w:tcPr>
            <w:tcW w:w="4675" w:type="dxa"/>
            <w:vAlign w:val="bottom"/>
          </w:tcPr>
          <w:p w14:paraId="309AE945" w14:textId="77777777" w:rsidR="001E2F9C" w:rsidRDefault="001E2F9C" w:rsidP="001515D5">
            <w:r>
              <w:t>31-50</w:t>
            </w:r>
          </w:p>
        </w:tc>
      </w:tr>
      <w:tr w:rsidR="001E2F9C" w14:paraId="2B354FF4" w14:textId="77777777" w:rsidTr="001515D5">
        <w:tc>
          <w:tcPr>
            <w:tcW w:w="4675" w:type="dxa"/>
            <w:vAlign w:val="bottom"/>
          </w:tcPr>
          <w:p w14:paraId="3F375B6C" w14:textId="77777777" w:rsidR="001E2F9C" w:rsidRDefault="001E2F9C" w:rsidP="001515D5">
            <w:r>
              <w:t>Hampton</w:t>
            </w:r>
          </w:p>
        </w:tc>
        <w:tc>
          <w:tcPr>
            <w:tcW w:w="4675" w:type="dxa"/>
            <w:vAlign w:val="bottom"/>
          </w:tcPr>
          <w:p w14:paraId="49BB22DD" w14:textId="77777777" w:rsidR="001E2F9C" w:rsidRDefault="001E2F9C" w:rsidP="001515D5">
            <w:r>
              <w:t>1-9</w:t>
            </w:r>
          </w:p>
        </w:tc>
      </w:tr>
      <w:tr w:rsidR="001E2F9C" w14:paraId="271BC059" w14:textId="77777777" w:rsidTr="001515D5">
        <w:tc>
          <w:tcPr>
            <w:tcW w:w="4675" w:type="dxa"/>
            <w:vAlign w:val="bottom"/>
          </w:tcPr>
          <w:p w14:paraId="37490B0C" w14:textId="77777777" w:rsidR="001E2F9C" w:rsidRDefault="001E2F9C" w:rsidP="001515D5">
            <w:r>
              <w:t>Horry</w:t>
            </w:r>
          </w:p>
        </w:tc>
        <w:tc>
          <w:tcPr>
            <w:tcW w:w="4675" w:type="dxa"/>
            <w:vAlign w:val="bottom"/>
          </w:tcPr>
          <w:p w14:paraId="0839A92C" w14:textId="77777777" w:rsidR="001E2F9C" w:rsidRDefault="001E2F9C" w:rsidP="001515D5">
            <w:r>
              <w:t>&gt;50</w:t>
            </w:r>
          </w:p>
        </w:tc>
      </w:tr>
      <w:tr w:rsidR="001E2F9C" w14:paraId="700848F7" w14:textId="77777777" w:rsidTr="001515D5">
        <w:tc>
          <w:tcPr>
            <w:tcW w:w="4675" w:type="dxa"/>
            <w:vAlign w:val="bottom"/>
          </w:tcPr>
          <w:p w14:paraId="6EAED51F" w14:textId="77777777" w:rsidR="001E2F9C" w:rsidRDefault="001E2F9C" w:rsidP="001515D5">
            <w:r>
              <w:t>Jasper</w:t>
            </w:r>
          </w:p>
        </w:tc>
        <w:tc>
          <w:tcPr>
            <w:tcW w:w="4675" w:type="dxa"/>
            <w:vAlign w:val="bottom"/>
          </w:tcPr>
          <w:p w14:paraId="4432E858" w14:textId="77777777" w:rsidR="001E2F9C" w:rsidRDefault="001E2F9C" w:rsidP="001515D5">
            <w:r>
              <w:t>10-30</w:t>
            </w:r>
          </w:p>
        </w:tc>
      </w:tr>
      <w:tr w:rsidR="001E2F9C" w14:paraId="22B094B8" w14:textId="77777777" w:rsidTr="001515D5">
        <w:tc>
          <w:tcPr>
            <w:tcW w:w="4675" w:type="dxa"/>
            <w:vAlign w:val="bottom"/>
          </w:tcPr>
          <w:p w14:paraId="08E41323" w14:textId="77777777" w:rsidR="001E2F9C" w:rsidRDefault="001E2F9C" w:rsidP="001515D5">
            <w:r>
              <w:t>Kershaw</w:t>
            </w:r>
          </w:p>
        </w:tc>
        <w:tc>
          <w:tcPr>
            <w:tcW w:w="4675" w:type="dxa"/>
            <w:vAlign w:val="bottom"/>
          </w:tcPr>
          <w:p w14:paraId="30BECC4E" w14:textId="77777777" w:rsidR="001E2F9C" w:rsidRDefault="001E2F9C" w:rsidP="001515D5">
            <w:r>
              <w:t>10-30</w:t>
            </w:r>
          </w:p>
        </w:tc>
      </w:tr>
      <w:tr w:rsidR="001E2F9C" w14:paraId="1815A33D" w14:textId="77777777" w:rsidTr="001515D5">
        <w:tc>
          <w:tcPr>
            <w:tcW w:w="4675" w:type="dxa"/>
            <w:vAlign w:val="bottom"/>
          </w:tcPr>
          <w:p w14:paraId="6B461C26" w14:textId="77777777" w:rsidR="001E2F9C" w:rsidRDefault="001E2F9C" w:rsidP="001515D5">
            <w:r>
              <w:t>Lancaster</w:t>
            </w:r>
          </w:p>
        </w:tc>
        <w:tc>
          <w:tcPr>
            <w:tcW w:w="4675" w:type="dxa"/>
            <w:vAlign w:val="bottom"/>
          </w:tcPr>
          <w:p w14:paraId="7BB2DEAE" w14:textId="77777777" w:rsidR="001E2F9C" w:rsidRDefault="001E2F9C" w:rsidP="001515D5">
            <w:r>
              <w:t>31-50</w:t>
            </w:r>
          </w:p>
        </w:tc>
      </w:tr>
      <w:tr w:rsidR="001E2F9C" w14:paraId="2FDC588B" w14:textId="77777777" w:rsidTr="001515D5">
        <w:tc>
          <w:tcPr>
            <w:tcW w:w="4675" w:type="dxa"/>
            <w:vAlign w:val="bottom"/>
          </w:tcPr>
          <w:p w14:paraId="11240F8A" w14:textId="77777777" w:rsidR="001E2F9C" w:rsidRDefault="001E2F9C" w:rsidP="001515D5">
            <w:r>
              <w:t>Laurens</w:t>
            </w:r>
          </w:p>
        </w:tc>
        <w:tc>
          <w:tcPr>
            <w:tcW w:w="4675" w:type="dxa"/>
            <w:vAlign w:val="bottom"/>
          </w:tcPr>
          <w:p w14:paraId="2F74D356" w14:textId="77777777" w:rsidR="001E2F9C" w:rsidRDefault="001E2F9C" w:rsidP="001515D5">
            <w:r>
              <w:t>10-30</w:t>
            </w:r>
          </w:p>
        </w:tc>
      </w:tr>
      <w:tr w:rsidR="001E2F9C" w14:paraId="711258C8" w14:textId="77777777" w:rsidTr="001515D5">
        <w:tc>
          <w:tcPr>
            <w:tcW w:w="4675" w:type="dxa"/>
            <w:vAlign w:val="bottom"/>
          </w:tcPr>
          <w:p w14:paraId="333D9F38" w14:textId="77777777" w:rsidR="001E2F9C" w:rsidRDefault="001E2F9C" w:rsidP="001515D5">
            <w:r>
              <w:t>Lee</w:t>
            </w:r>
          </w:p>
        </w:tc>
        <w:tc>
          <w:tcPr>
            <w:tcW w:w="4675" w:type="dxa"/>
            <w:vAlign w:val="bottom"/>
          </w:tcPr>
          <w:p w14:paraId="5E11EF33" w14:textId="77777777" w:rsidR="001E2F9C" w:rsidRDefault="001E2F9C" w:rsidP="001515D5">
            <w:r>
              <w:t>1-9</w:t>
            </w:r>
          </w:p>
        </w:tc>
      </w:tr>
      <w:tr w:rsidR="001E2F9C" w14:paraId="1A1A2662" w14:textId="77777777" w:rsidTr="001515D5">
        <w:tc>
          <w:tcPr>
            <w:tcW w:w="4675" w:type="dxa"/>
            <w:vAlign w:val="bottom"/>
          </w:tcPr>
          <w:p w14:paraId="67E4E804" w14:textId="77777777" w:rsidR="001E2F9C" w:rsidRDefault="001E2F9C" w:rsidP="001515D5">
            <w:r>
              <w:t>Lexington</w:t>
            </w:r>
          </w:p>
        </w:tc>
        <w:tc>
          <w:tcPr>
            <w:tcW w:w="4675" w:type="dxa"/>
            <w:vAlign w:val="bottom"/>
          </w:tcPr>
          <w:p w14:paraId="53A5C8EE" w14:textId="77777777" w:rsidR="001E2F9C" w:rsidRDefault="001E2F9C" w:rsidP="001515D5">
            <w:r>
              <w:t>&gt;50</w:t>
            </w:r>
          </w:p>
        </w:tc>
      </w:tr>
      <w:tr w:rsidR="001E2F9C" w14:paraId="66368115" w14:textId="77777777" w:rsidTr="001515D5">
        <w:tc>
          <w:tcPr>
            <w:tcW w:w="4675" w:type="dxa"/>
            <w:vAlign w:val="bottom"/>
          </w:tcPr>
          <w:p w14:paraId="783F41DC" w14:textId="77777777" w:rsidR="001E2F9C" w:rsidRDefault="001E2F9C" w:rsidP="001515D5">
            <w:r>
              <w:t>McCormick</w:t>
            </w:r>
          </w:p>
        </w:tc>
        <w:tc>
          <w:tcPr>
            <w:tcW w:w="4675" w:type="dxa"/>
            <w:vAlign w:val="bottom"/>
          </w:tcPr>
          <w:p w14:paraId="2DCE80F8" w14:textId="77777777" w:rsidR="001E2F9C" w:rsidRDefault="001E2F9C" w:rsidP="001515D5">
            <w:r>
              <w:t>0</w:t>
            </w:r>
          </w:p>
        </w:tc>
      </w:tr>
      <w:tr w:rsidR="001E2F9C" w14:paraId="60F99F90" w14:textId="77777777" w:rsidTr="001515D5">
        <w:tc>
          <w:tcPr>
            <w:tcW w:w="4675" w:type="dxa"/>
            <w:vAlign w:val="bottom"/>
          </w:tcPr>
          <w:p w14:paraId="5402FE69" w14:textId="77777777" w:rsidR="001E2F9C" w:rsidRDefault="001E2F9C" w:rsidP="001515D5">
            <w:r>
              <w:t>Marion</w:t>
            </w:r>
          </w:p>
        </w:tc>
        <w:tc>
          <w:tcPr>
            <w:tcW w:w="4675" w:type="dxa"/>
            <w:vAlign w:val="bottom"/>
          </w:tcPr>
          <w:p w14:paraId="11E6DEAF" w14:textId="77777777" w:rsidR="001E2F9C" w:rsidRDefault="001E2F9C" w:rsidP="001515D5">
            <w:r>
              <w:t>1-9</w:t>
            </w:r>
          </w:p>
        </w:tc>
      </w:tr>
      <w:tr w:rsidR="001E2F9C" w14:paraId="2C6E94B8" w14:textId="77777777" w:rsidTr="001515D5">
        <w:tc>
          <w:tcPr>
            <w:tcW w:w="4675" w:type="dxa"/>
            <w:vAlign w:val="bottom"/>
          </w:tcPr>
          <w:p w14:paraId="636B35CC" w14:textId="77777777" w:rsidR="001E2F9C" w:rsidRDefault="001E2F9C" w:rsidP="001515D5">
            <w:r>
              <w:t>Marlboro</w:t>
            </w:r>
          </w:p>
        </w:tc>
        <w:tc>
          <w:tcPr>
            <w:tcW w:w="4675" w:type="dxa"/>
            <w:vAlign w:val="bottom"/>
          </w:tcPr>
          <w:p w14:paraId="22FBAED3" w14:textId="77777777" w:rsidR="001E2F9C" w:rsidRDefault="001E2F9C" w:rsidP="001515D5">
            <w:r>
              <w:t>1-9</w:t>
            </w:r>
          </w:p>
        </w:tc>
      </w:tr>
      <w:tr w:rsidR="001E2F9C" w14:paraId="77F74E4E" w14:textId="77777777" w:rsidTr="001515D5">
        <w:tc>
          <w:tcPr>
            <w:tcW w:w="4675" w:type="dxa"/>
            <w:vAlign w:val="bottom"/>
          </w:tcPr>
          <w:p w14:paraId="294C15EF" w14:textId="77777777" w:rsidR="001E2F9C" w:rsidRDefault="001E2F9C" w:rsidP="001515D5">
            <w:r>
              <w:t>Newberry</w:t>
            </w:r>
          </w:p>
        </w:tc>
        <w:tc>
          <w:tcPr>
            <w:tcW w:w="4675" w:type="dxa"/>
            <w:vAlign w:val="bottom"/>
          </w:tcPr>
          <w:p w14:paraId="66F2496A" w14:textId="77777777" w:rsidR="001E2F9C" w:rsidRDefault="001E2F9C" w:rsidP="001515D5">
            <w:r>
              <w:t>1-9</w:t>
            </w:r>
          </w:p>
        </w:tc>
      </w:tr>
      <w:tr w:rsidR="001E2F9C" w14:paraId="1BFF1D4A" w14:textId="77777777" w:rsidTr="001515D5">
        <w:tc>
          <w:tcPr>
            <w:tcW w:w="4675" w:type="dxa"/>
            <w:vAlign w:val="bottom"/>
          </w:tcPr>
          <w:p w14:paraId="65840EA1" w14:textId="77777777" w:rsidR="001E2F9C" w:rsidRDefault="001E2F9C" w:rsidP="001515D5">
            <w:r>
              <w:t>Oconee</w:t>
            </w:r>
          </w:p>
        </w:tc>
        <w:tc>
          <w:tcPr>
            <w:tcW w:w="4675" w:type="dxa"/>
            <w:vAlign w:val="bottom"/>
          </w:tcPr>
          <w:p w14:paraId="16321FEA" w14:textId="77777777" w:rsidR="001E2F9C" w:rsidRDefault="001E2F9C" w:rsidP="001515D5">
            <w:r>
              <w:t>10-30</w:t>
            </w:r>
          </w:p>
        </w:tc>
      </w:tr>
      <w:tr w:rsidR="001E2F9C" w14:paraId="5AF46C07" w14:textId="77777777" w:rsidTr="001515D5">
        <w:tc>
          <w:tcPr>
            <w:tcW w:w="4675" w:type="dxa"/>
            <w:vAlign w:val="bottom"/>
          </w:tcPr>
          <w:p w14:paraId="25136C16" w14:textId="77777777" w:rsidR="001E2F9C" w:rsidRDefault="001E2F9C" w:rsidP="001515D5">
            <w:r>
              <w:t>Orangeburg</w:t>
            </w:r>
          </w:p>
        </w:tc>
        <w:tc>
          <w:tcPr>
            <w:tcW w:w="4675" w:type="dxa"/>
            <w:vAlign w:val="bottom"/>
          </w:tcPr>
          <w:p w14:paraId="7526576A" w14:textId="77777777" w:rsidR="001E2F9C" w:rsidRDefault="001E2F9C" w:rsidP="001515D5">
            <w:r>
              <w:t>10-30</w:t>
            </w:r>
          </w:p>
        </w:tc>
      </w:tr>
      <w:tr w:rsidR="001E2F9C" w14:paraId="28185A32" w14:textId="77777777" w:rsidTr="001515D5">
        <w:tc>
          <w:tcPr>
            <w:tcW w:w="4675" w:type="dxa"/>
            <w:vAlign w:val="bottom"/>
          </w:tcPr>
          <w:p w14:paraId="6DE11F62" w14:textId="77777777" w:rsidR="001E2F9C" w:rsidRDefault="001E2F9C" w:rsidP="001515D5">
            <w:r>
              <w:t>Pickens</w:t>
            </w:r>
          </w:p>
        </w:tc>
        <w:tc>
          <w:tcPr>
            <w:tcW w:w="4675" w:type="dxa"/>
            <w:vAlign w:val="bottom"/>
          </w:tcPr>
          <w:p w14:paraId="707DE072" w14:textId="77777777" w:rsidR="001E2F9C" w:rsidRDefault="001E2F9C" w:rsidP="001515D5">
            <w:r>
              <w:t>31-50</w:t>
            </w:r>
          </w:p>
        </w:tc>
      </w:tr>
      <w:tr w:rsidR="001E2F9C" w14:paraId="4AF0B75D" w14:textId="77777777" w:rsidTr="001515D5">
        <w:tc>
          <w:tcPr>
            <w:tcW w:w="4675" w:type="dxa"/>
            <w:vAlign w:val="bottom"/>
          </w:tcPr>
          <w:p w14:paraId="4948EF7A" w14:textId="77777777" w:rsidR="001E2F9C" w:rsidRDefault="001E2F9C" w:rsidP="001515D5">
            <w:r>
              <w:t>Richland</w:t>
            </w:r>
          </w:p>
        </w:tc>
        <w:tc>
          <w:tcPr>
            <w:tcW w:w="4675" w:type="dxa"/>
            <w:vAlign w:val="bottom"/>
          </w:tcPr>
          <w:p w14:paraId="0E1807D2" w14:textId="77777777" w:rsidR="001E2F9C" w:rsidRDefault="001E2F9C" w:rsidP="001515D5">
            <w:r>
              <w:t>&gt;50</w:t>
            </w:r>
          </w:p>
        </w:tc>
      </w:tr>
      <w:tr w:rsidR="001E2F9C" w14:paraId="49986F0D" w14:textId="77777777" w:rsidTr="001515D5">
        <w:tc>
          <w:tcPr>
            <w:tcW w:w="4675" w:type="dxa"/>
            <w:vAlign w:val="bottom"/>
          </w:tcPr>
          <w:p w14:paraId="0FB74DD8" w14:textId="77777777" w:rsidR="001E2F9C" w:rsidRDefault="001E2F9C" w:rsidP="001515D5">
            <w:r>
              <w:lastRenderedPageBreak/>
              <w:t>Saluda</w:t>
            </w:r>
          </w:p>
        </w:tc>
        <w:tc>
          <w:tcPr>
            <w:tcW w:w="4675" w:type="dxa"/>
            <w:vAlign w:val="bottom"/>
          </w:tcPr>
          <w:p w14:paraId="06320FE5" w14:textId="77777777" w:rsidR="001E2F9C" w:rsidRDefault="001E2F9C" w:rsidP="001515D5">
            <w:r>
              <w:t>1-9</w:t>
            </w:r>
          </w:p>
        </w:tc>
      </w:tr>
      <w:tr w:rsidR="001E2F9C" w14:paraId="0E4E22A0" w14:textId="77777777" w:rsidTr="001515D5">
        <w:tc>
          <w:tcPr>
            <w:tcW w:w="4675" w:type="dxa"/>
            <w:vAlign w:val="bottom"/>
          </w:tcPr>
          <w:p w14:paraId="77E91BAA" w14:textId="77777777" w:rsidR="001E2F9C" w:rsidRDefault="001E2F9C" w:rsidP="001515D5">
            <w:r>
              <w:t>Spartanburg</w:t>
            </w:r>
          </w:p>
        </w:tc>
        <w:tc>
          <w:tcPr>
            <w:tcW w:w="4675" w:type="dxa"/>
            <w:vAlign w:val="bottom"/>
          </w:tcPr>
          <w:p w14:paraId="44D72FB6" w14:textId="77777777" w:rsidR="001E2F9C" w:rsidRDefault="001E2F9C" w:rsidP="001515D5">
            <w:r>
              <w:t>&gt;50</w:t>
            </w:r>
          </w:p>
        </w:tc>
      </w:tr>
      <w:tr w:rsidR="001E2F9C" w14:paraId="6276562E" w14:textId="77777777" w:rsidTr="001515D5">
        <w:tc>
          <w:tcPr>
            <w:tcW w:w="4675" w:type="dxa"/>
            <w:vAlign w:val="bottom"/>
          </w:tcPr>
          <w:p w14:paraId="66930EDE" w14:textId="77777777" w:rsidR="001E2F9C" w:rsidRDefault="001E2F9C" w:rsidP="001515D5">
            <w:r>
              <w:t>Sumter</w:t>
            </w:r>
          </w:p>
        </w:tc>
        <w:tc>
          <w:tcPr>
            <w:tcW w:w="4675" w:type="dxa"/>
            <w:vAlign w:val="bottom"/>
          </w:tcPr>
          <w:p w14:paraId="32AE4413" w14:textId="77777777" w:rsidR="001E2F9C" w:rsidRDefault="001E2F9C" w:rsidP="001515D5">
            <w:r>
              <w:t>10-30</w:t>
            </w:r>
          </w:p>
        </w:tc>
      </w:tr>
      <w:tr w:rsidR="001E2F9C" w14:paraId="007A7081" w14:textId="77777777" w:rsidTr="001515D5">
        <w:tc>
          <w:tcPr>
            <w:tcW w:w="4675" w:type="dxa"/>
            <w:vAlign w:val="bottom"/>
          </w:tcPr>
          <w:p w14:paraId="70D51546" w14:textId="77777777" w:rsidR="001E2F9C" w:rsidRDefault="001E2F9C" w:rsidP="001515D5">
            <w:r>
              <w:t>Union</w:t>
            </w:r>
          </w:p>
        </w:tc>
        <w:tc>
          <w:tcPr>
            <w:tcW w:w="4675" w:type="dxa"/>
            <w:vAlign w:val="bottom"/>
          </w:tcPr>
          <w:p w14:paraId="399E1438" w14:textId="77777777" w:rsidR="001E2F9C" w:rsidRDefault="001E2F9C" w:rsidP="001515D5">
            <w:r>
              <w:t>10-30</w:t>
            </w:r>
          </w:p>
        </w:tc>
      </w:tr>
      <w:tr w:rsidR="001E2F9C" w14:paraId="04A99A22" w14:textId="77777777" w:rsidTr="001515D5">
        <w:tc>
          <w:tcPr>
            <w:tcW w:w="4675" w:type="dxa"/>
            <w:vAlign w:val="bottom"/>
          </w:tcPr>
          <w:p w14:paraId="743AB544" w14:textId="77777777" w:rsidR="001E2F9C" w:rsidRDefault="001E2F9C" w:rsidP="001515D5">
            <w:r>
              <w:t>Williamsburg</w:t>
            </w:r>
          </w:p>
        </w:tc>
        <w:tc>
          <w:tcPr>
            <w:tcW w:w="4675" w:type="dxa"/>
            <w:vAlign w:val="bottom"/>
          </w:tcPr>
          <w:p w14:paraId="0B48D896" w14:textId="77777777" w:rsidR="001E2F9C" w:rsidRDefault="001E2F9C" w:rsidP="001515D5">
            <w:r>
              <w:t>10-30</w:t>
            </w:r>
          </w:p>
        </w:tc>
      </w:tr>
      <w:tr w:rsidR="001E2F9C" w14:paraId="5975B97B" w14:textId="77777777" w:rsidTr="001515D5">
        <w:tc>
          <w:tcPr>
            <w:tcW w:w="4675" w:type="dxa"/>
            <w:vAlign w:val="bottom"/>
          </w:tcPr>
          <w:p w14:paraId="798AC132" w14:textId="77777777" w:rsidR="001E2F9C" w:rsidRDefault="001E2F9C" w:rsidP="001515D5">
            <w:r>
              <w:t>York</w:t>
            </w:r>
          </w:p>
        </w:tc>
        <w:tc>
          <w:tcPr>
            <w:tcW w:w="4675" w:type="dxa"/>
            <w:vAlign w:val="bottom"/>
          </w:tcPr>
          <w:p w14:paraId="5B2299DE" w14:textId="77777777" w:rsidR="001E2F9C" w:rsidRDefault="001E2F9C" w:rsidP="001515D5">
            <w:r>
              <w:t>&gt;50</w:t>
            </w:r>
          </w:p>
        </w:tc>
      </w:tr>
    </w:tbl>
    <w:p w14:paraId="145989BD" w14:textId="77777777" w:rsidR="001E2F9C" w:rsidRPr="00B91867" w:rsidRDefault="001E2F9C" w:rsidP="001E2F9C">
      <w:r w:rsidRPr="00B91867">
        <w:t xml:space="preserve">Source: </w:t>
      </w:r>
      <w:r>
        <w:t>SC DHEC Vital Statistics, 2021.</w:t>
      </w:r>
    </w:p>
    <w:p w14:paraId="4A05DA45" w14:textId="77777777" w:rsidR="001E2F9C" w:rsidRDefault="001E2F9C" w:rsidP="001E2F9C"/>
    <w:p w14:paraId="5D937543" w14:textId="77777777" w:rsidR="001E2F9C" w:rsidRDefault="001E2F9C" w:rsidP="001E2F9C">
      <w:pPr>
        <w:pStyle w:val="Heading4"/>
      </w:pPr>
      <w:bookmarkStart w:id="137" w:name="_Toc154569784"/>
      <w:bookmarkStart w:id="138" w:name="_Toc162267079"/>
      <w:r>
        <w:t>Figure 5.11:</w:t>
      </w:r>
      <w:r w:rsidRPr="00D50218">
        <w:t xml:space="preserve"> </w:t>
      </w:r>
      <w:r>
        <w:t>Overdose Deaths Among Males, by Race/Ethnicity and Age Group.</w:t>
      </w:r>
      <w:bookmarkEnd w:id="137"/>
      <w:bookmarkEnd w:id="138"/>
    </w:p>
    <w:p w14:paraId="63E1922E" w14:textId="77777777" w:rsidR="002748B7" w:rsidRPr="00637B75" w:rsidRDefault="002748B7" w:rsidP="002748B7">
      <w:pPr>
        <w:pStyle w:val="Heading5"/>
      </w:pPr>
      <w:r>
        <w:t>Rate per 100,000 population.</w:t>
      </w:r>
    </w:p>
    <w:tbl>
      <w:tblPr>
        <w:tblStyle w:val="TableGrid"/>
        <w:tblW w:w="0" w:type="auto"/>
        <w:tblLook w:val="04A0" w:firstRow="1" w:lastRow="0" w:firstColumn="1" w:lastColumn="0" w:noHBand="0" w:noVBand="1"/>
      </w:tblPr>
      <w:tblGrid>
        <w:gridCol w:w="3116"/>
        <w:gridCol w:w="3117"/>
        <w:gridCol w:w="3117"/>
      </w:tblGrid>
      <w:tr w:rsidR="001E2F9C" w14:paraId="2701CDBD" w14:textId="77777777" w:rsidTr="001515D5">
        <w:tc>
          <w:tcPr>
            <w:tcW w:w="3116" w:type="dxa"/>
            <w:vAlign w:val="bottom"/>
          </w:tcPr>
          <w:p w14:paraId="7B0DD43D" w14:textId="77777777" w:rsidR="001E2F9C" w:rsidRDefault="001E2F9C" w:rsidP="001515D5">
            <w:r>
              <w:t>Age Group</w:t>
            </w:r>
          </w:p>
        </w:tc>
        <w:tc>
          <w:tcPr>
            <w:tcW w:w="3117" w:type="dxa"/>
            <w:vAlign w:val="bottom"/>
          </w:tcPr>
          <w:p w14:paraId="5C942BCF" w14:textId="77777777" w:rsidR="001E2F9C" w:rsidRDefault="001E2F9C" w:rsidP="001515D5">
            <w:r>
              <w:t>Race</w:t>
            </w:r>
          </w:p>
        </w:tc>
        <w:tc>
          <w:tcPr>
            <w:tcW w:w="3117" w:type="dxa"/>
            <w:vAlign w:val="bottom"/>
          </w:tcPr>
          <w:p w14:paraId="3B618395" w14:textId="77777777" w:rsidR="001E2F9C" w:rsidRDefault="001E2F9C" w:rsidP="001515D5">
            <w:r>
              <w:t>Rate</w:t>
            </w:r>
          </w:p>
        </w:tc>
      </w:tr>
      <w:tr w:rsidR="001E2F9C" w14:paraId="1188536B" w14:textId="77777777" w:rsidTr="001515D5">
        <w:tc>
          <w:tcPr>
            <w:tcW w:w="3116" w:type="dxa"/>
            <w:vAlign w:val="bottom"/>
          </w:tcPr>
          <w:p w14:paraId="0B3E80A3" w14:textId="77777777" w:rsidR="001E2F9C" w:rsidRDefault="001E2F9C" w:rsidP="001515D5">
            <w:r>
              <w:rPr>
                <w:color w:val="000000"/>
              </w:rPr>
              <w:t>&lt;25</w:t>
            </w:r>
          </w:p>
        </w:tc>
        <w:tc>
          <w:tcPr>
            <w:tcW w:w="3117" w:type="dxa"/>
            <w:vAlign w:val="bottom"/>
          </w:tcPr>
          <w:p w14:paraId="77D9B0CC" w14:textId="77777777" w:rsidR="001E2F9C" w:rsidRDefault="001E2F9C" w:rsidP="001515D5">
            <w:r>
              <w:rPr>
                <w:color w:val="000000"/>
              </w:rPr>
              <w:t>Non-Hispanic White</w:t>
            </w:r>
          </w:p>
        </w:tc>
        <w:tc>
          <w:tcPr>
            <w:tcW w:w="3117" w:type="dxa"/>
            <w:vAlign w:val="bottom"/>
          </w:tcPr>
          <w:p w14:paraId="75607C2A" w14:textId="77777777" w:rsidR="001E2F9C" w:rsidRDefault="001E2F9C" w:rsidP="001515D5">
            <w:r>
              <w:rPr>
                <w:color w:val="000000"/>
              </w:rPr>
              <w:t>13.4</w:t>
            </w:r>
          </w:p>
        </w:tc>
      </w:tr>
      <w:tr w:rsidR="001E2F9C" w14:paraId="22F31250" w14:textId="77777777" w:rsidTr="001515D5">
        <w:tc>
          <w:tcPr>
            <w:tcW w:w="3116" w:type="dxa"/>
            <w:vAlign w:val="bottom"/>
          </w:tcPr>
          <w:p w14:paraId="35F4E299" w14:textId="77777777" w:rsidR="001E2F9C" w:rsidRDefault="001E2F9C" w:rsidP="001515D5">
            <w:r>
              <w:rPr>
                <w:color w:val="000000"/>
              </w:rPr>
              <w:t>25-34</w:t>
            </w:r>
          </w:p>
        </w:tc>
        <w:tc>
          <w:tcPr>
            <w:tcW w:w="3117" w:type="dxa"/>
            <w:vAlign w:val="bottom"/>
          </w:tcPr>
          <w:p w14:paraId="0EA5E04D" w14:textId="77777777" w:rsidR="001E2F9C" w:rsidRDefault="001E2F9C" w:rsidP="001515D5">
            <w:r>
              <w:rPr>
                <w:color w:val="000000"/>
              </w:rPr>
              <w:t>Non-Hispanic White</w:t>
            </w:r>
          </w:p>
        </w:tc>
        <w:tc>
          <w:tcPr>
            <w:tcW w:w="3117" w:type="dxa"/>
            <w:vAlign w:val="bottom"/>
          </w:tcPr>
          <w:p w14:paraId="0C9A9FD9" w14:textId="77777777" w:rsidR="001E2F9C" w:rsidRDefault="001E2F9C" w:rsidP="001515D5">
            <w:r>
              <w:rPr>
                <w:color w:val="000000"/>
              </w:rPr>
              <w:t>94.5</w:t>
            </w:r>
          </w:p>
        </w:tc>
      </w:tr>
      <w:tr w:rsidR="001E2F9C" w14:paraId="5812898D" w14:textId="77777777" w:rsidTr="001515D5">
        <w:tc>
          <w:tcPr>
            <w:tcW w:w="3116" w:type="dxa"/>
            <w:vAlign w:val="bottom"/>
          </w:tcPr>
          <w:p w14:paraId="62124FAB" w14:textId="77777777" w:rsidR="001E2F9C" w:rsidRDefault="001E2F9C" w:rsidP="001515D5">
            <w:r>
              <w:rPr>
                <w:color w:val="000000"/>
              </w:rPr>
              <w:t>35-44</w:t>
            </w:r>
          </w:p>
        </w:tc>
        <w:tc>
          <w:tcPr>
            <w:tcW w:w="3117" w:type="dxa"/>
            <w:vAlign w:val="bottom"/>
          </w:tcPr>
          <w:p w14:paraId="73872D55" w14:textId="77777777" w:rsidR="001E2F9C" w:rsidRDefault="001E2F9C" w:rsidP="001515D5">
            <w:r>
              <w:rPr>
                <w:color w:val="000000"/>
              </w:rPr>
              <w:t>Non-Hispanic White</w:t>
            </w:r>
          </w:p>
        </w:tc>
        <w:tc>
          <w:tcPr>
            <w:tcW w:w="3117" w:type="dxa"/>
            <w:vAlign w:val="bottom"/>
          </w:tcPr>
          <w:p w14:paraId="23E30A65" w14:textId="77777777" w:rsidR="001E2F9C" w:rsidRDefault="001E2F9C" w:rsidP="001515D5">
            <w:r>
              <w:rPr>
                <w:color w:val="000000"/>
              </w:rPr>
              <w:t>101.0</w:t>
            </w:r>
          </w:p>
        </w:tc>
      </w:tr>
      <w:tr w:rsidR="001E2F9C" w14:paraId="1A64E46A" w14:textId="77777777" w:rsidTr="001515D5">
        <w:tc>
          <w:tcPr>
            <w:tcW w:w="3116" w:type="dxa"/>
            <w:vAlign w:val="bottom"/>
          </w:tcPr>
          <w:p w14:paraId="5A33BD4A" w14:textId="77777777" w:rsidR="001E2F9C" w:rsidRDefault="001E2F9C" w:rsidP="001515D5">
            <w:r>
              <w:rPr>
                <w:color w:val="000000"/>
              </w:rPr>
              <w:t>45-54</w:t>
            </w:r>
          </w:p>
        </w:tc>
        <w:tc>
          <w:tcPr>
            <w:tcW w:w="3117" w:type="dxa"/>
            <w:vAlign w:val="bottom"/>
          </w:tcPr>
          <w:p w14:paraId="0DF19C46" w14:textId="77777777" w:rsidR="001E2F9C" w:rsidRDefault="001E2F9C" w:rsidP="001515D5">
            <w:r>
              <w:rPr>
                <w:color w:val="000000"/>
              </w:rPr>
              <w:t>Non-Hispanic White</w:t>
            </w:r>
          </w:p>
        </w:tc>
        <w:tc>
          <w:tcPr>
            <w:tcW w:w="3117" w:type="dxa"/>
            <w:vAlign w:val="bottom"/>
          </w:tcPr>
          <w:p w14:paraId="0904DB7C" w14:textId="77777777" w:rsidR="001E2F9C" w:rsidRDefault="001E2F9C" w:rsidP="001515D5">
            <w:r>
              <w:rPr>
                <w:color w:val="000000"/>
              </w:rPr>
              <w:t>73.8</w:t>
            </w:r>
          </w:p>
        </w:tc>
      </w:tr>
      <w:tr w:rsidR="001E2F9C" w14:paraId="772FE08F" w14:textId="77777777" w:rsidTr="001515D5">
        <w:tc>
          <w:tcPr>
            <w:tcW w:w="3116" w:type="dxa"/>
            <w:vAlign w:val="bottom"/>
          </w:tcPr>
          <w:p w14:paraId="2B9B6B1C" w14:textId="77777777" w:rsidR="001E2F9C" w:rsidRDefault="001E2F9C" w:rsidP="001515D5">
            <w:r>
              <w:rPr>
                <w:color w:val="000000"/>
              </w:rPr>
              <w:t>55-64</w:t>
            </w:r>
          </w:p>
        </w:tc>
        <w:tc>
          <w:tcPr>
            <w:tcW w:w="3117" w:type="dxa"/>
            <w:vAlign w:val="bottom"/>
          </w:tcPr>
          <w:p w14:paraId="0468D848" w14:textId="77777777" w:rsidR="001E2F9C" w:rsidRDefault="001E2F9C" w:rsidP="001515D5">
            <w:r>
              <w:rPr>
                <w:color w:val="000000"/>
              </w:rPr>
              <w:t>Non-Hispanic White</w:t>
            </w:r>
          </w:p>
        </w:tc>
        <w:tc>
          <w:tcPr>
            <w:tcW w:w="3117" w:type="dxa"/>
            <w:vAlign w:val="bottom"/>
          </w:tcPr>
          <w:p w14:paraId="453E0418" w14:textId="77777777" w:rsidR="001E2F9C" w:rsidRDefault="001E2F9C" w:rsidP="001515D5">
            <w:r>
              <w:rPr>
                <w:color w:val="000000"/>
              </w:rPr>
              <w:t>46.9</w:t>
            </w:r>
          </w:p>
        </w:tc>
      </w:tr>
      <w:tr w:rsidR="001E2F9C" w14:paraId="234FDBEE" w14:textId="77777777" w:rsidTr="001515D5">
        <w:tc>
          <w:tcPr>
            <w:tcW w:w="3116" w:type="dxa"/>
            <w:vAlign w:val="bottom"/>
          </w:tcPr>
          <w:p w14:paraId="02C6D7F9" w14:textId="77777777" w:rsidR="001E2F9C" w:rsidRDefault="001E2F9C" w:rsidP="001515D5">
            <w:r>
              <w:rPr>
                <w:color w:val="000000"/>
              </w:rPr>
              <w:t>65-74</w:t>
            </w:r>
          </w:p>
        </w:tc>
        <w:tc>
          <w:tcPr>
            <w:tcW w:w="3117" w:type="dxa"/>
            <w:vAlign w:val="bottom"/>
          </w:tcPr>
          <w:p w14:paraId="21580EE6" w14:textId="77777777" w:rsidR="001E2F9C" w:rsidRDefault="001E2F9C" w:rsidP="001515D5">
            <w:r>
              <w:rPr>
                <w:color w:val="000000"/>
              </w:rPr>
              <w:t>Non-Hispanic White</w:t>
            </w:r>
          </w:p>
        </w:tc>
        <w:tc>
          <w:tcPr>
            <w:tcW w:w="3117" w:type="dxa"/>
            <w:vAlign w:val="bottom"/>
          </w:tcPr>
          <w:p w14:paraId="4A40642D" w14:textId="77777777" w:rsidR="001E2F9C" w:rsidRDefault="001E2F9C" w:rsidP="001515D5">
            <w:r>
              <w:rPr>
                <w:color w:val="000000"/>
              </w:rPr>
              <w:t>13.0</w:t>
            </w:r>
          </w:p>
        </w:tc>
      </w:tr>
      <w:tr w:rsidR="001E2F9C" w14:paraId="1C44E2D1" w14:textId="77777777" w:rsidTr="001515D5">
        <w:tc>
          <w:tcPr>
            <w:tcW w:w="3116" w:type="dxa"/>
            <w:vAlign w:val="bottom"/>
          </w:tcPr>
          <w:p w14:paraId="49B4FB2C" w14:textId="77777777" w:rsidR="001E2F9C" w:rsidRDefault="001E2F9C" w:rsidP="001515D5">
            <w:r>
              <w:rPr>
                <w:color w:val="000000"/>
              </w:rPr>
              <w:t>75+</w:t>
            </w:r>
          </w:p>
        </w:tc>
        <w:tc>
          <w:tcPr>
            <w:tcW w:w="3117" w:type="dxa"/>
            <w:vAlign w:val="bottom"/>
          </w:tcPr>
          <w:p w14:paraId="3F14AC4A" w14:textId="77777777" w:rsidR="001E2F9C" w:rsidRDefault="001E2F9C" w:rsidP="001515D5">
            <w:r>
              <w:rPr>
                <w:color w:val="000000"/>
              </w:rPr>
              <w:t>Non-Hispanic White</w:t>
            </w:r>
          </w:p>
        </w:tc>
        <w:tc>
          <w:tcPr>
            <w:tcW w:w="3117" w:type="dxa"/>
            <w:vAlign w:val="bottom"/>
          </w:tcPr>
          <w:p w14:paraId="17225C8A" w14:textId="77777777" w:rsidR="001E2F9C" w:rsidRDefault="001E2F9C" w:rsidP="001515D5">
            <w:r>
              <w:rPr>
                <w:color w:val="000000"/>
              </w:rPr>
              <w:t>4.6</w:t>
            </w:r>
          </w:p>
        </w:tc>
      </w:tr>
      <w:tr w:rsidR="001E2F9C" w14:paraId="5888047B" w14:textId="77777777" w:rsidTr="001515D5">
        <w:tc>
          <w:tcPr>
            <w:tcW w:w="3116" w:type="dxa"/>
            <w:vAlign w:val="bottom"/>
          </w:tcPr>
          <w:p w14:paraId="19BE26BF" w14:textId="77777777" w:rsidR="001E2F9C" w:rsidRDefault="001E2F9C" w:rsidP="001515D5">
            <w:r>
              <w:rPr>
                <w:color w:val="000000"/>
              </w:rPr>
              <w:t>&lt;25</w:t>
            </w:r>
          </w:p>
        </w:tc>
        <w:tc>
          <w:tcPr>
            <w:tcW w:w="3117" w:type="dxa"/>
            <w:vAlign w:val="bottom"/>
          </w:tcPr>
          <w:p w14:paraId="2EE1376B" w14:textId="77777777" w:rsidR="001E2F9C" w:rsidRDefault="001E2F9C" w:rsidP="001515D5">
            <w:r>
              <w:rPr>
                <w:color w:val="000000"/>
              </w:rPr>
              <w:t>Non-Hispanic Black</w:t>
            </w:r>
          </w:p>
        </w:tc>
        <w:tc>
          <w:tcPr>
            <w:tcW w:w="3117" w:type="dxa"/>
            <w:vAlign w:val="bottom"/>
          </w:tcPr>
          <w:p w14:paraId="1117C908" w14:textId="77777777" w:rsidR="001E2F9C" w:rsidRDefault="001E2F9C" w:rsidP="001515D5">
            <w:r>
              <w:rPr>
                <w:color w:val="000000"/>
              </w:rPr>
              <w:t>4.2</w:t>
            </w:r>
          </w:p>
        </w:tc>
      </w:tr>
      <w:tr w:rsidR="001E2F9C" w14:paraId="10B9BC53" w14:textId="77777777" w:rsidTr="001515D5">
        <w:tc>
          <w:tcPr>
            <w:tcW w:w="3116" w:type="dxa"/>
            <w:vAlign w:val="bottom"/>
          </w:tcPr>
          <w:p w14:paraId="7520D4F2" w14:textId="77777777" w:rsidR="001E2F9C" w:rsidRDefault="001E2F9C" w:rsidP="001515D5">
            <w:r>
              <w:rPr>
                <w:color w:val="000000"/>
              </w:rPr>
              <w:t>25-34</w:t>
            </w:r>
          </w:p>
        </w:tc>
        <w:tc>
          <w:tcPr>
            <w:tcW w:w="3117" w:type="dxa"/>
            <w:vAlign w:val="bottom"/>
          </w:tcPr>
          <w:p w14:paraId="07964832" w14:textId="77777777" w:rsidR="001E2F9C" w:rsidRDefault="001E2F9C" w:rsidP="001515D5">
            <w:r>
              <w:rPr>
                <w:color w:val="000000"/>
              </w:rPr>
              <w:t>Non-Hispanic Black</w:t>
            </w:r>
          </w:p>
        </w:tc>
        <w:tc>
          <w:tcPr>
            <w:tcW w:w="3117" w:type="dxa"/>
            <w:vAlign w:val="bottom"/>
          </w:tcPr>
          <w:p w14:paraId="2B5C5871" w14:textId="77777777" w:rsidR="001E2F9C" w:rsidRDefault="001E2F9C" w:rsidP="001515D5">
            <w:r>
              <w:rPr>
                <w:color w:val="000000"/>
              </w:rPr>
              <w:t>32.8</w:t>
            </w:r>
          </w:p>
        </w:tc>
      </w:tr>
      <w:tr w:rsidR="001E2F9C" w14:paraId="5EC33354" w14:textId="77777777" w:rsidTr="001515D5">
        <w:tc>
          <w:tcPr>
            <w:tcW w:w="3116" w:type="dxa"/>
            <w:vAlign w:val="bottom"/>
          </w:tcPr>
          <w:p w14:paraId="407A6464" w14:textId="77777777" w:rsidR="001E2F9C" w:rsidRDefault="001E2F9C" w:rsidP="001515D5">
            <w:r>
              <w:rPr>
                <w:color w:val="000000"/>
              </w:rPr>
              <w:t>35-44</w:t>
            </w:r>
          </w:p>
        </w:tc>
        <w:tc>
          <w:tcPr>
            <w:tcW w:w="3117" w:type="dxa"/>
            <w:vAlign w:val="bottom"/>
          </w:tcPr>
          <w:p w14:paraId="326A188F" w14:textId="77777777" w:rsidR="001E2F9C" w:rsidRDefault="001E2F9C" w:rsidP="001515D5">
            <w:r>
              <w:rPr>
                <w:color w:val="000000"/>
              </w:rPr>
              <w:t>Non-Hispanic Black</w:t>
            </w:r>
          </w:p>
        </w:tc>
        <w:tc>
          <w:tcPr>
            <w:tcW w:w="3117" w:type="dxa"/>
            <w:vAlign w:val="bottom"/>
          </w:tcPr>
          <w:p w14:paraId="2B3D03B0" w14:textId="77777777" w:rsidR="001E2F9C" w:rsidRDefault="001E2F9C" w:rsidP="001515D5">
            <w:r>
              <w:rPr>
                <w:color w:val="000000"/>
              </w:rPr>
              <w:t>56.0</w:t>
            </w:r>
          </w:p>
        </w:tc>
      </w:tr>
      <w:tr w:rsidR="001E2F9C" w14:paraId="0ABEBD9D" w14:textId="77777777" w:rsidTr="001515D5">
        <w:tc>
          <w:tcPr>
            <w:tcW w:w="3116" w:type="dxa"/>
            <w:vAlign w:val="bottom"/>
          </w:tcPr>
          <w:p w14:paraId="019506CB" w14:textId="77777777" w:rsidR="001E2F9C" w:rsidRDefault="001E2F9C" w:rsidP="001515D5">
            <w:r>
              <w:rPr>
                <w:color w:val="000000"/>
              </w:rPr>
              <w:t>45-54</w:t>
            </w:r>
          </w:p>
        </w:tc>
        <w:tc>
          <w:tcPr>
            <w:tcW w:w="3117" w:type="dxa"/>
            <w:vAlign w:val="bottom"/>
          </w:tcPr>
          <w:p w14:paraId="4D325517" w14:textId="77777777" w:rsidR="001E2F9C" w:rsidRDefault="001E2F9C" w:rsidP="001515D5">
            <w:r>
              <w:rPr>
                <w:color w:val="000000"/>
              </w:rPr>
              <w:t>Non-Hispanic Black</w:t>
            </w:r>
          </w:p>
        </w:tc>
        <w:tc>
          <w:tcPr>
            <w:tcW w:w="3117" w:type="dxa"/>
            <w:vAlign w:val="bottom"/>
          </w:tcPr>
          <w:p w14:paraId="1EF727CE" w14:textId="77777777" w:rsidR="001E2F9C" w:rsidRDefault="001E2F9C" w:rsidP="001515D5">
            <w:r>
              <w:rPr>
                <w:color w:val="000000"/>
              </w:rPr>
              <w:t>46.8</w:t>
            </w:r>
          </w:p>
        </w:tc>
      </w:tr>
      <w:tr w:rsidR="001E2F9C" w14:paraId="10BB6A7D" w14:textId="77777777" w:rsidTr="001515D5">
        <w:tc>
          <w:tcPr>
            <w:tcW w:w="3116" w:type="dxa"/>
            <w:vAlign w:val="bottom"/>
          </w:tcPr>
          <w:p w14:paraId="527CF737" w14:textId="77777777" w:rsidR="001E2F9C" w:rsidRDefault="001E2F9C" w:rsidP="001515D5">
            <w:r>
              <w:rPr>
                <w:color w:val="000000"/>
              </w:rPr>
              <w:t>55-64</w:t>
            </w:r>
          </w:p>
        </w:tc>
        <w:tc>
          <w:tcPr>
            <w:tcW w:w="3117" w:type="dxa"/>
            <w:vAlign w:val="bottom"/>
          </w:tcPr>
          <w:p w14:paraId="1F24E840" w14:textId="77777777" w:rsidR="001E2F9C" w:rsidRDefault="001E2F9C" w:rsidP="001515D5">
            <w:r>
              <w:rPr>
                <w:color w:val="000000"/>
              </w:rPr>
              <w:t>Non-Hispanic Black</w:t>
            </w:r>
          </w:p>
        </w:tc>
        <w:tc>
          <w:tcPr>
            <w:tcW w:w="3117" w:type="dxa"/>
            <w:vAlign w:val="bottom"/>
          </w:tcPr>
          <w:p w14:paraId="65EEAEF9" w14:textId="77777777" w:rsidR="001E2F9C" w:rsidRDefault="001E2F9C" w:rsidP="001515D5">
            <w:r>
              <w:rPr>
                <w:color w:val="000000"/>
              </w:rPr>
              <w:t>45.5</w:t>
            </w:r>
          </w:p>
        </w:tc>
      </w:tr>
      <w:tr w:rsidR="001E2F9C" w14:paraId="01FEF665" w14:textId="77777777" w:rsidTr="001515D5">
        <w:tc>
          <w:tcPr>
            <w:tcW w:w="3116" w:type="dxa"/>
            <w:vAlign w:val="bottom"/>
          </w:tcPr>
          <w:p w14:paraId="00F103B2" w14:textId="77777777" w:rsidR="001E2F9C" w:rsidRDefault="001E2F9C" w:rsidP="001515D5">
            <w:r>
              <w:rPr>
                <w:color w:val="000000"/>
              </w:rPr>
              <w:t>65-74</w:t>
            </w:r>
          </w:p>
        </w:tc>
        <w:tc>
          <w:tcPr>
            <w:tcW w:w="3117" w:type="dxa"/>
            <w:vAlign w:val="bottom"/>
          </w:tcPr>
          <w:p w14:paraId="392785AD" w14:textId="77777777" w:rsidR="001E2F9C" w:rsidRDefault="001E2F9C" w:rsidP="001515D5">
            <w:r>
              <w:rPr>
                <w:color w:val="000000"/>
              </w:rPr>
              <w:t>Non-Hispanic Black</w:t>
            </w:r>
          </w:p>
        </w:tc>
        <w:tc>
          <w:tcPr>
            <w:tcW w:w="3117" w:type="dxa"/>
            <w:vAlign w:val="bottom"/>
          </w:tcPr>
          <w:p w14:paraId="3C4018AA" w14:textId="77777777" w:rsidR="001E2F9C" w:rsidRDefault="001E2F9C" w:rsidP="001515D5">
            <w:r>
              <w:rPr>
                <w:color w:val="000000"/>
              </w:rPr>
              <w:t>23.6</w:t>
            </w:r>
          </w:p>
        </w:tc>
      </w:tr>
      <w:tr w:rsidR="001E2F9C" w14:paraId="267BB87B" w14:textId="77777777" w:rsidTr="001515D5">
        <w:tc>
          <w:tcPr>
            <w:tcW w:w="3116" w:type="dxa"/>
            <w:vAlign w:val="bottom"/>
          </w:tcPr>
          <w:p w14:paraId="2D3F42DB" w14:textId="77777777" w:rsidR="001E2F9C" w:rsidRDefault="001E2F9C" w:rsidP="001515D5">
            <w:r>
              <w:rPr>
                <w:color w:val="000000"/>
              </w:rPr>
              <w:t>75+</w:t>
            </w:r>
          </w:p>
        </w:tc>
        <w:tc>
          <w:tcPr>
            <w:tcW w:w="3117" w:type="dxa"/>
            <w:vAlign w:val="bottom"/>
          </w:tcPr>
          <w:p w14:paraId="6EF48DF2" w14:textId="77777777" w:rsidR="001E2F9C" w:rsidRDefault="001E2F9C" w:rsidP="001515D5">
            <w:r>
              <w:rPr>
                <w:color w:val="000000"/>
              </w:rPr>
              <w:t>Non-Hispanic Black</w:t>
            </w:r>
          </w:p>
        </w:tc>
        <w:tc>
          <w:tcPr>
            <w:tcW w:w="3117" w:type="dxa"/>
            <w:vAlign w:val="bottom"/>
          </w:tcPr>
          <w:p w14:paraId="36F66B36" w14:textId="77777777" w:rsidR="001E2F9C" w:rsidRDefault="001E2F9C" w:rsidP="001515D5">
            <w:r>
              <w:rPr>
                <w:color w:val="000000"/>
              </w:rPr>
              <w:t>0</w:t>
            </w:r>
          </w:p>
        </w:tc>
      </w:tr>
      <w:tr w:rsidR="001E2F9C" w14:paraId="545E3B15" w14:textId="77777777" w:rsidTr="001515D5">
        <w:tc>
          <w:tcPr>
            <w:tcW w:w="3116" w:type="dxa"/>
            <w:vAlign w:val="bottom"/>
          </w:tcPr>
          <w:p w14:paraId="7361138F" w14:textId="77777777" w:rsidR="001E2F9C" w:rsidRDefault="001E2F9C" w:rsidP="001515D5">
            <w:r>
              <w:rPr>
                <w:color w:val="000000"/>
              </w:rPr>
              <w:t>&lt;25</w:t>
            </w:r>
          </w:p>
        </w:tc>
        <w:tc>
          <w:tcPr>
            <w:tcW w:w="3117" w:type="dxa"/>
            <w:vAlign w:val="bottom"/>
          </w:tcPr>
          <w:p w14:paraId="6E383CB9" w14:textId="77777777" w:rsidR="001E2F9C" w:rsidRDefault="001E2F9C" w:rsidP="001515D5">
            <w:r>
              <w:rPr>
                <w:color w:val="000000"/>
              </w:rPr>
              <w:t>Non-Hispanic Other</w:t>
            </w:r>
          </w:p>
        </w:tc>
        <w:tc>
          <w:tcPr>
            <w:tcW w:w="3117" w:type="dxa"/>
            <w:vAlign w:val="bottom"/>
          </w:tcPr>
          <w:p w14:paraId="7E7E7512" w14:textId="77777777" w:rsidR="001E2F9C" w:rsidRDefault="001E2F9C" w:rsidP="001515D5">
            <w:r>
              <w:rPr>
                <w:color w:val="000000"/>
              </w:rPr>
              <w:t>3.8</w:t>
            </w:r>
          </w:p>
        </w:tc>
      </w:tr>
      <w:tr w:rsidR="001E2F9C" w14:paraId="1BACC12F" w14:textId="77777777" w:rsidTr="001515D5">
        <w:tc>
          <w:tcPr>
            <w:tcW w:w="3116" w:type="dxa"/>
            <w:vAlign w:val="bottom"/>
          </w:tcPr>
          <w:p w14:paraId="3E0D8519" w14:textId="77777777" w:rsidR="001E2F9C" w:rsidRDefault="001E2F9C" w:rsidP="001515D5">
            <w:r>
              <w:rPr>
                <w:color w:val="000000"/>
              </w:rPr>
              <w:t>25-34</w:t>
            </w:r>
          </w:p>
        </w:tc>
        <w:tc>
          <w:tcPr>
            <w:tcW w:w="3117" w:type="dxa"/>
            <w:vAlign w:val="bottom"/>
          </w:tcPr>
          <w:p w14:paraId="27B7DC36" w14:textId="77777777" w:rsidR="001E2F9C" w:rsidRDefault="001E2F9C" w:rsidP="001515D5">
            <w:r>
              <w:rPr>
                <w:color w:val="000000"/>
              </w:rPr>
              <w:t>Non-Hispanic Other</w:t>
            </w:r>
          </w:p>
        </w:tc>
        <w:tc>
          <w:tcPr>
            <w:tcW w:w="3117" w:type="dxa"/>
            <w:vAlign w:val="bottom"/>
          </w:tcPr>
          <w:p w14:paraId="5387CC12" w14:textId="77777777" w:rsidR="001E2F9C" w:rsidRDefault="001E2F9C" w:rsidP="001515D5">
            <w:r>
              <w:rPr>
                <w:color w:val="000000"/>
              </w:rPr>
              <w:t>21.4</w:t>
            </w:r>
          </w:p>
        </w:tc>
      </w:tr>
      <w:tr w:rsidR="001E2F9C" w14:paraId="169F4408" w14:textId="77777777" w:rsidTr="001515D5">
        <w:tc>
          <w:tcPr>
            <w:tcW w:w="3116" w:type="dxa"/>
            <w:vAlign w:val="bottom"/>
          </w:tcPr>
          <w:p w14:paraId="4D7BD81A" w14:textId="77777777" w:rsidR="001E2F9C" w:rsidRDefault="001E2F9C" w:rsidP="001515D5">
            <w:r>
              <w:rPr>
                <w:color w:val="000000"/>
              </w:rPr>
              <w:t>35-44</w:t>
            </w:r>
          </w:p>
        </w:tc>
        <w:tc>
          <w:tcPr>
            <w:tcW w:w="3117" w:type="dxa"/>
            <w:vAlign w:val="bottom"/>
          </w:tcPr>
          <w:p w14:paraId="231E47D8" w14:textId="77777777" w:rsidR="001E2F9C" w:rsidRDefault="001E2F9C" w:rsidP="001515D5">
            <w:r>
              <w:rPr>
                <w:color w:val="000000"/>
              </w:rPr>
              <w:t>Non-Hispanic Other</w:t>
            </w:r>
          </w:p>
        </w:tc>
        <w:tc>
          <w:tcPr>
            <w:tcW w:w="3117" w:type="dxa"/>
            <w:vAlign w:val="bottom"/>
          </w:tcPr>
          <w:p w14:paraId="5BB7009C" w14:textId="77777777" w:rsidR="001E2F9C" w:rsidRDefault="001E2F9C" w:rsidP="001515D5">
            <w:r>
              <w:rPr>
                <w:color w:val="000000"/>
              </w:rPr>
              <w:t>22.8</w:t>
            </w:r>
          </w:p>
        </w:tc>
      </w:tr>
      <w:tr w:rsidR="001E2F9C" w14:paraId="4C88A082" w14:textId="77777777" w:rsidTr="001515D5">
        <w:tc>
          <w:tcPr>
            <w:tcW w:w="3116" w:type="dxa"/>
            <w:vAlign w:val="bottom"/>
          </w:tcPr>
          <w:p w14:paraId="770194D6" w14:textId="77777777" w:rsidR="001E2F9C" w:rsidRDefault="001E2F9C" w:rsidP="001515D5">
            <w:r>
              <w:rPr>
                <w:color w:val="000000"/>
              </w:rPr>
              <w:t>45-54</w:t>
            </w:r>
          </w:p>
        </w:tc>
        <w:tc>
          <w:tcPr>
            <w:tcW w:w="3117" w:type="dxa"/>
            <w:vAlign w:val="bottom"/>
          </w:tcPr>
          <w:p w14:paraId="12B7BCD9" w14:textId="77777777" w:rsidR="001E2F9C" w:rsidRDefault="001E2F9C" w:rsidP="001515D5">
            <w:r>
              <w:rPr>
                <w:color w:val="000000"/>
              </w:rPr>
              <w:t>Non-Hispanic Other</w:t>
            </w:r>
          </w:p>
        </w:tc>
        <w:tc>
          <w:tcPr>
            <w:tcW w:w="3117" w:type="dxa"/>
            <w:vAlign w:val="bottom"/>
          </w:tcPr>
          <w:p w14:paraId="2DD481E9" w14:textId="77777777" w:rsidR="001E2F9C" w:rsidRDefault="001E2F9C" w:rsidP="001515D5">
            <w:r>
              <w:rPr>
                <w:color w:val="000000"/>
              </w:rPr>
              <w:t>17.4</w:t>
            </w:r>
          </w:p>
        </w:tc>
      </w:tr>
      <w:tr w:rsidR="001E2F9C" w14:paraId="4C2E1923" w14:textId="77777777" w:rsidTr="001515D5">
        <w:tc>
          <w:tcPr>
            <w:tcW w:w="3116" w:type="dxa"/>
            <w:vAlign w:val="bottom"/>
          </w:tcPr>
          <w:p w14:paraId="30828567" w14:textId="77777777" w:rsidR="001E2F9C" w:rsidRDefault="001E2F9C" w:rsidP="001515D5">
            <w:r>
              <w:rPr>
                <w:color w:val="000000"/>
              </w:rPr>
              <w:t>55-64</w:t>
            </w:r>
          </w:p>
        </w:tc>
        <w:tc>
          <w:tcPr>
            <w:tcW w:w="3117" w:type="dxa"/>
            <w:vAlign w:val="bottom"/>
          </w:tcPr>
          <w:p w14:paraId="1A4482A8" w14:textId="77777777" w:rsidR="001E2F9C" w:rsidRDefault="001E2F9C" w:rsidP="001515D5">
            <w:r>
              <w:rPr>
                <w:color w:val="000000"/>
              </w:rPr>
              <w:t>Non-Hispanic Other</w:t>
            </w:r>
          </w:p>
        </w:tc>
        <w:tc>
          <w:tcPr>
            <w:tcW w:w="3117" w:type="dxa"/>
            <w:vAlign w:val="bottom"/>
          </w:tcPr>
          <w:p w14:paraId="51553063" w14:textId="77777777" w:rsidR="001E2F9C" w:rsidRDefault="001E2F9C" w:rsidP="001515D5">
            <w:r>
              <w:rPr>
                <w:color w:val="000000"/>
              </w:rPr>
              <w:t>0</w:t>
            </w:r>
          </w:p>
        </w:tc>
      </w:tr>
      <w:tr w:rsidR="001E2F9C" w14:paraId="439D4809" w14:textId="77777777" w:rsidTr="001515D5">
        <w:tc>
          <w:tcPr>
            <w:tcW w:w="3116" w:type="dxa"/>
            <w:vAlign w:val="bottom"/>
          </w:tcPr>
          <w:p w14:paraId="1F871F05" w14:textId="77777777" w:rsidR="001E2F9C" w:rsidRDefault="001E2F9C" w:rsidP="001515D5">
            <w:r>
              <w:rPr>
                <w:color w:val="000000"/>
              </w:rPr>
              <w:t>65-74</w:t>
            </w:r>
          </w:p>
        </w:tc>
        <w:tc>
          <w:tcPr>
            <w:tcW w:w="3117" w:type="dxa"/>
            <w:vAlign w:val="bottom"/>
          </w:tcPr>
          <w:p w14:paraId="1DBDCB59" w14:textId="77777777" w:rsidR="001E2F9C" w:rsidRDefault="001E2F9C" w:rsidP="001515D5">
            <w:r>
              <w:rPr>
                <w:color w:val="000000"/>
              </w:rPr>
              <w:t>Non-Hispanic Other</w:t>
            </w:r>
          </w:p>
        </w:tc>
        <w:tc>
          <w:tcPr>
            <w:tcW w:w="3117" w:type="dxa"/>
            <w:vAlign w:val="bottom"/>
          </w:tcPr>
          <w:p w14:paraId="152EE895" w14:textId="77777777" w:rsidR="001E2F9C" w:rsidRDefault="001E2F9C" w:rsidP="001515D5">
            <w:r>
              <w:rPr>
                <w:color w:val="000000"/>
              </w:rPr>
              <w:t>0</w:t>
            </w:r>
          </w:p>
        </w:tc>
      </w:tr>
      <w:tr w:rsidR="001E2F9C" w14:paraId="4A34B10C" w14:textId="77777777" w:rsidTr="001515D5">
        <w:tc>
          <w:tcPr>
            <w:tcW w:w="3116" w:type="dxa"/>
            <w:vAlign w:val="bottom"/>
          </w:tcPr>
          <w:p w14:paraId="03E16C0C" w14:textId="77777777" w:rsidR="001E2F9C" w:rsidRDefault="001E2F9C" w:rsidP="001515D5">
            <w:r>
              <w:rPr>
                <w:color w:val="000000"/>
              </w:rPr>
              <w:t>75+</w:t>
            </w:r>
          </w:p>
        </w:tc>
        <w:tc>
          <w:tcPr>
            <w:tcW w:w="3117" w:type="dxa"/>
            <w:vAlign w:val="bottom"/>
          </w:tcPr>
          <w:p w14:paraId="79FAB59D" w14:textId="77777777" w:rsidR="001E2F9C" w:rsidRDefault="001E2F9C" w:rsidP="001515D5">
            <w:r>
              <w:rPr>
                <w:color w:val="000000"/>
              </w:rPr>
              <w:t>Non-Hispanic Other</w:t>
            </w:r>
          </w:p>
        </w:tc>
        <w:tc>
          <w:tcPr>
            <w:tcW w:w="3117" w:type="dxa"/>
            <w:vAlign w:val="bottom"/>
          </w:tcPr>
          <w:p w14:paraId="22163D26" w14:textId="77777777" w:rsidR="001E2F9C" w:rsidRDefault="001E2F9C" w:rsidP="001515D5">
            <w:r>
              <w:rPr>
                <w:color w:val="000000"/>
              </w:rPr>
              <w:t>0</w:t>
            </w:r>
          </w:p>
        </w:tc>
      </w:tr>
      <w:tr w:rsidR="001E2F9C" w14:paraId="0B01CAB2" w14:textId="77777777" w:rsidTr="001515D5">
        <w:tc>
          <w:tcPr>
            <w:tcW w:w="3116" w:type="dxa"/>
            <w:vAlign w:val="bottom"/>
          </w:tcPr>
          <w:p w14:paraId="6278F5D2" w14:textId="77777777" w:rsidR="001E2F9C" w:rsidRDefault="001E2F9C" w:rsidP="001515D5">
            <w:r>
              <w:rPr>
                <w:color w:val="000000"/>
              </w:rPr>
              <w:t>&lt;25</w:t>
            </w:r>
          </w:p>
        </w:tc>
        <w:tc>
          <w:tcPr>
            <w:tcW w:w="3117" w:type="dxa"/>
            <w:vAlign w:val="bottom"/>
          </w:tcPr>
          <w:p w14:paraId="557B58AC" w14:textId="77777777" w:rsidR="001E2F9C" w:rsidRDefault="001E2F9C" w:rsidP="001515D5">
            <w:r>
              <w:rPr>
                <w:color w:val="000000"/>
              </w:rPr>
              <w:t>Hispanic</w:t>
            </w:r>
          </w:p>
        </w:tc>
        <w:tc>
          <w:tcPr>
            <w:tcW w:w="3117" w:type="dxa"/>
            <w:vAlign w:val="bottom"/>
          </w:tcPr>
          <w:p w14:paraId="7805A116" w14:textId="77777777" w:rsidR="001E2F9C" w:rsidRDefault="001E2F9C" w:rsidP="001515D5">
            <w:r>
              <w:rPr>
                <w:color w:val="000000"/>
              </w:rPr>
              <w:t>2.1</w:t>
            </w:r>
          </w:p>
        </w:tc>
      </w:tr>
      <w:tr w:rsidR="001E2F9C" w14:paraId="4BD9D22D" w14:textId="77777777" w:rsidTr="001515D5">
        <w:tc>
          <w:tcPr>
            <w:tcW w:w="3116" w:type="dxa"/>
            <w:vAlign w:val="bottom"/>
          </w:tcPr>
          <w:p w14:paraId="5EC9D253" w14:textId="77777777" w:rsidR="001E2F9C" w:rsidRDefault="001E2F9C" w:rsidP="001515D5">
            <w:r>
              <w:rPr>
                <w:color w:val="000000"/>
              </w:rPr>
              <w:t>25-34</w:t>
            </w:r>
          </w:p>
        </w:tc>
        <w:tc>
          <w:tcPr>
            <w:tcW w:w="3117" w:type="dxa"/>
            <w:vAlign w:val="bottom"/>
          </w:tcPr>
          <w:p w14:paraId="7F9694D0" w14:textId="77777777" w:rsidR="001E2F9C" w:rsidRDefault="001E2F9C" w:rsidP="001515D5">
            <w:r>
              <w:rPr>
                <w:color w:val="000000"/>
              </w:rPr>
              <w:t>Hispanic</w:t>
            </w:r>
          </w:p>
        </w:tc>
        <w:tc>
          <w:tcPr>
            <w:tcW w:w="3117" w:type="dxa"/>
            <w:vAlign w:val="bottom"/>
          </w:tcPr>
          <w:p w14:paraId="4ED7E786" w14:textId="77777777" w:rsidR="001E2F9C" w:rsidRDefault="001E2F9C" w:rsidP="001515D5">
            <w:r>
              <w:rPr>
                <w:color w:val="000000"/>
              </w:rPr>
              <w:t>25.9</w:t>
            </w:r>
          </w:p>
        </w:tc>
      </w:tr>
      <w:tr w:rsidR="001E2F9C" w14:paraId="1543D4FE" w14:textId="77777777" w:rsidTr="001515D5">
        <w:tc>
          <w:tcPr>
            <w:tcW w:w="3116" w:type="dxa"/>
            <w:vAlign w:val="bottom"/>
          </w:tcPr>
          <w:p w14:paraId="7E60E1A9" w14:textId="77777777" w:rsidR="001E2F9C" w:rsidRDefault="001E2F9C" w:rsidP="001515D5">
            <w:r>
              <w:rPr>
                <w:color w:val="000000"/>
              </w:rPr>
              <w:t>35-44</w:t>
            </w:r>
          </w:p>
        </w:tc>
        <w:tc>
          <w:tcPr>
            <w:tcW w:w="3117" w:type="dxa"/>
            <w:vAlign w:val="bottom"/>
          </w:tcPr>
          <w:p w14:paraId="65BDFE03" w14:textId="77777777" w:rsidR="001E2F9C" w:rsidRDefault="001E2F9C" w:rsidP="001515D5">
            <w:r>
              <w:rPr>
                <w:color w:val="000000"/>
              </w:rPr>
              <w:t>Hispanic</w:t>
            </w:r>
          </w:p>
        </w:tc>
        <w:tc>
          <w:tcPr>
            <w:tcW w:w="3117" w:type="dxa"/>
            <w:vAlign w:val="bottom"/>
          </w:tcPr>
          <w:p w14:paraId="44C6AF67" w14:textId="77777777" w:rsidR="001E2F9C" w:rsidRDefault="001E2F9C" w:rsidP="001515D5">
            <w:r>
              <w:rPr>
                <w:color w:val="000000"/>
              </w:rPr>
              <w:t>18.3</w:t>
            </w:r>
          </w:p>
        </w:tc>
      </w:tr>
      <w:tr w:rsidR="001E2F9C" w14:paraId="20A813DD" w14:textId="77777777" w:rsidTr="001515D5">
        <w:tc>
          <w:tcPr>
            <w:tcW w:w="3116" w:type="dxa"/>
            <w:vAlign w:val="bottom"/>
          </w:tcPr>
          <w:p w14:paraId="664ECE31" w14:textId="77777777" w:rsidR="001E2F9C" w:rsidRDefault="001E2F9C" w:rsidP="001515D5">
            <w:r>
              <w:rPr>
                <w:color w:val="000000"/>
              </w:rPr>
              <w:t>45-54</w:t>
            </w:r>
          </w:p>
        </w:tc>
        <w:tc>
          <w:tcPr>
            <w:tcW w:w="3117" w:type="dxa"/>
            <w:vAlign w:val="bottom"/>
          </w:tcPr>
          <w:p w14:paraId="7849174C" w14:textId="77777777" w:rsidR="001E2F9C" w:rsidRDefault="001E2F9C" w:rsidP="001515D5">
            <w:r>
              <w:rPr>
                <w:color w:val="000000"/>
              </w:rPr>
              <w:t>Hispanic</w:t>
            </w:r>
          </w:p>
        </w:tc>
        <w:tc>
          <w:tcPr>
            <w:tcW w:w="3117" w:type="dxa"/>
            <w:vAlign w:val="bottom"/>
          </w:tcPr>
          <w:p w14:paraId="270FB539" w14:textId="77777777" w:rsidR="001E2F9C" w:rsidRDefault="001E2F9C" w:rsidP="001515D5">
            <w:r>
              <w:rPr>
                <w:color w:val="000000"/>
              </w:rPr>
              <w:t>20.7</w:t>
            </w:r>
          </w:p>
        </w:tc>
      </w:tr>
      <w:tr w:rsidR="001E2F9C" w14:paraId="6BF29EC8" w14:textId="77777777" w:rsidTr="001515D5">
        <w:tc>
          <w:tcPr>
            <w:tcW w:w="3116" w:type="dxa"/>
            <w:vAlign w:val="bottom"/>
          </w:tcPr>
          <w:p w14:paraId="6B0EDC0D" w14:textId="77777777" w:rsidR="001E2F9C" w:rsidRDefault="001E2F9C" w:rsidP="001515D5">
            <w:r>
              <w:rPr>
                <w:color w:val="000000"/>
              </w:rPr>
              <w:lastRenderedPageBreak/>
              <w:t>55-64</w:t>
            </w:r>
          </w:p>
        </w:tc>
        <w:tc>
          <w:tcPr>
            <w:tcW w:w="3117" w:type="dxa"/>
            <w:vAlign w:val="bottom"/>
          </w:tcPr>
          <w:p w14:paraId="341CC59A" w14:textId="77777777" w:rsidR="001E2F9C" w:rsidRDefault="001E2F9C" w:rsidP="001515D5">
            <w:r>
              <w:rPr>
                <w:color w:val="000000"/>
              </w:rPr>
              <w:t>Hispanic</w:t>
            </w:r>
          </w:p>
        </w:tc>
        <w:tc>
          <w:tcPr>
            <w:tcW w:w="3117" w:type="dxa"/>
            <w:vAlign w:val="bottom"/>
          </w:tcPr>
          <w:p w14:paraId="4ED5678E" w14:textId="77777777" w:rsidR="001E2F9C" w:rsidRDefault="001E2F9C" w:rsidP="001515D5">
            <w:r>
              <w:rPr>
                <w:color w:val="000000"/>
              </w:rPr>
              <w:t>9.7</w:t>
            </w:r>
          </w:p>
        </w:tc>
      </w:tr>
      <w:tr w:rsidR="001E2F9C" w14:paraId="1A2D55FC" w14:textId="77777777" w:rsidTr="001515D5">
        <w:tc>
          <w:tcPr>
            <w:tcW w:w="3116" w:type="dxa"/>
            <w:vAlign w:val="bottom"/>
          </w:tcPr>
          <w:p w14:paraId="55C24395" w14:textId="77777777" w:rsidR="001E2F9C" w:rsidRDefault="001E2F9C" w:rsidP="001515D5">
            <w:r>
              <w:rPr>
                <w:color w:val="000000"/>
              </w:rPr>
              <w:t>65-74</w:t>
            </w:r>
          </w:p>
        </w:tc>
        <w:tc>
          <w:tcPr>
            <w:tcW w:w="3117" w:type="dxa"/>
            <w:vAlign w:val="bottom"/>
          </w:tcPr>
          <w:p w14:paraId="18A79EBF" w14:textId="77777777" w:rsidR="001E2F9C" w:rsidRDefault="001E2F9C" w:rsidP="001515D5">
            <w:r>
              <w:rPr>
                <w:color w:val="000000"/>
              </w:rPr>
              <w:t>Hispanic</w:t>
            </w:r>
          </w:p>
        </w:tc>
        <w:tc>
          <w:tcPr>
            <w:tcW w:w="3117" w:type="dxa"/>
            <w:vAlign w:val="bottom"/>
          </w:tcPr>
          <w:p w14:paraId="7181C346" w14:textId="77777777" w:rsidR="001E2F9C" w:rsidRDefault="001E2F9C" w:rsidP="001515D5">
            <w:r>
              <w:rPr>
                <w:color w:val="000000"/>
              </w:rPr>
              <w:t>0</w:t>
            </w:r>
          </w:p>
        </w:tc>
      </w:tr>
      <w:tr w:rsidR="001E2F9C" w14:paraId="4C3F09CD" w14:textId="77777777" w:rsidTr="001515D5">
        <w:tc>
          <w:tcPr>
            <w:tcW w:w="3116" w:type="dxa"/>
            <w:vAlign w:val="bottom"/>
          </w:tcPr>
          <w:p w14:paraId="58485A45" w14:textId="77777777" w:rsidR="001E2F9C" w:rsidRDefault="001E2F9C" w:rsidP="001515D5">
            <w:r>
              <w:rPr>
                <w:color w:val="000000"/>
              </w:rPr>
              <w:t>75+</w:t>
            </w:r>
          </w:p>
        </w:tc>
        <w:tc>
          <w:tcPr>
            <w:tcW w:w="3117" w:type="dxa"/>
            <w:vAlign w:val="bottom"/>
          </w:tcPr>
          <w:p w14:paraId="6ABBEBF8" w14:textId="77777777" w:rsidR="001E2F9C" w:rsidRDefault="001E2F9C" w:rsidP="001515D5">
            <w:r>
              <w:rPr>
                <w:color w:val="000000"/>
              </w:rPr>
              <w:t>Hispanic</w:t>
            </w:r>
          </w:p>
        </w:tc>
        <w:tc>
          <w:tcPr>
            <w:tcW w:w="3117" w:type="dxa"/>
            <w:vAlign w:val="bottom"/>
          </w:tcPr>
          <w:p w14:paraId="4658804E" w14:textId="77777777" w:rsidR="001E2F9C" w:rsidRDefault="001E2F9C" w:rsidP="001515D5">
            <w:r>
              <w:rPr>
                <w:color w:val="000000"/>
              </w:rPr>
              <w:t>0</w:t>
            </w:r>
          </w:p>
        </w:tc>
      </w:tr>
    </w:tbl>
    <w:p w14:paraId="2967D2AB" w14:textId="77777777" w:rsidR="001E2F9C" w:rsidRDefault="001E2F9C" w:rsidP="001E2F9C">
      <w:r w:rsidRPr="00B91867">
        <w:t xml:space="preserve">Source: </w:t>
      </w:r>
      <w:r>
        <w:t>SC DHEC Vital Statistics, 2017-2021.</w:t>
      </w:r>
    </w:p>
    <w:p w14:paraId="0F09B1C1" w14:textId="77777777" w:rsidR="001E2F9C" w:rsidRPr="00B91867" w:rsidRDefault="001E2F9C" w:rsidP="001E2F9C">
      <w:r>
        <w:t>Note: 5 year estimates.</w:t>
      </w:r>
    </w:p>
    <w:p w14:paraId="5CF958DA" w14:textId="77777777" w:rsidR="00722CE9" w:rsidRPr="00722CE9" w:rsidRDefault="00722CE9" w:rsidP="00722CE9"/>
    <w:p w14:paraId="4F9E4C48" w14:textId="5C57D55D" w:rsidR="00722CE9" w:rsidRDefault="00722CE9" w:rsidP="00722CE9">
      <w:r w:rsidRPr="00722CE9">
        <w:t xml:space="preserve">Opioid-overdose deaths are linked with several socioeconomic disparities in the US even after accounting for age, race, ethnicity, and sex. Risk of death is greater among people who graduated from high school only (compared to adults with a graduate degree), have a disability (compared to those without a disability), are widowed (compared to married), are unemployed (compared to employed), previously incarcerated (compared to no incarceration), live in poverty (compared to people living in households at least five times above the poverty line), lack health insurance (compared to those with insurance), and who rent (compared to people who own homes with mortgages). </w:t>
      </w:r>
    </w:p>
    <w:p w14:paraId="452D1208" w14:textId="77777777" w:rsidR="00722CE9" w:rsidRPr="00722CE9" w:rsidRDefault="00722CE9" w:rsidP="00722CE9"/>
    <w:p w14:paraId="06E15474" w14:textId="5E1C47B0" w:rsidR="00722CE9" w:rsidRPr="00722CE9" w:rsidRDefault="00722CE9" w:rsidP="00722CE9">
      <w:r w:rsidRPr="00722CE9">
        <w:t xml:space="preserve">Socioeconomic marginalization, defined as conditions that contribute to exclusion from social and economic opportunities and create vulnerability, is a determinant of both fatal and non-fatal opioid overdose. The conditions include labor market exclusion, informal or unlawful income generation (such as theft or drug dealing), material insecurity (such as housing or food insecurity), inadequate income, incarceration, social stigma or isolation, and low socioeconomic status or poverty. These conditions increase risk of opioid-related death among specific subpopulations who use drugs, such as people experiencing homelessness, those recently released from prison, or living in poverty, or of Indigenous ancestry. </w:t>
      </w:r>
    </w:p>
    <w:p w14:paraId="73B3F0D5" w14:textId="77777777" w:rsidR="00722CE9" w:rsidRDefault="00722CE9" w:rsidP="00722CE9"/>
    <w:p w14:paraId="3C5AD5BB" w14:textId="4A9A4617" w:rsidR="00722CE9" w:rsidRDefault="00722CE9" w:rsidP="00722CE9">
      <w:pPr>
        <w:rPr>
          <w:b/>
          <w:bCs/>
        </w:rPr>
      </w:pPr>
      <w:r w:rsidRPr="00722CE9">
        <w:t>Socioeconomic marginalization is thought to promote chronic stress responses over time that adversely affect interpersonal relationships and health outcomes and lead to cumulative disadvantage and health inequity. Critical gaps in data collection limit understanding of the socioeconomic drivers of drug and opioid</w:t>
      </w:r>
      <w:r w:rsidR="003E38E5">
        <w:t>-</w:t>
      </w:r>
      <w:r w:rsidRPr="00722CE9">
        <w:t>overdose deaths and of the many dimensions of disadvantage affecting at-risk subpopulations. A better understanding is needed to identify and intervene on the most effective upstream determinants of health with targeted response strategies.</w:t>
      </w:r>
    </w:p>
    <w:p w14:paraId="6853963A" w14:textId="77777777" w:rsidR="00722CE9" w:rsidRDefault="00722CE9" w:rsidP="00722CE9">
      <w:pPr>
        <w:rPr>
          <w:b/>
          <w:bCs/>
        </w:rPr>
      </w:pPr>
    </w:p>
    <w:p w14:paraId="53B99404" w14:textId="02989D23" w:rsidR="00722CE9" w:rsidRPr="00270B2E" w:rsidRDefault="00722CE9" w:rsidP="00722CE9">
      <w:pPr>
        <w:rPr>
          <w:rStyle w:val="Heading4Char"/>
          <w:rFonts w:asciiTheme="minorHAnsi" w:hAnsiTheme="minorHAnsi" w:cstheme="minorHAnsi"/>
          <w:color w:val="000000" w:themeColor="text1"/>
        </w:rPr>
      </w:pPr>
      <w:bookmarkStart w:id="139" w:name="_Toc162267080"/>
      <w:r w:rsidRPr="00270B2E">
        <w:rPr>
          <w:rStyle w:val="Heading4Char"/>
          <w:rFonts w:asciiTheme="minorHAnsi" w:hAnsiTheme="minorHAnsi" w:cstheme="minorHAnsi"/>
          <w:color w:val="000000" w:themeColor="text1"/>
        </w:rPr>
        <w:t>References 5.</w:t>
      </w:r>
      <w:r w:rsidR="00926EB3" w:rsidRPr="00270B2E">
        <w:rPr>
          <w:rStyle w:val="Heading4Char"/>
          <w:rFonts w:asciiTheme="minorHAnsi" w:hAnsiTheme="minorHAnsi" w:cstheme="minorHAnsi"/>
          <w:color w:val="000000" w:themeColor="text1"/>
        </w:rPr>
        <w:t>8</w:t>
      </w:r>
      <w:bookmarkEnd w:id="139"/>
    </w:p>
    <w:p w14:paraId="08B99C9B" w14:textId="2DD9BEE5" w:rsidR="00722CE9" w:rsidRDefault="00722CE9" w:rsidP="00722CE9">
      <w:r w:rsidRPr="00722CE9">
        <w:t xml:space="preserve">Statistics in the preceding </w:t>
      </w:r>
      <w:r w:rsidR="00926EB3">
        <w:t>section</w:t>
      </w:r>
      <w:r w:rsidRPr="00722CE9">
        <w:t xml:space="preserve"> were referenced from the following reports:</w:t>
      </w:r>
    </w:p>
    <w:p w14:paraId="3397FEE5" w14:textId="1864A859" w:rsidR="00722CE9" w:rsidRPr="00722CE9" w:rsidRDefault="00000000" w:rsidP="00926EB3">
      <w:pPr>
        <w:pStyle w:val="ListParagraph"/>
        <w:numPr>
          <w:ilvl w:val="0"/>
          <w:numId w:val="231"/>
        </w:numPr>
      </w:pPr>
      <w:hyperlink r:id="rId49" w:anchor="print" w:history="1">
        <w:r w:rsidR="00722CE9" w:rsidRPr="00722CE9">
          <w:rPr>
            <w:rStyle w:val="Hyperlink"/>
          </w:rPr>
          <w:t>“Drug Overdose Deaths Remain High” by the Centers for Disease Control and Prevention, 2022.</w:t>
        </w:r>
      </w:hyperlink>
      <w:r w:rsidR="00722CE9" w:rsidRPr="00722CE9">
        <w:t xml:space="preserve"> </w:t>
      </w:r>
    </w:p>
    <w:p w14:paraId="691A6E42" w14:textId="60623696" w:rsidR="00722CE9" w:rsidRPr="00722CE9" w:rsidRDefault="00000000" w:rsidP="00926EB3">
      <w:pPr>
        <w:pStyle w:val="ListParagraph"/>
        <w:numPr>
          <w:ilvl w:val="0"/>
          <w:numId w:val="231"/>
        </w:numPr>
      </w:pPr>
      <w:hyperlink r:id="rId50" w:history="1">
        <w:r w:rsidR="00722CE9" w:rsidRPr="00722CE9">
          <w:rPr>
            <w:rStyle w:val="Hyperlink"/>
          </w:rPr>
          <w:t>“Drug overdose deaths in South Carolina continue alarming increase; DHEC and DAODAS share resources, help available to anyone” by SC DHEC, 2023.</w:t>
        </w:r>
      </w:hyperlink>
      <w:r w:rsidR="00722CE9" w:rsidRPr="00722CE9">
        <w:t xml:space="preserve"> </w:t>
      </w:r>
    </w:p>
    <w:p w14:paraId="3604B65D" w14:textId="6FFEDA0B" w:rsidR="00722CE9" w:rsidRPr="00722CE9" w:rsidRDefault="00000000" w:rsidP="00926EB3">
      <w:pPr>
        <w:pStyle w:val="ListParagraph"/>
        <w:numPr>
          <w:ilvl w:val="0"/>
          <w:numId w:val="231"/>
        </w:numPr>
      </w:pPr>
      <w:hyperlink r:id="rId51" w:history="1">
        <w:r w:rsidR="00722CE9" w:rsidRPr="00722CE9">
          <w:rPr>
            <w:rStyle w:val="Hyperlink"/>
          </w:rPr>
          <w:t>“Drug overdose deaths South Carolina” by SC DHEC, 2021.</w:t>
        </w:r>
      </w:hyperlink>
      <w:r w:rsidR="00722CE9" w:rsidRPr="00722CE9">
        <w:t xml:space="preserve"> </w:t>
      </w:r>
    </w:p>
    <w:p w14:paraId="6DD4E633" w14:textId="23D8531B" w:rsidR="00722CE9" w:rsidRPr="00722CE9" w:rsidRDefault="00000000" w:rsidP="00926EB3">
      <w:pPr>
        <w:pStyle w:val="ListParagraph"/>
        <w:numPr>
          <w:ilvl w:val="0"/>
          <w:numId w:val="231"/>
        </w:numPr>
      </w:pPr>
      <w:hyperlink r:id="rId52" w:history="1">
        <w:r w:rsidR="00722CE9" w:rsidRPr="00722CE9">
          <w:rPr>
            <w:rStyle w:val="Hyperlink"/>
          </w:rPr>
          <w:t xml:space="preserve">“Urban-Rural Differences in Drug Overdose Death Rates, 2020” by Spencer, M. R., Garnett, M. F., &amp; </w:t>
        </w:r>
        <w:proofErr w:type="spellStart"/>
        <w:r w:rsidR="00722CE9" w:rsidRPr="00722CE9">
          <w:rPr>
            <w:rStyle w:val="Hyperlink"/>
          </w:rPr>
          <w:t>Miniño</w:t>
        </w:r>
        <w:proofErr w:type="spellEnd"/>
        <w:r w:rsidR="00722CE9" w:rsidRPr="00722CE9">
          <w:rPr>
            <w:rStyle w:val="Hyperlink"/>
          </w:rPr>
          <w:t>, A. M. Published in NCHS data brief, 2022.</w:t>
        </w:r>
      </w:hyperlink>
      <w:r w:rsidR="00722CE9">
        <w:t xml:space="preserve"> </w:t>
      </w:r>
    </w:p>
    <w:p w14:paraId="1B901942" w14:textId="744B2D90" w:rsidR="00722CE9" w:rsidRPr="00722CE9" w:rsidRDefault="00000000" w:rsidP="00926EB3">
      <w:pPr>
        <w:pStyle w:val="ListParagraph"/>
        <w:numPr>
          <w:ilvl w:val="0"/>
          <w:numId w:val="231"/>
        </w:numPr>
      </w:pPr>
      <w:hyperlink r:id="rId53" w:history="1">
        <w:r w:rsidR="003E38E5" w:rsidRPr="003E38E5">
          <w:rPr>
            <w:rStyle w:val="Hyperlink"/>
          </w:rPr>
          <w:t xml:space="preserve">“Socioeconomic risk factors for fatal opioid overdoses in the United States: Findings from the Mortality Disparities in American Communities Study (MDAC)” by </w:t>
        </w:r>
        <w:proofErr w:type="spellStart"/>
        <w:r w:rsidR="003E38E5" w:rsidRPr="003E38E5">
          <w:rPr>
            <w:rStyle w:val="Hyperlink"/>
          </w:rPr>
          <w:t>Altekruse</w:t>
        </w:r>
        <w:proofErr w:type="spellEnd"/>
        <w:r w:rsidR="003E38E5" w:rsidRPr="003E38E5">
          <w:rPr>
            <w:rStyle w:val="Hyperlink"/>
          </w:rPr>
          <w:t xml:space="preserve">, S. F., Cosgrove, C. M., </w:t>
        </w:r>
        <w:proofErr w:type="spellStart"/>
        <w:r w:rsidR="003E38E5" w:rsidRPr="003E38E5">
          <w:rPr>
            <w:rStyle w:val="Hyperlink"/>
          </w:rPr>
          <w:t>Altekruse</w:t>
        </w:r>
        <w:proofErr w:type="spellEnd"/>
        <w:r w:rsidR="003E38E5" w:rsidRPr="003E38E5">
          <w:rPr>
            <w:rStyle w:val="Hyperlink"/>
          </w:rPr>
          <w:t xml:space="preserve">, W. C., Jenkins, R. A., &amp; Blanco, C. Published in </w:t>
        </w:r>
        <w:proofErr w:type="spellStart"/>
        <w:r w:rsidR="003E38E5" w:rsidRPr="003E38E5">
          <w:rPr>
            <w:rStyle w:val="Hyperlink"/>
          </w:rPr>
          <w:t>Plos</w:t>
        </w:r>
        <w:proofErr w:type="spellEnd"/>
        <w:r w:rsidR="003E38E5" w:rsidRPr="003E38E5">
          <w:rPr>
            <w:rStyle w:val="Hyperlink"/>
          </w:rPr>
          <w:t xml:space="preserve"> one, 2020.</w:t>
        </w:r>
      </w:hyperlink>
    </w:p>
    <w:p w14:paraId="0225ADA8" w14:textId="415A4CEF" w:rsidR="00722CE9" w:rsidRPr="00722CE9" w:rsidRDefault="00000000" w:rsidP="00926EB3">
      <w:pPr>
        <w:pStyle w:val="ListParagraph"/>
        <w:numPr>
          <w:ilvl w:val="0"/>
          <w:numId w:val="231"/>
        </w:numPr>
      </w:pPr>
      <w:hyperlink r:id="rId54" w:history="1">
        <w:r w:rsidR="00722CE9" w:rsidRPr="00722CE9">
          <w:rPr>
            <w:rStyle w:val="Hyperlink"/>
          </w:rPr>
          <w:t xml:space="preserve">“Socioeconomic marginalization and opioid-related overdose: A systematic review” by van Draanen, J., Tsang, C., Mitra, S., </w:t>
        </w:r>
        <w:proofErr w:type="spellStart"/>
        <w:r w:rsidR="00722CE9" w:rsidRPr="00722CE9">
          <w:rPr>
            <w:rStyle w:val="Hyperlink"/>
          </w:rPr>
          <w:t>Karamouzian</w:t>
        </w:r>
        <w:proofErr w:type="spellEnd"/>
        <w:r w:rsidR="00722CE9" w:rsidRPr="00722CE9">
          <w:rPr>
            <w:rStyle w:val="Hyperlink"/>
          </w:rPr>
          <w:t>, M., &amp; Richardson, L. (2020). Published in “Drug and alcohol dependence”, 2020.</w:t>
        </w:r>
      </w:hyperlink>
      <w:r w:rsidR="00722CE9" w:rsidRPr="00722CE9">
        <w:t xml:space="preserve"> </w:t>
      </w:r>
    </w:p>
    <w:p w14:paraId="61A2D3CD" w14:textId="77777777" w:rsidR="00722CE9" w:rsidRDefault="00722CE9" w:rsidP="00722CE9">
      <w:pPr>
        <w:rPr>
          <w:b/>
          <w:bCs/>
        </w:rPr>
      </w:pPr>
    </w:p>
    <w:p w14:paraId="67464687" w14:textId="77777777" w:rsidR="00722CE9" w:rsidRPr="00722CE9" w:rsidRDefault="00722CE9" w:rsidP="00722CE9">
      <w:pPr>
        <w:pStyle w:val="Heading3"/>
      </w:pPr>
      <w:bookmarkStart w:id="140" w:name="_Toc162267081"/>
      <w:r w:rsidRPr="00722CE9">
        <w:t>Highlighting Cross-Cutting Themes</w:t>
      </w:r>
      <w:bookmarkEnd w:id="140"/>
      <w:r w:rsidRPr="00722CE9">
        <w:t xml:space="preserve"> </w:t>
      </w:r>
    </w:p>
    <w:p w14:paraId="5A3C046E" w14:textId="77777777" w:rsidR="00722CE9" w:rsidRPr="00722CE9" w:rsidRDefault="00722CE9" w:rsidP="00722CE9">
      <w:r w:rsidRPr="00722CE9">
        <w:t xml:space="preserve">In addition to highlighting the </w:t>
      </w:r>
      <w:proofErr w:type="gramStart"/>
      <w:r w:rsidRPr="00722CE9">
        <w:t>aforementioned conditions</w:t>
      </w:r>
      <w:proofErr w:type="gramEnd"/>
      <w:r w:rsidRPr="00722CE9">
        <w:t xml:space="preserve"> that adversely affect diverse populations, four cross-cutting themes are highlighted where the need for health equity is determined by disadvantages and discriminations. Disadvantages and discriminations most often affect minorities, people with different gender identity and sexual orientation, people facing major mental or physical disabilities, and families living in poverty and in underserved regions. This is followed by closer examination of the unique barriers to health equity encountered by each population.</w:t>
      </w:r>
    </w:p>
    <w:p w14:paraId="5C65AD5D" w14:textId="77777777" w:rsidR="00722CE9" w:rsidRDefault="00722CE9" w:rsidP="00722CE9"/>
    <w:p w14:paraId="41E9BB60" w14:textId="77777777" w:rsidR="00722CE9" w:rsidRDefault="00722CE9" w:rsidP="00722CE9">
      <w:pPr>
        <w:pStyle w:val="Heading4"/>
      </w:pPr>
      <w:bookmarkStart w:id="141" w:name="_Toc162267082"/>
      <w:r w:rsidRPr="00722CE9">
        <w:t>I. Representation Inequity Among Minority Groups</w:t>
      </w:r>
      <w:bookmarkEnd w:id="141"/>
    </w:p>
    <w:p w14:paraId="67EAB447" w14:textId="031FE32E" w:rsidR="00722CE9" w:rsidRPr="00722CE9" w:rsidRDefault="00722CE9" w:rsidP="00722CE9">
      <w:r w:rsidRPr="00722CE9">
        <w:t>SC’s population is both increasing and diversifying. Although the largest increases occur among minority groups such as those identifying as another single race or those identifying as two or more races (</w:t>
      </w:r>
      <w:r w:rsidRPr="00722CE9">
        <w:rPr>
          <w:b/>
          <w:bCs/>
        </w:rPr>
        <w:t>Figure 5.12</w:t>
      </w:r>
      <w:r w:rsidRPr="00722CE9">
        <w:t xml:space="preserve">), these groups are often combined during data collection and reporting practices despite their differences. The ensuing inequity in representation obscures differences in exposures, risk factors and disease outcomes; results in missed opportunities for health interventions; and perpetuates health disparities. For example, studies show Hispanic immigrants face negative health outcomes from being under- or uninsured, racial discrimination, limited language proficiency, or from a shortage of culturally appropriate healthcare providers. Collecting this information is the first step to recognizing that health disparities exist for which equitable solutions </w:t>
      </w:r>
      <w:r w:rsidRPr="00722CE9">
        <w:lastRenderedPageBreak/>
        <w:t xml:space="preserve">are needed. These barriers are not unique to racial and ethnic minorities; other groups such as members of the LGBTQIA+ (lesbian, gay, bisexual, transgender, questioning or queer, intersexual, </w:t>
      </w:r>
      <w:proofErr w:type="gramStart"/>
      <w:r w:rsidRPr="00722CE9">
        <w:t>asexual</w:t>
      </w:r>
      <w:proofErr w:type="gramEnd"/>
      <w:r w:rsidRPr="00722CE9">
        <w:t xml:space="preserve"> and other non-heterosexuals) community or people with disabilities face many of the same obstacles.</w:t>
      </w:r>
    </w:p>
    <w:p w14:paraId="50E35674" w14:textId="77777777" w:rsidR="00722CE9" w:rsidRDefault="00722CE9" w:rsidP="00722CE9"/>
    <w:p w14:paraId="3DB029B7" w14:textId="77777777" w:rsidR="001E2F9C" w:rsidRDefault="001E2F9C" w:rsidP="001E2F9C">
      <w:pPr>
        <w:pStyle w:val="Heading4"/>
      </w:pPr>
      <w:bookmarkStart w:id="142" w:name="_Toc154569785"/>
      <w:bookmarkStart w:id="143" w:name="_Toc162267083"/>
      <w:r>
        <w:t>Figure 5.12:</w:t>
      </w:r>
      <w:r w:rsidRPr="00D50218">
        <w:t xml:space="preserve"> </w:t>
      </w:r>
      <w:r>
        <w:t>Population Change in South Carolina, by Race and Ethnicity, 2010 to 2020.</w:t>
      </w:r>
      <w:bookmarkEnd w:id="142"/>
      <w:bookmarkEnd w:id="143"/>
    </w:p>
    <w:tbl>
      <w:tblPr>
        <w:tblStyle w:val="TableGrid"/>
        <w:tblW w:w="0" w:type="auto"/>
        <w:tblLook w:val="04A0" w:firstRow="1" w:lastRow="0" w:firstColumn="1" w:lastColumn="0" w:noHBand="0" w:noVBand="1"/>
      </w:tblPr>
      <w:tblGrid>
        <w:gridCol w:w="3116"/>
        <w:gridCol w:w="3117"/>
        <w:gridCol w:w="3117"/>
      </w:tblGrid>
      <w:tr w:rsidR="001E2F9C" w14:paraId="1AFB1666" w14:textId="77777777" w:rsidTr="001515D5">
        <w:tc>
          <w:tcPr>
            <w:tcW w:w="3116" w:type="dxa"/>
            <w:vAlign w:val="bottom"/>
          </w:tcPr>
          <w:p w14:paraId="2A3D204F" w14:textId="77777777" w:rsidR="001E2F9C" w:rsidRDefault="001E2F9C" w:rsidP="001515D5">
            <w:r>
              <w:t>Race</w:t>
            </w:r>
          </w:p>
        </w:tc>
        <w:tc>
          <w:tcPr>
            <w:tcW w:w="3117" w:type="dxa"/>
            <w:vAlign w:val="bottom"/>
          </w:tcPr>
          <w:p w14:paraId="060D2D7A" w14:textId="77777777" w:rsidR="001E2F9C" w:rsidRDefault="001E2F9C" w:rsidP="001515D5">
            <w:r>
              <w:t>Growth</w:t>
            </w:r>
          </w:p>
        </w:tc>
        <w:tc>
          <w:tcPr>
            <w:tcW w:w="3117" w:type="dxa"/>
            <w:vAlign w:val="bottom"/>
          </w:tcPr>
          <w:p w14:paraId="42964C54" w14:textId="77777777" w:rsidR="001E2F9C" w:rsidRDefault="001E2F9C" w:rsidP="001515D5">
            <w:r>
              <w:t>%</w:t>
            </w:r>
          </w:p>
        </w:tc>
      </w:tr>
      <w:tr w:rsidR="001E2F9C" w14:paraId="6252BD6F" w14:textId="77777777" w:rsidTr="001515D5">
        <w:tc>
          <w:tcPr>
            <w:tcW w:w="3116" w:type="dxa"/>
            <w:vAlign w:val="bottom"/>
          </w:tcPr>
          <w:p w14:paraId="2D96FF67" w14:textId="77777777" w:rsidR="001E2F9C" w:rsidRDefault="001E2F9C" w:rsidP="001515D5">
            <w:r>
              <w:t>Other Single Race</w:t>
            </w:r>
          </w:p>
        </w:tc>
        <w:tc>
          <w:tcPr>
            <w:tcW w:w="3117" w:type="dxa"/>
            <w:vAlign w:val="bottom"/>
          </w:tcPr>
          <w:p w14:paraId="14D0DCAD" w14:textId="77777777" w:rsidR="001E2F9C" w:rsidRDefault="001E2F9C" w:rsidP="001515D5">
            <w:r>
              <w:t>Increased</w:t>
            </w:r>
          </w:p>
        </w:tc>
        <w:tc>
          <w:tcPr>
            <w:tcW w:w="3117" w:type="dxa"/>
            <w:vAlign w:val="bottom"/>
          </w:tcPr>
          <w:p w14:paraId="2BAE8C8D" w14:textId="77777777" w:rsidR="001E2F9C" w:rsidRDefault="001E2F9C" w:rsidP="001515D5">
            <w:r>
              <w:t>206.10%</w:t>
            </w:r>
          </w:p>
        </w:tc>
      </w:tr>
      <w:tr w:rsidR="001E2F9C" w14:paraId="499D9A90" w14:textId="77777777" w:rsidTr="001515D5">
        <w:tc>
          <w:tcPr>
            <w:tcW w:w="3116" w:type="dxa"/>
            <w:vAlign w:val="bottom"/>
          </w:tcPr>
          <w:p w14:paraId="1B3A3EB7" w14:textId="77777777" w:rsidR="001E2F9C" w:rsidRDefault="001E2F9C" w:rsidP="001515D5">
            <w:r>
              <w:t>Two or More Races</w:t>
            </w:r>
          </w:p>
        </w:tc>
        <w:tc>
          <w:tcPr>
            <w:tcW w:w="3117" w:type="dxa"/>
            <w:vAlign w:val="bottom"/>
          </w:tcPr>
          <w:p w14:paraId="2484C1D5" w14:textId="77777777" w:rsidR="001E2F9C" w:rsidRDefault="001E2F9C" w:rsidP="001515D5">
            <w:r>
              <w:t>Increased</w:t>
            </w:r>
          </w:p>
        </w:tc>
        <w:tc>
          <w:tcPr>
            <w:tcW w:w="3117" w:type="dxa"/>
            <w:vAlign w:val="bottom"/>
          </w:tcPr>
          <w:p w14:paraId="140CC992" w14:textId="77777777" w:rsidR="001E2F9C" w:rsidRDefault="001E2F9C" w:rsidP="001515D5">
            <w:r>
              <w:t>166.90%</w:t>
            </w:r>
          </w:p>
        </w:tc>
      </w:tr>
      <w:tr w:rsidR="001E2F9C" w14:paraId="520E86A1" w14:textId="77777777" w:rsidTr="001515D5">
        <w:tc>
          <w:tcPr>
            <w:tcW w:w="3116" w:type="dxa"/>
            <w:vAlign w:val="bottom"/>
          </w:tcPr>
          <w:p w14:paraId="3E3F6CD1" w14:textId="77777777" w:rsidR="001E2F9C" w:rsidRDefault="001E2F9C" w:rsidP="001515D5">
            <w:r>
              <w:t>Non-Hispanic Asian</w:t>
            </w:r>
          </w:p>
        </w:tc>
        <w:tc>
          <w:tcPr>
            <w:tcW w:w="3117" w:type="dxa"/>
            <w:vAlign w:val="bottom"/>
          </w:tcPr>
          <w:p w14:paraId="223E53FC" w14:textId="77777777" w:rsidR="001E2F9C" w:rsidRDefault="001E2F9C" w:rsidP="001515D5">
            <w:r>
              <w:t>Increased</w:t>
            </w:r>
          </w:p>
        </w:tc>
        <w:tc>
          <w:tcPr>
            <w:tcW w:w="3117" w:type="dxa"/>
            <w:vAlign w:val="bottom"/>
          </w:tcPr>
          <w:p w14:paraId="4C28BE04" w14:textId="77777777" w:rsidR="001E2F9C" w:rsidRDefault="001E2F9C" w:rsidP="001515D5">
            <w:r>
              <w:t>38.50%</w:t>
            </w:r>
          </w:p>
        </w:tc>
      </w:tr>
      <w:tr w:rsidR="001E2F9C" w14:paraId="63A8419C" w14:textId="77777777" w:rsidTr="001515D5">
        <w:tc>
          <w:tcPr>
            <w:tcW w:w="3116" w:type="dxa"/>
            <w:vAlign w:val="bottom"/>
          </w:tcPr>
          <w:p w14:paraId="124FACE7" w14:textId="77777777" w:rsidR="001E2F9C" w:rsidRDefault="001E2F9C" w:rsidP="001515D5">
            <w:r>
              <w:t>Hispanic</w:t>
            </w:r>
          </w:p>
        </w:tc>
        <w:tc>
          <w:tcPr>
            <w:tcW w:w="3117" w:type="dxa"/>
            <w:vAlign w:val="bottom"/>
          </w:tcPr>
          <w:p w14:paraId="15A8C84D" w14:textId="77777777" w:rsidR="001E2F9C" w:rsidRDefault="001E2F9C" w:rsidP="001515D5">
            <w:r>
              <w:t>Increased</w:t>
            </w:r>
          </w:p>
        </w:tc>
        <w:tc>
          <w:tcPr>
            <w:tcW w:w="3117" w:type="dxa"/>
            <w:vAlign w:val="bottom"/>
          </w:tcPr>
          <w:p w14:paraId="0718F629" w14:textId="77777777" w:rsidR="001E2F9C" w:rsidRDefault="001E2F9C" w:rsidP="001515D5">
            <w:r>
              <w:t>35.30%</w:t>
            </w:r>
          </w:p>
        </w:tc>
      </w:tr>
      <w:tr w:rsidR="001E2F9C" w14:paraId="70271C9A" w14:textId="77777777" w:rsidTr="001515D5">
        <w:tc>
          <w:tcPr>
            <w:tcW w:w="3116" w:type="dxa"/>
            <w:vAlign w:val="bottom"/>
          </w:tcPr>
          <w:p w14:paraId="48E9D8C9" w14:textId="77777777" w:rsidR="001E2F9C" w:rsidRDefault="001E2F9C" w:rsidP="001515D5">
            <w:r>
              <w:t>Non-Hispanic Native Hawaiian or Pacific Islander</w:t>
            </w:r>
          </w:p>
        </w:tc>
        <w:tc>
          <w:tcPr>
            <w:tcW w:w="3117" w:type="dxa"/>
            <w:vAlign w:val="bottom"/>
          </w:tcPr>
          <w:p w14:paraId="4E2E6C10" w14:textId="77777777" w:rsidR="001E2F9C" w:rsidRDefault="001E2F9C" w:rsidP="001515D5">
            <w:r>
              <w:t>Increased</w:t>
            </w:r>
          </w:p>
        </w:tc>
        <w:tc>
          <w:tcPr>
            <w:tcW w:w="3117" w:type="dxa"/>
            <w:vAlign w:val="bottom"/>
          </w:tcPr>
          <w:p w14:paraId="65F481DE" w14:textId="77777777" w:rsidR="001E2F9C" w:rsidRDefault="001E2F9C" w:rsidP="001515D5">
            <w:r>
              <w:t>31.90%</w:t>
            </w:r>
          </w:p>
        </w:tc>
      </w:tr>
      <w:tr w:rsidR="001E2F9C" w14:paraId="372AC3D8" w14:textId="77777777" w:rsidTr="001515D5">
        <w:tc>
          <w:tcPr>
            <w:tcW w:w="3116" w:type="dxa"/>
            <w:vAlign w:val="bottom"/>
          </w:tcPr>
          <w:p w14:paraId="278142EC" w14:textId="77777777" w:rsidR="001E2F9C" w:rsidRDefault="001E2F9C" w:rsidP="001515D5">
            <w:r>
              <w:t>All Races and Ethnicities</w:t>
            </w:r>
          </w:p>
        </w:tc>
        <w:tc>
          <w:tcPr>
            <w:tcW w:w="3117" w:type="dxa"/>
            <w:vAlign w:val="bottom"/>
          </w:tcPr>
          <w:p w14:paraId="24F11EB2" w14:textId="77777777" w:rsidR="001E2F9C" w:rsidRDefault="001E2F9C" w:rsidP="001515D5">
            <w:r>
              <w:t>Increased</w:t>
            </w:r>
          </w:p>
        </w:tc>
        <w:tc>
          <w:tcPr>
            <w:tcW w:w="3117" w:type="dxa"/>
            <w:vAlign w:val="bottom"/>
          </w:tcPr>
          <w:p w14:paraId="513346AA" w14:textId="77777777" w:rsidR="001E2F9C" w:rsidRDefault="001E2F9C" w:rsidP="001515D5">
            <w:r>
              <w:t>10.70%</w:t>
            </w:r>
          </w:p>
        </w:tc>
      </w:tr>
      <w:tr w:rsidR="001E2F9C" w14:paraId="7C9D088C" w14:textId="77777777" w:rsidTr="001515D5">
        <w:tc>
          <w:tcPr>
            <w:tcW w:w="3116" w:type="dxa"/>
            <w:vAlign w:val="bottom"/>
          </w:tcPr>
          <w:p w14:paraId="7EA8185F" w14:textId="77777777" w:rsidR="001E2F9C" w:rsidRDefault="001E2F9C" w:rsidP="001515D5">
            <w:r>
              <w:t>Non-Hispanic White</w:t>
            </w:r>
          </w:p>
        </w:tc>
        <w:tc>
          <w:tcPr>
            <w:tcW w:w="3117" w:type="dxa"/>
            <w:vAlign w:val="bottom"/>
          </w:tcPr>
          <w:p w14:paraId="11BBEBBA" w14:textId="77777777" w:rsidR="001E2F9C" w:rsidRDefault="001E2F9C" w:rsidP="001515D5">
            <w:r>
              <w:t>Decreased</w:t>
            </w:r>
          </w:p>
        </w:tc>
        <w:tc>
          <w:tcPr>
            <w:tcW w:w="3117" w:type="dxa"/>
            <w:vAlign w:val="bottom"/>
          </w:tcPr>
          <w:p w14:paraId="714EF1BE" w14:textId="77777777" w:rsidR="001E2F9C" w:rsidRDefault="001E2F9C" w:rsidP="001515D5">
            <w:r>
              <w:t>-3.10%</w:t>
            </w:r>
          </w:p>
        </w:tc>
      </w:tr>
      <w:tr w:rsidR="001E2F9C" w14:paraId="1A083862" w14:textId="77777777" w:rsidTr="001515D5">
        <w:tc>
          <w:tcPr>
            <w:tcW w:w="3116" w:type="dxa"/>
            <w:vAlign w:val="bottom"/>
          </w:tcPr>
          <w:p w14:paraId="2F5DCCBC" w14:textId="77777777" w:rsidR="001E2F9C" w:rsidRDefault="001E2F9C" w:rsidP="001515D5">
            <w:r>
              <w:t>Non-Hispanic American Indian or Alaska native</w:t>
            </w:r>
          </w:p>
        </w:tc>
        <w:tc>
          <w:tcPr>
            <w:tcW w:w="3117" w:type="dxa"/>
            <w:vAlign w:val="bottom"/>
          </w:tcPr>
          <w:p w14:paraId="3C841519" w14:textId="77777777" w:rsidR="001E2F9C" w:rsidRDefault="001E2F9C" w:rsidP="001515D5">
            <w:r>
              <w:t>Decreased</w:t>
            </w:r>
          </w:p>
        </w:tc>
        <w:tc>
          <w:tcPr>
            <w:tcW w:w="3117" w:type="dxa"/>
            <w:vAlign w:val="bottom"/>
          </w:tcPr>
          <w:p w14:paraId="322A40E4" w14:textId="77777777" w:rsidR="001E2F9C" w:rsidRDefault="001E2F9C" w:rsidP="001515D5">
            <w:r>
              <w:t>-9.80%</w:t>
            </w:r>
          </w:p>
        </w:tc>
      </w:tr>
      <w:tr w:rsidR="001E2F9C" w14:paraId="688B32C9" w14:textId="77777777" w:rsidTr="001515D5">
        <w:tc>
          <w:tcPr>
            <w:tcW w:w="3116" w:type="dxa"/>
            <w:vAlign w:val="bottom"/>
          </w:tcPr>
          <w:p w14:paraId="4867BB01" w14:textId="77777777" w:rsidR="001E2F9C" w:rsidRDefault="001E2F9C" w:rsidP="001515D5">
            <w:r>
              <w:t>Non-Hispanic Black</w:t>
            </w:r>
          </w:p>
        </w:tc>
        <w:tc>
          <w:tcPr>
            <w:tcW w:w="3117" w:type="dxa"/>
            <w:vAlign w:val="bottom"/>
          </w:tcPr>
          <w:p w14:paraId="4E7DE011" w14:textId="77777777" w:rsidR="001E2F9C" w:rsidRDefault="001E2F9C" w:rsidP="001515D5">
            <w:r>
              <w:t>Decreased</w:t>
            </w:r>
          </w:p>
        </w:tc>
        <w:tc>
          <w:tcPr>
            <w:tcW w:w="3117" w:type="dxa"/>
            <w:vAlign w:val="bottom"/>
          </w:tcPr>
          <w:p w14:paraId="4E09C9B0" w14:textId="77777777" w:rsidR="001E2F9C" w:rsidRDefault="001E2F9C" w:rsidP="001515D5">
            <w:r>
              <w:t>-10.40%</w:t>
            </w:r>
          </w:p>
        </w:tc>
      </w:tr>
    </w:tbl>
    <w:p w14:paraId="3F283EA8" w14:textId="77777777" w:rsidR="001E2F9C" w:rsidRDefault="001E2F9C" w:rsidP="001E2F9C">
      <w:r>
        <w:t xml:space="preserve">Source: US Decennial Census for SC, 2010 &amp; 2020. </w:t>
      </w:r>
    </w:p>
    <w:p w14:paraId="05F8939E" w14:textId="77777777" w:rsidR="001E2F9C" w:rsidRPr="005774A7" w:rsidRDefault="001E2F9C" w:rsidP="001E2F9C">
      <w:r>
        <w:t>Notes: Percentages reflect the change in proportion of each group to the total population in 2010 and 2020. Categories are single race unless otherwise stated.</w:t>
      </w:r>
    </w:p>
    <w:p w14:paraId="5E8A609C" w14:textId="77777777" w:rsidR="00722CE9" w:rsidRDefault="00722CE9" w:rsidP="00722CE9"/>
    <w:p w14:paraId="174BA24B" w14:textId="7501C44C" w:rsidR="00722CE9" w:rsidRPr="00270B2E" w:rsidRDefault="00722CE9" w:rsidP="00722CE9">
      <w:pPr>
        <w:rPr>
          <w:rStyle w:val="Heading4Char"/>
          <w:rFonts w:asciiTheme="minorHAnsi" w:hAnsiTheme="minorHAnsi" w:cstheme="minorHAnsi"/>
          <w:color w:val="000000" w:themeColor="text1"/>
        </w:rPr>
      </w:pPr>
      <w:bookmarkStart w:id="144" w:name="_Toc162267084"/>
      <w:r w:rsidRPr="00270B2E">
        <w:rPr>
          <w:rStyle w:val="Heading4Char"/>
          <w:rFonts w:asciiTheme="minorHAnsi" w:hAnsiTheme="minorHAnsi" w:cstheme="minorHAnsi"/>
          <w:color w:val="000000" w:themeColor="text1"/>
        </w:rPr>
        <w:t>References 5.</w:t>
      </w:r>
      <w:r w:rsidR="00926EB3" w:rsidRPr="00270B2E">
        <w:rPr>
          <w:rStyle w:val="Heading4Char"/>
          <w:rFonts w:asciiTheme="minorHAnsi" w:hAnsiTheme="minorHAnsi" w:cstheme="minorHAnsi"/>
          <w:color w:val="000000" w:themeColor="text1"/>
        </w:rPr>
        <w:t>9</w:t>
      </w:r>
      <w:bookmarkEnd w:id="144"/>
    </w:p>
    <w:p w14:paraId="762C29C7" w14:textId="634292F5" w:rsidR="00722CE9" w:rsidRPr="00722CE9" w:rsidRDefault="00722CE9" w:rsidP="00270B2E">
      <w:r w:rsidRPr="00722CE9">
        <w:t>Statistics in the preceding paragraph were referenced from the following reports:</w:t>
      </w:r>
    </w:p>
    <w:p w14:paraId="3C033FFE" w14:textId="547E6341" w:rsidR="00722CE9" w:rsidRPr="00722CE9" w:rsidRDefault="00000000" w:rsidP="00270B2E">
      <w:pPr>
        <w:pStyle w:val="ListParagraph"/>
        <w:numPr>
          <w:ilvl w:val="0"/>
          <w:numId w:val="231"/>
        </w:numPr>
      </w:pPr>
      <w:hyperlink r:id="rId55" w:history="1">
        <w:r w:rsidR="00722CE9" w:rsidRPr="00722CE9">
          <w:rPr>
            <w:rStyle w:val="Hyperlink"/>
          </w:rPr>
          <w:t>“Decennial Census 2010, South Carolina. Hispanic or Latino, and Not Hispanic or Latino by Race.”</w:t>
        </w:r>
        <w:r w:rsidR="00722CE9" w:rsidRPr="00270B2E">
          <w:rPr>
            <w:rStyle w:val="Hyperlink"/>
            <w:i/>
            <w:iCs/>
          </w:rPr>
          <w:t xml:space="preserve"> </w:t>
        </w:r>
        <w:r w:rsidR="00722CE9" w:rsidRPr="00722CE9">
          <w:rPr>
            <w:rStyle w:val="Hyperlink"/>
          </w:rPr>
          <w:t>By the U.S. Census Bureau, 2010. Retrieved February 13, 2023.</w:t>
        </w:r>
      </w:hyperlink>
    </w:p>
    <w:p w14:paraId="15E70960" w14:textId="2A8BCE00" w:rsidR="00722CE9" w:rsidRPr="00722CE9" w:rsidRDefault="00000000" w:rsidP="00270B2E">
      <w:pPr>
        <w:pStyle w:val="ListParagraph"/>
        <w:numPr>
          <w:ilvl w:val="0"/>
          <w:numId w:val="231"/>
        </w:numPr>
      </w:pPr>
      <w:hyperlink r:id="rId56" w:history="1">
        <w:r w:rsidR="00722CE9" w:rsidRPr="00722CE9">
          <w:rPr>
            <w:rStyle w:val="Hyperlink"/>
          </w:rPr>
          <w:t>“Annual Estimates of the Resident Population for the Unites States, Regions, States, District of Columbia and Puerto Rico: April 1, 2020 to July 1, 2022.”</w:t>
        </w:r>
        <w:r w:rsidR="00722CE9" w:rsidRPr="00722CE9">
          <w:rPr>
            <w:rStyle w:val="Hyperlink"/>
            <w:i/>
            <w:iCs/>
          </w:rPr>
          <w:t xml:space="preserve"> </w:t>
        </w:r>
        <w:r w:rsidR="00722CE9" w:rsidRPr="00722CE9">
          <w:rPr>
            <w:rStyle w:val="Hyperlink"/>
          </w:rPr>
          <w:t>By the U.S. Census Bureau, 2022. Retrieved February 13, 2023.</w:t>
        </w:r>
      </w:hyperlink>
      <w:r w:rsidR="00722CE9">
        <w:t xml:space="preserve"> </w:t>
      </w:r>
    </w:p>
    <w:p w14:paraId="5B5F7739" w14:textId="20A72D5C" w:rsidR="00722CE9" w:rsidRPr="00722CE9" w:rsidRDefault="00000000" w:rsidP="00270B2E">
      <w:pPr>
        <w:pStyle w:val="ListParagraph"/>
        <w:numPr>
          <w:ilvl w:val="0"/>
          <w:numId w:val="231"/>
        </w:numPr>
      </w:pPr>
      <w:hyperlink r:id="rId57" w:history="1">
        <w:r w:rsidR="00722CE9" w:rsidRPr="00722CE9">
          <w:rPr>
            <w:rStyle w:val="Hyperlink"/>
          </w:rPr>
          <w:t>“Hispanic health in the USA: a scoping review of the literature” by Velasco-Mondragon, E., Jimenez, A., Palladino-Davis, A. G., Davis, D., &amp; Escamilla-Cejudo, J. A. Published in Public Health Reviews, 2016.</w:t>
        </w:r>
      </w:hyperlink>
      <w:r w:rsidR="00722CE9" w:rsidRPr="00722CE9">
        <w:t xml:space="preserve"> </w:t>
      </w:r>
    </w:p>
    <w:p w14:paraId="786DAD41" w14:textId="4C93AFF0" w:rsidR="00722CE9" w:rsidRPr="00722CE9" w:rsidRDefault="00000000" w:rsidP="00270B2E">
      <w:pPr>
        <w:pStyle w:val="ListParagraph"/>
        <w:numPr>
          <w:ilvl w:val="0"/>
          <w:numId w:val="231"/>
        </w:numPr>
      </w:pPr>
      <w:hyperlink r:id="rId58" w:history="1">
        <w:r w:rsidR="00722CE9">
          <w:rPr>
            <w:rStyle w:val="Hyperlink"/>
          </w:rPr>
          <w:t xml:space="preserve">“Trends in Poor Health Indicators Among Black and Hispanic Middle-aged and Older Adults in the United States, 1999-2018” by Odlum, M., et. al. Published by JAMA network, 2020. </w:t>
        </w:r>
      </w:hyperlink>
    </w:p>
    <w:p w14:paraId="229C97DE" w14:textId="6648D950" w:rsidR="00722CE9" w:rsidRPr="00722CE9" w:rsidRDefault="00000000" w:rsidP="00270B2E">
      <w:pPr>
        <w:pStyle w:val="ListParagraph"/>
        <w:numPr>
          <w:ilvl w:val="0"/>
          <w:numId w:val="231"/>
        </w:numPr>
      </w:pPr>
      <w:hyperlink r:id="rId59" w:history="1">
        <w:r w:rsidR="00722CE9" w:rsidRPr="00722CE9">
          <w:rPr>
            <w:rStyle w:val="Hyperlink"/>
          </w:rPr>
          <w:t xml:space="preserve">“Migrants in Latin America: Disparities in Health Status and in Access to Health care” by </w:t>
        </w:r>
        <w:proofErr w:type="spellStart"/>
        <w:r w:rsidR="00722CE9" w:rsidRPr="00722CE9">
          <w:rPr>
            <w:rStyle w:val="Hyperlink"/>
          </w:rPr>
          <w:t>Pierola</w:t>
        </w:r>
        <w:proofErr w:type="spellEnd"/>
        <w:r w:rsidR="00722CE9" w:rsidRPr="00722CE9">
          <w:rPr>
            <w:rStyle w:val="Hyperlink"/>
          </w:rPr>
          <w:t xml:space="preserve">, M.D., Rodriguez </w:t>
        </w:r>
        <w:proofErr w:type="spellStart"/>
        <w:r w:rsidR="00722CE9" w:rsidRPr="00722CE9">
          <w:rPr>
            <w:rStyle w:val="Hyperlink"/>
          </w:rPr>
          <w:t>Chatruc</w:t>
        </w:r>
        <w:proofErr w:type="spellEnd"/>
        <w:r w:rsidR="00722CE9" w:rsidRPr="00722CE9">
          <w:rPr>
            <w:rStyle w:val="Hyperlink"/>
          </w:rPr>
          <w:t>, M. Published by Inter-American Development Bank, Migration Unit, 2020.</w:t>
        </w:r>
      </w:hyperlink>
      <w:r w:rsidR="00722CE9" w:rsidRPr="00722CE9">
        <w:t xml:space="preserve"> </w:t>
      </w:r>
    </w:p>
    <w:p w14:paraId="6C7ADFDC" w14:textId="57BB304B" w:rsidR="00722CE9" w:rsidRPr="00722CE9" w:rsidRDefault="00000000" w:rsidP="00270B2E">
      <w:pPr>
        <w:pStyle w:val="ListParagraph"/>
        <w:numPr>
          <w:ilvl w:val="0"/>
          <w:numId w:val="231"/>
        </w:numPr>
      </w:pPr>
      <w:hyperlink r:id="rId60" w:history="1">
        <w:r w:rsidR="00722CE9" w:rsidRPr="00722CE9">
          <w:rPr>
            <w:rStyle w:val="Hyperlink"/>
          </w:rPr>
          <w:t>“Perceived discrimination in health care settings among Latinos with limited English proficiency in South Carolina” by Breland, H. L., &amp; Ellis, C. Published in Southern medical journal, 2015. </w:t>
        </w:r>
      </w:hyperlink>
      <w:r w:rsidR="00722CE9" w:rsidRPr="00722CE9">
        <w:t xml:space="preserve"> </w:t>
      </w:r>
    </w:p>
    <w:p w14:paraId="23200BEC" w14:textId="72BF446D" w:rsidR="00722CE9" w:rsidRDefault="00000000" w:rsidP="00270B2E">
      <w:pPr>
        <w:pStyle w:val="ListParagraph"/>
        <w:numPr>
          <w:ilvl w:val="0"/>
          <w:numId w:val="231"/>
        </w:numPr>
      </w:pPr>
      <w:hyperlink r:id="rId61" w:history="1">
        <w:r w:rsidR="00722CE9" w:rsidRPr="00722CE9">
          <w:rPr>
            <w:rStyle w:val="Hyperlink"/>
          </w:rPr>
          <w:t>“Fear by Association: Perceptions of Anti-Immigrant Policy and Health Outcomes” by Vargas, E. D., Sanchez, G. R., &amp; Juárez, M. Published in “Journal of health politics, policy and law”, 2017.</w:t>
        </w:r>
      </w:hyperlink>
      <w:r w:rsidR="00722CE9" w:rsidRPr="00722CE9">
        <w:t xml:space="preserve"> </w:t>
      </w:r>
    </w:p>
    <w:p w14:paraId="4CE7A746" w14:textId="3843A198" w:rsidR="00722CE9" w:rsidRPr="00722CE9" w:rsidRDefault="00474446" w:rsidP="00722CE9">
      <w:pPr>
        <w:pStyle w:val="Heading4"/>
      </w:pPr>
      <w:r>
        <w:br/>
      </w:r>
      <w:bookmarkStart w:id="145" w:name="_Toc162267085"/>
      <w:r w:rsidR="00722CE9">
        <w:t>II</w:t>
      </w:r>
      <w:r w:rsidR="00722CE9" w:rsidRPr="00722CE9">
        <w:t>. Life Expectancy</w:t>
      </w:r>
      <w:bookmarkEnd w:id="145"/>
    </w:p>
    <w:p w14:paraId="070FCD33" w14:textId="138C4565" w:rsidR="00722CE9" w:rsidRPr="00722CE9" w:rsidRDefault="00722CE9" w:rsidP="00722CE9">
      <w:r w:rsidRPr="00722CE9">
        <w:t>From 2020-2021, national estimates of life expectancy decreased among Hispanic populations and all race-sex groups except non-Hispanic Asian males, who experienced a 0.1 year increase (data not shown). The decrease was greatest for non-Hispanic American Indian/Alaska Native males, with a decline of 2.3 years. In 2021, there was a 14.1-year difference between the highest life expectancy (non-Hispanic Asian females) and the lowest life expectancy (non-Hispanic American Indian/Alaska Native males) (</w:t>
      </w:r>
      <w:r w:rsidRPr="00722CE9">
        <w:rPr>
          <w:b/>
          <w:bCs/>
        </w:rPr>
        <w:t>Figure 5.13</w:t>
      </w:r>
      <w:r w:rsidRPr="00722CE9">
        <w:t>). In addition to seeing disparities among racial and ethnic groups, SC also sees large disparities within census tracts or neighborhoods (</w:t>
      </w:r>
      <w:r w:rsidRPr="00722CE9">
        <w:rPr>
          <w:b/>
          <w:bCs/>
        </w:rPr>
        <w:t>Figure 5.14</w:t>
      </w:r>
      <w:r w:rsidRPr="00722CE9">
        <w:t xml:space="preserve">). In Columbia, SC, there is a gap of more than 11 years in life expectancy within a few miles. Forest Acres and Heathwood see life expectancy estimates of 87 years, whereas the Celia Saxon area of Columbia sees estimates reaching 67 years. These stark differences are observed in census tracts and neighborhoods across the </w:t>
      </w:r>
      <w:r w:rsidR="00ED3390" w:rsidRPr="00722CE9">
        <w:t>state and</w:t>
      </w:r>
      <w:r w:rsidRPr="00722CE9">
        <w:t xml:space="preserve"> represent inequities that affect overall health and well-being. </w:t>
      </w:r>
    </w:p>
    <w:p w14:paraId="29D39533" w14:textId="77777777" w:rsidR="00722CE9" w:rsidRDefault="00722CE9" w:rsidP="00722CE9"/>
    <w:p w14:paraId="55D34772" w14:textId="77777777" w:rsidR="001E2F9C" w:rsidRDefault="001E2F9C" w:rsidP="001E2F9C">
      <w:pPr>
        <w:pStyle w:val="Heading4"/>
      </w:pPr>
      <w:bookmarkStart w:id="146" w:name="_Toc154569786"/>
      <w:bookmarkStart w:id="147" w:name="_Toc162267086"/>
      <w:r>
        <w:t>Figure 5.13:</w:t>
      </w:r>
      <w:r w:rsidRPr="00D50218">
        <w:t xml:space="preserve"> </w:t>
      </w:r>
      <w:r>
        <w:t>United States Life Expectancy in 2021, by Race and Ethnicity.</w:t>
      </w:r>
      <w:bookmarkEnd w:id="146"/>
      <w:bookmarkEnd w:id="147"/>
    </w:p>
    <w:tbl>
      <w:tblPr>
        <w:tblStyle w:val="TableGrid"/>
        <w:tblW w:w="0" w:type="auto"/>
        <w:tblLook w:val="04A0" w:firstRow="1" w:lastRow="0" w:firstColumn="1" w:lastColumn="0" w:noHBand="0" w:noVBand="1"/>
      </w:tblPr>
      <w:tblGrid>
        <w:gridCol w:w="3116"/>
        <w:gridCol w:w="3117"/>
        <w:gridCol w:w="3117"/>
      </w:tblGrid>
      <w:tr w:rsidR="001E2F9C" w14:paraId="1ABEA90A" w14:textId="77777777" w:rsidTr="001515D5">
        <w:tc>
          <w:tcPr>
            <w:tcW w:w="3116" w:type="dxa"/>
            <w:vAlign w:val="bottom"/>
          </w:tcPr>
          <w:p w14:paraId="2568CE1D" w14:textId="77777777" w:rsidR="001E2F9C" w:rsidRDefault="001E2F9C" w:rsidP="001515D5">
            <w:r>
              <w:t>Gender</w:t>
            </w:r>
          </w:p>
        </w:tc>
        <w:tc>
          <w:tcPr>
            <w:tcW w:w="3117" w:type="dxa"/>
            <w:vAlign w:val="bottom"/>
          </w:tcPr>
          <w:p w14:paraId="40B7F604" w14:textId="77777777" w:rsidR="001E2F9C" w:rsidRDefault="001E2F9C" w:rsidP="001515D5">
            <w:r>
              <w:t>Race</w:t>
            </w:r>
          </w:p>
        </w:tc>
        <w:tc>
          <w:tcPr>
            <w:tcW w:w="3117" w:type="dxa"/>
            <w:vAlign w:val="bottom"/>
          </w:tcPr>
          <w:p w14:paraId="6C65DC3B" w14:textId="77777777" w:rsidR="001E2F9C" w:rsidRDefault="001E2F9C" w:rsidP="001515D5">
            <w:r>
              <w:t>Life Expectancy</w:t>
            </w:r>
          </w:p>
        </w:tc>
      </w:tr>
      <w:tr w:rsidR="001E2F9C" w14:paraId="139DF3C8" w14:textId="77777777" w:rsidTr="001515D5">
        <w:tc>
          <w:tcPr>
            <w:tcW w:w="3116" w:type="dxa"/>
            <w:vAlign w:val="bottom"/>
          </w:tcPr>
          <w:p w14:paraId="1F67A3CD" w14:textId="77777777" w:rsidR="001E2F9C" w:rsidRDefault="001E2F9C" w:rsidP="001515D5">
            <w:r>
              <w:rPr>
                <w:color w:val="000000"/>
              </w:rPr>
              <w:t>Male</w:t>
            </w:r>
          </w:p>
        </w:tc>
        <w:tc>
          <w:tcPr>
            <w:tcW w:w="3117" w:type="dxa"/>
            <w:vAlign w:val="bottom"/>
          </w:tcPr>
          <w:p w14:paraId="6603A7AB" w14:textId="77777777" w:rsidR="001E2F9C" w:rsidRDefault="001E2F9C" w:rsidP="001515D5">
            <w:r>
              <w:rPr>
                <w:color w:val="000000"/>
              </w:rPr>
              <w:t>Non-Hispanic White</w:t>
            </w:r>
          </w:p>
        </w:tc>
        <w:tc>
          <w:tcPr>
            <w:tcW w:w="3117" w:type="dxa"/>
            <w:vAlign w:val="bottom"/>
          </w:tcPr>
          <w:p w14:paraId="35442DCD" w14:textId="77777777" w:rsidR="001E2F9C" w:rsidRDefault="001E2F9C" w:rsidP="001515D5">
            <w:r>
              <w:rPr>
                <w:color w:val="000000"/>
              </w:rPr>
              <w:t>73.7</w:t>
            </w:r>
          </w:p>
        </w:tc>
      </w:tr>
      <w:tr w:rsidR="001E2F9C" w14:paraId="2CEDABB5" w14:textId="77777777" w:rsidTr="001515D5">
        <w:tc>
          <w:tcPr>
            <w:tcW w:w="3116" w:type="dxa"/>
            <w:vAlign w:val="bottom"/>
          </w:tcPr>
          <w:p w14:paraId="2D9DFF1F" w14:textId="77777777" w:rsidR="001E2F9C" w:rsidRDefault="001E2F9C" w:rsidP="001515D5">
            <w:r>
              <w:rPr>
                <w:color w:val="000000"/>
              </w:rPr>
              <w:t>Female</w:t>
            </w:r>
          </w:p>
        </w:tc>
        <w:tc>
          <w:tcPr>
            <w:tcW w:w="3117" w:type="dxa"/>
            <w:vAlign w:val="bottom"/>
          </w:tcPr>
          <w:p w14:paraId="21511C55" w14:textId="77777777" w:rsidR="001E2F9C" w:rsidRDefault="001E2F9C" w:rsidP="001515D5">
            <w:r>
              <w:rPr>
                <w:color w:val="000000"/>
              </w:rPr>
              <w:t>Non-Hispanic White</w:t>
            </w:r>
          </w:p>
        </w:tc>
        <w:tc>
          <w:tcPr>
            <w:tcW w:w="3117" w:type="dxa"/>
            <w:vAlign w:val="bottom"/>
          </w:tcPr>
          <w:p w14:paraId="3FB8BB13" w14:textId="77777777" w:rsidR="001E2F9C" w:rsidRDefault="001E2F9C" w:rsidP="001515D5">
            <w:r>
              <w:rPr>
                <w:color w:val="000000"/>
              </w:rPr>
              <w:t>79.2</w:t>
            </w:r>
          </w:p>
        </w:tc>
      </w:tr>
      <w:tr w:rsidR="001E2F9C" w14:paraId="42B8B0E4" w14:textId="77777777" w:rsidTr="001515D5">
        <w:tc>
          <w:tcPr>
            <w:tcW w:w="3116" w:type="dxa"/>
            <w:vAlign w:val="bottom"/>
          </w:tcPr>
          <w:p w14:paraId="34E1167F" w14:textId="77777777" w:rsidR="001E2F9C" w:rsidRDefault="001E2F9C" w:rsidP="001515D5">
            <w:r>
              <w:rPr>
                <w:color w:val="000000"/>
              </w:rPr>
              <w:t>Male</w:t>
            </w:r>
          </w:p>
        </w:tc>
        <w:tc>
          <w:tcPr>
            <w:tcW w:w="3117" w:type="dxa"/>
            <w:vAlign w:val="bottom"/>
          </w:tcPr>
          <w:p w14:paraId="3A28D483" w14:textId="77777777" w:rsidR="001E2F9C" w:rsidRDefault="001E2F9C" w:rsidP="001515D5">
            <w:r>
              <w:rPr>
                <w:color w:val="000000"/>
              </w:rPr>
              <w:t>Non-Hispanic Black</w:t>
            </w:r>
          </w:p>
        </w:tc>
        <w:tc>
          <w:tcPr>
            <w:tcW w:w="3117" w:type="dxa"/>
            <w:vAlign w:val="bottom"/>
          </w:tcPr>
          <w:p w14:paraId="4B6D7F47" w14:textId="77777777" w:rsidR="001E2F9C" w:rsidRDefault="001E2F9C" w:rsidP="001515D5">
            <w:r>
              <w:rPr>
                <w:color w:val="000000"/>
              </w:rPr>
              <w:t>66.7</w:t>
            </w:r>
          </w:p>
        </w:tc>
      </w:tr>
      <w:tr w:rsidR="001E2F9C" w14:paraId="15473008" w14:textId="77777777" w:rsidTr="001515D5">
        <w:tc>
          <w:tcPr>
            <w:tcW w:w="3116" w:type="dxa"/>
            <w:vAlign w:val="bottom"/>
          </w:tcPr>
          <w:p w14:paraId="4266FC76" w14:textId="77777777" w:rsidR="001E2F9C" w:rsidRDefault="001E2F9C" w:rsidP="001515D5">
            <w:r>
              <w:rPr>
                <w:color w:val="000000"/>
              </w:rPr>
              <w:t>Female</w:t>
            </w:r>
          </w:p>
        </w:tc>
        <w:tc>
          <w:tcPr>
            <w:tcW w:w="3117" w:type="dxa"/>
            <w:vAlign w:val="bottom"/>
          </w:tcPr>
          <w:p w14:paraId="03F00859" w14:textId="77777777" w:rsidR="001E2F9C" w:rsidRDefault="001E2F9C" w:rsidP="001515D5">
            <w:r>
              <w:rPr>
                <w:color w:val="000000"/>
              </w:rPr>
              <w:t>Non-Hispanic Black</w:t>
            </w:r>
          </w:p>
        </w:tc>
        <w:tc>
          <w:tcPr>
            <w:tcW w:w="3117" w:type="dxa"/>
            <w:vAlign w:val="bottom"/>
          </w:tcPr>
          <w:p w14:paraId="2A7CEAC4" w14:textId="77777777" w:rsidR="001E2F9C" w:rsidRDefault="001E2F9C" w:rsidP="001515D5">
            <w:r>
              <w:rPr>
                <w:color w:val="000000"/>
              </w:rPr>
              <w:t>74.8</w:t>
            </w:r>
          </w:p>
        </w:tc>
      </w:tr>
      <w:tr w:rsidR="001E2F9C" w14:paraId="48C14470" w14:textId="77777777" w:rsidTr="001515D5">
        <w:tc>
          <w:tcPr>
            <w:tcW w:w="3116" w:type="dxa"/>
            <w:vAlign w:val="bottom"/>
          </w:tcPr>
          <w:p w14:paraId="670A59AD" w14:textId="77777777" w:rsidR="001E2F9C" w:rsidRDefault="001E2F9C" w:rsidP="001515D5">
            <w:r>
              <w:rPr>
                <w:color w:val="000000"/>
              </w:rPr>
              <w:t>Male</w:t>
            </w:r>
          </w:p>
        </w:tc>
        <w:tc>
          <w:tcPr>
            <w:tcW w:w="3117" w:type="dxa"/>
            <w:vAlign w:val="bottom"/>
          </w:tcPr>
          <w:p w14:paraId="131F3996" w14:textId="77777777" w:rsidR="001E2F9C" w:rsidRDefault="001E2F9C" w:rsidP="001515D5">
            <w:r>
              <w:rPr>
                <w:color w:val="000000"/>
              </w:rPr>
              <w:t>Non-Hispanic Asian</w:t>
            </w:r>
          </w:p>
        </w:tc>
        <w:tc>
          <w:tcPr>
            <w:tcW w:w="3117" w:type="dxa"/>
            <w:vAlign w:val="bottom"/>
          </w:tcPr>
          <w:p w14:paraId="2FF0ED02" w14:textId="77777777" w:rsidR="001E2F9C" w:rsidRDefault="001E2F9C" w:rsidP="001515D5">
            <w:r>
              <w:rPr>
                <w:color w:val="000000"/>
              </w:rPr>
              <w:t>81.2</w:t>
            </w:r>
          </w:p>
        </w:tc>
      </w:tr>
      <w:tr w:rsidR="001E2F9C" w14:paraId="48233A10" w14:textId="77777777" w:rsidTr="001515D5">
        <w:tc>
          <w:tcPr>
            <w:tcW w:w="3116" w:type="dxa"/>
            <w:vAlign w:val="bottom"/>
          </w:tcPr>
          <w:p w14:paraId="396B46F1" w14:textId="77777777" w:rsidR="001E2F9C" w:rsidRDefault="001E2F9C" w:rsidP="001515D5">
            <w:r>
              <w:rPr>
                <w:color w:val="000000"/>
              </w:rPr>
              <w:t>Female</w:t>
            </w:r>
          </w:p>
        </w:tc>
        <w:tc>
          <w:tcPr>
            <w:tcW w:w="3117" w:type="dxa"/>
            <w:vAlign w:val="bottom"/>
          </w:tcPr>
          <w:p w14:paraId="638D659D" w14:textId="77777777" w:rsidR="001E2F9C" w:rsidRDefault="001E2F9C" w:rsidP="001515D5">
            <w:r>
              <w:rPr>
                <w:color w:val="000000"/>
              </w:rPr>
              <w:t>Non-Hispanic Asian</w:t>
            </w:r>
          </w:p>
        </w:tc>
        <w:tc>
          <w:tcPr>
            <w:tcW w:w="3117" w:type="dxa"/>
            <w:vAlign w:val="bottom"/>
          </w:tcPr>
          <w:p w14:paraId="42801E9D" w14:textId="77777777" w:rsidR="001E2F9C" w:rsidRDefault="001E2F9C" w:rsidP="001515D5">
            <w:r>
              <w:rPr>
                <w:color w:val="000000"/>
              </w:rPr>
              <w:t>85.6</w:t>
            </w:r>
          </w:p>
        </w:tc>
      </w:tr>
      <w:tr w:rsidR="001E2F9C" w14:paraId="15356F7A" w14:textId="77777777" w:rsidTr="001515D5">
        <w:tc>
          <w:tcPr>
            <w:tcW w:w="3116" w:type="dxa"/>
            <w:vAlign w:val="bottom"/>
          </w:tcPr>
          <w:p w14:paraId="0A77472A" w14:textId="77777777" w:rsidR="001E2F9C" w:rsidRDefault="001E2F9C" w:rsidP="001515D5">
            <w:r>
              <w:rPr>
                <w:color w:val="000000"/>
              </w:rPr>
              <w:lastRenderedPageBreak/>
              <w:t>Male</w:t>
            </w:r>
          </w:p>
        </w:tc>
        <w:tc>
          <w:tcPr>
            <w:tcW w:w="3117" w:type="dxa"/>
            <w:vAlign w:val="bottom"/>
          </w:tcPr>
          <w:p w14:paraId="1CF1D773" w14:textId="77777777" w:rsidR="001E2F9C" w:rsidRDefault="001E2F9C" w:rsidP="001515D5">
            <w:r>
              <w:rPr>
                <w:color w:val="000000"/>
              </w:rPr>
              <w:t>Non-Hispanic AI-AN</w:t>
            </w:r>
          </w:p>
        </w:tc>
        <w:tc>
          <w:tcPr>
            <w:tcW w:w="3117" w:type="dxa"/>
            <w:vAlign w:val="bottom"/>
          </w:tcPr>
          <w:p w14:paraId="04E30B4E" w14:textId="77777777" w:rsidR="001E2F9C" w:rsidRDefault="001E2F9C" w:rsidP="001515D5">
            <w:r>
              <w:rPr>
                <w:color w:val="000000"/>
              </w:rPr>
              <w:t>61.5</w:t>
            </w:r>
          </w:p>
        </w:tc>
      </w:tr>
      <w:tr w:rsidR="001E2F9C" w14:paraId="0DD9D7F3" w14:textId="77777777" w:rsidTr="001515D5">
        <w:tc>
          <w:tcPr>
            <w:tcW w:w="3116" w:type="dxa"/>
            <w:vAlign w:val="bottom"/>
          </w:tcPr>
          <w:p w14:paraId="3E026161" w14:textId="77777777" w:rsidR="001E2F9C" w:rsidRDefault="001E2F9C" w:rsidP="001515D5">
            <w:r>
              <w:rPr>
                <w:color w:val="000000"/>
              </w:rPr>
              <w:t>Female</w:t>
            </w:r>
          </w:p>
        </w:tc>
        <w:tc>
          <w:tcPr>
            <w:tcW w:w="3117" w:type="dxa"/>
            <w:vAlign w:val="bottom"/>
          </w:tcPr>
          <w:p w14:paraId="7C5E99B4" w14:textId="77777777" w:rsidR="001E2F9C" w:rsidRDefault="001E2F9C" w:rsidP="001515D5">
            <w:r>
              <w:rPr>
                <w:color w:val="000000"/>
              </w:rPr>
              <w:t>Non-Hispanic AI-AN</w:t>
            </w:r>
          </w:p>
        </w:tc>
        <w:tc>
          <w:tcPr>
            <w:tcW w:w="3117" w:type="dxa"/>
            <w:vAlign w:val="bottom"/>
          </w:tcPr>
          <w:p w14:paraId="543B9BEE" w14:textId="77777777" w:rsidR="001E2F9C" w:rsidRDefault="001E2F9C" w:rsidP="001515D5">
            <w:r>
              <w:rPr>
                <w:color w:val="000000"/>
              </w:rPr>
              <w:t>69.2</w:t>
            </w:r>
          </w:p>
        </w:tc>
      </w:tr>
      <w:tr w:rsidR="001E2F9C" w14:paraId="7644D44E" w14:textId="77777777" w:rsidTr="001515D5">
        <w:tc>
          <w:tcPr>
            <w:tcW w:w="3116" w:type="dxa"/>
            <w:vAlign w:val="bottom"/>
          </w:tcPr>
          <w:p w14:paraId="793E3AA0" w14:textId="77777777" w:rsidR="001E2F9C" w:rsidRDefault="001E2F9C" w:rsidP="001515D5">
            <w:r>
              <w:rPr>
                <w:color w:val="000000"/>
              </w:rPr>
              <w:t>Male</w:t>
            </w:r>
          </w:p>
        </w:tc>
        <w:tc>
          <w:tcPr>
            <w:tcW w:w="3117" w:type="dxa"/>
            <w:vAlign w:val="bottom"/>
          </w:tcPr>
          <w:p w14:paraId="635BF28D" w14:textId="77777777" w:rsidR="001E2F9C" w:rsidRDefault="001E2F9C" w:rsidP="001515D5">
            <w:r>
              <w:rPr>
                <w:color w:val="000000"/>
              </w:rPr>
              <w:t>Hispanic</w:t>
            </w:r>
          </w:p>
        </w:tc>
        <w:tc>
          <w:tcPr>
            <w:tcW w:w="3117" w:type="dxa"/>
            <w:vAlign w:val="bottom"/>
          </w:tcPr>
          <w:p w14:paraId="5974F0C0" w14:textId="77777777" w:rsidR="001E2F9C" w:rsidRDefault="001E2F9C" w:rsidP="001515D5">
            <w:r>
              <w:rPr>
                <w:color w:val="000000"/>
              </w:rPr>
              <w:t>74.4</w:t>
            </w:r>
          </w:p>
        </w:tc>
      </w:tr>
      <w:tr w:rsidR="001E2F9C" w14:paraId="5442F41D" w14:textId="77777777" w:rsidTr="001515D5">
        <w:tc>
          <w:tcPr>
            <w:tcW w:w="3116" w:type="dxa"/>
            <w:vAlign w:val="bottom"/>
          </w:tcPr>
          <w:p w14:paraId="4991BD61" w14:textId="77777777" w:rsidR="001E2F9C" w:rsidRDefault="001E2F9C" w:rsidP="001515D5">
            <w:r>
              <w:rPr>
                <w:color w:val="000000"/>
              </w:rPr>
              <w:t>Female</w:t>
            </w:r>
          </w:p>
        </w:tc>
        <w:tc>
          <w:tcPr>
            <w:tcW w:w="3117" w:type="dxa"/>
            <w:vAlign w:val="bottom"/>
          </w:tcPr>
          <w:p w14:paraId="771B149E" w14:textId="77777777" w:rsidR="001E2F9C" w:rsidRDefault="001E2F9C" w:rsidP="001515D5">
            <w:r>
              <w:rPr>
                <w:color w:val="000000"/>
              </w:rPr>
              <w:t>Hispanic</w:t>
            </w:r>
          </w:p>
        </w:tc>
        <w:tc>
          <w:tcPr>
            <w:tcW w:w="3117" w:type="dxa"/>
            <w:vAlign w:val="bottom"/>
          </w:tcPr>
          <w:p w14:paraId="64F2DE31" w14:textId="77777777" w:rsidR="001E2F9C" w:rsidRDefault="001E2F9C" w:rsidP="001515D5">
            <w:r>
              <w:rPr>
                <w:color w:val="000000"/>
              </w:rPr>
              <w:t>81.0</w:t>
            </w:r>
          </w:p>
        </w:tc>
      </w:tr>
    </w:tbl>
    <w:p w14:paraId="279BCF1C" w14:textId="77777777" w:rsidR="001E2F9C" w:rsidRPr="00355078" w:rsidRDefault="001E2F9C" w:rsidP="001E2F9C">
      <w:r w:rsidRPr="00355078">
        <w:t xml:space="preserve">Source: NCHS, 2022. </w:t>
      </w:r>
    </w:p>
    <w:p w14:paraId="1F651F18" w14:textId="77777777" w:rsidR="001E2F9C" w:rsidRDefault="001E2F9C" w:rsidP="001E2F9C">
      <w:r w:rsidRPr="00355078">
        <w:t>Note: Age, years.</w:t>
      </w:r>
    </w:p>
    <w:p w14:paraId="05669EDC" w14:textId="77777777" w:rsidR="001E2F9C" w:rsidRDefault="001E2F9C" w:rsidP="001E2F9C"/>
    <w:p w14:paraId="4CE907CE" w14:textId="77777777" w:rsidR="001E2F9C" w:rsidRDefault="001E2F9C" w:rsidP="001E2F9C">
      <w:pPr>
        <w:pStyle w:val="Heading4"/>
      </w:pPr>
      <w:bookmarkStart w:id="148" w:name="_Toc154569787"/>
      <w:bookmarkStart w:id="149" w:name="_Toc162267087"/>
      <w:r>
        <w:t>Figure 5.14: Life Expectancy in Columbia, SC.</w:t>
      </w:r>
      <w:bookmarkEnd w:id="148"/>
      <w:bookmarkEnd w:id="149"/>
    </w:p>
    <w:tbl>
      <w:tblPr>
        <w:tblStyle w:val="TableGrid"/>
        <w:tblW w:w="0" w:type="auto"/>
        <w:tblLook w:val="04A0" w:firstRow="1" w:lastRow="0" w:firstColumn="1" w:lastColumn="0" w:noHBand="0" w:noVBand="1"/>
      </w:tblPr>
      <w:tblGrid>
        <w:gridCol w:w="4675"/>
        <w:gridCol w:w="4675"/>
      </w:tblGrid>
      <w:tr w:rsidR="001E2F9C" w14:paraId="653C28A3" w14:textId="77777777" w:rsidTr="001515D5">
        <w:tc>
          <w:tcPr>
            <w:tcW w:w="4675" w:type="dxa"/>
            <w:vAlign w:val="bottom"/>
          </w:tcPr>
          <w:p w14:paraId="22DD5848" w14:textId="77777777" w:rsidR="001E2F9C" w:rsidRDefault="001E2F9C" w:rsidP="001515D5">
            <w:r>
              <w:t>Neighborhood</w:t>
            </w:r>
          </w:p>
        </w:tc>
        <w:tc>
          <w:tcPr>
            <w:tcW w:w="4675" w:type="dxa"/>
            <w:vAlign w:val="bottom"/>
          </w:tcPr>
          <w:p w14:paraId="209091F5" w14:textId="77777777" w:rsidR="001E2F9C" w:rsidRDefault="001E2F9C" w:rsidP="001515D5">
            <w:r>
              <w:t>Life Expectancy</w:t>
            </w:r>
          </w:p>
        </w:tc>
      </w:tr>
      <w:tr w:rsidR="001E2F9C" w14:paraId="5456876F" w14:textId="77777777" w:rsidTr="001515D5">
        <w:tc>
          <w:tcPr>
            <w:tcW w:w="4675" w:type="dxa"/>
            <w:vAlign w:val="bottom"/>
          </w:tcPr>
          <w:p w14:paraId="4FEFDDBD" w14:textId="77777777" w:rsidR="001E2F9C" w:rsidRDefault="001E2F9C" w:rsidP="001515D5">
            <w:r>
              <w:rPr>
                <w:color w:val="000000"/>
              </w:rPr>
              <w:t>Celia Saxon</w:t>
            </w:r>
          </w:p>
        </w:tc>
        <w:tc>
          <w:tcPr>
            <w:tcW w:w="4675" w:type="dxa"/>
            <w:vAlign w:val="bottom"/>
          </w:tcPr>
          <w:p w14:paraId="401A8469" w14:textId="77777777" w:rsidR="001E2F9C" w:rsidRDefault="001E2F9C" w:rsidP="001515D5">
            <w:r>
              <w:rPr>
                <w:color w:val="000000"/>
              </w:rPr>
              <w:t>66.9</w:t>
            </w:r>
          </w:p>
        </w:tc>
      </w:tr>
      <w:tr w:rsidR="001E2F9C" w14:paraId="323C26A1" w14:textId="77777777" w:rsidTr="001515D5">
        <w:tc>
          <w:tcPr>
            <w:tcW w:w="4675" w:type="dxa"/>
            <w:vAlign w:val="bottom"/>
          </w:tcPr>
          <w:p w14:paraId="16969E9E" w14:textId="77777777" w:rsidR="001E2F9C" w:rsidRDefault="001E2F9C" w:rsidP="001515D5">
            <w:r>
              <w:rPr>
                <w:color w:val="000000"/>
              </w:rPr>
              <w:t>Pinehurst</w:t>
            </w:r>
          </w:p>
        </w:tc>
        <w:tc>
          <w:tcPr>
            <w:tcW w:w="4675" w:type="dxa"/>
            <w:vAlign w:val="bottom"/>
          </w:tcPr>
          <w:p w14:paraId="2B4FDF74" w14:textId="77777777" w:rsidR="001E2F9C" w:rsidRDefault="001E2F9C" w:rsidP="001515D5">
            <w:r>
              <w:rPr>
                <w:color w:val="000000"/>
              </w:rPr>
              <w:t>72.6</w:t>
            </w:r>
          </w:p>
        </w:tc>
      </w:tr>
      <w:tr w:rsidR="001E2F9C" w14:paraId="5F8DBC9A" w14:textId="77777777" w:rsidTr="001515D5">
        <w:tc>
          <w:tcPr>
            <w:tcW w:w="4675" w:type="dxa"/>
            <w:vAlign w:val="bottom"/>
          </w:tcPr>
          <w:p w14:paraId="48A2BEE3" w14:textId="77777777" w:rsidR="001E2F9C" w:rsidRDefault="001E2F9C" w:rsidP="001515D5">
            <w:r>
              <w:rPr>
                <w:color w:val="000000"/>
              </w:rPr>
              <w:t>Heathwood</w:t>
            </w:r>
          </w:p>
        </w:tc>
        <w:tc>
          <w:tcPr>
            <w:tcW w:w="4675" w:type="dxa"/>
            <w:vAlign w:val="bottom"/>
          </w:tcPr>
          <w:p w14:paraId="2681E07C" w14:textId="77777777" w:rsidR="001E2F9C" w:rsidRDefault="001E2F9C" w:rsidP="001515D5">
            <w:r>
              <w:rPr>
                <w:color w:val="000000"/>
              </w:rPr>
              <w:t>87.0</w:t>
            </w:r>
          </w:p>
        </w:tc>
      </w:tr>
      <w:tr w:rsidR="001E2F9C" w14:paraId="01F02C90" w14:textId="77777777" w:rsidTr="001515D5">
        <w:tc>
          <w:tcPr>
            <w:tcW w:w="4675" w:type="dxa"/>
            <w:vAlign w:val="bottom"/>
          </w:tcPr>
          <w:p w14:paraId="5B894BB1" w14:textId="77777777" w:rsidR="001E2F9C" w:rsidRDefault="001E2F9C" w:rsidP="001515D5">
            <w:r>
              <w:rPr>
                <w:color w:val="000000"/>
              </w:rPr>
              <w:t>Forest Acres</w:t>
            </w:r>
          </w:p>
        </w:tc>
        <w:tc>
          <w:tcPr>
            <w:tcW w:w="4675" w:type="dxa"/>
            <w:vAlign w:val="bottom"/>
          </w:tcPr>
          <w:p w14:paraId="3D29A6C8" w14:textId="77777777" w:rsidR="001E2F9C" w:rsidRDefault="001E2F9C" w:rsidP="001515D5">
            <w:r>
              <w:rPr>
                <w:color w:val="000000"/>
              </w:rPr>
              <w:t>87.0</w:t>
            </w:r>
          </w:p>
        </w:tc>
      </w:tr>
      <w:tr w:rsidR="001E2F9C" w14:paraId="48EC9DA7" w14:textId="77777777" w:rsidTr="001515D5">
        <w:tc>
          <w:tcPr>
            <w:tcW w:w="4675" w:type="dxa"/>
            <w:vAlign w:val="bottom"/>
          </w:tcPr>
          <w:p w14:paraId="75EA44FC" w14:textId="77777777" w:rsidR="001E2F9C" w:rsidRDefault="001E2F9C" w:rsidP="001515D5">
            <w:r>
              <w:rPr>
                <w:color w:val="000000"/>
              </w:rPr>
              <w:t>Bradley</w:t>
            </w:r>
          </w:p>
        </w:tc>
        <w:tc>
          <w:tcPr>
            <w:tcW w:w="4675" w:type="dxa"/>
            <w:vAlign w:val="bottom"/>
          </w:tcPr>
          <w:p w14:paraId="37656BFD" w14:textId="77777777" w:rsidR="001E2F9C" w:rsidRDefault="001E2F9C" w:rsidP="001515D5">
            <w:r>
              <w:rPr>
                <w:color w:val="000000"/>
              </w:rPr>
              <w:t>74.6</w:t>
            </w:r>
          </w:p>
        </w:tc>
      </w:tr>
      <w:tr w:rsidR="001E2F9C" w14:paraId="65ED1B8F" w14:textId="77777777" w:rsidTr="001515D5">
        <w:tc>
          <w:tcPr>
            <w:tcW w:w="4675" w:type="dxa"/>
            <w:vAlign w:val="bottom"/>
          </w:tcPr>
          <w:p w14:paraId="3868FA37" w14:textId="77777777" w:rsidR="001E2F9C" w:rsidRDefault="001E2F9C" w:rsidP="001515D5">
            <w:proofErr w:type="spellStart"/>
            <w:r>
              <w:rPr>
                <w:color w:val="000000"/>
              </w:rPr>
              <w:t>Sandwood</w:t>
            </w:r>
            <w:proofErr w:type="spellEnd"/>
          </w:p>
        </w:tc>
        <w:tc>
          <w:tcPr>
            <w:tcW w:w="4675" w:type="dxa"/>
            <w:vAlign w:val="bottom"/>
          </w:tcPr>
          <w:p w14:paraId="2E53F50F" w14:textId="77777777" w:rsidR="001E2F9C" w:rsidRDefault="001E2F9C" w:rsidP="001515D5">
            <w:r>
              <w:rPr>
                <w:color w:val="000000"/>
              </w:rPr>
              <w:t>79.3</w:t>
            </w:r>
          </w:p>
        </w:tc>
      </w:tr>
    </w:tbl>
    <w:p w14:paraId="5447385B" w14:textId="77777777" w:rsidR="001E2F9C" w:rsidRPr="00355078" w:rsidRDefault="001E2F9C" w:rsidP="001E2F9C">
      <w:r w:rsidRPr="00355078">
        <w:t xml:space="preserve">National Center for Health Statistics, USALEEP, 2010-2015. </w:t>
      </w:r>
    </w:p>
    <w:p w14:paraId="203ABEE8" w14:textId="2D610AC2" w:rsidR="00722CE9" w:rsidRDefault="001E2F9C" w:rsidP="00722CE9">
      <w:r w:rsidRPr="00355078">
        <w:t>Notes: Life expectancy at birth.</w:t>
      </w:r>
    </w:p>
    <w:p w14:paraId="6D2B13E4" w14:textId="77777777" w:rsidR="001E2F9C" w:rsidRPr="00722CE9" w:rsidRDefault="001E2F9C" w:rsidP="00722CE9"/>
    <w:p w14:paraId="73CD827F" w14:textId="45270F21" w:rsidR="00722CE9" w:rsidRPr="00722CE9" w:rsidRDefault="00722CE9" w:rsidP="00722CE9">
      <w:pPr>
        <w:pStyle w:val="Heading4"/>
      </w:pPr>
      <w:bookmarkStart w:id="150" w:name="_Toc162267088"/>
      <w:r w:rsidRPr="00722CE9">
        <w:t xml:space="preserve">III. </w:t>
      </w:r>
      <w:r>
        <w:t>Mental Health</w:t>
      </w:r>
      <w:bookmarkEnd w:id="150"/>
    </w:p>
    <w:p w14:paraId="6985A589" w14:textId="7A0A1188" w:rsidR="00722CE9" w:rsidRPr="00722CE9" w:rsidRDefault="00722CE9" w:rsidP="00722CE9">
      <w:r w:rsidRPr="00722CE9">
        <w:t>In SC, more poor mental health days affect one in three LGBTQIA+ individuals, one in five</w:t>
      </w:r>
      <w:r w:rsidR="006F0EE7">
        <w:t xml:space="preserve"> senior</w:t>
      </w:r>
      <w:r w:rsidRPr="00722CE9">
        <w:t xml:space="preserve"> Veterans and non-Hispanic American Indian/Alaska Native individuals, and one in four persons experiencing chronic homelessness with mental illness and non-Hispanic individuals of races other than American Indian/Alaska Native (</w:t>
      </w:r>
      <w:r w:rsidRPr="00722CE9">
        <w:rPr>
          <w:b/>
          <w:bCs/>
        </w:rPr>
        <w:t>Figure 5.15</w:t>
      </w:r>
      <w:r w:rsidRPr="00722CE9">
        <w:t>). These percentages are higher than for heterosexual individuals, non-Veterans, and for those experiencing chronic homelessness without mental illness. Poor mental health and mental health issues are associated with suicide. This chapter presents health inequities associated with poor mental health among Veterans and LGBTQIA</w:t>
      </w:r>
      <w:r w:rsidR="00ED3390" w:rsidRPr="00722CE9">
        <w:t>+ and</w:t>
      </w:r>
      <w:r w:rsidRPr="00722CE9">
        <w:t xml:space="preserve"> shows death by suicide is higher among these groups.</w:t>
      </w:r>
    </w:p>
    <w:p w14:paraId="30D2484F" w14:textId="77777777" w:rsidR="00722CE9" w:rsidRDefault="00722CE9" w:rsidP="00722CE9"/>
    <w:p w14:paraId="08CC536D" w14:textId="77777777" w:rsidR="001E2F9C" w:rsidRDefault="001E2F9C" w:rsidP="001E2F9C">
      <w:pPr>
        <w:pStyle w:val="Heading4"/>
      </w:pPr>
      <w:bookmarkStart w:id="151" w:name="_Toc154569788"/>
      <w:bookmarkStart w:id="152" w:name="_Toc162267089"/>
      <w:r>
        <w:t>Figure 5.15: Poor Mental Health, by Subpopulation.</w:t>
      </w:r>
      <w:bookmarkEnd w:id="151"/>
      <w:bookmarkEnd w:id="152"/>
    </w:p>
    <w:tbl>
      <w:tblPr>
        <w:tblStyle w:val="TableGrid"/>
        <w:tblW w:w="0" w:type="auto"/>
        <w:tblLook w:val="04A0" w:firstRow="1" w:lastRow="0" w:firstColumn="1" w:lastColumn="0" w:noHBand="0" w:noVBand="1"/>
      </w:tblPr>
      <w:tblGrid>
        <w:gridCol w:w="4675"/>
        <w:gridCol w:w="4675"/>
      </w:tblGrid>
      <w:tr w:rsidR="001E2F9C" w14:paraId="31E55515" w14:textId="77777777" w:rsidTr="001515D5">
        <w:tc>
          <w:tcPr>
            <w:tcW w:w="4675" w:type="dxa"/>
            <w:vAlign w:val="bottom"/>
          </w:tcPr>
          <w:p w14:paraId="21A93C37" w14:textId="77777777" w:rsidR="001E2F9C" w:rsidRDefault="001E2F9C" w:rsidP="001515D5">
            <w:r>
              <w:t>Subpopulation</w:t>
            </w:r>
          </w:p>
        </w:tc>
        <w:tc>
          <w:tcPr>
            <w:tcW w:w="4675" w:type="dxa"/>
            <w:vAlign w:val="bottom"/>
          </w:tcPr>
          <w:p w14:paraId="7477C59F" w14:textId="77777777" w:rsidR="001E2F9C" w:rsidRDefault="001E2F9C" w:rsidP="001515D5">
            <w:r>
              <w:t>Percent</w:t>
            </w:r>
          </w:p>
        </w:tc>
      </w:tr>
      <w:tr w:rsidR="001E2F9C" w14:paraId="05322B55" w14:textId="77777777" w:rsidTr="001515D5">
        <w:tc>
          <w:tcPr>
            <w:tcW w:w="4675" w:type="dxa"/>
            <w:vAlign w:val="bottom"/>
          </w:tcPr>
          <w:p w14:paraId="45FDC4E5" w14:textId="77777777" w:rsidR="001E2F9C" w:rsidRDefault="001E2F9C" w:rsidP="001515D5">
            <w:r>
              <w:rPr>
                <w:color w:val="000000"/>
              </w:rPr>
              <w:t>Sexual Minority</w:t>
            </w:r>
          </w:p>
        </w:tc>
        <w:tc>
          <w:tcPr>
            <w:tcW w:w="4675" w:type="dxa"/>
            <w:vAlign w:val="bottom"/>
          </w:tcPr>
          <w:p w14:paraId="33775CDC" w14:textId="77777777" w:rsidR="001E2F9C" w:rsidRDefault="001E2F9C" w:rsidP="001515D5">
            <w:r>
              <w:rPr>
                <w:color w:val="000000"/>
              </w:rPr>
              <w:t>33.7%</w:t>
            </w:r>
          </w:p>
        </w:tc>
      </w:tr>
      <w:tr w:rsidR="001E2F9C" w14:paraId="10CCB69B" w14:textId="77777777" w:rsidTr="001515D5">
        <w:tc>
          <w:tcPr>
            <w:tcW w:w="4675" w:type="dxa"/>
            <w:vAlign w:val="bottom"/>
          </w:tcPr>
          <w:p w14:paraId="70B51353" w14:textId="77777777" w:rsidR="001E2F9C" w:rsidRDefault="001E2F9C" w:rsidP="001515D5">
            <w:r>
              <w:rPr>
                <w:color w:val="000000"/>
              </w:rPr>
              <w:t>Heterosexual</w:t>
            </w:r>
          </w:p>
        </w:tc>
        <w:tc>
          <w:tcPr>
            <w:tcW w:w="4675" w:type="dxa"/>
            <w:vAlign w:val="bottom"/>
          </w:tcPr>
          <w:p w14:paraId="6DB340E0" w14:textId="77777777" w:rsidR="001E2F9C" w:rsidRDefault="001E2F9C" w:rsidP="001515D5">
            <w:r>
              <w:rPr>
                <w:color w:val="000000"/>
              </w:rPr>
              <w:t>13.5%</w:t>
            </w:r>
          </w:p>
        </w:tc>
      </w:tr>
      <w:tr w:rsidR="001E2F9C" w14:paraId="25DA9463" w14:textId="77777777" w:rsidTr="001515D5">
        <w:tc>
          <w:tcPr>
            <w:tcW w:w="4675" w:type="dxa"/>
            <w:vAlign w:val="bottom"/>
          </w:tcPr>
          <w:p w14:paraId="18861B13" w14:textId="763413AC" w:rsidR="001E2F9C" w:rsidRDefault="001E2F9C" w:rsidP="001515D5">
            <w:r>
              <w:rPr>
                <w:color w:val="000000"/>
              </w:rPr>
              <w:t>Veterans</w:t>
            </w:r>
            <w:r w:rsidR="006F0EE7">
              <w:rPr>
                <w:color w:val="000000"/>
              </w:rPr>
              <w:t xml:space="preserve"> aged 65+ years</w:t>
            </w:r>
          </w:p>
        </w:tc>
        <w:tc>
          <w:tcPr>
            <w:tcW w:w="4675" w:type="dxa"/>
            <w:vAlign w:val="bottom"/>
          </w:tcPr>
          <w:p w14:paraId="6BC9554E" w14:textId="77777777" w:rsidR="001E2F9C" w:rsidRDefault="001E2F9C" w:rsidP="001515D5">
            <w:r>
              <w:rPr>
                <w:color w:val="000000"/>
              </w:rPr>
              <w:t>22.2%</w:t>
            </w:r>
          </w:p>
        </w:tc>
      </w:tr>
      <w:tr w:rsidR="001E2F9C" w14:paraId="2D7E34E5" w14:textId="77777777" w:rsidTr="001515D5">
        <w:tc>
          <w:tcPr>
            <w:tcW w:w="4675" w:type="dxa"/>
            <w:vAlign w:val="bottom"/>
          </w:tcPr>
          <w:p w14:paraId="4D7B67F7" w14:textId="2C1D2918" w:rsidR="001E2F9C" w:rsidRDefault="001E2F9C" w:rsidP="001515D5">
            <w:r>
              <w:rPr>
                <w:color w:val="000000"/>
              </w:rPr>
              <w:t>Non-Veterans</w:t>
            </w:r>
            <w:r w:rsidR="006F0EE7">
              <w:rPr>
                <w:color w:val="000000"/>
              </w:rPr>
              <w:t xml:space="preserve"> aged 65+ years</w:t>
            </w:r>
          </w:p>
        </w:tc>
        <w:tc>
          <w:tcPr>
            <w:tcW w:w="4675" w:type="dxa"/>
            <w:vAlign w:val="bottom"/>
          </w:tcPr>
          <w:p w14:paraId="12504BF2" w14:textId="77777777" w:rsidR="001E2F9C" w:rsidRDefault="001E2F9C" w:rsidP="001515D5">
            <w:r>
              <w:rPr>
                <w:color w:val="000000"/>
              </w:rPr>
              <w:t>12.2%</w:t>
            </w:r>
          </w:p>
        </w:tc>
      </w:tr>
      <w:tr w:rsidR="001E2F9C" w14:paraId="16982780" w14:textId="77777777" w:rsidTr="001515D5">
        <w:tc>
          <w:tcPr>
            <w:tcW w:w="4675" w:type="dxa"/>
            <w:vAlign w:val="bottom"/>
          </w:tcPr>
          <w:p w14:paraId="5DBFEE96" w14:textId="77777777" w:rsidR="001E2F9C" w:rsidRDefault="001E2F9C" w:rsidP="001515D5">
            <w:r>
              <w:rPr>
                <w:color w:val="000000"/>
              </w:rPr>
              <w:lastRenderedPageBreak/>
              <w:t>Non-Hispanic AI-AN</w:t>
            </w:r>
          </w:p>
        </w:tc>
        <w:tc>
          <w:tcPr>
            <w:tcW w:w="4675" w:type="dxa"/>
            <w:vAlign w:val="bottom"/>
          </w:tcPr>
          <w:p w14:paraId="2730CF94" w14:textId="77777777" w:rsidR="001E2F9C" w:rsidRDefault="001E2F9C" w:rsidP="001515D5">
            <w:r>
              <w:rPr>
                <w:color w:val="000000"/>
              </w:rPr>
              <w:t>18.7%</w:t>
            </w:r>
          </w:p>
        </w:tc>
      </w:tr>
      <w:tr w:rsidR="001E2F9C" w14:paraId="7DAC94EB" w14:textId="77777777" w:rsidTr="001515D5">
        <w:tc>
          <w:tcPr>
            <w:tcW w:w="4675" w:type="dxa"/>
            <w:vAlign w:val="bottom"/>
          </w:tcPr>
          <w:p w14:paraId="66301EF5" w14:textId="77777777" w:rsidR="001E2F9C" w:rsidRDefault="001E2F9C" w:rsidP="001515D5">
            <w:r>
              <w:rPr>
                <w:color w:val="000000"/>
              </w:rPr>
              <w:t>Non-Hispanic Other</w:t>
            </w:r>
          </w:p>
        </w:tc>
        <w:tc>
          <w:tcPr>
            <w:tcW w:w="4675" w:type="dxa"/>
            <w:vAlign w:val="bottom"/>
          </w:tcPr>
          <w:p w14:paraId="5F208574" w14:textId="77777777" w:rsidR="001E2F9C" w:rsidRDefault="001E2F9C" w:rsidP="001515D5">
            <w:r>
              <w:rPr>
                <w:color w:val="000000"/>
              </w:rPr>
              <w:t>24.1%</w:t>
            </w:r>
          </w:p>
        </w:tc>
      </w:tr>
      <w:tr w:rsidR="001E2F9C" w14:paraId="6D2A49FE" w14:textId="77777777" w:rsidTr="001515D5">
        <w:tc>
          <w:tcPr>
            <w:tcW w:w="4675" w:type="dxa"/>
            <w:vAlign w:val="bottom"/>
          </w:tcPr>
          <w:p w14:paraId="60D9FD25" w14:textId="77777777" w:rsidR="001E2F9C" w:rsidRDefault="001E2F9C" w:rsidP="001515D5">
            <w:r>
              <w:rPr>
                <w:color w:val="000000"/>
              </w:rPr>
              <w:t>Chronically Homeless with Mental Illness</w:t>
            </w:r>
          </w:p>
        </w:tc>
        <w:tc>
          <w:tcPr>
            <w:tcW w:w="4675" w:type="dxa"/>
            <w:vAlign w:val="bottom"/>
          </w:tcPr>
          <w:p w14:paraId="25D1655C" w14:textId="77777777" w:rsidR="001E2F9C" w:rsidRDefault="001E2F9C" w:rsidP="001515D5">
            <w:r>
              <w:rPr>
                <w:color w:val="000000"/>
              </w:rPr>
              <w:t>27.2%</w:t>
            </w:r>
          </w:p>
        </w:tc>
      </w:tr>
      <w:tr w:rsidR="001E2F9C" w14:paraId="5D3A2D00" w14:textId="77777777" w:rsidTr="001515D5">
        <w:tc>
          <w:tcPr>
            <w:tcW w:w="4675" w:type="dxa"/>
            <w:vAlign w:val="bottom"/>
          </w:tcPr>
          <w:p w14:paraId="0A6591BC" w14:textId="77777777" w:rsidR="001E2F9C" w:rsidRDefault="001E2F9C" w:rsidP="001515D5">
            <w:r>
              <w:rPr>
                <w:color w:val="000000"/>
              </w:rPr>
              <w:t>Chronically Homeless</w:t>
            </w:r>
          </w:p>
        </w:tc>
        <w:tc>
          <w:tcPr>
            <w:tcW w:w="4675" w:type="dxa"/>
            <w:vAlign w:val="bottom"/>
          </w:tcPr>
          <w:p w14:paraId="75948188" w14:textId="77777777" w:rsidR="001E2F9C" w:rsidRDefault="001E2F9C" w:rsidP="001515D5">
            <w:r>
              <w:rPr>
                <w:color w:val="000000"/>
              </w:rPr>
              <w:t>15.8%</w:t>
            </w:r>
          </w:p>
        </w:tc>
      </w:tr>
    </w:tbl>
    <w:p w14:paraId="1BDD36BD" w14:textId="2C0C8BF3" w:rsidR="001E2F9C" w:rsidRPr="00355078" w:rsidRDefault="001E2F9C" w:rsidP="001E2F9C">
      <w:r w:rsidRPr="00355078">
        <w:t>Source: SC BRFSS, 2017-202</w:t>
      </w:r>
      <w:r w:rsidR="00F678C8">
        <w:t>1</w:t>
      </w:r>
      <w:r w:rsidRPr="00355078">
        <w:t xml:space="preserve"> &amp; SC ICH, 2022. </w:t>
      </w:r>
    </w:p>
    <w:p w14:paraId="515258BF" w14:textId="77777777" w:rsidR="00F678C8" w:rsidRPr="00F678C8" w:rsidRDefault="00F678C8" w:rsidP="00F678C8">
      <w:r w:rsidRPr="00F678C8">
        <w:t xml:space="preserve">Note: Mental health indicator for all groups except the homeless is 14 or more days in the past 30 days when mental health was not good. Questions regarding sexuality were only asked in 2018-2020. Sexual minority refers to LGBTQIA+ individuals in SC. </w:t>
      </w:r>
    </w:p>
    <w:p w14:paraId="2A38A39C" w14:textId="77777777" w:rsidR="00722CE9" w:rsidRDefault="00722CE9" w:rsidP="00722CE9"/>
    <w:p w14:paraId="04BC9361" w14:textId="77777777" w:rsidR="00722CE9" w:rsidRPr="00722CE9" w:rsidRDefault="00722CE9" w:rsidP="00722CE9">
      <w:pPr>
        <w:rPr>
          <w:rFonts w:asciiTheme="majorHAnsi" w:eastAsiaTheme="majorEastAsia" w:hAnsiTheme="majorHAnsi" w:cstheme="majorBidi"/>
          <w:i/>
          <w:iCs/>
          <w:color w:val="2F5496" w:themeColor="accent1" w:themeShade="BF"/>
        </w:rPr>
      </w:pPr>
      <w:r w:rsidRPr="00722CE9">
        <w:rPr>
          <w:rFonts w:asciiTheme="majorHAnsi" w:eastAsiaTheme="majorEastAsia" w:hAnsiTheme="majorHAnsi" w:cstheme="majorBidi"/>
          <w:i/>
          <w:iCs/>
          <w:color w:val="2F5496" w:themeColor="accent1" w:themeShade="BF"/>
        </w:rPr>
        <w:t>IV.  Delayed Medical Care</w:t>
      </w:r>
    </w:p>
    <w:p w14:paraId="22A87E73" w14:textId="6108D705" w:rsidR="00722CE9" w:rsidRPr="00722CE9" w:rsidRDefault="00722CE9" w:rsidP="00722CE9">
      <w:r w:rsidRPr="00722CE9">
        <w:t>Compared to their respective counterparts, delayed medical care due to cost is higher among vulnerable groups in SC, including one in five people with disabilities, one in four LGBTQIA+ people, one in four urban Hispanic individuals, one in four urban non-Hispanic American Indian/Alaska Native individuals, and one in five urban non-Hispanic Black individuals (</w:t>
      </w:r>
      <w:r w:rsidRPr="00722CE9">
        <w:rPr>
          <w:b/>
          <w:bCs/>
        </w:rPr>
        <w:t>Figure 5.16</w:t>
      </w:r>
      <w:r w:rsidRPr="00722CE9">
        <w:t xml:space="preserve">). Non-Hispanic Asian and non-Hispanic White individuals experience the least delayed care due to cost at 10.8% and 11.8%, respectively.  The urbanization of SC is occurring primarily among minority groups, and may explain the higher percentages of urban-dwelling minority groups that cite cost as a determinant of delayed health care.  </w:t>
      </w:r>
    </w:p>
    <w:p w14:paraId="46BCF604" w14:textId="77777777" w:rsidR="00722CE9" w:rsidRPr="00722CE9" w:rsidRDefault="00722CE9" w:rsidP="00722CE9"/>
    <w:p w14:paraId="24CFCC59" w14:textId="77777777" w:rsidR="001E2F9C" w:rsidRDefault="001E2F9C" w:rsidP="001E2F9C">
      <w:pPr>
        <w:pStyle w:val="Heading4"/>
      </w:pPr>
      <w:bookmarkStart w:id="153" w:name="_Toc154569789"/>
      <w:bookmarkStart w:id="154" w:name="_Toc162267090"/>
      <w:r>
        <w:t>Figure 5.16: Delayed Medical Care due to Cost, by Subpopulation.</w:t>
      </w:r>
      <w:bookmarkEnd w:id="153"/>
      <w:bookmarkEnd w:id="154"/>
    </w:p>
    <w:tbl>
      <w:tblPr>
        <w:tblStyle w:val="TableGrid"/>
        <w:tblW w:w="0" w:type="auto"/>
        <w:tblLook w:val="04A0" w:firstRow="1" w:lastRow="0" w:firstColumn="1" w:lastColumn="0" w:noHBand="0" w:noVBand="1"/>
      </w:tblPr>
      <w:tblGrid>
        <w:gridCol w:w="4675"/>
        <w:gridCol w:w="4675"/>
      </w:tblGrid>
      <w:tr w:rsidR="001E2F9C" w14:paraId="3911178B" w14:textId="77777777" w:rsidTr="001515D5">
        <w:tc>
          <w:tcPr>
            <w:tcW w:w="4675" w:type="dxa"/>
            <w:vAlign w:val="bottom"/>
          </w:tcPr>
          <w:p w14:paraId="52DF2715" w14:textId="77777777" w:rsidR="001E2F9C" w:rsidRDefault="001E2F9C" w:rsidP="001515D5">
            <w:r>
              <w:t>Subpopulation</w:t>
            </w:r>
          </w:p>
        </w:tc>
        <w:tc>
          <w:tcPr>
            <w:tcW w:w="4675" w:type="dxa"/>
            <w:vAlign w:val="bottom"/>
          </w:tcPr>
          <w:p w14:paraId="55EB25AC" w14:textId="00C83D26" w:rsidR="001E2F9C" w:rsidRDefault="002748B7" w:rsidP="001515D5">
            <w:r>
              <w:t>Percent</w:t>
            </w:r>
          </w:p>
        </w:tc>
      </w:tr>
      <w:tr w:rsidR="001E2F9C" w14:paraId="06326B0E" w14:textId="77777777" w:rsidTr="001515D5">
        <w:tc>
          <w:tcPr>
            <w:tcW w:w="4675" w:type="dxa"/>
            <w:vAlign w:val="bottom"/>
          </w:tcPr>
          <w:p w14:paraId="5FC10417" w14:textId="77777777" w:rsidR="001E2F9C" w:rsidRDefault="001E2F9C" w:rsidP="001515D5">
            <w:r>
              <w:t>People with a Disability</w:t>
            </w:r>
          </w:p>
        </w:tc>
        <w:tc>
          <w:tcPr>
            <w:tcW w:w="4675" w:type="dxa"/>
            <w:vAlign w:val="bottom"/>
          </w:tcPr>
          <w:p w14:paraId="0AC6C2F8" w14:textId="46211240" w:rsidR="001E2F9C" w:rsidRDefault="001E2F9C" w:rsidP="001515D5">
            <w:r>
              <w:t>2</w:t>
            </w:r>
            <w:r w:rsidR="007A7C83">
              <w:t>2.9%</w:t>
            </w:r>
          </w:p>
        </w:tc>
      </w:tr>
      <w:tr w:rsidR="001E2F9C" w14:paraId="286A762C" w14:textId="77777777" w:rsidTr="001515D5">
        <w:tc>
          <w:tcPr>
            <w:tcW w:w="4675" w:type="dxa"/>
            <w:vAlign w:val="bottom"/>
          </w:tcPr>
          <w:p w14:paraId="5741AC16" w14:textId="77777777" w:rsidR="001E2F9C" w:rsidRDefault="001E2F9C" w:rsidP="001515D5">
            <w:r>
              <w:t>People without a Disability</w:t>
            </w:r>
          </w:p>
        </w:tc>
        <w:tc>
          <w:tcPr>
            <w:tcW w:w="4675" w:type="dxa"/>
            <w:vAlign w:val="bottom"/>
          </w:tcPr>
          <w:p w14:paraId="0D73A415" w14:textId="50B95A5C" w:rsidR="001E2F9C" w:rsidRDefault="007A7C83" w:rsidP="001515D5">
            <w:r>
              <w:t>10.4%</w:t>
            </w:r>
          </w:p>
        </w:tc>
      </w:tr>
      <w:tr w:rsidR="001E2F9C" w14:paraId="05D15DAB" w14:textId="77777777" w:rsidTr="001515D5">
        <w:tc>
          <w:tcPr>
            <w:tcW w:w="4675" w:type="dxa"/>
            <w:vAlign w:val="bottom"/>
          </w:tcPr>
          <w:p w14:paraId="174446D6" w14:textId="77777777" w:rsidR="001E2F9C" w:rsidRDefault="001E2F9C" w:rsidP="001515D5">
            <w:r>
              <w:t>Sexual Minority</w:t>
            </w:r>
          </w:p>
        </w:tc>
        <w:tc>
          <w:tcPr>
            <w:tcW w:w="4675" w:type="dxa"/>
            <w:vAlign w:val="bottom"/>
          </w:tcPr>
          <w:p w14:paraId="315E32D8" w14:textId="77777777" w:rsidR="001E2F9C" w:rsidRDefault="001E2F9C" w:rsidP="001515D5">
            <w:r>
              <w:t>26.40%</w:t>
            </w:r>
          </w:p>
        </w:tc>
      </w:tr>
      <w:tr w:rsidR="001E2F9C" w14:paraId="76B37292" w14:textId="77777777" w:rsidTr="001515D5">
        <w:tc>
          <w:tcPr>
            <w:tcW w:w="4675" w:type="dxa"/>
            <w:vAlign w:val="bottom"/>
          </w:tcPr>
          <w:p w14:paraId="4C030A64" w14:textId="77777777" w:rsidR="001E2F9C" w:rsidRDefault="001E2F9C" w:rsidP="001515D5">
            <w:r>
              <w:t>Heterosexual</w:t>
            </w:r>
          </w:p>
        </w:tc>
        <w:tc>
          <w:tcPr>
            <w:tcW w:w="4675" w:type="dxa"/>
            <w:vAlign w:val="bottom"/>
          </w:tcPr>
          <w:p w14:paraId="2BB26AAE" w14:textId="77777777" w:rsidR="001E2F9C" w:rsidRDefault="001E2F9C" w:rsidP="001515D5">
            <w:r>
              <w:t>14.20%</w:t>
            </w:r>
          </w:p>
        </w:tc>
      </w:tr>
      <w:tr w:rsidR="001E2F9C" w14:paraId="152D2842" w14:textId="77777777" w:rsidTr="001515D5">
        <w:tc>
          <w:tcPr>
            <w:tcW w:w="4675" w:type="dxa"/>
            <w:vAlign w:val="bottom"/>
          </w:tcPr>
          <w:p w14:paraId="5D3F3151" w14:textId="77777777" w:rsidR="001E2F9C" w:rsidRDefault="001E2F9C" w:rsidP="001515D5">
            <w:r>
              <w:t>Urban Hispanic</w:t>
            </w:r>
          </w:p>
        </w:tc>
        <w:tc>
          <w:tcPr>
            <w:tcW w:w="4675" w:type="dxa"/>
            <w:vAlign w:val="bottom"/>
          </w:tcPr>
          <w:p w14:paraId="5C53C804" w14:textId="77777777" w:rsidR="001E2F9C" w:rsidRDefault="001E2F9C" w:rsidP="001515D5">
            <w:r>
              <w:t>25.10%</w:t>
            </w:r>
          </w:p>
        </w:tc>
      </w:tr>
      <w:tr w:rsidR="001E2F9C" w14:paraId="3AC48F25" w14:textId="77777777" w:rsidTr="001515D5">
        <w:tc>
          <w:tcPr>
            <w:tcW w:w="4675" w:type="dxa"/>
            <w:vAlign w:val="bottom"/>
          </w:tcPr>
          <w:p w14:paraId="006E278C" w14:textId="77777777" w:rsidR="001E2F9C" w:rsidRDefault="001E2F9C" w:rsidP="001515D5">
            <w:r>
              <w:t>Rural Hispanic</w:t>
            </w:r>
          </w:p>
        </w:tc>
        <w:tc>
          <w:tcPr>
            <w:tcW w:w="4675" w:type="dxa"/>
            <w:vAlign w:val="bottom"/>
          </w:tcPr>
          <w:p w14:paraId="1CEFE8D9" w14:textId="77777777" w:rsidR="001E2F9C" w:rsidRDefault="001E2F9C" w:rsidP="001515D5">
            <w:r>
              <w:t>14.70%</w:t>
            </w:r>
          </w:p>
        </w:tc>
      </w:tr>
      <w:tr w:rsidR="001E2F9C" w14:paraId="219E6B72" w14:textId="77777777" w:rsidTr="001515D5">
        <w:tc>
          <w:tcPr>
            <w:tcW w:w="4675" w:type="dxa"/>
            <w:vAlign w:val="bottom"/>
          </w:tcPr>
          <w:p w14:paraId="21B45A45" w14:textId="77777777" w:rsidR="001E2F9C" w:rsidRDefault="001E2F9C" w:rsidP="001515D5">
            <w:r>
              <w:t>Urban Non-Hispanic AI/AN</w:t>
            </w:r>
          </w:p>
        </w:tc>
        <w:tc>
          <w:tcPr>
            <w:tcW w:w="4675" w:type="dxa"/>
            <w:vAlign w:val="bottom"/>
          </w:tcPr>
          <w:p w14:paraId="1EF7C071" w14:textId="77777777" w:rsidR="001E2F9C" w:rsidRDefault="001E2F9C" w:rsidP="001515D5">
            <w:r>
              <w:t>24.10%</w:t>
            </w:r>
          </w:p>
        </w:tc>
      </w:tr>
      <w:tr w:rsidR="001E2F9C" w14:paraId="4CFCE85E" w14:textId="77777777" w:rsidTr="001515D5">
        <w:tc>
          <w:tcPr>
            <w:tcW w:w="4675" w:type="dxa"/>
            <w:vAlign w:val="bottom"/>
          </w:tcPr>
          <w:p w14:paraId="558CB753" w14:textId="77777777" w:rsidR="001E2F9C" w:rsidRDefault="001E2F9C" w:rsidP="001515D5">
            <w:r>
              <w:t>Rural Non-Hispanic AI/AN</w:t>
            </w:r>
          </w:p>
        </w:tc>
        <w:tc>
          <w:tcPr>
            <w:tcW w:w="4675" w:type="dxa"/>
            <w:vAlign w:val="bottom"/>
          </w:tcPr>
          <w:p w14:paraId="1261CCDD" w14:textId="77777777" w:rsidR="001E2F9C" w:rsidRDefault="001E2F9C" w:rsidP="001515D5">
            <w:r>
              <w:t>4.50%</w:t>
            </w:r>
          </w:p>
        </w:tc>
      </w:tr>
      <w:tr w:rsidR="001E2F9C" w14:paraId="1F20A9D0" w14:textId="77777777" w:rsidTr="001515D5">
        <w:tc>
          <w:tcPr>
            <w:tcW w:w="4675" w:type="dxa"/>
            <w:vAlign w:val="bottom"/>
          </w:tcPr>
          <w:p w14:paraId="1D6B2CD3" w14:textId="77777777" w:rsidR="001E2F9C" w:rsidRDefault="001E2F9C" w:rsidP="001515D5">
            <w:r>
              <w:t>Urban Non-Hispanic Black</w:t>
            </w:r>
          </w:p>
        </w:tc>
        <w:tc>
          <w:tcPr>
            <w:tcW w:w="4675" w:type="dxa"/>
            <w:vAlign w:val="bottom"/>
          </w:tcPr>
          <w:p w14:paraId="33A369DA" w14:textId="77777777" w:rsidR="001E2F9C" w:rsidRDefault="001E2F9C" w:rsidP="001515D5">
            <w:r>
              <w:t>17.80%</w:t>
            </w:r>
          </w:p>
        </w:tc>
      </w:tr>
      <w:tr w:rsidR="001E2F9C" w14:paraId="7E2DA52A" w14:textId="77777777" w:rsidTr="001515D5">
        <w:tc>
          <w:tcPr>
            <w:tcW w:w="4675" w:type="dxa"/>
            <w:vAlign w:val="bottom"/>
          </w:tcPr>
          <w:p w14:paraId="431F4D54" w14:textId="77777777" w:rsidR="001E2F9C" w:rsidRDefault="001E2F9C" w:rsidP="001515D5">
            <w:r>
              <w:t>Rural Non-Hispanic Black</w:t>
            </w:r>
          </w:p>
        </w:tc>
        <w:tc>
          <w:tcPr>
            <w:tcW w:w="4675" w:type="dxa"/>
            <w:vAlign w:val="bottom"/>
          </w:tcPr>
          <w:p w14:paraId="22E67545" w14:textId="77777777" w:rsidR="001E2F9C" w:rsidRDefault="001E2F9C" w:rsidP="001515D5">
            <w:r>
              <w:t>15.40%</w:t>
            </w:r>
          </w:p>
        </w:tc>
      </w:tr>
    </w:tbl>
    <w:p w14:paraId="382638F0" w14:textId="2E5E2AA9" w:rsidR="001E2F9C" w:rsidRPr="00355078" w:rsidRDefault="001E2F9C" w:rsidP="001E2F9C">
      <w:r w:rsidRPr="00355078">
        <w:t>Source: SC BRFSS, 2017-202</w:t>
      </w:r>
      <w:r w:rsidR="00F678C8">
        <w:t>1</w:t>
      </w:r>
      <w:r w:rsidRPr="00355078">
        <w:t xml:space="preserve">. </w:t>
      </w:r>
    </w:p>
    <w:p w14:paraId="48D1C54D" w14:textId="77777777" w:rsidR="00F678C8" w:rsidRPr="00F678C8" w:rsidRDefault="00F678C8" w:rsidP="00F678C8">
      <w:r w:rsidRPr="00F678C8">
        <w:t xml:space="preserve">Note: Delayed medical care is "Was there a time in the past 12 months when you needed to see a doctor but could not because you could not afford it?" Questions </w:t>
      </w:r>
      <w:r w:rsidRPr="00F678C8">
        <w:lastRenderedPageBreak/>
        <w:t xml:space="preserve">regarding sexuality were only asked in 2018-2020. Sexual minority refers to LGBTQIA+ individuals in SC. </w:t>
      </w:r>
    </w:p>
    <w:p w14:paraId="2418F865" w14:textId="77777777" w:rsidR="00722CE9" w:rsidRDefault="00722CE9" w:rsidP="00722CE9"/>
    <w:p w14:paraId="67A32AAB" w14:textId="621652B2" w:rsidR="00722CE9" w:rsidRPr="00270B2E" w:rsidRDefault="00722CE9" w:rsidP="00722CE9">
      <w:pPr>
        <w:rPr>
          <w:rStyle w:val="Heading4Char"/>
          <w:rFonts w:asciiTheme="minorHAnsi" w:hAnsiTheme="minorHAnsi" w:cstheme="minorHAnsi"/>
          <w:color w:val="000000" w:themeColor="text1"/>
        </w:rPr>
      </w:pPr>
      <w:bookmarkStart w:id="155" w:name="_Toc162267091"/>
      <w:r w:rsidRPr="00270B2E">
        <w:rPr>
          <w:rStyle w:val="Heading4Char"/>
          <w:rFonts w:asciiTheme="minorHAnsi" w:hAnsiTheme="minorHAnsi" w:cstheme="minorHAnsi"/>
          <w:color w:val="000000" w:themeColor="text1"/>
        </w:rPr>
        <w:t>References 5.</w:t>
      </w:r>
      <w:r w:rsidR="00926EB3" w:rsidRPr="00270B2E">
        <w:rPr>
          <w:rStyle w:val="Heading4Char"/>
          <w:rFonts w:asciiTheme="minorHAnsi" w:hAnsiTheme="minorHAnsi" w:cstheme="minorHAnsi"/>
          <w:color w:val="000000" w:themeColor="text1"/>
        </w:rPr>
        <w:t>10</w:t>
      </w:r>
      <w:bookmarkEnd w:id="155"/>
      <w:r w:rsidR="002B2178" w:rsidRPr="00270B2E">
        <w:rPr>
          <w:rStyle w:val="Heading4Char"/>
          <w:rFonts w:asciiTheme="minorHAnsi" w:hAnsiTheme="minorHAnsi" w:cstheme="minorHAnsi"/>
          <w:color w:val="000000" w:themeColor="text1"/>
        </w:rPr>
        <w:t xml:space="preserve"> </w:t>
      </w:r>
    </w:p>
    <w:p w14:paraId="6CCAE1A9" w14:textId="77777777" w:rsidR="00544ADD" w:rsidRDefault="00722CE9" w:rsidP="00544ADD">
      <w:r w:rsidRPr="00722CE9">
        <w:t xml:space="preserve">Statistics in the preceding </w:t>
      </w:r>
      <w:r>
        <w:t xml:space="preserve">three </w:t>
      </w:r>
      <w:r w:rsidRPr="00722CE9">
        <w:t>paragraph</w:t>
      </w:r>
      <w:r>
        <w:t>s</w:t>
      </w:r>
      <w:r w:rsidRPr="00722CE9">
        <w:t xml:space="preserve"> were referenced from the following reports:</w:t>
      </w:r>
    </w:p>
    <w:p w14:paraId="2CA0C6F4" w14:textId="2EFD4320" w:rsidR="00544ADD" w:rsidRDefault="00000000" w:rsidP="00544ADD">
      <w:pPr>
        <w:pStyle w:val="ListParagraph"/>
        <w:numPr>
          <w:ilvl w:val="0"/>
          <w:numId w:val="231"/>
        </w:numPr>
      </w:pPr>
      <w:hyperlink r:id="rId62" w:history="1">
        <w:r w:rsidR="002B2178" w:rsidRPr="002B2178">
          <w:rPr>
            <w:rStyle w:val="Hyperlink"/>
          </w:rPr>
          <w:t>“</w:t>
        </w:r>
        <w:r w:rsidR="00722CE9" w:rsidRPr="00722CE9">
          <w:rPr>
            <w:rStyle w:val="Hyperlink"/>
          </w:rPr>
          <w:t>Provisional Life Expectancy Estimates for 2021</w:t>
        </w:r>
        <w:r w:rsidR="002B2178" w:rsidRPr="002B2178">
          <w:rPr>
            <w:rStyle w:val="Hyperlink"/>
          </w:rPr>
          <w:t xml:space="preserve">” by </w:t>
        </w:r>
        <w:r w:rsidR="002B2178" w:rsidRPr="00722CE9">
          <w:rPr>
            <w:rStyle w:val="Hyperlink"/>
          </w:rPr>
          <w:t xml:space="preserve">Arias, E., Tejada-Vera, B., </w:t>
        </w:r>
        <w:proofErr w:type="spellStart"/>
        <w:r w:rsidR="002B2178" w:rsidRPr="00722CE9">
          <w:rPr>
            <w:rStyle w:val="Hyperlink"/>
          </w:rPr>
          <w:t>Kochanek</w:t>
        </w:r>
        <w:proofErr w:type="spellEnd"/>
        <w:r w:rsidR="002B2178" w:rsidRPr="00722CE9">
          <w:rPr>
            <w:rStyle w:val="Hyperlink"/>
          </w:rPr>
          <w:t>, K., &amp; Ahmad, F</w:t>
        </w:r>
        <w:r w:rsidR="00722CE9" w:rsidRPr="00722CE9">
          <w:rPr>
            <w:rStyle w:val="Hyperlink"/>
          </w:rPr>
          <w:t xml:space="preserve">. </w:t>
        </w:r>
        <w:r w:rsidR="002B2178">
          <w:rPr>
            <w:rStyle w:val="Hyperlink"/>
          </w:rPr>
          <w:t xml:space="preserve">Published by CDC Stacks in </w:t>
        </w:r>
        <w:r w:rsidR="002B2178" w:rsidRPr="002B2178">
          <w:rPr>
            <w:rStyle w:val="Hyperlink"/>
          </w:rPr>
          <w:t>2022.</w:t>
        </w:r>
      </w:hyperlink>
      <w:r w:rsidR="002B2178">
        <w:t xml:space="preserve"> </w:t>
      </w:r>
    </w:p>
    <w:p w14:paraId="4F8D697E" w14:textId="77777777" w:rsidR="00544ADD" w:rsidRDefault="002B2178" w:rsidP="00544ADD">
      <w:pPr>
        <w:pStyle w:val="ListParagraph"/>
        <w:numPr>
          <w:ilvl w:val="0"/>
          <w:numId w:val="231"/>
        </w:numPr>
      </w:pPr>
      <w:r>
        <w:t>“</w:t>
      </w:r>
      <w:r w:rsidR="00722CE9" w:rsidRPr="00722CE9">
        <w:t>Behavioral Risk Factor Surveillance System Survey 2017-2021</w:t>
      </w:r>
      <w:r>
        <w:t>”</w:t>
      </w:r>
      <w:r w:rsidR="00722CE9" w:rsidRPr="00722CE9">
        <w:t xml:space="preserve"> </w:t>
      </w:r>
      <w:r>
        <w:t xml:space="preserve">published by SC DHEC, 2023. No hyperlink. </w:t>
      </w:r>
    </w:p>
    <w:p w14:paraId="3DA7F869" w14:textId="77777777" w:rsidR="00544ADD" w:rsidRDefault="00544ADD" w:rsidP="00544ADD">
      <w:pPr>
        <w:pStyle w:val="ListParagraph"/>
        <w:numPr>
          <w:ilvl w:val="0"/>
          <w:numId w:val="231"/>
        </w:numPr>
      </w:pPr>
      <w:r>
        <w:t>.</w:t>
      </w:r>
      <w:hyperlink r:id="rId63" w:history="1">
        <w:r w:rsidR="002B2178" w:rsidRPr="002B2178">
          <w:rPr>
            <w:rStyle w:val="Hyperlink"/>
          </w:rPr>
          <w:t>“</w:t>
        </w:r>
        <w:r w:rsidR="00722CE9" w:rsidRPr="00722CE9">
          <w:rPr>
            <w:rStyle w:val="Hyperlink"/>
          </w:rPr>
          <w:t>2022 SCICH State of Homelessness Report</w:t>
        </w:r>
        <w:r w:rsidR="002B2178" w:rsidRPr="002B2178">
          <w:rPr>
            <w:rStyle w:val="Hyperlink"/>
          </w:rPr>
          <w:t xml:space="preserve">” by the </w:t>
        </w:r>
        <w:r w:rsidR="00722CE9" w:rsidRPr="00722CE9">
          <w:rPr>
            <w:rStyle w:val="Hyperlink"/>
          </w:rPr>
          <w:t>South Carolina Interagency Council on homelessness</w:t>
        </w:r>
        <w:r w:rsidR="002B2178" w:rsidRPr="002B2178">
          <w:rPr>
            <w:rStyle w:val="Hyperlink"/>
          </w:rPr>
          <w:t xml:space="preserve">, </w:t>
        </w:r>
        <w:r w:rsidR="00722CE9" w:rsidRPr="00722CE9">
          <w:rPr>
            <w:rStyle w:val="Hyperlink"/>
          </w:rPr>
          <w:t>2022.</w:t>
        </w:r>
      </w:hyperlink>
      <w:r w:rsidR="00722CE9" w:rsidRPr="00722CE9">
        <w:t xml:space="preserve"> </w:t>
      </w:r>
    </w:p>
    <w:p w14:paraId="3E09C3CE" w14:textId="77777777" w:rsidR="00544ADD" w:rsidRDefault="00000000" w:rsidP="00544ADD">
      <w:pPr>
        <w:pStyle w:val="ListParagraph"/>
        <w:numPr>
          <w:ilvl w:val="0"/>
          <w:numId w:val="231"/>
        </w:numPr>
      </w:pPr>
      <w:hyperlink r:id="rId64" w:history="1">
        <w:r w:rsidR="002B2178" w:rsidRPr="002B2178">
          <w:rPr>
            <w:rStyle w:val="Hyperlink"/>
          </w:rPr>
          <w:t>“</w:t>
        </w:r>
        <w:r w:rsidR="00722CE9" w:rsidRPr="00722CE9">
          <w:rPr>
            <w:rStyle w:val="Hyperlink"/>
          </w:rPr>
          <w:t>Annual Impact 2022</w:t>
        </w:r>
        <w:r w:rsidR="002B2178" w:rsidRPr="002B2178">
          <w:rPr>
            <w:rStyle w:val="Hyperlink"/>
          </w:rPr>
          <w:t>” by the</w:t>
        </w:r>
        <w:r w:rsidR="00722CE9" w:rsidRPr="00722CE9">
          <w:rPr>
            <w:rStyle w:val="Hyperlink"/>
          </w:rPr>
          <w:t xml:space="preserve"> SC Office of Rural Health</w:t>
        </w:r>
        <w:r w:rsidR="002B2178" w:rsidRPr="002B2178">
          <w:rPr>
            <w:rStyle w:val="Hyperlink"/>
          </w:rPr>
          <w:t xml:space="preserve">, </w:t>
        </w:r>
        <w:r w:rsidR="00722CE9" w:rsidRPr="00722CE9">
          <w:rPr>
            <w:rStyle w:val="Hyperlink"/>
          </w:rPr>
          <w:t>2023</w:t>
        </w:r>
        <w:r w:rsidR="002B2178" w:rsidRPr="002B2178">
          <w:rPr>
            <w:rStyle w:val="Hyperlink"/>
          </w:rPr>
          <w:t>.</w:t>
        </w:r>
      </w:hyperlink>
      <w:r w:rsidR="002B2178">
        <w:t xml:space="preserve"> </w:t>
      </w:r>
    </w:p>
    <w:p w14:paraId="4724A7D4" w14:textId="54C5A9A3" w:rsidR="00722CE9" w:rsidRPr="00722CE9" w:rsidRDefault="002B2178" w:rsidP="00544ADD">
      <w:pPr>
        <w:pStyle w:val="ListParagraph"/>
        <w:numPr>
          <w:ilvl w:val="0"/>
          <w:numId w:val="231"/>
        </w:numPr>
      </w:pPr>
      <w:r>
        <w:t>“</w:t>
      </w:r>
      <w:r w:rsidR="00722CE9" w:rsidRPr="00722CE9">
        <w:t>Statistical Profile FY 21-22</w:t>
      </w:r>
      <w:r>
        <w:t xml:space="preserve">” by </w:t>
      </w:r>
      <w:r w:rsidRPr="00722CE9">
        <w:t>South Carolina Commission for Minority Affairs</w:t>
      </w:r>
      <w:r>
        <w:t xml:space="preserve">. Published in </w:t>
      </w:r>
      <w:r w:rsidR="00722CE9" w:rsidRPr="00722CE9">
        <w:t>Economic and Employment Trends</w:t>
      </w:r>
      <w:r>
        <w:t>, 2022</w:t>
      </w:r>
      <w:r w:rsidR="00722CE9" w:rsidRPr="00722CE9">
        <w:t xml:space="preserve">. </w:t>
      </w:r>
      <w:r>
        <w:t>No hyperlink.</w:t>
      </w:r>
    </w:p>
    <w:p w14:paraId="0E1D502C" w14:textId="77777777" w:rsidR="00722CE9" w:rsidRDefault="00722CE9" w:rsidP="00722CE9"/>
    <w:p w14:paraId="19E70473" w14:textId="77777777" w:rsidR="00722CE9" w:rsidRDefault="00722CE9" w:rsidP="00722CE9">
      <w:pPr>
        <w:pStyle w:val="Heading3"/>
      </w:pPr>
      <w:bookmarkStart w:id="156" w:name="_Toc162267092"/>
      <w:r w:rsidRPr="00722CE9">
        <w:t>Populations Facing Health Inequity</w:t>
      </w:r>
      <w:bookmarkEnd w:id="156"/>
      <w:r w:rsidRPr="00722CE9">
        <w:t xml:space="preserve"> </w:t>
      </w:r>
    </w:p>
    <w:p w14:paraId="45FD899A" w14:textId="77777777" w:rsidR="00722CE9" w:rsidRPr="00722CE9" w:rsidRDefault="00722CE9" w:rsidP="00722CE9">
      <w:pPr>
        <w:pStyle w:val="Heading4"/>
      </w:pPr>
      <w:bookmarkStart w:id="157" w:name="_Toc162267093"/>
      <w:r w:rsidRPr="00722CE9">
        <w:t>Rural and Urban Populations</w:t>
      </w:r>
      <w:bookmarkEnd w:id="157"/>
      <w:r w:rsidRPr="00722CE9">
        <w:t xml:space="preserve"> </w:t>
      </w:r>
    </w:p>
    <w:p w14:paraId="30A53486" w14:textId="642B0272" w:rsidR="00722CE9" w:rsidRPr="00722CE9" w:rsidRDefault="00722CE9" w:rsidP="00722CE9">
      <w:r w:rsidRPr="00722CE9">
        <w:t>The rural population of the US has historically experienced worse health overall and higher mortality than the urban population. The ability to monitor and improve the health of rural communities is complicated by different methods defining localities as rural. When communities are classified as urban using county-level criteria of population size, proximity to urban centers, and direction of commuting patterns, there are corresponding levels of higher education, lower poverty, and lower mortality rates than in rural communities. In national surveys, non-Hispanic Black rural residents have higher rates of age-adjusted mortality from all causes, cancer, cardiovascular disease, and stroke compared to their urban counterparts. These rates are the highest among all racial and ethnic rural groups. Furthermore, non-Hispanic Black rural residents report more socioeconomic disadvantage, and more often rate their health status as fair or poor, or report delaying medical care due to cost, compared to other racial-ethnic rural residents. The inclusion of micropolitan areas, defined as nonmetropolitan areas with from 10,000 to 49,999 people and which are distinguished from smaller, "noncore" areas, as rural in these studies complicates health comparisons between reports because micropolitan areas differ economically, demographically, and in health outcomes from both urban and noncore areas.</w:t>
      </w:r>
    </w:p>
    <w:p w14:paraId="484DEE92" w14:textId="77777777" w:rsidR="00722CE9" w:rsidRDefault="00722CE9" w:rsidP="00722CE9"/>
    <w:p w14:paraId="4CDCD55E" w14:textId="7F29A00B" w:rsidR="00722CE9" w:rsidRPr="00722CE9" w:rsidRDefault="00722CE9" w:rsidP="00722CE9">
      <w:r w:rsidRPr="00722CE9">
        <w:lastRenderedPageBreak/>
        <w:t>In SC, the current rural-urban classification uses 2010 census data.</w:t>
      </w:r>
      <w:r w:rsidRPr="00722CE9">
        <w:rPr>
          <w:b/>
          <w:bCs/>
        </w:rPr>
        <w:t xml:space="preserve"> </w:t>
      </w:r>
      <w:r w:rsidRPr="00722CE9">
        <w:t xml:space="preserve">As a result, recent </w:t>
      </w:r>
      <w:proofErr w:type="gramStart"/>
      <w:r w:rsidRPr="00722CE9">
        <w:t>morbidity</w:t>
      </w:r>
      <w:proofErr w:type="gramEnd"/>
      <w:r w:rsidRPr="00722CE9">
        <w:t xml:space="preserve"> and mortality data for urban and rural areas in SC do not necessarily reflect the results of ongoing urbanization. Urban centers, making up more than 30 percent of the county population, are found in 15 counties.</w:t>
      </w:r>
      <w:r>
        <w:t xml:space="preserve"> </w:t>
      </w:r>
      <w:r w:rsidRPr="00722CE9">
        <w:t>Although most land area in SC is designated as rural (</w:t>
      </w:r>
      <w:r w:rsidRPr="00722CE9">
        <w:rPr>
          <w:b/>
          <w:bCs/>
        </w:rPr>
        <w:t>Figure 5.17</w:t>
      </w:r>
      <w:r w:rsidRPr="00722CE9">
        <w:t>), only 27% of the population lives in rural areas, which decreased from 42% in 2010. From 2011-2020, age-adjusted mortality rates were consistently higher among rural areas compared to urban settings in SC, and increased dramatically in both settings between 2019 to 2020, when the COVID-19 pandemic began. For rural residents, the age-adjusted mortality rate increased from 850 deaths per 100,000 in 2019 to 1,000 deaths per 100,000 residents in 2020 (data not shown). For urban residents, the age-adjusted mortality rate increased, from 790 deaths per 100,000 residents in 2019 to 920 deaths per 100,000 residents in 2020. During this time, rural residents, compared to urban residents, experienced more deaths from cardiovascular disease (CVD), COVID-19, cancer, homicides, and unintentional injuries. To address the health disparities exacerbated by the pandemic, the SC Health Equity Initiative was implemented in 2020 as part of a national program by the CDC to advance health equity projects across the state among high-risk and underserved populations, including racial and ethnic minorities and rural residents.</w:t>
      </w:r>
    </w:p>
    <w:p w14:paraId="0DE22F66" w14:textId="77777777" w:rsidR="00722CE9" w:rsidRDefault="00722CE9" w:rsidP="00722CE9"/>
    <w:p w14:paraId="35D37DF5" w14:textId="289F27D6" w:rsidR="00722CE9" w:rsidRPr="006A527F" w:rsidRDefault="00722CE9" w:rsidP="006A527F">
      <w:pPr>
        <w:pStyle w:val="Heading4"/>
      </w:pPr>
      <w:bookmarkStart w:id="158" w:name="_Toc162267094"/>
      <w:r w:rsidRPr="006A527F">
        <w:t>Figure 5.17</w:t>
      </w:r>
      <w:r w:rsidR="002748B7">
        <w:t>:</w:t>
      </w:r>
      <w:r w:rsidR="00823B72" w:rsidRPr="006A527F">
        <w:t xml:space="preserve"> Rural-Urban Land Area in South Carolina, by County and Census Tract, 2010.</w:t>
      </w:r>
      <w:bookmarkEnd w:id="158"/>
    </w:p>
    <w:tbl>
      <w:tblPr>
        <w:tblStyle w:val="TableGrid"/>
        <w:tblW w:w="0" w:type="auto"/>
        <w:tblLook w:val="04A0" w:firstRow="1" w:lastRow="0" w:firstColumn="1" w:lastColumn="0" w:noHBand="0" w:noVBand="1"/>
      </w:tblPr>
      <w:tblGrid>
        <w:gridCol w:w="2337"/>
        <w:gridCol w:w="2337"/>
        <w:gridCol w:w="2338"/>
        <w:gridCol w:w="2338"/>
      </w:tblGrid>
      <w:tr w:rsidR="006A527F" w14:paraId="6F138CC9" w14:textId="77777777" w:rsidTr="00C36ADA">
        <w:tc>
          <w:tcPr>
            <w:tcW w:w="2337" w:type="dxa"/>
            <w:vAlign w:val="bottom"/>
          </w:tcPr>
          <w:p w14:paraId="4BA56FEE" w14:textId="6D3351ED" w:rsidR="006A527F" w:rsidRDefault="006A527F" w:rsidP="006A527F">
            <w:r>
              <w:t>County</w:t>
            </w:r>
          </w:p>
        </w:tc>
        <w:tc>
          <w:tcPr>
            <w:tcW w:w="2337" w:type="dxa"/>
            <w:vAlign w:val="bottom"/>
          </w:tcPr>
          <w:p w14:paraId="24C3DEF2" w14:textId="64DAE529" w:rsidR="006A527F" w:rsidRDefault="006A527F" w:rsidP="006A527F">
            <w:r>
              <w:t>Rural/Urban County Designation</w:t>
            </w:r>
          </w:p>
        </w:tc>
        <w:tc>
          <w:tcPr>
            <w:tcW w:w="2338" w:type="dxa"/>
            <w:vAlign w:val="bottom"/>
          </w:tcPr>
          <w:p w14:paraId="094CA975" w14:textId="3C963DAC" w:rsidR="006A527F" w:rsidRDefault="006A527F" w:rsidP="006A527F">
            <w:r>
              <w:t>% Urban Census Tracts in County</w:t>
            </w:r>
          </w:p>
        </w:tc>
        <w:tc>
          <w:tcPr>
            <w:tcW w:w="2338" w:type="dxa"/>
            <w:vAlign w:val="bottom"/>
          </w:tcPr>
          <w:p w14:paraId="5D0DA22D" w14:textId="6AC8B8E9" w:rsidR="006A527F" w:rsidRDefault="006A527F" w:rsidP="006A527F">
            <w:r>
              <w:t>% Rural Census Tracts in County</w:t>
            </w:r>
          </w:p>
        </w:tc>
      </w:tr>
      <w:tr w:rsidR="006A527F" w14:paraId="2FF3036F" w14:textId="77777777" w:rsidTr="00C36ADA">
        <w:tc>
          <w:tcPr>
            <w:tcW w:w="2337" w:type="dxa"/>
          </w:tcPr>
          <w:p w14:paraId="5C0CDF33" w14:textId="316AC326" w:rsidR="006A527F" w:rsidRDefault="006A527F" w:rsidP="006A527F">
            <w:r>
              <w:t>Abbeville</w:t>
            </w:r>
          </w:p>
        </w:tc>
        <w:tc>
          <w:tcPr>
            <w:tcW w:w="2337" w:type="dxa"/>
          </w:tcPr>
          <w:p w14:paraId="74DB7BD2" w14:textId="67CD500F" w:rsidR="006A527F" w:rsidRDefault="006A527F" w:rsidP="006A527F">
            <w:r>
              <w:t>Rural</w:t>
            </w:r>
          </w:p>
        </w:tc>
        <w:tc>
          <w:tcPr>
            <w:tcW w:w="2338" w:type="dxa"/>
            <w:vAlign w:val="bottom"/>
          </w:tcPr>
          <w:p w14:paraId="232A0E64" w14:textId="77777777" w:rsidR="006A527F" w:rsidRDefault="006A527F" w:rsidP="006A527F"/>
        </w:tc>
        <w:tc>
          <w:tcPr>
            <w:tcW w:w="2338" w:type="dxa"/>
            <w:vAlign w:val="center"/>
          </w:tcPr>
          <w:p w14:paraId="1F76E9C6" w14:textId="4A8545B0" w:rsidR="006A527F" w:rsidRDefault="006A527F" w:rsidP="006A527F">
            <w:r>
              <w:t>100.0%</w:t>
            </w:r>
          </w:p>
        </w:tc>
      </w:tr>
      <w:tr w:rsidR="006A527F" w14:paraId="72120380" w14:textId="77777777" w:rsidTr="00C36ADA">
        <w:tc>
          <w:tcPr>
            <w:tcW w:w="2337" w:type="dxa"/>
          </w:tcPr>
          <w:p w14:paraId="18D77D23" w14:textId="75CF3C8A" w:rsidR="006A527F" w:rsidRDefault="006A527F" w:rsidP="006A527F">
            <w:r>
              <w:t>Aiken</w:t>
            </w:r>
          </w:p>
        </w:tc>
        <w:tc>
          <w:tcPr>
            <w:tcW w:w="2337" w:type="dxa"/>
          </w:tcPr>
          <w:p w14:paraId="1DE869F4" w14:textId="2A525E8A" w:rsidR="006A527F" w:rsidRDefault="006A527F" w:rsidP="006A527F">
            <w:r>
              <w:t>Urban</w:t>
            </w:r>
          </w:p>
        </w:tc>
        <w:tc>
          <w:tcPr>
            <w:tcW w:w="2338" w:type="dxa"/>
            <w:vAlign w:val="center"/>
          </w:tcPr>
          <w:p w14:paraId="78357EFE" w14:textId="350196E5" w:rsidR="006A527F" w:rsidRDefault="006A527F" w:rsidP="006A527F">
            <w:r>
              <w:t>66.7%</w:t>
            </w:r>
          </w:p>
        </w:tc>
        <w:tc>
          <w:tcPr>
            <w:tcW w:w="2338" w:type="dxa"/>
            <w:vAlign w:val="center"/>
          </w:tcPr>
          <w:p w14:paraId="3755CFCF" w14:textId="1906A2F7" w:rsidR="006A527F" w:rsidRDefault="006A527F" w:rsidP="006A527F">
            <w:r>
              <w:t>33.3%</w:t>
            </w:r>
          </w:p>
        </w:tc>
      </w:tr>
      <w:tr w:rsidR="006A527F" w14:paraId="2CA34C6A" w14:textId="77777777" w:rsidTr="00C36ADA">
        <w:tc>
          <w:tcPr>
            <w:tcW w:w="2337" w:type="dxa"/>
          </w:tcPr>
          <w:p w14:paraId="381D3465" w14:textId="2EA6940E" w:rsidR="006A527F" w:rsidRDefault="006A527F" w:rsidP="006A527F">
            <w:r>
              <w:t>Allendale</w:t>
            </w:r>
          </w:p>
        </w:tc>
        <w:tc>
          <w:tcPr>
            <w:tcW w:w="2337" w:type="dxa"/>
          </w:tcPr>
          <w:p w14:paraId="536FD9F0" w14:textId="478AAB03" w:rsidR="006A527F" w:rsidRDefault="006A527F" w:rsidP="006A527F">
            <w:r>
              <w:t>Rural</w:t>
            </w:r>
          </w:p>
        </w:tc>
        <w:tc>
          <w:tcPr>
            <w:tcW w:w="2338" w:type="dxa"/>
            <w:vAlign w:val="bottom"/>
          </w:tcPr>
          <w:p w14:paraId="05089E76" w14:textId="77777777" w:rsidR="006A527F" w:rsidRDefault="006A527F" w:rsidP="006A527F"/>
        </w:tc>
        <w:tc>
          <w:tcPr>
            <w:tcW w:w="2338" w:type="dxa"/>
            <w:vAlign w:val="center"/>
          </w:tcPr>
          <w:p w14:paraId="36B3D947" w14:textId="2DCF6855" w:rsidR="006A527F" w:rsidRDefault="006A527F" w:rsidP="006A527F">
            <w:r>
              <w:t>100.0%</w:t>
            </w:r>
          </w:p>
        </w:tc>
      </w:tr>
      <w:tr w:rsidR="006A527F" w14:paraId="7432BBBE" w14:textId="77777777" w:rsidTr="00C36ADA">
        <w:tc>
          <w:tcPr>
            <w:tcW w:w="2337" w:type="dxa"/>
          </w:tcPr>
          <w:p w14:paraId="0FB74D43" w14:textId="08E26158" w:rsidR="006A527F" w:rsidRDefault="006A527F" w:rsidP="006A527F">
            <w:r>
              <w:t>Anderson</w:t>
            </w:r>
          </w:p>
        </w:tc>
        <w:tc>
          <w:tcPr>
            <w:tcW w:w="2337" w:type="dxa"/>
          </w:tcPr>
          <w:p w14:paraId="061BB326" w14:textId="6FBD25FD" w:rsidR="006A527F" w:rsidRDefault="006A527F" w:rsidP="006A527F">
            <w:r>
              <w:t>Urban</w:t>
            </w:r>
          </w:p>
        </w:tc>
        <w:tc>
          <w:tcPr>
            <w:tcW w:w="2338" w:type="dxa"/>
            <w:vAlign w:val="center"/>
          </w:tcPr>
          <w:p w14:paraId="6FB467EF" w14:textId="46673D84" w:rsidR="006A527F" w:rsidRDefault="006A527F" w:rsidP="006A527F">
            <w:r>
              <w:t>69.2%</w:t>
            </w:r>
          </w:p>
        </w:tc>
        <w:tc>
          <w:tcPr>
            <w:tcW w:w="2338" w:type="dxa"/>
            <w:vAlign w:val="center"/>
          </w:tcPr>
          <w:p w14:paraId="77041F53" w14:textId="01AFCC4B" w:rsidR="006A527F" w:rsidRDefault="006A527F" w:rsidP="006A527F">
            <w:r>
              <w:t>30.8%</w:t>
            </w:r>
          </w:p>
        </w:tc>
      </w:tr>
      <w:tr w:rsidR="006A527F" w14:paraId="65874158" w14:textId="77777777" w:rsidTr="00C36ADA">
        <w:tc>
          <w:tcPr>
            <w:tcW w:w="2337" w:type="dxa"/>
          </w:tcPr>
          <w:p w14:paraId="59596D52" w14:textId="503D1CD5" w:rsidR="006A527F" w:rsidRDefault="006A527F" w:rsidP="006A527F">
            <w:r>
              <w:t>Bamberg</w:t>
            </w:r>
          </w:p>
        </w:tc>
        <w:tc>
          <w:tcPr>
            <w:tcW w:w="2337" w:type="dxa"/>
          </w:tcPr>
          <w:p w14:paraId="56C3C206" w14:textId="5387EB13" w:rsidR="006A527F" w:rsidRDefault="006A527F" w:rsidP="006A527F">
            <w:r>
              <w:t>Rural</w:t>
            </w:r>
          </w:p>
        </w:tc>
        <w:tc>
          <w:tcPr>
            <w:tcW w:w="2338" w:type="dxa"/>
            <w:vAlign w:val="bottom"/>
          </w:tcPr>
          <w:p w14:paraId="2EF734DA" w14:textId="77777777" w:rsidR="006A527F" w:rsidRDefault="006A527F" w:rsidP="006A527F"/>
        </w:tc>
        <w:tc>
          <w:tcPr>
            <w:tcW w:w="2338" w:type="dxa"/>
            <w:vAlign w:val="center"/>
          </w:tcPr>
          <w:p w14:paraId="5CB34C69" w14:textId="205224A0" w:rsidR="006A527F" w:rsidRDefault="006A527F" w:rsidP="006A527F">
            <w:r>
              <w:t>100.0%</w:t>
            </w:r>
          </w:p>
        </w:tc>
      </w:tr>
      <w:tr w:rsidR="006A527F" w14:paraId="1365DF20" w14:textId="77777777" w:rsidTr="00C36ADA">
        <w:tc>
          <w:tcPr>
            <w:tcW w:w="2337" w:type="dxa"/>
          </w:tcPr>
          <w:p w14:paraId="10E2A7B6" w14:textId="0A53D71C" w:rsidR="006A527F" w:rsidRDefault="006A527F" w:rsidP="006A527F">
            <w:r>
              <w:t>Barnwell</w:t>
            </w:r>
          </w:p>
        </w:tc>
        <w:tc>
          <w:tcPr>
            <w:tcW w:w="2337" w:type="dxa"/>
          </w:tcPr>
          <w:p w14:paraId="6248A351" w14:textId="4D6FFD80" w:rsidR="006A527F" w:rsidRDefault="006A527F" w:rsidP="006A527F">
            <w:r>
              <w:t>Rural</w:t>
            </w:r>
          </w:p>
        </w:tc>
        <w:tc>
          <w:tcPr>
            <w:tcW w:w="2338" w:type="dxa"/>
            <w:vAlign w:val="bottom"/>
          </w:tcPr>
          <w:p w14:paraId="17AE4F18" w14:textId="77777777" w:rsidR="006A527F" w:rsidRDefault="006A527F" w:rsidP="006A527F"/>
        </w:tc>
        <w:tc>
          <w:tcPr>
            <w:tcW w:w="2338" w:type="dxa"/>
            <w:vAlign w:val="center"/>
          </w:tcPr>
          <w:p w14:paraId="151CF814" w14:textId="5C5CF768" w:rsidR="006A527F" w:rsidRDefault="006A527F" w:rsidP="006A527F">
            <w:r>
              <w:t>100.0%</w:t>
            </w:r>
          </w:p>
        </w:tc>
      </w:tr>
      <w:tr w:rsidR="006A527F" w14:paraId="0B474575" w14:textId="77777777" w:rsidTr="00C36ADA">
        <w:tc>
          <w:tcPr>
            <w:tcW w:w="2337" w:type="dxa"/>
          </w:tcPr>
          <w:p w14:paraId="462D8985" w14:textId="758C3DCD" w:rsidR="006A527F" w:rsidRDefault="006A527F" w:rsidP="006A527F">
            <w:r>
              <w:t>Beaufort</w:t>
            </w:r>
          </w:p>
        </w:tc>
        <w:tc>
          <w:tcPr>
            <w:tcW w:w="2337" w:type="dxa"/>
          </w:tcPr>
          <w:p w14:paraId="5C018450" w14:textId="202BC654" w:rsidR="006A527F" w:rsidRDefault="006A527F" w:rsidP="006A527F">
            <w:r>
              <w:t>Rural</w:t>
            </w:r>
          </w:p>
        </w:tc>
        <w:tc>
          <w:tcPr>
            <w:tcW w:w="2338" w:type="dxa"/>
            <w:vAlign w:val="center"/>
          </w:tcPr>
          <w:p w14:paraId="413DD877" w14:textId="4A644AB9" w:rsidR="006A527F" w:rsidRDefault="006A527F" w:rsidP="006A527F">
            <w:r>
              <w:t>46.3%</w:t>
            </w:r>
          </w:p>
        </w:tc>
        <w:tc>
          <w:tcPr>
            <w:tcW w:w="2338" w:type="dxa"/>
            <w:vAlign w:val="center"/>
          </w:tcPr>
          <w:p w14:paraId="7CA61A2E" w14:textId="04937C9E" w:rsidR="006A527F" w:rsidRDefault="006A527F" w:rsidP="006A527F">
            <w:r>
              <w:t>53.7%</w:t>
            </w:r>
          </w:p>
        </w:tc>
      </w:tr>
      <w:tr w:rsidR="006A527F" w14:paraId="4A345E70" w14:textId="77777777" w:rsidTr="00C36ADA">
        <w:tc>
          <w:tcPr>
            <w:tcW w:w="2337" w:type="dxa"/>
          </w:tcPr>
          <w:p w14:paraId="48405ED0" w14:textId="292071F9" w:rsidR="006A527F" w:rsidRDefault="006A527F" w:rsidP="006A527F">
            <w:r>
              <w:t>Berkeley</w:t>
            </w:r>
          </w:p>
        </w:tc>
        <w:tc>
          <w:tcPr>
            <w:tcW w:w="2337" w:type="dxa"/>
          </w:tcPr>
          <w:p w14:paraId="68822C13" w14:textId="5CC11640" w:rsidR="006A527F" w:rsidRDefault="006A527F" w:rsidP="006A527F">
            <w:r>
              <w:t>Urban</w:t>
            </w:r>
          </w:p>
        </w:tc>
        <w:tc>
          <w:tcPr>
            <w:tcW w:w="2338" w:type="dxa"/>
            <w:vAlign w:val="center"/>
          </w:tcPr>
          <w:p w14:paraId="64E1BEED" w14:textId="767F8950" w:rsidR="006A527F" w:rsidRDefault="006A527F" w:rsidP="006A527F">
            <w:r>
              <w:t>75.6%</w:t>
            </w:r>
          </w:p>
        </w:tc>
        <w:tc>
          <w:tcPr>
            <w:tcW w:w="2338" w:type="dxa"/>
            <w:vAlign w:val="center"/>
          </w:tcPr>
          <w:p w14:paraId="436664C3" w14:textId="15C3A9C4" w:rsidR="006A527F" w:rsidRDefault="006A527F" w:rsidP="006A527F">
            <w:r>
              <w:t>24.4%</w:t>
            </w:r>
          </w:p>
        </w:tc>
      </w:tr>
      <w:tr w:rsidR="006A527F" w14:paraId="679A0C61" w14:textId="77777777" w:rsidTr="00C36ADA">
        <w:tc>
          <w:tcPr>
            <w:tcW w:w="2337" w:type="dxa"/>
          </w:tcPr>
          <w:p w14:paraId="5617C11C" w14:textId="0E5486AB" w:rsidR="006A527F" w:rsidRDefault="006A527F" w:rsidP="006A527F">
            <w:r>
              <w:t>Calhoun</w:t>
            </w:r>
          </w:p>
        </w:tc>
        <w:tc>
          <w:tcPr>
            <w:tcW w:w="2337" w:type="dxa"/>
          </w:tcPr>
          <w:p w14:paraId="68582184" w14:textId="5BBF0604" w:rsidR="006A527F" w:rsidRDefault="006A527F" w:rsidP="006A527F">
            <w:r>
              <w:t>Rural</w:t>
            </w:r>
          </w:p>
        </w:tc>
        <w:tc>
          <w:tcPr>
            <w:tcW w:w="2338" w:type="dxa"/>
            <w:vAlign w:val="bottom"/>
          </w:tcPr>
          <w:p w14:paraId="180AB6B2" w14:textId="77777777" w:rsidR="006A527F" w:rsidRDefault="006A527F" w:rsidP="006A527F"/>
        </w:tc>
        <w:tc>
          <w:tcPr>
            <w:tcW w:w="2338" w:type="dxa"/>
            <w:vAlign w:val="center"/>
          </w:tcPr>
          <w:p w14:paraId="6E0F9A29" w14:textId="4A56B4A0" w:rsidR="006A527F" w:rsidRDefault="006A527F" w:rsidP="006A527F">
            <w:r>
              <w:t>100.0%</w:t>
            </w:r>
          </w:p>
        </w:tc>
      </w:tr>
      <w:tr w:rsidR="006A527F" w14:paraId="0AD85388" w14:textId="77777777" w:rsidTr="00C36ADA">
        <w:tc>
          <w:tcPr>
            <w:tcW w:w="2337" w:type="dxa"/>
          </w:tcPr>
          <w:p w14:paraId="1BD9DE40" w14:textId="7B5C2A8C" w:rsidR="006A527F" w:rsidRDefault="006A527F" w:rsidP="006A527F">
            <w:r>
              <w:t>Charleston</w:t>
            </w:r>
          </w:p>
        </w:tc>
        <w:tc>
          <w:tcPr>
            <w:tcW w:w="2337" w:type="dxa"/>
          </w:tcPr>
          <w:p w14:paraId="102FFE24" w14:textId="19D9478E" w:rsidR="006A527F" w:rsidRDefault="006A527F" w:rsidP="006A527F">
            <w:r>
              <w:t>Urban</w:t>
            </w:r>
          </w:p>
        </w:tc>
        <w:tc>
          <w:tcPr>
            <w:tcW w:w="2338" w:type="dxa"/>
            <w:vAlign w:val="center"/>
          </w:tcPr>
          <w:p w14:paraId="1C356A18" w14:textId="3F9ACE74" w:rsidR="006A527F" w:rsidRDefault="006A527F" w:rsidP="006A527F">
            <w:r>
              <w:t>89.5%</w:t>
            </w:r>
          </w:p>
        </w:tc>
        <w:tc>
          <w:tcPr>
            <w:tcW w:w="2338" w:type="dxa"/>
            <w:vAlign w:val="center"/>
          </w:tcPr>
          <w:p w14:paraId="4833EB57" w14:textId="30EF1700" w:rsidR="006A527F" w:rsidRDefault="006A527F" w:rsidP="006A527F">
            <w:r>
              <w:t>10.5%</w:t>
            </w:r>
          </w:p>
        </w:tc>
      </w:tr>
      <w:tr w:rsidR="006A527F" w14:paraId="4EECC736" w14:textId="77777777" w:rsidTr="00C36ADA">
        <w:tc>
          <w:tcPr>
            <w:tcW w:w="2337" w:type="dxa"/>
          </w:tcPr>
          <w:p w14:paraId="2809439A" w14:textId="5F523330" w:rsidR="006A527F" w:rsidRDefault="006A527F" w:rsidP="006A527F">
            <w:r>
              <w:t>Cherokee</w:t>
            </w:r>
          </w:p>
        </w:tc>
        <w:tc>
          <w:tcPr>
            <w:tcW w:w="2337" w:type="dxa"/>
          </w:tcPr>
          <w:p w14:paraId="06733175" w14:textId="6F82B09F" w:rsidR="006A527F" w:rsidRDefault="006A527F" w:rsidP="006A527F">
            <w:r>
              <w:t>Rural</w:t>
            </w:r>
          </w:p>
        </w:tc>
        <w:tc>
          <w:tcPr>
            <w:tcW w:w="2338" w:type="dxa"/>
            <w:vAlign w:val="bottom"/>
          </w:tcPr>
          <w:p w14:paraId="0C3D0610" w14:textId="77777777" w:rsidR="006A527F" w:rsidRDefault="006A527F" w:rsidP="006A527F"/>
        </w:tc>
        <w:tc>
          <w:tcPr>
            <w:tcW w:w="2338" w:type="dxa"/>
            <w:vAlign w:val="center"/>
          </w:tcPr>
          <w:p w14:paraId="1C1E3BE7" w14:textId="03BEAB18" w:rsidR="006A527F" w:rsidRDefault="006A527F" w:rsidP="006A527F">
            <w:r>
              <w:t>100.0%</w:t>
            </w:r>
          </w:p>
        </w:tc>
      </w:tr>
      <w:tr w:rsidR="006A527F" w14:paraId="71D406FE" w14:textId="77777777" w:rsidTr="00C36ADA">
        <w:tc>
          <w:tcPr>
            <w:tcW w:w="2337" w:type="dxa"/>
          </w:tcPr>
          <w:p w14:paraId="6CA34898" w14:textId="44B6576A" w:rsidR="006A527F" w:rsidRDefault="006A527F" w:rsidP="006A527F">
            <w:r>
              <w:lastRenderedPageBreak/>
              <w:t>Chester</w:t>
            </w:r>
          </w:p>
        </w:tc>
        <w:tc>
          <w:tcPr>
            <w:tcW w:w="2337" w:type="dxa"/>
          </w:tcPr>
          <w:p w14:paraId="4F24D139" w14:textId="224450FB" w:rsidR="006A527F" w:rsidRDefault="006A527F" w:rsidP="006A527F">
            <w:r>
              <w:t>Rural</w:t>
            </w:r>
          </w:p>
        </w:tc>
        <w:tc>
          <w:tcPr>
            <w:tcW w:w="2338" w:type="dxa"/>
            <w:vAlign w:val="bottom"/>
          </w:tcPr>
          <w:p w14:paraId="527B6806" w14:textId="77777777" w:rsidR="006A527F" w:rsidRDefault="006A527F" w:rsidP="006A527F"/>
        </w:tc>
        <w:tc>
          <w:tcPr>
            <w:tcW w:w="2338" w:type="dxa"/>
            <w:vAlign w:val="center"/>
          </w:tcPr>
          <w:p w14:paraId="635292BB" w14:textId="31E36DFF" w:rsidR="006A527F" w:rsidRDefault="006A527F" w:rsidP="006A527F">
            <w:r>
              <w:t>100.0%</w:t>
            </w:r>
          </w:p>
        </w:tc>
      </w:tr>
      <w:tr w:rsidR="006A527F" w14:paraId="42E00095" w14:textId="77777777" w:rsidTr="00C36ADA">
        <w:tc>
          <w:tcPr>
            <w:tcW w:w="2337" w:type="dxa"/>
          </w:tcPr>
          <w:p w14:paraId="6E1D3029" w14:textId="7CFFAE0B" w:rsidR="006A527F" w:rsidRDefault="006A527F" w:rsidP="006A527F">
            <w:r>
              <w:t>Chesterfield</w:t>
            </w:r>
          </w:p>
        </w:tc>
        <w:tc>
          <w:tcPr>
            <w:tcW w:w="2337" w:type="dxa"/>
          </w:tcPr>
          <w:p w14:paraId="70CD98B1" w14:textId="77C4D71A" w:rsidR="006A527F" w:rsidRDefault="006A527F" w:rsidP="006A527F">
            <w:r>
              <w:t>Rural</w:t>
            </w:r>
          </w:p>
        </w:tc>
        <w:tc>
          <w:tcPr>
            <w:tcW w:w="2338" w:type="dxa"/>
            <w:vAlign w:val="bottom"/>
          </w:tcPr>
          <w:p w14:paraId="1A67ABA0" w14:textId="77777777" w:rsidR="006A527F" w:rsidRDefault="006A527F" w:rsidP="006A527F"/>
        </w:tc>
        <w:tc>
          <w:tcPr>
            <w:tcW w:w="2338" w:type="dxa"/>
            <w:vAlign w:val="center"/>
          </w:tcPr>
          <w:p w14:paraId="162FCD34" w14:textId="557CEB11" w:rsidR="006A527F" w:rsidRDefault="006A527F" w:rsidP="006A527F">
            <w:r>
              <w:t>100.0%</w:t>
            </w:r>
          </w:p>
        </w:tc>
      </w:tr>
      <w:tr w:rsidR="006A527F" w14:paraId="09632486" w14:textId="77777777" w:rsidTr="00C36ADA">
        <w:tc>
          <w:tcPr>
            <w:tcW w:w="2337" w:type="dxa"/>
          </w:tcPr>
          <w:p w14:paraId="268332EA" w14:textId="3452D74C" w:rsidR="006A527F" w:rsidRDefault="006A527F" w:rsidP="006A527F">
            <w:r>
              <w:t>Clarendon</w:t>
            </w:r>
          </w:p>
        </w:tc>
        <w:tc>
          <w:tcPr>
            <w:tcW w:w="2337" w:type="dxa"/>
          </w:tcPr>
          <w:p w14:paraId="12450C3C" w14:textId="691A5C91" w:rsidR="006A527F" w:rsidRDefault="006A527F" w:rsidP="006A527F">
            <w:r>
              <w:t>Rural</w:t>
            </w:r>
          </w:p>
        </w:tc>
        <w:tc>
          <w:tcPr>
            <w:tcW w:w="2338" w:type="dxa"/>
            <w:vAlign w:val="bottom"/>
          </w:tcPr>
          <w:p w14:paraId="7DF3095F" w14:textId="77777777" w:rsidR="006A527F" w:rsidRDefault="006A527F" w:rsidP="006A527F"/>
        </w:tc>
        <w:tc>
          <w:tcPr>
            <w:tcW w:w="2338" w:type="dxa"/>
            <w:vAlign w:val="center"/>
          </w:tcPr>
          <w:p w14:paraId="6FBB8ED3" w14:textId="335E1E56" w:rsidR="006A527F" w:rsidRDefault="006A527F" w:rsidP="006A527F">
            <w:r>
              <w:t>100.0%</w:t>
            </w:r>
          </w:p>
        </w:tc>
      </w:tr>
      <w:tr w:rsidR="006A527F" w14:paraId="506A9584" w14:textId="77777777" w:rsidTr="00C36ADA">
        <w:tc>
          <w:tcPr>
            <w:tcW w:w="2337" w:type="dxa"/>
          </w:tcPr>
          <w:p w14:paraId="3B7CE380" w14:textId="3CBEA627" w:rsidR="006A527F" w:rsidRDefault="006A527F" w:rsidP="006A527F">
            <w:r>
              <w:t>Colleton</w:t>
            </w:r>
          </w:p>
        </w:tc>
        <w:tc>
          <w:tcPr>
            <w:tcW w:w="2337" w:type="dxa"/>
          </w:tcPr>
          <w:p w14:paraId="41306F88" w14:textId="78F908FF" w:rsidR="006A527F" w:rsidRDefault="006A527F" w:rsidP="006A527F">
            <w:r>
              <w:t>Rural</w:t>
            </w:r>
          </w:p>
        </w:tc>
        <w:tc>
          <w:tcPr>
            <w:tcW w:w="2338" w:type="dxa"/>
            <w:vAlign w:val="bottom"/>
          </w:tcPr>
          <w:p w14:paraId="7A337990" w14:textId="77777777" w:rsidR="006A527F" w:rsidRDefault="006A527F" w:rsidP="006A527F"/>
        </w:tc>
        <w:tc>
          <w:tcPr>
            <w:tcW w:w="2338" w:type="dxa"/>
            <w:vAlign w:val="center"/>
          </w:tcPr>
          <w:p w14:paraId="23CB7C41" w14:textId="04DB0EE2" w:rsidR="006A527F" w:rsidRDefault="006A527F" w:rsidP="006A527F">
            <w:r>
              <w:t>100.0%</w:t>
            </w:r>
          </w:p>
        </w:tc>
      </w:tr>
      <w:tr w:rsidR="006A527F" w14:paraId="12A9DAE0" w14:textId="77777777" w:rsidTr="00C36ADA">
        <w:tc>
          <w:tcPr>
            <w:tcW w:w="2337" w:type="dxa"/>
          </w:tcPr>
          <w:p w14:paraId="23F6C2DE" w14:textId="62D6AB52" w:rsidR="006A527F" w:rsidRDefault="006A527F" w:rsidP="006A527F">
            <w:r>
              <w:t>Darlington</w:t>
            </w:r>
          </w:p>
        </w:tc>
        <w:tc>
          <w:tcPr>
            <w:tcW w:w="2337" w:type="dxa"/>
          </w:tcPr>
          <w:p w14:paraId="4C9E974A" w14:textId="607763F8" w:rsidR="006A527F" w:rsidRDefault="006A527F" w:rsidP="006A527F">
            <w:r>
              <w:t>Urban</w:t>
            </w:r>
          </w:p>
        </w:tc>
        <w:tc>
          <w:tcPr>
            <w:tcW w:w="2338" w:type="dxa"/>
            <w:vAlign w:val="center"/>
          </w:tcPr>
          <w:p w14:paraId="7B1EC726" w14:textId="5F43129C" w:rsidR="006A527F" w:rsidRDefault="006A527F" w:rsidP="006A527F">
            <w:r>
              <w:t>31.3%</w:t>
            </w:r>
          </w:p>
        </w:tc>
        <w:tc>
          <w:tcPr>
            <w:tcW w:w="2338" w:type="dxa"/>
            <w:vAlign w:val="center"/>
          </w:tcPr>
          <w:p w14:paraId="66CAF1C4" w14:textId="2B2DCBA1" w:rsidR="006A527F" w:rsidRDefault="006A527F" w:rsidP="006A527F">
            <w:r>
              <w:t>68.8%</w:t>
            </w:r>
          </w:p>
        </w:tc>
      </w:tr>
      <w:tr w:rsidR="006A527F" w14:paraId="577F092D" w14:textId="77777777" w:rsidTr="00C36ADA">
        <w:tc>
          <w:tcPr>
            <w:tcW w:w="2337" w:type="dxa"/>
          </w:tcPr>
          <w:p w14:paraId="193E81B8" w14:textId="16E9BAFB" w:rsidR="006A527F" w:rsidRDefault="006A527F" w:rsidP="006A527F">
            <w:r>
              <w:t>Dillon</w:t>
            </w:r>
          </w:p>
        </w:tc>
        <w:tc>
          <w:tcPr>
            <w:tcW w:w="2337" w:type="dxa"/>
          </w:tcPr>
          <w:p w14:paraId="0E03281E" w14:textId="1FB6DA58" w:rsidR="006A527F" w:rsidRDefault="006A527F" w:rsidP="006A527F">
            <w:r>
              <w:t>Rural</w:t>
            </w:r>
          </w:p>
        </w:tc>
        <w:tc>
          <w:tcPr>
            <w:tcW w:w="2338" w:type="dxa"/>
            <w:vAlign w:val="bottom"/>
          </w:tcPr>
          <w:p w14:paraId="2A26CA30" w14:textId="77777777" w:rsidR="006A527F" w:rsidRDefault="006A527F" w:rsidP="006A527F"/>
        </w:tc>
        <w:tc>
          <w:tcPr>
            <w:tcW w:w="2338" w:type="dxa"/>
            <w:vAlign w:val="center"/>
          </w:tcPr>
          <w:p w14:paraId="2D274B43" w14:textId="44E32D6C" w:rsidR="006A527F" w:rsidRDefault="006A527F" w:rsidP="006A527F">
            <w:r>
              <w:t>100.0%</w:t>
            </w:r>
          </w:p>
        </w:tc>
      </w:tr>
      <w:tr w:rsidR="006A527F" w14:paraId="308C9E0F" w14:textId="77777777" w:rsidTr="00C36ADA">
        <w:tc>
          <w:tcPr>
            <w:tcW w:w="2337" w:type="dxa"/>
          </w:tcPr>
          <w:p w14:paraId="3F8FFA42" w14:textId="5A525EB3" w:rsidR="006A527F" w:rsidRDefault="006A527F" w:rsidP="006A527F">
            <w:r>
              <w:t>Dorchester</w:t>
            </w:r>
          </w:p>
        </w:tc>
        <w:tc>
          <w:tcPr>
            <w:tcW w:w="2337" w:type="dxa"/>
          </w:tcPr>
          <w:p w14:paraId="118099EF" w14:textId="2507EA65" w:rsidR="006A527F" w:rsidRDefault="006A527F" w:rsidP="006A527F">
            <w:r>
              <w:t>Urban</w:t>
            </w:r>
          </w:p>
        </w:tc>
        <w:tc>
          <w:tcPr>
            <w:tcW w:w="2338" w:type="dxa"/>
            <w:vAlign w:val="center"/>
          </w:tcPr>
          <w:p w14:paraId="0D9E2524" w14:textId="3BB7F7B6" w:rsidR="006A527F" w:rsidRDefault="006A527F" w:rsidP="006A527F">
            <w:r>
              <w:t>84.0%</w:t>
            </w:r>
          </w:p>
        </w:tc>
        <w:tc>
          <w:tcPr>
            <w:tcW w:w="2338" w:type="dxa"/>
            <w:vAlign w:val="center"/>
          </w:tcPr>
          <w:p w14:paraId="07039C37" w14:textId="1BA6E4D9" w:rsidR="006A527F" w:rsidRDefault="006A527F" w:rsidP="006A527F">
            <w:r>
              <w:t>16.0%</w:t>
            </w:r>
          </w:p>
        </w:tc>
      </w:tr>
      <w:tr w:rsidR="006A527F" w14:paraId="10E3BD94" w14:textId="77777777" w:rsidTr="00C36ADA">
        <w:tc>
          <w:tcPr>
            <w:tcW w:w="2337" w:type="dxa"/>
          </w:tcPr>
          <w:p w14:paraId="1D986225" w14:textId="6CA6299A" w:rsidR="006A527F" w:rsidRDefault="006A527F" w:rsidP="006A527F">
            <w:r>
              <w:t>Edgefield</w:t>
            </w:r>
          </w:p>
        </w:tc>
        <w:tc>
          <w:tcPr>
            <w:tcW w:w="2337" w:type="dxa"/>
          </w:tcPr>
          <w:p w14:paraId="79F9DDDC" w14:textId="3D96F1CE" w:rsidR="006A527F" w:rsidRDefault="006A527F" w:rsidP="006A527F">
            <w:r>
              <w:t>Rural</w:t>
            </w:r>
          </w:p>
        </w:tc>
        <w:tc>
          <w:tcPr>
            <w:tcW w:w="2338" w:type="dxa"/>
            <w:vAlign w:val="center"/>
          </w:tcPr>
          <w:p w14:paraId="01C13883" w14:textId="62C74539" w:rsidR="006A527F" w:rsidRDefault="006A527F" w:rsidP="006A527F">
            <w:r>
              <w:t>16.7%</w:t>
            </w:r>
          </w:p>
        </w:tc>
        <w:tc>
          <w:tcPr>
            <w:tcW w:w="2338" w:type="dxa"/>
            <w:vAlign w:val="center"/>
          </w:tcPr>
          <w:p w14:paraId="6CA1A92B" w14:textId="11B7904C" w:rsidR="006A527F" w:rsidRDefault="006A527F" w:rsidP="006A527F">
            <w:r>
              <w:t>83.3%</w:t>
            </w:r>
          </w:p>
        </w:tc>
      </w:tr>
      <w:tr w:rsidR="006A527F" w14:paraId="061A25CA" w14:textId="77777777" w:rsidTr="00C36ADA">
        <w:tc>
          <w:tcPr>
            <w:tcW w:w="2337" w:type="dxa"/>
          </w:tcPr>
          <w:p w14:paraId="0BEC90D7" w14:textId="4A277F5D" w:rsidR="006A527F" w:rsidRDefault="006A527F" w:rsidP="006A527F">
            <w:r>
              <w:t>Fairfield</w:t>
            </w:r>
          </w:p>
        </w:tc>
        <w:tc>
          <w:tcPr>
            <w:tcW w:w="2337" w:type="dxa"/>
          </w:tcPr>
          <w:p w14:paraId="0D7D32D1" w14:textId="684DDEC3" w:rsidR="006A527F" w:rsidRDefault="006A527F" w:rsidP="006A527F">
            <w:r>
              <w:t>Rural</w:t>
            </w:r>
          </w:p>
        </w:tc>
        <w:tc>
          <w:tcPr>
            <w:tcW w:w="2338" w:type="dxa"/>
            <w:vAlign w:val="bottom"/>
          </w:tcPr>
          <w:p w14:paraId="171343EF" w14:textId="77777777" w:rsidR="006A527F" w:rsidRDefault="006A527F" w:rsidP="006A527F"/>
        </w:tc>
        <w:tc>
          <w:tcPr>
            <w:tcW w:w="2338" w:type="dxa"/>
            <w:vAlign w:val="center"/>
          </w:tcPr>
          <w:p w14:paraId="5921F0A7" w14:textId="0E67BFBA" w:rsidR="006A527F" w:rsidRDefault="006A527F" w:rsidP="006A527F">
            <w:r>
              <w:t>100.0%</w:t>
            </w:r>
          </w:p>
        </w:tc>
      </w:tr>
      <w:tr w:rsidR="006A527F" w14:paraId="336AEEC9" w14:textId="77777777" w:rsidTr="00C36ADA">
        <w:tc>
          <w:tcPr>
            <w:tcW w:w="2337" w:type="dxa"/>
          </w:tcPr>
          <w:p w14:paraId="3428782C" w14:textId="3D32F0BA" w:rsidR="006A527F" w:rsidRDefault="006A527F" w:rsidP="006A527F">
            <w:r>
              <w:t>Florence</w:t>
            </w:r>
          </w:p>
        </w:tc>
        <w:tc>
          <w:tcPr>
            <w:tcW w:w="2337" w:type="dxa"/>
          </w:tcPr>
          <w:p w14:paraId="0F96F5E5" w14:textId="6649E536" w:rsidR="006A527F" w:rsidRDefault="006A527F" w:rsidP="006A527F">
            <w:r>
              <w:t>Urban</w:t>
            </w:r>
          </w:p>
        </w:tc>
        <w:tc>
          <w:tcPr>
            <w:tcW w:w="2338" w:type="dxa"/>
            <w:vAlign w:val="center"/>
          </w:tcPr>
          <w:p w14:paraId="2D6417BA" w14:textId="3BEB3A0F" w:rsidR="006A527F" w:rsidRDefault="006A527F" w:rsidP="006A527F">
            <w:r>
              <w:t>66.7%</w:t>
            </w:r>
          </w:p>
        </w:tc>
        <w:tc>
          <w:tcPr>
            <w:tcW w:w="2338" w:type="dxa"/>
            <w:vAlign w:val="center"/>
          </w:tcPr>
          <w:p w14:paraId="73EF039F" w14:textId="4A1F2B70" w:rsidR="006A527F" w:rsidRDefault="006A527F" w:rsidP="006A527F">
            <w:r>
              <w:t>33.3%</w:t>
            </w:r>
          </w:p>
        </w:tc>
      </w:tr>
      <w:tr w:rsidR="006A527F" w14:paraId="532633E6" w14:textId="77777777" w:rsidTr="00C36ADA">
        <w:tc>
          <w:tcPr>
            <w:tcW w:w="2337" w:type="dxa"/>
          </w:tcPr>
          <w:p w14:paraId="285770CF" w14:textId="28D2474C" w:rsidR="006A527F" w:rsidRDefault="006A527F" w:rsidP="006A527F">
            <w:r>
              <w:t>Georgetown</w:t>
            </w:r>
          </w:p>
        </w:tc>
        <w:tc>
          <w:tcPr>
            <w:tcW w:w="2337" w:type="dxa"/>
          </w:tcPr>
          <w:p w14:paraId="3D8F7C3B" w14:textId="2605FFC2" w:rsidR="006A527F" w:rsidRDefault="006A527F" w:rsidP="006A527F">
            <w:r>
              <w:t>Rural</w:t>
            </w:r>
          </w:p>
        </w:tc>
        <w:tc>
          <w:tcPr>
            <w:tcW w:w="2338" w:type="dxa"/>
            <w:vAlign w:val="center"/>
          </w:tcPr>
          <w:p w14:paraId="449DC4C4" w14:textId="4F318473" w:rsidR="006A527F" w:rsidRDefault="006A527F" w:rsidP="006A527F">
            <w:r>
              <w:t>13.3%</w:t>
            </w:r>
          </w:p>
        </w:tc>
        <w:tc>
          <w:tcPr>
            <w:tcW w:w="2338" w:type="dxa"/>
            <w:vAlign w:val="center"/>
          </w:tcPr>
          <w:p w14:paraId="73926B2B" w14:textId="39B31ADA" w:rsidR="006A527F" w:rsidRDefault="006A527F" w:rsidP="006A527F">
            <w:r>
              <w:t>86.7%</w:t>
            </w:r>
          </w:p>
        </w:tc>
      </w:tr>
      <w:tr w:rsidR="006A527F" w14:paraId="5A09B1D3" w14:textId="77777777" w:rsidTr="00C36ADA">
        <w:tc>
          <w:tcPr>
            <w:tcW w:w="2337" w:type="dxa"/>
          </w:tcPr>
          <w:p w14:paraId="7BA1F251" w14:textId="2719E654" w:rsidR="006A527F" w:rsidRDefault="006A527F" w:rsidP="006A527F">
            <w:r>
              <w:t>Greenville</w:t>
            </w:r>
          </w:p>
        </w:tc>
        <w:tc>
          <w:tcPr>
            <w:tcW w:w="2337" w:type="dxa"/>
          </w:tcPr>
          <w:p w14:paraId="0ED9FF9F" w14:textId="27A5E2C8" w:rsidR="006A527F" w:rsidRDefault="006A527F" w:rsidP="006A527F">
            <w:r>
              <w:t>Urban</w:t>
            </w:r>
          </w:p>
        </w:tc>
        <w:tc>
          <w:tcPr>
            <w:tcW w:w="2338" w:type="dxa"/>
            <w:vAlign w:val="center"/>
          </w:tcPr>
          <w:p w14:paraId="5C302358" w14:textId="21F9EA53" w:rsidR="006A527F" w:rsidRDefault="006A527F" w:rsidP="006A527F">
            <w:r>
              <w:t>72.1%</w:t>
            </w:r>
          </w:p>
        </w:tc>
        <w:tc>
          <w:tcPr>
            <w:tcW w:w="2338" w:type="dxa"/>
            <w:vAlign w:val="center"/>
          </w:tcPr>
          <w:p w14:paraId="3DC8C3BB" w14:textId="0B9F3990" w:rsidR="006A527F" w:rsidRDefault="006A527F" w:rsidP="006A527F">
            <w:r>
              <w:t>27.9%</w:t>
            </w:r>
          </w:p>
        </w:tc>
      </w:tr>
      <w:tr w:rsidR="006A527F" w14:paraId="30CA5DF3" w14:textId="77777777" w:rsidTr="00C36ADA">
        <w:tc>
          <w:tcPr>
            <w:tcW w:w="2337" w:type="dxa"/>
          </w:tcPr>
          <w:p w14:paraId="40F7E423" w14:textId="767000C2" w:rsidR="006A527F" w:rsidRDefault="006A527F" w:rsidP="006A527F">
            <w:r>
              <w:t>Greenwood</w:t>
            </w:r>
          </w:p>
        </w:tc>
        <w:tc>
          <w:tcPr>
            <w:tcW w:w="2337" w:type="dxa"/>
          </w:tcPr>
          <w:p w14:paraId="00F7EF8E" w14:textId="41D9FC33" w:rsidR="006A527F" w:rsidRDefault="006A527F" w:rsidP="006A527F">
            <w:r>
              <w:t>Rural</w:t>
            </w:r>
          </w:p>
        </w:tc>
        <w:tc>
          <w:tcPr>
            <w:tcW w:w="2338" w:type="dxa"/>
            <w:vAlign w:val="bottom"/>
          </w:tcPr>
          <w:p w14:paraId="42ADD016" w14:textId="77777777" w:rsidR="006A527F" w:rsidRDefault="006A527F" w:rsidP="006A527F"/>
        </w:tc>
        <w:tc>
          <w:tcPr>
            <w:tcW w:w="2338" w:type="dxa"/>
            <w:vAlign w:val="center"/>
          </w:tcPr>
          <w:p w14:paraId="2114A9FF" w14:textId="62AD15C1" w:rsidR="006A527F" w:rsidRDefault="006A527F" w:rsidP="006A527F">
            <w:r>
              <w:t>100.0%</w:t>
            </w:r>
          </w:p>
        </w:tc>
      </w:tr>
      <w:tr w:rsidR="006A527F" w14:paraId="3C8E3E67" w14:textId="77777777" w:rsidTr="00C36ADA">
        <w:tc>
          <w:tcPr>
            <w:tcW w:w="2337" w:type="dxa"/>
          </w:tcPr>
          <w:p w14:paraId="5E830399" w14:textId="2528762A" w:rsidR="006A527F" w:rsidRDefault="006A527F" w:rsidP="006A527F">
            <w:r>
              <w:t>Hampton</w:t>
            </w:r>
          </w:p>
        </w:tc>
        <w:tc>
          <w:tcPr>
            <w:tcW w:w="2337" w:type="dxa"/>
          </w:tcPr>
          <w:p w14:paraId="632DF9FE" w14:textId="1C49F610" w:rsidR="006A527F" w:rsidRDefault="006A527F" w:rsidP="006A527F">
            <w:r>
              <w:t>Rural</w:t>
            </w:r>
          </w:p>
        </w:tc>
        <w:tc>
          <w:tcPr>
            <w:tcW w:w="2338" w:type="dxa"/>
            <w:vAlign w:val="bottom"/>
          </w:tcPr>
          <w:p w14:paraId="75DC7750" w14:textId="77777777" w:rsidR="006A527F" w:rsidRDefault="006A527F" w:rsidP="006A527F"/>
        </w:tc>
        <w:tc>
          <w:tcPr>
            <w:tcW w:w="2338" w:type="dxa"/>
            <w:vAlign w:val="center"/>
          </w:tcPr>
          <w:p w14:paraId="25DA2370" w14:textId="5C717E41" w:rsidR="006A527F" w:rsidRDefault="006A527F" w:rsidP="006A527F">
            <w:r>
              <w:t>100.0%</w:t>
            </w:r>
          </w:p>
        </w:tc>
      </w:tr>
      <w:tr w:rsidR="006A527F" w14:paraId="370B5EDB" w14:textId="77777777" w:rsidTr="00C36ADA">
        <w:tc>
          <w:tcPr>
            <w:tcW w:w="2337" w:type="dxa"/>
          </w:tcPr>
          <w:p w14:paraId="37FCD088" w14:textId="09057788" w:rsidR="006A527F" w:rsidRDefault="006A527F" w:rsidP="006A527F">
            <w:r>
              <w:t>Horry</w:t>
            </w:r>
          </w:p>
        </w:tc>
        <w:tc>
          <w:tcPr>
            <w:tcW w:w="2337" w:type="dxa"/>
          </w:tcPr>
          <w:p w14:paraId="78D8C672" w14:textId="31C74FCF" w:rsidR="006A527F" w:rsidRDefault="006A527F" w:rsidP="006A527F">
            <w:r>
              <w:t>Urban</w:t>
            </w:r>
          </w:p>
        </w:tc>
        <w:tc>
          <w:tcPr>
            <w:tcW w:w="2338" w:type="dxa"/>
            <w:vAlign w:val="center"/>
          </w:tcPr>
          <w:p w14:paraId="2F4209D6" w14:textId="464D82E7" w:rsidR="006A527F" w:rsidRDefault="006A527F" w:rsidP="006A527F">
            <w:r>
              <w:t>72.2%</w:t>
            </w:r>
          </w:p>
        </w:tc>
        <w:tc>
          <w:tcPr>
            <w:tcW w:w="2338" w:type="dxa"/>
            <w:vAlign w:val="center"/>
          </w:tcPr>
          <w:p w14:paraId="13802B57" w14:textId="26A3B56E" w:rsidR="006A527F" w:rsidRDefault="006A527F" w:rsidP="006A527F">
            <w:r>
              <w:t>27.8%</w:t>
            </w:r>
          </w:p>
        </w:tc>
      </w:tr>
      <w:tr w:rsidR="006A527F" w14:paraId="0C902BDC" w14:textId="77777777" w:rsidTr="00C36ADA">
        <w:tc>
          <w:tcPr>
            <w:tcW w:w="2337" w:type="dxa"/>
          </w:tcPr>
          <w:p w14:paraId="4A42BE84" w14:textId="71740ACF" w:rsidR="006A527F" w:rsidRDefault="006A527F" w:rsidP="006A527F">
            <w:r>
              <w:t>Jasper</w:t>
            </w:r>
          </w:p>
        </w:tc>
        <w:tc>
          <w:tcPr>
            <w:tcW w:w="2337" w:type="dxa"/>
          </w:tcPr>
          <w:p w14:paraId="7D93A850" w14:textId="0BCF9CD7" w:rsidR="006A527F" w:rsidRDefault="006A527F" w:rsidP="006A527F">
            <w:r>
              <w:t>Rural</w:t>
            </w:r>
          </w:p>
        </w:tc>
        <w:tc>
          <w:tcPr>
            <w:tcW w:w="2338" w:type="dxa"/>
            <w:vAlign w:val="bottom"/>
          </w:tcPr>
          <w:p w14:paraId="24AD0784" w14:textId="77777777" w:rsidR="006A527F" w:rsidRDefault="006A527F" w:rsidP="006A527F"/>
        </w:tc>
        <w:tc>
          <w:tcPr>
            <w:tcW w:w="2338" w:type="dxa"/>
            <w:vAlign w:val="center"/>
          </w:tcPr>
          <w:p w14:paraId="1D060F93" w14:textId="36C09E53" w:rsidR="006A527F" w:rsidRDefault="006A527F" w:rsidP="006A527F">
            <w:r>
              <w:t>100.0%</w:t>
            </w:r>
          </w:p>
        </w:tc>
      </w:tr>
      <w:tr w:rsidR="006A527F" w14:paraId="0DAC9BD6" w14:textId="77777777" w:rsidTr="00C36ADA">
        <w:tc>
          <w:tcPr>
            <w:tcW w:w="2337" w:type="dxa"/>
          </w:tcPr>
          <w:p w14:paraId="11EF45E8" w14:textId="1686B52A" w:rsidR="006A527F" w:rsidRDefault="006A527F" w:rsidP="006A527F">
            <w:r>
              <w:t>Kershaw</w:t>
            </w:r>
          </w:p>
        </w:tc>
        <w:tc>
          <w:tcPr>
            <w:tcW w:w="2337" w:type="dxa"/>
          </w:tcPr>
          <w:p w14:paraId="2359847D" w14:textId="48E0CC06" w:rsidR="006A527F" w:rsidRDefault="006A527F" w:rsidP="006A527F">
            <w:r>
              <w:t>Rural</w:t>
            </w:r>
          </w:p>
        </w:tc>
        <w:tc>
          <w:tcPr>
            <w:tcW w:w="2338" w:type="dxa"/>
            <w:vAlign w:val="center"/>
          </w:tcPr>
          <w:p w14:paraId="3C3C7385" w14:textId="72FFCBC2" w:rsidR="006A527F" w:rsidRDefault="006A527F" w:rsidP="006A527F">
            <w:r>
              <w:t>33.3%</w:t>
            </w:r>
          </w:p>
        </w:tc>
        <w:tc>
          <w:tcPr>
            <w:tcW w:w="2338" w:type="dxa"/>
            <w:vAlign w:val="center"/>
          </w:tcPr>
          <w:p w14:paraId="7628936C" w14:textId="5A38B98D" w:rsidR="006A527F" w:rsidRDefault="006A527F" w:rsidP="006A527F">
            <w:r>
              <w:t>66.7%</w:t>
            </w:r>
          </w:p>
        </w:tc>
      </w:tr>
      <w:tr w:rsidR="006A527F" w14:paraId="58240332" w14:textId="77777777" w:rsidTr="00C36ADA">
        <w:tc>
          <w:tcPr>
            <w:tcW w:w="2337" w:type="dxa"/>
          </w:tcPr>
          <w:p w14:paraId="31E30F20" w14:textId="4D333B9A" w:rsidR="006A527F" w:rsidRDefault="006A527F" w:rsidP="006A527F">
            <w:r>
              <w:t>Lancaster</w:t>
            </w:r>
          </w:p>
        </w:tc>
        <w:tc>
          <w:tcPr>
            <w:tcW w:w="2337" w:type="dxa"/>
          </w:tcPr>
          <w:p w14:paraId="6EC802CF" w14:textId="41825392" w:rsidR="006A527F" w:rsidRDefault="006A527F" w:rsidP="006A527F">
            <w:r>
              <w:t>Rural</w:t>
            </w:r>
          </w:p>
        </w:tc>
        <w:tc>
          <w:tcPr>
            <w:tcW w:w="2338" w:type="dxa"/>
            <w:vAlign w:val="center"/>
          </w:tcPr>
          <w:p w14:paraId="0A20A448" w14:textId="3FCCCC99" w:rsidR="006A527F" w:rsidRDefault="006A527F" w:rsidP="006A527F">
            <w:r>
              <w:t>14.3%</w:t>
            </w:r>
          </w:p>
        </w:tc>
        <w:tc>
          <w:tcPr>
            <w:tcW w:w="2338" w:type="dxa"/>
            <w:vAlign w:val="center"/>
          </w:tcPr>
          <w:p w14:paraId="214B12FC" w14:textId="2ED1EB24" w:rsidR="006A527F" w:rsidRDefault="006A527F" w:rsidP="006A527F">
            <w:r>
              <w:t>85.7%</w:t>
            </w:r>
          </w:p>
        </w:tc>
      </w:tr>
      <w:tr w:rsidR="006A527F" w14:paraId="531DC3B7" w14:textId="77777777" w:rsidTr="00C36ADA">
        <w:tc>
          <w:tcPr>
            <w:tcW w:w="2337" w:type="dxa"/>
          </w:tcPr>
          <w:p w14:paraId="789B7119" w14:textId="46368A96" w:rsidR="006A527F" w:rsidRDefault="006A527F" w:rsidP="006A527F">
            <w:r>
              <w:t>Laurens</w:t>
            </w:r>
          </w:p>
        </w:tc>
        <w:tc>
          <w:tcPr>
            <w:tcW w:w="2337" w:type="dxa"/>
          </w:tcPr>
          <w:p w14:paraId="7E4EC769" w14:textId="356F7369" w:rsidR="006A527F" w:rsidRDefault="006A527F" w:rsidP="006A527F">
            <w:r>
              <w:t>Rural</w:t>
            </w:r>
          </w:p>
        </w:tc>
        <w:tc>
          <w:tcPr>
            <w:tcW w:w="2338" w:type="dxa"/>
            <w:vAlign w:val="bottom"/>
          </w:tcPr>
          <w:p w14:paraId="2F450699" w14:textId="77777777" w:rsidR="006A527F" w:rsidRDefault="006A527F" w:rsidP="006A527F"/>
        </w:tc>
        <w:tc>
          <w:tcPr>
            <w:tcW w:w="2338" w:type="dxa"/>
            <w:vAlign w:val="center"/>
          </w:tcPr>
          <w:p w14:paraId="061AF460" w14:textId="0FAB5199" w:rsidR="006A527F" w:rsidRDefault="006A527F" w:rsidP="006A527F">
            <w:r>
              <w:t>100.0%</w:t>
            </w:r>
          </w:p>
        </w:tc>
      </w:tr>
      <w:tr w:rsidR="006A527F" w14:paraId="01D63DA2" w14:textId="77777777" w:rsidTr="00C36ADA">
        <w:tc>
          <w:tcPr>
            <w:tcW w:w="2337" w:type="dxa"/>
          </w:tcPr>
          <w:p w14:paraId="37EA3034" w14:textId="3A6614E0" w:rsidR="006A527F" w:rsidRDefault="006A527F" w:rsidP="006A527F">
            <w:r>
              <w:t>Lee</w:t>
            </w:r>
          </w:p>
        </w:tc>
        <w:tc>
          <w:tcPr>
            <w:tcW w:w="2337" w:type="dxa"/>
          </w:tcPr>
          <w:p w14:paraId="2E4803DF" w14:textId="793BBB59" w:rsidR="006A527F" w:rsidRDefault="006A527F" w:rsidP="006A527F">
            <w:r>
              <w:t>Rural</w:t>
            </w:r>
          </w:p>
        </w:tc>
        <w:tc>
          <w:tcPr>
            <w:tcW w:w="2338" w:type="dxa"/>
            <w:vAlign w:val="bottom"/>
          </w:tcPr>
          <w:p w14:paraId="1BC958B5" w14:textId="77777777" w:rsidR="006A527F" w:rsidRDefault="006A527F" w:rsidP="006A527F"/>
        </w:tc>
        <w:tc>
          <w:tcPr>
            <w:tcW w:w="2338" w:type="dxa"/>
            <w:vAlign w:val="center"/>
          </w:tcPr>
          <w:p w14:paraId="165CD14D" w14:textId="038F4DB5" w:rsidR="006A527F" w:rsidRDefault="006A527F" w:rsidP="006A527F">
            <w:r>
              <w:t>100.0%</w:t>
            </w:r>
          </w:p>
        </w:tc>
      </w:tr>
      <w:tr w:rsidR="006A527F" w14:paraId="09AB99F5" w14:textId="77777777" w:rsidTr="00C36ADA">
        <w:tc>
          <w:tcPr>
            <w:tcW w:w="2337" w:type="dxa"/>
          </w:tcPr>
          <w:p w14:paraId="13072E58" w14:textId="2BA4BC59" w:rsidR="006A527F" w:rsidRDefault="006A527F" w:rsidP="006A527F">
            <w:r>
              <w:t>Lexington</w:t>
            </w:r>
          </w:p>
        </w:tc>
        <w:tc>
          <w:tcPr>
            <w:tcW w:w="2337" w:type="dxa"/>
          </w:tcPr>
          <w:p w14:paraId="1589AC2F" w14:textId="69DA6085" w:rsidR="006A527F" w:rsidRDefault="006A527F" w:rsidP="006A527F">
            <w:r>
              <w:t>Urban</w:t>
            </w:r>
          </w:p>
        </w:tc>
        <w:tc>
          <w:tcPr>
            <w:tcW w:w="2338" w:type="dxa"/>
            <w:vAlign w:val="center"/>
          </w:tcPr>
          <w:p w14:paraId="5D9F32C2" w14:textId="79B5C560" w:rsidR="006A527F" w:rsidRDefault="006A527F" w:rsidP="006A527F">
            <w:r>
              <w:t>75.3%</w:t>
            </w:r>
          </w:p>
        </w:tc>
        <w:tc>
          <w:tcPr>
            <w:tcW w:w="2338" w:type="dxa"/>
            <w:vAlign w:val="center"/>
          </w:tcPr>
          <w:p w14:paraId="3F6B1258" w14:textId="4D61E5C4" w:rsidR="006A527F" w:rsidRDefault="006A527F" w:rsidP="006A527F">
            <w:r>
              <w:t>24.7%</w:t>
            </w:r>
          </w:p>
        </w:tc>
      </w:tr>
      <w:tr w:rsidR="006A527F" w14:paraId="08333DF9" w14:textId="77777777" w:rsidTr="00C36ADA">
        <w:tc>
          <w:tcPr>
            <w:tcW w:w="2337" w:type="dxa"/>
          </w:tcPr>
          <w:p w14:paraId="173DF345" w14:textId="3FB86DA4" w:rsidR="006A527F" w:rsidRDefault="006A527F" w:rsidP="006A527F">
            <w:r>
              <w:t>Marion</w:t>
            </w:r>
          </w:p>
        </w:tc>
        <w:tc>
          <w:tcPr>
            <w:tcW w:w="2337" w:type="dxa"/>
          </w:tcPr>
          <w:p w14:paraId="3EAA5870" w14:textId="2152F376" w:rsidR="006A527F" w:rsidRDefault="006A527F" w:rsidP="006A527F">
            <w:r>
              <w:t>Rural</w:t>
            </w:r>
          </w:p>
        </w:tc>
        <w:tc>
          <w:tcPr>
            <w:tcW w:w="2338" w:type="dxa"/>
            <w:vAlign w:val="bottom"/>
          </w:tcPr>
          <w:p w14:paraId="280F8746" w14:textId="77777777" w:rsidR="006A527F" w:rsidRDefault="006A527F" w:rsidP="006A527F"/>
        </w:tc>
        <w:tc>
          <w:tcPr>
            <w:tcW w:w="2338" w:type="dxa"/>
            <w:vAlign w:val="center"/>
          </w:tcPr>
          <w:p w14:paraId="76C53FF3" w14:textId="0652C944" w:rsidR="006A527F" w:rsidRDefault="006A527F" w:rsidP="006A527F">
            <w:r>
              <w:t>100.0%</w:t>
            </w:r>
          </w:p>
        </w:tc>
      </w:tr>
      <w:tr w:rsidR="006A527F" w14:paraId="7BAAEA3D" w14:textId="77777777" w:rsidTr="00C36ADA">
        <w:tc>
          <w:tcPr>
            <w:tcW w:w="2337" w:type="dxa"/>
          </w:tcPr>
          <w:p w14:paraId="30DD3421" w14:textId="30FFEF8D" w:rsidR="006A527F" w:rsidRDefault="006A527F" w:rsidP="006A527F">
            <w:r>
              <w:t>Marlboro</w:t>
            </w:r>
          </w:p>
        </w:tc>
        <w:tc>
          <w:tcPr>
            <w:tcW w:w="2337" w:type="dxa"/>
          </w:tcPr>
          <w:p w14:paraId="31259215" w14:textId="6595B063" w:rsidR="006A527F" w:rsidRDefault="006A527F" w:rsidP="006A527F">
            <w:r>
              <w:t>Rural</w:t>
            </w:r>
          </w:p>
        </w:tc>
        <w:tc>
          <w:tcPr>
            <w:tcW w:w="2338" w:type="dxa"/>
            <w:vAlign w:val="bottom"/>
          </w:tcPr>
          <w:p w14:paraId="0961FD09" w14:textId="77777777" w:rsidR="006A527F" w:rsidRDefault="006A527F" w:rsidP="006A527F"/>
        </w:tc>
        <w:tc>
          <w:tcPr>
            <w:tcW w:w="2338" w:type="dxa"/>
            <w:vAlign w:val="center"/>
          </w:tcPr>
          <w:p w14:paraId="0F34E7BD" w14:textId="3A9CC0B3" w:rsidR="006A527F" w:rsidRDefault="006A527F" w:rsidP="006A527F">
            <w:r>
              <w:t>100.0%</w:t>
            </w:r>
          </w:p>
        </w:tc>
      </w:tr>
      <w:tr w:rsidR="006A527F" w14:paraId="27BCDB04" w14:textId="77777777" w:rsidTr="00C36ADA">
        <w:tc>
          <w:tcPr>
            <w:tcW w:w="2337" w:type="dxa"/>
          </w:tcPr>
          <w:p w14:paraId="66E92948" w14:textId="2A995ABC" w:rsidR="006A527F" w:rsidRDefault="006A527F" w:rsidP="006A527F">
            <w:r>
              <w:t>McCormick</w:t>
            </w:r>
          </w:p>
        </w:tc>
        <w:tc>
          <w:tcPr>
            <w:tcW w:w="2337" w:type="dxa"/>
          </w:tcPr>
          <w:p w14:paraId="19E1AA6A" w14:textId="583AB19E" w:rsidR="006A527F" w:rsidRDefault="006A527F" w:rsidP="006A527F">
            <w:r>
              <w:t>Rural</w:t>
            </w:r>
          </w:p>
        </w:tc>
        <w:tc>
          <w:tcPr>
            <w:tcW w:w="2338" w:type="dxa"/>
            <w:vAlign w:val="bottom"/>
          </w:tcPr>
          <w:p w14:paraId="015376A2" w14:textId="77777777" w:rsidR="006A527F" w:rsidRDefault="006A527F" w:rsidP="006A527F"/>
        </w:tc>
        <w:tc>
          <w:tcPr>
            <w:tcW w:w="2338" w:type="dxa"/>
            <w:vAlign w:val="center"/>
          </w:tcPr>
          <w:p w14:paraId="79FADB52" w14:textId="5EBCD3A3" w:rsidR="006A527F" w:rsidRDefault="006A527F" w:rsidP="006A527F">
            <w:r>
              <w:t>100.0%</w:t>
            </w:r>
          </w:p>
        </w:tc>
      </w:tr>
      <w:tr w:rsidR="006A527F" w14:paraId="70BCDD52" w14:textId="77777777" w:rsidTr="00C36ADA">
        <w:tc>
          <w:tcPr>
            <w:tcW w:w="2337" w:type="dxa"/>
          </w:tcPr>
          <w:p w14:paraId="132B01FF" w14:textId="0D0FFADF" w:rsidR="006A527F" w:rsidRDefault="006A527F" w:rsidP="006A527F">
            <w:r>
              <w:t>Newberry</w:t>
            </w:r>
          </w:p>
        </w:tc>
        <w:tc>
          <w:tcPr>
            <w:tcW w:w="2337" w:type="dxa"/>
          </w:tcPr>
          <w:p w14:paraId="73F8496F" w14:textId="3917EAA5" w:rsidR="006A527F" w:rsidRDefault="006A527F" w:rsidP="006A527F">
            <w:r>
              <w:t>Rural</w:t>
            </w:r>
          </w:p>
        </w:tc>
        <w:tc>
          <w:tcPr>
            <w:tcW w:w="2338" w:type="dxa"/>
            <w:vAlign w:val="bottom"/>
          </w:tcPr>
          <w:p w14:paraId="17261133" w14:textId="77777777" w:rsidR="006A527F" w:rsidRDefault="006A527F" w:rsidP="006A527F"/>
        </w:tc>
        <w:tc>
          <w:tcPr>
            <w:tcW w:w="2338" w:type="dxa"/>
            <w:vAlign w:val="center"/>
          </w:tcPr>
          <w:p w14:paraId="2A6E9E55" w14:textId="6591872B" w:rsidR="006A527F" w:rsidRDefault="006A527F" w:rsidP="006A527F">
            <w:r>
              <w:t>100.0%</w:t>
            </w:r>
          </w:p>
        </w:tc>
      </w:tr>
      <w:tr w:rsidR="006A527F" w14:paraId="06E5D9C2" w14:textId="77777777" w:rsidTr="00C36ADA">
        <w:tc>
          <w:tcPr>
            <w:tcW w:w="2337" w:type="dxa"/>
          </w:tcPr>
          <w:p w14:paraId="188386B5" w14:textId="1AFB648D" w:rsidR="006A527F" w:rsidRDefault="006A527F" w:rsidP="006A527F">
            <w:r>
              <w:t>Oconee</w:t>
            </w:r>
          </w:p>
        </w:tc>
        <w:tc>
          <w:tcPr>
            <w:tcW w:w="2337" w:type="dxa"/>
          </w:tcPr>
          <w:p w14:paraId="08D3813C" w14:textId="394D263A" w:rsidR="006A527F" w:rsidRDefault="006A527F" w:rsidP="006A527F">
            <w:r>
              <w:t>Rural</w:t>
            </w:r>
          </w:p>
        </w:tc>
        <w:tc>
          <w:tcPr>
            <w:tcW w:w="2338" w:type="dxa"/>
            <w:vAlign w:val="bottom"/>
          </w:tcPr>
          <w:p w14:paraId="3511861B" w14:textId="77777777" w:rsidR="006A527F" w:rsidRDefault="006A527F" w:rsidP="006A527F"/>
        </w:tc>
        <w:tc>
          <w:tcPr>
            <w:tcW w:w="2338" w:type="dxa"/>
            <w:vAlign w:val="center"/>
          </w:tcPr>
          <w:p w14:paraId="7C529332" w14:textId="5FC050F7" w:rsidR="006A527F" w:rsidRDefault="006A527F" w:rsidP="006A527F">
            <w:r>
              <w:t>100.0%</w:t>
            </w:r>
          </w:p>
        </w:tc>
      </w:tr>
      <w:tr w:rsidR="006A527F" w14:paraId="029BD289" w14:textId="77777777" w:rsidTr="00C36ADA">
        <w:tc>
          <w:tcPr>
            <w:tcW w:w="2337" w:type="dxa"/>
          </w:tcPr>
          <w:p w14:paraId="3ADF8CDE" w14:textId="6FEF0206" w:rsidR="006A527F" w:rsidRDefault="006A527F" w:rsidP="006A527F">
            <w:r>
              <w:t>Orangeburg</w:t>
            </w:r>
          </w:p>
        </w:tc>
        <w:tc>
          <w:tcPr>
            <w:tcW w:w="2337" w:type="dxa"/>
          </w:tcPr>
          <w:p w14:paraId="2D2BECA1" w14:textId="3F2D8868" w:rsidR="006A527F" w:rsidRDefault="006A527F" w:rsidP="006A527F">
            <w:r>
              <w:t>Rural</w:t>
            </w:r>
          </w:p>
        </w:tc>
        <w:tc>
          <w:tcPr>
            <w:tcW w:w="2338" w:type="dxa"/>
            <w:vAlign w:val="bottom"/>
          </w:tcPr>
          <w:p w14:paraId="09219703" w14:textId="77777777" w:rsidR="006A527F" w:rsidRDefault="006A527F" w:rsidP="006A527F"/>
        </w:tc>
        <w:tc>
          <w:tcPr>
            <w:tcW w:w="2338" w:type="dxa"/>
            <w:vAlign w:val="center"/>
          </w:tcPr>
          <w:p w14:paraId="68AAFC3E" w14:textId="50D6CABB" w:rsidR="006A527F" w:rsidRDefault="006A527F" w:rsidP="006A527F">
            <w:r>
              <w:t>100.0%</w:t>
            </w:r>
          </w:p>
        </w:tc>
      </w:tr>
      <w:tr w:rsidR="006A527F" w14:paraId="4DD0B0DF" w14:textId="77777777" w:rsidTr="00C36ADA">
        <w:tc>
          <w:tcPr>
            <w:tcW w:w="2337" w:type="dxa"/>
          </w:tcPr>
          <w:p w14:paraId="2EE8767C" w14:textId="5B2C56AD" w:rsidR="006A527F" w:rsidRDefault="006A527F" w:rsidP="006A527F">
            <w:r>
              <w:t>Pickens</w:t>
            </w:r>
          </w:p>
        </w:tc>
        <w:tc>
          <w:tcPr>
            <w:tcW w:w="2337" w:type="dxa"/>
          </w:tcPr>
          <w:p w14:paraId="27164D0A" w14:textId="4F061685" w:rsidR="006A527F" w:rsidRDefault="006A527F" w:rsidP="006A527F">
            <w:r>
              <w:t>Urban</w:t>
            </w:r>
          </w:p>
        </w:tc>
        <w:tc>
          <w:tcPr>
            <w:tcW w:w="2338" w:type="dxa"/>
            <w:vAlign w:val="center"/>
          </w:tcPr>
          <w:p w14:paraId="1D9648E2" w14:textId="379AC6D5" w:rsidR="006A527F" w:rsidRDefault="006A527F" w:rsidP="006A527F">
            <w:r>
              <w:t>71.4%</w:t>
            </w:r>
          </w:p>
        </w:tc>
        <w:tc>
          <w:tcPr>
            <w:tcW w:w="2338" w:type="dxa"/>
            <w:vAlign w:val="center"/>
          </w:tcPr>
          <w:p w14:paraId="2976CE2F" w14:textId="47CA9D0A" w:rsidR="006A527F" w:rsidRDefault="006A527F" w:rsidP="006A527F">
            <w:r>
              <w:t>28.6%</w:t>
            </w:r>
          </w:p>
        </w:tc>
      </w:tr>
      <w:tr w:rsidR="006A527F" w14:paraId="4061D22D" w14:textId="77777777" w:rsidTr="00C36ADA">
        <w:tc>
          <w:tcPr>
            <w:tcW w:w="2337" w:type="dxa"/>
          </w:tcPr>
          <w:p w14:paraId="5A1E4602" w14:textId="42F7634C" w:rsidR="006A527F" w:rsidRDefault="006A527F" w:rsidP="006A527F">
            <w:r>
              <w:t>Richland</w:t>
            </w:r>
          </w:p>
        </w:tc>
        <w:tc>
          <w:tcPr>
            <w:tcW w:w="2337" w:type="dxa"/>
          </w:tcPr>
          <w:p w14:paraId="5670A340" w14:textId="27A92C35" w:rsidR="006A527F" w:rsidRDefault="006A527F" w:rsidP="006A527F">
            <w:r>
              <w:t>Urban</w:t>
            </w:r>
          </w:p>
        </w:tc>
        <w:tc>
          <w:tcPr>
            <w:tcW w:w="2338" w:type="dxa"/>
            <w:vAlign w:val="center"/>
          </w:tcPr>
          <w:p w14:paraId="3A33B700" w14:textId="2011BFAD" w:rsidR="006A527F" w:rsidRDefault="006A527F" w:rsidP="006A527F">
            <w:r>
              <w:t>93.3%</w:t>
            </w:r>
          </w:p>
        </w:tc>
        <w:tc>
          <w:tcPr>
            <w:tcW w:w="2338" w:type="dxa"/>
            <w:vAlign w:val="center"/>
          </w:tcPr>
          <w:p w14:paraId="6D00524A" w14:textId="63F32231" w:rsidR="006A527F" w:rsidRDefault="006A527F" w:rsidP="006A527F">
            <w:r>
              <w:t>6.7%</w:t>
            </w:r>
          </w:p>
        </w:tc>
      </w:tr>
      <w:tr w:rsidR="006A527F" w14:paraId="24BB7BFE" w14:textId="77777777" w:rsidTr="00C36ADA">
        <w:tc>
          <w:tcPr>
            <w:tcW w:w="2337" w:type="dxa"/>
          </w:tcPr>
          <w:p w14:paraId="03C8D467" w14:textId="0173A38C" w:rsidR="006A527F" w:rsidRDefault="006A527F" w:rsidP="006A527F">
            <w:r>
              <w:t>Saluda</w:t>
            </w:r>
          </w:p>
        </w:tc>
        <w:tc>
          <w:tcPr>
            <w:tcW w:w="2337" w:type="dxa"/>
          </w:tcPr>
          <w:p w14:paraId="4A8934E8" w14:textId="4C55DAFF" w:rsidR="006A527F" w:rsidRDefault="006A527F" w:rsidP="006A527F">
            <w:r>
              <w:t>Rural</w:t>
            </w:r>
          </w:p>
        </w:tc>
        <w:tc>
          <w:tcPr>
            <w:tcW w:w="2338" w:type="dxa"/>
            <w:vAlign w:val="bottom"/>
          </w:tcPr>
          <w:p w14:paraId="0CBF78AF" w14:textId="77777777" w:rsidR="006A527F" w:rsidRDefault="006A527F" w:rsidP="006A527F"/>
        </w:tc>
        <w:tc>
          <w:tcPr>
            <w:tcW w:w="2338" w:type="dxa"/>
            <w:vAlign w:val="center"/>
          </w:tcPr>
          <w:p w14:paraId="2885813B" w14:textId="14BF37C4" w:rsidR="006A527F" w:rsidRDefault="006A527F" w:rsidP="006A527F">
            <w:r>
              <w:t>100.0%</w:t>
            </w:r>
          </w:p>
        </w:tc>
      </w:tr>
      <w:tr w:rsidR="006A527F" w14:paraId="13964EB7" w14:textId="77777777" w:rsidTr="00C36ADA">
        <w:tc>
          <w:tcPr>
            <w:tcW w:w="2337" w:type="dxa"/>
          </w:tcPr>
          <w:p w14:paraId="479084A8" w14:textId="06CB11F4" w:rsidR="006A527F" w:rsidRDefault="006A527F" w:rsidP="006A527F">
            <w:r>
              <w:t>Spartanburg</w:t>
            </w:r>
          </w:p>
        </w:tc>
        <w:tc>
          <w:tcPr>
            <w:tcW w:w="2337" w:type="dxa"/>
          </w:tcPr>
          <w:p w14:paraId="0E3E0284" w14:textId="377C7683" w:rsidR="006A527F" w:rsidRDefault="006A527F" w:rsidP="006A527F">
            <w:r>
              <w:t>Urban</w:t>
            </w:r>
          </w:p>
        </w:tc>
        <w:tc>
          <w:tcPr>
            <w:tcW w:w="2338" w:type="dxa"/>
            <w:vAlign w:val="center"/>
          </w:tcPr>
          <w:p w14:paraId="7BF3417D" w14:textId="3CDB5442" w:rsidR="006A527F" w:rsidRDefault="006A527F" w:rsidP="006A527F">
            <w:r>
              <w:t>82.6%</w:t>
            </w:r>
          </w:p>
        </w:tc>
        <w:tc>
          <w:tcPr>
            <w:tcW w:w="2338" w:type="dxa"/>
            <w:vAlign w:val="center"/>
          </w:tcPr>
          <w:p w14:paraId="3E2459D0" w14:textId="453C4B8E" w:rsidR="006A527F" w:rsidRDefault="006A527F" w:rsidP="006A527F">
            <w:r>
              <w:t>17.4%</w:t>
            </w:r>
          </w:p>
        </w:tc>
      </w:tr>
      <w:tr w:rsidR="006A527F" w14:paraId="64A284F5" w14:textId="77777777" w:rsidTr="00C36ADA">
        <w:tc>
          <w:tcPr>
            <w:tcW w:w="2337" w:type="dxa"/>
          </w:tcPr>
          <w:p w14:paraId="08568745" w14:textId="352B6FC9" w:rsidR="006A527F" w:rsidRDefault="006A527F" w:rsidP="006A527F">
            <w:r>
              <w:t>Sumter</w:t>
            </w:r>
          </w:p>
        </w:tc>
        <w:tc>
          <w:tcPr>
            <w:tcW w:w="2337" w:type="dxa"/>
          </w:tcPr>
          <w:p w14:paraId="7A900BCC" w14:textId="5E6C4CC2" w:rsidR="006A527F" w:rsidRDefault="006A527F" w:rsidP="006A527F">
            <w:r>
              <w:t>Urban</w:t>
            </w:r>
          </w:p>
        </w:tc>
        <w:tc>
          <w:tcPr>
            <w:tcW w:w="2338" w:type="dxa"/>
            <w:vAlign w:val="center"/>
          </w:tcPr>
          <w:p w14:paraId="032197FC" w14:textId="7BC9870A" w:rsidR="006A527F" w:rsidRDefault="006A527F" w:rsidP="006A527F">
            <w:r>
              <w:t>82.6%</w:t>
            </w:r>
          </w:p>
        </w:tc>
        <w:tc>
          <w:tcPr>
            <w:tcW w:w="2338" w:type="dxa"/>
            <w:vAlign w:val="center"/>
          </w:tcPr>
          <w:p w14:paraId="3AD0503A" w14:textId="7D4E7F4B" w:rsidR="006A527F" w:rsidRDefault="006A527F" w:rsidP="006A527F">
            <w:r>
              <w:t>17.4%</w:t>
            </w:r>
          </w:p>
        </w:tc>
      </w:tr>
      <w:tr w:rsidR="006A527F" w14:paraId="7ADE2D67" w14:textId="77777777" w:rsidTr="00C36ADA">
        <w:tc>
          <w:tcPr>
            <w:tcW w:w="2337" w:type="dxa"/>
          </w:tcPr>
          <w:p w14:paraId="49D38B36" w14:textId="47765968" w:rsidR="006A527F" w:rsidRDefault="006A527F" w:rsidP="006A527F">
            <w:r>
              <w:t>Union</w:t>
            </w:r>
          </w:p>
        </w:tc>
        <w:tc>
          <w:tcPr>
            <w:tcW w:w="2337" w:type="dxa"/>
          </w:tcPr>
          <w:p w14:paraId="53907926" w14:textId="2250B9AF" w:rsidR="006A527F" w:rsidRDefault="006A527F" w:rsidP="006A527F">
            <w:r>
              <w:t>Rural</w:t>
            </w:r>
          </w:p>
        </w:tc>
        <w:tc>
          <w:tcPr>
            <w:tcW w:w="2338" w:type="dxa"/>
            <w:vAlign w:val="bottom"/>
          </w:tcPr>
          <w:p w14:paraId="68847B2C" w14:textId="77777777" w:rsidR="006A527F" w:rsidRDefault="006A527F" w:rsidP="006A527F"/>
        </w:tc>
        <w:tc>
          <w:tcPr>
            <w:tcW w:w="2338" w:type="dxa"/>
            <w:vAlign w:val="center"/>
          </w:tcPr>
          <w:p w14:paraId="3D76350E" w14:textId="0DF02C52" w:rsidR="006A527F" w:rsidRDefault="006A527F" w:rsidP="006A527F">
            <w:r>
              <w:t>100.0%</w:t>
            </w:r>
          </w:p>
        </w:tc>
      </w:tr>
      <w:tr w:rsidR="006A527F" w14:paraId="2BD5A6C2" w14:textId="77777777" w:rsidTr="00C36ADA">
        <w:tc>
          <w:tcPr>
            <w:tcW w:w="2337" w:type="dxa"/>
          </w:tcPr>
          <w:p w14:paraId="3880C806" w14:textId="51E0ECAD" w:rsidR="006A527F" w:rsidRDefault="006A527F" w:rsidP="006A527F">
            <w:r>
              <w:t>Williamsburg</w:t>
            </w:r>
          </w:p>
        </w:tc>
        <w:tc>
          <w:tcPr>
            <w:tcW w:w="2337" w:type="dxa"/>
          </w:tcPr>
          <w:p w14:paraId="3F864E8B" w14:textId="3CE48D1A" w:rsidR="006A527F" w:rsidRDefault="006A527F" w:rsidP="006A527F">
            <w:r>
              <w:t>Rural</w:t>
            </w:r>
          </w:p>
        </w:tc>
        <w:tc>
          <w:tcPr>
            <w:tcW w:w="2338" w:type="dxa"/>
            <w:vAlign w:val="bottom"/>
          </w:tcPr>
          <w:p w14:paraId="1E800576" w14:textId="77777777" w:rsidR="006A527F" w:rsidRDefault="006A527F" w:rsidP="006A527F"/>
        </w:tc>
        <w:tc>
          <w:tcPr>
            <w:tcW w:w="2338" w:type="dxa"/>
            <w:vAlign w:val="center"/>
          </w:tcPr>
          <w:p w14:paraId="305E46FA" w14:textId="2705F9A3" w:rsidR="006A527F" w:rsidRDefault="006A527F" w:rsidP="006A527F">
            <w:r>
              <w:t>100.0%</w:t>
            </w:r>
          </w:p>
        </w:tc>
      </w:tr>
      <w:tr w:rsidR="006A527F" w14:paraId="32B2344F" w14:textId="77777777" w:rsidTr="00C36ADA">
        <w:tc>
          <w:tcPr>
            <w:tcW w:w="2337" w:type="dxa"/>
          </w:tcPr>
          <w:p w14:paraId="3E6B3452" w14:textId="2B4697DD" w:rsidR="006A527F" w:rsidRDefault="006A527F" w:rsidP="006A527F">
            <w:r>
              <w:t>York</w:t>
            </w:r>
          </w:p>
        </w:tc>
        <w:tc>
          <w:tcPr>
            <w:tcW w:w="2337" w:type="dxa"/>
          </w:tcPr>
          <w:p w14:paraId="31C31172" w14:textId="4E3CD539" w:rsidR="006A527F" w:rsidRDefault="006A527F" w:rsidP="006A527F">
            <w:r>
              <w:t>Urban</w:t>
            </w:r>
          </w:p>
        </w:tc>
        <w:tc>
          <w:tcPr>
            <w:tcW w:w="2338" w:type="dxa"/>
            <w:vAlign w:val="center"/>
          </w:tcPr>
          <w:p w14:paraId="23810C38" w14:textId="0ECCC0AE" w:rsidR="006A527F" w:rsidRDefault="006A527F" w:rsidP="006A527F">
            <w:r>
              <w:t>73.9%</w:t>
            </w:r>
          </w:p>
        </w:tc>
        <w:tc>
          <w:tcPr>
            <w:tcW w:w="2338" w:type="dxa"/>
            <w:vAlign w:val="center"/>
          </w:tcPr>
          <w:p w14:paraId="28BE96F6" w14:textId="600885F0" w:rsidR="006A527F" w:rsidRDefault="006A527F" w:rsidP="006A527F">
            <w:r>
              <w:t>26.1%</w:t>
            </w:r>
          </w:p>
        </w:tc>
      </w:tr>
    </w:tbl>
    <w:p w14:paraId="5F5A3DAD" w14:textId="4217B819" w:rsidR="00823B72" w:rsidRPr="00823B72" w:rsidRDefault="00823B72" w:rsidP="006A527F">
      <w:r w:rsidRPr="00823B72">
        <w:t>Source: SC ORH RUCA codes,</w:t>
      </w:r>
      <w:r>
        <w:t xml:space="preserve"> </w:t>
      </w:r>
      <w:r w:rsidRPr="00823B72">
        <w:t>2010.</w:t>
      </w:r>
    </w:p>
    <w:p w14:paraId="4CA6CB56" w14:textId="77777777" w:rsidR="00722CE9" w:rsidRDefault="00722CE9" w:rsidP="00722CE9"/>
    <w:p w14:paraId="2E5753A5" w14:textId="474165EB" w:rsidR="00722CE9" w:rsidRPr="00722CE9" w:rsidRDefault="00722CE9" w:rsidP="00722CE9">
      <w:r w:rsidRPr="00722CE9">
        <w:t>Poor physical health and delayed medical care due to cost are examples of how survey responses in SC differ somewhat from results of national reports described earlier in this section, the difference likely due to varying definitions of what constitutes rural. Compared to their urban counterparts, more rural non-Hispanic White and rural non-Hispanic Black residents reported poor physical health (</w:t>
      </w:r>
      <w:r w:rsidRPr="00722CE9">
        <w:rPr>
          <w:b/>
          <w:bCs/>
        </w:rPr>
        <w:t>Figure 5.18</w:t>
      </w:r>
      <w:r w:rsidRPr="00722CE9">
        <w:t>). Rural/urban classification was based on the National Center for Health Statistics Urban-Rural Classification, where urban refers to large fringe metro, medium metro, small metro, and micropolitan areas, and rural refers to noncore areas. However, more urban multiracial and urban Hispanic residents reported poor physical health compared to their rural counterparts. More urban residents reported delayed medical care compared</w:t>
      </w:r>
      <w:r>
        <w:t xml:space="preserve"> </w:t>
      </w:r>
      <w:r w:rsidRPr="00722CE9">
        <w:t>to rural residents, with the highest percentages being among urban Hispanic residents (25.1%) and urban non-Hispanic American Indian/Alaska Native people (24.1%) (data not shown).</w:t>
      </w:r>
      <w:r>
        <w:t xml:space="preserve"> </w:t>
      </w:r>
      <w:r w:rsidRPr="00722CE9">
        <w:t>The higher prevalence of poor physical health and delayed medical care among certain urban minorities may be related to the higher urbanization experienced by some minority communities than for non-Hispanic White or non-Hispanic Black residents in the past decade.</w:t>
      </w:r>
    </w:p>
    <w:p w14:paraId="46E80969" w14:textId="77777777" w:rsidR="00722CE9" w:rsidRDefault="00722CE9" w:rsidP="00722CE9">
      <w:pPr>
        <w:pStyle w:val="Heading4"/>
        <w:rPr>
          <w:color w:val="FF0000"/>
        </w:rPr>
      </w:pPr>
    </w:p>
    <w:p w14:paraId="27042BCE" w14:textId="77777777" w:rsidR="001E2F9C" w:rsidRDefault="001E2F9C" w:rsidP="001E2F9C">
      <w:pPr>
        <w:pStyle w:val="Heading4"/>
      </w:pPr>
      <w:bookmarkStart w:id="159" w:name="_Toc154569790"/>
      <w:bookmarkStart w:id="160" w:name="_Toc162267095"/>
      <w:r>
        <w:t>Figure 5.18: Poor Physical Health, by Race and Ethnicity and Rural or Urban Area.</w:t>
      </w:r>
      <w:bookmarkEnd w:id="159"/>
      <w:bookmarkEnd w:id="160"/>
    </w:p>
    <w:tbl>
      <w:tblPr>
        <w:tblStyle w:val="TableGrid"/>
        <w:tblW w:w="0" w:type="auto"/>
        <w:tblLook w:val="04A0" w:firstRow="1" w:lastRow="0" w:firstColumn="1" w:lastColumn="0" w:noHBand="0" w:noVBand="1"/>
      </w:tblPr>
      <w:tblGrid>
        <w:gridCol w:w="3116"/>
        <w:gridCol w:w="3117"/>
        <w:gridCol w:w="3117"/>
      </w:tblGrid>
      <w:tr w:rsidR="001E2F9C" w14:paraId="36B5295F" w14:textId="77777777" w:rsidTr="001515D5">
        <w:tc>
          <w:tcPr>
            <w:tcW w:w="3116" w:type="dxa"/>
            <w:vAlign w:val="bottom"/>
          </w:tcPr>
          <w:p w14:paraId="66115773" w14:textId="77777777" w:rsidR="001E2F9C" w:rsidRDefault="001E2F9C" w:rsidP="001515D5">
            <w:r>
              <w:t>Area</w:t>
            </w:r>
          </w:p>
        </w:tc>
        <w:tc>
          <w:tcPr>
            <w:tcW w:w="3117" w:type="dxa"/>
            <w:vAlign w:val="bottom"/>
          </w:tcPr>
          <w:p w14:paraId="4254B9E8" w14:textId="77777777" w:rsidR="001E2F9C" w:rsidRDefault="001E2F9C" w:rsidP="001515D5">
            <w:r>
              <w:t>Race</w:t>
            </w:r>
          </w:p>
        </w:tc>
        <w:tc>
          <w:tcPr>
            <w:tcW w:w="3117" w:type="dxa"/>
            <w:vAlign w:val="bottom"/>
          </w:tcPr>
          <w:p w14:paraId="476CDF09" w14:textId="63C5CB5F" w:rsidR="001E2F9C" w:rsidRDefault="002748B7" w:rsidP="001515D5">
            <w:r>
              <w:t>Percent</w:t>
            </w:r>
          </w:p>
        </w:tc>
      </w:tr>
      <w:tr w:rsidR="001E2F9C" w14:paraId="3DBBBAD4" w14:textId="77777777" w:rsidTr="001515D5">
        <w:tc>
          <w:tcPr>
            <w:tcW w:w="3116" w:type="dxa"/>
            <w:vAlign w:val="bottom"/>
          </w:tcPr>
          <w:p w14:paraId="5F00F7D4" w14:textId="77777777" w:rsidR="001E2F9C" w:rsidRDefault="001E2F9C" w:rsidP="001515D5">
            <w:r>
              <w:rPr>
                <w:color w:val="000000"/>
              </w:rPr>
              <w:t>Rural</w:t>
            </w:r>
          </w:p>
        </w:tc>
        <w:tc>
          <w:tcPr>
            <w:tcW w:w="3117" w:type="dxa"/>
            <w:vAlign w:val="bottom"/>
          </w:tcPr>
          <w:p w14:paraId="43306372" w14:textId="77777777" w:rsidR="001E2F9C" w:rsidRDefault="001E2F9C" w:rsidP="001515D5">
            <w:r>
              <w:rPr>
                <w:color w:val="000000"/>
              </w:rPr>
              <w:t>Non-Hispanic White</w:t>
            </w:r>
          </w:p>
        </w:tc>
        <w:tc>
          <w:tcPr>
            <w:tcW w:w="3117" w:type="dxa"/>
            <w:vAlign w:val="bottom"/>
          </w:tcPr>
          <w:p w14:paraId="3263E7AE" w14:textId="77777777" w:rsidR="001E2F9C" w:rsidRDefault="001E2F9C" w:rsidP="001515D5">
            <w:r>
              <w:rPr>
                <w:color w:val="000000"/>
              </w:rPr>
              <w:t>16.0%</w:t>
            </w:r>
          </w:p>
        </w:tc>
      </w:tr>
      <w:tr w:rsidR="001E2F9C" w14:paraId="41B4D267" w14:textId="77777777" w:rsidTr="001515D5">
        <w:tc>
          <w:tcPr>
            <w:tcW w:w="3116" w:type="dxa"/>
            <w:vAlign w:val="bottom"/>
          </w:tcPr>
          <w:p w14:paraId="65FB2ED4" w14:textId="77777777" w:rsidR="001E2F9C" w:rsidRDefault="001E2F9C" w:rsidP="001515D5">
            <w:r>
              <w:rPr>
                <w:color w:val="000000"/>
              </w:rPr>
              <w:t>Urban</w:t>
            </w:r>
          </w:p>
        </w:tc>
        <w:tc>
          <w:tcPr>
            <w:tcW w:w="3117" w:type="dxa"/>
            <w:vAlign w:val="bottom"/>
          </w:tcPr>
          <w:p w14:paraId="704076B8" w14:textId="77777777" w:rsidR="001E2F9C" w:rsidRDefault="001E2F9C" w:rsidP="001515D5">
            <w:r>
              <w:rPr>
                <w:color w:val="000000"/>
              </w:rPr>
              <w:t>Non-Hispanic White</w:t>
            </w:r>
          </w:p>
        </w:tc>
        <w:tc>
          <w:tcPr>
            <w:tcW w:w="3117" w:type="dxa"/>
            <w:vAlign w:val="bottom"/>
          </w:tcPr>
          <w:p w14:paraId="74176CC6" w14:textId="77777777" w:rsidR="001E2F9C" w:rsidRDefault="001E2F9C" w:rsidP="001515D5">
            <w:r>
              <w:rPr>
                <w:color w:val="000000"/>
              </w:rPr>
              <w:t>13.4%</w:t>
            </w:r>
          </w:p>
        </w:tc>
      </w:tr>
      <w:tr w:rsidR="001E2F9C" w14:paraId="54C3D7B9" w14:textId="77777777" w:rsidTr="001515D5">
        <w:tc>
          <w:tcPr>
            <w:tcW w:w="3116" w:type="dxa"/>
            <w:vAlign w:val="bottom"/>
          </w:tcPr>
          <w:p w14:paraId="50F8979A" w14:textId="77777777" w:rsidR="001E2F9C" w:rsidRDefault="001E2F9C" w:rsidP="001515D5">
            <w:r>
              <w:rPr>
                <w:color w:val="000000"/>
              </w:rPr>
              <w:t>Rural</w:t>
            </w:r>
          </w:p>
        </w:tc>
        <w:tc>
          <w:tcPr>
            <w:tcW w:w="3117" w:type="dxa"/>
            <w:vAlign w:val="bottom"/>
          </w:tcPr>
          <w:p w14:paraId="6BDCD525" w14:textId="77777777" w:rsidR="001E2F9C" w:rsidRDefault="001E2F9C" w:rsidP="001515D5">
            <w:r>
              <w:rPr>
                <w:color w:val="000000"/>
              </w:rPr>
              <w:t>Non-Hispanic Black</w:t>
            </w:r>
          </w:p>
        </w:tc>
        <w:tc>
          <w:tcPr>
            <w:tcW w:w="3117" w:type="dxa"/>
            <w:vAlign w:val="bottom"/>
          </w:tcPr>
          <w:p w14:paraId="11E9E35B" w14:textId="77777777" w:rsidR="001E2F9C" w:rsidRDefault="001E2F9C" w:rsidP="001515D5">
            <w:r>
              <w:rPr>
                <w:color w:val="000000"/>
              </w:rPr>
              <w:t>15.1%</w:t>
            </w:r>
          </w:p>
        </w:tc>
      </w:tr>
      <w:tr w:rsidR="001E2F9C" w14:paraId="6EF68499" w14:textId="77777777" w:rsidTr="001515D5">
        <w:tc>
          <w:tcPr>
            <w:tcW w:w="3116" w:type="dxa"/>
            <w:vAlign w:val="bottom"/>
          </w:tcPr>
          <w:p w14:paraId="7837C0DA" w14:textId="77777777" w:rsidR="001E2F9C" w:rsidRDefault="001E2F9C" w:rsidP="001515D5">
            <w:r>
              <w:rPr>
                <w:color w:val="000000"/>
              </w:rPr>
              <w:t>Urban</w:t>
            </w:r>
          </w:p>
        </w:tc>
        <w:tc>
          <w:tcPr>
            <w:tcW w:w="3117" w:type="dxa"/>
            <w:vAlign w:val="bottom"/>
          </w:tcPr>
          <w:p w14:paraId="0DEE5393" w14:textId="77777777" w:rsidR="001E2F9C" w:rsidRDefault="001E2F9C" w:rsidP="001515D5">
            <w:r>
              <w:rPr>
                <w:color w:val="000000"/>
              </w:rPr>
              <w:t>Non-Hispanic Black</w:t>
            </w:r>
          </w:p>
        </w:tc>
        <w:tc>
          <w:tcPr>
            <w:tcW w:w="3117" w:type="dxa"/>
            <w:vAlign w:val="bottom"/>
          </w:tcPr>
          <w:p w14:paraId="0B08E2EE" w14:textId="77777777" w:rsidR="001E2F9C" w:rsidRDefault="001E2F9C" w:rsidP="001515D5">
            <w:r>
              <w:rPr>
                <w:color w:val="000000"/>
              </w:rPr>
              <w:t>13.1%</w:t>
            </w:r>
          </w:p>
        </w:tc>
      </w:tr>
      <w:tr w:rsidR="001E2F9C" w14:paraId="264277E4" w14:textId="77777777" w:rsidTr="001515D5">
        <w:tc>
          <w:tcPr>
            <w:tcW w:w="3116" w:type="dxa"/>
            <w:vAlign w:val="bottom"/>
          </w:tcPr>
          <w:p w14:paraId="0249CE02" w14:textId="77777777" w:rsidR="001E2F9C" w:rsidRDefault="001E2F9C" w:rsidP="001515D5">
            <w:r>
              <w:rPr>
                <w:color w:val="000000"/>
              </w:rPr>
              <w:t>Rural</w:t>
            </w:r>
          </w:p>
        </w:tc>
        <w:tc>
          <w:tcPr>
            <w:tcW w:w="3117" w:type="dxa"/>
            <w:vAlign w:val="bottom"/>
          </w:tcPr>
          <w:p w14:paraId="6470CFE8" w14:textId="77777777" w:rsidR="001E2F9C" w:rsidRDefault="001E2F9C" w:rsidP="001515D5">
            <w:r>
              <w:rPr>
                <w:color w:val="000000"/>
              </w:rPr>
              <w:t>Non-Hispanic Other</w:t>
            </w:r>
          </w:p>
        </w:tc>
        <w:tc>
          <w:tcPr>
            <w:tcW w:w="3117" w:type="dxa"/>
            <w:vAlign w:val="bottom"/>
          </w:tcPr>
          <w:p w14:paraId="56E4E56D" w14:textId="77777777" w:rsidR="001E2F9C" w:rsidRDefault="001E2F9C" w:rsidP="001515D5">
            <w:r>
              <w:rPr>
                <w:color w:val="000000"/>
              </w:rPr>
              <w:t>13.8%</w:t>
            </w:r>
          </w:p>
        </w:tc>
      </w:tr>
      <w:tr w:rsidR="001E2F9C" w14:paraId="71F96CA1" w14:textId="77777777" w:rsidTr="001515D5">
        <w:tc>
          <w:tcPr>
            <w:tcW w:w="3116" w:type="dxa"/>
            <w:vAlign w:val="bottom"/>
          </w:tcPr>
          <w:p w14:paraId="5EFE31E1" w14:textId="77777777" w:rsidR="001E2F9C" w:rsidRDefault="001E2F9C" w:rsidP="001515D5">
            <w:r>
              <w:rPr>
                <w:color w:val="000000"/>
              </w:rPr>
              <w:t>Urban</w:t>
            </w:r>
          </w:p>
        </w:tc>
        <w:tc>
          <w:tcPr>
            <w:tcW w:w="3117" w:type="dxa"/>
            <w:vAlign w:val="bottom"/>
          </w:tcPr>
          <w:p w14:paraId="58CC6C96" w14:textId="77777777" w:rsidR="001E2F9C" w:rsidRDefault="001E2F9C" w:rsidP="001515D5">
            <w:r>
              <w:rPr>
                <w:color w:val="000000"/>
              </w:rPr>
              <w:t>Non-Hispanic Other</w:t>
            </w:r>
          </w:p>
        </w:tc>
        <w:tc>
          <w:tcPr>
            <w:tcW w:w="3117" w:type="dxa"/>
            <w:vAlign w:val="bottom"/>
          </w:tcPr>
          <w:p w14:paraId="356EAD41" w14:textId="77777777" w:rsidR="001E2F9C" w:rsidRDefault="001E2F9C" w:rsidP="001515D5">
            <w:r>
              <w:rPr>
                <w:color w:val="000000"/>
              </w:rPr>
              <w:t>16.8%</w:t>
            </w:r>
          </w:p>
        </w:tc>
      </w:tr>
      <w:tr w:rsidR="001E2F9C" w14:paraId="4DF34B79" w14:textId="77777777" w:rsidTr="001515D5">
        <w:tc>
          <w:tcPr>
            <w:tcW w:w="3116" w:type="dxa"/>
            <w:vAlign w:val="bottom"/>
          </w:tcPr>
          <w:p w14:paraId="08C94A69" w14:textId="77777777" w:rsidR="001E2F9C" w:rsidRDefault="001E2F9C" w:rsidP="001515D5">
            <w:r>
              <w:rPr>
                <w:color w:val="000000"/>
              </w:rPr>
              <w:t>Rural</w:t>
            </w:r>
          </w:p>
        </w:tc>
        <w:tc>
          <w:tcPr>
            <w:tcW w:w="3117" w:type="dxa"/>
            <w:vAlign w:val="bottom"/>
          </w:tcPr>
          <w:p w14:paraId="2D38639B" w14:textId="77777777" w:rsidR="001E2F9C" w:rsidRDefault="001E2F9C" w:rsidP="001515D5">
            <w:r>
              <w:rPr>
                <w:color w:val="000000"/>
              </w:rPr>
              <w:t>Hispanic</w:t>
            </w:r>
          </w:p>
        </w:tc>
        <w:tc>
          <w:tcPr>
            <w:tcW w:w="3117" w:type="dxa"/>
            <w:vAlign w:val="bottom"/>
          </w:tcPr>
          <w:p w14:paraId="6751F365" w14:textId="77777777" w:rsidR="001E2F9C" w:rsidRDefault="001E2F9C" w:rsidP="001515D5">
            <w:r>
              <w:rPr>
                <w:color w:val="000000"/>
              </w:rPr>
              <w:t>3.3%</w:t>
            </w:r>
          </w:p>
        </w:tc>
      </w:tr>
      <w:tr w:rsidR="001E2F9C" w14:paraId="57B355D7" w14:textId="77777777" w:rsidTr="001515D5">
        <w:tc>
          <w:tcPr>
            <w:tcW w:w="3116" w:type="dxa"/>
            <w:vAlign w:val="bottom"/>
          </w:tcPr>
          <w:p w14:paraId="09A33C60" w14:textId="77777777" w:rsidR="001E2F9C" w:rsidRDefault="001E2F9C" w:rsidP="001515D5">
            <w:r>
              <w:rPr>
                <w:color w:val="000000"/>
              </w:rPr>
              <w:t>Urban</w:t>
            </w:r>
          </w:p>
        </w:tc>
        <w:tc>
          <w:tcPr>
            <w:tcW w:w="3117" w:type="dxa"/>
            <w:vAlign w:val="bottom"/>
          </w:tcPr>
          <w:p w14:paraId="564FD310" w14:textId="77777777" w:rsidR="001E2F9C" w:rsidRDefault="001E2F9C" w:rsidP="001515D5">
            <w:r>
              <w:rPr>
                <w:color w:val="000000"/>
              </w:rPr>
              <w:t>Hispanic</w:t>
            </w:r>
          </w:p>
        </w:tc>
        <w:tc>
          <w:tcPr>
            <w:tcW w:w="3117" w:type="dxa"/>
            <w:vAlign w:val="bottom"/>
          </w:tcPr>
          <w:p w14:paraId="4F6102C0" w14:textId="77777777" w:rsidR="001E2F9C" w:rsidRDefault="001E2F9C" w:rsidP="001515D5">
            <w:r>
              <w:rPr>
                <w:color w:val="000000"/>
              </w:rPr>
              <w:t>8.7%</w:t>
            </w:r>
          </w:p>
        </w:tc>
      </w:tr>
    </w:tbl>
    <w:p w14:paraId="15F10DFF" w14:textId="77777777" w:rsidR="001E2F9C" w:rsidRPr="00355078" w:rsidRDefault="001E2F9C" w:rsidP="001E2F9C">
      <w:r w:rsidRPr="00355078">
        <w:t xml:space="preserve">Source: SC BRFSS, 2017-2021. </w:t>
      </w:r>
    </w:p>
    <w:p w14:paraId="5BB2B0E6" w14:textId="77777777" w:rsidR="001E2F9C" w:rsidRDefault="001E2F9C" w:rsidP="001E2F9C">
      <w:r w:rsidRPr="00355078">
        <w:t>Note: 5 year estimates. Poor physical health is 14 or more days in the past 30 days when physical health was not good.</w:t>
      </w:r>
    </w:p>
    <w:p w14:paraId="407E2381" w14:textId="77777777" w:rsidR="00722CE9" w:rsidRDefault="00722CE9" w:rsidP="00722CE9">
      <w:pPr>
        <w:rPr>
          <w:rStyle w:val="Heading4Char"/>
          <w:rFonts w:asciiTheme="minorHAnsi" w:hAnsiTheme="minorHAnsi" w:cstheme="minorHAnsi"/>
          <w:color w:val="000000" w:themeColor="text1"/>
        </w:rPr>
      </w:pPr>
    </w:p>
    <w:p w14:paraId="31B02691" w14:textId="77777777" w:rsidR="0048436D" w:rsidRPr="00EA168E" w:rsidRDefault="0048436D" w:rsidP="0048436D">
      <w:pPr>
        <w:pStyle w:val="Heading5"/>
      </w:pPr>
      <w:r w:rsidRPr="00EA168E">
        <w:t>Key Takeaways:</w:t>
      </w:r>
    </w:p>
    <w:p w14:paraId="4DC4479D" w14:textId="77777777" w:rsidR="0048436D" w:rsidRDefault="0048436D" w:rsidP="0048436D">
      <w:pPr>
        <w:pStyle w:val="ListParagraph"/>
        <w:numPr>
          <w:ilvl w:val="0"/>
          <w:numId w:val="18"/>
        </w:numPr>
      </w:pPr>
      <w:r w:rsidRPr="00722CE9">
        <w:t xml:space="preserve">Mortality rates for rural residents compared to urban residents in SC are higher, especially for cardiovascular disease, cancer, COVID-19, accidents, and homicides. </w:t>
      </w:r>
    </w:p>
    <w:p w14:paraId="7DFC420D" w14:textId="77777777" w:rsidR="0048436D" w:rsidRDefault="0048436D" w:rsidP="0048436D">
      <w:pPr>
        <w:pStyle w:val="ListParagraph"/>
        <w:numPr>
          <w:ilvl w:val="0"/>
          <w:numId w:val="18"/>
        </w:numPr>
      </w:pPr>
      <w:r w:rsidRPr="00722CE9">
        <w:lastRenderedPageBreak/>
        <w:t xml:space="preserve">More urban minority communities experience poor physical health and delayed medical care. </w:t>
      </w:r>
    </w:p>
    <w:p w14:paraId="517EDBC4" w14:textId="77777777" w:rsidR="0048436D" w:rsidRDefault="0048436D" w:rsidP="0048436D">
      <w:pPr>
        <w:pStyle w:val="ListParagraph"/>
        <w:numPr>
          <w:ilvl w:val="0"/>
          <w:numId w:val="18"/>
        </w:numPr>
      </w:pPr>
      <w:r w:rsidRPr="00722CE9">
        <w:t>The ability to monitor and improve the health of rural communities is complicated by different methods that define localities as rural.</w:t>
      </w:r>
    </w:p>
    <w:p w14:paraId="0AC1CF64" w14:textId="77777777" w:rsidR="0048436D" w:rsidRDefault="0048436D" w:rsidP="0048436D">
      <w:pPr>
        <w:pStyle w:val="ListParagraph"/>
        <w:numPr>
          <w:ilvl w:val="0"/>
          <w:numId w:val="18"/>
        </w:numPr>
      </w:pPr>
      <w:r w:rsidRPr="00722CE9">
        <w:t>A better understanding of the diversity of communities (representation equity) within rural settings is essential for effective intervention to promote health and health equity.</w:t>
      </w:r>
    </w:p>
    <w:p w14:paraId="0A09B6A2" w14:textId="77777777" w:rsidR="0048436D" w:rsidRPr="00544ADD" w:rsidRDefault="0048436D" w:rsidP="00722CE9">
      <w:pPr>
        <w:rPr>
          <w:rStyle w:val="Heading4Char"/>
          <w:rFonts w:asciiTheme="minorHAnsi" w:hAnsiTheme="minorHAnsi" w:cstheme="minorHAnsi"/>
          <w:color w:val="000000" w:themeColor="text1"/>
        </w:rPr>
      </w:pPr>
    </w:p>
    <w:p w14:paraId="0B1B8FFC" w14:textId="49A704B7" w:rsidR="00722CE9" w:rsidRPr="00722CE9" w:rsidRDefault="00722CE9" w:rsidP="00722CE9">
      <w:pPr>
        <w:rPr>
          <w:i/>
          <w:iCs/>
        </w:rPr>
      </w:pPr>
      <w:bookmarkStart w:id="161" w:name="_Toc162267096"/>
      <w:r w:rsidRPr="00544ADD">
        <w:rPr>
          <w:rStyle w:val="Heading4Char"/>
          <w:rFonts w:asciiTheme="minorHAnsi" w:hAnsiTheme="minorHAnsi" w:cstheme="minorHAnsi"/>
          <w:color w:val="000000" w:themeColor="text1"/>
        </w:rPr>
        <w:t>References 5.9</w:t>
      </w:r>
      <w:bookmarkEnd w:id="161"/>
      <w:r w:rsidR="002B2178">
        <w:rPr>
          <w:i/>
          <w:iCs/>
        </w:rPr>
        <w:t xml:space="preserve"> </w:t>
      </w:r>
    </w:p>
    <w:p w14:paraId="4DB74695" w14:textId="6B1EAAC0" w:rsidR="00722CE9" w:rsidRDefault="00722CE9" w:rsidP="00722CE9">
      <w:r w:rsidRPr="00722CE9">
        <w:t>Statistics in the preceding three paragraphs were referenced from the following reports:</w:t>
      </w:r>
    </w:p>
    <w:p w14:paraId="63BA621B" w14:textId="4E50E619" w:rsidR="002B2178" w:rsidRDefault="00544ADD" w:rsidP="00544ADD">
      <w:pPr>
        <w:ind w:left="360"/>
      </w:pPr>
      <w:r>
        <w:t>42.</w:t>
      </w:r>
      <w:r w:rsidR="002B2178">
        <w:t>“</w:t>
      </w:r>
      <w:r w:rsidR="002B2178" w:rsidRPr="00722CE9">
        <w:t>Behavioral Risk Factor Surveillance System Survey 2017-2021</w:t>
      </w:r>
      <w:r w:rsidR="002B2178">
        <w:t>”</w:t>
      </w:r>
      <w:r w:rsidR="002B2178" w:rsidRPr="00722CE9">
        <w:t xml:space="preserve"> </w:t>
      </w:r>
      <w:r w:rsidR="002B2178">
        <w:t xml:space="preserve">published by SC DHEC, 2023. No hyperlink. </w:t>
      </w:r>
    </w:p>
    <w:p w14:paraId="2D5C1564" w14:textId="07EDD23C" w:rsidR="002B2178" w:rsidRPr="00722CE9" w:rsidRDefault="00544ADD" w:rsidP="00544ADD">
      <w:pPr>
        <w:ind w:firstLine="360"/>
      </w:pPr>
      <w:r>
        <w:t>44.</w:t>
      </w:r>
      <w:hyperlink r:id="rId65" w:history="1">
        <w:r w:rsidR="002B2178" w:rsidRPr="002B2178">
          <w:rPr>
            <w:rStyle w:val="Hyperlink"/>
          </w:rPr>
          <w:t>“</w:t>
        </w:r>
        <w:r w:rsidR="002B2178" w:rsidRPr="00722CE9">
          <w:rPr>
            <w:rStyle w:val="Hyperlink"/>
          </w:rPr>
          <w:t>Annual Impact 2022</w:t>
        </w:r>
        <w:r w:rsidR="002B2178" w:rsidRPr="002B2178">
          <w:rPr>
            <w:rStyle w:val="Hyperlink"/>
          </w:rPr>
          <w:t>” by the</w:t>
        </w:r>
        <w:r w:rsidR="002B2178" w:rsidRPr="00722CE9">
          <w:rPr>
            <w:rStyle w:val="Hyperlink"/>
          </w:rPr>
          <w:t xml:space="preserve"> SC Office of Rural Health</w:t>
        </w:r>
        <w:r w:rsidR="002B2178" w:rsidRPr="002B2178">
          <w:rPr>
            <w:rStyle w:val="Hyperlink"/>
          </w:rPr>
          <w:t xml:space="preserve">, </w:t>
        </w:r>
        <w:r w:rsidR="002B2178" w:rsidRPr="00722CE9">
          <w:rPr>
            <w:rStyle w:val="Hyperlink"/>
          </w:rPr>
          <w:t>2023</w:t>
        </w:r>
        <w:r w:rsidR="002B2178" w:rsidRPr="002B2178">
          <w:rPr>
            <w:rStyle w:val="Hyperlink"/>
          </w:rPr>
          <w:t>.</w:t>
        </w:r>
      </w:hyperlink>
      <w:r w:rsidR="002B2178">
        <w:t xml:space="preserve"> </w:t>
      </w:r>
    </w:p>
    <w:p w14:paraId="5779F88C" w14:textId="5867893A" w:rsidR="002B2178" w:rsidRPr="00722CE9" w:rsidRDefault="00544ADD" w:rsidP="00544ADD">
      <w:pPr>
        <w:ind w:left="360"/>
      </w:pPr>
      <w:r>
        <w:t xml:space="preserve">45. </w:t>
      </w:r>
      <w:r w:rsidR="002B2178">
        <w:t>“</w:t>
      </w:r>
      <w:r w:rsidR="002B2178" w:rsidRPr="00722CE9">
        <w:t>Statistical Profile FY 21-22</w:t>
      </w:r>
      <w:r w:rsidR="002B2178">
        <w:t xml:space="preserve">” by </w:t>
      </w:r>
      <w:r w:rsidR="002B2178" w:rsidRPr="00722CE9">
        <w:t>South Carolina Commission for Minority Affairs</w:t>
      </w:r>
      <w:r w:rsidR="002B2178">
        <w:t xml:space="preserve">. Published in </w:t>
      </w:r>
      <w:r w:rsidR="002B2178" w:rsidRPr="00722CE9">
        <w:t>Economic and Employment Trends</w:t>
      </w:r>
      <w:r w:rsidR="002B2178">
        <w:t>, 2022</w:t>
      </w:r>
      <w:r w:rsidR="002B2178" w:rsidRPr="00722CE9">
        <w:t xml:space="preserve">. </w:t>
      </w:r>
      <w:r w:rsidR="002B2178">
        <w:t>No hyperlink.</w:t>
      </w:r>
    </w:p>
    <w:p w14:paraId="6087AD68" w14:textId="0EBD09DA" w:rsidR="002B2178" w:rsidRPr="002B2178" w:rsidRDefault="00000000" w:rsidP="00544ADD">
      <w:pPr>
        <w:pStyle w:val="ListParagraph"/>
        <w:numPr>
          <w:ilvl w:val="0"/>
          <w:numId w:val="231"/>
        </w:numPr>
      </w:pPr>
      <w:hyperlink r:id="rId66" w:history="1">
        <w:r w:rsidR="002B2178" w:rsidRPr="002B2178">
          <w:rPr>
            <w:rStyle w:val="Hyperlink"/>
          </w:rPr>
          <w:t xml:space="preserve">“County reclassifications and rural–urban mortality disparities in the United States” by Brooks, M. M., Mueller, J. T., &amp; </w:t>
        </w:r>
        <w:proofErr w:type="spellStart"/>
        <w:r w:rsidR="002B2178" w:rsidRPr="002B2178">
          <w:rPr>
            <w:rStyle w:val="Hyperlink"/>
          </w:rPr>
          <w:t>Thiede</w:t>
        </w:r>
        <w:proofErr w:type="spellEnd"/>
        <w:r w:rsidR="002B2178" w:rsidRPr="002B2178">
          <w:rPr>
            <w:rStyle w:val="Hyperlink"/>
          </w:rPr>
          <w:t>, B. C. Published in American Journal of Public Health, 2020</w:t>
        </w:r>
        <w:r w:rsidR="002B2178" w:rsidRPr="00544ADD">
          <w:rPr>
            <w:rStyle w:val="Hyperlink"/>
            <w:i/>
            <w:iCs/>
          </w:rPr>
          <w:t>.</w:t>
        </w:r>
      </w:hyperlink>
      <w:r w:rsidR="002B2178" w:rsidRPr="002B2178">
        <w:t xml:space="preserve"> </w:t>
      </w:r>
    </w:p>
    <w:p w14:paraId="50145462" w14:textId="371AA3EA" w:rsidR="002B2178" w:rsidRPr="002B2178" w:rsidRDefault="00000000" w:rsidP="00544ADD">
      <w:pPr>
        <w:pStyle w:val="ListParagraph"/>
        <w:numPr>
          <w:ilvl w:val="0"/>
          <w:numId w:val="231"/>
        </w:numPr>
      </w:pPr>
      <w:hyperlink r:id="rId67" w:history="1">
        <w:r w:rsidR="002B2178" w:rsidRPr="002B2178">
          <w:rPr>
            <w:rStyle w:val="Hyperlink"/>
          </w:rPr>
          <w:t xml:space="preserve">“What is rural? challenges and implications of definitions that inadequately encompass rural people and places” by Bennett, K. J., Borders, T. F., Holmes, G. M., </w:t>
        </w:r>
        <w:proofErr w:type="spellStart"/>
        <w:r w:rsidR="002B2178" w:rsidRPr="002B2178">
          <w:rPr>
            <w:rStyle w:val="Hyperlink"/>
          </w:rPr>
          <w:t>Kozhimannil</w:t>
        </w:r>
        <w:proofErr w:type="spellEnd"/>
        <w:r w:rsidR="002B2178" w:rsidRPr="002B2178">
          <w:rPr>
            <w:rStyle w:val="Hyperlink"/>
          </w:rPr>
          <w:t xml:space="preserve">, K. B., &amp; </w:t>
        </w:r>
        <w:proofErr w:type="spellStart"/>
        <w:r w:rsidR="002B2178" w:rsidRPr="002B2178">
          <w:rPr>
            <w:rStyle w:val="Hyperlink"/>
          </w:rPr>
          <w:t>Ziller</w:t>
        </w:r>
        <w:proofErr w:type="spellEnd"/>
        <w:r w:rsidR="002B2178" w:rsidRPr="002B2178">
          <w:rPr>
            <w:rStyle w:val="Hyperlink"/>
          </w:rPr>
          <w:t xml:space="preserve">, E. Published in </w:t>
        </w:r>
        <w:r w:rsidR="002B2178" w:rsidRPr="002B2178">
          <w:rPr>
            <w:rStyle w:val="Hyperlink"/>
            <w:i/>
            <w:iCs/>
          </w:rPr>
          <w:t>Health Affairs</w:t>
        </w:r>
        <w:r w:rsidR="002B2178" w:rsidRPr="002B2178">
          <w:rPr>
            <w:rStyle w:val="Hyperlink"/>
          </w:rPr>
          <w:t>, 2019.</w:t>
        </w:r>
      </w:hyperlink>
      <w:r w:rsidR="002B2178">
        <w:t xml:space="preserve"> </w:t>
      </w:r>
    </w:p>
    <w:p w14:paraId="36F61921" w14:textId="4773EDB0" w:rsidR="002B2178" w:rsidRPr="009B1DA6" w:rsidRDefault="00000000" w:rsidP="00544ADD">
      <w:pPr>
        <w:pStyle w:val="ListParagraph"/>
        <w:numPr>
          <w:ilvl w:val="0"/>
          <w:numId w:val="231"/>
        </w:numPr>
      </w:pPr>
      <w:hyperlink r:id="rId68" w:history="1">
        <w:r w:rsidR="002B2178" w:rsidRPr="009B1DA6">
          <w:rPr>
            <w:rStyle w:val="Hyperlink"/>
          </w:rPr>
          <w:t xml:space="preserve">“Recommendations From the Metropolitan and Micropolitan Statistical Area Standards Review Committee to the Office of Management and Budget Concerning Changes to the 2010 Standards for Delineating Metropolitan and Micropolitan Statistical Areas” </w:t>
        </w:r>
        <w:r w:rsidR="009B1DA6">
          <w:rPr>
            <w:rStyle w:val="Hyperlink"/>
          </w:rPr>
          <w:t>by</w:t>
        </w:r>
      </w:hyperlink>
      <w:r w:rsidR="009B1DA6">
        <w:rPr>
          <w:rStyle w:val="Hyperlink"/>
        </w:rPr>
        <w:t xml:space="preserve"> </w:t>
      </w:r>
      <w:r w:rsidR="009B1DA6" w:rsidRPr="009B1DA6">
        <w:t>the Federal Register</w:t>
      </w:r>
      <w:r w:rsidR="0048436D">
        <w:t>’s Management and Budget Office, 2021.</w:t>
      </w:r>
    </w:p>
    <w:p w14:paraId="1A2EE58D" w14:textId="1A4F2AD7" w:rsidR="002B2178" w:rsidRPr="002B2178" w:rsidRDefault="002B2178" w:rsidP="00544ADD">
      <w:pPr>
        <w:pStyle w:val="ListParagraph"/>
        <w:numPr>
          <w:ilvl w:val="0"/>
          <w:numId w:val="231"/>
        </w:numPr>
      </w:pPr>
      <w:r>
        <w:t>“</w:t>
      </w:r>
      <w:r w:rsidRPr="002B2178">
        <w:t>Metropolitan reclassification and the urbanization of rural America</w:t>
      </w:r>
      <w:r>
        <w:t xml:space="preserve">” by </w:t>
      </w:r>
      <w:r w:rsidRPr="002B2178">
        <w:t xml:space="preserve">Johnson, K.M., </w:t>
      </w:r>
      <w:proofErr w:type="spellStart"/>
      <w:r w:rsidRPr="002B2178">
        <w:t>Lichter</w:t>
      </w:r>
      <w:proofErr w:type="spellEnd"/>
      <w:r w:rsidRPr="002B2178">
        <w:t>, D.T.</w:t>
      </w:r>
      <w:r>
        <w:t xml:space="preserve"> Published in</w:t>
      </w:r>
      <w:r w:rsidRPr="002B2178">
        <w:t xml:space="preserve"> Demography</w:t>
      </w:r>
      <w:r>
        <w:t>, 2020. No hyperlink.</w:t>
      </w:r>
    </w:p>
    <w:p w14:paraId="14290E8B" w14:textId="2342E5C8" w:rsidR="002B2178" w:rsidRPr="002B2178" w:rsidRDefault="00000000" w:rsidP="00544ADD">
      <w:pPr>
        <w:pStyle w:val="ListParagraph"/>
        <w:numPr>
          <w:ilvl w:val="0"/>
          <w:numId w:val="231"/>
        </w:numPr>
      </w:pPr>
      <w:hyperlink r:id="rId69" w:history="1">
        <w:r w:rsidR="002B2178" w:rsidRPr="002B2178">
          <w:rPr>
            <w:rStyle w:val="Hyperlink"/>
          </w:rPr>
          <w:t>“Rural-urban mortality disparities: Variations across causes of death and Race/ethnicity, 2013–2017” by Probst, J. C., Zahnd, W. E., Hung, P., Eberth, J. M., Crouch, E. L., &amp; Merrell, M. A. Published in American Journal of Public Health, 2020.</w:t>
        </w:r>
      </w:hyperlink>
    </w:p>
    <w:p w14:paraId="061FA671" w14:textId="5E59753B" w:rsidR="002B2178" w:rsidRPr="002B2178" w:rsidRDefault="00000000" w:rsidP="00544ADD">
      <w:pPr>
        <w:pStyle w:val="ListParagraph"/>
        <w:numPr>
          <w:ilvl w:val="0"/>
          <w:numId w:val="231"/>
        </w:numPr>
      </w:pPr>
      <w:hyperlink r:id="rId70" w:history="1">
        <w:r w:rsidR="002B2178" w:rsidRPr="002B2178">
          <w:rPr>
            <w:rStyle w:val="Hyperlink"/>
          </w:rPr>
          <w:t xml:space="preserve">“Racial/ethnic health disparities among rural adults — United States, 2012–2015” by James, C. V., </w:t>
        </w:r>
        <w:proofErr w:type="spellStart"/>
        <w:r w:rsidR="002B2178" w:rsidRPr="002B2178">
          <w:rPr>
            <w:rStyle w:val="Hyperlink"/>
          </w:rPr>
          <w:t>Moonesinghe</w:t>
        </w:r>
        <w:proofErr w:type="spellEnd"/>
        <w:r w:rsidR="002B2178" w:rsidRPr="002B2178">
          <w:rPr>
            <w:rStyle w:val="Hyperlink"/>
          </w:rPr>
          <w:t xml:space="preserve">, R., Wilson-Frederick, S. M., Hall, J. E., Penman-Aguilar, A., &amp; </w:t>
        </w:r>
        <w:proofErr w:type="spellStart"/>
        <w:r w:rsidR="002B2178" w:rsidRPr="002B2178">
          <w:rPr>
            <w:rStyle w:val="Hyperlink"/>
          </w:rPr>
          <w:t>Bouye</w:t>
        </w:r>
        <w:proofErr w:type="spellEnd"/>
        <w:r w:rsidR="002B2178" w:rsidRPr="002B2178">
          <w:rPr>
            <w:rStyle w:val="Hyperlink"/>
          </w:rPr>
          <w:t>, K. Published in MMWR. Surveillance Summaries, 2017.</w:t>
        </w:r>
      </w:hyperlink>
      <w:r w:rsidR="002B2178" w:rsidRPr="002B2178">
        <w:t xml:space="preserve"> </w:t>
      </w:r>
    </w:p>
    <w:p w14:paraId="0740FC85" w14:textId="0605268E" w:rsidR="002B2178" w:rsidRPr="002B2178" w:rsidRDefault="00000000" w:rsidP="00544ADD">
      <w:pPr>
        <w:pStyle w:val="ListParagraph"/>
        <w:numPr>
          <w:ilvl w:val="0"/>
          <w:numId w:val="231"/>
        </w:numPr>
      </w:pPr>
      <w:hyperlink r:id="rId71" w:history="1">
        <w:r w:rsidR="002B2178" w:rsidRPr="002B2178">
          <w:rPr>
            <w:rStyle w:val="Hyperlink"/>
          </w:rPr>
          <w:t xml:space="preserve">“Health equity in midsize rural communities: Challenges and opportunities in a Changing Rural America” by Novak, N. L., </w:t>
        </w:r>
        <w:proofErr w:type="spellStart"/>
        <w:r w:rsidR="002B2178" w:rsidRPr="002B2178">
          <w:rPr>
            <w:rStyle w:val="Hyperlink"/>
          </w:rPr>
          <w:t>Baquero</w:t>
        </w:r>
        <w:proofErr w:type="spellEnd"/>
        <w:r w:rsidR="002B2178" w:rsidRPr="002B2178">
          <w:rPr>
            <w:rStyle w:val="Hyperlink"/>
          </w:rPr>
          <w:t xml:space="preserve">, B., Askelson, N. M., </w:t>
        </w:r>
        <w:proofErr w:type="spellStart"/>
        <w:r w:rsidR="002B2178" w:rsidRPr="002B2178">
          <w:rPr>
            <w:rStyle w:val="Hyperlink"/>
          </w:rPr>
          <w:t>Diers</w:t>
        </w:r>
        <w:proofErr w:type="spellEnd"/>
        <w:r w:rsidR="002B2178" w:rsidRPr="002B2178">
          <w:rPr>
            <w:rStyle w:val="Hyperlink"/>
          </w:rPr>
          <w:t xml:space="preserve">, L., Dunn, B., Haines, H., Afifi, R., &amp; Parker, E. A. Published in American Journal of Public </w:t>
        </w:r>
        <w:r w:rsidR="005476B7" w:rsidRPr="002B2178">
          <w:rPr>
            <w:rStyle w:val="Hyperlink"/>
          </w:rPr>
          <w:t>Health</w:t>
        </w:r>
      </w:hyperlink>
    </w:p>
    <w:p w14:paraId="63242805" w14:textId="41B82DE9" w:rsidR="002B2178" w:rsidRPr="002B2178" w:rsidRDefault="00000000" w:rsidP="00544ADD">
      <w:pPr>
        <w:pStyle w:val="ListParagraph"/>
        <w:numPr>
          <w:ilvl w:val="0"/>
          <w:numId w:val="231"/>
        </w:numPr>
      </w:pPr>
      <w:hyperlink r:id="rId72" w:history="1">
        <w:r w:rsidR="002B2178" w:rsidRPr="002B2178">
          <w:rPr>
            <w:rStyle w:val="Hyperlink"/>
          </w:rPr>
          <w:t>“Rural-Urban Commuting Area Codes” by USDA Economic Research Service, 2023.</w:t>
        </w:r>
      </w:hyperlink>
    </w:p>
    <w:p w14:paraId="7D20405F" w14:textId="3BFAE34E" w:rsidR="002B2178" w:rsidRPr="002B2178" w:rsidRDefault="00000000" w:rsidP="00544ADD">
      <w:pPr>
        <w:pStyle w:val="ListParagraph"/>
        <w:numPr>
          <w:ilvl w:val="0"/>
          <w:numId w:val="231"/>
        </w:numPr>
      </w:pPr>
      <w:hyperlink r:id="rId73" w:history="1">
        <w:r w:rsidR="002B2178" w:rsidRPr="002B2178">
          <w:rPr>
            <w:rStyle w:val="Hyperlink"/>
          </w:rPr>
          <w:t>“SCAN Death Certificate Data” by SC DHEC, 2020.</w:t>
        </w:r>
      </w:hyperlink>
      <w:r w:rsidR="002B2178">
        <w:t xml:space="preserve"> </w:t>
      </w:r>
    </w:p>
    <w:p w14:paraId="595286AE" w14:textId="6AC29DCE" w:rsidR="002B2178" w:rsidRPr="002B2178" w:rsidRDefault="00000000" w:rsidP="00544ADD">
      <w:pPr>
        <w:pStyle w:val="ListParagraph"/>
        <w:numPr>
          <w:ilvl w:val="0"/>
          <w:numId w:val="231"/>
        </w:numPr>
      </w:pPr>
      <w:hyperlink r:id="rId74" w:history="1">
        <w:r w:rsidR="002B2178" w:rsidRPr="002B2178">
          <w:rPr>
            <w:rStyle w:val="Hyperlink"/>
          </w:rPr>
          <w:t>“NCHS Urban-Rural Classification Scheme for Counties” published by the Centers for Disease Control and Prevention, 2017.</w:t>
        </w:r>
      </w:hyperlink>
      <w:r w:rsidR="002B2178">
        <w:t xml:space="preserve"> </w:t>
      </w:r>
    </w:p>
    <w:p w14:paraId="10F7C577" w14:textId="77777777" w:rsidR="00722CE9" w:rsidRDefault="00722CE9" w:rsidP="00722CE9"/>
    <w:p w14:paraId="300DAACD" w14:textId="77777777" w:rsidR="00722CE9" w:rsidRPr="00722CE9" w:rsidRDefault="00722CE9" w:rsidP="00722CE9">
      <w:pPr>
        <w:pStyle w:val="Heading3"/>
      </w:pPr>
      <w:bookmarkStart w:id="162" w:name="_Toc162267097"/>
      <w:r w:rsidRPr="00722CE9">
        <w:t>Low Socioeconomic Status Populations</w:t>
      </w:r>
      <w:bookmarkEnd w:id="162"/>
    </w:p>
    <w:p w14:paraId="0338CC96" w14:textId="53E15DB5" w:rsidR="00722CE9" w:rsidRPr="00722CE9" w:rsidRDefault="00722CE9" w:rsidP="00722CE9">
      <w:r w:rsidRPr="00722CE9">
        <w:t xml:space="preserve">Socioeconomic status (SES) is a measure of a person’s overall social and economic standing and is associated with health outcomes. People and households with lower SES have lower income, higher </w:t>
      </w:r>
      <w:r w:rsidR="00ED3390" w:rsidRPr="00722CE9">
        <w:t>poverty, or</w:t>
      </w:r>
      <w:r w:rsidRPr="00722CE9">
        <w:t xml:space="preserve"> lower levels of educational attainment, spend more than 30% of their income on housing, or lack health insurance coverage. The complex interplay among these inequities can influence a wide range of health, functioning, and quality of life outcomes. For example, poverty is a risk factor for premature morbidity and mortality, and societies that are more unequal in the distribution of wealth tend to have poorer health outcomes among their citizens. Conversely, health outcomes can also influence SES: less healthy people may complete fewer years of education, miss more work, and earn lower incomes. SES-related health disparities, specifically higher premature deaths, excess absenteeism, joblessness occasioned by illness among low-income and poorly educated workers, overuse of inpatient care, and extra payouts for disability benefits, have been associated with billions of dollars in annual economic costs.</w:t>
      </w:r>
    </w:p>
    <w:p w14:paraId="2BD06C57" w14:textId="77777777" w:rsidR="00722CE9" w:rsidRDefault="00722CE9" w:rsidP="00722CE9"/>
    <w:p w14:paraId="65377278" w14:textId="77777777" w:rsidR="00722CE9" w:rsidRDefault="00722CE9" w:rsidP="00722CE9">
      <w:r w:rsidRPr="00722CE9">
        <w:t>The Gini Index is a summary measure of income inequality, and ranges from 0 (perfect equality) to 1.0 (perfect inequality). Comparing data from 2011-2015 to 2016-2020, income inequality worsened in 24 counties, with Abbeville and Jasper seeing the largest changes. Additionally, income inequality remained relatively unchanged in nine counties, and improved in 11 counties. Bamberg and Hampton counties saw the largest improvement (</w:t>
      </w:r>
      <w:r w:rsidRPr="00722CE9">
        <w:rPr>
          <w:b/>
          <w:bCs/>
        </w:rPr>
        <w:t>Figure 5.19</w:t>
      </w:r>
      <w:r w:rsidRPr="00722CE9">
        <w:t xml:space="preserve">). During 2016-2020, the counties with the highest income inequality, representing a Gini Index &gt; 0.5, were Charleston, Georgetown, Lee, and Greenwood. Rurality does not completely explain income inequality, because seven of 12 rural counties experienced a decreased Gini Index. Households of color earned significantly less than the </w:t>
      </w:r>
      <w:r w:rsidRPr="00722CE9">
        <w:lastRenderedPageBreak/>
        <w:t>median income in SC, and substantially less than non-Hispanic White households, in the same period (</w:t>
      </w:r>
      <w:r w:rsidRPr="00722CE9">
        <w:rPr>
          <w:b/>
          <w:bCs/>
        </w:rPr>
        <w:t>Figure 5.20</w:t>
      </w:r>
      <w:r w:rsidRPr="00722CE9">
        <w:t>). Most racial and ethnic minorities have lower levels of educational attainment (data not shown). Proportionally, non-Hispanic Black, Hispanic, and non-Hispanic American Indian/Alaska Native populations trail the non-Hispanic White population by 18%-26% in the share of each groups' population with at least some college. These differences in educational attainment at least partially explain unequal median incomes between these groups.</w:t>
      </w:r>
      <w:r>
        <w:t xml:space="preserve"> </w:t>
      </w:r>
    </w:p>
    <w:p w14:paraId="02AF0850" w14:textId="77777777" w:rsidR="00722CE9" w:rsidRDefault="00722CE9" w:rsidP="00722CE9"/>
    <w:p w14:paraId="0BB9629F" w14:textId="77777777" w:rsidR="001E2F9C" w:rsidRDefault="001E2F9C" w:rsidP="001E2F9C">
      <w:pPr>
        <w:pStyle w:val="Heading4"/>
      </w:pPr>
      <w:bookmarkStart w:id="163" w:name="_Toc154569791"/>
      <w:bookmarkStart w:id="164" w:name="_Toc162267098"/>
      <w:r>
        <w:t>Figure 5.19: Gini Index of Income Inequality in South Carolina, by County.</w:t>
      </w:r>
      <w:bookmarkEnd w:id="163"/>
      <w:bookmarkEnd w:id="164"/>
    </w:p>
    <w:p w14:paraId="62092282" w14:textId="77777777" w:rsidR="001E2F9C" w:rsidRDefault="001E2F9C" w:rsidP="001E2F9C">
      <w:pPr>
        <w:pStyle w:val="Heading5"/>
      </w:pPr>
      <w:r>
        <w:t>Percent Change from 2015-2020.</w:t>
      </w:r>
    </w:p>
    <w:tbl>
      <w:tblPr>
        <w:tblStyle w:val="TableGrid"/>
        <w:tblW w:w="0" w:type="auto"/>
        <w:tblLook w:val="04A0" w:firstRow="1" w:lastRow="0" w:firstColumn="1" w:lastColumn="0" w:noHBand="0" w:noVBand="1"/>
      </w:tblPr>
      <w:tblGrid>
        <w:gridCol w:w="4675"/>
        <w:gridCol w:w="4675"/>
      </w:tblGrid>
      <w:tr w:rsidR="001E2F9C" w14:paraId="5BAADD3D" w14:textId="77777777" w:rsidTr="001515D5">
        <w:tc>
          <w:tcPr>
            <w:tcW w:w="4675" w:type="dxa"/>
            <w:vAlign w:val="bottom"/>
          </w:tcPr>
          <w:p w14:paraId="137DD0A3" w14:textId="77777777" w:rsidR="001E2F9C" w:rsidRDefault="001E2F9C" w:rsidP="001515D5">
            <w:r>
              <w:t>County</w:t>
            </w:r>
          </w:p>
        </w:tc>
        <w:tc>
          <w:tcPr>
            <w:tcW w:w="4675" w:type="dxa"/>
            <w:vAlign w:val="bottom"/>
          </w:tcPr>
          <w:p w14:paraId="5CB9B6E9" w14:textId="77777777" w:rsidR="001E2F9C" w:rsidRDefault="001E2F9C" w:rsidP="001515D5">
            <w:r>
              <w:t>Percent Change</w:t>
            </w:r>
          </w:p>
        </w:tc>
      </w:tr>
      <w:tr w:rsidR="001E2F9C" w14:paraId="36CA99D4" w14:textId="77777777" w:rsidTr="001515D5">
        <w:tc>
          <w:tcPr>
            <w:tcW w:w="4675" w:type="dxa"/>
            <w:vAlign w:val="bottom"/>
          </w:tcPr>
          <w:p w14:paraId="44F649C6" w14:textId="77777777" w:rsidR="001E2F9C" w:rsidRDefault="001E2F9C" w:rsidP="001515D5">
            <w:r>
              <w:rPr>
                <w:color w:val="000000"/>
              </w:rPr>
              <w:t>Abbeville</w:t>
            </w:r>
          </w:p>
        </w:tc>
        <w:tc>
          <w:tcPr>
            <w:tcW w:w="4675" w:type="dxa"/>
            <w:vAlign w:val="bottom"/>
          </w:tcPr>
          <w:p w14:paraId="3778F7E3" w14:textId="77777777" w:rsidR="001E2F9C" w:rsidRDefault="001E2F9C" w:rsidP="001515D5">
            <w:r>
              <w:rPr>
                <w:color w:val="000000"/>
              </w:rPr>
              <w:t>11% to 16.5%</w:t>
            </w:r>
          </w:p>
        </w:tc>
      </w:tr>
      <w:tr w:rsidR="001E2F9C" w14:paraId="4A475B8B" w14:textId="77777777" w:rsidTr="001515D5">
        <w:tc>
          <w:tcPr>
            <w:tcW w:w="4675" w:type="dxa"/>
            <w:vAlign w:val="bottom"/>
          </w:tcPr>
          <w:p w14:paraId="157C361B" w14:textId="77777777" w:rsidR="001E2F9C" w:rsidRDefault="001E2F9C" w:rsidP="001515D5">
            <w:r>
              <w:rPr>
                <w:color w:val="000000"/>
              </w:rPr>
              <w:t>Aiken</w:t>
            </w:r>
          </w:p>
        </w:tc>
        <w:tc>
          <w:tcPr>
            <w:tcW w:w="4675" w:type="dxa"/>
            <w:vAlign w:val="bottom"/>
          </w:tcPr>
          <w:p w14:paraId="59346659" w14:textId="77777777" w:rsidR="001E2F9C" w:rsidRDefault="001E2F9C" w:rsidP="001515D5">
            <w:r>
              <w:rPr>
                <w:color w:val="000000"/>
              </w:rPr>
              <w:t>-1% to -10%</w:t>
            </w:r>
          </w:p>
        </w:tc>
      </w:tr>
      <w:tr w:rsidR="001E2F9C" w14:paraId="4D42A1F2" w14:textId="77777777" w:rsidTr="001515D5">
        <w:tc>
          <w:tcPr>
            <w:tcW w:w="4675" w:type="dxa"/>
            <w:vAlign w:val="bottom"/>
          </w:tcPr>
          <w:p w14:paraId="2E8FBCF6" w14:textId="77777777" w:rsidR="001E2F9C" w:rsidRDefault="001E2F9C" w:rsidP="001515D5">
            <w:r>
              <w:rPr>
                <w:color w:val="000000"/>
              </w:rPr>
              <w:t>Allendale</w:t>
            </w:r>
          </w:p>
        </w:tc>
        <w:tc>
          <w:tcPr>
            <w:tcW w:w="4675" w:type="dxa"/>
            <w:vAlign w:val="bottom"/>
          </w:tcPr>
          <w:p w14:paraId="5B50FE8F" w14:textId="77777777" w:rsidR="001E2F9C" w:rsidRDefault="001E2F9C" w:rsidP="001515D5">
            <w:r>
              <w:rPr>
                <w:color w:val="000000"/>
              </w:rPr>
              <w:t>1% to 10%</w:t>
            </w:r>
          </w:p>
        </w:tc>
      </w:tr>
      <w:tr w:rsidR="001E2F9C" w14:paraId="23EE1717" w14:textId="77777777" w:rsidTr="001515D5">
        <w:tc>
          <w:tcPr>
            <w:tcW w:w="4675" w:type="dxa"/>
            <w:vAlign w:val="bottom"/>
          </w:tcPr>
          <w:p w14:paraId="104B8D45" w14:textId="77777777" w:rsidR="001E2F9C" w:rsidRDefault="001E2F9C" w:rsidP="001515D5">
            <w:r>
              <w:rPr>
                <w:color w:val="000000"/>
              </w:rPr>
              <w:t>Anderson</w:t>
            </w:r>
          </w:p>
        </w:tc>
        <w:tc>
          <w:tcPr>
            <w:tcW w:w="4675" w:type="dxa"/>
            <w:vAlign w:val="bottom"/>
          </w:tcPr>
          <w:p w14:paraId="3D774710" w14:textId="77777777" w:rsidR="001E2F9C" w:rsidRDefault="001E2F9C" w:rsidP="001515D5">
            <w:r>
              <w:rPr>
                <w:color w:val="000000"/>
              </w:rPr>
              <w:t>1% to 10%</w:t>
            </w:r>
          </w:p>
        </w:tc>
      </w:tr>
      <w:tr w:rsidR="001E2F9C" w14:paraId="4146EA99" w14:textId="77777777" w:rsidTr="001515D5">
        <w:tc>
          <w:tcPr>
            <w:tcW w:w="4675" w:type="dxa"/>
            <w:vAlign w:val="bottom"/>
          </w:tcPr>
          <w:p w14:paraId="7FF8A4DE" w14:textId="77777777" w:rsidR="001E2F9C" w:rsidRDefault="001E2F9C" w:rsidP="001515D5">
            <w:r>
              <w:rPr>
                <w:color w:val="000000"/>
              </w:rPr>
              <w:t>Bamberg</w:t>
            </w:r>
          </w:p>
        </w:tc>
        <w:tc>
          <w:tcPr>
            <w:tcW w:w="4675" w:type="dxa"/>
            <w:vAlign w:val="bottom"/>
          </w:tcPr>
          <w:p w14:paraId="00D9DED9" w14:textId="77777777" w:rsidR="001E2F9C" w:rsidRDefault="001E2F9C" w:rsidP="001515D5">
            <w:r>
              <w:rPr>
                <w:color w:val="000000"/>
              </w:rPr>
              <w:t>-11% to -15%</w:t>
            </w:r>
          </w:p>
        </w:tc>
      </w:tr>
      <w:tr w:rsidR="001E2F9C" w14:paraId="07F5789D" w14:textId="77777777" w:rsidTr="001515D5">
        <w:tc>
          <w:tcPr>
            <w:tcW w:w="4675" w:type="dxa"/>
            <w:vAlign w:val="bottom"/>
          </w:tcPr>
          <w:p w14:paraId="58A2B929" w14:textId="77777777" w:rsidR="001E2F9C" w:rsidRDefault="001E2F9C" w:rsidP="001515D5">
            <w:r>
              <w:rPr>
                <w:color w:val="000000"/>
              </w:rPr>
              <w:t>Barnwell</w:t>
            </w:r>
          </w:p>
        </w:tc>
        <w:tc>
          <w:tcPr>
            <w:tcW w:w="4675" w:type="dxa"/>
            <w:vAlign w:val="bottom"/>
          </w:tcPr>
          <w:p w14:paraId="75A64D6E" w14:textId="77777777" w:rsidR="001E2F9C" w:rsidRDefault="001E2F9C" w:rsidP="001515D5">
            <w:r>
              <w:rPr>
                <w:color w:val="000000"/>
              </w:rPr>
              <w:t>-1% to -10%</w:t>
            </w:r>
          </w:p>
        </w:tc>
      </w:tr>
      <w:tr w:rsidR="001E2F9C" w14:paraId="511C28A3" w14:textId="77777777" w:rsidTr="001515D5">
        <w:tc>
          <w:tcPr>
            <w:tcW w:w="4675" w:type="dxa"/>
            <w:vAlign w:val="bottom"/>
          </w:tcPr>
          <w:p w14:paraId="6F20D80E" w14:textId="77777777" w:rsidR="001E2F9C" w:rsidRDefault="001E2F9C" w:rsidP="001515D5">
            <w:r>
              <w:rPr>
                <w:color w:val="000000"/>
              </w:rPr>
              <w:t>Beaufort</w:t>
            </w:r>
          </w:p>
        </w:tc>
        <w:tc>
          <w:tcPr>
            <w:tcW w:w="4675" w:type="dxa"/>
            <w:vAlign w:val="bottom"/>
          </w:tcPr>
          <w:p w14:paraId="5A0D73B1" w14:textId="77777777" w:rsidR="001E2F9C" w:rsidRDefault="001E2F9C" w:rsidP="001515D5">
            <w:r>
              <w:rPr>
                <w:color w:val="000000"/>
              </w:rPr>
              <w:t>1% to 10%</w:t>
            </w:r>
          </w:p>
        </w:tc>
      </w:tr>
      <w:tr w:rsidR="001E2F9C" w14:paraId="1EF0635C" w14:textId="77777777" w:rsidTr="001515D5">
        <w:tc>
          <w:tcPr>
            <w:tcW w:w="4675" w:type="dxa"/>
            <w:vAlign w:val="bottom"/>
          </w:tcPr>
          <w:p w14:paraId="404FDF2A" w14:textId="77777777" w:rsidR="001E2F9C" w:rsidRDefault="001E2F9C" w:rsidP="001515D5">
            <w:r>
              <w:rPr>
                <w:color w:val="000000"/>
              </w:rPr>
              <w:t>Berkeley</w:t>
            </w:r>
          </w:p>
        </w:tc>
        <w:tc>
          <w:tcPr>
            <w:tcW w:w="4675" w:type="dxa"/>
            <w:vAlign w:val="bottom"/>
          </w:tcPr>
          <w:p w14:paraId="533121F4" w14:textId="77777777" w:rsidR="001E2F9C" w:rsidRDefault="001E2F9C" w:rsidP="001515D5">
            <w:r>
              <w:rPr>
                <w:color w:val="000000"/>
              </w:rPr>
              <w:t>&lt; 1% Change</w:t>
            </w:r>
          </w:p>
        </w:tc>
      </w:tr>
      <w:tr w:rsidR="001E2F9C" w14:paraId="1AB31DDA" w14:textId="77777777" w:rsidTr="001515D5">
        <w:tc>
          <w:tcPr>
            <w:tcW w:w="4675" w:type="dxa"/>
            <w:vAlign w:val="bottom"/>
          </w:tcPr>
          <w:p w14:paraId="07209279" w14:textId="77777777" w:rsidR="001E2F9C" w:rsidRDefault="001E2F9C" w:rsidP="001515D5">
            <w:r>
              <w:rPr>
                <w:color w:val="000000"/>
              </w:rPr>
              <w:t>Calhoun</w:t>
            </w:r>
          </w:p>
        </w:tc>
        <w:tc>
          <w:tcPr>
            <w:tcW w:w="4675" w:type="dxa"/>
            <w:vAlign w:val="bottom"/>
          </w:tcPr>
          <w:p w14:paraId="079FDB77" w14:textId="77777777" w:rsidR="001E2F9C" w:rsidRDefault="001E2F9C" w:rsidP="001515D5">
            <w:r>
              <w:rPr>
                <w:color w:val="000000"/>
              </w:rPr>
              <w:t>-1% to -10%</w:t>
            </w:r>
          </w:p>
        </w:tc>
      </w:tr>
      <w:tr w:rsidR="001E2F9C" w14:paraId="5AD2CAC3" w14:textId="77777777" w:rsidTr="001515D5">
        <w:tc>
          <w:tcPr>
            <w:tcW w:w="4675" w:type="dxa"/>
            <w:vAlign w:val="bottom"/>
          </w:tcPr>
          <w:p w14:paraId="648D01D2" w14:textId="77777777" w:rsidR="001E2F9C" w:rsidRDefault="001E2F9C" w:rsidP="001515D5">
            <w:r>
              <w:rPr>
                <w:color w:val="000000"/>
              </w:rPr>
              <w:t>Charleston</w:t>
            </w:r>
          </w:p>
        </w:tc>
        <w:tc>
          <w:tcPr>
            <w:tcW w:w="4675" w:type="dxa"/>
            <w:vAlign w:val="bottom"/>
          </w:tcPr>
          <w:p w14:paraId="108BB606" w14:textId="77777777" w:rsidR="001E2F9C" w:rsidRDefault="001E2F9C" w:rsidP="001515D5">
            <w:r>
              <w:rPr>
                <w:color w:val="000000"/>
              </w:rPr>
              <w:t>1% to 10%</w:t>
            </w:r>
          </w:p>
        </w:tc>
      </w:tr>
      <w:tr w:rsidR="001E2F9C" w14:paraId="4441F596" w14:textId="77777777" w:rsidTr="001515D5">
        <w:tc>
          <w:tcPr>
            <w:tcW w:w="4675" w:type="dxa"/>
            <w:vAlign w:val="bottom"/>
          </w:tcPr>
          <w:p w14:paraId="63B978B9" w14:textId="77777777" w:rsidR="001E2F9C" w:rsidRDefault="001E2F9C" w:rsidP="001515D5">
            <w:r>
              <w:rPr>
                <w:color w:val="000000"/>
              </w:rPr>
              <w:t>Cherokee</w:t>
            </w:r>
          </w:p>
        </w:tc>
        <w:tc>
          <w:tcPr>
            <w:tcW w:w="4675" w:type="dxa"/>
            <w:vAlign w:val="bottom"/>
          </w:tcPr>
          <w:p w14:paraId="5D5941E6" w14:textId="77777777" w:rsidR="001E2F9C" w:rsidRDefault="001E2F9C" w:rsidP="001515D5">
            <w:r>
              <w:rPr>
                <w:color w:val="000000"/>
              </w:rPr>
              <w:t>&lt; 1% Change</w:t>
            </w:r>
          </w:p>
        </w:tc>
      </w:tr>
      <w:tr w:rsidR="001E2F9C" w14:paraId="2392DF0A" w14:textId="77777777" w:rsidTr="001515D5">
        <w:tc>
          <w:tcPr>
            <w:tcW w:w="4675" w:type="dxa"/>
            <w:vAlign w:val="bottom"/>
          </w:tcPr>
          <w:p w14:paraId="31775DF3" w14:textId="77777777" w:rsidR="001E2F9C" w:rsidRDefault="001E2F9C" w:rsidP="001515D5">
            <w:r>
              <w:rPr>
                <w:color w:val="000000"/>
              </w:rPr>
              <w:t>Chester</w:t>
            </w:r>
          </w:p>
        </w:tc>
        <w:tc>
          <w:tcPr>
            <w:tcW w:w="4675" w:type="dxa"/>
            <w:vAlign w:val="bottom"/>
          </w:tcPr>
          <w:p w14:paraId="4B5C00AE" w14:textId="77777777" w:rsidR="001E2F9C" w:rsidRDefault="001E2F9C" w:rsidP="001515D5">
            <w:r>
              <w:rPr>
                <w:color w:val="000000"/>
              </w:rPr>
              <w:t>-1% to -10%</w:t>
            </w:r>
          </w:p>
        </w:tc>
      </w:tr>
      <w:tr w:rsidR="001E2F9C" w14:paraId="66366EEF" w14:textId="77777777" w:rsidTr="001515D5">
        <w:tc>
          <w:tcPr>
            <w:tcW w:w="4675" w:type="dxa"/>
            <w:vAlign w:val="bottom"/>
          </w:tcPr>
          <w:p w14:paraId="54835594" w14:textId="77777777" w:rsidR="001E2F9C" w:rsidRDefault="001E2F9C" w:rsidP="001515D5">
            <w:r>
              <w:rPr>
                <w:color w:val="000000"/>
              </w:rPr>
              <w:t>Chesterfield</w:t>
            </w:r>
          </w:p>
        </w:tc>
        <w:tc>
          <w:tcPr>
            <w:tcW w:w="4675" w:type="dxa"/>
            <w:vAlign w:val="bottom"/>
          </w:tcPr>
          <w:p w14:paraId="4D76EB87" w14:textId="77777777" w:rsidR="001E2F9C" w:rsidRDefault="001E2F9C" w:rsidP="001515D5">
            <w:r>
              <w:rPr>
                <w:color w:val="000000"/>
              </w:rPr>
              <w:t>-1% to -10%</w:t>
            </w:r>
          </w:p>
        </w:tc>
      </w:tr>
      <w:tr w:rsidR="001E2F9C" w14:paraId="215F61A2" w14:textId="77777777" w:rsidTr="001515D5">
        <w:tc>
          <w:tcPr>
            <w:tcW w:w="4675" w:type="dxa"/>
            <w:vAlign w:val="bottom"/>
          </w:tcPr>
          <w:p w14:paraId="514ABF4F" w14:textId="77777777" w:rsidR="001E2F9C" w:rsidRDefault="001E2F9C" w:rsidP="001515D5">
            <w:r>
              <w:rPr>
                <w:color w:val="000000"/>
              </w:rPr>
              <w:t>Clarendon</w:t>
            </w:r>
          </w:p>
        </w:tc>
        <w:tc>
          <w:tcPr>
            <w:tcW w:w="4675" w:type="dxa"/>
            <w:vAlign w:val="bottom"/>
          </w:tcPr>
          <w:p w14:paraId="3B9A1689" w14:textId="77777777" w:rsidR="001E2F9C" w:rsidRDefault="001E2F9C" w:rsidP="001515D5">
            <w:r>
              <w:rPr>
                <w:color w:val="000000"/>
              </w:rPr>
              <w:t>-1% to -10%</w:t>
            </w:r>
          </w:p>
        </w:tc>
      </w:tr>
      <w:tr w:rsidR="001E2F9C" w14:paraId="765C6F1E" w14:textId="77777777" w:rsidTr="001515D5">
        <w:tc>
          <w:tcPr>
            <w:tcW w:w="4675" w:type="dxa"/>
            <w:vAlign w:val="bottom"/>
          </w:tcPr>
          <w:p w14:paraId="633151DA" w14:textId="77777777" w:rsidR="001E2F9C" w:rsidRDefault="001E2F9C" w:rsidP="001515D5">
            <w:r>
              <w:rPr>
                <w:color w:val="000000"/>
              </w:rPr>
              <w:t>Colleton</w:t>
            </w:r>
          </w:p>
        </w:tc>
        <w:tc>
          <w:tcPr>
            <w:tcW w:w="4675" w:type="dxa"/>
            <w:vAlign w:val="bottom"/>
          </w:tcPr>
          <w:p w14:paraId="761DF567" w14:textId="77777777" w:rsidR="001E2F9C" w:rsidRDefault="001E2F9C" w:rsidP="001515D5">
            <w:r>
              <w:rPr>
                <w:color w:val="000000"/>
              </w:rPr>
              <w:t>1% to 10%</w:t>
            </w:r>
          </w:p>
        </w:tc>
      </w:tr>
      <w:tr w:rsidR="001E2F9C" w14:paraId="5157AC69" w14:textId="77777777" w:rsidTr="001515D5">
        <w:tc>
          <w:tcPr>
            <w:tcW w:w="4675" w:type="dxa"/>
            <w:vAlign w:val="bottom"/>
          </w:tcPr>
          <w:p w14:paraId="531FD818" w14:textId="77777777" w:rsidR="001E2F9C" w:rsidRDefault="001E2F9C" w:rsidP="001515D5">
            <w:r>
              <w:rPr>
                <w:color w:val="000000"/>
              </w:rPr>
              <w:t>Darlington</w:t>
            </w:r>
          </w:p>
        </w:tc>
        <w:tc>
          <w:tcPr>
            <w:tcW w:w="4675" w:type="dxa"/>
            <w:vAlign w:val="bottom"/>
          </w:tcPr>
          <w:p w14:paraId="07B1F6DA" w14:textId="77777777" w:rsidR="001E2F9C" w:rsidRDefault="001E2F9C" w:rsidP="001515D5">
            <w:r>
              <w:rPr>
                <w:color w:val="000000"/>
              </w:rPr>
              <w:t>&lt; 1% Change</w:t>
            </w:r>
          </w:p>
        </w:tc>
      </w:tr>
      <w:tr w:rsidR="001E2F9C" w14:paraId="3E5E4EF6" w14:textId="77777777" w:rsidTr="001515D5">
        <w:tc>
          <w:tcPr>
            <w:tcW w:w="4675" w:type="dxa"/>
            <w:vAlign w:val="bottom"/>
          </w:tcPr>
          <w:p w14:paraId="2B7E2039" w14:textId="77777777" w:rsidR="001E2F9C" w:rsidRDefault="001E2F9C" w:rsidP="001515D5">
            <w:r>
              <w:rPr>
                <w:color w:val="000000"/>
              </w:rPr>
              <w:t>Dillon</w:t>
            </w:r>
          </w:p>
        </w:tc>
        <w:tc>
          <w:tcPr>
            <w:tcW w:w="4675" w:type="dxa"/>
            <w:vAlign w:val="bottom"/>
          </w:tcPr>
          <w:p w14:paraId="20A6E9A6" w14:textId="77777777" w:rsidR="001E2F9C" w:rsidRDefault="001E2F9C" w:rsidP="001515D5">
            <w:r>
              <w:rPr>
                <w:color w:val="000000"/>
              </w:rPr>
              <w:t>1% to 10%</w:t>
            </w:r>
          </w:p>
        </w:tc>
      </w:tr>
      <w:tr w:rsidR="001E2F9C" w14:paraId="27755387" w14:textId="77777777" w:rsidTr="001515D5">
        <w:tc>
          <w:tcPr>
            <w:tcW w:w="4675" w:type="dxa"/>
            <w:vAlign w:val="bottom"/>
          </w:tcPr>
          <w:p w14:paraId="4307FC0C" w14:textId="77777777" w:rsidR="001E2F9C" w:rsidRDefault="001E2F9C" w:rsidP="001515D5">
            <w:r>
              <w:rPr>
                <w:color w:val="000000"/>
              </w:rPr>
              <w:t>Dorchester</w:t>
            </w:r>
          </w:p>
        </w:tc>
        <w:tc>
          <w:tcPr>
            <w:tcW w:w="4675" w:type="dxa"/>
            <w:vAlign w:val="bottom"/>
          </w:tcPr>
          <w:p w14:paraId="245D398B" w14:textId="77777777" w:rsidR="001E2F9C" w:rsidRDefault="001E2F9C" w:rsidP="001515D5">
            <w:r>
              <w:rPr>
                <w:color w:val="000000"/>
              </w:rPr>
              <w:t>-1% to -10%</w:t>
            </w:r>
          </w:p>
        </w:tc>
      </w:tr>
      <w:tr w:rsidR="001E2F9C" w14:paraId="010F4180" w14:textId="77777777" w:rsidTr="001515D5">
        <w:tc>
          <w:tcPr>
            <w:tcW w:w="4675" w:type="dxa"/>
            <w:vAlign w:val="bottom"/>
          </w:tcPr>
          <w:p w14:paraId="5B122733" w14:textId="77777777" w:rsidR="001E2F9C" w:rsidRDefault="001E2F9C" w:rsidP="001515D5">
            <w:r>
              <w:rPr>
                <w:color w:val="000000"/>
              </w:rPr>
              <w:t>Edgefield</w:t>
            </w:r>
          </w:p>
        </w:tc>
        <w:tc>
          <w:tcPr>
            <w:tcW w:w="4675" w:type="dxa"/>
            <w:vAlign w:val="bottom"/>
          </w:tcPr>
          <w:p w14:paraId="6276C277" w14:textId="77777777" w:rsidR="001E2F9C" w:rsidRDefault="001E2F9C" w:rsidP="001515D5">
            <w:r>
              <w:rPr>
                <w:color w:val="000000"/>
              </w:rPr>
              <w:t>1% to 10%</w:t>
            </w:r>
          </w:p>
        </w:tc>
      </w:tr>
      <w:tr w:rsidR="001E2F9C" w14:paraId="18934685" w14:textId="77777777" w:rsidTr="001515D5">
        <w:tc>
          <w:tcPr>
            <w:tcW w:w="4675" w:type="dxa"/>
            <w:vAlign w:val="bottom"/>
          </w:tcPr>
          <w:p w14:paraId="41507F0D" w14:textId="77777777" w:rsidR="001E2F9C" w:rsidRDefault="001E2F9C" w:rsidP="001515D5">
            <w:r>
              <w:rPr>
                <w:color w:val="000000"/>
              </w:rPr>
              <w:t>Fairfield</w:t>
            </w:r>
          </w:p>
        </w:tc>
        <w:tc>
          <w:tcPr>
            <w:tcW w:w="4675" w:type="dxa"/>
            <w:vAlign w:val="bottom"/>
          </w:tcPr>
          <w:p w14:paraId="4826EE5D" w14:textId="77777777" w:rsidR="001E2F9C" w:rsidRDefault="001E2F9C" w:rsidP="001515D5">
            <w:r>
              <w:rPr>
                <w:color w:val="000000"/>
              </w:rPr>
              <w:t>&lt; 1% Change</w:t>
            </w:r>
          </w:p>
        </w:tc>
      </w:tr>
      <w:tr w:rsidR="001E2F9C" w14:paraId="7B0F4C60" w14:textId="77777777" w:rsidTr="001515D5">
        <w:tc>
          <w:tcPr>
            <w:tcW w:w="4675" w:type="dxa"/>
            <w:vAlign w:val="bottom"/>
          </w:tcPr>
          <w:p w14:paraId="650522E6" w14:textId="77777777" w:rsidR="001E2F9C" w:rsidRDefault="001E2F9C" w:rsidP="001515D5">
            <w:r>
              <w:rPr>
                <w:color w:val="000000"/>
              </w:rPr>
              <w:t>Florence</w:t>
            </w:r>
          </w:p>
        </w:tc>
        <w:tc>
          <w:tcPr>
            <w:tcW w:w="4675" w:type="dxa"/>
            <w:vAlign w:val="bottom"/>
          </w:tcPr>
          <w:p w14:paraId="1118AF71" w14:textId="77777777" w:rsidR="001E2F9C" w:rsidRDefault="001E2F9C" w:rsidP="001515D5">
            <w:r>
              <w:rPr>
                <w:color w:val="000000"/>
              </w:rPr>
              <w:t>&lt; 1% Change</w:t>
            </w:r>
          </w:p>
        </w:tc>
      </w:tr>
      <w:tr w:rsidR="001E2F9C" w14:paraId="7F7E2CF3" w14:textId="77777777" w:rsidTr="001515D5">
        <w:tc>
          <w:tcPr>
            <w:tcW w:w="4675" w:type="dxa"/>
            <w:vAlign w:val="bottom"/>
          </w:tcPr>
          <w:p w14:paraId="14F20646" w14:textId="77777777" w:rsidR="001E2F9C" w:rsidRDefault="001E2F9C" w:rsidP="001515D5">
            <w:r>
              <w:rPr>
                <w:color w:val="000000"/>
              </w:rPr>
              <w:t>Georgetown</w:t>
            </w:r>
          </w:p>
        </w:tc>
        <w:tc>
          <w:tcPr>
            <w:tcW w:w="4675" w:type="dxa"/>
            <w:vAlign w:val="bottom"/>
          </w:tcPr>
          <w:p w14:paraId="23E76799" w14:textId="77777777" w:rsidR="001E2F9C" w:rsidRDefault="001E2F9C" w:rsidP="001515D5">
            <w:r>
              <w:rPr>
                <w:color w:val="000000"/>
              </w:rPr>
              <w:t>1% to 10%</w:t>
            </w:r>
          </w:p>
        </w:tc>
      </w:tr>
      <w:tr w:rsidR="001E2F9C" w14:paraId="194C98C8" w14:textId="77777777" w:rsidTr="001515D5">
        <w:tc>
          <w:tcPr>
            <w:tcW w:w="4675" w:type="dxa"/>
            <w:vAlign w:val="bottom"/>
          </w:tcPr>
          <w:p w14:paraId="268F5459" w14:textId="77777777" w:rsidR="001E2F9C" w:rsidRDefault="001E2F9C" w:rsidP="001515D5">
            <w:r>
              <w:rPr>
                <w:color w:val="000000"/>
              </w:rPr>
              <w:t>Greenville</w:t>
            </w:r>
          </w:p>
        </w:tc>
        <w:tc>
          <w:tcPr>
            <w:tcW w:w="4675" w:type="dxa"/>
            <w:vAlign w:val="bottom"/>
          </w:tcPr>
          <w:p w14:paraId="63A3ADBA" w14:textId="77777777" w:rsidR="001E2F9C" w:rsidRDefault="001E2F9C" w:rsidP="001515D5">
            <w:r>
              <w:rPr>
                <w:color w:val="000000"/>
              </w:rPr>
              <w:t>&lt; 1% Change</w:t>
            </w:r>
          </w:p>
        </w:tc>
      </w:tr>
      <w:tr w:rsidR="001E2F9C" w14:paraId="57EFC0E3" w14:textId="77777777" w:rsidTr="001515D5">
        <w:tc>
          <w:tcPr>
            <w:tcW w:w="4675" w:type="dxa"/>
            <w:vAlign w:val="bottom"/>
          </w:tcPr>
          <w:p w14:paraId="2A8DECD3" w14:textId="77777777" w:rsidR="001E2F9C" w:rsidRDefault="001E2F9C" w:rsidP="001515D5">
            <w:r>
              <w:rPr>
                <w:color w:val="000000"/>
              </w:rPr>
              <w:t>Greenwood</w:t>
            </w:r>
          </w:p>
        </w:tc>
        <w:tc>
          <w:tcPr>
            <w:tcW w:w="4675" w:type="dxa"/>
            <w:vAlign w:val="bottom"/>
          </w:tcPr>
          <w:p w14:paraId="21C32F06" w14:textId="77777777" w:rsidR="001E2F9C" w:rsidRDefault="001E2F9C" w:rsidP="001515D5">
            <w:r>
              <w:rPr>
                <w:color w:val="000000"/>
              </w:rPr>
              <w:t>1% to 10%</w:t>
            </w:r>
          </w:p>
        </w:tc>
      </w:tr>
      <w:tr w:rsidR="001E2F9C" w14:paraId="75B371A0" w14:textId="77777777" w:rsidTr="001515D5">
        <w:tc>
          <w:tcPr>
            <w:tcW w:w="4675" w:type="dxa"/>
            <w:vAlign w:val="bottom"/>
          </w:tcPr>
          <w:p w14:paraId="23C797CA" w14:textId="77777777" w:rsidR="001E2F9C" w:rsidRDefault="001E2F9C" w:rsidP="001515D5">
            <w:r>
              <w:rPr>
                <w:color w:val="000000"/>
              </w:rPr>
              <w:t>Hampton</w:t>
            </w:r>
          </w:p>
        </w:tc>
        <w:tc>
          <w:tcPr>
            <w:tcW w:w="4675" w:type="dxa"/>
            <w:vAlign w:val="bottom"/>
          </w:tcPr>
          <w:p w14:paraId="3B16D342" w14:textId="77777777" w:rsidR="001E2F9C" w:rsidRDefault="001E2F9C" w:rsidP="001515D5">
            <w:r>
              <w:rPr>
                <w:color w:val="000000"/>
              </w:rPr>
              <w:t>-11% to -15%</w:t>
            </w:r>
          </w:p>
        </w:tc>
      </w:tr>
      <w:tr w:rsidR="001E2F9C" w14:paraId="61B0EE3A" w14:textId="77777777" w:rsidTr="001515D5">
        <w:tc>
          <w:tcPr>
            <w:tcW w:w="4675" w:type="dxa"/>
            <w:vAlign w:val="bottom"/>
          </w:tcPr>
          <w:p w14:paraId="001B017D" w14:textId="77777777" w:rsidR="001E2F9C" w:rsidRDefault="001E2F9C" w:rsidP="001515D5">
            <w:r>
              <w:rPr>
                <w:color w:val="000000"/>
              </w:rPr>
              <w:lastRenderedPageBreak/>
              <w:t>Horry</w:t>
            </w:r>
          </w:p>
        </w:tc>
        <w:tc>
          <w:tcPr>
            <w:tcW w:w="4675" w:type="dxa"/>
            <w:vAlign w:val="bottom"/>
          </w:tcPr>
          <w:p w14:paraId="2714BD5A" w14:textId="77777777" w:rsidR="001E2F9C" w:rsidRDefault="001E2F9C" w:rsidP="001515D5">
            <w:r>
              <w:rPr>
                <w:color w:val="000000"/>
              </w:rPr>
              <w:t>&lt; 1% Change</w:t>
            </w:r>
          </w:p>
        </w:tc>
      </w:tr>
      <w:tr w:rsidR="001E2F9C" w14:paraId="4B234D72" w14:textId="77777777" w:rsidTr="001515D5">
        <w:tc>
          <w:tcPr>
            <w:tcW w:w="4675" w:type="dxa"/>
            <w:vAlign w:val="bottom"/>
          </w:tcPr>
          <w:p w14:paraId="5BB008B3" w14:textId="77777777" w:rsidR="001E2F9C" w:rsidRDefault="001E2F9C" w:rsidP="001515D5">
            <w:r>
              <w:rPr>
                <w:color w:val="000000"/>
              </w:rPr>
              <w:t>Jasper</w:t>
            </w:r>
          </w:p>
        </w:tc>
        <w:tc>
          <w:tcPr>
            <w:tcW w:w="4675" w:type="dxa"/>
            <w:vAlign w:val="bottom"/>
          </w:tcPr>
          <w:p w14:paraId="0B4AAEDF" w14:textId="77777777" w:rsidR="001E2F9C" w:rsidRDefault="001E2F9C" w:rsidP="001515D5">
            <w:r>
              <w:rPr>
                <w:color w:val="000000"/>
              </w:rPr>
              <w:t>11% to 16.5%</w:t>
            </w:r>
          </w:p>
        </w:tc>
      </w:tr>
      <w:tr w:rsidR="001E2F9C" w14:paraId="30E116FC" w14:textId="77777777" w:rsidTr="001515D5">
        <w:tc>
          <w:tcPr>
            <w:tcW w:w="4675" w:type="dxa"/>
            <w:vAlign w:val="bottom"/>
          </w:tcPr>
          <w:p w14:paraId="245EDD3E" w14:textId="77777777" w:rsidR="001E2F9C" w:rsidRDefault="001E2F9C" w:rsidP="001515D5">
            <w:r>
              <w:rPr>
                <w:color w:val="000000"/>
              </w:rPr>
              <w:t>Kershaw</w:t>
            </w:r>
          </w:p>
        </w:tc>
        <w:tc>
          <w:tcPr>
            <w:tcW w:w="4675" w:type="dxa"/>
            <w:vAlign w:val="bottom"/>
          </w:tcPr>
          <w:p w14:paraId="665A4A4B" w14:textId="77777777" w:rsidR="001E2F9C" w:rsidRDefault="001E2F9C" w:rsidP="001515D5">
            <w:r>
              <w:rPr>
                <w:color w:val="000000"/>
              </w:rPr>
              <w:t>&lt; 1% Change</w:t>
            </w:r>
          </w:p>
        </w:tc>
      </w:tr>
      <w:tr w:rsidR="001E2F9C" w14:paraId="063E49F0" w14:textId="77777777" w:rsidTr="001515D5">
        <w:tc>
          <w:tcPr>
            <w:tcW w:w="4675" w:type="dxa"/>
            <w:vAlign w:val="bottom"/>
          </w:tcPr>
          <w:p w14:paraId="463B7F10" w14:textId="77777777" w:rsidR="001E2F9C" w:rsidRDefault="001E2F9C" w:rsidP="001515D5">
            <w:r>
              <w:rPr>
                <w:color w:val="000000"/>
              </w:rPr>
              <w:t>Lancaster</w:t>
            </w:r>
          </w:p>
        </w:tc>
        <w:tc>
          <w:tcPr>
            <w:tcW w:w="4675" w:type="dxa"/>
            <w:vAlign w:val="bottom"/>
          </w:tcPr>
          <w:p w14:paraId="73866785" w14:textId="77777777" w:rsidR="001E2F9C" w:rsidRDefault="001E2F9C" w:rsidP="001515D5">
            <w:r>
              <w:rPr>
                <w:color w:val="000000"/>
              </w:rPr>
              <w:t>1% to 10%</w:t>
            </w:r>
          </w:p>
        </w:tc>
      </w:tr>
      <w:tr w:rsidR="001E2F9C" w14:paraId="703922E9" w14:textId="77777777" w:rsidTr="001515D5">
        <w:tc>
          <w:tcPr>
            <w:tcW w:w="4675" w:type="dxa"/>
            <w:vAlign w:val="bottom"/>
          </w:tcPr>
          <w:p w14:paraId="1EA72FF7" w14:textId="77777777" w:rsidR="001E2F9C" w:rsidRDefault="001E2F9C" w:rsidP="001515D5">
            <w:r>
              <w:rPr>
                <w:color w:val="000000"/>
              </w:rPr>
              <w:t>Laurens</w:t>
            </w:r>
          </w:p>
        </w:tc>
        <w:tc>
          <w:tcPr>
            <w:tcW w:w="4675" w:type="dxa"/>
            <w:vAlign w:val="bottom"/>
          </w:tcPr>
          <w:p w14:paraId="0EE7DDEA" w14:textId="77777777" w:rsidR="001E2F9C" w:rsidRDefault="001E2F9C" w:rsidP="001515D5">
            <w:r>
              <w:rPr>
                <w:color w:val="000000"/>
              </w:rPr>
              <w:t>1% to 10%</w:t>
            </w:r>
          </w:p>
        </w:tc>
      </w:tr>
      <w:tr w:rsidR="001E2F9C" w14:paraId="3648F904" w14:textId="77777777" w:rsidTr="001515D5">
        <w:tc>
          <w:tcPr>
            <w:tcW w:w="4675" w:type="dxa"/>
            <w:vAlign w:val="bottom"/>
          </w:tcPr>
          <w:p w14:paraId="5AFD3ABB" w14:textId="77777777" w:rsidR="001E2F9C" w:rsidRDefault="001E2F9C" w:rsidP="001515D5">
            <w:r>
              <w:rPr>
                <w:color w:val="000000"/>
              </w:rPr>
              <w:t>Lee</w:t>
            </w:r>
          </w:p>
        </w:tc>
        <w:tc>
          <w:tcPr>
            <w:tcW w:w="4675" w:type="dxa"/>
            <w:vAlign w:val="bottom"/>
          </w:tcPr>
          <w:p w14:paraId="3FC2FBF7" w14:textId="77777777" w:rsidR="001E2F9C" w:rsidRDefault="001E2F9C" w:rsidP="001515D5">
            <w:r>
              <w:rPr>
                <w:color w:val="000000"/>
              </w:rPr>
              <w:t>1% to 10%</w:t>
            </w:r>
          </w:p>
        </w:tc>
      </w:tr>
      <w:tr w:rsidR="001E2F9C" w14:paraId="4EF4C587" w14:textId="77777777" w:rsidTr="001515D5">
        <w:tc>
          <w:tcPr>
            <w:tcW w:w="4675" w:type="dxa"/>
            <w:vAlign w:val="bottom"/>
          </w:tcPr>
          <w:p w14:paraId="2885D077" w14:textId="77777777" w:rsidR="001E2F9C" w:rsidRDefault="001E2F9C" w:rsidP="001515D5">
            <w:r>
              <w:rPr>
                <w:color w:val="000000"/>
              </w:rPr>
              <w:t>Lexington</w:t>
            </w:r>
          </w:p>
        </w:tc>
        <w:tc>
          <w:tcPr>
            <w:tcW w:w="4675" w:type="dxa"/>
            <w:vAlign w:val="bottom"/>
          </w:tcPr>
          <w:p w14:paraId="309B400B" w14:textId="77777777" w:rsidR="001E2F9C" w:rsidRDefault="001E2F9C" w:rsidP="001515D5">
            <w:r>
              <w:rPr>
                <w:color w:val="000000"/>
              </w:rPr>
              <w:t>1% to 10%</w:t>
            </w:r>
          </w:p>
        </w:tc>
      </w:tr>
      <w:tr w:rsidR="001E2F9C" w14:paraId="36DDFA31" w14:textId="77777777" w:rsidTr="001515D5">
        <w:tc>
          <w:tcPr>
            <w:tcW w:w="4675" w:type="dxa"/>
            <w:vAlign w:val="bottom"/>
          </w:tcPr>
          <w:p w14:paraId="1F4ABC96" w14:textId="77777777" w:rsidR="001E2F9C" w:rsidRDefault="001E2F9C" w:rsidP="001515D5">
            <w:r>
              <w:rPr>
                <w:color w:val="000000"/>
              </w:rPr>
              <w:t>McCormick</w:t>
            </w:r>
          </w:p>
        </w:tc>
        <w:tc>
          <w:tcPr>
            <w:tcW w:w="4675" w:type="dxa"/>
            <w:vAlign w:val="bottom"/>
          </w:tcPr>
          <w:p w14:paraId="11319997" w14:textId="77777777" w:rsidR="001E2F9C" w:rsidRDefault="001E2F9C" w:rsidP="001515D5">
            <w:r>
              <w:rPr>
                <w:color w:val="000000"/>
              </w:rPr>
              <w:t>-1% to -10%</w:t>
            </w:r>
          </w:p>
        </w:tc>
      </w:tr>
      <w:tr w:rsidR="001E2F9C" w14:paraId="79EEAFE1" w14:textId="77777777" w:rsidTr="001515D5">
        <w:tc>
          <w:tcPr>
            <w:tcW w:w="4675" w:type="dxa"/>
            <w:vAlign w:val="bottom"/>
          </w:tcPr>
          <w:p w14:paraId="7CD3F673" w14:textId="77777777" w:rsidR="001E2F9C" w:rsidRDefault="001E2F9C" w:rsidP="001515D5">
            <w:r>
              <w:rPr>
                <w:color w:val="000000"/>
              </w:rPr>
              <w:t>Marion</w:t>
            </w:r>
          </w:p>
        </w:tc>
        <w:tc>
          <w:tcPr>
            <w:tcW w:w="4675" w:type="dxa"/>
            <w:vAlign w:val="bottom"/>
          </w:tcPr>
          <w:p w14:paraId="6AA29302" w14:textId="77777777" w:rsidR="001E2F9C" w:rsidRDefault="001E2F9C" w:rsidP="001515D5">
            <w:r>
              <w:rPr>
                <w:color w:val="000000"/>
              </w:rPr>
              <w:t>1% to 10%</w:t>
            </w:r>
          </w:p>
        </w:tc>
      </w:tr>
      <w:tr w:rsidR="001E2F9C" w14:paraId="7779C44C" w14:textId="77777777" w:rsidTr="001515D5">
        <w:tc>
          <w:tcPr>
            <w:tcW w:w="4675" w:type="dxa"/>
            <w:vAlign w:val="bottom"/>
          </w:tcPr>
          <w:p w14:paraId="54DE4A1E" w14:textId="77777777" w:rsidR="001E2F9C" w:rsidRDefault="001E2F9C" w:rsidP="001515D5">
            <w:r>
              <w:rPr>
                <w:color w:val="000000"/>
              </w:rPr>
              <w:t>Marlboro</w:t>
            </w:r>
          </w:p>
        </w:tc>
        <w:tc>
          <w:tcPr>
            <w:tcW w:w="4675" w:type="dxa"/>
            <w:vAlign w:val="bottom"/>
          </w:tcPr>
          <w:p w14:paraId="6ECE32A5" w14:textId="77777777" w:rsidR="001E2F9C" w:rsidRDefault="001E2F9C" w:rsidP="001515D5">
            <w:r>
              <w:rPr>
                <w:color w:val="000000"/>
              </w:rPr>
              <w:t>&lt; 1% Change</w:t>
            </w:r>
          </w:p>
        </w:tc>
      </w:tr>
      <w:tr w:rsidR="001E2F9C" w14:paraId="329C5205" w14:textId="77777777" w:rsidTr="001515D5">
        <w:tc>
          <w:tcPr>
            <w:tcW w:w="4675" w:type="dxa"/>
            <w:vAlign w:val="bottom"/>
          </w:tcPr>
          <w:p w14:paraId="156C8814" w14:textId="77777777" w:rsidR="001E2F9C" w:rsidRDefault="001E2F9C" w:rsidP="001515D5">
            <w:r>
              <w:rPr>
                <w:color w:val="000000"/>
              </w:rPr>
              <w:t>Newberry</w:t>
            </w:r>
          </w:p>
        </w:tc>
        <w:tc>
          <w:tcPr>
            <w:tcW w:w="4675" w:type="dxa"/>
            <w:vAlign w:val="bottom"/>
          </w:tcPr>
          <w:p w14:paraId="7FAD3377" w14:textId="77777777" w:rsidR="001E2F9C" w:rsidRDefault="001E2F9C" w:rsidP="001515D5">
            <w:r>
              <w:rPr>
                <w:color w:val="000000"/>
              </w:rPr>
              <w:t>1% to 10%</w:t>
            </w:r>
          </w:p>
        </w:tc>
      </w:tr>
      <w:tr w:rsidR="001E2F9C" w14:paraId="147F3596" w14:textId="77777777" w:rsidTr="001515D5">
        <w:tc>
          <w:tcPr>
            <w:tcW w:w="4675" w:type="dxa"/>
            <w:vAlign w:val="bottom"/>
          </w:tcPr>
          <w:p w14:paraId="320351F9" w14:textId="77777777" w:rsidR="001E2F9C" w:rsidRDefault="001E2F9C" w:rsidP="001515D5">
            <w:r>
              <w:rPr>
                <w:color w:val="000000"/>
              </w:rPr>
              <w:t>Oconee</w:t>
            </w:r>
          </w:p>
        </w:tc>
        <w:tc>
          <w:tcPr>
            <w:tcW w:w="4675" w:type="dxa"/>
            <w:vAlign w:val="bottom"/>
          </w:tcPr>
          <w:p w14:paraId="446C9439" w14:textId="77777777" w:rsidR="001E2F9C" w:rsidRDefault="001E2F9C" w:rsidP="001515D5">
            <w:r>
              <w:rPr>
                <w:color w:val="000000"/>
              </w:rPr>
              <w:t>1% to 10%</w:t>
            </w:r>
          </w:p>
        </w:tc>
      </w:tr>
      <w:tr w:rsidR="001E2F9C" w14:paraId="4D98E9B1" w14:textId="77777777" w:rsidTr="001515D5">
        <w:tc>
          <w:tcPr>
            <w:tcW w:w="4675" w:type="dxa"/>
            <w:vAlign w:val="bottom"/>
          </w:tcPr>
          <w:p w14:paraId="6F377E07" w14:textId="77777777" w:rsidR="001E2F9C" w:rsidRDefault="001E2F9C" w:rsidP="001515D5">
            <w:r>
              <w:rPr>
                <w:color w:val="000000"/>
              </w:rPr>
              <w:t>Orangeburg</w:t>
            </w:r>
          </w:p>
        </w:tc>
        <w:tc>
          <w:tcPr>
            <w:tcW w:w="4675" w:type="dxa"/>
            <w:vAlign w:val="bottom"/>
          </w:tcPr>
          <w:p w14:paraId="3EEAB7C6" w14:textId="77777777" w:rsidR="001E2F9C" w:rsidRDefault="001E2F9C" w:rsidP="001515D5">
            <w:r>
              <w:rPr>
                <w:color w:val="000000"/>
              </w:rPr>
              <w:t>1% to 10%</w:t>
            </w:r>
          </w:p>
        </w:tc>
      </w:tr>
      <w:tr w:rsidR="001E2F9C" w14:paraId="4952A912" w14:textId="77777777" w:rsidTr="001515D5">
        <w:tc>
          <w:tcPr>
            <w:tcW w:w="4675" w:type="dxa"/>
            <w:vAlign w:val="bottom"/>
          </w:tcPr>
          <w:p w14:paraId="7E49FF11" w14:textId="77777777" w:rsidR="001E2F9C" w:rsidRDefault="001E2F9C" w:rsidP="001515D5">
            <w:r>
              <w:rPr>
                <w:color w:val="000000"/>
              </w:rPr>
              <w:t>Pickens</w:t>
            </w:r>
          </w:p>
        </w:tc>
        <w:tc>
          <w:tcPr>
            <w:tcW w:w="4675" w:type="dxa"/>
            <w:vAlign w:val="bottom"/>
          </w:tcPr>
          <w:p w14:paraId="77CB3239" w14:textId="77777777" w:rsidR="001E2F9C" w:rsidRDefault="001E2F9C" w:rsidP="001515D5">
            <w:r>
              <w:rPr>
                <w:color w:val="000000"/>
              </w:rPr>
              <w:t>1% to 10%</w:t>
            </w:r>
          </w:p>
        </w:tc>
      </w:tr>
      <w:tr w:rsidR="001E2F9C" w14:paraId="4F58B602" w14:textId="77777777" w:rsidTr="001515D5">
        <w:tc>
          <w:tcPr>
            <w:tcW w:w="4675" w:type="dxa"/>
            <w:vAlign w:val="bottom"/>
          </w:tcPr>
          <w:p w14:paraId="032CF4D4" w14:textId="77777777" w:rsidR="001E2F9C" w:rsidRDefault="001E2F9C" w:rsidP="001515D5">
            <w:r>
              <w:rPr>
                <w:color w:val="000000"/>
              </w:rPr>
              <w:t>Richland</w:t>
            </w:r>
          </w:p>
        </w:tc>
        <w:tc>
          <w:tcPr>
            <w:tcW w:w="4675" w:type="dxa"/>
            <w:vAlign w:val="bottom"/>
          </w:tcPr>
          <w:p w14:paraId="6EB921F5" w14:textId="77777777" w:rsidR="001E2F9C" w:rsidRDefault="001E2F9C" w:rsidP="001515D5">
            <w:r>
              <w:rPr>
                <w:color w:val="000000"/>
              </w:rPr>
              <w:t>1% to 10%</w:t>
            </w:r>
          </w:p>
        </w:tc>
      </w:tr>
      <w:tr w:rsidR="001E2F9C" w14:paraId="40F9A9F0" w14:textId="77777777" w:rsidTr="001515D5">
        <w:tc>
          <w:tcPr>
            <w:tcW w:w="4675" w:type="dxa"/>
            <w:vAlign w:val="bottom"/>
          </w:tcPr>
          <w:p w14:paraId="194B3AD4" w14:textId="77777777" w:rsidR="001E2F9C" w:rsidRDefault="001E2F9C" w:rsidP="001515D5">
            <w:r>
              <w:rPr>
                <w:color w:val="000000"/>
              </w:rPr>
              <w:t>Saluda</w:t>
            </w:r>
          </w:p>
        </w:tc>
        <w:tc>
          <w:tcPr>
            <w:tcW w:w="4675" w:type="dxa"/>
            <w:vAlign w:val="bottom"/>
          </w:tcPr>
          <w:p w14:paraId="761C9128" w14:textId="77777777" w:rsidR="001E2F9C" w:rsidRDefault="001E2F9C" w:rsidP="001515D5">
            <w:r>
              <w:rPr>
                <w:color w:val="000000"/>
              </w:rPr>
              <w:t>-1% to -10%</w:t>
            </w:r>
          </w:p>
        </w:tc>
      </w:tr>
      <w:tr w:rsidR="001E2F9C" w14:paraId="244B5B4C" w14:textId="77777777" w:rsidTr="001515D5">
        <w:tc>
          <w:tcPr>
            <w:tcW w:w="4675" w:type="dxa"/>
            <w:vAlign w:val="bottom"/>
          </w:tcPr>
          <w:p w14:paraId="44F92026" w14:textId="77777777" w:rsidR="001E2F9C" w:rsidRDefault="001E2F9C" w:rsidP="001515D5">
            <w:r>
              <w:rPr>
                <w:color w:val="000000"/>
              </w:rPr>
              <w:t>Spartanburg</w:t>
            </w:r>
          </w:p>
        </w:tc>
        <w:tc>
          <w:tcPr>
            <w:tcW w:w="4675" w:type="dxa"/>
            <w:vAlign w:val="bottom"/>
          </w:tcPr>
          <w:p w14:paraId="245321FB" w14:textId="77777777" w:rsidR="001E2F9C" w:rsidRDefault="001E2F9C" w:rsidP="001515D5">
            <w:r>
              <w:rPr>
                <w:color w:val="000000"/>
              </w:rPr>
              <w:t>1% to 10%</w:t>
            </w:r>
          </w:p>
        </w:tc>
      </w:tr>
      <w:tr w:rsidR="001E2F9C" w14:paraId="26DDCCE2" w14:textId="77777777" w:rsidTr="001515D5">
        <w:tc>
          <w:tcPr>
            <w:tcW w:w="4675" w:type="dxa"/>
            <w:vAlign w:val="bottom"/>
          </w:tcPr>
          <w:p w14:paraId="79FA4687" w14:textId="77777777" w:rsidR="001E2F9C" w:rsidRDefault="001E2F9C" w:rsidP="001515D5">
            <w:r>
              <w:rPr>
                <w:color w:val="000000"/>
              </w:rPr>
              <w:t>Sumter</w:t>
            </w:r>
          </w:p>
        </w:tc>
        <w:tc>
          <w:tcPr>
            <w:tcW w:w="4675" w:type="dxa"/>
            <w:vAlign w:val="bottom"/>
          </w:tcPr>
          <w:p w14:paraId="117093AB" w14:textId="77777777" w:rsidR="001E2F9C" w:rsidRDefault="001E2F9C" w:rsidP="001515D5">
            <w:r>
              <w:rPr>
                <w:color w:val="000000"/>
              </w:rPr>
              <w:t>1% to 10%</w:t>
            </w:r>
          </w:p>
        </w:tc>
      </w:tr>
      <w:tr w:rsidR="001E2F9C" w14:paraId="6F20DA10" w14:textId="77777777" w:rsidTr="001515D5">
        <w:tc>
          <w:tcPr>
            <w:tcW w:w="4675" w:type="dxa"/>
            <w:vAlign w:val="bottom"/>
          </w:tcPr>
          <w:p w14:paraId="2609B1B3" w14:textId="77777777" w:rsidR="001E2F9C" w:rsidRDefault="001E2F9C" w:rsidP="001515D5">
            <w:r>
              <w:rPr>
                <w:color w:val="000000"/>
              </w:rPr>
              <w:t>Union</w:t>
            </w:r>
          </w:p>
        </w:tc>
        <w:tc>
          <w:tcPr>
            <w:tcW w:w="4675" w:type="dxa"/>
            <w:vAlign w:val="bottom"/>
          </w:tcPr>
          <w:p w14:paraId="5CF2F153" w14:textId="77777777" w:rsidR="001E2F9C" w:rsidRDefault="001E2F9C" w:rsidP="001515D5">
            <w:r>
              <w:rPr>
                <w:color w:val="000000"/>
              </w:rPr>
              <w:t>1% to 10%</w:t>
            </w:r>
          </w:p>
        </w:tc>
      </w:tr>
      <w:tr w:rsidR="001E2F9C" w14:paraId="4C5D96BF" w14:textId="77777777" w:rsidTr="001515D5">
        <w:tc>
          <w:tcPr>
            <w:tcW w:w="4675" w:type="dxa"/>
            <w:vAlign w:val="bottom"/>
          </w:tcPr>
          <w:p w14:paraId="5A5A7AA4" w14:textId="77777777" w:rsidR="001E2F9C" w:rsidRDefault="001E2F9C" w:rsidP="001515D5">
            <w:r>
              <w:rPr>
                <w:color w:val="000000"/>
              </w:rPr>
              <w:t>Williamsburg</w:t>
            </w:r>
          </w:p>
        </w:tc>
        <w:tc>
          <w:tcPr>
            <w:tcW w:w="4675" w:type="dxa"/>
            <w:vAlign w:val="bottom"/>
          </w:tcPr>
          <w:p w14:paraId="5C1FD5E5" w14:textId="77777777" w:rsidR="001E2F9C" w:rsidRDefault="001E2F9C" w:rsidP="001515D5">
            <w:r>
              <w:rPr>
                <w:color w:val="000000"/>
              </w:rPr>
              <w:t>-1% to -10%</w:t>
            </w:r>
          </w:p>
        </w:tc>
      </w:tr>
      <w:tr w:rsidR="001E2F9C" w14:paraId="0BA004C1" w14:textId="77777777" w:rsidTr="001515D5">
        <w:tc>
          <w:tcPr>
            <w:tcW w:w="4675" w:type="dxa"/>
            <w:vAlign w:val="bottom"/>
          </w:tcPr>
          <w:p w14:paraId="3D6CEE16" w14:textId="77777777" w:rsidR="001E2F9C" w:rsidRDefault="001E2F9C" w:rsidP="001515D5">
            <w:r>
              <w:rPr>
                <w:color w:val="000000"/>
              </w:rPr>
              <w:t>York</w:t>
            </w:r>
          </w:p>
        </w:tc>
        <w:tc>
          <w:tcPr>
            <w:tcW w:w="4675" w:type="dxa"/>
            <w:vAlign w:val="bottom"/>
          </w:tcPr>
          <w:p w14:paraId="16F68D86" w14:textId="77777777" w:rsidR="001E2F9C" w:rsidRDefault="001E2F9C" w:rsidP="001515D5">
            <w:r>
              <w:rPr>
                <w:color w:val="000000"/>
              </w:rPr>
              <w:t>-1% to -10%</w:t>
            </w:r>
          </w:p>
        </w:tc>
      </w:tr>
    </w:tbl>
    <w:p w14:paraId="14E32700" w14:textId="77777777" w:rsidR="001E2F9C" w:rsidRPr="00703397" w:rsidRDefault="001E2F9C" w:rsidP="001E2F9C">
      <w:r w:rsidRPr="00703397">
        <w:t xml:space="preserve">Source: US Census ACS, 2011- 2015 &amp; 2016-2020. </w:t>
      </w:r>
    </w:p>
    <w:p w14:paraId="695BD808" w14:textId="77777777" w:rsidR="001E2F9C" w:rsidRDefault="001E2F9C" w:rsidP="001E2F9C">
      <w:r w:rsidRPr="00703397">
        <w:t>Note: 5 year estimates.</w:t>
      </w:r>
    </w:p>
    <w:p w14:paraId="4BC0B43C" w14:textId="77777777" w:rsidR="001E2F9C" w:rsidRDefault="001E2F9C" w:rsidP="001E2F9C"/>
    <w:p w14:paraId="037B8B1E" w14:textId="77777777" w:rsidR="001E2F9C" w:rsidRDefault="001E2F9C" w:rsidP="001E2F9C">
      <w:pPr>
        <w:pStyle w:val="Heading4"/>
      </w:pPr>
      <w:bookmarkStart w:id="165" w:name="_Toc154569792"/>
      <w:bookmarkStart w:id="166" w:name="_Toc162267099"/>
      <w:r>
        <w:t>Figure 5.20: Median Household Income, by Race and Ethnicity.</w:t>
      </w:r>
      <w:bookmarkEnd w:id="165"/>
      <w:bookmarkEnd w:id="166"/>
    </w:p>
    <w:tbl>
      <w:tblPr>
        <w:tblStyle w:val="TableGrid"/>
        <w:tblW w:w="0" w:type="auto"/>
        <w:tblLook w:val="04A0" w:firstRow="1" w:lastRow="0" w:firstColumn="1" w:lastColumn="0" w:noHBand="0" w:noVBand="1"/>
      </w:tblPr>
      <w:tblGrid>
        <w:gridCol w:w="4675"/>
        <w:gridCol w:w="4675"/>
      </w:tblGrid>
      <w:tr w:rsidR="001E2F9C" w14:paraId="5D0FAC90" w14:textId="77777777" w:rsidTr="001515D5">
        <w:tc>
          <w:tcPr>
            <w:tcW w:w="4675" w:type="dxa"/>
            <w:vAlign w:val="bottom"/>
          </w:tcPr>
          <w:p w14:paraId="3594BA11" w14:textId="77777777" w:rsidR="001E2F9C" w:rsidRDefault="001E2F9C" w:rsidP="001515D5">
            <w:r>
              <w:t>Race</w:t>
            </w:r>
          </w:p>
        </w:tc>
        <w:tc>
          <w:tcPr>
            <w:tcW w:w="4675" w:type="dxa"/>
            <w:vAlign w:val="bottom"/>
          </w:tcPr>
          <w:p w14:paraId="25B2F28C" w14:textId="77777777" w:rsidR="001E2F9C" w:rsidRDefault="001E2F9C" w:rsidP="001515D5">
            <w:r>
              <w:t>Median Income</w:t>
            </w:r>
          </w:p>
        </w:tc>
      </w:tr>
      <w:tr w:rsidR="001E2F9C" w14:paraId="67DCFC06" w14:textId="77777777" w:rsidTr="001515D5">
        <w:tc>
          <w:tcPr>
            <w:tcW w:w="4675" w:type="dxa"/>
            <w:vAlign w:val="bottom"/>
          </w:tcPr>
          <w:p w14:paraId="3D5C09FF" w14:textId="77777777" w:rsidR="001E2F9C" w:rsidRDefault="001E2F9C" w:rsidP="001515D5">
            <w:r>
              <w:t>South Carolina</w:t>
            </w:r>
          </w:p>
        </w:tc>
        <w:tc>
          <w:tcPr>
            <w:tcW w:w="4675" w:type="dxa"/>
            <w:vAlign w:val="bottom"/>
          </w:tcPr>
          <w:p w14:paraId="0EF854E1" w14:textId="77777777" w:rsidR="001E2F9C" w:rsidRDefault="001E2F9C" w:rsidP="001515D5">
            <w:r>
              <w:t xml:space="preserve">$54,864 </w:t>
            </w:r>
          </w:p>
        </w:tc>
      </w:tr>
      <w:tr w:rsidR="001E2F9C" w14:paraId="6AAF7258" w14:textId="77777777" w:rsidTr="001515D5">
        <w:tc>
          <w:tcPr>
            <w:tcW w:w="4675" w:type="dxa"/>
            <w:vAlign w:val="bottom"/>
          </w:tcPr>
          <w:p w14:paraId="23BD6C8A" w14:textId="77777777" w:rsidR="001E2F9C" w:rsidRDefault="001E2F9C" w:rsidP="001515D5">
            <w:r>
              <w:t>Non-Hispanic White</w:t>
            </w:r>
          </w:p>
        </w:tc>
        <w:tc>
          <w:tcPr>
            <w:tcW w:w="4675" w:type="dxa"/>
            <w:vAlign w:val="bottom"/>
          </w:tcPr>
          <w:p w14:paraId="34F9B55D" w14:textId="77777777" w:rsidR="001E2F9C" w:rsidRDefault="001E2F9C" w:rsidP="001515D5">
            <w:r>
              <w:t xml:space="preserve">$63,490 </w:t>
            </w:r>
          </w:p>
        </w:tc>
      </w:tr>
      <w:tr w:rsidR="001E2F9C" w14:paraId="25326F08" w14:textId="77777777" w:rsidTr="001515D5">
        <w:tc>
          <w:tcPr>
            <w:tcW w:w="4675" w:type="dxa"/>
            <w:vAlign w:val="bottom"/>
          </w:tcPr>
          <w:p w14:paraId="67C297B2" w14:textId="77777777" w:rsidR="001E2F9C" w:rsidRDefault="001E2F9C" w:rsidP="001515D5">
            <w:r>
              <w:t>Non-Hispanic Black</w:t>
            </w:r>
          </w:p>
        </w:tc>
        <w:tc>
          <w:tcPr>
            <w:tcW w:w="4675" w:type="dxa"/>
            <w:vAlign w:val="bottom"/>
          </w:tcPr>
          <w:p w14:paraId="2F427FED" w14:textId="77777777" w:rsidR="001E2F9C" w:rsidRDefault="001E2F9C" w:rsidP="001515D5">
            <w:r>
              <w:t xml:space="preserve">$36,271 </w:t>
            </w:r>
          </w:p>
        </w:tc>
      </w:tr>
      <w:tr w:rsidR="001E2F9C" w14:paraId="76765FD3" w14:textId="77777777" w:rsidTr="001515D5">
        <w:tc>
          <w:tcPr>
            <w:tcW w:w="4675" w:type="dxa"/>
            <w:vAlign w:val="bottom"/>
          </w:tcPr>
          <w:p w14:paraId="1ADA47C5" w14:textId="77777777" w:rsidR="001E2F9C" w:rsidRDefault="001E2F9C" w:rsidP="001515D5">
            <w:r>
              <w:t>*Non-Hispanic Asian</w:t>
            </w:r>
          </w:p>
        </w:tc>
        <w:tc>
          <w:tcPr>
            <w:tcW w:w="4675" w:type="dxa"/>
            <w:vAlign w:val="bottom"/>
          </w:tcPr>
          <w:p w14:paraId="43001D71" w14:textId="77777777" w:rsidR="001E2F9C" w:rsidRDefault="001E2F9C" w:rsidP="001515D5">
            <w:r>
              <w:t xml:space="preserve">$74,108 </w:t>
            </w:r>
          </w:p>
        </w:tc>
      </w:tr>
      <w:tr w:rsidR="001E2F9C" w14:paraId="2AD53AC5" w14:textId="77777777" w:rsidTr="001515D5">
        <w:tc>
          <w:tcPr>
            <w:tcW w:w="4675" w:type="dxa"/>
            <w:vAlign w:val="bottom"/>
          </w:tcPr>
          <w:p w14:paraId="36471172" w14:textId="77777777" w:rsidR="001E2F9C" w:rsidRDefault="001E2F9C" w:rsidP="001515D5">
            <w:r>
              <w:t>*Non-Hispanic Other</w:t>
            </w:r>
          </w:p>
        </w:tc>
        <w:tc>
          <w:tcPr>
            <w:tcW w:w="4675" w:type="dxa"/>
            <w:vAlign w:val="bottom"/>
          </w:tcPr>
          <w:p w14:paraId="5F751C8D" w14:textId="77777777" w:rsidR="001E2F9C" w:rsidRDefault="001E2F9C" w:rsidP="001515D5">
            <w:r>
              <w:t xml:space="preserve">$41,369 </w:t>
            </w:r>
          </w:p>
        </w:tc>
      </w:tr>
      <w:tr w:rsidR="001E2F9C" w14:paraId="0871E43E" w14:textId="77777777" w:rsidTr="001515D5">
        <w:tc>
          <w:tcPr>
            <w:tcW w:w="4675" w:type="dxa"/>
            <w:vAlign w:val="bottom"/>
          </w:tcPr>
          <w:p w14:paraId="513C6079" w14:textId="77777777" w:rsidR="001E2F9C" w:rsidRDefault="001E2F9C" w:rsidP="001515D5">
            <w:r>
              <w:t>Hispanic</w:t>
            </w:r>
          </w:p>
        </w:tc>
        <w:tc>
          <w:tcPr>
            <w:tcW w:w="4675" w:type="dxa"/>
            <w:vAlign w:val="bottom"/>
          </w:tcPr>
          <w:p w14:paraId="144DD1AF" w14:textId="77777777" w:rsidR="001E2F9C" w:rsidRDefault="001E2F9C" w:rsidP="001515D5">
            <w:r>
              <w:t xml:space="preserve">$45,778 </w:t>
            </w:r>
          </w:p>
        </w:tc>
      </w:tr>
    </w:tbl>
    <w:p w14:paraId="144DE4CF" w14:textId="77777777" w:rsidR="001E2F9C" w:rsidRPr="00703397" w:rsidRDefault="001E2F9C" w:rsidP="001E2F9C">
      <w:r w:rsidRPr="00703397">
        <w:t xml:space="preserve">Source: US Census ACS, 2016-2020. </w:t>
      </w:r>
    </w:p>
    <w:p w14:paraId="0B4F9B37" w14:textId="77777777" w:rsidR="001E2F9C" w:rsidRDefault="001E2F9C" w:rsidP="001E2F9C">
      <w:r w:rsidRPr="00703397">
        <w:t>Note: 5 year estimates. Median income is for past month. *Estimated with high margin of error.</w:t>
      </w:r>
    </w:p>
    <w:p w14:paraId="7ED4F13A" w14:textId="77777777" w:rsidR="00722CE9" w:rsidRDefault="00722CE9" w:rsidP="00722CE9"/>
    <w:p w14:paraId="535BFF0A" w14:textId="6974C9D9" w:rsidR="00722CE9" w:rsidRPr="00722CE9" w:rsidRDefault="00722CE9" w:rsidP="00722CE9">
      <w:r w:rsidRPr="00722CE9">
        <w:lastRenderedPageBreak/>
        <w:t>Estimates of concentrated disadvantage, a composite of five census variables, were higher in SC than for the nation for the percentage residing in poverty, receiving public assistance, and for female-headed households, but lower or no different for the percentages of the population under 18 years and of the unemployed population (data not shown). Although most counties saw decreases in the percentages of people living in poverty and of people receiving public cash assistance, concentrated disadvantage remains higher among minority groups. Compared to their non-Hispanic White counterparts, more minority families and female-headed households lived below the poverty line (</w:t>
      </w:r>
      <w:r w:rsidRPr="00722CE9">
        <w:rPr>
          <w:b/>
          <w:bCs/>
        </w:rPr>
        <w:t>Figure 5.21</w:t>
      </w:r>
      <w:r w:rsidRPr="00722CE9">
        <w:t>), more non-Hispanic Black people received public assistance, and there were higher percentages of minority children under 18 years (data not shown).</w:t>
      </w:r>
    </w:p>
    <w:p w14:paraId="6EFB599E" w14:textId="77777777" w:rsidR="00722CE9" w:rsidRDefault="00722CE9" w:rsidP="00722CE9">
      <w:pPr>
        <w:rPr>
          <w:b/>
          <w:bCs/>
        </w:rPr>
      </w:pPr>
    </w:p>
    <w:p w14:paraId="389B3DBE" w14:textId="77777777" w:rsidR="001E2F9C" w:rsidRDefault="001E2F9C" w:rsidP="001E2F9C">
      <w:pPr>
        <w:pStyle w:val="Heading4"/>
      </w:pPr>
      <w:bookmarkStart w:id="167" w:name="_Toc154569793"/>
      <w:bookmarkStart w:id="168" w:name="_Toc162267100"/>
      <w:r>
        <w:t xml:space="preserve">Figure 5.21: </w:t>
      </w:r>
      <w:r w:rsidRPr="00703397">
        <w:t>Family Households Below Poverty Line, by Race and Ethnicity</w:t>
      </w:r>
      <w:r>
        <w:t>.</w:t>
      </w:r>
      <w:bookmarkEnd w:id="167"/>
      <w:bookmarkEnd w:id="168"/>
    </w:p>
    <w:tbl>
      <w:tblPr>
        <w:tblStyle w:val="TableGrid"/>
        <w:tblW w:w="0" w:type="auto"/>
        <w:tblLook w:val="04A0" w:firstRow="1" w:lastRow="0" w:firstColumn="1" w:lastColumn="0" w:noHBand="0" w:noVBand="1"/>
      </w:tblPr>
      <w:tblGrid>
        <w:gridCol w:w="4675"/>
        <w:gridCol w:w="4675"/>
      </w:tblGrid>
      <w:tr w:rsidR="001E2F9C" w14:paraId="2659EE41" w14:textId="77777777" w:rsidTr="001515D5">
        <w:tc>
          <w:tcPr>
            <w:tcW w:w="4675" w:type="dxa"/>
            <w:vAlign w:val="bottom"/>
          </w:tcPr>
          <w:p w14:paraId="369C7A97" w14:textId="77777777" w:rsidR="001E2F9C" w:rsidRDefault="001E2F9C" w:rsidP="001515D5">
            <w:r>
              <w:t>Race</w:t>
            </w:r>
          </w:p>
        </w:tc>
        <w:tc>
          <w:tcPr>
            <w:tcW w:w="4675" w:type="dxa"/>
            <w:vAlign w:val="bottom"/>
          </w:tcPr>
          <w:p w14:paraId="2C17C128" w14:textId="0F672D52" w:rsidR="001E2F9C" w:rsidRDefault="002748B7" w:rsidP="001515D5">
            <w:r>
              <w:t>Percent</w:t>
            </w:r>
          </w:p>
        </w:tc>
      </w:tr>
      <w:tr w:rsidR="001E2F9C" w14:paraId="559C7B31" w14:textId="77777777" w:rsidTr="001515D5">
        <w:tc>
          <w:tcPr>
            <w:tcW w:w="4675" w:type="dxa"/>
            <w:vAlign w:val="bottom"/>
          </w:tcPr>
          <w:p w14:paraId="6315FB78" w14:textId="77777777" w:rsidR="001E2F9C" w:rsidRDefault="001E2F9C" w:rsidP="001515D5">
            <w:r>
              <w:rPr>
                <w:color w:val="000000"/>
              </w:rPr>
              <w:t>Non-Hispanic White</w:t>
            </w:r>
          </w:p>
        </w:tc>
        <w:tc>
          <w:tcPr>
            <w:tcW w:w="4675" w:type="dxa"/>
            <w:vAlign w:val="bottom"/>
          </w:tcPr>
          <w:p w14:paraId="5D5D0BD9" w14:textId="77777777" w:rsidR="001E2F9C" w:rsidRDefault="001E2F9C" w:rsidP="001515D5">
            <w:r>
              <w:rPr>
                <w:color w:val="000000"/>
              </w:rPr>
              <w:t>7.0%</w:t>
            </w:r>
          </w:p>
        </w:tc>
      </w:tr>
      <w:tr w:rsidR="001E2F9C" w14:paraId="03A0DFEE" w14:textId="77777777" w:rsidTr="001515D5">
        <w:tc>
          <w:tcPr>
            <w:tcW w:w="4675" w:type="dxa"/>
            <w:vAlign w:val="bottom"/>
          </w:tcPr>
          <w:p w14:paraId="6F2EEE33" w14:textId="77777777" w:rsidR="001E2F9C" w:rsidRDefault="001E2F9C" w:rsidP="001515D5">
            <w:r>
              <w:rPr>
                <w:color w:val="000000"/>
              </w:rPr>
              <w:t>Non-Hispanic Black</w:t>
            </w:r>
          </w:p>
        </w:tc>
        <w:tc>
          <w:tcPr>
            <w:tcW w:w="4675" w:type="dxa"/>
            <w:vAlign w:val="bottom"/>
          </w:tcPr>
          <w:p w14:paraId="76750DD7" w14:textId="77777777" w:rsidR="001E2F9C" w:rsidRDefault="001E2F9C" w:rsidP="001515D5">
            <w:r>
              <w:rPr>
                <w:color w:val="000000"/>
              </w:rPr>
              <w:t>19.8%</w:t>
            </w:r>
          </w:p>
        </w:tc>
      </w:tr>
      <w:tr w:rsidR="001E2F9C" w14:paraId="2E1264FE" w14:textId="77777777" w:rsidTr="001515D5">
        <w:tc>
          <w:tcPr>
            <w:tcW w:w="4675" w:type="dxa"/>
            <w:vAlign w:val="bottom"/>
          </w:tcPr>
          <w:p w14:paraId="4DBB5373" w14:textId="77777777" w:rsidR="001E2F9C" w:rsidRDefault="001E2F9C" w:rsidP="001515D5">
            <w:r>
              <w:rPr>
                <w:color w:val="000000"/>
              </w:rPr>
              <w:t>Non-Hispanic American Indian/Alaska Native</w:t>
            </w:r>
          </w:p>
        </w:tc>
        <w:tc>
          <w:tcPr>
            <w:tcW w:w="4675" w:type="dxa"/>
            <w:vAlign w:val="bottom"/>
          </w:tcPr>
          <w:p w14:paraId="267D4024" w14:textId="77777777" w:rsidR="001E2F9C" w:rsidRDefault="001E2F9C" w:rsidP="001515D5">
            <w:r>
              <w:rPr>
                <w:color w:val="000000"/>
              </w:rPr>
              <w:t>16.0%</w:t>
            </w:r>
          </w:p>
        </w:tc>
      </w:tr>
      <w:tr w:rsidR="001E2F9C" w14:paraId="5A3DE808" w14:textId="77777777" w:rsidTr="001515D5">
        <w:tc>
          <w:tcPr>
            <w:tcW w:w="4675" w:type="dxa"/>
            <w:vAlign w:val="bottom"/>
          </w:tcPr>
          <w:p w14:paraId="12B93BCB" w14:textId="77777777" w:rsidR="001E2F9C" w:rsidRDefault="001E2F9C" w:rsidP="001515D5">
            <w:r>
              <w:rPr>
                <w:color w:val="000000"/>
              </w:rPr>
              <w:t>Non-Hispanic Other</w:t>
            </w:r>
          </w:p>
        </w:tc>
        <w:tc>
          <w:tcPr>
            <w:tcW w:w="4675" w:type="dxa"/>
            <w:vAlign w:val="bottom"/>
          </w:tcPr>
          <w:p w14:paraId="67379437" w14:textId="77777777" w:rsidR="001E2F9C" w:rsidRDefault="001E2F9C" w:rsidP="001515D5">
            <w:r>
              <w:rPr>
                <w:color w:val="000000"/>
              </w:rPr>
              <w:t>23.3%</w:t>
            </w:r>
          </w:p>
        </w:tc>
      </w:tr>
      <w:tr w:rsidR="001E2F9C" w14:paraId="0CCBA7C2" w14:textId="77777777" w:rsidTr="001515D5">
        <w:tc>
          <w:tcPr>
            <w:tcW w:w="4675" w:type="dxa"/>
            <w:vAlign w:val="bottom"/>
          </w:tcPr>
          <w:p w14:paraId="13FB63E2" w14:textId="77777777" w:rsidR="001E2F9C" w:rsidRDefault="001E2F9C" w:rsidP="001515D5">
            <w:r>
              <w:rPr>
                <w:color w:val="000000"/>
              </w:rPr>
              <w:t>Hispanic</w:t>
            </w:r>
          </w:p>
        </w:tc>
        <w:tc>
          <w:tcPr>
            <w:tcW w:w="4675" w:type="dxa"/>
            <w:vAlign w:val="bottom"/>
          </w:tcPr>
          <w:p w14:paraId="2E339AF0" w14:textId="77777777" w:rsidR="001E2F9C" w:rsidRDefault="001E2F9C" w:rsidP="001515D5">
            <w:r>
              <w:rPr>
                <w:color w:val="000000"/>
              </w:rPr>
              <w:t>21.1%</w:t>
            </w:r>
          </w:p>
        </w:tc>
      </w:tr>
    </w:tbl>
    <w:p w14:paraId="7BEF6449" w14:textId="77777777" w:rsidR="001E2F9C" w:rsidRPr="00703397" w:rsidRDefault="001E2F9C" w:rsidP="001E2F9C">
      <w:r w:rsidRPr="00703397">
        <w:t xml:space="preserve">Source: US Census ACS, 2016-2020. </w:t>
      </w:r>
    </w:p>
    <w:p w14:paraId="29E7482C" w14:textId="77777777" w:rsidR="001E2F9C" w:rsidRDefault="001E2F9C" w:rsidP="001E2F9C">
      <w:r w:rsidRPr="00703397">
        <w:t>Note: 5 year estimates.</w:t>
      </w:r>
    </w:p>
    <w:p w14:paraId="26673D9B" w14:textId="77777777" w:rsidR="00722CE9" w:rsidRDefault="00722CE9" w:rsidP="00722CE9">
      <w:pPr>
        <w:rPr>
          <w:rStyle w:val="Heading4Char"/>
          <w:rFonts w:asciiTheme="minorHAnsi" w:hAnsiTheme="minorHAnsi" w:cstheme="minorHAnsi"/>
          <w:color w:val="000000" w:themeColor="text1"/>
        </w:rPr>
      </w:pPr>
    </w:p>
    <w:p w14:paraId="7AF11074" w14:textId="77777777" w:rsidR="0048436D" w:rsidRDefault="0048436D" w:rsidP="0048436D">
      <w:pPr>
        <w:pStyle w:val="Heading5"/>
      </w:pPr>
      <w:r>
        <w:t xml:space="preserve">Key Takeaways: </w:t>
      </w:r>
    </w:p>
    <w:p w14:paraId="0D112DC7" w14:textId="77777777" w:rsidR="0048436D" w:rsidRDefault="0048436D" w:rsidP="0048436D">
      <w:pPr>
        <w:pStyle w:val="ListParagraph"/>
        <w:numPr>
          <w:ilvl w:val="0"/>
          <w:numId w:val="19"/>
        </w:numPr>
      </w:pPr>
      <w:r w:rsidRPr="00722CE9">
        <w:t>In most counties, income inequality is increasing, while poverty and reliance on public assistance are decreasing.</w:t>
      </w:r>
    </w:p>
    <w:p w14:paraId="6715D387" w14:textId="77777777" w:rsidR="0048436D" w:rsidRDefault="0048436D" w:rsidP="0048436D">
      <w:pPr>
        <w:pStyle w:val="ListParagraph"/>
        <w:numPr>
          <w:ilvl w:val="0"/>
          <w:numId w:val="19"/>
        </w:numPr>
      </w:pPr>
      <w:r w:rsidRPr="00722CE9">
        <w:t xml:space="preserve">More racial and ethnic minorities consistently earn lower household incomes, attain less formal education, live below the poverty line, receive public assistance, and experience higher concentrated disadvantages compared to non-Hispanic White people. </w:t>
      </w:r>
    </w:p>
    <w:p w14:paraId="1B49D806" w14:textId="77777777" w:rsidR="0048436D" w:rsidRPr="00544ADD" w:rsidRDefault="0048436D" w:rsidP="00722CE9">
      <w:pPr>
        <w:rPr>
          <w:rStyle w:val="Heading4Char"/>
          <w:rFonts w:asciiTheme="minorHAnsi" w:hAnsiTheme="minorHAnsi" w:cstheme="minorHAnsi"/>
          <w:color w:val="000000" w:themeColor="text1"/>
        </w:rPr>
      </w:pPr>
    </w:p>
    <w:p w14:paraId="740A0780" w14:textId="108EEFBE" w:rsidR="00722CE9" w:rsidRPr="00722CE9" w:rsidRDefault="00722CE9" w:rsidP="00722CE9">
      <w:pPr>
        <w:rPr>
          <w:i/>
          <w:iCs/>
        </w:rPr>
      </w:pPr>
      <w:bookmarkStart w:id="169" w:name="_Toc162267101"/>
      <w:r w:rsidRPr="00544ADD">
        <w:rPr>
          <w:rStyle w:val="Heading4Char"/>
          <w:rFonts w:asciiTheme="minorHAnsi" w:hAnsiTheme="minorHAnsi" w:cstheme="minorHAnsi"/>
          <w:color w:val="000000" w:themeColor="text1"/>
        </w:rPr>
        <w:t>References 5.10</w:t>
      </w:r>
      <w:bookmarkEnd w:id="169"/>
      <w:r w:rsidR="002B2178" w:rsidRPr="00544ADD">
        <w:rPr>
          <w:rStyle w:val="Heading4Char"/>
          <w:rFonts w:asciiTheme="minorHAnsi" w:hAnsiTheme="minorHAnsi" w:cstheme="minorHAnsi"/>
          <w:color w:val="000000" w:themeColor="text1"/>
        </w:rPr>
        <w:t xml:space="preserve"> </w:t>
      </w:r>
    </w:p>
    <w:p w14:paraId="6DDD6C6A" w14:textId="20927232" w:rsidR="00722CE9" w:rsidRDefault="00722CE9" w:rsidP="00722CE9">
      <w:r w:rsidRPr="00722CE9">
        <w:t xml:space="preserve">Statistics in the preceding </w:t>
      </w:r>
      <w:r w:rsidR="00544ADD">
        <w:t>section</w:t>
      </w:r>
      <w:r w:rsidRPr="00722CE9">
        <w:t xml:space="preserve"> were referenced from the following reports:</w:t>
      </w:r>
    </w:p>
    <w:p w14:paraId="2F76B9D5" w14:textId="06E4BF63" w:rsidR="002B2178" w:rsidRDefault="00544ADD" w:rsidP="00544ADD">
      <w:pPr>
        <w:ind w:left="360"/>
      </w:pPr>
      <w:r>
        <w:t>45.</w:t>
      </w:r>
      <w:r w:rsidR="002B2178" w:rsidRPr="002B2178">
        <w:t>“Statistical Profile FY 21-22” by South Carolina Commission for Minority Affairs. Published in Economic and Employment Trends, 2022. No hyperlink.</w:t>
      </w:r>
    </w:p>
    <w:p w14:paraId="06AC2EB4" w14:textId="06F298B9" w:rsidR="002B2178" w:rsidRPr="002B2178" w:rsidRDefault="00000000" w:rsidP="00544ADD">
      <w:pPr>
        <w:pStyle w:val="ListParagraph"/>
        <w:numPr>
          <w:ilvl w:val="0"/>
          <w:numId w:val="231"/>
        </w:numPr>
      </w:pPr>
      <w:hyperlink r:id="rId75" w:history="1">
        <w:r w:rsidR="002B2178" w:rsidRPr="002B2178">
          <w:rPr>
            <w:rStyle w:val="Hyperlink"/>
          </w:rPr>
          <w:t>“Socioeconomic Status, Definition” by Baker, E.H. Published in The Wiley Blackwell Encyclopedia of Health, Illness, Behavior, and Society, 2014.</w:t>
        </w:r>
      </w:hyperlink>
      <w:r w:rsidR="002B2178" w:rsidRPr="002B2178">
        <w:t xml:space="preserve"> </w:t>
      </w:r>
    </w:p>
    <w:p w14:paraId="16886CC2" w14:textId="2D129E27" w:rsidR="002B2178" w:rsidRPr="002B2178" w:rsidRDefault="002B2178" w:rsidP="00544ADD">
      <w:pPr>
        <w:pStyle w:val="ListParagraph"/>
        <w:numPr>
          <w:ilvl w:val="0"/>
          <w:numId w:val="231"/>
        </w:numPr>
      </w:pPr>
      <w:r w:rsidRPr="002B2178">
        <w:lastRenderedPageBreak/>
        <w:t>“Health, United States, 2011: With Special Feature on Socioeconomic Status and Health” Published by the National Center for Health Statistics (US), 2012.</w:t>
      </w:r>
      <w:r>
        <w:t xml:space="preserve"> No hyperlink.</w:t>
      </w:r>
    </w:p>
    <w:p w14:paraId="0AC11F41" w14:textId="718CC93E" w:rsidR="002B2178" w:rsidRPr="002B2178" w:rsidRDefault="00000000" w:rsidP="00544ADD">
      <w:pPr>
        <w:pStyle w:val="ListParagraph"/>
        <w:numPr>
          <w:ilvl w:val="0"/>
          <w:numId w:val="231"/>
        </w:numPr>
      </w:pPr>
      <w:hyperlink r:id="rId76" w:history="1">
        <w:r w:rsidR="002B2178" w:rsidRPr="002B2178">
          <w:rPr>
            <w:rStyle w:val="Hyperlink"/>
          </w:rPr>
          <w:t xml:space="preserve">“Disparities in health and health care: 5 key questions and answers” by </w:t>
        </w:r>
        <w:proofErr w:type="spellStart"/>
        <w:r w:rsidR="002B2178" w:rsidRPr="002B2178">
          <w:rPr>
            <w:rStyle w:val="Hyperlink"/>
          </w:rPr>
          <w:t>Ndugga</w:t>
        </w:r>
        <w:proofErr w:type="spellEnd"/>
        <w:r w:rsidR="002B2178" w:rsidRPr="002B2178">
          <w:rPr>
            <w:rStyle w:val="Hyperlink"/>
          </w:rPr>
          <w:t xml:space="preserve">, N., &amp; </w:t>
        </w:r>
        <w:proofErr w:type="spellStart"/>
        <w:r w:rsidR="002B2178" w:rsidRPr="002B2178">
          <w:rPr>
            <w:rStyle w:val="Hyperlink"/>
          </w:rPr>
          <w:t>Artiga</w:t>
        </w:r>
        <w:proofErr w:type="spellEnd"/>
        <w:r w:rsidR="002B2178" w:rsidRPr="002B2178">
          <w:rPr>
            <w:rStyle w:val="Hyperlink"/>
          </w:rPr>
          <w:t>, S., 2023.</w:t>
        </w:r>
      </w:hyperlink>
    </w:p>
    <w:p w14:paraId="2DD8ACBF" w14:textId="61304532" w:rsidR="002B2178" w:rsidRPr="002B2178" w:rsidRDefault="00000000" w:rsidP="00544ADD">
      <w:pPr>
        <w:pStyle w:val="ListParagraph"/>
        <w:numPr>
          <w:ilvl w:val="0"/>
          <w:numId w:val="231"/>
        </w:numPr>
      </w:pPr>
      <w:hyperlink r:id="rId77" w:history="1">
        <w:r w:rsidR="002B2178" w:rsidRPr="002B2178">
          <w:rPr>
            <w:rStyle w:val="Hyperlink"/>
          </w:rPr>
          <w:t>“Income inequality and health: What have we learned so far?” by Subramanian, S. V.  Published in Epidemiologic Reviews, 2004.</w:t>
        </w:r>
      </w:hyperlink>
      <w:r w:rsidR="002B2178" w:rsidRPr="002B2178">
        <w:t xml:space="preserve"> </w:t>
      </w:r>
    </w:p>
    <w:p w14:paraId="6C67F4B3" w14:textId="2EDC6F53" w:rsidR="002B2178" w:rsidRPr="002B2178" w:rsidRDefault="002B2178" w:rsidP="00544ADD">
      <w:pPr>
        <w:pStyle w:val="ListParagraph"/>
        <w:numPr>
          <w:ilvl w:val="0"/>
          <w:numId w:val="231"/>
        </w:numPr>
      </w:pPr>
      <w:r w:rsidRPr="002B2178">
        <w:t xml:space="preserve"> </w:t>
      </w:r>
      <w:hyperlink r:id="rId78" w:history="1">
        <w:r w:rsidRPr="002B2178">
          <w:rPr>
            <w:rStyle w:val="Hyperlink"/>
          </w:rPr>
          <w:t>“Income inequality and health: A causal review” by Pickett, K. E., &amp; Wilkinson, R. G. Published in Social Science &amp; Medicine, 2015.</w:t>
        </w:r>
      </w:hyperlink>
      <w:r>
        <w:t xml:space="preserve"> </w:t>
      </w:r>
    </w:p>
    <w:p w14:paraId="6B2364A5" w14:textId="29824F2E" w:rsidR="002B2178" w:rsidRPr="002B2178" w:rsidRDefault="00000000" w:rsidP="00544ADD">
      <w:pPr>
        <w:pStyle w:val="ListParagraph"/>
        <w:numPr>
          <w:ilvl w:val="0"/>
          <w:numId w:val="231"/>
        </w:numPr>
      </w:pPr>
      <w:hyperlink r:id="rId79" w:history="1">
        <w:r w:rsidR="002B2178" w:rsidRPr="002B2178">
          <w:rPr>
            <w:rStyle w:val="Hyperlink"/>
          </w:rPr>
          <w:t xml:space="preserve">“The economic burden of health disparities related to socioeconomic status in Israel” by </w:t>
        </w:r>
        <w:proofErr w:type="spellStart"/>
        <w:r w:rsidR="002B2178" w:rsidRPr="002B2178">
          <w:rPr>
            <w:rStyle w:val="Hyperlink"/>
          </w:rPr>
          <w:t>Politzer</w:t>
        </w:r>
        <w:proofErr w:type="spellEnd"/>
        <w:r w:rsidR="002B2178" w:rsidRPr="002B2178">
          <w:rPr>
            <w:rStyle w:val="Hyperlink"/>
          </w:rPr>
          <w:t xml:space="preserve">, E., </w:t>
        </w:r>
        <w:proofErr w:type="spellStart"/>
        <w:r w:rsidR="002B2178" w:rsidRPr="002B2178">
          <w:rPr>
            <w:rStyle w:val="Hyperlink"/>
          </w:rPr>
          <w:t>Shmueli</w:t>
        </w:r>
        <w:proofErr w:type="spellEnd"/>
        <w:r w:rsidR="002B2178" w:rsidRPr="002B2178">
          <w:rPr>
            <w:rStyle w:val="Hyperlink"/>
          </w:rPr>
          <w:t>, A., &amp; Avni, S. Published in Israel Journal of Health Policy Research, 2019.</w:t>
        </w:r>
      </w:hyperlink>
      <w:r w:rsidR="002B2178" w:rsidRPr="002B2178">
        <w:t xml:space="preserve"> </w:t>
      </w:r>
    </w:p>
    <w:p w14:paraId="47D90441" w14:textId="5C751A10" w:rsidR="002B2178" w:rsidRPr="002B2178" w:rsidRDefault="00000000" w:rsidP="00544ADD">
      <w:pPr>
        <w:pStyle w:val="ListParagraph"/>
        <w:numPr>
          <w:ilvl w:val="0"/>
          <w:numId w:val="231"/>
        </w:numPr>
      </w:pPr>
      <w:hyperlink r:id="rId80" w:history="1">
        <w:r w:rsidR="002B2178" w:rsidRPr="002B2178">
          <w:rPr>
            <w:rStyle w:val="Hyperlink"/>
          </w:rPr>
          <w:t>“Gini Index of Income Inequality”</w:t>
        </w:r>
        <w:r w:rsidR="002B2178" w:rsidRPr="002B2178">
          <w:rPr>
            <w:rStyle w:val="Hyperlink"/>
            <w:i/>
            <w:iCs/>
          </w:rPr>
          <w:t xml:space="preserve"> </w:t>
        </w:r>
        <w:r w:rsidR="002B2178" w:rsidRPr="002B2178">
          <w:rPr>
            <w:rStyle w:val="Hyperlink"/>
          </w:rPr>
          <w:t>from Census Data, by U.S. Census Bureau, 2015.</w:t>
        </w:r>
      </w:hyperlink>
      <w:r w:rsidR="002B2178" w:rsidRPr="002B2178">
        <w:t xml:space="preserve"> </w:t>
      </w:r>
    </w:p>
    <w:p w14:paraId="6B850442" w14:textId="409A66E2" w:rsidR="002B2178" w:rsidRPr="002B2178" w:rsidRDefault="00000000" w:rsidP="00544ADD">
      <w:pPr>
        <w:pStyle w:val="ListParagraph"/>
        <w:numPr>
          <w:ilvl w:val="0"/>
          <w:numId w:val="231"/>
        </w:numPr>
      </w:pPr>
      <w:hyperlink r:id="rId81" w:history="1">
        <w:r w:rsidR="002B2178" w:rsidRPr="002B2178">
          <w:rPr>
            <w:rStyle w:val="Hyperlink"/>
          </w:rPr>
          <w:t>“Gini Index of Income Inequality” from Census Data, by U.S. Census Bureau, 2020.</w:t>
        </w:r>
      </w:hyperlink>
      <w:r w:rsidR="002B2178">
        <w:t xml:space="preserve"> </w:t>
      </w:r>
    </w:p>
    <w:p w14:paraId="69013F3A" w14:textId="2D97AE74" w:rsidR="002B2178" w:rsidRPr="002B2178" w:rsidRDefault="00000000" w:rsidP="00544ADD">
      <w:pPr>
        <w:pStyle w:val="ListParagraph"/>
        <w:numPr>
          <w:ilvl w:val="0"/>
          <w:numId w:val="231"/>
        </w:numPr>
      </w:pPr>
      <w:hyperlink r:id="rId82" w:history="1">
        <w:r w:rsidR="002B2178" w:rsidRPr="002B2178">
          <w:rPr>
            <w:rStyle w:val="Hyperlink"/>
          </w:rPr>
          <w:t>“Median Income in the Past 12 Months (In 2020 Inflation-Adjusted Dollars)” by U.S. Census Bureau. Published in American Community Survey 5-Year Data Estimates Subject Tables 2016-2020, South Carolina. 2023.</w:t>
        </w:r>
      </w:hyperlink>
      <w:r w:rsidR="002B2178">
        <w:t xml:space="preserve"> </w:t>
      </w:r>
    </w:p>
    <w:p w14:paraId="6FE37972" w14:textId="22071153" w:rsidR="002B2178" w:rsidRPr="002B2178" w:rsidRDefault="00000000" w:rsidP="00544ADD">
      <w:pPr>
        <w:pStyle w:val="ListParagraph"/>
        <w:numPr>
          <w:ilvl w:val="0"/>
          <w:numId w:val="231"/>
        </w:numPr>
      </w:pPr>
      <w:hyperlink r:id="rId83" w:history="1">
        <w:r w:rsidR="002B2178" w:rsidRPr="002B2178">
          <w:rPr>
            <w:rStyle w:val="Hyperlink"/>
          </w:rPr>
          <w:t>“Concentrated disadvantage in South Carolina: AHR.” Published in America’s Health Rankings.</w:t>
        </w:r>
      </w:hyperlink>
      <w:r w:rsidR="002B2178" w:rsidRPr="002B2178">
        <w:t xml:space="preserve"> </w:t>
      </w:r>
    </w:p>
    <w:p w14:paraId="04B70167" w14:textId="0DB00EA9" w:rsidR="002B2178" w:rsidRPr="002B2178" w:rsidRDefault="00000000" w:rsidP="00544ADD">
      <w:pPr>
        <w:pStyle w:val="ListParagraph"/>
        <w:numPr>
          <w:ilvl w:val="0"/>
          <w:numId w:val="231"/>
        </w:numPr>
      </w:pPr>
      <w:hyperlink r:id="rId84" w:history="1">
        <w:r w:rsidR="002B2178" w:rsidRPr="002B2178">
          <w:rPr>
            <w:rStyle w:val="Hyperlink"/>
          </w:rPr>
          <w:t>“Population with Percent in Poverty by County 2011-2021” by South Carolina Revenue and Fiscal Affairs Office.</w:t>
        </w:r>
      </w:hyperlink>
      <w:r w:rsidR="002B2178" w:rsidRPr="002B2178">
        <w:t xml:space="preserve"> </w:t>
      </w:r>
    </w:p>
    <w:p w14:paraId="7BBD90F9" w14:textId="09BB4191" w:rsidR="002B2178" w:rsidRPr="002B2178" w:rsidRDefault="00000000" w:rsidP="00544ADD">
      <w:pPr>
        <w:pStyle w:val="ListParagraph"/>
        <w:numPr>
          <w:ilvl w:val="0"/>
          <w:numId w:val="231"/>
        </w:numPr>
      </w:pPr>
      <w:hyperlink r:id="rId85" w:history="1">
        <w:r w:rsidR="002B2178" w:rsidRPr="002B2178">
          <w:rPr>
            <w:rStyle w:val="Hyperlink"/>
          </w:rPr>
          <w:t xml:space="preserve">“B09010: Receipt </w:t>
        </w:r>
        <w:r w:rsidR="00ED3390" w:rsidRPr="002B2178">
          <w:rPr>
            <w:rStyle w:val="Hyperlink"/>
          </w:rPr>
          <w:t>of</w:t>
        </w:r>
        <w:r w:rsidR="002B2178" w:rsidRPr="002B2178">
          <w:rPr>
            <w:rStyle w:val="Hyperlink"/>
          </w:rPr>
          <w:t xml:space="preserve"> Supplemental Security Income (SSI), Cash Public Assistance Income, Or Food Stamps/Snap In The Past 12 Months By Household Type For Children Under 18 Years In Households By County”</w:t>
        </w:r>
      </w:hyperlink>
      <w:r w:rsidR="002B2178">
        <w:t xml:space="preserve"> by</w:t>
      </w:r>
      <w:r w:rsidR="002B2178" w:rsidRPr="002B2178">
        <w:t xml:space="preserve"> U.S. Census Bureau.</w:t>
      </w:r>
      <w:r w:rsidR="002B2178">
        <w:t xml:space="preserve"> Published in </w:t>
      </w:r>
      <w:r w:rsidR="002B2178" w:rsidRPr="002B2178">
        <w:t>American Community Survey 5-Year Data Estimates Subject Tables 2011-2015, South Carolina</w:t>
      </w:r>
      <w:r w:rsidR="002B2178">
        <w:t xml:space="preserve">, 2023. </w:t>
      </w:r>
    </w:p>
    <w:p w14:paraId="326FA861" w14:textId="7295C3BD" w:rsidR="002B2178" w:rsidRPr="002B2178" w:rsidRDefault="00000000" w:rsidP="00544ADD">
      <w:pPr>
        <w:pStyle w:val="ListParagraph"/>
        <w:numPr>
          <w:ilvl w:val="0"/>
          <w:numId w:val="231"/>
        </w:numPr>
      </w:pPr>
      <w:hyperlink r:id="rId86" w:history="1">
        <w:r w:rsidR="002B2178" w:rsidRPr="002B2178">
          <w:rPr>
            <w:rStyle w:val="Hyperlink"/>
          </w:rPr>
          <w:t xml:space="preserve">“B09010: Receipt </w:t>
        </w:r>
        <w:r w:rsidR="00ED3390" w:rsidRPr="002B2178">
          <w:rPr>
            <w:rStyle w:val="Hyperlink"/>
          </w:rPr>
          <w:t>of</w:t>
        </w:r>
        <w:r w:rsidR="002B2178" w:rsidRPr="002B2178">
          <w:rPr>
            <w:rStyle w:val="Hyperlink"/>
          </w:rPr>
          <w:t xml:space="preserve"> Supplemental Security Income (SSI), Cash Public Assistance Income, Or Food Stamps/Snap In The Past 12 Months By Household Type For Children Under 18 Years In Households By County”</w:t>
        </w:r>
      </w:hyperlink>
      <w:r w:rsidR="002B2178">
        <w:t xml:space="preserve"> by</w:t>
      </w:r>
      <w:r w:rsidR="002B2178" w:rsidRPr="002B2178">
        <w:t xml:space="preserve"> U.S. Census Bureau.</w:t>
      </w:r>
      <w:r w:rsidR="002B2178">
        <w:t xml:space="preserve"> Published in</w:t>
      </w:r>
      <w:r w:rsidR="002B2178" w:rsidRPr="002B2178">
        <w:t xml:space="preserve"> American Community Survey 5-Year Data Estimates Subject Tables 2016-2020 South Carolina, 2020. </w:t>
      </w:r>
    </w:p>
    <w:p w14:paraId="09A2326C" w14:textId="37E73AE7" w:rsidR="002B2178" w:rsidRPr="002B2178" w:rsidRDefault="00000000" w:rsidP="00544ADD">
      <w:pPr>
        <w:pStyle w:val="ListParagraph"/>
        <w:numPr>
          <w:ilvl w:val="0"/>
          <w:numId w:val="231"/>
        </w:numPr>
      </w:pPr>
      <w:hyperlink r:id="rId87" w:history="1">
        <w:r w:rsidR="002B2178" w:rsidRPr="002B2178">
          <w:rPr>
            <w:rStyle w:val="Hyperlink"/>
          </w:rPr>
          <w:t>“Poverty Status in the Past 12 Months” by U.S. Census Bureau. Published in American Community Survey 5-Year Data Estimates Subject Tables 2016-2020 South Carolina, 2020.</w:t>
        </w:r>
      </w:hyperlink>
      <w:r w:rsidR="002B2178">
        <w:t xml:space="preserve"> </w:t>
      </w:r>
    </w:p>
    <w:p w14:paraId="74F0AF71" w14:textId="4C0EB22F" w:rsidR="002B2178" w:rsidRPr="002B2178" w:rsidRDefault="00000000" w:rsidP="00544ADD">
      <w:pPr>
        <w:pStyle w:val="ListParagraph"/>
        <w:numPr>
          <w:ilvl w:val="0"/>
          <w:numId w:val="231"/>
        </w:numPr>
      </w:pPr>
      <w:hyperlink r:id="rId88" w:history="1">
        <w:r w:rsidR="002B2178" w:rsidRPr="004147A8">
          <w:rPr>
            <w:rStyle w:val="Hyperlink"/>
          </w:rPr>
          <w:t>“Poverty Status In The Past 12 Months Of Families By Family Type By Presence Of Related Children Under 18 Years By Age Of Related Children, By Race”</w:t>
        </w:r>
      </w:hyperlink>
      <w:r w:rsidR="002B2178">
        <w:t xml:space="preserve"> by</w:t>
      </w:r>
      <w:r w:rsidR="002B2178" w:rsidRPr="002B2178">
        <w:t xml:space="preserve"> U.S. Census Bureau.</w:t>
      </w:r>
      <w:r w:rsidR="002B2178">
        <w:t xml:space="preserve"> Published in</w:t>
      </w:r>
      <w:r w:rsidR="002B2178" w:rsidRPr="002B2178">
        <w:t xml:space="preserve"> American Community Survey 5-Year Data Estimates Subject Tables 2016-2020 South Carolina</w:t>
      </w:r>
      <w:r w:rsidR="002B2178">
        <w:t xml:space="preserve">, 2020. </w:t>
      </w:r>
    </w:p>
    <w:p w14:paraId="32DEABCA" w14:textId="54756058" w:rsidR="002B2178" w:rsidRPr="002B2178" w:rsidRDefault="00000000" w:rsidP="00544ADD">
      <w:pPr>
        <w:pStyle w:val="ListParagraph"/>
        <w:numPr>
          <w:ilvl w:val="0"/>
          <w:numId w:val="231"/>
        </w:numPr>
      </w:pPr>
      <w:hyperlink r:id="rId89" w:history="1">
        <w:r w:rsidR="002B2178" w:rsidRPr="002B2178">
          <w:rPr>
            <w:rStyle w:val="Hyperlink"/>
          </w:rPr>
          <w:t>“Sex by Age, By Race”</w:t>
        </w:r>
        <w:r w:rsidR="002B2178" w:rsidRPr="002B2178">
          <w:rPr>
            <w:rStyle w:val="Hyperlink"/>
            <w:i/>
            <w:iCs/>
          </w:rPr>
          <w:t xml:space="preserve"> </w:t>
        </w:r>
        <w:r w:rsidR="002B2178" w:rsidRPr="002B2178">
          <w:rPr>
            <w:rStyle w:val="Hyperlink"/>
          </w:rPr>
          <w:t>by U.S. Census Bureau. Published in American Community Survey 5-Year Data Estimates Subject Tables 2016-2020 South Carolina, 2020. Retrieved November 17, 2022.</w:t>
        </w:r>
      </w:hyperlink>
      <w:r w:rsidR="002B2178" w:rsidRPr="002B2178">
        <w:t xml:space="preserve"> </w:t>
      </w:r>
    </w:p>
    <w:p w14:paraId="48C32E42" w14:textId="77777777" w:rsidR="00722CE9" w:rsidRDefault="00722CE9" w:rsidP="00722CE9"/>
    <w:p w14:paraId="09C15672" w14:textId="77777777" w:rsidR="00722CE9" w:rsidRPr="00722CE9" w:rsidRDefault="00722CE9" w:rsidP="00722CE9">
      <w:pPr>
        <w:pStyle w:val="Heading3"/>
      </w:pPr>
      <w:bookmarkStart w:id="170" w:name="_Toc162267102"/>
      <w:r w:rsidRPr="00722CE9">
        <w:t>Populations Experiencing Homelessness</w:t>
      </w:r>
      <w:bookmarkEnd w:id="170"/>
    </w:p>
    <w:p w14:paraId="50C451BC" w14:textId="15FB4D05" w:rsidR="00722CE9" w:rsidRPr="00722CE9" w:rsidRDefault="00722CE9" w:rsidP="00722CE9">
      <w:r w:rsidRPr="00722CE9">
        <w:t>Homelessness is a key driver of poor health outcomes and is associated with shorter life expectancy, higher morbidity, greater usage of acute hospital services, later-stage diagnosis of disease, and increased hospitalization for preventable conditions. Homelessness is also a consequence of adverse social and economic conditions. These often include early adverse childhood experiences such as childhood abuse, neglect, and family dysfunction, which are often predecessors of negative health and social outcomes throughout life. Experiences of homelessness differ by various at-risk populations, including families, people with substance use disorder (SUD) or mental illness, unaccompanied youth, racial and ethnic minorities, Veterans, those facing other disabling conditions, and members of the LGBTQIA+ community. The interpretation of health status indicators for public health outcomes is complicated when data come from multiple sources that define homelessness differently. Multiple federal statutory definitions of homelessness also exist, including within the Public Health Service Act and for children and youth.</w:t>
      </w:r>
    </w:p>
    <w:p w14:paraId="25E647A0" w14:textId="77777777" w:rsidR="00722CE9" w:rsidRDefault="00722CE9" w:rsidP="00722CE9"/>
    <w:p w14:paraId="1680772F" w14:textId="4592A58F" w:rsidR="00722CE9" w:rsidRPr="00722CE9" w:rsidRDefault="00722CE9" w:rsidP="00722CE9">
      <w:r w:rsidRPr="00722CE9">
        <w:t>Homelessness service providers in SC served 2,430 more people in 2021 than in 2020 (</w:t>
      </w:r>
      <w:r w:rsidRPr="00722CE9">
        <w:rPr>
          <w:b/>
          <w:bCs/>
        </w:rPr>
        <w:t>Figure 5.22</w:t>
      </w:r>
      <w:r w:rsidRPr="00722CE9">
        <w:t xml:space="preserve">). This included more females, fewer Veterans, more victims of domestic violence, and fewer non-Hispanic Black people. One in five individuals experiencing homelessness were children. Between 2020-2021, the Upstate served as many people representing special populations experiencing homelessness – including migrants, multilanguage learners of English, unaccompanied </w:t>
      </w:r>
      <w:proofErr w:type="gramStart"/>
      <w:r w:rsidRPr="00722CE9">
        <w:t>youth</w:t>
      </w:r>
      <w:proofErr w:type="gramEnd"/>
      <w:r w:rsidRPr="00722CE9">
        <w:t xml:space="preserve"> and people with disabilities – as the other regions combined (data not shown). More than half of the special populations served were people with disabilities, including physical, </w:t>
      </w:r>
      <w:proofErr w:type="gramStart"/>
      <w:r w:rsidRPr="00722CE9">
        <w:t>intellectual</w:t>
      </w:r>
      <w:proofErr w:type="gramEnd"/>
      <w:r w:rsidRPr="00722CE9">
        <w:t xml:space="preserve"> or developmental disabilities, SUD, or mental health disorders.   </w:t>
      </w:r>
    </w:p>
    <w:p w14:paraId="6FC3CCBF" w14:textId="77777777" w:rsidR="00722CE9" w:rsidRDefault="00722CE9" w:rsidP="00722CE9"/>
    <w:p w14:paraId="2CE87B0D" w14:textId="77777777" w:rsidR="001E2F9C" w:rsidRDefault="001E2F9C" w:rsidP="001E2F9C">
      <w:pPr>
        <w:pStyle w:val="Heading4"/>
      </w:pPr>
      <w:bookmarkStart w:id="171" w:name="_Toc154569794"/>
      <w:bookmarkStart w:id="172" w:name="_Toc162267103"/>
      <w:r>
        <w:lastRenderedPageBreak/>
        <w:t>Figure 5.22: Demographic Comparison of Persons Experiencing Homelessness, by Year.</w:t>
      </w:r>
      <w:bookmarkEnd w:id="171"/>
      <w:bookmarkEnd w:id="172"/>
    </w:p>
    <w:tbl>
      <w:tblPr>
        <w:tblStyle w:val="TableGrid"/>
        <w:tblW w:w="0" w:type="auto"/>
        <w:tblLook w:val="04A0" w:firstRow="1" w:lastRow="0" w:firstColumn="1" w:lastColumn="0" w:noHBand="0" w:noVBand="1"/>
      </w:tblPr>
      <w:tblGrid>
        <w:gridCol w:w="3116"/>
        <w:gridCol w:w="3117"/>
        <w:gridCol w:w="3117"/>
      </w:tblGrid>
      <w:tr w:rsidR="001E2F9C" w14:paraId="53681531" w14:textId="77777777" w:rsidTr="001515D5">
        <w:tc>
          <w:tcPr>
            <w:tcW w:w="3116" w:type="dxa"/>
          </w:tcPr>
          <w:p w14:paraId="6DC57591" w14:textId="77777777" w:rsidR="001E2F9C" w:rsidRPr="001E2F9C" w:rsidRDefault="001E2F9C" w:rsidP="001515D5">
            <w:r w:rsidRPr="001E2F9C">
              <w:t>Demographic</w:t>
            </w:r>
          </w:p>
        </w:tc>
        <w:tc>
          <w:tcPr>
            <w:tcW w:w="3117" w:type="dxa"/>
          </w:tcPr>
          <w:p w14:paraId="4B3C1F54" w14:textId="77777777" w:rsidR="001E2F9C" w:rsidRPr="001E2F9C" w:rsidRDefault="001E2F9C" w:rsidP="001515D5">
            <w:r w:rsidRPr="001E2F9C">
              <w:t>2019-2020</w:t>
            </w:r>
          </w:p>
        </w:tc>
        <w:tc>
          <w:tcPr>
            <w:tcW w:w="3117" w:type="dxa"/>
          </w:tcPr>
          <w:p w14:paraId="5C8AC9AF" w14:textId="77777777" w:rsidR="001E2F9C" w:rsidRPr="001E2F9C" w:rsidRDefault="001E2F9C" w:rsidP="001515D5">
            <w:r w:rsidRPr="001E2F9C">
              <w:t>2020-2021</w:t>
            </w:r>
          </w:p>
        </w:tc>
      </w:tr>
      <w:tr w:rsidR="001E2F9C" w14:paraId="2F5EB672" w14:textId="77777777" w:rsidTr="001515D5">
        <w:tc>
          <w:tcPr>
            <w:tcW w:w="3116" w:type="dxa"/>
          </w:tcPr>
          <w:p w14:paraId="5B01D1BD" w14:textId="77777777" w:rsidR="001E2F9C" w:rsidRPr="001E2F9C" w:rsidRDefault="001E2F9C" w:rsidP="001515D5">
            <w:r w:rsidRPr="001E2F9C">
              <w:t>Total Served</w:t>
            </w:r>
          </w:p>
        </w:tc>
        <w:tc>
          <w:tcPr>
            <w:tcW w:w="3117" w:type="dxa"/>
          </w:tcPr>
          <w:p w14:paraId="6FD830CD" w14:textId="77777777" w:rsidR="001E2F9C" w:rsidRPr="001E2F9C" w:rsidRDefault="001E2F9C" w:rsidP="001515D5">
            <w:r w:rsidRPr="001E2F9C">
              <w:t>10,969</w:t>
            </w:r>
          </w:p>
        </w:tc>
        <w:tc>
          <w:tcPr>
            <w:tcW w:w="3117" w:type="dxa"/>
          </w:tcPr>
          <w:p w14:paraId="53D50CF3" w14:textId="77777777" w:rsidR="001E2F9C" w:rsidRPr="001E2F9C" w:rsidRDefault="001E2F9C" w:rsidP="001515D5">
            <w:r w:rsidRPr="001E2F9C">
              <w:t>13,399</w:t>
            </w:r>
          </w:p>
        </w:tc>
      </w:tr>
      <w:tr w:rsidR="001E2F9C" w14:paraId="78FBCD26" w14:textId="77777777" w:rsidTr="001515D5">
        <w:tc>
          <w:tcPr>
            <w:tcW w:w="3116" w:type="dxa"/>
          </w:tcPr>
          <w:p w14:paraId="5F8A0A08" w14:textId="77777777" w:rsidR="001E2F9C" w:rsidRPr="001E2F9C" w:rsidRDefault="001E2F9C" w:rsidP="001515D5">
            <w:r w:rsidRPr="001E2F9C">
              <w:t>Gender; identify as male</w:t>
            </w:r>
          </w:p>
        </w:tc>
        <w:tc>
          <w:tcPr>
            <w:tcW w:w="3117" w:type="dxa"/>
          </w:tcPr>
          <w:p w14:paraId="4DAFADD8" w14:textId="77777777" w:rsidR="001E2F9C" w:rsidRPr="001E2F9C" w:rsidRDefault="001E2F9C" w:rsidP="001515D5">
            <w:r w:rsidRPr="001E2F9C">
              <w:t>64%</w:t>
            </w:r>
          </w:p>
        </w:tc>
        <w:tc>
          <w:tcPr>
            <w:tcW w:w="3117" w:type="dxa"/>
          </w:tcPr>
          <w:p w14:paraId="67AD289C" w14:textId="77777777" w:rsidR="001E2F9C" w:rsidRPr="001E2F9C" w:rsidRDefault="001E2F9C" w:rsidP="001515D5">
            <w:r w:rsidRPr="001E2F9C">
              <w:t>60%</w:t>
            </w:r>
          </w:p>
        </w:tc>
      </w:tr>
      <w:tr w:rsidR="001E2F9C" w14:paraId="383B26EA" w14:textId="77777777" w:rsidTr="001515D5">
        <w:tc>
          <w:tcPr>
            <w:tcW w:w="3116" w:type="dxa"/>
          </w:tcPr>
          <w:p w14:paraId="6EFA1AE5" w14:textId="77777777" w:rsidR="001E2F9C" w:rsidRPr="001E2F9C" w:rsidRDefault="001E2F9C" w:rsidP="001515D5">
            <w:r w:rsidRPr="001E2F9C">
              <w:t>Gender; identify as female</w:t>
            </w:r>
          </w:p>
        </w:tc>
        <w:tc>
          <w:tcPr>
            <w:tcW w:w="3117" w:type="dxa"/>
          </w:tcPr>
          <w:p w14:paraId="0BE6B935" w14:textId="77777777" w:rsidR="001E2F9C" w:rsidRPr="001E2F9C" w:rsidRDefault="001E2F9C" w:rsidP="001515D5">
            <w:r w:rsidRPr="001E2F9C">
              <w:t>35%</w:t>
            </w:r>
          </w:p>
        </w:tc>
        <w:tc>
          <w:tcPr>
            <w:tcW w:w="3117" w:type="dxa"/>
          </w:tcPr>
          <w:p w14:paraId="2D5BDD07" w14:textId="77777777" w:rsidR="001E2F9C" w:rsidRPr="001E2F9C" w:rsidRDefault="001E2F9C" w:rsidP="001515D5">
            <w:r w:rsidRPr="001E2F9C">
              <w:t>38%</w:t>
            </w:r>
          </w:p>
        </w:tc>
      </w:tr>
      <w:tr w:rsidR="001E2F9C" w14:paraId="38F75B03" w14:textId="77777777" w:rsidTr="001515D5">
        <w:tc>
          <w:tcPr>
            <w:tcW w:w="3116" w:type="dxa"/>
          </w:tcPr>
          <w:p w14:paraId="5050C2E3" w14:textId="77777777" w:rsidR="001E2F9C" w:rsidRPr="001E2F9C" w:rsidRDefault="001E2F9C" w:rsidP="001515D5">
            <w:r w:rsidRPr="001E2F9C">
              <w:t>Race; identified as black or African American</w:t>
            </w:r>
          </w:p>
        </w:tc>
        <w:tc>
          <w:tcPr>
            <w:tcW w:w="3117" w:type="dxa"/>
          </w:tcPr>
          <w:p w14:paraId="45515D2D" w14:textId="77777777" w:rsidR="001E2F9C" w:rsidRPr="001E2F9C" w:rsidRDefault="001E2F9C" w:rsidP="001515D5">
            <w:r w:rsidRPr="001E2F9C">
              <w:t xml:space="preserve">56% </w:t>
            </w:r>
          </w:p>
        </w:tc>
        <w:tc>
          <w:tcPr>
            <w:tcW w:w="3117" w:type="dxa"/>
          </w:tcPr>
          <w:p w14:paraId="5D70519A" w14:textId="77777777" w:rsidR="001E2F9C" w:rsidRPr="001E2F9C" w:rsidRDefault="001E2F9C" w:rsidP="001515D5">
            <w:r w:rsidRPr="001E2F9C">
              <w:t xml:space="preserve">53% </w:t>
            </w:r>
          </w:p>
        </w:tc>
      </w:tr>
      <w:tr w:rsidR="001E2F9C" w14:paraId="514ED1E7" w14:textId="77777777" w:rsidTr="001515D5">
        <w:tc>
          <w:tcPr>
            <w:tcW w:w="3116" w:type="dxa"/>
          </w:tcPr>
          <w:p w14:paraId="046B424F" w14:textId="77777777" w:rsidR="001E2F9C" w:rsidRPr="001E2F9C" w:rsidRDefault="001E2F9C" w:rsidP="001515D5">
            <w:r w:rsidRPr="001E2F9C">
              <w:t>Age; were children</w:t>
            </w:r>
          </w:p>
        </w:tc>
        <w:tc>
          <w:tcPr>
            <w:tcW w:w="3117" w:type="dxa"/>
          </w:tcPr>
          <w:p w14:paraId="21DB775D" w14:textId="77777777" w:rsidR="001E2F9C" w:rsidRPr="001E2F9C" w:rsidRDefault="001E2F9C" w:rsidP="001515D5">
            <w:r w:rsidRPr="001E2F9C">
              <w:t>20%</w:t>
            </w:r>
          </w:p>
        </w:tc>
        <w:tc>
          <w:tcPr>
            <w:tcW w:w="3117" w:type="dxa"/>
          </w:tcPr>
          <w:p w14:paraId="7B7EFA22" w14:textId="77777777" w:rsidR="001E2F9C" w:rsidRPr="001E2F9C" w:rsidRDefault="001E2F9C" w:rsidP="001515D5">
            <w:r w:rsidRPr="001E2F9C">
              <w:t xml:space="preserve">20% </w:t>
            </w:r>
          </w:p>
        </w:tc>
      </w:tr>
      <w:tr w:rsidR="001E2F9C" w14:paraId="262C264E" w14:textId="77777777" w:rsidTr="001515D5">
        <w:tc>
          <w:tcPr>
            <w:tcW w:w="3116" w:type="dxa"/>
          </w:tcPr>
          <w:p w14:paraId="57D765CE" w14:textId="77777777" w:rsidR="001E2F9C" w:rsidRPr="001E2F9C" w:rsidRDefault="001E2F9C" w:rsidP="001515D5">
            <w:r w:rsidRPr="001E2F9C">
              <w:t>Veterans</w:t>
            </w:r>
          </w:p>
        </w:tc>
        <w:tc>
          <w:tcPr>
            <w:tcW w:w="3117" w:type="dxa"/>
          </w:tcPr>
          <w:p w14:paraId="7D697656" w14:textId="77777777" w:rsidR="001E2F9C" w:rsidRPr="001E2F9C" w:rsidRDefault="001E2F9C" w:rsidP="001515D5">
            <w:r w:rsidRPr="001E2F9C">
              <w:t>2,535</w:t>
            </w:r>
          </w:p>
        </w:tc>
        <w:tc>
          <w:tcPr>
            <w:tcW w:w="3117" w:type="dxa"/>
          </w:tcPr>
          <w:p w14:paraId="51EDADAA" w14:textId="77777777" w:rsidR="001E2F9C" w:rsidRPr="001E2F9C" w:rsidRDefault="001E2F9C" w:rsidP="001515D5">
            <w:r w:rsidRPr="001E2F9C">
              <w:t>2,168</w:t>
            </w:r>
          </w:p>
        </w:tc>
      </w:tr>
      <w:tr w:rsidR="001E2F9C" w14:paraId="1B2F9B9D" w14:textId="77777777" w:rsidTr="001515D5">
        <w:tc>
          <w:tcPr>
            <w:tcW w:w="3116" w:type="dxa"/>
          </w:tcPr>
          <w:p w14:paraId="06C6461F" w14:textId="77777777" w:rsidR="001E2F9C" w:rsidRPr="001E2F9C" w:rsidRDefault="001E2F9C" w:rsidP="001515D5">
            <w:r w:rsidRPr="001E2F9C">
              <w:t>Domestic Violence Victims</w:t>
            </w:r>
          </w:p>
        </w:tc>
        <w:tc>
          <w:tcPr>
            <w:tcW w:w="3117" w:type="dxa"/>
          </w:tcPr>
          <w:p w14:paraId="7F7CC72F" w14:textId="77777777" w:rsidR="001E2F9C" w:rsidRPr="001E2F9C" w:rsidRDefault="001E2F9C" w:rsidP="001515D5">
            <w:r w:rsidRPr="001E2F9C">
              <w:t>1,403</w:t>
            </w:r>
          </w:p>
        </w:tc>
        <w:tc>
          <w:tcPr>
            <w:tcW w:w="3117" w:type="dxa"/>
          </w:tcPr>
          <w:p w14:paraId="70F2518E" w14:textId="77777777" w:rsidR="001E2F9C" w:rsidRPr="001E2F9C" w:rsidRDefault="001E2F9C" w:rsidP="001515D5">
            <w:r w:rsidRPr="001E2F9C">
              <w:t>1,592</w:t>
            </w:r>
          </w:p>
        </w:tc>
      </w:tr>
    </w:tbl>
    <w:p w14:paraId="0C71A696" w14:textId="77777777" w:rsidR="001E2F9C" w:rsidRPr="00703397" w:rsidRDefault="001E2F9C" w:rsidP="001E2F9C">
      <w:r w:rsidRPr="002C42EC">
        <w:t>Source: SC ICH, 2022.</w:t>
      </w:r>
    </w:p>
    <w:p w14:paraId="2AB02BD4" w14:textId="77777777" w:rsidR="00722CE9" w:rsidRDefault="00722CE9" w:rsidP="00722CE9"/>
    <w:p w14:paraId="59691067" w14:textId="2343814B" w:rsidR="00722CE9" w:rsidRPr="00722CE9" w:rsidRDefault="00722CE9" w:rsidP="00722CE9">
      <w:r w:rsidRPr="00722CE9">
        <w:t>During a point-in-time count on January 26, 2022, approximately 346 people in SC experienced chronic homelessness, defined as a person with a minimum of 12 or more months of homelessness and suffering with a long-term disability. In addition to experiencing chronic homelessness, there were 396 people who also reported Veteran status, 569 individuals with SUD, and 594 with a mental illness (</w:t>
      </w:r>
      <w:r w:rsidRPr="00722CE9">
        <w:rPr>
          <w:b/>
          <w:bCs/>
        </w:rPr>
        <w:t>Figure 5.23</w:t>
      </w:r>
      <w:r w:rsidRPr="00722CE9">
        <w:t xml:space="preserve">). The number experiencing both sheltered and unsheltered homelessness decreased in 2022 compared to 2020. Persons sheltered decreased by 10.5%, and persons unsheltered decreased by 22.9% (data not shown). Unsheltered settings include </w:t>
      </w:r>
      <w:proofErr w:type="gramStart"/>
      <w:r w:rsidRPr="00722CE9">
        <w:t>living on the streets</w:t>
      </w:r>
      <w:proofErr w:type="gramEnd"/>
      <w:r w:rsidRPr="00722CE9">
        <w:t xml:space="preserve"> — in a vehicle, parks or abandoned buildings — while sheltered homelessness settings include those who are living in emergency or transitional housing.</w:t>
      </w:r>
    </w:p>
    <w:p w14:paraId="479F4412" w14:textId="77777777" w:rsidR="00722CE9" w:rsidRDefault="00722CE9" w:rsidP="00722CE9"/>
    <w:p w14:paraId="1051166C" w14:textId="77777777" w:rsidR="001E2F9C" w:rsidRDefault="001E2F9C" w:rsidP="001E2F9C">
      <w:pPr>
        <w:pStyle w:val="Heading4"/>
      </w:pPr>
      <w:bookmarkStart w:id="173" w:name="_Toc154569795"/>
      <w:bookmarkStart w:id="174" w:name="_Toc162267104"/>
      <w:r>
        <w:t xml:space="preserve">Figure 5.23: </w:t>
      </w:r>
      <w:r w:rsidRPr="002C42EC">
        <w:t>Count of Persons Experiencing Chronic Homelessness, by Subpopulation</w:t>
      </w:r>
      <w:r>
        <w:t>.</w:t>
      </w:r>
      <w:bookmarkEnd w:id="173"/>
      <w:bookmarkEnd w:id="174"/>
    </w:p>
    <w:tbl>
      <w:tblPr>
        <w:tblStyle w:val="TableGrid"/>
        <w:tblW w:w="0" w:type="auto"/>
        <w:tblLook w:val="04A0" w:firstRow="1" w:lastRow="0" w:firstColumn="1" w:lastColumn="0" w:noHBand="0" w:noVBand="1"/>
      </w:tblPr>
      <w:tblGrid>
        <w:gridCol w:w="4675"/>
        <w:gridCol w:w="4675"/>
      </w:tblGrid>
      <w:tr w:rsidR="001E2F9C" w14:paraId="574CF50A" w14:textId="77777777" w:rsidTr="001515D5">
        <w:tc>
          <w:tcPr>
            <w:tcW w:w="4675" w:type="dxa"/>
            <w:vAlign w:val="bottom"/>
          </w:tcPr>
          <w:p w14:paraId="11D5F7D4" w14:textId="77777777" w:rsidR="001E2F9C" w:rsidRDefault="001E2F9C" w:rsidP="001515D5">
            <w:r>
              <w:t>Subpopulation</w:t>
            </w:r>
          </w:p>
        </w:tc>
        <w:tc>
          <w:tcPr>
            <w:tcW w:w="4675" w:type="dxa"/>
            <w:vAlign w:val="bottom"/>
          </w:tcPr>
          <w:p w14:paraId="58913FE4" w14:textId="77777777" w:rsidR="001E2F9C" w:rsidRDefault="001E2F9C" w:rsidP="001515D5">
            <w:r>
              <w:t>Count</w:t>
            </w:r>
          </w:p>
        </w:tc>
      </w:tr>
      <w:tr w:rsidR="001E2F9C" w14:paraId="59757B14" w14:textId="77777777" w:rsidTr="001515D5">
        <w:tc>
          <w:tcPr>
            <w:tcW w:w="4675" w:type="dxa"/>
            <w:vAlign w:val="bottom"/>
          </w:tcPr>
          <w:p w14:paraId="3E6175BF" w14:textId="77777777" w:rsidR="001E2F9C" w:rsidRDefault="001E2F9C" w:rsidP="001515D5">
            <w:r>
              <w:rPr>
                <w:color w:val="000000"/>
              </w:rPr>
              <w:t>Chronically Homeless</w:t>
            </w:r>
          </w:p>
        </w:tc>
        <w:tc>
          <w:tcPr>
            <w:tcW w:w="4675" w:type="dxa"/>
            <w:vAlign w:val="bottom"/>
          </w:tcPr>
          <w:p w14:paraId="3BEEF68E" w14:textId="77777777" w:rsidR="001E2F9C" w:rsidRDefault="001E2F9C" w:rsidP="001515D5">
            <w:r>
              <w:rPr>
                <w:color w:val="000000"/>
              </w:rPr>
              <w:t>346</w:t>
            </w:r>
          </w:p>
        </w:tc>
      </w:tr>
      <w:tr w:rsidR="001E2F9C" w14:paraId="4492B4F8" w14:textId="77777777" w:rsidTr="001515D5">
        <w:tc>
          <w:tcPr>
            <w:tcW w:w="4675" w:type="dxa"/>
            <w:vAlign w:val="bottom"/>
          </w:tcPr>
          <w:p w14:paraId="0AFF91C6" w14:textId="77777777" w:rsidR="001E2F9C" w:rsidRDefault="001E2F9C" w:rsidP="001515D5">
            <w:r>
              <w:rPr>
                <w:color w:val="000000"/>
              </w:rPr>
              <w:t>Chronically Homeless with Mental Illness</w:t>
            </w:r>
          </w:p>
        </w:tc>
        <w:tc>
          <w:tcPr>
            <w:tcW w:w="4675" w:type="dxa"/>
            <w:vAlign w:val="bottom"/>
          </w:tcPr>
          <w:p w14:paraId="098814CD" w14:textId="77777777" w:rsidR="001E2F9C" w:rsidRDefault="001E2F9C" w:rsidP="001515D5">
            <w:r>
              <w:rPr>
                <w:color w:val="000000"/>
              </w:rPr>
              <w:t>594</w:t>
            </w:r>
          </w:p>
        </w:tc>
      </w:tr>
      <w:tr w:rsidR="001E2F9C" w14:paraId="0CC280EF" w14:textId="77777777" w:rsidTr="001515D5">
        <w:tc>
          <w:tcPr>
            <w:tcW w:w="4675" w:type="dxa"/>
            <w:vAlign w:val="bottom"/>
          </w:tcPr>
          <w:p w14:paraId="4B356649" w14:textId="77777777" w:rsidR="001E2F9C" w:rsidRDefault="001E2F9C" w:rsidP="001515D5">
            <w:r>
              <w:rPr>
                <w:color w:val="000000"/>
              </w:rPr>
              <w:t>Chronically Homeless with Substance Use Disorder</w:t>
            </w:r>
          </w:p>
        </w:tc>
        <w:tc>
          <w:tcPr>
            <w:tcW w:w="4675" w:type="dxa"/>
            <w:vAlign w:val="bottom"/>
          </w:tcPr>
          <w:p w14:paraId="5AA1D057" w14:textId="77777777" w:rsidR="001E2F9C" w:rsidRDefault="001E2F9C" w:rsidP="001515D5">
            <w:r>
              <w:rPr>
                <w:color w:val="000000"/>
              </w:rPr>
              <w:t>569</w:t>
            </w:r>
          </w:p>
        </w:tc>
      </w:tr>
      <w:tr w:rsidR="001E2F9C" w14:paraId="50C8F153" w14:textId="77777777" w:rsidTr="001515D5">
        <w:tc>
          <w:tcPr>
            <w:tcW w:w="4675" w:type="dxa"/>
            <w:vAlign w:val="bottom"/>
          </w:tcPr>
          <w:p w14:paraId="1CD916CF" w14:textId="77777777" w:rsidR="001E2F9C" w:rsidRDefault="001E2F9C" w:rsidP="001515D5">
            <w:r>
              <w:rPr>
                <w:color w:val="000000"/>
              </w:rPr>
              <w:t>Chronically Homeless and Veteran</w:t>
            </w:r>
          </w:p>
        </w:tc>
        <w:tc>
          <w:tcPr>
            <w:tcW w:w="4675" w:type="dxa"/>
            <w:vAlign w:val="bottom"/>
          </w:tcPr>
          <w:p w14:paraId="4F4CCFB3" w14:textId="77777777" w:rsidR="001E2F9C" w:rsidRDefault="001E2F9C" w:rsidP="001515D5">
            <w:r>
              <w:rPr>
                <w:color w:val="000000"/>
              </w:rPr>
              <w:t>396</w:t>
            </w:r>
          </w:p>
        </w:tc>
      </w:tr>
      <w:tr w:rsidR="001E2F9C" w14:paraId="456E0A2E" w14:textId="77777777" w:rsidTr="001515D5">
        <w:tc>
          <w:tcPr>
            <w:tcW w:w="4675" w:type="dxa"/>
            <w:vAlign w:val="bottom"/>
          </w:tcPr>
          <w:p w14:paraId="47DEDB30" w14:textId="77777777" w:rsidR="001E2F9C" w:rsidRDefault="001E2F9C" w:rsidP="001515D5">
            <w:r>
              <w:rPr>
                <w:color w:val="000000"/>
              </w:rPr>
              <w:lastRenderedPageBreak/>
              <w:t>Chronically Homeless and Domestic Violence Survivor</w:t>
            </w:r>
          </w:p>
        </w:tc>
        <w:tc>
          <w:tcPr>
            <w:tcW w:w="4675" w:type="dxa"/>
            <w:vAlign w:val="bottom"/>
          </w:tcPr>
          <w:p w14:paraId="4B8B98B4" w14:textId="77777777" w:rsidR="001E2F9C" w:rsidRDefault="001E2F9C" w:rsidP="001515D5">
            <w:r>
              <w:rPr>
                <w:color w:val="000000"/>
              </w:rPr>
              <w:t>216</w:t>
            </w:r>
          </w:p>
        </w:tc>
      </w:tr>
      <w:tr w:rsidR="001E2F9C" w14:paraId="018E28EB" w14:textId="77777777" w:rsidTr="001515D5">
        <w:tc>
          <w:tcPr>
            <w:tcW w:w="4675" w:type="dxa"/>
            <w:vAlign w:val="bottom"/>
          </w:tcPr>
          <w:p w14:paraId="298969EB" w14:textId="77777777" w:rsidR="001E2F9C" w:rsidRDefault="001E2F9C" w:rsidP="001515D5">
            <w:r>
              <w:rPr>
                <w:color w:val="000000"/>
              </w:rPr>
              <w:t>Chronically Homeless Living with HIV/AIDS</w:t>
            </w:r>
          </w:p>
        </w:tc>
        <w:tc>
          <w:tcPr>
            <w:tcW w:w="4675" w:type="dxa"/>
            <w:vAlign w:val="bottom"/>
          </w:tcPr>
          <w:p w14:paraId="17B122BB" w14:textId="77777777" w:rsidR="001E2F9C" w:rsidRDefault="001E2F9C" w:rsidP="001515D5">
            <w:r>
              <w:rPr>
                <w:color w:val="000000"/>
              </w:rPr>
              <w:t>61</w:t>
            </w:r>
          </w:p>
        </w:tc>
      </w:tr>
    </w:tbl>
    <w:p w14:paraId="45C46FB3" w14:textId="77777777" w:rsidR="001E2F9C" w:rsidRPr="00703397" w:rsidRDefault="001E2F9C" w:rsidP="001E2F9C">
      <w:r w:rsidRPr="002C42EC">
        <w:t>Source: SC ICH, 2022.</w:t>
      </w:r>
    </w:p>
    <w:p w14:paraId="5F9F2AE7" w14:textId="77777777" w:rsidR="00722CE9" w:rsidRDefault="00722CE9" w:rsidP="00722CE9"/>
    <w:p w14:paraId="6E3C6A95" w14:textId="44F91F71" w:rsidR="00722CE9" w:rsidRPr="00544ADD" w:rsidRDefault="00722CE9" w:rsidP="00722CE9">
      <w:pPr>
        <w:rPr>
          <w:rStyle w:val="Heading4Char"/>
          <w:rFonts w:asciiTheme="minorHAnsi" w:hAnsiTheme="minorHAnsi" w:cstheme="minorHAnsi"/>
          <w:color w:val="000000" w:themeColor="text1"/>
        </w:rPr>
      </w:pPr>
      <w:bookmarkStart w:id="175" w:name="_Toc162267105"/>
      <w:r w:rsidRPr="00544ADD">
        <w:rPr>
          <w:rStyle w:val="Heading4Char"/>
          <w:rFonts w:asciiTheme="minorHAnsi" w:hAnsiTheme="minorHAnsi" w:cstheme="minorHAnsi"/>
          <w:color w:val="000000" w:themeColor="text1"/>
        </w:rPr>
        <w:t>References 5.11</w:t>
      </w:r>
      <w:bookmarkEnd w:id="175"/>
    </w:p>
    <w:p w14:paraId="4AE68520" w14:textId="24380273" w:rsidR="00722CE9" w:rsidRDefault="00722CE9" w:rsidP="00722CE9">
      <w:r w:rsidRPr="00722CE9">
        <w:t>Statistics in the preceding three paragraphs were referenced from the following reports:</w:t>
      </w:r>
    </w:p>
    <w:p w14:paraId="3D21E8B8" w14:textId="29563AE5" w:rsidR="002B2178" w:rsidRDefault="00544ADD" w:rsidP="00544ADD">
      <w:pPr>
        <w:ind w:left="360"/>
      </w:pPr>
      <w:r>
        <w:t>43.</w:t>
      </w:r>
      <w:hyperlink r:id="rId90" w:history="1">
        <w:r w:rsidR="002B2178" w:rsidRPr="002B2178">
          <w:rPr>
            <w:rStyle w:val="Hyperlink"/>
          </w:rPr>
          <w:t>“2022 SCICH State of Homelessness Report” by the South Carolina Interagency Council on homelessness, 2022.</w:t>
        </w:r>
      </w:hyperlink>
      <w:r w:rsidR="002B2178" w:rsidRPr="002B2178">
        <w:t xml:space="preserve"> </w:t>
      </w:r>
    </w:p>
    <w:p w14:paraId="2CD7EF18" w14:textId="7390D8C0" w:rsidR="002B2178" w:rsidRDefault="00544ADD" w:rsidP="00544ADD">
      <w:pPr>
        <w:ind w:left="360"/>
      </w:pPr>
      <w:r>
        <w:t>57.</w:t>
      </w:r>
      <w:hyperlink r:id="rId91" w:history="1">
        <w:r w:rsidR="002B2178" w:rsidRPr="002B2178">
          <w:rPr>
            <w:rStyle w:val="Hyperlink"/>
          </w:rPr>
          <w:t>“Socioeconomic Status, Definition” by Baker, E.H. Published in The Wiley Blackwell Encyclopedia of Health, Illness, Behavior, and Society, 2014.</w:t>
        </w:r>
      </w:hyperlink>
      <w:r w:rsidR="002B2178" w:rsidRPr="002B2178">
        <w:t xml:space="preserve"> </w:t>
      </w:r>
    </w:p>
    <w:p w14:paraId="54FEECB8" w14:textId="6F7027EE" w:rsidR="002B2178" w:rsidRPr="002B2178" w:rsidRDefault="00000000" w:rsidP="00544ADD">
      <w:pPr>
        <w:pStyle w:val="ListParagraph"/>
        <w:numPr>
          <w:ilvl w:val="0"/>
          <w:numId w:val="231"/>
        </w:numPr>
      </w:pPr>
      <w:hyperlink r:id="rId92" w:history="1">
        <w:r w:rsidR="002B2178" w:rsidRPr="002B2178">
          <w:rPr>
            <w:rStyle w:val="Hyperlink"/>
          </w:rPr>
          <w:t>“Tackling Health Disparities for people who are homeless? start with social determinants” by Stafford, A., &amp; Wood, L. Published in International Journal of Environmental Research and Public Health, 2017.</w:t>
        </w:r>
      </w:hyperlink>
      <w:r w:rsidR="002B2178">
        <w:t xml:space="preserve"> </w:t>
      </w:r>
    </w:p>
    <w:p w14:paraId="52CC2409" w14:textId="5BB1BD2B" w:rsidR="002B2178" w:rsidRPr="002B2178" w:rsidRDefault="00000000" w:rsidP="00544ADD">
      <w:pPr>
        <w:pStyle w:val="ListParagraph"/>
        <w:numPr>
          <w:ilvl w:val="0"/>
          <w:numId w:val="231"/>
        </w:numPr>
        <w:jc w:val="both"/>
      </w:pPr>
      <w:hyperlink r:id="rId93" w:history="1">
        <w:r w:rsidR="002B2178" w:rsidRPr="002B2178">
          <w:rPr>
            <w:rStyle w:val="Hyperlink"/>
          </w:rPr>
          <w:t>“Re-framing the links between homelessness and health: Insights from the social determinants of health perspective” by McLoughlin, P.J., &amp; Carey, G., 2013.</w:t>
        </w:r>
      </w:hyperlink>
      <w:r w:rsidR="002B2178" w:rsidRPr="002B2178">
        <w:t xml:space="preserve"> </w:t>
      </w:r>
    </w:p>
    <w:p w14:paraId="7C8F5B43" w14:textId="38E29B60" w:rsidR="002B2178" w:rsidRPr="002B2178" w:rsidRDefault="00000000" w:rsidP="00544ADD">
      <w:pPr>
        <w:pStyle w:val="ListParagraph"/>
        <w:numPr>
          <w:ilvl w:val="0"/>
          <w:numId w:val="231"/>
        </w:numPr>
      </w:pPr>
      <w:hyperlink r:id="rId94" w:history="1">
        <w:r w:rsidR="002B2178" w:rsidRPr="002B2178">
          <w:rPr>
            <w:rStyle w:val="Hyperlink"/>
          </w:rPr>
          <w:t>“Fast facts: Preventing adverse childhood experiences” published by the Centers for Disease Control and Prevention, 2023.</w:t>
        </w:r>
      </w:hyperlink>
      <w:r w:rsidR="002B2178" w:rsidRPr="002B2178">
        <w:t xml:space="preserve"> </w:t>
      </w:r>
    </w:p>
    <w:p w14:paraId="22AD0C0F" w14:textId="19039380" w:rsidR="002B2178" w:rsidRPr="002B2178" w:rsidRDefault="00000000" w:rsidP="00544ADD">
      <w:pPr>
        <w:pStyle w:val="ListParagraph"/>
        <w:numPr>
          <w:ilvl w:val="0"/>
          <w:numId w:val="231"/>
        </w:numPr>
      </w:pPr>
      <w:hyperlink r:id="rId95" w:history="1">
        <w:r w:rsidR="002B2178" w:rsidRPr="002B2178">
          <w:rPr>
            <w:rStyle w:val="Hyperlink"/>
          </w:rPr>
          <w:t>“</w:t>
        </w:r>
        <w:r w:rsidR="002B2178" w:rsidRPr="002B2178">
          <w:rPr>
            <w:rStyle w:val="Hyperlink"/>
            <w:i/>
            <w:iCs/>
          </w:rPr>
          <w:t xml:space="preserve">Defining homelessness in Data </w:t>
        </w:r>
        <w:r w:rsidR="005476B7" w:rsidRPr="002B2178">
          <w:rPr>
            <w:rStyle w:val="Hyperlink"/>
            <w:i/>
            <w:iCs/>
          </w:rPr>
          <w:t>Collection”</w:t>
        </w:r>
        <w:r w:rsidR="005476B7" w:rsidRPr="002B2178">
          <w:rPr>
            <w:rStyle w:val="Hyperlink"/>
          </w:rPr>
          <w:t xml:space="preserve"> published</w:t>
        </w:r>
        <w:r w:rsidR="002B2178" w:rsidRPr="002B2178">
          <w:rPr>
            <w:rStyle w:val="Hyperlink"/>
          </w:rPr>
          <w:t xml:space="preserve"> by the Centers for Disease Control and Prevention, 2022.</w:t>
        </w:r>
      </w:hyperlink>
      <w:r w:rsidR="002B2178" w:rsidRPr="002B2178">
        <w:t xml:space="preserve"> </w:t>
      </w:r>
    </w:p>
    <w:p w14:paraId="63B45285" w14:textId="6157CE99" w:rsidR="002B2178" w:rsidRPr="002B2178" w:rsidRDefault="00000000" w:rsidP="00544ADD">
      <w:pPr>
        <w:pStyle w:val="ListParagraph"/>
        <w:numPr>
          <w:ilvl w:val="0"/>
          <w:numId w:val="231"/>
        </w:numPr>
      </w:pPr>
      <w:hyperlink r:id="rId96" w:history="1">
        <w:r w:rsidR="002B2178" w:rsidRPr="002B2178">
          <w:rPr>
            <w:rStyle w:val="Hyperlink"/>
          </w:rPr>
          <w:t>“HUD’s definition of Homelessness: Resources and Guidance” published by HUD Exchange, 2019.</w:t>
        </w:r>
      </w:hyperlink>
      <w:r w:rsidR="002B2178">
        <w:t xml:space="preserve"> </w:t>
      </w:r>
    </w:p>
    <w:p w14:paraId="4B8C4E77" w14:textId="45F44941" w:rsidR="002B2178" w:rsidRPr="002B2178" w:rsidRDefault="00000000" w:rsidP="00544ADD">
      <w:pPr>
        <w:pStyle w:val="ListParagraph"/>
        <w:numPr>
          <w:ilvl w:val="0"/>
          <w:numId w:val="231"/>
        </w:numPr>
      </w:pPr>
      <w:hyperlink r:id="rId97" w:history="1">
        <w:r w:rsidR="002B2178" w:rsidRPr="002B2178">
          <w:rPr>
            <w:rStyle w:val="Hyperlink"/>
          </w:rPr>
          <w:t>“ALL IN:  The Federal Strategic Plan to Prevent and End Homelessness” by United States Interagency Council on Homelessness (USICH), 2022.</w:t>
        </w:r>
      </w:hyperlink>
      <w:r w:rsidR="002B2178">
        <w:t xml:space="preserve"> </w:t>
      </w:r>
    </w:p>
    <w:p w14:paraId="1F9EDED9" w14:textId="77777777" w:rsidR="002B2178" w:rsidRDefault="002B2178" w:rsidP="00722CE9"/>
    <w:p w14:paraId="7CDD0CA2" w14:textId="77777777" w:rsidR="00722CE9" w:rsidRDefault="00722CE9" w:rsidP="00EA168E">
      <w:pPr>
        <w:pStyle w:val="Heading5"/>
      </w:pPr>
      <w:r>
        <w:t xml:space="preserve">Key Takeaways: </w:t>
      </w:r>
    </w:p>
    <w:p w14:paraId="17739A08" w14:textId="77777777" w:rsidR="00722CE9" w:rsidRPr="00722CE9" w:rsidRDefault="00722CE9" w:rsidP="00926EB3">
      <w:pPr>
        <w:pStyle w:val="ListParagraph"/>
        <w:numPr>
          <w:ilvl w:val="0"/>
          <w:numId w:val="20"/>
        </w:numPr>
      </w:pPr>
      <w:r w:rsidRPr="00722CE9">
        <w:t>People with disabilities, multilanguage learners of English, and youth/children comprise some of the largest groups experiencing homelessness, while the highest subpopulations of those experiencing chronic homelessness are those with mental illness and substance use disorder.</w:t>
      </w:r>
    </w:p>
    <w:p w14:paraId="238FC5CD" w14:textId="77777777" w:rsidR="00722CE9" w:rsidRDefault="00722CE9" w:rsidP="00722CE9"/>
    <w:p w14:paraId="161BC4C0" w14:textId="77777777" w:rsidR="00722CE9" w:rsidRPr="00722CE9" w:rsidRDefault="00722CE9" w:rsidP="00722CE9">
      <w:pPr>
        <w:pStyle w:val="Heading3"/>
      </w:pPr>
      <w:bookmarkStart w:id="176" w:name="_Toc162267106"/>
      <w:r w:rsidRPr="00722CE9">
        <w:lastRenderedPageBreak/>
        <w:t>Individuals with Disabilities</w:t>
      </w:r>
      <w:bookmarkEnd w:id="176"/>
    </w:p>
    <w:p w14:paraId="2B201340" w14:textId="02288363" w:rsidR="00722CE9" w:rsidRPr="00722CE9" w:rsidRDefault="00722CE9" w:rsidP="00722CE9">
      <w:r w:rsidRPr="00722CE9">
        <w:t>The Americans with Disabilities Act identifies a person with a disability as someone who has a physical or mental impairment that substantially limits one or more major life activities, a history or record of such an impairment, or is perceived by others as having such an impairment (such as hearing or vision loss). People with disabilities often have complex and unmet health care needs, and experience disproportionately poorer health than their peers without a disability. Living with a disability is also a risk factor for several comorbidities. Depression and other mental health conditions are nearly three times higher, and smoking and diabetes two times higher, than for people without a disability</w:t>
      </w:r>
      <w:r>
        <w:t>.</w:t>
      </w:r>
      <w:r w:rsidRPr="00722CE9">
        <w:t xml:space="preserve"> </w:t>
      </w:r>
    </w:p>
    <w:p w14:paraId="6372EFC8" w14:textId="77777777" w:rsidR="00722CE9" w:rsidRDefault="00722CE9" w:rsidP="00722CE9"/>
    <w:p w14:paraId="088F4B6E" w14:textId="6A2E79BE" w:rsidR="00722CE9" w:rsidRDefault="00722CE9" w:rsidP="00722CE9">
      <w:r w:rsidRPr="00722CE9">
        <w:t>The definition of disability used by many surveys focuses on cognitive impairment, physical limitations, and participation restrictions (</w:t>
      </w:r>
      <w:r w:rsidRPr="00722CE9">
        <w:rPr>
          <w:b/>
          <w:bCs/>
        </w:rPr>
        <w:t xml:space="preserve">Table </w:t>
      </w:r>
      <w:r>
        <w:rPr>
          <w:b/>
          <w:bCs/>
        </w:rPr>
        <w:t>5.</w:t>
      </w:r>
      <w:r w:rsidRPr="00722CE9">
        <w:rPr>
          <w:b/>
          <w:bCs/>
        </w:rPr>
        <w:t>1</w:t>
      </w:r>
      <w:r w:rsidRPr="00722CE9">
        <w:t>). In 2020, one in three people (1,304,480) in SC were living with one or more disabilities. One-fifth of non-Hispanic American Indian/Alaska Native people live with a disability (21.2%), the highest of all racial and ethnic groups, with most state estimates disproportionately higher than national percentages (</w:t>
      </w:r>
      <w:r w:rsidRPr="00722CE9">
        <w:rPr>
          <w:b/>
          <w:bCs/>
        </w:rPr>
        <w:t>Figure 5.24</w:t>
      </w:r>
      <w:r w:rsidRPr="00722CE9">
        <w:t>). Almost half of males and females with a disability are aged 75 and older (</w:t>
      </w:r>
      <w:r w:rsidRPr="00722CE9">
        <w:rPr>
          <w:b/>
          <w:bCs/>
        </w:rPr>
        <w:t>Figure 5.25</w:t>
      </w:r>
      <w:r w:rsidRPr="00722CE9">
        <w:t>). More than two times as many people living with a disability (20.3%) than without (9.1%) delay medical care due to cost, and 33.4% of people living with a disability self-reported fair or poor general health, compared to 6.7% without a disability.</w:t>
      </w:r>
      <w:r>
        <w:rPr>
          <w:b/>
          <w:bCs/>
        </w:rPr>
        <w:t xml:space="preserve"> </w:t>
      </w:r>
      <w:r w:rsidRPr="00722CE9">
        <w:t>Mobility disabilities are more common; however, proportionally more people in SC have any type of disability compared to the US (</w:t>
      </w:r>
      <w:r w:rsidRPr="00722CE9">
        <w:rPr>
          <w:b/>
          <w:bCs/>
        </w:rPr>
        <w:t>Figure 5.26</w:t>
      </w:r>
      <w:r w:rsidRPr="00722CE9">
        <w:t>). Despite a decrease in the overall number of individuals living below 150% of the poverty line in 2020 compared to 2015, the number of people with disabilities living below 150% of the poverty line doubled. For example, in 2020, 19.4% of people with a disability were living below 100% of the poverty line, compared to 11.7% of people without a disability (data not shown). In comparison, the total percentage of the SC population living below the poverty line was 13.8%.</w:t>
      </w:r>
    </w:p>
    <w:p w14:paraId="09FA896E" w14:textId="77777777" w:rsidR="00722CE9" w:rsidRDefault="00722CE9" w:rsidP="00722CE9"/>
    <w:p w14:paraId="35E0B820" w14:textId="77777777" w:rsidR="001E2F9C" w:rsidRPr="00703397" w:rsidRDefault="001E2F9C" w:rsidP="001E2F9C">
      <w:pPr>
        <w:pStyle w:val="Heading4"/>
      </w:pPr>
      <w:bookmarkStart w:id="177" w:name="_Toc154569796"/>
      <w:bookmarkStart w:id="178" w:name="_Toc162267107"/>
      <w:r>
        <w:t>Table 5.1: Survey Definition of Disability.</w:t>
      </w:r>
      <w:bookmarkEnd w:id="177"/>
      <w:bookmarkEnd w:id="178"/>
    </w:p>
    <w:tbl>
      <w:tblPr>
        <w:tblStyle w:val="TableGrid"/>
        <w:tblW w:w="0" w:type="auto"/>
        <w:tblLook w:val="04A0" w:firstRow="1" w:lastRow="0" w:firstColumn="1" w:lastColumn="0" w:noHBand="0" w:noVBand="1"/>
      </w:tblPr>
      <w:tblGrid>
        <w:gridCol w:w="4675"/>
        <w:gridCol w:w="4675"/>
      </w:tblGrid>
      <w:tr w:rsidR="001E2F9C" w14:paraId="5736FF46" w14:textId="77777777" w:rsidTr="001515D5">
        <w:tc>
          <w:tcPr>
            <w:tcW w:w="4675" w:type="dxa"/>
            <w:vAlign w:val="bottom"/>
          </w:tcPr>
          <w:p w14:paraId="09047753" w14:textId="77777777" w:rsidR="001E2F9C" w:rsidRPr="001E2F9C" w:rsidRDefault="001E2F9C" w:rsidP="00E13FB3">
            <w:r w:rsidRPr="001E2F9C">
              <w:t>Disability</w:t>
            </w:r>
          </w:p>
        </w:tc>
        <w:tc>
          <w:tcPr>
            <w:tcW w:w="4675" w:type="dxa"/>
            <w:vAlign w:val="bottom"/>
          </w:tcPr>
          <w:p w14:paraId="0B625A83" w14:textId="77777777" w:rsidR="001E2F9C" w:rsidRPr="001E2F9C" w:rsidRDefault="001E2F9C" w:rsidP="00E13FB3">
            <w:r w:rsidRPr="001E2F9C">
              <w:t>Definition</w:t>
            </w:r>
          </w:p>
        </w:tc>
      </w:tr>
      <w:tr w:rsidR="001E2F9C" w14:paraId="4FC811EB" w14:textId="77777777" w:rsidTr="001515D5">
        <w:tc>
          <w:tcPr>
            <w:tcW w:w="4675" w:type="dxa"/>
            <w:vAlign w:val="center"/>
          </w:tcPr>
          <w:p w14:paraId="73EBF64B" w14:textId="77777777" w:rsidR="001E2F9C" w:rsidRPr="001E2F9C" w:rsidRDefault="001E2F9C" w:rsidP="00E13FB3">
            <w:r w:rsidRPr="001E2F9C">
              <w:t>Mobility</w:t>
            </w:r>
          </w:p>
        </w:tc>
        <w:tc>
          <w:tcPr>
            <w:tcW w:w="4675" w:type="dxa"/>
            <w:vAlign w:val="center"/>
          </w:tcPr>
          <w:p w14:paraId="3E54A198" w14:textId="77777777" w:rsidR="001E2F9C" w:rsidRPr="001E2F9C" w:rsidRDefault="001E2F9C" w:rsidP="00E13FB3">
            <w:r w:rsidRPr="001E2F9C">
              <w:t>Serious difficulty walking or climbing stairs</w:t>
            </w:r>
          </w:p>
        </w:tc>
      </w:tr>
      <w:tr w:rsidR="001E2F9C" w14:paraId="20A3C90C" w14:textId="77777777" w:rsidTr="001515D5">
        <w:tc>
          <w:tcPr>
            <w:tcW w:w="4675" w:type="dxa"/>
            <w:vAlign w:val="center"/>
          </w:tcPr>
          <w:p w14:paraId="49644C12" w14:textId="77777777" w:rsidR="001E2F9C" w:rsidRPr="001E2F9C" w:rsidRDefault="001E2F9C" w:rsidP="00E13FB3">
            <w:r w:rsidRPr="001E2F9C">
              <w:t>Cognitive</w:t>
            </w:r>
          </w:p>
        </w:tc>
        <w:tc>
          <w:tcPr>
            <w:tcW w:w="4675" w:type="dxa"/>
            <w:vAlign w:val="center"/>
          </w:tcPr>
          <w:p w14:paraId="27C7375E" w14:textId="77777777" w:rsidR="001E2F9C" w:rsidRPr="001E2F9C" w:rsidRDefault="001E2F9C" w:rsidP="00E13FB3">
            <w:r w:rsidRPr="001E2F9C">
              <w:t>Serious difficulty concentrating, remembering, or making decisions</w:t>
            </w:r>
          </w:p>
        </w:tc>
      </w:tr>
      <w:tr w:rsidR="001E2F9C" w14:paraId="3D738EB0" w14:textId="77777777" w:rsidTr="001515D5">
        <w:tc>
          <w:tcPr>
            <w:tcW w:w="4675" w:type="dxa"/>
            <w:vAlign w:val="center"/>
          </w:tcPr>
          <w:p w14:paraId="4664982B" w14:textId="77777777" w:rsidR="001E2F9C" w:rsidRPr="001E2F9C" w:rsidRDefault="001E2F9C" w:rsidP="00E13FB3">
            <w:r w:rsidRPr="001E2F9C">
              <w:lastRenderedPageBreak/>
              <w:t>Independent Living</w:t>
            </w:r>
          </w:p>
        </w:tc>
        <w:tc>
          <w:tcPr>
            <w:tcW w:w="4675" w:type="dxa"/>
            <w:vAlign w:val="center"/>
          </w:tcPr>
          <w:p w14:paraId="1C2E760D" w14:textId="77777777" w:rsidR="001E2F9C" w:rsidRPr="001E2F9C" w:rsidRDefault="001E2F9C" w:rsidP="00E13FB3">
            <w:r w:rsidRPr="001E2F9C">
              <w:t>Serious difficult doing errands alone, such as visiting a doctor's office</w:t>
            </w:r>
          </w:p>
        </w:tc>
      </w:tr>
      <w:tr w:rsidR="001E2F9C" w14:paraId="707B84FB" w14:textId="77777777" w:rsidTr="001515D5">
        <w:tc>
          <w:tcPr>
            <w:tcW w:w="4675" w:type="dxa"/>
            <w:vAlign w:val="center"/>
          </w:tcPr>
          <w:p w14:paraId="1535D819" w14:textId="77777777" w:rsidR="001E2F9C" w:rsidRPr="001E2F9C" w:rsidRDefault="001E2F9C" w:rsidP="00E13FB3">
            <w:r w:rsidRPr="001E2F9C">
              <w:t>Hearing</w:t>
            </w:r>
          </w:p>
        </w:tc>
        <w:tc>
          <w:tcPr>
            <w:tcW w:w="4675" w:type="dxa"/>
            <w:vAlign w:val="center"/>
          </w:tcPr>
          <w:p w14:paraId="4DAFE89C" w14:textId="77777777" w:rsidR="001E2F9C" w:rsidRPr="001E2F9C" w:rsidRDefault="001E2F9C" w:rsidP="00E13FB3">
            <w:r w:rsidRPr="001E2F9C">
              <w:t>Deafness or serious difficulty hearing</w:t>
            </w:r>
          </w:p>
        </w:tc>
      </w:tr>
      <w:tr w:rsidR="001E2F9C" w14:paraId="295F56B9" w14:textId="77777777" w:rsidTr="001515D5">
        <w:tc>
          <w:tcPr>
            <w:tcW w:w="4675" w:type="dxa"/>
            <w:vAlign w:val="center"/>
          </w:tcPr>
          <w:p w14:paraId="4DA988FE" w14:textId="77777777" w:rsidR="001E2F9C" w:rsidRPr="001E2F9C" w:rsidRDefault="001E2F9C" w:rsidP="00E13FB3">
            <w:r w:rsidRPr="001E2F9C">
              <w:t>Vision</w:t>
            </w:r>
          </w:p>
        </w:tc>
        <w:tc>
          <w:tcPr>
            <w:tcW w:w="4675" w:type="dxa"/>
            <w:vAlign w:val="center"/>
          </w:tcPr>
          <w:p w14:paraId="7BF96331" w14:textId="77777777" w:rsidR="001E2F9C" w:rsidRPr="001E2F9C" w:rsidRDefault="001E2F9C" w:rsidP="00E13FB3">
            <w:r w:rsidRPr="001E2F9C">
              <w:t>Blind or serious difficulty seeing, even when wearing glasses</w:t>
            </w:r>
          </w:p>
        </w:tc>
      </w:tr>
      <w:tr w:rsidR="001E2F9C" w14:paraId="1849D382" w14:textId="77777777" w:rsidTr="001515D5">
        <w:tc>
          <w:tcPr>
            <w:tcW w:w="4675" w:type="dxa"/>
            <w:vAlign w:val="center"/>
          </w:tcPr>
          <w:p w14:paraId="498EBDB7" w14:textId="77777777" w:rsidR="001E2F9C" w:rsidRPr="001E2F9C" w:rsidRDefault="001E2F9C" w:rsidP="00E13FB3">
            <w:r w:rsidRPr="001E2F9C">
              <w:t>Self-Care</w:t>
            </w:r>
          </w:p>
        </w:tc>
        <w:tc>
          <w:tcPr>
            <w:tcW w:w="4675" w:type="dxa"/>
            <w:vAlign w:val="center"/>
          </w:tcPr>
          <w:p w14:paraId="0410EC67" w14:textId="77777777" w:rsidR="001E2F9C" w:rsidRPr="001E2F9C" w:rsidRDefault="001E2F9C" w:rsidP="00E13FB3">
            <w:r w:rsidRPr="001E2F9C">
              <w:t>Difficulty dressing or bathing</w:t>
            </w:r>
          </w:p>
        </w:tc>
      </w:tr>
    </w:tbl>
    <w:p w14:paraId="6343DC85" w14:textId="77777777" w:rsidR="001E2F9C" w:rsidRDefault="001E2F9C" w:rsidP="001E2F9C">
      <w:r w:rsidRPr="002C42EC">
        <w:t xml:space="preserve">Source: </w:t>
      </w:r>
      <w:r>
        <w:t>CDC, 2022</w:t>
      </w:r>
      <w:r w:rsidRPr="002C42EC">
        <w:t>.</w:t>
      </w:r>
    </w:p>
    <w:p w14:paraId="3C8336C5" w14:textId="77777777" w:rsidR="001E2F9C" w:rsidRPr="00703397" w:rsidRDefault="001E2F9C" w:rsidP="001E2F9C"/>
    <w:p w14:paraId="3D6FC04B" w14:textId="77777777" w:rsidR="001E2F9C" w:rsidRDefault="001E2F9C" w:rsidP="001E2F9C">
      <w:pPr>
        <w:pStyle w:val="Heading4"/>
      </w:pPr>
      <w:bookmarkStart w:id="179" w:name="_Toc154569797"/>
      <w:bookmarkStart w:id="180" w:name="_Toc162267108"/>
      <w:r>
        <w:t xml:space="preserve">Figure 5.24: </w:t>
      </w:r>
      <w:r w:rsidRPr="00D351D4">
        <w:t>Individuals with Disabilities, by Race/Ethnicity</w:t>
      </w:r>
      <w:r>
        <w:t>.</w:t>
      </w:r>
      <w:bookmarkEnd w:id="179"/>
      <w:bookmarkEnd w:id="180"/>
    </w:p>
    <w:tbl>
      <w:tblPr>
        <w:tblStyle w:val="TableGrid"/>
        <w:tblW w:w="0" w:type="auto"/>
        <w:tblLook w:val="04A0" w:firstRow="1" w:lastRow="0" w:firstColumn="1" w:lastColumn="0" w:noHBand="0" w:noVBand="1"/>
      </w:tblPr>
      <w:tblGrid>
        <w:gridCol w:w="3116"/>
        <w:gridCol w:w="3117"/>
        <w:gridCol w:w="3117"/>
      </w:tblGrid>
      <w:tr w:rsidR="001E2F9C" w14:paraId="44CADC21" w14:textId="77777777" w:rsidTr="001515D5">
        <w:tc>
          <w:tcPr>
            <w:tcW w:w="3116" w:type="dxa"/>
            <w:vAlign w:val="bottom"/>
          </w:tcPr>
          <w:p w14:paraId="0330DF42" w14:textId="77777777" w:rsidR="001E2F9C" w:rsidRPr="00D351D4" w:rsidRDefault="001E2F9C" w:rsidP="001515D5">
            <w:r>
              <w:t>Race</w:t>
            </w:r>
          </w:p>
        </w:tc>
        <w:tc>
          <w:tcPr>
            <w:tcW w:w="3117" w:type="dxa"/>
            <w:vAlign w:val="bottom"/>
          </w:tcPr>
          <w:p w14:paraId="04F18A92" w14:textId="77777777" w:rsidR="001E2F9C" w:rsidRPr="00D351D4" w:rsidRDefault="001E2F9C" w:rsidP="001515D5">
            <w:r w:rsidRPr="00D351D4">
              <w:t>South Carolina</w:t>
            </w:r>
          </w:p>
        </w:tc>
        <w:tc>
          <w:tcPr>
            <w:tcW w:w="3117" w:type="dxa"/>
            <w:vAlign w:val="bottom"/>
          </w:tcPr>
          <w:p w14:paraId="415DC13B" w14:textId="77777777" w:rsidR="001E2F9C" w:rsidRPr="00D351D4" w:rsidRDefault="001E2F9C" w:rsidP="001515D5">
            <w:r w:rsidRPr="00D351D4">
              <w:t>United States</w:t>
            </w:r>
          </w:p>
        </w:tc>
      </w:tr>
      <w:tr w:rsidR="001E2F9C" w14:paraId="3FD8269D" w14:textId="77777777" w:rsidTr="001515D5">
        <w:tc>
          <w:tcPr>
            <w:tcW w:w="3116" w:type="dxa"/>
            <w:vAlign w:val="bottom"/>
          </w:tcPr>
          <w:p w14:paraId="356BBF2C" w14:textId="77777777" w:rsidR="001E2F9C" w:rsidRPr="00D351D4" w:rsidRDefault="001E2F9C" w:rsidP="001515D5">
            <w:r w:rsidRPr="00D351D4">
              <w:t>American Indian/Alaska Native</w:t>
            </w:r>
          </w:p>
        </w:tc>
        <w:tc>
          <w:tcPr>
            <w:tcW w:w="3117" w:type="dxa"/>
            <w:vAlign w:val="bottom"/>
          </w:tcPr>
          <w:p w14:paraId="0191C505" w14:textId="77777777" w:rsidR="001E2F9C" w:rsidRPr="00D351D4" w:rsidRDefault="001E2F9C" w:rsidP="001515D5">
            <w:r w:rsidRPr="00D351D4">
              <w:t>21.2%</w:t>
            </w:r>
          </w:p>
        </w:tc>
        <w:tc>
          <w:tcPr>
            <w:tcW w:w="3117" w:type="dxa"/>
            <w:vAlign w:val="bottom"/>
          </w:tcPr>
          <w:p w14:paraId="503FEF9C" w14:textId="77777777" w:rsidR="001E2F9C" w:rsidRPr="00D351D4" w:rsidRDefault="001E2F9C" w:rsidP="001515D5">
            <w:r w:rsidRPr="00D351D4">
              <w:t>16.9%</w:t>
            </w:r>
          </w:p>
        </w:tc>
      </w:tr>
      <w:tr w:rsidR="001E2F9C" w14:paraId="0C1CCF4A" w14:textId="77777777" w:rsidTr="001515D5">
        <w:tc>
          <w:tcPr>
            <w:tcW w:w="3116" w:type="dxa"/>
            <w:vAlign w:val="bottom"/>
          </w:tcPr>
          <w:p w14:paraId="624E2C66" w14:textId="77777777" w:rsidR="001E2F9C" w:rsidRPr="00D351D4" w:rsidRDefault="001E2F9C" w:rsidP="001515D5">
            <w:r w:rsidRPr="00D351D4">
              <w:t>Non-Hispanic Black</w:t>
            </w:r>
          </w:p>
        </w:tc>
        <w:tc>
          <w:tcPr>
            <w:tcW w:w="3117" w:type="dxa"/>
            <w:vAlign w:val="bottom"/>
          </w:tcPr>
          <w:p w14:paraId="6C0A3D50" w14:textId="77777777" w:rsidR="001E2F9C" w:rsidRPr="00D351D4" w:rsidRDefault="001E2F9C" w:rsidP="001515D5">
            <w:r w:rsidRPr="00D351D4">
              <w:t>15.3%</w:t>
            </w:r>
          </w:p>
        </w:tc>
        <w:tc>
          <w:tcPr>
            <w:tcW w:w="3117" w:type="dxa"/>
            <w:vAlign w:val="bottom"/>
          </w:tcPr>
          <w:p w14:paraId="5FDF145B" w14:textId="77777777" w:rsidR="001E2F9C" w:rsidRPr="00D351D4" w:rsidRDefault="001E2F9C" w:rsidP="001515D5">
            <w:r w:rsidRPr="00D351D4">
              <w:t>14.0%</w:t>
            </w:r>
          </w:p>
        </w:tc>
      </w:tr>
      <w:tr w:rsidR="001E2F9C" w14:paraId="2DCBDB52" w14:textId="77777777" w:rsidTr="001515D5">
        <w:tc>
          <w:tcPr>
            <w:tcW w:w="3116" w:type="dxa"/>
            <w:vAlign w:val="bottom"/>
          </w:tcPr>
          <w:p w14:paraId="4848F065" w14:textId="77777777" w:rsidR="001E2F9C" w:rsidRPr="00D351D4" w:rsidRDefault="001E2F9C" w:rsidP="001515D5">
            <w:r w:rsidRPr="00D351D4">
              <w:t>Non-Hispanic White</w:t>
            </w:r>
          </w:p>
        </w:tc>
        <w:tc>
          <w:tcPr>
            <w:tcW w:w="3117" w:type="dxa"/>
            <w:vAlign w:val="bottom"/>
          </w:tcPr>
          <w:p w14:paraId="313B3A78" w14:textId="77777777" w:rsidR="001E2F9C" w:rsidRPr="00D351D4" w:rsidRDefault="001E2F9C" w:rsidP="001515D5">
            <w:r w:rsidRPr="00D351D4">
              <w:t>15.1%</w:t>
            </w:r>
          </w:p>
        </w:tc>
        <w:tc>
          <w:tcPr>
            <w:tcW w:w="3117" w:type="dxa"/>
            <w:vAlign w:val="bottom"/>
          </w:tcPr>
          <w:p w14:paraId="483ED706" w14:textId="77777777" w:rsidR="001E2F9C" w:rsidRPr="00D351D4" w:rsidRDefault="001E2F9C" w:rsidP="001515D5">
            <w:r w:rsidRPr="00D351D4">
              <w:t>14.0%</w:t>
            </w:r>
          </w:p>
        </w:tc>
      </w:tr>
      <w:tr w:rsidR="001E2F9C" w14:paraId="7E8489C1" w14:textId="77777777" w:rsidTr="001515D5">
        <w:tc>
          <w:tcPr>
            <w:tcW w:w="3116" w:type="dxa"/>
            <w:vAlign w:val="bottom"/>
          </w:tcPr>
          <w:p w14:paraId="00A99FFA" w14:textId="77777777" w:rsidR="001E2F9C" w:rsidRPr="00D351D4" w:rsidRDefault="001E2F9C" w:rsidP="001515D5">
            <w:r w:rsidRPr="00D351D4">
              <w:t>Two or More Races</w:t>
            </w:r>
          </w:p>
        </w:tc>
        <w:tc>
          <w:tcPr>
            <w:tcW w:w="3117" w:type="dxa"/>
            <w:vAlign w:val="bottom"/>
          </w:tcPr>
          <w:p w14:paraId="066ADC5E" w14:textId="77777777" w:rsidR="001E2F9C" w:rsidRPr="00D351D4" w:rsidRDefault="001E2F9C" w:rsidP="001515D5">
            <w:r w:rsidRPr="00D351D4">
              <w:t>11.8%</w:t>
            </w:r>
          </w:p>
        </w:tc>
        <w:tc>
          <w:tcPr>
            <w:tcW w:w="3117" w:type="dxa"/>
            <w:vAlign w:val="bottom"/>
          </w:tcPr>
          <w:p w14:paraId="4C94AB82" w14:textId="77777777" w:rsidR="001E2F9C" w:rsidRPr="00D351D4" w:rsidRDefault="001E2F9C" w:rsidP="001515D5">
            <w:r w:rsidRPr="00D351D4">
              <w:t>10.4%</w:t>
            </w:r>
          </w:p>
        </w:tc>
      </w:tr>
      <w:tr w:rsidR="001E2F9C" w14:paraId="18539D01" w14:textId="77777777" w:rsidTr="001515D5">
        <w:tc>
          <w:tcPr>
            <w:tcW w:w="3116" w:type="dxa"/>
            <w:vAlign w:val="bottom"/>
          </w:tcPr>
          <w:p w14:paraId="3DA5AC72" w14:textId="77777777" w:rsidR="001E2F9C" w:rsidRPr="00D351D4" w:rsidRDefault="001E2F9C" w:rsidP="001515D5">
            <w:r w:rsidRPr="00D351D4">
              <w:t>Other Race</w:t>
            </w:r>
          </w:p>
        </w:tc>
        <w:tc>
          <w:tcPr>
            <w:tcW w:w="3117" w:type="dxa"/>
            <w:vAlign w:val="bottom"/>
          </w:tcPr>
          <w:p w14:paraId="17D56A82" w14:textId="77777777" w:rsidR="001E2F9C" w:rsidRPr="00D351D4" w:rsidRDefault="001E2F9C" w:rsidP="001515D5">
            <w:r w:rsidRPr="00D351D4">
              <w:t>10.6%</w:t>
            </w:r>
          </w:p>
        </w:tc>
        <w:tc>
          <w:tcPr>
            <w:tcW w:w="3117" w:type="dxa"/>
            <w:vAlign w:val="bottom"/>
          </w:tcPr>
          <w:p w14:paraId="7163AF93" w14:textId="77777777" w:rsidR="001E2F9C" w:rsidRPr="00D351D4" w:rsidRDefault="001E2F9C" w:rsidP="001515D5">
            <w:r w:rsidRPr="00D351D4">
              <w:t>9.1%</w:t>
            </w:r>
          </w:p>
        </w:tc>
      </w:tr>
      <w:tr w:rsidR="001E2F9C" w14:paraId="20112041" w14:textId="77777777" w:rsidTr="001515D5">
        <w:tc>
          <w:tcPr>
            <w:tcW w:w="3116" w:type="dxa"/>
            <w:vAlign w:val="bottom"/>
          </w:tcPr>
          <w:p w14:paraId="5ABAF9EA" w14:textId="77777777" w:rsidR="001E2F9C" w:rsidRPr="00D351D4" w:rsidRDefault="001E2F9C" w:rsidP="001515D5">
            <w:r w:rsidRPr="00D351D4">
              <w:t>Native Hawaiian or Other Pacific Islander</w:t>
            </w:r>
          </w:p>
        </w:tc>
        <w:tc>
          <w:tcPr>
            <w:tcW w:w="3117" w:type="dxa"/>
            <w:vAlign w:val="bottom"/>
          </w:tcPr>
          <w:p w14:paraId="52127BF2" w14:textId="77777777" w:rsidR="001E2F9C" w:rsidRPr="00D351D4" w:rsidRDefault="001E2F9C" w:rsidP="001515D5">
            <w:r w:rsidRPr="00D351D4">
              <w:t>8.3%</w:t>
            </w:r>
          </w:p>
        </w:tc>
        <w:tc>
          <w:tcPr>
            <w:tcW w:w="3117" w:type="dxa"/>
            <w:vAlign w:val="bottom"/>
          </w:tcPr>
          <w:p w14:paraId="2A29C902" w14:textId="77777777" w:rsidR="001E2F9C" w:rsidRPr="00D351D4" w:rsidRDefault="001E2F9C" w:rsidP="001515D5">
            <w:r w:rsidRPr="00D351D4">
              <w:t>11.3%</w:t>
            </w:r>
          </w:p>
        </w:tc>
      </w:tr>
      <w:tr w:rsidR="001E2F9C" w14:paraId="20A12E6F" w14:textId="77777777" w:rsidTr="001515D5">
        <w:tc>
          <w:tcPr>
            <w:tcW w:w="3116" w:type="dxa"/>
            <w:vAlign w:val="bottom"/>
          </w:tcPr>
          <w:p w14:paraId="4C0F1EE0" w14:textId="77777777" w:rsidR="001E2F9C" w:rsidRPr="00D351D4" w:rsidRDefault="001E2F9C" w:rsidP="001515D5">
            <w:r w:rsidRPr="00D351D4">
              <w:t>Hispanic or Latino</w:t>
            </w:r>
          </w:p>
        </w:tc>
        <w:tc>
          <w:tcPr>
            <w:tcW w:w="3117" w:type="dxa"/>
            <w:vAlign w:val="bottom"/>
          </w:tcPr>
          <w:p w14:paraId="7B20593A" w14:textId="77777777" w:rsidR="001E2F9C" w:rsidRPr="00D351D4" w:rsidRDefault="001E2F9C" w:rsidP="001515D5">
            <w:r w:rsidRPr="00D351D4">
              <w:t>7.8%</w:t>
            </w:r>
          </w:p>
        </w:tc>
        <w:tc>
          <w:tcPr>
            <w:tcW w:w="3117" w:type="dxa"/>
            <w:vAlign w:val="bottom"/>
          </w:tcPr>
          <w:p w14:paraId="230C0ED1" w14:textId="77777777" w:rsidR="001E2F9C" w:rsidRPr="00D351D4" w:rsidRDefault="001E2F9C" w:rsidP="001515D5">
            <w:r w:rsidRPr="00D351D4">
              <w:t>9.2%</w:t>
            </w:r>
          </w:p>
        </w:tc>
      </w:tr>
      <w:tr w:rsidR="001E2F9C" w14:paraId="71D7CE83" w14:textId="77777777" w:rsidTr="001515D5">
        <w:tc>
          <w:tcPr>
            <w:tcW w:w="3116" w:type="dxa"/>
            <w:vAlign w:val="bottom"/>
          </w:tcPr>
          <w:p w14:paraId="627F2F3D" w14:textId="77777777" w:rsidR="001E2F9C" w:rsidRPr="00D351D4" w:rsidRDefault="001E2F9C" w:rsidP="001515D5">
            <w:r>
              <w:t>Asian</w:t>
            </w:r>
          </w:p>
        </w:tc>
        <w:tc>
          <w:tcPr>
            <w:tcW w:w="3117" w:type="dxa"/>
            <w:vAlign w:val="bottom"/>
          </w:tcPr>
          <w:p w14:paraId="44442BF9" w14:textId="77777777" w:rsidR="001E2F9C" w:rsidRPr="00D351D4" w:rsidRDefault="001E2F9C" w:rsidP="001515D5">
            <w:r>
              <w:t>7.3%</w:t>
            </w:r>
          </w:p>
        </w:tc>
        <w:tc>
          <w:tcPr>
            <w:tcW w:w="3117" w:type="dxa"/>
            <w:vAlign w:val="bottom"/>
          </w:tcPr>
          <w:p w14:paraId="0657D01E" w14:textId="77777777" w:rsidR="001E2F9C" w:rsidRPr="00D351D4" w:rsidRDefault="001E2F9C" w:rsidP="001515D5">
            <w:r>
              <w:t>7.2%</w:t>
            </w:r>
          </w:p>
        </w:tc>
      </w:tr>
    </w:tbl>
    <w:p w14:paraId="7F1A5998" w14:textId="77777777" w:rsidR="001E2F9C" w:rsidRPr="00D351D4" w:rsidRDefault="001E2F9C" w:rsidP="001E2F9C">
      <w:r w:rsidRPr="00D351D4">
        <w:t xml:space="preserve">Source: US Census ACS, 2016-2020. </w:t>
      </w:r>
    </w:p>
    <w:p w14:paraId="30EC0C8A" w14:textId="77777777" w:rsidR="001E2F9C" w:rsidRDefault="001E2F9C" w:rsidP="001E2F9C">
      <w:r w:rsidRPr="00D351D4">
        <w:t>Note: 5 year estimates. Hispanic can be of any race.</w:t>
      </w:r>
    </w:p>
    <w:p w14:paraId="6CF78D8D" w14:textId="77777777" w:rsidR="001E2F9C" w:rsidRPr="00D351D4" w:rsidRDefault="001E2F9C" w:rsidP="001E2F9C"/>
    <w:p w14:paraId="6AA9C865" w14:textId="77777777" w:rsidR="001E2F9C" w:rsidRDefault="001E2F9C" w:rsidP="001E2F9C">
      <w:pPr>
        <w:pStyle w:val="Heading4"/>
      </w:pPr>
      <w:bookmarkStart w:id="181" w:name="_Toc154569798"/>
      <w:bookmarkStart w:id="182" w:name="_Toc162267109"/>
      <w:r>
        <w:t xml:space="preserve">Figure 5.25: </w:t>
      </w:r>
      <w:r w:rsidRPr="00D351D4">
        <w:t>Individuals with Disabilitie</w:t>
      </w:r>
      <w:r>
        <w:t>s in South Carolina</w:t>
      </w:r>
      <w:r w:rsidRPr="00D351D4">
        <w:t xml:space="preserve">, by </w:t>
      </w:r>
      <w:r>
        <w:t>Age and Sex.</w:t>
      </w:r>
      <w:bookmarkEnd w:id="181"/>
      <w:bookmarkEnd w:id="182"/>
    </w:p>
    <w:tbl>
      <w:tblPr>
        <w:tblStyle w:val="TableGrid"/>
        <w:tblW w:w="0" w:type="auto"/>
        <w:tblLook w:val="04A0" w:firstRow="1" w:lastRow="0" w:firstColumn="1" w:lastColumn="0" w:noHBand="0" w:noVBand="1"/>
      </w:tblPr>
      <w:tblGrid>
        <w:gridCol w:w="3116"/>
        <w:gridCol w:w="3117"/>
        <w:gridCol w:w="3117"/>
      </w:tblGrid>
      <w:tr w:rsidR="001E2F9C" w14:paraId="5C2B0431" w14:textId="77777777" w:rsidTr="001515D5">
        <w:tc>
          <w:tcPr>
            <w:tcW w:w="3116" w:type="dxa"/>
            <w:vAlign w:val="bottom"/>
          </w:tcPr>
          <w:p w14:paraId="0E79C8B9" w14:textId="77777777" w:rsidR="001E2F9C" w:rsidRPr="00D351D4" w:rsidRDefault="001E2F9C" w:rsidP="001515D5">
            <w:r>
              <w:t>Age</w:t>
            </w:r>
          </w:p>
        </w:tc>
        <w:tc>
          <w:tcPr>
            <w:tcW w:w="3117" w:type="dxa"/>
            <w:vAlign w:val="bottom"/>
          </w:tcPr>
          <w:p w14:paraId="7116289C" w14:textId="77777777" w:rsidR="001E2F9C" w:rsidRPr="00D351D4" w:rsidRDefault="001E2F9C" w:rsidP="001515D5">
            <w:r w:rsidRPr="00D351D4">
              <w:t>Males</w:t>
            </w:r>
          </w:p>
        </w:tc>
        <w:tc>
          <w:tcPr>
            <w:tcW w:w="3117" w:type="dxa"/>
            <w:vAlign w:val="bottom"/>
          </w:tcPr>
          <w:p w14:paraId="7A20ECD8" w14:textId="77777777" w:rsidR="001E2F9C" w:rsidRPr="00D351D4" w:rsidRDefault="001E2F9C" w:rsidP="001515D5">
            <w:r w:rsidRPr="00D351D4">
              <w:t>Females</w:t>
            </w:r>
          </w:p>
        </w:tc>
      </w:tr>
      <w:tr w:rsidR="001E2F9C" w14:paraId="419036A0" w14:textId="77777777" w:rsidTr="001515D5">
        <w:tc>
          <w:tcPr>
            <w:tcW w:w="3116" w:type="dxa"/>
            <w:vAlign w:val="bottom"/>
          </w:tcPr>
          <w:p w14:paraId="794CB107" w14:textId="77777777" w:rsidR="001E2F9C" w:rsidRPr="00D351D4" w:rsidRDefault="001E2F9C" w:rsidP="001515D5">
            <w:r w:rsidRPr="00D351D4">
              <w:t>Under 5 years</w:t>
            </w:r>
          </w:p>
        </w:tc>
        <w:tc>
          <w:tcPr>
            <w:tcW w:w="3117" w:type="dxa"/>
            <w:vAlign w:val="bottom"/>
          </w:tcPr>
          <w:p w14:paraId="0E304299" w14:textId="77777777" w:rsidR="001E2F9C" w:rsidRPr="00D351D4" w:rsidRDefault="001E2F9C" w:rsidP="001515D5">
            <w:r w:rsidRPr="00D351D4">
              <w:t>-0.8%</w:t>
            </w:r>
          </w:p>
        </w:tc>
        <w:tc>
          <w:tcPr>
            <w:tcW w:w="3117" w:type="dxa"/>
            <w:vAlign w:val="bottom"/>
          </w:tcPr>
          <w:p w14:paraId="6C778E05" w14:textId="77777777" w:rsidR="001E2F9C" w:rsidRPr="00D351D4" w:rsidRDefault="001E2F9C" w:rsidP="001515D5">
            <w:r w:rsidRPr="00D351D4">
              <w:t>0.9%</w:t>
            </w:r>
          </w:p>
        </w:tc>
      </w:tr>
      <w:tr w:rsidR="001E2F9C" w14:paraId="1BA60C2C" w14:textId="77777777" w:rsidTr="001515D5">
        <w:tc>
          <w:tcPr>
            <w:tcW w:w="3116" w:type="dxa"/>
            <w:vAlign w:val="bottom"/>
          </w:tcPr>
          <w:p w14:paraId="548C65AD" w14:textId="77777777" w:rsidR="001E2F9C" w:rsidRPr="00D351D4" w:rsidRDefault="001E2F9C" w:rsidP="001515D5">
            <w:r w:rsidRPr="00D351D4">
              <w:t>5 to 17 years</w:t>
            </w:r>
          </w:p>
        </w:tc>
        <w:tc>
          <w:tcPr>
            <w:tcW w:w="3117" w:type="dxa"/>
            <w:vAlign w:val="bottom"/>
          </w:tcPr>
          <w:p w14:paraId="2925779D" w14:textId="77777777" w:rsidR="001E2F9C" w:rsidRPr="00D351D4" w:rsidRDefault="001E2F9C" w:rsidP="001515D5">
            <w:r w:rsidRPr="00D351D4">
              <w:t>-7.7%</w:t>
            </w:r>
          </w:p>
        </w:tc>
        <w:tc>
          <w:tcPr>
            <w:tcW w:w="3117" w:type="dxa"/>
            <w:vAlign w:val="bottom"/>
          </w:tcPr>
          <w:p w14:paraId="1D6A8CBE" w14:textId="77777777" w:rsidR="001E2F9C" w:rsidRPr="00D351D4" w:rsidRDefault="001E2F9C" w:rsidP="001515D5">
            <w:r w:rsidRPr="00D351D4">
              <w:t>4.4%</w:t>
            </w:r>
          </w:p>
        </w:tc>
      </w:tr>
      <w:tr w:rsidR="001E2F9C" w14:paraId="1515F848" w14:textId="77777777" w:rsidTr="001515D5">
        <w:tc>
          <w:tcPr>
            <w:tcW w:w="3116" w:type="dxa"/>
            <w:vAlign w:val="bottom"/>
          </w:tcPr>
          <w:p w14:paraId="4C2DC1D6" w14:textId="77777777" w:rsidR="001E2F9C" w:rsidRPr="00D351D4" w:rsidRDefault="001E2F9C" w:rsidP="001515D5">
            <w:r w:rsidRPr="00D351D4">
              <w:t>18 to 34 years</w:t>
            </w:r>
          </w:p>
        </w:tc>
        <w:tc>
          <w:tcPr>
            <w:tcW w:w="3117" w:type="dxa"/>
            <w:vAlign w:val="bottom"/>
          </w:tcPr>
          <w:p w14:paraId="1271FE05" w14:textId="77777777" w:rsidR="001E2F9C" w:rsidRPr="00D351D4" w:rsidRDefault="001E2F9C" w:rsidP="001515D5">
            <w:r w:rsidRPr="00D351D4">
              <w:t>-7.7%</w:t>
            </w:r>
          </w:p>
        </w:tc>
        <w:tc>
          <w:tcPr>
            <w:tcW w:w="3117" w:type="dxa"/>
            <w:vAlign w:val="bottom"/>
          </w:tcPr>
          <w:p w14:paraId="3A2AC009" w14:textId="77777777" w:rsidR="001E2F9C" w:rsidRPr="00D351D4" w:rsidRDefault="001E2F9C" w:rsidP="001515D5">
            <w:r w:rsidRPr="00D351D4">
              <w:t>6.3%</w:t>
            </w:r>
          </w:p>
        </w:tc>
      </w:tr>
      <w:tr w:rsidR="001E2F9C" w14:paraId="06EA1906" w14:textId="77777777" w:rsidTr="001515D5">
        <w:tc>
          <w:tcPr>
            <w:tcW w:w="3116" w:type="dxa"/>
            <w:vAlign w:val="bottom"/>
          </w:tcPr>
          <w:p w14:paraId="06E2A1ED" w14:textId="77777777" w:rsidR="001E2F9C" w:rsidRPr="00D351D4" w:rsidRDefault="001E2F9C" w:rsidP="001515D5">
            <w:r w:rsidRPr="00D351D4">
              <w:t>35 to 64 years</w:t>
            </w:r>
          </w:p>
        </w:tc>
        <w:tc>
          <w:tcPr>
            <w:tcW w:w="3117" w:type="dxa"/>
            <w:vAlign w:val="bottom"/>
          </w:tcPr>
          <w:p w14:paraId="3F6AA450" w14:textId="77777777" w:rsidR="001E2F9C" w:rsidRPr="00D351D4" w:rsidRDefault="001E2F9C" w:rsidP="001515D5">
            <w:r w:rsidRPr="00D351D4">
              <w:t>-15.5%</w:t>
            </w:r>
          </w:p>
        </w:tc>
        <w:tc>
          <w:tcPr>
            <w:tcW w:w="3117" w:type="dxa"/>
            <w:vAlign w:val="bottom"/>
          </w:tcPr>
          <w:p w14:paraId="792E7922" w14:textId="77777777" w:rsidR="001E2F9C" w:rsidRPr="00D351D4" w:rsidRDefault="001E2F9C" w:rsidP="001515D5">
            <w:r w:rsidRPr="00D351D4">
              <w:t>14.9%</w:t>
            </w:r>
          </w:p>
        </w:tc>
      </w:tr>
      <w:tr w:rsidR="001E2F9C" w14:paraId="2FBE3916" w14:textId="77777777" w:rsidTr="001515D5">
        <w:tc>
          <w:tcPr>
            <w:tcW w:w="3116" w:type="dxa"/>
            <w:vAlign w:val="bottom"/>
          </w:tcPr>
          <w:p w14:paraId="5DCE9E78" w14:textId="77777777" w:rsidR="001E2F9C" w:rsidRPr="00D351D4" w:rsidRDefault="001E2F9C" w:rsidP="001515D5">
            <w:r w:rsidRPr="00D351D4">
              <w:t>65 to 74 years</w:t>
            </w:r>
          </w:p>
        </w:tc>
        <w:tc>
          <w:tcPr>
            <w:tcW w:w="3117" w:type="dxa"/>
            <w:vAlign w:val="bottom"/>
          </w:tcPr>
          <w:p w14:paraId="5AA250A3" w14:textId="77777777" w:rsidR="001E2F9C" w:rsidRPr="00D351D4" w:rsidRDefault="001E2F9C" w:rsidP="001515D5">
            <w:r w:rsidRPr="00D351D4">
              <w:t>-28.8%</w:t>
            </w:r>
          </w:p>
        </w:tc>
        <w:tc>
          <w:tcPr>
            <w:tcW w:w="3117" w:type="dxa"/>
            <w:vAlign w:val="bottom"/>
          </w:tcPr>
          <w:p w14:paraId="1FFC5E66" w14:textId="77777777" w:rsidR="001E2F9C" w:rsidRPr="00D351D4" w:rsidRDefault="001E2F9C" w:rsidP="001515D5">
            <w:r w:rsidRPr="00D351D4">
              <w:t>24.3%</w:t>
            </w:r>
          </w:p>
        </w:tc>
      </w:tr>
      <w:tr w:rsidR="001E2F9C" w14:paraId="3A9071CC" w14:textId="77777777" w:rsidTr="001515D5">
        <w:tc>
          <w:tcPr>
            <w:tcW w:w="3116" w:type="dxa"/>
            <w:vAlign w:val="bottom"/>
          </w:tcPr>
          <w:p w14:paraId="2FA0C627" w14:textId="77777777" w:rsidR="001E2F9C" w:rsidRPr="00D351D4" w:rsidRDefault="001E2F9C" w:rsidP="001515D5">
            <w:r w:rsidRPr="00D351D4">
              <w:t>75 years and over</w:t>
            </w:r>
          </w:p>
        </w:tc>
        <w:tc>
          <w:tcPr>
            <w:tcW w:w="3117" w:type="dxa"/>
            <w:vAlign w:val="bottom"/>
          </w:tcPr>
          <w:p w14:paraId="45DE92BF" w14:textId="77777777" w:rsidR="001E2F9C" w:rsidRPr="00D351D4" w:rsidRDefault="001E2F9C" w:rsidP="001515D5">
            <w:r w:rsidRPr="00D351D4">
              <w:t>-46.9%</w:t>
            </w:r>
          </w:p>
        </w:tc>
        <w:tc>
          <w:tcPr>
            <w:tcW w:w="3117" w:type="dxa"/>
            <w:vAlign w:val="bottom"/>
          </w:tcPr>
          <w:p w14:paraId="06B0754B" w14:textId="77777777" w:rsidR="001E2F9C" w:rsidRPr="00D351D4" w:rsidRDefault="001E2F9C" w:rsidP="001515D5">
            <w:r w:rsidRPr="00D351D4">
              <w:t>49.5%</w:t>
            </w:r>
          </w:p>
        </w:tc>
      </w:tr>
    </w:tbl>
    <w:p w14:paraId="526A77C0" w14:textId="77777777" w:rsidR="001E2F9C" w:rsidRPr="00D351D4" w:rsidRDefault="001E2F9C" w:rsidP="001E2F9C">
      <w:r w:rsidRPr="00D351D4">
        <w:t xml:space="preserve">Source: US Census ACS, 2016-2020. </w:t>
      </w:r>
    </w:p>
    <w:p w14:paraId="5980D604" w14:textId="77777777" w:rsidR="001E2F9C" w:rsidRDefault="001E2F9C" w:rsidP="001E2F9C">
      <w:r w:rsidRPr="00D351D4">
        <w:t>Note: 5 year estimates.</w:t>
      </w:r>
    </w:p>
    <w:p w14:paraId="66F9CE8A" w14:textId="77777777" w:rsidR="001E2F9C" w:rsidRPr="00D351D4" w:rsidRDefault="001E2F9C" w:rsidP="001E2F9C"/>
    <w:p w14:paraId="3E9F4C6B" w14:textId="77777777" w:rsidR="001E2F9C" w:rsidRDefault="001E2F9C" w:rsidP="001E2F9C">
      <w:pPr>
        <w:pStyle w:val="Heading4"/>
      </w:pPr>
      <w:bookmarkStart w:id="183" w:name="_Toc154569799"/>
      <w:bookmarkStart w:id="184" w:name="_Toc162267110"/>
      <w:r>
        <w:t xml:space="preserve">Figure 5.26: </w:t>
      </w:r>
      <w:r w:rsidRPr="00D351D4">
        <w:t>Individuals with Disabilitie</w:t>
      </w:r>
      <w:r>
        <w:t>s by Disability Type.</w:t>
      </w:r>
      <w:bookmarkEnd w:id="183"/>
      <w:bookmarkEnd w:id="184"/>
    </w:p>
    <w:tbl>
      <w:tblPr>
        <w:tblStyle w:val="TableGrid"/>
        <w:tblW w:w="0" w:type="auto"/>
        <w:tblLook w:val="04A0" w:firstRow="1" w:lastRow="0" w:firstColumn="1" w:lastColumn="0" w:noHBand="0" w:noVBand="1"/>
      </w:tblPr>
      <w:tblGrid>
        <w:gridCol w:w="3116"/>
        <w:gridCol w:w="3117"/>
        <w:gridCol w:w="3117"/>
      </w:tblGrid>
      <w:tr w:rsidR="001E2F9C" w14:paraId="037153E5" w14:textId="77777777" w:rsidTr="001515D5">
        <w:tc>
          <w:tcPr>
            <w:tcW w:w="3116" w:type="dxa"/>
            <w:vAlign w:val="bottom"/>
          </w:tcPr>
          <w:p w14:paraId="00436D1B" w14:textId="77777777" w:rsidR="001E2F9C" w:rsidRPr="00D351D4" w:rsidRDefault="001E2F9C" w:rsidP="001515D5">
            <w:r>
              <w:t>Disability Type</w:t>
            </w:r>
          </w:p>
        </w:tc>
        <w:tc>
          <w:tcPr>
            <w:tcW w:w="3117" w:type="dxa"/>
            <w:vAlign w:val="bottom"/>
          </w:tcPr>
          <w:p w14:paraId="35BD5C2E" w14:textId="77777777" w:rsidR="001E2F9C" w:rsidRPr="00D351D4" w:rsidRDefault="001E2F9C" w:rsidP="001515D5">
            <w:r>
              <w:t>South Carolina</w:t>
            </w:r>
          </w:p>
        </w:tc>
        <w:tc>
          <w:tcPr>
            <w:tcW w:w="3117" w:type="dxa"/>
            <w:vAlign w:val="bottom"/>
          </w:tcPr>
          <w:p w14:paraId="3C863378" w14:textId="77777777" w:rsidR="001E2F9C" w:rsidRPr="00D351D4" w:rsidRDefault="001E2F9C" w:rsidP="001515D5">
            <w:r>
              <w:t>United States</w:t>
            </w:r>
          </w:p>
        </w:tc>
      </w:tr>
      <w:tr w:rsidR="001E2F9C" w14:paraId="45D18641" w14:textId="77777777" w:rsidTr="001515D5">
        <w:tc>
          <w:tcPr>
            <w:tcW w:w="3116" w:type="dxa"/>
            <w:vAlign w:val="bottom"/>
          </w:tcPr>
          <w:p w14:paraId="2DAC2EBE" w14:textId="77777777" w:rsidR="001E2F9C" w:rsidRPr="00DD6A73" w:rsidRDefault="001E2F9C" w:rsidP="001515D5">
            <w:r w:rsidRPr="00DD6A73">
              <w:lastRenderedPageBreak/>
              <w:t>Mobility Disability</w:t>
            </w:r>
          </w:p>
        </w:tc>
        <w:tc>
          <w:tcPr>
            <w:tcW w:w="3117" w:type="dxa"/>
            <w:vAlign w:val="bottom"/>
          </w:tcPr>
          <w:p w14:paraId="4189EB7E" w14:textId="77777777" w:rsidR="001E2F9C" w:rsidRPr="00DD6A73" w:rsidRDefault="001E2F9C" w:rsidP="001515D5">
            <w:r w:rsidRPr="00DD6A73">
              <w:t>8.1%</w:t>
            </w:r>
          </w:p>
        </w:tc>
        <w:tc>
          <w:tcPr>
            <w:tcW w:w="3117" w:type="dxa"/>
            <w:vAlign w:val="bottom"/>
          </w:tcPr>
          <w:p w14:paraId="631C0AA7" w14:textId="77777777" w:rsidR="001E2F9C" w:rsidRPr="00DD6A73" w:rsidRDefault="001E2F9C" w:rsidP="001515D5">
            <w:r w:rsidRPr="00DD6A73">
              <w:t>6.8%</w:t>
            </w:r>
          </w:p>
        </w:tc>
      </w:tr>
      <w:tr w:rsidR="001E2F9C" w14:paraId="788C3947" w14:textId="77777777" w:rsidTr="001515D5">
        <w:tc>
          <w:tcPr>
            <w:tcW w:w="3116" w:type="dxa"/>
            <w:vAlign w:val="bottom"/>
          </w:tcPr>
          <w:p w14:paraId="1218406F" w14:textId="77777777" w:rsidR="001E2F9C" w:rsidRPr="00DD6A73" w:rsidRDefault="001E2F9C" w:rsidP="001515D5">
            <w:r w:rsidRPr="00DD6A73">
              <w:t>Cognitive Disability</w:t>
            </w:r>
          </w:p>
        </w:tc>
        <w:tc>
          <w:tcPr>
            <w:tcW w:w="3117" w:type="dxa"/>
            <w:vAlign w:val="bottom"/>
          </w:tcPr>
          <w:p w14:paraId="476CAD7A" w14:textId="77777777" w:rsidR="001E2F9C" w:rsidRPr="00DD6A73" w:rsidRDefault="001E2F9C" w:rsidP="001515D5">
            <w:r w:rsidRPr="00DD6A73">
              <w:t>5.5%</w:t>
            </w:r>
          </w:p>
        </w:tc>
        <w:tc>
          <w:tcPr>
            <w:tcW w:w="3117" w:type="dxa"/>
            <w:vAlign w:val="bottom"/>
          </w:tcPr>
          <w:p w14:paraId="2F480247" w14:textId="77777777" w:rsidR="001E2F9C" w:rsidRPr="00DD6A73" w:rsidRDefault="001E2F9C" w:rsidP="001515D5">
            <w:r w:rsidRPr="00DD6A73">
              <w:t>5.1%</w:t>
            </w:r>
          </w:p>
        </w:tc>
      </w:tr>
      <w:tr w:rsidR="001E2F9C" w14:paraId="7C426A12" w14:textId="77777777" w:rsidTr="001515D5">
        <w:tc>
          <w:tcPr>
            <w:tcW w:w="3116" w:type="dxa"/>
            <w:vAlign w:val="bottom"/>
          </w:tcPr>
          <w:p w14:paraId="367E50AE" w14:textId="77777777" w:rsidR="001E2F9C" w:rsidRPr="00DD6A73" w:rsidRDefault="001E2F9C" w:rsidP="001515D5">
            <w:r w:rsidRPr="00DD6A73">
              <w:t>Independent Living Disability</w:t>
            </w:r>
          </w:p>
        </w:tc>
        <w:tc>
          <w:tcPr>
            <w:tcW w:w="3117" w:type="dxa"/>
            <w:vAlign w:val="bottom"/>
          </w:tcPr>
          <w:p w14:paraId="26E9EEAA" w14:textId="77777777" w:rsidR="001E2F9C" w:rsidRPr="00DD6A73" w:rsidRDefault="001E2F9C" w:rsidP="001515D5">
            <w:r w:rsidRPr="00DD6A73">
              <w:t>6.4%</w:t>
            </w:r>
          </w:p>
        </w:tc>
        <w:tc>
          <w:tcPr>
            <w:tcW w:w="3117" w:type="dxa"/>
            <w:vAlign w:val="bottom"/>
          </w:tcPr>
          <w:p w14:paraId="7775C639" w14:textId="77777777" w:rsidR="001E2F9C" w:rsidRPr="00DD6A73" w:rsidRDefault="001E2F9C" w:rsidP="001515D5">
            <w:r w:rsidRPr="00DD6A73">
              <w:t>5.8%</w:t>
            </w:r>
          </w:p>
        </w:tc>
      </w:tr>
      <w:tr w:rsidR="001E2F9C" w14:paraId="0C0AEAF5" w14:textId="77777777" w:rsidTr="001515D5">
        <w:tc>
          <w:tcPr>
            <w:tcW w:w="3116" w:type="dxa"/>
            <w:vAlign w:val="bottom"/>
          </w:tcPr>
          <w:p w14:paraId="1AEC2E00" w14:textId="77777777" w:rsidR="001E2F9C" w:rsidRPr="00DD6A73" w:rsidRDefault="001E2F9C" w:rsidP="001515D5">
            <w:r w:rsidRPr="00DD6A73">
              <w:t>Vision Disability</w:t>
            </w:r>
          </w:p>
        </w:tc>
        <w:tc>
          <w:tcPr>
            <w:tcW w:w="3117" w:type="dxa"/>
            <w:vAlign w:val="bottom"/>
          </w:tcPr>
          <w:p w14:paraId="71AD7A68" w14:textId="77777777" w:rsidR="001E2F9C" w:rsidRPr="00DD6A73" w:rsidRDefault="001E2F9C" w:rsidP="001515D5">
            <w:r w:rsidRPr="00DD6A73">
              <w:t>3.0%</w:t>
            </w:r>
          </w:p>
        </w:tc>
        <w:tc>
          <w:tcPr>
            <w:tcW w:w="3117" w:type="dxa"/>
            <w:vAlign w:val="bottom"/>
          </w:tcPr>
          <w:p w14:paraId="273DE1C4" w14:textId="77777777" w:rsidR="001E2F9C" w:rsidRPr="00DD6A73" w:rsidRDefault="001E2F9C" w:rsidP="001515D5">
            <w:r w:rsidRPr="00DD6A73">
              <w:t>2.4%</w:t>
            </w:r>
          </w:p>
        </w:tc>
      </w:tr>
      <w:tr w:rsidR="001E2F9C" w14:paraId="58291811" w14:textId="77777777" w:rsidTr="001515D5">
        <w:tc>
          <w:tcPr>
            <w:tcW w:w="3116" w:type="dxa"/>
            <w:vAlign w:val="bottom"/>
          </w:tcPr>
          <w:p w14:paraId="19E468D0" w14:textId="77777777" w:rsidR="001E2F9C" w:rsidRPr="00DD6A73" w:rsidRDefault="001E2F9C" w:rsidP="001515D5">
            <w:r w:rsidRPr="00DD6A73">
              <w:t>Hearing Disability</w:t>
            </w:r>
          </w:p>
        </w:tc>
        <w:tc>
          <w:tcPr>
            <w:tcW w:w="3117" w:type="dxa"/>
            <w:vAlign w:val="bottom"/>
          </w:tcPr>
          <w:p w14:paraId="6A95A2B1" w14:textId="77777777" w:rsidR="001E2F9C" w:rsidRPr="00DD6A73" w:rsidRDefault="001E2F9C" w:rsidP="001515D5">
            <w:r w:rsidRPr="00DD6A73">
              <w:t>3.9%</w:t>
            </w:r>
          </w:p>
        </w:tc>
        <w:tc>
          <w:tcPr>
            <w:tcW w:w="3117" w:type="dxa"/>
            <w:vAlign w:val="bottom"/>
          </w:tcPr>
          <w:p w14:paraId="098F43CF" w14:textId="77777777" w:rsidR="001E2F9C" w:rsidRPr="00DD6A73" w:rsidRDefault="001E2F9C" w:rsidP="001515D5">
            <w:r w:rsidRPr="00DD6A73">
              <w:t>3.6%</w:t>
            </w:r>
          </w:p>
        </w:tc>
      </w:tr>
      <w:tr w:rsidR="001E2F9C" w14:paraId="09A6EF44" w14:textId="77777777" w:rsidTr="001515D5">
        <w:tc>
          <w:tcPr>
            <w:tcW w:w="3116" w:type="dxa"/>
            <w:vAlign w:val="bottom"/>
          </w:tcPr>
          <w:p w14:paraId="3B8D2309" w14:textId="77777777" w:rsidR="001E2F9C" w:rsidRPr="00DD6A73" w:rsidRDefault="001E2F9C" w:rsidP="001515D5">
            <w:r w:rsidRPr="00DD6A73">
              <w:t>Self-Care Disability</w:t>
            </w:r>
          </w:p>
        </w:tc>
        <w:tc>
          <w:tcPr>
            <w:tcW w:w="3117" w:type="dxa"/>
            <w:vAlign w:val="bottom"/>
          </w:tcPr>
          <w:p w14:paraId="3085E876" w14:textId="77777777" w:rsidR="001E2F9C" w:rsidRPr="00DD6A73" w:rsidRDefault="001E2F9C" w:rsidP="001515D5">
            <w:r w:rsidRPr="00DD6A73">
              <w:t>2.9%</w:t>
            </w:r>
          </w:p>
        </w:tc>
        <w:tc>
          <w:tcPr>
            <w:tcW w:w="3117" w:type="dxa"/>
            <w:vAlign w:val="bottom"/>
          </w:tcPr>
          <w:p w14:paraId="1C33C8B1" w14:textId="77777777" w:rsidR="001E2F9C" w:rsidRPr="00DD6A73" w:rsidRDefault="001E2F9C" w:rsidP="001515D5">
            <w:r w:rsidRPr="00DD6A73">
              <w:t>2.6%</w:t>
            </w:r>
          </w:p>
        </w:tc>
      </w:tr>
    </w:tbl>
    <w:p w14:paraId="6435C9AF" w14:textId="77777777" w:rsidR="001E2F9C" w:rsidRPr="00D351D4" w:rsidRDefault="001E2F9C" w:rsidP="001E2F9C">
      <w:r w:rsidRPr="00D351D4">
        <w:t xml:space="preserve">Source: US Census ACS, 2016-2020. </w:t>
      </w:r>
    </w:p>
    <w:p w14:paraId="7E873170" w14:textId="77777777" w:rsidR="001E2F9C" w:rsidRDefault="001E2F9C" w:rsidP="001E2F9C">
      <w:r w:rsidRPr="00D351D4">
        <w:t>Note: 5 year estimates.</w:t>
      </w:r>
    </w:p>
    <w:p w14:paraId="1A532113" w14:textId="77777777" w:rsidR="00722CE9" w:rsidRDefault="00722CE9" w:rsidP="00722CE9"/>
    <w:p w14:paraId="4EAA1D8C" w14:textId="5C128FD7" w:rsidR="00722CE9" w:rsidRDefault="00722CE9" w:rsidP="00722CE9">
      <w:pPr>
        <w:rPr>
          <w:b/>
          <w:bCs/>
        </w:rPr>
      </w:pPr>
      <w:r w:rsidRPr="00722CE9">
        <w:t>Multiple interwoven physical, communication, and programmatic or attitudinal barriers lead to inadequate and inequitable health care for people with disabilities. Physical barriers include inaccessible healthcare facilities (e.g., lack of ramps), unreliable or inaccessible transportation, and inaccessible and inefficient diagnostic and exam equipment. Communication barriers include limited sign language or other interpretation services, no closed captioning on videos, lack of braille displays, and no audio descriptions of visual information. Programmatic and attitudinal barriers include low provider competency and confidence in treating patients with a disability. In SC, these barriers cost $12.2 billion per year to treat both the initial disability and related comorbidities, or about $13,807 per person.</w:t>
      </w:r>
    </w:p>
    <w:p w14:paraId="78C6DA80" w14:textId="77777777" w:rsidR="00722CE9" w:rsidRDefault="00722CE9" w:rsidP="00722CE9">
      <w:pPr>
        <w:rPr>
          <w:b/>
          <w:bCs/>
        </w:rPr>
      </w:pPr>
    </w:p>
    <w:p w14:paraId="0BF77589" w14:textId="352E01AF" w:rsidR="00722CE9" w:rsidRPr="00722CE9" w:rsidRDefault="00722CE9" w:rsidP="00722CE9">
      <w:pPr>
        <w:rPr>
          <w:i/>
          <w:iCs/>
        </w:rPr>
      </w:pPr>
      <w:bookmarkStart w:id="185" w:name="_Toc162267111"/>
      <w:r w:rsidRPr="00544ADD">
        <w:rPr>
          <w:rStyle w:val="Heading4Char"/>
          <w:rFonts w:asciiTheme="minorHAnsi" w:hAnsiTheme="minorHAnsi" w:cstheme="minorHAnsi"/>
          <w:color w:val="000000" w:themeColor="text1"/>
        </w:rPr>
        <w:t>References 5.12</w:t>
      </w:r>
      <w:bookmarkEnd w:id="185"/>
      <w:r w:rsidR="002B2178">
        <w:rPr>
          <w:i/>
          <w:iCs/>
        </w:rPr>
        <w:t xml:space="preserve"> </w:t>
      </w:r>
    </w:p>
    <w:p w14:paraId="2F64B068" w14:textId="2561D4D0" w:rsidR="00722CE9" w:rsidRPr="00722CE9" w:rsidRDefault="00722CE9" w:rsidP="00722CE9">
      <w:r w:rsidRPr="00722CE9">
        <w:t xml:space="preserve">Statistics in the preceding </w:t>
      </w:r>
      <w:r w:rsidR="00544ADD">
        <w:t>section</w:t>
      </w:r>
      <w:r w:rsidRPr="00722CE9">
        <w:t xml:space="preserve"> were referenced from the following reports:</w:t>
      </w:r>
    </w:p>
    <w:p w14:paraId="0C7DAE5E" w14:textId="72B376E8" w:rsidR="002B2178" w:rsidRDefault="00544ADD" w:rsidP="00544ADD">
      <w:pPr>
        <w:ind w:left="360"/>
      </w:pPr>
      <w:r>
        <w:t>42.</w:t>
      </w:r>
      <w:r w:rsidR="002B2178">
        <w:t>“</w:t>
      </w:r>
      <w:r w:rsidR="002B2178" w:rsidRPr="00722CE9">
        <w:t>Behavioral Risk Factor Surveillance System Survey 2017-2021</w:t>
      </w:r>
      <w:r w:rsidR="002B2178">
        <w:t>”</w:t>
      </w:r>
      <w:r w:rsidR="002B2178" w:rsidRPr="00722CE9">
        <w:t xml:space="preserve"> </w:t>
      </w:r>
      <w:r w:rsidR="002B2178">
        <w:t xml:space="preserve">published by SC DHEC, 2023. No hyperlink. </w:t>
      </w:r>
    </w:p>
    <w:p w14:paraId="2E3B4E28" w14:textId="1B098B17" w:rsidR="002B2178" w:rsidRPr="002B2178" w:rsidRDefault="00544ADD" w:rsidP="00544ADD">
      <w:pPr>
        <w:ind w:left="360"/>
      </w:pPr>
      <w:r>
        <w:t>66.</w:t>
      </w:r>
      <w:hyperlink r:id="rId98" w:history="1">
        <w:r w:rsidR="002B2178" w:rsidRPr="002B2178">
          <w:rPr>
            <w:rStyle w:val="Hyperlink"/>
          </w:rPr>
          <w:t>“Population with Percent in Poverty by County 2011-2021” by South Carolina Revenue and Fiscal Affairs Office.</w:t>
        </w:r>
      </w:hyperlink>
      <w:r w:rsidR="002B2178" w:rsidRPr="002B2178">
        <w:t xml:space="preserve"> </w:t>
      </w:r>
    </w:p>
    <w:p w14:paraId="1AB36E82" w14:textId="1DC4BDB9" w:rsidR="002B2178" w:rsidRPr="002B2178" w:rsidRDefault="00000000" w:rsidP="00544ADD">
      <w:pPr>
        <w:pStyle w:val="ListParagraph"/>
        <w:numPr>
          <w:ilvl w:val="0"/>
          <w:numId w:val="231"/>
        </w:numPr>
      </w:pPr>
      <w:hyperlink r:id="rId99" w:history="1">
        <w:r w:rsidR="002B2178" w:rsidRPr="002B2178">
          <w:rPr>
            <w:rStyle w:val="Hyperlink"/>
          </w:rPr>
          <w:t>“Introduction to the Americans with Disabilities Act”. Published by ADA, 2023.</w:t>
        </w:r>
      </w:hyperlink>
      <w:r w:rsidR="002B2178">
        <w:t xml:space="preserve"> </w:t>
      </w:r>
    </w:p>
    <w:p w14:paraId="70A33423" w14:textId="1DE22039" w:rsidR="002B2178" w:rsidRPr="002B2178" w:rsidRDefault="00000000" w:rsidP="00544ADD">
      <w:pPr>
        <w:pStyle w:val="ListParagraph"/>
        <w:numPr>
          <w:ilvl w:val="0"/>
          <w:numId w:val="231"/>
        </w:numPr>
      </w:pPr>
      <w:hyperlink r:id="rId100" w:history="1">
        <w:r w:rsidR="002B2178" w:rsidRPr="002B2178">
          <w:rPr>
            <w:rStyle w:val="Hyperlink"/>
          </w:rPr>
          <w:t>“South Carolina Category: Demographics” by the Centers for Disease Control and Prevention. Published in Disability and Health Data System (DHDS) Data, 2022.</w:t>
        </w:r>
      </w:hyperlink>
      <w:r w:rsidR="002B2178" w:rsidRPr="002B2178">
        <w:t xml:space="preserve"> </w:t>
      </w:r>
    </w:p>
    <w:p w14:paraId="4014046C" w14:textId="36DB7C7F" w:rsidR="002B2178" w:rsidRPr="002B2178" w:rsidRDefault="00000000" w:rsidP="00544ADD">
      <w:pPr>
        <w:pStyle w:val="ListParagraph"/>
        <w:numPr>
          <w:ilvl w:val="0"/>
          <w:numId w:val="231"/>
        </w:numPr>
      </w:pPr>
      <w:hyperlink r:id="rId101" w:history="1">
        <w:r w:rsidR="002B2178" w:rsidRPr="002B2178">
          <w:rPr>
            <w:rStyle w:val="Hyperlink"/>
          </w:rPr>
          <w:t>“Disability &amp; Health U.S. State Profile Data for South Carolina (Adults 18+ years of age)” by the Centers for Disease Control and Prevention, 2022.</w:t>
        </w:r>
      </w:hyperlink>
      <w:r w:rsidR="002B2178">
        <w:t xml:space="preserve"> </w:t>
      </w:r>
    </w:p>
    <w:p w14:paraId="5AFA77AD" w14:textId="6B2394AB" w:rsidR="002B2178" w:rsidRPr="002B2178" w:rsidRDefault="00000000" w:rsidP="00544ADD">
      <w:pPr>
        <w:pStyle w:val="ListParagraph"/>
        <w:numPr>
          <w:ilvl w:val="0"/>
          <w:numId w:val="231"/>
        </w:numPr>
      </w:pPr>
      <w:hyperlink r:id="rId102" w:history="1">
        <w:r w:rsidR="002B2178" w:rsidRPr="002B2178">
          <w:rPr>
            <w:rStyle w:val="Hyperlink"/>
          </w:rPr>
          <w:t>“American Community Survey 5-Year Data Estimates Subject Tables 2016-2020” by U.S. Census Bureau. Published in Disability Characteristics, 2020.</w:t>
        </w:r>
      </w:hyperlink>
      <w:r w:rsidR="002B2178" w:rsidRPr="002B2178">
        <w:rPr>
          <w:i/>
          <w:iCs/>
        </w:rPr>
        <w:t xml:space="preserve"> </w:t>
      </w:r>
    </w:p>
    <w:p w14:paraId="55CE1CE2" w14:textId="0838D44A" w:rsidR="002B2178" w:rsidRPr="002B2178" w:rsidRDefault="00000000" w:rsidP="00544ADD">
      <w:pPr>
        <w:pStyle w:val="ListParagraph"/>
        <w:numPr>
          <w:ilvl w:val="0"/>
          <w:numId w:val="231"/>
        </w:numPr>
      </w:pPr>
      <w:hyperlink r:id="rId103" w:history="1">
        <w:r w:rsidR="002B2178" w:rsidRPr="002B2178">
          <w:rPr>
            <w:rStyle w:val="Hyperlink"/>
          </w:rPr>
          <w:t>“Sex by Age by Disability Status” by U.S. Census Bureau. Published in</w:t>
        </w:r>
        <w:r w:rsidR="002B2178" w:rsidRPr="002B2178">
          <w:rPr>
            <w:rStyle w:val="Hyperlink"/>
            <w:i/>
            <w:iCs/>
          </w:rPr>
          <w:t xml:space="preserve"> </w:t>
        </w:r>
        <w:r w:rsidR="002B2178" w:rsidRPr="002B2178">
          <w:rPr>
            <w:rStyle w:val="Hyperlink"/>
          </w:rPr>
          <w:t>American Community Survey 5-Year Data Estimates Subject Tables 2016-2020, South Carolina, 2020.</w:t>
        </w:r>
        <w:r w:rsidR="002B2178" w:rsidRPr="002B2178">
          <w:rPr>
            <w:rStyle w:val="Hyperlink"/>
            <w:i/>
            <w:iCs/>
          </w:rPr>
          <w:t xml:space="preserve"> </w:t>
        </w:r>
      </w:hyperlink>
      <w:r w:rsidR="002B2178" w:rsidRPr="002B2178">
        <w:rPr>
          <w:i/>
          <w:iCs/>
        </w:rPr>
        <w:t xml:space="preserve"> </w:t>
      </w:r>
    </w:p>
    <w:p w14:paraId="5F36FFAA" w14:textId="1D020CE3" w:rsidR="002B2178" w:rsidRPr="002B2178" w:rsidRDefault="00000000" w:rsidP="00544ADD">
      <w:pPr>
        <w:pStyle w:val="ListParagraph"/>
        <w:numPr>
          <w:ilvl w:val="0"/>
          <w:numId w:val="231"/>
        </w:numPr>
      </w:pPr>
      <w:hyperlink r:id="rId104" w:history="1">
        <w:r w:rsidR="002B2178" w:rsidRPr="002B2178">
          <w:rPr>
            <w:rStyle w:val="Hyperlink"/>
          </w:rPr>
          <w:t>“Selected Economic Characteristics for the Civilian Noninstitutionalized Population by Disability Status” by U.S. Census Bureau. Published in American Community Survey 5-Year Data Estimates Subject Tables 2011-2015, South Carolina, 2015.</w:t>
        </w:r>
      </w:hyperlink>
    </w:p>
    <w:p w14:paraId="5BFAF65F" w14:textId="301A9C62" w:rsidR="002B2178" w:rsidRPr="002B2178" w:rsidRDefault="00000000" w:rsidP="00544ADD">
      <w:pPr>
        <w:pStyle w:val="ListParagraph"/>
        <w:numPr>
          <w:ilvl w:val="0"/>
          <w:numId w:val="231"/>
        </w:numPr>
      </w:pPr>
      <w:hyperlink r:id="rId105" w:history="1">
        <w:r w:rsidR="002B2178" w:rsidRPr="002B2178">
          <w:rPr>
            <w:rStyle w:val="Hyperlink"/>
          </w:rPr>
          <w:t xml:space="preserve">“Selected Economic Characteristics for the Civilian Noninstitutionalized Population by Disability Status” by U.S. Census Bureau. Published in American Community Survey 5-Year Data Estimates Subject Tables 2016-2020, South Carolina, 2020. </w:t>
        </w:r>
      </w:hyperlink>
      <w:r w:rsidR="002B2178" w:rsidRPr="002B2178">
        <w:rPr>
          <w:i/>
          <w:iCs/>
        </w:rPr>
        <w:t xml:space="preserve"> </w:t>
      </w:r>
    </w:p>
    <w:p w14:paraId="45CA7DA4" w14:textId="07E52C59" w:rsidR="002B2178" w:rsidRPr="002B2178" w:rsidRDefault="00000000" w:rsidP="00544ADD">
      <w:pPr>
        <w:pStyle w:val="ListParagraph"/>
        <w:numPr>
          <w:ilvl w:val="0"/>
          <w:numId w:val="231"/>
        </w:numPr>
      </w:pPr>
      <w:hyperlink r:id="rId106" w:history="1">
        <w:r w:rsidR="002B2178" w:rsidRPr="002B2178">
          <w:rPr>
            <w:rStyle w:val="Hyperlink"/>
          </w:rPr>
          <w:t>“The current state of Health Care for people with disabilities” by the National Council on Disability, 2022.</w:t>
        </w:r>
      </w:hyperlink>
      <w:r w:rsidR="002B2178" w:rsidRPr="002B2178">
        <w:t xml:space="preserve"> </w:t>
      </w:r>
    </w:p>
    <w:p w14:paraId="0442E256" w14:textId="10722999" w:rsidR="002B2178" w:rsidRPr="002B2178" w:rsidRDefault="00000000" w:rsidP="00544ADD">
      <w:pPr>
        <w:pStyle w:val="ListParagraph"/>
        <w:numPr>
          <w:ilvl w:val="0"/>
          <w:numId w:val="231"/>
        </w:numPr>
      </w:pPr>
      <w:hyperlink r:id="rId107" w:history="1">
        <w:r w:rsidR="002B2178" w:rsidRPr="002B2178">
          <w:rPr>
            <w:rStyle w:val="Hyperlink"/>
          </w:rPr>
          <w:t>Disability Barriers to Inclusion” by the Centers for Disease Control and Prevention, 2020.</w:t>
        </w:r>
      </w:hyperlink>
      <w:r w:rsidR="002B2178" w:rsidRPr="002B2178">
        <w:t xml:space="preserve"> </w:t>
      </w:r>
    </w:p>
    <w:p w14:paraId="14F1A3FC" w14:textId="0A21AE1E" w:rsidR="002B2178" w:rsidRPr="002B2178" w:rsidRDefault="00000000" w:rsidP="00544ADD">
      <w:pPr>
        <w:pStyle w:val="ListParagraph"/>
        <w:numPr>
          <w:ilvl w:val="0"/>
          <w:numId w:val="231"/>
        </w:numPr>
      </w:pPr>
      <w:hyperlink r:id="rId108" w:history="1">
        <w:r w:rsidR="002B2178" w:rsidRPr="002B2178">
          <w:rPr>
            <w:rStyle w:val="Hyperlink"/>
          </w:rPr>
          <w:t xml:space="preserve">“Physicians’ perceptions of people with disability and their health care” by </w:t>
        </w:r>
        <w:proofErr w:type="spellStart"/>
        <w:r w:rsidR="002B2178" w:rsidRPr="002B2178">
          <w:rPr>
            <w:rStyle w:val="Hyperlink"/>
          </w:rPr>
          <w:t>Iezzoni</w:t>
        </w:r>
        <w:proofErr w:type="spellEnd"/>
        <w:r w:rsidR="002B2178" w:rsidRPr="002B2178">
          <w:rPr>
            <w:rStyle w:val="Hyperlink"/>
          </w:rPr>
          <w:t xml:space="preserve">, L. I., Rao, S. R., </w:t>
        </w:r>
        <w:proofErr w:type="spellStart"/>
        <w:r w:rsidR="002B2178" w:rsidRPr="002B2178">
          <w:rPr>
            <w:rStyle w:val="Hyperlink"/>
          </w:rPr>
          <w:t>Ressalam</w:t>
        </w:r>
        <w:proofErr w:type="spellEnd"/>
        <w:r w:rsidR="002B2178" w:rsidRPr="002B2178">
          <w:rPr>
            <w:rStyle w:val="Hyperlink"/>
          </w:rPr>
          <w:t xml:space="preserve">, J., </w:t>
        </w:r>
        <w:proofErr w:type="spellStart"/>
        <w:r w:rsidR="002B2178" w:rsidRPr="002B2178">
          <w:rPr>
            <w:rStyle w:val="Hyperlink"/>
          </w:rPr>
          <w:t>Bolcic</w:t>
        </w:r>
        <w:proofErr w:type="spellEnd"/>
        <w:r w:rsidR="002B2178" w:rsidRPr="002B2178">
          <w:rPr>
            <w:rStyle w:val="Hyperlink"/>
          </w:rPr>
          <w:t xml:space="preserve">-Jankovic, D., </w:t>
        </w:r>
        <w:proofErr w:type="spellStart"/>
        <w:r w:rsidR="002B2178" w:rsidRPr="002B2178">
          <w:rPr>
            <w:rStyle w:val="Hyperlink"/>
          </w:rPr>
          <w:t>Agaronnik</w:t>
        </w:r>
        <w:proofErr w:type="spellEnd"/>
        <w:r w:rsidR="002B2178" w:rsidRPr="002B2178">
          <w:rPr>
            <w:rStyle w:val="Hyperlink"/>
          </w:rPr>
          <w:t xml:space="preserve">, N. D., </w:t>
        </w:r>
        <w:proofErr w:type="spellStart"/>
        <w:r w:rsidR="002B2178" w:rsidRPr="002B2178">
          <w:rPr>
            <w:rStyle w:val="Hyperlink"/>
          </w:rPr>
          <w:t>Donelan</w:t>
        </w:r>
        <w:proofErr w:type="spellEnd"/>
        <w:r w:rsidR="002B2178" w:rsidRPr="002B2178">
          <w:rPr>
            <w:rStyle w:val="Hyperlink"/>
          </w:rPr>
          <w:t xml:space="preserve">, K., </w:t>
        </w:r>
        <w:proofErr w:type="spellStart"/>
        <w:r w:rsidR="002B2178" w:rsidRPr="002B2178">
          <w:rPr>
            <w:rStyle w:val="Hyperlink"/>
          </w:rPr>
          <w:t>Lagu</w:t>
        </w:r>
        <w:proofErr w:type="spellEnd"/>
        <w:r w:rsidR="002B2178" w:rsidRPr="002B2178">
          <w:rPr>
            <w:rStyle w:val="Hyperlink"/>
          </w:rPr>
          <w:t>, T., &amp; Campbell, E. G. Published in Health Affairs, 2021.</w:t>
        </w:r>
      </w:hyperlink>
      <w:r w:rsidR="002B2178" w:rsidRPr="002B2178">
        <w:t xml:space="preserve"> </w:t>
      </w:r>
    </w:p>
    <w:p w14:paraId="3AEDECB3" w14:textId="4FF235CB" w:rsidR="00722CE9" w:rsidRDefault="00000000" w:rsidP="00544ADD">
      <w:pPr>
        <w:pStyle w:val="ListParagraph"/>
        <w:numPr>
          <w:ilvl w:val="0"/>
          <w:numId w:val="231"/>
        </w:numPr>
      </w:pPr>
      <w:hyperlink r:id="rId109" w:history="1">
        <w:r w:rsidR="002B2178" w:rsidRPr="002B2178">
          <w:rPr>
            <w:rStyle w:val="Hyperlink"/>
          </w:rPr>
          <w:t xml:space="preserve">“State-level health care expenditures associated with disability” by </w:t>
        </w:r>
        <w:proofErr w:type="spellStart"/>
        <w:r w:rsidR="002B2178" w:rsidRPr="002B2178">
          <w:rPr>
            <w:rStyle w:val="Hyperlink"/>
          </w:rPr>
          <w:t>Khavjou</w:t>
        </w:r>
        <w:proofErr w:type="spellEnd"/>
        <w:r w:rsidR="002B2178" w:rsidRPr="002B2178">
          <w:rPr>
            <w:rStyle w:val="Hyperlink"/>
          </w:rPr>
          <w:t xml:space="preserve">, O. A., Anderson, W. L., Honeycutt, A. A., Bates, L. G., Hollis, N. D., Grosse, S. D., &amp; </w:t>
        </w:r>
        <w:proofErr w:type="spellStart"/>
        <w:r w:rsidR="002B2178" w:rsidRPr="002B2178">
          <w:rPr>
            <w:rStyle w:val="Hyperlink"/>
          </w:rPr>
          <w:t>Razzaghi</w:t>
        </w:r>
        <w:proofErr w:type="spellEnd"/>
        <w:r w:rsidR="002B2178" w:rsidRPr="002B2178">
          <w:rPr>
            <w:rStyle w:val="Hyperlink"/>
          </w:rPr>
          <w:t xml:space="preserve">, H. Published in </w:t>
        </w:r>
        <w:r w:rsidR="002B2178" w:rsidRPr="002B2178">
          <w:rPr>
            <w:rStyle w:val="Hyperlink"/>
            <w:i/>
            <w:iCs/>
          </w:rPr>
          <w:t>Public Health Reports</w:t>
        </w:r>
        <w:r w:rsidR="002B2178" w:rsidRPr="002B2178">
          <w:rPr>
            <w:rStyle w:val="Hyperlink"/>
          </w:rPr>
          <w:t>, 2021.</w:t>
        </w:r>
      </w:hyperlink>
      <w:r w:rsidR="002B2178">
        <w:t xml:space="preserve"> </w:t>
      </w:r>
    </w:p>
    <w:p w14:paraId="5883A85A" w14:textId="77777777" w:rsidR="00722CE9" w:rsidRDefault="00722CE9" w:rsidP="00722CE9"/>
    <w:p w14:paraId="006BD2A5" w14:textId="77777777" w:rsidR="00722CE9" w:rsidRDefault="00722CE9" w:rsidP="00EA168E">
      <w:pPr>
        <w:pStyle w:val="Heading5"/>
      </w:pPr>
      <w:r>
        <w:t xml:space="preserve">Key Takeaways: </w:t>
      </w:r>
    </w:p>
    <w:p w14:paraId="1F6C5D18" w14:textId="77777777" w:rsidR="00722CE9" w:rsidRDefault="00722CE9" w:rsidP="00926EB3">
      <w:pPr>
        <w:pStyle w:val="ListParagraph"/>
        <w:numPr>
          <w:ilvl w:val="0"/>
          <w:numId w:val="20"/>
        </w:numPr>
      </w:pPr>
      <w:r w:rsidRPr="00722CE9">
        <w:t xml:space="preserve">People with disabilities have higher depression and other mental health conditions and more comorbidities than people without disabilities.  </w:t>
      </w:r>
    </w:p>
    <w:p w14:paraId="52F05C77" w14:textId="77777777" w:rsidR="00722CE9" w:rsidRDefault="00722CE9" w:rsidP="00926EB3">
      <w:pPr>
        <w:pStyle w:val="ListParagraph"/>
        <w:numPr>
          <w:ilvl w:val="0"/>
          <w:numId w:val="20"/>
        </w:numPr>
      </w:pPr>
      <w:r w:rsidRPr="00722CE9">
        <w:t xml:space="preserve">People with disabilities experience physical, communication, and programmatic/attitudinal barriers to equitable and accessible health care not faced by those without a disability, which is exacerbated by health care costs and poverty. </w:t>
      </w:r>
    </w:p>
    <w:p w14:paraId="2553FC45" w14:textId="77777777" w:rsidR="00722CE9" w:rsidRDefault="00722CE9" w:rsidP="00722CE9"/>
    <w:p w14:paraId="4FDFD8C9" w14:textId="77777777" w:rsidR="00722CE9" w:rsidRPr="00722CE9" w:rsidRDefault="00722CE9" w:rsidP="00722CE9">
      <w:pPr>
        <w:pStyle w:val="Heading3"/>
      </w:pPr>
      <w:bookmarkStart w:id="186" w:name="_Toc162267112"/>
      <w:r w:rsidRPr="00722CE9">
        <w:t>Indigenous Populations</w:t>
      </w:r>
      <w:bookmarkEnd w:id="186"/>
    </w:p>
    <w:p w14:paraId="051FD57E" w14:textId="0F38AE5F" w:rsidR="00722CE9" w:rsidRPr="00722CE9" w:rsidRDefault="00722CE9" w:rsidP="00722CE9">
      <w:r w:rsidRPr="00722CE9">
        <w:t xml:space="preserve">Approximately 99,729 people, or 1.9% of the SC population in 2021, identified as American Indian/Alaska Native, regardless of Hispanic ethnicity. However, American Indian/Alaska Native individuals are systematically undercounted or rendered invisible from data collection practices that either misclassify them as Other or White race, or from data suppression rules that aggregate American Indian/Alaska Native individuals with other racial groups. Also, the choice to not </w:t>
      </w:r>
      <w:r w:rsidRPr="00722CE9">
        <w:lastRenderedPageBreak/>
        <w:t xml:space="preserve">self-identify as Native American is rooted in a long history of mistrust and results in missing data. Thus, representation inequity underlies health inequity for Indigenous populations. </w:t>
      </w:r>
    </w:p>
    <w:p w14:paraId="6EA2B1E3" w14:textId="77777777" w:rsidR="00722CE9" w:rsidRDefault="00722CE9" w:rsidP="00722CE9"/>
    <w:p w14:paraId="314DF26E" w14:textId="7FF6550C" w:rsidR="00722CE9" w:rsidRPr="00722CE9" w:rsidRDefault="00722CE9" w:rsidP="00722CE9">
      <w:r w:rsidRPr="00722CE9">
        <w:t>Indigenous populations in the US experience lower life expectancy and disproportionate disease burden compared to other races. Food insecurity, poor nutrition, and poverty are high in Native communities due largely to government policies. About 20% to 25% of American Indian/Alaska Native people, regardless of Hispanic ethnicity, in SC live in poverty, lack health insurance, and delay medical care citing cost. Only 13% of American Indian/Alaska Native residents have a bachelor’s degree or higher, the lowest among racial and ethnic groups in SC. For many, poverty forces a choice between education and employment, suggesting a path toward health equity is, in part, through educational retention.</w:t>
      </w:r>
    </w:p>
    <w:p w14:paraId="7AD6118F" w14:textId="77777777" w:rsidR="00722CE9" w:rsidRDefault="00722CE9" w:rsidP="00722CE9"/>
    <w:p w14:paraId="165A2D85" w14:textId="0E49A76A" w:rsidR="00722CE9" w:rsidRPr="00722CE9" w:rsidRDefault="00722CE9" w:rsidP="00722CE9">
      <w:r w:rsidRPr="00722CE9">
        <w:t>Chronic disease profiles from 64 American Indian/Alaska Native patients regardless of Hispanic ethnicity served by the Edisto Indian Free Clinic in 2021 compare with those from a broader community of non-Hispanic American Indian/Alaska Native people in SC and mostly exceed those of other non-Hispanic races (</w:t>
      </w:r>
      <w:r w:rsidRPr="00722CE9">
        <w:rPr>
          <w:b/>
          <w:bCs/>
        </w:rPr>
        <w:t>Figure 5.27</w:t>
      </w:r>
      <w:r w:rsidRPr="00722CE9">
        <w:t>). Many Native American organizations, such as Pine Hill Health Network, provide Indigenous-based health services to tribal communities of SC and target several chronic disease risk factors in culturally meaningful ways. Services offered include Traditional Tobacco (nicotine cessation education), Indigenous health education, nutrition education, physical activity services, blood pressure- and cholesterol-lowering services, and diabetes prevention (</w:t>
      </w:r>
      <w:r w:rsidRPr="00722CE9">
        <w:rPr>
          <w:b/>
          <w:bCs/>
        </w:rPr>
        <w:t>Figure 5.28</w:t>
      </w:r>
      <w:r w:rsidRPr="00722CE9">
        <w:t>).</w:t>
      </w:r>
    </w:p>
    <w:p w14:paraId="71C7A570" w14:textId="77777777" w:rsidR="00722CE9" w:rsidRDefault="00722CE9" w:rsidP="00722CE9">
      <w:pPr>
        <w:pStyle w:val="Heading4"/>
        <w:rPr>
          <w:color w:val="FF0000"/>
        </w:rPr>
      </w:pPr>
    </w:p>
    <w:p w14:paraId="5277CFB7" w14:textId="77777777" w:rsidR="001E2F9C" w:rsidRDefault="001E2F9C" w:rsidP="001E2F9C">
      <w:pPr>
        <w:pStyle w:val="Heading4"/>
      </w:pPr>
      <w:bookmarkStart w:id="187" w:name="_Toc154569800"/>
      <w:bookmarkStart w:id="188" w:name="_Toc162267113"/>
      <w:r>
        <w:t>Figure 5.27: Prevalence of Chronic Conditions, by Race/Ethnicity and Survey.</w:t>
      </w:r>
      <w:bookmarkEnd w:id="187"/>
      <w:bookmarkEnd w:id="188"/>
    </w:p>
    <w:tbl>
      <w:tblPr>
        <w:tblStyle w:val="TableGrid"/>
        <w:tblW w:w="0" w:type="auto"/>
        <w:tblLook w:val="04A0" w:firstRow="1" w:lastRow="0" w:firstColumn="1" w:lastColumn="0" w:noHBand="0" w:noVBand="1"/>
      </w:tblPr>
      <w:tblGrid>
        <w:gridCol w:w="2046"/>
        <w:gridCol w:w="2585"/>
        <w:gridCol w:w="2390"/>
        <w:gridCol w:w="2329"/>
      </w:tblGrid>
      <w:tr w:rsidR="001E2F9C" w14:paraId="4112AE24" w14:textId="77777777" w:rsidTr="001515D5">
        <w:tc>
          <w:tcPr>
            <w:tcW w:w="2046" w:type="dxa"/>
            <w:vAlign w:val="bottom"/>
          </w:tcPr>
          <w:p w14:paraId="59687C77" w14:textId="77777777" w:rsidR="001E2F9C" w:rsidRPr="00DD6A73" w:rsidRDefault="001E2F9C" w:rsidP="001515D5">
            <w:r w:rsidRPr="00DD6A73">
              <w:t>Condition</w:t>
            </w:r>
          </w:p>
        </w:tc>
        <w:tc>
          <w:tcPr>
            <w:tcW w:w="2585" w:type="dxa"/>
            <w:vAlign w:val="bottom"/>
          </w:tcPr>
          <w:p w14:paraId="187BCB08" w14:textId="77777777" w:rsidR="001E2F9C" w:rsidRPr="00DD6A73" w:rsidRDefault="001E2F9C" w:rsidP="001515D5">
            <w:r w:rsidRPr="00DD6A73">
              <w:t>Non-Hispanic Other Races (BRFSS, SC)</w:t>
            </w:r>
          </w:p>
        </w:tc>
        <w:tc>
          <w:tcPr>
            <w:tcW w:w="2390" w:type="dxa"/>
            <w:vAlign w:val="bottom"/>
          </w:tcPr>
          <w:p w14:paraId="6028B7AA" w14:textId="77777777" w:rsidR="001E2F9C" w:rsidRPr="00DD6A73" w:rsidRDefault="001E2F9C" w:rsidP="001515D5">
            <w:r w:rsidRPr="00DD6A73">
              <w:t>Non-Hispanic American Indian/Alaska Native (BRFSS, SC)</w:t>
            </w:r>
          </w:p>
        </w:tc>
        <w:tc>
          <w:tcPr>
            <w:tcW w:w="2329" w:type="dxa"/>
            <w:vAlign w:val="bottom"/>
          </w:tcPr>
          <w:p w14:paraId="151AD2B9" w14:textId="77777777" w:rsidR="001E2F9C" w:rsidRPr="00DD6A73" w:rsidRDefault="001E2F9C" w:rsidP="001515D5">
            <w:r w:rsidRPr="00DD6A73">
              <w:t>American Indian/Alaska Native (Dorchester, SC)</w:t>
            </w:r>
          </w:p>
        </w:tc>
      </w:tr>
      <w:tr w:rsidR="001E2F9C" w14:paraId="363FCDAF" w14:textId="77777777" w:rsidTr="001515D5">
        <w:tc>
          <w:tcPr>
            <w:tcW w:w="2046" w:type="dxa"/>
            <w:vAlign w:val="bottom"/>
          </w:tcPr>
          <w:p w14:paraId="04AF77FE" w14:textId="77777777" w:rsidR="001E2F9C" w:rsidRPr="00DD6A73" w:rsidRDefault="001E2F9C" w:rsidP="001515D5">
            <w:r w:rsidRPr="00DD6A73">
              <w:t>Overweight</w:t>
            </w:r>
          </w:p>
        </w:tc>
        <w:tc>
          <w:tcPr>
            <w:tcW w:w="2585" w:type="dxa"/>
            <w:vAlign w:val="bottom"/>
          </w:tcPr>
          <w:p w14:paraId="5A9B07BD" w14:textId="77777777" w:rsidR="001E2F9C" w:rsidRPr="00DD6A73" w:rsidRDefault="001E2F9C" w:rsidP="001515D5">
            <w:r w:rsidRPr="00DD6A73">
              <w:t>32.1%</w:t>
            </w:r>
          </w:p>
        </w:tc>
        <w:tc>
          <w:tcPr>
            <w:tcW w:w="2390" w:type="dxa"/>
            <w:vAlign w:val="bottom"/>
          </w:tcPr>
          <w:p w14:paraId="0884CDE8" w14:textId="77777777" w:rsidR="001E2F9C" w:rsidRPr="00DD6A73" w:rsidRDefault="001E2F9C" w:rsidP="001515D5">
            <w:r w:rsidRPr="00DD6A73">
              <w:t>20.5%</w:t>
            </w:r>
          </w:p>
        </w:tc>
        <w:tc>
          <w:tcPr>
            <w:tcW w:w="2329" w:type="dxa"/>
            <w:vAlign w:val="bottom"/>
          </w:tcPr>
          <w:p w14:paraId="69DBF480" w14:textId="77777777" w:rsidR="001E2F9C" w:rsidRPr="00DD6A73" w:rsidRDefault="001E2F9C" w:rsidP="001515D5">
            <w:r w:rsidRPr="00DD6A73">
              <w:t>28.0%</w:t>
            </w:r>
          </w:p>
        </w:tc>
      </w:tr>
      <w:tr w:rsidR="001E2F9C" w14:paraId="6CC2B2E9" w14:textId="77777777" w:rsidTr="001515D5">
        <w:tc>
          <w:tcPr>
            <w:tcW w:w="2046" w:type="dxa"/>
            <w:vAlign w:val="bottom"/>
          </w:tcPr>
          <w:p w14:paraId="48C27DBA" w14:textId="77777777" w:rsidR="001E2F9C" w:rsidRPr="00DD6A73" w:rsidRDefault="001E2F9C" w:rsidP="001515D5">
            <w:r w:rsidRPr="00DD6A73">
              <w:t>Obese</w:t>
            </w:r>
          </w:p>
        </w:tc>
        <w:tc>
          <w:tcPr>
            <w:tcW w:w="2585" w:type="dxa"/>
            <w:vAlign w:val="bottom"/>
          </w:tcPr>
          <w:p w14:paraId="685E2986" w14:textId="77777777" w:rsidR="001E2F9C" w:rsidRPr="00DD6A73" w:rsidRDefault="001E2F9C" w:rsidP="001515D5">
            <w:r w:rsidRPr="00DD6A73">
              <w:t>33.5%</w:t>
            </w:r>
          </w:p>
        </w:tc>
        <w:tc>
          <w:tcPr>
            <w:tcW w:w="2390" w:type="dxa"/>
            <w:vAlign w:val="bottom"/>
          </w:tcPr>
          <w:p w14:paraId="7F6BFB87" w14:textId="77777777" w:rsidR="001E2F9C" w:rsidRPr="00DD6A73" w:rsidRDefault="001E2F9C" w:rsidP="001515D5">
            <w:r w:rsidRPr="00DD6A73">
              <w:t>43.2%</w:t>
            </w:r>
          </w:p>
        </w:tc>
        <w:tc>
          <w:tcPr>
            <w:tcW w:w="2329" w:type="dxa"/>
            <w:vAlign w:val="bottom"/>
          </w:tcPr>
          <w:p w14:paraId="6C9D61ED" w14:textId="77777777" w:rsidR="001E2F9C" w:rsidRPr="00DD6A73" w:rsidRDefault="001E2F9C" w:rsidP="001515D5">
            <w:r w:rsidRPr="00DD6A73">
              <w:t>56.0%</w:t>
            </w:r>
          </w:p>
        </w:tc>
      </w:tr>
      <w:tr w:rsidR="001E2F9C" w14:paraId="402E6ED4" w14:textId="77777777" w:rsidTr="001515D5">
        <w:tc>
          <w:tcPr>
            <w:tcW w:w="2046" w:type="dxa"/>
            <w:vAlign w:val="bottom"/>
          </w:tcPr>
          <w:p w14:paraId="0456918E" w14:textId="77777777" w:rsidR="001E2F9C" w:rsidRPr="00DD6A73" w:rsidRDefault="001E2F9C" w:rsidP="001515D5">
            <w:r w:rsidRPr="00DD6A73">
              <w:t>Hypertension</w:t>
            </w:r>
          </w:p>
        </w:tc>
        <w:tc>
          <w:tcPr>
            <w:tcW w:w="2585" w:type="dxa"/>
            <w:vAlign w:val="bottom"/>
          </w:tcPr>
          <w:p w14:paraId="081AA046" w14:textId="77777777" w:rsidR="001E2F9C" w:rsidRPr="00DD6A73" w:rsidRDefault="001E2F9C" w:rsidP="001515D5">
            <w:r w:rsidRPr="00DD6A73">
              <w:t>29.4%</w:t>
            </w:r>
          </w:p>
        </w:tc>
        <w:tc>
          <w:tcPr>
            <w:tcW w:w="2390" w:type="dxa"/>
            <w:vAlign w:val="bottom"/>
          </w:tcPr>
          <w:p w14:paraId="00834CF0" w14:textId="77777777" w:rsidR="001E2F9C" w:rsidRPr="00DD6A73" w:rsidRDefault="001E2F9C" w:rsidP="001515D5">
            <w:r w:rsidRPr="00DD6A73">
              <w:t>47.3%</w:t>
            </w:r>
          </w:p>
        </w:tc>
        <w:tc>
          <w:tcPr>
            <w:tcW w:w="2329" w:type="dxa"/>
            <w:vAlign w:val="bottom"/>
          </w:tcPr>
          <w:p w14:paraId="482B4CCF" w14:textId="77777777" w:rsidR="001E2F9C" w:rsidRPr="00DD6A73" w:rsidRDefault="001E2F9C" w:rsidP="001515D5">
            <w:r w:rsidRPr="00DD6A73">
              <w:t>53.0%</w:t>
            </w:r>
          </w:p>
        </w:tc>
      </w:tr>
      <w:tr w:rsidR="001E2F9C" w14:paraId="728F52F7" w14:textId="77777777" w:rsidTr="001515D5">
        <w:tc>
          <w:tcPr>
            <w:tcW w:w="2046" w:type="dxa"/>
            <w:vAlign w:val="bottom"/>
          </w:tcPr>
          <w:p w14:paraId="505E80D9" w14:textId="77777777" w:rsidR="001E2F9C" w:rsidRPr="00DD6A73" w:rsidRDefault="001E2F9C" w:rsidP="001515D5">
            <w:r w:rsidRPr="00DD6A73">
              <w:t>Diabetes</w:t>
            </w:r>
          </w:p>
        </w:tc>
        <w:tc>
          <w:tcPr>
            <w:tcW w:w="2585" w:type="dxa"/>
            <w:vAlign w:val="bottom"/>
          </w:tcPr>
          <w:p w14:paraId="5481E9C2" w14:textId="77777777" w:rsidR="001E2F9C" w:rsidRPr="00DD6A73" w:rsidRDefault="001E2F9C" w:rsidP="001515D5">
            <w:r w:rsidRPr="00DD6A73">
              <w:t>10.5%</w:t>
            </w:r>
          </w:p>
        </w:tc>
        <w:tc>
          <w:tcPr>
            <w:tcW w:w="2390" w:type="dxa"/>
            <w:vAlign w:val="bottom"/>
          </w:tcPr>
          <w:p w14:paraId="16F1AB05" w14:textId="77777777" w:rsidR="001E2F9C" w:rsidRPr="00DD6A73" w:rsidRDefault="001E2F9C" w:rsidP="001515D5">
            <w:r w:rsidRPr="00DD6A73">
              <w:t>20.6%</w:t>
            </w:r>
          </w:p>
        </w:tc>
        <w:tc>
          <w:tcPr>
            <w:tcW w:w="2329" w:type="dxa"/>
            <w:vAlign w:val="bottom"/>
          </w:tcPr>
          <w:p w14:paraId="503A95BD" w14:textId="77777777" w:rsidR="001E2F9C" w:rsidRPr="00DD6A73" w:rsidRDefault="001E2F9C" w:rsidP="001515D5">
            <w:r w:rsidRPr="00DD6A73">
              <w:t>26.0%</w:t>
            </w:r>
          </w:p>
        </w:tc>
      </w:tr>
      <w:tr w:rsidR="001E2F9C" w14:paraId="6CAC82C4" w14:textId="77777777" w:rsidTr="001515D5">
        <w:tc>
          <w:tcPr>
            <w:tcW w:w="2046" w:type="dxa"/>
            <w:vAlign w:val="bottom"/>
          </w:tcPr>
          <w:p w14:paraId="7F6ECFBA" w14:textId="77777777" w:rsidR="001E2F9C" w:rsidRPr="00DD6A73" w:rsidRDefault="001E2F9C" w:rsidP="001515D5">
            <w:r w:rsidRPr="00DD6A73">
              <w:t>Current smoking</w:t>
            </w:r>
          </w:p>
        </w:tc>
        <w:tc>
          <w:tcPr>
            <w:tcW w:w="2585" w:type="dxa"/>
            <w:vAlign w:val="bottom"/>
          </w:tcPr>
          <w:p w14:paraId="59241877" w14:textId="77777777" w:rsidR="001E2F9C" w:rsidRPr="00DD6A73" w:rsidRDefault="001E2F9C" w:rsidP="001515D5">
            <w:r w:rsidRPr="00DD6A73">
              <w:t>22.1%</w:t>
            </w:r>
          </w:p>
        </w:tc>
        <w:tc>
          <w:tcPr>
            <w:tcW w:w="2390" w:type="dxa"/>
            <w:vAlign w:val="bottom"/>
          </w:tcPr>
          <w:p w14:paraId="58CB7DD9" w14:textId="77777777" w:rsidR="001E2F9C" w:rsidRPr="00DD6A73" w:rsidRDefault="001E2F9C" w:rsidP="001515D5">
            <w:r w:rsidRPr="00DD6A73">
              <w:t>28.5%</w:t>
            </w:r>
          </w:p>
        </w:tc>
        <w:tc>
          <w:tcPr>
            <w:tcW w:w="2329" w:type="dxa"/>
            <w:vAlign w:val="bottom"/>
          </w:tcPr>
          <w:p w14:paraId="11A7C7E6" w14:textId="77777777" w:rsidR="001E2F9C" w:rsidRPr="00DD6A73" w:rsidRDefault="001E2F9C" w:rsidP="001515D5">
            <w:r w:rsidRPr="00DD6A73">
              <w:t>31.0%</w:t>
            </w:r>
          </w:p>
        </w:tc>
      </w:tr>
      <w:tr w:rsidR="001E2F9C" w14:paraId="750B8881" w14:textId="77777777" w:rsidTr="001515D5">
        <w:tc>
          <w:tcPr>
            <w:tcW w:w="2046" w:type="dxa"/>
            <w:vAlign w:val="bottom"/>
          </w:tcPr>
          <w:p w14:paraId="31218C98" w14:textId="77777777" w:rsidR="001E2F9C" w:rsidRPr="00DD6A73" w:rsidRDefault="001E2F9C" w:rsidP="001515D5">
            <w:r w:rsidRPr="00DD6A73">
              <w:lastRenderedPageBreak/>
              <w:t>Chronic obstructive pulmonary disease</w:t>
            </w:r>
          </w:p>
        </w:tc>
        <w:tc>
          <w:tcPr>
            <w:tcW w:w="2585" w:type="dxa"/>
            <w:vAlign w:val="bottom"/>
          </w:tcPr>
          <w:p w14:paraId="6F1B7291" w14:textId="77777777" w:rsidR="001E2F9C" w:rsidRPr="00DD6A73" w:rsidRDefault="001E2F9C" w:rsidP="001515D5">
            <w:r w:rsidRPr="00DD6A73">
              <w:t>9.7%</w:t>
            </w:r>
          </w:p>
        </w:tc>
        <w:tc>
          <w:tcPr>
            <w:tcW w:w="2390" w:type="dxa"/>
            <w:vAlign w:val="bottom"/>
          </w:tcPr>
          <w:p w14:paraId="0B070C3B" w14:textId="77777777" w:rsidR="001E2F9C" w:rsidRPr="00DD6A73" w:rsidRDefault="001E2F9C" w:rsidP="001515D5">
            <w:r w:rsidRPr="00DD6A73">
              <w:t>18.4%</w:t>
            </w:r>
          </w:p>
        </w:tc>
        <w:tc>
          <w:tcPr>
            <w:tcW w:w="2329" w:type="dxa"/>
            <w:vAlign w:val="bottom"/>
          </w:tcPr>
          <w:p w14:paraId="286CE7F6" w14:textId="77777777" w:rsidR="001E2F9C" w:rsidRPr="00DD6A73" w:rsidRDefault="001E2F9C" w:rsidP="001515D5">
            <w:r w:rsidRPr="00DD6A73">
              <w:t>10.0%</w:t>
            </w:r>
          </w:p>
        </w:tc>
      </w:tr>
    </w:tbl>
    <w:p w14:paraId="5680A949" w14:textId="77777777" w:rsidR="001E2F9C" w:rsidRDefault="001E2F9C" w:rsidP="001E2F9C">
      <w:r w:rsidRPr="00DD6A73">
        <w:t>Source: SC BRFSS, 2017-2022 (5 year estimates); Edisto Indian Free Clinic, 2021.</w:t>
      </w:r>
    </w:p>
    <w:p w14:paraId="1D2DE3A2" w14:textId="77777777" w:rsidR="001E2F9C" w:rsidRPr="00D351D4" w:rsidRDefault="001E2F9C" w:rsidP="001E2F9C"/>
    <w:p w14:paraId="20EB2911" w14:textId="77777777" w:rsidR="001E2F9C" w:rsidRDefault="001E2F9C" w:rsidP="001E2F9C">
      <w:pPr>
        <w:pStyle w:val="Heading4"/>
      </w:pPr>
      <w:bookmarkStart w:id="189" w:name="_Toc154569801"/>
      <w:bookmarkStart w:id="190" w:name="_Toc162267114"/>
      <w:r>
        <w:t>Figure 5.28: Services provided by Pine Hill Health Network to Native Americans in South Carolina, 2022.</w:t>
      </w:r>
      <w:bookmarkEnd w:id="189"/>
      <w:bookmarkEnd w:id="190"/>
    </w:p>
    <w:tbl>
      <w:tblPr>
        <w:tblStyle w:val="TableGrid"/>
        <w:tblW w:w="0" w:type="auto"/>
        <w:tblLook w:val="04A0" w:firstRow="1" w:lastRow="0" w:firstColumn="1" w:lastColumn="0" w:noHBand="0" w:noVBand="1"/>
      </w:tblPr>
      <w:tblGrid>
        <w:gridCol w:w="4675"/>
        <w:gridCol w:w="4675"/>
      </w:tblGrid>
      <w:tr w:rsidR="001E2F9C" w14:paraId="7B8EB770" w14:textId="77777777" w:rsidTr="001515D5">
        <w:tc>
          <w:tcPr>
            <w:tcW w:w="4675" w:type="dxa"/>
            <w:vAlign w:val="bottom"/>
          </w:tcPr>
          <w:p w14:paraId="789338F4" w14:textId="77777777" w:rsidR="001E2F9C" w:rsidRPr="00DD6A73" w:rsidRDefault="001E2F9C" w:rsidP="001515D5">
            <w:r w:rsidRPr="00DD6A73">
              <w:t>Service</w:t>
            </w:r>
          </w:p>
        </w:tc>
        <w:tc>
          <w:tcPr>
            <w:tcW w:w="4675" w:type="dxa"/>
            <w:vAlign w:val="bottom"/>
          </w:tcPr>
          <w:p w14:paraId="42FCE94B" w14:textId="77777777" w:rsidR="001E2F9C" w:rsidRPr="00DD6A73" w:rsidRDefault="001E2F9C" w:rsidP="001515D5">
            <w:r w:rsidRPr="00DD6A73">
              <w:t>Number of Native Americans Served</w:t>
            </w:r>
          </w:p>
        </w:tc>
      </w:tr>
      <w:tr w:rsidR="001E2F9C" w14:paraId="048EAB76" w14:textId="77777777" w:rsidTr="001515D5">
        <w:tc>
          <w:tcPr>
            <w:tcW w:w="4675" w:type="dxa"/>
            <w:vAlign w:val="center"/>
          </w:tcPr>
          <w:p w14:paraId="2D2031AF" w14:textId="77777777" w:rsidR="001E2F9C" w:rsidRPr="00DD6A73" w:rsidRDefault="001E2F9C" w:rsidP="001515D5">
            <w:r w:rsidRPr="00DD6A73">
              <w:t>Diabetes Prevention Direct Services**</w:t>
            </w:r>
          </w:p>
        </w:tc>
        <w:tc>
          <w:tcPr>
            <w:tcW w:w="4675" w:type="dxa"/>
            <w:vAlign w:val="bottom"/>
          </w:tcPr>
          <w:p w14:paraId="471ED2ED" w14:textId="77777777" w:rsidR="001E2F9C" w:rsidRPr="00DD6A73" w:rsidRDefault="001E2F9C" w:rsidP="001515D5">
            <w:r w:rsidRPr="00DD6A73">
              <w:t>21</w:t>
            </w:r>
          </w:p>
        </w:tc>
      </w:tr>
      <w:tr w:rsidR="001E2F9C" w14:paraId="25FCBCD2" w14:textId="77777777" w:rsidTr="001515D5">
        <w:tc>
          <w:tcPr>
            <w:tcW w:w="4675" w:type="dxa"/>
            <w:vAlign w:val="center"/>
          </w:tcPr>
          <w:p w14:paraId="70548DC7" w14:textId="77777777" w:rsidR="001E2F9C" w:rsidRPr="00DD6A73" w:rsidRDefault="001E2F9C" w:rsidP="001515D5">
            <w:r w:rsidRPr="00DD6A73">
              <w:t xml:space="preserve">Breastfeeding Services </w:t>
            </w:r>
          </w:p>
        </w:tc>
        <w:tc>
          <w:tcPr>
            <w:tcW w:w="4675" w:type="dxa"/>
            <w:vAlign w:val="bottom"/>
          </w:tcPr>
          <w:p w14:paraId="76D0092B" w14:textId="77777777" w:rsidR="001E2F9C" w:rsidRPr="00DD6A73" w:rsidRDefault="001E2F9C" w:rsidP="001515D5">
            <w:r w:rsidRPr="00DD6A73">
              <w:t>27</w:t>
            </w:r>
          </w:p>
        </w:tc>
      </w:tr>
      <w:tr w:rsidR="001E2F9C" w14:paraId="0CFA1FD6" w14:textId="77777777" w:rsidTr="001515D5">
        <w:tc>
          <w:tcPr>
            <w:tcW w:w="4675" w:type="dxa"/>
            <w:vAlign w:val="center"/>
          </w:tcPr>
          <w:p w14:paraId="6BE4840D" w14:textId="77777777" w:rsidR="001E2F9C" w:rsidRPr="00DD6A73" w:rsidRDefault="001E2F9C" w:rsidP="001515D5">
            <w:r w:rsidRPr="00DD6A73">
              <w:t xml:space="preserve">Blood Pressure/Cholesterol Services </w:t>
            </w:r>
          </w:p>
        </w:tc>
        <w:tc>
          <w:tcPr>
            <w:tcW w:w="4675" w:type="dxa"/>
            <w:vAlign w:val="bottom"/>
          </w:tcPr>
          <w:p w14:paraId="38AAD6AB" w14:textId="77777777" w:rsidR="001E2F9C" w:rsidRPr="00DD6A73" w:rsidRDefault="001E2F9C" w:rsidP="001515D5">
            <w:r w:rsidRPr="00DD6A73">
              <w:t>32</w:t>
            </w:r>
          </w:p>
        </w:tc>
      </w:tr>
      <w:tr w:rsidR="001E2F9C" w14:paraId="148DA231" w14:textId="77777777" w:rsidTr="001515D5">
        <w:tc>
          <w:tcPr>
            <w:tcW w:w="4675" w:type="dxa"/>
            <w:vAlign w:val="center"/>
          </w:tcPr>
          <w:p w14:paraId="72A413AE" w14:textId="77777777" w:rsidR="001E2F9C" w:rsidRPr="00DD6A73" w:rsidRDefault="001E2F9C" w:rsidP="001515D5">
            <w:r w:rsidRPr="00DD6A73">
              <w:t xml:space="preserve">Nicotine Cessation Services </w:t>
            </w:r>
          </w:p>
        </w:tc>
        <w:tc>
          <w:tcPr>
            <w:tcW w:w="4675" w:type="dxa"/>
            <w:vAlign w:val="bottom"/>
          </w:tcPr>
          <w:p w14:paraId="1B93EA3B" w14:textId="77777777" w:rsidR="001E2F9C" w:rsidRPr="00DD6A73" w:rsidRDefault="001E2F9C" w:rsidP="001515D5">
            <w:r w:rsidRPr="00DD6A73">
              <w:t>120</w:t>
            </w:r>
          </w:p>
        </w:tc>
      </w:tr>
      <w:tr w:rsidR="001E2F9C" w14:paraId="0BBAFDBD" w14:textId="77777777" w:rsidTr="001515D5">
        <w:tc>
          <w:tcPr>
            <w:tcW w:w="4675" w:type="dxa"/>
            <w:vAlign w:val="center"/>
          </w:tcPr>
          <w:p w14:paraId="1893F397" w14:textId="77777777" w:rsidR="001E2F9C" w:rsidRPr="00DD6A73" w:rsidRDefault="001E2F9C" w:rsidP="001515D5">
            <w:r w:rsidRPr="00DD6A73">
              <w:t>Physical Activity Services</w:t>
            </w:r>
          </w:p>
        </w:tc>
        <w:tc>
          <w:tcPr>
            <w:tcW w:w="4675" w:type="dxa"/>
            <w:vAlign w:val="bottom"/>
          </w:tcPr>
          <w:p w14:paraId="7EF4ADC3" w14:textId="77777777" w:rsidR="001E2F9C" w:rsidRPr="00DD6A73" w:rsidRDefault="001E2F9C" w:rsidP="001515D5">
            <w:r w:rsidRPr="00DD6A73">
              <w:t>361</w:t>
            </w:r>
          </w:p>
        </w:tc>
      </w:tr>
      <w:tr w:rsidR="001E2F9C" w14:paraId="1C3546DE" w14:textId="77777777" w:rsidTr="001515D5">
        <w:tc>
          <w:tcPr>
            <w:tcW w:w="4675" w:type="dxa"/>
            <w:vAlign w:val="center"/>
          </w:tcPr>
          <w:p w14:paraId="1FA504B8" w14:textId="77777777" w:rsidR="001E2F9C" w:rsidRPr="00DD6A73" w:rsidRDefault="001E2F9C" w:rsidP="001515D5">
            <w:r w:rsidRPr="00DD6A73">
              <w:t xml:space="preserve">Nutrition Education </w:t>
            </w:r>
          </w:p>
        </w:tc>
        <w:tc>
          <w:tcPr>
            <w:tcW w:w="4675" w:type="dxa"/>
            <w:vAlign w:val="bottom"/>
          </w:tcPr>
          <w:p w14:paraId="18B2BE25" w14:textId="77777777" w:rsidR="001E2F9C" w:rsidRPr="00DD6A73" w:rsidRDefault="001E2F9C" w:rsidP="001515D5">
            <w:r w:rsidRPr="00DD6A73">
              <w:t>551</w:t>
            </w:r>
          </w:p>
        </w:tc>
      </w:tr>
      <w:tr w:rsidR="001E2F9C" w14:paraId="28805177" w14:textId="77777777" w:rsidTr="001515D5">
        <w:tc>
          <w:tcPr>
            <w:tcW w:w="4675" w:type="dxa"/>
            <w:vAlign w:val="center"/>
          </w:tcPr>
          <w:p w14:paraId="42EC79AE" w14:textId="77777777" w:rsidR="001E2F9C" w:rsidRPr="00DD6A73" w:rsidRDefault="001E2F9C" w:rsidP="001515D5">
            <w:r w:rsidRPr="00DD6A73">
              <w:t>Healthy Halloween*</w:t>
            </w:r>
          </w:p>
        </w:tc>
        <w:tc>
          <w:tcPr>
            <w:tcW w:w="4675" w:type="dxa"/>
            <w:vAlign w:val="bottom"/>
          </w:tcPr>
          <w:p w14:paraId="0504E98C" w14:textId="77777777" w:rsidR="001E2F9C" w:rsidRPr="00DD6A73" w:rsidRDefault="001E2F9C" w:rsidP="001515D5">
            <w:r w:rsidRPr="00DD6A73">
              <w:t>982</w:t>
            </w:r>
          </w:p>
        </w:tc>
      </w:tr>
      <w:tr w:rsidR="001E2F9C" w14:paraId="47383736" w14:textId="77777777" w:rsidTr="001515D5">
        <w:tc>
          <w:tcPr>
            <w:tcW w:w="4675" w:type="dxa"/>
            <w:vAlign w:val="center"/>
          </w:tcPr>
          <w:p w14:paraId="5DC1FF25" w14:textId="77777777" w:rsidR="001E2F9C" w:rsidRPr="00DD6A73" w:rsidRDefault="001E2F9C" w:rsidP="001515D5">
            <w:r w:rsidRPr="00DD6A73">
              <w:t xml:space="preserve">Indigenous Health Education </w:t>
            </w:r>
          </w:p>
        </w:tc>
        <w:tc>
          <w:tcPr>
            <w:tcW w:w="4675" w:type="dxa"/>
            <w:vAlign w:val="bottom"/>
          </w:tcPr>
          <w:p w14:paraId="76662221" w14:textId="77777777" w:rsidR="001E2F9C" w:rsidRPr="00DD6A73" w:rsidRDefault="001E2F9C" w:rsidP="001515D5">
            <w:r w:rsidRPr="00DD6A73">
              <w:t>1,097</w:t>
            </w:r>
          </w:p>
        </w:tc>
      </w:tr>
      <w:tr w:rsidR="001E2F9C" w14:paraId="20FEB1AD" w14:textId="77777777" w:rsidTr="001515D5">
        <w:tc>
          <w:tcPr>
            <w:tcW w:w="4675" w:type="dxa"/>
            <w:vAlign w:val="center"/>
          </w:tcPr>
          <w:p w14:paraId="52AAE9C2" w14:textId="77777777" w:rsidR="001E2F9C" w:rsidRPr="00DD6A73" w:rsidRDefault="001E2F9C" w:rsidP="001515D5">
            <w:r w:rsidRPr="00DD6A73">
              <w:t>Covid Talking Circle</w:t>
            </w:r>
          </w:p>
        </w:tc>
        <w:tc>
          <w:tcPr>
            <w:tcW w:w="4675" w:type="dxa"/>
            <w:vAlign w:val="bottom"/>
          </w:tcPr>
          <w:p w14:paraId="01D69AD6" w14:textId="77777777" w:rsidR="001E2F9C" w:rsidRPr="00DD6A73" w:rsidRDefault="001E2F9C" w:rsidP="001515D5">
            <w:r w:rsidRPr="00DD6A73">
              <w:t>1,579</w:t>
            </w:r>
          </w:p>
        </w:tc>
      </w:tr>
      <w:tr w:rsidR="001E2F9C" w14:paraId="2CD5D8FD" w14:textId="77777777" w:rsidTr="001515D5">
        <w:tc>
          <w:tcPr>
            <w:tcW w:w="4675" w:type="dxa"/>
            <w:vAlign w:val="center"/>
          </w:tcPr>
          <w:p w14:paraId="65F2FA96" w14:textId="77777777" w:rsidR="001E2F9C" w:rsidRPr="00DD6A73" w:rsidRDefault="001E2F9C" w:rsidP="001515D5">
            <w:r w:rsidRPr="00DD6A73">
              <w:t>Teen Talk/Stay In Your Lane </w:t>
            </w:r>
          </w:p>
        </w:tc>
        <w:tc>
          <w:tcPr>
            <w:tcW w:w="4675" w:type="dxa"/>
            <w:vAlign w:val="bottom"/>
          </w:tcPr>
          <w:p w14:paraId="35843AF0" w14:textId="77777777" w:rsidR="001E2F9C" w:rsidRPr="00DD6A73" w:rsidRDefault="001E2F9C" w:rsidP="001515D5">
            <w:r w:rsidRPr="00DD6A73">
              <w:t>2,924</w:t>
            </w:r>
          </w:p>
        </w:tc>
      </w:tr>
      <w:tr w:rsidR="001E2F9C" w14:paraId="088B2792" w14:textId="77777777" w:rsidTr="001515D5">
        <w:tc>
          <w:tcPr>
            <w:tcW w:w="4675" w:type="dxa"/>
            <w:vAlign w:val="center"/>
          </w:tcPr>
          <w:p w14:paraId="22F2268C" w14:textId="77777777" w:rsidR="001E2F9C" w:rsidRPr="00DD6A73" w:rsidRDefault="001E2F9C" w:rsidP="001515D5">
            <w:r w:rsidRPr="00DD6A73">
              <w:t>Traditional Tobacco (Nicotine Cessation)</w:t>
            </w:r>
          </w:p>
        </w:tc>
        <w:tc>
          <w:tcPr>
            <w:tcW w:w="4675" w:type="dxa"/>
            <w:vAlign w:val="bottom"/>
          </w:tcPr>
          <w:p w14:paraId="3EBD8B05" w14:textId="77777777" w:rsidR="001E2F9C" w:rsidRPr="00DD6A73" w:rsidRDefault="001E2F9C" w:rsidP="001515D5">
            <w:r w:rsidRPr="00DD6A73">
              <w:t>3,359</w:t>
            </w:r>
          </w:p>
        </w:tc>
      </w:tr>
      <w:tr w:rsidR="001E2F9C" w14:paraId="6EF24F3B" w14:textId="77777777" w:rsidTr="001515D5">
        <w:tc>
          <w:tcPr>
            <w:tcW w:w="4675" w:type="dxa"/>
            <w:vAlign w:val="center"/>
          </w:tcPr>
          <w:p w14:paraId="5D79BCF7" w14:textId="77777777" w:rsidR="001E2F9C" w:rsidRPr="00DD6A73" w:rsidRDefault="001E2F9C" w:rsidP="001515D5">
            <w:r w:rsidRPr="00DD6A73">
              <w:t xml:space="preserve">Plant Teachings </w:t>
            </w:r>
          </w:p>
        </w:tc>
        <w:tc>
          <w:tcPr>
            <w:tcW w:w="4675" w:type="dxa"/>
            <w:vAlign w:val="bottom"/>
          </w:tcPr>
          <w:p w14:paraId="22534106" w14:textId="77777777" w:rsidR="001E2F9C" w:rsidRPr="00DD6A73" w:rsidRDefault="001E2F9C" w:rsidP="001515D5">
            <w:r w:rsidRPr="00DD6A73">
              <w:t>8,583</w:t>
            </w:r>
          </w:p>
        </w:tc>
      </w:tr>
      <w:tr w:rsidR="001E2F9C" w14:paraId="61DA4F63" w14:textId="77777777" w:rsidTr="001515D5">
        <w:tc>
          <w:tcPr>
            <w:tcW w:w="4675" w:type="dxa"/>
            <w:vAlign w:val="center"/>
          </w:tcPr>
          <w:p w14:paraId="60D67248" w14:textId="77777777" w:rsidR="001E2F9C" w:rsidRPr="00DD6A73" w:rsidRDefault="001E2F9C" w:rsidP="001515D5">
            <w:r w:rsidRPr="00DD6A73">
              <w:t xml:space="preserve">Indigenous First Steps </w:t>
            </w:r>
          </w:p>
        </w:tc>
        <w:tc>
          <w:tcPr>
            <w:tcW w:w="4675" w:type="dxa"/>
            <w:vAlign w:val="bottom"/>
          </w:tcPr>
          <w:p w14:paraId="1DEB2AEC" w14:textId="77777777" w:rsidR="001E2F9C" w:rsidRPr="00DD6A73" w:rsidRDefault="001E2F9C" w:rsidP="001515D5">
            <w:r w:rsidRPr="00DD6A73">
              <w:t>12,931</w:t>
            </w:r>
          </w:p>
        </w:tc>
      </w:tr>
    </w:tbl>
    <w:p w14:paraId="0F2476E3" w14:textId="77777777" w:rsidR="001E2F9C" w:rsidRPr="00864C09" w:rsidRDefault="001E2F9C" w:rsidP="001E2F9C">
      <w:r w:rsidRPr="00864C09">
        <w:t xml:space="preserve">Source: SC Pine Hill Health Network, 2022. </w:t>
      </w:r>
    </w:p>
    <w:p w14:paraId="04F1A7DA" w14:textId="77777777" w:rsidR="001E2F9C" w:rsidRPr="00864C09" w:rsidRDefault="001E2F9C" w:rsidP="001E2F9C">
      <w:r w:rsidRPr="00864C09">
        <w:t xml:space="preserve">*Tracked by Halloween bags but served at least 2,000 total youth. </w:t>
      </w:r>
    </w:p>
    <w:p w14:paraId="45C11150" w14:textId="77777777" w:rsidR="001E2F9C" w:rsidRDefault="001E2F9C" w:rsidP="001E2F9C">
      <w:r w:rsidRPr="00864C09">
        <w:t>**Pre-diabetic or family history of diabetes only.</w:t>
      </w:r>
    </w:p>
    <w:p w14:paraId="4026E64B" w14:textId="77777777" w:rsidR="00722CE9" w:rsidRDefault="00722CE9" w:rsidP="00722CE9"/>
    <w:p w14:paraId="1C910CB4" w14:textId="11E99525" w:rsidR="00722CE9" w:rsidRPr="00722CE9" w:rsidRDefault="00722CE9" w:rsidP="00722CE9">
      <w:r w:rsidRPr="00722CE9">
        <w:t>In 2021, non-Hispanic American Indian/Alaska Native people experienced disproportionately higher deaths from COVID-19, unintentional injuries, and chronic lower respiratory disease than did non-Hispanic White people (</w:t>
      </w:r>
      <w:r w:rsidRPr="00722CE9">
        <w:rPr>
          <w:b/>
          <w:bCs/>
        </w:rPr>
        <w:t>Figure 5.29</w:t>
      </w:r>
      <w:r w:rsidRPr="00722CE9">
        <w:t xml:space="preserve">). From 2020-2022, more non-Hispanic American Indian/Alaska Native individuals were diagnosed with COVID-19 in younger age groups (&lt; 40 years) compared to other races (data not shown). COVID-19-related deaths among American Indian/Alaska Native peoples were 1.5 times the number of COVID-19-related deaths among other races in those aged 41-70 (56% and 35%, respectively) despite similar numbers of cases in this age range (33% and 37% of cases, respectively). This may have contributed to the sharp rise in years of </w:t>
      </w:r>
      <w:r w:rsidRPr="00722CE9">
        <w:lastRenderedPageBreak/>
        <w:t>potential life lost (YPLL), an indicator of premature mortality, among the American Indian/Alaska Native population early in the pandemic, from 9% in 2019 to 15% in 2020, of all premature deaths occurring between 2011-2021 (</w:t>
      </w:r>
      <w:r w:rsidRPr="00722CE9">
        <w:rPr>
          <w:b/>
          <w:bCs/>
        </w:rPr>
        <w:t>Figure 5.30</w:t>
      </w:r>
      <w:r w:rsidRPr="00722CE9">
        <w:t>). The increase in YPLL in 2020 was 40% higher among the American Indian/Alaska Native population than among non-Hispanic White people. Contributing factors include inadequate access to health information and services, underfunded and under-resourced health systems, and higher prevalence of chronic health conditions that increase the risk of COVID-19 complications.</w:t>
      </w:r>
    </w:p>
    <w:p w14:paraId="4627F601" w14:textId="77777777" w:rsidR="00722CE9" w:rsidRDefault="00722CE9" w:rsidP="00722CE9">
      <w:pPr>
        <w:pStyle w:val="Heading4"/>
        <w:rPr>
          <w:color w:val="FF0000"/>
        </w:rPr>
      </w:pPr>
    </w:p>
    <w:p w14:paraId="5502ABF8" w14:textId="77777777" w:rsidR="001E2F9C" w:rsidRDefault="001E2F9C" w:rsidP="001E2F9C">
      <w:pPr>
        <w:pStyle w:val="Heading4"/>
      </w:pPr>
      <w:bookmarkStart w:id="191" w:name="_Toc154569802"/>
      <w:bookmarkStart w:id="192" w:name="_Toc162267115"/>
      <w:r>
        <w:t>Figure 5.29: 10 Leading Causes of Death, by Race and Ethnicity.</w:t>
      </w:r>
      <w:bookmarkEnd w:id="191"/>
      <w:bookmarkEnd w:id="192"/>
    </w:p>
    <w:tbl>
      <w:tblPr>
        <w:tblStyle w:val="TableGrid"/>
        <w:tblW w:w="0" w:type="auto"/>
        <w:tblLook w:val="04A0" w:firstRow="1" w:lastRow="0" w:firstColumn="1" w:lastColumn="0" w:noHBand="0" w:noVBand="1"/>
      </w:tblPr>
      <w:tblGrid>
        <w:gridCol w:w="3116"/>
        <w:gridCol w:w="3117"/>
        <w:gridCol w:w="3117"/>
      </w:tblGrid>
      <w:tr w:rsidR="001E2F9C" w14:paraId="0B627DE7" w14:textId="77777777" w:rsidTr="001515D5">
        <w:tc>
          <w:tcPr>
            <w:tcW w:w="3116" w:type="dxa"/>
            <w:vAlign w:val="bottom"/>
          </w:tcPr>
          <w:p w14:paraId="628C3EE1" w14:textId="77777777" w:rsidR="001E2F9C" w:rsidRPr="00864C09" w:rsidRDefault="001E2F9C" w:rsidP="001515D5">
            <w:r w:rsidRPr="00864C09">
              <w:t>Race</w:t>
            </w:r>
          </w:p>
        </w:tc>
        <w:tc>
          <w:tcPr>
            <w:tcW w:w="3117" w:type="dxa"/>
            <w:vAlign w:val="bottom"/>
          </w:tcPr>
          <w:p w14:paraId="39552C42" w14:textId="77777777" w:rsidR="001E2F9C" w:rsidRPr="00864C09" w:rsidRDefault="001E2F9C" w:rsidP="001515D5">
            <w:r w:rsidRPr="00864C09">
              <w:t>Condition</w:t>
            </w:r>
          </w:p>
        </w:tc>
        <w:tc>
          <w:tcPr>
            <w:tcW w:w="3117" w:type="dxa"/>
            <w:vAlign w:val="bottom"/>
          </w:tcPr>
          <w:p w14:paraId="138FB6BF" w14:textId="29C0E882" w:rsidR="001E2F9C" w:rsidRPr="00864C09" w:rsidRDefault="002748B7" w:rsidP="001515D5">
            <w:r>
              <w:t>Percent</w:t>
            </w:r>
          </w:p>
        </w:tc>
      </w:tr>
      <w:tr w:rsidR="001E2F9C" w14:paraId="4A8DC054" w14:textId="77777777" w:rsidTr="001515D5">
        <w:tc>
          <w:tcPr>
            <w:tcW w:w="3116" w:type="dxa"/>
            <w:vAlign w:val="bottom"/>
          </w:tcPr>
          <w:p w14:paraId="5C84C974" w14:textId="77777777" w:rsidR="001E2F9C" w:rsidRPr="00864C09" w:rsidRDefault="001E2F9C" w:rsidP="001515D5">
            <w:r w:rsidRPr="00864C09">
              <w:t>Non-Hispanic White</w:t>
            </w:r>
          </w:p>
        </w:tc>
        <w:tc>
          <w:tcPr>
            <w:tcW w:w="3117" w:type="dxa"/>
            <w:vAlign w:val="bottom"/>
          </w:tcPr>
          <w:p w14:paraId="6D314C5E" w14:textId="77777777" w:rsidR="001E2F9C" w:rsidRPr="00864C09" w:rsidRDefault="001E2F9C" w:rsidP="001515D5">
            <w:r w:rsidRPr="00864C09">
              <w:t>Heart Disease</w:t>
            </w:r>
          </w:p>
        </w:tc>
        <w:tc>
          <w:tcPr>
            <w:tcW w:w="3117" w:type="dxa"/>
            <w:vAlign w:val="bottom"/>
          </w:tcPr>
          <w:p w14:paraId="174B9B33" w14:textId="77777777" w:rsidR="001E2F9C" w:rsidRPr="00864C09" w:rsidRDefault="001E2F9C" w:rsidP="001515D5">
            <w:r w:rsidRPr="00864C09">
              <w:t>18.7%</w:t>
            </w:r>
          </w:p>
        </w:tc>
      </w:tr>
      <w:tr w:rsidR="001E2F9C" w14:paraId="3527683C" w14:textId="77777777" w:rsidTr="001515D5">
        <w:tc>
          <w:tcPr>
            <w:tcW w:w="3116" w:type="dxa"/>
            <w:vAlign w:val="bottom"/>
          </w:tcPr>
          <w:p w14:paraId="3B183753" w14:textId="77777777" w:rsidR="001E2F9C" w:rsidRPr="00864C09" w:rsidRDefault="001E2F9C" w:rsidP="001515D5">
            <w:r w:rsidRPr="00864C09">
              <w:t>Non-Hispanic American Indian</w:t>
            </w:r>
          </w:p>
        </w:tc>
        <w:tc>
          <w:tcPr>
            <w:tcW w:w="3117" w:type="dxa"/>
            <w:vAlign w:val="bottom"/>
          </w:tcPr>
          <w:p w14:paraId="2B0F38B4" w14:textId="77777777" w:rsidR="001E2F9C" w:rsidRPr="00864C09" w:rsidRDefault="001E2F9C" w:rsidP="001515D5">
            <w:r w:rsidRPr="00864C09">
              <w:t>Heart Disease</w:t>
            </w:r>
          </w:p>
        </w:tc>
        <w:tc>
          <w:tcPr>
            <w:tcW w:w="3117" w:type="dxa"/>
            <w:vAlign w:val="bottom"/>
          </w:tcPr>
          <w:p w14:paraId="01FF2B29" w14:textId="77777777" w:rsidR="001E2F9C" w:rsidRPr="00864C09" w:rsidRDefault="001E2F9C" w:rsidP="001515D5">
            <w:r w:rsidRPr="00864C09">
              <w:t>18.4%</w:t>
            </w:r>
          </w:p>
        </w:tc>
      </w:tr>
      <w:tr w:rsidR="001E2F9C" w14:paraId="6D7B0827" w14:textId="77777777" w:rsidTr="001515D5">
        <w:tc>
          <w:tcPr>
            <w:tcW w:w="3116" w:type="dxa"/>
            <w:vAlign w:val="bottom"/>
          </w:tcPr>
          <w:p w14:paraId="43D6A34F" w14:textId="77777777" w:rsidR="001E2F9C" w:rsidRPr="00864C09" w:rsidRDefault="001E2F9C" w:rsidP="001515D5">
            <w:r w:rsidRPr="00864C09">
              <w:t>Non-Hispanic White</w:t>
            </w:r>
          </w:p>
        </w:tc>
        <w:tc>
          <w:tcPr>
            <w:tcW w:w="3117" w:type="dxa"/>
            <w:vAlign w:val="bottom"/>
          </w:tcPr>
          <w:p w14:paraId="1C43F28E" w14:textId="77777777" w:rsidR="001E2F9C" w:rsidRPr="00864C09" w:rsidRDefault="001E2F9C" w:rsidP="001515D5">
            <w:r w:rsidRPr="00864C09">
              <w:t>Cancer</w:t>
            </w:r>
          </w:p>
        </w:tc>
        <w:tc>
          <w:tcPr>
            <w:tcW w:w="3117" w:type="dxa"/>
            <w:vAlign w:val="bottom"/>
          </w:tcPr>
          <w:p w14:paraId="75BCF7CA" w14:textId="77777777" w:rsidR="001E2F9C" w:rsidRPr="00864C09" w:rsidRDefault="001E2F9C" w:rsidP="001515D5">
            <w:r w:rsidRPr="00864C09">
              <w:t>17.0%</w:t>
            </w:r>
          </w:p>
        </w:tc>
      </w:tr>
      <w:tr w:rsidR="001E2F9C" w14:paraId="78778551" w14:textId="77777777" w:rsidTr="001515D5">
        <w:tc>
          <w:tcPr>
            <w:tcW w:w="3116" w:type="dxa"/>
            <w:vAlign w:val="bottom"/>
          </w:tcPr>
          <w:p w14:paraId="23F49F1B" w14:textId="77777777" w:rsidR="001E2F9C" w:rsidRPr="00864C09" w:rsidRDefault="001E2F9C" w:rsidP="001515D5">
            <w:r w:rsidRPr="00864C09">
              <w:t>Non-Hispanic American Indian</w:t>
            </w:r>
          </w:p>
        </w:tc>
        <w:tc>
          <w:tcPr>
            <w:tcW w:w="3117" w:type="dxa"/>
            <w:vAlign w:val="bottom"/>
          </w:tcPr>
          <w:p w14:paraId="7A8887AD" w14:textId="77777777" w:rsidR="001E2F9C" w:rsidRPr="00864C09" w:rsidRDefault="001E2F9C" w:rsidP="001515D5">
            <w:r w:rsidRPr="00864C09">
              <w:t>Cancer</w:t>
            </w:r>
          </w:p>
        </w:tc>
        <w:tc>
          <w:tcPr>
            <w:tcW w:w="3117" w:type="dxa"/>
            <w:vAlign w:val="bottom"/>
          </w:tcPr>
          <w:p w14:paraId="62C9F2E1" w14:textId="77777777" w:rsidR="001E2F9C" w:rsidRPr="00864C09" w:rsidRDefault="001E2F9C" w:rsidP="001515D5">
            <w:r w:rsidRPr="00864C09">
              <w:t>15.5%</w:t>
            </w:r>
          </w:p>
        </w:tc>
      </w:tr>
      <w:tr w:rsidR="001E2F9C" w14:paraId="06C61C80" w14:textId="77777777" w:rsidTr="001515D5">
        <w:tc>
          <w:tcPr>
            <w:tcW w:w="3116" w:type="dxa"/>
            <w:vAlign w:val="bottom"/>
          </w:tcPr>
          <w:p w14:paraId="1C425DA1" w14:textId="77777777" w:rsidR="001E2F9C" w:rsidRPr="00864C09" w:rsidRDefault="001E2F9C" w:rsidP="001515D5">
            <w:r w:rsidRPr="00864C09">
              <w:t>Non-Hispanic White</w:t>
            </w:r>
          </w:p>
        </w:tc>
        <w:tc>
          <w:tcPr>
            <w:tcW w:w="3117" w:type="dxa"/>
            <w:vAlign w:val="bottom"/>
          </w:tcPr>
          <w:p w14:paraId="390E9DDD" w14:textId="77777777" w:rsidR="001E2F9C" w:rsidRPr="00864C09" w:rsidRDefault="001E2F9C" w:rsidP="001515D5">
            <w:r w:rsidRPr="00864C09">
              <w:t>COVID-19</w:t>
            </w:r>
          </w:p>
        </w:tc>
        <w:tc>
          <w:tcPr>
            <w:tcW w:w="3117" w:type="dxa"/>
            <w:vAlign w:val="bottom"/>
          </w:tcPr>
          <w:p w14:paraId="00CAFFDB" w14:textId="77777777" w:rsidR="001E2F9C" w:rsidRPr="00864C09" w:rsidRDefault="001E2F9C" w:rsidP="001515D5">
            <w:r w:rsidRPr="00864C09">
              <w:t>13.1%</w:t>
            </w:r>
          </w:p>
        </w:tc>
      </w:tr>
      <w:tr w:rsidR="001E2F9C" w14:paraId="624C1C80" w14:textId="77777777" w:rsidTr="001515D5">
        <w:tc>
          <w:tcPr>
            <w:tcW w:w="3116" w:type="dxa"/>
            <w:vAlign w:val="bottom"/>
          </w:tcPr>
          <w:p w14:paraId="794006DB" w14:textId="77777777" w:rsidR="001E2F9C" w:rsidRPr="00864C09" w:rsidRDefault="001E2F9C" w:rsidP="001515D5">
            <w:r w:rsidRPr="00864C09">
              <w:t>Non-Hispanic American Indian</w:t>
            </w:r>
          </w:p>
        </w:tc>
        <w:tc>
          <w:tcPr>
            <w:tcW w:w="3117" w:type="dxa"/>
            <w:vAlign w:val="bottom"/>
          </w:tcPr>
          <w:p w14:paraId="2853F948" w14:textId="77777777" w:rsidR="001E2F9C" w:rsidRPr="00864C09" w:rsidRDefault="001E2F9C" w:rsidP="001515D5">
            <w:r w:rsidRPr="00864C09">
              <w:t>COVID-19</w:t>
            </w:r>
          </w:p>
        </w:tc>
        <w:tc>
          <w:tcPr>
            <w:tcW w:w="3117" w:type="dxa"/>
            <w:vAlign w:val="bottom"/>
          </w:tcPr>
          <w:p w14:paraId="388F08A9" w14:textId="77777777" w:rsidR="001E2F9C" w:rsidRPr="00864C09" w:rsidRDefault="001E2F9C" w:rsidP="001515D5">
            <w:r w:rsidRPr="00864C09">
              <w:t>17.8%</w:t>
            </w:r>
          </w:p>
        </w:tc>
      </w:tr>
      <w:tr w:rsidR="001E2F9C" w14:paraId="656E638C" w14:textId="77777777" w:rsidTr="001515D5">
        <w:tc>
          <w:tcPr>
            <w:tcW w:w="3116" w:type="dxa"/>
            <w:vAlign w:val="bottom"/>
          </w:tcPr>
          <w:p w14:paraId="1CEE43ED" w14:textId="77777777" w:rsidR="001E2F9C" w:rsidRPr="00864C09" w:rsidRDefault="001E2F9C" w:rsidP="001515D5">
            <w:r w:rsidRPr="00864C09">
              <w:t>Non-Hispanic White</w:t>
            </w:r>
          </w:p>
        </w:tc>
        <w:tc>
          <w:tcPr>
            <w:tcW w:w="3117" w:type="dxa"/>
            <w:vAlign w:val="bottom"/>
          </w:tcPr>
          <w:p w14:paraId="7BB0A460" w14:textId="77777777" w:rsidR="001E2F9C" w:rsidRPr="00864C09" w:rsidRDefault="001E2F9C" w:rsidP="001515D5">
            <w:r w:rsidRPr="00864C09">
              <w:t>*Unintentional Injuries</w:t>
            </w:r>
          </w:p>
        </w:tc>
        <w:tc>
          <w:tcPr>
            <w:tcW w:w="3117" w:type="dxa"/>
            <w:vAlign w:val="bottom"/>
          </w:tcPr>
          <w:p w14:paraId="429EE971" w14:textId="77777777" w:rsidR="001E2F9C" w:rsidRPr="00864C09" w:rsidRDefault="001E2F9C" w:rsidP="001515D5">
            <w:r w:rsidRPr="00864C09">
              <w:t>7.0%</w:t>
            </w:r>
          </w:p>
        </w:tc>
      </w:tr>
      <w:tr w:rsidR="001E2F9C" w14:paraId="597EA8EA" w14:textId="77777777" w:rsidTr="001515D5">
        <w:tc>
          <w:tcPr>
            <w:tcW w:w="3116" w:type="dxa"/>
            <w:vAlign w:val="bottom"/>
          </w:tcPr>
          <w:p w14:paraId="56EDE759" w14:textId="77777777" w:rsidR="001E2F9C" w:rsidRPr="00864C09" w:rsidRDefault="001E2F9C" w:rsidP="001515D5">
            <w:r w:rsidRPr="00864C09">
              <w:t>Non-Hispanic American Indian</w:t>
            </w:r>
          </w:p>
        </w:tc>
        <w:tc>
          <w:tcPr>
            <w:tcW w:w="3117" w:type="dxa"/>
            <w:vAlign w:val="bottom"/>
          </w:tcPr>
          <w:p w14:paraId="7FD113F9" w14:textId="77777777" w:rsidR="001E2F9C" w:rsidRPr="00864C09" w:rsidRDefault="001E2F9C" w:rsidP="001515D5">
            <w:r w:rsidRPr="00864C09">
              <w:t>*Unintentional Injuries</w:t>
            </w:r>
          </w:p>
        </w:tc>
        <w:tc>
          <w:tcPr>
            <w:tcW w:w="3117" w:type="dxa"/>
            <w:vAlign w:val="bottom"/>
          </w:tcPr>
          <w:p w14:paraId="12F84513" w14:textId="77777777" w:rsidR="001E2F9C" w:rsidRPr="00864C09" w:rsidRDefault="001E2F9C" w:rsidP="001515D5">
            <w:r w:rsidRPr="00864C09">
              <w:t>11.5%</w:t>
            </w:r>
          </w:p>
        </w:tc>
      </w:tr>
      <w:tr w:rsidR="001E2F9C" w14:paraId="13694097" w14:textId="77777777" w:rsidTr="001515D5">
        <w:tc>
          <w:tcPr>
            <w:tcW w:w="3116" w:type="dxa"/>
            <w:vAlign w:val="bottom"/>
          </w:tcPr>
          <w:p w14:paraId="6B230FFE" w14:textId="77777777" w:rsidR="001E2F9C" w:rsidRPr="00864C09" w:rsidRDefault="001E2F9C" w:rsidP="001515D5">
            <w:r w:rsidRPr="00864C09">
              <w:t>Non-Hispanic White</w:t>
            </w:r>
          </w:p>
        </w:tc>
        <w:tc>
          <w:tcPr>
            <w:tcW w:w="3117" w:type="dxa"/>
            <w:vAlign w:val="bottom"/>
          </w:tcPr>
          <w:p w14:paraId="3B296E32" w14:textId="77777777" w:rsidR="001E2F9C" w:rsidRPr="00864C09" w:rsidRDefault="001E2F9C" w:rsidP="001515D5">
            <w:r w:rsidRPr="00864C09">
              <w:t>Chronic Lower Respiratory Disease</w:t>
            </w:r>
          </w:p>
        </w:tc>
        <w:tc>
          <w:tcPr>
            <w:tcW w:w="3117" w:type="dxa"/>
            <w:vAlign w:val="bottom"/>
          </w:tcPr>
          <w:p w14:paraId="3F7555CC" w14:textId="77777777" w:rsidR="001E2F9C" w:rsidRPr="00864C09" w:rsidRDefault="001E2F9C" w:rsidP="001515D5">
            <w:r w:rsidRPr="00864C09">
              <w:t>5.2%</w:t>
            </w:r>
          </w:p>
        </w:tc>
      </w:tr>
      <w:tr w:rsidR="001E2F9C" w14:paraId="71771633" w14:textId="77777777" w:rsidTr="001515D5">
        <w:tc>
          <w:tcPr>
            <w:tcW w:w="3116" w:type="dxa"/>
            <w:vAlign w:val="bottom"/>
          </w:tcPr>
          <w:p w14:paraId="47DF8D4A" w14:textId="77777777" w:rsidR="001E2F9C" w:rsidRPr="00864C09" w:rsidRDefault="001E2F9C" w:rsidP="001515D5">
            <w:r w:rsidRPr="00864C09">
              <w:t>Non-Hispanic American Indian</w:t>
            </w:r>
          </w:p>
        </w:tc>
        <w:tc>
          <w:tcPr>
            <w:tcW w:w="3117" w:type="dxa"/>
            <w:vAlign w:val="bottom"/>
          </w:tcPr>
          <w:p w14:paraId="663C1EB5" w14:textId="77777777" w:rsidR="001E2F9C" w:rsidRPr="00864C09" w:rsidRDefault="001E2F9C" w:rsidP="001515D5">
            <w:r w:rsidRPr="00864C09">
              <w:t>Chronic Lower Respiratory Disease</w:t>
            </w:r>
          </w:p>
        </w:tc>
        <w:tc>
          <w:tcPr>
            <w:tcW w:w="3117" w:type="dxa"/>
            <w:vAlign w:val="bottom"/>
          </w:tcPr>
          <w:p w14:paraId="2B72E2E4" w14:textId="77777777" w:rsidR="001E2F9C" w:rsidRPr="00864C09" w:rsidRDefault="001E2F9C" w:rsidP="001515D5">
            <w:r w:rsidRPr="00864C09">
              <w:t>7.5%</w:t>
            </w:r>
          </w:p>
        </w:tc>
      </w:tr>
      <w:tr w:rsidR="001E2F9C" w14:paraId="641289F6" w14:textId="77777777" w:rsidTr="001515D5">
        <w:tc>
          <w:tcPr>
            <w:tcW w:w="3116" w:type="dxa"/>
            <w:vAlign w:val="bottom"/>
          </w:tcPr>
          <w:p w14:paraId="009B8669" w14:textId="77777777" w:rsidR="001E2F9C" w:rsidRPr="00864C09" w:rsidRDefault="001E2F9C" w:rsidP="001515D5">
            <w:r w:rsidRPr="00864C09">
              <w:t>Non-Hispanic White</w:t>
            </w:r>
          </w:p>
        </w:tc>
        <w:tc>
          <w:tcPr>
            <w:tcW w:w="3117" w:type="dxa"/>
            <w:vAlign w:val="bottom"/>
          </w:tcPr>
          <w:p w14:paraId="69802290" w14:textId="77777777" w:rsidR="001E2F9C" w:rsidRPr="00864C09" w:rsidRDefault="001E2F9C" w:rsidP="001515D5">
            <w:r w:rsidRPr="00864C09">
              <w:t>Stroke</w:t>
            </w:r>
          </w:p>
        </w:tc>
        <w:tc>
          <w:tcPr>
            <w:tcW w:w="3117" w:type="dxa"/>
            <w:vAlign w:val="bottom"/>
          </w:tcPr>
          <w:p w14:paraId="73BAE5E5" w14:textId="77777777" w:rsidR="001E2F9C" w:rsidRPr="00864C09" w:rsidRDefault="001E2F9C" w:rsidP="001515D5">
            <w:r w:rsidRPr="00864C09">
              <w:t>4.5%</w:t>
            </w:r>
          </w:p>
        </w:tc>
      </w:tr>
      <w:tr w:rsidR="001E2F9C" w14:paraId="5A7C5E6C" w14:textId="77777777" w:rsidTr="001515D5">
        <w:tc>
          <w:tcPr>
            <w:tcW w:w="3116" w:type="dxa"/>
            <w:vAlign w:val="bottom"/>
          </w:tcPr>
          <w:p w14:paraId="3643814D" w14:textId="77777777" w:rsidR="001E2F9C" w:rsidRPr="00864C09" w:rsidRDefault="001E2F9C" w:rsidP="001515D5">
            <w:r w:rsidRPr="00864C09">
              <w:t>Non-Hispanic American Indian</w:t>
            </w:r>
          </w:p>
        </w:tc>
        <w:tc>
          <w:tcPr>
            <w:tcW w:w="3117" w:type="dxa"/>
            <w:vAlign w:val="bottom"/>
          </w:tcPr>
          <w:p w14:paraId="56C44621" w14:textId="77777777" w:rsidR="001E2F9C" w:rsidRPr="00864C09" w:rsidRDefault="001E2F9C" w:rsidP="001515D5">
            <w:r w:rsidRPr="00864C09">
              <w:t>Stroke</w:t>
            </w:r>
          </w:p>
        </w:tc>
        <w:tc>
          <w:tcPr>
            <w:tcW w:w="3117" w:type="dxa"/>
            <w:vAlign w:val="bottom"/>
          </w:tcPr>
          <w:p w14:paraId="42C3540D" w14:textId="77777777" w:rsidR="001E2F9C" w:rsidRPr="00864C09" w:rsidRDefault="001E2F9C" w:rsidP="001515D5">
            <w:r w:rsidRPr="00864C09">
              <w:t>4.6%</w:t>
            </w:r>
          </w:p>
        </w:tc>
      </w:tr>
      <w:tr w:rsidR="001E2F9C" w14:paraId="2877A787" w14:textId="77777777" w:rsidTr="001515D5">
        <w:tc>
          <w:tcPr>
            <w:tcW w:w="3116" w:type="dxa"/>
            <w:vAlign w:val="bottom"/>
          </w:tcPr>
          <w:p w14:paraId="703F3E0E" w14:textId="77777777" w:rsidR="001E2F9C" w:rsidRPr="00864C09" w:rsidRDefault="001E2F9C" w:rsidP="001515D5">
            <w:r w:rsidRPr="00864C09">
              <w:t>Non-Hispanic White</w:t>
            </w:r>
          </w:p>
        </w:tc>
        <w:tc>
          <w:tcPr>
            <w:tcW w:w="3117" w:type="dxa"/>
            <w:vAlign w:val="bottom"/>
          </w:tcPr>
          <w:p w14:paraId="453CA3B6" w14:textId="77777777" w:rsidR="001E2F9C" w:rsidRPr="00864C09" w:rsidRDefault="001E2F9C" w:rsidP="001515D5">
            <w:r w:rsidRPr="00864C09">
              <w:t>Alzheimer's Disease</w:t>
            </w:r>
          </w:p>
        </w:tc>
        <w:tc>
          <w:tcPr>
            <w:tcW w:w="3117" w:type="dxa"/>
            <w:vAlign w:val="bottom"/>
          </w:tcPr>
          <w:p w14:paraId="426143ED" w14:textId="77777777" w:rsidR="001E2F9C" w:rsidRPr="00864C09" w:rsidRDefault="001E2F9C" w:rsidP="001515D5">
            <w:r w:rsidRPr="00864C09">
              <w:t>4.3%</w:t>
            </w:r>
          </w:p>
        </w:tc>
      </w:tr>
      <w:tr w:rsidR="001E2F9C" w14:paraId="4764FF96" w14:textId="77777777" w:rsidTr="001515D5">
        <w:tc>
          <w:tcPr>
            <w:tcW w:w="3116" w:type="dxa"/>
            <w:vAlign w:val="bottom"/>
          </w:tcPr>
          <w:p w14:paraId="1162A403" w14:textId="77777777" w:rsidR="001E2F9C" w:rsidRPr="00864C09" w:rsidRDefault="001E2F9C" w:rsidP="001515D5">
            <w:r w:rsidRPr="00864C09">
              <w:t>Non-Hispanic American Indian</w:t>
            </w:r>
          </w:p>
        </w:tc>
        <w:tc>
          <w:tcPr>
            <w:tcW w:w="3117" w:type="dxa"/>
            <w:vAlign w:val="bottom"/>
          </w:tcPr>
          <w:p w14:paraId="103AC2E3" w14:textId="77777777" w:rsidR="001E2F9C" w:rsidRPr="00864C09" w:rsidRDefault="001E2F9C" w:rsidP="001515D5">
            <w:r w:rsidRPr="00864C09">
              <w:t>Alzheimer's Disease</w:t>
            </w:r>
          </w:p>
        </w:tc>
        <w:tc>
          <w:tcPr>
            <w:tcW w:w="3117" w:type="dxa"/>
            <w:vAlign w:val="bottom"/>
          </w:tcPr>
          <w:p w14:paraId="39532FFE" w14:textId="77777777" w:rsidR="001E2F9C" w:rsidRPr="00864C09" w:rsidRDefault="001E2F9C" w:rsidP="001515D5">
            <w:r w:rsidRPr="00864C09">
              <w:t>2.9%</w:t>
            </w:r>
          </w:p>
        </w:tc>
      </w:tr>
      <w:tr w:rsidR="001E2F9C" w14:paraId="5079618D" w14:textId="77777777" w:rsidTr="001515D5">
        <w:tc>
          <w:tcPr>
            <w:tcW w:w="3116" w:type="dxa"/>
            <w:vAlign w:val="bottom"/>
          </w:tcPr>
          <w:p w14:paraId="08ADEEF1" w14:textId="77777777" w:rsidR="001E2F9C" w:rsidRPr="00864C09" w:rsidRDefault="001E2F9C" w:rsidP="001515D5">
            <w:r w:rsidRPr="00864C09">
              <w:t>Non-Hispanic White</w:t>
            </w:r>
          </w:p>
        </w:tc>
        <w:tc>
          <w:tcPr>
            <w:tcW w:w="3117" w:type="dxa"/>
            <w:vAlign w:val="bottom"/>
          </w:tcPr>
          <w:p w14:paraId="13B4580A" w14:textId="77777777" w:rsidR="001E2F9C" w:rsidRPr="00864C09" w:rsidRDefault="001E2F9C" w:rsidP="001515D5">
            <w:r w:rsidRPr="00864C09">
              <w:t>Diabetes</w:t>
            </w:r>
          </w:p>
        </w:tc>
        <w:tc>
          <w:tcPr>
            <w:tcW w:w="3117" w:type="dxa"/>
            <w:vAlign w:val="bottom"/>
          </w:tcPr>
          <w:p w14:paraId="08A22BDD" w14:textId="77777777" w:rsidR="001E2F9C" w:rsidRPr="00864C09" w:rsidRDefault="001E2F9C" w:rsidP="001515D5">
            <w:r w:rsidRPr="00864C09">
              <w:t>2.1%</w:t>
            </w:r>
          </w:p>
        </w:tc>
      </w:tr>
      <w:tr w:rsidR="00E13FB3" w14:paraId="5AEBAF15" w14:textId="77777777" w:rsidTr="001515D5">
        <w:tc>
          <w:tcPr>
            <w:tcW w:w="3116" w:type="dxa"/>
            <w:vAlign w:val="bottom"/>
          </w:tcPr>
          <w:p w14:paraId="575420A8" w14:textId="451BCADA" w:rsidR="00E13FB3" w:rsidRPr="00864C09" w:rsidRDefault="00E13FB3" w:rsidP="001515D5">
            <w:r w:rsidRPr="00864C09">
              <w:t>Non-Hispanic American Indian</w:t>
            </w:r>
          </w:p>
        </w:tc>
        <w:tc>
          <w:tcPr>
            <w:tcW w:w="3117" w:type="dxa"/>
            <w:vAlign w:val="bottom"/>
          </w:tcPr>
          <w:p w14:paraId="5175B9FA" w14:textId="4DD50D0C" w:rsidR="00E13FB3" w:rsidRPr="00864C09" w:rsidRDefault="00E13FB3" w:rsidP="001515D5">
            <w:r>
              <w:t>Diabetes</w:t>
            </w:r>
          </w:p>
        </w:tc>
        <w:tc>
          <w:tcPr>
            <w:tcW w:w="3117" w:type="dxa"/>
            <w:vAlign w:val="bottom"/>
          </w:tcPr>
          <w:p w14:paraId="2C6C89B5" w14:textId="328C8543" w:rsidR="00E13FB3" w:rsidRPr="00864C09" w:rsidRDefault="00E13FB3" w:rsidP="001515D5">
            <w:r>
              <w:t>0.0%</w:t>
            </w:r>
          </w:p>
        </w:tc>
      </w:tr>
      <w:tr w:rsidR="001E2F9C" w14:paraId="302D0AFE" w14:textId="77777777" w:rsidTr="001515D5">
        <w:tc>
          <w:tcPr>
            <w:tcW w:w="3116" w:type="dxa"/>
            <w:vAlign w:val="bottom"/>
          </w:tcPr>
          <w:p w14:paraId="5BA034C3" w14:textId="77777777" w:rsidR="001E2F9C" w:rsidRPr="00864C09" w:rsidRDefault="001E2F9C" w:rsidP="001515D5">
            <w:r w:rsidRPr="00864C09">
              <w:lastRenderedPageBreak/>
              <w:t>Non-Hispanic White</w:t>
            </w:r>
          </w:p>
        </w:tc>
        <w:tc>
          <w:tcPr>
            <w:tcW w:w="3117" w:type="dxa"/>
            <w:vAlign w:val="bottom"/>
          </w:tcPr>
          <w:p w14:paraId="2C15152D" w14:textId="77777777" w:rsidR="001E2F9C" w:rsidRPr="00864C09" w:rsidRDefault="001E2F9C" w:rsidP="001515D5">
            <w:r w:rsidRPr="00864C09">
              <w:t>Chronic Liver Disease and Cirrhosis</w:t>
            </w:r>
          </w:p>
        </w:tc>
        <w:tc>
          <w:tcPr>
            <w:tcW w:w="3117" w:type="dxa"/>
            <w:vAlign w:val="bottom"/>
          </w:tcPr>
          <w:p w14:paraId="3FDA2E3F" w14:textId="77777777" w:rsidR="001E2F9C" w:rsidRPr="00864C09" w:rsidRDefault="001E2F9C" w:rsidP="001515D5">
            <w:r w:rsidRPr="00864C09">
              <w:t>1.9%</w:t>
            </w:r>
          </w:p>
        </w:tc>
      </w:tr>
      <w:tr w:rsidR="00E13FB3" w14:paraId="38767E43" w14:textId="77777777" w:rsidTr="001515D5">
        <w:tc>
          <w:tcPr>
            <w:tcW w:w="3116" w:type="dxa"/>
            <w:vAlign w:val="bottom"/>
          </w:tcPr>
          <w:p w14:paraId="72E4CF6A" w14:textId="1CEFA8B7" w:rsidR="00E13FB3" w:rsidRPr="00864C09" w:rsidRDefault="00E13FB3" w:rsidP="00E13FB3">
            <w:r w:rsidRPr="00864C09">
              <w:t>Non-Hispanic American Indian</w:t>
            </w:r>
          </w:p>
        </w:tc>
        <w:tc>
          <w:tcPr>
            <w:tcW w:w="3117" w:type="dxa"/>
            <w:vAlign w:val="bottom"/>
          </w:tcPr>
          <w:p w14:paraId="4EF60586" w14:textId="44089DED" w:rsidR="00E13FB3" w:rsidRPr="00864C09" w:rsidRDefault="00E13FB3" w:rsidP="00E13FB3">
            <w:r w:rsidRPr="00864C09">
              <w:t>Chronic Liver Disease and Cirrhosis</w:t>
            </w:r>
          </w:p>
        </w:tc>
        <w:tc>
          <w:tcPr>
            <w:tcW w:w="3117" w:type="dxa"/>
            <w:vAlign w:val="bottom"/>
          </w:tcPr>
          <w:p w14:paraId="4F3ED4CC" w14:textId="6B352533" w:rsidR="00E13FB3" w:rsidRPr="00864C09" w:rsidRDefault="00E13FB3" w:rsidP="00E13FB3">
            <w:r>
              <w:t>0.0%</w:t>
            </w:r>
          </w:p>
        </w:tc>
      </w:tr>
      <w:tr w:rsidR="00E13FB3" w14:paraId="00AFFE1B" w14:textId="77777777" w:rsidTr="001515D5">
        <w:tc>
          <w:tcPr>
            <w:tcW w:w="3116" w:type="dxa"/>
            <w:vAlign w:val="bottom"/>
          </w:tcPr>
          <w:p w14:paraId="4B0B7F86" w14:textId="77777777" w:rsidR="00E13FB3" w:rsidRPr="00864C09" w:rsidRDefault="00E13FB3" w:rsidP="00E13FB3">
            <w:r w:rsidRPr="00864C09">
              <w:t>Non-Hispanic White</w:t>
            </w:r>
          </w:p>
        </w:tc>
        <w:tc>
          <w:tcPr>
            <w:tcW w:w="3117" w:type="dxa"/>
            <w:vAlign w:val="bottom"/>
          </w:tcPr>
          <w:p w14:paraId="13281BF0" w14:textId="77777777" w:rsidR="00E13FB3" w:rsidRPr="00864C09" w:rsidRDefault="00E13FB3" w:rsidP="00E13FB3">
            <w:r w:rsidRPr="00864C09">
              <w:t>Suicide</w:t>
            </w:r>
          </w:p>
        </w:tc>
        <w:tc>
          <w:tcPr>
            <w:tcW w:w="3117" w:type="dxa"/>
            <w:vAlign w:val="bottom"/>
          </w:tcPr>
          <w:p w14:paraId="04C47B04" w14:textId="77777777" w:rsidR="00E13FB3" w:rsidRPr="00864C09" w:rsidRDefault="00E13FB3" w:rsidP="00E13FB3">
            <w:r w:rsidRPr="00864C09">
              <w:t>1.5%</w:t>
            </w:r>
          </w:p>
        </w:tc>
      </w:tr>
      <w:tr w:rsidR="00E13FB3" w14:paraId="26E5D6CE" w14:textId="77777777" w:rsidTr="001515D5">
        <w:tc>
          <w:tcPr>
            <w:tcW w:w="3116" w:type="dxa"/>
            <w:vAlign w:val="bottom"/>
          </w:tcPr>
          <w:p w14:paraId="0EB85A69" w14:textId="5A6E68BD" w:rsidR="00E13FB3" w:rsidRPr="00864C09" w:rsidRDefault="00E13FB3" w:rsidP="00E13FB3">
            <w:r w:rsidRPr="00864C09">
              <w:t>Non-Hispanic American Indian</w:t>
            </w:r>
          </w:p>
        </w:tc>
        <w:tc>
          <w:tcPr>
            <w:tcW w:w="3117" w:type="dxa"/>
            <w:vAlign w:val="bottom"/>
          </w:tcPr>
          <w:p w14:paraId="5171382C" w14:textId="6EF670C5" w:rsidR="00E13FB3" w:rsidRPr="00864C09" w:rsidRDefault="00E13FB3" w:rsidP="00E13FB3">
            <w:r>
              <w:t>Suicide</w:t>
            </w:r>
          </w:p>
        </w:tc>
        <w:tc>
          <w:tcPr>
            <w:tcW w:w="3117" w:type="dxa"/>
            <w:vAlign w:val="bottom"/>
          </w:tcPr>
          <w:p w14:paraId="7F84DB81" w14:textId="7C218F2F" w:rsidR="00E13FB3" w:rsidRPr="00864C09" w:rsidRDefault="00E13FB3" w:rsidP="00E13FB3">
            <w:r>
              <w:t>0.0%</w:t>
            </w:r>
          </w:p>
        </w:tc>
      </w:tr>
    </w:tbl>
    <w:p w14:paraId="7AB40761" w14:textId="77777777" w:rsidR="001E2F9C" w:rsidRPr="00864C09" w:rsidRDefault="001E2F9C" w:rsidP="001E2F9C">
      <w:r w:rsidRPr="00864C09">
        <w:t xml:space="preserve">Source: SC DHEC Vital Statistics, 2021. </w:t>
      </w:r>
    </w:p>
    <w:p w14:paraId="678C0F92" w14:textId="77777777" w:rsidR="001E2F9C" w:rsidRDefault="001E2F9C" w:rsidP="001E2F9C">
      <w:r w:rsidRPr="00864C09">
        <w:t>Note: *Includes opioid overdoses (unintentional poisoning), motor vehicle crashes, unintentional drowning, and unintentional falls. Due to small numbers, percent of total deaths from diabetes, chronic liver disease and cirrhosis, and suicide among American Indian race is not shown.</w:t>
      </w:r>
    </w:p>
    <w:p w14:paraId="1337D9D9" w14:textId="77777777" w:rsidR="001E2F9C" w:rsidRPr="00864C09" w:rsidRDefault="001E2F9C" w:rsidP="001E2F9C"/>
    <w:p w14:paraId="033E38AC" w14:textId="77777777" w:rsidR="001E2F9C" w:rsidRPr="00864C09" w:rsidRDefault="001E2F9C" w:rsidP="001E2F9C">
      <w:pPr>
        <w:pStyle w:val="Heading4"/>
      </w:pPr>
      <w:bookmarkStart w:id="193" w:name="_Toc154569803"/>
      <w:bookmarkStart w:id="194" w:name="_Toc162267116"/>
      <w:r>
        <w:t xml:space="preserve">Figure 5.30: </w:t>
      </w:r>
      <w:r w:rsidRPr="00864C09">
        <w:t>Years of Potential Life Lost, by Race-Ethnicity</w:t>
      </w:r>
      <w:r>
        <w:t>.</w:t>
      </w:r>
      <w:bookmarkEnd w:id="193"/>
      <w:bookmarkEnd w:id="194"/>
      <w:r w:rsidRPr="00864C09">
        <w:t xml:space="preserve"> </w:t>
      </w:r>
    </w:p>
    <w:p w14:paraId="0510CFCB" w14:textId="77777777" w:rsidR="001E2F9C" w:rsidRDefault="001E2F9C" w:rsidP="001E2F9C">
      <w:pPr>
        <w:pStyle w:val="Heading5"/>
      </w:pPr>
      <w:r w:rsidRPr="00864C09">
        <w:t>Percent of total YPLL, 2011- 202</w:t>
      </w:r>
      <w:r>
        <w:t>1.</w:t>
      </w:r>
    </w:p>
    <w:tbl>
      <w:tblPr>
        <w:tblStyle w:val="TableGrid"/>
        <w:tblW w:w="0" w:type="auto"/>
        <w:tblLook w:val="04A0" w:firstRow="1" w:lastRow="0" w:firstColumn="1" w:lastColumn="0" w:noHBand="0" w:noVBand="1"/>
      </w:tblPr>
      <w:tblGrid>
        <w:gridCol w:w="3116"/>
        <w:gridCol w:w="3117"/>
        <w:gridCol w:w="3117"/>
      </w:tblGrid>
      <w:tr w:rsidR="001E2F9C" w14:paraId="48A0388B" w14:textId="77777777" w:rsidTr="001515D5">
        <w:tc>
          <w:tcPr>
            <w:tcW w:w="3116" w:type="dxa"/>
            <w:vAlign w:val="bottom"/>
          </w:tcPr>
          <w:p w14:paraId="71003FCA" w14:textId="77777777" w:rsidR="001E2F9C" w:rsidRPr="00864C09" w:rsidRDefault="001E2F9C" w:rsidP="001515D5">
            <w:r w:rsidRPr="00864C09">
              <w:t xml:space="preserve">Year  </w:t>
            </w:r>
          </w:p>
        </w:tc>
        <w:tc>
          <w:tcPr>
            <w:tcW w:w="3117" w:type="dxa"/>
            <w:vAlign w:val="bottom"/>
          </w:tcPr>
          <w:p w14:paraId="319C1D31" w14:textId="77777777" w:rsidR="001E2F9C" w:rsidRPr="00864C09" w:rsidRDefault="001E2F9C" w:rsidP="001515D5">
            <w:r w:rsidRPr="00864C09">
              <w:t>Non-Hispanic White</w:t>
            </w:r>
          </w:p>
        </w:tc>
        <w:tc>
          <w:tcPr>
            <w:tcW w:w="3117" w:type="dxa"/>
            <w:vAlign w:val="bottom"/>
          </w:tcPr>
          <w:p w14:paraId="4D18B9E4" w14:textId="77777777" w:rsidR="001E2F9C" w:rsidRPr="00864C09" w:rsidRDefault="001E2F9C" w:rsidP="001515D5">
            <w:r w:rsidRPr="00864C09">
              <w:t>American Indian</w:t>
            </w:r>
          </w:p>
        </w:tc>
      </w:tr>
      <w:tr w:rsidR="001E2F9C" w14:paraId="11CA91C6" w14:textId="77777777" w:rsidTr="001515D5">
        <w:tc>
          <w:tcPr>
            <w:tcW w:w="3116" w:type="dxa"/>
            <w:vAlign w:val="bottom"/>
          </w:tcPr>
          <w:p w14:paraId="45A608BC" w14:textId="77777777" w:rsidR="001E2F9C" w:rsidRPr="00864C09" w:rsidRDefault="001E2F9C" w:rsidP="001515D5">
            <w:r w:rsidRPr="00864C09">
              <w:t>2011</w:t>
            </w:r>
          </w:p>
        </w:tc>
        <w:tc>
          <w:tcPr>
            <w:tcW w:w="3117" w:type="dxa"/>
            <w:vAlign w:val="center"/>
          </w:tcPr>
          <w:p w14:paraId="0DA9DEC7" w14:textId="77777777" w:rsidR="001E2F9C" w:rsidRPr="00864C09" w:rsidRDefault="001E2F9C" w:rsidP="001515D5">
            <w:r w:rsidRPr="00864C09">
              <w:t>7.9%</w:t>
            </w:r>
          </w:p>
        </w:tc>
        <w:tc>
          <w:tcPr>
            <w:tcW w:w="3117" w:type="dxa"/>
            <w:vAlign w:val="center"/>
          </w:tcPr>
          <w:p w14:paraId="48D440E6" w14:textId="77777777" w:rsidR="001E2F9C" w:rsidRPr="00864C09" w:rsidRDefault="001E2F9C" w:rsidP="001515D5">
            <w:r w:rsidRPr="00864C09">
              <w:t>9.7%</w:t>
            </w:r>
          </w:p>
        </w:tc>
      </w:tr>
      <w:tr w:rsidR="001E2F9C" w14:paraId="1F78DA14" w14:textId="77777777" w:rsidTr="001515D5">
        <w:tc>
          <w:tcPr>
            <w:tcW w:w="3116" w:type="dxa"/>
            <w:vAlign w:val="bottom"/>
          </w:tcPr>
          <w:p w14:paraId="234700B8" w14:textId="77777777" w:rsidR="001E2F9C" w:rsidRPr="00864C09" w:rsidRDefault="001E2F9C" w:rsidP="001515D5">
            <w:r w:rsidRPr="00864C09">
              <w:t>2012</w:t>
            </w:r>
          </w:p>
        </w:tc>
        <w:tc>
          <w:tcPr>
            <w:tcW w:w="3117" w:type="dxa"/>
            <w:vAlign w:val="center"/>
          </w:tcPr>
          <w:p w14:paraId="75F357A0" w14:textId="77777777" w:rsidR="001E2F9C" w:rsidRPr="00864C09" w:rsidRDefault="001E2F9C" w:rsidP="001515D5">
            <w:r w:rsidRPr="00864C09">
              <w:t>8.0%</w:t>
            </w:r>
          </w:p>
        </w:tc>
        <w:tc>
          <w:tcPr>
            <w:tcW w:w="3117" w:type="dxa"/>
            <w:vAlign w:val="center"/>
          </w:tcPr>
          <w:p w14:paraId="13758B97" w14:textId="77777777" w:rsidR="001E2F9C" w:rsidRPr="00864C09" w:rsidRDefault="001E2F9C" w:rsidP="001515D5">
            <w:r w:rsidRPr="00864C09">
              <w:t>4.7%</w:t>
            </w:r>
          </w:p>
        </w:tc>
      </w:tr>
      <w:tr w:rsidR="001E2F9C" w14:paraId="50AEA12C" w14:textId="77777777" w:rsidTr="001515D5">
        <w:tc>
          <w:tcPr>
            <w:tcW w:w="3116" w:type="dxa"/>
            <w:vAlign w:val="bottom"/>
          </w:tcPr>
          <w:p w14:paraId="7A52E9E8" w14:textId="77777777" w:rsidR="001E2F9C" w:rsidRPr="00864C09" w:rsidRDefault="001E2F9C" w:rsidP="001515D5">
            <w:r w:rsidRPr="00864C09">
              <w:t>2013</w:t>
            </w:r>
          </w:p>
        </w:tc>
        <w:tc>
          <w:tcPr>
            <w:tcW w:w="3117" w:type="dxa"/>
            <w:vAlign w:val="center"/>
          </w:tcPr>
          <w:p w14:paraId="59E475C5" w14:textId="77777777" w:rsidR="001E2F9C" w:rsidRPr="00864C09" w:rsidRDefault="001E2F9C" w:rsidP="001515D5">
            <w:r w:rsidRPr="00864C09">
              <w:t>8.1%</w:t>
            </w:r>
          </w:p>
        </w:tc>
        <w:tc>
          <w:tcPr>
            <w:tcW w:w="3117" w:type="dxa"/>
            <w:vAlign w:val="center"/>
          </w:tcPr>
          <w:p w14:paraId="2C86F696" w14:textId="77777777" w:rsidR="001E2F9C" w:rsidRPr="00864C09" w:rsidRDefault="001E2F9C" w:rsidP="001515D5">
            <w:r w:rsidRPr="00864C09">
              <w:t>6.5%</w:t>
            </w:r>
          </w:p>
        </w:tc>
      </w:tr>
      <w:tr w:rsidR="001E2F9C" w14:paraId="47F37198" w14:textId="77777777" w:rsidTr="001515D5">
        <w:tc>
          <w:tcPr>
            <w:tcW w:w="3116" w:type="dxa"/>
            <w:vAlign w:val="bottom"/>
          </w:tcPr>
          <w:p w14:paraId="5669F62A" w14:textId="77777777" w:rsidR="001E2F9C" w:rsidRPr="00864C09" w:rsidRDefault="001E2F9C" w:rsidP="001515D5">
            <w:r w:rsidRPr="00864C09">
              <w:t>2014</w:t>
            </w:r>
          </w:p>
        </w:tc>
        <w:tc>
          <w:tcPr>
            <w:tcW w:w="3117" w:type="dxa"/>
            <w:vAlign w:val="center"/>
          </w:tcPr>
          <w:p w14:paraId="3A1599A7" w14:textId="77777777" w:rsidR="001E2F9C" w:rsidRPr="00864C09" w:rsidRDefault="001E2F9C" w:rsidP="001515D5">
            <w:r w:rsidRPr="00864C09">
              <w:t>8.3%</w:t>
            </w:r>
          </w:p>
        </w:tc>
        <w:tc>
          <w:tcPr>
            <w:tcW w:w="3117" w:type="dxa"/>
            <w:vAlign w:val="center"/>
          </w:tcPr>
          <w:p w14:paraId="69B460D3" w14:textId="77777777" w:rsidR="001E2F9C" w:rsidRPr="00864C09" w:rsidRDefault="001E2F9C" w:rsidP="001515D5">
            <w:r w:rsidRPr="00864C09">
              <w:t>6.6%</w:t>
            </w:r>
          </w:p>
        </w:tc>
      </w:tr>
      <w:tr w:rsidR="001E2F9C" w14:paraId="11D4142F" w14:textId="77777777" w:rsidTr="001515D5">
        <w:tc>
          <w:tcPr>
            <w:tcW w:w="3116" w:type="dxa"/>
            <w:vAlign w:val="bottom"/>
          </w:tcPr>
          <w:p w14:paraId="6159A01F" w14:textId="77777777" w:rsidR="001E2F9C" w:rsidRPr="00864C09" w:rsidRDefault="001E2F9C" w:rsidP="001515D5">
            <w:r w:rsidRPr="00864C09">
              <w:t>2015</w:t>
            </w:r>
          </w:p>
        </w:tc>
        <w:tc>
          <w:tcPr>
            <w:tcW w:w="3117" w:type="dxa"/>
            <w:vAlign w:val="center"/>
          </w:tcPr>
          <w:p w14:paraId="46609F2D" w14:textId="77777777" w:rsidR="001E2F9C" w:rsidRPr="00864C09" w:rsidRDefault="001E2F9C" w:rsidP="001515D5">
            <w:r w:rsidRPr="00864C09">
              <w:t>8.8%</w:t>
            </w:r>
          </w:p>
        </w:tc>
        <w:tc>
          <w:tcPr>
            <w:tcW w:w="3117" w:type="dxa"/>
            <w:vAlign w:val="center"/>
          </w:tcPr>
          <w:p w14:paraId="03C759FE" w14:textId="77777777" w:rsidR="001E2F9C" w:rsidRPr="00864C09" w:rsidRDefault="001E2F9C" w:rsidP="001515D5">
            <w:r w:rsidRPr="00864C09">
              <w:t>7.5%</w:t>
            </w:r>
          </w:p>
        </w:tc>
      </w:tr>
      <w:tr w:rsidR="001E2F9C" w14:paraId="681E71F0" w14:textId="77777777" w:rsidTr="001515D5">
        <w:tc>
          <w:tcPr>
            <w:tcW w:w="3116" w:type="dxa"/>
            <w:vAlign w:val="bottom"/>
          </w:tcPr>
          <w:p w14:paraId="1016F750" w14:textId="77777777" w:rsidR="001E2F9C" w:rsidRPr="00864C09" w:rsidRDefault="001E2F9C" w:rsidP="001515D5">
            <w:r w:rsidRPr="00864C09">
              <w:t>2016</w:t>
            </w:r>
          </w:p>
        </w:tc>
        <w:tc>
          <w:tcPr>
            <w:tcW w:w="3117" w:type="dxa"/>
            <w:vAlign w:val="center"/>
          </w:tcPr>
          <w:p w14:paraId="5C1A804B" w14:textId="77777777" w:rsidR="001E2F9C" w:rsidRPr="00864C09" w:rsidRDefault="001E2F9C" w:rsidP="001515D5">
            <w:r w:rsidRPr="00864C09">
              <w:t>9.1%</w:t>
            </w:r>
          </w:p>
        </w:tc>
        <w:tc>
          <w:tcPr>
            <w:tcW w:w="3117" w:type="dxa"/>
            <w:vAlign w:val="center"/>
          </w:tcPr>
          <w:p w14:paraId="7FB89AFA" w14:textId="77777777" w:rsidR="001E2F9C" w:rsidRPr="00864C09" w:rsidRDefault="001E2F9C" w:rsidP="001515D5">
            <w:r w:rsidRPr="00864C09">
              <w:t>8.2%</w:t>
            </w:r>
          </w:p>
        </w:tc>
      </w:tr>
      <w:tr w:rsidR="001E2F9C" w14:paraId="25ED9382" w14:textId="77777777" w:rsidTr="001515D5">
        <w:tc>
          <w:tcPr>
            <w:tcW w:w="3116" w:type="dxa"/>
            <w:vAlign w:val="bottom"/>
          </w:tcPr>
          <w:p w14:paraId="7305ED75" w14:textId="77777777" w:rsidR="001E2F9C" w:rsidRPr="00864C09" w:rsidRDefault="001E2F9C" w:rsidP="001515D5">
            <w:r w:rsidRPr="00864C09">
              <w:t>2017</w:t>
            </w:r>
          </w:p>
        </w:tc>
        <w:tc>
          <w:tcPr>
            <w:tcW w:w="3117" w:type="dxa"/>
            <w:vAlign w:val="center"/>
          </w:tcPr>
          <w:p w14:paraId="4573A993" w14:textId="77777777" w:rsidR="001E2F9C" w:rsidRPr="00864C09" w:rsidRDefault="001E2F9C" w:rsidP="001515D5">
            <w:r w:rsidRPr="00864C09">
              <w:t>9.1%</w:t>
            </w:r>
          </w:p>
        </w:tc>
        <w:tc>
          <w:tcPr>
            <w:tcW w:w="3117" w:type="dxa"/>
            <w:vAlign w:val="center"/>
          </w:tcPr>
          <w:p w14:paraId="013D40DA" w14:textId="77777777" w:rsidR="001E2F9C" w:rsidRPr="00864C09" w:rsidRDefault="001E2F9C" w:rsidP="001515D5">
            <w:r w:rsidRPr="00864C09">
              <w:t>10.2%</w:t>
            </w:r>
          </w:p>
        </w:tc>
      </w:tr>
      <w:tr w:rsidR="001E2F9C" w14:paraId="4145315B" w14:textId="77777777" w:rsidTr="001515D5">
        <w:tc>
          <w:tcPr>
            <w:tcW w:w="3116" w:type="dxa"/>
            <w:vAlign w:val="bottom"/>
          </w:tcPr>
          <w:p w14:paraId="2640B16E" w14:textId="77777777" w:rsidR="001E2F9C" w:rsidRPr="00864C09" w:rsidRDefault="001E2F9C" w:rsidP="001515D5">
            <w:r w:rsidRPr="00864C09">
              <w:t>2018</w:t>
            </w:r>
          </w:p>
        </w:tc>
        <w:tc>
          <w:tcPr>
            <w:tcW w:w="3117" w:type="dxa"/>
            <w:vAlign w:val="center"/>
          </w:tcPr>
          <w:p w14:paraId="1AE387B7" w14:textId="77777777" w:rsidR="001E2F9C" w:rsidRPr="00864C09" w:rsidRDefault="001E2F9C" w:rsidP="001515D5">
            <w:r w:rsidRPr="00864C09">
              <w:t>9.3%</w:t>
            </w:r>
          </w:p>
        </w:tc>
        <w:tc>
          <w:tcPr>
            <w:tcW w:w="3117" w:type="dxa"/>
            <w:vAlign w:val="center"/>
          </w:tcPr>
          <w:p w14:paraId="25DA42E6" w14:textId="77777777" w:rsidR="001E2F9C" w:rsidRPr="00864C09" w:rsidRDefault="001E2F9C" w:rsidP="001515D5">
            <w:r w:rsidRPr="00864C09">
              <w:t>10.1%</w:t>
            </w:r>
          </w:p>
        </w:tc>
      </w:tr>
      <w:tr w:rsidR="001E2F9C" w14:paraId="1A2B5B60" w14:textId="77777777" w:rsidTr="001515D5">
        <w:tc>
          <w:tcPr>
            <w:tcW w:w="3116" w:type="dxa"/>
            <w:vAlign w:val="bottom"/>
          </w:tcPr>
          <w:p w14:paraId="1683504F" w14:textId="77777777" w:rsidR="001E2F9C" w:rsidRPr="00864C09" w:rsidRDefault="001E2F9C" w:rsidP="001515D5">
            <w:r w:rsidRPr="00864C09">
              <w:t>2019</w:t>
            </w:r>
          </w:p>
        </w:tc>
        <w:tc>
          <w:tcPr>
            <w:tcW w:w="3117" w:type="dxa"/>
            <w:vAlign w:val="center"/>
          </w:tcPr>
          <w:p w14:paraId="46AC9335" w14:textId="77777777" w:rsidR="001E2F9C" w:rsidRPr="00864C09" w:rsidRDefault="001E2F9C" w:rsidP="001515D5">
            <w:r w:rsidRPr="00864C09">
              <w:t>9.0%</w:t>
            </w:r>
          </w:p>
        </w:tc>
        <w:tc>
          <w:tcPr>
            <w:tcW w:w="3117" w:type="dxa"/>
            <w:vAlign w:val="center"/>
          </w:tcPr>
          <w:p w14:paraId="65982E0B" w14:textId="77777777" w:rsidR="001E2F9C" w:rsidRPr="00864C09" w:rsidRDefault="001E2F9C" w:rsidP="001515D5">
            <w:r w:rsidRPr="00864C09">
              <w:t>8.6%</w:t>
            </w:r>
          </w:p>
        </w:tc>
      </w:tr>
      <w:tr w:rsidR="001E2F9C" w14:paraId="0EC9D85B" w14:textId="77777777" w:rsidTr="001515D5">
        <w:tc>
          <w:tcPr>
            <w:tcW w:w="3116" w:type="dxa"/>
            <w:vAlign w:val="bottom"/>
          </w:tcPr>
          <w:p w14:paraId="0C5D43A0" w14:textId="77777777" w:rsidR="001E2F9C" w:rsidRPr="00864C09" w:rsidRDefault="001E2F9C" w:rsidP="001515D5">
            <w:r w:rsidRPr="00864C09">
              <w:t>2020</w:t>
            </w:r>
          </w:p>
        </w:tc>
        <w:tc>
          <w:tcPr>
            <w:tcW w:w="3117" w:type="dxa"/>
            <w:vAlign w:val="center"/>
          </w:tcPr>
          <w:p w14:paraId="70F80B1E" w14:textId="77777777" w:rsidR="001E2F9C" w:rsidRPr="00864C09" w:rsidRDefault="001E2F9C" w:rsidP="001515D5">
            <w:r w:rsidRPr="00864C09">
              <w:t>10.5%</w:t>
            </w:r>
          </w:p>
        </w:tc>
        <w:tc>
          <w:tcPr>
            <w:tcW w:w="3117" w:type="dxa"/>
            <w:vAlign w:val="center"/>
          </w:tcPr>
          <w:p w14:paraId="76CF6E5D" w14:textId="77777777" w:rsidR="001E2F9C" w:rsidRPr="00864C09" w:rsidRDefault="001E2F9C" w:rsidP="001515D5">
            <w:r w:rsidRPr="00864C09">
              <w:t>15.2%</w:t>
            </w:r>
          </w:p>
        </w:tc>
      </w:tr>
      <w:tr w:rsidR="001E2F9C" w14:paraId="31C5104C" w14:textId="77777777" w:rsidTr="001515D5">
        <w:tc>
          <w:tcPr>
            <w:tcW w:w="3116" w:type="dxa"/>
            <w:vAlign w:val="bottom"/>
          </w:tcPr>
          <w:p w14:paraId="707DC431" w14:textId="77777777" w:rsidR="001E2F9C" w:rsidRPr="00864C09" w:rsidRDefault="001E2F9C" w:rsidP="001515D5">
            <w:r w:rsidRPr="00864C09">
              <w:t>2021</w:t>
            </w:r>
          </w:p>
        </w:tc>
        <w:tc>
          <w:tcPr>
            <w:tcW w:w="3117" w:type="dxa"/>
            <w:vAlign w:val="bottom"/>
          </w:tcPr>
          <w:p w14:paraId="23DC814A" w14:textId="77777777" w:rsidR="001E2F9C" w:rsidRPr="00864C09" w:rsidRDefault="001E2F9C" w:rsidP="001515D5">
            <w:r w:rsidRPr="00864C09">
              <w:t>12.0%</w:t>
            </w:r>
          </w:p>
        </w:tc>
        <w:tc>
          <w:tcPr>
            <w:tcW w:w="3117" w:type="dxa"/>
            <w:vAlign w:val="bottom"/>
          </w:tcPr>
          <w:p w14:paraId="5D58C687" w14:textId="77777777" w:rsidR="001E2F9C" w:rsidRPr="00864C09" w:rsidRDefault="001E2F9C" w:rsidP="001515D5">
            <w:r w:rsidRPr="00864C09">
              <w:t>12.8%</w:t>
            </w:r>
          </w:p>
        </w:tc>
      </w:tr>
    </w:tbl>
    <w:p w14:paraId="700EF29F" w14:textId="77777777" w:rsidR="001E2F9C" w:rsidRPr="00864C09" w:rsidRDefault="001E2F9C" w:rsidP="001E2F9C">
      <w:r w:rsidRPr="00864C09">
        <w:t xml:space="preserve">Source: SC DHEC Vital Statistics. </w:t>
      </w:r>
    </w:p>
    <w:p w14:paraId="087EB4C0" w14:textId="77777777" w:rsidR="001E2F9C" w:rsidRPr="00864C09" w:rsidRDefault="001E2F9C" w:rsidP="001E2F9C">
      <w:r w:rsidRPr="00864C09">
        <w:t>Note: Percentages are calculated by dividing each year’s YPLL for each racial-ethnic group by the sum of the YPLL across all years for each racial-ethnic group. American Indian race can be Hispanic or non-Hispanic.</w:t>
      </w:r>
    </w:p>
    <w:p w14:paraId="34DB4DEA" w14:textId="77777777" w:rsidR="00722CE9" w:rsidRDefault="00722CE9" w:rsidP="00722CE9"/>
    <w:p w14:paraId="7CF120E1" w14:textId="1D4AF3F1" w:rsidR="00722CE9" w:rsidRDefault="00722CE9" w:rsidP="00722CE9">
      <w:r w:rsidRPr="00722CE9">
        <w:t xml:space="preserve">To address representation inequity exacerbated by the pandemic, in January 2023 DHEC appointed a representative to the SC Native American Health Board, which was established by Pine Hill Health Network through the Urban Indian Health Institute. This provides direct communication between DHEC and tribal communities on matters of public health, and ensures that tribal communities </w:t>
      </w:r>
      <w:r w:rsidRPr="00722CE9">
        <w:lastRenderedPageBreak/>
        <w:t xml:space="preserve">have equitable access to public health data for informed decision-making about the health of their communities. </w:t>
      </w:r>
    </w:p>
    <w:p w14:paraId="65ECC540" w14:textId="77777777" w:rsidR="00722CE9" w:rsidRPr="00544ADD" w:rsidRDefault="00722CE9" w:rsidP="00722CE9">
      <w:pPr>
        <w:rPr>
          <w:rStyle w:val="Heading4Char"/>
          <w:rFonts w:asciiTheme="minorHAnsi" w:hAnsiTheme="minorHAnsi" w:cstheme="minorHAnsi"/>
          <w:color w:val="000000" w:themeColor="text1"/>
        </w:rPr>
      </w:pPr>
    </w:p>
    <w:p w14:paraId="05262E9D" w14:textId="40938E2B" w:rsidR="00722CE9" w:rsidRPr="00722CE9" w:rsidRDefault="00722CE9" w:rsidP="00722CE9">
      <w:bookmarkStart w:id="195" w:name="_Toc162267117"/>
      <w:r w:rsidRPr="00544ADD">
        <w:rPr>
          <w:rStyle w:val="Heading4Char"/>
          <w:rFonts w:asciiTheme="minorHAnsi" w:hAnsiTheme="minorHAnsi" w:cstheme="minorHAnsi"/>
          <w:color w:val="000000" w:themeColor="text1"/>
        </w:rPr>
        <w:t>References 5.13</w:t>
      </w:r>
      <w:bookmarkEnd w:id="195"/>
      <w:r w:rsidR="00FF4962" w:rsidRPr="00544ADD">
        <w:rPr>
          <w:rStyle w:val="Heading4Char"/>
          <w:rFonts w:asciiTheme="minorHAnsi" w:hAnsiTheme="minorHAnsi" w:cstheme="minorHAnsi"/>
          <w:color w:val="000000" w:themeColor="text1"/>
        </w:rPr>
        <w:t xml:space="preserve"> </w:t>
      </w:r>
    </w:p>
    <w:p w14:paraId="16097DA7" w14:textId="75A47118" w:rsidR="00722CE9" w:rsidRDefault="00722CE9" w:rsidP="00722CE9">
      <w:r w:rsidRPr="00722CE9">
        <w:t xml:space="preserve">Statistics in the preceding </w:t>
      </w:r>
      <w:r w:rsidR="00544ADD">
        <w:t>section</w:t>
      </w:r>
      <w:r w:rsidRPr="00722CE9">
        <w:t xml:space="preserve"> were referenced from the following reports:</w:t>
      </w:r>
    </w:p>
    <w:p w14:paraId="3F610B47" w14:textId="734BD4EC" w:rsidR="002B2178" w:rsidRDefault="00544ADD" w:rsidP="00544ADD">
      <w:pPr>
        <w:ind w:left="360"/>
      </w:pPr>
      <w:r>
        <w:t>42.</w:t>
      </w:r>
      <w:r w:rsidR="002B2178">
        <w:t>“</w:t>
      </w:r>
      <w:r w:rsidR="002B2178" w:rsidRPr="00722CE9">
        <w:t>Behavioral Risk Factor Surveillance System Survey 2017-2021</w:t>
      </w:r>
      <w:r w:rsidR="002B2178">
        <w:t>”</w:t>
      </w:r>
      <w:r w:rsidR="002B2178" w:rsidRPr="00722CE9">
        <w:t xml:space="preserve"> </w:t>
      </w:r>
      <w:r w:rsidR="002B2178">
        <w:t xml:space="preserve">published by SC DHEC, 2023. No hyperlink. </w:t>
      </w:r>
    </w:p>
    <w:p w14:paraId="75D47C67" w14:textId="7683103C" w:rsidR="002B2178" w:rsidRPr="002B2178" w:rsidRDefault="00544ADD" w:rsidP="00544ADD">
      <w:pPr>
        <w:ind w:left="360"/>
      </w:pPr>
      <w:r>
        <w:t>69.</w:t>
      </w:r>
      <w:hyperlink r:id="rId110" w:history="1">
        <w:r w:rsidR="002B2178" w:rsidRPr="004147A8">
          <w:rPr>
            <w:rStyle w:val="Hyperlink"/>
          </w:rPr>
          <w:t>“Poverty Status in the Past 12 Months” by U.S. Census Bureau. Published in American Community Survey 5-Year Data Estimates Subject Tables 2016-2020 South Carolina, 2020.</w:t>
        </w:r>
      </w:hyperlink>
      <w:r w:rsidR="002B2178">
        <w:t xml:space="preserve"> </w:t>
      </w:r>
    </w:p>
    <w:p w14:paraId="5330EA2A" w14:textId="413AB442" w:rsidR="002B2178" w:rsidRPr="002B2178" w:rsidRDefault="00000000" w:rsidP="00544ADD">
      <w:pPr>
        <w:pStyle w:val="ListParagraph"/>
        <w:numPr>
          <w:ilvl w:val="0"/>
          <w:numId w:val="231"/>
        </w:numPr>
      </w:pPr>
      <w:hyperlink r:id="rId111" w:history="1">
        <w:r w:rsidR="002B2178" w:rsidRPr="002B2178">
          <w:rPr>
            <w:rStyle w:val="Hyperlink"/>
          </w:rPr>
          <w:t>“American Community Survey 1-Year Data Estimates Subject Tables 2021, South Carolina” by U.S. Census Bureau. Published in Demographic and Housing Estimates, 2021.</w:t>
        </w:r>
      </w:hyperlink>
      <w:r w:rsidR="002B2178" w:rsidRPr="002B2178">
        <w:rPr>
          <w:i/>
          <w:iCs/>
        </w:rPr>
        <w:t xml:space="preserve"> </w:t>
      </w:r>
    </w:p>
    <w:p w14:paraId="1694259A" w14:textId="59416167" w:rsidR="002B2178" w:rsidRPr="002B2178" w:rsidRDefault="00000000" w:rsidP="00544ADD">
      <w:pPr>
        <w:pStyle w:val="ListParagraph"/>
        <w:numPr>
          <w:ilvl w:val="0"/>
          <w:numId w:val="231"/>
        </w:numPr>
      </w:pPr>
      <w:hyperlink r:id="rId112" w:history="1">
        <w:r w:rsidR="002B2178" w:rsidRPr="002B2178">
          <w:rPr>
            <w:rStyle w:val="Hyperlink"/>
          </w:rPr>
          <w:t>“Data equity in American Indian/Alaska native populations: Respecting sovereign nations’ right to meaningful and usable COVID-19 data” by Mays, V. M., Echo-Hawk, A., Cochran, S. D., &amp; Akee, R. Published in American Journal of Public Health, 2022.</w:t>
        </w:r>
      </w:hyperlink>
      <w:r w:rsidR="002B2178" w:rsidRPr="002B2178">
        <w:t xml:space="preserve"> </w:t>
      </w:r>
    </w:p>
    <w:p w14:paraId="4C733E57" w14:textId="5D66CB22" w:rsidR="002B2178" w:rsidRPr="002B2178" w:rsidRDefault="002B2178" w:rsidP="00544ADD">
      <w:pPr>
        <w:pStyle w:val="ListParagraph"/>
        <w:numPr>
          <w:ilvl w:val="0"/>
          <w:numId w:val="231"/>
        </w:numPr>
      </w:pPr>
      <w:r>
        <w:t>“</w:t>
      </w:r>
      <w:r w:rsidRPr="002B2178">
        <w:t xml:space="preserve">Chief Michelle </w:t>
      </w:r>
      <w:proofErr w:type="spellStart"/>
      <w:r w:rsidRPr="002B2178">
        <w:t>Mitchum</w:t>
      </w:r>
      <w:proofErr w:type="spellEnd"/>
      <w:r w:rsidRPr="002B2178">
        <w:t>: Native American Health Disparities</w:t>
      </w:r>
      <w:r>
        <w:t>”</w:t>
      </w:r>
      <w:r w:rsidRPr="002B2178">
        <w:t>. Personal Communication</w:t>
      </w:r>
      <w:r w:rsidR="00FF4962">
        <w:t xml:space="preserve"> collected by </w:t>
      </w:r>
      <w:r w:rsidRPr="002B2178">
        <w:t>Pine Hill Health Network</w:t>
      </w:r>
      <w:r w:rsidR="00FF4962">
        <w:t xml:space="preserve"> in</w:t>
      </w:r>
      <w:r w:rsidRPr="002B2178">
        <w:t xml:space="preserve"> North; South Carolina</w:t>
      </w:r>
      <w:r w:rsidR="00FF4962">
        <w:t>, 2023. No hyperlink.</w:t>
      </w:r>
    </w:p>
    <w:p w14:paraId="7C2B6EB0" w14:textId="0AA565F8" w:rsidR="002B2178" w:rsidRPr="002B2178" w:rsidRDefault="00FF4962" w:rsidP="00544ADD">
      <w:pPr>
        <w:pStyle w:val="ListParagraph"/>
        <w:numPr>
          <w:ilvl w:val="0"/>
          <w:numId w:val="231"/>
        </w:numPr>
      </w:pPr>
      <w:r>
        <w:t>“</w:t>
      </w:r>
      <w:r w:rsidR="002B2178" w:rsidRPr="002B2178">
        <w:t>Behavioral Risk Factor Surveillance System Survey 2017-2021.</w:t>
      </w:r>
      <w:r>
        <w:t xml:space="preserve">” By SC DHEC, </w:t>
      </w:r>
      <w:r w:rsidR="002B2178" w:rsidRPr="002B2178">
        <w:t>Columbia; South Carolina</w:t>
      </w:r>
      <w:r>
        <w:t>, 2023</w:t>
      </w:r>
      <w:r w:rsidR="002B2178" w:rsidRPr="002B2178">
        <w:t>.</w:t>
      </w:r>
      <w:r>
        <w:t xml:space="preserve"> No hyperlink. </w:t>
      </w:r>
    </w:p>
    <w:p w14:paraId="29424309" w14:textId="1C30E1F9" w:rsidR="002B2178" w:rsidRPr="002B2178" w:rsidRDefault="002B2178" w:rsidP="00544ADD">
      <w:pPr>
        <w:pStyle w:val="ListParagraph"/>
        <w:numPr>
          <w:ilvl w:val="0"/>
          <w:numId w:val="231"/>
        </w:numPr>
      </w:pPr>
      <w:r w:rsidRPr="002B2178">
        <w:t xml:space="preserve">Xu, J., Murphy, S. L., </w:t>
      </w:r>
      <w:proofErr w:type="spellStart"/>
      <w:r w:rsidRPr="002B2178">
        <w:t>Kochanek</w:t>
      </w:r>
      <w:proofErr w:type="spellEnd"/>
      <w:r w:rsidRPr="002B2178">
        <w:t xml:space="preserve">, K. D., &amp; Arias, E. </w:t>
      </w:r>
      <w:r w:rsidR="00FF4962">
        <w:t>“</w:t>
      </w:r>
      <w:r w:rsidRPr="002B2178">
        <w:t>Mortality in the United States, 2021</w:t>
      </w:r>
      <w:r w:rsidR="00FF4962">
        <w:t xml:space="preserve">” by </w:t>
      </w:r>
      <w:r w:rsidR="00FF4962" w:rsidRPr="002B2178">
        <w:t xml:space="preserve">Xu, J., Murphy, S. L., </w:t>
      </w:r>
      <w:proofErr w:type="spellStart"/>
      <w:r w:rsidR="00FF4962" w:rsidRPr="002B2178">
        <w:t>Kochanek</w:t>
      </w:r>
      <w:proofErr w:type="spellEnd"/>
      <w:r w:rsidR="00FF4962" w:rsidRPr="002B2178">
        <w:t>, K. D., &amp; Arias, E</w:t>
      </w:r>
      <w:r w:rsidRPr="002B2178">
        <w:t xml:space="preserve">. </w:t>
      </w:r>
      <w:r w:rsidR="00FF4962">
        <w:t xml:space="preserve">Published in </w:t>
      </w:r>
      <w:r w:rsidRPr="002B2178">
        <w:t>NCHS data brief</w:t>
      </w:r>
      <w:r w:rsidR="00FF4962">
        <w:t xml:space="preserve">, </w:t>
      </w:r>
      <w:r w:rsidRPr="002B2178">
        <w:t xml:space="preserve">DOI: 10.15620/cdc:112079. </w:t>
      </w:r>
      <w:r w:rsidR="00FF4962">
        <w:t>2022. No hyperlink.</w:t>
      </w:r>
    </w:p>
    <w:p w14:paraId="6E1275BA" w14:textId="1E5FE496" w:rsidR="002B2178" w:rsidRPr="002B2178" w:rsidRDefault="00000000" w:rsidP="00544ADD">
      <w:pPr>
        <w:pStyle w:val="ListParagraph"/>
        <w:numPr>
          <w:ilvl w:val="0"/>
          <w:numId w:val="231"/>
        </w:numPr>
      </w:pPr>
      <w:hyperlink r:id="rId113" w:history="1">
        <w:r w:rsidR="002B2178" w:rsidRPr="002B2178">
          <w:rPr>
            <w:rStyle w:val="Hyperlink"/>
          </w:rPr>
          <w:t xml:space="preserve"> </w:t>
        </w:r>
        <w:r w:rsidR="00FF4962" w:rsidRPr="00FF4962">
          <w:rPr>
            <w:rStyle w:val="Hyperlink"/>
          </w:rPr>
          <w:t>“</w:t>
        </w:r>
        <w:r w:rsidR="002B2178" w:rsidRPr="002B2178">
          <w:rPr>
            <w:rStyle w:val="Hyperlink"/>
          </w:rPr>
          <w:t>Disparities: Fact sheets</w:t>
        </w:r>
        <w:r w:rsidR="00FF4962" w:rsidRPr="00FF4962">
          <w:rPr>
            <w:rStyle w:val="Hyperlink"/>
          </w:rPr>
          <w:t xml:space="preserve">” by </w:t>
        </w:r>
        <w:r w:rsidR="00FF4962" w:rsidRPr="002B2178">
          <w:rPr>
            <w:rStyle w:val="Hyperlink"/>
          </w:rPr>
          <w:t xml:space="preserve">U.S. Department of Health and Human Services. </w:t>
        </w:r>
        <w:r w:rsidR="00FF4962" w:rsidRPr="00FF4962">
          <w:rPr>
            <w:rStyle w:val="Hyperlink"/>
          </w:rPr>
          <w:t>Published by</w:t>
        </w:r>
        <w:r w:rsidR="002B2178" w:rsidRPr="002B2178">
          <w:rPr>
            <w:rStyle w:val="Hyperlink"/>
          </w:rPr>
          <w:t xml:space="preserve"> Indian Health Service</w:t>
        </w:r>
        <w:r w:rsidR="00FF4962" w:rsidRPr="00FF4962">
          <w:rPr>
            <w:rStyle w:val="Hyperlink"/>
          </w:rPr>
          <w:t>, 2019</w:t>
        </w:r>
        <w:r w:rsidR="002B2178" w:rsidRPr="002B2178">
          <w:rPr>
            <w:rStyle w:val="Hyperlink"/>
          </w:rPr>
          <w:t>.</w:t>
        </w:r>
      </w:hyperlink>
      <w:r w:rsidR="002B2178" w:rsidRPr="002B2178">
        <w:t xml:space="preserve"> </w:t>
      </w:r>
    </w:p>
    <w:p w14:paraId="553B4905" w14:textId="503751BA" w:rsidR="002B2178" w:rsidRPr="002B2178" w:rsidRDefault="00000000" w:rsidP="00544ADD">
      <w:pPr>
        <w:pStyle w:val="ListParagraph"/>
        <w:numPr>
          <w:ilvl w:val="0"/>
          <w:numId w:val="231"/>
        </w:numPr>
      </w:pPr>
      <w:hyperlink r:id="rId114" w:history="1">
        <w:r w:rsidR="00FF4962" w:rsidRPr="00FF4962">
          <w:rPr>
            <w:rStyle w:val="Hyperlink"/>
          </w:rPr>
          <w:t>“</w:t>
        </w:r>
        <w:r w:rsidR="002B2178" w:rsidRPr="002B2178">
          <w:rPr>
            <w:rStyle w:val="Hyperlink"/>
          </w:rPr>
          <w:t>The historical determinants of food insecurity in native communities</w:t>
        </w:r>
        <w:r w:rsidR="00FF4962" w:rsidRPr="00FF4962">
          <w:rPr>
            <w:rStyle w:val="Hyperlink"/>
          </w:rPr>
          <w:t>”</w:t>
        </w:r>
        <w:r w:rsidR="002B2178" w:rsidRPr="002B2178">
          <w:rPr>
            <w:rStyle w:val="Hyperlink"/>
          </w:rPr>
          <w:t xml:space="preserve"> </w:t>
        </w:r>
        <w:r w:rsidR="00FF4962" w:rsidRPr="00FF4962">
          <w:rPr>
            <w:rStyle w:val="Hyperlink"/>
          </w:rPr>
          <w:t xml:space="preserve">by </w:t>
        </w:r>
        <w:proofErr w:type="spellStart"/>
        <w:r w:rsidR="00FF4962" w:rsidRPr="002B2178">
          <w:rPr>
            <w:rStyle w:val="Hyperlink"/>
          </w:rPr>
          <w:t>Maillacheruvu</w:t>
        </w:r>
        <w:proofErr w:type="spellEnd"/>
        <w:r w:rsidR="00FF4962" w:rsidRPr="002B2178">
          <w:rPr>
            <w:rStyle w:val="Hyperlink"/>
          </w:rPr>
          <w:t xml:space="preserve">, S. U. </w:t>
        </w:r>
        <w:r w:rsidR="00FF4962" w:rsidRPr="00FF4962">
          <w:rPr>
            <w:rStyle w:val="Hyperlink"/>
          </w:rPr>
          <w:t xml:space="preserve">Published by the </w:t>
        </w:r>
        <w:r w:rsidR="002B2178" w:rsidRPr="002B2178">
          <w:rPr>
            <w:rStyle w:val="Hyperlink"/>
          </w:rPr>
          <w:t>Center on Budget and Policy Priorities</w:t>
        </w:r>
        <w:r w:rsidR="00FF4962" w:rsidRPr="00FF4962">
          <w:rPr>
            <w:rStyle w:val="Hyperlink"/>
          </w:rPr>
          <w:t xml:space="preserve">, </w:t>
        </w:r>
        <w:r w:rsidR="00FF4962" w:rsidRPr="002B2178">
          <w:rPr>
            <w:rStyle w:val="Hyperlink"/>
          </w:rPr>
          <w:t>2022</w:t>
        </w:r>
        <w:r w:rsidR="002B2178" w:rsidRPr="002B2178">
          <w:rPr>
            <w:rStyle w:val="Hyperlink"/>
          </w:rPr>
          <w:t>.</w:t>
        </w:r>
      </w:hyperlink>
      <w:r w:rsidR="002B2178" w:rsidRPr="002B2178">
        <w:t xml:space="preserve"> </w:t>
      </w:r>
    </w:p>
    <w:p w14:paraId="5E6D2699" w14:textId="6778E5D6" w:rsidR="002B2178" w:rsidRPr="002B2178" w:rsidRDefault="00000000" w:rsidP="00544ADD">
      <w:pPr>
        <w:pStyle w:val="ListParagraph"/>
        <w:numPr>
          <w:ilvl w:val="0"/>
          <w:numId w:val="231"/>
        </w:numPr>
      </w:pPr>
      <w:hyperlink r:id="rId115" w:history="1">
        <w:r w:rsidR="00FF4962" w:rsidRPr="00FF4962">
          <w:rPr>
            <w:rStyle w:val="Hyperlink"/>
          </w:rPr>
          <w:t>“</w:t>
        </w:r>
        <w:r w:rsidR="002B2178" w:rsidRPr="002B2178">
          <w:rPr>
            <w:rStyle w:val="Hyperlink"/>
          </w:rPr>
          <w:t>Selected Characteristics of Health Insurance Coverage in the United States</w:t>
        </w:r>
        <w:r w:rsidR="00FF4962" w:rsidRPr="00FF4962">
          <w:rPr>
            <w:rStyle w:val="Hyperlink"/>
          </w:rPr>
          <w:t xml:space="preserve">” by the U.S. Census Bureau. Published in </w:t>
        </w:r>
        <w:r w:rsidR="00FF4962" w:rsidRPr="002B2178">
          <w:rPr>
            <w:rStyle w:val="Hyperlink"/>
          </w:rPr>
          <w:t>American Community Survey 5-Year Data Estimates Subject Tables 2016-2020, South Carolina</w:t>
        </w:r>
        <w:r w:rsidR="00FF4962" w:rsidRPr="00FF4962">
          <w:rPr>
            <w:rStyle w:val="Hyperlink"/>
          </w:rPr>
          <w:t>, 2020.</w:t>
        </w:r>
      </w:hyperlink>
      <w:r w:rsidR="00FF4962" w:rsidRPr="00FF4962">
        <w:rPr>
          <w:u w:val="thick"/>
        </w:rPr>
        <w:t xml:space="preserve"> </w:t>
      </w:r>
    </w:p>
    <w:p w14:paraId="1C6E96FF" w14:textId="297A4511" w:rsidR="002B2178" w:rsidRPr="002B2178" w:rsidRDefault="00000000" w:rsidP="00544ADD">
      <w:pPr>
        <w:pStyle w:val="ListParagraph"/>
        <w:numPr>
          <w:ilvl w:val="0"/>
          <w:numId w:val="231"/>
        </w:numPr>
      </w:pPr>
      <w:hyperlink r:id="rId116" w:history="1">
        <w:r w:rsidR="00FF4962" w:rsidRPr="00FF4962">
          <w:rPr>
            <w:rStyle w:val="Hyperlink"/>
          </w:rPr>
          <w:t>“</w:t>
        </w:r>
        <w:r w:rsidR="002B2178" w:rsidRPr="002B2178">
          <w:rPr>
            <w:rStyle w:val="Hyperlink"/>
          </w:rPr>
          <w:t>Educational Attainment</w:t>
        </w:r>
        <w:r w:rsidR="00FF4962" w:rsidRPr="00FF4962">
          <w:rPr>
            <w:rStyle w:val="Hyperlink"/>
          </w:rPr>
          <w:t xml:space="preserve">” by the </w:t>
        </w:r>
        <w:r w:rsidR="00FF4962" w:rsidRPr="002B2178">
          <w:rPr>
            <w:rStyle w:val="Hyperlink"/>
          </w:rPr>
          <w:t>U.S. Census Bureau</w:t>
        </w:r>
        <w:r w:rsidR="00FF4962" w:rsidRPr="00FF4962">
          <w:rPr>
            <w:rStyle w:val="Hyperlink"/>
          </w:rPr>
          <w:t xml:space="preserve">. Published in </w:t>
        </w:r>
        <w:r w:rsidR="00FF4962" w:rsidRPr="002B2178">
          <w:rPr>
            <w:rStyle w:val="Hyperlink"/>
          </w:rPr>
          <w:t>American Community Survey 5-Year Data Estimates Subject Tables 2016-2020, South Carolina</w:t>
        </w:r>
        <w:r w:rsidR="00FF4962" w:rsidRPr="00FF4962">
          <w:rPr>
            <w:rStyle w:val="Hyperlink"/>
          </w:rPr>
          <w:t>, 2020.</w:t>
        </w:r>
      </w:hyperlink>
      <w:r w:rsidR="00FF4962">
        <w:t xml:space="preserve"> </w:t>
      </w:r>
    </w:p>
    <w:p w14:paraId="59A37F30" w14:textId="0195D08F" w:rsidR="002B2178" w:rsidRPr="002B2178" w:rsidRDefault="00FF4962" w:rsidP="00544ADD">
      <w:pPr>
        <w:pStyle w:val="ListParagraph"/>
        <w:numPr>
          <w:ilvl w:val="0"/>
          <w:numId w:val="231"/>
        </w:numPr>
      </w:pPr>
      <w:r>
        <w:lastRenderedPageBreak/>
        <w:t>“</w:t>
      </w:r>
      <w:r w:rsidR="002B2178" w:rsidRPr="002B2178">
        <w:t>Lisa Van Bergen: Native American Health Disparities</w:t>
      </w:r>
      <w:r>
        <w:t xml:space="preserve">.” </w:t>
      </w:r>
      <w:r w:rsidR="002B2178" w:rsidRPr="002B2178">
        <w:t>Personal Communication</w:t>
      </w:r>
      <w:r>
        <w:rPr>
          <w:i/>
          <w:iCs/>
        </w:rPr>
        <w:t xml:space="preserve"> </w:t>
      </w:r>
      <w:r>
        <w:t xml:space="preserve">collected </w:t>
      </w:r>
      <w:r w:rsidRPr="00FF4962">
        <w:t>by</w:t>
      </w:r>
      <w:r>
        <w:t xml:space="preserve"> the</w:t>
      </w:r>
      <w:r w:rsidR="002B2178" w:rsidRPr="002B2178">
        <w:t xml:space="preserve"> Edisto Indian Free Clinic</w:t>
      </w:r>
      <w:r>
        <w:t xml:space="preserve"> in</w:t>
      </w:r>
      <w:r w:rsidR="002B2178" w:rsidRPr="002B2178">
        <w:t xml:space="preserve"> Ridgeville; South Carolina</w:t>
      </w:r>
      <w:r>
        <w:t>, 2022</w:t>
      </w:r>
      <w:r w:rsidR="002B2178" w:rsidRPr="002B2178">
        <w:t>.</w:t>
      </w:r>
      <w:r>
        <w:t xml:space="preserve"> No hyperlink. </w:t>
      </w:r>
    </w:p>
    <w:p w14:paraId="70534A5F" w14:textId="200FFC0D" w:rsidR="002B2178" w:rsidRPr="002B2178" w:rsidRDefault="002B2178" w:rsidP="00544ADD">
      <w:pPr>
        <w:pStyle w:val="ListParagraph"/>
        <w:numPr>
          <w:ilvl w:val="0"/>
          <w:numId w:val="231"/>
        </w:numPr>
      </w:pPr>
      <w:r w:rsidRPr="002B2178">
        <w:t>South Carolina Department of Health and Environmental Control Vital Statistics</w:t>
      </w:r>
      <w:r w:rsidR="00FF4962">
        <w:t xml:space="preserve">. </w:t>
      </w:r>
      <w:r w:rsidRPr="002B2178">
        <w:t>Columbia; South Carolina</w:t>
      </w:r>
      <w:r w:rsidR="00FF4962">
        <w:t>, 2021</w:t>
      </w:r>
      <w:r w:rsidRPr="002B2178">
        <w:t xml:space="preserve">. </w:t>
      </w:r>
      <w:r w:rsidR="00FF4962">
        <w:t>No hyperlink.</w:t>
      </w:r>
    </w:p>
    <w:p w14:paraId="2FA3F0FE" w14:textId="76DAAF6F" w:rsidR="002B2178" w:rsidRDefault="00FF4962" w:rsidP="00544ADD">
      <w:pPr>
        <w:pStyle w:val="ListParagraph"/>
        <w:numPr>
          <w:ilvl w:val="0"/>
          <w:numId w:val="231"/>
        </w:numPr>
      </w:pPr>
      <w:r>
        <w:t>“</w:t>
      </w:r>
      <w:r w:rsidR="002B2178" w:rsidRPr="002B2178">
        <w:t>South Carolina Infectious disease and Outbreak Network (SCION) 2020-2022</w:t>
      </w:r>
      <w:r>
        <w:t>” by SC DHEC,</w:t>
      </w:r>
      <w:r w:rsidR="002B2178" w:rsidRPr="002B2178">
        <w:t xml:space="preserve"> Columbia; South Carolina</w:t>
      </w:r>
      <w:r>
        <w:t>, 2022. No hyperlink.</w:t>
      </w:r>
    </w:p>
    <w:p w14:paraId="147D522F" w14:textId="41016AD9" w:rsidR="00FF4962" w:rsidRPr="00FF4962" w:rsidRDefault="00000000" w:rsidP="00544ADD">
      <w:pPr>
        <w:pStyle w:val="ListParagraph"/>
        <w:numPr>
          <w:ilvl w:val="0"/>
          <w:numId w:val="231"/>
        </w:numPr>
      </w:pPr>
      <w:hyperlink r:id="rId117" w:history="1">
        <w:r w:rsidR="00FF4962" w:rsidRPr="00FF4962">
          <w:rPr>
            <w:rStyle w:val="Hyperlink"/>
          </w:rPr>
          <w:t>“Covid-19 among American Indian and Alaska native persons — 23 states, January 31–July 3, 2020” by Hatcher, S. M., et. al. Published in MMWR. Morbidity and Mortality Weekly Report, 2020.</w:t>
        </w:r>
      </w:hyperlink>
      <w:r w:rsidR="00FF4962" w:rsidRPr="00FF4962">
        <w:t xml:space="preserve"> </w:t>
      </w:r>
    </w:p>
    <w:p w14:paraId="0C4D487E" w14:textId="77777777" w:rsidR="00FF4962" w:rsidRDefault="00FF4962" w:rsidP="00FF4962">
      <w:pPr>
        <w:pStyle w:val="ListParagraph"/>
      </w:pPr>
    </w:p>
    <w:p w14:paraId="72D60BB4" w14:textId="77777777" w:rsidR="00722CE9" w:rsidRDefault="00722CE9" w:rsidP="00722CE9"/>
    <w:p w14:paraId="296727F3" w14:textId="77777777" w:rsidR="00722CE9" w:rsidRDefault="00722CE9" w:rsidP="00EA168E">
      <w:pPr>
        <w:pStyle w:val="Heading5"/>
      </w:pPr>
      <w:r>
        <w:t xml:space="preserve">Key Takeaways: </w:t>
      </w:r>
    </w:p>
    <w:p w14:paraId="19E6DA6F" w14:textId="2BD51A85" w:rsidR="00722CE9" w:rsidRPr="00722CE9" w:rsidRDefault="00722CE9" w:rsidP="00926EB3">
      <w:pPr>
        <w:pStyle w:val="ListParagraph"/>
        <w:numPr>
          <w:ilvl w:val="0"/>
          <w:numId w:val="21"/>
        </w:numPr>
      </w:pPr>
      <w:r w:rsidRPr="00722CE9">
        <w:t>Direct and sustained communication between DHEC, and other state agencies and programs, and Tribal Chiefs and their communities is essential for American Indian/Alaska Native communities to make informed decisions about their health.</w:t>
      </w:r>
    </w:p>
    <w:p w14:paraId="44313E74" w14:textId="77777777" w:rsidR="00722CE9" w:rsidRDefault="00722CE9" w:rsidP="00722CE9"/>
    <w:p w14:paraId="19232E93" w14:textId="77777777" w:rsidR="00722CE9" w:rsidRPr="00722CE9" w:rsidRDefault="00722CE9" w:rsidP="00722CE9">
      <w:pPr>
        <w:rPr>
          <w:b/>
          <w:bCs/>
        </w:rPr>
      </w:pPr>
      <w:r w:rsidRPr="00722CE9">
        <w:rPr>
          <w:b/>
          <w:bCs/>
        </w:rPr>
        <w:t>Veterans</w:t>
      </w:r>
    </w:p>
    <w:p w14:paraId="02192755" w14:textId="738B1C81" w:rsidR="00722CE9" w:rsidRPr="00722CE9" w:rsidRDefault="00722CE9" w:rsidP="00722CE9">
      <w:r w:rsidRPr="00722CE9">
        <w:t xml:space="preserve">Veterans have complex health care needs. One-third to one-half suffer from a service-related injury or illness, or from unique psychosocial issues associated with transitioning to civilian life. For example, post-traumatic stress disorder (PTSD) among Veterans is associated with physical health problems, substance misuse, suicide, homelessness, and aggression. Problematic anger, defined as increased distress and decreased functioning, is twice as high after military separation, and is associated with subsequent adjustment difficulties. Combat Veterans fare worse, experiencing higher risk of PTSD and depression compounded by multiple deployments. They often carry life-long moral injuries and distrust and are less likely to seek services. </w:t>
      </w:r>
    </w:p>
    <w:p w14:paraId="036D872C" w14:textId="77777777" w:rsidR="00722CE9" w:rsidRDefault="00722CE9" w:rsidP="00722CE9"/>
    <w:p w14:paraId="4F86EC7C" w14:textId="54988F33" w:rsidR="00722CE9" w:rsidRDefault="00722CE9" w:rsidP="00722CE9">
      <w:pPr>
        <w:rPr>
          <w:b/>
          <w:bCs/>
        </w:rPr>
      </w:pPr>
      <w:r w:rsidRPr="00722CE9">
        <w:t>In 2020, 10% (393,684) of SC adults were Veterans, defined as adults aged 18 years or older who ever served on active duty in the military. Most Veterans lived in non-urban centers, 44% were aged 65 and over, 23% were non-Hispanic Black, 2.5% were Hispanic and 3.5% were a combination of another minority race. Older Veterans were twice as likely to report poor physical and mental health, and three times as likely to experience substance misuse than non-Veterans of the same age (</w:t>
      </w:r>
      <w:r w:rsidRPr="00722CE9">
        <w:rPr>
          <w:b/>
          <w:bCs/>
        </w:rPr>
        <w:t>Figure 5.31</w:t>
      </w:r>
      <w:r w:rsidRPr="00722CE9">
        <w:t xml:space="preserve">). Disproportionately more deaths from heart disease, cancer, chronic </w:t>
      </w:r>
      <w:r w:rsidRPr="00722CE9">
        <w:lastRenderedPageBreak/>
        <w:t>lower respiratory disease, and Parkinson’s disease occurred among Veterans than civilians in SC (</w:t>
      </w:r>
      <w:r w:rsidRPr="00722CE9">
        <w:rPr>
          <w:b/>
          <w:bCs/>
        </w:rPr>
        <w:t>Figure 5.32</w:t>
      </w:r>
      <w:r w:rsidRPr="00722CE9">
        <w:t>). According to the SC Violent Death Reporting System (VDRS), between 2016-2020, 19.1% of all deaths by suicide were among Veterans in SC. Compared to civilians, most Veteran deaths by suicide were among non-Hispanic White males, almost half were aged 65 years and over, and more than one-third had physical health ailments. Among 73 deaths by suicide with a known PTSD diagnosis, three in four were Veterans, and depression or alcohol or substance misuse (i.e., a behavioral health issue) co-occurred with PTSD in more than half of these (</w:t>
      </w:r>
      <w:r w:rsidRPr="00722CE9">
        <w:rPr>
          <w:b/>
          <w:bCs/>
        </w:rPr>
        <w:t>Figure 5.33</w:t>
      </w:r>
      <w:r w:rsidRPr="00722CE9">
        <w:t>)</w:t>
      </w:r>
      <w:r>
        <w:t>.</w:t>
      </w:r>
      <w:r w:rsidRPr="00722CE9">
        <w:t xml:space="preserve"> Living with a disability (defined as difficulties with hearing, vision, cognition, mobility, self-care, and independent living) afflicted almost half of individuals aged 65 years and over who live below the poverty level whether they are Veterans or non-Veterans, but older Veterans living above the poverty level struggled more than non-Veterans (data not shown). Younger Veterans living with a disability outnumber non-Veterans with a disability by 1.7 times, on average. These trends have not changed by much since 2015. Expansion of Veterans’ health care benefits in August 2022 by the Promise to Address Comprehensive Toxics (PACT) Act to include health conditions presumed to be caused by exposure to toxic substances will likely increase the incidence of reported disabilities among younger Veterans in the next several decades.</w:t>
      </w:r>
    </w:p>
    <w:p w14:paraId="430D41A2" w14:textId="77777777" w:rsidR="00722CE9" w:rsidRDefault="00722CE9" w:rsidP="00722CE9"/>
    <w:p w14:paraId="38A0785C" w14:textId="77777777" w:rsidR="001E2F9C" w:rsidRPr="00864C09" w:rsidRDefault="001E2F9C" w:rsidP="001E2F9C">
      <w:pPr>
        <w:pStyle w:val="Heading4"/>
      </w:pPr>
      <w:bookmarkStart w:id="196" w:name="_Toc154569804"/>
      <w:bookmarkStart w:id="197" w:name="_Toc162267118"/>
      <w:r>
        <w:t xml:space="preserve">Figure 5.31: </w:t>
      </w:r>
      <w:r w:rsidRPr="00864C09">
        <w:t>Physical and Mental Health Among Ages Over 65 Years, by Veteran Status</w:t>
      </w:r>
      <w:r>
        <w:t>.</w:t>
      </w:r>
      <w:bookmarkEnd w:id="196"/>
      <w:bookmarkEnd w:id="197"/>
    </w:p>
    <w:tbl>
      <w:tblPr>
        <w:tblStyle w:val="TableGrid"/>
        <w:tblW w:w="0" w:type="auto"/>
        <w:tblLook w:val="04A0" w:firstRow="1" w:lastRow="0" w:firstColumn="1" w:lastColumn="0" w:noHBand="0" w:noVBand="1"/>
      </w:tblPr>
      <w:tblGrid>
        <w:gridCol w:w="3116"/>
        <w:gridCol w:w="3117"/>
        <w:gridCol w:w="3117"/>
      </w:tblGrid>
      <w:tr w:rsidR="001E2F9C" w14:paraId="61149FC7" w14:textId="77777777" w:rsidTr="001515D5">
        <w:tc>
          <w:tcPr>
            <w:tcW w:w="3116" w:type="dxa"/>
            <w:vAlign w:val="bottom"/>
          </w:tcPr>
          <w:p w14:paraId="7F362AFF" w14:textId="77777777" w:rsidR="001E2F9C" w:rsidRPr="00864C09" w:rsidRDefault="001E2F9C" w:rsidP="001515D5">
            <w:r w:rsidRPr="00864C09">
              <w:t>Vet Status</w:t>
            </w:r>
          </w:p>
        </w:tc>
        <w:tc>
          <w:tcPr>
            <w:tcW w:w="3117" w:type="dxa"/>
            <w:vAlign w:val="bottom"/>
          </w:tcPr>
          <w:p w14:paraId="5C1C8713" w14:textId="77777777" w:rsidR="001E2F9C" w:rsidRPr="00864C09" w:rsidRDefault="001E2F9C" w:rsidP="001515D5">
            <w:r w:rsidRPr="00864C09">
              <w:t>Condition</w:t>
            </w:r>
          </w:p>
        </w:tc>
        <w:tc>
          <w:tcPr>
            <w:tcW w:w="3117" w:type="dxa"/>
            <w:vAlign w:val="bottom"/>
          </w:tcPr>
          <w:p w14:paraId="4D76C948" w14:textId="52CC5B1B" w:rsidR="001E2F9C" w:rsidRPr="00864C09" w:rsidRDefault="002748B7" w:rsidP="001515D5">
            <w:r>
              <w:t>Percent</w:t>
            </w:r>
          </w:p>
        </w:tc>
      </w:tr>
      <w:tr w:rsidR="001E2F9C" w14:paraId="0A496580" w14:textId="77777777" w:rsidTr="001515D5">
        <w:tc>
          <w:tcPr>
            <w:tcW w:w="3116" w:type="dxa"/>
            <w:vAlign w:val="bottom"/>
          </w:tcPr>
          <w:p w14:paraId="6F428037" w14:textId="77777777" w:rsidR="001E2F9C" w:rsidRPr="00864C09" w:rsidRDefault="001E2F9C" w:rsidP="001515D5">
            <w:r w:rsidRPr="00864C09">
              <w:t>Veteran</w:t>
            </w:r>
          </w:p>
        </w:tc>
        <w:tc>
          <w:tcPr>
            <w:tcW w:w="3117" w:type="dxa"/>
            <w:vAlign w:val="bottom"/>
          </w:tcPr>
          <w:p w14:paraId="653D9F89" w14:textId="77777777" w:rsidR="001E2F9C" w:rsidRPr="00864C09" w:rsidRDefault="001E2F9C" w:rsidP="001515D5">
            <w:r w:rsidRPr="00864C09">
              <w:t>Poor Physical Health</w:t>
            </w:r>
          </w:p>
        </w:tc>
        <w:tc>
          <w:tcPr>
            <w:tcW w:w="3117" w:type="dxa"/>
            <w:vAlign w:val="bottom"/>
          </w:tcPr>
          <w:p w14:paraId="081E37A5" w14:textId="77777777" w:rsidR="001E2F9C" w:rsidRPr="00864C09" w:rsidRDefault="001E2F9C" w:rsidP="001515D5">
            <w:r w:rsidRPr="00864C09">
              <w:t>46.00%</w:t>
            </w:r>
          </w:p>
        </w:tc>
      </w:tr>
      <w:tr w:rsidR="001E2F9C" w14:paraId="57A4CBA9" w14:textId="77777777" w:rsidTr="001515D5">
        <w:tc>
          <w:tcPr>
            <w:tcW w:w="3116" w:type="dxa"/>
            <w:vAlign w:val="bottom"/>
          </w:tcPr>
          <w:p w14:paraId="3CC78796" w14:textId="77777777" w:rsidR="001E2F9C" w:rsidRPr="00864C09" w:rsidRDefault="001E2F9C" w:rsidP="001515D5">
            <w:r w:rsidRPr="00864C09">
              <w:t>Veteran</w:t>
            </w:r>
          </w:p>
        </w:tc>
        <w:tc>
          <w:tcPr>
            <w:tcW w:w="3117" w:type="dxa"/>
            <w:vAlign w:val="bottom"/>
          </w:tcPr>
          <w:p w14:paraId="4DA96626" w14:textId="77777777" w:rsidR="001E2F9C" w:rsidRPr="00864C09" w:rsidRDefault="001E2F9C" w:rsidP="001515D5">
            <w:r w:rsidRPr="00864C09">
              <w:t>Poor Mental Health</w:t>
            </w:r>
          </w:p>
        </w:tc>
        <w:tc>
          <w:tcPr>
            <w:tcW w:w="3117" w:type="dxa"/>
            <w:vAlign w:val="bottom"/>
          </w:tcPr>
          <w:p w14:paraId="76C0A5C7" w14:textId="77777777" w:rsidR="001E2F9C" w:rsidRPr="00864C09" w:rsidRDefault="001E2F9C" w:rsidP="001515D5">
            <w:r w:rsidRPr="00864C09">
              <w:t>22.20%</w:t>
            </w:r>
          </w:p>
        </w:tc>
      </w:tr>
      <w:tr w:rsidR="001E2F9C" w14:paraId="625BB59A" w14:textId="77777777" w:rsidTr="001515D5">
        <w:tc>
          <w:tcPr>
            <w:tcW w:w="3116" w:type="dxa"/>
            <w:vAlign w:val="bottom"/>
          </w:tcPr>
          <w:p w14:paraId="682602B6" w14:textId="77777777" w:rsidR="001E2F9C" w:rsidRPr="00864C09" w:rsidRDefault="001E2F9C" w:rsidP="001515D5">
            <w:r w:rsidRPr="00864C09">
              <w:t>Veteran</w:t>
            </w:r>
          </w:p>
        </w:tc>
        <w:tc>
          <w:tcPr>
            <w:tcW w:w="3117" w:type="dxa"/>
            <w:vAlign w:val="bottom"/>
          </w:tcPr>
          <w:p w14:paraId="1542E4AD" w14:textId="738CFDBB" w:rsidR="001E2F9C" w:rsidRPr="00864C09" w:rsidRDefault="001E2F9C" w:rsidP="001515D5">
            <w:r w:rsidRPr="00864C09">
              <w:t xml:space="preserve">Current or </w:t>
            </w:r>
            <w:r w:rsidR="00ED3390" w:rsidRPr="00864C09">
              <w:t>Lifelong</w:t>
            </w:r>
            <w:r w:rsidRPr="00864C09">
              <w:t xml:space="preserve"> Problem with Substance Misuse</w:t>
            </w:r>
          </w:p>
        </w:tc>
        <w:tc>
          <w:tcPr>
            <w:tcW w:w="3117" w:type="dxa"/>
            <w:vAlign w:val="bottom"/>
          </w:tcPr>
          <w:p w14:paraId="424B6B2F" w14:textId="77777777" w:rsidR="001E2F9C" w:rsidRPr="00864C09" w:rsidRDefault="001E2F9C" w:rsidP="001515D5">
            <w:r w:rsidRPr="00864C09">
              <w:t>30.50%</w:t>
            </w:r>
          </w:p>
        </w:tc>
      </w:tr>
      <w:tr w:rsidR="001E2F9C" w14:paraId="4951B742" w14:textId="77777777" w:rsidTr="001515D5">
        <w:tc>
          <w:tcPr>
            <w:tcW w:w="3116" w:type="dxa"/>
            <w:vAlign w:val="bottom"/>
          </w:tcPr>
          <w:p w14:paraId="7352B261" w14:textId="77777777" w:rsidR="001E2F9C" w:rsidRPr="00864C09" w:rsidRDefault="001E2F9C" w:rsidP="001515D5">
            <w:r w:rsidRPr="00864C09">
              <w:t>Non-Veteran</w:t>
            </w:r>
          </w:p>
        </w:tc>
        <w:tc>
          <w:tcPr>
            <w:tcW w:w="3117" w:type="dxa"/>
            <w:vAlign w:val="bottom"/>
          </w:tcPr>
          <w:p w14:paraId="4692207C" w14:textId="77777777" w:rsidR="001E2F9C" w:rsidRPr="00864C09" w:rsidRDefault="001E2F9C" w:rsidP="001515D5">
            <w:r w:rsidRPr="00864C09">
              <w:t>Poor Physical Health</w:t>
            </w:r>
          </w:p>
        </w:tc>
        <w:tc>
          <w:tcPr>
            <w:tcW w:w="3117" w:type="dxa"/>
            <w:vAlign w:val="bottom"/>
          </w:tcPr>
          <w:p w14:paraId="6EF50871" w14:textId="77777777" w:rsidR="001E2F9C" w:rsidRPr="00864C09" w:rsidRDefault="001E2F9C" w:rsidP="001515D5">
            <w:r w:rsidRPr="00864C09">
              <w:t>28.60%</w:t>
            </w:r>
          </w:p>
        </w:tc>
      </w:tr>
      <w:tr w:rsidR="001E2F9C" w14:paraId="7C18F733" w14:textId="77777777" w:rsidTr="001515D5">
        <w:tc>
          <w:tcPr>
            <w:tcW w:w="3116" w:type="dxa"/>
            <w:vAlign w:val="bottom"/>
          </w:tcPr>
          <w:p w14:paraId="5EF04181" w14:textId="77777777" w:rsidR="001E2F9C" w:rsidRPr="00864C09" w:rsidRDefault="001E2F9C" w:rsidP="001515D5">
            <w:r w:rsidRPr="00864C09">
              <w:t>Non-Veteran</w:t>
            </w:r>
          </w:p>
        </w:tc>
        <w:tc>
          <w:tcPr>
            <w:tcW w:w="3117" w:type="dxa"/>
            <w:vAlign w:val="bottom"/>
          </w:tcPr>
          <w:p w14:paraId="420DEC99" w14:textId="77777777" w:rsidR="001E2F9C" w:rsidRPr="00864C09" w:rsidRDefault="001E2F9C" w:rsidP="001515D5">
            <w:r w:rsidRPr="00864C09">
              <w:t>Poor Mental Health</w:t>
            </w:r>
          </w:p>
        </w:tc>
        <w:tc>
          <w:tcPr>
            <w:tcW w:w="3117" w:type="dxa"/>
            <w:vAlign w:val="bottom"/>
          </w:tcPr>
          <w:p w14:paraId="2B3A714A" w14:textId="77777777" w:rsidR="001E2F9C" w:rsidRPr="00864C09" w:rsidRDefault="001E2F9C" w:rsidP="001515D5">
            <w:r w:rsidRPr="00864C09">
              <w:t>12.20%</w:t>
            </w:r>
          </w:p>
        </w:tc>
      </w:tr>
      <w:tr w:rsidR="001E2F9C" w14:paraId="180E1A86" w14:textId="77777777" w:rsidTr="001515D5">
        <w:tc>
          <w:tcPr>
            <w:tcW w:w="3116" w:type="dxa"/>
            <w:vAlign w:val="bottom"/>
          </w:tcPr>
          <w:p w14:paraId="64D05F21" w14:textId="77777777" w:rsidR="001E2F9C" w:rsidRPr="00864C09" w:rsidRDefault="001E2F9C" w:rsidP="001515D5">
            <w:r w:rsidRPr="00864C09">
              <w:t>Non-Veteran</w:t>
            </w:r>
          </w:p>
        </w:tc>
        <w:tc>
          <w:tcPr>
            <w:tcW w:w="3117" w:type="dxa"/>
            <w:vAlign w:val="bottom"/>
          </w:tcPr>
          <w:p w14:paraId="28DE5BB7" w14:textId="20146906" w:rsidR="001E2F9C" w:rsidRPr="00864C09" w:rsidRDefault="001E2F9C" w:rsidP="001515D5">
            <w:r w:rsidRPr="00864C09">
              <w:t xml:space="preserve">Current or </w:t>
            </w:r>
            <w:r w:rsidR="00ED3390" w:rsidRPr="00864C09">
              <w:t>Lifelong</w:t>
            </w:r>
            <w:r w:rsidRPr="00864C09">
              <w:t xml:space="preserve"> Problem with Substance Misuse</w:t>
            </w:r>
          </w:p>
        </w:tc>
        <w:tc>
          <w:tcPr>
            <w:tcW w:w="3117" w:type="dxa"/>
            <w:vAlign w:val="bottom"/>
          </w:tcPr>
          <w:p w14:paraId="75715671" w14:textId="77777777" w:rsidR="001E2F9C" w:rsidRPr="00864C09" w:rsidRDefault="001E2F9C" w:rsidP="001515D5">
            <w:r w:rsidRPr="00864C09">
              <w:t>10.80%</w:t>
            </w:r>
          </w:p>
        </w:tc>
      </w:tr>
    </w:tbl>
    <w:p w14:paraId="4AC3DDDE" w14:textId="77777777" w:rsidR="00F678C8" w:rsidRPr="00F678C8" w:rsidRDefault="00F678C8" w:rsidP="00F678C8">
      <w:r w:rsidRPr="00F678C8">
        <w:t xml:space="preserve">Source: SC DHEC BRFSS, 2017-2021. </w:t>
      </w:r>
    </w:p>
    <w:p w14:paraId="57236D1B" w14:textId="77777777" w:rsidR="00F678C8" w:rsidRPr="00F678C8" w:rsidRDefault="00F678C8" w:rsidP="00F678C8">
      <w:r w:rsidRPr="00F678C8">
        <w:t>Note: 5 year estimates. Poor physical or mental health is 14 or more days in the past 30 days when either physical or mental health was not good.</w:t>
      </w:r>
    </w:p>
    <w:p w14:paraId="739B69ED" w14:textId="77777777" w:rsidR="001E2F9C" w:rsidRDefault="001E2F9C" w:rsidP="001E2F9C"/>
    <w:p w14:paraId="7021FD11" w14:textId="77777777" w:rsidR="001E2F9C" w:rsidRPr="00864C09" w:rsidRDefault="001E2F9C" w:rsidP="001E2F9C">
      <w:pPr>
        <w:pStyle w:val="Heading4"/>
      </w:pPr>
      <w:bookmarkStart w:id="198" w:name="_Toc154569805"/>
      <w:bookmarkStart w:id="199" w:name="_Toc162267119"/>
      <w:r>
        <w:lastRenderedPageBreak/>
        <w:t>Figure 5.32: 10 Leading Causes of Death, by Veteran Status.</w:t>
      </w:r>
      <w:bookmarkEnd w:id="198"/>
      <w:bookmarkEnd w:id="199"/>
    </w:p>
    <w:tbl>
      <w:tblPr>
        <w:tblStyle w:val="TableGrid"/>
        <w:tblW w:w="0" w:type="auto"/>
        <w:tblLook w:val="04A0" w:firstRow="1" w:lastRow="0" w:firstColumn="1" w:lastColumn="0" w:noHBand="0" w:noVBand="1"/>
      </w:tblPr>
      <w:tblGrid>
        <w:gridCol w:w="3116"/>
        <w:gridCol w:w="3117"/>
        <w:gridCol w:w="3117"/>
      </w:tblGrid>
      <w:tr w:rsidR="001E2F9C" w14:paraId="6A56D41D" w14:textId="77777777" w:rsidTr="001515D5">
        <w:tc>
          <w:tcPr>
            <w:tcW w:w="3116" w:type="dxa"/>
            <w:vAlign w:val="bottom"/>
          </w:tcPr>
          <w:p w14:paraId="62F665B7" w14:textId="77777777" w:rsidR="001E2F9C" w:rsidRPr="00864C09" w:rsidRDefault="001E2F9C" w:rsidP="001515D5">
            <w:r w:rsidRPr="00864C09">
              <w:t>Disease</w:t>
            </w:r>
          </w:p>
        </w:tc>
        <w:tc>
          <w:tcPr>
            <w:tcW w:w="3117" w:type="dxa"/>
            <w:vAlign w:val="bottom"/>
          </w:tcPr>
          <w:p w14:paraId="21A916F1" w14:textId="77777777" w:rsidR="001E2F9C" w:rsidRPr="00864C09" w:rsidRDefault="001E2F9C" w:rsidP="001515D5">
            <w:r w:rsidRPr="00864C09">
              <w:t>Veteran Status</w:t>
            </w:r>
          </w:p>
        </w:tc>
        <w:tc>
          <w:tcPr>
            <w:tcW w:w="3117" w:type="dxa"/>
            <w:vAlign w:val="bottom"/>
          </w:tcPr>
          <w:p w14:paraId="6EE1DFE2" w14:textId="464A27CB" w:rsidR="001E2F9C" w:rsidRPr="00864C09" w:rsidRDefault="002748B7" w:rsidP="001515D5">
            <w:r>
              <w:t>Percent</w:t>
            </w:r>
          </w:p>
        </w:tc>
      </w:tr>
      <w:tr w:rsidR="001E2F9C" w14:paraId="7B60E0A2" w14:textId="77777777" w:rsidTr="001515D5">
        <w:tc>
          <w:tcPr>
            <w:tcW w:w="3116" w:type="dxa"/>
            <w:vAlign w:val="bottom"/>
          </w:tcPr>
          <w:p w14:paraId="201455D9" w14:textId="77777777" w:rsidR="001E2F9C" w:rsidRPr="00864C09" w:rsidRDefault="001E2F9C" w:rsidP="001515D5">
            <w:r w:rsidRPr="00864C09">
              <w:t>Heart Disease</w:t>
            </w:r>
          </w:p>
        </w:tc>
        <w:tc>
          <w:tcPr>
            <w:tcW w:w="3117" w:type="dxa"/>
            <w:vAlign w:val="bottom"/>
          </w:tcPr>
          <w:p w14:paraId="472E1C3B" w14:textId="77777777" w:rsidR="001E2F9C" w:rsidRPr="00864C09" w:rsidRDefault="001E2F9C" w:rsidP="001515D5">
            <w:r w:rsidRPr="00864C09">
              <w:t>Veteran</w:t>
            </w:r>
          </w:p>
        </w:tc>
        <w:tc>
          <w:tcPr>
            <w:tcW w:w="3117" w:type="dxa"/>
            <w:vAlign w:val="bottom"/>
          </w:tcPr>
          <w:p w14:paraId="4EFDD854" w14:textId="77777777" w:rsidR="001E2F9C" w:rsidRPr="00864C09" w:rsidRDefault="001E2F9C" w:rsidP="001515D5">
            <w:r w:rsidRPr="00864C09">
              <w:t>21.40%</w:t>
            </w:r>
          </w:p>
        </w:tc>
      </w:tr>
      <w:tr w:rsidR="001E2F9C" w14:paraId="5C5E60E0" w14:textId="77777777" w:rsidTr="001515D5">
        <w:tc>
          <w:tcPr>
            <w:tcW w:w="3116" w:type="dxa"/>
            <w:vAlign w:val="bottom"/>
          </w:tcPr>
          <w:p w14:paraId="4E96AA0D" w14:textId="77777777" w:rsidR="001E2F9C" w:rsidRPr="00864C09" w:rsidRDefault="001E2F9C" w:rsidP="001515D5">
            <w:r w:rsidRPr="00864C09">
              <w:t>Cancer</w:t>
            </w:r>
          </w:p>
        </w:tc>
        <w:tc>
          <w:tcPr>
            <w:tcW w:w="3117" w:type="dxa"/>
            <w:vAlign w:val="bottom"/>
          </w:tcPr>
          <w:p w14:paraId="050690AA" w14:textId="77777777" w:rsidR="001E2F9C" w:rsidRPr="00864C09" w:rsidRDefault="001E2F9C" w:rsidP="001515D5">
            <w:r w:rsidRPr="00864C09">
              <w:t>Veteran</w:t>
            </w:r>
          </w:p>
        </w:tc>
        <w:tc>
          <w:tcPr>
            <w:tcW w:w="3117" w:type="dxa"/>
            <w:vAlign w:val="bottom"/>
          </w:tcPr>
          <w:p w14:paraId="67E8785C" w14:textId="77777777" w:rsidR="001E2F9C" w:rsidRPr="00864C09" w:rsidRDefault="001E2F9C" w:rsidP="001515D5">
            <w:r w:rsidRPr="00864C09">
              <w:t>18.20%</w:t>
            </w:r>
          </w:p>
        </w:tc>
      </w:tr>
      <w:tr w:rsidR="001E2F9C" w14:paraId="4460F8A2" w14:textId="77777777" w:rsidTr="001515D5">
        <w:tc>
          <w:tcPr>
            <w:tcW w:w="3116" w:type="dxa"/>
            <w:vAlign w:val="bottom"/>
          </w:tcPr>
          <w:p w14:paraId="2BB74A17" w14:textId="77777777" w:rsidR="001E2F9C" w:rsidRPr="00864C09" w:rsidRDefault="001E2F9C" w:rsidP="001515D5">
            <w:r w:rsidRPr="00864C09">
              <w:t>COVID-19</w:t>
            </w:r>
          </w:p>
        </w:tc>
        <w:tc>
          <w:tcPr>
            <w:tcW w:w="3117" w:type="dxa"/>
            <w:vAlign w:val="bottom"/>
          </w:tcPr>
          <w:p w14:paraId="31A23098" w14:textId="77777777" w:rsidR="001E2F9C" w:rsidRPr="00864C09" w:rsidRDefault="001E2F9C" w:rsidP="001515D5">
            <w:r w:rsidRPr="00864C09">
              <w:t>Veteran</w:t>
            </w:r>
          </w:p>
        </w:tc>
        <w:tc>
          <w:tcPr>
            <w:tcW w:w="3117" w:type="dxa"/>
            <w:vAlign w:val="bottom"/>
          </w:tcPr>
          <w:p w14:paraId="362F01B3" w14:textId="77777777" w:rsidR="001E2F9C" w:rsidRPr="00864C09" w:rsidRDefault="001E2F9C" w:rsidP="001515D5">
            <w:r w:rsidRPr="00864C09">
              <w:t>14.00%</w:t>
            </w:r>
          </w:p>
        </w:tc>
      </w:tr>
      <w:tr w:rsidR="001E2F9C" w14:paraId="04C43013" w14:textId="77777777" w:rsidTr="001515D5">
        <w:tc>
          <w:tcPr>
            <w:tcW w:w="3116" w:type="dxa"/>
            <w:vAlign w:val="bottom"/>
          </w:tcPr>
          <w:p w14:paraId="572F3910" w14:textId="77777777" w:rsidR="001E2F9C" w:rsidRPr="00864C09" w:rsidRDefault="001E2F9C" w:rsidP="001515D5">
            <w:r w:rsidRPr="00864C09">
              <w:t>Chronic Lower Respiratory Disease</w:t>
            </w:r>
          </w:p>
        </w:tc>
        <w:tc>
          <w:tcPr>
            <w:tcW w:w="3117" w:type="dxa"/>
            <w:vAlign w:val="bottom"/>
          </w:tcPr>
          <w:p w14:paraId="49AD0F53" w14:textId="77777777" w:rsidR="001E2F9C" w:rsidRPr="00864C09" w:rsidRDefault="001E2F9C" w:rsidP="001515D5">
            <w:r w:rsidRPr="00864C09">
              <w:t>Veteran</w:t>
            </w:r>
          </w:p>
        </w:tc>
        <w:tc>
          <w:tcPr>
            <w:tcW w:w="3117" w:type="dxa"/>
            <w:vAlign w:val="bottom"/>
          </w:tcPr>
          <w:p w14:paraId="0F31CE4E" w14:textId="77777777" w:rsidR="001E2F9C" w:rsidRPr="00864C09" w:rsidRDefault="001E2F9C" w:rsidP="001515D5">
            <w:r w:rsidRPr="00864C09">
              <w:t>5.10%</w:t>
            </w:r>
          </w:p>
        </w:tc>
      </w:tr>
      <w:tr w:rsidR="001E2F9C" w14:paraId="3C1FB36A" w14:textId="77777777" w:rsidTr="001515D5">
        <w:tc>
          <w:tcPr>
            <w:tcW w:w="3116" w:type="dxa"/>
            <w:vAlign w:val="bottom"/>
          </w:tcPr>
          <w:p w14:paraId="7575030B" w14:textId="77777777" w:rsidR="001E2F9C" w:rsidRPr="00864C09" w:rsidRDefault="001E2F9C" w:rsidP="001515D5">
            <w:r w:rsidRPr="00864C09">
              <w:t>Stroke</w:t>
            </w:r>
          </w:p>
        </w:tc>
        <w:tc>
          <w:tcPr>
            <w:tcW w:w="3117" w:type="dxa"/>
            <w:vAlign w:val="bottom"/>
          </w:tcPr>
          <w:p w14:paraId="2502BB67" w14:textId="77777777" w:rsidR="001E2F9C" w:rsidRPr="00864C09" w:rsidRDefault="001E2F9C" w:rsidP="001515D5">
            <w:r w:rsidRPr="00864C09">
              <w:t>Veteran</w:t>
            </w:r>
          </w:p>
        </w:tc>
        <w:tc>
          <w:tcPr>
            <w:tcW w:w="3117" w:type="dxa"/>
            <w:vAlign w:val="bottom"/>
          </w:tcPr>
          <w:p w14:paraId="74DC2260" w14:textId="77777777" w:rsidR="001E2F9C" w:rsidRPr="00864C09" w:rsidRDefault="001E2F9C" w:rsidP="001515D5">
            <w:r w:rsidRPr="00864C09">
              <w:t>4.50%</w:t>
            </w:r>
          </w:p>
        </w:tc>
      </w:tr>
      <w:tr w:rsidR="001E2F9C" w14:paraId="30C4316D" w14:textId="77777777" w:rsidTr="001515D5">
        <w:tc>
          <w:tcPr>
            <w:tcW w:w="3116" w:type="dxa"/>
            <w:vAlign w:val="bottom"/>
          </w:tcPr>
          <w:p w14:paraId="2732AA9F" w14:textId="77777777" w:rsidR="001E2F9C" w:rsidRPr="00864C09" w:rsidRDefault="001E2F9C" w:rsidP="001515D5">
            <w:r w:rsidRPr="00864C09">
              <w:t>*Unintentional Injuries</w:t>
            </w:r>
          </w:p>
        </w:tc>
        <w:tc>
          <w:tcPr>
            <w:tcW w:w="3117" w:type="dxa"/>
            <w:vAlign w:val="bottom"/>
          </w:tcPr>
          <w:p w14:paraId="5DC869AE" w14:textId="77777777" w:rsidR="001E2F9C" w:rsidRPr="00864C09" w:rsidRDefault="001E2F9C" w:rsidP="001515D5">
            <w:r w:rsidRPr="00864C09">
              <w:t>Veteran</w:t>
            </w:r>
          </w:p>
        </w:tc>
        <w:tc>
          <w:tcPr>
            <w:tcW w:w="3117" w:type="dxa"/>
            <w:vAlign w:val="bottom"/>
          </w:tcPr>
          <w:p w14:paraId="6C8B22D5" w14:textId="77777777" w:rsidR="001E2F9C" w:rsidRPr="00864C09" w:rsidRDefault="001E2F9C" w:rsidP="001515D5">
            <w:r w:rsidRPr="00864C09">
              <w:t>4.00%</w:t>
            </w:r>
          </w:p>
        </w:tc>
      </w:tr>
      <w:tr w:rsidR="001E2F9C" w14:paraId="66ADC228" w14:textId="77777777" w:rsidTr="001515D5">
        <w:tc>
          <w:tcPr>
            <w:tcW w:w="3116" w:type="dxa"/>
            <w:vAlign w:val="bottom"/>
          </w:tcPr>
          <w:p w14:paraId="71A8F996" w14:textId="77777777" w:rsidR="001E2F9C" w:rsidRPr="00864C09" w:rsidRDefault="001E2F9C" w:rsidP="001515D5">
            <w:r w:rsidRPr="00864C09">
              <w:t>Alzheimer's Disease</w:t>
            </w:r>
          </w:p>
        </w:tc>
        <w:tc>
          <w:tcPr>
            <w:tcW w:w="3117" w:type="dxa"/>
            <w:vAlign w:val="bottom"/>
          </w:tcPr>
          <w:p w14:paraId="7A7BEB45" w14:textId="77777777" w:rsidR="001E2F9C" w:rsidRPr="00864C09" w:rsidRDefault="001E2F9C" w:rsidP="001515D5">
            <w:r w:rsidRPr="00864C09">
              <w:t>Veteran</w:t>
            </w:r>
          </w:p>
        </w:tc>
        <w:tc>
          <w:tcPr>
            <w:tcW w:w="3117" w:type="dxa"/>
            <w:vAlign w:val="bottom"/>
          </w:tcPr>
          <w:p w14:paraId="7EFDB8F6" w14:textId="77777777" w:rsidR="001E2F9C" w:rsidRPr="00864C09" w:rsidRDefault="001E2F9C" w:rsidP="001515D5">
            <w:r w:rsidRPr="00864C09">
              <w:t>3.50%</w:t>
            </w:r>
          </w:p>
        </w:tc>
      </w:tr>
      <w:tr w:rsidR="001E2F9C" w14:paraId="604CEF16" w14:textId="77777777" w:rsidTr="001515D5">
        <w:tc>
          <w:tcPr>
            <w:tcW w:w="3116" w:type="dxa"/>
            <w:vAlign w:val="bottom"/>
          </w:tcPr>
          <w:p w14:paraId="32FE5E0F" w14:textId="77777777" w:rsidR="001E2F9C" w:rsidRPr="00864C09" w:rsidRDefault="001E2F9C" w:rsidP="001515D5">
            <w:r w:rsidRPr="00864C09">
              <w:t>Diabetes</w:t>
            </w:r>
          </w:p>
        </w:tc>
        <w:tc>
          <w:tcPr>
            <w:tcW w:w="3117" w:type="dxa"/>
            <w:vAlign w:val="bottom"/>
          </w:tcPr>
          <w:p w14:paraId="636B4402" w14:textId="77777777" w:rsidR="001E2F9C" w:rsidRPr="00864C09" w:rsidRDefault="001E2F9C" w:rsidP="001515D5">
            <w:r w:rsidRPr="00864C09">
              <w:t>Veteran</w:t>
            </w:r>
          </w:p>
        </w:tc>
        <w:tc>
          <w:tcPr>
            <w:tcW w:w="3117" w:type="dxa"/>
            <w:vAlign w:val="bottom"/>
          </w:tcPr>
          <w:p w14:paraId="251CE369" w14:textId="77777777" w:rsidR="001E2F9C" w:rsidRPr="00864C09" w:rsidRDefault="001E2F9C" w:rsidP="001515D5">
            <w:r w:rsidRPr="00864C09">
              <w:t>2.70%</w:t>
            </w:r>
          </w:p>
        </w:tc>
      </w:tr>
      <w:tr w:rsidR="001E2F9C" w14:paraId="2845B735" w14:textId="77777777" w:rsidTr="001515D5">
        <w:tc>
          <w:tcPr>
            <w:tcW w:w="3116" w:type="dxa"/>
            <w:vAlign w:val="bottom"/>
          </w:tcPr>
          <w:p w14:paraId="027D04D3" w14:textId="77777777" w:rsidR="001E2F9C" w:rsidRPr="00864C09" w:rsidRDefault="001E2F9C" w:rsidP="001515D5">
            <w:r w:rsidRPr="00864C09">
              <w:t>Parkinson's Disease</w:t>
            </w:r>
          </w:p>
        </w:tc>
        <w:tc>
          <w:tcPr>
            <w:tcW w:w="3117" w:type="dxa"/>
            <w:vAlign w:val="bottom"/>
          </w:tcPr>
          <w:p w14:paraId="112EC05D" w14:textId="77777777" w:rsidR="001E2F9C" w:rsidRPr="00864C09" w:rsidRDefault="001E2F9C" w:rsidP="001515D5">
            <w:r w:rsidRPr="00864C09">
              <w:t>Veteran</w:t>
            </w:r>
          </w:p>
        </w:tc>
        <w:tc>
          <w:tcPr>
            <w:tcW w:w="3117" w:type="dxa"/>
            <w:vAlign w:val="bottom"/>
          </w:tcPr>
          <w:p w14:paraId="49965B9F" w14:textId="77777777" w:rsidR="001E2F9C" w:rsidRPr="00864C09" w:rsidRDefault="001E2F9C" w:rsidP="001515D5">
            <w:r w:rsidRPr="00864C09">
              <w:t>1.70%</w:t>
            </w:r>
          </w:p>
        </w:tc>
      </w:tr>
      <w:tr w:rsidR="001E2F9C" w14:paraId="0328ABDC" w14:textId="77777777" w:rsidTr="001515D5">
        <w:tc>
          <w:tcPr>
            <w:tcW w:w="3116" w:type="dxa"/>
            <w:vAlign w:val="bottom"/>
          </w:tcPr>
          <w:p w14:paraId="15923AEE" w14:textId="77777777" w:rsidR="001E2F9C" w:rsidRPr="00864C09" w:rsidRDefault="001E2F9C" w:rsidP="001515D5">
            <w:r w:rsidRPr="00864C09">
              <w:t>Nephritis/Nephrotic Synd</w:t>
            </w:r>
            <w:r>
              <w:t>r</w:t>
            </w:r>
            <w:r w:rsidRPr="00864C09">
              <w:t>ome/Nephrosis</w:t>
            </w:r>
          </w:p>
        </w:tc>
        <w:tc>
          <w:tcPr>
            <w:tcW w:w="3117" w:type="dxa"/>
            <w:vAlign w:val="bottom"/>
          </w:tcPr>
          <w:p w14:paraId="25EB8BA9" w14:textId="77777777" w:rsidR="001E2F9C" w:rsidRPr="00864C09" w:rsidRDefault="001E2F9C" w:rsidP="001515D5">
            <w:r w:rsidRPr="00864C09">
              <w:t>Veteran</w:t>
            </w:r>
          </w:p>
        </w:tc>
        <w:tc>
          <w:tcPr>
            <w:tcW w:w="3117" w:type="dxa"/>
            <w:vAlign w:val="bottom"/>
          </w:tcPr>
          <w:p w14:paraId="5859AC02" w14:textId="77777777" w:rsidR="001E2F9C" w:rsidRPr="00864C09" w:rsidRDefault="001E2F9C" w:rsidP="001515D5">
            <w:r w:rsidRPr="00864C09">
              <w:t>1.50%</w:t>
            </w:r>
          </w:p>
        </w:tc>
      </w:tr>
      <w:tr w:rsidR="001E2F9C" w14:paraId="79E42820" w14:textId="77777777" w:rsidTr="001515D5">
        <w:tc>
          <w:tcPr>
            <w:tcW w:w="3116" w:type="dxa"/>
            <w:vAlign w:val="bottom"/>
          </w:tcPr>
          <w:p w14:paraId="4A55D650" w14:textId="77777777" w:rsidR="001E2F9C" w:rsidRPr="00864C09" w:rsidRDefault="001E2F9C" w:rsidP="001515D5">
            <w:r w:rsidRPr="00864C09">
              <w:t>Chronic Liver Disease and Cirrhosis</w:t>
            </w:r>
          </w:p>
        </w:tc>
        <w:tc>
          <w:tcPr>
            <w:tcW w:w="3117" w:type="dxa"/>
            <w:vAlign w:val="bottom"/>
          </w:tcPr>
          <w:p w14:paraId="5A0B882A" w14:textId="77777777" w:rsidR="001E2F9C" w:rsidRPr="00864C09" w:rsidRDefault="001E2F9C" w:rsidP="001515D5">
            <w:r w:rsidRPr="00864C09">
              <w:t>Veteran</w:t>
            </w:r>
          </w:p>
        </w:tc>
        <w:tc>
          <w:tcPr>
            <w:tcW w:w="3117" w:type="dxa"/>
            <w:vAlign w:val="bottom"/>
          </w:tcPr>
          <w:p w14:paraId="0773A095" w14:textId="77777777" w:rsidR="001E2F9C" w:rsidRPr="00864C09" w:rsidRDefault="001E2F9C" w:rsidP="001515D5">
            <w:r w:rsidRPr="00864C09">
              <w:t>1.30%</w:t>
            </w:r>
          </w:p>
        </w:tc>
      </w:tr>
      <w:tr w:rsidR="001E2F9C" w14:paraId="55144EB7" w14:textId="77777777" w:rsidTr="001515D5">
        <w:tc>
          <w:tcPr>
            <w:tcW w:w="3116" w:type="dxa"/>
            <w:vAlign w:val="bottom"/>
          </w:tcPr>
          <w:p w14:paraId="40E45613" w14:textId="77777777" w:rsidR="001E2F9C" w:rsidRPr="00864C09" w:rsidRDefault="001E2F9C" w:rsidP="001515D5">
            <w:r w:rsidRPr="00864C09">
              <w:t>Heart Disease</w:t>
            </w:r>
          </w:p>
        </w:tc>
        <w:tc>
          <w:tcPr>
            <w:tcW w:w="3117" w:type="dxa"/>
            <w:vAlign w:val="bottom"/>
          </w:tcPr>
          <w:p w14:paraId="12C6F9E3" w14:textId="77777777" w:rsidR="001E2F9C" w:rsidRPr="00864C09" w:rsidRDefault="001E2F9C" w:rsidP="001515D5">
            <w:r w:rsidRPr="00864C09">
              <w:t>Non-Veteran</w:t>
            </w:r>
          </w:p>
        </w:tc>
        <w:tc>
          <w:tcPr>
            <w:tcW w:w="3117" w:type="dxa"/>
            <w:vAlign w:val="bottom"/>
          </w:tcPr>
          <w:p w14:paraId="766D2AEA" w14:textId="77777777" w:rsidR="001E2F9C" w:rsidRPr="00864C09" w:rsidRDefault="001E2F9C" w:rsidP="001515D5">
            <w:r w:rsidRPr="00864C09">
              <w:t>18.20%</w:t>
            </w:r>
          </w:p>
        </w:tc>
      </w:tr>
      <w:tr w:rsidR="001E2F9C" w14:paraId="4AC0CDEC" w14:textId="77777777" w:rsidTr="001515D5">
        <w:tc>
          <w:tcPr>
            <w:tcW w:w="3116" w:type="dxa"/>
            <w:vAlign w:val="bottom"/>
          </w:tcPr>
          <w:p w14:paraId="071C9821" w14:textId="77777777" w:rsidR="001E2F9C" w:rsidRPr="00864C09" w:rsidRDefault="001E2F9C" w:rsidP="001515D5">
            <w:r w:rsidRPr="00864C09">
              <w:t>Cancer</w:t>
            </w:r>
          </w:p>
        </w:tc>
        <w:tc>
          <w:tcPr>
            <w:tcW w:w="3117" w:type="dxa"/>
            <w:vAlign w:val="bottom"/>
          </w:tcPr>
          <w:p w14:paraId="6F04CEB3" w14:textId="77777777" w:rsidR="001E2F9C" w:rsidRPr="00864C09" w:rsidRDefault="001E2F9C" w:rsidP="001515D5">
            <w:r w:rsidRPr="00864C09">
              <w:t>Non-Veteran</w:t>
            </w:r>
          </w:p>
        </w:tc>
        <w:tc>
          <w:tcPr>
            <w:tcW w:w="3117" w:type="dxa"/>
            <w:vAlign w:val="bottom"/>
          </w:tcPr>
          <w:p w14:paraId="267AA962" w14:textId="77777777" w:rsidR="001E2F9C" w:rsidRPr="00864C09" w:rsidRDefault="001E2F9C" w:rsidP="001515D5">
            <w:r w:rsidRPr="00864C09">
              <w:t>16.20%</w:t>
            </w:r>
          </w:p>
        </w:tc>
      </w:tr>
      <w:tr w:rsidR="001E2F9C" w14:paraId="29B951CF" w14:textId="77777777" w:rsidTr="001515D5">
        <w:tc>
          <w:tcPr>
            <w:tcW w:w="3116" w:type="dxa"/>
            <w:vAlign w:val="bottom"/>
          </w:tcPr>
          <w:p w14:paraId="61A8AED9" w14:textId="77777777" w:rsidR="001E2F9C" w:rsidRPr="00864C09" w:rsidRDefault="001E2F9C" w:rsidP="001515D5">
            <w:r w:rsidRPr="00864C09">
              <w:t>COVID-19</w:t>
            </w:r>
          </w:p>
        </w:tc>
        <w:tc>
          <w:tcPr>
            <w:tcW w:w="3117" w:type="dxa"/>
            <w:vAlign w:val="bottom"/>
          </w:tcPr>
          <w:p w14:paraId="1F48AC0D" w14:textId="77777777" w:rsidR="001E2F9C" w:rsidRPr="00864C09" w:rsidRDefault="001E2F9C" w:rsidP="001515D5">
            <w:r w:rsidRPr="00864C09">
              <w:t>Non-Veteran</w:t>
            </w:r>
          </w:p>
        </w:tc>
        <w:tc>
          <w:tcPr>
            <w:tcW w:w="3117" w:type="dxa"/>
            <w:vAlign w:val="bottom"/>
          </w:tcPr>
          <w:p w14:paraId="41FD33CF" w14:textId="77777777" w:rsidR="001E2F9C" w:rsidRPr="00864C09" w:rsidRDefault="001E2F9C" w:rsidP="001515D5">
            <w:r w:rsidRPr="00864C09">
              <w:t>13.70%</w:t>
            </w:r>
          </w:p>
        </w:tc>
      </w:tr>
      <w:tr w:rsidR="001E2F9C" w14:paraId="015B7D3D" w14:textId="77777777" w:rsidTr="001515D5">
        <w:tc>
          <w:tcPr>
            <w:tcW w:w="3116" w:type="dxa"/>
            <w:vAlign w:val="bottom"/>
          </w:tcPr>
          <w:p w14:paraId="45844239" w14:textId="77777777" w:rsidR="001E2F9C" w:rsidRPr="00864C09" w:rsidRDefault="001E2F9C" w:rsidP="001515D5">
            <w:r w:rsidRPr="00864C09">
              <w:t>Chronic Lower Respiratory Disease</w:t>
            </w:r>
          </w:p>
        </w:tc>
        <w:tc>
          <w:tcPr>
            <w:tcW w:w="3117" w:type="dxa"/>
            <w:vAlign w:val="bottom"/>
          </w:tcPr>
          <w:p w14:paraId="7DED5E3E" w14:textId="77777777" w:rsidR="001E2F9C" w:rsidRPr="00864C09" w:rsidRDefault="001E2F9C" w:rsidP="001515D5">
            <w:r w:rsidRPr="00864C09">
              <w:t>Non-Veteran</w:t>
            </w:r>
          </w:p>
        </w:tc>
        <w:tc>
          <w:tcPr>
            <w:tcW w:w="3117" w:type="dxa"/>
            <w:vAlign w:val="bottom"/>
          </w:tcPr>
          <w:p w14:paraId="1645730D" w14:textId="77777777" w:rsidR="001E2F9C" w:rsidRPr="00864C09" w:rsidRDefault="001E2F9C" w:rsidP="001515D5">
            <w:r w:rsidRPr="00864C09">
              <w:t>4.40%</w:t>
            </w:r>
          </w:p>
        </w:tc>
      </w:tr>
      <w:tr w:rsidR="001E2F9C" w14:paraId="18F53F73" w14:textId="77777777" w:rsidTr="001515D5">
        <w:tc>
          <w:tcPr>
            <w:tcW w:w="3116" w:type="dxa"/>
            <w:vAlign w:val="bottom"/>
          </w:tcPr>
          <w:p w14:paraId="2DE03386" w14:textId="77777777" w:rsidR="001E2F9C" w:rsidRPr="00864C09" w:rsidRDefault="001E2F9C" w:rsidP="001515D5">
            <w:r w:rsidRPr="00864C09">
              <w:t>Stroke</w:t>
            </w:r>
          </w:p>
        </w:tc>
        <w:tc>
          <w:tcPr>
            <w:tcW w:w="3117" w:type="dxa"/>
            <w:vAlign w:val="bottom"/>
          </w:tcPr>
          <w:p w14:paraId="0D257586" w14:textId="77777777" w:rsidR="001E2F9C" w:rsidRPr="00864C09" w:rsidRDefault="001E2F9C" w:rsidP="001515D5">
            <w:r w:rsidRPr="00864C09">
              <w:t>Non-Veteran</w:t>
            </w:r>
          </w:p>
        </w:tc>
        <w:tc>
          <w:tcPr>
            <w:tcW w:w="3117" w:type="dxa"/>
            <w:vAlign w:val="bottom"/>
          </w:tcPr>
          <w:p w14:paraId="711A4C7D" w14:textId="77777777" w:rsidR="001E2F9C" w:rsidRPr="00864C09" w:rsidRDefault="001E2F9C" w:rsidP="001515D5">
            <w:r w:rsidRPr="00864C09">
              <w:t>4.80%</w:t>
            </w:r>
          </w:p>
        </w:tc>
      </w:tr>
      <w:tr w:rsidR="001E2F9C" w14:paraId="15BB8846" w14:textId="77777777" w:rsidTr="001515D5">
        <w:tc>
          <w:tcPr>
            <w:tcW w:w="3116" w:type="dxa"/>
            <w:vAlign w:val="bottom"/>
          </w:tcPr>
          <w:p w14:paraId="138FED61" w14:textId="77777777" w:rsidR="001E2F9C" w:rsidRPr="00864C09" w:rsidRDefault="001E2F9C" w:rsidP="001515D5">
            <w:r w:rsidRPr="00864C09">
              <w:t>*Unintentional Injuries</w:t>
            </w:r>
          </w:p>
        </w:tc>
        <w:tc>
          <w:tcPr>
            <w:tcW w:w="3117" w:type="dxa"/>
            <w:vAlign w:val="bottom"/>
          </w:tcPr>
          <w:p w14:paraId="13926A79" w14:textId="77777777" w:rsidR="001E2F9C" w:rsidRPr="00864C09" w:rsidRDefault="001E2F9C" w:rsidP="001515D5">
            <w:r w:rsidRPr="00864C09">
              <w:t>Non-Veteran</w:t>
            </w:r>
          </w:p>
        </w:tc>
        <w:tc>
          <w:tcPr>
            <w:tcW w:w="3117" w:type="dxa"/>
            <w:vAlign w:val="bottom"/>
          </w:tcPr>
          <w:p w14:paraId="730B5B54" w14:textId="77777777" w:rsidR="001E2F9C" w:rsidRPr="00864C09" w:rsidRDefault="001E2F9C" w:rsidP="001515D5">
            <w:r w:rsidRPr="00864C09">
              <w:t>7.50%</w:t>
            </w:r>
          </w:p>
        </w:tc>
      </w:tr>
      <w:tr w:rsidR="001E2F9C" w14:paraId="044901E8" w14:textId="77777777" w:rsidTr="001515D5">
        <w:tc>
          <w:tcPr>
            <w:tcW w:w="3116" w:type="dxa"/>
            <w:vAlign w:val="bottom"/>
          </w:tcPr>
          <w:p w14:paraId="5667A857" w14:textId="77777777" w:rsidR="001E2F9C" w:rsidRPr="00864C09" w:rsidRDefault="001E2F9C" w:rsidP="001515D5">
            <w:r w:rsidRPr="00864C09">
              <w:t>Alzheimer's Disease</w:t>
            </w:r>
          </w:p>
        </w:tc>
        <w:tc>
          <w:tcPr>
            <w:tcW w:w="3117" w:type="dxa"/>
            <w:vAlign w:val="bottom"/>
          </w:tcPr>
          <w:p w14:paraId="61B1F34F" w14:textId="77777777" w:rsidR="001E2F9C" w:rsidRPr="00864C09" w:rsidRDefault="001E2F9C" w:rsidP="001515D5">
            <w:r w:rsidRPr="00864C09">
              <w:t>Non-Veteran</w:t>
            </w:r>
          </w:p>
        </w:tc>
        <w:tc>
          <w:tcPr>
            <w:tcW w:w="3117" w:type="dxa"/>
            <w:vAlign w:val="bottom"/>
          </w:tcPr>
          <w:p w14:paraId="02D01883" w14:textId="77777777" w:rsidR="001E2F9C" w:rsidRPr="00864C09" w:rsidRDefault="001E2F9C" w:rsidP="001515D5">
            <w:r w:rsidRPr="00864C09">
              <w:t>3.90%</w:t>
            </w:r>
          </w:p>
        </w:tc>
      </w:tr>
      <w:tr w:rsidR="001E2F9C" w14:paraId="22CB624F" w14:textId="77777777" w:rsidTr="001515D5">
        <w:tc>
          <w:tcPr>
            <w:tcW w:w="3116" w:type="dxa"/>
            <w:vAlign w:val="bottom"/>
          </w:tcPr>
          <w:p w14:paraId="7FDACA1E" w14:textId="77777777" w:rsidR="001E2F9C" w:rsidRPr="00864C09" w:rsidRDefault="001E2F9C" w:rsidP="001515D5">
            <w:r w:rsidRPr="00864C09">
              <w:t>Diabetes</w:t>
            </w:r>
          </w:p>
        </w:tc>
        <w:tc>
          <w:tcPr>
            <w:tcW w:w="3117" w:type="dxa"/>
            <w:vAlign w:val="bottom"/>
          </w:tcPr>
          <w:p w14:paraId="0788D184" w14:textId="77777777" w:rsidR="001E2F9C" w:rsidRPr="00864C09" w:rsidRDefault="001E2F9C" w:rsidP="001515D5">
            <w:r w:rsidRPr="00864C09">
              <w:t>Non-Veteran</w:t>
            </w:r>
          </w:p>
        </w:tc>
        <w:tc>
          <w:tcPr>
            <w:tcW w:w="3117" w:type="dxa"/>
            <w:vAlign w:val="bottom"/>
          </w:tcPr>
          <w:p w14:paraId="26DA6116" w14:textId="77777777" w:rsidR="001E2F9C" w:rsidRPr="00864C09" w:rsidRDefault="001E2F9C" w:rsidP="001515D5">
            <w:r w:rsidRPr="00864C09">
              <w:t>2.80%</w:t>
            </w:r>
          </w:p>
        </w:tc>
      </w:tr>
      <w:tr w:rsidR="001E2F9C" w14:paraId="6BDDCE02" w14:textId="77777777" w:rsidTr="001515D5">
        <w:tc>
          <w:tcPr>
            <w:tcW w:w="3116" w:type="dxa"/>
            <w:vAlign w:val="bottom"/>
          </w:tcPr>
          <w:p w14:paraId="6F8737F4" w14:textId="77777777" w:rsidR="001E2F9C" w:rsidRPr="00864C09" w:rsidRDefault="001E2F9C" w:rsidP="001515D5">
            <w:r w:rsidRPr="00864C09">
              <w:t>Parkinson's Disease</w:t>
            </w:r>
          </w:p>
        </w:tc>
        <w:tc>
          <w:tcPr>
            <w:tcW w:w="3117" w:type="dxa"/>
            <w:vAlign w:val="bottom"/>
          </w:tcPr>
          <w:p w14:paraId="317A81E1" w14:textId="77777777" w:rsidR="001E2F9C" w:rsidRPr="00864C09" w:rsidRDefault="001E2F9C" w:rsidP="001515D5">
            <w:r w:rsidRPr="00864C09">
              <w:t>Non-Veteran</w:t>
            </w:r>
          </w:p>
        </w:tc>
        <w:tc>
          <w:tcPr>
            <w:tcW w:w="3117" w:type="dxa"/>
            <w:vAlign w:val="bottom"/>
          </w:tcPr>
          <w:p w14:paraId="43D56057" w14:textId="77777777" w:rsidR="001E2F9C" w:rsidRPr="00864C09" w:rsidRDefault="001E2F9C" w:rsidP="001515D5">
            <w:r w:rsidRPr="00864C09">
              <w:t>0.00%</w:t>
            </w:r>
          </w:p>
        </w:tc>
      </w:tr>
      <w:tr w:rsidR="001E2F9C" w14:paraId="5620C5B0" w14:textId="77777777" w:rsidTr="001515D5">
        <w:tc>
          <w:tcPr>
            <w:tcW w:w="3116" w:type="dxa"/>
            <w:vAlign w:val="bottom"/>
          </w:tcPr>
          <w:p w14:paraId="37350BDA" w14:textId="77777777" w:rsidR="001E2F9C" w:rsidRPr="00864C09" w:rsidRDefault="001E2F9C" w:rsidP="001515D5">
            <w:r w:rsidRPr="00864C09">
              <w:t>Nephritis/Nephrotic Synd</w:t>
            </w:r>
            <w:r>
              <w:t>r</w:t>
            </w:r>
            <w:r w:rsidRPr="00864C09">
              <w:t>ome/Nephrosis</w:t>
            </w:r>
          </w:p>
        </w:tc>
        <w:tc>
          <w:tcPr>
            <w:tcW w:w="3117" w:type="dxa"/>
            <w:vAlign w:val="bottom"/>
          </w:tcPr>
          <w:p w14:paraId="09147E0B" w14:textId="77777777" w:rsidR="001E2F9C" w:rsidRPr="00864C09" w:rsidRDefault="001E2F9C" w:rsidP="001515D5">
            <w:r w:rsidRPr="00864C09">
              <w:t>Non-Veteran</w:t>
            </w:r>
          </w:p>
        </w:tc>
        <w:tc>
          <w:tcPr>
            <w:tcW w:w="3117" w:type="dxa"/>
            <w:vAlign w:val="bottom"/>
          </w:tcPr>
          <w:p w14:paraId="72342949" w14:textId="77777777" w:rsidR="001E2F9C" w:rsidRPr="00864C09" w:rsidRDefault="001E2F9C" w:rsidP="001515D5">
            <w:r w:rsidRPr="00864C09">
              <w:t>1.40%</w:t>
            </w:r>
          </w:p>
        </w:tc>
      </w:tr>
      <w:tr w:rsidR="001E2F9C" w14:paraId="0B9880F9" w14:textId="77777777" w:rsidTr="001515D5">
        <w:tc>
          <w:tcPr>
            <w:tcW w:w="3116" w:type="dxa"/>
            <w:vAlign w:val="bottom"/>
          </w:tcPr>
          <w:p w14:paraId="424CC7A1" w14:textId="77777777" w:rsidR="001E2F9C" w:rsidRPr="00864C09" w:rsidRDefault="001E2F9C" w:rsidP="001515D5">
            <w:r w:rsidRPr="00864C09">
              <w:t>Chronic Liver Disease and Cirrhosis</w:t>
            </w:r>
          </w:p>
        </w:tc>
        <w:tc>
          <w:tcPr>
            <w:tcW w:w="3117" w:type="dxa"/>
            <w:vAlign w:val="bottom"/>
          </w:tcPr>
          <w:p w14:paraId="16934B66" w14:textId="77777777" w:rsidR="001E2F9C" w:rsidRPr="00864C09" w:rsidRDefault="001E2F9C" w:rsidP="001515D5">
            <w:r w:rsidRPr="00864C09">
              <w:t>Non-Veteran</w:t>
            </w:r>
          </w:p>
        </w:tc>
        <w:tc>
          <w:tcPr>
            <w:tcW w:w="3117" w:type="dxa"/>
            <w:vAlign w:val="bottom"/>
          </w:tcPr>
          <w:p w14:paraId="2BC04EB7" w14:textId="77777777" w:rsidR="001E2F9C" w:rsidRPr="00864C09" w:rsidRDefault="001E2F9C" w:rsidP="001515D5">
            <w:r w:rsidRPr="00864C09">
              <w:t>1.80%</w:t>
            </w:r>
          </w:p>
        </w:tc>
      </w:tr>
    </w:tbl>
    <w:p w14:paraId="749896A9" w14:textId="77777777" w:rsidR="001E2F9C" w:rsidRPr="00864C09" w:rsidRDefault="001E2F9C" w:rsidP="001E2F9C">
      <w:r w:rsidRPr="00864C09">
        <w:t xml:space="preserve">Source: SC DHEC Vital Statistics, 2021. </w:t>
      </w:r>
    </w:p>
    <w:p w14:paraId="1CD8D92B" w14:textId="77777777" w:rsidR="001E2F9C" w:rsidRDefault="001E2F9C" w:rsidP="001E2F9C">
      <w:r w:rsidRPr="00864C09">
        <w:t xml:space="preserve">Note: Adults 18+ years only. Veteran is </w:t>
      </w:r>
      <w:proofErr w:type="gramStart"/>
      <w:r w:rsidRPr="00864C09">
        <w:t>ever-served</w:t>
      </w:r>
      <w:proofErr w:type="gramEnd"/>
      <w:r w:rsidRPr="00864C09">
        <w:t xml:space="preserve"> in US Army Forces. *Includes opioid overdoses (unintentional poisoning), motor vehicle crashes, unintentional </w:t>
      </w:r>
      <w:proofErr w:type="gramStart"/>
      <w:r w:rsidRPr="00864C09">
        <w:t>drowning</w:t>
      </w:r>
      <w:proofErr w:type="gramEnd"/>
      <w:r w:rsidRPr="00864C09">
        <w:t xml:space="preserve"> and unintentional falls. Parkinson’s Disease was not a top 10 cause of death among non-Veterans.</w:t>
      </w:r>
    </w:p>
    <w:p w14:paraId="0684B00A" w14:textId="77777777" w:rsidR="001E2F9C" w:rsidRDefault="001E2F9C" w:rsidP="001E2F9C"/>
    <w:p w14:paraId="460FFF31" w14:textId="77777777" w:rsidR="001E2F9C" w:rsidRPr="00864C09" w:rsidRDefault="001E2F9C" w:rsidP="001E2F9C">
      <w:pPr>
        <w:pStyle w:val="Heading4"/>
      </w:pPr>
      <w:bookmarkStart w:id="200" w:name="_Toc154569806"/>
      <w:bookmarkStart w:id="201" w:name="_Toc162267120"/>
      <w:r>
        <w:lastRenderedPageBreak/>
        <w:t>Figure 5.33: Suicide Circumstances, by Veteran Status.</w:t>
      </w:r>
      <w:bookmarkEnd w:id="200"/>
      <w:bookmarkEnd w:id="201"/>
    </w:p>
    <w:tbl>
      <w:tblPr>
        <w:tblStyle w:val="TableGrid"/>
        <w:tblW w:w="0" w:type="auto"/>
        <w:tblLook w:val="04A0" w:firstRow="1" w:lastRow="0" w:firstColumn="1" w:lastColumn="0" w:noHBand="0" w:noVBand="1"/>
      </w:tblPr>
      <w:tblGrid>
        <w:gridCol w:w="3116"/>
        <w:gridCol w:w="3117"/>
        <w:gridCol w:w="3117"/>
      </w:tblGrid>
      <w:tr w:rsidR="001E2F9C" w14:paraId="2B5BA112" w14:textId="77777777" w:rsidTr="001515D5">
        <w:tc>
          <w:tcPr>
            <w:tcW w:w="3116" w:type="dxa"/>
            <w:vAlign w:val="bottom"/>
          </w:tcPr>
          <w:p w14:paraId="6EBDD9F5" w14:textId="77777777" w:rsidR="001E2F9C" w:rsidRPr="00864C09" w:rsidRDefault="001E2F9C" w:rsidP="001515D5">
            <w:r w:rsidRPr="00864C09">
              <w:t>Circumstance</w:t>
            </w:r>
          </w:p>
        </w:tc>
        <w:tc>
          <w:tcPr>
            <w:tcW w:w="3117" w:type="dxa"/>
            <w:vAlign w:val="bottom"/>
          </w:tcPr>
          <w:p w14:paraId="045F8012" w14:textId="77777777" w:rsidR="001E2F9C" w:rsidRPr="00864C09" w:rsidRDefault="001E2F9C" w:rsidP="001515D5">
            <w:r w:rsidRPr="00864C09">
              <w:t>Vet status</w:t>
            </w:r>
          </w:p>
        </w:tc>
        <w:tc>
          <w:tcPr>
            <w:tcW w:w="3117" w:type="dxa"/>
            <w:vAlign w:val="bottom"/>
          </w:tcPr>
          <w:p w14:paraId="5EC0F3F3" w14:textId="19A8F000" w:rsidR="001E2F9C" w:rsidRPr="00864C09" w:rsidRDefault="002748B7" w:rsidP="001515D5">
            <w:r>
              <w:t>Percent</w:t>
            </w:r>
          </w:p>
        </w:tc>
      </w:tr>
      <w:tr w:rsidR="001E2F9C" w14:paraId="33E0734F" w14:textId="77777777" w:rsidTr="001515D5">
        <w:tc>
          <w:tcPr>
            <w:tcW w:w="3116" w:type="dxa"/>
            <w:vAlign w:val="bottom"/>
          </w:tcPr>
          <w:p w14:paraId="753F09AD" w14:textId="77777777" w:rsidR="001E2F9C" w:rsidRPr="00864C09" w:rsidRDefault="001E2F9C" w:rsidP="001515D5">
            <w:r w:rsidRPr="00864C09">
              <w:t>Male, Non-Hispanic White</w:t>
            </w:r>
          </w:p>
        </w:tc>
        <w:tc>
          <w:tcPr>
            <w:tcW w:w="3117" w:type="dxa"/>
            <w:vAlign w:val="bottom"/>
          </w:tcPr>
          <w:p w14:paraId="0E631F65" w14:textId="77777777" w:rsidR="001E2F9C" w:rsidRPr="00864C09" w:rsidRDefault="001E2F9C" w:rsidP="001515D5">
            <w:r w:rsidRPr="00864C09">
              <w:t>Veteran</w:t>
            </w:r>
          </w:p>
        </w:tc>
        <w:tc>
          <w:tcPr>
            <w:tcW w:w="3117" w:type="dxa"/>
            <w:vAlign w:val="bottom"/>
          </w:tcPr>
          <w:p w14:paraId="0BB82E9A" w14:textId="77777777" w:rsidR="001E2F9C" w:rsidRPr="00864C09" w:rsidRDefault="001E2F9C" w:rsidP="001515D5">
            <w:r w:rsidRPr="00864C09">
              <w:t>83.50%</w:t>
            </w:r>
          </w:p>
        </w:tc>
      </w:tr>
      <w:tr w:rsidR="001E2F9C" w14:paraId="51BF950E" w14:textId="77777777" w:rsidTr="001515D5">
        <w:tc>
          <w:tcPr>
            <w:tcW w:w="3116" w:type="dxa"/>
            <w:vAlign w:val="bottom"/>
          </w:tcPr>
          <w:p w14:paraId="44B45B5E" w14:textId="77777777" w:rsidR="001E2F9C" w:rsidRPr="00864C09" w:rsidRDefault="001E2F9C" w:rsidP="001515D5">
            <w:r w:rsidRPr="00864C09">
              <w:t>65+ Years</w:t>
            </w:r>
          </w:p>
        </w:tc>
        <w:tc>
          <w:tcPr>
            <w:tcW w:w="3117" w:type="dxa"/>
            <w:vAlign w:val="bottom"/>
          </w:tcPr>
          <w:p w14:paraId="5621EB6E" w14:textId="77777777" w:rsidR="001E2F9C" w:rsidRPr="00864C09" w:rsidRDefault="001E2F9C" w:rsidP="001515D5">
            <w:r w:rsidRPr="00864C09">
              <w:t>Veteran</w:t>
            </w:r>
          </w:p>
        </w:tc>
        <w:tc>
          <w:tcPr>
            <w:tcW w:w="3117" w:type="dxa"/>
            <w:vAlign w:val="bottom"/>
          </w:tcPr>
          <w:p w14:paraId="6E51C355" w14:textId="77777777" w:rsidR="001E2F9C" w:rsidRPr="00864C09" w:rsidRDefault="001E2F9C" w:rsidP="001515D5">
            <w:r w:rsidRPr="00864C09">
              <w:t>46.40%</w:t>
            </w:r>
          </w:p>
        </w:tc>
      </w:tr>
      <w:tr w:rsidR="001E2F9C" w14:paraId="4D9B96B7" w14:textId="77777777" w:rsidTr="001515D5">
        <w:tc>
          <w:tcPr>
            <w:tcW w:w="3116" w:type="dxa"/>
            <w:vAlign w:val="bottom"/>
          </w:tcPr>
          <w:p w14:paraId="3DC6199F" w14:textId="77777777" w:rsidR="001E2F9C" w:rsidRPr="00864C09" w:rsidRDefault="001E2F9C" w:rsidP="001515D5">
            <w:r w:rsidRPr="00864C09">
              <w:t>Behavioral: Mental Health Issue</w:t>
            </w:r>
          </w:p>
        </w:tc>
        <w:tc>
          <w:tcPr>
            <w:tcW w:w="3117" w:type="dxa"/>
            <w:vAlign w:val="bottom"/>
          </w:tcPr>
          <w:p w14:paraId="73D1B2F0" w14:textId="77777777" w:rsidR="001E2F9C" w:rsidRPr="00864C09" w:rsidRDefault="001E2F9C" w:rsidP="001515D5">
            <w:r w:rsidRPr="00864C09">
              <w:t>Veteran</w:t>
            </w:r>
          </w:p>
        </w:tc>
        <w:tc>
          <w:tcPr>
            <w:tcW w:w="3117" w:type="dxa"/>
            <w:vAlign w:val="bottom"/>
          </w:tcPr>
          <w:p w14:paraId="4ECA9AA5" w14:textId="77777777" w:rsidR="001E2F9C" w:rsidRPr="00864C09" w:rsidRDefault="001E2F9C" w:rsidP="001515D5">
            <w:r w:rsidRPr="00864C09">
              <w:t>36.00%</w:t>
            </w:r>
          </w:p>
        </w:tc>
      </w:tr>
      <w:tr w:rsidR="001E2F9C" w14:paraId="461E205F" w14:textId="77777777" w:rsidTr="001515D5">
        <w:tc>
          <w:tcPr>
            <w:tcW w:w="3116" w:type="dxa"/>
            <w:vAlign w:val="bottom"/>
          </w:tcPr>
          <w:p w14:paraId="64F1BE19" w14:textId="77777777" w:rsidR="001E2F9C" w:rsidRPr="00864C09" w:rsidRDefault="001E2F9C" w:rsidP="001515D5">
            <w:r w:rsidRPr="00864C09">
              <w:t>Behavioral: Depressed Mood</w:t>
            </w:r>
          </w:p>
        </w:tc>
        <w:tc>
          <w:tcPr>
            <w:tcW w:w="3117" w:type="dxa"/>
            <w:vAlign w:val="bottom"/>
          </w:tcPr>
          <w:p w14:paraId="2916BA32" w14:textId="77777777" w:rsidR="001E2F9C" w:rsidRPr="00864C09" w:rsidRDefault="001E2F9C" w:rsidP="001515D5">
            <w:r w:rsidRPr="00864C09">
              <w:t>Veteran</w:t>
            </w:r>
          </w:p>
        </w:tc>
        <w:tc>
          <w:tcPr>
            <w:tcW w:w="3117" w:type="dxa"/>
            <w:vAlign w:val="bottom"/>
          </w:tcPr>
          <w:p w14:paraId="67F1E654" w14:textId="77777777" w:rsidR="001E2F9C" w:rsidRPr="00864C09" w:rsidRDefault="001E2F9C" w:rsidP="001515D5">
            <w:r w:rsidRPr="00864C09">
              <w:t>27.80%</w:t>
            </w:r>
          </w:p>
        </w:tc>
      </w:tr>
      <w:tr w:rsidR="001E2F9C" w14:paraId="32458584" w14:textId="77777777" w:rsidTr="001515D5">
        <w:tc>
          <w:tcPr>
            <w:tcW w:w="3116" w:type="dxa"/>
            <w:vAlign w:val="bottom"/>
          </w:tcPr>
          <w:p w14:paraId="0CCCC005" w14:textId="77777777" w:rsidR="001E2F9C" w:rsidRPr="00864C09" w:rsidRDefault="001E2F9C" w:rsidP="001515D5">
            <w:r w:rsidRPr="00864C09">
              <w:t>Behavioral: Alcohol Problem</w:t>
            </w:r>
          </w:p>
        </w:tc>
        <w:tc>
          <w:tcPr>
            <w:tcW w:w="3117" w:type="dxa"/>
            <w:vAlign w:val="bottom"/>
          </w:tcPr>
          <w:p w14:paraId="25EF3BB0" w14:textId="77777777" w:rsidR="001E2F9C" w:rsidRPr="00864C09" w:rsidRDefault="001E2F9C" w:rsidP="001515D5">
            <w:r w:rsidRPr="00864C09">
              <w:t>Veteran</w:t>
            </w:r>
          </w:p>
        </w:tc>
        <w:tc>
          <w:tcPr>
            <w:tcW w:w="3117" w:type="dxa"/>
            <w:vAlign w:val="bottom"/>
          </w:tcPr>
          <w:p w14:paraId="65D1876E" w14:textId="77777777" w:rsidR="001E2F9C" w:rsidRPr="00864C09" w:rsidRDefault="001E2F9C" w:rsidP="001515D5">
            <w:r w:rsidRPr="00864C09">
              <w:t>13.50%</w:t>
            </w:r>
          </w:p>
        </w:tc>
      </w:tr>
      <w:tr w:rsidR="001E2F9C" w14:paraId="7CE70BDE" w14:textId="77777777" w:rsidTr="001515D5">
        <w:tc>
          <w:tcPr>
            <w:tcW w:w="3116" w:type="dxa"/>
            <w:vAlign w:val="bottom"/>
          </w:tcPr>
          <w:p w14:paraId="301FEAC7" w14:textId="77777777" w:rsidR="001E2F9C" w:rsidRPr="00864C09" w:rsidRDefault="001E2F9C" w:rsidP="001515D5">
            <w:r w:rsidRPr="00864C09">
              <w:t>Behavioral: Substance Misuse</w:t>
            </w:r>
          </w:p>
        </w:tc>
        <w:tc>
          <w:tcPr>
            <w:tcW w:w="3117" w:type="dxa"/>
            <w:vAlign w:val="bottom"/>
          </w:tcPr>
          <w:p w14:paraId="537E9541" w14:textId="77777777" w:rsidR="001E2F9C" w:rsidRPr="00864C09" w:rsidRDefault="001E2F9C" w:rsidP="001515D5">
            <w:r w:rsidRPr="00864C09">
              <w:t>Veteran</w:t>
            </w:r>
          </w:p>
        </w:tc>
        <w:tc>
          <w:tcPr>
            <w:tcW w:w="3117" w:type="dxa"/>
            <w:vAlign w:val="bottom"/>
          </w:tcPr>
          <w:p w14:paraId="3A30CAF6" w14:textId="77777777" w:rsidR="001E2F9C" w:rsidRPr="00864C09" w:rsidRDefault="001E2F9C" w:rsidP="001515D5">
            <w:r w:rsidRPr="00864C09">
              <w:t>7.00%</w:t>
            </w:r>
          </w:p>
        </w:tc>
      </w:tr>
      <w:tr w:rsidR="001E2F9C" w14:paraId="316E764A" w14:textId="77777777" w:rsidTr="001515D5">
        <w:tc>
          <w:tcPr>
            <w:tcW w:w="3116" w:type="dxa"/>
            <w:vAlign w:val="bottom"/>
          </w:tcPr>
          <w:p w14:paraId="46BF2EF2" w14:textId="77777777" w:rsidR="001E2F9C" w:rsidRPr="00864C09" w:rsidRDefault="001E2F9C" w:rsidP="001515D5">
            <w:r w:rsidRPr="00864C09">
              <w:t>Physical Health Issue</w:t>
            </w:r>
          </w:p>
        </w:tc>
        <w:tc>
          <w:tcPr>
            <w:tcW w:w="3117" w:type="dxa"/>
            <w:vAlign w:val="bottom"/>
          </w:tcPr>
          <w:p w14:paraId="2F78D7F3" w14:textId="77777777" w:rsidR="001E2F9C" w:rsidRPr="00864C09" w:rsidRDefault="001E2F9C" w:rsidP="001515D5">
            <w:r w:rsidRPr="00864C09">
              <w:t>Veteran</w:t>
            </w:r>
          </w:p>
        </w:tc>
        <w:tc>
          <w:tcPr>
            <w:tcW w:w="3117" w:type="dxa"/>
            <w:vAlign w:val="bottom"/>
          </w:tcPr>
          <w:p w14:paraId="4A015D8B" w14:textId="77777777" w:rsidR="001E2F9C" w:rsidRPr="00864C09" w:rsidRDefault="001E2F9C" w:rsidP="001515D5">
            <w:r w:rsidRPr="00864C09">
              <w:t>41.20%</w:t>
            </w:r>
          </w:p>
        </w:tc>
      </w:tr>
      <w:tr w:rsidR="001E2F9C" w14:paraId="367E6E9D" w14:textId="77777777" w:rsidTr="001515D5">
        <w:tc>
          <w:tcPr>
            <w:tcW w:w="3116" w:type="dxa"/>
            <w:vAlign w:val="bottom"/>
          </w:tcPr>
          <w:p w14:paraId="75BCB1B9" w14:textId="77777777" w:rsidR="001E2F9C" w:rsidRPr="00864C09" w:rsidRDefault="001E2F9C" w:rsidP="001515D5">
            <w:r w:rsidRPr="00864C09">
              <w:t>PTSD Diagnosis</w:t>
            </w:r>
          </w:p>
        </w:tc>
        <w:tc>
          <w:tcPr>
            <w:tcW w:w="3117" w:type="dxa"/>
            <w:vAlign w:val="bottom"/>
          </w:tcPr>
          <w:p w14:paraId="62FAF2ED" w14:textId="77777777" w:rsidR="001E2F9C" w:rsidRPr="00864C09" w:rsidRDefault="001E2F9C" w:rsidP="001515D5">
            <w:r w:rsidRPr="00864C09">
              <w:t>Veteran</w:t>
            </w:r>
          </w:p>
        </w:tc>
        <w:tc>
          <w:tcPr>
            <w:tcW w:w="3117" w:type="dxa"/>
            <w:vAlign w:val="bottom"/>
          </w:tcPr>
          <w:p w14:paraId="50465D84" w14:textId="77777777" w:rsidR="001E2F9C" w:rsidRPr="00864C09" w:rsidRDefault="001E2F9C" w:rsidP="001515D5">
            <w:r w:rsidRPr="00864C09">
              <w:t>76.70%</w:t>
            </w:r>
          </w:p>
        </w:tc>
      </w:tr>
      <w:tr w:rsidR="001E2F9C" w14:paraId="136C1340" w14:textId="77777777" w:rsidTr="001515D5">
        <w:tc>
          <w:tcPr>
            <w:tcW w:w="3116" w:type="dxa"/>
            <w:vAlign w:val="bottom"/>
          </w:tcPr>
          <w:p w14:paraId="2B6658D3" w14:textId="77777777" w:rsidR="001E2F9C" w:rsidRPr="00864C09" w:rsidRDefault="001E2F9C" w:rsidP="001515D5">
            <w:r w:rsidRPr="00864C09">
              <w:t>PTSD Diagnosis + Behavioral Health Issue</w:t>
            </w:r>
          </w:p>
        </w:tc>
        <w:tc>
          <w:tcPr>
            <w:tcW w:w="3117" w:type="dxa"/>
            <w:vAlign w:val="bottom"/>
          </w:tcPr>
          <w:p w14:paraId="106A5DB0" w14:textId="77777777" w:rsidR="001E2F9C" w:rsidRPr="00864C09" w:rsidRDefault="001E2F9C" w:rsidP="001515D5">
            <w:r w:rsidRPr="00864C09">
              <w:t>Veteran</w:t>
            </w:r>
          </w:p>
        </w:tc>
        <w:tc>
          <w:tcPr>
            <w:tcW w:w="3117" w:type="dxa"/>
            <w:vAlign w:val="bottom"/>
          </w:tcPr>
          <w:p w14:paraId="5B98E3E8" w14:textId="77777777" w:rsidR="001E2F9C" w:rsidRPr="00864C09" w:rsidRDefault="001E2F9C" w:rsidP="001515D5">
            <w:r w:rsidRPr="00864C09">
              <w:t>53.60%</w:t>
            </w:r>
          </w:p>
        </w:tc>
      </w:tr>
      <w:tr w:rsidR="001E2F9C" w14:paraId="6DBBFDDB" w14:textId="77777777" w:rsidTr="001515D5">
        <w:tc>
          <w:tcPr>
            <w:tcW w:w="3116" w:type="dxa"/>
            <w:vAlign w:val="bottom"/>
          </w:tcPr>
          <w:p w14:paraId="342B3B2B" w14:textId="77777777" w:rsidR="001E2F9C" w:rsidRPr="00864C09" w:rsidRDefault="001E2F9C" w:rsidP="001515D5">
            <w:r w:rsidRPr="00864C09">
              <w:t>PTSD Diagnosis + Physical Health Issue</w:t>
            </w:r>
          </w:p>
        </w:tc>
        <w:tc>
          <w:tcPr>
            <w:tcW w:w="3117" w:type="dxa"/>
            <w:vAlign w:val="bottom"/>
          </w:tcPr>
          <w:p w14:paraId="7989ADF2" w14:textId="77777777" w:rsidR="001E2F9C" w:rsidRPr="00864C09" w:rsidRDefault="001E2F9C" w:rsidP="001515D5">
            <w:r w:rsidRPr="00864C09">
              <w:t>Veteran</w:t>
            </w:r>
          </w:p>
        </w:tc>
        <w:tc>
          <w:tcPr>
            <w:tcW w:w="3117" w:type="dxa"/>
            <w:vAlign w:val="bottom"/>
          </w:tcPr>
          <w:p w14:paraId="31E30823" w14:textId="77777777" w:rsidR="001E2F9C" w:rsidRPr="00864C09" w:rsidRDefault="001E2F9C" w:rsidP="001515D5">
            <w:r w:rsidRPr="00864C09">
              <w:t>26.80%</w:t>
            </w:r>
          </w:p>
        </w:tc>
      </w:tr>
      <w:tr w:rsidR="001E2F9C" w14:paraId="152B9B59" w14:textId="77777777" w:rsidTr="001515D5">
        <w:tc>
          <w:tcPr>
            <w:tcW w:w="3116" w:type="dxa"/>
            <w:vAlign w:val="bottom"/>
          </w:tcPr>
          <w:p w14:paraId="60069DE9" w14:textId="77777777" w:rsidR="001E2F9C" w:rsidRPr="00864C09" w:rsidRDefault="001E2F9C" w:rsidP="001515D5">
            <w:r w:rsidRPr="00864C09">
              <w:t>Male, Non-Hispanic White</w:t>
            </w:r>
          </w:p>
        </w:tc>
        <w:tc>
          <w:tcPr>
            <w:tcW w:w="3117" w:type="dxa"/>
            <w:vAlign w:val="bottom"/>
          </w:tcPr>
          <w:p w14:paraId="78E4EE4D" w14:textId="77777777" w:rsidR="001E2F9C" w:rsidRPr="00864C09" w:rsidRDefault="001E2F9C" w:rsidP="001515D5">
            <w:r w:rsidRPr="00864C09">
              <w:t>Non-Veteran</w:t>
            </w:r>
          </w:p>
        </w:tc>
        <w:tc>
          <w:tcPr>
            <w:tcW w:w="3117" w:type="dxa"/>
            <w:vAlign w:val="bottom"/>
          </w:tcPr>
          <w:p w14:paraId="0196E714" w14:textId="77777777" w:rsidR="001E2F9C" w:rsidRPr="00864C09" w:rsidRDefault="001E2F9C" w:rsidP="001515D5">
            <w:r w:rsidRPr="00864C09">
              <w:t>61.60%</w:t>
            </w:r>
          </w:p>
        </w:tc>
      </w:tr>
      <w:tr w:rsidR="001E2F9C" w14:paraId="27468B29" w14:textId="77777777" w:rsidTr="001515D5">
        <w:tc>
          <w:tcPr>
            <w:tcW w:w="3116" w:type="dxa"/>
            <w:vAlign w:val="bottom"/>
          </w:tcPr>
          <w:p w14:paraId="44F357D6" w14:textId="77777777" w:rsidR="001E2F9C" w:rsidRPr="00864C09" w:rsidRDefault="001E2F9C" w:rsidP="001515D5">
            <w:r w:rsidRPr="00864C09">
              <w:t>65+ Years</w:t>
            </w:r>
          </w:p>
        </w:tc>
        <w:tc>
          <w:tcPr>
            <w:tcW w:w="3117" w:type="dxa"/>
            <w:vAlign w:val="bottom"/>
          </w:tcPr>
          <w:p w14:paraId="467D7C0E" w14:textId="77777777" w:rsidR="001E2F9C" w:rsidRPr="00864C09" w:rsidRDefault="001E2F9C" w:rsidP="001515D5">
            <w:r w:rsidRPr="00864C09">
              <w:t>Non-Veteran</w:t>
            </w:r>
          </w:p>
        </w:tc>
        <w:tc>
          <w:tcPr>
            <w:tcW w:w="3117" w:type="dxa"/>
            <w:vAlign w:val="bottom"/>
          </w:tcPr>
          <w:p w14:paraId="570CF602" w14:textId="77777777" w:rsidR="001E2F9C" w:rsidRPr="00864C09" w:rsidRDefault="001E2F9C" w:rsidP="001515D5">
            <w:r w:rsidRPr="00864C09">
              <w:t>12.80%</w:t>
            </w:r>
          </w:p>
        </w:tc>
      </w:tr>
      <w:tr w:rsidR="001E2F9C" w14:paraId="4A26E88C" w14:textId="77777777" w:rsidTr="001515D5">
        <w:tc>
          <w:tcPr>
            <w:tcW w:w="3116" w:type="dxa"/>
            <w:vAlign w:val="bottom"/>
          </w:tcPr>
          <w:p w14:paraId="585574F7" w14:textId="77777777" w:rsidR="001E2F9C" w:rsidRPr="00864C09" w:rsidRDefault="001E2F9C" w:rsidP="001515D5">
            <w:r w:rsidRPr="00864C09">
              <w:t>Behavioral: Mental Health Issue</w:t>
            </w:r>
          </w:p>
        </w:tc>
        <w:tc>
          <w:tcPr>
            <w:tcW w:w="3117" w:type="dxa"/>
            <w:vAlign w:val="bottom"/>
          </w:tcPr>
          <w:p w14:paraId="61751619" w14:textId="77777777" w:rsidR="001E2F9C" w:rsidRPr="00864C09" w:rsidRDefault="001E2F9C" w:rsidP="001515D5">
            <w:r w:rsidRPr="00864C09">
              <w:t>Non-Veteran</w:t>
            </w:r>
          </w:p>
        </w:tc>
        <w:tc>
          <w:tcPr>
            <w:tcW w:w="3117" w:type="dxa"/>
            <w:vAlign w:val="bottom"/>
          </w:tcPr>
          <w:p w14:paraId="63DDAC46" w14:textId="77777777" w:rsidR="001E2F9C" w:rsidRPr="00864C09" w:rsidRDefault="001E2F9C" w:rsidP="001515D5">
            <w:r w:rsidRPr="00864C09">
              <w:t>42.50%</w:t>
            </w:r>
          </w:p>
        </w:tc>
      </w:tr>
      <w:tr w:rsidR="001E2F9C" w14:paraId="269679D4" w14:textId="77777777" w:rsidTr="001515D5">
        <w:tc>
          <w:tcPr>
            <w:tcW w:w="3116" w:type="dxa"/>
            <w:vAlign w:val="bottom"/>
          </w:tcPr>
          <w:p w14:paraId="51B42B02" w14:textId="77777777" w:rsidR="001E2F9C" w:rsidRPr="00864C09" w:rsidRDefault="001E2F9C" w:rsidP="001515D5">
            <w:r w:rsidRPr="00864C09">
              <w:t>Behavioral: Depressed Mood</w:t>
            </w:r>
          </w:p>
        </w:tc>
        <w:tc>
          <w:tcPr>
            <w:tcW w:w="3117" w:type="dxa"/>
            <w:vAlign w:val="bottom"/>
          </w:tcPr>
          <w:p w14:paraId="07E2D800" w14:textId="77777777" w:rsidR="001E2F9C" w:rsidRPr="00864C09" w:rsidRDefault="001E2F9C" w:rsidP="001515D5">
            <w:r w:rsidRPr="00864C09">
              <w:t>Non-Veteran</w:t>
            </w:r>
          </w:p>
        </w:tc>
        <w:tc>
          <w:tcPr>
            <w:tcW w:w="3117" w:type="dxa"/>
            <w:vAlign w:val="bottom"/>
          </w:tcPr>
          <w:p w14:paraId="24853D89" w14:textId="77777777" w:rsidR="001E2F9C" w:rsidRPr="00864C09" w:rsidRDefault="001E2F9C" w:rsidP="001515D5">
            <w:r w:rsidRPr="00864C09">
              <w:t>31.50%</w:t>
            </w:r>
          </w:p>
        </w:tc>
      </w:tr>
      <w:tr w:rsidR="001E2F9C" w14:paraId="27C6A946" w14:textId="77777777" w:rsidTr="001515D5">
        <w:tc>
          <w:tcPr>
            <w:tcW w:w="3116" w:type="dxa"/>
            <w:vAlign w:val="bottom"/>
          </w:tcPr>
          <w:p w14:paraId="75CC714F" w14:textId="77777777" w:rsidR="001E2F9C" w:rsidRPr="00864C09" w:rsidRDefault="001E2F9C" w:rsidP="001515D5">
            <w:r w:rsidRPr="00864C09">
              <w:t>Behavioral: Alcohol Problem</w:t>
            </w:r>
          </w:p>
        </w:tc>
        <w:tc>
          <w:tcPr>
            <w:tcW w:w="3117" w:type="dxa"/>
            <w:vAlign w:val="bottom"/>
          </w:tcPr>
          <w:p w14:paraId="3F23E5DA" w14:textId="77777777" w:rsidR="001E2F9C" w:rsidRPr="00864C09" w:rsidRDefault="001E2F9C" w:rsidP="001515D5">
            <w:r w:rsidRPr="00864C09">
              <w:t>Non-Veteran</w:t>
            </w:r>
          </w:p>
        </w:tc>
        <w:tc>
          <w:tcPr>
            <w:tcW w:w="3117" w:type="dxa"/>
            <w:vAlign w:val="bottom"/>
          </w:tcPr>
          <w:p w14:paraId="5F35A34D" w14:textId="77777777" w:rsidR="001E2F9C" w:rsidRPr="00864C09" w:rsidRDefault="001E2F9C" w:rsidP="001515D5">
            <w:r w:rsidRPr="00864C09">
              <w:t>16.60%</w:t>
            </w:r>
          </w:p>
        </w:tc>
      </w:tr>
      <w:tr w:rsidR="001E2F9C" w14:paraId="4304C0BA" w14:textId="77777777" w:rsidTr="001515D5">
        <w:tc>
          <w:tcPr>
            <w:tcW w:w="3116" w:type="dxa"/>
            <w:vAlign w:val="bottom"/>
          </w:tcPr>
          <w:p w14:paraId="0B58B647" w14:textId="77777777" w:rsidR="001E2F9C" w:rsidRPr="00864C09" w:rsidRDefault="001E2F9C" w:rsidP="001515D5">
            <w:r w:rsidRPr="00864C09">
              <w:t>Behavioral: Substance Misuse</w:t>
            </w:r>
          </w:p>
        </w:tc>
        <w:tc>
          <w:tcPr>
            <w:tcW w:w="3117" w:type="dxa"/>
            <w:vAlign w:val="bottom"/>
          </w:tcPr>
          <w:p w14:paraId="65557F15" w14:textId="77777777" w:rsidR="001E2F9C" w:rsidRPr="00864C09" w:rsidRDefault="001E2F9C" w:rsidP="001515D5">
            <w:r w:rsidRPr="00864C09">
              <w:t>Non-Veteran</w:t>
            </w:r>
          </w:p>
        </w:tc>
        <w:tc>
          <w:tcPr>
            <w:tcW w:w="3117" w:type="dxa"/>
            <w:vAlign w:val="bottom"/>
          </w:tcPr>
          <w:p w14:paraId="1BF938CD" w14:textId="77777777" w:rsidR="001E2F9C" w:rsidRPr="00864C09" w:rsidRDefault="001E2F9C" w:rsidP="001515D5">
            <w:r w:rsidRPr="00864C09">
              <w:t>16.60%</w:t>
            </w:r>
          </w:p>
        </w:tc>
      </w:tr>
      <w:tr w:rsidR="001E2F9C" w14:paraId="64EAE037" w14:textId="77777777" w:rsidTr="001515D5">
        <w:tc>
          <w:tcPr>
            <w:tcW w:w="3116" w:type="dxa"/>
            <w:vAlign w:val="bottom"/>
          </w:tcPr>
          <w:p w14:paraId="28627883" w14:textId="77777777" w:rsidR="001E2F9C" w:rsidRPr="00864C09" w:rsidRDefault="001E2F9C" w:rsidP="001515D5">
            <w:r w:rsidRPr="00864C09">
              <w:t>Physical Health Issue</w:t>
            </w:r>
          </w:p>
        </w:tc>
        <w:tc>
          <w:tcPr>
            <w:tcW w:w="3117" w:type="dxa"/>
            <w:vAlign w:val="bottom"/>
          </w:tcPr>
          <w:p w14:paraId="64B6045E" w14:textId="77777777" w:rsidR="001E2F9C" w:rsidRPr="00864C09" w:rsidRDefault="001E2F9C" w:rsidP="001515D5">
            <w:r w:rsidRPr="00864C09">
              <w:t>Non-Veteran</w:t>
            </w:r>
          </w:p>
        </w:tc>
        <w:tc>
          <w:tcPr>
            <w:tcW w:w="3117" w:type="dxa"/>
            <w:vAlign w:val="bottom"/>
          </w:tcPr>
          <w:p w14:paraId="35D26EA1" w14:textId="77777777" w:rsidR="001E2F9C" w:rsidRPr="00864C09" w:rsidRDefault="001E2F9C" w:rsidP="001515D5">
            <w:r w:rsidRPr="00864C09">
              <w:t>25.30%</w:t>
            </w:r>
          </w:p>
        </w:tc>
      </w:tr>
      <w:tr w:rsidR="001E2F9C" w14:paraId="0E3F6EF2" w14:textId="77777777" w:rsidTr="001515D5">
        <w:tc>
          <w:tcPr>
            <w:tcW w:w="3116" w:type="dxa"/>
            <w:vAlign w:val="bottom"/>
          </w:tcPr>
          <w:p w14:paraId="21A893FF" w14:textId="77777777" w:rsidR="001E2F9C" w:rsidRPr="00864C09" w:rsidRDefault="001E2F9C" w:rsidP="001515D5">
            <w:r w:rsidRPr="00864C09">
              <w:t>PTSD Diagnosis</w:t>
            </w:r>
          </w:p>
        </w:tc>
        <w:tc>
          <w:tcPr>
            <w:tcW w:w="3117" w:type="dxa"/>
            <w:vAlign w:val="bottom"/>
          </w:tcPr>
          <w:p w14:paraId="5B425455" w14:textId="77777777" w:rsidR="001E2F9C" w:rsidRPr="00864C09" w:rsidRDefault="001E2F9C" w:rsidP="001515D5">
            <w:r w:rsidRPr="00864C09">
              <w:t>Non-Veteran</w:t>
            </w:r>
          </w:p>
        </w:tc>
        <w:tc>
          <w:tcPr>
            <w:tcW w:w="3117" w:type="dxa"/>
            <w:vAlign w:val="bottom"/>
          </w:tcPr>
          <w:p w14:paraId="1AAA31A6" w14:textId="77777777" w:rsidR="001E2F9C" w:rsidRPr="00864C09" w:rsidRDefault="001E2F9C" w:rsidP="001515D5">
            <w:r w:rsidRPr="00864C09">
              <w:t>23.30%</w:t>
            </w:r>
          </w:p>
        </w:tc>
      </w:tr>
      <w:tr w:rsidR="001E2F9C" w14:paraId="63C1CAB8" w14:textId="77777777" w:rsidTr="001515D5">
        <w:tc>
          <w:tcPr>
            <w:tcW w:w="3116" w:type="dxa"/>
            <w:vAlign w:val="bottom"/>
          </w:tcPr>
          <w:p w14:paraId="328FF1E3" w14:textId="77777777" w:rsidR="001E2F9C" w:rsidRPr="00864C09" w:rsidRDefault="001E2F9C" w:rsidP="001515D5">
            <w:r w:rsidRPr="00864C09">
              <w:t>PTSD Diagnosis + Behavioral Health Issue</w:t>
            </w:r>
          </w:p>
        </w:tc>
        <w:tc>
          <w:tcPr>
            <w:tcW w:w="3117" w:type="dxa"/>
            <w:vAlign w:val="bottom"/>
          </w:tcPr>
          <w:p w14:paraId="573F5F3D" w14:textId="77777777" w:rsidR="001E2F9C" w:rsidRPr="00864C09" w:rsidRDefault="001E2F9C" w:rsidP="001515D5">
            <w:r w:rsidRPr="00864C09">
              <w:t>Non-Veteran</w:t>
            </w:r>
          </w:p>
        </w:tc>
        <w:tc>
          <w:tcPr>
            <w:tcW w:w="3117" w:type="dxa"/>
            <w:vAlign w:val="bottom"/>
          </w:tcPr>
          <w:p w14:paraId="353595D5" w14:textId="77777777" w:rsidR="001E2F9C" w:rsidRPr="00864C09" w:rsidRDefault="001E2F9C" w:rsidP="001515D5">
            <w:r>
              <w:t>0.0%</w:t>
            </w:r>
          </w:p>
        </w:tc>
      </w:tr>
      <w:tr w:rsidR="001E2F9C" w14:paraId="37AD09FF" w14:textId="77777777" w:rsidTr="001515D5">
        <w:tc>
          <w:tcPr>
            <w:tcW w:w="3116" w:type="dxa"/>
            <w:vAlign w:val="bottom"/>
          </w:tcPr>
          <w:p w14:paraId="1C8AD37B" w14:textId="77777777" w:rsidR="001E2F9C" w:rsidRPr="00864C09" w:rsidRDefault="001E2F9C" w:rsidP="001515D5">
            <w:r w:rsidRPr="00864C09">
              <w:t>PTSD Diagnosis + Physical Health Issue</w:t>
            </w:r>
          </w:p>
        </w:tc>
        <w:tc>
          <w:tcPr>
            <w:tcW w:w="3117" w:type="dxa"/>
            <w:vAlign w:val="bottom"/>
          </w:tcPr>
          <w:p w14:paraId="14DFD8F9" w14:textId="77777777" w:rsidR="001E2F9C" w:rsidRPr="00864C09" w:rsidRDefault="001E2F9C" w:rsidP="001515D5">
            <w:r w:rsidRPr="00864C09">
              <w:t>Non-Veteran</w:t>
            </w:r>
          </w:p>
        </w:tc>
        <w:tc>
          <w:tcPr>
            <w:tcW w:w="3117" w:type="dxa"/>
            <w:vAlign w:val="bottom"/>
          </w:tcPr>
          <w:p w14:paraId="6A938047" w14:textId="77777777" w:rsidR="001E2F9C" w:rsidRPr="00864C09" w:rsidRDefault="001E2F9C" w:rsidP="001515D5">
            <w:r w:rsidRPr="00864C09">
              <w:t>41.20%</w:t>
            </w:r>
          </w:p>
        </w:tc>
      </w:tr>
    </w:tbl>
    <w:p w14:paraId="04654C30" w14:textId="77777777" w:rsidR="001E2F9C" w:rsidRPr="00864C09" w:rsidRDefault="001E2F9C" w:rsidP="001E2F9C">
      <w:r w:rsidRPr="00864C09">
        <w:t xml:space="preserve">Source: SC VDRS, 2016-2020. </w:t>
      </w:r>
    </w:p>
    <w:p w14:paraId="3D288B07" w14:textId="77777777" w:rsidR="001E2F9C" w:rsidRDefault="001E2F9C" w:rsidP="001E2F9C">
      <w:r w:rsidRPr="00864C09">
        <w:lastRenderedPageBreak/>
        <w:t>Note: 5 years estimates. Adults 18+ only. Veteran is ever served in US Armed Forces. Behavioral health issues include mental health condition, depressed mood, alcohol, or substance misuse. Behavioral health issues are not mutually exclusive.</w:t>
      </w:r>
    </w:p>
    <w:p w14:paraId="35064527" w14:textId="77777777" w:rsidR="00722CE9" w:rsidRPr="00544ADD" w:rsidRDefault="00722CE9" w:rsidP="00722CE9">
      <w:pPr>
        <w:rPr>
          <w:rStyle w:val="Heading4Char"/>
          <w:rFonts w:asciiTheme="minorHAnsi" w:hAnsiTheme="minorHAnsi" w:cstheme="minorHAnsi"/>
          <w:color w:val="000000" w:themeColor="text1"/>
        </w:rPr>
      </w:pPr>
    </w:p>
    <w:p w14:paraId="3B36ECEB" w14:textId="0A8E5799" w:rsidR="00722CE9" w:rsidRPr="00474446" w:rsidRDefault="00722CE9" w:rsidP="00722CE9">
      <w:bookmarkStart w:id="202" w:name="_Toc162267121"/>
      <w:r w:rsidRPr="00544ADD">
        <w:rPr>
          <w:rStyle w:val="Heading4Char"/>
          <w:rFonts w:asciiTheme="minorHAnsi" w:hAnsiTheme="minorHAnsi" w:cstheme="minorHAnsi"/>
          <w:color w:val="000000" w:themeColor="text1"/>
        </w:rPr>
        <w:t>References 5.14</w:t>
      </w:r>
      <w:bookmarkEnd w:id="202"/>
      <w:r w:rsidR="00FF4962">
        <w:rPr>
          <w:i/>
          <w:iCs/>
        </w:rPr>
        <w:t xml:space="preserve"> </w:t>
      </w:r>
    </w:p>
    <w:p w14:paraId="3B5C8C28" w14:textId="126A112C" w:rsidR="00722CE9" w:rsidRDefault="00722CE9" w:rsidP="00722CE9">
      <w:r w:rsidRPr="00722CE9">
        <w:t>Statistics in the preceding</w:t>
      </w:r>
      <w:r>
        <w:t xml:space="preserve"> </w:t>
      </w:r>
      <w:r w:rsidR="00544ADD">
        <w:t>section</w:t>
      </w:r>
      <w:r w:rsidRPr="00722CE9">
        <w:t xml:space="preserve"> were referenced from the following reports:</w:t>
      </w:r>
    </w:p>
    <w:p w14:paraId="3A2F0245" w14:textId="737B42DC" w:rsidR="00FF4962" w:rsidRDefault="00544ADD" w:rsidP="00544ADD">
      <w:pPr>
        <w:ind w:left="360"/>
      </w:pPr>
      <w:r>
        <w:t xml:space="preserve">42. </w:t>
      </w:r>
      <w:r w:rsidR="00FF4962">
        <w:t>“</w:t>
      </w:r>
      <w:r w:rsidR="00FF4962" w:rsidRPr="00722CE9">
        <w:t>Behavioral Risk Factor Surveillance System Survey 2017-2021</w:t>
      </w:r>
      <w:r w:rsidR="00FF4962">
        <w:t>”</w:t>
      </w:r>
      <w:r w:rsidR="00FF4962" w:rsidRPr="00722CE9">
        <w:t xml:space="preserve"> </w:t>
      </w:r>
      <w:r w:rsidR="00FF4962">
        <w:t xml:space="preserve">published by SC DHEC, 2023. No hyperlink. </w:t>
      </w:r>
    </w:p>
    <w:p w14:paraId="3DFD26F8" w14:textId="641C8A81" w:rsidR="00FF4962" w:rsidRPr="002B2178" w:rsidRDefault="00544ADD" w:rsidP="00544ADD">
      <w:pPr>
        <w:ind w:left="360"/>
      </w:pPr>
      <w:r>
        <w:t xml:space="preserve">98. </w:t>
      </w:r>
      <w:r w:rsidR="00FF4962" w:rsidRPr="002B2178">
        <w:t>South Carolina Department of Health and Environmental Control Vital Statistics</w:t>
      </w:r>
      <w:r w:rsidR="00FF4962">
        <w:t xml:space="preserve">. </w:t>
      </w:r>
      <w:r w:rsidR="00FF4962" w:rsidRPr="002B2178">
        <w:t>Columbia; South Carolina</w:t>
      </w:r>
      <w:r w:rsidR="00FF4962">
        <w:t>, 2021</w:t>
      </w:r>
      <w:r w:rsidR="00FF4962" w:rsidRPr="002B2178">
        <w:t xml:space="preserve">. </w:t>
      </w:r>
      <w:r w:rsidR="00FF4962">
        <w:t>No hyperlink.</w:t>
      </w:r>
    </w:p>
    <w:p w14:paraId="2A25242F" w14:textId="444F3FFA" w:rsidR="00FF4962" w:rsidRPr="00FF4962" w:rsidRDefault="00000000" w:rsidP="00544ADD">
      <w:pPr>
        <w:pStyle w:val="ListParagraph"/>
        <w:numPr>
          <w:ilvl w:val="0"/>
          <w:numId w:val="231"/>
        </w:numPr>
      </w:pPr>
      <w:hyperlink r:id="rId118" w:history="1">
        <w:r w:rsidR="00FF4962" w:rsidRPr="00FF4962">
          <w:rPr>
            <w:rStyle w:val="Hyperlink"/>
          </w:rPr>
          <w:t xml:space="preserve">“The Washington Post/Kaiser Family Foundation Survey of Iraq and Afghanistan active duty soldiers and Veterans” by </w:t>
        </w:r>
        <w:proofErr w:type="spellStart"/>
        <w:r w:rsidR="00FF4962" w:rsidRPr="00FF4962">
          <w:rPr>
            <w:rStyle w:val="Hyperlink"/>
          </w:rPr>
          <w:t>DiJulio</w:t>
        </w:r>
        <w:proofErr w:type="spellEnd"/>
        <w:r w:rsidR="00FF4962" w:rsidRPr="00FF4962">
          <w:rPr>
            <w:rStyle w:val="Hyperlink"/>
          </w:rPr>
          <w:t xml:space="preserve">, B., Brodie, M., </w:t>
        </w:r>
        <w:proofErr w:type="spellStart"/>
        <w:r w:rsidR="00FF4962" w:rsidRPr="00FF4962">
          <w:rPr>
            <w:rStyle w:val="Hyperlink"/>
          </w:rPr>
          <w:t>Jankiewicz</w:t>
        </w:r>
        <w:proofErr w:type="spellEnd"/>
        <w:r w:rsidR="00FF4962" w:rsidRPr="00FF4962">
          <w:rPr>
            <w:rStyle w:val="Hyperlink"/>
          </w:rPr>
          <w:t>, A., &amp; Rousseau, D. Published in JAMA, 2014.</w:t>
        </w:r>
      </w:hyperlink>
      <w:r w:rsidR="00FF4962">
        <w:rPr>
          <w:i/>
          <w:iCs/>
        </w:rPr>
        <w:t xml:space="preserve"> </w:t>
      </w:r>
    </w:p>
    <w:p w14:paraId="6DE9E667" w14:textId="50613D6F" w:rsidR="00FF4962" w:rsidRPr="00FF4962" w:rsidRDefault="00000000" w:rsidP="00544ADD">
      <w:pPr>
        <w:pStyle w:val="ListParagraph"/>
        <w:numPr>
          <w:ilvl w:val="0"/>
          <w:numId w:val="231"/>
        </w:numPr>
      </w:pPr>
      <w:hyperlink r:id="rId119" w:history="1">
        <w:r w:rsidR="00FF4962" w:rsidRPr="00FF4962">
          <w:rPr>
            <w:rStyle w:val="Hyperlink"/>
          </w:rPr>
          <w:t xml:space="preserve">“The health and wellbeing needs of Veterans: A Rapid Review” by Oster, C., Morello, A., </w:t>
        </w:r>
        <w:proofErr w:type="spellStart"/>
        <w:r w:rsidR="00FF4962" w:rsidRPr="00FF4962">
          <w:rPr>
            <w:rStyle w:val="Hyperlink"/>
          </w:rPr>
          <w:t>Venning</w:t>
        </w:r>
        <w:proofErr w:type="spellEnd"/>
        <w:r w:rsidR="00FF4962" w:rsidRPr="00FF4962">
          <w:rPr>
            <w:rStyle w:val="Hyperlink"/>
          </w:rPr>
          <w:t>, A., Redpath, P., &amp; Lawn, S. Published in BMC Psychiatry, 2017.</w:t>
        </w:r>
      </w:hyperlink>
      <w:r w:rsidR="00FF4962" w:rsidRPr="00FF4962">
        <w:t xml:space="preserve"> </w:t>
      </w:r>
    </w:p>
    <w:p w14:paraId="4138FAA0" w14:textId="177EF787" w:rsidR="00FF4962" w:rsidRPr="00FF4962" w:rsidRDefault="00000000" w:rsidP="00544ADD">
      <w:pPr>
        <w:pStyle w:val="ListParagraph"/>
        <w:numPr>
          <w:ilvl w:val="0"/>
          <w:numId w:val="231"/>
        </w:numPr>
      </w:pPr>
      <w:hyperlink r:id="rId120" w:history="1">
        <w:r w:rsidR="00FF4962" w:rsidRPr="00FF4962">
          <w:rPr>
            <w:rStyle w:val="Hyperlink"/>
          </w:rPr>
          <w:t>“Association of problematic anger with long-term adjustment following the military-to-civilian transition” by Adler, A. B., et. al. Published by JAMA Network Open, 2022.</w:t>
        </w:r>
      </w:hyperlink>
      <w:r w:rsidR="00FF4962" w:rsidRPr="00FF4962">
        <w:t xml:space="preserve"> </w:t>
      </w:r>
    </w:p>
    <w:p w14:paraId="41F393AF" w14:textId="119319E8" w:rsidR="00FF4962" w:rsidRPr="00FF4962" w:rsidRDefault="00000000" w:rsidP="00544ADD">
      <w:pPr>
        <w:pStyle w:val="ListParagraph"/>
        <w:numPr>
          <w:ilvl w:val="0"/>
          <w:numId w:val="231"/>
        </w:numPr>
      </w:pPr>
      <w:hyperlink r:id="rId121" w:history="1">
        <w:r w:rsidR="00FF4962" w:rsidRPr="00FF4962">
          <w:rPr>
            <w:rStyle w:val="Hyperlink"/>
          </w:rPr>
          <w:t>“The Millennium Cohort Study: The first 20 years of research dedicated to understanding the long-term health of US service members and Veterans” by Belding, J. N. et. al. Published in Annals of Epidemiology, 2022.</w:t>
        </w:r>
      </w:hyperlink>
      <w:r w:rsidR="00FF4962">
        <w:t xml:space="preserve"> </w:t>
      </w:r>
    </w:p>
    <w:p w14:paraId="387565F5" w14:textId="5084C755" w:rsidR="00FF4962" w:rsidRPr="00FF4962" w:rsidRDefault="00FF4962" w:rsidP="00544ADD">
      <w:pPr>
        <w:pStyle w:val="ListParagraph"/>
        <w:numPr>
          <w:ilvl w:val="0"/>
          <w:numId w:val="231"/>
        </w:numPr>
      </w:pPr>
      <w:r>
        <w:t>“</w:t>
      </w:r>
      <w:r w:rsidRPr="00FF4962">
        <w:t>Dr. John Franklin: Health Disparities Among Veter</w:t>
      </w:r>
      <w:r>
        <w:t>a</w:t>
      </w:r>
      <w:r w:rsidRPr="00FF4962">
        <w:t>ns</w:t>
      </w:r>
      <w:r>
        <w:t xml:space="preserve">,” </w:t>
      </w:r>
      <w:r w:rsidRPr="00FF4962">
        <w:t>Personal Communication collected by the Ralph H. Johnson Department of Veterans Affairs Medical Center. Charleston; South Carolina</w:t>
      </w:r>
      <w:r>
        <w:t>, 2022</w:t>
      </w:r>
      <w:r w:rsidRPr="00FF4962">
        <w:t>.</w:t>
      </w:r>
      <w:r>
        <w:t xml:space="preserve"> No hyperlink.</w:t>
      </w:r>
    </w:p>
    <w:p w14:paraId="0AD5497D" w14:textId="5FDA71B9" w:rsidR="00FF4962" w:rsidRPr="00FF4962" w:rsidRDefault="00000000" w:rsidP="00544ADD">
      <w:pPr>
        <w:pStyle w:val="ListParagraph"/>
        <w:numPr>
          <w:ilvl w:val="0"/>
          <w:numId w:val="231"/>
        </w:numPr>
      </w:pPr>
      <w:hyperlink r:id="rId122" w:history="1">
        <w:r w:rsidR="00FF4962" w:rsidRPr="00FF4962">
          <w:rPr>
            <w:rStyle w:val="Hyperlink"/>
          </w:rPr>
          <w:t>“National Center for Veterans Analysis and Statistics” by Veterans Affairs, 2010.</w:t>
        </w:r>
      </w:hyperlink>
      <w:r w:rsidR="00FF4962" w:rsidRPr="00FF4962">
        <w:t xml:space="preserve"> </w:t>
      </w:r>
    </w:p>
    <w:p w14:paraId="3370FFF3" w14:textId="3BCE4E4E" w:rsidR="00FF4962" w:rsidRPr="00FF4962" w:rsidRDefault="00000000" w:rsidP="00544ADD">
      <w:pPr>
        <w:pStyle w:val="ListParagraph"/>
        <w:numPr>
          <w:ilvl w:val="0"/>
          <w:numId w:val="231"/>
        </w:numPr>
      </w:pPr>
      <w:hyperlink r:id="rId123" w:history="1">
        <w:r w:rsidR="00FF4962" w:rsidRPr="00FF4962">
          <w:rPr>
            <w:rStyle w:val="Hyperlink"/>
          </w:rPr>
          <w:t>“Sex By Age By Veteran Status For The Civilian Population 18 Years and Over” by the U.S. Census Bureau. Published in the American Community Survey 5-Year Data Estimates Subject Tables 2016-2020, South Carolina, 2020.</w:t>
        </w:r>
      </w:hyperlink>
      <w:r w:rsidR="00FF4962">
        <w:t xml:space="preserve"> </w:t>
      </w:r>
    </w:p>
    <w:p w14:paraId="1117E852" w14:textId="2A945473" w:rsidR="00FF4962" w:rsidRPr="00FF4962" w:rsidRDefault="00FF4962" w:rsidP="00544ADD">
      <w:pPr>
        <w:pStyle w:val="ListParagraph"/>
        <w:numPr>
          <w:ilvl w:val="0"/>
          <w:numId w:val="231"/>
        </w:numPr>
      </w:pPr>
      <w:r w:rsidRPr="00FF4962">
        <w:t>“Military and Nonmilitary Suicides in South Carolina, 2016-2020” by SC DHEC Violent Death Reporting System. Columbia; South Carolina, 2023.</w:t>
      </w:r>
      <w:r>
        <w:t xml:space="preserve"> No hyperlink. </w:t>
      </w:r>
    </w:p>
    <w:p w14:paraId="34B2CC4B" w14:textId="601A4731" w:rsidR="00FF4962" w:rsidRPr="00FF4962" w:rsidRDefault="00000000" w:rsidP="00544ADD">
      <w:pPr>
        <w:pStyle w:val="ListParagraph"/>
        <w:numPr>
          <w:ilvl w:val="0"/>
          <w:numId w:val="231"/>
        </w:numPr>
      </w:pPr>
      <w:hyperlink r:id="rId124" w:history="1">
        <w:r w:rsidR="00FF4962" w:rsidRPr="00FF4962">
          <w:rPr>
            <w:rStyle w:val="Hyperlink"/>
          </w:rPr>
          <w:t>“Age By Veteran Status By Poverty Status In The Past 12 Months By Disability Status For The Civilian Population 18 Years And Over</w:t>
        </w:r>
        <w:r w:rsidR="00FF4962" w:rsidRPr="00FF4962">
          <w:rPr>
            <w:rStyle w:val="Hyperlink"/>
            <w:i/>
            <w:iCs/>
          </w:rPr>
          <w:t>”</w:t>
        </w:r>
      </w:hyperlink>
      <w:r w:rsidR="00FF4962">
        <w:rPr>
          <w:i/>
          <w:iCs/>
        </w:rPr>
        <w:t xml:space="preserve"> </w:t>
      </w:r>
      <w:r w:rsidR="00FF4962">
        <w:t xml:space="preserve">by </w:t>
      </w:r>
      <w:r w:rsidR="00ED3390">
        <w:t>the</w:t>
      </w:r>
      <w:r w:rsidR="00FF4962">
        <w:t xml:space="preserve"> </w:t>
      </w:r>
      <w:r w:rsidR="00FF4962" w:rsidRPr="00FF4962">
        <w:t>U.S. Census Bureau</w:t>
      </w:r>
      <w:r w:rsidR="00FF4962">
        <w:t>. Published in “</w:t>
      </w:r>
      <w:r w:rsidR="00FF4962" w:rsidRPr="00FF4962">
        <w:t>American Community Survey 5-Year Data Estimates Subject Tables 2016-2020, South Carolina</w:t>
      </w:r>
      <w:r w:rsidR="00FF4962">
        <w:t xml:space="preserve">”, 2020. </w:t>
      </w:r>
    </w:p>
    <w:p w14:paraId="5E4CA906" w14:textId="5DC43AA4" w:rsidR="00FF4962" w:rsidRDefault="00000000" w:rsidP="00544ADD">
      <w:pPr>
        <w:pStyle w:val="ListParagraph"/>
        <w:numPr>
          <w:ilvl w:val="0"/>
          <w:numId w:val="231"/>
        </w:numPr>
      </w:pPr>
      <w:hyperlink r:id="rId125" w:history="1">
        <w:r w:rsidR="00FF4962" w:rsidRPr="00FF4962">
          <w:rPr>
            <w:rStyle w:val="Hyperlink"/>
          </w:rPr>
          <w:t>“PACT Act” by the U.S. Department of Veterans Affairs, 2022.</w:t>
        </w:r>
      </w:hyperlink>
      <w:r w:rsidR="00FF4962">
        <w:t xml:space="preserve"> </w:t>
      </w:r>
    </w:p>
    <w:p w14:paraId="3A557A49" w14:textId="77777777" w:rsidR="00722CE9" w:rsidRDefault="00722CE9" w:rsidP="00722CE9"/>
    <w:p w14:paraId="1D3B88F2" w14:textId="77777777" w:rsidR="00722CE9" w:rsidRDefault="00722CE9" w:rsidP="00EA168E">
      <w:pPr>
        <w:pStyle w:val="Heading5"/>
      </w:pPr>
      <w:r>
        <w:t>Key Takeaways:</w:t>
      </w:r>
    </w:p>
    <w:p w14:paraId="0E7AF190" w14:textId="2F20351D" w:rsidR="00722CE9" w:rsidRDefault="00722CE9" w:rsidP="00926EB3">
      <w:pPr>
        <w:pStyle w:val="ListParagraph"/>
        <w:numPr>
          <w:ilvl w:val="0"/>
          <w:numId w:val="21"/>
        </w:numPr>
      </w:pPr>
      <w:r w:rsidRPr="00722CE9">
        <w:t>Successful transitioning to civilian life is more likely with support from Veteran service organizations (Veterans assisting other Veterans) and can mitigate the harmful sequalae of anger, poor mental health, substance misuse, homelessness, and death by suicide.</w:t>
      </w:r>
    </w:p>
    <w:p w14:paraId="1190CE63" w14:textId="77777777" w:rsidR="001E2F9C" w:rsidRDefault="001E2F9C" w:rsidP="00722CE9">
      <w:pPr>
        <w:pStyle w:val="Heading3"/>
      </w:pPr>
    </w:p>
    <w:p w14:paraId="7CD40F9D" w14:textId="18B9236D" w:rsidR="00722CE9" w:rsidRPr="00722CE9" w:rsidRDefault="00722CE9" w:rsidP="00722CE9">
      <w:pPr>
        <w:pStyle w:val="Heading3"/>
      </w:pPr>
      <w:bookmarkStart w:id="203" w:name="_Toc162267122"/>
      <w:r w:rsidRPr="00722CE9">
        <w:t>LGBTQIA+ Communities</w:t>
      </w:r>
      <w:bookmarkEnd w:id="203"/>
    </w:p>
    <w:p w14:paraId="42088566" w14:textId="46173683" w:rsidR="00722CE9" w:rsidRPr="00722CE9" w:rsidRDefault="00722CE9" w:rsidP="00722CE9">
      <w:r w:rsidRPr="00722CE9">
        <w:t>As of 2021, LGBTQIA+ (lesbian, gay, bisexual, transgender, questioning or queer and other non-heterosexual) individuals are estimated to account for 7.1% of the US population, essentially doubling from 2012. National surveys found LGBTQIA+ people face discrimination in their personal and family lives, workplace, public community, and in their access to health care. Discrimination and victimization can lead to higher negative health outcomes, including substance misuse, sexually transmitted illness (STI), cancers, heart disease, mental illness, and death by suicide. Discrimination in the delivery of health care at clinics and hospitals can lead to poor therapeutic alliance, lack of appropriate illness-related education, inadequate scheduled screening for communicable diseases, and inadequate interventions. Higher levels of discrimination are reported among younger LGBTQIA+ people, transgender people, people of color, and people with disabilities. Adverse childhood experiences (ACEs), such as childhood abuse, neglect, and family dysfunction, are positively correlated with substance misuse, depression, and attempts of suicide among LGBTQIA+ people. Accurate reporting of morbidity and mortality is complicated by deficiencies in data collection that misclassify LGBTQIA+ status, creating information gaps. Also, despite gender identity and sexual orientation being separate categories, surveys routinely treat both as the same category, thus leading to inaccurate data and increased bias in research.</w:t>
      </w:r>
    </w:p>
    <w:p w14:paraId="2BDF6F9C" w14:textId="77777777" w:rsidR="00722CE9" w:rsidRDefault="00722CE9" w:rsidP="00722CE9"/>
    <w:p w14:paraId="3D0C0835" w14:textId="1E853201" w:rsidR="00722CE9" w:rsidRDefault="00F678C8" w:rsidP="00722CE9">
      <w:pPr>
        <w:rPr>
          <w:b/>
          <w:bCs/>
        </w:rPr>
      </w:pPr>
      <w:r w:rsidRPr="00F678C8">
        <w:t>Between 2018-2020</w:t>
      </w:r>
      <w:r w:rsidR="00722CE9" w:rsidRPr="00722CE9">
        <w:t xml:space="preserve">, 4.2% of the SC population </w:t>
      </w:r>
      <w:r>
        <w:t>was</w:t>
      </w:r>
      <w:r w:rsidR="00722CE9" w:rsidRPr="00722CE9">
        <w:t xml:space="preserve"> estimated to be LGBTQIA+, referred to as “sexual minority” in the figures. Higher proportions are in younger </w:t>
      </w:r>
      <w:r w:rsidR="00722CE9" w:rsidRPr="00722CE9">
        <w:lastRenderedPageBreak/>
        <w:t>age groups: 12.0% of people aged 18-24 years, and 6.3% of people aged 25-34 years, are LGBTQIA+. Risk factors such as mental wellbeing, ACEs, and lack of access to care are higher among LGBTQIA+, compared to heterosexual individuals (</w:t>
      </w:r>
      <w:r w:rsidR="00722CE9" w:rsidRPr="00722CE9">
        <w:rPr>
          <w:b/>
          <w:bCs/>
        </w:rPr>
        <w:t xml:space="preserve">Figures 5.34 </w:t>
      </w:r>
      <w:r w:rsidR="00722CE9" w:rsidRPr="00722CE9">
        <w:t>and</w:t>
      </w:r>
      <w:r w:rsidR="00722CE9" w:rsidRPr="00722CE9">
        <w:rPr>
          <w:b/>
          <w:bCs/>
        </w:rPr>
        <w:t xml:space="preserve"> 5.35</w:t>
      </w:r>
      <w:r w:rsidR="00722CE9" w:rsidRPr="00722CE9">
        <w:t>). Consistent with national findings, LGBTQIA+ people in SC have a higher HIV risk (24.3%) compared to heterosexuals (5.2%), and larger percentages are current smokers, binge drinkers, and substance users (</w:t>
      </w:r>
      <w:r w:rsidR="00722CE9" w:rsidRPr="00722CE9">
        <w:rPr>
          <w:b/>
          <w:bCs/>
        </w:rPr>
        <w:t>Figure 5.36</w:t>
      </w:r>
      <w:r w:rsidR="00722CE9" w:rsidRPr="00722CE9">
        <w:t xml:space="preserve">). Between 2013-2020, 59 violent deaths among LGBTQIA+ residents in SC were reported, with 47 (79.7%) being suicide. Among deaths by suicides, more LGBTQIA+ than heterosexual individuals were female, had a diagnosed mental health problem, depressed mood, non-alcohol substance misuse, history of treatment for mental health and substance misuse, and either had a known intimate partner problem, an </w:t>
      </w:r>
      <w:proofErr w:type="gramStart"/>
      <w:r w:rsidR="00722CE9" w:rsidRPr="00722CE9">
        <w:t>argument</w:t>
      </w:r>
      <w:proofErr w:type="gramEnd"/>
      <w:r w:rsidR="00722CE9" w:rsidRPr="00722CE9">
        <w:t xml:space="preserve"> or a life crisis as a precipitating circumstance (data not shown).</w:t>
      </w:r>
    </w:p>
    <w:p w14:paraId="4E5445D3" w14:textId="77777777" w:rsidR="00722CE9" w:rsidRDefault="00722CE9" w:rsidP="00722CE9">
      <w:pPr>
        <w:rPr>
          <w:b/>
          <w:bCs/>
        </w:rPr>
      </w:pPr>
    </w:p>
    <w:p w14:paraId="7FB62417" w14:textId="77777777" w:rsidR="001E2F9C" w:rsidRPr="00864C09" w:rsidRDefault="001E2F9C" w:rsidP="001E2F9C">
      <w:pPr>
        <w:pStyle w:val="Heading4"/>
      </w:pPr>
      <w:bookmarkStart w:id="204" w:name="_Toc154569807"/>
      <w:bookmarkStart w:id="205" w:name="_Toc162267123"/>
      <w:r>
        <w:t xml:space="preserve">Figure 5.34: </w:t>
      </w:r>
      <w:r w:rsidRPr="00864C09">
        <w:t>Mental Wellbeing, by Sexual Minority Status</w:t>
      </w:r>
      <w:r>
        <w:t>.</w:t>
      </w:r>
      <w:bookmarkEnd w:id="204"/>
      <w:bookmarkEnd w:id="205"/>
    </w:p>
    <w:tbl>
      <w:tblPr>
        <w:tblStyle w:val="TableGrid"/>
        <w:tblW w:w="0" w:type="auto"/>
        <w:tblLook w:val="04A0" w:firstRow="1" w:lastRow="0" w:firstColumn="1" w:lastColumn="0" w:noHBand="0" w:noVBand="1"/>
      </w:tblPr>
      <w:tblGrid>
        <w:gridCol w:w="3116"/>
        <w:gridCol w:w="3117"/>
        <w:gridCol w:w="3117"/>
      </w:tblGrid>
      <w:tr w:rsidR="001E2F9C" w14:paraId="2F166C71" w14:textId="77777777" w:rsidTr="001515D5">
        <w:tc>
          <w:tcPr>
            <w:tcW w:w="3116" w:type="dxa"/>
            <w:vAlign w:val="bottom"/>
          </w:tcPr>
          <w:p w14:paraId="09937FF8" w14:textId="77777777" w:rsidR="001E2F9C" w:rsidRPr="006C2B61" w:rsidRDefault="001E2F9C" w:rsidP="001515D5">
            <w:r w:rsidRPr="006C2B61">
              <w:t>Sexuality</w:t>
            </w:r>
          </w:p>
        </w:tc>
        <w:tc>
          <w:tcPr>
            <w:tcW w:w="3117" w:type="dxa"/>
            <w:vAlign w:val="bottom"/>
          </w:tcPr>
          <w:p w14:paraId="7AA0F913" w14:textId="77777777" w:rsidR="001E2F9C" w:rsidRPr="006C2B61" w:rsidRDefault="001E2F9C" w:rsidP="001515D5">
            <w:r w:rsidRPr="006C2B61">
              <w:t>Condition</w:t>
            </w:r>
          </w:p>
        </w:tc>
        <w:tc>
          <w:tcPr>
            <w:tcW w:w="3117" w:type="dxa"/>
            <w:vAlign w:val="bottom"/>
          </w:tcPr>
          <w:p w14:paraId="0C803FA6" w14:textId="72D83931" w:rsidR="001E2F9C" w:rsidRPr="006C2B61" w:rsidRDefault="002748B7" w:rsidP="001515D5">
            <w:r>
              <w:t>Percent</w:t>
            </w:r>
          </w:p>
        </w:tc>
      </w:tr>
      <w:tr w:rsidR="001E2F9C" w14:paraId="05C1A710" w14:textId="77777777" w:rsidTr="001515D5">
        <w:tc>
          <w:tcPr>
            <w:tcW w:w="3116" w:type="dxa"/>
            <w:vAlign w:val="bottom"/>
          </w:tcPr>
          <w:p w14:paraId="0A4AFA2E" w14:textId="77777777" w:rsidR="001E2F9C" w:rsidRPr="006C2B61" w:rsidRDefault="001E2F9C" w:rsidP="001515D5">
            <w:r w:rsidRPr="006C2B61">
              <w:t>Sexual Minority</w:t>
            </w:r>
          </w:p>
        </w:tc>
        <w:tc>
          <w:tcPr>
            <w:tcW w:w="3117" w:type="dxa"/>
            <w:vAlign w:val="bottom"/>
          </w:tcPr>
          <w:p w14:paraId="796C62FE" w14:textId="77777777" w:rsidR="001E2F9C" w:rsidRPr="006C2B61" w:rsidRDefault="001E2F9C" w:rsidP="001515D5">
            <w:r w:rsidRPr="006C2B61">
              <w:t>Depression</w:t>
            </w:r>
          </w:p>
        </w:tc>
        <w:tc>
          <w:tcPr>
            <w:tcW w:w="3117" w:type="dxa"/>
            <w:vAlign w:val="bottom"/>
          </w:tcPr>
          <w:p w14:paraId="4E1E9186" w14:textId="77777777" w:rsidR="001E2F9C" w:rsidRPr="006C2B61" w:rsidRDefault="001E2F9C" w:rsidP="001515D5">
            <w:r w:rsidRPr="006C2B61">
              <w:t>42.60%</w:t>
            </w:r>
          </w:p>
        </w:tc>
      </w:tr>
      <w:tr w:rsidR="001E2F9C" w14:paraId="60DB37F9" w14:textId="77777777" w:rsidTr="001515D5">
        <w:tc>
          <w:tcPr>
            <w:tcW w:w="3116" w:type="dxa"/>
            <w:vAlign w:val="bottom"/>
          </w:tcPr>
          <w:p w14:paraId="7132BB12" w14:textId="77777777" w:rsidR="001E2F9C" w:rsidRPr="006C2B61" w:rsidRDefault="001E2F9C" w:rsidP="001515D5">
            <w:r w:rsidRPr="006C2B61">
              <w:t>Heterosexual</w:t>
            </w:r>
          </w:p>
        </w:tc>
        <w:tc>
          <w:tcPr>
            <w:tcW w:w="3117" w:type="dxa"/>
            <w:vAlign w:val="bottom"/>
          </w:tcPr>
          <w:p w14:paraId="423F8C76" w14:textId="77777777" w:rsidR="001E2F9C" w:rsidRPr="006C2B61" w:rsidRDefault="001E2F9C" w:rsidP="001515D5">
            <w:r w:rsidRPr="006C2B61">
              <w:t>Depression</w:t>
            </w:r>
          </w:p>
        </w:tc>
        <w:tc>
          <w:tcPr>
            <w:tcW w:w="3117" w:type="dxa"/>
            <w:vAlign w:val="bottom"/>
          </w:tcPr>
          <w:p w14:paraId="1AFC6C80" w14:textId="77777777" w:rsidR="001E2F9C" w:rsidRPr="006C2B61" w:rsidRDefault="001E2F9C" w:rsidP="001515D5">
            <w:r w:rsidRPr="006C2B61">
              <w:t>19.40%</w:t>
            </w:r>
          </w:p>
        </w:tc>
      </w:tr>
      <w:tr w:rsidR="001E2F9C" w14:paraId="048B4AD8" w14:textId="77777777" w:rsidTr="001515D5">
        <w:tc>
          <w:tcPr>
            <w:tcW w:w="3116" w:type="dxa"/>
            <w:vAlign w:val="bottom"/>
          </w:tcPr>
          <w:p w14:paraId="54FF449D" w14:textId="77777777" w:rsidR="001E2F9C" w:rsidRPr="006C2B61" w:rsidRDefault="001E2F9C" w:rsidP="001515D5">
            <w:r w:rsidRPr="006C2B61">
              <w:t>Sexual Minority</w:t>
            </w:r>
          </w:p>
        </w:tc>
        <w:tc>
          <w:tcPr>
            <w:tcW w:w="3117" w:type="dxa"/>
            <w:vAlign w:val="bottom"/>
          </w:tcPr>
          <w:p w14:paraId="5FF83039" w14:textId="77777777" w:rsidR="001E2F9C" w:rsidRPr="006C2B61" w:rsidRDefault="001E2F9C" w:rsidP="001515D5">
            <w:r w:rsidRPr="006C2B61">
              <w:t>Poor Mental Health</w:t>
            </w:r>
          </w:p>
        </w:tc>
        <w:tc>
          <w:tcPr>
            <w:tcW w:w="3117" w:type="dxa"/>
            <w:vAlign w:val="bottom"/>
          </w:tcPr>
          <w:p w14:paraId="4F5ED7D8" w14:textId="77777777" w:rsidR="001E2F9C" w:rsidRPr="006C2B61" w:rsidRDefault="001E2F9C" w:rsidP="001515D5">
            <w:r w:rsidRPr="006C2B61">
              <w:t>33.70%</w:t>
            </w:r>
          </w:p>
        </w:tc>
      </w:tr>
      <w:tr w:rsidR="001E2F9C" w14:paraId="70F90A7F" w14:textId="77777777" w:rsidTr="001515D5">
        <w:tc>
          <w:tcPr>
            <w:tcW w:w="3116" w:type="dxa"/>
            <w:vAlign w:val="bottom"/>
          </w:tcPr>
          <w:p w14:paraId="6EC2FDFB" w14:textId="77777777" w:rsidR="001E2F9C" w:rsidRPr="006C2B61" w:rsidRDefault="001E2F9C" w:rsidP="001515D5">
            <w:r w:rsidRPr="006C2B61">
              <w:t>Heterosexual</w:t>
            </w:r>
          </w:p>
        </w:tc>
        <w:tc>
          <w:tcPr>
            <w:tcW w:w="3117" w:type="dxa"/>
            <w:vAlign w:val="bottom"/>
          </w:tcPr>
          <w:p w14:paraId="49968B42" w14:textId="77777777" w:rsidR="001E2F9C" w:rsidRPr="006C2B61" w:rsidRDefault="001E2F9C" w:rsidP="001515D5">
            <w:r w:rsidRPr="006C2B61">
              <w:t>Poor Mental Health</w:t>
            </w:r>
          </w:p>
        </w:tc>
        <w:tc>
          <w:tcPr>
            <w:tcW w:w="3117" w:type="dxa"/>
            <w:vAlign w:val="bottom"/>
          </w:tcPr>
          <w:p w14:paraId="2F692D3B" w14:textId="77777777" w:rsidR="001E2F9C" w:rsidRPr="006C2B61" w:rsidRDefault="001E2F9C" w:rsidP="001515D5">
            <w:r w:rsidRPr="006C2B61">
              <w:t>13.50%</w:t>
            </w:r>
          </w:p>
        </w:tc>
      </w:tr>
    </w:tbl>
    <w:p w14:paraId="33F86E83" w14:textId="77777777" w:rsidR="00F678C8" w:rsidRDefault="00F678C8" w:rsidP="00F678C8">
      <w:bookmarkStart w:id="206" w:name="_Toc154569808"/>
      <w:r w:rsidRPr="00F678C8">
        <w:t xml:space="preserve">Source: SC BRFSS, 2018-2020. </w:t>
      </w:r>
    </w:p>
    <w:p w14:paraId="4D87B4FD" w14:textId="15E60271" w:rsidR="00F678C8" w:rsidRPr="00F678C8" w:rsidRDefault="00F678C8" w:rsidP="00F678C8">
      <w:r w:rsidRPr="00F678C8">
        <w:t>Note: 3 year estimates. Depression is "Ever told by a doctor, nurse, or other health professional that you had a depressive disorder (including depression, major depression, dysthymia, or minor depression)?" Poor mental health is 14 or more days in the past 30 days when mental health was not good.</w:t>
      </w:r>
    </w:p>
    <w:p w14:paraId="6DB835C8" w14:textId="77777777" w:rsidR="001E2F9C" w:rsidRDefault="001E2F9C" w:rsidP="001E2F9C">
      <w:pPr>
        <w:pStyle w:val="Heading4"/>
      </w:pPr>
    </w:p>
    <w:p w14:paraId="64AAEF72" w14:textId="01CB4239" w:rsidR="001E2F9C" w:rsidRPr="00864C09" w:rsidRDefault="001E2F9C" w:rsidP="001E2F9C">
      <w:pPr>
        <w:pStyle w:val="Heading4"/>
      </w:pPr>
      <w:bookmarkStart w:id="207" w:name="_Toc162267124"/>
      <w:r>
        <w:t>Figure 5.35: Access to Care</w:t>
      </w:r>
      <w:r w:rsidRPr="00864C09">
        <w:t>, by Sexual Minority Status</w:t>
      </w:r>
      <w:r>
        <w:t>.</w:t>
      </w:r>
      <w:bookmarkEnd w:id="206"/>
      <w:bookmarkEnd w:id="207"/>
    </w:p>
    <w:tbl>
      <w:tblPr>
        <w:tblStyle w:val="TableGrid"/>
        <w:tblW w:w="0" w:type="auto"/>
        <w:tblLook w:val="04A0" w:firstRow="1" w:lastRow="0" w:firstColumn="1" w:lastColumn="0" w:noHBand="0" w:noVBand="1"/>
      </w:tblPr>
      <w:tblGrid>
        <w:gridCol w:w="3116"/>
        <w:gridCol w:w="3117"/>
        <w:gridCol w:w="3117"/>
      </w:tblGrid>
      <w:tr w:rsidR="002748B7" w14:paraId="7B1EE8E5" w14:textId="77777777" w:rsidTr="001515D5">
        <w:tc>
          <w:tcPr>
            <w:tcW w:w="3116" w:type="dxa"/>
            <w:vAlign w:val="bottom"/>
          </w:tcPr>
          <w:p w14:paraId="0CB0CBD9" w14:textId="77777777" w:rsidR="002748B7" w:rsidRPr="006C2B61" w:rsidRDefault="002748B7" w:rsidP="002748B7">
            <w:r w:rsidRPr="006C2B61">
              <w:t>Care</w:t>
            </w:r>
          </w:p>
        </w:tc>
        <w:tc>
          <w:tcPr>
            <w:tcW w:w="3117" w:type="dxa"/>
            <w:vAlign w:val="bottom"/>
          </w:tcPr>
          <w:p w14:paraId="7588F8BA" w14:textId="77777777" w:rsidR="002748B7" w:rsidRPr="006C2B61" w:rsidRDefault="002748B7" w:rsidP="002748B7">
            <w:r w:rsidRPr="006C2B61">
              <w:t>Sexuality</w:t>
            </w:r>
          </w:p>
        </w:tc>
        <w:tc>
          <w:tcPr>
            <w:tcW w:w="3117" w:type="dxa"/>
            <w:vAlign w:val="bottom"/>
          </w:tcPr>
          <w:p w14:paraId="22BB00EA" w14:textId="63F032F3" w:rsidR="002748B7" w:rsidRPr="006C2B61" w:rsidRDefault="002748B7" w:rsidP="002748B7">
            <w:r>
              <w:t>Percent</w:t>
            </w:r>
          </w:p>
        </w:tc>
      </w:tr>
      <w:tr w:rsidR="002748B7" w14:paraId="085C5923" w14:textId="77777777" w:rsidTr="001515D5">
        <w:tc>
          <w:tcPr>
            <w:tcW w:w="3116" w:type="dxa"/>
            <w:vAlign w:val="bottom"/>
          </w:tcPr>
          <w:p w14:paraId="6BD99BDD" w14:textId="037B6C62" w:rsidR="002748B7" w:rsidRPr="006C2B61" w:rsidRDefault="002748B7" w:rsidP="002748B7">
            <w:r w:rsidRPr="006C2B61">
              <w:t>Have Health</w:t>
            </w:r>
            <w:r>
              <w:t>c</w:t>
            </w:r>
            <w:r w:rsidRPr="006C2B61">
              <w:t>are Coverage</w:t>
            </w:r>
          </w:p>
        </w:tc>
        <w:tc>
          <w:tcPr>
            <w:tcW w:w="3117" w:type="dxa"/>
            <w:vAlign w:val="bottom"/>
          </w:tcPr>
          <w:p w14:paraId="163D6519" w14:textId="77777777" w:rsidR="002748B7" w:rsidRPr="006C2B61" w:rsidRDefault="002748B7" w:rsidP="002748B7">
            <w:r w:rsidRPr="006C2B61">
              <w:t>Sexual Minority</w:t>
            </w:r>
          </w:p>
        </w:tc>
        <w:tc>
          <w:tcPr>
            <w:tcW w:w="3117" w:type="dxa"/>
            <w:vAlign w:val="bottom"/>
          </w:tcPr>
          <w:p w14:paraId="4C5C34A4" w14:textId="77777777" w:rsidR="002748B7" w:rsidRPr="006C2B61" w:rsidRDefault="002748B7" w:rsidP="002748B7">
            <w:r w:rsidRPr="006C2B61">
              <w:t>76.40%</w:t>
            </w:r>
          </w:p>
        </w:tc>
      </w:tr>
      <w:tr w:rsidR="002748B7" w14:paraId="2E0B7B10" w14:textId="77777777" w:rsidTr="001515D5">
        <w:tc>
          <w:tcPr>
            <w:tcW w:w="3116" w:type="dxa"/>
            <w:vAlign w:val="bottom"/>
          </w:tcPr>
          <w:p w14:paraId="59D45A39" w14:textId="7021095A" w:rsidR="002748B7" w:rsidRPr="006C2B61" w:rsidRDefault="002748B7" w:rsidP="002748B7">
            <w:r w:rsidRPr="006C2B61">
              <w:t>Have Health</w:t>
            </w:r>
            <w:r>
              <w:t>c</w:t>
            </w:r>
            <w:r w:rsidRPr="006C2B61">
              <w:t>are Coverage</w:t>
            </w:r>
          </w:p>
        </w:tc>
        <w:tc>
          <w:tcPr>
            <w:tcW w:w="3117" w:type="dxa"/>
            <w:vAlign w:val="bottom"/>
          </w:tcPr>
          <w:p w14:paraId="429613A0" w14:textId="77777777" w:rsidR="002748B7" w:rsidRPr="006C2B61" w:rsidRDefault="002748B7" w:rsidP="002748B7">
            <w:r w:rsidRPr="006C2B61">
              <w:t>Heterosexual</w:t>
            </w:r>
          </w:p>
        </w:tc>
        <w:tc>
          <w:tcPr>
            <w:tcW w:w="3117" w:type="dxa"/>
            <w:vAlign w:val="bottom"/>
          </w:tcPr>
          <w:p w14:paraId="127BAF94" w14:textId="77777777" w:rsidR="002748B7" w:rsidRPr="006C2B61" w:rsidRDefault="002748B7" w:rsidP="002748B7">
            <w:r w:rsidRPr="006C2B61">
              <w:t>86.80%</w:t>
            </w:r>
          </w:p>
        </w:tc>
      </w:tr>
      <w:tr w:rsidR="002748B7" w14:paraId="255FB5E5" w14:textId="77777777" w:rsidTr="001515D5">
        <w:tc>
          <w:tcPr>
            <w:tcW w:w="3116" w:type="dxa"/>
            <w:vAlign w:val="bottom"/>
          </w:tcPr>
          <w:p w14:paraId="097CD46E" w14:textId="5BF4DD79" w:rsidR="002748B7" w:rsidRPr="006C2B61" w:rsidRDefault="002748B7" w:rsidP="002748B7">
            <w:r w:rsidRPr="006C2B61">
              <w:t>Have a Personal Doctor/Health</w:t>
            </w:r>
            <w:r>
              <w:t>c</w:t>
            </w:r>
            <w:r w:rsidRPr="006C2B61">
              <w:t>are Provider</w:t>
            </w:r>
          </w:p>
        </w:tc>
        <w:tc>
          <w:tcPr>
            <w:tcW w:w="3117" w:type="dxa"/>
            <w:vAlign w:val="bottom"/>
          </w:tcPr>
          <w:p w14:paraId="14EE3B9B" w14:textId="77777777" w:rsidR="002748B7" w:rsidRPr="006C2B61" w:rsidRDefault="002748B7" w:rsidP="002748B7">
            <w:r w:rsidRPr="006C2B61">
              <w:t>Sexual Minority</w:t>
            </w:r>
          </w:p>
        </w:tc>
        <w:tc>
          <w:tcPr>
            <w:tcW w:w="3117" w:type="dxa"/>
            <w:vAlign w:val="bottom"/>
          </w:tcPr>
          <w:p w14:paraId="12717344" w14:textId="77777777" w:rsidR="002748B7" w:rsidRPr="006C2B61" w:rsidRDefault="002748B7" w:rsidP="002748B7">
            <w:r w:rsidRPr="006C2B61">
              <w:t>64.40%</w:t>
            </w:r>
          </w:p>
        </w:tc>
      </w:tr>
      <w:tr w:rsidR="002748B7" w14:paraId="21E6DF05" w14:textId="77777777" w:rsidTr="001515D5">
        <w:tc>
          <w:tcPr>
            <w:tcW w:w="3116" w:type="dxa"/>
            <w:vAlign w:val="bottom"/>
          </w:tcPr>
          <w:p w14:paraId="63D1E2E3" w14:textId="14CDF79F" w:rsidR="002748B7" w:rsidRPr="006C2B61" w:rsidRDefault="002748B7" w:rsidP="002748B7">
            <w:r w:rsidRPr="006C2B61">
              <w:lastRenderedPageBreak/>
              <w:t>Have a Personal Doctor/Health</w:t>
            </w:r>
            <w:r>
              <w:t>c</w:t>
            </w:r>
            <w:r w:rsidRPr="006C2B61">
              <w:t>are Provider</w:t>
            </w:r>
          </w:p>
        </w:tc>
        <w:tc>
          <w:tcPr>
            <w:tcW w:w="3117" w:type="dxa"/>
            <w:vAlign w:val="bottom"/>
          </w:tcPr>
          <w:p w14:paraId="05FA105C" w14:textId="77777777" w:rsidR="002748B7" w:rsidRPr="006C2B61" w:rsidRDefault="002748B7" w:rsidP="002748B7">
            <w:r w:rsidRPr="006C2B61">
              <w:t>Heterosexual</w:t>
            </w:r>
          </w:p>
        </w:tc>
        <w:tc>
          <w:tcPr>
            <w:tcW w:w="3117" w:type="dxa"/>
            <w:vAlign w:val="bottom"/>
          </w:tcPr>
          <w:p w14:paraId="6552507E" w14:textId="77777777" w:rsidR="002748B7" w:rsidRPr="006C2B61" w:rsidRDefault="002748B7" w:rsidP="002748B7">
            <w:r w:rsidRPr="006C2B61">
              <w:t>78.20%</w:t>
            </w:r>
          </w:p>
        </w:tc>
      </w:tr>
      <w:tr w:rsidR="002748B7" w14:paraId="58869971" w14:textId="77777777" w:rsidTr="001515D5">
        <w:tc>
          <w:tcPr>
            <w:tcW w:w="3116" w:type="dxa"/>
            <w:vAlign w:val="bottom"/>
          </w:tcPr>
          <w:p w14:paraId="31069636" w14:textId="77777777" w:rsidR="002748B7" w:rsidRPr="006C2B61" w:rsidRDefault="002748B7" w:rsidP="002748B7">
            <w:r w:rsidRPr="006C2B61">
              <w:t>Delayed Medical Care due to Cost</w:t>
            </w:r>
          </w:p>
        </w:tc>
        <w:tc>
          <w:tcPr>
            <w:tcW w:w="3117" w:type="dxa"/>
            <w:vAlign w:val="bottom"/>
          </w:tcPr>
          <w:p w14:paraId="64BD75D3" w14:textId="77777777" w:rsidR="002748B7" w:rsidRPr="006C2B61" w:rsidRDefault="002748B7" w:rsidP="002748B7">
            <w:r w:rsidRPr="006C2B61">
              <w:t>Sexual Minority</w:t>
            </w:r>
          </w:p>
        </w:tc>
        <w:tc>
          <w:tcPr>
            <w:tcW w:w="3117" w:type="dxa"/>
            <w:vAlign w:val="bottom"/>
          </w:tcPr>
          <w:p w14:paraId="535E022F" w14:textId="77777777" w:rsidR="002748B7" w:rsidRPr="006C2B61" w:rsidRDefault="002748B7" w:rsidP="002748B7">
            <w:r w:rsidRPr="006C2B61">
              <w:t>26.40%</w:t>
            </w:r>
          </w:p>
        </w:tc>
      </w:tr>
      <w:tr w:rsidR="002748B7" w14:paraId="6E8EC7DF" w14:textId="77777777" w:rsidTr="001515D5">
        <w:tc>
          <w:tcPr>
            <w:tcW w:w="3116" w:type="dxa"/>
            <w:vAlign w:val="bottom"/>
          </w:tcPr>
          <w:p w14:paraId="3EB9721F" w14:textId="77777777" w:rsidR="002748B7" w:rsidRPr="006C2B61" w:rsidRDefault="002748B7" w:rsidP="002748B7">
            <w:r w:rsidRPr="006C2B61">
              <w:t>Delayed Medical Care due to Cost</w:t>
            </w:r>
          </w:p>
        </w:tc>
        <w:tc>
          <w:tcPr>
            <w:tcW w:w="3117" w:type="dxa"/>
            <w:vAlign w:val="bottom"/>
          </w:tcPr>
          <w:p w14:paraId="6B5BE294" w14:textId="77777777" w:rsidR="002748B7" w:rsidRPr="006C2B61" w:rsidRDefault="002748B7" w:rsidP="002748B7">
            <w:r w:rsidRPr="006C2B61">
              <w:t>Heterosexual</w:t>
            </w:r>
          </w:p>
        </w:tc>
        <w:tc>
          <w:tcPr>
            <w:tcW w:w="3117" w:type="dxa"/>
            <w:vAlign w:val="bottom"/>
          </w:tcPr>
          <w:p w14:paraId="3F10475E" w14:textId="77777777" w:rsidR="002748B7" w:rsidRPr="006C2B61" w:rsidRDefault="002748B7" w:rsidP="002748B7">
            <w:r w:rsidRPr="006C2B61">
              <w:t>14.20%</w:t>
            </w:r>
          </w:p>
        </w:tc>
      </w:tr>
    </w:tbl>
    <w:p w14:paraId="7696B756" w14:textId="77777777" w:rsidR="001E2F9C" w:rsidRPr="006C2B61" w:rsidRDefault="001E2F9C" w:rsidP="001E2F9C">
      <w:r w:rsidRPr="006C2B61">
        <w:t xml:space="preserve">Source: SC BRFSS, 2018-2020. </w:t>
      </w:r>
    </w:p>
    <w:p w14:paraId="0F044BB7" w14:textId="77777777" w:rsidR="001E2F9C" w:rsidRDefault="001E2F9C" w:rsidP="001E2F9C">
      <w:r w:rsidRPr="006C2B61">
        <w:t>Note: 3 year estimates.</w:t>
      </w:r>
    </w:p>
    <w:p w14:paraId="0A373735" w14:textId="77777777" w:rsidR="001E2F9C" w:rsidRDefault="001E2F9C" w:rsidP="001E2F9C"/>
    <w:p w14:paraId="32D96D7E" w14:textId="77777777" w:rsidR="001E2F9C" w:rsidRPr="00864C09" w:rsidRDefault="001E2F9C" w:rsidP="001E2F9C">
      <w:pPr>
        <w:pStyle w:val="Heading4"/>
      </w:pPr>
      <w:bookmarkStart w:id="208" w:name="_Toc154569809"/>
      <w:bookmarkStart w:id="209" w:name="_Toc162267125"/>
      <w:r>
        <w:t xml:space="preserve">Figure 5.36: </w:t>
      </w:r>
      <w:r w:rsidRPr="006C2B61">
        <w:t>Smoking, Alcohol, and Substance Use, by Sexual Minority</w:t>
      </w:r>
      <w:r>
        <w:t>.</w:t>
      </w:r>
      <w:bookmarkEnd w:id="208"/>
      <w:bookmarkEnd w:id="209"/>
    </w:p>
    <w:tbl>
      <w:tblPr>
        <w:tblStyle w:val="TableGrid"/>
        <w:tblW w:w="0" w:type="auto"/>
        <w:tblLook w:val="04A0" w:firstRow="1" w:lastRow="0" w:firstColumn="1" w:lastColumn="0" w:noHBand="0" w:noVBand="1"/>
      </w:tblPr>
      <w:tblGrid>
        <w:gridCol w:w="3116"/>
        <w:gridCol w:w="3117"/>
        <w:gridCol w:w="3117"/>
      </w:tblGrid>
      <w:tr w:rsidR="002748B7" w14:paraId="70029D4D" w14:textId="77777777" w:rsidTr="001515D5">
        <w:tc>
          <w:tcPr>
            <w:tcW w:w="3116" w:type="dxa"/>
            <w:vAlign w:val="bottom"/>
          </w:tcPr>
          <w:p w14:paraId="5A4A5596" w14:textId="77777777" w:rsidR="002748B7" w:rsidRPr="006C2B61" w:rsidRDefault="002748B7" w:rsidP="002748B7">
            <w:r w:rsidRPr="006C2B61">
              <w:t>Substance Use</w:t>
            </w:r>
          </w:p>
        </w:tc>
        <w:tc>
          <w:tcPr>
            <w:tcW w:w="3117" w:type="dxa"/>
            <w:vAlign w:val="bottom"/>
          </w:tcPr>
          <w:p w14:paraId="70C23B06" w14:textId="77777777" w:rsidR="002748B7" w:rsidRPr="006C2B61" w:rsidRDefault="002748B7" w:rsidP="002748B7">
            <w:r w:rsidRPr="006C2B61">
              <w:t xml:space="preserve">Sexuality </w:t>
            </w:r>
          </w:p>
        </w:tc>
        <w:tc>
          <w:tcPr>
            <w:tcW w:w="3117" w:type="dxa"/>
            <w:vAlign w:val="bottom"/>
          </w:tcPr>
          <w:p w14:paraId="665F45B8" w14:textId="7973C549" w:rsidR="002748B7" w:rsidRPr="006C2B61" w:rsidRDefault="002748B7" w:rsidP="002748B7">
            <w:r>
              <w:t>Percent</w:t>
            </w:r>
          </w:p>
        </w:tc>
      </w:tr>
      <w:tr w:rsidR="002748B7" w14:paraId="75715948" w14:textId="77777777" w:rsidTr="001515D5">
        <w:tc>
          <w:tcPr>
            <w:tcW w:w="3116" w:type="dxa"/>
            <w:vAlign w:val="bottom"/>
          </w:tcPr>
          <w:p w14:paraId="2F597DAC" w14:textId="77777777" w:rsidR="002748B7" w:rsidRPr="006C2B61" w:rsidRDefault="002748B7" w:rsidP="002748B7">
            <w:r w:rsidRPr="006C2B61">
              <w:t>Current Smoker</w:t>
            </w:r>
          </w:p>
        </w:tc>
        <w:tc>
          <w:tcPr>
            <w:tcW w:w="3117" w:type="dxa"/>
            <w:vAlign w:val="bottom"/>
          </w:tcPr>
          <w:p w14:paraId="1736FC24" w14:textId="77777777" w:rsidR="002748B7" w:rsidRPr="006C2B61" w:rsidRDefault="002748B7" w:rsidP="002748B7">
            <w:r w:rsidRPr="006C2B61">
              <w:t>Sexual Minority</w:t>
            </w:r>
          </w:p>
        </w:tc>
        <w:tc>
          <w:tcPr>
            <w:tcW w:w="3117" w:type="dxa"/>
            <w:vAlign w:val="bottom"/>
          </w:tcPr>
          <w:p w14:paraId="33739D96" w14:textId="77777777" w:rsidR="002748B7" w:rsidRPr="006C2B61" w:rsidRDefault="002748B7" w:rsidP="002748B7">
            <w:r w:rsidRPr="006C2B61">
              <w:t>26.30%</w:t>
            </w:r>
          </w:p>
        </w:tc>
      </w:tr>
      <w:tr w:rsidR="002748B7" w14:paraId="05A1462C" w14:textId="77777777" w:rsidTr="001515D5">
        <w:tc>
          <w:tcPr>
            <w:tcW w:w="3116" w:type="dxa"/>
            <w:vAlign w:val="bottom"/>
          </w:tcPr>
          <w:p w14:paraId="187B1E89" w14:textId="77777777" w:rsidR="002748B7" w:rsidRPr="006C2B61" w:rsidRDefault="002748B7" w:rsidP="002748B7">
            <w:r w:rsidRPr="006C2B61">
              <w:t>Current Smoker</w:t>
            </w:r>
          </w:p>
        </w:tc>
        <w:tc>
          <w:tcPr>
            <w:tcW w:w="3117" w:type="dxa"/>
            <w:vAlign w:val="bottom"/>
          </w:tcPr>
          <w:p w14:paraId="464F3F84" w14:textId="77777777" w:rsidR="002748B7" w:rsidRPr="006C2B61" w:rsidRDefault="002748B7" w:rsidP="002748B7">
            <w:r w:rsidRPr="006C2B61">
              <w:t>Heterosexual</w:t>
            </w:r>
          </w:p>
        </w:tc>
        <w:tc>
          <w:tcPr>
            <w:tcW w:w="3117" w:type="dxa"/>
            <w:vAlign w:val="bottom"/>
          </w:tcPr>
          <w:p w14:paraId="69448B4F" w14:textId="77777777" w:rsidR="002748B7" w:rsidRPr="006C2B61" w:rsidRDefault="002748B7" w:rsidP="002748B7">
            <w:r w:rsidRPr="006C2B61">
              <w:t>17.80%</w:t>
            </w:r>
          </w:p>
        </w:tc>
      </w:tr>
      <w:tr w:rsidR="002748B7" w14:paraId="0B0AB5CE" w14:textId="77777777" w:rsidTr="001515D5">
        <w:tc>
          <w:tcPr>
            <w:tcW w:w="3116" w:type="dxa"/>
            <w:vAlign w:val="bottom"/>
          </w:tcPr>
          <w:p w14:paraId="170DABC0" w14:textId="77777777" w:rsidR="002748B7" w:rsidRPr="006C2B61" w:rsidRDefault="002748B7" w:rsidP="002748B7">
            <w:r w:rsidRPr="006C2B61">
              <w:t>Binge Drinker</w:t>
            </w:r>
          </w:p>
        </w:tc>
        <w:tc>
          <w:tcPr>
            <w:tcW w:w="3117" w:type="dxa"/>
            <w:vAlign w:val="bottom"/>
          </w:tcPr>
          <w:p w14:paraId="0282AD36" w14:textId="77777777" w:rsidR="002748B7" w:rsidRPr="006C2B61" w:rsidRDefault="002748B7" w:rsidP="002748B7">
            <w:r w:rsidRPr="006C2B61">
              <w:t>Sexual Minority</w:t>
            </w:r>
          </w:p>
        </w:tc>
        <w:tc>
          <w:tcPr>
            <w:tcW w:w="3117" w:type="dxa"/>
            <w:vAlign w:val="bottom"/>
          </w:tcPr>
          <w:p w14:paraId="6A3B9687" w14:textId="77777777" w:rsidR="002748B7" w:rsidRPr="006C2B61" w:rsidRDefault="002748B7" w:rsidP="002748B7">
            <w:r w:rsidRPr="006C2B61">
              <w:t>25.10%</w:t>
            </w:r>
          </w:p>
        </w:tc>
      </w:tr>
      <w:tr w:rsidR="002748B7" w14:paraId="679B5F68" w14:textId="77777777" w:rsidTr="001515D5">
        <w:tc>
          <w:tcPr>
            <w:tcW w:w="3116" w:type="dxa"/>
            <w:vAlign w:val="bottom"/>
          </w:tcPr>
          <w:p w14:paraId="34ED5483" w14:textId="77777777" w:rsidR="002748B7" w:rsidRPr="006C2B61" w:rsidRDefault="002748B7" w:rsidP="002748B7">
            <w:r w:rsidRPr="006C2B61">
              <w:t>Binge Drinker</w:t>
            </w:r>
          </w:p>
        </w:tc>
        <w:tc>
          <w:tcPr>
            <w:tcW w:w="3117" w:type="dxa"/>
            <w:vAlign w:val="bottom"/>
          </w:tcPr>
          <w:p w14:paraId="0FCFF3AB" w14:textId="77777777" w:rsidR="002748B7" w:rsidRPr="006C2B61" w:rsidRDefault="002748B7" w:rsidP="002748B7">
            <w:r w:rsidRPr="006C2B61">
              <w:t>Heterosexual</w:t>
            </w:r>
          </w:p>
        </w:tc>
        <w:tc>
          <w:tcPr>
            <w:tcW w:w="3117" w:type="dxa"/>
            <w:vAlign w:val="bottom"/>
          </w:tcPr>
          <w:p w14:paraId="37C3A4F0" w14:textId="77777777" w:rsidR="002748B7" w:rsidRPr="006C2B61" w:rsidRDefault="002748B7" w:rsidP="002748B7">
            <w:r w:rsidRPr="006C2B61">
              <w:t>14.40%</w:t>
            </w:r>
          </w:p>
        </w:tc>
      </w:tr>
      <w:tr w:rsidR="002748B7" w14:paraId="171881BE" w14:textId="77777777" w:rsidTr="001515D5">
        <w:tc>
          <w:tcPr>
            <w:tcW w:w="3116" w:type="dxa"/>
            <w:vAlign w:val="bottom"/>
          </w:tcPr>
          <w:p w14:paraId="4EA7F8EA" w14:textId="77777777" w:rsidR="002748B7" w:rsidRPr="006C2B61" w:rsidRDefault="002748B7" w:rsidP="002748B7">
            <w:r w:rsidRPr="006C2B61">
              <w:t xml:space="preserve">Current or </w:t>
            </w:r>
            <w:proofErr w:type="gramStart"/>
            <w:r w:rsidRPr="006C2B61">
              <w:t>Life Long</w:t>
            </w:r>
            <w:proofErr w:type="gramEnd"/>
            <w:r w:rsidRPr="006C2B61">
              <w:t xml:space="preserve"> Problem with Substance Misuse</w:t>
            </w:r>
          </w:p>
        </w:tc>
        <w:tc>
          <w:tcPr>
            <w:tcW w:w="3117" w:type="dxa"/>
            <w:vAlign w:val="bottom"/>
          </w:tcPr>
          <w:p w14:paraId="1D050493" w14:textId="77777777" w:rsidR="002748B7" w:rsidRPr="006C2B61" w:rsidRDefault="002748B7" w:rsidP="002748B7">
            <w:r w:rsidRPr="006C2B61">
              <w:t>Sexual Minority</w:t>
            </w:r>
          </w:p>
        </w:tc>
        <w:tc>
          <w:tcPr>
            <w:tcW w:w="3117" w:type="dxa"/>
            <w:vAlign w:val="bottom"/>
          </w:tcPr>
          <w:p w14:paraId="648D2D87" w14:textId="77777777" w:rsidR="002748B7" w:rsidRPr="006C2B61" w:rsidRDefault="002748B7" w:rsidP="002748B7">
            <w:r w:rsidRPr="006C2B61">
              <w:t>22.90%</w:t>
            </w:r>
          </w:p>
        </w:tc>
      </w:tr>
      <w:tr w:rsidR="002748B7" w14:paraId="093AE2FE" w14:textId="77777777" w:rsidTr="001515D5">
        <w:tc>
          <w:tcPr>
            <w:tcW w:w="3116" w:type="dxa"/>
            <w:vAlign w:val="bottom"/>
          </w:tcPr>
          <w:p w14:paraId="22360681" w14:textId="77777777" w:rsidR="002748B7" w:rsidRPr="006C2B61" w:rsidRDefault="002748B7" w:rsidP="002748B7">
            <w:r w:rsidRPr="006C2B61">
              <w:t xml:space="preserve">Current or </w:t>
            </w:r>
            <w:proofErr w:type="gramStart"/>
            <w:r w:rsidRPr="006C2B61">
              <w:t>Life Long</w:t>
            </w:r>
            <w:proofErr w:type="gramEnd"/>
            <w:r w:rsidRPr="006C2B61">
              <w:t xml:space="preserve"> Problem with Substance Misuse</w:t>
            </w:r>
          </w:p>
        </w:tc>
        <w:tc>
          <w:tcPr>
            <w:tcW w:w="3117" w:type="dxa"/>
            <w:vAlign w:val="bottom"/>
          </w:tcPr>
          <w:p w14:paraId="0DA44A59" w14:textId="77777777" w:rsidR="002748B7" w:rsidRPr="006C2B61" w:rsidRDefault="002748B7" w:rsidP="002748B7">
            <w:r w:rsidRPr="006C2B61">
              <w:t>Heterosexual</w:t>
            </w:r>
          </w:p>
        </w:tc>
        <w:tc>
          <w:tcPr>
            <w:tcW w:w="3117" w:type="dxa"/>
            <w:vAlign w:val="bottom"/>
          </w:tcPr>
          <w:p w14:paraId="72C4F6BF" w14:textId="77777777" w:rsidR="002748B7" w:rsidRPr="006C2B61" w:rsidRDefault="002748B7" w:rsidP="002748B7">
            <w:r w:rsidRPr="006C2B61">
              <w:t>11.50%</w:t>
            </w:r>
          </w:p>
        </w:tc>
      </w:tr>
    </w:tbl>
    <w:p w14:paraId="06EDA132" w14:textId="77777777" w:rsidR="00F678C8" w:rsidRDefault="00F678C8" w:rsidP="00F678C8">
      <w:r w:rsidRPr="00F678C8">
        <w:t xml:space="preserve">Source: SC BRFSS, 2018-2020. </w:t>
      </w:r>
    </w:p>
    <w:p w14:paraId="1508D9DD" w14:textId="14D33D91" w:rsidR="00F678C8" w:rsidRPr="00F678C8" w:rsidRDefault="00F678C8" w:rsidP="00F678C8">
      <w:r w:rsidRPr="00F678C8">
        <w:t>Note: 3 year estimates.</w:t>
      </w:r>
    </w:p>
    <w:p w14:paraId="7D350EE5" w14:textId="77777777" w:rsidR="00722CE9" w:rsidRDefault="00722CE9" w:rsidP="00722CE9">
      <w:pPr>
        <w:rPr>
          <w:b/>
          <w:bCs/>
        </w:rPr>
      </w:pPr>
    </w:p>
    <w:p w14:paraId="16FB61B3" w14:textId="42975921" w:rsidR="00722CE9" w:rsidRPr="00722CE9" w:rsidRDefault="00722CE9" w:rsidP="00FF4962">
      <w:bookmarkStart w:id="210" w:name="_Toc162267126"/>
      <w:r w:rsidRPr="00544ADD">
        <w:rPr>
          <w:rStyle w:val="Heading4Char"/>
          <w:rFonts w:asciiTheme="minorHAnsi" w:hAnsiTheme="minorHAnsi" w:cstheme="minorHAnsi"/>
          <w:color w:val="000000" w:themeColor="text1"/>
        </w:rPr>
        <w:t>References 5.</w:t>
      </w:r>
      <w:r w:rsidR="00FF4962" w:rsidRPr="00544ADD">
        <w:rPr>
          <w:rStyle w:val="Heading4Char"/>
          <w:rFonts w:asciiTheme="minorHAnsi" w:hAnsiTheme="minorHAnsi" w:cstheme="minorHAnsi"/>
          <w:color w:val="000000" w:themeColor="text1"/>
        </w:rPr>
        <w:t>15</w:t>
      </w:r>
      <w:bookmarkEnd w:id="210"/>
    </w:p>
    <w:p w14:paraId="44DFCE71" w14:textId="65BF9257" w:rsidR="00FF4962" w:rsidRDefault="00FF4962" w:rsidP="00FF4962">
      <w:r w:rsidRPr="00722CE9">
        <w:t>Statistics in the preceding</w:t>
      </w:r>
      <w:r>
        <w:t xml:space="preserve"> </w:t>
      </w:r>
      <w:r w:rsidR="00544ADD">
        <w:t>section</w:t>
      </w:r>
      <w:r w:rsidRPr="00722CE9">
        <w:t xml:space="preserve"> were referenced from the following reports:</w:t>
      </w:r>
    </w:p>
    <w:p w14:paraId="078D9F0A" w14:textId="47A93ACF" w:rsidR="00FF4962" w:rsidRDefault="00544ADD" w:rsidP="00544ADD">
      <w:pPr>
        <w:ind w:left="360"/>
      </w:pPr>
      <w:r>
        <w:t>42.</w:t>
      </w:r>
      <w:r w:rsidR="00FF4962">
        <w:t>“</w:t>
      </w:r>
      <w:r w:rsidR="00FF4962" w:rsidRPr="00722CE9">
        <w:t>Behavioral Risk Factor Surveillance System Survey 2017-2021</w:t>
      </w:r>
      <w:r w:rsidR="00FF4962">
        <w:t>”</w:t>
      </w:r>
      <w:r w:rsidR="00FF4962" w:rsidRPr="00722CE9">
        <w:t xml:space="preserve"> </w:t>
      </w:r>
      <w:r w:rsidR="00FF4962">
        <w:t xml:space="preserve">published by SC DHEC, 2023. No hyperlink. </w:t>
      </w:r>
    </w:p>
    <w:p w14:paraId="2B9717E3" w14:textId="2B746442" w:rsidR="00FF4962" w:rsidRPr="00FF4962" w:rsidRDefault="00000000" w:rsidP="00544ADD">
      <w:pPr>
        <w:pStyle w:val="ListParagraph"/>
        <w:numPr>
          <w:ilvl w:val="0"/>
          <w:numId w:val="231"/>
        </w:numPr>
      </w:pPr>
      <w:hyperlink r:id="rId126" w:history="1">
        <w:r w:rsidR="00FF4962" w:rsidRPr="00FF4962">
          <w:rPr>
            <w:rStyle w:val="Hyperlink"/>
          </w:rPr>
          <w:t xml:space="preserve"> “LGBT identification in U.S. ticks up to 7.1%” by Jones, J. M. Published by Gallup, 2023.</w:t>
        </w:r>
      </w:hyperlink>
    </w:p>
    <w:p w14:paraId="5E7C38ED" w14:textId="41089C2C" w:rsidR="00FF4962" w:rsidRPr="00FF4962" w:rsidRDefault="00000000" w:rsidP="00544ADD">
      <w:pPr>
        <w:pStyle w:val="ListParagraph"/>
        <w:numPr>
          <w:ilvl w:val="0"/>
          <w:numId w:val="231"/>
        </w:numPr>
      </w:pPr>
      <w:hyperlink r:id="rId127" w:history="1">
        <w:r w:rsidR="00FF4962" w:rsidRPr="00FF4962">
          <w:rPr>
            <w:rStyle w:val="Hyperlink"/>
          </w:rPr>
          <w:t xml:space="preserve">“The state of the LGBTQ community in 2020” by </w:t>
        </w:r>
        <w:proofErr w:type="spellStart"/>
        <w:r w:rsidR="00FF4962" w:rsidRPr="00FF4962">
          <w:rPr>
            <w:rStyle w:val="Hyperlink"/>
          </w:rPr>
          <w:t>Mahowald</w:t>
        </w:r>
        <w:proofErr w:type="spellEnd"/>
        <w:r w:rsidR="00FF4962" w:rsidRPr="00FF4962">
          <w:rPr>
            <w:rStyle w:val="Hyperlink"/>
          </w:rPr>
          <w:t xml:space="preserve">, L., </w:t>
        </w:r>
        <w:proofErr w:type="spellStart"/>
        <w:r w:rsidR="00FF4962" w:rsidRPr="00FF4962">
          <w:rPr>
            <w:rStyle w:val="Hyperlink"/>
          </w:rPr>
          <w:t>Gruberg</w:t>
        </w:r>
        <w:proofErr w:type="spellEnd"/>
        <w:r w:rsidR="00FF4962" w:rsidRPr="00FF4962">
          <w:rPr>
            <w:rStyle w:val="Hyperlink"/>
          </w:rPr>
          <w:t xml:space="preserve">, S., </w:t>
        </w:r>
        <w:proofErr w:type="spellStart"/>
        <w:r w:rsidR="00FF4962" w:rsidRPr="00FF4962">
          <w:rPr>
            <w:rStyle w:val="Hyperlink"/>
          </w:rPr>
          <w:t>Haplin</w:t>
        </w:r>
        <w:proofErr w:type="spellEnd"/>
        <w:r w:rsidR="00FF4962" w:rsidRPr="00FF4962">
          <w:rPr>
            <w:rStyle w:val="Hyperlink"/>
          </w:rPr>
          <w:t>, J. Published by the Center for American Progress. 2020.</w:t>
        </w:r>
      </w:hyperlink>
      <w:r w:rsidR="00FF4962" w:rsidRPr="00FF4962">
        <w:t xml:space="preserve"> </w:t>
      </w:r>
    </w:p>
    <w:p w14:paraId="5EA0D7A7" w14:textId="207200E4" w:rsidR="00FF4962" w:rsidRPr="00FF4962" w:rsidRDefault="00000000" w:rsidP="00544ADD">
      <w:pPr>
        <w:pStyle w:val="ListParagraph"/>
        <w:numPr>
          <w:ilvl w:val="0"/>
          <w:numId w:val="231"/>
        </w:numPr>
      </w:pPr>
      <w:hyperlink r:id="rId128" w:history="1">
        <w:r w:rsidR="00FF4962" w:rsidRPr="00FF4962">
          <w:rPr>
            <w:rStyle w:val="Hyperlink"/>
          </w:rPr>
          <w:t xml:space="preserve">“Health care disparities among lesbian, gay, bisexual, and Transgender Youth: A literature review” by Hafeez, H., </w:t>
        </w:r>
        <w:proofErr w:type="spellStart"/>
        <w:r w:rsidR="00FF4962" w:rsidRPr="00FF4962">
          <w:rPr>
            <w:rStyle w:val="Hyperlink"/>
          </w:rPr>
          <w:t>Zeshan</w:t>
        </w:r>
        <w:proofErr w:type="spellEnd"/>
        <w:r w:rsidR="00FF4962" w:rsidRPr="00FF4962">
          <w:rPr>
            <w:rStyle w:val="Hyperlink"/>
          </w:rPr>
          <w:t xml:space="preserve">, M., Tahir, M. A., Jahan, N., &amp; Naveed, S. Published in </w:t>
        </w:r>
        <w:proofErr w:type="spellStart"/>
        <w:r w:rsidR="00FF4962" w:rsidRPr="00FF4962">
          <w:rPr>
            <w:rStyle w:val="Hyperlink"/>
          </w:rPr>
          <w:t>Cureus</w:t>
        </w:r>
        <w:proofErr w:type="spellEnd"/>
        <w:r w:rsidR="00FF4962" w:rsidRPr="00FF4962">
          <w:rPr>
            <w:rStyle w:val="Hyperlink"/>
          </w:rPr>
          <w:t>, 2017.</w:t>
        </w:r>
      </w:hyperlink>
      <w:r w:rsidR="00FF4962">
        <w:t xml:space="preserve"> </w:t>
      </w:r>
    </w:p>
    <w:p w14:paraId="5B7E0FA9" w14:textId="74C626F6" w:rsidR="00FF4962" w:rsidRPr="00FF4962" w:rsidRDefault="00000000" w:rsidP="00544ADD">
      <w:pPr>
        <w:pStyle w:val="ListParagraph"/>
        <w:numPr>
          <w:ilvl w:val="0"/>
          <w:numId w:val="231"/>
        </w:numPr>
      </w:pPr>
      <w:hyperlink r:id="rId129" w:history="1">
        <w:r w:rsidR="00FF4962" w:rsidRPr="00FF4962">
          <w:rPr>
            <w:rStyle w:val="Hyperlink"/>
          </w:rPr>
          <w:t xml:space="preserve">“Contribution of primary care to health systems and health” by Starfield, B., Shi, L., &amp; </w:t>
        </w:r>
        <w:proofErr w:type="spellStart"/>
        <w:r w:rsidR="00FF4962" w:rsidRPr="00FF4962">
          <w:rPr>
            <w:rStyle w:val="Hyperlink"/>
          </w:rPr>
          <w:t>Macinko</w:t>
        </w:r>
        <w:proofErr w:type="spellEnd"/>
        <w:r w:rsidR="00FF4962" w:rsidRPr="00FF4962">
          <w:rPr>
            <w:rStyle w:val="Hyperlink"/>
          </w:rPr>
          <w:t>, J. Published in The Milbank Quarterly, 2005.</w:t>
        </w:r>
      </w:hyperlink>
      <w:r w:rsidR="00FF4962">
        <w:rPr>
          <w:i/>
          <w:iCs/>
        </w:rPr>
        <w:t xml:space="preserve"> </w:t>
      </w:r>
    </w:p>
    <w:p w14:paraId="0E2BB91D" w14:textId="25691636" w:rsidR="00FF4962" w:rsidRPr="00FF4962" w:rsidRDefault="00000000" w:rsidP="00544ADD">
      <w:pPr>
        <w:pStyle w:val="ListParagraph"/>
        <w:numPr>
          <w:ilvl w:val="0"/>
          <w:numId w:val="231"/>
        </w:numPr>
      </w:pPr>
      <w:hyperlink r:id="rId130" w:history="1">
        <w:r w:rsidR="00FF4962" w:rsidRPr="00FF4962">
          <w:rPr>
            <w:rStyle w:val="Hyperlink"/>
          </w:rPr>
          <w:t xml:space="preserve">“The Impact of Adverse Childhood Experiences on Health and Development in Young Children” by Webster, E. M. Published in </w:t>
        </w:r>
        <w:r w:rsidR="00FF4962" w:rsidRPr="00FF4962">
          <w:rPr>
            <w:rStyle w:val="Hyperlink"/>
            <w:i/>
            <w:iCs/>
          </w:rPr>
          <w:t>Global pediatric health</w:t>
        </w:r>
        <w:r w:rsidR="00FF4962" w:rsidRPr="00FF4962">
          <w:rPr>
            <w:rStyle w:val="Hyperlink"/>
          </w:rPr>
          <w:t>, 2022.</w:t>
        </w:r>
      </w:hyperlink>
      <w:r w:rsidR="00FF4962" w:rsidRPr="00FF4962">
        <w:t xml:space="preserve"> </w:t>
      </w:r>
    </w:p>
    <w:p w14:paraId="3E694488" w14:textId="16230584" w:rsidR="00FF4962" w:rsidRPr="00FF4962" w:rsidRDefault="00FF4962" w:rsidP="00544ADD">
      <w:pPr>
        <w:pStyle w:val="ListParagraph"/>
        <w:numPr>
          <w:ilvl w:val="0"/>
          <w:numId w:val="231"/>
        </w:numPr>
      </w:pPr>
      <w:r w:rsidRPr="00FF4962">
        <w:t>“The Health of Lesbian, Gay, Bisexual, and Transgender People: Building a Foundation for Better Understanding” by</w:t>
      </w:r>
      <w:r>
        <w:t xml:space="preserve"> the </w:t>
      </w:r>
      <w:r w:rsidRPr="00FF4962">
        <w:t>Institute of Medicine (US) Committee on Lesbian, Gay, Bisexual, and Transgender Health Issues and Research Gaps and Opportunities.</w:t>
      </w:r>
      <w:r>
        <w:t xml:space="preserve"> Published by the</w:t>
      </w:r>
      <w:r w:rsidRPr="00FF4962">
        <w:t xml:space="preserve"> National Academies Press (US)</w:t>
      </w:r>
      <w:r>
        <w:t>, 2011</w:t>
      </w:r>
      <w:r w:rsidRPr="00FF4962">
        <w:t>.</w:t>
      </w:r>
      <w:r>
        <w:t xml:space="preserve"> No hyperlink.</w:t>
      </w:r>
    </w:p>
    <w:p w14:paraId="6776FBAE" w14:textId="1A8E5767" w:rsidR="00FF4962" w:rsidRPr="00FF4962" w:rsidRDefault="00FF4962" w:rsidP="00544ADD">
      <w:pPr>
        <w:pStyle w:val="ListParagraph"/>
        <w:numPr>
          <w:ilvl w:val="0"/>
          <w:numId w:val="231"/>
        </w:numPr>
      </w:pPr>
      <w:r>
        <w:t>“</w:t>
      </w:r>
      <w:r w:rsidRPr="00FF4962">
        <w:t>Behavioral Risk Factor Surveillance System Survey 2019-2020</w:t>
      </w:r>
      <w:r>
        <w:t>” by SC DHEC,</w:t>
      </w:r>
      <w:r w:rsidRPr="00FF4962">
        <w:t xml:space="preserve"> Columbia; South Carolina</w:t>
      </w:r>
      <w:r>
        <w:t>, 2022. No hyperlink.</w:t>
      </w:r>
    </w:p>
    <w:p w14:paraId="5AA24017" w14:textId="1D386772" w:rsidR="00FF4962" w:rsidRPr="00FF4962" w:rsidRDefault="00FF4962" w:rsidP="00544ADD">
      <w:pPr>
        <w:pStyle w:val="ListParagraph"/>
        <w:numPr>
          <w:ilvl w:val="0"/>
          <w:numId w:val="231"/>
        </w:numPr>
      </w:pPr>
      <w:r>
        <w:t>“</w:t>
      </w:r>
      <w:r w:rsidRPr="00FF4962">
        <w:t>Behavioral Risk Factor Surveillance System Survey 2018-2020</w:t>
      </w:r>
      <w:r>
        <w:t>” by SC DHEC,</w:t>
      </w:r>
      <w:r w:rsidRPr="00FF4962">
        <w:t xml:space="preserve"> Columbia; South Carolina</w:t>
      </w:r>
      <w:r>
        <w:t>, 2022</w:t>
      </w:r>
      <w:r w:rsidRPr="00FF4962">
        <w:t xml:space="preserve">. </w:t>
      </w:r>
      <w:r>
        <w:t>No hyperlink.</w:t>
      </w:r>
    </w:p>
    <w:p w14:paraId="498C0649" w14:textId="2AF118AB" w:rsidR="00FF4962" w:rsidRDefault="00FF4962" w:rsidP="00544ADD">
      <w:pPr>
        <w:pStyle w:val="ListParagraph"/>
        <w:numPr>
          <w:ilvl w:val="0"/>
          <w:numId w:val="231"/>
        </w:numPr>
      </w:pPr>
      <w:r>
        <w:t>“</w:t>
      </w:r>
      <w:r w:rsidRPr="00FF4962">
        <w:t>Suicide among LGBT and non-LGBT Decedents (aged 10 or older) in South Carolina, 2013-2020</w:t>
      </w:r>
      <w:r>
        <w:t xml:space="preserve">” by SC DHEC </w:t>
      </w:r>
      <w:r w:rsidRPr="00FF4962">
        <w:t>Violent Death Reporting System</w:t>
      </w:r>
      <w:r>
        <w:t xml:space="preserve">, </w:t>
      </w:r>
      <w:r w:rsidRPr="00FF4962">
        <w:t>Columbia; South Carolina</w:t>
      </w:r>
      <w:r>
        <w:t>, 2023</w:t>
      </w:r>
      <w:r w:rsidRPr="00FF4962">
        <w:t xml:space="preserve">. </w:t>
      </w:r>
      <w:r>
        <w:t>No hyperlink.</w:t>
      </w:r>
    </w:p>
    <w:p w14:paraId="4610A4C3" w14:textId="77777777" w:rsidR="00FF4962" w:rsidRDefault="00FF4962" w:rsidP="00FF4962"/>
    <w:p w14:paraId="0EF2BBFA" w14:textId="77777777" w:rsidR="00722CE9" w:rsidRDefault="00722CE9" w:rsidP="00EA168E">
      <w:pPr>
        <w:pStyle w:val="Heading5"/>
      </w:pPr>
      <w:r>
        <w:t>Key Takeaways:</w:t>
      </w:r>
    </w:p>
    <w:p w14:paraId="61FB7978" w14:textId="6A18E8B1" w:rsidR="00722CE9" w:rsidRPr="00722CE9" w:rsidRDefault="00722CE9" w:rsidP="00926EB3">
      <w:pPr>
        <w:pStyle w:val="ListParagraph"/>
        <w:numPr>
          <w:ilvl w:val="0"/>
          <w:numId w:val="21"/>
        </w:numPr>
      </w:pPr>
      <w:r w:rsidRPr="00722CE9">
        <w:t xml:space="preserve">Death by suicide is higher among sexual minority populations in SC, most notably among those identifying as female, with intimate partner problems, or with a life stressor or conflict as a precipitating circumstance. </w:t>
      </w:r>
    </w:p>
    <w:p w14:paraId="076FED34" w14:textId="7B9547FD" w:rsidR="00722CE9" w:rsidRPr="00722CE9" w:rsidRDefault="00722CE9" w:rsidP="00926EB3">
      <w:pPr>
        <w:pStyle w:val="ListParagraph"/>
        <w:numPr>
          <w:ilvl w:val="0"/>
          <w:numId w:val="21"/>
        </w:numPr>
      </w:pPr>
      <w:r w:rsidRPr="00722CE9">
        <w:t>Smoking, substance misuse, and adverse childhood experiences are higher among sexual minorities in SC, and access to care and mental well-being are disproportionately lower.</w:t>
      </w:r>
    </w:p>
    <w:p w14:paraId="7AF936F2" w14:textId="77777777" w:rsidR="00722CE9" w:rsidRDefault="00722CE9" w:rsidP="00926EB3">
      <w:pPr>
        <w:pStyle w:val="ListParagraph"/>
        <w:numPr>
          <w:ilvl w:val="0"/>
          <w:numId w:val="21"/>
        </w:numPr>
      </w:pPr>
      <w:r w:rsidRPr="00722CE9">
        <w:t>Efforts to collect data inclusively on all gender identities and sexual orientations are essential to better understand health inequities among LGBTQIA+ community members.</w:t>
      </w:r>
    </w:p>
    <w:p w14:paraId="6373486C" w14:textId="77777777" w:rsidR="00722CE9" w:rsidRDefault="00722CE9" w:rsidP="00722CE9"/>
    <w:p w14:paraId="55645C83" w14:textId="5EF17DF3" w:rsidR="00571B04" w:rsidRPr="00722CE9" w:rsidRDefault="00571B04" w:rsidP="00571B04">
      <w:pPr>
        <w:pStyle w:val="Heading3"/>
      </w:pPr>
      <w:bookmarkStart w:id="211" w:name="_Toc162267127"/>
      <w:r>
        <w:t>Incarceration and Health Equity</w:t>
      </w:r>
      <w:bookmarkEnd w:id="211"/>
    </w:p>
    <w:p w14:paraId="763DEBE1" w14:textId="45534EF9" w:rsidR="00571B04" w:rsidRPr="00571B04" w:rsidRDefault="00571B04" w:rsidP="00571B04"/>
    <w:p w14:paraId="408F1571" w14:textId="492C1621" w:rsidR="00571B04" w:rsidRPr="00571B04" w:rsidRDefault="00571B04" w:rsidP="00571B04">
      <w:r w:rsidRPr="00571B04">
        <w:t>Total incarceration rates in SC have been trending downward since 2002 but vary by county and by racial composition. In 2020, the highest prison rate was in Cherokee County at 1,349 inmates per 100,000 individuals and the lowest was in Beaufort County at 328 inmates (</w:t>
      </w:r>
      <w:r w:rsidRPr="00571B04">
        <w:rPr>
          <w:b/>
          <w:bCs/>
        </w:rPr>
        <w:t>Figure 5.37</w:t>
      </w:r>
      <w:r w:rsidRPr="00571B04">
        <w:t>).</w:t>
      </w:r>
      <w:r w:rsidRPr="00571B04">
        <w:rPr>
          <w:b/>
          <w:bCs/>
        </w:rPr>
        <w:t xml:space="preserve"> </w:t>
      </w:r>
      <w:r w:rsidRPr="00571B04">
        <w:t xml:space="preserve">Black or African Americans are still incarcerated at much higher rates than White people. In 2022, Black or African Americans comprised 25% of the SC population but 58% of the prison population, </w:t>
      </w:r>
      <w:r w:rsidRPr="00571B04">
        <w:lastRenderedPageBreak/>
        <w:t>whereas White individuals comprised 63% of the state population yet 39% of the prison population.</w:t>
      </w:r>
      <w:r w:rsidRPr="00571B04">
        <w:rPr>
          <w:b/>
          <w:bCs/>
        </w:rPr>
        <w:t xml:space="preserve"> </w:t>
      </w:r>
    </w:p>
    <w:p w14:paraId="435259EC" w14:textId="77777777" w:rsidR="00843475" w:rsidRDefault="00843475" w:rsidP="00571B04"/>
    <w:p w14:paraId="4C366FE2" w14:textId="0D424B60" w:rsidR="00571B04" w:rsidRDefault="00571B04" w:rsidP="00571B04">
      <w:pPr>
        <w:rPr>
          <w:b/>
          <w:bCs/>
        </w:rPr>
      </w:pPr>
      <w:r w:rsidRPr="00571B04">
        <w:t>In 2016, 40% of state prisoners nationwide had a current chronic condition, including high blood pressure (22%), arthritis (15%) and asthma (12%), whereas current infections included hepatitis C (8%), human immunodeficiency virus/acquired immunodeficiency syndrome (HIV/AIDS) (1%) and hepatitis B (0.5%).</w:t>
      </w:r>
      <w:r w:rsidRPr="00571B04">
        <w:rPr>
          <w:b/>
          <w:bCs/>
        </w:rPr>
        <w:t xml:space="preserve"> </w:t>
      </w:r>
      <w:r w:rsidRPr="00571B04">
        <w:t>Risk exposures for hepatitis B, C and HIV/AIDS are similar and include sharing needles or syringes and contact with bodily fluids of people with HIV infection.</w:t>
      </w:r>
      <w:r w:rsidRPr="00571B04">
        <w:rPr>
          <w:b/>
          <w:bCs/>
        </w:rPr>
        <w:t xml:space="preserve"> </w:t>
      </w:r>
    </w:p>
    <w:p w14:paraId="316A3DDF" w14:textId="77777777" w:rsidR="00843475" w:rsidRPr="00571B04" w:rsidRDefault="00843475" w:rsidP="00571B04"/>
    <w:p w14:paraId="5F6F1727" w14:textId="3AB27C2B" w:rsidR="00571B04" w:rsidRDefault="00571B04" w:rsidP="00571B04">
      <w:r w:rsidRPr="00571B04">
        <w:t>Among the health disparities faced by prisoners, the SC Department of Corrections highlighted HIV/AIDS and hepatitis C as important issues.</w:t>
      </w:r>
      <w:r w:rsidRPr="00571B04">
        <w:rPr>
          <w:b/>
          <w:bCs/>
        </w:rPr>
        <w:t xml:space="preserve"> </w:t>
      </w:r>
      <w:r w:rsidRPr="00571B04">
        <w:t>The prevalence of HIV/AIDS per 100,000 individuals in 2021 was four times higher in SC prisons than in the SC population (1</w:t>
      </w:r>
      <w:r>
        <w:t>,</w:t>
      </w:r>
      <w:r w:rsidRPr="00571B04">
        <w:t>438 vs 372, respectively) (</w:t>
      </w:r>
      <w:r w:rsidRPr="00571B04">
        <w:rPr>
          <w:b/>
          <w:bCs/>
        </w:rPr>
        <w:t>Figure 5.38</w:t>
      </w:r>
      <w:r w:rsidR="00843475">
        <w:t>)</w:t>
      </w:r>
      <w:r w:rsidRPr="00571B04">
        <w:rPr>
          <w:b/>
          <w:bCs/>
        </w:rPr>
        <w:t xml:space="preserve"> </w:t>
      </w:r>
      <w:r w:rsidRPr="00571B04">
        <w:t>despite remaining constant at 1.4% to 1.5% of the prison population since 2017.</w:t>
      </w:r>
      <w:r w:rsidRPr="00571B04">
        <w:rPr>
          <w:b/>
          <w:bCs/>
        </w:rPr>
        <w:t xml:space="preserve"> </w:t>
      </w:r>
      <w:r w:rsidRPr="00571B04">
        <w:t>This finding likely reflects the high-risk population that is more likely to enter the prison system. For example, between 2007-2009, 58% of state prisoners nationally met criteria for a SUD, and drug offenses are the leading cause of imprisonment in SC and were 23% of admissions in 2021.</w:t>
      </w:r>
      <w:r w:rsidRPr="00571B04">
        <w:rPr>
          <w:b/>
          <w:bCs/>
        </w:rPr>
        <w:t xml:space="preserve"> </w:t>
      </w:r>
      <w:r w:rsidRPr="00571B04">
        <w:t xml:space="preserve">Of the incarcerated individuals with HIV/AIDS, 98% received treatment and 2% refused. A successful transitional care program led by DHEC personnel links incarcerated individuals to community care and follow up for 18 months after release with the goal of minimizing barriers to achieving and maintaining viral suppression. </w:t>
      </w:r>
    </w:p>
    <w:p w14:paraId="2FD225F1" w14:textId="77777777" w:rsidR="00843475" w:rsidRPr="00571B04" w:rsidRDefault="00843475" w:rsidP="00571B04"/>
    <w:p w14:paraId="2DDC3F77" w14:textId="4645299C" w:rsidR="00571B04" w:rsidRDefault="00571B04" w:rsidP="00571B04">
      <w:r w:rsidRPr="00571B04">
        <w:t>The incidence of chronic hepatitis C in the SC population in 2020 was 53.7 per 100,000 individuals and may be higher in the prison population for the same reasons noted above.</w:t>
      </w:r>
      <w:r w:rsidRPr="00571B04">
        <w:rPr>
          <w:b/>
          <w:bCs/>
        </w:rPr>
        <w:t xml:space="preserve"> </w:t>
      </w:r>
      <w:r w:rsidRPr="00571B04">
        <w:t>Incarcerated individuals that test positive for hepatitis C at admission either begin treatment or continue current medication.</w:t>
      </w:r>
      <w:r w:rsidRPr="00571B04">
        <w:rPr>
          <w:b/>
          <w:bCs/>
        </w:rPr>
        <w:t xml:space="preserve"> Figure 5.39 </w:t>
      </w:r>
      <w:r w:rsidRPr="00571B04">
        <w:t xml:space="preserve">shows the results of hepatitis C tests among incarcerated individuals at a point in time count on November 7, 2022, and </w:t>
      </w:r>
      <w:r w:rsidRPr="00571B04">
        <w:rPr>
          <w:b/>
          <w:bCs/>
        </w:rPr>
        <w:t xml:space="preserve">Figure 5.40 </w:t>
      </w:r>
      <w:r w:rsidRPr="00571B04">
        <w:t>shows test results by race.</w:t>
      </w:r>
      <w:r w:rsidRPr="00571B04">
        <w:rPr>
          <w:b/>
          <w:bCs/>
        </w:rPr>
        <w:t xml:space="preserve"> </w:t>
      </w:r>
      <w:r w:rsidRPr="00571B04">
        <w:t xml:space="preserve">Three times as many Black or African American than White prisoners opt out of hepatitis C testing, but six times as many </w:t>
      </w:r>
      <w:proofErr w:type="gramStart"/>
      <w:r w:rsidRPr="00571B04">
        <w:t>White</w:t>
      </w:r>
      <w:proofErr w:type="gramEnd"/>
      <w:r w:rsidRPr="00571B04">
        <w:t xml:space="preserve"> compared to Black or African American prisoners test positive, which is higher than the ratio seen for White compared to Black or African American individuals in the SC population in 2020 (1,448 and 348, respectively).</w:t>
      </w:r>
      <w:r w:rsidRPr="00571B04">
        <w:rPr>
          <w:b/>
          <w:bCs/>
        </w:rPr>
        <w:t xml:space="preserve"> </w:t>
      </w:r>
      <w:r w:rsidRPr="00571B04">
        <w:t xml:space="preserve">Incarcerated individuals who are released from prison after completing treatment for hepatitis C but who require post-treatment </w:t>
      </w:r>
      <w:r w:rsidRPr="00571B04">
        <w:lastRenderedPageBreak/>
        <w:t>testing for a sustained virological response (SVR) lack the type of transitional plan from DHEC as exists for HIV that follows them for cure in the community. At minimum, prison personnel currently refer them to community clinics but many fail to seek care on their own.</w:t>
      </w:r>
    </w:p>
    <w:p w14:paraId="7EF96830" w14:textId="77777777" w:rsidR="00372998" w:rsidRDefault="00372998" w:rsidP="00571B04"/>
    <w:p w14:paraId="5909009B" w14:textId="07791E48" w:rsidR="00372998" w:rsidRDefault="00372998" w:rsidP="00372998">
      <w:pPr>
        <w:pStyle w:val="Heading4"/>
      </w:pPr>
      <w:bookmarkStart w:id="212" w:name="_Toc162267128"/>
      <w:r>
        <w:t>Figure 5.37: Prison Incarceration Rates in 2020, by County.</w:t>
      </w:r>
      <w:bookmarkEnd w:id="212"/>
    </w:p>
    <w:p w14:paraId="44EEA144" w14:textId="17098417" w:rsidR="002748B7" w:rsidRPr="002748B7" w:rsidRDefault="002748B7" w:rsidP="002748B7">
      <w:pPr>
        <w:pStyle w:val="Heading5"/>
      </w:pPr>
      <w:r>
        <w:t>Rate p</w:t>
      </w:r>
      <w:r w:rsidRPr="00864C09">
        <w:t>er</w:t>
      </w:r>
      <w:r>
        <w:t xml:space="preserve"> 100,000 population.</w:t>
      </w:r>
    </w:p>
    <w:tbl>
      <w:tblPr>
        <w:tblStyle w:val="TableGrid"/>
        <w:tblW w:w="9625" w:type="dxa"/>
        <w:tblLook w:val="04A0" w:firstRow="1" w:lastRow="0" w:firstColumn="1" w:lastColumn="0" w:noHBand="0" w:noVBand="1"/>
      </w:tblPr>
      <w:tblGrid>
        <w:gridCol w:w="3415"/>
        <w:gridCol w:w="3330"/>
        <w:gridCol w:w="2880"/>
      </w:tblGrid>
      <w:tr w:rsidR="00736DA9" w:rsidRPr="00372998" w14:paraId="1396B5FA" w14:textId="77777777" w:rsidTr="00736DA9">
        <w:trPr>
          <w:trHeight w:val="300"/>
        </w:trPr>
        <w:tc>
          <w:tcPr>
            <w:tcW w:w="3415" w:type="dxa"/>
            <w:noWrap/>
            <w:hideMark/>
          </w:tcPr>
          <w:p w14:paraId="5A34EFAD" w14:textId="680CF2D0" w:rsidR="00372998" w:rsidRPr="00372998" w:rsidRDefault="00372998" w:rsidP="00372998">
            <w:r w:rsidRPr="00372998">
              <w:t>State</w:t>
            </w:r>
          </w:p>
        </w:tc>
        <w:tc>
          <w:tcPr>
            <w:tcW w:w="3330" w:type="dxa"/>
            <w:noWrap/>
            <w:hideMark/>
          </w:tcPr>
          <w:p w14:paraId="3BDBA8D3" w14:textId="77777777" w:rsidR="00372998" w:rsidRPr="00372998" w:rsidRDefault="00372998" w:rsidP="00372998">
            <w:r w:rsidRPr="00372998">
              <w:t>County</w:t>
            </w:r>
          </w:p>
        </w:tc>
        <w:tc>
          <w:tcPr>
            <w:tcW w:w="2880" w:type="dxa"/>
            <w:noWrap/>
            <w:hideMark/>
          </w:tcPr>
          <w:p w14:paraId="74E86C7C" w14:textId="696467DF" w:rsidR="00372998" w:rsidRPr="00372998" w:rsidRDefault="00372998" w:rsidP="00372998">
            <w:r w:rsidRPr="00372998">
              <w:t>Rate</w:t>
            </w:r>
            <w:r w:rsidR="00637B75">
              <w:t xml:space="preserve"> </w:t>
            </w:r>
          </w:p>
        </w:tc>
      </w:tr>
      <w:tr w:rsidR="00372998" w:rsidRPr="00372998" w14:paraId="2B3FF9D6" w14:textId="77777777" w:rsidTr="00736DA9">
        <w:trPr>
          <w:trHeight w:val="300"/>
        </w:trPr>
        <w:tc>
          <w:tcPr>
            <w:tcW w:w="3415" w:type="dxa"/>
            <w:noWrap/>
            <w:hideMark/>
          </w:tcPr>
          <w:p w14:paraId="17D00513" w14:textId="77777777" w:rsidR="00372998" w:rsidRPr="00372998" w:rsidRDefault="00372998" w:rsidP="00372998">
            <w:r w:rsidRPr="00372998">
              <w:t>South Carolina</w:t>
            </w:r>
          </w:p>
        </w:tc>
        <w:tc>
          <w:tcPr>
            <w:tcW w:w="3330" w:type="dxa"/>
            <w:noWrap/>
            <w:hideMark/>
          </w:tcPr>
          <w:p w14:paraId="225F67CC" w14:textId="77777777" w:rsidR="00372998" w:rsidRPr="00372998" w:rsidRDefault="00372998" w:rsidP="00372998">
            <w:r w:rsidRPr="00372998">
              <w:t>Cherokee</w:t>
            </w:r>
          </w:p>
        </w:tc>
        <w:tc>
          <w:tcPr>
            <w:tcW w:w="2880" w:type="dxa"/>
            <w:noWrap/>
            <w:hideMark/>
          </w:tcPr>
          <w:p w14:paraId="411DB1EF" w14:textId="77777777" w:rsidR="00372998" w:rsidRPr="00372998" w:rsidRDefault="00372998" w:rsidP="00372998">
            <w:r w:rsidRPr="00372998">
              <w:t>1349</w:t>
            </w:r>
          </w:p>
        </w:tc>
      </w:tr>
      <w:tr w:rsidR="00372998" w:rsidRPr="00372998" w14:paraId="26AB4C31" w14:textId="77777777" w:rsidTr="00736DA9">
        <w:trPr>
          <w:trHeight w:val="300"/>
        </w:trPr>
        <w:tc>
          <w:tcPr>
            <w:tcW w:w="3415" w:type="dxa"/>
            <w:noWrap/>
            <w:hideMark/>
          </w:tcPr>
          <w:p w14:paraId="506062AE" w14:textId="77777777" w:rsidR="00372998" w:rsidRPr="00372998" w:rsidRDefault="00372998" w:rsidP="00372998">
            <w:r w:rsidRPr="00372998">
              <w:t>South Carolina</w:t>
            </w:r>
          </w:p>
        </w:tc>
        <w:tc>
          <w:tcPr>
            <w:tcW w:w="3330" w:type="dxa"/>
            <w:noWrap/>
            <w:hideMark/>
          </w:tcPr>
          <w:p w14:paraId="1CB6822F" w14:textId="77777777" w:rsidR="00372998" w:rsidRPr="00372998" w:rsidRDefault="00372998" w:rsidP="00372998">
            <w:r w:rsidRPr="00372998">
              <w:t>Union</w:t>
            </w:r>
          </w:p>
        </w:tc>
        <w:tc>
          <w:tcPr>
            <w:tcW w:w="2880" w:type="dxa"/>
            <w:noWrap/>
            <w:hideMark/>
          </w:tcPr>
          <w:p w14:paraId="20ACF7CE" w14:textId="77777777" w:rsidR="00372998" w:rsidRPr="00372998" w:rsidRDefault="00372998" w:rsidP="00372998">
            <w:r w:rsidRPr="00372998">
              <w:t>1087</w:t>
            </w:r>
          </w:p>
        </w:tc>
      </w:tr>
      <w:tr w:rsidR="00372998" w:rsidRPr="00372998" w14:paraId="0CDCFE8E" w14:textId="77777777" w:rsidTr="00736DA9">
        <w:trPr>
          <w:trHeight w:val="300"/>
        </w:trPr>
        <w:tc>
          <w:tcPr>
            <w:tcW w:w="3415" w:type="dxa"/>
            <w:noWrap/>
            <w:hideMark/>
          </w:tcPr>
          <w:p w14:paraId="1496A9AD" w14:textId="77777777" w:rsidR="00372998" w:rsidRPr="00372998" w:rsidRDefault="00372998" w:rsidP="00372998">
            <w:r w:rsidRPr="00372998">
              <w:t>South Carolina</w:t>
            </w:r>
          </w:p>
        </w:tc>
        <w:tc>
          <w:tcPr>
            <w:tcW w:w="3330" w:type="dxa"/>
            <w:noWrap/>
            <w:hideMark/>
          </w:tcPr>
          <w:p w14:paraId="72F81C53" w14:textId="77777777" w:rsidR="00372998" w:rsidRPr="00372998" w:rsidRDefault="00372998" w:rsidP="00372998">
            <w:r w:rsidRPr="00372998">
              <w:t>Marion</w:t>
            </w:r>
          </w:p>
        </w:tc>
        <w:tc>
          <w:tcPr>
            <w:tcW w:w="2880" w:type="dxa"/>
            <w:noWrap/>
            <w:hideMark/>
          </w:tcPr>
          <w:p w14:paraId="33638B1F" w14:textId="77777777" w:rsidR="00372998" w:rsidRPr="00372998" w:rsidRDefault="00372998" w:rsidP="00372998">
            <w:r w:rsidRPr="00372998">
              <w:t>925</w:t>
            </w:r>
          </w:p>
        </w:tc>
      </w:tr>
      <w:tr w:rsidR="00372998" w:rsidRPr="00372998" w14:paraId="73014423" w14:textId="77777777" w:rsidTr="00736DA9">
        <w:trPr>
          <w:trHeight w:val="300"/>
        </w:trPr>
        <w:tc>
          <w:tcPr>
            <w:tcW w:w="3415" w:type="dxa"/>
            <w:noWrap/>
            <w:hideMark/>
          </w:tcPr>
          <w:p w14:paraId="151E3C58" w14:textId="77777777" w:rsidR="00372998" w:rsidRPr="00372998" w:rsidRDefault="00372998" w:rsidP="00372998">
            <w:r w:rsidRPr="00372998">
              <w:t>South Carolina</w:t>
            </w:r>
          </w:p>
        </w:tc>
        <w:tc>
          <w:tcPr>
            <w:tcW w:w="3330" w:type="dxa"/>
            <w:noWrap/>
            <w:hideMark/>
          </w:tcPr>
          <w:p w14:paraId="43FDBCA2" w14:textId="77777777" w:rsidR="00372998" w:rsidRPr="00372998" w:rsidRDefault="00372998" w:rsidP="00372998">
            <w:r w:rsidRPr="00372998">
              <w:t>Orangeburg</w:t>
            </w:r>
          </w:p>
        </w:tc>
        <w:tc>
          <w:tcPr>
            <w:tcW w:w="2880" w:type="dxa"/>
            <w:noWrap/>
            <w:hideMark/>
          </w:tcPr>
          <w:p w14:paraId="783A6352" w14:textId="77777777" w:rsidR="00372998" w:rsidRPr="00372998" w:rsidRDefault="00372998" w:rsidP="00372998">
            <w:r w:rsidRPr="00372998">
              <w:t>916</w:t>
            </w:r>
          </w:p>
        </w:tc>
      </w:tr>
      <w:tr w:rsidR="00372998" w:rsidRPr="00372998" w14:paraId="7C369FA7" w14:textId="77777777" w:rsidTr="00736DA9">
        <w:trPr>
          <w:trHeight w:val="300"/>
        </w:trPr>
        <w:tc>
          <w:tcPr>
            <w:tcW w:w="3415" w:type="dxa"/>
            <w:noWrap/>
            <w:hideMark/>
          </w:tcPr>
          <w:p w14:paraId="129FDC97" w14:textId="77777777" w:rsidR="00372998" w:rsidRPr="00372998" w:rsidRDefault="00372998" w:rsidP="00372998">
            <w:r w:rsidRPr="00372998">
              <w:t>South Carolina</w:t>
            </w:r>
          </w:p>
        </w:tc>
        <w:tc>
          <w:tcPr>
            <w:tcW w:w="3330" w:type="dxa"/>
            <w:noWrap/>
            <w:hideMark/>
          </w:tcPr>
          <w:p w14:paraId="19DE59A9" w14:textId="77777777" w:rsidR="00372998" w:rsidRPr="00372998" w:rsidRDefault="00372998" w:rsidP="00372998">
            <w:r w:rsidRPr="00372998">
              <w:t>Barnwell</w:t>
            </w:r>
          </w:p>
        </w:tc>
        <w:tc>
          <w:tcPr>
            <w:tcW w:w="2880" w:type="dxa"/>
            <w:noWrap/>
            <w:hideMark/>
          </w:tcPr>
          <w:p w14:paraId="022262D8" w14:textId="77777777" w:rsidR="00372998" w:rsidRPr="00372998" w:rsidRDefault="00372998" w:rsidP="00372998">
            <w:r w:rsidRPr="00372998">
              <w:t>848</w:t>
            </w:r>
          </w:p>
        </w:tc>
      </w:tr>
      <w:tr w:rsidR="00372998" w:rsidRPr="00372998" w14:paraId="4085A74C" w14:textId="77777777" w:rsidTr="00736DA9">
        <w:trPr>
          <w:trHeight w:val="300"/>
        </w:trPr>
        <w:tc>
          <w:tcPr>
            <w:tcW w:w="3415" w:type="dxa"/>
            <w:noWrap/>
            <w:hideMark/>
          </w:tcPr>
          <w:p w14:paraId="5697C9CC" w14:textId="77777777" w:rsidR="00372998" w:rsidRPr="00372998" w:rsidRDefault="00372998" w:rsidP="00372998">
            <w:r w:rsidRPr="00372998">
              <w:t>South Carolina</w:t>
            </w:r>
          </w:p>
        </w:tc>
        <w:tc>
          <w:tcPr>
            <w:tcW w:w="3330" w:type="dxa"/>
            <w:noWrap/>
            <w:hideMark/>
          </w:tcPr>
          <w:p w14:paraId="182578BE" w14:textId="77777777" w:rsidR="00372998" w:rsidRPr="00372998" w:rsidRDefault="00372998" w:rsidP="00372998">
            <w:r w:rsidRPr="00372998">
              <w:t>Williamsburg</w:t>
            </w:r>
          </w:p>
        </w:tc>
        <w:tc>
          <w:tcPr>
            <w:tcW w:w="2880" w:type="dxa"/>
            <w:noWrap/>
            <w:hideMark/>
          </w:tcPr>
          <w:p w14:paraId="7095DE7F" w14:textId="77777777" w:rsidR="00372998" w:rsidRPr="00372998" w:rsidRDefault="00372998" w:rsidP="00372998">
            <w:r w:rsidRPr="00372998">
              <w:t>823</w:t>
            </w:r>
          </w:p>
        </w:tc>
      </w:tr>
      <w:tr w:rsidR="00372998" w:rsidRPr="00372998" w14:paraId="4939E051" w14:textId="77777777" w:rsidTr="00736DA9">
        <w:trPr>
          <w:trHeight w:val="300"/>
        </w:trPr>
        <w:tc>
          <w:tcPr>
            <w:tcW w:w="3415" w:type="dxa"/>
            <w:noWrap/>
            <w:hideMark/>
          </w:tcPr>
          <w:p w14:paraId="626FDD82" w14:textId="77777777" w:rsidR="00372998" w:rsidRPr="00372998" w:rsidRDefault="00372998" w:rsidP="00372998">
            <w:r w:rsidRPr="00372998">
              <w:t>South Carolina</w:t>
            </w:r>
          </w:p>
        </w:tc>
        <w:tc>
          <w:tcPr>
            <w:tcW w:w="3330" w:type="dxa"/>
            <w:noWrap/>
            <w:hideMark/>
          </w:tcPr>
          <w:p w14:paraId="7891A854" w14:textId="77777777" w:rsidR="00372998" w:rsidRPr="00372998" w:rsidRDefault="00372998" w:rsidP="00372998">
            <w:r w:rsidRPr="00372998">
              <w:t>Spartanburg</w:t>
            </w:r>
          </w:p>
        </w:tc>
        <w:tc>
          <w:tcPr>
            <w:tcW w:w="2880" w:type="dxa"/>
            <w:noWrap/>
            <w:hideMark/>
          </w:tcPr>
          <w:p w14:paraId="06F39222" w14:textId="77777777" w:rsidR="00372998" w:rsidRPr="00372998" w:rsidRDefault="00372998" w:rsidP="00372998">
            <w:r w:rsidRPr="00372998">
              <w:t>806</w:t>
            </w:r>
          </w:p>
        </w:tc>
      </w:tr>
      <w:tr w:rsidR="00372998" w:rsidRPr="00372998" w14:paraId="5209F470" w14:textId="77777777" w:rsidTr="00736DA9">
        <w:trPr>
          <w:trHeight w:val="300"/>
        </w:trPr>
        <w:tc>
          <w:tcPr>
            <w:tcW w:w="3415" w:type="dxa"/>
            <w:noWrap/>
            <w:hideMark/>
          </w:tcPr>
          <w:p w14:paraId="4C5F6595" w14:textId="77777777" w:rsidR="00372998" w:rsidRPr="00372998" w:rsidRDefault="00372998" w:rsidP="00372998">
            <w:r w:rsidRPr="00372998">
              <w:t>South Carolina</w:t>
            </w:r>
          </w:p>
        </w:tc>
        <w:tc>
          <w:tcPr>
            <w:tcW w:w="3330" w:type="dxa"/>
            <w:noWrap/>
            <w:hideMark/>
          </w:tcPr>
          <w:p w14:paraId="02C8DD06" w14:textId="77777777" w:rsidR="00372998" w:rsidRPr="00372998" w:rsidRDefault="00372998" w:rsidP="00372998">
            <w:r w:rsidRPr="00372998">
              <w:t>Florence</w:t>
            </w:r>
          </w:p>
        </w:tc>
        <w:tc>
          <w:tcPr>
            <w:tcW w:w="2880" w:type="dxa"/>
            <w:noWrap/>
            <w:hideMark/>
          </w:tcPr>
          <w:p w14:paraId="6ED3E520" w14:textId="77777777" w:rsidR="00372998" w:rsidRPr="00372998" w:rsidRDefault="00372998" w:rsidP="00372998">
            <w:r w:rsidRPr="00372998">
              <w:t>804</w:t>
            </w:r>
          </w:p>
        </w:tc>
      </w:tr>
      <w:tr w:rsidR="00372998" w:rsidRPr="00372998" w14:paraId="11DAF8B3" w14:textId="77777777" w:rsidTr="00736DA9">
        <w:trPr>
          <w:trHeight w:val="300"/>
        </w:trPr>
        <w:tc>
          <w:tcPr>
            <w:tcW w:w="3415" w:type="dxa"/>
            <w:noWrap/>
            <w:hideMark/>
          </w:tcPr>
          <w:p w14:paraId="62F3482C" w14:textId="77777777" w:rsidR="00372998" w:rsidRPr="00372998" w:rsidRDefault="00372998" w:rsidP="00372998">
            <w:r w:rsidRPr="00372998">
              <w:t>South Carolina</w:t>
            </w:r>
          </w:p>
        </w:tc>
        <w:tc>
          <w:tcPr>
            <w:tcW w:w="3330" w:type="dxa"/>
            <w:noWrap/>
            <w:hideMark/>
          </w:tcPr>
          <w:p w14:paraId="2A24B7DF" w14:textId="77777777" w:rsidR="00372998" w:rsidRPr="00372998" w:rsidRDefault="00372998" w:rsidP="00372998">
            <w:r w:rsidRPr="00372998">
              <w:t>Calhoun</w:t>
            </w:r>
          </w:p>
        </w:tc>
        <w:tc>
          <w:tcPr>
            <w:tcW w:w="2880" w:type="dxa"/>
            <w:noWrap/>
            <w:hideMark/>
          </w:tcPr>
          <w:p w14:paraId="5DAEB177" w14:textId="77777777" w:rsidR="00372998" w:rsidRPr="00372998" w:rsidRDefault="00372998" w:rsidP="00372998">
            <w:r w:rsidRPr="00372998">
              <w:t>792</w:t>
            </w:r>
          </w:p>
        </w:tc>
      </w:tr>
      <w:tr w:rsidR="00372998" w:rsidRPr="00372998" w14:paraId="60817BC9" w14:textId="77777777" w:rsidTr="00736DA9">
        <w:trPr>
          <w:trHeight w:val="300"/>
        </w:trPr>
        <w:tc>
          <w:tcPr>
            <w:tcW w:w="3415" w:type="dxa"/>
            <w:noWrap/>
            <w:hideMark/>
          </w:tcPr>
          <w:p w14:paraId="1883B609" w14:textId="77777777" w:rsidR="00372998" w:rsidRPr="00372998" w:rsidRDefault="00372998" w:rsidP="00372998">
            <w:r w:rsidRPr="00372998">
              <w:t>South Carolina</w:t>
            </w:r>
          </w:p>
        </w:tc>
        <w:tc>
          <w:tcPr>
            <w:tcW w:w="3330" w:type="dxa"/>
            <w:noWrap/>
            <w:hideMark/>
          </w:tcPr>
          <w:p w14:paraId="0FEB23EE" w14:textId="77777777" w:rsidR="00372998" w:rsidRPr="00372998" w:rsidRDefault="00372998" w:rsidP="00372998">
            <w:r w:rsidRPr="00372998">
              <w:t>Saluda</w:t>
            </w:r>
          </w:p>
        </w:tc>
        <w:tc>
          <w:tcPr>
            <w:tcW w:w="2880" w:type="dxa"/>
            <w:noWrap/>
            <w:hideMark/>
          </w:tcPr>
          <w:p w14:paraId="4ACE1ED4" w14:textId="77777777" w:rsidR="00372998" w:rsidRPr="00372998" w:rsidRDefault="00372998" w:rsidP="00372998">
            <w:r w:rsidRPr="00372998">
              <w:t>784</w:t>
            </w:r>
          </w:p>
        </w:tc>
      </w:tr>
      <w:tr w:rsidR="00372998" w:rsidRPr="00372998" w14:paraId="756016D7" w14:textId="77777777" w:rsidTr="00736DA9">
        <w:trPr>
          <w:trHeight w:val="300"/>
        </w:trPr>
        <w:tc>
          <w:tcPr>
            <w:tcW w:w="3415" w:type="dxa"/>
            <w:noWrap/>
            <w:hideMark/>
          </w:tcPr>
          <w:p w14:paraId="6276C6E1" w14:textId="77777777" w:rsidR="00372998" w:rsidRPr="00372998" w:rsidRDefault="00372998" w:rsidP="00372998">
            <w:r w:rsidRPr="00372998">
              <w:t>South Carolina</w:t>
            </w:r>
          </w:p>
        </w:tc>
        <w:tc>
          <w:tcPr>
            <w:tcW w:w="3330" w:type="dxa"/>
            <w:noWrap/>
            <w:hideMark/>
          </w:tcPr>
          <w:p w14:paraId="01B87F0F" w14:textId="77777777" w:rsidR="00372998" w:rsidRPr="00372998" w:rsidRDefault="00372998" w:rsidP="00372998">
            <w:r w:rsidRPr="00372998">
              <w:t>Abbeville</w:t>
            </w:r>
          </w:p>
        </w:tc>
        <w:tc>
          <w:tcPr>
            <w:tcW w:w="2880" w:type="dxa"/>
            <w:noWrap/>
            <w:hideMark/>
          </w:tcPr>
          <w:p w14:paraId="1DEF0358" w14:textId="77777777" w:rsidR="00372998" w:rsidRPr="00372998" w:rsidRDefault="00372998" w:rsidP="00372998">
            <w:r w:rsidRPr="00372998">
              <w:t>769</w:t>
            </w:r>
          </w:p>
        </w:tc>
      </w:tr>
      <w:tr w:rsidR="00372998" w:rsidRPr="00372998" w14:paraId="0D56C1E0" w14:textId="77777777" w:rsidTr="00736DA9">
        <w:trPr>
          <w:trHeight w:val="300"/>
        </w:trPr>
        <w:tc>
          <w:tcPr>
            <w:tcW w:w="3415" w:type="dxa"/>
            <w:noWrap/>
            <w:hideMark/>
          </w:tcPr>
          <w:p w14:paraId="02593F14" w14:textId="77777777" w:rsidR="00372998" w:rsidRPr="00372998" w:rsidRDefault="00372998" w:rsidP="00372998">
            <w:r w:rsidRPr="00372998">
              <w:t>South Carolina</w:t>
            </w:r>
          </w:p>
        </w:tc>
        <w:tc>
          <w:tcPr>
            <w:tcW w:w="3330" w:type="dxa"/>
            <w:noWrap/>
            <w:hideMark/>
          </w:tcPr>
          <w:p w14:paraId="34D5973E" w14:textId="77777777" w:rsidR="00372998" w:rsidRPr="00372998" w:rsidRDefault="00372998" w:rsidP="00372998">
            <w:r w:rsidRPr="00372998">
              <w:t>Laurens</w:t>
            </w:r>
          </w:p>
        </w:tc>
        <w:tc>
          <w:tcPr>
            <w:tcW w:w="2880" w:type="dxa"/>
            <w:noWrap/>
            <w:hideMark/>
          </w:tcPr>
          <w:p w14:paraId="0117E91E" w14:textId="77777777" w:rsidR="00372998" w:rsidRPr="00372998" w:rsidRDefault="00372998" w:rsidP="00372998">
            <w:r w:rsidRPr="00372998">
              <w:t>757</w:t>
            </w:r>
          </w:p>
        </w:tc>
      </w:tr>
      <w:tr w:rsidR="00372998" w:rsidRPr="00372998" w14:paraId="41CA3F53" w14:textId="77777777" w:rsidTr="00736DA9">
        <w:trPr>
          <w:trHeight w:val="300"/>
        </w:trPr>
        <w:tc>
          <w:tcPr>
            <w:tcW w:w="3415" w:type="dxa"/>
            <w:noWrap/>
            <w:hideMark/>
          </w:tcPr>
          <w:p w14:paraId="545854AA" w14:textId="77777777" w:rsidR="00372998" w:rsidRPr="00372998" w:rsidRDefault="00372998" w:rsidP="00372998">
            <w:r w:rsidRPr="00372998">
              <w:t>South Carolina</w:t>
            </w:r>
          </w:p>
        </w:tc>
        <w:tc>
          <w:tcPr>
            <w:tcW w:w="3330" w:type="dxa"/>
            <w:noWrap/>
            <w:hideMark/>
          </w:tcPr>
          <w:p w14:paraId="5BB4DC21" w14:textId="77777777" w:rsidR="00372998" w:rsidRPr="00372998" w:rsidRDefault="00372998" w:rsidP="00372998">
            <w:r w:rsidRPr="00372998">
              <w:t>Greenwood</w:t>
            </w:r>
          </w:p>
        </w:tc>
        <w:tc>
          <w:tcPr>
            <w:tcW w:w="2880" w:type="dxa"/>
            <w:noWrap/>
            <w:hideMark/>
          </w:tcPr>
          <w:p w14:paraId="446DC278" w14:textId="77777777" w:rsidR="00372998" w:rsidRPr="00372998" w:rsidRDefault="00372998" w:rsidP="00372998">
            <w:r w:rsidRPr="00372998">
              <w:t>754</w:t>
            </w:r>
          </w:p>
        </w:tc>
      </w:tr>
      <w:tr w:rsidR="00372998" w:rsidRPr="00372998" w14:paraId="38BFF0FC" w14:textId="77777777" w:rsidTr="00736DA9">
        <w:trPr>
          <w:trHeight w:val="300"/>
        </w:trPr>
        <w:tc>
          <w:tcPr>
            <w:tcW w:w="3415" w:type="dxa"/>
            <w:noWrap/>
            <w:hideMark/>
          </w:tcPr>
          <w:p w14:paraId="06EC22CE" w14:textId="77777777" w:rsidR="00372998" w:rsidRPr="00372998" w:rsidRDefault="00372998" w:rsidP="00372998">
            <w:r w:rsidRPr="00372998">
              <w:t>South Carolina</w:t>
            </w:r>
          </w:p>
        </w:tc>
        <w:tc>
          <w:tcPr>
            <w:tcW w:w="3330" w:type="dxa"/>
            <w:noWrap/>
            <w:hideMark/>
          </w:tcPr>
          <w:p w14:paraId="2BFFEF89" w14:textId="77777777" w:rsidR="00372998" w:rsidRPr="00372998" w:rsidRDefault="00372998" w:rsidP="00372998">
            <w:r w:rsidRPr="00372998">
              <w:t>Lee</w:t>
            </w:r>
          </w:p>
        </w:tc>
        <w:tc>
          <w:tcPr>
            <w:tcW w:w="2880" w:type="dxa"/>
            <w:noWrap/>
            <w:hideMark/>
          </w:tcPr>
          <w:p w14:paraId="1495252D" w14:textId="77777777" w:rsidR="00372998" w:rsidRPr="00372998" w:rsidRDefault="00372998" w:rsidP="00372998">
            <w:r w:rsidRPr="00372998">
              <w:t>734</w:t>
            </w:r>
          </w:p>
        </w:tc>
      </w:tr>
      <w:tr w:rsidR="00372998" w:rsidRPr="00372998" w14:paraId="19DE62B4" w14:textId="77777777" w:rsidTr="00736DA9">
        <w:trPr>
          <w:trHeight w:val="300"/>
        </w:trPr>
        <w:tc>
          <w:tcPr>
            <w:tcW w:w="3415" w:type="dxa"/>
            <w:noWrap/>
            <w:hideMark/>
          </w:tcPr>
          <w:p w14:paraId="368CD1E2" w14:textId="77777777" w:rsidR="00372998" w:rsidRPr="00372998" w:rsidRDefault="00372998" w:rsidP="00372998">
            <w:r w:rsidRPr="00372998">
              <w:t>South Carolina</w:t>
            </w:r>
          </w:p>
        </w:tc>
        <w:tc>
          <w:tcPr>
            <w:tcW w:w="3330" w:type="dxa"/>
            <w:noWrap/>
            <w:hideMark/>
          </w:tcPr>
          <w:p w14:paraId="535C98E0" w14:textId="77777777" w:rsidR="00372998" w:rsidRPr="00372998" w:rsidRDefault="00372998" w:rsidP="00372998">
            <w:r w:rsidRPr="00372998">
              <w:t>Sumter</w:t>
            </w:r>
          </w:p>
        </w:tc>
        <w:tc>
          <w:tcPr>
            <w:tcW w:w="2880" w:type="dxa"/>
            <w:noWrap/>
            <w:hideMark/>
          </w:tcPr>
          <w:p w14:paraId="2261B80C" w14:textId="77777777" w:rsidR="00372998" w:rsidRPr="00372998" w:rsidRDefault="00372998" w:rsidP="00372998">
            <w:r w:rsidRPr="00372998">
              <w:t>734</w:t>
            </w:r>
          </w:p>
        </w:tc>
      </w:tr>
      <w:tr w:rsidR="00372998" w:rsidRPr="00372998" w14:paraId="6B0B1AFC" w14:textId="77777777" w:rsidTr="00736DA9">
        <w:trPr>
          <w:trHeight w:val="300"/>
        </w:trPr>
        <w:tc>
          <w:tcPr>
            <w:tcW w:w="3415" w:type="dxa"/>
            <w:noWrap/>
            <w:hideMark/>
          </w:tcPr>
          <w:p w14:paraId="037D4BAA" w14:textId="77777777" w:rsidR="00372998" w:rsidRPr="00372998" w:rsidRDefault="00372998" w:rsidP="00372998">
            <w:r w:rsidRPr="00372998">
              <w:t>South Carolina</w:t>
            </w:r>
          </w:p>
        </w:tc>
        <w:tc>
          <w:tcPr>
            <w:tcW w:w="3330" w:type="dxa"/>
            <w:noWrap/>
            <w:hideMark/>
          </w:tcPr>
          <w:p w14:paraId="78CC7C0A" w14:textId="77777777" w:rsidR="00372998" w:rsidRPr="00372998" w:rsidRDefault="00372998" w:rsidP="00372998">
            <w:r w:rsidRPr="00372998">
              <w:t>McCormick</w:t>
            </w:r>
          </w:p>
        </w:tc>
        <w:tc>
          <w:tcPr>
            <w:tcW w:w="2880" w:type="dxa"/>
            <w:noWrap/>
            <w:hideMark/>
          </w:tcPr>
          <w:p w14:paraId="57BF902E" w14:textId="77777777" w:rsidR="00372998" w:rsidRPr="00372998" w:rsidRDefault="00372998" w:rsidP="00372998">
            <w:r w:rsidRPr="00372998">
              <w:t>728</w:t>
            </w:r>
          </w:p>
        </w:tc>
      </w:tr>
      <w:tr w:rsidR="00372998" w:rsidRPr="00372998" w14:paraId="13A19211" w14:textId="77777777" w:rsidTr="00736DA9">
        <w:trPr>
          <w:trHeight w:val="300"/>
        </w:trPr>
        <w:tc>
          <w:tcPr>
            <w:tcW w:w="3415" w:type="dxa"/>
            <w:noWrap/>
            <w:hideMark/>
          </w:tcPr>
          <w:p w14:paraId="2417336E" w14:textId="77777777" w:rsidR="00372998" w:rsidRPr="00372998" w:rsidRDefault="00372998" w:rsidP="00372998">
            <w:r w:rsidRPr="00372998">
              <w:t>South Carolina</w:t>
            </w:r>
          </w:p>
        </w:tc>
        <w:tc>
          <w:tcPr>
            <w:tcW w:w="3330" w:type="dxa"/>
            <w:noWrap/>
            <w:hideMark/>
          </w:tcPr>
          <w:p w14:paraId="291CBC6F" w14:textId="77777777" w:rsidR="00372998" w:rsidRPr="00372998" w:rsidRDefault="00372998" w:rsidP="00372998">
            <w:r w:rsidRPr="00372998">
              <w:t>Bamberg</w:t>
            </w:r>
          </w:p>
        </w:tc>
        <w:tc>
          <w:tcPr>
            <w:tcW w:w="2880" w:type="dxa"/>
            <w:noWrap/>
            <w:hideMark/>
          </w:tcPr>
          <w:p w14:paraId="4E75AE03" w14:textId="77777777" w:rsidR="00372998" w:rsidRPr="00372998" w:rsidRDefault="00372998" w:rsidP="00372998">
            <w:r w:rsidRPr="00372998">
              <w:t>696</w:t>
            </w:r>
          </w:p>
        </w:tc>
      </w:tr>
      <w:tr w:rsidR="00372998" w:rsidRPr="00372998" w14:paraId="0287E58B" w14:textId="77777777" w:rsidTr="00736DA9">
        <w:trPr>
          <w:trHeight w:val="300"/>
        </w:trPr>
        <w:tc>
          <w:tcPr>
            <w:tcW w:w="3415" w:type="dxa"/>
            <w:noWrap/>
            <w:hideMark/>
          </w:tcPr>
          <w:p w14:paraId="386D5C02" w14:textId="77777777" w:rsidR="00372998" w:rsidRPr="00372998" w:rsidRDefault="00372998" w:rsidP="00372998">
            <w:r w:rsidRPr="00372998">
              <w:t>South Carolina</w:t>
            </w:r>
          </w:p>
        </w:tc>
        <w:tc>
          <w:tcPr>
            <w:tcW w:w="3330" w:type="dxa"/>
            <w:noWrap/>
            <w:hideMark/>
          </w:tcPr>
          <w:p w14:paraId="566F9DA7" w14:textId="77777777" w:rsidR="00372998" w:rsidRPr="00372998" w:rsidRDefault="00372998" w:rsidP="00372998">
            <w:r w:rsidRPr="00372998">
              <w:t>Newberry</w:t>
            </w:r>
          </w:p>
        </w:tc>
        <w:tc>
          <w:tcPr>
            <w:tcW w:w="2880" w:type="dxa"/>
            <w:noWrap/>
            <w:hideMark/>
          </w:tcPr>
          <w:p w14:paraId="13000336" w14:textId="77777777" w:rsidR="00372998" w:rsidRPr="00372998" w:rsidRDefault="00372998" w:rsidP="00372998">
            <w:r w:rsidRPr="00372998">
              <w:t>681</w:t>
            </w:r>
          </w:p>
        </w:tc>
      </w:tr>
      <w:tr w:rsidR="00372998" w:rsidRPr="00372998" w14:paraId="2094B791" w14:textId="77777777" w:rsidTr="00736DA9">
        <w:trPr>
          <w:trHeight w:val="300"/>
        </w:trPr>
        <w:tc>
          <w:tcPr>
            <w:tcW w:w="3415" w:type="dxa"/>
            <w:noWrap/>
            <w:hideMark/>
          </w:tcPr>
          <w:p w14:paraId="327DBE71" w14:textId="77777777" w:rsidR="00372998" w:rsidRPr="00372998" w:rsidRDefault="00372998" w:rsidP="00372998">
            <w:r w:rsidRPr="00372998">
              <w:t>South Carolina</w:t>
            </w:r>
          </w:p>
        </w:tc>
        <w:tc>
          <w:tcPr>
            <w:tcW w:w="3330" w:type="dxa"/>
            <w:noWrap/>
            <w:hideMark/>
          </w:tcPr>
          <w:p w14:paraId="1CFFD0B1" w14:textId="77777777" w:rsidR="00372998" w:rsidRPr="00372998" w:rsidRDefault="00372998" w:rsidP="00372998">
            <w:r w:rsidRPr="00372998">
              <w:t>Clarendon</w:t>
            </w:r>
          </w:p>
        </w:tc>
        <w:tc>
          <w:tcPr>
            <w:tcW w:w="2880" w:type="dxa"/>
            <w:noWrap/>
            <w:hideMark/>
          </w:tcPr>
          <w:p w14:paraId="1CF5E667" w14:textId="77777777" w:rsidR="00372998" w:rsidRPr="00372998" w:rsidRDefault="00372998" w:rsidP="00372998">
            <w:r w:rsidRPr="00372998">
              <w:t>656</w:t>
            </w:r>
          </w:p>
        </w:tc>
      </w:tr>
      <w:tr w:rsidR="00372998" w:rsidRPr="00372998" w14:paraId="61EFBC92" w14:textId="77777777" w:rsidTr="00736DA9">
        <w:trPr>
          <w:trHeight w:val="300"/>
        </w:trPr>
        <w:tc>
          <w:tcPr>
            <w:tcW w:w="3415" w:type="dxa"/>
            <w:noWrap/>
            <w:hideMark/>
          </w:tcPr>
          <w:p w14:paraId="0452E75B" w14:textId="77777777" w:rsidR="00372998" w:rsidRPr="00372998" w:rsidRDefault="00372998" w:rsidP="00372998">
            <w:r w:rsidRPr="00372998">
              <w:t>South Carolina</w:t>
            </w:r>
          </w:p>
        </w:tc>
        <w:tc>
          <w:tcPr>
            <w:tcW w:w="3330" w:type="dxa"/>
            <w:noWrap/>
            <w:hideMark/>
          </w:tcPr>
          <w:p w14:paraId="7B8251F1" w14:textId="77777777" w:rsidR="00372998" w:rsidRPr="00372998" w:rsidRDefault="00372998" w:rsidP="00372998">
            <w:r w:rsidRPr="00372998">
              <w:t>Colleton</w:t>
            </w:r>
          </w:p>
        </w:tc>
        <w:tc>
          <w:tcPr>
            <w:tcW w:w="2880" w:type="dxa"/>
            <w:noWrap/>
            <w:hideMark/>
          </w:tcPr>
          <w:p w14:paraId="518E7A1E" w14:textId="77777777" w:rsidR="00372998" w:rsidRPr="00372998" w:rsidRDefault="00372998" w:rsidP="00372998">
            <w:r w:rsidRPr="00372998">
              <w:t>649</w:t>
            </w:r>
          </w:p>
        </w:tc>
      </w:tr>
      <w:tr w:rsidR="00372998" w:rsidRPr="00372998" w14:paraId="1A58F7D2" w14:textId="77777777" w:rsidTr="00736DA9">
        <w:trPr>
          <w:trHeight w:val="300"/>
        </w:trPr>
        <w:tc>
          <w:tcPr>
            <w:tcW w:w="3415" w:type="dxa"/>
            <w:noWrap/>
            <w:hideMark/>
          </w:tcPr>
          <w:p w14:paraId="4522078D" w14:textId="77777777" w:rsidR="00372998" w:rsidRPr="00372998" w:rsidRDefault="00372998" w:rsidP="00372998">
            <w:r w:rsidRPr="00372998">
              <w:t>South Carolina</w:t>
            </w:r>
          </w:p>
        </w:tc>
        <w:tc>
          <w:tcPr>
            <w:tcW w:w="3330" w:type="dxa"/>
            <w:noWrap/>
            <w:hideMark/>
          </w:tcPr>
          <w:p w14:paraId="4588963F" w14:textId="77777777" w:rsidR="00372998" w:rsidRPr="00372998" w:rsidRDefault="00372998" w:rsidP="00372998">
            <w:r w:rsidRPr="00372998">
              <w:t>Georgetown</w:t>
            </w:r>
          </w:p>
        </w:tc>
        <w:tc>
          <w:tcPr>
            <w:tcW w:w="2880" w:type="dxa"/>
            <w:noWrap/>
            <w:hideMark/>
          </w:tcPr>
          <w:p w14:paraId="23F8C98D" w14:textId="77777777" w:rsidR="00372998" w:rsidRPr="00372998" w:rsidRDefault="00372998" w:rsidP="00372998">
            <w:r w:rsidRPr="00372998">
              <w:t>632</w:t>
            </w:r>
          </w:p>
        </w:tc>
      </w:tr>
      <w:tr w:rsidR="00372998" w:rsidRPr="00372998" w14:paraId="22E7412C" w14:textId="77777777" w:rsidTr="00736DA9">
        <w:trPr>
          <w:trHeight w:val="300"/>
        </w:trPr>
        <w:tc>
          <w:tcPr>
            <w:tcW w:w="3415" w:type="dxa"/>
            <w:noWrap/>
            <w:hideMark/>
          </w:tcPr>
          <w:p w14:paraId="622805B5" w14:textId="77777777" w:rsidR="00372998" w:rsidRPr="00372998" w:rsidRDefault="00372998" w:rsidP="00372998">
            <w:r w:rsidRPr="00372998">
              <w:t>South Carolina</w:t>
            </w:r>
          </w:p>
        </w:tc>
        <w:tc>
          <w:tcPr>
            <w:tcW w:w="3330" w:type="dxa"/>
            <w:noWrap/>
            <w:hideMark/>
          </w:tcPr>
          <w:p w14:paraId="346FE977" w14:textId="77777777" w:rsidR="00372998" w:rsidRPr="00372998" w:rsidRDefault="00372998" w:rsidP="00372998">
            <w:r w:rsidRPr="00372998">
              <w:t>Dillon</w:t>
            </w:r>
          </w:p>
        </w:tc>
        <w:tc>
          <w:tcPr>
            <w:tcW w:w="2880" w:type="dxa"/>
            <w:noWrap/>
            <w:hideMark/>
          </w:tcPr>
          <w:p w14:paraId="445C459C" w14:textId="77777777" w:rsidR="00372998" w:rsidRPr="00372998" w:rsidRDefault="00372998" w:rsidP="00372998">
            <w:r w:rsidRPr="00372998">
              <w:t>630</w:t>
            </w:r>
          </w:p>
        </w:tc>
      </w:tr>
      <w:tr w:rsidR="00372998" w:rsidRPr="00372998" w14:paraId="15B690BB" w14:textId="77777777" w:rsidTr="00736DA9">
        <w:trPr>
          <w:trHeight w:val="300"/>
        </w:trPr>
        <w:tc>
          <w:tcPr>
            <w:tcW w:w="3415" w:type="dxa"/>
            <w:noWrap/>
            <w:hideMark/>
          </w:tcPr>
          <w:p w14:paraId="1CBC041C" w14:textId="77777777" w:rsidR="00372998" w:rsidRPr="00372998" w:rsidRDefault="00372998" w:rsidP="00372998">
            <w:r w:rsidRPr="00372998">
              <w:t>South Carolina</w:t>
            </w:r>
          </w:p>
        </w:tc>
        <w:tc>
          <w:tcPr>
            <w:tcW w:w="3330" w:type="dxa"/>
            <w:noWrap/>
            <w:hideMark/>
          </w:tcPr>
          <w:p w14:paraId="73F678D1" w14:textId="77777777" w:rsidR="00372998" w:rsidRPr="00372998" w:rsidRDefault="00372998" w:rsidP="00372998">
            <w:r w:rsidRPr="00372998">
              <w:t>Aiken</w:t>
            </w:r>
          </w:p>
        </w:tc>
        <w:tc>
          <w:tcPr>
            <w:tcW w:w="2880" w:type="dxa"/>
            <w:noWrap/>
            <w:hideMark/>
          </w:tcPr>
          <w:p w14:paraId="5185D12D" w14:textId="77777777" w:rsidR="00372998" w:rsidRPr="00372998" w:rsidRDefault="00372998" w:rsidP="00372998">
            <w:r w:rsidRPr="00372998">
              <w:t>625</w:t>
            </w:r>
          </w:p>
        </w:tc>
      </w:tr>
      <w:tr w:rsidR="00372998" w:rsidRPr="00372998" w14:paraId="04AEE9B7" w14:textId="77777777" w:rsidTr="00736DA9">
        <w:trPr>
          <w:trHeight w:val="300"/>
        </w:trPr>
        <w:tc>
          <w:tcPr>
            <w:tcW w:w="3415" w:type="dxa"/>
            <w:noWrap/>
            <w:hideMark/>
          </w:tcPr>
          <w:p w14:paraId="17DB0032" w14:textId="77777777" w:rsidR="00372998" w:rsidRPr="00372998" w:rsidRDefault="00372998" w:rsidP="00372998">
            <w:r w:rsidRPr="00372998">
              <w:t>South Carolina</w:t>
            </w:r>
          </w:p>
        </w:tc>
        <w:tc>
          <w:tcPr>
            <w:tcW w:w="3330" w:type="dxa"/>
            <w:noWrap/>
            <w:hideMark/>
          </w:tcPr>
          <w:p w14:paraId="47A342B9" w14:textId="77777777" w:rsidR="00372998" w:rsidRPr="00372998" w:rsidRDefault="00372998" w:rsidP="00372998">
            <w:r w:rsidRPr="00372998">
              <w:t>Oconee</w:t>
            </w:r>
          </w:p>
        </w:tc>
        <w:tc>
          <w:tcPr>
            <w:tcW w:w="2880" w:type="dxa"/>
            <w:noWrap/>
            <w:hideMark/>
          </w:tcPr>
          <w:p w14:paraId="5D4394C3" w14:textId="77777777" w:rsidR="00372998" w:rsidRPr="00372998" w:rsidRDefault="00372998" w:rsidP="00372998">
            <w:r w:rsidRPr="00372998">
              <w:t>602</w:t>
            </w:r>
          </w:p>
        </w:tc>
      </w:tr>
      <w:tr w:rsidR="00372998" w:rsidRPr="00372998" w14:paraId="5BC7447A" w14:textId="77777777" w:rsidTr="00736DA9">
        <w:trPr>
          <w:trHeight w:val="300"/>
        </w:trPr>
        <w:tc>
          <w:tcPr>
            <w:tcW w:w="3415" w:type="dxa"/>
            <w:noWrap/>
            <w:hideMark/>
          </w:tcPr>
          <w:p w14:paraId="4548C209" w14:textId="77777777" w:rsidR="00372998" w:rsidRPr="00372998" w:rsidRDefault="00372998" w:rsidP="00372998">
            <w:r w:rsidRPr="00372998">
              <w:t>South Carolina</w:t>
            </w:r>
          </w:p>
        </w:tc>
        <w:tc>
          <w:tcPr>
            <w:tcW w:w="3330" w:type="dxa"/>
            <w:noWrap/>
            <w:hideMark/>
          </w:tcPr>
          <w:p w14:paraId="1348A1B9" w14:textId="77777777" w:rsidR="00372998" w:rsidRPr="00372998" w:rsidRDefault="00372998" w:rsidP="00372998">
            <w:r w:rsidRPr="00372998">
              <w:t>Hampton</w:t>
            </w:r>
          </w:p>
        </w:tc>
        <w:tc>
          <w:tcPr>
            <w:tcW w:w="2880" w:type="dxa"/>
            <w:noWrap/>
            <w:hideMark/>
          </w:tcPr>
          <w:p w14:paraId="6470F080" w14:textId="77777777" w:rsidR="00372998" w:rsidRPr="00372998" w:rsidRDefault="00372998" w:rsidP="00372998">
            <w:r w:rsidRPr="00372998">
              <w:t>588</w:t>
            </w:r>
          </w:p>
        </w:tc>
      </w:tr>
      <w:tr w:rsidR="00372998" w:rsidRPr="00372998" w14:paraId="45CC9881" w14:textId="77777777" w:rsidTr="00736DA9">
        <w:trPr>
          <w:trHeight w:val="300"/>
        </w:trPr>
        <w:tc>
          <w:tcPr>
            <w:tcW w:w="3415" w:type="dxa"/>
            <w:noWrap/>
            <w:hideMark/>
          </w:tcPr>
          <w:p w14:paraId="069ADE55" w14:textId="77777777" w:rsidR="00372998" w:rsidRPr="00372998" w:rsidRDefault="00372998" w:rsidP="00372998">
            <w:r w:rsidRPr="00372998">
              <w:t>South Carolina</w:t>
            </w:r>
          </w:p>
        </w:tc>
        <w:tc>
          <w:tcPr>
            <w:tcW w:w="3330" w:type="dxa"/>
            <w:noWrap/>
            <w:hideMark/>
          </w:tcPr>
          <w:p w14:paraId="7E500677" w14:textId="77777777" w:rsidR="00372998" w:rsidRPr="00372998" w:rsidRDefault="00372998" w:rsidP="00372998">
            <w:r w:rsidRPr="00372998">
              <w:t>Fairfield</w:t>
            </w:r>
          </w:p>
        </w:tc>
        <w:tc>
          <w:tcPr>
            <w:tcW w:w="2880" w:type="dxa"/>
            <w:noWrap/>
            <w:hideMark/>
          </w:tcPr>
          <w:p w14:paraId="5F150E25" w14:textId="77777777" w:rsidR="00372998" w:rsidRPr="00372998" w:rsidRDefault="00372998" w:rsidP="00372998">
            <w:r w:rsidRPr="00372998">
              <w:t>585</w:t>
            </w:r>
          </w:p>
        </w:tc>
      </w:tr>
      <w:tr w:rsidR="00372998" w:rsidRPr="00372998" w14:paraId="47E70663" w14:textId="77777777" w:rsidTr="00736DA9">
        <w:trPr>
          <w:trHeight w:val="300"/>
        </w:trPr>
        <w:tc>
          <w:tcPr>
            <w:tcW w:w="3415" w:type="dxa"/>
            <w:noWrap/>
            <w:hideMark/>
          </w:tcPr>
          <w:p w14:paraId="55035864" w14:textId="77777777" w:rsidR="00372998" w:rsidRPr="00372998" w:rsidRDefault="00372998" w:rsidP="00372998">
            <w:r w:rsidRPr="00372998">
              <w:t>South Carolina</w:t>
            </w:r>
          </w:p>
        </w:tc>
        <w:tc>
          <w:tcPr>
            <w:tcW w:w="3330" w:type="dxa"/>
            <w:noWrap/>
            <w:hideMark/>
          </w:tcPr>
          <w:p w14:paraId="7C62D1C3" w14:textId="77777777" w:rsidR="00372998" w:rsidRPr="00372998" w:rsidRDefault="00372998" w:rsidP="00372998">
            <w:r w:rsidRPr="00372998">
              <w:t>Allendale</w:t>
            </w:r>
          </w:p>
        </w:tc>
        <w:tc>
          <w:tcPr>
            <w:tcW w:w="2880" w:type="dxa"/>
            <w:noWrap/>
            <w:hideMark/>
          </w:tcPr>
          <w:p w14:paraId="76161315" w14:textId="77777777" w:rsidR="00372998" w:rsidRPr="00372998" w:rsidRDefault="00372998" w:rsidP="00372998">
            <w:r w:rsidRPr="00372998">
              <w:t>560</w:t>
            </w:r>
          </w:p>
        </w:tc>
      </w:tr>
      <w:tr w:rsidR="00372998" w:rsidRPr="00372998" w14:paraId="10837211" w14:textId="77777777" w:rsidTr="00736DA9">
        <w:trPr>
          <w:trHeight w:val="300"/>
        </w:trPr>
        <w:tc>
          <w:tcPr>
            <w:tcW w:w="3415" w:type="dxa"/>
            <w:noWrap/>
            <w:hideMark/>
          </w:tcPr>
          <w:p w14:paraId="04ECE440" w14:textId="77777777" w:rsidR="00372998" w:rsidRPr="00372998" w:rsidRDefault="00372998" w:rsidP="00372998">
            <w:r w:rsidRPr="00372998">
              <w:t>South Carolina</w:t>
            </w:r>
          </w:p>
        </w:tc>
        <w:tc>
          <w:tcPr>
            <w:tcW w:w="3330" w:type="dxa"/>
            <w:noWrap/>
            <w:hideMark/>
          </w:tcPr>
          <w:p w14:paraId="0EFD2E64" w14:textId="77777777" w:rsidR="00372998" w:rsidRPr="00372998" w:rsidRDefault="00372998" w:rsidP="00372998">
            <w:r w:rsidRPr="00372998">
              <w:t>Chester</w:t>
            </w:r>
          </w:p>
        </w:tc>
        <w:tc>
          <w:tcPr>
            <w:tcW w:w="2880" w:type="dxa"/>
            <w:noWrap/>
            <w:hideMark/>
          </w:tcPr>
          <w:p w14:paraId="21E95C37" w14:textId="77777777" w:rsidR="00372998" w:rsidRPr="00372998" w:rsidRDefault="00372998" w:rsidP="00372998">
            <w:r w:rsidRPr="00372998">
              <w:t>558</w:t>
            </w:r>
          </w:p>
        </w:tc>
      </w:tr>
      <w:tr w:rsidR="00372998" w:rsidRPr="00372998" w14:paraId="761508B0" w14:textId="77777777" w:rsidTr="00736DA9">
        <w:trPr>
          <w:trHeight w:val="300"/>
        </w:trPr>
        <w:tc>
          <w:tcPr>
            <w:tcW w:w="3415" w:type="dxa"/>
            <w:noWrap/>
            <w:hideMark/>
          </w:tcPr>
          <w:p w14:paraId="1DBB9F9D" w14:textId="77777777" w:rsidR="00372998" w:rsidRPr="00372998" w:rsidRDefault="00372998" w:rsidP="00372998">
            <w:r w:rsidRPr="00372998">
              <w:lastRenderedPageBreak/>
              <w:t>South Carolina</w:t>
            </w:r>
          </w:p>
        </w:tc>
        <w:tc>
          <w:tcPr>
            <w:tcW w:w="3330" w:type="dxa"/>
            <w:noWrap/>
            <w:hideMark/>
          </w:tcPr>
          <w:p w14:paraId="41E70EAB" w14:textId="77777777" w:rsidR="00372998" w:rsidRPr="00372998" w:rsidRDefault="00372998" w:rsidP="00372998">
            <w:r w:rsidRPr="00372998">
              <w:t>Jasper</w:t>
            </w:r>
          </w:p>
        </w:tc>
        <w:tc>
          <w:tcPr>
            <w:tcW w:w="2880" w:type="dxa"/>
            <w:noWrap/>
            <w:hideMark/>
          </w:tcPr>
          <w:p w14:paraId="582A9EA5" w14:textId="77777777" w:rsidR="00372998" w:rsidRPr="00372998" w:rsidRDefault="00372998" w:rsidP="00372998">
            <w:r w:rsidRPr="00372998">
              <w:t>553</w:t>
            </w:r>
          </w:p>
        </w:tc>
      </w:tr>
      <w:tr w:rsidR="00372998" w:rsidRPr="00372998" w14:paraId="6A41874C" w14:textId="77777777" w:rsidTr="00736DA9">
        <w:trPr>
          <w:trHeight w:val="300"/>
        </w:trPr>
        <w:tc>
          <w:tcPr>
            <w:tcW w:w="3415" w:type="dxa"/>
            <w:noWrap/>
            <w:hideMark/>
          </w:tcPr>
          <w:p w14:paraId="1FFB4598" w14:textId="77777777" w:rsidR="00372998" w:rsidRPr="00372998" w:rsidRDefault="00372998" w:rsidP="00372998">
            <w:r w:rsidRPr="00372998">
              <w:t>South Carolina</w:t>
            </w:r>
          </w:p>
        </w:tc>
        <w:tc>
          <w:tcPr>
            <w:tcW w:w="3330" w:type="dxa"/>
            <w:noWrap/>
            <w:hideMark/>
          </w:tcPr>
          <w:p w14:paraId="05A9A33A" w14:textId="77777777" w:rsidR="00372998" w:rsidRPr="00372998" w:rsidRDefault="00372998" w:rsidP="00372998">
            <w:r w:rsidRPr="00372998">
              <w:t>Pickens</w:t>
            </w:r>
          </w:p>
        </w:tc>
        <w:tc>
          <w:tcPr>
            <w:tcW w:w="2880" w:type="dxa"/>
            <w:noWrap/>
            <w:hideMark/>
          </w:tcPr>
          <w:p w14:paraId="57E794BA" w14:textId="77777777" w:rsidR="00372998" w:rsidRPr="00372998" w:rsidRDefault="00372998" w:rsidP="00372998">
            <w:r w:rsidRPr="00372998">
              <w:t>553</w:t>
            </w:r>
          </w:p>
        </w:tc>
      </w:tr>
      <w:tr w:rsidR="00372998" w:rsidRPr="00372998" w14:paraId="5DD2DCFF" w14:textId="77777777" w:rsidTr="00736DA9">
        <w:trPr>
          <w:trHeight w:val="300"/>
        </w:trPr>
        <w:tc>
          <w:tcPr>
            <w:tcW w:w="3415" w:type="dxa"/>
            <w:noWrap/>
            <w:hideMark/>
          </w:tcPr>
          <w:p w14:paraId="6EF065BE" w14:textId="77777777" w:rsidR="00372998" w:rsidRPr="00372998" w:rsidRDefault="00372998" w:rsidP="00372998">
            <w:r w:rsidRPr="00372998">
              <w:t>South Carolina</w:t>
            </w:r>
          </w:p>
        </w:tc>
        <w:tc>
          <w:tcPr>
            <w:tcW w:w="3330" w:type="dxa"/>
            <w:noWrap/>
            <w:hideMark/>
          </w:tcPr>
          <w:p w14:paraId="177C22E3" w14:textId="77777777" w:rsidR="00372998" w:rsidRPr="00372998" w:rsidRDefault="00372998" w:rsidP="00372998">
            <w:r w:rsidRPr="00372998">
              <w:t>Greenville</w:t>
            </w:r>
          </w:p>
        </w:tc>
        <w:tc>
          <w:tcPr>
            <w:tcW w:w="2880" w:type="dxa"/>
            <w:noWrap/>
            <w:hideMark/>
          </w:tcPr>
          <w:p w14:paraId="1053117F" w14:textId="77777777" w:rsidR="00372998" w:rsidRPr="00372998" w:rsidRDefault="00372998" w:rsidP="00372998">
            <w:r w:rsidRPr="00372998">
              <w:t>543</w:t>
            </w:r>
          </w:p>
        </w:tc>
      </w:tr>
      <w:tr w:rsidR="00372998" w:rsidRPr="00372998" w14:paraId="2BD8FBAE" w14:textId="77777777" w:rsidTr="00736DA9">
        <w:trPr>
          <w:trHeight w:val="300"/>
        </w:trPr>
        <w:tc>
          <w:tcPr>
            <w:tcW w:w="3415" w:type="dxa"/>
            <w:noWrap/>
            <w:hideMark/>
          </w:tcPr>
          <w:p w14:paraId="7D7514C0" w14:textId="77777777" w:rsidR="00372998" w:rsidRPr="00372998" w:rsidRDefault="00372998" w:rsidP="00372998">
            <w:r w:rsidRPr="00372998">
              <w:t>South Carolina</w:t>
            </w:r>
          </w:p>
        </w:tc>
        <w:tc>
          <w:tcPr>
            <w:tcW w:w="3330" w:type="dxa"/>
            <w:noWrap/>
            <w:hideMark/>
          </w:tcPr>
          <w:p w14:paraId="0FA9FC18" w14:textId="77777777" w:rsidR="00372998" w:rsidRPr="00372998" w:rsidRDefault="00372998" w:rsidP="00372998">
            <w:r w:rsidRPr="00372998">
              <w:t>York</w:t>
            </w:r>
          </w:p>
        </w:tc>
        <w:tc>
          <w:tcPr>
            <w:tcW w:w="2880" w:type="dxa"/>
            <w:noWrap/>
            <w:hideMark/>
          </w:tcPr>
          <w:p w14:paraId="0738DF3E" w14:textId="77777777" w:rsidR="00372998" w:rsidRPr="00372998" w:rsidRDefault="00372998" w:rsidP="00372998">
            <w:r w:rsidRPr="00372998">
              <w:t>530</w:t>
            </w:r>
          </w:p>
        </w:tc>
      </w:tr>
      <w:tr w:rsidR="00372998" w:rsidRPr="00372998" w14:paraId="05496481" w14:textId="77777777" w:rsidTr="00736DA9">
        <w:trPr>
          <w:trHeight w:val="300"/>
        </w:trPr>
        <w:tc>
          <w:tcPr>
            <w:tcW w:w="3415" w:type="dxa"/>
            <w:noWrap/>
            <w:hideMark/>
          </w:tcPr>
          <w:p w14:paraId="3E3C17DB" w14:textId="77777777" w:rsidR="00372998" w:rsidRPr="00372998" w:rsidRDefault="00372998" w:rsidP="00372998">
            <w:r w:rsidRPr="00372998">
              <w:t>South Carolina</w:t>
            </w:r>
          </w:p>
        </w:tc>
        <w:tc>
          <w:tcPr>
            <w:tcW w:w="3330" w:type="dxa"/>
            <w:noWrap/>
            <w:hideMark/>
          </w:tcPr>
          <w:p w14:paraId="226BF7A4" w14:textId="77777777" w:rsidR="00372998" w:rsidRPr="00372998" w:rsidRDefault="00372998" w:rsidP="00372998">
            <w:r w:rsidRPr="00372998">
              <w:t>Marlboro</w:t>
            </w:r>
          </w:p>
        </w:tc>
        <w:tc>
          <w:tcPr>
            <w:tcW w:w="2880" w:type="dxa"/>
            <w:noWrap/>
            <w:hideMark/>
          </w:tcPr>
          <w:p w14:paraId="23080235" w14:textId="77777777" w:rsidR="00372998" w:rsidRPr="00372998" w:rsidRDefault="00372998" w:rsidP="00372998">
            <w:r w:rsidRPr="00372998">
              <w:t>526</w:t>
            </w:r>
          </w:p>
        </w:tc>
      </w:tr>
      <w:tr w:rsidR="00372998" w:rsidRPr="00372998" w14:paraId="3198A9C8" w14:textId="77777777" w:rsidTr="00736DA9">
        <w:trPr>
          <w:trHeight w:val="300"/>
        </w:trPr>
        <w:tc>
          <w:tcPr>
            <w:tcW w:w="3415" w:type="dxa"/>
            <w:noWrap/>
            <w:hideMark/>
          </w:tcPr>
          <w:p w14:paraId="6BA153A5" w14:textId="77777777" w:rsidR="00372998" w:rsidRPr="00372998" w:rsidRDefault="00372998" w:rsidP="00372998">
            <w:r w:rsidRPr="00372998">
              <w:t>South Carolina</w:t>
            </w:r>
          </w:p>
        </w:tc>
        <w:tc>
          <w:tcPr>
            <w:tcW w:w="3330" w:type="dxa"/>
            <w:noWrap/>
            <w:hideMark/>
          </w:tcPr>
          <w:p w14:paraId="2712D648" w14:textId="77777777" w:rsidR="00372998" w:rsidRPr="00372998" w:rsidRDefault="00372998" w:rsidP="00372998">
            <w:r w:rsidRPr="00372998">
              <w:t>Edgefield</w:t>
            </w:r>
          </w:p>
        </w:tc>
        <w:tc>
          <w:tcPr>
            <w:tcW w:w="2880" w:type="dxa"/>
            <w:noWrap/>
            <w:hideMark/>
          </w:tcPr>
          <w:p w14:paraId="18B34CDE" w14:textId="77777777" w:rsidR="00372998" w:rsidRPr="00372998" w:rsidRDefault="00372998" w:rsidP="00372998">
            <w:r w:rsidRPr="00372998">
              <w:t>525</w:t>
            </w:r>
          </w:p>
        </w:tc>
      </w:tr>
      <w:tr w:rsidR="00372998" w:rsidRPr="00372998" w14:paraId="11113E77" w14:textId="77777777" w:rsidTr="00736DA9">
        <w:trPr>
          <w:trHeight w:val="300"/>
        </w:trPr>
        <w:tc>
          <w:tcPr>
            <w:tcW w:w="3415" w:type="dxa"/>
            <w:noWrap/>
            <w:hideMark/>
          </w:tcPr>
          <w:p w14:paraId="48B61BEC" w14:textId="77777777" w:rsidR="00372998" w:rsidRPr="00372998" w:rsidRDefault="00372998" w:rsidP="00372998">
            <w:r w:rsidRPr="00372998">
              <w:t>South Carolina</w:t>
            </w:r>
          </w:p>
        </w:tc>
        <w:tc>
          <w:tcPr>
            <w:tcW w:w="3330" w:type="dxa"/>
            <w:noWrap/>
            <w:hideMark/>
          </w:tcPr>
          <w:p w14:paraId="0D5A0467" w14:textId="77777777" w:rsidR="00372998" w:rsidRPr="00372998" w:rsidRDefault="00372998" w:rsidP="00372998">
            <w:r w:rsidRPr="00372998">
              <w:t>Horry</w:t>
            </w:r>
          </w:p>
        </w:tc>
        <w:tc>
          <w:tcPr>
            <w:tcW w:w="2880" w:type="dxa"/>
            <w:noWrap/>
            <w:hideMark/>
          </w:tcPr>
          <w:p w14:paraId="5167AAD3" w14:textId="77777777" w:rsidR="00372998" w:rsidRPr="00372998" w:rsidRDefault="00372998" w:rsidP="00372998">
            <w:r w:rsidRPr="00372998">
              <w:t>520</w:t>
            </w:r>
          </w:p>
        </w:tc>
      </w:tr>
      <w:tr w:rsidR="00372998" w:rsidRPr="00372998" w14:paraId="3BFA581F" w14:textId="77777777" w:rsidTr="00736DA9">
        <w:trPr>
          <w:trHeight w:val="300"/>
        </w:trPr>
        <w:tc>
          <w:tcPr>
            <w:tcW w:w="3415" w:type="dxa"/>
            <w:noWrap/>
            <w:hideMark/>
          </w:tcPr>
          <w:p w14:paraId="5D961E97" w14:textId="77777777" w:rsidR="00372998" w:rsidRPr="00372998" w:rsidRDefault="00372998" w:rsidP="00372998">
            <w:r w:rsidRPr="00372998">
              <w:t>South Carolina</w:t>
            </w:r>
          </w:p>
        </w:tc>
        <w:tc>
          <w:tcPr>
            <w:tcW w:w="3330" w:type="dxa"/>
            <w:noWrap/>
            <w:hideMark/>
          </w:tcPr>
          <w:p w14:paraId="63206C02" w14:textId="77777777" w:rsidR="00372998" w:rsidRPr="00372998" w:rsidRDefault="00372998" w:rsidP="00372998">
            <w:r w:rsidRPr="00372998">
              <w:t>Darlington</w:t>
            </w:r>
          </w:p>
        </w:tc>
        <w:tc>
          <w:tcPr>
            <w:tcW w:w="2880" w:type="dxa"/>
            <w:noWrap/>
            <w:hideMark/>
          </w:tcPr>
          <w:p w14:paraId="6DDC6ACE" w14:textId="77777777" w:rsidR="00372998" w:rsidRPr="00372998" w:rsidRDefault="00372998" w:rsidP="00372998">
            <w:r w:rsidRPr="00372998">
              <w:t>510</w:t>
            </w:r>
          </w:p>
        </w:tc>
      </w:tr>
      <w:tr w:rsidR="00372998" w:rsidRPr="00372998" w14:paraId="564470F3" w14:textId="77777777" w:rsidTr="00736DA9">
        <w:trPr>
          <w:trHeight w:val="300"/>
        </w:trPr>
        <w:tc>
          <w:tcPr>
            <w:tcW w:w="3415" w:type="dxa"/>
            <w:noWrap/>
            <w:hideMark/>
          </w:tcPr>
          <w:p w14:paraId="0E137DB3" w14:textId="77777777" w:rsidR="00372998" w:rsidRPr="00372998" w:rsidRDefault="00372998" w:rsidP="00372998">
            <w:r w:rsidRPr="00372998">
              <w:t>South Carolina</w:t>
            </w:r>
          </w:p>
        </w:tc>
        <w:tc>
          <w:tcPr>
            <w:tcW w:w="3330" w:type="dxa"/>
            <w:noWrap/>
            <w:hideMark/>
          </w:tcPr>
          <w:p w14:paraId="1CC9E6BD" w14:textId="77777777" w:rsidR="00372998" w:rsidRPr="00372998" w:rsidRDefault="00372998" w:rsidP="00372998">
            <w:r w:rsidRPr="00372998">
              <w:t>Charleston</w:t>
            </w:r>
          </w:p>
        </w:tc>
        <w:tc>
          <w:tcPr>
            <w:tcW w:w="2880" w:type="dxa"/>
            <w:noWrap/>
            <w:hideMark/>
          </w:tcPr>
          <w:p w14:paraId="08A5A8AC" w14:textId="77777777" w:rsidR="00372998" w:rsidRPr="00372998" w:rsidRDefault="00372998" w:rsidP="00372998">
            <w:r w:rsidRPr="00372998">
              <w:t>485</w:t>
            </w:r>
          </w:p>
        </w:tc>
      </w:tr>
      <w:tr w:rsidR="00372998" w:rsidRPr="00372998" w14:paraId="07AD69C7" w14:textId="77777777" w:rsidTr="00736DA9">
        <w:trPr>
          <w:trHeight w:val="300"/>
        </w:trPr>
        <w:tc>
          <w:tcPr>
            <w:tcW w:w="3415" w:type="dxa"/>
            <w:noWrap/>
            <w:hideMark/>
          </w:tcPr>
          <w:p w14:paraId="1AAE0966" w14:textId="77777777" w:rsidR="00372998" w:rsidRPr="00372998" w:rsidRDefault="00372998" w:rsidP="00372998">
            <w:r w:rsidRPr="00372998">
              <w:t>South Carolina</w:t>
            </w:r>
          </w:p>
        </w:tc>
        <w:tc>
          <w:tcPr>
            <w:tcW w:w="3330" w:type="dxa"/>
            <w:noWrap/>
            <w:hideMark/>
          </w:tcPr>
          <w:p w14:paraId="21AB4FD8" w14:textId="77777777" w:rsidR="00372998" w:rsidRPr="00372998" w:rsidRDefault="00372998" w:rsidP="00372998">
            <w:r w:rsidRPr="00372998">
              <w:t>Lancaster</w:t>
            </w:r>
          </w:p>
        </w:tc>
        <w:tc>
          <w:tcPr>
            <w:tcW w:w="2880" w:type="dxa"/>
            <w:noWrap/>
            <w:hideMark/>
          </w:tcPr>
          <w:p w14:paraId="4422D760" w14:textId="77777777" w:rsidR="00372998" w:rsidRPr="00372998" w:rsidRDefault="00372998" w:rsidP="00372998">
            <w:r w:rsidRPr="00372998">
              <w:t>470</w:t>
            </w:r>
          </w:p>
        </w:tc>
      </w:tr>
      <w:tr w:rsidR="00372998" w:rsidRPr="00372998" w14:paraId="5AEE4C07" w14:textId="77777777" w:rsidTr="00736DA9">
        <w:trPr>
          <w:trHeight w:val="300"/>
        </w:trPr>
        <w:tc>
          <w:tcPr>
            <w:tcW w:w="3415" w:type="dxa"/>
            <w:noWrap/>
            <w:hideMark/>
          </w:tcPr>
          <w:p w14:paraId="22BF99FD" w14:textId="77777777" w:rsidR="00372998" w:rsidRPr="00372998" w:rsidRDefault="00372998" w:rsidP="00372998">
            <w:r w:rsidRPr="00372998">
              <w:t>South Carolina</w:t>
            </w:r>
          </w:p>
        </w:tc>
        <w:tc>
          <w:tcPr>
            <w:tcW w:w="3330" w:type="dxa"/>
            <w:noWrap/>
            <w:hideMark/>
          </w:tcPr>
          <w:p w14:paraId="2B833635" w14:textId="77777777" w:rsidR="00372998" w:rsidRPr="00372998" w:rsidRDefault="00372998" w:rsidP="00372998">
            <w:r w:rsidRPr="00372998">
              <w:t>Lexington</w:t>
            </w:r>
          </w:p>
        </w:tc>
        <w:tc>
          <w:tcPr>
            <w:tcW w:w="2880" w:type="dxa"/>
            <w:noWrap/>
            <w:hideMark/>
          </w:tcPr>
          <w:p w14:paraId="63C36B0A" w14:textId="77777777" w:rsidR="00372998" w:rsidRPr="00372998" w:rsidRDefault="00372998" w:rsidP="00372998">
            <w:r w:rsidRPr="00372998">
              <w:t>462</w:t>
            </w:r>
          </w:p>
        </w:tc>
      </w:tr>
      <w:tr w:rsidR="00372998" w:rsidRPr="00372998" w14:paraId="1B24C2C9" w14:textId="77777777" w:rsidTr="00736DA9">
        <w:trPr>
          <w:trHeight w:val="300"/>
        </w:trPr>
        <w:tc>
          <w:tcPr>
            <w:tcW w:w="3415" w:type="dxa"/>
            <w:noWrap/>
            <w:hideMark/>
          </w:tcPr>
          <w:p w14:paraId="02E789E1" w14:textId="77777777" w:rsidR="00372998" w:rsidRPr="00372998" w:rsidRDefault="00372998" w:rsidP="00372998">
            <w:r w:rsidRPr="00372998">
              <w:t>South Carolina</w:t>
            </w:r>
          </w:p>
        </w:tc>
        <w:tc>
          <w:tcPr>
            <w:tcW w:w="3330" w:type="dxa"/>
            <w:noWrap/>
            <w:hideMark/>
          </w:tcPr>
          <w:p w14:paraId="07A12E58" w14:textId="77777777" w:rsidR="00372998" w:rsidRPr="00372998" w:rsidRDefault="00372998" w:rsidP="00372998">
            <w:r w:rsidRPr="00372998">
              <w:t>Kershaw</w:t>
            </w:r>
          </w:p>
        </w:tc>
        <w:tc>
          <w:tcPr>
            <w:tcW w:w="2880" w:type="dxa"/>
            <w:noWrap/>
            <w:hideMark/>
          </w:tcPr>
          <w:p w14:paraId="4D7BA2E3" w14:textId="77777777" w:rsidR="00372998" w:rsidRPr="00372998" w:rsidRDefault="00372998" w:rsidP="00372998">
            <w:r w:rsidRPr="00372998">
              <w:t>459</w:t>
            </w:r>
          </w:p>
        </w:tc>
      </w:tr>
      <w:tr w:rsidR="00372998" w:rsidRPr="00372998" w14:paraId="5E1E16E9" w14:textId="77777777" w:rsidTr="00736DA9">
        <w:trPr>
          <w:trHeight w:val="300"/>
        </w:trPr>
        <w:tc>
          <w:tcPr>
            <w:tcW w:w="3415" w:type="dxa"/>
            <w:noWrap/>
            <w:hideMark/>
          </w:tcPr>
          <w:p w14:paraId="6C516BE3" w14:textId="77777777" w:rsidR="00372998" w:rsidRPr="00372998" w:rsidRDefault="00372998" w:rsidP="00372998">
            <w:r w:rsidRPr="00372998">
              <w:t>South Carolina</w:t>
            </w:r>
          </w:p>
        </w:tc>
        <w:tc>
          <w:tcPr>
            <w:tcW w:w="3330" w:type="dxa"/>
            <w:noWrap/>
            <w:hideMark/>
          </w:tcPr>
          <w:p w14:paraId="0AA4DFA0" w14:textId="77777777" w:rsidR="00372998" w:rsidRPr="00372998" w:rsidRDefault="00372998" w:rsidP="00372998">
            <w:r w:rsidRPr="00372998">
              <w:t>Richland</w:t>
            </w:r>
          </w:p>
        </w:tc>
        <w:tc>
          <w:tcPr>
            <w:tcW w:w="2880" w:type="dxa"/>
            <w:noWrap/>
            <w:hideMark/>
          </w:tcPr>
          <w:p w14:paraId="7223AFD9" w14:textId="77777777" w:rsidR="00372998" w:rsidRPr="00372998" w:rsidRDefault="00372998" w:rsidP="00372998">
            <w:r w:rsidRPr="00372998">
              <w:t>448</w:t>
            </w:r>
          </w:p>
        </w:tc>
      </w:tr>
      <w:tr w:rsidR="00372998" w:rsidRPr="00372998" w14:paraId="0CC4EE84" w14:textId="77777777" w:rsidTr="00736DA9">
        <w:trPr>
          <w:trHeight w:val="300"/>
        </w:trPr>
        <w:tc>
          <w:tcPr>
            <w:tcW w:w="3415" w:type="dxa"/>
            <w:noWrap/>
            <w:hideMark/>
          </w:tcPr>
          <w:p w14:paraId="4361C4E2" w14:textId="77777777" w:rsidR="00372998" w:rsidRPr="00372998" w:rsidRDefault="00372998" w:rsidP="00372998">
            <w:r w:rsidRPr="00372998">
              <w:t>South Carolina</w:t>
            </w:r>
          </w:p>
        </w:tc>
        <w:tc>
          <w:tcPr>
            <w:tcW w:w="3330" w:type="dxa"/>
            <w:noWrap/>
            <w:hideMark/>
          </w:tcPr>
          <w:p w14:paraId="18CADC95" w14:textId="77777777" w:rsidR="00372998" w:rsidRPr="00372998" w:rsidRDefault="00372998" w:rsidP="00372998">
            <w:r w:rsidRPr="00372998">
              <w:t>Anderson</w:t>
            </w:r>
          </w:p>
        </w:tc>
        <w:tc>
          <w:tcPr>
            <w:tcW w:w="2880" w:type="dxa"/>
            <w:noWrap/>
            <w:hideMark/>
          </w:tcPr>
          <w:p w14:paraId="397D08BC" w14:textId="77777777" w:rsidR="00372998" w:rsidRPr="00372998" w:rsidRDefault="00372998" w:rsidP="00372998">
            <w:r w:rsidRPr="00372998">
              <w:t>431</w:t>
            </w:r>
          </w:p>
        </w:tc>
      </w:tr>
      <w:tr w:rsidR="00372998" w:rsidRPr="00372998" w14:paraId="07EF031F" w14:textId="77777777" w:rsidTr="00736DA9">
        <w:trPr>
          <w:trHeight w:val="300"/>
        </w:trPr>
        <w:tc>
          <w:tcPr>
            <w:tcW w:w="3415" w:type="dxa"/>
            <w:noWrap/>
            <w:hideMark/>
          </w:tcPr>
          <w:p w14:paraId="79FEE5BD" w14:textId="77777777" w:rsidR="00372998" w:rsidRPr="00372998" w:rsidRDefault="00372998" w:rsidP="00372998">
            <w:r w:rsidRPr="00372998">
              <w:t>South Carolina</w:t>
            </w:r>
          </w:p>
        </w:tc>
        <w:tc>
          <w:tcPr>
            <w:tcW w:w="3330" w:type="dxa"/>
            <w:noWrap/>
            <w:hideMark/>
          </w:tcPr>
          <w:p w14:paraId="42C06ECF" w14:textId="77777777" w:rsidR="00372998" w:rsidRPr="00372998" w:rsidRDefault="00372998" w:rsidP="00372998">
            <w:r w:rsidRPr="00372998">
              <w:t>Chesterfield</w:t>
            </w:r>
          </w:p>
        </w:tc>
        <w:tc>
          <w:tcPr>
            <w:tcW w:w="2880" w:type="dxa"/>
            <w:noWrap/>
            <w:hideMark/>
          </w:tcPr>
          <w:p w14:paraId="6B67CB4C" w14:textId="77777777" w:rsidR="00372998" w:rsidRPr="00372998" w:rsidRDefault="00372998" w:rsidP="00372998">
            <w:r w:rsidRPr="00372998">
              <w:t>415</w:t>
            </w:r>
          </w:p>
        </w:tc>
      </w:tr>
      <w:tr w:rsidR="00372998" w:rsidRPr="00372998" w14:paraId="1FCD8D81" w14:textId="77777777" w:rsidTr="00736DA9">
        <w:trPr>
          <w:trHeight w:val="300"/>
        </w:trPr>
        <w:tc>
          <w:tcPr>
            <w:tcW w:w="3415" w:type="dxa"/>
            <w:noWrap/>
            <w:hideMark/>
          </w:tcPr>
          <w:p w14:paraId="77576DF0" w14:textId="77777777" w:rsidR="00372998" w:rsidRPr="00372998" w:rsidRDefault="00372998" w:rsidP="00372998">
            <w:r w:rsidRPr="00372998">
              <w:t>South Carolina</w:t>
            </w:r>
          </w:p>
        </w:tc>
        <w:tc>
          <w:tcPr>
            <w:tcW w:w="3330" w:type="dxa"/>
            <w:noWrap/>
            <w:hideMark/>
          </w:tcPr>
          <w:p w14:paraId="70217A6F" w14:textId="77777777" w:rsidR="00372998" w:rsidRPr="00372998" w:rsidRDefault="00372998" w:rsidP="00372998">
            <w:r w:rsidRPr="00372998">
              <w:t>Dorchester</w:t>
            </w:r>
          </w:p>
        </w:tc>
        <w:tc>
          <w:tcPr>
            <w:tcW w:w="2880" w:type="dxa"/>
            <w:noWrap/>
            <w:hideMark/>
          </w:tcPr>
          <w:p w14:paraId="4F62E3E4" w14:textId="77777777" w:rsidR="00372998" w:rsidRPr="00372998" w:rsidRDefault="00372998" w:rsidP="00372998">
            <w:r w:rsidRPr="00372998">
              <w:t>350</w:t>
            </w:r>
          </w:p>
        </w:tc>
      </w:tr>
      <w:tr w:rsidR="00372998" w:rsidRPr="00372998" w14:paraId="40404C20" w14:textId="77777777" w:rsidTr="00736DA9">
        <w:trPr>
          <w:trHeight w:val="300"/>
        </w:trPr>
        <w:tc>
          <w:tcPr>
            <w:tcW w:w="3415" w:type="dxa"/>
            <w:noWrap/>
            <w:hideMark/>
          </w:tcPr>
          <w:p w14:paraId="2BBA4204" w14:textId="77777777" w:rsidR="00372998" w:rsidRPr="00372998" w:rsidRDefault="00372998" w:rsidP="00372998">
            <w:r w:rsidRPr="00372998">
              <w:t>South Carolina</w:t>
            </w:r>
          </w:p>
        </w:tc>
        <w:tc>
          <w:tcPr>
            <w:tcW w:w="3330" w:type="dxa"/>
            <w:noWrap/>
            <w:hideMark/>
          </w:tcPr>
          <w:p w14:paraId="2383571E" w14:textId="77777777" w:rsidR="00372998" w:rsidRPr="00372998" w:rsidRDefault="00372998" w:rsidP="00372998">
            <w:r w:rsidRPr="00372998">
              <w:t>Berkeley</w:t>
            </w:r>
          </w:p>
        </w:tc>
        <w:tc>
          <w:tcPr>
            <w:tcW w:w="2880" w:type="dxa"/>
            <w:noWrap/>
            <w:hideMark/>
          </w:tcPr>
          <w:p w14:paraId="00B1CE34" w14:textId="77777777" w:rsidR="00372998" w:rsidRPr="00372998" w:rsidRDefault="00372998" w:rsidP="00372998">
            <w:r w:rsidRPr="00372998">
              <w:t>340</w:t>
            </w:r>
          </w:p>
        </w:tc>
      </w:tr>
      <w:tr w:rsidR="00372998" w:rsidRPr="00372998" w14:paraId="1083C020" w14:textId="77777777" w:rsidTr="00736DA9">
        <w:trPr>
          <w:trHeight w:val="300"/>
        </w:trPr>
        <w:tc>
          <w:tcPr>
            <w:tcW w:w="3415" w:type="dxa"/>
            <w:noWrap/>
            <w:hideMark/>
          </w:tcPr>
          <w:p w14:paraId="7DB53A0B" w14:textId="77777777" w:rsidR="00372998" w:rsidRPr="00372998" w:rsidRDefault="00372998" w:rsidP="00372998">
            <w:r w:rsidRPr="00372998">
              <w:t>South Carolina</w:t>
            </w:r>
          </w:p>
        </w:tc>
        <w:tc>
          <w:tcPr>
            <w:tcW w:w="3330" w:type="dxa"/>
            <w:noWrap/>
            <w:hideMark/>
          </w:tcPr>
          <w:p w14:paraId="2C80BC2C" w14:textId="77777777" w:rsidR="00372998" w:rsidRPr="00372998" w:rsidRDefault="00372998" w:rsidP="00372998">
            <w:r w:rsidRPr="00372998">
              <w:t>Beaufort</w:t>
            </w:r>
          </w:p>
        </w:tc>
        <w:tc>
          <w:tcPr>
            <w:tcW w:w="2880" w:type="dxa"/>
            <w:noWrap/>
            <w:hideMark/>
          </w:tcPr>
          <w:p w14:paraId="61BFA758" w14:textId="77777777" w:rsidR="00372998" w:rsidRPr="00372998" w:rsidRDefault="00372998" w:rsidP="00372998">
            <w:r w:rsidRPr="00372998">
              <w:t>328</w:t>
            </w:r>
          </w:p>
        </w:tc>
      </w:tr>
    </w:tbl>
    <w:p w14:paraId="21B88034" w14:textId="77777777" w:rsidR="00571B04" w:rsidRDefault="00571B04" w:rsidP="00722CE9"/>
    <w:p w14:paraId="2CE43C48" w14:textId="77777777" w:rsidR="00372998" w:rsidRPr="00571B04" w:rsidRDefault="00372998" w:rsidP="00372998">
      <w:r w:rsidRPr="00571B04">
        <w:t xml:space="preserve">Source: Vera Institute of Justice, 2023. </w:t>
      </w:r>
    </w:p>
    <w:p w14:paraId="2CC77330" w14:textId="75C59A79" w:rsidR="00372998" w:rsidRDefault="00372998" w:rsidP="00571B04">
      <w:r w:rsidRPr="00571B04">
        <w:t>Notes: Population aged 15-64.</w:t>
      </w:r>
    </w:p>
    <w:p w14:paraId="7A4DA710" w14:textId="77777777" w:rsidR="00571B04" w:rsidRDefault="00571B04" w:rsidP="00571B04"/>
    <w:p w14:paraId="0F73B548" w14:textId="355AB238" w:rsidR="00571B04" w:rsidRDefault="00571B04" w:rsidP="00571B04">
      <w:pPr>
        <w:pStyle w:val="Heading4"/>
      </w:pPr>
      <w:bookmarkStart w:id="213" w:name="_Toc162267129"/>
      <w:r>
        <w:t>Figure 5.38: Prevalence of HIV/AIDS, by Population.</w:t>
      </w:r>
      <w:bookmarkEnd w:id="213"/>
    </w:p>
    <w:p w14:paraId="6C965730" w14:textId="3B00A693" w:rsidR="002748B7" w:rsidRPr="002748B7" w:rsidRDefault="002748B7" w:rsidP="002748B7">
      <w:pPr>
        <w:pStyle w:val="Heading5"/>
      </w:pPr>
      <w:r>
        <w:t>Rate p</w:t>
      </w:r>
      <w:r w:rsidRPr="00864C09">
        <w:t>er</w:t>
      </w:r>
      <w:r>
        <w:t xml:space="preserve"> 100,000 residents.</w:t>
      </w:r>
    </w:p>
    <w:tbl>
      <w:tblPr>
        <w:tblStyle w:val="TableGrid"/>
        <w:tblW w:w="9715" w:type="dxa"/>
        <w:tblLook w:val="04A0" w:firstRow="1" w:lastRow="0" w:firstColumn="1" w:lastColumn="0" w:noHBand="0" w:noVBand="1"/>
      </w:tblPr>
      <w:tblGrid>
        <w:gridCol w:w="4135"/>
        <w:gridCol w:w="2610"/>
        <w:gridCol w:w="2970"/>
      </w:tblGrid>
      <w:tr w:rsidR="00736DA9" w:rsidRPr="00372998" w14:paraId="259F1D7D" w14:textId="77777777" w:rsidTr="00736DA9">
        <w:trPr>
          <w:trHeight w:val="300"/>
        </w:trPr>
        <w:tc>
          <w:tcPr>
            <w:tcW w:w="4135" w:type="dxa"/>
            <w:noWrap/>
            <w:hideMark/>
          </w:tcPr>
          <w:p w14:paraId="36CF56FD" w14:textId="77777777" w:rsidR="00372998" w:rsidRPr="00372998" w:rsidRDefault="00372998" w:rsidP="00372998">
            <w:r w:rsidRPr="00372998">
              <w:t>Population</w:t>
            </w:r>
          </w:p>
        </w:tc>
        <w:tc>
          <w:tcPr>
            <w:tcW w:w="2610" w:type="dxa"/>
            <w:noWrap/>
            <w:hideMark/>
          </w:tcPr>
          <w:p w14:paraId="4B490545" w14:textId="77777777" w:rsidR="00372998" w:rsidRPr="00372998" w:rsidRDefault="00372998" w:rsidP="00372998">
            <w:r w:rsidRPr="00372998">
              <w:t>Group</w:t>
            </w:r>
          </w:p>
        </w:tc>
        <w:tc>
          <w:tcPr>
            <w:tcW w:w="2970" w:type="dxa"/>
            <w:noWrap/>
            <w:hideMark/>
          </w:tcPr>
          <w:p w14:paraId="4B5C0E58" w14:textId="48D13661" w:rsidR="00372998" w:rsidRPr="00372998" w:rsidRDefault="00372998" w:rsidP="00372998">
            <w:r w:rsidRPr="00372998">
              <w:t>Rate</w:t>
            </w:r>
            <w:r w:rsidR="00637B75">
              <w:t xml:space="preserve"> </w:t>
            </w:r>
          </w:p>
        </w:tc>
      </w:tr>
      <w:tr w:rsidR="00372998" w:rsidRPr="00372998" w14:paraId="58EF7B41" w14:textId="77777777" w:rsidTr="00736DA9">
        <w:trPr>
          <w:trHeight w:val="300"/>
        </w:trPr>
        <w:tc>
          <w:tcPr>
            <w:tcW w:w="4135" w:type="dxa"/>
            <w:noWrap/>
            <w:hideMark/>
          </w:tcPr>
          <w:p w14:paraId="643AFDE1" w14:textId="77777777" w:rsidR="00372998" w:rsidRPr="00372998" w:rsidRDefault="00372998" w:rsidP="00372998">
            <w:r w:rsidRPr="00372998">
              <w:t>South Carolina Population</w:t>
            </w:r>
          </w:p>
        </w:tc>
        <w:tc>
          <w:tcPr>
            <w:tcW w:w="2610" w:type="dxa"/>
            <w:noWrap/>
            <w:hideMark/>
          </w:tcPr>
          <w:p w14:paraId="462A86CA" w14:textId="77777777" w:rsidR="00372998" w:rsidRPr="00372998" w:rsidRDefault="00372998" w:rsidP="00372998">
            <w:r w:rsidRPr="00372998">
              <w:t>Total</w:t>
            </w:r>
          </w:p>
        </w:tc>
        <w:tc>
          <w:tcPr>
            <w:tcW w:w="2970" w:type="dxa"/>
            <w:noWrap/>
            <w:hideMark/>
          </w:tcPr>
          <w:p w14:paraId="6881DC5B" w14:textId="77777777" w:rsidR="00372998" w:rsidRPr="00372998" w:rsidRDefault="00372998" w:rsidP="00372998">
            <w:r w:rsidRPr="00372998">
              <w:t>372</w:t>
            </w:r>
          </w:p>
        </w:tc>
      </w:tr>
      <w:tr w:rsidR="00372998" w:rsidRPr="00372998" w14:paraId="06AB99E1" w14:textId="77777777" w:rsidTr="00736DA9">
        <w:trPr>
          <w:trHeight w:val="300"/>
        </w:trPr>
        <w:tc>
          <w:tcPr>
            <w:tcW w:w="4135" w:type="dxa"/>
            <w:noWrap/>
            <w:hideMark/>
          </w:tcPr>
          <w:p w14:paraId="7658518A" w14:textId="77777777" w:rsidR="00372998" w:rsidRPr="00372998" w:rsidRDefault="00372998" w:rsidP="00372998">
            <w:r w:rsidRPr="00372998">
              <w:t>South Carolina Prison Population</w:t>
            </w:r>
          </w:p>
        </w:tc>
        <w:tc>
          <w:tcPr>
            <w:tcW w:w="2610" w:type="dxa"/>
            <w:noWrap/>
            <w:hideMark/>
          </w:tcPr>
          <w:p w14:paraId="353D0EAC" w14:textId="77777777" w:rsidR="00372998" w:rsidRPr="00372998" w:rsidRDefault="00372998" w:rsidP="00372998">
            <w:r w:rsidRPr="00372998">
              <w:t>Total</w:t>
            </w:r>
          </w:p>
        </w:tc>
        <w:tc>
          <w:tcPr>
            <w:tcW w:w="2970" w:type="dxa"/>
            <w:noWrap/>
            <w:hideMark/>
          </w:tcPr>
          <w:p w14:paraId="0268B9C6" w14:textId="77777777" w:rsidR="00372998" w:rsidRPr="00372998" w:rsidRDefault="00372998" w:rsidP="00372998">
            <w:r w:rsidRPr="00372998">
              <w:t>1438</w:t>
            </w:r>
          </w:p>
        </w:tc>
      </w:tr>
      <w:tr w:rsidR="00372998" w:rsidRPr="00372998" w14:paraId="30A3F70F" w14:textId="77777777" w:rsidTr="00736DA9">
        <w:trPr>
          <w:trHeight w:val="320"/>
        </w:trPr>
        <w:tc>
          <w:tcPr>
            <w:tcW w:w="4135" w:type="dxa"/>
            <w:noWrap/>
            <w:hideMark/>
          </w:tcPr>
          <w:p w14:paraId="003B0205" w14:textId="77777777" w:rsidR="00372998" w:rsidRPr="00372998" w:rsidRDefault="00372998" w:rsidP="00372998">
            <w:r w:rsidRPr="00372998">
              <w:t>South Carolina Population</w:t>
            </w:r>
          </w:p>
        </w:tc>
        <w:tc>
          <w:tcPr>
            <w:tcW w:w="2610" w:type="dxa"/>
            <w:hideMark/>
          </w:tcPr>
          <w:p w14:paraId="72C9238A" w14:textId="2D16E03B" w:rsidR="00372998" w:rsidRPr="00372998" w:rsidRDefault="00372998" w:rsidP="00372998">
            <w:r w:rsidRPr="00372998">
              <w:t>Male</w:t>
            </w:r>
          </w:p>
        </w:tc>
        <w:tc>
          <w:tcPr>
            <w:tcW w:w="2970" w:type="dxa"/>
            <w:noWrap/>
            <w:hideMark/>
          </w:tcPr>
          <w:p w14:paraId="29655CC0" w14:textId="77777777" w:rsidR="00372998" w:rsidRPr="00372998" w:rsidRDefault="00372998" w:rsidP="00372998">
            <w:r w:rsidRPr="00372998">
              <w:t>555</w:t>
            </w:r>
          </w:p>
        </w:tc>
      </w:tr>
      <w:tr w:rsidR="00372998" w:rsidRPr="00372998" w14:paraId="252502DF" w14:textId="77777777" w:rsidTr="00736DA9">
        <w:trPr>
          <w:trHeight w:val="320"/>
        </w:trPr>
        <w:tc>
          <w:tcPr>
            <w:tcW w:w="4135" w:type="dxa"/>
            <w:noWrap/>
            <w:hideMark/>
          </w:tcPr>
          <w:p w14:paraId="1D49D4F7" w14:textId="77777777" w:rsidR="00372998" w:rsidRPr="00372998" w:rsidRDefault="00372998" w:rsidP="00372998">
            <w:r w:rsidRPr="00372998">
              <w:t>South Carolina Prison Population</w:t>
            </w:r>
          </w:p>
        </w:tc>
        <w:tc>
          <w:tcPr>
            <w:tcW w:w="2610" w:type="dxa"/>
            <w:hideMark/>
          </w:tcPr>
          <w:p w14:paraId="347BCB64" w14:textId="61A4F76C" w:rsidR="00372998" w:rsidRPr="00372998" w:rsidRDefault="00372998" w:rsidP="00372998">
            <w:r w:rsidRPr="00372998">
              <w:t>Male</w:t>
            </w:r>
          </w:p>
        </w:tc>
        <w:tc>
          <w:tcPr>
            <w:tcW w:w="2970" w:type="dxa"/>
            <w:hideMark/>
          </w:tcPr>
          <w:p w14:paraId="0C3695FF" w14:textId="77777777" w:rsidR="00372998" w:rsidRPr="00372998" w:rsidRDefault="00372998" w:rsidP="00372998">
            <w:r w:rsidRPr="00372998">
              <w:t>1450</w:t>
            </w:r>
          </w:p>
        </w:tc>
      </w:tr>
      <w:tr w:rsidR="00372998" w:rsidRPr="00372998" w14:paraId="2C0E81C9" w14:textId="77777777" w:rsidTr="00736DA9">
        <w:trPr>
          <w:trHeight w:val="320"/>
        </w:trPr>
        <w:tc>
          <w:tcPr>
            <w:tcW w:w="4135" w:type="dxa"/>
            <w:noWrap/>
            <w:hideMark/>
          </w:tcPr>
          <w:p w14:paraId="17EBF770" w14:textId="77777777" w:rsidR="00372998" w:rsidRPr="00372998" w:rsidRDefault="00372998" w:rsidP="00372998">
            <w:r w:rsidRPr="00372998">
              <w:t>South Carolina Population</w:t>
            </w:r>
          </w:p>
        </w:tc>
        <w:tc>
          <w:tcPr>
            <w:tcW w:w="2610" w:type="dxa"/>
            <w:hideMark/>
          </w:tcPr>
          <w:p w14:paraId="52802FAB" w14:textId="10B4C8B9" w:rsidR="00372998" w:rsidRPr="00372998" w:rsidRDefault="00372998" w:rsidP="00372998">
            <w:r w:rsidRPr="00372998">
              <w:t>Female</w:t>
            </w:r>
          </w:p>
        </w:tc>
        <w:tc>
          <w:tcPr>
            <w:tcW w:w="2970" w:type="dxa"/>
            <w:noWrap/>
            <w:hideMark/>
          </w:tcPr>
          <w:p w14:paraId="1AB1A4DD" w14:textId="77777777" w:rsidR="00372998" w:rsidRPr="00372998" w:rsidRDefault="00372998" w:rsidP="00372998">
            <w:r w:rsidRPr="00372998">
              <w:t>201</w:t>
            </w:r>
          </w:p>
        </w:tc>
      </w:tr>
      <w:tr w:rsidR="00372998" w:rsidRPr="00372998" w14:paraId="73E17BE6" w14:textId="77777777" w:rsidTr="00736DA9">
        <w:trPr>
          <w:trHeight w:val="320"/>
        </w:trPr>
        <w:tc>
          <w:tcPr>
            <w:tcW w:w="4135" w:type="dxa"/>
            <w:noWrap/>
            <w:hideMark/>
          </w:tcPr>
          <w:p w14:paraId="4395CB25" w14:textId="77777777" w:rsidR="00372998" w:rsidRPr="00372998" w:rsidRDefault="00372998" w:rsidP="00372998">
            <w:r w:rsidRPr="00372998">
              <w:t>South Carolina Prison Population</w:t>
            </w:r>
          </w:p>
        </w:tc>
        <w:tc>
          <w:tcPr>
            <w:tcW w:w="2610" w:type="dxa"/>
            <w:hideMark/>
          </w:tcPr>
          <w:p w14:paraId="649F1D16" w14:textId="0285168F" w:rsidR="00372998" w:rsidRPr="00372998" w:rsidRDefault="00372998" w:rsidP="00372998">
            <w:r w:rsidRPr="00372998">
              <w:t>Female</w:t>
            </w:r>
          </w:p>
        </w:tc>
        <w:tc>
          <w:tcPr>
            <w:tcW w:w="2970" w:type="dxa"/>
            <w:hideMark/>
          </w:tcPr>
          <w:p w14:paraId="472BBC3E" w14:textId="77777777" w:rsidR="00372998" w:rsidRPr="00372998" w:rsidRDefault="00372998" w:rsidP="00372998">
            <w:r w:rsidRPr="00372998">
              <w:t>1281</w:t>
            </w:r>
          </w:p>
        </w:tc>
      </w:tr>
    </w:tbl>
    <w:p w14:paraId="4036C015" w14:textId="5D5ADEC1" w:rsidR="00571B04" w:rsidRDefault="00571B04" w:rsidP="00571B04">
      <w:r w:rsidRPr="00571B04">
        <w:t>Source: SC DC, 2022 &amp; SC DHEC, 2021</w:t>
      </w:r>
      <w:r>
        <w:t>.</w:t>
      </w:r>
    </w:p>
    <w:p w14:paraId="0B4D27AF" w14:textId="77777777" w:rsidR="00372998" w:rsidRDefault="00372998" w:rsidP="00571B04">
      <w:pPr>
        <w:pStyle w:val="Heading4"/>
      </w:pPr>
    </w:p>
    <w:p w14:paraId="2C55CAAC" w14:textId="17ED7278" w:rsidR="00571B04" w:rsidRDefault="00571B04" w:rsidP="00571B04">
      <w:pPr>
        <w:pStyle w:val="Heading4"/>
      </w:pPr>
      <w:bookmarkStart w:id="214" w:name="_Toc162267130"/>
      <w:r>
        <w:t xml:space="preserve">Figure 5.39: </w:t>
      </w:r>
      <w:r w:rsidRPr="00571B04">
        <w:t>Point in Time Count of Hepatitis C Test Results in South Carolina Prisons</w:t>
      </w:r>
      <w:bookmarkEnd w:id="214"/>
    </w:p>
    <w:tbl>
      <w:tblPr>
        <w:tblStyle w:val="TableGrid"/>
        <w:tblW w:w="9715" w:type="dxa"/>
        <w:tblLook w:val="04A0" w:firstRow="1" w:lastRow="0" w:firstColumn="1" w:lastColumn="0" w:noHBand="0" w:noVBand="1"/>
      </w:tblPr>
      <w:tblGrid>
        <w:gridCol w:w="4945"/>
        <w:gridCol w:w="4770"/>
      </w:tblGrid>
      <w:tr w:rsidR="00372998" w:rsidRPr="00372998" w14:paraId="45675E88" w14:textId="77777777" w:rsidTr="00736DA9">
        <w:trPr>
          <w:trHeight w:val="320"/>
        </w:trPr>
        <w:tc>
          <w:tcPr>
            <w:tcW w:w="4945" w:type="dxa"/>
            <w:hideMark/>
          </w:tcPr>
          <w:p w14:paraId="6C9F7F06" w14:textId="77777777" w:rsidR="00372998" w:rsidRPr="00372998" w:rsidRDefault="00372998" w:rsidP="00372998">
            <w:r w:rsidRPr="00372998">
              <w:t>Test Result</w:t>
            </w:r>
          </w:p>
        </w:tc>
        <w:tc>
          <w:tcPr>
            <w:tcW w:w="4770" w:type="dxa"/>
            <w:hideMark/>
          </w:tcPr>
          <w:p w14:paraId="3DD8E8CA" w14:textId="77777777" w:rsidR="00372998" w:rsidRPr="00372998" w:rsidRDefault="00372998" w:rsidP="00372998">
            <w:r w:rsidRPr="00372998">
              <w:t>Percent</w:t>
            </w:r>
          </w:p>
        </w:tc>
      </w:tr>
      <w:tr w:rsidR="00372998" w:rsidRPr="00372998" w14:paraId="3B3D7031" w14:textId="77777777" w:rsidTr="00736DA9">
        <w:trPr>
          <w:trHeight w:val="300"/>
        </w:trPr>
        <w:tc>
          <w:tcPr>
            <w:tcW w:w="4945" w:type="dxa"/>
            <w:noWrap/>
            <w:hideMark/>
          </w:tcPr>
          <w:p w14:paraId="29A25662" w14:textId="77777777" w:rsidR="00372998" w:rsidRPr="00372998" w:rsidRDefault="00372998" w:rsidP="00372998">
            <w:pPr>
              <w:rPr>
                <w:color w:val="000000"/>
              </w:rPr>
            </w:pPr>
            <w:r w:rsidRPr="00372998">
              <w:rPr>
                <w:color w:val="000000"/>
              </w:rPr>
              <w:t>Negative Test</w:t>
            </w:r>
          </w:p>
        </w:tc>
        <w:tc>
          <w:tcPr>
            <w:tcW w:w="4770" w:type="dxa"/>
            <w:noWrap/>
            <w:hideMark/>
          </w:tcPr>
          <w:p w14:paraId="53D8B24F" w14:textId="77777777" w:rsidR="00372998" w:rsidRPr="00372998" w:rsidRDefault="00372998" w:rsidP="00372998">
            <w:pPr>
              <w:rPr>
                <w:color w:val="000000"/>
              </w:rPr>
            </w:pPr>
            <w:r w:rsidRPr="00372998">
              <w:rPr>
                <w:color w:val="000000"/>
              </w:rPr>
              <w:t>74.0%</w:t>
            </w:r>
          </w:p>
        </w:tc>
      </w:tr>
      <w:tr w:rsidR="00372998" w:rsidRPr="00372998" w14:paraId="3E005AE5" w14:textId="77777777" w:rsidTr="00736DA9">
        <w:trPr>
          <w:trHeight w:val="300"/>
        </w:trPr>
        <w:tc>
          <w:tcPr>
            <w:tcW w:w="4945" w:type="dxa"/>
            <w:noWrap/>
            <w:hideMark/>
          </w:tcPr>
          <w:p w14:paraId="3F05EC6E" w14:textId="77777777" w:rsidR="00372998" w:rsidRPr="00372998" w:rsidRDefault="00372998" w:rsidP="00372998">
            <w:pPr>
              <w:rPr>
                <w:color w:val="000000"/>
              </w:rPr>
            </w:pPr>
            <w:r w:rsidRPr="00372998">
              <w:rPr>
                <w:color w:val="000000"/>
              </w:rPr>
              <w:lastRenderedPageBreak/>
              <w:t>Opted-out of Testing</w:t>
            </w:r>
          </w:p>
        </w:tc>
        <w:tc>
          <w:tcPr>
            <w:tcW w:w="4770" w:type="dxa"/>
            <w:noWrap/>
            <w:hideMark/>
          </w:tcPr>
          <w:p w14:paraId="614C0FA0" w14:textId="77777777" w:rsidR="00372998" w:rsidRPr="00372998" w:rsidRDefault="00372998" w:rsidP="00372998">
            <w:pPr>
              <w:rPr>
                <w:color w:val="000000"/>
              </w:rPr>
            </w:pPr>
            <w:r w:rsidRPr="00372998">
              <w:rPr>
                <w:color w:val="000000"/>
              </w:rPr>
              <w:t>17.0%</w:t>
            </w:r>
          </w:p>
        </w:tc>
      </w:tr>
      <w:tr w:rsidR="00372998" w:rsidRPr="00372998" w14:paraId="427FEC5C" w14:textId="77777777" w:rsidTr="00736DA9">
        <w:trPr>
          <w:trHeight w:val="300"/>
        </w:trPr>
        <w:tc>
          <w:tcPr>
            <w:tcW w:w="4945" w:type="dxa"/>
            <w:noWrap/>
            <w:hideMark/>
          </w:tcPr>
          <w:p w14:paraId="2EABE101" w14:textId="77777777" w:rsidR="00372998" w:rsidRPr="00372998" w:rsidRDefault="00372998" w:rsidP="00372998">
            <w:pPr>
              <w:rPr>
                <w:color w:val="000000"/>
              </w:rPr>
            </w:pPr>
            <w:r w:rsidRPr="00372998">
              <w:rPr>
                <w:color w:val="000000"/>
              </w:rPr>
              <w:t>Treated with SVR</w:t>
            </w:r>
          </w:p>
        </w:tc>
        <w:tc>
          <w:tcPr>
            <w:tcW w:w="4770" w:type="dxa"/>
            <w:noWrap/>
            <w:hideMark/>
          </w:tcPr>
          <w:p w14:paraId="12E3A6BA" w14:textId="77777777" w:rsidR="00372998" w:rsidRPr="00372998" w:rsidRDefault="00372998" w:rsidP="00372998">
            <w:pPr>
              <w:rPr>
                <w:color w:val="000000"/>
              </w:rPr>
            </w:pPr>
            <w:r w:rsidRPr="00372998">
              <w:rPr>
                <w:color w:val="000000"/>
              </w:rPr>
              <w:t>5.0%</w:t>
            </w:r>
          </w:p>
        </w:tc>
      </w:tr>
      <w:tr w:rsidR="00372998" w:rsidRPr="00372998" w14:paraId="09654F75" w14:textId="77777777" w:rsidTr="00736DA9">
        <w:trPr>
          <w:trHeight w:val="300"/>
        </w:trPr>
        <w:tc>
          <w:tcPr>
            <w:tcW w:w="4945" w:type="dxa"/>
            <w:noWrap/>
            <w:hideMark/>
          </w:tcPr>
          <w:p w14:paraId="409B6781" w14:textId="77777777" w:rsidR="00372998" w:rsidRPr="00372998" w:rsidRDefault="00372998" w:rsidP="00372998">
            <w:r w:rsidRPr="00372998">
              <w:t>Awaiting Test Results</w:t>
            </w:r>
          </w:p>
        </w:tc>
        <w:tc>
          <w:tcPr>
            <w:tcW w:w="4770" w:type="dxa"/>
            <w:noWrap/>
            <w:hideMark/>
          </w:tcPr>
          <w:p w14:paraId="24DE90CA" w14:textId="77777777" w:rsidR="00372998" w:rsidRPr="00372998" w:rsidRDefault="00372998" w:rsidP="00372998">
            <w:r w:rsidRPr="00372998">
              <w:t>2.0%</w:t>
            </w:r>
          </w:p>
        </w:tc>
      </w:tr>
      <w:tr w:rsidR="00372998" w:rsidRPr="00372998" w14:paraId="25A319BE" w14:textId="77777777" w:rsidTr="00736DA9">
        <w:trPr>
          <w:trHeight w:val="300"/>
        </w:trPr>
        <w:tc>
          <w:tcPr>
            <w:tcW w:w="4945" w:type="dxa"/>
            <w:noWrap/>
            <w:hideMark/>
          </w:tcPr>
          <w:p w14:paraId="0EA5E637" w14:textId="77777777" w:rsidR="00372998" w:rsidRPr="00372998" w:rsidRDefault="00372998" w:rsidP="00372998">
            <w:r w:rsidRPr="00372998">
              <w:t>Positive Test and Treated</w:t>
            </w:r>
          </w:p>
        </w:tc>
        <w:tc>
          <w:tcPr>
            <w:tcW w:w="4770" w:type="dxa"/>
            <w:noWrap/>
            <w:hideMark/>
          </w:tcPr>
          <w:p w14:paraId="0D7D93FD" w14:textId="77777777" w:rsidR="00372998" w:rsidRPr="00372998" w:rsidRDefault="00372998" w:rsidP="00372998">
            <w:r w:rsidRPr="00372998">
              <w:t>2.8%</w:t>
            </w:r>
          </w:p>
        </w:tc>
      </w:tr>
      <w:tr w:rsidR="00372998" w:rsidRPr="00372998" w14:paraId="5B57F352" w14:textId="77777777" w:rsidTr="00736DA9">
        <w:trPr>
          <w:trHeight w:val="300"/>
        </w:trPr>
        <w:tc>
          <w:tcPr>
            <w:tcW w:w="4945" w:type="dxa"/>
            <w:noWrap/>
            <w:hideMark/>
          </w:tcPr>
          <w:p w14:paraId="7D1F56C7" w14:textId="77777777" w:rsidR="00372998" w:rsidRPr="00372998" w:rsidRDefault="00372998" w:rsidP="00372998">
            <w:r w:rsidRPr="00372998">
              <w:t>Positive Test and Refused Treatment</w:t>
            </w:r>
          </w:p>
        </w:tc>
        <w:tc>
          <w:tcPr>
            <w:tcW w:w="4770" w:type="dxa"/>
            <w:noWrap/>
            <w:hideMark/>
          </w:tcPr>
          <w:p w14:paraId="3650F872" w14:textId="77777777" w:rsidR="00372998" w:rsidRPr="00372998" w:rsidRDefault="00372998" w:rsidP="00372998">
            <w:r w:rsidRPr="00372998">
              <w:t>0.2%</w:t>
            </w:r>
          </w:p>
        </w:tc>
      </w:tr>
    </w:tbl>
    <w:p w14:paraId="7F92F8B9" w14:textId="29F81FFE" w:rsidR="006E427F" w:rsidRPr="006E427F" w:rsidRDefault="006E427F" w:rsidP="006E427F">
      <w:r w:rsidRPr="006E427F">
        <w:t xml:space="preserve">Source: SC DC, November 7, 2022. </w:t>
      </w:r>
    </w:p>
    <w:p w14:paraId="10ED0BC3" w14:textId="445CD8AD" w:rsidR="00571B04" w:rsidRDefault="006E427F" w:rsidP="006E427F">
      <w:r w:rsidRPr="006E427F">
        <w:t>Note: SVR, sustained virological response.</w:t>
      </w:r>
    </w:p>
    <w:p w14:paraId="033E4836" w14:textId="77777777" w:rsidR="00372998" w:rsidRDefault="00372998" w:rsidP="00571B04">
      <w:pPr>
        <w:pStyle w:val="Heading4"/>
      </w:pPr>
    </w:p>
    <w:p w14:paraId="33A0C833" w14:textId="5B205A8A" w:rsidR="00571B04" w:rsidRPr="00571B04" w:rsidRDefault="00571B04" w:rsidP="00571B04">
      <w:pPr>
        <w:pStyle w:val="Heading4"/>
      </w:pPr>
      <w:bookmarkStart w:id="215" w:name="_Toc162267131"/>
      <w:r>
        <w:t xml:space="preserve">Figure 5.40: </w:t>
      </w:r>
      <w:r w:rsidRPr="00571B04">
        <w:t>Point in Time Count of Hepatitis C Test Results in South Carolina Prisons, by Race</w:t>
      </w:r>
      <w:bookmarkEnd w:id="215"/>
    </w:p>
    <w:tbl>
      <w:tblPr>
        <w:tblStyle w:val="TableGrid"/>
        <w:tblW w:w="9715" w:type="dxa"/>
        <w:tblLook w:val="04A0" w:firstRow="1" w:lastRow="0" w:firstColumn="1" w:lastColumn="0" w:noHBand="0" w:noVBand="1"/>
      </w:tblPr>
      <w:tblGrid>
        <w:gridCol w:w="3505"/>
        <w:gridCol w:w="3150"/>
        <w:gridCol w:w="3060"/>
      </w:tblGrid>
      <w:tr w:rsidR="00736DA9" w:rsidRPr="00965D6E" w14:paraId="4F32722C" w14:textId="77777777" w:rsidTr="00736DA9">
        <w:trPr>
          <w:trHeight w:val="300"/>
        </w:trPr>
        <w:tc>
          <w:tcPr>
            <w:tcW w:w="3505" w:type="dxa"/>
            <w:noWrap/>
            <w:hideMark/>
          </w:tcPr>
          <w:p w14:paraId="0A85175C" w14:textId="77777777" w:rsidR="00965D6E" w:rsidRPr="00965D6E" w:rsidRDefault="00965D6E" w:rsidP="00965D6E">
            <w:r w:rsidRPr="00965D6E">
              <w:t>Test Result</w:t>
            </w:r>
          </w:p>
        </w:tc>
        <w:tc>
          <w:tcPr>
            <w:tcW w:w="3150" w:type="dxa"/>
            <w:noWrap/>
            <w:hideMark/>
          </w:tcPr>
          <w:p w14:paraId="2EDDECA7" w14:textId="77777777" w:rsidR="00965D6E" w:rsidRPr="00965D6E" w:rsidRDefault="00965D6E" w:rsidP="00965D6E">
            <w:r w:rsidRPr="00965D6E">
              <w:t>Race</w:t>
            </w:r>
          </w:p>
        </w:tc>
        <w:tc>
          <w:tcPr>
            <w:tcW w:w="3060" w:type="dxa"/>
            <w:noWrap/>
            <w:hideMark/>
          </w:tcPr>
          <w:p w14:paraId="12CCA068" w14:textId="77777777" w:rsidR="00965D6E" w:rsidRPr="00965D6E" w:rsidRDefault="00965D6E" w:rsidP="00965D6E">
            <w:r w:rsidRPr="00965D6E">
              <w:t>Percent</w:t>
            </w:r>
          </w:p>
        </w:tc>
      </w:tr>
      <w:tr w:rsidR="00965D6E" w:rsidRPr="00965D6E" w14:paraId="1ED9E87E" w14:textId="77777777" w:rsidTr="00736DA9">
        <w:trPr>
          <w:trHeight w:val="300"/>
        </w:trPr>
        <w:tc>
          <w:tcPr>
            <w:tcW w:w="3505" w:type="dxa"/>
            <w:noWrap/>
            <w:hideMark/>
          </w:tcPr>
          <w:p w14:paraId="5D52EB42" w14:textId="77777777" w:rsidR="00965D6E" w:rsidRPr="00965D6E" w:rsidRDefault="00965D6E" w:rsidP="00965D6E">
            <w:pPr>
              <w:rPr>
                <w:color w:val="000000"/>
              </w:rPr>
            </w:pPr>
            <w:r w:rsidRPr="00965D6E">
              <w:rPr>
                <w:color w:val="000000"/>
              </w:rPr>
              <w:t>Negative Test</w:t>
            </w:r>
          </w:p>
        </w:tc>
        <w:tc>
          <w:tcPr>
            <w:tcW w:w="3150" w:type="dxa"/>
            <w:noWrap/>
            <w:hideMark/>
          </w:tcPr>
          <w:p w14:paraId="511824AF" w14:textId="77777777" w:rsidR="00965D6E" w:rsidRPr="00965D6E" w:rsidRDefault="00965D6E" w:rsidP="00965D6E">
            <w:pPr>
              <w:rPr>
                <w:color w:val="000000"/>
              </w:rPr>
            </w:pPr>
            <w:r w:rsidRPr="00965D6E">
              <w:rPr>
                <w:color w:val="000000"/>
              </w:rPr>
              <w:t>White</w:t>
            </w:r>
          </w:p>
        </w:tc>
        <w:tc>
          <w:tcPr>
            <w:tcW w:w="3060" w:type="dxa"/>
            <w:noWrap/>
            <w:hideMark/>
          </w:tcPr>
          <w:p w14:paraId="26442205" w14:textId="77777777" w:rsidR="00965D6E" w:rsidRPr="00965D6E" w:rsidRDefault="00965D6E" w:rsidP="00965D6E">
            <w:pPr>
              <w:rPr>
                <w:color w:val="000000"/>
              </w:rPr>
            </w:pPr>
            <w:r w:rsidRPr="00965D6E">
              <w:rPr>
                <w:color w:val="000000"/>
              </w:rPr>
              <w:t>38.0%</w:t>
            </w:r>
          </w:p>
        </w:tc>
      </w:tr>
      <w:tr w:rsidR="00965D6E" w:rsidRPr="00965D6E" w14:paraId="2EAF78E0" w14:textId="77777777" w:rsidTr="00736DA9">
        <w:trPr>
          <w:trHeight w:val="300"/>
        </w:trPr>
        <w:tc>
          <w:tcPr>
            <w:tcW w:w="3505" w:type="dxa"/>
            <w:noWrap/>
            <w:hideMark/>
          </w:tcPr>
          <w:p w14:paraId="28B8F8F9" w14:textId="77777777" w:rsidR="00965D6E" w:rsidRPr="00965D6E" w:rsidRDefault="00965D6E" w:rsidP="00965D6E">
            <w:pPr>
              <w:rPr>
                <w:color w:val="000000"/>
              </w:rPr>
            </w:pPr>
            <w:r w:rsidRPr="00965D6E">
              <w:rPr>
                <w:color w:val="000000"/>
              </w:rPr>
              <w:t>Opted-out of Testing</w:t>
            </w:r>
          </w:p>
        </w:tc>
        <w:tc>
          <w:tcPr>
            <w:tcW w:w="3150" w:type="dxa"/>
            <w:noWrap/>
            <w:hideMark/>
          </w:tcPr>
          <w:p w14:paraId="5B344212" w14:textId="77777777" w:rsidR="00965D6E" w:rsidRPr="00965D6E" w:rsidRDefault="00965D6E" w:rsidP="00965D6E">
            <w:pPr>
              <w:rPr>
                <w:color w:val="000000"/>
              </w:rPr>
            </w:pPr>
            <w:r w:rsidRPr="00965D6E">
              <w:rPr>
                <w:color w:val="000000"/>
              </w:rPr>
              <w:t>White</w:t>
            </w:r>
          </w:p>
        </w:tc>
        <w:tc>
          <w:tcPr>
            <w:tcW w:w="3060" w:type="dxa"/>
            <w:noWrap/>
            <w:hideMark/>
          </w:tcPr>
          <w:p w14:paraId="7ED78FAA" w14:textId="77777777" w:rsidR="00965D6E" w:rsidRPr="00965D6E" w:rsidRDefault="00965D6E" w:rsidP="00965D6E">
            <w:pPr>
              <w:rPr>
                <w:color w:val="000000"/>
              </w:rPr>
            </w:pPr>
            <w:r w:rsidRPr="00965D6E">
              <w:rPr>
                <w:color w:val="000000"/>
              </w:rPr>
              <w:t>24.7%</w:t>
            </w:r>
          </w:p>
        </w:tc>
      </w:tr>
      <w:tr w:rsidR="00965D6E" w:rsidRPr="00965D6E" w14:paraId="1A090135" w14:textId="77777777" w:rsidTr="00736DA9">
        <w:trPr>
          <w:trHeight w:val="300"/>
        </w:trPr>
        <w:tc>
          <w:tcPr>
            <w:tcW w:w="3505" w:type="dxa"/>
            <w:noWrap/>
            <w:hideMark/>
          </w:tcPr>
          <w:p w14:paraId="1CBCF67B" w14:textId="77777777" w:rsidR="00965D6E" w:rsidRPr="00965D6E" w:rsidRDefault="00965D6E" w:rsidP="00965D6E">
            <w:pPr>
              <w:rPr>
                <w:color w:val="000000"/>
              </w:rPr>
            </w:pPr>
            <w:r w:rsidRPr="00965D6E">
              <w:rPr>
                <w:color w:val="000000"/>
              </w:rPr>
              <w:t>Treated with SVR</w:t>
            </w:r>
          </w:p>
        </w:tc>
        <w:tc>
          <w:tcPr>
            <w:tcW w:w="3150" w:type="dxa"/>
            <w:noWrap/>
            <w:hideMark/>
          </w:tcPr>
          <w:p w14:paraId="18487CA4" w14:textId="77777777" w:rsidR="00965D6E" w:rsidRPr="00965D6E" w:rsidRDefault="00965D6E" w:rsidP="00965D6E">
            <w:pPr>
              <w:rPr>
                <w:color w:val="000000"/>
              </w:rPr>
            </w:pPr>
            <w:r w:rsidRPr="00965D6E">
              <w:rPr>
                <w:color w:val="000000"/>
              </w:rPr>
              <w:t>White</w:t>
            </w:r>
          </w:p>
        </w:tc>
        <w:tc>
          <w:tcPr>
            <w:tcW w:w="3060" w:type="dxa"/>
            <w:noWrap/>
            <w:hideMark/>
          </w:tcPr>
          <w:p w14:paraId="2FE25CA5" w14:textId="77777777" w:rsidR="00965D6E" w:rsidRPr="00965D6E" w:rsidRDefault="00965D6E" w:rsidP="00965D6E">
            <w:pPr>
              <w:rPr>
                <w:color w:val="000000"/>
              </w:rPr>
            </w:pPr>
            <w:r w:rsidRPr="00965D6E">
              <w:rPr>
                <w:color w:val="000000"/>
              </w:rPr>
              <w:t>70.0%</w:t>
            </w:r>
          </w:p>
        </w:tc>
      </w:tr>
      <w:tr w:rsidR="00965D6E" w:rsidRPr="00965D6E" w14:paraId="1B8694FE" w14:textId="77777777" w:rsidTr="00736DA9">
        <w:trPr>
          <w:trHeight w:val="300"/>
        </w:trPr>
        <w:tc>
          <w:tcPr>
            <w:tcW w:w="3505" w:type="dxa"/>
            <w:noWrap/>
            <w:hideMark/>
          </w:tcPr>
          <w:p w14:paraId="66800ADE" w14:textId="77777777" w:rsidR="00965D6E" w:rsidRPr="00965D6E" w:rsidRDefault="00965D6E" w:rsidP="00965D6E">
            <w:pPr>
              <w:rPr>
                <w:color w:val="000000"/>
              </w:rPr>
            </w:pPr>
            <w:r w:rsidRPr="00965D6E">
              <w:rPr>
                <w:color w:val="000000"/>
              </w:rPr>
              <w:t>Positive Test</w:t>
            </w:r>
          </w:p>
        </w:tc>
        <w:tc>
          <w:tcPr>
            <w:tcW w:w="3150" w:type="dxa"/>
            <w:noWrap/>
            <w:hideMark/>
          </w:tcPr>
          <w:p w14:paraId="592DE4D4" w14:textId="77777777" w:rsidR="00965D6E" w:rsidRPr="00965D6E" w:rsidRDefault="00965D6E" w:rsidP="00965D6E">
            <w:pPr>
              <w:rPr>
                <w:color w:val="000000"/>
              </w:rPr>
            </w:pPr>
            <w:r w:rsidRPr="00965D6E">
              <w:rPr>
                <w:color w:val="000000"/>
              </w:rPr>
              <w:t>White</w:t>
            </w:r>
          </w:p>
        </w:tc>
        <w:tc>
          <w:tcPr>
            <w:tcW w:w="3060" w:type="dxa"/>
            <w:noWrap/>
            <w:hideMark/>
          </w:tcPr>
          <w:p w14:paraId="50B06E5C" w14:textId="77777777" w:rsidR="00965D6E" w:rsidRPr="00965D6E" w:rsidRDefault="00965D6E" w:rsidP="00965D6E">
            <w:pPr>
              <w:rPr>
                <w:color w:val="000000"/>
              </w:rPr>
            </w:pPr>
            <w:r w:rsidRPr="00965D6E">
              <w:rPr>
                <w:color w:val="000000"/>
              </w:rPr>
              <w:t>84.0%</w:t>
            </w:r>
          </w:p>
        </w:tc>
      </w:tr>
      <w:tr w:rsidR="00965D6E" w:rsidRPr="00965D6E" w14:paraId="58F16F70" w14:textId="77777777" w:rsidTr="00736DA9">
        <w:trPr>
          <w:trHeight w:val="300"/>
        </w:trPr>
        <w:tc>
          <w:tcPr>
            <w:tcW w:w="3505" w:type="dxa"/>
            <w:noWrap/>
            <w:hideMark/>
          </w:tcPr>
          <w:p w14:paraId="150E9863" w14:textId="77777777" w:rsidR="00965D6E" w:rsidRPr="00965D6E" w:rsidRDefault="00965D6E" w:rsidP="00965D6E">
            <w:pPr>
              <w:rPr>
                <w:color w:val="000000"/>
              </w:rPr>
            </w:pPr>
            <w:r w:rsidRPr="00965D6E">
              <w:rPr>
                <w:color w:val="000000"/>
              </w:rPr>
              <w:t>Awaiting Testing Results</w:t>
            </w:r>
          </w:p>
        </w:tc>
        <w:tc>
          <w:tcPr>
            <w:tcW w:w="3150" w:type="dxa"/>
            <w:noWrap/>
            <w:hideMark/>
          </w:tcPr>
          <w:p w14:paraId="6BF8C5B6" w14:textId="77777777" w:rsidR="00965D6E" w:rsidRPr="00965D6E" w:rsidRDefault="00965D6E" w:rsidP="00965D6E">
            <w:pPr>
              <w:rPr>
                <w:color w:val="000000"/>
              </w:rPr>
            </w:pPr>
            <w:r w:rsidRPr="00965D6E">
              <w:rPr>
                <w:color w:val="000000"/>
              </w:rPr>
              <w:t>White</w:t>
            </w:r>
          </w:p>
        </w:tc>
        <w:tc>
          <w:tcPr>
            <w:tcW w:w="3060" w:type="dxa"/>
            <w:noWrap/>
            <w:hideMark/>
          </w:tcPr>
          <w:p w14:paraId="41C5B65A" w14:textId="77777777" w:rsidR="00965D6E" w:rsidRPr="00965D6E" w:rsidRDefault="00965D6E" w:rsidP="00965D6E">
            <w:pPr>
              <w:rPr>
                <w:color w:val="000000"/>
              </w:rPr>
            </w:pPr>
            <w:r w:rsidRPr="00965D6E">
              <w:rPr>
                <w:color w:val="000000"/>
              </w:rPr>
              <w:t>43.4%</w:t>
            </w:r>
          </w:p>
        </w:tc>
      </w:tr>
      <w:tr w:rsidR="00965D6E" w:rsidRPr="00965D6E" w14:paraId="4E3E5C74" w14:textId="77777777" w:rsidTr="00736DA9">
        <w:trPr>
          <w:trHeight w:val="300"/>
        </w:trPr>
        <w:tc>
          <w:tcPr>
            <w:tcW w:w="3505" w:type="dxa"/>
            <w:noWrap/>
            <w:hideMark/>
          </w:tcPr>
          <w:p w14:paraId="414D063C" w14:textId="77777777" w:rsidR="00965D6E" w:rsidRPr="00965D6E" w:rsidRDefault="00965D6E" w:rsidP="00965D6E">
            <w:pPr>
              <w:rPr>
                <w:color w:val="000000"/>
              </w:rPr>
            </w:pPr>
            <w:r w:rsidRPr="00965D6E">
              <w:rPr>
                <w:color w:val="000000"/>
              </w:rPr>
              <w:t>Negative Test</w:t>
            </w:r>
          </w:p>
        </w:tc>
        <w:tc>
          <w:tcPr>
            <w:tcW w:w="3150" w:type="dxa"/>
            <w:noWrap/>
            <w:hideMark/>
          </w:tcPr>
          <w:p w14:paraId="42F510E0" w14:textId="77777777" w:rsidR="00965D6E" w:rsidRPr="00965D6E" w:rsidRDefault="00965D6E" w:rsidP="00965D6E">
            <w:pPr>
              <w:rPr>
                <w:color w:val="000000"/>
              </w:rPr>
            </w:pPr>
            <w:r w:rsidRPr="00965D6E">
              <w:rPr>
                <w:color w:val="000000"/>
              </w:rPr>
              <w:t>Black</w:t>
            </w:r>
          </w:p>
        </w:tc>
        <w:tc>
          <w:tcPr>
            <w:tcW w:w="3060" w:type="dxa"/>
            <w:noWrap/>
            <w:hideMark/>
          </w:tcPr>
          <w:p w14:paraId="4E953C7D" w14:textId="77777777" w:rsidR="00965D6E" w:rsidRPr="00965D6E" w:rsidRDefault="00965D6E" w:rsidP="00965D6E">
            <w:pPr>
              <w:rPr>
                <w:color w:val="000000"/>
              </w:rPr>
            </w:pPr>
            <w:r w:rsidRPr="00965D6E">
              <w:rPr>
                <w:color w:val="000000"/>
              </w:rPr>
              <w:t>58.9%</w:t>
            </w:r>
          </w:p>
        </w:tc>
      </w:tr>
      <w:tr w:rsidR="00965D6E" w:rsidRPr="00965D6E" w14:paraId="3A2C9C55" w14:textId="77777777" w:rsidTr="00736DA9">
        <w:trPr>
          <w:trHeight w:val="300"/>
        </w:trPr>
        <w:tc>
          <w:tcPr>
            <w:tcW w:w="3505" w:type="dxa"/>
            <w:noWrap/>
            <w:hideMark/>
          </w:tcPr>
          <w:p w14:paraId="496DAE33" w14:textId="77777777" w:rsidR="00965D6E" w:rsidRPr="00965D6E" w:rsidRDefault="00965D6E" w:rsidP="00965D6E">
            <w:pPr>
              <w:rPr>
                <w:color w:val="000000"/>
              </w:rPr>
            </w:pPr>
            <w:r w:rsidRPr="00965D6E">
              <w:rPr>
                <w:color w:val="000000"/>
              </w:rPr>
              <w:t>Opted-out of Testing</w:t>
            </w:r>
          </w:p>
        </w:tc>
        <w:tc>
          <w:tcPr>
            <w:tcW w:w="3150" w:type="dxa"/>
            <w:noWrap/>
            <w:hideMark/>
          </w:tcPr>
          <w:p w14:paraId="0FC0AF20" w14:textId="77777777" w:rsidR="00965D6E" w:rsidRPr="00965D6E" w:rsidRDefault="00965D6E" w:rsidP="00965D6E">
            <w:pPr>
              <w:rPr>
                <w:color w:val="000000"/>
              </w:rPr>
            </w:pPr>
            <w:r w:rsidRPr="00965D6E">
              <w:rPr>
                <w:color w:val="000000"/>
              </w:rPr>
              <w:t>Black</w:t>
            </w:r>
          </w:p>
        </w:tc>
        <w:tc>
          <w:tcPr>
            <w:tcW w:w="3060" w:type="dxa"/>
            <w:noWrap/>
            <w:hideMark/>
          </w:tcPr>
          <w:p w14:paraId="6E0B14DF" w14:textId="77777777" w:rsidR="00965D6E" w:rsidRPr="00965D6E" w:rsidRDefault="00965D6E" w:rsidP="00965D6E">
            <w:pPr>
              <w:rPr>
                <w:color w:val="000000"/>
              </w:rPr>
            </w:pPr>
            <w:r w:rsidRPr="00965D6E">
              <w:rPr>
                <w:color w:val="000000"/>
              </w:rPr>
              <w:t>72.6%</w:t>
            </w:r>
          </w:p>
        </w:tc>
      </w:tr>
      <w:tr w:rsidR="00965D6E" w:rsidRPr="00965D6E" w14:paraId="40A6CAD1" w14:textId="77777777" w:rsidTr="00736DA9">
        <w:trPr>
          <w:trHeight w:val="300"/>
        </w:trPr>
        <w:tc>
          <w:tcPr>
            <w:tcW w:w="3505" w:type="dxa"/>
            <w:noWrap/>
            <w:hideMark/>
          </w:tcPr>
          <w:p w14:paraId="5C764351" w14:textId="77777777" w:rsidR="00965D6E" w:rsidRPr="00965D6E" w:rsidRDefault="00965D6E" w:rsidP="00965D6E">
            <w:pPr>
              <w:rPr>
                <w:color w:val="000000"/>
              </w:rPr>
            </w:pPr>
            <w:r w:rsidRPr="00965D6E">
              <w:rPr>
                <w:color w:val="000000"/>
              </w:rPr>
              <w:t>Treated with SVR</w:t>
            </w:r>
          </w:p>
        </w:tc>
        <w:tc>
          <w:tcPr>
            <w:tcW w:w="3150" w:type="dxa"/>
            <w:noWrap/>
            <w:hideMark/>
          </w:tcPr>
          <w:p w14:paraId="40015D7B" w14:textId="77777777" w:rsidR="00965D6E" w:rsidRPr="00965D6E" w:rsidRDefault="00965D6E" w:rsidP="00965D6E">
            <w:pPr>
              <w:rPr>
                <w:color w:val="000000"/>
              </w:rPr>
            </w:pPr>
            <w:r w:rsidRPr="00965D6E">
              <w:rPr>
                <w:color w:val="000000"/>
              </w:rPr>
              <w:t>Black</w:t>
            </w:r>
          </w:p>
        </w:tc>
        <w:tc>
          <w:tcPr>
            <w:tcW w:w="3060" w:type="dxa"/>
            <w:noWrap/>
            <w:hideMark/>
          </w:tcPr>
          <w:p w14:paraId="0F6C1679" w14:textId="77777777" w:rsidR="00965D6E" w:rsidRPr="00965D6E" w:rsidRDefault="00965D6E" w:rsidP="00965D6E">
            <w:pPr>
              <w:rPr>
                <w:color w:val="000000"/>
              </w:rPr>
            </w:pPr>
            <w:r w:rsidRPr="00965D6E">
              <w:rPr>
                <w:color w:val="000000"/>
              </w:rPr>
              <w:t>28.3%</w:t>
            </w:r>
          </w:p>
        </w:tc>
      </w:tr>
      <w:tr w:rsidR="00965D6E" w:rsidRPr="00965D6E" w14:paraId="1AB7D5E3" w14:textId="77777777" w:rsidTr="00736DA9">
        <w:trPr>
          <w:trHeight w:val="300"/>
        </w:trPr>
        <w:tc>
          <w:tcPr>
            <w:tcW w:w="3505" w:type="dxa"/>
            <w:noWrap/>
            <w:hideMark/>
          </w:tcPr>
          <w:p w14:paraId="59BF89DE" w14:textId="77777777" w:rsidR="00965D6E" w:rsidRPr="00965D6E" w:rsidRDefault="00965D6E" w:rsidP="00965D6E">
            <w:pPr>
              <w:rPr>
                <w:color w:val="000000"/>
              </w:rPr>
            </w:pPr>
            <w:r w:rsidRPr="00965D6E">
              <w:rPr>
                <w:color w:val="000000"/>
              </w:rPr>
              <w:t>Positive Test</w:t>
            </w:r>
          </w:p>
        </w:tc>
        <w:tc>
          <w:tcPr>
            <w:tcW w:w="3150" w:type="dxa"/>
            <w:noWrap/>
            <w:hideMark/>
          </w:tcPr>
          <w:p w14:paraId="2418F09A" w14:textId="77777777" w:rsidR="00965D6E" w:rsidRPr="00965D6E" w:rsidRDefault="00965D6E" w:rsidP="00965D6E">
            <w:pPr>
              <w:rPr>
                <w:color w:val="000000"/>
              </w:rPr>
            </w:pPr>
            <w:r w:rsidRPr="00965D6E">
              <w:rPr>
                <w:color w:val="000000"/>
              </w:rPr>
              <w:t>Black</w:t>
            </w:r>
          </w:p>
        </w:tc>
        <w:tc>
          <w:tcPr>
            <w:tcW w:w="3060" w:type="dxa"/>
            <w:noWrap/>
            <w:hideMark/>
          </w:tcPr>
          <w:p w14:paraId="6BD30D73" w14:textId="77777777" w:rsidR="00965D6E" w:rsidRPr="00965D6E" w:rsidRDefault="00965D6E" w:rsidP="00965D6E">
            <w:pPr>
              <w:rPr>
                <w:color w:val="000000"/>
              </w:rPr>
            </w:pPr>
            <w:r w:rsidRPr="00965D6E">
              <w:rPr>
                <w:color w:val="000000"/>
              </w:rPr>
              <w:t>14.1%</w:t>
            </w:r>
          </w:p>
        </w:tc>
      </w:tr>
      <w:tr w:rsidR="00965D6E" w:rsidRPr="00965D6E" w14:paraId="5A372A7B" w14:textId="77777777" w:rsidTr="00736DA9">
        <w:trPr>
          <w:trHeight w:val="300"/>
        </w:trPr>
        <w:tc>
          <w:tcPr>
            <w:tcW w:w="3505" w:type="dxa"/>
            <w:noWrap/>
            <w:hideMark/>
          </w:tcPr>
          <w:p w14:paraId="19952887" w14:textId="77777777" w:rsidR="00965D6E" w:rsidRPr="00965D6E" w:rsidRDefault="00965D6E" w:rsidP="00965D6E">
            <w:pPr>
              <w:rPr>
                <w:color w:val="000000"/>
              </w:rPr>
            </w:pPr>
            <w:r w:rsidRPr="00965D6E">
              <w:rPr>
                <w:color w:val="000000"/>
              </w:rPr>
              <w:t>Awaiting Testing Results</w:t>
            </w:r>
          </w:p>
        </w:tc>
        <w:tc>
          <w:tcPr>
            <w:tcW w:w="3150" w:type="dxa"/>
            <w:noWrap/>
            <w:hideMark/>
          </w:tcPr>
          <w:p w14:paraId="0A408C54" w14:textId="77777777" w:rsidR="00965D6E" w:rsidRPr="00965D6E" w:rsidRDefault="00965D6E" w:rsidP="00965D6E">
            <w:pPr>
              <w:rPr>
                <w:color w:val="000000"/>
              </w:rPr>
            </w:pPr>
            <w:r w:rsidRPr="00965D6E">
              <w:rPr>
                <w:color w:val="000000"/>
              </w:rPr>
              <w:t>Black</w:t>
            </w:r>
          </w:p>
        </w:tc>
        <w:tc>
          <w:tcPr>
            <w:tcW w:w="3060" w:type="dxa"/>
            <w:noWrap/>
            <w:hideMark/>
          </w:tcPr>
          <w:p w14:paraId="6954185A" w14:textId="77777777" w:rsidR="00965D6E" w:rsidRPr="00965D6E" w:rsidRDefault="00965D6E" w:rsidP="00965D6E">
            <w:pPr>
              <w:rPr>
                <w:color w:val="000000"/>
              </w:rPr>
            </w:pPr>
            <w:r w:rsidRPr="00965D6E">
              <w:rPr>
                <w:color w:val="000000"/>
              </w:rPr>
              <w:t>53.5%</w:t>
            </w:r>
          </w:p>
        </w:tc>
      </w:tr>
      <w:tr w:rsidR="00965D6E" w:rsidRPr="00965D6E" w14:paraId="041A1830" w14:textId="77777777" w:rsidTr="00736DA9">
        <w:trPr>
          <w:trHeight w:val="300"/>
        </w:trPr>
        <w:tc>
          <w:tcPr>
            <w:tcW w:w="3505" w:type="dxa"/>
            <w:noWrap/>
            <w:hideMark/>
          </w:tcPr>
          <w:p w14:paraId="11659F35" w14:textId="77777777" w:rsidR="00965D6E" w:rsidRPr="00965D6E" w:rsidRDefault="00965D6E" w:rsidP="00965D6E">
            <w:pPr>
              <w:rPr>
                <w:color w:val="000000"/>
              </w:rPr>
            </w:pPr>
            <w:r w:rsidRPr="00965D6E">
              <w:rPr>
                <w:color w:val="000000"/>
              </w:rPr>
              <w:t>Negative Test</w:t>
            </w:r>
          </w:p>
        </w:tc>
        <w:tc>
          <w:tcPr>
            <w:tcW w:w="3150" w:type="dxa"/>
            <w:noWrap/>
            <w:hideMark/>
          </w:tcPr>
          <w:p w14:paraId="029964A9" w14:textId="77777777" w:rsidR="00965D6E" w:rsidRPr="00965D6E" w:rsidRDefault="00965D6E" w:rsidP="00965D6E">
            <w:pPr>
              <w:rPr>
                <w:color w:val="000000"/>
              </w:rPr>
            </w:pPr>
            <w:r w:rsidRPr="00965D6E">
              <w:rPr>
                <w:color w:val="000000"/>
              </w:rPr>
              <w:t>Other</w:t>
            </w:r>
          </w:p>
        </w:tc>
        <w:tc>
          <w:tcPr>
            <w:tcW w:w="3060" w:type="dxa"/>
            <w:noWrap/>
            <w:hideMark/>
          </w:tcPr>
          <w:p w14:paraId="51B767E8" w14:textId="77777777" w:rsidR="00965D6E" w:rsidRPr="00965D6E" w:rsidRDefault="00965D6E" w:rsidP="00965D6E">
            <w:pPr>
              <w:rPr>
                <w:color w:val="000000"/>
              </w:rPr>
            </w:pPr>
            <w:r w:rsidRPr="00965D6E">
              <w:rPr>
                <w:color w:val="000000"/>
              </w:rPr>
              <w:t>2.8%</w:t>
            </w:r>
          </w:p>
        </w:tc>
      </w:tr>
      <w:tr w:rsidR="00965D6E" w:rsidRPr="00965D6E" w14:paraId="3771614C" w14:textId="77777777" w:rsidTr="00736DA9">
        <w:trPr>
          <w:trHeight w:val="300"/>
        </w:trPr>
        <w:tc>
          <w:tcPr>
            <w:tcW w:w="3505" w:type="dxa"/>
            <w:noWrap/>
            <w:hideMark/>
          </w:tcPr>
          <w:p w14:paraId="781E98F0" w14:textId="77777777" w:rsidR="00965D6E" w:rsidRPr="00965D6E" w:rsidRDefault="00965D6E" w:rsidP="00965D6E">
            <w:pPr>
              <w:rPr>
                <w:color w:val="000000"/>
              </w:rPr>
            </w:pPr>
            <w:r w:rsidRPr="00965D6E">
              <w:rPr>
                <w:color w:val="000000"/>
              </w:rPr>
              <w:t>Opted-out of Testing</w:t>
            </w:r>
          </w:p>
        </w:tc>
        <w:tc>
          <w:tcPr>
            <w:tcW w:w="3150" w:type="dxa"/>
            <w:noWrap/>
            <w:hideMark/>
          </w:tcPr>
          <w:p w14:paraId="48DE3589" w14:textId="77777777" w:rsidR="00965D6E" w:rsidRPr="00965D6E" w:rsidRDefault="00965D6E" w:rsidP="00965D6E">
            <w:pPr>
              <w:rPr>
                <w:color w:val="000000"/>
              </w:rPr>
            </w:pPr>
            <w:r w:rsidRPr="00965D6E">
              <w:rPr>
                <w:color w:val="000000"/>
              </w:rPr>
              <w:t>Other</w:t>
            </w:r>
          </w:p>
        </w:tc>
        <w:tc>
          <w:tcPr>
            <w:tcW w:w="3060" w:type="dxa"/>
            <w:noWrap/>
            <w:hideMark/>
          </w:tcPr>
          <w:p w14:paraId="0FB89679" w14:textId="77777777" w:rsidR="00965D6E" w:rsidRPr="00965D6E" w:rsidRDefault="00965D6E" w:rsidP="00965D6E">
            <w:pPr>
              <w:rPr>
                <w:color w:val="000000"/>
              </w:rPr>
            </w:pPr>
            <w:r w:rsidRPr="00965D6E">
              <w:rPr>
                <w:color w:val="000000"/>
              </w:rPr>
              <w:t>2.6%</w:t>
            </w:r>
          </w:p>
        </w:tc>
      </w:tr>
      <w:tr w:rsidR="00965D6E" w:rsidRPr="00965D6E" w14:paraId="5406B895" w14:textId="77777777" w:rsidTr="00736DA9">
        <w:trPr>
          <w:trHeight w:val="300"/>
        </w:trPr>
        <w:tc>
          <w:tcPr>
            <w:tcW w:w="3505" w:type="dxa"/>
            <w:noWrap/>
            <w:hideMark/>
          </w:tcPr>
          <w:p w14:paraId="13AE6313" w14:textId="77777777" w:rsidR="00965D6E" w:rsidRPr="00965D6E" w:rsidRDefault="00965D6E" w:rsidP="00965D6E">
            <w:pPr>
              <w:rPr>
                <w:color w:val="000000"/>
              </w:rPr>
            </w:pPr>
            <w:r w:rsidRPr="00965D6E">
              <w:rPr>
                <w:color w:val="000000"/>
              </w:rPr>
              <w:t>Treated with SVR</w:t>
            </w:r>
          </w:p>
        </w:tc>
        <w:tc>
          <w:tcPr>
            <w:tcW w:w="3150" w:type="dxa"/>
            <w:noWrap/>
            <w:hideMark/>
          </w:tcPr>
          <w:p w14:paraId="241B87CD" w14:textId="77777777" w:rsidR="00965D6E" w:rsidRPr="00965D6E" w:rsidRDefault="00965D6E" w:rsidP="00965D6E">
            <w:pPr>
              <w:rPr>
                <w:color w:val="000000"/>
              </w:rPr>
            </w:pPr>
            <w:r w:rsidRPr="00965D6E">
              <w:rPr>
                <w:color w:val="000000"/>
              </w:rPr>
              <w:t>Other</w:t>
            </w:r>
          </w:p>
        </w:tc>
        <w:tc>
          <w:tcPr>
            <w:tcW w:w="3060" w:type="dxa"/>
            <w:noWrap/>
            <w:hideMark/>
          </w:tcPr>
          <w:p w14:paraId="4F358A47" w14:textId="77777777" w:rsidR="00965D6E" w:rsidRPr="00965D6E" w:rsidRDefault="00965D6E" w:rsidP="00965D6E">
            <w:pPr>
              <w:rPr>
                <w:color w:val="000000"/>
              </w:rPr>
            </w:pPr>
            <w:r w:rsidRPr="00965D6E">
              <w:rPr>
                <w:color w:val="000000"/>
              </w:rPr>
              <w:t>1.5%</w:t>
            </w:r>
          </w:p>
        </w:tc>
      </w:tr>
      <w:tr w:rsidR="00965D6E" w:rsidRPr="00965D6E" w14:paraId="786EF5D4" w14:textId="77777777" w:rsidTr="00736DA9">
        <w:trPr>
          <w:trHeight w:val="300"/>
        </w:trPr>
        <w:tc>
          <w:tcPr>
            <w:tcW w:w="3505" w:type="dxa"/>
            <w:noWrap/>
            <w:hideMark/>
          </w:tcPr>
          <w:p w14:paraId="20E41076" w14:textId="77777777" w:rsidR="00965D6E" w:rsidRPr="00965D6E" w:rsidRDefault="00965D6E" w:rsidP="00965D6E">
            <w:pPr>
              <w:rPr>
                <w:color w:val="000000"/>
              </w:rPr>
            </w:pPr>
            <w:r w:rsidRPr="00965D6E">
              <w:rPr>
                <w:color w:val="000000"/>
              </w:rPr>
              <w:t>Positive Test</w:t>
            </w:r>
          </w:p>
        </w:tc>
        <w:tc>
          <w:tcPr>
            <w:tcW w:w="3150" w:type="dxa"/>
            <w:noWrap/>
            <w:hideMark/>
          </w:tcPr>
          <w:p w14:paraId="68583AA8" w14:textId="77777777" w:rsidR="00965D6E" w:rsidRPr="00965D6E" w:rsidRDefault="00965D6E" w:rsidP="00965D6E">
            <w:pPr>
              <w:rPr>
                <w:color w:val="000000"/>
              </w:rPr>
            </w:pPr>
            <w:r w:rsidRPr="00965D6E">
              <w:rPr>
                <w:color w:val="000000"/>
              </w:rPr>
              <w:t>Other</w:t>
            </w:r>
          </w:p>
        </w:tc>
        <w:tc>
          <w:tcPr>
            <w:tcW w:w="3060" w:type="dxa"/>
            <w:noWrap/>
            <w:hideMark/>
          </w:tcPr>
          <w:p w14:paraId="1BCF3D4A" w14:textId="77777777" w:rsidR="00965D6E" w:rsidRPr="00965D6E" w:rsidRDefault="00965D6E" w:rsidP="00965D6E">
            <w:pPr>
              <w:rPr>
                <w:color w:val="000000"/>
              </w:rPr>
            </w:pPr>
            <w:r w:rsidRPr="00965D6E">
              <w:rPr>
                <w:color w:val="000000"/>
              </w:rPr>
              <w:t>0.6%</w:t>
            </w:r>
          </w:p>
        </w:tc>
      </w:tr>
      <w:tr w:rsidR="00965D6E" w:rsidRPr="00965D6E" w14:paraId="19552DE1" w14:textId="77777777" w:rsidTr="00736DA9">
        <w:trPr>
          <w:trHeight w:val="300"/>
        </w:trPr>
        <w:tc>
          <w:tcPr>
            <w:tcW w:w="3505" w:type="dxa"/>
            <w:noWrap/>
            <w:hideMark/>
          </w:tcPr>
          <w:p w14:paraId="53D9BDD3" w14:textId="77777777" w:rsidR="00965D6E" w:rsidRPr="00965D6E" w:rsidRDefault="00965D6E" w:rsidP="00965D6E">
            <w:pPr>
              <w:rPr>
                <w:color w:val="000000"/>
              </w:rPr>
            </w:pPr>
            <w:r w:rsidRPr="00965D6E">
              <w:rPr>
                <w:color w:val="000000"/>
              </w:rPr>
              <w:t>Awaiting Testing Results</w:t>
            </w:r>
          </w:p>
        </w:tc>
        <w:tc>
          <w:tcPr>
            <w:tcW w:w="3150" w:type="dxa"/>
            <w:noWrap/>
            <w:hideMark/>
          </w:tcPr>
          <w:p w14:paraId="63543293" w14:textId="77777777" w:rsidR="00965D6E" w:rsidRPr="00965D6E" w:rsidRDefault="00965D6E" w:rsidP="00965D6E">
            <w:pPr>
              <w:rPr>
                <w:color w:val="000000"/>
              </w:rPr>
            </w:pPr>
            <w:r w:rsidRPr="00965D6E">
              <w:rPr>
                <w:color w:val="000000"/>
              </w:rPr>
              <w:t>Other</w:t>
            </w:r>
          </w:p>
        </w:tc>
        <w:tc>
          <w:tcPr>
            <w:tcW w:w="3060" w:type="dxa"/>
            <w:noWrap/>
            <w:hideMark/>
          </w:tcPr>
          <w:p w14:paraId="302512F6" w14:textId="77777777" w:rsidR="00965D6E" w:rsidRPr="00965D6E" w:rsidRDefault="00965D6E" w:rsidP="00965D6E">
            <w:pPr>
              <w:rPr>
                <w:color w:val="000000"/>
              </w:rPr>
            </w:pPr>
            <w:r w:rsidRPr="00965D6E">
              <w:rPr>
                <w:color w:val="000000"/>
              </w:rPr>
              <w:t>2.4%</w:t>
            </w:r>
          </w:p>
        </w:tc>
      </w:tr>
    </w:tbl>
    <w:p w14:paraId="5BF57BBE" w14:textId="0764FE90" w:rsidR="006E427F" w:rsidRPr="006E427F" w:rsidRDefault="006E427F" w:rsidP="006E427F">
      <w:r w:rsidRPr="006E427F">
        <w:t xml:space="preserve">Source: SC DC, November 7, 2022. </w:t>
      </w:r>
    </w:p>
    <w:p w14:paraId="2007DA76" w14:textId="7398FD10" w:rsidR="00571B04" w:rsidRPr="00864C09" w:rsidRDefault="006E427F" w:rsidP="006E427F">
      <w:r w:rsidRPr="006E427F">
        <w:t xml:space="preserve">Note: SVR, sustained virological response. Black is Black or African American. Figure excludes Asian, American </w:t>
      </w:r>
      <w:proofErr w:type="gramStart"/>
      <w:r w:rsidRPr="006E427F">
        <w:t>Indian</w:t>
      </w:r>
      <w:proofErr w:type="gramEnd"/>
      <w:r w:rsidRPr="006E427F">
        <w:t xml:space="preserve"> and Unknown race, which individually comprised less than 0.5% for all test categories except for Positive Tests where American Indian comprised 1.2%.</w:t>
      </w:r>
    </w:p>
    <w:p w14:paraId="7AA2AB3B" w14:textId="77777777" w:rsidR="00571B04" w:rsidRDefault="00571B04" w:rsidP="00722CE9"/>
    <w:p w14:paraId="3327711D" w14:textId="045CABD2" w:rsidR="006E427F" w:rsidRPr="00722CE9" w:rsidRDefault="006E427F" w:rsidP="006E427F">
      <w:bookmarkStart w:id="216" w:name="_Toc162267132"/>
      <w:r w:rsidRPr="00544ADD">
        <w:rPr>
          <w:rStyle w:val="Heading4Char"/>
          <w:rFonts w:asciiTheme="minorHAnsi" w:hAnsiTheme="minorHAnsi" w:cstheme="minorHAnsi"/>
          <w:color w:val="000000" w:themeColor="text1"/>
        </w:rPr>
        <w:t>References 5.1</w:t>
      </w:r>
      <w:r>
        <w:rPr>
          <w:rStyle w:val="Heading4Char"/>
          <w:rFonts w:asciiTheme="minorHAnsi" w:hAnsiTheme="minorHAnsi" w:cstheme="minorHAnsi"/>
          <w:color w:val="000000" w:themeColor="text1"/>
        </w:rPr>
        <w:t>6</w:t>
      </w:r>
      <w:bookmarkEnd w:id="216"/>
    </w:p>
    <w:p w14:paraId="0B2B2D2C" w14:textId="77777777" w:rsidR="006E427F" w:rsidRDefault="006E427F" w:rsidP="006E427F">
      <w:r w:rsidRPr="00722CE9">
        <w:t>Statistics in the preceding</w:t>
      </w:r>
      <w:r>
        <w:t xml:space="preserve"> section</w:t>
      </w:r>
      <w:r w:rsidRPr="00722CE9">
        <w:t xml:space="preserve"> were referenced from the following reports:</w:t>
      </w:r>
    </w:p>
    <w:p w14:paraId="198E381B" w14:textId="2562F599" w:rsidR="00843475" w:rsidRDefault="00843475" w:rsidP="00843475">
      <w:pPr>
        <w:ind w:left="720" w:hanging="360"/>
      </w:pPr>
      <w:r w:rsidRPr="00843475">
        <w:t>8</w:t>
      </w:r>
      <w:r>
        <w:t>9</w:t>
      </w:r>
      <w:r w:rsidRPr="00843475">
        <w:t>.</w:t>
      </w:r>
      <w:r w:rsidRPr="00843475">
        <w:tab/>
      </w:r>
      <w:r>
        <w:tab/>
      </w:r>
      <w:hyperlink r:id="rId131" w:history="1">
        <w:r w:rsidRPr="00843475">
          <w:rPr>
            <w:rStyle w:val="Hyperlink"/>
          </w:rPr>
          <w:t>“American Community Survey 1-Year Data Estimates Subject Tables 2021, South Carolina” by U.S. Census Bureau. Published in Demographic and Housing Estimates, 2021.</w:t>
        </w:r>
      </w:hyperlink>
    </w:p>
    <w:p w14:paraId="2D8CBDF8" w14:textId="44AE66EE" w:rsidR="006E427F" w:rsidRPr="006E427F" w:rsidRDefault="00000000" w:rsidP="006E427F">
      <w:pPr>
        <w:pStyle w:val="ListParagraph"/>
        <w:numPr>
          <w:ilvl w:val="0"/>
          <w:numId w:val="231"/>
        </w:numPr>
      </w:pPr>
      <w:hyperlink r:id="rId132" w:history="1">
        <w:r w:rsidR="006E427F" w:rsidRPr="006E427F">
          <w:rPr>
            <w:rStyle w:val="Hyperlink"/>
          </w:rPr>
          <w:t xml:space="preserve">“South Carolina: Incarceration Trends.” Published by the Vera Institute of Justice, 2023. </w:t>
        </w:r>
      </w:hyperlink>
      <w:r w:rsidR="006E427F" w:rsidRPr="006E427F">
        <w:t xml:space="preserve"> </w:t>
      </w:r>
    </w:p>
    <w:p w14:paraId="58531A15" w14:textId="3CFF023B" w:rsidR="006E427F" w:rsidRPr="006E427F" w:rsidRDefault="006E427F" w:rsidP="006E427F">
      <w:pPr>
        <w:pStyle w:val="ListParagraph"/>
        <w:numPr>
          <w:ilvl w:val="0"/>
          <w:numId w:val="231"/>
        </w:numPr>
      </w:pPr>
      <w:r>
        <w:t>“</w:t>
      </w:r>
      <w:r w:rsidRPr="006E427F">
        <w:t>Melanie Davis: Health Disparities In South Carolina Prisons</w:t>
      </w:r>
      <w:r>
        <w:t>” a personal communication by Melanie Davis. Published by the</w:t>
      </w:r>
      <w:r w:rsidRPr="006E427F">
        <w:t xml:space="preserve"> South Carolina Department of Corrections Division of Infectious Disease Management</w:t>
      </w:r>
      <w:r>
        <w:t xml:space="preserve">, </w:t>
      </w:r>
      <w:r w:rsidRPr="006E427F">
        <w:t>Columbia; South Carolina</w:t>
      </w:r>
      <w:r>
        <w:t>, 2022. No hyperlink.</w:t>
      </w:r>
    </w:p>
    <w:p w14:paraId="10E693BC" w14:textId="37201FD4" w:rsidR="00290012" w:rsidRPr="00290012" w:rsidRDefault="006E427F" w:rsidP="00290012">
      <w:pPr>
        <w:pStyle w:val="ListParagraph"/>
        <w:numPr>
          <w:ilvl w:val="0"/>
          <w:numId w:val="231"/>
        </w:numPr>
      </w:pPr>
      <w:r>
        <w:t>“</w:t>
      </w:r>
      <w:r w:rsidRPr="006E427F">
        <w:t>Medical Problems Reported by Prisoners</w:t>
      </w:r>
      <w:r>
        <w:t xml:space="preserve">” by </w:t>
      </w:r>
      <w:proofErr w:type="spellStart"/>
      <w:r w:rsidRPr="006E427F">
        <w:t>Maruschak</w:t>
      </w:r>
      <w:proofErr w:type="spellEnd"/>
      <w:r w:rsidRPr="006E427F">
        <w:t>, L.M., Bronson, J.,</w:t>
      </w:r>
      <w:r>
        <w:t xml:space="preserve"> and</w:t>
      </w:r>
      <w:r w:rsidRPr="006E427F">
        <w:t xml:space="preserve"> </w:t>
      </w:r>
      <w:proofErr w:type="spellStart"/>
      <w:r w:rsidRPr="006E427F">
        <w:t>Alper</w:t>
      </w:r>
      <w:proofErr w:type="spellEnd"/>
      <w:r w:rsidRPr="006E427F">
        <w:t xml:space="preserve">, M., 2016. Survey of </w:t>
      </w:r>
      <w:r>
        <w:t>p</w:t>
      </w:r>
      <w:r w:rsidRPr="006E427F">
        <w:t xml:space="preserve">rison </w:t>
      </w:r>
      <w:r>
        <w:t>i</w:t>
      </w:r>
      <w:r w:rsidRPr="006E427F">
        <w:t>nmates</w:t>
      </w:r>
      <w:r>
        <w:t xml:space="preserve"> published by the </w:t>
      </w:r>
      <w:r w:rsidRPr="006E427F">
        <w:t>U.S. Department of Justice, Office of Justice Programs, Bureau of Justice Statistics</w:t>
      </w:r>
      <w:r>
        <w:t>, 2021</w:t>
      </w:r>
      <w:r w:rsidRPr="006E427F">
        <w:t xml:space="preserve">. </w:t>
      </w:r>
      <w:r>
        <w:t>No hyperlink.</w:t>
      </w:r>
    </w:p>
    <w:p w14:paraId="78BE547B" w14:textId="225F5503" w:rsidR="00290012" w:rsidRPr="00290012" w:rsidRDefault="00000000" w:rsidP="00290012">
      <w:pPr>
        <w:pStyle w:val="ListParagraph"/>
        <w:numPr>
          <w:ilvl w:val="0"/>
          <w:numId w:val="231"/>
        </w:numPr>
      </w:pPr>
      <w:hyperlink r:id="rId133" w:history="1">
        <w:r w:rsidR="00290012" w:rsidRPr="00290012">
          <w:rPr>
            <w:rStyle w:val="Hyperlink"/>
          </w:rPr>
          <w:t>“Hepatitis C Questions and Answers for Health Professionals” by Centers for Disease Control and Prevention, 2020.</w:t>
        </w:r>
      </w:hyperlink>
      <w:r w:rsidR="00290012" w:rsidRPr="00290012">
        <w:t xml:space="preserve"> </w:t>
      </w:r>
    </w:p>
    <w:p w14:paraId="7D322312" w14:textId="6691A35D" w:rsidR="00290012" w:rsidRPr="00290012" w:rsidRDefault="00290012" w:rsidP="00290012">
      <w:pPr>
        <w:pStyle w:val="ListParagraph"/>
        <w:numPr>
          <w:ilvl w:val="0"/>
          <w:numId w:val="231"/>
        </w:numPr>
      </w:pPr>
      <w:r>
        <w:t>“</w:t>
      </w:r>
      <w:r w:rsidRPr="00290012">
        <w:t>South Carolina Epi Profile of HIV, AIDS, &amp; Sexually Transmitted Infections</w:t>
      </w:r>
      <w:r>
        <w:t>” by SC DHEC, 2021</w:t>
      </w:r>
      <w:r w:rsidRPr="00290012">
        <w:t>. Columbia; South Carolina.</w:t>
      </w:r>
      <w:r>
        <w:t xml:space="preserve"> No hyperlink.</w:t>
      </w:r>
      <w:r w:rsidRPr="00290012">
        <w:t xml:space="preserve"> </w:t>
      </w:r>
    </w:p>
    <w:p w14:paraId="25891249" w14:textId="00039B33" w:rsidR="00290012" w:rsidRPr="00290012" w:rsidRDefault="00290012" w:rsidP="00290012">
      <w:pPr>
        <w:pStyle w:val="ListParagraph"/>
        <w:numPr>
          <w:ilvl w:val="0"/>
          <w:numId w:val="231"/>
        </w:numPr>
      </w:pPr>
      <w:r>
        <w:t>“</w:t>
      </w:r>
      <w:r w:rsidRPr="00290012">
        <w:t>HIV in Prisons, 2020 – Statistical Tables</w:t>
      </w:r>
      <w:r>
        <w:t>” by</w:t>
      </w:r>
      <w:r w:rsidRPr="00290012">
        <w:t xml:space="preserve"> </w:t>
      </w:r>
      <w:proofErr w:type="spellStart"/>
      <w:r w:rsidRPr="00290012">
        <w:t>Maruschak</w:t>
      </w:r>
      <w:proofErr w:type="spellEnd"/>
      <w:r w:rsidRPr="00290012">
        <w:t>, L.M</w:t>
      </w:r>
      <w:r>
        <w:t>., 2022.</w:t>
      </w:r>
      <w:r w:rsidRPr="00290012">
        <w:t xml:space="preserve"> </w:t>
      </w:r>
      <w:r>
        <w:t>Published by the</w:t>
      </w:r>
      <w:r w:rsidRPr="00290012">
        <w:t xml:space="preserve"> U.S. Department of Justice, Office of Justice Programs, Bureau of Justice Statistics. </w:t>
      </w:r>
      <w:r>
        <w:t>No hyperlink.</w:t>
      </w:r>
    </w:p>
    <w:p w14:paraId="0FF38CFD" w14:textId="58C59784" w:rsidR="00290012" w:rsidRPr="00290012" w:rsidRDefault="00290012" w:rsidP="00290012">
      <w:pPr>
        <w:pStyle w:val="ListParagraph"/>
        <w:numPr>
          <w:ilvl w:val="0"/>
          <w:numId w:val="231"/>
        </w:numPr>
      </w:pPr>
      <w:r w:rsidRPr="00290012">
        <w:t xml:space="preserve"> </w:t>
      </w:r>
      <w:hyperlink r:id="rId134" w:history="1">
        <w:r w:rsidRPr="00290012">
          <w:rPr>
            <w:rStyle w:val="Hyperlink"/>
          </w:rPr>
          <w:t xml:space="preserve">“Drug Use, Dependence, and Abuse Among State Prisoners and Jail Inmates, 2007-2009” by Bronson, J., Stroop, J., Zimmer, S., and </w:t>
        </w:r>
        <w:proofErr w:type="spellStart"/>
        <w:r w:rsidRPr="00290012">
          <w:rPr>
            <w:rStyle w:val="Hyperlink"/>
          </w:rPr>
          <w:t>Berzofsky</w:t>
        </w:r>
        <w:proofErr w:type="spellEnd"/>
        <w:r w:rsidRPr="00290012">
          <w:rPr>
            <w:rStyle w:val="Hyperlink"/>
          </w:rPr>
          <w:t>, M. Published by the Bureau of Justice Statistics, 2017.</w:t>
        </w:r>
      </w:hyperlink>
      <w:r w:rsidRPr="00290012">
        <w:t xml:space="preserve"> </w:t>
      </w:r>
    </w:p>
    <w:p w14:paraId="5EB93510" w14:textId="7801260E" w:rsidR="006E427F" w:rsidRDefault="00290012" w:rsidP="00290012">
      <w:pPr>
        <w:pStyle w:val="ListParagraph"/>
        <w:numPr>
          <w:ilvl w:val="0"/>
          <w:numId w:val="231"/>
        </w:numPr>
      </w:pPr>
      <w:r>
        <w:t>“Most Serious Offense of Inmates Admitted Fiscal Years 2019 – 2023” by SC Department of Corrections, 2023. Columbia; South Carolina. No hyperlink.</w:t>
      </w:r>
    </w:p>
    <w:p w14:paraId="1A1C2999" w14:textId="56C4394C" w:rsidR="00290012" w:rsidRDefault="00290012" w:rsidP="00290012">
      <w:pPr>
        <w:pStyle w:val="ListParagraph"/>
        <w:numPr>
          <w:ilvl w:val="0"/>
          <w:numId w:val="231"/>
        </w:numPr>
      </w:pPr>
      <w:r>
        <w:t>“</w:t>
      </w:r>
      <w:r w:rsidRPr="00290012">
        <w:t>South Carolina Infectious disease and Outbreak Network (SCION) 2020</w:t>
      </w:r>
      <w:r>
        <w:t>” by SC DHEC, 2022</w:t>
      </w:r>
      <w:r w:rsidRPr="00290012">
        <w:t>. Columbia; South Carolina.</w:t>
      </w:r>
      <w:r>
        <w:t xml:space="preserve"> No hyperlink.</w:t>
      </w:r>
    </w:p>
    <w:p w14:paraId="502BEB70" w14:textId="77777777" w:rsidR="00290012" w:rsidRDefault="00290012" w:rsidP="00722CE9"/>
    <w:p w14:paraId="254F0FE6" w14:textId="4D79AE98" w:rsidR="00571B04" w:rsidRDefault="00290012" w:rsidP="00290012">
      <w:pPr>
        <w:pStyle w:val="Heading5"/>
      </w:pPr>
      <w:r>
        <w:t xml:space="preserve">Key Takeaways: </w:t>
      </w:r>
    </w:p>
    <w:p w14:paraId="1118543D" w14:textId="77777777" w:rsidR="00290012" w:rsidRPr="00290012" w:rsidRDefault="00290012" w:rsidP="00290012">
      <w:pPr>
        <w:pStyle w:val="ListParagraph"/>
        <w:numPr>
          <w:ilvl w:val="0"/>
          <w:numId w:val="243"/>
        </w:numPr>
      </w:pPr>
      <w:r w:rsidRPr="00290012">
        <w:t xml:space="preserve">Targeted community interventions to reduce high-risk behaviors such as injection drug use may prevent elevated infectious disease rates among groups that are more likely to be incarcerated. </w:t>
      </w:r>
    </w:p>
    <w:p w14:paraId="6D646C6B" w14:textId="63FB31ED" w:rsidR="00290012" w:rsidRPr="00290012" w:rsidRDefault="00290012" w:rsidP="00290012">
      <w:pPr>
        <w:pStyle w:val="ListParagraph"/>
        <w:numPr>
          <w:ilvl w:val="0"/>
          <w:numId w:val="243"/>
        </w:numPr>
      </w:pPr>
      <w:r w:rsidRPr="00290012">
        <w:t xml:space="preserve">A public health program is needed to ensure continuity of care for hepatitis C treatment that is initiated in prison but completed after discharge. </w:t>
      </w:r>
    </w:p>
    <w:p w14:paraId="517DAE17" w14:textId="58924672" w:rsidR="00290012" w:rsidRPr="00290012" w:rsidRDefault="00290012" w:rsidP="00290012">
      <w:pPr>
        <w:pStyle w:val="ListParagraph"/>
        <w:numPr>
          <w:ilvl w:val="0"/>
          <w:numId w:val="243"/>
        </w:numPr>
      </w:pPr>
      <w:r w:rsidRPr="00290012">
        <w:t>Given the treatable nature of hepatitis C and its chronic effects, mandatory testing in prison should be considered instead of opt-out testing.</w:t>
      </w:r>
    </w:p>
    <w:p w14:paraId="1261E8F8" w14:textId="77777777" w:rsidR="00290012" w:rsidRDefault="00290012" w:rsidP="00722CE9"/>
    <w:p w14:paraId="580F22BF" w14:textId="50E4150D" w:rsidR="00722CE9" w:rsidRDefault="00722CE9" w:rsidP="00722CE9">
      <w:pPr>
        <w:pStyle w:val="Heading3"/>
      </w:pPr>
      <w:bookmarkStart w:id="217" w:name="_Toc162267133"/>
      <w:r w:rsidRPr="00722CE9">
        <w:lastRenderedPageBreak/>
        <w:t>Connecting the Dots/Summary</w:t>
      </w:r>
      <w:bookmarkEnd w:id="217"/>
    </w:p>
    <w:p w14:paraId="5D5A7A61" w14:textId="164F180A" w:rsidR="00722CE9" w:rsidRPr="00722CE9" w:rsidRDefault="00722CE9" w:rsidP="00722CE9">
      <w:r w:rsidRPr="00722CE9">
        <w:t xml:space="preserve">This chapter reinforces the importance of health equity and addresses the alarming health disparities experienced by diverse populations across SC. Addressing health disparities is not only important from an equity standpoint, but also for improving the state’s overall health. By highlighting the specific challenges faced by rural populations, urban populations, people with low socioeconomic status, populations experiencing homelessness, those with disabilities, Indigenous populations, Veterans, LGBTQIA+ individuals, </w:t>
      </w:r>
      <w:r w:rsidR="00F678C8" w:rsidRPr="00F678C8">
        <w:t xml:space="preserve">and incarcerated people, </w:t>
      </w:r>
      <w:r w:rsidRPr="00722CE9">
        <w:t xml:space="preserve">this chapter underscores the need for targeted interventions and inclusive policies to achieve equitable health care and health outcomes for all. </w:t>
      </w:r>
    </w:p>
    <w:p w14:paraId="622E743E" w14:textId="77777777" w:rsidR="00722CE9" w:rsidRDefault="00722CE9" w:rsidP="00722CE9"/>
    <w:p w14:paraId="7315CE53" w14:textId="577943E4" w:rsidR="00722CE9" w:rsidRPr="00722CE9" w:rsidRDefault="00722CE9" w:rsidP="00722CE9">
      <w:r w:rsidRPr="00722CE9">
        <w:t xml:space="preserve">Out of numerous health disparities, we chose to highlight four prevalent conditions in SC that adversely affect diverse populations. These conditions encompass diabetes, maternal mortality, infant mortality, and drug overdoses. These disparities are not new and reflect longstanding structural and systemic inequities, including structural racism and bias. </w:t>
      </w:r>
    </w:p>
    <w:p w14:paraId="1A9D0637" w14:textId="77777777" w:rsidR="00722CE9" w:rsidRDefault="00722CE9" w:rsidP="00722CE9"/>
    <w:p w14:paraId="2699465B" w14:textId="03421E9C" w:rsidR="00722CE9" w:rsidRPr="00722CE9" w:rsidRDefault="00722CE9" w:rsidP="00722CE9">
      <w:r w:rsidRPr="00722CE9">
        <w:t>Implicit, discriminatory attitudes and behaviors restrict the access of many residents of color to better jobs, quality education, political power, healthy neighborhoods, and high-quality health care, and are a powerful contributing factor to the high negative outcomes experienced by many populations highlighted in this chapter.</w:t>
      </w:r>
    </w:p>
    <w:p w14:paraId="2BB47146" w14:textId="77777777" w:rsidR="00722CE9" w:rsidRDefault="00722CE9" w:rsidP="00722CE9"/>
    <w:p w14:paraId="323ACC2D" w14:textId="0CA62D15" w:rsidR="00722CE9" w:rsidRDefault="00722CE9" w:rsidP="00722CE9">
      <w:r w:rsidRPr="00722CE9">
        <w:t>By acknowledging and actively working to eliminate structural and systemic inequities, SC can build a more equitable healthcare system and improve the overall health and well-being of its residents. This can be accomplished by more inclusive policies, targeted interventions, stakeholder and community engagement, legislative and policy changes, investment in funding, and training in cultural humility. It is vital to develop culturally competent care, inclusive policies, and tailored interventions to address the specific needs of these populations. DHEC and The Alliance work to promote health equity, to create a society where everyone has an equal opportunity to live a healthy and fulfilling life, regardless of race, socioeconomic status, age, or circumstances.</w:t>
      </w:r>
    </w:p>
    <w:p w14:paraId="66FBAAE5" w14:textId="3A40FBFE" w:rsidR="00722CE9" w:rsidRPr="00722CE9" w:rsidRDefault="00722CE9" w:rsidP="00722CE9">
      <w:r>
        <w:br w:type="page"/>
      </w:r>
    </w:p>
    <w:p w14:paraId="07697628" w14:textId="77777777" w:rsidR="00722CE9" w:rsidRDefault="00722CE9" w:rsidP="00722CE9">
      <w:pPr>
        <w:pStyle w:val="Heading2"/>
      </w:pPr>
      <w:bookmarkStart w:id="218" w:name="_Toc162267134"/>
      <w:r>
        <w:lastRenderedPageBreak/>
        <w:t>Chapter 6: Healthy Communities</w:t>
      </w:r>
      <w:bookmarkEnd w:id="218"/>
    </w:p>
    <w:p w14:paraId="784C6224" w14:textId="77777777" w:rsidR="00F73294" w:rsidRDefault="00F73294" w:rsidP="00722CE9">
      <w:pPr>
        <w:pStyle w:val="Heading3"/>
      </w:pPr>
    </w:p>
    <w:p w14:paraId="203D345E" w14:textId="6C7C516B" w:rsidR="00722CE9" w:rsidRPr="00722CE9" w:rsidRDefault="00722CE9" w:rsidP="00722CE9">
      <w:pPr>
        <w:pStyle w:val="Heading3"/>
      </w:pPr>
      <w:bookmarkStart w:id="219" w:name="_Toc162267135"/>
      <w:r w:rsidRPr="00722CE9">
        <w:t>Neighborhood/Housing</w:t>
      </w:r>
      <w:bookmarkEnd w:id="219"/>
    </w:p>
    <w:p w14:paraId="2A71669B" w14:textId="2C44FE24" w:rsidR="00722CE9" w:rsidRPr="004C35A5" w:rsidRDefault="00722CE9" w:rsidP="004C35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6"/>
          <w:szCs w:val="26"/>
        </w:rPr>
      </w:pPr>
      <w:r w:rsidRPr="00722CE9">
        <w:t xml:space="preserve">Communities in the United States (US) are currently facing a housing crisis associated with severe housing cost burdens, housing affordability, and lack of housing. </w:t>
      </w:r>
      <w:r w:rsidR="004C35A5">
        <w:rPr>
          <w:rFonts w:ascii="Helvetica" w:hAnsi="Helvetica" w:cs="Helvetica"/>
          <w:color w:val="000000"/>
          <w:kern w:val="0"/>
          <w:sz w:val="26"/>
          <w:szCs w:val="26"/>
        </w:rPr>
        <w:t>Housing affordability, residential stability, and lack of neighborhood opportunity, defined as a shared vision addressing the needs of the community to achieve equitable results for residents, generate barriers to accessing health care</w:t>
      </w:r>
      <w:r w:rsidRPr="00722CE9">
        <w:t>. According to the National Low Income Housing Coalition this issue arises because severely cost-burdened, low-income renter households are more likely than other renters to delay health care and sacrifice on healthy food options, which can be more expensive, to pay the rent in addition to experiencing residential instability such as evictions. These factors make housing an important way through which health disparities in vulnerable populations and people with chronic conditions persist.</w:t>
      </w:r>
    </w:p>
    <w:p w14:paraId="5AD0523B" w14:textId="77777777" w:rsidR="00FF4962" w:rsidRDefault="00FF4962" w:rsidP="00FF4962">
      <w:pPr>
        <w:pStyle w:val="Heading4"/>
        <w:rPr>
          <w:color w:val="FF0000"/>
        </w:rPr>
      </w:pPr>
    </w:p>
    <w:p w14:paraId="0AA0EB36" w14:textId="77777777" w:rsidR="00421192" w:rsidRDefault="00421192" w:rsidP="00421192">
      <w:pPr>
        <w:pStyle w:val="Heading4"/>
      </w:pPr>
      <w:bookmarkStart w:id="220" w:name="_Toc154569810"/>
      <w:bookmarkStart w:id="221" w:name="_Toc162267136"/>
      <w:r>
        <w:t>Figure 6.1: Homeownership Rate.</w:t>
      </w:r>
      <w:bookmarkEnd w:id="220"/>
      <w:bookmarkEnd w:id="221"/>
    </w:p>
    <w:tbl>
      <w:tblPr>
        <w:tblStyle w:val="TableGrid"/>
        <w:tblW w:w="0" w:type="auto"/>
        <w:tblLook w:val="04A0" w:firstRow="1" w:lastRow="0" w:firstColumn="1" w:lastColumn="0" w:noHBand="0" w:noVBand="1"/>
      </w:tblPr>
      <w:tblGrid>
        <w:gridCol w:w="3116"/>
        <w:gridCol w:w="3117"/>
        <w:gridCol w:w="3117"/>
      </w:tblGrid>
      <w:tr w:rsidR="00421192" w14:paraId="476CEC06" w14:textId="77777777" w:rsidTr="001515D5">
        <w:tc>
          <w:tcPr>
            <w:tcW w:w="3116" w:type="dxa"/>
            <w:vAlign w:val="bottom"/>
          </w:tcPr>
          <w:p w14:paraId="5A6C236C" w14:textId="77777777" w:rsidR="00421192" w:rsidRPr="00DE76FD" w:rsidRDefault="00421192" w:rsidP="001515D5">
            <w:r w:rsidRPr="00DE76FD">
              <w:t>Year</w:t>
            </w:r>
          </w:p>
        </w:tc>
        <w:tc>
          <w:tcPr>
            <w:tcW w:w="3117" w:type="dxa"/>
            <w:vAlign w:val="bottom"/>
          </w:tcPr>
          <w:p w14:paraId="0197D7E8" w14:textId="77777777" w:rsidR="00421192" w:rsidRPr="00DE76FD" w:rsidRDefault="00421192" w:rsidP="001515D5">
            <w:r w:rsidRPr="00DE76FD">
              <w:t>South Carolina</w:t>
            </w:r>
          </w:p>
        </w:tc>
        <w:tc>
          <w:tcPr>
            <w:tcW w:w="3117" w:type="dxa"/>
            <w:vAlign w:val="bottom"/>
          </w:tcPr>
          <w:p w14:paraId="39428173" w14:textId="77777777" w:rsidR="00421192" w:rsidRPr="00DE76FD" w:rsidRDefault="00421192" w:rsidP="001515D5">
            <w:r w:rsidRPr="00DE76FD">
              <w:t>United States</w:t>
            </w:r>
          </w:p>
        </w:tc>
      </w:tr>
      <w:tr w:rsidR="00421192" w14:paraId="69F5DA3D" w14:textId="77777777" w:rsidTr="001515D5">
        <w:tc>
          <w:tcPr>
            <w:tcW w:w="3116" w:type="dxa"/>
            <w:vAlign w:val="bottom"/>
          </w:tcPr>
          <w:p w14:paraId="38A77FEA" w14:textId="77777777" w:rsidR="00421192" w:rsidRPr="00DE76FD" w:rsidRDefault="00421192" w:rsidP="001515D5">
            <w:r w:rsidRPr="00DE76FD">
              <w:t>2011</w:t>
            </w:r>
          </w:p>
        </w:tc>
        <w:tc>
          <w:tcPr>
            <w:tcW w:w="3117" w:type="dxa"/>
            <w:vAlign w:val="bottom"/>
          </w:tcPr>
          <w:p w14:paraId="0CE316C4" w14:textId="77777777" w:rsidR="00421192" w:rsidRPr="00DE76FD" w:rsidRDefault="00421192" w:rsidP="001515D5">
            <w:r w:rsidRPr="00DE76FD">
              <w:t>69.8%</w:t>
            </w:r>
          </w:p>
        </w:tc>
        <w:tc>
          <w:tcPr>
            <w:tcW w:w="3117" w:type="dxa"/>
            <w:vAlign w:val="bottom"/>
          </w:tcPr>
          <w:p w14:paraId="7EED201C" w14:textId="77777777" w:rsidR="00421192" w:rsidRPr="00DE76FD" w:rsidRDefault="00421192" w:rsidP="001515D5">
            <w:r w:rsidRPr="00DE76FD">
              <w:t>66.1%</w:t>
            </w:r>
          </w:p>
        </w:tc>
      </w:tr>
      <w:tr w:rsidR="00421192" w14:paraId="3DA204D1" w14:textId="77777777" w:rsidTr="001515D5">
        <w:tc>
          <w:tcPr>
            <w:tcW w:w="3116" w:type="dxa"/>
            <w:vAlign w:val="bottom"/>
          </w:tcPr>
          <w:p w14:paraId="17C250F8" w14:textId="77777777" w:rsidR="00421192" w:rsidRPr="00DE76FD" w:rsidRDefault="00421192" w:rsidP="001515D5">
            <w:r w:rsidRPr="00DE76FD">
              <w:t>2012</w:t>
            </w:r>
          </w:p>
        </w:tc>
        <w:tc>
          <w:tcPr>
            <w:tcW w:w="3117" w:type="dxa"/>
            <w:vAlign w:val="bottom"/>
          </w:tcPr>
          <w:p w14:paraId="14A908C5" w14:textId="77777777" w:rsidR="00421192" w:rsidRPr="00DE76FD" w:rsidRDefault="00421192" w:rsidP="001515D5">
            <w:r w:rsidRPr="00DE76FD">
              <w:t>69.5%</w:t>
            </w:r>
          </w:p>
        </w:tc>
        <w:tc>
          <w:tcPr>
            <w:tcW w:w="3117" w:type="dxa"/>
            <w:vAlign w:val="bottom"/>
          </w:tcPr>
          <w:p w14:paraId="33C23CC4" w14:textId="77777777" w:rsidR="00421192" w:rsidRPr="00DE76FD" w:rsidRDefault="00421192" w:rsidP="001515D5">
            <w:r w:rsidRPr="00DE76FD">
              <w:t>65.5%</w:t>
            </w:r>
          </w:p>
        </w:tc>
      </w:tr>
      <w:tr w:rsidR="00421192" w14:paraId="3C9F5392" w14:textId="77777777" w:rsidTr="001515D5">
        <w:tc>
          <w:tcPr>
            <w:tcW w:w="3116" w:type="dxa"/>
            <w:vAlign w:val="bottom"/>
          </w:tcPr>
          <w:p w14:paraId="0B9FA90F" w14:textId="77777777" w:rsidR="00421192" w:rsidRPr="00DE76FD" w:rsidRDefault="00421192" w:rsidP="001515D5">
            <w:r w:rsidRPr="00DE76FD">
              <w:t>2013</w:t>
            </w:r>
          </w:p>
        </w:tc>
        <w:tc>
          <w:tcPr>
            <w:tcW w:w="3117" w:type="dxa"/>
            <w:vAlign w:val="bottom"/>
          </w:tcPr>
          <w:p w14:paraId="072563D8" w14:textId="77777777" w:rsidR="00421192" w:rsidRPr="00DE76FD" w:rsidRDefault="00421192" w:rsidP="001515D5">
            <w:r w:rsidRPr="00DE76FD">
              <w:t>69.1%</w:t>
            </w:r>
          </w:p>
        </w:tc>
        <w:tc>
          <w:tcPr>
            <w:tcW w:w="3117" w:type="dxa"/>
            <w:vAlign w:val="bottom"/>
          </w:tcPr>
          <w:p w14:paraId="4073FC35" w14:textId="77777777" w:rsidR="00421192" w:rsidRPr="00DE76FD" w:rsidRDefault="00421192" w:rsidP="001515D5">
            <w:r w:rsidRPr="00DE76FD">
              <w:t>64.9%</w:t>
            </w:r>
          </w:p>
        </w:tc>
      </w:tr>
      <w:tr w:rsidR="00421192" w14:paraId="31ED86F3" w14:textId="77777777" w:rsidTr="001515D5">
        <w:tc>
          <w:tcPr>
            <w:tcW w:w="3116" w:type="dxa"/>
            <w:vAlign w:val="bottom"/>
          </w:tcPr>
          <w:p w14:paraId="4755EB78" w14:textId="77777777" w:rsidR="00421192" w:rsidRPr="00DE76FD" w:rsidRDefault="00421192" w:rsidP="001515D5">
            <w:r w:rsidRPr="00DE76FD">
              <w:t>2014</w:t>
            </w:r>
          </w:p>
        </w:tc>
        <w:tc>
          <w:tcPr>
            <w:tcW w:w="3117" w:type="dxa"/>
            <w:vAlign w:val="bottom"/>
          </w:tcPr>
          <w:p w14:paraId="463735DB" w14:textId="77777777" w:rsidR="00421192" w:rsidRPr="00DE76FD" w:rsidRDefault="00421192" w:rsidP="001515D5">
            <w:r w:rsidRPr="00DE76FD">
              <w:t>68.6%</w:t>
            </w:r>
          </w:p>
        </w:tc>
        <w:tc>
          <w:tcPr>
            <w:tcW w:w="3117" w:type="dxa"/>
            <w:vAlign w:val="bottom"/>
          </w:tcPr>
          <w:p w14:paraId="4F19F58A" w14:textId="77777777" w:rsidR="00421192" w:rsidRPr="00DE76FD" w:rsidRDefault="00421192" w:rsidP="001515D5">
            <w:r w:rsidRPr="00DE76FD">
              <w:t>64.4%</w:t>
            </w:r>
          </w:p>
        </w:tc>
      </w:tr>
      <w:tr w:rsidR="00421192" w14:paraId="3606A868" w14:textId="77777777" w:rsidTr="001515D5">
        <w:tc>
          <w:tcPr>
            <w:tcW w:w="3116" w:type="dxa"/>
            <w:vAlign w:val="bottom"/>
          </w:tcPr>
          <w:p w14:paraId="005EEDA0" w14:textId="77777777" w:rsidR="00421192" w:rsidRPr="00DE76FD" w:rsidRDefault="00421192" w:rsidP="001515D5">
            <w:r w:rsidRPr="00DE76FD">
              <w:t>2015</w:t>
            </w:r>
          </w:p>
        </w:tc>
        <w:tc>
          <w:tcPr>
            <w:tcW w:w="3117" w:type="dxa"/>
            <w:vAlign w:val="bottom"/>
          </w:tcPr>
          <w:p w14:paraId="54CEC254" w14:textId="77777777" w:rsidR="00421192" w:rsidRPr="00DE76FD" w:rsidRDefault="00421192" w:rsidP="001515D5">
            <w:r w:rsidRPr="00DE76FD">
              <w:t>68.6%</w:t>
            </w:r>
          </w:p>
        </w:tc>
        <w:tc>
          <w:tcPr>
            <w:tcW w:w="3117" w:type="dxa"/>
            <w:vAlign w:val="bottom"/>
          </w:tcPr>
          <w:p w14:paraId="1B01FAFE" w14:textId="77777777" w:rsidR="00421192" w:rsidRPr="00DE76FD" w:rsidRDefault="00421192" w:rsidP="001515D5">
            <w:r w:rsidRPr="00DE76FD">
              <w:t>63.9%</w:t>
            </w:r>
          </w:p>
        </w:tc>
      </w:tr>
      <w:tr w:rsidR="00421192" w14:paraId="6C664B53" w14:textId="77777777" w:rsidTr="001515D5">
        <w:tc>
          <w:tcPr>
            <w:tcW w:w="3116" w:type="dxa"/>
            <w:vAlign w:val="bottom"/>
          </w:tcPr>
          <w:p w14:paraId="38777838" w14:textId="77777777" w:rsidR="00421192" w:rsidRPr="00DE76FD" w:rsidRDefault="00421192" w:rsidP="001515D5">
            <w:r w:rsidRPr="00DE76FD">
              <w:t>2016</w:t>
            </w:r>
          </w:p>
        </w:tc>
        <w:tc>
          <w:tcPr>
            <w:tcW w:w="3117" w:type="dxa"/>
            <w:vAlign w:val="bottom"/>
          </w:tcPr>
          <w:p w14:paraId="5A4BDF66" w14:textId="77777777" w:rsidR="00421192" w:rsidRPr="00DE76FD" w:rsidRDefault="00421192" w:rsidP="001515D5">
            <w:r w:rsidRPr="00DE76FD">
              <w:t>68.4%</w:t>
            </w:r>
          </w:p>
        </w:tc>
        <w:tc>
          <w:tcPr>
            <w:tcW w:w="3117" w:type="dxa"/>
            <w:vAlign w:val="bottom"/>
          </w:tcPr>
          <w:p w14:paraId="2BC62AD7" w14:textId="77777777" w:rsidR="00421192" w:rsidRPr="00DE76FD" w:rsidRDefault="00421192" w:rsidP="001515D5">
            <w:r w:rsidRPr="00DE76FD">
              <w:t>63.6%</w:t>
            </w:r>
          </w:p>
        </w:tc>
      </w:tr>
      <w:tr w:rsidR="00421192" w14:paraId="66EADFB9" w14:textId="77777777" w:rsidTr="001515D5">
        <w:tc>
          <w:tcPr>
            <w:tcW w:w="3116" w:type="dxa"/>
            <w:vAlign w:val="bottom"/>
          </w:tcPr>
          <w:p w14:paraId="2B64AB76" w14:textId="77777777" w:rsidR="00421192" w:rsidRPr="00DE76FD" w:rsidRDefault="00421192" w:rsidP="001515D5">
            <w:r w:rsidRPr="00DE76FD">
              <w:t>2017</w:t>
            </w:r>
          </w:p>
        </w:tc>
        <w:tc>
          <w:tcPr>
            <w:tcW w:w="3117" w:type="dxa"/>
            <w:vAlign w:val="bottom"/>
          </w:tcPr>
          <w:p w14:paraId="50128E88" w14:textId="77777777" w:rsidR="00421192" w:rsidRPr="00DE76FD" w:rsidRDefault="00421192" w:rsidP="001515D5">
            <w:r w:rsidRPr="00DE76FD">
              <w:t>68.6%</w:t>
            </w:r>
          </w:p>
        </w:tc>
        <w:tc>
          <w:tcPr>
            <w:tcW w:w="3117" w:type="dxa"/>
            <w:vAlign w:val="bottom"/>
          </w:tcPr>
          <w:p w14:paraId="72F2C7E0" w14:textId="77777777" w:rsidR="00421192" w:rsidRPr="00DE76FD" w:rsidRDefault="00421192" w:rsidP="001515D5">
            <w:r w:rsidRPr="00DE76FD">
              <w:t>63.8%</w:t>
            </w:r>
          </w:p>
        </w:tc>
      </w:tr>
      <w:tr w:rsidR="00421192" w14:paraId="7B019539" w14:textId="77777777" w:rsidTr="001515D5">
        <w:tc>
          <w:tcPr>
            <w:tcW w:w="3116" w:type="dxa"/>
            <w:vAlign w:val="bottom"/>
          </w:tcPr>
          <w:p w14:paraId="5B95A614" w14:textId="77777777" w:rsidR="00421192" w:rsidRPr="00DE76FD" w:rsidRDefault="00421192" w:rsidP="001515D5">
            <w:r w:rsidRPr="00DE76FD">
              <w:t>2018</w:t>
            </w:r>
          </w:p>
        </w:tc>
        <w:tc>
          <w:tcPr>
            <w:tcW w:w="3117" w:type="dxa"/>
            <w:vAlign w:val="bottom"/>
          </w:tcPr>
          <w:p w14:paraId="1711405C" w14:textId="77777777" w:rsidR="00421192" w:rsidRPr="00DE76FD" w:rsidRDefault="00421192" w:rsidP="001515D5">
            <w:r w:rsidRPr="00DE76FD">
              <w:t>68.9%</w:t>
            </w:r>
          </w:p>
        </w:tc>
        <w:tc>
          <w:tcPr>
            <w:tcW w:w="3117" w:type="dxa"/>
            <w:vAlign w:val="bottom"/>
          </w:tcPr>
          <w:p w14:paraId="0BDEBCE7" w14:textId="77777777" w:rsidR="00421192" w:rsidRPr="00DE76FD" w:rsidRDefault="00421192" w:rsidP="001515D5">
            <w:r w:rsidRPr="00DE76FD">
              <w:t>63.8%</w:t>
            </w:r>
          </w:p>
        </w:tc>
      </w:tr>
      <w:tr w:rsidR="00421192" w14:paraId="25E427D4" w14:textId="77777777" w:rsidTr="001515D5">
        <w:tc>
          <w:tcPr>
            <w:tcW w:w="3116" w:type="dxa"/>
            <w:vAlign w:val="bottom"/>
          </w:tcPr>
          <w:p w14:paraId="06C6AB77" w14:textId="77777777" w:rsidR="00421192" w:rsidRPr="00DE76FD" w:rsidRDefault="00421192" w:rsidP="001515D5">
            <w:r w:rsidRPr="00DE76FD">
              <w:t>2019</w:t>
            </w:r>
          </w:p>
        </w:tc>
        <w:tc>
          <w:tcPr>
            <w:tcW w:w="3117" w:type="dxa"/>
            <w:vAlign w:val="bottom"/>
          </w:tcPr>
          <w:p w14:paraId="0EAC9C2C" w14:textId="77777777" w:rsidR="00421192" w:rsidRPr="00DE76FD" w:rsidRDefault="00421192" w:rsidP="001515D5">
            <w:r w:rsidRPr="00DE76FD">
              <w:t>69.4%</w:t>
            </w:r>
          </w:p>
        </w:tc>
        <w:tc>
          <w:tcPr>
            <w:tcW w:w="3117" w:type="dxa"/>
            <w:vAlign w:val="bottom"/>
          </w:tcPr>
          <w:p w14:paraId="0EEFF058" w14:textId="77777777" w:rsidR="00421192" w:rsidRPr="00DE76FD" w:rsidRDefault="00421192" w:rsidP="001515D5">
            <w:r w:rsidRPr="00DE76FD">
              <w:t>64.0%</w:t>
            </w:r>
          </w:p>
        </w:tc>
      </w:tr>
      <w:tr w:rsidR="00421192" w14:paraId="357FE123" w14:textId="77777777" w:rsidTr="001515D5">
        <w:tc>
          <w:tcPr>
            <w:tcW w:w="3116" w:type="dxa"/>
            <w:vAlign w:val="bottom"/>
          </w:tcPr>
          <w:p w14:paraId="3CD8AAE9" w14:textId="77777777" w:rsidR="00421192" w:rsidRPr="00DE76FD" w:rsidRDefault="00421192" w:rsidP="001515D5">
            <w:r w:rsidRPr="00DE76FD">
              <w:t>2020</w:t>
            </w:r>
          </w:p>
        </w:tc>
        <w:tc>
          <w:tcPr>
            <w:tcW w:w="3117" w:type="dxa"/>
            <w:vAlign w:val="bottom"/>
          </w:tcPr>
          <w:p w14:paraId="5F217DA4" w14:textId="77777777" w:rsidR="00421192" w:rsidRPr="00DE76FD" w:rsidRDefault="00421192" w:rsidP="001515D5">
            <w:r w:rsidRPr="00DE76FD">
              <w:t>70.1%</w:t>
            </w:r>
          </w:p>
        </w:tc>
        <w:tc>
          <w:tcPr>
            <w:tcW w:w="3117" w:type="dxa"/>
            <w:vAlign w:val="bottom"/>
          </w:tcPr>
          <w:p w14:paraId="22DDE3FB" w14:textId="77777777" w:rsidR="00421192" w:rsidRPr="00DE76FD" w:rsidRDefault="00421192" w:rsidP="001515D5">
            <w:r w:rsidRPr="00DE76FD">
              <w:t>64.4%</w:t>
            </w:r>
          </w:p>
        </w:tc>
      </w:tr>
      <w:tr w:rsidR="00421192" w14:paraId="26395822" w14:textId="77777777" w:rsidTr="001515D5">
        <w:tc>
          <w:tcPr>
            <w:tcW w:w="3116" w:type="dxa"/>
            <w:vAlign w:val="bottom"/>
          </w:tcPr>
          <w:p w14:paraId="05ECC419" w14:textId="77777777" w:rsidR="00421192" w:rsidRPr="00DE76FD" w:rsidRDefault="00421192" w:rsidP="001515D5">
            <w:r w:rsidRPr="00DE76FD">
              <w:t>2021</w:t>
            </w:r>
          </w:p>
        </w:tc>
        <w:tc>
          <w:tcPr>
            <w:tcW w:w="3117" w:type="dxa"/>
            <w:vAlign w:val="bottom"/>
          </w:tcPr>
          <w:p w14:paraId="672BB863" w14:textId="77777777" w:rsidR="00421192" w:rsidRPr="00DE76FD" w:rsidRDefault="00421192" w:rsidP="001515D5">
            <w:r w:rsidRPr="00DE76FD">
              <w:t>70.3%</w:t>
            </w:r>
          </w:p>
        </w:tc>
        <w:tc>
          <w:tcPr>
            <w:tcW w:w="3117" w:type="dxa"/>
            <w:vAlign w:val="bottom"/>
          </w:tcPr>
          <w:p w14:paraId="134DAED8" w14:textId="77777777" w:rsidR="00421192" w:rsidRPr="00DE76FD" w:rsidRDefault="00421192" w:rsidP="001515D5">
            <w:r w:rsidRPr="00DE76FD">
              <w:t>64.6%</w:t>
            </w:r>
          </w:p>
        </w:tc>
      </w:tr>
    </w:tbl>
    <w:p w14:paraId="00F6C4A8" w14:textId="77777777" w:rsidR="00421192" w:rsidRDefault="00421192" w:rsidP="00421192">
      <w:r w:rsidRPr="00DE76FD">
        <w:t>Source: US Census Bureau: American Community Survey 5-Year Estimate.</w:t>
      </w:r>
    </w:p>
    <w:p w14:paraId="17E95A24" w14:textId="77777777" w:rsidR="00421192" w:rsidRDefault="00421192" w:rsidP="00421192"/>
    <w:p w14:paraId="15E30C45" w14:textId="77777777" w:rsidR="00421192" w:rsidRDefault="00421192" w:rsidP="00421192">
      <w:pPr>
        <w:pStyle w:val="Heading4"/>
      </w:pPr>
      <w:bookmarkStart w:id="222" w:name="_Toc154569811"/>
      <w:bookmarkStart w:id="223" w:name="_Toc162267137"/>
      <w:r>
        <w:t>Figure 6.2: Median Gross Rent.</w:t>
      </w:r>
      <w:bookmarkEnd w:id="222"/>
      <w:bookmarkEnd w:id="223"/>
    </w:p>
    <w:tbl>
      <w:tblPr>
        <w:tblStyle w:val="TableGrid"/>
        <w:tblW w:w="0" w:type="auto"/>
        <w:tblLook w:val="04A0" w:firstRow="1" w:lastRow="0" w:firstColumn="1" w:lastColumn="0" w:noHBand="0" w:noVBand="1"/>
      </w:tblPr>
      <w:tblGrid>
        <w:gridCol w:w="4675"/>
        <w:gridCol w:w="4675"/>
      </w:tblGrid>
      <w:tr w:rsidR="00421192" w14:paraId="41B6F805" w14:textId="77777777" w:rsidTr="001515D5">
        <w:tc>
          <w:tcPr>
            <w:tcW w:w="4675" w:type="dxa"/>
            <w:vAlign w:val="bottom"/>
          </w:tcPr>
          <w:p w14:paraId="425A5F20" w14:textId="77777777" w:rsidR="00421192" w:rsidRDefault="00421192" w:rsidP="001515D5">
            <w:r>
              <w:t>County</w:t>
            </w:r>
          </w:p>
        </w:tc>
        <w:tc>
          <w:tcPr>
            <w:tcW w:w="4675" w:type="dxa"/>
            <w:vAlign w:val="bottom"/>
          </w:tcPr>
          <w:p w14:paraId="20002C7A" w14:textId="77777777" w:rsidR="00421192" w:rsidRDefault="00421192" w:rsidP="001515D5">
            <w:r>
              <w:t>Gross Rent ($)</w:t>
            </w:r>
          </w:p>
        </w:tc>
      </w:tr>
      <w:tr w:rsidR="00421192" w14:paraId="67606331" w14:textId="77777777" w:rsidTr="001515D5">
        <w:tc>
          <w:tcPr>
            <w:tcW w:w="4675" w:type="dxa"/>
            <w:vAlign w:val="bottom"/>
          </w:tcPr>
          <w:p w14:paraId="2355BE65" w14:textId="77777777" w:rsidR="00421192" w:rsidRDefault="00421192" w:rsidP="001515D5">
            <w:r>
              <w:t>Abbeville</w:t>
            </w:r>
          </w:p>
        </w:tc>
        <w:tc>
          <w:tcPr>
            <w:tcW w:w="4675" w:type="dxa"/>
            <w:vAlign w:val="bottom"/>
          </w:tcPr>
          <w:p w14:paraId="2B75F5B8" w14:textId="77777777" w:rsidR="00421192" w:rsidRDefault="00421192" w:rsidP="001515D5">
            <w:r>
              <w:t xml:space="preserve">$733 </w:t>
            </w:r>
          </w:p>
        </w:tc>
      </w:tr>
      <w:tr w:rsidR="00421192" w14:paraId="7E413BB4" w14:textId="77777777" w:rsidTr="001515D5">
        <w:tc>
          <w:tcPr>
            <w:tcW w:w="4675" w:type="dxa"/>
            <w:vAlign w:val="bottom"/>
          </w:tcPr>
          <w:p w14:paraId="77CA3659" w14:textId="77777777" w:rsidR="00421192" w:rsidRDefault="00421192" w:rsidP="001515D5">
            <w:r>
              <w:t>Aiken</w:t>
            </w:r>
          </w:p>
        </w:tc>
        <w:tc>
          <w:tcPr>
            <w:tcW w:w="4675" w:type="dxa"/>
            <w:vAlign w:val="bottom"/>
          </w:tcPr>
          <w:p w14:paraId="2393F596" w14:textId="77777777" w:rsidR="00421192" w:rsidRDefault="00421192" w:rsidP="001515D5">
            <w:r>
              <w:t xml:space="preserve">$892 </w:t>
            </w:r>
          </w:p>
        </w:tc>
      </w:tr>
      <w:tr w:rsidR="00421192" w14:paraId="413A28EA" w14:textId="77777777" w:rsidTr="001515D5">
        <w:tc>
          <w:tcPr>
            <w:tcW w:w="4675" w:type="dxa"/>
            <w:vAlign w:val="bottom"/>
          </w:tcPr>
          <w:p w14:paraId="279C5BC8" w14:textId="77777777" w:rsidR="00421192" w:rsidRDefault="00421192" w:rsidP="001515D5">
            <w:r>
              <w:lastRenderedPageBreak/>
              <w:t>Allendale</w:t>
            </w:r>
          </w:p>
        </w:tc>
        <w:tc>
          <w:tcPr>
            <w:tcW w:w="4675" w:type="dxa"/>
            <w:vAlign w:val="bottom"/>
          </w:tcPr>
          <w:p w14:paraId="3479D702" w14:textId="77777777" w:rsidR="00421192" w:rsidRDefault="00421192" w:rsidP="001515D5">
            <w:r>
              <w:t xml:space="preserve">$651 </w:t>
            </w:r>
          </w:p>
        </w:tc>
      </w:tr>
      <w:tr w:rsidR="00421192" w14:paraId="38F9B8B9" w14:textId="77777777" w:rsidTr="001515D5">
        <w:tc>
          <w:tcPr>
            <w:tcW w:w="4675" w:type="dxa"/>
            <w:vAlign w:val="bottom"/>
          </w:tcPr>
          <w:p w14:paraId="6F4073E5" w14:textId="77777777" w:rsidR="00421192" w:rsidRDefault="00421192" w:rsidP="001515D5">
            <w:r>
              <w:t>Anderson</w:t>
            </w:r>
          </w:p>
        </w:tc>
        <w:tc>
          <w:tcPr>
            <w:tcW w:w="4675" w:type="dxa"/>
            <w:vAlign w:val="bottom"/>
          </w:tcPr>
          <w:p w14:paraId="16AAFEB2" w14:textId="77777777" w:rsidR="00421192" w:rsidRDefault="00421192" w:rsidP="001515D5">
            <w:r>
              <w:t xml:space="preserve">$823 </w:t>
            </w:r>
          </w:p>
        </w:tc>
      </w:tr>
      <w:tr w:rsidR="00421192" w14:paraId="4E734C97" w14:textId="77777777" w:rsidTr="001515D5">
        <w:tc>
          <w:tcPr>
            <w:tcW w:w="4675" w:type="dxa"/>
            <w:vAlign w:val="bottom"/>
          </w:tcPr>
          <w:p w14:paraId="5F3064AD" w14:textId="77777777" w:rsidR="00421192" w:rsidRDefault="00421192" w:rsidP="001515D5">
            <w:r>
              <w:t>Bamberg</w:t>
            </w:r>
          </w:p>
        </w:tc>
        <w:tc>
          <w:tcPr>
            <w:tcW w:w="4675" w:type="dxa"/>
            <w:vAlign w:val="bottom"/>
          </w:tcPr>
          <w:p w14:paraId="5E932806" w14:textId="77777777" w:rsidR="00421192" w:rsidRDefault="00421192" w:rsidP="001515D5">
            <w:r>
              <w:t xml:space="preserve">$638 </w:t>
            </w:r>
          </w:p>
        </w:tc>
      </w:tr>
      <w:tr w:rsidR="00421192" w14:paraId="4FFFA811" w14:textId="77777777" w:rsidTr="001515D5">
        <w:tc>
          <w:tcPr>
            <w:tcW w:w="4675" w:type="dxa"/>
            <w:vAlign w:val="bottom"/>
          </w:tcPr>
          <w:p w14:paraId="384E119A" w14:textId="77777777" w:rsidR="00421192" w:rsidRDefault="00421192" w:rsidP="001515D5">
            <w:r>
              <w:t>Barnwell</w:t>
            </w:r>
          </w:p>
        </w:tc>
        <w:tc>
          <w:tcPr>
            <w:tcW w:w="4675" w:type="dxa"/>
            <w:vAlign w:val="bottom"/>
          </w:tcPr>
          <w:p w14:paraId="26060522" w14:textId="77777777" w:rsidR="00421192" w:rsidRDefault="00421192" w:rsidP="001515D5">
            <w:r>
              <w:t xml:space="preserve">$699 </w:t>
            </w:r>
          </w:p>
        </w:tc>
      </w:tr>
      <w:tr w:rsidR="00421192" w14:paraId="3A23EA28" w14:textId="77777777" w:rsidTr="001515D5">
        <w:tc>
          <w:tcPr>
            <w:tcW w:w="4675" w:type="dxa"/>
            <w:vAlign w:val="bottom"/>
          </w:tcPr>
          <w:p w14:paraId="1DDF6F4A" w14:textId="77777777" w:rsidR="00421192" w:rsidRDefault="00421192" w:rsidP="001515D5">
            <w:r>
              <w:t>Beaufort</w:t>
            </w:r>
          </w:p>
        </w:tc>
        <w:tc>
          <w:tcPr>
            <w:tcW w:w="4675" w:type="dxa"/>
            <w:vAlign w:val="bottom"/>
          </w:tcPr>
          <w:p w14:paraId="1FBD3EEE" w14:textId="77777777" w:rsidR="00421192" w:rsidRDefault="00421192" w:rsidP="001515D5">
            <w:r>
              <w:t xml:space="preserve">$1,279 </w:t>
            </w:r>
          </w:p>
        </w:tc>
      </w:tr>
      <w:tr w:rsidR="00421192" w14:paraId="3382301E" w14:textId="77777777" w:rsidTr="001515D5">
        <w:tc>
          <w:tcPr>
            <w:tcW w:w="4675" w:type="dxa"/>
            <w:vAlign w:val="bottom"/>
          </w:tcPr>
          <w:p w14:paraId="0EDAD521" w14:textId="77777777" w:rsidR="00421192" w:rsidRDefault="00421192" w:rsidP="001515D5">
            <w:r>
              <w:t>Berkeley</w:t>
            </w:r>
          </w:p>
        </w:tc>
        <w:tc>
          <w:tcPr>
            <w:tcW w:w="4675" w:type="dxa"/>
            <w:vAlign w:val="bottom"/>
          </w:tcPr>
          <w:p w14:paraId="7C2F093C" w14:textId="77777777" w:rsidR="00421192" w:rsidRDefault="00421192" w:rsidP="001515D5">
            <w:r>
              <w:t xml:space="preserve">$1,263 </w:t>
            </w:r>
          </w:p>
        </w:tc>
      </w:tr>
      <w:tr w:rsidR="00421192" w14:paraId="04380166" w14:textId="77777777" w:rsidTr="001515D5">
        <w:tc>
          <w:tcPr>
            <w:tcW w:w="4675" w:type="dxa"/>
            <w:vAlign w:val="bottom"/>
          </w:tcPr>
          <w:p w14:paraId="247CC957" w14:textId="77777777" w:rsidR="00421192" w:rsidRDefault="00421192" w:rsidP="001515D5">
            <w:r>
              <w:t>Calhoun</w:t>
            </w:r>
          </w:p>
        </w:tc>
        <w:tc>
          <w:tcPr>
            <w:tcW w:w="4675" w:type="dxa"/>
            <w:vAlign w:val="bottom"/>
          </w:tcPr>
          <w:p w14:paraId="6244CB4C" w14:textId="77777777" w:rsidR="00421192" w:rsidRDefault="00421192" w:rsidP="001515D5">
            <w:r>
              <w:t xml:space="preserve">$874 </w:t>
            </w:r>
          </w:p>
        </w:tc>
      </w:tr>
      <w:tr w:rsidR="00421192" w14:paraId="78F4AF4D" w14:textId="77777777" w:rsidTr="001515D5">
        <w:tc>
          <w:tcPr>
            <w:tcW w:w="4675" w:type="dxa"/>
            <w:vAlign w:val="bottom"/>
          </w:tcPr>
          <w:p w14:paraId="739A50E9" w14:textId="77777777" w:rsidR="00421192" w:rsidRDefault="00421192" w:rsidP="001515D5">
            <w:r>
              <w:t>Charleston</w:t>
            </w:r>
          </w:p>
        </w:tc>
        <w:tc>
          <w:tcPr>
            <w:tcW w:w="4675" w:type="dxa"/>
            <w:vAlign w:val="bottom"/>
          </w:tcPr>
          <w:p w14:paraId="021EF6F4" w14:textId="77777777" w:rsidR="00421192" w:rsidRDefault="00421192" w:rsidP="001515D5">
            <w:r>
              <w:t xml:space="preserve">$1,310 </w:t>
            </w:r>
          </w:p>
        </w:tc>
      </w:tr>
      <w:tr w:rsidR="00421192" w14:paraId="203C924D" w14:textId="77777777" w:rsidTr="001515D5">
        <w:tc>
          <w:tcPr>
            <w:tcW w:w="4675" w:type="dxa"/>
            <w:vAlign w:val="bottom"/>
          </w:tcPr>
          <w:p w14:paraId="5DF613CF" w14:textId="77777777" w:rsidR="00421192" w:rsidRDefault="00421192" w:rsidP="001515D5">
            <w:r>
              <w:t>Cherokee</w:t>
            </w:r>
          </w:p>
        </w:tc>
        <w:tc>
          <w:tcPr>
            <w:tcW w:w="4675" w:type="dxa"/>
            <w:vAlign w:val="bottom"/>
          </w:tcPr>
          <w:p w14:paraId="4462E01D" w14:textId="77777777" w:rsidR="00421192" w:rsidRDefault="00421192" w:rsidP="001515D5">
            <w:r>
              <w:t xml:space="preserve">$765 </w:t>
            </w:r>
          </w:p>
        </w:tc>
      </w:tr>
      <w:tr w:rsidR="00421192" w14:paraId="6B8AC745" w14:textId="77777777" w:rsidTr="001515D5">
        <w:tc>
          <w:tcPr>
            <w:tcW w:w="4675" w:type="dxa"/>
            <w:vAlign w:val="bottom"/>
          </w:tcPr>
          <w:p w14:paraId="4EC55EAD" w14:textId="77777777" w:rsidR="00421192" w:rsidRDefault="00421192" w:rsidP="001515D5">
            <w:r>
              <w:t>Chester</w:t>
            </w:r>
          </w:p>
        </w:tc>
        <w:tc>
          <w:tcPr>
            <w:tcW w:w="4675" w:type="dxa"/>
            <w:vAlign w:val="bottom"/>
          </w:tcPr>
          <w:p w14:paraId="04CDF05D" w14:textId="77777777" w:rsidR="00421192" w:rsidRDefault="00421192" w:rsidP="001515D5">
            <w:r>
              <w:t xml:space="preserve">$736 </w:t>
            </w:r>
          </w:p>
        </w:tc>
      </w:tr>
      <w:tr w:rsidR="00421192" w14:paraId="19769378" w14:textId="77777777" w:rsidTr="001515D5">
        <w:tc>
          <w:tcPr>
            <w:tcW w:w="4675" w:type="dxa"/>
            <w:vAlign w:val="bottom"/>
          </w:tcPr>
          <w:p w14:paraId="460B97B4" w14:textId="77777777" w:rsidR="00421192" w:rsidRDefault="00421192" w:rsidP="001515D5">
            <w:r>
              <w:t>Chesterfield</w:t>
            </w:r>
          </w:p>
        </w:tc>
        <w:tc>
          <w:tcPr>
            <w:tcW w:w="4675" w:type="dxa"/>
            <w:vAlign w:val="bottom"/>
          </w:tcPr>
          <w:p w14:paraId="45C7B4F9" w14:textId="77777777" w:rsidR="00421192" w:rsidRDefault="00421192" w:rsidP="001515D5">
            <w:r>
              <w:t xml:space="preserve">$740 </w:t>
            </w:r>
          </w:p>
        </w:tc>
      </w:tr>
      <w:tr w:rsidR="00421192" w14:paraId="30DF0114" w14:textId="77777777" w:rsidTr="001515D5">
        <w:tc>
          <w:tcPr>
            <w:tcW w:w="4675" w:type="dxa"/>
            <w:vAlign w:val="bottom"/>
          </w:tcPr>
          <w:p w14:paraId="7504225B" w14:textId="77777777" w:rsidR="00421192" w:rsidRDefault="00421192" w:rsidP="001515D5">
            <w:r>
              <w:t>Clarendon</w:t>
            </w:r>
          </w:p>
        </w:tc>
        <w:tc>
          <w:tcPr>
            <w:tcW w:w="4675" w:type="dxa"/>
            <w:vAlign w:val="bottom"/>
          </w:tcPr>
          <w:p w14:paraId="3AA6ED01" w14:textId="77777777" w:rsidR="00421192" w:rsidRDefault="00421192" w:rsidP="001515D5">
            <w:r>
              <w:t xml:space="preserve">$624 </w:t>
            </w:r>
          </w:p>
        </w:tc>
      </w:tr>
      <w:tr w:rsidR="00421192" w14:paraId="26187867" w14:textId="77777777" w:rsidTr="001515D5">
        <w:tc>
          <w:tcPr>
            <w:tcW w:w="4675" w:type="dxa"/>
            <w:vAlign w:val="bottom"/>
          </w:tcPr>
          <w:p w14:paraId="76391B34" w14:textId="77777777" w:rsidR="00421192" w:rsidRDefault="00421192" w:rsidP="001515D5">
            <w:r>
              <w:t>Colleton</w:t>
            </w:r>
          </w:p>
        </w:tc>
        <w:tc>
          <w:tcPr>
            <w:tcW w:w="4675" w:type="dxa"/>
            <w:vAlign w:val="bottom"/>
          </w:tcPr>
          <w:p w14:paraId="07D589EA" w14:textId="77777777" w:rsidR="00421192" w:rsidRDefault="00421192" w:rsidP="001515D5">
            <w:r>
              <w:t xml:space="preserve">$693 </w:t>
            </w:r>
          </w:p>
        </w:tc>
      </w:tr>
      <w:tr w:rsidR="00421192" w14:paraId="714D5CCA" w14:textId="77777777" w:rsidTr="001515D5">
        <w:tc>
          <w:tcPr>
            <w:tcW w:w="4675" w:type="dxa"/>
            <w:vAlign w:val="bottom"/>
          </w:tcPr>
          <w:p w14:paraId="13CFC935" w14:textId="77777777" w:rsidR="00421192" w:rsidRDefault="00421192" w:rsidP="001515D5">
            <w:r>
              <w:t>Darlington</w:t>
            </w:r>
          </w:p>
        </w:tc>
        <w:tc>
          <w:tcPr>
            <w:tcW w:w="4675" w:type="dxa"/>
            <w:vAlign w:val="bottom"/>
          </w:tcPr>
          <w:p w14:paraId="2566BC2A" w14:textId="77777777" w:rsidR="00421192" w:rsidRDefault="00421192" w:rsidP="001515D5">
            <w:r>
              <w:t xml:space="preserve">$743 </w:t>
            </w:r>
          </w:p>
        </w:tc>
      </w:tr>
      <w:tr w:rsidR="00421192" w14:paraId="72E0F202" w14:textId="77777777" w:rsidTr="001515D5">
        <w:tc>
          <w:tcPr>
            <w:tcW w:w="4675" w:type="dxa"/>
            <w:vAlign w:val="bottom"/>
          </w:tcPr>
          <w:p w14:paraId="3FEDA0CD" w14:textId="77777777" w:rsidR="00421192" w:rsidRDefault="00421192" w:rsidP="001515D5">
            <w:r>
              <w:t>Dillon</w:t>
            </w:r>
          </w:p>
        </w:tc>
        <w:tc>
          <w:tcPr>
            <w:tcW w:w="4675" w:type="dxa"/>
            <w:vAlign w:val="bottom"/>
          </w:tcPr>
          <w:p w14:paraId="1A3EB636" w14:textId="77777777" w:rsidR="00421192" w:rsidRDefault="00421192" w:rsidP="001515D5">
            <w:r>
              <w:t xml:space="preserve">$637 </w:t>
            </w:r>
          </w:p>
        </w:tc>
      </w:tr>
      <w:tr w:rsidR="00421192" w14:paraId="11F0B112" w14:textId="77777777" w:rsidTr="001515D5">
        <w:tc>
          <w:tcPr>
            <w:tcW w:w="4675" w:type="dxa"/>
            <w:vAlign w:val="bottom"/>
          </w:tcPr>
          <w:p w14:paraId="3AB12000" w14:textId="77777777" w:rsidR="00421192" w:rsidRDefault="00421192" w:rsidP="001515D5">
            <w:r>
              <w:t>Dorchester</w:t>
            </w:r>
          </w:p>
        </w:tc>
        <w:tc>
          <w:tcPr>
            <w:tcW w:w="4675" w:type="dxa"/>
            <w:vAlign w:val="bottom"/>
          </w:tcPr>
          <w:p w14:paraId="382581C8" w14:textId="77777777" w:rsidR="00421192" w:rsidRDefault="00421192" w:rsidP="001515D5">
            <w:r>
              <w:t xml:space="preserve">$1,187 </w:t>
            </w:r>
          </w:p>
        </w:tc>
      </w:tr>
      <w:tr w:rsidR="00421192" w14:paraId="17EB7557" w14:textId="77777777" w:rsidTr="001515D5">
        <w:tc>
          <w:tcPr>
            <w:tcW w:w="4675" w:type="dxa"/>
            <w:vAlign w:val="bottom"/>
          </w:tcPr>
          <w:p w14:paraId="59C5CA17" w14:textId="77777777" w:rsidR="00421192" w:rsidRDefault="00421192" w:rsidP="001515D5">
            <w:r>
              <w:t>Edgefield</w:t>
            </w:r>
          </w:p>
        </w:tc>
        <w:tc>
          <w:tcPr>
            <w:tcW w:w="4675" w:type="dxa"/>
            <w:vAlign w:val="bottom"/>
          </w:tcPr>
          <w:p w14:paraId="13E6CA4C" w14:textId="77777777" w:rsidR="00421192" w:rsidRDefault="00421192" w:rsidP="001515D5">
            <w:r>
              <w:t xml:space="preserve">$697 </w:t>
            </w:r>
          </w:p>
        </w:tc>
      </w:tr>
      <w:tr w:rsidR="00421192" w14:paraId="749A1EE3" w14:textId="77777777" w:rsidTr="001515D5">
        <w:tc>
          <w:tcPr>
            <w:tcW w:w="4675" w:type="dxa"/>
            <w:vAlign w:val="bottom"/>
          </w:tcPr>
          <w:p w14:paraId="3F015921" w14:textId="77777777" w:rsidR="00421192" w:rsidRDefault="00421192" w:rsidP="001515D5">
            <w:r>
              <w:t>Fairfield</w:t>
            </w:r>
          </w:p>
        </w:tc>
        <w:tc>
          <w:tcPr>
            <w:tcW w:w="4675" w:type="dxa"/>
            <w:vAlign w:val="bottom"/>
          </w:tcPr>
          <w:p w14:paraId="31C52E9E" w14:textId="77777777" w:rsidR="00421192" w:rsidRDefault="00421192" w:rsidP="001515D5">
            <w:r>
              <w:t xml:space="preserve">$745 </w:t>
            </w:r>
          </w:p>
        </w:tc>
      </w:tr>
      <w:tr w:rsidR="00421192" w14:paraId="3A97138B" w14:textId="77777777" w:rsidTr="001515D5">
        <w:tc>
          <w:tcPr>
            <w:tcW w:w="4675" w:type="dxa"/>
            <w:vAlign w:val="bottom"/>
          </w:tcPr>
          <w:p w14:paraId="579FF335" w14:textId="77777777" w:rsidR="00421192" w:rsidRDefault="00421192" w:rsidP="001515D5">
            <w:r>
              <w:t>Florence</w:t>
            </w:r>
          </w:p>
        </w:tc>
        <w:tc>
          <w:tcPr>
            <w:tcW w:w="4675" w:type="dxa"/>
            <w:vAlign w:val="bottom"/>
          </w:tcPr>
          <w:p w14:paraId="2E422520" w14:textId="77777777" w:rsidR="00421192" w:rsidRDefault="00421192" w:rsidP="001515D5">
            <w:r>
              <w:t xml:space="preserve">$811 </w:t>
            </w:r>
          </w:p>
        </w:tc>
      </w:tr>
      <w:tr w:rsidR="00421192" w14:paraId="1C226C05" w14:textId="77777777" w:rsidTr="001515D5">
        <w:tc>
          <w:tcPr>
            <w:tcW w:w="4675" w:type="dxa"/>
            <w:vAlign w:val="bottom"/>
          </w:tcPr>
          <w:p w14:paraId="50D589F2" w14:textId="77777777" w:rsidR="00421192" w:rsidRDefault="00421192" w:rsidP="001515D5">
            <w:r>
              <w:t>Georgetown</w:t>
            </w:r>
          </w:p>
        </w:tc>
        <w:tc>
          <w:tcPr>
            <w:tcW w:w="4675" w:type="dxa"/>
            <w:vAlign w:val="bottom"/>
          </w:tcPr>
          <w:p w14:paraId="2B19E993" w14:textId="77777777" w:rsidR="00421192" w:rsidRDefault="00421192" w:rsidP="001515D5">
            <w:r>
              <w:t xml:space="preserve">$998 </w:t>
            </w:r>
          </w:p>
        </w:tc>
      </w:tr>
      <w:tr w:rsidR="00421192" w14:paraId="667EA3EA" w14:textId="77777777" w:rsidTr="001515D5">
        <w:tc>
          <w:tcPr>
            <w:tcW w:w="4675" w:type="dxa"/>
            <w:vAlign w:val="bottom"/>
          </w:tcPr>
          <w:p w14:paraId="6F96B775" w14:textId="77777777" w:rsidR="00421192" w:rsidRDefault="00421192" w:rsidP="001515D5">
            <w:r>
              <w:t>Greenville</w:t>
            </w:r>
          </w:p>
        </w:tc>
        <w:tc>
          <w:tcPr>
            <w:tcW w:w="4675" w:type="dxa"/>
            <w:vAlign w:val="bottom"/>
          </w:tcPr>
          <w:p w14:paraId="0408F3D3" w14:textId="77777777" w:rsidR="00421192" w:rsidRDefault="00421192" w:rsidP="001515D5">
            <w:r>
              <w:t xml:space="preserve">$1,011 </w:t>
            </w:r>
          </w:p>
        </w:tc>
      </w:tr>
      <w:tr w:rsidR="00421192" w14:paraId="5B681E71" w14:textId="77777777" w:rsidTr="001515D5">
        <w:tc>
          <w:tcPr>
            <w:tcW w:w="4675" w:type="dxa"/>
            <w:vAlign w:val="bottom"/>
          </w:tcPr>
          <w:p w14:paraId="2363460A" w14:textId="77777777" w:rsidR="00421192" w:rsidRDefault="00421192" w:rsidP="001515D5">
            <w:r>
              <w:t>Greenwood</w:t>
            </w:r>
          </w:p>
        </w:tc>
        <w:tc>
          <w:tcPr>
            <w:tcW w:w="4675" w:type="dxa"/>
            <w:vAlign w:val="bottom"/>
          </w:tcPr>
          <w:p w14:paraId="3282B50A" w14:textId="77777777" w:rsidR="00421192" w:rsidRDefault="00421192" w:rsidP="001515D5">
            <w:r>
              <w:t xml:space="preserve">$777 </w:t>
            </w:r>
          </w:p>
        </w:tc>
      </w:tr>
      <w:tr w:rsidR="00421192" w14:paraId="206BE2B6" w14:textId="77777777" w:rsidTr="001515D5">
        <w:tc>
          <w:tcPr>
            <w:tcW w:w="4675" w:type="dxa"/>
            <w:vAlign w:val="bottom"/>
          </w:tcPr>
          <w:p w14:paraId="4464BEC6" w14:textId="77777777" w:rsidR="00421192" w:rsidRDefault="00421192" w:rsidP="001515D5">
            <w:r>
              <w:t>Hampton</w:t>
            </w:r>
          </w:p>
        </w:tc>
        <w:tc>
          <w:tcPr>
            <w:tcW w:w="4675" w:type="dxa"/>
            <w:vAlign w:val="bottom"/>
          </w:tcPr>
          <w:p w14:paraId="67F79715" w14:textId="77777777" w:rsidR="00421192" w:rsidRDefault="00421192" w:rsidP="001515D5">
            <w:r>
              <w:t xml:space="preserve">$704 </w:t>
            </w:r>
          </w:p>
        </w:tc>
      </w:tr>
      <w:tr w:rsidR="00421192" w14:paraId="56A8B63F" w14:textId="77777777" w:rsidTr="001515D5">
        <w:tc>
          <w:tcPr>
            <w:tcW w:w="4675" w:type="dxa"/>
            <w:vAlign w:val="bottom"/>
          </w:tcPr>
          <w:p w14:paraId="65E5310A" w14:textId="77777777" w:rsidR="00421192" w:rsidRDefault="00421192" w:rsidP="001515D5">
            <w:r>
              <w:t>Horry</w:t>
            </w:r>
          </w:p>
        </w:tc>
        <w:tc>
          <w:tcPr>
            <w:tcW w:w="4675" w:type="dxa"/>
            <w:vAlign w:val="bottom"/>
          </w:tcPr>
          <w:p w14:paraId="24972D11" w14:textId="77777777" w:rsidR="00421192" w:rsidRDefault="00421192" w:rsidP="001515D5">
            <w:r>
              <w:t xml:space="preserve">$1,033 </w:t>
            </w:r>
          </w:p>
        </w:tc>
      </w:tr>
      <w:tr w:rsidR="00421192" w14:paraId="7B1F6EF4" w14:textId="77777777" w:rsidTr="001515D5">
        <w:tc>
          <w:tcPr>
            <w:tcW w:w="4675" w:type="dxa"/>
            <w:vAlign w:val="bottom"/>
          </w:tcPr>
          <w:p w14:paraId="21647D42" w14:textId="77777777" w:rsidR="00421192" w:rsidRDefault="00421192" w:rsidP="001515D5">
            <w:r>
              <w:t>Jasper</w:t>
            </w:r>
          </w:p>
        </w:tc>
        <w:tc>
          <w:tcPr>
            <w:tcW w:w="4675" w:type="dxa"/>
            <w:vAlign w:val="bottom"/>
          </w:tcPr>
          <w:p w14:paraId="272615CF" w14:textId="77777777" w:rsidR="00421192" w:rsidRDefault="00421192" w:rsidP="001515D5">
            <w:r>
              <w:t xml:space="preserve">$1,111 </w:t>
            </w:r>
          </w:p>
        </w:tc>
      </w:tr>
      <w:tr w:rsidR="00421192" w14:paraId="6A191DA3" w14:textId="77777777" w:rsidTr="001515D5">
        <w:tc>
          <w:tcPr>
            <w:tcW w:w="4675" w:type="dxa"/>
            <w:vAlign w:val="bottom"/>
          </w:tcPr>
          <w:p w14:paraId="7FF06ECA" w14:textId="77777777" w:rsidR="00421192" w:rsidRDefault="00421192" w:rsidP="001515D5">
            <w:r>
              <w:t>Kershaw</w:t>
            </w:r>
          </w:p>
        </w:tc>
        <w:tc>
          <w:tcPr>
            <w:tcW w:w="4675" w:type="dxa"/>
            <w:vAlign w:val="bottom"/>
          </w:tcPr>
          <w:p w14:paraId="45D727A7" w14:textId="77777777" w:rsidR="00421192" w:rsidRDefault="00421192" w:rsidP="001515D5">
            <w:r>
              <w:t xml:space="preserve">$770 </w:t>
            </w:r>
          </w:p>
        </w:tc>
      </w:tr>
      <w:tr w:rsidR="00421192" w14:paraId="2BF1D636" w14:textId="77777777" w:rsidTr="001515D5">
        <w:tc>
          <w:tcPr>
            <w:tcW w:w="4675" w:type="dxa"/>
            <w:vAlign w:val="bottom"/>
          </w:tcPr>
          <w:p w14:paraId="6092EC9A" w14:textId="77777777" w:rsidR="00421192" w:rsidRDefault="00421192" w:rsidP="001515D5">
            <w:r>
              <w:t>Lancaster</w:t>
            </w:r>
          </w:p>
        </w:tc>
        <w:tc>
          <w:tcPr>
            <w:tcW w:w="4675" w:type="dxa"/>
            <w:vAlign w:val="bottom"/>
          </w:tcPr>
          <w:p w14:paraId="7F8BA97B" w14:textId="77777777" w:rsidR="00421192" w:rsidRDefault="00421192" w:rsidP="001515D5">
            <w:r>
              <w:t xml:space="preserve">$821 </w:t>
            </w:r>
          </w:p>
        </w:tc>
      </w:tr>
      <w:tr w:rsidR="00421192" w14:paraId="4DC66D52" w14:textId="77777777" w:rsidTr="001515D5">
        <w:tc>
          <w:tcPr>
            <w:tcW w:w="4675" w:type="dxa"/>
            <w:vAlign w:val="bottom"/>
          </w:tcPr>
          <w:p w14:paraId="77B39920" w14:textId="77777777" w:rsidR="00421192" w:rsidRDefault="00421192" w:rsidP="001515D5">
            <w:r>
              <w:t>Laurens</w:t>
            </w:r>
          </w:p>
        </w:tc>
        <w:tc>
          <w:tcPr>
            <w:tcW w:w="4675" w:type="dxa"/>
            <w:vAlign w:val="bottom"/>
          </w:tcPr>
          <w:p w14:paraId="400653B7" w14:textId="77777777" w:rsidR="00421192" w:rsidRDefault="00421192" w:rsidP="001515D5">
            <w:r>
              <w:t xml:space="preserve">$790 </w:t>
            </w:r>
          </w:p>
        </w:tc>
      </w:tr>
      <w:tr w:rsidR="00421192" w14:paraId="530B6E33" w14:textId="77777777" w:rsidTr="001515D5">
        <w:tc>
          <w:tcPr>
            <w:tcW w:w="4675" w:type="dxa"/>
            <w:vAlign w:val="bottom"/>
          </w:tcPr>
          <w:p w14:paraId="505CB476" w14:textId="77777777" w:rsidR="00421192" w:rsidRDefault="00421192" w:rsidP="001515D5">
            <w:r>
              <w:t>Lee</w:t>
            </w:r>
          </w:p>
        </w:tc>
        <w:tc>
          <w:tcPr>
            <w:tcW w:w="4675" w:type="dxa"/>
            <w:vAlign w:val="bottom"/>
          </w:tcPr>
          <w:p w14:paraId="0F83EC43" w14:textId="77777777" w:rsidR="00421192" w:rsidRDefault="00421192" w:rsidP="001515D5">
            <w:r>
              <w:t xml:space="preserve">$736 </w:t>
            </w:r>
          </w:p>
        </w:tc>
      </w:tr>
      <w:tr w:rsidR="00421192" w14:paraId="20A05541" w14:textId="77777777" w:rsidTr="001515D5">
        <w:tc>
          <w:tcPr>
            <w:tcW w:w="4675" w:type="dxa"/>
            <w:vAlign w:val="bottom"/>
          </w:tcPr>
          <w:p w14:paraId="788F8CA4" w14:textId="77777777" w:rsidR="00421192" w:rsidRDefault="00421192" w:rsidP="001515D5">
            <w:r>
              <w:t>Lexington</w:t>
            </w:r>
          </w:p>
        </w:tc>
        <w:tc>
          <w:tcPr>
            <w:tcW w:w="4675" w:type="dxa"/>
            <w:vAlign w:val="bottom"/>
          </w:tcPr>
          <w:p w14:paraId="361361EB" w14:textId="77777777" w:rsidR="00421192" w:rsidRDefault="00421192" w:rsidP="001515D5">
            <w:r>
              <w:t xml:space="preserve">$963 </w:t>
            </w:r>
          </w:p>
        </w:tc>
      </w:tr>
      <w:tr w:rsidR="00421192" w14:paraId="6AF065B6" w14:textId="77777777" w:rsidTr="001515D5">
        <w:tc>
          <w:tcPr>
            <w:tcW w:w="4675" w:type="dxa"/>
            <w:vAlign w:val="bottom"/>
          </w:tcPr>
          <w:p w14:paraId="41F37322" w14:textId="77777777" w:rsidR="00421192" w:rsidRDefault="00421192" w:rsidP="001515D5">
            <w:r>
              <w:t>Marion</w:t>
            </w:r>
          </w:p>
        </w:tc>
        <w:tc>
          <w:tcPr>
            <w:tcW w:w="4675" w:type="dxa"/>
            <w:vAlign w:val="bottom"/>
          </w:tcPr>
          <w:p w14:paraId="3394B4FF" w14:textId="77777777" w:rsidR="00421192" w:rsidRDefault="00421192" w:rsidP="001515D5">
            <w:r>
              <w:t xml:space="preserve">$793 </w:t>
            </w:r>
          </w:p>
        </w:tc>
      </w:tr>
      <w:tr w:rsidR="00421192" w14:paraId="76B5F9E8" w14:textId="77777777" w:rsidTr="001515D5">
        <w:tc>
          <w:tcPr>
            <w:tcW w:w="4675" w:type="dxa"/>
            <w:vAlign w:val="bottom"/>
          </w:tcPr>
          <w:p w14:paraId="237AF779" w14:textId="77777777" w:rsidR="00421192" w:rsidRDefault="00421192" w:rsidP="001515D5">
            <w:r>
              <w:t>Marlboro</w:t>
            </w:r>
          </w:p>
        </w:tc>
        <w:tc>
          <w:tcPr>
            <w:tcW w:w="4675" w:type="dxa"/>
            <w:vAlign w:val="bottom"/>
          </w:tcPr>
          <w:p w14:paraId="3F749647" w14:textId="77777777" w:rsidR="00421192" w:rsidRDefault="00421192" w:rsidP="001515D5">
            <w:r>
              <w:t xml:space="preserve">$585 </w:t>
            </w:r>
          </w:p>
        </w:tc>
      </w:tr>
      <w:tr w:rsidR="00421192" w14:paraId="06FF60FA" w14:textId="77777777" w:rsidTr="001515D5">
        <w:tc>
          <w:tcPr>
            <w:tcW w:w="4675" w:type="dxa"/>
            <w:vAlign w:val="bottom"/>
          </w:tcPr>
          <w:p w14:paraId="3E412A80" w14:textId="77777777" w:rsidR="00421192" w:rsidRDefault="00421192" w:rsidP="001515D5">
            <w:r>
              <w:t>McCormick</w:t>
            </w:r>
          </w:p>
        </w:tc>
        <w:tc>
          <w:tcPr>
            <w:tcW w:w="4675" w:type="dxa"/>
            <w:vAlign w:val="bottom"/>
          </w:tcPr>
          <w:p w14:paraId="650835A8" w14:textId="77777777" w:rsidR="00421192" w:rsidRDefault="00421192" w:rsidP="001515D5">
            <w:r>
              <w:t xml:space="preserve">$628 </w:t>
            </w:r>
          </w:p>
        </w:tc>
      </w:tr>
      <w:tr w:rsidR="00421192" w14:paraId="6AF9CEE1" w14:textId="77777777" w:rsidTr="001515D5">
        <w:tc>
          <w:tcPr>
            <w:tcW w:w="4675" w:type="dxa"/>
            <w:vAlign w:val="bottom"/>
          </w:tcPr>
          <w:p w14:paraId="0E37FC5D" w14:textId="77777777" w:rsidR="00421192" w:rsidRDefault="00421192" w:rsidP="001515D5">
            <w:r>
              <w:t>Newberry</w:t>
            </w:r>
          </w:p>
        </w:tc>
        <w:tc>
          <w:tcPr>
            <w:tcW w:w="4675" w:type="dxa"/>
            <w:vAlign w:val="bottom"/>
          </w:tcPr>
          <w:p w14:paraId="14D92F57" w14:textId="77777777" w:rsidR="00421192" w:rsidRDefault="00421192" w:rsidP="001515D5">
            <w:r>
              <w:t xml:space="preserve">$848 </w:t>
            </w:r>
          </w:p>
        </w:tc>
      </w:tr>
      <w:tr w:rsidR="00421192" w14:paraId="6028B0C4" w14:textId="77777777" w:rsidTr="001515D5">
        <w:tc>
          <w:tcPr>
            <w:tcW w:w="4675" w:type="dxa"/>
            <w:vAlign w:val="bottom"/>
          </w:tcPr>
          <w:p w14:paraId="0C828960" w14:textId="77777777" w:rsidR="00421192" w:rsidRDefault="00421192" w:rsidP="001515D5">
            <w:r>
              <w:t>Oconee</w:t>
            </w:r>
          </w:p>
        </w:tc>
        <w:tc>
          <w:tcPr>
            <w:tcW w:w="4675" w:type="dxa"/>
            <w:vAlign w:val="bottom"/>
          </w:tcPr>
          <w:p w14:paraId="06DCD01E" w14:textId="77777777" w:rsidR="00421192" w:rsidRDefault="00421192" w:rsidP="001515D5">
            <w:r>
              <w:t xml:space="preserve">$801 </w:t>
            </w:r>
          </w:p>
        </w:tc>
      </w:tr>
      <w:tr w:rsidR="00421192" w14:paraId="3CE667D3" w14:textId="77777777" w:rsidTr="001515D5">
        <w:tc>
          <w:tcPr>
            <w:tcW w:w="4675" w:type="dxa"/>
            <w:vAlign w:val="bottom"/>
          </w:tcPr>
          <w:p w14:paraId="14122CF1" w14:textId="77777777" w:rsidR="00421192" w:rsidRDefault="00421192" w:rsidP="001515D5">
            <w:r>
              <w:t>Orangeburg</w:t>
            </w:r>
          </w:p>
        </w:tc>
        <w:tc>
          <w:tcPr>
            <w:tcW w:w="4675" w:type="dxa"/>
            <w:vAlign w:val="bottom"/>
          </w:tcPr>
          <w:p w14:paraId="1852D5F2" w14:textId="77777777" w:rsidR="00421192" w:rsidRDefault="00421192" w:rsidP="001515D5">
            <w:r>
              <w:t xml:space="preserve">$738 </w:t>
            </w:r>
          </w:p>
        </w:tc>
      </w:tr>
      <w:tr w:rsidR="00421192" w14:paraId="2D8F9F66" w14:textId="77777777" w:rsidTr="001515D5">
        <w:tc>
          <w:tcPr>
            <w:tcW w:w="4675" w:type="dxa"/>
            <w:vAlign w:val="bottom"/>
          </w:tcPr>
          <w:p w14:paraId="6E29EB5B" w14:textId="77777777" w:rsidR="00421192" w:rsidRDefault="00421192" w:rsidP="001515D5">
            <w:r>
              <w:lastRenderedPageBreak/>
              <w:t>Pickens</w:t>
            </w:r>
          </w:p>
        </w:tc>
        <w:tc>
          <w:tcPr>
            <w:tcW w:w="4675" w:type="dxa"/>
            <w:vAlign w:val="bottom"/>
          </w:tcPr>
          <w:p w14:paraId="5936FCDD" w14:textId="77777777" w:rsidR="00421192" w:rsidRDefault="00421192" w:rsidP="001515D5">
            <w:r>
              <w:t xml:space="preserve">$842 </w:t>
            </w:r>
          </w:p>
        </w:tc>
      </w:tr>
      <w:tr w:rsidR="00421192" w14:paraId="7015DA1B" w14:textId="77777777" w:rsidTr="001515D5">
        <w:tc>
          <w:tcPr>
            <w:tcW w:w="4675" w:type="dxa"/>
            <w:vAlign w:val="bottom"/>
          </w:tcPr>
          <w:p w14:paraId="79E2E238" w14:textId="77777777" w:rsidR="00421192" w:rsidRDefault="00421192" w:rsidP="001515D5">
            <w:r>
              <w:t>Richland</w:t>
            </w:r>
          </w:p>
        </w:tc>
        <w:tc>
          <w:tcPr>
            <w:tcW w:w="4675" w:type="dxa"/>
            <w:vAlign w:val="bottom"/>
          </w:tcPr>
          <w:p w14:paraId="100D7A34" w14:textId="77777777" w:rsidR="00421192" w:rsidRDefault="00421192" w:rsidP="001515D5">
            <w:r>
              <w:t xml:space="preserve">$1,042 </w:t>
            </w:r>
          </w:p>
        </w:tc>
      </w:tr>
      <w:tr w:rsidR="00421192" w14:paraId="639E77CB" w14:textId="77777777" w:rsidTr="001515D5">
        <w:tc>
          <w:tcPr>
            <w:tcW w:w="4675" w:type="dxa"/>
            <w:vAlign w:val="bottom"/>
          </w:tcPr>
          <w:p w14:paraId="115D2703" w14:textId="77777777" w:rsidR="00421192" w:rsidRDefault="00421192" w:rsidP="001515D5">
            <w:r>
              <w:t>Saluda</w:t>
            </w:r>
          </w:p>
        </w:tc>
        <w:tc>
          <w:tcPr>
            <w:tcW w:w="4675" w:type="dxa"/>
            <w:vAlign w:val="bottom"/>
          </w:tcPr>
          <w:p w14:paraId="3DAE5277" w14:textId="77777777" w:rsidR="00421192" w:rsidRDefault="00421192" w:rsidP="001515D5">
            <w:r>
              <w:t xml:space="preserve">$698 </w:t>
            </w:r>
          </w:p>
        </w:tc>
      </w:tr>
      <w:tr w:rsidR="00421192" w14:paraId="00A05582" w14:textId="77777777" w:rsidTr="001515D5">
        <w:tc>
          <w:tcPr>
            <w:tcW w:w="4675" w:type="dxa"/>
            <w:vAlign w:val="bottom"/>
          </w:tcPr>
          <w:p w14:paraId="51669B69" w14:textId="77777777" w:rsidR="00421192" w:rsidRDefault="00421192" w:rsidP="001515D5">
            <w:r>
              <w:t>Spartanburg</w:t>
            </w:r>
          </w:p>
        </w:tc>
        <w:tc>
          <w:tcPr>
            <w:tcW w:w="4675" w:type="dxa"/>
            <w:vAlign w:val="bottom"/>
          </w:tcPr>
          <w:p w14:paraId="6864DDDD" w14:textId="77777777" w:rsidR="00421192" w:rsidRDefault="00421192" w:rsidP="001515D5">
            <w:r>
              <w:t xml:space="preserve">$878 </w:t>
            </w:r>
          </w:p>
        </w:tc>
      </w:tr>
      <w:tr w:rsidR="00421192" w14:paraId="3AA4C3E1" w14:textId="77777777" w:rsidTr="001515D5">
        <w:tc>
          <w:tcPr>
            <w:tcW w:w="4675" w:type="dxa"/>
            <w:vAlign w:val="bottom"/>
          </w:tcPr>
          <w:p w14:paraId="21FD171F" w14:textId="77777777" w:rsidR="00421192" w:rsidRDefault="00421192" w:rsidP="001515D5">
            <w:r>
              <w:t>Sumter</w:t>
            </w:r>
          </w:p>
        </w:tc>
        <w:tc>
          <w:tcPr>
            <w:tcW w:w="4675" w:type="dxa"/>
            <w:vAlign w:val="bottom"/>
          </w:tcPr>
          <w:p w14:paraId="056CD144" w14:textId="77777777" w:rsidR="00421192" w:rsidRDefault="00421192" w:rsidP="001515D5">
            <w:r>
              <w:t xml:space="preserve">$879 </w:t>
            </w:r>
          </w:p>
        </w:tc>
      </w:tr>
      <w:tr w:rsidR="00421192" w14:paraId="46531571" w14:textId="77777777" w:rsidTr="001515D5">
        <w:tc>
          <w:tcPr>
            <w:tcW w:w="4675" w:type="dxa"/>
            <w:vAlign w:val="bottom"/>
          </w:tcPr>
          <w:p w14:paraId="5DFB6A56" w14:textId="77777777" w:rsidR="00421192" w:rsidRDefault="00421192" w:rsidP="001515D5">
            <w:r>
              <w:t>Union</w:t>
            </w:r>
          </w:p>
        </w:tc>
        <w:tc>
          <w:tcPr>
            <w:tcW w:w="4675" w:type="dxa"/>
            <w:vAlign w:val="bottom"/>
          </w:tcPr>
          <w:p w14:paraId="112B5470" w14:textId="77777777" w:rsidR="00421192" w:rsidRDefault="00421192" w:rsidP="001515D5">
            <w:r>
              <w:t xml:space="preserve">$727 </w:t>
            </w:r>
          </w:p>
        </w:tc>
      </w:tr>
      <w:tr w:rsidR="00421192" w14:paraId="51340615" w14:textId="77777777" w:rsidTr="001515D5">
        <w:tc>
          <w:tcPr>
            <w:tcW w:w="4675" w:type="dxa"/>
            <w:vAlign w:val="bottom"/>
          </w:tcPr>
          <w:p w14:paraId="7C6A7833" w14:textId="77777777" w:rsidR="00421192" w:rsidRDefault="00421192" w:rsidP="001515D5">
            <w:r>
              <w:t>Williamsburg</w:t>
            </w:r>
          </w:p>
        </w:tc>
        <w:tc>
          <w:tcPr>
            <w:tcW w:w="4675" w:type="dxa"/>
            <w:vAlign w:val="bottom"/>
          </w:tcPr>
          <w:p w14:paraId="1B9228CD" w14:textId="77777777" w:rsidR="00421192" w:rsidRDefault="00421192" w:rsidP="001515D5">
            <w:r>
              <w:t xml:space="preserve">$692 </w:t>
            </w:r>
          </w:p>
        </w:tc>
      </w:tr>
      <w:tr w:rsidR="00421192" w14:paraId="1633A86B" w14:textId="77777777" w:rsidTr="001515D5">
        <w:tc>
          <w:tcPr>
            <w:tcW w:w="4675" w:type="dxa"/>
            <w:vAlign w:val="bottom"/>
          </w:tcPr>
          <w:p w14:paraId="53DA23A7" w14:textId="77777777" w:rsidR="00421192" w:rsidRDefault="00421192" w:rsidP="001515D5">
            <w:r>
              <w:t>York</w:t>
            </w:r>
          </w:p>
        </w:tc>
        <w:tc>
          <w:tcPr>
            <w:tcW w:w="4675" w:type="dxa"/>
            <w:vAlign w:val="bottom"/>
          </w:tcPr>
          <w:p w14:paraId="72969734" w14:textId="77777777" w:rsidR="00421192" w:rsidRDefault="00421192" w:rsidP="001515D5">
            <w:r>
              <w:t xml:space="preserve">$1,093 </w:t>
            </w:r>
          </w:p>
        </w:tc>
      </w:tr>
    </w:tbl>
    <w:p w14:paraId="56D0D461" w14:textId="77777777" w:rsidR="00421192" w:rsidRDefault="00421192" w:rsidP="00421192">
      <w:r w:rsidRPr="00DE76FD">
        <w:t>Source: US Census ACS, 2021.</w:t>
      </w:r>
    </w:p>
    <w:p w14:paraId="571BF6A8" w14:textId="77777777" w:rsidR="00421192" w:rsidRDefault="00421192" w:rsidP="00421192"/>
    <w:p w14:paraId="24708055" w14:textId="77777777" w:rsidR="00421192" w:rsidRPr="00DE76FD" w:rsidRDefault="00421192" w:rsidP="00421192">
      <w:pPr>
        <w:pStyle w:val="Heading4"/>
      </w:pPr>
      <w:bookmarkStart w:id="224" w:name="_Toc154569812"/>
      <w:bookmarkStart w:id="225" w:name="_Toc162267138"/>
      <w:r>
        <w:t>Figure 6.3: Severe Renter Cost Burden.</w:t>
      </w:r>
      <w:bookmarkEnd w:id="224"/>
      <w:bookmarkEnd w:id="225"/>
    </w:p>
    <w:tbl>
      <w:tblPr>
        <w:tblStyle w:val="TableGrid"/>
        <w:tblW w:w="0" w:type="auto"/>
        <w:tblLook w:val="04A0" w:firstRow="1" w:lastRow="0" w:firstColumn="1" w:lastColumn="0" w:noHBand="0" w:noVBand="1"/>
      </w:tblPr>
      <w:tblGrid>
        <w:gridCol w:w="4675"/>
        <w:gridCol w:w="4675"/>
      </w:tblGrid>
      <w:tr w:rsidR="00421192" w14:paraId="19D87353" w14:textId="77777777" w:rsidTr="001515D5">
        <w:tc>
          <w:tcPr>
            <w:tcW w:w="4675" w:type="dxa"/>
            <w:vAlign w:val="bottom"/>
          </w:tcPr>
          <w:p w14:paraId="0AF7F05C" w14:textId="77777777" w:rsidR="00421192" w:rsidRPr="00DE76FD" w:rsidRDefault="00421192" w:rsidP="001515D5">
            <w:r w:rsidRPr="00DE76FD">
              <w:t>County</w:t>
            </w:r>
          </w:p>
        </w:tc>
        <w:tc>
          <w:tcPr>
            <w:tcW w:w="4675" w:type="dxa"/>
            <w:vAlign w:val="bottom"/>
          </w:tcPr>
          <w:p w14:paraId="64CCA4BA" w14:textId="77777777" w:rsidR="00421192" w:rsidRPr="00DE76FD" w:rsidRDefault="00421192" w:rsidP="001515D5">
            <w:r w:rsidRPr="00DE76FD">
              <w:t>Percent</w:t>
            </w:r>
          </w:p>
        </w:tc>
      </w:tr>
      <w:tr w:rsidR="00421192" w14:paraId="12424D41" w14:textId="77777777" w:rsidTr="001515D5">
        <w:tc>
          <w:tcPr>
            <w:tcW w:w="4675" w:type="dxa"/>
            <w:vAlign w:val="bottom"/>
          </w:tcPr>
          <w:p w14:paraId="1FCD0561" w14:textId="77777777" w:rsidR="00421192" w:rsidRPr="00DE76FD" w:rsidRDefault="00421192" w:rsidP="001515D5">
            <w:r w:rsidRPr="00DE76FD">
              <w:t>Abbeville</w:t>
            </w:r>
          </w:p>
        </w:tc>
        <w:tc>
          <w:tcPr>
            <w:tcW w:w="4675" w:type="dxa"/>
            <w:vAlign w:val="bottom"/>
          </w:tcPr>
          <w:p w14:paraId="175425FE" w14:textId="77777777" w:rsidR="00421192" w:rsidRPr="00DE76FD" w:rsidRDefault="00421192" w:rsidP="001515D5">
            <w:r w:rsidRPr="00DE76FD">
              <w:t>16.0%</w:t>
            </w:r>
          </w:p>
        </w:tc>
      </w:tr>
      <w:tr w:rsidR="00421192" w14:paraId="1B68B5A8" w14:textId="77777777" w:rsidTr="001515D5">
        <w:tc>
          <w:tcPr>
            <w:tcW w:w="4675" w:type="dxa"/>
            <w:vAlign w:val="bottom"/>
          </w:tcPr>
          <w:p w14:paraId="149A7123" w14:textId="77777777" w:rsidR="00421192" w:rsidRPr="00DE76FD" w:rsidRDefault="00421192" w:rsidP="001515D5">
            <w:r w:rsidRPr="00DE76FD">
              <w:t>Aiken</w:t>
            </w:r>
          </w:p>
        </w:tc>
        <w:tc>
          <w:tcPr>
            <w:tcW w:w="4675" w:type="dxa"/>
            <w:vAlign w:val="bottom"/>
          </w:tcPr>
          <w:p w14:paraId="03F2F9E0" w14:textId="77777777" w:rsidR="00421192" w:rsidRPr="00DE76FD" w:rsidRDefault="00421192" w:rsidP="001515D5">
            <w:r w:rsidRPr="00DE76FD">
              <w:t>24.0%</w:t>
            </w:r>
          </w:p>
        </w:tc>
      </w:tr>
      <w:tr w:rsidR="00421192" w14:paraId="5E67A180" w14:textId="77777777" w:rsidTr="001515D5">
        <w:tc>
          <w:tcPr>
            <w:tcW w:w="4675" w:type="dxa"/>
            <w:vAlign w:val="bottom"/>
          </w:tcPr>
          <w:p w14:paraId="1B0DB91D" w14:textId="77777777" w:rsidR="00421192" w:rsidRPr="00DE76FD" w:rsidRDefault="00421192" w:rsidP="001515D5">
            <w:r w:rsidRPr="00DE76FD">
              <w:t>Allendale</w:t>
            </w:r>
          </w:p>
        </w:tc>
        <w:tc>
          <w:tcPr>
            <w:tcW w:w="4675" w:type="dxa"/>
            <w:vAlign w:val="bottom"/>
          </w:tcPr>
          <w:p w14:paraId="78834128" w14:textId="77777777" w:rsidR="00421192" w:rsidRPr="00DE76FD" w:rsidRDefault="00421192" w:rsidP="001515D5">
            <w:r w:rsidRPr="00DE76FD">
              <w:t>13.3%</w:t>
            </w:r>
          </w:p>
        </w:tc>
      </w:tr>
      <w:tr w:rsidR="00421192" w14:paraId="49C645E2" w14:textId="77777777" w:rsidTr="001515D5">
        <w:tc>
          <w:tcPr>
            <w:tcW w:w="4675" w:type="dxa"/>
            <w:vAlign w:val="bottom"/>
          </w:tcPr>
          <w:p w14:paraId="48ABA303" w14:textId="77777777" w:rsidR="00421192" w:rsidRPr="00DE76FD" w:rsidRDefault="00421192" w:rsidP="001515D5">
            <w:r w:rsidRPr="00DE76FD">
              <w:t>Anderson</w:t>
            </w:r>
          </w:p>
        </w:tc>
        <w:tc>
          <w:tcPr>
            <w:tcW w:w="4675" w:type="dxa"/>
            <w:vAlign w:val="bottom"/>
          </w:tcPr>
          <w:p w14:paraId="7B997910" w14:textId="77777777" w:rsidR="00421192" w:rsidRPr="00DE76FD" w:rsidRDefault="00421192" w:rsidP="001515D5">
            <w:r w:rsidRPr="00DE76FD">
              <w:t>22.0%</w:t>
            </w:r>
          </w:p>
        </w:tc>
      </w:tr>
      <w:tr w:rsidR="00421192" w14:paraId="3EAA3364" w14:textId="77777777" w:rsidTr="001515D5">
        <w:tc>
          <w:tcPr>
            <w:tcW w:w="4675" w:type="dxa"/>
            <w:vAlign w:val="bottom"/>
          </w:tcPr>
          <w:p w14:paraId="5673DEAB" w14:textId="77777777" w:rsidR="00421192" w:rsidRPr="00DE76FD" w:rsidRDefault="00421192" w:rsidP="001515D5">
            <w:r w:rsidRPr="00DE76FD">
              <w:t>Bamberg</w:t>
            </w:r>
          </w:p>
        </w:tc>
        <w:tc>
          <w:tcPr>
            <w:tcW w:w="4675" w:type="dxa"/>
            <w:vAlign w:val="bottom"/>
          </w:tcPr>
          <w:p w14:paraId="363231B8" w14:textId="77777777" w:rsidR="00421192" w:rsidRPr="00DE76FD" w:rsidRDefault="00421192" w:rsidP="001515D5">
            <w:r w:rsidRPr="00DE76FD">
              <w:t>11.7%</w:t>
            </w:r>
          </w:p>
        </w:tc>
      </w:tr>
      <w:tr w:rsidR="00421192" w14:paraId="36C3C2FD" w14:textId="77777777" w:rsidTr="001515D5">
        <w:tc>
          <w:tcPr>
            <w:tcW w:w="4675" w:type="dxa"/>
            <w:vAlign w:val="bottom"/>
          </w:tcPr>
          <w:p w14:paraId="22824B1D" w14:textId="77777777" w:rsidR="00421192" w:rsidRPr="00DE76FD" w:rsidRDefault="00421192" w:rsidP="001515D5">
            <w:r w:rsidRPr="00DE76FD">
              <w:t>Barnwell</w:t>
            </w:r>
          </w:p>
        </w:tc>
        <w:tc>
          <w:tcPr>
            <w:tcW w:w="4675" w:type="dxa"/>
            <w:vAlign w:val="bottom"/>
          </w:tcPr>
          <w:p w14:paraId="7B884B75" w14:textId="77777777" w:rsidR="00421192" w:rsidRPr="00DE76FD" w:rsidRDefault="00421192" w:rsidP="001515D5">
            <w:r w:rsidRPr="00DE76FD">
              <w:t>17.6%</w:t>
            </w:r>
          </w:p>
        </w:tc>
      </w:tr>
      <w:tr w:rsidR="00421192" w14:paraId="226CCD5D" w14:textId="77777777" w:rsidTr="001515D5">
        <w:tc>
          <w:tcPr>
            <w:tcW w:w="4675" w:type="dxa"/>
            <w:vAlign w:val="bottom"/>
          </w:tcPr>
          <w:p w14:paraId="0F1C2494" w14:textId="77777777" w:rsidR="00421192" w:rsidRPr="00DE76FD" w:rsidRDefault="00421192" w:rsidP="001515D5">
            <w:r w:rsidRPr="00DE76FD">
              <w:t>Beaufort</w:t>
            </w:r>
          </w:p>
        </w:tc>
        <w:tc>
          <w:tcPr>
            <w:tcW w:w="4675" w:type="dxa"/>
            <w:vAlign w:val="bottom"/>
          </w:tcPr>
          <w:p w14:paraId="45B3EBE0" w14:textId="77777777" w:rsidR="00421192" w:rsidRPr="00DE76FD" w:rsidRDefault="00421192" w:rsidP="001515D5">
            <w:r w:rsidRPr="00DE76FD">
              <w:t>21.0%</w:t>
            </w:r>
          </w:p>
        </w:tc>
      </w:tr>
      <w:tr w:rsidR="00421192" w14:paraId="4A224F31" w14:textId="77777777" w:rsidTr="001515D5">
        <w:tc>
          <w:tcPr>
            <w:tcW w:w="4675" w:type="dxa"/>
            <w:vAlign w:val="bottom"/>
          </w:tcPr>
          <w:p w14:paraId="430F2C39" w14:textId="77777777" w:rsidR="00421192" w:rsidRPr="00DE76FD" w:rsidRDefault="00421192" w:rsidP="001515D5">
            <w:r w:rsidRPr="00DE76FD">
              <w:t>Berkeley</w:t>
            </w:r>
          </w:p>
        </w:tc>
        <w:tc>
          <w:tcPr>
            <w:tcW w:w="4675" w:type="dxa"/>
            <w:vAlign w:val="bottom"/>
          </w:tcPr>
          <w:p w14:paraId="38204C77" w14:textId="77777777" w:rsidR="00421192" w:rsidRPr="00DE76FD" w:rsidRDefault="00421192" w:rsidP="001515D5">
            <w:r w:rsidRPr="00DE76FD">
              <w:t>19.0%</w:t>
            </w:r>
          </w:p>
        </w:tc>
      </w:tr>
      <w:tr w:rsidR="00421192" w14:paraId="00B9FE1C" w14:textId="77777777" w:rsidTr="001515D5">
        <w:tc>
          <w:tcPr>
            <w:tcW w:w="4675" w:type="dxa"/>
            <w:vAlign w:val="bottom"/>
          </w:tcPr>
          <w:p w14:paraId="2144DC1A" w14:textId="77777777" w:rsidR="00421192" w:rsidRPr="00DE76FD" w:rsidRDefault="00421192" w:rsidP="001515D5">
            <w:r w:rsidRPr="00DE76FD">
              <w:t>Calhoun</w:t>
            </w:r>
          </w:p>
        </w:tc>
        <w:tc>
          <w:tcPr>
            <w:tcW w:w="4675" w:type="dxa"/>
            <w:vAlign w:val="bottom"/>
          </w:tcPr>
          <w:p w14:paraId="69BC87FE" w14:textId="77777777" w:rsidR="00421192" w:rsidRPr="00DE76FD" w:rsidRDefault="00421192" w:rsidP="001515D5">
            <w:r w:rsidRPr="00DE76FD">
              <w:t>27.7%</w:t>
            </w:r>
          </w:p>
        </w:tc>
      </w:tr>
      <w:tr w:rsidR="00421192" w14:paraId="0FFA50F7" w14:textId="77777777" w:rsidTr="001515D5">
        <w:tc>
          <w:tcPr>
            <w:tcW w:w="4675" w:type="dxa"/>
            <w:vAlign w:val="bottom"/>
          </w:tcPr>
          <w:p w14:paraId="7A561BAF" w14:textId="77777777" w:rsidR="00421192" w:rsidRPr="00DE76FD" w:rsidRDefault="00421192" w:rsidP="001515D5">
            <w:r w:rsidRPr="00DE76FD">
              <w:t>Charleston</w:t>
            </w:r>
          </w:p>
        </w:tc>
        <w:tc>
          <w:tcPr>
            <w:tcW w:w="4675" w:type="dxa"/>
            <w:vAlign w:val="bottom"/>
          </w:tcPr>
          <w:p w14:paraId="54710C86" w14:textId="77777777" w:rsidR="00421192" w:rsidRPr="00DE76FD" w:rsidRDefault="00421192" w:rsidP="001515D5">
            <w:r w:rsidRPr="00DE76FD">
              <w:t>25.1%</w:t>
            </w:r>
          </w:p>
        </w:tc>
      </w:tr>
      <w:tr w:rsidR="00421192" w14:paraId="738A89A2" w14:textId="77777777" w:rsidTr="001515D5">
        <w:tc>
          <w:tcPr>
            <w:tcW w:w="4675" w:type="dxa"/>
            <w:vAlign w:val="bottom"/>
          </w:tcPr>
          <w:p w14:paraId="1100D6DF" w14:textId="77777777" w:rsidR="00421192" w:rsidRPr="00DE76FD" w:rsidRDefault="00421192" w:rsidP="001515D5">
            <w:r w:rsidRPr="00DE76FD">
              <w:t>Cherokee</w:t>
            </w:r>
          </w:p>
        </w:tc>
        <w:tc>
          <w:tcPr>
            <w:tcW w:w="4675" w:type="dxa"/>
            <w:vAlign w:val="bottom"/>
          </w:tcPr>
          <w:p w14:paraId="683FD2E5" w14:textId="77777777" w:rsidR="00421192" w:rsidRPr="00DE76FD" w:rsidRDefault="00421192" w:rsidP="001515D5">
            <w:r w:rsidRPr="00DE76FD">
              <w:t>16.2%</w:t>
            </w:r>
          </w:p>
        </w:tc>
      </w:tr>
      <w:tr w:rsidR="00421192" w14:paraId="23E4CC64" w14:textId="77777777" w:rsidTr="001515D5">
        <w:tc>
          <w:tcPr>
            <w:tcW w:w="4675" w:type="dxa"/>
            <w:vAlign w:val="bottom"/>
          </w:tcPr>
          <w:p w14:paraId="24CF0204" w14:textId="77777777" w:rsidR="00421192" w:rsidRPr="00DE76FD" w:rsidRDefault="00421192" w:rsidP="001515D5">
            <w:r w:rsidRPr="00DE76FD">
              <w:t>Chester</w:t>
            </w:r>
          </w:p>
        </w:tc>
        <w:tc>
          <w:tcPr>
            <w:tcW w:w="4675" w:type="dxa"/>
            <w:vAlign w:val="bottom"/>
          </w:tcPr>
          <w:p w14:paraId="348D182A" w14:textId="77777777" w:rsidR="00421192" w:rsidRPr="00DE76FD" w:rsidRDefault="00421192" w:rsidP="001515D5">
            <w:r w:rsidRPr="00DE76FD">
              <w:t>19.9%</w:t>
            </w:r>
          </w:p>
        </w:tc>
      </w:tr>
      <w:tr w:rsidR="00421192" w14:paraId="5E8237DF" w14:textId="77777777" w:rsidTr="001515D5">
        <w:tc>
          <w:tcPr>
            <w:tcW w:w="4675" w:type="dxa"/>
            <w:vAlign w:val="bottom"/>
          </w:tcPr>
          <w:p w14:paraId="1B81D699" w14:textId="77777777" w:rsidR="00421192" w:rsidRPr="00DE76FD" w:rsidRDefault="00421192" w:rsidP="001515D5">
            <w:r w:rsidRPr="00DE76FD">
              <w:t>Chesterfield</w:t>
            </w:r>
          </w:p>
        </w:tc>
        <w:tc>
          <w:tcPr>
            <w:tcW w:w="4675" w:type="dxa"/>
            <w:vAlign w:val="bottom"/>
          </w:tcPr>
          <w:p w14:paraId="5F125CE2" w14:textId="77777777" w:rsidR="00421192" w:rsidRPr="00DE76FD" w:rsidRDefault="00421192" w:rsidP="001515D5">
            <w:r w:rsidRPr="00DE76FD">
              <w:t>21.7%</w:t>
            </w:r>
          </w:p>
        </w:tc>
      </w:tr>
      <w:tr w:rsidR="00421192" w14:paraId="33BA8D3E" w14:textId="77777777" w:rsidTr="001515D5">
        <w:tc>
          <w:tcPr>
            <w:tcW w:w="4675" w:type="dxa"/>
            <w:vAlign w:val="bottom"/>
          </w:tcPr>
          <w:p w14:paraId="44A643D2" w14:textId="77777777" w:rsidR="00421192" w:rsidRPr="00DE76FD" w:rsidRDefault="00421192" w:rsidP="001515D5">
            <w:r w:rsidRPr="00DE76FD">
              <w:t>Clarendon</w:t>
            </w:r>
          </w:p>
        </w:tc>
        <w:tc>
          <w:tcPr>
            <w:tcW w:w="4675" w:type="dxa"/>
            <w:vAlign w:val="bottom"/>
          </w:tcPr>
          <w:p w14:paraId="3984B903" w14:textId="77777777" w:rsidR="00421192" w:rsidRPr="00DE76FD" w:rsidRDefault="00421192" w:rsidP="001515D5">
            <w:r w:rsidRPr="00DE76FD">
              <w:t>15.9%</w:t>
            </w:r>
          </w:p>
        </w:tc>
      </w:tr>
      <w:tr w:rsidR="00421192" w14:paraId="3F8103DE" w14:textId="77777777" w:rsidTr="001515D5">
        <w:tc>
          <w:tcPr>
            <w:tcW w:w="4675" w:type="dxa"/>
            <w:vAlign w:val="bottom"/>
          </w:tcPr>
          <w:p w14:paraId="16C9659B" w14:textId="77777777" w:rsidR="00421192" w:rsidRPr="00DE76FD" w:rsidRDefault="00421192" w:rsidP="001515D5">
            <w:r w:rsidRPr="00DE76FD">
              <w:t>Colleton</w:t>
            </w:r>
          </w:p>
        </w:tc>
        <w:tc>
          <w:tcPr>
            <w:tcW w:w="4675" w:type="dxa"/>
            <w:vAlign w:val="bottom"/>
          </w:tcPr>
          <w:p w14:paraId="474BBC3B" w14:textId="77777777" w:rsidR="00421192" w:rsidRPr="00DE76FD" w:rsidRDefault="00421192" w:rsidP="001515D5">
            <w:r w:rsidRPr="00DE76FD">
              <w:t>13.8%</w:t>
            </w:r>
          </w:p>
        </w:tc>
      </w:tr>
      <w:tr w:rsidR="00421192" w14:paraId="047E6FD1" w14:textId="77777777" w:rsidTr="001515D5">
        <w:tc>
          <w:tcPr>
            <w:tcW w:w="4675" w:type="dxa"/>
            <w:vAlign w:val="bottom"/>
          </w:tcPr>
          <w:p w14:paraId="537E2CB8" w14:textId="77777777" w:rsidR="00421192" w:rsidRPr="00DE76FD" w:rsidRDefault="00421192" w:rsidP="001515D5">
            <w:r w:rsidRPr="00DE76FD">
              <w:t>Darlington</w:t>
            </w:r>
          </w:p>
        </w:tc>
        <w:tc>
          <w:tcPr>
            <w:tcW w:w="4675" w:type="dxa"/>
            <w:vAlign w:val="bottom"/>
          </w:tcPr>
          <w:p w14:paraId="2A867D37" w14:textId="77777777" w:rsidR="00421192" w:rsidRPr="00DE76FD" w:rsidRDefault="00421192" w:rsidP="001515D5">
            <w:r w:rsidRPr="00DE76FD">
              <w:t>19.7%</w:t>
            </w:r>
          </w:p>
        </w:tc>
      </w:tr>
      <w:tr w:rsidR="00421192" w14:paraId="59B4B1AC" w14:textId="77777777" w:rsidTr="001515D5">
        <w:tc>
          <w:tcPr>
            <w:tcW w:w="4675" w:type="dxa"/>
            <w:vAlign w:val="bottom"/>
          </w:tcPr>
          <w:p w14:paraId="01944752" w14:textId="77777777" w:rsidR="00421192" w:rsidRPr="00DE76FD" w:rsidRDefault="00421192" w:rsidP="001515D5">
            <w:r w:rsidRPr="00DE76FD">
              <w:t>Dillon</w:t>
            </w:r>
          </w:p>
        </w:tc>
        <w:tc>
          <w:tcPr>
            <w:tcW w:w="4675" w:type="dxa"/>
            <w:vAlign w:val="bottom"/>
          </w:tcPr>
          <w:p w14:paraId="3080D694" w14:textId="77777777" w:rsidR="00421192" w:rsidRPr="00DE76FD" w:rsidRDefault="00421192" w:rsidP="001515D5">
            <w:r w:rsidRPr="00DE76FD">
              <w:t>18.4%</w:t>
            </w:r>
          </w:p>
        </w:tc>
      </w:tr>
      <w:tr w:rsidR="00421192" w14:paraId="25C5C7D8" w14:textId="77777777" w:rsidTr="001515D5">
        <w:tc>
          <w:tcPr>
            <w:tcW w:w="4675" w:type="dxa"/>
            <w:vAlign w:val="bottom"/>
          </w:tcPr>
          <w:p w14:paraId="04110AE3" w14:textId="77777777" w:rsidR="00421192" w:rsidRPr="00DE76FD" w:rsidRDefault="00421192" w:rsidP="001515D5">
            <w:r w:rsidRPr="00DE76FD">
              <w:t>Dorchester</w:t>
            </w:r>
          </w:p>
        </w:tc>
        <w:tc>
          <w:tcPr>
            <w:tcW w:w="4675" w:type="dxa"/>
            <w:vAlign w:val="bottom"/>
          </w:tcPr>
          <w:p w14:paraId="1CDB57D8" w14:textId="77777777" w:rsidR="00421192" w:rsidRPr="00DE76FD" w:rsidRDefault="00421192" w:rsidP="001515D5">
            <w:r w:rsidRPr="00DE76FD">
              <w:t>22.9%</w:t>
            </w:r>
          </w:p>
        </w:tc>
      </w:tr>
      <w:tr w:rsidR="00421192" w14:paraId="05A12520" w14:textId="77777777" w:rsidTr="001515D5">
        <w:tc>
          <w:tcPr>
            <w:tcW w:w="4675" w:type="dxa"/>
            <w:vAlign w:val="bottom"/>
          </w:tcPr>
          <w:p w14:paraId="2F908329" w14:textId="77777777" w:rsidR="00421192" w:rsidRPr="00DE76FD" w:rsidRDefault="00421192" w:rsidP="001515D5">
            <w:r w:rsidRPr="00DE76FD">
              <w:t>Edgefield</w:t>
            </w:r>
          </w:p>
        </w:tc>
        <w:tc>
          <w:tcPr>
            <w:tcW w:w="4675" w:type="dxa"/>
            <w:vAlign w:val="bottom"/>
          </w:tcPr>
          <w:p w14:paraId="56047FA1" w14:textId="77777777" w:rsidR="00421192" w:rsidRPr="00DE76FD" w:rsidRDefault="00421192" w:rsidP="001515D5">
            <w:r w:rsidRPr="00DE76FD">
              <w:t>21.9%</w:t>
            </w:r>
          </w:p>
        </w:tc>
      </w:tr>
      <w:tr w:rsidR="00421192" w14:paraId="44790354" w14:textId="77777777" w:rsidTr="001515D5">
        <w:tc>
          <w:tcPr>
            <w:tcW w:w="4675" w:type="dxa"/>
            <w:vAlign w:val="bottom"/>
          </w:tcPr>
          <w:p w14:paraId="1219E3BE" w14:textId="77777777" w:rsidR="00421192" w:rsidRPr="00DE76FD" w:rsidRDefault="00421192" w:rsidP="001515D5">
            <w:r w:rsidRPr="00DE76FD">
              <w:t>Fairfield</w:t>
            </w:r>
          </w:p>
        </w:tc>
        <w:tc>
          <w:tcPr>
            <w:tcW w:w="4675" w:type="dxa"/>
            <w:vAlign w:val="bottom"/>
          </w:tcPr>
          <w:p w14:paraId="06429C76" w14:textId="77777777" w:rsidR="00421192" w:rsidRPr="00DE76FD" w:rsidRDefault="00421192" w:rsidP="001515D5">
            <w:r w:rsidRPr="00DE76FD">
              <w:t>29.7%</w:t>
            </w:r>
          </w:p>
        </w:tc>
      </w:tr>
      <w:tr w:rsidR="00421192" w14:paraId="4D753583" w14:textId="77777777" w:rsidTr="001515D5">
        <w:tc>
          <w:tcPr>
            <w:tcW w:w="4675" w:type="dxa"/>
            <w:vAlign w:val="bottom"/>
          </w:tcPr>
          <w:p w14:paraId="71818AA6" w14:textId="77777777" w:rsidR="00421192" w:rsidRPr="00DE76FD" w:rsidRDefault="00421192" w:rsidP="001515D5">
            <w:r w:rsidRPr="00DE76FD">
              <w:t>Florence</w:t>
            </w:r>
          </w:p>
        </w:tc>
        <w:tc>
          <w:tcPr>
            <w:tcW w:w="4675" w:type="dxa"/>
            <w:vAlign w:val="bottom"/>
          </w:tcPr>
          <w:p w14:paraId="11B0FA0B" w14:textId="77777777" w:rsidR="00421192" w:rsidRPr="00DE76FD" w:rsidRDefault="00421192" w:rsidP="001515D5">
            <w:r w:rsidRPr="00DE76FD">
              <w:t>20.6%</w:t>
            </w:r>
          </w:p>
        </w:tc>
      </w:tr>
      <w:tr w:rsidR="00421192" w14:paraId="1E1A9823" w14:textId="77777777" w:rsidTr="001515D5">
        <w:tc>
          <w:tcPr>
            <w:tcW w:w="4675" w:type="dxa"/>
            <w:vAlign w:val="bottom"/>
          </w:tcPr>
          <w:p w14:paraId="2492C14D" w14:textId="77777777" w:rsidR="00421192" w:rsidRPr="00DE76FD" w:rsidRDefault="00421192" w:rsidP="001515D5">
            <w:r w:rsidRPr="00DE76FD">
              <w:t>Georgetown</w:t>
            </w:r>
          </w:p>
        </w:tc>
        <w:tc>
          <w:tcPr>
            <w:tcW w:w="4675" w:type="dxa"/>
            <w:vAlign w:val="bottom"/>
          </w:tcPr>
          <w:p w14:paraId="2D0E713A" w14:textId="77777777" w:rsidR="00421192" w:rsidRPr="00DE76FD" w:rsidRDefault="00421192" w:rsidP="001515D5">
            <w:r w:rsidRPr="00DE76FD">
              <w:t>20.2%</w:t>
            </w:r>
          </w:p>
        </w:tc>
      </w:tr>
      <w:tr w:rsidR="00421192" w14:paraId="5E502BC2" w14:textId="77777777" w:rsidTr="001515D5">
        <w:tc>
          <w:tcPr>
            <w:tcW w:w="4675" w:type="dxa"/>
            <w:vAlign w:val="bottom"/>
          </w:tcPr>
          <w:p w14:paraId="7D4B36ED" w14:textId="77777777" w:rsidR="00421192" w:rsidRPr="00DE76FD" w:rsidRDefault="00421192" w:rsidP="001515D5">
            <w:r w:rsidRPr="00DE76FD">
              <w:t>Greenville</w:t>
            </w:r>
          </w:p>
        </w:tc>
        <w:tc>
          <w:tcPr>
            <w:tcW w:w="4675" w:type="dxa"/>
            <w:vAlign w:val="bottom"/>
          </w:tcPr>
          <w:p w14:paraId="4987157D" w14:textId="77777777" w:rsidR="00421192" w:rsidRPr="00DE76FD" w:rsidRDefault="00421192" w:rsidP="001515D5">
            <w:r w:rsidRPr="00DE76FD">
              <w:t>20.0%</w:t>
            </w:r>
          </w:p>
        </w:tc>
      </w:tr>
      <w:tr w:rsidR="00421192" w14:paraId="41246E77" w14:textId="77777777" w:rsidTr="001515D5">
        <w:tc>
          <w:tcPr>
            <w:tcW w:w="4675" w:type="dxa"/>
            <w:vAlign w:val="bottom"/>
          </w:tcPr>
          <w:p w14:paraId="44AB9907" w14:textId="77777777" w:rsidR="00421192" w:rsidRPr="00DE76FD" w:rsidRDefault="00421192" w:rsidP="001515D5">
            <w:r w:rsidRPr="00DE76FD">
              <w:t>Greenwood</w:t>
            </w:r>
          </w:p>
        </w:tc>
        <w:tc>
          <w:tcPr>
            <w:tcW w:w="4675" w:type="dxa"/>
            <w:vAlign w:val="bottom"/>
          </w:tcPr>
          <w:p w14:paraId="061A7C6F" w14:textId="77777777" w:rsidR="00421192" w:rsidRPr="00DE76FD" w:rsidRDefault="00421192" w:rsidP="001515D5">
            <w:r w:rsidRPr="00DE76FD">
              <w:t>23.1%</w:t>
            </w:r>
          </w:p>
        </w:tc>
      </w:tr>
      <w:tr w:rsidR="00421192" w14:paraId="6DA33EDE" w14:textId="77777777" w:rsidTr="001515D5">
        <w:tc>
          <w:tcPr>
            <w:tcW w:w="4675" w:type="dxa"/>
            <w:vAlign w:val="bottom"/>
          </w:tcPr>
          <w:p w14:paraId="2DAE914A" w14:textId="77777777" w:rsidR="00421192" w:rsidRPr="00DE76FD" w:rsidRDefault="00421192" w:rsidP="001515D5">
            <w:r w:rsidRPr="00DE76FD">
              <w:lastRenderedPageBreak/>
              <w:t>Hampton</w:t>
            </w:r>
          </w:p>
        </w:tc>
        <w:tc>
          <w:tcPr>
            <w:tcW w:w="4675" w:type="dxa"/>
            <w:vAlign w:val="bottom"/>
          </w:tcPr>
          <w:p w14:paraId="1D08975B" w14:textId="77777777" w:rsidR="00421192" w:rsidRPr="00DE76FD" w:rsidRDefault="00421192" w:rsidP="001515D5">
            <w:r w:rsidRPr="00DE76FD">
              <w:t>15.5%</w:t>
            </w:r>
          </w:p>
        </w:tc>
      </w:tr>
      <w:tr w:rsidR="00421192" w14:paraId="040AFF5F" w14:textId="77777777" w:rsidTr="001515D5">
        <w:tc>
          <w:tcPr>
            <w:tcW w:w="4675" w:type="dxa"/>
            <w:vAlign w:val="bottom"/>
          </w:tcPr>
          <w:p w14:paraId="2AAFCF6C" w14:textId="77777777" w:rsidR="00421192" w:rsidRPr="00DE76FD" w:rsidRDefault="00421192" w:rsidP="001515D5">
            <w:r w:rsidRPr="00DE76FD">
              <w:t>Horry</w:t>
            </w:r>
          </w:p>
        </w:tc>
        <w:tc>
          <w:tcPr>
            <w:tcW w:w="4675" w:type="dxa"/>
            <w:vAlign w:val="bottom"/>
          </w:tcPr>
          <w:p w14:paraId="35B536FB" w14:textId="77777777" w:rsidR="00421192" w:rsidRPr="00DE76FD" w:rsidRDefault="00421192" w:rsidP="001515D5">
            <w:r w:rsidRPr="00DE76FD">
              <w:t>22.6%</w:t>
            </w:r>
          </w:p>
        </w:tc>
      </w:tr>
      <w:tr w:rsidR="00421192" w14:paraId="759CCA1D" w14:textId="77777777" w:rsidTr="001515D5">
        <w:tc>
          <w:tcPr>
            <w:tcW w:w="4675" w:type="dxa"/>
            <w:vAlign w:val="bottom"/>
          </w:tcPr>
          <w:p w14:paraId="34F39E3A" w14:textId="77777777" w:rsidR="00421192" w:rsidRPr="00DE76FD" w:rsidRDefault="00421192" w:rsidP="001515D5">
            <w:r w:rsidRPr="00DE76FD">
              <w:t>Jasper</w:t>
            </w:r>
          </w:p>
        </w:tc>
        <w:tc>
          <w:tcPr>
            <w:tcW w:w="4675" w:type="dxa"/>
            <w:vAlign w:val="bottom"/>
          </w:tcPr>
          <w:p w14:paraId="0109F230" w14:textId="77777777" w:rsidR="00421192" w:rsidRPr="00DE76FD" w:rsidRDefault="00421192" w:rsidP="001515D5">
            <w:r w:rsidRPr="00DE76FD">
              <w:t>17.9%</w:t>
            </w:r>
          </w:p>
        </w:tc>
      </w:tr>
      <w:tr w:rsidR="00421192" w14:paraId="5568B547" w14:textId="77777777" w:rsidTr="001515D5">
        <w:tc>
          <w:tcPr>
            <w:tcW w:w="4675" w:type="dxa"/>
            <w:vAlign w:val="bottom"/>
          </w:tcPr>
          <w:p w14:paraId="1B02C0F6" w14:textId="77777777" w:rsidR="00421192" w:rsidRPr="00DE76FD" w:rsidRDefault="00421192" w:rsidP="001515D5">
            <w:r w:rsidRPr="00DE76FD">
              <w:t>Kershaw</w:t>
            </w:r>
          </w:p>
        </w:tc>
        <w:tc>
          <w:tcPr>
            <w:tcW w:w="4675" w:type="dxa"/>
            <w:vAlign w:val="bottom"/>
          </w:tcPr>
          <w:p w14:paraId="53B15723" w14:textId="77777777" w:rsidR="00421192" w:rsidRPr="00DE76FD" w:rsidRDefault="00421192" w:rsidP="001515D5">
            <w:r w:rsidRPr="00DE76FD">
              <w:t>21.8%</w:t>
            </w:r>
          </w:p>
        </w:tc>
      </w:tr>
      <w:tr w:rsidR="00421192" w14:paraId="3F64E20A" w14:textId="77777777" w:rsidTr="001515D5">
        <w:tc>
          <w:tcPr>
            <w:tcW w:w="4675" w:type="dxa"/>
            <w:vAlign w:val="bottom"/>
          </w:tcPr>
          <w:p w14:paraId="2CFF3D49" w14:textId="77777777" w:rsidR="00421192" w:rsidRPr="00DE76FD" w:rsidRDefault="00421192" w:rsidP="001515D5">
            <w:r w:rsidRPr="00DE76FD">
              <w:t>Lancaster</w:t>
            </w:r>
          </w:p>
        </w:tc>
        <w:tc>
          <w:tcPr>
            <w:tcW w:w="4675" w:type="dxa"/>
            <w:vAlign w:val="bottom"/>
          </w:tcPr>
          <w:p w14:paraId="56DEE0DA" w14:textId="77777777" w:rsidR="00421192" w:rsidRPr="00DE76FD" w:rsidRDefault="00421192" w:rsidP="001515D5">
            <w:r w:rsidRPr="00DE76FD">
              <w:t>22.6%</w:t>
            </w:r>
          </w:p>
        </w:tc>
      </w:tr>
      <w:tr w:rsidR="00421192" w14:paraId="149334AB" w14:textId="77777777" w:rsidTr="001515D5">
        <w:tc>
          <w:tcPr>
            <w:tcW w:w="4675" w:type="dxa"/>
            <w:vAlign w:val="bottom"/>
          </w:tcPr>
          <w:p w14:paraId="1C40611E" w14:textId="77777777" w:rsidR="00421192" w:rsidRPr="00DE76FD" w:rsidRDefault="00421192" w:rsidP="001515D5">
            <w:r w:rsidRPr="00DE76FD">
              <w:t>Laurens</w:t>
            </w:r>
          </w:p>
        </w:tc>
        <w:tc>
          <w:tcPr>
            <w:tcW w:w="4675" w:type="dxa"/>
            <w:vAlign w:val="bottom"/>
          </w:tcPr>
          <w:p w14:paraId="6CDA7A50" w14:textId="77777777" w:rsidR="00421192" w:rsidRPr="00DE76FD" w:rsidRDefault="00421192" w:rsidP="001515D5">
            <w:r w:rsidRPr="00DE76FD">
              <w:t>21.0%</w:t>
            </w:r>
          </w:p>
        </w:tc>
      </w:tr>
      <w:tr w:rsidR="00421192" w14:paraId="4533AFF2" w14:textId="77777777" w:rsidTr="001515D5">
        <w:tc>
          <w:tcPr>
            <w:tcW w:w="4675" w:type="dxa"/>
            <w:vAlign w:val="bottom"/>
          </w:tcPr>
          <w:p w14:paraId="6E584348" w14:textId="77777777" w:rsidR="00421192" w:rsidRPr="00DE76FD" w:rsidRDefault="00421192" w:rsidP="001515D5">
            <w:r w:rsidRPr="00DE76FD">
              <w:t>Lee</w:t>
            </w:r>
          </w:p>
        </w:tc>
        <w:tc>
          <w:tcPr>
            <w:tcW w:w="4675" w:type="dxa"/>
            <w:vAlign w:val="bottom"/>
          </w:tcPr>
          <w:p w14:paraId="4B1A2614" w14:textId="77777777" w:rsidR="00421192" w:rsidRPr="00DE76FD" w:rsidRDefault="00421192" w:rsidP="001515D5">
            <w:r w:rsidRPr="00DE76FD">
              <w:t>27.9%</w:t>
            </w:r>
          </w:p>
        </w:tc>
      </w:tr>
      <w:tr w:rsidR="00421192" w14:paraId="0F2A8F22" w14:textId="77777777" w:rsidTr="001515D5">
        <w:tc>
          <w:tcPr>
            <w:tcW w:w="4675" w:type="dxa"/>
            <w:vAlign w:val="bottom"/>
          </w:tcPr>
          <w:p w14:paraId="6AF1B938" w14:textId="77777777" w:rsidR="00421192" w:rsidRPr="00DE76FD" w:rsidRDefault="00421192" w:rsidP="001515D5">
            <w:r w:rsidRPr="00DE76FD">
              <w:t>Lexington</w:t>
            </w:r>
          </w:p>
        </w:tc>
        <w:tc>
          <w:tcPr>
            <w:tcW w:w="4675" w:type="dxa"/>
            <w:vAlign w:val="bottom"/>
          </w:tcPr>
          <w:p w14:paraId="565B7F2C" w14:textId="77777777" w:rsidR="00421192" w:rsidRPr="00DE76FD" w:rsidRDefault="00421192" w:rsidP="001515D5">
            <w:r w:rsidRPr="00DE76FD">
              <w:t>19.4%</w:t>
            </w:r>
          </w:p>
        </w:tc>
      </w:tr>
      <w:tr w:rsidR="00421192" w14:paraId="79882C62" w14:textId="77777777" w:rsidTr="001515D5">
        <w:tc>
          <w:tcPr>
            <w:tcW w:w="4675" w:type="dxa"/>
            <w:vAlign w:val="bottom"/>
          </w:tcPr>
          <w:p w14:paraId="6EC1BE27" w14:textId="77777777" w:rsidR="00421192" w:rsidRPr="00DE76FD" w:rsidRDefault="00421192" w:rsidP="001515D5">
            <w:r w:rsidRPr="00DE76FD">
              <w:t>Marion</w:t>
            </w:r>
          </w:p>
        </w:tc>
        <w:tc>
          <w:tcPr>
            <w:tcW w:w="4675" w:type="dxa"/>
            <w:vAlign w:val="bottom"/>
          </w:tcPr>
          <w:p w14:paraId="19A8BDDB" w14:textId="77777777" w:rsidR="00421192" w:rsidRPr="00DE76FD" w:rsidRDefault="00421192" w:rsidP="001515D5">
            <w:r w:rsidRPr="00DE76FD">
              <w:t>13.2%</w:t>
            </w:r>
          </w:p>
        </w:tc>
      </w:tr>
      <w:tr w:rsidR="00421192" w14:paraId="2EA94564" w14:textId="77777777" w:rsidTr="001515D5">
        <w:tc>
          <w:tcPr>
            <w:tcW w:w="4675" w:type="dxa"/>
            <w:vAlign w:val="bottom"/>
          </w:tcPr>
          <w:p w14:paraId="781BA3C9" w14:textId="77777777" w:rsidR="00421192" w:rsidRPr="00DE76FD" w:rsidRDefault="00421192" w:rsidP="001515D5">
            <w:r w:rsidRPr="00DE76FD">
              <w:t>Marlboro</w:t>
            </w:r>
          </w:p>
        </w:tc>
        <w:tc>
          <w:tcPr>
            <w:tcW w:w="4675" w:type="dxa"/>
            <w:vAlign w:val="bottom"/>
          </w:tcPr>
          <w:p w14:paraId="57673D58" w14:textId="77777777" w:rsidR="00421192" w:rsidRPr="00DE76FD" w:rsidRDefault="00421192" w:rsidP="001515D5">
            <w:r w:rsidRPr="00DE76FD">
              <w:t>18.3%</w:t>
            </w:r>
          </w:p>
        </w:tc>
      </w:tr>
      <w:tr w:rsidR="00421192" w14:paraId="35B7A3EE" w14:textId="77777777" w:rsidTr="001515D5">
        <w:tc>
          <w:tcPr>
            <w:tcW w:w="4675" w:type="dxa"/>
            <w:vAlign w:val="bottom"/>
          </w:tcPr>
          <w:p w14:paraId="2ED7E0CD" w14:textId="77777777" w:rsidR="00421192" w:rsidRPr="00DE76FD" w:rsidRDefault="00421192" w:rsidP="001515D5">
            <w:r w:rsidRPr="00DE76FD">
              <w:t>McCormick</w:t>
            </w:r>
          </w:p>
        </w:tc>
        <w:tc>
          <w:tcPr>
            <w:tcW w:w="4675" w:type="dxa"/>
            <w:vAlign w:val="bottom"/>
          </w:tcPr>
          <w:p w14:paraId="2AD7D94A" w14:textId="77777777" w:rsidR="00421192" w:rsidRPr="00DE76FD" w:rsidRDefault="00421192" w:rsidP="001515D5">
            <w:r w:rsidRPr="00DE76FD">
              <w:t>13.5%</w:t>
            </w:r>
          </w:p>
        </w:tc>
      </w:tr>
      <w:tr w:rsidR="00421192" w14:paraId="494654C4" w14:textId="77777777" w:rsidTr="001515D5">
        <w:tc>
          <w:tcPr>
            <w:tcW w:w="4675" w:type="dxa"/>
            <w:vAlign w:val="bottom"/>
          </w:tcPr>
          <w:p w14:paraId="6118B634" w14:textId="77777777" w:rsidR="00421192" w:rsidRPr="00DE76FD" w:rsidRDefault="00421192" w:rsidP="001515D5">
            <w:r w:rsidRPr="00DE76FD">
              <w:t>Newberry</w:t>
            </w:r>
          </w:p>
        </w:tc>
        <w:tc>
          <w:tcPr>
            <w:tcW w:w="4675" w:type="dxa"/>
            <w:vAlign w:val="bottom"/>
          </w:tcPr>
          <w:p w14:paraId="0C12D371" w14:textId="77777777" w:rsidR="00421192" w:rsidRPr="00DE76FD" w:rsidRDefault="00421192" w:rsidP="001515D5">
            <w:r w:rsidRPr="00DE76FD">
              <w:t>24.2%</w:t>
            </w:r>
          </w:p>
        </w:tc>
      </w:tr>
      <w:tr w:rsidR="00421192" w14:paraId="0AFA21A8" w14:textId="77777777" w:rsidTr="001515D5">
        <w:tc>
          <w:tcPr>
            <w:tcW w:w="4675" w:type="dxa"/>
            <w:vAlign w:val="bottom"/>
          </w:tcPr>
          <w:p w14:paraId="2A2EBE51" w14:textId="77777777" w:rsidR="00421192" w:rsidRPr="00DE76FD" w:rsidRDefault="00421192" w:rsidP="001515D5">
            <w:r w:rsidRPr="00DE76FD">
              <w:t>Oconee</w:t>
            </w:r>
          </w:p>
        </w:tc>
        <w:tc>
          <w:tcPr>
            <w:tcW w:w="4675" w:type="dxa"/>
            <w:vAlign w:val="bottom"/>
          </w:tcPr>
          <w:p w14:paraId="5E47FE78" w14:textId="77777777" w:rsidR="00421192" w:rsidRPr="00DE76FD" w:rsidRDefault="00421192" w:rsidP="001515D5">
            <w:r w:rsidRPr="00DE76FD">
              <w:t>21.6%</w:t>
            </w:r>
          </w:p>
        </w:tc>
      </w:tr>
      <w:tr w:rsidR="00421192" w14:paraId="54B97D99" w14:textId="77777777" w:rsidTr="001515D5">
        <w:tc>
          <w:tcPr>
            <w:tcW w:w="4675" w:type="dxa"/>
            <w:vAlign w:val="bottom"/>
          </w:tcPr>
          <w:p w14:paraId="38E9D843" w14:textId="77777777" w:rsidR="00421192" w:rsidRPr="00DE76FD" w:rsidRDefault="00421192" w:rsidP="001515D5">
            <w:r w:rsidRPr="00DE76FD">
              <w:t>Orangeburg</w:t>
            </w:r>
          </w:p>
        </w:tc>
        <w:tc>
          <w:tcPr>
            <w:tcW w:w="4675" w:type="dxa"/>
            <w:vAlign w:val="bottom"/>
          </w:tcPr>
          <w:p w14:paraId="7E1A5EF3" w14:textId="77777777" w:rsidR="00421192" w:rsidRPr="00DE76FD" w:rsidRDefault="00421192" w:rsidP="001515D5">
            <w:r w:rsidRPr="00DE76FD">
              <w:t>20.7%</w:t>
            </w:r>
          </w:p>
        </w:tc>
      </w:tr>
      <w:tr w:rsidR="00421192" w14:paraId="7F359CCB" w14:textId="77777777" w:rsidTr="001515D5">
        <w:tc>
          <w:tcPr>
            <w:tcW w:w="4675" w:type="dxa"/>
            <w:vAlign w:val="bottom"/>
          </w:tcPr>
          <w:p w14:paraId="6B143105" w14:textId="77777777" w:rsidR="00421192" w:rsidRPr="00DE76FD" w:rsidRDefault="00421192" w:rsidP="001515D5">
            <w:r w:rsidRPr="00DE76FD">
              <w:t>Pickens</w:t>
            </w:r>
          </w:p>
        </w:tc>
        <w:tc>
          <w:tcPr>
            <w:tcW w:w="4675" w:type="dxa"/>
            <w:vAlign w:val="bottom"/>
          </w:tcPr>
          <w:p w14:paraId="00A96FE0" w14:textId="77777777" w:rsidR="00421192" w:rsidRPr="00DE76FD" w:rsidRDefault="00421192" w:rsidP="001515D5">
            <w:r w:rsidRPr="00DE76FD">
              <w:t>30.2%</w:t>
            </w:r>
          </w:p>
        </w:tc>
      </w:tr>
      <w:tr w:rsidR="00421192" w14:paraId="6CF0DC52" w14:textId="77777777" w:rsidTr="001515D5">
        <w:tc>
          <w:tcPr>
            <w:tcW w:w="4675" w:type="dxa"/>
            <w:vAlign w:val="bottom"/>
          </w:tcPr>
          <w:p w14:paraId="46CD0F55" w14:textId="77777777" w:rsidR="00421192" w:rsidRPr="00DE76FD" w:rsidRDefault="00421192" w:rsidP="001515D5">
            <w:r w:rsidRPr="00DE76FD">
              <w:t>Richland</w:t>
            </w:r>
          </w:p>
        </w:tc>
        <w:tc>
          <w:tcPr>
            <w:tcW w:w="4675" w:type="dxa"/>
            <w:vAlign w:val="bottom"/>
          </w:tcPr>
          <w:p w14:paraId="43D2115C" w14:textId="77777777" w:rsidR="00421192" w:rsidRPr="00DE76FD" w:rsidRDefault="00421192" w:rsidP="001515D5">
            <w:r w:rsidRPr="00DE76FD">
              <w:t>28.6%</w:t>
            </w:r>
          </w:p>
        </w:tc>
      </w:tr>
      <w:tr w:rsidR="00421192" w14:paraId="77CFF57F" w14:textId="77777777" w:rsidTr="001515D5">
        <w:tc>
          <w:tcPr>
            <w:tcW w:w="4675" w:type="dxa"/>
            <w:vAlign w:val="bottom"/>
          </w:tcPr>
          <w:p w14:paraId="6F413730" w14:textId="77777777" w:rsidR="00421192" w:rsidRPr="00DE76FD" w:rsidRDefault="00421192" w:rsidP="001515D5">
            <w:r w:rsidRPr="00DE76FD">
              <w:t>Saluda</w:t>
            </w:r>
          </w:p>
        </w:tc>
        <w:tc>
          <w:tcPr>
            <w:tcW w:w="4675" w:type="dxa"/>
            <w:vAlign w:val="bottom"/>
          </w:tcPr>
          <w:p w14:paraId="33EF20F4" w14:textId="77777777" w:rsidR="00421192" w:rsidRPr="00DE76FD" w:rsidRDefault="00421192" w:rsidP="001515D5">
            <w:r w:rsidRPr="00DE76FD">
              <w:t>16.2%</w:t>
            </w:r>
          </w:p>
        </w:tc>
      </w:tr>
      <w:tr w:rsidR="00421192" w14:paraId="0156CF3C" w14:textId="77777777" w:rsidTr="001515D5">
        <w:tc>
          <w:tcPr>
            <w:tcW w:w="4675" w:type="dxa"/>
            <w:vAlign w:val="bottom"/>
          </w:tcPr>
          <w:p w14:paraId="000A0692" w14:textId="77777777" w:rsidR="00421192" w:rsidRPr="00DE76FD" w:rsidRDefault="00421192" w:rsidP="001515D5">
            <w:r w:rsidRPr="00DE76FD">
              <w:t>Spartanburg</w:t>
            </w:r>
          </w:p>
        </w:tc>
        <w:tc>
          <w:tcPr>
            <w:tcW w:w="4675" w:type="dxa"/>
            <w:vAlign w:val="bottom"/>
          </w:tcPr>
          <w:p w14:paraId="1BAAC511" w14:textId="77777777" w:rsidR="00421192" w:rsidRPr="00DE76FD" w:rsidRDefault="00421192" w:rsidP="001515D5">
            <w:r w:rsidRPr="00DE76FD">
              <w:t>22.3%</w:t>
            </w:r>
          </w:p>
        </w:tc>
      </w:tr>
      <w:tr w:rsidR="00421192" w14:paraId="24EC26A7" w14:textId="77777777" w:rsidTr="001515D5">
        <w:tc>
          <w:tcPr>
            <w:tcW w:w="4675" w:type="dxa"/>
            <w:vAlign w:val="bottom"/>
          </w:tcPr>
          <w:p w14:paraId="7A58D86E" w14:textId="77777777" w:rsidR="00421192" w:rsidRPr="00DE76FD" w:rsidRDefault="00421192" w:rsidP="001515D5">
            <w:r w:rsidRPr="00DE76FD">
              <w:t>Sumter</w:t>
            </w:r>
          </w:p>
        </w:tc>
        <w:tc>
          <w:tcPr>
            <w:tcW w:w="4675" w:type="dxa"/>
            <w:vAlign w:val="bottom"/>
          </w:tcPr>
          <w:p w14:paraId="3D73F789" w14:textId="77777777" w:rsidR="00421192" w:rsidRPr="00DE76FD" w:rsidRDefault="00421192" w:rsidP="001515D5">
            <w:r w:rsidRPr="00DE76FD">
              <w:t>21.2%</w:t>
            </w:r>
          </w:p>
        </w:tc>
      </w:tr>
      <w:tr w:rsidR="00421192" w14:paraId="23A9A5D2" w14:textId="77777777" w:rsidTr="001515D5">
        <w:tc>
          <w:tcPr>
            <w:tcW w:w="4675" w:type="dxa"/>
            <w:vAlign w:val="bottom"/>
          </w:tcPr>
          <w:p w14:paraId="12938D04" w14:textId="77777777" w:rsidR="00421192" w:rsidRPr="00DE76FD" w:rsidRDefault="00421192" w:rsidP="001515D5">
            <w:r w:rsidRPr="00DE76FD">
              <w:t>Union</w:t>
            </w:r>
          </w:p>
        </w:tc>
        <w:tc>
          <w:tcPr>
            <w:tcW w:w="4675" w:type="dxa"/>
            <w:vAlign w:val="bottom"/>
          </w:tcPr>
          <w:p w14:paraId="41959CB5" w14:textId="77777777" w:rsidR="00421192" w:rsidRPr="00DE76FD" w:rsidRDefault="00421192" w:rsidP="001515D5">
            <w:r w:rsidRPr="00DE76FD">
              <w:t>20.9%</w:t>
            </w:r>
          </w:p>
        </w:tc>
      </w:tr>
      <w:tr w:rsidR="00421192" w14:paraId="3809282E" w14:textId="77777777" w:rsidTr="001515D5">
        <w:tc>
          <w:tcPr>
            <w:tcW w:w="4675" w:type="dxa"/>
            <w:vAlign w:val="bottom"/>
          </w:tcPr>
          <w:p w14:paraId="3E4B2981" w14:textId="77777777" w:rsidR="00421192" w:rsidRPr="00DE76FD" w:rsidRDefault="00421192" w:rsidP="001515D5">
            <w:r w:rsidRPr="00DE76FD">
              <w:t>Williamsburg</w:t>
            </w:r>
          </w:p>
        </w:tc>
        <w:tc>
          <w:tcPr>
            <w:tcW w:w="4675" w:type="dxa"/>
            <w:vAlign w:val="bottom"/>
          </w:tcPr>
          <w:p w14:paraId="648406E3" w14:textId="77777777" w:rsidR="00421192" w:rsidRPr="00DE76FD" w:rsidRDefault="00421192" w:rsidP="001515D5">
            <w:r w:rsidRPr="00DE76FD">
              <w:t>17.2%</w:t>
            </w:r>
          </w:p>
        </w:tc>
      </w:tr>
      <w:tr w:rsidR="00421192" w14:paraId="1725F48E" w14:textId="77777777" w:rsidTr="001515D5">
        <w:tc>
          <w:tcPr>
            <w:tcW w:w="4675" w:type="dxa"/>
            <w:vAlign w:val="bottom"/>
          </w:tcPr>
          <w:p w14:paraId="52572DE6" w14:textId="77777777" w:rsidR="00421192" w:rsidRPr="00DE76FD" w:rsidRDefault="00421192" w:rsidP="001515D5">
            <w:r w:rsidRPr="00DE76FD">
              <w:t>York</w:t>
            </w:r>
          </w:p>
        </w:tc>
        <w:tc>
          <w:tcPr>
            <w:tcW w:w="4675" w:type="dxa"/>
            <w:vAlign w:val="bottom"/>
          </w:tcPr>
          <w:p w14:paraId="7588AB71" w14:textId="77777777" w:rsidR="00421192" w:rsidRPr="00DE76FD" w:rsidRDefault="00421192" w:rsidP="001515D5">
            <w:r w:rsidRPr="00DE76FD">
              <w:t>22.5%</w:t>
            </w:r>
          </w:p>
        </w:tc>
      </w:tr>
    </w:tbl>
    <w:p w14:paraId="2623B1A5" w14:textId="77777777" w:rsidR="00421192" w:rsidRPr="00DE76FD" w:rsidRDefault="00421192" w:rsidP="00421192">
      <w:r w:rsidRPr="00DE76FD">
        <w:t xml:space="preserve">Source: US Census ACS, 2021. </w:t>
      </w:r>
    </w:p>
    <w:p w14:paraId="4262DA69" w14:textId="77777777" w:rsidR="00421192" w:rsidRDefault="00421192" w:rsidP="00421192">
      <w:r w:rsidRPr="00DE76FD">
        <w:t>Note: Represents households spending at least ½ of income on rent and utilities or not having any income at all.</w:t>
      </w:r>
    </w:p>
    <w:p w14:paraId="5D021C8D" w14:textId="77777777" w:rsidR="00FF4962" w:rsidRDefault="00FF4962" w:rsidP="00722CE9"/>
    <w:p w14:paraId="09D9F2F6" w14:textId="5CB7737D" w:rsidR="00722CE9" w:rsidRPr="00722CE9" w:rsidRDefault="00722CE9" w:rsidP="00722CE9">
      <w:bookmarkStart w:id="226" w:name="_Toc162267139"/>
      <w:r w:rsidRPr="00722CE9">
        <w:rPr>
          <w:rStyle w:val="Heading4Char"/>
        </w:rPr>
        <w:t>Data Interpretations:</w:t>
      </w:r>
      <w:bookmarkEnd w:id="226"/>
      <w:r w:rsidRPr="00722CE9">
        <w:rPr>
          <w:b/>
          <w:bCs/>
        </w:rPr>
        <w:t xml:space="preserve"> </w:t>
      </w:r>
      <w:r w:rsidRPr="00722CE9">
        <w:t>In 2021, 70.3% of South Carolina (SC) households were owner occupied, 8.8% higher than the national estimate of 64.6% (</w:t>
      </w:r>
      <w:r w:rsidRPr="00722CE9">
        <w:rPr>
          <w:b/>
          <w:bCs/>
        </w:rPr>
        <w:t>Figure 6.1</w:t>
      </w:r>
      <w:r w:rsidRPr="00722CE9">
        <w:t>). The rate of homeownership across the state and the nation has remained stable over the last 10 years. In 2021, SC had a median gross rent of $970</w:t>
      </w:r>
      <w:r w:rsidR="004C35A5">
        <w:t xml:space="preserve">. </w:t>
      </w:r>
      <w:r w:rsidRPr="00722CE9">
        <w:t>The state sees higher rental values along the coast and in more urban counties. Charleston County saw the highest median gross rent value of $1,310, more than $300 higher than the state median</w:t>
      </w:r>
      <w:r w:rsidR="004C35A5">
        <w:t xml:space="preserve"> </w:t>
      </w:r>
      <w:r w:rsidR="004C35A5" w:rsidRPr="00722CE9">
        <w:t>(</w:t>
      </w:r>
      <w:r w:rsidR="004C35A5" w:rsidRPr="00722CE9">
        <w:rPr>
          <w:b/>
          <w:bCs/>
        </w:rPr>
        <w:t>Figure 6.2</w:t>
      </w:r>
      <w:r w:rsidR="004C35A5" w:rsidRPr="00722CE9">
        <w:t>)</w:t>
      </w:r>
      <w:r w:rsidRPr="00722CE9">
        <w:t xml:space="preserve">. Marlboro County saw the lowest median gross rent value of $585. Severe renter burden is defined as households having to spend at least 50% of their income on rent and utilities or not having any income at all. In SC, 20.1% of renters suffered from severe renter cost burden in 2021. The state </w:t>
      </w:r>
      <w:r w:rsidRPr="00722CE9">
        <w:lastRenderedPageBreak/>
        <w:t>had a wide range of severe renter cost burden from a low of 11.7% in Bamberg County to a high of 30.2% in Pickens County</w:t>
      </w:r>
      <w:r w:rsidR="004C35A5">
        <w:t xml:space="preserve"> </w:t>
      </w:r>
      <w:r w:rsidR="004C35A5" w:rsidRPr="00722CE9">
        <w:t>(</w:t>
      </w:r>
      <w:r w:rsidR="004C35A5" w:rsidRPr="00722CE9">
        <w:rPr>
          <w:b/>
          <w:bCs/>
        </w:rPr>
        <w:t>Figure 6.3</w:t>
      </w:r>
      <w:r w:rsidR="004C35A5" w:rsidRPr="00722CE9">
        <w:t>)</w:t>
      </w:r>
      <w:r w:rsidRPr="00722CE9">
        <w:t>.</w:t>
      </w:r>
    </w:p>
    <w:p w14:paraId="3BBC5F3C" w14:textId="77777777" w:rsidR="00722CE9" w:rsidRDefault="00722CE9" w:rsidP="00722CE9"/>
    <w:p w14:paraId="10F970A5" w14:textId="08C0D687" w:rsidR="00FF4962" w:rsidRPr="00EA168E" w:rsidRDefault="00FF4962" w:rsidP="00EA168E">
      <w:pPr>
        <w:pStyle w:val="Heading5"/>
      </w:pPr>
      <w:r w:rsidRPr="00EA168E">
        <w:t>Key Takeaways:</w:t>
      </w:r>
    </w:p>
    <w:p w14:paraId="0C1CB766" w14:textId="77777777" w:rsidR="00EA168E" w:rsidRDefault="00722CE9" w:rsidP="00926EB3">
      <w:pPr>
        <w:pStyle w:val="ListParagraph"/>
        <w:numPr>
          <w:ilvl w:val="0"/>
          <w:numId w:val="211"/>
        </w:numPr>
      </w:pPr>
      <w:r w:rsidRPr="00722CE9">
        <w:t xml:space="preserve">In 2021, nearly 1 in 3 housing units in SC comprised of renters. </w:t>
      </w:r>
    </w:p>
    <w:p w14:paraId="5ACFA32E" w14:textId="15197150" w:rsidR="00EA168E" w:rsidRDefault="00722CE9" w:rsidP="00926EB3">
      <w:pPr>
        <w:pStyle w:val="ListParagraph"/>
        <w:numPr>
          <w:ilvl w:val="0"/>
          <w:numId w:val="211"/>
        </w:numPr>
      </w:pPr>
      <w:r w:rsidRPr="00722CE9">
        <w:t xml:space="preserve">This large amount of renters coupled with unaffordability factors like high rent costs and severe cost burden creates a concern for vulnerable populations, those at greater risk for poor health status and health care access, having to sacrifice and/or delay health care due to cost. </w:t>
      </w:r>
    </w:p>
    <w:p w14:paraId="259317AB" w14:textId="0FD433B0" w:rsidR="00FF4962" w:rsidRDefault="00722CE9" w:rsidP="00926EB3">
      <w:pPr>
        <w:pStyle w:val="ListParagraph"/>
        <w:numPr>
          <w:ilvl w:val="0"/>
          <w:numId w:val="211"/>
        </w:numPr>
      </w:pPr>
      <w:r w:rsidRPr="00722CE9">
        <w:t xml:space="preserve">These high costs could also lead to homeowners and renters alike not being able to afford healthier food options or other protective health factors. </w:t>
      </w:r>
    </w:p>
    <w:p w14:paraId="7344B37E" w14:textId="77777777" w:rsidR="00FF4962" w:rsidRDefault="00FF4962" w:rsidP="00FF4962">
      <w:pPr>
        <w:rPr>
          <w:i/>
          <w:iCs/>
        </w:rPr>
      </w:pPr>
    </w:p>
    <w:p w14:paraId="18180E8D" w14:textId="7C9C8E4C" w:rsidR="00722CE9" w:rsidRPr="00270B2E" w:rsidRDefault="00722CE9" w:rsidP="00FF4962">
      <w:pPr>
        <w:rPr>
          <w:rStyle w:val="Heading4Char"/>
          <w:rFonts w:asciiTheme="minorHAnsi" w:hAnsiTheme="minorHAnsi" w:cstheme="minorHAnsi"/>
          <w:color w:val="000000" w:themeColor="text1"/>
        </w:rPr>
      </w:pPr>
      <w:bookmarkStart w:id="227" w:name="_Toc162267140"/>
      <w:r w:rsidRPr="00270B2E">
        <w:rPr>
          <w:rStyle w:val="Heading4Char"/>
          <w:rFonts w:asciiTheme="minorHAnsi" w:hAnsiTheme="minorHAnsi" w:cstheme="minorHAnsi"/>
          <w:color w:val="000000" w:themeColor="text1"/>
        </w:rPr>
        <w:t xml:space="preserve">References </w:t>
      </w:r>
      <w:r w:rsidR="00FF4962" w:rsidRPr="00270B2E">
        <w:rPr>
          <w:rStyle w:val="Heading4Char"/>
          <w:rFonts w:asciiTheme="minorHAnsi" w:hAnsiTheme="minorHAnsi" w:cstheme="minorHAnsi"/>
          <w:color w:val="000000" w:themeColor="text1"/>
        </w:rPr>
        <w:t>6.1</w:t>
      </w:r>
      <w:bookmarkEnd w:id="227"/>
      <w:r w:rsidR="00FF4962" w:rsidRPr="00270B2E">
        <w:rPr>
          <w:rStyle w:val="Heading4Char"/>
          <w:rFonts w:asciiTheme="minorHAnsi" w:hAnsiTheme="minorHAnsi" w:cstheme="minorHAnsi"/>
          <w:color w:val="000000" w:themeColor="text1"/>
        </w:rPr>
        <w:t xml:space="preserve"> </w:t>
      </w:r>
    </w:p>
    <w:p w14:paraId="6DF308F8" w14:textId="6D9B17EB" w:rsidR="00FF4962" w:rsidRDefault="00FF4962" w:rsidP="00FF4962">
      <w:r w:rsidRPr="00722CE9">
        <w:t>Statistics in the preceding</w:t>
      </w:r>
      <w:r>
        <w:t xml:space="preserve"> three</w:t>
      </w:r>
      <w:r w:rsidRPr="00722CE9">
        <w:t xml:space="preserve"> paragraphs were referenced from the following reports:</w:t>
      </w:r>
    </w:p>
    <w:p w14:paraId="190D0F33" w14:textId="11DB2919" w:rsidR="00F73294" w:rsidRPr="00F73294" w:rsidRDefault="00F73294" w:rsidP="00926EB3">
      <w:pPr>
        <w:pStyle w:val="ListParagraph"/>
        <w:numPr>
          <w:ilvl w:val="0"/>
          <w:numId w:val="27"/>
        </w:numPr>
      </w:pPr>
      <w:r>
        <w:t>“</w:t>
      </w:r>
      <w:r w:rsidRPr="00F73294">
        <w:t>Building the case for housing policy: Understanding public beliefs about housing affordability as a key social determinant of health</w:t>
      </w:r>
      <w:r>
        <w:t>” by</w:t>
      </w:r>
      <w:r w:rsidRPr="00F73294">
        <w:t xml:space="preserve"> Ortiz, S. E., &amp; Johannes, B. L. </w:t>
      </w:r>
      <w:r>
        <w:t xml:space="preserve">Published by </w:t>
      </w:r>
      <w:r w:rsidRPr="00F73294">
        <w:t xml:space="preserve">SSM-Population Health, </w:t>
      </w:r>
      <w:r>
        <w:t>2018. No hyperlink.</w:t>
      </w:r>
    </w:p>
    <w:p w14:paraId="326BA32D" w14:textId="55B922A6" w:rsidR="00FF4962" w:rsidRDefault="00F73294" w:rsidP="00926EB3">
      <w:pPr>
        <w:pStyle w:val="ListParagraph"/>
        <w:numPr>
          <w:ilvl w:val="0"/>
          <w:numId w:val="27"/>
        </w:numPr>
      </w:pPr>
      <w:r w:rsidRPr="00F73294">
        <w:t xml:space="preserve"> </w:t>
      </w:r>
      <w:r>
        <w:t>“</w:t>
      </w:r>
      <w:r w:rsidRPr="00F73294">
        <w:t>Housing as a determinant of health equity: A conceptual model</w:t>
      </w:r>
      <w:r>
        <w:t>” by</w:t>
      </w:r>
      <w:r w:rsidRPr="00F73294">
        <w:t xml:space="preserve"> Swope, C. B., &amp; Hernández, D. </w:t>
      </w:r>
      <w:r>
        <w:t xml:space="preserve">Published in </w:t>
      </w:r>
      <w:r w:rsidRPr="00F73294">
        <w:t>Social Science &amp; Medicine,</w:t>
      </w:r>
      <w:r>
        <w:t xml:space="preserve"> </w:t>
      </w:r>
      <w:r w:rsidRPr="00F73294">
        <w:t>2019.</w:t>
      </w:r>
    </w:p>
    <w:p w14:paraId="6A829080" w14:textId="77777777" w:rsidR="00F73294" w:rsidRDefault="00F73294" w:rsidP="00FF4962">
      <w:pPr>
        <w:pStyle w:val="Heading3"/>
      </w:pPr>
    </w:p>
    <w:p w14:paraId="2B0375E6" w14:textId="3A730B3A" w:rsidR="00FF4962" w:rsidRPr="00FF4962" w:rsidRDefault="00FF4962" w:rsidP="00FF4962">
      <w:pPr>
        <w:pStyle w:val="Heading3"/>
      </w:pPr>
      <w:bookmarkStart w:id="228" w:name="_Toc162267141"/>
      <w:r w:rsidRPr="00FF4962">
        <w:t>Brownfields Redevelopment</w:t>
      </w:r>
      <w:bookmarkEnd w:id="228"/>
    </w:p>
    <w:p w14:paraId="5DFA0ACF" w14:textId="078541B5" w:rsidR="00FF4962" w:rsidRPr="00FF4962" w:rsidRDefault="00FF4962" w:rsidP="00FF4962">
      <w:r w:rsidRPr="00FF4962">
        <w:t xml:space="preserve">The built environment in and around a community can affect how a community is viewed and how a community sees itself. Idle textile mills, an overgrown city dump, a former car-repair shop, an 1890s phosphate mine, and the old corner dry-cleaning plant all are examples of Brownfields that can impact a community and its residents.  </w:t>
      </w:r>
    </w:p>
    <w:p w14:paraId="4E8B10E6" w14:textId="77777777" w:rsidR="00FF4962" w:rsidRDefault="00FF4962" w:rsidP="00FF4962"/>
    <w:p w14:paraId="5C7D83BC" w14:textId="33551E9B" w:rsidR="00FF4962" w:rsidRPr="00FF4962" w:rsidRDefault="00FF4962" w:rsidP="00FF4962">
      <w:r w:rsidRPr="00FF4962">
        <w:t>Brownfields are properties that have, or are perceived to have, environmental contamination. Even if contamination is never found, the stigma of a Brownfield site</w:t>
      </w:r>
      <w:r w:rsidR="004C35A5">
        <w:t>s</w:t>
      </w:r>
      <w:r w:rsidRPr="00FF4962">
        <w:t xml:space="preserve"> often extends beyond its boundaries, threatening the stability of entire neighborhoods. Brownfield site often become legal, </w:t>
      </w:r>
      <w:proofErr w:type="gramStart"/>
      <w:r w:rsidRPr="00FF4962">
        <w:t>regulatory</w:t>
      </w:r>
      <w:proofErr w:type="gramEnd"/>
      <w:r w:rsidRPr="00FF4962">
        <w:t xml:space="preserve"> and financial burdens on the community and its taxpayers.</w:t>
      </w:r>
    </w:p>
    <w:p w14:paraId="45A7149B" w14:textId="77777777" w:rsidR="00FF4962" w:rsidRDefault="00FF4962" w:rsidP="00FF4962"/>
    <w:p w14:paraId="5633A9A6" w14:textId="48141644" w:rsidR="00FF4962" w:rsidRPr="00FF4962" w:rsidRDefault="00FF4962" w:rsidP="00FF4962">
      <w:r w:rsidRPr="00FF4962">
        <w:t>Large and small Brownfield sites can be restored to beneficial use under the oversight of the South Carolina Voluntary Cleanup Program.</w:t>
      </w:r>
    </w:p>
    <w:p w14:paraId="170023CB" w14:textId="5D0A7E42" w:rsidR="00FF4962" w:rsidRPr="00FF4962" w:rsidRDefault="00FF4962" w:rsidP="00FF4962">
      <w:r w:rsidRPr="00FF4962">
        <w:lastRenderedPageBreak/>
        <w:t xml:space="preserve">Responsible Parties (RPs) and Non-Responsible Parties (NRPs) may </w:t>
      </w:r>
      <w:proofErr w:type="gramStart"/>
      <w:r w:rsidRPr="00FF4962">
        <w:t>enter into</w:t>
      </w:r>
      <w:proofErr w:type="gramEnd"/>
      <w:r w:rsidRPr="00FF4962">
        <w:t xml:space="preserve"> Voluntary Cleanup Contracts with the South Carolina Department of Health and Environmental Control (DHEC) and agree to perform environmental work tailored to the site and contamination to ensure safe reuse of the property. NRPs can receive liability protection from State Superfund actions and from third-party lawsuits related to the pre-existing contamination.</w:t>
      </w:r>
    </w:p>
    <w:p w14:paraId="48467968" w14:textId="77777777" w:rsidR="00FF4962" w:rsidRDefault="00FF4962" w:rsidP="00FF4962"/>
    <w:p w14:paraId="4D15AC5A" w14:textId="35CE5959" w:rsidR="00FF4962" w:rsidRDefault="00FF4962" w:rsidP="00FF4962">
      <w:pPr>
        <w:rPr>
          <w:b/>
          <w:bCs/>
        </w:rPr>
      </w:pPr>
      <w:r w:rsidRPr="00FF4962">
        <w:t xml:space="preserve">The Voluntary Cleanup Program provides an incentive for reuse and revitalization that can have a long-lasting impact on communities around abandoned, </w:t>
      </w:r>
      <w:proofErr w:type="gramStart"/>
      <w:r w:rsidRPr="00FF4962">
        <w:t>contaminated</w:t>
      </w:r>
      <w:proofErr w:type="gramEnd"/>
      <w:r w:rsidRPr="00FF4962">
        <w:t xml:space="preserve"> or underutilized sites.</w:t>
      </w:r>
    </w:p>
    <w:p w14:paraId="5AF4AA4A" w14:textId="77777777" w:rsidR="00FF4962" w:rsidRDefault="00FF4962" w:rsidP="00FF4962">
      <w:pPr>
        <w:rPr>
          <w:b/>
          <w:bCs/>
        </w:rPr>
      </w:pPr>
    </w:p>
    <w:p w14:paraId="65C0B3E3" w14:textId="77777777" w:rsidR="00421192" w:rsidRPr="00DE76FD" w:rsidRDefault="00421192" w:rsidP="00421192">
      <w:pPr>
        <w:pStyle w:val="Heading4"/>
      </w:pPr>
      <w:bookmarkStart w:id="229" w:name="_Toc154569813"/>
      <w:bookmarkStart w:id="230" w:name="_Toc162267142"/>
      <w:r>
        <w:t>Figure 6.4: Brownfield Areas Read for Beneficial Reuse.</w:t>
      </w:r>
      <w:bookmarkEnd w:id="229"/>
      <w:bookmarkEnd w:id="230"/>
    </w:p>
    <w:tbl>
      <w:tblPr>
        <w:tblStyle w:val="TableGrid"/>
        <w:tblW w:w="0" w:type="auto"/>
        <w:tblLook w:val="04A0" w:firstRow="1" w:lastRow="0" w:firstColumn="1" w:lastColumn="0" w:noHBand="0" w:noVBand="1"/>
      </w:tblPr>
      <w:tblGrid>
        <w:gridCol w:w="3116"/>
        <w:gridCol w:w="3117"/>
        <w:gridCol w:w="3117"/>
      </w:tblGrid>
      <w:tr w:rsidR="00421192" w14:paraId="77F51FAB" w14:textId="77777777" w:rsidTr="001515D5">
        <w:tc>
          <w:tcPr>
            <w:tcW w:w="3116" w:type="dxa"/>
            <w:vAlign w:val="bottom"/>
          </w:tcPr>
          <w:p w14:paraId="2CC1EEBF" w14:textId="77777777" w:rsidR="00421192" w:rsidRDefault="00421192" w:rsidP="001515D5">
            <w:r>
              <w:t>Year</w:t>
            </w:r>
          </w:p>
        </w:tc>
        <w:tc>
          <w:tcPr>
            <w:tcW w:w="3117" w:type="dxa"/>
            <w:vAlign w:val="bottom"/>
          </w:tcPr>
          <w:p w14:paraId="26F0E2B7" w14:textId="77777777" w:rsidR="00421192" w:rsidRDefault="00421192" w:rsidP="001515D5">
            <w:r>
              <w:t>Acres</w:t>
            </w:r>
          </w:p>
        </w:tc>
        <w:tc>
          <w:tcPr>
            <w:tcW w:w="3117" w:type="dxa"/>
            <w:vAlign w:val="bottom"/>
          </w:tcPr>
          <w:p w14:paraId="02364B58" w14:textId="77777777" w:rsidR="00421192" w:rsidRDefault="00421192" w:rsidP="001515D5">
            <w:r>
              <w:t>Cumulative Acres (Thousands)</w:t>
            </w:r>
          </w:p>
        </w:tc>
      </w:tr>
      <w:tr w:rsidR="00421192" w14:paraId="30C3278D" w14:textId="77777777" w:rsidTr="001515D5">
        <w:tc>
          <w:tcPr>
            <w:tcW w:w="3116" w:type="dxa"/>
            <w:vAlign w:val="bottom"/>
          </w:tcPr>
          <w:p w14:paraId="11CCE5E0" w14:textId="77777777" w:rsidR="00421192" w:rsidRDefault="00421192" w:rsidP="001515D5">
            <w:r>
              <w:t>2009</w:t>
            </w:r>
          </w:p>
        </w:tc>
        <w:tc>
          <w:tcPr>
            <w:tcW w:w="3117" w:type="dxa"/>
            <w:vAlign w:val="bottom"/>
          </w:tcPr>
          <w:p w14:paraId="7C9B8B6D" w14:textId="77777777" w:rsidR="00421192" w:rsidRDefault="00421192" w:rsidP="001515D5">
            <w:r>
              <w:t>448</w:t>
            </w:r>
          </w:p>
        </w:tc>
        <w:tc>
          <w:tcPr>
            <w:tcW w:w="3117" w:type="dxa"/>
            <w:vAlign w:val="bottom"/>
          </w:tcPr>
          <w:p w14:paraId="7640D89E" w14:textId="77777777" w:rsidR="00421192" w:rsidRDefault="00421192" w:rsidP="001515D5">
            <w:r>
              <w:t>15313</w:t>
            </w:r>
          </w:p>
        </w:tc>
      </w:tr>
      <w:tr w:rsidR="00421192" w14:paraId="13A9274D" w14:textId="77777777" w:rsidTr="001515D5">
        <w:tc>
          <w:tcPr>
            <w:tcW w:w="3116" w:type="dxa"/>
            <w:vAlign w:val="bottom"/>
          </w:tcPr>
          <w:p w14:paraId="49D11354" w14:textId="77777777" w:rsidR="00421192" w:rsidRDefault="00421192" w:rsidP="001515D5">
            <w:r>
              <w:t>2010</w:t>
            </w:r>
          </w:p>
        </w:tc>
        <w:tc>
          <w:tcPr>
            <w:tcW w:w="3117" w:type="dxa"/>
            <w:vAlign w:val="bottom"/>
          </w:tcPr>
          <w:p w14:paraId="74DF65D0" w14:textId="77777777" w:rsidR="00421192" w:rsidRDefault="00421192" w:rsidP="001515D5">
            <w:r>
              <w:t>787</w:t>
            </w:r>
          </w:p>
        </w:tc>
        <w:tc>
          <w:tcPr>
            <w:tcW w:w="3117" w:type="dxa"/>
            <w:vAlign w:val="bottom"/>
          </w:tcPr>
          <w:p w14:paraId="3951D6C5" w14:textId="77777777" w:rsidR="00421192" w:rsidRDefault="00421192" w:rsidP="001515D5">
            <w:r>
              <w:t>16100</w:t>
            </w:r>
          </w:p>
        </w:tc>
      </w:tr>
      <w:tr w:rsidR="00421192" w14:paraId="44293550" w14:textId="77777777" w:rsidTr="001515D5">
        <w:tc>
          <w:tcPr>
            <w:tcW w:w="3116" w:type="dxa"/>
            <w:vAlign w:val="bottom"/>
          </w:tcPr>
          <w:p w14:paraId="5B555F61" w14:textId="77777777" w:rsidR="00421192" w:rsidRDefault="00421192" w:rsidP="001515D5">
            <w:r>
              <w:t>2011</w:t>
            </w:r>
          </w:p>
        </w:tc>
        <w:tc>
          <w:tcPr>
            <w:tcW w:w="3117" w:type="dxa"/>
            <w:vAlign w:val="bottom"/>
          </w:tcPr>
          <w:p w14:paraId="75390518" w14:textId="77777777" w:rsidR="00421192" w:rsidRDefault="00421192" w:rsidP="001515D5">
            <w:r>
              <w:t>460</w:t>
            </w:r>
          </w:p>
        </w:tc>
        <w:tc>
          <w:tcPr>
            <w:tcW w:w="3117" w:type="dxa"/>
            <w:vAlign w:val="bottom"/>
          </w:tcPr>
          <w:p w14:paraId="27856966" w14:textId="77777777" w:rsidR="00421192" w:rsidRDefault="00421192" w:rsidP="001515D5">
            <w:r>
              <w:t>16560</w:t>
            </w:r>
          </w:p>
        </w:tc>
      </w:tr>
      <w:tr w:rsidR="00421192" w14:paraId="5D476003" w14:textId="77777777" w:rsidTr="001515D5">
        <w:tc>
          <w:tcPr>
            <w:tcW w:w="3116" w:type="dxa"/>
            <w:vAlign w:val="bottom"/>
          </w:tcPr>
          <w:p w14:paraId="7BEF0DEF" w14:textId="77777777" w:rsidR="00421192" w:rsidRDefault="00421192" w:rsidP="001515D5">
            <w:r>
              <w:t>2012</w:t>
            </w:r>
          </w:p>
        </w:tc>
        <w:tc>
          <w:tcPr>
            <w:tcW w:w="3117" w:type="dxa"/>
            <w:vAlign w:val="bottom"/>
          </w:tcPr>
          <w:p w14:paraId="1CF67BCB" w14:textId="77777777" w:rsidR="00421192" w:rsidRDefault="00421192" w:rsidP="001515D5">
            <w:r>
              <w:t>264</w:t>
            </w:r>
          </w:p>
        </w:tc>
        <w:tc>
          <w:tcPr>
            <w:tcW w:w="3117" w:type="dxa"/>
            <w:vAlign w:val="bottom"/>
          </w:tcPr>
          <w:p w14:paraId="36F7D8DD" w14:textId="77777777" w:rsidR="00421192" w:rsidRDefault="00421192" w:rsidP="001515D5">
            <w:r>
              <w:t>16824</w:t>
            </w:r>
          </w:p>
        </w:tc>
      </w:tr>
      <w:tr w:rsidR="00421192" w14:paraId="08AED891" w14:textId="77777777" w:rsidTr="001515D5">
        <w:tc>
          <w:tcPr>
            <w:tcW w:w="3116" w:type="dxa"/>
            <w:vAlign w:val="bottom"/>
          </w:tcPr>
          <w:p w14:paraId="163B491B" w14:textId="77777777" w:rsidR="00421192" w:rsidRDefault="00421192" w:rsidP="001515D5">
            <w:r>
              <w:t>2013</w:t>
            </w:r>
          </w:p>
        </w:tc>
        <w:tc>
          <w:tcPr>
            <w:tcW w:w="3117" w:type="dxa"/>
            <w:vAlign w:val="bottom"/>
          </w:tcPr>
          <w:p w14:paraId="7B704781" w14:textId="77777777" w:rsidR="00421192" w:rsidRDefault="00421192" w:rsidP="001515D5">
            <w:r>
              <w:t>438</w:t>
            </w:r>
          </w:p>
        </w:tc>
        <w:tc>
          <w:tcPr>
            <w:tcW w:w="3117" w:type="dxa"/>
            <w:vAlign w:val="bottom"/>
          </w:tcPr>
          <w:p w14:paraId="1D7410A2" w14:textId="77777777" w:rsidR="00421192" w:rsidRDefault="00421192" w:rsidP="001515D5">
            <w:r>
              <w:t>17262</w:t>
            </w:r>
          </w:p>
        </w:tc>
      </w:tr>
      <w:tr w:rsidR="00421192" w14:paraId="4A4F2163" w14:textId="77777777" w:rsidTr="001515D5">
        <w:tc>
          <w:tcPr>
            <w:tcW w:w="3116" w:type="dxa"/>
            <w:vAlign w:val="bottom"/>
          </w:tcPr>
          <w:p w14:paraId="36B6F19E" w14:textId="77777777" w:rsidR="00421192" w:rsidRDefault="00421192" w:rsidP="001515D5">
            <w:r>
              <w:t>2014</w:t>
            </w:r>
          </w:p>
        </w:tc>
        <w:tc>
          <w:tcPr>
            <w:tcW w:w="3117" w:type="dxa"/>
            <w:vAlign w:val="bottom"/>
          </w:tcPr>
          <w:p w14:paraId="2360040E" w14:textId="77777777" w:rsidR="00421192" w:rsidRDefault="00421192" w:rsidP="001515D5">
            <w:r>
              <w:t>234</w:t>
            </w:r>
          </w:p>
        </w:tc>
        <w:tc>
          <w:tcPr>
            <w:tcW w:w="3117" w:type="dxa"/>
            <w:vAlign w:val="bottom"/>
          </w:tcPr>
          <w:p w14:paraId="358855C4" w14:textId="77777777" w:rsidR="00421192" w:rsidRDefault="00421192" w:rsidP="001515D5">
            <w:r>
              <w:t>17496</w:t>
            </w:r>
          </w:p>
        </w:tc>
      </w:tr>
      <w:tr w:rsidR="00421192" w14:paraId="76D570D6" w14:textId="77777777" w:rsidTr="001515D5">
        <w:tc>
          <w:tcPr>
            <w:tcW w:w="3116" w:type="dxa"/>
            <w:vAlign w:val="bottom"/>
          </w:tcPr>
          <w:p w14:paraId="58C09CFE" w14:textId="77777777" w:rsidR="00421192" w:rsidRDefault="00421192" w:rsidP="001515D5">
            <w:r>
              <w:t>2015</w:t>
            </w:r>
          </w:p>
        </w:tc>
        <w:tc>
          <w:tcPr>
            <w:tcW w:w="3117" w:type="dxa"/>
            <w:vAlign w:val="bottom"/>
          </w:tcPr>
          <w:p w14:paraId="7053A7CB" w14:textId="77777777" w:rsidR="00421192" w:rsidRDefault="00421192" w:rsidP="001515D5">
            <w:r>
              <w:t>610</w:t>
            </w:r>
          </w:p>
        </w:tc>
        <w:tc>
          <w:tcPr>
            <w:tcW w:w="3117" w:type="dxa"/>
            <w:vAlign w:val="bottom"/>
          </w:tcPr>
          <w:p w14:paraId="545909AF" w14:textId="77777777" w:rsidR="00421192" w:rsidRDefault="00421192" w:rsidP="001515D5">
            <w:r>
              <w:t>18106</w:t>
            </w:r>
          </w:p>
        </w:tc>
      </w:tr>
      <w:tr w:rsidR="00421192" w14:paraId="1E294567" w14:textId="77777777" w:rsidTr="001515D5">
        <w:tc>
          <w:tcPr>
            <w:tcW w:w="3116" w:type="dxa"/>
            <w:vAlign w:val="bottom"/>
          </w:tcPr>
          <w:p w14:paraId="7556C204" w14:textId="77777777" w:rsidR="00421192" w:rsidRDefault="00421192" w:rsidP="001515D5">
            <w:r>
              <w:t>2016</w:t>
            </w:r>
          </w:p>
        </w:tc>
        <w:tc>
          <w:tcPr>
            <w:tcW w:w="3117" w:type="dxa"/>
            <w:vAlign w:val="bottom"/>
          </w:tcPr>
          <w:p w14:paraId="1C5E1276" w14:textId="77777777" w:rsidR="00421192" w:rsidRDefault="00421192" w:rsidP="001515D5">
            <w:r>
              <w:t>647</w:t>
            </w:r>
          </w:p>
        </w:tc>
        <w:tc>
          <w:tcPr>
            <w:tcW w:w="3117" w:type="dxa"/>
            <w:vAlign w:val="bottom"/>
          </w:tcPr>
          <w:p w14:paraId="5FF6E7D8" w14:textId="77777777" w:rsidR="00421192" w:rsidRDefault="00421192" w:rsidP="001515D5">
            <w:r>
              <w:t>18753</w:t>
            </w:r>
          </w:p>
        </w:tc>
      </w:tr>
      <w:tr w:rsidR="00421192" w14:paraId="0E5DB417" w14:textId="77777777" w:rsidTr="001515D5">
        <w:tc>
          <w:tcPr>
            <w:tcW w:w="3116" w:type="dxa"/>
            <w:vAlign w:val="bottom"/>
          </w:tcPr>
          <w:p w14:paraId="30584487" w14:textId="77777777" w:rsidR="00421192" w:rsidRDefault="00421192" w:rsidP="001515D5">
            <w:r>
              <w:t>2017</w:t>
            </w:r>
          </w:p>
        </w:tc>
        <w:tc>
          <w:tcPr>
            <w:tcW w:w="3117" w:type="dxa"/>
            <w:vAlign w:val="bottom"/>
          </w:tcPr>
          <w:p w14:paraId="4549CD27" w14:textId="77777777" w:rsidR="00421192" w:rsidRDefault="00421192" w:rsidP="001515D5">
            <w:r>
              <w:t>169</w:t>
            </w:r>
          </w:p>
        </w:tc>
        <w:tc>
          <w:tcPr>
            <w:tcW w:w="3117" w:type="dxa"/>
            <w:vAlign w:val="bottom"/>
          </w:tcPr>
          <w:p w14:paraId="3B503067" w14:textId="77777777" w:rsidR="00421192" w:rsidRDefault="00421192" w:rsidP="001515D5">
            <w:r>
              <w:t>18922</w:t>
            </w:r>
          </w:p>
        </w:tc>
      </w:tr>
      <w:tr w:rsidR="00421192" w14:paraId="40480F1F" w14:textId="77777777" w:rsidTr="001515D5">
        <w:tc>
          <w:tcPr>
            <w:tcW w:w="3116" w:type="dxa"/>
            <w:vAlign w:val="bottom"/>
          </w:tcPr>
          <w:p w14:paraId="3BD29393" w14:textId="77777777" w:rsidR="00421192" w:rsidRDefault="00421192" w:rsidP="001515D5">
            <w:r>
              <w:t>2018</w:t>
            </w:r>
          </w:p>
        </w:tc>
        <w:tc>
          <w:tcPr>
            <w:tcW w:w="3117" w:type="dxa"/>
            <w:vAlign w:val="bottom"/>
          </w:tcPr>
          <w:p w14:paraId="1874313E" w14:textId="77777777" w:rsidR="00421192" w:rsidRDefault="00421192" w:rsidP="001515D5">
            <w:r>
              <w:t>799</w:t>
            </w:r>
          </w:p>
        </w:tc>
        <w:tc>
          <w:tcPr>
            <w:tcW w:w="3117" w:type="dxa"/>
            <w:vAlign w:val="bottom"/>
          </w:tcPr>
          <w:p w14:paraId="3C91CBE6" w14:textId="77777777" w:rsidR="00421192" w:rsidRDefault="00421192" w:rsidP="001515D5">
            <w:r>
              <w:t>19721</w:t>
            </w:r>
          </w:p>
        </w:tc>
      </w:tr>
      <w:tr w:rsidR="00421192" w14:paraId="603406E1" w14:textId="77777777" w:rsidTr="001515D5">
        <w:tc>
          <w:tcPr>
            <w:tcW w:w="3116" w:type="dxa"/>
            <w:vAlign w:val="bottom"/>
          </w:tcPr>
          <w:p w14:paraId="2778E690" w14:textId="77777777" w:rsidR="00421192" w:rsidRDefault="00421192" w:rsidP="001515D5">
            <w:r>
              <w:t>2019</w:t>
            </w:r>
          </w:p>
        </w:tc>
        <w:tc>
          <w:tcPr>
            <w:tcW w:w="3117" w:type="dxa"/>
            <w:vAlign w:val="bottom"/>
          </w:tcPr>
          <w:p w14:paraId="6431F508" w14:textId="77777777" w:rsidR="00421192" w:rsidRDefault="00421192" w:rsidP="001515D5">
            <w:r>
              <w:t>279</w:t>
            </w:r>
          </w:p>
        </w:tc>
        <w:tc>
          <w:tcPr>
            <w:tcW w:w="3117" w:type="dxa"/>
            <w:vAlign w:val="bottom"/>
          </w:tcPr>
          <w:p w14:paraId="6B922220" w14:textId="77777777" w:rsidR="00421192" w:rsidRDefault="00421192" w:rsidP="001515D5">
            <w:r>
              <w:t>20000</w:t>
            </w:r>
          </w:p>
        </w:tc>
      </w:tr>
      <w:tr w:rsidR="00421192" w14:paraId="79240961" w14:textId="77777777" w:rsidTr="001515D5">
        <w:tc>
          <w:tcPr>
            <w:tcW w:w="3116" w:type="dxa"/>
            <w:vAlign w:val="bottom"/>
          </w:tcPr>
          <w:p w14:paraId="46F8DD19" w14:textId="77777777" w:rsidR="00421192" w:rsidRDefault="00421192" w:rsidP="001515D5">
            <w:r>
              <w:t>2020</w:t>
            </w:r>
          </w:p>
        </w:tc>
        <w:tc>
          <w:tcPr>
            <w:tcW w:w="3117" w:type="dxa"/>
            <w:vAlign w:val="bottom"/>
          </w:tcPr>
          <w:p w14:paraId="5446EF7B" w14:textId="77777777" w:rsidR="00421192" w:rsidRDefault="00421192" w:rsidP="001515D5">
            <w:r>
              <w:t>289</w:t>
            </w:r>
          </w:p>
        </w:tc>
        <w:tc>
          <w:tcPr>
            <w:tcW w:w="3117" w:type="dxa"/>
            <w:vAlign w:val="bottom"/>
          </w:tcPr>
          <w:p w14:paraId="405E3500" w14:textId="77777777" w:rsidR="00421192" w:rsidRDefault="00421192" w:rsidP="001515D5">
            <w:r>
              <w:t>20289</w:t>
            </w:r>
          </w:p>
        </w:tc>
      </w:tr>
    </w:tbl>
    <w:p w14:paraId="7688B9E8" w14:textId="012C30A0" w:rsidR="00421192" w:rsidRDefault="00421192" w:rsidP="00421192">
      <w:r w:rsidRPr="001C42F5">
        <w:t>Source: SC DHEC Brownfields/Voluntary Cleanup Program.</w:t>
      </w:r>
    </w:p>
    <w:p w14:paraId="16416D2D" w14:textId="77777777" w:rsidR="00FF4962" w:rsidRDefault="00FF4962" w:rsidP="00FF4962">
      <w:pPr>
        <w:pStyle w:val="Heading4"/>
      </w:pPr>
    </w:p>
    <w:p w14:paraId="7082A2A1" w14:textId="58F05032" w:rsidR="00FF4962" w:rsidRDefault="00FF4962" w:rsidP="00FF4962">
      <w:pPr>
        <w:pStyle w:val="Heading4"/>
      </w:pPr>
      <w:bookmarkStart w:id="231" w:name="_Toc162267143"/>
      <w:r w:rsidRPr="00FF4962">
        <w:t>Data Interpretations:</w:t>
      </w:r>
      <w:bookmarkEnd w:id="231"/>
      <w:r w:rsidRPr="00FF4962">
        <w:t xml:space="preserve"> </w:t>
      </w:r>
    </w:p>
    <w:p w14:paraId="6B54D7F6" w14:textId="58629E03" w:rsidR="00FF4962" w:rsidRPr="00FF4962" w:rsidRDefault="00FF4962" w:rsidP="00FF4962">
      <w:r w:rsidRPr="00FF4962">
        <w:t xml:space="preserve">Since the Comprehensive Environmental Response, Compensation, and Liability Act (CERCLA), also known as Superfund, was amended in 2002, more than 20,000 </w:t>
      </w:r>
      <w:r w:rsidR="004C35A5">
        <w:t>a</w:t>
      </w:r>
      <w:r w:rsidRPr="00FF4962">
        <w:t>cres of Brownfields in SC have been restored to beneficial use in the state (</w:t>
      </w:r>
      <w:r w:rsidRPr="00FF4962">
        <w:rPr>
          <w:b/>
          <w:bCs/>
        </w:rPr>
        <w:t xml:space="preserve">Figure 6.4). </w:t>
      </w:r>
      <w:r w:rsidRPr="00FF4962">
        <w:t>The line in the graph represents cumulative acreage gained since 2002.</w:t>
      </w:r>
    </w:p>
    <w:p w14:paraId="639D234A" w14:textId="77777777" w:rsidR="00FF4962" w:rsidRDefault="00FF4962" w:rsidP="00FF4962"/>
    <w:p w14:paraId="0112BEDA" w14:textId="4DC6CC00" w:rsidR="00FF4962" w:rsidRDefault="00FF4962" w:rsidP="00FF4962">
      <w:pPr>
        <w:pStyle w:val="Heading5"/>
      </w:pPr>
      <w:r>
        <w:lastRenderedPageBreak/>
        <w:t xml:space="preserve">Key Takeaways: </w:t>
      </w:r>
    </w:p>
    <w:p w14:paraId="58484D6B" w14:textId="77777777" w:rsidR="00FF4962" w:rsidRPr="00FF4962" w:rsidRDefault="00FF4962" w:rsidP="00926EB3">
      <w:pPr>
        <w:pStyle w:val="ListParagraph"/>
        <w:numPr>
          <w:ilvl w:val="0"/>
          <w:numId w:val="212"/>
        </w:numPr>
      </w:pPr>
      <w:r w:rsidRPr="00FF4962">
        <w:t xml:space="preserve">The health of a community is impacted by the physical conditions of local properties and the perceptions they create.  Abandoned, </w:t>
      </w:r>
      <w:proofErr w:type="gramStart"/>
      <w:r w:rsidRPr="00FF4962">
        <w:t>blighted</w:t>
      </w:r>
      <w:proofErr w:type="gramEnd"/>
      <w:r w:rsidRPr="00FF4962">
        <w:t xml:space="preserve"> and potentially contaminated sites can be – and have been – tested, cleaned and revitalized to the benefit of the community with the assistance of the Voluntary Cleanup Program.</w:t>
      </w:r>
    </w:p>
    <w:p w14:paraId="616C8304" w14:textId="77777777" w:rsidR="00FF4962" w:rsidRPr="00FF4962" w:rsidRDefault="00FF4962" w:rsidP="00FF4962"/>
    <w:p w14:paraId="1A6AE152" w14:textId="64682FD0" w:rsidR="00722CE9" w:rsidRPr="00270B2E" w:rsidRDefault="00722CE9" w:rsidP="00FF4962">
      <w:pPr>
        <w:rPr>
          <w:rStyle w:val="Heading4Char"/>
          <w:rFonts w:asciiTheme="minorHAnsi" w:hAnsiTheme="minorHAnsi" w:cstheme="minorHAnsi"/>
          <w:color w:val="000000" w:themeColor="text1"/>
        </w:rPr>
      </w:pPr>
      <w:bookmarkStart w:id="232" w:name="_Toc162267144"/>
      <w:r w:rsidRPr="00270B2E">
        <w:rPr>
          <w:rStyle w:val="Heading4Char"/>
          <w:rFonts w:asciiTheme="minorHAnsi" w:hAnsiTheme="minorHAnsi" w:cstheme="minorHAnsi"/>
          <w:color w:val="000000" w:themeColor="text1"/>
        </w:rPr>
        <w:t xml:space="preserve">References </w:t>
      </w:r>
      <w:r w:rsidR="00FF4962" w:rsidRPr="00270B2E">
        <w:rPr>
          <w:rStyle w:val="Heading4Char"/>
          <w:rFonts w:asciiTheme="minorHAnsi" w:hAnsiTheme="minorHAnsi" w:cstheme="minorHAnsi"/>
          <w:color w:val="000000" w:themeColor="text1"/>
        </w:rPr>
        <w:t>6.2</w:t>
      </w:r>
      <w:bookmarkEnd w:id="232"/>
      <w:r w:rsidR="00FF4962" w:rsidRPr="00270B2E">
        <w:rPr>
          <w:rStyle w:val="Heading4Char"/>
          <w:rFonts w:asciiTheme="minorHAnsi" w:hAnsiTheme="minorHAnsi" w:cstheme="minorHAnsi"/>
          <w:color w:val="000000" w:themeColor="text1"/>
        </w:rPr>
        <w:t xml:space="preserve"> </w:t>
      </w:r>
    </w:p>
    <w:p w14:paraId="1152CB20" w14:textId="331C52B4" w:rsidR="00FF4962" w:rsidRDefault="00FF4962" w:rsidP="00FF4962">
      <w:r w:rsidRPr="00722CE9">
        <w:t>Statistics in the preceding</w:t>
      </w:r>
      <w:r>
        <w:t xml:space="preserve"> section</w:t>
      </w:r>
      <w:r w:rsidRPr="00722CE9">
        <w:t xml:space="preserve"> were referenced from the following reports:</w:t>
      </w:r>
    </w:p>
    <w:p w14:paraId="00A0E4D9" w14:textId="4D72D908" w:rsidR="00F73294" w:rsidRPr="00F73294" w:rsidRDefault="00000000" w:rsidP="00926EB3">
      <w:pPr>
        <w:pStyle w:val="ListParagraph"/>
        <w:numPr>
          <w:ilvl w:val="0"/>
          <w:numId w:val="27"/>
        </w:numPr>
      </w:pPr>
      <w:hyperlink r:id="rId135" w:history="1">
        <w:r w:rsidR="00F73294" w:rsidRPr="00F73294">
          <w:rPr>
            <w:rStyle w:val="Hyperlink"/>
          </w:rPr>
          <w:t>“Brownfields Basics” by the Environmental Law Institute. Published on www.eli.org.</w:t>
        </w:r>
      </w:hyperlink>
      <w:r w:rsidR="00F73294" w:rsidRPr="00F73294">
        <w:t xml:space="preserve"> </w:t>
      </w:r>
    </w:p>
    <w:p w14:paraId="37781C32" w14:textId="0C044350" w:rsidR="00F73294" w:rsidRPr="00F73294" w:rsidRDefault="00000000" w:rsidP="00926EB3">
      <w:pPr>
        <w:pStyle w:val="ListParagraph"/>
        <w:numPr>
          <w:ilvl w:val="0"/>
          <w:numId w:val="27"/>
        </w:numPr>
      </w:pPr>
      <w:hyperlink r:id="rId136" w:history="1">
        <w:r w:rsidR="00F73294" w:rsidRPr="00F73294">
          <w:rPr>
            <w:rStyle w:val="Hyperlink"/>
          </w:rPr>
          <w:t>“Brownfields Basics” published by Indiana State Government, 2009. Retrieved July 13, 2023.</w:t>
        </w:r>
      </w:hyperlink>
      <w:r w:rsidR="00F73294" w:rsidRPr="00F73294">
        <w:t xml:space="preserve"> </w:t>
      </w:r>
    </w:p>
    <w:p w14:paraId="15DE68F5" w14:textId="07F9D7D0" w:rsidR="00F73294" w:rsidRPr="00F73294" w:rsidRDefault="00000000" w:rsidP="00926EB3">
      <w:pPr>
        <w:pStyle w:val="ListParagraph"/>
        <w:numPr>
          <w:ilvl w:val="0"/>
          <w:numId w:val="27"/>
        </w:numPr>
      </w:pPr>
      <w:hyperlink r:id="rId137" w:history="1">
        <w:r w:rsidR="00F73294" w:rsidRPr="00F73294">
          <w:rPr>
            <w:rStyle w:val="Hyperlink"/>
          </w:rPr>
          <w:t>“Brownfields/Voluntary Cleanup Program &amp; Loan Fund” by SCDHEC. Retrieved July 13, 2023.</w:t>
        </w:r>
      </w:hyperlink>
      <w:r w:rsidR="00F73294">
        <w:t xml:space="preserve"> </w:t>
      </w:r>
      <w:r w:rsidR="00F73294" w:rsidRPr="00F73294">
        <w:t xml:space="preserve"> </w:t>
      </w:r>
    </w:p>
    <w:p w14:paraId="14B73EC3" w14:textId="77777777" w:rsidR="00FF4962" w:rsidRDefault="00FF4962" w:rsidP="00FF4962"/>
    <w:p w14:paraId="0442F999" w14:textId="7867743F" w:rsidR="00FF4962" w:rsidRDefault="00FF4962" w:rsidP="00FF4962">
      <w:pPr>
        <w:pStyle w:val="Heading3"/>
      </w:pPr>
      <w:bookmarkStart w:id="233" w:name="_Toc162267145"/>
      <w:r>
        <w:t>Crime</w:t>
      </w:r>
      <w:bookmarkEnd w:id="233"/>
    </w:p>
    <w:p w14:paraId="3FDE78B4" w14:textId="7ED420F5" w:rsidR="00FF4962" w:rsidRPr="00FF4962" w:rsidRDefault="00FF4962" w:rsidP="00FF4962">
      <w:r w:rsidRPr="00FF4962">
        <w:t>A safe and healthy community is often described as one where people know and trust their neighbors and have access to critical government services. Unfortunately, not every community and neighborhood has the same level of safety and resilience. It has been well</w:t>
      </w:r>
      <w:r w:rsidR="004C35A5">
        <w:t>-</w:t>
      </w:r>
      <w:r w:rsidRPr="00FF4962">
        <w:t xml:space="preserve">documented that people exposed to violent crime see a variety of negative health effects, including increased risk for asthma, hypertension, cancer, </w:t>
      </w:r>
      <w:proofErr w:type="gramStart"/>
      <w:r w:rsidRPr="00FF4962">
        <w:t>stroke</w:t>
      </w:r>
      <w:proofErr w:type="gramEnd"/>
      <w:r w:rsidRPr="00FF4962">
        <w:t xml:space="preserve"> and mental disorders. Even people who are not directly impacted by the violence but live in areas of violence can experience long-lasting health effects including high blood pressure and increased potential for obesity, increasing the risk for cardiovascular disease. High neighborhood crime has also been associated with increased odds for adverse pregnancy outcomes. Higher violent crime rates in communities have also been shown to be related to reduced use of parks and lower physical activity levels. People living in areas with poor neighborhood safety and higher crime rates were also seen to have fewer large grocers, </w:t>
      </w:r>
      <w:proofErr w:type="gramStart"/>
      <w:r w:rsidRPr="00FF4962">
        <w:t>pharmacies</w:t>
      </w:r>
      <w:proofErr w:type="gramEnd"/>
      <w:r w:rsidRPr="00FF4962">
        <w:t xml:space="preserve"> and fitness resources within one mile of their home and lower health care use rates. Population groups do experience varying rates of crime, with lower-income and Black residents seeing higher rates. National estimates calculating the cost of crime see estimates upward of $3.9 trillion, </w:t>
      </w:r>
      <w:proofErr w:type="gramStart"/>
      <w:r w:rsidRPr="00FF4962">
        <w:t>similar to</w:t>
      </w:r>
      <w:proofErr w:type="gramEnd"/>
      <w:r w:rsidRPr="00FF4962">
        <w:t xml:space="preserve"> the total amount spent on health care ($3.8 trillion). Addressing exposure to crime in neighborhoods is necessary in reducing negative outcomes to individuals while increasing community health and well-being. </w:t>
      </w:r>
    </w:p>
    <w:p w14:paraId="3D3760F7" w14:textId="77777777" w:rsidR="00FF4962" w:rsidRDefault="00FF4962" w:rsidP="00FF4962"/>
    <w:p w14:paraId="29E8AD27" w14:textId="77777777" w:rsidR="00421192" w:rsidRDefault="00421192" w:rsidP="00421192">
      <w:pPr>
        <w:pStyle w:val="Heading4"/>
      </w:pPr>
      <w:bookmarkStart w:id="234" w:name="_Toc154569814"/>
      <w:bookmarkStart w:id="235" w:name="_Toc162267146"/>
      <w:r>
        <w:t>Figure 6.5: Crime in South Carolina.</w:t>
      </w:r>
      <w:bookmarkEnd w:id="234"/>
      <w:bookmarkEnd w:id="235"/>
    </w:p>
    <w:p w14:paraId="5E477E58" w14:textId="77777777" w:rsidR="00421192" w:rsidRDefault="00421192" w:rsidP="00421192">
      <w:pPr>
        <w:pStyle w:val="Heading5"/>
      </w:pPr>
      <w:r>
        <w:t>Rate per 10,000 population.</w:t>
      </w:r>
    </w:p>
    <w:tbl>
      <w:tblPr>
        <w:tblStyle w:val="TableGrid"/>
        <w:tblW w:w="0" w:type="auto"/>
        <w:tblLook w:val="04A0" w:firstRow="1" w:lastRow="0" w:firstColumn="1" w:lastColumn="0" w:noHBand="0" w:noVBand="1"/>
      </w:tblPr>
      <w:tblGrid>
        <w:gridCol w:w="3116"/>
        <w:gridCol w:w="3117"/>
        <w:gridCol w:w="3117"/>
      </w:tblGrid>
      <w:tr w:rsidR="00421192" w14:paraId="12BC6BF9" w14:textId="77777777" w:rsidTr="001515D5">
        <w:tc>
          <w:tcPr>
            <w:tcW w:w="3116" w:type="dxa"/>
            <w:vAlign w:val="bottom"/>
          </w:tcPr>
          <w:p w14:paraId="77C6D340" w14:textId="77777777" w:rsidR="00421192" w:rsidRDefault="00421192" w:rsidP="001515D5">
            <w:r>
              <w:t>Year</w:t>
            </w:r>
          </w:p>
        </w:tc>
        <w:tc>
          <w:tcPr>
            <w:tcW w:w="3117" w:type="dxa"/>
            <w:vAlign w:val="bottom"/>
          </w:tcPr>
          <w:p w14:paraId="21A343ED" w14:textId="77777777" w:rsidR="00421192" w:rsidRDefault="00421192" w:rsidP="001515D5">
            <w:r>
              <w:t>Property Crime</w:t>
            </w:r>
          </w:p>
        </w:tc>
        <w:tc>
          <w:tcPr>
            <w:tcW w:w="3117" w:type="dxa"/>
            <w:vAlign w:val="bottom"/>
          </w:tcPr>
          <w:p w14:paraId="0F719060" w14:textId="77777777" w:rsidR="00421192" w:rsidRDefault="00421192" w:rsidP="001515D5">
            <w:r>
              <w:t>Violent Crime</w:t>
            </w:r>
          </w:p>
        </w:tc>
      </w:tr>
      <w:tr w:rsidR="00421192" w14:paraId="12B12CDA" w14:textId="77777777" w:rsidTr="001515D5">
        <w:tc>
          <w:tcPr>
            <w:tcW w:w="3116" w:type="dxa"/>
            <w:vAlign w:val="bottom"/>
          </w:tcPr>
          <w:p w14:paraId="6186F2AA" w14:textId="77777777" w:rsidR="00421192" w:rsidRDefault="00421192" w:rsidP="001515D5">
            <w:r>
              <w:t>2012</w:t>
            </w:r>
          </w:p>
        </w:tc>
        <w:tc>
          <w:tcPr>
            <w:tcW w:w="3117" w:type="dxa"/>
            <w:vAlign w:val="bottom"/>
          </w:tcPr>
          <w:p w14:paraId="11186157" w14:textId="77777777" w:rsidR="00421192" w:rsidRDefault="00421192" w:rsidP="001515D5">
            <w:r>
              <w:t>392.6</w:t>
            </w:r>
          </w:p>
        </w:tc>
        <w:tc>
          <w:tcPr>
            <w:tcW w:w="3117" w:type="dxa"/>
            <w:vAlign w:val="bottom"/>
          </w:tcPr>
          <w:p w14:paraId="6F5B0A90" w14:textId="77777777" w:rsidR="00421192" w:rsidRDefault="00421192" w:rsidP="001515D5">
            <w:r>
              <w:t>57.8</w:t>
            </w:r>
          </w:p>
        </w:tc>
      </w:tr>
      <w:tr w:rsidR="00421192" w14:paraId="4B6465DD" w14:textId="77777777" w:rsidTr="001515D5">
        <w:tc>
          <w:tcPr>
            <w:tcW w:w="3116" w:type="dxa"/>
            <w:vAlign w:val="bottom"/>
          </w:tcPr>
          <w:p w14:paraId="3212684F" w14:textId="77777777" w:rsidR="00421192" w:rsidRDefault="00421192" w:rsidP="001515D5">
            <w:r>
              <w:t>2013</w:t>
            </w:r>
          </w:p>
        </w:tc>
        <w:tc>
          <w:tcPr>
            <w:tcW w:w="3117" w:type="dxa"/>
            <w:vAlign w:val="bottom"/>
          </w:tcPr>
          <w:p w14:paraId="0738729F" w14:textId="77777777" w:rsidR="00421192" w:rsidRDefault="00421192" w:rsidP="001515D5">
            <w:r>
              <w:t>370.5</w:t>
            </w:r>
          </w:p>
        </w:tc>
        <w:tc>
          <w:tcPr>
            <w:tcW w:w="3117" w:type="dxa"/>
            <w:vAlign w:val="bottom"/>
          </w:tcPr>
          <w:p w14:paraId="1B920206" w14:textId="77777777" w:rsidR="00421192" w:rsidRDefault="00421192" w:rsidP="001515D5">
            <w:r>
              <w:t>50.8</w:t>
            </w:r>
          </w:p>
        </w:tc>
      </w:tr>
      <w:tr w:rsidR="00421192" w14:paraId="5E91A198" w14:textId="77777777" w:rsidTr="001515D5">
        <w:tc>
          <w:tcPr>
            <w:tcW w:w="3116" w:type="dxa"/>
            <w:vAlign w:val="bottom"/>
          </w:tcPr>
          <w:p w14:paraId="65A4A646" w14:textId="77777777" w:rsidR="00421192" w:rsidRDefault="00421192" w:rsidP="001515D5">
            <w:r>
              <w:t>2014</w:t>
            </w:r>
          </w:p>
        </w:tc>
        <w:tc>
          <w:tcPr>
            <w:tcW w:w="3117" w:type="dxa"/>
            <w:vAlign w:val="bottom"/>
          </w:tcPr>
          <w:p w14:paraId="788BC735" w14:textId="77777777" w:rsidR="00421192" w:rsidRDefault="00421192" w:rsidP="001515D5">
            <w:r>
              <w:t>351.7</w:t>
            </w:r>
          </w:p>
        </w:tc>
        <w:tc>
          <w:tcPr>
            <w:tcW w:w="3117" w:type="dxa"/>
            <w:vAlign w:val="bottom"/>
          </w:tcPr>
          <w:p w14:paraId="25663F28" w14:textId="77777777" w:rsidR="00421192" w:rsidRDefault="00421192" w:rsidP="001515D5">
            <w:r>
              <w:t>49.8</w:t>
            </w:r>
          </w:p>
        </w:tc>
      </w:tr>
      <w:tr w:rsidR="00421192" w14:paraId="12F01953" w14:textId="77777777" w:rsidTr="001515D5">
        <w:tc>
          <w:tcPr>
            <w:tcW w:w="3116" w:type="dxa"/>
            <w:vAlign w:val="bottom"/>
          </w:tcPr>
          <w:p w14:paraId="13F129AD" w14:textId="77777777" w:rsidR="00421192" w:rsidRDefault="00421192" w:rsidP="001515D5">
            <w:r>
              <w:t>2015</w:t>
            </w:r>
          </w:p>
        </w:tc>
        <w:tc>
          <w:tcPr>
            <w:tcW w:w="3117" w:type="dxa"/>
            <w:vAlign w:val="bottom"/>
          </w:tcPr>
          <w:p w14:paraId="25D88314" w14:textId="77777777" w:rsidR="00421192" w:rsidRDefault="00421192" w:rsidP="001515D5">
            <w:r>
              <w:t>339</w:t>
            </w:r>
          </w:p>
        </w:tc>
        <w:tc>
          <w:tcPr>
            <w:tcW w:w="3117" w:type="dxa"/>
            <w:vAlign w:val="bottom"/>
          </w:tcPr>
          <w:p w14:paraId="7E2956B3" w14:textId="77777777" w:rsidR="00421192" w:rsidRDefault="00421192" w:rsidP="001515D5">
            <w:r>
              <w:t>50.2</w:t>
            </w:r>
          </w:p>
        </w:tc>
      </w:tr>
      <w:tr w:rsidR="00421192" w14:paraId="494848FF" w14:textId="77777777" w:rsidTr="001515D5">
        <w:tc>
          <w:tcPr>
            <w:tcW w:w="3116" w:type="dxa"/>
            <w:vAlign w:val="bottom"/>
          </w:tcPr>
          <w:p w14:paraId="20084837" w14:textId="77777777" w:rsidR="00421192" w:rsidRDefault="00421192" w:rsidP="001515D5">
            <w:r>
              <w:t>2016</w:t>
            </w:r>
          </w:p>
        </w:tc>
        <w:tc>
          <w:tcPr>
            <w:tcW w:w="3117" w:type="dxa"/>
            <w:vAlign w:val="bottom"/>
          </w:tcPr>
          <w:p w14:paraId="78C72F42" w14:textId="77777777" w:rsidR="00421192" w:rsidRDefault="00421192" w:rsidP="001515D5">
            <w:r>
              <w:t>332.9</w:t>
            </w:r>
          </w:p>
        </w:tc>
        <w:tc>
          <w:tcPr>
            <w:tcW w:w="3117" w:type="dxa"/>
            <w:vAlign w:val="bottom"/>
          </w:tcPr>
          <w:p w14:paraId="0C6CE98C" w14:textId="77777777" w:rsidR="00421192" w:rsidRDefault="00421192" w:rsidP="001515D5">
            <w:r>
              <w:t>51.4</w:t>
            </w:r>
          </w:p>
        </w:tc>
      </w:tr>
      <w:tr w:rsidR="00421192" w14:paraId="20F6B8DC" w14:textId="77777777" w:rsidTr="001515D5">
        <w:tc>
          <w:tcPr>
            <w:tcW w:w="3116" w:type="dxa"/>
            <w:vAlign w:val="bottom"/>
          </w:tcPr>
          <w:p w14:paraId="75252DC2" w14:textId="77777777" w:rsidR="00421192" w:rsidRDefault="00421192" w:rsidP="001515D5">
            <w:r>
              <w:t>2017</w:t>
            </w:r>
          </w:p>
        </w:tc>
        <w:tc>
          <w:tcPr>
            <w:tcW w:w="3117" w:type="dxa"/>
            <w:vAlign w:val="bottom"/>
          </w:tcPr>
          <w:p w14:paraId="2E59647D" w14:textId="77777777" w:rsidR="00421192" w:rsidRDefault="00421192" w:rsidP="001515D5">
            <w:r>
              <w:t>326.8</w:t>
            </w:r>
          </w:p>
        </w:tc>
        <w:tc>
          <w:tcPr>
            <w:tcW w:w="3117" w:type="dxa"/>
            <w:vAlign w:val="bottom"/>
          </w:tcPr>
          <w:p w14:paraId="3670D060" w14:textId="77777777" w:rsidR="00421192" w:rsidRDefault="00421192" w:rsidP="001515D5">
            <w:r>
              <w:t>52.1</w:t>
            </w:r>
          </w:p>
        </w:tc>
      </w:tr>
      <w:tr w:rsidR="00421192" w14:paraId="14102052" w14:textId="77777777" w:rsidTr="001515D5">
        <w:tc>
          <w:tcPr>
            <w:tcW w:w="3116" w:type="dxa"/>
            <w:vAlign w:val="bottom"/>
          </w:tcPr>
          <w:p w14:paraId="341E9C6D" w14:textId="77777777" w:rsidR="00421192" w:rsidRDefault="00421192" w:rsidP="001515D5">
            <w:r>
              <w:t>2018</w:t>
            </w:r>
          </w:p>
        </w:tc>
        <w:tc>
          <w:tcPr>
            <w:tcW w:w="3117" w:type="dxa"/>
            <w:vAlign w:val="bottom"/>
          </w:tcPr>
          <w:p w14:paraId="1563C689" w14:textId="77777777" w:rsidR="00421192" w:rsidRDefault="00421192" w:rsidP="001515D5">
            <w:r>
              <w:t>313.8</w:t>
            </w:r>
          </w:p>
        </w:tc>
        <w:tc>
          <w:tcPr>
            <w:tcW w:w="3117" w:type="dxa"/>
            <w:vAlign w:val="bottom"/>
          </w:tcPr>
          <w:p w14:paraId="2FC42D71" w14:textId="77777777" w:rsidR="00421192" w:rsidRDefault="00421192" w:rsidP="001515D5">
            <w:r>
              <w:t>51.2</w:t>
            </w:r>
          </w:p>
        </w:tc>
      </w:tr>
      <w:tr w:rsidR="00421192" w14:paraId="02710B18" w14:textId="77777777" w:rsidTr="001515D5">
        <w:tc>
          <w:tcPr>
            <w:tcW w:w="3116" w:type="dxa"/>
            <w:vAlign w:val="bottom"/>
          </w:tcPr>
          <w:p w14:paraId="49B49C37" w14:textId="77777777" w:rsidR="00421192" w:rsidRDefault="00421192" w:rsidP="001515D5">
            <w:r>
              <w:t>2019</w:t>
            </w:r>
          </w:p>
        </w:tc>
        <w:tc>
          <w:tcPr>
            <w:tcW w:w="3117" w:type="dxa"/>
            <w:vAlign w:val="bottom"/>
          </w:tcPr>
          <w:p w14:paraId="30D9CD30" w14:textId="77777777" w:rsidR="00421192" w:rsidRDefault="00421192" w:rsidP="001515D5">
            <w:r>
              <w:t>298.5</w:t>
            </w:r>
          </w:p>
        </w:tc>
        <w:tc>
          <w:tcPr>
            <w:tcW w:w="3117" w:type="dxa"/>
            <w:vAlign w:val="bottom"/>
          </w:tcPr>
          <w:p w14:paraId="2EA170CC" w14:textId="77777777" w:rsidR="00421192" w:rsidRDefault="00421192" w:rsidP="001515D5">
            <w:r>
              <w:t>51.9</w:t>
            </w:r>
          </w:p>
        </w:tc>
      </w:tr>
      <w:tr w:rsidR="00421192" w14:paraId="10E0135C" w14:textId="77777777" w:rsidTr="001515D5">
        <w:tc>
          <w:tcPr>
            <w:tcW w:w="3116" w:type="dxa"/>
            <w:vAlign w:val="bottom"/>
          </w:tcPr>
          <w:p w14:paraId="45C3480C" w14:textId="77777777" w:rsidR="00421192" w:rsidRDefault="00421192" w:rsidP="001515D5">
            <w:r>
              <w:t>2020</w:t>
            </w:r>
          </w:p>
        </w:tc>
        <w:tc>
          <w:tcPr>
            <w:tcW w:w="3117" w:type="dxa"/>
            <w:vAlign w:val="bottom"/>
          </w:tcPr>
          <w:p w14:paraId="6FAFD444" w14:textId="77777777" w:rsidR="00421192" w:rsidRDefault="00421192" w:rsidP="001515D5">
            <w:r>
              <w:t>283.8</w:t>
            </w:r>
          </w:p>
        </w:tc>
        <w:tc>
          <w:tcPr>
            <w:tcW w:w="3117" w:type="dxa"/>
            <w:vAlign w:val="bottom"/>
          </w:tcPr>
          <w:p w14:paraId="476F38BA" w14:textId="77777777" w:rsidR="00421192" w:rsidRDefault="00421192" w:rsidP="001515D5">
            <w:r>
              <w:t>55.4</w:t>
            </w:r>
          </w:p>
        </w:tc>
      </w:tr>
      <w:tr w:rsidR="00421192" w14:paraId="743C83E2" w14:textId="77777777" w:rsidTr="001515D5">
        <w:tc>
          <w:tcPr>
            <w:tcW w:w="3116" w:type="dxa"/>
            <w:vAlign w:val="bottom"/>
          </w:tcPr>
          <w:p w14:paraId="7F537773" w14:textId="77777777" w:rsidR="00421192" w:rsidRDefault="00421192" w:rsidP="001515D5">
            <w:r>
              <w:t>2021</w:t>
            </w:r>
          </w:p>
        </w:tc>
        <w:tc>
          <w:tcPr>
            <w:tcW w:w="3117" w:type="dxa"/>
            <w:vAlign w:val="bottom"/>
          </w:tcPr>
          <w:p w14:paraId="401A7E79" w14:textId="77777777" w:rsidR="00421192" w:rsidRDefault="00421192" w:rsidP="001515D5">
            <w:r>
              <w:t>258.3</w:t>
            </w:r>
          </w:p>
        </w:tc>
        <w:tc>
          <w:tcPr>
            <w:tcW w:w="3117" w:type="dxa"/>
            <w:vAlign w:val="bottom"/>
          </w:tcPr>
          <w:p w14:paraId="5372BFFF" w14:textId="77777777" w:rsidR="00421192" w:rsidRDefault="00421192" w:rsidP="001515D5">
            <w:r>
              <w:t>52.6</w:t>
            </w:r>
          </w:p>
        </w:tc>
      </w:tr>
    </w:tbl>
    <w:p w14:paraId="509C64AB" w14:textId="77777777" w:rsidR="00421192" w:rsidRPr="001C42F5" w:rsidRDefault="00421192" w:rsidP="00421192">
      <w:r w:rsidRPr="001C42F5">
        <w:t xml:space="preserve">Source: SC SLED, Crime in South Carolina Book, 2021. </w:t>
      </w:r>
    </w:p>
    <w:p w14:paraId="1ACEDFCC" w14:textId="77777777" w:rsidR="00421192" w:rsidRDefault="00421192" w:rsidP="00421192">
      <w:r w:rsidRPr="001C42F5">
        <w:t>Note: Property crime includes breaking and entering, motor vehicle theft, larceny, and arson. Violent crime includes murder, sexual battery, robbery, and aggravated assault.</w:t>
      </w:r>
    </w:p>
    <w:p w14:paraId="36D11900" w14:textId="77777777" w:rsidR="00421192" w:rsidRDefault="00421192" w:rsidP="00421192"/>
    <w:p w14:paraId="0D6C4943" w14:textId="77777777" w:rsidR="00421192" w:rsidRDefault="00421192" w:rsidP="00421192">
      <w:pPr>
        <w:pStyle w:val="Heading4"/>
      </w:pPr>
      <w:bookmarkStart w:id="236" w:name="_Toc154569815"/>
      <w:bookmarkStart w:id="237" w:name="_Toc162267147"/>
      <w:r>
        <w:t>Figure 6.6: Violent Crime, by County.</w:t>
      </w:r>
      <w:bookmarkEnd w:id="236"/>
      <w:bookmarkEnd w:id="237"/>
    </w:p>
    <w:p w14:paraId="0E435301" w14:textId="77777777" w:rsidR="00421192" w:rsidRDefault="00421192" w:rsidP="00421192">
      <w:pPr>
        <w:pStyle w:val="Heading5"/>
      </w:pPr>
      <w:r>
        <w:t>Rate per 10,000 population.</w:t>
      </w:r>
    </w:p>
    <w:tbl>
      <w:tblPr>
        <w:tblStyle w:val="TableGrid"/>
        <w:tblW w:w="0" w:type="auto"/>
        <w:tblLook w:val="04A0" w:firstRow="1" w:lastRow="0" w:firstColumn="1" w:lastColumn="0" w:noHBand="0" w:noVBand="1"/>
      </w:tblPr>
      <w:tblGrid>
        <w:gridCol w:w="4675"/>
        <w:gridCol w:w="4675"/>
      </w:tblGrid>
      <w:tr w:rsidR="00421192" w14:paraId="50577D7B" w14:textId="77777777" w:rsidTr="001515D5">
        <w:tc>
          <w:tcPr>
            <w:tcW w:w="4675" w:type="dxa"/>
            <w:vAlign w:val="bottom"/>
          </w:tcPr>
          <w:p w14:paraId="47D401AA" w14:textId="77777777" w:rsidR="00421192" w:rsidRDefault="00421192" w:rsidP="001515D5">
            <w:r>
              <w:t>County</w:t>
            </w:r>
          </w:p>
        </w:tc>
        <w:tc>
          <w:tcPr>
            <w:tcW w:w="4675" w:type="dxa"/>
            <w:vAlign w:val="bottom"/>
          </w:tcPr>
          <w:p w14:paraId="2B50A85B" w14:textId="77777777" w:rsidR="00421192" w:rsidRDefault="00421192" w:rsidP="001515D5">
            <w:r>
              <w:t>Rate per 10,000</w:t>
            </w:r>
          </w:p>
        </w:tc>
      </w:tr>
      <w:tr w:rsidR="00421192" w14:paraId="52C58005" w14:textId="77777777" w:rsidTr="001515D5">
        <w:tc>
          <w:tcPr>
            <w:tcW w:w="4675" w:type="dxa"/>
            <w:vAlign w:val="bottom"/>
          </w:tcPr>
          <w:p w14:paraId="4775AA08" w14:textId="77777777" w:rsidR="00421192" w:rsidRDefault="00421192" w:rsidP="001515D5">
            <w:r>
              <w:t>Abbeville</w:t>
            </w:r>
          </w:p>
        </w:tc>
        <w:tc>
          <w:tcPr>
            <w:tcW w:w="4675" w:type="dxa"/>
            <w:vAlign w:val="bottom"/>
          </w:tcPr>
          <w:p w14:paraId="0808C04A" w14:textId="77777777" w:rsidR="00421192" w:rsidRDefault="00421192" w:rsidP="001515D5">
            <w:r>
              <w:t>46.50397136</w:t>
            </w:r>
          </w:p>
        </w:tc>
      </w:tr>
      <w:tr w:rsidR="00421192" w14:paraId="5AD1937D" w14:textId="77777777" w:rsidTr="001515D5">
        <w:tc>
          <w:tcPr>
            <w:tcW w:w="4675" w:type="dxa"/>
            <w:vAlign w:val="bottom"/>
          </w:tcPr>
          <w:p w14:paraId="7DCD0EF0" w14:textId="77777777" w:rsidR="00421192" w:rsidRDefault="00421192" w:rsidP="001515D5">
            <w:r>
              <w:t>Aiken</w:t>
            </w:r>
          </w:p>
        </w:tc>
        <w:tc>
          <w:tcPr>
            <w:tcW w:w="4675" w:type="dxa"/>
            <w:vAlign w:val="bottom"/>
          </w:tcPr>
          <w:p w14:paraId="3EC30632" w14:textId="77777777" w:rsidR="00421192" w:rsidRDefault="00421192" w:rsidP="001515D5">
            <w:r>
              <w:t>35.60219235</w:t>
            </w:r>
          </w:p>
        </w:tc>
      </w:tr>
      <w:tr w:rsidR="00421192" w14:paraId="1D71061F" w14:textId="77777777" w:rsidTr="001515D5">
        <w:tc>
          <w:tcPr>
            <w:tcW w:w="4675" w:type="dxa"/>
            <w:vAlign w:val="bottom"/>
          </w:tcPr>
          <w:p w14:paraId="35140EC2" w14:textId="77777777" w:rsidR="00421192" w:rsidRDefault="00421192" w:rsidP="001515D5">
            <w:r>
              <w:t>Allendale</w:t>
            </w:r>
          </w:p>
        </w:tc>
        <w:tc>
          <w:tcPr>
            <w:tcW w:w="4675" w:type="dxa"/>
            <w:vAlign w:val="bottom"/>
          </w:tcPr>
          <w:p w14:paraId="5D86F4FA" w14:textId="77777777" w:rsidR="00421192" w:rsidRDefault="00421192" w:rsidP="001515D5">
            <w:r>
              <w:t>66.17459913</w:t>
            </w:r>
          </w:p>
        </w:tc>
      </w:tr>
      <w:tr w:rsidR="00421192" w14:paraId="3C460A25" w14:textId="77777777" w:rsidTr="001515D5">
        <w:tc>
          <w:tcPr>
            <w:tcW w:w="4675" w:type="dxa"/>
            <w:vAlign w:val="bottom"/>
          </w:tcPr>
          <w:p w14:paraId="14048AF0" w14:textId="77777777" w:rsidR="00421192" w:rsidRDefault="00421192" w:rsidP="001515D5">
            <w:r>
              <w:t>Anderson</w:t>
            </w:r>
          </w:p>
        </w:tc>
        <w:tc>
          <w:tcPr>
            <w:tcW w:w="4675" w:type="dxa"/>
            <w:vAlign w:val="bottom"/>
          </w:tcPr>
          <w:p w14:paraId="0D52CB18" w14:textId="77777777" w:rsidR="00421192" w:rsidRDefault="00421192" w:rsidP="001515D5">
            <w:r>
              <w:t>50.31221606</w:t>
            </w:r>
          </w:p>
        </w:tc>
      </w:tr>
      <w:tr w:rsidR="00421192" w14:paraId="205420BD" w14:textId="77777777" w:rsidTr="001515D5">
        <w:tc>
          <w:tcPr>
            <w:tcW w:w="4675" w:type="dxa"/>
            <w:vAlign w:val="bottom"/>
          </w:tcPr>
          <w:p w14:paraId="660010A5" w14:textId="77777777" w:rsidR="00421192" w:rsidRDefault="00421192" w:rsidP="001515D5">
            <w:r>
              <w:t>Bamberg</w:t>
            </w:r>
          </w:p>
        </w:tc>
        <w:tc>
          <w:tcPr>
            <w:tcW w:w="4675" w:type="dxa"/>
            <w:vAlign w:val="bottom"/>
          </w:tcPr>
          <w:p w14:paraId="2B8B76AA" w14:textId="77777777" w:rsidR="00421192" w:rsidRDefault="00421192" w:rsidP="001515D5">
            <w:r>
              <w:t>63.68943817</w:t>
            </w:r>
          </w:p>
        </w:tc>
      </w:tr>
      <w:tr w:rsidR="00421192" w14:paraId="659A3DF7" w14:textId="77777777" w:rsidTr="001515D5">
        <w:tc>
          <w:tcPr>
            <w:tcW w:w="4675" w:type="dxa"/>
            <w:vAlign w:val="bottom"/>
          </w:tcPr>
          <w:p w14:paraId="5678C95A" w14:textId="77777777" w:rsidR="00421192" w:rsidRDefault="00421192" w:rsidP="001515D5">
            <w:r>
              <w:t>Barnwell</w:t>
            </w:r>
          </w:p>
        </w:tc>
        <w:tc>
          <w:tcPr>
            <w:tcW w:w="4675" w:type="dxa"/>
            <w:vAlign w:val="bottom"/>
          </w:tcPr>
          <w:p w14:paraId="72D1619A" w14:textId="77777777" w:rsidR="00421192" w:rsidRDefault="00421192" w:rsidP="001515D5">
            <w:r>
              <w:t>66.08357629</w:t>
            </w:r>
          </w:p>
        </w:tc>
      </w:tr>
      <w:tr w:rsidR="00421192" w14:paraId="2DDEB754" w14:textId="77777777" w:rsidTr="001515D5">
        <w:tc>
          <w:tcPr>
            <w:tcW w:w="4675" w:type="dxa"/>
            <w:vAlign w:val="bottom"/>
          </w:tcPr>
          <w:p w14:paraId="694811A8" w14:textId="77777777" w:rsidR="00421192" w:rsidRDefault="00421192" w:rsidP="001515D5">
            <w:r>
              <w:t>Beaufort</w:t>
            </w:r>
          </w:p>
        </w:tc>
        <w:tc>
          <w:tcPr>
            <w:tcW w:w="4675" w:type="dxa"/>
            <w:vAlign w:val="bottom"/>
          </w:tcPr>
          <w:p w14:paraId="0CDA4D93" w14:textId="77777777" w:rsidR="00421192" w:rsidRDefault="00421192" w:rsidP="001515D5">
            <w:r>
              <w:t>32.07334627</w:t>
            </w:r>
          </w:p>
        </w:tc>
      </w:tr>
      <w:tr w:rsidR="00421192" w14:paraId="1E37F053" w14:textId="77777777" w:rsidTr="001515D5">
        <w:tc>
          <w:tcPr>
            <w:tcW w:w="4675" w:type="dxa"/>
            <w:vAlign w:val="bottom"/>
          </w:tcPr>
          <w:p w14:paraId="542BCA76" w14:textId="77777777" w:rsidR="00421192" w:rsidRDefault="00421192" w:rsidP="001515D5">
            <w:r>
              <w:t>Berkeley</w:t>
            </w:r>
          </w:p>
        </w:tc>
        <w:tc>
          <w:tcPr>
            <w:tcW w:w="4675" w:type="dxa"/>
            <w:vAlign w:val="bottom"/>
          </w:tcPr>
          <w:p w14:paraId="2F02EC81" w14:textId="77777777" w:rsidR="00421192" w:rsidRDefault="00421192" w:rsidP="001515D5">
            <w:r>
              <w:t>31.81228639</w:t>
            </w:r>
          </w:p>
        </w:tc>
      </w:tr>
      <w:tr w:rsidR="00421192" w14:paraId="7658F052" w14:textId="77777777" w:rsidTr="001515D5">
        <w:tc>
          <w:tcPr>
            <w:tcW w:w="4675" w:type="dxa"/>
            <w:vAlign w:val="bottom"/>
          </w:tcPr>
          <w:p w14:paraId="630B635C" w14:textId="77777777" w:rsidR="00421192" w:rsidRDefault="00421192" w:rsidP="001515D5">
            <w:r>
              <w:t>Calhoun</w:t>
            </w:r>
          </w:p>
        </w:tc>
        <w:tc>
          <w:tcPr>
            <w:tcW w:w="4675" w:type="dxa"/>
            <w:vAlign w:val="bottom"/>
          </w:tcPr>
          <w:p w14:paraId="46EFBE00" w14:textId="77777777" w:rsidR="00421192" w:rsidRDefault="00421192" w:rsidP="001515D5">
            <w:r>
              <w:t>43.06388987</w:t>
            </w:r>
          </w:p>
        </w:tc>
      </w:tr>
      <w:tr w:rsidR="00421192" w14:paraId="7C937F68" w14:textId="77777777" w:rsidTr="001515D5">
        <w:tc>
          <w:tcPr>
            <w:tcW w:w="4675" w:type="dxa"/>
            <w:vAlign w:val="bottom"/>
          </w:tcPr>
          <w:p w14:paraId="4D087053" w14:textId="77777777" w:rsidR="00421192" w:rsidRDefault="00421192" w:rsidP="001515D5">
            <w:r>
              <w:t>Charleston</w:t>
            </w:r>
          </w:p>
        </w:tc>
        <w:tc>
          <w:tcPr>
            <w:tcW w:w="4675" w:type="dxa"/>
            <w:vAlign w:val="bottom"/>
          </w:tcPr>
          <w:p w14:paraId="57CA07A1" w14:textId="77777777" w:rsidR="00421192" w:rsidRDefault="00421192" w:rsidP="001515D5">
            <w:r>
              <w:t>55.6142016</w:t>
            </w:r>
          </w:p>
        </w:tc>
      </w:tr>
      <w:tr w:rsidR="00421192" w14:paraId="54EA9618" w14:textId="77777777" w:rsidTr="001515D5">
        <w:tc>
          <w:tcPr>
            <w:tcW w:w="4675" w:type="dxa"/>
            <w:vAlign w:val="bottom"/>
          </w:tcPr>
          <w:p w14:paraId="418BA368" w14:textId="77777777" w:rsidR="00421192" w:rsidRDefault="00421192" w:rsidP="001515D5">
            <w:r>
              <w:t>Cherokee</w:t>
            </w:r>
          </w:p>
        </w:tc>
        <w:tc>
          <w:tcPr>
            <w:tcW w:w="4675" w:type="dxa"/>
            <w:vAlign w:val="bottom"/>
          </w:tcPr>
          <w:p w14:paraId="2508928B" w14:textId="77777777" w:rsidR="00421192" w:rsidRDefault="00421192" w:rsidP="001515D5">
            <w:r>
              <w:t>31.5778206</w:t>
            </w:r>
          </w:p>
        </w:tc>
      </w:tr>
      <w:tr w:rsidR="00421192" w14:paraId="726CD89D" w14:textId="77777777" w:rsidTr="001515D5">
        <w:tc>
          <w:tcPr>
            <w:tcW w:w="4675" w:type="dxa"/>
            <w:vAlign w:val="bottom"/>
          </w:tcPr>
          <w:p w14:paraId="468CE804" w14:textId="77777777" w:rsidR="00421192" w:rsidRDefault="00421192" w:rsidP="001515D5">
            <w:r>
              <w:t>Chester</w:t>
            </w:r>
          </w:p>
        </w:tc>
        <w:tc>
          <w:tcPr>
            <w:tcW w:w="4675" w:type="dxa"/>
            <w:vAlign w:val="bottom"/>
          </w:tcPr>
          <w:p w14:paraId="26ADBE5E" w14:textId="77777777" w:rsidR="00421192" w:rsidRDefault="00421192" w:rsidP="001515D5">
            <w:r>
              <w:t>64.26775125</w:t>
            </w:r>
          </w:p>
        </w:tc>
      </w:tr>
      <w:tr w:rsidR="00421192" w14:paraId="4127E20F" w14:textId="77777777" w:rsidTr="001515D5">
        <w:tc>
          <w:tcPr>
            <w:tcW w:w="4675" w:type="dxa"/>
            <w:vAlign w:val="bottom"/>
          </w:tcPr>
          <w:p w14:paraId="54BEEF47" w14:textId="77777777" w:rsidR="00421192" w:rsidRDefault="00421192" w:rsidP="001515D5">
            <w:r>
              <w:t>Chesterfield</w:t>
            </w:r>
          </w:p>
        </w:tc>
        <w:tc>
          <w:tcPr>
            <w:tcW w:w="4675" w:type="dxa"/>
            <w:vAlign w:val="bottom"/>
          </w:tcPr>
          <w:p w14:paraId="3BEE5461" w14:textId="77777777" w:rsidR="00421192" w:rsidRDefault="00421192" w:rsidP="001515D5">
            <w:r>
              <w:t>54.54377369</w:t>
            </w:r>
          </w:p>
        </w:tc>
      </w:tr>
      <w:tr w:rsidR="00421192" w14:paraId="50FF6168" w14:textId="77777777" w:rsidTr="001515D5">
        <w:tc>
          <w:tcPr>
            <w:tcW w:w="4675" w:type="dxa"/>
            <w:vAlign w:val="bottom"/>
          </w:tcPr>
          <w:p w14:paraId="3218249A" w14:textId="77777777" w:rsidR="00421192" w:rsidRDefault="00421192" w:rsidP="001515D5">
            <w:r>
              <w:t>Clarendon</w:t>
            </w:r>
          </w:p>
        </w:tc>
        <w:tc>
          <w:tcPr>
            <w:tcW w:w="4675" w:type="dxa"/>
            <w:vAlign w:val="bottom"/>
          </w:tcPr>
          <w:p w14:paraId="634108E7" w14:textId="77777777" w:rsidR="00421192" w:rsidRDefault="00421192" w:rsidP="001515D5">
            <w:r>
              <w:t>69.94584838</w:t>
            </w:r>
          </w:p>
        </w:tc>
      </w:tr>
      <w:tr w:rsidR="00421192" w14:paraId="3B6E8EED" w14:textId="77777777" w:rsidTr="001515D5">
        <w:tc>
          <w:tcPr>
            <w:tcW w:w="4675" w:type="dxa"/>
            <w:vAlign w:val="bottom"/>
          </w:tcPr>
          <w:p w14:paraId="7048A44D" w14:textId="77777777" w:rsidR="00421192" w:rsidRDefault="00421192" w:rsidP="001515D5">
            <w:r>
              <w:lastRenderedPageBreak/>
              <w:t>Colleton</w:t>
            </w:r>
          </w:p>
        </w:tc>
        <w:tc>
          <w:tcPr>
            <w:tcW w:w="4675" w:type="dxa"/>
            <w:vAlign w:val="bottom"/>
          </w:tcPr>
          <w:p w14:paraId="2DD40FCA" w14:textId="77777777" w:rsidR="00421192" w:rsidRDefault="00421192" w:rsidP="001515D5">
            <w:r>
              <w:t>73.05912329</w:t>
            </w:r>
          </w:p>
        </w:tc>
      </w:tr>
      <w:tr w:rsidR="00421192" w14:paraId="016FD5CC" w14:textId="77777777" w:rsidTr="001515D5">
        <w:tc>
          <w:tcPr>
            <w:tcW w:w="4675" w:type="dxa"/>
            <w:vAlign w:val="bottom"/>
          </w:tcPr>
          <w:p w14:paraId="1B6DEC12" w14:textId="77777777" w:rsidR="00421192" w:rsidRDefault="00421192" w:rsidP="001515D5">
            <w:r>
              <w:t>Darlington</w:t>
            </w:r>
          </w:p>
        </w:tc>
        <w:tc>
          <w:tcPr>
            <w:tcW w:w="4675" w:type="dxa"/>
            <w:vAlign w:val="bottom"/>
          </w:tcPr>
          <w:p w14:paraId="63063D70" w14:textId="77777777" w:rsidR="00421192" w:rsidRDefault="00421192" w:rsidP="001515D5">
            <w:r>
              <w:t>109.7920484</w:t>
            </w:r>
          </w:p>
        </w:tc>
      </w:tr>
      <w:tr w:rsidR="00421192" w14:paraId="0C79A47C" w14:textId="77777777" w:rsidTr="001515D5">
        <w:tc>
          <w:tcPr>
            <w:tcW w:w="4675" w:type="dxa"/>
            <w:vAlign w:val="bottom"/>
          </w:tcPr>
          <w:p w14:paraId="3A6999FF" w14:textId="77777777" w:rsidR="00421192" w:rsidRDefault="00421192" w:rsidP="001515D5">
            <w:r>
              <w:t>Dillon</w:t>
            </w:r>
          </w:p>
        </w:tc>
        <w:tc>
          <w:tcPr>
            <w:tcW w:w="4675" w:type="dxa"/>
            <w:vAlign w:val="bottom"/>
          </w:tcPr>
          <w:p w14:paraId="0045AFE5" w14:textId="77777777" w:rsidR="00421192" w:rsidRDefault="00421192" w:rsidP="001515D5">
            <w:r>
              <w:t>164.1328729</w:t>
            </w:r>
          </w:p>
        </w:tc>
      </w:tr>
      <w:tr w:rsidR="00421192" w14:paraId="4F1CE7CF" w14:textId="77777777" w:rsidTr="001515D5">
        <w:tc>
          <w:tcPr>
            <w:tcW w:w="4675" w:type="dxa"/>
            <w:vAlign w:val="bottom"/>
          </w:tcPr>
          <w:p w14:paraId="31A7D6AE" w14:textId="77777777" w:rsidR="00421192" w:rsidRDefault="00421192" w:rsidP="001515D5">
            <w:r>
              <w:t>Dorchester</w:t>
            </w:r>
          </w:p>
        </w:tc>
        <w:tc>
          <w:tcPr>
            <w:tcW w:w="4675" w:type="dxa"/>
            <w:vAlign w:val="bottom"/>
          </w:tcPr>
          <w:p w14:paraId="0EE3AAD2" w14:textId="77777777" w:rsidR="00421192" w:rsidRDefault="00421192" w:rsidP="001515D5">
            <w:r>
              <w:t>26.93982012</w:t>
            </w:r>
          </w:p>
        </w:tc>
      </w:tr>
      <w:tr w:rsidR="00421192" w14:paraId="5DD9883E" w14:textId="77777777" w:rsidTr="001515D5">
        <w:tc>
          <w:tcPr>
            <w:tcW w:w="4675" w:type="dxa"/>
            <w:vAlign w:val="bottom"/>
          </w:tcPr>
          <w:p w14:paraId="22F5C429" w14:textId="77777777" w:rsidR="00421192" w:rsidRDefault="00421192" w:rsidP="001515D5">
            <w:r>
              <w:t>Edgefield</w:t>
            </w:r>
          </w:p>
        </w:tc>
        <w:tc>
          <w:tcPr>
            <w:tcW w:w="4675" w:type="dxa"/>
            <w:vAlign w:val="bottom"/>
          </w:tcPr>
          <w:p w14:paraId="49730D7E" w14:textId="77777777" w:rsidR="00421192" w:rsidRDefault="00421192" w:rsidP="001515D5">
            <w:r>
              <w:t>4.588383742</w:t>
            </w:r>
          </w:p>
        </w:tc>
      </w:tr>
      <w:tr w:rsidR="00421192" w14:paraId="68083FDD" w14:textId="77777777" w:rsidTr="001515D5">
        <w:tc>
          <w:tcPr>
            <w:tcW w:w="4675" w:type="dxa"/>
            <w:vAlign w:val="bottom"/>
          </w:tcPr>
          <w:p w14:paraId="7D4C9AD2" w14:textId="77777777" w:rsidR="00421192" w:rsidRDefault="00421192" w:rsidP="001515D5">
            <w:r>
              <w:t>Fairfield</w:t>
            </w:r>
          </w:p>
        </w:tc>
        <w:tc>
          <w:tcPr>
            <w:tcW w:w="4675" w:type="dxa"/>
            <w:vAlign w:val="bottom"/>
          </w:tcPr>
          <w:p w14:paraId="7EDC647E" w14:textId="77777777" w:rsidR="00421192" w:rsidRDefault="00421192" w:rsidP="001515D5">
            <w:r>
              <w:t>62.34896085</w:t>
            </w:r>
          </w:p>
        </w:tc>
      </w:tr>
      <w:tr w:rsidR="00421192" w14:paraId="1F2F5E24" w14:textId="77777777" w:rsidTr="001515D5">
        <w:tc>
          <w:tcPr>
            <w:tcW w:w="4675" w:type="dxa"/>
            <w:vAlign w:val="bottom"/>
          </w:tcPr>
          <w:p w14:paraId="1F86F880" w14:textId="77777777" w:rsidR="00421192" w:rsidRDefault="00421192" w:rsidP="001515D5">
            <w:r>
              <w:t>Florence</w:t>
            </w:r>
          </w:p>
        </w:tc>
        <w:tc>
          <w:tcPr>
            <w:tcW w:w="4675" w:type="dxa"/>
            <w:vAlign w:val="bottom"/>
          </w:tcPr>
          <w:p w14:paraId="17F7F99B" w14:textId="77777777" w:rsidR="00421192" w:rsidRDefault="00421192" w:rsidP="001515D5">
            <w:r>
              <w:t>92.08521362</w:t>
            </w:r>
          </w:p>
        </w:tc>
      </w:tr>
      <w:tr w:rsidR="00421192" w14:paraId="0276C509" w14:textId="77777777" w:rsidTr="001515D5">
        <w:tc>
          <w:tcPr>
            <w:tcW w:w="4675" w:type="dxa"/>
            <w:vAlign w:val="bottom"/>
          </w:tcPr>
          <w:p w14:paraId="773B52B5" w14:textId="77777777" w:rsidR="00421192" w:rsidRDefault="00421192" w:rsidP="001515D5">
            <w:r>
              <w:t>Georgetown</w:t>
            </w:r>
          </w:p>
        </w:tc>
        <w:tc>
          <w:tcPr>
            <w:tcW w:w="4675" w:type="dxa"/>
            <w:vAlign w:val="bottom"/>
          </w:tcPr>
          <w:p w14:paraId="39E0DC78" w14:textId="77777777" w:rsidR="00421192" w:rsidRDefault="00421192" w:rsidP="001515D5">
            <w:r>
              <w:t>48.18447771</w:t>
            </w:r>
          </w:p>
        </w:tc>
      </w:tr>
      <w:tr w:rsidR="00421192" w14:paraId="6A69DB80" w14:textId="77777777" w:rsidTr="001515D5">
        <w:tc>
          <w:tcPr>
            <w:tcW w:w="4675" w:type="dxa"/>
            <w:vAlign w:val="bottom"/>
          </w:tcPr>
          <w:p w14:paraId="21718ACA" w14:textId="77777777" w:rsidR="00421192" w:rsidRDefault="00421192" w:rsidP="001515D5">
            <w:r>
              <w:t>Greenville</w:t>
            </w:r>
          </w:p>
        </w:tc>
        <w:tc>
          <w:tcPr>
            <w:tcW w:w="4675" w:type="dxa"/>
            <w:vAlign w:val="bottom"/>
          </w:tcPr>
          <w:p w14:paraId="1BE63AC8" w14:textId="77777777" w:rsidR="00421192" w:rsidRDefault="00421192" w:rsidP="001515D5">
            <w:r>
              <w:t>46.49385389</w:t>
            </w:r>
          </w:p>
        </w:tc>
      </w:tr>
      <w:tr w:rsidR="00421192" w14:paraId="61A951D2" w14:textId="77777777" w:rsidTr="001515D5">
        <w:tc>
          <w:tcPr>
            <w:tcW w:w="4675" w:type="dxa"/>
            <w:vAlign w:val="bottom"/>
          </w:tcPr>
          <w:p w14:paraId="7A16BD53" w14:textId="77777777" w:rsidR="00421192" w:rsidRDefault="00421192" w:rsidP="001515D5">
            <w:r>
              <w:t>Greenwood</w:t>
            </w:r>
          </w:p>
        </w:tc>
        <w:tc>
          <w:tcPr>
            <w:tcW w:w="4675" w:type="dxa"/>
            <w:vAlign w:val="bottom"/>
          </w:tcPr>
          <w:p w14:paraId="556A14B5" w14:textId="77777777" w:rsidR="00421192" w:rsidRDefault="00421192" w:rsidP="001515D5">
            <w:r>
              <w:t>74.81116679</w:t>
            </w:r>
          </w:p>
        </w:tc>
      </w:tr>
      <w:tr w:rsidR="00421192" w14:paraId="555EC651" w14:textId="77777777" w:rsidTr="001515D5">
        <w:tc>
          <w:tcPr>
            <w:tcW w:w="4675" w:type="dxa"/>
            <w:vAlign w:val="bottom"/>
          </w:tcPr>
          <w:p w14:paraId="37B4DEF9" w14:textId="77777777" w:rsidR="00421192" w:rsidRDefault="00421192" w:rsidP="001515D5">
            <w:r>
              <w:t>Hampton</w:t>
            </w:r>
          </w:p>
        </w:tc>
        <w:tc>
          <w:tcPr>
            <w:tcW w:w="4675" w:type="dxa"/>
            <w:vAlign w:val="bottom"/>
          </w:tcPr>
          <w:p w14:paraId="30DACFB3" w14:textId="77777777" w:rsidR="00421192" w:rsidRDefault="00421192" w:rsidP="001515D5">
            <w:r>
              <w:t>62.70627063</w:t>
            </w:r>
          </w:p>
        </w:tc>
      </w:tr>
      <w:tr w:rsidR="00421192" w14:paraId="274035CB" w14:textId="77777777" w:rsidTr="001515D5">
        <w:tc>
          <w:tcPr>
            <w:tcW w:w="4675" w:type="dxa"/>
            <w:vAlign w:val="bottom"/>
          </w:tcPr>
          <w:p w14:paraId="2FEAE56C" w14:textId="77777777" w:rsidR="00421192" w:rsidRDefault="00421192" w:rsidP="001515D5">
            <w:r>
              <w:t>Horry</w:t>
            </w:r>
          </w:p>
        </w:tc>
        <w:tc>
          <w:tcPr>
            <w:tcW w:w="4675" w:type="dxa"/>
            <w:vAlign w:val="bottom"/>
          </w:tcPr>
          <w:p w14:paraId="61702B76" w14:textId="77777777" w:rsidR="00421192" w:rsidRDefault="00421192" w:rsidP="001515D5">
            <w:r>
              <w:t>48.3889939</w:t>
            </w:r>
          </w:p>
        </w:tc>
      </w:tr>
      <w:tr w:rsidR="00421192" w14:paraId="5BAD5041" w14:textId="77777777" w:rsidTr="001515D5">
        <w:tc>
          <w:tcPr>
            <w:tcW w:w="4675" w:type="dxa"/>
            <w:vAlign w:val="bottom"/>
          </w:tcPr>
          <w:p w14:paraId="655C841C" w14:textId="77777777" w:rsidR="00421192" w:rsidRDefault="00421192" w:rsidP="001515D5">
            <w:r>
              <w:t>Jasper</w:t>
            </w:r>
          </w:p>
        </w:tc>
        <w:tc>
          <w:tcPr>
            <w:tcW w:w="4675" w:type="dxa"/>
            <w:vAlign w:val="bottom"/>
          </w:tcPr>
          <w:p w14:paraId="29451E6F" w14:textId="77777777" w:rsidR="00421192" w:rsidRDefault="00421192" w:rsidP="001515D5">
            <w:r>
              <w:t>46.8275953</w:t>
            </w:r>
          </w:p>
        </w:tc>
      </w:tr>
      <w:tr w:rsidR="00421192" w14:paraId="61A015F5" w14:textId="77777777" w:rsidTr="001515D5">
        <w:tc>
          <w:tcPr>
            <w:tcW w:w="4675" w:type="dxa"/>
            <w:vAlign w:val="bottom"/>
          </w:tcPr>
          <w:p w14:paraId="22ECB5D7" w14:textId="77777777" w:rsidR="00421192" w:rsidRDefault="00421192" w:rsidP="001515D5">
            <w:r>
              <w:t>Kershaw</w:t>
            </w:r>
          </w:p>
        </w:tc>
        <w:tc>
          <w:tcPr>
            <w:tcW w:w="4675" w:type="dxa"/>
            <w:vAlign w:val="bottom"/>
          </w:tcPr>
          <w:p w14:paraId="6E08C5FB" w14:textId="77777777" w:rsidR="00421192" w:rsidRDefault="00421192" w:rsidP="001515D5">
            <w:r>
              <w:t>49.59927416</w:t>
            </w:r>
          </w:p>
        </w:tc>
      </w:tr>
      <w:tr w:rsidR="00421192" w14:paraId="7D3CC352" w14:textId="77777777" w:rsidTr="001515D5">
        <w:tc>
          <w:tcPr>
            <w:tcW w:w="4675" w:type="dxa"/>
            <w:vAlign w:val="bottom"/>
          </w:tcPr>
          <w:p w14:paraId="557747DF" w14:textId="77777777" w:rsidR="00421192" w:rsidRDefault="00421192" w:rsidP="001515D5">
            <w:r>
              <w:t>Lancaster</w:t>
            </w:r>
          </w:p>
        </w:tc>
        <w:tc>
          <w:tcPr>
            <w:tcW w:w="4675" w:type="dxa"/>
            <w:vAlign w:val="bottom"/>
          </w:tcPr>
          <w:p w14:paraId="5C0D171E" w14:textId="77777777" w:rsidR="00421192" w:rsidRDefault="00421192" w:rsidP="001515D5">
            <w:r>
              <w:t>37.67341732</w:t>
            </w:r>
          </w:p>
        </w:tc>
      </w:tr>
      <w:tr w:rsidR="00421192" w14:paraId="63909077" w14:textId="77777777" w:rsidTr="001515D5">
        <w:tc>
          <w:tcPr>
            <w:tcW w:w="4675" w:type="dxa"/>
            <w:vAlign w:val="bottom"/>
          </w:tcPr>
          <w:p w14:paraId="1F1E106F" w14:textId="77777777" w:rsidR="00421192" w:rsidRDefault="00421192" w:rsidP="001515D5">
            <w:r>
              <w:t>Laurens</w:t>
            </w:r>
          </w:p>
        </w:tc>
        <w:tc>
          <w:tcPr>
            <w:tcW w:w="4675" w:type="dxa"/>
            <w:vAlign w:val="bottom"/>
          </w:tcPr>
          <w:p w14:paraId="5F693E86" w14:textId="77777777" w:rsidR="00421192" w:rsidRDefault="00421192" w:rsidP="001515D5">
            <w:r>
              <w:t>65.33634205</w:t>
            </w:r>
          </w:p>
        </w:tc>
      </w:tr>
      <w:tr w:rsidR="00421192" w14:paraId="36D745D5" w14:textId="77777777" w:rsidTr="001515D5">
        <w:tc>
          <w:tcPr>
            <w:tcW w:w="4675" w:type="dxa"/>
            <w:vAlign w:val="bottom"/>
          </w:tcPr>
          <w:p w14:paraId="3C0313C0" w14:textId="77777777" w:rsidR="00421192" w:rsidRDefault="00421192" w:rsidP="001515D5">
            <w:r>
              <w:t>Lee</w:t>
            </w:r>
          </w:p>
        </w:tc>
        <w:tc>
          <w:tcPr>
            <w:tcW w:w="4675" w:type="dxa"/>
            <w:vAlign w:val="bottom"/>
          </w:tcPr>
          <w:p w14:paraId="5D198384" w14:textId="77777777" w:rsidR="00421192" w:rsidRDefault="00421192" w:rsidP="001515D5">
            <w:r>
              <w:t>47.91154791</w:t>
            </w:r>
          </w:p>
        </w:tc>
      </w:tr>
      <w:tr w:rsidR="00421192" w14:paraId="1DEF72EC" w14:textId="77777777" w:rsidTr="001515D5">
        <w:tc>
          <w:tcPr>
            <w:tcW w:w="4675" w:type="dxa"/>
            <w:vAlign w:val="bottom"/>
          </w:tcPr>
          <w:p w14:paraId="7B9EBEE9" w14:textId="77777777" w:rsidR="00421192" w:rsidRDefault="00421192" w:rsidP="001515D5">
            <w:r>
              <w:t>Lexington</w:t>
            </w:r>
          </w:p>
        </w:tc>
        <w:tc>
          <w:tcPr>
            <w:tcW w:w="4675" w:type="dxa"/>
            <w:vAlign w:val="bottom"/>
          </w:tcPr>
          <w:p w14:paraId="140EFC3D" w14:textId="77777777" w:rsidR="00421192" w:rsidRDefault="00421192" w:rsidP="001515D5">
            <w:r>
              <w:t>37.14970164</w:t>
            </w:r>
          </w:p>
        </w:tc>
      </w:tr>
      <w:tr w:rsidR="00421192" w14:paraId="55DA6F26" w14:textId="77777777" w:rsidTr="001515D5">
        <w:tc>
          <w:tcPr>
            <w:tcW w:w="4675" w:type="dxa"/>
            <w:vAlign w:val="bottom"/>
          </w:tcPr>
          <w:p w14:paraId="06189B82" w14:textId="77777777" w:rsidR="00421192" w:rsidRDefault="00421192" w:rsidP="001515D5">
            <w:r>
              <w:t>McCormick</w:t>
            </w:r>
          </w:p>
        </w:tc>
        <w:tc>
          <w:tcPr>
            <w:tcW w:w="4675" w:type="dxa"/>
            <w:vAlign w:val="bottom"/>
          </w:tcPr>
          <w:p w14:paraId="7912808C" w14:textId="77777777" w:rsidR="00421192" w:rsidRDefault="00421192" w:rsidP="001515D5">
            <w:r>
              <w:t>18.44262295</w:t>
            </w:r>
          </w:p>
        </w:tc>
      </w:tr>
      <w:tr w:rsidR="00421192" w14:paraId="556052AC" w14:textId="77777777" w:rsidTr="001515D5">
        <w:tc>
          <w:tcPr>
            <w:tcW w:w="4675" w:type="dxa"/>
            <w:vAlign w:val="bottom"/>
          </w:tcPr>
          <w:p w14:paraId="37E6DB0C" w14:textId="77777777" w:rsidR="00421192" w:rsidRDefault="00421192" w:rsidP="001515D5">
            <w:r>
              <w:t>Marion</w:t>
            </w:r>
          </w:p>
        </w:tc>
        <w:tc>
          <w:tcPr>
            <w:tcW w:w="4675" w:type="dxa"/>
            <w:vAlign w:val="bottom"/>
          </w:tcPr>
          <w:p w14:paraId="2E6E37D3" w14:textId="77777777" w:rsidR="00421192" w:rsidRDefault="00421192" w:rsidP="001515D5">
            <w:r>
              <w:t>62.18732629</w:t>
            </w:r>
          </w:p>
        </w:tc>
      </w:tr>
      <w:tr w:rsidR="00421192" w14:paraId="4F92B453" w14:textId="77777777" w:rsidTr="001515D5">
        <w:tc>
          <w:tcPr>
            <w:tcW w:w="4675" w:type="dxa"/>
            <w:vAlign w:val="bottom"/>
          </w:tcPr>
          <w:p w14:paraId="6B507316" w14:textId="77777777" w:rsidR="00421192" w:rsidRDefault="00421192" w:rsidP="001515D5">
            <w:r>
              <w:t>Marlboro</w:t>
            </w:r>
          </w:p>
        </w:tc>
        <w:tc>
          <w:tcPr>
            <w:tcW w:w="4675" w:type="dxa"/>
            <w:vAlign w:val="bottom"/>
          </w:tcPr>
          <w:p w14:paraId="085C14B2" w14:textId="77777777" w:rsidR="00421192" w:rsidRDefault="00421192" w:rsidP="001515D5">
            <w:r>
              <w:t>92.48730195</w:t>
            </w:r>
          </w:p>
        </w:tc>
      </w:tr>
      <w:tr w:rsidR="00421192" w14:paraId="36563C1A" w14:textId="77777777" w:rsidTr="001515D5">
        <w:tc>
          <w:tcPr>
            <w:tcW w:w="4675" w:type="dxa"/>
            <w:vAlign w:val="bottom"/>
          </w:tcPr>
          <w:p w14:paraId="4A1CAED1" w14:textId="77777777" w:rsidR="00421192" w:rsidRDefault="00421192" w:rsidP="001515D5">
            <w:r>
              <w:t>Newberry</w:t>
            </w:r>
          </w:p>
        </w:tc>
        <w:tc>
          <w:tcPr>
            <w:tcW w:w="4675" w:type="dxa"/>
            <w:vAlign w:val="bottom"/>
          </w:tcPr>
          <w:p w14:paraId="496B5986" w14:textId="77777777" w:rsidR="00421192" w:rsidRDefault="00421192" w:rsidP="001515D5">
            <w:r>
              <w:t>49.74207811</w:t>
            </w:r>
          </w:p>
        </w:tc>
      </w:tr>
      <w:tr w:rsidR="00421192" w14:paraId="66B8711F" w14:textId="77777777" w:rsidTr="001515D5">
        <w:tc>
          <w:tcPr>
            <w:tcW w:w="4675" w:type="dxa"/>
            <w:vAlign w:val="bottom"/>
          </w:tcPr>
          <w:p w14:paraId="254C83CB" w14:textId="77777777" w:rsidR="00421192" w:rsidRDefault="00421192" w:rsidP="001515D5">
            <w:r>
              <w:t>Oconee</w:t>
            </w:r>
          </w:p>
        </w:tc>
        <w:tc>
          <w:tcPr>
            <w:tcW w:w="4675" w:type="dxa"/>
            <w:vAlign w:val="bottom"/>
          </w:tcPr>
          <w:p w14:paraId="0368CE21" w14:textId="77777777" w:rsidR="00421192" w:rsidRDefault="00421192" w:rsidP="001515D5">
            <w:r>
              <w:t>37.37232176</w:t>
            </w:r>
          </w:p>
        </w:tc>
      </w:tr>
      <w:tr w:rsidR="00421192" w14:paraId="082E60F2" w14:textId="77777777" w:rsidTr="001515D5">
        <w:tc>
          <w:tcPr>
            <w:tcW w:w="4675" w:type="dxa"/>
            <w:vAlign w:val="bottom"/>
          </w:tcPr>
          <w:p w14:paraId="4CD8A7C0" w14:textId="77777777" w:rsidR="00421192" w:rsidRDefault="00421192" w:rsidP="001515D5">
            <w:r>
              <w:t>Orangeburg</w:t>
            </w:r>
          </w:p>
        </w:tc>
        <w:tc>
          <w:tcPr>
            <w:tcW w:w="4675" w:type="dxa"/>
            <w:vAlign w:val="bottom"/>
          </w:tcPr>
          <w:p w14:paraId="2EA84366" w14:textId="77777777" w:rsidR="00421192" w:rsidRDefault="00421192" w:rsidP="001515D5">
            <w:r>
              <w:t>145.1266845</w:t>
            </w:r>
          </w:p>
        </w:tc>
      </w:tr>
      <w:tr w:rsidR="00421192" w14:paraId="37CB318D" w14:textId="77777777" w:rsidTr="001515D5">
        <w:tc>
          <w:tcPr>
            <w:tcW w:w="4675" w:type="dxa"/>
            <w:vAlign w:val="bottom"/>
          </w:tcPr>
          <w:p w14:paraId="7649E2ED" w14:textId="77777777" w:rsidR="00421192" w:rsidRDefault="00421192" w:rsidP="001515D5">
            <w:r>
              <w:t>Pickens</w:t>
            </w:r>
          </w:p>
        </w:tc>
        <w:tc>
          <w:tcPr>
            <w:tcW w:w="4675" w:type="dxa"/>
            <w:vAlign w:val="bottom"/>
          </w:tcPr>
          <w:p w14:paraId="0B939516" w14:textId="77777777" w:rsidR="00421192" w:rsidRDefault="00421192" w:rsidP="001515D5">
            <w:r>
              <w:t>27.52800067</w:t>
            </w:r>
          </w:p>
        </w:tc>
      </w:tr>
      <w:tr w:rsidR="00421192" w14:paraId="71620C2C" w14:textId="77777777" w:rsidTr="001515D5">
        <w:tc>
          <w:tcPr>
            <w:tcW w:w="4675" w:type="dxa"/>
            <w:vAlign w:val="bottom"/>
          </w:tcPr>
          <w:p w14:paraId="0938CFC8" w14:textId="77777777" w:rsidR="00421192" w:rsidRDefault="00421192" w:rsidP="001515D5">
            <w:r>
              <w:t>Richland</w:t>
            </w:r>
          </w:p>
        </w:tc>
        <w:tc>
          <w:tcPr>
            <w:tcW w:w="4675" w:type="dxa"/>
            <w:vAlign w:val="bottom"/>
          </w:tcPr>
          <w:p w14:paraId="6387F229" w14:textId="77777777" w:rsidR="00421192" w:rsidRDefault="00421192" w:rsidP="001515D5">
            <w:r>
              <w:t>79.72613416</w:t>
            </w:r>
          </w:p>
        </w:tc>
      </w:tr>
      <w:tr w:rsidR="00421192" w14:paraId="45E0B70D" w14:textId="77777777" w:rsidTr="001515D5">
        <w:tc>
          <w:tcPr>
            <w:tcW w:w="4675" w:type="dxa"/>
            <w:vAlign w:val="bottom"/>
          </w:tcPr>
          <w:p w14:paraId="5979E8CC" w14:textId="77777777" w:rsidR="00421192" w:rsidRDefault="00421192" w:rsidP="001515D5">
            <w:r>
              <w:t>Saluda</w:t>
            </w:r>
          </w:p>
        </w:tc>
        <w:tc>
          <w:tcPr>
            <w:tcW w:w="4675" w:type="dxa"/>
            <w:vAlign w:val="bottom"/>
          </w:tcPr>
          <w:p w14:paraId="34E4BAD8" w14:textId="77777777" w:rsidR="00421192" w:rsidRDefault="00421192" w:rsidP="001515D5">
            <w:r>
              <w:t>22.31549865</w:t>
            </w:r>
          </w:p>
        </w:tc>
      </w:tr>
      <w:tr w:rsidR="00421192" w14:paraId="751F6307" w14:textId="77777777" w:rsidTr="001515D5">
        <w:tc>
          <w:tcPr>
            <w:tcW w:w="4675" w:type="dxa"/>
            <w:vAlign w:val="bottom"/>
          </w:tcPr>
          <w:p w14:paraId="58DB4B9B" w14:textId="77777777" w:rsidR="00421192" w:rsidRDefault="00421192" w:rsidP="001515D5">
            <w:r>
              <w:t>Spartanburg</w:t>
            </w:r>
          </w:p>
        </w:tc>
        <w:tc>
          <w:tcPr>
            <w:tcW w:w="4675" w:type="dxa"/>
            <w:vAlign w:val="bottom"/>
          </w:tcPr>
          <w:p w14:paraId="6FF06A00" w14:textId="77777777" w:rsidR="00421192" w:rsidRDefault="00421192" w:rsidP="001515D5">
            <w:r>
              <w:t>53.41447729</w:t>
            </w:r>
          </w:p>
        </w:tc>
      </w:tr>
      <w:tr w:rsidR="00421192" w14:paraId="10A65C08" w14:textId="77777777" w:rsidTr="001515D5">
        <w:tc>
          <w:tcPr>
            <w:tcW w:w="4675" w:type="dxa"/>
            <w:vAlign w:val="bottom"/>
          </w:tcPr>
          <w:p w14:paraId="50270C70" w14:textId="77777777" w:rsidR="00421192" w:rsidRDefault="00421192" w:rsidP="001515D5">
            <w:r>
              <w:t>Sumter</w:t>
            </w:r>
          </w:p>
        </w:tc>
        <w:tc>
          <w:tcPr>
            <w:tcW w:w="4675" w:type="dxa"/>
            <w:vAlign w:val="bottom"/>
          </w:tcPr>
          <w:p w14:paraId="0514F923" w14:textId="77777777" w:rsidR="00421192" w:rsidRDefault="00421192" w:rsidP="001515D5">
            <w:r>
              <w:t>75.50735982</w:t>
            </w:r>
          </w:p>
        </w:tc>
      </w:tr>
      <w:tr w:rsidR="00421192" w14:paraId="1803D959" w14:textId="77777777" w:rsidTr="001515D5">
        <w:tc>
          <w:tcPr>
            <w:tcW w:w="4675" w:type="dxa"/>
            <w:vAlign w:val="bottom"/>
          </w:tcPr>
          <w:p w14:paraId="592547BE" w14:textId="77777777" w:rsidR="00421192" w:rsidRDefault="00421192" w:rsidP="001515D5">
            <w:r>
              <w:t>Union</w:t>
            </w:r>
          </w:p>
        </w:tc>
        <w:tc>
          <w:tcPr>
            <w:tcW w:w="4675" w:type="dxa"/>
            <w:vAlign w:val="bottom"/>
          </w:tcPr>
          <w:p w14:paraId="063E1DA4" w14:textId="77777777" w:rsidR="00421192" w:rsidRDefault="00421192" w:rsidP="001515D5">
            <w:r>
              <w:t>41.45691442</w:t>
            </w:r>
          </w:p>
        </w:tc>
      </w:tr>
      <w:tr w:rsidR="00421192" w14:paraId="054C1505" w14:textId="77777777" w:rsidTr="001515D5">
        <w:tc>
          <w:tcPr>
            <w:tcW w:w="4675" w:type="dxa"/>
            <w:vAlign w:val="bottom"/>
          </w:tcPr>
          <w:p w14:paraId="66B5EAB8" w14:textId="77777777" w:rsidR="00421192" w:rsidRDefault="00421192" w:rsidP="001515D5">
            <w:r>
              <w:t>Williamsburg</w:t>
            </w:r>
          </w:p>
        </w:tc>
        <w:tc>
          <w:tcPr>
            <w:tcW w:w="4675" w:type="dxa"/>
            <w:vAlign w:val="bottom"/>
          </w:tcPr>
          <w:p w14:paraId="6BFA884E" w14:textId="77777777" w:rsidR="00421192" w:rsidRDefault="00421192" w:rsidP="001515D5">
            <w:r>
              <w:t>48.87809999</w:t>
            </w:r>
          </w:p>
        </w:tc>
      </w:tr>
      <w:tr w:rsidR="00421192" w14:paraId="7A90CCC3" w14:textId="77777777" w:rsidTr="001515D5">
        <w:tc>
          <w:tcPr>
            <w:tcW w:w="4675" w:type="dxa"/>
            <w:vAlign w:val="bottom"/>
          </w:tcPr>
          <w:p w14:paraId="52CF1DE2" w14:textId="77777777" w:rsidR="00421192" w:rsidRDefault="00421192" w:rsidP="001515D5">
            <w:r>
              <w:t>York</w:t>
            </w:r>
          </w:p>
        </w:tc>
        <w:tc>
          <w:tcPr>
            <w:tcW w:w="4675" w:type="dxa"/>
            <w:vAlign w:val="bottom"/>
          </w:tcPr>
          <w:p w14:paraId="6EBA425D" w14:textId="77777777" w:rsidR="00421192" w:rsidRDefault="00421192" w:rsidP="001515D5">
            <w:r>
              <w:t>36.79897434</w:t>
            </w:r>
          </w:p>
        </w:tc>
      </w:tr>
    </w:tbl>
    <w:p w14:paraId="200C5319" w14:textId="77777777" w:rsidR="00421192" w:rsidRPr="00AB0D52" w:rsidRDefault="00421192" w:rsidP="00421192">
      <w:r w:rsidRPr="00AB0D52">
        <w:t xml:space="preserve">Source: SC SLED, Crime in South Carolina Book, 2021. </w:t>
      </w:r>
    </w:p>
    <w:p w14:paraId="13DC9C1C" w14:textId="77777777" w:rsidR="00421192" w:rsidRDefault="00421192" w:rsidP="00421192">
      <w:r w:rsidRPr="00AB0D52">
        <w:t>Note: Violent crime includes murder, sexual battery, robbery, and aggravated assault</w:t>
      </w:r>
      <w:r>
        <w:t>.</w:t>
      </w:r>
    </w:p>
    <w:p w14:paraId="64CFA0E2" w14:textId="77777777" w:rsidR="00421192" w:rsidRDefault="00421192" w:rsidP="00421192"/>
    <w:p w14:paraId="115D903A" w14:textId="77777777" w:rsidR="00421192" w:rsidRDefault="00421192" w:rsidP="00421192">
      <w:pPr>
        <w:pStyle w:val="Heading4"/>
      </w:pPr>
      <w:bookmarkStart w:id="238" w:name="_Toc154569816"/>
      <w:bookmarkStart w:id="239" w:name="_Toc162267148"/>
      <w:r>
        <w:lastRenderedPageBreak/>
        <w:t>Figure 6.7: Violent Crime, by Sex.</w:t>
      </w:r>
      <w:bookmarkEnd w:id="238"/>
      <w:bookmarkEnd w:id="239"/>
    </w:p>
    <w:tbl>
      <w:tblPr>
        <w:tblStyle w:val="TableGrid"/>
        <w:tblW w:w="0" w:type="auto"/>
        <w:tblLook w:val="04A0" w:firstRow="1" w:lastRow="0" w:firstColumn="1" w:lastColumn="0" w:noHBand="0" w:noVBand="1"/>
      </w:tblPr>
      <w:tblGrid>
        <w:gridCol w:w="3116"/>
        <w:gridCol w:w="3117"/>
        <w:gridCol w:w="3117"/>
      </w:tblGrid>
      <w:tr w:rsidR="00421192" w14:paraId="0D220537" w14:textId="77777777" w:rsidTr="001515D5">
        <w:tc>
          <w:tcPr>
            <w:tcW w:w="3116" w:type="dxa"/>
            <w:vAlign w:val="bottom"/>
          </w:tcPr>
          <w:p w14:paraId="4D72C16F" w14:textId="77777777" w:rsidR="00421192" w:rsidRPr="00AB0D52" w:rsidRDefault="00421192" w:rsidP="001515D5">
            <w:r w:rsidRPr="00AB0D52">
              <w:t>Sex</w:t>
            </w:r>
          </w:p>
        </w:tc>
        <w:tc>
          <w:tcPr>
            <w:tcW w:w="3117" w:type="dxa"/>
            <w:vAlign w:val="bottom"/>
          </w:tcPr>
          <w:p w14:paraId="46739A49" w14:textId="77777777" w:rsidR="00421192" w:rsidRPr="00AB0D52" w:rsidRDefault="00421192" w:rsidP="001515D5">
            <w:r w:rsidRPr="00AB0D52">
              <w:t>Victim</w:t>
            </w:r>
          </w:p>
        </w:tc>
        <w:tc>
          <w:tcPr>
            <w:tcW w:w="3117" w:type="dxa"/>
            <w:vAlign w:val="bottom"/>
          </w:tcPr>
          <w:p w14:paraId="5BF2CFFD" w14:textId="77777777" w:rsidR="00421192" w:rsidRPr="00AB0D52" w:rsidRDefault="00421192" w:rsidP="001515D5">
            <w:r w:rsidRPr="00AB0D52">
              <w:t>Offender</w:t>
            </w:r>
          </w:p>
        </w:tc>
      </w:tr>
      <w:tr w:rsidR="00421192" w14:paraId="3A985FAA" w14:textId="77777777" w:rsidTr="001515D5">
        <w:tc>
          <w:tcPr>
            <w:tcW w:w="3116" w:type="dxa"/>
            <w:vAlign w:val="bottom"/>
          </w:tcPr>
          <w:p w14:paraId="6D2EBC76" w14:textId="77777777" w:rsidR="00421192" w:rsidRPr="00AB0D52" w:rsidRDefault="00421192" w:rsidP="001515D5">
            <w:r w:rsidRPr="00AB0D52">
              <w:t>Male</w:t>
            </w:r>
          </w:p>
        </w:tc>
        <w:tc>
          <w:tcPr>
            <w:tcW w:w="3117" w:type="dxa"/>
            <w:vAlign w:val="bottom"/>
          </w:tcPr>
          <w:p w14:paraId="3500DE86" w14:textId="77777777" w:rsidR="00421192" w:rsidRPr="00AB0D52" w:rsidRDefault="00421192" w:rsidP="001515D5">
            <w:r w:rsidRPr="00AB0D52">
              <w:t>57.60%</w:t>
            </w:r>
          </w:p>
        </w:tc>
        <w:tc>
          <w:tcPr>
            <w:tcW w:w="3117" w:type="dxa"/>
            <w:vAlign w:val="bottom"/>
          </w:tcPr>
          <w:p w14:paraId="7D65847B" w14:textId="77777777" w:rsidR="00421192" w:rsidRPr="00AB0D52" w:rsidRDefault="00421192" w:rsidP="001515D5">
            <w:r w:rsidRPr="00AB0D52">
              <w:t>79.40%</w:t>
            </w:r>
          </w:p>
        </w:tc>
      </w:tr>
      <w:tr w:rsidR="00421192" w14:paraId="3F624926" w14:textId="77777777" w:rsidTr="001515D5">
        <w:tc>
          <w:tcPr>
            <w:tcW w:w="3116" w:type="dxa"/>
            <w:vAlign w:val="bottom"/>
          </w:tcPr>
          <w:p w14:paraId="029AD5B4" w14:textId="77777777" w:rsidR="00421192" w:rsidRPr="00AB0D52" w:rsidRDefault="00421192" w:rsidP="001515D5">
            <w:r w:rsidRPr="00AB0D52">
              <w:t>Female</w:t>
            </w:r>
          </w:p>
        </w:tc>
        <w:tc>
          <w:tcPr>
            <w:tcW w:w="3117" w:type="dxa"/>
            <w:vAlign w:val="bottom"/>
          </w:tcPr>
          <w:p w14:paraId="0904FECF" w14:textId="77777777" w:rsidR="00421192" w:rsidRPr="00AB0D52" w:rsidRDefault="00421192" w:rsidP="001515D5">
            <w:r w:rsidRPr="00AB0D52">
              <w:t>42.40%</w:t>
            </w:r>
          </w:p>
        </w:tc>
        <w:tc>
          <w:tcPr>
            <w:tcW w:w="3117" w:type="dxa"/>
            <w:vAlign w:val="bottom"/>
          </w:tcPr>
          <w:p w14:paraId="1FB00952" w14:textId="77777777" w:rsidR="00421192" w:rsidRPr="00AB0D52" w:rsidRDefault="00421192" w:rsidP="001515D5">
            <w:r w:rsidRPr="00AB0D52">
              <w:t>20.60%</w:t>
            </w:r>
          </w:p>
        </w:tc>
      </w:tr>
    </w:tbl>
    <w:p w14:paraId="389D1481" w14:textId="77777777" w:rsidR="00421192" w:rsidRPr="00AB0D52" w:rsidRDefault="00421192" w:rsidP="00421192">
      <w:r w:rsidRPr="00AB0D52">
        <w:t xml:space="preserve">Source: SC SLED, Crime in South Carolina Book, 2021. </w:t>
      </w:r>
    </w:p>
    <w:p w14:paraId="7D2864FD" w14:textId="77777777" w:rsidR="00421192" w:rsidRDefault="00421192" w:rsidP="00421192">
      <w:r w:rsidRPr="00AB0D52">
        <w:t>Note: Violent crime includes murder, sexual battery, robbery, and aggravated assault.</w:t>
      </w:r>
    </w:p>
    <w:p w14:paraId="198C03BE" w14:textId="77777777" w:rsidR="00FF4962" w:rsidRDefault="00FF4962" w:rsidP="00FF4962"/>
    <w:p w14:paraId="07E21684" w14:textId="7EF6DB0C" w:rsidR="00FF4962" w:rsidRDefault="00FF4962" w:rsidP="00FF4962">
      <w:pPr>
        <w:pStyle w:val="Heading4"/>
      </w:pPr>
      <w:bookmarkStart w:id="240" w:name="_Toc162267149"/>
      <w:r>
        <w:t>Data Interpretations:</w:t>
      </w:r>
      <w:bookmarkEnd w:id="240"/>
      <w:r>
        <w:t xml:space="preserve"> </w:t>
      </w:r>
    </w:p>
    <w:p w14:paraId="39B52E27" w14:textId="28910748" w:rsidR="00FF4962" w:rsidRPr="00FF4962" w:rsidRDefault="00FF4962" w:rsidP="00FF4962">
      <w:r w:rsidRPr="00FF4962">
        <w:t>Property and violent crime rates have decreased in SC over the past 10 years (</w:t>
      </w:r>
      <w:r w:rsidRPr="00FF4962">
        <w:rPr>
          <w:b/>
          <w:bCs/>
        </w:rPr>
        <w:t>Figure 6.5</w:t>
      </w:r>
      <w:r w:rsidRPr="00FF4962">
        <w:t>). Property crime rates, which included breaking and entering, motor vehicle theft, larceny, and arson, decreased 34.2% from a high of 392.6 per 10,000 population in 2012 to 258.3 per 10,000 population in 2021. In 2021, there were over 134,000 property crime offenses in the state, with larceny representing 73.3% of the total. Violent crime rates, including murder, sexual battery, robbery, and aggravated assault, also decreased, going from 57.8 per 10,000 population in 2012 to 52.6 per 10,000 population in 2021. Aggravated assault was the most common violent crime, representing 79.0% of the 27,300 violent crime offenses.</w:t>
      </w:r>
    </w:p>
    <w:p w14:paraId="3A08CC34" w14:textId="77777777" w:rsidR="00FF4962" w:rsidRDefault="00FF4962" w:rsidP="00FF4962"/>
    <w:p w14:paraId="737155E8" w14:textId="3C2E2939" w:rsidR="00FF4962" w:rsidRPr="00FF4962" w:rsidRDefault="00FF4962" w:rsidP="00FF4962">
      <w:r w:rsidRPr="00FF4962">
        <w:t>Violent crime rates vary across the state (</w:t>
      </w:r>
      <w:r w:rsidRPr="00FF4962">
        <w:rPr>
          <w:b/>
          <w:bCs/>
        </w:rPr>
        <w:t>Figure 6.6</w:t>
      </w:r>
      <w:r w:rsidRPr="00FF4962">
        <w:t>). Edgefield County has the lowest rate of violent crimes with a rate of 4.6 offenses per 10,000 population while Dillon County has the highest rate at 164.1 per 10,000 population. Counties along the I-95 corridor have experienced higher rates of violent crime compared to the state average. Nearly 80% of violent crime offenders were male, whereas only</w:t>
      </w:r>
      <w:r w:rsidR="004C35A5">
        <w:t xml:space="preserve"> about</w:t>
      </w:r>
      <w:r w:rsidRPr="00FF4962">
        <w:t xml:space="preserve"> 60% of violent crime victims were male (</w:t>
      </w:r>
      <w:r w:rsidRPr="00FF4962">
        <w:rPr>
          <w:b/>
          <w:bCs/>
        </w:rPr>
        <w:t>Figure 6.7</w:t>
      </w:r>
      <w:r w:rsidRPr="00FF4962">
        <w:t xml:space="preserve">). Non-Hispanic Blacks saw disproportionately higher rates of being victims in homicide and aggravated assault crimes compared to their non-Hispanic White counterparts.  </w:t>
      </w:r>
    </w:p>
    <w:p w14:paraId="78461B9D" w14:textId="77777777" w:rsidR="00FF4962" w:rsidRDefault="00FF4962" w:rsidP="00FF4962">
      <w:pPr>
        <w:rPr>
          <w:i/>
          <w:iCs/>
        </w:rPr>
      </w:pPr>
    </w:p>
    <w:p w14:paraId="43820EC1" w14:textId="7A4DFFA1" w:rsidR="00FF4962" w:rsidRDefault="00FF4962" w:rsidP="00FF4962">
      <w:pPr>
        <w:pStyle w:val="Heading5"/>
      </w:pPr>
      <w:r>
        <w:t xml:space="preserve">Key Takeaways: </w:t>
      </w:r>
    </w:p>
    <w:p w14:paraId="6EB7A144" w14:textId="77777777" w:rsidR="00FF4962" w:rsidRPr="00FF4962" w:rsidRDefault="00FF4962" w:rsidP="00926EB3">
      <w:pPr>
        <w:pStyle w:val="ListParagraph"/>
        <w:numPr>
          <w:ilvl w:val="0"/>
          <w:numId w:val="212"/>
        </w:numPr>
      </w:pPr>
      <w:r w:rsidRPr="00FF4962">
        <w:t xml:space="preserve">Violent and property crime rates have been decreasing in the state, although areas of high crime remain. Certain populations see disproportionately higher rates of crime including non-Hispanic Black residents and those living in rural areas. </w:t>
      </w:r>
    </w:p>
    <w:p w14:paraId="2550E2D4" w14:textId="77777777" w:rsidR="00FF4962" w:rsidRDefault="00FF4962" w:rsidP="00FF4962">
      <w:pPr>
        <w:rPr>
          <w:i/>
          <w:iCs/>
        </w:rPr>
      </w:pPr>
    </w:p>
    <w:p w14:paraId="5E70D2CA" w14:textId="11C44EC8" w:rsidR="00722CE9" w:rsidRPr="00270B2E" w:rsidRDefault="00722CE9" w:rsidP="00FF4962">
      <w:pPr>
        <w:rPr>
          <w:rStyle w:val="Heading4Char"/>
          <w:rFonts w:asciiTheme="minorHAnsi" w:hAnsiTheme="minorHAnsi" w:cstheme="minorHAnsi"/>
          <w:color w:val="000000" w:themeColor="text1"/>
        </w:rPr>
      </w:pPr>
      <w:bookmarkStart w:id="241" w:name="_Toc162267150"/>
      <w:r w:rsidRPr="00270B2E">
        <w:rPr>
          <w:rStyle w:val="Heading4Char"/>
          <w:rFonts w:asciiTheme="minorHAnsi" w:hAnsiTheme="minorHAnsi" w:cstheme="minorHAnsi"/>
          <w:color w:val="000000" w:themeColor="text1"/>
        </w:rPr>
        <w:t xml:space="preserve">References </w:t>
      </w:r>
      <w:r w:rsidR="00FF4962" w:rsidRPr="00270B2E">
        <w:rPr>
          <w:rStyle w:val="Heading4Char"/>
          <w:rFonts w:asciiTheme="minorHAnsi" w:hAnsiTheme="minorHAnsi" w:cstheme="minorHAnsi"/>
          <w:color w:val="000000" w:themeColor="text1"/>
        </w:rPr>
        <w:t>6.3</w:t>
      </w:r>
      <w:bookmarkEnd w:id="241"/>
      <w:r w:rsidR="00FF4962" w:rsidRPr="00270B2E">
        <w:rPr>
          <w:rStyle w:val="Heading4Char"/>
          <w:rFonts w:asciiTheme="minorHAnsi" w:hAnsiTheme="minorHAnsi" w:cstheme="minorHAnsi"/>
          <w:color w:val="000000" w:themeColor="text1"/>
        </w:rPr>
        <w:t xml:space="preserve"> </w:t>
      </w:r>
    </w:p>
    <w:p w14:paraId="295375F6" w14:textId="5EE71BDF" w:rsidR="00FF4962" w:rsidRDefault="00FF4962" w:rsidP="00FF4962">
      <w:r w:rsidRPr="00722CE9">
        <w:t>Statistics in the preceding</w:t>
      </w:r>
      <w:r>
        <w:t xml:space="preserve"> section</w:t>
      </w:r>
      <w:r w:rsidRPr="00722CE9">
        <w:t xml:space="preserve"> were referenced from the following reports:</w:t>
      </w:r>
    </w:p>
    <w:p w14:paraId="068F6F64" w14:textId="30E3EB74" w:rsidR="00F73294" w:rsidRPr="00F73294" w:rsidRDefault="00000000" w:rsidP="00926EB3">
      <w:pPr>
        <w:pStyle w:val="ListParagraph"/>
        <w:numPr>
          <w:ilvl w:val="0"/>
          <w:numId w:val="27"/>
        </w:numPr>
      </w:pPr>
      <w:hyperlink r:id="rId138" w:history="1">
        <w:r w:rsidR="00F73294" w:rsidRPr="00F73294">
          <w:rPr>
            <w:rStyle w:val="Hyperlink"/>
          </w:rPr>
          <w:t xml:space="preserve">“Safe and healthy communities” by Performance Seattle. Retrieved December 21, 2022. </w:t>
        </w:r>
      </w:hyperlink>
      <w:r w:rsidR="00F73294" w:rsidRPr="00F73294">
        <w:t xml:space="preserve"> </w:t>
      </w:r>
    </w:p>
    <w:p w14:paraId="47B11011" w14:textId="1E10653B" w:rsidR="00F73294" w:rsidRPr="00F73294" w:rsidRDefault="00000000" w:rsidP="00926EB3">
      <w:pPr>
        <w:pStyle w:val="ListParagraph"/>
        <w:numPr>
          <w:ilvl w:val="0"/>
          <w:numId w:val="27"/>
        </w:numPr>
      </w:pPr>
      <w:hyperlink r:id="rId139" w:history="1">
        <w:r w:rsidR="00F73294" w:rsidRPr="00F73294">
          <w:rPr>
            <w:rStyle w:val="Hyperlink"/>
          </w:rPr>
          <w:t>“Crime and violence” by US Department of Health and Human Services. Published in Healthy People 2030. Retrieved December 21, 2022.</w:t>
        </w:r>
      </w:hyperlink>
      <w:r w:rsidR="00F73294">
        <w:t xml:space="preserve"> </w:t>
      </w:r>
    </w:p>
    <w:p w14:paraId="6EC2339D" w14:textId="14DC489B" w:rsidR="00F73294" w:rsidRPr="00F73294" w:rsidRDefault="00000000" w:rsidP="00926EB3">
      <w:pPr>
        <w:pStyle w:val="ListParagraph"/>
        <w:numPr>
          <w:ilvl w:val="0"/>
          <w:numId w:val="27"/>
        </w:numPr>
      </w:pPr>
      <w:hyperlink r:id="rId140" w:history="1">
        <w:r w:rsidR="00F73294" w:rsidRPr="00F73294">
          <w:rPr>
            <w:rStyle w:val="Hyperlink"/>
          </w:rPr>
          <w:t xml:space="preserve"> “The Ripple Effect of Neighborhood Crime” by Eberly, L., &amp; </w:t>
        </w:r>
        <w:proofErr w:type="spellStart"/>
        <w:r w:rsidR="00F73294" w:rsidRPr="00F73294">
          <w:rPr>
            <w:rStyle w:val="Hyperlink"/>
          </w:rPr>
          <w:t>Khatana</w:t>
        </w:r>
        <w:proofErr w:type="spellEnd"/>
        <w:r w:rsidR="00F73294" w:rsidRPr="00F73294">
          <w:rPr>
            <w:rStyle w:val="Hyperlink"/>
          </w:rPr>
          <w:t xml:space="preserve">, S., 2022. Retrieved December 21, 2022. </w:t>
        </w:r>
      </w:hyperlink>
      <w:r w:rsidR="00F73294" w:rsidRPr="00F73294">
        <w:t xml:space="preserve"> </w:t>
      </w:r>
    </w:p>
    <w:p w14:paraId="2B430D44" w14:textId="53DB0E2B" w:rsidR="00F73294" w:rsidRPr="00F73294" w:rsidRDefault="00F73294" w:rsidP="00926EB3">
      <w:pPr>
        <w:pStyle w:val="ListParagraph"/>
        <w:numPr>
          <w:ilvl w:val="0"/>
          <w:numId w:val="27"/>
        </w:numPr>
      </w:pPr>
      <w:r>
        <w:t>“</w:t>
      </w:r>
      <w:r w:rsidRPr="00F73294">
        <w:t>Neighborhood crime and access to health-enabling resources in Chicago</w:t>
      </w:r>
      <w:r>
        <w:t xml:space="preserve">” by </w:t>
      </w:r>
      <w:r w:rsidRPr="00F73294">
        <w:t>Tung, E. L., Boyd, K., Lindau, S. T., &amp; Peek, M. E.</w:t>
      </w:r>
      <w:r>
        <w:t xml:space="preserve"> Published in </w:t>
      </w:r>
      <w:r w:rsidRPr="00F73294">
        <w:t>Preventive medicine reports, </w:t>
      </w:r>
      <w:r>
        <w:t>2018. No hyperlink.</w:t>
      </w:r>
    </w:p>
    <w:p w14:paraId="6C6929FC" w14:textId="6C0C38C2" w:rsidR="00FF4962" w:rsidRDefault="00F73294" w:rsidP="00926EB3">
      <w:pPr>
        <w:pStyle w:val="ListParagraph"/>
        <w:numPr>
          <w:ilvl w:val="0"/>
          <w:numId w:val="27"/>
        </w:numPr>
      </w:pPr>
      <w:r>
        <w:t>“</w:t>
      </w:r>
      <w:r w:rsidRPr="00F73294">
        <w:t>The Aggregate Cost of Crime in the United States</w:t>
      </w:r>
      <w:r>
        <w:t xml:space="preserve">” by </w:t>
      </w:r>
      <w:r w:rsidRPr="00F73294">
        <w:t xml:space="preserve">Anderson, D. A. </w:t>
      </w:r>
      <w:r>
        <w:t xml:space="preserve">Published in </w:t>
      </w:r>
      <w:r w:rsidRPr="00F73294">
        <w:t xml:space="preserve">The Journal of </w:t>
      </w:r>
      <w:proofErr w:type="gramStart"/>
      <w:r w:rsidRPr="00F73294">
        <w:t>Law</w:t>
      </w:r>
      <w:proofErr w:type="gramEnd"/>
      <w:r w:rsidRPr="00F73294">
        <w:t xml:space="preserve"> and Economics, 2021.</w:t>
      </w:r>
      <w:r>
        <w:t xml:space="preserve"> No hyperlink.</w:t>
      </w:r>
    </w:p>
    <w:p w14:paraId="5A7E8D38" w14:textId="77777777" w:rsidR="00F73294" w:rsidRDefault="00F73294" w:rsidP="00F73294">
      <w:pPr>
        <w:pStyle w:val="ListParagraph"/>
      </w:pPr>
    </w:p>
    <w:p w14:paraId="0DBD0427" w14:textId="77777777" w:rsidR="00FF4962" w:rsidRDefault="00FF4962" w:rsidP="00FF4962">
      <w:pPr>
        <w:pStyle w:val="Heading3"/>
      </w:pPr>
      <w:bookmarkStart w:id="242" w:name="_Toc162267151"/>
      <w:r w:rsidRPr="00FF4962">
        <w:t>Employment</w:t>
      </w:r>
      <w:bookmarkEnd w:id="242"/>
    </w:p>
    <w:p w14:paraId="69C7C37B" w14:textId="56086D05" w:rsidR="00FF4962" w:rsidRDefault="00FF4962" w:rsidP="00FF4962">
      <w:pPr>
        <w:rPr>
          <w:b/>
          <w:bCs/>
        </w:rPr>
      </w:pPr>
      <w:r w:rsidRPr="00FF4962">
        <w:t>Economic stability is a key social determinant of health and employment plays an integral part in economic stability. Employment security provides financial stability and can open more opportunities for accessing health care, obtaining more nutritious food, and even addressing mental health needs. Transversely, a person’s overall health and well-being can be severely harmed by job insecurity and economic changes. Recent economic changes in SC included jobs lost during the COVID-19 pandemic and the ensuing recession in 2020, followed by job growth due to the economy’s recovery in 2021. These economic changes can exasperate disadvantaged populations such as many living in rural areas that make up much of SC. Rural populations have seen harsh outcomes from unemployment during the COVID-19 pandemic, including lower overall life satisfaction, mental health, and economic outlook.</w:t>
      </w:r>
    </w:p>
    <w:p w14:paraId="0AE35437" w14:textId="77777777" w:rsidR="00FF4962" w:rsidRDefault="00FF4962" w:rsidP="00FF4962"/>
    <w:p w14:paraId="47A041ED" w14:textId="77777777" w:rsidR="00421192" w:rsidRDefault="00421192" w:rsidP="00421192">
      <w:pPr>
        <w:pStyle w:val="Heading4"/>
      </w:pPr>
      <w:bookmarkStart w:id="243" w:name="_Toc154569817"/>
      <w:bookmarkStart w:id="244" w:name="_Toc162267152"/>
      <w:r>
        <w:t>Figure 6.8: Unemployment Rate.</w:t>
      </w:r>
      <w:bookmarkEnd w:id="243"/>
      <w:bookmarkEnd w:id="244"/>
    </w:p>
    <w:tbl>
      <w:tblPr>
        <w:tblStyle w:val="TableGrid"/>
        <w:tblW w:w="0" w:type="auto"/>
        <w:tblLook w:val="04A0" w:firstRow="1" w:lastRow="0" w:firstColumn="1" w:lastColumn="0" w:noHBand="0" w:noVBand="1"/>
      </w:tblPr>
      <w:tblGrid>
        <w:gridCol w:w="3116"/>
        <w:gridCol w:w="3117"/>
        <w:gridCol w:w="3117"/>
      </w:tblGrid>
      <w:tr w:rsidR="00421192" w14:paraId="69BA4AC4" w14:textId="77777777" w:rsidTr="001515D5">
        <w:tc>
          <w:tcPr>
            <w:tcW w:w="3116" w:type="dxa"/>
            <w:vAlign w:val="bottom"/>
          </w:tcPr>
          <w:p w14:paraId="6A0DF23E" w14:textId="77777777" w:rsidR="00421192" w:rsidRPr="00AB0D52" w:rsidRDefault="00421192" w:rsidP="001515D5">
            <w:r w:rsidRPr="00AB0D52">
              <w:t>Year</w:t>
            </w:r>
          </w:p>
        </w:tc>
        <w:tc>
          <w:tcPr>
            <w:tcW w:w="3117" w:type="dxa"/>
            <w:vAlign w:val="bottom"/>
          </w:tcPr>
          <w:p w14:paraId="341329DD" w14:textId="77777777" w:rsidR="00421192" w:rsidRPr="00AB0D52" w:rsidRDefault="00421192" w:rsidP="001515D5">
            <w:r w:rsidRPr="00AB0D52">
              <w:t>South Carolina</w:t>
            </w:r>
          </w:p>
        </w:tc>
        <w:tc>
          <w:tcPr>
            <w:tcW w:w="3117" w:type="dxa"/>
            <w:vAlign w:val="bottom"/>
          </w:tcPr>
          <w:p w14:paraId="5E39C7FE" w14:textId="77777777" w:rsidR="00421192" w:rsidRPr="00AB0D52" w:rsidRDefault="00421192" w:rsidP="001515D5">
            <w:r w:rsidRPr="00AB0D52">
              <w:t>United States</w:t>
            </w:r>
          </w:p>
        </w:tc>
      </w:tr>
      <w:tr w:rsidR="00421192" w14:paraId="426B7804" w14:textId="77777777" w:rsidTr="001515D5">
        <w:tc>
          <w:tcPr>
            <w:tcW w:w="3116" w:type="dxa"/>
            <w:vAlign w:val="bottom"/>
          </w:tcPr>
          <w:p w14:paraId="2AD325D5" w14:textId="77777777" w:rsidR="00421192" w:rsidRPr="00AB0D52" w:rsidRDefault="00421192" w:rsidP="001515D5">
            <w:r w:rsidRPr="00AB0D52">
              <w:t>2012</w:t>
            </w:r>
          </w:p>
        </w:tc>
        <w:tc>
          <w:tcPr>
            <w:tcW w:w="3117" w:type="dxa"/>
            <w:vAlign w:val="bottom"/>
          </w:tcPr>
          <w:p w14:paraId="015F340D" w14:textId="77777777" w:rsidR="00421192" w:rsidRPr="00AB0D52" w:rsidRDefault="00421192" w:rsidP="001515D5">
            <w:r w:rsidRPr="00AB0D52">
              <w:t>9.0%</w:t>
            </w:r>
          </w:p>
        </w:tc>
        <w:tc>
          <w:tcPr>
            <w:tcW w:w="3117" w:type="dxa"/>
            <w:vAlign w:val="bottom"/>
          </w:tcPr>
          <w:p w14:paraId="3C5C77C4" w14:textId="77777777" w:rsidR="00421192" w:rsidRPr="00AB0D52" w:rsidRDefault="00421192" w:rsidP="001515D5">
            <w:r w:rsidRPr="00AB0D52">
              <w:t>8.1%</w:t>
            </w:r>
          </w:p>
        </w:tc>
      </w:tr>
      <w:tr w:rsidR="00421192" w14:paraId="7C86FE41" w14:textId="77777777" w:rsidTr="001515D5">
        <w:tc>
          <w:tcPr>
            <w:tcW w:w="3116" w:type="dxa"/>
            <w:vAlign w:val="bottom"/>
          </w:tcPr>
          <w:p w14:paraId="2FE80047" w14:textId="77777777" w:rsidR="00421192" w:rsidRPr="00AB0D52" w:rsidRDefault="00421192" w:rsidP="001515D5">
            <w:r w:rsidRPr="00AB0D52">
              <w:t>2013</w:t>
            </w:r>
          </w:p>
        </w:tc>
        <w:tc>
          <w:tcPr>
            <w:tcW w:w="3117" w:type="dxa"/>
            <w:vAlign w:val="bottom"/>
          </w:tcPr>
          <w:p w14:paraId="725F80ED" w14:textId="77777777" w:rsidR="00421192" w:rsidRPr="00AB0D52" w:rsidRDefault="00421192" w:rsidP="001515D5">
            <w:r w:rsidRPr="00AB0D52">
              <w:t>7.4%</w:t>
            </w:r>
          </w:p>
        </w:tc>
        <w:tc>
          <w:tcPr>
            <w:tcW w:w="3117" w:type="dxa"/>
            <w:vAlign w:val="bottom"/>
          </w:tcPr>
          <w:p w14:paraId="54E1FBD5" w14:textId="77777777" w:rsidR="00421192" w:rsidRPr="00AB0D52" w:rsidRDefault="00421192" w:rsidP="001515D5">
            <w:r w:rsidRPr="00AB0D52">
              <w:t>7.4%</w:t>
            </w:r>
          </w:p>
        </w:tc>
      </w:tr>
      <w:tr w:rsidR="00421192" w14:paraId="71F4F3DC" w14:textId="77777777" w:rsidTr="001515D5">
        <w:tc>
          <w:tcPr>
            <w:tcW w:w="3116" w:type="dxa"/>
            <w:vAlign w:val="bottom"/>
          </w:tcPr>
          <w:p w14:paraId="61D508AF" w14:textId="77777777" w:rsidR="00421192" w:rsidRPr="00AB0D52" w:rsidRDefault="00421192" w:rsidP="001515D5">
            <w:r w:rsidRPr="00AB0D52">
              <w:t>2014</w:t>
            </w:r>
          </w:p>
        </w:tc>
        <w:tc>
          <w:tcPr>
            <w:tcW w:w="3117" w:type="dxa"/>
            <w:vAlign w:val="bottom"/>
          </w:tcPr>
          <w:p w14:paraId="44BB1231" w14:textId="77777777" w:rsidR="00421192" w:rsidRPr="00AB0D52" w:rsidRDefault="00421192" w:rsidP="001515D5">
            <w:r w:rsidRPr="00AB0D52">
              <w:t>6.3%</w:t>
            </w:r>
          </w:p>
        </w:tc>
        <w:tc>
          <w:tcPr>
            <w:tcW w:w="3117" w:type="dxa"/>
            <w:vAlign w:val="bottom"/>
          </w:tcPr>
          <w:p w14:paraId="57B5BBDD" w14:textId="77777777" w:rsidR="00421192" w:rsidRPr="00AB0D52" w:rsidRDefault="00421192" w:rsidP="001515D5">
            <w:r w:rsidRPr="00AB0D52">
              <w:t>6.2%</w:t>
            </w:r>
          </w:p>
        </w:tc>
      </w:tr>
      <w:tr w:rsidR="00421192" w14:paraId="0D11E48E" w14:textId="77777777" w:rsidTr="001515D5">
        <w:tc>
          <w:tcPr>
            <w:tcW w:w="3116" w:type="dxa"/>
            <w:vAlign w:val="bottom"/>
          </w:tcPr>
          <w:p w14:paraId="5D3C324F" w14:textId="77777777" w:rsidR="00421192" w:rsidRPr="00AB0D52" w:rsidRDefault="00421192" w:rsidP="001515D5">
            <w:r w:rsidRPr="00AB0D52">
              <w:t>2015</w:t>
            </w:r>
          </w:p>
        </w:tc>
        <w:tc>
          <w:tcPr>
            <w:tcW w:w="3117" w:type="dxa"/>
            <w:vAlign w:val="bottom"/>
          </w:tcPr>
          <w:p w14:paraId="6962F669" w14:textId="77777777" w:rsidR="00421192" w:rsidRPr="00AB0D52" w:rsidRDefault="00421192" w:rsidP="001515D5">
            <w:r w:rsidRPr="00AB0D52">
              <w:t>5.9%</w:t>
            </w:r>
          </w:p>
        </w:tc>
        <w:tc>
          <w:tcPr>
            <w:tcW w:w="3117" w:type="dxa"/>
            <w:vAlign w:val="bottom"/>
          </w:tcPr>
          <w:p w14:paraId="149401B3" w14:textId="77777777" w:rsidR="00421192" w:rsidRPr="00AB0D52" w:rsidRDefault="00421192" w:rsidP="001515D5">
            <w:r w:rsidRPr="00AB0D52">
              <w:t>5.3%</w:t>
            </w:r>
          </w:p>
        </w:tc>
      </w:tr>
      <w:tr w:rsidR="00421192" w14:paraId="23E3D02F" w14:textId="77777777" w:rsidTr="001515D5">
        <w:tc>
          <w:tcPr>
            <w:tcW w:w="3116" w:type="dxa"/>
            <w:vAlign w:val="bottom"/>
          </w:tcPr>
          <w:p w14:paraId="0279DBBB" w14:textId="77777777" w:rsidR="00421192" w:rsidRPr="00AB0D52" w:rsidRDefault="00421192" w:rsidP="001515D5">
            <w:r w:rsidRPr="00AB0D52">
              <w:t>2016</w:t>
            </w:r>
          </w:p>
        </w:tc>
        <w:tc>
          <w:tcPr>
            <w:tcW w:w="3117" w:type="dxa"/>
            <w:vAlign w:val="bottom"/>
          </w:tcPr>
          <w:p w14:paraId="17EF34A2" w14:textId="77777777" w:rsidR="00421192" w:rsidRPr="00AB0D52" w:rsidRDefault="00421192" w:rsidP="001515D5">
            <w:r w:rsidRPr="00AB0D52">
              <w:t>4.9%</w:t>
            </w:r>
          </w:p>
        </w:tc>
        <w:tc>
          <w:tcPr>
            <w:tcW w:w="3117" w:type="dxa"/>
            <w:vAlign w:val="bottom"/>
          </w:tcPr>
          <w:p w14:paraId="4EC2D7F6" w14:textId="77777777" w:rsidR="00421192" w:rsidRPr="00AB0D52" w:rsidRDefault="00421192" w:rsidP="001515D5">
            <w:r w:rsidRPr="00AB0D52">
              <w:t>4.9%</w:t>
            </w:r>
          </w:p>
        </w:tc>
      </w:tr>
      <w:tr w:rsidR="00421192" w14:paraId="3D0F8814" w14:textId="77777777" w:rsidTr="001515D5">
        <w:tc>
          <w:tcPr>
            <w:tcW w:w="3116" w:type="dxa"/>
            <w:vAlign w:val="bottom"/>
          </w:tcPr>
          <w:p w14:paraId="75B6706A" w14:textId="77777777" w:rsidR="00421192" w:rsidRPr="00AB0D52" w:rsidRDefault="00421192" w:rsidP="001515D5">
            <w:r w:rsidRPr="00AB0D52">
              <w:t>2017</w:t>
            </w:r>
          </w:p>
        </w:tc>
        <w:tc>
          <w:tcPr>
            <w:tcW w:w="3117" w:type="dxa"/>
            <w:vAlign w:val="bottom"/>
          </w:tcPr>
          <w:p w14:paraId="73038E70" w14:textId="77777777" w:rsidR="00421192" w:rsidRPr="00AB0D52" w:rsidRDefault="00421192" w:rsidP="001515D5">
            <w:r w:rsidRPr="00AB0D52">
              <w:t>4.2%</w:t>
            </w:r>
          </w:p>
        </w:tc>
        <w:tc>
          <w:tcPr>
            <w:tcW w:w="3117" w:type="dxa"/>
            <w:vAlign w:val="bottom"/>
          </w:tcPr>
          <w:p w14:paraId="6A7C4929" w14:textId="77777777" w:rsidR="00421192" w:rsidRPr="00AB0D52" w:rsidRDefault="00421192" w:rsidP="001515D5">
            <w:r w:rsidRPr="00AB0D52">
              <w:t>4.4%</w:t>
            </w:r>
          </w:p>
        </w:tc>
      </w:tr>
      <w:tr w:rsidR="00421192" w14:paraId="2DF04A96" w14:textId="77777777" w:rsidTr="001515D5">
        <w:tc>
          <w:tcPr>
            <w:tcW w:w="3116" w:type="dxa"/>
            <w:vAlign w:val="bottom"/>
          </w:tcPr>
          <w:p w14:paraId="17E44D78" w14:textId="77777777" w:rsidR="00421192" w:rsidRPr="00AB0D52" w:rsidRDefault="00421192" w:rsidP="001515D5">
            <w:r w:rsidRPr="00AB0D52">
              <w:t>2018</w:t>
            </w:r>
          </w:p>
        </w:tc>
        <w:tc>
          <w:tcPr>
            <w:tcW w:w="3117" w:type="dxa"/>
            <w:vAlign w:val="bottom"/>
          </w:tcPr>
          <w:p w14:paraId="2C7CC525" w14:textId="77777777" w:rsidR="00421192" w:rsidRPr="00AB0D52" w:rsidRDefault="00421192" w:rsidP="001515D5">
            <w:r w:rsidRPr="00AB0D52">
              <w:t>3.4%</w:t>
            </w:r>
          </w:p>
        </w:tc>
        <w:tc>
          <w:tcPr>
            <w:tcW w:w="3117" w:type="dxa"/>
            <w:vAlign w:val="bottom"/>
          </w:tcPr>
          <w:p w14:paraId="49A3DA08" w14:textId="77777777" w:rsidR="00421192" w:rsidRPr="00AB0D52" w:rsidRDefault="00421192" w:rsidP="001515D5">
            <w:r w:rsidRPr="00AB0D52">
              <w:t>3.9%</w:t>
            </w:r>
          </w:p>
        </w:tc>
      </w:tr>
      <w:tr w:rsidR="00421192" w14:paraId="015E2DCF" w14:textId="77777777" w:rsidTr="001515D5">
        <w:tc>
          <w:tcPr>
            <w:tcW w:w="3116" w:type="dxa"/>
            <w:vAlign w:val="bottom"/>
          </w:tcPr>
          <w:p w14:paraId="766A229F" w14:textId="77777777" w:rsidR="00421192" w:rsidRPr="00AB0D52" w:rsidRDefault="00421192" w:rsidP="001515D5">
            <w:r w:rsidRPr="00AB0D52">
              <w:t>2019</w:t>
            </w:r>
          </w:p>
        </w:tc>
        <w:tc>
          <w:tcPr>
            <w:tcW w:w="3117" w:type="dxa"/>
            <w:vAlign w:val="bottom"/>
          </w:tcPr>
          <w:p w14:paraId="60BF2E90" w14:textId="77777777" w:rsidR="00421192" w:rsidRPr="00AB0D52" w:rsidRDefault="00421192" w:rsidP="001515D5">
            <w:r w:rsidRPr="00AB0D52">
              <w:t>2.8%</w:t>
            </w:r>
          </w:p>
        </w:tc>
        <w:tc>
          <w:tcPr>
            <w:tcW w:w="3117" w:type="dxa"/>
            <w:vAlign w:val="bottom"/>
          </w:tcPr>
          <w:p w14:paraId="216A2D72" w14:textId="77777777" w:rsidR="00421192" w:rsidRPr="00AB0D52" w:rsidRDefault="00421192" w:rsidP="001515D5">
            <w:r w:rsidRPr="00AB0D52">
              <w:t>3.7%</w:t>
            </w:r>
          </w:p>
        </w:tc>
      </w:tr>
      <w:tr w:rsidR="00421192" w14:paraId="4BEFB5A8" w14:textId="77777777" w:rsidTr="001515D5">
        <w:tc>
          <w:tcPr>
            <w:tcW w:w="3116" w:type="dxa"/>
            <w:vAlign w:val="bottom"/>
          </w:tcPr>
          <w:p w14:paraId="151004F1" w14:textId="77777777" w:rsidR="00421192" w:rsidRPr="00AB0D52" w:rsidRDefault="00421192" w:rsidP="001515D5">
            <w:r w:rsidRPr="00AB0D52">
              <w:t>2020</w:t>
            </w:r>
          </w:p>
        </w:tc>
        <w:tc>
          <w:tcPr>
            <w:tcW w:w="3117" w:type="dxa"/>
            <w:vAlign w:val="bottom"/>
          </w:tcPr>
          <w:p w14:paraId="229A4182" w14:textId="77777777" w:rsidR="00421192" w:rsidRPr="00AB0D52" w:rsidRDefault="00421192" w:rsidP="001515D5">
            <w:r w:rsidRPr="00AB0D52">
              <w:t>6.0%</w:t>
            </w:r>
          </w:p>
        </w:tc>
        <w:tc>
          <w:tcPr>
            <w:tcW w:w="3117" w:type="dxa"/>
            <w:vAlign w:val="bottom"/>
          </w:tcPr>
          <w:p w14:paraId="12CFE0CC" w14:textId="77777777" w:rsidR="00421192" w:rsidRPr="00AB0D52" w:rsidRDefault="00421192" w:rsidP="001515D5">
            <w:r w:rsidRPr="00AB0D52">
              <w:t>8.1%</w:t>
            </w:r>
          </w:p>
        </w:tc>
      </w:tr>
      <w:tr w:rsidR="00421192" w14:paraId="5D4181C1" w14:textId="77777777" w:rsidTr="001515D5">
        <w:tc>
          <w:tcPr>
            <w:tcW w:w="3116" w:type="dxa"/>
            <w:vAlign w:val="bottom"/>
          </w:tcPr>
          <w:p w14:paraId="4618D16C" w14:textId="77777777" w:rsidR="00421192" w:rsidRPr="00AB0D52" w:rsidRDefault="00421192" w:rsidP="001515D5">
            <w:r w:rsidRPr="00AB0D52">
              <w:lastRenderedPageBreak/>
              <w:t>2021</w:t>
            </w:r>
          </w:p>
        </w:tc>
        <w:tc>
          <w:tcPr>
            <w:tcW w:w="3117" w:type="dxa"/>
            <w:vAlign w:val="bottom"/>
          </w:tcPr>
          <w:p w14:paraId="4127073B" w14:textId="77777777" w:rsidR="00421192" w:rsidRPr="00AB0D52" w:rsidRDefault="00421192" w:rsidP="001515D5">
            <w:r w:rsidRPr="00AB0D52">
              <w:t>4.0%</w:t>
            </w:r>
          </w:p>
        </w:tc>
        <w:tc>
          <w:tcPr>
            <w:tcW w:w="3117" w:type="dxa"/>
            <w:vAlign w:val="bottom"/>
          </w:tcPr>
          <w:p w14:paraId="114D4AF6" w14:textId="77777777" w:rsidR="00421192" w:rsidRPr="00AB0D52" w:rsidRDefault="00421192" w:rsidP="001515D5">
            <w:r w:rsidRPr="00AB0D52">
              <w:t>5.3%</w:t>
            </w:r>
          </w:p>
        </w:tc>
      </w:tr>
    </w:tbl>
    <w:p w14:paraId="351BA068" w14:textId="77777777" w:rsidR="00421192" w:rsidRDefault="00421192" w:rsidP="00421192">
      <w:r w:rsidRPr="00AB0D52">
        <w:t>Source: SC Deportment of Employment &amp; Workforce.</w:t>
      </w:r>
    </w:p>
    <w:p w14:paraId="1A8C9EE1" w14:textId="77777777" w:rsidR="00421192" w:rsidRDefault="00421192" w:rsidP="00421192"/>
    <w:p w14:paraId="7FE580B5" w14:textId="77777777" w:rsidR="00421192" w:rsidRDefault="00421192" w:rsidP="00421192">
      <w:pPr>
        <w:pStyle w:val="Heading4"/>
      </w:pPr>
      <w:bookmarkStart w:id="245" w:name="_Toc154569818"/>
      <w:bookmarkStart w:id="246" w:name="_Toc162267153"/>
      <w:r>
        <w:t>Figure 6.9: Place of Work.</w:t>
      </w:r>
      <w:bookmarkEnd w:id="245"/>
      <w:bookmarkEnd w:id="246"/>
    </w:p>
    <w:tbl>
      <w:tblPr>
        <w:tblStyle w:val="TableGrid"/>
        <w:tblW w:w="0" w:type="auto"/>
        <w:tblLook w:val="04A0" w:firstRow="1" w:lastRow="0" w:firstColumn="1" w:lastColumn="0" w:noHBand="0" w:noVBand="1"/>
      </w:tblPr>
      <w:tblGrid>
        <w:gridCol w:w="4675"/>
        <w:gridCol w:w="4675"/>
      </w:tblGrid>
      <w:tr w:rsidR="00421192" w14:paraId="719AC939" w14:textId="77777777" w:rsidTr="001515D5">
        <w:tc>
          <w:tcPr>
            <w:tcW w:w="4675" w:type="dxa"/>
            <w:vAlign w:val="bottom"/>
          </w:tcPr>
          <w:p w14:paraId="2287922C" w14:textId="77777777" w:rsidR="00421192" w:rsidRDefault="00421192" w:rsidP="001515D5">
            <w:r>
              <w:t>Location</w:t>
            </w:r>
          </w:p>
        </w:tc>
        <w:tc>
          <w:tcPr>
            <w:tcW w:w="4675" w:type="dxa"/>
            <w:vAlign w:val="bottom"/>
          </w:tcPr>
          <w:p w14:paraId="45FF638C" w14:textId="77777777" w:rsidR="00421192" w:rsidRDefault="00421192" w:rsidP="001515D5">
            <w:r>
              <w:t>Percent</w:t>
            </w:r>
          </w:p>
        </w:tc>
      </w:tr>
      <w:tr w:rsidR="00421192" w14:paraId="590C9746" w14:textId="77777777" w:rsidTr="001515D5">
        <w:tc>
          <w:tcPr>
            <w:tcW w:w="4675" w:type="dxa"/>
            <w:vAlign w:val="bottom"/>
          </w:tcPr>
          <w:p w14:paraId="5A2687F7" w14:textId="77777777" w:rsidR="00421192" w:rsidRDefault="00421192" w:rsidP="001515D5">
            <w:r>
              <w:t>Work and Live in County of Residence</w:t>
            </w:r>
          </w:p>
        </w:tc>
        <w:tc>
          <w:tcPr>
            <w:tcW w:w="4675" w:type="dxa"/>
            <w:vAlign w:val="bottom"/>
          </w:tcPr>
          <w:p w14:paraId="133AFD1A" w14:textId="77777777" w:rsidR="00421192" w:rsidRDefault="00421192" w:rsidP="001515D5">
            <w:r>
              <w:t>70.90%</w:t>
            </w:r>
          </w:p>
        </w:tc>
      </w:tr>
      <w:tr w:rsidR="00421192" w14:paraId="2A656F00" w14:textId="77777777" w:rsidTr="001515D5">
        <w:tc>
          <w:tcPr>
            <w:tcW w:w="4675" w:type="dxa"/>
            <w:vAlign w:val="bottom"/>
          </w:tcPr>
          <w:p w14:paraId="5314478C" w14:textId="77777777" w:rsidR="00421192" w:rsidRDefault="00421192" w:rsidP="001515D5">
            <w:r>
              <w:t>Out-of-County Commuters</w:t>
            </w:r>
          </w:p>
        </w:tc>
        <w:tc>
          <w:tcPr>
            <w:tcW w:w="4675" w:type="dxa"/>
            <w:vAlign w:val="bottom"/>
          </w:tcPr>
          <w:p w14:paraId="4C09AE02" w14:textId="77777777" w:rsidR="00421192" w:rsidRDefault="00421192" w:rsidP="001515D5">
            <w:r>
              <w:t>23.90%</w:t>
            </w:r>
          </w:p>
        </w:tc>
      </w:tr>
      <w:tr w:rsidR="00421192" w14:paraId="1D516451" w14:textId="77777777" w:rsidTr="001515D5">
        <w:tc>
          <w:tcPr>
            <w:tcW w:w="4675" w:type="dxa"/>
            <w:vAlign w:val="bottom"/>
          </w:tcPr>
          <w:p w14:paraId="10601889" w14:textId="77777777" w:rsidR="00421192" w:rsidRDefault="00421192" w:rsidP="001515D5">
            <w:r>
              <w:t>Out-of-State Commuters</w:t>
            </w:r>
          </w:p>
        </w:tc>
        <w:tc>
          <w:tcPr>
            <w:tcW w:w="4675" w:type="dxa"/>
            <w:vAlign w:val="bottom"/>
          </w:tcPr>
          <w:p w14:paraId="519A08D3" w14:textId="77777777" w:rsidR="00421192" w:rsidRDefault="00421192" w:rsidP="001515D5">
            <w:r>
              <w:t>5.20%</w:t>
            </w:r>
          </w:p>
        </w:tc>
      </w:tr>
    </w:tbl>
    <w:p w14:paraId="56822CD9" w14:textId="77777777" w:rsidR="00421192" w:rsidRDefault="00421192" w:rsidP="00421192">
      <w:r w:rsidRPr="00AB0D52">
        <w:t>Source: US Census Bureau: American Community Survey 5-Year Estimates, 2021.</w:t>
      </w:r>
    </w:p>
    <w:p w14:paraId="69F33BE0" w14:textId="77777777" w:rsidR="00421192" w:rsidRDefault="00421192" w:rsidP="00421192"/>
    <w:p w14:paraId="5AFF6E3A" w14:textId="77777777" w:rsidR="00421192" w:rsidRDefault="00421192" w:rsidP="00421192">
      <w:pPr>
        <w:pStyle w:val="Heading4"/>
      </w:pPr>
      <w:bookmarkStart w:id="247" w:name="_Toc154569819"/>
      <w:bookmarkStart w:id="248" w:name="_Toc162267154"/>
      <w:r>
        <w:t>Figure 6.10: Top 10 Labor Market Projections from 2020-2030, by Industry Type.</w:t>
      </w:r>
      <w:bookmarkEnd w:id="247"/>
      <w:bookmarkEnd w:id="248"/>
    </w:p>
    <w:tbl>
      <w:tblPr>
        <w:tblStyle w:val="TableGrid"/>
        <w:tblW w:w="0" w:type="auto"/>
        <w:tblLook w:val="04A0" w:firstRow="1" w:lastRow="0" w:firstColumn="1" w:lastColumn="0" w:noHBand="0" w:noVBand="1"/>
      </w:tblPr>
      <w:tblGrid>
        <w:gridCol w:w="4675"/>
        <w:gridCol w:w="4675"/>
      </w:tblGrid>
      <w:tr w:rsidR="00421192" w14:paraId="449225E2" w14:textId="77777777" w:rsidTr="001515D5">
        <w:tc>
          <w:tcPr>
            <w:tcW w:w="4675" w:type="dxa"/>
            <w:vAlign w:val="bottom"/>
          </w:tcPr>
          <w:p w14:paraId="14348868" w14:textId="77777777" w:rsidR="00421192" w:rsidRDefault="00421192" w:rsidP="001515D5">
            <w:r>
              <w:t>Industry</w:t>
            </w:r>
          </w:p>
        </w:tc>
        <w:tc>
          <w:tcPr>
            <w:tcW w:w="4675" w:type="dxa"/>
            <w:vAlign w:val="bottom"/>
          </w:tcPr>
          <w:p w14:paraId="3E61AF62" w14:textId="77777777" w:rsidR="00421192" w:rsidRDefault="00421192" w:rsidP="001515D5">
            <w:r>
              <w:t>Percent</w:t>
            </w:r>
          </w:p>
        </w:tc>
      </w:tr>
      <w:tr w:rsidR="00421192" w14:paraId="2FF28B5B" w14:textId="77777777" w:rsidTr="001515D5">
        <w:tc>
          <w:tcPr>
            <w:tcW w:w="4675" w:type="dxa"/>
            <w:vAlign w:val="bottom"/>
          </w:tcPr>
          <w:p w14:paraId="35C41C6E" w14:textId="77777777" w:rsidR="00421192" w:rsidRDefault="00421192" w:rsidP="001515D5">
            <w:r>
              <w:t>Real Estate/Rental/Leasing</w:t>
            </w:r>
          </w:p>
        </w:tc>
        <w:tc>
          <w:tcPr>
            <w:tcW w:w="4675" w:type="dxa"/>
            <w:vAlign w:val="bottom"/>
          </w:tcPr>
          <w:p w14:paraId="3F836CD2" w14:textId="77777777" w:rsidR="00421192" w:rsidRDefault="00421192" w:rsidP="001515D5">
            <w:r>
              <w:t>11.8%</w:t>
            </w:r>
          </w:p>
        </w:tc>
      </w:tr>
      <w:tr w:rsidR="00421192" w14:paraId="7C1F32BD" w14:textId="77777777" w:rsidTr="001515D5">
        <w:tc>
          <w:tcPr>
            <w:tcW w:w="4675" w:type="dxa"/>
            <w:vAlign w:val="bottom"/>
          </w:tcPr>
          <w:p w14:paraId="06D8FE73" w14:textId="77777777" w:rsidR="00421192" w:rsidRDefault="00421192" w:rsidP="001515D5">
            <w:r>
              <w:t>Other Services (except Government)</w:t>
            </w:r>
          </w:p>
        </w:tc>
        <w:tc>
          <w:tcPr>
            <w:tcW w:w="4675" w:type="dxa"/>
            <w:vAlign w:val="bottom"/>
          </w:tcPr>
          <w:p w14:paraId="4DA633D4" w14:textId="77777777" w:rsidR="00421192" w:rsidRDefault="00421192" w:rsidP="001515D5">
            <w:r>
              <w:t>12.7%</w:t>
            </w:r>
          </w:p>
        </w:tc>
      </w:tr>
      <w:tr w:rsidR="00421192" w14:paraId="4722F3C1" w14:textId="77777777" w:rsidTr="001515D5">
        <w:tc>
          <w:tcPr>
            <w:tcW w:w="4675" w:type="dxa"/>
            <w:vAlign w:val="bottom"/>
          </w:tcPr>
          <w:p w14:paraId="53EA7DFC" w14:textId="77777777" w:rsidR="00421192" w:rsidRDefault="00421192" w:rsidP="001515D5">
            <w:r>
              <w:t>Wholesale Trade</w:t>
            </w:r>
          </w:p>
        </w:tc>
        <w:tc>
          <w:tcPr>
            <w:tcW w:w="4675" w:type="dxa"/>
            <w:vAlign w:val="bottom"/>
          </w:tcPr>
          <w:p w14:paraId="65F01A04" w14:textId="77777777" w:rsidR="00421192" w:rsidRDefault="00421192" w:rsidP="001515D5">
            <w:r>
              <w:t>12.7%</w:t>
            </w:r>
          </w:p>
        </w:tc>
      </w:tr>
      <w:tr w:rsidR="00421192" w14:paraId="7A57C532" w14:textId="77777777" w:rsidTr="001515D5">
        <w:tc>
          <w:tcPr>
            <w:tcW w:w="4675" w:type="dxa"/>
            <w:vAlign w:val="bottom"/>
          </w:tcPr>
          <w:p w14:paraId="22EE06F6" w14:textId="77777777" w:rsidR="00421192" w:rsidRDefault="00421192" w:rsidP="001515D5">
            <w:r>
              <w:t>Professional, Scientific, &amp; Technical Services</w:t>
            </w:r>
          </w:p>
        </w:tc>
        <w:tc>
          <w:tcPr>
            <w:tcW w:w="4675" w:type="dxa"/>
            <w:vAlign w:val="bottom"/>
          </w:tcPr>
          <w:p w14:paraId="208DC8A9" w14:textId="77777777" w:rsidR="00421192" w:rsidRDefault="00421192" w:rsidP="001515D5">
            <w:r>
              <w:t>12.8%</w:t>
            </w:r>
          </w:p>
        </w:tc>
      </w:tr>
      <w:tr w:rsidR="00421192" w14:paraId="27243A62" w14:textId="77777777" w:rsidTr="001515D5">
        <w:tc>
          <w:tcPr>
            <w:tcW w:w="4675" w:type="dxa"/>
            <w:vAlign w:val="bottom"/>
          </w:tcPr>
          <w:p w14:paraId="14350C26" w14:textId="59F1B183" w:rsidR="00421192" w:rsidRDefault="00421192" w:rsidP="001515D5">
            <w:r>
              <w:t>Health</w:t>
            </w:r>
            <w:r w:rsidR="004C35A5">
              <w:t>care</w:t>
            </w:r>
            <w:r>
              <w:t xml:space="preserve"> &amp; Social Assistance</w:t>
            </w:r>
          </w:p>
        </w:tc>
        <w:tc>
          <w:tcPr>
            <w:tcW w:w="4675" w:type="dxa"/>
            <w:vAlign w:val="bottom"/>
          </w:tcPr>
          <w:p w14:paraId="521FC061" w14:textId="77777777" w:rsidR="00421192" w:rsidRDefault="00421192" w:rsidP="001515D5">
            <w:r>
              <w:t>16.8%</w:t>
            </w:r>
          </w:p>
        </w:tc>
      </w:tr>
      <w:tr w:rsidR="00421192" w14:paraId="307AFA0D" w14:textId="77777777" w:rsidTr="001515D5">
        <w:tc>
          <w:tcPr>
            <w:tcW w:w="4675" w:type="dxa"/>
            <w:vAlign w:val="bottom"/>
          </w:tcPr>
          <w:p w14:paraId="33E07FB8" w14:textId="77777777" w:rsidR="00421192" w:rsidRDefault="00421192" w:rsidP="001515D5">
            <w:r>
              <w:t>Information</w:t>
            </w:r>
          </w:p>
        </w:tc>
        <w:tc>
          <w:tcPr>
            <w:tcW w:w="4675" w:type="dxa"/>
            <w:vAlign w:val="bottom"/>
          </w:tcPr>
          <w:p w14:paraId="46907F93" w14:textId="77777777" w:rsidR="00421192" w:rsidRDefault="00421192" w:rsidP="001515D5">
            <w:r>
              <w:t>17.8%</w:t>
            </w:r>
          </w:p>
        </w:tc>
      </w:tr>
      <w:tr w:rsidR="00421192" w14:paraId="0A742550" w14:textId="77777777" w:rsidTr="001515D5">
        <w:tc>
          <w:tcPr>
            <w:tcW w:w="4675" w:type="dxa"/>
            <w:vAlign w:val="bottom"/>
          </w:tcPr>
          <w:p w14:paraId="78D7A1C8" w14:textId="77777777" w:rsidR="00421192" w:rsidRDefault="00421192" w:rsidP="001515D5">
            <w:r>
              <w:t>Transportation &amp; Warehousing</w:t>
            </w:r>
          </w:p>
        </w:tc>
        <w:tc>
          <w:tcPr>
            <w:tcW w:w="4675" w:type="dxa"/>
            <w:vAlign w:val="bottom"/>
          </w:tcPr>
          <w:p w14:paraId="0366666D" w14:textId="77777777" w:rsidR="00421192" w:rsidRDefault="00421192" w:rsidP="001515D5">
            <w:r>
              <w:t>19.5%</w:t>
            </w:r>
          </w:p>
        </w:tc>
      </w:tr>
      <w:tr w:rsidR="00421192" w14:paraId="17C50D80" w14:textId="77777777" w:rsidTr="001515D5">
        <w:tc>
          <w:tcPr>
            <w:tcW w:w="4675" w:type="dxa"/>
            <w:vAlign w:val="bottom"/>
          </w:tcPr>
          <w:p w14:paraId="24C82D01" w14:textId="77777777" w:rsidR="00421192" w:rsidRDefault="00421192" w:rsidP="001515D5">
            <w:r>
              <w:t>Accommodation &amp; Food Services</w:t>
            </w:r>
          </w:p>
        </w:tc>
        <w:tc>
          <w:tcPr>
            <w:tcW w:w="4675" w:type="dxa"/>
            <w:vAlign w:val="bottom"/>
          </w:tcPr>
          <w:p w14:paraId="2E734905" w14:textId="77777777" w:rsidR="00421192" w:rsidRDefault="00421192" w:rsidP="001515D5">
            <w:r>
              <w:t>22.3%</w:t>
            </w:r>
          </w:p>
        </w:tc>
      </w:tr>
      <w:tr w:rsidR="00421192" w14:paraId="7E2E5672" w14:textId="77777777" w:rsidTr="001515D5">
        <w:tc>
          <w:tcPr>
            <w:tcW w:w="4675" w:type="dxa"/>
            <w:vAlign w:val="bottom"/>
          </w:tcPr>
          <w:p w14:paraId="7DA3A251" w14:textId="77777777" w:rsidR="00421192" w:rsidRDefault="00421192" w:rsidP="001515D5">
            <w:r>
              <w:t>Administrative Support &amp; Waste Management</w:t>
            </w:r>
          </w:p>
        </w:tc>
        <w:tc>
          <w:tcPr>
            <w:tcW w:w="4675" w:type="dxa"/>
            <w:vAlign w:val="bottom"/>
          </w:tcPr>
          <w:p w14:paraId="0996EDD2" w14:textId="77777777" w:rsidR="00421192" w:rsidRDefault="00421192" w:rsidP="001515D5">
            <w:r>
              <w:t>22.5%</w:t>
            </w:r>
          </w:p>
        </w:tc>
      </w:tr>
      <w:tr w:rsidR="00421192" w14:paraId="5AB3A348" w14:textId="77777777" w:rsidTr="001515D5">
        <w:tc>
          <w:tcPr>
            <w:tcW w:w="4675" w:type="dxa"/>
            <w:vAlign w:val="bottom"/>
          </w:tcPr>
          <w:p w14:paraId="52B7465A" w14:textId="77777777" w:rsidR="00421192" w:rsidRDefault="00421192" w:rsidP="001515D5">
            <w:r>
              <w:t>Arts, Entertainment, &amp; Recreation</w:t>
            </w:r>
          </w:p>
        </w:tc>
        <w:tc>
          <w:tcPr>
            <w:tcW w:w="4675" w:type="dxa"/>
            <w:vAlign w:val="bottom"/>
          </w:tcPr>
          <w:p w14:paraId="5C12DCF6" w14:textId="77777777" w:rsidR="00421192" w:rsidRDefault="00421192" w:rsidP="001515D5">
            <w:r>
              <w:t>27.1%</w:t>
            </w:r>
          </w:p>
        </w:tc>
      </w:tr>
    </w:tbl>
    <w:p w14:paraId="388BD9CC" w14:textId="77777777" w:rsidR="00421192" w:rsidRPr="00AB0D52" w:rsidRDefault="00421192" w:rsidP="00421192">
      <w:r w:rsidRPr="00AB0D52">
        <w:t>Source: SC Deportment of Employment &amp; Workforce.</w:t>
      </w:r>
    </w:p>
    <w:p w14:paraId="454909AB" w14:textId="77777777" w:rsidR="00FF4962" w:rsidRPr="00FF4962" w:rsidRDefault="00FF4962" w:rsidP="00FF4962"/>
    <w:p w14:paraId="0B8EB583" w14:textId="77777777" w:rsidR="00FF4962" w:rsidRDefault="00FF4962" w:rsidP="00FF4962">
      <w:pPr>
        <w:rPr>
          <w:b/>
          <w:bCs/>
        </w:rPr>
      </w:pPr>
      <w:bookmarkStart w:id="249" w:name="_Toc162267155"/>
      <w:r w:rsidRPr="00FF4962">
        <w:rPr>
          <w:rStyle w:val="Heading4Char"/>
        </w:rPr>
        <w:t>Data Interpretations:</w:t>
      </w:r>
      <w:bookmarkEnd w:id="249"/>
      <w:r w:rsidRPr="00FF4962">
        <w:rPr>
          <w:b/>
          <w:bCs/>
        </w:rPr>
        <w:t xml:space="preserve"> </w:t>
      </w:r>
    </w:p>
    <w:p w14:paraId="75E7BCFF" w14:textId="09DDB610" w:rsidR="00FF4962" w:rsidRPr="00FF4962" w:rsidRDefault="00FF4962" w:rsidP="00FF4962">
      <w:r w:rsidRPr="00FF4962">
        <w:t>SC had seen a steady decrease in unemployment rates from 2012 until COVID-19 related increased unemployment rates in 2020 (</w:t>
      </w:r>
      <w:r w:rsidRPr="00FF4962">
        <w:rPr>
          <w:b/>
          <w:bCs/>
        </w:rPr>
        <w:t>Figure 6.8</w:t>
      </w:r>
      <w:r w:rsidRPr="00FF4962">
        <w:t>). In 2021, both SC and the US saw unemployment rates decreasing since the COVID-19 peak of 2020. In 2021, SC saw an unemployment rate of 4.0%, lower than national estimates (5.3%). Most of the state’s residents work and live in the same county (70.9%), but 23.9% travel outside of their county of residence to work (</w:t>
      </w:r>
      <w:r w:rsidRPr="00FF4962">
        <w:rPr>
          <w:b/>
          <w:bCs/>
        </w:rPr>
        <w:t>Figure 6.9</w:t>
      </w:r>
      <w:r w:rsidRPr="00FF4962">
        <w:t xml:space="preserve">). An additional 5.2% of SC employees travel outside the state to work. There have been benefits shown for living and working in the same geographic area, including shorter commutes for workers, decreased congestion, lower air quality impacts, nurturing greater social and economic diversity, and building a sense of cohesion </w:t>
      </w:r>
      <w:r w:rsidRPr="00FF4962">
        <w:lastRenderedPageBreak/>
        <w:t xml:space="preserve">within the community. SC is a growing state and as such, industries are growing. The top 10 industries that are projected to grow the most in SC from 2020-2030 include arts, entertainment and recreation, accommodation and food services, and real </w:t>
      </w:r>
      <w:r w:rsidR="004C35A5">
        <w:t>e</w:t>
      </w:r>
      <w:r w:rsidRPr="00FF4962">
        <w:t>state/rental/leasing (</w:t>
      </w:r>
      <w:r w:rsidRPr="00FF4962">
        <w:rPr>
          <w:b/>
          <w:bCs/>
        </w:rPr>
        <w:t>Figure 6.10</w:t>
      </w:r>
      <w:r w:rsidRPr="00FF4962">
        <w:t>). These top industries all speak to the great hospitality the Palmetto State has to offer.</w:t>
      </w:r>
    </w:p>
    <w:p w14:paraId="34A92A67" w14:textId="77777777" w:rsidR="00FF4962" w:rsidRDefault="00FF4962" w:rsidP="00FF4962"/>
    <w:p w14:paraId="232BDFA0" w14:textId="0BC97E8D" w:rsidR="00FF4962" w:rsidRDefault="00FF4962" w:rsidP="00FF4962">
      <w:pPr>
        <w:pStyle w:val="Heading5"/>
      </w:pPr>
      <w:r>
        <w:t xml:space="preserve">Key Takeaways: </w:t>
      </w:r>
    </w:p>
    <w:p w14:paraId="0676D0E7" w14:textId="77777777" w:rsidR="00EA168E" w:rsidRDefault="00FF4962" w:rsidP="00926EB3">
      <w:pPr>
        <w:pStyle w:val="ListParagraph"/>
        <w:numPr>
          <w:ilvl w:val="0"/>
          <w:numId w:val="212"/>
        </w:numPr>
      </w:pPr>
      <w:r w:rsidRPr="00FF4962">
        <w:t xml:space="preserve">SC unemployment rates spiked in 2020 during the COVID-19 pandemic but have since decreased in 2021. </w:t>
      </w:r>
    </w:p>
    <w:p w14:paraId="7C8A8D18" w14:textId="77777777" w:rsidR="00EA168E" w:rsidRDefault="00FF4962" w:rsidP="00926EB3">
      <w:pPr>
        <w:pStyle w:val="ListParagraph"/>
        <w:numPr>
          <w:ilvl w:val="0"/>
          <w:numId w:val="212"/>
        </w:numPr>
      </w:pPr>
      <w:r w:rsidRPr="00FF4962">
        <w:t xml:space="preserve">Leading projected industry growth from 2020-2030 include arts, entertainment and recreation, accommodation and food services, and real estate/rental/leasing. </w:t>
      </w:r>
    </w:p>
    <w:p w14:paraId="5CB826E2" w14:textId="51F046EC" w:rsidR="00FF4962" w:rsidRPr="00FF4962" w:rsidRDefault="00FF4962" w:rsidP="00926EB3">
      <w:pPr>
        <w:pStyle w:val="ListParagraph"/>
        <w:numPr>
          <w:ilvl w:val="0"/>
          <w:numId w:val="212"/>
        </w:numPr>
      </w:pPr>
      <w:r w:rsidRPr="00FF4962">
        <w:t>With an increasing workforce it is important that SC workers have financial and employment stability including healthcare coverage, parental leave, and paid days off.</w:t>
      </w:r>
    </w:p>
    <w:p w14:paraId="1B4943FD" w14:textId="77777777" w:rsidR="00FF4962" w:rsidRPr="00FF4962" w:rsidRDefault="00FF4962" w:rsidP="00FF4962"/>
    <w:p w14:paraId="6AF0FEAE" w14:textId="330F19EC" w:rsidR="00722CE9" w:rsidRPr="00270B2E" w:rsidRDefault="00722CE9" w:rsidP="00FF4962">
      <w:pPr>
        <w:rPr>
          <w:rStyle w:val="Heading4Char"/>
          <w:rFonts w:asciiTheme="minorHAnsi" w:hAnsiTheme="minorHAnsi" w:cstheme="minorHAnsi"/>
          <w:color w:val="000000" w:themeColor="text1"/>
        </w:rPr>
      </w:pPr>
      <w:bookmarkStart w:id="250" w:name="_Toc162267156"/>
      <w:r w:rsidRPr="00270B2E">
        <w:rPr>
          <w:rStyle w:val="Heading4Char"/>
          <w:rFonts w:asciiTheme="minorHAnsi" w:hAnsiTheme="minorHAnsi" w:cstheme="minorHAnsi"/>
          <w:color w:val="000000" w:themeColor="text1"/>
        </w:rPr>
        <w:t xml:space="preserve">References </w:t>
      </w:r>
      <w:r w:rsidR="00FF4962" w:rsidRPr="00270B2E">
        <w:rPr>
          <w:rStyle w:val="Heading4Char"/>
          <w:rFonts w:asciiTheme="minorHAnsi" w:hAnsiTheme="minorHAnsi" w:cstheme="minorHAnsi"/>
          <w:color w:val="000000" w:themeColor="text1"/>
        </w:rPr>
        <w:t>6.4</w:t>
      </w:r>
      <w:bookmarkEnd w:id="250"/>
      <w:r w:rsidR="00FF4962" w:rsidRPr="00270B2E">
        <w:rPr>
          <w:rStyle w:val="Heading4Char"/>
          <w:rFonts w:asciiTheme="minorHAnsi" w:hAnsiTheme="minorHAnsi" w:cstheme="minorHAnsi"/>
          <w:i w:val="0"/>
          <w:iCs w:val="0"/>
          <w:color w:val="000000" w:themeColor="text1"/>
        </w:rPr>
        <w:t xml:space="preserve"> </w:t>
      </w:r>
    </w:p>
    <w:p w14:paraId="3A674EA0" w14:textId="3ADCB08E" w:rsidR="00FF4962" w:rsidRDefault="00FF4962" w:rsidP="00FF4962">
      <w:r w:rsidRPr="00722CE9">
        <w:t>Statistics in the preceding</w:t>
      </w:r>
      <w:r>
        <w:t xml:space="preserve"> section</w:t>
      </w:r>
      <w:r w:rsidRPr="00722CE9">
        <w:t xml:space="preserve"> were referenced from the following reports:</w:t>
      </w:r>
    </w:p>
    <w:p w14:paraId="13BB5027" w14:textId="7EE71DC7" w:rsidR="00F73294" w:rsidRPr="00F73294" w:rsidRDefault="00F73294" w:rsidP="00926EB3">
      <w:pPr>
        <w:pStyle w:val="ListParagraph"/>
        <w:numPr>
          <w:ilvl w:val="0"/>
          <w:numId w:val="27"/>
        </w:numPr>
      </w:pPr>
      <w:r>
        <w:t>“</w:t>
      </w:r>
      <w:r w:rsidRPr="00F73294">
        <w:t>Financial health as a measurable social determinant of health</w:t>
      </w:r>
      <w:r>
        <w:t xml:space="preserve">” by </w:t>
      </w:r>
      <w:proofErr w:type="spellStart"/>
      <w:r w:rsidRPr="00F73294">
        <w:t>Weida</w:t>
      </w:r>
      <w:proofErr w:type="spellEnd"/>
      <w:r w:rsidRPr="00F73294">
        <w:t xml:space="preserve">, E. B., </w:t>
      </w:r>
      <w:proofErr w:type="spellStart"/>
      <w:r w:rsidRPr="00F73294">
        <w:t>Phojanakong</w:t>
      </w:r>
      <w:proofErr w:type="spellEnd"/>
      <w:r w:rsidRPr="00F73294">
        <w:t xml:space="preserve">, P., Patel, F., &amp; Chilton, M. </w:t>
      </w:r>
      <w:r>
        <w:t xml:space="preserve">Published by </w:t>
      </w:r>
      <w:proofErr w:type="spellStart"/>
      <w:r w:rsidRPr="00F73294">
        <w:t>PLoS</w:t>
      </w:r>
      <w:proofErr w:type="spellEnd"/>
      <w:r w:rsidRPr="00F73294">
        <w:t xml:space="preserve"> One, 2020.</w:t>
      </w:r>
      <w:r>
        <w:t xml:space="preserve"> No hyperlink.</w:t>
      </w:r>
    </w:p>
    <w:p w14:paraId="13FEA40A" w14:textId="32187E14" w:rsidR="00F73294" w:rsidRPr="00F73294" w:rsidRDefault="00F73294" w:rsidP="00926EB3">
      <w:pPr>
        <w:pStyle w:val="ListParagraph"/>
        <w:numPr>
          <w:ilvl w:val="0"/>
          <w:numId w:val="27"/>
        </w:numPr>
      </w:pPr>
      <w:r>
        <w:t>“</w:t>
      </w:r>
      <w:r w:rsidRPr="00F73294">
        <w:t>Work–family conflict, job insecurity, and health outcomes among US workers</w:t>
      </w:r>
      <w:r>
        <w:t xml:space="preserve">” by </w:t>
      </w:r>
      <w:proofErr w:type="spellStart"/>
      <w:r w:rsidRPr="00F73294">
        <w:t>Minnotte</w:t>
      </w:r>
      <w:proofErr w:type="spellEnd"/>
      <w:r w:rsidRPr="00F73294">
        <w:t xml:space="preserve">, K. L., &amp; </w:t>
      </w:r>
      <w:proofErr w:type="spellStart"/>
      <w:r w:rsidRPr="00F73294">
        <w:t>Yucel</w:t>
      </w:r>
      <w:proofErr w:type="spellEnd"/>
      <w:r w:rsidRPr="00F73294">
        <w:t xml:space="preserve">, D. </w:t>
      </w:r>
      <w:r>
        <w:t xml:space="preserve">Published in </w:t>
      </w:r>
      <w:r w:rsidRPr="00F73294">
        <w:t xml:space="preserve">Social Indicators Research, </w:t>
      </w:r>
      <w:r>
        <w:t>2018. No hyperlink.</w:t>
      </w:r>
    </w:p>
    <w:p w14:paraId="1C2D7411" w14:textId="3308CB9D" w:rsidR="00F73294" w:rsidRDefault="00F73294" w:rsidP="00926EB3">
      <w:pPr>
        <w:pStyle w:val="ListParagraph"/>
        <w:numPr>
          <w:ilvl w:val="0"/>
          <w:numId w:val="27"/>
        </w:numPr>
      </w:pPr>
      <w:r w:rsidRPr="00F73294">
        <w:t xml:space="preserve">Mueller, J. T., McConnell, K., </w:t>
      </w:r>
      <w:proofErr w:type="spellStart"/>
      <w:r w:rsidRPr="00F73294">
        <w:t>Burow</w:t>
      </w:r>
      <w:proofErr w:type="spellEnd"/>
      <w:r w:rsidRPr="00F73294">
        <w:t xml:space="preserve">, P. B., </w:t>
      </w:r>
      <w:proofErr w:type="spellStart"/>
      <w:r w:rsidRPr="00F73294">
        <w:t>Pofahl</w:t>
      </w:r>
      <w:proofErr w:type="spellEnd"/>
      <w:r w:rsidRPr="00F73294">
        <w:t xml:space="preserve">, K., </w:t>
      </w:r>
      <w:proofErr w:type="spellStart"/>
      <w:r w:rsidRPr="00F73294">
        <w:t>Merdjanoff</w:t>
      </w:r>
      <w:proofErr w:type="spellEnd"/>
      <w:r w:rsidRPr="00F73294">
        <w:t>, A. A., &amp; Farrell, J. (2021). Impacts of the COVID-19 pandemic on rural America. Proceedings of the National Academy of Sciences, 118(1), 2019378118.</w:t>
      </w:r>
      <w:r>
        <w:t xml:space="preserve"> No hyperlink.</w:t>
      </w:r>
    </w:p>
    <w:p w14:paraId="5F624A1E" w14:textId="77777777" w:rsidR="00FF4962" w:rsidRDefault="00FF4962" w:rsidP="00FF4962">
      <w:pPr>
        <w:pStyle w:val="Heading3"/>
      </w:pPr>
    </w:p>
    <w:p w14:paraId="71C2C308" w14:textId="77777777" w:rsidR="00FF4962" w:rsidRPr="00FF4962" w:rsidRDefault="00FF4962" w:rsidP="00FF4962">
      <w:pPr>
        <w:pStyle w:val="Heading3"/>
      </w:pPr>
      <w:bookmarkStart w:id="251" w:name="_Toc162267157"/>
      <w:r w:rsidRPr="00FF4962">
        <w:t>Food Insecurity and Food Deserts</w:t>
      </w:r>
      <w:bookmarkEnd w:id="251"/>
    </w:p>
    <w:p w14:paraId="6388F8F6" w14:textId="5BAE2027" w:rsidR="00FF4962" w:rsidRPr="00FF4962" w:rsidRDefault="00FF4962" w:rsidP="00FF4962">
      <w:r w:rsidRPr="00FF4962">
        <w:t>Food insecurity is defined by the United States Department of Agriculture (USDA) as reported reduced quality, variety or desirability of diet and may be in combination with reports of disrupted eating patterns and reduced food intake.</w:t>
      </w:r>
      <w:r w:rsidRPr="00FF4962">
        <w:rPr>
          <w:b/>
          <w:bCs/>
        </w:rPr>
        <w:t xml:space="preserve"> </w:t>
      </w:r>
      <w:r w:rsidRPr="00FF4962">
        <w:t>Food insecurity is a social and economic issue because key drivers of food insecurity are unemployment, poverty and income, which can make it harder to afford food.</w:t>
      </w:r>
      <w:r w:rsidRPr="00FF4962">
        <w:rPr>
          <w:b/>
          <w:bCs/>
        </w:rPr>
        <w:t>15</w:t>
      </w:r>
      <w:r w:rsidRPr="00FF4962">
        <w:t xml:space="preserve"> Very high-food insecure households in the US suffer the most with </w:t>
      </w:r>
      <w:r w:rsidRPr="00FF4962">
        <w:lastRenderedPageBreak/>
        <w:t xml:space="preserve">67% reporting they had been hungry but did not eat because they could not afford enough food, according to the USDA 2021 Current Population Survey Food Security Supplement. Households experiencing any level of food insecurity tend to use health care more and face significantly higher annual health care expenses compared to food secure households. </w:t>
      </w:r>
    </w:p>
    <w:p w14:paraId="67D5AC9C" w14:textId="77777777" w:rsidR="00FF4962" w:rsidRDefault="00FF4962" w:rsidP="00FF4962"/>
    <w:p w14:paraId="2463F9F4" w14:textId="77777777" w:rsidR="00421192" w:rsidRDefault="00421192" w:rsidP="00421192">
      <w:pPr>
        <w:pStyle w:val="Heading4"/>
      </w:pPr>
      <w:bookmarkStart w:id="252" w:name="_Toc154569820"/>
      <w:bookmarkStart w:id="253" w:name="_Toc162267158"/>
      <w:r>
        <w:t>Figure 6.11: Food Insecurity Rate.</w:t>
      </w:r>
      <w:bookmarkEnd w:id="252"/>
      <w:bookmarkEnd w:id="253"/>
    </w:p>
    <w:tbl>
      <w:tblPr>
        <w:tblStyle w:val="TableGrid"/>
        <w:tblW w:w="0" w:type="auto"/>
        <w:tblLook w:val="04A0" w:firstRow="1" w:lastRow="0" w:firstColumn="1" w:lastColumn="0" w:noHBand="0" w:noVBand="1"/>
      </w:tblPr>
      <w:tblGrid>
        <w:gridCol w:w="2337"/>
        <w:gridCol w:w="2337"/>
        <w:gridCol w:w="2338"/>
        <w:gridCol w:w="2338"/>
      </w:tblGrid>
      <w:tr w:rsidR="00421192" w14:paraId="6B4308D1" w14:textId="77777777" w:rsidTr="001515D5">
        <w:tc>
          <w:tcPr>
            <w:tcW w:w="2337" w:type="dxa"/>
            <w:vAlign w:val="bottom"/>
          </w:tcPr>
          <w:p w14:paraId="2A78BC1D" w14:textId="77777777" w:rsidR="00421192" w:rsidRDefault="00421192" w:rsidP="001515D5">
            <w:r>
              <w:t>Year</w:t>
            </w:r>
          </w:p>
        </w:tc>
        <w:tc>
          <w:tcPr>
            <w:tcW w:w="2337" w:type="dxa"/>
            <w:vAlign w:val="bottom"/>
          </w:tcPr>
          <w:p w14:paraId="74D58065" w14:textId="77777777" w:rsidR="00421192" w:rsidRDefault="00421192" w:rsidP="001515D5">
            <w:r>
              <w:t>South Carolina</w:t>
            </w:r>
          </w:p>
        </w:tc>
        <w:tc>
          <w:tcPr>
            <w:tcW w:w="2338" w:type="dxa"/>
            <w:vAlign w:val="bottom"/>
          </w:tcPr>
          <w:p w14:paraId="3DAB970E" w14:textId="77777777" w:rsidR="00421192" w:rsidRDefault="00421192" w:rsidP="001515D5">
            <w:r>
              <w:t>United States</w:t>
            </w:r>
          </w:p>
        </w:tc>
        <w:tc>
          <w:tcPr>
            <w:tcW w:w="2338" w:type="dxa"/>
            <w:vAlign w:val="bottom"/>
          </w:tcPr>
          <w:p w14:paraId="7ACED15E" w14:textId="77777777" w:rsidR="00421192" w:rsidRDefault="00421192" w:rsidP="001515D5">
            <w:r>
              <w:t>Healthy People 2030 Goal</w:t>
            </w:r>
          </w:p>
        </w:tc>
      </w:tr>
      <w:tr w:rsidR="00421192" w14:paraId="2A7D8BB3" w14:textId="77777777" w:rsidTr="001515D5">
        <w:tc>
          <w:tcPr>
            <w:tcW w:w="2337" w:type="dxa"/>
            <w:vAlign w:val="bottom"/>
          </w:tcPr>
          <w:p w14:paraId="05B63BEE" w14:textId="77777777" w:rsidR="00421192" w:rsidRDefault="00421192" w:rsidP="001515D5">
            <w:r>
              <w:t>2010</w:t>
            </w:r>
          </w:p>
        </w:tc>
        <w:tc>
          <w:tcPr>
            <w:tcW w:w="2337" w:type="dxa"/>
            <w:vAlign w:val="bottom"/>
          </w:tcPr>
          <w:p w14:paraId="3B25D2A2" w14:textId="77777777" w:rsidR="00421192" w:rsidRDefault="00421192" w:rsidP="001515D5">
            <w:r>
              <w:t>18.80%</w:t>
            </w:r>
          </w:p>
        </w:tc>
        <w:tc>
          <w:tcPr>
            <w:tcW w:w="2338" w:type="dxa"/>
            <w:vAlign w:val="bottom"/>
          </w:tcPr>
          <w:p w14:paraId="350E5B08" w14:textId="77777777" w:rsidR="00421192" w:rsidRDefault="00421192" w:rsidP="001515D5">
            <w:r>
              <w:t>14.50%</w:t>
            </w:r>
          </w:p>
        </w:tc>
        <w:tc>
          <w:tcPr>
            <w:tcW w:w="2338" w:type="dxa"/>
            <w:vAlign w:val="bottom"/>
          </w:tcPr>
          <w:p w14:paraId="02C71501" w14:textId="77777777" w:rsidR="00421192" w:rsidRDefault="00421192" w:rsidP="001515D5">
            <w:r>
              <w:t>6.00%</w:t>
            </w:r>
          </w:p>
        </w:tc>
      </w:tr>
      <w:tr w:rsidR="00421192" w14:paraId="05438E53" w14:textId="77777777" w:rsidTr="001515D5">
        <w:tc>
          <w:tcPr>
            <w:tcW w:w="2337" w:type="dxa"/>
            <w:vAlign w:val="bottom"/>
          </w:tcPr>
          <w:p w14:paraId="2D651EAF" w14:textId="77777777" w:rsidR="00421192" w:rsidRDefault="00421192" w:rsidP="001515D5">
            <w:r>
              <w:t>2011</w:t>
            </w:r>
          </w:p>
        </w:tc>
        <w:tc>
          <w:tcPr>
            <w:tcW w:w="2337" w:type="dxa"/>
            <w:vAlign w:val="bottom"/>
          </w:tcPr>
          <w:p w14:paraId="1B56E316" w14:textId="77777777" w:rsidR="00421192" w:rsidRDefault="00421192" w:rsidP="001515D5">
            <w:r>
              <w:t>18.60%</w:t>
            </w:r>
          </w:p>
        </w:tc>
        <w:tc>
          <w:tcPr>
            <w:tcW w:w="2338" w:type="dxa"/>
            <w:vAlign w:val="bottom"/>
          </w:tcPr>
          <w:p w14:paraId="6F528FB7" w14:textId="77777777" w:rsidR="00421192" w:rsidRDefault="00421192" w:rsidP="001515D5">
            <w:r>
              <w:t>14.90%</w:t>
            </w:r>
          </w:p>
        </w:tc>
        <w:tc>
          <w:tcPr>
            <w:tcW w:w="2338" w:type="dxa"/>
            <w:vAlign w:val="bottom"/>
          </w:tcPr>
          <w:p w14:paraId="4D605FAF" w14:textId="77777777" w:rsidR="00421192" w:rsidRDefault="00421192" w:rsidP="001515D5">
            <w:r>
              <w:t>6.00%</w:t>
            </w:r>
          </w:p>
        </w:tc>
      </w:tr>
      <w:tr w:rsidR="00421192" w14:paraId="7A4BD33D" w14:textId="77777777" w:rsidTr="001515D5">
        <w:tc>
          <w:tcPr>
            <w:tcW w:w="2337" w:type="dxa"/>
            <w:vAlign w:val="bottom"/>
          </w:tcPr>
          <w:p w14:paraId="0BB7C026" w14:textId="77777777" w:rsidR="00421192" w:rsidRDefault="00421192" w:rsidP="001515D5">
            <w:r>
              <w:t>2012</w:t>
            </w:r>
          </w:p>
        </w:tc>
        <w:tc>
          <w:tcPr>
            <w:tcW w:w="2337" w:type="dxa"/>
            <w:vAlign w:val="bottom"/>
          </w:tcPr>
          <w:p w14:paraId="23533BE9" w14:textId="77777777" w:rsidR="00421192" w:rsidRDefault="00421192" w:rsidP="001515D5">
            <w:r>
              <w:t>18.00%</w:t>
            </w:r>
          </w:p>
        </w:tc>
        <w:tc>
          <w:tcPr>
            <w:tcW w:w="2338" w:type="dxa"/>
            <w:vAlign w:val="bottom"/>
          </w:tcPr>
          <w:p w14:paraId="4B2E25C5" w14:textId="77777777" w:rsidR="00421192" w:rsidRDefault="00421192" w:rsidP="001515D5">
            <w:r>
              <w:t>14.50%</w:t>
            </w:r>
          </w:p>
        </w:tc>
        <w:tc>
          <w:tcPr>
            <w:tcW w:w="2338" w:type="dxa"/>
            <w:vAlign w:val="bottom"/>
          </w:tcPr>
          <w:p w14:paraId="446BE563" w14:textId="77777777" w:rsidR="00421192" w:rsidRDefault="00421192" w:rsidP="001515D5">
            <w:r>
              <w:t>6.00%</w:t>
            </w:r>
          </w:p>
        </w:tc>
      </w:tr>
      <w:tr w:rsidR="00421192" w14:paraId="3BB55DDA" w14:textId="77777777" w:rsidTr="001515D5">
        <w:tc>
          <w:tcPr>
            <w:tcW w:w="2337" w:type="dxa"/>
            <w:vAlign w:val="bottom"/>
          </w:tcPr>
          <w:p w14:paraId="49F3C7EA" w14:textId="77777777" w:rsidR="00421192" w:rsidRDefault="00421192" w:rsidP="001515D5">
            <w:r>
              <w:t>2013</w:t>
            </w:r>
          </w:p>
        </w:tc>
        <w:tc>
          <w:tcPr>
            <w:tcW w:w="2337" w:type="dxa"/>
            <w:vAlign w:val="bottom"/>
          </w:tcPr>
          <w:p w14:paraId="2849467C" w14:textId="77777777" w:rsidR="00421192" w:rsidRDefault="00421192" w:rsidP="001515D5">
            <w:r>
              <w:t>17.10%</w:t>
            </w:r>
          </w:p>
        </w:tc>
        <w:tc>
          <w:tcPr>
            <w:tcW w:w="2338" w:type="dxa"/>
            <w:vAlign w:val="bottom"/>
          </w:tcPr>
          <w:p w14:paraId="1E21BACC" w14:textId="77777777" w:rsidR="00421192" w:rsidRDefault="00421192" w:rsidP="001515D5">
            <w:r>
              <w:t>14.30%</w:t>
            </w:r>
          </w:p>
        </w:tc>
        <w:tc>
          <w:tcPr>
            <w:tcW w:w="2338" w:type="dxa"/>
            <w:vAlign w:val="bottom"/>
          </w:tcPr>
          <w:p w14:paraId="0F07DCFC" w14:textId="77777777" w:rsidR="00421192" w:rsidRDefault="00421192" w:rsidP="001515D5">
            <w:r>
              <w:t>6.00%</w:t>
            </w:r>
          </w:p>
        </w:tc>
      </w:tr>
      <w:tr w:rsidR="00421192" w14:paraId="29850104" w14:textId="77777777" w:rsidTr="001515D5">
        <w:tc>
          <w:tcPr>
            <w:tcW w:w="2337" w:type="dxa"/>
            <w:vAlign w:val="bottom"/>
          </w:tcPr>
          <w:p w14:paraId="37DE57C7" w14:textId="77777777" w:rsidR="00421192" w:rsidRDefault="00421192" w:rsidP="001515D5">
            <w:r>
              <w:t>2014</w:t>
            </w:r>
          </w:p>
        </w:tc>
        <w:tc>
          <w:tcPr>
            <w:tcW w:w="2337" w:type="dxa"/>
            <w:vAlign w:val="bottom"/>
          </w:tcPr>
          <w:p w14:paraId="67DA3020" w14:textId="77777777" w:rsidR="00421192" w:rsidRDefault="00421192" w:rsidP="001515D5">
            <w:r>
              <w:t>16.40%</w:t>
            </w:r>
          </w:p>
        </w:tc>
        <w:tc>
          <w:tcPr>
            <w:tcW w:w="2338" w:type="dxa"/>
            <w:vAlign w:val="bottom"/>
          </w:tcPr>
          <w:p w14:paraId="38753CBA" w14:textId="77777777" w:rsidR="00421192" w:rsidRDefault="00421192" w:rsidP="001515D5">
            <w:r>
              <w:t>14.00%</w:t>
            </w:r>
          </w:p>
        </w:tc>
        <w:tc>
          <w:tcPr>
            <w:tcW w:w="2338" w:type="dxa"/>
            <w:vAlign w:val="bottom"/>
          </w:tcPr>
          <w:p w14:paraId="04A78424" w14:textId="77777777" w:rsidR="00421192" w:rsidRDefault="00421192" w:rsidP="001515D5">
            <w:r>
              <w:t>6.00%</w:t>
            </w:r>
          </w:p>
        </w:tc>
      </w:tr>
      <w:tr w:rsidR="00421192" w14:paraId="7A09E6A2" w14:textId="77777777" w:rsidTr="001515D5">
        <w:tc>
          <w:tcPr>
            <w:tcW w:w="2337" w:type="dxa"/>
            <w:vAlign w:val="bottom"/>
          </w:tcPr>
          <w:p w14:paraId="6E84C92C" w14:textId="77777777" w:rsidR="00421192" w:rsidRDefault="00421192" w:rsidP="001515D5">
            <w:r>
              <w:t>2015</w:t>
            </w:r>
          </w:p>
        </w:tc>
        <w:tc>
          <w:tcPr>
            <w:tcW w:w="2337" w:type="dxa"/>
            <w:vAlign w:val="bottom"/>
          </w:tcPr>
          <w:p w14:paraId="77268B33" w14:textId="77777777" w:rsidR="00421192" w:rsidRDefault="00421192" w:rsidP="001515D5">
            <w:r>
              <w:t>15.30%</w:t>
            </w:r>
          </w:p>
        </w:tc>
        <w:tc>
          <w:tcPr>
            <w:tcW w:w="2338" w:type="dxa"/>
            <w:vAlign w:val="bottom"/>
          </w:tcPr>
          <w:p w14:paraId="1CB72B3A" w14:textId="77777777" w:rsidR="00421192" w:rsidRDefault="00421192" w:rsidP="001515D5">
            <w:r>
              <w:t>12.70%</w:t>
            </w:r>
          </w:p>
        </w:tc>
        <w:tc>
          <w:tcPr>
            <w:tcW w:w="2338" w:type="dxa"/>
            <w:vAlign w:val="bottom"/>
          </w:tcPr>
          <w:p w14:paraId="3A0201C0" w14:textId="77777777" w:rsidR="00421192" w:rsidRDefault="00421192" w:rsidP="001515D5">
            <w:r>
              <w:t>6.00%</w:t>
            </w:r>
          </w:p>
        </w:tc>
      </w:tr>
      <w:tr w:rsidR="00421192" w14:paraId="59FD6D69" w14:textId="77777777" w:rsidTr="001515D5">
        <w:tc>
          <w:tcPr>
            <w:tcW w:w="2337" w:type="dxa"/>
            <w:vAlign w:val="bottom"/>
          </w:tcPr>
          <w:p w14:paraId="68E1C46B" w14:textId="77777777" w:rsidR="00421192" w:rsidRDefault="00421192" w:rsidP="001515D5">
            <w:r>
              <w:t>2016</w:t>
            </w:r>
          </w:p>
        </w:tc>
        <w:tc>
          <w:tcPr>
            <w:tcW w:w="2337" w:type="dxa"/>
            <w:vAlign w:val="bottom"/>
          </w:tcPr>
          <w:p w14:paraId="3839288B" w14:textId="77777777" w:rsidR="00421192" w:rsidRDefault="00421192" w:rsidP="001515D5">
            <w:r>
              <w:t>13.90%</w:t>
            </w:r>
          </w:p>
        </w:tc>
        <w:tc>
          <w:tcPr>
            <w:tcW w:w="2338" w:type="dxa"/>
            <w:vAlign w:val="bottom"/>
          </w:tcPr>
          <w:p w14:paraId="03D53703" w14:textId="77777777" w:rsidR="00421192" w:rsidRDefault="00421192" w:rsidP="001515D5">
            <w:r>
              <w:t>12.30%</w:t>
            </w:r>
          </w:p>
        </w:tc>
        <w:tc>
          <w:tcPr>
            <w:tcW w:w="2338" w:type="dxa"/>
            <w:vAlign w:val="bottom"/>
          </w:tcPr>
          <w:p w14:paraId="25AC31C1" w14:textId="77777777" w:rsidR="00421192" w:rsidRDefault="00421192" w:rsidP="001515D5">
            <w:r>
              <w:t>6.00%</w:t>
            </w:r>
          </w:p>
        </w:tc>
      </w:tr>
      <w:tr w:rsidR="00421192" w14:paraId="0ABF40C6" w14:textId="77777777" w:rsidTr="001515D5">
        <w:tc>
          <w:tcPr>
            <w:tcW w:w="2337" w:type="dxa"/>
            <w:vAlign w:val="bottom"/>
          </w:tcPr>
          <w:p w14:paraId="6A5B4D1A" w14:textId="77777777" w:rsidR="00421192" w:rsidRDefault="00421192" w:rsidP="001515D5">
            <w:r>
              <w:t>2017</w:t>
            </w:r>
          </w:p>
        </w:tc>
        <w:tc>
          <w:tcPr>
            <w:tcW w:w="2337" w:type="dxa"/>
            <w:vAlign w:val="bottom"/>
          </w:tcPr>
          <w:p w14:paraId="4BA9D73B" w14:textId="77777777" w:rsidR="00421192" w:rsidRDefault="00421192" w:rsidP="001515D5">
            <w:r>
              <w:t>13.50%</w:t>
            </w:r>
          </w:p>
        </w:tc>
        <w:tc>
          <w:tcPr>
            <w:tcW w:w="2338" w:type="dxa"/>
            <w:vAlign w:val="bottom"/>
          </w:tcPr>
          <w:p w14:paraId="4DB2C4C7" w14:textId="77777777" w:rsidR="00421192" w:rsidRDefault="00421192" w:rsidP="001515D5">
            <w:r>
              <w:t>11.80%</w:t>
            </w:r>
          </w:p>
        </w:tc>
        <w:tc>
          <w:tcPr>
            <w:tcW w:w="2338" w:type="dxa"/>
            <w:vAlign w:val="bottom"/>
          </w:tcPr>
          <w:p w14:paraId="5E33F808" w14:textId="77777777" w:rsidR="00421192" w:rsidRDefault="00421192" w:rsidP="001515D5">
            <w:r>
              <w:t>6.00%</w:t>
            </w:r>
          </w:p>
        </w:tc>
      </w:tr>
      <w:tr w:rsidR="00421192" w14:paraId="6D84FCE9" w14:textId="77777777" w:rsidTr="001515D5">
        <w:tc>
          <w:tcPr>
            <w:tcW w:w="2337" w:type="dxa"/>
            <w:vAlign w:val="bottom"/>
          </w:tcPr>
          <w:p w14:paraId="662494B0" w14:textId="77777777" w:rsidR="00421192" w:rsidRDefault="00421192" w:rsidP="001515D5">
            <w:r>
              <w:t>2018</w:t>
            </w:r>
          </w:p>
        </w:tc>
        <w:tc>
          <w:tcPr>
            <w:tcW w:w="2337" w:type="dxa"/>
            <w:vAlign w:val="bottom"/>
          </w:tcPr>
          <w:p w14:paraId="24691CF3" w14:textId="77777777" w:rsidR="00421192" w:rsidRDefault="00421192" w:rsidP="001515D5">
            <w:r>
              <w:t>11.80%</w:t>
            </w:r>
          </w:p>
        </w:tc>
        <w:tc>
          <w:tcPr>
            <w:tcW w:w="2338" w:type="dxa"/>
            <w:vAlign w:val="bottom"/>
          </w:tcPr>
          <w:p w14:paraId="6F88572A" w14:textId="77777777" w:rsidR="00421192" w:rsidRDefault="00421192" w:rsidP="001515D5">
            <w:r>
              <w:t>11.10%</w:t>
            </w:r>
          </w:p>
        </w:tc>
        <w:tc>
          <w:tcPr>
            <w:tcW w:w="2338" w:type="dxa"/>
            <w:vAlign w:val="bottom"/>
          </w:tcPr>
          <w:p w14:paraId="5C84CBA2" w14:textId="77777777" w:rsidR="00421192" w:rsidRDefault="00421192" w:rsidP="001515D5">
            <w:r>
              <w:t>6.00%</w:t>
            </w:r>
          </w:p>
        </w:tc>
      </w:tr>
      <w:tr w:rsidR="00421192" w14:paraId="1CBCF575" w14:textId="77777777" w:rsidTr="001515D5">
        <w:tc>
          <w:tcPr>
            <w:tcW w:w="2337" w:type="dxa"/>
            <w:vAlign w:val="bottom"/>
          </w:tcPr>
          <w:p w14:paraId="21E7688A" w14:textId="77777777" w:rsidR="00421192" w:rsidRDefault="00421192" w:rsidP="001515D5">
            <w:r>
              <w:t>2019</w:t>
            </w:r>
          </w:p>
        </w:tc>
        <w:tc>
          <w:tcPr>
            <w:tcW w:w="2337" w:type="dxa"/>
            <w:vAlign w:val="bottom"/>
          </w:tcPr>
          <w:p w14:paraId="45A22D35" w14:textId="77777777" w:rsidR="00421192" w:rsidRDefault="00421192" w:rsidP="001515D5">
            <w:r>
              <w:t>10.80%</w:t>
            </w:r>
          </w:p>
        </w:tc>
        <w:tc>
          <w:tcPr>
            <w:tcW w:w="2338" w:type="dxa"/>
            <w:vAlign w:val="bottom"/>
          </w:tcPr>
          <w:p w14:paraId="79AD1122" w14:textId="77777777" w:rsidR="00421192" w:rsidRDefault="00421192" w:rsidP="001515D5">
            <w:r>
              <w:t>10.50%</w:t>
            </w:r>
          </w:p>
        </w:tc>
        <w:tc>
          <w:tcPr>
            <w:tcW w:w="2338" w:type="dxa"/>
            <w:vAlign w:val="bottom"/>
          </w:tcPr>
          <w:p w14:paraId="7F773F1B" w14:textId="77777777" w:rsidR="00421192" w:rsidRDefault="00421192" w:rsidP="001515D5">
            <w:r>
              <w:t>6.00%</w:t>
            </w:r>
          </w:p>
        </w:tc>
      </w:tr>
      <w:tr w:rsidR="00421192" w14:paraId="47D0C01B" w14:textId="77777777" w:rsidTr="001515D5">
        <w:tc>
          <w:tcPr>
            <w:tcW w:w="2337" w:type="dxa"/>
            <w:vAlign w:val="bottom"/>
          </w:tcPr>
          <w:p w14:paraId="18214CB8" w14:textId="77777777" w:rsidR="00421192" w:rsidRDefault="00421192" w:rsidP="001515D5">
            <w:r>
              <w:t>2020</w:t>
            </w:r>
          </w:p>
        </w:tc>
        <w:tc>
          <w:tcPr>
            <w:tcW w:w="2337" w:type="dxa"/>
            <w:vAlign w:val="bottom"/>
          </w:tcPr>
          <w:p w14:paraId="5088DFB2" w14:textId="77777777" w:rsidR="00421192" w:rsidRDefault="00421192" w:rsidP="001515D5">
            <w:r>
              <w:t>9.60%</w:t>
            </w:r>
          </w:p>
        </w:tc>
        <w:tc>
          <w:tcPr>
            <w:tcW w:w="2338" w:type="dxa"/>
            <w:vAlign w:val="bottom"/>
          </w:tcPr>
          <w:p w14:paraId="2DFA99FD" w14:textId="77777777" w:rsidR="00421192" w:rsidRDefault="00421192" w:rsidP="001515D5">
            <w:r>
              <w:t>10.50%</w:t>
            </w:r>
          </w:p>
        </w:tc>
        <w:tc>
          <w:tcPr>
            <w:tcW w:w="2338" w:type="dxa"/>
            <w:vAlign w:val="bottom"/>
          </w:tcPr>
          <w:p w14:paraId="01F24F16" w14:textId="77777777" w:rsidR="00421192" w:rsidRDefault="00421192" w:rsidP="001515D5">
            <w:r>
              <w:t>6.00%</w:t>
            </w:r>
          </w:p>
        </w:tc>
      </w:tr>
    </w:tbl>
    <w:p w14:paraId="2E669FBB" w14:textId="77777777" w:rsidR="00421192" w:rsidRDefault="00421192" w:rsidP="00421192">
      <w:r w:rsidRPr="00AB0D52">
        <w:t>Source: Feeding America Mapping the Meal Gap.</w:t>
      </w:r>
    </w:p>
    <w:p w14:paraId="5365BF6C" w14:textId="77777777" w:rsidR="00421192" w:rsidRDefault="00421192" w:rsidP="00421192"/>
    <w:p w14:paraId="320AA433" w14:textId="6CA91603" w:rsidR="00421192" w:rsidRDefault="00421192" w:rsidP="006A527F">
      <w:pPr>
        <w:pStyle w:val="Heading4"/>
      </w:pPr>
      <w:bookmarkStart w:id="254" w:name="_Toc162267159"/>
      <w:r w:rsidRPr="00AB0D52">
        <w:t xml:space="preserve">Figure 6.12 – </w:t>
      </w:r>
      <w:r w:rsidR="006A527F">
        <w:t>Food Desert Map, in South Carolina.</w:t>
      </w:r>
      <w:bookmarkEnd w:id="254"/>
    </w:p>
    <w:tbl>
      <w:tblPr>
        <w:tblStyle w:val="TableGrid"/>
        <w:tblW w:w="0" w:type="auto"/>
        <w:tblLook w:val="04A0" w:firstRow="1" w:lastRow="0" w:firstColumn="1" w:lastColumn="0" w:noHBand="0" w:noVBand="1"/>
      </w:tblPr>
      <w:tblGrid>
        <w:gridCol w:w="2337"/>
        <w:gridCol w:w="2337"/>
        <w:gridCol w:w="2338"/>
        <w:gridCol w:w="2338"/>
      </w:tblGrid>
      <w:tr w:rsidR="006A527F" w14:paraId="3FB54975" w14:textId="77777777" w:rsidTr="0025287F">
        <w:tc>
          <w:tcPr>
            <w:tcW w:w="2337" w:type="dxa"/>
            <w:vAlign w:val="bottom"/>
          </w:tcPr>
          <w:p w14:paraId="3DFFCBDC" w14:textId="567D7F24" w:rsidR="006A527F" w:rsidRDefault="006A527F" w:rsidP="006A527F">
            <w:r>
              <w:t>County</w:t>
            </w:r>
          </w:p>
        </w:tc>
        <w:tc>
          <w:tcPr>
            <w:tcW w:w="2337" w:type="dxa"/>
            <w:vAlign w:val="bottom"/>
          </w:tcPr>
          <w:p w14:paraId="193C976F" w14:textId="278378FF" w:rsidR="006A527F" w:rsidRDefault="006A527F" w:rsidP="006A527F">
            <w:r>
              <w:t># of Low-income (LI) and low-access (LA) tract measured at 1/2 mile and 10 miles for urban and rural tracts in County</w:t>
            </w:r>
          </w:p>
        </w:tc>
        <w:tc>
          <w:tcPr>
            <w:tcW w:w="2338" w:type="dxa"/>
            <w:vAlign w:val="bottom"/>
          </w:tcPr>
          <w:p w14:paraId="448A2F00" w14:textId="79C59E35" w:rsidR="006A527F" w:rsidRDefault="006A527F" w:rsidP="006A527F">
            <w:r>
              <w:t># of Census Tracts in County</w:t>
            </w:r>
          </w:p>
        </w:tc>
        <w:tc>
          <w:tcPr>
            <w:tcW w:w="2338" w:type="dxa"/>
            <w:vAlign w:val="bottom"/>
          </w:tcPr>
          <w:p w14:paraId="0439FD41" w14:textId="2D5353B6" w:rsidR="006A527F" w:rsidRDefault="006A527F" w:rsidP="006A527F">
            <w:r>
              <w:t>% Food Desert Designated Census Tracts in County</w:t>
            </w:r>
          </w:p>
        </w:tc>
      </w:tr>
      <w:tr w:rsidR="006A527F" w14:paraId="505D3B11" w14:textId="77777777" w:rsidTr="0025287F">
        <w:tc>
          <w:tcPr>
            <w:tcW w:w="2337" w:type="dxa"/>
          </w:tcPr>
          <w:p w14:paraId="28CFD2BD" w14:textId="70BF3BB7" w:rsidR="006A527F" w:rsidRDefault="006A527F" w:rsidP="006A527F">
            <w:r>
              <w:t>Abbeville</w:t>
            </w:r>
          </w:p>
        </w:tc>
        <w:tc>
          <w:tcPr>
            <w:tcW w:w="2337" w:type="dxa"/>
            <w:vAlign w:val="center"/>
          </w:tcPr>
          <w:p w14:paraId="47D47034" w14:textId="7362CA12" w:rsidR="006A527F" w:rsidRDefault="006A527F" w:rsidP="006A527F">
            <w:r>
              <w:t>2</w:t>
            </w:r>
          </w:p>
        </w:tc>
        <w:tc>
          <w:tcPr>
            <w:tcW w:w="2338" w:type="dxa"/>
            <w:vAlign w:val="center"/>
          </w:tcPr>
          <w:p w14:paraId="3BE16909" w14:textId="2FEF18A4" w:rsidR="006A527F" w:rsidRDefault="006A527F" w:rsidP="006A527F">
            <w:r>
              <w:t>6</w:t>
            </w:r>
          </w:p>
        </w:tc>
        <w:tc>
          <w:tcPr>
            <w:tcW w:w="2338" w:type="dxa"/>
            <w:vAlign w:val="center"/>
          </w:tcPr>
          <w:p w14:paraId="5187588F" w14:textId="0291080D" w:rsidR="006A527F" w:rsidRDefault="006A527F" w:rsidP="006A527F">
            <w:r>
              <w:t>33.3%</w:t>
            </w:r>
          </w:p>
        </w:tc>
      </w:tr>
      <w:tr w:rsidR="006A527F" w14:paraId="12A9E3E9" w14:textId="77777777" w:rsidTr="0025287F">
        <w:tc>
          <w:tcPr>
            <w:tcW w:w="2337" w:type="dxa"/>
          </w:tcPr>
          <w:p w14:paraId="23AFE234" w14:textId="10EE7E3E" w:rsidR="006A527F" w:rsidRDefault="006A527F" w:rsidP="006A527F">
            <w:r>
              <w:t>Aiken</w:t>
            </w:r>
          </w:p>
        </w:tc>
        <w:tc>
          <w:tcPr>
            <w:tcW w:w="2337" w:type="dxa"/>
            <w:vAlign w:val="center"/>
          </w:tcPr>
          <w:p w14:paraId="2D85B55D" w14:textId="286DC7C0" w:rsidR="006A527F" w:rsidRDefault="006A527F" w:rsidP="006A527F">
            <w:r>
              <w:t>7</w:t>
            </w:r>
          </w:p>
        </w:tc>
        <w:tc>
          <w:tcPr>
            <w:tcW w:w="2338" w:type="dxa"/>
            <w:vAlign w:val="center"/>
          </w:tcPr>
          <w:p w14:paraId="7D8B8DC5" w14:textId="1694D636" w:rsidR="006A527F" w:rsidRDefault="006A527F" w:rsidP="006A527F">
            <w:r>
              <w:t>32</w:t>
            </w:r>
          </w:p>
        </w:tc>
        <w:tc>
          <w:tcPr>
            <w:tcW w:w="2338" w:type="dxa"/>
            <w:vAlign w:val="center"/>
          </w:tcPr>
          <w:p w14:paraId="6DCAA85D" w14:textId="66EA97B4" w:rsidR="006A527F" w:rsidRDefault="006A527F" w:rsidP="006A527F">
            <w:r>
              <w:t>21.9%</w:t>
            </w:r>
          </w:p>
        </w:tc>
      </w:tr>
      <w:tr w:rsidR="006A527F" w14:paraId="7D60028A" w14:textId="77777777" w:rsidTr="0025287F">
        <w:tc>
          <w:tcPr>
            <w:tcW w:w="2337" w:type="dxa"/>
          </w:tcPr>
          <w:p w14:paraId="1A991952" w14:textId="50CAB62C" w:rsidR="006A527F" w:rsidRDefault="006A527F" w:rsidP="006A527F">
            <w:r>
              <w:t>Allendale</w:t>
            </w:r>
          </w:p>
        </w:tc>
        <w:tc>
          <w:tcPr>
            <w:tcW w:w="2337" w:type="dxa"/>
            <w:vAlign w:val="center"/>
          </w:tcPr>
          <w:p w14:paraId="7E6D10B0" w14:textId="0BBB9167" w:rsidR="006A527F" w:rsidRDefault="006A527F" w:rsidP="006A527F">
            <w:r>
              <w:t>0</w:t>
            </w:r>
          </w:p>
        </w:tc>
        <w:tc>
          <w:tcPr>
            <w:tcW w:w="2338" w:type="dxa"/>
            <w:vAlign w:val="center"/>
          </w:tcPr>
          <w:p w14:paraId="39262F17" w14:textId="35C5C09C" w:rsidR="006A527F" w:rsidRDefault="006A527F" w:rsidP="006A527F">
            <w:r>
              <w:t>3</w:t>
            </w:r>
          </w:p>
        </w:tc>
        <w:tc>
          <w:tcPr>
            <w:tcW w:w="2338" w:type="dxa"/>
            <w:vAlign w:val="center"/>
          </w:tcPr>
          <w:p w14:paraId="08E968A4" w14:textId="7E7AF03E" w:rsidR="006A527F" w:rsidRDefault="006A527F" w:rsidP="006A527F">
            <w:r>
              <w:t>0.0%</w:t>
            </w:r>
          </w:p>
        </w:tc>
      </w:tr>
      <w:tr w:rsidR="006A527F" w14:paraId="0C72D7CC" w14:textId="77777777" w:rsidTr="0025287F">
        <w:tc>
          <w:tcPr>
            <w:tcW w:w="2337" w:type="dxa"/>
          </w:tcPr>
          <w:p w14:paraId="674E535A" w14:textId="4D5F76FB" w:rsidR="006A527F" w:rsidRDefault="006A527F" w:rsidP="006A527F">
            <w:r>
              <w:t>Anderson</w:t>
            </w:r>
          </w:p>
        </w:tc>
        <w:tc>
          <w:tcPr>
            <w:tcW w:w="2337" w:type="dxa"/>
            <w:vAlign w:val="center"/>
          </w:tcPr>
          <w:p w14:paraId="42E0A133" w14:textId="626449C8" w:rsidR="006A527F" w:rsidRDefault="006A527F" w:rsidP="006A527F">
            <w:r>
              <w:t>10</w:t>
            </w:r>
          </w:p>
        </w:tc>
        <w:tc>
          <w:tcPr>
            <w:tcW w:w="2338" w:type="dxa"/>
            <w:vAlign w:val="center"/>
          </w:tcPr>
          <w:p w14:paraId="3E9504E2" w14:textId="3C6F6C40" w:rsidR="006A527F" w:rsidRDefault="006A527F" w:rsidP="006A527F">
            <w:r>
              <w:t>39</w:t>
            </w:r>
          </w:p>
        </w:tc>
        <w:tc>
          <w:tcPr>
            <w:tcW w:w="2338" w:type="dxa"/>
            <w:vAlign w:val="center"/>
          </w:tcPr>
          <w:p w14:paraId="75E92665" w14:textId="1998B0FD" w:rsidR="006A527F" w:rsidRDefault="006A527F" w:rsidP="006A527F">
            <w:r>
              <w:t>25.6%</w:t>
            </w:r>
          </w:p>
        </w:tc>
      </w:tr>
      <w:tr w:rsidR="006A527F" w14:paraId="6F819759" w14:textId="77777777" w:rsidTr="0025287F">
        <w:tc>
          <w:tcPr>
            <w:tcW w:w="2337" w:type="dxa"/>
          </w:tcPr>
          <w:p w14:paraId="2CCD5E30" w14:textId="11CA964E" w:rsidR="006A527F" w:rsidRDefault="006A527F" w:rsidP="006A527F">
            <w:r>
              <w:t>Bamberg</w:t>
            </w:r>
          </w:p>
        </w:tc>
        <w:tc>
          <w:tcPr>
            <w:tcW w:w="2337" w:type="dxa"/>
            <w:vAlign w:val="center"/>
          </w:tcPr>
          <w:p w14:paraId="5DA3304D" w14:textId="23F4F140" w:rsidR="006A527F" w:rsidRDefault="006A527F" w:rsidP="006A527F">
            <w:r>
              <w:t>1</w:t>
            </w:r>
          </w:p>
        </w:tc>
        <w:tc>
          <w:tcPr>
            <w:tcW w:w="2338" w:type="dxa"/>
            <w:vAlign w:val="center"/>
          </w:tcPr>
          <w:p w14:paraId="5880E425" w14:textId="06D7DF99" w:rsidR="006A527F" w:rsidRDefault="006A527F" w:rsidP="006A527F">
            <w:r>
              <w:t>4</w:t>
            </w:r>
          </w:p>
        </w:tc>
        <w:tc>
          <w:tcPr>
            <w:tcW w:w="2338" w:type="dxa"/>
            <w:vAlign w:val="center"/>
          </w:tcPr>
          <w:p w14:paraId="63BD480A" w14:textId="22A99EAA" w:rsidR="006A527F" w:rsidRDefault="006A527F" w:rsidP="006A527F">
            <w:r>
              <w:t>25.0%</w:t>
            </w:r>
          </w:p>
        </w:tc>
      </w:tr>
      <w:tr w:rsidR="006A527F" w14:paraId="0137FEB6" w14:textId="77777777" w:rsidTr="0025287F">
        <w:tc>
          <w:tcPr>
            <w:tcW w:w="2337" w:type="dxa"/>
          </w:tcPr>
          <w:p w14:paraId="59982ADD" w14:textId="6038AE6E" w:rsidR="006A527F" w:rsidRDefault="006A527F" w:rsidP="006A527F">
            <w:r>
              <w:t>Barnwell</w:t>
            </w:r>
          </w:p>
        </w:tc>
        <w:tc>
          <w:tcPr>
            <w:tcW w:w="2337" w:type="dxa"/>
            <w:vAlign w:val="center"/>
          </w:tcPr>
          <w:p w14:paraId="3DB151F4" w14:textId="7988A785" w:rsidR="006A527F" w:rsidRDefault="006A527F" w:rsidP="006A527F">
            <w:r>
              <w:t>0</w:t>
            </w:r>
          </w:p>
        </w:tc>
        <w:tc>
          <w:tcPr>
            <w:tcW w:w="2338" w:type="dxa"/>
            <w:vAlign w:val="center"/>
          </w:tcPr>
          <w:p w14:paraId="56A1C62C" w14:textId="0A8F994C" w:rsidR="006A527F" w:rsidRDefault="006A527F" w:rsidP="006A527F">
            <w:r>
              <w:t>5</w:t>
            </w:r>
          </w:p>
        </w:tc>
        <w:tc>
          <w:tcPr>
            <w:tcW w:w="2338" w:type="dxa"/>
            <w:vAlign w:val="center"/>
          </w:tcPr>
          <w:p w14:paraId="173C593C" w14:textId="41F8B560" w:rsidR="006A527F" w:rsidRDefault="006A527F" w:rsidP="006A527F">
            <w:r>
              <w:t>0.0%</w:t>
            </w:r>
          </w:p>
        </w:tc>
      </w:tr>
      <w:tr w:rsidR="006A527F" w14:paraId="04260F89" w14:textId="77777777" w:rsidTr="0025287F">
        <w:tc>
          <w:tcPr>
            <w:tcW w:w="2337" w:type="dxa"/>
          </w:tcPr>
          <w:p w14:paraId="5C332A29" w14:textId="7D5309A0" w:rsidR="006A527F" w:rsidRDefault="006A527F" w:rsidP="006A527F">
            <w:r>
              <w:lastRenderedPageBreak/>
              <w:t>Beaufort</w:t>
            </w:r>
          </w:p>
        </w:tc>
        <w:tc>
          <w:tcPr>
            <w:tcW w:w="2337" w:type="dxa"/>
            <w:vAlign w:val="center"/>
          </w:tcPr>
          <w:p w14:paraId="31E560E1" w14:textId="75A53296" w:rsidR="006A527F" w:rsidRDefault="006A527F" w:rsidP="006A527F">
            <w:r>
              <w:t>10</w:t>
            </w:r>
          </w:p>
        </w:tc>
        <w:tc>
          <w:tcPr>
            <w:tcW w:w="2338" w:type="dxa"/>
            <w:vAlign w:val="center"/>
          </w:tcPr>
          <w:p w14:paraId="47C271F4" w14:textId="5D92A13F" w:rsidR="006A527F" w:rsidRDefault="006A527F" w:rsidP="006A527F">
            <w:r>
              <w:t>40</w:t>
            </w:r>
          </w:p>
        </w:tc>
        <w:tc>
          <w:tcPr>
            <w:tcW w:w="2338" w:type="dxa"/>
            <w:vAlign w:val="center"/>
          </w:tcPr>
          <w:p w14:paraId="099A6BCB" w14:textId="5D40D85C" w:rsidR="006A527F" w:rsidRDefault="006A527F" w:rsidP="006A527F">
            <w:r>
              <w:t>25.0%</w:t>
            </w:r>
          </w:p>
        </w:tc>
      </w:tr>
      <w:tr w:rsidR="006A527F" w14:paraId="33416B09" w14:textId="77777777" w:rsidTr="0025287F">
        <w:tc>
          <w:tcPr>
            <w:tcW w:w="2337" w:type="dxa"/>
          </w:tcPr>
          <w:p w14:paraId="432EA481" w14:textId="1BB91F89" w:rsidR="006A527F" w:rsidRDefault="006A527F" w:rsidP="006A527F">
            <w:r>
              <w:t>Berkeley</w:t>
            </w:r>
          </w:p>
        </w:tc>
        <w:tc>
          <w:tcPr>
            <w:tcW w:w="2337" w:type="dxa"/>
            <w:vAlign w:val="center"/>
          </w:tcPr>
          <w:p w14:paraId="6F69C95E" w14:textId="27FB83A4" w:rsidR="006A527F" w:rsidRDefault="006A527F" w:rsidP="006A527F">
            <w:r>
              <w:t>18</w:t>
            </w:r>
          </w:p>
        </w:tc>
        <w:tc>
          <w:tcPr>
            <w:tcW w:w="2338" w:type="dxa"/>
            <w:vAlign w:val="center"/>
          </w:tcPr>
          <w:p w14:paraId="485F198D" w14:textId="76F5FF3E" w:rsidR="006A527F" w:rsidRDefault="006A527F" w:rsidP="006A527F">
            <w:r>
              <w:t>44</w:t>
            </w:r>
          </w:p>
        </w:tc>
        <w:tc>
          <w:tcPr>
            <w:tcW w:w="2338" w:type="dxa"/>
            <w:vAlign w:val="center"/>
          </w:tcPr>
          <w:p w14:paraId="0364208D" w14:textId="564DF777" w:rsidR="006A527F" w:rsidRDefault="006A527F" w:rsidP="006A527F">
            <w:r>
              <w:t>40.9%</w:t>
            </w:r>
          </w:p>
        </w:tc>
      </w:tr>
      <w:tr w:rsidR="006A527F" w14:paraId="2BCABBCA" w14:textId="77777777" w:rsidTr="0025287F">
        <w:tc>
          <w:tcPr>
            <w:tcW w:w="2337" w:type="dxa"/>
          </w:tcPr>
          <w:p w14:paraId="6FB3F961" w14:textId="081B7982" w:rsidR="006A527F" w:rsidRDefault="006A527F" w:rsidP="006A527F">
            <w:r>
              <w:t>Calhoun</w:t>
            </w:r>
          </w:p>
        </w:tc>
        <w:tc>
          <w:tcPr>
            <w:tcW w:w="2337" w:type="dxa"/>
            <w:vAlign w:val="center"/>
          </w:tcPr>
          <w:p w14:paraId="6672F885" w14:textId="21112B92" w:rsidR="006A527F" w:rsidRDefault="006A527F" w:rsidP="006A527F">
            <w:r>
              <w:t>0</w:t>
            </w:r>
          </w:p>
        </w:tc>
        <w:tc>
          <w:tcPr>
            <w:tcW w:w="2338" w:type="dxa"/>
            <w:vAlign w:val="center"/>
          </w:tcPr>
          <w:p w14:paraId="63B4F0F0" w14:textId="2AC1547C" w:rsidR="006A527F" w:rsidRDefault="006A527F" w:rsidP="006A527F">
            <w:r>
              <w:t>3</w:t>
            </w:r>
          </w:p>
        </w:tc>
        <w:tc>
          <w:tcPr>
            <w:tcW w:w="2338" w:type="dxa"/>
            <w:vAlign w:val="center"/>
          </w:tcPr>
          <w:p w14:paraId="2F8C133C" w14:textId="55D2E7B8" w:rsidR="006A527F" w:rsidRDefault="006A527F" w:rsidP="006A527F">
            <w:r>
              <w:t>0.0%</w:t>
            </w:r>
          </w:p>
        </w:tc>
      </w:tr>
      <w:tr w:rsidR="006A527F" w14:paraId="02AA3777" w14:textId="77777777" w:rsidTr="0025287F">
        <w:tc>
          <w:tcPr>
            <w:tcW w:w="2337" w:type="dxa"/>
          </w:tcPr>
          <w:p w14:paraId="1B9309CE" w14:textId="17107369" w:rsidR="006A527F" w:rsidRDefault="006A527F" w:rsidP="006A527F">
            <w:r>
              <w:t>Charleston</w:t>
            </w:r>
          </w:p>
        </w:tc>
        <w:tc>
          <w:tcPr>
            <w:tcW w:w="2337" w:type="dxa"/>
            <w:vAlign w:val="center"/>
          </w:tcPr>
          <w:p w14:paraId="72EBDA02" w14:textId="6D283665" w:rsidR="006A527F" w:rsidRDefault="006A527F" w:rsidP="006A527F">
            <w:r>
              <w:t>25</w:t>
            </w:r>
          </w:p>
        </w:tc>
        <w:tc>
          <w:tcPr>
            <w:tcW w:w="2338" w:type="dxa"/>
            <w:vAlign w:val="center"/>
          </w:tcPr>
          <w:p w14:paraId="5D176514" w14:textId="3ABBA3D2" w:rsidR="006A527F" w:rsidRDefault="006A527F" w:rsidP="006A527F">
            <w:r>
              <w:t>85</w:t>
            </w:r>
          </w:p>
        </w:tc>
        <w:tc>
          <w:tcPr>
            <w:tcW w:w="2338" w:type="dxa"/>
            <w:vAlign w:val="center"/>
          </w:tcPr>
          <w:p w14:paraId="658D8EC0" w14:textId="4B88951E" w:rsidR="006A527F" w:rsidRDefault="006A527F" w:rsidP="006A527F">
            <w:r>
              <w:t>29.4%</w:t>
            </w:r>
          </w:p>
        </w:tc>
      </w:tr>
      <w:tr w:rsidR="006A527F" w14:paraId="6859FAF7" w14:textId="77777777" w:rsidTr="0025287F">
        <w:tc>
          <w:tcPr>
            <w:tcW w:w="2337" w:type="dxa"/>
          </w:tcPr>
          <w:p w14:paraId="571E904B" w14:textId="51CD73F8" w:rsidR="006A527F" w:rsidRDefault="006A527F" w:rsidP="006A527F">
            <w:r>
              <w:t>Cherokee</w:t>
            </w:r>
          </w:p>
        </w:tc>
        <w:tc>
          <w:tcPr>
            <w:tcW w:w="2337" w:type="dxa"/>
            <w:vAlign w:val="center"/>
          </w:tcPr>
          <w:p w14:paraId="4A9272B3" w14:textId="51E6C34A" w:rsidR="006A527F" w:rsidRDefault="006A527F" w:rsidP="006A527F">
            <w:r>
              <w:t>4</w:t>
            </w:r>
          </w:p>
        </w:tc>
        <w:tc>
          <w:tcPr>
            <w:tcW w:w="2338" w:type="dxa"/>
            <w:vAlign w:val="center"/>
          </w:tcPr>
          <w:p w14:paraId="6F472B9E" w14:textId="1CDED1B1" w:rsidR="006A527F" w:rsidRDefault="006A527F" w:rsidP="006A527F">
            <w:r>
              <w:t>13</w:t>
            </w:r>
          </w:p>
        </w:tc>
        <w:tc>
          <w:tcPr>
            <w:tcW w:w="2338" w:type="dxa"/>
            <w:vAlign w:val="center"/>
          </w:tcPr>
          <w:p w14:paraId="18615080" w14:textId="2B1F24AE" w:rsidR="006A527F" w:rsidRDefault="006A527F" w:rsidP="006A527F">
            <w:r>
              <w:t>30.8%</w:t>
            </w:r>
          </w:p>
        </w:tc>
      </w:tr>
      <w:tr w:rsidR="006A527F" w14:paraId="682FEE39" w14:textId="77777777" w:rsidTr="0025287F">
        <w:tc>
          <w:tcPr>
            <w:tcW w:w="2337" w:type="dxa"/>
          </w:tcPr>
          <w:p w14:paraId="5EFDC5F9" w14:textId="64CEF596" w:rsidR="006A527F" w:rsidRDefault="006A527F" w:rsidP="006A527F">
            <w:r>
              <w:t>Chester</w:t>
            </w:r>
          </w:p>
        </w:tc>
        <w:tc>
          <w:tcPr>
            <w:tcW w:w="2337" w:type="dxa"/>
            <w:vAlign w:val="center"/>
          </w:tcPr>
          <w:p w14:paraId="48A0BF0B" w14:textId="72B0552E" w:rsidR="006A527F" w:rsidRDefault="006A527F" w:rsidP="006A527F">
            <w:r>
              <w:t>4</w:t>
            </w:r>
          </w:p>
        </w:tc>
        <w:tc>
          <w:tcPr>
            <w:tcW w:w="2338" w:type="dxa"/>
            <w:vAlign w:val="center"/>
          </w:tcPr>
          <w:p w14:paraId="59CDDDD0" w14:textId="71C0AFCF" w:rsidR="006A527F" w:rsidRDefault="006A527F" w:rsidP="006A527F">
            <w:r>
              <w:t>11</w:t>
            </w:r>
          </w:p>
        </w:tc>
        <w:tc>
          <w:tcPr>
            <w:tcW w:w="2338" w:type="dxa"/>
            <w:vAlign w:val="center"/>
          </w:tcPr>
          <w:p w14:paraId="49C36614" w14:textId="082579D6" w:rsidR="006A527F" w:rsidRDefault="006A527F" w:rsidP="006A527F">
            <w:r>
              <w:t>36.4%</w:t>
            </w:r>
          </w:p>
        </w:tc>
      </w:tr>
      <w:tr w:rsidR="006A527F" w14:paraId="4CB9911D" w14:textId="77777777" w:rsidTr="0025287F">
        <w:tc>
          <w:tcPr>
            <w:tcW w:w="2337" w:type="dxa"/>
          </w:tcPr>
          <w:p w14:paraId="11D2DC33" w14:textId="20BFADEF" w:rsidR="006A527F" w:rsidRDefault="006A527F" w:rsidP="006A527F">
            <w:r>
              <w:t>Chesterfield</w:t>
            </w:r>
          </w:p>
        </w:tc>
        <w:tc>
          <w:tcPr>
            <w:tcW w:w="2337" w:type="dxa"/>
            <w:vAlign w:val="center"/>
          </w:tcPr>
          <w:p w14:paraId="61563BAF" w14:textId="74805D39" w:rsidR="006A527F" w:rsidRDefault="006A527F" w:rsidP="006A527F">
            <w:r>
              <w:t>2</w:t>
            </w:r>
          </w:p>
        </w:tc>
        <w:tc>
          <w:tcPr>
            <w:tcW w:w="2338" w:type="dxa"/>
            <w:vAlign w:val="center"/>
          </w:tcPr>
          <w:p w14:paraId="443C9A64" w14:textId="7B8544C5" w:rsidR="006A527F" w:rsidRDefault="006A527F" w:rsidP="006A527F">
            <w:r>
              <w:t>10</w:t>
            </w:r>
          </w:p>
        </w:tc>
        <w:tc>
          <w:tcPr>
            <w:tcW w:w="2338" w:type="dxa"/>
            <w:vAlign w:val="center"/>
          </w:tcPr>
          <w:p w14:paraId="63FBC4CB" w14:textId="42AC3D84" w:rsidR="006A527F" w:rsidRDefault="006A527F" w:rsidP="006A527F">
            <w:r>
              <w:t>20.0%</w:t>
            </w:r>
          </w:p>
        </w:tc>
      </w:tr>
      <w:tr w:rsidR="006A527F" w14:paraId="21BDBD7F" w14:textId="77777777" w:rsidTr="0025287F">
        <w:tc>
          <w:tcPr>
            <w:tcW w:w="2337" w:type="dxa"/>
          </w:tcPr>
          <w:p w14:paraId="0600D88F" w14:textId="64C0C5D8" w:rsidR="006A527F" w:rsidRDefault="006A527F" w:rsidP="006A527F">
            <w:r>
              <w:t>Clarendon</w:t>
            </w:r>
          </w:p>
        </w:tc>
        <w:tc>
          <w:tcPr>
            <w:tcW w:w="2337" w:type="dxa"/>
            <w:vAlign w:val="center"/>
          </w:tcPr>
          <w:p w14:paraId="6980A350" w14:textId="5272E7F4" w:rsidR="006A527F" w:rsidRDefault="006A527F" w:rsidP="006A527F">
            <w:r>
              <w:t>1</w:t>
            </w:r>
          </w:p>
        </w:tc>
        <w:tc>
          <w:tcPr>
            <w:tcW w:w="2338" w:type="dxa"/>
            <w:vAlign w:val="center"/>
          </w:tcPr>
          <w:p w14:paraId="07062B34" w14:textId="1D39587B" w:rsidR="006A527F" w:rsidRDefault="006A527F" w:rsidP="006A527F">
            <w:r>
              <w:t>11</w:t>
            </w:r>
          </w:p>
        </w:tc>
        <w:tc>
          <w:tcPr>
            <w:tcW w:w="2338" w:type="dxa"/>
            <w:vAlign w:val="center"/>
          </w:tcPr>
          <w:p w14:paraId="12B41607" w14:textId="3C041C2F" w:rsidR="006A527F" w:rsidRDefault="006A527F" w:rsidP="006A527F">
            <w:r>
              <w:t>9.1%</w:t>
            </w:r>
          </w:p>
        </w:tc>
      </w:tr>
      <w:tr w:rsidR="006A527F" w14:paraId="632AB749" w14:textId="77777777" w:rsidTr="0025287F">
        <w:tc>
          <w:tcPr>
            <w:tcW w:w="2337" w:type="dxa"/>
          </w:tcPr>
          <w:p w14:paraId="071B7866" w14:textId="04BA0514" w:rsidR="006A527F" w:rsidRDefault="006A527F" w:rsidP="006A527F">
            <w:r>
              <w:t>Colleton</w:t>
            </w:r>
          </w:p>
        </w:tc>
        <w:tc>
          <w:tcPr>
            <w:tcW w:w="2337" w:type="dxa"/>
            <w:vAlign w:val="center"/>
          </w:tcPr>
          <w:p w14:paraId="43E68A91" w14:textId="6F61871C" w:rsidR="006A527F" w:rsidRDefault="006A527F" w:rsidP="006A527F">
            <w:r>
              <w:t>5</w:t>
            </w:r>
          </w:p>
        </w:tc>
        <w:tc>
          <w:tcPr>
            <w:tcW w:w="2338" w:type="dxa"/>
            <w:vAlign w:val="center"/>
          </w:tcPr>
          <w:p w14:paraId="7E5EA846" w14:textId="0B893BE1" w:rsidR="006A527F" w:rsidRDefault="006A527F" w:rsidP="006A527F">
            <w:r>
              <w:t>9</w:t>
            </w:r>
          </w:p>
        </w:tc>
        <w:tc>
          <w:tcPr>
            <w:tcW w:w="2338" w:type="dxa"/>
            <w:vAlign w:val="center"/>
          </w:tcPr>
          <w:p w14:paraId="106A9033" w14:textId="2ACAE036" w:rsidR="006A527F" w:rsidRDefault="006A527F" w:rsidP="006A527F">
            <w:r>
              <w:t>55.6%</w:t>
            </w:r>
          </w:p>
        </w:tc>
      </w:tr>
      <w:tr w:rsidR="006A527F" w14:paraId="10AED49C" w14:textId="77777777" w:rsidTr="0025287F">
        <w:tc>
          <w:tcPr>
            <w:tcW w:w="2337" w:type="dxa"/>
          </w:tcPr>
          <w:p w14:paraId="78C665A6" w14:textId="4408374E" w:rsidR="006A527F" w:rsidRDefault="006A527F" w:rsidP="006A527F">
            <w:r>
              <w:t>Darlington</w:t>
            </w:r>
          </w:p>
        </w:tc>
        <w:tc>
          <w:tcPr>
            <w:tcW w:w="2337" w:type="dxa"/>
            <w:vAlign w:val="center"/>
          </w:tcPr>
          <w:p w14:paraId="6E36945A" w14:textId="0A3E9450" w:rsidR="006A527F" w:rsidRDefault="006A527F" w:rsidP="006A527F">
            <w:r>
              <w:t>5</w:t>
            </w:r>
          </w:p>
        </w:tc>
        <w:tc>
          <w:tcPr>
            <w:tcW w:w="2338" w:type="dxa"/>
            <w:vAlign w:val="center"/>
          </w:tcPr>
          <w:p w14:paraId="3EE6350F" w14:textId="1DCC86E6" w:rsidR="006A527F" w:rsidRDefault="006A527F" w:rsidP="006A527F">
            <w:r>
              <w:t>16</w:t>
            </w:r>
          </w:p>
        </w:tc>
        <w:tc>
          <w:tcPr>
            <w:tcW w:w="2338" w:type="dxa"/>
            <w:vAlign w:val="center"/>
          </w:tcPr>
          <w:p w14:paraId="208E5DBD" w14:textId="4A5FE41F" w:rsidR="006A527F" w:rsidRDefault="006A527F" w:rsidP="006A527F">
            <w:r>
              <w:t>31.3%</w:t>
            </w:r>
          </w:p>
        </w:tc>
      </w:tr>
      <w:tr w:rsidR="006A527F" w14:paraId="01428095" w14:textId="77777777" w:rsidTr="0025287F">
        <w:tc>
          <w:tcPr>
            <w:tcW w:w="2337" w:type="dxa"/>
          </w:tcPr>
          <w:p w14:paraId="1E1F19F3" w14:textId="5BBF4670" w:rsidR="006A527F" w:rsidRDefault="006A527F" w:rsidP="006A527F">
            <w:r>
              <w:t>Dillon</w:t>
            </w:r>
          </w:p>
        </w:tc>
        <w:tc>
          <w:tcPr>
            <w:tcW w:w="2337" w:type="dxa"/>
            <w:vAlign w:val="center"/>
          </w:tcPr>
          <w:p w14:paraId="2A333860" w14:textId="53FE13F9" w:rsidR="006A527F" w:rsidRDefault="006A527F" w:rsidP="006A527F">
            <w:r>
              <w:t>1</w:t>
            </w:r>
          </w:p>
        </w:tc>
        <w:tc>
          <w:tcPr>
            <w:tcW w:w="2338" w:type="dxa"/>
            <w:vAlign w:val="center"/>
          </w:tcPr>
          <w:p w14:paraId="0A067E17" w14:textId="555116C4" w:rsidR="006A527F" w:rsidRDefault="006A527F" w:rsidP="006A527F">
            <w:r>
              <w:t>6</w:t>
            </w:r>
          </w:p>
        </w:tc>
        <w:tc>
          <w:tcPr>
            <w:tcW w:w="2338" w:type="dxa"/>
            <w:vAlign w:val="center"/>
          </w:tcPr>
          <w:p w14:paraId="361FE936" w14:textId="22E338D8" w:rsidR="006A527F" w:rsidRDefault="006A527F" w:rsidP="006A527F">
            <w:r>
              <w:t>16.7%</w:t>
            </w:r>
          </w:p>
        </w:tc>
      </w:tr>
      <w:tr w:rsidR="006A527F" w14:paraId="3A7623EA" w14:textId="77777777" w:rsidTr="0025287F">
        <w:tc>
          <w:tcPr>
            <w:tcW w:w="2337" w:type="dxa"/>
          </w:tcPr>
          <w:p w14:paraId="6F4B7DF0" w14:textId="02086F91" w:rsidR="006A527F" w:rsidRDefault="006A527F" w:rsidP="006A527F">
            <w:r>
              <w:t>Dorchester</w:t>
            </w:r>
          </w:p>
        </w:tc>
        <w:tc>
          <w:tcPr>
            <w:tcW w:w="2337" w:type="dxa"/>
            <w:vAlign w:val="center"/>
          </w:tcPr>
          <w:p w14:paraId="3E2B47AA" w14:textId="18ACD0E4" w:rsidR="006A527F" w:rsidRDefault="006A527F" w:rsidP="006A527F">
            <w:r>
              <w:t>3</w:t>
            </w:r>
          </w:p>
        </w:tc>
        <w:tc>
          <w:tcPr>
            <w:tcW w:w="2338" w:type="dxa"/>
            <w:vAlign w:val="center"/>
          </w:tcPr>
          <w:p w14:paraId="1D692425" w14:textId="38D66BAF" w:rsidR="006A527F" w:rsidRDefault="006A527F" w:rsidP="006A527F">
            <w:r>
              <w:t>25</w:t>
            </w:r>
          </w:p>
        </w:tc>
        <w:tc>
          <w:tcPr>
            <w:tcW w:w="2338" w:type="dxa"/>
            <w:vAlign w:val="center"/>
          </w:tcPr>
          <w:p w14:paraId="659C5BAF" w14:textId="14EDF38A" w:rsidR="006A527F" w:rsidRDefault="006A527F" w:rsidP="006A527F">
            <w:r>
              <w:t>12.0%</w:t>
            </w:r>
          </w:p>
        </w:tc>
      </w:tr>
      <w:tr w:rsidR="006A527F" w14:paraId="3408E344" w14:textId="77777777" w:rsidTr="0025287F">
        <w:tc>
          <w:tcPr>
            <w:tcW w:w="2337" w:type="dxa"/>
          </w:tcPr>
          <w:p w14:paraId="614C8B97" w14:textId="07A4BC3E" w:rsidR="006A527F" w:rsidRDefault="006A527F" w:rsidP="006A527F">
            <w:r>
              <w:t>Edgefield</w:t>
            </w:r>
          </w:p>
        </w:tc>
        <w:tc>
          <w:tcPr>
            <w:tcW w:w="2337" w:type="dxa"/>
            <w:vAlign w:val="center"/>
          </w:tcPr>
          <w:p w14:paraId="509419EA" w14:textId="55D65876" w:rsidR="006A527F" w:rsidRDefault="006A527F" w:rsidP="006A527F">
            <w:r>
              <w:t>0</w:t>
            </w:r>
          </w:p>
        </w:tc>
        <w:tc>
          <w:tcPr>
            <w:tcW w:w="2338" w:type="dxa"/>
            <w:vAlign w:val="center"/>
          </w:tcPr>
          <w:p w14:paraId="5CB2FBB9" w14:textId="1B0C7AB7" w:rsidR="006A527F" w:rsidRDefault="006A527F" w:rsidP="006A527F">
            <w:r>
              <w:t>6</w:t>
            </w:r>
          </w:p>
        </w:tc>
        <w:tc>
          <w:tcPr>
            <w:tcW w:w="2338" w:type="dxa"/>
            <w:vAlign w:val="center"/>
          </w:tcPr>
          <w:p w14:paraId="596FE09E" w14:textId="48CC7BC6" w:rsidR="006A527F" w:rsidRDefault="006A527F" w:rsidP="006A527F">
            <w:r>
              <w:t>0.0%</w:t>
            </w:r>
          </w:p>
        </w:tc>
      </w:tr>
      <w:tr w:rsidR="006A527F" w14:paraId="3EB4FA70" w14:textId="77777777" w:rsidTr="0025287F">
        <w:tc>
          <w:tcPr>
            <w:tcW w:w="2337" w:type="dxa"/>
          </w:tcPr>
          <w:p w14:paraId="540387AF" w14:textId="67B524BB" w:rsidR="006A527F" w:rsidRDefault="006A527F" w:rsidP="006A527F">
            <w:r>
              <w:t>Fairfield</w:t>
            </w:r>
          </w:p>
        </w:tc>
        <w:tc>
          <w:tcPr>
            <w:tcW w:w="2337" w:type="dxa"/>
            <w:vAlign w:val="center"/>
          </w:tcPr>
          <w:p w14:paraId="26793891" w14:textId="2B4F16EA" w:rsidR="006A527F" w:rsidRDefault="006A527F" w:rsidP="006A527F">
            <w:r>
              <w:t>3</w:t>
            </w:r>
          </w:p>
        </w:tc>
        <w:tc>
          <w:tcPr>
            <w:tcW w:w="2338" w:type="dxa"/>
            <w:vAlign w:val="center"/>
          </w:tcPr>
          <w:p w14:paraId="137BCD0C" w14:textId="142EE7F3" w:rsidR="006A527F" w:rsidRDefault="006A527F" w:rsidP="006A527F">
            <w:r>
              <w:t>5</w:t>
            </w:r>
          </w:p>
        </w:tc>
        <w:tc>
          <w:tcPr>
            <w:tcW w:w="2338" w:type="dxa"/>
            <w:vAlign w:val="center"/>
          </w:tcPr>
          <w:p w14:paraId="0F760BF2" w14:textId="6685200E" w:rsidR="006A527F" w:rsidRDefault="006A527F" w:rsidP="006A527F">
            <w:r>
              <w:t>60.0%</w:t>
            </w:r>
          </w:p>
        </w:tc>
      </w:tr>
      <w:tr w:rsidR="006A527F" w14:paraId="715F9C87" w14:textId="77777777" w:rsidTr="0025287F">
        <w:tc>
          <w:tcPr>
            <w:tcW w:w="2337" w:type="dxa"/>
          </w:tcPr>
          <w:p w14:paraId="3FF86504" w14:textId="1C2B9D91" w:rsidR="006A527F" w:rsidRDefault="006A527F" w:rsidP="006A527F">
            <w:r>
              <w:t>Florence</w:t>
            </w:r>
          </w:p>
        </w:tc>
        <w:tc>
          <w:tcPr>
            <w:tcW w:w="2337" w:type="dxa"/>
            <w:vAlign w:val="center"/>
          </w:tcPr>
          <w:p w14:paraId="37482B7C" w14:textId="50488D68" w:rsidR="006A527F" w:rsidRDefault="006A527F" w:rsidP="006A527F">
            <w:r>
              <w:t>8</w:t>
            </w:r>
          </w:p>
        </w:tc>
        <w:tc>
          <w:tcPr>
            <w:tcW w:w="2338" w:type="dxa"/>
            <w:vAlign w:val="center"/>
          </w:tcPr>
          <w:p w14:paraId="66B91680" w14:textId="0A659E6F" w:rsidR="006A527F" w:rsidRDefault="006A527F" w:rsidP="006A527F">
            <w:r>
              <w:t>33</w:t>
            </w:r>
          </w:p>
        </w:tc>
        <w:tc>
          <w:tcPr>
            <w:tcW w:w="2338" w:type="dxa"/>
            <w:vAlign w:val="center"/>
          </w:tcPr>
          <w:p w14:paraId="65A12043" w14:textId="777BBF05" w:rsidR="006A527F" w:rsidRDefault="006A527F" w:rsidP="006A527F">
            <w:r>
              <w:t>24.2%</w:t>
            </w:r>
          </w:p>
        </w:tc>
      </w:tr>
      <w:tr w:rsidR="006A527F" w14:paraId="5884C647" w14:textId="77777777" w:rsidTr="0025287F">
        <w:tc>
          <w:tcPr>
            <w:tcW w:w="2337" w:type="dxa"/>
          </w:tcPr>
          <w:p w14:paraId="7C04E059" w14:textId="615C1395" w:rsidR="006A527F" w:rsidRDefault="006A527F" w:rsidP="006A527F">
            <w:r>
              <w:t>Georgetown</w:t>
            </w:r>
          </w:p>
        </w:tc>
        <w:tc>
          <w:tcPr>
            <w:tcW w:w="2337" w:type="dxa"/>
            <w:vAlign w:val="center"/>
          </w:tcPr>
          <w:p w14:paraId="621FB988" w14:textId="24682335" w:rsidR="006A527F" w:rsidRDefault="006A527F" w:rsidP="006A527F">
            <w:r>
              <w:t>4</w:t>
            </w:r>
          </w:p>
        </w:tc>
        <w:tc>
          <w:tcPr>
            <w:tcW w:w="2338" w:type="dxa"/>
            <w:vAlign w:val="center"/>
          </w:tcPr>
          <w:p w14:paraId="761D7257" w14:textId="4A1B6732" w:rsidR="006A527F" w:rsidRDefault="006A527F" w:rsidP="006A527F">
            <w:r>
              <w:t>14</w:t>
            </w:r>
          </w:p>
        </w:tc>
        <w:tc>
          <w:tcPr>
            <w:tcW w:w="2338" w:type="dxa"/>
            <w:vAlign w:val="center"/>
          </w:tcPr>
          <w:p w14:paraId="62B86EF0" w14:textId="1852B2D2" w:rsidR="006A527F" w:rsidRDefault="006A527F" w:rsidP="006A527F">
            <w:r>
              <w:t>28.6%</w:t>
            </w:r>
          </w:p>
        </w:tc>
      </w:tr>
      <w:tr w:rsidR="006A527F" w14:paraId="7A7B274F" w14:textId="77777777" w:rsidTr="0025287F">
        <w:tc>
          <w:tcPr>
            <w:tcW w:w="2337" w:type="dxa"/>
          </w:tcPr>
          <w:p w14:paraId="78B76A81" w14:textId="37A2EAF8" w:rsidR="006A527F" w:rsidRDefault="006A527F" w:rsidP="006A527F">
            <w:r>
              <w:t>Greenville</w:t>
            </w:r>
          </w:p>
        </w:tc>
        <w:tc>
          <w:tcPr>
            <w:tcW w:w="2337" w:type="dxa"/>
            <w:vAlign w:val="center"/>
          </w:tcPr>
          <w:p w14:paraId="2F7DD977" w14:textId="001D0D48" w:rsidR="006A527F" w:rsidRDefault="006A527F" w:rsidP="006A527F">
            <w:r>
              <w:t>32</w:t>
            </w:r>
          </w:p>
        </w:tc>
        <w:tc>
          <w:tcPr>
            <w:tcW w:w="2338" w:type="dxa"/>
            <w:vAlign w:val="center"/>
          </w:tcPr>
          <w:p w14:paraId="0A0C74CA" w14:textId="759326D2" w:rsidR="006A527F" w:rsidRDefault="006A527F" w:rsidP="006A527F">
            <w:r>
              <w:t>111</w:t>
            </w:r>
          </w:p>
        </w:tc>
        <w:tc>
          <w:tcPr>
            <w:tcW w:w="2338" w:type="dxa"/>
            <w:vAlign w:val="center"/>
          </w:tcPr>
          <w:p w14:paraId="1AE91299" w14:textId="294531D0" w:rsidR="006A527F" w:rsidRDefault="006A527F" w:rsidP="006A527F">
            <w:r>
              <w:t>28.8%</w:t>
            </w:r>
          </w:p>
        </w:tc>
      </w:tr>
      <w:tr w:rsidR="006A527F" w14:paraId="243AC493" w14:textId="77777777" w:rsidTr="0025287F">
        <w:tc>
          <w:tcPr>
            <w:tcW w:w="2337" w:type="dxa"/>
          </w:tcPr>
          <w:p w14:paraId="619FF696" w14:textId="5E94D373" w:rsidR="006A527F" w:rsidRDefault="006A527F" w:rsidP="006A527F">
            <w:r>
              <w:t>Greenwood</w:t>
            </w:r>
          </w:p>
        </w:tc>
        <w:tc>
          <w:tcPr>
            <w:tcW w:w="2337" w:type="dxa"/>
            <w:vAlign w:val="center"/>
          </w:tcPr>
          <w:p w14:paraId="50C3C01E" w14:textId="0E80C948" w:rsidR="006A527F" w:rsidRDefault="006A527F" w:rsidP="006A527F">
            <w:r>
              <w:t>2</w:t>
            </w:r>
          </w:p>
        </w:tc>
        <w:tc>
          <w:tcPr>
            <w:tcW w:w="2338" w:type="dxa"/>
            <w:vAlign w:val="center"/>
          </w:tcPr>
          <w:p w14:paraId="00AE20C2" w14:textId="7DB69536" w:rsidR="006A527F" w:rsidRDefault="006A527F" w:rsidP="006A527F">
            <w:r>
              <w:t>14</w:t>
            </w:r>
          </w:p>
        </w:tc>
        <w:tc>
          <w:tcPr>
            <w:tcW w:w="2338" w:type="dxa"/>
            <w:vAlign w:val="center"/>
          </w:tcPr>
          <w:p w14:paraId="332B6E7F" w14:textId="60873273" w:rsidR="006A527F" w:rsidRDefault="006A527F" w:rsidP="006A527F">
            <w:r>
              <w:t>14.3%</w:t>
            </w:r>
          </w:p>
        </w:tc>
      </w:tr>
      <w:tr w:rsidR="006A527F" w14:paraId="557C26C4" w14:textId="77777777" w:rsidTr="0025287F">
        <w:tc>
          <w:tcPr>
            <w:tcW w:w="2337" w:type="dxa"/>
          </w:tcPr>
          <w:p w14:paraId="7D93F07C" w14:textId="3DA74CF4" w:rsidR="006A527F" w:rsidRDefault="006A527F" w:rsidP="006A527F">
            <w:r>
              <w:t>Hampton</w:t>
            </w:r>
          </w:p>
        </w:tc>
        <w:tc>
          <w:tcPr>
            <w:tcW w:w="2337" w:type="dxa"/>
            <w:vAlign w:val="center"/>
          </w:tcPr>
          <w:p w14:paraId="2F7DCCA2" w14:textId="56400B0D" w:rsidR="006A527F" w:rsidRDefault="006A527F" w:rsidP="006A527F">
            <w:r>
              <w:t>1</w:t>
            </w:r>
          </w:p>
        </w:tc>
        <w:tc>
          <w:tcPr>
            <w:tcW w:w="2338" w:type="dxa"/>
            <w:vAlign w:val="center"/>
          </w:tcPr>
          <w:p w14:paraId="08201D39" w14:textId="71F4C677" w:rsidR="006A527F" w:rsidRDefault="006A527F" w:rsidP="006A527F">
            <w:r>
              <w:t>5</w:t>
            </w:r>
          </w:p>
        </w:tc>
        <w:tc>
          <w:tcPr>
            <w:tcW w:w="2338" w:type="dxa"/>
            <w:vAlign w:val="center"/>
          </w:tcPr>
          <w:p w14:paraId="530DDA4A" w14:textId="566EADC7" w:rsidR="006A527F" w:rsidRDefault="006A527F" w:rsidP="006A527F">
            <w:r>
              <w:t>20.0%</w:t>
            </w:r>
          </w:p>
        </w:tc>
      </w:tr>
      <w:tr w:rsidR="006A527F" w14:paraId="0318134D" w14:textId="77777777" w:rsidTr="0025287F">
        <w:tc>
          <w:tcPr>
            <w:tcW w:w="2337" w:type="dxa"/>
          </w:tcPr>
          <w:p w14:paraId="16E81DE6" w14:textId="6F0D905E" w:rsidR="006A527F" w:rsidRDefault="006A527F" w:rsidP="006A527F">
            <w:r>
              <w:t>Horry</w:t>
            </w:r>
          </w:p>
        </w:tc>
        <w:tc>
          <w:tcPr>
            <w:tcW w:w="2337" w:type="dxa"/>
            <w:vAlign w:val="center"/>
          </w:tcPr>
          <w:p w14:paraId="61CFBB39" w14:textId="7668679F" w:rsidR="006A527F" w:rsidRDefault="006A527F" w:rsidP="006A527F">
            <w:r>
              <w:t>13</w:t>
            </w:r>
          </w:p>
        </w:tc>
        <w:tc>
          <w:tcPr>
            <w:tcW w:w="2338" w:type="dxa"/>
            <w:vAlign w:val="center"/>
          </w:tcPr>
          <w:p w14:paraId="794E5C29" w14:textId="1E5C3A2C" w:rsidR="006A527F" w:rsidRDefault="006A527F" w:rsidP="006A527F">
            <w:r>
              <w:t>71</w:t>
            </w:r>
          </w:p>
        </w:tc>
        <w:tc>
          <w:tcPr>
            <w:tcW w:w="2338" w:type="dxa"/>
            <w:vAlign w:val="center"/>
          </w:tcPr>
          <w:p w14:paraId="4E3284A9" w14:textId="533063C1" w:rsidR="006A527F" w:rsidRDefault="006A527F" w:rsidP="006A527F">
            <w:r>
              <w:t>18.3%</w:t>
            </w:r>
          </w:p>
        </w:tc>
      </w:tr>
      <w:tr w:rsidR="006A527F" w14:paraId="6A0A0941" w14:textId="77777777" w:rsidTr="0025287F">
        <w:tc>
          <w:tcPr>
            <w:tcW w:w="2337" w:type="dxa"/>
          </w:tcPr>
          <w:p w14:paraId="4DA92486" w14:textId="026FBEAE" w:rsidR="006A527F" w:rsidRDefault="006A527F" w:rsidP="006A527F">
            <w:r>
              <w:t>Jasper</w:t>
            </w:r>
          </w:p>
        </w:tc>
        <w:tc>
          <w:tcPr>
            <w:tcW w:w="2337" w:type="dxa"/>
            <w:vAlign w:val="center"/>
          </w:tcPr>
          <w:p w14:paraId="6CEB0152" w14:textId="13F2CB57" w:rsidR="006A527F" w:rsidRDefault="006A527F" w:rsidP="006A527F">
            <w:r>
              <w:t>1</w:t>
            </w:r>
          </w:p>
        </w:tc>
        <w:tc>
          <w:tcPr>
            <w:tcW w:w="2338" w:type="dxa"/>
            <w:vAlign w:val="center"/>
          </w:tcPr>
          <w:p w14:paraId="0E9E9310" w14:textId="646F8FF0" w:rsidR="006A527F" w:rsidRDefault="006A527F" w:rsidP="006A527F">
            <w:r>
              <w:t>4</w:t>
            </w:r>
          </w:p>
        </w:tc>
        <w:tc>
          <w:tcPr>
            <w:tcW w:w="2338" w:type="dxa"/>
            <w:vAlign w:val="center"/>
          </w:tcPr>
          <w:p w14:paraId="747C926B" w14:textId="26F1D809" w:rsidR="006A527F" w:rsidRDefault="006A527F" w:rsidP="006A527F">
            <w:r>
              <w:t>25.0%</w:t>
            </w:r>
          </w:p>
        </w:tc>
      </w:tr>
      <w:tr w:rsidR="006A527F" w14:paraId="2C4754DA" w14:textId="77777777" w:rsidTr="0025287F">
        <w:tc>
          <w:tcPr>
            <w:tcW w:w="2337" w:type="dxa"/>
          </w:tcPr>
          <w:p w14:paraId="1E120285" w14:textId="26F98FB0" w:rsidR="006A527F" w:rsidRDefault="006A527F" w:rsidP="006A527F">
            <w:r>
              <w:t>Kershaw</w:t>
            </w:r>
          </w:p>
        </w:tc>
        <w:tc>
          <w:tcPr>
            <w:tcW w:w="2337" w:type="dxa"/>
            <w:vAlign w:val="center"/>
          </w:tcPr>
          <w:p w14:paraId="33F75E1E" w14:textId="4F0A122D" w:rsidR="006A527F" w:rsidRDefault="006A527F" w:rsidP="006A527F">
            <w:r>
              <w:t>6</w:t>
            </w:r>
          </w:p>
        </w:tc>
        <w:tc>
          <w:tcPr>
            <w:tcW w:w="2338" w:type="dxa"/>
            <w:vAlign w:val="center"/>
          </w:tcPr>
          <w:p w14:paraId="33E26869" w14:textId="50682DE0" w:rsidR="006A527F" w:rsidRDefault="006A527F" w:rsidP="006A527F">
            <w:r>
              <w:t>15</w:t>
            </w:r>
          </w:p>
        </w:tc>
        <w:tc>
          <w:tcPr>
            <w:tcW w:w="2338" w:type="dxa"/>
            <w:vAlign w:val="center"/>
          </w:tcPr>
          <w:p w14:paraId="0FCC50E0" w14:textId="47B4C8EF" w:rsidR="006A527F" w:rsidRDefault="006A527F" w:rsidP="006A527F">
            <w:r>
              <w:t>40.0%</w:t>
            </w:r>
          </w:p>
        </w:tc>
      </w:tr>
      <w:tr w:rsidR="006A527F" w14:paraId="43E19AD3" w14:textId="77777777" w:rsidTr="0025287F">
        <w:tc>
          <w:tcPr>
            <w:tcW w:w="2337" w:type="dxa"/>
          </w:tcPr>
          <w:p w14:paraId="478F00DE" w14:textId="7D8D5B80" w:rsidR="006A527F" w:rsidRDefault="006A527F" w:rsidP="006A527F">
            <w:r>
              <w:t>Lancaster</w:t>
            </w:r>
          </w:p>
        </w:tc>
        <w:tc>
          <w:tcPr>
            <w:tcW w:w="2337" w:type="dxa"/>
            <w:vAlign w:val="center"/>
          </w:tcPr>
          <w:p w14:paraId="54211E09" w14:textId="32FC462C" w:rsidR="006A527F" w:rsidRDefault="006A527F" w:rsidP="006A527F">
            <w:r>
              <w:t>3</w:t>
            </w:r>
          </w:p>
        </w:tc>
        <w:tc>
          <w:tcPr>
            <w:tcW w:w="2338" w:type="dxa"/>
            <w:vAlign w:val="center"/>
          </w:tcPr>
          <w:p w14:paraId="158A33DC" w14:textId="131CC574" w:rsidR="006A527F" w:rsidRDefault="006A527F" w:rsidP="006A527F">
            <w:r>
              <w:t>14</w:t>
            </w:r>
          </w:p>
        </w:tc>
        <w:tc>
          <w:tcPr>
            <w:tcW w:w="2338" w:type="dxa"/>
            <w:vAlign w:val="center"/>
          </w:tcPr>
          <w:p w14:paraId="71F44AAC" w14:textId="51CFA0D9" w:rsidR="006A527F" w:rsidRDefault="006A527F" w:rsidP="006A527F">
            <w:r>
              <w:t>21.4%</w:t>
            </w:r>
          </w:p>
        </w:tc>
      </w:tr>
      <w:tr w:rsidR="006A527F" w14:paraId="72E0063F" w14:textId="77777777" w:rsidTr="0025287F">
        <w:tc>
          <w:tcPr>
            <w:tcW w:w="2337" w:type="dxa"/>
          </w:tcPr>
          <w:p w14:paraId="40FD7189" w14:textId="255A7708" w:rsidR="006A527F" w:rsidRDefault="006A527F" w:rsidP="006A527F">
            <w:r>
              <w:t>Laurens</w:t>
            </w:r>
          </w:p>
        </w:tc>
        <w:tc>
          <w:tcPr>
            <w:tcW w:w="2337" w:type="dxa"/>
            <w:vAlign w:val="center"/>
          </w:tcPr>
          <w:p w14:paraId="55F9694A" w14:textId="1A952B5A" w:rsidR="006A527F" w:rsidRDefault="006A527F" w:rsidP="006A527F">
            <w:r>
              <w:t>3</w:t>
            </w:r>
          </w:p>
        </w:tc>
        <w:tc>
          <w:tcPr>
            <w:tcW w:w="2338" w:type="dxa"/>
            <w:vAlign w:val="center"/>
          </w:tcPr>
          <w:p w14:paraId="5C491186" w14:textId="67ACCD12" w:rsidR="006A527F" w:rsidRDefault="006A527F" w:rsidP="006A527F">
            <w:r>
              <w:t>17</w:t>
            </w:r>
          </w:p>
        </w:tc>
        <w:tc>
          <w:tcPr>
            <w:tcW w:w="2338" w:type="dxa"/>
            <w:vAlign w:val="center"/>
          </w:tcPr>
          <w:p w14:paraId="7A32331E" w14:textId="6B442046" w:rsidR="006A527F" w:rsidRDefault="006A527F" w:rsidP="006A527F">
            <w:r>
              <w:t>17.6%</w:t>
            </w:r>
          </w:p>
        </w:tc>
      </w:tr>
      <w:tr w:rsidR="006A527F" w14:paraId="15A26076" w14:textId="77777777" w:rsidTr="0025287F">
        <w:tc>
          <w:tcPr>
            <w:tcW w:w="2337" w:type="dxa"/>
          </w:tcPr>
          <w:p w14:paraId="175CA4F0" w14:textId="2F971D7C" w:rsidR="006A527F" w:rsidRDefault="006A527F" w:rsidP="006A527F">
            <w:r>
              <w:t>Lee</w:t>
            </w:r>
          </w:p>
        </w:tc>
        <w:tc>
          <w:tcPr>
            <w:tcW w:w="2337" w:type="dxa"/>
            <w:vAlign w:val="center"/>
          </w:tcPr>
          <w:p w14:paraId="58303D03" w14:textId="5352E1DB" w:rsidR="006A527F" w:rsidRDefault="006A527F" w:rsidP="006A527F">
            <w:r>
              <w:t>1</w:t>
            </w:r>
          </w:p>
        </w:tc>
        <w:tc>
          <w:tcPr>
            <w:tcW w:w="2338" w:type="dxa"/>
            <w:vAlign w:val="center"/>
          </w:tcPr>
          <w:p w14:paraId="4DA19446" w14:textId="2DAF7729" w:rsidR="006A527F" w:rsidRDefault="006A527F" w:rsidP="006A527F">
            <w:r>
              <w:t>6</w:t>
            </w:r>
          </w:p>
        </w:tc>
        <w:tc>
          <w:tcPr>
            <w:tcW w:w="2338" w:type="dxa"/>
            <w:vAlign w:val="center"/>
          </w:tcPr>
          <w:p w14:paraId="4AC228C1" w14:textId="3F7B2940" w:rsidR="006A527F" w:rsidRDefault="006A527F" w:rsidP="006A527F">
            <w:r>
              <w:t>16.7%</w:t>
            </w:r>
          </w:p>
        </w:tc>
      </w:tr>
      <w:tr w:rsidR="006A527F" w14:paraId="6062BDBB" w14:textId="77777777" w:rsidTr="0025287F">
        <w:tc>
          <w:tcPr>
            <w:tcW w:w="2337" w:type="dxa"/>
          </w:tcPr>
          <w:p w14:paraId="115B5B5F" w14:textId="72EA4F6B" w:rsidR="006A527F" w:rsidRDefault="006A527F" w:rsidP="006A527F">
            <w:r>
              <w:t>Lexington</w:t>
            </w:r>
          </w:p>
        </w:tc>
        <w:tc>
          <w:tcPr>
            <w:tcW w:w="2337" w:type="dxa"/>
            <w:vAlign w:val="center"/>
          </w:tcPr>
          <w:p w14:paraId="78CD1071" w14:textId="21F5AD8A" w:rsidR="006A527F" w:rsidRDefault="006A527F" w:rsidP="006A527F">
            <w:r>
              <w:t>11</w:t>
            </w:r>
          </w:p>
        </w:tc>
        <w:tc>
          <w:tcPr>
            <w:tcW w:w="2338" w:type="dxa"/>
            <w:vAlign w:val="center"/>
          </w:tcPr>
          <w:p w14:paraId="6DFCC372" w14:textId="690F4FBC" w:rsidR="006A527F" w:rsidRDefault="006A527F" w:rsidP="006A527F">
            <w:r>
              <w:t>73</w:t>
            </w:r>
          </w:p>
        </w:tc>
        <w:tc>
          <w:tcPr>
            <w:tcW w:w="2338" w:type="dxa"/>
            <w:vAlign w:val="center"/>
          </w:tcPr>
          <w:p w14:paraId="14E2EB1F" w14:textId="0B72DFE1" w:rsidR="006A527F" w:rsidRDefault="006A527F" w:rsidP="006A527F">
            <w:r>
              <w:t>15.1%</w:t>
            </w:r>
          </w:p>
        </w:tc>
      </w:tr>
      <w:tr w:rsidR="006A527F" w14:paraId="1719C37F" w14:textId="77777777" w:rsidTr="0025287F">
        <w:tc>
          <w:tcPr>
            <w:tcW w:w="2337" w:type="dxa"/>
          </w:tcPr>
          <w:p w14:paraId="471594FC" w14:textId="51036286" w:rsidR="006A527F" w:rsidRDefault="006A527F" w:rsidP="006A527F">
            <w:r>
              <w:t>Marion</w:t>
            </w:r>
          </w:p>
        </w:tc>
        <w:tc>
          <w:tcPr>
            <w:tcW w:w="2337" w:type="dxa"/>
            <w:vAlign w:val="center"/>
          </w:tcPr>
          <w:p w14:paraId="22017086" w14:textId="09E799D5" w:rsidR="006A527F" w:rsidRDefault="006A527F" w:rsidP="006A527F">
            <w:r>
              <w:t>0</w:t>
            </w:r>
          </w:p>
        </w:tc>
        <w:tc>
          <w:tcPr>
            <w:tcW w:w="2338" w:type="dxa"/>
            <w:vAlign w:val="center"/>
          </w:tcPr>
          <w:p w14:paraId="2C468A84" w14:textId="15052A1E" w:rsidR="006A527F" w:rsidRDefault="006A527F" w:rsidP="006A527F">
            <w:r>
              <w:t>8</w:t>
            </w:r>
          </w:p>
        </w:tc>
        <w:tc>
          <w:tcPr>
            <w:tcW w:w="2338" w:type="dxa"/>
            <w:vAlign w:val="center"/>
          </w:tcPr>
          <w:p w14:paraId="293CA885" w14:textId="022D7B0C" w:rsidR="006A527F" w:rsidRDefault="006A527F" w:rsidP="006A527F">
            <w:r>
              <w:t>0.0%</w:t>
            </w:r>
          </w:p>
        </w:tc>
      </w:tr>
      <w:tr w:rsidR="006A527F" w14:paraId="0CCCDEDA" w14:textId="77777777" w:rsidTr="0025287F">
        <w:tc>
          <w:tcPr>
            <w:tcW w:w="2337" w:type="dxa"/>
          </w:tcPr>
          <w:p w14:paraId="526D960F" w14:textId="25D62D0A" w:rsidR="006A527F" w:rsidRDefault="006A527F" w:rsidP="006A527F">
            <w:r>
              <w:t>Marlboro</w:t>
            </w:r>
          </w:p>
        </w:tc>
        <w:tc>
          <w:tcPr>
            <w:tcW w:w="2337" w:type="dxa"/>
            <w:vAlign w:val="center"/>
          </w:tcPr>
          <w:p w14:paraId="51229CC2" w14:textId="248A9C86" w:rsidR="006A527F" w:rsidRDefault="006A527F" w:rsidP="006A527F">
            <w:r>
              <w:t>2</w:t>
            </w:r>
          </w:p>
        </w:tc>
        <w:tc>
          <w:tcPr>
            <w:tcW w:w="2338" w:type="dxa"/>
            <w:vAlign w:val="center"/>
          </w:tcPr>
          <w:p w14:paraId="37E49A1D" w14:textId="74A37A85" w:rsidR="006A527F" w:rsidRDefault="006A527F" w:rsidP="006A527F">
            <w:r>
              <w:t>7</w:t>
            </w:r>
          </w:p>
        </w:tc>
        <w:tc>
          <w:tcPr>
            <w:tcW w:w="2338" w:type="dxa"/>
            <w:vAlign w:val="center"/>
          </w:tcPr>
          <w:p w14:paraId="57F929FE" w14:textId="3EA04936" w:rsidR="006A527F" w:rsidRDefault="006A527F" w:rsidP="006A527F">
            <w:r>
              <w:t>28.6%</w:t>
            </w:r>
          </w:p>
        </w:tc>
      </w:tr>
      <w:tr w:rsidR="006A527F" w14:paraId="25A9E135" w14:textId="77777777" w:rsidTr="0025287F">
        <w:tc>
          <w:tcPr>
            <w:tcW w:w="2337" w:type="dxa"/>
          </w:tcPr>
          <w:p w14:paraId="2A8E020D" w14:textId="26257110" w:rsidR="006A527F" w:rsidRDefault="006A527F" w:rsidP="006A527F">
            <w:r>
              <w:t>McCormick</w:t>
            </w:r>
          </w:p>
        </w:tc>
        <w:tc>
          <w:tcPr>
            <w:tcW w:w="2337" w:type="dxa"/>
            <w:vAlign w:val="center"/>
          </w:tcPr>
          <w:p w14:paraId="24F170AF" w14:textId="056F417E" w:rsidR="006A527F" w:rsidRDefault="006A527F" w:rsidP="006A527F">
            <w:r>
              <w:t>0</w:t>
            </w:r>
          </w:p>
        </w:tc>
        <w:tc>
          <w:tcPr>
            <w:tcW w:w="2338" w:type="dxa"/>
            <w:vAlign w:val="center"/>
          </w:tcPr>
          <w:p w14:paraId="5D7CB9BF" w14:textId="1830279D" w:rsidR="006A527F" w:rsidRDefault="006A527F" w:rsidP="006A527F">
            <w:r>
              <w:t>3</w:t>
            </w:r>
          </w:p>
        </w:tc>
        <w:tc>
          <w:tcPr>
            <w:tcW w:w="2338" w:type="dxa"/>
            <w:vAlign w:val="center"/>
          </w:tcPr>
          <w:p w14:paraId="14EEBBDE" w14:textId="0A6C654A" w:rsidR="006A527F" w:rsidRDefault="006A527F" w:rsidP="006A527F">
            <w:r>
              <w:t>0.0%</w:t>
            </w:r>
          </w:p>
        </w:tc>
      </w:tr>
      <w:tr w:rsidR="006A527F" w14:paraId="634B943B" w14:textId="77777777" w:rsidTr="0025287F">
        <w:tc>
          <w:tcPr>
            <w:tcW w:w="2337" w:type="dxa"/>
          </w:tcPr>
          <w:p w14:paraId="01317285" w14:textId="7B7684A5" w:rsidR="006A527F" w:rsidRDefault="006A527F" w:rsidP="006A527F">
            <w:r>
              <w:t>Newberry</w:t>
            </w:r>
          </w:p>
        </w:tc>
        <w:tc>
          <w:tcPr>
            <w:tcW w:w="2337" w:type="dxa"/>
            <w:vAlign w:val="center"/>
          </w:tcPr>
          <w:p w14:paraId="6102F7A2" w14:textId="0CCBBA10" w:rsidR="006A527F" w:rsidRDefault="006A527F" w:rsidP="006A527F">
            <w:r>
              <w:t>2</w:t>
            </w:r>
          </w:p>
        </w:tc>
        <w:tc>
          <w:tcPr>
            <w:tcW w:w="2338" w:type="dxa"/>
            <w:vAlign w:val="center"/>
          </w:tcPr>
          <w:p w14:paraId="49E2FF35" w14:textId="7EAD9E8C" w:rsidR="006A527F" w:rsidRDefault="006A527F" w:rsidP="006A527F">
            <w:r>
              <w:t>8</w:t>
            </w:r>
          </w:p>
        </w:tc>
        <w:tc>
          <w:tcPr>
            <w:tcW w:w="2338" w:type="dxa"/>
            <w:vAlign w:val="center"/>
          </w:tcPr>
          <w:p w14:paraId="24657523" w14:textId="65A85D8A" w:rsidR="006A527F" w:rsidRDefault="006A527F" w:rsidP="006A527F">
            <w:r>
              <w:t>25.0%</w:t>
            </w:r>
          </w:p>
        </w:tc>
      </w:tr>
      <w:tr w:rsidR="006A527F" w14:paraId="2744D71C" w14:textId="77777777" w:rsidTr="0025287F">
        <w:tc>
          <w:tcPr>
            <w:tcW w:w="2337" w:type="dxa"/>
          </w:tcPr>
          <w:p w14:paraId="65829770" w14:textId="07195A91" w:rsidR="006A527F" w:rsidRDefault="006A527F" w:rsidP="006A527F">
            <w:r>
              <w:t>Oconee</w:t>
            </w:r>
          </w:p>
        </w:tc>
        <w:tc>
          <w:tcPr>
            <w:tcW w:w="2337" w:type="dxa"/>
            <w:vAlign w:val="center"/>
          </w:tcPr>
          <w:p w14:paraId="5DF89521" w14:textId="72B42193" w:rsidR="006A527F" w:rsidRDefault="006A527F" w:rsidP="006A527F">
            <w:r>
              <w:t>3</w:t>
            </w:r>
          </w:p>
        </w:tc>
        <w:tc>
          <w:tcPr>
            <w:tcW w:w="2338" w:type="dxa"/>
            <w:vAlign w:val="center"/>
          </w:tcPr>
          <w:p w14:paraId="247DECFB" w14:textId="0378E763" w:rsidR="006A527F" w:rsidRDefault="006A527F" w:rsidP="006A527F">
            <w:r>
              <w:t>15</w:t>
            </w:r>
          </w:p>
        </w:tc>
        <w:tc>
          <w:tcPr>
            <w:tcW w:w="2338" w:type="dxa"/>
            <w:vAlign w:val="center"/>
          </w:tcPr>
          <w:p w14:paraId="0DF9126F" w14:textId="5051727E" w:rsidR="006A527F" w:rsidRDefault="006A527F" w:rsidP="006A527F">
            <w:r>
              <w:t>20.0%</w:t>
            </w:r>
          </w:p>
        </w:tc>
      </w:tr>
      <w:tr w:rsidR="006A527F" w14:paraId="287960B8" w14:textId="77777777" w:rsidTr="0025287F">
        <w:tc>
          <w:tcPr>
            <w:tcW w:w="2337" w:type="dxa"/>
          </w:tcPr>
          <w:p w14:paraId="16FD1C26" w14:textId="5FA22815" w:rsidR="006A527F" w:rsidRDefault="006A527F" w:rsidP="006A527F">
            <w:r>
              <w:t>Orangeburg</w:t>
            </w:r>
          </w:p>
        </w:tc>
        <w:tc>
          <w:tcPr>
            <w:tcW w:w="2337" w:type="dxa"/>
            <w:vAlign w:val="center"/>
          </w:tcPr>
          <w:p w14:paraId="072DA285" w14:textId="6AE8A570" w:rsidR="006A527F" w:rsidRDefault="006A527F" w:rsidP="006A527F">
            <w:r>
              <w:t>8</w:t>
            </w:r>
          </w:p>
        </w:tc>
        <w:tc>
          <w:tcPr>
            <w:tcW w:w="2338" w:type="dxa"/>
            <w:vAlign w:val="center"/>
          </w:tcPr>
          <w:p w14:paraId="7CC06B14" w14:textId="7A1FA488" w:rsidR="006A527F" w:rsidRDefault="006A527F" w:rsidP="006A527F">
            <w:r>
              <w:t>20</w:t>
            </w:r>
          </w:p>
        </w:tc>
        <w:tc>
          <w:tcPr>
            <w:tcW w:w="2338" w:type="dxa"/>
            <w:vAlign w:val="center"/>
          </w:tcPr>
          <w:p w14:paraId="7CD8E941" w14:textId="2AF7F65C" w:rsidR="006A527F" w:rsidRDefault="006A527F" w:rsidP="006A527F">
            <w:r>
              <w:t>40.0%</w:t>
            </w:r>
          </w:p>
        </w:tc>
      </w:tr>
      <w:tr w:rsidR="006A527F" w14:paraId="50D0525A" w14:textId="77777777" w:rsidTr="0025287F">
        <w:tc>
          <w:tcPr>
            <w:tcW w:w="2337" w:type="dxa"/>
          </w:tcPr>
          <w:p w14:paraId="5380414B" w14:textId="05B2F221" w:rsidR="006A527F" w:rsidRDefault="006A527F" w:rsidP="006A527F">
            <w:r>
              <w:t>Pickens</w:t>
            </w:r>
          </w:p>
        </w:tc>
        <w:tc>
          <w:tcPr>
            <w:tcW w:w="2337" w:type="dxa"/>
            <w:vAlign w:val="center"/>
          </w:tcPr>
          <w:p w14:paraId="7A55BAE6" w14:textId="3CFF9323" w:rsidR="006A527F" w:rsidRDefault="006A527F" w:rsidP="006A527F">
            <w:r>
              <w:t>9</w:t>
            </w:r>
          </w:p>
        </w:tc>
        <w:tc>
          <w:tcPr>
            <w:tcW w:w="2338" w:type="dxa"/>
            <w:vAlign w:val="center"/>
          </w:tcPr>
          <w:p w14:paraId="45F015E5" w14:textId="33BC7391" w:rsidR="006A527F" w:rsidRDefault="006A527F" w:rsidP="006A527F">
            <w:r>
              <w:t>28</w:t>
            </w:r>
          </w:p>
        </w:tc>
        <w:tc>
          <w:tcPr>
            <w:tcW w:w="2338" w:type="dxa"/>
            <w:vAlign w:val="center"/>
          </w:tcPr>
          <w:p w14:paraId="2684D446" w14:textId="5FAA50F3" w:rsidR="006A527F" w:rsidRDefault="006A527F" w:rsidP="006A527F">
            <w:r>
              <w:t>32.1%</w:t>
            </w:r>
          </w:p>
        </w:tc>
      </w:tr>
      <w:tr w:rsidR="006A527F" w14:paraId="17A40605" w14:textId="77777777" w:rsidTr="0025287F">
        <w:tc>
          <w:tcPr>
            <w:tcW w:w="2337" w:type="dxa"/>
          </w:tcPr>
          <w:p w14:paraId="62F42720" w14:textId="23F05ADD" w:rsidR="006A527F" w:rsidRDefault="006A527F" w:rsidP="006A527F">
            <w:r>
              <w:t>Richland</w:t>
            </w:r>
          </w:p>
        </w:tc>
        <w:tc>
          <w:tcPr>
            <w:tcW w:w="2337" w:type="dxa"/>
            <w:vAlign w:val="center"/>
          </w:tcPr>
          <w:p w14:paraId="4B8DEE0F" w14:textId="56DA88EE" w:rsidR="006A527F" w:rsidRDefault="006A527F" w:rsidP="006A527F">
            <w:r>
              <w:t>41</w:t>
            </w:r>
          </w:p>
        </w:tc>
        <w:tc>
          <w:tcPr>
            <w:tcW w:w="2338" w:type="dxa"/>
            <w:vAlign w:val="center"/>
          </w:tcPr>
          <w:p w14:paraId="1EF2A3D2" w14:textId="18C3F897" w:rsidR="006A527F" w:rsidRDefault="006A527F" w:rsidP="006A527F">
            <w:r>
              <w:t>89</w:t>
            </w:r>
          </w:p>
        </w:tc>
        <w:tc>
          <w:tcPr>
            <w:tcW w:w="2338" w:type="dxa"/>
            <w:vAlign w:val="center"/>
          </w:tcPr>
          <w:p w14:paraId="5D83781E" w14:textId="31248270" w:rsidR="006A527F" w:rsidRDefault="006A527F" w:rsidP="006A527F">
            <w:r>
              <w:t>46.1%</w:t>
            </w:r>
          </w:p>
        </w:tc>
      </w:tr>
      <w:tr w:rsidR="006A527F" w14:paraId="13D4D969" w14:textId="77777777" w:rsidTr="0025287F">
        <w:tc>
          <w:tcPr>
            <w:tcW w:w="2337" w:type="dxa"/>
          </w:tcPr>
          <w:p w14:paraId="0A87AF9B" w14:textId="60ACC466" w:rsidR="006A527F" w:rsidRDefault="006A527F" w:rsidP="006A527F">
            <w:r>
              <w:t>Saluda</w:t>
            </w:r>
          </w:p>
        </w:tc>
        <w:tc>
          <w:tcPr>
            <w:tcW w:w="2337" w:type="dxa"/>
            <w:vAlign w:val="center"/>
          </w:tcPr>
          <w:p w14:paraId="12689338" w14:textId="5EF7625B" w:rsidR="006A527F" w:rsidRDefault="006A527F" w:rsidP="006A527F">
            <w:r>
              <w:t>0</w:t>
            </w:r>
          </w:p>
        </w:tc>
        <w:tc>
          <w:tcPr>
            <w:tcW w:w="2338" w:type="dxa"/>
            <w:vAlign w:val="center"/>
          </w:tcPr>
          <w:p w14:paraId="50E490E0" w14:textId="53852D13" w:rsidR="006A527F" w:rsidRDefault="006A527F" w:rsidP="006A527F">
            <w:r>
              <w:t>5</w:t>
            </w:r>
          </w:p>
        </w:tc>
        <w:tc>
          <w:tcPr>
            <w:tcW w:w="2338" w:type="dxa"/>
            <w:vAlign w:val="center"/>
          </w:tcPr>
          <w:p w14:paraId="6B96D0CB" w14:textId="371F20F2" w:rsidR="006A527F" w:rsidRDefault="006A527F" w:rsidP="006A527F">
            <w:r>
              <w:t>0.0%</w:t>
            </w:r>
          </w:p>
        </w:tc>
      </w:tr>
      <w:tr w:rsidR="006A527F" w14:paraId="34932D1A" w14:textId="77777777" w:rsidTr="0025287F">
        <w:tc>
          <w:tcPr>
            <w:tcW w:w="2337" w:type="dxa"/>
          </w:tcPr>
          <w:p w14:paraId="67A54691" w14:textId="403FC519" w:rsidR="006A527F" w:rsidRDefault="006A527F" w:rsidP="006A527F">
            <w:r>
              <w:t>Spartanburg</w:t>
            </w:r>
          </w:p>
        </w:tc>
        <w:tc>
          <w:tcPr>
            <w:tcW w:w="2337" w:type="dxa"/>
            <w:vAlign w:val="center"/>
          </w:tcPr>
          <w:p w14:paraId="4A911612" w14:textId="69791A1C" w:rsidR="006A527F" w:rsidRDefault="006A527F" w:rsidP="006A527F">
            <w:r>
              <w:t>27</w:t>
            </w:r>
          </w:p>
        </w:tc>
        <w:tc>
          <w:tcPr>
            <w:tcW w:w="2338" w:type="dxa"/>
            <w:vAlign w:val="center"/>
          </w:tcPr>
          <w:p w14:paraId="3B0891DF" w14:textId="65EB8FB1" w:rsidR="006A527F" w:rsidRDefault="006A527F" w:rsidP="006A527F">
            <w:r>
              <w:t>69</w:t>
            </w:r>
          </w:p>
        </w:tc>
        <w:tc>
          <w:tcPr>
            <w:tcW w:w="2338" w:type="dxa"/>
            <w:vAlign w:val="center"/>
          </w:tcPr>
          <w:p w14:paraId="52D0EFFA" w14:textId="18F46C3E" w:rsidR="006A527F" w:rsidRDefault="006A527F" w:rsidP="006A527F">
            <w:r>
              <w:t>39.1%</w:t>
            </w:r>
          </w:p>
        </w:tc>
      </w:tr>
      <w:tr w:rsidR="006A527F" w14:paraId="5FF702AC" w14:textId="77777777" w:rsidTr="0025287F">
        <w:tc>
          <w:tcPr>
            <w:tcW w:w="2337" w:type="dxa"/>
          </w:tcPr>
          <w:p w14:paraId="0D360BC6" w14:textId="73E9526C" w:rsidR="006A527F" w:rsidRDefault="006A527F" w:rsidP="006A527F">
            <w:r>
              <w:lastRenderedPageBreak/>
              <w:t>Sumter</w:t>
            </w:r>
          </w:p>
        </w:tc>
        <w:tc>
          <w:tcPr>
            <w:tcW w:w="2337" w:type="dxa"/>
            <w:vAlign w:val="center"/>
          </w:tcPr>
          <w:p w14:paraId="6D6E6FC9" w14:textId="590BF983" w:rsidR="006A527F" w:rsidRDefault="006A527F" w:rsidP="006A527F">
            <w:r>
              <w:t>9</w:t>
            </w:r>
          </w:p>
        </w:tc>
        <w:tc>
          <w:tcPr>
            <w:tcW w:w="2338" w:type="dxa"/>
            <w:vAlign w:val="center"/>
          </w:tcPr>
          <w:p w14:paraId="40C36F73" w14:textId="3B6FEF3B" w:rsidR="006A527F" w:rsidRDefault="006A527F" w:rsidP="006A527F">
            <w:r>
              <w:t>23</w:t>
            </w:r>
          </w:p>
        </w:tc>
        <w:tc>
          <w:tcPr>
            <w:tcW w:w="2338" w:type="dxa"/>
            <w:vAlign w:val="center"/>
          </w:tcPr>
          <w:p w14:paraId="24976B2A" w14:textId="50397FB4" w:rsidR="006A527F" w:rsidRDefault="006A527F" w:rsidP="006A527F">
            <w:r>
              <w:t>39.1%</w:t>
            </w:r>
          </w:p>
        </w:tc>
      </w:tr>
      <w:tr w:rsidR="006A527F" w14:paraId="5E7424ED" w14:textId="77777777" w:rsidTr="0025287F">
        <w:tc>
          <w:tcPr>
            <w:tcW w:w="2337" w:type="dxa"/>
          </w:tcPr>
          <w:p w14:paraId="222E6737" w14:textId="48E4EAFD" w:rsidR="006A527F" w:rsidRDefault="006A527F" w:rsidP="006A527F">
            <w:r>
              <w:t>Union</w:t>
            </w:r>
          </w:p>
        </w:tc>
        <w:tc>
          <w:tcPr>
            <w:tcW w:w="2337" w:type="dxa"/>
            <w:vAlign w:val="center"/>
          </w:tcPr>
          <w:p w14:paraId="693A5D94" w14:textId="1117DA82" w:rsidR="006A527F" w:rsidRDefault="006A527F" w:rsidP="006A527F">
            <w:r>
              <w:t>3</w:t>
            </w:r>
          </w:p>
        </w:tc>
        <w:tc>
          <w:tcPr>
            <w:tcW w:w="2338" w:type="dxa"/>
            <w:vAlign w:val="center"/>
          </w:tcPr>
          <w:p w14:paraId="7F24E43B" w14:textId="5B266499" w:rsidR="006A527F" w:rsidRDefault="006A527F" w:rsidP="006A527F">
            <w:r>
              <w:t>9</w:t>
            </w:r>
          </w:p>
        </w:tc>
        <w:tc>
          <w:tcPr>
            <w:tcW w:w="2338" w:type="dxa"/>
            <w:vAlign w:val="center"/>
          </w:tcPr>
          <w:p w14:paraId="4554BA19" w14:textId="6AEE2456" w:rsidR="006A527F" w:rsidRDefault="006A527F" w:rsidP="006A527F">
            <w:r>
              <w:t>33.3%</w:t>
            </w:r>
          </w:p>
        </w:tc>
      </w:tr>
      <w:tr w:rsidR="006A527F" w14:paraId="16E018FA" w14:textId="77777777" w:rsidTr="0025287F">
        <w:tc>
          <w:tcPr>
            <w:tcW w:w="2337" w:type="dxa"/>
          </w:tcPr>
          <w:p w14:paraId="28B97BC1" w14:textId="4CF4E084" w:rsidR="006A527F" w:rsidRDefault="006A527F" w:rsidP="006A527F">
            <w:r>
              <w:t>Williamsburg</w:t>
            </w:r>
          </w:p>
        </w:tc>
        <w:tc>
          <w:tcPr>
            <w:tcW w:w="2337" w:type="dxa"/>
            <w:vAlign w:val="center"/>
          </w:tcPr>
          <w:p w14:paraId="6ECD64EA" w14:textId="695609BB" w:rsidR="006A527F" w:rsidRDefault="006A527F" w:rsidP="006A527F">
            <w:r>
              <w:t>2</w:t>
            </w:r>
          </w:p>
        </w:tc>
        <w:tc>
          <w:tcPr>
            <w:tcW w:w="2338" w:type="dxa"/>
            <w:vAlign w:val="center"/>
          </w:tcPr>
          <w:p w14:paraId="58A561FD" w14:textId="24C04CB6" w:rsidR="006A527F" w:rsidRDefault="006A527F" w:rsidP="006A527F">
            <w:r>
              <w:t>11</w:t>
            </w:r>
          </w:p>
        </w:tc>
        <w:tc>
          <w:tcPr>
            <w:tcW w:w="2338" w:type="dxa"/>
            <w:vAlign w:val="center"/>
          </w:tcPr>
          <w:p w14:paraId="5BACFFD9" w14:textId="004BACAD" w:rsidR="006A527F" w:rsidRDefault="006A527F" w:rsidP="006A527F">
            <w:r>
              <w:t>18.2%</w:t>
            </w:r>
          </w:p>
        </w:tc>
      </w:tr>
      <w:tr w:rsidR="006A527F" w14:paraId="4F1B1924" w14:textId="77777777" w:rsidTr="0025287F">
        <w:tc>
          <w:tcPr>
            <w:tcW w:w="2337" w:type="dxa"/>
          </w:tcPr>
          <w:p w14:paraId="2E2AECF0" w14:textId="722C120E" w:rsidR="006A527F" w:rsidRDefault="006A527F" w:rsidP="006A527F">
            <w:r>
              <w:t>York</w:t>
            </w:r>
          </w:p>
        </w:tc>
        <w:tc>
          <w:tcPr>
            <w:tcW w:w="2337" w:type="dxa"/>
            <w:vAlign w:val="center"/>
          </w:tcPr>
          <w:p w14:paraId="3FD07CEB" w14:textId="1FBD9F8C" w:rsidR="006A527F" w:rsidRDefault="006A527F" w:rsidP="006A527F">
            <w:r>
              <w:t>14</w:t>
            </w:r>
          </w:p>
        </w:tc>
        <w:tc>
          <w:tcPr>
            <w:tcW w:w="2338" w:type="dxa"/>
            <w:vAlign w:val="center"/>
          </w:tcPr>
          <w:p w14:paraId="3C551305" w14:textId="489E7455" w:rsidR="006A527F" w:rsidRDefault="006A527F" w:rsidP="006A527F">
            <w:r>
              <w:t>46</w:t>
            </w:r>
          </w:p>
        </w:tc>
        <w:tc>
          <w:tcPr>
            <w:tcW w:w="2338" w:type="dxa"/>
            <w:vAlign w:val="center"/>
          </w:tcPr>
          <w:p w14:paraId="26C783E1" w14:textId="01E1BCBF" w:rsidR="006A527F" w:rsidRDefault="006A527F" w:rsidP="006A527F">
            <w:r>
              <w:t>30.4%</w:t>
            </w:r>
          </w:p>
        </w:tc>
      </w:tr>
    </w:tbl>
    <w:p w14:paraId="7E12DBBB" w14:textId="0054F053" w:rsidR="006A527F" w:rsidRPr="006A527F" w:rsidRDefault="006A527F" w:rsidP="006A527F">
      <w:r w:rsidRPr="006A527F">
        <w:t>Source: US Department of Agriculture (USDA) Economic Research Service Food Access Research Atlas, 2019.</w:t>
      </w:r>
    </w:p>
    <w:p w14:paraId="5FFFCDBE" w14:textId="77777777" w:rsidR="00421192" w:rsidRPr="00AB0D52" w:rsidRDefault="00421192" w:rsidP="00421192">
      <w:pPr>
        <w:rPr>
          <w:color w:val="FF0000"/>
        </w:rPr>
      </w:pPr>
    </w:p>
    <w:p w14:paraId="5D49F525" w14:textId="3962B370" w:rsidR="00421192" w:rsidRDefault="00421192" w:rsidP="00421192">
      <w:pPr>
        <w:pStyle w:val="Heading4"/>
      </w:pPr>
      <w:bookmarkStart w:id="255" w:name="_Toc154569821"/>
      <w:bookmarkStart w:id="256" w:name="_Toc162267160"/>
      <w:r>
        <w:t>Figure 6.13: Food Insecurity Rate, by Race/Ethnicity.</w:t>
      </w:r>
      <w:bookmarkEnd w:id="255"/>
      <w:bookmarkEnd w:id="256"/>
    </w:p>
    <w:tbl>
      <w:tblPr>
        <w:tblStyle w:val="TableGrid"/>
        <w:tblW w:w="0" w:type="auto"/>
        <w:tblLook w:val="04A0" w:firstRow="1" w:lastRow="0" w:firstColumn="1" w:lastColumn="0" w:noHBand="0" w:noVBand="1"/>
      </w:tblPr>
      <w:tblGrid>
        <w:gridCol w:w="3116"/>
        <w:gridCol w:w="3117"/>
        <w:gridCol w:w="3117"/>
      </w:tblGrid>
      <w:tr w:rsidR="00421192" w14:paraId="48EBE567" w14:textId="77777777" w:rsidTr="001515D5">
        <w:tc>
          <w:tcPr>
            <w:tcW w:w="3116" w:type="dxa"/>
            <w:vAlign w:val="bottom"/>
          </w:tcPr>
          <w:p w14:paraId="794E6441" w14:textId="77777777" w:rsidR="00421192" w:rsidRDefault="00421192" w:rsidP="001515D5">
            <w:r>
              <w:t>Race/Ethnicity</w:t>
            </w:r>
          </w:p>
        </w:tc>
        <w:tc>
          <w:tcPr>
            <w:tcW w:w="3117" w:type="dxa"/>
            <w:vAlign w:val="bottom"/>
          </w:tcPr>
          <w:p w14:paraId="4F690D52" w14:textId="77777777" w:rsidR="00421192" w:rsidRDefault="00421192" w:rsidP="001515D5">
            <w:r>
              <w:t>Percent</w:t>
            </w:r>
          </w:p>
        </w:tc>
        <w:tc>
          <w:tcPr>
            <w:tcW w:w="3117" w:type="dxa"/>
            <w:vAlign w:val="bottom"/>
          </w:tcPr>
          <w:p w14:paraId="0C30D870" w14:textId="77777777" w:rsidR="00421192" w:rsidRDefault="00421192" w:rsidP="001515D5">
            <w:r>
              <w:t>South Carolina (Overall)</w:t>
            </w:r>
          </w:p>
        </w:tc>
      </w:tr>
      <w:tr w:rsidR="00421192" w14:paraId="08ADCF60" w14:textId="77777777" w:rsidTr="001515D5">
        <w:tc>
          <w:tcPr>
            <w:tcW w:w="3116" w:type="dxa"/>
            <w:vAlign w:val="bottom"/>
          </w:tcPr>
          <w:p w14:paraId="1CCC7A69" w14:textId="77777777" w:rsidR="00421192" w:rsidRDefault="00421192" w:rsidP="001515D5">
            <w:r>
              <w:t>Black (all ethnicities)</w:t>
            </w:r>
          </w:p>
        </w:tc>
        <w:tc>
          <w:tcPr>
            <w:tcW w:w="3117" w:type="dxa"/>
            <w:vAlign w:val="bottom"/>
          </w:tcPr>
          <w:p w14:paraId="6B80C763" w14:textId="77777777" w:rsidR="00421192" w:rsidRDefault="00421192" w:rsidP="001515D5">
            <w:r>
              <w:t>19.00%</w:t>
            </w:r>
          </w:p>
        </w:tc>
        <w:tc>
          <w:tcPr>
            <w:tcW w:w="3117" w:type="dxa"/>
            <w:vAlign w:val="bottom"/>
          </w:tcPr>
          <w:p w14:paraId="466E187A" w14:textId="77777777" w:rsidR="00421192" w:rsidRDefault="00421192" w:rsidP="001515D5">
            <w:r>
              <w:t>9.60%</w:t>
            </w:r>
          </w:p>
        </w:tc>
      </w:tr>
      <w:tr w:rsidR="00421192" w14:paraId="2030C40A" w14:textId="77777777" w:rsidTr="001515D5">
        <w:tc>
          <w:tcPr>
            <w:tcW w:w="3116" w:type="dxa"/>
            <w:vAlign w:val="bottom"/>
          </w:tcPr>
          <w:p w14:paraId="0EF93B31" w14:textId="77777777" w:rsidR="00421192" w:rsidRDefault="00421192" w:rsidP="001515D5">
            <w:r>
              <w:t>Hispanic (any race)</w:t>
            </w:r>
          </w:p>
        </w:tc>
        <w:tc>
          <w:tcPr>
            <w:tcW w:w="3117" w:type="dxa"/>
            <w:vAlign w:val="bottom"/>
          </w:tcPr>
          <w:p w14:paraId="0A608BD0" w14:textId="77777777" w:rsidR="00421192" w:rsidRDefault="00421192" w:rsidP="001515D5">
            <w:r>
              <w:t>14.00%</w:t>
            </w:r>
          </w:p>
        </w:tc>
        <w:tc>
          <w:tcPr>
            <w:tcW w:w="3117" w:type="dxa"/>
            <w:vAlign w:val="bottom"/>
          </w:tcPr>
          <w:p w14:paraId="34E06934" w14:textId="77777777" w:rsidR="00421192" w:rsidRDefault="00421192" w:rsidP="001515D5">
            <w:r>
              <w:t>9.60%</w:t>
            </w:r>
          </w:p>
        </w:tc>
      </w:tr>
      <w:tr w:rsidR="00421192" w14:paraId="2E734D53" w14:textId="77777777" w:rsidTr="001515D5">
        <w:tc>
          <w:tcPr>
            <w:tcW w:w="3116" w:type="dxa"/>
            <w:vAlign w:val="bottom"/>
          </w:tcPr>
          <w:p w14:paraId="09DD6670" w14:textId="77777777" w:rsidR="00421192" w:rsidRDefault="00421192" w:rsidP="001515D5">
            <w:r>
              <w:t>Non-Hispanic White</w:t>
            </w:r>
          </w:p>
        </w:tc>
        <w:tc>
          <w:tcPr>
            <w:tcW w:w="3117" w:type="dxa"/>
            <w:vAlign w:val="bottom"/>
          </w:tcPr>
          <w:p w14:paraId="0DAF9003" w14:textId="77777777" w:rsidR="00421192" w:rsidRDefault="00421192" w:rsidP="001515D5">
            <w:r>
              <w:t>7.00%</w:t>
            </w:r>
          </w:p>
        </w:tc>
        <w:tc>
          <w:tcPr>
            <w:tcW w:w="3117" w:type="dxa"/>
            <w:vAlign w:val="bottom"/>
          </w:tcPr>
          <w:p w14:paraId="233474D8" w14:textId="77777777" w:rsidR="00421192" w:rsidRDefault="00421192" w:rsidP="001515D5">
            <w:r>
              <w:t>9.60%</w:t>
            </w:r>
          </w:p>
        </w:tc>
      </w:tr>
    </w:tbl>
    <w:p w14:paraId="186A2E3D" w14:textId="77777777" w:rsidR="00421192" w:rsidRDefault="00421192" w:rsidP="00421192">
      <w:r w:rsidRPr="00AB0D52">
        <w:t>Source: Feeding America Mapping the Meal Gap.</w:t>
      </w:r>
    </w:p>
    <w:p w14:paraId="6E1BF74D" w14:textId="77777777" w:rsidR="00FF4962" w:rsidRDefault="00FF4962" w:rsidP="00FF4962"/>
    <w:p w14:paraId="17F25CB4" w14:textId="46F128E8" w:rsidR="00FF4962" w:rsidRDefault="00FF4962" w:rsidP="00FF4962">
      <w:pPr>
        <w:pStyle w:val="Heading4"/>
      </w:pPr>
      <w:bookmarkStart w:id="257" w:name="_Toc162267161"/>
      <w:r>
        <w:t>Data Interpretations:</w:t>
      </w:r>
      <w:bookmarkEnd w:id="257"/>
      <w:r>
        <w:t xml:space="preserve"> </w:t>
      </w:r>
    </w:p>
    <w:p w14:paraId="21870157" w14:textId="2B27EEFC" w:rsidR="00FF4962" w:rsidRPr="00FF4962" w:rsidRDefault="00FF4962" w:rsidP="00FF4962">
      <w:r w:rsidRPr="00FF4962">
        <w:t>The state’s food insecurity rate has decreased from 18.8% in 2010 to 9.6% in 2020 (</w:t>
      </w:r>
      <w:r w:rsidRPr="00FF4962">
        <w:rPr>
          <w:b/>
          <w:bCs/>
        </w:rPr>
        <w:t>Figure 6.11</w:t>
      </w:r>
      <w:r w:rsidRPr="00FF4962">
        <w:t xml:space="preserve">). 2020 was the first year where SC saw a lower food insecurity rate compared to the </w:t>
      </w:r>
      <w:proofErr w:type="gramStart"/>
      <w:r w:rsidRPr="00FF4962">
        <w:t>nation as a whole</w:t>
      </w:r>
      <w:proofErr w:type="gramEnd"/>
      <w:r w:rsidRPr="00FF4962">
        <w:t>. As of 2020, both SC and the US have not met the Healthy People 2030 Objective of only 6.0% of the population having food insecurity. Thirty-nine of 46 counties in SC have a food desert located within them (</w:t>
      </w:r>
      <w:r w:rsidRPr="00FF4962">
        <w:rPr>
          <w:b/>
          <w:bCs/>
        </w:rPr>
        <w:t>Figure 6.12</w:t>
      </w:r>
      <w:r w:rsidRPr="00FF4962">
        <w:t>). The areas highlighted represent census tracts in the state that are considered food deserts, meaning tracts with low-income and low access to food outlets. People who are Black (all ethnicities) and Hispanic (any race) have a 2.7- and 2.0-times higher food insecurity rate than non-Hispanic Whites (</w:t>
      </w:r>
      <w:r w:rsidRPr="00FF4962">
        <w:rPr>
          <w:b/>
          <w:bCs/>
        </w:rPr>
        <w:t>Figure 6.13</w:t>
      </w:r>
      <w:r w:rsidRPr="00FF4962">
        <w:t>). Nearly 1 in 5 Black South Carolinians experience food insecurity. Both Blacks and Hispanics also see higher rates of overall food insecurity in SC.</w:t>
      </w:r>
    </w:p>
    <w:p w14:paraId="256FA561" w14:textId="77777777" w:rsidR="00FF4962" w:rsidRDefault="00FF4962" w:rsidP="00FF4962"/>
    <w:p w14:paraId="3F4623B5" w14:textId="5FFF7A11" w:rsidR="00FF4962" w:rsidRDefault="00FF4962" w:rsidP="00FF4962">
      <w:pPr>
        <w:pStyle w:val="Heading5"/>
      </w:pPr>
      <w:r>
        <w:t xml:space="preserve">Key Takeaways: </w:t>
      </w:r>
    </w:p>
    <w:p w14:paraId="3FA23E39" w14:textId="77777777" w:rsidR="00FF4962" w:rsidRPr="00FF4962" w:rsidRDefault="00FF4962" w:rsidP="00926EB3">
      <w:pPr>
        <w:pStyle w:val="ListParagraph"/>
        <w:numPr>
          <w:ilvl w:val="0"/>
          <w:numId w:val="213"/>
        </w:numPr>
      </w:pPr>
      <w:r w:rsidRPr="00FF4962">
        <w:t>While SC’s food insecurity rate has decreased in the past 10 years, people who are Black and Hispanic see 2.7- and 2.0-times higher food insecurity rates than their non-Hispanic White counterparts and 39 out of 46 counties in SC contain a food desert.</w:t>
      </w:r>
    </w:p>
    <w:p w14:paraId="3C07BC67" w14:textId="77777777" w:rsidR="00FF4962" w:rsidRPr="00FF4962" w:rsidRDefault="00FF4962" w:rsidP="00FF4962"/>
    <w:p w14:paraId="0B4BDC94" w14:textId="73781289" w:rsidR="00722CE9" w:rsidRPr="00EA168E" w:rsidRDefault="00722CE9" w:rsidP="00FF4962">
      <w:pPr>
        <w:rPr>
          <w:rFonts w:cstheme="minorHAnsi"/>
        </w:rPr>
      </w:pPr>
      <w:bookmarkStart w:id="258" w:name="_Toc162267162"/>
      <w:r w:rsidRPr="00EA168E">
        <w:rPr>
          <w:rStyle w:val="Heading4Char"/>
          <w:rFonts w:asciiTheme="minorHAnsi" w:hAnsiTheme="minorHAnsi" w:cstheme="minorHAnsi"/>
          <w:color w:val="000000" w:themeColor="text1"/>
        </w:rPr>
        <w:t xml:space="preserve">References </w:t>
      </w:r>
      <w:r w:rsidR="00FF4962" w:rsidRPr="00EA168E">
        <w:rPr>
          <w:rStyle w:val="Heading4Char"/>
          <w:rFonts w:asciiTheme="minorHAnsi" w:hAnsiTheme="minorHAnsi" w:cstheme="minorHAnsi"/>
          <w:color w:val="000000" w:themeColor="text1"/>
        </w:rPr>
        <w:t>6.5</w:t>
      </w:r>
      <w:bookmarkEnd w:id="258"/>
      <w:r w:rsidR="00FF4962" w:rsidRPr="00EA168E">
        <w:rPr>
          <w:rFonts w:cstheme="minorHAnsi"/>
          <w:i/>
          <w:iCs/>
          <w:color w:val="000000" w:themeColor="text1"/>
        </w:rPr>
        <w:t xml:space="preserve"> </w:t>
      </w:r>
    </w:p>
    <w:p w14:paraId="7859CF90" w14:textId="1CA2984E" w:rsidR="00FF4962" w:rsidRDefault="00FF4962" w:rsidP="00FF4962">
      <w:r w:rsidRPr="00722CE9">
        <w:t>Statistics in the preceding</w:t>
      </w:r>
      <w:r>
        <w:t xml:space="preserve"> section</w:t>
      </w:r>
      <w:r w:rsidRPr="00722CE9">
        <w:t xml:space="preserve"> were referenced from the following reports:</w:t>
      </w:r>
    </w:p>
    <w:p w14:paraId="2E1F721C" w14:textId="20B893DD" w:rsidR="00F73294" w:rsidRPr="00F73294" w:rsidRDefault="00000000" w:rsidP="00926EB3">
      <w:pPr>
        <w:pStyle w:val="ListParagraph"/>
        <w:numPr>
          <w:ilvl w:val="0"/>
          <w:numId w:val="27"/>
        </w:numPr>
      </w:pPr>
      <w:hyperlink r:id="rId141" w:history="1">
        <w:r w:rsidR="00F73294" w:rsidRPr="00F73294">
          <w:rPr>
            <w:rStyle w:val="Hyperlink"/>
          </w:rPr>
          <w:t>“USDA ERS - Definitions of Food Security” published by the US Department of Agriculture</w:t>
        </w:r>
        <w:r w:rsidR="00F73294">
          <w:rPr>
            <w:rStyle w:val="Hyperlink"/>
          </w:rPr>
          <w:t xml:space="preserve"> via ers.usda.gov</w:t>
        </w:r>
        <w:r w:rsidR="00F73294" w:rsidRPr="00F73294">
          <w:rPr>
            <w:rStyle w:val="Hyperlink"/>
          </w:rPr>
          <w:t>, 2021.</w:t>
        </w:r>
      </w:hyperlink>
      <w:r w:rsidR="00F73294" w:rsidRPr="00F73294">
        <w:t xml:space="preserve"> </w:t>
      </w:r>
    </w:p>
    <w:p w14:paraId="07696980" w14:textId="436AE311" w:rsidR="00F73294" w:rsidRPr="00F73294" w:rsidRDefault="00000000" w:rsidP="00926EB3">
      <w:pPr>
        <w:pStyle w:val="ListParagraph"/>
        <w:numPr>
          <w:ilvl w:val="0"/>
          <w:numId w:val="27"/>
        </w:numPr>
      </w:pPr>
      <w:hyperlink r:id="rId142" w:history="1">
        <w:r w:rsidR="00F73294" w:rsidRPr="00F73294">
          <w:rPr>
            <w:rStyle w:val="Hyperlink"/>
          </w:rPr>
          <w:t>“Understanding Hunger and Food Insecurity, Feeding America” published by Feeding America via feedingamerica.org, 2018.</w:t>
        </w:r>
      </w:hyperlink>
      <w:r w:rsidR="00F73294">
        <w:t xml:space="preserve"> </w:t>
      </w:r>
    </w:p>
    <w:p w14:paraId="7201185B" w14:textId="1C0ED1DA" w:rsidR="00F73294" w:rsidRPr="00F73294" w:rsidRDefault="00F73294" w:rsidP="00926EB3">
      <w:pPr>
        <w:pStyle w:val="ListParagraph"/>
        <w:numPr>
          <w:ilvl w:val="0"/>
          <w:numId w:val="27"/>
        </w:numPr>
      </w:pPr>
      <w:r>
        <w:t>“</w:t>
      </w:r>
      <w:r w:rsidRPr="00F73294">
        <w:t>Food insecurity, health care utilization, and health care expenditures</w:t>
      </w:r>
      <w:r>
        <w:t xml:space="preserve">” by </w:t>
      </w:r>
      <w:r w:rsidRPr="00F73294">
        <w:t xml:space="preserve">Dean, E. B., French, M. T., &amp; Mortensen, K. </w:t>
      </w:r>
      <w:r>
        <w:t xml:space="preserve">Published in </w:t>
      </w:r>
      <w:r w:rsidRPr="00F73294">
        <w:t xml:space="preserve">Health services research, </w:t>
      </w:r>
      <w:r>
        <w:t>2020. No hyperlink.</w:t>
      </w:r>
    </w:p>
    <w:p w14:paraId="157B4217" w14:textId="77777777" w:rsidR="00FF4962" w:rsidRDefault="00FF4962" w:rsidP="00FF4962"/>
    <w:p w14:paraId="7634C473" w14:textId="1AA3C150" w:rsidR="00FF4962" w:rsidRDefault="00FF4962" w:rsidP="00FF4962">
      <w:pPr>
        <w:pStyle w:val="Heading3"/>
      </w:pPr>
      <w:bookmarkStart w:id="259" w:name="_Toc162267163"/>
      <w:r w:rsidRPr="00FF4962">
        <w:t xml:space="preserve">Healthy </w:t>
      </w:r>
      <w:r>
        <w:t>Eating</w:t>
      </w:r>
      <w:bookmarkEnd w:id="259"/>
    </w:p>
    <w:p w14:paraId="6BECFCF1" w14:textId="05EBCBAE" w:rsidR="00FF4962" w:rsidRPr="00FF4962" w:rsidRDefault="00FF4962" w:rsidP="00FF4962">
      <w:r w:rsidRPr="00FF4962">
        <w:t xml:space="preserve">Access to nutritious foods has a major impact on the health, </w:t>
      </w:r>
      <w:proofErr w:type="gramStart"/>
      <w:r w:rsidRPr="00FF4962">
        <w:t>well-being</w:t>
      </w:r>
      <w:proofErr w:type="gramEnd"/>
      <w:r w:rsidRPr="00FF4962">
        <w:t xml:space="preserve"> and quality of life of those living in SC. Food access is important to food security, which is having consistent access to enough nutritious foods for a healthy, active life. In SC, an estimated 1 in 10 people, and 1 in 7 children, face hunger. Developing policies and creating environments that make healthier choices easier and less expensive help with preventing costly chronic conditions such as obesity, </w:t>
      </w:r>
      <w:proofErr w:type="gramStart"/>
      <w:r w:rsidRPr="00FF4962">
        <w:t>diabetes</w:t>
      </w:r>
      <w:proofErr w:type="gramEnd"/>
      <w:r w:rsidRPr="00FF4962">
        <w:t xml:space="preserve"> and high blood pressure.</w:t>
      </w:r>
    </w:p>
    <w:p w14:paraId="17A4607C" w14:textId="77777777" w:rsidR="00FF4962" w:rsidRDefault="00FF4962" w:rsidP="00FF4962"/>
    <w:p w14:paraId="61617898" w14:textId="52F8E54C" w:rsidR="00FF4962" w:rsidRDefault="00FF4962" w:rsidP="00FF4962">
      <w:r w:rsidRPr="00FF4962">
        <w:t>While food insecurity rates have decreased in SC over the past 10 years, inequities among Black and Hispanic populations continue to exist. People with low income and rural and vulnerable populations often face barriers to accessing nutritious foods. The color of our skin, our economic status and where we live should not determine how long or how well we live.</w:t>
      </w:r>
    </w:p>
    <w:p w14:paraId="161CAA45" w14:textId="77777777" w:rsidR="00421192" w:rsidRDefault="00421192" w:rsidP="00FF4962"/>
    <w:p w14:paraId="013A839E" w14:textId="77777777" w:rsidR="00421192" w:rsidRDefault="00421192" w:rsidP="00421192">
      <w:pPr>
        <w:pStyle w:val="Heading4"/>
      </w:pPr>
      <w:bookmarkStart w:id="260" w:name="_Toc154569822"/>
      <w:bookmarkStart w:id="261" w:name="_Toc162267164"/>
      <w:r>
        <w:t>Figure 6.14: Adults Who Did Not Eat Fruit at Least Once a Day, by Race/Ethnicity.</w:t>
      </w:r>
      <w:bookmarkEnd w:id="260"/>
      <w:bookmarkEnd w:id="261"/>
    </w:p>
    <w:tbl>
      <w:tblPr>
        <w:tblStyle w:val="TableGrid"/>
        <w:tblW w:w="0" w:type="auto"/>
        <w:tblLook w:val="04A0" w:firstRow="1" w:lastRow="0" w:firstColumn="1" w:lastColumn="0" w:noHBand="0" w:noVBand="1"/>
      </w:tblPr>
      <w:tblGrid>
        <w:gridCol w:w="4675"/>
        <w:gridCol w:w="4675"/>
      </w:tblGrid>
      <w:tr w:rsidR="00421192" w14:paraId="63989AB9" w14:textId="77777777" w:rsidTr="001515D5">
        <w:tc>
          <w:tcPr>
            <w:tcW w:w="4675" w:type="dxa"/>
            <w:vAlign w:val="bottom"/>
          </w:tcPr>
          <w:p w14:paraId="3CD7F15B" w14:textId="77777777" w:rsidR="00421192" w:rsidRDefault="00421192" w:rsidP="001515D5">
            <w:r>
              <w:t>Race/Ethnicity</w:t>
            </w:r>
          </w:p>
        </w:tc>
        <w:tc>
          <w:tcPr>
            <w:tcW w:w="4675" w:type="dxa"/>
            <w:vAlign w:val="bottom"/>
          </w:tcPr>
          <w:p w14:paraId="4353094D" w14:textId="77777777" w:rsidR="00421192" w:rsidRDefault="00421192" w:rsidP="001515D5">
            <w:r>
              <w:t>Percent</w:t>
            </w:r>
          </w:p>
        </w:tc>
      </w:tr>
      <w:tr w:rsidR="00421192" w14:paraId="0370219F" w14:textId="77777777" w:rsidTr="001515D5">
        <w:tc>
          <w:tcPr>
            <w:tcW w:w="4675" w:type="dxa"/>
            <w:vAlign w:val="bottom"/>
          </w:tcPr>
          <w:p w14:paraId="70749D8C" w14:textId="77777777" w:rsidR="00421192" w:rsidRDefault="00421192" w:rsidP="001515D5">
            <w:r>
              <w:t>Non-Hispanic White</w:t>
            </w:r>
          </w:p>
        </w:tc>
        <w:tc>
          <w:tcPr>
            <w:tcW w:w="4675" w:type="dxa"/>
            <w:vAlign w:val="center"/>
          </w:tcPr>
          <w:p w14:paraId="44CCE4BE" w14:textId="77777777" w:rsidR="00421192" w:rsidRDefault="00421192" w:rsidP="001515D5">
            <w:r>
              <w:t>42.9%</w:t>
            </w:r>
          </w:p>
        </w:tc>
      </w:tr>
      <w:tr w:rsidR="00421192" w14:paraId="0303B7CD" w14:textId="77777777" w:rsidTr="001515D5">
        <w:tc>
          <w:tcPr>
            <w:tcW w:w="4675" w:type="dxa"/>
            <w:vAlign w:val="bottom"/>
          </w:tcPr>
          <w:p w14:paraId="7FC68702" w14:textId="77777777" w:rsidR="00421192" w:rsidRDefault="00421192" w:rsidP="001515D5">
            <w:r>
              <w:t>Non-Hispanic Black</w:t>
            </w:r>
          </w:p>
        </w:tc>
        <w:tc>
          <w:tcPr>
            <w:tcW w:w="4675" w:type="dxa"/>
            <w:vAlign w:val="center"/>
          </w:tcPr>
          <w:p w14:paraId="7E36450B" w14:textId="77777777" w:rsidR="00421192" w:rsidRDefault="00421192" w:rsidP="001515D5">
            <w:r>
              <w:t>42.3%</w:t>
            </w:r>
          </w:p>
        </w:tc>
      </w:tr>
      <w:tr w:rsidR="00421192" w14:paraId="3811AA1D" w14:textId="77777777" w:rsidTr="001515D5">
        <w:tc>
          <w:tcPr>
            <w:tcW w:w="4675" w:type="dxa"/>
            <w:vAlign w:val="bottom"/>
          </w:tcPr>
          <w:p w14:paraId="40AEF03D" w14:textId="77777777" w:rsidR="00421192" w:rsidRDefault="00421192" w:rsidP="001515D5">
            <w:r>
              <w:t>Non-Hispanic Other</w:t>
            </w:r>
          </w:p>
        </w:tc>
        <w:tc>
          <w:tcPr>
            <w:tcW w:w="4675" w:type="dxa"/>
            <w:vAlign w:val="center"/>
          </w:tcPr>
          <w:p w14:paraId="124339EB" w14:textId="77777777" w:rsidR="00421192" w:rsidRDefault="00421192" w:rsidP="001515D5">
            <w:r>
              <w:t>40.8%</w:t>
            </w:r>
          </w:p>
        </w:tc>
      </w:tr>
      <w:tr w:rsidR="00421192" w14:paraId="6318CE9E" w14:textId="77777777" w:rsidTr="001515D5">
        <w:tc>
          <w:tcPr>
            <w:tcW w:w="4675" w:type="dxa"/>
            <w:vAlign w:val="bottom"/>
          </w:tcPr>
          <w:p w14:paraId="18B7E7CA" w14:textId="77777777" w:rsidR="00421192" w:rsidRDefault="00421192" w:rsidP="001515D5">
            <w:r>
              <w:t xml:space="preserve">  Hispanic</w:t>
            </w:r>
          </w:p>
        </w:tc>
        <w:tc>
          <w:tcPr>
            <w:tcW w:w="4675" w:type="dxa"/>
            <w:vAlign w:val="center"/>
          </w:tcPr>
          <w:p w14:paraId="6243EE46" w14:textId="77777777" w:rsidR="00421192" w:rsidRDefault="00421192" w:rsidP="001515D5">
            <w:r>
              <w:t>29.7%</w:t>
            </w:r>
          </w:p>
        </w:tc>
      </w:tr>
    </w:tbl>
    <w:p w14:paraId="49BB5F69" w14:textId="77777777" w:rsidR="00421192" w:rsidRPr="00EA0CDA" w:rsidRDefault="00421192" w:rsidP="00421192">
      <w:r>
        <w:t xml:space="preserve">Source: </w:t>
      </w:r>
      <w:r w:rsidRPr="00EA0CDA">
        <w:t xml:space="preserve">SC BRFSS, 2021. </w:t>
      </w:r>
    </w:p>
    <w:p w14:paraId="34481B15" w14:textId="77777777" w:rsidR="00421192" w:rsidRDefault="00421192" w:rsidP="00421192">
      <w:r w:rsidRPr="00EA0CDA">
        <w:t>Note: Adults 18+.</w:t>
      </w:r>
    </w:p>
    <w:p w14:paraId="3B615243" w14:textId="77777777" w:rsidR="00421192" w:rsidRDefault="00421192" w:rsidP="00421192"/>
    <w:p w14:paraId="4D43C999" w14:textId="77777777" w:rsidR="00421192" w:rsidRPr="00EA0CDA" w:rsidRDefault="00421192" w:rsidP="00421192">
      <w:pPr>
        <w:pStyle w:val="Heading4"/>
      </w:pPr>
      <w:bookmarkStart w:id="262" w:name="_Toc154569823"/>
      <w:bookmarkStart w:id="263" w:name="_Toc162267165"/>
      <w:r>
        <w:t>Figure 6.15: Adults Who Did Not Eat Vegetables At least Once a Day, by Education.</w:t>
      </w:r>
      <w:bookmarkEnd w:id="262"/>
      <w:bookmarkEnd w:id="263"/>
    </w:p>
    <w:tbl>
      <w:tblPr>
        <w:tblStyle w:val="TableGrid"/>
        <w:tblW w:w="0" w:type="auto"/>
        <w:tblLook w:val="04A0" w:firstRow="1" w:lastRow="0" w:firstColumn="1" w:lastColumn="0" w:noHBand="0" w:noVBand="1"/>
      </w:tblPr>
      <w:tblGrid>
        <w:gridCol w:w="4675"/>
        <w:gridCol w:w="4675"/>
      </w:tblGrid>
      <w:tr w:rsidR="00421192" w14:paraId="4855A6C4" w14:textId="77777777" w:rsidTr="001515D5">
        <w:tc>
          <w:tcPr>
            <w:tcW w:w="4675" w:type="dxa"/>
            <w:vAlign w:val="bottom"/>
          </w:tcPr>
          <w:p w14:paraId="3C99CBAC" w14:textId="77777777" w:rsidR="00421192" w:rsidRDefault="00421192" w:rsidP="001515D5">
            <w:r>
              <w:t>Education Level</w:t>
            </w:r>
          </w:p>
        </w:tc>
        <w:tc>
          <w:tcPr>
            <w:tcW w:w="4675" w:type="dxa"/>
            <w:vAlign w:val="bottom"/>
          </w:tcPr>
          <w:p w14:paraId="73275E32" w14:textId="77777777" w:rsidR="00421192" w:rsidRDefault="00421192" w:rsidP="001515D5">
            <w:r>
              <w:t>Percent</w:t>
            </w:r>
          </w:p>
        </w:tc>
      </w:tr>
      <w:tr w:rsidR="00421192" w14:paraId="618D51D0" w14:textId="77777777" w:rsidTr="001515D5">
        <w:tc>
          <w:tcPr>
            <w:tcW w:w="4675" w:type="dxa"/>
            <w:vAlign w:val="bottom"/>
          </w:tcPr>
          <w:p w14:paraId="18EB77C2" w14:textId="77777777" w:rsidR="00421192" w:rsidRDefault="00421192" w:rsidP="001515D5">
            <w:r>
              <w:t xml:space="preserve">  &lt; HS</w:t>
            </w:r>
          </w:p>
        </w:tc>
        <w:tc>
          <w:tcPr>
            <w:tcW w:w="4675" w:type="dxa"/>
            <w:vAlign w:val="center"/>
          </w:tcPr>
          <w:p w14:paraId="1C5E1D0E" w14:textId="77777777" w:rsidR="00421192" w:rsidRDefault="00421192" w:rsidP="001515D5">
            <w:r>
              <w:t>33.4%</w:t>
            </w:r>
          </w:p>
        </w:tc>
      </w:tr>
      <w:tr w:rsidR="00421192" w14:paraId="4990BD46" w14:textId="77777777" w:rsidTr="001515D5">
        <w:tc>
          <w:tcPr>
            <w:tcW w:w="4675" w:type="dxa"/>
            <w:vAlign w:val="bottom"/>
          </w:tcPr>
          <w:p w14:paraId="05888D74" w14:textId="77777777" w:rsidR="00421192" w:rsidRDefault="00421192" w:rsidP="001515D5">
            <w:r>
              <w:t xml:space="preserve">  HS/GED</w:t>
            </w:r>
          </w:p>
        </w:tc>
        <w:tc>
          <w:tcPr>
            <w:tcW w:w="4675" w:type="dxa"/>
            <w:vAlign w:val="center"/>
          </w:tcPr>
          <w:p w14:paraId="62A75C67" w14:textId="77777777" w:rsidR="00421192" w:rsidRDefault="00421192" w:rsidP="001515D5">
            <w:r>
              <w:t>25.8%</w:t>
            </w:r>
          </w:p>
        </w:tc>
      </w:tr>
      <w:tr w:rsidR="00421192" w14:paraId="31E7DB96" w14:textId="77777777" w:rsidTr="001515D5">
        <w:tc>
          <w:tcPr>
            <w:tcW w:w="4675" w:type="dxa"/>
            <w:vAlign w:val="bottom"/>
          </w:tcPr>
          <w:p w14:paraId="50BA08CF" w14:textId="77777777" w:rsidR="00421192" w:rsidRDefault="00421192" w:rsidP="001515D5">
            <w:r>
              <w:t xml:space="preserve">  Some college</w:t>
            </w:r>
          </w:p>
        </w:tc>
        <w:tc>
          <w:tcPr>
            <w:tcW w:w="4675" w:type="dxa"/>
            <w:vAlign w:val="center"/>
          </w:tcPr>
          <w:p w14:paraId="0BF0DA00" w14:textId="77777777" w:rsidR="00421192" w:rsidRDefault="00421192" w:rsidP="001515D5">
            <w:r>
              <w:t>17.8%</w:t>
            </w:r>
          </w:p>
        </w:tc>
      </w:tr>
      <w:tr w:rsidR="00421192" w14:paraId="2330AC38" w14:textId="77777777" w:rsidTr="001515D5">
        <w:tc>
          <w:tcPr>
            <w:tcW w:w="4675" w:type="dxa"/>
            <w:vAlign w:val="bottom"/>
          </w:tcPr>
          <w:p w14:paraId="26DFDC11" w14:textId="77777777" w:rsidR="00421192" w:rsidRDefault="00421192" w:rsidP="001515D5">
            <w:r>
              <w:t xml:space="preserve">  College graduate</w:t>
            </w:r>
          </w:p>
        </w:tc>
        <w:tc>
          <w:tcPr>
            <w:tcW w:w="4675" w:type="dxa"/>
            <w:vAlign w:val="center"/>
          </w:tcPr>
          <w:p w14:paraId="750A3218" w14:textId="77777777" w:rsidR="00421192" w:rsidRDefault="00421192" w:rsidP="001515D5">
            <w:r>
              <w:t>12.7%</w:t>
            </w:r>
          </w:p>
        </w:tc>
      </w:tr>
    </w:tbl>
    <w:p w14:paraId="1D4BB098" w14:textId="77777777" w:rsidR="00421192" w:rsidRPr="00EA0CDA" w:rsidRDefault="00421192" w:rsidP="00421192">
      <w:r>
        <w:lastRenderedPageBreak/>
        <w:t xml:space="preserve">Source: </w:t>
      </w:r>
      <w:r w:rsidRPr="00EA0CDA">
        <w:t xml:space="preserve">SC BRFSS, 2021. </w:t>
      </w:r>
    </w:p>
    <w:p w14:paraId="7BC27F4C" w14:textId="77777777" w:rsidR="00421192" w:rsidRDefault="00421192" w:rsidP="00421192">
      <w:r w:rsidRPr="00EA0CDA">
        <w:t>Note: Adults 18+.</w:t>
      </w:r>
    </w:p>
    <w:p w14:paraId="13A344D2" w14:textId="77777777" w:rsidR="00421192" w:rsidRDefault="00421192" w:rsidP="00421192"/>
    <w:p w14:paraId="6F9A7CC5" w14:textId="77777777" w:rsidR="00421192" w:rsidRPr="00EA0CDA" w:rsidRDefault="00421192" w:rsidP="00421192">
      <w:pPr>
        <w:pStyle w:val="Heading4"/>
      </w:pPr>
      <w:bookmarkStart w:id="264" w:name="_Toc154569824"/>
      <w:bookmarkStart w:id="265" w:name="_Toc162267166"/>
      <w:r>
        <w:t>Figure 6.16: Top Reasons for Not Eating Healthy Foods.</w:t>
      </w:r>
      <w:bookmarkEnd w:id="264"/>
      <w:bookmarkEnd w:id="265"/>
    </w:p>
    <w:tbl>
      <w:tblPr>
        <w:tblStyle w:val="TableGrid"/>
        <w:tblW w:w="0" w:type="auto"/>
        <w:tblLook w:val="04A0" w:firstRow="1" w:lastRow="0" w:firstColumn="1" w:lastColumn="0" w:noHBand="0" w:noVBand="1"/>
      </w:tblPr>
      <w:tblGrid>
        <w:gridCol w:w="4675"/>
        <w:gridCol w:w="4675"/>
      </w:tblGrid>
      <w:tr w:rsidR="00421192" w14:paraId="4F4BAC41" w14:textId="77777777" w:rsidTr="001515D5">
        <w:tc>
          <w:tcPr>
            <w:tcW w:w="4675" w:type="dxa"/>
          </w:tcPr>
          <w:p w14:paraId="14B17CA4" w14:textId="77777777" w:rsidR="00421192" w:rsidRDefault="00421192" w:rsidP="001515D5">
            <w:r>
              <w:t>Rank</w:t>
            </w:r>
          </w:p>
        </w:tc>
        <w:tc>
          <w:tcPr>
            <w:tcW w:w="4675" w:type="dxa"/>
          </w:tcPr>
          <w:p w14:paraId="780768C8" w14:textId="77777777" w:rsidR="00421192" w:rsidRDefault="00421192" w:rsidP="001515D5">
            <w:r>
              <w:t>Reason</w:t>
            </w:r>
          </w:p>
        </w:tc>
      </w:tr>
      <w:tr w:rsidR="00421192" w14:paraId="4BADB823" w14:textId="77777777" w:rsidTr="001515D5">
        <w:tc>
          <w:tcPr>
            <w:tcW w:w="4675" w:type="dxa"/>
          </w:tcPr>
          <w:p w14:paraId="251C0D29" w14:textId="77777777" w:rsidR="00421192" w:rsidRPr="004C35A5" w:rsidRDefault="00421192" w:rsidP="001515D5">
            <w:pPr>
              <w:rPr>
                <w:color w:val="000000" w:themeColor="text1"/>
              </w:rPr>
            </w:pPr>
            <w:r w:rsidRPr="004C35A5">
              <w:rPr>
                <w:color w:val="000000" w:themeColor="text1"/>
              </w:rPr>
              <w:t>1</w:t>
            </w:r>
          </w:p>
        </w:tc>
        <w:tc>
          <w:tcPr>
            <w:tcW w:w="4675" w:type="dxa"/>
          </w:tcPr>
          <w:p w14:paraId="4031A5AD" w14:textId="77777777" w:rsidR="00421192" w:rsidRPr="004C35A5" w:rsidRDefault="00421192" w:rsidP="001515D5">
            <w:pPr>
              <w:rPr>
                <w:color w:val="000000" w:themeColor="text1"/>
              </w:rPr>
            </w:pPr>
            <w:r w:rsidRPr="004C35A5">
              <w:rPr>
                <w:color w:val="000000" w:themeColor="text1"/>
              </w:rPr>
              <w:t>Too Expensive</w:t>
            </w:r>
          </w:p>
        </w:tc>
      </w:tr>
      <w:tr w:rsidR="00421192" w14:paraId="41ED3341" w14:textId="77777777" w:rsidTr="001515D5">
        <w:tc>
          <w:tcPr>
            <w:tcW w:w="4675" w:type="dxa"/>
          </w:tcPr>
          <w:p w14:paraId="627DEBD5" w14:textId="77777777" w:rsidR="00421192" w:rsidRPr="004C35A5" w:rsidRDefault="00421192" w:rsidP="001515D5">
            <w:pPr>
              <w:rPr>
                <w:color w:val="000000" w:themeColor="text1"/>
              </w:rPr>
            </w:pPr>
            <w:r w:rsidRPr="004C35A5">
              <w:rPr>
                <w:color w:val="000000" w:themeColor="text1"/>
              </w:rPr>
              <w:t>2</w:t>
            </w:r>
          </w:p>
        </w:tc>
        <w:tc>
          <w:tcPr>
            <w:tcW w:w="4675" w:type="dxa"/>
          </w:tcPr>
          <w:p w14:paraId="13CD3169" w14:textId="77777777" w:rsidR="00421192" w:rsidRPr="004C35A5" w:rsidRDefault="00421192" w:rsidP="001515D5">
            <w:pPr>
              <w:rPr>
                <w:color w:val="000000" w:themeColor="text1"/>
              </w:rPr>
            </w:pPr>
            <w:r w:rsidRPr="004C35A5">
              <w:rPr>
                <w:color w:val="000000" w:themeColor="text1"/>
              </w:rPr>
              <w:t>Don’t Know How to Eat Healthy</w:t>
            </w:r>
          </w:p>
        </w:tc>
      </w:tr>
      <w:tr w:rsidR="00421192" w14:paraId="45F5795C" w14:textId="77777777" w:rsidTr="001515D5">
        <w:tc>
          <w:tcPr>
            <w:tcW w:w="4675" w:type="dxa"/>
          </w:tcPr>
          <w:p w14:paraId="43D42199" w14:textId="77777777" w:rsidR="00421192" w:rsidRPr="004C35A5" w:rsidRDefault="00421192" w:rsidP="001515D5">
            <w:pPr>
              <w:rPr>
                <w:color w:val="000000" w:themeColor="text1"/>
              </w:rPr>
            </w:pPr>
            <w:r w:rsidRPr="004C35A5">
              <w:rPr>
                <w:color w:val="000000" w:themeColor="text1"/>
              </w:rPr>
              <w:t>3</w:t>
            </w:r>
          </w:p>
        </w:tc>
        <w:tc>
          <w:tcPr>
            <w:tcW w:w="4675" w:type="dxa"/>
          </w:tcPr>
          <w:p w14:paraId="3C19D462" w14:textId="77777777" w:rsidR="00421192" w:rsidRPr="004C35A5" w:rsidRDefault="00421192" w:rsidP="001515D5">
            <w:pPr>
              <w:rPr>
                <w:color w:val="000000" w:themeColor="text1"/>
              </w:rPr>
            </w:pPr>
            <w:r w:rsidRPr="004C35A5">
              <w:rPr>
                <w:color w:val="000000" w:themeColor="text1"/>
              </w:rPr>
              <w:t>Eat Fast Food Regularly</w:t>
            </w:r>
          </w:p>
        </w:tc>
      </w:tr>
    </w:tbl>
    <w:p w14:paraId="753D9C61" w14:textId="77777777" w:rsidR="00421192" w:rsidRDefault="00421192" w:rsidP="00421192">
      <w:r w:rsidRPr="00EA0CDA">
        <w:t xml:space="preserve">Source: Community Health Needs Assessment Survey, 2022. </w:t>
      </w:r>
    </w:p>
    <w:p w14:paraId="57A52CE6" w14:textId="77777777" w:rsidR="00421192" w:rsidRDefault="00421192" w:rsidP="00421192">
      <w:r w:rsidRPr="00EA0CDA">
        <w:t>Note: Responses as of December 31, 2022.</w:t>
      </w:r>
    </w:p>
    <w:p w14:paraId="08A7CF8C" w14:textId="77777777" w:rsidR="00FF4962" w:rsidRDefault="00FF4962" w:rsidP="00FF4962"/>
    <w:p w14:paraId="14D8A7C6" w14:textId="7A18F6D4" w:rsidR="00FF4962" w:rsidRDefault="00FF4962" w:rsidP="00FF4962">
      <w:pPr>
        <w:pStyle w:val="Heading4"/>
      </w:pPr>
      <w:bookmarkStart w:id="266" w:name="_Toc162267167"/>
      <w:r>
        <w:t>Data Interpretations:</w:t>
      </w:r>
      <w:bookmarkEnd w:id="266"/>
    </w:p>
    <w:p w14:paraId="2A036D4F" w14:textId="685AD15A" w:rsidR="00FF4962" w:rsidRDefault="00FF4962" w:rsidP="00FF4962">
      <w:r w:rsidRPr="00FF4962">
        <w:t>In SC, the percent of adults who did not eat fruit at least once a day was 42.0% in 2021, slightly higher than the national median of 40.8%. Non-Hispanic White adults (42.9%) reported the highest percent of not eating at least one serving of fruit a day compared to other race and ethnicity groups (</w:t>
      </w:r>
      <w:r w:rsidRPr="00FF4962">
        <w:rPr>
          <w:b/>
          <w:bCs/>
        </w:rPr>
        <w:t>Figure 6.14</w:t>
      </w:r>
      <w:r w:rsidRPr="00FF4962">
        <w:t>). Males (43.3%) had a higher prevalence of not eating fruits than females (40.8%). Younger adults ages 18-24 (46.3%) had the highest prevalence of not eating a serving of fruit daily.</w:t>
      </w:r>
    </w:p>
    <w:p w14:paraId="3DAC5B52" w14:textId="77777777" w:rsidR="00FF4962" w:rsidRDefault="00FF4962" w:rsidP="00FF4962"/>
    <w:p w14:paraId="4B7DBE6E" w14:textId="486AA0EC" w:rsidR="00FF4962" w:rsidRPr="00FF4962" w:rsidRDefault="00FF4962" w:rsidP="00FF4962">
      <w:r>
        <w:t>I</w:t>
      </w:r>
      <w:r w:rsidRPr="00FF4962">
        <w:t xml:space="preserve">n SC, adults consume more vegetables than fruit with 20.3% reported that they do not eat at least one serving of vegetables daily, higher than the national median at 19.7% in 2021.  </w:t>
      </w:r>
      <w:proofErr w:type="gramStart"/>
      <w:r w:rsidRPr="00FF4962">
        <w:t>Similar to</w:t>
      </w:r>
      <w:proofErr w:type="gramEnd"/>
      <w:r w:rsidRPr="00FF4962">
        <w:t xml:space="preserve"> fruits, younger adults ages 18-24 (40.5%) had the highest prevalence of not eating a serving of vegetables daily. Adults with less than a high school graduation (33.4%) had the highest prevalence of not eating a serving of daily vegetables (</w:t>
      </w:r>
      <w:r w:rsidRPr="00FF4962">
        <w:rPr>
          <w:b/>
          <w:bCs/>
        </w:rPr>
        <w:t>Figure 6.15</w:t>
      </w:r>
      <w:r w:rsidRPr="00FF4962">
        <w:t>).</w:t>
      </w:r>
    </w:p>
    <w:p w14:paraId="719A24E0" w14:textId="77777777" w:rsidR="00FF4962" w:rsidRDefault="00FF4962" w:rsidP="00FF4962"/>
    <w:p w14:paraId="31FF5728" w14:textId="608536F4" w:rsidR="00FF4962" w:rsidRPr="00FF4962" w:rsidRDefault="00FF4962" w:rsidP="00FF4962">
      <w:r w:rsidRPr="00FF4962">
        <w:t>The results from the Community Health Needs Assessment (CHNA) indicate the top three reasons that prevent communities from eating healthy foods were price, not knowing how to eat healthy foods, and eating fast food regularly (</w:t>
      </w:r>
      <w:r w:rsidRPr="00FF4962">
        <w:rPr>
          <w:b/>
          <w:bCs/>
        </w:rPr>
        <w:t>Figure 6.16</w:t>
      </w:r>
      <w:r w:rsidRPr="00FF4962">
        <w:t>).</w:t>
      </w:r>
    </w:p>
    <w:p w14:paraId="7538483A" w14:textId="77777777" w:rsidR="00FF4962" w:rsidRPr="00FF4962" w:rsidRDefault="00FF4962" w:rsidP="00FF4962"/>
    <w:p w14:paraId="70202A86" w14:textId="44B71C70" w:rsidR="00FF4962" w:rsidRDefault="00FF4962" w:rsidP="00FF4962">
      <w:pPr>
        <w:pStyle w:val="Heading5"/>
      </w:pPr>
      <w:r>
        <w:t xml:space="preserve">Key Takeaways: </w:t>
      </w:r>
    </w:p>
    <w:p w14:paraId="31A7B633" w14:textId="77777777" w:rsidR="00EA168E" w:rsidRDefault="00FF4962" w:rsidP="00926EB3">
      <w:pPr>
        <w:pStyle w:val="ListParagraph"/>
        <w:numPr>
          <w:ilvl w:val="0"/>
          <w:numId w:val="213"/>
        </w:numPr>
      </w:pPr>
      <w:r w:rsidRPr="00FF4962">
        <w:t xml:space="preserve">People with low income and rural and vulnerable populations often face barriers to accessing nutritious foods. </w:t>
      </w:r>
    </w:p>
    <w:p w14:paraId="2DD389BA" w14:textId="424D7C56" w:rsidR="00FF4962" w:rsidRDefault="00FF4962" w:rsidP="00926EB3">
      <w:pPr>
        <w:pStyle w:val="ListParagraph"/>
        <w:numPr>
          <w:ilvl w:val="0"/>
          <w:numId w:val="213"/>
        </w:numPr>
      </w:pPr>
      <w:r w:rsidRPr="00FF4962">
        <w:t>The color of our skin, our economic status, and where we live should not determine how long or how well we live.</w:t>
      </w:r>
    </w:p>
    <w:p w14:paraId="61D2FCBD" w14:textId="77777777" w:rsidR="00FF4962" w:rsidRPr="00FF4962" w:rsidRDefault="00FF4962" w:rsidP="00FF4962"/>
    <w:p w14:paraId="3D244A69" w14:textId="7E089589" w:rsidR="00722CE9" w:rsidRPr="00EA168E" w:rsidRDefault="00722CE9" w:rsidP="00FF4962">
      <w:pPr>
        <w:rPr>
          <w:rFonts w:cstheme="minorHAnsi"/>
        </w:rPr>
      </w:pPr>
      <w:bookmarkStart w:id="267" w:name="_Toc162267168"/>
      <w:r w:rsidRPr="00EA168E">
        <w:rPr>
          <w:rStyle w:val="Heading4Char"/>
          <w:rFonts w:asciiTheme="minorHAnsi" w:hAnsiTheme="minorHAnsi" w:cstheme="minorHAnsi"/>
          <w:color w:val="000000" w:themeColor="text1"/>
        </w:rPr>
        <w:lastRenderedPageBreak/>
        <w:t xml:space="preserve">References </w:t>
      </w:r>
      <w:r w:rsidR="00FF4962" w:rsidRPr="00EA168E">
        <w:rPr>
          <w:rStyle w:val="Heading4Char"/>
          <w:rFonts w:asciiTheme="minorHAnsi" w:hAnsiTheme="minorHAnsi" w:cstheme="minorHAnsi"/>
          <w:color w:val="000000" w:themeColor="text1"/>
        </w:rPr>
        <w:t>6.6</w:t>
      </w:r>
      <w:bookmarkEnd w:id="267"/>
      <w:r w:rsidR="00FF4962" w:rsidRPr="00EA168E">
        <w:rPr>
          <w:rFonts w:cstheme="minorHAnsi"/>
          <w:i/>
          <w:iCs/>
          <w:color w:val="000000" w:themeColor="text1"/>
        </w:rPr>
        <w:t xml:space="preserve"> </w:t>
      </w:r>
    </w:p>
    <w:p w14:paraId="344765DA" w14:textId="77777777" w:rsidR="00FF4962" w:rsidRDefault="00FF4962" w:rsidP="00FF4962">
      <w:r w:rsidRPr="00722CE9">
        <w:t>Statistics in the preceding</w:t>
      </w:r>
      <w:r>
        <w:t xml:space="preserve"> section</w:t>
      </w:r>
      <w:r w:rsidRPr="00722CE9">
        <w:t xml:space="preserve"> were referenced from the following reports:</w:t>
      </w:r>
    </w:p>
    <w:p w14:paraId="3AB8B31D" w14:textId="53AD6816" w:rsidR="00F73294" w:rsidRPr="00F73294" w:rsidRDefault="00000000" w:rsidP="00926EB3">
      <w:pPr>
        <w:pStyle w:val="ListParagraph"/>
        <w:numPr>
          <w:ilvl w:val="0"/>
          <w:numId w:val="27"/>
        </w:numPr>
      </w:pPr>
      <w:hyperlink r:id="rId143" w:anchor=":~:text=In%20South%20Carolina%2C%20489%2C510%20people,of%20them%20153%2C330%20are%20children.&amp;text=face%20hunger.,in%207%20children%20face%20hunger" w:history="1">
        <w:r w:rsidR="00F73294" w:rsidRPr="00F73294">
          <w:rPr>
            <w:rStyle w:val="Hyperlink"/>
          </w:rPr>
          <w:t>“Hunger in South Carolina” published by Feeding America. Retrieved January 9, 2023.</w:t>
        </w:r>
      </w:hyperlink>
      <w:r w:rsidR="00F73294" w:rsidRPr="00F73294">
        <w:t xml:space="preserve"> </w:t>
      </w:r>
    </w:p>
    <w:p w14:paraId="5ABC2C09" w14:textId="2F647985" w:rsidR="00F73294" w:rsidRPr="00F73294" w:rsidRDefault="00000000" w:rsidP="00926EB3">
      <w:pPr>
        <w:pStyle w:val="ListParagraph"/>
        <w:numPr>
          <w:ilvl w:val="0"/>
          <w:numId w:val="27"/>
        </w:numPr>
      </w:pPr>
      <w:hyperlink r:id="rId144" w:history="1">
        <w:r w:rsidR="00F73294" w:rsidRPr="00F73294">
          <w:rPr>
            <w:rStyle w:val="Hyperlink"/>
          </w:rPr>
          <w:t>“Map the Meal Gap” published by Feeding America. Retrieved January 9, 2023.</w:t>
        </w:r>
      </w:hyperlink>
    </w:p>
    <w:p w14:paraId="3E3A84D3" w14:textId="77777777" w:rsidR="00FF4962" w:rsidRDefault="00FF4962" w:rsidP="00FF4962"/>
    <w:p w14:paraId="2BBCED67" w14:textId="3685353F" w:rsidR="00FF4962" w:rsidRDefault="00FF4962" w:rsidP="00F73294">
      <w:pPr>
        <w:pStyle w:val="Heading3"/>
      </w:pPr>
      <w:bookmarkStart w:id="268" w:name="_Toc162267169"/>
      <w:r w:rsidRPr="00FF4962">
        <w:t>Physical Activity</w:t>
      </w:r>
      <w:bookmarkEnd w:id="268"/>
    </w:p>
    <w:p w14:paraId="3EDE440C" w14:textId="652FBA8C" w:rsidR="00FF4962" w:rsidRPr="00FF4962" w:rsidRDefault="00FF4962" w:rsidP="00FF4962">
      <w:r w:rsidRPr="00FF4962">
        <w:t xml:space="preserve">Access to safe, </w:t>
      </w:r>
      <w:proofErr w:type="gramStart"/>
      <w:r w:rsidRPr="00FF4962">
        <w:t>conveniently</w:t>
      </w:r>
      <w:r w:rsidR="004C35A5">
        <w:t>-</w:t>
      </w:r>
      <w:r w:rsidRPr="00FF4962">
        <w:t>located</w:t>
      </w:r>
      <w:proofErr w:type="gramEnd"/>
      <w:r w:rsidRPr="00FF4962">
        <w:t>, free places to be physically active has a major impact on the health, well-being, and quality of life of those living in SC. Where people live shouldn’t determine how well or how long they live, but in many communities, there are persistent barriers to health and opportunities to thrive. Rural communities in SC tend to have fewer places to be physically active compared to urban communities.</w:t>
      </w:r>
    </w:p>
    <w:p w14:paraId="49E1ADE9" w14:textId="77777777" w:rsidR="00FF4962" w:rsidRDefault="00FF4962" w:rsidP="00FF4962"/>
    <w:p w14:paraId="208E0329" w14:textId="09EC50BA" w:rsidR="00FF4962" w:rsidRDefault="00FF4962" w:rsidP="00FF4962">
      <w:r w:rsidRPr="00FF4962">
        <w:t xml:space="preserve">All South Carolinians, regardless of where they live or how much money they make, should have the same opportunities to engage in a physically active, healthy life. Developing policies and creating environments that make healthy choices, like being physically active, </w:t>
      </w:r>
      <w:proofErr w:type="gramStart"/>
      <w:r w:rsidRPr="00FF4962">
        <w:t>easier</w:t>
      </w:r>
      <w:proofErr w:type="gramEnd"/>
      <w:r w:rsidRPr="00FF4962">
        <w:t xml:space="preserve"> and less expensive supports SC in preventing costly chronic health conditions, such as obesity, diabetes, and high blood pressure.</w:t>
      </w:r>
    </w:p>
    <w:p w14:paraId="23D54701" w14:textId="77777777" w:rsidR="00FF4962" w:rsidRDefault="00FF4962" w:rsidP="00FF4962">
      <w:pPr>
        <w:pStyle w:val="Heading4"/>
        <w:rPr>
          <w:color w:val="FF0000"/>
        </w:rPr>
      </w:pPr>
    </w:p>
    <w:p w14:paraId="0D85082A" w14:textId="77777777" w:rsidR="00980919" w:rsidRDefault="00980919" w:rsidP="00980919">
      <w:pPr>
        <w:pStyle w:val="Heading4"/>
      </w:pPr>
      <w:bookmarkStart w:id="269" w:name="_Toc154569825"/>
      <w:bookmarkStart w:id="270" w:name="_Toc162267170"/>
      <w:r>
        <w:t xml:space="preserve">Figure 6.17: </w:t>
      </w:r>
      <w:r w:rsidRPr="00EA0CDA">
        <w:t>No Leisure-Time Physical Activity Among Adults</w:t>
      </w:r>
      <w:r>
        <w:t>.</w:t>
      </w:r>
      <w:bookmarkEnd w:id="269"/>
      <w:bookmarkEnd w:id="270"/>
    </w:p>
    <w:tbl>
      <w:tblPr>
        <w:tblStyle w:val="TableGrid"/>
        <w:tblW w:w="0" w:type="auto"/>
        <w:tblLook w:val="04A0" w:firstRow="1" w:lastRow="0" w:firstColumn="1" w:lastColumn="0" w:noHBand="0" w:noVBand="1"/>
      </w:tblPr>
      <w:tblGrid>
        <w:gridCol w:w="3116"/>
        <w:gridCol w:w="3117"/>
        <w:gridCol w:w="3117"/>
      </w:tblGrid>
      <w:tr w:rsidR="00980919" w14:paraId="44890842" w14:textId="77777777" w:rsidTr="001515D5">
        <w:tc>
          <w:tcPr>
            <w:tcW w:w="3116" w:type="dxa"/>
            <w:vAlign w:val="bottom"/>
          </w:tcPr>
          <w:p w14:paraId="4396F69E" w14:textId="77777777" w:rsidR="00980919" w:rsidRDefault="00980919" w:rsidP="001515D5">
            <w:r>
              <w:t>Year</w:t>
            </w:r>
          </w:p>
        </w:tc>
        <w:tc>
          <w:tcPr>
            <w:tcW w:w="3117" w:type="dxa"/>
            <w:vAlign w:val="bottom"/>
          </w:tcPr>
          <w:p w14:paraId="117FF08E" w14:textId="77777777" w:rsidR="00980919" w:rsidRDefault="00980919" w:rsidP="001515D5">
            <w:r>
              <w:t>South Carolina</w:t>
            </w:r>
          </w:p>
        </w:tc>
        <w:tc>
          <w:tcPr>
            <w:tcW w:w="3117" w:type="dxa"/>
            <w:vAlign w:val="bottom"/>
          </w:tcPr>
          <w:p w14:paraId="743C334D" w14:textId="77777777" w:rsidR="00980919" w:rsidRDefault="00980919" w:rsidP="001515D5">
            <w:r>
              <w:t>Healthy People 2030</w:t>
            </w:r>
          </w:p>
        </w:tc>
      </w:tr>
      <w:tr w:rsidR="00980919" w14:paraId="19805287" w14:textId="77777777" w:rsidTr="001515D5">
        <w:tc>
          <w:tcPr>
            <w:tcW w:w="3116" w:type="dxa"/>
            <w:vAlign w:val="bottom"/>
          </w:tcPr>
          <w:p w14:paraId="580EAC68" w14:textId="77777777" w:rsidR="00980919" w:rsidRDefault="00980919" w:rsidP="001515D5">
            <w:r>
              <w:t>2012</w:t>
            </w:r>
          </w:p>
        </w:tc>
        <w:tc>
          <w:tcPr>
            <w:tcW w:w="3117" w:type="dxa"/>
            <w:vAlign w:val="center"/>
          </w:tcPr>
          <w:p w14:paraId="45F90938" w14:textId="77777777" w:rsidR="00980919" w:rsidRDefault="00980919" w:rsidP="001515D5">
            <w:r>
              <w:t>24.4%</w:t>
            </w:r>
          </w:p>
        </w:tc>
        <w:tc>
          <w:tcPr>
            <w:tcW w:w="3117" w:type="dxa"/>
            <w:vAlign w:val="bottom"/>
          </w:tcPr>
          <w:p w14:paraId="7DE37159" w14:textId="77777777" w:rsidR="00980919" w:rsidRDefault="00980919" w:rsidP="001515D5">
            <w:r>
              <w:t>21.8%</w:t>
            </w:r>
          </w:p>
        </w:tc>
      </w:tr>
      <w:tr w:rsidR="00980919" w14:paraId="4732B7C9" w14:textId="77777777" w:rsidTr="001515D5">
        <w:tc>
          <w:tcPr>
            <w:tcW w:w="3116" w:type="dxa"/>
            <w:vAlign w:val="bottom"/>
          </w:tcPr>
          <w:p w14:paraId="6AEACDCC" w14:textId="77777777" w:rsidR="00980919" w:rsidRDefault="00980919" w:rsidP="001515D5">
            <w:r>
              <w:t>2013</w:t>
            </w:r>
          </w:p>
        </w:tc>
        <w:tc>
          <w:tcPr>
            <w:tcW w:w="3117" w:type="dxa"/>
            <w:vAlign w:val="center"/>
          </w:tcPr>
          <w:p w14:paraId="4CE5F342" w14:textId="77777777" w:rsidR="00980919" w:rsidRDefault="00980919" w:rsidP="001515D5">
            <w:r>
              <w:t>26.2%</w:t>
            </w:r>
          </w:p>
        </w:tc>
        <w:tc>
          <w:tcPr>
            <w:tcW w:w="3117" w:type="dxa"/>
            <w:vAlign w:val="bottom"/>
          </w:tcPr>
          <w:p w14:paraId="2CB21740" w14:textId="77777777" w:rsidR="00980919" w:rsidRDefault="00980919" w:rsidP="001515D5">
            <w:r>
              <w:t>21.8%</w:t>
            </w:r>
          </w:p>
        </w:tc>
      </w:tr>
      <w:tr w:rsidR="00980919" w14:paraId="6306317A" w14:textId="77777777" w:rsidTr="001515D5">
        <w:tc>
          <w:tcPr>
            <w:tcW w:w="3116" w:type="dxa"/>
            <w:vAlign w:val="bottom"/>
          </w:tcPr>
          <w:p w14:paraId="7FC16312" w14:textId="77777777" w:rsidR="00980919" w:rsidRDefault="00980919" w:rsidP="001515D5">
            <w:r>
              <w:t>2014</w:t>
            </w:r>
          </w:p>
        </w:tc>
        <w:tc>
          <w:tcPr>
            <w:tcW w:w="3117" w:type="dxa"/>
            <w:vAlign w:val="center"/>
          </w:tcPr>
          <w:p w14:paraId="3902AD90" w14:textId="77777777" w:rsidR="00980919" w:rsidRDefault="00980919" w:rsidP="001515D5">
            <w:r>
              <w:t>24.6%</w:t>
            </w:r>
          </w:p>
        </w:tc>
        <w:tc>
          <w:tcPr>
            <w:tcW w:w="3117" w:type="dxa"/>
            <w:vAlign w:val="bottom"/>
          </w:tcPr>
          <w:p w14:paraId="36C9491A" w14:textId="77777777" w:rsidR="00980919" w:rsidRDefault="00980919" w:rsidP="001515D5">
            <w:r>
              <w:t>21.8%</w:t>
            </w:r>
          </w:p>
        </w:tc>
      </w:tr>
      <w:tr w:rsidR="00980919" w14:paraId="03D843C2" w14:textId="77777777" w:rsidTr="001515D5">
        <w:tc>
          <w:tcPr>
            <w:tcW w:w="3116" w:type="dxa"/>
            <w:vAlign w:val="bottom"/>
          </w:tcPr>
          <w:p w14:paraId="7FA4F6A6" w14:textId="77777777" w:rsidR="00980919" w:rsidRDefault="00980919" w:rsidP="001515D5">
            <w:r>
              <w:t>2015</w:t>
            </w:r>
          </w:p>
        </w:tc>
        <w:tc>
          <w:tcPr>
            <w:tcW w:w="3117" w:type="dxa"/>
            <w:vAlign w:val="center"/>
          </w:tcPr>
          <w:p w14:paraId="76973CA1" w14:textId="77777777" w:rsidR="00980919" w:rsidRDefault="00980919" w:rsidP="001515D5">
            <w:r>
              <w:t>25.9%</w:t>
            </w:r>
          </w:p>
        </w:tc>
        <w:tc>
          <w:tcPr>
            <w:tcW w:w="3117" w:type="dxa"/>
            <w:vAlign w:val="bottom"/>
          </w:tcPr>
          <w:p w14:paraId="22FDF622" w14:textId="77777777" w:rsidR="00980919" w:rsidRDefault="00980919" w:rsidP="001515D5">
            <w:r>
              <w:t>21.8%</w:t>
            </w:r>
          </w:p>
        </w:tc>
      </w:tr>
      <w:tr w:rsidR="00980919" w14:paraId="3685D673" w14:textId="77777777" w:rsidTr="001515D5">
        <w:tc>
          <w:tcPr>
            <w:tcW w:w="3116" w:type="dxa"/>
            <w:vAlign w:val="bottom"/>
          </w:tcPr>
          <w:p w14:paraId="1AAC0EF1" w14:textId="77777777" w:rsidR="00980919" w:rsidRDefault="00980919" w:rsidP="001515D5">
            <w:r>
              <w:t>2016</w:t>
            </w:r>
          </w:p>
        </w:tc>
        <w:tc>
          <w:tcPr>
            <w:tcW w:w="3117" w:type="dxa"/>
            <w:vAlign w:val="center"/>
          </w:tcPr>
          <w:p w14:paraId="55C6067F" w14:textId="77777777" w:rsidR="00980919" w:rsidRDefault="00980919" w:rsidP="001515D5">
            <w:r>
              <w:t>25.7%</w:t>
            </w:r>
          </w:p>
        </w:tc>
        <w:tc>
          <w:tcPr>
            <w:tcW w:w="3117" w:type="dxa"/>
            <w:vAlign w:val="bottom"/>
          </w:tcPr>
          <w:p w14:paraId="28F412E6" w14:textId="77777777" w:rsidR="00980919" w:rsidRDefault="00980919" w:rsidP="001515D5">
            <w:r>
              <w:t>21.8%</w:t>
            </w:r>
          </w:p>
        </w:tc>
      </w:tr>
      <w:tr w:rsidR="00980919" w14:paraId="608A88CD" w14:textId="77777777" w:rsidTr="001515D5">
        <w:tc>
          <w:tcPr>
            <w:tcW w:w="3116" w:type="dxa"/>
            <w:vAlign w:val="bottom"/>
          </w:tcPr>
          <w:p w14:paraId="4780CBE6" w14:textId="77777777" w:rsidR="00980919" w:rsidRDefault="00980919" w:rsidP="001515D5">
            <w:r>
              <w:t>2017</w:t>
            </w:r>
          </w:p>
        </w:tc>
        <w:tc>
          <w:tcPr>
            <w:tcW w:w="3117" w:type="dxa"/>
            <w:vAlign w:val="center"/>
          </w:tcPr>
          <w:p w14:paraId="331B1364" w14:textId="77777777" w:rsidR="00980919" w:rsidRDefault="00980919" w:rsidP="001515D5">
            <w:r>
              <w:t>27.7%</w:t>
            </w:r>
          </w:p>
        </w:tc>
        <w:tc>
          <w:tcPr>
            <w:tcW w:w="3117" w:type="dxa"/>
            <w:vAlign w:val="bottom"/>
          </w:tcPr>
          <w:p w14:paraId="30C3BF31" w14:textId="77777777" w:rsidR="00980919" w:rsidRDefault="00980919" w:rsidP="001515D5">
            <w:r>
              <w:t>21.8%</w:t>
            </w:r>
          </w:p>
        </w:tc>
      </w:tr>
      <w:tr w:rsidR="00980919" w14:paraId="6280B849" w14:textId="77777777" w:rsidTr="001515D5">
        <w:tc>
          <w:tcPr>
            <w:tcW w:w="3116" w:type="dxa"/>
            <w:vAlign w:val="bottom"/>
          </w:tcPr>
          <w:p w14:paraId="3DAEFDAF" w14:textId="77777777" w:rsidR="00980919" w:rsidRDefault="00980919" w:rsidP="001515D5">
            <w:r>
              <w:t>2018</w:t>
            </w:r>
          </w:p>
        </w:tc>
        <w:tc>
          <w:tcPr>
            <w:tcW w:w="3117" w:type="dxa"/>
            <w:vAlign w:val="center"/>
          </w:tcPr>
          <w:p w14:paraId="7D46FAE9" w14:textId="77777777" w:rsidR="00980919" w:rsidRDefault="00980919" w:rsidP="001515D5">
            <w:r>
              <w:t>25.7%</w:t>
            </w:r>
          </w:p>
        </w:tc>
        <w:tc>
          <w:tcPr>
            <w:tcW w:w="3117" w:type="dxa"/>
            <w:vAlign w:val="bottom"/>
          </w:tcPr>
          <w:p w14:paraId="2714C2C5" w14:textId="77777777" w:rsidR="00980919" w:rsidRDefault="00980919" w:rsidP="001515D5">
            <w:r>
              <w:t>21.8%</w:t>
            </w:r>
          </w:p>
        </w:tc>
      </w:tr>
      <w:tr w:rsidR="00980919" w14:paraId="124DAB62" w14:textId="77777777" w:rsidTr="001515D5">
        <w:tc>
          <w:tcPr>
            <w:tcW w:w="3116" w:type="dxa"/>
            <w:vAlign w:val="bottom"/>
          </w:tcPr>
          <w:p w14:paraId="7F2AB59D" w14:textId="77777777" w:rsidR="00980919" w:rsidRDefault="00980919" w:rsidP="001515D5">
            <w:r>
              <w:t>2019</w:t>
            </w:r>
          </w:p>
        </w:tc>
        <w:tc>
          <w:tcPr>
            <w:tcW w:w="3117" w:type="dxa"/>
            <w:vAlign w:val="center"/>
          </w:tcPr>
          <w:p w14:paraId="248633DC" w14:textId="77777777" w:rsidR="00980919" w:rsidRDefault="00980919" w:rsidP="001515D5">
            <w:r>
              <w:t>28.3%</w:t>
            </w:r>
          </w:p>
        </w:tc>
        <w:tc>
          <w:tcPr>
            <w:tcW w:w="3117" w:type="dxa"/>
            <w:vAlign w:val="bottom"/>
          </w:tcPr>
          <w:p w14:paraId="4B804115" w14:textId="77777777" w:rsidR="00980919" w:rsidRDefault="00980919" w:rsidP="001515D5">
            <w:r>
              <w:t>21.8%</w:t>
            </w:r>
          </w:p>
        </w:tc>
      </w:tr>
      <w:tr w:rsidR="00980919" w14:paraId="7DACBF18" w14:textId="77777777" w:rsidTr="001515D5">
        <w:tc>
          <w:tcPr>
            <w:tcW w:w="3116" w:type="dxa"/>
            <w:vAlign w:val="bottom"/>
          </w:tcPr>
          <w:p w14:paraId="48B47F88" w14:textId="77777777" w:rsidR="00980919" w:rsidRDefault="00980919" w:rsidP="001515D5">
            <w:r>
              <w:t>2020</w:t>
            </w:r>
          </w:p>
        </w:tc>
        <w:tc>
          <w:tcPr>
            <w:tcW w:w="3117" w:type="dxa"/>
            <w:vAlign w:val="center"/>
          </w:tcPr>
          <w:p w14:paraId="4F8D4F55" w14:textId="77777777" w:rsidR="00980919" w:rsidRDefault="00980919" w:rsidP="001515D5">
            <w:r>
              <w:t>25.5%</w:t>
            </w:r>
          </w:p>
        </w:tc>
        <w:tc>
          <w:tcPr>
            <w:tcW w:w="3117" w:type="dxa"/>
            <w:vAlign w:val="bottom"/>
          </w:tcPr>
          <w:p w14:paraId="7B29624B" w14:textId="77777777" w:rsidR="00980919" w:rsidRDefault="00980919" w:rsidP="001515D5">
            <w:r>
              <w:t>21.8%</w:t>
            </w:r>
          </w:p>
        </w:tc>
      </w:tr>
      <w:tr w:rsidR="00980919" w14:paraId="3914778D" w14:textId="77777777" w:rsidTr="001515D5">
        <w:tc>
          <w:tcPr>
            <w:tcW w:w="3116" w:type="dxa"/>
            <w:vAlign w:val="bottom"/>
          </w:tcPr>
          <w:p w14:paraId="672BF27A" w14:textId="77777777" w:rsidR="00980919" w:rsidRDefault="00980919" w:rsidP="001515D5">
            <w:r>
              <w:t>2021</w:t>
            </w:r>
          </w:p>
        </w:tc>
        <w:tc>
          <w:tcPr>
            <w:tcW w:w="3117" w:type="dxa"/>
            <w:vAlign w:val="center"/>
          </w:tcPr>
          <w:p w14:paraId="1C022EC7" w14:textId="77777777" w:rsidR="00980919" w:rsidRDefault="00980919" w:rsidP="001515D5">
            <w:r>
              <w:t>23.9%</w:t>
            </w:r>
          </w:p>
        </w:tc>
        <w:tc>
          <w:tcPr>
            <w:tcW w:w="3117" w:type="dxa"/>
            <w:vAlign w:val="bottom"/>
          </w:tcPr>
          <w:p w14:paraId="1AC956D2" w14:textId="77777777" w:rsidR="00980919" w:rsidRDefault="00980919" w:rsidP="001515D5">
            <w:r>
              <w:t>21.8%</w:t>
            </w:r>
          </w:p>
        </w:tc>
      </w:tr>
    </w:tbl>
    <w:p w14:paraId="613B3E14" w14:textId="77777777" w:rsidR="00980919" w:rsidRPr="00EA0CDA" w:rsidRDefault="00980919" w:rsidP="00980919">
      <w:r w:rsidRPr="00EA0CDA">
        <w:t xml:space="preserve">Source: SC BRFSS. </w:t>
      </w:r>
    </w:p>
    <w:p w14:paraId="38C967A6" w14:textId="77777777" w:rsidR="00980919" w:rsidRDefault="00980919" w:rsidP="00980919">
      <w:r w:rsidRPr="00EA0CDA">
        <w:t xml:space="preserve">Notes: Adults 18+, </w:t>
      </w:r>
      <w:proofErr w:type="gramStart"/>
      <w:r w:rsidRPr="00EA0CDA">
        <w:t>age-adjusted</w:t>
      </w:r>
      <w:proofErr w:type="gramEnd"/>
      <w:r w:rsidRPr="00EA0CDA">
        <w:t>.</w:t>
      </w:r>
    </w:p>
    <w:p w14:paraId="27150431" w14:textId="77777777" w:rsidR="00980919" w:rsidRPr="00EA0CDA" w:rsidRDefault="00980919" w:rsidP="00980919"/>
    <w:p w14:paraId="219A11BD" w14:textId="77777777" w:rsidR="00980919" w:rsidRDefault="00980919" w:rsidP="00980919">
      <w:pPr>
        <w:pStyle w:val="Heading4"/>
      </w:pPr>
      <w:bookmarkStart w:id="271" w:name="_Toc154569826"/>
      <w:bookmarkStart w:id="272" w:name="_Toc162267171"/>
      <w:r>
        <w:lastRenderedPageBreak/>
        <w:t xml:space="preserve">Figure 6.18: </w:t>
      </w:r>
      <w:r w:rsidRPr="00EA0CDA">
        <w:t>No Leisure-Time Physical Activity Among Adults</w:t>
      </w:r>
      <w:r>
        <w:t>, by Education.</w:t>
      </w:r>
      <w:bookmarkEnd w:id="271"/>
      <w:bookmarkEnd w:id="272"/>
    </w:p>
    <w:tbl>
      <w:tblPr>
        <w:tblStyle w:val="TableGrid"/>
        <w:tblW w:w="0" w:type="auto"/>
        <w:tblLook w:val="04A0" w:firstRow="1" w:lastRow="0" w:firstColumn="1" w:lastColumn="0" w:noHBand="0" w:noVBand="1"/>
      </w:tblPr>
      <w:tblGrid>
        <w:gridCol w:w="4675"/>
        <w:gridCol w:w="4675"/>
      </w:tblGrid>
      <w:tr w:rsidR="00980919" w14:paraId="6E7EB8CE" w14:textId="77777777" w:rsidTr="001515D5">
        <w:tc>
          <w:tcPr>
            <w:tcW w:w="4675" w:type="dxa"/>
            <w:vAlign w:val="bottom"/>
          </w:tcPr>
          <w:p w14:paraId="2EA74F9C" w14:textId="77777777" w:rsidR="00980919" w:rsidRDefault="00980919" w:rsidP="001515D5">
            <w:r>
              <w:t>Education Level</w:t>
            </w:r>
          </w:p>
        </w:tc>
        <w:tc>
          <w:tcPr>
            <w:tcW w:w="4675" w:type="dxa"/>
            <w:vAlign w:val="bottom"/>
          </w:tcPr>
          <w:p w14:paraId="63A5E63E" w14:textId="77777777" w:rsidR="00980919" w:rsidRDefault="00980919" w:rsidP="001515D5">
            <w:r>
              <w:t>Percent</w:t>
            </w:r>
          </w:p>
        </w:tc>
      </w:tr>
      <w:tr w:rsidR="00980919" w14:paraId="744950DA" w14:textId="77777777" w:rsidTr="001515D5">
        <w:tc>
          <w:tcPr>
            <w:tcW w:w="4675" w:type="dxa"/>
            <w:vAlign w:val="bottom"/>
          </w:tcPr>
          <w:p w14:paraId="0E84A057" w14:textId="77777777" w:rsidR="00980919" w:rsidRDefault="00980919" w:rsidP="001515D5">
            <w:r>
              <w:t>&lt; HS</w:t>
            </w:r>
          </w:p>
        </w:tc>
        <w:tc>
          <w:tcPr>
            <w:tcW w:w="4675" w:type="dxa"/>
            <w:vAlign w:val="bottom"/>
          </w:tcPr>
          <w:p w14:paraId="1107D37E" w14:textId="77777777" w:rsidR="00980919" w:rsidRDefault="00980919" w:rsidP="001515D5">
            <w:r>
              <w:t>44.00%</w:t>
            </w:r>
          </w:p>
        </w:tc>
      </w:tr>
      <w:tr w:rsidR="00980919" w14:paraId="066A707C" w14:textId="77777777" w:rsidTr="001515D5">
        <w:tc>
          <w:tcPr>
            <w:tcW w:w="4675" w:type="dxa"/>
            <w:vAlign w:val="bottom"/>
          </w:tcPr>
          <w:p w14:paraId="3BAFB15C" w14:textId="77777777" w:rsidR="00980919" w:rsidRDefault="00980919" w:rsidP="001515D5">
            <w:r>
              <w:t>HS/GED</w:t>
            </w:r>
          </w:p>
        </w:tc>
        <w:tc>
          <w:tcPr>
            <w:tcW w:w="4675" w:type="dxa"/>
            <w:vAlign w:val="bottom"/>
          </w:tcPr>
          <w:p w14:paraId="5E33DB21" w14:textId="77777777" w:rsidR="00980919" w:rsidRDefault="00980919" w:rsidP="001515D5">
            <w:r>
              <w:t>28.90%</w:t>
            </w:r>
          </w:p>
        </w:tc>
      </w:tr>
      <w:tr w:rsidR="00980919" w14:paraId="13192C58" w14:textId="77777777" w:rsidTr="001515D5">
        <w:tc>
          <w:tcPr>
            <w:tcW w:w="4675" w:type="dxa"/>
            <w:vAlign w:val="bottom"/>
          </w:tcPr>
          <w:p w14:paraId="3C6A0350" w14:textId="77777777" w:rsidR="00980919" w:rsidRDefault="00980919" w:rsidP="001515D5">
            <w:r>
              <w:t>Some College</w:t>
            </w:r>
          </w:p>
        </w:tc>
        <w:tc>
          <w:tcPr>
            <w:tcW w:w="4675" w:type="dxa"/>
            <w:vAlign w:val="bottom"/>
          </w:tcPr>
          <w:p w14:paraId="4A0DEBBA" w14:textId="77777777" w:rsidR="00980919" w:rsidRDefault="00980919" w:rsidP="001515D5">
            <w:r>
              <w:t>21.00%</w:t>
            </w:r>
          </w:p>
        </w:tc>
      </w:tr>
      <w:tr w:rsidR="00980919" w14:paraId="48931396" w14:textId="77777777" w:rsidTr="001515D5">
        <w:tc>
          <w:tcPr>
            <w:tcW w:w="4675" w:type="dxa"/>
            <w:vAlign w:val="bottom"/>
          </w:tcPr>
          <w:p w14:paraId="47C6E36A" w14:textId="77777777" w:rsidR="00980919" w:rsidRDefault="00980919" w:rsidP="001515D5">
            <w:r>
              <w:t>College Graduate</w:t>
            </w:r>
          </w:p>
        </w:tc>
        <w:tc>
          <w:tcPr>
            <w:tcW w:w="4675" w:type="dxa"/>
            <w:vAlign w:val="bottom"/>
          </w:tcPr>
          <w:p w14:paraId="340F433C" w14:textId="77777777" w:rsidR="00980919" w:rsidRDefault="00980919" w:rsidP="001515D5">
            <w:r>
              <w:t>13.70%</w:t>
            </w:r>
          </w:p>
        </w:tc>
      </w:tr>
    </w:tbl>
    <w:p w14:paraId="4D634393" w14:textId="77777777" w:rsidR="00980919" w:rsidRPr="00EA0CDA" w:rsidRDefault="00980919" w:rsidP="00980919">
      <w:r w:rsidRPr="00EA0CDA">
        <w:t>Source: SC BRFSS</w:t>
      </w:r>
      <w:r>
        <w:t>, 2021</w:t>
      </w:r>
      <w:r w:rsidRPr="00EA0CDA">
        <w:t xml:space="preserve">. </w:t>
      </w:r>
    </w:p>
    <w:p w14:paraId="74242F52" w14:textId="77777777" w:rsidR="00980919" w:rsidRDefault="00980919" w:rsidP="00980919">
      <w:r w:rsidRPr="00EA0CDA">
        <w:t xml:space="preserve">Notes: Adults 18+, </w:t>
      </w:r>
      <w:proofErr w:type="gramStart"/>
      <w:r w:rsidRPr="00EA0CDA">
        <w:t>age-adjusted</w:t>
      </w:r>
      <w:proofErr w:type="gramEnd"/>
      <w:r w:rsidRPr="00EA0CDA">
        <w:t>.</w:t>
      </w:r>
    </w:p>
    <w:p w14:paraId="20047873" w14:textId="77777777" w:rsidR="00980919" w:rsidRPr="00EA0CDA" w:rsidRDefault="00980919" w:rsidP="00980919"/>
    <w:p w14:paraId="2B386396" w14:textId="77777777" w:rsidR="00980919" w:rsidRDefault="00980919" w:rsidP="00980919">
      <w:pPr>
        <w:pStyle w:val="Heading4"/>
      </w:pPr>
      <w:bookmarkStart w:id="273" w:name="_Toc154569827"/>
      <w:bookmarkStart w:id="274" w:name="_Toc162267172"/>
      <w:r>
        <w:t xml:space="preserve">Figure 6.19: </w:t>
      </w:r>
      <w:r w:rsidRPr="00EA0CDA">
        <w:t>Adults Who Met Physical Activity Recommendations</w:t>
      </w:r>
      <w:r>
        <w:t>.</w:t>
      </w:r>
      <w:bookmarkEnd w:id="273"/>
      <w:bookmarkEnd w:id="274"/>
    </w:p>
    <w:tbl>
      <w:tblPr>
        <w:tblStyle w:val="TableGrid"/>
        <w:tblW w:w="0" w:type="auto"/>
        <w:tblLook w:val="04A0" w:firstRow="1" w:lastRow="0" w:firstColumn="1" w:lastColumn="0" w:noHBand="0" w:noVBand="1"/>
      </w:tblPr>
      <w:tblGrid>
        <w:gridCol w:w="3116"/>
        <w:gridCol w:w="3117"/>
        <w:gridCol w:w="3117"/>
      </w:tblGrid>
      <w:tr w:rsidR="00980919" w14:paraId="5018C4BD" w14:textId="77777777" w:rsidTr="001515D5">
        <w:tc>
          <w:tcPr>
            <w:tcW w:w="3116" w:type="dxa"/>
            <w:vAlign w:val="bottom"/>
          </w:tcPr>
          <w:p w14:paraId="2D5142A4" w14:textId="77777777" w:rsidR="00980919" w:rsidRDefault="00980919" w:rsidP="001515D5">
            <w:r>
              <w:t>Year</w:t>
            </w:r>
          </w:p>
        </w:tc>
        <w:tc>
          <w:tcPr>
            <w:tcW w:w="3117" w:type="dxa"/>
            <w:vAlign w:val="bottom"/>
          </w:tcPr>
          <w:p w14:paraId="21765C8E" w14:textId="77777777" w:rsidR="00980919" w:rsidRDefault="00980919" w:rsidP="001515D5">
            <w:r>
              <w:t>South Carolina</w:t>
            </w:r>
          </w:p>
        </w:tc>
        <w:tc>
          <w:tcPr>
            <w:tcW w:w="3117" w:type="dxa"/>
            <w:vAlign w:val="bottom"/>
          </w:tcPr>
          <w:p w14:paraId="54C9784B" w14:textId="77777777" w:rsidR="00980919" w:rsidRDefault="00980919" w:rsidP="001515D5">
            <w:r>
              <w:t>Healthy People 2030</w:t>
            </w:r>
          </w:p>
        </w:tc>
      </w:tr>
      <w:tr w:rsidR="00980919" w14:paraId="6C403B5F" w14:textId="77777777" w:rsidTr="001515D5">
        <w:tc>
          <w:tcPr>
            <w:tcW w:w="3116" w:type="dxa"/>
            <w:vAlign w:val="bottom"/>
          </w:tcPr>
          <w:p w14:paraId="61406B4A" w14:textId="77777777" w:rsidR="00980919" w:rsidRDefault="00980919" w:rsidP="001515D5">
            <w:r>
              <w:t>2011</w:t>
            </w:r>
          </w:p>
        </w:tc>
        <w:tc>
          <w:tcPr>
            <w:tcW w:w="3117" w:type="dxa"/>
            <w:vAlign w:val="center"/>
          </w:tcPr>
          <w:p w14:paraId="7F60CD8C" w14:textId="77777777" w:rsidR="00980919" w:rsidRDefault="00980919" w:rsidP="001515D5">
            <w:r>
              <w:t>18.9%</w:t>
            </w:r>
          </w:p>
        </w:tc>
        <w:tc>
          <w:tcPr>
            <w:tcW w:w="3117" w:type="dxa"/>
            <w:vAlign w:val="bottom"/>
          </w:tcPr>
          <w:p w14:paraId="3FBA61A1" w14:textId="77777777" w:rsidR="00980919" w:rsidRDefault="00980919" w:rsidP="001515D5">
            <w:r>
              <w:t>29.7%</w:t>
            </w:r>
          </w:p>
        </w:tc>
      </w:tr>
      <w:tr w:rsidR="00980919" w14:paraId="31749426" w14:textId="77777777" w:rsidTr="001515D5">
        <w:tc>
          <w:tcPr>
            <w:tcW w:w="3116" w:type="dxa"/>
            <w:vAlign w:val="bottom"/>
          </w:tcPr>
          <w:p w14:paraId="77329C33" w14:textId="77777777" w:rsidR="00980919" w:rsidRDefault="00980919" w:rsidP="001515D5">
            <w:r>
              <w:t>2012</w:t>
            </w:r>
          </w:p>
        </w:tc>
        <w:tc>
          <w:tcPr>
            <w:tcW w:w="3117" w:type="dxa"/>
            <w:vAlign w:val="center"/>
          </w:tcPr>
          <w:p w14:paraId="6B9F57EC" w14:textId="77777777" w:rsidR="00980919" w:rsidRDefault="00980919" w:rsidP="001515D5">
            <w:r>
              <w:t>19.1%</w:t>
            </w:r>
          </w:p>
        </w:tc>
        <w:tc>
          <w:tcPr>
            <w:tcW w:w="3117" w:type="dxa"/>
            <w:vAlign w:val="bottom"/>
          </w:tcPr>
          <w:p w14:paraId="5AFCDB44" w14:textId="77777777" w:rsidR="00980919" w:rsidRDefault="00980919" w:rsidP="001515D5">
            <w:r>
              <w:t>29.7%</w:t>
            </w:r>
          </w:p>
        </w:tc>
      </w:tr>
      <w:tr w:rsidR="00980919" w14:paraId="0BF0039E" w14:textId="77777777" w:rsidTr="001515D5">
        <w:tc>
          <w:tcPr>
            <w:tcW w:w="3116" w:type="dxa"/>
            <w:vAlign w:val="bottom"/>
          </w:tcPr>
          <w:p w14:paraId="6064447A" w14:textId="77777777" w:rsidR="00980919" w:rsidRDefault="00980919" w:rsidP="001515D5">
            <w:r>
              <w:t>2013</w:t>
            </w:r>
          </w:p>
        </w:tc>
        <w:tc>
          <w:tcPr>
            <w:tcW w:w="3117" w:type="dxa"/>
            <w:vAlign w:val="center"/>
          </w:tcPr>
          <w:p w14:paraId="01A3F1E3" w14:textId="77777777" w:rsidR="00980919" w:rsidRDefault="00980919" w:rsidP="001515D5">
            <w:r>
              <w:t>19.2%</w:t>
            </w:r>
          </w:p>
        </w:tc>
        <w:tc>
          <w:tcPr>
            <w:tcW w:w="3117" w:type="dxa"/>
            <w:vAlign w:val="bottom"/>
          </w:tcPr>
          <w:p w14:paraId="098344B8" w14:textId="77777777" w:rsidR="00980919" w:rsidRDefault="00980919" w:rsidP="001515D5">
            <w:r>
              <w:t>29.7%</w:t>
            </w:r>
          </w:p>
        </w:tc>
      </w:tr>
      <w:tr w:rsidR="00980919" w14:paraId="00611287" w14:textId="77777777" w:rsidTr="001515D5">
        <w:tc>
          <w:tcPr>
            <w:tcW w:w="3116" w:type="dxa"/>
            <w:vAlign w:val="bottom"/>
          </w:tcPr>
          <w:p w14:paraId="11C768EE" w14:textId="77777777" w:rsidR="00980919" w:rsidRDefault="00980919" w:rsidP="001515D5">
            <w:r>
              <w:t>2014</w:t>
            </w:r>
          </w:p>
        </w:tc>
        <w:tc>
          <w:tcPr>
            <w:tcW w:w="3117" w:type="dxa"/>
            <w:vAlign w:val="center"/>
          </w:tcPr>
          <w:p w14:paraId="2A1127D9" w14:textId="77777777" w:rsidR="00980919" w:rsidRDefault="00980919" w:rsidP="001515D5">
            <w:r>
              <w:t>19.9%</w:t>
            </w:r>
          </w:p>
        </w:tc>
        <w:tc>
          <w:tcPr>
            <w:tcW w:w="3117" w:type="dxa"/>
            <w:vAlign w:val="bottom"/>
          </w:tcPr>
          <w:p w14:paraId="6F32868F" w14:textId="77777777" w:rsidR="00980919" w:rsidRDefault="00980919" w:rsidP="001515D5">
            <w:r>
              <w:t>29.7%</w:t>
            </w:r>
          </w:p>
        </w:tc>
      </w:tr>
      <w:tr w:rsidR="00980919" w14:paraId="2F159FB1" w14:textId="77777777" w:rsidTr="001515D5">
        <w:tc>
          <w:tcPr>
            <w:tcW w:w="3116" w:type="dxa"/>
            <w:vAlign w:val="bottom"/>
          </w:tcPr>
          <w:p w14:paraId="2710766C" w14:textId="77777777" w:rsidR="00980919" w:rsidRDefault="00980919" w:rsidP="001515D5">
            <w:r>
              <w:t>2015</w:t>
            </w:r>
          </w:p>
        </w:tc>
        <w:tc>
          <w:tcPr>
            <w:tcW w:w="3117" w:type="dxa"/>
            <w:vAlign w:val="center"/>
          </w:tcPr>
          <w:p w14:paraId="3D9BDB9C" w14:textId="77777777" w:rsidR="00980919" w:rsidRDefault="00980919" w:rsidP="001515D5">
            <w:r>
              <w:t>20.5%</w:t>
            </w:r>
          </w:p>
        </w:tc>
        <w:tc>
          <w:tcPr>
            <w:tcW w:w="3117" w:type="dxa"/>
            <w:vAlign w:val="bottom"/>
          </w:tcPr>
          <w:p w14:paraId="1F44D7C0" w14:textId="77777777" w:rsidR="00980919" w:rsidRDefault="00980919" w:rsidP="001515D5">
            <w:r>
              <w:t>29.7%</w:t>
            </w:r>
          </w:p>
        </w:tc>
      </w:tr>
      <w:tr w:rsidR="00980919" w14:paraId="49F65F81" w14:textId="77777777" w:rsidTr="001515D5">
        <w:tc>
          <w:tcPr>
            <w:tcW w:w="3116" w:type="dxa"/>
            <w:vAlign w:val="bottom"/>
          </w:tcPr>
          <w:p w14:paraId="6B9C12F4" w14:textId="77777777" w:rsidR="00980919" w:rsidRDefault="00980919" w:rsidP="001515D5">
            <w:r>
              <w:t>2016</w:t>
            </w:r>
          </w:p>
        </w:tc>
        <w:tc>
          <w:tcPr>
            <w:tcW w:w="3117" w:type="dxa"/>
            <w:vAlign w:val="center"/>
          </w:tcPr>
          <w:p w14:paraId="5D9009AF" w14:textId="77777777" w:rsidR="00980919" w:rsidRDefault="00980919" w:rsidP="001515D5">
            <w:r>
              <w:t>20.1%</w:t>
            </w:r>
          </w:p>
        </w:tc>
        <w:tc>
          <w:tcPr>
            <w:tcW w:w="3117" w:type="dxa"/>
            <w:vAlign w:val="bottom"/>
          </w:tcPr>
          <w:p w14:paraId="79D05FC1" w14:textId="77777777" w:rsidR="00980919" w:rsidRDefault="00980919" w:rsidP="001515D5">
            <w:r>
              <w:t>29.7%</w:t>
            </w:r>
          </w:p>
        </w:tc>
      </w:tr>
      <w:tr w:rsidR="00980919" w14:paraId="5D5D43F8" w14:textId="77777777" w:rsidTr="001515D5">
        <w:tc>
          <w:tcPr>
            <w:tcW w:w="3116" w:type="dxa"/>
            <w:vAlign w:val="bottom"/>
          </w:tcPr>
          <w:p w14:paraId="0BBAC364" w14:textId="77777777" w:rsidR="00980919" w:rsidRDefault="00980919" w:rsidP="001515D5">
            <w:r>
              <w:t>2017</w:t>
            </w:r>
          </w:p>
        </w:tc>
        <w:tc>
          <w:tcPr>
            <w:tcW w:w="3117" w:type="dxa"/>
            <w:vAlign w:val="center"/>
          </w:tcPr>
          <w:p w14:paraId="16E6798B" w14:textId="77777777" w:rsidR="00980919" w:rsidRDefault="00980919" w:rsidP="001515D5">
            <w:r>
              <w:t>19.7%</w:t>
            </w:r>
          </w:p>
        </w:tc>
        <w:tc>
          <w:tcPr>
            <w:tcW w:w="3117" w:type="dxa"/>
            <w:vAlign w:val="bottom"/>
          </w:tcPr>
          <w:p w14:paraId="22D19567" w14:textId="77777777" w:rsidR="00980919" w:rsidRDefault="00980919" w:rsidP="001515D5">
            <w:r>
              <w:t>29.7%</w:t>
            </w:r>
          </w:p>
        </w:tc>
      </w:tr>
      <w:tr w:rsidR="00980919" w14:paraId="4D8AB706" w14:textId="77777777" w:rsidTr="001515D5">
        <w:tc>
          <w:tcPr>
            <w:tcW w:w="3116" w:type="dxa"/>
            <w:vAlign w:val="bottom"/>
          </w:tcPr>
          <w:p w14:paraId="5E0559BB" w14:textId="77777777" w:rsidR="00980919" w:rsidRDefault="00980919" w:rsidP="001515D5">
            <w:r>
              <w:t>2018</w:t>
            </w:r>
          </w:p>
        </w:tc>
        <w:tc>
          <w:tcPr>
            <w:tcW w:w="3117" w:type="dxa"/>
            <w:vAlign w:val="center"/>
          </w:tcPr>
          <w:p w14:paraId="0E505692" w14:textId="77777777" w:rsidR="00980919" w:rsidRDefault="00980919" w:rsidP="001515D5">
            <w:r>
              <w:t>21.4%</w:t>
            </w:r>
          </w:p>
        </w:tc>
        <w:tc>
          <w:tcPr>
            <w:tcW w:w="3117" w:type="dxa"/>
            <w:vAlign w:val="bottom"/>
          </w:tcPr>
          <w:p w14:paraId="3B15C747" w14:textId="77777777" w:rsidR="00980919" w:rsidRDefault="00980919" w:rsidP="001515D5">
            <w:r>
              <w:t>29.7%</w:t>
            </w:r>
          </w:p>
        </w:tc>
      </w:tr>
      <w:tr w:rsidR="00980919" w14:paraId="44F5953E" w14:textId="77777777" w:rsidTr="001515D5">
        <w:tc>
          <w:tcPr>
            <w:tcW w:w="3116" w:type="dxa"/>
            <w:vAlign w:val="bottom"/>
          </w:tcPr>
          <w:p w14:paraId="5D9C3EEA" w14:textId="77777777" w:rsidR="00980919" w:rsidRDefault="00980919" w:rsidP="001515D5">
            <w:r>
              <w:t>2019</w:t>
            </w:r>
          </w:p>
        </w:tc>
        <w:tc>
          <w:tcPr>
            <w:tcW w:w="3117" w:type="dxa"/>
            <w:vAlign w:val="center"/>
          </w:tcPr>
          <w:p w14:paraId="4E2679C3" w14:textId="77777777" w:rsidR="00980919" w:rsidRDefault="00980919" w:rsidP="001515D5">
            <w:r>
              <w:t>23.1%</w:t>
            </w:r>
          </w:p>
        </w:tc>
        <w:tc>
          <w:tcPr>
            <w:tcW w:w="3117" w:type="dxa"/>
            <w:vAlign w:val="bottom"/>
          </w:tcPr>
          <w:p w14:paraId="351A171D" w14:textId="77777777" w:rsidR="00980919" w:rsidRDefault="00980919" w:rsidP="001515D5">
            <w:r>
              <w:t>29.7%</w:t>
            </w:r>
          </w:p>
        </w:tc>
      </w:tr>
    </w:tbl>
    <w:p w14:paraId="1C6B3FF8" w14:textId="77777777" w:rsidR="00980919" w:rsidRPr="00EA0CDA" w:rsidRDefault="00980919" w:rsidP="00980919">
      <w:r w:rsidRPr="00EA0CDA">
        <w:t xml:space="preserve">Source: SC BRFSS. </w:t>
      </w:r>
    </w:p>
    <w:p w14:paraId="5981DBC4" w14:textId="77777777" w:rsidR="00980919" w:rsidRDefault="00980919" w:rsidP="00980919">
      <w:r w:rsidRPr="00EA0CDA">
        <w:t xml:space="preserve">Notes: Adults 18+, who met the objectives for aerobic physical activity (150 minutes per week) and for muscle strengthening activity (2 times per week), </w:t>
      </w:r>
      <w:proofErr w:type="gramStart"/>
      <w:r w:rsidRPr="00EA0CDA">
        <w:t>age-adjusted</w:t>
      </w:r>
      <w:proofErr w:type="gramEnd"/>
      <w:r w:rsidRPr="00EA0CDA">
        <w:t>.</w:t>
      </w:r>
    </w:p>
    <w:p w14:paraId="3E8A8A01" w14:textId="77777777" w:rsidR="00980919" w:rsidRPr="00EA0CDA" w:rsidRDefault="00980919" w:rsidP="00980919"/>
    <w:p w14:paraId="65D8E3C3" w14:textId="77777777" w:rsidR="00980919" w:rsidRPr="00EA0CDA" w:rsidRDefault="00980919" w:rsidP="00980919">
      <w:pPr>
        <w:pStyle w:val="Heading4"/>
      </w:pPr>
      <w:bookmarkStart w:id="275" w:name="_Toc154569828"/>
      <w:bookmarkStart w:id="276" w:name="_Toc162267173"/>
      <w:r>
        <w:t>Figure 6.20: Top Reasons that Prevent People in Community from being Physically Active.</w:t>
      </w:r>
      <w:bookmarkEnd w:id="275"/>
      <w:bookmarkEnd w:id="276"/>
    </w:p>
    <w:tbl>
      <w:tblPr>
        <w:tblStyle w:val="TableGrid"/>
        <w:tblW w:w="0" w:type="auto"/>
        <w:tblLook w:val="04A0" w:firstRow="1" w:lastRow="0" w:firstColumn="1" w:lastColumn="0" w:noHBand="0" w:noVBand="1"/>
      </w:tblPr>
      <w:tblGrid>
        <w:gridCol w:w="4675"/>
        <w:gridCol w:w="4675"/>
      </w:tblGrid>
      <w:tr w:rsidR="00980919" w14:paraId="590EA6D6" w14:textId="77777777" w:rsidTr="001515D5">
        <w:tc>
          <w:tcPr>
            <w:tcW w:w="4675" w:type="dxa"/>
          </w:tcPr>
          <w:p w14:paraId="4CA6AFD1" w14:textId="77777777" w:rsidR="00980919" w:rsidRDefault="00980919" w:rsidP="001515D5">
            <w:r>
              <w:t>Rank</w:t>
            </w:r>
          </w:p>
        </w:tc>
        <w:tc>
          <w:tcPr>
            <w:tcW w:w="4675" w:type="dxa"/>
          </w:tcPr>
          <w:p w14:paraId="31B3C80F" w14:textId="77777777" w:rsidR="00980919" w:rsidRDefault="00980919" w:rsidP="001515D5">
            <w:r>
              <w:t>Reason</w:t>
            </w:r>
          </w:p>
        </w:tc>
      </w:tr>
      <w:tr w:rsidR="00980919" w14:paraId="563C3A78" w14:textId="77777777" w:rsidTr="001515D5">
        <w:tc>
          <w:tcPr>
            <w:tcW w:w="4675" w:type="dxa"/>
          </w:tcPr>
          <w:p w14:paraId="22235335" w14:textId="77777777" w:rsidR="00980919" w:rsidRPr="00FB4D78" w:rsidRDefault="00980919" w:rsidP="001515D5">
            <w:pPr>
              <w:rPr>
                <w:color w:val="000000" w:themeColor="text1"/>
              </w:rPr>
            </w:pPr>
            <w:r w:rsidRPr="00FB4D78">
              <w:rPr>
                <w:color w:val="000000" w:themeColor="text1"/>
              </w:rPr>
              <w:t>1</w:t>
            </w:r>
          </w:p>
        </w:tc>
        <w:tc>
          <w:tcPr>
            <w:tcW w:w="4675" w:type="dxa"/>
          </w:tcPr>
          <w:p w14:paraId="403BEE92" w14:textId="77777777" w:rsidR="00980919" w:rsidRPr="00FB4D78" w:rsidRDefault="00980919" w:rsidP="001515D5">
            <w:pPr>
              <w:rPr>
                <w:color w:val="000000" w:themeColor="text1"/>
              </w:rPr>
            </w:pPr>
            <w:r w:rsidRPr="00FB4D78">
              <w:rPr>
                <w:color w:val="000000" w:themeColor="text1"/>
              </w:rPr>
              <w:t>Personal Choice</w:t>
            </w:r>
          </w:p>
        </w:tc>
      </w:tr>
      <w:tr w:rsidR="00980919" w14:paraId="072511F4" w14:textId="77777777" w:rsidTr="001515D5">
        <w:tc>
          <w:tcPr>
            <w:tcW w:w="4675" w:type="dxa"/>
          </w:tcPr>
          <w:p w14:paraId="5F9BE8DB" w14:textId="77777777" w:rsidR="00980919" w:rsidRPr="00FB4D78" w:rsidRDefault="00980919" w:rsidP="001515D5">
            <w:pPr>
              <w:rPr>
                <w:color w:val="000000" w:themeColor="text1"/>
              </w:rPr>
            </w:pPr>
            <w:r w:rsidRPr="00FB4D78">
              <w:rPr>
                <w:color w:val="000000" w:themeColor="text1"/>
              </w:rPr>
              <w:t>2</w:t>
            </w:r>
          </w:p>
        </w:tc>
        <w:tc>
          <w:tcPr>
            <w:tcW w:w="4675" w:type="dxa"/>
          </w:tcPr>
          <w:p w14:paraId="7B40FC89" w14:textId="77777777" w:rsidR="00980919" w:rsidRPr="00FB4D78" w:rsidRDefault="00980919" w:rsidP="001515D5">
            <w:pPr>
              <w:rPr>
                <w:color w:val="000000" w:themeColor="text1"/>
              </w:rPr>
            </w:pPr>
            <w:r w:rsidRPr="00FB4D78">
              <w:rPr>
                <w:color w:val="000000" w:themeColor="text1"/>
              </w:rPr>
              <w:t>Not enough Sidewalks or Bike Lanes</w:t>
            </w:r>
          </w:p>
        </w:tc>
      </w:tr>
      <w:tr w:rsidR="00980919" w14:paraId="3AAFB1FD" w14:textId="77777777" w:rsidTr="001515D5">
        <w:tc>
          <w:tcPr>
            <w:tcW w:w="4675" w:type="dxa"/>
          </w:tcPr>
          <w:p w14:paraId="342E6C9F" w14:textId="77777777" w:rsidR="00980919" w:rsidRPr="00FB4D78" w:rsidRDefault="00980919" w:rsidP="001515D5">
            <w:pPr>
              <w:rPr>
                <w:color w:val="000000" w:themeColor="text1"/>
              </w:rPr>
            </w:pPr>
            <w:r w:rsidRPr="00FB4D78">
              <w:rPr>
                <w:color w:val="000000" w:themeColor="text1"/>
              </w:rPr>
              <w:t>3</w:t>
            </w:r>
          </w:p>
        </w:tc>
        <w:tc>
          <w:tcPr>
            <w:tcW w:w="4675" w:type="dxa"/>
          </w:tcPr>
          <w:p w14:paraId="7409E554" w14:textId="77777777" w:rsidR="00980919" w:rsidRPr="00FB4D78" w:rsidRDefault="00980919" w:rsidP="001515D5">
            <w:pPr>
              <w:rPr>
                <w:color w:val="000000" w:themeColor="text1"/>
              </w:rPr>
            </w:pPr>
            <w:r w:rsidRPr="00FB4D78">
              <w:rPr>
                <w:color w:val="000000" w:themeColor="text1"/>
              </w:rPr>
              <w:t>Safety</w:t>
            </w:r>
          </w:p>
        </w:tc>
      </w:tr>
    </w:tbl>
    <w:p w14:paraId="014C1519" w14:textId="77777777" w:rsidR="00980919" w:rsidRDefault="00980919" w:rsidP="00980919">
      <w:r w:rsidRPr="00EA0CDA">
        <w:t xml:space="preserve">Source: Community Health Needs Assessment Survey, 2022. </w:t>
      </w:r>
    </w:p>
    <w:p w14:paraId="5ED21FEB" w14:textId="77777777" w:rsidR="00980919" w:rsidRDefault="00980919" w:rsidP="00980919">
      <w:r w:rsidRPr="00EA0CDA">
        <w:t>Note: Responses as of December 31, 2022.</w:t>
      </w:r>
    </w:p>
    <w:p w14:paraId="45336771" w14:textId="77777777" w:rsidR="00FF4962" w:rsidRDefault="00FF4962" w:rsidP="00FF4962"/>
    <w:p w14:paraId="4CA57ECC" w14:textId="77777777" w:rsidR="00FF4962" w:rsidRDefault="00FF4962" w:rsidP="00FF4962">
      <w:pPr>
        <w:pStyle w:val="Heading4"/>
      </w:pPr>
      <w:bookmarkStart w:id="277" w:name="_Toc162267174"/>
      <w:r w:rsidRPr="00FF4962">
        <w:lastRenderedPageBreak/>
        <w:t>Data Interpretations:</w:t>
      </w:r>
      <w:bookmarkEnd w:id="277"/>
      <w:r w:rsidRPr="00FF4962">
        <w:t xml:space="preserve"> </w:t>
      </w:r>
    </w:p>
    <w:p w14:paraId="59A985FD" w14:textId="3D46BD34" w:rsidR="00FF4962" w:rsidRDefault="00FF4962" w:rsidP="00FF4962">
      <w:r w:rsidRPr="00FF4962">
        <w:t xml:space="preserve">More than 20% of adults did not engage in any physical activity in 2021 (23.9%; </w:t>
      </w:r>
      <w:r w:rsidRPr="00FF4962">
        <w:rPr>
          <w:b/>
          <w:bCs/>
        </w:rPr>
        <w:t>Figure 6.17</w:t>
      </w:r>
      <w:r w:rsidRPr="00FF4962">
        <w:t>). The prevalence of no leisure-time physical activity in SC remained above the Healthy People 2030 target of 21.8% and higher than the national median of 23.7%. Females (25.9%) had a higher prevalence of physical inactivity than males (21.7%). Hispanic adults (32.6%) had a higher prevalence of physical inactivity than non-Hispanic Blacks (28.2%) and non-Hispanic Whites (21.5%). Those adults with less than a high school education (44.0%) w</w:t>
      </w:r>
      <w:r w:rsidR="00FB4D78">
        <w:t>ere</w:t>
      </w:r>
      <w:r w:rsidRPr="00FF4962">
        <w:t xml:space="preserve"> less physically active than those with a high school degree or more (</w:t>
      </w:r>
      <w:r w:rsidRPr="00FF4962">
        <w:rPr>
          <w:b/>
          <w:bCs/>
        </w:rPr>
        <w:t>Figure 6.18</w:t>
      </w:r>
      <w:r w:rsidRPr="00FF4962">
        <w:t>).</w:t>
      </w:r>
    </w:p>
    <w:p w14:paraId="1B37F6A1" w14:textId="77777777" w:rsidR="00FB4D78" w:rsidRPr="00FF4962" w:rsidRDefault="00FB4D78" w:rsidP="00FF4962"/>
    <w:p w14:paraId="5786163F" w14:textId="4CFD4359" w:rsidR="00FF4962" w:rsidRDefault="00FF4962" w:rsidP="00FF4962">
      <w:r w:rsidRPr="00FF4962">
        <w:t>The prevalence of adults who met physical activity guidelines for both aerobic and muscle training increased from 18.9% in 2011 to 23.1% in 2019 and had not met the Healthy People 2030 objective of 29.7% (</w:t>
      </w:r>
      <w:r w:rsidRPr="00FF4962">
        <w:rPr>
          <w:b/>
          <w:bCs/>
        </w:rPr>
        <w:t>Figure 6.19</w:t>
      </w:r>
      <w:r w:rsidRPr="00FF4962">
        <w:t>).</w:t>
      </w:r>
    </w:p>
    <w:p w14:paraId="409D1971" w14:textId="77777777" w:rsidR="00FB4D78" w:rsidRPr="00FF4962" w:rsidRDefault="00FB4D78" w:rsidP="00FF4962"/>
    <w:p w14:paraId="4624A0FE" w14:textId="77777777" w:rsidR="00FF4962" w:rsidRDefault="00FF4962" w:rsidP="00FF4962">
      <w:r w:rsidRPr="00FF4962">
        <w:t>The results from the Community Health Survey Assessment indicate that the top three reasons that prevent their community from being physically active were personal choice, not enough sidewalks or bike lanes, and safety (</w:t>
      </w:r>
      <w:r w:rsidRPr="00FF4962">
        <w:rPr>
          <w:b/>
          <w:bCs/>
        </w:rPr>
        <w:t>Figure 6.20</w:t>
      </w:r>
      <w:r w:rsidRPr="00FF4962">
        <w:t>).</w:t>
      </w:r>
    </w:p>
    <w:p w14:paraId="07B511A4" w14:textId="77777777" w:rsidR="00FF4962" w:rsidRDefault="00FF4962" w:rsidP="00FF4962"/>
    <w:p w14:paraId="4ECE268A" w14:textId="77777777" w:rsidR="00FF4962" w:rsidRDefault="00FF4962" w:rsidP="00FF4962">
      <w:pPr>
        <w:pStyle w:val="Heading5"/>
      </w:pPr>
      <w:r>
        <w:t>Key Takeaways:</w:t>
      </w:r>
    </w:p>
    <w:p w14:paraId="4AB0D82C" w14:textId="77777777" w:rsidR="00FF4962" w:rsidRDefault="00FF4962" w:rsidP="00926EB3">
      <w:pPr>
        <w:pStyle w:val="ListParagraph"/>
        <w:numPr>
          <w:ilvl w:val="0"/>
          <w:numId w:val="214"/>
        </w:numPr>
      </w:pPr>
      <w:r w:rsidRPr="00FF4962">
        <w:t>All South Carolinians, regardless of where they live or how much money they make, should have the same opportunities to engage in a physically active, healthy life.</w:t>
      </w:r>
    </w:p>
    <w:p w14:paraId="1FCBF28C" w14:textId="77777777" w:rsidR="00FF4962" w:rsidRDefault="00FF4962" w:rsidP="00FF4962"/>
    <w:p w14:paraId="74526A8F" w14:textId="33EDBDC5" w:rsidR="00F73294" w:rsidRDefault="00F73294" w:rsidP="00FF4962">
      <w:r>
        <w:t xml:space="preserve">Besides those </w:t>
      </w:r>
      <w:r w:rsidR="00CF1BB1">
        <w:t>notated as sources</w:t>
      </w:r>
      <w:r>
        <w:t xml:space="preserve"> </w:t>
      </w:r>
      <w:r w:rsidR="00CF1BB1">
        <w:t>for</w:t>
      </w:r>
      <w:r>
        <w:t xml:space="preserve"> Figures 6.17 through 6.20, no other sources were referenced for the Physical Activity section. </w:t>
      </w:r>
    </w:p>
    <w:p w14:paraId="577ED9DC" w14:textId="77777777" w:rsidR="00FB4D78" w:rsidRDefault="00FB4D78" w:rsidP="00FF4962"/>
    <w:p w14:paraId="7A58A8CB" w14:textId="77777777" w:rsidR="00FF4962" w:rsidRPr="00FF4962" w:rsidRDefault="00FF4962" w:rsidP="00FF4962">
      <w:pPr>
        <w:pStyle w:val="Heading3"/>
      </w:pPr>
      <w:bookmarkStart w:id="278" w:name="_Toc162267175"/>
      <w:r w:rsidRPr="00FF4962">
        <w:t>Air Emissions</w:t>
      </w:r>
      <w:bookmarkEnd w:id="278"/>
    </w:p>
    <w:p w14:paraId="2DB360D7" w14:textId="14DDF0B9" w:rsidR="00FF4962" w:rsidRPr="00FF4962" w:rsidRDefault="00FF4962" w:rsidP="00FF4962">
      <w:r w:rsidRPr="00FF4962">
        <w:t>The passing of the Clean Air Act (CAA) of 1970 marked a major shift in efforts to reduce air pollution. The CAA required that criteria or standards be set for the ambient concentrations of the six air pollutants that were recognized to have the greatest impact on the health of Americans.</w:t>
      </w:r>
      <w:r>
        <w:rPr>
          <w:b/>
          <w:bCs/>
        </w:rPr>
        <w:t xml:space="preserve"> </w:t>
      </w:r>
      <w:r w:rsidRPr="00FF4962">
        <w:t xml:space="preserve">Those pollutants were contributors to a wide range of respiratory and cardiovascular diseases. Primary standards were set for each of the pollutants to protect the most sensitive individuals, and those standards are regularly reevaluated based on the latest science. </w:t>
      </w:r>
    </w:p>
    <w:p w14:paraId="1A2FFFD6" w14:textId="77777777" w:rsidR="00FF4962" w:rsidRDefault="00FF4962" w:rsidP="00FF4962"/>
    <w:p w14:paraId="5596DE9D" w14:textId="3889D152" w:rsidR="00FF4962" w:rsidRPr="00FF4962" w:rsidRDefault="00FF4962" w:rsidP="00FF4962">
      <w:r w:rsidRPr="00FF4962">
        <w:t xml:space="preserve">Two measures of air quality improvement are pollutant concentrations in ambient air across the state and the </w:t>
      </w:r>
      <w:proofErr w:type="gramStart"/>
      <w:r w:rsidRPr="00FF4962">
        <w:t>amount</w:t>
      </w:r>
      <w:proofErr w:type="gramEnd"/>
      <w:r w:rsidRPr="00FF4962">
        <w:t xml:space="preserve"> of emissions that contribute to those </w:t>
      </w:r>
      <w:r w:rsidRPr="00FF4962">
        <w:lastRenderedPageBreak/>
        <w:t xml:space="preserve">concentrations. Data collected by the statewide ambient air monitoring network has shown that the air quality in SC has, for many years, met all protective standards everywhere measured. Air Quality measurements continue to document improvement. </w:t>
      </w:r>
    </w:p>
    <w:p w14:paraId="0735DDC7" w14:textId="77777777" w:rsidR="00FF4962" w:rsidRDefault="00FF4962" w:rsidP="00FF4962"/>
    <w:p w14:paraId="110B3DD8" w14:textId="3878B094" w:rsidR="00FF4962" w:rsidRPr="00FF4962" w:rsidRDefault="00FF4962" w:rsidP="00FF4962">
      <w:r w:rsidRPr="00FF4962">
        <w:t xml:space="preserve">An inventory of emissions from the sources of the pollutants, indicates that even as the population grows and industry expands, the impact on air quality is being reduced by cleaner cars, more efficient </w:t>
      </w:r>
      <w:proofErr w:type="gramStart"/>
      <w:r w:rsidRPr="00FF4962">
        <w:t>processes</w:t>
      </w:r>
      <w:proofErr w:type="gramEnd"/>
      <w:r w:rsidRPr="00FF4962">
        <w:t xml:space="preserve"> and better pollution control technology.</w:t>
      </w:r>
      <w:r w:rsidRPr="00FF4962">
        <w:rPr>
          <w:b/>
          <w:bCs/>
        </w:rPr>
        <w:t xml:space="preserve"> </w:t>
      </w:r>
      <w:r w:rsidRPr="00FF4962">
        <w:t>Although ambient pollutant concentrations in SC are lower than the National Ambient Air Quality Standards (NAAQS), reducing potential for impact to health, there are variations in exposure. Air tends to be cleaner on the coast than in the upstate</w:t>
      </w:r>
      <w:r w:rsidR="00FB4D78">
        <w:t>,</w:t>
      </w:r>
      <w:r w:rsidRPr="00FF4962">
        <w:t xml:space="preserve"> and urban areas tend to have higher concentrations of pollutants than rural areas. This is likely due to higher concentrations of mobile sources (cars and trucks) and busier roads.</w:t>
      </w:r>
      <w:r w:rsidRPr="00FF4962">
        <w:rPr>
          <w:b/>
          <w:bCs/>
        </w:rPr>
        <w:t xml:space="preserve"> </w:t>
      </w:r>
      <w:r w:rsidRPr="00FF4962">
        <w:t>Communities near heavily traveled roadways are often closest to this significant source and most at risk for negative health effects associated with potential exposures.</w:t>
      </w:r>
    </w:p>
    <w:p w14:paraId="3313DDA8" w14:textId="77777777" w:rsidR="00FF4962" w:rsidRDefault="00FF4962" w:rsidP="00FF4962"/>
    <w:p w14:paraId="6BC93662" w14:textId="77777777" w:rsidR="00980919" w:rsidRDefault="00980919" w:rsidP="00980919">
      <w:pPr>
        <w:pStyle w:val="Heading4"/>
      </w:pPr>
      <w:bookmarkStart w:id="279" w:name="_Toc154569829"/>
      <w:bookmarkStart w:id="280" w:name="_Toc162267176"/>
      <w:r>
        <w:t>Figure 6.21: Criteria Pollutant Air Emissions, in tons.</w:t>
      </w:r>
      <w:bookmarkEnd w:id="279"/>
      <w:bookmarkEnd w:id="280"/>
    </w:p>
    <w:tbl>
      <w:tblPr>
        <w:tblStyle w:val="TableGrid"/>
        <w:tblW w:w="0" w:type="auto"/>
        <w:tblLook w:val="04A0" w:firstRow="1" w:lastRow="0" w:firstColumn="1" w:lastColumn="0" w:noHBand="0" w:noVBand="1"/>
      </w:tblPr>
      <w:tblGrid>
        <w:gridCol w:w="1555"/>
        <w:gridCol w:w="1565"/>
        <w:gridCol w:w="1557"/>
        <w:gridCol w:w="1557"/>
        <w:gridCol w:w="1558"/>
        <w:gridCol w:w="1558"/>
      </w:tblGrid>
      <w:tr w:rsidR="00980919" w14:paraId="062A12E0" w14:textId="77777777" w:rsidTr="001515D5">
        <w:tc>
          <w:tcPr>
            <w:tcW w:w="1558" w:type="dxa"/>
            <w:vAlign w:val="bottom"/>
          </w:tcPr>
          <w:p w14:paraId="21383741" w14:textId="77777777" w:rsidR="00980919" w:rsidRDefault="00980919" w:rsidP="001515D5">
            <w:r>
              <w:t>Year</w:t>
            </w:r>
          </w:p>
        </w:tc>
        <w:tc>
          <w:tcPr>
            <w:tcW w:w="1558" w:type="dxa"/>
            <w:vAlign w:val="bottom"/>
          </w:tcPr>
          <w:p w14:paraId="04AC7070" w14:textId="77777777" w:rsidR="00980919" w:rsidRDefault="00980919" w:rsidP="001515D5">
            <w:r>
              <w:t>Carbon Monoxide</w:t>
            </w:r>
          </w:p>
        </w:tc>
        <w:tc>
          <w:tcPr>
            <w:tcW w:w="1558" w:type="dxa"/>
            <w:vAlign w:val="bottom"/>
          </w:tcPr>
          <w:p w14:paraId="66623886" w14:textId="77777777" w:rsidR="00980919" w:rsidRDefault="00980919" w:rsidP="001515D5">
            <w:r>
              <w:t>Nitrogen Oxides</w:t>
            </w:r>
          </w:p>
        </w:tc>
        <w:tc>
          <w:tcPr>
            <w:tcW w:w="1558" w:type="dxa"/>
            <w:vAlign w:val="bottom"/>
          </w:tcPr>
          <w:p w14:paraId="611F6397" w14:textId="77777777" w:rsidR="00980919" w:rsidRDefault="00980919" w:rsidP="001515D5">
            <w:r>
              <w:t>Coarse Particulate</w:t>
            </w:r>
          </w:p>
        </w:tc>
        <w:tc>
          <w:tcPr>
            <w:tcW w:w="1559" w:type="dxa"/>
            <w:vAlign w:val="bottom"/>
          </w:tcPr>
          <w:p w14:paraId="0C3C7BD0" w14:textId="77777777" w:rsidR="00980919" w:rsidRDefault="00980919" w:rsidP="001515D5">
            <w:r>
              <w:t>Fine Particulate</w:t>
            </w:r>
          </w:p>
        </w:tc>
        <w:tc>
          <w:tcPr>
            <w:tcW w:w="1559" w:type="dxa"/>
            <w:vAlign w:val="bottom"/>
          </w:tcPr>
          <w:p w14:paraId="076699E1" w14:textId="77777777" w:rsidR="00980919" w:rsidRDefault="00980919" w:rsidP="001515D5">
            <w:r>
              <w:t>Sulfur Dioxide</w:t>
            </w:r>
          </w:p>
        </w:tc>
      </w:tr>
      <w:tr w:rsidR="00980919" w14:paraId="3E325CC5" w14:textId="77777777" w:rsidTr="001515D5">
        <w:tc>
          <w:tcPr>
            <w:tcW w:w="1558" w:type="dxa"/>
            <w:vAlign w:val="bottom"/>
          </w:tcPr>
          <w:p w14:paraId="1722CF74" w14:textId="77777777" w:rsidR="00980919" w:rsidRDefault="00980919" w:rsidP="001515D5">
            <w:r>
              <w:t>2008 NEI</w:t>
            </w:r>
          </w:p>
        </w:tc>
        <w:tc>
          <w:tcPr>
            <w:tcW w:w="1558" w:type="dxa"/>
            <w:vAlign w:val="bottom"/>
          </w:tcPr>
          <w:p w14:paraId="2D7D51D6" w14:textId="77777777" w:rsidR="00980919" w:rsidRDefault="00980919" w:rsidP="001515D5">
            <w:r>
              <w:t>1390518.09</w:t>
            </w:r>
          </w:p>
        </w:tc>
        <w:tc>
          <w:tcPr>
            <w:tcW w:w="1558" w:type="dxa"/>
            <w:vAlign w:val="bottom"/>
          </w:tcPr>
          <w:p w14:paraId="3BB9372A" w14:textId="77777777" w:rsidR="00980919" w:rsidRDefault="00980919" w:rsidP="001515D5">
            <w:r>
              <w:t>252068.52</w:t>
            </w:r>
          </w:p>
        </w:tc>
        <w:tc>
          <w:tcPr>
            <w:tcW w:w="1558" w:type="dxa"/>
            <w:vAlign w:val="bottom"/>
          </w:tcPr>
          <w:p w14:paraId="4B86177B" w14:textId="77777777" w:rsidR="00980919" w:rsidRDefault="00980919" w:rsidP="001515D5">
            <w:r>
              <w:t>276993.23</w:t>
            </w:r>
          </w:p>
        </w:tc>
        <w:tc>
          <w:tcPr>
            <w:tcW w:w="1559" w:type="dxa"/>
            <w:vAlign w:val="bottom"/>
          </w:tcPr>
          <w:p w14:paraId="723F9FA0" w14:textId="77777777" w:rsidR="00980919" w:rsidRDefault="00980919" w:rsidP="001515D5">
            <w:r>
              <w:t>81942.72</w:t>
            </w:r>
          </w:p>
        </w:tc>
        <w:tc>
          <w:tcPr>
            <w:tcW w:w="1559" w:type="dxa"/>
            <w:vAlign w:val="bottom"/>
          </w:tcPr>
          <w:p w14:paraId="0DDBA414" w14:textId="77777777" w:rsidR="00980919" w:rsidRDefault="00980919" w:rsidP="001515D5">
            <w:r>
              <w:t>197136.64</w:t>
            </w:r>
          </w:p>
        </w:tc>
      </w:tr>
      <w:tr w:rsidR="00980919" w14:paraId="78E53462" w14:textId="77777777" w:rsidTr="001515D5">
        <w:tc>
          <w:tcPr>
            <w:tcW w:w="1558" w:type="dxa"/>
            <w:vAlign w:val="bottom"/>
          </w:tcPr>
          <w:p w14:paraId="2D1DD2AD" w14:textId="77777777" w:rsidR="00980919" w:rsidRDefault="00980919" w:rsidP="001515D5">
            <w:r>
              <w:t>2011 NEI</w:t>
            </w:r>
          </w:p>
        </w:tc>
        <w:tc>
          <w:tcPr>
            <w:tcW w:w="1558" w:type="dxa"/>
            <w:vAlign w:val="bottom"/>
          </w:tcPr>
          <w:p w14:paraId="6C27F9E8" w14:textId="77777777" w:rsidR="00980919" w:rsidRDefault="00980919" w:rsidP="001515D5">
            <w:r>
              <w:t>1208822.27</w:t>
            </w:r>
          </w:p>
        </w:tc>
        <w:tc>
          <w:tcPr>
            <w:tcW w:w="1558" w:type="dxa"/>
            <w:vAlign w:val="bottom"/>
          </w:tcPr>
          <w:p w14:paraId="54AB28EC" w14:textId="77777777" w:rsidR="00980919" w:rsidRDefault="00980919" w:rsidP="001515D5">
            <w:r>
              <w:t>220419.94</w:t>
            </w:r>
          </w:p>
        </w:tc>
        <w:tc>
          <w:tcPr>
            <w:tcW w:w="1558" w:type="dxa"/>
            <w:vAlign w:val="bottom"/>
          </w:tcPr>
          <w:p w14:paraId="454DD84D" w14:textId="77777777" w:rsidR="00980919" w:rsidRDefault="00980919" w:rsidP="001515D5">
            <w:r>
              <w:t>265429.75</w:t>
            </w:r>
          </w:p>
        </w:tc>
        <w:tc>
          <w:tcPr>
            <w:tcW w:w="1559" w:type="dxa"/>
            <w:vAlign w:val="bottom"/>
          </w:tcPr>
          <w:p w14:paraId="566FD165" w14:textId="77777777" w:rsidR="00980919" w:rsidRDefault="00980919" w:rsidP="001515D5">
            <w:r>
              <w:t>80578.77</w:t>
            </w:r>
          </w:p>
        </w:tc>
        <w:tc>
          <w:tcPr>
            <w:tcW w:w="1559" w:type="dxa"/>
            <w:vAlign w:val="bottom"/>
          </w:tcPr>
          <w:p w14:paraId="1AC0FE37" w14:textId="77777777" w:rsidR="00980919" w:rsidRDefault="00980919" w:rsidP="001515D5">
            <w:r>
              <w:t>103244.41</w:t>
            </w:r>
          </w:p>
        </w:tc>
      </w:tr>
      <w:tr w:rsidR="00980919" w14:paraId="2984CFF4" w14:textId="77777777" w:rsidTr="001515D5">
        <w:tc>
          <w:tcPr>
            <w:tcW w:w="1558" w:type="dxa"/>
            <w:vAlign w:val="bottom"/>
          </w:tcPr>
          <w:p w14:paraId="0C177A7B" w14:textId="77777777" w:rsidR="00980919" w:rsidRDefault="00980919" w:rsidP="001515D5">
            <w:r>
              <w:t>2014 NEI</w:t>
            </w:r>
          </w:p>
        </w:tc>
        <w:tc>
          <w:tcPr>
            <w:tcW w:w="1558" w:type="dxa"/>
            <w:vAlign w:val="bottom"/>
          </w:tcPr>
          <w:p w14:paraId="7BC2834B" w14:textId="77777777" w:rsidR="00980919" w:rsidRDefault="00980919" w:rsidP="001515D5">
            <w:r>
              <w:t>1178519.85</w:t>
            </w:r>
          </w:p>
        </w:tc>
        <w:tc>
          <w:tcPr>
            <w:tcW w:w="1558" w:type="dxa"/>
            <w:vAlign w:val="bottom"/>
          </w:tcPr>
          <w:p w14:paraId="7033C071" w14:textId="77777777" w:rsidR="00980919" w:rsidRDefault="00980919" w:rsidP="001515D5">
            <w:r>
              <w:t>188670.56</w:t>
            </w:r>
          </w:p>
        </w:tc>
        <w:tc>
          <w:tcPr>
            <w:tcW w:w="1558" w:type="dxa"/>
            <w:vAlign w:val="bottom"/>
          </w:tcPr>
          <w:p w14:paraId="0C6A93FC" w14:textId="77777777" w:rsidR="00980919" w:rsidRDefault="00980919" w:rsidP="001515D5">
            <w:r>
              <w:t>187661.1</w:t>
            </w:r>
          </w:p>
        </w:tc>
        <w:tc>
          <w:tcPr>
            <w:tcW w:w="1559" w:type="dxa"/>
            <w:vAlign w:val="bottom"/>
          </w:tcPr>
          <w:p w14:paraId="6FBBD16F" w14:textId="77777777" w:rsidR="00980919" w:rsidRDefault="00980919" w:rsidP="001515D5">
            <w:r>
              <w:t>70648.7</w:t>
            </w:r>
          </w:p>
        </w:tc>
        <w:tc>
          <w:tcPr>
            <w:tcW w:w="1559" w:type="dxa"/>
            <w:vAlign w:val="bottom"/>
          </w:tcPr>
          <w:p w14:paraId="135E7395" w14:textId="77777777" w:rsidR="00980919" w:rsidRDefault="00980919" w:rsidP="001515D5">
            <w:r>
              <w:t>52781.06</w:t>
            </w:r>
          </w:p>
        </w:tc>
      </w:tr>
      <w:tr w:rsidR="00980919" w14:paraId="25311DBD" w14:textId="77777777" w:rsidTr="001515D5">
        <w:tc>
          <w:tcPr>
            <w:tcW w:w="1558" w:type="dxa"/>
            <w:vAlign w:val="bottom"/>
          </w:tcPr>
          <w:p w14:paraId="672A9FA7" w14:textId="77777777" w:rsidR="00980919" w:rsidRDefault="00980919" w:rsidP="001515D5">
            <w:r>
              <w:t>2017 NEI</w:t>
            </w:r>
          </w:p>
        </w:tc>
        <w:tc>
          <w:tcPr>
            <w:tcW w:w="1558" w:type="dxa"/>
            <w:vAlign w:val="bottom"/>
          </w:tcPr>
          <w:p w14:paraId="693BA59A" w14:textId="77777777" w:rsidR="00980919" w:rsidRDefault="00980919" w:rsidP="001515D5">
            <w:r>
              <w:t>1134307.53</w:t>
            </w:r>
          </w:p>
        </w:tc>
        <w:tc>
          <w:tcPr>
            <w:tcW w:w="1558" w:type="dxa"/>
            <w:vAlign w:val="bottom"/>
          </w:tcPr>
          <w:p w14:paraId="304D0047" w14:textId="77777777" w:rsidR="00980919" w:rsidRDefault="00980919" w:rsidP="001515D5">
            <w:r>
              <w:t>166029.23</w:t>
            </w:r>
          </w:p>
        </w:tc>
        <w:tc>
          <w:tcPr>
            <w:tcW w:w="1558" w:type="dxa"/>
            <w:vAlign w:val="bottom"/>
          </w:tcPr>
          <w:p w14:paraId="15107CE3" w14:textId="77777777" w:rsidR="00980919" w:rsidRDefault="00980919" w:rsidP="001515D5">
            <w:r>
              <w:t>164811.51</w:t>
            </w:r>
          </w:p>
        </w:tc>
        <w:tc>
          <w:tcPr>
            <w:tcW w:w="1559" w:type="dxa"/>
            <w:vAlign w:val="bottom"/>
          </w:tcPr>
          <w:p w14:paraId="3493C2D1" w14:textId="77777777" w:rsidR="00980919" w:rsidRDefault="00980919" w:rsidP="001515D5">
            <w:r>
              <w:t>68565.54</w:t>
            </w:r>
          </w:p>
        </w:tc>
        <w:tc>
          <w:tcPr>
            <w:tcW w:w="1559" w:type="dxa"/>
            <w:vAlign w:val="bottom"/>
          </w:tcPr>
          <w:p w14:paraId="23A5A82A" w14:textId="77777777" w:rsidR="00980919" w:rsidRDefault="00980919" w:rsidP="001515D5">
            <w:r>
              <w:t>23439.51</w:t>
            </w:r>
          </w:p>
        </w:tc>
      </w:tr>
    </w:tbl>
    <w:p w14:paraId="684EA443" w14:textId="77777777" w:rsidR="00980919" w:rsidRPr="00EA0CDA" w:rsidRDefault="00980919" w:rsidP="00980919">
      <w:r w:rsidRPr="00EA0CDA">
        <w:t>Source: US EPA National Emissions Inventory.</w:t>
      </w:r>
    </w:p>
    <w:p w14:paraId="36157D7D" w14:textId="77777777" w:rsidR="00FF4962" w:rsidRDefault="00FF4962" w:rsidP="00FF4962"/>
    <w:p w14:paraId="1474ADEE" w14:textId="77777777" w:rsidR="00FF4962" w:rsidRDefault="00FF4962" w:rsidP="00FF4962">
      <w:pPr>
        <w:rPr>
          <w:b/>
          <w:bCs/>
        </w:rPr>
      </w:pPr>
      <w:bookmarkStart w:id="281" w:name="_Toc162267177"/>
      <w:r w:rsidRPr="00FF4962">
        <w:rPr>
          <w:rStyle w:val="Heading4Char"/>
        </w:rPr>
        <w:t>Data Interpretations:</w:t>
      </w:r>
      <w:bookmarkEnd w:id="281"/>
      <w:r w:rsidRPr="00FF4962">
        <w:rPr>
          <w:b/>
          <w:bCs/>
        </w:rPr>
        <w:t xml:space="preserve"> </w:t>
      </w:r>
    </w:p>
    <w:p w14:paraId="10C76C00" w14:textId="658E0578" w:rsidR="00FF4962" w:rsidRPr="00FF4962" w:rsidRDefault="00FF4962" w:rsidP="00FF4962">
      <w:r w:rsidRPr="00FF4962">
        <w:t>The DHEC Air Program collects emissions data from facilities and provides information used to calculate the mobile source emissions that make up SC’s contribution to the National Emissions Inventory (NEI). The US Environmental Protection Agency (EPA) publishes the comprehensive NEI every three years. The figure illustrates the decreasing emissions in four of the six criteria pollutants in SC over the past decade (</w:t>
      </w:r>
      <w:r w:rsidRPr="00FF4962">
        <w:rPr>
          <w:b/>
          <w:bCs/>
        </w:rPr>
        <w:t>Figure 6.21</w:t>
      </w:r>
      <w:r w:rsidRPr="00FF4962">
        <w:t xml:space="preserve">). Particulate emissions are split into greater and less than 2.5 microns in size to clarify the contribution of the fine particles that are most impactful to health outcomes. All illustrated pollutants are related to combustion of fuels. Carbon monoxide was the most detected pollutant while sulfur dioxide was the least detected. </w:t>
      </w:r>
    </w:p>
    <w:p w14:paraId="6F9D8A17" w14:textId="77777777" w:rsidR="00FF4962" w:rsidRDefault="00FF4962" w:rsidP="00FF4962"/>
    <w:p w14:paraId="4D86E79C" w14:textId="5B413510" w:rsidR="00FF4962" w:rsidRDefault="00FF4962" w:rsidP="00FF4962">
      <w:r w:rsidRPr="00FF4962">
        <w:t xml:space="preserve">The two criteria pollutants not illustrated are lead and ozone. </w:t>
      </w:r>
    </w:p>
    <w:p w14:paraId="46BAF938" w14:textId="77777777" w:rsidR="00FF4962" w:rsidRPr="00FF4962" w:rsidRDefault="00FF4962" w:rsidP="00FF4962"/>
    <w:p w14:paraId="4B701A92" w14:textId="77777777" w:rsidR="00FF4962" w:rsidRDefault="00FF4962" w:rsidP="00FF4962">
      <w:r w:rsidRPr="00FF4962">
        <w:t xml:space="preserve">Lead emissions decreased dramatically in the 1970s when it was removed from gasoline, and current totals would not be visible on the scale necessary for the combustion-related emissions. Today, greater than 80% of the lead emissions in SC are attributed to aircrafts. Aviation gasoline used in piston engine aircraft remains the only transportation fuel that contains lead. </w:t>
      </w:r>
    </w:p>
    <w:p w14:paraId="2CEBE677" w14:textId="77777777" w:rsidR="00FF4962" w:rsidRPr="00FF4962" w:rsidRDefault="00FF4962" w:rsidP="00FF4962"/>
    <w:p w14:paraId="4903DA61" w14:textId="6832A2A7" w:rsidR="00FF4962" w:rsidRDefault="00FF4962" w:rsidP="00FF4962">
      <w:r w:rsidRPr="00FF4962">
        <w:t>The last criteria pollutant, ground</w:t>
      </w:r>
      <w:r w:rsidR="00FB4D78">
        <w:t>-</w:t>
      </w:r>
      <w:r w:rsidRPr="00FF4962">
        <w:t xml:space="preserve">level ozone, is not emitted by facilities or cars, but is created in the atmosphere by chemical reactions driven by sunlight and the presence of nitrogen oxides and volatile compounds. Reducing the emissions of volatile compounds and nitrogen oxides from cleaner mobile sources </w:t>
      </w:r>
      <w:r>
        <w:t>a</w:t>
      </w:r>
      <w:r w:rsidRPr="00FF4962">
        <w:t>nd from facilities helps us continue to meet the ambient standards for ozone.</w:t>
      </w:r>
    </w:p>
    <w:p w14:paraId="0EB87190" w14:textId="77777777" w:rsidR="00FF4962" w:rsidRDefault="00FF4962" w:rsidP="00FF4962"/>
    <w:p w14:paraId="77CC3056" w14:textId="096A6AC8" w:rsidR="00FF4962" w:rsidRDefault="00FF4962" w:rsidP="00FF4962">
      <w:pPr>
        <w:pStyle w:val="Heading5"/>
      </w:pPr>
      <w:r>
        <w:t>Key Takeaways:</w:t>
      </w:r>
    </w:p>
    <w:p w14:paraId="32ECE996" w14:textId="77777777" w:rsidR="00EA168E" w:rsidRDefault="00FF4962" w:rsidP="00926EB3">
      <w:pPr>
        <w:pStyle w:val="ListParagraph"/>
        <w:numPr>
          <w:ilvl w:val="0"/>
          <w:numId w:val="214"/>
        </w:numPr>
      </w:pPr>
      <w:r w:rsidRPr="00FF4962">
        <w:t xml:space="preserve">Our air in SC is clean and the concentrations of the most significant pollutants are well below the standards that are set to protect the health of our most vulnerable citizens. </w:t>
      </w:r>
    </w:p>
    <w:p w14:paraId="57F85665" w14:textId="1EC97DD4" w:rsidR="00FF4962" w:rsidRPr="00FF4962" w:rsidRDefault="00FF4962" w:rsidP="00926EB3">
      <w:pPr>
        <w:pStyle w:val="ListParagraph"/>
        <w:numPr>
          <w:ilvl w:val="0"/>
          <w:numId w:val="214"/>
        </w:numPr>
      </w:pPr>
      <w:r w:rsidRPr="00FF4962">
        <w:t xml:space="preserve">Air quality is improving, and we are reducing the potential impacts of air pollution on the health of communities and individuals by reducing what is emitted into our atmosphere. </w:t>
      </w:r>
    </w:p>
    <w:p w14:paraId="17FEC8B1" w14:textId="77777777" w:rsidR="00FF4962" w:rsidRDefault="00FF4962" w:rsidP="00FF4962"/>
    <w:p w14:paraId="1C2B4994" w14:textId="5B2980A1" w:rsidR="00722CE9" w:rsidRPr="00EA168E" w:rsidRDefault="00722CE9" w:rsidP="00FF4962">
      <w:pPr>
        <w:rPr>
          <w:rFonts w:cstheme="minorHAnsi"/>
        </w:rPr>
      </w:pPr>
      <w:bookmarkStart w:id="282" w:name="_Toc162267178"/>
      <w:r w:rsidRPr="00EA168E">
        <w:rPr>
          <w:rStyle w:val="Heading4Char"/>
          <w:rFonts w:asciiTheme="minorHAnsi" w:hAnsiTheme="minorHAnsi" w:cstheme="minorHAnsi"/>
          <w:color w:val="000000" w:themeColor="text1"/>
        </w:rPr>
        <w:t xml:space="preserve">References </w:t>
      </w:r>
      <w:r w:rsidR="00FF4962" w:rsidRPr="00EA168E">
        <w:rPr>
          <w:rStyle w:val="Heading4Char"/>
          <w:rFonts w:asciiTheme="minorHAnsi" w:hAnsiTheme="minorHAnsi" w:cstheme="minorHAnsi"/>
          <w:color w:val="000000" w:themeColor="text1"/>
        </w:rPr>
        <w:t>6.7</w:t>
      </w:r>
      <w:bookmarkEnd w:id="282"/>
      <w:r w:rsidR="00FF4962" w:rsidRPr="00EA168E">
        <w:rPr>
          <w:rFonts w:cstheme="minorHAnsi"/>
          <w:i/>
          <w:iCs/>
          <w:color w:val="000000" w:themeColor="text1"/>
        </w:rPr>
        <w:t xml:space="preserve"> </w:t>
      </w:r>
    </w:p>
    <w:p w14:paraId="43B27A8C" w14:textId="77777777" w:rsidR="00FF4962" w:rsidRDefault="00FF4962" w:rsidP="00FF4962">
      <w:r w:rsidRPr="00722CE9">
        <w:t>Statistics in the preceding</w:t>
      </w:r>
      <w:r>
        <w:t xml:space="preserve"> section</w:t>
      </w:r>
      <w:r w:rsidRPr="00722CE9">
        <w:t xml:space="preserve"> were referenced from the following reports:</w:t>
      </w:r>
    </w:p>
    <w:p w14:paraId="608A599B" w14:textId="2E2E272A" w:rsidR="00F73294" w:rsidRDefault="00000000" w:rsidP="00926EB3">
      <w:pPr>
        <w:pStyle w:val="ListParagraph"/>
        <w:numPr>
          <w:ilvl w:val="0"/>
          <w:numId w:val="27"/>
        </w:numPr>
      </w:pPr>
      <w:hyperlink r:id="rId145" w:history="1">
        <w:r w:rsidR="00F73294" w:rsidRPr="00F73294">
          <w:rPr>
            <w:rStyle w:val="Hyperlink"/>
          </w:rPr>
          <w:t>“Clean Air Act: A Summary of the Act and Its Major Requirements,” 2022.</w:t>
        </w:r>
      </w:hyperlink>
      <w:r w:rsidR="00F73294" w:rsidRPr="00F73294">
        <w:t xml:space="preserve"> </w:t>
      </w:r>
    </w:p>
    <w:p w14:paraId="57777F1D" w14:textId="4EC3E935" w:rsidR="00F73294" w:rsidRPr="00F73294" w:rsidRDefault="00000000" w:rsidP="00926EB3">
      <w:pPr>
        <w:pStyle w:val="ListParagraph"/>
        <w:numPr>
          <w:ilvl w:val="0"/>
          <w:numId w:val="27"/>
        </w:numPr>
      </w:pPr>
      <w:hyperlink r:id="rId146" w:history="1">
        <w:r w:rsidR="00F73294" w:rsidRPr="00F73294">
          <w:rPr>
            <w:rStyle w:val="Hyperlink"/>
          </w:rPr>
          <w:t>“Clean Air Act (CAA)” published by the Legal Information Institute.</w:t>
        </w:r>
      </w:hyperlink>
      <w:r w:rsidR="00F73294" w:rsidRPr="00F73294">
        <w:t xml:space="preserve"> </w:t>
      </w:r>
    </w:p>
    <w:p w14:paraId="1E546A35" w14:textId="509A4BD0" w:rsidR="00F73294" w:rsidRPr="00F73294" w:rsidRDefault="00000000" w:rsidP="00926EB3">
      <w:pPr>
        <w:pStyle w:val="ListParagraph"/>
        <w:numPr>
          <w:ilvl w:val="0"/>
          <w:numId w:val="27"/>
        </w:numPr>
      </w:pPr>
      <w:hyperlink r:id="rId147" w:history="1">
        <w:r w:rsidR="00F73294" w:rsidRPr="00F73294">
          <w:rPr>
            <w:rStyle w:val="Hyperlink"/>
          </w:rPr>
          <w:t xml:space="preserve">“The impact of the Clean Air Act” by Ross, K., </w:t>
        </w:r>
        <w:proofErr w:type="spellStart"/>
        <w:r w:rsidR="00F73294" w:rsidRPr="00F73294">
          <w:rPr>
            <w:rStyle w:val="Hyperlink"/>
          </w:rPr>
          <w:t>Chmiel</w:t>
        </w:r>
        <w:proofErr w:type="spellEnd"/>
        <w:r w:rsidR="00F73294" w:rsidRPr="00F73294">
          <w:rPr>
            <w:rStyle w:val="Hyperlink"/>
          </w:rPr>
          <w:t xml:space="preserve">, J. F., &amp; </w:t>
        </w:r>
        <w:proofErr w:type="spellStart"/>
        <w:r w:rsidR="00F73294" w:rsidRPr="00F73294">
          <w:rPr>
            <w:rStyle w:val="Hyperlink"/>
          </w:rPr>
          <w:t>Ferkol</w:t>
        </w:r>
        <w:proofErr w:type="spellEnd"/>
        <w:r w:rsidR="00F73294" w:rsidRPr="00F73294">
          <w:rPr>
            <w:rStyle w:val="Hyperlink"/>
          </w:rPr>
          <w:t>, T. Published in The Journal of pediatrics, 2012.</w:t>
        </w:r>
      </w:hyperlink>
      <w:r w:rsidR="00F73294" w:rsidRPr="00F73294">
        <w:t xml:space="preserve"> </w:t>
      </w:r>
    </w:p>
    <w:p w14:paraId="277B3199" w14:textId="78549D13" w:rsidR="00F73294" w:rsidRPr="00F73294" w:rsidRDefault="00000000" w:rsidP="00926EB3">
      <w:pPr>
        <w:pStyle w:val="ListParagraph"/>
        <w:numPr>
          <w:ilvl w:val="0"/>
          <w:numId w:val="27"/>
        </w:numPr>
      </w:pPr>
      <w:hyperlink r:id="rId148" w:history="1">
        <w:r w:rsidR="00F73294" w:rsidRPr="00F73294">
          <w:rPr>
            <w:rStyle w:val="Hyperlink"/>
          </w:rPr>
          <w:t>“Ambient Air Monitoring Network” by SCDHEC, via scdhec.gov.</w:t>
        </w:r>
      </w:hyperlink>
      <w:r w:rsidR="00F73294" w:rsidRPr="00F73294">
        <w:t xml:space="preserve"> </w:t>
      </w:r>
    </w:p>
    <w:p w14:paraId="3C2A72DB" w14:textId="3F665DAA" w:rsidR="00F73294" w:rsidRPr="00F73294" w:rsidRDefault="00000000" w:rsidP="00926EB3">
      <w:pPr>
        <w:pStyle w:val="ListParagraph"/>
        <w:numPr>
          <w:ilvl w:val="0"/>
          <w:numId w:val="27"/>
        </w:numPr>
      </w:pPr>
      <w:hyperlink r:id="rId149" w:history="1">
        <w:r w:rsidR="00F73294" w:rsidRPr="00F73294">
          <w:rPr>
            <w:rStyle w:val="Hyperlink"/>
          </w:rPr>
          <w:t>“Air Pollution Overview” by SCDHEC, via scdhec.gov.</w:t>
        </w:r>
      </w:hyperlink>
      <w:r w:rsidR="00F73294" w:rsidRPr="00F73294">
        <w:t xml:space="preserve"> </w:t>
      </w:r>
    </w:p>
    <w:p w14:paraId="0DCF93CD" w14:textId="28184414" w:rsidR="00F73294" w:rsidRPr="00F73294" w:rsidRDefault="00000000" w:rsidP="00926EB3">
      <w:pPr>
        <w:pStyle w:val="ListParagraph"/>
        <w:numPr>
          <w:ilvl w:val="0"/>
          <w:numId w:val="27"/>
        </w:numPr>
      </w:pPr>
      <w:hyperlink r:id="rId150" w:history="1">
        <w:r w:rsidR="00F73294" w:rsidRPr="00F73294">
          <w:rPr>
            <w:rStyle w:val="Hyperlink"/>
          </w:rPr>
          <w:t xml:space="preserve">“Urban Pollutant - an overview” by ScienceDirect Topics via </w:t>
        </w:r>
        <w:r w:rsidR="00F73294" w:rsidRPr="00F73294">
          <w:rPr>
            <w:rStyle w:val="Hyperlink"/>
            <w:lang w:val="es-ES_tradnl"/>
          </w:rPr>
          <w:t>www.sciencedirect.com.</w:t>
        </w:r>
      </w:hyperlink>
      <w:r w:rsidR="00F73294" w:rsidRPr="00F73294">
        <w:rPr>
          <w:lang w:val="es-ES_tradnl"/>
        </w:rPr>
        <w:t xml:space="preserve"> </w:t>
      </w:r>
    </w:p>
    <w:p w14:paraId="7439FDE8" w14:textId="77777777" w:rsidR="00FF4962" w:rsidRDefault="00FF4962" w:rsidP="00FF4962"/>
    <w:p w14:paraId="355DBFE3" w14:textId="77777777" w:rsidR="00FF4962" w:rsidRPr="00FF4962" w:rsidRDefault="00FF4962" w:rsidP="00FF4962">
      <w:pPr>
        <w:pStyle w:val="Heading3"/>
      </w:pPr>
      <w:bookmarkStart w:id="283" w:name="_Toc162267179"/>
      <w:r w:rsidRPr="00FF4962">
        <w:t>Ambient Water</w:t>
      </w:r>
      <w:bookmarkEnd w:id="283"/>
    </w:p>
    <w:p w14:paraId="75CBD0F3" w14:textId="0C03E8F7" w:rsidR="00FF4962" w:rsidRPr="00FF4962" w:rsidRDefault="00FF4962" w:rsidP="00FF4962">
      <w:r w:rsidRPr="00FF4962">
        <w:t xml:space="preserve">Ambient water is defined as natural, untreated water in rivers, lakes, and groundwaters. It is DHEC’s goal to maintain and improve the quality of all surface </w:t>
      </w:r>
      <w:r w:rsidRPr="00FF4962">
        <w:lastRenderedPageBreak/>
        <w:t>waters (rivers, lakes, and estuaries) to ensure the survival and propagation of a balanced aquatic community of plants and animals and to provide for recreation in and on the water. Good water quality means safe use which can impact physical activity and healthy eating whereas bad water quality can lead to illness. This ideal water quality is often described as fishable and swimmable waters. It is also a goal to provide for drinking water after conventional treatment, shellfish harvesting, and industrial and agricultural uses. Recognizing the difficulty in restoring water quality, DHEC emphasizes a preventive approach in protecting waters of the state.</w:t>
      </w:r>
    </w:p>
    <w:p w14:paraId="0A810F2B" w14:textId="77777777" w:rsidR="00FF4962" w:rsidRDefault="00FF4962" w:rsidP="00FF4962"/>
    <w:p w14:paraId="271BE02F" w14:textId="6D024AFE" w:rsidR="00FF4962" w:rsidRPr="00FF4962" w:rsidRDefault="00FF4962" w:rsidP="00FF4962">
      <w:r w:rsidRPr="00FF4962">
        <w:t xml:space="preserve">DHEC monitors statewide water quality to: </w:t>
      </w:r>
    </w:p>
    <w:p w14:paraId="48F2D6D3" w14:textId="6EC5907E" w:rsidR="00FF4962" w:rsidRPr="00FF4962" w:rsidRDefault="00FF4962" w:rsidP="00926EB3">
      <w:pPr>
        <w:pStyle w:val="ListParagraph"/>
        <w:numPr>
          <w:ilvl w:val="0"/>
          <w:numId w:val="25"/>
        </w:numPr>
      </w:pPr>
      <w:r w:rsidRPr="00FF4962">
        <w:t>Characterize water quality at monitoring locations, See if water quality standards are met</w:t>
      </w:r>
      <w:r>
        <w:t>.</w:t>
      </w:r>
    </w:p>
    <w:p w14:paraId="272840D5" w14:textId="75BD9403" w:rsidR="00FF4962" w:rsidRPr="00FF4962" w:rsidRDefault="00FF4962" w:rsidP="00926EB3">
      <w:pPr>
        <w:pStyle w:val="ListParagraph"/>
        <w:numPr>
          <w:ilvl w:val="0"/>
          <w:numId w:val="25"/>
        </w:numPr>
      </w:pPr>
      <w:r w:rsidRPr="00FF4962">
        <w:t>Identify locations in need of extra attention</w:t>
      </w:r>
      <w:r>
        <w:t>.</w:t>
      </w:r>
      <w:r w:rsidRPr="00FF4962">
        <w:t xml:space="preserve"> </w:t>
      </w:r>
    </w:p>
    <w:p w14:paraId="4E4BFF99" w14:textId="417AB1CF" w:rsidR="00FF4962" w:rsidRPr="00FF4962" w:rsidRDefault="00FF4962" w:rsidP="00926EB3">
      <w:pPr>
        <w:pStyle w:val="ListParagraph"/>
        <w:numPr>
          <w:ilvl w:val="0"/>
          <w:numId w:val="25"/>
        </w:numPr>
      </w:pPr>
      <w:r w:rsidRPr="00FF4962">
        <w:t>Determine long-term water quality trends</w:t>
      </w:r>
      <w:r>
        <w:t>.</w:t>
      </w:r>
    </w:p>
    <w:p w14:paraId="549970B7" w14:textId="7E6F7AD0" w:rsidR="00FF4962" w:rsidRPr="00FF4962" w:rsidRDefault="00FF4962" w:rsidP="00926EB3">
      <w:pPr>
        <w:pStyle w:val="ListParagraph"/>
        <w:numPr>
          <w:ilvl w:val="0"/>
          <w:numId w:val="25"/>
        </w:numPr>
      </w:pPr>
      <w:r w:rsidRPr="00FF4962">
        <w:t>Provide background data for permitting, modeling, planning, evaluation of stream classifications and standards</w:t>
      </w:r>
      <w:r>
        <w:t>.</w:t>
      </w:r>
    </w:p>
    <w:p w14:paraId="1D85F80C" w14:textId="13DDDD19" w:rsidR="00FF4962" w:rsidRPr="00FF4962" w:rsidRDefault="00FF4962" w:rsidP="00926EB3">
      <w:pPr>
        <w:pStyle w:val="ListParagraph"/>
        <w:numPr>
          <w:ilvl w:val="0"/>
          <w:numId w:val="25"/>
        </w:numPr>
      </w:pPr>
      <w:r>
        <w:t>And h</w:t>
      </w:r>
      <w:r w:rsidRPr="00FF4962">
        <w:t xml:space="preserve">elp formulate permit limits for wastewater discharges with the goal of maintaining state and federal water quality standards and criteria in the receiving streams. </w:t>
      </w:r>
    </w:p>
    <w:p w14:paraId="2D376286" w14:textId="77777777" w:rsidR="00FF4962" w:rsidRDefault="00FF4962" w:rsidP="00FF4962"/>
    <w:p w14:paraId="3789967D" w14:textId="4145D6D5" w:rsidR="00FF4962" w:rsidRPr="00FF4962" w:rsidRDefault="00FF4962" w:rsidP="00FF4962">
      <w:r w:rsidRPr="00FF4962">
        <w:t>Every two years, DHEC uses the most recent five years of data to develop a list of impaired waterbodies. This requirement comes from Section 303(d) of the Clean Water Act, so it’s commonly referred to as the 303(d) list. When water quality has attained the standards or a Total Maximum Daily Load (TMDL) has been developed, the waterbody may be removed from the list.</w:t>
      </w:r>
    </w:p>
    <w:p w14:paraId="560507EA" w14:textId="77777777" w:rsidR="00FF4962" w:rsidRDefault="00FF4962" w:rsidP="00FF4962"/>
    <w:p w14:paraId="637AEAE4" w14:textId="184FEE2F" w:rsidR="00FF4962" w:rsidRDefault="00FF4962" w:rsidP="00FF4962">
      <w:r w:rsidRPr="00FF4962">
        <w:t xml:space="preserve">A TMDL – the amount of a single pollutant (such as bacteria, </w:t>
      </w:r>
      <w:proofErr w:type="gramStart"/>
      <w:r w:rsidRPr="00FF4962">
        <w:t>nutrients</w:t>
      </w:r>
      <w:proofErr w:type="gramEnd"/>
      <w:r w:rsidRPr="00FF4962">
        <w:t xml:space="preserve"> or metals) that can enter a waterbody on daily basis and still have it meet water quality standards – is determined by assessing all the point and nonpoint sources for the pollutant causing the impairment and determining the reduction necessary to meet water quality standards. Implementation of a TMDL has a potential to reduce sources of pollution impacting a watershed and ultimately restore the full use of the waterbody.</w:t>
      </w:r>
    </w:p>
    <w:p w14:paraId="6A7A6616" w14:textId="77777777" w:rsidR="00980919" w:rsidRDefault="00980919" w:rsidP="00FF4962"/>
    <w:p w14:paraId="0AE00F4F" w14:textId="77777777" w:rsidR="00980919" w:rsidRDefault="00980919" w:rsidP="00980919">
      <w:pPr>
        <w:pStyle w:val="Heading4"/>
      </w:pPr>
      <w:bookmarkStart w:id="284" w:name="_Toc154569830"/>
      <w:bookmarkStart w:id="285" w:name="_Toc162267180"/>
      <w:r>
        <w:t xml:space="preserve">Figure 6.22: </w:t>
      </w:r>
      <w:r w:rsidRPr="00EA0CDA">
        <w:t>Aquatic Life and Recreational Use Fully Supported</w:t>
      </w:r>
      <w:r>
        <w:t>.</w:t>
      </w:r>
      <w:bookmarkEnd w:id="284"/>
      <w:bookmarkEnd w:id="285"/>
    </w:p>
    <w:tbl>
      <w:tblPr>
        <w:tblStyle w:val="TableGrid"/>
        <w:tblW w:w="0" w:type="auto"/>
        <w:tblLook w:val="04A0" w:firstRow="1" w:lastRow="0" w:firstColumn="1" w:lastColumn="0" w:noHBand="0" w:noVBand="1"/>
      </w:tblPr>
      <w:tblGrid>
        <w:gridCol w:w="2337"/>
        <w:gridCol w:w="2337"/>
        <w:gridCol w:w="2338"/>
        <w:gridCol w:w="2338"/>
      </w:tblGrid>
      <w:tr w:rsidR="00980919" w14:paraId="2368F211" w14:textId="77777777" w:rsidTr="001515D5">
        <w:tc>
          <w:tcPr>
            <w:tcW w:w="2337" w:type="dxa"/>
            <w:vAlign w:val="bottom"/>
          </w:tcPr>
          <w:p w14:paraId="50B7EF16" w14:textId="77777777" w:rsidR="00980919" w:rsidRDefault="00980919" w:rsidP="001515D5">
            <w:r>
              <w:t>Year</w:t>
            </w:r>
          </w:p>
        </w:tc>
        <w:tc>
          <w:tcPr>
            <w:tcW w:w="2337" w:type="dxa"/>
            <w:vAlign w:val="bottom"/>
          </w:tcPr>
          <w:p w14:paraId="3B5C1155" w14:textId="77777777" w:rsidR="00980919" w:rsidRDefault="00980919" w:rsidP="001515D5">
            <w:r>
              <w:t>Rivers and Streams (Miles)</w:t>
            </w:r>
          </w:p>
        </w:tc>
        <w:tc>
          <w:tcPr>
            <w:tcW w:w="2338" w:type="dxa"/>
            <w:vAlign w:val="bottom"/>
          </w:tcPr>
          <w:p w14:paraId="5611CAC3" w14:textId="77777777" w:rsidR="00980919" w:rsidRDefault="00980919" w:rsidP="001515D5">
            <w:r>
              <w:t>Lakes (Acres)</w:t>
            </w:r>
          </w:p>
        </w:tc>
        <w:tc>
          <w:tcPr>
            <w:tcW w:w="2338" w:type="dxa"/>
            <w:vAlign w:val="bottom"/>
          </w:tcPr>
          <w:p w14:paraId="039C6F5D" w14:textId="77777777" w:rsidR="00980919" w:rsidRDefault="00980919" w:rsidP="001515D5">
            <w:r>
              <w:t>Estuaries (Sq. Miles)</w:t>
            </w:r>
          </w:p>
        </w:tc>
      </w:tr>
      <w:tr w:rsidR="00980919" w14:paraId="488C8259" w14:textId="77777777" w:rsidTr="001515D5">
        <w:tc>
          <w:tcPr>
            <w:tcW w:w="2337" w:type="dxa"/>
            <w:vAlign w:val="bottom"/>
          </w:tcPr>
          <w:p w14:paraId="0C1B4142" w14:textId="77777777" w:rsidR="00980919" w:rsidRDefault="00980919" w:rsidP="001515D5">
            <w:r>
              <w:lastRenderedPageBreak/>
              <w:t>2010</w:t>
            </w:r>
          </w:p>
        </w:tc>
        <w:tc>
          <w:tcPr>
            <w:tcW w:w="2337" w:type="dxa"/>
            <w:vAlign w:val="bottom"/>
          </w:tcPr>
          <w:p w14:paraId="0CA3349B" w14:textId="77777777" w:rsidR="00980919" w:rsidRDefault="00980919" w:rsidP="001515D5">
            <w:r>
              <w:t>31</w:t>
            </w:r>
          </w:p>
        </w:tc>
        <w:tc>
          <w:tcPr>
            <w:tcW w:w="2338" w:type="dxa"/>
            <w:vAlign w:val="bottom"/>
          </w:tcPr>
          <w:p w14:paraId="6C25D78D" w14:textId="77777777" w:rsidR="00980919" w:rsidRDefault="00980919" w:rsidP="001515D5">
            <w:r>
              <w:t>91.9</w:t>
            </w:r>
          </w:p>
        </w:tc>
        <w:tc>
          <w:tcPr>
            <w:tcW w:w="2338" w:type="dxa"/>
            <w:vAlign w:val="bottom"/>
          </w:tcPr>
          <w:p w14:paraId="02CB33BD" w14:textId="77777777" w:rsidR="00980919" w:rsidRDefault="00980919" w:rsidP="001515D5">
            <w:r>
              <w:t>88.8</w:t>
            </w:r>
          </w:p>
        </w:tc>
      </w:tr>
      <w:tr w:rsidR="00980919" w14:paraId="4AE8DE21" w14:textId="77777777" w:rsidTr="001515D5">
        <w:tc>
          <w:tcPr>
            <w:tcW w:w="2337" w:type="dxa"/>
            <w:vAlign w:val="bottom"/>
          </w:tcPr>
          <w:p w14:paraId="51715C03" w14:textId="77777777" w:rsidR="00980919" w:rsidRDefault="00980919" w:rsidP="001515D5">
            <w:r>
              <w:t>2012</w:t>
            </w:r>
          </w:p>
        </w:tc>
        <w:tc>
          <w:tcPr>
            <w:tcW w:w="2337" w:type="dxa"/>
            <w:vAlign w:val="bottom"/>
          </w:tcPr>
          <w:p w14:paraId="04E3BB1B" w14:textId="77777777" w:rsidR="00980919" w:rsidRDefault="00980919" w:rsidP="001515D5">
            <w:r>
              <w:t>38.3</w:t>
            </w:r>
          </w:p>
        </w:tc>
        <w:tc>
          <w:tcPr>
            <w:tcW w:w="2338" w:type="dxa"/>
            <w:vAlign w:val="bottom"/>
          </w:tcPr>
          <w:p w14:paraId="2F8DB062" w14:textId="77777777" w:rsidR="00980919" w:rsidRDefault="00980919" w:rsidP="001515D5">
            <w:r>
              <w:t>93.3</w:t>
            </w:r>
          </w:p>
        </w:tc>
        <w:tc>
          <w:tcPr>
            <w:tcW w:w="2338" w:type="dxa"/>
            <w:vAlign w:val="bottom"/>
          </w:tcPr>
          <w:p w14:paraId="69B47491" w14:textId="77777777" w:rsidR="00980919" w:rsidRDefault="00980919" w:rsidP="001515D5">
            <w:r>
              <w:t>85.8</w:t>
            </w:r>
          </w:p>
        </w:tc>
      </w:tr>
      <w:tr w:rsidR="00980919" w14:paraId="048EEA3F" w14:textId="77777777" w:rsidTr="001515D5">
        <w:tc>
          <w:tcPr>
            <w:tcW w:w="2337" w:type="dxa"/>
            <w:vAlign w:val="bottom"/>
          </w:tcPr>
          <w:p w14:paraId="629E70B4" w14:textId="77777777" w:rsidR="00980919" w:rsidRDefault="00980919" w:rsidP="001515D5">
            <w:r>
              <w:t>2014</w:t>
            </w:r>
          </w:p>
        </w:tc>
        <w:tc>
          <w:tcPr>
            <w:tcW w:w="2337" w:type="dxa"/>
            <w:vAlign w:val="bottom"/>
          </w:tcPr>
          <w:p w14:paraId="735685A0" w14:textId="77777777" w:rsidR="00980919" w:rsidRDefault="00980919" w:rsidP="001515D5">
            <w:r>
              <w:t>39.1</w:t>
            </w:r>
          </w:p>
        </w:tc>
        <w:tc>
          <w:tcPr>
            <w:tcW w:w="2338" w:type="dxa"/>
            <w:vAlign w:val="bottom"/>
          </w:tcPr>
          <w:p w14:paraId="59513BF7" w14:textId="77777777" w:rsidR="00980919" w:rsidRDefault="00980919" w:rsidP="001515D5">
            <w:r>
              <w:t>87.2</w:t>
            </w:r>
          </w:p>
        </w:tc>
        <w:tc>
          <w:tcPr>
            <w:tcW w:w="2338" w:type="dxa"/>
            <w:vAlign w:val="bottom"/>
          </w:tcPr>
          <w:p w14:paraId="1C7661B4" w14:textId="77777777" w:rsidR="00980919" w:rsidRDefault="00980919" w:rsidP="001515D5">
            <w:r>
              <w:t>78.1</w:t>
            </w:r>
          </w:p>
        </w:tc>
      </w:tr>
      <w:tr w:rsidR="00980919" w14:paraId="464CCE0F" w14:textId="77777777" w:rsidTr="001515D5">
        <w:tc>
          <w:tcPr>
            <w:tcW w:w="2337" w:type="dxa"/>
            <w:vAlign w:val="bottom"/>
          </w:tcPr>
          <w:p w14:paraId="79BD1AAC" w14:textId="77777777" w:rsidR="00980919" w:rsidRDefault="00980919" w:rsidP="001515D5">
            <w:r>
              <w:t>2016</w:t>
            </w:r>
          </w:p>
        </w:tc>
        <w:tc>
          <w:tcPr>
            <w:tcW w:w="2337" w:type="dxa"/>
            <w:vAlign w:val="bottom"/>
          </w:tcPr>
          <w:p w14:paraId="66B523A1" w14:textId="77777777" w:rsidR="00980919" w:rsidRDefault="00980919" w:rsidP="001515D5">
            <w:r>
              <w:t>29.8</w:t>
            </w:r>
          </w:p>
        </w:tc>
        <w:tc>
          <w:tcPr>
            <w:tcW w:w="2338" w:type="dxa"/>
            <w:vAlign w:val="bottom"/>
          </w:tcPr>
          <w:p w14:paraId="4E24CDF3" w14:textId="77777777" w:rsidR="00980919" w:rsidRDefault="00980919" w:rsidP="001515D5">
            <w:r>
              <w:t>74.9</w:t>
            </w:r>
          </w:p>
        </w:tc>
        <w:tc>
          <w:tcPr>
            <w:tcW w:w="2338" w:type="dxa"/>
            <w:vAlign w:val="bottom"/>
          </w:tcPr>
          <w:p w14:paraId="74FDC3C8" w14:textId="77777777" w:rsidR="00980919" w:rsidRDefault="00980919" w:rsidP="001515D5">
            <w:r>
              <w:t>80.8</w:t>
            </w:r>
          </w:p>
        </w:tc>
      </w:tr>
      <w:tr w:rsidR="00980919" w14:paraId="3BB0854B" w14:textId="77777777" w:rsidTr="001515D5">
        <w:tc>
          <w:tcPr>
            <w:tcW w:w="2337" w:type="dxa"/>
            <w:vAlign w:val="bottom"/>
          </w:tcPr>
          <w:p w14:paraId="0B89FFC7" w14:textId="77777777" w:rsidR="00980919" w:rsidRDefault="00980919" w:rsidP="001515D5">
            <w:r>
              <w:t>2018</w:t>
            </w:r>
          </w:p>
        </w:tc>
        <w:tc>
          <w:tcPr>
            <w:tcW w:w="2337" w:type="dxa"/>
            <w:vAlign w:val="bottom"/>
          </w:tcPr>
          <w:p w14:paraId="48261F1A" w14:textId="77777777" w:rsidR="00980919" w:rsidRDefault="00980919" w:rsidP="001515D5">
            <w:r>
              <w:t>20</w:t>
            </w:r>
          </w:p>
        </w:tc>
        <w:tc>
          <w:tcPr>
            <w:tcW w:w="2338" w:type="dxa"/>
            <w:vAlign w:val="bottom"/>
          </w:tcPr>
          <w:p w14:paraId="79840FEB" w14:textId="77777777" w:rsidR="00980919" w:rsidRDefault="00980919" w:rsidP="001515D5">
            <w:r>
              <w:t>77.8</w:t>
            </w:r>
          </w:p>
        </w:tc>
        <w:tc>
          <w:tcPr>
            <w:tcW w:w="2338" w:type="dxa"/>
            <w:vAlign w:val="bottom"/>
          </w:tcPr>
          <w:p w14:paraId="5A63A4A7" w14:textId="77777777" w:rsidR="00980919" w:rsidRDefault="00980919" w:rsidP="001515D5">
            <w:r>
              <w:t>83.6</w:t>
            </w:r>
          </w:p>
        </w:tc>
      </w:tr>
    </w:tbl>
    <w:p w14:paraId="7DF653ED" w14:textId="77777777" w:rsidR="00980919" w:rsidRPr="00EA0CDA" w:rsidRDefault="00980919" w:rsidP="00980919">
      <w:r w:rsidRPr="0079645C">
        <w:t>Source: State of South Carolina Integrated Reports Part II.</w:t>
      </w:r>
    </w:p>
    <w:p w14:paraId="5F76DE08" w14:textId="77777777" w:rsidR="00FF4962" w:rsidRDefault="00FF4962" w:rsidP="00FF4962"/>
    <w:p w14:paraId="1C97D80F" w14:textId="77777777" w:rsidR="00FF4962" w:rsidRDefault="00FF4962" w:rsidP="00FF4962">
      <w:pPr>
        <w:rPr>
          <w:b/>
          <w:bCs/>
        </w:rPr>
      </w:pPr>
      <w:bookmarkStart w:id="286" w:name="_Toc162267181"/>
      <w:r w:rsidRPr="00FF4962">
        <w:rPr>
          <w:rStyle w:val="Heading4Char"/>
        </w:rPr>
        <w:t>Data Interpretations:</w:t>
      </w:r>
      <w:bookmarkEnd w:id="286"/>
      <w:r w:rsidRPr="00FF4962">
        <w:rPr>
          <w:b/>
          <w:bCs/>
        </w:rPr>
        <w:t xml:space="preserve"> </w:t>
      </w:r>
    </w:p>
    <w:p w14:paraId="21735538" w14:textId="7996DFF8" w:rsidR="00FF4962" w:rsidRPr="00FF4962" w:rsidRDefault="00FF4962" w:rsidP="00FF4962">
      <w:r w:rsidRPr="00FF4962">
        <w:t>The figure illustrates the percentage of the miles of streams, acres of lakes and square miles of South Carolina’s coastal estuaries that monitoring indicates meet all the fishable and swimmable standards. Also illustrated are the trends in the indicator as reported in previous 303(d) lists. (</w:t>
      </w:r>
      <w:r w:rsidRPr="00FF4962">
        <w:rPr>
          <w:b/>
          <w:bCs/>
        </w:rPr>
        <w:t>Figure 6.22</w:t>
      </w:r>
      <w:r w:rsidRPr="00FF4962">
        <w:t xml:space="preserve">). </w:t>
      </w:r>
    </w:p>
    <w:p w14:paraId="47DE6BA4" w14:textId="77777777" w:rsidR="00FF4962" w:rsidRDefault="00FF4962" w:rsidP="00FF4962"/>
    <w:p w14:paraId="001998CD" w14:textId="5A61544E" w:rsidR="00FF4962" w:rsidRDefault="00FF4962" w:rsidP="00FF4962">
      <w:pPr>
        <w:pStyle w:val="Heading5"/>
      </w:pPr>
      <w:r>
        <w:t xml:space="preserve">Key Takeaways: </w:t>
      </w:r>
    </w:p>
    <w:p w14:paraId="42E25708" w14:textId="4D7132D3" w:rsidR="00FF4962" w:rsidRPr="00EA168E" w:rsidRDefault="00FF4962" w:rsidP="00926EB3">
      <w:pPr>
        <w:pStyle w:val="ListParagraph"/>
        <w:numPr>
          <w:ilvl w:val="0"/>
          <w:numId w:val="215"/>
        </w:numPr>
        <w:rPr>
          <w:vertAlign w:val="superscript"/>
        </w:rPr>
      </w:pPr>
      <w:r w:rsidRPr="00FF4962">
        <w:t>Access to safe drinking water is essential to human health. DHEC administers and enforces drinking water quality standards and regulations by working with public water systems to keep our drinking water safe.</w:t>
      </w:r>
    </w:p>
    <w:p w14:paraId="14B7C839" w14:textId="77777777" w:rsidR="00FF4962" w:rsidRDefault="00FF4962" w:rsidP="00FF4962"/>
    <w:p w14:paraId="63AF255D" w14:textId="360B4AEA" w:rsidR="00722CE9" w:rsidRPr="00EA168E" w:rsidRDefault="00722CE9" w:rsidP="00FF4962">
      <w:pPr>
        <w:rPr>
          <w:rFonts w:cstheme="minorHAnsi"/>
        </w:rPr>
      </w:pPr>
      <w:bookmarkStart w:id="287" w:name="_Toc162267182"/>
      <w:r w:rsidRPr="00EA168E">
        <w:rPr>
          <w:rStyle w:val="Heading4Char"/>
          <w:rFonts w:asciiTheme="minorHAnsi" w:hAnsiTheme="minorHAnsi" w:cstheme="minorHAnsi"/>
          <w:color w:val="000000" w:themeColor="text1"/>
        </w:rPr>
        <w:t xml:space="preserve">References </w:t>
      </w:r>
      <w:r w:rsidR="00FF4962" w:rsidRPr="00EA168E">
        <w:rPr>
          <w:rStyle w:val="Heading4Char"/>
          <w:rFonts w:asciiTheme="minorHAnsi" w:hAnsiTheme="minorHAnsi" w:cstheme="minorHAnsi"/>
          <w:color w:val="000000" w:themeColor="text1"/>
        </w:rPr>
        <w:t>6.8</w:t>
      </w:r>
      <w:bookmarkEnd w:id="287"/>
      <w:r w:rsidR="00FF4962" w:rsidRPr="00EA168E">
        <w:rPr>
          <w:rFonts w:cstheme="minorHAnsi"/>
          <w:i/>
          <w:iCs/>
          <w:color w:val="000000" w:themeColor="text1"/>
        </w:rPr>
        <w:t xml:space="preserve"> </w:t>
      </w:r>
    </w:p>
    <w:p w14:paraId="51395C31" w14:textId="77777777" w:rsidR="00FF4962" w:rsidRDefault="00FF4962" w:rsidP="00FF4962">
      <w:r w:rsidRPr="00722CE9">
        <w:t>Statistics in the preceding</w:t>
      </w:r>
      <w:r>
        <w:t xml:space="preserve"> section</w:t>
      </w:r>
      <w:r w:rsidRPr="00722CE9">
        <w:t xml:space="preserve"> were referenced from the following reports:</w:t>
      </w:r>
    </w:p>
    <w:p w14:paraId="43494F4F" w14:textId="48951587" w:rsidR="00F73294" w:rsidRPr="00F73294" w:rsidRDefault="00000000" w:rsidP="00926EB3">
      <w:pPr>
        <w:pStyle w:val="ListParagraph"/>
        <w:numPr>
          <w:ilvl w:val="0"/>
          <w:numId w:val="27"/>
        </w:numPr>
      </w:pPr>
      <w:hyperlink r:id="rId151" w:history="1">
        <w:r w:rsidR="00F73294" w:rsidRPr="00F73294">
          <w:rPr>
            <w:rStyle w:val="Hyperlink"/>
          </w:rPr>
          <w:t>“How DHEC Measures Surface Water Quality” by SCDHEC via scdhec.gov. Retrieved July 13, 2023.</w:t>
        </w:r>
      </w:hyperlink>
      <w:r w:rsidR="00F73294" w:rsidRPr="00F73294">
        <w:t xml:space="preserve"> </w:t>
      </w:r>
    </w:p>
    <w:p w14:paraId="738C2D34" w14:textId="75509DD3" w:rsidR="00FF4962" w:rsidRDefault="00000000" w:rsidP="00926EB3">
      <w:pPr>
        <w:pStyle w:val="ListParagraph"/>
        <w:numPr>
          <w:ilvl w:val="0"/>
          <w:numId w:val="27"/>
        </w:numPr>
      </w:pPr>
      <w:hyperlink r:id="rId152" w:history="1">
        <w:r w:rsidR="00F73294" w:rsidRPr="00F73294">
          <w:rPr>
            <w:rStyle w:val="Hyperlink"/>
          </w:rPr>
          <w:t>“South Carolina 303(d) List of Impaired Waters &amp; TMDLs” by SCDHEC via scdhec.gov.</w:t>
        </w:r>
      </w:hyperlink>
      <w:r w:rsidR="00F73294" w:rsidRPr="00F73294">
        <w:t xml:space="preserve"> </w:t>
      </w:r>
    </w:p>
    <w:p w14:paraId="69C86A3A" w14:textId="77777777" w:rsidR="00F73294" w:rsidRDefault="00F73294" w:rsidP="00FF4962"/>
    <w:p w14:paraId="49526473" w14:textId="77777777" w:rsidR="00F73294" w:rsidRDefault="00F73294" w:rsidP="00F73294">
      <w:pPr>
        <w:pStyle w:val="Heading3"/>
      </w:pPr>
      <w:bookmarkStart w:id="288" w:name="_Toc162267183"/>
      <w:r>
        <w:t>Drinking Water</w:t>
      </w:r>
      <w:bookmarkEnd w:id="288"/>
    </w:p>
    <w:p w14:paraId="717B1E7B" w14:textId="1CB73710" w:rsidR="00F73294" w:rsidRPr="00F73294" w:rsidRDefault="00F73294" w:rsidP="00F73294">
      <w:r w:rsidRPr="00F73294">
        <w:t>Access to safe drinking water is essential to human health. DHEC administers and enforces drinking water quality standards and regulations by working with public water systems to keep our drinking water safe</w:t>
      </w:r>
      <w:r>
        <w:t>.</w:t>
      </w:r>
    </w:p>
    <w:p w14:paraId="7377FE5D" w14:textId="77777777" w:rsidR="00F73294" w:rsidRDefault="00F73294" w:rsidP="00F73294"/>
    <w:p w14:paraId="1B4D56B0" w14:textId="6FB614DB" w:rsidR="00F73294" w:rsidRPr="00F73294" w:rsidRDefault="00F73294" w:rsidP="00F73294">
      <w:r w:rsidRPr="00F73294">
        <w:t>Almost 85% of South Carolinians depend on public water systems (PWS) for clean, safe water. PWSs include community systems serving towns or cities, non-transient non-community systems like schools or factories, and transient non-community systems that provide drinking water to areas like rest stops or parks.</w:t>
      </w:r>
      <w:r>
        <w:rPr>
          <w:b/>
          <w:bCs/>
        </w:rPr>
        <w:t xml:space="preserve"> </w:t>
      </w:r>
      <w:r w:rsidRPr="00F73294">
        <w:t xml:space="preserve">In 2022, these critical systems provided drinking water to over 4.4 million South Carolinians. Most of the population is served by systems using surface water </w:t>
      </w:r>
      <w:r w:rsidRPr="00F73294">
        <w:lastRenderedPageBreak/>
        <w:t xml:space="preserve">sources (rivers, </w:t>
      </w:r>
      <w:proofErr w:type="gramStart"/>
      <w:r w:rsidRPr="00F73294">
        <w:t>lakes</w:t>
      </w:r>
      <w:proofErr w:type="gramEnd"/>
      <w:r w:rsidRPr="00F73294">
        <w:t xml:space="preserve"> and streams) and about 14% of those served by systems using groundwater sources.</w:t>
      </w:r>
    </w:p>
    <w:p w14:paraId="1F688610" w14:textId="77777777" w:rsidR="00F73294" w:rsidRDefault="00F73294" w:rsidP="00F73294"/>
    <w:p w14:paraId="01036280" w14:textId="04BF60F8" w:rsidR="00F73294" w:rsidRPr="00F73294" w:rsidRDefault="00F73294" w:rsidP="00F73294">
      <w:r w:rsidRPr="00F73294">
        <w:t xml:space="preserve">To ensure water quality, PWSs are required to maintain their systems, test water quality and report contaminants in the water they provide. National Maximum Contaminant Levels (MCLs) have been set for some contaminants. For others, Treatment Techniques (TT) may be required to control unacceptable concentrations. All the systems are required to regularly test for, and report concentrations of contaminants to DHEC and their customers. </w:t>
      </w:r>
    </w:p>
    <w:p w14:paraId="7B071687" w14:textId="77777777" w:rsidR="00F73294" w:rsidRDefault="00F73294" w:rsidP="00F73294"/>
    <w:p w14:paraId="79E683B1" w14:textId="77AC5C40" w:rsidR="00F73294" w:rsidRPr="00F73294" w:rsidRDefault="00F73294" w:rsidP="00F73294">
      <w:r w:rsidRPr="00F73294">
        <w:t xml:space="preserve">Each quarter, DHEC submits data to the EPA’s Safe Drinking Water Information System (SDWIS/FED). The data submitted includes violations of MCLs, Maximum Residual Disinfectant Level (MRDL), Monitoring (M), Reporting (R) and TT violations. The reporting helps ensure that the water provided by these systems continues to meet the quality standards that protect the health of communities. </w:t>
      </w:r>
    </w:p>
    <w:p w14:paraId="1F9CBB62" w14:textId="77777777" w:rsidR="00F73294" w:rsidRDefault="00F73294" w:rsidP="00F73294"/>
    <w:p w14:paraId="1B570A2D" w14:textId="59F8247D" w:rsidR="00F73294" w:rsidRPr="00F73294" w:rsidRDefault="00F73294" w:rsidP="00F73294">
      <w:r w:rsidRPr="00F73294">
        <w:t xml:space="preserve">The reliable availability of clean water is critical to protect the health of communities and individuals. The incidence of health-related violations (a violation of an MCL or a TT requirement) is an important indicator of the quality and safety of this important resource. </w:t>
      </w:r>
    </w:p>
    <w:p w14:paraId="1619C9AB" w14:textId="77777777" w:rsidR="00F73294" w:rsidRDefault="00F73294" w:rsidP="00F73294"/>
    <w:p w14:paraId="752E1C5D" w14:textId="5ACD6EA0" w:rsidR="00F73294" w:rsidRPr="00F73294" w:rsidRDefault="00F73294" w:rsidP="00F73294">
      <w:r w:rsidRPr="00F73294">
        <w:t xml:space="preserve">Regular testing and response to violations by notification of consumers, retesting, </w:t>
      </w:r>
      <w:proofErr w:type="gramStart"/>
      <w:r w:rsidRPr="00F73294">
        <w:t>investigation</w:t>
      </w:r>
      <w:proofErr w:type="gramEnd"/>
      <w:r w:rsidRPr="00F73294">
        <w:t xml:space="preserve"> and resolution are critical to ensuring that consumers can trust the quality of the water they are supplied.</w:t>
      </w:r>
    </w:p>
    <w:p w14:paraId="035ED340" w14:textId="77777777" w:rsidR="00F73294" w:rsidRDefault="00F73294" w:rsidP="00F73294"/>
    <w:p w14:paraId="3296D1F6" w14:textId="77777777" w:rsidR="00980919" w:rsidRDefault="00980919" w:rsidP="00980919">
      <w:pPr>
        <w:pStyle w:val="Heading4"/>
      </w:pPr>
      <w:bookmarkStart w:id="289" w:name="_Toc154569831"/>
      <w:bookmarkStart w:id="290" w:name="_Toc162267184"/>
      <w:r>
        <w:t xml:space="preserve">Figure 6.23: </w:t>
      </w:r>
      <w:r w:rsidRPr="0079645C">
        <w:t>Residents Served by Public Water Systems Meeting All Health Based Standards</w:t>
      </w:r>
      <w:r>
        <w:t>.</w:t>
      </w:r>
      <w:bookmarkEnd w:id="289"/>
      <w:bookmarkEnd w:id="290"/>
    </w:p>
    <w:tbl>
      <w:tblPr>
        <w:tblStyle w:val="TableGrid"/>
        <w:tblW w:w="0" w:type="auto"/>
        <w:tblLook w:val="04A0" w:firstRow="1" w:lastRow="0" w:firstColumn="1" w:lastColumn="0" w:noHBand="0" w:noVBand="1"/>
      </w:tblPr>
      <w:tblGrid>
        <w:gridCol w:w="3116"/>
        <w:gridCol w:w="3117"/>
        <w:gridCol w:w="3117"/>
      </w:tblGrid>
      <w:tr w:rsidR="00980919" w14:paraId="2A520EE3" w14:textId="77777777" w:rsidTr="001515D5">
        <w:tc>
          <w:tcPr>
            <w:tcW w:w="3116" w:type="dxa"/>
            <w:vAlign w:val="bottom"/>
          </w:tcPr>
          <w:p w14:paraId="5F019AB0" w14:textId="77777777" w:rsidR="00980919" w:rsidRPr="0079645C" w:rsidRDefault="00980919" w:rsidP="001515D5">
            <w:r w:rsidRPr="0079645C">
              <w:t>Year</w:t>
            </w:r>
          </w:p>
        </w:tc>
        <w:tc>
          <w:tcPr>
            <w:tcW w:w="3117" w:type="dxa"/>
            <w:vAlign w:val="bottom"/>
          </w:tcPr>
          <w:p w14:paraId="5B984759" w14:textId="77777777" w:rsidR="00980919" w:rsidRPr="0079645C" w:rsidRDefault="00980919" w:rsidP="001515D5">
            <w:r w:rsidRPr="0079645C">
              <w:t>Population Served by PWS</w:t>
            </w:r>
          </w:p>
        </w:tc>
        <w:tc>
          <w:tcPr>
            <w:tcW w:w="3117" w:type="dxa"/>
            <w:vAlign w:val="bottom"/>
          </w:tcPr>
          <w:p w14:paraId="7BF6135F" w14:textId="77777777" w:rsidR="00980919" w:rsidRPr="0079645C" w:rsidRDefault="00980919" w:rsidP="001515D5">
            <w:r w:rsidRPr="0079645C">
              <w:t>Population Served by Systems in Compliance</w:t>
            </w:r>
          </w:p>
        </w:tc>
      </w:tr>
      <w:tr w:rsidR="00980919" w14:paraId="04C487BA" w14:textId="77777777" w:rsidTr="001515D5">
        <w:tc>
          <w:tcPr>
            <w:tcW w:w="3116" w:type="dxa"/>
            <w:vAlign w:val="bottom"/>
          </w:tcPr>
          <w:p w14:paraId="2911D92E" w14:textId="77777777" w:rsidR="00980919" w:rsidRPr="0079645C" w:rsidRDefault="00980919" w:rsidP="001515D5">
            <w:r w:rsidRPr="0079645C">
              <w:t>2018</w:t>
            </w:r>
          </w:p>
        </w:tc>
        <w:tc>
          <w:tcPr>
            <w:tcW w:w="3117" w:type="dxa"/>
            <w:vAlign w:val="bottom"/>
          </w:tcPr>
          <w:p w14:paraId="2CC594D3" w14:textId="77777777" w:rsidR="00980919" w:rsidRPr="0079645C" w:rsidRDefault="00980919" w:rsidP="001515D5">
            <w:r w:rsidRPr="0079645C">
              <w:t>4010497</w:t>
            </w:r>
          </w:p>
        </w:tc>
        <w:tc>
          <w:tcPr>
            <w:tcW w:w="3117" w:type="dxa"/>
            <w:vAlign w:val="bottom"/>
          </w:tcPr>
          <w:p w14:paraId="32EB37B2" w14:textId="77777777" w:rsidR="00980919" w:rsidRPr="0079645C" w:rsidRDefault="00980919" w:rsidP="001515D5">
            <w:r w:rsidRPr="0079645C">
              <w:t>3900051</w:t>
            </w:r>
          </w:p>
        </w:tc>
      </w:tr>
      <w:tr w:rsidR="00980919" w14:paraId="43A2DAA2" w14:textId="77777777" w:rsidTr="001515D5">
        <w:tc>
          <w:tcPr>
            <w:tcW w:w="3116" w:type="dxa"/>
            <w:vAlign w:val="bottom"/>
          </w:tcPr>
          <w:p w14:paraId="029798CE" w14:textId="77777777" w:rsidR="00980919" w:rsidRPr="0079645C" w:rsidRDefault="00980919" w:rsidP="001515D5">
            <w:r w:rsidRPr="0079645C">
              <w:t>2019</w:t>
            </w:r>
          </w:p>
        </w:tc>
        <w:tc>
          <w:tcPr>
            <w:tcW w:w="3117" w:type="dxa"/>
            <w:vAlign w:val="bottom"/>
          </w:tcPr>
          <w:p w14:paraId="0CCDCD16" w14:textId="77777777" w:rsidR="00980919" w:rsidRPr="0079645C" w:rsidRDefault="00980919" w:rsidP="001515D5">
            <w:r w:rsidRPr="0079645C">
              <w:t>4155159</w:t>
            </w:r>
          </w:p>
        </w:tc>
        <w:tc>
          <w:tcPr>
            <w:tcW w:w="3117" w:type="dxa"/>
            <w:vAlign w:val="bottom"/>
          </w:tcPr>
          <w:p w14:paraId="4E418BF3" w14:textId="77777777" w:rsidR="00980919" w:rsidRPr="0079645C" w:rsidRDefault="00980919" w:rsidP="001515D5">
            <w:r w:rsidRPr="0079645C">
              <w:t>4015924</w:t>
            </w:r>
          </w:p>
        </w:tc>
      </w:tr>
      <w:tr w:rsidR="00980919" w14:paraId="66AE1D0E" w14:textId="77777777" w:rsidTr="001515D5">
        <w:tc>
          <w:tcPr>
            <w:tcW w:w="3116" w:type="dxa"/>
            <w:vAlign w:val="bottom"/>
          </w:tcPr>
          <w:p w14:paraId="59AA62F3" w14:textId="77777777" w:rsidR="00980919" w:rsidRPr="0079645C" w:rsidRDefault="00980919" w:rsidP="001515D5">
            <w:r w:rsidRPr="0079645C">
              <w:t>2020</w:t>
            </w:r>
          </w:p>
        </w:tc>
        <w:tc>
          <w:tcPr>
            <w:tcW w:w="3117" w:type="dxa"/>
            <w:vAlign w:val="bottom"/>
          </w:tcPr>
          <w:p w14:paraId="78A2E5E8" w14:textId="77777777" w:rsidR="00980919" w:rsidRPr="0079645C" w:rsidRDefault="00980919" w:rsidP="001515D5">
            <w:r w:rsidRPr="0079645C">
              <w:t>4213898</w:t>
            </w:r>
          </w:p>
        </w:tc>
        <w:tc>
          <w:tcPr>
            <w:tcW w:w="3117" w:type="dxa"/>
            <w:vAlign w:val="bottom"/>
          </w:tcPr>
          <w:p w14:paraId="1C5AE91F" w14:textId="77777777" w:rsidR="00980919" w:rsidRPr="0079645C" w:rsidRDefault="00980919" w:rsidP="001515D5">
            <w:r w:rsidRPr="0079645C">
              <w:t>4056661</w:t>
            </w:r>
          </w:p>
        </w:tc>
      </w:tr>
      <w:tr w:rsidR="00980919" w14:paraId="1637293E" w14:textId="77777777" w:rsidTr="001515D5">
        <w:tc>
          <w:tcPr>
            <w:tcW w:w="3116" w:type="dxa"/>
            <w:vAlign w:val="bottom"/>
          </w:tcPr>
          <w:p w14:paraId="409D9746" w14:textId="77777777" w:rsidR="00980919" w:rsidRPr="0079645C" w:rsidRDefault="00980919" w:rsidP="001515D5">
            <w:r w:rsidRPr="0079645C">
              <w:t>2021</w:t>
            </w:r>
          </w:p>
        </w:tc>
        <w:tc>
          <w:tcPr>
            <w:tcW w:w="3117" w:type="dxa"/>
            <w:vAlign w:val="bottom"/>
          </w:tcPr>
          <w:p w14:paraId="78C13590" w14:textId="77777777" w:rsidR="00980919" w:rsidRPr="0079645C" w:rsidRDefault="00980919" w:rsidP="001515D5">
            <w:r w:rsidRPr="0079645C">
              <w:t>4381776</w:t>
            </w:r>
          </w:p>
        </w:tc>
        <w:tc>
          <w:tcPr>
            <w:tcW w:w="3117" w:type="dxa"/>
            <w:vAlign w:val="bottom"/>
          </w:tcPr>
          <w:p w14:paraId="2730CD0D" w14:textId="77777777" w:rsidR="00980919" w:rsidRPr="0079645C" w:rsidRDefault="00980919" w:rsidP="001515D5">
            <w:r w:rsidRPr="0079645C">
              <w:t>3805207</w:t>
            </w:r>
          </w:p>
        </w:tc>
      </w:tr>
    </w:tbl>
    <w:p w14:paraId="5D35E7DE" w14:textId="77777777" w:rsidR="00980919" w:rsidRDefault="00980919" w:rsidP="00980919">
      <w:r w:rsidRPr="0079645C">
        <w:t xml:space="preserve">Source: SC DHEC Annual State Public </w:t>
      </w:r>
      <w:proofErr w:type="spellStart"/>
      <w:r w:rsidRPr="0079645C">
        <w:t>WaterSystem</w:t>
      </w:r>
      <w:proofErr w:type="spellEnd"/>
      <w:r w:rsidRPr="0079645C">
        <w:t xml:space="preserve"> Annual Reports.</w:t>
      </w:r>
    </w:p>
    <w:p w14:paraId="27313B6F" w14:textId="77777777" w:rsidR="00F73294" w:rsidRDefault="00F73294" w:rsidP="00F73294"/>
    <w:p w14:paraId="743FEBC7" w14:textId="4793B6DF" w:rsidR="00F73294" w:rsidRDefault="00F73294" w:rsidP="00F73294">
      <w:pPr>
        <w:pStyle w:val="Heading4"/>
      </w:pPr>
      <w:bookmarkStart w:id="291" w:name="_Toc162267185"/>
      <w:r>
        <w:lastRenderedPageBreak/>
        <w:t>Data Interpretations:</w:t>
      </w:r>
      <w:bookmarkEnd w:id="291"/>
    </w:p>
    <w:p w14:paraId="7EE4F124" w14:textId="77777777" w:rsidR="00F73294" w:rsidRPr="00F73294" w:rsidRDefault="00F73294" w:rsidP="00F73294">
      <w:r w:rsidRPr="00F73294">
        <w:t>The residents served by PWSs meeting all health-based standards shows that typically, better than 91% of consumers on PWSs are provided water that meets all water quality standards, all the time (</w:t>
      </w:r>
      <w:r w:rsidRPr="00F73294">
        <w:rPr>
          <w:b/>
          <w:bCs/>
        </w:rPr>
        <w:t>Figure 6.23</w:t>
      </w:r>
      <w:r w:rsidRPr="00F73294">
        <w:t>). The decrease observed in 2021 was due to two large systems experiencing standard violations for required parameters. The response of those systems to the detection, which included re-sampling, a comprehensive investigation and corrective action, is illustrative of the effectiveness of the systems in place to protect drinking water quality.</w:t>
      </w:r>
    </w:p>
    <w:p w14:paraId="62104684" w14:textId="77777777" w:rsidR="00F73294" w:rsidRDefault="00F73294" w:rsidP="00F73294"/>
    <w:p w14:paraId="7552F54C" w14:textId="428D8547" w:rsidR="00F73294" w:rsidRDefault="00F73294" w:rsidP="00F73294">
      <w:pPr>
        <w:pStyle w:val="Heading5"/>
      </w:pPr>
      <w:r>
        <w:t>Key Takeaways:</w:t>
      </w:r>
    </w:p>
    <w:p w14:paraId="775510B1" w14:textId="77777777" w:rsidR="00F73294" w:rsidRPr="00F73294" w:rsidRDefault="00F73294" w:rsidP="00926EB3">
      <w:pPr>
        <w:pStyle w:val="ListParagraph"/>
        <w:numPr>
          <w:ilvl w:val="0"/>
          <w:numId w:val="215"/>
        </w:numPr>
      </w:pPr>
      <w:r w:rsidRPr="00F73294">
        <w:t xml:space="preserve">National standards, DHEC oversight and the state’s PWS work together to provide clean, safe water to consumers. </w:t>
      </w:r>
    </w:p>
    <w:p w14:paraId="0A4C9154" w14:textId="77777777" w:rsidR="00F73294" w:rsidRPr="00F73294" w:rsidRDefault="00F73294" w:rsidP="00F73294"/>
    <w:p w14:paraId="1D7CDC7B" w14:textId="3EDB1A81" w:rsidR="00F73294" w:rsidRPr="00EA168E" w:rsidRDefault="00F73294" w:rsidP="00F73294">
      <w:pPr>
        <w:rPr>
          <w:rFonts w:cstheme="minorHAnsi"/>
        </w:rPr>
      </w:pPr>
      <w:bookmarkStart w:id="292" w:name="_Toc162267186"/>
      <w:r w:rsidRPr="00EA168E">
        <w:rPr>
          <w:rStyle w:val="Heading4Char"/>
          <w:rFonts w:asciiTheme="minorHAnsi" w:hAnsiTheme="minorHAnsi" w:cstheme="minorHAnsi"/>
          <w:color w:val="000000" w:themeColor="text1"/>
        </w:rPr>
        <w:t>References 6.9</w:t>
      </w:r>
      <w:bookmarkEnd w:id="292"/>
      <w:r w:rsidRPr="00EA168E">
        <w:rPr>
          <w:rFonts w:cstheme="minorHAnsi"/>
          <w:i/>
          <w:iCs/>
          <w:color w:val="000000" w:themeColor="text1"/>
        </w:rPr>
        <w:t xml:space="preserve"> </w:t>
      </w:r>
    </w:p>
    <w:p w14:paraId="785EB279" w14:textId="77777777" w:rsidR="00F73294" w:rsidRDefault="00F73294" w:rsidP="00F73294">
      <w:r w:rsidRPr="00722CE9">
        <w:t>Statistics in the preceding</w:t>
      </w:r>
      <w:r>
        <w:t xml:space="preserve"> section</w:t>
      </w:r>
      <w:r w:rsidRPr="00722CE9">
        <w:t xml:space="preserve"> were referenced from the following reports:</w:t>
      </w:r>
    </w:p>
    <w:p w14:paraId="187F71E6" w14:textId="49EC4DD1" w:rsidR="00F73294" w:rsidRPr="00F73294" w:rsidRDefault="00000000" w:rsidP="00926EB3">
      <w:pPr>
        <w:pStyle w:val="ListParagraph"/>
        <w:numPr>
          <w:ilvl w:val="0"/>
          <w:numId w:val="27"/>
        </w:numPr>
      </w:pPr>
      <w:hyperlink r:id="rId153" w:history="1">
        <w:r w:rsidR="00F73294" w:rsidRPr="00F73294">
          <w:rPr>
            <w:rStyle w:val="Hyperlink"/>
          </w:rPr>
          <w:t>“Drinking Water Protection Program Overview</w:t>
        </w:r>
        <w:r w:rsidR="00F73294">
          <w:rPr>
            <w:rStyle w:val="Hyperlink"/>
          </w:rPr>
          <w:t>”</w:t>
        </w:r>
        <w:r w:rsidR="00F73294" w:rsidRPr="00F73294">
          <w:rPr>
            <w:rStyle w:val="Hyperlink"/>
          </w:rPr>
          <w:t xml:space="preserve"> by SCDHEC via scdhec.gov.</w:t>
        </w:r>
      </w:hyperlink>
      <w:r w:rsidR="00F73294" w:rsidRPr="00F73294">
        <w:t xml:space="preserve"> </w:t>
      </w:r>
    </w:p>
    <w:p w14:paraId="6C413628" w14:textId="3B32FAA5" w:rsidR="00F73294" w:rsidRPr="00F73294" w:rsidRDefault="00000000" w:rsidP="00926EB3">
      <w:pPr>
        <w:pStyle w:val="ListParagraph"/>
        <w:numPr>
          <w:ilvl w:val="0"/>
          <w:numId w:val="27"/>
        </w:numPr>
      </w:pPr>
      <w:hyperlink r:id="rId154" w:history="1">
        <w:r w:rsidR="00F73294" w:rsidRPr="00F73294">
          <w:rPr>
            <w:rStyle w:val="Hyperlink"/>
          </w:rPr>
          <w:t>“Public Water Systems Index” by the Centers for Disease Control and Prevention, 2019.</w:t>
        </w:r>
      </w:hyperlink>
      <w:r w:rsidR="00F73294" w:rsidRPr="00F73294">
        <w:t xml:space="preserve"> </w:t>
      </w:r>
    </w:p>
    <w:p w14:paraId="1CC77FD0" w14:textId="60034F15" w:rsidR="00F73294" w:rsidRPr="00F73294" w:rsidRDefault="00000000" w:rsidP="00926EB3">
      <w:pPr>
        <w:pStyle w:val="ListParagraph"/>
        <w:numPr>
          <w:ilvl w:val="0"/>
          <w:numId w:val="27"/>
        </w:numPr>
      </w:pPr>
      <w:hyperlink r:id="rId155" w:history="1">
        <w:r w:rsidR="00F73294" w:rsidRPr="00F73294">
          <w:rPr>
            <w:rStyle w:val="Hyperlink"/>
          </w:rPr>
          <w:t>“Drinking Water Quality” by SCDHEC via scdhec.gov.</w:t>
        </w:r>
      </w:hyperlink>
      <w:r w:rsidR="00F73294" w:rsidRPr="00F73294">
        <w:t xml:space="preserve"> </w:t>
      </w:r>
    </w:p>
    <w:p w14:paraId="2C7F1BF7" w14:textId="048F1C3B" w:rsidR="00F73294" w:rsidRPr="00F73294" w:rsidRDefault="00000000" w:rsidP="00926EB3">
      <w:pPr>
        <w:pStyle w:val="ListParagraph"/>
        <w:numPr>
          <w:ilvl w:val="0"/>
          <w:numId w:val="27"/>
        </w:numPr>
      </w:pPr>
      <w:hyperlink r:id="rId156" w:history="1">
        <w:r w:rsidR="00F73294" w:rsidRPr="00F73294">
          <w:rPr>
            <w:rStyle w:val="Hyperlink"/>
          </w:rPr>
          <w:t>“National Primary Drinking Water Regulations” by US Environmental Protection Agency via epa.gov, 2018.</w:t>
        </w:r>
      </w:hyperlink>
      <w:r w:rsidR="00F73294" w:rsidRPr="00F73294">
        <w:t xml:space="preserve"> </w:t>
      </w:r>
    </w:p>
    <w:p w14:paraId="23609E8F" w14:textId="45040708" w:rsidR="00F73294" w:rsidRPr="00F73294" w:rsidRDefault="00000000" w:rsidP="00926EB3">
      <w:pPr>
        <w:pStyle w:val="ListParagraph"/>
        <w:numPr>
          <w:ilvl w:val="0"/>
          <w:numId w:val="27"/>
        </w:numPr>
      </w:pPr>
      <w:hyperlink r:id="rId157" w:history="1">
        <w:r w:rsidR="00F73294" w:rsidRPr="00F73294">
          <w:rPr>
            <w:rStyle w:val="Hyperlink"/>
          </w:rPr>
          <w:t>“Annual State Public Water System Report – Calendar Year 2021” by SC DHEC, reviewed by SC DHEC, 2022.</w:t>
        </w:r>
      </w:hyperlink>
      <w:r w:rsidR="00F73294" w:rsidRPr="00F73294">
        <w:t xml:space="preserve"> </w:t>
      </w:r>
    </w:p>
    <w:p w14:paraId="7DED8054" w14:textId="77777777" w:rsidR="00F73294" w:rsidRDefault="00F73294" w:rsidP="00F73294"/>
    <w:p w14:paraId="695A622C" w14:textId="77777777" w:rsidR="00F73294" w:rsidRPr="00F73294" w:rsidRDefault="00F73294" w:rsidP="00F73294">
      <w:pPr>
        <w:pStyle w:val="Heading3"/>
      </w:pPr>
      <w:bookmarkStart w:id="293" w:name="_Toc162267187"/>
      <w:r w:rsidRPr="00F73294">
        <w:t>Solid Waste</w:t>
      </w:r>
      <w:bookmarkEnd w:id="293"/>
    </w:p>
    <w:p w14:paraId="3DA2EEB5" w14:textId="3B8A0DDF" w:rsidR="00F73294" w:rsidRPr="00F73294" w:rsidRDefault="00F73294" w:rsidP="00F73294">
      <w:r w:rsidRPr="00F73294">
        <w:t xml:space="preserve">Solid waste is any material that we discard. Total solid waste that must be managed includes automobile bodies, combustion ash, construction and demolition debris, industrial process waste, land-clearing debris, natural disaster debris, processed waste tires, and other material. The more-familiar Municipal Solid Waste (MSW) includes the “everyday” items that are discarded from residential, commercial, </w:t>
      </w:r>
      <w:proofErr w:type="gramStart"/>
      <w:r w:rsidRPr="00F73294">
        <w:t>institutional</w:t>
      </w:r>
      <w:proofErr w:type="gramEnd"/>
      <w:r w:rsidRPr="00F73294">
        <w:t xml:space="preserve"> and industrial sources. Management of solid waste is necessary to protect our communities and the environment through the collection, transport, storage, treatment, disposal, and recovery of solid waste.  </w:t>
      </w:r>
    </w:p>
    <w:p w14:paraId="2EAC5C56" w14:textId="270A0B3B" w:rsidR="00F73294" w:rsidRPr="00F73294" w:rsidRDefault="00F73294" w:rsidP="00F73294">
      <w:r w:rsidRPr="00F73294">
        <w:t xml:space="preserve">The management of solid waste imposes costs on our communities and the environment. SC has set goals to reduce MSW generation to 3.25 pounds per person per day and to recycle at least 50% of the MSW generated. Progress towards these goals has been slow. Although 2022 was the 13th consecutive year </w:t>
      </w:r>
      <w:r w:rsidRPr="00F73294">
        <w:lastRenderedPageBreak/>
        <w:t xml:space="preserve">that South Carolinians recycled more that 1 million pounds of MSW, South Carolinians are on average still generating over 5 pounds of waste per day.   </w:t>
      </w:r>
    </w:p>
    <w:p w14:paraId="255F2D21" w14:textId="77777777" w:rsidR="00F73294" w:rsidRPr="00F73294" w:rsidRDefault="00F73294" w:rsidP="00F73294">
      <w:r w:rsidRPr="00F73294">
        <w:t xml:space="preserve">Reduction of waste reduces costs to our communities, the </w:t>
      </w:r>
      <w:proofErr w:type="gramStart"/>
      <w:r w:rsidRPr="00F73294">
        <w:t>environment</w:t>
      </w:r>
      <w:proofErr w:type="gramEnd"/>
      <w:r w:rsidRPr="00F73294">
        <w:t xml:space="preserve"> and natural resources. Effective recycling programs can help defray the costs of solid waste management. </w:t>
      </w:r>
    </w:p>
    <w:p w14:paraId="5CA0AA14" w14:textId="77777777" w:rsidR="00F73294" w:rsidRDefault="00F73294" w:rsidP="00F73294"/>
    <w:p w14:paraId="48242A58" w14:textId="77777777" w:rsidR="00980919" w:rsidRDefault="00980919" w:rsidP="00980919">
      <w:pPr>
        <w:pStyle w:val="Heading4"/>
      </w:pPr>
      <w:bookmarkStart w:id="294" w:name="_Toc154569832"/>
      <w:bookmarkStart w:id="295" w:name="_Toc162267188"/>
      <w:r>
        <w:t>Figure 6.24: Disposed and Recycled Waste.</w:t>
      </w:r>
      <w:bookmarkEnd w:id="294"/>
      <w:bookmarkEnd w:id="295"/>
    </w:p>
    <w:p w14:paraId="72ECAA5F" w14:textId="438944EE" w:rsidR="002748B7" w:rsidRPr="002748B7" w:rsidRDefault="002748B7" w:rsidP="002748B7">
      <w:pPr>
        <w:pStyle w:val="Heading5"/>
      </w:pPr>
      <w:r>
        <w:t>Pounds per person per day.</w:t>
      </w:r>
    </w:p>
    <w:tbl>
      <w:tblPr>
        <w:tblStyle w:val="TableGrid"/>
        <w:tblW w:w="0" w:type="auto"/>
        <w:tblLook w:val="04A0" w:firstRow="1" w:lastRow="0" w:firstColumn="1" w:lastColumn="0" w:noHBand="0" w:noVBand="1"/>
      </w:tblPr>
      <w:tblGrid>
        <w:gridCol w:w="2337"/>
        <w:gridCol w:w="2337"/>
        <w:gridCol w:w="2338"/>
        <w:gridCol w:w="2338"/>
      </w:tblGrid>
      <w:tr w:rsidR="00980919" w14:paraId="1A8BE16D" w14:textId="77777777" w:rsidTr="001515D5">
        <w:tc>
          <w:tcPr>
            <w:tcW w:w="2337" w:type="dxa"/>
            <w:vAlign w:val="bottom"/>
          </w:tcPr>
          <w:p w14:paraId="2E794750" w14:textId="77777777" w:rsidR="00980919" w:rsidRDefault="00980919" w:rsidP="001515D5">
            <w:r>
              <w:t>Year</w:t>
            </w:r>
          </w:p>
        </w:tc>
        <w:tc>
          <w:tcPr>
            <w:tcW w:w="2337" w:type="dxa"/>
            <w:vAlign w:val="bottom"/>
          </w:tcPr>
          <w:p w14:paraId="7DB19DA1" w14:textId="77777777" w:rsidR="00980919" w:rsidRDefault="00980919" w:rsidP="001515D5">
            <w:r>
              <w:t>Disposed</w:t>
            </w:r>
          </w:p>
        </w:tc>
        <w:tc>
          <w:tcPr>
            <w:tcW w:w="2338" w:type="dxa"/>
            <w:vAlign w:val="bottom"/>
          </w:tcPr>
          <w:p w14:paraId="21F913F7" w14:textId="77777777" w:rsidR="00980919" w:rsidRDefault="00980919" w:rsidP="001515D5">
            <w:r>
              <w:t>Recycled</w:t>
            </w:r>
          </w:p>
        </w:tc>
        <w:tc>
          <w:tcPr>
            <w:tcW w:w="2338" w:type="dxa"/>
            <w:vAlign w:val="bottom"/>
          </w:tcPr>
          <w:p w14:paraId="6B7FA28D" w14:textId="77777777" w:rsidR="00980919" w:rsidRDefault="00980919" w:rsidP="001515D5">
            <w:r>
              <w:t>Percent Recycled</w:t>
            </w:r>
          </w:p>
        </w:tc>
      </w:tr>
      <w:tr w:rsidR="00980919" w14:paraId="2F838CAE" w14:textId="77777777" w:rsidTr="001515D5">
        <w:tc>
          <w:tcPr>
            <w:tcW w:w="2337" w:type="dxa"/>
            <w:vAlign w:val="bottom"/>
          </w:tcPr>
          <w:p w14:paraId="0353E326" w14:textId="77777777" w:rsidR="00980919" w:rsidRDefault="00980919" w:rsidP="001515D5">
            <w:r>
              <w:t>2006</w:t>
            </w:r>
          </w:p>
        </w:tc>
        <w:tc>
          <w:tcPr>
            <w:tcW w:w="2337" w:type="dxa"/>
            <w:vAlign w:val="bottom"/>
          </w:tcPr>
          <w:p w14:paraId="443DE665" w14:textId="77777777" w:rsidR="00980919" w:rsidRDefault="00980919" w:rsidP="001515D5">
            <w:r>
              <w:t>4.44</w:t>
            </w:r>
          </w:p>
        </w:tc>
        <w:tc>
          <w:tcPr>
            <w:tcW w:w="2338" w:type="dxa"/>
            <w:vAlign w:val="bottom"/>
          </w:tcPr>
          <w:p w14:paraId="15BC9660" w14:textId="77777777" w:rsidR="00980919" w:rsidRDefault="00980919" w:rsidP="001515D5">
            <w:r>
              <w:t>1.93</w:t>
            </w:r>
          </w:p>
        </w:tc>
        <w:tc>
          <w:tcPr>
            <w:tcW w:w="2338" w:type="dxa"/>
            <w:vAlign w:val="bottom"/>
          </w:tcPr>
          <w:p w14:paraId="7EE197A5" w14:textId="77777777" w:rsidR="00980919" w:rsidRDefault="00980919" w:rsidP="001515D5">
            <w:r>
              <w:t>30.40%</w:t>
            </w:r>
          </w:p>
        </w:tc>
      </w:tr>
      <w:tr w:rsidR="00980919" w14:paraId="4AB6ABD5" w14:textId="77777777" w:rsidTr="001515D5">
        <w:tc>
          <w:tcPr>
            <w:tcW w:w="2337" w:type="dxa"/>
            <w:vAlign w:val="bottom"/>
          </w:tcPr>
          <w:p w14:paraId="64B8ACBA" w14:textId="77777777" w:rsidR="00980919" w:rsidRDefault="00980919" w:rsidP="001515D5">
            <w:r>
              <w:t>2007</w:t>
            </w:r>
          </w:p>
        </w:tc>
        <w:tc>
          <w:tcPr>
            <w:tcW w:w="2337" w:type="dxa"/>
            <w:vAlign w:val="bottom"/>
          </w:tcPr>
          <w:p w14:paraId="1BC73A48" w14:textId="77777777" w:rsidR="00980919" w:rsidRDefault="00980919" w:rsidP="001515D5">
            <w:r>
              <w:t>4.37</w:t>
            </w:r>
          </w:p>
        </w:tc>
        <w:tc>
          <w:tcPr>
            <w:tcW w:w="2338" w:type="dxa"/>
            <w:vAlign w:val="bottom"/>
          </w:tcPr>
          <w:p w14:paraId="4513A669" w14:textId="77777777" w:rsidR="00980919" w:rsidRDefault="00980919" w:rsidP="001515D5">
            <w:r>
              <w:t>1.96</w:t>
            </w:r>
          </w:p>
        </w:tc>
        <w:tc>
          <w:tcPr>
            <w:tcW w:w="2338" w:type="dxa"/>
            <w:vAlign w:val="bottom"/>
          </w:tcPr>
          <w:p w14:paraId="1DE3E436" w14:textId="77777777" w:rsidR="00980919" w:rsidRDefault="00980919" w:rsidP="001515D5">
            <w:r>
              <w:t>31.00%</w:t>
            </w:r>
          </w:p>
        </w:tc>
      </w:tr>
      <w:tr w:rsidR="00980919" w14:paraId="737B4C51" w14:textId="77777777" w:rsidTr="001515D5">
        <w:tc>
          <w:tcPr>
            <w:tcW w:w="2337" w:type="dxa"/>
            <w:vAlign w:val="bottom"/>
          </w:tcPr>
          <w:p w14:paraId="5CEAD767" w14:textId="77777777" w:rsidR="00980919" w:rsidRDefault="00980919" w:rsidP="001515D5">
            <w:r>
              <w:t>2008</w:t>
            </w:r>
          </w:p>
        </w:tc>
        <w:tc>
          <w:tcPr>
            <w:tcW w:w="2337" w:type="dxa"/>
            <w:vAlign w:val="bottom"/>
          </w:tcPr>
          <w:p w14:paraId="38568022" w14:textId="77777777" w:rsidR="00980919" w:rsidRDefault="00980919" w:rsidP="001515D5">
            <w:r>
              <w:t>4.17</w:t>
            </w:r>
          </w:p>
        </w:tc>
        <w:tc>
          <w:tcPr>
            <w:tcW w:w="2338" w:type="dxa"/>
            <w:vAlign w:val="bottom"/>
          </w:tcPr>
          <w:p w14:paraId="697E5989" w14:textId="77777777" w:rsidR="00980919" w:rsidRDefault="00980919" w:rsidP="001515D5">
            <w:r>
              <w:t>1.34</w:t>
            </w:r>
          </w:p>
        </w:tc>
        <w:tc>
          <w:tcPr>
            <w:tcW w:w="2338" w:type="dxa"/>
            <w:vAlign w:val="bottom"/>
          </w:tcPr>
          <w:p w14:paraId="2F3DDE06" w14:textId="77777777" w:rsidR="00980919" w:rsidRDefault="00980919" w:rsidP="001515D5">
            <w:r>
              <w:t>24.40%</w:t>
            </w:r>
          </w:p>
        </w:tc>
      </w:tr>
      <w:tr w:rsidR="00980919" w14:paraId="0433BEEE" w14:textId="77777777" w:rsidTr="001515D5">
        <w:tc>
          <w:tcPr>
            <w:tcW w:w="2337" w:type="dxa"/>
            <w:vAlign w:val="bottom"/>
          </w:tcPr>
          <w:p w14:paraId="5C2BABD8" w14:textId="77777777" w:rsidR="00980919" w:rsidRDefault="00980919" w:rsidP="001515D5">
            <w:r>
              <w:t>2009</w:t>
            </w:r>
          </w:p>
        </w:tc>
        <w:tc>
          <w:tcPr>
            <w:tcW w:w="2337" w:type="dxa"/>
            <w:vAlign w:val="bottom"/>
          </w:tcPr>
          <w:p w14:paraId="126C7761" w14:textId="77777777" w:rsidR="00980919" w:rsidRDefault="00980919" w:rsidP="001515D5">
            <w:r>
              <w:t>3.93</w:t>
            </w:r>
          </w:p>
        </w:tc>
        <w:tc>
          <w:tcPr>
            <w:tcW w:w="2338" w:type="dxa"/>
            <w:vAlign w:val="bottom"/>
          </w:tcPr>
          <w:p w14:paraId="662C8C05" w14:textId="77777777" w:rsidR="00980919" w:rsidRDefault="00980919" w:rsidP="001515D5">
            <w:r>
              <w:t>1.11</w:t>
            </w:r>
          </w:p>
        </w:tc>
        <w:tc>
          <w:tcPr>
            <w:tcW w:w="2338" w:type="dxa"/>
            <w:vAlign w:val="bottom"/>
          </w:tcPr>
          <w:p w14:paraId="5604761B" w14:textId="77777777" w:rsidR="00980919" w:rsidRDefault="00980919" w:rsidP="001515D5">
            <w:r>
              <w:t>22.10%</w:t>
            </w:r>
          </w:p>
        </w:tc>
      </w:tr>
      <w:tr w:rsidR="00980919" w14:paraId="14A26674" w14:textId="77777777" w:rsidTr="001515D5">
        <w:tc>
          <w:tcPr>
            <w:tcW w:w="2337" w:type="dxa"/>
            <w:vAlign w:val="bottom"/>
          </w:tcPr>
          <w:p w14:paraId="50307120" w14:textId="77777777" w:rsidR="00980919" w:rsidRDefault="00980919" w:rsidP="001515D5">
            <w:r>
              <w:t>2010</w:t>
            </w:r>
          </w:p>
        </w:tc>
        <w:tc>
          <w:tcPr>
            <w:tcW w:w="2337" w:type="dxa"/>
            <w:vAlign w:val="bottom"/>
          </w:tcPr>
          <w:p w14:paraId="6D70A918" w14:textId="77777777" w:rsidR="00980919" w:rsidRDefault="00980919" w:rsidP="001515D5">
            <w:r>
              <w:t>3.73</w:t>
            </w:r>
          </w:p>
        </w:tc>
        <w:tc>
          <w:tcPr>
            <w:tcW w:w="2338" w:type="dxa"/>
            <w:vAlign w:val="bottom"/>
          </w:tcPr>
          <w:p w14:paraId="16140112" w14:textId="77777777" w:rsidR="00980919" w:rsidRDefault="00980919" w:rsidP="001515D5">
            <w:r>
              <w:t>1.24</w:t>
            </w:r>
          </w:p>
        </w:tc>
        <w:tc>
          <w:tcPr>
            <w:tcW w:w="2338" w:type="dxa"/>
            <w:vAlign w:val="bottom"/>
          </w:tcPr>
          <w:p w14:paraId="1879D30D" w14:textId="77777777" w:rsidR="00980919" w:rsidRDefault="00980919" w:rsidP="001515D5">
            <w:r>
              <w:t>25.00%</w:t>
            </w:r>
          </w:p>
        </w:tc>
      </w:tr>
      <w:tr w:rsidR="00980919" w14:paraId="6296F4B0" w14:textId="77777777" w:rsidTr="001515D5">
        <w:tc>
          <w:tcPr>
            <w:tcW w:w="2337" w:type="dxa"/>
            <w:vAlign w:val="bottom"/>
          </w:tcPr>
          <w:p w14:paraId="3541239E" w14:textId="77777777" w:rsidR="00980919" w:rsidRDefault="00980919" w:rsidP="001515D5">
            <w:r>
              <w:t>2011</w:t>
            </w:r>
          </w:p>
        </w:tc>
        <w:tc>
          <w:tcPr>
            <w:tcW w:w="2337" w:type="dxa"/>
            <w:vAlign w:val="bottom"/>
          </w:tcPr>
          <w:p w14:paraId="1F003613" w14:textId="77777777" w:rsidR="00980919" w:rsidRDefault="00980919" w:rsidP="001515D5">
            <w:r>
              <w:t>3.63</w:t>
            </w:r>
          </w:p>
        </w:tc>
        <w:tc>
          <w:tcPr>
            <w:tcW w:w="2338" w:type="dxa"/>
            <w:vAlign w:val="bottom"/>
          </w:tcPr>
          <w:p w14:paraId="662729ED" w14:textId="77777777" w:rsidR="00980919" w:rsidRDefault="00980919" w:rsidP="001515D5">
            <w:r>
              <w:t>1.38</w:t>
            </w:r>
          </w:p>
        </w:tc>
        <w:tc>
          <w:tcPr>
            <w:tcW w:w="2338" w:type="dxa"/>
            <w:vAlign w:val="bottom"/>
          </w:tcPr>
          <w:p w14:paraId="07805DB1" w14:textId="77777777" w:rsidR="00980919" w:rsidRDefault="00980919" w:rsidP="001515D5">
            <w:r>
              <w:t>27.70%</w:t>
            </w:r>
          </w:p>
        </w:tc>
      </w:tr>
      <w:tr w:rsidR="00980919" w14:paraId="485C88E6" w14:textId="77777777" w:rsidTr="001515D5">
        <w:tc>
          <w:tcPr>
            <w:tcW w:w="2337" w:type="dxa"/>
            <w:vAlign w:val="bottom"/>
          </w:tcPr>
          <w:p w14:paraId="5435F647" w14:textId="77777777" w:rsidR="00980919" w:rsidRDefault="00980919" w:rsidP="001515D5">
            <w:r>
              <w:t>2012</w:t>
            </w:r>
          </w:p>
        </w:tc>
        <w:tc>
          <w:tcPr>
            <w:tcW w:w="2337" w:type="dxa"/>
            <w:vAlign w:val="bottom"/>
          </w:tcPr>
          <w:p w14:paraId="3535E2AD" w14:textId="77777777" w:rsidR="00980919" w:rsidRDefault="00980919" w:rsidP="001515D5">
            <w:r>
              <w:t>3.44</w:t>
            </w:r>
          </w:p>
        </w:tc>
        <w:tc>
          <w:tcPr>
            <w:tcW w:w="2338" w:type="dxa"/>
            <w:vAlign w:val="bottom"/>
          </w:tcPr>
          <w:p w14:paraId="6F45DB5D" w14:textId="77777777" w:rsidR="00980919" w:rsidRDefault="00980919" w:rsidP="001515D5">
            <w:r>
              <w:t>1.44</w:t>
            </w:r>
          </w:p>
        </w:tc>
        <w:tc>
          <w:tcPr>
            <w:tcW w:w="2338" w:type="dxa"/>
            <w:vAlign w:val="bottom"/>
          </w:tcPr>
          <w:p w14:paraId="65FD7ACA" w14:textId="77777777" w:rsidR="00980919" w:rsidRDefault="00980919" w:rsidP="001515D5">
            <w:r>
              <w:t>29.50%</w:t>
            </w:r>
          </w:p>
        </w:tc>
      </w:tr>
      <w:tr w:rsidR="00980919" w14:paraId="0A0F3937" w14:textId="77777777" w:rsidTr="001515D5">
        <w:tc>
          <w:tcPr>
            <w:tcW w:w="2337" w:type="dxa"/>
            <w:vAlign w:val="bottom"/>
          </w:tcPr>
          <w:p w14:paraId="20FCC084" w14:textId="77777777" w:rsidR="00980919" w:rsidRDefault="00980919" w:rsidP="001515D5">
            <w:r>
              <w:t>2013</w:t>
            </w:r>
          </w:p>
        </w:tc>
        <w:tc>
          <w:tcPr>
            <w:tcW w:w="2337" w:type="dxa"/>
            <w:vAlign w:val="bottom"/>
          </w:tcPr>
          <w:p w14:paraId="1B723D14" w14:textId="77777777" w:rsidR="00980919" w:rsidRDefault="00980919" w:rsidP="001515D5">
            <w:r>
              <w:t>3.47</w:t>
            </w:r>
          </w:p>
        </w:tc>
        <w:tc>
          <w:tcPr>
            <w:tcW w:w="2338" w:type="dxa"/>
            <w:vAlign w:val="bottom"/>
          </w:tcPr>
          <w:p w14:paraId="089DF9CB" w14:textId="77777777" w:rsidR="00980919" w:rsidRDefault="00980919" w:rsidP="001515D5">
            <w:r>
              <w:t>1.59</w:t>
            </w:r>
          </w:p>
        </w:tc>
        <w:tc>
          <w:tcPr>
            <w:tcW w:w="2338" w:type="dxa"/>
            <w:vAlign w:val="bottom"/>
          </w:tcPr>
          <w:p w14:paraId="2F8485D6" w14:textId="77777777" w:rsidR="00980919" w:rsidRDefault="00980919" w:rsidP="001515D5">
            <w:r>
              <w:t>31.50%</w:t>
            </w:r>
          </w:p>
        </w:tc>
      </w:tr>
      <w:tr w:rsidR="00980919" w14:paraId="2640B428" w14:textId="77777777" w:rsidTr="001515D5">
        <w:tc>
          <w:tcPr>
            <w:tcW w:w="2337" w:type="dxa"/>
            <w:vAlign w:val="bottom"/>
          </w:tcPr>
          <w:p w14:paraId="051297A0" w14:textId="77777777" w:rsidR="00980919" w:rsidRDefault="00980919" w:rsidP="001515D5">
            <w:r>
              <w:t>2014</w:t>
            </w:r>
          </w:p>
        </w:tc>
        <w:tc>
          <w:tcPr>
            <w:tcW w:w="2337" w:type="dxa"/>
            <w:vAlign w:val="bottom"/>
          </w:tcPr>
          <w:p w14:paraId="354F81C9" w14:textId="77777777" w:rsidR="00980919" w:rsidRDefault="00980919" w:rsidP="001515D5">
            <w:r>
              <w:t>3.52</w:t>
            </w:r>
          </w:p>
        </w:tc>
        <w:tc>
          <w:tcPr>
            <w:tcW w:w="2338" w:type="dxa"/>
            <w:vAlign w:val="bottom"/>
          </w:tcPr>
          <w:p w14:paraId="4632B963" w14:textId="77777777" w:rsidR="00980919" w:rsidRDefault="00980919" w:rsidP="001515D5">
            <w:r>
              <w:t>1.45</w:t>
            </w:r>
          </w:p>
        </w:tc>
        <w:tc>
          <w:tcPr>
            <w:tcW w:w="2338" w:type="dxa"/>
            <w:vAlign w:val="bottom"/>
          </w:tcPr>
          <w:p w14:paraId="22FEDBBD" w14:textId="77777777" w:rsidR="00980919" w:rsidRDefault="00980919" w:rsidP="001515D5">
            <w:r>
              <w:t>29.20%</w:t>
            </w:r>
          </w:p>
        </w:tc>
      </w:tr>
      <w:tr w:rsidR="00980919" w14:paraId="0AD5EDC0" w14:textId="77777777" w:rsidTr="001515D5">
        <w:tc>
          <w:tcPr>
            <w:tcW w:w="2337" w:type="dxa"/>
            <w:vAlign w:val="bottom"/>
          </w:tcPr>
          <w:p w14:paraId="1B4C3BD9" w14:textId="77777777" w:rsidR="00980919" w:rsidRDefault="00980919" w:rsidP="001515D5">
            <w:r>
              <w:t>2015</w:t>
            </w:r>
          </w:p>
        </w:tc>
        <w:tc>
          <w:tcPr>
            <w:tcW w:w="2337" w:type="dxa"/>
            <w:vAlign w:val="bottom"/>
          </w:tcPr>
          <w:p w14:paraId="56A0BB16" w14:textId="77777777" w:rsidR="00980919" w:rsidRDefault="00980919" w:rsidP="001515D5">
            <w:r>
              <w:t>3.47</w:t>
            </w:r>
          </w:p>
        </w:tc>
        <w:tc>
          <w:tcPr>
            <w:tcW w:w="2338" w:type="dxa"/>
            <w:vAlign w:val="bottom"/>
          </w:tcPr>
          <w:p w14:paraId="6F36313A" w14:textId="77777777" w:rsidR="00980919" w:rsidRDefault="00980919" w:rsidP="001515D5">
            <w:r>
              <w:t>1.25</w:t>
            </w:r>
          </w:p>
        </w:tc>
        <w:tc>
          <w:tcPr>
            <w:tcW w:w="2338" w:type="dxa"/>
            <w:vAlign w:val="bottom"/>
          </w:tcPr>
          <w:p w14:paraId="0D0B700A" w14:textId="77777777" w:rsidR="00980919" w:rsidRDefault="00980919" w:rsidP="001515D5">
            <w:r>
              <w:t>26.50%</w:t>
            </w:r>
          </w:p>
        </w:tc>
      </w:tr>
      <w:tr w:rsidR="00980919" w14:paraId="19E8E2B8" w14:textId="77777777" w:rsidTr="001515D5">
        <w:tc>
          <w:tcPr>
            <w:tcW w:w="2337" w:type="dxa"/>
            <w:vAlign w:val="bottom"/>
          </w:tcPr>
          <w:p w14:paraId="4C0EA87B" w14:textId="77777777" w:rsidR="00980919" w:rsidRDefault="00980919" w:rsidP="001515D5">
            <w:r>
              <w:t>2016</w:t>
            </w:r>
          </w:p>
        </w:tc>
        <w:tc>
          <w:tcPr>
            <w:tcW w:w="2337" w:type="dxa"/>
            <w:vAlign w:val="bottom"/>
          </w:tcPr>
          <w:p w14:paraId="69624655" w14:textId="77777777" w:rsidR="00980919" w:rsidRDefault="00980919" w:rsidP="001515D5">
            <w:r>
              <w:t>3.6</w:t>
            </w:r>
          </w:p>
        </w:tc>
        <w:tc>
          <w:tcPr>
            <w:tcW w:w="2338" w:type="dxa"/>
            <w:vAlign w:val="bottom"/>
          </w:tcPr>
          <w:p w14:paraId="7A3107F0" w14:textId="77777777" w:rsidR="00980919" w:rsidRDefault="00980919" w:rsidP="001515D5">
            <w:r>
              <w:t>1.22</w:t>
            </w:r>
          </w:p>
        </w:tc>
        <w:tc>
          <w:tcPr>
            <w:tcW w:w="2338" w:type="dxa"/>
            <w:vAlign w:val="bottom"/>
          </w:tcPr>
          <w:p w14:paraId="460A72F4" w14:textId="77777777" w:rsidR="00980919" w:rsidRDefault="00980919" w:rsidP="001515D5">
            <w:r>
              <w:t>25.40%</w:t>
            </w:r>
          </w:p>
        </w:tc>
      </w:tr>
      <w:tr w:rsidR="00980919" w14:paraId="3872A71A" w14:textId="77777777" w:rsidTr="001515D5">
        <w:tc>
          <w:tcPr>
            <w:tcW w:w="2337" w:type="dxa"/>
            <w:vAlign w:val="bottom"/>
          </w:tcPr>
          <w:p w14:paraId="164E6BC9" w14:textId="77777777" w:rsidR="00980919" w:rsidRDefault="00980919" w:rsidP="001515D5">
            <w:r>
              <w:t>2017</w:t>
            </w:r>
          </w:p>
        </w:tc>
        <w:tc>
          <w:tcPr>
            <w:tcW w:w="2337" w:type="dxa"/>
            <w:vAlign w:val="bottom"/>
          </w:tcPr>
          <w:p w14:paraId="5989C7AC" w14:textId="77777777" w:rsidR="00980919" w:rsidRDefault="00980919" w:rsidP="001515D5">
            <w:r>
              <w:t>3.64</w:t>
            </w:r>
          </w:p>
        </w:tc>
        <w:tc>
          <w:tcPr>
            <w:tcW w:w="2338" w:type="dxa"/>
            <w:vAlign w:val="bottom"/>
          </w:tcPr>
          <w:p w14:paraId="15BE0088" w14:textId="77777777" w:rsidR="00980919" w:rsidRDefault="00980919" w:rsidP="001515D5">
            <w:r>
              <w:t>1.46</w:t>
            </w:r>
          </w:p>
        </w:tc>
        <w:tc>
          <w:tcPr>
            <w:tcW w:w="2338" w:type="dxa"/>
            <w:vAlign w:val="bottom"/>
          </w:tcPr>
          <w:p w14:paraId="35271C3A" w14:textId="77777777" w:rsidR="00980919" w:rsidRDefault="00980919" w:rsidP="001515D5">
            <w:r>
              <w:t>28.70%</w:t>
            </w:r>
          </w:p>
        </w:tc>
      </w:tr>
      <w:tr w:rsidR="00980919" w14:paraId="2CFA2153" w14:textId="77777777" w:rsidTr="001515D5">
        <w:tc>
          <w:tcPr>
            <w:tcW w:w="2337" w:type="dxa"/>
            <w:vAlign w:val="bottom"/>
          </w:tcPr>
          <w:p w14:paraId="2181559B" w14:textId="77777777" w:rsidR="00980919" w:rsidRDefault="00980919" w:rsidP="001515D5">
            <w:r>
              <w:t>2018</w:t>
            </w:r>
          </w:p>
        </w:tc>
        <w:tc>
          <w:tcPr>
            <w:tcW w:w="2337" w:type="dxa"/>
            <w:vAlign w:val="bottom"/>
          </w:tcPr>
          <w:p w14:paraId="79BDE7E2" w14:textId="77777777" w:rsidR="00980919" w:rsidRDefault="00980919" w:rsidP="001515D5">
            <w:r>
              <w:t>3.58</w:t>
            </w:r>
          </w:p>
        </w:tc>
        <w:tc>
          <w:tcPr>
            <w:tcW w:w="2338" w:type="dxa"/>
            <w:vAlign w:val="bottom"/>
          </w:tcPr>
          <w:p w14:paraId="0575BB5F" w14:textId="77777777" w:rsidR="00980919" w:rsidRDefault="00980919" w:rsidP="001515D5">
            <w:r>
              <w:t>1.31</w:t>
            </w:r>
          </w:p>
        </w:tc>
        <w:tc>
          <w:tcPr>
            <w:tcW w:w="2338" w:type="dxa"/>
            <w:vAlign w:val="bottom"/>
          </w:tcPr>
          <w:p w14:paraId="10A1DF24" w14:textId="77777777" w:rsidR="00980919" w:rsidRDefault="00980919" w:rsidP="001515D5">
            <w:r>
              <w:t>26.80%</w:t>
            </w:r>
          </w:p>
        </w:tc>
      </w:tr>
      <w:tr w:rsidR="00980919" w14:paraId="3C69DF43" w14:textId="77777777" w:rsidTr="001515D5">
        <w:tc>
          <w:tcPr>
            <w:tcW w:w="2337" w:type="dxa"/>
            <w:vAlign w:val="bottom"/>
          </w:tcPr>
          <w:p w14:paraId="12DD3E4E" w14:textId="77777777" w:rsidR="00980919" w:rsidRDefault="00980919" w:rsidP="001515D5">
            <w:r>
              <w:t>2019</w:t>
            </w:r>
          </w:p>
        </w:tc>
        <w:tc>
          <w:tcPr>
            <w:tcW w:w="2337" w:type="dxa"/>
            <w:vAlign w:val="bottom"/>
          </w:tcPr>
          <w:p w14:paraId="4CABDEF2" w14:textId="77777777" w:rsidR="00980919" w:rsidRDefault="00980919" w:rsidP="001515D5">
            <w:r>
              <w:t>3.72</w:t>
            </w:r>
          </w:p>
        </w:tc>
        <w:tc>
          <w:tcPr>
            <w:tcW w:w="2338" w:type="dxa"/>
            <w:vAlign w:val="bottom"/>
          </w:tcPr>
          <w:p w14:paraId="7894D4FC" w14:textId="77777777" w:rsidR="00980919" w:rsidRDefault="00980919" w:rsidP="001515D5">
            <w:r>
              <w:t>1.46</w:t>
            </w:r>
          </w:p>
        </w:tc>
        <w:tc>
          <w:tcPr>
            <w:tcW w:w="2338" w:type="dxa"/>
            <w:vAlign w:val="bottom"/>
          </w:tcPr>
          <w:p w14:paraId="00BBB70B" w14:textId="77777777" w:rsidR="00980919" w:rsidRDefault="00980919" w:rsidP="001515D5">
            <w:r>
              <w:t>28.20%</w:t>
            </w:r>
          </w:p>
        </w:tc>
      </w:tr>
      <w:tr w:rsidR="00980919" w14:paraId="58BE1693" w14:textId="77777777" w:rsidTr="001515D5">
        <w:tc>
          <w:tcPr>
            <w:tcW w:w="2337" w:type="dxa"/>
            <w:vAlign w:val="bottom"/>
          </w:tcPr>
          <w:p w14:paraId="44A6E502" w14:textId="77777777" w:rsidR="00980919" w:rsidRDefault="00980919" w:rsidP="001515D5">
            <w:r>
              <w:t>2020</w:t>
            </w:r>
          </w:p>
        </w:tc>
        <w:tc>
          <w:tcPr>
            <w:tcW w:w="2337" w:type="dxa"/>
            <w:vAlign w:val="bottom"/>
          </w:tcPr>
          <w:p w14:paraId="51AC5099" w14:textId="77777777" w:rsidR="00980919" w:rsidRDefault="00980919" w:rsidP="001515D5">
            <w:r>
              <w:t>3.76</w:t>
            </w:r>
          </w:p>
        </w:tc>
        <w:tc>
          <w:tcPr>
            <w:tcW w:w="2338" w:type="dxa"/>
            <w:vAlign w:val="bottom"/>
          </w:tcPr>
          <w:p w14:paraId="5A9CD360" w14:textId="77777777" w:rsidR="00980919" w:rsidRDefault="00980919" w:rsidP="001515D5">
            <w:r>
              <w:t>1.21</w:t>
            </w:r>
          </w:p>
        </w:tc>
        <w:tc>
          <w:tcPr>
            <w:tcW w:w="2338" w:type="dxa"/>
            <w:vAlign w:val="bottom"/>
          </w:tcPr>
          <w:p w14:paraId="4D65E2E4" w14:textId="77777777" w:rsidR="00980919" w:rsidRDefault="00980919" w:rsidP="001515D5">
            <w:r>
              <w:t>24.40%</w:t>
            </w:r>
          </w:p>
        </w:tc>
      </w:tr>
      <w:tr w:rsidR="00980919" w14:paraId="5BF9B36B" w14:textId="77777777" w:rsidTr="001515D5">
        <w:tc>
          <w:tcPr>
            <w:tcW w:w="2337" w:type="dxa"/>
            <w:vAlign w:val="bottom"/>
          </w:tcPr>
          <w:p w14:paraId="0F74E5C3" w14:textId="77777777" w:rsidR="00980919" w:rsidRDefault="00980919" w:rsidP="001515D5">
            <w:r>
              <w:t>2021</w:t>
            </w:r>
          </w:p>
        </w:tc>
        <w:tc>
          <w:tcPr>
            <w:tcW w:w="2337" w:type="dxa"/>
            <w:vAlign w:val="bottom"/>
          </w:tcPr>
          <w:p w14:paraId="129F33F2" w14:textId="77777777" w:rsidR="00980919" w:rsidRDefault="00980919" w:rsidP="001515D5">
            <w:r>
              <w:t>4.04</w:t>
            </w:r>
          </w:p>
        </w:tc>
        <w:tc>
          <w:tcPr>
            <w:tcW w:w="2338" w:type="dxa"/>
            <w:vAlign w:val="bottom"/>
          </w:tcPr>
          <w:p w14:paraId="0098970C" w14:textId="77777777" w:rsidR="00980919" w:rsidRDefault="00980919" w:rsidP="001515D5">
            <w:r>
              <w:t>1.27</w:t>
            </w:r>
          </w:p>
        </w:tc>
        <w:tc>
          <w:tcPr>
            <w:tcW w:w="2338" w:type="dxa"/>
            <w:vAlign w:val="bottom"/>
          </w:tcPr>
          <w:p w14:paraId="78E74973" w14:textId="77777777" w:rsidR="00980919" w:rsidRDefault="00980919" w:rsidP="001515D5">
            <w:r>
              <w:t>23.90%</w:t>
            </w:r>
          </w:p>
        </w:tc>
      </w:tr>
    </w:tbl>
    <w:p w14:paraId="1564F1CE" w14:textId="77777777" w:rsidR="00980919" w:rsidRPr="0079645C" w:rsidRDefault="00980919" w:rsidP="00980919">
      <w:r w:rsidRPr="0079645C">
        <w:t>Source: SCDHEC Solid Waste Management Annual Repor</w:t>
      </w:r>
      <w:r>
        <w:t>t.</w:t>
      </w:r>
    </w:p>
    <w:p w14:paraId="51D95A2E" w14:textId="77777777" w:rsidR="00F73294" w:rsidRDefault="00F73294" w:rsidP="00F73294"/>
    <w:p w14:paraId="41C37E07" w14:textId="77777777" w:rsidR="00F73294" w:rsidRDefault="00F73294" w:rsidP="00F73294">
      <w:pPr>
        <w:rPr>
          <w:b/>
          <w:bCs/>
        </w:rPr>
      </w:pPr>
      <w:bookmarkStart w:id="296" w:name="_Toc162267189"/>
      <w:r w:rsidRPr="00F73294">
        <w:rPr>
          <w:rStyle w:val="Heading4Char"/>
        </w:rPr>
        <w:t>Data Interpretations:</w:t>
      </w:r>
      <w:bookmarkEnd w:id="296"/>
      <w:r w:rsidRPr="00F73294">
        <w:rPr>
          <w:b/>
          <w:bCs/>
        </w:rPr>
        <w:t xml:space="preserve"> </w:t>
      </w:r>
    </w:p>
    <w:p w14:paraId="1869A5BF" w14:textId="4CF4C493" w:rsidR="00F73294" w:rsidRPr="00F73294" w:rsidRDefault="00F73294" w:rsidP="00F73294">
      <w:r w:rsidRPr="00F73294">
        <w:t xml:space="preserve">The data illustrated shows </w:t>
      </w:r>
      <w:r w:rsidR="00FB4D78">
        <w:t xml:space="preserve">that </w:t>
      </w:r>
      <w:r w:rsidRPr="00F73294">
        <w:t>the rate of waste generation has been relatively constant over the past decade, whereas the proportion of the waste ending up in landfills is slowly increasing (</w:t>
      </w:r>
      <w:r w:rsidRPr="00F73294">
        <w:rPr>
          <w:b/>
          <w:bCs/>
        </w:rPr>
        <w:t>Figure 6.24</w:t>
      </w:r>
      <w:r w:rsidRPr="00F73294">
        <w:t xml:space="preserve">). </w:t>
      </w:r>
    </w:p>
    <w:p w14:paraId="21B84D7E" w14:textId="77777777" w:rsidR="00F73294" w:rsidRDefault="00F73294" w:rsidP="00F73294"/>
    <w:p w14:paraId="260C7E77" w14:textId="6A1AFA98" w:rsidR="00F73294" w:rsidRDefault="00F73294" w:rsidP="00F73294">
      <w:pPr>
        <w:pStyle w:val="Heading5"/>
      </w:pPr>
      <w:r>
        <w:t xml:space="preserve">Key Takeaways: </w:t>
      </w:r>
    </w:p>
    <w:p w14:paraId="24B11615" w14:textId="77777777" w:rsidR="00EA168E" w:rsidRDefault="00F73294" w:rsidP="00926EB3">
      <w:pPr>
        <w:pStyle w:val="ListParagraph"/>
        <w:numPr>
          <w:ilvl w:val="0"/>
          <w:numId w:val="215"/>
        </w:numPr>
      </w:pPr>
      <w:r w:rsidRPr="00F73294">
        <w:t xml:space="preserve">Individuals and communities can take steps to reduce the amount of waste produced and increase that portion of waste they recycle. </w:t>
      </w:r>
    </w:p>
    <w:p w14:paraId="43D22868" w14:textId="30C22FD0" w:rsidR="00F73294" w:rsidRPr="00F73294" w:rsidRDefault="00F73294" w:rsidP="00926EB3">
      <w:pPr>
        <w:pStyle w:val="ListParagraph"/>
        <w:numPr>
          <w:ilvl w:val="0"/>
          <w:numId w:val="215"/>
        </w:numPr>
      </w:pPr>
      <w:r w:rsidRPr="00F73294">
        <w:lastRenderedPageBreak/>
        <w:t>Collective small actions can provide benefits to the environment and help reduce the necessary cost of safely managing the waste we cannot reuse.</w:t>
      </w:r>
    </w:p>
    <w:p w14:paraId="02BAA033" w14:textId="77777777" w:rsidR="00F73294" w:rsidRDefault="00F73294" w:rsidP="00F73294"/>
    <w:p w14:paraId="6C6C0B33" w14:textId="4EE5FFD1" w:rsidR="00F73294" w:rsidRPr="00EA168E" w:rsidRDefault="00F73294" w:rsidP="00F73294">
      <w:pPr>
        <w:rPr>
          <w:rFonts w:cstheme="minorHAnsi"/>
        </w:rPr>
      </w:pPr>
      <w:bookmarkStart w:id="297" w:name="_Toc162267190"/>
      <w:r w:rsidRPr="00EA168E">
        <w:rPr>
          <w:rStyle w:val="Heading4Char"/>
          <w:rFonts w:asciiTheme="minorHAnsi" w:hAnsiTheme="minorHAnsi" w:cstheme="minorHAnsi"/>
          <w:color w:val="000000" w:themeColor="text1"/>
        </w:rPr>
        <w:t>References 6.10</w:t>
      </w:r>
      <w:bookmarkEnd w:id="297"/>
      <w:r w:rsidRPr="00EA168E">
        <w:rPr>
          <w:rFonts w:cstheme="minorHAnsi"/>
          <w:color w:val="000000" w:themeColor="text1"/>
        </w:rPr>
        <w:t xml:space="preserve"> </w:t>
      </w:r>
    </w:p>
    <w:p w14:paraId="448DE905" w14:textId="133131B2" w:rsidR="00F73294" w:rsidRDefault="00F73294" w:rsidP="00F73294">
      <w:r w:rsidRPr="00722CE9">
        <w:t>Statistics in the preceding</w:t>
      </w:r>
      <w:r>
        <w:t xml:space="preserve"> section</w:t>
      </w:r>
      <w:r w:rsidRPr="00722CE9">
        <w:t xml:space="preserve"> were referenced from the following report:</w:t>
      </w:r>
    </w:p>
    <w:p w14:paraId="6CD641B0" w14:textId="042105A2" w:rsidR="00F73294" w:rsidRPr="00F73294" w:rsidRDefault="00000000" w:rsidP="00926EB3">
      <w:pPr>
        <w:pStyle w:val="ListParagraph"/>
        <w:numPr>
          <w:ilvl w:val="0"/>
          <w:numId w:val="27"/>
        </w:numPr>
      </w:pPr>
      <w:hyperlink r:id="rId158" w:history="1">
        <w:r w:rsidR="00F73294" w:rsidRPr="00F73294">
          <w:rPr>
            <w:rStyle w:val="Hyperlink"/>
          </w:rPr>
          <w:t>“Solid Waste Management Annual Report 2022 Fiscal Year” by Simmer, E. Published by SC DHEC. Retrieved July 13, 2023.</w:t>
        </w:r>
      </w:hyperlink>
      <w:r w:rsidR="00F73294" w:rsidRPr="00F73294">
        <w:t xml:space="preserve"> </w:t>
      </w:r>
    </w:p>
    <w:p w14:paraId="721835CD" w14:textId="77777777" w:rsidR="00F73294" w:rsidRDefault="00F73294" w:rsidP="00F73294"/>
    <w:p w14:paraId="7755A9C3" w14:textId="77777777" w:rsidR="00F73294" w:rsidRPr="00F73294" w:rsidRDefault="00F73294" w:rsidP="00F73294">
      <w:pPr>
        <w:pStyle w:val="Heading3"/>
      </w:pPr>
      <w:bookmarkStart w:id="298" w:name="_Toc162267191"/>
      <w:r w:rsidRPr="00F73294">
        <w:t>Health Insurance</w:t>
      </w:r>
      <w:bookmarkEnd w:id="298"/>
    </w:p>
    <w:p w14:paraId="0359101C" w14:textId="047955A0" w:rsidR="00F73294" w:rsidRPr="00F73294" w:rsidRDefault="00F73294" w:rsidP="00F73294">
      <w:r w:rsidRPr="00F73294">
        <w:t xml:space="preserve">Health insurance helps cover the cost of a person’s medical and surgical expenses. People obtain health insurance through a variety of private and public sources, such as through one’s employers or specialized programs such as Medicare, </w:t>
      </w:r>
      <w:proofErr w:type="gramStart"/>
      <w:r w:rsidRPr="00F73294">
        <w:t>Medicaid</w:t>
      </w:r>
      <w:proofErr w:type="gramEnd"/>
      <w:r w:rsidRPr="00F73294">
        <w:t xml:space="preserve"> and Veterans Affairs. Having access to health insurance is critical as those who are uninsured or underinsured receive less medical care, less timely care, have worse health outcomes, and are more likely to report problems with paying medical bills. Additionally, people who are not insured are less likely to receive preventive care and services for major health conditions or associated chronic diseases. Nationally in 2017, hospitals reported providing over $38 billion in uncompensated care to patients. National estimates show that low</w:t>
      </w:r>
      <w:r w:rsidR="00FB4D78">
        <w:t>-</w:t>
      </w:r>
      <w:r w:rsidRPr="00F73294">
        <w:t xml:space="preserve">income families and people of color are at a greater risk of being uninsured. Having a higher percentage of the population insured can not only reduce health care spending but can also improve the overall health of South Carolinians.    </w:t>
      </w:r>
    </w:p>
    <w:p w14:paraId="7AF528B1" w14:textId="77777777" w:rsidR="00F73294" w:rsidRDefault="00F73294" w:rsidP="00F73294"/>
    <w:p w14:paraId="31A3B32C" w14:textId="77777777" w:rsidR="00980919" w:rsidRDefault="00980919" w:rsidP="00980919">
      <w:pPr>
        <w:pStyle w:val="Heading4"/>
      </w:pPr>
      <w:bookmarkStart w:id="299" w:name="_Toc154569833"/>
      <w:bookmarkStart w:id="300" w:name="_Toc162267192"/>
      <w:r>
        <w:t>Figure 6.25: Health Insurance Coverage Among Adults.</w:t>
      </w:r>
      <w:bookmarkEnd w:id="299"/>
      <w:bookmarkEnd w:id="300"/>
      <w:r>
        <w:t xml:space="preserve"> </w:t>
      </w:r>
    </w:p>
    <w:tbl>
      <w:tblPr>
        <w:tblStyle w:val="TableGrid"/>
        <w:tblW w:w="0" w:type="auto"/>
        <w:tblLook w:val="04A0" w:firstRow="1" w:lastRow="0" w:firstColumn="1" w:lastColumn="0" w:noHBand="0" w:noVBand="1"/>
      </w:tblPr>
      <w:tblGrid>
        <w:gridCol w:w="3116"/>
        <w:gridCol w:w="3117"/>
        <w:gridCol w:w="3117"/>
      </w:tblGrid>
      <w:tr w:rsidR="00980919" w14:paraId="590D458B" w14:textId="77777777" w:rsidTr="001515D5">
        <w:tc>
          <w:tcPr>
            <w:tcW w:w="3116" w:type="dxa"/>
            <w:vAlign w:val="bottom"/>
          </w:tcPr>
          <w:p w14:paraId="701D693C" w14:textId="77777777" w:rsidR="00980919" w:rsidRDefault="00980919" w:rsidP="001515D5">
            <w:r>
              <w:t>Year</w:t>
            </w:r>
          </w:p>
        </w:tc>
        <w:tc>
          <w:tcPr>
            <w:tcW w:w="3117" w:type="dxa"/>
            <w:vAlign w:val="bottom"/>
          </w:tcPr>
          <w:p w14:paraId="335B233A" w14:textId="77777777" w:rsidR="00980919" w:rsidRDefault="00980919" w:rsidP="001515D5">
            <w:r>
              <w:t>South Carolina</w:t>
            </w:r>
          </w:p>
        </w:tc>
        <w:tc>
          <w:tcPr>
            <w:tcW w:w="3117" w:type="dxa"/>
            <w:vAlign w:val="bottom"/>
          </w:tcPr>
          <w:p w14:paraId="4A632849" w14:textId="77777777" w:rsidR="00980919" w:rsidRDefault="00980919" w:rsidP="001515D5">
            <w:r>
              <w:t>United States</w:t>
            </w:r>
          </w:p>
        </w:tc>
      </w:tr>
      <w:tr w:rsidR="00980919" w14:paraId="5C67B3B5" w14:textId="77777777" w:rsidTr="001515D5">
        <w:tc>
          <w:tcPr>
            <w:tcW w:w="3116" w:type="dxa"/>
            <w:vAlign w:val="bottom"/>
          </w:tcPr>
          <w:p w14:paraId="6D31DB35" w14:textId="77777777" w:rsidR="00980919" w:rsidRDefault="00980919" w:rsidP="001515D5">
            <w:r>
              <w:t>2011</w:t>
            </w:r>
          </w:p>
        </w:tc>
        <w:tc>
          <w:tcPr>
            <w:tcW w:w="3117" w:type="dxa"/>
            <w:vAlign w:val="bottom"/>
          </w:tcPr>
          <w:p w14:paraId="2CB367CE" w14:textId="77777777" w:rsidR="00980919" w:rsidRDefault="00980919" w:rsidP="001515D5">
            <w:r>
              <w:t>76.50%</w:t>
            </w:r>
          </w:p>
        </w:tc>
        <w:tc>
          <w:tcPr>
            <w:tcW w:w="3117" w:type="dxa"/>
            <w:vAlign w:val="bottom"/>
          </w:tcPr>
          <w:p w14:paraId="79A224B9" w14:textId="77777777" w:rsidR="00980919" w:rsidRDefault="00980919" w:rsidP="001515D5">
            <w:r>
              <w:t>78.90%</w:t>
            </w:r>
          </w:p>
        </w:tc>
      </w:tr>
      <w:tr w:rsidR="00980919" w14:paraId="2CD7B0DB" w14:textId="77777777" w:rsidTr="001515D5">
        <w:tc>
          <w:tcPr>
            <w:tcW w:w="3116" w:type="dxa"/>
            <w:vAlign w:val="bottom"/>
          </w:tcPr>
          <w:p w14:paraId="1166132E" w14:textId="77777777" w:rsidR="00980919" w:rsidRDefault="00980919" w:rsidP="001515D5">
            <w:r>
              <w:t>2012</w:t>
            </w:r>
          </w:p>
        </w:tc>
        <w:tc>
          <w:tcPr>
            <w:tcW w:w="3117" w:type="dxa"/>
            <w:vAlign w:val="bottom"/>
          </w:tcPr>
          <w:p w14:paraId="13FA78D2" w14:textId="77777777" w:rsidR="00980919" w:rsidRDefault="00980919" w:rsidP="001515D5">
            <w:r>
              <w:t>76.00%</w:t>
            </w:r>
          </w:p>
        </w:tc>
        <w:tc>
          <w:tcPr>
            <w:tcW w:w="3117" w:type="dxa"/>
            <w:vAlign w:val="bottom"/>
          </w:tcPr>
          <w:p w14:paraId="0AF9D11B" w14:textId="77777777" w:rsidR="00980919" w:rsidRDefault="00980919" w:rsidP="001515D5">
            <w:r>
              <w:t>79.20%</w:t>
            </w:r>
          </w:p>
        </w:tc>
      </w:tr>
      <w:tr w:rsidR="00980919" w14:paraId="1CACA6CF" w14:textId="77777777" w:rsidTr="001515D5">
        <w:tc>
          <w:tcPr>
            <w:tcW w:w="3116" w:type="dxa"/>
            <w:vAlign w:val="bottom"/>
          </w:tcPr>
          <w:p w14:paraId="69A8964D" w14:textId="77777777" w:rsidR="00980919" w:rsidRDefault="00980919" w:rsidP="001515D5">
            <w:r>
              <w:t>2013</w:t>
            </w:r>
          </w:p>
        </w:tc>
        <w:tc>
          <w:tcPr>
            <w:tcW w:w="3117" w:type="dxa"/>
            <w:vAlign w:val="bottom"/>
          </w:tcPr>
          <w:p w14:paraId="039AF286" w14:textId="77777777" w:rsidR="00980919" w:rsidRDefault="00980919" w:rsidP="001515D5">
            <w:r>
              <w:t>76.90%</w:t>
            </w:r>
          </w:p>
        </w:tc>
        <w:tc>
          <w:tcPr>
            <w:tcW w:w="3117" w:type="dxa"/>
            <w:vAlign w:val="bottom"/>
          </w:tcPr>
          <w:p w14:paraId="6A56BD64" w14:textId="77777777" w:rsidR="00980919" w:rsidRDefault="00980919" w:rsidP="001515D5">
            <w:r>
              <w:t>79.60%</w:t>
            </w:r>
          </w:p>
        </w:tc>
      </w:tr>
      <w:tr w:rsidR="00980919" w14:paraId="258F7801" w14:textId="77777777" w:rsidTr="001515D5">
        <w:tc>
          <w:tcPr>
            <w:tcW w:w="3116" w:type="dxa"/>
            <w:vAlign w:val="bottom"/>
          </w:tcPr>
          <w:p w14:paraId="268801E2" w14:textId="77777777" w:rsidR="00980919" w:rsidRDefault="00980919" w:rsidP="001515D5">
            <w:r>
              <w:t>2014</w:t>
            </w:r>
          </w:p>
        </w:tc>
        <w:tc>
          <w:tcPr>
            <w:tcW w:w="3117" w:type="dxa"/>
            <w:vAlign w:val="bottom"/>
          </w:tcPr>
          <w:p w14:paraId="4ABCF4CC" w14:textId="77777777" w:rsidR="00980919" w:rsidRDefault="00980919" w:rsidP="001515D5">
            <w:r>
              <w:t>80.10%</w:t>
            </w:r>
          </w:p>
        </w:tc>
        <w:tc>
          <w:tcPr>
            <w:tcW w:w="3117" w:type="dxa"/>
            <w:vAlign w:val="bottom"/>
          </w:tcPr>
          <w:p w14:paraId="4E080AB4" w14:textId="77777777" w:rsidR="00980919" w:rsidRDefault="00980919" w:rsidP="001515D5">
            <w:r>
              <w:t>83.60%</w:t>
            </w:r>
          </w:p>
        </w:tc>
      </w:tr>
      <w:tr w:rsidR="00980919" w14:paraId="44BCE185" w14:textId="77777777" w:rsidTr="001515D5">
        <w:tc>
          <w:tcPr>
            <w:tcW w:w="3116" w:type="dxa"/>
            <w:vAlign w:val="bottom"/>
          </w:tcPr>
          <w:p w14:paraId="0BFB8553" w14:textId="77777777" w:rsidR="00980919" w:rsidRDefault="00980919" w:rsidP="001515D5">
            <w:r>
              <w:t>2015</w:t>
            </w:r>
          </w:p>
        </w:tc>
        <w:tc>
          <w:tcPr>
            <w:tcW w:w="3117" w:type="dxa"/>
            <w:vAlign w:val="bottom"/>
          </w:tcPr>
          <w:p w14:paraId="4B367527" w14:textId="77777777" w:rsidR="00980919" w:rsidRDefault="00980919" w:rsidP="001515D5">
            <w:r>
              <w:t>83.70%</w:t>
            </w:r>
          </w:p>
        </w:tc>
        <w:tc>
          <w:tcPr>
            <w:tcW w:w="3117" w:type="dxa"/>
            <w:vAlign w:val="bottom"/>
          </w:tcPr>
          <w:p w14:paraId="03393542" w14:textId="77777777" w:rsidR="00980919" w:rsidRDefault="00980919" w:rsidP="001515D5">
            <w:r>
              <w:t>86.80%</w:t>
            </w:r>
          </w:p>
        </w:tc>
      </w:tr>
      <w:tr w:rsidR="00980919" w14:paraId="428E797C" w14:textId="77777777" w:rsidTr="001515D5">
        <w:tc>
          <w:tcPr>
            <w:tcW w:w="3116" w:type="dxa"/>
            <w:vAlign w:val="bottom"/>
          </w:tcPr>
          <w:p w14:paraId="1D247C2B" w14:textId="77777777" w:rsidR="00980919" w:rsidRDefault="00980919" w:rsidP="001515D5">
            <w:r>
              <w:t>2016</w:t>
            </w:r>
          </w:p>
        </w:tc>
        <w:tc>
          <w:tcPr>
            <w:tcW w:w="3117" w:type="dxa"/>
            <w:vAlign w:val="bottom"/>
          </w:tcPr>
          <w:p w14:paraId="1BBC47BA" w14:textId="77777777" w:rsidR="00980919" w:rsidRDefault="00980919" w:rsidP="001515D5">
            <w:r>
              <w:t>85.00%</w:t>
            </w:r>
          </w:p>
        </w:tc>
        <w:tc>
          <w:tcPr>
            <w:tcW w:w="3117" w:type="dxa"/>
            <w:vAlign w:val="bottom"/>
          </w:tcPr>
          <w:p w14:paraId="211876B3" w14:textId="77777777" w:rsidR="00980919" w:rsidRDefault="00980919" w:rsidP="001515D5">
            <w:r>
              <w:t>87.90%</w:t>
            </w:r>
          </w:p>
        </w:tc>
      </w:tr>
      <w:tr w:rsidR="00980919" w14:paraId="6992B234" w14:textId="77777777" w:rsidTr="001515D5">
        <w:tc>
          <w:tcPr>
            <w:tcW w:w="3116" w:type="dxa"/>
            <w:vAlign w:val="bottom"/>
          </w:tcPr>
          <w:p w14:paraId="6ED75652" w14:textId="77777777" w:rsidR="00980919" w:rsidRDefault="00980919" w:rsidP="001515D5">
            <w:r>
              <w:t>2017</w:t>
            </w:r>
          </w:p>
        </w:tc>
        <w:tc>
          <w:tcPr>
            <w:tcW w:w="3117" w:type="dxa"/>
            <w:vAlign w:val="bottom"/>
          </w:tcPr>
          <w:p w14:paraId="5617848B" w14:textId="77777777" w:rsidR="00980919" w:rsidRDefault="00980919" w:rsidP="001515D5">
            <w:r>
              <w:t>83.90%</w:t>
            </w:r>
          </w:p>
        </w:tc>
        <w:tc>
          <w:tcPr>
            <w:tcW w:w="3117" w:type="dxa"/>
            <w:vAlign w:val="bottom"/>
          </w:tcPr>
          <w:p w14:paraId="5F44B2F8" w14:textId="77777777" w:rsidR="00980919" w:rsidRDefault="00980919" w:rsidP="001515D5">
            <w:r>
              <w:t>87.80%</w:t>
            </w:r>
          </w:p>
        </w:tc>
      </w:tr>
      <w:tr w:rsidR="00980919" w14:paraId="6C3F6BDA" w14:textId="77777777" w:rsidTr="001515D5">
        <w:tc>
          <w:tcPr>
            <w:tcW w:w="3116" w:type="dxa"/>
            <w:vAlign w:val="bottom"/>
          </w:tcPr>
          <w:p w14:paraId="3BCB5420" w14:textId="77777777" w:rsidR="00980919" w:rsidRDefault="00980919" w:rsidP="001515D5">
            <w:r>
              <w:t>2018</w:t>
            </w:r>
          </w:p>
        </w:tc>
        <w:tc>
          <w:tcPr>
            <w:tcW w:w="3117" w:type="dxa"/>
            <w:vAlign w:val="bottom"/>
          </w:tcPr>
          <w:p w14:paraId="0267244C" w14:textId="77777777" w:rsidR="00980919" w:rsidRDefault="00980919" w:rsidP="001515D5">
            <w:r>
              <w:t>84.30%</w:t>
            </w:r>
          </w:p>
        </w:tc>
        <w:tc>
          <w:tcPr>
            <w:tcW w:w="3117" w:type="dxa"/>
            <w:vAlign w:val="bottom"/>
          </w:tcPr>
          <w:p w14:paraId="49E834D3" w14:textId="77777777" w:rsidR="00980919" w:rsidRDefault="00980919" w:rsidP="001515D5">
            <w:r>
              <w:t>87.50%</w:t>
            </w:r>
          </w:p>
        </w:tc>
      </w:tr>
      <w:tr w:rsidR="00980919" w14:paraId="60562875" w14:textId="77777777" w:rsidTr="001515D5">
        <w:tc>
          <w:tcPr>
            <w:tcW w:w="3116" w:type="dxa"/>
            <w:vAlign w:val="bottom"/>
          </w:tcPr>
          <w:p w14:paraId="58197BEF" w14:textId="77777777" w:rsidR="00980919" w:rsidRDefault="00980919" w:rsidP="001515D5">
            <w:r>
              <w:t>2019</w:t>
            </w:r>
          </w:p>
        </w:tc>
        <w:tc>
          <w:tcPr>
            <w:tcW w:w="3117" w:type="dxa"/>
            <w:vAlign w:val="bottom"/>
          </w:tcPr>
          <w:p w14:paraId="64B475AF" w14:textId="77777777" w:rsidR="00980919" w:rsidRDefault="00980919" w:rsidP="001515D5">
            <w:r>
              <w:t>84.00%</w:t>
            </w:r>
          </w:p>
        </w:tc>
        <w:tc>
          <w:tcPr>
            <w:tcW w:w="3117" w:type="dxa"/>
            <w:vAlign w:val="bottom"/>
          </w:tcPr>
          <w:p w14:paraId="7A13B00F" w14:textId="77777777" w:rsidR="00980919" w:rsidRDefault="00980919" w:rsidP="001515D5">
            <w:r>
              <w:t>87.20%</w:t>
            </w:r>
          </w:p>
        </w:tc>
      </w:tr>
      <w:tr w:rsidR="00980919" w14:paraId="6B38F3D1" w14:textId="77777777" w:rsidTr="001515D5">
        <w:tc>
          <w:tcPr>
            <w:tcW w:w="3116" w:type="dxa"/>
            <w:vAlign w:val="bottom"/>
          </w:tcPr>
          <w:p w14:paraId="645AF7D4" w14:textId="77777777" w:rsidR="00980919" w:rsidRDefault="00980919" w:rsidP="001515D5">
            <w:r>
              <w:t>2020</w:t>
            </w:r>
          </w:p>
        </w:tc>
        <w:tc>
          <w:tcPr>
            <w:tcW w:w="3117" w:type="dxa"/>
            <w:vAlign w:val="bottom"/>
          </w:tcPr>
          <w:p w14:paraId="10E26C5D" w14:textId="77777777" w:rsidR="00980919" w:rsidRDefault="00980919" w:rsidP="001515D5">
            <w:r>
              <w:t>84.60%</w:t>
            </w:r>
          </w:p>
        </w:tc>
        <w:tc>
          <w:tcPr>
            <w:tcW w:w="3117" w:type="dxa"/>
            <w:vAlign w:val="bottom"/>
          </w:tcPr>
          <w:p w14:paraId="5963F849" w14:textId="77777777" w:rsidR="00980919" w:rsidRDefault="00980919" w:rsidP="001515D5">
            <w:r>
              <w:t>87.60%</w:t>
            </w:r>
          </w:p>
        </w:tc>
      </w:tr>
    </w:tbl>
    <w:p w14:paraId="02EE76F7" w14:textId="77777777" w:rsidR="00980919" w:rsidRPr="0079645C" w:rsidRDefault="00980919" w:rsidP="00980919">
      <w:r w:rsidRPr="0079645C">
        <w:t xml:space="preserve">Source: US Census SAHIE. </w:t>
      </w:r>
    </w:p>
    <w:p w14:paraId="115693B6" w14:textId="77777777" w:rsidR="00980919" w:rsidRDefault="00980919" w:rsidP="00980919">
      <w:r w:rsidRPr="0079645C">
        <w:t>Notes: Adults 18-64.</w:t>
      </w:r>
    </w:p>
    <w:p w14:paraId="0C4F9752" w14:textId="77777777" w:rsidR="00980919" w:rsidRPr="0079645C" w:rsidRDefault="00980919" w:rsidP="00980919"/>
    <w:p w14:paraId="416D6684" w14:textId="77777777" w:rsidR="00980919" w:rsidRDefault="00980919" w:rsidP="00980919">
      <w:pPr>
        <w:pStyle w:val="Heading4"/>
      </w:pPr>
      <w:bookmarkStart w:id="301" w:name="_Toc154569834"/>
      <w:bookmarkStart w:id="302" w:name="_Toc162267193"/>
      <w:r>
        <w:t>Figure 6.26: Health Insurance Coverage Among Adults, by Race/Ethnicity.</w:t>
      </w:r>
      <w:bookmarkEnd w:id="301"/>
      <w:bookmarkEnd w:id="302"/>
    </w:p>
    <w:tbl>
      <w:tblPr>
        <w:tblStyle w:val="TableGrid"/>
        <w:tblW w:w="0" w:type="auto"/>
        <w:tblLook w:val="04A0" w:firstRow="1" w:lastRow="0" w:firstColumn="1" w:lastColumn="0" w:noHBand="0" w:noVBand="1"/>
      </w:tblPr>
      <w:tblGrid>
        <w:gridCol w:w="3116"/>
        <w:gridCol w:w="3117"/>
        <w:gridCol w:w="3117"/>
      </w:tblGrid>
      <w:tr w:rsidR="00980919" w14:paraId="2BA3F731" w14:textId="77777777" w:rsidTr="001515D5">
        <w:tc>
          <w:tcPr>
            <w:tcW w:w="3116" w:type="dxa"/>
            <w:vAlign w:val="bottom"/>
          </w:tcPr>
          <w:p w14:paraId="1D02A5AE" w14:textId="77777777" w:rsidR="00980919" w:rsidRPr="0079645C" w:rsidRDefault="00980919" w:rsidP="001515D5">
            <w:r>
              <w:t>Race</w:t>
            </w:r>
          </w:p>
        </w:tc>
        <w:tc>
          <w:tcPr>
            <w:tcW w:w="3117" w:type="dxa"/>
            <w:vAlign w:val="bottom"/>
          </w:tcPr>
          <w:p w14:paraId="099AC1E1" w14:textId="77777777" w:rsidR="00980919" w:rsidRPr="0079645C" w:rsidRDefault="00980919" w:rsidP="001515D5">
            <w:r w:rsidRPr="0079645C">
              <w:t>South Carolina</w:t>
            </w:r>
          </w:p>
        </w:tc>
        <w:tc>
          <w:tcPr>
            <w:tcW w:w="3117" w:type="dxa"/>
            <w:vAlign w:val="bottom"/>
          </w:tcPr>
          <w:p w14:paraId="110C9B06" w14:textId="77777777" w:rsidR="00980919" w:rsidRPr="0079645C" w:rsidRDefault="00980919" w:rsidP="001515D5">
            <w:r w:rsidRPr="0079645C">
              <w:t>United States</w:t>
            </w:r>
          </w:p>
        </w:tc>
      </w:tr>
      <w:tr w:rsidR="00980919" w14:paraId="62A40D70" w14:textId="77777777" w:rsidTr="001515D5">
        <w:tc>
          <w:tcPr>
            <w:tcW w:w="3116" w:type="dxa"/>
            <w:vAlign w:val="bottom"/>
          </w:tcPr>
          <w:p w14:paraId="4C4EED9D" w14:textId="77777777" w:rsidR="00980919" w:rsidRPr="0079645C" w:rsidRDefault="00980919" w:rsidP="001515D5">
            <w:r w:rsidRPr="0079645C">
              <w:t>Non-Hispanic White</w:t>
            </w:r>
          </w:p>
        </w:tc>
        <w:tc>
          <w:tcPr>
            <w:tcW w:w="3117" w:type="dxa"/>
            <w:vAlign w:val="bottom"/>
          </w:tcPr>
          <w:p w14:paraId="0AFE7F93" w14:textId="77777777" w:rsidR="00980919" w:rsidRPr="0079645C" w:rsidRDefault="00980919" w:rsidP="001515D5">
            <w:r w:rsidRPr="0079645C">
              <w:t>87.5%</w:t>
            </w:r>
          </w:p>
        </w:tc>
        <w:tc>
          <w:tcPr>
            <w:tcW w:w="3117" w:type="dxa"/>
            <w:vAlign w:val="bottom"/>
          </w:tcPr>
          <w:p w14:paraId="6070CE37" w14:textId="77777777" w:rsidR="00980919" w:rsidRPr="0079645C" w:rsidRDefault="00980919" w:rsidP="001515D5">
            <w:r w:rsidRPr="0079645C">
              <w:t>91.3%</w:t>
            </w:r>
          </w:p>
        </w:tc>
      </w:tr>
      <w:tr w:rsidR="00980919" w14:paraId="5D3BFADC" w14:textId="77777777" w:rsidTr="001515D5">
        <w:tc>
          <w:tcPr>
            <w:tcW w:w="3116" w:type="dxa"/>
            <w:vAlign w:val="bottom"/>
          </w:tcPr>
          <w:p w14:paraId="4AA46C63" w14:textId="77777777" w:rsidR="00980919" w:rsidRPr="0079645C" w:rsidRDefault="00980919" w:rsidP="001515D5">
            <w:r w:rsidRPr="0079645C">
              <w:t>Non-Hispanic Black</w:t>
            </w:r>
          </w:p>
        </w:tc>
        <w:tc>
          <w:tcPr>
            <w:tcW w:w="3117" w:type="dxa"/>
            <w:vAlign w:val="bottom"/>
          </w:tcPr>
          <w:p w14:paraId="20DEDE9E" w14:textId="77777777" w:rsidR="00980919" w:rsidRPr="0079645C" w:rsidRDefault="00980919" w:rsidP="001515D5">
            <w:r w:rsidRPr="0079645C">
              <w:t>82.0%</w:t>
            </w:r>
          </w:p>
        </w:tc>
        <w:tc>
          <w:tcPr>
            <w:tcW w:w="3117" w:type="dxa"/>
            <w:vAlign w:val="bottom"/>
          </w:tcPr>
          <w:p w14:paraId="210F2645" w14:textId="77777777" w:rsidR="00980919" w:rsidRPr="0079645C" w:rsidRDefault="00980919" w:rsidP="001515D5">
            <w:r w:rsidRPr="0079645C">
              <w:t>85.4%</w:t>
            </w:r>
          </w:p>
        </w:tc>
      </w:tr>
      <w:tr w:rsidR="00980919" w14:paraId="0CF1542F" w14:textId="77777777" w:rsidTr="001515D5">
        <w:tc>
          <w:tcPr>
            <w:tcW w:w="3116" w:type="dxa"/>
            <w:vAlign w:val="bottom"/>
          </w:tcPr>
          <w:p w14:paraId="6113A2EF" w14:textId="77777777" w:rsidR="00980919" w:rsidRPr="0079645C" w:rsidRDefault="00980919" w:rsidP="001515D5">
            <w:r w:rsidRPr="0079645C">
              <w:t>Hispanic</w:t>
            </w:r>
          </w:p>
        </w:tc>
        <w:tc>
          <w:tcPr>
            <w:tcW w:w="3117" w:type="dxa"/>
            <w:vAlign w:val="bottom"/>
          </w:tcPr>
          <w:p w14:paraId="495EA2EF" w14:textId="77777777" w:rsidR="00980919" w:rsidRPr="0079645C" w:rsidRDefault="00980919" w:rsidP="001515D5">
            <w:r w:rsidRPr="0079645C">
              <w:t>65.10%</w:t>
            </w:r>
          </w:p>
        </w:tc>
        <w:tc>
          <w:tcPr>
            <w:tcW w:w="3117" w:type="dxa"/>
            <w:vAlign w:val="bottom"/>
          </w:tcPr>
          <w:p w14:paraId="4E9D8B2E" w14:textId="77777777" w:rsidR="00980919" w:rsidRPr="0079645C" w:rsidRDefault="00980919" w:rsidP="001515D5">
            <w:r w:rsidRPr="0079645C">
              <w:t>76.30%</w:t>
            </w:r>
          </w:p>
        </w:tc>
      </w:tr>
    </w:tbl>
    <w:p w14:paraId="213734D7" w14:textId="77777777" w:rsidR="00980919" w:rsidRPr="0079645C" w:rsidRDefault="00980919" w:rsidP="00980919">
      <w:r w:rsidRPr="0079645C">
        <w:t>Source: US Census SAHIE</w:t>
      </w:r>
      <w:r>
        <w:t>, 2020</w:t>
      </w:r>
      <w:r w:rsidRPr="0079645C">
        <w:t xml:space="preserve">. </w:t>
      </w:r>
    </w:p>
    <w:p w14:paraId="5DF2E48F" w14:textId="77777777" w:rsidR="00980919" w:rsidRDefault="00980919" w:rsidP="00980919">
      <w:r w:rsidRPr="0079645C">
        <w:t>Notes: Adults 18-64.</w:t>
      </w:r>
    </w:p>
    <w:p w14:paraId="41A5785D" w14:textId="77777777" w:rsidR="00980919" w:rsidRDefault="00980919" w:rsidP="00980919"/>
    <w:p w14:paraId="4A373497" w14:textId="77777777" w:rsidR="00980919" w:rsidRDefault="00980919" w:rsidP="00980919">
      <w:pPr>
        <w:pStyle w:val="Heading4"/>
      </w:pPr>
      <w:bookmarkStart w:id="303" w:name="_Toc154569835"/>
      <w:bookmarkStart w:id="304" w:name="_Toc162267194"/>
      <w:r>
        <w:t>Figure 6.27: Health Insurance Coverage Among Adults, by County.</w:t>
      </w:r>
      <w:bookmarkEnd w:id="303"/>
      <w:bookmarkEnd w:id="304"/>
    </w:p>
    <w:tbl>
      <w:tblPr>
        <w:tblStyle w:val="TableGrid"/>
        <w:tblW w:w="0" w:type="auto"/>
        <w:tblLook w:val="04A0" w:firstRow="1" w:lastRow="0" w:firstColumn="1" w:lastColumn="0" w:noHBand="0" w:noVBand="1"/>
      </w:tblPr>
      <w:tblGrid>
        <w:gridCol w:w="4675"/>
        <w:gridCol w:w="4675"/>
      </w:tblGrid>
      <w:tr w:rsidR="00980919" w14:paraId="7A2049A8" w14:textId="77777777" w:rsidTr="001515D5">
        <w:tc>
          <w:tcPr>
            <w:tcW w:w="4675" w:type="dxa"/>
            <w:vAlign w:val="bottom"/>
          </w:tcPr>
          <w:p w14:paraId="42E95B3F" w14:textId="77777777" w:rsidR="00980919" w:rsidRDefault="00980919" w:rsidP="001515D5">
            <w:r>
              <w:t>County</w:t>
            </w:r>
          </w:p>
        </w:tc>
        <w:tc>
          <w:tcPr>
            <w:tcW w:w="4675" w:type="dxa"/>
            <w:vAlign w:val="bottom"/>
          </w:tcPr>
          <w:p w14:paraId="0D5E6A4A" w14:textId="77777777" w:rsidR="00980919" w:rsidRDefault="00980919" w:rsidP="001515D5">
            <w:r>
              <w:t>Percent</w:t>
            </w:r>
          </w:p>
        </w:tc>
      </w:tr>
      <w:tr w:rsidR="00980919" w14:paraId="3D8F5219" w14:textId="77777777" w:rsidTr="001515D5">
        <w:tc>
          <w:tcPr>
            <w:tcW w:w="4675" w:type="dxa"/>
            <w:vAlign w:val="bottom"/>
          </w:tcPr>
          <w:p w14:paraId="43B6BBC0" w14:textId="77777777" w:rsidR="00980919" w:rsidRDefault="00980919" w:rsidP="001515D5">
            <w:r>
              <w:t>Abbeville</w:t>
            </w:r>
          </w:p>
        </w:tc>
        <w:tc>
          <w:tcPr>
            <w:tcW w:w="4675" w:type="dxa"/>
            <w:vAlign w:val="bottom"/>
          </w:tcPr>
          <w:p w14:paraId="544D890B" w14:textId="77777777" w:rsidR="00980919" w:rsidRDefault="00980919" w:rsidP="001515D5">
            <w:r>
              <w:t>81.50%</w:t>
            </w:r>
          </w:p>
        </w:tc>
      </w:tr>
      <w:tr w:rsidR="00980919" w14:paraId="03E637AC" w14:textId="77777777" w:rsidTr="001515D5">
        <w:tc>
          <w:tcPr>
            <w:tcW w:w="4675" w:type="dxa"/>
            <w:vAlign w:val="bottom"/>
          </w:tcPr>
          <w:p w14:paraId="3E4D6086" w14:textId="77777777" w:rsidR="00980919" w:rsidRDefault="00980919" w:rsidP="001515D5">
            <w:r>
              <w:t>Aiken</w:t>
            </w:r>
          </w:p>
        </w:tc>
        <w:tc>
          <w:tcPr>
            <w:tcW w:w="4675" w:type="dxa"/>
            <w:vAlign w:val="bottom"/>
          </w:tcPr>
          <w:p w14:paraId="397CCD8C" w14:textId="77777777" w:rsidR="00980919" w:rsidRDefault="00980919" w:rsidP="001515D5">
            <w:r>
              <w:t>85.90%</w:t>
            </w:r>
          </w:p>
        </w:tc>
      </w:tr>
      <w:tr w:rsidR="00980919" w14:paraId="7B457C7B" w14:textId="77777777" w:rsidTr="001515D5">
        <w:tc>
          <w:tcPr>
            <w:tcW w:w="4675" w:type="dxa"/>
            <w:vAlign w:val="bottom"/>
          </w:tcPr>
          <w:p w14:paraId="31F283B9" w14:textId="77777777" w:rsidR="00980919" w:rsidRDefault="00980919" w:rsidP="001515D5">
            <w:r>
              <w:t>Allendale</w:t>
            </w:r>
          </w:p>
        </w:tc>
        <w:tc>
          <w:tcPr>
            <w:tcW w:w="4675" w:type="dxa"/>
            <w:vAlign w:val="bottom"/>
          </w:tcPr>
          <w:p w14:paraId="3FB41990" w14:textId="77777777" w:rsidR="00980919" w:rsidRDefault="00980919" w:rsidP="001515D5">
            <w:r>
              <w:t>85.20%</w:t>
            </w:r>
          </w:p>
        </w:tc>
      </w:tr>
      <w:tr w:rsidR="00980919" w14:paraId="549F412F" w14:textId="77777777" w:rsidTr="001515D5">
        <w:tc>
          <w:tcPr>
            <w:tcW w:w="4675" w:type="dxa"/>
            <w:vAlign w:val="bottom"/>
          </w:tcPr>
          <w:p w14:paraId="33C56C5A" w14:textId="77777777" w:rsidR="00980919" w:rsidRDefault="00980919" w:rsidP="001515D5">
            <w:r>
              <w:t>Anderson</w:t>
            </w:r>
          </w:p>
        </w:tc>
        <w:tc>
          <w:tcPr>
            <w:tcW w:w="4675" w:type="dxa"/>
            <w:vAlign w:val="bottom"/>
          </w:tcPr>
          <w:p w14:paraId="37DA814D" w14:textId="77777777" w:rsidR="00980919" w:rsidRDefault="00980919" w:rsidP="001515D5">
            <w:r>
              <w:t>82.70%</w:t>
            </w:r>
          </w:p>
        </w:tc>
      </w:tr>
      <w:tr w:rsidR="00980919" w14:paraId="23D990AE" w14:textId="77777777" w:rsidTr="001515D5">
        <w:tc>
          <w:tcPr>
            <w:tcW w:w="4675" w:type="dxa"/>
            <w:vAlign w:val="bottom"/>
          </w:tcPr>
          <w:p w14:paraId="7C949C96" w14:textId="77777777" w:rsidR="00980919" w:rsidRDefault="00980919" w:rsidP="001515D5">
            <w:r>
              <w:t>Bamberg</w:t>
            </w:r>
          </w:p>
        </w:tc>
        <w:tc>
          <w:tcPr>
            <w:tcW w:w="4675" w:type="dxa"/>
            <w:vAlign w:val="bottom"/>
          </w:tcPr>
          <w:p w14:paraId="6C4811A3" w14:textId="77777777" w:rsidR="00980919" w:rsidRDefault="00980919" w:rsidP="001515D5">
            <w:r>
              <w:t>84.70%</w:t>
            </w:r>
          </w:p>
        </w:tc>
      </w:tr>
      <w:tr w:rsidR="00980919" w14:paraId="15C78739" w14:textId="77777777" w:rsidTr="001515D5">
        <w:tc>
          <w:tcPr>
            <w:tcW w:w="4675" w:type="dxa"/>
            <w:vAlign w:val="bottom"/>
          </w:tcPr>
          <w:p w14:paraId="6C901D6E" w14:textId="77777777" w:rsidR="00980919" w:rsidRDefault="00980919" w:rsidP="001515D5">
            <w:r>
              <w:t>Barnwell</w:t>
            </w:r>
          </w:p>
        </w:tc>
        <w:tc>
          <w:tcPr>
            <w:tcW w:w="4675" w:type="dxa"/>
            <w:vAlign w:val="bottom"/>
          </w:tcPr>
          <w:p w14:paraId="6FC5E3F8" w14:textId="77777777" w:rsidR="00980919" w:rsidRDefault="00980919" w:rsidP="001515D5">
            <w:r>
              <w:t>82.40%</w:t>
            </w:r>
          </w:p>
        </w:tc>
      </w:tr>
      <w:tr w:rsidR="00980919" w14:paraId="2D44256A" w14:textId="77777777" w:rsidTr="001515D5">
        <w:tc>
          <w:tcPr>
            <w:tcW w:w="4675" w:type="dxa"/>
            <w:vAlign w:val="bottom"/>
          </w:tcPr>
          <w:p w14:paraId="229B5F5D" w14:textId="77777777" w:rsidR="00980919" w:rsidRDefault="00980919" w:rsidP="001515D5">
            <w:r>
              <w:t>Beaufort</w:t>
            </w:r>
          </w:p>
        </w:tc>
        <w:tc>
          <w:tcPr>
            <w:tcW w:w="4675" w:type="dxa"/>
            <w:vAlign w:val="bottom"/>
          </w:tcPr>
          <w:p w14:paraId="3DA63B77" w14:textId="77777777" w:rsidR="00980919" w:rsidRDefault="00980919" w:rsidP="001515D5">
            <w:r>
              <w:t>83.80%</w:t>
            </w:r>
          </w:p>
        </w:tc>
      </w:tr>
      <w:tr w:rsidR="00980919" w14:paraId="540C95D2" w14:textId="77777777" w:rsidTr="001515D5">
        <w:tc>
          <w:tcPr>
            <w:tcW w:w="4675" w:type="dxa"/>
            <w:vAlign w:val="bottom"/>
          </w:tcPr>
          <w:p w14:paraId="2A5C1D8A" w14:textId="77777777" w:rsidR="00980919" w:rsidRDefault="00980919" w:rsidP="001515D5">
            <w:r>
              <w:t>Berkeley</w:t>
            </w:r>
          </w:p>
        </w:tc>
        <w:tc>
          <w:tcPr>
            <w:tcW w:w="4675" w:type="dxa"/>
            <w:vAlign w:val="bottom"/>
          </w:tcPr>
          <w:p w14:paraId="2AE5FC4B" w14:textId="77777777" w:rsidR="00980919" w:rsidRDefault="00980919" w:rsidP="001515D5">
            <w:r>
              <w:t>85.40%</w:t>
            </w:r>
          </w:p>
        </w:tc>
      </w:tr>
      <w:tr w:rsidR="00980919" w14:paraId="05342725" w14:textId="77777777" w:rsidTr="001515D5">
        <w:tc>
          <w:tcPr>
            <w:tcW w:w="4675" w:type="dxa"/>
            <w:vAlign w:val="bottom"/>
          </w:tcPr>
          <w:p w14:paraId="01DC8B8F" w14:textId="77777777" w:rsidR="00980919" w:rsidRDefault="00980919" w:rsidP="001515D5">
            <w:r>
              <w:t>Calhoun</w:t>
            </w:r>
          </w:p>
        </w:tc>
        <w:tc>
          <w:tcPr>
            <w:tcW w:w="4675" w:type="dxa"/>
            <w:vAlign w:val="bottom"/>
          </w:tcPr>
          <w:p w14:paraId="04E2A081" w14:textId="77777777" w:rsidR="00980919" w:rsidRDefault="00980919" w:rsidP="001515D5">
            <w:r>
              <w:t>85.40%</w:t>
            </w:r>
          </w:p>
        </w:tc>
      </w:tr>
      <w:tr w:rsidR="00980919" w14:paraId="06328FD7" w14:textId="77777777" w:rsidTr="001515D5">
        <w:tc>
          <w:tcPr>
            <w:tcW w:w="4675" w:type="dxa"/>
            <w:vAlign w:val="bottom"/>
          </w:tcPr>
          <w:p w14:paraId="3CCE7C58" w14:textId="77777777" w:rsidR="00980919" w:rsidRDefault="00980919" w:rsidP="001515D5">
            <w:r>
              <w:t>Charleston</w:t>
            </w:r>
          </w:p>
        </w:tc>
        <w:tc>
          <w:tcPr>
            <w:tcW w:w="4675" w:type="dxa"/>
            <w:vAlign w:val="bottom"/>
          </w:tcPr>
          <w:p w14:paraId="5885203C" w14:textId="77777777" w:rsidR="00980919" w:rsidRDefault="00980919" w:rsidP="001515D5">
            <w:r>
              <w:t>87.00%</w:t>
            </w:r>
          </w:p>
        </w:tc>
      </w:tr>
      <w:tr w:rsidR="00980919" w14:paraId="4B431B47" w14:textId="77777777" w:rsidTr="001515D5">
        <w:tc>
          <w:tcPr>
            <w:tcW w:w="4675" w:type="dxa"/>
            <w:vAlign w:val="bottom"/>
          </w:tcPr>
          <w:p w14:paraId="5CC4F01D" w14:textId="77777777" w:rsidR="00980919" w:rsidRDefault="00980919" w:rsidP="001515D5">
            <w:r>
              <w:t>Cherokee</w:t>
            </w:r>
          </w:p>
        </w:tc>
        <w:tc>
          <w:tcPr>
            <w:tcW w:w="4675" w:type="dxa"/>
            <w:vAlign w:val="bottom"/>
          </w:tcPr>
          <w:p w14:paraId="0A3C6D8B" w14:textId="77777777" w:rsidR="00980919" w:rsidRDefault="00980919" w:rsidP="001515D5">
            <w:r>
              <w:t>81.10%</w:t>
            </w:r>
          </w:p>
        </w:tc>
      </w:tr>
      <w:tr w:rsidR="00980919" w14:paraId="1ED2990E" w14:textId="77777777" w:rsidTr="001515D5">
        <w:tc>
          <w:tcPr>
            <w:tcW w:w="4675" w:type="dxa"/>
            <w:vAlign w:val="bottom"/>
          </w:tcPr>
          <w:p w14:paraId="687A4BF5" w14:textId="77777777" w:rsidR="00980919" w:rsidRDefault="00980919" w:rsidP="001515D5">
            <w:r>
              <w:t>Chester</w:t>
            </w:r>
          </w:p>
        </w:tc>
        <w:tc>
          <w:tcPr>
            <w:tcW w:w="4675" w:type="dxa"/>
            <w:vAlign w:val="bottom"/>
          </w:tcPr>
          <w:p w14:paraId="36C0D5B0" w14:textId="77777777" w:rsidR="00980919" w:rsidRDefault="00980919" w:rsidP="001515D5">
            <w:r>
              <w:t>84.10%</w:t>
            </w:r>
          </w:p>
        </w:tc>
      </w:tr>
      <w:tr w:rsidR="00980919" w14:paraId="135F84D4" w14:textId="77777777" w:rsidTr="001515D5">
        <w:tc>
          <w:tcPr>
            <w:tcW w:w="4675" w:type="dxa"/>
            <w:vAlign w:val="bottom"/>
          </w:tcPr>
          <w:p w14:paraId="104678F1" w14:textId="77777777" w:rsidR="00980919" w:rsidRDefault="00980919" w:rsidP="001515D5">
            <w:r>
              <w:t>Chesterfield</w:t>
            </w:r>
          </w:p>
        </w:tc>
        <w:tc>
          <w:tcPr>
            <w:tcW w:w="4675" w:type="dxa"/>
            <w:vAlign w:val="bottom"/>
          </w:tcPr>
          <w:p w14:paraId="7A9A7AA2" w14:textId="77777777" w:rsidR="00980919" w:rsidRDefault="00980919" w:rsidP="001515D5">
            <w:r>
              <w:t>82.00%</w:t>
            </w:r>
          </w:p>
        </w:tc>
      </w:tr>
      <w:tr w:rsidR="00980919" w14:paraId="28F1FC05" w14:textId="77777777" w:rsidTr="001515D5">
        <w:tc>
          <w:tcPr>
            <w:tcW w:w="4675" w:type="dxa"/>
            <w:vAlign w:val="bottom"/>
          </w:tcPr>
          <w:p w14:paraId="527762C0" w14:textId="77777777" w:rsidR="00980919" w:rsidRDefault="00980919" w:rsidP="001515D5">
            <w:r>
              <w:t>Clarendon</w:t>
            </w:r>
          </w:p>
        </w:tc>
        <w:tc>
          <w:tcPr>
            <w:tcW w:w="4675" w:type="dxa"/>
            <w:vAlign w:val="bottom"/>
          </w:tcPr>
          <w:p w14:paraId="49144042" w14:textId="77777777" w:rsidR="00980919" w:rsidRDefault="00980919" w:rsidP="001515D5">
            <w:r>
              <w:t>83.00%</w:t>
            </w:r>
          </w:p>
        </w:tc>
      </w:tr>
      <w:tr w:rsidR="00980919" w14:paraId="614DF3D0" w14:textId="77777777" w:rsidTr="001515D5">
        <w:tc>
          <w:tcPr>
            <w:tcW w:w="4675" w:type="dxa"/>
            <w:vAlign w:val="bottom"/>
          </w:tcPr>
          <w:p w14:paraId="665E0FB3" w14:textId="77777777" w:rsidR="00980919" w:rsidRDefault="00980919" w:rsidP="001515D5">
            <w:r>
              <w:t>Colleton</w:t>
            </w:r>
          </w:p>
        </w:tc>
        <w:tc>
          <w:tcPr>
            <w:tcW w:w="4675" w:type="dxa"/>
            <w:vAlign w:val="bottom"/>
          </w:tcPr>
          <w:p w14:paraId="418D3599" w14:textId="77777777" w:rsidR="00980919" w:rsidRDefault="00980919" w:rsidP="001515D5">
            <w:r>
              <w:t>81.20%</w:t>
            </w:r>
          </w:p>
        </w:tc>
      </w:tr>
      <w:tr w:rsidR="00980919" w14:paraId="29519DF3" w14:textId="77777777" w:rsidTr="001515D5">
        <w:tc>
          <w:tcPr>
            <w:tcW w:w="4675" w:type="dxa"/>
            <w:vAlign w:val="bottom"/>
          </w:tcPr>
          <w:p w14:paraId="068F6C7A" w14:textId="77777777" w:rsidR="00980919" w:rsidRDefault="00980919" w:rsidP="001515D5">
            <w:r>
              <w:t>Darlington</w:t>
            </w:r>
          </w:p>
        </w:tc>
        <w:tc>
          <w:tcPr>
            <w:tcW w:w="4675" w:type="dxa"/>
            <w:vAlign w:val="bottom"/>
          </w:tcPr>
          <w:p w14:paraId="474125BD" w14:textId="77777777" w:rsidR="00980919" w:rsidRDefault="00980919" w:rsidP="001515D5">
            <w:r>
              <w:t>85.10%</w:t>
            </w:r>
          </w:p>
        </w:tc>
      </w:tr>
      <w:tr w:rsidR="00980919" w14:paraId="4C1B3051" w14:textId="77777777" w:rsidTr="001515D5">
        <w:tc>
          <w:tcPr>
            <w:tcW w:w="4675" w:type="dxa"/>
            <w:vAlign w:val="bottom"/>
          </w:tcPr>
          <w:p w14:paraId="3B254866" w14:textId="77777777" w:rsidR="00980919" w:rsidRDefault="00980919" w:rsidP="001515D5">
            <w:r>
              <w:t>Dillon</w:t>
            </w:r>
          </w:p>
        </w:tc>
        <w:tc>
          <w:tcPr>
            <w:tcW w:w="4675" w:type="dxa"/>
            <w:vAlign w:val="bottom"/>
          </w:tcPr>
          <w:p w14:paraId="205731B8" w14:textId="77777777" w:rsidR="00980919" w:rsidRDefault="00980919" w:rsidP="001515D5">
            <w:r>
              <w:t>77.50%</w:t>
            </w:r>
          </w:p>
        </w:tc>
      </w:tr>
      <w:tr w:rsidR="00980919" w14:paraId="3ABFEAAC" w14:textId="77777777" w:rsidTr="001515D5">
        <w:tc>
          <w:tcPr>
            <w:tcW w:w="4675" w:type="dxa"/>
            <w:vAlign w:val="bottom"/>
          </w:tcPr>
          <w:p w14:paraId="4A197069" w14:textId="77777777" w:rsidR="00980919" w:rsidRDefault="00980919" w:rsidP="001515D5">
            <w:r>
              <w:t>Dorchester</w:t>
            </w:r>
          </w:p>
        </w:tc>
        <w:tc>
          <w:tcPr>
            <w:tcW w:w="4675" w:type="dxa"/>
            <w:vAlign w:val="bottom"/>
          </w:tcPr>
          <w:p w14:paraId="4CFA55F1" w14:textId="77777777" w:rsidR="00980919" w:rsidRDefault="00980919" w:rsidP="001515D5">
            <w:r>
              <w:t>84.80%</w:t>
            </w:r>
          </w:p>
        </w:tc>
      </w:tr>
      <w:tr w:rsidR="00980919" w14:paraId="0C23071B" w14:textId="77777777" w:rsidTr="001515D5">
        <w:tc>
          <w:tcPr>
            <w:tcW w:w="4675" w:type="dxa"/>
            <w:vAlign w:val="bottom"/>
          </w:tcPr>
          <w:p w14:paraId="6F9AA671" w14:textId="77777777" w:rsidR="00980919" w:rsidRDefault="00980919" w:rsidP="001515D5">
            <w:r>
              <w:t>Edgefield</w:t>
            </w:r>
          </w:p>
        </w:tc>
        <w:tc>
          <w:tcPr>
            <w:tcW w:w="4675" w:type="dxa"/>
            <w:vAlign w:val="bottom"/>
          </w:tcPr>
          <w:p w14:paraId="1AF034B7" w14:textId="77777777" w:rsidR="00980919" w:rsidRDefault="00980919" w:rsidP="001515D5">
            <w:r>
              <w:t>84.50%</w:t>
            </w:r>
          </w:p>
        </w:tc>
      </w:tr>
      <w:tr w:rsidR="00980919" w14:paraId="3767DFE7" w14:textId="77777777" w:rsidTr="001515D5">
        <w:tc>
          <w:tcPr>
            <w:tcW w:w="4675" w:type="dxa"/>
            <w:vAlign w:val="bottom"/>
          </w:tcPr>
          <w:p w14:paraId="36D45A3F" w14:textId="77777777" w:rsidR="00980919" w:rsidRDefault="00980919" w:rsidP="001515D5">
            <w:r>
              <w:t>Fairfield</w:t>
            </w:r>
          </w:p>
        </w:tc>
        <w:tc>
          <w:tcPr>
            <w:tcW w:w="4675" w:type="dxa"/>
            <w:vAlign w:val="bottom"/>
          </w:tcPr>
          <w:p w14:paraId="0B96E8A6" w14:textId="77777777" w:rsidR="00980919" w:rsidRDefault="00980919" w:rsidP="001515D5">
            <w:r>
              <w:t>85.60%</w:t>
            </w:r>
          </w:p>
        </w:tc>
      </w:tr>
      <w:tr w:rsidR="00980919" w14:paraId="4A2601A9" w14:textId="77777777" w:rsidTr="001515D5">
        <w:tc>
          <w:tcPr>
            <w:tcW w:w="4675" w:type="dxa"/>
            <w:vAlign w:val="bottom"/>
          </w:tcPr>
          <w:p w14:paraId="27057238" w14:textId="77777777" w:rsidR="00980919" w:rsidRDefault="00980919" w:rsidP="001515D5">
            <w:r>
              <w:t>Florence</w:t>
            </w:r>
          </w:p>
        </w:tc>
        <w:tc>
          <w:tcPr>
            <w:tcW w:w="4675" w:type="dxa"/>
            <w:vAlign w:val="bottom"/>
          </w:tcPr>
          <w:p w14:paraId="16FB84E5" w14:textId="77777777" w:rsidR="00980919" w:rsidRDefault="00980919" w:rsidP="001515D5">
            <w:r>
              <w:t>84.20%</w:t>
            </w:r>
          </w:p>
        </w:tc>
      </w:tr>
      <w:tr w:rsidR="00980919" w14:paraId="77E74745" w14:textId="77777777" w:rsidTr="001515D5">
        <w:tc>
          <w:tcPr>
            <w:tcW w:w="4675" w:type="dxa"/>
            <w:vAlign w:val="bottom"/>
          </w:tcPr>
          <w:p w14:paraId="2F1A7A46" w14:textId="77777777" w:rsidR="00980919" w:rsidRDefault="00980919" w:rsidP="001515D5">
            <w:r>
              <w:t>Georgetown</w:t>
            </w:r>
          </w:p>
        </w:tc>
        <w:tc>
          <w:tcPr>
            <w:tcW w:w="4675" w:type="dxa"/>
            <w:vAlign w:val="bottom"/>
          </w:tcPr>
          <w:p w14:paraId="25D1AD04" w14:textId="77777777" w:rsidR="00980919" w:rsidRDefault="00980919" w:rsidP="001515D5">
            <w:r>
              <w:t>82.10%</w:t>
            </w:r>
          </w:p>
        </w:tc>
      </w:tr>
      <w:tr w:rsidR="00980919" w14:paraId="6A27336C" w14:textId="77777777" w:rsidTr="001515D5">
        <w:tc>
          <w:tcPr>
            <w:tcW w:w="4675" w:type="dxa"/>
            <w:vAlign w:val="bottom"/>
          </w:tcPr>
          <w:p w14:paraId="7EA61394" w14:textId="77777777" w:rsidR="00980919" w:rsidRDefault="00980919" w:rsidP="001515D5">
            <w:r>
              <w:t>Greenville</w:t>
            </w:r>
          </w:p>
        </w:tc>
        <w:tc>
          <w:tcPr>
            <w:tcW w:w="4675" w:type="dxa"/>
            <w:vAlign w:val="bottom"/>
          </w:tcPr>
          <w:p w14:paraId="444A1C29" w14:textId="77777777" w:rsidR="00980919" w:rsidRDefault="00980919" w:rsidP="001515D5">
            <w:r>
              <w:t>85.00%</w:t>
            </w:r>
          </w:p>
        </w:tc>
      </w:tr>
      <w:tr w:rsidR="00980919" w14:paraId="09DC48DF" w14:textId="77777777" w:rsidTr="001515D5">
        <w:tc>
          <w:tcPr>
            <w:tcW w:w="4675" w:type="dxa"/>
            <w:vAlign w:val="bottom"/>
          </w:tcPr>
          <w:p w14:paraId="7CECB0F7" w14:textId="77777777" w:rsidR="00980919" w:rsidRDefault="00980919" w:rsidP="001515D5">
            <w:r>
              <w:t>Greenwood</w:t>
            </w:r>
          </w:p>
        </w:tc>
        <w:tc>
          <w:tcPr>
            <w:tcW w:w="4675" w:type="dxa"/>
            <w:vAlign w:val="bottom"/>
          </w:tcPr>
          <w:p w14:paraId="1F4DE1CD" w14:textId="77777777" w:rsidR="00980919" w:rsidRDefault="00980919" w:rsidP="001515D5">
            <w:r>
              <w:t>83.30%</w:t>
            </w:r>
          </w:p>
        </w:tc>
      </w:tr>
      <w:tr w:rsidR="00980919" w14:paraId="28BE56BA" w14:textId="77777777" w:rsidTr="001515D5">
        <w:tc>
          <w:tcPr>
            <w:tcW w:w="4675" w:type="dxa"/>
            <w:vAlign w:val="bottom"/>
          </w:tcPr>
          <w:p w14:paraId="62E44CDB" w14:textId="77777777" w:rsidR="00980919" w:rsidRDefault="00980919" w:rsidP="001515D5">
            <w:r>
              <w:t>Hampton</w:t>
            </w:r>
          </w:p>
        </w:tc>
        <w:tc>
          <w:tcPr>
            <w:tcW w:w="4675" w:type="dxa"/>
            <w:vAlign w:val="bottom"/>
          </w:tcPr>
          <w:p w14:paraId="6B655016" w14:textId="77777777" w:rsidR="00980919" w:rsidRDefault="00980919" w:rsidP="001515D5">
            <w:r>
              <w:t>83.20%</w:t>
            </w:r>
          </w:p>
        </w:tc>
      </w:tr>
      <w:tr w:rsidR="00980919" w14:paraId="3E5F39C6" w14:textId="77777777" w:rsidTr="001515D5">
        <w:tc>
          <w:tcPr>
            <w:tcW w:w="4675" w:type="dxa"/>
            <w:vAlign w:val="bottom"/>
          </w:tcPr>
          <w:p w14:paraId="2911E547" w14:textId="77777777" w:rsidR="00980919" w:rsidRDefault="00980919" w:rsidP="001515D5">
            <w:r>
              <w:lastRenderedPageBreak/>
              <w:t>Horry</w:t>
            </w:r>
          </w:p>
        </w:tc>
        <w:tc>
          <w:tcPr>
            <w:tcW w:w="4675" w:type="dxa"/>
            <w:vAlign w:val="bottom"/>
          </w:tcPr>
          <w:p w14:paraId="2E95A81D" w14:textId="77777777" w:rsidR="00980919" w:rsidRDefault="00980919" w:rsidP="001515D5">
            <w:r>
              <w:t>82.10%</w:t>
            </w:r>
          </w:p>
        </w:tc>
      </w:tr>
      <w:tr w:rsidR="00980919" w14:paraId="7661DDDA" w14:textId="77777777" w:rsidTr="001515D5">
        <w:tc>
          <w:tcPr>
            <w:tcW w:w="4675" w:type="dxa"/>
            <w:vAlign w:val="bottom"/>
          </w:tcPr>
          <w:p w14:paraId="66384794" w14:textId="77777777" w:rsidR="00980919" w:rsidRDefault="00980919" w:rsidP="001515D5">
            <w:r>
              <w:t>Jasper</w:t>
            </w:r>
          </w:p>
        </w:tc>
        <w:tc>
          <w:tcPr>
            <w:tcW w:w="4675" w:type="dxa"/>
            <w:vAlign w:val="bottom"/>
          </w:tcPr>
          <w:p w14:paraId="181EF320" w14:textId="77777777" w:rsidR="00980919" w:rsidRDefault="00980919" w:rsidP="001515D5">
            <w:r>
              <w:t>76.60%</w:t>
            </w:r>
          </w:p>
        </w:tc>
      </w:tr>
      <w:tr w:rsidR="00980919" w14:paraId="1DCA9A42" w14:textId="77777777" w:rsidTr="001515D5">
        <w:tc>
          <w:tcPr>
            <w:tcW w:w="4675" w:type="dxa"/>
            <w:vAlign w:val="bottom"/>
          </w:tcPr>
          <w:p w14:paraId="2388DC1F" w14:textId="77777777" w:rsidR="00980919" w:rsidRDefault="00980919" w:rsidP="001515D5">
            <w:r>
              <w:t>Kershaw</w:t>
            </w:r>
          </w:p>
        </w:tc>
        <w:tc>
          <w:tcPr>
            <w:tcW w:w="4675" w:type="dxa"/>
            <w:vAlign w:val="bottom"/>
          </w:tcPr>
          <w:p w14:paraId="547168B4" w14:textId="77777777" w:rsidR="00980919" w:rsidRDefault="00980919" w:rsidP="001515D5">
            <w:r>
              <w:t>85.40%</w:t>
            </w:r>
          </w:p>
        </w:tc>
      </w:tr>
      <w:tr w:rsidR="00980919" w14:paraId="3F29491E" w14:textId="77777777" w:rsidTr="001515D5">
        <w:tc>
          <w:tcPr>
            <w:tcW w:w="4675" w:type="dxa"/>
            <w:vAlign w:val="bottom"/>
          </w:tcPr>
          <w:p w14:paraId="008C99CA" w14:textId="77777777" w:rsidR="00980919" w:rsidRDefault="00980919" w:rsidP="001515D5">
            <w:r>
              <w:t>Lancaster</w:t>
            </w:r>
          </w:p>
        </w:tc>
        <w:tc>
          <w:tcPr>
            <w:tcW w:w="4675" w:type="dxa"/>
            <w:vAlign w:val="bottom"/>
          </w:tcPr>
          <w:p w14:paraId="2CF49C9F" w14:textId="77777777" w:rsidR="00980919" w:rsidRDefault="00980919" w:rsidP="001515D5">
            <w:r>
              <w:t>85.70%</w:t>
            </w:r>
          </w:p>
        </w:tc>
      </w:tr>
      <w:tr w:rsidR="00980919" w14:paraId="3B8F4D27" w14:textId="77777777" w:rsidTr="001515D5">
        <w:tc>
          <w:tcPr>
            <w:tcW w:w="4675" w:type="dxa"/>
            <w:vAlign w:val="bottom"/>
          </w:tcPr>
          <w:p w14:paraId="2DE6E292" w14:textId="77777777" w:rsidR="00980919" w:rsidRDefault="00980919" w:rsidP="001515D5">
            <w:r>
              <w:t>Laurens</w:t>
            </w:r>
          </w:p>
        </w:tc>
        <w:tc>
          <w:tcPr>
            <w:tcW w:w="4675" w:type="dxa"/>
            <w:vAlign w:val="bottom"/>
          </w:tcPr>
          <w:p w14:paraId="0D8ED508" w14:textId="77777777" w:rsidR="00980919" w:rsidRDefault="00980919" w:rsidP="001515D5">
            <w:r>
              <w:t>82.20%</w:t>
            </w:r>
          </w:p>
        </w:tc>
      </w:tr>
      <w:tr w:rsidR="00980919" w14:paraId="5B785020" w14:textId="77777777" w:rsidTr="001515D5">
        <w:tc>
          <w:tcPr>
            <w:tcW w:w="4675" w:type="dxa"/>
            <w:vAlign w:val="bottom"/>
          </w:tcPr>
          <w:p w14:paraId="038FA252" w14:textId="77777777" w:rsidR="00980919" w:rsidRDefault="00980919" w:rsidP="001515D5">
            <w:r>
              <w:t>Lee</w:t>
            </w:r>
          </w:p>
        </w:tc>
        <w:tc>
          <w:tcPr>
            <w:tcW w:w="4675" w:type="dxa"/>
            <w:vAlign w:val="bottom"/>
          </w:tcPr>
          <w:p w14:paraId="3852CC67" w14:textId="77777777" w:rsidR="00980919" w:rsidRDefault="00980919" w:rsidP="001515D5">
            <w:r>
              <w:t>85.30%</w:t>
            </w:r>
          </w:p>
        </w:tc>
      </w:tr>
      <w:tr w:rsidR="00980919" w14:paraId="19F86CB6" w14:textId="77777777" w:rsidTr="001515D5">
        <w:tc>
          <w:tcPr>
            <w:tcW w:w="4675" w:type="dxa"/>
            <w:vAlign w:val="bottom"/>
          </w:tcPr>
          <w:p w14:paraId="31A6CB1F" w14:textId="77777777" w:rsidR="00980919" w:rsidRDefault="00980919" w:rsidP="001515D5">
            <w:r>
              <w:t>Lexington</w:t>
            </w:r>
          </w:p>
        </w:tc>
        <w:tc>
          <w:tcPr>
            <w:tcW w:w="4675" w:type="dxa"/>
            <w:vAlign w:val="bottom"/>
          </w:tcPr>
          <w:p w14:paraId="66CB2286" w14:textId="77777777" w:rsidR="00980919" w:rsidRDefault="00980919" w:rsidP="001515D5">
            <w:r>
              <w:t>86.80%</w:t>
            </w:r>
          </w:p>
        </w:tc>
      </w:tr>
      <w:tr w:rsidR="00980919" w14:paraId="0B48E023" w14:textId="77777777" w:rsidTr="001515D5">
        <w:tc>
          <w:tcPr>
            <w:tcW w:w="4675" w:type="dxa"/>
            <w:vAlign w:val="bottom"/>
          </w:tcPr>
          <w:p w14:paraId="6A6F4986" w14:textId="77777777" w:rsidR="00980919" w:rsidRDefault="00980919" w:rsidP="001515D5">
            <w:r>
              <w:t>McCormick</w:t>
            </w:r>
          </w:p>
        </w:tc>
        <w:tc>
          <w:tcPr>
            <w:tcW w:w="4675" w:type="dxa"/>
            <w:vAlign w:val="bottom"/>
          </w:tcPr>
          <w:p w14:paraId="4A64777D" w14:textId="77777777" w:rsidR="00980919" w:rsidRDefault="00980919" w:rsidP="001515D5">
            <w:r>
              <w:t>86.30%</w:t>
            </w:r>
          </w:p>
        </w:tc>
      </w:tr>
      <w:tr w:rsidR="00980919" w14:paraId="513DB7D6" w14:textId="77777777" w:rsidTr="001515D5">
        <w:tc>
          <w:tcPr>
            <w:tcW w:w="4675" w:type="dxa"/>
            <w:vAlign w:val="bottom"/>
          </w:tcPr>
          <w:p w14:paraId="05CB5D82" w14:textId="77777777" w:rsidR="00980919" w:rsidRDefault="00980919" w:rsidP="001515D5">
            <w:r>
              <w:t>Marion</w:t>
            </w:r>
          </w:p>
        </w:tc>
        <w:tc>
          <w:tcPr>
            <w:tcW w:w="4675" w:type="dxa"/>
            <w:vAlign w:val="bottom"/>
          </w:tcPr>
          <w:p w14:paraId="65CEFFF1" w14:textId="77777777" w:rsidR="00980919" w:rsidRDefault="00980919" w:rsidP="001515D5">
            <w:r>
              <w:t>81.90%</w:t>
            </w:r>
          </w:p>
        </w:tc>
      </w:tr>
      <w:tr w:rsidR="00980919" w14:paraId="0D927F3E" w14:textId="77777777" w:rsidTr="001515D5">
        <w:tc>
          <w:tcPr>
            <w:tcW w:w="4675" w:type="dxa"/>
            <w:vAlign w:val="bottom"/>
          </w:tcPr>
          <w:p w14:paraId="47C26D2D" w14:textId="77777777" w:rsidR="00980919" w:rsidRDefault="00980919" w:rsidP="001515D5">
            <w:r>
              <w:t>Marlboro</w:t>
            </w:r>
          </w:p>
        </w:tc>
        <w:tc>
          <w:tcPr>
            <w:tcW w:w="4675" w:type="dxa"/>
            <w:vAlign w:val="bottom"/>
          </w:tcPr>
          <w:p w14:paraId="08E3286C" w14:textId="77777777" w:rsidR="00980919" w:rsidRDefault="00980919" w:rsidP="001515D5">
            <w:r>
              <w:t>82.10%</w:t>
            </w:r>
          </w:p>
        </w:tc>
      </w:tr>
      <w:tr w:rsidR="00980919" w14:paraId="011758B8" w14:textId="77777777" w:rsidTr="001515D5">
        <w:tc>
          <w:tcPr>
            <w:tcW w:w="4675" w:type="dxa"/>
            <w:vAlign w:val="bottom"/>
          </w:tcPr>
          <w:p w14:paraId="4828365B" w14:textId="77777777" w:rsidR="00980919" w:rsidRDefault="00980919" w:rsidP="001515D5">
            <w:r>
              <w:t>Newberry</w:t>
            </w:r>
          </w:p>
        </w:tc>
        <w:tc>
          <w:tcPr>
            <w:tcW w:w="4675" w:type="dxa"/>
            <w:vAlign w:val="bottom"/>
          </w:tcPr>
          <w:p w14:paraId="49BA09D0" w14:textId="77777777" w:rsidR="00980919" w:rsidRDefault="00980919" w:rsidP="001515D5">
            <w:r>
              <w:t>81.10%</w:t>
            </w:r>
          </w:p>
        </w:tc>
      </w:tr>
      <w:tr w:rsidR="00980919" w14:paraId="2A9709E1" w14:textId="77777777" w:rsidTr="001515D5">
        <w:tc>
          <w:tcPr>
            <w:tcW w:w="4675" w:type="dxa"/>
            <w:vAlign w:val="bottom"/>
          </w:tcPr>
          <w:p w14:paraId="77B32A63" w14:textId="77777777" w:rsidR="00980919" w:rsidRDefault="00980919" w:rsidP="001515D5">
            <w:r>
              <w:t>Oconee</w:t>
            </w:r>
          </w:p>
        </w:tc>
        <w:tc>
          <w:tcPr>
            <w:tcW w:w="4675" w:type="dxa"/>
            <w:vAlign w:val="bottom"/>
          </w:tcPr>
          <w:p w14:paraId="2F6E03DD" w14:textId="77777777" w:rsidR="00980919" w:rsidRDefault="00980919" w:rsidP="001515D5">
            <w:r>
              <w:t>81.90%</w:t>
            </w:r>
          </w:p>
        </w:tc>
      </w:tr>
      <w:tr w:rsidR="00980919" w14:paraId="3F73991B" w14:textId="77777777" w:rsidTr="001515D5">
        <w:tc>
          <w:tcPr>
            <w:tcW w:w="4675" w:type="dxa"/>
            <w:vAlign w:val="bottom"/>
          </w:tcPr>
          <w:p w14:paraId="7F62D959" w14:textId="77777777" w:rsidR="00980919" w:rsidRDefault="00980919" w:rsidP="001515D5">
            <w:r>
              <w:t>Orangeburg</w:t>
            </w:r>
          </w:p>
        </w:tc>
        <w:tc>
          <w:tcPr>
            <w:tcW w:w="4675" w:type="dxa"/>
            <w:vAlign w:val="bottom"/>
          </w:tcPr>
          <w:p w14:paraId="0E3918A8" w14:textId="77777777" w:rsidR="00980919" w:rsidRDefault="00980919" w:rsidP="001515D5">
            <w:r>
              <w:t>84.40%</w:t>
            </w:r>
          </w:p>
        </w:tc>
      </w:tr>
      <w:tr w:rsidR="00980919" w14:paraId="481D47C3" w14:textId="77777777" w:rsidTr="001515D5">
        <w:tc>
          <w:tcPr>
            <w:tcW w:w="4675" w:type="dxa"/>
            <w:vAlign w:val="bottom"/>
          </w:tcPr>
          <w:p w14:paraId="50C583DD" w14:textId="77777777" w:rsidR="00980919" w:rsidRDefault="00980919" w:rsidP="001515D5">
            <w:r>
              <w:t>Pickens</w:t>
            </w:r>
          </w:p>
        </w:tc>
        <w:tc>
          <w:tcPr>
            <w:tcW w:w="4675" w:type="dxa"/>
            <w:vAlign w:val="bottom"/>
          </w:tcPr>
          <w:p w14:paraId="44609412" w14:textId="77777777" w:rsidR="00980919" w:rsidRDefault="00980919" w:rsidP="001515D5">
            <w:r>
              <w:t>84.90%</w:t>
            </w:r>
          </w:p>
        </w:tc>
      </w:tr>
      <w:tr w:rsidR="00980919" w14:paraId="76368E2C" w14:textId="77777777" w:rsidTr="001515D5">
        <w:tc>
          <w:tcPr>
            <w:tcW w:w="4675" w:type="dxa"/>
            <w:vAlign w:val="bottom"/>
          </w:tcPr>
          <w:p w14:paraId="2656D9C9" w14:textId="77777777" w:rsidR="00980919" w:rsidRDefault="00980919" w:rsidP="001515D5">
            <w:r>
              <w:t>Richland</w:t>
            </w:r>
          </w:p>
        </w:tc>
        <w:tc>
          <w:tcPr>
            <w:tcW w:w="4675" w:type="dxa"/>
            <w:vAlign w:val="bottom"/>
          </w:tcPr>
          <w:p w14:paraId="6CEDB49B" w14:textId="77777777" w:rsidR="00980919" w:rsidRDefault="00980919" w:rsidP="001515D5">
            <w:r>
              <w:t>85.90%</w:t>
            </w:r>
          </w:p>
        </w:tc>
      </w:tr>
      <w:tr w:rsidR="00980919" w14:paraId="3A5AA9B8" w14:textId="77777777" w:rsidTr="001515D5">
        <w:tc>
          <w:tcPr>
            <w:tcW w:w="4675" w:type="dxa"/>
            <w:vAlign w:val="bottom"/>
          </w:tcPr>
          <w:p w14:paraId="25F93588" w14:textId="77777777" w:rsidR="00980919" w:rsidRDefault="00980919" w:rsidP="001515D5">
            <w:r>
              <w:t>Saluda</w:t>
            </w:r>
          </w:p>
        </w:tc>
        <w:tc>
          <w:tcPr>
            <w:tcW w:w="4675" w:type="dxa"/>
            <w:vAlign w:val="bottom"/>
          </w:tcPr>
          <w:p w14:paraId="64876C82" w14:textId="77777777" w:rsidR="00980919" w:rsidRDefault="00980919" w:rsidP="001515D5">
            <w:r>
              <w:t>74.70%</w:t>
            </w:r>
          </w:p>
        </w:tc>
      </w:tr>
      <w:tr w:rsidR="00980919" w14:paraId="555D6BA4" w14:textId="77777777" w:rsidTr="001515D5">
        <w:tc>
          <w:tcPr>
            <w:tcW w:w="4675" w:type="dxa"/>
            <w:vAlign w:val="bottom"/>
          </w:tcPr>
          <w:p w14:paraId="432DC04D" w14:textId="77777777" w:rsidR="00980919" w:rsidRDefault="00980919" w:rsidP="001515D5">
            <w:r>
              <w:t>Spartanburg</w:t>
            </w:r>
          </w:p>
        </w:tc>
        <w:tc>
          <w:tcPr>
            <w:tcW w:w="4675" w:type="dxa"/>
            <w:vAlign w:val="bottom"/>
          </w:tcPr>
          <w:p w14:paraId="4D371640" w14:textId="77777777" w:rsidR="00980919" w:rsidRDefault="00980919" w:rsidP="001515D5">
            <w:r>
              <w:t>84.30%</w:t>
            </w:r>
          </w:p>
        </w:tc>
      </w:tr>
      <w:tr w:rsidR="00980919" w14:paraId="0C08F5CD" w14:textId="77777777" w:rsidTr="001515D5">
        <w:tc>
          <w:tcPr>
            <w:tcW w:w="4675" w:type="dxa"/>
            <w:vAlign w:val="bottom"/>
          </w:tcPr>
          <w:p w14:paraId="7BF75CF9" w14:textId="77777777" w:rsidR="00980919" w:rsidRDefault="00980919" w:rsidP="001515D5">
            <w:r>
              <w:t>Sumter</w:t>
            </w:r>
          </w:p>
        </w:tc>
        <w:tc>
          <w:tcPr>
            <w:tcW w:w="4675" w:type="dxa"/>
            <w:vAlign w:val="bottom"/>
          </w:tcPr>
          <w:p w14:paraId="5BB6B9F6" w14:textId="77777777" w:rsidR="00980919" w:rsidRDefault="00980919" w:rsidP="001515D5">
            <w:r>
              <w:t>82.00%</w:t>
            </w:r>
          </w:p>
        </w:tc>
      </w:tr>
      <w:tr w:rsidR="00980919" w14:paraId="5CBA5A97" w14:textId="77777777" w:rsidTr="001515D5">
        <w:tc>
          <w:tcPr>
            <w:tcW w:w="4675" w:type="dxa"/>
            <w:vAlign w:val="bottom"/>
          </w:tcPr>
          <w:p w14:paraId="4ECA6E5F" w14:textId="77777777" w:rsidR="00980919" w:rsidRDefault="00980919" w:rsidP="001515D5">
            <w:r>
              <w:t>Union</w:t>
            </w:r>
          </w:p>
        </w:tc>
        <w:tc>
          <w:tcPr>
            <w:tcW w:w="4675" w:type="dxa"/>
            <w:vAlign w:val="bottom"/>
          </w:tcPr>
          <w:p w14:paraId="46F9157E" w14:textId="77777777" w:rsidR="00980919" w:rsidRDefault="00980919" w:rsidP="001515D5">
            <w:r>
              <w:t>85.10%</w:t>
            </w:r>
          </w:p>
        </w:tc>
      </w:tr>
      <w:tr w:rsidR="00980919" w14:paraId="16863D32" w14:textId="77777777" w:rsidTr="001515D5">
        <w:tc>
          <w:tcPr>
            <w:tcW w:w="4675" w:type="dxa"/>
            <w:vAlign w:val="bottom"/>
          </w:tcPr>
          <w:p w14:paraId="74322832" w14:textId="77777777" w:rsidR="00980919" w:rsidRDefault="00980919" w:rsidP="001515D5">
            <w:r>
              <w:t>Williamsburg</w:t>
            </w:r>
          </w:p>
        </w:tc>
        <w:tc>
          <w:tcPr>
            <w:tcW w:w="4675" w:type="dxa"/>
            <w:vAlign w:val="bottom"/>
          </w:tcPr>
          <w:p w14:paraId="433D0218" w14:textId="77777777" w:rsidR="00980919" w:rsidRDefault="00980919" w:rsidP="001515D5">
            <w:r>
              <w:t>84.10%</w:t>
            </w:r>
          </w:p>
        </w:tc>
      </w:tr>
      <w:tr w:rsidR="00980919" w14:paraId="63A65F68" w14:textId="77777777" w:rsidTr="001515D5">
        <w:tc>
          <w:tcPr>
            <w:tcW w:w="4675" w:type="dxa"/>
            <w:vAlign w:val="bottom"/>
          </w:tcPr>
          <w:p w14:paraId="36E65EE9" w14:textId="77777777" w:rsidR="00980919" w:rsidRDefault="00980919" w:rsidP="001515D5">
            <w:r>
              <w:t>York</w:t>
            </w:r>
          </w:p>
        </w:tc>
        <w:tc>
          <w:tcPr>
            <w:tcW w:w="4675" w:type="dxa"/>
            <w:vAlign w:val="bottom"/>
          </w:tcPr>
          <w:p w14:paraId="3ED3EFE1" w14:textId="77777777" w:rsidR="00980919" w:rsidRDefault="00980919" w:rsidP="001515D5">
            <w:r>
              <w:t>86.40%</w:t>
            </w:r>
          </w:p>
        </w:tc>
      </w:tr>
    </w:tbl>
    <w:p w14:paraId="00A6FC5D" w14:textId="77777777" w:rsidR="00980919" w:rsidRPr="0079645C" w:rsidRDefault="00980919" w:rsidP="00980919">
      <w:r w:rsidRPr="0079645C">
        <w:t>Source: US Census SAHIE</w:t>
      </w:r>
      <w:r>
        <w:t>, 2020</w:t>
      </w:r>
      <w:r w:rsidRPr="0079645C">
        <w:t xml:space="preserve">. </w:t>
      </w:r>
    </w:p>
    <w:p w14:paraId="212C3EA0" w14:textId="77777777" w:rsidR="00980919" w:rsidRDefault="00980919" w:rsidP="00980919">
      <w:r w:rsidRPr="0079645C">
        <w:t>Notes: Adults 18-64.</w:t>
      </w:r>
    </w:p>
    <w:p w14:paraId="0EFF992D" w14:textId="77777777" w:rsidR="00F73294" w:rsidRDefault="00F73294" w:rsidP="00F73294"/>
    <w:p w14:paraId="0DCD3C2F" w14:textId="77777777" w:rsidR="00F73294" w:rsidRDefault="00F73294" w:rsidP="00F73294">
      <w:pPr>
        <w:rPr>
          <w:b/>
          <w:bCs/>
        </w:rPr>
      </w:pPr>
      <w:bookmarkStart w:id="305" w:name="_Toc162267195"/>
      <w:r w:rsidRPr="00F73294">
        <w:rPr>
          <w:rStyle w:val="Heading4Char"/>
        </w:rPr>
        <w:t>Data Interpretations:</w:t>
      </w:r>
      <w:bookmarkEnd w:id="305"/>
      <w:r w:rsidRPr="00F73294">
        <w:rPr>
          <w:b/>
          <w:bCs/>
        </w:rPr>
        <w:t xml:space="preserve"> </w:t>
      </w:r>
    </w:p>
    <w:p w14:paraId="6D517C94" w14:textId="29070811" w:rsidR="00F73294" w:rsidRPr="00F73294" w:rsidRDefault="00F73294" w:rsidP="00F73294">
      <w:r w:rsidRPr="00F73294">
        <w:t>The percent of adults ages 18-64 who are insured in SC has increased from 76.5% in 2011 to 84.6% in 2020 (</w:t>
      </w:r>
      <w:r w:rsidRPr="00F73294">
        <w:rPr>
          <w:b/>
          <w:bCs/>
        </w:rPr>
        <w:t>Figure 6.25</w:t>
      </w:r>
      <w:r w:rsidRPr="00F73294">
        <w:t>). Despite the consistent increase in the percent of adults who are insured, SC still sees a lower rate compared to the national average (87.6%). In 2020, SC saw the 9th lowest percent of adults aged 18-64 who are insured in the nation. Non-Hispanic White adults see the highest rates of being insured at the state and national level (</w:t>
      </w:r>
      <w:r w:rsidRPr="00F73294">
        <w:rPr>
          <w:b/>
          <w:bCs/>
        </w:rPr>
        <w:t>Figure 6.26</w:t>
      </w:r>
      <w:r w:rsidRPr="00F73294">
        <w:t xml:space="preserve">). In SC, Hispanics (65.1%) saw the lowest percent of adults being insured, seeing a 25.6% lower rate than their non-Hispanic White counterparts. All racial and ethnic groups in the state see lower rates of adults who are insured compared to the national average, with Hispanic adults seeing the largest gap. SC adult females (86.7%) see higher rates of being insured compared to their male counterparts (82.2%). SC counties see a wide range of adults who are insured, from a low of 74.7% in Saluda County </w:t>
      </w:r>
      <w:r w:rsidRPr="00F73294">
        <w:lastRenderedPageBreak/>
        <w:t>to a high of 87.0% in Charleston County (</w:t>
      </w:r>
      <w:r w:rsidRPr="00F73294">
        <w:rPr>
          <w:b/>
          <w:bCs/>
        </w:rPr>
        <w:t>Figure 6.27</w:t>
      </w:r>
      <w:r w:rsidRPr="00F73294">
        <w:t>). The Midlands region sees higher rates of adults being insured compared to other regions in the state.</w:t>
      </w:r>
    </w:p>
    <w:p w14:paraId="76EB6FB5" w14:textId="77777777" w:rsidR="00F73294" w:rsidRPr="00F73294" w:rsidRDefault="00F73294" w:rsidP="00F73294"/>
    <w:p w14:paraId="5FC113C0" w14:textId="6342BBD7" w:rsidR="00F73294" w:rsidRDefault="00F73294" w:rsidP="00F73294">
      <w:pPr>
        <w:pStyle w:val="Heading5"/>
      </w:pPr>
      <w:r>
        <w:t xml:space="preserve">Key Takeaways: </w:t>
      </w:r>
    </w:p>
    <w:p w14:paraId="5D47ED90" w14:textId="77777777" w:rsidR="00F73294" w:rsidRPr="00F73294" w:rsidRDefault="00F73294" w:rsidP="00926EB3">
      <w:pPr>
        <w:pStyle w:val="ListParagraph"/>
        <w:numPr>
          <w:ilvl w:val="0"/>
          <w:numId w:val="216"/>
        </w:numPr>
      </w:pPr>
      <w:r w:rsidRPr="00F73294">
        <w:t>Hispanic populations disproportionately lack insurance coverage across the state and nation.</w:t>
      </w:r>
    </w:p>
    <w:p w14:paraId="29C9FF3C" w14:textId="77777777" w:rsidR="00F73294" w:rsidRDefault="00F73294" w:rsidP="00F73294"/>
    <w:p w14:paraId="2A271A7E" w14:textId="1A9D0F9F" w:rsidR="00F73294" w:rsidRPr="00EA168E" w:rsidRDefault="00F73294" w:rsidP="00F73294">
      <w:pPr>
        <w:rPr>
          <w:rFonts w:cstheme="minorHAnsi"/>
        </w:rPr>
      </w:pPr>
      <w:bookmarkStart w:id="306" w:name="_Toc162267196"/>
      <w:r w:rsidRPr="00EA168E">
        <w:rPr>
          <w:rStyle w:val="Heading4Char"/>
          <w:rFonts w:asciiTheme="minorHAnsi" w:hAnsiTheme="minorHAnsi" w:cstheme="minorHAnsi"/>
          <w:color w:val="000000" w:themeColor="text1"/>
        </w:rPr>
        <w:t>References 6.11</w:t>
      </w:r>
      <w:bookmarkEnd w:id="306"/>
      <w:r w:rsidRPr="00EA168E">
        <w:rPr>
          <w:rFonts w:cstheme="minorHAnsi"/>
          <w:i/>
          <w:iCs/>
          <w:color w:val="000000" w:themeColor="text1"/>
        </w:rPr>
        <w:t xml:space="preserve"> </w:t>
      </w:r>
    </w:p>
    <w:p w14:paraId="393027EB" w14:textId="490F03DE" w:rsidR="00F73294" w:rsidRDefault="00F73294" w:rsidP="00F73294">
      <w:r w:rsidRPr="00722CE9">
        <w:t>Statistics in the preceding</w:t>
      </w:r>
      <w:r>
        <w:t xml:space="preserve"> section</w:t>
      </w:r>
      <w:r w:rsidRPr="00722CE9">
        <w:t xml:space="preserve"> were referenced from the following report</w:t>
      </w:r>
      <w:r>
        <w:t>s</w:t>
      </w:r>
      <w:r w:rsidRPr="00722CE9">
        <w:t>:</w:t>
      </w:r>
    </w:p>
    <w:p w14:paraId="55A582AA" w14:textId="678B8746" w:rsidR="00F73294" w:rsidRPr="00F73294" w:rsidRDefault="00000000" w:rsidP="00926EB3">
      <w:pPr>
        <w:pStyle w:val="ListParagraph"/>
        <w:numPr>
          <w:ilvl w:val="0"/>
          <w:numId w:val="27"/>
        </w:numPr>
      </w:pPr>
      <w:hyperlink r:id="rId159" w:anchor="summary" w:history="1">
        <w:r w:rsidR="00F73294" w:rsidRPr="00F73294">
          <w:rPr>
            <w:rStyle w:val="Hyperlink"/>
          </w:rPr>
          <w:t xml:space="preserve">“Health Insurance: Types and legislation” by </w:t>
        </w:r>
        <w:proofErr w:type="spellStart"/>
        <w:r w:rsidR="00F73294" w:rsidRPr="00F73294">
          <w:rPr>
            <w:rStyle w:val="Hyperlink"/>
          </w:rPr>
          <w:t>Felman</w:t>
        </w:r>
        <w:proofErr w:type="spellEnd"/>
        <w:r w:rsidR="00F73294" w:rsidRPr="00F73294">
          <w:rPr>
            <w:rStyle w:val="Hyperlink"/>
          </w:rPr>
          <w:t xml:space="preserve">, A. Published in Medical News Today, 2021. Retrieved December 13, 2022. </w:t>
        </w:r>
      </w:hyperlink>
      <w:r w:rsidR="00F73294" w:rsidRPr="00F73294">
        <w:t xml:space="preserve"> </w:t>
      </w:r>
    </w:p>
    <w:p w14:paraId="49928B20" w14:textId="09BF649B" w:rsidR="00F73294" w:rsidRPr="00F73294" w:rsidRDefault="00000000" w:rsidP="00926EB3">
      <w:pPr>
        <w:pStyle w:val="ListParagraph"/>
        <w:numPr>
          <w:ilvl w:val="0"/>
          <w:numId w:val="27"/>
        </w:numPr>
      </w:pPr>
      <w:hyperlink r:id="rId160" w:history="1">
        <w:r w:rsidR="00F73294" w:rsidRPr="00F73294">
          <w:rPr>
            <w:rStyle w:val="Hyperlink"/>
          </w:rPr>
          <w:t>“Report: The Importance of Health Coverage: AHA” by the American Hospital Association. Retrieved December 13, 2022.</w:t>
        </w:r>
      </w:hyperlink>
      <w:r w:rsidR="00F73294" w:rsidRPr="00F73294">
        <w:t xml:space="preserve"> </w:t>
      </w:r>
    </w:p>
    <w:p w14:paraId="15F01C86" w14:textId="7C9ED5B7" w:rsidR="00F73294" w:rsidRPr="00F73294" w:rsidRDefault="00F73294" w:rsidP="00926EB3">
      <w:pPr>
        <w:pStyle w:val="ListParagraph"/>
        <w:numPr>
          <w:ilvl w:val="0"/>
          <w:numId w:val="27"/>
        </w:numPr>
      </w:pPr>
      <w:r>
        <w:t>“</w:t>
      </w:r>
      <w:r w:rsidRPr="00F73294">
        <w:t>Why health insurance is important</w:t>
      </w:r>
      <w:r>
        <w:t>” by</w:t>
      </w:r>
      <w:r w:rsidRPr="00F73294">
        <w:t xml:space="preserve"> </w:t>
      </w:r>
      <w:proofErr w:type="spellStart"/>
      <w:r w:rsidRPr="00F73294">
        <w:t>Bovbjerg</w:t>
      </w:r>
      <w:proofErr w:type="spellEnd"/>
      <w:r w:rsidRPr="00F73294">
        <w:t>, R., &amp; Hadley, J.</w:t>
      </w:r>
      <w:r>
        <w:t xml:space="preserve"> Published in</w:t>
      </w:r>
      <w:r w:rsidRPr="00F73294">
        <w:t> Health Policy Briefs</w:t>
      </w:r>
      <w:r>
        <w:t xml:space="preserve"> by</w:t>
      </w:r>
      <w:r w:rsidRPr="00F73294">
        <w:t xml:space="preserve"> The Urban Institute</w:t>
      </w:r>
      <w:r>
        <w:t xml:space="preserve">, </w:t>
      </w:r>
      <w:r w:rsidRPr="00F73294">
        <w:t>Washington, DC</w:t>
      </w:r>
      <w:r>
        <w:t>, 2007</w:t>
      </w:r>
      <w:r w:rsidRPr="00F73294">
        <w:t xml:space="preserve">. </w:t>
      </w:r>
      <w:r>
        <w:t>No hyperlink.</w:t>
      </w:r>
    </w:p>
    <w:p w14:paraId="3783089D" w14:textId="7F527D47" w:rsidR="00F73294" w:rsidRPr="00F73294" w:rsidRDefault="00000000" w:rsidP="00926EB3">
      <w:pPr>
        <w:pStyle w:val="ListParagraph"/>
        <w:numPr>
          <w:ilvl w:val="0"/>
          <w:numId w:val="27"/>
        </w:numPr>
      </w:pPr>
      <w:hyperlink r:id="rId161" w:history="1">
        <w:r w:rsidR="00F73294" w:rsidRPr="00F73294">
          <w:rPr>
            <w:rStyle w:val="Hyperlink"/>
          </w:rPr>
          <w:t xml:space="preserve">“Key facts about the uninsured population. Uninsured,” by Tolbert, J. F. @_K. O. on T., </w:t>
        </w:r>
        <w:proofErr w:type="spellStart"/>
        <w:r w:rsidR="00F73294" w:rsidRPr="00F73294">
          <w:rPr>
            <w:rStyle w:val="Hyperlink"/>
          </w:rPr>
          <w:t>Orgera</w:t>
        </w:r>
        <w:proofErr w:type="spellEnd"/>
        <w:r w:rsidR="00F73294" w:rsidRPr="00F73294">
          <w:rPr>
            <w:rStyle w:val="Hyperlink"/>
          </w:rPr>
          <w:t>, K., &amp; Damico, A, 2020. Retrieved December 13, 2022.</w:t>
        </w:r>
      </w:hyperlink>
    </w:p>
    <w:p w14:paraId="42F915F4" w14:textId="77777777" w:rsidR="00F73294" w:rsidRDefault="00F73294" w:rsidP="00F73294"/>
    <w:p w14:paraId="16D712B7" w14:textId="77777777" w:rsidR="00F73294" w:rsidRDefault="00F73294" w:rsidP="00F73294">
      <w:pPr>
        <w:pStyle w:val="Heading3"/>
      </w:pPr>
      <w:bookmarkStart w:id="307" w:name="_Toc162267197"/>
      <w:r w:rsidRPr="00F73294">
        <w:t>Delayed Medical Care</w:t>
      </w:r>
      <w:bookmarkEnd w:id="307"/>
    </w:p>
    <w:p w14:paraId="5574884D" w14:textId="042BE232" w:rsidR="00F73294" w:rsidRPr="00F73294" w:rsidRDefault="00F73294" w:rsidP="00F73294">
      <w:pPr>
        <w:rPr>
          <w:b/>
          <w:bCs/>
        </w:rPr>
      </w:pPr>
      <w:r w:rsidRPr="00F73294">
        <w:t>Ensuring all South Carolinians, regardless of income, have access to timely and affordable health care is an important factor in improving health outcomes. Delaying medical care has been found to increase the use of emergency rooms for non-urgent conditions, negatively impact health outcomes due to delays in diagnosis and treatment, be associated with higher costs, and have higher rates of emotional stress. People delay care for a variety of reasons, including high costs, fear of having a serious illness, dislike of medical treatments, distrust of doctors and lack of health insurance knowledge. During the COVID-19 pandemic there were increases delaying medical care. An estimated 41% of Americans delayed medical care, including urgent or emergency care and routine care, due to concerns around COVID-19. Regardless of extreme situations like a pandemic, it is critical to find strategies aimed at improving health information technology and ways to increase insurance coverage to reduce morbidity and mortality.</w:t>
      </w:r>
    </w:p>
    <w:p w14:paraId="3AFDA6F3" w14:textId="77777777" w:rsidR="00F73294" w:rsidRDefault="00F73294" w:rsidP="00F73294"/>
    <w:p w14:paraId="08DF6B55" w14:textId="77777777" w:rsidR="00980919" w:rsidRDefault="00980919" w:rsidP="00980919">
      <w:pPr>
        <w:pStyle w:val="Heading4"/>
      </w:pPr>
      <w:bookmarkStart w:id="308" w:name="_Toc154569836"/>
      <w:bookmarkStart w:id="309" w:name="_Toc162267198"/>
      <w:r>
        <w:t>Figure 6.28: Delayed Medical Care due to Cost, by Race/Ethnicity.</w:t>
      </w:r>
      <w:bookmarkEnd w:id="308"/>
      <w:bookmarkEnd w:id="309"/>
    </w:p>
    <w:tbl>
      <w:tblPr>
        <w:tblStyle w:val="TableGrid"/>
        <w:tblW w:w="0" w:type="auto"/>
        <w:tblLook w:val="04A0" w:firstRow="1" w:lastRow="0" w:firstColumn="1" w:lastColumn="0" w:noHBand="0" w:noVBand="1"/>
      </w:tblPr>
      <w:tblGrid>
        <w:gridCol w:w="3116"/>
        <w:gridCol w:w="3117"/>
        <w:gridCol w:w="3117"/>
      </w:tblGrid>
      <w:tr w:rsidR="00980919" w14:paraId="7ACE86C1" w14:textId="77777777" w:rsidTr="001515D5">
        <w:tc>
          <w:tcPr>
            <w:tcW w:w="3116" w:type="dxa"/>
            <w:vAlign w:val="bottom"/>
          </w:tcPr>
          <w:p w14:paraId="7E253FFE" w14:textId="77777777" w:rsidR="00980919" w:rsidRPr="00E96508" w:rsidRDefault="00980919" w:rsidP="001515D5">
            <w:r>
              <w:t>Race</w:t>
            </w:r>
          </w:p>
        </w:tc>
        <w:tc>
          <w:tcPr>
            <w:tcW w:w="3117" w:type="dxa"/>
            <w:vAlign w:val="bottom"/>
          </w:tcPr>
          <w:p w14:paraId="7614E23D" w14:textId="77777777" w:rsidR="00980919" w:rsidRPr="00E96508" w:rsidRDefault="00980919" w:rsidP="001515D5">
            <w:r w:rsidRPr="00E96508">
              <w:t>Percent</w:t>
            </w:r>
          </w:p>
        </w:tc>
        <w:tc>
          <w:tcPr>
            <w:tcW w:w="3117" w:type="dxa"/>
            <w:vAlign w:val="bottom"/>
          </w:tcPr>
          <w:p w14:paraId="1A383ED1" w14:textId="77777777" w:rsidR="00980919" w:rsidRPr="00E96508" w:rsidRDefault="00980919" w:rsidP="001515D5">
            <w:r w:rsidRPr="00E96508">
              <w:t>South Carolina Total</w:t>
            </w:r>
          </w:p>
        </w:tc>
      </w:tr>
      <w:tr w:rsidR="00980919" w14:paraId="2A7665E9" w14:textId="77777777" w:rsidTr="001515D5">
        <w:tc>
          <w:tcPr>
            <w:tcW w:w="3116" w:type="dxa"/>
            <w:vAlign w:val="bottom"/>
          </w:tcPr>
          <w:p w14:paraId="6014881B" w14:textId="77777777" w:rsidR="00980919" w:rsidRPr="00E96508" w:rsidRDefault="00980919" w:rsidP="001515D5">
            <w:r w:rsidRPr="00E96508">
              <w:t>Non-Hispanic White</w:t>
            </w:r>
          </w:p>
        </w:tc>
        <w:tc>
          <w:tcPr>
            <w:tcW w:w="3117" w:type="dxa"/>
            <w:vAlign w:val="center"/>
          </w:tcPr>
          <w:p w14:paraId="0EB66687" w14:textId="77777777" w:rsidR="00980919" w:rsidRPr="00E96508" w:rsidRDefault="00980919" w:rsidP="001515D5">
            <w:r w:rsidRPr="00E96508">
              <w:t>9.4%</w:t>
            </w:r>
          </w:p>
        </w:tc>
        <w:tc>
          <w:tcPr>
            <w:tcW w:w="3117" w:type="dxa"/>
            <w:vAlign w:val="bottom"/>
          </w:tcPr>
          <w:p w14:paraId="0688000B" w14:textId="77777777" w:rsidR="00980919" w:rsidRPr="00E96508" w:rsidRDefault="00980919" w:rsidP="001515D5">
            <w:r w:rsidRPr="00E96508">
              <w:t>11.7%</w:t>
            </w:r>
          </w:p>
        </w:tc>
      </w:tr>
      <w:tr w:rsidR="00980919" w14:paraId="78DEB0BC" w14:textId="77777777" w:rsidTr="001515D5">
        <w:tc>
          <w:tcPr>
            <w:tcW w:w="3116" w:type="dxa"/>
            <w:vAlign w:val="bottom"/>
          </w:tcPr>
          <w:p w14:paraId="1B30732A" w14:textId="77777777" w:rsidR="00980919" w:rsidRPr="00E96508" w:rsidRDefault="00980919" w:rsidP="001515D5">
            <w:r w:rsidRPr="00E96508">
              <w:lastRenderedPageBreak/>
              <w:t>Non-Hispanic Black</w:t>
            </w:r>
          </w:p>
        </w:tc>
        <w:tc>
          <w:tcPr>
            <w:tcW w:w="3117" w:type="dxa"/>
            <w:vAlign w:val="center"/>
          </w:tcPr>
          <w:p w14:paraId="2CBECBBB" w14:textId="77777777" w:rsidR="00980919" w:rsidRPr="00E96508" w:rsidRDefault="00980919" w:rsidP="001515D5">
            <w:r w:rsidRPr="00E96508">
              <w:t>15.2%</w:t>
            </w:r>
          </w:p>
        </w:tc>
        <w:tc>
          <w:tcPr>
            <w:tcW w:w="3117" w:type="dxa"/>
            <w:vAlign w:val="bottom"/>
          </w:tcPr>
          <w:p w14:paraId="2E9A84A0" w14:textId="77777777" w:rsidR="00980919" w:rsidRPr="00E96508" w:rsidRDefault="00980919" w:rsidP="001515D5">
            <w:r w:rsidRPr="00E96508">
              <w:t>11.7%</w:t>
            </w:r>
          </w:p>
        </w:tc>
      </w:tr>
      <w:tr w:rsidR="00980919" w14:paraId="0C4523F7" w14:textId="77777777" w:rsidTr="001515D5">
        <w:tc>
          <w:tcPr>
            <w:tcW w:w="3116" w:type="dxa"/>
            <w:vAlign w:val="bottom"/>
          </w:tcPr>
          <w:p w14:paraId="122F087F" w14:textId="77777777" w:rsidR="00980919" w:rsidRPr="00E96508" w:rsidRDefault="00980919" w:rsidP="001515D5">
            <w:r w:rsidRPr="00E96508">
              <w:t>Non-Hispanic Other</w:t>
            </w:r>
          </w:p>
        </w:tc>
        <w:tc>
          <w:tcPr>
            <w:tcW w:w="3117" w:type="dxa"/>
            <w:vAlign w:val="center"/>
          </w:tcPr>
          <w:p w14:paraId="3165AEB4" w14:textId="77777777" w:rsidR="00980919" w:rsidRPr="00E96508" w:rsidRDefault="00980919" w:rsidP="001515D5">
            <w:r w:rsidRPr="00E96508">
              <w:t>8.3%</w:t>
            </w:r>
          </w:p>
        </w:tc>
        <w:tc>
          <w:tcPr>
            <w:tcW w:w="3117" w:type="dxa"/>
            <w:vAlign w:val="bottom"/>
          </w:tcPr>
          <w:p w14:paraId="24EBFC92" w14:textId="77777777" w:rsidR="00980919" w:rsidRPr="00E96508" w:rsidRDefault="00980919" w:rsidP="001515D5">
            <w:r w:rsidRPr="00E96508">
              <w:t>11.7%</w:t>
            </w:r>
          </w:p>
        </w:tc>
      </w:tr>
      <w:tr w:rsidR="00980919" w14:paraId="583FA970" w14:textId="77777777" w:rsidTr="001515D5">
        <w:tc>
          <w:tcPr>
            <w:tcW w:w="3116" w:type="dxa"/>
            <w:vAlign w:val="bottom"/>
          </w:tcPr>
          <w:p w14:paraId="538173AD" w14:textId="77777777" w:rsidR="00980919" w:rsidRPr="00E96508" w:rsidRDefault="00980919" w:rsidP="001515D5">
            <w:r w:rsidRPr="00E96508">
              <w:t>Hispanic</w:t>
            </w:r>
          </w:p>
        </w:tc>
        <w:tc>
          <w:tcPr>
            <w:tcW w:w="3117" w:type="dxa"/>
            <w:vAlign w:val="center"/>
          </w:tcPr>
          <w:p w14:paraId="283F8F7D" w14:textId="77777777" w:rsidR="00980919" w:rsidRPr="00E96508" w:rsidRDefault="00980919" w:rsidP="001515D5">
            <w:r w:rsidRPr="00E96508">
              <w:t>23.1%</w:t>
            </w:r>
          </w:p>
        </w:tc>
        <w:tc>
          <w:tcPr>
            <w:tcW w:w="3117" w:type="dxa"/>
            <w:vAlign w:val="bottom"/>
          </w:tcPr>
          <w:p w14:paraId="29706782" w14:textId="77777777" w:rsidR="00980919" w:rsidRPr="00E96508" w:rsidRDefault="00980919" w:rsidP="001515D5">
            <w:r w:rsidRPr="00E96508">
              <w:t>11.7%</w:t>
            </w:r>
          </w:p>
        </w:tc>
      </w:tr>
    </w:tbl>
    <w:p w14:paraId="1D5404E8" w14:textId="77777777" w:rsidR="00980919" w:rsidRPr="00E96508" w:rsidRDefault="00980919" w:rsidP="00980919">
      <w:r w:rsidRPr="00E96508">
        <w:t xml:space="preserve">Source: SC BRFSS, 2021. </w:t>
      </w:r>
    </w:p>
    <w:p w14:paraId="3B4CFC3E" w14:textId="77777777" w:rsidR="00980919" w:rsidRDefault="00980919" w:rsidP="00980919">
      <w:r w:rsidRPr="00E96508">
        <w:t>Notes: Adults 18+.</w:t>
      </w:r>
    </w:p>
    <w:p w14:paraId="61F867DC" w14:textId="77777777" w:rsidR="00980919" w:rsidRPr="0079645C" w:rsidRDefault="00980919" w:rsidP="00980919"/>
    <w:p w14:paraId="1375A6B3" w14:textId="77777777" w:rsidR="00980919" w:rsidRDefault="00980919" w:rsidP="00980919">
      <w:pPr>
        <w:pStyle w:val="Heading4"/>
      </w:pPr>
      <w:bookmarkStart w:id="310" w:name="_Toc154569837"/>
      <w:bookmarkStart w:id="311" w:name="_Toc162267199"/>
      <w:r>
        <w:t>Figure 6.29: Delayed Medical Care due to Cost, by Insurance Status.</w:t>
      </w:r>
      <w:bookmarkEnd w:id="310"/>
      <w:bookmarkEnd w:id="311"/>
    </w:p>
    <w:tbl>
      <w:tblPr>
        <w:tblStyle w:val="TableGrid"/>
        <w:tblW w:w="0" w:type="auto"/>
        <w:tblLook w:val="04A0" w:firstRow="1" w:lastRow="0" w:firstColumn="1" w:lastColumn="0" w:noHBand="0" w:noVBand="1"/>
      </w:tblPr>
      <w:tblGrid>
        <w:gridCol w:w="4675"/>
        <w:gridCol w:w="4675"/>
      </w:tblGrid>
      <w:tr w:rsidR="00980919" w14:paraId="3874EB43" w14:textId="77777777" w:rsidTr="001515D5">
        <w:tc>
          <w:tcPr>
            <w:tcW w:w="4675" w:type="dxa"/>
            <w:vAlign w:val="bottom"/>
          </w:tcPr>
          <w:p w14:paraId="2388E224" w14:textId="77777777" w:rsidR="00980919" w:rsidRPr="00E96508" w:rsidRDefault="00980919" w:rsidP="001515D5">
            <w:r w:rsidRPr="00E96508">
              <w:t>Type</w:t>
            </w:r>
          </w:p>
        </w:tc>
        <w:tc>
          <w:tcPr>
            <w:tcW w:w="4675" w:type="dxa"/>
            <w:vAlign w:val="bottom"/>
          </w:tcPr>
          <w:p w14:paraId="555852FF" w14:textId="77777777" w:rsidR="00980919" w:rsidRPr="00E96508" w:rsidRDefault="00980919" w:rsidP="001515D5">
            <w:r w:rsidRPr="00E96508">
              <w:t>Percent</w:t>
            </w:r>
          </w:p>
        </w:tc>
      </w:tr>
      <w:tr w:rsidR="00980919" w14:paraId="6878FD7A" w14:textId="77777777" w:rsidTr="001515D5">
        <w:tc>
          <w:tcPr>
            <w:tcW w:w="4675" w:type="dxa"/>
            <w:vAlign w:val="bottom"/>
          </w:tcPr>
          <w:p w14:paraId="78722F05" w14:textId="77777777" w:rsidR="00980919" w:rsidRPr="00E96508" w:rsidRDefault="00980919" w:rsidP="001515D5">
            <w:r w:rsidRPr="00E96508">
              <w:t>Insured</w:t>
            </w:r>
          </w:p>
        </w:tc>
        <w:tc>
          <w:tcPr>
            <w:tcW w:w="4675" w:type="dxa"/>
            <w:vAlign w:val="bottom"/>
          </w:tcPr>
          <w:p w14:paraId="4F82D02C" w14:textId="77777777" w:rsidR="00980919" w:rsidRPr="00E96508" w:rsidRDefault="00980919" w:rsidP="001515D5">
            <w:r w:rsidRPr="00E96508">
              <w:t>8.30%</w:t>
            </w:r>
          </w:p>
        </w:tc>
      </w:tr>
      <w:tr w:rsidR="00980919" w14:paraId="0F95F0F7" w14:textId="77777777" w:rsidTr="001515D5">
        <w:tc>
          <w:tcPr>
            <w:tcW w:w="4675" w:type="dxa"/>
            <w:vAlign w:val="bottom"/>
          </w:tcPr>
          <w:p w14:paraId="04A114D4" w14:textId="77777777" w:rsidR="00980919" w:rsidRPr="00E96508" w:rsidRDefault="00980919" w:rsidP="001515D5">
            <w:r w:rsidRPr="00E96508">
              <w:t>Uninsured</w:t>
            </w:r>
          </w:p>
        </w:tc>
        <w:tc>
          <w:tcPr>
            <w:tcW w:w="4675" w:type="dxa"/>
            <w:vAlign w:val="bottom"/>
          </w:tcPr>
          <w:p w14:paraId="32A8C4E2" w14:textId="77777777" w:rsidR="00980919" w:rsidRPr="00E96508" w:rsidRDefault="00980919" w:rsidP="001515D5">
            <w:r w:rsidRPr="00E96508">
              <w:t>41.10%</w:t>
            </w:r>
          </w:p>
        </w:tc>
      </w:tr>
    </w:tbl>
    <w:p w14:paraId="0649E590" w14:textId="77777777" w:rsidR="00980919" w:rsidRPr="00E96508" w:rsidRDefault="00980919" w:rsidP="00980919">
      <w:r w:rsidRPr="00E96508">
        <w:t xml:space="preserve">Source: SC BRFSS, 2021. </w:t>
      </w:r>
    </w:p>
    <w:p w14:paraId="5BF870C5" w14:textId="77777777" w:rsidR="00980919" w:rsidRDefault="00980919" w:rsidP="00980919">
      <w:r w:rsidRPr="00E96508">
        <w:t>Notes: Adults 18+.</w:t>
      </w:r>
    </w:p>
    <w:p w14:paraId="7113F492" w14:textId="77777777" w:rsidR="00980919" w:rsidRPr="0079645C" w:rsidRDefault="00980919" w:rsidP="00980919"/>
    <w:p w14:paraId="650B1CE4" w14:textId="77777777" w:rsidR="00980919" w:rsidRPr="00EA0CDA" w:rsidRDefault="00980919" w:rsidP="00980919">
      <w:pPr>
        <w:pStyle w:val="Heading4"/>
      </w:pPr>
      <w:bookmarkStart w:id="312" w:name="_Toc154569838"/>
      <w:bookmarkStart w:id="313" w:name="_Toc162267200"/>
      <w:r>
        <w:t xml:space="preserve">Figure 6.30: Top Reasons that </w:t>
      </w:r>
      <w:r w:rsidRPr="00E96508">
        <w:t>Prevent People in Community From Receiving Preventative Screenings and Care</w:t>
      </w:r>
      <w:r>
        <w:t>.</w:t>
      </w:r>
      <w:bookmarkEnd w:id="312"/>
      <w:bookmarkEnd w:id="313"/>
    </w:p>
    <w:tbl>
      <w:tblPr>
        <w:tblStyle w:val="TableGrid"/>
        <w:tblW w:w="0" w:type="auto"/>
        <w:tblLook w:val="04A0" w:firstRow="1" w:lastRow="0" w:firstColumn="1" w:lastColumn="0" w:noHBand="0" w:noVBand="1"/>
      </w:tblPr>
      <w:tblGrid>
        <w:gridCol w:w="4675"/>
        <w:gridCol w:w="4675"/>
      </w:tblGrid>
      <w:tr w:rsidR="00980919" w14:paraId="57CE2D34" w14:textId="77777777" w:rsidTr="001515D5">
        <w:tc>
          <w:tcPr>
            <w:tcW w:w="4675" w:type="dxa"/>
          </w:tcPr>
          <w:p w14:paraId="7660432C" w14:textId="77777777" w:rsidR="00980919" w:rsidRDefault="00980919" w:rsidP="001515D5">
            <w:r>
              <w:t>Rank</w:t>
            </w:r>
          </w:p>
        </w:tc>
        <w:tc>
          <w:tcPr>
            <w:tcW w:w="4675" w:type="dxa"/>
          </w:tcPr>
          <w:p w14:paraId="65FDE1D9" w14:textId="77777777" w:rsidR="00980919" w:rsidRDefault="00980919" w:rsidP="001515D5">
            <w:r>
              <w:t>Reason</w:t>
            </w:r>
          </w:p>
        </w:tc>
      </w:tr>
      <w:tr w:rsidR="00980919" w14:paraId="75577567" w14:textId="77777777" w:rsidTr="001515D5">
        <w:tc>
          <w:tcPr>
            <w:tcW w:w="4675" w:type="dxa"/>
          </w:tcPr>
          <w:p w14:paraId="1BA908E6" w14:textId="77777777" w:rsidR="00980919" w:rsidRPr="00FB4D78" w:rsidRDefault="00980919" w:rsidP="001515D5">
            <w:pPr>
              <w:rPr>
                <w:color w:val="000000" w:themeColor="text1"/>
              </w:rPr>
            </w:pPr>
            <w:r w:rsidRPr="00FB4D78">
              <w:rPr>
                <w:color w:val="000000" w:themeColor="text1"/>
              </w:rPr>
              <w:t>1</w:t>
            </w:r>
          </w:p>
        </w:tc>
        <w:tc>
          <w:tcPr>
            <w:tcW w:w="4675" w:type="dxa"/>
          </w:tcPr>
          <w:p w14:paraId="3EC70D56" w14:textId="77777777" w:rsidR="00980919" w:rsidRPr="00FB4D78" w:rsidRDefault="00980919" w:rsidP="001515D5">
            <w:pPr>
              <w:rPr>
                <w:color w:val="000000" w:themeColor="text1"/>
              </w:rPr>
            </w:pPr>
            <w:r w:rsidRPr="00FB4D78">
              <w:rPr>
                <w:color w:val="000000" w:themeColor="text1"/>
              </w:rPr>
              <w:t>Cost</w:t>
            </w:r>
          </w:p>
        </w:tc>
      </w:tr>
      <w:tr w:rsidR="00980919" w14:paraId="26C6000F" w14:textId="77777777" w:rsidTr="001515D5">
        <w:tc>
          <w:tcPr>
            <w:tcW w:w="4675" w:type="dxa"/>
          </w:tcPr>
          <w:p w14:paraId="373FF677" w14:textId="77777777" w:rsidR="00980919" w:rsidRPr="00FB4D78" w:rsidRDefault="00980919" w:rsidP="001515D5">
            <w:pPr>
              <w:rPr>
                <w:color w:val="000000" w:themeColor="text1"/>
              </w:rPr>
            </w:pPr>
            <w:r w:rsidRPr="00FB4D78">
              <w:rPr>
                <w:color w:val="000000" w:themeColor="text1"/>
              </w:rPr>
              <w:t>2</w:t>
            </w:r>
          </w:p>
        </w:tc>
        <w:tc>
          <w:tcPr>
            <w:tcW w:w="4675" w:type="dxa"/>
          </w:tcPr>
          <w:p w14:paraId="2BDF0B6C" w14:textId="77777777" w:rsidR="00980919" w:rsidRPr="00FB4D78" w:rsidRDefault="00980919" w:rsidP="001515D5">
            <w:pPr>
              <w:rPr>
                <w:color w:val="000000" w:themeColor="text1"/>
              </w:rPr>
            </w:pPr>
            <w:r w:rsidRPr="00FB4D78">
              <w:rPr>
                <w:color w:val="000000" w:themeColor="text1"/>
              </w:rPr>
              <w:t>Lack of Knowledge</w:t>
            </w:r>
          </w:p>
        </w:tc>
      </w:tr>
      <w:tr w:rsidR="00980919" w14:paraId="791DB646" w14:textId="77777777" w:rsidTr="001515D5">
        <w:tc>
          <w:tcPr>
            <w:tcW w:w="4675" w:type="dxa"/>
          </w:tcPr>
          <w:p w14:paraId="14FD006A" w14:textId="77777777" w:rsidR="00980919" w:rsidRPr="00FB4D78" w:rsidRDefault="00980919" w:rsidP="001515D5">
            <w:pPr>
              <w:rPr>
                <w:color w:val="000000" w:themeColor="text1"/>
              </w:rPr>
            </w:pPr>
            <w:r w:rsidRPr="00FB4D78">
              <w:rPr>
                <w:color w:val="000000" w:themeColor="text1"/>
              </w:rPr>
              <w:t>3</w:t>
            </w:r>
          </w:p>
        </w:tc>
        <w:tc>
          <w:tcPr>
            <w:tcW w:w="4675" w:type="dxa"/>
          </w:tcPr>
          <w:p w14:paraId="4905A87E" w14:textId="77777777" w:rsidR="00980919" w:rsidRPr="00FB4D78" w:rsidRDefault="00980919" w:rsidP="001515D5">
            <w:pPr>
              <w:rPr>
                <w:color w:val="000000" w:themeColor="text1"/>
              </w:rPr>
            </w:pPr>
            <w:r w:rsidRPr="00FB4D78">
              <w:rPr>
                <w:color w:val="000000" w:themeColor="text1"/>
              </w:rPr>
              <w:t>Access to Facilities</w:t>
            </w:r>
          </w:p>
        </w:tc>
      </w:tr>
    </w:tbl>
    <w:p w14:paraId="03E686BB" w14:textId="77777777" w:rsidR="00980919" w:rsidRDefault="00980919" w:rsidP="00980919">
      <w:r w:rsidRPr="00EA0CDA">
        <w:t xml:space="preserve">Source: Community Health Needs Assessment Survey, 2022. </w:t>
      </w:r>
    </w:p>
    <w:p w14:paraId="3DCB6B9B" w14:textId="77777777" w:rsidR="00980919" w:rsidRDefault="00980919" w:rsidP="00980919">
      <w:r w:rsidRPr="00EA0CDA">
        <w:t>Note: Responses as of December 31, 2022.</w:t>
      </w:r>
    </w:p>
    <w:p w14:paraId="63EFFCB1" w14:textId="77777777" w:rsidR="00F73294" w:rsidRDefault="00F73294" w:rsidP="00F73294"/>
    <w:p w14:paraId="38A6E6EA" w14:textId="77777777" w:rsidR="00F73294" w:rsidRDefault="00F73294" w:rsidP="00F73294">
      <w:pPr>
        <w:rPr>
          <w:b/>
          <w:bCs/>
        </w:rPr>
      </w:pPr>
      <w:bookmarkStart w:id="314" w:name="_Toc162267201"/>
      <w:r w:rsidRPr="00F73294">
        <w:rPr>
          <w:rStyle w:val="Heading4Char"/>
        </w:rPr>
        <w:t>Data Interpretations:</w:t>
      </w:r>
      <w:bookmarkEnd w:id="314"/>
      <w:r w:rsidRPr="00F73294">
        <w:rPr>
          <w:b/>
          <w:bCs/>
        </w:rPr>
        <w:t xml:space="preserve"> </w:t>
      </w:r>
    </w:p>
    <w:p w14:paraId="75F3C026" w14:textId="3DD69319" w:rsidR="00F73294" w:rsidRDefault="00F73294" w:rsidP="00F73294">
      <w:r w:rsidRPr="00F73294">
        <w:t>From 2012 to 2021, SC has seen a 42.9% decrease in the percent of adults who delayed medical care due to cost. In 2021, 11.7% of SC adults reported delaying medical care due to cost, higher than the national average of 8.7% and the 6th highest rate in the nation. Nearly 1 in 4 Hispanic adults (23.1%) report delaying medical care due to cost, more than double the rate seen among non-Hispanic Whites (9.4%) (</w:t>
      </w:r>
      <w:r w:rsidRPr="00F73294">
        <w:rPr>
          <w:b/>
          <w:bCs/>
        </w:rPr>
        <w:t>Figure 6.28</w:t>
      </w:r>
      <w:r w:rsidRPr="00F73294">
        <w:t>). Hispanic and non-Hispanic Black adults see higher rates of delaying medical care due to cost compared to the state average of 11.7%. Two in five uninsured SC adults reported delaying medical care due to cost, nearly five times the rate seen among insured South Carolinians (</w:t>
      </w:r>
      <w:r w:rsidRPr="00F73294">
        <w:rPr>
          <w:b/>
          <w:bCs/>
        </w:rPr>
        <w:t>Figure 6.29</w:t>
      </w:r>
      <w:r w:rsidRPr="00F73294">
        <w:t>). SC adults living with a disability (21.0%) have a nearly three times higher rate of delaying care due to cost compared to those who have no disability (7.3%) (data not shown). When asked what prevents people in the community from receiving preventive screenings and care, cost was the leading response, followed by lack of knowledge and not being able to access healthcare facilities (</w:t>
      </w:r>
      <w:r w:rsidRPr="00F73294">
        <w:rPr>
          <w:b/>
          <w:bCs/>
        </w:rPr>
        <w:t>Figure 6.30</w:t>
      </w:r>
      <w:r w:rsidRPr="00F73294">
        <w:t>).</w:t>
      </w:r>
    </w:p>
    <w:p w14:paraId="665AAC42" w14:textId="77777777" w:rsidR="00F73294" w:rsidRDefault="00F73294" w:rsidP="00F73294"/>
    <w:p w14:paraId="56E21496" w14:textId="5F470481" w:rsidR="00F73294" w:rsidRDefault="00F73294" w:rsidP="00F73294">
      <w:pPr>
        <w:pStyle w:val="Heading5"/>
      </w:pPr>
      <w:r>
        <w:t>Key Takeaways:</w:t>
      </w:r>
    </w:p>
    <w:p w14:paraId="4F6F2C7C" w14:textId="182ECFAE" w:rsidR="00F73294" w:rsidRPr="00F73294" w:rsidRDefault="00F73294" w:rsidP="00926EB3">
      <w:pPr>
        <w:pStyle w:val="ListParagraph"/>
        <w:numPr>
          <w:ilvl w:val="0"/>
          <w:numId w:val="216"/>
        </w:numPr>
      </w:pPr>
      <w:r w:rsidRPr="00F73294">
        <w:t>SC has the 6th highest rate of delayed medical care due to cost, with uninsured people most impacted.</w:t>
      </w:r>
    </w:p>
    <w:p w14:paraId="069EEDB8" w14:textId="77777777" w:rsidR="00F73294" w:rsidRDefault="00F73294" w:rsidP="00F73294"/>
    <w:p w14:paraId="2FFA93EA" w14:textId="6908B03B" w:rsidR="00F73294" w:rsidRPr="00EA168E" w:rsidRDefault="00F73294" w:rsidP="00F73294">
      <w:pPr>
        <w:rPr>
          <w:rFonts w:cstheme="minorHAnsi"/>
        </w:rPr>
      </w:pPr>
      <w:bookmarkStart w:id="315" w:name="_Toc162267202"/>
      <w:r w:rsidRPr="00EA168E">
        <w:rPr>
          <w:rStyle w:val="Heading4Char"/>
          <w:rFonts w:asciiTheme="minorHAnsi" w:hAnsiTheme="minorHAnsi" w:cstheme="minorHAnsi"/>
          <w:color w:val="000000" w:themeColor="text1"/>
        </w:rPr>
        <w:t>References 6.12</w:t>
      </w:r>
      <w:bookmarkEnd w:id="315"/>
      <w:r w:rsidRPr="00EA168E">
        <w:rPr>
          <w:rFonts w:cstheme="minorHAnsi"/>
          <w:i/>
          <w:iCs/>
          <w:color w:val="000000" w:themeColor="text1"/>
        </w:rPr>
        <w:t xml:space="preserve"> </w:t>
      </w:r>
    </w:p>
    <w:p w14:paraId="3B095778" w14:textId="63016F12" w:rsidR="00F73294" w:rsidRDefault="00F73294" w:rsidP="00F73294">
      <w:r w:rsidRPr="00722CE9">
        <w:t>Statistics in the preceding</w:t>
      </w:r>
      <w:r>
        <w:t xml:space="preserve"> section</w:t>
      </w:r>
      <w:r w:rsidRPr="00722CE9">
        <w:t xml:space="preserve"> were referenced from the following report</w:t>
      </w:r>
      <w:r>
        <w:t>s</w:t>
      </w:r>
      <w:r w:rsidRPr="00722CE9">
        <w:t>:</w:t>
      </w:r>
    </w:p>
    <w:p w14:paraId="1CC5E3D6" w14:textId="75F8027F" w:rsidR="00F73294" w:rsidRPr="00F73294" w:rsidRDefault="00F73294" w:rsidP="00926EB3">
      <w:pPr>
        <w:pStyle w:val="ListParagraph"/>
        <w:numPr>
          <w:ilvl w:val="0"/>
          <w:numId w:val="27"/>
        </w:numPr>
      </w:pPr>
      <w:r>
        <w:t>“</w:t>
      </w:r>
      <w:r w:rsidRPr="00F73294">
        <w:t>Delayed access to health care and mortality</w:t>
      </w:r>
      <w:r>
        <w:t>” by</w:t>
      </w:r>
      <w:r w:rsidRPr="00F73294">
        <w:t xml:space="preserve"> Prentice, J. C., &amp; Pizer, S. D.</w:t>
      </w:r>
      <w:r>
        <w:t xml:space="preserve"> Published in</w:t>
      </w:r>
      <w:r w:rsidRPr="00F73294">
        <w:t> Health services research, </w:t>
      </w:r>
      <w:r>
        <w:t>2007. No hyperlink.</w:t>
      </w:r>
    </w:p>
    <w:p w14:paraId="6EC25B16" w14:textId="06F375FF" w:rsidR="00F73294" w:rsidRPr="00F73294" w:rsidRDefault="00000000" w:rsidP="00926EB3">
      <w:pPr>
        <w:pStyle w:val="ListParagraph"/>
        <w:numPr>
          <w:ilvl w:val="0"/>
          <w:numId w:val="27"/>
        </w:numPr>
      </w:pPr>
      <w:hyperlink r:id="rId162" w:history="1">
        <w:r w:rsidR="00F73294" w:rsidRPr="00F73294">
          <w:rPr>
            <w:rStyle w:val="Hyperlink"/>
          </w:rPr>
          <w:t>“Reduce the proportion of people who can’t get medical care when they need it - AHS</w:t>
        </w:r>
        <w:r w:rsidR="00F73294" w:rsidRPr="00F73294">
          <w:rPr>
            <w:rStyle w:val="Hyperlink"/>
            <w:rFonts w:ascii="Cambria Math" w:hAnsi="Cambria Math" w:cs="Cambria Math"/>
          </w:rPr>
          <w:t>‑</w:t>
        </w:r>
        <w:r w:rsidR="00F73294" w:rsidRPr="00F73294">
          <w:rPr>
            <w:rStyle w:val="Hyperlink"/>
          </w:rPr>
          <w:t>04” by US Department of Health and Human Services. Published in Healthy People 2030. Retrieved December 13, 2022.</w:t>
        </w:r>
      </w:hyperlink>
      <w:r w:rsidR="00F73294">
        <w:t xml:space="preserve"> </w:t>
      </w:r>
    </w:p>
    <w:p w14:paraId="312D4CBC" w14:textId="6670AF5E" w:rsidR="00F73294" w:rsidRPr="00F73294" w:rsidRDefault="00F73294" w:rsidP="00926EB3">
      <w:pPr>
        <w:pStyle w:val="ListParagraph"/>
        <w:numPr>
          <w:ilvl w:val="0"/>
          <w:numId w:val="27"/>
        </w:numPr>
      </w:pPr>
      <w:r>
        <w:t>“</w:t>
      </w:r>
      <w:r w:rsidRPr="00F73294">
        <w:t>Predictors of avoiding medical care and reasons for avoidance behavior</w:t>
      </w:r>
      <w:r>
        <w:t>” by</w:t>
      </w:r>
      <w:r w:rsidRPr="00F73294">
        <w:t xml:space="preserve"> Kannan, V. D., &amp; </w:t>
      </w:r>
      <w:proofErr w:type="spellStart"/>
      <w:r w:rsidRPr="00F73294">
        <w:t>Veazie</w:t>
      </w:r>
      <w:proofErr w:type="spellEnd"/>
      <w:r w:rsidRPr="00F73294">
        <w:t>, P. J. </w:t>
      </w:r>
      <w:r>
        <w:t xml:space="preserve">Published in </w:t>
      </w:r>
      <w:r w:rsidRPr="00F73294">
        <w:t xml:space="preserve">Medical care, </w:t>
      </w:r>
      <w:r>
        <w:t xml:space="preserve">2014. No hyperlink. </w:t>
      </w:r>
    </w:p>
    <w:p w14:paraId="31E597CC" w14:textId="7A1633D3" w:rsidR="00F73294" w:rsidRPr="00F73294" w:rsidRDefault="00F73294" w:rsidP="00926EB3">
      <w:pPr>
        <w:pStyle w:val="ListParagraph"/>
        <w:numPr>
          <w:ilvl w:val="0"/>
          <w:numId w:val="27"/>
        </w:numPr>
      </w:pPr>
      <w:r w:rsidRPr="00F73294">
        <w:t xml:space="preserve"> (2018). </w:t>
      </w:r>
      <w:r>
        <w:t>“</w:t>
      </w:r>
      <w:r w:rsidRPr="00F73294">
        <w:t>Access is necessary but not sufficient: factors influencing delay and avoidance of health care services</w:t>
      </w:r>
      <w:r>
        <w:t xml:space="preserve">” by </w:t>
      </w:r>
      <w:r w:rsidRPr="00F73294">
        <w:t xml:space="preserve">Smith, K. T., Monti, D., Mir, N., Peters, E., </w:t>
      </w:r>
      <w:proofErr w:type="spellStart"/>
      <w:r w:rsidRPr="00F73294">
        <w:t>Tipirneni</w:t>
      </w:r>
      <w:proofErr w:type="spellEnd"/>
      <w:r w:rsidRPr="00F73294">
        <w:t xml:space="preserve">, R., &amp; </w:t>
      </w:r>
      <w:proofErr w:type="spellStart"/>
      <w:r w:rsidRPr="00F73294">
        <w:t>Politi</w:t>
      </w:r>
      <w:proofErr w:type="spellEnd"/>
      <w:r w:rsidRPr="00F73294">
        <w:t>, M. C. </w:t>
      </w:r>
      <w:r>
        <w:t xml:space="preserve">Published in </w:t>
      </w:r>
      <w:r w:rsidRPr="00F73294">
        <w:t>MDM Policy &amp; Practice, </w:t>
      </w:r>
      <w:r>
        <w:t>2018. No hyperlink.</w:t>
      </w:r>
    </w:p>
    <w:p w14:paraId="4FFD3C3C" w14:textId="5C92064D" w:rsidR="00F73294" w:rsidRPr="00F73294" w:rsidRDefault="00000000" w:rsidP="00926EB3">
      <w:pPr>
        <w:pStyle w:val="ListParagraph"/>
        <w:numPr>
          <w:ilvl w:val="0"/>
          <w:numId w:val="27"/>
        </w:numPr>
      </w:pPr>
      <w:hyperlink r:id="rId163" w:history="1">
        <w:r w:rsidR="00F73294" w:rsidRPr="00F73294">
          <w:rPr>
            <w:rStyle w:val="Hyperlink"/>
          </w:rPr>
          <w:t xml:space="preserve">“Delay or Avoidance of Medical Care Because of COVID-19–Related Concerns — United States, June 2020” by </w:t>
        </w:r>
        <w:proofErr w:type="spellStart"/>
        <w:r w:rsidR="00F73294" w:rsidRPr="00F73294">
          <w:rPr>
            <w:rStyle w:val="Hyperlink"/>
          </w:rPr>
          <w:t>Czeisler</w:t>
        </w:r>
        <w:proofErr w:type="spellEnd"/>
        <w:r w:rsidR="00F73294" w:rsidRPr="00F73294">
          <w:rPr>
            <w:rStyle w:val="Hyperlink"/>
          </w:rPr>
          <w:t xml:space="preserve"> MÉ, </w:t>
        </w:r>
        <w:proofErr w:type="spellStart"/>
        <w:r w:rsidR="00F73294" w:rsidRPr="00F73294">
          <w:rPr>
            <w:rStyle w:val="Hyperlink"/>
          </w:rPr>
          <w:t>Marynak</w:t>
        </w:r>
        <w:proofErr w:type="spellEnd"/>
        <w:r w:rsidR="00F73294" w:rsidRPr="00F73294">
          <w:rPr>
            <w:rStyle w:val="Hyperlink"/>
          </w:rPr>
          <w:t xml:space="preserve"> K, Clarke KE, et al. Published in MMWR </w:t>
        </w:r>
        <w:proofErr w:type="spellStart"/>
        <w:r w:rsidR="00F73294" w:rsidRPr="00F73294">
          <w:rPr>
            <w:rStyle w:val="Hyperlink"/>
          </w:rPr>
          <w:t>Morb</w:t>
        </w:r>
        <w:proofErr w:type="spellEnd"/>
        <w:r w:rsidR="00F73294" w:rsidRPr="00F73294">
          <w:rPr>
            <w:rStyle w:val="Hyperlink"/>
          </w:rPr>
          <w:t xml:space="preserve"> Mortal Weekly Rep 2020.</w:t>
        </w:r>
      </w:hyperlink>
    </w:p>
    <w:p w14:paraId="51DAF74F" w14:textId="77777777" w:rsidR="00F73294" w:rsidRDefault="00F73294" w:rsidP="00F73294"/>
    <w:p w14:paraId="18820972" w14:textId="77777777" w:rsidR="00F73294" w:rsidRPr="00F73294" w:rsidRDefault="00F73294" w:rsidP="00F73294">
      <w:pPr>
        <w:pStyle w:val="Heading3"/>
      </w:pPr>
      <w:bookmarkStart w:id="316" w:name="_Toc162267203"/>
      <w:r w:rsidRPr="00F73294">
        <w:t>Avoidable Hospitalizations</w:t>
      </w:r>
      <w:bookmarkEnd w:id="316"/>
    </w:p>
    <w:p w14:paraId="2D9E9EEA" w14:textId="6BD5F3DB" w:rsidR="00F73294" w:rsidRPr="00F73294" w:rsidRDefault="00F73294" w:rsidP="00F73294">
      <w:r w:rsidRPr="00F73294">
        <w:t xml:space="preserve">Potentially avoidable hospitalizations and emergency department (ED) visits are admissions or visits to a hospital for certain acute illness (e.g., dehydration) or worsening chronic conditions (e.g., diabetes) that might not have required hospitalization had these conditions been managed successfully by primary care providers in various outpatient settings. A variety of chronic conditions were associated with </w:t>
      </w:r>
      <w:proofErr w:type="gramStart"/>
      <w:r w:rsidRPr="00F73294">
        <w:t>the majority of</w:t>
      </w:r>
      <w:proofErr w:type="gramEnd"/>
      <w:r w:rsidRPr="00F73294">
        <w:t xml:space="preserve"> avoidable hospital stays, with heart failure being the leading cause among adults and asthma among children. Non-Hispanic Black and Hispanic populations see high avoidable hospitalization rates across the nation.</w:t>
      </w:r>
      <w:r>
        <w:rPr>
          <w:b/>
          <w:bCs/>
        </w:rPr>
        <w:t xml:space="preserve"> </w:t>
      </w:r>
      <w:r w:rsidRPr="00F73294">
        <w:t xml:space="preserve">These avoidable or unnecessary hospital visits burden the healthcare system, through higher costs and the utilization of limited health care resources. Nationally in 2017, it was estimated that 3.5 million potentially preventable adult hospital stays occurred, accounting for $33.7 billion in aggregate hospital costs </w:t>
      </w:r>
      <w:r w:rsidRPr="00F73294">
        <w:lastRenderedPageBreak/>
        <w:t>Improving health literacy and increasing primary care utilization is critical in reducing these avoidable hospital stays and associated costs.</w:t>
      </w:r>
    </w:p>
    <w:p w14:paraId="223A5E71" w14:textId="77777777" w:rsidR="00F73294" w:rsidRDefault="00F73294" w:rsidP="00F73294"/>
    <w:p w14:paraId="6E0734C2" w14:textId="77777777" w:rsidR="00980919" w:rsidRPr="00E96508" w:rsidRDefault="00980919" w:rsidP="00980919">
      <w:pPr>
        <w:pStyle w:val="Heading4"/>
      </w:pPr>
      <w:bookmarkStart w:id="317" w:name="_Toc154569839"/>
      <w:bookmarkStart w:id="318" w:name="_Toc162267204"/>
      <w:r>
        <w:t xml:space="preserve">Figure 6.31: </w:t>
      </w:r>
      <w:r w:rsidRPr="00E96508">
        <w:t>Avoidable Inpatient Hospitalizations and Emergency Department Visits</w:t>
      </w:r>
      <w:r>
        <w:t>.</w:t>
      </w:r>
      <w:bookmarkEnd w:id="317"/>
      <w:bookmarkEnd w:id="318"/>
    </w:p>
    <w:p w14:paraId="257FF375" w14:textId="77777777" w:rsidR="00980919" w:rsidRDefault="00980919" w:rsidP="00980919">
      <w:pPr>
        <w:pStyle w:val="Heading5"/>
      </w:pPr>
      <w:r w:rsidRPr="00E96508">
        <w:t xml:space="preserve">Rate per 100,000 </w:t>
      </w:r>
      <w:proofErr w:type="gramStart"/>
      <w:r w:rsidRPr="00E96508">
        <w:t>population</w:t>
      </w:r>
      <w:proofErr w:type="gramEnd"/>
    </w:p>
    <w:tbl>
      <w:tblPr>
        <w:tblStyle w:val="TableGrid"/>
        <w:tblW w:w="0" w:type="auto"/>
        <w:tblLook w:val="04A0" w:firstRow="1" w:lastRow="0" w:firstColumn="1" w:lastColumn="0" w:noHBand="0" w:noVBand="1"/>
      </w:tblPr>
      <w:tblGrid>
        <w:gridCol w:w="4675"/>
        <w:gridCol w:w="4675"/>
      </w:tblGrid>
      <w:tr w:rsidR="00980919" w14:paraId="75FD8447" w14:textId="77777777" w:rsidTr="001515D5">
        <w:tc>
          <w:tcPr>
            <w:tcW w:w="4675" w:type="dxa"/>
            <w:vAlign w:val="bottom"/>
          </w:tcPr>
          <w:p w14:paraId="38ABA872" w14:textId="77777777" w:rsidR="00980919" w:rsidRPr="00E96508" w:rsidRDefault="00980919" w:rsidP="001515D5">
            <w:r>
              <w:t>Type</w:t>
            </w:r>
          </w:p>
        </w:tc>
        <w:tc>
          <w:tcPr>
            <w:tcW w:w="4675" w:type="dxa"/>
            <w:vAlign w:val="bottom"/>
          </w:tcPr>
          <w:p w14:paraId="2C69E832" w14:textId="77777777" w:rsidR="00980919" w:rsidRPr="00E96508" w:rsidRDefault="00980919" w:rsidP="001515D5">
            <w:r w:rsidRPr="00E96508">
              <w:t>Rate per 100,000</w:t>
            </w:r>
          </w:p>
        </w:tc>
      </w:tr>
      <w:tr w:rsidR="00980919" w14:paraId="71A93898" w14:textId="77777777" w:rsidTr="001515D5">
        <w:tc>
          <w:tcPr>
            <w:tcW w:w="4675" w:type="dxa"/>
            <w:vAlign w:val="bottom"/>
          </w:tcPr>
          <w:p w14:paraId="19C887E3" w14:textId="77777777" w:rsidR="00980919" w:rsidRPr="00E96508" w:rsidRDefault="00980919" w:rsidP="001515D5">
            <w:r w:rsidRPr="00E96508">
              <w:t>Inpatient Hospitalizations</w:t>
            </w:r>
          </w:p>
        </w:tc>
        <w:tc>
          <w:tcPr>
            <w:tcW w:w="4675" w:type="dxa"/>
            <w:vAlign w:val="bottom"/>
          </w:tcPr>
          <w:p w14:paraId="3D11DF1D" w14:textId="77777777" w:rsidR="00980919" w:rsidRPr="00E96508" w:rsidRDefault="00980919" w:rsidP="001515D5">
            <w:r w:rsidRPr="00E96508">
              <w:t>807</w:t>
            </w:r>
          </w:p>
        </w:tc>
      </w:tr>
      <w:tr w:rsidR="00980919" w14:paraId="4C229F10" w14:textId="77777777" w:rsidTr="001515D5">
        <w:tc>
          <w:tcPr>
            <w:tcW w:w="4675" w:type="dxa"/>
            <w:vAlign w:val="bottom"/>
          </w:tcPr>
          <w:p w14:paraId="03ED0FFD" w14:textId="77777777" w:rsidR="00980919" w:rsidRPr="00E96508" w:rsidRDefault="00980919" w:rsidP="001515D5">
            <w:r w:rsidRPr="00E96508">
              <w:t>Emergency Department Visits</w:t>
            </w:r>
          </w:p>
        </w:tc>
        <w:tc>
          <w:tcPr>
            <w:tcW w:w="4675" w:type="dxa"/>
            <w:vAlign w:val="bottom"/>
          </w:tcPr>
          <w:p w14:paraId="388B1EA0" w14:textId="77777777" w:rsidR="00980919" w:rsidRPr="00E96508" w:rsidRDefault="00980919" w:rsidP="001515D5">
            <w:r w:rsidRPr="00E96508">
              <w:t>2921</w:t>
            </w:r>
          </w:p>
        </w:tc>
      </w:tr>
    </w:tbl>
    <w:p w14:paraId="673D18D4" w14:textId="77777777" w:rsidR="00980919" w:rsidRPr="00E96508" w:rsidRDefault="00980919" w:rsidP="00980919">
      <w:r w:rsidRPr="00E96508">
        <w:t xml:space="preserve">Source: SC RFA, 2021. </w:t>
      </w:r>
    </w:p>
    <w:p w14:paraId="2DEE6C10" w14:textId="77777777" w:rsidR="00980919" w:rsidRDefault="00980919" w:rsidP="00980919">
      <w:r w:rsidRPr="00E96508">
        <w:t xml:space="preserve">Notes: Federal fiscal year, data are preliminary, avoidable conditions </w:t>
      </w:r>
      <w:proofErr w:type="gramStart"/>
      <w:r w:rsidRPr="00E96508">
        <w:t>include:</w:t>
      </w:r>
      <w:proofErr w:type="gramEnd"/>
      <w:r w:rsidRPr="00E96508">
        <w:t xml:space="preserve"> convulsions, COPD, pneumonia, asthma, heart failure, hypertension, angina, cellulitis, diabetes, gastroenteritis, kidney/urinary tract infections, and dehydration.</w:t>
      </w:r>
    </w:p>
    <w:p w14:paraId="4C73E222" w14:textId="77777777" w:rsidR="00980919" w:rsidRDefault="00980919" w:rsidP="00980919"/>
    <w:p w14:paraId="2EB45CA2" w14:textId="77777777" w:rsidR="00980919" w:rsidRPr="00E96508" w:rsidRDefault="00980919" w:rsidP="00980919">
      <w:pPr>
        <w:pStyle w:val="Heading4"/>
      </w:pPr>
      <w:bookmarkStart w:id="319" w:name="_Toc154569840"/>
      <w:bookmarkStart w:id="320" w:name="_Toc162267205"/>
      <w:r>
        <w:t xml:space="preserve">Figure 6.32: </w:t>
      </w:r>
      <w:r w:rsidRPr="00E96508">
        <w:t>Avoidable Emergency Department Visits</w:t>
      </w:r>
      <w:r>
        <w:t>, by Race.</w:t>
      </w:r>
      <w:bookmarkEnd w:id="319"/>
      <w:bookmarkEnd w:id="320"/>
    </w:p>
    <w:p w14:paraId="58527CE1" w14:textId="77777777" w:rsidR="00980919" w:rsidRDefault="00980919" w:rsidP="00980919">
      <w:pPr>
        <w:pStyle w:val="Heading5"/>
      </w:pPr>
      <w:r w:rsidRPr="00E96508">
        <w:t xml:space="preserve">Rate per 100,000 </w:t>
      </w:r>
      <w:proofErr w:type="gramStart"/>
      <w:r w:rsidRPr="00E96508">
        <w:t>population</w:t>
      </w:r>
      <w:proofErr w:type="gramEnd"/>
    </w:p>
    <w:tbl>
      <w:tblPr>
        <w:tblStyle w:val="TableGrid"/>
        <w:tblW w:w="0" w:type="auto"/>
        <w:tblLook w:val="04A0" w:firstRow="1" w:lastRow="0" w:firstColumn="1" w:lastColumn="0" w:noHBand="0" w:noVBand="1"/>
      </w:tblPr>
      <w:tblGrid>
        <w:gridCol w:w="3116"/>
        <w:gridCol w:w="3117"/>
        <w:gridCol w:w="3117"/>
      </w:tblGrid>
      <w:tr w:rsidR="00980919" w14:paraId="261F0B9C" w14:textId="77777777" w:rsidTr="001515D5">
        <w:tc>
          <w:tcPr>
            <w:tcW w:w="3116" w:type="dxa"/>
            <w:vAlign w:val="bottom"/>
          </w:tcPr>
          <w:p w14:paraId="6F8DAF42" w14:textId="77777777" w:rsidR="00980919" w:rsidRPr="00E96508" w:rsidRDefault="00980919" w:rsidP="001515D5">
            <w:r>
              <w:t>Race</w:t>
            </w:r>
          </w:p>
        </w:tc>
        <w:tc>
          <w:tcPr>
            <w:tcW w:w="3117" w:type="dxa"/>
            <w:vAlign w:val="bottom"/>
          </w:tcPr>
          <w:p w14:paraId="17B12847" w14:textId="77777777" w:rsidR="00980919" w:rsidRPr="00E96508" w:rsidRDefault="00980919" w:rsidP="001515D5">
            <w:r w:rsidRPr="00E96508">
              <w:t>Rate per 100,000</w:t>
            </w:r>
          </w:p>
        </w:tc>
        <w:tc>
          <w:tcPr>
            <w:tcW w:w="3117" w:type="dxa"/>
            <w:vAlign w:val="bottom"/>
          </w:tcPr>
          <w:p w14:paraId="0262DF59" w14:textId="77777777" w:rsidR="00980919" w:rsidRPr="00E96508" w:rsidRDefault="00980919" w:rsidP="001515D5">
            <w:r w:rsidRPr="00E96508">
              <w:t>South Carolina</w:t>
            </w:r>
          </w:p>
        </w:tc>
      </w:tr>
      <w:tr w:rsidR="00980919" w14:paraId="7B989338" w14:textId="77777777" w:rsidTr="001515D5">
        <w:tc>
          <w:tcPr>
            <w:tcW w:w="3116" w:type="dxa"/>
            <w:vAlign w:val="bottom"/>
          </w:tcPr>
          <w:p w14:paraId="100D34F2" w14:textId="77777777" w:rsidR="00980919" w:rsidRPr="00E96508" w:rsidRDefault="00980919" w:rsidP="001515D5">
            <w:r w:rsidRPr="00E96508">
              <w:t>White</w:t>
            </w:r>
          </w:p>
        </w:tc>
        <w:tc>
          <w:tcPr>
            <w:tcW w:w="3117" w:type="dxa"/>
            <w:vAlign w:val="bottom"/>
          </w:tcPr>
          <w:p w14:paraId="65B4E727" w14:textId="77777777" w:rsidR="00980919" w:rsidRPr="00E96508" w:rsidRDefault="00980919" w:rsidP="001515D5">
            <w:r w:rsidRPr="00E96508">
              <w:t>2208</w:t>
            </w:r>
          </w:p>
        </w:tc>
        <w:tc>
          <w:tcPr>
            <w:tcW w:w="3117" w:type="dxa"/>
            <w:vAlign w:val="bottom"/>
          </w:tcPr>
          <w:p w14:paraId="6814A8B2" w14:textId="77777777" w:rsidR="00980919" w:rsidRPr="00E96508" w:rsidRDefault="00980919" w:rsidP="001515D5">
            <w:r w:rsidRPr="00E96508">
              <w:t>2921</w:t>
            </w:r>
          </w:p>
        </w:tc>
      </w:tr>
      <w:tr w:rsidR="00980919" w14:paraId="21B1F727" w14:textId="77777777" w:rsidTr="001515D5">
        <w:tc>
          <w:tcPr>
            <w:tcW w:w="3116" w:type="dxa"/>
            <w:vAlign w:val="bottom"/>
          </w:tcPr>
          <w:p w14:paraId="2754D464" w14:textId="77777777" w:rsidR="00980919" w:rsidRPr="00E96508" w:rsidRDefault="00980919" w:rsidP="001515D5">
            <w:r w:rsidRPr="00E96508">
              <w:t>Black</w:t>
            </w:r>
          </w:p>
        </w:tc>
        <w:tc>
          <w:tcPr>
            <w:tcW w:w="3117" w:type="dxa"/>
            <w:vAlign w:val="bottom"/>
          </w:tcPr>
          <w:p w14:paraId="7C64BC58" w14:textId="77777777" w:rsidR="00980919" w:rsidRPr="00E96508" w:rsidRDefault="00980919" w:rsidP="001515D5">
            <w:r w:rsidRPr="00E96508">
              <w:t>4690</w:t>
            </w:r>
          </w:p>
        </w:tc>
        <w:tc>
          <w:tcPr>
            <w:tcW w:w="3117" w:type="dxa"/>
            <w:vAlign w:val="bottom"/>
          </w:tcPr>
          <w:p w14:paraId="3F9A68C4" w14:textId="77777777" w:rsidR="00980919" w:rsidRPr="00E96508" w:rsidRDefault="00980919" w:rsidP="001515D5">
            <w:r w:rsidRPr="00E96508">
              <w:t>2921</w:t>
            </w:r>
          </w:p>
        </w:tc>
      </w:tr>
      <w:tr w:rsidR="00980919" w14:paraId="050388FA" w14:textId="77777777" w:rsidTr="001515D5">
        <w:tc>
          <w:tcPr>
            <w:tcW w:w="3116" w:type="dxa"/>
            <w:vAlign w:val="bottom"/>
          </w:tcPr>
          <w:p w14:paraId="436365BD" w14:textId="77777777" w:rsidR="00980919" w:rsidRPr="00E96508" w:rsidRDefault="00980919" w:rsidP="001515D5">
            <w:r w:rsidRPr="00E96508">
              <w:t>Other</w:t>
            </w:r>
          </w:p>
        </w:tc>
        <w:tc>
          <w:tcPr>
            <w:tcW w:w="3117" w:type="dxa"/>
            <w:vAlign w:val="bottom"/>
          </w:tcPr>
          <w:p w14:paraId="5742E3F1" w14:textId="77777777" w:rsidR="00980919" w:rsidRPr="00E96508" w:rsidRDefault="00980919" w:rsidP="001515D5">
            <w:r w:rsidRPr="00E96508">
              <w:t>3293</w:t>
            </w:r>
          </w:p>
        </w:tc>
        <w:tc>
          <w:tcPr>
            <w:tcW w:w="3117" w:type="dxa"/>
            <w:vAlign w:val="bottom"/>
          </w:tcPr>
          <w:p w14:paraId="3C2F7E0D" w14:textId="77777777" w:rsidR="00980919" w:rsidRPr="00E96508" w:rsidRDefault="00980919" w:rsidP="001515D5">
            <w:r w:rsidRPr="00E96508">
              <w:t>2921</w:t>
            </w:r>
          </w:p>
        </w:tc>
      </w:tr>
    </w:tbl>
    <w:p w14:paraId="73AA8089" w14:textId="77777777" w:rsidR="00980919" w:rsidRPr="00E96508" w:rsidRDefault="00980919" w:rsidP="00980919">
      <w:r w:rsidRPr="00E96508">
        <w:t xml:space="preserve">Source: SC RFA, 2021. </w:t>
      </w:r>
    </w:p>
    <w:p w14:paraId="6F11FDEE" w14:textId="77777777" w:rsidR="00980919" w:rsidRDefault="00980919" w:rsidP="00980919">
      <w:r w:rsidRPr="00E96508">
        <w:t>Notes: Federal fiscal year 2021, avoidable conditions include: convulsions, COPD, pneumonia, asthma, heart failure, hypertension, angina, cellulitis, diabetes, gastroenteritis, kidney/urinary tract infections, and dehydration.</w:t>
      </w:r>
    </w:p>
    <w:p w14:paraId="20477E89" w14:textId="77777777" w:rsidR="00980919" w:rsidRDefault="00980919" w:rsidP="00980919"/>
    <w:p w14:paraId="71CE16F9" w14:textId="77777777" w:rsidR="00980919" w:rsidRDefault="00980919" w:rsidP="00980919">
      <w:pPr>
        <w:pStyle w:val="Heading4"/>
      </w:pPr>
      <w:bookmarkStart w:id="321" w:name="_Toc154569841"/>
      <w:bookmarkStart w:id="322" w:name="_Toc162267206"/>
      <w:r>
        <w:t xml:space="preserve">Figure 6.33: </w:t>
      </w:r>
      <w:r w:rsidRPr="00E96508">
        <w:t xml:space="preserve">Avoidable </w:t>
      </w:r>
      <w:r>
        <w:t>Impatient Hospitalizations, by County.</w:t>
      </w:r>
      <w:bookmarkEnd w:id="321"/>
      <w:bookmarkEnd w:id="322"/>
    </w:p>
    <w:p w14:paraId="4833E030" w14:textId="0A751970" w:rsidR="002748B7" w:rsidRPr="002748B7" w:rsidRDefault="002748B7" w:rsidP="002748B7">
      <w:pPr>
        <w:pStyle w:val="Heading5"/>
      </w:pPr>
      <w:r>
        <w:t>Rate p</w:t>
      </w:r>
      <w:r w:rsidRPr="00864C09">
        <w:t>er</w:t>
      </w:r>
      <w:r>
        <w:t xml:space="preserve"> 100,000 population.</w:t>
      </w:r>
    </w:p>
    <w:tbl>
      <w:tblPr>
        <w:tblStyle w:val="TableGrid"/>
        <w:tblW w:w="0" w:type="auto"/>
        <w:tblLook w:val="04A0" w:firstRow="1" w:lastRow="0" w:firstColumn="1" w:lastColumn="0" w:noHBand="0" w:noVBand="1"/>
      </w:tblPr>
      <w:tblGrid>
        <w:gridCol w:w="4675"/>
        <w:gridCol w:w="4675"/>
      </w:tblGrid>
      <w:tr w:rsidR="00980919" w14:paraId="378C54A2" w14:textId="77777777" w:rsidTr="001515D5">
        <w:tc>
          <w:tcPr>
            <w:tcW w:w="4675" w:type="dxa"/>
            <w:vAlign w:val="bottom"/>
          </w:tcPr>
          <w:p w14:paraId="0A543A0F" w14:textId="77777777" w:rsidR="00980919" w:rsidRDefault="00980919" w:rsidP="001515D5">
            <w:r>
              <w:t>County</w:t>
            </w:r>
          </w:p>
        </w:tc>
        <w:tc>
          <w:tcPr>
            <w:tcW w:w="4675" w:type="dxa"/>
            <w:vAlign w:val="bottom"/>
          </w:tcPr>
          <w:p w14:paraId="5C43FEA1" w14:textId="1E882720" w:rsidR="00980919" w:rsidRDefault="002748B7" w:rsidP="001515D5">
            <w:r>
              <w:t>Rate</w:t>
            </w:r>
          </w:p>
        </w:tc>
      </w:tr>
      <w:tr w:rsidR="00980919" w14:paraId="71310430" w14:textId="77777777" w:rsidTr="001515D5">
        <w:tc>
          <w:tcPr>
            <w:tcW w:w="4675" w:type="dxa"/>
            <w:vAlign w:val="bottom"/>
          </w:tcPr>
          <w:p w14:paraId="1D97A525" w14:textId="77777777" w:rsidR="00980919" w:rsidRDefault="00980919" w:rsidP="001515D5">
            <w:r>
              <w:t>Abbeville</w:t>
            </w:r>
          </w:p>
        </w:tc>
        <w:tc>
          <w:tcPr>
            <w:tcW w:w="4675" w:type="dxa"/>
            <w:vAlign w:val="bottom"/>
          </w:tcPr>
          <w:p w14:paraId="5DA72B32" w14:textId="77777777" w:rsidR="00980919" w:rsidRDefault="00980919" w:rsidP="001515D5">
            <w:r>
              <w:t>905</w:t>
            </w:r>
          </w:p>
        </w:tc>
      </w:tr>
      <w:tr w:rsidR="00980919" w14:paraId="3364FA4F" w14:textId="77777777" w:rsidTr="001515D5">
        <w:tc>
          <w:tcPr>
            <w:tcW w:w="4675" w:type="dxa"/>
            <w:vAlign w:val="bottom"/>
          </w:tcPr>
          <w:p w14:paraId="007A9C47" w14:textId="77777777" w:rsidR="00980919" w:rsidRDefault="00980919" w:rsidP="001515D5">
            <w:r>
              <w:t>Aiken</w:t>
            </w:r>
          </w:p>
        </w:tc>
        <w:tc>
          <w:tcPr>
            <w:tcW w:w="4675" w:type="dxa"/>
            <w:vAlign w:val="bottom"/>
          </w:tcPr>
          <w:p w14:paraId="7ACA066A" w14:textId="77777777" w:rsidR="00980919" w:rsidRDefault="00980919" w:rsidP="001515D5">
            <w:r>
              <w:t>515</w:t>
            </w:r>
          </w:p>
        </w:tc>
      </w:tr>
      <w:tr w:rsidR="00980919" w14:paraId="1670C5B1" w14:textId="77777777" w:rsidTr="001515D5">
        <w:tc>
          <w:tcPr>
            <w:tcW w:w="4675" w:type="dxa"/>
            <w:vAlign w:val="bottom"/>
          </w:tcPr>
          <w:p w14:paraId="43E379FF" w14:textId="77777777" w:rsidR="00980919" w:rsidRDefault="00980919" w:rsidP="001515D5">
            <w:r>
              <w:t>Allendale</w:t>
            </w:r>
          </w:p>
        </w:tc>
        <w:tc>
          <w:tcPr>
            <w:tcW w:w="4675" w:type="dxa"/>
            <w:vAlign w:val="bottom"/>
          </w:tcPr>
          <w:p w14:paraId="08CC088D" w14:textId="77777777" w:rsidR="00980919" w:rsidRDefault="00980919" w:rsidP="001515D5">
            <w:r>
              <w:t>1,005</w:t>
            </w:r>
          </w:p>
        </w:tc>
      </w:tr>
      <w:tr w:rsidR="00980919" w14:paraId="511B5B81" w14:textId="77777777" w:rsidTr="001515D5">
        <w:tc>
          <w:tcPr>
            <w:tcW w:w="4675" w:type="dxa"/>
            <w:vAlign w:val="bottom"/>
          </w:tcPr>
          <w:p w14:paraId="7F5CE12D" w14:textId="77777777" w:rsidR="00980919" w:rsidRDefault="00980919" w:rsidP="001515D5">
            <w:r>
              <w:t>Anderson</w:t>
            </w:r>
          </w:p>
        </w:tc>
        <w:tc>
          <w:tcPr>
            <w:tcW w:w="4675" w:type="dxa"/>
            <w:vAlign w:val="bottom"/>
          </w:tcPr>
          <w:p w14:paraId="29377F4C" w14:textId="77777777" w:rsidR="00980919" w:rsidRDefault="00980919" w:rsidP="001515D5">
            <w:r>
              <w:t>1,214</w:t>
            </w:r>
          </w:p>
        </w:tc>
      </w:tr>
      <w:tr w:rsidR="00980919" w14:paraId="582C4876" w14:textId="77777777" w:rsidTr="001515D5">
        <w:tc>
          <w:tcPr>
            <w:tcW w:w="4675" w:type="dxa"/>
            <w:vAlign w:val="bottom"/>
          </w:tcPr>
          <w:p w14:paraId="219235FD" w14:textId="77777777" w:rsidR="00980919" w:rsidRDefault="00980919" w:rsidP="001515D5">
            <w:r>
              <w:t>Bamberg</w:t>
            </w:r>
          </w:p>
        </w:tc>
        <w:tc>
          <w:tcPr>
            <w:tcW w:w="4675" w:type="dxa"/>
            <w:vAlign w:val="bottom"/>
          </w:tcPr>
          <w:p w14:paraId="012DE163" w14:textId="77777777" w:rsidR="00980919" w:rsidRDefault="00980919" w:rsidP="001515D5">
            <w:r>
              <w:t>887</w:t>
            </w:r>
          </w:p>
        </w:tc>
      </w:tr>
      <w:tr w:rsidR="00980919" w14:paraId="5BFA257E" w14:textId="77777777" w:rsidTr="001515D5">
        <w:tc>
          <w:tcPr>
            <w:tcW w:w="4675" w:type="dxa"/>
            <w:vAlign w:val="bottom"/>
          </w:tcPr>
          <w:p w14:paraId="35E4CB3C" w14:textId="77777777" w:rsidR="00980919" w:rsidRDefault="00980919" w:rsidP="001515D5">
            <w:r>
              <w:t>Barnwell</w:t>
            </w:r>
          </w:p>
        </w:tc>
        <w:tc>
          <w:tcPr>
            <w:tcW w:w="4675" w:type="dxa"/>
            <w:vAlign w:val="bottom"/>
          </w:tcPr>
          <w:p w14:paraId="25557F1C" w14:textId="77777777" w:rsidR="00980919" w:rsidRDefault="00980919" w:rsidP="001515D5">
            <w:r>
              <w:t>802</w:t>
            </w:r>
          </w:p>
        </w:tc>
      </w:tr>
      <w:tr w:rsidR="00980919" w14:paraId="5767B4E8" w14:textId="77777777" w:rsidTr="001515D5">
        <w:tc>
          <w:tcPr>
            <w:tcW w:w="4675" w:type="dxa"/>
            <w:vAlign w:val="bottom"/>
          </w:tcPr>
          <w:p w14:paraId="267D4830" w14:textId="77777777" w:rsidR="00980919" w:rsidRDefault="00980919" w:rsidP="001515D5">
            <w:r>
              <w:t>Beaufort</w:t>
            </w:r>
          </w:p>
        </w:tc>
        <w:tc>
          <w:tcPr>
            <w:tcW w:w="4675" w:type="dxa"/>
            <w:vAlign w:val="bottom"/>
          </w:tcPr>
          <w:p w14:paraId="2F47251E" w14:textId="77777777" w:rsidR="00980919" w:rsidRDefault="00980919" w:rsidP="001515D5">
            <w:r>
              <w:t>747</w:t>
            </w:r>
          </w:p>
        </w:tc>
      </w:tr>
      <w:tr w:rsidR="00980919" w14:paraId="2EB7BBED" w14:textId="77777777" w:rsidTr="001515D5">
        <w:tc>
          <w:tcPr>
            <w:tcW w:w="4675" w:type="dxa"/>
            <w:vAlign w:val="bottom"/>
          </w:tcPr>
          <w:p w14:paraId="40940D49" w14:textId="77777777" w:rsidR="00980919" w:rsidRDefault="00980919" w:rsidP="001515D5">
            <w:r>
              <w:t>Berkeley</w:t>
            </w:r>
          </w:p>
        </w:tc>
        <w:tc>
          <w:tcPr>
            <w:tcW w:w="4675" w:type="dxa"/>
            <w:vAlign w:val="bottom"/>
          </w:tcPr>
          <w:p w14:paraId="0ACE7DAB" w14:textId="77777777" w:rsidR="00980919" w:rsidRDefault="00980919" w:rsidP="001515D5">
            <w:r>
              <w:t>581</w:t>
            </w:r>
          </w:p>
        </w:tc>
      </w:tr>
      <w:tr w:rsidR="00980919" w14:paraId="4B87A0C3" w14:textId="77777777" w:rsidTr="001515D5">
        <w:tc>
          <w:tcPr>
            <w:tcW w:w="4675" w:type="dxa"/>
            <w:vAlign w:val="bottom"/>
          </w:tcPr>
          <w:p w14:paraId="59B12C6B" w14:textId="77777777" w:rsidR="00980919" w:rsidRDefault="00980919" w:rsidP="001515D5">
            <w:r>
              <w:lastRenderedPageBreak/>
              <w:t>Calhoun</w:t>
            </w:r>
          </w:p>
        </w:tc>
        <w:tc>
          <w:tcPr>
            <w:tcW w:w="4675" w:type="dxa"/>
            <w:vAlign w:val="bottom"/>
          </w:tcPr>
          <w:p w14:paraId="7D01DCFC" w14:textId="77777777" w:rsidR="00980919" w:rsidRDefault="00980919" w:rsidP="001515D5">
            <w:r>
              <w:t>762</w:t>
            </w:r>
          </w:p>
        </w:tc>
      </w:tr>
      <w:tr w:rsidR="00980919" w14:paraId="07096BB1" w14:textId="77777777" w:rsidTr="001515D5">
        <w:tc>
          <w:tcPr>
            <w:tcW w:w="4675" w:type="dxa"/>
            <w:vAlign w:val="bottom"/>
          </w:tcPr>
          <w:p w14:paraId="2D2F445D" w14:textId="77777777" w:rsidR="00980919" w:rsidRDefault="00980919" w:rsidP="001515D5">
            <w:r>
              <w:t>Charleston</w:t>
            </w:r>
          </w:p>
        </w:tc>
        <w:tc>
          <w:tcPr>
            <w:tcW w:w="4675" w:type="dxa"/>
            <w:vAlign w:val="bottom"/>
          </w:tcPr>
          <w:p w14:paraId="095E705E" w14:textId="77777777" w:rsidR="00980919" w:rsidRDefault="00980919" w:rsidP="001515D5">
            <w:r>
              <w:t>606</w:t>
            </w:r>
          </w:p>
        </w:tc>
      </w:tr>
      <w:tr w:rsidR="00980919" w14:paraId="39CF5603" w14:textId="77777777" w:rsidTr="001515D5">
        <w:tc>
          <w:tcPr>
            <w:tcW w:w="4675" w:type="dxa"/>
            <w:vAlign w:val="bottom"/>
          </w:tcPr>
          <w:p w14:paraId="0F7518DB" w14:textId="77777777" w:rsidR="00980919" w:rsidRDefault="00980919" w:rsidP="001515D5">
            <w:r>
              <w:t>Cherokee</w:t>
            </w:r>
          </w:p>
        </w:tc>
        <w:tc>
          <w:tcPr>
            <w:tcW w:w="4675" w:type="dxa"/>
            <w:vAlign w:val="bottom"/>
          </w:tcPr>
          <w:p w14:paraId="1A473BD7" w14:textId="77777777" w:rsidR="00980919" w:rsidRDefault="00980919" w:rsidP="001515D5">
            <w:r>
              <w:t>963</w:t>
            </w:r>
          </w:p>
        </w:tc>
      </w:tr>
      <w:tr w:rsidR="00980919" w14:paraId="519E4C24" w14:textId="77777777" w:rsidTr="001515D5">
        <w:tc>
          <w:tcPr>
            <w:tcW w:w="4675" w:type="dxa"/>
            <w:vAlign w:val="bottom"/>
          </w:tcPr>
          <w:p w14:paraId="62237FB0" w14:textId="77777777" w:rsidR="00980919" w:rsidRDefault="00980919" w:rsidP="001515D5">
            <w:r>
              <w:t>Chester</w:t>
            </w:r>
          </w:p>
        </w:tc>
        <w:tc>
          <w:tcPr>
            <w:tcW w:w="4675" w:type="dxa"/>
            <w:vAlign w:val="bottom"/>
          </w:tcPr>
          <w:p w14:paraId="06E67189" w14:textId="77777777" w:rsidR="00980919" w:rsidRDefault="00980919" w:rsidP="001515D5">
            <w:r>
              <w:t>1,276</w:t>
            </w:r>
          </w:p>
        </w:tc>
      </w:tr>
      <w:tr w:rsidR="00980919" w14:paraId="42232760" w14:textId="77777777" w:rsidTr="001515D5">
        <w:tc>
          <w:tcPr>
            <w:tcW w:w="4675" w:type="dxa"/>
            <w:vAlign w:val="bottom"/>
          </w:tcPr>
          <w:p w14:paraId="40DBE3D5" w14:textId="77777777" w:rsidR="00980919" w:rsidRDefault="00980919" w:rsidP="001515D5">
            <w:r>
              <w:t>Chesterfield</w:t>
            </w:r>
          </w:p>
        </w:tc>
        <w:tc>
          <w:tcPr>
            <w:tcW w:w="4675" w:type="dxa"/>
            <w:vAlign w:val="bottom"/>
          </w:tcPr>
          <w:p w14:paraId="4EC04BA7" w14:textId="77777777" w:rsidR="00980919" w:rsidRDefault="00980919" w:rsidP="001515D5">
            <w:r>
              <w:t>890</w:t>
            </w:r>
          </w:p>
        </w:tc>
      </w:tr>
      <w:tr w:rsidR="00980919" w14:paraId="7BED4E6D" w14:textId="77777777" w:rsidTr="001515D5">
        <w:tc>
          <w:tcPr>
            <w:tcW w:w="4675" w:type="dxa"/>
            <w:vAlign w:val="bottom"/>
          </w:tcPr>
          <w:p w14:paraId="59AA6251" w14:textId="77777777" w:rsidR="00980919" w:rsidRDefault="00980919" w:rsidP="001515D5">
            <w:r>
              <w:t>Clarendon</w:t>
            </w:r>
          </w:p>
        </w:tc>
        <w:tc>
          <w:tcPr>
            <w:tcW w:w="4675" w:type="dxa"/>
            <w:vAlign w:val="bottom"/>
          </w:tcPr>
          <w:p w14:paraId="788AB276" w14:textId="77777777" w:rsidR="00980919" w:rsidRDefault="00980919" w:rsidP="001515D5">
            <w:r>
              <w:t>1,206</w:t>
            </w:r>
          </w:p>
        </w:tc>
      </w:tr>
      <w:tr w:rsidR="00980919" w14:paraId="0B30D5EC" w14:textId="77777777" w:rsidTr="001515D5">
        <w:tc>
          <w:tcPr>
            <w:tcW w:w="4675" w:type="dxa"/>
            <w:vAlign w:val="bottom"/>
          </w:tcPr>
          <w:p w14:paraId="59E6ABA6" w14:textId="77777777" w:rsidR="00980919" w:rsidRDefault="00980919" w:rsidP="001515D5">
            <w:r>
              <w:t>Colleton</w:t>
            </w:r>
          </w:p>
        </w:tc>
        <w:tc>
          <w:tcPr>
            <w:tcW w:w="4675" w:type="dxa"/>
            <w:vAlign w:val="bottom"/>
          </w:tcPr>
          <w:p w14:paraId="0153E97B" w14:textId="77777777" w:rsidR="00980919" w:rsidRDefault="00980919" w:rsidP="001515D5">
            <w:r>
              <w:t>1,102</w:t>
            </w:r>
          </w:p>
        </w:tc>
      </w:tr>
      <w:tr w:rsidR="00980919" w14:paraId="47F71B88" w14:textId="77777777" w:rsidTr="001515D5">
        <w:tc>
          <w:tcPr>
            <w:tcW w:w="4675" w:type="dxa"/>
            <w:vAlign w:val="bottom"/>
          </w:tcPr>
          <w:p w14:paraId="6B8B8817" w14:textId="77777777" w:rsidR="00980919" w:rsidRDefault="00980919" w:rsidP="001515D5">
            <w:r>
              <w:t>Darlington</w:t>
            </w:r>
          </w:p>
        </w:tc>
        <w:tc>
          <w:tcPr>
            <w:tcW w:w="4675" w:type="dxa"/>
            <w:vAlign w:val="bottom"/>
          </w:tcPr>
          <w:p w14:paraId="62F0B907" w14:textId="77777777" w:rsidR="00980919" w:rsidRDefault="00980919" w:rsidP="001515D5">
            <w:r>
              <w:t>1,533</w:t>
            </w:r>
          </w:p>
        </w:tc>
      </w:tr>
      <w:tr w:rsidR="00980919" w14:paraId="7BC3F4FE" w14:textId="77777777" w:rsidTr="001515D5">
        <w:tc>
          <w:tcPr>
            <w:tcW w:w="4675" w:type="dxa"/>
            <w:vAlign w:val="bottom"/>
          </w:tcPr>
          <w:p w14:paraId="6DE81003" w14:textId="77777777" w:rsidR="00980919" w:rsidRDefault="00980919" w:rsidP="001515D5">
            <w:r>
              <w:t>Dillon</w:t>
            </w:r>
          </w:p>
        </w:tc>
        <w:tc>
          <w:tcPr>
            <w:tcW w:w="4675" w:type="dxa"/>
            <w:vAlign w:val="bottom"/>
          </w:tcPr>
          <w:p w14:paraId="7ABB3A99" w14:textId="77777777" w:rsidR="00980919" w:rsidRDefault="00980919" w:rsidP="001515D5">
            <w:r>
              <w:t>1,371</w:t>
            </w:r>
          </w:p>
        </w:tc>
      </w:tr>
      <w:tr w:rsidR="00980919" w14:paraId="32DD6F17" w14:textId="77777777" w:rsidTr="001515D5">
        <w:tc>
          <w:tcPr>
            <w:tcW w:w="4675" w:type="dxa"/>
            <w:vAlign w:val="bottom"/>
          </w:tcPr>
          <w:p w14:paraId="279AA664" w14:textId="77777777" w:rsidR="00980919" w:rsidRDefault="00980919" w:rsidP="001515D5">
            <w:r>
              <w:t>Dorchester</w:t>
            </w:r>
          </w:p>
        </w:tc>
        <w:tc>
          <w:tcPr>
            <w:tcW w:w="4675" w:type="dxa"/>
            <w:vAlign w:val="bottom"/>
          </w:tcPr>
          <w:p w14:paraId="72EE1661" w14:textId="77777777" w:rsidR="00980919" w:rsidRDefault="00980919" w:rsidP="001515D5">
            <w:r>
              <w:t>612</w:t>
            </w:r>
          </w:p>
        </w:tc>
      </w:tr>
      <w:tr w:rsidR="00980919" w14:paraId="249256E9" w14:textId="77777777" w:rsidTr="001515D5">
        <w:tc>
          <w:tcPr>
            <w:tcW w:w="4675" w:type="dxa"/>
            <w:vAlign w:val="bottom"/>
          </w:tcPr>
          <w:p w14:paraId="73FB95C0" w14:textId="77777777" w:rsidR="00980919" w:rsidRDefault="00980919" w:rsidP="001515D5">
            <w:r>
              <w:t>Edgefield</w:t>
            </w:r>
          </w:p>
        </w:tc>
        <w:tc>
          <w:tcPr>
            <w:tcW w:w="4675" w:type="dxa"/>
            <w:vAlign w:val="bottom"/>
          </w:tcPr>
          <w:p w14:paraId="15ACE322" w14:textId="77777777" w:rsidR="00980919" w:rsidRDefault="00980919" w:rsidP="001515D5">
            <w:r>
              <w:t>501</w:t>
            </w:r>
          </w:p>
        </w:tc>
      </w:tr>
      <w:tr w:rsidR="00980919" w14:paraId="49DE2015" w14:textId="77777777" w:rsidTr="001515D5">
        <w:tc>
          <w:tcPr>
            <w:tcW w:w="4675" w:type="dxa"/>
            <w:vAlign w:val="bottom"/>
          </w:tcPr>
          <w:p w14:paraId="1D1CEE08" w14:textId="77777777" w:rsidR="00980919" w:rsidRDefault="00980919" w:rsidP="001515D5">
            <w:r>
              <w:t>Fairfield</w:t>
            </w:r>
          </w:p>
        </w:tc>
        <w:tc>
          <w:tcPr>
            <w:tcW w:w="4675" w:type="dxa"/>
            <w:vAlign w:val="bottom"/>
          </w:tcPr>
          <w:p w14:paraId="79E46405" w14:textId="77777777" w:rsidR="00980919" w:rsidRDefault="00980919" w:rsidP="001515D5">
            <w:r>
              <w:t>904</w:t>
            </w:r>
          </w:p>
        </w:tc>
      </w:tr>
      <w:tr w:rsidR="00980919" w14:paraId="1644F859" w14:textId="77777777" w:rsidTr="001515D5">
        <w:tc>
          <w:tcPr>
            <w:tcW w:w="4675" w:type="dxa"/>
            <w:vAlign w:val="bottom"/>
          </w:tcPr>
          <w:p w14:paraId="6981A0AA" w14:textId="77777777" w:rsidR="00980919" w:rsidRDefault="00980919" w:rsidP="001515D5">
            <w:r>
              <w:t>Florence</w:t>
            </w:r>
          </w:p>
        </w:tc>
        <w:tc>
          <w:tcPr>
            <w:tcW w:w="4675" w:type="dxa"/>
            <w:vAlign w:val="bottom"/>
          </w:tcPr>
          <w:p w14:paraId="2CFD8E33" w14:textId="77777777" w:rsidR="00980919" w:rsidRDefault="00980919" w:rsidP="001515D5">
            <w:r>
              <w:t>1,659</w:t>
            </w:r>
          </w:p>
        </w:tc>
      </w:tr>
      <w:tr w:rsidR="00980919" w14:paraId="1D6CE5AE" w14:textId="77777777" w:rsidTr="001515D5">
        <w:tc>
          <w:tcPr>
            <w:tcW w:w="4675" w:type="dxa"/>
            <w:vAlign w:val="bottom"/>
          </w:tcPr>
          <w:p w14:paraId="6EF81C30" w14:textId="77777777" w:rsidR="00980919" w:rsidRDefault="00980919" w:rsidP="001515D5">
            <w:r>
              <w:t>Georgetown</w:t>
            </w:r>
          </w:p>
        </w:tc>
        <w:tc>
          <w:tcPr>
            <w:tcW w:w="4675" w:type="dxa"/>
            <w:vAlign w:val="bottom"/>
          </w:tcPr>
          <w:p w14:paraId="3F5E3D92" w14:textId="77777777" w:rsidR="00980919" w:rsidRDefault="00980919" w:rsidP="001515D5">
            <w:r>
              <w:t>1,255</w:t>
            </w:r>
          </w:p>
        </w:tc>
      </w:tr>
      <w:tr w:rsidR="00980919" w14:paraId="28EFFBF0" w14:textId="77777777" w:rsidTr="001515D5">
        <w:tc>
          <w:tcPr>
            <w:tcW w:w="4675" w:type="dxa"/>
            <w:vAlign w:val="bottom"/>
          </w:tcPr>
          <w:p w14:paraId="75B3FD4E" w14:textId="77777777" w:rsidR="00980919" w:rsidRDefault="00980919" w:rsidP="001515D5">
            <w:r>
              <w:t>Greenville</w:t>
            </w:r>
          </w:p>
        </w:tc>
        <w:tc>
          <w:tcPr>
            <w:tcW w:w="4675" w:type="dxa"/>
            <w:vAlign w:val="bottom"/>
          </w:tcPr>
          <w:p w14:paraId="150982EA" w14:textId="77777777" w:rsidR="00980919" w:rsidRDefault="00980919" w:rsidP="001515D5">
            <w:r>
              <w:t>649</w:t>
            </w:r>
          </w:p>
        </w:tc>
      </w:tr>
      <w:tr w:rsidR="00980919" w14:paraId="41BF6D21" w14:textId="77777777" w:rsidTr="001515D5">
        <w:tc>
          <w:tcPr>
            <w:tcW w:w="4675" w:type="dxa"/>
            <w:vAlign w:val="bottom"/>
          </w:tcPr>
          <w:p w14:paraId="19A0F11E" w14:textId="77777777" w:rsidR="00980919" w:rsidRDefault="00980919" w:rsidP="001515D5">
            <w:r>
              <w:t>Greenwood</w:t>
            </w:r>
          </w:p>
        </w:tc>
        <w:tc>
          <w:tcPr>
            <w:tcW w:w="4675" w:type="dxa"/>
            <w:vAlign w:val="bottom"/>
          </w:tcPr>
          <w:p w14:paraId="4E4ED7F3" w14:textId="77777777" w:rsidR="00980919" w:rsidRDefault="00980919" w:rsidP="001515D5">
            <w:r>
              <w:t>1,141</w:t>
            </w:r>
          </w:p>
        </w:tc>
      </w:tr>
      <w:tr w:rsidR="00980919" w14:paraId="57B21D1A" w14:textId="77777777" w:rsidTr="001515D5">
        <w:tc>
          <w:tcPr>
            <w:tcW w:w="4675" w:type="dxa"/>
            <w:vAlign w:val="bottom"/>
          </w:tcPr>
          <w:p w14:paraId="67CA5B62" w14:textId="77777777" w:rsidR="00980919" w:rsidRDefault="00980919" w:rsidP="001515D5">
            <w:r>
              <w:t>Hampton</w:t>
            </w:r>
          </w:p>
        </w:tc>
        <w:tc>
          <w:tcPr>
            <w:tcW w:w="4675" w:type="dxa"/>
            <w:vAlign w:val="bottom"/>
          </w:tcPr>
          <w:p w14:paraId="5920BAFB" w14:textId="77777777" w:rsidR="00980919" w:rsidRDefault="00980919" w:rsidP="001515D5">
            <w:r>
              <w:t>1,375</w:t>
            </w:r>
          </w:p>
        </w:tc>
      </w:tr>
      <w:tr w:rsidR="00980919" w14:paraId="4F8A0F0F" w14:textId="77777777" w:rsidTr="001515D5">
        <w:tc>
          <w:tcPr>
            <w:tcW w:w="4675" w:type="dxa"/>
            <w:vAlign w:val="bottom"/>
          </w:tcPr>
          <w:p w14:paraId="67135A31" w14:textId="77777777" w:rsidR="00980919" w:rsidRDefault="00980919" w:rsidP="001515D5">
            <w:r>
              <w:t>Horry</w:t>
            </w:r>
          </w:p>
        </w:tc>
        <w:tc>
          <w:tcPr>
            <w:tcW w:w="4675" w:type="dxa"/>
            <w:vAlign w:val="bottom"/>
          </w:tcPr>
          <w:p w14:paraId="6C77EB48" w14:textId="77777777" w:rsidR="00980919" w:rsidRDefault="00980919" w:rsidP="001515D5">
            <w:r>
              <w:t>860</w:t>
            </w:r>
          </w:p>
        </w:tc>
      </w:tr>
      <w:tr w:rsidR="00980919" w14:paraId="3561F33A" w14:textId="77777777" w:rsidTr="001515D5">
        <w:tc>
          <w:tcPr>
            <w:tcW w:w="4675" w:type="dxa"/>
            <w:vAlign w:val="bottom"/>
          </w:tcPr>
          <w:p w14:paraId="7E708D7C" w14:textId="77777777" w:rsidR="00980919" w:rsidRDefault="00980919" w:rsidP="001515D5">
            <w:r>
              <w:t>Jasper</w:t>
            </w:r>
          </w:p>
        </w:tc>
        <w:tc>
          <w:tcPr>
            <w:tcW w:w="4675" w:type="dxa"/>
            <w:vAlign w:val="bottom"/>
          </w:tcPr>
          <w:p w14:paraId="3EF0C27C" w14:textId="77777777" w:rsidR="00980919" w:rsidRDefault="00980919" w:rsidP="001515D5">
            <w:r>
              <w:t>584</w:t>
            </w:r>
          </w:p>
        </w:tc>
      </w:tr>
      <w:tr w:rsidR="00980919" w14:paraId="3D445C04" w14:textId="77777777" w:rsidTr="001515D5">
        <w:tc>
          <w:tcPr>
            <w:tcW w:w="4675" w:type="dxa"/>
            <w:vAlign w:val="bottom"/>
          </w:tcPr>
          <w:p w14:paraId="09BCCC4B" w14:textId="77777777" w:rsidR="00980919" w:rsidRDefault="00980919" w:rsidP="001515D5">
            <w:r>
              <w:t>Kershaw</w:t>
            </w:r>
          </w:p>
        </w:tc>
        <w:tc>
          <w:tcPr>
            <w:tcW w:w="4675" w:type="dxa"/>
            <w:vAlign w:val="bottom"/>
          </w:tcPr>
          <w:p w14:paraId="2AF61304" w14:textId="77777777" w:rsidR="00980919" w:rsidRDefault="00980919" w:rsidP="001515D5">
            <w:r>
              <w:t>800</w:t>
            </w:r>
          </w:p>
        </w:tc>
      </w:tr>
      <w:tr w:rsidR="00980919" w14:paraId="2AB9CBBC" w14:textId="77777777" w:rsidTr="001515D5">
        <w:tc>
          <w:tcPr>
            <w:tcW w:w="4675" w:type="dxa"/>
            <w:vAlign w:val="bottom"/>
          </w:tcPr>
          <w:p w14:paraId="028ADDF3" w14:textId="77777777" w:rsidR="00980919" w:rsidRDefault="00980919" w:rsidP="001515D5">
            <w:r>
              <w:t>Lancaster</w:t>
            </w:r>
          </w:p>
        </w:tc>
        <w:tc>
          <w:tcPr>
            <w:tcW w:w="4675" w:type="dxa"/>
            <w:vAlign w:val="bottom"/>
          </w:tcPr>
          <w:p w14:paraId="2471543F" w14:textId="77777777" w:rsidR="00980919" w:rsidRDefault="00980919" w:rsidP="001515D5">
            <w:r>
              <w:t>522</w:t>
            </w:r>
          </w:p>
        </w:tc>
      </w:tr>
      <w:tr w:rsidR="00980919" w14:paraId="2B22098F" w14:textId="77777777" w:rsidTr="001515D5">
        <w:tc>
          <w:tcPr>
            <w:tcW w:w="4675" w:type="dxa"/>
            <w:vAlign w:val="bottom"/>
          </w:tcPr>
          <w:p w14:paraId="34C9A36B" w14:textId="77777777" w:rsidR="00980919" w:rsidRDefault="00980919" w:rsidP="001515D5">
            <w:r>
              <w:t>Laurens</w:t>
            </w:r>
          </w:p>
        </w:tc>
        <w:tc>
          <w:tcPr>
            <w:tcW w:w="4675" w:type="dxa"/>
            <w:vAlign w:val="bottom"/>
          </w:tcPr>
          <w:p w14:paraId="368F1B96" w14:textId="77777777" w:rsidR="00980919" w:rsidRDefault="00980919" w:rsidP="001515D5">
            <w:r>
              <w:t>994</w:t>
            </w:r>
          </w:p>
        </w:tc>
      </w:tr>
      <w:tr w:rsidR="00980919" w14:paraId="05F58E83" w14:textId="77777777" w:rsidTr="001515D5">
        <w:tc>
          <w:tcPr>
            <w:tcW w:w="4675" w:type="dxa"/>
            <w:vAlign w:val="bottom"/>
          </w:tcPr>
          <w:p w14:paraId="53D5720A" w14:textId="77777777" w:rsidR="00980919" w:rsidRDefault="00980919" w:rsidP="001515D5">
            <w:r>
              <w:t>Lee</w:t>
            </w:r>
          </w:p>
        </w:tc>
        <w:tc>
          <w:tcPr>
            <w:tcW w:w="4675" w:type="dxa"/>
            <w:vAlign w:val="bottom"/>
          </w:tcPr>
          <w:p w14:paraId="3E84C139" w14:textId="77777777" w:rsidR="00980919" w:rsidRDefault="00980919" w:rsidP="001515D5">
            <w:r>
              <w:t>1,161</w:t>
            </w:r>
          </w:p>
        </w:tc>
      </w:tr>
      <w:tr w:rsidR="00980919" w14:paraId="5224566A" w14:textId="77777777" w:rsidTr="001515D5">
        <w:tc>
          <w:tcPr>
            <w:tcW w:w="4675" w:type="dxa"/>
            <w:vAlign w:val="bottom"/>
          </w:tcPr>
          <w:p w14:paraId="3868F329" w14:textId="77777777" w:rsidR="00980919" w:rsidRDefault="00980919" w:rsidP="001515D5">
            <w:r>
              <w:t>Lexington</w:t>
            </w:r>
          </w:p>
        </w:tc>
        <w:tc>
          <w:tcPr>
            <w:tcW w:w="4675" w:type="dxa"/>
            <w:vAlign w:val="bottom"/>
          </w:tcPr>
          <w:p w14:paraId="2D452EE2" w14:textId="77777777" w:rsidR="00980919" w:rsidRDefault="00980919" w:rsidP="001515D5">
            <w:r>
              <w:t>654</w:t>
            </w:r>
          </w:p>
        </w:tc>
      </w:tr>
      <w:tr w:rsidR="00980919" w14:paraId="44D049A3" w14:textId="77777777" w:rsidTr="001515D5">
        <w:tc>
          <w:tcPr>
            <w:tcW w:w="4675" w:type="dxa"/>
            <w:vAlign w:val="bottom"/>
          </w:tcPr>
          <w:p w14:paraId="5713F0D4" w14:textId="77777777" w:rsidR="00980919" w:rsidRDefault="00980919" w:rsidP="001515D5">
            <w:r>
              <w:t>McCormick</w:t>
            </w:r>
          </w:p>
        </w:tc>
        <w:tc>
          <w:tcPr>
            <w:tcW w:w="4675" w:type="dxa"/>
            <w:vAlign w:val="bottom"/>
          </w:tcPr>
          <w:p w14:paraId="330AEA6E" w14:textId="77777777" w:rsidR="00980919" w:rsidRDefault="00980919" w:rsidP="001515D5">
            <w:r>
              <w:t>932</w:t>
            </w:r>
          </w:p>
        </w:tc>
      </w:tr>
      <w:tr w:rsidR="00980919" w14:paraId="7D76E447" w14:textId="77777777" w:rsidTr="001515D5">
        <w:tc>
          <w:tcPr>
            <w:tcW w:w="4675" w:type="dxa"/>
            <w:vAlign w:val="bottom"/>
          </w:tcPr>
          <w:p w14:paraId="05A5DD97" w14:textId="77777777" w:rsidR="00980919" w:rsidRDefault="00980919" w:rsidP="001515D5">
            <w:r>
              <w:t>Marion</w:t>
            </w:r>
          </w:p>
        </w:tc>
        <w:tc>
          <w:tcPr>
            <w:tcW w:w="4675" w:type="dxa"/>
            <w:vAlign w:val="bottom"/>
          </w:tcPr>
          <w:p w14:paraId="4732A87F" w14:textId="77777777" w:rsidR="00980919" w:rsidRDefault="00980919" w:rsidP="001515D5">
            <w:r>
              <w:t>1,668</w:t>
            </w:r>
          </w:p>
        </w:tc>
      </w:tr>
      <w:tr w:rsidR="00980919" w14:paraId="46B14E13" w14:textId="77777777" w:rsidTr="001515D5">
        <w:tc>
          <w:tcPr>
            <w:tcW w:w="4675" w:type="dxa"/>
            <w:vAlign w:val="bottom"/>
          </w:tcPr>
          <w:p w14:paraId="55207752" w14:textId="77777777" w:rsidR="00980919" w:rsidRDefault="00980919" w:rsidP="001515D5">
            <w:r>
              <w:t>Marlboro</w:t>
            </w:r>
          </w:p>
        </w:tc>
        <w:tc>
          <w:tcPr>
            <w:tcW w:w="4675" w:type="dxa"/>
            <w:vAlign w:val="bottom"/>
          </w:tcPr>
          <w:p w14:paraId="598E6479" w14:textId="77777777" w:rsidR="00980919" w:rsidRDefault="00980919" w:rsidP="001515D5">
            <w:r>
              <w:t>769</w:t>
            </w:r>
          </w:p>
        </w:tc>
      </w:tr>
      <w:tr w:rsidR="00980919" w14:paraId="4743F5EC" w14:textId="77777777" w:rsidTr="001515D5">
        <w:tc>
          <w:tcPr>
            <w:tcW w:w="4675" w:type="dxa"/>
            <w:vAlign w:val="bottom"/>
          </w:tcPr>
          <w:p w14:paraId="1B0CF9C2" w14:textId="77777777" w:rsidR="00980919" w:rsidRDefault="00980919" w:rsidP="001515D5">
            <w:r>
              <w:t>Newberry</w:t>
            </w:r>
          </w:p>
        </w:tc>
        <w:tc>
          <w:tcPr>
            <w:tcW w:w="4675" w:type="dxa"/>
            <w:vAlign w:val="bottom"/>
          </w:tcPr>
          <w:p w14:paraId="5BD64C8F" w14:textId="77777777" w:rsidR="00980919" w:rsidRDefault="00980919" w:rsidP="001515D5">
            <w:r>
              <w:t>792</w:t>
            </w:r>
          </w:p>
        </w:tc>
      </w:tr>
      <w:tr w:rsidR="00980919" w14:paraId="1A184F9E" w14:textId="77777777" w:rsidTr="001515D5">
        <w:tc>
          <w:tcPr>
            <w:tcW w:w="4675" w:type="dxa"/>
            <w:vAlign w:val="bottom"/>
          </w:tcPr>
          <w:p w14:paraId="153E2EC3" w14:textId="77777777" w:rsidR="00980919" w:rsidRDefault="00980919" w:rsidP="001515D5">
            <w:r>
              <w:t>Oconee</w:t>
            </w:r>
          </w:p>
        </w:tc>
        <w:tc>
          <w:tcPr>
            <w:tcW w:w="4675" w:type="dxa"/>
            <w:vAlign w:val="bottom"/>
          </w:tcPr>
          <w:p w14:paraId="0D94A205" w14:textId="77777777" w:rsidR="00980919" w:rsidRDefault="00980919" w:rsidP="001515D5">
            <w:r>
              <w:t>1,292</w:t>
            </w:r>
          </w:p>
        </w:tc>
      </w:tr>
      <w:tr w:rsidR="00980919" w14:paraId="74180C59" w14:textId="77777777" w:rsidTr="001515D5">
        <w:tc>
          <w:tcPr>
            <w:tcW w:w="4675" w:type="dxa"/>
            <w:vAlign w:val="bottom"/>
          </w:tcPr>
          <w:p w14:paraId="31B323E9" w14:textId="77777777" w:rsidR="00980919" w:rsidRDefault="00980919" w:rsidP="001515D5">
            <w:r>
              <w:t>Orangeburg</w:t>
            </w:r>
          </w:p>
        </w:tc>
        <w:tc>
          <w:tcPr>
            <w:tcW w:w="4675" w:type="dxa"/>
            <w:vAlign w:val="bottom"/>
          </w:tcPr>
          <w:p w14:paraId="40756E5F" w14:textId="77777777" w:rsidR="00980919" w:rsidRDefault="00980919" w:rsidP="001515D5">
            <w:r>
              <w:t>1,055</w:t>
            </w:r>
          </w:p>
        </w:tc>
      </w:tr>
      <w:tr w:rsidR="00980919" w14:paraId="4A79C95C" w14:textId="77777777" w:rsidTr="001515D5">
        <w:tc>
          <w:tcPr>
            <w:tcW w:w="4675" w:type="dxa"/>
            <w:vAlign w:val="bottom"/>
          </w:tcPr>
          <w:p w14:paraId="599EAA5E" w14:textId="77777777" w:rsidR="00980919" w:rsidRDefault="00980919" w:rsidP="001515D5">
            <w:r>
              <w:t>Pickens</w:t>
            </w:r>
          </w:p>
        </w:tc>
        <w:tc>
          <w:tcPr>
            <w:tcW w:w="4675" w:type="dxa"/>
            <w:vAlign w:val="bottom"/>
          </w:tcPr>
          <w:p w14:paraId="36FAB18A" w14:textId="77777777" w:rsidR="00980919" w:rsidRDefault="00980919" w:rsidP="001515D5">
            <w:r>
              <w:t>841</w:t>
            </w:r>
          </w:p>
        </w:tc>
      </w:tr>
      <w:tr w:rsidR="00980919" w14:paraId="2EF75D09" w14:textId="77777777" w:rsidTr="001515D5">
        <w:tc>
          <w:tcPr>
            <w:tcW w:w="4675" w:type="dxa"/>
            <w:vAlign w:val="bottom"/>
          </w:tcPr>
          <w:p w14:paraId="3D2E9A2D" w14:textId="77777777" w:rsidR="00980919" w:rsidRDefault="00980919" w:rsidP="001515D5">
            <w:r>
              <w:t>Richland</w:t>
            </w:r>
          </w:p>
        </w:tc>
        <w:tc>
          <w:tcPr>
            <w:tcW w:w="4675" w:type="dxa"/>
            <w:vAlign w:val="bottom"/>
          </w:tcPr>
          <w:p w14:paraId="3FDD7C53" w14:textId="77777777" w:rsidR="00980919" w:rsidRDefault="00980919" w:rsidP="001515D5">
            <w:r>
              <w:t>601</w:t>
            </w:r>
          </w:p>
        </w:tc>
      </w:tr>
      <w:tr w:rsidR="00980919" w14:paraId="7A8FCC9E" w14:textId="77777777" w:rsidTr="001515D5">
        <w:tc>
          <w:tcPr>
            <w:tcW w:w="4675" w:type="dxa"/>
            <w:vAlign w:val="bottom"/>
          </w:tcPr>
          <w:p w14:paraId="62B8F6C9" w14:textId="77777777" w:rsidR="00980919" w:rsidRDefault="00980919" w:rsidP="001515D5">
            <w:r>
              <w:t>Saluda</w:t>
            </w:r>
          </w:p>
        </w:tc>
        <w:tc>
          <w:tcPr>
            <w:tcW w:w="4675" w:type="dxa"/>
            <w:vAlign w:val="bottom"/>
          </w:tcPr>
          <w:p w14:paraId="6CE07906" w14:textId="77777777" w:rsidR="00980919" w:rsidRDefault="00980919" w:rsidP="001515D5">
            <w:r>
              <w:t>691</w:t>
            </w:r>
          </w:p>
        </w:tc>
      </w:tr>
      <w:tr w:rsidR="00980919" w14:paraId="7E703C83" w14:textId="77777777" w:rsidTr="001515D5">
        <w:tc>
          <w:tcPr>
            <w:tcW w:w="4675" w:type="dxa"/>
            <w:vAlign w:val="bottom"/>
          </w:tcPr>
          <w:p w14:paraId="79A9C9BF" w14:textId="77777777" w:rsidR="00980919" w:rsidRDefault="00980919" w:rsidP="001515D5">
            <w:r>
              <w:t>Spartanburg</w:t>
            </w:r>
          </w:p>
        </w:tc>
        <w:tc>
          <w:tcPr>
            <w:tcW w:w="4675" w:type="dxa"/>
            <w:vAlign w:val="bottom"/>
          </w:tcPr>
          <w:p w14:paraId="01ADAA70" w14:textId="77777777" w:rsidR="00980919" w:rsidRDefault="00980919" w:rsidP="001515D5">
            <w:r>
              <w:t>953</w:t>
            </w:r>
          </w:p>
        </w:tc>
      </w:tr>
      <w:tr w:rsidR="00980919" w14:paraId="6E6DF662" w14:textId="77777777" w:rsidTr="001515D5">
        <w:tc>
          <w:tcPr>
            <w:tcW w:w="4675" w:type="dxa"/>
            <w:vAlign w:val="bottom"/>
          </w:tcPr>
          <w:p w14:paraId="32CE65C7" w14:textId="77777777" w:rsidR="00980919" w:rsidRDefault="00980919" w:rsidP="001515D5">
            <w:r>
              <w:t>Sumter</w:t>
            </w:r>
          </w:p>
        </w:tc>
        <w:tc>
          <w:tcPr>
            <w:tcW w:w="4675" w:type="dxa"/>
            <w:vAlign w:val="bottom"/>
          </w:tcPr>
          <w:p w14:paraId="33235B2F" w14:textId="77777777" w:rsidR="00980919" w:rsidRDefault="00980919" w:rsidP="001515D5">
            <w:r>
              <w:t>1,000</w:t>
            </w:r>
          </w:p>
        </w:tc>
      </w:tr>
      <w:tr w:rsidR="00980919" w14:paraId="539905BB" w14:textId="77777777" w:rsidTr="001515D5">
        <w:tc>
          <w:tcPr>
            <w:tcW w:w="4675" w:type="dxa"/>
            <w:vAlign w:val="bottom"/>
          </w:tcPr>
          <w:p w14:paraId="0B92056A" w14:textId="77777777" w:rsidR="00980919" w:rsidRDefault="00980919" w:rsidP="001515D5">
            <w:r>
              <w:t>Union</w:t>
            </w:r>
          </w:p>
        </w:tc>
        <w:tc>
          <w:tcPr>
            <w:tcW w:w="4675" w:type="dxa"/>
            <w:vAlign w:val="bottom"/>
          </w:tcPr>
          <w:p w14:paraId="7BE67810" w14:textId="77777777" w:rsidR="00980919" w:rsidRDefault="00980919" w:rsidP="001515D5">
            <w:r>
              <w:t>1,299</w:t>
            </w:r>
          </w:p>
        </w:tc>
      </w:tr>
      <w:tr w:rsidR="00980919" w14:paraId="5F9D9690" w14:textId="77777777" w:rsidTr="001515D5">
        <w:tc>
          <w:tcPr>
            <w:tcW w:w="4675" w:type="dxa"/>
            <w:vAlign w:val="bottom"/>
          </w:tcPr>
          <w:p w14:paraId="307DC3CE" w14:textId="77777777" w:rsidR="00980919" w:rsidRDefault="00980919" w:rsidP="001515D5">
            <w:r>
              <w:lastRenderedPageBreak/>
              <w:t>Williamsburg</w:t>
            </w:r>
          </w:p>
        </w:tc>
        <w:tc>
          <w:tcPr>
            <w:tcW w:w="4675" w:type="dxa"/>
            <w:vAlign w:val="bottom"/>
          </w:tcPr>
          <w:p w14:paraId="63CD8CC0" w14:textId="77777777" w:rsidR="00980919" w:rsidRDefault="00980919" w:rsidP="001515D5">
            <w:r>
              <w:t>1,155</w:t>
            </w:r>
          </w:p>
        </w:tc>
      </w:tr>
      <w:tr w:rsidR="00980919" w14:paraId="5194668B" w14:textId="77777777" w:rsidTr="001515D5">
        <w:tc>
          <w:tcPr>
            <w:tcW w:w="4675" w:type="dxa"/>
            <w:vAlign w:val="bottom"/>
          </w:tcPr>
          <w:p w14:paraId="3BA5F2F8" w14:textId="77777777" w:rsidR="00980919" w:rsidRDefault="00980919" w:rsidP="001515D5">
            <w:r>
              <w:t>York</w:t>
            </w:r>
          </w:p>
        </w:tc>
        <w:tc>
          <w:tcPr>
            <w:tcW w:w="4675" w:type="dxa"/>
            <w:vAlign w:val="bottom"/>
          </w:tcPr>
          <w:p w14:paraId="6866FA12" w14:textId="77777777" w:rsidR="00980919" w:rsidRDefault="00980919" w:rsidP="001515D5">
            <w:r>
              <w:t>425</w:t>
            </w:r>
          </w:p>
        </w:tc>
      </w:tr>
    </w:tbl>
    <w:p w14:paraId="452ED2D0" w14:textId="77777777" w:rsidR="00980919" w:rsidRPr="00E96508" w:rsidRDefault="00980919" w:rsidP="00980919">
      <w:r w:rsidRPr="00E96508">
        <w:t xml:space="preserve">Source: SC RFA, 2021. </w:t>
      </w:r>
    </w:p>
    <w:p w14:paraId="305A5A1E" w14:textId="77777777" w:rsidR="00980919" w:rsidRDefault="00980919" w:rsidP="00980919">
      <w:r w:rsidRPr="00E96508">
        <w:t xml:space="preserve">Notes: Federal fiscal year, data are preliminary, avoidable conditions </w:t>
      </w:r>
      <w:proofErr w:type="gramStart"/>
      <w:r w:rsidRPr="00E96508">
        <w:t>include:</w:t>
      </w:r>
      <w:proofErr w:type="gramEnd"/>
      <w:r w:rsidRPr="00E96508">
        <w:t xml:space="preserve"> convulsions, COPD, pneumonia, asthma, heart failure, hypertension, angina, cellulitis, diabetes, gastroenteritis, kidney/ urinary tract infections, and dehydration.</w:t>
      </w:r>
    </w:p>
    <w:p w14:paraId="2B2DF5FA" w14:textId="77777777" w:rsidR="00F73294" w:rsidRDefault="00F73294" w:rsidP="00F73294"/>
    <w:p w14:paraId="6929B147" w14:textId="77777777" w:rsidR="00F73294" w:rsidRDefault="00F73294" w:rsidP="00F73294">
      <w:pPr>
        <w:rPr>
          <w:b/>
          <w:bCs/>
        </w:rPr>
      </w:pPr>
      <w:bookmarkStart w:id="323" w:name="_Toc162267207"/>
      <w:r w:rsidRPr="00F73294">
        <w:rPr>
          <w:rStyle w:val="Heading4Char"/>
        </w:rPr>
        <w:t>Data Interpretations:</w:t>
      </w:r>
      <w:bookmarkEnd w:id="323"/>
      <w:r w:rsidRPr="00F73294">
        <w:rPr>
          <w:b/>
          <w:bCs/>
        </w:rPr>
        <w:t xml:space="preserve"> </w:t>
      </w:r>
    </w:p>
    <w:p w14:paraId="455A224C" w14:textId="0DD40A70" w:rsidR="00F73294" w:rsidRPr="00F73294" w:rsidRDefault="00F73294" w:rsidP="00F73294">
      <w:r w:rsidRPr="00F73294">
        <w:t>Avoidable ED visits were 3.6 times higher than the rate of avoidable hospitalization stays seen in the state (</w:t>
      </w:r>
      <w:r w:rsidRPr="00F73294">
        <w:rPr>
          <w:b/>
          <w:bCs/>
        </w:rPr>
        <w:t>Figure 6.31</w:t>
      </w:r>
      <w:r w:rsidRPr="00F73294">
        <w:t>). In SC, the state rate for avoidable hospitalizations was 807 per 100,000 population. Amongst South Carolinians who went to the ED with an avoidable condition in 2021, individuals who were Black saw the highest rate (</w:t>
      </w:r>
      <w:r w:rsidRPr="00F73294">
        <w:rPr>
          <w:b/>
          <w:bCs/>
        </w:rPr>
        <w:t>Figure 6.32</w:t>
      </w:r>
      <w:r w:rsidRPr="00F73294">
        <w:t>). Black South Carolinians saw an avoidable ED rate of 4,690 per 100,000 population, 2.1 times higher than their White counterparts (2,208 per 100,000 population). The state saw a wide range of counties with residents being hospitalized with avoidable conditions (</w:t>
      </w:r>
      <w:r w:rsidRPr="00F73294">
        <w:rPr>
          <w:b/>
          <w:bCs/>
        </w:rPr>
        <w:t>Figure 6.33</w:t>
      </w:r>
      <w:r w:rsidRPr="00F73294">
        <w:t>). York County saw the lowest rate in the state at 425 avoidable hospitalizations per 100,000 population, whereas Marion County saw the highest at 1,</w:t>
      </w:r>
      <w:r w:rsidR="00FB4D78">
        <w:t>58</w:t>
      </w:r>
      <w:r w:rsidRPr="00F73294">
        <w:t xml:space="preserve">8 avoidable hospitalizations per 100,000 population. Marion County’s avoidable hospitalization rate was 3.9 times higher than the rate seen in York County. The Pee Dee region of SC saw some of the highest avoidable hospitalization rates in the state. When looking at avoidable hospitalization rates, it is important to note that some residents might choose to receive care from other states, and this could potentially impact estimates associated with our border counties. </w:t>
      </w:r>
    </w:p>
    <w:p w14:paraId="10302104" w14:textId="77777777" w:rsidR="00F73294" w:rsidRDefault="00F73294" w:rsidP="00F73294"/>
    <w:p w14:paraId="45CDFEA5" w14:textId="7A7F3372" w:rsidR="00F73294" w:rsidRDefault="00F73294" w:rsidP="00F73294">
      <w:pPr>
        <w:pStyle w:val="Heading5"/>
      </w:pPr>
      <w:r>
        <w:t>Key Takeaways:</w:t>
      </w:r>
    </w:p>
    <w:p w14:paraId="701C805D" w14:textId="77777777" w:rsidR="00EA168E" w:rsidRDefault="00F73294" w:rsidP="00926EB3">
      <w:pPr>
        <w:pStyle w:val="ListParagraph"/>
        <w:numPr>
          <w:ilvl w:val="0"/>
          <w:numId w:val="216"/>
        </w:numPr>
      </w:pPr>
      <w:r w:rsidRPr="00F73294">
        <w:t xml:space="preserve">Residents of the Pee Dee region see the highest rates of avoidable hospitalizations in the state. </w:t>
      </w:r>
    </w:p>
    <w:p w14:paraId="1743C6D0" w14:textId="1626F89E" w:rsidR="00F73294" w:rsidRPr="00F73294" w:rsidRDefault="00F73294" w:rsidP="00926EB3">
      <w:pPr>
        <w:pStyle w:val="ListParagraph"/>
        <w:numPr>
          <w:ilvl w:val="0"/>
          <w:numId w:val="216"/>
        </w:numPr>
      </w:pPr>
      <w:r w:rsidRPr="00F73294">
        <w:t>Additionally, Black South Carolinians see disproportionately higher rates of avoidable hospitalizations and ED visits when compared to their White counterparts.</w:t>
      </w:r>
    </w:p>
    <w:p w14:paraId="693DD92F" w14:textId="77777777" w:rsidR="00F73294" w:rsidRDefault="00F73294" w:rsidP="00F73294"/>
    <w:p w14:paraId="0B5C6389" w14:textId="48B700E2" w:rsidR="00F73294" w:rsidRPr="00722CE9" w:rsidRDefault="00F73294" w:rsidP="00F73294">
      <w:bookmarkStart w:id="324" w:name="_Toc162267208"/>
      <w:r w:rsidRPr="00EA168E">
        <w:rPr>
          <w:rStyle w:val="Heading4Char"/>
          <w:rFonts w:asciiTheme="minorHAnsi" w:hAnsiTheme="minorHAnsi" w:cstheme="minorHAnsi"/>
          <w:color w:val="000000" w:themeColor="text1"/>
        </w:rPr>
        <w:t>References 6.1</w:t>
      </w:r>
      <w:r w:rsidR="00425D3B">
        <w:rPr>
          <w:rStyle w:val="Heading4Char"/>
          <w:rFonts w:asciiTheme="minorHAnsi" w:hAnsiTheme="minorHAnsi" w:cstheme="minorHAnsi"/>
          <w:color w:val="000000" w:themeColor="text1"/>
        </w:rPr>
        <w:t>3</w:t>
      </w:r>
      <w:bookmarkEnd w:id="324"/>
      <w:r w:rsidRPr="00FF4962">
        <w:rPr>
          <w:i/>
          <w:iCs/>
          <w:color w:val="000000" w:themeColor="text1"/>
        </w:rPr>
        <w:t xml:space="preserve"> </w:t>
      </w:r>
    </w:p>
    <w:p w14:paraId="726332D8" w14:textId="2966ACD7" w:rsidR="00F73294" w:rsidRDefault="00F73294" w:rsidP="00F73294">
      <w:r w:rsidRPr="00722CE9">
        <w:t>Statistics in the preceding</w:t>
      </w:r>
      <w:r>
        <w:t xml:space="preserve"> section</w:t>
      </w:r>
      <w:r w:rsidRPr="00722CE9">
        <w:t xml:space="preserve"> were referenced from the following report</w:t>
      </w:r>
      <w:r>
        <w:t>s</w:t>
      </w:r>
      <w:r w:rsidRPr="00722CE9">
        <w:t>:</w:t>
      </w:r>
    </w:p>
    <w:p w14:paraId="181B0445" w14:textId="02ED5D89" w:rsidR="00F73294" w:rsidRPr="00F73294" w:rsidRDefault="00F73294" w:rsidP="00926EB3">
      <w:pPr>
        <w:pStyle w:val="ListParagraph"/>
        <w:numPr>
          <w:ilvl w:val="0"/>
          <w:numId w:val="27"/>
        </w:numPr>
      </w:pPr>
      <w:r>
        <w:lastRenderedPageBreak/>
        <w:t>“</w:t>
      </w:r>
      <w:r w:rsidRPr="00F73294">
        <w:t>Potentially preventable hospitalizations—United States, 2001–2009</w:t>
      </w:r>
      <w:r>
        <w:t>” by</w:t>
      </w:r>
      <w:r w:rsidRPr="00F73294">
        <w:t xml:space="preserve"> Moy, E., Chang, E., Barrett, M., &amp; Centers for Disease Control and Prevention (CDC). </w:t>
      </w:r>
      <w:r>
        <w:t xml:space="preserve">Published in </w:t>
      </w:r>
      <w:r w:rsidRPr="00F73294">
        <w:t>MMWR Suppl, </w:t>
      </w:r>
      <w:r>
        <w:t>2013. No hyperlink.</w:t>
      </w:r>
    </w:p>
    <w:p w14:paraId="5F7F923F" w14:textId="581B221C" w:rsidR="00F73294" w:rsidRPr="00F73294" w:rsidRDefault="00F73294" w:rsidP="00926EB3">
      <w:pPr>
        <w:pStyle w:val="ListParagraph"/>
        <w:numPr>
          <w:ilvl w:val="0"/>
          <w:numId w:val="27"/>
        </w:numPr>
      </w:pPr>
      <w:r>
        <w:t>“</w:t>
      </w:r>
      <w:r w:rsidRPr="00F73294">
        <w:t>Characteristics and costs of potentially preventable inpatient stays, 2017: Statistical Brief# 259</w:t>
      </w:r>
      <w:r>
        <w:t>” by</w:t>
      </w:r>
      <w:r w:rsidRPr="00F73294">
        <w:t xml:space="preserve"> McDermott, K. W., &amp; Jiang, H. J. 2020. </w:t>
      </w:r>
      <w:r>
        <w:t>No hyperlink.</w:t>
      </w:r>
    </w:p>
    <w:p w14:paraId="3C1A6A28" w14:textId="3E6E5154" w:rsidR="00F73294" w:rsidRPr="00F73294" w:rsidRDefault="00F73294" w:rsidP="00926EB3">
      <w:pPr>
        <w:pStyle w:val="ListParagraph"/>
        <w:numPr>
          <w:ilvl w:val="0"/>
          <w:numId w:val="27"/>
        </w:numPr>
      </w:pPr>
      <w:r>
        <w:t>“</w:t>
      </w:r>
      <w:r w:rsidRPr="00F73294">
        <w:t xml:space="preserve">Factors associated with avoidable emergency department visits in </w:t>
      </w:r>
      <w:r>
        <w:t>B</w:t>
      </w:r>
      <w:r w:rsidRPr="00F73294">
        <w:t>roward county, Florida</w:t>
      </w:r>
      <w:r>
        <w:t>” by</w:t>
      </w:r>
      <w:r w:rsidRPr="00F73294">
        <w:t xml:space="preserve"> Williams, C. A., &amp; </w:t>
      </w:r>
      <w:proofErr w:type="spellStart"/>
      <w:r w:rsidRPr="00F73294">
        <w:t>Haffizulla</w:t>
      </w:r>
      <w:proofErr w:type="spellEnd"/>
      <w:r w:rsidRPr="00F73294">
        <w:t xml:space="preserve">, F. </w:t>
      </w:r>
      <w:r>
        <w:t xml:space="preserve">Published by </w:t>
      </w:r>
      <w:proofErr w:type="spellStart"/>
      <w:r w:rsidRPr="00F73294">
        <w:t>Cureus</w:t>
      </w:r>
      <w:proofErr w:type="spellEnd"/>
      <w:r w:rsidRPr="00F73294">
        <w:t>, </w:t>
      </w:r>
      <w:r>
        <w:t>2021. No hyperlink.</w:t>
      </w:r>
    </w:p>
    <w:p w14:paraId="5C675041" w14:textId="1836AE31" w:rsidR="00F73294" w:rsidRPr="00F73294" w:rsidRDefault="00000000" w:rsidP="00926EB3">
      <w:pPr>
        <w:pStyle w:val="ListParagraph"/>
        <w:numPr>
          <w:ilvl w:val="0"/>
          <w:numId w:val="27"/>
        </w:numPr>
      </w:pPr>
      <w:hyperlink r:id="rId164" w:history="1">
        <w:r w:rsidR="00F73294" w:rsidRPr="00F73294">
          <w:rPr>
            <w:rStyle w:val="Hyperlink"/>
          </w:rPr>
          <w:t>“Reducing unnecessary emergency department visits - centers for Medicare ... Transforming Clinical Practice Linkage</w:t>
        </w:r>
        <w:r w:rsidR="00F73294">
          <w:rPr>
            <w:rStyle w:val="Hyperlink"/>
          </w:rPr>
          <w:t>”</w:t>
        </w:r>
        <w:r w:rsidR="00F73294" w:rsidRPr="00F73294">
          <w:rPr>
            <w:rStyle w:val="Hyperlink"/>
          </w:rPr>
          <w:t xml:space="preserve"> by CMS. Retrieved December 13, 2022.</w:t>
        </w:r>
      </w:hyperlink>
    </w:p>
    <w:p w14:paraId="71DE7D43" w14:textId="77777777" w:rsidR="00F73294" w:rsidRPr="00F73294" w:rsidRDefault="00F73294" w:rsidP="00F73294"/>
    <w:p w14:paraId="10DE3DC1" w14:textId="77777777" w:rsidR="00F73294" w:rsidRPr="00F73294" w:rsidRDefault="00F73294" w:rsidP="00F73294">
      <w:pPr>
        <w:pStyle w:val="Heading3"/>
      </w:pPr>
      <w:bookmarkStart w:id="325" w:name="_Toc162267209"/>
      <w:r w:rsidRPr="00F73294">
        <w:t>Health Professional Shortage Areas</w:t>
      </w:r>
      <w:bookmarkEnd w:id="325"/>
    </w:p>
    <w:p w14:paraId="69C5C043" w14:textId="0A94C506" w:rsidR="00F73294" w:rsidRPr="00F73294" w:rsidRDefault="00F73294" w:rsidP="00F73294">
      <w:pPr>
        <w:rPr>
          <w:b/>
          <w:bCs/>
        </w:rPr>
      </w:pPr>
      <w:r w:rsidRPr="00F73294">
        <w:t xml:space="preserve">Health Professional Shortage Area (HPSA) designations are geographic areas, population groups or healthcare facilities that have been deemed as having a shortage of health professionals by the Health Resources and Services Administration (HRSA). There are three categories of HPSA designations based on the health discipline: primary medical, </w:t>
      </w:r>
      <w:proofErr w:type="gramStart"/>
      <w:r w:rsidRPr="00F73294">
        <w:t>dental</w:t>
      </w:r>
      <w:proofErr w:type="gramEnd"/>
      <w:r w:rsidRPr="00F73294">
        <w:t xml:space="preserve"> and mental health. Each of the three categories of HPSA can then be categorized into four types: geographic, low-income population, specialty population and facility. Geographic HPSAs can be a portion of a city, county or the entire county that sees lower levels of health professionals. A low-income population HPSA focuses on health professionals that spend their time serving populations living below the federal poverty level. A specialty-population HPSA refers to physicians that serve vulnerable populations, such as, people who are homeless or migrant workers. Finally, a facility HPSA looks at facilities of need and can include state and federal prisons, rural health clinics and federally qualified health centers. For an area to be considered an HPSA it must show that</w:t>
      </w:r>
      <w:r w:rsidR="00FB4D78">
        <w:t xml:space="preserve"> the</w:t>
      </w:r>
      <w:r w:rsidRPr="00F73294">
        <w:t xml:space="preserve"> number of health professionals relative to the population in question is less than federal limits. Areas identified as HPSA </w:t>
      </w:r>
      <w:proofErr w:type="gramStart"/>
      <w:r w:rsidRPr="00F73294">
        <w:t>are able to</w:t>
      </w:r>
      <w:proofErr w:type="gramEnd"/>
      <w:r w:rsidRPr="00F73294">
        <w:t xml:space="preserve"> use government-established programs to attract new physicians and retain those currently working in the area.</w:t>
      </w:r>
    </w:p>
    <w:p w14:paraId="08F274B1" w14:textId="77777777" w:rsidR="00F73294" w:rsidRDefault="00F73294" w:rsidP="00F73294"/>
    <w:p w14:paraId="009F98C8" w14:textId="77777777" w:rsidR="00980919" w:rsidRDefault="00980919" w:rsidP="00980919">
      <w:pPr>
        <w:pStyle w:val="Heading4"/>
      </w:pPr>
      <w:bookmarkStart w:id="326" w:name="_Toc154569842"/>
      <w:bookmarkStart w:id="327" w:name="_Toc162267210"/>
      <w:r>
        <w:t>Figure 6.34: Primary Care Health Professional Shortage Area, by Category.</w:t>
      </w:r>
      <w:bookmarkEnd w:id="326"/>
      <w:bookmarkEnd w:id="327"/>
    </w:p>
    <w:p w14:paraId="05B4E496" w14:textId="77777777" w:rsidR="00980919" w:rsidRPr="002F08EB" w:rsidRDefault="00980919" w:rsidP="00980919">
      <w:pPr>
        <w:pStyle w:val="Heading5"/>
      </w:pPr>
      <w:r>
        <w:t>HPSA Designation.</w:t>
      </w:r>
    </w:p>
    <w:tbl>
      <w:tblPr>
        <w:tblStyle w:val="TableGrid"/>
        <w:tblW w:w="0" w:type="auto"/>
        <w:tblLook w:val="04A0" w:firstRow="1" w:lastRow="0" w:firstColumn="1" w:lastColumn="0" w:noHBand="0" w:noVBand="1"/>
      </w:tblPr>
      <w:tblGrid>
        <w:gridCol w:w="4675"/>
        <w:gridCol w:w="4675"/>
      </w:tblGrid>
      <w:tr w:rsidR="00980919" w14:paraId="7A795DA0" w14:textId="77777777" w:rsidTr="001515D5">
        <w:tc>
          <w:tcPr>
            <w:tcW w:w="4675" w:type="dxa"/>
            <w:vAlign w:val="bottom"/>
          </w:tcPr>
          <w:p w14:paraId="07B1FD41" w14:textId="77777777" w:rsidR="00980919" w:rsidRDefault="00980919" w:rsidP="001515D5">
            <w:r>
              <w:t>County</w:t>
            </w:r>
          </w:p>
        </w:tc>
        <w:tc>
          <w:tcPr>
            <w:tcW w:w="4675" w:type="dxa"/>
            <w:vAlign w:val="bottom"/>
          </w:tcPr>
          <w:p w14:paraId="524D4C6A" w14:textId="77777777" w:rsidR="00980919" w:rsidRDefault="00980919" w:rsidP="001515D5">
            <w:r>
              <w:t>Type</w:t>
            </w:r>
          </w:p>
        </w:tc>
      </w:tr>
      <w:tr w:rsidR="00980919" w14:paraId="6496A873" w14:textId="77777777" w:rsidTr="001515D5">
        <w:tc>
          <w:tcPr>
            <w:tcW w:w="4675" w:type="dxa"/>
            <w:vAlign w:val="bottom"/>
          </w:tcPr>
          <w:p w14:paraId="1D09C6ED" w14:textId="77777777" w:rsidR="00980919" w:rsidRDefault="00980919" w:rsidP="001515D5">
            <w:r>
              <w:t>Abbeville</w:t>
            </w:r>
          </w:p>
        </w:tc>
        <w:tc>
          <w:tcPr>
            <w:tcW w:w="4675" w:type="dxa"/>
            <w:vAlign w:val="bottom"/>
          </w:tcPr>
          <w:p w14:paraId="1B21390F" w14:textId="77777777" w:rsidR="00980919" w:rsidRDefault="00980919" w:rsidP="001515D5">
            <w:r>
              <w:t>Low Income Only</w:t>
            </w:r>
          </w:p>
        </w:tc>
      </w:tr>
      <w:tr w:rsidR="00980919" w14:paraId="1BBCDCA7" w14:textId="77777777" w:rsidTr="001515D5">
        <w:tc>
          <w:tcPr>
            <w:tcW w:w="4675" w:type="dxa"/>
            <w:vAlign w:val="bottom"/>
          </w:tcPr>
          <w:p w14:paraId="02C91FDE" w14:textId="77777777" w:rsidR="00980919" w:rsidRDefault="00980919" w:rsidP="001515D5">
            <w:r>
              <w:lastRenderedPageBreak/>
              <w:t>Aiken</w:t>
            </w:r>
          </w:p>
        </w:tc>
        <w:tc>
          <w:tcPr>
            <w:tcW w:w="4675" w:type="dxa"/>
            <w:vAlign w:val="bottom"/>
          </w:tcPr>
          <w:p w14:paraId="78D84430" w14:textId="77777777" w:rsidR="00980919" w:rsidRDefault="00980919" w:rsidP="001515D5">
            <w:r>
              <w:t>Low Income Only</w:t>
            </w:r>
          </w:p>
        </w:tc>
      </w:tr>
      <w:tr w:rsidR="00980919" w14:paraId="1D1D3BE8" w14:textId="77777777" w:rsidTr="001515D5">
        <w:tc>
          <w:tcPr>
            <w:tcW w:w="4675" w:type="dxa"/>
            <w:vAlign w:val="bottom"/>
          </w:tcPr>
          <w:p w14:paraId="3769BCC6" w14:textId="77777777" w:rsidR="00980919" w:rsidRDefault="00980919" w:rsidP="001515D5">
            <w:r>
              <w:t>Allendale</w:t>
            </w:r>
          </w:p>
        </w:tc>
        <w:tc>
          <w:tcPr>
            <w:tcW w:w="4675" w:type="dxa"/>
            <w:vAlign w:val="bottom"/>
          </w:tcPr>
          <w:p w14:paraId="6E7BC40E" w14:textId="77777777" w:rsidR="00980919" w:rsidRDefault="00980919" w:rsidP="001515D5">
            <w:r>
              <w:t>Entire County</w:t>
            </w:r>
          </w:p>
        </w:tc>
      </w:tr>
      <w:tr w:rsidR="00980919" w14:paraId="693D48E4" w14:textId="77777777" w:rsidTr="001515D5">
        <w:tc>
          <w:tcPr>
            <w:tcW w:w="4675" w:type="dxa"/>
            <w:vAlign w:val="bottom"/>
          </w:tcPr>
          <w:p w14:paraId="058FFFA3" w14:textId="77777777" w:rsidR="00980919" w:rsidRDefault="00980919" w:rsidP="001515D5">
            <w:r>
              <w:t>Anderson</w:t>
            </w:r>
          </w:p>
        </w:tc>
        <w:tc>
          <w:tcPr>
            <w:tcW w:w="4675" w:type="dxa"/>
            <w:vAlign w:val="bottom"/>
          </w:tcPr>
          <w:p w14:paraId="004EC737" w14:textId="77777777" w:rsidR="00980919" w:rsidRDefault="00980919" w:rsidP="001515D5">
            <w:r>
              <w:t>Low Income Only</w:t>
            </w:r>
          </w:p>
        </w:tc>
      </w:tr>
      <w:tr w:rsidR="00980919" w14:paraId="31ADBACA" w14:textId="77777777" w:rsidTr="001515D5">
        <w:tc>
          <w:tcPr>
            <w:tcW w:w="4675" w:type="dxa"/>
            <w:vAlign w:val="bottom"/>
          </w:tcPr>
          <w:p w14:paraId="6F2250B5" w14:textId="77777777" w:rsidR="00980919" w:rsidRDefault="00980919" w:rsidP="001515D5">
            <w:r>
              <w:t>Bamberg</w:t>
            </w:r>
          </w:p>
        </w:tc>
        <w:tc>
          <w:tcPr>
            <w:tcW w:w="4675" w:type="dxa"/>
            <w:vAlign w:val="bottom"/>
          </w:tcPr>
          <w:p w14:paraId="127F1DFA" w14:textId="77777777" w:rsidR="00980919" w:rsidRDefault="00980919" w:rsidP="001515D5">
            <w:r>
              <w:t>Entire County</w:t>
            </w:r>
          </w:p>
        </w:tc>
      </w:tr>
      <w:tr w:rsidR="00980919" w14:paraId="24187070" w14:textId="77777777" w:rsidTr="001515D5">
        <w:tc>
          <w:tcPr>
            <w:tcW w:w="4675" w:type="dxa"/>
            <w:vAlign w:val="bottom"/>
          </w:tcPr>
          <w:p w14:paraId="70E3AF59" w14:textId="77777777" w:rsidR="00980919" w:rsidRDefault="00980919" w:rsidP="001515D5">
            <w:r>
              <w:t>Barnwell</w:t>
            </w:r>
          </w:p>
        </w:tc>
        <w:tc>
          <w:tcPr>
            <w:tcW w:w="4675" w:type="dxa"/>
            <w:vAlign w:val="bottom"/>
          </w:tcPr>
          <w:p w14:paraId="69CACC9C" w14:textId="77777777" w:rsidR="00980919" w:rsidRDefault="00980919" w:rsidP="001515D5">
            <w:r>
              <w:t>Entire County</w:t>
            </w:r>
          </w:p>
        </w:tc>
      </w:tr>
      <w:tr w:rsidR="00980919" w14:paraId="755AAA50" w14:textId="77777777" w:rsidTr="001515D5">
        <w:tc>
          <w:tcPr>
            <w:tcW w:w="4675" w:type="dxa"/>
            <w:vAlign w:val="bottom"/>
          </w:tcPr>
          <w:p w14:paraId="589E4484" w14:textId="77777777" w:rsidR="00980919" w:rsidRDefault="00980919" w:rsidP="001515D5">
            <w:r>
              <w:t>Beaufort</w:t>
            </w:r>
          </w:p>
        </w:tc>
        <w:tc>
          <w:tcPr>
            <w:tcW w:w="4675" w:type="dxa"/>
            <w:vAlign w:val="bottom"/>
          </w:tcPr>
          <w:p w14:paraId="4AB74EE6" w14:textId="77777777" w:rsidR="00980919" w:rsidRDefault="00980919" w:rsidP="001515D5">
            <w:r>
              <w:t>Low Income Only</w:t>
            </w:r>
          </w:p>
        </w:tc>
      </w:tr>
      <w:tr w:rsidR="00980919" w14:paraId="289B805A" w14:textId="77777777" w:rsidTr="001515D5">
        <w:tc>
          <w:tcPr>
            <w:tcW w:w="4675" w:type="dxa"/>
            <w:vAlign w:val="bottom"/>
          </w:tcPr>
          <w:p w14:paraId="3244BA52" w14:textId="77777777" w:rsidR="00980919" w:rsidRDefault="00980919" w:rsidP="001515D5">
            <w:r>
              <w:t>Berkeley</w:t>
            </w:r>
          </w:p>
        </w:tc>
        <w:tc>
          <w:tcPr>
            <w:tcW w:w="4675" w:type="dxa"/>
            <w:vAlign w:val="bottom"/>
          </w:tcPr>
          <w:p w14:paraId="11ACADFD" w14:textId="77777777" w:rsidR="00980919" w:rsidRDefault="00980919" w:rsidP="001515D5">
            <w:r>
              <w:t>Low Income Only</w:t>
            </w:r>
          </w:p>
        </w:tc>
      </w:tr>
      <w:tr w:rsidR="00980919" w14:paraId="03F28E81" w14:textId="77777777" w:rsidTr="001515D5">
        <w:tc>
          <w:tcPr>
            <w:tcW w:w="4675" w:type="dxa"/>
            <w:vAlign w:val="bottom"/>
          </w:tcPr>
          <w:p w14:paraId="7097D46F" w14:textId="77777777" w:rsidR="00980919" w:rsidRDefault="00980919" w:rsidP="001515D5">
            <w:r>
              <w:t>Calhoun</w:t>
            </w:r>
          </w:p>
        </w:tc>
        <w:tc>
          <w:tcPr>
            <w:tcW w:w="4675" w:type="dxa"/>
            <w:vAlign w:val="bottom"/>
          </w:tcPr>
          <w:p w14:paraId="0BBD9B11" w14:textId="77777777" w:rsidR="00980919" w:rsidRDefault="00980919" w:rsidP="001515D5">
            <w:r>
              <w:t>Low Income Only</w:t>
            </w:r>
          </w:p>
        </w:tc>
      </w:tr>
      <w:tr w:rsidR="00980919" w14:paraId="4A68DC75" w14:textId="77777777" w:rsidTr="001515D5">
        <w:tc>
          <w:tcPr>
            <w:tcW w:w="4675" w:type="dxa"/>
            <w:vAlign w:val="bottom"/>
          </w:tcPr>
          <w:p w14:paraId="0B51AE9A" w14:textId="77777777" w:rsidR="00980919" w:rsidRDefault="00980919" w:rsidP="001515D5">
            <w:r>
              <w:t>Charleston</w:t>
            </w:r>
          </w:p>
        </w:tc>
        <w:tc>
          <w:tcPr>
            <w:tcW w:w="4675" w:type="dxa"/>
            <w:vAlign w:val="bottom"/>
          </w:tcPr>
          <w:p w14:paraId="57A40536" w14:textId="77777777" w:rsidR="00980919" w:rsidRDefault="00980919" w:rsidP="001515D5">
            <w:r>
              <w:t>No Designation</w:t>
            </w:r>
          </w:p>
        </w:tc>
      </w:tr>
      <w:tr w:rsidR="00980919" w14:paraId="5D04263E" w14:textId="77777777" w:rsidTr="001515D5">
        <w:tc>
          <w:tcPr>
            <w:tcW w:w="4675" w:type="dxa"/>
            <w:vAlign w:val="bottom"/>
          </w:tcPr>
          <w:p w14:paraId="33DE474D" w14:textId="77777777" w:rsidR="00980919" w:rsidRDefault="00980919" w:rsidP="001515D5">
            <w:r>
              <w:t>Cherokee</w:t>
            </w:r>
          </w:p>
        </w:tc>
        <w:tc>
          <w:tcPr>
            <w:tcW w:w="4675" w:type="dxa"/>
            <w:vAlign w:val="bottom"/>
          </w:tcPr>
          <w:p w14:paraId="716223CB" w14:textId="77777777" w:rsidR="00980919" w:rsidRDefault="00980919" w:rsidP="001515D5">
            <w:r>
              <w:t>Low Income Only</w:t>
            </w:r>
          </w:p>
        </w:tc>
      </w:tr>
      <w:tr w:rsidR="00980919" w14:paraId="143CF52A" w14:textId="77777777" w:rsidTr="001515D5">
        <w:tc>
          <w:tcPr>
            <w:tcW w:w="4675" w:type="dxa"/>
            <w:vAlign w:val="bottom"/>
          </w:tcPr>
          <w:p w14:paraId="033C1056" w14:textId="77777777" w:rsidR="00980919" w:rsidRDefault="00980919" w:rsidP="001515D5">
            <w:r>
              <w:t>Chester</w:t>
            </w:r>
          </w:p>
        </w:tc>
        <w:tc>
          <w:tcPr>
            <w:tcW w:w="4675" w:type="dxa"/>
            <w:vAlign w:val="bottom"/>
          </w:tcPr>
          <w:p w14:paraId="324B77BA" w14:textId="77777777" w:rsidR="00980919" w:rsidRDefault="00980919" w:rsidP="001515D5">
            <w:r>
              <w:t>Low Income Only</w:t>
            </w:r>
          </w:p>
        </w:tc>
      </w:tr>
      <w:tr w:rsidR="00980919" w14:paraId="1847281E" w14:textId="77777777" w:rsidTr="001515D5">
        <w:tc>
          <w:tcPr>
            <w:tcW w:w="4675" w:type="dxa"/>
            <w:vAlign w:val="bottom"/>
          </w:tcPr>
          <w:p w14:paraId="01960788" w14:textId="77777777" w:rsidR="00980919" w:rsidRDefault="00980919" w:rsidP="001515D5">
            <w:r>
              <w:t>Chesterfield</w:t>
            </w:r>
          </w:p>
        </w:tc>
        <w:tc>
          <w:tcPr>
            <w:tcW w:w="4675" w:type="dxa"/>
            <w:vAlign w:val="bottom"/>
          </w:tcPr>
          <w:p w14:paraId="73AB9384" w14:textId="77777777" w:rsidR="00980919" w:rsidRDefault="00980919" w:rsidP="001515D5">
            <w:r>
              <w:t>Entire County</w:t>
            </w:r>
          </w:p>
        </w:tc>
      </w:tr>
      <w:tr w:rsidR="00980919" w14:paraId="5C703D97" w14:textId="77777777" w:rsidTr="001515D5">
        <w:tc>
          <w:tcPr>
            <w:tcW w:w="4675" w:type="dxa"/>
            <w:vAlign w:val="bottom"/>
          </w:tcPr>
          <w:p w14:paraId="7CDABAD2" w14:textId="77777777" w:rsidR="00980919" w:rsidRDefault="00980919" w:rsidP="001515D5">
            <w:r>
              <w:t>Clarendon</w:t>
            </w:r>
          </w:p>
        </w:tc>
        <w:tc>
          <w:tcPr>
            <w:tcW w:w="4675" w:type="dxa"/>
            <w:vAlign w:val="bottom"/>
          </w:tcPr>
          <w:p w14:paraId="6E3E05C5" w14:textId="77777777" w:rsidR="00980919" w:rsidRDefault="00980919" w:rsidP="001515D5">
            <w:r>
              <w:t>Low Income Only</w:t>
            </w:r>
          </w:p>
        </w:tc>
      </w:tr>
      <w:tr w:rsidR="00980919" w14:paraId="42A4FB36" w14:textId="77777777" w:rsidTr="001515D5">
        <w:tc>
          <w:tcPr>
            <w:tcW w:w="4675" w:type="dxa"/>
            <w:vAlign w:val="bottom"/>
          </w:tcPr>
          <w:p w14:paraId="58F7C0C4" w14:textId="77777777" w:rsidR="00980919" w:rsidRDefault="00980919" w:rsidP="001515D5">
            <w:r>
              <w:t>Colleton</w:t>
            </w:r>
          </w:p>
        </w:tc>
        <w:tc>
          <w:tcPr>
            <w:tcW w:w="4675" w:type="dxa"/>
            <w:vAlign w:val="bottom"/>
          </w:tcPr>
          <w:p w14:paraId="33AB0329" w14:textId="77777777" w:rsidR="00980919" w:rsidRDefault="00980919" w:rsidP="001515D5">
            <w:r>
              <w:t>Entire County</w:t>
            </w:r>
          </w:p>
        </w:tc>
      </w:tr>
      <w:tr w:rsidR="00980919" w14:paraId="46CEA07E" w14:textId="77777777" w:rsidTr="001515D5">
        <w:tc>
          <w:tcPr>
            <w:tcW w:w="4675" w:type="dxa"/>
            <w:vAlign w:val="bottom"/>
          </w:tcPr>
          <w:p w14:paraId="4E460CC0" w14:textId="77777777" w:rsidR="00980919" w:rsidRDefault="00980919" w:rsidP="001515D5">
            <w:r>
              <w:t>Darlington</w:t>
            </w:r>
          </w:p>
        </w:tc>
        <w:tc>
          <w:tcPr>
            <w:tcW w:w="4675" w:type="dxa"/>
            <w:vAlign w:val="bottom"/>
          </w:tcPr>
          <w:p w14:paraId="7063FC30" w14:textId="77777777" w:rsidR="00980919" w:rsidRDefault="00980919" w:rsidP="001515D5">
            <w:r>
              <w:t>Low Income Only</w:t>
            </w:r>
          </w:p>
        </w:tc>
      </w:tr>
      <w:tr w:rsidR="00980919" w14:paraId="379530EE" w14:textId="77777777" w:rsidTr="001515D5">
        <w:tc>
          <w:tcPr>
            <w:tcW w:w="4675" w:type="dxa"/>
            <w:vAlign w:val="bottom"/>
          </w:tcPr>
          <w:p w14:paraId="7FEFE08E" w14:textId="77777777" w:rsidR="00980919" w:rsidRDefault="00980919" w:rsidP="001515D5">
            <w:r>
              <w:t>Dillon</w:t>
            </w:r>
          </w:p>
        </w:tc>
        <w:tc>
          <w:tcPr>
            <w:tcW w:w="4675" w:type="dxa"/>
            <w:vAlign w:val="bottom"/>
          </w:tcPr>
          <w:p w14:paraId="30869F2C" w14:textId="77777777" w:rsidR="00980919" w:rsidRDefault="00980919" w:rsidP="001515D5">
            <w:r>
              <w:t>Low Income Only</w:t>
            </w:r>
          </w:p>
        </w:tc>
      </w:tr>
      <w:tr w:rsidR="00980919" w14:paraId="3FC4D141" w14:textId="77777777" w:rsidTr="001515D5">
        <w:tc>
          <w:tcPr>
            <w:tcW w:w="4675" w:type="dxa"/>
            <w:vAlign w:val="bottom"/>
          </w:tcPr>
          <w:p w14:paraId="7182DB0C" w14:textId="77777777" w:rsidR="00980919" w:rsidRDefault="00980919" w:rsidP="001515D5">
            <w:r>
              <w:t>Dorchester</w:t>
            </w:r>
          </w:p>
        </w:tc>
        <w:tc>
          <w:tcPr>
            <w:tcW w:w="4675" w:type="dxa"/>
            <w:vAlign w:val="bottom"/>
          </w:tcPr>
          <w:p w14:paraId="441A4B3A" w14:textId="77777777" w:rsidR="00980919" w:rsidRDefault="00980919" w:rsidP="001515D5">
            <w:r>
              <w:t>No Designation</w:t>
            </w:r>
          </w:p>
        </w:tc>
      </w:tr>
      <w:tr w:rsidR="00980919" w14:paraId="6D04E918" w14:textId="77777777" w:rsidTr="001515D5">
        <w:tc>
          <w:tcPr>
            <w:tcW w:w="4675" w:type="dxa"/>
            <w:vAlign w:val="bottom"/>
          </w:tcPr>
          <w:p w14:paraId="7C9C74A4" w14:textId="77777777" w:rsidR="00980919" w:rsidRDefault="00980919" w:rsidP="001515D5">
            <w:r>
              <w:t>Edgefield</w:t>
            </w:r>
          </w:p>
        </w:tc>
        <w:tc>
          <w:tcPr>
            <w:tcW w:w="4675" w:type="dxa"/>
            <w:vAlign w:val="bottom"/>
          </w:tcPr>
          <w:p w14:paraId="1933A31A" w14:textId="77777777" w:rsidR="00980919" w:rsidRDefault="00980919" w:rsidP="001515D5">
            <w:r>
              <w:t>Low Income Only</w:t>
            </w:r>
          </w:p>
        </w:tc>
      </w:tr>
      <w:tr w:rsidR="00980919" w14:paraId="7D62EF69" w14:textId="77777777" w:rsidTr="001515D5">
        <w:tc>
          <w:tcPr>
            <w:tcW w:w="4675" w:type="dxa"/>
            <w:vAlign w:val="bottom"/>
          </w:tcPr>
          <w:p w14:paraId="706F36F3" w14:textId="77777777" w:rsidR="00980919" w:rsidRDefault="00980919" w:rsidP="001515D5">
            <w:r>
              <w:t>Fairfield</w:t>
            </w:r>
          </w:p>
        </w:tc>
        <w:tc>
          <w:tcPr>
            <w:tcW w:w="4675" w:type="dxa"/>
            <w:vAlign w:val="bottom"/>
          </w:tcPr>
          <w:p w14:paraId="759C046E" w14:textId="77777777" w:rsidR="00980919" w:rsidRDefault="00980919" w:rsidP="001515D5">
            <w:r>
              <w:t>Entire County</w:t>
            </w:r>
          </w:p>
        </w:tc>
      </w:tr>
      <w:tr w:rsidR="00980919" w14:paraId="4CA8E427" w14:textId="77777777" w:rsidTr="001515D5">
        <w:tc>
          <w:tcPr>
            <w:tcW w:w="4675" w:type="dxa"/>
            <w:vAlign w:val="bottom"/>
          </w:tcPr>
          <w:p w14:paraId="57878E4C" w14:textId="77777777" w:rsidR="00980919" w:rsidRDefault="00980919" w:rsidP="001515D5">
            <w:r>
              <w:t>Florence</w:t>
            </w:r>
          </w:p>
        </w:tc>
        <w:tc>
          <w:tcPr>
            <w:tcW w:w="4675" w:type="dxa"/>
            <w:vAlign w:val="bottom"/>
          </w:tcPr>
          <w:p w14:paraId="066ADCE5" w14:textId="77777777" w:rsidR="00980919" w:rsidRDefault="00980919" w:rsidP="001515D5">
            <w:r>
              <w:t>Low Income Only</w:t>
            </w:r>
          </w:p>
        </w:tc>
      </w:tr>
      <w:tr w:rsidR="00980919" w14:paraId="0BA83515" w14:textId="77777777" w:rsidTr="001515D5">
        <w:tc>
          <w:tcPr>
            <w:tcW w:w="4675" w:type="dxa"/>
            <w:vAlign w:val="bottom"/>
          </w:tcPr>
          <w:p w14:paraId="06459765" w14:textId="77777777" w:rsidR="00980919" w:rsidRDefault="00980919" w:rsidP="001515D5">
            <w:r>
              <w:t>Georgetown</w:t>
            </w:r>
          </w:p>
        </w:tc>
        <w:tc>
          <w:tcPr>
            <w:tcW w:w="4675" w:type="dxa"/>
            <w:vAlign w:val="bottom"/>
          </w:tcPr>
          <w:p w14:paraId="36CDAE65" w14:textId="77777777" w:rsidR="00980919" w:rsidRDefault="00980919" w:rsidP="001515D5">
            <w:r>
              <w:t>Low Income Only</w:t>
            </w:r>
          </w:p>
        </w:tc>
      </w:tr>
      <w:tr w:rsidR="00980919" w14:paraId="6E2B1F26" w14:textId="77777777" w:rsidTr="001515D5">
        <w:tc>
          <w:tcPr>
            <w:tcW w:w="4675" w:type="dxa"/>
            <w:vAlign w:val="bottom"/>
          </w:tcPr>
          <w:p w14:paraId="4F0918AE" w14:textId="77777777" w:rsidR="00980919" w:rsidRDefault="00980919" w:rsidP="001515D5">
            <w:r>
              <w:t>Greenville</w:t>
            </w:r>
          </w:p>
        </w:tc>
        <w:tc>
          <w:tcPr>
            <w:tcW w:w="4675" w:type="dxa"/>
            <w:vAlign w:val="bottom"/>
          </w:tcPr>
          <w:p w14:paraId="2B04B1F0" w14:textId="77777777" w:rsidR="00980919" w:rsidRDefault="00980919" w:rsidP="001515D5">
            <w:r>
              <w:t>No Designation</w:t>
            </w:r>
          </w:p>
        </w:tc>
      </w:tr>
      <w:tr w:rsidR="00980919" w14:paraId="71BADCA5" w14:textId="77777777" w:rsidTr="001515D5">
        <w:tc>
          <w:tcPr>
            <w:tcW w:w="4675" w:type="dxa"/>
            <w:vAlign w:val="bottom"/>
          </w:tcPr>
          <w:p w14:paraId="0756E247" w14:textId="77777777" w:rsidR="00980919" w:rsidRDefault="00980919" w:rsidP="001515D5">
            <w:r>
              <w:t>Greenwood</w:t>
            </w:r>
          </w:p>
        </w:tc>
        <w:tc>
          <w:tcPr>
            <w:tcW w:w="4675" w:type="dxa"/>
            <w:vAlign w:val="bottom"/>
          </w:tcPr>
          <w:p w14:paraId="2B337FCE" w14:textId="77777777" w:rsidR="00980919" w:rsidRDefault="00980919" w:rsidP="001515D5">
            <w:r>
              <w:t>Low Income Only</w:t>
            </w:r>
          </w:p>
        </w:tc>
      </w:tr>
      <w:tr w:rsidR="00980919" w14:paraId="60ECA07C" w14:textId="77777777" w:rsidTr="001515D5">
        <w:tc>
          <w:tcPr>
            <w:tcW w:w="4675" w:type="dxa"/>
            <w:vAlign w:val="bottom"/>
          </w:tcPr>
          <w:p w14:paraId="28AFABD7" w14:textId="77777777" w:rsidR="00980919" w:rsidRDefault="00980919" w:rsidP="001515D5">
            <w:r>
              <w:t>Hampton</w:t>
            </w:r>
          </w:p>
        </w:tc>
        <w:tc>
          <w:tcPr>
            <w:tcW w:w="4675" w:type="dxa"/>
            <w:vAlign w:val="bottom"/>
          </w:tcPr>
          <w:p w14:paraId="7660215B" w14:textId="77777777" w:rsidR="00980919" w:rsidRDefault="00980919" w:rsidP="001515D5">
            <w:r>
              <w:t>Entire County</w:t>
            </w:r>
          </w:p>
        </w:tc>
      </w:tr>
      <w:tr w:rsidR="00980919" w14:paraId="5D1EA584" w14:textId="77777777" w:rsidTr="001515D5">
        <w:tc>
          <w:tcPr>
            <w:tcW w:w="4675" w:type="dxa"/>
            <w:vAlign w:val="bottom"/>
          </w:tcPr>
          <w:p w14:paraId="70D59B9F" w14:textId="77777777" w:rsidR="00980919" w:rsidRDefault="00980919" w:rsidP="001515D5">
            <w:r>
              <w:t>Horry</w:t>
            </w:r>
          </w:p>
        </w:tc>
        <w:tc>
          <w:tcPr>
            <w:tcW w:w="4675" w:type="dxa"/>
            <w:vAlign w:val="bottom"/>
          </w:tcPr>
          <w:p w14:paraId="4DC01627" w14:textId="77777777" w:rsidR="00980919" w:rsidRDefault="00980919" w:rsidP="001515D5">
            <w:r>
              <w:t>Low Income Only</w:t>
            </w:r>
          </w:p>
        </w:tc>
      </w:tr>
      <w:tr w:rsidR="00980919" w14:paraId="7D325F53" w14:textId="77777777" w:rsidTr="001515D5">
        <w:tc>
          <w:tcPr>
            <w:tcW w:w="4675" w:type="dxa"/>
            <w:vAlign w:val="bottom"/>
          </w:tcPr>
          <w:p w14:paraId="7BC0A080" w14:textId="77777777" w:rsidR="00980919" w:rsidRDefault="00980919" w:rsidP="001515D5">
            <w:r>
              <w:t>Jasper</w:t>
            </w:r>
          </w:p>
        </w:tc>
        <w:tc>
          <w:tcPr>
            <w:tcW w:w="4675" w:type="dxa"/>
            <w:vAlign w:val="bottom"/>
          </w:tcPr>
          <w:p w14:paraId="27DA4FC1" w14:textId="77777777" w:rsidR="00980919" w:rsidRDefault="00980919" w:rsidP="001515D5">
            <w:r>
              <w:t>Low Income Only</w:t>
            </w:r>
          </w:p>
        </w:tc>
      </w:tr>
      <w:tr w:rsidR="00980919" w14:paraId="6FD11304" w14:textId="77777777" w:rsidTr="001515D5">
        <w:tc>
          <w:tcPr>
            <w:tcW w:w="4675" w:type="dxa"/>
            <w:vAlign w:val="bottom"/>
          </w:tcPr>
          <w:p w14:paraId="107FE68C" w14:textId="77777777" w:rsidR="00980919" w:rsidRDefault="00980919" w:rsidP="001515D5">
            <w:r>
              <w:t>Kershaw</w:t>
            </w:r>
          </w:p>
        </w:tc>
        <w:tc>
          <w:tcPr>
            <w:tcW w:w="4675" w:type="dxa"/>
            <w:vAlign w:val="bottom"/>
          </w:tcPr>
          <w:p w14:paraId="15BC31D9" w14:textId="77777777" w:rsidR="00980919" w:rsidRDefault="00980919" w:rsidP="001515D5">
            <w:r>
              <w:t>Low Income Only</w:t>
            </w:r>
          </w:p>
        </w:tc>
      </w:tr>
      <w:tr w:rsidR="00980919" w14:paraId="4115431F" w14:textId="77777777" w:rsidTr="001515D5">
        <w:tc>
          <w:tcPr>
            <w:tcW w:w="4675" w:type="dxa"/>
            <w:vAlign w:val="bottom"/>
          </w:tcPr>
          <w:p w14:paraId="42D381B4" w14:textId="77777777" w:rsidR="00980919" w:rsidRDefault="00980919" w:rsidP="001515D5">
            <w:r>
              <w:t>Lancaster</w:t>
            </w:r>
          </w:p>
        </w:tc>
        <w:tc>
          <w:tcPr>
            <w:tcW w:w="4675" w:type="dxa"/>
            <w:vAlign w:val="bottom"/>
          </w:tcPr>
          <w:p w14:paraId="4723BCF8" w14:textId="77777777" w:rsidR="00980919" w:rsidRDefault="00980919" w:rsidP="001515D5">
            <w:r>
              <w:t>Low Income Only</w:t>
            </w:r>
          </w:p>
        </w:tc>
      </w:tr>
      <w:tr w:rsidR="00980919" w14:paraId="240DF099" w14:textId="77777777" w:rsidTr="001515D5">
        <w:tc>
          <w:tcPr>
            <w:tcW w:w="4675" w:type="dxa"/>
            <w:vAlign w:val="bottom"/>
          </w:tcPr>
          <w:p w14:paraId="67BCCB9C" w14:textId="77777777" w:rsidR="00980919" w:rsidRDefault="00980919" w:rsidP="001515D5">
            <w:r>
              <w:t>Laurens</w:t>
            </w:r>
          </w:p>
        </w:tc>
        <w:tc>
          <w:tcPr>
            <w:tcW w:w="4675" w:type="dxa"/>
            <w:vAlign w:val="bottom"/>
          </w:tcPr>
          <w:p w14:paraId="50DC0739" w14:textId="77777777" w:rsidR="00980919" w:rsidRDefault="00980919" w:rsidP="001515D5">
            <w:r>
              <w:t>Low Income Only</w:t>
            </w:r>
          </w:p>
        </w:tc>
      </w:tr>
      <w:tr w:rsidR="00980919" w14:paraId="1C28AC2D" w14:textId="77777777" w:rsidTr="001515D5">
        <w:tc>
          <w:tcPr>
            <w:tcW w:w="4675" w:type="dxa"/>
            <w:vAlign w:val="bottom"/>
          </w:tcPr>
          <w:p w14:paraId="45D3DDB8" w14:textId="77777777" w:rsidR="00980919" w:rsidRDefault="00980919" w:rsidP="001515D5">
            <w:r>
              <w:t>Lee</w:t>
            </w:r>
          </w:p>
        </w:tc>
        <w:tc>
          <w:tcPr>
            <w:tcW w:w="4675" w:type="dxa"/>
            <w:vAlign w:val="bottom"/>
          </w:tcPr>
          <w:p w14:paraId="6BEDC843" w14:textId="77777777" w:rsidR="00980919" w:rsidRDefault="00980919" w:rsidP="001515D5">
            <w:r>
              <w:t>Entire County</w:t>
            </w:r>
          </w:p>
        </w:tc>
      </w:tr>
      <w:tr w:rsidR="00980919" w14:paraId="42AFAF14" w14:textId="77777777" w:rsidTr="001515D5">
        <w:tc>
          <w:tcPr>
            <w:tcW w:w="4675" w:type="dxa"/>
            <w:vAlign w:val="bottom"/>
          </w:tcPr>
          <w:p w14:paraId="5F61FB29" w14:textId="77777777" w:rsidR="00980919" w:rsidRDefault="00980919" w:rsidP="001515D5">
            <w:r>
              <w:t>Lexington</w:t>
            </w:r>
          </w:p>
        </w:tc>
        <w:tc>
          <w:tcPr>
            <w:tcW w:w="4675" w:type="dxa"/>
            <w:vAlign w:val="bottom"/>
          </w:tcPr>
          <w:p w14:paraId="4CED324E" w14:textId="77777777" w:rsidR="00980919" w:rsidRDefault="00980919" w:rsidP="001515D5">
            <w:r>
              <w:t>No Designation</w:t>
            </w:r>
          </w:p>
        </w:tc>
      </w:tr>
      <w:tr w:rsidR="00980919" w14:paraId="25309AB1" w14:textId="77777777" w:rsidTr="001515D5">
        <w:tc>
          <w:tcPr>
            <w:tcW w:w="4675" w:type="dxa"/>
            <w:vAlign w:val="bottom"/>
          </w:tcPr>
          <w:p w14:paraId="68DC7CD0" w14:textId="77777777" w:rsidR="00980919" w:rsidRDefault="00980919" w:rsidP="001515D5">
            <w:r>
              <w:t>McCormick</w:t>
            </w:r>
          </w:p>
        </w:tc>
        <w:tc>
          <w:tcPr>
            <w:tcW w:w="4675" w:type="dxa"/>
            <w:vAlign w:val="bottom"/>
          </w:tcPr>
          <w:p w14:paraId="6DAD1CA3" w14:textId="77777777" w:rsidR="00980919" w:rsidRDefault="00980919" w:rsidP="001515D5">
            <w:r>
              <w:t>Low Income Only</w:t>
            </w:r>
          </w:p>
        </w:tc>
      </w:tr>
      <w:tr w:rsidR="00980919" w14:paraId="373E2623" w14:textId="77777777" w:rsidTr="001515D5">
        <w:tc>
          <w:tcPr>
            <w:tcW w:w="4675" w:type="dxa"/>
            <w:vAlign w:val="bottom"/>
          </w:tcPr>
          <w:p w14:paraId="54AB4D58" w14:textId="77777777" w:rsidR="00980919" w:rsidRDefault="00980919" w:rsidP="001515D5">
            <w:r>
              <w:t>Marion</w:t>
            </w:r>
          </w:p>
        </w:tc>
        <w:tc>
          <w:tcPr>
            <w:tcW w:w="4675" w:type="dxa"/>
            <w:vAlign w:val="bottom"/>
          </w:tcPr>
          <w:p w14:paraId="4AC30907" w14:textId="77777777" w:rsidR="00980919" w:rsidRDefault="00980919" w:rsidP="001515D5">
            <w:r>
              <w:t>Low Income Only</w:t>
            </w:r>
          </w:p>
        </w:tc>
      </w:tr>
      <w:tr w:rsidR="00980919" w14:paraId="6F30B651" w14:textId="77777777" w:rsidTr="001515D5">
        <w:tc>
          <w:tcPr>
            <w:tcW w:w="4675" w:type="dxa"/>
            <w:vAlign w:val="bottom"/>
          </w:tcPr>
          <w:p w14:paraId="6649E953" w14:textId="77777777" w:rsidR="00980919" w:rsidRDefault="00980919" w:rsidP="001515D5">
            <w:r>
              <w:t>Marlboro</w:t>
            </w:r>
          </w:p>
        </w:tc>
        <w:tc>
          <w:tcPr>
            <w:tcW w:w="4675" w:type="dxa"/>
            <w:vAlign w:val="bottom"/>
          </w:tcPr>
          <w:p w14:paraId="3C890279" w14:textId="77777777" w:rsidR="00980919" w:rsidRDefault="00980919" w:rsidP="001515D5">
            <w:r>
              <w:t>Entire County</w:t>
            </w:r>
          </w:p>
        </w:tc>
      </w:tr>
      <w:tr w:rsidR="00980919" w14:paraId="0E6539E1" w14:textId="77777777" w:rsidTr="001515D5">
        <w:tc>
          <w:tcPr>
            <w:tcW w:w="4675" w:type="dxa"/>
            <w:vAlign w:val="bottom"/>
          </w:tcPr>
          <w:p w14:paraId="3ACF43E0" w14:textId="77777777" w:rsidR="00980919" w:rsidRDefault="00980919" w:rsidP="001515D5">
            <w:r>
              <w:t>Newberry</w:t>
            </w:r>
          </w:p>
        </w:tc>
        <w:tc>
          <w:tcPr>
            <w:tcW w:w="4675" w:type="dxa"/>
            <w:vAlign w:val="bottom"/>
          </w:tcPr>
          <w:p w14:paraId="3C6BCB5B" w14:textId="77777777" w:rsidR="00980919" w:rsidRDefault="00980919" w:rsidP="001515D5">
            <w:r>
              <w:t>Low Income Only</w:t>
            </w:r>
          </w:p>
        </w:tc>
      </w:tr>
      <w:tr w:rsidR="00980919" w14:paraId="0278A19F" w14:textId="77777777" w:rsidTr="001515D5">
        <w:tc>
          <w:tcPr>
            <w:tcW w:w="4675" w:type="dxa"/>
            <w:vAlign w:val="bottom"/>
          </w:tcPr>
          <w:p w14:paraId="5C6A1BB8" w14:textId="77777777" w:rsidR="00980919" w:rsidRDefault="00980919" w:rsidP="001515D5">
            <w:r>
              <w:t>Oconee</w:t>
            </w:r>
          </w:p>
        </w:tc>
        <w:tc>
          <w:tcPr>
            <w:tcW w:w="4675" w:type="dxa"/>
            <w:vAlign w:val="bottom"/>
          </w:tcPr>
          <w:p w14:paraId="6DB63769" w14:textId="77777777" w:rsidR="00980919" w:rsidRDefault="00980919" w:rsidP="001515D5">
            <w:r>
              <w:t>Low Income Only</w:t>
            </w:r>
          </w:p>
        </w:tc>
      </w:tr>
      <w:tr w:rsidR="00980919" w14:paraId="2DF4FE6E" w14:textId="77777777" w:rsidTr="001515D5">
        <w:tc>
          <w:tcPr>
            <w:tcW w:w="4675" w:type="dxa"/>
            <w:vAlign w:val="bottom"/>
          </w:tcPr>
          <w:p w14:paraId="68DD0895" w14:textId="77777777" w:rsidR="00980919" w:rsidRDefault="00980919" w:rsidP="001515D5">
            <w:r>
              <w:lastRenderedPageBreak/>
              <w:t>Orangeburg</w:t>
            </w:r>
          </w:p>
        </w:tc>
        <w:tc>
          <w:tcPr>
            <w:tcW w:w="4675" w:type="dxa"/>
            <w:vAlign w:val="bottom"/>
          </w:tcPr>
          <w:p w14:paraId="029F2256" w14:textId="77777777" w:rsidR="00980919" w:rsidRDefault="00980919" w:rsidP="001515D5">
            <w:r>
              <w:t>Low Income Only</w:t>
            </w:r>
          </w:p>
        </w:tc>
      </w:tr>
      <w:tr w:rsidR="00980919" w14:paraId="7EAD7C98" w14:textId="77777777" w:rsidTr="001515D5">
        <w:tc>
          <w:tcPr>
            <w:tcW w:w="4675" w:type="dxa"/>
            <w:vAlign w:val="bottom"/>
          </w:tcPr>
          <w:p w14:paraId="2AD19CDA" w14:textId="77777777" w:rsidR="00980919" w:rsidRDefault="00980919" w:rsidP="001515D5">
            <w:r>
              <w:t>Pickens</w:t>
            </w:r>
          </w:p>
        </w:tc>
        <w:tc>
          <w:tcPr>
            <w:tcW w:w="4675" w:type="dxa"/>
            <w:vAlign w:val="bottom"/>
          </w:tcPr>
          <w:p w14:paraId="467B2E56" w14:textId="77777777" w:rsidR="00980919" w:rsidRDefault="00980919" w:rsidP="001515D5">
            <w:r>
              <w:t>Low Income Only</w:t>
            </w:r>
          </w:p>
        </w:tc>
      </w:tr>
      <w:tr w:rsidR="00980919" w14:paraId="4AA68CA2" w14:textId="77777777" w:rsidTr="001515D5">
        <w:tc>
          <w:tcPr>
            <w:tcW w:w="4675" w:type="dxa"/>
            <w:vAlign w:val="bottom"/>
          </w:tcPr>
          <w:p w14:paraId="6091CDE0" w14:textId="77777777" w:rsidR="00980919" w:rsidRDefault="00980919" w:rsidP="001515D5">
            <w:r>
              <w:t>Richland</w:t>
            </w:r>
          </w:p>
        </w:tc>
        <w:tc>
          <w:tcPr>
            <w:tcW w:w="4675" w:type="dxa"/>
            <w:vAlign w:val="bottom"/>
          </w:tcPr>
          <w:p w14:paraId="5493F18D" w14:textId="77777777" w:rsidR="00980919" w:rsidRDefault="00980919" w:rsidP="001515D5">
            <w:r>
              <w:t>Low Income Only</w:t>
            </w:r>
          </w:p>
        </w:tc>
      </w:tr>
      <w:tr w:rsidR="00980919" w14:paraId="14198049" w14:textId="77777777" w:rsidTr="001515D5">
        <w:tc>
          <w:tcPr>
            <w:tcW w:w="4675" w:type="dxa"/>
            <w:vAlign w:val="bottom"/>
          </w:tcPr>
          <w:p w14:paraId="726DF798" w14:textId="77777777" w:rsidR="00980919" w:rsidRDefault="00980919" w:rsidP="001515D5">
            <w:r>
              <w:t>Saluda</w:t>
            </w:r>
          </w:p>
        </w:tc>
        <w:tc>
          <w:tcPr>
            <w:tcW w:w="4675" w:type="dxa"/>
            <w:vAlign w:val="bottom"/>
          </w:tcPr>
          <w:p w14:paraId="7FC06CC3" w14:textId="77777777" w:rsidR="00980919" w:rsidRDefault="00980919" w:rsidP="001515D5">
            <w:r>
              <w:t>Low Income Only</w:t>
            </w:r>
          </w:p>
        </w:tc>
      </w:tr>
      <w:tr w:rsidR="00980919" w14:paraId="772B851E" w14:textId="77777777" w:rsidTr="001515D5">
        <w:tc>
          <w:tcPr>
            <w:tcW w:w="4675" w:type="dxa"/>
            <w:vAlign w:val="bottom"/>
          </w:tcPr>
          <w:p w14:paraId="315B2558" w14:textId="77777777" w:rsidR="00980919" w:rsidRDefault="00980919" w:rsidP="001515D5">
            <w:r>
              <w:t>Spartanburg</w:t>
            </w:r>
          </w:p>
        </w:tc>
        <w:tc>
          <w:tcPr>
            <w:tcW w:w="4675" w:type="dxa"/>
            <w:vAlign w:val="bottom"/>
          </w:tcPr>
          <w:p w14:paraId="10B47CFC" w14:textId="77777777" w:rsidR="00980919" w:rsidRDefault="00980919" w:rsidP="001515D5">
            <w:r>
              <w:t>Low Income Only</w:t>
            </w:r>
          </w:p>
        </w:tc>
      </w:tr>
      <w:tr w:rsidR="00980919" w14:paraId="4AAE4065" w14:textId="77777777" w:rsidTr="001515D5">
        <w:tc>
          <w:tcPr>
            <w:tcW w:w="4675" w:type="dxa"/>
            <w:vAlign w:val="bottom"/>
          </w:tcPr>
          <w:p w14:paraId="5B9ECB3B" w14:textId="77777777" w:rsidR="00980919" w:rsidRDefault="00980919" w:rsidP="001515D5">
            <w:r>
              <w:t>Sumter</w:t>
            </w:r>
          </w:p>
        </w:tc>
        <w:tc>
          <w:tcPr>
            <w:tcW w:w="4675" w:type="dxa"/>
            <w:vAlign w:val="bottom"/>
          </w:tcPr>
          <w:p w14:paraId="75E76F85" w14:textId="77777777" w:rsidR="00980919" w:rsidRDefault="00980919" w:rsidP="001515D5">
            <w:r>
              <w:t>Low Income Only</w:t>
            </w:r>
          </w:p>
        </w:tc>
      </w:tr>
      <w:tr w:rsidR="00980919" w14:paraId="79EAB827" w14:textId="77777777" w:rsidTr="001515D5">
        <w:tc>
          <w:tcPr>
            <w:tcW w:w="4675" w:type="dxa"/>
            <w:vAlign w:val="bottom"/>
          </w:tcPr>
          <w:p w14:paraId="19E93EEE" w14:textId="77777777" w:rsidR="00980919" w:rsidRDefault="00980919" w:rsidP="001515D5">
            <w:r>
              <w:t>Union</w:t>
            </w:r>
          </w:p>
        </w:tc>
        <w:tc>
          <w:tcPr>
            <w:tcW w:w="4675" w:type="dxa"/>
            <w:vAlign w:val="bottom"/>
          </w:tcPr>
          <w:p w14:paraId="241FFAF1" w14:textId="77777777" w:rsidR="00980919" w:rsidRDefault="00980919" w:rsidP="001515D5">
            <w:r>
              <w:t>Entire County</w:t>
            </w:r>
          </w:p>
        </w:tc>
      </w:tr>
      <w:tr w:rsidR="00980919" w14:paraId="5BF53BEA" w14:textId="77777777" w:rsidTr="001515D5">
        <w:tc>
          <w:tcPr>
            <w:tcW w:w="4675" w:type="dxa"/>
            <w:vAlign w:val="bottom"/>
          </w:tcPr>
          <w:p w14:paraId="3CA7B0BF" w14:textId="77777777" w:rsidR="00980919" w:rsidRDefault="00980919" w:rsidP="001515D5">
            <w:r>
              <w:t>Williamsburg</w:t>
            </w:r>
          </w:p>
        </w:tc>
        <w:tc>
          <w:tcPr>
            <w:tcW w:w="4675" w:type="dxa"/>
            <w:vAlign w:val="bottom"/>
          </w:tcPr>
          <w:p w14:paraId="08345D8A" w14:textId="77777777" w:rsidR="00980919" w:rsidRDefault="00980919" w:rsidP="001515D5">
            <w:r>
              <w:t>Entire County</w:t>
            </w:r>
          </w:p>
        </w:tc>
      </w:tr>
      <w:tr w:rsidR="00980919" w14:paraId="13B14F7D" w14:textId="77777777" w:rsidTr="001515D5">
        <w:tc>
          <w:tcPr>
            <w:tcW w:w="4675" w:type="dxa"/>
            <w:vAlign w:val="bottom"/>
          </w:tcPr>
          <w:p w14:paraId="6A087678" w14:textId="77777777" w:rsidR="00980919" w:rsidRDefault="00980919" w:rsidP="001515D5">
            <w:r>
              <w:t>York</w:t>
            </w:r>
          </w:p>
        </w:tc>
        <w:tc>
          <w:tcPr>
            <w:tcW w:w="4675" w:type="dxa"/>
            <w:vAlign w:val="bottom"/>
          </w:tcPr>
          <w:p w14:paraId="61B5BA1A" w14:textId="77777777" w:rsidR="00980919" w:rsidRDefault="00980919" w:rsidP="001515D5">
            <w:r>
              <w:t>No Designation</w:t>
            </w:r>
          </w:p>
        </w:tc>
      </w:tr>
    </w:tbl>
    <w:p w14:paraId="1443324C" w14:textId="77777777" w:rsidR="00980919" w:rsidRDefault="00980919" w:rsidP="00980919">
      <w:r w:rsidRPr="00E96508">
        <w:t>Source: US Department of Health and Human Services, 2022.</w:t>
      </w:r>
    </w:p>
    <w:p w14:paraId="07E5BDF8" w14:textId="77777777" w:rsidR="00980919" w:rsidRDefault="00980919" w:rsidP="00980919"/>
    <w:p w14:paraId="70ED56D0" w14:textId="77777777" w:rsidR="00980919" w:rsidRDefault="00980919" w:rsidP="00980919">
      <w:pPr>
        <w:pStyle w:val="Heading4"/>
      </w:pPr>
      <w:bookmarkStart w:id="328" w:name="_Toc154569843"/>
      <w:bookmarkStart w:id="329" w:name="_Toc162267211"/>
      <w:r>
        <w:t>Figure 6.35: Dental Care Health Professional Shortage Area, by Category.</w:t>
      </w:r>
      <w:bookmarkEnd w:id="328"/>
      <w:bookmarkEnd w:id="329"/>
    </w:p>
    <w:p w14:paraId="5C285528" w14:textId="77777777" w:rsidR="00980919" w:rsidRPr="002F08EB" w:rsidRDefault="00980919" w:rsidP="00980919">
      <w:pPr>
        <w:pStyle w:val="Heading5"/>
      </w:pPr>
      <w:r>
        <w:t>HPSA designation.</w:t>
      </w:r>
    </w:p>
    <w:tbl>
      <w:tblPr>
        <w:tblStyle w:val="TableGrid"/>
        <w:tblW w:w="0" w:type="auto"/>
        <w:tblLook w:val="04A0" w:firstRow="1" w:lastRow="0" w:firstColumn="1" w:lastColumn="0" w:noHBand="0" w:noVBand="1"/>
      </w:tblPr>
      <w:tblGrid>
        <w:gridCol w:w="4675"/>
        <w:gridCol w:w="4675"/>
      </w:tblGrid>
      <w:tr w:rsidR="00980919" w14:paraId="072A44AC" w14:textId="77777777" w:rsidTr="001515D5">
        <w:tc>
          <w:tcPr>
            <w:tcW w:w="4675" w:type="dxa"/>
            <w:vAlign w:val="bottom"/>
          </w:tcPr>
          <w:p w14:paraId="1257D971" w14:textId="77777777" w:rsidR="00980919" w:rsidRDefault="00980919" w:rsidP="001515D5">
            <w:r>
              <w:t>County</w:t>
            </w:r>
          </w:p>
        </w:tc>
        <w:tc>
          <w:tcPr>
            <w:tcW w:w="4675" w:type="dxa"/>
            <w:vAlign w:val="bottom"/>
          </w:tcPr>
          <w:p w14:paraId="4F3D8BD5" w14:textId="77777777" w:rsidR="00980919" w:rsidRDefault="00980919" w:rsidP="001515D5">
            <w:r>
              <w:t>Type</w:t>
            </w:r>
          </w:p>
        </w:tc>
      </w:tr>
      <w:tr w:rsidR="00980919" w14:paraId="6D3E31FC" w14:textId="77777777" w:rsidTr="001515D5">
        <w:tc>
          <w:tcPr>
            <w:tcW w:w="4675" w:type="dxa"/>
            <w:vAlign w:val="bottom"/>
          </w:tcPr>
          <w:p w14:paraId="7B99293C" w14:textId="77777777" w:rsidR="00980919" w:rsidRDefault="00980919" w:rsidP="001515D5">
            <w:r>
              <w:t>Abbeville</w:t>
            </w:r>
          </w:p>
        </w:tc>
        <w:tc>
          <w:tcPr>
            <w:tcW w:w="4675" w:type="dxa"/>
            <w:vAlign w:val="bottom"/>
          </w:tcPr>
          <w:p w14:paraId="3DCFF030" w14:textId="77777777" w:rsidR="00980919" w:rsidRDefault="00980919" w:rsidP="001515D5">
            <w:r>
              <w:t>Low Income Only</w:t>
            </w:r>
          </w:p>
        </w:tc>
      </w:tr>
      <w:tr w:rsidR="00980919" w14:paraId="2D4202D8" w14:textId="77777777" w:rsidTr="001515D5">
        <w:tc>
          <w:tcPr>
            <w:tcW w:w="4675" w:type="dxa"/>
            <w:vAlign w:val="bottom"/>
          </w:tcPr>
          <w:p w14:paraId="06107481" w14:textId="77777777" w:rsidR="00980919" w:rsidRDefault="00980919" w:rsidP="001515D5">
            <w:r>
              <w:t>Aiken</w:t>
            </w:r>
          </w:p>
        </w:tc>
        <w:tc>
          <w:tcPr>
            <w:tcW w:w="4675" w:type="dxa"/>
            <w:vAlign w:val="bottom"/>
          </w:tcPr>
          <w:p w14:paraId="4052382E" w14:textId="77777777" w:rsidR="00980919" w:rsidRDefault="00980919" w:rsidP="001515D5">
            <w:r>
              <w:t>Low Income Only</w:t>
            </w:r>
          </w:p>
        </w:tc>
      </w:tr>
      <w:tr w:rsidR="00980919" w14:paraId="28E66F07" w14:textId="77777777" w:rsidTr="001515D5">
        <w:tc>
          <w:tcPr>
            <w:tcW w:w="4675" w:type="dxa"/>
            <w:vAlign w:val="bottom"/>
          </w:tcPr>
          <w:p w14:paraId="5873F2E8" w14:textId="77777777" w:rsidR="00980919" w:rsidRDefault="00980919" w:rsidP="001515D5">
            <w:r>
              <w:t>Allendale</w:t>
            </w:r>
          </w:p>
        </w:tc>
        <w:tc>
          <w:tcPr>
            <w:tcW w:w="4675" w:type="dxa"/>
            <w:vAlign w:val="bottom"/>
          </w:tcPr>
          <w:p w14:paraId="733A9155" w14:textId="77777777" w:rsidR="00980919" w:rsidRDefault="00980919" w:rsidP="001515D5">
            <w:r>
              <w:t>Entire County</w:t>
            </w:r>
          </w:p>
        </w:tc>
      </w:tr>
      <w:tr w:rsidR="00980919" w14:paraId="58CFCD48" w14:textId="77777777" w:rsidTr="001515D5">
        <w:tc>
          <w:tcPr>
            <w:tcW w:w="4675" w:type="dxa"/>
            <w:vAlign w:val="bottom"/>
          </w:tcPr>
          <w:p w14:paraId="2B3E30D7" w14:textId="77777777" w:rsidR="00980919" w:rsidRDefault="00980919" w:rsidP="001515D5">
            <w:r>
              <w:t>Anderson</w:t>
            </w:r>
          </w:p>
        </w:tc>
        <w:tc>
          <w:tcPr>
            <w:tcW w:w="4675" w:type="dxa"/>
            <w:vAlign w:val="bottom"/>
          </w:tcPr>
          <w:p w14:paraId="0BE48505" w14:textId="77777777" w:rsidR="00980919" w:rsidRDefault="00980919" w:rsidP="001515D5">
            <w:r>
              <w:t>Low Income Only</w:t>
            </w:r>
          </w:p>
        </w:tc>
      </w:tr>
      <w:tr w:rsidR="00980919" w14:paraId="3D2D4166" w14:textId="77777777" w:rsidTr="001515D5">
        <w:tc>
          <w:tcPr>
            <w:tcW w:w="4675" w:type="dxa"/>
            <w:vAlign w:val="bottom"/>
          </w:tcPr>
          <w:p w14:paraId="37033366" w14:textId="77777777" w:rsidR="00980919" w:rsidRDefault="00980919" w:rsidP="001515D5">
            <w:r>
              <w:t>Bamberg</w:t>
            </w:r>
          </w:p>
        </w:tc>
        <w:tc>
          <w:tcPr>
            <w:tcW w:w="4675" w:type="dxa"/>
            <w:vAlign w:val="bottom"/>
          </w:tcPr>
          <w:p w14:paraId="10D7ADA5" w14:textId="77777777" w:rsidR="00980919" w:rsidRDefault="00980919" w:rsidP="001515D5">
            <w:r>
              <w:t>Entire County</w:t>
            </w:r>
          </w:p>
        </w:tc>
      </w:tr>
      <w:tr w:rsidR="00980919" w14:paraId="184B361B" w14:textId="77777777" w:rsidTr="001515D5">
        <w:tc>
          <w:tcPr>
            <w:tcW w:w="4675" w:type="dxa"/>
            <w:vAlign w:val="bottom"/>
          </w:tcPr>
          <w:p w14:paraId="0C32B136" w14:textId="77777777" w:rsidR="00980919" w:rsidRDefault="00980919" w:rsidP="001515D5">
            <w:r>
              <w:t>Barnwell</w:t>
            </w:r>
          </w:p>
        </w:tc>
        <w:tc>
          <w:tcPr>
            <w:tcW w:w="4675" w:type="dxa"/>
            <w:vAlign w:val="bottom"/>
          </w:tcPr>
          <w:p w14:paraId="0FC51F37" w14:textId="77777777" w:rsidR="00980919" w:rsidRDefault="00980919" w:rsidP="001515D5">
            <w:r>
              <w:t>Entire County</w:t>
            </w:r>
          </w:p>
        </w:tc>
      </w:tr>
      <w:tr w:rsidR="00980919" w14:paraId="119E8E59" w14:textId="77777777" w:rsidTr="001515D5">
        <w:tc>
          <w:tcPr>
            <w:tcW w:w="4675" w:type="dxa"/>
            <w:vAlign w:val="bottom"/>
          </w:tcPr>
          <w:p w14:paraId="18677B55" w14:textId="77777777" w:rsidR="00980919" w:rsidRDefault="00980919" w:rsidP="001515D5">
            <w:r>
              <w:t>Beaufort</w:t>
            </w:r>
          </w:p>
        </w:tc>
        <w:tc>
          <w:tcPr>
            <w:tcW w:w="4675" w:type="dxa"/>
            <w:vAlign w:val="bottom"/>
          </w:tcPr>
          <w:p w14:paraId="54F33755" w14:textId="77777777" w:rsidR="00980919" w:rsidRDefault="00980919" w:rsidP="001515D5">
            <w:r>
              <w:t>Low Income Only</w:t>
            </w:r>
          </w:p>
        </w:tc>
      </w:tr>
      <w:tr w:rsidR="00980919" w14:paraId="365BBB12" w14:textId="77777777" w:rsidTr="001515D5">
        <w:tc>
          <w:tcPr>
            <w:tcW w:w="4675" w:type="dxa"/>
            <w:vAlign w:val="bottom"/>
          </w:tcPr>
          <w:p w14:paraId="0AC7B757" w14:textId="77777777" w:rsidR="00980919" w:rsidRDefault="00980919" w:rsidP="001515D5">
            <w:r>
              <w:t>Berkeley</w:t>
            </w:r>
          </w:p>
        </w:tc>
        <w:tc>
          <w:tcPr>
            <w:tcW w:w="4675" w:type="dxa"/>
            <w:vAlign w:val="bottom"/>
          </w:tcPr>
          <w:p w14:paraId="2AD13144" w14:textId="77777777" w:rsidR="00980919" w:rsidRDefault="00980919" w:rsidP="001515D5">
            <w:r>
              <w:t>Low Income Only</w:t>
            </w:r>
          </w:p>
        </w:tc>
      </w:tr>
      <w:tr w:rsidR="00980919" w14:paraId="6CA6FC56" w14:textId="77777777" w:rsidTr="001515D5">
        <w:tc>
          <w:tcPr>
            <w:tcW w:w="4675" w:type="dxa"/>
            <w:vAlign w:val="bottom"/>
          </w:tcPr>
          <w:p w14:paraId="7824724F" w14:textId="77777777" w:rsidR="00980919" w:rsidRDefault="00980919" w:rsidP="001515D5">
            <w:r>
              <w:t>Calhoun</w:t>
            </w:r>
          </w:p>
        </w:tc>
        <w:tc>
          <w:tcPr>
            <w:tcW w:w="4675" w:type="dxa"/>
            <w:vAlign w:val="bottom"/>
          </w:tcPr>
          <w:p w14:paraId="2942398F" w14:textId="77777777" w:rsidR="00980919" w:rsidRDefault="00980919" w:rsidP="001515D5">
            <w:r>
              <w:t>Entire County</w:t>
            </w:r>
          </w:p>
        </w:tc>
      </w:tr>
      <w:tr w:rsidR="00980919" w14:paraId="29A21A55" w14:textId="77777777" w:rsidTr="001515D5">
        <w:tc>
          <w:tcPr>
            <w:tcW w:w="4675" w:type="dxa"/>
            <w:vAlign w:val="bottom"/>
          </w:tcPr>
          <w:p w14:paraId="5D2B63D4" w14:textId="77777777" w:rsidR="00980919" w:rsidRDefault="00980919" w:rsidP="001515D5">
            <w:r>
              <w:t>Charleston</w:t>
            </w:r>
          </w:p>
        </w:tc>
        <w:tc>
          <w:tcPr>
            <w:tcW w:w="4675" w:type="dxa"/>
            <w:vAlign w:val="bottom"/>
          </w:tcPr>
          <w:p w14:paraId="64A1AE21" w14:textId="77777777" w:rsidR="00980919" w:rsidRDefault="00980919" w:rsidP="001515D5">
            <w:r>
              <w:t>No Designation</w:t>
            </w:r>
          </w:p>
        </w:tc>
      </w:tr>
      <w:tr w:rsidR="00980919" w14:paraId="5FFB570B" w14:textId="77777777" w:rsidTr="001515D5">
        <w:tc>
          <w:tcPr>
            <w:tcW w:w="4675" w:type="dxa"/>
            <w:vAlign w:val="bottom"/>
          </w:tcPr>
          <w:p w14:paraId="4AD8E966" w14:textId="77777777" w:rsidR="00980919" w:rsidRDefault="00980919" w:rsidP="001515D5">
            <w:r>
              <w:t>Cherokee</w:t>
            </w:r>
          </w:p>
        </w:tc>
        <w:tc>
          <w:tcPr>
            <w:tcW w:w="4675" w:type="dxa"/>
            <w:vAlign w:val="bottom"/>
          </w:tcPr>
          <w:p w14:paraId="7E7EC292" w14:textId="77777777" w:rsidR="00980919" w:rsidRDefault="00980919" w:rsidP="001515D5">
            <w:r>
              <w:t>Low Income Only</w:t>
            </w:r>
          </w:p>
        </w:tc>
      </w:tr>
      <w:tr w:rsidR="00980919" w14:paraId="670D5258" w14:textId="77777777" w:rsidTr="001515D5">
        <w:tc>
          <w:tcPr>
            <w:tcW w:w="4675" w:type="dxa"/>
            <w:vAlign w:val="bottom"/>
          </w:tcPr>
          <w:p w14:paraId="48473283" w14:textId="77777777" w:rsidR="00980919" w:rsidRDefault="00980919" w:rsidP="001515D5">
            <w:r>
              <w:t>Chester</w:t>
            </w:r>
          </w:p>
        </w:tc>
        <w:tc>
          <w:tcPr>
            <w:tcW w:w="4675" w:type="dxa"/>
            <w:vAlign w:val="bottom"/>
          </w:tcPr>
          <w:p w14:paraId="6E69AC8B" w14:textId="77777777" w:rsidR="00980919" w:rsidRDefault="00980919" w:rsidP="001515D5">
            <w:r>
              <w:t>Low Income Only</w:t>
            </w:r>
          </w:p>
        </w:tc>
      </w:tr>
      <w:tr w:rsidR="00980919" w14:paraId="5ED9F572" w14:textId="77777777" w:rsidTr="001515D5">
        <w:tc>
          <w:tcPr>
            <w:tcW w:w="4675" w:type="dxa"/>
            <w:vAlign w:val="bottom"/>
          </w:tcPr>
          <w:p w14:paraId="051CF1EF" w14:textId="77777777" w:rsidR="00980919" w:rsidRDefault="00980919" w:rsidP="001515D5">
            <w:r>
              <w:t>Chesterfield</w:t>
            </w:r>
          </w:p>
        </w:tc>
        <w:tc>
          <w:tcPr>
            <w:tcW w:w="4675" w:type="dxa"/>
            <w:vAlign w:val="bottom"/>
          </w:tcPr>
          <w:p w14:paraId="427A09E2" w14:textId="77777777" w:rsidR="00980919" w:rsidRDefault="00980919" w:rsidP="001515D5">
            <w:r>
              <w:t>Entire County</w:t>
            </w:r>
          </w:p>
        </w:tc>
      </w:tr>
      <w:tr w:rsidR="00980919" w14:paraId="7ADF2007" w14:textId="77777777" w:rsidTr="001515D5">
        <w:tc>
          <w:tcPr>
            <w:tcW w:w="4675" w:type="dxa"/>
            <w:vAlign w:val="bottom"/>
          </w:tcPr>
          <w:p w14:paraId="6AAA0827" w14:textId="77777777" w:rsidR="00980919" w:rsidRDefault="00980919" w:rsidP="001515D5">
            <w:r>
              <w:t>Clarendon</w:t>
            </w:r>
          </w:p>
        </w:tc>
        <w:tc>
          <w:tcPr>
            <w:tcW w:w="4675" w:type="dxa"/>
            <w:vAlign w:val="bottom"/>
          </w:tcPr>
          <w:p w14:paraId="1807B608" w14:textId="77777777" w:rsidR="00980919" w:rsidRDefault="00980919" w:rsidP="001515D5">
            <w:r>
              <w:t>Entire County</w:t>
            </w:r>
          </w:p>
        </w:tc>
      </w:tr>
      <w:tr w:rsidR="00980919" w14:paraId="6DBD5C34" w14:textId="77777777" w:rsidTr="001515D5">
        <w:tc>
          <w:tcPr>
            <w:tcW w:w="4675" w:type="dxa"/>
            <w:vAlign w:val="bottom"/>
          </w:tcPr>
          <w:p w14:paraId="5CDCA58D" w14:textId="77777777" w:rsidR="00980919" w:rsidRDefault="00980919" w:rsidP="001515D5">
            <w:r>
              <w:t>Colleton</w:t>
            </w:r>
          </w:p>
        </w:tc>
        <w:tc>
          <w:tcPr>
            <w:tcW w:w="4675" w:type="dxa"/>
            <w:vAlign w:val="bottom"/>
          </w:tcPr>
          <w:p w14:paraId="17C7F98D" w14:textId="77777777" w:rsidR="00980919" w:rsidRDefault="00980919" w:rsidP="001515D5">
            <w:r>
              <w:t>Entire County</w:t>
            </w:r>
          </w:p>
        </w:tc>
      </w:tr>
      <w:tr w:rsidR="00980919" w14:paraId="2DA0C60D" w14:textId="77777777" w:rsidTr="001515D5">
        <w:tc>
          <w:tcPr>
            <w:tcW w:w="4675" w:type="dxa"/>
            <w:vAlign w:val="bottom"/>
          </w:tcPr>
          <w:p w14:paraId="148729C2" w14:textId="77777777" w:rsidR="00980919" w:rsidRDefault="00980919" w:rsidP="001515D5">
            <w:r>
              <w:t>Darlington</w:t>
            </w:r>
          </w:p>
        </w:tc>
        <w:tc>
          <w:tcPr>
            <w:tcW w:w="4675" w:type="dxa"/>
            <w:vAlign w:val="bottom"/>
          </w:tcPr>
          <w:p w14:paraId="2059BC7D" w14:textId="77777777" w:rsidR="00980919" w:rsidRDefault="00980919" w:rsidP="001515D5">
            <w:r>
              <w:t>Entire County</w:t>
            </w:r>
          </w:p>
        </w:tc>
      </w:tr>
      <w:tr w:rsidR="00980919" w14:paraId="64D5E83E" w14:textId="77777777" w:rsidTr="001515D5">
        <w:tc>
          <w:tcPr>
            <w:tcW w:w="4675" w:type="dxa"/>
            <w:vAlign w:val="bottom"/>
          </w:tcPr>
          <w:p w14:paraId="0BDAB4DF" w14:textId="77777777" w:rsidR="00980919" w:rsidRDefault="00980919" w:rsidP="001515D5">
            <w:r>
              <w:t>Dillon</w:t>
            </w:r>
          </w:p>
        </w:tc>
        <w:tc>
          <w:tcPr>
            <w:tcW w:w="4675" w:type="dxa"/>
            <w:vAlign w:val="bottom"/>
          </w:tcPr>
          <w:p w14:paraId="605981D0" w14:textId="77777777" w:rsidR="00980919" w:rsidRDefault="00980919" w:rsidP="001515D5">
            <w:r>
              <w:t>Entire County</w:t>
            </w:r>
          </w:p>
        </w:tc>
      </w:tr>
      <w:tr w:rsidR="00980919" w14:paraId="57608F80" w14:textId="77777777" w:rsidTr="001515D5">
        <w:tc>
          <w:tcPr>
            <w:tcW w:w="4675" w:type="dxa"/>
            <w:vAlign w:val="bottom"/>
          </w:tcPr>
          <w:p w14:paraId="7D3B9100" w14:textId="77777777" w:rsidR="00980919" w:rsidRDefault="00980919" w:rsidP="001515D5">
            <w:r>
              <w:t>Dorchester</w:t>
            </w:r>
          </w:p>
        </w:tc>
        <w:tc>
          <w:tcPr>
            <w:tcW w:w="4675" w:type="dxa"/>
            <w:vAlign w:val="bottom"/>
          </w:tcPr>
          <w:p w14:paraId="71369E37" w14:textId="77777777" w:rsidR="00980919" w:rsidRDefault="00980919" w:rsidP="001515D5">
            <w:r>
              <w:t>No Designation</w:t>
            </w:r>
          </w:p>
        </w:tc>
      </w:tr>
      <w:tr w:rsidR="00980919" w14:paraId="72121A71" w14:textId="77777777" w:rsidTr="001515D5">
        <w:tc>
          <w:tcPr>
            <w:tcW w:w="4675" w:type="dxa"/>
            <w:vAlign w:val="bottom"/>
          </w:tcPr>
          <w:p w14:paraId="2E6E1484" w14:textId="77777777" w:rsidR="00980919" w:rsidRDefault="00980919" w:rsidP="001515D5">
            <w:r>
              <w:t>Edgefield</w:t>
            </w:r>
          </w:p>
        </w:tc>
        <w:tc>
          <w:tcPr>
            <w:tcW w:w="4675" w:type="dxa"/>
            <w:vAlign w:val="bottom"/>
          </w:tcPr>
          <w:p w14:paraId="5015DED3" w14:textId="77777777" w:rsidR="00980919" w:rsidRDefault="00980919" w:rsidP="001515D5">
            <w:r>
              <w:t>Low Income Only</w:t>
            </w:r>
          </w:p>
        </w:tc>
      </w:tr>
      <w:tr w:rsidR="00980919" w14:paraId="101B591D" w14:textId="77777777" w:rsidTr="001515D5">
        <w:tc>
          <w:tcPr>
            <w:tcW w:w="4675" w:type="dxa"/>
            <w:vAlign w:val="bottom"/>
          </w:tcPr>
          <w:p w14:paraId="3B8D606E" w14:textId="77777777" w:rsidR="00980919" w:rsidRDefault="00980919" w:rsidP="001515D5">
            <w:r>
              <w:t>Fairfield</w:t>
            </w:r>
          </w:p>
        </w:tc>
        <w:tc>
          <w:tcPr>
            <w:tcW w:w="4675" w:type="dxa"/>
            <w:vAlign w:val="bottom"/>
          </w:tcPr>
          <w:p w14:paraId="39B92DB5" w14:textId="77777777" w:rsidR="00980919" w:rsidRDefault="00980919" w:rsidP="001515D5">
            <w:r>
              <w:t>Entire County</w:t>
            </w:r>
          </w:p>
        </w:tc>
      </w:tr>
      <w:tr w:rsidR="00980919" w14:paraId="5173DA35" w14:textId="77777777" w:rsidTr="001515D5">
        <w:tc>
          <w:tcPr>
            <w:tcW w:w="4675" w:type="dxa"/>
            <w:vAlign w:val="bottom"/>
          </w:tcPr>
          <w:p w14:paraId="043677A5" w14:textId="77777777" w:rsidR="00980919" w:rsidRDefault="00980919" w:rsidP="001515D5">
            <w:r>
              <w:t>Florence</w:t>
            </w:r>
          </w:p>
        </w:tc>
        <w:tc>
          <w:tcPr>
            <w:tcW w:w="4675" w:type="dxa"/>
            <w:vAlign w:val="bottom"/>
          </w:tcPr>
          <w:p w14:paraId="38989AB5" w14:textId="77777777" w:rsidR="00980919" w:rsidRDefault="00980919" w:rsidP="001515D5">
            <w:r>
              <w:t>Low Income Only</w:t>
            </w:r>
          </w:p>
        </w:tc>
      </w:tr>
      <w:tr w:rsidR="00980919" w14:paraId="4E9EE687" w14:textId="77777777" w:rsidTr="001515D5">
        <w:tc>
          <w:tcPr>
            <w:tcW w:w="4675" w:type="dxa"/>
            <w:vAlign w:val="bottom"/>
          </w:tcPr>
          <w:p w14:paraId="648715E4" w14:textId="77777777" w:rsidR="00980919" w:rsidRDefault="00980919" w:rsidP="001515D5">
            <w:r>
              <w:t>Georgetown</w:t>
            </w:r>
          </w:p>
        </w:tc>
        <w:tc>
          <w:tcPr>
            <w:tcW w:w="4675" w:type="dxa"/>
            <w:vAlign w:val="bottom"/>
          </w:tcPr>
          <w:p w14:paraId="2D5FC896" w14:textId="77777777" w:rsidR="00980919" w:rsidRDefault="00980919" w:rsidP="001515D5">
            <w:r>
              <w:t>Low Income Only</w:t>
            </w:r>
          </w:p>
        </w:tc>
      </w:tr>
      <w:tr w:rsidR="00980919" w14:paraId="4ABA6641" w14:textId="77777777" w:rsidTr="001515D5">
        <w:tc>
          <w:tcPr>
            <w:tcW w:w="4675" w:type="dxa"/>
            <w:vAlign w:val="bottom"/>
          </w:tcPr>
          <w:p w14:paraId="40FEA02F" w14:textId="77777777" w:rsidR="00980919" w:rsidRDefault="00980919" w:rsidP="001515D5">
            <w:r>
              <w:lastRenderedPageBreak/>
              <w:t>Greenville</w:t>
            </w:r>
          </w:p>
        </w:tc>
        <w:tc>
          <w:tcPr>
            <w:tcW w:w="4675" w:type="dxa"/>
            <w:vAlign w:val="bottom"/>
          </w:tcPr>
          <w:p w14:paraId="03540E6F" w14:textId="77777777" w:rsidR="00980919" w:rsidRDefault="00980919" w:rsidP="001515D5">
            <w:r>
              <w:t>No Designation</w:t>
            </w:r>
          </w:p>
        </w:tc>
      </w:tr>
      <w:tr w:rsidR="00980919" w14:paraId="7563C7E5" w14:textId="77777777" w:rsidTr="001515D5">
        <w:tc>
          <w:tcPr>
            <w:tcW w:w="4675" w:type="dxa"/>
            <w:vAlign w:val="bottom"/>
          </w:tcPr>
          <w:p w14:paraId="6BF1B2B7" w14:textId="77777777" w:rsidR="00980919" w:rsidRDefault="00980919" w:rsidP="001515D5">
            <w:r>
              <w:t>Greenwood</w:t>
            </w:r>
          </w:p>
        </w:tc>
        <w:tc>
          <w:tcPr>
            <w:tcW w:w="4675" w:type="dxa"/>
            <w:vAlign w:val="bottom"/>
          </w:tcPr>
          <w:p w14:paraId="326204ED" w14:textId="77777777" w:rsidR="00980919" w:rsidRDefault="00980919" w:rsidP="001515D5">
            <w:r>
              <w:t>Low Income Only</w:t>
            </w:r>
          </w:p>
        </w:tc>
      </w:tr>
      <w:tr w:rsidR="00980919" w14:paraId="2C01DA1E" w14:textId="77777777" w:rsidTr="001515D5">
        <w:tc>
          <w:tcPr>
            <w:tcW w:w="4675" w:type="dxa"/>
            <w:vAlign w:val="bottom"/>
          </w:tcPr>
          <w:p w14:paraId="0FF88731" w14:textId="77777777" w:rsidR="00980919" w:rsidRDefault="00980919" w:rsidP="001515D5">
            <w:r>
              <w:t>Hampton</w:t>
            </w:r>
          </w:p>
        </w:tc>
        <w:tc>
          <w:tcPr>
            <w:tcW w:w="4675" w:type="dxa"/>
            <w:vAlign w:val="bottom"/>
          </w:tcPr>
          <w:p w14:paraId="4C6724F6" w14:textId="77777777" w:rsidR="00980919" w:rsidRDefault="00980919" w:rsidP="001515D5">
            <w:r>
              <w:t>Entire County</w:t>
            </w:r>
          </w:p>
        </w:tc>
      </w:tr>
      <w:tr w:rsidR="00980919" w14:paraId="21F8F3FD" w14:textId="77777777" w:rsidTr="001515D5">
        <w:tc>
          <w:tcPr>
            <w:tcW w:w="4675" w:type="dxa"/>
            <w:vAlign w:val="bottom"/>
          </w:tcPr>
          <w:p w14:paraId="5E198830" w14:textId="77777777" w:rsidR="00980919" w:rsidRDefault="00980919" w:rsidP="001515D5">
            <w:r>
              <w:t>Horry</w:t>
            </w:r>
          </w:p>
        </w:tc>
        <w:tc>
          <w:tcPr>
            <w:tcW w:w="4675" w:type="dxa"/>
            <w:vAlign w:val="bottom"/>
          </w:tcPr>
          <w:p w14:paraId="148A8ABB" w14:textId="77777777" w:rsidR="00980919" w:rsidRDefault="00980919" w:rsidP="001515D5">
            <w:r>
              <w:t>Low Income Only</w:t>
            </w:r>
          </w:p>
        </w:tc>
      </w:tr>
      <w:tr w:rsidR="00980919" w14:paraId="68C54F28" w14:textId="77777777" w:rsidTr="001515D5">
        <w:tc>
          <w:tcPr>
            <w:tcW w:w="4675" w:type="dxa"/>
            <w:vAlign w:val="bottom"/>
          </w:tcPr>
          <w:p w14:paraId="66B4F265" w14:textId="77777777" w:rsidR="00980919" w:rsidRDefault="00980919" w:rsidP="001515D5">
            <w:r>
              <w:t>Jasper</w:t>
            </w:r>
          </w:p>
        </w:tc>
        <w:tc>
          <w:tcPr>
            <w:tcW w:w="4675" w:type="dxa"/>
            <w:vAlign w:val="bottom"/>
          </w:tcPr>
          <w:p w14:paraId="46C40374" w14:textId="77777777" w:rsidR="00980919" w:rsidRDefault="00980919" w:rsidP="001515D5">
            <w:r>
              <w:t>Low Income Only</w:t>
            </w:r>
          </w:p>
        </w:tc>
      </w:tr>
      <w:tr w:rsidR="00980919" w14:paraId="0B88F82A" w14:textId="77777777" w:rsidTr="001515D5">
        <w:tc>
          <w:tcPr>
            <w:tcW w:w="4675" w:type="dxa"/>
            <w:vAlign w:val="bottom"/>
          </w:tcPr>
          <w:p w14:paraId="747A9F73" w14:textId="77777777" w:rsidR="00980919" w:rsidRDefault="00980919" w:rsidP="001515D5">
            <w:r>
              <w:t>Kershaw</w:t>
            </w:r>
          </w:p>
        </w:tc>
        <w:tc>
          <w:tcPr>
            <w:tcW w:w="4675" w:type="dxa"/>
            <w:vAlign w:val="bottom"/>
          </w:tcPr>
          <w:p w14:paraId="1F43EA87" w14:textId="77777777" w:rsidR="00980919" w:rsidRDefault="00980919" w:rsidP="001515D5">
            <w:r>
              <w:t>Low Income Only</w:t>
            </w:r>
          </w:p>
        </w:tc>
      </w:tr>
      <w:tr w:rsidR="00980919" w14:paraId="55C8CAE1" w14:textId="77777777" w:rsidTr="001515D5">
        <w:tc>
          <w:tcPr>
            <w:tcW w:w="4675" w:type="dxa"/>
            <w:vAlign w:val="bottom"/>
          </w:tcPr>
          <w:p w14:paraId="20A522CD" w14:textId="77777777" w:rsidR="00980919" w:rsidRDefault="00980919" w:rsidP="001515D5">
            <w:r>
              <w:t>Lancaster</w:t>
            </w:r>
          </w:p>
        </w:tc>
        <w:tc>
          <w:tcPr>
            <w:tcW w:w="4675" w:type="dxa"/>
            <w:vAlign w:val="bottom"/>
          </w:tcPr>
          <w:p w14:paraId="7A34C725" w14:textId="77777777" w:rsidR="00980919" w:rsidRDefault="00980919" w:rsidP="001515D5">
            <w:r>
              <w:t>Low Income Only</w:t>
            </w:r>
          </w:p>
        </w:tc>
      </w:tr>
      <w:tr w:rsidR="00980919" w14:paraId="0AFC24FE" w14:textId="77777777" w:rsidTr="001515D5">
        <w:tc>
          <w:tcPr>
            <w:tcW w:w="4675" w:type="dxa"/>
            <w:vAlign w:val="bottom"/>
          </w:tcPr>
          <w:p w14:paraId="131BFDEC" w14:textId="77777777" w:rsidR="00980919" w:rsidRDefault="00980919" w:rsidP="001515D5">
            <w:r>
              <w:t>Laurens</w:t>
            </w:r>
          </w:p>
        </w:tc>
        <w:tc>
          <w:tcPr>
            <w:tcW w:w="4675" w:type="dxa"/>
            <w:vAlign w:val="bottom"/>
          </w:tcPr>
          <w:p w14:paraId="33E8F497" w14:textId="77777777" w:rsidR="00980919" w:rsidRDefault="00980919" w:rsidP="001515D5">
            <w:r>
              <w:t>Entire County</w:t>
            </w:r>
          </w:p>
        </w:tc>
      </w:tr>
      <w:tr w:rsidR="00980919" w14:paraId="3ED5361C" w14:textId="77777777" w:rsidTr="001515D5">
        <w:tc>
          <w:tcPr>
            <w:tcW w:w="4675" w:type="dxa"/>
            <w:vAlign w:val="bottom"/>
          </w:tcPr>
          <w:p w14:paraId="0623D97A" w14:textId="77777777" w:rsidR="00980919" w:rsidRDefault="00980919" w:rsidP="001515D5">
            <w:r>
              <w:t>Lee</w:t>
            </w:r>
          </w:p>
        </w:tc>
        <w:tc>
          <w:tcPr>
            <w:tcW w:w="4675" w:type="dxa"/>
            <w:vAlign w:val="bottom"/>
          </w:tcPr>
          <w:p w14:paraId="285ACF73" w14:textId="77777777" w:rsidR="00980919" w:rsidRDefault="00980919" w:rsidP="001515D5">
            <w:r>
              <w:t>Entire County</w:t>
            </w:r>
          </w:p>
        </w:tc>
      </w:tr>
      <w:tr w:rsidR="00980919" w14:paraId="44ABB49A" w14:textId="77777777" w:rsidTr="001515D5">
        <w:tc>
          <w:tcPr>
            <w:tcW w:w="4675" w:type="dxa"/>
            <w:vAlign w:val="bottom"/>
          </w:tcPr>
          <w:p w14:paraId="1489A704" w14:textId="77777777" w:rsidR="00980919" w:rsidRDefault="00980919" w:rsidP="001515D5">
            <w:r>
              <w:t>Lexington</w:t>
            </w:r>
          </w:p>
        </w:tc>
        <w:tc>
          <w:tcPr>
            <w:tcW w:w="4675" w:type="dxa"/>
            <w:vAlign w:val="bottom"/>
          </w:tcPr>
          <w:p w14:paraId="7FD90BEE" w14:textId="77777777" w:rsidR="00980919" w:rsidRDefault="00980919" w:rsidP="001515D5">
            <w:r>
              <w:t>No Designation</w:t>
            </w:r>
          </w:p>
        </w:tc>
      </w:tr>
      <w:tr w:rsidR="00980919" w14:paraId="68FE836A" w14:textId="77777777" w:rsidTr="001515D5">
        <w:tc>
          <w:tcPr>
            <w:tcW w:w="4675" w:type="dxa"/>
            <w:vAlign w:val="bottom"/>
          </w:tcPr>
          <w:p w14:paraId="0A3C5DA0" w14:textId="77777777" w:rsidR="00980919" w:rsidRDefault="00980919" w:rsidP="001515D5">
            <w:r>
              <w:t>McCormick</w:t>
            </w:r>
          </w:p>
        </w:tc>
        <w:tc>
          <w:tcPr>
            <w:tcW w:w="4675" w:type="dxa"/>
            <w:vAlign w:val="bottom"/>
          </w:tcPr>
          <w:p w14:paraId="48E08942" w14:textId="77777777" w:rsidR="00980919" w:rsidRDefault="00980919" w:rsidP="001515D5">
            <w:r>
              <w:t>Low Income Only</w:t>
            </w:r>
          </w:p>
        </w:tc>
      </w:tr>
      <w:tr w:rsidR="00980919" w14:paraId="71FE934D" w14:textId="77777777" w:rsidTr="001515D5">
        <w:tc>
          <w:tcPr>
            <w:tcW w:w="4675" w:type="dxa"/>
            <w:vAlign w:val="bottom"/>
          </w:tcPr>
          <w:p w14:paraId="07045C91" w14:textId="77777777" w:rsidR="00980919" w:rsidRDefault="00980919" w:rsidP="001515D5">
            <w:r>
              <w:t>Marion</w:t>
            </w:r>
          </w:p>
        </w:tc>
        <w:tc>
          <w:tcPr>
            <w:tcW w:w="4675" w:type="dxa"/>
            <w:vAlign w:val="bottom"/>
          </w:tcPr>
          <w:p w14:paraId="4D5FDF19" w14:textId="77777777" w:rsidR="00980919" w:rsidRDefault="00980919" w:rsidP="001515D5">
            <w:r>
              <w:t>Entire County</w:t>
            </w:r>
          </w:p>
        </w:tc>
      </w:tr>
      <w:tr w:rsidR="00980919" w14:paraId="12357FC4" w14:textId="77777777" w:rsidTr="001515D5">
        <w:tc>
          <w:tcPr>
            <w:tcW w:w="4675" w:type="dxa"/>
            <w:vAlign w:val="bottom"/>
          </w:tcPr>
          <w:p w14:paraId="4E65ED47" w14:textId="77777777" w:rsidR="00980919" w:rsidRDefault="00980919" w:rsidP="001515D5">
            <w:r>
              <w:t>Marlboro</w:t>
            </w:r>
          </w:p>
        </w:tc>
        <w:tc>
          <w:tcPr>
            <w:tcW w:w="4675" w:type="dxa"/>
            <w:vAlign w:val="bottom"/>
          </w:tcPr>
          <w:p w14:paraId="374CA3D2" w14:textId="77777777" w:rsidR="00980919" w:rsidRDefault="00980919" w:rsidP="001515D5">
            <w:r>
              <w:t>Entire County</w:t>
            </w:r>
          </w:p>
        </w:tc>
      </w:tr>
      <w:tr w:rsidR="00980919" w14:paraId="7A4A87E5" w14:textId="77777777" w:rsidTr="001515D5">
        <w:tc>
          <w:tcPr>
            <w:tcW w:w="4675" w:type="dxa"/>
            <w:vAlign w:val="bottom"/>
          </w:tcPr>
          <w:p w14:paraId="297338D4" w14:textId="77777777" w:rsidR="00980919" w:rsidRDefault="00980919" w:rsidP="001515D5">
            <w:r>
              <w:t>Newberry</w:t>
            </w:r>
          </w:p>
        </w:tc>
        <w:tc>
          <w:tcPr>
            <w:tcW w:w="4675" w:type="dxa"/>
            <w:vAlign w:val="bottom"/>
          </w:tcPr>
          <w:p w14:paraId="4457E073" w14:textId="77777777" w:rsidR="00980919" w:rsidRDefault="00980919" w:rsidP="001515D5">
            <w:r>
              <w:t>Low Income Only</w:t>
            </w:r>
          </w:p>
        </w:tc>
      </w:tr>
      <w:tr w:rsidR="00980919" w14:paraId="637B6929" w14:textId="77777777" w:rsidTr="001515D5">
        <w:tc>
          <w:tcPr>
            <w:tcW w:w="4675" w:type="dxa"/>
            <w:vAlign w:val="bottom"/>
          </w:tcPr>
          <w:p w14:paraId="184C6084" w14:textId="77777777" w:rsidR="00980919" w:rsidRDefault="00980919" w:rsidP="001515D5">
            <w:r>
              <w:t>Oconee</w:t>
            </w:r>
          </w:p>
        </w:tc>
        <w:tc>
          <w:tcPr>
            <w:tcW w:w="4675" w:type="dxa"/>
            <w:vAlign w:val="bottom"/>
          </w:tcPr>
          <w:p w14:paraId="451F7940" w14:textId="77777777" w:rsidR="00980919" w:rsidRDefault="00980919" w:rsidP="001515D5">
            <w:r>
              <w:t>Low Income Only</w:t>
            </w:r>
          </w:p>
        </w:tc>
      </w:tr>
      <w:tr w:rsidR="00980919" w14:paraId="6F860A5C" w14:textId="77777777" w:rsidTr="001515D5">
        <w:tc>
          <w:tcPr>
            <w:tcW w:w="4675" w:type="dxa"/>
            <w:vAlign w:val="bottom"/>
          </w:tcPr>
          <w:p w14:paraId="107E2CBA" w14:textId="77777777" w:rsidR="00980919" w:rsidRDefault="00980919" w:rsidP="001515D5">
            <w:r>
              <w:t>Orangeburg</w:t>
            </w:r>
          </w:p>
        </w:tc>
        <w:tc>
          <w:tcPr>
            <w:tcW w:w="4675" w:type="dxa"/>
            <w:vAlign w:val="bottom"/>
          </w:tcPr>
          <w:p w14:paraId="5386A573" w14:textId="77777777" w:rsidR="00980919" w:rsidRDefault="00980919" w:rsidP="001515D5">
            <w:r>
              <w:t>Entire County</w:t>
            </w:r>
          </w:p>
        </w:tc>
      </w:tr>
      <w:tr w:rsidR="00980919" w14:paraId="3A1876D3" w14:textId="77777777" w:rsidTr="001515D5">
        <w:tc>
          <w:tcPr>
            <w:tcW w:w="4675" w:type="dxa"/>
            <w:vAlign w:val="bottom"/>
          </w:tcPr>
          <w:p w14:paraId="0448669C" w14:textId="77777777" w:rsidR="00980919" w:rsidRDefault="00980919" w:rsidP="001515D5">
            <w:r>
              <w:t>Pickens</w:t>
            </w:r>
          </w:p>
        </w:tc>
        <w:tc>
          <w:tcPr>
            <w:tcW w:w="4675" w:type="dxa"/>
            <w:vAlign w:val="bottom"/>
          </w:tcPr>
          <w:p w14:paraId="68951376" w14:textId="77777777" w:rsidR="00980919" w:rsidRDefault="00980919" w:rsidP="001515D5">
            <w:r>
              <w:t>Low Income Only</w:t>
            </w:r>
          </w:p>
        </w:tc>
      </w:tr>
      <w:tr w:rsidR="00980919" w14:paraId="576D9566" w14:textId="77777777" w:rsidTr="001515D5">
        <w:tc>
          <w:tcPr>
            <w:tcW w:w="4675" w:type="dxa"/>
            <w:vAlign w:val="bottom"/>
          </w:tcPr>
          <w:p w14:paraId="57935824" w14:textId="77777777" w:rsidR="00980919" w:rsidRDefault="00980919" w:rsidP="001515D5">
            <w:r>
              <w:t>Richland</w:t>
            </w:r>
          </w:p>
        </w:tc>
        <w:tc>
          <w:tcPr>
            <w:tcW w:w="4675" w:type="dxa"/>
            <w:vAlign w:val="bottom"/>
          </w:tcPr>
          <w:p w14:paraId="4AA92E9A" w14:textId="77777777" w:rsidR="00980919" w:rsidRDefault="00980919" w:rsidP="001515D5">
            <w:r>
              <w:t>Low Income Only</w:t>
            </w:r>
          </w:p>
        </w:tc>
      </w:tr>
      <w:tr w:rsidR="00980919" w14:paraId="24B54F99" w14:textId="77777777" w:rsidTr="001515D5">
        <w:tc>
          <w:tcPr>
            <w:tcW w:w="4675" w:type="dxa"/>
            <w:vAlign w:val="bottom"/>
          </w:tcPr>
          <w:p w14:paraId="22094086" w14:textId="77777777" w:rsidR="00980919" w:rsidRDefault="00980919" w:rsidP="001515D5">
            <w:r>
              <w:t>Saluda</w:t>
            </w:r>
          </w:p>
        </w:tc>
        <w:tc>
          <w:tcPr>
            <w:tcW w:w="4675" w:type="dxa"/>
            <w:vAlign w:val="bottom"/>
          </w:tcPr>
          <w:p w14:paraId="57FD1FAF" w14:textId="77777777" w:rsidR="00980919" w:rsidRDefault="00980919" w:rsidP="001515D5">
            <w:r>
              <w:t>Low Income Only</w:t>
            </w:r>
          </w:p>
        </w:tc>
      </w:tr>
      <w:tr w:rsidR="00980919" w14:paraId="3E783938" w14:textId="77777777" w:rsidTr="001515D5">
        <w:tc>
          <w:tcPr>
            <w:tcW w:w="4675" w:type="dxa"/>
            <w:vAlign w:val="bottom"/>
          </w:tcPr>
          <w:p w14:paraId="5ABB5DF2" w14:textId="77777777" w:rsidR="00980919" w:rsidRDefault="00980919" w:rsidP="001515D5">
            <w:r>
              <w:t>Spartanburg</w:t>
            </w:r>
          </w:p>
        </w:tc>
        <w:tc>
          <w:tcPr>
            <w:tcW w:w="4675" w:type="dxa"/>
            <w:vAlign w:val="bottom"/>
          </w:tcPr>
          <w:p w14:paraId="6110040C" w14:textId="77777777" w:rsidR="00980919" w:rsidRDefault="00980919" w:rsidP="001515D5">
            <w:r>
              <w:t>Low Income Only</w:t>
            </w:r>
          </w:p>
        </w:tc>
      </w:tr>
      <w:tr w:rsidR="00980919" w14:paraId="34704A8B" w14:textId="77777777" w:rsidTr="001515D5">
        <w:tc>
          <w:tcPr>
            <w:tcW w:w="4675" w:type="dxa"/>
            <w:vAlign w:val="bottom"/>
          </w:tcPr>
          <w:p w14:paraId="2537F2A9" w14:textId="77777777" w:rsidR="00980919" w:rsidRDefault="00980919" w:rsidP="001515D5">
            <w:r>
              <w:t>Sumter</w:t>
            </w:r>
          </w:p>
        </w:tc>
        <w:tc>
          <w:tcPr>
            <w:tcW w:w="4675" w:type="dxa"/>
            <w:vAlign w:val="bottom"/>
          </w:tcPr>
          <w:p w14:paraId="6E6504A6" w14:textId="77777777" w:rsidR="00980919" w:rsidRDefault="00980919" w:rsidP="001515D5">
            <w:r>
              <w:t>Low Income Only</w:t>
            </w:r>
          </w:p>
        </w:tc>
      </w:tr>
      <w:tr w:rsidR="00980919" w14:paraId="26E4C72C" w14:textId="77777777" w:rsidTr="001515D5">
        <w:tc>
          <w:tcPr>
            <w:tcW w:w="4675" w:type="dxa"/>
            <w:vAlign w:val="bottom"/>
          </w:tcPr>
          <w:p w14:paraId="52E88219" w14:textId="77777777" w:rsidR="00980919" w:rsidRDefault="00980919" w:rsidP="001515D5">
            <w:r>
              <w:t>Union</w:t>
            </w:r>
          </w:p>
        </w:tc>
        <w:tc>
          <w:tcPr>
            <w:tcW w:w="4675" w:type="dxa"/>
            <w:vAlign w:val="bottom"/>
          </w:tcPr>
          <w:p w14:paraId="3CD3DD7D" w14:textId="77777777" w:rsidR="00980919" w:rsidRDefault="00980919" w:rsidP="001515D5">
            <w:r>
              <w:t>Low Income Only</w:t>
            </w:r>
          </w:p>
        </w:tc>
      </w:tr>
      <w:tr w:rsidR="00980919" w14:paraId="1D371467" w14:textId="77777777" w:rsidTr="001515D5">
        <w:tc>
          <w:tcPr>
            <w:tcW w:w="4675" w:type="dxa"/>
            <w:vAlign w:val="bottom"/>
          </w:tcPr>
          <w:p w14:paraId="31B9B6C1" w14:textId="77777777" w:rsidR="00980919" w:rsidRDefault="00980919" w:rsidP="001515D5">
            <w:r>
              <w:t>Williamsburg</w:t>
            </w:r>
          </w:p>
        </w:tc>
        <w:tc>
          <w:tcPr>
            <w:tcW w:w="4675" w:type="dxa"/>
            <w:vAlign w:val="bottom"/>
          </w:tcPr>
          <w:p w14:paraId="3CA4E6CD" w14:textId="77777777" w:rsidR="00980919" w:rsidRDefault="00980919" w:rsidP="001515D5">
            <w:r>
              <w:t>Entire County</w:t>
            </w:r>
          </w:p>
        </w:tc>
      </w:tr>
      <w:tr w:rsidR="00980919" w14:paraId="4F098CEC" w14:textId="77777777" w:rsidTr="001515D5">
        <w:tc>
          <w:tcPr>
            <w:tcW w:w="4675" w:type="dxa"/>
            <w:vAlign w:val="bottom"/>
          </w:tcPr>
          <w:p w14:paraId="6516634C" w14:textId="77777777" w:rsidR="00980919" w:rsidRDefault="00980919" w:rsidP="001515D5">
            <w:r>
              <w:t>York</w:t>
            </w:r>
          </w:p>
        </w:tc>
        <w:tc>
          <w:tcPr>
            <w:tcW w:w="4675" w:type="dxa"/>
            <w:vAlign w:val="bottom"/>
          </w:tcPr>
          <w:p w14:paraId="26EC3713" w14:textId="77777777" w:rsidR="00980919" w:rsidRDefault="00980919" w:rsidP="001515D5">
            <w:r>
              <w:t>No Designation</w:t>
            </w:r>
          </w:p>
        </w:tc>
      </w:tr>
    </w:tbl>
    <w:p w14:paraId="3C701C57" w14:textId="77777777" w:rsidR="00980919" w:rsidRDefault="00980919" w:rsidP="00980919">
      <w:r w:rsidRPr="00E96508">
        <w:t>Source: US Department of Health and Human Services, 2022.</w:t>
      </w:r>
    </w:p>
    <w:p w14:paraId="37BBAC68" w14:textId="77777777" w:rsidR="00980919" w:rsidRPr="00E96508" w:rsidRDefault="00980919" w:rsidP="00980919"/>
    <w:p w14:paraId="33FC10F2" w14:textId="77777777" w:rsidR="00980919" w:rsidRDefault="00980919" w:rsidP="00980919">
      <w:pPr>
        <w:pStyle w:val="Heading4"/>
      </w:pPr>
      <w:bookmarkStart w:id="330" w:name="_Toc154569844"/>
      <w:bookmarkStart w:id="331" w:name="_Toc162267212"/>
      <w:r>
        <w:t>Figure 6.36: Mental Health Care Health Professional Shortage Area, by Category.</w:t>
      </w:r>
      <w:bookmarkEnd w:id="330"/>
      <w:bookmarkEnd w:id="331"/>
    </w:p>
    <w:p w14:paraId="6822D77F" w14:textId="77777777" w:rsidR="00980919" w:rsidRPr="002F08EB" w:rsidRDefault="00980919" w:rsidP="00980919">
      <w:pPr>
        <w:pStyle w:val="Heading5"/>
      </w:pPr>
      <w:r>
        <w:t>HPSA designation.</w:t>
      </w:r>
    </w:p>
    <w:tbl>
      <w:tblPr>
        <w:tblStyle w:val="TableGrid"/>
        <w:tblW w:w="0" w:type="auto"/>
        <w:tblLook w:val="04A0" w:firstRow="1" w:lastRow="0" w:firstColumn="1" w:lastColumn="0" w:noHBand="0" w:noVBand="1"/>
      </w:tblPr>
      <w:tblGrid>
        <w:gridCol w:w="4675"/>
        <w:gridCol w:w="4675"/>
      </w:tblGrid>
      <w:tr w:rsidR="00980919" w14:paraId="57249C26" w14:textId="77777777" w:rsidTr="001515D5">
        <w:tc>
          <w:tcPr>
            <w:tcW w:w="4675" w:type="dxa"/>
            <w:vAlign w:val="bottom"/>
          </w:tcPr>
          <w:p w14:paraId="1BB21D33" w14:textId="77777777" w:rsidR="00980919" w:rsidRDefault="00980919" w:rsidP="001515D5">
            <w:r>
              <w:t>County</w:t>
            </w:r>
          </w:p>
        </w:tc>
        <w:tc>
          <w:tcPr>
            <w:tcW w:w="4675" w:type="dxa"/>
            <w:vAlign w:val="bottom"/>
          </w:tcPr>
          <w:p w14:paraId="1B16DCE2" w14:textId="77777777" w:rsidR="00980919" w:rsidRDefault="00980919" w:rsidP="001515D5">
            <w:r>
              <w:t>Type</w:t>
            </w:r>
          </w:p>
        </w:tc>
      </w:tr>
      <w:tr w:rsidR="00980919" w14:paraId="3E9B2238" w14:textId="77777777" w:rsidTr="001515D5">
        <w:tc>
          <w:tcPr>
            <w:tcW w:w="4675" w:type="dxa"/>
            <w:vAlign w:val="bottom"/>
          </w:tcPr>
          <w:p w14:paraId="328733AC" w14:textId="77777777" w:rsidR="00980919" w:rsidRDefault="00980919" w:rsidP="001515D5">
            <w:r>
              <w:t>Abbeville</w:t>
            </w:r>
          </w:p>
        </w:tc>
        <w:tc>
          <w:tcPr>
            <w:tcW w:w="4675" w:type="dxa"/>
            <w:vAlign w:val="bottom"/>
          </w:tcPr>
          <w:p w14:paraId="07D62D79" w14:textId="77777777" w:rsidR="00980919" w:rsidRDefault="00980919" w:rsidP="001515D5">
            <w:r>
              <w:t>Entire County</w:t>
            </w:r>
          </w:p>
        </w:tc>
      </w:tr>
      <w:tr w:rsidR="00980919" w14:paraId="2B61CAB8" w14:textId="77777777" w:rsidTr="001515D5">
        <w:tc>
          <w:tcPr>
            <w:tcW w:w="4675" w:type="dxa"/>
            <w:vAlign w:val="bottom"/>
          </w:tcPr>
          <w:p w14:paraId="607C9F13" w14:textId="77777777" w:rsidR="00980919" w:rsidRDefault="00980919" w:rsidP="001515D5">
            <w:r>
              <w:t>Aiken</w:t>
            </w:r>
          </w:p>
        </w:tc>
        <w:tc>
          <w:tcPr>
            <w:tcW w:w="4675" w:type="dxa"/>
            <w:vAlign w:val="bottom"/>
          </w:tcPr>
          <w:p w14:paraId="27EF88DA" w14:textId="77777777" w:rsidR="00980919" w:rsidRDefault="00980919" w:rsidP="001515D5">
            <w:r>
              <w:t>Low Income Only</w:t>
            </w:r>
          </w:p>
        </w:tc>
      </w:tr>
      <w:tr w:rsidR="00980919" w14:paraId="142967E9" w14:textId="77777777" w:rsidTr="001515D5">
        <w:tc>
          <w:tcPr>
            <w:tcW w:w="4675" w:type="dxa"/>
            <w:vAlign w:val="bottom"/>
          </w:tcPr>
          <w:p w14:paraId="61AABF2C" w14:textId="77777777" w:rsidR="00980919" w:rsidRDefault="00980919" w:rsidP="001515D5">
            <w:r>
              <w:t>Allendale</w:t>
            </w:r>
          </w:p>
        </w:tc>
        <w:tc>
          <w:tcPr>
            <w:tcW w:w="4675" w:type="dxa"/>
            <w:vAlign w:val="bottom"/>
          </w:tcPr>
          <w:p w14:paraId="6E74DC04" w14:textId="77777777" w:rsidR="00980919" w:rsidRDefault="00980919" w:rsidP="001515D5">
            <w:r>
              <w:t>Low Income Only</w:t>
            </w:r>
          </w:p>
        </w:tc>
      </w:tr>
      <w:tr w:rsidR="00980919" w14:paraId="1787B763" w14:textId="77777777" w:rsidTr="001515D5">
        <w:tc>
          <w:tcPr>
            <w:tcW w:w="4675" w:type="dxa"/>
            <w:vAlign w:val="bottom"/>
          </w:tcPr>
          <w:p w14:paraId="1384230C" w14:textId="77777777" w:rsidR="00980919" w:rsidRDefault="00980919" w:rsidP="001515D5">
            <w:r>
              <w:t>Anderson</w:t>
            </w:r>
          </w:p>
        </w:tc>
        <w:tc>
          <w:tcPr>
            <w:tcW w:w="4675" w:type="dxa"/>
            <w:vAlign w:val="bottom"/>
          </w:tcPr>
          <w:p w14:paraId="4F414F30" w14:textId="77777777" w:rsidR="00980919" w:rsidRDefault="00980919" w:rsidP="001515D5">
            <w:r>
              <w:t>Low Income Only</w:t>
            </w:r>
          </w:p>
        </w:tc>
      </w:tr>
      <w:tr w:rsidR="00980919" w14:paraId="51939855" w14:textId="77777777" w:rsidTr="001515D5">
        <w:tc>
          <w:tcPr>
            <w:tcW w:w="4675" w:type="dxa"/>
            <w:vAlign w:val="bottom"/>
          </w:tcPr>
          <w:p w14:paraId="4C93075D" w14:textId="77777777" w:rsidR="00980919" w:rsidRDefault="00980919" w:rsidP="001515D5">
            <w:r>
              <w:t>Bamberg</w:t>
            </w:r>
          </w:p>
        </w:tc>
        <w:tc>
          <w:tcPr>
            <w:tcW w:w="4675" w:type="dxa"/>
            <w:vAlign w:val="bottom"/>
          </w:tcPr>
          <w:p w14:paraId="3F8E4FAE" w14:textId="77777777" w:rsidR="00980919" w:rsidRDefault="00980919" w:rsidP="001515D5">
            <w:r>
              <w:t>Entire County</w:t>
            </w:r>
          </w:p>
        </w:tc>
      </w:tr>
      <w:tr w:rsidR="00980919" w14:paraId="761C3EF7" w14:textId="77777777" w:rsidTr="001515D5">
        <w:tc>
          <w:tcPr>
            <w:tcW w:w="4675" w:type="dxa"/>
            <w:vAlign w:val="bottom"/>
          </w:tcPr>
          <w:p w14:paraId="2647D1B8" w14:textId="77777777" w:rsidR="00980919" w:rsidRDefault="00980919" w:rsidP="001515D5">
            <w:r>
              <w:t>Barnwell</w:t>
            </w:r>
          </w:p>
        </w:tc>
        <w:tc>
          <w:tcPr>
            <w:tcW w:w="4675" w:type="dxa"/>
            <w:vAlign w:val="bottom"/>
          </w:tcPr>
          <w:p w14:paraId="2C453558" w14:textId="77777777" w:rsidR="00980919" w:rsidRDefault="00980919" w:rsidP="001515D5">
            <w:r>
              <w:t>Low Income Only</w:t>
            </w:r>
          </w:p>
        </w:tc>
      </w:tr>
      <w:tr w:rsidR="00980919" w14:paraId="12AFE99C" w14:textId="77777777" w:rsidTr="001515D5">
        <w:tc>
          <w:tcPr>
            <w:tcW w:w="4675" w:type="dxa"/>
            <w:vAlign w:val="bottom"/>
          </w:tcPr>
          <w:p w14:paraId="34A88D4E" w14:textId="77777777" w:rsidR="00980919" w:rsidRDefault="00980919" w:rsidP="001515D5">
            <w:r>
              <w:t>Beaufort</w:t>
            </w:r>
          </w:p>
        </w:tc>
        <w:tc>
          <w:tcPr>
            <w:tcW w:w="4675" w:type="dxa"/>
            <w:vAlign w:val="bottom"/>
          </w:tcPr>
          <w:p w14:paraId="4141C1AD" w14:textId="77777777" w:rsidR="00980919" w:rsidRDefault="00980919" w:rsidP="001515D5">
            <w:r>
              <w:t>Low Income Only</w:t>
            </w:r>
          </w:p>
        </w:tc>
      </w:tr>
      <w:tr w:rsidR="00980919" w14:paraId="0C1AEE10" w14:textId="77777777" w:rsidTr="001515D5">
        <w:tc>
          <w:tcPr>
            <w:tcW w:w="4675" w:type="dxa"/>
            <w:vAlign w:val="bottom"/>
          </w:tcPr>
          <w:p w14:paraId="01A1BE66" w14:textId="77777777" w:rsidR="00980919" w:rsidRDefault="00980919" w:rsidP="001515D5">
            <w:r>
              <w:lastRenderedPageBreak/>
              <w:t>Berkeley</w:t>
            </w:r>
          </w:p>
        </w:tc>
        <w:tc>
          <w:tcPr>
            <w:tcW w:w="4675" w:type="dxa"/>
            <w:vAlign w:val="bottom"/>
          </w:tcPr>
          <w:p w14:paraId="3511EF6D" w14:textId="77777777" w:rsidR="00980919" w:rsidRDefault="00980919" w:rsidP="001515D5">
            <w:r>
              <w:t>Low Income Only</w:t>
            </w:r>
          </w:p>
        </w:tc>
      </w:tr>
      <w:tr w:rsidR="00980919" w14:paraId="0D0F0EDB" w14:textId="77777777" w:rsidTr="001515D5">
        <w:tc>
          <w:tcPr>
            <w:tcW w:w="4675" w:type="dxa"/>
            <w:vAlign w:val="bottom"/>
          </w:tcPr>
          <w:p w14:paraId="002B830B" w14:textId="77777777" w:rsidR="00980919" w:rsidRDefault="00980919" w:rsidP="001515D5">
            <w:r>
              <w:t>Calhoun</w:t>
            </w:r>
          </w:p>
        </w:tc>
        <w:tc>
          <w:tcPr>
            <w:tcW w:w="4675" w:type="dxa"/>
            <w:vAlign w:val="bottom"/>
          </w:tcPr>
          <w:p w14:paraId="204EE0B4" w14:textId="77777777" w:rsidR="00980919" w:rsidRDefault="00980919" w:rsidP="001515D5">
            <w:r>
              <w:t>Entire County</w:t>
            </w:r>
          </w:p>
        </w:tc>
      </w:tr>
      <w:tr w:rsidR="00980919" w14:paraId="28B5A452" w14:textId="77777777" w:rsidTr="001515D5">
        <w:tc>
          <w:tcPr>
            <w:tcW w:w="4675" w:type="dxa"/>
            <w:vAlign w:val="bottom"/>
          </w:tcPr>
          <w:p w14:paraId="15B9AD48" w14:textId="77777777" w:rsidR="00980919" w:rsidRDefault="00980919" w:rsidP="001515D5">
            <w:r>
              <w:t>Charleston</w:t>
            </w:r>
          </w:p>
        </w:tc>
        <w:tc>
          <w:tcPr>
            <w:tcW w:w="4675" w:type="dxa"/>
            <w:vAlign w:val="bottom"/>
          </w:tcPr>
          <w:p w14:paraId="0F396A74" w14:textId="77777777" w:rsidR="00980919" w:rsidRDefault="00980919" w:rsidP="001515D5">
            <w:r>
              <w:t>Low Income Only</w:t>
            </w:r>
          </w:p>
        </w:tc>
      </w:tr>
      <w:tr w:rsidR="00980919" w14:paraId="4E6DBC18" w14:textId="77777777" w:rsidTr="001515D5">
        <w:tc>
          <w:tcPr>
            <w:tcW w:w="4675" w:type="dxa"/>
            <w:vAlign w:val="bottom"/>
          </w:tcPr>
          <w:p w14:paraId="5B6D9426" w14:textId="77777777" w:rsidR="00980919" w:rsidRDefault="00980919" w:rsidP="001515D5">
            <w:r>
              <w:t>Cherokee</w:t>
            </w:r>
          </w:p>
        </w:tc>
        <w:tc>
          <w:tcPr>
            <w:tcW w:w="4675" w:type="dxa"/>
            <w:vAlign w:val="bottom"/>
          </w:tcPr>
          <w:p w14:paraId="15D95A66" w14:textId="77777777" w:rsidR="00980919" w:rsidRDefault="00980919" w:rsidP="001515D5">
            <w:r>
              <w:t>Low Income Only</w:t>
            </w:r>
          </w:p>
        </w:tc>
      </w:tr>
      <w:tr w:rsidR="00980919" w14:paraId="1DB898F6" w14:textId="77777777" w:rsidTr="001515D5">
        <w:tc>
          <w:tcPr>
            <w:tcW w:w="4675" w:type="dxa"/>
            <w:vAlign w:val="bottom"/>
          </w:tcPr>
          <w:p w14:paraId="62D5B1AB" w14:textId="77777777" w:rsidR="00980919" w:rsidRDefault="00980919" w:rsidP="001515D5">
            <w:r>
              <w:t>Chester</w:t>
            </w:r>
          </w:p>
        </w:tc>
        <w:tc>
          <w:tcPr>
            <w:tcW w:w="4675" w:type="dxa"/>
            <w:vAlign w:val="bottom"/>
          </w:tcPr>
          <w:p w14:paraId="3B0DDBDE" w14:textId="77777777" w:rsidR="00980919" w:rsidRDefault="00980919" w:rsidP="001515D5">
            <w:r>
              <w:t>No Designation</w:t>
            </w:r>
          </w:p>
        </w:tc>
      </w:tr>
      <w:tr w:rsidR="00980919" w14:paraId="04AB6F7D" w14:textId="77777777" w:rsidTr="001515D5">
        <w:tc>
          <w:tcPr>
            <w:tcW w:w="4675" w:type="dxa"/>
            <w:vAlign w:val="bottom"/>
          </w:tcPr>
          <w:p w14:paraId="4DD0C984" w14:textId="77777777" w:rsidR="00980919" w:rsidRDefault="00980919" w:rsidP="001515D5">
            <w:r>
              <w:t>Chesterfield</w:t>
            </w:r>
          </w:p>
        </w:tc>
        <w:tc>
          <w:tcPr>
            <w:tcW w:w="4675" w:type="dxa"/>
            <w:vAlign w:val="bottom"/>
          </w:tcPr>
          <w:p w14:paraId="5DCFB6FA" w14:textId="77777777" w:rsidR="00980919" w:rsidRDefault="00980919" w:rsidP="001515D5">
            <w:r>
              <w:t>Entire County</w:t>
            </w:r>
          </w:p>
        </w:tc>
      </w:tr>
      <w:tr w:rsidR="00980919" w14:paraId="218CDF22" w14:textId="77777777" w:rsidTr="001515D5">
        <w:tc>
          <w:tcPr>
            <w:tcW w:w="4675" w:type="dxa"/>
            <w:vAlign w:val="bottom"/>
          </w:tcPr>
          <w:p w14:paraId="3FE0B9A5" w14:textId="77777777" w:rsidR="00980919" w:rsidRDefault="00980919" w:rsidP="001515D5">
            <w:r>
              <w:t>Clarendon</w:t>
            </w:r>
          </w:p>
        </w:tc>
        <w:tc>
          <w:tcPr>
            <w:tcW w:w="4675" w:type="dxa"/>
            <w:vAlign w:val="bottom"/>
          </w:tcPr>
          <w:p w14:paraId="2B3EC15D" w14:textId="77777777" w:rsidR="00980919" w:rsidRDefault="00980919" w:rsidP="001515D5">
            <w:r>
              <w:t>Entire County</w:t>
            </w:r>
          </w:p>
        </w:tc>
      </w:tr>
      <w:tr w:rsidR="00980919" w14:paraId="5E2B6872" w14:textId="77777777" w:rsidTr="001515D5">
        <w:tc>
          <w:tcPr>
            <w:tcW w:w="4675" w:type="dxa"/>
            <w:vAlign w:val="bottom"/>
          </w:tcPr>
          <w:p w14:paraId="3458E6BB" w14:textId="77777777" w:rsidR="00980919" w:rsidRDefault="00980919" w:rsidP="001515D5">
            <w:r>
              <w:t>Colleton</w:t>
            </w:r>
          </w:p>
        </w:tc>
        <w:tc>
          <w:tcPr>
            <w:tcW w:w="4675" w:type="dxa"/>
            <w:vAlign w:val="bottom"/>
          </w:tcPr>
          <w:p w14:paraId="5198636F" w14:textId="77777777" w:rsidR="00980919" w:rsidRDefault="00980919" w:rsidP="001515D5">
            <w:r>
              <w:t>Low Income Only</w:t>
            </w:r>
          </w:p>
        </w:tc>
      </w:tr>
      <w:tr w:rsidR="00980919" w14:paraId="2AFC7E6D" w14:textId="77777777" w:rsidTr="001515D5">
        <w:tc>
          <w:tcPr>
            <w:tcW w:w="4675" w:type="dxa"/>
            <w:vAlign w:val="bottom"/>
          </w:tcPr>
          <w:p w14:paraId="4252D66C" w14:textId="77777777" w:rsidR="00980919" w:rsidRDefault="00980919" w:rsidP="001515D5">
            <w:r>
              <w:t>Darlington</w:t>
            </w:r>
          </w:p>
        </w:tc>
        <w:tc>
          <w:tcPr>
            <w:tcW w:w="4675" w:type="dxa"/>
            <w:vAlign w:val="bottom"/>
          </w:tcPr>
          <w:p w14:paraId="7EF8D47B" w14:textId="77777777" w:rsidR="00980919" w:rsidRDefault="00980919" w:rsidP="001515D5">
            <w:r>
              <w:t>Entire County</w:t>
            </w:r>
          </w:p>
        </w:tc>
      </w:tr>
      <w:tr w:rsidR="00980919" w14:paraId="26247B27" w14:textId="77777777" w:rsidTr="001515D5">
        <w:tc>
          <w:tcPr>
            <w:tcW w:w="4675" w:type="dxa"/>
            <w:vAlign w:val="bottom"/>
          </w:tcPr>
          <w:p w14:paraId="338AEC4C" w14:textId="77777777" w:rsidR="00980919" w:rsidRDefault="00980919" w:rsidP="001515D5">
            <w:r>
              <w:t>Dillon</w:t>
            </w:r>
          </w:p>
        </w:tc>
        <w:tc>
          <w:tcPr>
            <w:tcW w:w="4675" w:type="dxa"/>
            <w:vAlign w:val="bottom"/>
          </w:tcPr>
          <w:p w14:paraId="7397EB22" w14:textId="77777777" w:rsidR="00980919" w:rsidRDefault="00980919" w:rsidP="001515D5">
            <w:r>
              <w:t>Entire County</w:t>
            </w:r>
          </w:p>
        </w:tc>
      </w:tr>
      <w:tr w:rsidR="00980919" w14:paraId="50E9F4FF" w14:textId="77777777" w:rsidTr="001515D5">
        <w:tc>
          <w:tcPr>
            <w:tcW w:w="4675" w:type="dxa"/>
            <w:vAlign w:val="bottom"/>
          </w:tcPr>
          <w:p w14:paraId="60954E20" w14:textId="77777777" w:rsidR="00980919" w:rsidRDefault="00980919" w:rsidP="001515D5">
            <w:r>
              <w:t>Dorchester</w:t>
            </w:r>
          </w:p>
        </w:tc>
        <w:tc>
          <w:tcPr>
            <w:tcW w:w="4675" w:type="dxa"/>
            <w:vAlign w:val="bottom"/>
          </w:tcPr>
          <w:p w14:paraId="5AE2FBFD" w14:textId="77777777" w:rsidR="00980919" w:rsidRDefault="00980919" w:rsidP="001515D5">
            <w:r>
              <w:t>Low Income Only</w:t>
            </w:r>
          </w:p>
        </w:tc>
      </w:tr>
      <w:tr w:rsidR="00980919" w14:paraId="27965F6F" w14:textId="77777777" w:rsidTr="001515D5">
        <w:tc>
          <w:tcPr>
            <w:tcW w:w="4675" w:type="dxa"/>
            <w:vAlign w:val="bottom"/>
          </w:tcPr>
          <w:p w14:paraId="3A68BD8B" w14:textId="77777777" w:rsidR="00980919" w:rsidRDefault="00980919" w:rsidP="001515D5">
            <w:r>
              <w:t>Edgefield</w:t>
            </w:r>
          </w:p>
        </w:tc>
        <w:tc>
          <w:tcPr>
            <w:tcW w:w="4675" w:type="dxa"/>
            <w:vAlign w:val="bottom"/>
          </w:tcPr>
          <w:p w14:paraId="5F3C4E58" w14:textId="77777777" w:rsidR="00980919" w:rsidRDefault="00980919" w:rsidP="001515D5">
            <w:r>
              <w:t>Entire County</w:t>
            </w:r>
          </w:p>
        </w:tc>
      </w:tr>
      <w:tr w:rsidR="00980919" w14:paraId="321641A1" w14:textId="77777777" w:rsidTr="001515D5">
        <w:tc>
          <w:tcPr>
            <w:tcW w:w="4675" w:type="dxa"/>
            <w:vAlign w:val="bottom"/>
          </w:tcPr>
          <w:p w14:paraId="4ED7FA84" w14:textId="77777777" w:rsidR="00980919" w:rsidRDefault="00980919" w:rsidP="001515D5">
            <w:r>
              <w:t>Fairfield</w:t>
            </w:r>
          </w:p>
        </w:tc>
        <w:tc>
          <w:tcPr>
            <w:tcW w:w="4675" w:type="dxa"/>
            <w:vAlign w:val="bottom"/>
          </w:tcPr>
          <w:p w14:paraId="4EB287F3" w14:textId="77777777" w:rsidR="00980919" w:rsidRDefault="00980919" w:rsidP="001515D5">
            <w:r>
              <w:t>Low Income Only</w:t>
            </w:r>
          </w:p>
        </w:tc>
      </w:tr>
      <w:tr w:rsidR="00980919" w14:paraId="0A7DD2B1" w14:textId="77777777" w:rsidTr="001515D5">
        <w:tc>
          <w:tcPr>
            <w:tcW w:w="4675" w:type="dxa"/>
            <w:vAlign w:val="bottom"/>
          </w:tcPr>
          <w:p w14:paraId="1AE09ADA" w14:textId="77777777" w:rsidR="00980919" w:rsidRDefault="00980919" w:rsidP="001515D5">
            <w:r>
              <w:t>Florence</w:t>
            </w:r>
          </w:p>
        </w:tc>
        <w:tc>
          <w:tcPr>
            <w:tcW w:w="4675" w:type="dxa"/>
            <w:vAlign w:val="bottom"/>
          </w:tcPr>
          <w:p w14:paraId="35A15D1C" w14:textId="77777777" w:rsidR="00980919" w:rsidRDefault="00980919" w:rsidP="001515D5">
            <w:r>
              <w:t>Entire County</w:t>
            </w:r>
          </w:p>
        </w:tc>
      </w:tr>
      <w:tr w:rsidR="00980919" w14:paraId="28480660" w14:textId="77777777" w:rsidTr="001515D5">
        <w:tc>
          <w:tcPr>
            <w:tcW w:w="4675" w:type="dxa"/>
            <w:vAlign w:val="bottom"/>
          </w:tcPr>
          <w:p w14:paraId="180889C6" w14:textId="77777777" w:rsidR="00980919" w:rsidRDefault="00980919" w:rsidP="001515D5">
            <w:r>
              <w:t>Georgetown</w:t>
            </w:r>
          </w:p>
        </w:tc>
        <w:tc>
          <w:tcPr>
            <w:tcW w:w="4675" w:type="dxa"/>
            <w:vAlign w:val="bottom"/>
          </w:tcPr>
          <w:p w14:paraId="1A9A309F" w14:textId="77777777" w:rsidR="00980919" w:rsidRDefault="00980919" w:rsidP="001515D5">
            <w:r>
              <w:t>Low Income Only</w:t>
            </w:r>
          </w:p>
        </w:tc>
      </w:tr>
      <w:tr w:rsidR="00980919" w14:paraId="163B00D4" w14:textId="77777777" w:rsidTr="001515D5">
        <w:tc>
          <w:tcPr>
            <w:tcW w:w="4675" w:type="dxa"/>
            <w:vAlign w:val="bottom"/>
          </w:tcPr>
          <w:p w14:paraId="6E2956B5" w14:textId="77777777" w:rsidR="00980919" w:rsidRDefault="00980919" w:rsidP="001515D5">
            <w:r>
              <w:t>Greenville</w:t>
            </w:r>
          </w:p>
        </w:tc>
        <w:tc>
          <w:tcPr>
            <w:tcW w:w="4675" w:type="dxa"/>
            <w:vAlign w:val="bottom"/>
          </w:tcPr>
          <w:p w14:paraId="42F042AF" w14:textId="77777777" w:rsidR="00980919" w:rsidRDefault="00980919" w:rsidP="001515D5">
            <w:r>
              <w:t>Low Income Only</w:t>
            </w:r>
          </w:p>
        </w:tc>
      </w:tr>
      <w:tr w:rsidR="00980919" w14:paraId="4418ACAE" w14:textId="77777777" w:rsidTr="001515D5">
        <w:tc>
          <w:tcPr>
            <w:tcW w:w="4675" w:type="dxa"/>
            <w:vAlign w:val="bottom"/>
          </w:tcPr>
          <w:p w14:paraId="709B82E7" w14:textId="77777777" w:rsidR="00980919" w:rsidRDefault="00980919" w:rsidP="001515D5">
            <w:r>
              <w:t>Greenwood</w:t>
            </w:r>
          </w:p>
        </w:tc>
        <w:tc>
          <w:tcPr>
            <w:tcW w:w="4675" w:type="dxa"/>
            <w:vAlign w:val="bottom"/>
          </w:tcPr>
          <w:p w14:paraId="18F9D979" w14:textId="77777777" w:rsidR="00980919" w:rsidRDefault="00980919" w:rsidP="001515D5">
            <w:r>
              <w:t>Entire County</w:t>
            </w:r>
          </w:p>
        </w:tc>
      </w:tr>
      <w:tr w:rsidR="00980919" w14:paraId="003DADDB" w14:textId="77777777" w:rsidTr="001515D5">
        <w:tc>
          <w:tcPr>
            <w:tcW w:w="4675" w:type="dxa"/>
            <w:vAlign w:val="bottom"/>
          </w:tcPr>
          <w:p w14:paraId="01A5721F" w14:textId="77777777" w:rsidR="00980919" w:rsidRDefault="00980919" w:rsidP="001515D5">
            <w:r>
              <w:t>Hampton</w:t>
            </w:r>
          </w:p>
        </w:tc>
        <w:tc>
          <w:tcPr>
            <w:tcW w:w="4675" w:type="dxa"/>
            <w:vAlign w:val="bottom"/>
          </w:tcPr>
          <w:p w14:paraId="4317B9BF" w14:textId="77777777" w:rsidR="00980919" w:rsidRDefault="00980919" w:rsidP="001515D5">
            <w:r>
              <w:t>Low Income Only</w:t>
            </w:r>
          </w:p>
        </w:tc>
      </w:tr>
      <w:tr w:rsidR="00980919" w14:paraId="30E4B961" w14:textId="77777777" w:rsidTr="001515D5">
        <w:tc>
          <w:tcPr>
            <w:tcW w:w="4675" w:type="dxa"/>
            <w:vAlign w:val="bottom"/>
          </w:tcPr>
          <w:p w14:paraId="594364DA" w14:textId="77777777" w:rsidR="00980919" w:rsidRDefault="00980919" w:rsidP="001515D5">
            <w:r>
              <w:t>Horry</w:t>
            </w:r>
          </w:p>
        </w:tc>
        <w:tc>
          <w:tcPr>
            <w:tcW w:w="4675" w:type="dxa"/>
            <w:vAlign w:val="bottom"/>
          </w:tcPr>
          <w:p w14:paraId="0980E52E" w14:textId="77777777" w:rsidR="00980919" w:rsidRDefault="00980919" w:rsidP="001515D5">
            <w:r>
              <w:t>Low Income Only</w:t>
            </w:r>
          </w:p>
        </w:tc>
      </w:tr>
      <w:tr w:rsidR="00980919" w14:paraId="627C8EC1" w14:textId="77777777" w:rsidTr="001515D5">
        <w:tc>
          <w:tcPr>
            <w:tcW w:w="4675" w:type="dxa"/>
            <w:vAlign w:val="bottom"/>
          </w:tcPr>
          <w:p w14:paraId="51A88365" w14:textId="77777777" w:rsidR="00980919" w:rsidRDefault="00980919" w:rsidP="001515D5">
            <w:r>
              <w:t>Jasper</w:t>
            </w:r>
          </w:p>
        </w:tc>
        <w:tc>
          <w:tcPr>
            <w:tcW w:w="4675" w:type="dxa"/>
            <w:vAlign w:val="bottom"/>
          </w:tcPr>
          <w:p w14:paraId="48C5ACA2" w14:textId="77777777" w:rsidR="00980919" w:rsidRDefault="00980919" w:rsidP="001515D5">
            <w:r>
              <w:t>Low Income Only</w:t>
            </w:r>
          </w:p>
        </w:tc>
      </w:tr>
      <w:tr w:rsidR="00980919" w14:paraId="29774D58" w14:textId="77777777" w:rsidTr="001515D5">
        <w:tc>
          <w:tcPr>
            <w:tcW w:w="4675" w:type="dxa"/>
            <w:vAlign w:val="bottom"/>
          </w:tcPr>
          <w:p w14:paraId="5F7D5C07" w14:textId="77777777" w:rsidR="00980919" w:rsidRDefault="00980919" w:rsidP="001515D5">
            <w:r>
              <w:t>Kershaw</w:t>
            </w:r>
          </w:p>
        </w:tc>
        <w:tc>
          <w:tcPr>
            <w:tcW w:w="4675" w:type="dxa"/>
            <w:vAlign w:val="bottom"/>
          </w:tcPr>
          <w:p w14:paraId="6740512E" w14:textId="77777777" w:rsidR="00980919" w:rsidRDefault="00980919" w:rsidP="001515D5">
            <w:r>
              <w:t>Entire County</w:t>
            </w:r>
          </w:p>
        </w:tc>
      </w:tr>
      <w:tr w:rsidR="00980919" w14:paraId="102F88CE" w14:textId="77777777" w:rsidTr="001515D5">
        <w:tc>
          <w:tcPr>
            <w:tcW w:w="4675" w:type="dxa"/>
            <w:vAlign w:val="bottom"/>
          </w:tcPr>
          <w:p w14:paraId="60DEF791" w14:textId="77777777" w:rsidR="00980919" w:rsidRDefault="00980919" w:rsidP="001515D5">
            <w:r>
              <w:t>Lancaster</w:t>
            </w:r>
          </w:p>
        </w:tc>
        <w:tc>
          <w:tcPr>
            <w:tcW w:w="4675" w:type="dxa"/>
            <w:vAlign w:val="bottom"/>
          </w:tcPr>
          <w:p w14:paraId="64CC6445" w14:textId="77777777" w:rsidR="00980919" w:rsidRDefault="00980919" w:rsidP="001515D5">
            <w:r>
              <w:t>No Designation</w:t>
            </w:r>
          </w:p>
        </w:tc>
      </w:tr>
      <w:tr w:rsidR="00980919" w14:paraId="5DA85EAC" w14:textId="77777777" w:rsidTr="001515D5">
        <w:tc>
          <w:tcPr>
            <w:tcW w:w="4675" w:type="dxa"/>
            <w:vAlign w:val="bottom"/>
          </w:tcPr>
          <w:p w14:paraId="0AA0033B" w14:textId="77777777" w:rsidR="00980919" w:rsidRDefault="00980919" w:rsidP="001515D5">
            <w:r>
              <w:t>Laurens</w:t>
            </w:r>
          </w:p>
        </w:tc>
        <w:tc>
          <w:tcPr>
            <w:tcW w:w="4675" w:type="dxa"/>
            <w:vAlign w:val="bottom"/>
          </w:tcPr>
          <w:p w14:paraId="37A8B158" w14:textId="77777777" w:rsidR="00980919" w:rsidRDefault="00980919" w:rsidP="001515D5">
            <w:r>
              <w:t>Entire County</w:t>
            </w:r>
          </w:p>
        </w:tc>
      </w:tr>
      <w:tr w:rsidR="00980919" w14:paraId="49328AEF" w14:textId="77777777" w:rsidTr="001515D5">
        <w:tc>
          <w:tcPr>
            <w:tcW w:w="4675" w:type="dxa"/>
            <w:vAlign w:val="bottom"/>
          </w:tcPr>
          <w:p w14:paraId="1F44E74B" w14:textId="77777777" w:rsidR="00980919" w:rsidRDefault="00980919" w:rsidP="001515D5">
            <w:r>
              <w:t>Lee</w:t>
            </w:r>
          </w:p>
        </w:tc>
        <w:tc>
          <w:tcPr>
            <w:tcW w:w="4675" w:type="dxa"/>
            <w:vAlign w:val="bottom"/>
          </w:tcPr>
          <w:p w14:paraId="3169F6EC" w14:textId="77777777" w:rsidR="00980919" w:rsidRDefault="00980919" w:rsidP="001515D5">
            <w:r>
              <w:t>Entire County</w:t>
            </w:r>
          </w:p>
        </w:tc>
      </w:tr>
      <w:tr w:rsidR="00980919" w14:paraId="20D982AE" w14:textId="77777777" w:rsidTr="001515D5">
        <w:tc>
          <w:tcPr>
            <w:tcW w:w="4675" w:type="dxa"/>
            <w:vAlign w:val="bottom"/>
          </w:tcPr>
          <w:p w14:paraId="3308CC71" w14:textId="77777777" w:rsidR="00980919" w:rsidRDefault="00980919" w:rsidP="001515D5">
            <w:r>
              <w:t>Lexington</w:t>
            </w:r>
          </w:p>
        </w:tc>
        <w:tc>
          <w:tcPr>
            <w:tcW w:w="4675" w:type="dxa"/>
            <w:vAlign w:val="bottom"/>
          </w:tcPr>
          <w:p w14:paraId="7397C7D1" w14:textId="77777777" w:rsidR="00980919" w:rsidRDefault="00980919" w:rsidP="001515D5">
            <w:r>
              <w:t>Low Income Only</w:t>
            </w:r>
          </w:p>
        </w:tc>
      </w:tr>
      <w:tr w:rsidR="00980919" w14:paraId="7F277DAA" w14:textId="77777777" w:rsidTr="001515D5">
        <w:tc>
          <w:tcPr>
            <w:tcW w:w="4675" w:type="dxa"/>
            <w:vAlign w:val="bottom"/>
          </w:tcPr>
          <w:p w14:paraId="53771A50" w14:textId="77777777" w:rsidR="00980919" w:rsidRDefault="00980919" w:rsidP="001515D5">
            <w:r>
              <w:t>McCormick</w:t>
            </w:r>
          </w:p>
        </w:tc>
        <w:tc>
          <w:tcPr>
            <w:tcW w:w="4675" w:type="dxa"/>
            <w:vAlign w:val="bottom"/>
          </w:tcPr>
          <w:p w14:paraId="1B394562" w14:textId="77777777" w:rsidR="00980919" w:rsidRDefault="00980919" w:rsidP="001515D5">
            <w:r>
              <w:t>Entire County</w:t>
            </w:r>
          </w:p>
        </w:tc>
      </w:tr>
      <w:tr w:rsidR="00980919" w14:paraId="674639F1" w14:textId="77777777" w:rsidTr="001515D5">
        <w:tc>
          <w:tcPr>
            <w:tcW w:w="4675" w:type="dxa"/>
            <w:vAlign w:val="bottom"/>
          </w:tcPr>
          <w:p w14:paraId="290CE463" w14:textId="77777777" w:rsidR="00980919" w:rsidRDefault="00980919" w:rsidP="001515D5">
            <w:r>
              <w:t>Marion</w:t>
            </w:r>
          </w:p>
        </w:tc>
        <w:tc>
          <w:tcPr>
            <w:tcW w:w="4675" w:type="dxa"/>
            <w:vAlign w:val="bottom"/>
          </w:tcPr>
          <w:p w14:paraId="6EA26694" w14:textId="77777777" w:rsidR="00980919" w:rsidRDefault="00980919" w:rsidP="001515D5">
            <w:r>
              <w:t>Entire County</w:t>
            </w:r>
          </w:p>
        </w:tc>
      </w:tr>
      <w:tr w:rsidR="00980919" w14:paraId="6DC1B1F7" w14:textId="77777777" w:rsidTr="001515D5">
        <w:tc>
          <w:tcPr>
            <w:tcW w:w="4675" w:type="dxa"/>
            <w:vAlign w:val="bottom"/>
          </w:tcPr>
          <w:p w14:paraId="0C29CE43" w14:textId="77777777" w:rsidR="00980919" w:rsidRDefault="00980919" w:rsidP="001515D5">
            <w:r>
              <w:t>Marlboro</w:t>
            </w:r>
          </w:p>
        </w:tc>
        <w:tc>
          <w:tcPr>
            <w:tcW w:w="4675" w:type="dxa"/>
            <w:vAlign w:val="bottom"/>
          </w:tcPr>
          <w:p w14:paraId="3ADA8F8C" w14:textId="77777777" w:rsidR="00980919" w:rsidRDefault="00980919" w:rsidP="001515D5">
            <w:r>
              <w:t>Entire County</w:t>
            </w:r>
          </w:p>
        </w:tc>
      </w:tr>
      <w:tr w:rsidR="00980919" w14:paraId="1F101F4C" w14:textId="77777777" w:rsidTr="001515D5">
        <w:tc>
          <w:tcPr>
            <w:tcW w:w="4675" w:type="dxa"/>
            <w:vAlign w:val="bottom"/>
          </w:tcPr>
          <w:p w14:paraId="3AD55534" w14:textId="77777777" w:rsidR="00980919" w:rsidRDefault="00980919" w:rsidP="001515D5">
            <w:r>
              <w:t>Newberry</w:t>
            </w:r>
          </w:p>
        </w:tc>
        <w:tc>
          <w:tcPr>
            <w:tcW w:w="4675" w:type="dxa"/>
            <w:vAlign w:val="bottom"/>
          </w:tcPr>
          <w:p w14:paraId="25328B20" w14:textId="77777777" w:rsidR="00980919" w:rsidRDefault="00980919" w:rsidP="001515D5">
            <w:r>
              <w:t>Entire County</w:t>
            </w:r>
          </w:p>
        </w:tc>
      </w:tr>
      <w:tr w:rsidR="00980919" w14:paraId="4C7E4BEF" w14:textId="77777777" w:rsidTr="001515D5">
        <w:tc>
          <w:tcPr>
            <w:tcW w:w="4675" w:type="dxa"/>
            <w:vAlign w:val="bottom"/>
          </w:tcPr>
          <w:p w14:paraId="488D63D3" w14:textId="77777777" w:rsidR="00980919" w:rsidRDefault="00980919" w:rsidP="001515D5">
            <w:r>
              <w:t>Oconee</w:t>
            </w:r>
          </w:p>
        </w:tc>
        <w:tc>
          <w:tcPr>
            <w:tcW w:w="4675" w:type="dxa"/>
            <w:vAlign w:val="bottom"/>
          </w:tcPr>
          <w:p w14:paraId="733B7ED9" w14:textId="77777777" w:rsidR="00980919" w:rsidRDefault="00980919" w:rsidP="001515D5">
            <w:r>
              <w:t>Low Income Only</w:t>
            </w:r>
          </w:p>
        </w:tc>
      </w:tr>
      <w:tr w:rsidR="00980919" w14:paraId="5988E719" w14:textId="77777777" w:rsidTr="001515D5">
        <w:tc>
          <w:tcPr>
            <w:tcW w:w="4675" w:type="dxa"/>
            <w:vAlign w:val="bottom"/>
          </w:tcPr>
          <w:p w14:paraId="2433E877" w14:textId="77777777" w:rsidR="00980919" w:rsidRDefault="00980919" w:rsidP="001515D5">
            <w:r>
              <w:t>Orangeburg</w:t>
            </w:r>
          </w:p>
        </w:tc>
        <w:tc>
          <w:tcPr>
            <w:tcW w:w="4675" w:type="dxa"/>
            <w:vAlign w:val="bottom"/>
          </w:tcPr>
          <w:p w14:paraId="7669F27F" w14:textId="77777777" w:rsidR="00980919" w:rsidRDefault="00980919" w:rsidP="001515D5">
            <w:r>
              <w:t>Entire County</w:t>
            </w:r>
          </w:p>
        </w:tc>
      </w:tr>
      <w:tr w:rsidR="00980919" w14:paraId="64725AC6" w14:textId="77777777" w:rsidTr="001515D5">
        <w:tc>
          <w:tcPr>
            <w:tcW w:w="4675" w:type="dxa"/>
            <w:vAlign w:val="bottom"/>
          </w:tcPr>
          <w:p w14:paraId="741698C0" w14:textId="77777777" w:rsidR="00980919" w:rsidRDefault="00980919" w:rsidP="001515D5">
            <w:r>
              <w:t>Pickens</w:t>
            </w:r>
          </w:p>
        </w:tc>
        <w:tc>
          <w:tcPr>
            <w:tcW w:w="4675" w:type="dxa"/>
            <w:vAlign w:val="bottom"/>
          </w:tcPr>
          <w:p w14:paraId="21EEE275" w14:textId="77777777" w:rsidR="00980919" w:rsidRDefault="00980919" w:rsidP="001515D5">
            <w:r>
              <w:t>Low Income Only</w:t>
            </w:r>
          </w:p>
        </w:tc>
      </w:tr>
      <w:tr w:rsidR="00980919" w14:paraId="148A0E7C" w14:textId="77777777" w:rsidTr="001515D5">
        <w:tc>
          <w:tcPr>
            <w:tcW w:w="4675" w:type="dxa"/>
            <w:vAlign w:val="bottom"/>
          </w:tcPr>
          <w:p w14:paraId="12114795" w14:textId="77777777" w:rsidR="00980919" w:rsidRDefault="00980919" w:rsidP="001515D5">
            <w:r>
              <w:t>Richland</w:t>
            </w:r>
          </w:p>
        </w:tc>
        <w:tc>
          <w:tcPr>
            <w:tcW w:w="4675" w:type="dxa"/>
            <w:vAlign w:val="bottom"/>
          </w:tcPr>
          <w:p w14:paraId="3BF3D6F3" w14:textId="77777777" w:rsidR="00980919" w:rsidRDefault="00980919" w:rsidP="001515D5">
            <w:r>
              <w:t>Low Income Only</w:t>
            </w:r>
          </w:p>
        </w:tc>
      </w:tr>
      <w:tr w:rsidR="00980919" w14:paraId="557067A4" w14:textId="77777777" w:rsidTr="001515D5">
        <w:tc>
          <w:tcPr>
            <w:tcW w:w="4675" w:type="dxa"/>
            <w:vAlign w:val="bottom"/>
          </w:tcPr>
          <w:p w14:paraId="0F5A553C" w14:textId="77777777" w:rsidR="00980919" w:rsidRDefault="00980919" w:rsidP="001515D5">
            <w:r>
              <w:t>Saluda</w:t>
            </w:r>
          </w:p>
        </w:tc>
        <w:tc>
          <w:tcPr>
            <w:tcW w:w="4675" w:type="dxa"/>
            <w:vAlign w:val="bottom"/>
          </w:tcPr>
          <w:p w14:paraId="17849C64" w14:textId="77777777" w:rsidR="00980919" w:rsidRDefault="00980919" w:rsidP="001515D5">
            <w:r>
              <w:t>Entire County</w:t>
            </w:r>
          </w:p>
        </w:tc>
      </w:tr>
      <w:tr w:rsidR="00980919" w14:paraId="24FB76AA" w14:textId="77777777" w:rsidTr="001515D5">
        <w:tc>
          <w:tcPr>
            <w:tcW w:w="4675" w:type="dxa"/>
            <w:vAlign w:val="bottom"/>
          </w:tcPr>
          <w:p w14:paraId="5444EB13" w14:textId="77777777" w:rsidR="00980919" w:rsidRDefault="00980919" w:rsidP="001515D5">
            <w:r>
              <w:t>Spartanburg</w:t>
            </w:r>
          </w:p>
        </w:tc>
        <w:tc>
          <w:tcPr>
            <w:tcW w:w="4675" w:type="dxa"/>
            <w:vAlign w:val="bottom"/>
          </w:tcPr>
          <w:p w14:paraId="72FB1257" w14:textId="77777777" w:rsidR="00980919" w:rsidRDefault="00980919" w:rsidP="001515D5">
            <w:r>
              <w:t>Low Income Only</w:t>
            </w:r>
          </w:p>
        </w:tc>
      </w:tr>
      <w:tr w:rsidR="00980919" w14:paraId="1F37F7C5" w14:textId="77777777" w:rsidTr="001515D5">
        <w:tc>
          <w:tcPr>
            <w:tcW w:w="4675" w:type="dxa"/>
            <w:vAlign w:val="bottom"/>
          </w:tcPr>
          <w:p w14:paraId="5E04102D" w14:textId="77777777" w:rsidR="00980919" w:rsidRDefault="00980919" w:rsidP="001515D5">
            <w:r>
              <w:t>Sumter</w:t>
            </w:r>
          </w:p>
        </w:tc>
        <w:tc>
          <w:tcPr>
            <w:tcW w:w="4675" w:type="dxa"/>
            <w:vAlign w:val="bottom"/>
          </w:tcPr>
          <w:p w14:paraId="5CED85EF" w14:textId="77777777" w:rsidR="00980919" w:rsidRDefault="00980919" w:rsidP="001515D5">
            <w:r>
              <w:t>Entire County</w:t>
            </w:r>
          </w:p>
        </w:tc>
      </w:tr>
      <w:tr w:rsidR="00980919" w14:paraId="687FAB60" w14:textId="77777777" w:rsidTr="001515D5">
        <w:tc>
          <w:tcPr>
            <w:tcW w:w="4675" w:type="dxa"/>
            <w:vAlign w:val="bottom"/>
          </w:tcPr>
          <w:p w14:paraId="41290128" w14:textId="77777777" w:rsidR="00980919" w:rsidRDefault="00980919" w:rsidP="001515D5">
            <w:r>
              <w:lastRenderedPageBreak/>
              <w:t>Union</w:t>
            </w:r>
          </w:p>
        </w:tc>
        <w:tc>
          <w:tcPr>
            <w:tcW w:w="4675" w:type="dxa"/>
            <w:vAlign w:val="bottom"/>
          </w:tcPr>
          <w:p w14:paraId="5D1E2509" w14:textId="77777777" w:rsidR="00980919" w:rsidRDefault="00980919" w:rsidP="001515D5">
            <w:r>
              <w:t>Low Income Only</w:t>
            </w:r>
          </w:p>
        </w:tc>
      </w:tr>
      <w:tr w:rsidR="00980919" w14:paraId="6BDFB3D0" w14:textId="77777777" w:rsidTr="001515D5">
        <w:tc>
          <w:tcPr>
            <w:tcW w:w="4675" w:type="dxa"/>
            <w:vAlign w:val="bottom"/>
          </w:tcPr>
          <w:p w14:paraId="04DE6B4E" w14:textId="77777777" w:rsidR="00980919" w:rsidRDefault="00980919" w:rsidP="001515D5">
            <w:r>
              <w:t>Williamsburg</w:t>
            </w:r>
          </w:p>
        </w:tc>
        <w:tc>
          <w:tcPr>
            <w:tcW w:w="4675" w:type="dxa"/>
            <w:vAlign w:val="bottom"/>
          </w:tcPr>
          <w:p w14:paraId="63C73240" w14:textId="77777777" w:rsidR="00980919" w:rsidRDefault="00980919" w:rsidP="001515D5">
            <w:r>
              <w:t>Low Income Only</w:t>
            </w:r>
          </w:p>
        </w:tc>
      </w:tr>
      <w:tr w:rsidR="00980919" w14:paraId="4B099DF7" w14:textId="77777777" w:rsidTr="001515D5">
        <w:tc>
          <w:tcPr>
            <w:tcW w:w="4675" w:type="dxa"/>
            <w:vAlign w:val="bottom"/>
          </w:tcPr>
          <w:p w14:paraId="0002285B" w14:textId="77777777" w:rsidR="00980919" w:rsidRDefault="00980919" w:rsidP="001515D5">
            <w:r>
              <w:t>York</w:t>
            </w:r>
          </w:p>
        </w:tc>
        <w:tc>
          <w:tcPr>
            <w:tcW w:w="4675" w:type="dxa"/>
            <w:vAlign w:val="bottom"/>
          </w:tcPr>
          <w:p w14:paraId="6DD2CCD9" w14:textId="77777777" w:rsidR="00980919" w:rsidRDefault="00980919" w:rsidP="001515D5">
            <w:r>
              <w:t>No Designation</w:t>
            </w:r>
          </w:p>
        </w:tc>
      </w:tr>
    </w:tbl>
    <w:p w14:paraId="4AFDDB08" w14:textId="77777777" w:rsidR="00980919" w:rsidRPr="00E96508" w:rsidRDefault="00980919" w:rsidP="00980919">
      <w:r w:rsidRPr="00E96508">
        <w:t>Source: US Department of Health and Human Services, 2022.</w:t>
      </w:r>
    </w:p>
    <w:p w14:paraId="5CD5ED7B" w14:textId="77777777" w:rsidR="00F73294" w:rsidRDefault="00F73294" w:rsidP="00F73294"/>
    <w:p w14:paraId="755C3ED6" w14:textId="77777777" w:rsidR="00F73294" w:rsidRDefault="00F73294" w:rsidP="00F73294">
      <w:pPr>
        <w:pStyle w:val="Heading4"/>
      </w:pPr>
      <w:bookmarkStart w:id="332" w:name="_Toc162267213"/>
      <w:r w:rsidRPr="00F73294">
        <w:t>Data Interpretations:</w:t>
      </w:r>
      <w:bookmarkEnd w:id="332"/>
      <w:r w:rsidRPr="00F73294">
        <w:t xml:space="preserve"> </w:t>
      </w:r>
    </w:p>
    <w:p w14:paraId="4379196F" w14:textId="5B31D04A" w:rsidR="00F73294" w:rsidRDefault="00F73294" w:rsidP="00F73294">
      <w:r w:rsidRPr="00F73294">
        <w:t>All but five SC counties have some HPSA designation regarding primary health care availability (</w:t>
      </w:r>
      <w:r w:rsidRPr="00F73294">
        <w:rPr>
          <w:b/>
          <w:bCs/>
        </w:rPr>
        <w:t>Figure 6.34</w:t>
      </w:r>
      <w:r w:rsidRPr="00F73294">
        <w:t>). Thirty SC counties had a low-income primary care HPSA designation, meaning there was a shortage of physicians based in these counties focusing on the population living below the 200% Federal Poverty Level. All residents of 11 SC counties saw their county being a primary care HPSA, with most counties being in the Lowcountry and Pee Dee regions, representing 5.1% of the state’s population. Compared to primary care HPSA, there was an increase amongst counties that saw the entire population living in an area with a dental care HPSA (</w:t>
      </w:r>
      <w:r w:rsidRPr="00F73294">
        <w:rPr>
          <w:b/>
          <w:bCs/>
        </w:rPr>
        <w:t>Figure 6.35</w:t>
      </w:r>
      <w:r w:rsidRPr="00F73294">
        <w:t>). Seventeen counties had a dental care HPSA in the state, with an additional 24 counties having a dental care HPSA among low-income residents. Only five SC counties did not have any dental care HPSA. All but three SC counties had some form of mental-health HPSA designation (</w:t>
      </w:r>
      <w:r w:rsidRPr="00F73294">
        <w:rPr>
          <w:b/>
          <w:bCs/>
        </w:rPr>
        <w:t>Figure 6.36</w:t>
      </w:r>
      <w:r w:rsidRPr="00F73294">
        <w:t>). Nearly half of SC counties saw the entire county being a mental health care HPSA. The remaining counties were mental health HPSA for low-income populations.</w:t>
      </w:r>
    </w:p>
    <w:p w14:paraId="5F9AD455" w14:textId="77777777" w:rsidR="00F73294" w:rsidRDefault="00F73294" w:rsidP="00F73294"/>
    <w:p w14:paraId="7039B17F" w14:textId="17D19DAE" w:rsidR="00F73294" w:rsidRDefault="00F73294" w:rsidP="00F73294">
      <w:pPr>
        <w:pStyle w:val="Heading5"/>
      </w:pPr>
      <w:r>
        <w:t xml:space="preserve">Key Takeaways: </w:t>
      </w:r>
    </w:p>
    <w:p w14:paraId="6F9FA6F5" w14:textId="77777777" w:rsidR="00EA168E" w:rsidRDefault="00F73294" w:rsidP="00926EB3">
      <w:pPr>
        <w:pStyle w:val="ListParagraph"/>
        <w:numPr>
          <w:ilvl w:val="0"/>
          <w:numId w:val="217"/>
        </w:numPr>
      </w:pPr>
      <w:r w:rsidRPr="00F73294">
        <w:t xml:space="preserve">Most SC counties live in some form of an HPSA with mental health seeing the largest numbers. </w:t>
      </w:r>
    </w:p>
    <w:p w14:paraId="374FC9C8" w14:textId="08573AFE" w:rsidR="00EA168E" w:rsidRDefault="00F73294" w:rsidP="00926EB3">
      <w:pPr>
        <w:pStyle w:val="ListParagraph"/>
        <w:numPr>
          <w:ilvl w:val="0"/>
          <w:numId w:val="217"/>
        </w:numPr>
      </w:pPr>
      <w:r w:rsidRPr="00F73294">
        <w:t xml:space="preserve">HPSA is a complex issue as there are different distinctions for different healthcare providers. </w:t>
      </w:r>
    </w:p>
    <w:p w14:paraId="705B5317" w14:textId="5AD4F88B" w:rsidR="00F73294" w:rsidRPr="00F73294" w:rsidRDefault="00F73294" w:rsidP="00926EB3">
      <w:pPr>
        <w:pStyle w:val="ListParagraph"/>
        <w:numPr>
          <w:ilvl w:val="0"/>
          <w:numId w:val="217"/>
        </w:numPr>
      </w:pPr>
      <w:r w:rsidRPr="00F73294">
        <w:t>County and regional disparities are present for all HPSAs.</w:t>
      </w:r>
    </w:p>
    <w:p w14:paraId="4669769F" w14:textId="77777777" w:rsidR="00F73294" w:rsidRDefault="00F73294" w:rsidP="00F73294"/>
    <w:p w14:paraId="0852BC77" w14:textId="1E9A97DC" w:rsidR="00F73294" w:rsidRPr="00EA168E" w:rsidRDefault="00F73294" w:rsidP="00F73294">
      <w:pPr>
        <w:rPr>
          <w:rFonts w:cstheme="minorHAnsi"/>
        </w:rPr>
      </w:pPr>
      <w:bookmarkStart w:id="333" w:name="_Toc162267214"/>
      <w:r w:rsidRPr="00EA168E">
        <w:rPr>
          <w:rStyle w:val="Heading4Char"/>
          <w:rFonts w:asciiTheme="minorHAnsi" w:hAnsiTheme="minorHAnsi" w:cstheme="minorHAnsi"/>
          <w:color w:val="000000" w:themeColor="text1"/>
        </w:rPr>
        <w:t>References 6.1</w:t>
      </w:r>
      <w:r w:rsidR="00425D3B">
        <w:rPr>
          <w:rStyle w:val="Heading4Char"/>
          <w:rFonts w:asciiTheme="minorHAnsi" w:hAnsiTheme="minorHAnsi" w:cstheme="minorHAnsi"/>
          <w:color w:val="000000" w:themeColor="text1"/>
        </w:rPr>
        <w:t>4</w:t>
      </w:r>
      <w:bookmarkEnd w:id="333"/>
    </w:p>
    <w:p w14:paraId="6914E82F" w14:textId="784FD336" w:rsidR="00F73294" w:rsidRDefault="00F73294" w:rsidP="00F73294">
      <w:r w:rsidRPr="00722CE9">
        <w:t>Statistics in the preceding</w:t>
      </w:r>
      <w:r>
        <w:t xml:space="preserve"> section</w:t>
      </w:r>
      <w:r w:rsidRPr="00722CE9">
        <w:t xml:space="preserve"> were referenced from the following report</w:t>
      </w:r>
      <w:r>
        <w:t>s</w:t>
      </w:r>
      <w:r w:rsidRPr="00722CE9">
        <w:t>:</w:t>
      </w:r>
    </w:p>
    <w:p w14:paraId="44BEDD25" w14:textId="40A843F9" w:rsidR="00F73294" w:rsidRPr="00F73294" w:rsidRDefault="00000000" w:rsidP="00926EB3">
      <w:pPr>
        <w:pStyle w:val="ListParagraph"/>
        <w:numPr>
          <w:ilvl w:val="0"/>
          <w:numId w:val="27"/>
        </w:numPr>
      </w:pPr>
      <w:hyperlink r:id="rId165" w:history="1">
        <w:r w:rsidR="00F73294" w:rsidRPr="00F73294">
          <w:rPr>
            <w:rStyle w:val="Hyperlink"/>
          </w:rPr>
          <w:t>“What is shortage designation? What is Shortage Designation? Bureau of Health Workforce” by the Health Resources and Services Administration, 2022. Retrieved December 19, 2022.</w:t>
        </w:r>
      </w:hyperlink>
      <w:r w:rsidR="00F73294" w:rsidRPr="00F73294">
        <w:t xml:space="preserve"> </w:t>
      </w:r>
    </w:p>
    <w:p w14:paraId="69369F38" w14:textId="289FA0EF" w:rsidR="00F73294" w:rsidRPr="00F73294" w:rsidRDefault="00000000" w:rsidP="00926EB3">
      <w:pPr>
        <w:pStyle w:val="ListParagraph"/>
        <w:numPr>
          <w:ilvl w:val="0"/>
          <w:numId w:val="27"/>
        </w:numPr>
      </w:pPr>
      <w:hyperlink r:id="rId166" w:history="1">
        <w:r w:rsidR="00F73294" w:rsidRPr="00F73294">
          <w:rPr>
            <w:rStyle w:val="Hyperlink"/>
          </w:rPr>
          <w:t>“Primary Care Health Professional Shortage Areas (HPSAs)” by KFF. Published in State Health Facts, 2022. Retrieved December 19, 2022.</w:t>
        </w:r>
      </w:hyperlink>
      <w:r w:rsidR="00F73294" w:rsidRPr="00F73294">
        <w:t xml:space="preserve"> </w:t>
      </w:r>
    </w:p>
    <w:p w14:paraId="6F870BD2" w14:textId="019AEB94" w:rsidR="00F73294" w:rsidRPr="00F73294" w:rsidRDefault="00000000" w:rsidP="00926EB3">
      <w:pPr>
        <w:pStyle w:val="ListParagraph"/>
        <w:numPr>
          <w:ilvl w:val="0"/>
          <w:numId w:val="27"/>
        </w:numPr>
      </w:pPr>
      <w:hyperlink r:id="rId167" w:history="1">
        <w:r w:rsidR="00F73294" w:rsidRPr="00F73294">
          <w:rPr>
            <w:rStyle w:val="Hyperlink"/>
          </w:rPr>
          <w:t>“HPSA 101: HPSA acumen: Health professional shortage area. HPSA 101” by HPSA Acumen, 2018. Retrieved December 19, 2022.</w:t>
        </w:r>
      </w:hyperlink>
      <w:r w:rsidR="00F73294" w:rsidRPr="00F73294">
        <w:t xml:space="preserve"> </w:t>
      </w:r>
    </w:p>
    <w:p w14:paraId="056A56F7" w14:textId="77777777" w:rsidR="00F73294" w:rsidRDefault="00F73294" w:rsidP="00F73294"/>
    <w:p w14:paraId="312E4809" w14:textId="77777777" w:rsidR="00F73294" w:rsidRPr="00F73294" w:rsidRDefault="00F73294" w:rsidP="00F73294">
      <w:pPr>
        <w:pStyle w:val="Heading3"/>
      </w:pPr>
      <w:bookmarkStart w:id="334" w:name="_Toc162267215"/>
      <w:r w:rsidRPr="00F73294">
        <w:t>Primary Care Physicians</w:t>
      </w:r>
      <w:bookmarkEnd w:id="334"/>
    </w:p>
    <w:p w14:paraId="2446B50E" w14:textId="37380644" w:rsidR="00F73294" w:rsidRPr="00F73294" w:rsidRDefault="00F73294" w:rsidP="00F73294">
      <w:r w:rsidRPr="00F73294">
        <w:t xml:space="preserve">Primary care physicians are providers whose goal is to manage the day-to-day health needs of individuals. These physicians are tasked with diagnosing, </w:t>
      </w:r>
      <w:proofErr w:type="gramStart"/>
      <w:r w:rsidRPr="00F73294">
        <w:t>treating</w:t>
      </w:r>
      <w:proofErr w:type="gramEnd"/>
      <w:r w:rsidRPr="00F73294">
        <w:t xml:space="preserve"> and preventing a wide variety of conditions. It has been well documented that people with a primary care physician were more likely to fill more prescriptions, have routine preventive visits, receive more cancer </w:t>
      </w:r>
      <w:proofErr w:type="gramStart"/>
      <w:r w:rsidRPr="00F73294">
        <w:t>screenings</w:t>
      </w:r>
      <w:proofErr w:type="gramEnd"/>
      <w:r w:rsidRPr="00F73294">
        <w:t xml:space="preserve"> and spend less money on medical costs. These specially trained physicians can give complete care throughout a person’s life. Although primary care physicians are located throughout the nation, rural areas see disproportionately less. Nearly 20% of Americans live in rural areas, but only 10% of physicians practice in these areas. With SC being a highly rural state, it is imperative that all individuals have access to a primary care physician, ensuring a tailored health plan is developed aimed at reducing disease and increasing one’s quality of life. </w:t>
      </w:r>
    </w:p>
    <w:p w14:paraId="4C073B5E" w14:textId="77777777" w:rsidR="00F73294" w:rsidRDefault="00F73294" w:rsidP="00F73294"/>
    <w:p w14:paraId="493CA0BB" w14:textId="77777777" w:rsidR="00980919" w:rsidRDefault="00980919" w:rsidP="00980919">
      <w:pPr>
        <w:pStyle w:val="Heading4"/>
      </w:pPr>
      <w:bookmarkStart w:id="335" w:name="_Toc154569845"/>
      <w:bookmarkStart w:id="336" w:name="_Toc162267216"/>
      <w:r>
        <w:t>Figure 6.37: Primary Care Physicians, by County.</w:t>
      </w:r>
      <w:bookmarkEnd w:id="335"/>
      <w:bookmarkEnd w:id="336"/>
    </w:p>
    <w:p w14:paraId="35EF0F5C" w14:textId="77777777" w:rsidR="00980919" w:rsidRPr="002F08EB" w:rsidRDefault="00980919" w:rsidP="00980919">
      <w:pPr>
        <w:pStyle w:val="Heading5"/>
      </w:pPr>
      <w:r>
        <w:t>Rate per 10,000 population.</w:t>
      </w:r>
    </w:p>
    <w:tbl>
      <w:tblPr>
        <w:tblStyle w:val="TableGrid"/>
        <w:tblW w:w="0" w:type="auto"/>
        <w:tblLook w:val="04A0" w:firstRow="1" w:lastRow="0" w:firstColumn="1" w:lastColumn="0" w:noHBand="0" w:noVBand="1"/>
      </w:tblPr>
      <w:tblGrid>
        <w:gridCol w:w="4675"/>
        <w:gridCol w:w="4675"/>
      </w:tblGrid>
      <w:tr w:rsidR="00980919" w14:paraId="61DE14A4" w14:textId="77777777" w:rsidTr="001515D5">
        <w:tc>
          <w:tcPr>
            <w:tcW w:w="4675" w:type="dxa"/>
            <w:vAlign w:val="bottom"/>
          </w:tcPr>
          <w:p w14:paraId="2F2D05B4" w14:textId="77777777" w:rsidR="00980919" w:rsidRDefault="00980919" w:rsidP="001515D5">
            <w:r>
              <w:t>County</w:t>
            </w:r>
          </w:p>
        </w:tc>
        <w:tc>
          <w:tcPr>
            <w:tcW w:w="4675" w:type="dxa"/>
            <w:vAlign w:val="bottom"/>
          </w:tcPr>
          <w:p w14:paraId="6D409697" w14:textId="1FE35A06" w:rsidR="00980919" w:rsidRDefault="00980919" w:rsidP="001515D5">
            <w:r>
              <w:t>Rate</w:t>
            </w:r>
          </w:p>
        </w:tc>
      </w:tr>
      <w:tr w:rsidR="00980919" w14:paraId="4AB502B5" w14:textId="77777777" w:rsidTr="001515D5">
        <w:tc>
          <w:tcPr>
            <w:tcW w:w="4675" w:type="dxa"/>
            <w:vAlign w:val="bottom"/>
          </w:tcPr>
          <w:p w14:paraId="1FCAC61A" w14:textId="77777777" w:rsidR="00980919" w:rsidRDefault="00980919" w:rsidP="001515D5">
            <w:r>
              <w:t>Abbeville</w:t>
            </w:r>
          </w:p>
        </w:tc>
        <w:tc>
          <w:tcPr>
            <w:tcW w:w="4675" w:type="dxa"/>
            <w:vAlign w:val="bottom"/>
          </w:tcPr>
          <w:p w14:paraId="411E83D9" w14:textId="77777777" w:rsidR="00980919" w:rsidRDefault="00980919" w:rsidP="001515D5">
            <w:r>
              <w:t>4.5</w:t>
            </w:r>
          </w:p>
        </w:tc>
      </w:tr>
      <w:tr w:rsidR="00980919" w14:paraId="7646EB3D" w14:textId="77777777" w:rsidTr="001515D5">
        <w:tc>
          <w:tcPr>
            <w:tcW w:w="4675" w:type="dxa"/>
            <w:vAlign w:val="bottom"/>
          </w:tcPr>
          <w:p w14:paraId="1D35C2A8" w14:textId="77777777" w:rsidR="00980919" w:rsidRDefault="00980919" w:rsidP="001515D5">
            <w:r>
              <w:t>Aiken</w:t>
            </w:r>
          </w:p>
        </w:tc>
        <w:tc>
          <w:tcPr>
            <w:tcW w:w="4675" w:type="dxa"/>
            <w:vAlign w:val="bottom"/>
          </w:tcPr>
          <w:p w14:paraId="327965E6" w14:textId="77777777" w:rsidR="00980919" w:rsidRDefault="00980919" w:rsidP="001515D5">
            <w:r>
              <w:t>8.5</w:t>
            </w:r>
          </w:p>
        </w:tc>
      </w:tr>
      <w:tr w:rsidR="00980919" w14:paraId="599440CA" w14:textId="77777777" w:rsidTr="001515D5">
        <w:tc>
          <w:tcPr>
            <w:tcW w:w="4675" w:type="dxa"/>
            <w:vAlign w:val="bottom"/>
          </w:tcPr>
          <w:p w14:paraId="19BB7654" w14:textId="77777777" w:rsidR="00980919" w:rsidRDefault="00980919" w:rsidP="001515D5">
            <w:r>
              <w:t>Allendale</w:t>
            </w:r>
          </w:p>
        </w:tc>
        <w:tc>
          <w:tcPr>
            <w:tcW w:w="4675" w:type="dxa"/>
            <w:vAlign w:val="bottom"/>
          </w:tcPr>
          <w:p w14:paraId="47B72F09" w14:textId="77777777" w:rsidR="00980919" w:rsidRDefault="00980919" w:rsidP="001515D5">
            <w:r>
              <w:t>6.9</w:t>
            </w:r>
          </w:p>
        </w:tc>
      </w:tr>
      <w:tr w:rsidR="00980919" w14:paraId="1BC23BC1" w14:textId="77777777" w:rsidTr="001515D5">
        <w:tc>
          <w:tcPr>
            <w:tcW w:w="4675" w:type="dxa"/>
            <w:vAlign w:val="bottom"/>
          </w:tcPr>
          <w:p w14:paraId="27865B07" w14:textId="77777777" w:rsidR="00980919" w:rsidRDefault="00980919" w:rsidP="001515D5">
            <w:r>
              <w:t>Anderson</w:t>
            </w:r>
          </w:p>
        </w:tc>
        <w:tc>
          <w:tcPr>
            <w:tcW w:w="4675" w:type="dxa"/>
            <w:vAlign w:val="bottom"/>
          </w:tcPr>
          <w:p w14:paraId="685EE69E" w14:textId="77777777" w:rsidR="00980919" w:rsidRDefault="00980919" w:rsidP="001515D5">
            <w:r>
              <w:t>9.5</w:t>
            </w:r>
          </w:p>
        </w:tc>
      </w:tr>
      <w:tr w:rsidR="00980919" w14:paraId="7E0F5603" w14:textId="77777777" w:rsidTr="001515D5">
        <w:tc>
          <w:tcPr>
            <w:tcW w:w="4675" w:type="dxa"/>
            <w:vAlign w:val="bottom"/>
          </w:tcPr>
          <w:p w14:paraId="057B145D" w14:textId="77777777" w:rsidR="00980919" w:rsidRDefault="00980919" w:rsidP="001515D5">
            <w:r>
              <w:t>Bamberg</w:t>
            </w:r>
          </w:p>
        </w:tc>
        <w:tc>
          <w:tcPr>
            <w:tcW w:w="4675" w:type="dxa"/>
            <w:vAlign w:val="bottom"/>
          </w:tcPr>
          <w:p w14:paraId="5DC8DE91" w14:textId="77777777" w:rsidR="00980919" w:rsidRDefault="00980919" w:rsidP="001515D5">
            <w:r>
              <w:t>3.6</w:t>
            </w:r>
          </w:p>
        </w:tc>
      </w:tr>
      <w:tr w:rsidR="00980919" w14:paraId="57665A77" w14:textId="77777777" w:rsidTr="001515D5">
        <w:tc>
          <w:tcPr>
            <w:tcW w:w="4675" w:type="dxa"/>
            <w:vAlign w:val="bottom"/>
          </w:tcPr>
          <w:p w14:paraId="2D639C2A" w14:textId="77777777" w:rsidR="00980919" w:rsidRDefault="00980919" w:rsidP="001515D5">
            <w:r>
              <w:t>Barnwell</w:t>
            </w:r>
          </w:p>
        </w:tc>
        <w:tc>
          <w:tcPr>
            <w:tcW w:w="4675" w:type="dxa"/>
            <w:vAlign w:val="bottom"/>
          </w:tcPr>
          <w:p w14:paraId="616AC076" w14:textId="77777777" w:rsidR="00980919" w:rsidRDefault="00980919" w:rsidP="001515D5">
            <w:r>
              <w:t>3.4</w:t>
            </w:r>
          </w:p>
        </w:tc>
      </w:tr>
      <w:tr w:rsidR="00980919" w14:paraId="6ACF4F30" w14:textId="77777777" w:rsidTr="001515D5">
        <w:tc>
          <w:tcPr>
            <w:tcW w:w="4675" w:type="dxa"/>
            <w:vAlign w:val="bottom"/>
          </w:tcPr>
          <w:p w14:paraId="0CA95AC7" w14:textId="77777777" w:rsidR="00980919" w:rsidRDefault="00980919" w:rsidP="001515D5">
            <w:r>
              <w:t>Beaufort</w:t>
            </w:r>
          </w:p>
        </w:tc>
        <w:tc>
          <w:tcPr>
            <w:tcW w:w="4675" w:type="dxa"/>
            <w:vAlign w:val="bottom"/>
          </w:tcPr>
          <w:p w14:paraId="580C4C13" w14:textId="77777777" w:rsidR="00980919" w:rsidRDefault="00980919" w:rsidP="001515D5">
            <w:r>
              <w:t>8.2</w:t>
            </w:r>
          </w:p>
        </w:tc>
      </w:tr>
      <w:tr w:rsidR="00980919" w14:paraId="44221687" w14:textId="77777777" w:rsidTr="001515D5">
        <w:tc>
          <w:tcPr>
            <w:tcW w:w="4675" w:type="dxa"/>
            <w:vAlign w:val="bottom"/>
          </w:tcPr>
          <w:p w14:paraId="2E1DDFEC" w14:textId="77777777" w:rsidR="00980919" w:rsidRDefault="00980919" w:rsidP="001515D5">
            <w:r>
              <w:t>Berkeley</w:t>
            </w:r>
          </w:p>
        </w:tc>
        <w:tc>
          <w:tcPr>
            <w:tcW w:w="4675" w:type="dxa"/>
            <w:vAlign w:val="bottom"/>
          </w:tcPr>
          <w:p w14:paraId="4B242166" w14:textId="77777777" w:rsidR="00980919" w:rsidRDefault="00980919" w:rsidP="001515D5">
            <w:r>
              <w:t>1.7</w:t>
            </w:r>
          </w:p>
        </w:tc>
      </w:tr>
      <w:tr w:rsidR="00980919" w14:paraId="3D3E99BA" w14:textId="77777777" w:rsidTr="001515D5">
        <w:tc>
          <w:tcPr>
            <w:tcW w:w="4675" w:type="dxa"/>
            <w:vAlign w:val="bottom"/>
          </w:tcPr>
          <w:p w14:paraId="6AC71607" w14:textId="77777777" w:rsidR="00980919" w:rsidRDefault="00980919" w:rsidP="001515D5">
            <w:r>
              <w:t>Calhoun</w:t>
            </w:r>
          </w:p>
        </w:tc>
        <w:tc>
          <w:tcPr>
            <w:tcW w:w="4675" w:type="dxa"/>
            <w:vAlign w:val="bottom"/>
          </w:tcPr>
          <w:p w14:paraId="72A4F457" w14:textId="77777777" w:rsidR="00980919" w:rsidRDefault="00980919" w:rsidP="001515D5">
            <w:r>
              <w:t>0.7</w:t>
            </w:r>
          </w:p>
        </w:tc>
      </w:tr>
      <w:tr w:rsidR="00980919" w14:paraId="702FCC31" w14:textId="77777777" w:rsidTr="001515D5">
        <w:tc>
          <w:tcPr>
            <w:tcW w:w="4675" w:type="dxa"/>
            <w:vAlign w:val="bottom"/>
          </w:tcPr>
          <w:p w14:paraId="259C529B" w14:textId="77777777" w:rsidR="00980919" w:rsidRDefault="00980919" w:rsidP="001515D5">
            <w:r>
              <w:t>Charleston</w:t>
            </w:r>
          </w:p>
        </w:tc>
        <w:tc>
          <w:tcPr>
            <w:tcW w:w="4675" w:type="dxa"/>
            <w:vAlign w:val="bottom"/>
          </w:tcPr>
          <w:p w14:paraId="7919DC92" w14:textId="77777777" w:rsidR="00980919" w:rsidRDefault="00980919" w:rsidP="001515D5">
            <w:r>
              <w:t>22.4</w:t>
            </w:r>
          </w:p>
        </w:tc>
      </w:tr>
      <w:tr w:rsidR="00980919" w14:paraId="31AB94CF" w14:textId="77777777" w:rsidTr="001515D5">
        <w:tc>
          <w:tcPr>
            <w:tcW w:w="4675" w:type="dxa"/>
            <w:vAlign w:val="bottom"/>
          </w:tcPr>
          <w:p w14:paraId="74B95714" w14:textId="77777777" w:rsidR="00980919" w:rsidRDefault="00980919" w:rsidP="001515D5">
            <w:r>
              <w:t>Cherokee</w:t>
            </w:r>
          </w:p>
        </w:tc>
        <w:tc>
          <w:tcPr>
            <w:tcW w:w="4675" w:type="dxa"/>
            <w:vAlign w:val="bottom"/>
          </w:tcPr>
          <w:p w14:paraId="054E8E09" w14:textId="77777777" w:rsidR="00980919" w:rsidRDefault="00980919" w:rsidP="001515D5">
            <w:r>
              <w:t>5.1</w:t>
            </w:r>
          </w:p>
        </w:tc>
      </w:tr>
      <w:tr w:rsidR="00980919" w14:paraId="17A75B9E" w14:textId="77777777" w:rsidTr="001515D5">
        <w:tc>
          <w:tcPr>
            <w:tcW w:w="4675" w:type="dxa"/>
            <w:vAlign w:val="bottom"/>
          </w:tcPr>
          <w:p w14:paraId="1E78A31E" w14:textId="77777777" w:rsidR="00980919" w:rsidRDefault="00980919" w:rsidP="001515D5">
            <w:r>
              <w:t>Chester</w:t>
            </w:r>
          </w:p>
        </w:tc>
        <w:tc>
          <w:tcPr>
            <w:tcW w:w="4675" w:type="dxa"/>
            <w:vAlign w:val="bottom"/>
          </w:tcPr>
          <w:p w14:paraId="1516682E" w14:textId="77777777" w:rsidR="00980919" w:rsidRDefault="00980919" w:rsidP="001515D5">
            <w:r>
              <w:t>2.2</w:t>
            </w:r>
          </w:p>
        </w:tc>
      </w:tr>
      <w:tr w:rsidR="00980919" w14:paraId="4DF8802B" w14:textId="77777777" w:rsidTr="001515D5">
        <w:tc>
          <w:tcPr>
            <w:tcW w:w="4675" w:type="dxa"/>
            <w:vAlign w:val="bottom"/>
          </w:tcPr>
          <w:p w14:paraId="0A728B00" w14:textId="77777777" w:rsidR="00980919" w:rsidRDefault="00980919" w:rsidP="001515D5">
            <w:r>
              <w:t>Chesterfield</w:t>
            </w:r>
          </w:p>
        </w:tc>
        <w:tc>
          <w:tcPr>
            <w:tcW w:w="4675" w:type="dxa"/>
            <w:vAlign w:val="bottom"/>
          </w:tcPr>
          <w:p w14:paraId="674B473B" w14:textId="77777777" w:rsidR="00980919" w:rsidRDefault="00980919" w:rsidP="001515D5">
            <w:r>
              <w:t>3.7</w:t>
            </w:r>
          </w:p>
        </w:tc>
      </w:tr>
      <w:tr w:rsidR="00980919" w14:paraId="5E50A382" w14:textId="77777777" w:rsidTr="001515D5">
        <w:tc>
          <w:tcPr>
            <w:tcW w:w="4675" w:type="dxa"/>
            <w:vAlign w:val="bottom"/>
          </w:tcPr>
          <w:p w14:paraId="5159D460" w14:textId="77777777" w:rsidR="00980919" w:rsidRDefault="00980919" w:rsidP="001515D5">
            <w:r>
              <w:t>Clarendon</w:t>
            </w:r>
          </w:p>
        </w:tc>
        <w:tc>
          <w:tcPr>
            <w:tcW w:w="4675" w:type="dxa"/>
            <w:vAlign w:val="bottom"/>
          </w:tcPr>
          <w:p w14:paraId="7E355025" w14:textId="77777777" w:rsidR="00980919" w:rsidRDefault="00980919" w:rsidP="001515D5">
            <w:r>
              <w:t>5.3</w:t>
            </w:r>
          </w:p>
        </w:tc>
      </w:tr>
      <w:tr w:rsidR="00980919" w14:paraId="06A5131E" w14:textId="77777777" w:rsidTr="001515D5">
        <w:tc>
          <w:tcPr>
            <w:tcW w:w="4675" w:type="dxa"/>
            <w:vAlign w:val="bottom"/>
          </w:tcPr>
          <w:p w14:paraId="569DAD08" w14:textId="77777777" w:rsidR="00980919" w:rsidRDefault="00980919" w:rsidP="001515D5">
            <w:r>
              <w:t>Colleton</w:t>
            </w:r>
          </w:p>
        </w:tc>
        <w:tc>
          <w:tcPr>
            <w:tcW w:w="4675" w:type="dxa"/>
            <w:vAlign w:val="bottom"/>
          </w:tcPr>
          <w:p w14:paraId="7A0400F1" w14:textId="77777777" w:rsidR="00980919" w:rsidRDefault="00980919" w:rsidP="001515D5">
            <w:r>
              <w:t>6.1</w:t>
            </w:r>
          </w:p>
        </w:tc>
      </w:tr>
      <w:tr w:rsidR="00980919" w14:paraId="22AA8578" w14:textId="77777777" w:rsidTr="001515D5">
        <w:tc>
          <w:tcPr>
            <w:tcW w:w="4675" w:type="dxa"/>
            <w:vAlign w:val="bottom"/>
          </w:tcPr>
          <w:p w14:paraId="05DB193A" w14:textId="77777777" w:rsidR="00980919" w:rsidRDefault="00980919" w:rsidP="001515D5">
            <w:r>
              <w:t>Darlington</w:t>
            </w:r>
          </w:p>
        </w:tc>
        <w:tc>
          <w:tcPr>
            <w:tcW w:w="4675" w:type="dxa"/>
            <w:vAlign w:val="bottom"/>
          </w:tcPr>
          <w:p w14:paraId="416389CE" w14:textId="77777777" w:rsidR="00980919" w:rsidRDefault="00980919" w:rsidP="001515D5">
            <w:r>
              <w:t>6.6</w:t>
            </w:r>
          </w:p>
        </w:tc>
      </w:tr>
      <w:tr w:rsidR="00980919" w14:paraId="3E486D12" w14:textId="77777777" w:rsidTr="001515D5">
        <w:tc>
          <w:tcPr>
            <w:tcW w:w="4675" w:type="dxa"/>
            <w:vAlign w:val="bottom"/>
          </w:tcPr>
          <w:p w14:paraId="02CF1A13" w14:textId="77777777" w:rsidR="00980919" w:rsidRDefault="00980919" w:rsidP="001515D5">
            <w:r>
              <w:t>Dillon</w:t>
            </w:r>
          </w:p>
        </w:tc>
        <w:tc>
          <w:tcPr>
            <w:tcW w:w="4675" w:type="dxa"/>
            <w:vAlign w:val="bottom"/>
          </w:tcPr>
          <w:p w14:paraId="5E27F755" w14:textId="77777777" w:rsidR="00980919" w:rsidRDefault="00980919" w:rsidP="001515D5">
            <w:r>
              <w:t>6.2</w:t>
            </w:r>
          </w:p>
        </w:tc>
      </w:tr>
      <w:tr w:rsidR="00980919" w14:paraId="7A55EAB5" w14:textId="77777777" w:rsidTr="001515D5">
        <w:tc>
          <w:tcPr>
            <w:tcW w:w="4675" w:type="dxa"/>
            <w:vAlign w:val="bottom"/>
          </w:tcPr>
          <w:p w14:paraId="7B8D1950" w14:textId="77777777" w:rsidR="00980919" w:rsidRDefault="00980919" w:rsidP="001515D5">
            <w:r>
              <w:t>Dorchester</w:t>
            </w:r>
          </w:p>
        </w:tc>
        <w:tc>
          <w:tcPr>
            <w:tcW w:w="4675" w:type="dxa"/>
            <w:vAlign w:val="bottom"/>
          </w:tcPr>
          <w:p w14:paraId="6F1100BB" w14:textId="77777777" w:rsidR="00980919" w:rsidRDefault="00980919" w:rsidP="001515D5">
            <w:r>
              <w:t>5.5</w:t>
            </w:r>
          </w:p>
        </w:tc>
      </w:tr>
      <w:tr w:rsidR="00980919" w14:paraId="58AE51D5" w14:textId="77777777" w:rsidTr="001515D5">
        <w:tc>
          <w:tcPr>
            <w:tcW w:w="4675" w:type="dxa"/>
            <w:vAlign w:val="bottom"/>
          </w:tcPr>
          <w:p w14:paraId="4D1A2DCB" w14:textId="77777777" w:rsidR="00980919" w:rsidRDefault="00980919" w:rsidP="001515D5">
            <w:r>
              <w:lastRenderedPageBreak/>
              <w:t>Edgefield</w:t>
            </w:r>
          </w:p>
        </w:tc>
        <w:tc>
          <w:tcPr>
            <w:tcW w:w="4675" w:type="dxa"/>
            <w:vAlign w:val="bottom"/>
          </w:tcPr>
          <w:p w14:paraId="005BB152" w14:textId="77777777" w:rsidR="00980919" w:rsidRDefault="00980919" w:rsidP="001515D5">
            <w:r>
              <w:t>2.2</w:t>
            </w:r>
          </w:p>
        </w:tc>
      </w:tr>
      <w:tr w:rsidR="00980919" w14:paraId="70E95A93" w14:textId="77777777" w:rsidTr="001515D5">
        <w:tc>
          <w:tcPr>
            <w:tcW w:w="4675" w:type="dxa"/>
            <w:vAlign w:val="bottom"/>
          </w:tcPr>
          <w:p w14:paraId="32863751" w14:textId="77777777" w:rsidR="00980919" w:rsidRDefault="00980919" w:rsidP="001515D5">
            <w:r>
              <w:t>Fairfield</w:t>
            </w:r>
          </w:p>
        </w:tc>
        <w:tc>
          <w:tcPr>
            <w:tcW w:w="4675" w:type="dxa"/>
            <w:vAlign w:val="bottom"/>
          </w:tcPr>
          <w:p w14:paraId="6204E59B" w14:textId="77777777" w:rsidR="00980919" w:rsidRDefault="00980919" w:rsidP="001515D5">
            <w:r>
              <w:t>3.6</w:t>
            </w:r>
          </w:p>
        </w:tc>
      </w:tr>
      <w:tr w:rsidR="00980919" w14:paraId="3E54DF55" w14:textId="77777777" w:rsidTr="001515D5">
        <w:tc>
          <w:tcPr>
            <w:tcW w:w="4675" w:type="dxa"/>
            <w:vAlign w:val="bottom"/>
          </w:tcPr>
          <w:p w14:paraId="4344AF7D" w14:textId="77777777" w:rsidR="00980919" w:rsidRDefault="00980919" w:rsidP="001515D5">
            <w:r>
              <w:t>Florence</w:t>
            </w:r>
          </w:p>
        </w:tc>
        <w:tc>
          <w:tcPr>
            <w:tcW w:w="4675" w:type="dxa"/>
            <w:vAlign w:val="bottom"/>
          </w:tcPr>
          <w:p w14:paraId="3D0D3271" w14:textId="77777777" w:rsidR="00980919" w:rsidRDefault="00980919" w:rsidP="001515D5">
            <w:r>
              <w:t>13.4</w:t>
            </w:r>
          </w:p>
        </w:tc>
      </w:tr>
      <w:tr w:rsidR="00980919" w14:paraId="70B65521" w14:textId="77777777" w:rsidTr="001515D5">
        <w:tc>
          <w:tcPr>
            <w:tcW w:w="4675" w:type="dxa"/>
            <w:vAlign w:val="bottom"/>
          </w:tcPr>
          <w:p w14:paraId="5908A841" w14:textId="77777777" w:rsidR="00980919" w:rsidRDefault="00980919" w:rsidP="001515D5">
            <w:r>
              <w:t>Georgetown</w:t>
            </w:r>
          </w:p>
        </w:tc>
        <w:tc>
          <w:tcPr>
            <w:tcW w:w="4675" w:type="dxa"/>
            <w:vAlign w:val="bottom"/>
          </w:tcPr>
          <w:p w14:paraId="3C2BA06D" w14:textId="77777777" w:rsidR="00980919" w:rsidRDefault="00980919" w:rsidP="001515D5">
            <w:r>
              <w:t>12.8</w:t>
            </w:r>
          </w:p>
        </w:tc>
      </w:tr>
      <w:tr w:rsidR="00980919" w14:paraId="2BC41833" w14:textId="77777777" w:rsidTr="001515D5">
        <w:tc>
          <w:tcPr>
            <w:tcW w:w="4675" w:type="dxa"/>
            <w:vAlign w:val="bottom"/>
          </w:tcPr>
          <w:p w14:paraId="1DECC388" w14:textId="77777777" w:rsidR="00980919" w:rsidRDefault="00980919" w:rsidP="001515D5">
            <w:r>
              <w:t>Greenville</w:t>
            </w:r>
          </w:p>
        </w:tc>
        <w:tc>
          <w:tcPr>
            <w:tcW w:w="4675" w:type="dxa"/>
            <w:vAlign w:val="bottom"/>
          </w:tcPr>
          <w:p w14:paraId="1F160B81" w14:textId="77777777" w:rsidR="00980919" w:rsidRDefault="00980919" w:rsidP="001515D5">
            <w:r>
              <w:t>15.7</w:t>
            </w:r>
          </w:p>
        </w:tc>
      </w:tr>
      <w:tr w:rsidR="00980919" w14:paraId="5D84D5EC" w14:textId="77777777" w:rsidTr="001515D5">
        <w:tc>
          <w:tcPr>
            <w:tcW w:w="4675" w:type="dxa"/>
            <w:vAlign w:val="bottom"/>
          </w:tcPr>
          <w:p w14:paraId="1CE1292E" w14:textId="77777777" w:rsidR="00980919" w:rsidRDefault="00980919" w:rsidP="001515D5">
            <w:r>
              <w:t>Greenwood</w:t>
            </w:r>
          </w:p>
        </w:tc>
        <w:tc>
          <w:tcPr>
            <w:tcW w:w="4675" w:type="dxa"/>
            <w:vAlign w:val="bottom"/>
          </w:tcPr>
          <w:p w14:paraId="04F59C96" w14:textId="77777777" w:rsidR="00980919" w:rsidRDefault="00980919" w:rsidP="001515D5">
            <w:r>
              <w:t>18.1</w:t>
            </w:r>
          </w:p>
        </w:tc>
      </w:tr>
      <w:tr w:rsidR="00980919" w14:paraId="095E5280" w14:textId="77777777" w:rsidTr="001515D5">
        <w:tc>
          <w:tcPr>
            <w:tcW w:w="4675" w:type="dxa"/>
            <w:vAlign w:val="bottom"/>
          </w:tcPr>
          <w:p w14:paraId="4C0F97C0" w14:textId="77777777" w:rsidR="00980919" w:rsidRDefault="00980919" w:rsidP="001515D5">
            <w:r>
              <w:t>Hampton</w:t>
            </w:r>
          </w:p>
        </w:tc>
        <w:tc>
          <w:tcPr>
            <w:tcW w:w="4675" w:type="dxa"/>
            <w:vAlign w:val="bottom"/>
          </w:tcPr>
          <w:p w14:paraId="0D3D7280" w14:textId="77777777" w:rsidR="00980919" w:rsidRDefault="00980919" w:rsidP="001515D5">
            <w:r>
              <w:t>4.2</w:t>
            </w:r>
          </w:p>
        </w:tc>
      </w:tr>
      <w:tr w:rsidR="00980919" w14:paraId="265D4921" w14:textId="77777777" w:rsidTr="001515D5">
        <w:tc>
          <w:tcPr>
            <w:tcW w:w="4675" w:type="dxa"/>
            <w:vAlign w:val="bottom"/>
          </w:tcPr>
          <w:p w14:paraId="028F9C3F" w14:textId="77777777" w:rsidR="00980919" w:rsidRDefault="00980919" w:rsidP="001515D5">
            <w:r>
              <w:t>Horry</w:t>
            </w:r>
          </w:p>
        </w:tc>
        <w:tc>
          <w:tcPr>
            <w:tcW w:w="4675" w:type="dxa"/>
            <w:vAlign w:val="bottom"/>
          </w:tcPr>
          <w:p w14:paraId="5A69C2A6" w14:textId="77777777" w:rsidR="00980919" w:rsidRDefault="00980919" w:rsidP="001515D5">
            <w:r>
              <w:t>9.4</w:t>
            </w:r>
          </w:p>
        </w:tc>
      </w:tr>
      <w:tr w:rsidR="00980919" w14:paraId="7723DD87" w14:textId="77777777" w:rsidTr="001515D5">
        <w:tc>
          <w:tcPr>
            <w:tcW w:w="4675" w:type="dxa"/>
            <w:vAlign w:val="bottom"/>
          </w:tcPr>
          <w:p w14:paraId="63CB33E7" w14:textId="77777777" w:rsidR="00980919" w:rsidRDefault="00980919" w:rsidP="001515D5">
            <w:r>
              <w:t>Jasper</w:t>
            </w:r>
          </w:p>
        </w:tc>
        <w:tc>
          <w:tcPr>
            <w:tcW w:w="4675" w:type="dxa"/>
            <w:vAlign w:val="bottom"/>
          </w:tcPr>
          <w:p w14:paraId="0593189C" w14:textId="77777777" w:rsidR="00980919" w:rsidRDefault="00980919" w:rsidP="001515D5">
            <w:r>
              <w:t>3</w:t>
            </w:r>
          </w:p>
        </w:tc>
      </w:tr>
      <w:tr w:rsidR="00980919" w14:paraId="29D89763" w14:textId="77777777" w:rsidTr="001515D5">
        <w:tc>
          <w:tcPr>
            <w:tcW w:w="4675" w:type="dxa"/>
            <w:vAlign w:val="bottom"/>
          </w:tcPr>
          <w:p w14:paraId="35F68179" w14:textId="77777777" w:rsidR="00980919" w:rsidRDefault="00980919" w:rsidP="001515D5">
            <w:r>
              <w:t>Kershaw</w:t>
            </w:r>
          </w:p>
        </w:tc>
        <w:tc>
          <w:tcPr>
            <w:tcW w:w="4675" w:type="dxa"/>
            <w:vAlign w:val="bottom"/>
          </w:tcPr>
          <w:p w14:paraId="4CD1DB58" w14:textId="77777777" w:rsidR="00980919" w:rsidRDefault="00980919" w:rsidP="001515D5">
            <w:r>
              <w:t>5.1</w:t>
            </w:r>
          </w:p>
        </w:tc>
      </w:tr>
      <w:tr w:rsidR="00980919" w14:paraId="46BCFBCA" w14:textId="77777777" w:rsidTr="001515D5">
        <w:tc>
          <w:tcPr>
            <w:tcW w:w="4675" w:type="dxa"/>
            <w:vAlign w:val="bottom"/>
          </w:tcPr>
          <w:p w14:paraId="75347153" w14:textId="77777777" w:rsidR="00980919" w:rsidRDefault="00980919" w:rsidP="001515D5">
            <w:r>
              <w:t>Lancaster</w:t>
            </w:r>
          </w:p>
        </w:tc>
        <w:tc>
          <w:tcPr>
            <w:tcW w:w="4675" w:type="dxa"/>
            <w:vAlign w:val="bottom"/>
          </w:tcPr>
          <w:p w14:paraId="77EC7E7A" w14:textId="77777777" w:rsidR="00980919" w:rsidRDefault="00980919" w:rsidP="001515D5">
            <w:r>
              <w:t>4.4</w:t>
            </w:r>
          </w:p>
        </w:tc>
      </w:tr>
      <w:tr w:rsidR="00980919" w14:paraId="61694B6A" w14:textId="77777777" w:rsidTr="001515D5">
        <w:tc>
          <w:tcPr>
            <w:tcW w:w="4675" w:type="dxa"/>
            <w:vAlign w:val="bottom"/>
          </w:tcPr>
          <w:p w14:paraId="5B145CC2" w14:textId="77777777" w:rsidR="00980919" w:rsidRDefault="00980919" w:rsidP="001515D5">
            <w:r>
              <w:t>Laurens</w:t>
            </w:r>
          </w:p>
        </w:tc>
        <w:tc>
          <w:tcPr>
            <w:tcW w:w="4675" w:type="dxa"/>
            <w:vAlign w:val="bottom"/>
          </w:tcPr>
          <w:p w14:paraId="3737594A" w14:textId="77777777" w:rsidR="00980919" w:rsidRDefault="00980919" w:rsidP="001515D5">
            <w:r>
              <w:t>5.3</w:t>
            </w:r>
          </w:p>
        </w:tc>
      </w:tr>
      <w:tr w:rsidR="00980919" w14:paraId="19D6EFA0" w14:textId="77777777" w:rsidTr="001515D5">
        <w:tc>
          <w:tcPr>
            <w:tcW w:w="4675" w:type="dxa"/>
            <w:vAlign w:val="bottom"/>
          </w:tcPr>
          <w:p w14:paraId="1F7F120D" w14:textId="77777777" w:rsidR="00980919" w:rsidRDefault="00980919" w:rsidP="001515D5">
            <w:r>
              <w:t>Lee</w:t>
            </w:r>
          </w:p>
        </w:tc>
        <w:tc>
          <w:tcPr>
            <w:tcW w:w="4675" w:type="dxa"/>
            <w:vAlign w:val="bottom"/>
          </w:tcPr>
          <w:p w14:paraId="68E44FD1" w14:textId="77777777" w:rsidR="00980919" w:rsidRDefault="00980919" w:rsidP="001515D5">
            <w:r>
              <w:t>2.4</w:t>
            </w:r>
          </w:p>
        </w:tc>
      </w:tr>
      <w:tr w:rsidR="00980919" w14:paraId="6707330C" w14:textId="77777777" w:rsidTr="001515D5">
        <w:tc>
          <w:tcPr>
            <w:tcW w:w="4675" w:type="dxa"/>
            <w:vAlign w:val="bottom"/>
          </w:tcPr>
          <w:p w14:paraId="65B399C6" w14:textId="77777777" w:rsidR="00980919" w:rsidRDefault="00980919" w:rsidP="001515D5">
            <w:r>
              <w:t>Lexington</w:t>
            </w:r>
          </w:p>
        </w:tc>
        <w:tc>
          <w:tcPr>
            <w:tcW w:w="4675" w:type="dxa"/>
            <w:vAlign w:val="bottom"/>
          </w:tcPr>
          <w:p w14:paraId="361F3A2A" w14:textId="77777777" w:rsidR="00980919" w:rsidRDefault="00980919" w:rsidP="001515D5">
            <w:r>
              <w:t>8.1</w:t>
            </w:r>
          </w:p>
        </w:tc>
      </w:tr>
      <w:tr w:rsidR="00980919" w14:paraId="5FDEEC23" w14:textId="77777777" w:rsidTr="001515D5">
        <w:tc>
          <w:tcPr>
            <w:tcW w:w="4675" w:type="dxa"/>
            <w:vAlign w:val="bottom"/>
          </w:tcPr>
          <w:p w14:paraId="1A3E52BD" w14:textId="77777777" w:rsidR="00980919" w:rsidRDefault="00980919" w:rsidP="001515D5">
            <w:r>
              <w:t>McCormick</w:t>
            </w:r>
          </w:p>
        </w:tc>
        <w:tc>
          <w:tcPr>
            <w:tcW w:w="4675" w:type="dxa"/>
            <w:vAlign w:val="bottom"/>
          </w:tcPr>
          <w:p w14:paraId="63F8EE68" w14:textId="77777777" w:rsidR="00980919" w:rsidRDefault="00980919" w:rsidP="001515D5">
            <w:r>
              <w:t>4.9</w:t>
            </w:r>
          </w:p>
        </w:tc>
      </w:tr>
      <w:tr w:rsidR="00980919" w14:paraId="2DE83159" w14:textId="77777777" w:rsidTr="001515D5">
        <w:tc>
          <w:tcPr>
            <w:tcW w:w="4675" w:type="dxa"/>
            <w:vAlign w:val="bottom"/>
          </w:tcPr>
          <w:p w14:paraId="0615EB30" w14:textId="77777777" w:rsidR="00980919" w:rsidRDefault="00980919" w:rsidP="001515D5">
            <w:r>
              <w:t>Marion</w:t>
            </w:r>
          </w:p>
        </w:tc>
        <w:tc>
          <w:tcPr>
            <w:tcW w:w="4675" w:type="dxa"/>
            <w:vAlign w:val="bottom"/>
          </w:tcPr>
          <w:p w14:paraId="11EC3634" w14:textId="77777777" w:rsidR="00980919" w:rsidRDefault="00980919" w:rsidP="001515D5">
            <w:r>
              <w:t>5.4</w:t>
            </w:r>
          </w:p>
        </w:tc>
      </w:tr>
      <w:tr w:rsidR="00980919" w14:paraId="76D0F235" w14:textId="77777777" w:rsidTr="001515D5">
        <w:tc>
          <w:tcPr>
            <w:tcW w:w="4675" w:type="dxa"/>
            <w:vAlign w:val="bottom"/>
          </w:tcPr>
          <w:p w14:paraId="3FB9EF9C" w14:textId="77777777" w:rsidR="00980919" w:rsidRDefault="00980919" w:rsidP="001515D5">
            <w:r>
              <w:t>Marlboro</w:t>
            </w:r>
          </w:p>
        </w:tc>
        <w:tc>
          <w:tcPr>
            <w:tcW w:w="4675" w:type="dxa"/>
            <w:vAlign w:val="bottom"/>
          </w:tcPr>
          <w:p w14:paraId="5B2A0A10" w14:textId="77777777" w:rsidR="00980919" w:rsidRDefault="00980919" w:rsidP="001515D5">
            <w:r>
              <w:t>2.1</w:t>
            </w:r>
          </w:p>
        </w:tc>
      </w:tr>
      <w:tr w:rsidR="00980919" w14:paraId="0215388C" w14:textId="77777777" w:rsidTr="001515D5">
        <w:tc>
          <w:tcPr>
            <w:tcW w:w="4675" w:type="dxa"/>
            <w:vAlign w:val="bottom"/>
          </w:tcPr>
          <w:p w14:paraId="48E8D8C2" w14:textId="77777777" w:rsidR="00980919" w:rsidRDefault="00980919" w:rsidP="001515D5">
            <w:r>
              <w:t>Newberry</w:t>
            </w:r>
          </w:p>
        </w:tc>
        <w:tc>
          <w:tcPr>
            <w:tcW w:w="4675" w:type="dxa"/>
            <w:vAlign w:val="bottom"/>
          </w:tcPr>
          <w:p w14:paraId="27D06DE9" w14:textId="77777777" w:rsidR="00980919" w:rsidRDefault="00980919" w:rsidP="001515D5">
            <w:r>
              <w:t>6</w:t>
            </w:r>
          </w:p>
        </w:tc>
      </w:tr>
      <w:tr w:rsidR="00980919" w14:paraId="14DE920F" w14:textId="77777777" w:rsidTr="001515D5">
        <w:tc>
          <w:tcPr>
            <w:tcW w:w="4675" w:type="dxa"/>
            <w:vAlign w:val="bottom"/>
          </w:tcPr>
          <w:p w14:paraId="03270F7B" w14:textId="77777777" w:rsidR="00980919" w:rsidRDefault="00980919" w:rsidP="001515D5">
            <w:r>
              <w:t>Oconee</w:t>
            </w:r>
          </w:p>
        </w:tc>
        <w:tc>
          <w:tcPr>
            <w:tcW w:w="4675" w:type="dxa"/>
            <w:vAlign w:val="bottom"/>
          </w:tcPr>
          <w:p w14:paraId="0C899324" w14:textId="77777777" w:rsidR="00980919" w:rsidRDefault="00980919" w:rsidP="001515D5">
            <w:r>
              <w:t>7.7</w:t>
            </w:r>
          </w:p>
        </w:tc>
      </w:tr>
      <w:tr w:rsidR="00980919" w14:paraId="2987AD0C" w14:textId="77777777" w:rsidTr="001515D5">
        <w:tc>
          <w:tcPr>
            <w:tcW w:w="4675" w:type="dxa"/>
            <w:vAlign w:val="bottom"/>
          </w:tcPr>
          <w:p w14:paraId="39960E54" w14:textId="77777777" w:rsidR="00980919" w:rsidRDefault="00980919" w:rsidP="001515D5">
            <w:r>
              <w:t>Orangeburg</w:t>
            </w:r>
          </w:p>
        </w:tc>
        <w:tc>
          <w:tcPr>
            <w:tcW w:w="4675" w:type="dxa"/>
            <w:vAlign w:val="bottom"/>
          </w:tcPr>
          <w:p w14:paraId="4CB07BBC" w14:textId="77777777" w:rsidR="00980919" w:rsidRDefault="00980919" w:rsidP="001515D5">
            <w:r>
              <w:t>6.5</w:t>
            </w:r>
          </w:p>
        </w:tc>
      </w:tr>
      <w:tr w:rsidR="00980919" w14:paraId="36FE4763" w14:textId="77777777" w:rsidTr="001515D5">
        <w:tc>
          <w:tcPr>
            <w:tcW w:w="4675" w:type="dxa"/>
            <w:vAlign w:val="bottom"/>
          </w:tcPr>
          <w:p w14:paraId="55065F5A" w14:textId="77777777" w:rsidR="00980919" w:rsidRDefault="00980919" w:rsidP="001515D5">
            <w:r>
              <w:t>Pickens</w:t>
            </w:r>
          </w:p>
        </w:tc>
        <w:tc>
          <w:tcPr>
            <w:tcW w:w="4675" w:type="dxa"/>
            <w:vAlign w:val="bottom"/>
          </w:tcPr>
          <w:p w14:paraId="7084F029" w14:textId="77777777" w:rsidR="00980919" w:rsidRDefault="00980919" w:rsidP="001515D5">
            <w:r>
              <w:t>6.1</w:t>
            </w:r>
          </w:p>
        </w:tc>
      </w:tr>
      <w:tr w:rsidR="00980919" w14:paraId="0FAE17FC" w14:textId="77777777" w:rsidTr="001515D5">
        <w:tc>
          <w:tcPr>
            <w:tcW w:w="4675" w:type="dxa"/>
            <w:vAlign w:val="bottom"/>
          </w:tcPr>
          <w:p w14:paraId="5405696B" w14:textId="77777777" w:rsidR="00980919" w:rsidRDefault="00980919" w:rsidP="001515D5">
            <w:r>
              <w:t>Richland</w:t>
            </w:r>
          </w:p>
        </w:tc>
        <w:tc>
          <w:tcPr>
            <w:tcW w:w="4675" w:type="dxa"/>
            <w:vAlign w:val="bottom"/>
          </w:tcPr>
          <w:p w14:paraId="6EAA2082" w14:textId="77777777" w:rsidR="00980919" w:rsidRDefault="00980919" w:rsidP="001515D5">
            <w:r>
              <w:t>13.3</w:t>
            </w:r>
          </w:p>
        </w:tc>
      </w:tr>
      <w:tr w:rsidR="00980919" w14:paraId="443BB550" w14:textId="77777777" w:rsidTr="001515D5">
        <w:tc>
          <w:tcPr>
            <w:tcW w:w="4675" w:type="dxa"/>
            <w:vAlign w:val="bottom"/>
          </w:tcPr>
          <w:p w14:paraId="24DAE2A9" w14:textId="77777777" w:rsidR="00980919" w:rsidRDefault="00980919" w:rsidP="001515D5">
            <w:r>
              <w:t>Saluda</w:t>
            </w:r>
          </w:p>
        </w:tc>
        <w:tc>
          <w:tcPr>
            <w:tcW w:w="4675" w:type="dxa"/>
            <w:vAlign w:val="bottom"/>
          </w:tcPr>
          <w:p w14:paraId="7C362523" w14:textId="77777777" w:rsidR="00980919" w:rsidRDefault="00980919" w:rsidP="001515D5">
            <w:r>
              <w:t>3.4</w:t>
            </w:r>
          </w:p>
        </w:tc>
      </w:tr>
      <w:tr w:rsidR="00980919" w14:paraId="2B353BAE" w14:textId="77777777" w:rsidTr="001515D5">
        <w:tc>
          <w:tcPr>
            <w:tcW w:w="4675" w:type="dxa"/>
            <w:vAlign w:val="bottom"/>
          </w:tcPr>
          <w:p w14:paraId="41A792CE" w14:textId="77777777" w:rsidR="00980919" w:rsidRDefault="00980919" w:rsidP="001515D5">
            <w:r>
              <w:t>Spartanburg</w:t>
            </w:r>
          </w:p>
        </w:tc>
        <w:tc>
          <w:tcPr>
            <w:tcW w:w="4675" w:type="dxa"/>
            <w:vAlign w:val="bottom"/>
          </w:tcPr>
          <w:p w14:paraId="54B7D362" w14:textId="77777777" w:rsidR="00980919" w:rsidRDefault="00980919" w:rsidP="001515D5">
            <w:r>
              <w:t>10.5</w:t>
            </w:r>
          </w:p>
        </w:tc>
      </w:tr>
      <w:tr w:rsidR="00980919" w14:paraId="63E97438" w14:textId="77777777" w:rsidTr="001515D5">
        <w:tc>
          <w:tcPr>
            <w:tcW w:w="4675" w:type="dxa"/>
            <w:vAlign w:val="bottom"/>
          </w:tcPr>
          <w:p w14:paraId="343F5D53" w14:textId="77777777" w:rsidR="00980919" w:rsidRDefault="00980919" w:rsidP="001515D5">
            <w:r>
              <w:t>Sumter</w:t>
            </w:r>
          </w:p>
        </w:tc>
        <w:tc>
          <w:tcPr>
            <w:tcW w:w="4675" w:type="dxa"/>
            <w:vAlign w:val="bottom"/>
          </w:tcPr>
          <w:p w14:paraId="7DEC0E31" w14:textId="77777777" w:rsidR="00980919" w:rsidRDefault="00980919" w:rsidP="001515D5">
            <w:r>
              <w:t>7.8</w:t>
            </w:r>
          </w:p>
        </w:tc>
      </w:tr>
      <w:tr w:rsidR="00980919" w14:paraId="703E2A72" w14:textId="77777777" w:rsidTr="001515D5">
        <w:tc>
          <w:tcPr>
            <w:tcW w:w="4675" w:type="dxa"/>
            <w:vAlign w:val="bottom"/>
          </w:tcPr>
          <w:p w14:paraId="0E1C834E" w14:textId="77777777" w:rsidR="00980919" w:rsidRDefault="00980919" w:rsidP="001515D5">
            <w:r>
              <w:t>Union</w:t>
            </w:r>
          </w:p>
        </w:tc>
        <w:tc>
          <w:tcPr>
            <w:tcW w:w="4675" w:type="dxa"/>
            <w:vAlign w:val="bottom"/>
          </w:tcPr>
          <w:p w14:paraId="76E5FD95" w14:textId="77777777" w:rsidR="00980919" w:rsidRDefault="00980919" w:rsidP="001515D5">
            <w:r>
              <w:t>2.2</w:t>
            </w:r>
          </w:p>
        </w:tc>
      </w:tr>
      <w:tr w:rsidR="00980919" w14:paraId="5F882CEC" w14:textId="77777777" w:rsidTr="001515D5">
        <w:tc>
          <w:tcPr>
            <w:tcW w:w="4675" w:type="dxa"/>
            <w:vAlign w:val="bottom"/>
          </w:tcPr>
          <w:p w14:paraId="1BEF5838" w14:textId="77777777" w:rsidR="00980919" w:rsidRDefault="00980919" w:rsidP="001515D5">
            <w:r>
              <w:t>Williamsburg</w:t>
            </w:r>
          </w:p>
        </w:tc>
        <w:tc>
          <w:tcPr>
            <w:tcW w:w="4675" w:type="dxa"/>
            <w:vAlign w:val="bottom"/>
          </w:tcPr>
          <w:p w14:paraId="4818191C" w14:textId="77777777" w:rsidR="00980919" w:rsidRDefault="00980919" w:rsidP="001515D5">
            <w:r>
              <w:t>2</w:t>
            </w:r>
          </w:p>
        </w:tc>
      </w:tr>
      <w:tr w:rsidR="00980919" w14:paraId="737F08E5" w14:textId="77777777" w:rsidTr="001515D5">
        <w:tc>
          <w:tcPr>
            <w:tcW w:w="4675" w:type="dxa"/>
            <w:vAlign w:val="bottom"/>
          </w:tcPr>
          <w:p w14:paraId="06304D34" w14:textId="77777777" w:rsidR="00980919" w:rsidRDefault="00980919" w:rsidP="001515D5">
            <w:r>
              <w:t>York</w:t>
            </w:r>
          </w:p>
        </w:tc>
        <w:tc>
          <w:tcPr>
            <w:tcW w:w="4675" w:type="dxa"/>
            <w:vAlign w:val="bottom"/>
          </w:tcPr>
          <w:p w14:paraId="060E73D9" w14:textId="77777777" w:rsidR="00980919" w:rsidRDefault="00980919" w:rsidP="001515D5">
            <w:r>
              <w:t>6.4</w:t>
            </w:r>
          </w:p>
        </w:tc>
      </w:tr>
    </w:tbl>
    <w:p w14:paraId="6B853AD1" w14:textId="40113EF2" w:rsidR="00980919" w:rsidRDefault="00980919" w:rsidP="00980919">
      <w:r w:rsidRPr="002F08EB">
        <w:t>Source: SC Office of Healthcare Workforce Health Professionals Data Book, 2021</w:t>
      </w:r>
      <w:r>
        <w:t>.</w:t>
      </w:r>
    </w:p>
    <w:p w14:paraId="5265EE5E" w14:textId="77777777" w:rsidR="00980919" w:rsidRDefault="00980919" w:rsidP="00980919"/>
    <w:p w14:paraId="712E46E7" w14:textId="77777777" w:rsidR="00980919" w:rsidRDefault="00980919" w:rsidP="00980919">
      <w:pPr>
        <w:pStyle w:val="Heading4"/>
      </w:pPr>
      <w:bookmarkStart w:id="337" w:name="_Toc154569846"/>
      <w:bookmarkStart w:id="338" w:name="_Toc162267217"/>
      <w:r>
        <w:t>Figure 6.38: Primary Care Physicians, by Rurality.</w:t>
      </w:r>
      <w:bookmarkEnd w:id="337"/>
      <w:bookmarkEnd w:id="338"/>
    </w:p>
    <w:p w14:paraId="17630A2D" w14:textId="77777777" w:rsidR="00980919" w:rsidRDefault="00980919" w:rsidP="00980919">
      <w:pPr>
        <w:pStyle w:val="Heading5"/>
      </w:pPr>
      <w:r>
        <w:t>Rate per 10,000 population.</w:t>
      </w:r>
    </w:p>
    <w:tbl>
      <w:tblPr>
        <w:tblStyle w:val="TableGrid"/>
        <w:tblW w:w="0" w:type="auto"/>
        <w:tblLook w:val="04A0" w:firstRow="1" w:lastRow="0" w:firstColumn="1" w:lastColumn="0" w:noHBand="0" w:noVBand="1"/>
      </w:tblPr>
      <w:tblGrid>
        <w:gridCol w:w="4675"/>
        <w:gridCol w:w="4675"/>
      </w:tblGrid>
      <w:tr w:rsidR="00980919" w14:paraId="36A7F4D3" w14:textId="77777777" w:rsidTr="001515D5">
        <w:tc>
          <w:tcPr>
            <w:tcW w:w="4675" w:type="dxa"/>
            <w:vAlign w:val="bottom"/>
          </w:tcPr>
          <w:p w14:paraId="4D8A165F" w14:textId="77777777" w:rsidR="00980919" w:rsidRPr="002F08EB" w:rsidRDefault="00980919" w:rsidP="001515D5">
            <w:r>
              <w:t>Rurality</w:t>
            </w:r>
          </w:p>
        </w:tc>
        <w:tc>
          <w:tcPr>
            <w:tcW w:w="4675" w:type="dxa"/>
            <w:vAlign w:val="bottom"/>
          </w:tcPr>
          <w:p w14:paraId="458912ED" w14:textId="5E38F90E" w:rsidR="00980919" w:rsidRPr="002F08EB" w:rsidRDefault="002748B7" w:rsidP="001515D5">
            <w:r>
              <w:t>Rate</w:t>
            </w:r>
          </w:p>
        </w:tc>
      </w:tr>
      <w:tr w:rsidR="00980919" w14:paraId="36BE262A" w14:textId="77777777" w:rsidTr="001515D5">
        <w:tc>
          <w:tcPr>
            <w:tcW w:w="4675" w:type="dxa"/>
            <w:vAlign w:val="bottom"/>
          </w:tcPr>
          <w:p w14:paraId="64681D9D" w14:textId="77777777" w:rsidR="00980919" w:rsidRPr="002F08EB" w:rsidRDefault="00980919" w:rsidP="001515D5">
            <w:r w:rsidRPr="002F08EB">
              <w:t>Urban</w:t>
            </w:r>
          </w:p>
        </w:tc>
        <w:tc>
          <w:tcPr>
            <w:tcW w:w="4675" w:type="dxa"/>
            <w:vAlign w:val="bottom"/>
          </w:tcPr>
          <w:p w14:paraId="0944FD82" w14:textId="77777777" w:rsidR="00980919" w:rsidRPr="002F08EB" w:rsidRDefault="00980919" w:rsidP="001515D5">
            <w:r w:rsidRPr="002F08EB">
              <w:t>11.2</w:t>
            </w:r>
          </w:p>
        </w:tc>
      </w:tr>
      <w:tr w:rsidR="00980919" w14:paraId="604CC93F" w14:textId="77777777" w:rsidTr="001515D5">
        <w:tc>
          <w:tcPr>
            <w:tcW w:w="4675" w:type="dxa"/>
            <w:vAlign w:val="bottom"/>
          </w:tcPr>
          <w:p w14:paraId="37CAED1A" w14:textId="77777777" w:rsidR="00980919" w:rsidRPr="002F08EB" w:rsidRDefault="00980919" w:rsidP="001515D5">
            <w:r w:rsidRPr="002F08EB">
              <w:t>Rural</w:t>
            </w:r>
          </w:p>
        </w:tc>
        <w:tc>
          <w:tcPr>
            <w:tcW w:w="4675" w:type="dxa"/>
            <w:vAlign w:val="bottom"/>
          </w:tcPr>
          <w:p w14:paraId="7EF6E219" w14:textId="77777777" w:rsidR="00980919" w:rsidRPr="002F08EB" w:rsidRDefault="00980919" w:rsidP="001515D5">
            <w:r w:rsidRPr="002F08EB">
              <w:t>4.8</w:t>
            </w:r>
          </w:p>
        </w:tc>
      </w:tr>
    </w:tbl>
    <w:p w14:paraId="7CD172F0" w14:textId="70A89D15" w:rsidR="00980919" w:rsidRDefault="00980919" w:rsidP="00980919">
      <w:r w:rsidRPr="002F08EB">
        <w:t>Source: SC Office of Healthcare Workforce Health Professionals Data Book, 2021.</w:t>
      </w:r>
    </w:p>
    <w:p w14:paraId="7C1BBF93" w14:textId="77777777" w:rsidR="00980919" w:rsidRDefault="00980919" w:rsidP="00980919"/>
    <w:p w14:paraId="0A336776" w14:textId="77777777" w:rsidR="00980919" w:rsidRDefault="00980919" w:rsidP="00980919">
      <w:pPr>
        <w:pStyle w:val="Heading4"/>
      </w:pPr>
      <w:bookmarkStart w:id="339" w:name="_Toc154569847"/>
      <w:bookmarkStart w:id="340" w:name="_Toc162267218"/>
      <w:r>
        <w:t>Figure 6.39: Primary Care Physicians.</w:t>
      </w:r>
      <w:bookmarkEnd w:id="339"/>
      <w:bookmarkEnd w:id="340"/>
    </w:p>
    <w:p w14:paraId="7114E086" w14:textId="77777777" w:rsidR="00980919" w:rsidRDefault="00980919" w:rsidP="00980919">
      <w:pPr>
        <w:pStyle w:val="Heading5"/>
      </w:pPr>
      <w:r>
        <w:t>Rate per 10,000 population.</w:t>
      </w:r>
    </w:p>
    <w:tbl>
      <w:tblPr>
        <w:tblStyle w:val="TableGrid"/>
        <w:tblW w:w="0" w:type="auto"/>
        <w:tblLook w:val="04A0" w:firstRow="1" w:lastRow="0" w:firstColumn="1" w:lastColumn="0" w:noHBand="0" w:noVBand="1"/>
      </w:tblPr>
      <w:tblGrid>
        <w:gridCol w:w="4675"/>
        <w:gridCol w:w="4675"/>
      </w:tblGrid>
      <w:tr w:rsidR="00980919" w14:paraId="77DA3239" w14:textId="77777777" w:rsidTr="001515D5">
        <w:tc>
          <w:tcPr>
            <w:tcW w:w="4675" w:type="dxa"/>
            <w:vAlign w:val="bottom"/>
          </w:tcPr>
          <w:p w14:paraId="48F65988" w14:textId="77777777" w:rsidR="00980919" w:rsidRDefault="00980919" w:rsidP="001515D5">
            <w:r>
              <w:t>Year</w:t>
            </w:r>
          </w:p>
        </w:tc>
        <w:tc>
          <w:tcPr>
            <w:tcW w:w="4675" w:type="dxa"/>
            <w:vAlign w:val="bottom"/>
          </w:tcPr>
          <w:p w14:paraId="2DD5A2FB" w14:textId="77777777" w:rsidR="00980919" w:rsidRDefault="00980919" w:rsidP="001515D5">
            <w:r>
              <w:t>Rate</w:t>
            </w:r>
          </w:p>
        </w:tc>
      </w:tr>
      <w:tr w:rsidR="00980919" w14:paraId="012D9D41" w14:textId="77777777" w:rsidTr="001515D5">
        <w:tc>
          <w:tcPr>
            <w:tcW w:w="4675" w:type="dxa"/>
            <w:vAlign w:val="bottom"/>
          </w:tcPr>
          <w:p w14:paraId="08C5BA02" w14:textId="77777777" w:rsidR="00980919" w:rsidRDefault="00980919" w:rsidP="001515D5">
            <w:r>
              <w:t>2009</w:t>
            </w:r>
          </w:p>
        </w:tc>
        <w:tc>
          <w:tcPr>
            <w:tcW w:w="4675" w:type="dxa"/>
            <w:vAlign w:val="bottom"/>
          </w:tcPr>
          <w:p w14:paraId="247D9799" w14:textId="77777777" w:rsidR="00980919" w:rsidRDefault="00980919" w:rsidP="001515D5">
            <w:r>
              <w:t>9</w:t>
            </w:r>
          </w:p>
        </w:tc>
      </w:tr>
      <w:tr w:rsidR="00980919" w14:paraId="0E683530" w14:textId="77777777" w:rsidTr="001515D5">
        <w:tc>
          <w:tcPr>
            <w:tcW w:w="4675" w:type="dxa"/>
            <w:vAlign w:val="bottom"/>
          </w:tcPr>
          <w:p w14:paraId="4DF683D4" w14:textId="77777777" w:rsidR="00980919" w:rsidRDefault="00980919" w:rsidP="001515D5">
            <w:r>
              <w:t>2011</w:t>
            </w:r>
          </w:p>
        </w:tc>
        <w:tc>
          <w:tcPr>
            <w:tcW w:w="4675" w:type="dxa"/>
            <w:vAlign w:val="bottom"/>
          </w:tcPr>
          <w:p w14:paraId="052C4538" w14:textId="77777777" w:rsidR="00980919" w:rsidRDefault="00980919" w:rsidP="001515D5">
            <w:r>
              <w:t>9.2</w:t>
            </w:r>
          </w:p>
        </w:tc>
      </w:tr>
      <w:tr w:rsidR="00980919" w14:paraId="1B5FC929" w14:textId="77777777" w:rsidTr="001515D5">
        <w:tc>
          <w:tcPr>
            <w:tcW w:w="4675" w:type="dxa"/>
            <w:vAlign w:val="bottom"/>
          </w:tcPr>
          <w:p w14:paraId="4ECD1C9F" w14:textId="77777777" w:rsidR="00980919" w:rsidRDefault="00980919" w:rsidP="001515D5">
            <w:r>
              <w:t>2013</w:t>
            </w:r>
          </w:p>
        </w:tc>
        <w:tc>
          <w:tcPr>
            <w:tcW w:w="4675" w:type="dxa"/>
            <w:vAlign w:val="bottom"/>
          </w:tcPr>
          <w:p w14:paraId="2DCFE3B8" w14:textId="77777777" w:rsidR="00980919" w:rsidRDefault="00980919" w:rsidP="001515D5">
            <w:r>
              <w:t>9.6</w:t>
            </w:r>
          </w:p>
        </w:tc>
      </w:tr>
      <w:tr w:rsidR="00980919" w14:paraId="16A37E3E" w14:textId="77777777" w:rsidTr="001515D5">
        <w:tc>
          <w:tcPr>
            <w:tcW w:w="4675" w:type="dxa"/>
            <w:vAlign w:val="bottom"/>
          </w:tcPr>
          <w:p w14:paraId="44B4F007" w14:textId="77777777" w:rsidR="00980919" w:rsidRDefault="00980919" w:rsidP="001515D5">
            <w:r>
              <w:t>2015</w:t>
            </w:r>
          </w:p>
        </w:tc>
        <w:tc>
          <w:tcPr>
            <w:tcW w:w="4675" w:type="dxa"/>
            <w:vAlign w:val="bottom"/>
          </w:tcPr>
          <w:p w14:paraId="6C6916FB" w14:textId="77777777" w:rsidR="00980919" w:rsidRDefault="00980919" w:rsidP="001515D5">
            <w:r>
              <w:t>10</w:t>
            </w:r>
          </w:p>
        </w:tc>
      </w:tr>
      <w:tr w:rsidR="00980919" w14:paraId="4C67BDA8" w14:textId="77777777" w:rsidTr="001515D5">
        <w:tc>
          <w:tcPr>
            <w:tcW w:w="4675" w:type="dxa"/>
            <w:vAlign w:val="bottom"/>
          </w:tcPr>
          <w:p w14:paraId="192EC8F2" w14:textId="77777777" w:rsidR="00980919" w:rsidRDefault="00980919" w:rsidP="001515D5">
            <w:r>
              <w:t>2017</w:t>
            </w:r>
          </w:p>
        </w:tc>
        <w:tc>
          <w:tcPr>
            <w:tcW w:w="4675" w:type="dxa"/>
            <w:vAlign w:val="bottom"/>
          </w:tcPr>
          <w:p w14:paraId="32DFBD23" w14:textId="77777777" w:rsidR="00980919" w:rsidRDefault="00980919" w:rsidP="001515D5">
            <w:r>
              <w:t>10.1</w:t>
            </w:r>
          </w:p>
        </w:tc>
      </w:tr>
      <w:tr w:rsidR="00980919" w14:paraId="67F4A8D4" w14:textId="77777777" w:rsidTr="001515D5">
        <w:tc>
          <w:tcPr>
            <w:tcW w:w="4675" w:type="dxa"/>
            <w:vAlign w:val="bottom"/>
          </w:tcPr>
          <w:p w14:paraId="42E3BCFC" w14:textId="77777777" w:rsidR="00980919" w:rsidRDefault="00980919" w:rsidP="001515D5">
            <w:r>
              <w:t>2019</w:t>
            </w:r>
          </w:p>
        </w:tc>
        <w:tc>
          <w:tcPr>
            <w:tcW w:w="4675" w:type="dxa"/>
            <w:vAlign w:val="bottom"/>
          </w:tcPr>
          <w:p w14:paraId="35D5D90D" w14:textId="77777777" w:rsidR="00980919" w:rsidRDefault="00980919" w:rsidP="001515D5">
            <w:r>
              <w:t>9.9</w:t>
            </w:r>
          </w:p>
        </w:tc>
      </w:tr>
    </w:tbl>
    <w:p w14:paraId="2FFDB671" w14:textId="77777777" w:rsidR="00980919" w:rsidRDefault="00980919" w:rsidP="00980919">
      <w:r w:rsidRPr="002F08EB">
        <w:t>Source: SC Office of Health care Workforce Health Professionals Data Book, 2021.</w:t>
      </w:r>
    </w:p>
    <w:p w14:paraId="49455A97" w14:textId="77777777" w:rsidR="00F73294" w:rsidRDefault="00F73294" w:rsidP="00F73294"/>
    <w:p w14:paraId="71CB539D" w14:textId="77777777" w:rsidR="00F73294" w:rsidRDefault="00F73294" w:rsidP="00F73294">
      <w:pPr>
        <w:pStyle w:val="Heading4"/>
      </w:pPr>
      <w:bookmarkStart w:id="341" w:name="_Toc162267219"/>
      <w:r w:rsidRPr="00F73294">
        <w:t>Data Interpretations:</w:t>
      </w:r>
      <w:bookmarkEnd w:id="341"/>
      <w:r w:rsidRPr="00F73294">
        <w:t xml:space="preserve"> </w:t>
      </w:r>
    </w:p>
    <w:p w14:paraId="299A9831" w14:textId="157EE483" w:rsidR="00F73294" w:rsidRPr="00F73294" w:rsidRDefault="00F73294" w:rsidP="00F73294">
      <w:r w:rsidRPr="00F73294">
        <w:t>Primary care physicians are those that have a specialty in family medicine, internal medicine, obstetrics/</w:t>
      </w:r>
      <w:proofErr w:type="gramStart"/>
      <w:r w:rsidRPr="00F73294">
        <w:t>gynecology</w:t>
      </w:r>
      <w:proofErr w:type="gramEnd"/>
      <w:r w:rsidRPr="00F73294">
        <w:t xml:space="preserve"> or pediatrics. In 2019, there were nearly 5,100 licensed primary care physicians throughout the state. Across SC there is a wide range of licensed primary care physicians from a low of 0.7 primary care physicians per 10,000 people in Calhoun County to a high of 22.4 primary care physicians per 10,000 people in Charleston County (</w:t>
      </w:r>
      <w:r w:rsidRPr="00F73294">
        <w:rPr>
          <w:b/>
          <w:bCs/>
        </w:rPr>
        <w:t>Figure 6.37</w:t>
      </w:r>
      <w:r w:rsidRPr="00F73294">
        <w:t>). Currently, Calhoun County only has one licensed and practicing primary care physician. Urban counties in SC see more than two times higher rate</w:t>
      </w:r>
      <w:r w:rsidR="00FB4D78">
        <w:t>s</w:t>
      </w:r>
      <w:r w:rsidRPr="00F73294">
        <w:t xml:space="preserve"> (11.2 per 10,000 population) of having primary care physicians compared to rural counties (4.8 per 10,000 population) (</w:t>
      </w:r>
      <w:r w:rsidRPr="00F73294">
        <w:rPr>
          <w:b/>
          <w:bCs/>
        </w:rPr>
        <w:t>Figure 6.38</w:t>
      </w:r>
      <w:r w:rsidRPr="00F73294">
        <w:t>). In rural counties there are 4.8 primary care physicians per 10,000 population. SC has seen a 10% increase in the rate of primary care physicians from 9.0 primary care physicians per 10,000 population in 2009 to 9.9 primary care physicians per 10,000 population in 2019 (</w:t>
      </w:r>
      <w:r w:rsidRPr="00F73294">
        <w:rPr>
          <w:b/>
          <w:bCs/>
        </w:rPr>
        <w:t>Figure 6.39</w:t>
      </w:r>
      <w:r w:rsidRPr="00F73294">
        <w:t xml:space="preserve">).  </w:t>
      </w:r>
    </w:p>
    <w:p w14:paraId="2DE1376F" w14:textId="77777777" w:rsidR="00F73294" w:rsidRDefault="00F73294" w:rsidP="00F73294"/>
    <w:p w14:paraId="1063B6DB" w14:textId="699B697F" w:rsidR="00F73294" w:rsidRDefault="00F73294" w:rsidP="00F73294">
      <w:pPr>
        <w:pStyle w:val="Heading5"/>
      </w:pPr>
      <w:r>
        <w:t xml:space="preserve">Key Takeaways: </w:t>
      </w:r>
    </w:p>
    <w:p w14:paraId="06499E7C" w14:textId="77777777" w:rsidR="00F73294" w:rsidRPr="00F73294" w:rsidRDefault="00F73294" w:rsidP="00926EB3">
      <w:pPr>
        <w:pStyle w:val="ListParagraph"/>
        <w:numPr>
          <w:ilvl w:val="0"/>
          <w:numId w:val="218"/>
        </w:numPr>
      </w:pPr>
      <w:r w:rsidRPr="00F73294">
        <w:t>There is a large disparity between rates of primary care physicians in rural counties and urban counties throughout the state.</w:t>
      </w:r>
    </w:p>
    <w:p w14:paraId="33802AE9" w14:textId="77777777" w:rsidR="00F73294" w:rsidRDefault="00F73294" w:rsidP="00F73294"/>
    <w:p w14:paraId="63A4ABD8" w14:textId="1829981A" w:rsidR="00F73294" w:rsidRPr="00EA168E" w:rsidRDefault="00F73294" w:rsidP="00F73294">
      <w:pPr>
        <w:rPr>
          <w:rFonts w:cstheme="minorHAnsi"/>
        </w:rPr>
      </w:pPr>
      <w:bookmarkStart w:id="342" w:name="_Toc162267220"/>
      <w:r w:rsidRPr="00EA168E">
        <w:rPr>
          <w:rStyle w:val="Heading4Char"/>
          <w:rFonts w:asciiTheme="minorHAnsi" w:hAnsiTheme="minorHAnsi" w:cstheme="minorHAnsi"/>
          <w:color w:val="000000" w:themeColor="text1"/>
        </w:rPr>
        <w:t>References 6.1</w:t>
      </w:r>
      <w:r w:rsidR="00425D3B">
        <w:rPr>
          <w:rStyle w:val="Heading4Char"/>
          <w:rFonts w:asciiTheme="minorHAnsi" w:hAnsiTheme="minorHAnsi" w:cstheme="minorHAnsi"/>
          <w:color w:val="000000" w:themeColor="text1"/>
        </w:rPr>
        <w:t>5</w:t>
      </w:r>
      <w:bookmarkEnd w:id="342"/>
    </w:p>
    <w:p w14:paraId="3F6167DE" w14:textId="614A3E95" w:rsidR="00F73294" w:rsidRDefault="00F73294" w:rsidP="00F73294">
      <w:r w:rsidRPr="00722CE9">
        <w:t>Statistics in the preceding</w:t>
      </w:r>
      <w:r>
        <w:t xml:space="preserve"> section</w:t>
      </w:r>
      <w:r w:rsidRPr="00722CE9">
        <w:t xml:space="preserve"> were referenced from the following report</w:t>
      </w:r>
      <w:r>
        <w:t>s</w:t>
      </w:r>
      <w:r w:rsidRPr="00722CE9">
        <w:t>:</w:t>
      </w:r>
    </w:p>
    <w:p w14:paraId="604DF0D8" w14:textId="59B5F37E" w:rsidR="00F73294" w:rsidRPr="00F73294" w:rsidRDefault="00000000" w:rsidP="00926EB3">
      <w:pPr>
        <w:pStyle w:val="ListParagraph"/>
        <w:numPr>
          <w:ilvl w:val="0"/>
          <w:numId w:val="27"/>
        </w:numPr>
      </w:pPr>
      <w:hyperlink r:id="rId168" w:history="1">
        <w:r w:rsidR="00F73294" w:rsidRPr="00F73294">
          <w:rPr>
            <w:rStyle w:val="Hyperlink"/>
          </w:rPr>
          <w:t>“The importance of a primary care provider” by the Mayo Clinic Health System, 2015. Retrieved December 13, 2022.</w:t>
        </w:r>
      </w:hyperlink>
      <w:r w:rsidR="00F73294" w:rsidRPr="00F73294">
        <w:t xml:space="preserve"> </w:t>
      </w:r>
    </w:p>
    <w:p w14:paraId="291D72E0" w14:textId="586700DA" w:rsidR="00F73294" w:rsidRPr="00F73294" w:rsidRDefault="00000000" w:rsidP="00926EB3">
      <w:pPr>
        <w:pStyle w:val="ListParagraph"/>
        <w:numPr>
          <w:ilvl w:val="0"/>
          <w:numId w:val="27"/>
        </w:numPr>
      </w:pPr>
      <w:hyperlink r:id="rId169" w:history="1">
        <w:r w:rsidR="00F73294" w:rsidRPr="00F73294">
          <w:rPr>
            <w:rStyle w:val="Hyperlink"/>
          </w:rPr>
          <w:t>“Why do you need a primary care physician?” by Gonzalez, P., 2019. Retrieved December 13, 2022.</w:t>
        </w:r>
      </w:hyperlink>
      <w:r w:rsidR="00F73294" w:rsidRPr="00F73294">
        <w:t xml:space="preserve"> </w:t>
      </w:r>
    </w:p>
    <w:p w14:paraId="69CCBE22" w14:textId="044D9C31" w:rsidR="00F73294" w:rsidRPr="00F73294" w:rsidRDefault="00000000" w:rsidP="00926EB3">
      <w:pPr>
        <w:pStyle w:val="ListParagraph"/>
        <w:numPr>
          <w:ilvl w:val="0"/>
          <w:numId w:val="27"/>
        </w:numPr>
      </w:pPr>
      <w:hyperlink r:id="rId170" w:history="1">
        <w:r w:rsidR="00F73294" w:rsidRPr="00F73294">
          <w:rPr>
            <w:rStyle w:val="Hyperlink"/>
          </w:rPr>
          <w:t>“The importance of having a primary care provider: Finding a PCP, health checkups” by Cleveland Clinic, 2020. Retrieved December 13, 2022.</w:t>
        </w:r>
      </w:hyperlink>
      <w:r w:rsidR="00F73294" w:rsidRPr="00F73294">
        <w:t xml:space="preserve"> </w:t>
      </w:r>
    </w:p>
    <w:p w14:paraId="6EA7187B" w14:textId="7B04ECF0" w:rsidR="00F73294" w:rsidRPr="00F73294" w:rsidRDefault="00F73294" w:rsidP="00926EB3">
      <w:pPr>
        <w:pStyle w:val="ListParagraph"/>
        <w:numPr>
          <w:ilvl w:val="0"/>
          <w:numId w:val="27"/>
        </w:numPr>
      </w:pPr>
      <w:r>
        <w:t>“</w:t>
      </w:r>
      <w:r w:rsidRPr="00F73294">
        <w:t>Addressing Rural Health Challenges Head On</w:t>
      </w:r>
      <w:r>
        <w:t>” by</w:t>
      </w:r>
      <w:r w:rsidRPr="00F73294">
        <w:t xml:space="preserve"> Nielsen, M., D’Agostino, D., &amp; Gregory, P. </w:t>
      </w:r>
      <w:r>
        <w:t xml:space="preserve">Published in </w:t>
      </w:r>
      <w:r w:rsidRPr="00F73294">
        <w:t>Missouri medicine, </w:t>
      </w:r>
      <w:r>
        <w:t>2017. No hyperlink.</w:t>
      </w:r>
    </w:p>
    <w:p w14:paraId="1AA86371" w14:textId="77777777" w:rsidR="00F73294" w:rsidRDefault="00F73294" w:rsidP="00F73294">
      <w:pPr>
        <w:rPr>
          <w:rFonts w:asciiTheme="majorHAnsi" w:eastAsiaTheme="majorEastAsia" w:hAnsiTheme="majorHAnsi" w:cstheme="majorBidi"/>
          <w:color w:val="2F5496" w:themeColor="accent1" w:themeShade="BF"/>
          <w:sz w:val="36"/>
        </w:rPr>
      </w:pPr>
    </w:p>
    <w:p w14:paraId="2E615336" w14:textId="2F4C3C0C" w:rsidR="00F73294" w:rsidRPr="00F73294" w:rsidRDefault="00F73294" w:rsidP="00425D3B">
      <w:pPr>
        <w:pStyle w:val="Heading3"/>
      </w:pPr>
      <w:bookmarkStart w:id="343" w:name="_Toc162267221"/>
      <w:r w:rsidRPr="00F73294">
        <w:t>Nurse Practitioners and Physician Associates</w:t>
      </w:r>
      <w:bookmarkEnd w:id="343"/>
    </w:p>
    <w:p w14:paraId="712091C4" w14:textId="0F9F204C" w:rsidR="00F73294" w:rsidRDefault="00F73294" w:rsidP="00F73294">
      <w:r w:rsidRPr="00F73294">
        <w:t>Primary care physician shortages are an issue across the nation, exacerbated by the increasingly aging population, overall population growth and higher percentage of the population being insured. With more of the population insured, people can access care with less of a financial burden. Nurse practitioners and physician associates (PAs) are health professions that began in the 1960s to respond to shortages and uneven distribution of physicians, especially in the primary care setting. These licensed medical professionals are estimated to provide care for 50-90% of patients presenting to primary care, allowing doctors increased time for the most seriously ill patients</w:t>
      </w:r>
      <w:r>
        <w:t>.</w:t>
      </w:r>
      <w:r w:rsidRPr="00F73294">
        <w:t xml:space="preserve"> Nurse practitioners and PAs have helped hold down health care costs, provide care to underserved populations and enable physician practices to serve their patients better. These practitioners have high satisfaction rates and lower wait times when compared to physician-only staffed providers. Additionally, nurse practitioners and PAs have served as a primary care provider for many populations, including those in rural areas which lack primary care physicians. Using these skilled medical professionals should be a viable means in increasing health care use and access across all populations. </w:t>
      </w:r>
    </w:p>
    <w:p w14:paraId="2E02460B" w14:textId="77777777" w:rsidR="00F73294" w:rsidRDefault="00F73294" w:rsidP="00F73294"/>
    <w:p w14:paraId="6C5A9747" w14:textId="77777777" w:rsidR="00980919" w:rsidRPr="002F08EB" w:rsidRDefault="00980919" w:rsidP="00980919">
      <w:pPr>
        <w:pStyle w:val="Heading4"/>
      </w:pPr>
      <w:bookmarkStart w:id="344" w:name="_Toc154569848"/>
      <w:bookmarkStart w:id="345" w:name="_Toc162267222"/>
      <w:r w:rsidRPr="002F08EB">
        <w:t>Figure 6.40: Growth in Nurse Practitioners and Physician Associates, by Rurality</w:t>
      </w:r>
      <w:r>
        <w:t>.</w:t>
      </w:r>
      <w:bookmarkEnd w:id="344"/>
      <w:bookmarkEnd w:id="345"/>
    </w:p>
    <w:tbl>
      <w:tblPr>
        <w:tblStyle w:val="TableGrid"/>
        <w:tblW w:w="0" w:type="auto"/>
        <w:tblLook w:val="04A0" w:firstRow="1" w:lastRow="0" w:firstColumn="1" w:lastColumn="0" w:noHBand="0" w:noVBand="1"/>
      </w:tblPr>
      <w:tblGrid>
        <w:gridCol w:w="3116"/>
        <w:gridCol w:w="3117"/>
        <w:gridCol w:w="3117"/>
      </w:tblGrid>
      <w:tr w:rsidR="00980919" w14:paraId="425DE743" w14:textId="77777777" w:rsidTr="001515D5">
        <w:tc>
          <w:tcPr>
            <w:tcW w:w="3116" w:type="dxa"/>
            <w:vAlign w:val="bottom"/>
          </w:tcPr>
          <w:p w14:paraId="6A6A7660" w14:textId="77777777" w:rsidR="00980919" w:rsidRPr="002F08EB" w:rsidRDefault="00980919" w:rsidP="001515D5">
            <w:r w:rsidRPr="002F08EB">
              <w:t>Type</w:t>
            </w:r>
          </w:p>
        </w:tc>
        <w:tc>
          <w:tcPr>
            <w:tcW w:w="3117" w:type="dxa"/>
            <w:vAlign w:val="bottom"/>
          </w:tcPr>
          <w:p w14:paraId="114C3D2F" w14:textId="77777777" w:rsidR="00980919" w:rsidRPr="002F08EB" w:rsidRDefault="00980919" w:rsidP="001515D5">
            <w:r w:rsidRPr="002F08EB">
              <w:t>Urban</w:t>
            </w:r>
          </w:p>
        </w:tc>
        <w:tc>
          <w:tcPr>
            <w:tcW w:w="3117" w:type="dxa"/>
            <w:vAlign w:val="bottom"/>
          </w:tcPr>
          <w:p w14:paraId="34D3F4AA" w14:textId="77777777" w:rsidR="00980919" w:rsidRPr="002F08EB" w:rsidRDefault="00980919" w:rsidP="001515D5">
            <w:r w:rsidRPr="002F08EB">
              <w:t>Rural</w:t>
            </w:r>
          </w:p>
        </w:tc>
      </w:tr>
      <w:tr w:rsidR="00980919" w14:paraId="10529B2C" w14:textId="77777777" w:rsidTr="001515D5">
        <w:tc>
          <w:tcPr>
            <w:tcW w:w="3116" w:type="dxa"/>
            <w:vAlign w:val="bottom"/>
          </w:tcPr>
          <w:p w14:paraId="277DD673" w14:textId="77777777" w:rsidR="00980919" w:rsidRPr="002F08EB" w:rsidRDefault="00980919" w:rsidP="001515D5">
            <w:r w:rsidRPr="002F08EB">
              <w:t>Nurse Practitioners</w:t>
            </w:r>
          </w:p>
        </w:tc>
        <w:tc>
          <w:tcPr>
            <w:tcW w:w="3117" w:type="dxa"/>
            <w:vAlign w:val="bottom"/>
          </w:tcPr>
          <w:p w14:paraId="2198BCD7" w14:textId="769F8142" w:rsidR="00980919" w:rsidRPr="002F08EB" w:rsidRDefault="00980919" w:rsidP="001515D5">
            <w:r w:rsidRPr="002F08EB">
              <w:t>215</w:t>
            </w:r>
            <w:r w:rsidR="002167FE">
              <w:t>.0</w:t>
            </w:r>
            <w:r w:rsidRPr="002F08EB">
              <w:t>%</w:t>
            </w:r>
          </w:p>
        </w:tc>
        <w:tc>
          <w:tcPr>
            <w:tcW w:w="3117" w:type="dxa"/>
            <w:vAlign w:val="bottom"/>
          </w:tcPr>
          <w:p w14:paraId="7B914D62" w14:textId="7D458CFD" w:rsidR="00980919" w:rsidRPr="002F08EB" w:rsidRDefault="00980919" w:rsidP="001515D5">
            <w:r w:rsidRPr="002F08EB">
              <w:t>103</w:t>
            </w:r>
            <w:r w:rsidR="002167FE">
              <w:t>.0</w:t>
            </w:r>
            <w:r w:rsidRPr="002F08EB">
              <w:t>%</w:t>
            </w:r>
          </w:p>
        </w:tc>
      </w:tr>
      <w:tr w:rsidR="00980919" w14:paraId="536E33EC" w14:textId="77777777" w:rsidTr="001515D5">
        <w:tc>
          <w:tcPr>
            <w:tcW w:w="3116" w:type="dxa"/>
            <w:vAlign w:val="bottom"/>
          </w:tcPr>
          <w:p w14:paraId="4C17901F" w14:textId="77777777" w:rsidR="00980919" w:rsidRPr="002F08EB" w:rsidRDefault="00980919" w:rsidP="001515D5">
            <w:r w:rsidRPr="002F08EB">
              <w:t>Physician Assistants</w:t>
            </w:r>
          </w:p>
        </w:tc>
        <w:tc>
          <w:tcPr>
            <w:tcW w:w="3117" w:type="dxa"/>
            <w:vAlign w:val="bottom"/>
          </w:tcPr>
          <w:p w14:paraId="3F00C463" w14:textId="321B0587" w:rsidR="00980919" w:rsidRPr="002F08EB" w:rsidRDefault="00980919" w:rsidP="001515D5">
            <w:r w:rsidRPr="002F08EB">
              <w:t>111</w:t>
            </w:r>
            <w:r w:rsidR="002167FE">
              <w:t>.0</w:t>
            </w:r>
            <w:r w:rsidRPr="002F08EB">
              <w:t>%</w:t>
            </w:r>
          </w:p>
        </w:tc>
        <w:tc>
          <w:tcPr>
            <w:tcW w:w="3117" w:type="dxa"/>
            <w:vAlign w:val="bottom"/>
          </w:tcPr>
          <w:p w14:paraId="1B7ADC9D" w14:textId="64635D26" w:rsidR="00980919" w:rsidRPr="002F08EB" w:rsidRDefault="00980919" w:rsidP="001515D5">
            <w:r w:rsidRPr="002F08EB">
              <w:t>19</w:t>
            </w:r>
            <w:r w:rsidR="002167FE">
              <w:t>.0</w:t>
            </w:r>
            <w:r w:rsidRPr="002F08EB">
              <w:t>%</w:t>
            </w:r>
          </w:p>
        </w:tc>
      </w:tr>
      <w:tr w:rsidR="00980919" w14:paraId="0B170BB3" w14:textId="77777777" w:rsidTr="001515D5">
        <w:tc>
          <w:tcPr>
            <w:tcW w:w="3116" w:type="dxa"/>
            <w:vAlign w:val="bottom"/>
          </w:tcPr>
          <w:p w14:paraId="45CACA1D" w14:textId="77777777" w:rsidR="00980919" w:rsidRPr="002F08EB" w:rsidRDefault="00980919" w:rsidP="001515D5">
            <w:r w:rsidRPr="002F08EB">
              <w:t>South Carolina Licensed Medical Professionals</w:t>
            </w:r>
          </w:p>
        </w:tc>
        <w:tc>
          <w:tcPr>
            <w:tcW w:w="3117" w:type="dxa"/>
            <w:vAlign w:val="bottom"/>
          </w:tcPr>
          <w:p w14:paraId="0FB88B29" w14:textId="47D40EB1" w:rsidR="00980919" w:rsidRPr="002F08EB" w:rsidRDefault="00980919" w:rsidP="001515D5">
            <w:r w:rsidRPr="002F08EB">
              <w:t>21</w:t>
            </w:r>
            <w:r w:rsidR="002167FE">
              <w:t>.0</w:t>
            </w:r>
            <w:r w:rsidRPr="002F08EB">
              <w:t>%</w:t>
            </w:r>
          </w:p>
        </w:tc>
        <w:tc>
          <w:tcPr>
            <w:tcW w:w="3117" w:type="dxa"/>
            <w:vAlign w:val="bottom"/>
          </w:tcPr>
          <w:p w14:paraId="35BF6874" w14:textId="36D1109D" w:rsidR="00980919" w:rsidRPr="002F08EB" w:rsidRDefault="00980919" w:rsidP="001515D5">
            <w:r w:rsidRPr="002F08EB">
              <w:t>-9</w:t>
            </w:r>
            <w:r w:rsidR="002167FE">
              <w:t>.0</w:t>
            </w:r>
            <w:r w:rsidRPr="002F08EB">
              <w:t>%</w:t>
            </w:r>
          </w:p>
        </w:tc>
      </w:tr>
    </w:tbl>
    <w:p w14:paraId="0E28988A" w14:textId="77777777" w:rsidR="00980919" w:rsidRPr="002F08EB" w:rsidRDefault="00980919" w:rsidP="00980919">
      <w:r w:rsidRPr="002F08EB">
        <w:t xml:space="preserve">Source: SC Office of Health care Workforce Data Brief, 2022. </w:t>
      </w:r>
    </w:p>
    <w:p w14:paraId="467096B0" w14:textId="77777777" w:rsidR="00980919" w:rsidRDefault="00980919" w:rsidP="00980919">
      <w:r w:rsidRPr="002F08EB">
        <w:t>Notes: Percent change from 2009/2010 - 2019-2020, South Carolina total is amongst all licensed medical professionals.</w:t>
      </w:r>
    </w:p>
    <w:p w14:paraId="47E02410" w14:textId="77777777" w:rsidR="00980919" w:rsidRDefault="00980919" w:rsidP="00980919"/>
    <w:p w14:paraId="6851AC63" w14:textId="77777777" w:rsidR="00980919" w:rsidRDefault="00980919" w:rsidP="00980919">
      <w:pPr>
        <w:pStyle w:val="Heading4"/>
      </w:pPr>
      <w:bookmarkStart w:id="346" w:name="_Toc154569849"/>
      <w:bookmarkStart w:id="347" w:name="_Toc162267223"/>
      <w:r>
        <w:t>Figure 6.41: Nurse Practitioners and Physician Associates, by County.</w:t>
      </w:r>
      <w:bookmarkEnd w:id="346"/>
      <w:bookmarkEnd w:id="347"/>
    </w:p>
    <w:p w14:paraId="204F32A0" w14:textId="77777777" w:rsidR="00980919" w:rsidRPr="002F08EB" w:rsidRDefault="00980919" w:rsidP="00980919">
      <w:pPr>
        <w:pStyle w:val="Heading5"/>
      </w:pPr>
      <w:r>
        <w:t>Rate per 10,000 population.</w:t>
      </w:r>
    </w:p>
    <w:tbl>
      <w:tblPr>
        <w:tblStyle w:val="TableGrid"/>
        <w:tblW w:w="0" w:type="auto"/>
        <w:tblLook w:val="04A0" w:firstRow="1" w:lastRow="0" w:firstColumn="1" w:lastColumn="0" w:noHBand="0" w:noVBand="1"/>
      </w:tblPr>
      <w:tblGrid>
        <w:gridCol w:w="4675"/>
        <w:gridCol w:w="4675"/>
      </w:tblGrid>
      <w:tr w:rsidR="00980919" w14:paraId="40DC8913" w14:textId="77777777" w:rsidTr="001515D5">
        <w:tc>
          <w:tcPr>
            <w:tcW w:w="4675" w:type="dxa"/>
            <w:vAlign w:val="bottom"/>
          </w:tcPr>
          <w:p w14:paraId="1955E3BE" w14:textId="77777777" w:rsidR="00980919" w:rsidRDefault="00980919" w:rsidP="001515D5">
            <w:r>
              <w:t>County</w:t>
            </w:r>
          </w:p>
        </w:tc>
        <w:tc>
          <w:tcPr>
            <w:tcW w:w="4675" w:type="dxa"/>
            <w:vAlign w:val="bottom"/>
          </w:tcPr>
          <w:p w14:paraId="0F0EABAB" w14:textId="7E2286D4" w:rsidR="00980919" w:rsidRDefault="00980919" w:rsidP="001515D5">
            <w:r>
              <w:t>Rate</w:t>
            </w:r>
          </w:p>
        </w:tc>
      </w:tr>
      <w:tr w:rsidR="00980919" w14:paraId="518BFD6B" w14:textId="77777777" w:rsidTr="001515D5">
        <w:tc>
          <w:tcPr>
            <w:tcW w:w="4675" w:type="dxa"/>
            <w:vAlign w:val="bottom"/>
          </w:tcPr>
          <w:p w14:paraId="67838274" w14:textId="77777777" w:rsidR="00980919" w:rsidRDefault="00980919" w:rsidP="001515D5">
            <w:r>
              <w:lastRenderedPageBreak/>
              <w:t>Abbeville</w:t>
            </w:r>
          </w:p>
        </w:tc>
        <w:tc>
          <w:tcPr>
            <w:tcW w:w="4675" w:type="dxa"/>
            <w:vAlign w:val="bottom"/>
          </w:tcPr>
          <w:p w14:paraId="3B309334" w14:textId="77777777" w:rsidR="00980919" w:rsidRDefault="00980919" w:rsidP="001515D5">
            <w:r>
              <w:t>4.892567</w:t>
            </w:r>
          </w:p>
        </w:tc>
      </w:tr>
      <w:tr w:rsidR="00980919" w14:paraId="5044B787" w14:textId="77777777" w:rsidTr="001515D5">
        <w:tc>
          <w:tcPr>
            <w:tcW w:w="4675" w:type="dxa"/>
            <w:vAlign w:val="bottom"/>
          </w:tcPr>
          <w:p w14:paraId="0285CF50" w14:textId="77777777" w:rsidR="00980919" w:rsidRDefault="00980919" w:rsidP="001515D5">
            <w:r>
              <w:t>Aiken</w:t>
            </w:r>
          </w:p>
        </w:tc>
        <w:tc>
          <w:tcPr>
            <w:tcW w:w="4675" w:type="dxa"/>
            <w:vAlign w:val="bottom"/>
          </w:tcPr>
          <w:p w14:paraId="626ED094" w14:textId="77777777" w:rsidR="00980919" w:rsidRDefault="00980919" w:rsidP="001515D5">
            <w:r>
              <w:t>8.134744</w:t>
            </w:r>
          </w:p>
        </w:tc>
      </w:tr>
      <w:tr w:rsidR="00980919" w14:paraId="7224BC70" w14:textId="77777777" w:rsidTr="001515D5">
        <w:tc>
          <w:tcPr>
            <w:tcW w:w="4675" w:type="dxa"/>
            <w:vAlign w:val="bottom"/>
          </w:tcPr>
          <w:p w14:paraId="774186E3" w14:textId="77777777" w:rsidR="00980919" w:rsidRDefault="00980919" w:rsidP="001515D5">
            <w:r>
              <w:t>Allendale</w:t>
            </w:r>
          </w:p>
        </w:tc>
        <w:tc>
          <w:tcPr>
            <w:tcW w:w="4675" w:type="dxa"/>
            <w:vAlign w:val="bottom"/>
          </w:tcPr>
          <w:p w14:paraId="27E0B24B" w14:textId="77777777" w:rsidR="00980919" w:rsidRDefault="00980919" w:rsidP="001515D5">
            <w:r>
              <w:t>10.35912</w:t>
            </w:r>
          </w:p>
        </w:tc>
      </w:tr>
      <w:tr w:rsidR="00980919" w14:paraId="2864C476" w14:textId="77777777" w:rsidTr="001515D5">
        <w:tc>
          <w:tcPr>
            <w:tcW w:w="4675" w:type="dxa"/>
            <w:vAlign w:val="bottom"/>
          </w:tcPr>
          <w:p w14:paraId="065E02B0" w14:textId="77777777" w:rsidR="00980919" w:rsidRDefault="00980919" w:rsidP="001515D5">
            <w:r>
              <w:t>Anderson</w:t>
            </w:r>
          </w:p>
        </w:tc>
        <w:tc>
          <w:tcPr>
            <w:tcW w:w="4675" w:type="dxa"/>
            <w:vAlign w:val="bottom"/>
          </w:tcPr>
          <w:p w14:paraId="5F99BFED" w14:textId="77777777" w:rsidR="00980919" w:rsidRDefault="00980919" w:rsidP="001515D5">
            <w:r>
              <w:t>8.244552</w:t>
            </w:r>
          </w:p>
        </w:tc>
      </w:tr>
      <w:tr w:rsidR="00980919" w14:paraId="37B339D2" w14:textId="77777777" w:rsidTr="001515D5">
        <w:tc>
          <w:tcPr>
            <w:tcW w:w="4675" w:type="dxa"/>
            <w:vAlign w:val="bottom"/>
          </w:tcPr>
          <w:p w14:paraId="3CD1A2C8" w14:textId="77777777" w:rsidR="00980919" w:rsidRDefault="00980919" w:rsidP="001515D5">
            <w:r>
              <w:t>Bamberg</w:t>
            </w:r>
          </w:p>
        </w:tc>
        <w:tc>
          <w:tcPr>
            <w:tcW w:w="4675" w:type="dxa"/>
            <w:vAlign w:val="bottom"/>
          </w:tcPr>
          <w:p w14:paraId="515EAA2C" w14:textId="77777777" w:rsidR="00980919" w:rsidRDefault="00980919" w:rsidP="001515D5">
            <w:r>
              <w:t>5.687473</w:t>
            </w:r>
          </w:p>
        </w:tc>
      </w:tr>
      <w:tr w:rsidR="00980919" w14:paraId="0FEC2705" w14:textId="77777777" w:rsidTr="001515D5">
        <w:tc>
          <w:tcPr>
            <w:tcW w:w="4675" w:type="dxa"/>
            <w:vAlign w:val="bottom"/>
          </w:tcPr>
          <w:p w14:paraId="71BDECFA" w14:textId="77777777" w:rsidR="00980919" w:rsidRDefault="00980919" w:rsidP="001515D5">
            <w:r>
              <w:t>Barnwell</w:t>
            </w:r>
          </w:p>
        </w:tc>
        <w:tc>
          <w:tcPr>
            <w:tcW w:w="4675" w:type="dxa"/>
            <w:vAlign w:val="bottom"/>
          </w:tcPr>
          <w:p w14:paraId="1E391BCC" w14:textId="77777777" w:rsidR="00980919" w:rsidRDefault="00980919" w:rsidP="001515D5">
            <w:r>
              <w:t>5.750982</w:t>
            </w:r>
          </w:p>
        </w:tc>
      </w:tr>
      <w:tr w:rsidR="00980919" w14:paraId="40D5E47C" w14:textId="77777777" w:rsidTr="001515D5">
        <w:tc>
          <w:tcPr>
            <w:tcW w:w="4675" w:type="dxa"/>
            <w:vAlign w:val="bottom"/>
          </w:tcPr>
          <w:p w14:paraId="71A1B059" w14:textId="77777777" w:rsidR="00980919" w:rsidRDefault="00980919" w:rsidP="001515D5">
            <w:r>
              <w:t>Beaufort</w:t>
            </w:r>
          </w:p>
        </w:tc>
        <w:tc>
          <w:tcPr>
            <w:tcW w:w="4675" w:type="dxa"/>
            <w:vAlign w:val="bottom"/>
          </w:tcPr>
          <w:p w14:paraId="62F735C0" w14:textId="77777777" w:rsidR="00980919" w:rsidRDefault="00980919" w:rsidP="001515D5">
            <w:r>
              <w:t>10.82645</w:t>
            </w:r>
          </w:p>
        </w:tc>
      </w:tr>
      <w:tr w:rsidR="00980919" w14:paraId="0DC5E119" w14:textId="77777777" w:rsidTr="001515D5">
        <w:tc>
          <w:tcPr>
            <w:tcW w:w="4675" w:type="dxa"/>
            <w:vAlign w:val="bottom"/>
          </w:tcPr>
          <w:p w14:paraId="68AB4BCD" w14:textId="77777777" w:rsidR="00980919" w:rsidRDefault="00980919" w:rsidP="001515D5">
            <w:r>
              <w:t>Berkeley</w:t>
            </w:r>
          </w:p>
        </w:tc>
        <w:tc>
          <w:tcPr>
            <w:tcW w:w="4675" w:type="dxa"/>
            <w:vAlign w:val="bottom"/>
          </w:tcPr>
          <w:p w14:paraId="0E87E0C0" w14:textId="77777777" w:rsidR="00980919" w:rsidRDefault="00980919" w:rsidP="001515D5">
            <w:r>
              <w:t>3.422449</w:t>
            </w:r>
          </w:p>
        </w:tc>
      </w:tr>
      <w:tr w:rsidR="00980919" w14:paraId="49DAAF06" w14:textId="77777777" w:rsidTr="001515D5">
        <w:tc>
          <w:tcPr>
            <w:tcW w:w="4675" w:type="dxa"/>
            <w:vAlign w:val="bottom"/>
          </w:tcPr>
          <w:p w14:paraId="7B592A29" w14:textId="77777777" w:rsidR="00980919" w:rsidRDefault="00980919" w:rsidP="001515D5">
            <w:r>
              <w:t>Calhoun</w:t>
            </w:r>
          </w:p>
        </w:tc>
        <w:tc>
          <w:tcPr>
            <w:tcW w:w="4675" w:type="dxa"/>
            <w:vAlign w:val="bottom"/>
          </w:tcPr>
          <w:p w14:paraId="26B35BEF" w14:textId="77777777" w:rsidR="00980919" w:rsidRDefault="00980919" w:rsidP="001515D5">
            <w:r>
              <w:t>1.374287</w:t>
            </w:r>
          </w:p>
        </w:tc>
      </w:tr>
      <w:tr w:rsidR="00980919" w14:paraId="53492F20" w14:textId="77777777" w:rsidTr="001515D5">
        <w:tc>
          <w:tcPr>
            <w:tcW w:w="4675" w:type="dxa"/>
            <w:vAlign w:val="bottom"/>
          </w:tcPr>
          <w:p w14:paraId="657952CB" w14:textId="77777777" w:rsidR="00980919" w:rsidRDefault="00980919" w:rsidP="001515D5">
            <w:r>
              <w:t>Charleston</w:t>
            </w:r>
          </w:p>
        </w:tc>
        <w:tc>
          <w:tcPr>
            <w:tcW w:w="4675" w:type="dxa"/>
            <w:vAlign w:val="bottom"/>
          </w:tcPr>
          <w:p w14:paraId="7A6A18DF" w14:textId="77777777" w:rsidR="00980919" w:rsidRDefault="00980919" w:rsidP="001515D5">
            <w:r>
              <w:t>24.16105</w:t>
            </w:r>
          </w:p>
        </w:tc>
      </w:tr>
      <w:tr w:rsidR="00980919" w14:paraId="40D8B3EA" w14:textId="77777777" w:rsidTr="001515D5">
        <w:tc>
          <w:tcPr>
            <w:tcW w:w="4675" w:type="dxa"/>
            <w:vAlign w:val="bottom"/>
          </w:tcPr>
          <w:p w14:paraId="39A1D217" w14:textId="77777777" w:rsidR="00980919" w:rsidRDefault="00980919" w:rsidP="001515D5">
            <w:r>
              <w:t>Cherokee</w:t>
            </w:r>
          </w:p>
        </w:tc>
        <w:tc>
          <w:tcPr>
            <w:tcW w:w="4675" w:type="dxa"/>
            <w:vAlign w:val="bottom"/>
          </w:tcPr>
          <w:p w14:paraId="100592AD" w14:textId="77777777" w:rsidR="00980919" w:rsidRDefault="00980919" w:rsidP="001515D5">
            <w:r>
              <w:t>4.537522</w:t>
            </w:r>
          </w:p>
        </w:tc>
      </w:tr>
      <w:tr w:rsidR="00980919" w14:paraId="4C0A812D" w14:textId="77777777" w:rsidTr="001515D5">
        <w:tc>
          <w:tcPr>
            <w:tcW w:w="4675" w:type="dxa"/>
            <w:vAlign w:val="bottom"/>
          </w:tcPr>
          <w:p w14:paraId="547AF345" w14:textId="77777777" w:rsidR="00980919" w:rsidRDefault="00980919" w:rsidP="001515D5">
            <w:r>
              <w:t>Chester</w:t>
            </w:r>
          </w:p>
        </w:tc>
        <w:tc>
          <w:tcPr>
            <w:tcW w:w="4675" w:type="dxa"/>
            <w:vAlign w:val="bottom"/>
          </w:tcPr>
          <w:p w14:paraId="0BD3810D" w14:textId="77777777" w:rsidR="00980919" w:rsidRDefault="00980919" w:rsidP="001515D5">
            <w:r>
              <w:t>3.411487</w:t>
            </w:r>
          </w:p>
        </w:tc>
      </w:tr>
      <w:tr w:rsidR="00980919" w14:paraId="36DE2E1F" w14:textId="77777777" w:rsidTr="001515D5">
        <w:tc>
          <w:tcPr>
            <w:tcW w:w="4675" w:type="dxa"/>
            <w:vAlign w:val="bottom"/>
          </w:tcPr>
          <w:p w14:paraId="4A0A70B1" w14:textId="77777777" w:rsidR="00980919" w:rsidRDefault="00980919" w:rsidP="001515D5">
            <w:r>
              <w:t>Chesterfield</w:t>
            </w:r>
          </w:p>
        </w:tc>
        <w:tc>
          <w:tcPr>
            <w:tcW w:w="4675" w:type="dxa"/>
            <w:vAlign w:val="bottom"/>
          </w:tcPr>
          <w:p w14:paraId="0D920BDF" w14:textId="77777777" w:rsidR="00980919" w:rsidRDefault="00980919" w:rsidP="001515D5">
            <w:r>
              <w:t>2.847755</w:t>
            </w:r>
          </w:p>
        </w:tc>
      </w:tr>
      <w:tr w:rsidR="00980919" w14:paraId="75C2040D" w14:textId="77777777" w:rsidTr="001515D5">
        <w:tc>
          <w:tcPr>
            <w:tcW w:w="4675" w:type="dxa"/>
            <w:vAlign w:val="bottom"/>
          </w:tcPr>
          <w:p w14:paraId="049C3960" w14:textId="77777777" w:rsidR="00980919" w:rsidRDefault="00980919" w:rsidP="001515D5">
            <w:r>
              <w:t>Clarendon</w:t>
            </w:r>
          </w:p>
        </w:tc>
        <w:tc>
          <w:tcPr>
            <w:tcW w:w="4675" w:type="dxa"/>
            <w:vAlign w:val="bottom"/>
          </w:tcPr>
          <w:p w14:paraId="7851D0BE" w14:textId="77777777" w:rsidR="00980919" w:rsidRDefault="00980919" w:rsidP="001515D5">
            <w:r>
              <w:t>6.815825</w:t>
            </w:r>
          </w:p>
        </w:tc>
      </w:tr>
      <w:tr w:rsidR="00980919" w14:paraId="296BFB9D" w14:textId="77777777" w:rsidTr="001515D5">
        <w:tc>
          <w:tcPr>
            <w:tcW w:w="4675" w:type="dxa"/>
            <w:vAlign w:val="bottom"/>
          </w:tcPr>
          <w:p w14:paraId="2F2270AB" w14:textId="77777777" w:rsidR="00980919" w:rsidRDefault="00980919" w:rsidP="001515D5">
            <w:r>
              <w:t>Colleton</w:t>
            </w:r>
          </w:p>
        </w:tc>
        <w:tc>
          <w:tcPr>
            <w:tcW w:w="4675" w:type="dxa"/>
            <w:vAlign w:val="bottom"/>
          </w:tcPr>
          <w:p w14:paraId="57491308" w14:textId="77777777" w:rsidR="00980919" w:rsidRDefault="00980919" w:rsidP="001515D5">
            <w:r>
              <w:t>7.43159</w:t>
            </w:r>
          </w:p>
        </w:tc>
      </w:tr>
      <w:tr w:rsidR="00980919" w14:paraId="30701B9F" w14:textId="77777777" w:rsidTr="001515D5">
        <w:tc>
          <w:tcPr>
            <w:tcW w:w="4675" w:type="dxa"/>
            <w:vAlign w:val="bottom"/>
          </w:tcPr>
          <w:p w14:paraId="2EA08A7B" w14:textId="77777777" w:rsidR="00980919" w:rsidRDefault="00980919" w:rsidP="001515D5">
            <w:r>
              <w:t>Darlington</w:t>
            </w:r>
          </w:p>
        </w:tc>
        <w:tc>
          <w:tcPr>
            <w:tcW w:w="4675" w:type="dxa"/>
            <w:vAlign w:val="bottom"/>
          </w:tcPr>
          <w:p w14:paraId="5FED5F5B" w14:textId="77777777" w:rsidR="00980919" w:rsidRDefault="00980919" w:rsidP="001515D5">
            <w:r>
              <w:t>7.655589</w:t>
            </w:r>
          </w:p>
        </w:tc>
      </w:tr>
      <w:tr w:rsidR="00980919" w14:paraId="3F26D61E" w14:textId="77777777" w:rsidTr="001515D5">
        <w:tc>
          <w:tcPr>
            <w:tcW w:w="4675" w:type="dxa"/>
            <w:vAlign w:val="bottom"/>
          </w:tcPr>
          <w:p w14:paraId="57E07C60" w14:textId="77777777" w:rsidR="00980919" w:rsidRDefault="00980919" w:rsidP="001515D5">
            <w:r>
              <w:t>Dillon</w:t>
            </w:r>
          </w:p>
        </w:tc>
        <w:tc>
          <w:tcPr>
            <w:tcW w:w="4675" w:type="dxa"/>
            <w:vAlign w:val="bottom"/>
          </w:tcPr>
          <w:p w14:paraId="5A105201" w14:textId="77777777" w:rsidR="00980919" w:rsidRDefault="00980919" w:rsidP="001515D5">
            <w:r>
              <w:t>7.218085</w:t>
            </w:r>
          </w:p>
        </w:tc>
      </w:tr>
      <w:tr w:rsidR="00980919" w14:paraId="05299EDC" w14:textId="77777777" w:rsidTr="001515D5">
        <w:tc>
          <w:tcPr>
            <w:tcW w:w="4675" w:type="dxa"/>
            <w:vAlign w:val="bottom"/>
          </w:tcPr>
          <w:p w14:paraId="4FF10A00" w14:textId="77777777" w:rsidR="00980919" w:rsidRDefault="00980919" w:rsidP="001515D5">
            <w:r>
              <w:t>Dorchester</w:t>
            </w:r>
          </w:p>
        </w:tc>
        <w:tc>
          <w:tcPr>
            <w:tcW w:w="4675" w:type="dxa"/>
            <w:vAlign w:val="bottom"/>
          </w:tcPr>
          <w:p w14:paraId="6D197851" w14:textId="77777777" w:rsidR="00980919" w:rsidRDefault="00980919" w:rsidP="001515D5">
            <w:r>
              <w:t>6.203588</w:t>
            </w:r>
          </w:p>
        </w:tc>
      </w:tr>
      <w:tr w:rsidR="00980919" w14:paraId="3814C9C6" w14:textId="77777777" w:rsidTr="001515D5">
        <w:tc>
          <w:tcPr>
            <w:tcW w:w="4675" w:type="dxa"/>
            <w:vAlign w:val="bottom"/>
          </w:tcPr>
          <w:p w14:paraId="28C012E6" w14:textId="77777777" w:rsidR="00980919" w:rsidRDefault="00980919" w:rsidP="001515D5">
            <w:r>
              <w:t>Edgefield</w:t>
            </w:r>
          </w:p>
        </w:tc>
        <w:tc>
          <w:tcPr>
            <w:tcW w:w="4675" w:type="dxa"/>
            <w:vAlign w:val="bottom"/>
          </w:tcPr>
          <w:p w14:paraId="6BA1C523" w14:textId="77777777" w:rsidR="00980919" w:rsidRDefault="00980919" w:rsidP="001515D5">
            <w:r>
              <w:t>4.035216</w:t>
            </w:r>
          </w:p>
        </w:tc>
      </w:tr>
      <w:tr w:rsidR="00980919" w14:paraId="738A9C73" w14:textId="77777777" w:rsidTr="001515D5">
        <w:tc>
          <w:tcPr>
            <w:tcW w:w="4675" w:type="dxa"/>
            <w:vAlign w:val="bottom"/>
          </w:tcPr>
          <w:p w14:paraId="108D86BA" w14:textId="77777777" w:rsidR="00980919" w:rsidRDefault="00980919" w:rsidP="001515D5">
            <w:r>
              <w:t>Fairfield</w:t>
            </w:r>
          </w:p>
        </w:tc>
        <w:tc>
          <w:tcPr>
            <w:tcW w:w="4675" w:type="dxa"/>
            <w:vAlign w:val="bottom"/>
          </w:tcPr>
          <w:p w14:paraId="20764039" w14:textId="77777777" w:rsidR="00980919" w:rsidRDefault="00980919" w:rsidP="001515D5">
            <w:r>
              <w:t>4.922361</w:t>
            </w:r>
          </w:p>
        </w:tc>
      </w:tr>
      <w:tr w:rsidR="00980919" w14:paraId="33A1FC70" w14:textId="77777777" w:rsidTr="001515D5">
        <w:tc>
          <w:tcPr>
            <w:tcW w:w="4675" w:type="dxa"/>
            <w:vAlign w:val="bottom"/>
          </w:tcPr>
          <w:p w14:paraId="27A0EE80" w14:textId="77777777" w:rsidR="00980919" w:rsidRDefault="00980919" w:rsidP="001515D5">
            <w:r>
              <w:t>Florence</w:t>
            </w:r>
          </w:p>
        </w:tc>
        <w:tc>
          <w:tcPr>
            <w:tcW w:w="4675" w:type="dxa"/>
            <w:vAlign w:val="bottom"/>
          </w:tcPr>
          <w:p w14:paraId="63EA6E9A" w14:textId="77777777" w:rsidR="00980919" w:rsidRDefault="00980919" w:rsidP="001515D5">
            <w:r>
              <w:t>15.98056</w:t>
            </w:r>
          </w:p>
        </w:tc>
      </w:tr>
      <w:tr w:rsidR="00980919" w14:paraId="3A09C93D" w14:textId="77777777" w:rsidTr="001515D5">
        <w:tc>
          <w:tcPr>
            <w:tcW w:w="4675" w:type="dxa"/>
            <w:vAlign w:val="bottom"/>
          </w:tcPr>
          <w:p w14:paraId="685E1D24" w14:textId="77777777" w:rsidR="00980919" w:rsidRDefault="00980919" w:rsidP="001515D5">
            <w:r>
              <w:t>Georgetown</w:t>
            </w:r>
          </w:p>
        </w:tc>
        <w:tc>
          <w:tcPr>
            <w:tcW w:w="4675" w:type="dxa"/>
            <w:vAlign w:val="bottom"/>
          </w:tcPr>
          <w:p w14:paraId="7D90E0B7" w14:textId="77777777" w:rsidR="00980919" w:rsidRDefault="00980919" w:rsidP="001515D5">
            <w:r>
              <w:t>11.48692</w:t>
            </w:r>
          </w:p>
        </w:tc>
      </w:tr>
      <w:tr w:rsidR="00980919" w14:paraId="5F13F394" w14:textId="77777777" w:rsidTr="001515D5">
        <w:tc>
          <w:tcPr>
            <w:tcW w:w="4675" w:type="dxa"/>
            <w:vAlign w:val="bottom"/>
          </w:tcPr>
          <w:p w14:paraId="2479ED46" w14:textId="77777777" w:rsidR="00980919" w:rsidRDefault="00980919" w:rsidP="001515D5">
            <w:r>
              <w:t>Greenville</w:t>
            </w:r>
          </w:p>
        </w:tc>
        <w:tc>
          <w:tcPr>
            <w:tcW w:w="4675" w:type="dxa"/>
            <w:vAlign w:val="bottom"/>
          </w:tcPr>
          <w:p w14:paraId="74904E2C" w14:textId="77777777" w:rsidR="00980919" w:rsidRDefault="00980919" w:rsidP="001515D5">
            <w:r>
              <w:t>17.57261</w:t>
            </w:r>
          </w:p>
        </w:tc>
      </w:tr>
      <w:tr w:rsidR="00980919" w14:paraId="30F35B07" w14:textId="77777777" w:rsidTr="001515D5">
        <w:tc>
          <w:tcPr>
            <w:tcW w:w="4675" w:type="dxa"/>
            <w:vAlign w:val="bottom"/>
          </w:tcPr>
          <w:p w14:paraId="1B746FE0" w14:textId="77777777" w:rsidR="00980919" w:rsidRDefault="00980919" w:rsidP="001515D5">
            <w:r>
              <w:t>Greenwood</w:t>
            </w:r>
          </w:p>
        </w:tc>
        <w:tc>
          <w:tcPr>
            <w:tcW w:w="4675" w:type="dxa"/>
            <w:vAlign w:val="bottom"/>
          </w:tcPr>
          <w:p w14:paraId="5CF4A88F" w14:textId="77777777" w:rsidR="00980919" w:rsidRDefault="00980919" w:rsidP="001515D5">
            <w:r>
              <w:t>12.00378</w:t>
            </w:r>
          </w:p>
        </w:tc>
      </w:tr>
      <w:tr w:rsidR="00980919" w14:paraId="0B7898F7" w14:textId="77777777" w:rsidTr="001515D5">
        <w:tc>
          <w:tcPr>
            <w:tcW w:w="4675" w:type="dxa"/>
            <w:vAlign w:val="bottom"/>
          </w:tcPr>
          <w:p w14:paraId="02F7F6A9" w14:textId="77777777" w:rsidR="00980919" w:rsidRDefault="00980919" w:rsidP="001515D5">
            <w:r>
              <w:t>Hampton</w:t>
            </w:r>
          </w:p>
        </w:tc>
        <w:tc>
          <w:tcPr>
            <w:tcW w:w="4675" w:type="dxa"/>
            <w:vAlign w:val="bottom"/>
          </w:tcPr>
          <w:p w14:paraId="7DBE6012" w14:textId="77777777" w:rsidR="00980919" w:rsidRDefault="00980919" w:rsidP="001515D5">
            <w:r>
              <w:t>12.48569</w:t>
            </w:r>
          </w:p>
        </w:tc>
      </w:tr>
      <w:tr w:rsidR="00980919" w14:paraId="7EAF1CAE" w14:textId="77777777" w:rsidTr="001515D5">
        <w:tc>
          <w:tcPr>
            <w:tcW w:w="4675" w:type="dxa"/>
            <w:vAlign w:val="bottom"/>
          </w:tcPr>
          <w:p w14:paraId="2C9100E4" w14:textId="77777777" w:rsidR="00980919" w:rsidRDefault="00980919" w:rsidP="001515D5">
            <w:r>
              <w:t>Horry</w:t>
            </w:r>
          </w:p>
        </w:tc>
        <w:tc>
          <w:tcPr>
            <w:tcW w:w="4675" w:type="dxa"/>
            <w:vAlign w:val="bottom"/>
          </w:tcPr>
          <w:p w14:paraId="51DBF767" w14:textId="77777777" w:rsidR="00980919" w:rsidRDefault="00980919" w:rsidP="001515D5">
            <w:r>
              <w:t>10.16717</w:t>
            </w:r>
          </w:p>
        </w:tc>
      </w:tr>
      <w:tr w:rsidR="00980919" w14:paraId="588002FD" w14:textId="77777777" w:rsidTr="001515D5">
        <w:tc>
          <w:tcPr>
            <w:tcW w:w="4675" w:type="dxa"/>
            <w:vAlign w:val="bottom"/>
          </w:tcPr>
          <w:p w14:paraId="1EEC3F7E" w14:textId="77777777" w:rsidR="00980919" w:rsidRDefault="00980919" w:rsidP="001515D5">
            <w:r>
              <w:t>Jasper</w:t>
            </w:r>
          </w:p>
        </w:tc>
        <w:tc>
          <w:tcPr>
            <w:tcW w:w="4675" w:type="dxa"/>
            <w:vAlign w:val="bottom"/>
          </w:tcPr>
          <w:p w14:paraId="684C770C" w14:textId="77777777" w:rsidR="00980919" w:rsidRDefault="00980919" w:rsidP="001515D5">
            <w:r>
              <w:t>5.985435</w:t>
            </w:r>
          </w:p>
        </w:tc>
      </w:tr>
      <w:tr w:rsidR="00980919" w14:paraId="4916C50B" w14:textId="77777777" w:rsidTr="001515D5">
        <w:tc>
          <w:tcPr>
            <w:tcW w:w="4675" w:type="dxa"/>
            <w:vAlign w:val="bottom"/>
          </w:tcPr>
          <w:p w14:paraId="41FF98E0" w14:textId="77777777" w:rsidR="00980919" w:rsidRDefault="00980919" w:rsidP="001515D5">
            <w:r>
              <w:t>Kershaw</w:t>
            </w:r>
          </w:p>
        </w:tc>
        <w:tc>
          <w:tcPr>
            <w:tcW w:w="4675" w:type="dxa"/>
            <w:vAlign w:val="bottom"/>
          </w:tcPr>
          <w:p w14:paraId="0598919C" w14:textId="77777777" w:rsidR="00980919" w:rsidRDefault="00980919" w:rsidP="001515D5">
            <w:r>
              <w:t>7.663296</w:t>
            </w:r>
          </w:p>
        </w:tc>
      </w:tr>
      <w:tr w:rsidR="00980919" w14:paraId="3056FBE3" w14:textId="77777777" w:rsidTr="001515D5">
        <w:tc>
          <w:tcPr>
            <w:tcW w:w="4675" w:type="dxa"/>
            <w:vAlign w:val="bottom"/>
          </w:tcPr>
          <w:p w14:paraId="099219C1" w14:textId="77777777" w:rsidR="00980919" w:rsidRDefault="00980919" w:rsidP="001515D5">
            <w:r>
              <w:t>Lancaster</w:t>
            </w:r>
          </w:p>
        </w:tc>
        <w:tc>
          <w:tcPr>
            <w:tcW w:w="4675" w:type="dxa"/>
            <w:vAlign w:val="bottom"/>
          </w:tcPr>
          <w:p w14:paraId="44F2C406" w14:textId="77777777" w:rsidR="00980919" w:rsidRDefault="00980919" w:rsidP="001515D5">
            <w:r>
              <w:t>6.835898</w:t>
            </w:r>
          </w:p>
        </w:tc>
      </w:tr>
      <w:tr w:rsidR="00980919" w14:paraId="6CEFCCFC" w14:textId="77777777" w:rsidTr="001515D5">
        <w:tc>
          <w:tcPr>
            <w:tcW w:w="4675" w:type="dxa"/>
            <w:vAlign w:val="bottom"/>
          </w:tcPr>
          <w:p w14:paraId="140A07E9" w14:textId="77777777" w:rsidR="00980919" w:rsidRDefault="00980919" w:rsidP="001515D5">
            <w:r>
              <w:t>Laurens</w:t>
            </w:r>
          </w:p>
        </w:tc>
        <w:tc>
          <w:tcPr>
            <w:tcW w:w="4675" w:type="dxa"/>
            <w:vAlign w:val="bottom"/>
          </w:tcPr>
          <w:p w14:paraId="5FDE4451" w14:textId="77777777" w:rsidR="00980919" w:rsidRDefault="00980919" w:rsidP="001515D5">
            <w:r>
              <w:t>4.444905</w:t>
            </w:r>
          </w:p>
        </w:tc>
      </w:tr>
      <w:tr w:rsidR="00980919" w14:paraId="48B0BCF4" w14:textId="77777777" w:rsidTr="001515D5">
        <w:tc>
          <w:tcPr>
            <w:tcW w:w="4675" w:type="dxa"/>
            <w:vAlign w:val="bottom"/>
          </w:tcPr>
          <w:p w14:paraId="4697DF86" w14:textId="77777777" w:rsidR="00980919" w:rsidRDefault="00980919" w:rsidP="001515D5">
            <w:r>
              <w:t>Lee</w:t>
            </w:r>
          </w:p>
        </w:tc>
        <w:tc>
          <w:tcPr>
            <w:tcW w:w="4675" w:type="dxa"/>
            <w:vAlign w:val="bottom"/>
          </w:tcPr>
          <w:p w14:paraId="4B66FACF" w14:textId="77777777" w:rsidR="00980919" w:rsidRDefault="00980919" w:rsidP="001515D5">
            <w:r>
              <w:t>4.159734</w:t>
            </w:r>
          </w:p>
        </w:tc>
      </w:tr>
      <w:tr w:rsidR="00980919" w14:paraId="3B945109" w14:textId="77777777" w:rsidTr="001515D5">
        <w:tc>
          <w:tcPr>
            <w:tcW w:w="4675" w:type="dxa"/>
            <w:vAlign w:val="bottom"/>
          </w:tcPr>
          <w:p w14:paraId="3F4DA9BE" w14:textId="77777777" w:rsidR="00980919" w:rsidRDefault="00980919" w:rsidP="001515D5">
            <w:r>
              <w:t>Lexington</w:t>
            </w:r>
          </w:p>
        </w:tc>
        <w:tc>
          <w:tcPr>
            <w:tcW w:w="4675" w:type="dxa"/>
            <w:vAlign w:val="bottom"/>
          </w:tcPr>
          <w:p w14:paraId="2175B458" w14:textId="77777777" w:rsidR="00980919" w:rsidRDefault="00980919" w:rsidP="001515D5">
            <w:r>
              <w:t>10.07531</w:t>
            </w:r>
          </w:p>
        </w:tc>
      </w:tr>
      <w:tr w:rsidR="00980919" w14:paraId="3901CAC8" w14:textId="77777777" w:rsidTr="001515D5">
        <w:tc>
          <w:tcPr>
            <w:tcW w:w="4675" w:type="dxa"/>
            <w:vAlign w:val="bottom"/>
          </w:tcPr>
          <w:p w14:paraId="43F5A188" w14:textId="77777777" w:rsidR="00980919" w:rsidRDefault="00980919" w:rsidP="001515D5">
            <w:r>
              <w:t>McCormick</w:t>
            </w:r>
          </w:p>
        </w:tc>
        <w:tc>
          <w:tcPr>
            <w:tcW w:w="4675" w:type="dxa"/>
            <w:vAlign w:val="bottom"/>
          </w:tcPr>
          <w:p w14:paraId="4142C163" w14:textId="77777777" w:rsidR="00980919" w:rsidRDefault="00980919" w:rsidP="001515D5">
            <w:r>
              <w:t>3.170242</w:t>
            </w:r>
          </w:p>
        </w:tc>
      </w:tr>
      <w:tr w:rsidR="00980919" w14:paraId="77F4B625" w14:textId="77777777" w:rsidTr="001515D5">
        <w:tc>
          <w:tcPr>
            <w:tcW w:w="4675" w:type="dxa"/>
            <w:vAlign w:val="bottom"/>
          </w:tcPr>
          <w:p w14:paraId="14CD3001" w14:textId="77777777" w:rsidR="00980919" w:rsidRDefault="00980919" w:rsidP="001515D5">
            <w:r>
              <w:t>Marion</w:t>
            </w:r>
          </w:p>
        </w:tc>
        <w:tc>
          <w:tcPr>
            <w:tcW w:w="4675" w:type="dxa"/>
            <w:vAlign w:val="bottom"/>
          </w:tcPr>
          <w:p w14:paraId="1EB74592" w14:textId="77777777" w:rsidR="00980919" w:rsidRDefault="00980919" w:rsidP="001515D5">
            <w:r>
              <w:t>7.502365</w:t>
            </w:r>
          </w:p>
        </w:tc>
      </w:tr>
      <w:tr w:rsidR="00980919" w14:paraId="473D2432" w14:textId="77777777" w:rsidTr="001515D5">
        <w:tc>
          <w:tcPr>
            <w:tcW w:w="4675" w:type="dxa"/>
            <w:vAlign w:val="bottom"/>
          </w:tcPr>
          <w:p w14:paraId="01FCADEB" w14:textId="77777777" w:rsidR="00980919" w:rsidRDefault="00980919" w:rsidP="001515D5">
            <w:r>
              <w:t>Marlboro</w:t>
            </w:r>
          </w:p>
        </w:tc>
        <w:tc>
          <w:tcPr>
            <w:tcW w:w="4675" w:type="dxa"/>
            <w:vAlign w:val="bottom"/>
          </w:tcPr>
          <w:p w14:paraId="55A8C93E" w14:textId="77777777" w:rsidR="00980919" w:rsidRDefault="00980919" w:rsidP="001515D5">
            <w:r>
              <w:t>5.743166</w:t>
            </w:r>
          </w:p>
        </w:tc>
      </w:tr>
      <w:tr w:rsidR="00980919" w14:paraId="513610DC" w14:textId="77777777" w:rsidTr="001515D5">
        <w:tc>
          <w:tcPr>
            <w:tcW w:w="4675" w:type="dxa"/>
            <w:vAlign w:val="bottom"/>
          </w:tcPr>
          <w:p w14:paraId="0FA26663" w14:textId="77777777" w:rsidR="00980919" w:rsidRDefault="00980919" w:rsidP="001515D5">
            <w:r>
              <w:t>Newberry</w:t>
            </w:r>
          </w:p>
        </w:tc>
        <w:tc>
          <w:tcPr>
            <w:tcW w:w="4675" w:type="dxa"/>
            <w:vAlign w:val="bottom"/>
          </w:tcPr>
          <w:p w14:paraId="643E9DBC" w14:textId="77777777" w:rsidR="00980919" w:rsidRDefault="00980919" w:rsidP="001515D5">
            <w:r>
              <w:t>5.202914</w:t>
            </w:r>
          </w:p>
        </w:tc>
      </w:tr>
      <w:tr w:rsidR="00980919" w14:paraId="11C313F3" w14:textId="77777777" w:rsidTr="001515D5">
        <w:tc>
          <w:tcPr>
            <w:tcW w:w="4675" w:type="dxa"/>
            <w:vAlign w:val="bottom"/>
          </w:tcPr>
          <w:p w14:paraId="2231A06A" w14:textId="77777777" w:rsidR="00980919" w:rsidRDefault="00980919" w:rsidP="001515D5">
            <w:r>
              <w:lastRenderedPageBreak/>
              <w:t>Oconee</w:t>
            </w:r>
          </w:p>
        </w:tc>
        <w:tc>
          <w:tcPr>
            <w:tcW w:w="4675" w:type="dxa"/>
            <w:vAlign w:val="bottom"/>
          </w:tcPr>
          <w:p w14:paraId="64E3C9D6" w14:textId="77777777" w:rsidR="00980919" w:rsidRDefault="00980919" w:rsidP="001515D5">
            <w:r>
              <w:t>8.79994</w:t>
            </w:r>
          </w:p>
        </w:tc>
      </w:tr>
      <w:tr w:rsidR="00980919" w14:paraId="56733637" w14:textId="77777777" w:rsidTr="001515D5">
        <w:tc>
          <w:tcPr>
            <w:tcW w:w="4675" w:type="dxa"/>
            <w:vAlign w:val="bottom"/>
          </w:tcPr>
          <w:p w14:paraId="03E118C3" w14:textId="77777777" w:rsidR="00980919" w:rsidRDefault="00980919" w:rsidP="001515D5">
            <w:r>
              <w:t>Orangeburg</w:t>
            </w:r>
          </w:p>
        </w:tc>
        <w:tc>
          <w:tcPr>
            <w:tcW w:w="4675" w:type="dxa"/>
            <w:vAlign w:val="bottom"/>
          </w:tcPr>
          <w:p w14:paraId="6D7FAF41" w14:textId="77777777" w:rsidR="00980919" w:rsidRDefault="00980919" w:rsidP="001515D5">
            <w:r>
              <w:t>8.355091</w:t>
            </w:r>
          </w:p>
        </w:tc>
      </w:tr>
      <w:tr w:rsidR="00980919" w14:paraId="7300DFB3" w14:textId="77777777" w:rsidTr="001515D5">
        <w:tc>
          <w:tcPr>
            <w:tcW w:w="4675" w:type="dxa"/>
            <w:vAlign w:val="bottom"/>
          </w:tcPr>
          <w:p w14:paraId="1CF3C183" w14:textId="77777777" w:rsidR="00980919" w:rsidRDefault="00980919" w:rsidP="001515D5">
            <w:r>
              <w:t>Pickens</w:t>
            </w:r>
          </w:p>
        </w:tc>
        <w:tc>
          <w:tcPr>
            <w:tcW w:w="4675" w:type="dxa"/>
            <w:vAlign w:val="bottom"/>
          </w:tcPr>
          <w:p w14:paraId="4E5376C9" w14:textId="77777777" w:rsidR="00980919" w:rsidRDefault="00980919" w:rsidP="001515D5">
            <w:r>
              <w:t>7.329529</w:t>
            </w:r>
          </w:p>
        </w:tc>
      </w:tr>
      <w:tr w:rsidR="00980919" w14:paraId="298E45D3" w14:textId="77777777" w:rsidTr="001515D5">
        <w:tc>
          <w:tcPr>
            <w:tcW w:w="4675" w:type="dxa"/>
            <w:vAlign w:val="bottom"/>
          </w:tcPr>
          <w:p w14:paraId="0392B856" w14:textId="77777777" w:rsidR="00980919" w:rsidRDefault="00980919" w:rsidP="001515D5">
            <w:r>
              <w:t>Richland</w:t>
            </w:r>
          </w:p>
        </w:tc>
        <w:tc>
          <w:tcPr>
            <w:tcW w:w="4675" w:type="dxa"/>
            <w:vAlign w:val="bottom"/>
          </w:tcPr>
          <w:p w14:paraId="2EB67AB5" w14:textId="77777777" w:rsidR="00980919" w:rsidRDefault="00980919" w:rsidP="001515D5">
            <w:r>
              <w:t>16.86073</w:t>
            </w:r>
          </w:p>
        </w:tc>
      </w:tr>
      <w:tr w:rsidR="00980919" w14:paraId="415755F5" w14:textId="77777777" w:rsidTr="001515D5">
        <w:tc>
          <w:tcPr>
            <w:tcW w:w="4675" w:type="dxa"/>
            <w:vAlign w:val="bottom"/>
          </w:tcPr>
          <w:p w14:paraId="521981D9" w14:textId="77777777" w:rsidR="00980919" w:rsidRDefault="00980919" w:rsidP="001515D5">
            <w:r>
              <w:t>Saluda</w:t>
            </w:r>
          </w:p>
        </w:tc>
        <w:tc>
          <w:tcPr>
            <w:tcW w:w="4675" w:type="dxa"/>
            <w:vAlign w:val="bottom"/>
          </w:tcPr>
          <w:p w14:paraId="379745A3" w14:textId="77777777" w:rsidR="00980919" w:rsidRDefault="00980919" w:rsidP="001515D5">
            <w:r>
              <w:t>3.419137</w:t>
            </w:r>
          </w:p>
        </w:tc>
      </w:tr>
      <w:tr w:rsidR="00980919" w14:paraId="38DE1E32" w14:textId="77777777" w:rsidTr="001515D5">
        <w:tc>
          <w:tcPr>
            <w:tcW w:w="4675" w:type="dxa"/>
            <w:vAlign w:val="bottom"/>
          </w:tcPr>
          <w:p w14:paraId="4E896661" w14:textId="77777777" w:rsidR="00980919" w:rsidRDefault="00980919" w:rsidP="001515D5">
            <w:r>
              <w:t>Spartanburg</w:t>
            </w:r>
          </w:p>
        </w:tc>
        <w:tc>
          <w:tcPr>
            <w:tcW w:w="4675" w:type="dxa"/>
            <w:vAlign w:val="bottom"/>
          </w:tcPr>
          <w:p w14:paraId="082970EE" w14:textId="77777777" w:rsidR="00980919" w:rsidRDefault="00980919" w:rsidP="001515D5">
            <w:r>
              <w:t>11.78917</w:t>
            </w:r>
          </w:p>
        </w:tc>
      </w:tr>
      <w:tr w:rsidR="00980919" w14:paraId="75E6FD49" w14:textId="77777777" w:rsidTr="001515D5">
        <w:tc>
          <w:tcPr>
            <w:tcW w:w="4675" w:type="dxa"/>
            <w:vAlign w:val="bottom"/>
          </w:tcPr>
          <w:p w14:paraId="3C3945CC" w14:textId="77777777" w:rsidR="00980919" w:rsidRDefault="00980919" w:rsidP="001515D5">
            <w:r>
              <w:t>Sumter</w:t>
            </w:r>
          </w:p>
        </w:tc>
        <w:tc>
          <w:tcPr>
            <w:tcW w:w="4675" w:type="dxa"/>
            <w:vAlign w:val="bottom"/>
          </w:tcPr>
          <w:p w14:paraId="7C377095" w14:textId="77777777" w:rsidR="00980919" w:rsidRDefault="00980919" w:rsidP="001515D5">
            <w:r>
              <w:t>8.339502</w:t>
            </w:r>
          </w:p>
        </w:tc>
      </w:tr>
      <w:tr w:rsidR="00980919" w14:paraId="65658FF6" w14:textId="77777777" w:rsidTr="001515D5">
        <w:tc>
          <w:tcPr>
            <w:tcW w:w="4675" w:type="dxa"/>
            <w:vAlign w:val="bottom"/>
          </w:tcPr>
          <w:p w14:paraId="398FCEC8" w14:textId="77777777" w:rsidR="00980919" w:rsidRDefault="00980919" w:rsidP="001515D5">
            <w:r>
              <w:t>Union</w:t>
            </w:r>
          </w:p>
        </w:tc>
        <w:tc>
          <w:tcPr>
            <w:tcW w:w="4675" w:type="dxa"/>
            <w:vAlign w:val="bottom"/>
          </w:tcPr>
          <w:p w14:paraId="5CFCB2D5" w14:textId="77777777" w:rsidR="00980919" w:rsidRDefault="00980919" w:rsidP="001515D5">
            <w:r>
              <w:t>6.223459</w:t>
            </w:r>
          </w:p>
        </w:tc>
      </w:tr>
      <w:tr w:rsidR="00980919" w14:paraId="7C79104D" w14:textId="77777777" w:rsidTr="001515D5">
        <w:tc>
          <w:tcPr>
            <w:tcW w:w="4675" w:type="dxa"/>
            <w:vAlign w:val="bottom"/>
          </w:tcPr>
          <w:p w14:paraId="0450B081" w14:textId="77777777" w:rsidR="00980919" w:rsidRDefault="00980919" w:rsidP="001515D5">
            <w:r>
              <w:t>Williamsburg</w:t>
            </w:r>
          </w:p>
        </w:tc>
        <w:tc>
          <w:tcPr>
            <w:tcW w:w="4675" w:type="dxa"/>
            <w:vAlign w:val="bottom"/>
          </w:tcPr>
          <w:p w14:paraId="268FFA10" w14:textId="77777777" w:rsidR="00980919" w:rsidRDefault="00980919" w:rsidP="001515D5">
            <w:r>
              <w:t>2.305058</w:t>
            </w:r>
          </w:p>
        </w:tc>
      </w:tr>
      <w:tr w:rsidR="00980919" w14:paraId="7F9C6835" w14:textId="77777777" w:rsidTr="001515D5">
        <w:tc>
          <w:tcPr>
            <w:tcW w:w="4675" w:type="dxa"/>
            <w:vAlign w:val="bottom"/>
          </w:tcPr>
          <w:p w14:paraId="4B7347AB" w14:textId="77777777" w:rsidR="00980919" w:rsidRDefault="00980919" w:rsidP="001515D5">
            <w:r>
              <w:t>York</w:t>
            </w:r>
          </w:p>
        </w:tc>
        <w:tc>
          <w:tcPr>
            <w:tcW w:w="4675" w:type="dxa"/>
            <w:vAlign w:val="bottom"/>
          </w:tcPr>
          <w:p w14:paraId="209141F7" w14:textId="77777777" w:rsidR="00980919" w:rsidRDefault="00980919" w:rsidP="001515D5">
            <w:r>
              <w:t>9.43131</w:t>
            </w:r>
          </w:p>
        </w:tc>
      </w:tr>
    </w:tbl>
    <w:p w14:paraId="2E56C466" w14:textId="77777777" w:rsidR="00980919" w:rsidRDefault="00980919" w:rsidP="00980919">
      <w:r w:rsidRPr="002F08EB">
        <w:t>Source: SC Office of Health care Workforce Health Professionals Data Book, 2021</w:t>
      </w:r>
      <w:r>
        <w:t>.</w:t>
      </w:r>
    </w:p>
    <w:p w14:paraId="0C3A33AB" w14:textId="77777777" w:rsidR="00980919" w:rsidRDefault="00980919" w:rsidP="00980919"/>
    <w:p w14:paraId="51B93C5E" w14:textId="77777777" w:rsidR="00980919" w:rsidRDefault="00980919" w:rsidP="00980919">
      <w:pPr>
        <w:pStyle w:val="Heading4"/>
      </w:pPr>
      <w:bookmarkStart w:id="348" w:name="_Toc154569850"/>
      <w:bookmarkStart w:id="349" w:name="_Toc162267224"/>
      <w:r w:rsidRPr="002F08EB">
        <w:t>Figure 6.4</w:t>
      </w:r>
      <w:r>
        <w:t>2</w:t>
      </w:r>
      <w:r w:rsidRPr="002F08EB">
        <w:t>: Nurse Practitioners and Physician Associates, by Rurality</w:t>
      </w:r>
      <w:r>
        <w:t>.</w:t>
      </w:r>
      <w:bookmarkEnd w:id="348"/>
      <w:bookmarkEnd w:id="349"/>
    </w:p>
    <w:p w14:paraId="4A4DCEA5" w14:textId="77777777" w:rsidR="00980919" w:rsidRPr="0090330A" w:rsidRDefault="00980919" w:rsidP="00980919">
      <w:pPr>
        <w:pStyle w:val="Heading5"/>
      </w:pPr>
      <w:r w:rsidRPr="0090330A">
        <w:t>Rate per 10,000 population.</w:t>
      </w:r>
    </w:p>
    <w:tbl>
      <w:tblPr>
        <w:tblStyle w:val="TableGrid"/>
        <w:tblW w:w="0" w:type="auto"/>
        <w:tblLook w:val="04A0" w:firstRow="1" w:lastRow="0" w:firstColumn="1" w:lastColumn="0" w:noHBand="0" w:noVBand="1"/>
      </w:tblPr>
      <w:tblGrid>
        <w:gridCol w:w="4675"/>
        <w:gridCol w:w="4675"/>
      </w:tblGrid>
      <w:tr w:rsidR="00980919" w14:paraId="07509209" w14:textId="77777777" w:rsidTr="001515D5">
        <w:tc>
          <w:tcPr>
            <w:tcW w:w="4675" w:type="dxa"/>
            <w:vAlign w:val="bottom"/>
          </w:tcPr>
          <w:p w14:paraId="25FD6A62" w14:textId="77777777" w:rsidR="00980919" w:rsidRPr="0090330A" w:rsidRDefault="00980919" w:rsidP="001515D5">
            <w:r>
              <w:t>Rurality</w:t>
            </w:r>
          </w:p>
        </w:tc>
        <w:tc>
          <w:tcPr>
            <w:tcW w:w="4675" w:type="dxa"/>
            <w:vAlign w:val="bottom"/>
          </w:tcPr>
          <w:p w14:paraId="05E6EE4C" w14:textId="1ED6C625" w:rsidR="00980919" w:rsidRPr="0090330A" w:rsidRDefault="00980919" w:rsidP="001515D5">
            <w:r w:rsidRPr="0090330A">
              <w:t>Rate</w:t>
            </w:r>
          </w:p>
        </w:tc>
      </w:tr>
      <w:tr w:rsidR="00980919" w14:paraId="13C7DA6A" w14:textId="77777777" w:rsidTr="001515D5">
        <w:tc>
          <w:tcPr>
            <w:tcW w:w="4675" w:type="dxa"/>
            <w:vAlign w:val="bottom"/>
          </w:tcPr>
          <w:p w14:paraId="38FF0E21" w14:textId="77777777" w:rsidR="00980919" w:rsidRPr="0090330A" w:rsidRDefault="00980919" w:rsidP="001515D5">
            <w:r w:rsidRPr="0090330A">
              <w:t>Urban</w:t>
            </w:r>
          </w:p>
        </w:tc>
        <w:tc>
          <w:tcPr>
            <w:tcW w:w="4675" w:type="dxa"/>
            <w:vAlign w:val="bottom"/>
          </w:tcPr>
          <w:p w14:paraId="2BCDDDEF" w14:textId="77777777" w:rsidR="00980919" w:rsidRPr="0090330A" w:rsidRDefault="00980919" w:rsidP="001515D5">
            <w:r w:rsidRPr="0090330A">
              <w:t>12.7</w:t>
            </w:r>
          </w:p>
        </w:tc>
      </w:tr>
      <w:tr w:rsidR="00980919" w14:paraId="651A3996" w14:textId="77777777" w:rsidTr="001515D5">
        <w:tc>
          <w:tcPr>
            <w:tcW w:w="4675" w:type="dxa"/>
            <w:vAlign w:val="bottom"/>
          </w:tcPr>
          <w:p w14:paraId="7512DE02" w14:textId="77777777" w:rsidR="00980919" w:rsidRPr="0090330A" w:rsidRDefault="00980919" w:rsidP="001515D5">
            <w:r w:rsidRPr="0090330A">
              <w:t>Rural</w:t>
            </w:r>
          </w:p>
        </w:tc>
        <w:tc>
          <w:tcPr>
            <w:tcW w:w="4675" w:type="dxa"/>
            <w:vAlign w:val="bottom"/>
          </w:tcPr>
          <w:p w14:paraId="6FDBFA32" w14:textId="77777777" w:rsidR="00980919" w:rsidRPr="0090330A" w:rsidRDefault="00980919" w:rsidP="001515D5">
            <w:r w:rsidRPr="0090330A">
              <w:t>6.2</w:t>
            </w:r>
          </w:p>
        </w:tc>
      </w:tr>
    </w:tbl>
    <w:p w14:paraId="3A201F36" w14:textId="77777777" w:rsidR="00980919" w:rsidRDefault="00980919" w:rsidP="00980919">
      <w:r w:rsidRPr="002F08EB">
        <w:t>Source: SC Office of Health care Workforce Health Professionals Data Book, 2021</w:t>
      </w:r>
      <w:r>
        <w:t>.</w:t>
      </w:r>
    </w:p>
    <w:p w14:paraId="21A5E323" w14:textId="77777777" w:rsidR="00F73294" w:rsidRDefault="00F73294" w:rsidP="00F73294"/>
    <w:p w14:paraId="1BB5DEB7" w14:textId="77777777" w:rsidR="00F73294" w:rsidRDefault="00F73294" w:rsidP="00F73294">
      <w:pPr>
        <w:rPr>
          <w:b/>
          <w:bCs/>
        </w:rPr>
      </w:pPr>
      <w:bookmarkStart w:id="350" w:name="_Toc162267225"/>
      <w:r w:rsidRPr="00F73294">
        <w:rPr>
          <w:rStyle w:val="Heading4Char"/>
        </w:rPr>
        <w:t>Data Interpretations:</w:t>
      </w:r>
      <w:bookmarkEnd w:id="350"/>
      <w:r w:rsidRPr="00F73294">
        <w:rPr>
          <w:b/>
          <w:bCs/>
        </w:rPr>
        <w:t xml:space="preserve"> </w:t>
      </w:r>
    </w:p>
    <w:p w14:paraId="603BE3FE" w14:textId="18778C54" w:rsidR="00F73294" w:rsidRDefault="00F73294" w:rsidP="00F73294">
      <w:r w:rsidRPr="00F73294">
        <w:t>Nurse practitioners and PAs saw significant growth since 2009 in both rural and urban counties (</w:t>
      </w:r>
      <w:r w:rsidRPr="00F73294">
        <w:rPr>
          <w:b/>
          <w:bCs/>
        </w:rPr>
        <w:t>Figure 6.40</w:t>
      </w:r>
      <w:r w:rsidRPr="00F73294">
        <w:t>). Nurse practitioners increased 215% in urban counties and 103% in rural counties. Despite numbers of physicians decreasing in rural counties, nurse practitioners and PAs saw steady growth in these counties. With over 4,500 nurse practitioners and 1,338 PAs in the state, SC still saw varying rates of providers by county. Calhoun County (1.4 per 10,000 population) saw the lowest rate of nurse practitioners and PAs in the state compared to Charleston County, which saw the highest rate (24.2 per 10,000 population) (</w:t>
      </w:r>
      <w:r w:rsidRPr="00F73294">
        <w:rPr>
          <w:b/>
          <w:bCs/>
        </w:rPr>
        <w:t>Figure 6.41</w:t>
      </w:r>
      <w:r w:rsidRPr="00F73294">
        <w:t>). Charleston County saw a rate 17.3 times higher than the rate in Calhoun County. Despite the increase in number of providers, there was still a disparity in the state’s rural counties. Rural counties (6.5 per 10,000 population) saw more than 50% lower rates of nurse practitioners and PAs when compared to their urban counterparts (</w:t>
      </w:r>
      <w:r w:rsidRPr="00F73294">
        <w:rPr>
          <w:b/>
          <w:bCs/>
        </w:rPr>
        <w:t>Figure 6.42</w:t>
      </w:r>
      <w:r w:rsidRPr="00F73294">
        <w:t xml:space="preserve">). </w:t>
      </w:r>
    </w:p>
    <w:p w14:paraId="3C2B8AF2" w14:textId="77777777" w:rsidR="00EA168E" w:rsidRDefault="00EA168E" w:rsidP="00F73294"/>
    <w:p w14:paraId="1E862A9E" w14:textId="2A6643AE" w:rsidR="00EA168E" w:rsidRDefault="00EA168E" w:rsidP="00EA168E">
      <w:pPr>
        <w:pStyle w:val="Heading5"/>
      </w:pPr>
      <w:r>
        <w:lastRenderedPageBreak/>
        <w:t>Key Takeaways:</w:t>
      </w:r>
    </w:p>
    <w:p w14:paraId="0F4E603F" w14:textId="66A6CC36" w:rsidR="00EA168E" w:rsidRPr="00EA168E" w:rsidRDefault="00EA168E" w:rsidP="00926EB3">
      <w:pPr>
        <w:pStyle w:val="ListParagraph"/>
        <w:numPr>
          <w:ilvl w:val="0"/>
          <w:numId w:val="218"/>
        </w:numPr>
      </w:pPr>
      <w:r w:rsidRPr="00EA168E">
        <w:t>The number of nurse practitioners and PAs are increasing throughout the state, including in rural counties which see lower rates of these type of healthcare providers.</w:t>
      </w:r>
    </w:p>
    <w:p w14:paraId="0BE2A983" w14:textId="77777777" w:rsidR="00F73294" w:rsidRDefault="00F73294" w:rsidP="00F73294">
      <w:pPr>
        <w:rPr>
          <w:rStyle w:val="Heading4Char"/>
          <w:color w:val="000000" w:themeColor="text1"/>
        </w:rPr>
      </w:pPr>
    </w:p>
    <w:p w14:paraId="0A57E84D" w14:textId="62C7060A" w:rsidR="00F73294" w:rsidRPr="00EA168E" w:rsidRDefault="00F73294" w:rsidP="00F73294">
      <w:pPr>
        <w:rPr>
          <w:rFonts w:cstheme="minorHAnsi"/>
        </w:rPr>
      </w:pPr>
      <w:bookmarkStart w:id="351" w:name="_Toc162267226"/>
      <w:r w:rsidRPr="00EA168E">
        <w:rPr>
          <w:rStyle w:val="Heading4Char"/>
          <w:rFonts w:asciiTheme="minorHAnsi" w:hAnsiTheme="minorHAnsi" w:cstheme="minorHAnsi"/>
          <w:color w:val="000000" w:themeColor="text1"/>
        </w:rPr>
        <w:t>References 6.1</w:t>
      </w:r>
      <w:r w:rsidR="00425D3B">
        <w:rPr>
          <w:rStyle w:val="Heading4Char"/>
          <w:rFonts w:asciiTheme="minorHAnsi" w:hAnsiTheme="minorHAnsi" w:cstheme="minorHAnsi"/>
          <w:color w:val="000000" w:themeColor="text1"/>
        </w:rPr>
        <w:t>6</w:t>
      </w:r>
      <w:bookmarkEnd w:id="351"/>
    </w:p>
    <w:p w14:paraId="69778F69" w14:textId="03B4D1D8" w:rsidR="00F73294" w:rsidRDefault="00F73294" w:rsidP="00F73294">
      <w:r w:rsidRPr="00722CE9">
        <w:t>Statistics in the preceding</w:t>
      </w:r>
      <w:r>
        <w:t xml:space="preserve"> section</w:t>
      </w:r>
      <w:r w:rsidRPr="00722CE9">
        <w:t xml:space="preserve"> were referenced from the following report</w:t>
      </w:r>
      <w:r>
        <w:t>s</w:t>
      </w:r>
      <w:r w:rsidRPr="00722CE9">
        <w:t>:</w:t>
      </w:r>
    </w:p>
    <w:p w14:paraId="1FECC6EB" w14:textId="6E381D37" w:rsidR="00F73294" w:rsidRPr="00F73294" w:rsidRDefault="00F73294" w:rsidP="00926EB3">
      <w:pPr>
        <w:pStyle w:val="ListParagraph"/>
        <w:numPr>
          <w:ilvl w:val="0"/>
          <w:numId w:val="27"/>
        </w:numPr>
      </w:pPr>
      <w:r>
        <w:t>“</w:t>
      </w:r>
      <w:r w:rsidRPr="00F73294">
        <w:t>State-level projections of primary care workforce, 2010-2030</w:t>
      </w:r>
      <w:r>
        <w:t xml:space="preserve">” by </w:t>
      </w:r>
      <w:proofErr w:type="spellStart"/>
      <w:r w:rsidRPr="00F73294">
        <w:t>Petterson</w:t>
      </w:r>
      <w:proofErr w:type="spellEnd"/>
      <w:r w:rsidRPr="00F73294">
        <w:t xml:space="preserve">, Stephen M; Cai, Angela; Moore, Miranda; Bazemore, Andrew.  </w:t>
      </w:r>
      <w:r>
        <w:t>Published by the</w:t>
      </w:r>
      <w:r w:rsidRPr="00F73294">
        <w:t xml:space="preserve"> Robert Graham Center, Washington, D.C.</w:t>
      </w:r>
      <w:r>
        <w:t>, 2013. No hyperlink.</w:t>
      </w:r>
    </w:p>
    <w:p w14:paraId="5997DCD1" w14:textId="18999CA3" w:rsidR="00F73294" w:rsidRPr="00F73294" w:rsidRDefault="00000000" w:rsidP="00926EB3">
      <w:pPr>
        <w:pStyle w:val="ListParagraph"/>
        <w:numPr>
          <w:ilvl w:val="0"/>
          <w:numId w:val="27"/>
        </w:numPr>
      </w:pPr>
      <w:hyperlink r:id="rId171" w:history="1">
        <w:r w:rsidR="00F73294" w:rsidRPr="00F73294">
          <w:rPr>
            <w:rStyle w:val="Hyperlink"/>
          </w:rPr>
          <w:t>“Primary Care Workforce Facts and Stats No. 2. The number of nurse practitioners and physician assistants practicing primary care in the United States” by AHRQ, 2012. Retrieved December 14, 2022.</w:t>
        </w:r>
      </w:hyperlink>
      <w:r w:rsidR="00F73294" w:rsidRPr="00F73294">
        <w:t xml:space="preserve">  </w:t>
      </w:r>
    </w:p>
    <w:p w14:paraId="31FF27A7" w14:textId="5D6BC1E4" w:rsidR="00F73294" w:rsidRPr="00F73294" w:rsidRDefault="00000000" w:rsidP="00926EB3">
      <w:pPr>
        <w:pStyle w:val="ListParagraph"/>
        <w:numPr>
          <w:ilvl w:val="0"/>
          <w:numId w:val="27"/>
        </w:numPr>
        <w:rPr>
          <w:u w:val="thick"/>
        </w:rPr>
      </w:pPr>
      <w:hyperlink r:id="rId172" w:history="1">
        <w:r w:rsidR="00F73294" w:rsidRPr="00F73294">
          <w:rPr>
            <w:rStyle w:val="Hyperlink"/>
          </w:rPr>
          <w:t>“Physician assistants and nurse practitioners as a usual source of care” by Everett, C. M., Schumacher, J. R., Wright, A., &amp; Smith, M. A. Published in The Journal of rural health: Official journal of the American Rural Health Association and the National</w:t>
        </w:r>
      </w:hyperlink>
      <w:r w:rsidR="00F73294">
        <w:t xml:space="preserve"> </w:t>
      </w:r>
    </w:p>
    <w:p w14:paraId="24A0F076" w14:textId="237171B1" w:rsidR="00F73294" w:rsidRPr="00F73294" w:rsidRDefault="00F73294" w:rsidP="00926EB3">
      <w:pPr>
        <w:pStyle w:val="ListParagraph"/>
        <w:numPr>
          <w:ilvl w:val="0"/>
          <w:numId w:val="27"/>
        </w:numPr>
      </w:pPr>
      <w:r>
        <w:t>“</w:t>
      </w:r>
      <w:r w:rsidRPr="00F73294">
        <w:t>Nurse practitioners and physician assistants in primary care: An update of changes since 2008</w:t>
      </w:r>
      <w:r>
        <w:t>” by</w:t>
      </w:r>
      <w:r w:rsidRPr="00F73294">
        <w:t xml:space="preserve"> Hevesy, M., Aitchison, R., Ruiz, A., &amp; Bednar, S.</w:t>
      </w:r>
      <w:r>
        <w:t xml:space="preserve"> Published in</w:t>
      </w:r>
      <w:r w:rsidRPr="00F73294">
        <w:t> Disease-a-Month, </w:t>
      </w:r>
      <w:r>
        <w:t>2016. No hyperlink.</w:t>
      </w:r>
    </w:p>
    <w:p w14:paraId="03BEFDCA" w14:textId="77777777" w:rsidR="00F73294" w:rsidRDefault="00F73294" w:rsidP="00F73294"/>
    <w:p w14:paraId="230F14D0" w14:textId="77777777" w:rsidR="00F73294" w:rsidRPr="00F73294" w:rsidRDefault="00F73294" w:rsidP="00F73294">
      <w:pPr>
        <w:pStyle w:val="Heading3"/>
      </w:pPr>
      <w:bookmarkStart w:id="352" w:name="_Toc162267227"/>
      <w:r w:rsidRPr="00F73294">
        <w:t>Mental Health Providers</w:t>
      </w:r>
      <w:bookmarkEnd w:id="352"/>
    </w:p>
    <w:p w14:paraId="6BC5F572" w14:textId="28D6012D" w:rsidR="00F73294" w:rsidRPr="00F73294" w:rsidRDefault="00F73294" w:rsidP="00F73294">
      <w:r w:rsidRPr="00F73294">
        <w:t>Mental illnesses are some of the most common health conditions in the US with more than 50% of the population being diagnosed at some point in their lifetime. Both mental and physical health are important for achieving overall health and well-being. Mental health services provided by trained and licensed professionals can save lives, reduce the risk of chronic diseases related to stress, anxiety and substance abuse, and lower health care costs. Serious mental illnesses cost the nation $193.2 billion in lost earnings per year</w:t>
      </w:r>
      <w:r>
        <w:t>.</w:t>
      </w:r>
      <w:r w:rsidRPr="00F73294">
        <w:t xml:space="preserve"> Psychologists and psychiatrists are two types of mental health providers that can diagnose mental illnesses and provide therapy to individuals. Although mental health illnesses are prevalent throughout the nation, approximately 60% of adults with a mental illness received no mental health services in the previous year. Health utilization is even lower among minority groups, specifically among the Black and Hispanic populations. Eliminating barriers associated with mental health treatment and having accessible providers are key in reducing illness and death.</w:t>
      </w:r>
    </w:p>
    <w:p w14:paraId="11F26898" w14:textId="77777777" w:rsidR="00F73294" w:rsidRDefault="00F73294" w:rsidP="00F73294"/>
    <w:p w14:paraId="37098FA8" w14:textId="77777777" w:rsidR="00980919" w:rsidRPr="002F08EB" w:rsidRDefault="00980919" w:rsidP="00980919">
      <w:pPr>
        <w:pStyle w:val="Heading4"/>
      </w:pPr>
      <w:bookmarkStart w:id="353" w:name="_Toc154569851"/>
      <w:bookmarkStart w:id="354" w:name="_Toc162267228"/>
      <w:r w:rsidRPr="002F08EB">
        <w:t>Figure 6.4</w:t>
      </w:r>
      <w:r>
        <w:t>3</w:t>
      </w:r>
      <w:r w:rsidRPr="002F08EB">
        <w:t xml:space="preserve">: Growth in </w:t>
      </w:r>
      <w:r>
        <w:t>General Psychiatrists</w:t>
      </w:r>
      <w:r w:rsidRPr="002F08EB">
        <w:t>, by Rurality</w:t>
      </w:r>
      <w:r>
        <w:t>.</w:t>
      </w:r>
      <w:bookmarkEnd w:id="353"/>
      <w:bookmarkEnd w:id="354"/>
    </w:p>
    <w:tbl>
      <w:tblPr>
        <w:tblStyle w:val="TableGrid"/>
        <w:tblW w:w="0" w:type="auto"/>
        <w:tblLook w:val="04A0" w:firstRow="1" w:lastRow="0" w:firstColumn="1" w:lastColumn="0" w:noHBand="0" w:noVBand="1"/>
      </w:tblPr>
      <w:tblGrid>
        <w:gridCol w:w="3116"/>
        <w:gridCol w:w="3117"/>
        <w:gridCol w:w="3117"/>
      </w:tblGrid>
      <w:tr w:rsidR="00980919" w14:paraId="0378A042" w14:textId="77777777" w:rsidTr="001515D5">
        <w:tc>
          <w:tcPr>
            <w:tcW w:w="3116" w:type="dxa"/>
            <w:vAlign w:val="bottom"/>
          </w:tcPr>
          <w:p w14:paraId="04D8EC50" w14:textId="77777777" w:rsidR="00980919" w:rsidRPr="0090330A" w:rsidRDefault="00980919" w:rsidP="001515D5">
            <w:r w:rsidRPr="0090330A">
              <w:t>Type</w:t>
            </w:r>
          </w:p>
        </w:tc>
        <w:tc>
          <w:tcPr>
            <w:tcW w:w="3117" w:type="dxa"/>
            <w:vAlign w:val="bottom"/>
          </w:tcPr>
          <w:p w14:paraId="10EE6918" w14:textId="77777777" w:rsidR="00980919" w:rsidRPr="0090330A" w:rsidRDefault="00980919" w:rsidP="001515D5">
            <w:r w:rsidRPr="0090330A">
              <w:t xml:space="preserve">Urban </w:t>
            </w:r>
          </w:p>
        </w:tc>
        <w:tc>
          <w:tcPr>
            <w:tcW w:w="3117" w:type="dxa"/>
            <w:vAlign w:val="bottom"/>
          </w:tcPr>
          <w:p w14:paraId="254281C1" w14:textId="77777777" w:rsidR="00980919" w:rsidRPr="0090330A" w:rsidRDefault="00980919" w:rsidP="001515D5">
            <w:r w:rsidRPr="0090330A">
              <w:t>Rural</w:t>
            </w:r>
          </w:p>
        </w:tc>
      </w:tr>
      <w:tr w:rsidR="00980919" w14:paraId="49433A9E" w14:textId="77777777" w:rsidTr="001515D5">
        <w:tc>
          <w:tcPr>
            <w:tcW w:w="3116" w:type="dxa"/>
            <w:vAlign w:val="bottom"/>
          </w:tcPr>
          <w:p w14:paraId="45A8C0F8" w14:textId="77777777" w:rsidR="00980919" w:rsidRPr="0090330A" w:rsidRDefault="00980919" w:rsidP="001515D5">
            <w:r w:rsidRPr="0090330A">
              <w:t>South Carolina</w:t>
            </w:r>
          </w:p>
        </w:tc>
        <w:tc>
          <w:tcPr>
            <w:tcW w:w="3117" w:type="dxa"/>
            <w:vAlign w:val="bottom"/>
          </w:tcPr>
          <w:p w14:paraId="75FFBE63" w14:textId="2E05B0CB" w:rsidR="00980919" w:rsidRPr="0090330A" w:rsidRDefault="00980919" w:rsidP="001515D5">
            <w:r w:rsidRPr="0090330A">
              <w:t>28</w:t>
            </w:r>
            <w:r w:rsidR="002167FE">
              <w:t>.0</w:t>
            </w:r>
            <w:r w:rsidRPr="0090330A">
              <w:t>%</w:t>
            </w:r>
          </w:p>
        </w:tc>
        <w:tc>
          <w:tcPr>
            <w:tcW w:w="3117" w:type="dxa"/>
            <w:vAlign w:val="bottom"/>
          </w:tcPr>
          <w:p w14:paraId="6F37C310" w14:textId="09C02158" w:rsidR="00980919" w:rsidRPr="0090330A" w:rsidRDefault="00980919" w:rsidP="001515D5">
            <w:r w:rsidRPr="0090330A">
              <w:t>-33</w:t>
            </w:r>
            <w:r w:rsidR="002167FE">
              <w:t>.0</w:t>
            </w:r>
            <w:r w:rsidRPr="0090330A">
              <w:t>%</w:t>
            </w:r>
          </w:p>
        </w:tc>
      </w:tr>
      <w:tr w:rsidR="00980919" w14:paraId="2F771F5C" w14:textId="77777777" w:rsidTr="001515D5">
        <w:tc>
          <w:tcPr>
            <w:tcW w:w="3116" w:type="dxa"/>
            <w:vAlign w:val="bottom"/>
          </w:tcPr>
          <w:p w14:paraId="332C9857" w14:textId="77777777" w:rsidR="00980919" w:rsidRPr="0090330A" w:rsidRDefault="00980919" w:rsidP="001515D5">
            <w:r w:rsidRPr="0090330A">
              <w:t>General Psychiatrists</w:t>
            </w:r>
          </w:p>
        </w:tc>
        <w:tc>
          <w:tcPr>
            <w:tcW w:w="3117" w:type="dxa"/>
            <w:vAlign w:val="bottom"/>
          </w:tcPr>
          <w:p w14:paraId="50DD0C62" w14:textId="68F897E5" w:rsidR="00980919" w:rsidRPr="0090330A" w:rsidRDefault="00980919" w:rsidP="001515D5">
            <w:r w:rsidRPr="0090330A">
              <w:t>21</w:t>
            </w:r>
            <w:r w:rsidR="002167FE">
              <w:t>.0</w:t>
            </w:r>
            <w:r w:rsidRPr="0090330A">
              <w:t>%</w:t>
            </w:r>
          </w:p>
        </w:tc>
        <w:tc>
          <w:tcPr>
            <w:tcW w:w="3117" w:type="dxa"/>
            <w:vAlign w:val="bottom"/>
          </w:tcPr>
          <w:p w14:paraId="4B30F014" w14:textId="1CB6F378" w:rsidR="00980919" w:rsidRPr="0090330A" w:rsidRDefault="00980919" w:rsidP="001515D5">
            <w:r w:rsidRPr="0090330A">
              <w:t>-9</w:t>
            </w:r>
            <w:r w:rsidR="002167FE">
              <w:t>.0</w:t>
            </w:r>
            <w:r w:rsidRPr="0090330A">
              <w:t>%</w:t>
            </w:r>
          </w:p>
        </w:tc>
      </w:tr>
    </w:tbl>
    <w:p w14:paraId="07FADC13" w14:textId="04E03051" w:rsidR="00980919" w:rsidRPr="002F08EB" w:rsidRDefault="00980919" w:rsidP="00980919">
      <w:r w:rsidRPr="002F08EB">
        <w:t xml:space="preserve">Source: SC Office of Healthcare Workforce Data Brief, 2022. </w:t>
      </w:r>
    </w:p>
    <w:p w14:paraId="3DD97B9A" w14:textId="77777777" w:rsidR="00980919" w:rsidRDefault="00980919" w:rsidP="00980919">
      <w:r w:rsidRPr="002F08EB">
        <w:t>Notes: Percent change from 2009/2010 - 2019-2020, South Carolina total is amongst all licensed medical professionals.</w:t>
      </w:r>
    </w:p>
    <w:p w14:paraId="621C09D3" w14:textId="77777777" w:rsidR="00980919" w:rsidRDefault="00980919" w:rsidP="00980919"/>
    <w:p w14:paraId="5B678D59" w14:textId="77777777" w:rsidR="00980919" w:rsidRPr="002F08EB" w:rsidRDefault="00980919" w:rsidP="00980919">
      <w:pPr>
        <w:pStyle w:val="Heading4"/>
      </w:pPr>
      <w:bookmarkStart w:id="355" w:name="_Toc154569852"/>
      <w:bookmarkStart w:id="356" w:name="_Toc162267229"/>
      <w:r>
        <w:t xml:space="preserve">Figure 6.44: </w:t>
      </w:r>
      <w:r w:rsidRPr="0090330A">
        <w:t>Psychiatrists and Licensed Psychologists in South Carolina, by County</w:t>
      </w:r>
      <w:r>
        <w:t>.</w:t>
      </w:r>
      <w:bookmarkEnd w:id="355"/>
      <w:bookmarkEnd w:id="356"/>
    </w:p>
    <w:tbl>
      <w:tblPr>
        <w:tblStyle w:val="TableGrid"/>
        <w:tblW w:w="0" w:type="auto"/>
        <w:tblLook w:val="04A0" w:firstRow="1" w:lastRow="0" w:firstColumn="1" w:lastColumn="0" w:noHBand="0" w:noVBand="1"/>
      </w:tblPr>
      <w:tblGrid>
        <w:gridCol w:w="4675"/>
        <w:gridCol w:w="4675"/>
      </w:tblGrid>
      <w:tr w:rsidR="00980919" w14:paraId="0FF2C9C2" w14:textId="77777777" w:rsidTr="001515D5">
        <w:tc>
          <w:tcPr>
            <w:tcW w:w="4675" w:type="dxa"/>
            <w:vAlign w:val="bottom"/>
          </w:tcPr>
          <w:p w14:paraId="2EA67755" w14:textId="77777777" w:rsidR="00980919" w:rsidRDefault="00980919" w:rsidP="001515D5">
            <w:r>
              <w:t>County</w:t>
            </w:r>
          </w:p>
        </w:tc>
        <w:tc>
          <w:tcPr>
            <w:tcW w:w="4675" w:type="dxa"/>
            <w:vAlign w:val="bottom"/>
          </w:tcPr>
          <w:p w14:paraId="433CD637" w14:textId="77777777" w:rsidR="00980919" w:rsidRPr="0090330A" w:rsidRDefault="00980919" w:rsidP="001515D5">
            <w:r w:rsidRPr="0090330A">
              <w:t>Number of Providers</w:t>
            </w:r>
          </w:p>
        </w:tc>
      </w:tr>
      <w:tr w:rsidR="00980919" w14:paraId="5E0F080E" w14:textId="77777777" w:rsidTr="001515D5">
        <w:tc>
          <w:tcPr>
            <w:tcW w:w="4675" w:type="dxa"/>
            <w:vAlign w:val="bottom"/>
          </w:tcPr>
          <w:p w14:paraId="7032DFC8" w14:textId="77777777" w:rsidR="00980919" w:rsidRDefault="00980919" w:rsidP="001515D5">
            <w:r>
              <w:t>Abbeville</w:t>
            </w:r>
          </w:p>
        </w:tc>
        <w:tc>
          <w:tcPr>
            <w:tcW w:w="4675" w:type="dxa"/>
            <w:vAlign w:val="bottom"/>
          </w:tcPr>
          <w:p w14:paraId="6ABFE05C" w14:textId="77777777" w:rsidR="00980919" w:rsidRPr="0090330A" w:rsidRDefault="00980919" w:rsidP="001515D5">
            <w:r w:rsidRPr="0090330A">
              <w:t>0</w:t>
            </w:r>
          </w:p>
        </w:tc>
      </w:tr>
      <w:tr w:rsidR="00980919" w14:paraId="0E51B0E4" w14:textId="77777777" w:rsidTr="001515D5">
        <w:tc>
          <w:tcPr>
            <w:tcW w:w="4675" w:type="dxa"/>
            <w:vAlign w:val="bottom"/>
          </w:tcPr>
          <w:p w14:paraId="01B4EABD" w14:textId="77777777" w:rsidR="00980919" w:rsidRDefault="00980919" w:rsidP="001515D5">
            <w:r>
              <w:t>Aiken</w:t>
            </w:r>
          </w:p>
        </w:tc>
        <w:tc>
          <w:tcPr>
            <w:tcW w:w="4675" w:type="dxa"/>
            <w:vAlign w:val="bottom"/>
          </w:tcPr>
          <w:p w14:paraId="149E0C7C" w14:textId="77777777" w:rsidR="00980919" w:rsidRPr="0090330A" w:rsidRDefault="00980919" w:rsidP="001515D5">
            <w:r w:rsidRPr="0090330A">
              <w:t>16</w:t>
            </w:r>
          </w:p>
        </w:tc>
      </w:tr>
      <w:tr w:rsidR="00980919" w14:paraId="2760D02F" w14:textId="77777777" w:rsidTr="001515D5">
        <w:tc>
          <w:tcPr>
            <w:tcW w:w="4675" w:type="dxa"/>
            <w:vAlign w:val="bottom"/>
          </w:tcPr>
          <w:p w14:paraId="6EFBDC03" w14:textId="77777777" w:rsidR="00980919" w:rsidRDefault="00980919" w:rsidP="001515D5">
            <w:r>
              <w:t>Allendale</w:t>
            </w:r>
          </w:p>
        </w:tc>
        <w:tc>
          <w:tcPr>
            <w:tcW w:w="4675" w:type="dxa"/>
            <w:vAlign w:val="bottom"/>
          </w:tcPr>
          <w:p w14:paraId="4F346057" w14:textId="77777777" w:rsidR="00980919" w:rsidRPr="0090330A" w:rsidRDefault="00980919" w:rsidP="001515D5">
            <w:r w:rsidRPr="0090330A">
              <w:t>0</w:t>
            </w:r>
          </w:p>
        </w:tc>
      </w:tr>
      <w:tr w:rsidR="00980919" w14:paraId="53655F4C" w14:textId="77777777" w:rsidTr="001515D5">
        <w:tc>
          <w:tcPr>
            <w:tcW w:w="4675" w:type="dxa"/>
            <w:vAlign w:val="bottom"/>
          </w:tcPr>
          <w:p w14:paraId="481F681A" w14:textId="77777777" w:rsidR="00980919" w:rsidRDefault="00980919" w:rsidP="001515D5">
            <w:r>
              <w:t>Anderson</w:t>
            </w:r>
          </w:p>
        </w:tc>
        <w:tc>
          <w:tcPr>
            <w:tcW w:w="4675" w:type="dxa"/>
            <w:vAlign w:val="bottom"/>
          </w:tcPr>
          <w:p w14:paraId="77E97CCB" w14:textId="77777777" w:rsidR="00980919" w:rsidRPr="0090330A" w:rsidRDefault="00980919" w:rsidP="001515D5">
            <w:r w:rsidRPr="0090330A">
              <w:t>28</w:t>
            </w:r>
          </w:p>
        </w:tc>
      </w:tr>
      <w:tr w:rsidR="00980919" w14:paraId="411458A3" w14:textId="77777777" w:rsidTr="001515D5">
        <w:tc>
          <w:tcPr>
            <w:tcW w:w="4675" w:type="dxa"/>
            <w:vAlign w:val="bottom"/>
          </w:tcPr>
          <w:p w14:paraId="7305C17F" w14:textId="77777777" w:rsidR="00980919" w:rsidRDefault="00980919" w:rsidP="001515D5">
            <w:r>
              <w:t>Bamberg</w:t>
            </w:r>
          </w:p>
        </w:tc>
        <w:tc>
          <w:tcPr>
            <w:tcW w:w="4675" w:type="dxa"/>
            <w:vAlign w:val="bottom"/>
          </w:tcPr>
          <w:p w14:paraId="3EDD0BA4" w14:textId="77777777" w:rsidR="00980919" w:rsidRPr="0090330A" w:rsidRDefault="00980919" w:rsidP="001515D5">
            <w:r w:rsidRPr="0090330A">
              <w:t>0</w:t>
            </w:r>
          </w:p>
        </w:tc>
      </w:tr>
      <w:tr w:rsidR="00980919" w14:paraId="09C53C2A" w14:textId="77777777" w:rsidTr="001515D5">
        <w:tc>
          <w:tcPr>
            <w:tcW w:w="4675" w:type="dxa"/>
            <w:vAlign w:val="bottom"/>
          </w:tcPr>
          <w:p w14:paraId="449938AF" w14:textId="77777777" w:rsidR="00980919" w:rsidRDefault="00980919" w:rsidP="001515D5">
            <w:r>
              <w:t>Barnwell</w:t>
            </w:r>
          </w:p>
        </w:tc>
        <w:tc>
          <w:tcPr>
            <w:tcW w:w="4675" w:type="dxa"/>
            <w:vAlign w:val="bottom"/>
          </w:tcPr>
          <w:p w14:paraId="452078C0" w14:textId="77777777" w:rsidR="00980919" w:rsidRPr="0090330A" w:rsidRDefault="00980919" w:rsidP="001515D5">
            <w:r w:rsidRPr="0090330A">
              <w:t>0</w:t>
            </w:r>
          </w:p>
        </w:tc>
      </w:tr>
      <w:tr w:rsidR="00980919" w14:paraId="491965EB" w14:textId="77777777" w:rsidTr="001515D5">
        <w:tc>
          <w:tcPr>
            <w:tcW w:w="4675" w:type="dxa"/>
            <w:vAlign w:val="bottom"/>
          </w:tcPr>
          <w:p w14:paraId="6EA1C5A3" w14:textId="77777777" w:rsidR="00980919" w:rsidRDefault="00980919" w:rsidP="001515D5">
            <w:r>
              <w:t>Beaufort</w:t>
            </w:r>
          </w:p>
        </w:tc>
        <w:tc>
          <w:tcPr>
            <w:tcW w:w="4675" w:type="dxa"/>
            <w:vAlign w:val="bottom"/>
          </w:tcPr>
          <w:p w14:paraId="4F27E8C3" w14:textId="77777777" w:rsidR="00980919" w:rsidRPr="0090330A" w:rsidRDefault="00980919" w:rsidP="001515D5">
            <w:r w:rsidRPr="0090330A">
              <w:t>34</w:t>
            </w:r>
          </w:p>
        </w:tc>
      </w:tr>
      <w:tr w:rsidR="00980919" w14:paraId="66A4EF7D" w14:textId="77777777" w:rsidTr="001515D5">
        <w:tc>
          <w:tcPr>
            <w:tcW w:w="4675" w:type="dxa"/>
            <w:vAlign w:val="bottom"/>
          </w:tcPr>
          <w:p w14:paraId="6E67C37B" w14:textId="77777777" w:rsidR="00980919" w:rsidRDefault="00980919" w:rsidP="001515D5">
            <w:r>
              <w:t>Berkeley</w:t>
            </w:r>
          </w:p>
        </w:tc>
        <w:tc>
          <w:tcPr>
            <w:tcW w:w="4675" w:type="dxa"/>
            <w:vAlign w:val="bottom"/>
          </w:tcPr>
          <w:p w14:paraId="1DC34118" w14:textId="77777777" w:rsidR="00980919" w:rsidRPr="0090330A" w:rsidRDefault="00980919" w:rsidP="001515D5">
            <w:r w:rsidRPr="0090330A">
              <w:t>7</w:t>
            </w:r>
          </w:p>
        </w:tc>
      </w:tr>
      <w:tr w:rsidR="00980919" w14:paraId="4ED52A9C" w14:textId="77777777" w:rsidTr="001515D5">
        <w:tc>
          <w:tcPr>
            <w:tcW w:w="4675" w:type="dxa"/>
            <w:vAlign w:val="bottom"/>
          </w:tcPr>
          <w:p w14:paraId="608469F9" w14:textId="77777777" w:rsidR="00980919" w:rsidRDefault="00980919" w:rsidP="001515D5">
            <w:r>
              <w:t>Calhoun</w:t>
            </w:r>
          </w:p>
        </w:tc>
        <w:tc>
          <w:tcPr>
            <w:tcW w:w="4675" w:type="dxa"/>
            <w:vAlign w:val="bottom"/>
          </w:tcPr>
          <w:p w14:paraId="52E24DF2" w14:textId="77777777" w:rsidR="00980919" w:rsidRPr="0090330A" w:rsidRDefault="00980919" w:rsidP="001515D5">
            <w:r w:rsidRPr="0090330A">
              <w:t>0</w:t>
            </w:r>
          </w:p>
        </w:tc>
      </w:tr>
      <w:tr w:rsidR="00980919" w14:paraId="112F7B1B" w14:textId="77777777" w:rsidTr="001515D5">
        <w:tc>
          <w:tcPr>
            <w:tcW w:w="4675" w:type="dxa"/>
            <w:vAlign w:val="bottom"/>
          </w:tcPr>
          <w:p w14:paraId="62D07983" w14:textId="77777777" w:rsidR="00980919" w:rsidRDefault="00980919" w:rsidP="001515D5">
            <w:r>
              <w:t>Charleston</w:t>
            </w:r>
          </w:p>
        </w:tc>
        <w:tc>
          <w:tcPr>
            <w:tcW w:w="4675" w:type="dxa"/>
            <w:vAlign w:val="bottom"/>
          </w:tcPr>
          <w:p w14:paraId="72D2846F" w14:textId="77777777" w:rsidR="00980919" w:rsidRPr="0090330A" w:rsidRDefault="00980919" w:rsidP="001515D5">
            <w:r w:rsidRPr="0090330A">
              <w:t>373</w:t>
            </w:r>
          </w:p>
        </w:tc>
      </w:tr>
      <w:tr w:rsidR="00980919" w14:paraId="762563E9" w14:textId="77777777" w:rsidTr="001515D5">
        <w:tc>
          <w:tcPr>
            <w:tcW w:w="4675" w:type="dxa"/>
            <w:vAlign w:val="bottom"/>
          </w:tcPr>
          <w:p w14:paraId="65927A1F" w14:textId="77777777" w:rsidR="00980919" w:rsidRDefault="00980919" w:rsidP="001515D5">
            <w:r>
              <w:t>Cherokee</w:t>
            </w:r>
          </w:p>
        </w:tc>
        <w:tc>
          <w:tcPr>
            <w:tcW w:w="4675" w:type="dxa"/>
            <w:vAlign w:val="bottom"/>
          </w:tcPr>
          <w:p w14:paraId="3F63E3C2" w14:textId="77777777" w:rsidR="00980919" w:rsidRPr="0090330A" w:rsidRDefault="00980919" w:rsidP="001515D5">
            <w:r w:rsidRPr="0090330A">
              <w:t>4</w:t>
            </w:r>
          </w:p>
        </w:tc>
      </w:tr>
      <w:tr w:rsidR="00980919" w14:paraId="1CA4F5CF" w14:textId="77777777" w:rsidTr="001515D5">
        <w:tc>
          <w:tcPr>
            <w:tcW w:w="4675" w:type="dxa"/>
            <w:vAlign w:val="bottom"/>
          </w:tcPr>
          <w:p w14:paraId="1376EB11" w14:textId="77777777" w:rsidR="00980919" w:rsidRDefault="00980919" w:rsidP="001515D5">
            <w:r>
              <w:t>Chester</w:t>
            </w:r>
          </w:p>
        </w:tc>
        <w:tc>
          <w:tcPr>
            <w:tcW w:w="4675" w:type="dxa"/>
            <w:vAlign w:val="bottom"/>
          </w:tcPr>
          <w:p w14:paraId="5424A399" w14:textId="77777777" w:rsidR="00980919" w:rsidRPr="0090330A" w:rsidRDefault="00980919" w:rsidP="001515D5">
            <w:r w:rsidRPr="0090330A">
              <w:t>1</w:t>
            </w:r>
          </w:p>
        </w:tc>
      </w:tr>
      <w:tr w:rsidR="00980919" w14:paraId="13E68C65" w14:textId="77777777" w:rsidTr="001515D5">
        <w:tc>
          <w:tcPr>
            <w:tcW w:w="4675" w:type="dxa"/>
            <w:vAlign w:val="bottom"/>
          </w:tcPr>
          <w:p w14:paraId="7F76B5C6" w14:textId="77777777" w:rsidR="00980919" w:rsidRDefault="00980919" w:rsidP="001515D5">
            <w:r>
              <w:t>Chesterfield</w:t>
            </w:r>
          </w:p>
        </w:tc>
        <w:tc>
          <w:tcPr>
            <w:tcW w:w="4675" w:type="dxa"/>
            <w:vAlign w:val="bottom"/>
          </w:tcPr>
          <w:p w14:paraId="08287A40" w14:textId="77777777" w:rsidR="00980919" w:rsidRPr="0090330A" w:rsidRDefault="00980919" w:rsidP="001515D5">
            <w:r w:rsidRPr="0090330A">
              <w:t>1</w:t>
            </w:r>
          </w:p>
        </w:tc>
      </w:tr>
      <w:tr w:rsidR="00980919" w14:paraId="7A714F07" w14:textId="77777777" w:rsidTr="001515D5">
        <w:tc>
          <w:tcPr>
            <w:tcW w:w="4675" w:type="dxa"/>
            <w:vAlign w:val="bottom"/>
          </w:tcPr>
          <w:p w14:paraId="0EA4B970" w14:textId="77777777" w:rsidR="00980919" w:rsidRDefault="00980919" w:rsidP="001515D5">
            <w:r>
              <w:t>Clarendon</w:t>
            </w:r>
          </w:p>
        </w:tc>
        <w:tc>
          <w:tcPr>
            <w:tcW w:w="4675" w:type="dxa"/>
            <w:vAlign w:val="bottom"/>
          </w:tcPr>
          <w:p w14:paraId="606AC0BF" w14:textId="77777777" w:rsidR="00980919" w:rsidRPr="0090330A" w:rsidRDefault="00980919" w:rsidP="001515D5">
            <w:r w:rsidRPr="0090330A">
              <w:t>0</w:t>
            </w:r>
          </w:p>
        </w:tc>
      </w:tr>
      <w:tr w:rsidR="00980919" w14:paraId="51A8B49C" w14:textId="77777777" w:rsidTr="001515D5">
        <w:tc>
          <w:tcPr>
            <w:tcW w:w="4675" w:type="dxa"/>
            <w:vAlign w:val="bottom"/>
          </w:tcPr>
          <w:p w14:paraId="67F1B21B" w14:textId="77777777" w:rsidR="00980919" w:rsidRDefault="00980919" w:rsidP="001515D5">
            <w:r>
              <w:t>Colleton</w:t>
            </w:r>
          </w:p>
        </w:tc>
        <w:tc>
          <w:tcPr>
            <w:tcW w:w="4675" w:type="dxa"/>
            <w:vAlign w:val="bottom"/>
          </w:tcPr>
          <w:p w14:paraId="3E4AABAC" w14:textId="77777777" w:rsidR="00980919" w:rsidRPr="0090330A" w:rsidRDefault="00980919" w:rsidP="001515D5">
            <w:r w:rsidRPr="0090330A">
              <w:t>1</w:t>
            </w:r>
          </w:p>
        </w:tc>
      </w:tr>
      <w:tr w:rsidR="00980919" w14:paraId="01BA033B" w14:textId="77777777" w:rsidTr="001515D5">
        <w:tc>
          <w:tcPr>
            <w:tcW w:w="4675" w:type="dxa"/>
            <w:vAlign w:val="bottom"/>
          </w:tcPr>
          <w:p w14:paraId="50259751" w14:textId="77777777" w:rsidR="00980919" w:rsidRDefault="00980919" w:rsidP="001515D5">
            <w:r>
              <w:t>Darlington</w:t>
            </w:r>
          </w:p>
        </w:tc>
        <w:tc>
          <w:tcPr>
            <w:tcW w:w="4675" w:type="dxa"/>
            <w:vAlign w:val="bottom"/>
          </w:tcPr>
          <w:p w14:paraId="4D2AE5AD" w14:textId="77777777" w:rsidR="00980919" w:rsidRPr="0090330A" w:rsidRDefault="00980919" w:rsidP="001515D5">
            <w:r w:rsidRPr="0090330A">
              <w:t>2</w:t>
            </w:r>
          </w:p>
        </w:tc>
      </w:tr>
      <w:tr w:rsidR="00980919" w14:paraId="0A48E845" w14:textId="77777777" w:rsidTr="001515D5">
        <w:tc>
          <w:tcPr>
            <w:tcW w:w="4675" w:type="dxa"/>
            <w:vAlign w:val="bottom"/>
          </w:tcPr>
          <w:p w14:paraId="581A98B1" w14:textId="77777777" w:rsidR="00980919" w:rsidRDefault="00980919" w:rsidP="001515D5">
            <w:r>
              <w:t>Dillon</w:t>
            </w:r>
          </w:p>
        </w:tc>
        <w:tc>
          <w:tcPr>
            <w:tcW w:w="4675" w:type="dxa"/>
            <w:vAlign w:val="bottom"/>
          </w:tcPr>
          <w:p w14:paraId="0F60A93B" w14:textId="77777777" w:rsidR="00980919" w:rsidRPr="0090330A" w:rsidRDefault="00980919" w:rsidP="001515D5">
            <w:r w:rsidRPr="0090330A">
              <w:t>0</w:t>
            </w:r>
          </w:p>
        </w:tc>
      </w:tr>
      <w:tr w:rsidR="00980919" w14:paraId="5DAAFE78" w14:textId="77777777" w:rsidTr="001515D5">
        <w:tc>
          <w:tcPr>
            <w:tcW w:w="4675" w:type="dxa"/>
            <w:vAlign w:val="bottom"/>
          </w:tcPr>
          <w:p w14:paraId="2A035C82" w14:textId="77777777" w:rsidR="00980919" w:rsidRDefault="00980919" w:rsidP="001515D5">
            <w:r>
              <w:t>Dorchester</w:t>
            </w:r>
          </w:p>
        </w:tc>
        <w:tc>
          <w:tcPr>
            <w:tcW w:w="4675" w:type="dxa"/>
            <w:vAlign w:val="bottom"/>
          </w:tcPr>
          <w:p w14:paraId="5E00BEF7" w14:textId="77777777" w:rsidR="00980919" w:rsidRPr="0090330A" w:rsidRDefault="00980919" w:rsidP="001515D5">
            <w:r w:rsidRPr="0090330A">
              <w:t>9</w:t>
            </w:r>
          </w:p>
        </w:tc>
      </w:tr>
      <w:tr w:rsidR="00980919" w14:paraId="35A8363F" w14:textId="77777777" w:rsidTr="001515D5">
        <w:tc>
          <w:tcPr>
            <w:tcW w:w="4675" w:type="dxa"/>
            <w:vAlign w:val="bottom"/>
          </w:tcPr>
          <w:p w14:paraId="03F11B49" w14:textId="77777777" w:rsidR="00980919" w:rsidRDefault="00980919" w:rsidP="001515D5">
            <w:r>
              <w:t>Edgefield</w:t>
            </w:r>
          </w:p>
        </w:tc>
        <w:tc>
          <w:tcPr>
            <w:tcW w:w="4675" w:type="dxa"/>
            <w:vAlign w:val="bottom"/>
          </w:tcPr>
          <w:p w14:paraId="53B08341" w14:textId="77777777" w:rsidR="00980919" w:rsidRPr="0090330A" w:rsidRDefault="00980919" w:rsidP="001515D5">
            <w:r w:rsidRPr="0090330A">
              <w:t>1</w:t>
            </w:r>
          </w:p>
        </w:tc>
      </w:tr>
      <w:tr w:rsidR="00980919" w14:paraId="575D58F4" w14:textId="77777777" w:rsidTr="001515D5">
        <w:tc>
          <w:tcPr>
            <w:tcW w:w="4675" w:type="dxa"/>
            <w:vAlign w:val="bottom"/>
          </w:tcPr>
          <w:p w14:paraId="1135DC5E" w14:textId="77777777" w:rsidR="00980919" w:rsidRDefault="00980919" w:rsidP="001515D5">
            <w:r>
              <w:t>Fairfield</w:t>
            </w:r>
          </w:p>
        </w:tc>
        <w:tc>
          <w:tcPr>
            <w:tcW w:w="4675" w:type="dxa"/>
            <w:vAlign w:val="bottom"/>
          </w:tcPr>
          <w:p w14:paraId="5A53AE94" w14:textId="77777777" w:rsidR="00980919" w:rsidRPr="0090330A" w:rsidRDefault="00980919" w:rsidP="001515D5">
            <w:r w:rsidRPr="0090330A">
              <w:t>1</w:t>
            </w:r>
          </w:p>
        </w:tc>
      </w:tr>
      <w:tr w:rsidR="00980919" w14:paraId="21AFE1A4" w14:textId="77777777" w:rsidTr="001515D5">
        <w:tc>
          <w:tcPr>
            <w:tcW w:w="4675" w:type="dxa"/>
            <w:vAlign w:val="bottom"/>
          </w:tcPr>
          <w:p w14:paraId="332A65C7" w14:textId="77777777" w:rsidR="00980919" w:rsidRDefault="00980919" w:rsidP="001515D5">
            <w:r>
              <w:t>Florence</w:t>
            </w:r>
          </w:p>
        </w:tc>
        <w:tc>
          <w:tcPr>
            <w:tcW w:w="4675" w:type="dxa"/>
            <w:vAlign w:val="bottom"/>
          </w:tcPr>
          <w:p w14:paraId="7C8F54A9" w14:textId="77777777" w:rsidR="00980919" w:rsidRPr="0090330A" w:rsidRDefault="00980919" w:rsidP="001515D5">
            <w:r w:rsidRPr="0090330A">
              <w:t>33</w:t>
            </w:r>
          </w:p>
        </w:tc>
      </w:tr>
      <w:tr w:rsidR="00980919" w14:paraId="665F5EA6" w14:textId="77777777" w:rsidTr="001515D5">
        <w:tc>
          <w:tcPr>
            <w:tcW w:w="4675" w:type="dxa"/>
            <w:vAlign w:val="bottom"/>
          </w:tcPr>
          <w:p w14:paraId="737008FF" w14:textId="77777777" w:rsidR="00980919" w:rsidRDefault="00980919" w:rsidP="001515D5">
            <w:r>
              <w:t>Georgetown</w:t>
            </w:r>
          </w:p>
        </w:tc>
        <w:tc>
          <w:tcPr>
            <w:tcW w:w="4675" w:type="dxa"/>
            <w:vAlign w:val="bottom"/>
          </w:tcPr>
          <w:p w14:paraId="2C161639" w14:textId="77777777" w:rsidR="00980919" w:rsidRPr="0090330A" w:rsidRDefault="00980919" w:rsidP="001515D5">
            <w:r w:rsidRPr="0090330A">
              <w:t>8</w:t>
            </w:r>
          </w:p>
        </w:tc>
      </w:tr>
      <w:tr w:rsidR="00980919" w14:paraId="78EB3DDD" w14:textId="77777777" w:rsidTr="001515D5">
        <w:tc>
          <w:tcPr>
            <w:tcW w:w="4675" w:type="dxa"/>
            <w:vAlign w:val="bottom"/>
          </w:tcPr>
          <w:p w14:paraId="73BEED41" w14:textId="77777777" w:rsidR="00980919" w:rsidRDefault="00980919" w:rsidP="001515D5">
            <w:r>
              <w:t>Greenville</w:t>
            </w:r>
          </w:p>
        </w:tc>
        <w:tc>
          <w:tcPr>
            <w:tcW w:w="4675" w:type="dxa"/>
            <w:vAlign w:val="bottom"/>
          </w:tcPr>
          <w:p w14:paraId="7EA0C67A" w14:textId="77777777" w:rsidR="00980919" w:rsidRPr="0090330A" w:rsidRDefault="00980919" w:rsidP="001515D5">
            <w:r w:rsidRPr="0090330A">
              <w:t>161</w:t>
            </w:r>
          </w:p>
        </w:tc>
      </w:tr>
      <w:tr w:rsidR="00980919" w14:paraId="5F4FF9EC" w14:textId="77777777" w:rsidTr="001515D5">
        <w:tc>
          <w:tcPr>
            <w:tcW w:w="4675" w:type="dxa"/>
            <w:vAlign w:val="bottom"/>
          </w:tcPr>
          <w:p w14:paraId="73B137C0" w14:textId="77777777" w:rsidR="00980919" w:rsidRDefault="00980919" w:rsidP="001515D5">
            <w:r>
              <w:t>Greenwood</w:t>
            </w:r>
          </w:p>
        </w:tc>
        <w:tc>
          <w:tcPr>
            <w:tcW w:w="4675" w:type="dxa"/>
            <w:vAlign w:val="bottom"/>
          </w:tcPr>
          <w:p w14:paraId="70B4B350" w14:textId="77777777" w:rsidR="00980919" w:rsidRPr="0090330A" w:rsidRDefault="00980919" w:rsidP="001515D5">
            <w:r w:rsidRPr="0090330A">
              <w:t>9</w:t>
            </w:r>
          </w:p>
        </w:tc>
      </w:tr>
      <w:tr w:rsidR="00980919" w14:paraId="11419ED7" w14:textId="77777777" w:rsidTr="001515D5">
        <w:tc>
          <w:tcPr>
            <w:tcW w:w="4675" w:type="dxa"/>
            <w:vAlign w:val="bottom"/>
          </w:tcPr>
          <w:p w14:paraId="1A33C84D" w14:textId="77777777" w:rsidR="00980919" w:rsidRDefault="00980919" w:rsidP="001515D5">
            <w:r>
              <w:t>Hampton</w:t>
            </w:r>
          </w:p>
        </w:tc>
        <w:tc>
          <w:tcPr>
            <w:tcW w:w="4675" w:type="dxa"/>
            <w:vAlign w:val="bottom"/>
          </w:tcPr>
          <w:p w14:paraId="4F97E539" w14:textId="77777777" w:rsidR="00980919" w:rsidRPr="0090330A" w:rsidRDefault="00980919" w:rsidP="001515D5">
            <w:r w:rsidRPr="0090330A">
              <w:t>0</w:t>
            </w:r>
          </w:p>
        </w:tc>
      </w:tr>
      <w:tr w:rsidR="00980919" w14:paraId="54A5607A" w14:textId="77777777" w:rsidTr="001515D5">
        <w:tc>
          <w:tcPr>
            <w:tcW w:w="4675" w:type="dxa"/>
            <w:vAlign w:val="bottom"/>
          </w:tcPr>
          <w:p w14:paraId="1D775D7F" w14:textId="77777777" w:rsidR="00980919" w:rsidRDefault="00980919" w:rsidP="001515D5">
            <w:r>
              <w:lastRenderedPageBreak/>
              <w:t>Horry</w:t>
            </w:r>
          </w:p>
        </w:tc>
        <w:tc>
          <w:tcPr>
            <w:tcW w:w="4675" w:type="dxa"/>
            <w:vAlign w:val="bottom"/>
          </w:tcPr>
          <w:p w14:paraId="074A9E3E" w14:textId="77777777" w:rsidR="00980919" w:rsidRPr="0090330A" w:rsidRDefault="00980919" w:rsidP="001515D5">
            <w:r w:rsidRPr="0090330A">
              <w:t>21</w:t>
            </w:r>
          </w:p>
        </w:tc>
      </w:tr>
      <w:tr w:rsidR="00980919" w14:paraId="04857613" w14:textId="77777777" w:rsidTr="001515D5">
        <w:tc>
          <w:tcPr>
            <w:tcW w:w="4675" w:type="dxa"/>
            <w:vAlign w:val="bottom"/>
          </w:tcPr>
          <w:p w14:paraId="67730BC0" w14:textId="77777777" w:rsidR="00980919" w:rsidRDefault="00980919" w:rsidP="001515D5">
            <w:r>
              <w:t>Jasper</w:t>
            </w:r>
          </w:p>
        </w:tc>
        <w:tc>
          <w:tcPr>
            <w:tcW w:w="4675" w:type="dxa"/>
            <w:vAlign w:val="bottom"/>
          </w:tcPr>
          <w:p w14:paraId="4396A003" w14:textId="77777777" w:rsidR="00980919" w:rsidRPr="0090330A" w:rsidRDefault="00980919" w:rsidP="001515D5">
            <w:r w:rsidRPr="0090330A">
              <w:t>0</w:t>
            </w:r>
          </w:p>
        </w:tc>
      </w:tr>
      <w:tr w:rsidR="00980919" w14:paraId="2C6A84FD" w14:textId="77777777" w:rsidTr="001515D5">
        <w:tc>
          <w:tcPr>
            <w:tcW w:w="4675" w:type="dxa"/>
            <w:vAlign w:val="bottom"/>
          </w:tcPr>
          <w:p w14:paraId="0F0F685C" w14:textId="77777777" w:rsidR="00980919" w:rsidRDefault="00980919" w:rsidP="001515D5">
            <w:r>
              <w:t>Kershaw</w:t>
            </w:r>
          </w:p>
        </w:tc>
        <w:tc>
          <w:tcPr>
            <w:tcW w:w="4675" w:type="dxa"/>
            <w:vAlign w:val="bottom"/>
          </w:tcPr>
          <w:p w14:paraId="5D234067" w14:textId="77777777" w:rsidR="00980919" w:rsidRPr="0090330A" w:rsidRDefault="00980919" w:rsidP="001515D5">
            <w:r w:rsidRPr="0090330A">
              <w:t>3</w:t>
            </w:r>
          </w:p>
        </w:tc>
      </w:tr>
      <w:tr w:rsidR="00980919" w14:paraId="6CE59E54" w14:textId="77777777" w:rsidTr="001515D5">
        <w:tc>
          <w:tcPr>
            <w:tcW w:w="4675" w:type="dxa"/>
            <w:vAlign w:val="bottom"/>
          </w:tcPr>
          <w:p w14:paraId="0D7CA206" w14:textId="77777777" w:rsidR="00980919" w:rsidRDefault="00980919" w:rsidP="001515D5">
            <w:r>
              <w:t>Lancaster</w:t>
            </w:r>
          </w:p>
        </w:tc>
        <w:tc>
          <w:tcPr>
            <w:tcW w:w="4675" w:type="dxa"/>
            <w:vAlign w:val="bottom"/>
          </w:tcPr>
          <w:p w14:paraId="016077EE" w14:textId="77777777" w:rsidR="00980919" w:rsidRPr="0090330A" w:rsidRDefault="00980919" w:rsidP="001515D5">
            <w:r w:rsidRPr="0090330A">
              <w:t>5</w:t>
            </w:r>
          </w:p>
        </w:tc>
      </w:tr>
      <w:tr w:rsidR="00980919" w14:paraId="1325F2F9" w14:textId="77777777" w:rsidTr="001515D5">
        <w:tc>
          <w:tcPr>
            <w:tcW w:w="4675" w:type="dxa"/>
            <w:vAlign w:val="bottom"/>
          </w:tcPr>
          <w:p w14:paraId="3FF7F78D" w14:textId="77777777" w:rsidR="00980919" w:rsidRDefault="00980919" w:rsidP="001515D5">
            <w:r>
              <w:t>Laurens</w:t>
            </w:r>
          </w:p>
        </w:tc>
        <w:tc>
          <w:tcPr>
            <w:tcW w:w="4675" w:type="dxa"/>
            <w:vAlign w:val="bottom"/>
          </w:tcPr>
          <w:p w14:paraId="26E0A4FB" w14:textId="77777777" w:rsidR="00980919" w:rsidRPr="0090330A" w:rsidRDefault="00980919" w:rsidP="001515D5">
            <w:r w:rsidRPr="0090330A">
              <w:t>1</w:t>
            </w:r>
          </w:p>
        </w:tc>
      </w:tr>
      <w:tr w:rsidR="00980919" w14:paraId="29C991A2" w14:textId="77777777" w:rsidTr="001515D5">
        <w:tc>
          <w:tcPr>
            <w:tcW w:w="4675" w:type="dxa"/>
            <w:vAlign w:val="bottom"/>
          </w:tcPr>
          <w:p w14:paraId="31E7005E" w14:textId="77777777" w:rsidR="00980919" w:rsidRDefault="00980919" w:rsidP="001515D5">
            <w:r>
              <w:t>Lee</w:t>
            </w:r>
          </w:p>
        </w:tc>
        <w:tc>
          <w:tcPr>
            <w:tcW w:w="4675" w:type="dxa"/>
            <w:vAlign w:val="bottom"/>
          </w:tcPr>
          <w:p w14:paraId="0605DBB0" w14:textId="77777777" w:rsidR="00980919" w:rsidRPr="0090330A" w:rsidRDefault="00980919" w:rsidP="001515D5">
            <w:r w:rsidRPr="0090330A">
              <w:t>0</w:t>
            </w:r>
          </w:p>
        </w:tc>
      </w:tr>
      <w:tr w:rsidR="00980919" w14:paraId="20980A41" w14:textId="77777777" w:rsidTr="001515D5">
        <w:tc>
          <w:tcPr>
            <w:tcW w:w="4675" w:type="dxa"/>
            <w:vAlign w:val="bottom"/>
          </w:tcPr>
          <w:p w14:paraId="34E4AB26" w14:textId="77777777" w:rsidR="00980919" w:rsidRDefault="00980919" w:rsidP="001515D5">
            <w:r>
              <w:t>Lexington</w:t>
            </w:r>
          </w:p>
        </w:tc>
        <w:tc>
          <w:tcPr>
            <w:tcW w:w="4675" w:type="dxa"/>
            <w:vAlign w:val="bottom"/>
          </w:tcPr>
          <w:p w14:paraId="4386AC98" w14:textId="77777777" w:rsidR="00980919" w:rsidRPr="0090330A" w:rsidRDefault="00980919" w:rsidP="001515D5">
            <w:r w:rsidRPr="0090330A">
              <w:t>43</w:t>
            </w:r>
          </w:p>
        </w:tc>
      </w:tr>
      <w:tr w:rsidR="00980919" w14:paraId="3B63E200" w14:textId="77777777" w:rsidTr="001515D5">
        <w:tc>
          <w:tcPr>
            <w:tcW w:w="4675" w:type="dxa"/>
            <w:vAlign w:val="bottom"/>
          </w:tcPr>
          <w:p w14:paraId="03CE1A96" w14:textId="77777777" w:rsidR="00980919" w:rsidRDefault="00980919" w:rsidP="001515D5">
            <w:r>
              <w:t>McCormick</w:t>
            </w:r>
          </w:p>
        </w:tc>
        <w:tc>
          <w:tcPr>
            <w:tcW w:w="4675" w:type="dxa"/>
            <w:vAlign w:val="bottom"/>
          </w:tcPr>
          <w:p w14:paraId="14DE9E19" w14:textId="77777777" w:rsidR="00980919" w:rsidRPr="0090330A" w:rsidRDefault="00980919" w:rsidP="001515D5">
            <w:r w:rsidRPr="0090330A">
              <w:t>1</w:t>
            </w:r>
          </w:p>
        </w:tc>
      </w:tr>
      <w:tr w:rsidR="00980919" w14:paraId="51BCA7F1" w14:textId="77777777" w:rsidTr="001515D5">
        <w:tc>
          <w:tcPr>
            <w:tcW w:w="4675" w:type="dxa"/>
            <w:vAlign w:val="bottom"/>
          </w:tcPr>
          <w:p w14:paraId="01E1E755" w14:textId="77777777" w:rsidR="00980919" w:rsidRDefault="00980919" w:rsidP="001515D5">
            <w:r>
              <w:t>Marion</w:t>
            </w:r>
          </w:p>
        </w:tc>
        <w:tc>
          <w:tcPr>
            <w:tcW w:w="4675" w:type="dxa"/>
            <w:vAlign w:val="bottom"/>
          </w:tcPr>
          <w:p w14:paraId="52744660" w14:textId="77777777" w:rsidR="00980919" w:rsidRPr="0090330A" w:rsidRDefault="00980919" w:rsidP="001515D5">
            <w:r w:rsidRPr="0090330A">
              <w:t>0</w:t>
            </w:r>
          </w:p>
        </w:tc>
      </w:tr>
      <w:tr w:rsidR="00980919" w14:paraId="6179EE1B" w14:textId="77777777" w:rsidTr="001515D5">
        <w:tc>
          <w:tcPr>
            <w:tcW w:w="4675" w:type="dxa"/>
            <w:vAlign w:val="bottom"/>
          </w:tcPr>
          <w:p w14:paraId="4D83BBF1" w14:textId="77777777" w:rsidR="00980919" w:rsidRDefault="00980919" w:rsidP="001515D5">
            <w:r>
              <w:t>Marlboro</w:t>
            </w:r>
          </w:p>
        </w:tc>
        <w:tc>
          <w:tcPr>
            <w:tcW w:w="4675" w:type="dxa"/>
            <w:vAlign w:val="bottom"/>
          </w:tcPr>
          <w:p w14:paraId="51CDDBE6" w14:textId="77777777" w:rsidR="00980919" w:rsidRPr="0090330A" w:rsidRDefault="00980919" w:rsidP="001515D5">
            <w:r w:rsidRPr="0090330A">
              <w:t>1</w:t>
            </w:r>
          </w:p>
        </w:tc>
      </w:tr>
      <w:tr w:rsidR="00980919" w14:paraId="7FA9DAAD" w14:textId="77777777" w:rsidTr="001515D5">
        <w:tc>
          <w:tcPr>
            <w:tcW w:w="4675" w:type="dxa"/>
            <w:vAlign w:val="bottom"/>
          </w:tcPr>
          <w:p w14:paraId="1DB05CB3" w14:textId="77777777" w:rsidR="00980919" w:rsidRDefault="00980919" w:rsidP="001515D5">
            <w:r>
              <w:t>Newberry</w:t>
            </w:r>
          </w:p>
        </w:tc>
        <w:tc>
          <w:tcPr>
            <w:tcW w:w="4675" w:type="dxa"/>
            <w:vAlign w:val="bottom"/>
          </w:tcPr>
          <w:p w14:paraId="11E0FF2B" w14:textId="77777777" w:rsidR="00980919" w:rsidRPr="0090330A" w:rsidRDefault="00980919" w:rsidP="001515D5">
            <w:r w:rsidRPr="0090330A">
              <w:t>0</w:t>
            </w:r>
          </w:p>
        </w:tc>
      </w:tr>
      <w:tr w:rsidR="00980919" w14:paraId="435A5E60" w14:textId="77777777" w:rsidTr="001515D5">
        <w:tc>
          <w:tcPr>
            <w:tcW w:w="4675" w:type="dxa"/>
            <w:vAlign w:val="bottom"/>
          </w:tcPr>
          <w:p w14:paraId="323718AF" w14:textId="77777777" w:rsidR="00980919" w:rsidRDefault="00980919" w:rsidP="001515D5">
            <w:r>
              <w:t>Oconee</w:t>
            </w:r>
          </w:p>
        </w:tc>
        <w:tc>
          <w:tcPr>
            <w:tcW w:w="4675" w:type="dxa"/>
            <w:vAlign w:val="bottom"/>
          </w:tcPr>
          <w:p w14:paraId="06BAB264" w14:textId="77777777" w:rsidR="00980919" w:rsidRPr="0090330A" w:rsidRDefault="00980919" w:rsidP="001515D5">
            <w:r w:rsidRPr="0090330A">
              <w:t>1</w:t>
            </w:r>
          </w:p>
        </w:tc>
      </w:tr>
      <w:tr w:rsidR="00980919" w14:paraId="331308FE" w14:textId="77777777" w:rsidTr="001515D5">
        <w:tc>
          <w:tcPr>
            <w:tcW w:w="4675" w:type="dxa"/>
            <w:vAlign w:val="bottom"/>
          </w:tcPr>
          <w:p w14:paraId="7CE35D9E" w14:textId="77777777" w:rsidR="00980919" w:rsidRDefault="00980919" w:rsidP="001515D5">
            <w:r>
              <w:t>Orangeburg</w:t>
            </w:r>
          </w:p>
        </w:tc>
        <w:tc>
          <w:tcPr>
            <w:tcW w:w="4675" w:type="dxa"/>
            <w:vAlign w:val="bottom"/>
          </w:tcPr>
          <w:p w14:paraId="398B60F2" w14:textId="77777777" w:rsidR="00980919" w:rsidRPr="0090330A" w:rsidRDefault="00980919" w:rsidP="001515D5">
            <w:r w:rsidRPr="0090330A">
              <w:t>7</w:t>
            </w:r>
          </w:p>
        </w:tc>
      </w:tr>
      <w:tr w:rsidR="00980919" w14:paraId="4C94F6DC" w14:textId="77777777" w:rsidTr="001515D5">
        <w:tc>
          <w:tcPr>
            <w:tcW w:w="4675" w:type="dxa"/>
            <w:vAlign w:val="bottom"/>
          </w:tcPr>
          <w:p w14:paraId="7C4CD362" w14:textId="77777777" w:rsidR="00980919" w:rsidRDefault="00980919" w:rsidP="001515D5">
            <w:r>
              <w:t>Pickens</w:t>
            </w:r>
          </w:p>
        </w:tc>
        <w:tc>
          <w:tcPr>
            <w:tcW w:w="4675" w:type="dxa"/>
            <w:vAlign w:val="bottom"/>
          </w:tcPr>
          <w:p w14:paraId="2A565203" w14:textId="77777777" w:rsidR="00980919" w:rsidRPr="0090330A" w:rsidRDefault="00980919" w:rsidP="001515D5">
            <w:r w:rsidRPr="0090330A">
              <w:t>9</w:t>
            </w:r>
          </w:p>
        </w:tc>
      </w:tr>
      <w:tr w:rsidR="00980919" w14:paraId="59948777" w14:textId="77777777" w:rsidTr="001515D5">
        <w:tc>
          <w:tcPr>
            <w:tcW w:w="4675" w:type="dxa"/>
            <w:vAlign w:val="bottom"/>
          </w:tcPr>
          <w:p w14:paraId="09CF317D" w14:textId="77777777" w:rsidR="00980919" w:rsidRDefault="00980919" w:rsidP="001515D5">
            <w:r>
              <w:t>Richland</w:t>
            </w:r>
          </w:p>
        </w:tc>
        <w:tc>
          <w:tcPr>
            <w:tcW w:w="4675" w:type="dxa"/>
            <w:vAlign w:val="bottom"/>
          </w:tcPr>
          <w:p w14:paraId="6CAA3A89" w14:textId="77777777" w:rsidR="00980919" w:rsidRPr="0090330A" w:rsidRDefault="00980919" w:rsidP="001515D5">
            <w:r w:rsidRPr="0090330A">
              <w:t>250</w:t>
            </w:r>
          </w:p>
        </w:tc>
      </w:tr>
      <w:tr w:rsidR="00980919" w14:paraId="13F86362" w14:textId="77777777" w:rsidTr="001515D5">
        <w:tc>
          <w:tcPr>
            <w:tcW w:w="4675" w:type="dxa"/>
            <w:vAlign w:val="bottom"/>
          </w:tcPr>
          <w:p w14:paraId="321DB713" w14:textId="77777777" w:rsidR="00980919" w:rsidRDefault="00980919" w:rsidP="001515D5">
            <w:r>
              <w:t>Saluda</w:t>
            </w:r>
          </w:p>
        </w:tc>
        <w:tc>
          <w:tcPr>
            <w:tcW w:w="4675" w:type="dxa"/>
            <w:vAlign w:val="bottom"/>
          </w:tcPr>
          <w:p w14:paraId="39051B62" w14:textId="77777777" w:rsidR="00980919" w:rsidRPr="0090330A" w:rsidRDefault="00980919" w:rsidP="001515D5">
            <w:r w:rsidRPr="0090330A">
              <w:t>0</w:t>
            </w:r>
          </w:p>
        </w:tc>
      </w:tr>
      <w:tr w:rsidR="00980919" w14:paraId="51C7FB69" w14:textId="77777777" w:rsidTr="001515D5">
        <w:tc>
          <w:tcPr>
            <w:tcW w:w="4675" w:type="dxa"/>
            <w:vAlign w:val="bottom"/>
          </w:tcPr>
          <w:p w14:paraId="3B0965D7" w14:textId="77777777" w:rsidR="00980919" w:rsidRDefault="00980919" w:rsidP="001515D5">
            <w:r>
              <w:t>Spartanburg</w:t>
            </w:r>
          </w:p>
        </w:tc>
        <w:tc>
          <w:tcPr>
            <w:tcW w:w="4675" w:type="dxa"/>
            <w:vAlign w:val="bottom"/>
          </w:tcPr>
          <w:p w14:paraId="7294CEA1" w14:textId="77777777" w:rsidR="00980919" w:rsidRPr="0090330A" w:rsidRDefault="00980919" w:rsidP="001515D5">
            <w:r w:rsidRPr="0090330A">
              <w:t>28</w:t>
            </w:r>
          </w:p>
        </w:tc>
      </w:tr>
      <w:tr w:rsidR="00980919" w14:paraId="177A11D6" w14:textId="77777777" w:rsidTr="001515D5">
        <w:tc>
          <w:tcPr>
            <w:tcW w:w="4675" w:type="dxa"/>
            <w:vAlign w:val="bottom"/>
          </w:tcPr>
          <w:p w14:paraId="0004CDD4" w14:textId="77777777" w:rsidR="00980919" w:rsidRDefault="00980919" w:rsidP="001515D5">
            <w:r>
              <w:t>Sumter</w:t>
            </w:r>
          </w:p>
        </w:tc>
        <w:tc>
          <w:tcPr>
            <w:tcW w:w="4675" w:type="dxa"/>
            <w:vAlign w:val="bottom"/>
          </w:tcPr>
          <w:p w14:paraId="5358F9F5" w14:textId="77777777" w:rsidR="00980919" w:rsidRPr="0090330A" w:rsidRDefault="00980919" w:rsidP="001515D5">
            <w:r w:rsidRPr="0090330A">
              <w:t>5</w:t>
            </w:r>
          </w:p>
        </w:tc>
      </w:tr>
      <w:tr w:rsidR="00980919" w14:paraId="51BCBF09" w14:textId="77777777" w:rsidTr="001515D5">
        <w:tc>
          <w:tcPr>
            <w:tcW w:w="4675" w:type="dxa"/>
            <w:vAlign w:val="bottom"/>
          </w:tcPr>
          <w:p w14:paraId="410AFA4F" w14:textId="77777777" w:rsidR="00980919" w:rsidRDefault="00980919" w:rsidP="001515D5">
            <w:r>
              <w:t>Union</w:t>
            </w:r>
          </w:p>
        </w:tc>
        <w:tc>
          <w:tcPr>
            <w:tcW w:w="4675" w:type="dxa"/>
            <w:vAlign w:val="bottom"/>
          </w:tcPr>
          <w:p w14:paraId="5D31920C" w14:textId="77777777" w:rsidR="00980919" w:rsidRPr="0090330A" w:rsidRDefault="00980919" w:rsidP="001515D5">
            <w:r w:rsidRPr="0090330A">
              <w:t>3</w:t>
            </w:r>
          </w:p>
        </w:tc>
      </w:tr>
      <w:tr w:rsidR="00980919" w14:paraId="03938CBF" w14:textId="77777777" w:rsidTr="001515D5">
        <w:tc>
          <w:tcPr>
            <w:tcW w:w="4675" w:type="dxa"/>
            <w:vAlign w:val="bottom"/>
          </w:tcPr>
          <w:p w14:paraId="50F98C98" w14:textId="77777777" w:rsidR="00980919" w:rsidRDefault="00980919" w:rsidP="001515D5">
            <w:r>
              <w:t>Williamsburg</w:t>
            </w:r>
          </w:p>
        </w:tc>
        <w:tc>
          <w:tcPr>
            <w:tcW w:w="4675" w:type="dxa"/>
            <w:vAlign w:val="bottom"/>
          </w:tcPr>
          <w:p w14:paraId="10937245" w14:textId="77777777" w:rsidR="00980919" w:rsidRPr="0090330A" w:rsidRDefault="00980919" w:rsidP="001515D5">
            <w:r w:rsidRPr="0090330A">
              <w:t>0</w:t>
            </w:r>
          </w:p>
        </w:tc>
      </w:tr>
      <w:tr w:rsidR="00980919" w14:paraId="56F54BCF" w14:textId="77777777" w:rsidTr="001515D5">
        <w:tc>
          <w:tcPr>
            <w:tcW w:w="4675" w:type="dxa"/>
            <w:vAlign w:val="bottom"/>
          </w:tcPr>
          <w:p w14:paraId="4E8B4065" w14:textId="77777777" w:rsidR="00980919" w:rsidRDefault="00980919" w:rsidP="001515D5">
            <w:r>
              <w:t>York</w:t>
            </w:r>
          </w:p>
        </w:tc>
        <w:tc>
          <w:tcPr>
            <w:tcW w:w="4675" w:type="dxa"/>
            <w:vAlign w:val="bottom"/>
          </w:tcPr>
          <w:p w14:paraId="4F3247B2" w14:textId="77777777" w:rsidR="00980919" w:rsidRPr="0090330A" w:rsidRDefault="00980919" w:rsidP="001515D5">
            <w:r w:rsidRPr="0090330A">
              <w:t>21</w:t>
            </w:r>
          </w:p>
        </w:tc>
      </w:tr>
    </w:tbl>
    <w:p w14:paraId="1B6A1D5E" w14:textId="27F53432" w:rsidR="00980919" w:rsidRDefault="00980919" w:rsidP="00980919">
      <w:r w:rsidRPr="002F08EB">
        <w:t>Source: SC Office of Healthcare Workforce Health Professionals Data Book, 2021</w:t>
      </w:r>
      <w:r>
        <w:t>.</w:t>
      </w:r>
    </w:p>
    <w:p w14:paraId="23DD4BC4" w14:textId="77777777" w:rsidR="00F73294" w:rsidRDefault="00F73294" w:rsidP="00F73294"/>
    <w:p w14:paraId="2FAF94FB" w14:textId="77777777" w:rsidR="00F73294" w:rsidRDefault="00F73294" w:rsidP="00F73294">
      <w:pPr>
        <w:pStyle w:val="Heading4"/>
      </w:pPr>
      <w:bookmarkStart w:id="357" w:name="_Toc162267230"/>
      <w:r w:rsidRPr="00F73294">
        <w:t>Data Interpretations:</w:t>
      </w:r>
      <w:bookmarkEnd w:id="357"/>
      <w:r w:rsidRPr="00F73294">
        <w:t xml:space="preserve"> </w:t>
      </w:r>
    </w:p>
    <w:p w14:paraId="266C50C9" w14:textId="56B9C461" w:rsidR="00F73294" w:rsidRPr="00F73294" w:rsidRDefault="00F73294" w:rsidP="00F73294">
      <w:r w:rsidRPr="00F73294">
        <w:t>Currently, there are 564 general psychiatrists in the state. In the past 10 years there has been a 25% increase in the number of licensed general psychiatrists in the state. However, that increase has been seen only in the urban counties. Rural counties have seen a 33% reduction in the number of licensed general psychiatrists from 2009-2019 (</w:t>
      </w:r>
      <w:r w:rsidRPr="00F73294">
        <w:rPr>
          <w:b/>
          <w:bCs/>
        </w:rPr>
        <w:t>Figure 6.43</w:t>
      </w:r>
      <w:r w:rsidRPr="00F73294">
        <w:t>). The reduction seen in rural counties is over three times higher than the rate seen amongst all licensed providers. Over 25% of the state, or 14 counties, have no general psychiatrists or psychologists (</w:t>
      </w:r>
      <w:r w:rsidRPr="00F73294">
        <w:rPr>
          <w:b/>
          <w:bCs/>
        </w:rPr>
        <w:t>Figure 6.44</w:t>
      </w:r>
      <w:r w:rsidRPr="00F73294">
        <w:t xml:space="preserve">). Another nine counties only have one licensed provider. Counties along the I-95 corridor see a lower number of mental health providers. Charleston County sees the highest number of general psychiatrists and psychologists, which is double the next highest county (Greenville – 161). </w:t>
      </w:r>
    </w:p>
    <w:p w14:paraId="6B944996" w14:textId="77777777" w:rsidR="00F73294" w:rsidRDefault="00F73294" w:rsidP="00F73294"/>
    <w:p w14:paraId="4371CAC5" w14:textId="67736CE7" w:rsidR="00F73294" w:rsidRDefault="00F73294" w:rsidP="00F73294">
      <w:pPr>
        <w:pStyle w:val="Heading5"/>
      </w:pPr>
      <w:r>
        <w:lastRenderedPageBreak/>
        <w:t>Key Takeaways:</w:t>
      </w:r>
    </w:p>
    <w:p w14:paraId="13CB2CAA" w14:textId="77777777" w:rsidR="00EA168E" w:rsidRDefault="00F73294" w:rsidP="00926EB3">
      <w:pPr>
        <w:pStyle w:val="ListParagraph"/>
        <w:numPr>
          <w:ilvl w:val="0"/>
          <w:numId w:val="218"/>
        </w:numPr>
      </w:pPr>
      <w:r w:rsidRPr="00F73294">
        <w:t xml:space="preserve">Over 25% of SC counties are lacking licensed general psychiatrists or psychologists, with rural counties seeing largest gaps. </w:t>
      </w:r>
    </w:p>
    <w:p w14:paraId="5283EA94" w14:textId="27AA5836" w:rsidR="00F73294" w:rsidRPr="00F73294" w:rsidRDefault="00F73294" w:rsidP="00926EB3">
      <w:pPr>
        <w:pStyle w:val="ListParagraph"/>
        <w:numPr>
          <w:ilvl w:val="0"/>
          <w:numId w:val="218"/>
        </w:numPr>
      </w:pPr>
      <w:r w:rsidRPr="00F73294">
        <w:t xml:space="preserve">Rural counties do see lower rates of all evaluated healthcare providers, including primary care physicians, nurse practitioners, and physician associates. </w:t>
      </w:r>
    </w:p>
    <w:p w14:paraId="23A9FF24" w14:textId="77777777" w:rsidR="00F73294" w:rsidRDefault="00F73294" w:rsidP="00F73294"/>
    <w:p w14:paraId="763F7BEA" w14:textId="0953D217" w:rsidR="00F73294" w:rsidRPr="00EA168E" w:rsidRDefault="00F73294" w:rsidP="00F73294">
      <w:pPr>
        <w:rPr>
          <w:rFonts w:cstheme="minorHAnsi"/>
        </w:rPr>
      </w:pPr>
      <w:bookmarkStart w:id="358" w:name="_Toc162267231"/>
      <w:r w:rsidRPr="00EA168E">
        <w:rPr>
          <w:rStyle w:val="Heading4Char"/>
          <w:rFonts w:asciiTheme="minorHAnsi" w:hAnsiTheme="minorHAnsi" w:cstheme="minorHAnsi"/>
          <w:color w:val="000000" w:themeColor="text1"/>
        </w:rPr>
        <w:t>References 6.1</w:t>
      </w:r>
      <w:r w:rsidR="00425D3B">
        <w:rPr>
          <w:rStyle w:val="Heading4Char"/>
          <w:rFonts w:asciiTheme="minorHAnsi" w:hAnsiTheme="minorHAnsi" w:cstheme="minorHAnsi"/>
          <w:color w:val="000000" w:themeColor="text1"/>
        </w:rPr>
        <w:t>7</w:t>
      </w:r>
      <w:bookmarkEnd w:id="358"/>
    </w:p>
    <w:p w14:paraId="7C81B6D7" w14:textId="27A1C2A4" w:rsidR="00F73294" w:rsidRDefault="00F73294" w:rsidP="00F73294">
      <w:r w:rsidRPr="00722CE9">
        <w:t>Statistics in the preceding</w:t>
      </w:r>
      <w:r>
        <w:t xml:space="preserve"> section</w:t>
      </w:r>
      <w:r w:rsidRPr="00722CE9">
        <w:t xml:space="preserve"> were referenced from the following report</w:t>
      </w:r>
      <w:r>
        <w:t>s</w:t>
      </w:r>
      <w:r w:rsidRPr="00722CE9">
        <w:t>:</w:t>
      </w:r>
    </w:p>
    <w:p w14:paraId="3A1FBAF0" w14:textId="411B131A" w:rsidR="00F73294" w:rsidRPr="00F73294" w:rsidRDefault="00000000" w:rsidP="00926EB3">
      <w:pPr>
        <w:pStyle w:val="ListParagraph"/>
        <w:numPr>
          <w:ilvl w:val="0"/>
          <w:numId w:val="27"/>
        </w:numPr>
      </w:pPr>
      <w:hyperlink r:id="rId173" w:history="1">
        <w:r w:rsidR="00F73294" w:rsidRPr="00F73294">
          <w:rPr>
            <w:rStyle w:val="Hyperlink"/>
          </w:rPr>
          <w:t>“About mental health” by Centers for Disease Control and Prevention. Mental Health. Published in Mental Health</w:t>
        </w:r>
        <w:r w:rsidR="00F73294">
          <w:rPr>
            <w:rStyle w:val="Hyperlink"/>
          </w:rPr>
          <w:t xml:space="preserve"> via cdc.gov</w:t>
        </w:r>
        <w:r w:rsidR="00F73294" w:rsidRPr="00F73294">
          <w:rPr>
            <w:rStyle w:val="Hyperlink"/>
          </w:rPr>
          <w:t xml:space="preserve">, 2021. Retrieved December 14, 2022.  </w:t>
        </w:r>
      </w:hyperlink>
      <w:r w:rsidR="00F73294" w:rsidRPr="00F73294">
        <w:t xml:space="preserve"> </w:t>
      </w:r>
    </w:p>
    <w:p w14:paraId="6E534C05" w14:textId="0ADC4250" w:rsidR="00F73294" w:rsidRPr="00F73294" w:rsidRDefault="00000000" w:rsidP="00926EB3">
      <w:pPr>
        <w:pStyle w:val="ListParagraph"/>
        <w:numPr>
          <w:ilvl w:val="0"/>
          <w:numId w:val="27"/>
        </w:numPr>
      </w:pPr>
      <w:hyperlink r:id="rId174" w:history="1">
        <w:r w:rsidR="00F73294" w:rsidRPr="00F73294">
          <w:rPr>
            <w:rStyle w:val="Hyperlink"/>
          </w:rPr>
          <w:t xml:space="preserve">“The importance of Mental Health Services” by </w:t>
        </w:r>
        <w:proofErr w:type="spellStart"/>
        <w:r w:rsidR="00F73294" w:rsidRPr="00F73294">
          <w:rPr>
            <w:rStyle w:val="Hyperlink"/>
          </w:rPr>
          <w:t>Sociusadmin</w:t>
        </w:r>
        <w:proofErr w:type="spellEnd"/>
        <w:r w:rsidR="00F73294" w:rsidRPr="00F73294">
          <w:rPr>
            <w:rStyle w:val="Hyperlink"/>
          </w:rPr>
          <w:t>, 2020. Retrieved December 14, 2022.</w:t>
        </w:r>
      </w:hyperlink>
      <w:r w:rsidR="00F73294" w:rsidRPr="00F73294">
        <w:t xml:space="preserve"> </w:t>
      </w:r>
    </w:p>
    <w:p w14:paraId="0C985CEC" w14:textId="0E763572" w:rsidR="00F73294" w:rsidRPr="00F73294" w:rsidRDefault="00000000" w:rsidP="00926EB3">
      <w:pPr>
        <w:pStyle w:val="ListParagraph"/>
        <w:numPr>
          <w:ilvl w:val="0"/>
          <w:numId w:val="27"/>
        </w:numPr>
      </w:pPr>
      <w:hyperlink r:id="rId175" w:history="1">
        <w:r w:rsidR="00F73294" w:rsidRPr="00F73294">
          <w:rPr>
            <w:rStyle w:val="Hyperlink"/>
          </w:rPr>
          <w:t xml:space="preserve">“Types of mental health professionals” by the National </w:t>
        </w:r>
        <w:r w:rsidR="00F73294">
          <w:rPr>
            <w:rStyle w:val="Hyperlink"/>
          </w:rPr>
          <w:t>Alliance</w:t>
        </w:r>
        <w:r w:rsidR="00F73294" w:rsidRPr="00F73294">
          <w:rPr>
            <w:rStyle w:val="Hyperlink"/>
          </w:rPr>
          <w:t xml:space="preserve"> </w:t>
        </w:r>
        <w:r w:rsidR="00F73294">
          <w:rPr>
            <w:rStyle w:val="Hyperlink"/>
          </w:rPr>
          <w:t>on</w:t>
        </w:r>
        <w:r w:rsidR="00F73294" w:rsidRPr="00F73294">
          <w:rPr>
            <w:rStyle w:val="Hyperlink"/>
          </w:rPr>
          <w:t xml:space="preserve"> Mental Illness, 2020. Retrieved December 14, 2022.</w:t>
        </w:r>
      </w:hyperlink>
      <w:r w:rsidR="00F73294" w:rsidRPr="00F73294">
        <w:t xml:space="preserve"> </w:t>
      </w:r>
    </w:p>
    <w:p w14:paraId="4C317C03" w14:textId="4556152E" w:rsidR="00F73294" w:rsidRPr="00F73294" w:rsidRDefault="00000000" w:rsidP="00926EB3">
      <w:pPr>
        <w:pStyle w:val="ListParagraph"/>
        <w:numPr>
          <w:ilvl w:val="0"/>
          <w:numId w:val="27"/>
        </w:numPr>
      </w:pPr>
      <w:hyperlink r:id="rId176" w:history="1">
        <w:r w:rsidR="00F73294" w:rsidRPr="00F73294">
          <w:rPr>
            <w:rStyle w:val="Hyperlink"/>
          </w:rPr>
          <w:t>“The importance of mental health” by Newland, J. Published in The Nurse Practitioner, 2014.</w:t>
        </w:r>
      </w:hyperlink>
      <w:r w:rsidR="00F73294" w:rsidRPr="00F73294">
        <w:t xml:space="preserve"> </w:t>
      </w:r>
    </w:p>
    <w:p w14:paraId="472C35D8" w14:textId="77777777" w:rsidR="00F73294" w:rsidRDefault="00F73294" w:rsidP="00F73294"/>
    <w:p w14:paraId="51376802" w14:textId="77777777" w:rsidR="00F73294" w:rsidRPr="00F73294" w:rsidRDefault="00F73294" w:rsidP="00F73294">
      <w:pPr>
        <w:pStyle w:val="Heading3"/>
      </w:pPr>
      <w:bookmarkStart w:id="359" w:name="_Toc162267232"/>
      <w:r w:rsidRPr="00F73294">
        <w:t>Dentists</w:t>
      </w:r>
      <w:bookmarkEnd w:id="359"/>
    </w:p>
    <w:p w14:paraId="4F435DF0" w14:textId="1BC14FFE" w:rsidR="00F73294" w:rsidRPr="00F73294" w:rsidRDefault="00F73294" w:rsidP="00F73294">
      <w:r w:rsidRPr="00F73294">
        <w:t xml:space="preserve">Dentists are primary healthcare professionals trained to administer oral health care. Dentists are tasked with diagnosing and treating problems affecting the teeth, gums, tongue, </w:t>
      </w:r>
      <w:proofErr w:type="gramStart"/>
      <w:r w:rsidRPr="00F73294">
        <w:t>lips</w:t>
      </w:r>
      <w:proofErr w:type="gramEnd"/>
      <w:r w:rsidRPr="00F73294">
        <w:t xml:space="preserve"> and jaw. Additionally, dentists are often the first healthcare professionals able to recognize and identify a variety of diseases ranging from hypertension to oral cancer. Having good oral health is essential to general health and overall well-being as poor oral health can lead to problems with eating, </w:t>
      </w:r>
      <w:proofErr w:type="gramStart"/>
      <w:r w:rsidRPr="00F73294">
        <w:t>speaking</w:t>
      </w:r>
      <w:proofErr w:type="gramEnd"/>
      <w:r w:rsidRPr="00F73294">
        <w:t xml:space="preserve"> and learning. People who are low income, of non-Hispanic Black and/or Hispanic race and/or ethnicity, or cigarette smokers see more untreated cavities and associated oral health problems. Oral health problems in the US have been associated with 34 million school hours lost to unplanned dental care and over $45 billion in productivity lost to untreated dental diseases. Dentists play an integral role in maintaining and improving the quality of life for all population groups.</w:t>
      </w:r>
    </w:p>
    <w:p w14:paraId="75756A54" w14:textId="77777777" w:rsidR="00F73294" w:rsidRDefault="00F73294" w:rsidP="00F73294"/>
    <w:p w14:paraId="6646FE4A" w14:textId="77777777" w:rsidR="00980919" w:rsidRDefault="00980919" w:rsidP="00980919">
      <w:pPr>
        <w:pStyle w:val="Heading4"/>
      </w:pPr>
      <w:bookmarkStart w:id="360" w:name="_Toc154569853"/>
      <w:bookmarkStart w:id="361" w:name="_Toc162267233"/>
      <w:r>
        <w:t>Figure 6.45: Dentists</w:t>
      </w:r>
      <w:r w:rsidRPr="0090330A">
        <w:t>, by County</w:t>
      </w:r>
      <w:r>
        <w:t>.</w:t>
      </w:r>
      <w:bookmarkEnd w:id="360"/>
      <w:bookmarkEnd w:id="361"/>
    </w:p>
    <w:p w14:paraId="4C9658BD" w14:textId="77777777" w:rsidR="00980919" w:rsidRPr="0090330A" w:rsidRDefault="00980919" w:rsidP="00980919">
      <w:pPr>
        <w:pStyle w:val="Heading5"/>
      </w:pPr>
      <w:r>
        <w:t>Rate per 10,000 population.</w:t>
      </w:r>
    </w:p>
    <w:tbl>
      <w:tblPr>
        <w:tblStyle w:val="TableGrid"/>
        <w:tblW w:w="0" w:type="auto"/>
        <w:tblLook w:val="04A0" w:firstRow="1" w:lastRow="0" w:firstColumn="1" w:lastColumn="0" w:noHBand="0" w:noVBand="1"/>
      </w:tblPr>
      <w:tblGrid>
        <w:gridCol w:w="4675"/>
        <w:gridCol w:w="4675"/>
      </w:tblGrid>
      <w:tr w:rsidR="00980919" w14:paraId="4FAE1145" w14:textId="77777777" w:rsidTr="001515D5">
        <w:tc>
          <w:tcPr>
            <w:tcW w:w="4675" w:type="dxa"/>
            <w:vAlign w:val="bottom"/>
          </w:tcPr>
          <w:p w14:paraId="3ED72E2A" w14:textId="77777777" w:rsidR="00980919" w:rsidRDefault="00980919" w:rsidP="001515D5">
            <w:r>
              <w:t>County</w:t>
            </w:r>
          </w:p>
        </w:tc>
        <w:tc>
          <w:tcPr>
            <w:tcW w:w="4675" w:type="dxa"/>
            <w:vAlign w:val="bottom"/>
          </w:tcPr>
          <w:p w14:paraId="6012E37D" w14:textId="2ACAB764" w:rsidR="00980919" w:rsidRPr="0090330A" w:rsidRDefault="00980919" w:rsidP="001515D5">
            <w:r w:rsidRPr="0090330A">
              <w:t>Rate</w:t>
            </w:r>
          </w:p>
        </w:tc>
      </w:tr>
      <w:tr w:rsidR="00980919" w14:paraId="53DE766F" w14:textId="77777777" w:rsidTr="001515D5">
        <w:tc>
          <w:tcPr>
            <w:tcW w:w="4675" w:type="dxa"/>
            <w:vAlign w:val="bottom"/>
          </w:tcPr>
          <w:p w14:paraId="63D95C41" w14:textId="77777777" w:rsidR="00980919" w:rsidRDefault="00980919" w:rsidP="001515D5">
            <w:r>
              <w:lastRenderedPageBreak/>
              <w:t>Abbeville</w:t>
            </w:r>
          </w:p>
        </w:tc>
        <w:tc>
          <w:tcPr>
            <w:tcW w:w="4675" w:type="dxa"/>
            <w:vAlign w:val="bottom"/>
          </w:tcPr>
          <w:p w14:paraId="24B521CD" w14:textId="77777777" w:rsidR="00980919" w:rsidRPr="0090330A" w:rsidRDefault="00980919" w:rsidP="001515D5">
            <w:r w:rsidRPr="0090330A">
              <w:t>0.815427896</w:t>
            </w:r>
          </w:p>
        </w:tc>
      </w:tr>
      <w:tr w:rsidR="00980919" w14:paraId="717484D7" w14:textId="77777777" w:rsidTr="001515D5">
        <w:tc>
          <w:tcPr>
            <w:tcW w:w="4675" w:type="dxa"/>
            <w:vAlign w:val="bottom"/>
          </w:tcPr>
          <w:p w14:paraId="18726CAC" w14:textId="77777777" w:rsidR="00980919" w:rsidRDefault="00980919" w:rsidP="001515D5">
            <w:r>
              <w:t>Aiken</w:t>
            </w:r>
          </w:p>
        </w:tc>
        <w:tc>
          <w:tcPr>
            <w:tcW w:w="4675" w:type="dxa"/>
            <w:vAlign w:val="bottom"/>
          </w:tcPr>
          <w:p w14:paraId="78BFCEFC" w14:textId="77777777" w:rsidR="00980919" w:rsidRPr="0090330A" w:rsidRDefault="00980919" w:rsidP="001515D5">
            <w:r w:rsidRPr="0090330A">
              <w:t>4.096633738</w:t>
            </w:r>
          </w:p>
        </w:tc>
      </w:tr>
      <w:tr w:rsidR="00980919" w14:paraId="46A9B3A6" w14:textId="77777777" w:rsidTr="001515D5">
        <w:tc>
          <w:tcPr>
            <w:tcW w:w="4675" w:type="dxa"/>
            <w:vAlign w:val="bottom"/>
          </w:tcPr>
          <w:p w14:paraId="1E193082" w14:textId="77777777" w:rsidR="00980919" w:rsidRDefault="00980919" w:rsidP="001515D5">
            <w:r>
              <w:t>Allendale</w:t>
            </w:r>
          </w:p>
        </w:tc>
        <w:tc>
          <w:tcPr>
            <w:tcW w:w="4675" w:type="dxa"/>
            <w:vAlign w:val="bottom"/>
          </w:tcPr>
          <w:p w14:paraId="47669D34" w14:textId="77777777" w:rsidR="00980919" w:rsidRPr="0090330A" w:rsidRDefault="00980919" w:rsidP="001515D5">
            <w:r w:rsidRPr="0090330A">
              <w:t>6.906077348</w:t>
            </w:r>
          </w:p>
        </w:tc>
      </w:tr>
      <w:tr w:rsidR="00980919" w14:paraId="40E57845" w14:textId="77777777" w:rsidTr="001515D5">
        <w:tc>
          <w:tcPr>
            <w:tcW w:w="4675" w:type="dxa"/>
            <w:vAlign w:val="bottom"/>
          </w:tcPr>
          <w:p w14:paraId="775DC663" w14:textId="77777777" w:rsidR="00980919" w:rsidRDefault="00980919" w:rsidP="001515D5">
            <w:r>
              <w:t>Anderson</w:t>
            </w:r>
          </w:p>
        </w:tc>
        <w:tc>
          <w:tcPr>
            <w:tcW w:w="4675" w:type="dxa"/>
            <w:vAlign w:val="bottom"/>
          </w:tcPr>
          <w:p w14:paraId="6390B10F" w14:textId="77777777" w:rsidR="00980919" w:rsidRPr="0090330A" w:rsidRDefault="00980919" w:rsidP="001515D5">
            <w:r w:rsidRPr="0090330A">
              <w:t>4.245697529</w:t>
            </w:r>
          </w:p>
        </w:tc>
      </w:tr>
      <w:tr w:rsidR="00980919" w14:paraId="311B3BB6" w14:textId="77777777" w:rsidTr="001515D5">
        <w:tc>
          <w:tcPr>
            <w:tcW w:w="4675" w:type="dxa"/>
            <w:vAlign w:val="bottom"/>
          </w:tcPr>
          <w:p w14:paraId="3E43D784" w14:textId="77777777" w:rsidR="00980919" w:rsidRDefault="00980919" w:rsidP="001515D5">
            <w:r>
              <w:t>Bamberg</w:t>
            </w:r>
          </w:p>
        </w:tc>
        <w:tc>
          <w:tcPr>
            <w:tcW w:w="4675" w:type="dxa"/>
            <w:vAlign w:val="bottom"/>
          </w:tcPr>
          <w:p w14:paraId="4BAFC4BC" w14:textId="77777777" w:rsidR="00980919" w:rsidRPr="0090330A" w:rsidRDefault="00980919" w:rsidP="001515D5">
            <w:r w:rsidRPr="0090330A">
              <w:t>2.132802502</w:t>
            </w:r>
          </w:p>
        </w:tc>
      </w:tr>
      <w:tr w:rsidR="00980919" w14:paraId="653C4A8A" w14:textId="77777777" w:rsidTr="001515D5">
        <w:tc>
          <w:tcPr>
            <w:tcW w:w="4675" w:type="dxa"/>
            <w:vAlign w:val="bottom"/>
          </w:tcPr>
          <w:p w14:paraId="7CCE7FAB" w14:textId="77777777" w:rsidR="00980919" w:rsidRDefault="00980919" w:rsidP="001515D5">
            <w:r>
              <w:t>Barnwell</w:t>
            </w:r>
          </w:p>
        </w:tc>
        <w:tc>
          <w:tcPr>
            <w:tcW w:w="4675" w:type="dxa"/>
            <w:vAlign w:val="bottom"/>
          </w:tcPr>
          <w:p w14:paraId="1904B910" w14:textId="77777777" w:rsidR="00980919" w:rsidRPr="0090330A" w:rsidRDefault="00980919" w:rsidP="001515D5">
            <w:r w:rsidRPr="0090330A">
              <w:t>2.396242691</w:t>
            </w:r>
          </w:p>
        </w:tc>
      </w:tr>
      <w:tr w:rsidR="00980919" w14:paraId="479AE8E8" w14:textId="77777777" w:rsidTr="001515D5">
        <w:tc>
          <w:tcPr>
            <w:tcW w:w="4675" w:type="dxa"/>
            <w:vAlign w:val="bottom"/>
          </w:tcPr>
          <w:p w14:paraId="55048505" w14:textId="77777777" w:rsidR="00980919" w:rsidRDefault="00980919" w:rsidP="001515D5">
            <w:r>
              <w:t>Beaufort</w:t>
            </w:r>
          </w:p>
        </w:tc>
        <w:tc>
          <w:tcPr>
            <w:tcW w:w="4675" w:type="dxa"/>
            <w:vAlign w:val="bottom"/>
          </w:tcPr>
          <w:p w14:paraId="296FF872" w14:textId="77777777" w:rsidR="00980919" w:rsidRPr="0090330A" w:rsidRDefault="00980919" w:rsidP="001515D5">
            <w:r w:rsidRPr="0090330A">
              <w:t>7.70343844</w:t>
            </w:r>
          </w:p>
        </w:tc>
      </w:tr>
      <w:tr w:rsidR="00980919" w14:paraId="28B745C0" w14:textId="77777777" w:rsidTr="001515D5">
        <w:tc>
          <w:tcPr>
            <w:tcW w:w="4675" w:type="dxa"/>
            <w:vAlign w:val="bottom"/>
          </w:tcPr>
          <w:p w14:paraId="1CE5EEAA" w14:textId="77777777" w:rsidR="00980919" w:rsidRDefault="00980919" w:rsidP="001515D5">
            <w:r>
              <w:t>Berkeley</w:t>
            </w:r>
          </w:p>
        </w:tc>
        <w:tc>
          <w:tcPr>
            <w:tcW w:w="4675" w:type="dxa"/>
            <w:vAlign w:val="bottom"/>
          </w:tcPr>
          <w:p w14:paraId="3C01B631" w14:textId="77777777" w:rsidR="00980919" w:rsidRPr="0090330A" w:rsidRDefault="00980919" w:rsidP="001515D5">
            <w:r w:rsidRPr="0090330A">
              <w:t>2.983673165</w:t>
            </w:r>
          </w:p>
        </w:tc>
      </w:tr>
      <w:tr w:rsidR="00980919" w14:paraId="78CC8F09" w14:textId="77777777" w:rsidTr="001515D5">
        <w:tc>
          <w:tcPr>
            <w:tcW w:w="4675" w:type="dxa"/>
            <w:vAlign w:val="bottom"/>
          </w:tcPr>
          <w:p w14:paraId="19FBA953" w14:textId="77777777" w:rsidR="00980919" w:rsidRDefault="00980919" w:rsidP="001515D5">
            <w:r>
              <w:t>Calhoun</w:t>
            </w:r>
          </w:p>
        </w:tc>
        <w:tc>
          <w:tcPr>
            <w:tcW w:w="4675" w:type="dxa"/>
            <w:vAlign w:val="bottom"/>
          </w:tcPr>
          <w:p w14:paraId="669B8F12" w14:textId="77777777" w:rsidR="00980919" w:rsidRPr="0090330A" w:rsidRDefault="00980919" w:rsidP="001515D5">
            <w:r w:rsidRPr="0090330A">
              <w:t>2.061430633</w:t>
            </w:r>
          </w:p>
        </w:tc>
      </w:tr>
      <w:tr w:rsidR="00980919" w14:paraId="2FF2DABF" w14:textId="77777777" w:rsidTr="001515D5">
        <w:tc>
          <w:tcPr>
            <w:tcW w:w="4675" w:type="dxa"/>
            <w:vAlign w:val="bottom"/>
          </w:tcPr>
          <w:p w14:paraId="5A9842E1" w14:textId="77777777" w:rsidR="00980919" w:rsidRDefault="00980919" w:rsidP="001515D5">
            <w:r>
              <w:t>Charleston</w:t>
            </w:r>
          </w:p>
        </w:tc>
        <w:tc>
          <w:tcPr>
            <w:tcW w:w="4675" w:type="dxa"/>
            <w:vAlign w:val="bottom"/>
          </w:tcPr>
          <w:p w14:paraId="1E4AA043" w14:textId="77777777" w:rsidR="00980919" w:rsidRPr="0090330A" w:rsidRDefault="00980919" w:rsidP="001515D5">
            <w:r w:rsidRPr="0090330A">
              <w:t>8.77478695</w:t>
            </w:r>
          </w:p>
        </w:tc>
      </w:tr>
      <w:tr w:rsidR="00980919" w14:paraId="1B41005F" w14:textId="77777777" w:rsidTr="001515D5">
        <w:tc>
          <w:tcPr>
            <w:tcW w:w="4675" w:type="dxa"/>
            <w:vAlign w:val="bottom"/>
          </w:tcPr>
          <w:p w14:paraId="12BE91E7" w14:textId="77777777" w:rsidR="00980919" w:rsidRDefault="00980919" w:rsidP="001515D5">
            <w:r>
              <w:t>Cherokee</w:t>
            </w:r>
          </w:p>
        </w:tc>
        <w:tc>
          <w:tcPr>
            <w:tcW w:w="4675" w:type="dxa"/>
            <w:vAlign w:val="bottom"/>
          </w:tcPr>
          <w:p w14:paraId="33F00D75" w14:textId="77777777" w:rsidR="00980919" w:rsidRPr="0090330A" w:rsidRDefault="00980919" w:rsidP="001515D5">
            <w:r w:rsidRPr="0090330A">
              <w:t>1.396160558</w:t>
            </w:r>
          </w:p>
        </w:tc>
      </w:tr>
      <w:tr w:rsidR="00980919" w14:paraId="4206BB53" w14:textId="77777777" w:rsidTr="001515D5">
        <w:tc>
          <w:tcPr>
            <w:tcW w:w="4675" w:type="dxa"/>
            <w:vAlign w:val="bottom"/>
          </w:tcPr>
          <w:p w14:paraId="27B7FF33" w14:textId="77777777" w:rsidR="00980919" w:rsidRDefault="00980919" w:rsidP="001515D5">
            <w:r>
              <w:t>Chester</w:t>
            </w:r>
          </w:p>
        </w:tc>
        <w:tc>
          <w:tcPr>
            <w:tcW w:w="4675" w:type="dxa"/>
            <w:vAlign w:val="bottom"/>
          </w:tcPr>
          <w:p w14:paraId="58C61454" w14:textId="77777777" w:rsidR="00980919" w:rsidRPr="0090330A" w:rsidRDefault="00980919" w:rsidP="001515D5">
            <w:r w:rsidRPr="0090330A">
              <w:t>1.240540876</w:t>
            </w:r>
          </w:p>
        </w:tc>
      </w:tr>
      <w:tr w:rsidR="00980919" w14:paraId="7AEFFC3B" w14:textId="77777777" w:rsidTr="001515D5">
        <w:tc>
          <w:tcPr>
            <w:tcW w:w="4675" w:type="dxa"/>
            <w:vAlign w:val="bottom"/>
          </w:tcPr>
          <w:p w14:paraId="174D2CB5" w14:textId="77777777" w:rsidR="00980919" w:rsidRDefault="00980919" w:rsidP="001515D5">
            <w:r>
              <w:t>Chesterfield</w:t>
            </w:r>
          </w:p>
        </w:tc>
        <w:tc>
          <w:tcPr>
            <w:tcW w:w="4675" w:type="dxa"/>
            <w:vAlign w:val="bottom"/>
          </w:tcPr>
          <w:p w14:paraId="06B8CF29" w14:textId="77777777" w:rsidR="00980919" w:rsidRPr="0090330A" w:rsidRDefault="00980919" w:rsidP="001515D5">
            <w:r w:rsidRPr="0090330A">
              <w:t>1.752464403</w:t>
            </w:r>
          </w:p>
        </w:tc>
      </w:tr>
      <w:tr w:rsidR="00980919" w14:paraId="7ED5637E" w14:textId="77777777" w:rsidTr="001515D5">
        <w:tc>
          <w:tcPr>
            <w:tcW w:w="4675" w:type="dxa"/>
            <w:vAlign w:val="bottom"/>
          </w:tcPr>
          <w:p w14:paraId="63AC674E" w14:textId="77777777" w:rsidR="00980919" w:rsidRDefault="00980919" w:rsidP="001515D5">
            <w:r>
              <w:t>Clarendon</w:t>
            </w:r>
          </w:p>
        </w:tc>
        <w:tc>
          <w:tcPr>
            <w:tcW w:w="4675" w:type="dxa"/>
            <w:vAlign w:val="bottom"/>
          </w:tcPr>
          <w:p w14:paraId="68040F8C" w14:textId="77777777" w:rsidR="00980919" w:rsidRPr="0090330A" w:rsidRDefault="00980919" w:rsidP="001515D5">
            <w:r w:rsidRPr="0090330A">
              <w:t>2.07438139</w:t>
            </w:r>
          </w:p>
        </w:tc>
      </w:tr>
      <w:tr w:rsidR="00980919" w14:paraId="347F9532" w14:textId="77777777" w:rsidTr="001515D5">
        <w:tc>
          <w:tcPr>
            <w:tcW w:w="4675" w:type="dxa"/>
            <w:vAlign w:val="bottom"/>
          </w:tcPr>
          <w:p w14:paraId="5B56DFB8" w14:textId="77777777" w:rsidR="00980919" w:rsidRDefault="00980919" w:rsidP="001515D5">
            <w:r>
              <w:t>Colleton</w:t>
            </w:r>
          </w:p>
        </w:tc>
        <w:tc>
          <w:tcPr>
            <w:tcW w:w="4675" w:type="dxa"/>
            <w:vAlign w:val="bottom"/>
          </w:tcPr>
          <w:p w14:paraId="2ED174EE" w14:textId="77777777" w:rsidR="00980919" w:rsidRPr="0090330A" w:rsidRDefault="00980919" w:rsidP="001515D5">
            <w:r w:rsidRPr="0090330A">
              <w:t>2.123311304</w:t>
            </w:r>
          </w:p>
        </w:tc>
      </w:tr>
      <w:tr w:rsidR="00980919" w14:paraId="229AC967" w14:textId="77777777" w:rsidTr="001515D5">
        <w:tc>
          <w:tcPr>
            <w:tcW w:w="4675" w:type="dxa"/>
            <w:vAlign w:val="bottom"/>
          </w:tcPr>
          <w:p w14:paraId="1D8B64A0" w14:textId="77777777" w:rsidR="00980919" w:rsidRDefault="00980919" w:rsidP="001515D5">
            <w:r>
              <w:t>Darlington</w:t>
            </w:r>
          </w:p>
        </w:tc>
        <w:tc>
          <w:tcPr>
            <w:tcW w:w="4675" w:type="dxa"/>
            <w:vAlign w:val="bottom"/>
          </w:tcPr>
          <w:p w14:paraId="07A01037" w14:textId="77777777" w:rsidR="00980919" w:rsidRPr="0090330A" w:rsidRDefault="00980919" w:rsidP="001515D5">
            <w:r w:rsidRPr="0090330A">
              <w:t>2.40175328</w:t>
            </w:r>
          </w:p>
        </w:tc>
      </w:tr>
      <w:tr w:rsidR="00980919" w14:paraId="375EA061" w14:textId="77777777" w:rsidTr="001515D5">
        <w:tc>
          <w:tcPr>
            <w:tcW w:w="4675" w:type="dxa"/>
            <w:vAlign w:val="bottom"/>
          </w:tcPr>
          <w:p w14:paraId="272D2978" w14:textId="77777777" w:rsidR="00980919" w:rsidRDefault="00980919" w:rsidP="001515D5">
            <w:r>
              <w:t>Dillon</w:t>
            </w:r>
          </w:p>
        </w:tc>
        <w:tc>
          <w:tcPr>
            <w:tcW w:w="4675" w:type="dxa"/>
            <w:vAlign w:val="bottom"/>
          </w:tcPr>
          <w:p w14:paraId="0A9CAB27" w14:textId="77777777" w:rsidR="00980919" w:rsidRPr="0090330A" w:rsidRDefault="00980919" w:rsidP="001515D5">
            <w:r w:rsidRPr="0090330A">
              <w:t>2.62475803</w:t>
            </w:r>
          </w:p>
        </w:tc>
      </w:tr>
      <w:tr w:rsidR="00980919" w14:paraId="7E7F8D0A" w14:textId="77777777" w:rsidTr="001515D5">
        <w:tc>
          <w:tcPr>
            <w:tcW w:w="4675" w:type="dxa"/>
            <w:vAlign w:val="bottom"/>
          </w:tcPr>
          <w:p w14:paraId="443B7F55" w14:textId="77777777" w:rsidR="00980919" w:rsidRDefault="00980919" w:rsidP="001515D5">
            <w:r>
              <w:t>Dorchester</w:t>
            </w:r>
          </w:p>
        </w:tc>
        <w:tc>
          <w:tcPr>
            <w:tcW w:w="4675" w:type="dxa"/>
            <w:vAlign w:val="bottom"/>
          </w:tcPr>
          <w:p w14:paraId="3990AE68" w14:textId="77777777" w:rsidR="00980919" w:rsidRPr="0090330A" w:rsidRDefault="00980919" w:rsidP="001515D5">
            <w:r w:rsidRPr="0090330A">
              <w:t>4.729468273</w:t>
            </w:r>
          </w:p>
        </w:tc>
      </w:tr>
      <w:tr w:rsidR="00980919" w14:paraId="4455ED46" w14:textId="77777777" w:rsidTr="001515D5">
        <w:tc>
          <w:tcPr>
            <w:tcW w:w="4675" w:type="dxa"/>
            <w:vAlign w:val="bottom"/>
          </w:tcPr>
          <w:p w14:paraId="7E52C0D9" w14:textId="77777777" w:rsidR="00980919" w:rsidRDefault="00980919" w:rsidP="001515D5">
            <w:r>
              <w:t>Edgefield</w:t>
            </w:r>
          </w:p>
        </w:tc>
        <w:tc>
          <w:tcPr>
            <w:tcW w:w="4675" w:type="dxa"/>
            <w:vAlign w:val="bottom"/>
          </w:tcPr>
          <w:p w14:paraId="47BD4D93" w14:textId="77777777" w:rsidR="00980919" w:rsidRPr="0090330A" w:rsidRDefault="00980919" w:rsidP="001515D5">
            <w:r w:rsidRPr="0090330A">
              <w:t>2.201027146</w:t>
            </w:r>
          </w:p>
        </w:tc>
      </w:tr>
      <w:tr w:rsidR="00980919" w14:paraId="4D2C8250" w14:textId="77777777" w:rsidTr="001515D5">
        <w:tc>
          <w:tcPr>
            <w:tcW w:w="4675" w:type="dxa"/>
            <w:vAlign w:val="bottom"/>
          </w:tcPr>
          <w:p w14:paraId="2F7C6D59" w14:textId="77777777" w:rsidR="00980919" w:rsidRDefault="00980919" w:rsidP="001515D5">
            <w:r>
              <w:t>Fairfield</w:t>
            </w:r>
          </w:p>
        </w:tc>
        <w:tc>
          <w:tcPr>
            <w:tcW w:w="4675" w:type="dxa"/>
            <w:vAlign w:val="bottom"/>
          </w:tcPr>
          <w:p w14:paraId="537BBDC8" w14:textId="77777777" w:rsidR="00980919" w:rsidRPr="0090330A" w:rsidRDefault="00980919" w:rsidP="001515D5">
            <w:r w:rsidRPr="0090330A">
              <w:t>1.789949434</w:t>
            </w:r>
          </w:p>
        </w:tc>
      </w:tr>
      <w:tr w:rsidR="00980919" w14:paraId="02545F89" w14:textId="77777777" w:rsidTr="001515D5">
        <w:tc>
          <w:tcPr>
            <w:tcW w:w="4675" w:type="dxa"/>
            <w:vAlign w:val="bottom"/>
          </w:tcPr>
          <w:p w14:paraId="3F901D0A" w14:textId="77777777" w:rsidR="00980919" w:rsidRDefault="00980919" w:rsidP="001515D5">
            <w:r>
              <w:t>Florence</w:t>
            </w:r>
          </w:p>
        </w:tc>
        <w:tc>
          <w:tcPr>
            <w:tcW w:w="4675" w:type="dxa"/>
            <w:vAlign w:val="bottom"/>
          </w:tcPr>
          <w:p w14:paraId="16B6EAA4" w14:textId="77777777" w:rsidR="00980919" w:rsidRPr="0090330A" w:rsidRDefault="00980919" w:rsidP="001515D5">
            <w:r w:rsidRPr="0090330A">
              <w:t>5.423267989</w:t>
            </w:r>
          </w:p>
        </w:tc>
      </w:tr>
      <w:tr w:rsidR="00980919" w14:paraId="76DDACB4" w14:textId="77777777" w:rsidTr="001515D5">
        <w:tc>
          <w:tcPr>
            <w:tcW w:w="4675" w:type="dxa"/>
            <w:vAlign w:val="bottom"/>
          </w:tcPr>
          <w:p w14:paraId="79E1C8F5" w14:textId="77777777" w:rsidR="00980919" w:rsidRDefault="00980919" w:rsidP="001515D5">
            <w:r>
              <w:t>Georgetown</w:t>
            </w:r>
          </w:p>
        </w:tc>
        <w:tc>
          <w:tcPr>
            <w:tcW w:w="4675" w:type="dxa"/>
            <w:vAlign w:val="bottom"/>
          </w:tcPr>
          <w:p w14:paraId="65E75611" w14:textId="77777777" w:rsidR="00980919" w:rsidRPr="0090330A" w:rsidRDefault="00980919" w:rsidP="001515D5">
            <w:r w:rsidRPr="0090330A">
              <w:t>5.424377792</w:t>
            </w:r>
          </w:p>
        </w:tc>
      </w:tr>
      <w:tr w:rsidR="00980919" w14:paraId="2E84E733" w14:textId="77777777" w:rsidTr="001515D5">
        <w:tc>
          <w:tcPr>
            <w:tcW w:w="4675" w:type="dxa"/>
            <w:vAlign w:val="bottom"/>
          </w:tcPr>
          <w:p w14:paraId="31377020" w14:textId="77777777" w:rsidR="00980919" w:rsidRDefault="00980919" w:rsidP="001515D5">
            <w:r>
              <w:t>Greenville</w:t>
            </w:r>
          </w:p>
        </w:tc>
        <w:tc>
          <w:tcPr>
            <w:tcW w:w="4675" w:type="dxa"/>
            <w:vAlign w:val="bottom"/>
          </w:tcPr>
          <w:p w14:paraId="36D54355" w14:textId="77777777" w:rsidR="00980919" w:rsidRPr="0090330A" w:rsidRDefault="00980919" w:rsidP="001515D5">
            <w:r w:rsidRPr="0090330A">
              <w:t>6.379621883</w:t>
            </w:r>
          </w:p>
        </w:tc>
      </w:tr>
      <w:tr w:rsidR="00980919" w14:paraId="08365E8F" w14:textId="77777777" w:rsidTr="001515D5">
        <w:tc>
          <w:tcPr>
            <w:tcW w:w="4675" w:type="dxa"/>
            <w:vAlign w:val="bottom"/>
          </w:tcPr>
          <w:p w14:paraId="3BA668C4" w14:textId="77777777" w:rsidR="00980919" w:rsidRDefault="00980919" w:rsidP="001515D5">
            <w:r>
              <w:t>Greenwood</w:t>
            </w:r>
          </w:p>
        </w:tc>
        <w:tc>
          <w:tcPr>
            <w:tcW w:w="4675" w:type="dxa"/>
            <w:vAlign w:val="bottom"/>
          </w:tcPr>
          <w:p w14:paraId="7A0E0DDA" w14:textId="77777777" w:rsidR="00980919" w:rsidRPr="0090330A" w:rsidRDefault="00980919" w:rsidP="001515D5">
            <w:r w:rsidRPr="0090330A">
              <w:t>4.519071896</w:t>
            </w:r>
          </w:p>
        </w:tc>
      </w:tr>
      <w:tr w:rsidR="00980919" w14:paraId="72C4DBAA" w14:textId="77777777" w:rsidTr="001515D5">
        <w:tc>
          <w:tcPr>
            <w:tcW w:w="4675" w:type="dxa"/>
            <w:vAlign w:val="bottom"/>
          </w:tcPr>
          <w:p w14:paraId="28D638E4" w14:textId="77777777" w:rsidR="00980919" w:rsidRDefault="00980919" w:rsidP="001515D5">
            <w:r>
              <w:t>Hampton</w:t>
            </w:r>
          </w:p>
        </w:tc>
        <w:tc>
          <w:tcPr>
            <w:tcW w:w="4675" w:type="dxa"/>
            <w:vAlign w:val="bottom"/>
          </w:tcPr>
          <w:p w14:paraId="3D514B5C" w14:textId="77777777" w:rsidR="00980919" w:rsidRPr="0090330A" w:rsidRDefault="00980919" w:rsidP="001515D5">
            <w:r w:rsidRPr="0090330A">
              <w:t>1.560711685</w:t>
            </w:r>
          </w:p>
        </w:tc>
      </w:tr>
      <w:tr w:rsidR="00980919" w14:paraId="63C76D10" w14:textId="77777777" w:rsidTr="001515D5">
        <w:tc>
          <w:tcPr>
            <w:tcW w:w="4675" w:type="dxa"/>
            <w:vAlign w:val="bottom"/>
          </w:tcPr>
          <w:p w14:paraId="052C0165" w14:textId="77777777" w:rsidR="00980919" w:rsidRDefault="00980919" w:rsidP="001515D5">
            <w:r>
              <w:t>Horry</w:t>
            </w:r>
          </w:p>
        </w:tc>
        <w:tc>
          <w:tcPr>
            <w:tcW w:w="4675" w:type="dxa"/>
            <w:vAlign w:val="bottom"/>
          </w:tcPr>
          <w:p w14:paraId="043E441B" w14:textId="77777777" w:rsidR="00980919" w:rsidRPr="0090330A" w:rsidRDefault="00980919" w:rsidP="001515D5">
            <w:r w:rsidRPr="0090330A">
              <w:t>3.784444802</w:t>
            </w:r>
          </w:p>
        </w:tc>
      </w:tr>
      <w:tr w:rsidR="00980919" w14:paraId="7A908331" w14:textId="77777777" w:rsidTr="001515D5">
        <w:tc>
          <w:tcPr>
            <w:tcW w:w="4675" w:type="dxa"/>
            <w:vAlign w:val="bottom"/>
          </w:tcPr>
          <w:p w14:paraId="74AFF3EC" w14:textId="77777777" w:rsidR="00980919" w:rsidRDefault="00980919" w:rsidP="001515D5">
            <w:r>
              <w:t>Jasper</w:t>
            </w:r>
          </w:p>
        </w:tc>
        <w:tc>
          <w:tcPr>
            <w:tcW w:w="4675" w:type="dxa"/>
            <w:vAlign w:val="bottom"/>
          </w:tcPr>
          <w:p w14:paraId="1D2DA145" w14:textId="77777777" w:rsidR="00980919" w:rsidRPr="0090330A" w:rsidRDefault="00980919" w:rsidP="001515D5">
            <w:r w:rsidRPr="0090330A">
              <w:t>4.655338676</w:t>
            </w:r>
          </w:p>
        </w:tc>
      </w:tr>
      <w:tr w:rsidR="00980919" w14:paraId="212B4D8F" w14:textId="77777777" w:rsidTr="001515D5">
        <w:tc>
          <w:tcPr>
            <w:tcW w:w="4675" w:type="dxa"/>
            <w:vAlign w:val="bottom"/>
          </w:tcPr>
          <w:p w14:paraId="1505F8AC" w14:textId="77777777" w:rsidR="00980919" w:rsidRDefault="00980919" w:rsidP="001515D5">
            <w:r>
              <w:t>Kershaw</w:t>
            </w:r>
          </w:p>
        </w:tc>
        <w:tc>
          <w:tcPr>
            <w:tcW w:w="4675" w:type="dxa"/>
            <w:vAlign w:val="bottom"/>
          </w:tcPr>
          <w:p w14:paraId="21219A5B" w14:textId="77777777" w:rsidR="00980919" w:rsidRPr="0090330A" w:rsidRDefault="00980919" w:rsidP="001515D5">
            <w:r w:rsidRPr="0090330A">
              <w:t>2.404171237</w:t>
            </w:r>
          </w:p>
        </w:tc>
      </w:tr>
      <w:tr w:rsidR="00980919" w14:paraId="5E94ABDC" w14:textId="77777777" w:rsidTr="001515D5">
        <w:tc>
          <w:tcPr>
            <w:tcW w:w="4675" w:type="dxa"/>
            <w:vAlign w:val="bottom"/>
          </w:tcPr>
          <w:p w14:paraId="154B18C8" w14:textId="77777777" w:rsidR="00980919" w:rsidRDefault="00980919" w:rsidP="001515D5">
            <w:r>
              <w:t>Lancaster</w:t>
            </w:r>
          </w:p>
        </w:tc>
        <w:tc>
          <w:tcPr>
            <w:tcW w:w="4675" w:type="dxa"/>
            <w:vAlign w:val="bottom"/>
          </w:tcPr>
          <w:p w14:paraId="7D025C1C" w14:textId="77777777" w:rsidR="00980919" w:rsidRPr="0090330A" w:rsidRDefault="00980919" w:rsidP="001515D5">
            <w:r w:rsidRPr="0090330A">
              <w:t>3.570991307</w:t>
            </w:r>
          </w:p>
        </w:tc>
      </w:tr>
      <w:tr w:rsidR="00980919" w14:paraId="13DE21DE" w14:textId="77777777" w:rsidTr="001515D5">
        <w:tc>
          <w:tcPr>
            <w:tcW w:w="4675" w:type="dxa"/>
            <w:vAlign w:val="bottom"/>
          </w:tcPr>
          <w:p w14:paraId="08920359" w14:textId="77777777" w:rsidR="00980919" w:rsidRDefault="00980919" w:rsidP="001515D5">
            <w:r>
              <w:t>Laurens</w:t>
            </w:r>
          </w:p>
        </w:tc>
        <w:tc>
          <w:tcPr>
            <w:tcW w:w="4675" w:type="dxa"/>
            <w:vAlign w:val="bottom"/>
          </w:tcPr>
          <w:p w14:paraId="64971A70" w14:textId="77777777" w:rsidR="00980919" w:rsidRPr="0090330A" w:rsidRDefault="00980919" w:rsidP="001515D5">
            <w:r w:rsidRPr="0090330A">
              <w:t>1.926125672</w:t>
            </w:r>
          </w:p>
        </w:tc>
      </w:tr>
      <w:tr w:rsidR="00980919" w14:paraId="43E1DE54" w14:textId="77777777" w:rsidTr="001515D5">
        <w:tc>
          <w:tcPr>
            <w:tcW w:w="4675" w:type="dxa"/>
            <w:vAlign w:val="bottom"/>
          </w:tcPr>
          <w:p w14:paraId="4BC5F9B2" w14:textId="77777777" w:rsidR="00980919" w:rsidRDefault="00980919" w:rsidP="001515D5">
            <w:r>
              <w:t>Lee</w:t>
            </w:r>
          </w:p>
        </w:tc>
        <w:tc>
          <w:tcPr>
            <w:tcW w:w="4675" w:type="dxa"/>
            <w:vAlign w:val="bottom"/>
          </w:tcPr>
          <w:p w14:paraId="0508F669" w14:textId="77777777" w:rsidR="00980919" w:rsidRPr="0090330A" w:rsidRDefault="00980919" w:rsidP="001515D5">
            <w:r w:rsidRPr="0090330A">
              <w:t>0.594247682</w:t>
            </w:r>
          </w:p>
        </w:tc>
      </w:tr>
      <w:tr w:rsidR="00980919" w14:paraId="5FC154EC" w14:textId="77777777" w:rsidTr="001515D5">
        <w:tc>
          <w:tcPr>
            <w:tcW w:w="4675" w:type="dxa"/>
            <w:vAlign w:val="bottom"/>
          </w:tcPr>
          <w:p w14:paraId="4B1B2198" w14:textId="77777777" w:rsidR="00980919" w:rsidRDefault="00980919" w:rsidP="001515D5">
            <w:r>
              <w:t>Lexington</w:t>
            </w:r>
          </w:p>
        </w:tc>
        <w:tc>
          <w:tcPr>
            <w:tcW w:w="4675" w:type="dxa"/>
            <w:vAlign w:val="bottom"/>
          </w:tcPr>
          <w:p w14:paraId="6AE49F54" w14:textId="77777777" w:rsidR="00980919" w:rsidRPr="0090330A" w:rsidRDefault="00980919" w:rsidP="001515D5">
            <w:r w:rsidRPr="0090330A">
              <w:t>5.255230126</w:t>
            </w:r>
          </w:p>
        </w:tc>
      </w:tr>
      <w:tr w:rsidR="00980919" w14:paraId="70E6191B" w14:textId="77777777" w:rsidTr="001515D5">
        <w:tc>
          <w:tcPr>
            <w:tcW w:w="4675" w:type="dxa"/>
            <w:vAlign w:val="bottom"/>
          </w:tcPr>
          <w:p w14:paraId="16E3C1DF" w14:textId="77777777" w:rsidR="00980919" w:rsidRDefault="00980919" w:rsidP="001515D5">
            <w:r>
              <w:t>McCormick</w:t>
            </w:r>
          </w:p>
        </w:tc>
        <w:tc>
          <w:tcPr>
            <w:tcW w:w="4675" w:type="dxa"/>
            <w:vAlign w:val="bottom"/>
          </w:tcPr>
          <w:p w14:paraId="3A913D36" w14:textId="77777777" w:rsidR="00980919" w:rsidRPr="0090330A" w:rsidRDefault="00980919" w:rsidP="001515D5">
            <w:r w:rsidRPr="0090330A">
              <w:t>3.170241995</w:t>
            </w:r>
          </w:p>
        </w:tc>
      </w:tr>
      <w:tr w:rsidR="00980919" w14:paraId="5E68843C" w14:textId="77777777" w:rsidTr="001515D5">
        <w:tc>
          <w:tcPr>
            <w:tcW w:w="4675" w:type="dxa"/>
            <w:vAlign w:val="bottom"/>
          </w:tcPr>
          <w:p w14:paraId="465E0E81" w14:textId="77777777" w:rsidR="00980919" w:rsidRDefault="00980919" w:rsidP="001515D5">
            <w:r>
              <w:t>Marion</w:t>
            </w:r>
          </w:p>
        </w:tc>
        <w:tc>
          <w:tcPr>
            <w:tcW w:w="4675" w:type="dxa"/>
            <w:vAlign w:val="bottom"/>
          </w:tcPr>
          <w:p w14:paraId="215F41B5" w14:textId="77777777" w:rsidR="00980919" w:rsidRPr="0090330A" w:rsidRDefault="00980919" w:rsidP="001515D5">
            <w:r w:rsidRPr="0090330A">
              <w:t>1.630948886</w:t>
            </w:r>
          </w:p>
        </w:tc>
      </w:tr>
      <w:tr w:rsidR="00980919" w14:paraId="7B1E2AE3" w14:textId="77777777" w:rsidTr="001515D5">
        <w:tc>
          <w:tcPr>
            <w:tcW w:w="4675" w:type="dxa"/>
            <w:vAlign w:val="bottom"/>
          </w:tcPr>
          <w:p w14:paraId="6AA5D693" w14:textId="77777777" w:rsidR="00980919" w:rsidRDefault="00980919" w:rsidP="001515D5">
            <w:r>
              <w:t>Marlboro</w:t>
            </w:r>
          </w:p>
        </w:tc>
        <w:tc>
          <w:tcPr>
            <w:tcW w:w="4675" w:type="dxa"/>
            <w:vAlign w:val="bottom"/>
          </w:tcPr>
          <w:p w14:paraId="7725AB01" w14:textId="77777777" w:rsidR="00980919" w:rsidRPr="0090330A" w:rsidRDefault="00980919" w:rsidP="001515D5">
            <w:r w:rsidRPr="0090330A">
              <w:t>2.297266253</w:t>
            </w:r>
          </w:p>
        </w:tc>
      </w:tr>
      <w:tr w:rsidR="00980919" w14:paraId="5ECAA102" w14:textId="77777777" w:rsidTr="001515D5">
        <w:tc>
          <w:tcPr>
            <w:tcW w:w="4675" w:type="dxa"/>
            <w:vAlign w:val="bottom"/>
          </w:tcPr>
          <w:p w14:paraId="4F604B76" w14:textId="77777777" w:rsidR="00980919" w:rsidRDefault="00980919" w:rsidP="001515D5">
            <w:r>
              <w:t>Newberry</w:t>
            </w:r>
          </w:p>
        </w:tc>
        <w:tc>
          <w:tcPr>
            <w:tcW w:w="4675" w:type="dxa"/>
            <w:vAlign w:val="bottom"/>
          </w:tcPr>
          <w:p w14:paraId="3C3BD797" w14:textId="77777777" w:rsidR="00980919" w:rsidRPr="0090330A" w:rsidRDefault="00980919" w:rsidP="001515D5">
            <w:r w:rsidRPr="0090330A">
              <w:t>2.861602497</w:t>
            </w:r>
          </w:p>
        </w:tc>
      </w:tr>
      <w:tr w:rsidR="00980919" w14:paraId="20CE86B2" w14:textId="77777777" w:rsidTr="001515D5">
        <w:tc>
          <w:tcPr>
            <w:tcW w:w="4675" w:type="dxa"/>
            <w:vAlign w:val="bottom"/>
          </w:tcPr>
          <w:p w14:paraId="1E8FABCF" w14:textId="77777777" w:rsidR="00980919" w:rsidRDefault="00980919" w:rsidP="001515D5">
            <w:r>
              <w:lastRenderedPageBreak/>
              <w:t>Oconee</w:t>
            </w:r>
          </w:p>
        </w:tc>
        <w:tc>
          <w:tcPr>
            <w:tcW w:w="4675" w:type="dxa"/>
            <w:vAlign w:val="bottom"/>
          </w:tcPr>
          <w:p w14:paraId="08BEF520" w14:textId="77777777" w:rsidR="00980919" w:rsidRPr="0090330A" w:rsidRDefault="00980919" w:rsidP="001515D5">
            <w:r w:rsidRPr="0090330A">
              <w:t>4.022829558</w:t>
            </w:r>
          </w:p>
        </w:tc>
      </w:tr>
      <w:tr w:rsidR="00980919" w14:paraId="3DF39DF4" w14:textId="77777777" w:rsidTr="001515D5">
        <w:tc>
          <w:tcPr>
            <w:tcW w:w="4675" w:type="dxa"/>
            <w:vAlign w:val="bottom"/>
          </w:tcPr>
          <w:p w14:paraId="2E122BBD" w14:textId="77777777" w:rsidR="00980919" w:rsidRDefault="00980919" w:rsidP="001515D5">
            <w:r>
              <w:t>Orangeburg</w:t>
            </w:r>
          </w:p>
        </w:tc>
        <w:tc>
          <w:tcPr>
            <w:tcW w:w="4675" w:type="dxa"/>
            <w:vAlign w:val="bottom"/>
          </w:tcPr>
          <w:p w14:paraId="0A24B9AB" w14:textId="77777777" w:rsidR="00980919" w:rsidRPr="0090330A" w:rsidRDefault="00980919" w:rsidP="001515D5">
            <w:r w:rsidRPr="0090330A">
              <w:t>3.829416884</w:t>
            </w:r>
          </w:p>
        </w:tc>
      </w:tr>
      <w:tr w:rsidR="00980919" w14:paraId="3CB6B861" w14:textId="77777777" w:rsidTr="001515D5">
        <w:tc>
          <w:tcPr>
            <w:tcW w:w="4675" w:type="dxa"/>
            <w:vAlign w:val="bottom"/>
          </w:tcPr>
          <w:p w14:paraId="45FF6265" w14:textId="77777777" w:rsidR="00980919" w:rsidRDefault="00980919" w:rsidP="001515D5">
            <w:r>
              <w:t>Pickens</w:t>
            </w:r>
          </w:p>
        </w:tc>
        <w:tc>
          <w:tcPr>
            <w:tcW w:w="4675" w:type="dxa"/>
            <w:vAlign w:val="bottom"/>
          </w:tcPr>
          <w:p w14:paraId="716EA4D7" w14:textId="77777777" w:rsidR="00980919" w:rsidRPr="0090330A" w:rsidRDefault="00980919" w:rsidP="001515D5">
            <w:r w:rsidRPr="0090330A">
              <w:t>4.098231456</w:t>
            </w:r>
          </w:p>
        </w:tc>
      </w:tr>
      <w:tr w:rsidR="00980919" w14:paraId="6F750518" w14:textId="77777777" w:rsidTr="001515D5">
        <w:tc>
          <w:tcPr>
            <w:tcW w:w="4675" w:type="dxa"/>
            <w:vAlign w:val="bottom"/>
          </w:tcPr>
          <w:p w14:paraId="48CC26D9" w14:textId="77777777" w:rsidR="00980919" w:rsidRDefault="00980919" w:rsidP="001515D5">
            <w:r>
              <w:t>Richland</w:t>
            </w:r>
          </w:p>
        </w:tc>
        <w:tc>
          <w:tcPr>
            <w:tcW w:w="4675" w:type="dxa"/>
            <w:vAlign w:val="bottom"/>
          </w:tcPr>
          <w:p w14:paraId="5AFB22DB" w14:textId="77777777" w:rsidR="00980919" w:rsidRPr="0090330A" w:rsidRDefault="00980919" w:rsidP="001515D5">
            <w:r w:rsidRPr="0090330A">
              <w:t>5.53205102</w:t>
            </w:r>
          </w:p>
        </w:tc>
      </w:tr>
      <w:tr w:rsidR="00980919" w14:paraId="1D8EC5DC" w14:textId="77777777" w:rsidTr="001515D5">
        <w:tc>
          <w:tcPr>
            <w:tcW w:w="4675" w:type="dxa"/>
            <w:vAlign w:val="bottom"/>
          </w:tcPr>
          <w:p w14:paraId="77516C3E" w14:textId="77777777" w:rsidR="00980919" w:rsidRDefault="00980919" w:rsidP="001515D5">
            <w:r>
              <w:t>Saluda</w:t>
            </w:r>
          </w:p>
        </w:tc>
        <w:tc>
          <w:tcPr>
            <w:tcW w:w="4675" w:type="dxa"/>
            <w:vAlign w:val="bottom"/>
          </w:tcPr>
          <w:p w14:paraId="09B27067" w14:textId="77777777" w:rsidR="00980919" w:rsidRPr="0090330A" w:rsidRDefault="00980919" w:rsidP="001515D5">
            <w:r w:rsidRPr="0090330A">
              <w:t>2.442241</w:t>
            </w:r>
          </w:p>
        </w:tc>
      </w:tr>
      <w:tr w:rsidR="00980919" w14:paraId="4F9ABECA" w14:textId="77777777" w:rsidTr="001515D5">
        <w:tc>
          <w:tcPr>
            <w:tcW w:w="4675" w:type="dxa"/>
            <w:vAlign w:val="bottom"/>
          </w:tcPr>
          <w:p w14:paraId="0949435F" w14:textId="77777777" w:rsidR="00980919" w:rsidRDefault="00980919" w:rsidP="001515D5">
            <w:r>
              <w:t>Spartanburg</w:t>
            </w:r>
          </w:p>
        </w:tc>
        <w:tc>
          <w:tcPr>
            <w:tcW w:w="4675" w:type="dxa"/>
            <w:vAlign w:val="bottom"/>
          </w:tcPr>
          <w:p w14:paraId="5AAA3AB3" w14:textId="77777777" w:rsidR="00980919" w:rsidRPr="0090330A" w:rsidRDefault="00980919" w:rsidP="001515D5">
            <w:r w:rsidRPr="0090330A">
              <w:t>4.44048345</w:t>
            </w:r>
          </w:p>
        </w:tc>
      </w:tr>
      <w:tr w:rsidR="00980919" w14:paraId="7EFE15BB" w14:textId="77777777" w:rsidTr="001515D5">
        <w:tc>
          <w:tcPr>
            <w:tcW w:w="4675" w:type="dxa"/>
            <w:vAlign w:val="bottom"/>
          </w:tcPr>
          <w:p w14:paraId="7E963C72" w14:textId="77777777" w:rsidR="00980919" w:rsidRDefault="00980919" w:rsidP="001515D5">
            <w:r>
              <w:t>Sumter</w:t>
            </w:r>
          </w:p>
        </w:tc>
        <w:tc>
          <w:tcPr>
            <w:tcW w:w="4675" w:type="dxa"/>
            <w:vAlign w:val="bottom"/>
          </w:tcPr>
          <w:p w14:paraId="6499E549" w14:textId="77777777" w:rsidR="00980919" w:rsidRPr="0090330A" w:rsidRDefault="00980919" w:rsidP="001515D5">
            <w:r w:rsidRPr="0090330A">
              <w:t>3.748090816</w:t>
            </w:r>
          </w:p>
        </w:tc>
      </w:tr>
      <w:tr w:rsidR="00980919" w14:paraId="43454BD9" w14:textId="77777777" w:rsidTr="001515D5">
        <w:tc>
          <w:tcPr>
            <w:tcW w:w="4675" w:type="dxa"/>
            <w:vAlign w:val="bottom"/>
          </w:tcPr>
          <w:p w14:paraId="74949C91" w14:textId="77777777" w:rsidR="00980919" w:rsidRDefault="00980919" w:rsidP="001515D5">
            <w:r>
              <w:t>Union</w:t>
            </w:r>
          </w:p>
        </w:tc>
        <w:tc>
          <w:tcPr>
            <w:tcW w:w="4675" w:type="dxa"/>
            <w:vAlign w:val="bottom"/>
          </w:tcPr>
          <w:p w14:paraId="04476DA0" w14:textId="77777777" w:rsidR="00980919" w:rsidRPr="0090330A" w:rsidRDefault="00980919" w:rsidP="001515D5">
            <w:r w:rsidRPr="0090330A">
              <w:t>1.098257432</w:t>
            </w:r>
          </w:p>
        </w:tc>
      </w:tr>
      <w:tr w:rsidR="00980919" w14:paraId="157BDACE" w14:textId="77777777" w:rsidTr="001515D5">
        <w:tc>
          <w:tcPr>
            <w:tcW w:w="4675" w:type="dxa"/>
            <w:vAlign w:val="bottom"/>
          </w:tcPr>
          <w:p w14:paraId="547B8A90" w14:textId="77777777" w:rsidR="00980919" w:rsidRDefault="00980919" w:rsidP="001515D5">
            <w:r>
              <w:t>Williamsburg</w:t>
            </w:r>
          </w:p>
        </w:tc>
        <w:tc>
          <w:tcPr>
            <w:tcW w:w="4675" w:type="dxa"/>
            <w:vAlign w:val="bottom"/>
          </w:tcPr>
          <w:p w14:paraId="227FA223" w14:textId="77777777" w:rsidR="00980919" w:rsidRPr="0090330A" w:rsidRDefault="00980919" w:rsidP="001515D5">
            <w:r w:rsidRPr="0090330A">
              <w:t>2.305057956</w:t>
            </w:r>
          </w:p>
        </w:tc>
      </w:tr>
      <w:tr w:rsidR="00980919" w14:paraId="14A29819" w14:textId="77777777" w:rsidTr="001515D5">
        <w:tc>
          <w:tcPr>
            <w:tcW w:w="4675" w:type="dxa"/>
            <w:vAlign w:val="bottom"/>
          </w:tcPr>
          <w:p w14:paraId="4B85CC41" w14:textId="77777777" w:rsidR="00980919" w:rsidRDefault="00980919" w:rsidP="001515D5">
            <w:r>
              <w:t>York</w:t>
            </w:r>
          </w:p>
        </w:tc>
        <w:tc>
          <w:tcPr>
            <w:tcW w:w="4675" w:type="dxa"/>
            <w:vAlign w:val="bottom"/>
          </w:tcPr>
          <w:p w14:paraId="66F9B506" w14:textId="77777777" w:rsidR="00980919" w:rsidRPr="0090330A" w:rsidRDefault="00980919" w:rsidP="001515D5">
            <w:r w:rsidRPr="0090330A">
              <w:t>5.231707708</w:t>
            </w:r>
          </w:p>
        </w:tc>
      </w:tr>
    </w:tbl>
    <w:p w14:paraId="3CB1C6A8" w14:textId="77777777" w:rsidR="00980919" w:rsidRDefault="00980919" w:rsidP="00980919">
      <w:r w:rsidRPr="002F08EB">
        <w:t>Source: SC Office of Health care Workforce Health Professionals Data Book, 2021</w:t>
      </w:r>
      <w:r>
        <w:t>.</w:t>
      </w:r>
    </w:p>
    <w:p w14:paraId="5D7F67D2" w14:textId="77777777" w:rsidR="00980919" w:rsidRDefault="00980919" w:rsidP="00980919"/>
    <w:p w14:paraId="0B1EF121" w14:textId="77777777" w:rsidR="00980919" w:rsidRDefault="00980919" w:rsidP="00980919">
      <w:pPr>
        <w:pStyle w:val="Heading4"/>
      </w:pPr>
      <w:bookmarkStart w:id="362" w:name="_Toc154569854"/>
      <w:bookmarkStart w:id="363" w:name="_Toc162267234"/>
      <w:r w:rsidRPr="002F08EB">
        <w:t>Figure 6.4</w:t>
      </w:r>
      <w:r>
        <w:t>6</w:t>
      </w:r>
      <w:r w:rsidRPr="002F08EB">
        <w:t xml:space="preserve">: </w:t>
      </w:r>
      <w:r>
        <w:t>Dentists in South Carolina</w:t>
      </w:r>
      <w:r w:rsidRPr="002F08EB">
        <w:t>, by Rurality</w:t>
      </w:r>
      <w:r>
        <w:t>.</w:t>
      </w:r>
      <w:bookmarkEnd w:id="362"/>
      <w:bookmarkEnd w:id="363"/>
    </w:p>
    <w:p w14:paraId="3D152726" w14:textId="77777777" w:rsidR="00980919" w:rsidRPr="0090330A" w:rsidRDefault="00980919" w:rsidP="00980919">
      <w:pPr>
        <w:pStyle w:val="Heading5"/>
      </w:pPr>
      <w:r w:rsidRPr="0090330A">
        <w:t>Rate per 10,000 population.</w:t>
      </w:r>
    </w:p>
    <w:tbl>
      <w:tblPr>
        <w:tblStyle w:val="TableGrid"/>
        <w:tblW w:w="0" w:type="auto"/>
        <w:tblLook w:val="04A0" w:firstRow="1" w:lastRow="0" w:firstColumn="1" w:lastColumn="0" w:noHBand="0" w:noVBand="1"/>
      </w:tblPr>
      <w:tblGrid>
        <w:gridCol w:w="4675"/>
        <w:gridCol w:w="4675"/>
      </w:tblGrid>
      <w:tr w:rsidR="00980919" w14:paraId="5115E14E" w14:textId="77777777" w:rsidTr="001515D5">
        <w:tc>
          <w:tcPr>
            <w:tcW w:w="4675" w:type="dxa"/>
            <w:vAlign w:val="bottom"/>
          </w:tcPr>
          <w:p w14:paraId="6F8BC46E" w14:textId="77777777" w:rsidR="00980919" w:rsidRPr="0090330A" w:rsidRDefault="00980919" w:rsidP="001515D5">
            <w:r>
              <w:t>Rurality</w:t>
            </w:r>
          </w:p>
        </w:tc>
        <w:tc>
          <w:tcPr>
            <w:tcW w:w="4675" w:type="dxa"/>
            <w:vAlign w:val="bottom"/>
          </w:tcPr>
          <w:p w14:paraId="5FFB91D1" w14:textId="77777777" w:rsidR="00980919" w:rsidRPr="0090330A" w:rsidRDefault="00980919" w:rsidP="001515D5">
            <w:r w:rsidRPr="0090330A">
              <w:t>Rate per 10,000</w:t>
            </w:r>
          </w:p>
        </w:tc>
      </w:tr>
      <w:tr w:rsidR="00980919" w14:paraId="4E7B4E8B" w14:textId="77777777" w:rsidTr="001515D5">
        <w:tc>
          <w:tcPr>
            <w:tcW w:w="4675" w:type="dxa"/>
            <w:vAlign w:val="bottom"/>
          </w:tcPr>
          <w:p w14:paraId="4F715A22" w14:textId="77777777" w:rsidR="00980919" w:rsidRPr="0090330A" w:rsidRDefault="00980919" w:rsidP="001515D5">
            <w:r w:rsidRPr="0090330A">
              <w:t>Urban</w:t>
            </w:r>
          </w:p>
        </w:tc>
        <w:tc>
          <w:tcPr>
            <w:tcW w:w="4675" w:type="dxa"/>
            <w:vAlign w:val="bottom"/>
          </w:tcPr>
          <w:p w14:paraId="4A9B9A4D" w14:textId="77777777" w:rsidR="00980919" w:rsidRPr="0090330A" w:rsidRDefault="00980919" w:rsidP="001515D5">
            <w:r>
              <w:t>5.4</w:t>
            </w:r>
          </w:p>
        </w:tc>
      </w:tr>
      <w:tr w:rsidR="00980919" w14:paraId="742604FE" w14:textId="77777777" w:rsidTr="001515D5">
        <w:tc>
          <w:tcPr>
            <w:tcW w:w="4675" w:type="dxa"/>
            <w:vAlign w:val="bottom"/>
          </w:tcPr>
          <w:p w14:paraId="6B810AC7" w14:textId="77777777" w:rsidR="00980919" w:rsidRPr="0090330A" w:rsidRDefault="00980919" w:rsidP="001515D5">
            <w:r w:rsidRPr="0090330A">
              <w:t>Rural</w:t>
            </w:r>
          </w:p>
        </w:tc>
        <w:tc>
          <w:tcPr>
            <w:tcW w:w="4675" w:type="dxa"/>
            <w:vAlign w:val="bottom"/>
          </w:tcPr>
          <w:p w14:paraId="50875DCB" w14:textId="77777777" w:rsidR="00980919" w:rsidRPr="0090330A" w:rsidRDefault="00980919" w:rsidP="001515D5">
            <w:r>
              <w:t>2.5</w:t>
            </w:r>
          </w:p>
        </w:tc>
      </w:tr>
    </w:tbl>
    <w:p w14:paraId="719A72B7" w14:textId="77777777" w:rsidR="00980919" w:rsidRDefault="00980919" w:rsidP="00980919">
      <w:r w:rsidRPr="002F08EB">
        <w:t>Source: SC Office of Health care Workforce Health Professionals Data Book, 2021</w:t>
      </w:r>
      <w:r>
        <w:t>.</w:t>
      </w:r>
    </w:p>
    <w:p w14:paraId="34D518BD" w14:textId="77777777" w:rsidR="00F73294" w:rsidRDefault="00F73294" w:rsidP="00F73294"/>
    <w:p w14:paraId="176BF108" w14:textId="77777777" w:rsidR="00F73294" w:rsidRDefault="00F73294" w:rsidP="00F73294">
      <w:pPr>
        <w:rPr>
          <w:b/>
          <w:bCs/>
        </w:rPr>
      </w:pPr>
      <w:bookmarkStart w:id="364" w:name="_Toc162267235"/>
      <w:r w:rsidRPr="00F73294">
        <w:rPr>
          <w:rStyle w:val="Heading4Char"/>
        </w:rPr>
        <w:t>Data Interpretations:</w:t>
      </w:r>
      <w:bookmarkEnd w:id="364"/>
      <w:r w:rsidRPr="00F73294">
        <w:rPr>
          <w:b/>
          <w:bCs/>
        </w:rPr>
        <w:t xml:space="preserve"> </w:t>
      </w:r>
    </w:p>
    <w:p w14:paraId="470B6696" w14:textId="53B9BBF1" w:rsidR="00F73294" w:rsidRPr="00F73294" w:rsidRDefault="00F73294" w:rsidP="00F73294">
      <w:r w:rsidRPr="00F73294">
        <w:t>In 2019, there were nearly 2,500 licensed dentists throughout the state. The state sees varying rates of practicing dentists by county with a low of 0.6 dentists per 10,000 population in Lee County to a high of 8.8 dentists per 10,000 population in Charleston County (</w:t>
      </w:r>
      <w:r w:rsidRPr="00F73294">
        <w:rPr>
          <w:b/>
          <w:bCs/>
        </w:rPr>
        <w:t>Figure 6.45</w:t>
      </w:r>
      <w:r w:rsidRPr="00F73294">
        <w:t>). Urban counties in the state see a 2.2 times higher rate of practicing dentists compared to their rural counterparts (</w:t>
      </w:r>
      <w:r w:rsidRPr="00F73294">
        <w:rPr>
          <w:b/>
          <w:bCs/>
        </w:rPr>
        <w:t>Figure 6.46</w:t>
      </w:r>
      <w:r w:rsidRPr="00F73294">
        <w:t xml:space="preserve">). From 2009 to 2019 numbers of licensed dentists have increased 23% throughout the state. Despite the statewide increase, rural counties have seen a 12% reduction in licensed dentists while urban counties have increased by 30%.  </w:t>
      </w:r>
    </w:p>
    <w:p w14:paraId="562A62D9" w14:textId="77777777" w:rsidR="00F73294" w:rsidRDefault="00F73294" w:rsidP="00F73294"/>
    <w:p w14:paraId="23B82503" w14:textId="72CBA52D" w:rsidR="00F73294" w:rsidRDefault="00F73294" w:rsidP="00F73294">
      <w:pPr>
        <w:pStyle w:val="Heading5"/>
      </w:pPr>
      <w:r>
        <w:t>Kay Takeaways:</w:t>
      </w:r>
    </w:p>
    <w:p w14:paraId="3D1BF5D2" w14:textId="6591C179" w:rsidR="00F73294" w:rsidRPr="00F73294" w:rsidRDefault="00F73294" w:rsidP="00926EB3">
      <w:pPr>
        <w:pStyle w:val="ListParagraph"/>
        <w:numPr>
          <w:ilvl w:val="0"/>
          <w:numId w:val="219"/>
        </w:numPr>
      </w:pPr>
      <w:r w:rsidRPr="00F73294">
        <w:t xml:space="preserve">Rural counties see decreasing numbers of dentists, while also having disproportionately lower rates of licensed dentists compared to urban counties. </w:t>
      </w:r>
    </w:p>
    <w:p w14:paraId="664F01DD" w14:textId="77777777" w:rsidR="00F73294" w:rsidRDefault="00F73294" w:rsidP="00F73294"/>
    <w:p w14:paraId="260EFFC9" w14:textId="35E6CCA2" w:rsidR="00F73294" w:rsidRPr="00EA168E" w:rsidRDefault="00F73294" w:rsidP="00F73294">
      <w:pPr>
        <w:rPr>
          <w:rFonts w:cstheme="minorHAnsi"/>
        </w:rPr>
      </w:pPr>
      <w:bookmarkStart w:id="365" w:name="_Toc162267236"/>
      <w:r w:rsidRPr="00EA168E">
        <w:rPr>
          <w:rStyle w:val="Heading4Char"/>
          <w:rFonts w:asciiTheme="minorHAnsi" w:hAnsiTheme="minorHAnsi" w:cstheme="minorHAnsi"/>
          <w:color w:val="000000" w:themeColor="text1"/>
        </w:rPr>
        <w:t>References 6.1</w:t>
      </w:r>
      <w:r w:rsidR="00425D3B">
        <w:rPr>
          <w:rStyle w:val="Heading4Char"/>
          <w:rFonts w:asciiTheme="minorHAnsi" w:hAnsiTheme="minorHAnsi" w:cstheme="minorHAnsi"/>
          <w:color w:val="000000" w:themeColor="text1"/>
        </w:rPr>
        <w:t>8</w:t>
      </w:r>
      <w:bookmarkEnd w:id="365"/>
    </w:p>
    <w:p w14:paraId="28778203" w14:textId="77777777" w:rsidR="00F73294" w:rsidRDefault="00F73294" w:rsidP="00F73294">
      <w:r w:rsidRPr="00722CE9">
        <w:t>Statistics in the preceding</w:t>
      </w:r>
      <w:r>
        <w:t xml:space="preserve"> section</w:t>
      </w:r>
      <w:r w:rsidRPr="00722CE9">
        <w:t xml:space="preserve"> were referenced from the following report</w:t>
      </w:r>
      <w:r>
        <w:t>s</w:t>
      </w:r>
      <w:r w:rsidRPr="00722CE9">
        <w:t>:</w:t>
      </w:r>
    </w:p>
    <w:p w14:paraId="0EC312B4" w14:textId="19516BE8" w:rsidR="00F73294" w:rsidRPr="00F73294" w:rsidRDefault="00000000" w:rsidP="00926EB3">
      <w:pPr>
        <w:pStyle w:val="ListParagraph"/>
        <w:numPr>
          <w:ilvl w:val="0"/>
          <w:numId w:val="27"/>
        </w:numPr>
      </w:pPr>
      <w:hyperlink r:id="rId177" w:anchor=":~:text=Dentists%20are%20often%20the%20first,%2C%20tongue%2C%20lips%20and%20jaws" w:history="1">
        <w:r w:rsidR="00F73294" w:rsidRPr="00F73294">
          <w:rPr>
            <w:rStyle w:val="Hyperlink"/>
          </w:rPr>
          <w:t>“Dentistry – A Career for the Future. Why Choose a Career in Dental Medicine” by Lake Erie College of Osteopathic Medicine, 2022. Retrieved December 13, 2022.</w:t>
        </w:r>
      </w:hyperlink>
    </w:p>
    <w:p w14:paraId="6CB1404E" w14:textId="4EBA2508" w:rsidR="00F73294" w:rsidRPr="00F73294" w:rsidRDefault="00000000" w:rsidP="00926EB3">
      <w:pPr>
        <w:pStyle w:val="ListParagraph"/>
        <w:numPr>
          <w:ilvl w:val="0"/>
          <w:numId w:val="27"/>
        </w:numPr>
      </w:pPr>
      <w:hyperlink r:id="rId178" w:history="1">
        <w:r w:rsidR="00F73294" w:rsidRPr="00F73294">
          <w:rPr>
            <w:rStyle w:val="Hyperlink"/>
          </w:rPr>
          <w:t>“Oral Health Fast Facts. Oral Health” by the Centers for Disease Control and Prevention, 2021. Retrieved December 13, 2022.</w:t>
        </w:r>
      </w:hyperlink>
      <w:r w:rsidR="00F73294" w:rsidRPr="00F73294">
        <w:t xml:space="preserve"> </w:t>
      </w:r>
    </w:p>
    <w:p w14:paraId="66FCE406" w14:textId="37A79DA9" w:rsidR="00F73294" w:rsidRPr="00F73294" w:rsidRDefault="00000000" w:rsidP="00926EB3">
      <w:pPr>
        <w:pStyle w:val="ListParagraph"/>
        <w:numPr>
          <w:ilvl w:val="0"/>
          <w:numId w:val="27"/>
        </w:numPr>
      </w:pPr>
      <w:hyperlink r:id="rId179" w:history="1">
        <w:r w:rsidR="00F73294" w:rsidRPr="00F73294">
          <w:rPr>
            <w:rStyle w:val="Hyperlink"/>
          </w:rPr>
          <w:t>“Disparities in oral health” by Centers for Disease Control and Prevention. Published in Oral Health via cdc.gov, 2021. Retrieved December 13, 2022.</w:t>
        </w:r>
      </w:hyperlink>
      <w:r w:rsidR="00F73294">
        <w:t xml:space="preserve"> </w:t>
      </w:r>
    </w:p>
    <w:p w14:paraId="41DA6FCB" w14:textId="77777777" w:rsidR="00F73294" w:rsidRDefault="00F73294" w:rsidP="00F73294"/>
    <w:p w14:paraId="5AD13F25" w14:textId="77777777" w:rsidR="00F73294" w:rsidRPr="00F73294" w:rsidRDefault="00F73294" w:rsidP="00F73294">
      <w:pPr>
        <w:pStyle w:val="Heading3"/>
      </w:pPr>
      <w:bookmarkStart w:id="366" w:name="_Toc162267237"/>
      <w:r w:rsidRPr="00F73294">
        <w:t>Methicillin-resistant Staphylococcus aureus Bloodstream Infections</w:t>
      </w:r>
      <w:bookmarkEnd w:id="366"/>
    </w:p>
    <w:p w14:paraId="0FE9F14A" w14:textId="4E599C3F" w:rsidR="00F73294" w:rsidRPr="00F73294" w:rsidRDefault="00F73294" w:rsidP="00F73294">
      <w:r w:rsidRPr="00F73294">
        <w:t xml:space="preserve">Methicillin-resistant Staphylococcus aureus (MRSA) is a type of bacteria resistant to many antibiotics. In the community, MRSA most often causes skin infections. However, in healthcare facilities like hospitals and nursing homes, MRSA can cause severe infections such as bloodstream infections (BSI), pneumonia, surgical site infections and death. In healthcare settings, MRSA is usually spread by healthcare providers after touching an infected wound or contaminated surface. Also, people who carry MRSA but have no signs of infection (i.e., people who are colonized) can spread the bacteria to others. </w:t>
      </w:r>
    </w:p>
    <w:p w14:paraId="60E059DD" w14:textId="77777777" w:rsidR="00F73294" w:rsidRDefault="00F73294" w:rsidP="00F73294"/>
    <w:p w14:paraId="1CDA6B71" w14:textId="5ECC088F" w:rsidR="00F73294" w:rsidRPr="00F73294" w:rsidRDefault="00F73294" w:rsidP="00F73294">
      <w:r w:rsidRPr="00F73294">
        <w:t>In the US, significant progress was made to reduce MRSA bloodstream infections in healthcare settings from 2005-2012, but there has been no substantial change in MRSA bloodstream infections since 2012. SC has seen a rise in MRSA bloodstream infections in acute care hospitals from 2016-2020. Strategies hospitals use to decrease MRSA bloodstream infections include following evidence-based guidance for the prevention of central line-associated bloodstream infections, surgical site infections, hemodialysis bloodstream infections, ventilator-associated pneumonia as well as chlorhexidine bathing and intranasal anti-staphylococcal antibiotic/antiseptic use for selected patient populations.</w:t>
      </w:r>
    </w:p>
    <w:p w14:paraId="157F0D46" w14:textId="77777777" w:rsidR="00F73294" w:rsidRDefault="00F73294" w:rsidP="00F73294"/>
    <w:p w14:paraId="62FBDD51" w14:textId="77777777" w:rsidR="00980919" w:rsidRDefault="00980919" w:rsidP="00980919">
      <w:pPr>
        <w:pStyle w:val="Heading4"/>
      </w:pPr>
      <w:bookmarkStart w:id="367" w:name="_Toc154569855"/>
      <w:bookmarkStart w:id="368" w:name="_Toc162267238"/>
      <w:r w:rsidRPr="002F08EB">
        <w:t>Figure 6.4</w:t>
      </w:r>
      <w:r>
        <w:t>7</w:t>
      </w:r>
      <w:r w:rsidRPr="002F08EB">
        <w:t xml:space="preserve">: </w:t>
      </w:r>
      <w:r w:rsidRPr="0090330A">
        <w:t>Hospital Onset Methicillin-resistant Staphylococcus aureus Bloodstream Infections</w:t>
      </w:r>
      <w:r>
        <w:t>.</w:t>
      </w:r>
      <w:bookmarkEnd w:id="367"/>
      <w:bookmarkEnd w:id="368"/>
    </w:p>
    <w:p w14:paraId="73666668" w14:textId="77777777" w:rsidR="00980919" w:rsidRDefault="00980919" w:rsidP="00980919">
      <w:pPr>
        <w:pStyle w:val="Heading5"/>
      </w:pPr>
      <w:r>
        <w:t>Standard Infection Ratio.</w:t>
      </w:r>
    </w:p>
    <w:tbl>
      <w:tblPr>
        <w:tblStyle w:val="TableGrid"/>
        <w:tblW w:w="0" w:type="auto"/>
        <w:tblLook w:val="04A0" w:firstRow="1" w:lastRow="0" w:firstColumn="1" w:lastColumn="0" w:noHBand="0" w:noVBand="1"/>
      </w:tblPr>
      <w:tblGrid>
        <w:gridCol w:w="2337"/>
        <w:gridCol w:w="2337"/>
        <w:gridCol w:w="2338"/>
        <w:gridCol w:w="2338"/>
      </w:tblGrid>
      <w:tr w:rsidR="00980919" w14:paraId="2B876106" w14:textId="77777777" w:rsidTr="001515D5">
        <w:tc>
          <w:tcPr>
            <w:tcW w:w="2337" w:type="dxa"/>
            <w:vAlign w:val="bottom"/>
          </w:tcPr>
          <w:p w14:paraId="3A7398E5" w14:textId="77777777" w:rsidR="00980919" w:rsidRDefault="00980919" w:rsidP="001515D5">
            <w:r>
              <w:t>Year</w:t>
            </w:r>
          </w:p>
        </w:tc>
        <w:tc>
          <w:tcPr>
            <w:tcW w:w="2337" w:type="dxa"/>
            <w:vAlign w:val="bottom"/>
          </w:tcPr>
          <w:p w14:paraId="7FBD5F6E" w14:textId="77777777" w:rsidR="00980919" w:rsidRDefault="00980919" w:rsidP="001515D5">
            <w:r>
              <w:t>SC Acute Care Hospitals</w:t>
            </w:r>
          </w:p>
        </w:tc>
        <w:tc>
          <w:tcPr>
            <w:tcW w:w="2338" w:type="dxa"/>
            <w:vAlign w:val="bottom"/>
          </w:tcPr>
          <w:p w14:paraId="1F0301CA" w14:textId="77777777" w:rsidR="00980919" w:rsidRDefault="00980919" w:rsidP="001515D5">
            <w:r>
              <w:t>2015 US Baseline</w:t>
            </w:r>
          </w:p>
        </w:tc>
        <w:tc>
          <w:tcPr>
            <w:tcW w:w="2338" w:type="dxa"/>
            <w:vAlign w:val="bottom"/>
          </w:tcPr>
          <w:p w14:paraId="51685B67" w14:textId="77777777" w:rsidR="00980919" w:rsidRDefault="00980919" w:rsidP="001515D5">
            <w:r>
              <w:t>2030 Healthy People Goal</w:t>
            </w:r>
          </w:p>
        </w:tc>
      </w:tr>
      <w:tr w:rsidR="00980919" w14:paraId="64149607" w14:textId="77777777" w:rsidTr="001515D5">
        <w:tc>
          <w:tcPr>
            <w:tcW w:w="2337" w:type="dxa"/>
            <w:vAlign w:val="bottom"/>
          </w:tcPr>
          <w:p w14:paraId="03A1FE85" w14:textId="77777777" w:rsidR="00980919" w:rsidRDefault="00980919" w:rsidP="001515D5">
            <w:r>
              <w:t>2016</w:t>
            </w:r>
          </w:p>
        </w:tc>
        <w:tc>
          <w:tcPr>
            <w:tcW w:w="2337" w:type="dxa"/>
            <w:vAlign w:val="bottom"/>
          </w:tcPr>
          <w:p w14:paraId="78ADF7E6" w14:textId="77777777" w:rsidR="00980919" w:rsidRDefault="00980919" w:rsidP="001515D5">
            <w:r>
              <w:t>0.859</w:t>
            </w:r>
          </w:p>
        </w:tc>
        <w:tc>
          <w:tcPr>
            <w:tcW w:w="2338" w:type="dxa"/>
            <w:vAlign w:val="bottom"/>
          </w:tcPr>
          <w:p w14:paraId="450C2C9D" w14:textId="77777777" w:rsidR="00980919" w:rsidRDefault="00980919" w:rsidP="001515D5">
            <w:r>
              <w:t>1</w:t>
            </w:r>
          </w:p>
        </w:tc>
        <w:tc>
          <w:tcPr>
            <w:tcW w:w="2338" w:type="dxa"/>
            <w:vAlign w:val="bottom"/>
          </w:tcPr>
          <w:p w14:paraId="7F1858D3" w14:textId="77777777" w:rsidR="00980919" w:rsidRDefault="00980919" w:rsidP="001515D5">
            <w:r>
              <w:t>0.5</w:t>
            </w:r>
          </w:p>
        </w:tc>
      </w:tr>
      <w:tr w:rsidR="00980919" w14:paraId="2AA991C8" w14:textId="77777777" w:rsidTr="001515D5">
        <w:tc>
          <w:tcPr>
            <w:tcW w:w="2337" w:type="dxa"/>
            <w:vAlign w:val="bottom"/>
          </w:tcPr>
          <w:p w14:paraId="04CC82A8" w14:textId="77777777" w:rsidR="00980919" w:rsidRDefault="00980919" w:rsidP="001515D5">
            <w:r>
              <w:lastRenderedPageBreak/>
              <w:t>2017</w:t>
            </w:r>
          </w:p>
        </w:tc>
        <w:tc>
          <w:tcPr>
            <w:tcW w:w="2337" w:type="dxa"/>
            <w:vAlign w:val="bottom"/>
          </w:tcPr>
          <w:p w14:paraId="34BD2107" w14:textId="77777777" w:rsidR="00980919" w:rsidRDefault="00980919" w:rsidP="001515D5">
            <w:r>
              <w:t>0.92</w:t>
            </w:r>
          </w:p>
        </w:tc>
        <w:tc>
          <w:tcPr>
            <w:tcW w:w="2338" w:type="dxa"/>
            <w:vAlign w:val="bottom"/>
          </w:tcPr>
          <w:p w14:paraId="56A8D3A5" w14:textId="77777777" w:rsidR="00980919" w:rsidRDefault="00980919" w:rsidP="001515D5">
            <w:r>
              <w:t>1</w:t>
            </w:r>
          </w:p>
        </w:tc>
        <w:tc>
          <w:tcPr>
            <w:tcW w:w="2338" w:type="dxa"/>
            <w:vAlign w:val="bottom"/>
          </w:tcPr>
          <w:p w14:paraId="25CC536F" w14:textId="77777777" w:rsidR="00980919" w:rsidRDefault="00980919" w:rsidP="001515D5">
            <w:r>
              <w:t>0.5</w:t>
            </w:r>
          </w:p>
        </w:tc>
      </w:tr>
      <w:tr w:rsidR="00980919" w14:paraId="641A3897" w14:textId="77777777" w:rsidTr="001515D5">
        <w:tc>
          <w:tcPr>
            <w:tcW w:w="2337" w:type="dxa"/>
            <w:vAlign w:val="bottom"/>
          </w:tcPr>
          <w:p w14:paraId="464A71EF" w14:textId="77777777" w:rsidR="00980919" w:rsidRDefault="00980919" w:rsidP="001515D5">
            <w:r>
              <w:t>2018</w:t>
            </w:r>
          </w:p>
        </w:tc>
        <w:tc>
          <w:tcPr>
            <w:tcW w:w="2337" w:type="dxa"/>
            <w:vAlign w:val="bottom"/>
          </w:tcPr>
          <w:p w14:paraId="3101B438" w14:textId="77777777" w:rsidR="00980919" w:rsidRDefault="00980919" w:rsidP="001515D5">
            <w:r>
              <w:t>1.09</w:t>
            </w:r>
          </w:p>
        </w:tc>
        <w:tc>
          <w:tcPr>
            <w:tcW w:w="2338" w:type="dxa"/>
            <w:vAlign w:val="bottom"/>
          </w:tcPr>
          <w:p w14:paraId="296B8C61" w14:textId="77777777" w:rsidR="00980919" w:rsidRDefault="00980919" w:rsidP="001515D5">
            <w:r>
              <w:t>1</w:t>
            </w:r>
          </w:p>
        </w:tc>
        <w:tc>
          <w:tcPr>
            <w:tcW w:w="2338" w:type="dxa"/>
            <w:vAlign w:val="bottom"/>
          </w:tcPr>
          <w:p w14:paraId="1DF53C62" w14:textId="77777777" w:rsidR="00980919" w:rsidRDefault="00980919" w:rsidP="001515D5">
            <w:r>
              <w:t>0.5</w:t>
            </w:r>
          </w:p>
        </w:tc>
      </w:tr>
      <w:tr w:rsidR="00980919" w14:paraId="42824B82" w14:textId="77777777" w:rsidTr="001515D5">
        <w:tc>
          <w:tcPr>
            <w:tcW w:w="2337" w:type="dxa"/>
            <w:vAlign w:val="bottom"/>
          </w:tcPr>
          <w:p w14:paraId="5CF9F383" w14:textId="77777777" w:rsidR="00980919" w:rsidRDefault="00980919" w:rsidP="001515D5">
            <w:r>
              <w:t>2019</w:t>
            </w:r>
          </w:p>
        </w:tc>
        <w:tc>
          <w:tcPr>
            <w:tcW w:w="2337" w:type="dxa"/>
            <w:vAlign w:val="bottom"/>
          </w:tcPr>
          <w:p w14:paraId="7BFFCFB0" w14:textId="77777777" w:rsidR="00980919" w:rsidRDefault="00980919" w:rsidP="001515D5">
            <w:r>
              <w:t>1.1</w:t>
            </w:r>
          </w:p>
        </w:tc>
        <w:tc>
          <w:tcPr>
            <w:tcW w:w="2338" w:type="dxa"/>
            <w:vAlign w:val="bottom"/>
          </w:tcPr>
          <w:p w14:paraId="1FCF90BF" w14:textId="77777777" w:rsidR="00980919" w:rsidRDefault="00980919" w:rsidP="001515D5">
            <w:r>
              <w:t>1</w:t>
            </w:r>
          </w:p>
        </w:tc>
        <w:tc>
          <w:tcPr>
            <w:tcW w:w="2338" w:type="dxa"/>
            <w:vAlign w:val="bottom"/>
          </w:tcPr>
          <w:p w14:paraId="78F0A1F6" w14:textId="77777777" w:rsidR="00980919" w:rsidRDefault="00980919" w:rsidP="001515D5">
            <w:r>
              <w:t>0.5</w:t>
            </w:r>
          </w:p>
        </w:tc>
      </w:tr>
      <w:tr w:rsidR="00980919" w14:paraId="737E7DF9" w14:textId="77777777" w:rsidTr="001515D5">
        <w:tc>
          <w:tcPr>
            <w:tcW w:w="2337" w:type="dxa"/>
            <w:vAlign w:val="bottom"/>
          </w:tcPr>
          <w:p w14:paraId="1B979EB5" w14:textId="77777777" w:rsidR="00980919" w:rsidRDefault="00980919" w:rsidP="001515D5">
            <w:r>
              <w:t>2020</w:t>
            </w:r>
          </w:p>
        </w:tc>
        <w:tc>
          <w:tcPr>
            <w:tcW w:w="2337" w:type="dxa"/>
            <w:vAlign w:val="bottom"/>
          </w:tcPr>
          <w:p w14:paraId="22B04F7C" w14:textId="77777777" w:rsidR="00980919" w:rsidRDefault="00980919" w:rsidP="001515D5">
            <w:r>
              <w:t>1.15</w:t>
            </w:r>
          </w:p>
        </w:tc>
        <w:tc>
          <w:tcPr>
            <w:tcW w:w="2338" w:type="dxa"/>
            <w:vAlign w:val="bottom"/>
          </w:tcPr>
          <w:p w14:paraId="60E617B2" w14:textId="77777777" w:rsidR="00980919" w:rsidRDefault="00980919" w:rsidP="001515D5">
            <w:r>
              <w:t>1</w:t>
            </w:r>
          </w:p>
        </w:tc>
        <w:tc>
          <w:tcPr>
            <w:tcW w:w="2338" w:type="dxa"/>
            <w:vAlign w:val="bottom"/>
          </w:tcPr>
          <w:p w14:paraId="7627E4B9" w14:textId="77777777" w:rsidR="00980919" w:rsidRDefault="00980919" w:rsidP="001515D5">
            <w:r>
              <w:t>0.5</w:t>
            </w:r>
          </w:p>
        </w:tc>
      </w:tr>
    </w:tbl>
    <w:p w14:paraId="56B3A188" w14:textId="77777777" w:rsidR="00980919" w:rsidRDefault="00980919" w:rsidP="00980919">
      <w:r w:rsidRPr="0090330A">
        <w:t>Source: SC DHEC Division of Acute Disease Epidemiology.</w:t>
      </w:r>
    </w:p>
    <w:p w14:paraId="37A5BB07" w14:textId="77777777" w:rsidR="00F73294" w:rsidRDefault="00F73294" w:rsidP="00F73294"/>
    <w:p w14:paraId="27810F11" w14:textId="77777777" w:rsidR="00F73294" w:rsidRDefault="00F73294" w:rsidP="00F73294">
      <w:pPr>
        <w:pStyle w:val="Heading4"/>
      </w:pPr>
      <w:bookmarkStart w:id="369" w:name="_Toc162267239"/>
      <w:r w:rsidRPr="00F73294">
        <w:t>Data Interpretations:</w:t>
      </w:r>
      <w:bookmarkEnd w:id="369"/>
      <w:r w:rsidRPr="00F73294">
        <w:t xml:space="preserve"> </w:t>
      </w:r>
    </w:p>
    <w:p w14:paraId="3ECC1EC9" w14:textId="18343FD2" w:rsidR="00F73294" w:rsidRPr="00F73294" w:rsidRDefault="00F73294" w:rsidP="00F73294">
      <w:r w:rsidRPr="00F73294">
        <w:t>From 2016 to 2020, SC acute care hospitals have seen a 33.7% increase in hospital onset MRSA BSIs (</w:t>
      </w:r>
      <w:r w:rsidRPr="00F73294">
        <w:rPr>
          <w:b/>
          <w:bCs/>
        </w:rPr>
        <w:t>Figure 6.47</w:t>
      </w:r>
      <w:r w:rsidRPr="00F73294">
        <w:t>). The SC acute care hospital standardized infection ratio for MRSA BSI has remained above the Healthy People 2030 goal of 0.5.  For 2018 to 2020, the standardized infection ratio for MRSA BSI in South Carolina was above the 2015 US baseline standard infection ratio of 1.</w:t>
      </w:r>
    </w:p>
    <w:p w14:paraId="473122EF" w14:textId="77777777" w:rsidR="00F73294" w:rsidRDefault="00F73294" w:rsidP="00F73294"/>
    <w:p w14:paraId="40FB59B4" w14:textId="424DC5BC" w:rsidR="00F73294" w:rsidRPr="00F73294" w:rsidRDefault="00F73294" w:rsidP="00EA168E">
      <w:pPr>
        <w:pStyle w:val="Heading5"/>
      </w:pPr>
      <w:r w:rsidRPr="00F73294">
        <w:t>Key Takeaways:</w:t>
      </w:r>
    </w:p>
    <w:p w14:paraId="187DC631" w14:textId="77777777" w:rsidR="00F73294" w:rsidRPr="00F73294" w:rsidRDefault="00F73294" w:rsidP="00926EB3">
      <w:pPr>
        <w:pStyle w:val="ListParagraph"/>
        <w:numPr>
          <w:ilvl w:val="0"/>
          <w:numId w:val="219"/>
        </w:numPr>
      </w:pPr>
      <w:r w:rsidRPr="00F73294">
        <w:t>SC acute care hospitals are above the Healthy People 2030 goal and the 2015 national baseline standardized infection ratio for MRSA BSI that occur in hospitalized patients.</w:t>
      </w:r>
    </w:p>
    <w:p w14:paraId="5DC7FE4C" w14:textId="77777777" w:rsidR="00F73294" w:rsidRDefault="00F73294" w:rsidP="00F73294"/>
    <w:p w14:paraId="2630E856" w14:textId="63A975D1" w:rsidR="00F73294" w:rsidRPr="00EA168E" w:rsidRDefault="00F73294" w:rsidP="00F73294">
      <w:pPr>
        <w:rPr>
          <w:rFonts w:cstheme="minorHAnsi"/>
        </w:rPr>
      </w:pPr>
      <w:bookmarkStart w:id="370" w:name="_Toc162267240"/>
      <w:r w:rsidRPr="00EA168E">
        <w:rPr>
          <w:rStyle w:val="Heading4Char"/>
          <w:rFonts w:asciiTheme="minorHAnsi" w:hAnsiTheme="minorHAnsi" w:cstheme="minorHAnsi"/>
          <w:color w:val="000000" w:themeColor="text1"/>
        </w:rPr>
        <w:t>References 6.1</w:t>
      </w:r>
      <w:r w:rsidR="00425D3B">
        <w:rPr>
          <w:rStyle w:val="Heading4Char"/>
          <w:rFonts w:asciiTheme="minorHAnsi" w:hAnsiTheme="minorHAnsi" w:cstheme="minorHAnsi"/>
          <w:color w:val="000000" w:themeColor="text1"/>
        </w:rPr>
        <w:t>9</w:t>
      </w:r>
      <w:bookmarkEnd w:id="370"/>
    </w:p>
    <w:p w14:paraId="3D4DEBAE" w14:textId="77777777" w:rsidR="00F73294" w:rsidRDefault="00F73294" w:rsidP="00F73294">
      <w:r w:rsidRPr="00722CE9">
        <w:t>Statistics in the preceding</w:t>
      </w:r>
      <w:r>
        <w:t xml:space="preserve"> section</w:t>
      </w:r>
      <w:r w:rsidRPr="00722CE9">
        <w:t xml:space="preserve"> were referenced from the following report</w:t>
      </w:r>
      <w:r>
        <w:t>s</w:t>
      </w:r>
      <w:r w:rsidRPr="00722CE9">
        <w:t>:</w:t>
      </w:r>
    </w:p>
    <w:p w14:paraId="74744C1B" w14:textId="4E3C171F" w:rsidR="00F73294" w:rsidRPr="00F73294" w:rsidRDefault="00000000" w:rsidP="00926EB3">
      <w:pPr>
        <w:pStyle w:val="ListParagraph"/>
        <w:numPr>
          <w:ilvl w:val="0"/>
          <w:numId w:val="27"/>
        </w:numPr>
        <w:rPr>
          <w:u w:val="thick"/>
        </w:rPr>
      </w:pPr>
      <w:hyperlink r:id="rId180" w:history="1">
        <w:r w:rsidR="00F73294" w:rsidRPr="00F73294">
          <w:rPr>
            <w:rStyle w:val="Hyperlink"/>
          </w:rPr>
          <w:t>“Methicillin-resistant Staphylococcus aureus (MRSA)” by the Centers for Disease Control and Prevention, 2019. Retrieved January 20, 2023.</w:t>
        </w:r>
      </w:hyperlink>
      <w:r w:rsidR="00F73294" w:rsidRPr="00F73294">
        <w:t xml:space="preserve"> </w:t>
      </w:r>
    </w:p>
    <w:p w14:paraId="2C988E3D" w14:textId="707C7CB4" w:rsidR="00F73294" w:rsidRPr="00F73294" w:rsidRDefault="00000000" w:rsidP="00926EB3">
      <w:pPr>
        <w:pStyle w:val="ListParagraph"/>
        <w:numPr>
          <w:ilvl w:val="0"/>
          <w:numId w:val="27"/>
        </w:numPr>
        <w:rPr>
          <w:u w:val="thick"/>
        </w:rPr>
      </w:pPr>
      <w:hyperlink r:id="rId181" w:history="1">
        <w:r w:rsidR="00F73294" w:rsidRPr="00F73294">
          <w:rPr>
            <w:rStyle w:val="Hyperlink"/>
          </w:rPr>
          <w:t>“Methicillin-resistant Staphylococcus aureus (MRSA) in Healthcare Settings” by the Centers for Disease Control and Prevention, 2019. Retrieved January 20, 2023.</w:t>
        </w:r>
      </w:hyperlink>
      <w:r w:rsidR="00F73294" w:rsidRPr="00F73294">
        <w:t xml:space="preserve"> </w:t>
      </w:r>
    </w:p>
    <w:p w14:paraId="73957952" w14:textId="7F697D6D" w:rsidR="00F73294" w:rsidRPr="00F73294" w:rsidRDefault="00000000" w:rsidP="00926EB3">
      <w:pPr>
        <w:pStyle w:val="ListParagraph"/>
        <w:numPr>
          <w:ilvl w:val="0"/>
          <w:numId w:val="27"/>
        </w:numPr>
        <w:rPr>
          <w:u w:val="thick"/>
        </w:rPr>
      </w:pPr>
      <w:hyperlink r:id="rId182" w:history="1">
        <w:r w:rsidR="00F73294" w:rsidRPr="00F73294">
          <w:rPr>
            <w:rStyle w:val="Hyperlink"/>
          </w:rPr>
          <w:t>“Hospital Infections Disclosure Act (HIDA)”. 2020 Annual Report to the General Assembly November 2021.  Retrieved via SC DHEC January 20, 2023.</w:t>
        </w:r>
      </w:hyperlink>
    </w:p>
    <w:p w14:paraId="485C43B6" w14:textId="423A70EA" w:rsidR="00F73294" w:rsidRPr="00F73294" w:rsidRDefault="00000000" w:rsidP="00926EB3">
      <w:pPr>
        <w:pStyle w:val="ListParagraph"/>
        <w:numPr>
          <w:ilvl w:val="0"/>
          <w:numId w:val="27"/>
        </w:numPr>
        <w:rPr>
          <w:u w:val="thick"/>
        </w:rPr>
      </w:pPr>
      <w:hyperlink r:id="rId183" w:history="1">
        <w:r w:rsidR="00F73294" w:rsidRPr="00F73294">
          <w:rPr>
            <w:rStyle w:val="Hyperlink"/>
          </w:rPr>
          <w:t>“Strategies to Prevent Hospital-onset Staphylococcus aureus bloodstream infections in Acute Care Facilities” by the Centers for Disease Control and Prevention, 2019. Retrieved January 20, 2023.</w:t>
        </w:r>
      </w:hyperlink>
      <w:r w:rsidR="00F73294">
        <w:t xml:space="preserve"> </w:t>
      </w:r>
    </w:p>
    <w:p w14:paraId="723613E3" w14:textId="77777777" w:rsidR="00F73294" w:rsidRDefault="00F73294" w:rsidP="00F73294">
      <w:pPr>
        <w:rPr>
          <w:b/>
          <w:bCs/>
        </w:rPr>
      </w:pPr>
    </w:p>
    <w:p w14:paraId="25AC878F" w14:textId="77777777" w:rsidR="00F73294" w:rsidRPr="00F73294" w:rsidRDefault="00F73294" w:rsidP="00F73294">
      <w:pPr>
        <w:pStyle w:val="Heading3"/>
      </w:pPr>
      <w:bookmarkStart w:id="371" w:name="_Toc162267241"/>
      <w:r w:rsidRPr="00F73294">
        <w:t>Hospital Onset Clostridioides difficile Infections</w:t>
      </w:r>
      <w:bookmarkEnd w:id="371"/>
    </w:p>
    <w:p w14:paraId="6D48633D" w14:textId="75CD13B4" w:rsidR="00F73294" w:rsidRPr="00F73294" w:rsidRDefault="00F73294" w:rsidP="00F73294">
      <w:r w:rsidRPr="00F73294">
        <w:t xml:space="preserve">Clostridioides difficile (often called C. diff) is a bacterium that can cause diarrhea and colon inflammation. Clostridioides difficile infection (CDI) can lead to severe disease and death. Most cases of CDI occur in people taking antibiotics or not long after finishing a course of antibiotics. Other risk factors for getting CDI include </w:t>
      </w:r>
      <w:r w:rsidRPr="00F73294">
        <w:lastRenderedPageBreak/>
        <w:t xml:space="preserve">being 65 years or older, having a recent stay in a hospital or nursing home, having a weakened immune </w:t>
      </w:r>
      <w:proofErr w:type="gramStart"/>
      <w:r w:rsidRPr="00F73294">
        <w:t>system</w:t>
      </w:r>
      <w:proofErr w:type="gramEnd"/>
      <w:r w:rsidRPr="00F73294">
        <w:t xml:space="preserve"> or having a previous infection with C. diff. C. diff is carried from person to person; it is present in feces and can live on people’s skin.  Washing hands with soap and water is the best way to prevent the spread of C. diff.</w:t>
      </w:r>
    </w:p>
    <w:p w14:paraId="694E1EB7" w14:textId="77777777" w:rsidR="00F73294" w:rsidRDefault="00F73294" w:rsidP="00F73294"/>
    <w:p w14:paraId="0D140D21" w14:textId="66BF8127" w:rsidR="00F73294" w:rsidRPr="00F73294" w:rsidRDefault="00F73294" w:rsidP="00F73294">
      <w:r w:rsidRPr="00F73294">
        <w:t>In 2019, C. diff caused an estimated 223,900 infections in hospitalized patients and 12,800 deaths nationwide</w:t>
      </w:r>
      <w:r>
        <w:t>.</w:t>
      </w:r>
      <w:r w:rsidRPr="00F73294">
        <w:t xml:space="preserve"> SC acute care hospitals have decreased C. diff infections and, in 2020, reported standardized infection ratios below the Healthy People 2030 goal of 0.5.</w:t>
      </w:r>
    </w:p>
    <w:p w14:paraId="324BF86D" w14:textId="77777777" w:rsidR="00F73294" w:rsidRDefault="00F73294" w:rsidP="00F73294"/>
    <w:p w14:paraId="5548691A" w14:textId="098E9B58" w:rsidR="00F73294" w:rsidRDefault="00F73294" w:rsidP="00F73294">
      <w:r w:rsidRPr="00F73294">
        <w:t>State acute care hospitals are implementing interventions to decrease CDI, including using antibiotics appropriately, timely testing of patients with compatible signs and symptoms of CDI, using contact precautions, following hand hygiene best practices and cleaning and disinfecting patient rooms.</w:t>
      </w:r>
    </w:p>
    <w:p w14:paraId="053D10C1" w14:textId="77777777" w:rsidR="00F73294" w:rsidRDefault="00F73294" w:rsidP="00F73294"/>
    <w:p w14:paraId="412DC667" w14:textId="77777777" w:rsidR="00980919" w:rsidRDefault="00980919" w:rsidP="00980919">
      <w:pPr>
        <w:pStyle w:val="Heading4"/>
      </w:pPr>
      <w:bookmarkStart w:id="372" w:name="_Toc154569856"/>
      <w:bookmarkStart w:id="373" w:name="_Toc162267242"/>
      <w:r w:rsidRPr="002F08EB">
        <w:t>Figure 6.4</w:t>
      </w:r>
      <w:r>
        <w:t>8</w:t>
      </w:r>
      <w:r w:rsidRPr="002F08EB">
        <w:t xml:space="preserve">: </w:t>
      </w:r>
      <w:r w:rsidRPr="0090330A">
        <w:t>Hospital Onset Clostridioides difficile Infections</w:t>
      </w:r>
      <w:r>
        <w:t>.</w:t>
      </w:r>
      <w:bookmarkEnd w:id="372"/>
      <w:bookmarkEnd w:id="373"/>
    </w:p>
    <w:p w14:paraId="14213037" w14:textId="77777777" w:rsidR="00980919" w:rsidRDefault="00980919" w:rsidP="00980919">
      <w:pPr>
        <w:pStyle w:val="Heading5"/>
      </w:pPr>
      <w:r>
        <w:t>Standard Infection Ratio.</w:t>
      </w:r>
    </w:p>
    <w:tbl>
      <w:tblPr>
        <w:tblStyle w:val="TableGrid"/>
        <w:tblW w:w="0" w:type="auto"/>
        <w:tblLook w:val="04A0" w:firstRow="1" w:lastRow="0" w:firstColumn="1" w:lastColumn="0" w:noHBand="0" w:noVBand="1"/>
      </w:tblPr>
      <w:tblGrid>
        <w:gridCol w:w="2337"/>
        <w:gridCol w:w="2337"/>
        <w:gridCol w:w="2338"/>
        <w:gridCol w:w="2338"/>
      </w:tblGrid>
      <w:tr w:rsidR="00980919" w14:paraId="200003E7" w14:textId="77777777" w:rsidTr="001515D5">
        <w:tc>
          <w:tcPr>
            <w:tcW w:w="2337" w:type="dxa"/>
            <w:vAlign w:val="bottom"/>
          </w:tcPr>
          <w:p w14:paraId="58437CCE" w14:textId="77777777" w:rsidR="00980919" w:rsidRDefault="00980919" w:rsidP="001515D5">
            <w:r>
              <w:t>Year</w:t>
            </w:r>
          </w:p>
        </w:tc>
        <w:tc>
          <w:tcPr>
            <w:tcW w:w="2337" w:type="dxa"/>
            <w:vAlign w:val="bottom"/>
          </w:tcPr>
          <w:p w14:paraId="3017C7F9" w14:textId="77777777" w:rsidR="00980919" w:rsidRDefault="00980919" w:rsidP="001515D5">
            <w:r>
              <w:t>SC Acute Care Hospitals</w:t>
            </w:r>
          </w:p>
        </w:tc>
        <w:tc>
          <w:tcPr>
            <w:tcW w:w="2338" w:type="dxa"/>
            <w:vAlign w:val="bottom"/>
          </w:tcPr>
          <w:p w14:paraId="1B5F6CD5" w14:textId="77777777" w:rsidR="00980919" w:rsidRDefault="00980919" w:rsidP="001515D5">
            <w:r>
              <w:t>2015 US Baseline</w:t>
            </w:r>
          </w:p>
        </w:tc>
        <w:tc>
          <w:tcPr>
            <w:tcW w:w="2338" w:type="dxa"/>
            <w:vAlign w:val="bottom"/>
          </w:tcPr>
          <w:p w14:paraId="36DEE4E5" w14:textId="77777777" w:rsidR="00980919" w:rsidRDefault="00980919" w:rsidP="001515D5">
            <w:r>
              <w:t>2030 Healthy People Goal</w:t>
            </w:r>
          </w:p>
        </w:tc>
      </w:tr>
      <w:tr w:rsidR="00980919" w14:paraId="3E0BEC54" w14:textId="77777777" w:rsidTr="001515D5">
        <w:tc>
          <w:tcPr>
            <w:tcW w:w="2337" w:type="dxa"/>
            <w:vAlign w:val="bottom"/>
          </w:tcPr>
          <w:p w14:paraId="3BA27F2C" w14:textId="77777777" w:rsidR="00980919" w:rsidRDefault="00980919" w:rsidP="001515D5">
            <w:r>
              <w:t>2016</w:t>
            </w:r>
          </w:p>
        </w:tc>
        <w:tc>
          <w:tcPr>
            <w:tcW w:w="2337" w:type="dxa"/>
            <w:vAlign w:val="bottom"/>
          </w:tcPr>
          <w:p w14:paraId="63F5950C" w14:textId="77777777" w:rsidR="00980919" w:rsidRDefault="00980919" w:rsidP="001515D5">
            <w:r>
              <w:t>0.8</w:t>
            </w:r>
          </w:p>
        </w:tc>
        <w:tc>
          <w:tcPr>
            <w:tcW w:w="2338" w:type="dxa"/>
            <w:vAlign w:val="bottom"/>
          </w:tcPr>
          <w:p w14:paraId="5F63D3EF" w14:textId="77777777" w:rsidR="00980919" w:rsidRDefault="00980919" w:rsidP="001515D5">
            <w:r>
              <w:t>1</w:t>
            </w:r>
          </w:p>
        </w:tc>
        <w:tc>
          <w:tcPr>
            <w:tcW w:w="2338" w:type="dxa"/>
            <w:vAlign w:val="bottom"/>
          </w:tcPr>
          <w:p w14:paraId="13C66B38" w14:textId="77777777" w:rsidR="00980919" w:rsidRDefault="00980919" w:rsidP="001515D5">
            <w:r>
              <w:t>0.7</w:t>
            </w:r>
          </w:p>
        </w:tc>
      </w:tr>
      <w:tr w:rsidR="00980919" w14:paraId="14811685" w14:textId="77777777" w:rsidTr="001515D5">
        <w:tc>
          <w:tcPr>
            <w:tcW w:w="2337" w:type="dxa"/>
            <w:vAlign w:val="bottom"/>
          </w:tcPr>
          <w:p w14:paraId="6A763A10" w14:textId="77777777" w:rsidR="00980919" w:rsidRDefault="00980919" w:rsidP="001515D5">
            <w:r>
              <w:t>2017</w:t>
            </w:r>
          </w:p>
        </w:tc>
        <w:tc>
          <w:tcPr>
            <w:tcW w:w="2337" w:type="dxa"/>
            <w:vAlign w:val="bottom"/>
          </w:tcPr>
          <w:p w14:paraId="549E7910" w14:textId="77777777" w:rsidR="00980919" w:rsidRDefault="00980919" w:rsidP="001515D5">
            <w:r>
              <w:t>0.81</w:t>
            </w:r>
          </w:p>
        </w:tc>
        <w:tc>
          <w:tcPr>
            <w:tcW w:w="2338" w:type="dxa"/>
            <w:vAlign w:val="bottom"/>
          </w:tcPr>
          <w:p w14:paraId="5E974150" w14:textId="77777777" w:rsidR="00980919" w:rsidRDefault="00980919" w:rsidP="001515D5">
            <w:r>
              <w:t>1</w:t>
            </w:r>
          </w:p>
        </w:tc>
        <w:tc>
          <w:tcPr>
            <w:tcW w:w="2338" w:type="dxa"/>
            <w:vAlign w:val="bottom"/>
          </w:tcPr>
          <w:p w14:paraId="6BB1867B" w14:textId="77777777" w:rsidR="00980919" w:rsidRDefault="00980919" w:rsidP="001515D5">
            <w:r>
              <w:t>0.7</w:t>
            </w:r>
          </w:p>
        </w:tc>
      </w:tr>
      <w:tr w:rsidR="00980919" w14:paraId="6570301C" w14:textId="77777777" w:rsidTr="001515D5">
        <w:tc>
          <w:tcPr>
            <w:tcW w:w="2337" w:type="dxa"/>
            <w:vAlign w:val="bottom"/>
          </w:tcPr>
          <w:p w14:paraId="3749AD21" w14:textId="77777777" w:rsidR="00980919" w:rsidRDefault="00980919" w:rsidP="001515D5">
            <w:r>
              <w:t>2018</w:t>
            </w:r>
          </w:p>
        </w:tc>
        <w:tc>
          <w:tcPr>
            <w:tcW w:w="2337" w:type="dxa"/>
            <w:vAlign w:val="bottom"/>
          </w:tcPr>
          <w:p w14:paraId="2083A966" w14:textId="77777777" w:rsidR="00980919" w:rsidRDefault="00980919" w:rsidP="001515D5">
            <w:r>
              <w:t>0.74</w:t>
            </w:r>
          </w:p>
        </w:tc>
        <w:tc>
          <w:tcPr>
            <w:tcW w:w="2338" w:type="dxa"/>
            <w:vAlign w:val="bottom"/>
          </w:tcPr>
          <w:p w14:paraId="760682CC" w14:textId="77777777" w:rsidR="00980919" w:rsidRDefault="00980919" w:rsidP="001515D5">
            <w:r>
              <w:t>1</w:t>
            </w:r>
          </w:p>
        </w:tc>
        <w:tc>
          <w:tcPr>
            <w:tcW w:w="2338" w:type="dxa"/>
            <w:vAlign w:val="bottom"/>
          </w:tcPr>
          <w:p w14:paraId="72D4B6A8" w14:textId="77777777" w:rsidR="00980919" w:rsidRDefault="00980919" w:rsidP="001515D5">
            <w:r>
              <w:t>0.7</w:t>
            </w:r>
          </w:p>
        </w:tc>
      </w:tr>
      <w:tr w:rsidR="00980919" w14:paraId="425FE6CA" w14:textId="77777777" w:rsidTr="001515D5">
        <w:tc>
          <w:tcPr>
            <w:tcW w:w="2337" w:type="dxa"/>
            <w:vAlign w:val="bottom"/>
          </w:tcPr>
          <w:p w14:paraId="1BF27D5D" w14:textId="77777777" w:rsidR="00980919" w:rsidRDefault="00980919" w:rsidP="001515D5">
            <w:r>
              <w:t>2019</w:t>
            </w:r>
          </w:p>
        </w:tc>
        <w:tc>
          <w:tcPr>
            <w:tcW w:w="2337" w:type="dxa"/>
            <w:vAlign w:val="bottom"/>
          </w:tcPr>
          <w:p w14:paraId="40C00E6F" w14:textId="77777777" w:rsidR="00980919" w:rsidRDefault="00980919" w:rsidP="001515D5">
            <w:r>
              <w:t>0.63</w:t>
            </w:r>
          </w:p>
        </w:tc>
        <w:tc>
          <w:tcPr>
            <w:tcW w:w="2338" w:type="dxa"/>
            <w:vAlign w:val="bottom"/>
          </w:tcPr>
          <w:p w14:paraId="22F69443" w14:textId="77777777" w:rsidR="00980919" w:rsidRDefault="00980919" w:rsidP="001515D5">
            <w:r>
              <w:t>1</w:t>
            </w:r>
          </w:p>
        </w:tc>
        <w:tc>
          <w:tcPr>
            <w:tcW w:w="2338" w:type="dxa"/>
            <w:vAlign w:val="bottom"/>
          </w:tcPr>
          <w:p w14:paraId="68A2A34E" w14:textId="77777777" w:rsidR="00980919" w:rsidRDefault="00980919" w:rsidP="001515D5">
            <w:r>
              <w:t>0.7</w:t>
            </w:r>
          </w:p>
        </w:tc>
      </w:tr>
      <w:tr w:rsidR="00980919" w14:paraId="42427497" w14:textId="77777777" w:rsidTr="001515D5">
        <w:tc>
          <w:tcPr>
            <w:tcW w:w="2337" w:type="dxa"/>
            <w:vAlign w:val="bottom"/>
          </w:tcPr>
          <w:p w14:paraId="7425AC18" w14:textId="77777777" w:rsidR="00980919" w:rsidRDefault="00980919" w:rsidP="001515D5">
            <w:r>
              <w:t>2020</w:t>
            </w:r>
          </w:p>
        </w:tc>
        <w:tc>
          <w:tcPr>
            <w:tcW w:w="2337" w:type="dxa"/>
            <w:vAlign w:val="bottom"/>
          </w:tcPr>
          <w:p w14:paraId="64481751" w14:textId="77777777" w:rsidR="00980919" w:rsidRDefault="00980919" w:rsidP="001515D5">
            <w:r>
              <w:t>0.49</w:t>
            </w:r>
          </w:p>
        </w:tc>
        <w:tc>
          <w:tcPr>
            <w:tcW w:w="2338" w:type="dxa"/>
            <w:vAlign w:val="bottom"/>
          </w:tcPr>
          <w:p w14:paraId="3CB36F58" w14:textId="77777777" w:rsidR="00980919" w:rsidRDefault="00980919" w:rsidP="001515D5">
            <w:r>
              <w:t>1</w:t>
            </w:r>
          </w:p>
        </w:tc>
        <w:tc>
          <w:tcPr>
            <w:tcW w:w="2338" w:type="dxa"/>
            <w:vAlign w:val="bottom"/>
          </w:tcPr>
          <w:p w14:paraId="4AC3528B" w14:textId="77777777" w:rsidR="00980919" w:rsidRDefault="00980919" w:rsidP="001515D5">
            <w:r>
              <w:t>0.7</w:t>
            </w:r>
          </w:p>
        </w:tc>
      </w:tr>
    </w:tbl>
    <w:p w14:paraId="0A7F9362" w14:textId="77777777" w:rsidR="00980919" w:rsidRDefault="00980919" w:rsidP="00980919">
      <w:r w:rsidRPr="0090330A">
        <w:t>Source: SC DHEC Division of Acute Disease Epidemiology.</w:t>
      </w:r>
    </w:p>
    <w:p w14:paraId="3D5ABB0E" w14:textId="77777777" w:rsidR="00F73294" w:rsidRDefault="00F73294" w:rsidP="00F73294">
      <w:pPr>
        <w:pStyle w:val="Heading4"/>
      </w:pPr>
    </w:p>
    <w:p w14:paraId="7FD4F5B2" w14:textId="6C8820AF" w:rsidR="00F73294" w:rsidRDefault="00F73294" w:rsidP="00F73294">
      <w:pPr>
        <w:pStyle w:val="Heading4"/>
      </w:pPr>
      <w:bookmarkStart w:id="374" w:name="_Toc162267243"/>
      <w:r w:rsidRPr="00F73294">
        <w:t>Data Interpretations:</w:t>
      </w:r>
      <w:bookmarkEnd w:id="374"/>
      <w:r w:rsidRPr="00F73294">
        <w:t xml:space="preserve"> </w:t>
      </w:r>
    </w:p>
    <w:p w14:paraId="2A693760" w14:textId="2134C0CB" w:rsidR="00F73294" w:rsidRPr="00F73294" w:rsidRDefault="00F73294" w:rsidP="00F73294">
      <w:r w:rsidRPr="00F73294">
        <w:t>From 2017 to 2020, SC hospitals saw a 39.5% decrease in CDI in hospitalized patients (</w:t>
      </w:r>
      <w:r w:rsidRPr="00F73294">
        <w:rPr>
          <w:b/>
          <w:bCs/>
        </w:rPr>
        <w:t>Figure 6.48</w:t>
      </w:r>
      <w:r w:rsidRPr="00F73294">
        <w:t xml:space="preserve">). SC hospitals have met the Healthy People 2030 goal for hospital onset CDI (standardized infection ratio of 0.7) and is below the US 2015 baseline of 1.0. SC hospitals strive to improve infection control practices important to decrease the number of hospital onset C. difficile infections including appropriate testing, good hand hygiene practices, appropriate antibiotic </w:t>
      </w:r>
      <w:proofErr w:type="gramStart"/>
      <w:r w:rsidRPr="00F73294">
        <w:t>usage</w:t>
      </w:r>
      <w:proofErr w:type="gramEnd"/>
      <w:r w:rsidRPr="00F73294">
        <w:t xml:space="preserve"> and effective environmental disinfection.</w:t>
      </w:r>
    </w:p>
    <w:p w14:paraId="4647E06D" w14:textId="77777777" w:rsidR="00F73294" w:rsidRDefault="00F73294" w:rsidP="00F73294"/>
    <w:p w14:paraId="018165F8" w14:textId="0AAC73B9" w:rsidR="00F73294" w:rsidRDefault="00F73294" w:rsidP="00F73294">
      <w:pPr>
        <w:pStyle w:val="Heading5"/>
      </w:pPr>
      <w:r>
        <w:lastRenderedPageBreak/>
        <w:t>Key Takeaways:</w:t>
      </w:r>
    </w:p>
    <w:p w14:paraId="77A47852" w14:textId="20B83BC3" w:rsidR="00F73294" w:rsidRPr="00F73294" w:rsidRDefault="00F73294" w:rsidP="00926EB3">
      <w:pPr>
        <w:pStyle w:val="ListParagraph"/>
        <w:numPr>
          <w:ilvl w:val="0"/>
          <w:numId w:val="219"/>
        </w:numPr>
      </w:pPr>
      <w:r w:rsidRPr="00F73294">
        <w:t>SC has made good progress on decreasing CDI in hospitalized patients.</w:t>
      </w:r>
    </w:p>
    <w:p w14:paraId="06BC4B72" w14:textId="77777777" w:rsidR="00F73294" w:rsidRDefault="00F73294" w:rsidP="00F73294"/>
    <w:p w14:paraId="3D143BAD" w14:textId="50AB3037" w:rsidR="00F73294" w:rsidRPr="00722CE9" w:rsidRDefault="00F73294" w:rsidP="00F73294">
      <w:bookmarkStart w:id="375" w:name="_Toc162267244"/>
      <w:r w:rsidRPr="00EA168E">
        <w:rPr>
          <w:rStyle w:val="Heading4Char"/>
          <w:rFonts w:asciiTheme="minorHAnsi" w:hAnsiTheme="minorHAnsi" w:cstheme="minorHAnsi"/>
          <w:color w:val="000000" w:themeColor="text1"/>
        </w:rPr>
        <w:t>References 6.</w:t>
      </w:r>
      <w:r w:rsidR="00425D3B">
        <w:rPr>
          <w:rStyle w:val="Heading4Char"/>
          <w:rFonts w:asciiTheme="minorHAnsi" w:hAnsiTheme="minorHAnsi" w:cstheme="minorHAnsi"/>
          <w:color w:val="000000" w:themeColor="text1"/>
        </w:rPr>
        <w:t>20</w:t>
      </w:r>
      <w:bookmarkEnd w:id="375"/>
    </w:p>
    <w:p w14:paraId="4C424379" w14:textId="77777777" w:rsidR="00F73294" w:rsidRDefault="00F73294" w:rsidP="00F73294">
      <w:r w:rsidRPr="00722CE9">
        <w:t>Statistics in the preceding</w:t>
      </w:r>
      <w:r>
        <w:t xml:space="preserve"> section</w:t>
      </w:r>
      <w:r w:rsidRPr="00722CE9">
        <w:t xml:space="preserve"> were referenced from the following report</w:t>
      </w:r>
      <w:r>
        <w:t>s</w:t>
      </w:r>
      <w:r w:rsidRPr="00722CE9">
        <w:t>:</w:t>
      </w:r>
    </w:p>
    <w:p w14:paraId="722C6978" w14:textId="3293DB6C" w:rsidR="00F73294" w:rsidRPr="00F73294" w:rsidRDefault="00000000" w:rsidP="00926EB3">
      <w:pPr>
        <w:pStyle w:val="ListParagraph"/>
        <w:numPr>
          <w:ilvl w:val="0"/>
          <w:numId w:val="27"/>
        </w:numPr>
      </w:pPr>
      <w:hyperlink r:id="rId184" w:history="1">
        <w:r w:rsidR="00F73294" w:rsidRPr="00F73294">
          <w:rPr>
            <w:rStyle w:val="Hyperlink"/>
          </w:rPr>
          <w:t>“</w:t>
        </w:r>
        <w:proofErr w:type="spellStart"/>
        <w:proofErr w:type="gramStart"/>
        <w:r w:rsidR="00F73294" w:rsidRPr="00F73294">
          <w:rPr>
            <w:rStyle w:val="Hyperlink"/>
          </w:rPr>
          <w:t>C.diff</w:t>
        </w:r>
        <w:proofErr w:type="spellEnd"/>
        <w:proofErr w:type="gramEnd"/>
        <w:r w:rsidR="00F73294" w:rsidRPr="00F73294">
          <w:rPr>
            <w:rStyle w:val="Hyperlink"/>
          </w:rPr>
          <w:t xml:space="preserve"> (Clostridioides difficile)” by the Centers for Disease Control and Prevention, 2021. Retrieved January 20, 2023.</w:t>
        </w:r>
      </w:hyperlink>
      <w:r w:rsidR="00F73294" w:rsidRPr="00F73294">
        <w:t xml:space="preserve"> </w:t>
      </w:r>
    </w:p>
    <w:p w14:paraId="2CD720F3" w14:textId="6DBDC120" w:rsidR="00F73294" w:rsidRPr="00F73294" w:rsidRDefault="00000000" w:rsidP="00926EB3">
      <w:pPr>
        <w:pStyle w:val="ListParagraph"/>
        <w:numPr>
          <w:ilvl w:val="0"/>
          <w:numId w:val="27"/>
        </w:numPr>
      </w:pPr>
      <w:hyperlink r:id="rId185" w:history="1">
        <w:r w:rsidR="00F73294" w:rsidRPr="00F73294">
          <w:rPr>
            <w:rStyle w:val="Hyperlink"/>
          </w:rPr>
          <w:t>“Antibiotic Resistance Threats in the United States 2019” by the Centers for Disease Control and Prevention. Retrieved January 20, 2023.</w:t>
        </w:r>
      </w:hyperlink>
      <w:r w:rsidR="00F73294" w:rsidRPr="00F73294">
        <w:t xml:space="preserve"> </w:t>
      </w:r>
    </w:p>
    <w:p w14:paraId="5417C399" w14:textId="5BFE2F65" w:rsidR="00F73294" w:rsidRPr="00F73294" w:rsidRDefault="00000000" w:rsidP="00926EB3">
      <w:pPr>
        <w:pStyle w:val="ListParagraph"/>
        <w:numPr>
          <w:ilvl w:val="0"/>
          <w:numId w:val="27"/>
        </w:numPr>
      </w:pPr>
      <w:hyperlink r:id="rId186" w:history="1">
        <w:r w:rsidR="00F73294" w:rsidRPr="00F73294">
          <w:rPr>
            <w:rStyle w:val="Hyperlink"/>
          </w:rPr>
          <w:t>Hospital Infections Disclosure Act (HIDA). 2020 Annual Report to the General Assembly November 2021. Retrieved January 20, 2023.</w:t>
        </w:r>
      </w:hyperlink>
      <w:r w:rsidR="00F73294">
        <w:t xml:space="preserve"> </w:t>
      </w:r>
    </w:p>
    <w:p w14:paraId="2EB79CB3" w14:textId="31A70BCD" w:rsidR="00F73294" w:rsidRPr="00F73294" w:rsidRDefault="00000000" w:rsidP="00926EB3">
      <w:pPr>
        <w:pStyle w:val="ListParagraph"/>
        <w:numPr>
          <w:ilvl w:val="0"/>
          <w:numId w:val="27"/>
        </w:numPr>
      </w:pPr>
      <w:hyperlink r:id="rId187" w:history="1">
        <w:r w:rsidR="00F73294" w:rsidRPr="00F73294">
          <w:rPr>
            <w:rStyle w:val="Hyperlink"/>
          </w:rPr>
          <w:t xml:space="preserve">“Information for Healthcare Professionals about C. diff” by the Centers for Disease Control and Prevention, 2021. Retrieved January 20, 2023. </w:t>
        </w:r>
      </w:hyperlink>
      <w:r w:rsidR="00F73294" w:rsidRPr="00F73294">
        <w:t xml:space="preserve"> </w:t>
      </w:r>
    </w:p>
    <w:p w14:paraId="222D97CF" w14:textId="77777777" w:rsidR="00F73294" w:rsidRDefault="00F73294" w:rsidP="00F73294"/>
    <w:p w14:paraId="182F80D5" w14:textId="77777777" w:rsidR="00F73294" w:rsidRPr="00F73294" w:rsidRDefault="00F73294" w:rsidP="00F73294">
      <w:pPr>
        <w:pStyle w:val="Heading3"/>
      </w:pPr>
      <w:bookmarkStart w:id="376" w:name="_Toc162267245"/>
      <w:r w:rsidRPr="00F73294">
        <w:t>COVID-19</w:t>
      </w:r>
      <w:bookmarkEnd w:id="376"/>
    </w:p>
    <w:p w14:paraId="54E58414" w14:textId="155D08E5" w:rsidR="00F73294" w:rsidRPr="00F73294" w:rsidRDefault="00F73294" w:rsidP="00F73294">
      <w:r w:rsidRPr="00F73294">
        <w:t>In late</w:t>
      </w:r>
      <w:r w:rsidR="00FB4D78">
        <w:t xml:space="preserve"> </w:t>
      </w:r>
      <w:r w:rsidRPr="00F73294">
        <w:t>December 2019, a cluster of patients in China’s Hubei Province, in the city of Wuhan, began experiencing symptoms of an atypical pneumonia-like illness that did not respond well to standard treatments. On Jan. 20, 2020, the Centers for Disease Control and Prevention (CDC) reported the first laboratory-confirmed case of the 2019 Novel Coronavirus in the US from samples taken on Jan. 18 in Washington state. On March 6, 2020, DHEC announced the first two cases of COVID-19 in SC and on March 9, 2020, reported the first COVID-19 associated death. By April 2, 2020, COVID-19 cases were reported among residents of all 46 SC counties. As of Dec. 3, 2022, over 1,745,000 cases of COVID-19 have been reported among SC residents along with 18,849 COVID-19 associated deaths. In 2020, nine of the 10 leading national causes of death remained the same as in 2019. The top leading cause was heart disease, followed by cancer. COVID-19, newly added as a cause of death in 2020, became the third-leading cause of death in the US.</w:t>
      </w:r>
    </w:p>
    <w:p w14:paraId="21652594" w14:textId="77777777" w:rsidR="00F73294" w:rsidRDefault="00F73294" w:rsidP="00F73294"/>
    <w:p w14:paraId="0408E011" w14:textId="5E606070" w:rsidR="00F73294" w:rsidRPr="00F73294" w:rsidRDefault="00F73294" w:rsidP="00F73294">
      <w:r w:rsidRPr="00F73294">
        <w:t xml:space="preserve">The impacts from COVID-19 continue and there are many effective actions that can help protect you, your </w:t>
      </w:r>
      <w:proofErr w:type="gramStart"/>
      <w:r w:rsidRPr="00F73294">
        <w:t>household</w:t>
      </w:r>
      <w:proofErr w:type="gramEnd"/>
      <w:r w:rsidRPr="00F73294">
        <w:t xml:space="preserve"> and your community from the impact from COVID-19. In addition to basic health and hygiene practices, such as </w:t>
      </w:r>
      <w:proofErr w:type="gramStart"/>
      <w:r w:rsidRPr="00F73294">
        <w:t>hand-washing</w:t>
      </w:r>
      <w:proofErr w:type="gramEnd"/>
      <w:r w:rsidRPr="00F73294">
        <w:t xml:space="preserve"> and staying away from others when symptoms of a respiratory disease are present, DHEC and the CDC recommend that you: </w:t>
      </w:r>
    </w:p>
    <w:p w14:paraId="52BA298D" w14:textId="77777777" w:rsidR="00F73294" w:rsidRDefault="00F73294" w:rsidP="00926EB3">
      <w:pPr>
        <w:pStyle w:val="ListParagraph"/>
        <w:numPr>
          <w:ilvl w:val="0"/>
          <w:numId w:val="26"/>
        </w:numPr>
      </w:pPr>
      <w:r>
        <w:t>K</w:t>
      </w:r>
      <w:r w:rsidRPr="00F73294">
        <w:t>eep track of your COVID-Community Level and use it to guide your precautions</w:t>
      </w:r>
      <w:r>
        <w:t>.</w:t>
      </w:r>
    </w:p>
    <w:p w14:paraId="103833AC" w14:textId="77777777" w:rsidR="00F73294" w:rsidRDefault="00F73294" w:rsidP="00926EB3">
      <w:pPr>
        <w:pStyle w:val="ListParagraph"/>
        <w:numPr>
          <w:ilvl w:val="0"/>
          <w:numId w:val="26"/>
        </w:numPr>
      </w:pPr>
      <w:r>
        <w:lastRenderedPageBreak/>
        <w:t>S</w:t>
      </w:r>
      <w:r w:rsidRPr="00F73294">
        <w:t>tay up to date on vaccines and know when to get a booster</w:t>
      </w:r>
      <w:r>
        <w:t xml:space="preserve">. </w:t>
      </w:r>
    </w:p>
    <w:p w14:paraId="34E1B9EE" w14:textId="77777777" w:rsidR="00F73294" w:rsidRDefault="00F73294" w:rsidP="00926EB3">
      <w:pPr>
        <w:pStyle w:val="ListParagraph"/>
        <w:numPr>
          <w:ilvl w:val="0"/>
          <w:numId w:val="26"/>
        </w:numPr>
      </w:pPr>
      <w:r>
        <w:t>Us</w:t>
      </w:r>
      <w:r w:rsidRPr="00F73294">
        <w:t>e masks if at high risk when COVID-19 community levels are medium and by everyone when levels are high</w:t>
      </w:r>
      <w:r>
        <w:t>.</w:t>
      </w:r>
    </w:p>
    <w:p w14:paraId="76E45717" w14:textId="21EB6C30" w:rsidR="00F73294" w:rsidRDefault="00F73294" w:rsidP="00926EB3">
      <w:pPr>
        <w:pStyle w:val="ListParagraph"/>
        <w:numPr>
          <w:ilvl w:val="0"/>
          <w:numId w:val="26"/>
        </w:numPr>
      </w:pPr>
      <w:r>
        <w:t xml:space="preserve">And </w:t>
      </w:r>
      <w:r w:rsidRPr="00F73294">
        <w:t>recognize the symptoms of COVID-19 and know what to do to seek care.</w:t>
      </w:r>
    </w:p>
    <w:p w14:paraId="596E57C1" w14:textId="77777777" w:rsidR="00F73294" w:rsidRDefault="00F73294" w:rsidP="00F73294"/>
    <w:p w14:paraId="26001263" w14:textId="77777777" w:rsidR="00980919" w:rsidRPr="0090330A" w:rsidRDefault="00980919" w:rsidP="00980919">
      <w:pPr>
        <w:pStyle w:val="Heading4"/>
      </w:pPr>
      <w:bookmarkStart w:id="377" w:name="_Toc154569857"/>
      <w:bookmarkStart w:id="378" w:name="_Toc162267246"/>
      <w:r w:rsidRPr="002F08EB">
        <w:t>Figure 6.4</w:t>
      </w:r>
      <w:r>
        <w:t>9</w:t>
      </w:r>
      <w:r w:rsidRPr="002F08EB">
        <w:t xml:space="preserve">: </w:t>
      </w:r>
      <w:r w:rsidRPr="0090330A">
        <w:t>COVID-19 Cases, by Sex in South Carolina</w:t>
      </w:r>
      <w:r>
        <w:t>.</w:t>
      </w:r>
      <w:bookmarkEnd w:id="377"/>
      <w:bookmarkEnd w:id="378"/>
      <w:r w:rsidRPr="0090330A">
        <w:t xml:space="preserve"> </w:t>
      </w:r>
    </w:p>
    <w:p w14:paraId="6BCE275F" w14:textId="77777777" w:rsidR="00980919" w:rsidRDefault="00980919" w:rsidP="00980919">
      <w:pPr>
        <w:pStyle w:val="Heading5"/>
      </w:pPr>
      <w:r w:rsidRPr="0090330A">
        <w:t>Rate per 100,000 population</w:t>
      </w:r>
      <w:r>
        <w:t>.</w:t>
      </w:r>
    </w:p>
    <w:tbl>
      <w:tblPr>
        <w:tblStyle w:val="TableGrid"/>
        <w:tblW w:w="0" w:type="auto"/>
        <w:tblLook w:val="04A0" w:firstRow="1" w:lastRow="0" w:firstColumn="1" w:lastColumn="0" w:noHBand="0" w:noVBand="1"/>
      </w:tblPr>
      <w:tblGrid>
        <w:gridCol w:w="3116"/>
        <w:gridCol w:w="3117"/>
        <w:gridCol w:w="3117"/>
      </w:tblGrid>
      <w:tr w:rsidR="00980919" w14:paraId="2F246D1B" w14:textId="77777777" w:rsidTr="001515D5">
        <w:tc>
          <w:tcPr>
            <w:tcW w:w="3116" w:type="dxa"/>
            <w:vAlign w:val="bottom"/>
          </w:tcPr>
          <w:p w14:paraId="5EC94552" w14:textId="77777777" w:rsidR="00980919" w:rsidRDefault="00980919" w:rsidP="001515D5">
            <w:r>
              <w:t>Date</w:t>
            </w:r>
          </w:p>
        </w:tc>
        <w:tc>
          <w:tcPr>
            <w:tcW w:w="3117" w:type="dxa"/>
            <w:vAlign w:val="bottom"/>
          </w:tcPr>
          <w:p w14:paraId="6A754483" w14:textId="77777777" w:rsidR="00980919" w:rsidRDefault="00980919" w:rsidP="001515D5">
            <w:r>
              <w:t>Female</w:t>
            </w:r>
          </w:p>
        </w:tc>
        <w:tc>
          <w:tcPr>
            <w:tcW w:w="3117" w:type="dxa"/>
            <w:vAlign w:val="bottom"/>
          </w:tcPr>
          <w:p w14:paraId="2FD23ABF" w14:textId="77777777" w:rsidR="00980919" w:rsidRDefault="00980919" w:rsidP="001515D5">
            <w:r>
              <w:t>Male</w:t>
            </w:r>
          </w:p>
        </w:tc>
      </w:tr>
      <w:tr w:rsidR="00980919" w14:paraId="5CDC1CB6" w14:textId="77777777" w:rsidTr="001515D5">
        <w:tc>
          <w:tcPr>
            <w:tcW w:w="3116" w:type="dxa"/>
            <w:vAlign w:val="bottom"/>
          </w:tcPr>
          <w:p w14:paraId="237A75BC" w14:textId="77777777" w:rsidR="00980919" w:rsidRDefault="00980919" w:rsidP="001515D5">
            <w:r>
              <w:t>2/1/20</w:t>
            </w:r>
          </w:p>
        </w:tc>
        <w:tc>
          <w:tcPr>
            <w:tcW w:w="3117" w:type="dxa"/>
            <w:vAlign w:val="bottom"/>
          </w:tcPr>
          <w:p w14:paraId="2C03675E" w14:textId="77777777" w:rsidR="00980919" w:rsidRDefault="00980919" w:rsidP="001515D5">
            <w:r>
              <w:t>0</w:t>
            </w:r>
          </w:p>
        </w:tc>
        <w:tc>
          <w:tcPr>
            <w:tcW w:w="3117" w:type="dxa"/>
            <w:vAlign w:val="bottom"/>
          </w:tcPr>
          <w:p w14:paraId="19A15239" w14:textId="77777777" w:rsidR="00980919" w:rsidRDefault="00980919" w:rsidP="001515D5">
            <w:r>
              <w:t>0</w:t>
            </w:r>
          </w:p>
        </w:tc>
      </w:tr>
      <w:tr w:rsidR="00980919" w14:paraId="14C8802E" w14:textId="77777777" w:rsidTr="001515D5">
        <w:tc>
          <w:tcPr>
            <w:tcW w:w="3116" w:type="dxa"/>
            <w:vAlign w:val="bottom"/>
          </w:tcPr>
          <w:p w14:paraId="03466151" w14:textId="77777777" w:rsidR="00980919" w:rsidRDefault="00980919" w:rsidP="001515D5">
            <w:r>
              <w:t>2/29/20</w:t>
            </w:r>
          </w:p>
        </w:tc>
        <w:tc>
          <w:tcPr>
            <w:tcW w:w="3117" w:type="dxa"/>
            <w:vAlign w:val="bottom"/>
          </w:tcPr>
          <w:p w14:paraId="3E1002D1" w14:textId="77777777" w:rsidR="00980919" w:rsidRDefault="00980919" w:rsidP="001515D5">
            <w:r>
              <w:t>0</w:t>
            </w:r>
          </w:p>
        </w:tc>
        <w:tc>
          <w:tcPr>
            <w:tcW w:w="3117" w:type="dxa"/>
            <w:vAlign w:val="bottom"/>
          </w:tcPr>
          <w:p w14:paraId="0748F415" w14:textId="77777777" w:rsidR="00980919" w:rsidRDefault="00980919" w:rsidP="001515D5">
            <w:r>
              <w:t>0</w:t>
            </w:r>
          </w:p>
        </w:tc>
      </w:tr>
      <w:tr w:rsidR="00980919" w14:paraId="0AFACCE0" w14:textId="77777777" w:rsidTr="001515D5">
        <w:tc>
          <w:tcPr>
            <w:tcW w:w="3116" w:type="dxa"/>
            <w:vAlign w:val="bottom"/>
          </w:tcPr>
          <w:p w14:paraId="6AEA212D" w14:textId="77777777" w:rsidR="00980919" w:rsidRDefault="00980919" w:rsidP="001515D5">
            <w:r>
              <w:t>3/7/20</w:t>
            </w:r>
          </w:p>
        </w:tc>
        <w:tc>
          <w:tcPr>
            <w:tcW w:w="3117" w:type="dxa"/>
            <w:vAlign w:val="bottom"/>
          </w:tcPr>
          <w:p w14:paraId="3307AB97" w14:textId="77777777" w:rsidR="00980919" w:rsidRDefault="00980919" w:rsidP="001515D5">
            <w:r>
              <w:t>0</w:t>
            </w:r>
          </w:p>
        </w:tc>
        <w:tc>
          <w:tcPr>
            <w:tcW w:w="3117" w:type="dxa"/>
            <w:vAlign w:val="bottom"/>
          </w:tcPr>
          <w:p w14:paraId="484E9D71" w14:textId="77777777" w:rsidR="00980919" w:rsidRDefault="00980919" w:rsidP="001515D5">
            <w:r>
              <w:t>0</w:t>
            </w:r>
          </w:p>
        </w:tc>
      </w:tr>
      <w:tr w:rsidR="00980919" w14:paraId="53F4081D" w14:textId="77777777" w:rsidTr="001515D5">
        <w:tc>
          <w:tcPr>
            <w:tcW w:w="3116" w:type="dxa"/>
            <w:vAlign w:val="bottom"/>
          </w:tcPr>
          <w:p w14:paraId="5292522A" w14:textId="77777777" w:rsidR="00980919" w:rsidRDefault="00980919" w:rsidP="001515D5">
            <w:r>
              <w:t>3/14/20</w:t>
            </w:r>
          </w:p>
        </w:tc>
        <w:tc>
          <w:tcPr>
            <w:tcW w:w="3117" w:type="dxa"/>
            <w:vAlign w:val="bottom"/>
          </w:tcPr>
          <w:p w14:paraId="5266F637" w14:textId="77777777" w:rsidR="00980919" w:rsidRDefault="00980919" w:rsidP="001515D5">
            <w:r>
              <w:t>0</w:t>
            </w:r>
          </w:p>
        </w:tc>
        <w:tc>
          <w:tcPr>
            <w:tcW w:w="3117" w:type="dxa"/>
            <w:vAlign w:val="bottom"/>
          </w:tcPr>
          <w:p w14:paraId="53007778" w14:textId="77777777" w:rsidR="00980919" w:rsidRDefault="00980919" w:rsidP="001515D5">
            <w:r>
              <w:t>1</w:t>
            </w:r>
          </w:p>
        </w:tc>
      </w:tr>
      <w:tr w:rsidR="00980919" w14:paraId="2AD5005D" w14:textId="77777777" w:rsidTr="001515D5">
        <w:tc>
          <w:tcPr>
            <w:tcW w:w="3116" w:type="dxa"/>
            <w:vAlign w:val="bottom"/>
          </w:tcPr>
          <w:p w14:paraId="53E8325A" w14:textId="77777777" w:rsidR="00980919" w:rsidRDefault="00980919" w:rsidP="001515D5">
            <w:r>
              <w:t>3/21/20</w:t>
            </w:r>
          </w:p>
        </w:tc>
        <w:tc>
          <w:tcPr>
            <w:tcW w:w="3117" w:type="dxa"/>
            <w:vAlign w:val="bottom"/>
          </w:tcPr>
          <w:p w14:paraId="0DE07D2A" w14:textId="77777777" w:rsidR="00980919" w:rsidRDefault="00980919" w:rsidP="001515D5">
            <w:r>
              <w:t>5</w:t>
            </w:r>
          </w:p>
        </w:tc>
        <w:tc>
          <w:tcPr>
            <w:tcW w:w="3117" w:type="dxa"/>
            <w:vAlign w:val="bottom"/>
          </w:tcPr>
          <w:p w14:paraId="782E7F42" w14:textId="77777777" w:rsidR="00980919" w:rsidRDefault="00980919" w:rsidP="001515D5">
            <w:r>
              <w:t>3</w:t>
            </w:r>
          </w:p>
        </w:tc>
      </w:tr>
      <w:tr w:rsidR="00980919" w14:paraId="3FB61EAD" w14:textId="77777777" w:rsidTr="001515D5">
        <w:tc>
          <w:tcPr>
            <w:tcW w:w="3116" w:type="dxa"/>
            <w:vAlign w:val="bottom"/>
          </w:tcPr>
          <w:p w14:paraId="487BAD27" w14:textId="77777777" w:rsidR="00980919" w:rsidRDefault="00980919" w:rsidP="001515D5">
            <w:r>
              <w:t>3/28/20</w:t>
            </w:r>
          </w:p>
        </w:tc>
        <w:tc>
          <w:tcPr>
            <w:tcW w:w="3117" w:type="dxa"/>
            <w:vAlign w:val="bottom"/>
          </w:tcPr>
          <w:p w14:paraId="4BAE81F1" w14:textId="77777777" w:rsidR="00980919" w:rsidRDefault="00980919" w:rsidP="001515D5">
            <w:r>
              <w:t>11</w:t>
            </w:r>
          </w:p>
        </w:tc>
        <w:tc>
          <w:tcPr>
            <w:tcW w:w="3117" w:type="dxa"/>
            <w:vAlign w:val="bottom"/>
          </w:tcPr>
          <w:p w14:paraId="00BBCD0D" w14:textId="77777777" w:rsidR="00980919" w:rsidRDefault="00980919" w:rsidP="001515D5">
            <w:r>
              <w:t>12</w:t>
            </w:r>
          </w:p>
        </w:tc>
      </w:tr>
      <w:tr w:rsidR="00980919" w14:paraId="6C20B205" w14:textId="77777777" w:rsidTr="001515D5">
        <w:tc>
          <w:tcPr>
            <w:tcW w:w="3116" w:type="dxa"/>
            <w:vAlign w:val="bottom"/>
          </w:tcPr>
          <w:p w14:paraId="48C39A1B" w14:textId="77777777" w:rsidR="00980919" w:rsidRDefault="00980919" w:rsidP="001515D5">
            <w:r>
              <w:t>4/4/20</w:t>
            </w:r>
          </w:p>
        </w:tc>
        <w:tc>
          <w:tcPr>
            <w:tcW w:w="3117" w:type="dxa"/>
            <w:vAlign w:val="bottom"/>
          </w:tcPr>
          <w:p w14:paraId="12FBD926" w14:textId="77777777" w:rsidR="00980919" w:rsidRDefault="00980919" w:rsidP="001515D5">
            <w:r>
              <w:t>26</w:t>
            </w:r>
          </w:p>
        </w:tc>
        <w:tc>
          <w:tcPr>
            <w:tcW w:w="3117" w:type="dxa"/>
            <w:vAlign w:val="bottom"/>
          </w:tcPr>
          <w:p w14:paraId="62C64A63" w14:textId="77777777" w:rsidR="00980919" w:rsidRDefault="00980919" w:rsidP="001515D5">
            <w:r>
              <w:t>22</w:t>
            </w:r>
          </w:p>
        </w:tc>
      </w:tr>
      <w:tr w:rsidR="00980919" w14:paraId="147EFA8C" w14:textId="77777777" w:rsidTr="001515D5">
        <w:tc>
          <w:tcPr>
            <w:tcW w:w="3116" w:type="dxa"/>
            <w:vAlign w:val="bottom"/>
          </w:tcPr>
          <w:p w14:paraId="3D5A65E6" w14:textId="77777777" w:rsidR="00980919" w:rsidRDefault="00980919" w:rsidP="001515D5">
            <w:r>
              <w:t>4/11/20</w:t>
            </w:r>
          </w:p>
        </w:tc>
        <w:tc>
          <w:tcPr>
            <w:tcW w:w="3117" w:type="dxa"/>
            <w:vAlign w:val="bottom"/>
          </w:tcPr>
          <w:p w14:paraId="5003FA9A" w14:textId="77777777" w:rsidR="00980919" w:rsidRDefault="00980919" w:rsidP="001515D5">
            <w:r>
              <w:t>28</w:t>
            </w:r>
          </w:p>
        </w:tc>
        <w:tc>
          <w:tcPr>
            <w:tcW w:w="3117" w:type="dxa"/>
            <w:vAlign w:val="bottom"/>
          </w:tcPr>
          <w:p w14:paraId="43B1BBD0" w14:textId="77777777" w:rsidR="00980919" w:rsidRDefault="00980919" w:rsidP="001515D5">
            <w:r>
              <w:t>21</w:t>
            </w:r>
          </w:p>
        </w:tc>
      </w:tr>
      <w:tr w:rsidR="00980919" w14:paraId="7834440B" w14:textId="77777777" w:rsidTr="001515D5">
        <w:tc>
          <w:tcPr>
            <w:tcW w:w="3116" w:type="dxa"/>
            <w:vAlign w:val="bottom"/>
          </w:tcPr>
          <w:p w14:paraId="665E9A7C" w14:textId="77777777" w:rsidR="00980919" w:rsidRDefault="00980919" w:rsidP="001515D5">
            <w:r>
              <w:t>4/18/20</w:t>
            </w:r>
          </w:p>
        </w:tc>
        <w:tc>
          <w:tcPr>
            <w:tcW w:w="3117" w:type="dxa"/>
            <w:vAlign w:val="bottom"/>
          </w:tcPr>
          <w:p w14:paraId="565967C7" w14:textId="77777777" w:rsidR="00980919" w:rsidRDefault="00980919" w:rsidP="001515D5">
            <w:r>
              <w:t>22</w:t>
            </w:r>
          </w:p>
        </w:tc>
        <w:tc>
          <w:tcPr>
            <w:tcW w:w="3117" w:type="dxa"/>
            <w:vAlign w:val="bottom"/>
          </w:tcPr>
          <w:p w14:paraId="3EEF2A3D" w14:textId="77777777" w:rsidR="00980919" w:rsidRDefault="00980919" w:rsidP="001515D5">
            <w:r>
              <w:t>17</w:t>
            </w:r>
          </w:p>
        </w:tc>
      </w:tr>
      <w:tr w:rsidR="00980919" w14:paraId="2EA9FCA0" w14:textId="77777777" w:rsidTr="001515D5">
        <w:tc>
          <w:tcPr>
            <w:tcW w:w="3116" w:type="dxa"/>
            <w:vAlign w:val="bottom"/>
          </w:tcPr>
          <w:p w14:paraId="08234AB1" w14:textId="77777777" w:rsidR="00980919" w:rsidRDefault="00980919" w:rsidP="001515D5">
            <w:r>
              <w:t>4/25/20</w:t>
            </w:r>
          </w:p>
        </w:tc>
        <w:tc>
          <w:tcPr>
            <w:tcW w:w="3117" w:type="dxa"/>
            <w:vAlign w:val="bottom"/>
          </w:tcPr>
          <w:p w14:paraId="4CF522F8" w14:textId="77777777" w:rsidR="00980919" w:rsidRDefault="00980919" w:rsidP="001515D5">
            <w:r>
              <w:t>24</w:t>
            </w:r>
          </w:p>
        </w:tc>
        <w:tc>
          <w:tcPr>
            <w:tcW w:w="3117" w:type="dxa"/>
            <w:vAlign w:val="bottom"/>
          </w:tcPr>
          <w:p w14:paraId="734B668C" w14:textId="77777777" w:rsidR="00980919" w:rsidRDefault="00980919" w:rsidP="001515D5">
            <w:r>
              <w:t>18</w:t>
            </w:r>
          </w:p>
        </w:tc>
      </w:tr>
      <w:tr w:rsidR="00980919" w14:paraId="03CBCDB7" w14:textId="77777777" w:rsidTr="001515D5">
        <w:tc>
          <w:tcPr>
            <w:tcW w:w="3116" w:type="dxa"/>
            <w:vAlign w:val="bottom"/>
          </w:tcPr>
          <w:p w14:paraId="4A4D5207" w14:textId="77777777" w:rsidR="00980919" w:rsidRDefault="00980919" w:rsidP="001515D5">
            <w:r>
              <w:t>5/2/20</w:t>
            </w:r>
          </w:p>
        </w:tc>
        <w:tc>
          <w:tcPr>
            <w:tcW w:w="3117" w:type="dxa"/>
            <w:vAlign w:val="bottom"/>
          </w:tcPr>
          <w:p w14:paraId="1350B076" w14:textId="77777777" w:rsidR="00980919" w:rsidRDefault="00980919" w:rsidP="001515D5">
            <w:r>
              <w:t>22</w:t>
            </w:r>
          </w:p>
        </w:tc>
        <w:tc>
          <w:tcPr>
            <w:tcW w:w="3117" w:type="dxa"/>
            <w:vAlign w:val="bottom"/>
          </w:tcPr>
          <w:p w14:paraId="198E5126" w14:textId="77777777" w:rsidR="00980919" w:rsidRDefault="00980919" w:rsidP="001515D5">
            <w:r>
              <w:t>18</w:t>
            </w:r>
          </w:p>
        </w:tc>
      </w:tr>
      <w:tr w:rsidR="00980919" w14:paraId="5402A1F8" w14:textId="77777777" w:rsidTr="001515D5">
        <w:tc>
          <w:tcPr>
            <w:tcW w:w="3116" w:type="dxa"/>
            <w:vAlign w:val="bottom"/>
          </w:tcPr>
          <w:p w14:paraId="3C9F8DB8" w14:textId="77777777" w:rsidR="00980919" w:rsidRDefault="00980919" w:rsidP="001515D5">
            <w:r>
              <w:t>5/9/20</w:t>
            </w:r>
          </w:p>
        </w:tc>
        <w:tc>
          <w:tcPr>
            <w:tcW w:w="3117" w:type="dxa"/>
            <w:vAlign w:val="bottom"/>
          </w:tcPr>
          <w:p w14:paraId="500C9413" w14:textId="77777777" w:rsidR="00980919" w:rsidRDefault="00980919" w:rsidP="001515D5">
            <w:r>
              <w:t>21</w:t>
            </w:r>
          </w:p>
        </w:tc>
        <w:tc>
          <w:tcPr>
            <w:tcW w:w="3117" w:type="dxa"/>
            <w:vAlign w:val="bottom"/>
          </w:tcPr>
          <w:p w14:paraId="0D997AA4" w14:textId="77777777" w:rsidR="00980919" w:rsidRDefault="00980919" w:rsidP="001515D5">
            <w:r>
              <w:t>18</w:t>
            </w:r>
          </w:p>
        </w:tc>
      </w:tr>
      <w:tr w:rsidR="00980919" w14:paraId="4F8C021D" w14:textId="77777777" w:rsidTr="001515D5">
        <w:tc>
          <w:tcPr>
            <w:tcW w:w="3116" w:type="dxa"/>
            <w:vAlign w:val="bottom"/>
          </w:tcPr>
          <w:p w14:paraId="040C905F" w14:textId="77777777" w:rsidR="00980919" w:rsidRDefault="00980919" w:rsidP="001515D5">
            <w:r>
              <w:t>5/16/20</w:t>
            </w:r>
          </w:p>
        </w:tc>
        <w:tc>
          <w:tcPr>
            <w:tcW w:w="3117" w:type="dxa"/>
            <w:vAlign w:val="bottom"/>
          </w:tcPr>
          <w:p w14:paraId="710B47DA" w14:textId="77777777" w:rsidR="00980919" w:rsidRDefault="00980919" w:rsidP="001515D5">
            <w:r>
              <w:t>29</w:t>
            </w:r>
          </w:p>
        </w:tc>
        <w:tc>
          <w:tcPr>
            <w:tcW w:w="3117" w:type="dxa"/>
            <w:vAlign w:val="bottom"/>
          </w:tcPr>
          <w:p w14:paraId="58D07100" w14:textId="77777777" w:rsidR="00980919" w:rsidRDefault="00980919" w:rsidP="001515D5">
            <w:r>
              <w:t>21</w:t>
            </w:r>
          </w:p>
        </w:tc>
      </w:tr>
      <w:tr w:rsidR="00980919" w14:paraId="367E7F8A" w14:textId="77777777" w:rsidTr="001515D5">
        <w:tc>
          <w:tcPr>
            <w:tcW w:w="3116" w:type="dxa"/>
            <w:vAlign w:val="bottom"/>
          </w:tcPr>
          <w:p w14:paraId="4939E8B4" w14:textId="77777777" w:rsidR="00980919" w:rsidRDefault="00980919" w:rsidP="001515D5">
            <w:r>
              <w:t>5/23/20</w:t>
            </w:r>
          </w:p>
        </w:tc>
        <w:tc>
          <w:tcPr>
            <w:tcW w:w="3117" w:type="dxa"/>
            <w:vAlign w:val="bottom"/>
          </w:tcPr>
          <w:p w14:paraId="4DA116E2" w14:textId="77777777" w:rsidR="00980919" w:rsidRDefault="00980919" w:rsidP="001515D5">
            <w:r>
              <w:t>30</w:t>
            </w:r>
          </w:p>
        </w:tc>
        <w:tc>
          <w:tcPr>
            <w:tcW w:w="3117" w:type="dxa"/>
            <w:vAlign w:val="bottom"/>
          </w:tcPr>
          <w:p w14:paraId="37F7BF9B" w14:textId="77777777" w:rsidR="00980919" w:rsidRDefault="00980919" w:rsidP="001515D5">
            <w:r>
              <w:t>24</w:t>
            </w:r>
          </w:p>
        </w:tc>
      </w:tr>
      <w:tr w:rsidR="00980919" w14:paraId="6DA2180C" w14:textId="77777777" w:rsidTr="001515D5">
        <w:tc>
          <w:tcPr>
            <w:tcW w:w="3116" w:type="dxa"/>
            <w:vAlign w:val="bottom"/>
          </w:tcPr>
          <w:p w14:paraId="2DEFAFFE" w14:textId="77777777" w:rsidR="00980919" w:rsidRDefault="00980919" w:rsidP="001515D5">
            <w:r>
              <w:t>5/30/20</w:t>
            </w:r>
          </w:p>
        </w:tc>
        <w:tc>
          <w:tcPr>
            <w:tcW w:w="3117" w:type="dxa"/>
            <w:vAlign w:val="bottom"/>
          </w:tcPr>
          <w:p w14:paraId="5F3F7B76" w14:textId="77777777" w:rsidR="00980919" w:rsidRDefault="00980919" w:rsidP="001515D5">
            <w:r>
              <w:t>39</w:t>
            </w:r>
          </w:p>
        </w:tc>
        <w:tc>
          <w:tcPr>
            <w:tcW w:w="3117" w:type="dxa"/>
            <w:vAlign w:val="bottom"/>
          </w:tcPr>
          <w:p w14:paraId="2170560E" w14:textId="77777777" w:rsidR="00980919" w:rsidRDefault="00980919" w:rsidP="001515D5">
            <w:r>
              <w:t>33</w:t>
            </w:r>
          </w:p>
        </w:tc>
      </w:tr>
      <w:tr w:rsidR="00980919" w14:paraId="16F92C8E" w14:textId="77777777" w:rsidTr="001515D5">
        <w:tc>
          <w:tcPr>
            <w:tcW w:w="3116" w:type="dxa"/>
            <w:vAlign w:val="bottom"/>
          </w:tcPr>
          <w:p w14:paraId="7E8170B4" w14:textId="77777777" w:rsidR="00980919" w:rsidRDefault="00980919" w:rsidP="001515D5">
            <w:r>
              <w:t>6/6/20</w:t>
            </w:r>
          </w:p>
        </w:tc>
        <w:tc>
          <w:tcPr>
            <w:tcW w:w="3117" w:type="dxa"/>
            <w:vAlign w:val="bottom"/>
          </w:tcPr>
          <w:p w14:paraId="46CD9C41" w14:textId="77777777" w:rsidR="00980919" w:rsidRDefault="00980919" w:rsidP="001515D5">
            <w:r>
              <w:t>51</w:t>
            </w:r>
          </w:p>
        </w:tc>
        <w:tc>
          <w:tcPr>
            <w:tcW w:w="3117" w:type="dxa"/>
            <w:vAlign w:val="bottom"/>
          </w:tcPr>
          <w:p w14:paraId="58F054FC" w14:textId="77777777" w:rsidR="00980919" w:rsidRDefault="00980919" w:rsidP="001515D5">
            <w:r>
              <w:t>46</w:t>
            </w:r>
          </w:p>
        </w:tc>
      </w:tr>
      <w:tr w:rsidR="00980919" w14:paraId="1FA4BF81" w14:textId="77777777" w:rsidTr="001515D5">
        <w:tc>
          <w:tcPr>
            <w:tcW w:w="3116" w:type="dxa"/>
            <w:vAlign w:val="bottom"/>
          </w:tcPr>
          <w:p w14:paraId="702EF15D" w14:textId="77777777" w:rsidR="00980919" w:rsidRDefault="00980919" w:rsidP="001515D5">
            <w:r>
              <w:t>6/13/20</w:t>
            </w:r>
          </w:p>
        </w:tc>
        <w:tc>
          <w:tcPr>
            <w:tcW w:w="3117" w:type="dxa"/>
            <w:vAlign w:val="bottom"/>
          </w:tcPr>
          <w:p w14:paraId="53EE7C50" w14:textId="77777777" w:rsidR="00980919" w:rsidRDefault="00980919" w:rsidP="001515D5">
            <w:r>
              <w:t>91</w:t>
            </w:r>
          </w:p>
        </w:tc>
        <w:tc>
          <w:tcPr>
            <w:tcW w:w="3117" w:type="dxa"/>
            <w:vAlign w:val="bottom"/>
          </w:tcPr>
          <w:p w14:paraId="7F23E8BE" w14:textId="77777777" w:rsidR="00980919" w:rsidRDefault="00980919" w:rsidP="001515D5">
            <w:r>
              <w:t>82</w:t>
            </w:r>
          </w:p>
        </w:tc>
      </w:tr>
      <w:tr w:rsidR="00980919" w14:paraId="5B610B90" w14:textId="77777777" w:rsidTr="001515D5">
        <w:tc>
          <w:tcPr>
            <w:tcW w:w="3116" w:type="dxa"/>
            <w:vAlign w:val="bottom"/>
          </w:tcPr>
          <w:p w14:paraId="0E5382B8" w14:textId="77777777" w:rsidR="00980919" w:rsidRDefault="00980919" w:rsidP="001515D5">
            <w:r>
              <w:t>6/20/20</w:t>
            </w:r>
          </w:p>
        </w:tc>
        <w:tc>
          <w:tcPr>
            <w:tcW w:w="3117" w:type="dxa"/>
            <w:vAlign w:val="bottom"/>
          </w:tcPr>
          <w:p w14:paraId="34CA91EE" w14:textId="77777777" w:rsidR="00980919" w:rsidRDefault="00980919" w:rsidP="001515D5">
            <w:r>
              <w:t>114</w:t>
            </w:r>
          </w:p>
        </w:tc>
        <w:tc>
          <w:tcPr>
            <w:tcW w:w="3117" w:type="dxa"/>
            <w:vAlign w:val="bottom"/>
          </w:tcPr>
          <w:p w14:paraId="5A4D1D11" w14:textId="77777777" w:rsidR="00980919" w:rsidRDefault="00980919" w:rsidP="001515D5">
            <w:r>
              <w:t>109</w:t>
            </w:r>
          </w:p>
        </w:tc>
      </w:tr>
      <w:tr w:rsidR="00980919" w14:paraId="5A82948D" w14:textId="77777777" w:rsidTr="001515D5">
        <w:tc>
          <w:tcPr>
            <w:tcW w:w="3116" w:type="dxa"/>
            <w:vAlign w:val="bottom"/>
          </w:tcPr>
          <w:p w14:paraId="35056CDA" w14:textId="77777777" w:rsidR="00980919" w:rsidRDefault="00980919" w:rsidP="001515D5">
            <w:r>
              <w:t>6/27/20</w:t>
            </w:r>
          </w:p>
        </w:tc>
        <w:tc>
          <w:tcPr>
            <w:tcW w:w="3117" w:type="dxa"/>
            <w:vAlign w:val="bottom"/>
          </w:tcPr>
          <w:p w14:paraId="2C2DC35C" w14:textId="77777777" w:rsidR="00980919" w:rsidRDefault="00980919" w:rsidP="001515D5">
            <w:r>
              <w:t>168</w:t>
            </w:r>
          </w:p>
        </w:tc>
        <w:tc>
          <w:tcPr>
            <w:tcW w:w="3117" w:type="dxa"/>
            <w:vAlign w:val="bottom"/>
          </w:tcPr>
          <w:p w14:paraId="72AC63EE" w14:textId="77777777" w:rsidR="00980919" w:rsidRDefault="00980919" w:rsidP="001515D5">
            <w:r>
              <w:t>160</w:t>
            </w:r>
          </w:p>
        </w:tc>
      </w:tr>
      <w:tr w:rsidR="00980919" w14:paraId="065276EB" w14:textId="77777777" w:rsidTr="001515D5">
        <w:tc>
          <w:tcPr>
            <w:tcW w:w="3116" w:type="dxa"/>
            <w:vAlign w:val="bottom"/>
          </w:tcPr>
          <w:p w14:paraId="5E89BF0F" w14:textId="77777777" w:rsidR="00980919" w:rsidRDefault="00980919" w:rsidP="001515D5">
            <w:r>
              <w:t>7/4/20</w:t>
            </w:r>
          </w:p>
        </w:tc>
        <w:tc>
          <w:tcPr>
            <w:tcW w:w="3117" w:type="dxa"/>
            <w:vAlign w:val="bottom"/>
          </w:tcPr>
          <w:p w14:paraId="65739A7B" w14:textId="77777777" w:rsidR="00980919" w:rsidRDefault="00980919" w:rsidP="001515D5">
            <w:r>
              <w:t>235</w:t>
            </w:r>
          </w:p>
        </w:tc>
        <w:tc>
          <w:tcPr>
            <w:tcW w:w="3117" w:type="dxa"/>
            <w:vAlign w:val="bottom"/>
          </w:tcPr>
          <w:p w14:paraId="1EFA6070" w14:textId="77777777" w:rsidR="00980919" w:rsidRDefault="00980919" w:rsidP="001515D5">
            <w:r>
              <w:t>215</w:t>
            </w:r>
          </w:p>
        </w:tc>
      </w:tr>
      <w:tr w:rsidR="00980919" w14:paraId="3532C9CB" w14:textId="77777777" w:rsidTr="001515D5">
        <w:tc>
          <w:tcPr>
            <w:tcW w:w="3116" w:type="dxa"/>
            <w:vAlign w:val="bottom"/>
          </w:tcPr>
          <w:p w14:paraId="24A8BAC3" w14:textId="77777777" w:rsidR="00980919" w:rsidRDefault="00980919" w:rsidP="001515D5">
            <w:r>
              <w:t>7/11/20</w:t>
            </w:r>
          </w:p>
        </w:tc>
        <w:tc>
          <w:tcPr>
            <w:tcW w:w="3117" w:type="dxa"/>
            <w:vAlign w:val="bottom"/>
          </w:tcPr>
          <w:p w14:paraId="781196D0" w14:textId="77777777" w:rsidR="00980919" w:rsidRDefault="00980919" w:rsidP="001515D5">
            <w:r>
              <w:t>232</w:t>
            </w:r>
          </w:p>
        </w:tc>
        <w:tc>
          <w:tcPr>
            <w:tcW w:w="3117" w:type="dxa"/>
            <w:vAlign w:val="bottom"/>
          </w:tcPr>
          <w:p w14:paraId="55D3B0CF" w14:textId="77777777" w:rsidR="00980919" w:rsidRDefault="00980919" w:rsidP="001515D5">
            <w:r>
              <w:t>214</w:t>
            </w:r>
          </w:p>
        </w:tc>
      </w:tr>
      <w:tr w:rsidR="00980919" w14:paraId="066457E8" w14:textId="77777777" w:rsidTr="001515D5">
        <w:tc>
          <w:tcPr>
            <w:tcW w:w="3116" w:type="dxa"/>
            <w:vAlign w:val="bottom"/>
          </w:tcPr>
          <w:p w14:paraId="78744D5B" w14:textId="77777777" w:rsidR="00980919" w:rsidRDefault="00980919" w:rsidP="001515D5">
            <w:r>
              <w:t>7/18/20</w:t>
            </w:r>
          </w:p>
        </w:tc>
        <w:tc>
          <w:tcPr>
            <w:tcW w:w="3117" w:type="dxa"/>
            <w:vAlign w:val="bottom"/>
          </w:tcPr>
          <w:p w14:paraId="20C88962" w14:textId="77777777" w:rsidR="00980919" w:rsidRDefault="00980919" w:rsidP="001515D5">
            <w:r>
              <w:t>267</w:t>
            </w:r>
          </w:p>
        </w:tc>
        <w:tc>
          <w:tcPr>
            <w:tcW w:w="3117" w:type="dxa"/>
            <w:vAlign w:val="bottom"/>
          </w:tcPr>
          <w:p w14:paraId="484B28AD" w14:textId="77777777" w:rsidR="00980919" w:rsidRDefault="00980919" w:rsidP="001515D5">
            <w:r>
              <w:t>242</w:t>
            </w:r>
          </w:p>
        </w:tc>
      </w:tr>
      <w:tr w:rsidR="00980919" w14:paraId="1128D6C6" w14:textId="77777777" w:rsidTr="001515D5">
        <w:tc>
          <w:tcPr>
            <w:tcW w:w="3116" w:type="dxa"/>
            <w:vAlign w:val="bottom"/>
          </w:tcPr>
          <w:p w14:paraId="528D17B4" w14:textId="77777777" w:rsidR="00980919" w:rsidRDefault="00980919" w:rsidP="001515D5">
            <w:r>
              <w:t>7/25/20</w:t>
            </w:r>
          </w:p>
        </w:tc>
        <w:tc>
          <w:tcPr>
            <w:tcW w:w="3117" w:type="dxa"/>
            <w:vAlign w:val="bottom"/>
          </w:tcPr>
          <w:p w14:paraId="09D3259E" w14:textId="77777777" w:rsidR="00980919" w:rsidRDefault="00980919" w:rsidP="001515D5">
            <w:r>
              <w:t>234</w:t>
            </w:r>
          </w:p>
        </w:tc>
        <w:tc>
          <w:tcPr>
            <w:tcW w:w="3117" w:type="dxa"/>
            <w:vAlign w:val="bottom"/>
          </w:tcPr>
          <w:p w14:paraId="0456CDFB" w14:textId="77777777" w:rsidR="00980919" w:rsidRDefault="00980919" w:rsidP="001515D5">
            <w:r>
              <w:t>202</w:t>
            </w:r>
          </w:p>
        </w:tc>
      </w:tr>
      <w:tr w:rsidR="00980919" w14:paraId="75572A3E" w14:textId="77777777" w:rsidTr="001515D5">
        <w:tc>
          <w:tcPr>
            <w:tcW w:w="3116" w:type="dxa"/>
            <w:vAlign w:val="bottom"/>
          </w:tcPr>
          <w:p w14:paraId="66C4336F" w14:textId="77777777" w:rsidR="00980919" w:rsidRDefault="00980919" w:rsidP="001515D5">
            <w:r>
              <w:t>8/1/20</w:t>
            </w:r>
          </w:p>
        </w:tc>
        <w:tc>
          <w:tcPr>
            <w:tcW w:w="3117" w:type="dxa"/>
            <w:vAlign w:val="bottom"/>
          </w:tcPr>
          <w:p w14:paraId="0FF60A6F" w14:textId="77777777" w:rsidR="00980919" w:rsidRDefault="00980919" w:rsidP="001515D5">
            <w:r>
              <w:t>211</w:t>
            </w:r>
          </w:p>
        </w:tc>
        <w:tc>
          <w:tcPr>
            <w:tcW w:w="3117" w:type="dxa"/>
            <w:vAlign w:val="bottom"/>
          </w:tcPr>
          <w:p w14:paraId="6CFB0762" w14:textId="77777777" w:rsidR="00980919" w:rsidRDefault="00980919" w:rsidP="001515D5">
            <w:r>
              <w:t>192</w:t>
            </w:r>
          </w:p>
        </w:tc>
      </w:tr>
      <w:tr w:rsidR="00980919" w14:paraId="4B60B038" w14:textId="77777777" w:rsidTr="001515D5">
        <w:tc>
          <w:tcPr>
            <w:tcW w:w="3116" w:type="dxa"/>
            <w:vAlign w:val="bottom"/>
          </w:tcPr>
          <w:p w14:paraId="2BFC7F17" w14:textId="77777777" w:rsidR="00980919" w:rsidRDefault="00980919" w:rsidP="001515D5">
            <w:r>
              <w:t>8/8/20</w:t>
            </w:r>
          </w:p>
        </w:tc>
        <w:tc>
          <w:tcPr>
            <w:tcW w:w="3117" w:type="dxa"/>
            <w:vAlign w:val="bottom"/>
          </w:tcPr>
          <w:p w14:paraId="10A464DC" w14:textId="77777777" w:rsidR="00980919" w:rsidRDefault="00980919" w:rsidP="001515D5">
            <w:r>
              <w:t>178</w:t>
            </w:r>
          </w:p>
        </w:tc>
        <w:tc>
          <w:tcPr>
            <w:tcW w:w="3117" w:type="dxa"/>
            <w:vAlign w:val="bottom"/>
          </w:tcPr>
          <w:p w14:paraId="0DBDF4B0" w14:textId="77777777" w:rsidR="00980919" w:rsidRDefault="00980919" w:rsidP="001515D5">
            <w:r>
              <w:t>157</w:t>
            </w:r>
          </w:p>
        </w:tc>
      </w:tr>
      <w:tr w:rsidR="00980919" w14:paraId="2A04EED1" w14:textId="77777777" w:rsidTr="001515D5">
        <w:tc>
          <w:tcPr>
            <w:tcW w:w="3116" w:type="dxa"/>
            <w:vAlign w:val="bottom"/>
          </w:tcPr>
          <w:p w14:paraId="57553B98" w14:textId="77777777" w:rsidR="00980919" w:rsidRDefault="00980919" w:rsidP="001515D5">
            <w:r>
              <w:t>8/15/20</w:t>
            </w:r>
          </w:p>
        </w:tc>
        <w:tc>
          <w:tcPr>
            <w:tcW w:w="3117" w:type="dxa"/>
            <w:vAlign w:val="bottom"/>
          </w:tcPr>
          <w:p w14:paraId="7BDC1B98" w14:textId="77777777" w:rsidR="00980919" w:rsidRDefault="00980919" w:rsidP="001515D5">
            <w:r>
              <w:t>132</w:t>
            </w:r>
          </w:p>
        </w:tc>
        <w:tc>
          <w:tcPr>
            <w:tcW w:w="3117" w:type="dxa"/>
            <w:vAlign w:val="bottom"/>
          </w:tcPr>
          <w:p w14:paraId="461B8D34" w14:textId="77777777" w:rsidR="00980919" w:rsidRDefault="00980919" w:rsidP="001515D5">
            <w:r>
              <w:t>117</w:t>
            </w:r>
          </w:p>
        </w:tc>
      </w:tr>
      <w:tr w:rsidR="00980919" w14:paraId="67A3617F" w14:textId="77777777" w:rsidTr="001515D5">
        <w:tc>
          <w:tcPr>
            <w:tcW w:w="3116" w:type="dxa"/>
            <w:vAlign w:val="bottom"/>
          </w:tcPr>
          <w:p w14:paraId="1A4A831F" w14:textId="77777777" w:rsidR="00980919" w:rsidRDefault="00980919" w:rsidP="001515D5">
            <w:r>
              <w:t>8/22/20</w:t>
            </w:r>
          </w:p>
        </w:tc>
        <w:tc>
          <w:tcPr>
            <w:tcW w:w="3117" w:type="dxa"/>
            <w:vAlign w:val="bottom"/>
          </w:tcPr>
          <w:p w14:paraId="379502C5" w14:textId="77777777" w:rsidR="00980919" w:rsidRDefault="00980919" w:rsidP="001515D5">
            <w:r>
              <w:t>116</w:t>
            </w:r>
          </w:p>
        </w:tc>
        <w:tc>
          <w:tcPr>
            <w:tcW w:w="3117" w:type="dxa"/>
            <w:vAlign w:val="bottom"/>
          </w:tcPr>
          <w:p w14:paraId="6A98167B" w14:textId="77777777" w:rsidR="00980919" w:rsidRDefault="00980919" w:rsidP="001515D5">
            <w:r>
              <w:t>105</w:t>
            </w:r>
          </w:p>
        </w:tc>
      </w:tr>
      <w:tr w:rsidR="00980919" w14:paraId="63EFBFF0" w14:textId="77777777" w:rsidTr="001515D5">
        <w:tc>
          <w:tcPr>
            <w:tcW w:w="3116" w:type="dxa"/>
            <w:vAlign w:val="bottom"/>
          </w:tcPr>
          <w:p w14:paraId="01E025CC" w14:textId="77777777" w:rsidR="00980919" w:rsidRDefault="00980919" w:rsidP="001515D5">
            <w:r>
              <w:lastRenderedPageBreak/>
              <w:t>8/29/20</w:t>
            </w:r>
          </w:p>
        </w:tc>
        <w:tc>
          <w:tcPr>
            <w:tcW w:w="3117" w:type="dxa"/>
            <w:vAlign w:val="bottom"/>
          </w:tcPr>
          <w:p w14:paraId="0F16C2BA" w14:textId="77777777" w:rsidR="00980919" w:rsidRDefault="00980919" w:rsidP="001515D5">
            <w:r>
              <w:t>138</w:t>
            </w:r>
          </w:p>
        </w:tc>
        <w:tc>
          <w:tcPr>
            <w:tcW w:w="3117" w:type="dxa"/>
            <w:vAlign w:val="bottom"/>
          </w:tcPr>
          <w:p w14:paraId="77391536" w14:textId="77777777" w:rsidR="00980919" w:rsidRDefault="00980919" w:rsidP="001515D5">
            <w:r>
              <w:t>126</w:t>
            </w:r>
          </w:p>
        </w:tc>
      </w:tr>
      <w:tr w:rsidR="00980919" w14:paraId="53569C32" w14:textId="77777777" w:rsidTr="001515D5">
        <w:tc>
          <w:tcPr>
            <w:tcW w:w="3116" w:type="dxa"/>
            <w:vAlign w:val="bottom"/>
          </w:tcPr>
          <w:p w14:paraId="7FA335AC" w14:textId="77777777" w:rsidR="00980919" w:rsidRDefault="00980919" w:rsidP="001515D5">
            <w:r>
              <w:t>9/5/20</w:t>
            </w:r>
          </w:p>
        </w:tc>
        <w:tc>
          <w:tcPr>
            <w:tcW w:w="3117" w:type="dxa"/>
            <w:vAlign w:val="bottom"/>
          </w:tcPr>
          <w:p w14:paraId="334EFF5F" w14:textId="77777777" w:rsidR="00980919" w:rsidRDefault="00980919" w:rsidP="001515D5">
            <w:r>
              <w:t>141</w:t>
            </w:r>
          </w:p>
        </w:tc>
        <w:tc>
          <w:tcPr>
            <w:tcW w:w="3117" w:type="dxa"/>
            <w:vAlign w:val="bottom"/>
          </w:tcPr>
          <w:p w14:paraId="78A7AAF6" w14:textId="77777777" w:rsidR="00980919" w:rsidRDefault="00980919" w:rsidP="001515D5">
            <w:r>
              <w:t>130</w:t>
            </w:r>
          </w:p>
        </w:tc>
      </w:tr>
      <w:tr w:rsidR="00980919" w14:paraId="453A774A" w14:textId="77777777" w:rsidTr="001515D5">
        <w:tc>
          <w:tcPr>
            <w:tcW w:w="3116" w:type="dxa"/>
            <w:vAlign w:val="bottom"/>
          </w:tcPr>
          <w:p w14:paraId="3CB31B88" w14:textId="77777777" w:rsidR="00980919" w:rsidRDefault="00980919" w:rsidP="001515D5">
            <w:r>
              <w:t>9/12/20</w:t>
            </w:r>
          </w:p>
        </w:tc>
        <w:tc>
          <w:tcPr>
            <w:tcW w:w="3117" w:type="dxa"/>
            <w:vAlign w:val="bottom"/>
          </w:tcPr>
          <w:p w14:paraId="3E34036D" w14:textId="77777777" w:rsidR="00980919" w:rsidRDefault="00980919" w:rsidP="001515D5">
            <w:r>
              <w:t>106</w:t>
            </w:r>
          </w:p>
        </w:tc>
        <w:tc>
          <w:tcPr>
            <w:tcW w:w="3117" w:type="dxa"/>
            <w:vAlign w:val="bottom"/>
          </w:tcPr>
          <w:p w14:paraId="6C745053" w14:textId="77777777" w:rsidR="00980919" w:rsidRDefault="00980919" w:rsidP="001515D5">
            <w:r>
              <w:t>99</w:t>
            </w:r>
          </w:p>
        </w:tc>
      </w:tr>
      <w:tr w:rsidR="00980919" w14:paraId="4D95EA58" w14:textId="77777777" w:rsidTr="001515D5">
        <w:tc>
          <w:tcPr>
            <w:tcW w:w="3116" w:type="dxa"/>
            <w:vAlign w:val="bottom"/>
          </w:tcPr>
          <w:p w14:paraId="6EFF2460" w14:textId="77777777" w:rsidR="00980919" w:rsidRDefault="00980919" w:rsidP="001515D5">
            <w:r>
              <w:t>9/19/20</w:t>
            </w:r>
          </w:p>
        </w:tc>
        <w:tc>
          <w:tcPr>
            <w:tcW w:w="3117" w:type="dxa"/>
            <w:vAlign w:val="bottom"/>
          </w:tcPr>
          <w:p w14:paraId="4D23768D" w14:textId="77777777" w:rsidR="00980919" w:rsidRDefault="00980919" w:rsidP="001515D5">
            <w:r>
              <w:t>110</w:t>
            </w:r>
          </w:p>
        </w:tc>
        <w:tc>
          <w:tcPr>
            <w:tcW w:w="3117" w:type="dxa"/>
            <w:vAlign w:val="bottom"/>
          </w:tcPr>
          <w:p w14:paraId="6487ECD7" w14:textId="77777777" w:rsidR="00980919" w:rsidRDefault="00980919" w:rsidP="001515D5">
            <w:r>
              <w:t>103</w:t>
            </w:r>
          </w:p>
        </w:tc>
      </w:tr>
      <w:tr w:rsidR="00980919" w14:paraId="74DCA831" w14:textId="77777777" w:rsidTr="001515D5">
        <w:tc>
          <w:tcPr>
            <w:tcW w:w="3116" w:type="dxa"/>
            <w:vAlign w:val="bottom"/>
          </w:tcPr>
          <w:p w14:paraId="0B4BFD93" w14:textId="77777777" w:rsidR="00980919" w:rsidRDefault="00980919" w:rsidP="001515D5">
            <w:r>
              <w:t>9/26/20</w:t>
            </w:r>
          </w:p>
        </w:tc>
        <w:tc>
          <w:tcPr>
            <w:tcW w:w="3117" w:type="dxa"/>
            <w:vAlign w:val="bottom"/>
          </w:tcPr>
          <w:p w14:paraId="7D4BAE71" w14:textId="77777777" w:rsidR="00980919" w:rsidRDefault="00980919" w:rsidP="001515D5">
            <w:r>
              <w:t>105</w:t>
            </w:r>
          </w:p>
        </w:tc>
        <w:tc>
          <w:tcPr>
            <w:tcW w:w="3117" w:type="dxa"/>
            <w:vAlign w:val="bottom"/>
          </w:tcPr>
          <w:p w14:paraId="5B700E2D" w14:textId="77777777" w:rsidR="00980919" w:rsidRDefault="00980919" w:rsidP="001515D5">
            <w:r>
              <w:t>103</w:t>
            </w:r>
          </w:p>
        </w:tc>
      </w:tr>
      <w:tr w:rsidR="00980919" w14:paraId="1E50865E" w14:textId="77777777" w:rsidTr="001515D5">
        <w:tc>
          <w:tcPr>
            <w:tcW w:w="3116" w:type="dxa"/>
            <w:vAlign w:val="bottom"/>
          </w:tcPr>
          <w:p w14:paraId="502D4374" w14:textId="77777777" w:rsidR="00980919" w:rsidRDefault="00980919" w:rsidP="001515D5">
            <w:r>
              <w:t>10/3/20</w:t>
            </w:r>
          </w:p>
        </w:tc>
        <w:tc>
          <w:tcPr>
            <w:tcW w:w="3117" w:type="dxa"/>
            <w:vAlign w:val="bottom"/>
          </w:tcPr>
          <w:p w14:paraId="7381A94E" w14:textId="77777777" w:rsidR="00980919" w:rsidRDefault="00980919" w:rsidP="001515D5">
            <w:r>
              <w:t>103</w:t>
            </w:r>
          </w:p>
        </w:tc>
        <w:tc>
          <w:tcPr>
            <w:tcW w:w="3117" w:type="dxa"/>
            <w:vAlign w:val="bottom"/>
          </w:tcPr>
          <w:p w14:paraId="50491251" w14:textId="77777777" w:rsidR="00980919" w:rsidRDefault="00980919" w:rsidP="001515D5">
            <w:r>
              <w:t>95</w:t>
            </w:r>
          </w:p>
        </w:tc>
      </w:tr>
      <w:tr w:rsidR="00980919" w14:paraId="617500C9" w14:textId="77777777" w:rsidTr="001515D5">
        <w:tc>
          <w:tcPr>
            <w:tcW w:w="3116" w:type="dxa"/>
            <w:vAlign w:val="bottom"/>
          </w:tcPr>
          <w:p w14:paraId="123F8EEE" w14:textId="77777777" w:rsidR="00980919" w:rsidRDefault="00980919" w:rsidP="001515D5">
            <w:r>
              <w:t>10/10/20</w:t>
            </w:r>
          </w:p>
        </w:tc>
        <w:tc>
          <w:tcPr>
            <w:tcW w:w="3117" w:type="dxa"/>
            <w:vAlign w:val="bottom"/>
          </w:tcPr>
          <w:p w14:paraId="2B5AFE94" w14:textId="77777777" w:rsidR="00980919" w:rsidRDefault="00980919" w:rsidP="001515D5">
            <w:r>
              <w:t>127</w:t>
            </w:r>
          </w:p>
        </w:tc>
        <w:tc>
          <w:tcPr>
            <w:tcW w:w="3117" w:type="dxa"/>
            <w:vAlign w:val="bottom"/>
          </w:tcPr>
          <w:p w14:paraId="5CE53D7E" w14:textId="77777777" w:rsidR="00980919" w:rsidRDefault="00980919" w:rsidP="001515D5">
            <w:r>
              <w:t>110</w:t>
            </w:r>
          </w:p>
        </w:tc>
      </w:tr>
      <w:tr w:rsidR="00980919" w14:paraId="0F1A709F" w14:textId="77777777" w:rsidTr="001515D5">
        <w:tc>
          <w:tcPr>
            <w:tcW w:w="3116" w:type="dxa"/>
            <w:vAlign w:val="bottom"/>
          </w:tcPr>
          <w:p w14:paraId="60ABFC14" w14:textId="77777777" w:rsidR="00980919" w:rsidRDefault="00980919" w:rsidP="001515D5">
            <w:r>
              <w:t>10/17/20</w:t>
            </w:r>
          </w:p>
        </w:tc>
        <w:tc>
          <w:tcPr>
            <w:tcW w:w="3117" w:type="dxa"/>
            <w:vAlign w:val="bottom"/>
          </w:tcPr>
          <w:p w14:paraId="40F27C08" w14:textId="77777777" w:rsidR="00980919" w:rsidRDefault="00980919" w:rsidP="001515D5">
            <w:r>
              <w:t>131</w:t>
            </w:r>
          </w:p>
        </w:tc>
        <w:tc>
          <w:tcPr>
            <w:tcW w:w="3117" w:type="dxa"/>
            <w:vAlign w:val="bottom"/>
          </w:tcPr>
          <w:p w14:paraId="318D26E8" w14:textId="77777777" w:rsidR="00980919" w:rsidRDefault="00980919" w:rsidP="001515D5">
            <w:r>
              <w:t>119</w:t>
            </w:r>
          </w:p>
        </w:tc>
      </w:tr>
      <w:tr w:rsidR="00980919" w14:paraId="1F798726" w14:textId="77777777" w:rsidTr="001515D5">
        <w:tc>
          <w:tcPr>
            <w:tcW w:w="3116" w:type="dxa"/>
            <w:vAlign w:val="bottom"/>
          </w:tcPr>
          <w:p w14:paraId="045F2B2E" w14:textId="77777777" w:rsidR="00980919" w:rsidRDefault="00980919" w:rsidP="001515D5">
            <w:r>
              <w:t>10/24/20</w:t>
            </w:r>
          </w:p>
        </w:tc>
        <w:tc>
          <w:tcPr>
            <w:tcW w:w="3117" w:type="dxa"/>
            <w:vAlign w:val="bottom"/>
          </w:tcPr>
          <w:p w14:paraId="520825A7" w14:textId="77777777" w:rsidR="00980919" w:rsidRDefault="00980919" w:rsidP="001515D5">
            <w:r>
              <w:t>140</w:t>
            </w:r>
          </w:p>
        </w:tc>
        <w:tc>
          <w:tcPr>
            <w:tcW w:w="3117" w:type="dxa"/>
            <w:vAlign w:val="bottom"/>
          </w:tcPr>
          <w:p w14:paraId="1D995C60" w14:textId="77777777" w:rsidR="00980919" w:rsidRDefault="00980919" w:rsidP="001515D5">
            <w:r>
              <w:t>125</w:t>
            </w:r>
          </w:p>
        </w:tc>
      </w:tr>
      <w:tr w:rsidR="00980919" w14:paraId="466FC7CA" w14:textId="77777777" w:rsidTr="001515D5">
        <w:tc>
          <w:tcPr>
            <w:tcW w:w="3116" w:type="dxa"/>
            <w:vAlign w:val="bottom"/>
          </w:tcPr>
          <w:p w14:paraId="14428018" w14:textId="77777777" w:rsidR="00980919" w:rsidRDefault="00980919" w:rsidP="001515D5">
            <w:r>
              <w:t>10/31/20</w:t>
            </w:r>
          </w:p>
        </w:tc>
        <w:tc>
          <w:tcPr>
            <w:tcW w:w="3117" w:type="dxa"/>
            <w:vAlign w:val="bottom"/>
          </w:tcPr>
          <w:p w14:paraId="5638D08A" w14:textId="77777777" w:rsidR="00980919" w:rsidRDefault="00980919" w:rsidP="001515D5">
            <w:r>
              <w:t>142</w:t>
            </w:r>
          </w:p>
        </w:tc>
        <w:tc>
          <w:tcPr>
            <w:tcW w:w="3117" w:type="dxa"/>
            <w:vAlign w:val="bottom"/>
          </w:tcPr>
          <w:p w14:paraId="5CA52455" w14:textId="77777777" w:rsidR="00980919" w:rsidRDefault="00980919" w:rsidP="001515D5">
            <w:r>
              <w:t>131</w:t>
            </w:r>
          </w:p>
        </w:tc>
      </w:tr>
      <w:tr w:rsidR="00980919" w14:paraId="0DF52217" w14:textId="77777777" w:rsidTr="001515D5">
        <w:tc>
          <w:tcPr>
            <w:tcW w:w="3116" w:type="dxa"/>
            <w:vAlign w:val="bottom"/>
          </w:tcPr>
          <w:p w14:paraId="49507456" w14:textId="77777777" w:rsidR="00980919" w:rsidRDefault="00980919" w:rsidP="001515D5">
            <w:r>
              <w:t>11/7/20</w:t>
            </w:r>
          </w:p>
        </w:tc>
        <w:tc>
          <w:tcPr>
            <w:tcW w:w="3117" w:type="dxa"/>
            <w:vAlign w:val="bottom"/>
          </w:tcPr>
          <w:p w14:paraId="2E8BECEC" w14:textId="77777777" w:rsidR="00980919" w:rsidRDefault="00980919" w:rsidP="001515D5">
            <w:r>
              <w:t>147</w:t>
            </w:r>
          </w:p>
        </w:tc>
        <w:tc>
          <w:tcPr>
            <w:tcW w:w="3117" w:type="dxa"/>
            <w:vAlign w:val="bottom"/>
          </w:tcPr>
          <w:p w14:paraId="490CDFDE" w14:textId="77777777" w:rsidR="00980919" w:rsidRDefault="00980919" w:rsidP="001515D5">
            <w:r>
              <w:t>131</w:t>
            </w:r>
          </w:p>
        </w:tc>
      </w:tr>
      <w:tr w:rsidR="00980919" w14:paraId="0114ABB4" w14:textId="77777777" w:rsidTr="001515D5">
        <w:tc>
          <w:tcPr>
            <w:tcW w:w="3116" w:type="dxa"/>
            <w:vAlign w:val="bottom"/>
          </w:tcPr>
          <w:p w14:paraId="1029890D" w14:textId="77777777" w:rsidR="00980919" w:rsidRDefault="00980919" w:rsidP="001515D5">
            <w:r>
              <w:t>11/14/20</w:t>
            </w:r>
          </w:p>
        </w:tc>
        <w:tc>
          <w:tcPr>
            <w:tcW w:w="3117" w:type="dxa"/>
            <w:vAlign w:val="bottom"/>
          </w:tcPr>
          <w:p w14:paraId="247B7025" w14:textId="77777777" w:rsidR="00980919" w:rsidRDefault="00980919" w:rsidP="001515D5">
            <w:r>
              <w:t>201</w:t>
            </w:r>
          </w:p>
        </w:tc>
        <w:tc>
          <w:tcPr>
            <w:tcW w:w="3117" w:type="dxa"/>
            <w:vAlign w:val="bottom"/>
          </w:tcPr>
          <w:p w14:paraId="2E8A0CAA" w14:textId="77777777" w:rsidR="00980919" w:rsidRDefault="00980919" w:rsidP="001515D5">
            <w:r>
              <w:t>180</w:t>
            </w:r>
          </w:p>
        </w:tc>
      </w:tr>
      <w:tr w:rsidR="00980919" w14:paraId="158BB692" w14:textId="77777777" w:rsidTr="001515D5">
        <w:tc>
          <w:tcPr>
            <w:tcW w:w="3116" w:type="dxa"/>
            <w:vAlign w:val="bottom"/>
          </w:tcPr>
          <w:p w14:paraId="110BD8FB" w14:textId="77777777" w:rsidR="00980919" w:rsidRDefault="00980919" w:rsidP="001515D5">
            <w:r>
              <w:t>11/21/20</w:t>
            </w:r>
          </w:p>
        </w:tc>
        <w:tc>
          <w:tcPr>
            <w:tcW w:w="3117" w:type="dxa"/>
            <w:vAlign w:val="bottom"/>
          </w:tcPr>
          <w:p w14:paraId="0E8FDEB1" w14:textId="77777777" w:rsidR="00980919" w:rsidRDefault="00980919" w:rsidP="001515D5">
            <w:r>
              <w:t>205</w:t>
            </w:r>
          </w:p>
        </w:tc>
        <w:tc>
          <w:tcPr>
            <w:tcW w:w="3117" w:type="dxa"/>
            <w:vAlign w:val="bottom"/>
          </w:tcPr>
          <w:p w14:paraId="405EF28C" w14:textId="77777777" w:rsidR="00980919" w:rsidRDefault="00980919" w:rsidP="001515D5">
            <w:r>
              <w:t>188</w:t>
            </w:r>
          </w:p>
        </w:tc>
      </w:tr>
      <w:tr w:rsidR="00980919" w14:paraId="5B7FE466" w14:textId="77777777" w:rsidTr="001515D5">
        <w:tc>
          <w:tcPr>
            <w:tcW w:w="3116" w:type="dxa"/>
            <w:vAlign w:val="bottom"/>
          </w:tcPr>
          <w:p w14:paraId="2BE7C8C5" w14:textId="77777777" w:rsidR="00980919" w:rsidRDefault="00980919" w:rsidP="001515D5">
            <w:r>
              <w:t>11/28/20</w:t>
            </w:r>
          </w:p>
        </w:tc>
        <w:tc>
          <w:tcPr>
            <w:tcW w:w="3117" w:type="dxa"/>
            <w:vAlign w:val="bottom"/>
          </w:tcPr>
          <w:p w14:paraId="760DFD36" w14:textId="77777777" w:rsidR="00980919" w:rsidRDefault="00980919" w:rsidP="001515D5">
            <w:r>
              <w:t>219</w:t>
            </w:r>
          </w:p>
        </w:tc>
        <w:tc>
          <w:tcPr>
            <w:tcW w:w="3117" w:type="dxa"/>
            <w:vAlign w:val="bottom"/>
          </w:tcPr>
          <w:p w14:paraId="11B8040B" w14:textId="77777777" w:rsidR="00980919" w:rsidRDefault="00980919" w:rsidP="001515D5">
            <w:r>
              <w:t>194</w:t>
            </w:r>
          </w:p>
        </w:tc>
      </w:tr>
      <w:tr w:rsidR="00980919" w14:paraId="6F382C65" w14:textId="77777777" w:rsidTr="001515D5">
        <w:tc>
          <w:tcPr>
            <w:tcW w:w="3116" w:type="dxa"/>
            <w:vAlign w:val="bottom"/>
          </w:tcPr>
          <w:p w14:paraId="546A050E" w14:textId="77777777" w:rsidR="00980919" w:rsidRDefault="00980919" w:rsidP="001515D5">
            <w:r>
              <w:t>12/5/20</w:t>
            </w:r>
          </w:p>
        </w:tc>
        <w:tc>
          <w:tcPr>
            <w:tcW w:w="3117" w:type="dxa"/>
            <w:vAlign w:val="bottom"/>
          </w:tcPr>
          <w:p w14:paraId="0250C86D" w14:textId="77777777" w:rsidR="00980919" w:rsidRDefault="00980919" w:rsidP="001515D5">
            <w:r>
              <w:t>356</w:t>
            </w:r>
          </w:p>
        </w:tc>
        <w:tc>
          <w:tcPr>
            <w:tcW w:w="3117" w:type="dxa"/>
            <w:vAlign w:val="bottom"/>
          </w:tcPr>
          <w:p w14:paraId="7025A502" w14:textId="77777777" w:rsidR="00980919" w:rsidRDefault="00980919" w:rsidP="001515D5">
            <w:r>
              <w:t>310</w:t>
            </w:r>
          </w:p>
        </w:tc>
      </w:tr>
      <w:tr w:rsidR="00980919" w14:paraId="66AF5BCC" w14:textId="77777777" w:rsidTr="001515D5">
        <w:tc>
          <w:tcPr>
            <w:tcW w:w="3116" w:type="dxa"/>
            <w:vAlign w:val="bottom"/>
          </w:tcPr>
          <w:p w14:paraId="590C1A66" w14:textId="77777777" w:rsidR="00980919" w:rsidRDefault="00980919" w:rsidP="001515D5">
            <w:r>
              <w:t>12/12/20</w:t>
            </w:r>
          </w:p>
        </w:tc>
        <w:tc>
          <w:tcPr>
            <w:tcW w:w="3117" w:type="dxa"/>
            <w:vAlign w:val="bottom"/>
          </w:tcPr>
          <w:p w14:paraId="405D90B3" w14:textId="77777777" w:rsidR="00980919" w:rsidRDefault="00980919" w:rsidP="001515D5">
            <w:r>
              <w:t>423</w:t>
            </w:r>
          </w:p>
        </w:tc>
        <w:tc>
          <w:tcPr>
            <w:tcW w:w="3117" w:type="dxa"/>
            <w:vAlign w:val="bottom"/>
          </w:tcPr>
          <w:p w14:paraId="6084EE1B" w14:textId="77777777" w:rsidR="00980919" w:rsidRDefault="00980919" w:rsidP="001515D5">
            <w:r>
              <w:t>375</w:t>
            </w:r>
          </w:p>
        </w:tc>
      </w:tr>
      <w:tr w:rsidR="00980919" w14:paraId="686279D4" w14:textId="77777777" w:rsidTr="001515D5">
        <w:tc>
          <w:tcPr>
            <w:tcW w:w="3116" w:type="dxa"/>
            <w:vAlign w:val="bottom"/>
          </w:tcPr>
          <w:p w14:paraId="706180B7" w14:textId="77777777" w:rsidR="00980919" w:rsidRDefault="00980919" w:rsidP="001515D5">
            <w:r>
              <w:t>12/19/20</w:t>
            </w:r>
          </w:p>
        </w:tc>
        <w:tc>
          <w:tcPr>
            <w:tcW w:w="3117" w:type="dxa"/>
            <w:vAlign w:val="bottom"/>
          </w:tcPr>
          <w:p w14:paraId="6793E3FD" w14:textId="77777777" w:rsidR="00980919" w:rsidRDefault="00980919" w:rsidP="001515D5">
            <w:r>
              <w:t>452</w:t>
            </w:r>
          </w:p>
        </w:tc>
        <w:tc>
          <w:tcPr>
            <w:tcW w:w="3117" w:type="dxa"/>
            <w:vAlign w:val="bottom"/>
          </w:tcPr>
          <w:p w14:paraId="2F9E5653" w14:textId="77777777" w:rsidR="00980919" w:rsidRDefault="00980919" w:rsidP="001515D5">
            <w:r>
              <w:t>400</w:t>
            </w:r>
          </w:p>
        </w:tc>
      </w:tr>
      <w:tr w:rsidR="00980919" w14:paraId="677D8653" w14:textId="77777777" w:rsidTr="001515D5">
        <w:tc>
          <w:tcPr>
            <w:tcW w:w="3116" w:type="dxa"/>
            <w:vAlign w:val="bottom"/>
          </w:tcPr>
          <w:p w14:paraId="24E8A564" w14:textId="77777777" w:rsidR="00980919" w:rsidRDefault="00980919" w:rsidP="001515D5">
            <w:r>
              <w:t>12/26/20</w:t>
            </w:r>
          </w:p>
        </w:tc>
        <w:tc>
          <w:tcPr>
            <w:tcW w:w="3117" w:type="dxa"/>
            <w:vAlign w:val="bottom"/>
          </w:tcPr>
          <w:p w14:paraId="0C1DABF9" w14:textId="77777777" w:rsidR="00980919" w:rsidRDefault="00980919" w:rsidP="001515D5">
            <w:r>
              <w:t>479</w:t>
            </w:r>
          </w:p>
        </w:tc>
        <w:tc>
          <w:tcPr>
            <w:tcW w:w="3117" w:type="dxa"/>
            <w:vAlign w:val="bottom"/>
          </w:tcPr>
          <w:p w14:paraId="695B1D3C" w14:textId="77777777" w:rsidR="00980919" w:rsidRDefault="00980919" w:rsidP="001515D5">
            <w:r>
              <w:t>428</w:t>
            </w:r>
          </w:p>
        </w:tc>
      </w:tr>
      <w:tr w:rsidR="00980919" w14:paraId="4378F361" w14:textId="77777777" w:rsidTr="001515D5">
        <w:tc>
          <w:tcPr>
            <w:tcW w:w="3116" w:type="dxa"/>
            <w:vAlign w:val="bottom"/>
          </w:tcPr>
          <w:p w14:paraId="5596FDD6" w14:textId="77777777" w:rsidR="00980919" w:rsidRDefault="00980919" w:rsidP="001515D5">
            <w:r>
              <w:t>1/2/21</w:t>
            </w:r>
          </w:p>
        </w:tc>
        <w:tc>
          <w:tcPr>
            <w:tcW w:w="3117" w:type="dxa"/>
            <w:vAlign w:val="bottom"/>
          </w:tcPr>
          <w:p w14:paraId="1C94D2DC" w14:textId="77777777" w:rsidR="00980919" w:rsidRDefault="00980919" w:rsidP="001515D5">
            <w:r>
              <w:t>618</w:t>
            </w:r>
          </w:p>
        </w:tc>
        <w:tc>
          <w:tcPr>
            <w:tcW w:w="3117" w:type="dxa"/>
            <w:vAlign w:val="bottom"/>
          </w:tcPr>
          <w:p w14:paraId="146A0CC7" w14:textId="77777777" w:rsidR="00980919" w:rsidRDefault="00980919" w:rsidP="001515D5">
            <w:r>
              <w:t>542</w:t>
            </w:r>
          </w:p>
        </w:tc>
      </w:tr>
      <w:tr w:rsidR="00980919" w14:paraId="01A0973F" w14:textId="77777777" w:rsidTr="001515D5">
        <w:tc>
          <w:tcPr>
            <w:tcW w:w="3116" w:type="dxa"/>
            <w:vAlign w:val="bottom"/>
          </w:tcPr>
          <w:p w14:paraId="121D95DA" w14:textId="77777777" w:rsidR="00980919" w:rsidRDefault="00980919" w:rsidP="001515D5">
            <w:r>
              <w:t>1/9/21</w:t>
            </w:r>
          </w:p>
        </w:tc>
        <w:tc>
          <w:tcPr>
            <w:tcW w:w="3117" w:type="dxa"/>
            <w:vAlign w:val="bottom"/>
          </w:tcPr>
          <w:p w14:paraId="140A75DC" w14:textId="77777777" w:rsidR="00980919" w:rsidRDefault="00980919" w:rsidP="001515D5">
            <w:r>
              <w:t>808</w:t>
            </w:r>
          </w:p>
        </w:tc>
        <w:tc>
          <w:tcPr>
            <w:tcW w:w="3117" w:type="dxa"/>
            <w:vAlign w:val="bottom"/>
          </w:tcPr>
          <w:p w14:paraId="70582C18" w14:textId="77777777" w:rsidR="00980919" w:rsidRDefault="00980919" w:rsidP="001515D5">
            <w:r>
              <w:t>698</w:t>
            </w:r>
          </w:p>
        </w:tc>
      </w:tr>
      <w:tr w:rsidR="00980919" w14:paraId="130C27FF" w14:textId="77777777" w:rsidTr="001515D5">
        <w:tc>
          <w:tcPr>
            <w:tcW w:w="3116" w:type="dxa"/>
            <w:vAlign w:val="bottom"/>
          </w:tcPr>
          <w:p w14:paraId="08D70F67" w14:textId="77777777" w:rsidR="00980919" w:rsidRDefault="00980919" w:rsidP="001515D5">
            <w:r>
              <w:t>1/16/21</w:t>
            </w:r>
          </w:p>
        </w:tc>
        <w:tc>
          <w:tcPr>
            <w:tcW w:w="3117" w:type="dxa"/>
            <w:vAlign w:val="bottom"/>
          </w:tcPr>
          <w:p w14:paraId="3D7688C8" w14:textId="77777777" w:rsidR="00980919" w:rsidRDefault="00980919" w:rsidP="001515D5">
            <w:r>
              <w:t>670</w:t>
            </w:r>
          </w:p>
        </w:tc>
        <w:tc>
          <w:tcPr>
            <w:tcW w:w="3117" w:type="dxa"/>
            <w:vAlign w:val="bottom"/>
          </w:tcPr>
          <w:p w14:paraId="076A4600" w14:textId="77777777" w:rsidR="00980919" w:rsidRDefault="00980919" w:rsidP="001515D5">
            <w:r>
              <w:t>605</w:t>
            </w:r>
          </w:p>
        </w:tc>
      </w:tr>
      <w:tr w:rsidR="00980919" w14:paraId="2B9CEA67" w14:textId="77777777" w:rsidTr="001515D5">
        <w:tc>
          <w:tcPr>
            <w:tcW w:w="3116" w:type="dxa"/>
            <w:vAlign w:val="bottom"/>
          </w:tcPr>
          <w:p w14:paraId="54672BBD" w14:textId="77777777" w:rsidR="00980919" w:rsidRDefault="00980919" w:rsidP="001515D5">
            <w:r>
              <w:t>1/23/21</w:t>
            </w:r>
          </w:p>
        </w:tc>
        <w:tc>
          <w:tcPr>
            <w:tcW w:w="3117" w:type="dxa"/>
            <w:vAlign w:val="bottom"/>
          </w:tcPr>
          <w:p w14:paraId="1505E427" w14:textId="77777777" w:rsidR="00980919" w:rsidRDefault="00980919" w:rsidP="001515D5">
            <w:r>
              <w:t>568</w:t>
            </w:r>
          </w:p>
        </w:tc>
        <w:tc>
          <w:tcPr>
            <w:tcW w:w="3117" w:type="dxa"/>
            <w:vAlign w:val="bottom"/>
          </w:tcPr>
          <w:p w14:paraId="1E0E74A0" w14:textId="77777777" w:rsidR="00980919" w:rsidRDefault="00980919" w:rsidP="001515D5">
            <w:r>
              <w:t>525</w:t>
            </w:r>
          </w:p>
        </w:tc>
      </w:tr>
      <w:tr w:rsidR="00980919" w14:paraId="55E6DA90" w14:textId="77777777" w:rsidTr="001515D5">
        <w:tc>
          <w:tcPr>
            <w:tcW w:w="3116" w:type="dxa"/>
            <w:vAlign w:val="bottom"/>
          </w:tcPr>
          <w:p w14:paraId="3DD947D0" w14:textId="77777777" w:rsidR="00980919" w:rsidRDefault="00980919" w:rsidP="001515D5">
            <w:r>
              <w:t>1/30/21</w:t>
            </w:r>
          </w:p>
        </w:tc>
        <w:tc>
          <w:tcPr>
            <w:tcW w:w="3117" w:type="dxa"/>
            <w:vAlign w:val="bottom"/>
          </w:tcPr>
          <w:p w14:paraId="53A4BA99" w14:textId="77777777" w:rsidR="00980919" w:rsidRDefault="00980919" w:rsidP="001515D5">
            <w:r>
              <w:t>490</w:t>
            </w:r>
          </w:p>
        </w:tc>
        <w:tc>
          <w:tcPr>
            <w:tcW w:w="3117" w:type="dxa"/>
            <w:vAlign w:val="bottom"/>
          </w:tcPr>
          <w:p w14:paraId="719756B9" w14:textId="77777777" w:rsidR="00980919" w:rsidRDefault="00980919" w:rsidP="001515D5">
            <w:r>
              <w:t>444</w:t>
            </w:r>
          </w:p>
        </w:tc>
      </w:tr>
      <w:tr w:rsidR="00980919" w14:paraId="312BA55C" w14:textId="77777777" w:rsidTr="001515D5">
        <w:tc>
          <w:tcPr>
            <w:tcW w:w="3116" w:type="dxa"/>
            <w:vAlign w:val="bottom"/>
          </w:tcPr>
          <w:p w14:paraId="145B9A9C" w14:textId="77777777" w:rsidR="00980919" w:rsidRDefault="00980919" w:rsidP="001515D5">
            <w:r>
              <w:t>2/6/21</w:t>
            </w:r>
          </w:p>
        </w:tc>
        <w:tc>
          <w:tcPr>
            <w:tcW w:w="3117" w:type="dxa"/>
            <w:vAlign w:val="bottom"/>
          </w:tcPr>
          <w:p w14:paraId="1947136A" w14:textId="77777777" w:rsidR="00980919" w:rsidRDefault="00980919" w:rsidP="001515D5">
            <w:r>
              <w:t>366</w:t>
            </w:r>
          </w:p>
        </w:tc>
        <w:tc>
          <w:tcPr>
            <w:tcW w:w="3117" w:type="dxa"/>
            <w:vAlign w:val="bottom"/>
          </w:tcPr>
          <w:p w14:paraId="56C07A96" w14:textId="77777777" w:rsidR="00980919" w:rsidRDefault="00980919" w:rsidP="001515D5">
            <w:r>
              <w:t>339</w:t>
            </w:r>
          </w:p>
        </w:tc>
      </w:tr>
      <w:tr w:rsidR="00980919" w14:paraId="6BD85D4B" w14:textId="77777777" w:rsidTr="001515D5">
        <w:tc>
          <w:tcPr>
            <w:tcW w:w="3116" w:type="dxa"/>
            <w:vAlign w:val="bottom"/>
          </w:tcPr>
          <w:p w14:paraId="72737E3B" w14:textId="77777777" w:rsidR="00980919" w:rsidRDefault="00980919" w:rsidP="001515D5">
            <w:r>
              <w:t>2/13/21</w:t>
            </w:r>
          </w:p>
        </w:tc>
        <w:tc>
          <w:tcPr>
            <w:tcW w:w="3117" w:type="dxa"/>
            <w:vAlign w:val="bottom"/>
          </w:tcPr>
          <w:p w14:paraId="53BE8608" w14:textId="77777777" w:rsidR="00980919" w:rsidRDefault="00980919" w:rsidP="001515D5">
            <w:r>
              <w:t>327</w:t>
            </w:r>
          </w:p>
        </w:tc>
        <w:tc>
          <w:tcPr>
            <w:tcW w:w="3117" w:type="dxa"/>
            <w:vAlign w:val="bottom"/>
          </w:tcPr>
          <w:p w14:paraId="4F28D0A0" w14:textId="77777777" w:rsidR="00980919" w:rsidRDefault="00980919" w:rsidP="001515D5">
            <w:r>
              <w:t>307</w:t>
            </w:r>
          </w:p>
        </w:tc>
      </w:tr>
      <w:tr w:rsidR="00980919" w14:paraId="7EF1D666" w14:textId="77777777" w:rsidTr="001515D5">
        <w:tc>
          <w:tcPr>
            <w:tcW w:w="3116" w:type="dxa"/>
            <w:vAlign w:val="bottom"/>
          </w:tcPr>
          <w:p w14:paraId="667FF7E9" w14:textId="77777777" w:rsidR="00980919" w:rsidRDefault="00980919" w:rsidP="001515D5">
            <w:r>
              <w:t>2/20/21</w:t>
            </w:r>
          </w:p>
        </w:tc>
        <w:tc>
          <w:tcPr>
            <w:tcW w:w="3117" w:type="dxa"/>
            <w:vAlign w:val="bottom"/>
          </w:tcPr>
          <w:p w14:paraId="5656949D" w14:textId="77777777" w:rsidR="00980919" w:rsidRDefault="00980919" w:rsidP="001515D5">
            <w:r>
              <w:t>230</w:t>
            </w:r>
          </w:p>
        </w:tc>
        <w:tc>
          <w:tcPr>
            <w:tcW w:w="3117" w:type="dxa"/>
            <w:vAlign w:val="bottom"/>
          </w:tcPr>
          <w:p w14:paraId="5290253F" w14:textId="77777777" w:rsidR="00980919" w:rsidRDefault="00980919" w:rsidP="001515D5">
            <w:r>
              <w:t>223</w:t>
            </w:r>
          </w:p>
        </w:tc>
      </w:tr>
      <w:tr w:rsidR="00980919" w14:paraId="0221E6EA" w14:textId="77777777" w:rsidTr="001515D5">
        <w:tc>
          <w:tcPr>
            <w:tcW w:w="3116" w:type="dxa"/>
            <w:vAlign w:val="bottom"/>
          </w:tcPr>
          <w:p w14:paraId="1EBAF234" w14:textId="77777777" w:rsidR="00980919" w:rsidRDefault="00980919" w:rsidP="001515D5">
            <w:r>
              <w:t>2/27/21</w:t>
            </w:r>
          </w:p>
        </w:tc>
        <w:tc>
          <w:tcPr>
            <w:tcW w:w="3117" w:type="dxa"/>
            <w:vAlign w:val="bottom"/>
          </w:tcPr>
          <w:p w14:paraId="04EA84FE" w14:textId="77777777" w:rsidR="00980919" w:rsidRDefault="00980919" w:rsidP="001515D5">
            <w:r>
              <w:t>196</w:t>
            </w:r>
          </w:p>
        </w:tc>
        <w:tc>
          <w:tcPr>
            <w:tcW w:w="3117" w:type="dxa"/>
            <w:vAlign w:val="bottom"/>
          </w:tcPr>
          <w:p w14:paraId="33FCBE6B" w14:textId="77777777" w:rsidR="00980919" w:rsidRDefault="00980919" w:rsidP="001515D5">
            <w:r>
              <w:t>186</w:t>
            </w:r>
          </w:p>
        </w:tc>
      </w:tr>
      <w:tr w:rsidR="00980919" w14:paraId="68C2CCB9" w14:textId="77777777" w:rsidTr="001515D5">
        <w:tc>
          <w:tcPr>
            <w:tcW w:w="3116" w:type="dxa"/>
            <w:vAlign w:val="bottom"/>
          </w:tcPr>
          <w:p w14:paraId="69A462E4" w14:textId="77777777" w:rsidR="00980919" w:rsidRDefault="00980919" w:rsidP="001515D5">
            <w:r>
              <w:t>3/6/21</w:t>
            </w:r>
          </w:p>
        </w:tc>
        <w:tc>
          <w:tcPr>
            <w:tcW w:w="3117" w:type="dxa"/>
            <w:vAlign w:val="bottom"/>
          </w:tcPr>
          <w:p w14:paraId="6272B466" w14:textId="77777777" w:rsidR="00980919" w:rsidRDefault="00980919" w:rsidP="001515D5">
            <w:r>
              <w:t>149</w:t>
            </w:r>
          </w:p>
        </w:tc>
        <w:tc>
          <w:tcPr>
            <w:tcW w:w="3117" w:type="dxa"/>
            <w:vAlign w:val="bottom"/>
          </w:tcPr>
          <w:p w14:paraId="657F894A" w14:textId="77777777" w:rsidR="00980919" w:rsidRDefault="00980919" w:rsidP="001515D5">
            <w:r>
              <w:t>138</w:t>
            </w:r>
          </w:p>
        </w:tc>
      </w:tr>
      <w:tr w:rsidR="00980919" w14:paraId="5CEA6003" w14:textId="77777777" w:rsidTr="001515D5">
        <w:tc>
          <w:tcPr>
            <w:tcW w:w="3116" w:type="dxa"/>
            <w:vAlign w:val="bottom"/>
          </w:tcPr>
          <w:p w14:paraId="1434C42E" w14:textId="77777777" w:rsidR="00980919" w:rsidRDefault="00980919" w:rsidP="001515D5">
            <w:r>
              <w:t>3/13/21</w:t>
            </w:r>
          </w:p>
        </w:tc>
        <w:tc>
          <w:tcPr>
            <w:tcW w:w="3117" w:type="dxa"/>
            <w:vAlign w:val="bottom"/>
          </w:tcPr>
          <w:p w14:paraId="4756CC90" w14:textId="77777777" w:rsidR="00980919" w:rsidRDefault="00980919" w:rsidP="001515D5">
            <w:r>
              <w:t>123</w:t>
            </w:r>
          </w:p>
        </w:tc>
        <w:tc>
          <w:tcPr>
            <w:tcW w:w="3117" w:type="dxa"/>
            <w:vAlign w:val="bottom"/>
          </w:tcPr>
          <w:p w14:paraId="67F27E76" w14:textId="77777777" w:rsidR="00980919" w:rsidRDefault="00980919" w:rsidP="001515D5">
            <w:r>
              <w:t>120</w:t>
            </w:r>
          </w:p>
        </w:tc>
      </w:tr>
      <w:tr w:rsidR="00980919" w14:paraId="658BB9B4" w14:textId="77777777" w:rsidTr="001515D5">
        <w:tc>
          <w:tcPr>
            <w:tcW w:w="3116" w:type="dxa"/>
            <w:vAlign w:val="bottom"/>
          </w:tcPr>
          <w:p w14:paraId="2672498E" w14:textId="77777777" w:rsidR="00980919" w:rsidRDefault="00980919" w:rsidP="001515D5">
            <w:r>
              <w:t>3/20/21</w:t>
            </w:r>
          </w:p>
        </w:tc>
        <w:tc>
          <w:tcPr>
            <w:tcW w:w="3117" w:type="dxa"/>
            <w:vAlign w:val="bottom"/>
          </w:tcPr>
          <w:p w14:paraId="097C86BC" w14:textId="77777777" w:rsidR="00980919" w:rsidRDefault="00980919" w:rsidP="001515D5">
            <w:r>
              <w:t>139</w:t>
            </w:r>
          </w:p>
        </w:tc>
        <w:tc>
          <w:tcPr>
            <w:tcW w:w="3117" w:type="dxa"/>
            <w:vAlign w:val="bottom"/>
          </w:tcPr>
          <w:p w14:paraId="09498BFA" w14:textId="77777777" w:rsidR="00980919" w:rsidRDefault="00980919" w:rsidP="001515D5">
            <w:r>
              <w:t>132</w:t>
            </w:r>
          </w:p>
        </w:tc>
      </w:tr>
      <w:tr w:rsidR="00980919" w14:paraId="538F578E" w14:textId="77777777" w:rsidTr="001515D5">
        <w:tc>
          <w:tcPr>
            <w:tcW w:w="3116" w:type="dxa"/>
            <w:vAlign w:val="bottom"/>
          </w:tcPr>
          <w:p w14:paraId="3C601DF6" w14:textId="77777777" w:rsidR="00980919" w:rsidRDefault="00980919" w:rsidP="001515D5">
            <w:r>
              <w:t>3/27/21</w:t>
            </w:r>
          </w:p>
        </w:tc>
        <w:tc>
          <w:tcPr>
            <w:tcW w:w="3117" w:type="dxa"/>
            <w:vAlign w:val="bottom"/>
          </w:tcPr>
          <w:p w14:paraId="4E6A2B9A" w14:textId="77777777" w:rsidR="00980919" w:rsidRDefault="00980919" w:rsidP="001515D5">
            <w:r>
              <w:t>132</w:t>
            </w:r>
          </w:p>
        </w:tc>
        <w:tc>
          <w:tcPr>
            <w:tcW w:w="3117" w:type="dxa"/>
            <w:vAlign w:val="bottom"/>
          </w:tcPr>
          <w:p w14:paraId="5A17867D" w14:textId="77777777" w:rsidR="00980919" w:rsidRDefault="00980919" w:rsidP="001515D5">
            <w:r>
              <w:t>122</w:t>
            </w:r>
          </w:p>
        </w:tc>
      </w:tr>
      <w:tr w:rsidR="00980919" w14:paraId="089CF2F3" w14:textId="77777777" w:rsidTr="001515D5">
        <w:tc>
          <w:tcPr>
            <w:tcW w:w="3116" w:type="dxa"/>
            <w:vAlign w:val="bottom"/>
          </w:tcPr>
          <w:p w14:paraId="3D1EBCE0" w14:textId="77777777" w:rsidR="00980919" w:rsidRDefault="00980919" w:rsidP="001515D5">
            <w:r>
              <w:t>4/3/21</w:t>
            </w:r>
          </w:p>
        </w:tc>
        <w:tc>
          <w:tcPr>
            <w:tcW w:w="3117" w:type="dxa"/>
            <w:vAlign w:val="bottom"/>
          </w:tcPr>
          <w:p w14:paraId="5F40B27E" w14:textId="77777777" w:rsidR="00980919" w:rsidRDefault="00980919" w:rsidP="001515D5">
            <w:r>
              <w:t>123</w:t>
            </w:r>
          </w:p>
        </w:tc>
        <w:tc>
          <w:tcPr>
            <w:tcW w:w="3117" w:type="dxa"/>
            <w:vAlign w:val="bottom"/>
          </w:tcPr>
          <w:p w14:paraId="500C72CD" w14:textId="77777777" w:rsidR="00980919" w:rsidRDefault="00980919" w:rsidP="001515D5">
            <w:r>
              <w:t>114</w:t>
            </w:r>
          </w:p>
        </w:tc>
      </w:tr>
      <w:tr w:rsidR="00980919" w14:paraId="477952F6" w14:textId="77777777" w:rsidTr="001515D5">
        <w:tc>
          <w:tcPr>
            <w:tcW w:w="3116" w:type="dxa"/>
            <w:vAlign w:val="bottom"/>
          </w:tcPr>
          <w:p w14:paraId="08210AE7" w14:textId="77777777" w:rsidR="00980919" w:rsidRDefault="00980919" w:rsidP="001515D5">
            <w:r>
              <w:t>4/10/21</w:t>
            </w:r>
          </w:p>
        </w:tc>
        <w:tc>
          <w:tcPr>
            <w:tcW w:w="3117" w:type="dxa"/>
            <w:vAlign w:val="bottom"/>
          </w:tcPr>
          <w:p w14:paraId="76AC035A" w14:textId="77777777" w:rsidR="00980919" w:rsidRDefault="00980919" w:rsidP="001515D5">
            <w:r>
              <w:t>114</w:t>
            </w:r>
          </w:p>
        </w:tc>
        <w:tc>
          <w:tcPr>
            <w:tcW w:w="3117" w:type="dxa"/>
            <w:vAlign w:val="bottom"/>
          </w:tcPr>
          <w:p w14:paraId="40097FD1" w14:textId="77777777" w:rsidR="00980919" w:rsidRDefault="00980919" w:rsidP="001515D5">
            <w:r>
              <w:t>104</w:t>
            </w:r>
          </w:p>
        </w:tc>
      </w:tr>
      <w:tr w:rsidR="00980919" w14:paraId="56BD9560" w14:textId="77777777" w:rsidTr="001515D5">
        <w:tc>
          <w:tcPr>
            <w:tcW w:w="3116" w:type="dxa"/>
            <w:vAlign w:val="bottom"/>
          </w:tcPr>
          <w:p w14:paraId="14707FA3" w14:textId="77777777" w:rsidR="00980919" w:rsidRDefault="00980919" w:rsidP="001515D5">
            <w:r>
              <w:t>4/17/21</w:t>
            </w:r>
          </w:p>
        </w:tc>
        <w:tc>
          <w:tcPr>
            <w:tcW w:w="3117" w:type="dxa"/>
            <w:vAlign w:val="bottom"/>
          </w:tcPr>
          <w:p w14:paraId="3ADD42A4" w14:textId="77777777" w:rsidR="00980919" w:rsidRDefault="00980919" w:rsidP="001515D5">
            <w:r>
              <w:t>131</w:t>
            </w:r>
          </w:p>
        </w:tc>
        <w:tc>
          <w:tcPr>
            <w:tcW w:w="3117" w:type="dxa"/>
            <w:vAlign w:val="bottom"/>
          </w:tcPr>
          <w:p w14:paraId="555270C8" w14:textId="77777777" w:rsidR="00980919" w:rsidRDefault="00980919" w:rsidP="001515D5">
            <w:r>
              <w:t>124</w:t>
            </w:r>
          </w:p>
        </w:tc>
      </w:tr>
      <w:tr w:rsidR="00980919" w14:paraId="2E40F25F" w14:textId="77777777" w:rsidTr="001515D5">
        <w:tc>
          <w:tcPr>
            <w:tcW w:w="3116" w:type="dxa"/>
            <w:vAlign w:val="bottom"/>
          </w:tcPr>
          <w:p w14:paraId="42187338" w14:textId="77777777" w:rsidR="00980919" w:rsidRDefault="00980919" w:rsidP="001515D5">
            <w:r>
              <w:t>4/24/21</w:t>
            </w:r>
          </w:p>
        </w:tc>
        <w:tc>
          <w:tcPr>
            <w:tcW w:w="3117" w:type="dxa"/>
            <w:vAlign w:val="bottom"/>
          </w:tcPr>
          <w:p w14:paraId="3F090209" w14:textId="77777777" w:rsidR="00980919" w:rsidRDefault="00980919" w:rsidP="001515D5">
            <w:r>
              <w:t>108</w:t>
            </w:r>
          </w:p>
        </w:tc>
        <w:tc>
          <w:tcPr>
            <w:tcW w:w="3117" w:type="dxa"/>
            <w:vAlign w:val="bottom"/>
          </w:tcPr>
          <w:p w14:paraId="579FF32D" w14:textId="77777777" w:rsidR="00980919" w:rsidRDefault="00980919" w:rsidP="001515D5">
            <w:r>
              <w:t>92</w:t>
            </w:r>
          </w:p>
        </w:tc>
      </w:tr>
      <w:tr w:rsidR="00980919" w14:paraId="1BEE335A" w14:textId="77777777" w:rsidTr="001515D5">
        <w:tc>
          <w:tcPr>
            <w:tcW w:w="3116" w:type="dxa"/>
            <w:vAlign w:val="bottom"/>
          </w:tcPr>
          <w:p w14:paraId="0C9EE501" w14:textId="77777777" w:rsidR="00980919" w:rsidRDefault="00980919" w:rsidP="001515D5">
            <w:r>
              <w:t>5/1/21</w:t>
            </w:r>
          </w:p>
        </w:tc>
        <w:tc>
          <w:tcPr>
            <w:tcW w:w="3117" w:type="dxa"/>
            <w:vAlign w:val="bottom"/>
          </w:tcPr>
          <w:p w14:paraId="46C41D92" w14:textId="77777777" w:rsidR="00980919" w:rsidRDefault="00980919" w:rsidP="001515D5">
            <w:r>
              <w:t>92</w:t>
            </w:r>
          </w:p>
        </w:tc>
        <w:tc>
          <w:tcPr>
            <w:tcW w:w="3117" w:type="dxa"/>
            <w:vAlign w:val="bottom"/>
          </w:tcPr>
          <w:p w14:paraId="6CAF4B72" w14:textId="77777777" w:rsidR="00980919" w:rsidRDefault="00980919" w:rsidP="001515D5">
            <w:r>
              <w:t>86</w:t>
            </w:r>
          </w:p>
        </w:tc>
      </w:tr>
      <w:tr w:rsidR="00980919" w14:paraId="0909BE10" w14:textId="77777777" w:rsidTr="001515D5">
        <w:tc>
          <w:tcPr>
            <w:tcW w:w="3116" w:type="dxa"/>
            <w:vAlign w:val="bottom"/>
          </w:tcPr>
          <w:p w14:paraId="1C34BC92" w14:textId="77777777" w:rsidR="00980919" w:rsidRDefault="00980919" w:rsidP="001515D5">
            <w:r>
              <w:lastRenderedPageBreak/>
              <w:t>5/8/21</w:t>
            </w:r>
          </w:p>
        </w:tc>
        <w:tc>
          <w:tcPr>
            <w:tcW w:w="3117" w:type="dxa"/>
            <w:vAlign w:val="bottom"/>
          </w:tcPr>
          <w:p w14:paraId="2E32DB59" w14:textId="77777777" w:rsidR="00980919" w:rsidRDefault="00980919" w:rsidP="001515D5">
            <w:r>
              <w:t>79</w:t>
            </w:r>
          </w:p>
        </w:tc>
        <w:tc>
          <w:tcPr>
            <w:tcW w:w="3117" w:type="dxa"/>
            <w:vAlign w:val="bottom"/>
          </w:tcPr>
          <w:p w14:paraId="7015A28C" w14:textId="77777777" w:rsidR="00980919" w:rsidRDefault="00980919" w:rsidP="001515D5">
            <w:r>
              <w:t>73</w:t>
            </w:r>
          </w:p>
        </w:tc>
      </w:tr>
      <w:tr w:rsidR="00980919" w14:paraId="2D326A7B" w14:textId="77777777" w:rsidTr="001515D5">
        <w:tc>
          <w:tcPr>
            <w:tcW w:w="3116" w:type="dxa"/>
            <w:vAlign w:val="bottom"/>
          </w:tcPr>
          <w:p w14:paraId="55CD2030" w14:textId="77777777" w:rsidR="00980919" w:rsidRDefault="00980919" w:rsidP="001515D5">
            <w:r>
              <w:t>5/15/21</w:t>
            </w:r>
          </w:p>
        </w:tc>
        <w:tc>
          <w:tcPr>
            <w:tcW w:w="3117" w:type="dxa"/>
            <w:vAlign w:val="bottom"/>
          </w:tcPr>
          <w:p w14:paraId="3958AA01" w14:textId="77777777" w:rsidR="00980919" w:rsidRDefault="00980919" w:rsidP="001515D5">
            <w:r>
              <w:t>61</w:t>
            </w:r>
          </w:p>
        </w:tc>
        <w:tc>
          <w:tcPr>
            <w:tcW w:w="3117" w:type="dxa"/>
            <w:vAlign w:val="bottom"/>
          </w:tcPr>
          <w:p w14:paraId="197EB6AB" w14:textId="77777777" w:rsidR="00980919" w:rsidRDefault="00980919" w:rsidP="001515D5">
            <w:r>
              <w:t>58</w:t>
            </w:r>
          </w:p>
        </w:tc>
      </w:tr>
      <w:tr w:rsidR="00980919" w14:paraId="3427C68F" w14:textId="77777777" w:rsidTr="001515D5">
        <w:tc>
          <w:tcPr>
            <w:tcW w:w="3116" w:type="dxa"/>
            <w:vAlign w:val="bottom"/>
          </w:tcPr>
          <w:p w14:paraId="022BB88B" w14:textId="77777777" w:rsidR="00980919" w:rsidRDefault="00980919" w:rsidP="001515D5">
            <w:r>
              <w:t>5/22/21</w:t>
            </w:r>
          </w:p>
        </w:tc>
        <w:tc>
          <w:tcPr>
            <w:tcW w:w="3117" w:type="dxa"/>
            <w:vAlign w:val="bottom"/>
          </w:tcPr>
          <w:p w14:paraId="62536763" w14:textId="77777777" w:rsidR="00980919" w:rsidRDefault="00980919" w:rsidP="001515D5">
            <w:r>
              <w:t>47</w:t>
            </w:r>
          </w:p>
        </w:tc>
        <w:tc>
          <w:tcPr>
            <w:tcW w:w="3117" w:type="dxa"/>
            <w:vAlign w:val="bottom"/>
          </w:tcPr>
          <w:p w14:paraId="34B23854" w14:textId="77777777" w:rsidR="00980919" w:rsidRDefault="00980919" w:rsidP="001515D5">
            <w:r>
              <w:t>45</w:t>
            </w:r>
          </w:p>
        </w:tc>
      </w:tr>
      <w:tr w:rsidR="00980919" w14:paraId="583A2D01" w14:textId="77777777" w:rsidTr="001515D5">
        <w:tc>
          <w:tcPr>
            <w:tcW w:w="3116" w:type="dxa"/>
            <w:vAlign w:val="bottom"/>
          </w:tcPr>
          <w:p w14:paraId="74F91FD5" w14:textId="77777777" w:rsidR="00980919" w:rsidRDefault="00980919" w:rsidP="001515D5">
            <w:r>
              <w:t>5/29/21</w:t>
            </w:r>
          </w:p>
        </w:tc>
        <w:tc>
          <w:tcPr>
            <w:tcW w:w="3117" w:type="dxa"/>
            <w:vAlign w:val="bottom"/>
          </w:tcPr>
          <w:p w14:paraId="14471DF3" w14:textId="77777777" w:rsidR="00980919" w:rsidRDefault="00980919" w:rsidP="001515D5">
            <w:r>
              <w:t>39</w:t>
            </w:r>
          </w:p>
        </w:tc>
        <w:tc>
          <w:tcPr>
            <w:tcW w:w="3117" w:type="dxa"/>
            <w:vAlign w:val="bottom"/>
          </w:tcPr>
          <w:p w14:paraId="0754B897" w14:textId="77777777" w:rsidR="00980919" w:rsidRDefault="00980919" w:rsidP="001515D5">
            <w:r>
              <w:t>39</w:t>
            </w:r>
          </w:p>
        </w:tc>
      </w:tr>
      <w:tr w:rsidR="00980919" w14:paraId="78704569" w14:textId="77777777" w:rsidTr="001515D5">
        <w:tc>
          <w:tcPr>
            <w:tcW w:w="3116" w:type="dxa"/>
            <w:vAlign w:val="bottom"/>
          </w:tcPr>
          <w:p w14:paraId="4ADD6963" w14:textId="77777777" w:rsidR="00980919" w:rsidRDefault="00980919" w:rsidP="001515D5">
            <w:r>
              <w:t>6/5/21</w:t>
            </w:r>
          </w:p>
        </w:tc>
        <w:tc>
          <w:tcPr>
            <w:tcW w:w="3117" w:type="dxa"/>
            <w:vAlign w:val="bottom"/>
          </w:tcPr>
          <w:p w14:paraId="2B20D5A1" w14:textId="77777777" w:rsidR="00980919" w:rsidRDefault="00980919" w:rsidP="001515D5">
            <w:r>
              <w:t>30</w:t>
            </w:r>
          </w:p>
        </w:tc>
        <w:tc>
          <w:tcPr>
            <w:tcW w:w="3117" w:type="dxa"/>
            <w:vAlign w:val="bottom"/>
          </w:tcPr>
          <w:p w14:paraId="25B05316" w14:textId="77777777" w:rsidR="00980919" w:rsidRDefault="00980919" w:rsidP="001515D5">
            <w:r>
              <w:t>25</w:t>
            </w:r>
          </w:p>
        </w:tc>
      </w:tr>
      <w:tr w:rsidR="00980919" w14:paraId="7E1FDBF3" w14:textId="77777777" w:rsidTr="001515D5">
        <w:tc>
          <w:tcPr>
            <w:tcW w:w="3116" w:type="dxa"/>
            <w:vAlign w:val="bottom"/>
          </w:tcPr>
          <w:p w14:paraId="0623C5DC" w14:textId="77777777" w:rsidR="00980919" w:rsidRDefault="00980919" w:rsidP="001515D5">
            <w:r>
              <w:t>6/12/21</w:t>
            </w:r>
          </w:p>
        </w:tc>
        <w:tc>
          <w:tcPr>
            <w:tcW w:w="3117" w:type="dxa"/>
            <w:vAlign w:val="bottom"/>
          </w:tcPr>
          <w:p w14:paraId="256A2E03" w14:textId="77777777" w:rsidR="00980919" w:rsidRDefault="00980919" w:rsidP="001515D5">
            <w:r>
              <w:t>25</w:t>
            </w:r>
          </w:p>
        </w:tc>
        <w:tc>
          <w:tcPr>
            <w:tcW w:w="3117" w:type="dxa"/>
            <w:vAlign w:val="bottom"/>
          </w:tcPr>
          <w:p w14:paraId="7573FF8E" w14:textId="77777777" w:rsidR="00980919" w:rsidRDefault="00980919" w:rsidP="001515D5">
            <w:r>
              <w:t>25</w:t>
            </w:r>
          </w:p>
        </w:tc>
      </w:tr>
      <w:tr w:rsidR="00980919" w14:paraId="6F466AA4" w14:textId="77777777" w:rsidTr="001515D5">
        <w:tc>
          <w:tcPr>
            <w:tcW w:w="3116" w:type="dxa"/>
            <w:vAlign w:val="bottom"/>
          </w:tcPr>
          <w:p w14:paraId="2745F2BD" w14:textId="77777777" w:rsidR="00980919" w:rsidRDefault="00980919" w:rsidP="001515D5">
            <w:r>
              <w:t>6/19/21</w:t>
            </w:r>
          </w:p>
        </w:tc>
        <w:tc>
          <w:tcPr>
            <w:tcW w:w="3117" w:type="dxa"/>
            <w:vAlign w:val="bottom"/>
          </w:tcPr>
          <w:p w14:paraId="417E0112" w14:textId="77777777" w:rsidR="00980919" w:rsidRDefault="00980919" w:rsidP="001515D5">
            <w:r>
              <w:t>20</w:t>
            </w:r>
          </w:p>
        </w:tc>
        <w:tc>
          <w:tcPr>
            <w:tcW w:w="3117" w:type="dxa"/>
            <w:vAlign w:val="bottom"/>
          </w:tcPr>
          <w:p w14:paraId="19FBE329" w14:textId="77777777" w:rsidR="00980919" w:rsidRDefault="00980919" w:rsidP="001515D5">
            <w:r>
              <w:t>21</w:t>
            </w:r>
          </w:p>
        </w:tc>
      </w:tr>
      <w:tr w:rsidR="00980919" w14:paraId="32BF6E84" w14:textId="77777777" w:rsidTr="001515D5">
        <w:tc>
          <w:tcPr>
            <w:tcW w:w="3116" w:type="dxa"/>
            <w:vAlign w:val="bottom"/>
          </w:tcPr>
          <w:p w14:paraId="7B76121B" w14:textId="77777777" w:rsidR="00980919" w:rsidRDefault="00980919" w:rsidP="001515D5">
            <w:r>
              <w:t>6/26/21</w:t>
            </w:r>
          </w:p>
        </w:tc>
        <w:tc>
          <w:tcPr>
            <w:tcW w:w="3117" w:type="dxa"/>
            <w:vAlign w:val="bottom"/>
          </w:tcPr>
          <w:p w14:paraId="7BA191A9" w14:textId="77777777" w:rsidR="00980919" w:rsidRDefault="00980919" w:rsidP="001515D5">
            <w:r>
              <w:t>21</w:t>
            </w:r>
          </w:p>
        </w:tc>
        <w:tc>
          <w:tcPr>
            <w:tcW w:w="3117" w:type="dxa"/>
            <w:vAlign w:val="bottom"/>
          </w:tcPr>
          <w:p w14:paraId="005E0A57" w14:textId="77777777" w:rsidR="00980919" w:rsidRDefault="00980919" w:rsidP="001515D5">
            <w:r>
              <w:t>23</w:t>
            </w:r>
          </w:p>
        </w:tc>
      </w:tr>
      <w:tr w:rsidR="00980919" w14:paraId="7D31FABB" w14:textId="77777777" w:rsidTr="001515D5">
        <w:tc>
          <w:tcPr>
            <w:tcW w:w="3116" w:type="dxa"/>
            <w:vAlign w:val="bottom"/>
          </w:tcPr>
          <w:p w14:paraId="74FF9FA8" w14:textId="77777777" w:rsidR="00980919" w:rsidRDefault="00980919" w:rsidP="001515D5">
            <w:r>
              <w:t>7/3/21</w:t>
            </w:r>
          </w:p>
        </w:tc>
        <w:tc>
          <w:tcPr>
            <w:tcW w:w="3117" w:type="dxa"/>
            <w:vAlign w:val="bottom"/>
          </w:tcPr>
          <w:p w14:paraId="0D9CF93A" w14:textId="77777777" w:rsidR="00980919" w:rsidRDefault="00980919" w:rsidP="001515D5">
            <w:r>
              <w:t>26</w:t>
            </w:r>
          </w:p>
        </w:tc>
        <w:tc>
          <w:tcPr>
            <w:tcW w:w="3117" w:type="dxa"/>
            <w:vAlign w:val="bottom"/>
          </w:tcPr>
          <w:p w14:paraId="5A11F006" w14:textId="77777777" w:rsidR="00980919" w:rsidRDefault="00980919" w:rsidP="001515D5">
            <w:r>
              <w:t>26</w:t>
            </w:r>
          </w:p>
        </w:tc>
      </w:tr>
      <w:tr w:rsidR="00980919" w14:paraId="0AEA08E8" w14:textId="77777777" w:rsidTr="001515D5">
        <w:tc>
          <w:tcPr>
            <w:tcW w:w="3116" w:type="dxa"/>
            <w:vAlign w:val="bottom"/>
          </w:tcPr>
          <w:p w14:paraId="016CCF00" w14:textId="77777777" w:rsidR="00980919" w:rsidRDefault="00980919" w:rsidP="001515D5">
            <w:r>
              <w:t>7/10/21</w:t>
            </w:r>
          </w:p>
        </w:tc>
        <w:tc>
          <w:tcPr>
            <w:tcW w:w="3117" w:type="dxa"/>
            <w:vAlign w:val="bottom"/>
          </w:tcPr>
          <w:p w14:paraId="464DD83D" w14:textId="77777777" w:rsidR="00980919" w:rsidRDefault="00980919" w:rsidP="001515D5">
            <w:r>
              <w:t>44</w:t>
            </w:r>
          </w:p>
        </w:tc>
        <w:tc>
          <w:tcPr>
            <w:tcW w:w="3117" w:type="dxa"/>
            <w:vAlign w:val="bottom"/>
          </w:tcPr>
          <w:p w14:paraId="336D8091" w14:textId="77777777" w:rsidR="00980919" w:rsidRDefault="00980919" w:rsidP="001515D5">
            <w:r>
              <w:t>39</w:t>
            </w:r>
          </w:p>
        </w:tc>
      </w:tr>
      <w:tr w:rsidR="00980919" w14:paraId="66CDC444" w14:textId="77777777" w:rsidTr="001515D5">
        <w:tc>
          <w:tcPr>
            <w:tcW w:w="3116" w:type="dxa"/>
            <w:vAlign w:val="bottom"/>
          </w:tcPr>
          <w:p w14:paraId="4F6451AB" w14:textId="77777777" w:rsidR="00980919" w:rsidRDefault="00980919" w:rsidP="001515D5">
            <w:r>
              <w:t>7/17/21</w:t>
            </w:r>
          </w:p>
        </w:tc>
        <w:tc>
          <w:tcPr>
            <w:tcW w:w="3117" w:type="dxa"/>
            <w:vAlign w:val="bottom"/>
          </w:tcPr>
          <w:p w14:paraId="569DFF76" w14:textId="77777777" w:rsidR="00980919" w:rsidRDefault="00980919" w:rsidP="001515D5">
            <w:r>
              <w:t>73</w:t>
            </w:r>
          </w:p>
        </w:tc>
        <w:tc>
          <w:tcPr>
            <w:tcW w:w="3117" w:type="dxa"/>
            <w:vAlign w:val="bottom"/>
          </w:tcPr>
          <w:p w14:paraId="065E32C1" w14:textId="77777777" w:rsidR="00980919" w:rsidRDefault="00980919" w:rsidP="001515D5">
            <w:r>
              <w:t>66</w:t>
            </w:r>
          </w:p>
        </w:tc>
      </w:tr>
      <w:tr w:rsidR="00980919" w14:paraId="2A35E8C7" w14:textId="77777777" w:rsidTr="001515D5">
        <w:tc>
          <w:tcPr>
            <w:tcW w:w="3116" w:type="dxa"/>
            <w:vAlign w:val="bottom"/>
          </w:tcPr>
          <w:p w14:paraId="7EEF60B5" w14:textId="77777777" w:rsidR="00980919" w:rsidRDefault="00980919" w:rsidP="001515D5">
            <w:r>
              <w:t>7/24/21</w:t>
            </w:r>
          </w:p>
        </w:tc>
        <w:tc>
          <w:tcPr>
            <w:tcW w:w="3117" w:type="dxa"/>
            <w:vAlign w:val="bottom"/>
          </w:tcPr>
          <w:p w14:paraId="405DF132" w14:textId="77777777" w:rsidR="00980919" w:rsidRDefault="00980919" w:rsidP="001515D5">
            <w:r>
              <w:t>137</w:t>
            </w:r>
          </w:p>
        </w:tc>
        <w:tc>
          <w:tcPr>
            <w:tcW w:w="3117" w:type="dxa"/>
            <w:vAlign w:val="bottom"/>
          </w:tcPr>
          <w:p w14:paraId="6EFAE527" w14:textId="77777777" w:rsidR="00980919" w:rsidRDefault="00980919" w:rsidP="001515D5">
            <w:r>
              <w:t>130</w:t>
            </w:r>
          </w:p>
        </w:tc>
      </w:tr>
      <w:tr w:rsidR="00980919" w14:paraId="544938BE" w14:textId="77777777" w:rsidTr="001515D5">
        <w:tc>
          <w:tcPr>
            <w:tcW w:w="3116" w:type="dxa"/>
            <w:vAlign w:val="bottom"/>
          </w:tcPr>
          <w:p w14:paraId="712FEB70" w14:textId="77777777" w:rsidR="00980919" w:rsidRDefault="00980919" w:rsidP="001515D5">
            <w:r>
              <w:t>7/31/21</w:t>
            </w:r>
          </w:p>
        </w:tc>
        <w:tc>
          <w:tcPr>
            <w:tcW w:w="3117" w:type="dxa"/>
            <w:vAlign w:val="bottom"/>
          </w:tcPr>
          <w:p w14:paraId="56681D06" w14:textId="77777777" w:rsidR="00980919" w:rsidRDefault="00980919" w:rsidP="001515D5">
            <w:r>
              <w:t>259</w:t>
            </w:r>
          </w:p>
        </w:tc>
        <w:tc>
          <w:tcPr>
            <w:tcW w:w="3117" w:type="dxa"/>
            <w:vAlign w:val="bottom"/>
          </w:tcPr>
          <w:p w14:paraId="732E5A40" w14:textId="77777777" w:rsidR="00980919" w:rsidRDefault="00980919" w:rsidP="001515D5">
            <w:r>
              <w:t>245</w:t>
            </w:r>
          </w:p>
        </w:tc>
      </w:tr>
      <w:tr w:rsidR="00980919" w14:paraId="6F1B571D" w14:textId="77777777" w:rsidTr="001515D5">
        <w:tc>
          <w:tcPr>
            <w:tcW w:w="3116" w:type="dxa"/>
            <w:vAlign w:val="bottom"/>
          </w:tcPr>
          <w:p w14:paraId="1812B5A8" w14:textId="77777777" w:rsidR="00980919" w:rsidRDefault="00980919" w:rsidP="001515D5">
            <w:r>
              <w:t>8/7/21</w:t>
            </w:r>
          </w:p>
        </w:tc>
        <w:tc>
          <w:tcPr>
            <w:tcW w:w="3117" w:type="dxa"/>
            <w:vAlign w:val="bottom"/>
          </w:tcPr>
          <w:p w14:paraId="20CF9F56" w14:textId="77777777" w:rsidR="00980919" w:rsidRDefault="00980919" w:rsidP="001515D5">
            <w:r>
              <w:t>387</w:t>
            </w:r>
          </w:p>
        </w:tc>
        <w:tc>
          <w:tcPr>
            <w:tcW w:w="3117" w:type="dxa"/>
            <w:vAlign w:val="bottom"/>
          </w:tcPr>
          <w:p w14:paraId="58206DA6" w14:textId="77777777" w:rsidR="00980919" w:rsidRDefault="00980919" w:rsidP="001515D5">
            <w:r>
              <w:t>358</w:t>
            </w:r>
          </w:p>
        </w:tc>
      </w:tr>
      <w:tr w:rsidR="00980919" w14:paraId="10CA135B" w14:textId="77777777" w:rsidTr="001515D5">
        <w:tc>
          <w:tcPr>
            <w:tcW w:w="3116" w:type="dxa"/>
            <w:vAlign w:val="bottom"/>
          </w:tcPr>
          <w:p w14:paraId="06E9DD43" w14:textId="77777777" w:rsidR="00980919" w:rsidRDefault="00980919" w:rsidP="001515D5">
            <w:r>
              <w:t>8/14/21</w:t>
            </w:r>
          </w:p>
        </w:tc>
        <w:tc>
          <w:tcPr>
            <w:tcW w:w="3117" w:type="dxa"/>
            <w:vAlign w:val="bottom"/>
          </w:tcPr>
          <w:p w14:paraId="54DA1234" w14:textId="77777777" w:rsidR="00980919" w:rsidRDefault="00980919" w:rsidP="001515D5">
            <w:r>
              <w:t>466</w:t>
            </w:r>
          </w:p>
        </w:tc>
        <w:tc>
          <w:tcPr>
            <w:tcW w:w="3117" w:type="dxa"/>
            <w:vAlign w:val="bottom"/>
          </w:tcPr>
          <w:p w14:paraId="4CF93DF1" w14:textId="77777777" w:rsidR="00980919" w:rsidRDefault="00980919" w:rsidP="001515D5">
            <w:r>
              <w:t>449</w:t>
            </w:r>
          </w:p>
        </w:tc>
      </w:tr>
      <w:tr w:rsidR="00980919" w14:paraId="458E9A22" w14:textId="77777777" w:rsidTr="001515D5">
        <w:tc>
          <w:tcPr>
            <w:tcW w:w="3116" w:type="dxa"/>
            <w:vAlign w:val="bottom"/>
          </w:tcPr>
          <w:p w14:paraId="33554481" w14:textId="77777777" w:rsidR="00980919" w:rsidRDefault="00980919" w:rsidP="001515D5">
            <w:r>
              <w:t>8/21/21</w:t>
            </w:r>
          </w:p>
        </w:tc>
        <w:tc>
          <w:tcPr>
            <w:tcW w:w="3117" w:type="dxa"/>
            <w:vAlign w:val="bottom"/>
          </w:tcPr>
          <w:p w14:paraId="6931D669" w14:textId="77777777" w:rsidR="00980919" w:rsidRDefault="00980919" w:rsidP="001515D5">
            <w:r>
              <w:t>550</w:t>
            </w:r>
          </w:p>
        </w:tc>
        <w:tc>
          <w:tcPr>
            <w:tcW w:w="3117" w:type="dxa"/>
            <w:vAlign w:val="bottom"/>
          </w:tcPr>
          <w:p w14:paraId="37FB7A46" w14:textId="77777777" w:rsidR="00980919" w:rsidRDefault="00980919" w:rsidP="001515D5">
            <w:r>
              <w:t>526</w:t>
            </w:r>
          </w:p>
        </w:tc>
      </w:tr>
      <w:tr w:rsidR="00980919" w14:paraId="581D527E" w14:textId="77777777" w:rsidTr="001515D5">
        <w:tc>
          <w:tcPr>
            <w:tcW w:w="3116" w:type="dxa"/>
            <w:vAlign w:val="bottom"/>
          </w:tcPr>
          <w:p w14:paraId="0ABBE7DE" w14:textId="77777777" w:rsidR="00980919" w:rsidRDefault="00980919" w:rsidP="001515D5">
            <w:r>
              <w:t>8/28/21</w:t>
            </w:r>
          </w:p>
        </w:tc>
        <w:tc>
          <w:tcPr>
            <w:tcW w:w="3117" w:type="dxa"/>
            <w:vAlign w:val="bottom"/>
          </w:tcPr>
          <w:p w14:paraId="65BAD722" w14:textId="77777777" w:rsidR="00980919" w:rsidRDefault="00980919" w:rsidP="001515D5">
            <w:r>
              <w:t>697</w:t>
            </w:r>
          </w:p>
        </w:tc>
        <w:tc>
          <w:tcPr>
            <w:tcW w:w="3117" w:type="dxa"/>
            <w:vAlign w:val="bottom"/>
          </w:tcPr>
          <w:p w14:paraId="4BDC28FD" w14:textId="77777777" w:rsidR="00980919" w:rsidRDefault="00980919" w:rsidP="001515D5">
            <w:r>
              <w:t>658</w:t>
            </w:r>
          </w:p>
        </w:tc>
      </w:tr>
      <w:tr w:rsidR="00980919" w14:paraId="0647FD88" w14:textId="77777777" w:rsidTr="001515D5">
        <w:tc>
          <w:tcPr>
            <w:tcW w:w="3116" w:type="dxa"/>
            <w:vAlign w:val="bottom"/>
          </w:tcPr>
          <w:p w14:paraId="77F28AC8" w14:textId="77777777" w:rsidR="00980919" w:rsidRDefault="00980919" w:rsidP="001515D5">
            <w:r>
              <w:t>9/4/21</w:t>
            </w:r>
          </w:p>
        </w:tc>
        <w:tc>
          <w:tcPr>
            <w:tcW w:w="3117" w:type="dxa"/>
            <w:vAlign w:val="bottom"/>
          </w:tcPr>
          <w:p w14:paraId="2EC300C9" w14:textId="77777777" w:rsidR="00980919" w:rsidRDefault="00980919" w:rsidP="001515D5">
            <w:r>
              <w:t>773</w:t>
            </w:r>
          </w:p>
        </w:tc>
        <w:tc>
          <w:tcPr>
            <w:tcW w:w="3117" w:type="dxa"/>
            <w:vAlign w:val="bottom"/>
          </w:tcPr>
          <w:p w14:paraId="0A01E8AD" w14:textId="77777777" w:rsidR="00980919" w:rsidRDefault="00980919" w:rsidP="001515D5">
            <w:r>
              <w:t>720</w:t>
            </w:r>
          </w:p>
        </w:tc>
      </w:tr>
      <w:tr w:rsidR="00980919" w14:paraId="7F3074E2" w14:textId="77777777" w:rsidTr="001515D5">
        <w:tc>
          <w:tcPr>
            <w:tcW w:w="3116" w:type="dxa"/>
            <w:vAlign w:val="bottom"/>
          </w:tcPr>
          <w:p w14:paraId="12D6053A" w14:textId="77777777" w:rsidR="00980919" w:rsidRDefault="00980919" w:rsidP="001515D5">
            <w:r>
              <w:t>9/11/21</w:t>
            </w:r>
          </w:p>
        </w:tc>
        <w:tc>
          <w:tcPr>
            <w:tcW w:w="3117" w:type="dxa"/>
            <w:vAlign w:val="bottom"/>
          </w:tcPr>
          <w:p w14:paraId="37934C1A" w14:textId="77777777" w:rsidR="00980919" w:rsidRDefault="00980919" w:rsidP="001515D5">
            <w:r>
              <w:t>619</w:t>
            </w:r>
          </w:p>
        </w:tc>
        <w:tc>
          <w:tcPr>
            <w:tcW w:w="3117" w:type="dxa"/>
            <w:vAlign w:val="bottom"/>
          </w:tcPr>
          <w:p w14:paraId="28DB469B" w14:textId="77777777" w:rsidR="00980919" w:rsidRDefault="00980919" w:rsidP="001515D5">
            <w:r>
              <w:t>576</w:t>
            </w:r>
          </w:p>
        </w:tc>
      </w:tr>
      <w:tr w:rsidR="00980919" w14:paraId="3C1D66CD" w14:textId="77777777" w:rsidTr="001515D5">
        <w:tc>
          <w:tcPr>
            <w:tcW w:w="3116" w:type="dxa"/>
            <w:vAlign w:val="bottom"/>
          </w:tcPr>
          <w:p w14:paraId="0100F45F" w14:textId="77777777" w:rsidR="00980919" w:rsidRDefault="00980919" w:rsidP="001515D5">
            <w:r>
              <w:t>9/18/21</w:t>
            </w:r>
          </w:p>
        </w:tc>
        <w:tc>
          <w:tcPr>
            <w:tcW w:w="3117" w:type="dxa"/>
            <w:vAlign w:val="bottom"/>
          </w:tcPr>
          <w:p w14:paraId="1CAB9424" w14:textId="77777777" w:rsidR="00980919" w:rsidRDefault="00980919" w:rsidP="001515D5">
            <w:r>
              <w:t>551</w:t>
            </w:r>
          </w:p>
        </w:tc>
        <w:tc>
          <w:tcPr>
            <w:tcW w:w="3117" w:type="dxa"/>
            <w:vAlign w:val="bottom"/>
          </w:tcPr>
          <w:p w14:paraId="7D5EE252" w14:textId="77777777" w:rsidR="00980919" w:rsidRDefault="00980919" w:rsidP="001515D5">
            <w:r>
              <w:t>511</w:t>
            </w:r>
          </w:p>
        </w:tc>
      </w:tr>
      <w:tr w:rsidR="00980919" w14:paraId="0D378761" w14:textId="77777777" w:rsidTr="001515D5">
        <w:tc>
          <w:tcPr>
            <w:tcW w:w="3116" w:type="dxa"/>
            <w:vAlign w:val="bottom"/>
          </w:tcPr>
          <w:p w14:paraId="4EFDA40F" w14:textId="77777777" w:rsidR="00980919" w:rsidRDefault="00980919" w:rsidP="001515D5">
            <w:r>
              <w:t>9/25/21</w:t>
            </w:r>
          </w:p>
        </w:tc>
        <w:tc>
          <w:tcPr>
            <w:tcW w:w="3117" w:type="dxa"/>
            <w:vAlign w:val="bottom"/>
          </w:tcPr>
          <w:p w14:paraId="738BA844" w14:textId="77777777" w:rsidR="00980919" w:rsidRDefault="00980919" w:rsidP="001515D5">
            <w:r>
              <w:t>381</w:t>
            </w:r>
          </w:p>
        </w:tc>
        <w:tc>
          <w:tcPr>
            <w:tcW w:w="3117" w:type="dxa"/>
            <w:vAlign w:val="bottom"/>
          </w:tcPr>
          <w:p w14:paraId="4FC32A38" w14:textId="77777777" w:rsidR="00980919" w:rsidRDefault="00980919" w:rsidP="001515D5">
            <w:r>
              <w:t>367</w:t>
            </w:r>
          </w:p>
        </w:tc>
      </w:tr>
      <w:tr w:rsidR="00980919" w14:paraId="40E7A17E" w14:textId="77777777" w:rsidTr="001515D5">
        <w:tc>
          <w:tcPr>
            <w:tcW w:w="3116" w:type="dxa"/>
            <w:vAlign w:val="bottom"/>
          </w:tcPr>
          <w:p w14:paraId="26515055" w14:textId="77777777" w:rsidR="00980919" w:rsidRDefault="00980919" w:rsidP="001515D5">
            <w:r>
              <w:t>10/2/21</w:t>
            </w:r>
          </w:p>
        </w:tc>
        <w:tc>
          <w:tcPr>
            <w:tcW w:w="3117" w:type="dxa"/>
            <w:vAlign w:val="bottom"/>
          </w:tcPr>
          <w:p w14:paraId="18839A48" w14:textId="77777777" w:rsidR="00980919" w:rsidRDefault="00980919" w:rsidP="001515D5">
            <w:r>
              <w:t>310</w:t>
            </w:r>
          </w:p>
        </w:tc>
        <w:tc>
          <w:tcPr>
            <w:tcW w:w="3117" w:type="dxa"/>
            <w:vAlign w:val="bottom"/>
          </w:tcPr>
          <w:p w14:paraId="0BC287FD" w14:textId="77777777" w:rsidR="00980919" w:rsidRDefault="00980919" w:rsidP="001515D5">
            <w:r>
              <w:t>283</w:t>
            </w:r>
          </w:p>
        </w:tc>
      </w:tr>
      <w:tr w:rsidR="00980919" w14:paraId="76473692" w14:textId="77777777" w:rsidTr="001515D5">
        <w:tc>
          <w:tcPr>
            <w:tcW w:w="3116" w:type="dxa"/>
            <w:vAlign w:val="bottom"/>
          </w:tcPr>
          <w:p w14:paraId="112B3B8A" w14:textId="77777777" w:rsidR="00980919" w:rsidRDefault="00980919" w:rsidP="001515D5">
            <w:r>
              <w:t>10/9/21</w:t>
            </w:r>
          </w:p>
        </w:tc>
        <w:tc>
          <w:tcPr>
            <w:tcW w:w="3117" w:type="dxa"/>
            <w:vAlign w:val="bottom"/>
          </w:tcPr>
          <w:p w14:paraId="4297CBAA" w14:textId="77777777" w:rsidR="00980919" w:rsidRDefault="00980919" w:rsidP="001515D5">
            <w:r>
              <w:t>217</w:t>
            </w:r>
          </w:p>
        </w:tc>
        <w:tc>
          <w:tcPr>
            <w:tcW w:w="3117" w:type="dxa"/>
            <w:vAlign w:val="bottom"/>
          </w:tcPr>
          <w:p w14:paraId="546D0AE1" w14:textId="77777777" w:rsidR="00980919" w:rsidRDefault="00980919" w:rsidP="001515D5">
            <w:r>
              <w:t>203</w:t>
            </w:r>
          </w:p>
        </w:tc>
      </w:tr>
      <w:tr w:rsidR="00980919" w14:paraId="7BD79D48" w14:textId="77777777" w:rsidTr="001515D5">
        <w:tc>
          <w:tcPr>
            <w:tcW w:w="3116" w:type="dxa"/>
            <w:vAlign w:val="bottom"/>
          </w:tcPr>
          <w:p w14:paraId="25058144" w14:textId="77777777" w:rsidR="00980919" w:rsidRDefault="00980919" w:rsidP="001515D5">
            <w:r>
              <w:t>10/16/21</w:t>
            </w:r>
          </w:p>
        </w:tc>
        <w:tc>
          <w:tcPr>
            <w:tcW w:w="3117" w:type="dxa"/>
            <w:vAlign w:val="bottom"/>
          </w:tcPr>
          <w:p w14:paraId="5F3CDBB4" w14:textId="77777777" w:rsidR="00980919" w:rsidRDefault="00980919" w:rsidP="001515D5">
            <w:r>
              <w:t>158</w:t>
            </w:r>
          </w:p>
        </w:tc>
        <w:tc>
          <w:tcPr>
            <w:tcW w:w="3117" w:type="dxa"/>
            <w:vAlign w:val="bottom"/>
          </w:tcPr>
          <w:p w14:paraId="3CC5659A" w14:textId="77777777" w:rsidR="00980919" w:rsidRDefault="00980919" w:rsidP="001515D5">
            <w:r>
              <w:t>152</w:t>
            </w:r>
          </w:p>
        </w:tc>
      </w:tr>
      <w:tr w:rsidR="00980919" w14:paraId="0D4EFC6B" w14:textId="77777777" w:rsidTr="001515D5">
        <w:tc>
          <w:tcPr>
            <w:tcW w:w="3116" w:type="dxa"/>
            <w:vAlign w:val="bottom"/>
          </w:tcPr>
          <w:p w14:paraId="19B9D948" w14:textId="77777777" w:rsidR="00980919" w:rsidRDefault="00980919" w:rsidP="001515D5">
            <w:r>
              <w:t>10/23/21</w:t>
            </w:r>
          </w:p>
        </w:tc>
        <w:tc>
          <w:tcPr>
            <w:tcW w:w="3117" w:type="dxa"/>
            <w:vAlign w:val="bottom"/>
          </w:tcPr>
          <w:p w14:paraId="09D157E1" w14:textId="77777777" w:rsidR="00980919" w:rsidRDefault="00980919" w:rsidP="001515D5">
            <w:r>
              <w:t>121</w:t>
            </w:r>
          </w:p>
        </w:tc>
        <w:tc>
          <w:tcPr>
            <w:tcW w:w="3117" w:type="dxa"/>
            <w:vAlign w:val="bottom"/>
          </w:tcPr>
          <w:p w14:paraId="3F251979" w14:textId="77777777" w:rsidR="00980919" w:rsidRDefault="00980919" w:rsidP="001515D5">
            <w:r>
              <w:t>114</w:t>
            </w:r>
          </w:p>
        </w:tc>
      </w:tr>
      <w:tr w:rsidR="00980919" w14:paraId="623E44E1" w14:textId="77777777" w:rsidTr="001515D5">
        <w:tc>
          <w:tcPr>
            <w:tcW w:w="3116" w:type="dxa"/>
            <w:vAlign w:val="bottom"/>
          </w:tcPr>
          <w:p w14:paraId="2A3656F6" w14:textId="77777777" w:rsidR="00980919" w:rsidRDefault="00980919" w:rsidP="001515D5">
            <w:r>
              <w:t>10/30/21</w:t>
            </w:r>
          </w:p>
        </w:tc>
        <w:tc>
          <w:tcPr>
            <w:tcW w:w="3117" w:type="dxa"/>
            <w:vAlign w:val="bottom"/>
          </w:tcPr>
          <w:p w14:paraId="01B2D6CA" w14:textId="77777777" w:rsidR="00980919" w:rsidRDefault="00980919" w:rsidP="001515D5">
            <w:r>
              <w:t>103</w:t>
            </w:r>
          </w:p>
        </w:tc>
        <w:tc>
          <w:tcPr>
            <w:tcW w:w="3117" w:type="dxa"/>
            <w:vAlign w:val="bottom"/>
          </w:tcPr>
          <w:p w14:paraId="44E6B86F" w14:textId="77777777" w:rsidR="00980919" w:rsidRDefault="00980919" w:rsidP="001515D5">
            <w:r>
              <w:t>93</w:t>
            </w:r>
          </w:p>
        </w:tc>
      </w:tr>
      <w:tr w:rsidR="00980919" w14:paraId="1FAC79F7" w14:textId="77777777" w:rsidTr="001515D5">
        <w:tc>
          <w:tcPr>
            <w:tcW w:w="3116" w:type="dxa"/>
            <w:vAlign w:val="bottom"/>
          </w:tcPr>
          <w:p w14:paraId="09E55252" w14:textId="77777777" w:rsidR="00980919" w:rsidRDefault="00980919" w:rsidP="001515D5">
            <w:r>
              <w:t>11/6/21</w:t>
            </w:r>
          </w:p>
        </w:tc>
        <w:tc>
          <w:tcPr>
            <w:tcW w:w="3117" w:type="dxa"/>
            <w:vAlign w:val="bottom"/>
          </w:tcPr>
          <w:p w14:paraId="3D93BA74" w14:textId="77777777" w:rsidR="00980919" w:rsidRDefault="00980919" w:rsidP="001515D5">
            <w:r>
              <w:t>91</w:t>
            </w:r>
          </w:p>
        </w:tc>
        <w:tc>
          <w:tcPr>
            <w:tcW w:w="3117" w:type="dxa"/>
            <w:vAlign w:val="bottom"/>
          </w:tcPr>
          <w:p w14:paraId="6764C37D" w14:textId="77777777" w:rsidR="00980919" w:rsidRDefault="00980919" w:rsidP="001515D5">
            <w:r>
              <w:t>83</w:t>
            </w:r>
          </w:p>
        </w:tc>
      </w:tr>
      <w:tr w:rsidR="00980919" w14:paraId="40A06379" w14:textId="77777777" w:rsidTr="001515D5">
        <w:tc>
          <w:tcPr>
            <w:tcW w:w="3116" w:type="dxa"/>
            <w:vAlign w:val="bottom"/>
          </w:tcPr>
          <w:p w14:paraId="36CFAD42" w14:textId="77777777" w:rsidR="00980919" w:rsidRDefault="00980919" w:rsidP="001515D5">
            <w:r>
              <w:t>11/13/21</w:t>
            </w:r>
          </w:p>
        </w:tc>
        <w:tc>
          <w:tcPr>
            <w:tcW w:w="3117" w:type="dxa"/>
            <w:vAlign w:val="bottom"/>
          </w:tcPr>
          <w:p w14:paraId="58367D1D" w14:textId="77777777" w:rsidR="00980919" w:rsidRDefault="00980919" w:rsidP="001515D5">
            <w:r>
              <w:t>88</w:t>
            </w:r>
          </w:p>
        </w:tc>
        <w:tc>
          <w:tcPr>
            <w:tcW w:w="3117" w:type="dxa"/>
            <w:vAlign w:val="bottom"/>
          </w:tcPr>
          <w:p w14:paraId="3D6AADF5" w14:textId="77777777" w:rsidR="00980919" w:rsidRDefault="00980919" w:rsidP="001515D5">
            <w:r>
              <w:t>83</w:t>
            </w:r>
          </w:p>
        </w:tc>
      </w:tr>
      <w:tr w:rsidR="00980919" w14:paraId="21791DAE" w14:textId="77777777" w:rsidTr="001515D5">
        <w:tc>
          <w:tcPr>
            <w:tcW w:w="3116" w:type="dxa"/>
            <w:vAlign w:val="bottom"/>
          </w:tcPr>
          <w:p w14:paraId="64150022" w14:textId="77777777" w:rsidR="00980919" w:rsidRDefault="00980919" w:rsidP="001515D5">
            <w:r>
              <w:t>11/20/21</w:t>
            </w:r>
          </w:p>
        </w:tc>
        <w:tc>
          <w:tcPr>
            <w:tcW w:w="3117" w:type="dxa"/>
            <w:vAlign w:val="bottom"/>
          </w:tcPr>
          <w:p w14:paraId="14B2F6C4" w14:textId="77777777" w:rsidR="00980919" w:rsidRDefault="00980919" w:rsidP="001515D5">
            <w:r>
              <w:t>101</w:t>
            </w:r>
          </w:p>
        </w:tc>
        <w:tc>
          <w:tcPr>
            <w:tcW w:w="3117" w:type="dxa"/>
            <w:vAlign w:val="bottom"/>
          </w:tcPr>
          <w:p w14:paraId="30B16B96" w14:textId="77777777" w:rsidR="00980919" w:rsidRDefault="00980919" w:rsidP="001515D5">
            <w:r>
              <w:t>95</w:t>
            </w:r>
          </w:p>
        </w:tc>
      </w:tr>
      <w:tr w:rsidR="00980919" w14:paraId="497B4874" w14:textId="77777777" w:rsidTr="001515D5">
        <w:tc>
          <w:tcPr>
            <w:tcW w:w="3116" w:type="dxa"/>
            <w:vAlign w:val="bottom"/>
          </w:tcPr>
          <w:p w14:paraId="3E745AED" w14:textId="77777777" w:rsidR="00980919" w:rsidRDefault="00980919" w:rsidP="001515D5">
            <w:r>
              <w:t>11/27/21</w:t>
            </w:r>
          </w:p>
        </w:tc>
        <w:tc>
          <w:tcPr>
            <w:tcW w:w="3117" w:type="dxa"/>
            <w:vAlign w:val="bottom"/>
          </w:tcPr>
          <w:p w14:paraId="10D11137" w14:textId="77777777" w:rsidR="00980919" w:rsidRDefault="00980919" w:rsidP="001515D5">
            <w:r>
              <w:t>77</w:t>
            </w:r>
          </w:p>
        </w:tc>
        <w:tc>
          <w:tcPr>
            <w:tcW w:w="3117" w:type="dxa"/>
            <w:vAlign w:val="bottom"/>
          </w:tcPr>
          <w:p w14:paraId="3F8E19A9" w14:textId="77777777" w:rsidR="00980919" w:rsidRDefault="00980919" w:rsidP="001515D5">
            <w:r>
              <w:t>72</w:t>
            </w:r>
          </w:p>
        </w:tc>
      </w:tr>
      <w:tr w:rsidR="00980919" w14:paraId="6141594F" w14:textId="77777777" w:rsidTr="001515D5">
        <w:tc>
          <w:tcPr>
            <w:tcW w:w="3116" w:type="dxa"/>
            <w:vAlign w:val="bottom"/>
          </w:tcPr>
          <w:p w14:paraId="19975EBD" w14:textId="77777777" w:rsidR="00980919" w:rsidRDefault="00980919" w:rsidP="001515D5">
            <w:r>
              <w:t>12/4/21</w:t>
            </w:r>
          </w:p>
        </w:tc>
        <w:tc>
          <w:tcPr>
            <w:tcW w:w="3117" w:type="dxa"/>
            <w:vAlign w:val="bottom"/>
          </w:tcPr>
          <w:p w14:paraId="5F1A2EE8" w14:textId="77777777" w:rsidR="00980919" w:rsidRDefault="00980919" w:rsidP="001515D5">
            <w:r>
              <w:t>140</w:t>
            </w:r>
          </w:p>
        </w:tc>
        <w:tc>
          <w:tcPr>
            <w:tcW w:w="3117" w:type="dxa"/>
            <w:vAlign w:val="bottom"/>
          </w:tcPr>
          <w:p w14:paraId="0A86679B" w14:textId="77777777" w:rsidR="00980919" w:rsidRDefault="00980919" w:rsidP="001515D5">
            <w:r>
              <w:t>128</w:t>
            </w:r>
          </w:p>
        </w:tc>
      </w:tr>
      <w:tr w:rsidR="00980919" w14:paraId="556C8D61" w14:textId="77777777" w:rsidTr="001515D5">
        <w:tc>
          <w:tcPr>
            <w:tcW w:w="3116" w:type="dxa"/>
            <w:vAlign w:val="bottom"/>
          </w:tcPr>
          <w:p w14:paraId="230C07CA" w14:textId="77777777" w:rsidR="00980919" w:rsidRDefault="00980919" w:rsidP="001515D5">
            <w:r>
              <w:t>12/11/21</w:t>
            </w:r>
          </w:p>
        </w:tc>
        <w:tc>
          <w:tcPr>
            <w:tcW w:w="3117" w:type="dxa"/>
            <w:vAlign w:val="bottom"/>
          </w:tcPr>
          <w:p w14:paraId="1F938CED" w14:textId="77777777" w:rsidR="00980919" w:rsidRDefault="00980919" w:rsidP="001515D5">
            <w:r>
              <w:t>144</w:t>
            </w:r>
          </w:p>
        </w:tc>
        <w:tc>
          <w:tcPr>
            <w:tcW w:w="3117" w:type="dxa"/>
            <w:vAlign w:val="bottom"/>
          </w:tcPr>
          <w:p w14:paraId="7A9230F1" w14:textId="77777777" w:rsidR="00980919" w:rsidRDefault="00980919" w:rsidP="001515D5">
            <w:r>
              <w:t>133</w:t>
            </w:r>
          </w:p>
        </w:tc>
      </w:tr>
      <w:tr w:rsidR="00980919" w14:paraId="1A787B7F" w14:textId="77777777" w:rsidTr="001515D5">
        <w:tc>
          <w:tcPr>
            <w:tcW w:w="3116" w:type="dxa"/>
            <w:vAlign w:val="bottom"/>
          </w:tcPr>
          <w:p w14:paraId="4078976F" w14:textId="77777777" w:rsidR="00980919" w:rsidRDefault="00980919" w:rsidP="001515D5">
            <w:r>
              <w:t>12/18/21</w:t>
            </w:r>
          </w:p>
        </w:tc>
        <w:tc>
          <w:tcPr>
            <w:tcW w:w="3117" w:type="dxa"/>
            <w:vAlign w:val="bottom"/>
          </w:tcPr>
          <w:p w14:paraId="6D5644F4" w14:textId="77777777" w:rsidR="00980919" w:rsidRDefault="00980919" w:rsidP="001515D5">
            <w:r>
              <w:t>159</w:t>
            </w:r>
          </w:p>
        </w:tc>
        <w:tc>
          <w:tcPr>
            <w:tcW w:w="3117" w:type="dxa"/>
            <w:vAlign w:val="bottom"/>
          </w:tcPr>
          <w:p w14:paraId="21A0375C" w14:textId="77777777" w:rsidR="00980919" w:rsidRDefault="00980919" w:rsidP="001515D5">
            <w:r>
              <w:t>145</w:t>
            </w:r>
          </w:p>
        </w:tc>
      </w:tr>
      <w:tr w:rsidR="00980919" w14:paraId="72D41D2E" w14:textId="77777777" w:rsidTr="001515D5">
        <w:tc>
          <w:tcPr>
            <w:tcW w:w="3116" w:type="dxa"/>
            <w:vAlign w:val="bottom"/>
          </w:tcPr>
          <w:p w14:paraId="1B267E05" w14:textId="77777777" w:rsidR="00980919" w:rsidRDefault="00980919" w:rsidP="001515D5">
            <w:r>
              <w:t>12/25/21</w:t>
            </w:r>
          </w:p>
        </w:tc>
        <w:tc>
          <w:tcPr>
            <w:tcW w:w="3117" w:type="dxa"/>
            <w:vAlign w:val="bottom"/>
          </w:tcPr>
          <w:p w14:paraId="2EBD5937" w14:textId="77777777" w:rsidR="00980919" w:rsidRDefault="00980919" w:rsidP="001515D5">
            <w:r>
              <w:t>318</w:t>
            </w:r>
          </w:p>
        </w:tc>
        <w:tc>
          <w:tcPr>
            <w:tcW w:w="3117" w:type="dxa"/>
            <w:vAlign w:val="bottom"/>
          </w:tcPr>
          <w:p w14:paraId="31144CD4" w14:textId="77777777" w:rsidR="00980919" w:rsidRDefault="00980919" w:rsidP="001515D5">
            <w:r>
              <w:t>261</w:t>
            </w:r>
          </w:p>
        </w:tc>
      </w:tr>
      <w:tr w:rsidR="00980919" w14:paraId="5359525E" w14:textId="77777777" w:rsidTr="001515D5">
        <w:tc>
          <w:tcPr>
            <w:tcW w:w="3116" w:type="dxa"/>
            <w:vAlign w:val="bottom"/>
          </w:tcPr>
          <w:p w14:paraId="4E706871" w14:textId="77777777" w:rsidR="00980919" w:rsidRDefault="00980919" w:rsidP="001515D5">
            <w:r>
              <w:t>1/1/22</w:t>
            </w:r>
          </w:p>
        </w:tc>
        <w:tc>
          <w:tcPr>
            <w:tcW w:w="3117" w:type="dxa"/>
            <w:vAlign w:val="bottom"/>
          </w:tcPr>
          <w:p w14:paraId="4963A51F" w14:textId="77777777" w:rsidR="00980919" w:rsidRDefault="00980919" w:rsidP="001515D5">
            <w:r>
              <w:t>1128</w:t>
            </w:r>
          </w:p>
        </w:tc>
        <w:tc>
          <w:tcPr>
            <w:tcW w:w="3117" w:type="dxa"/>
            <w:vAlign w:val="bottom"/>
          </w:tcPr>
          <w:p w14:paraId="0EC26996" w14:textId="77777777" w:rsidR="00980919" w:rsidRDefault="00980919" w:rsidP="001515D5">
            <w:r>
              <w:t>845</w:t>
            </w:r>
          </w:p>
        </w:tc>
      </w:tr>
      <w:tr w:rsidR="00980919" w14:paraId="029C1838" w14:textId="77777777" w:rsidTr="001515D5">
        <w:tc>
          <w:tcPr>
            <w:tcW w:w="3116" w:type="dxa"/>
            <w:vAlign w:val="bottom"/>
          </w:tcPr>
          <w:p w14:paraId="24B9C6CD" w14:textId="77777777" w:rsidR="00980919" w:rsidRDefault="00980919" w:rsidP="001515D5">
            <w:r>
              <w:t>1/8/22</w:t>
            </w:r>
          </w:p>
        </w:tc>
        <w:tc>
          <w:tcPr>
            <w:tcW w:w="3117" w:type="dxa"/>
            <w:vAlign w:val="bottom"/>
          </w:tcPr>
          <w:p w14:paraId="060C7A79" w14:textId="77777777" w:rsidR="00980919" w:rsidRDefault="00980919" w:rsidP="001515D5">
            <w:r>
              <w:t>1974</w:t>
            </w:r>
          </w:p>
        </w:tc>
        <w:tc>
          <w:tcPr>
            <w:tcW w:w="3117" w:type="dxa"/>
            <w:vAlign w:val="bottom"/>
          </w:tcPr>
          <w:p w14:paraId="27C318D3" w14:textId="77777777" w:rsidR="00980919" w:rsidRDefault="00980919" w:rsidP="001515D5">
            <w:r>
              <w:t>1522</w:t>
            </w:r>
          </w:p>
        </w:tc>
      </w:tr>
      <w:tr w:rsidR="00980919" w14:paraId="57FC7C4E" w14:textId="77777777" w:rsidTr="001515D5">
        <w:tc>
          <w:tcPr>
            <w:tcW w:w="3116" w:type="dxa"/>
            <w:vAlign w:val="bottom"/>
          </w:tcPr>
          <w:p w14:paraId="3959CD59" w14:textId="77777777" w:rsidR="00980919" w:rsidRDefault="00980919" w:rsidP="001515D5">
            <w:r>
              <w:lastRenderedPageBreak/>
              <w:t>1/15/22</w:t>
            </w:r>
          </w:p>
        </w:tc>
        <w:tc>
          <w:tcPr>
            <w:tcW w:w="3117" w:type="dxa"/>
            <w:vAlign w:val="bottom"/>
          </w:tcPr>
          <w:p w14:paraId="4527A13B" w14:textId="77777777" w:rsidR="00980919" w:rsidRDefault="00980919" w:rsidP="001515D5">
            <w:r>
              <w:t>2403</w:t>
            </w:r>
          </w:p>
        </w:tc>
        <w:tc>
          <w:tcPr>
            <w:tcW w:w="3117" w:type="dxa"/>
            <w:vAlign w:val="bottom"/>
          </w:tcPr>
          <w:p w14:paraId="1C61335F" w14:textId="77777777" w:rsidR="00980919" w:rsidRDefault="00980919" w:rsidP="001515D5">
            <w:r>
              <w:t>2024</w:t>
            </w:r>
          </w:p>
        </w:tc>
      </w:tr>
      <w:tr w:rsidR="00980919" w14:paraId="760CF972" w14:textId="77777777" w:rsidTr="001515D5">
        <w:tc>
          <w:tcPr>
            <w:tcW w:w="3116" w:type="dxa"/>
            <w:vAlign w:val="bottom"/>
          </w:tcPr>
          <w:p w14:paraId="0C39B067" w14:textId="77777777" w:rsidR="00980919" w:rsidRDefault="00980919" w:rsidP="001515D5">
            <w:r>
              <w:t>1/22/22</w:t>
            </w:r>
          </w:p>
        </w:tc>
        <w:tc>
          <w:tcPr>
            <w:tcW w:w="3117" w:type="dxa"/>
            <w:vAlign w:val="bottom"/>
          </w:tcPr>
          <w:p w14:paraId="1C3120C2" w14:textId="77777777" w:rsidR="00980919" w:rsidRDefault="00980919" w:rsidP="001515D5">
            <w:r>
              <w:t>2125</w:t>
            </w:r>
          </w:p>
        </w:tc>
        <w:tc>
          <w:tcPr>
            <w:tcW w:w="3117" w:type="dxa"/>
            <w:vAlign w:val="bottom"/>
          </w:tcPr>
          <w:p w14:paraId="23C274F1" w14:textId="77777777" w:rsidR="00980919" w:rsidRDefault="00980919" w:rsidP="001515D5">
            <w:r>
              <w:t>1834</w:t>
            </w:r>
          </w:p>
        </w:tc>
      </w:tr>
      <w:tr w:rsidR="00980919" w14:paraId="79391704" w14:textId="77777777" w:rsidTr="001515D5">
        <w:tc>
          <w:tcPr>
            <w:tcW w:w="3116" w:type="dxa"/>
            <w:vAlign w:val="bottom"/>
          </w:tcPr>
          <w:p w14:paraId="6ACA7795" w14:textId="77777777" w:rsidR="00980919" w:rsidRDefault="00980919" w:rsidP="001515D5">
            <w:r>
              <w:t>1/29/22</w:t>
            </w:r>
          </w:p>
        </w:tc>
        <w:tc>
          <w:tcPr>
            <w:tcW w:w="3117" w:type="dxa"/>
            <w:vAlign w:val="bottom"/>
          </w:tcPr>
          <w:p w14:paraId="745A81FE" w14:textId="77777777" w:rsidR="00980919" w:rsidRDefault="00980919" w:rsidP="001515D5">
            <w:r>
              <w:t>1313</w:t>
            </w:r>
          </w:p>
        </w:tc>
        <w:tc>
          <w:tcPr>
            <w:tcW w:w="3117" w:type="dxa"/>
            <w:vAlign w:val="bottom"/>
          </w:tcPr>
          <w:p w14:paraId="4F39D8A5" w14:textId="77777777" w:rsidR="00980919" w:rsidRDefault="00980919" w:rsidP="001515D5">
            <w:r>
              <w:t>1145</w:t>
            </w:r>
          </w:p>
        </w:tc>
      </w:tr>
      <w:tr w:rsidR="00980919" w14:paraId="0AE29655" w14:textId="77777777" w:rsidTr="001515D5">
        <w:tc>
          <w:tcPr>
            <w:tcW w:w="3116" w:type="dxa"/>
            <w:vAlign w:val="bottom"/>
          </w:tcPr>
          <w:p w14:paraId="1E34F5EE" w14:textId="77777777" w:rsidR="00980919" w:rsidRDefault="00980919" w:rsidP="001515D5">
            <w:r>
              <w:t>2/5/22</w:t>
            </w:r>
          </w:p>
        </w:tc>
        <w:tc>
          <w:tcPr>
            <w:tcW w:w="3117" w:type="dxa"/>
            <w:vAlign w:val="bottom"/>
          </w:tcPr>
          <w:p w14:paraId="70CB8080" w14:textId="77777777" w:rsidR="00980919" w:rsidRDefault="00980919" w:rsidP="001515D5">
            <w:r>
              <w:t>705</w:t>
            </w:r>
          </w:p>
        </w:tc>
        <w:tc>
          <w:tcPr>
            <w:tcW w:w="3117" w:type="dxa"/>
            <w:vAlign w:val="bottom"/>
          </w:tcPr>
          <w:p w14:paraId="4A0DB4EC" w14:textId="77777777" w:rsidR="00980919" w:rsidRDefault="00980919" w:rsidP="001515D5">
            <w:r>
              <w:t>617</w:t>
            </w:r>
          </w:p>
        </w:tc>
      </w:tr>
      <w:tr w:rsidR="00980919" w14:paraId="63D292E1" w14:textId="77777777" w:rsidTr="001515D5">
        <w:tc>
          <w:tcPr>
            <w:tcW w:w="3116" w:type="dxa"/>
            <w:vAlign w:val="bottom"/>
          </w:tcPr>
          <w:p w14:paraId="31ADF121" w14:textId="77777777" w:rsidR="00980919" w:rsidRDefault="00980919" w:rsidP="001515D5">
            <w:r>
              <w:t>2/12/22</w:t>
            </w:r>
          </w:p>
        </w:tc>
        <w:tc>
          <w:tcPr>
            <w:tcW w:w="3117" w:type="dxa"/>
            <w:vAlign w:val="bottom"/>
          </w:tcPr>
          <w:p w14:paraId="790845F1" w14:textId="77777777" w:rsidR="00980919" w:rsidRDefault="00980919" w:rsidP="001515D5">
            <w:r>
              <w:t>391</w:t>
            </w:r>
          </w:p>
        </w:tc>
        <w:tc>
          <w:tcPr>
            <w:tcW w:w="3117" w:type="dxa"/>
            <w:vAlign w:val="bottom"/>
          </w:tcPr>
          <w:p w14:paraId="4D702F47" w14:textId="77777777" w:rsidR="00980919" w:rsidRDefault="00980919" w:rsidP="001515D5">
            <w:r>
              <w:t>350</w:t>
            </w:r>
          </w:p>
        </w:tc>
      </w:tr>
      <w:tr w:rsidR="00980919" w14:paraId="3386CE07" w14:textId="77777777" w:rsidTr="001515D5">
        <w:tc>
          <w:tcPr>
            <w:tcW w:w="3116" w:type="dxa"/>
            <w:vAlign w:val="bottom"/>
          </w:tcPr>
          <w:p w14:paraId="2059A4A5" w14:textId="77777777" w:rsidR="00980919" w:rsidRDefault="00980919" w:rsidP="001515D5">
            <w:r>
              <w:t>2/19/22</w:t>
            </w:r>
          </w:p>
        </w:tc>
        <w:tc>
          <w:tcPr>
            <w:tcW w:w="3117" w:type="dxa"/>
            <w:vAlign w:val="bottom"/>
          </w:tcPr>
          <w:p w14:paraId="2A0E1ECA" w14:textId="77777777" w:rsidR="00980919" w:rsidRDefault="00980919" w:rsidP="001515D5">
            <w:r>
              <w:t>205</w:t>
            </w:r>
          </w:p>
        </w:tc>
        <w:tc>
          <w:tcPr>
            <w:tcW w:w="3117" w:type="dxa"/>
            <w:vAlign w:val="bottom"/>
          </w:tcPr>
          <w:p w14:paraId="7AC004D8" w14:textId="77777777" w:rsidR="00980919" w:rsidRDefault="00980919" w:rsidP="001515D5">
            <w:r>
              <w:t>187</w:t>
            </w:r>
          </w:p>
        </w:tc>
      </w:tr>
      <w:tr w:rsidR="00980919" w14:paraId="2401A872" w14:textId="77777777" w:rsidTr="001515D5">
        <w:tc>
          <w:tcPr>
            <w:tcW w:w="3116" w:type="dxa"/>
            <w:vAlign w:val="bottom"/>
          </w:tcPr>
          <w:p w14:paraId="559AAA40" w14:textId="77777777" w:rsidR="00980919" w:rsidRDefault="00980919" w:rsidP="001515D5">
            <w:r>
              <w:t>2/26/22</w:t>
            </w:r>
          </w:p>
        </w:tc>
        <w:tc>
          <w:tcPr>
            <w:tcW w:w="3117" w:type="dxa"/>
            <w:vAlign w:val="bottom"/>
          </w:tcPr>
          <w:p w14:paraId="29822C92" w14:textId="77777777" w:rsidR="00980919" w:rsidRDefault="00980919" w:rsidP="001515D5">
            <w:r>
              <w:t>111</w:t>
            </w:r>
          </w:p>
        </w:tc>
        <w:tc>
          <w:tcPr>
            <w:tcW w:w="3117" w:type="dxa"/>
            <w:vAlign w:val="bottom"/>
          </w:tcPr>
          <w:p w14:paraId="01F4B648" w14:textId="77777777" w:rsidR="00980919" w:rsidRDefault="00980919" w:rsidP="001515D5">
            <w:r>
              <w:t>93</w:t>
            </w:r>
          </w:p>
        </w:tc>
      </w:tr>
      <w:tr w:rsidR="00980919" w14:paraId="4C66445C" w14:textId="77777777" w:rsidTr="001515D5">
        <w:tc>
          <w:tcPr>
            <w:tcW w:w="3116" w:type="dxa"/>
            <w:vAlign w:val="bottom"/>
          </w:tcPr>
          <w:p w14:paraId="6EA7F169" w14:textId="77777777" w:rsidR="00980919" w:rsidRDefault="00980919" w:rsidP="001515D5">
            <w:r>
              <w:t>3/5/22</w:t>
            </w:r>
          </w:p>
        </w:tc>
        <w:tc>
          <w:tcPr>
            <w:tcW w:w="3117" w:type="dxa"/>
            <w:vAlign w:val="bottom"/>
          </w:tcPr>
          <w:p w14:paraId="3BE52B60" w14:textId="77777777" w:rsidR="00980919" w:rsidRDefault="00980919" w:rsidP="001515D5">
            <w:r>
              <w:t>46</w:t>
            </w:r>
          </w:p>
        </w:tc>
        <w:tc>
          <w:tcPr>
            <w:tcW w:w="3117" w:type="dxa"/>
            <w:vAlign w:val="bottom"/>
          </w:tcPr>
          <w:p w14:paraId="61BDE0CF" w14:textId="77777777" w:rsidR="00980919" w:rsidRDefault="00980919" w:rsidP="001515D5">
            <w:r>
              <w:t>40</w:t>
            </w:r>
          </w:p>
        </w:tc>
      </w:tr>
      <w:tr w:rsidR="00980919" w14:paraId="5006870F" w14:textId="77777777" w:rsidTr="001515D5">
        <w:tc>
          <w:tcPr>
            <w:tcW w:w="3116" w:type="dxa"/>
            <w:vAlign w:val="bottom"/>
          </w:tcPr>
          <w:p w14:paraId="0A594B20" w14:textId="77777777" w:rsidR="00980919" w:rsidRDefault="00980919" w:rsidP="001515D5">
            <w:r>
              <w:t>3/12/22</w:t>
            </w:r>
          </w:p>
        </w:tc>
        <w:tc>
          <w:tcPr>
            <w:tcW w:w="3117" w:type="dxa"/>
            <w:vAlign w:val="bottom"/>
          </w:tcPr>
          <w:p w14:paraId="1EA3CBF7" w14:textId="77777777" w:rsidR="00980919" w:rsidRDefault="00980919" w:rsidP="001515D5">
            <w:r>
              <w:t>29</w:t>
            </w:r>
          </w:p>
        </w:tc>
        <w:tc>
          <w:tcPr>
            <w:tcW w:w="3117" w:type="dxa"/>
            <w:vAlign w:val="bottom"/>
          </w:tcPr>
          <w:p w14:paraId="0CD48532" w14:textId="77777777" w:rsidR="00980919" w:rsidRDefault="00980919" w:rsidP="001515D5">
            <w:r>
              <w:t>26</w:t>
            </w:r>
          </w:p>
        </w:tc>
      </w:tr>
      <w:tr w:rsidR="00980919" w14:paraId="21C6955D" w14:textId="77777777" w:rsidTr="001515D5">
        <w:tc>
          <w:tcPr>
            <w:tcW w:w="3116" w:type="dxa"/>
            <w:vAlign w:val="bottom"/>
          </w:tcPr>
          <w:p w14:paraId="2578379F" w14:textId="77777777" w:rsidR="00980919" w:rsidRDefault="00980919" w:rsidP="001515D5">
            <w:r>
              <w:t>3/19/22</w:t>
            </w:r>
          </w:p>
        </w:tc>
        <w:tc>
          <w:tcPr>
            <w:tcW w:w="3117" w:type="dxa"/>
            <w:vAlign w:val="bottom"/>
          </w:tcPr>
          <w:p w14:paraId="0FFA9B31" w14:textId="77777777" w:rsidR="00980919" w:rsidRDefault="00980919" w:rsidP="001515D5">
            <w:r>
              <w:t>20</w:t>
            </w:r>
          </w:p>
        </w:tc>
        <w:tc>
          <w:tcPr>
            <w:tcW w:w="3117" w:type="dxa"/>
            <w:vAlign w:val="bottom"/>
          </w:tcPr>
          <w:p w14:paraId="1C2064C5" w14:textId="77777777" w:rsidR="00980919" w:rsidRDefault="00980919" w:rsidP="001515D5">
            <w:r>
              <w:t>18</w:t>
            </w:r>
          </w:p>
        </w:tc>
      </w:tr>
      <w:tr w:rsidR="00980919" w14:paraId="24CA43A4" w14:textId="77777777" w:rsidTr="001515D5">
        <w:tc>
          <w:tcPr>
            <w:tcW w:w="3116" w:type="dxa"/>
            <w:vAlign w:val="bottom"/>
          </w:tcPr>
          <w:p w14:paraId="5A5CC250" w14:textId="77777777" w:rsidR="00980919" w:rsidRDefault="00980919" w:rsidP="001515D5">
            <w:r>
              <w:t>3/26/22</w:t>
            </w:r>
          </w:p>
        </w:tc>
        <w:tc>
          <w:tcPr>
            <w:tcW w:w="3117" w:type="dxa"/>
            <w:vAlign w:val="bottom"/>
          </w:tcPr>
          <w:p w14:paraId="33975360" w14:textId="77777777" w:rsidR="00980919" w:rsidRDefault="00980919" w:rsidP="001515D5">
            <w:r>
              <w:t>23</w:t>
            </w:r>
          </w:p>
        </w:tc>
        <w:tc>
          <w:tcPr>
            <w:tcW w:w="3117" w:type="dxa"/>
            <w:vAlign w:val="bottom"/>
          </w:tcPr>
          <w:p w14:paraId="4F665B52" w14:textId="77777777" w:rsidR="00980919" w:rsidRDefault="00980919" w:rsidP="001515D5">
            <w:r>
              <w:t>19</w:t>
            </w:r>
          </w:p>
        </w:tc>
      </w:tr>
      <w:tr w:rsidR="00980919" w14:paraId="210563E7" w14:textId="77777777" w:rsidTr="001515D5">
        <w:tc>
          <w:tcPr>
            <w:tcW w:w="3116" w:type="dxa"/>
            <w:vAlign w:val="bottom"/>
          </w:tcPr>
          <w:p w14:paraId="7E919ECD" w14:textId="77777777" w:rsidR="00980919" w:rsidRDefault="00980919" w:rsidP="001515D5">
            <w:r>
              <w:t>4/2/22</w:t>
            </w:r>
          </w:p>
        </w:tc>
        <w:tc>
          <w:tcPr>
            <w:tcW w:w="3117" w:type="dxa"/>
            <w:vAlign w:val="bottom"/>
          </w:tcPr>
          <w:p w14:paraId="33860F77" w14:textId="77777777" w:rsidR="00980919" w:rsidRDefault="00980919" w:rsidP="001515D5">
            <w:r>
              <w:t>20</w:t>
            </w:r>
          </w:p>
        </w:tc>
        <w:tc>
          <w:tcPr>
            <w:tcW w:w="3117" w:type="dxa"/>
            <w:vAlign w:val="bottom"/>
          </w:tcPr>
          <w:p w14:paraId="390C1EC6" w14:textId="77777777" w:rsidR="00980919" w:rsidRDefault="00980919" w:rsidP="001515D5">
            <w:r>
              <w:t>17</w:t>
            </w:r>
          </w:p>
        </w:tc>
      </w:tr>
      <w:tr w:rsidR="00980919" w14:paraId="5F4537C9" w14:textId="77777777" w:rsidTr="001515D5">
        <w:tc>
          <w:tcPr>
            <w:tcW w:w="3116" w:type="dxa"/>
            <w:vAlign w:val="bottom"/>
          </w:tcPr>
          <w:p w14:paraId="66D663D1" w14:textId="77777777" w:rsidR="00980919" w:rsidRDefault="00980919" w:rsidP="001515D5">
            <w:r>
              <w:t>4/9/22</w:t>
            </w:r>
          </w:p>
        </w:tc>
        <w:tc>
          <w:tcPr>
            <w:tcW w:w="3117" w:type="dxa"/>
            <w:vAlign w:val="bottom"/>
          </w:tcPr>
          <w:p w14:paraId="49C02D08" w14:textId="77777777" w:rsidR="00980919" w:rsidRDefault="00980919" w:rsidP="001515D5">
            <w:r>
              <w:t>22</w:t>
            </w:r>
          </w:p>
        </w:tc>
        <w:tc>
          <w:tcPr>
            <w:tcW w:w="3117" w:type="dxa"/>
            <w:vAlign w:val="bottom"/>
          </w:tcPr>
          <w:p w14:paraId="6C8C5928" w14:textId="77777777" w:rsidR="00980919" w:rsidRDefault="00980919" w:rsidP="001515D5">
            <w:r>
              <w:t>18</w:t>
            </w:r>
          </w:p>
        </w:tc>
      </w:tr>
      <w:tr w:rsidR="00980919" w14:paraId="19C4828D" w14:textId="77777777" w:rsidTr="001515D5">
        <w:tc>
          <w:tcPr>
            <w:tcW w:w="3116" w:type="dxa"/>
            <w:vAlign w:val="bottom"/>
          </w:tcPr>
          <w:p w14:paraId="7D79F534" w14:textId="77777777" w:rsidR="00980919" w:rsidRDefault="00980919" w:rsidP="001515D5">
            <w:r>
              <w:t>4/16/22</w:t>
            </w:r>
          </w:p>
        </w:tc>
        <w:tc>
          <w:tcPr>
            <w:tcW w:w="3117" w:type="dxa"/>
            <w:vAlign w:val="bottom"/>
          </w:tcPr>
          <w:p w14:paraId="4AC0CE44" w14:textId="77777777" w:rsidR="00980919" w:rsidRDefault="00980919" w:rsidP="001515D5">
            <w:r>
              <w:t>34</w:t>
            </w:r>
          </w:p>
        </w:tc>
        <w:tc>
          <w:tcPr>
            <w:tcW w:w="3117" w:type="dxa"/>
            <w:vAlign w:val="bottom"/>
          </w:tcPr>
          <w:p w14:paraId="61B5E2A3" w14:textId="77777777" w:rsidR="00980919" w:rsidRDefault="00980919" w:rsidP="001515D5">
            <w:r>
              <w:t>26</w:t>
            </w:r>
          </w:p>
        </w:tc>
      </w:tr>
      <w:tr w:rsidR="00980919" w14:paraId="384C3B12" w14:textId="77777777" w:rsidTr="001515D5">
        <w:tc>
          <w:tcPr>
            <w:tcW w:w="3116" w:type="dxa"/>
            <w:vAlign w:val="bottom"/>
          </w:tcPr>
          <w:p w14:paraId="22D10DF4" w14:textId="77777777" w:rsidR="00980919" w:rsidRDefault="00980919" w:rsidP="001515D5">
            <w:r>
              <w:t>4/23/22</w:t>
            </w:r>
          </w:p>
        </w:tc>
        <w:tc>
          <w:tcPr>
            <w:tcW w:w="3117" w:type="dxa"/>
            <w:vAlign w:val="bottom"/>
          </w:tcPr>
          <w:p w14:paraId="4910FBFE" w14:textId="77777777" w:rsidR="00980919" w:rsidRDefault="00980919" w:rsidP="001515D5">
            <w:r>
              <w:t>48</w:t>
            </w:r>
          </w:p>
        </w:tc>
        <w:tc>
          <w:tcPr>
            <w:tcW w:w="3117" w:type="dxa"/>
            <w:vAlign w:val="bottom"/>
          </w:tcPr>
          <w:p w14:paraId="2BA01B83" w14:textId="77777777" w:rsidR="00980919" w:rsidRDefault="00980919" w:rsidP="001515D5">
            <w:r>
              <w:t>38</w:t>
            </w:r>
          </w:p>
        </w:tc>
      </w:tr>
      <w:tr w:rsidR="00980919" w14:paraId="4E82DDDC" w14:textId="77777777" w:rsidTr="001515D5">
        <w:tc>
          <w:tcPr>
            <w:tcW w:w="3116" w:type="dxa"/>
            <w:vAlign w:val="bottom"/>
          </w:tcPr>
          <w:p w14:paraId="5F82EA25" w14:textId="77777777" w:rsidR="00980919" w:rsidRDefault="00980919" w:rsidP="001515D5">
            <w:r>
              <w:t>4/30/22</w:t>
            </w:r>
          </w:p>
        </w:tc>
        <w:tc>
          <w:tcPr>
            <w:tcW w:w="3117" w:type="dxa"/>
            <w:vAlign w:val="bottom"/>
          </w:tcPr>
          <w:p w14:paraId="3C5D67A8" w14:textId="77777777" w:rsidR="00980919" w:rsidRDefault="00980919" w:rsidP="001515D5">
            <w:r>
              <w:t>68</w:t>
            </w:r>
          </w:p>
        </w:tc>
        <w:tc>
          <w:tcPr>
            <w:tcW w:w="3117" w:type="dxa"/>
            <w:vAlign w:val="bottom"/>
          </w:tcPr>
          <w:p w14:paraId="665E662E" w14:textId="77777777" w:rsidR="00980919" w:rsidRDefault="00980919" w:rsidP="001515D5">
            <w:r>
              <w:t>53</w:t>
            </w:r>
          </w:p>
        </w:tc>
      </w:tr>
      <w:tr w:rsidR="00980919" w14:paraId="64AC5F1F" w14:textId="77777777" w:rsidTr="001515D5">
        <w:tc>
          <w:tcPr>
            <w:tcW w:w="3116" w:type="dxa"/>
            <w:vAlign w:val="bottom"/>
          </w:tcPr>
          <w:p w14:paraId="0D861106" w14:textId="77777777" w:rsidR="00980919" w:rsidRDefault="00980919" w:rsidP="001515D5">
            <w:r>
              <w:t>5/7/22</w:t>
            </w:r>
          </w:p>
        </w:tc>
        <w:tc>
          <w:tcPr>
            <w:tcW w:w="3117" w:type="dxa"/>
            <w:vAlign w:val="bottom"/>
          </w:tcPr>
          <w:p w14:paraId="6B47CD52" w14:textId="77777777" w:rsidR="00980919" w:rsidRDefault="00980919" w:rsidP="001515D5">
            <w:r>
              <w:t>99</w:t>
            </w:r>
          </w:p>
        </w:tc>
        <w:tc>
          <w:tcPr>
            <w:tcW w:w="3117" w:type="dxa"/>
            <w:vAlign w:val="bottom"/>
          </w:tcPr>
          <w:p w14:paraId="3C9CC132" w14:textId="77777777" w:rsidR="00980919" w:rsidRDefault="00980919" w:rsidP="001515D5">
            <w:r>
              <w:t>80</w:t>
            </w:r>
          </w:p>
        </w:tc>
      </w:tr>
      <w:tr w:rsidR="00980919" w14:paraId="5D5D93C4" w14:textId="77777777" w:rsidTr="001515D5">
        <w:tc>
          <w:tcPr>
            <w:tcW w:w="3116" w:type="dxa"/>
            <w:vAlign w:val="bottom"/>
          </w:tcPr>
          <w:p w14:paraId="43CA1ECC" w14:textId="77777777" w:rsidR="00980919" w:rsidRDefault="00980919" w:rsidP="001515D5">
            <w:r>
              <w:t>5/14/22</w:t>
            </w:r>
          </w:p>
        </w:tc>
        <w:tc>
          <w:tcPr>
            <w:tcW w:w="3117" w:type="dxa"/>
            <w:vAlign w:val="bottom"/>
          </w:tcPr>
          <w:p w14:paraId="3C0C5F96" w14:textId="77777777" w:rsidR="00980919" w:rsidRDefault="00980919" w:rsidP="001515D5">
            <w:r>
              <w:t>125</w:t>
            </w:r>
          </w:p>
        </w:tc>
        <w:tc>
          <w:tcPr>
            <w:tcW w:w="3117" w:type="dxa"/>
            <w:vAlign w:val="bottom"/>
          </w:tcPr>
          <w:p w14:paraId="41BBD169" w14:textId="77777777" w:rsidR="00980919" w:rsidRDefault="00980919" w:rsidP="001515D5">
            <w:r>
              <w:t>98</w:t>
            </w:r>
          </w:p>
        </w:tc>
      </w:tr>
      <w:tr w:rsidR="00980919" w14:paraId="439C1516" w14:textId="77777777" w:rsidTr="001515D5">
        <w:tc>
          <w:tcPr>
            <w:tcW w:w="3116" w:type="dxa"/>
            <w:vAlign w:val="bottom"/>
          </w:tcPr>
          <w:p w14:paraId="69FAB23F" w14:textId="77777777" w:rsidR="00980919" w:rsidRDefault="00980919" w:rsidP="001515D5">
            <w:r>
              <w:t>5/21/22</w:t>
            </w:r>
          </w:p>
        </w:tc>
        <w:tc>
          <w:tcPr>
            <w:tcW w:w="3117" w:type="dxa"/>
            <w:vAlign w:val="bottom"/>
          </w:tcPr>
          <w:p w14:paraId="5195183E" w14:textId="77777777" w:rsidR="00980919" w:rsidRDefault="00980919" w:rsidP="001515D5">
            <w:r>
              <w:t>169</w:t>
            </w:r>
          </w:p>
        </w:tc>
        <w:tc>
          <w:tcPr>
            <w:tcW w:w="3117" w:type="dxa"/>
            <w:vAlign w:val="bottom"/>
          </w:tcPr>
          <w:p w14:paraId="5FCFD7F1" w14:textId="77777777" w:rsidR="00980919" w:rsidRDefault="00980919" w:rsidP="001515D5">
            <w:r>
              <w:t>134</w:t>
            </w:r>
          </w:p>
        </w:tc>
      </w:tr>
      <w:tr w:rsidR="00980919" w14:paraId="6B43D79F" w14:textId="77777777" w:rsidTr="001515D5">
        <w:tc>
          <w:tcPr>
            <w:tcW w:w="3116" w:type="dxa"/>
            <w:vAlign w:val="bottom"/>
          </w:tcPr>
          <w:p w14:paraId="55E1D358" w14:textId="77777777" w:rsidR="00980919" w:rsidRDefault="00980919" w:rsidP="001515D5">
            <w:r>
              <w:t>5/28/22</w:t>
            </w:r>
          </w:p>
        </w:tc>
        <w:tc>
          <w:tcPr>
            <w:tcW w:w="3117" w:type="dxa"/>
            <w:vAlign w:val="bottom"/>
          </w:tcPr>
          <w:p w14:paraId="5375B574" w14:textId="77777777" w:rsidR="00980919" w:rsidRDefault="00980919" w:rsidP="001515D5">
            <w:r>
              <w:t>199</w:t>
            </w:r>
          </w:p>
        </w:tc>
        <w:tc>
          <w:tcPr>
            <w:tcW w:w="3117" w:type="dxa"/>
            <w:vAlign w:val="bottom"/>
          </w:tcPr>
          <w:p w14:paraId="65BEFEDA" w14:textId="77777777" w:rsidR="00980919" w:rsidRDefault="00980919" w:rsidP="001515D5">
            <w:r>
              <w:t>155</w:t>
            </w:r>
          </w:p>
        </w:tc>
      </w:tr>
      <w:tr w:rsidR="00980919" w14:paraId="108B060A" w14:textId="77777777" w:rsidTr="001515D5">
        <w:tc>
          <w:tcPr>
            <w:tcW w:w="3116" w:type="dxa"/>
            <w:vAlign w:val="bottom"/>
          </w:tcPr>
          <w:p w14:paraId="24B3D437" w14:textId="77777777" w:rsidR="00980919" w:rsidRDefault="00980919" w:rsidP="001515D5">
            <w:r>
              <w:t>6/4/22</w:t>
            </w:r>
          </w:p>
        </w:tc>
        <w:tc>
          <w:tcPr>
            <w:tcW w:w="3117" w:type="dxa"/>
            <w:vAlign w:val="bottom"/>
          </w:tcPr>
          <w:p w14:paraId="21E11993" w14:textId="77777777" w:rsidR="00980919" w:rsidRDefault="00980919" w:rsidP="001515D5">
            <w:r>
              <w:t>200</w:t>
            </w:r>
          </w:p>
        </w:tc>
        <w:tc>
          <w:tcPr>
            <w:tcW w:w="3117" w:type="dxa"/>
            <w:vAlign w:val="bottom"/>
          </w:tcPr>
          <w:p w14:paraId="539EDCD7" w14:textId="77777777" w:rsidR="00980919" w:rsidRDefault="00980919" w:rsidP="001515D5">
            <w:r>
              <w:t>154</w:t>
            </w:r>
          </w:p>
        </w:tc>
      </w:tr>
      <w:tr w:rsidR="00980919" w14:paraId="4114DB1F" w14:textId="77777777" w:rsidTr="001515D5">
        <w:tc>
          <w:tcPr>
            <w:tcW w:w="3116" w:type="dxa"/>
            <w:vAlign w:val="bottom"/>
          </w:tcPr>
          <w:p w14:paraId="4073709E" w14:textId="77777777" w:rsidR="00980919" w:rsidRDefault="00980919" w:rsidP="001515D5">
            <w:r>
              <w:t>6/11/22</w:t>
            </w:r>
          </w:p>
        </w:tc>
        <w:tc>
          <w:tcPr>
            <w:tcW w:w="3117" w:type="dxa"/>
            <w:vAlign w:val="bottom"/>
          </w:tcPr>
          <w:p w14:paraId="27B44613" w14:textId="77777777" w:rsidR="00980919" w:rsidRDefault="00980919" w:rsidP="001515D5">
            <w:r>
              <w:t>221</w:t>
            </w:r>
          </w:p>
        </w:tc>
        <w:tc>
          <w:tcPr>
            <w:tcW w:w="3117" w:type="dxa"/>
            <w:vAlign w:val="bottom"/>
          </w:tcPr>
          <w:p w14:paraId="49F1173A" w14:textId="77777777" w:rsidR="00980919" w:rsidRDefault="00980919" w:rsidP="001515D5">
            <w:r>
              <w:t>178</w:t>
            </w:r>
          </w:p>
        </w:tc>
      </w:tr>
      <w:tr w:rsidR="00980919" w14:paraId="7A0B9BC8" w14:textId="77777777" w:rsidTr="001515D5">
        <w:tc>
          <w:tcPr>
            <w:tcW w:w="3116" w:type="dxa"/>
            <w:vAlign w:val="bottom"/>
          </w:tcPr>
          <w:p w14:paraId="5826FFF0" w14:textId="77777777" w:rsidR="00980919" w:rsidRDefault="00980919" w:rsidP="001515D5">
            <w:r>
              <w:t>6/18/22</w:t>
            </w:r>
          </w:p>
        </w:tc>
        <w:tc>
          <w:tcPr>
            <w:tcW w:w="3117" w:type="dxa"/>
            <w:vAlign w:val="bottom"/>
          </w:tcPr>
          <w:p w14:paraId="6B35858F" w14:textId="77777777" w:rsidR="00980919" w:rsidRDefault="00980919" w:rsidP="001515D5">
            <w:r>
              <w:t>218</w:t>
            </w:r>
          </w:p>
        </w:tc>
        <w:tc>
          <w:tcPr>
            <w:tcW w:w="3117" w:type="dxa"/>
            <w:vAlign w:val="bottom"/>
          </w:tcPr>
          <w:p w14:paraId="7F51A3F3" w14:textId="77777777" w:rsidR="00980919" w:rsidRDefault="00980919" w:rsidP="001515D5">
            <w:r>
              <w:t>171</w:t>
            </w:r>
          </w:p>
        </w:tc>
      </w:tr>
      <w:tr w:rsidR="00980919" w14:paraId="607E6B2A" w14:textId="77777777" w:rsidTr="001515D5">
        <w:tc>
          <w:tcPr>
            <w:tcW w:w="3116" w:type="dxa"/>
            <w:vAlign w:val="bottom"/>
          </w:tcPr>
          <w:p w14:paraId="2A644743" w14:textId="77777777" w:rsidR="00980919" w:rsidRDefault="00980919" w:rsidP="001515D5">
            <w:r>
              <w:t>6/25/22</w:t>
            </w:r>
          </w:p>
        </w:tc>
        <w:tc>
          <w:tcPr>
            <w:tcW w:w="3117" w:type="dxa"/>
            <w:vAlign w:val="bottom"/>
          </w:tcPr>
          <w:p w14:paraId="640E95B4" w14:textId="77777777" w:rsidR="00980919" w:rsidRDefault="00980919" w:rsidP="001515D5">
            <w:r>
              <w:t>231</w:t>
            </w:r>
          </w:p>
        </w:tc>
        <w:tc>
          <w:tcPr>
            <w:tcW w:w="3117" w:type="dxa"/>
            <w:vAlign w:val="bottom"/>
          </w:tcPr>
          <w:p w14:paraId="1E91F55B" w14:textId="77777777" w:rsidR="00980919" w:rsidRDefault="00980919" w:rsidP="001515D5">
            <w:r>
              <w:t>187</w:t>
            </w:r>
          </w:p>
        </w:tc>
      </w:tr>
      <w:tr w:rsidR="00980919" w14:paraId="12F12F19" w14:textId="77777777" w:rsidTr="001515D5">
        <w:tc>
          <w:tcPr>
            <w:tcW w:w="3116" w:type="dxa"/>
            <w:vAlign w:val="bottom"/>
          </w:tcPr>
          <w:p w14:paraId="6CE2128E" w14:textId="77777777" w:rsidR="00980919" w:rsidRDefault="00980919" w:rsidP="001515D5">
            <w:r>
              <w:t>7/2/22</w:t>
            </w:r>
          </w:p>
        </w:tc>
        <w:tc>
          <w:tcPr>
            <w:tcW w:w="3117" w:type="dxa"/>
            <w:vAlign w:val="bottom"/>
          </w:tcPr>
          <w:p w14:paraId="37EECBCB" w14:textId="77777777" w:rsidR="00980919" w:rsidRDefault="00980919" w:rsidP="001515D5">
            <w:r>
              <w:t>255</w:t>
            </w:r>
          </w:p>
        </w:tc>
        <w:tc>
          <w:tcPr>
            <w:tcW w:w="3117" w:type="dxa"/>
            <w:vAlign w:val="bottom"/>
          </w:tcPr>
          <w:p w14:paraId="5F0D0E79" w14:textId="77777777" w:rsidR="00980919" w:rsidRDefault="00980919" w:rsidP="001515D5">
            <w:r>
              <w:t>204</w:t>
            </w:r>
          </w:p>
        </w:tc>
      </w:tr>
      <w:tr w:rsidR="00980919" w14:paraId="7475DB85" w14:textId="77777777" w:rsidTr="001515D5">
        <w:tc>
          <w:tcPr>
            <w:tcW w:w="3116" w:type="dxa"/>
            <w:vAlign w:val="bottom"/>
          </w:tcPr>
          <w:p w14:paraId="49A87E37" w14:textId="77777777" w:rsidR="00980919" w:rsidRDefault="00980919" w:rsidP="001515D5">
            <w:r>
              <w:t>7/9/22</w:t>
            </w:r>
          </w:p>
        </w:tc>
        <w:tc>
          <w:tcPr>
            <w:tcW w:w="3117" w:type="dxa"/>
            <w:vAlign w:val="bottom"/>
          </w:tcPr>
          <w:p w14:paraId="5FFEDD4B" w14:textId="77777777" w:rsidR="00980919" w:rsidRDefault="00980919" w:rsidP="001515D5">
            <w:r>
              <w:t>286</w:t>
            </w:r>
          </w:p>
        </w:tc>
        <w:tc>
          <w:tcPr>
            <w:tcW w:w="3117" w:type="dxa"/>
            <w:vAlign w:val="bottom"/>
          </w:tcPr>
          <w:p w14:paraId="4F7C73DE" w14:textId="77777777" w:rsidR="00980919" w:rsidRDefault="00980919" w:rsidP="001515D5">
            <w:r>
              <w:t>225</w:t>
            </w:r>
          </w:p>
        </w:tc>
      </w:tr>
      <w:tr w:rsidR="00980919" w14:paraId="46C07A90" w14:textId="77777777" w:rsidTr="001515D5">
        <w:tc>
          <w:tcPr>
            <w:tcW w:w="3116" w:type="dxa"/>
            <w:vAlign w:val="bottom"/>
          </w:tcPr>
          <w:p w14:paraId="68736F48" w14:textId="77777777" w:rsidR="00980919" w:rsidRDefault="00980919" w:rsidP="001515D5">
            <w:r>
              <w:t>7/16/22</w:t>
            </w:r>
          </w:p>
        </w:tc>
        <w:tc>
          <w:tcPr>
            <w:tcW w:w="3117" w:type="dxa"/>
            <w:vAlign w:val="bottom"/>
          </w:tcPr>
          <w:p w14:paraId="2F8101A3" w14:textId="77777777" w:rsidR="00980919" w:rsidRDefault="00980919" w:rsidP="001515D5">
            <w:r>
              <w:t>313</w:t>
            </w:r>
          </w:p>
        </w:tc>
        <w:tc>
          <w:tcPr>
            <w:tcW w:w="3117" w:type="dxa"/>
            <w:vAlign w:val="bottom"/>
          </w:tcPr>
          <w:p w14:paraId="032893F3" w14:textId="77777777" w:rsidR="00980919" w:rsidRDefault="00980919" w:rsidP="001515D5">
            <w:r>
              <w:t>245</w:t>
            </w:r>
          </w:p>
        </w:tc>
      </w:tr>
      <w:tr w:rsidR="00980919" w14:paraId="2288E984" w14:textId="77777777" w:rsidTr="001515D5">
        <w:tc>
          <w:tcPr>
            <w:tcW w:w="3116" w:type="dxa"/>
            <w:vAlign w:val="bottom"/>
          </w:tcPr>
          <w:p w14:paraId="612AC360" w14:textId="77777777" w:rsidR="00980919" w:rsidRDefault="00980919" w:rsidP="001515D5">
            <w:r>
              <w:t>7/23/22</w:t>
            </w:r>
          </w:p>
        </w:tc>
        <w:tc>
          <w:tcPr>
            <w:tcW w:w="3117" w:type="dxa"/>
            <w:vAlign w:val="bottom"/>
          </w:tcPr>
          <w:p w14:paraId="40961B48" w14:textId="77777777" w:rsidR="00980919" w:rsidRDefault="00980919" w:rsidP="001515D5">
            <w:r>
              <w:t>367</w:t>
            </w:r>
          </w:p>
        </w:tc>
        <w:tc>
          <w:tcPr>
            <w:tcW w:w="3117" w:type="dxa"/>
            <w:vAlign w:val="bottom"/>
          </w:tcPr>
          <w:p w14:paraId="59A17817" w14:textId="77777777" w:rsidR="00980919" w:rsidRDefault="00980919" w:rsidP="001515D5">
            <w:r>
              <w:t>294</w:t>
            </w:r>
          </w:p>
        </w:tc>
      </w:tr>
      <w:tr w:rsidR="00980919" w14:paraId="0BC274B8" w14:textId="77777777" w:rsidTr="001515D5">
        <w:tc>
          <w:tcPr>
            <w:tcW w:w="3116" w:type="dxa"/>
            <w:vAlign w:val="bottom"/>
          </w:tcPr>
          <w:p w14:paraId="79733AA7" w14:textId="77777777" w:rsidR="00980919" w:rsidRDefault="00980919" w:rsidP="001515D5">
            <w:r>
              <w:t>7/30/22</w:t>
            </w:r>
          </w:p>
        </w:tc>
        <w:tc>
          <w:tcPr>
            <w:tcW w:w="3117" w:type="dxa"/>
            <w:vAlign w:val="bottom"/>
          </w:tcPr>
          <w:p w14:paraId="549E005E" w14:textId="77777777" w:rsidR="00980919" w:rsidRDefault="00980919" w:rsidP="001515D5">
            <w:r>
              <w:t>315</w:t>
            </w:r>
          </w:p>
        </w:tc>
        <w:tc>
          <w:tcPr>
            <w:tcW w:w="3117" w:type="dxa"/>
            <w:vAlign w:val="bottom"/>
          </w:tcPr>
          <w:p w14:paraId="4C80FEF9" w14:textId="77777777" w:rsidR="00980919" w:rsidRDefault="00980919" w:rsidP="001515D5">
            <w:r>
              <w:t>261</w:t>
            </w:r>
          </w:p>
        </w:tc>
      </w:tr>
      <w:tr w:rsidR="00980919" w14:paraId="4BD23384" w14:textId="77777777" w:rsidTr="001515D5">
        <w:tc>
          <w:tcPr>
            <w:tcW w:w="3116" w:type="dxa"/>
            <w:vAlign w:val="bottom"/>
          </w:tcPr>
          <w:p w14:paraId="3E047DA7" w14:textId="77777777" w:rsidR="00980919" w:rsidRDefault="00980919" w:rsidP="001515D5">
            <w:r>
              <w:t>8/6/22</w:t>
            </w:r>
          </w:p>
        </w:tc>
        <w:tc>
          <w:tcPr>
            <w:tcW w:w="3117" w:type="dxa"/>
            <w:vAlign w:val="bottom"/>
          </w:tcPr>
          <w:p w14:paraId="4D553C18" w14:textId="77777777" w:rsidR="00980919" w:rsidRDefault="00980919" w:rsidP="001515D5">
            <w:r>
              <w:t>343</w:t>
            </w:r>
          </w:p>
        </w:tc>
        <w:tc>
          <w:tcPr>
            <w:tcW w:w="3117" w:type="dxa"/>
            <w:vAlign w:val="bottom"/>
          </w:tcPr>
          <w:p w14:paraId="59EF490C" w14:textId="77777777" w:rsidR="00980919" w:rsidRDefault="00980919" w:rsidP="001515D5">
            <w:r>
              <w:t>281</w:t>
            </w:r>
          </w:p>
        </w:tc>
      </w:tr>
      <w:tr w:rsidR="00980919" w14:paraId="3DE87A4B" w14:textId="77777777" w:rsidTr="001515D5">
        <w:tc>
          <w:tcPr>
            <w:tcW w:w="3116" w:type="dxa"/>
            <w:vAlign w:val="bottom"/>
          </w:tcPr>
          <w:p w14:paraId="5A0F26D8" w14:textId="77777777" w:rsidR="00980919" w:rsidRDefault="00980919" w:rsidP="001515D5">
            <w:r>
              <w:t>8/13/22</w:t>
            </w:r>
          </w:p>
        </w:tc>
        <w:tc>
          <w:tcPr>
            <w:tcW w:w="3117" w:type="dxa"/>
            <w:vAlign w:val="bottom"/>
          </w:tcPr>
          <w:p w14:paraId="125208C9" w14:textId="77777777" w:rsidR="00980919" w:rsidRDefault="00980919" w:rsidP="001515D5">
            <w:r>
              <w:t>269</w:t>
            </w:r>
          </w:p>
        </w:tc>
        <w:tc>
          <w:tcPr>
            <w:tcW w:w="3117" w:type="dxa"/>
            <w:vAlign w:val="bottom"/>
          </w:tcPr>
          <w:p w14:paraId="7027B21A" w14:textId="77777777" w:rsidR="00980919" w:rsidRDefault="00980919" w:rsidP="001515D5">
            <w:r>
              <w:t>226</w:t>
            </w:r>
          </w:p>
        </w:tc>
      </w:tr>
      <w:tr w:rsidR="00980919" w14:paraId="33AD9B0F" w14:textId="77777777" w:rsidTr="001515D5">
        <w:tc>
          <w:tcPr>
            <w:tcW w:w="3116" w:type="dxa"/>
            <w:vAlign w:val="bottom"/>
          </w:tcPr>
          <w:p w14:paraId="1AA869D6" w14:textId="77777777" w:rsidR="00980919" w:rsidRDefault="00980919" w:rsidP="001515D5">
            <w:r>
              <w:t>8/20/22</w:t>
            </w:r>
          </w:p>
        </w:tc>
        <w:tc>
          <w:tcPr>
            <w:tcW w:w="3117" w:type="dxa"/>
            <w:vAlign w:val="bottom"/>
          </w:tcPr>
          <w:p w14:paraId="49F1015F" w14:textId="77777777" w:rsidR="00980919" w:rsidRDefault="00980919" w:rsidP="001515D5">
            <w:r>
              <w:t>217</w:t>
            </w:r>
          </w:p>
        </w:tc>
        <w:tc>
          <w:tcPr>
            <w:tcW w:w="3117" w:type="dxa"/>
            <w:vAlign w:val="bottom"/>
          </w:tcPr>
          <w:p w14:paraId="3DCE700E" w14:textId="77777777" w:rsidR="00980919" w:rsidRDefault="00980919" w:rsidP="001515D5">
            <w:r>
              <w:t>181</w:t>
            </w:r>
          </w:p>
        </w:tc>
      </w:tr>
      <w:tr w:rsidR="00980919" w14:paraId="01CB5772" w14:textId="77777777" w:rsidTr="001515D5">
        <w:tc>
          <w:tcPr>
            <w:tcW w:w="3116" w:type="dxa"/>
            <w:vAlign w:val="bottom"/>
          </w:tcPr>
          <w:p w14:paraId="26225D5A" w14:textId="77777777" w:rsidR="00980919" w:rsidRDefault="00980919" w:rsidP="001515D5">
            <w:r>
              <w:t>8/27/22</w:t>
            </w:r>
          </w:p>
        </w:tc>
        <w:tc>
          <w:tcPr>
            <w:tcW w:w="3117" w:type="dxa"/>
            <w:vAlign w:val="bottom"/>
          </w:tcPr>
          <w:p w14:paraId="0F640371" w14:textId="77777777" w:rsidR="00980919" w:rsidRDefault="00980919" w:rsidP="001515D5">
            <w:r>
              <w:t>273</w:t>
            </w:r>
          </w:p>
        </w:tc>
        <w:tc>
          <w:tcPr>
            <w:tcW w:w="3117" w:type="dxa"/>
            <w:vAlign w:val="bottom"/>
          </w:tcPr>
          <w:p w14:paraId="0AE4ACF1" w14:textId="77777777" w:rsidR="00980919" w:rsidRDefault="00980919" w:rsidP="001515D5">
            <w:r>
              <w:t>230</w:t>
            </w:r>
          </w:p>
        </w:tc>
      </w:tr>
      <w:tr w:rsidR="00980919" w14:paraId="4C708B21" w14:textId="77777777" w:rsidTr="001515D5">
        <w:tc>
          <w:tcPr>
            <w:tcW w:w="3116" w:type="dxa"/>
            <w:vAlign w:val="bottom"/>
          </w:tcPr>
          <w:p w14:paraId="70E6653C" w14:textId="77777777" w:rsidR="00980919" w:rsidRDefault="00980919" w:rsidP="001515D5">
            <w:r>
              <w:t>9/3/22</w:t>
            </w:r>
          </w:p>
        </w:tc>
        <w:tc>
          <w:tcPr>
            <w:tcW w:w="3117" w:type="dxa"/>
            <w:vAlign w:val="bottom"/>
          </w:tcPr>
          <w:p w14:paraId="51C6B12C" w14:textId="77777777" w:rsidR="00980919" w:rsidRDefault="00980919" w:rsidP="001515D5">
            <w:r>
              <w:t>260</w:t>
            </w:r>
          </w:p>
        </w:tc>
        <w:tc>
          <w:tcPr>
            <w:tcW w:w="3117" w:type="dxa"/>
            <w:vAlign w:val="bottom"/>
          </w:tcPr>
          <w:p w14:paraId="4E87D7D9" w14:textId="77777777" w:rsidR="00980919" w:rsidRDefault="00980919" w:rsidP="001515D5">
            <w:r>
              <w:t>219</w:t>
            </w:r>
          </w:p>
        </w:tc>
      </w:tr>
      <w:tr w:rsidR="00980919" w14:paraId="7CFFDD18" w14:textId="77777777" w:rsidTr="001515D5">
        <w:tc>
          <w:tcPr>
            <w:tcW w:w="3116" w:type="dxa"/>
            <w:vAlign w:val="bottom"/>
          </w:tcPr>
          <w:p w14:paraId="14964F07" w14:textId="77777777" w:rsidR="00980919" w:rsidRDefault="00980919" w:rsidP="001515D5">
            <w:r>
              <w:t>9/10/22</w:t>
            </w:r>
          </w:p>
        </w:tc>
        <w:tc>
          <w:tcPr>
            <w:tcW w:w="3117" w:type="dxa"/>
            <w:vAlign w:val="bottom"/>
          </w:tcPr>
          <w:p w14:paraId="65627171" w14:textId="77777777" w:rsidR="00980919" w:rsidRDefault="00980919" w:rsidP="001515D5">
            <w:r>
              <w:t>183</w:t>
            </w:r>
          </w:p>
        </w:tc>
        <w:tc>
          <w:tcPr>
            <w:tcW w:w="3117" w:type="dxa"/>
            <w:vAlign w:val="bottom"/>
          </w:tcPr>
          <w:p w14:paraId="0CA6FB35" w14:textId="77777777" w:rsidR="00980919" w:rsidRDefault="00980919" w:rsidP="001515D5">
            <w:r>
              <w:t>143</w:t>
            </w:r>
          </w:p>
        </w:tc>
      </w:tr>
      <w:tr w:rsidR="00980919" w14:paraId="2312DA41" w14:textId="77777777" w:rsidTr="001515D5">
        <w:tc>
          <w:tcPr>
            <w:tcW w:w="3116" w:type="dxa"/>
            <w:vAlign w:val="bottom"/>
          </w:tcPr>
          <w:p w14:paraId="7ED1CE70" w14:textId="77777777" w:rsidR="00980919" w:rsidRDefault="00980919" w:rsidP="001515D5">
            <w:r>
              <w:t>9/17/22</w:t>
            </w:r>
          </w:p>
        </w:tc>
        <w:tc>
          <w:tcPr>
            <w:tcW w:w="3117" w:type="dxa"/>
            <w:vAlign w:val="bottom"/>
          </w:tcPr>
          <w:p w14:paraId="51E98E1B" w14:textId="77777777" w:rsidR="00980919" w:rsidRDefault="00980919" w:rsidP="001515D5">
            <w:r>
              <w:t>128</w:t>
            </w:r>
          </w:p>
        </w:tc>
        <w:tc>
          <w:tcPr>
            <w:tcW w:w="3117" w:type="dxa"/>
            <w:vAlign w:val="bottom"/>
          </w:tcPr>
          <w:p w14:paraId="07FD7F8C" w14:textId="77777777" w:rsidR="00980919" w:rsidRDefault="00980919" w:rsidP="001515D5">
            <w:r>
              <w:t>108</w:t>
            </w:r>
          </w:p>
        </w:tc>
      </w:tr>
    </w:tbl>
    <w:p w14:paraId="254BB287" w14:textId="77777777" w:rsidR="00980919" w:rsidRPr="0090330A" w:rsidRDefault="00980919" w:rsidP="00980919">
      <w:r w:rsidRPr="0090330A">
        <w:lastRenderedPageBreak/>
        <w:t xml:space="preserve">Source: SC DHEC Division of Acute Disease Epidemiology, 2022. </w:t>
      </w:r>
    </w:p>
    <w:p w14:paraId="640CA062" w14:textId="77777777" w:rsidR="00980919" w:rsidRDefault="00980919" w:rsidP="00980919">
      <w:r w:rsidRPr="0090330A">
        <w:t>Notes: Data as of September 17, 2022.</w:t>
      </w:r>
    </w:p>
    <w:p w14:paraId="3E9B9F90" w14:textId="77777777" w:rsidR="00980919" w:rsidRDefault="00980919" w:rsidP="00980919"/>
    <w:p w14:paraId="5371CA68" w14:textId="77777777" w:rsidR="00980919" w:rsidRPr="0090330A" w:rsidRDefault="00980919" w:rsidP="00980919">
      <w:pPr>
        <w:pStyle w:val="Heading4"/>
      </w:pPr>
      <w:bookmarkStart w:id="379" w:name="_Toc154569858"/>
      <w:bookmarkStart w:id="380" w:name="_Toc162267247"/>
      <w:r w:rsidRPr="002F08EB">
        <w:t>Figure 6.</w:t>
      </w:r>
      <w:r>
        <w:t>50</w:t>
      </w:r>
      <w:r w:rsidRPr="002F08EB">
        <w:t xml:space="preserve">: </w:t>
      </w:r>
      <w:r w:rsidRPr="0090330A">
        <w:t xml:space="preserve">COVID-19 Cases, by </w:t>
      </w:r>
      <w:r>
        <w:t>Race i</w:t>
      </w:r>
      <w:r w:rsidRPr="0090330A">
        <w:t>n South Carolina</w:t>
      </w:r>
      <w:r>
        <w:t>.</w:t>
      </w:r>
      <w:bookmarkEnd w:id="379"/>
      <w:bookmarkEnd w:id="380"/>
      <w:r w:rsidRPr="0090330A">
        <w:t xml:space="preserve"> </w:t>
      </w:r>
    </w:p>
    <w:p w14:paraId="4F6EECD2" w14:textId="77777777" w:rsidR="00980919" w:rsidRDefault="00980919" w:rsidP="00980919">
      <w:pPr>
        <w:pStyle w:val="Heading5"/>
      </w:pPr>
      <w:r w:rsidRPr="0090330A">
        <w:t>Rate per 100,000 population</w:t>
      </w:r>
      <w:r>
        <w:t>.</w:t>
      </w:r>
    </w:p>
    <w:tbl>
      <w:tblPr>
        <w:tblStyle w:val="TableGrid"/>
        <w:tblW w:w="0" w:type="auto"/>
        <w:tblLook w:val="04A0" w:firstRow="1" w:lastRow="0" w:firstColumn="1" w:lastColumn="0" w:noHBand="0" w:noVBand="1"/>
      </w:tblPr>
      <w:tblGrid>
        <w:gridCol w:w="3116"/>
        <w:gridCol w:w="3117"/>
        <w:gridCol w:w="3117"/>
      </w:tblGrid>
      <w:tr w:rsidR="00980919" w14:paraId="6195CD73" w14:textId="77777777" w:rsidTr="001515D5">
        <w:tc>
          <w:tcPr>
            <w:tcW w:w="3116" w:type="dxa"/>
            <w:vAlign w:val="bottom"/>
          </w:tcPr>
          <w:p w14:paraId="6D80037C" w14:textId="77777777" w:rsidR="00980919" w:rsidRDefault="00980919" w:rsidP="001515D5">
            <w:r>
              <w:t>Date</w:t>
            </w:r>
          </w:p>
        </w:tc>
        <w:tc>
          <w:tcPr>
            <w:tcW w:w="3117" w:type="dxa"/>
            <w:vAlign w:val="bottom"/>
          </w:tcPr>
          <w:p w14:paraId="6312AC06" w14:textId="77777777" w:rsidR="00980919" w:rsidRDefault="00980919" w:rsidP="001515D5">
            <w:r>
              <w:t>Black</w:t>
            </w:r>
          </w:p>
        </w:tc>
        <w:tc>
          <w:tcPr>
            <w:tcW w:w="3117" w:type="dxa"/>
            <w:vAlign w:val="bottom"/>
          </w:tcPr>
          <w:p w14:paraId="5E5E454F" w14:textId="77777777" w:rsidR="00980919" w:rsidRDefault="00980919" w:rsidP="001515D5">
            <w:r>
              <w:t>White</w:t>
            </w:r>
          </w:p>
        </w:tc>
      </w:tr>
      <w:tr w:rsidR="00980919" w14:paraId="109B9A09" w14:textId="77777777" w:rsidTr="001515D5">
        <w:tc>
          <w:tcPr>
            <w:tcW w:w="3116" w:type="dxa"/>
            <w:vAlign w:val="bottom"/>
          </w:tcPr>
          <w:p w14:paraId="4AF7A83E" w14:textId="77777777" w:rsidR="00980919" w:rsidRDefault="00980919" w:rsidP="001515D5">
            <w:r>
              <w:t>2/1/20</w:t>
            </w:r>
          </w:p>
        </w:tc>
        <w:tc>
          <w:tcPr>
            <w:tcW w:w="3117" w:type="dxa"/>
            <w:vAlign w:val="bottom"/>
          </w:tcPr>
          <w:p w14:paraId="19FE28D8" w14:textId="77777777" w:rsidR="00980919" w:rsidRDefault="00980919" w:rsidP="001515D5">
            <w:r>
              <w:t>0</w:t>
            </w:r>
          </w:p>
        </w:tc>
        <w:tc>
          <w:tcPr>
            <w:tcW w:w="3117" w:type="dxa"/>
            <w:vAlign w:val="bottom"/>
          </w:tcPr>
          <w:p w14:paraId="4671A389" w14:textId="77777777" w:rsidR="00980919" w:rsidRDefault="00980919" w:rsidP="001515D5">
            <w:r>
              <w:t>0</w:t>
            </w:r>
          </w:p>
        </w:tc>
      </w:tr>
      <w:tr w:rsidR="00980919" w14:paraId="4932A611" w14:textId="77777777" w:rsidTr="001515D5">
        <w:tc>
          <w:tcPr>
            <w:tcW w:w="3116" w:type="dxa"/>
            <w:vAlign w:val="bottom"/>
          </w:tcPr>
          <w:p w14:paraId="3C7107E3" w14:textId="77777777" w:rsidR="00980919" w:rsidRDefault="00980919" w:rsidP="001515D5">
            <w:r>
              <w:t>2/29/20</w:t>
            </w:r>
          </w:p>
        </w:tc>
        <w:tc>
          <w:tcPr>
            <w:tcW w:w="3117" w:type="dxa"/>
            <w:vAlign w:val="bottom"/>
          </w:tcPr>
          <w:p w14:paraId="57486748" w14:textId="77777777" w:rsidR="00980919" w:rsidRDefault="00980919" w:rsidP="001515D5">
            <w:r>
              <w:t>0</w:t>
            </w:r>
          </w:p>
        </w:tc>
        <w:tc>
          <w:tcPr>
            <w:tcW w:w="3117" w:type="dxa"/>
            <w:vAlign w:val="bottom"/>
          </w:tcPr>
          <w:p w14:paraId="0FAF0A81" w14:textId="77777777" w:rsidR="00980919" w:rsidRDefault="00980919" w:rsidP="001515D5">
            <w:r>
              <w:t>0</w:t>
            </w:r>
          </w:p>
        </w:tc>
      </w:tr>
      <w:tr w:rsidR="00980919" w14:paraId="69CA6CC4" w14:textId="77777777" w:rsidTr="001515D5">
        <w:tc>
          <w:tcPr>
            <w:tcW w:w="3116" w:type="dxa"/>
            <w:vAlign w:val="bottom"/>
          </w:tcPr>
          <w:p w14:paraId="3719C4A6" w14:textId="77777777" w:rsidR="00980919" w:rsidRDefault="00980919" w:rsidP="001515D5">
            <w:r>
              <w:t>3/7/20</w:t>
            </w:r>
          </w:p>
        </w:tc>
        <w:tc>
          <w:tcPr>
            <w:tcW w:w="3117" w:type="dxa"/>
            <w:vAlign w:val="bottom"/>
          </w:tcPr>
          <w:p w14:paraId="7299F269" w14:textId="77777777" w:rsidR="00980919" w:rsidRDefault="00980919" w:rsidP="001515D5">
            <w:r>
              <w:t>0</w:t>
            </w:r>
          </w:p>
        </w:tc>
        <w:tc>
          <w:tcPr>
            <w:tcW w:w="3117" w:type="dxa"/>
            <w:vAlign w:val="bottom"/>
          </w:tcPr>
          <w:p w14:paraId="16F5ABBF" w14:textId="77777777" w:rsidR="00980919" w:rsidRDefault="00980919" w:rsidP="001515D5">
            <w:r>
              <w:t>0</w:t>
            </w:r>
          </w:p>
        </w:tc>
      </w:tr>
      <w:tr w:rsidR="00980919" w14:paraId="11D1FA09" w14:textId="77777777" w:rsidTr="001515D5">
        <w:tc>
          <w:tcPr>
            <w:tcW w:w="3116" w:type="dxa"/>
            <w:vAlign w:val="bottom"/>
          </w:tcPr>
          <w:p w14:paraId="15BB85C1" w14:textId="77777777" w:rsidR="00980919" w:rsidRDefault="00980919" w:rsidP="001515D5">
            <w:r>
              <w:t>3/14/20</w:t>
            </w:r>
          </w:p>
        </w:tc>
        <w:tc>
          <w:tcPr>
            <w:tcW w:w="3117" w:type="dxa"/>
            <w:vAlign w:val="bottom"/>
          </w:tcPr>
          <w:p w14:paraId="5606FBD4" w14:textId="77777777" w:rsidR="00980919" w:rsidRDefault="00980919" w:rsidP="001515D5">
            <w:r>
              <w:t>0</w:t>
            </w:r>
          </w:p>
        </w:tc>
        <w:tc>
          <w:tcPr>
            <w:tcW w:w="3117" w:type="dxa"/>
            <w:vAlign w:val="bottom"/>
          </w:tcPr>
          <w:p w14:paraId="64F7CF20" w14:textId="77777777" w:rsidR="00980919" w:rsidRDefault="00980919" w:rsidP="001515D5">
            <w:r>
              <w:t>0</w:t>
            </w:r>
          </w:p>
        </w:tc>
      </w:tr>
      <w:tr w:rsidR="00980919" w14:paraId="2696CE29" w14:textId="77777777" w:rsidTr="001515D5">
        <w:tc>
          <w:tcPr>
            <w:tcW w:w="3116" w:type="dxa"/>
            <w:vAlign w:val="bottom"/>
          </w:tcPr>
          <w:p w14:paraId="3F71E4F7" w14:textId="77777777" w:rsidR="00980919" w:rsidRDefault="00980919" w:rsidP="001515D5">
            <w:r>
              <w:t>3/21/20</w:t>
            </w:r>
          </w:p>
        </w:tc>
        <w:tc>
          <w:tcPr>
            <w:tcW w:w="3117" w:type="dxa"/>
            <w:vAlign w:val="bottom"/>
          </w:tcPr>
          <w:p w14:paraId="0F69AC54" w14:textId="77777777" w:rsidR="00980919" w:rsidRDefault="00980919" w:rsidP="001515D5">
            <w:r>
              <w:t>5</w:t>
            </w:r>
          </w:p>
        </w:tc>
        <w:tc>
          <w:tcPr>
            <w:tcW w:w="3117" w:type="dxa"/>
            <w:vAlign w:val="bottom"/>
          </w:tcPr>
          <w:p w14:paraId="6404C8C3" w14:textId="77777777" w:rsidR="00980919" w:rsidRDefault="00980919" w:rsidP="001515D5">
            <w:r>
              <w:t>3</w:t>
            </w:r>
          </w:p>
        </w:tc>
      </w:tr>
      <w:tr w:rsidR="00980919" w14:paraId="7E998BB1" w14:textId="77777777" w:rsidTr="001515D5">
        <w:tc>
          <w:tcPr>
            <w:tcW w:w="3116" w:type="dxa"/>
            <w:vAlign w:val="bottom"/>
          </w:tcPr>
          <w:p w14:paraId="026FD543" w14:textId="77777777" w:rsidR="00980919" w:rsidRDefault="00980919" w:rsidP="001515D5">
            <w:r>
              <w:t>3/28/20</w:t>
            </w:r>
          </w:p>
        </w:tc>
        <w:tc>
          <w:tcPr>
            <w:tcW w:w="3117" w:type="dxa"/>
            <w:vAlign w:val="bottom"/>
          </w:tcPr>
          <w:p w14:paraId="17552111" w14:textId="77777777" w:rsidR="00980919" w:rsidRDefault="00980919" w:rsidP="001515D5">
            <w:r>
              <w:t>12</w:t>
            </w:r>
          </w:p>
        </w:tc>
        <w:tc>
          <w:tcPr>
            <w:tcW w:w="3117" w:type="dxa"/>
            <w:vAlign w:val="bottom"/>
          </w:tcPr>
          <w:p w14:paraId="37E245B9" w14:textId="77777777" w:rsidR="00980919" w:rsidRDefault="00980919" w:rsidP="001515D5">
            <w:r>
              <w:t>9</w:t>
            </w:r>
          </w:p>
        </w:tc>
      </w:tr>
      <w:tr w:rsidR="00980919" w14:paraId="78590F75" w14:textId="77777777" w:rsidTr="001515D5">
        <w:tc>
          <w:tcPr>
            <w:tcW w:w="3116" w:type="dxa"/>
            <w:vAlign w:val="bottom"/>
          </w:tcPr>
          <w:p w14:paraId="6390FC0F" w14:textId="77777777" w:rsidR="00980919" w:rsidRDefault="00980919" w:rsidP="001515D5">
            <w:r>
              <w:t>4/4/20</w:t>
            </w:r>
          </w:p>
        </w:tc>
        <w:tc>
          <w:tcPr>
            <w:tcW w:w="3117" w:type="dxa"/>
            <w:vAlign w:val="bottom"/>
          </w:tcPr>
          <w:p w14:paraId="4C22C7E8" w14:textId="77777777" w:rsidR="00980919" w:rsidRDefault="00980919" w:rsidP="001515D5">
            <w:r>
              <w:t>34</w:t>
            </w:r>
          </w:p>
        </w:tc>
        <w:tc>
          <w:tcPr>
            <w:tcW w:w="3117" w:type="dxa"/>
            <w:vAlign w:val="bottom"/>
          </w:tcPr>
          <w:p w14:paraId="6D5BDDCE" w14:textId="77777777" w:rsidR="00980919" w:rsidRDefault="00980919" w:rsidP="001515D5">
            <w:r>
              <w:t>18</w:t>
            </w:r>
          </w:p>
        </w:tc>
      </w:tr>
      <w:tr w:rsidR="00980919" w14:paraId="29F8CDED" w14:textId="77777777" w:rsidTr="001515D5">
        <w:tc>
          <w:tcPr>
            <w:tcW w:w="3116" w:type="dxa"/>
            <w:vAlign w:val="bottom"/>
          </w:tcPr>
          <w:p w14:paraId="0BB303CD" w14:textId="77777777" w:rsidR="00980919" w:rsidRDefault="00980919" w:rsidP="001515D5">
            <w:r>
              <w:t>4/11/20</w:t>
            </w:r>
          </w:p>
        </w:tc>
        <w:tc>
          <w:tcPr>
            <w:tcW w:w="3117" w:type="dxa"/>
            <w:vAlign w:val="bottom"/>
          </w:tcPr>
          <w:p w14:paraId="6DA59288" w14:textId="77777777" w:rsidR="00980919" w:rsidRDefault="00980919" w:rsidP="001515D5">
            <w:r>
              <w:t>38</w:t>
            </w:r>
          </w:p>
        </w:tc>
        <w:tc>
          <w:tcPr>
            <w:tcW w:w="3117" w:type="dxa"/>
            <w:vAlign w:val="bottom"/>
          </w:tcPr>
          <w:p w14:paraId="03F35B0E" w14:textId="77777777" w:rsidR="00980919" w:rsidRDefault="00980919" w:rsidP="001515D5">
            <w:r>
              <w:t>16</w:t>
            </w:r>
          </w:p>
        </w:tc>
      </w:tr>
      <w:tr w:rsidR="00980919" w14:paraId="087D621B" w14:textId="77777777" w:rsidTr="001515D5">
        <w:tc>
          <w:tcPr>
            <w:tcW w:w="3116" w:type="dxa"/>
            <w:vAlign w:val="bottom"/>
          </w:tcPr>
          <w:p w14:paraId="4900CC85" w14:textId="77777777" w:rsidR="00980919" w:rsidRDefault="00980919" w:rsidP="001515D5">
            <w:r>
              <w:t>4/18/20</w:t>
            </w:r>
          </w:p>
        </w:tc>
        <w:tc>
          <w:tcPr>
            <w:tcW w:w="3117" w:type="dxa"/>
            <w:vAlign w:val="bottom"/>
          </w:tcPr>
          <w:p w14:paraId="3EB2F8D6" w14:textId="77777777" w:rsidR="00980919" w:rsidRDefault="00980919" w:rsidP="001515D5">
            <w:r>
              <w:t>35</w:t>
            </w:r>
          </w:p>
        </w:tc>
        <w:tc>
          <w:tcPr>
            <w:tcW w:w="3117" w:type="dxa"/>
            <w:vAlign w:val="bottom"/>
          </w:tcPr>
          <w:p w14:paraId="73010082" w14:textId="77777777" w:rsidR="00980919" w:rsidRDefault="00980919" w:rsidP="001515D5">
            <w:r>
              <w:t>12</w:t>
            </w:r>
          </w:p>
        </w:tc>
      </w:tr>
      <w:tr w:rsidR="00980919" w14:paraId="431F4AFC" w14:textId="77777777" w:rsidTr="001515D5">
        <w:tc>
          <w:tcPr>
            <w:tcW w:w="3116" w:type="dxa"/>
            <w:vAlign w:val="bottom"/>
          </w:tcPr>
          <w:p w14:paraId="4D29686B" w14:textId="77777777" w:rsidR="00980919" w:rsidRDefault="00980919" w:rsidP="001515D5">
            <w:r>
              <w:t>4/25/20</w:t>
            </w:r>
          </w:p>
        </w:tc>
        <w:tc>
          <w:tcPr>
            <w:tcW w:w="3117" w:type="dxa"/>
            <w:vAlign w:val="bottom"/>
          </w:tcPr>
          <w:p w14:paraId="4897BD11" w14:textId="77777777" w:rsidR="00980919" w:rsidRDefault="00980919" w:rsidP="001515D5">
            <w:r>
              <w:t>40</w:t>
            </w:r>
          </w:p>
        </w:tc>
        <w:tc>
          <w:tcPr>
            <w:tcW w:w="3117" w:type="dxa"/>
            <w:vAlign w:val="bottom"/>
          </w:tcPr>
          <w:p w14:paraId="003D1A1C" w14:textId="77777777" w:rsidR="00980919" w:rsidRDefault="00980919" w:rsidP="001515D5">
            <w:r>
              <w:t>10</w:t>
            </w:r>
          </w:p>
        </w:tc>
      </w:tr>
      <w:tr w:rsidR="00980919" w14:paraId="358FE4DF" w14:textId="77777777" w:rsidTr="001515D5">
        <w:tc>
          <w:tcPr>
            <w:tcW w:w="3116" w:type="dxa"/>
            <w:vAlign w:val="bottom"/>
          </w:tcPr>
          <w:p w14:paraId="228C82D6" w14:textId="77777777" w:rsidR="00980919" w:rsidRDefault="00980919" w:rsidP="001515D5">
            <w:r>
              <w:t>5/2/20</w:t>
            </w:r>
          </w:p>
        </w:tc>
        <w:tc>
          <w:tcPr>
            <w:tcW w:w="3117" w:type="dxa"/>
            <w:vAlign w:val="bottom"/>
          </w:tcPr>
          <w:p w14:paraId="03841314" w14:textId="77777777" w:rsidR="00980919" w:rsidRDefault="00980919" w:rsidP="001515D5">
            <w:r>
              <w:t>34</w:t>
            </w:r>
          </w:p>
        </w:tc>
        <w:tc>
          <w:tcPr>
            <w:tcW w:w="3117" w:type="dxa"/>
            <w:vAlign w:val="bottom"/>
          </w:tcPr>
          <w:p w14:paraId="7CDC96BE" w14:textId="77777777" w:rsidR="00980919" w:rsidRDefault="00980919" w:rsidP="001515D5">
            <w:r>
              <w:t>11</w:t>
            </w:r>
          </w:p>
        </w:tc>
      </w:tr>
      <w:tr w:rsidR="00980919" w14:paraId="63A75DA5" w14:textId="77777777" w:rsidTr="001515D5">
        <w:tc>
          <w:tcPr>
            <w:tcW w:w="3116" w:type="dxa"/>
            <w:vAlign w:val="bottom"/>
          </w:tcPr>
          <w:p w14:paraId="6C4BFD6D" w14:textId="77777777" w:rsidR="00980919" w:rsidRDefault="00980919" w:rsidP="001515D5">
            <w:r>
              <w:t>5/9/20</w:t>
            </w:r>
          </w:p>
        </w:tc>
        <w:tc>
          <w:tcPr>
            <w:tcW w:w="3117" w:type="dxa"/>
            <w:vAlign w:val="bottom"/>
          </w:tcPr>
          <w:p w14:paraId="3A462433" w14:textId="77777777" w:rsidR="00980919" w:rsidRDefault="00980919" w:rsidP="001515D5">
            <w:r>
              <w:t>30</w:t>
            </w:r>
          </w:p>
        </w:tc>
        <w:tc>
          <w:tcPr>
            <w:tcW w:w="3117" w:type="dxa"/>
            <w:vAlign w:val="bottom"/>
          </w:tcPr>
          <w:p w14:paraId="2FE79E0E" w14:textId="77777777" w:rsidR="00980919" w:rsidRDefault="00980919" w:rsidP="001515D5">
            <w:r>
              <w:t>10</w:t>
            </w:r>
          </w:p>
        </w:tc>
      </w:tr>
      <w:tr w:rsidR="00980919" w14:paraId="3E70436F" w14:textId="77777777" w:rsidTr="001515D5">
        <w:tc>
          <w:tcPr>
            <w:tcW w:w="3116" w:type="dxa"/>
            <w:vAlign w:val="bottom"/>
          </w:tcPr>
          <w:p w14:paraId="26C065A0" w14:textId="77777777" w:rsidR="00980919" w:rsidRDefault="00980919" w:rsidP="001515D5">
            <w:r>
              <w:t>5/16/20</w:t>
            </w:r>
          </w:p>
        </w:tc>
        <w:tc>
          <w:tcPr>
            <w:tcW w:w="3117" w:type="dxa"/>
            <w:vAlign w:val="bottom"/>
          </w:tcPr>
          <w:p w14:paraId="3E076711" w14:textId="77777777" w:rsidR="00980919" w:rsidRDefault="00980919" w:rsidP="001515D5">
            <w:r>
              <w:t>38</w:t>
            </w:r>
          </w:p>
        </w:tc>
        <w:tc>
          <w:tcPr>
            <w:tcW w:w="3117" w:type="dxa"/>
            <w:vAlign w:val="bottom"/>
          </w:tcPr>
          <w:p w14:paraId="3D09DD01" w14:textId="77777777" w:rsidR="00980919" w:rsidRDefault="00980919" w:rsidP="001515D5">
            <w:r>
              <w:t>13</w:t>
            </w:r>
          </w:p>
        </w:tc>
      </w:tr>
      <w:tr w:rsidR="00980919" w14:paraId="699336BC" w14:textId="77777777" w:rsidTr="001515D5">
        <w:tc>
          <w:tcPr>
            <w:tcW w:w="3116" w:type="dxa"/>
            <w:vAlign w:val="bottom"/>
          </w:tcPr>
          <w:p w14:paraId="73D7CB85" w14:textId="77777777" w:rsidR="00980919" w:rsidRDefault="00980919" w:rsidP="001515D5">
            <w:r>
              <w:t>5/23/20</w:t>
            </w:r>
          </w:p>
        </w:tc>
        <w:tc>
          <w:tcPr>
            <w:tcW w:w="3117" w:type="dxa"/>
            <w:vAlign w:val="bottom"/>
          </w:tcPr>
          <w:p w14:paraId="38A7911F" w14:textId="77777777" w:rsidR="00980919" w:rsidRDefault="00980919" w:rsidP="001515D5">
            <w:r>
              <w:t>41</w:t>
            </w:r>
          </w:p>
        </w:tc>
        <w:tc>
          <w:tcPr>
            <w:tcW w:w="3117" w:type="dxa"/>
            <w:vAlign w:val="bottom"/>
          </w:tcPr>
          <w:p w14:paraId="0F772A02" w14:textId="77777777" w:rsidR="00980919" w:rsidRDefault="00980919" w:rsidP="001515D5">
            <w:r>
              <w:t>14</w:t>
            </w:r>
          </w:p>
        </w:tc>
      </w:tr>
      <w:tr w:rsidR="00980919" w14:paraId="5B8F8FC5" w14:textId="77777777" w:rsidTr="001515D5">
        <w:tc>
          <w:tcPr>
            <w:tcW w:w="3116" w:type="dxa"/>
            <w:vAlign w:val="bottom"/>
          </w:tcPr>
          <w:p w14:paraId="4FA7CA59" w14:textId="77777777" w:rsidR="00980919" w:rsidRDefault="00980919" w:rsidP="001515D5">
            <w:r>
              <w:t>5/30/20</w:t>
            </w:r>
          </w:p>
        </w:tc>
        <w:tc>
          <w:tcPr>
            <w:tcW w:w="3117" w:type="dxa"/>
            <w:vAlign w:val="bottom"/>
          </w:tcPr>
          <w:p w14:paraId="730AA26D" w14:textId="77777777" w:rsidR="00980919" w:rsidRDefault="00980919" w:rsidP="001515D5">
            <w:r>
              <w:t>45</w:t>
            </w:r>
          </w:p>
        </w:tc>
        <w:tc>
          <w:tcPr>
            <w:tcW w:w="3117" w:type="dxa"/>
            <w:vAlign w:val="bottom"/>
          </w:tcPr>
          <w:p w14:paraId="7A063797" w14:textId="77777777" w:rsidR="00980919" w:rsidRDefault="00980919" w:rsidP="001515D5">
            <w:r>
              <w:t>20</w:t>
            </w:r>
          </w:p>
        </w:tc>
      </w:tr>
      <w:tr w:rsidR="00980919" w14:paraId="5DFF17A1" w14:textId="77777777" w:rsidTr="001515D5">
        <w:tc>
          <w:tcPr>
            <w:tcW w:w="3116" w:type="dxa"/>
            <w:vAlign w:val="bottom"/>
          </w:tcPr>
          <w:p w14:paraId="2D8B5268" w14:textId="77777777" w:rsidR="00980919" w:rsidRDefault="00980919" w:rsidP="001515D5">
            <w:r>
              <w:t>6/6/20</w:t>
            </w:r>
          </w:p>
        </w:tc>
        <w:tc>
          <w:tcPr>
            <w:tcW w:w="3117" w:type="dxa"/>
            <w:vAlign w:val="bottom"/>
          </w:tcPr>
          <w:p w14:paraId="54E53174" w14:textId="77777777" w:rsidR="00980919" w:rsidRDefault="00980919" w:rsidP="001515D5">
            <w:r>
              <w:t>49</w:t>
            </w:r>
          </w:p>
        </w:tc>
        <w:tc>
          <w:tcPr>
            <w:tcW w:w="3117" w:type="dxa"/>
            <w:vAlign w:val="bottom"/>
          </w:tcPr>
          <w:p w14:paraId="77A70887" w14:textId="77777777" w:rsidR="00980919" w:rsidRDefault="00980919" w:rsidP="001515D5">
            <w:r>
              <w:t>30</w:t>
            </w:r>
          </w:p>
        </w:tc>
      </w:tr>
      <w:tr w:rsidR="00980919" w14:paraId="70CC07EF" w14:textId="77777777" w:rsidTr="001515D5">
        <w:tc>
          <w:tcPr>
            <w:tcW w:w="3116" w:type="dxa"/>
            <w:vAlign w:val="bottom"/>
          </w:tcPr>
          <w:p w14:paraId="1E3A6D9B" w14:textId="77777777" w:rsidR="00980919" w:rsidRDefault="00980919" w:rsidP="001515D5">
            <w:r>
              <w:t>6/13/20</w:t>
            </w:r>
          </w:p>
        </w:tc>
        <w:tc>
          <w:tcPr>
            <w:tcW w:w="3117" w:type="dxa"/>
            <w:vAlign w:val="bottom"/>
          </w:tcPr>
          <w:p w14:paraId="428B9F49" w14:textId="77777777" w:rsidR="00980919" w:rsidRDefault="00980919" w:rsidP="001515D5">
            <w:r>
              <w:t>70</w:t>
            </w:r>
          </w:p>
        </w:tc>
        <w:tc>
          <w:tcPr>
            <w:tcW w:w="3117" w:type="dxa"/>
            <w:vAlign w:val="bottom"/>
          </w:tcPr>
          <w:p w14:paraId="016A9468" w14:textId="77777777" w:rsidR="00980919" w:rsidRDefault="00980919" w:rsidP="001515D5">
            <w:r>
              <w:t>51</w:t>
            </w:r>
          </w:p>
        </w:tc>
      </w:tr>
      <w:tr w:rsidR="00980919" w14:paraId="5AFA3DA7" w14:textId="77777777" w:rsidTr="001515D5">
        <w:tc>
          <w:tcPr>
            <w:tcW w:w="3116" w:type="dxa"/>
            <w:vAlign w:val="bottom"/>
          </w:tcPr>
          <w:p w14:paraId="5E5957D5" w14:textId="77777777" w:rsidR="00980919" w:rsidRDefault="00980919" w:rsidP="001515D5">
            <w:r>
              <w:t>6/20/20</w:t>
            </w:r>
          </w:p>
        </w:tc>
        <w:tc>
          <w:tcPr>
            <w:tcW w:w="3117" w:type="dxa"/>
            <w:vAlign w:val="bottom"/>
          </w:tcPr>
          <w:p w14:paraId="248B5CEC" w14:textId="77777777" w:rsidR="00980919" w:rsidRDefault="00980919" w:rsidP="001515D5">
            <w:r>
              <w:t>93</w:t>
            </w:r>
          </w:p>
        </w:tc>
        <w:tc>
          <w:tcPr>
            <w:tcW w:w="3117" w:type="dxa"/>
            <w:vAlign w:val="bottom"/>
          </w:tcPr>
          <w:p w14:paraId="11789BB6" w14:textId="77777777" w:rsidR="00980919" w:rsidRDefault="00980919" w:rsidP="001515D5">
            <w:r>
              <w:t>69</w:t>
            </w:r>
          </w:p>
        </w:tc>
      </w:tr>
      <w:tr w:rsidR="00980919" w14:paraId="7123E6EA" w14:textId="77777777" w:rsidTr="001515D5">
        <w:tc>
          <w:tcPr>
            <w:tcW w:w="3116" w:type="dxa"/>
            <w:vAlign w:val="bottom"/>
          </w:tcPr>
          <w:p w14:paraId="4D1C13C6" w14:textId="77777777" w:rsidR="00980919" w:rsidRDefault="00980919" w:rsidP="001515D5">
            <w:r>
              <w:t>6/27/20</w:t>
            </w:r>
          </w:p>
        </w:tc>
        <w:tc>
          <w:tcPr>
            <w:tcW w:w="3117" w:type="dxa"/>
            <w:vAlign w:val="bottom"/>
          </w:tcPr>
          <w:p w14:paraId="492F602E" w14:textId="77777777" w:rsidR="00980919" w:rsidRDefault="00980919" w:rsidP="001515D5">
            <w:r>
              <w:t>132</w:t>
            </w:r>
          </w:p>
        </w:tc>
        <w:tc>
          <w:tcPr>
            <w:tcW w:w="3117" w:type="dxa"/>
            <w:vAlign w:val="bottom"/>
          </w:tcPr>
          <w:p w14:paraId="3989A8F7" w14:textId="77777777" w:rsidR="00980919" w:rsidRDefault="00980919" w:rsidP="001515D5">
            <w:r>
              <w:t>107</w:t>
            </w:r>
          </w:p>
        </w:tc>
      </w:tr>
      <w:tr w:rsidR="00980919" w14:paraId="128F9D8A" w14:textId="77777777" w:rsidTr="001515D5">
        <w:tc>
          <w:tcPr>
            <w:tcW w:w="3116" w:type="dxa"/>
            <w:vAlign w:val="bottom"/>
          </w:tcPr>
          <w:p w14:paraId="095EA163" w14:textId="77777777" w:rsidR="00980919" w:rsidRDefault="00980919" w:rsidP="001515D5">
            <w:r>
              <w:t>7/4/20</w:t>
            </w:r>
          </w:p>
        </w:tc>
        <w:tc>
          <w:tcPr>
            <w:tcW w:w="3117" w:type="dxa"/>
            <w:vAlign w:val="bottom"/>
          </w:tcPr>
          <w:p w14:paraId="0E62088B" w14:textId="77777777" w:rsidR="00980919" w:rsidRDefault="00980919" w:rsidP="001515D5">
            <w:r>
              <w:t>187</w:t>
            </w:r>
          </w:p>
        </w:tc>
        <w:tc>
          <w:tcPr>
            <w:tcW w:w="3117" w:type="dxa"/>
            <w:vAlign w:val="bottom"/>
          </w:tcPr>
          <w:p w14:paraId="61EE6B1A" w14:textId="77777777" w:rsidR="00980919" w:rsidRDefault="00980919" w:rsidP="001515D5">
            <w:r>
              <w:t>115</w:t>
            </w:r>
          </w:p>
        </w:tc>
      </w:tr>
      <w:tr w:rsidR="00980919" w14:paraId="139B7D9C" w14:textId="77777777" w:rsidTr="001515D5">
        <w:tc>
          <w:tcPr>
            <w:tcW w:w="3116" w:type="dxa"/>
            <w:vAlign w:val="bottom"/>
          </w:tcPr>
          <w:p w14:paraId="2A9B697C" w14:textId="77777777" w:rsidR="00980919" w:rsidRDefault="00980919" w:rsidP="001515D5">
            <w:r>
              <w:t>7/11/20</w:t>
            </w:r>
          </w:p>
        </w:tc>
        <w:tc>
          <w:tcPr>
            <w:tcW w:w="3117" w:type="dxa"/>
            <w:vAlign w:val="bottom"/>
          </w:tcPr>
          <w:p w14:paraId="272A9649" w14:textId="77777777" w:rsidR="00980919" w:rsidRDefault="00980919" w:rsidP="001515D5">
            <w:r>
              <w:t>200</w:t>
            </w:r>
          </w:p>
        </w:tc>
        <w:tc>
          <w:tcPr>
            <w:tcW w:w="3117" w:type="dxa"/>
            <w:vAlign w:val="bottom"/>
          </w:tcPr>
          <w:p w14:paraId="27D43900" w14:textId="77777777" w:rsidR="00980919" w:rsidRDefault="00980919" w:rsidP="001515D5">
            <w:r>
              <w:t>114</w:t>
            </w:r>
          </w:p>
        </w:tc>
      </w:tr>
      <w:tr w:rsidR="00980919" w14:paraId="32AAEE5B" w14:textId="77777777" w:rsidTr="001515D5">
        <w:tc>
          <w:tcPr>
            <w:tcW w:w="3116" w:type="dxa"/>
            <w:vAlign w:val="bottom"/>
          </w:tcPr>
          <w:p w14:paraId="4F2E7D86" w14:textId="77777777" w:rsidR="00980919" w:rsidRDefault="00980919" w:rsidP="001515D5">
            <w:r>
              <w:t>7/18/20</w:t>
            </w:r>
          </w:p>
        </w:tc>
        <w:tc>
          <w:tcPr>
            <w:tcW w:w="3117" w:type="dxa"/>
            <w:vAlign w:val="bottom"/>
          </w:tcPr>
          <w:p w14:paraId="45924BD4" w14:textId="77777777" w:rsidR="00980919" w:rsidRDefault="00980919" w:rsidP="001515D5">
            <w:r>
              <w:t>251</w:t>
            </w:r>
          </w:p>
        </w:tc>
        <w:tc>
          <w:tcPr>
            <w:tcW w:w="3117" w:type="dxa"/>
            <w:vAlign w:val="bottom"/>
          </w:tcPr>
          <w:p w14:paraId="1873EF2A" w14:textId="77777777" w:rsidR="00980919" w:rsidRDefault="00980919" w:rsidP="001515D5">
            <w:r>
              <w:t>127</w:t>
            </w:r>
          </w:p>
        </w:tc>
      </w:tr>
      <w:tr w:rsidR="00980919" w14:paraId="51AD8C23" w14:textId="77777777" w:rsidTr="001515D5">
        <w:tc>
          <w:tcPr>
            <w:tcW w:w="3116" w:type="dxa"/>
            <w:vAlign w:val="bottom"/>
          </w:tcPr>
          <w:p w14:paraId="6286F990" w14:textId="77777777" w:rsidR="00980919" w:rsidRDefault="00980919" w:rsidP="001515D5">
            <w:r>
              <w:t>7/25/20</w:t>
            </w:r>
          </w:p>
        </w:tc>
        <w:tc>
          <w:tcPr>
            <w:tcW w:w="3117" w:type="dxa"/>
            <w:vAlign w:val="bottom"/>
          </w:tcPr>
          <w:p w14:paraId="6F2107B7" w14:textId="77777777" w:rsidR="00980919" w:rsidRDefault="00980919" w:rsidP="001515D5">
            <w:r>
              <w:t>233</w:t>
            </w:r>
          </w:p>
        </w:tc>
        <w:tc>
          <w:tcPr>
            <w:tcW w:w="3117" w:type="dxa"/>
            <w:vAlign w:val="bottom"/>
          </w:tcPr>
          <w:p w14:paraId="6131E1BA" w14:textId="77777777" w:rsidR="00980919" w:rsidRDefault="00980919" w:rsidP="001515D5">
            <w:r>
              <w:t>105</w:t>
            </w:r>
          </w:p>
        </w:tc>
      </w:tr>
      <w:tr w:rsidR="00980919" w14:paraId="756A326D" w14:textId="77777777" w:rsidTr="001515D5">
        <w:tc>
          <w:tcPr>
            <w:tcW w:w="3116" w:type="dxa"/>
            <w:vAlign w:val="bottom"/>
          </w:tcPr>
          <w:p w14:paraId="09E60651" w14:textId="77777777" w:rsidR="00980919" w:rsidRDefault="00980919" w:rsidP="001515D5">
            <w:r>
              <w:t>8/1/20</w:t>
            </w:r>
          </w:p>
        </w:tc>
        <w:tc>
          <w:tcPr>
            <w:tcW w:w="3117" w:type="dxa"/>
            <w:vAlign w:val="bottom"/>
          </w:tcPr>
          <w:p w14:paraId="588CFE9B" w14:textId="77777777" w:rsidR="00980919" w:rsidRDefault="00980919" w:rsidP="001515D5">
            <w:r>
              <w:t>219</w:t>
            </w:r>
          </w:p>
        </w:tc>
        <w:tc>
          <w:tcPr>
            <w:tcW w:w="3117" w:type="dxa"/>
            <w:vAlign w:val="bottom"/>
          </w:tcPr>
          <w:p w14:paraId="34106E74" w14:textId="77777777" w:rsidR="00980919" w:rsidRDefault="00980919" w:rsidP="001515D5">
            <w:r>
              <w:t>100</w:t>
            </w:r>
          </w:p>
        </w:tc>
      </w:tr>
      <w:tr w:rsidR="00980919" w14:paraId="22C825D5" w14:textId="77777777" w:rsidTr="001515D5">
        <w:tc>
          <w:tcPr>
            <w:tcW w:w="3116" w:type="dxa"/>
            <w:vAlign w:val="bottom"/>
          </w:tcPr>
          <w:p w14:paraId="061D7B15" w14:textId="77777777" w:rsidR="00980919" w:rsidRDefault="00980919" w:rsidP="001515D5">
            <w:r>
              <w:t>8/8/20</w:t>
            </w:r>
          </w:p>
        </w:tc>
        <w:tc>
          <w:tcPr>
            <w:tcW w:w="3117" w:type="dxa"/>
            <w:vAlign w:val="bottom"/>
          </w:tcPr>
          <w:p w14:paraId="3407954B" w14:textId="77777777" w:rsidR="00980919" w:rsidRDefault="00980919" w:rsidP="001515D5">
            <w:r>
              <w:t>186</w:t>
            </w:r>
          </w:p>
        </w:tc>
        <w:tc>
          <w:tcPr>
            <w:tcW w:w="3117" w:type="dxa"/>
            <w:vAlign w:val="bottom"/>
          </w:tcPr>
          <w:p w14:paraId="21F72EB9" w14:textId="77777777" w:rsidR="00980919" w:rsidRDefault="00980919" w:rsidP="001515D5">
            <w:r>
              <w:t>90</w:t>
            </w:r>
          </w:p>
        </w:tc>
      </w:tr>
      <w:tr w:rsidR="00980919" w14:paraId="37733DF0" w14:textId="77777777" w:rsidTr="001515D5">
        <w:tc>
          <w:tcPr>
            <w:tcW w:w="3116" w:type="dxa"/>
            <w:vAlign w:val="bottom"/>
          </w:tcPr>
          <w:p w14:paraId="73601FD0" w14:textId="77777777" w:rsidR="00980919" w:rsidRDefault="00980919" w:rsidP="001515D5">
            <w:r>
              <w:t>8/15/20</w:t>
            </w:r>
          </w:p>
        </w:tc>
        <w:tc>
          <w:tcPr>
            <w:tcW w:w="3117" w:type="dxa"/>
            <w:vAlign w:val="bottom"/>
          </w:tcPr>
          <w:p w14:paraId="49B15AAF" w14:textId="77777777" w:rsidR="00980919" w:rsidRDefault="00980919" w:rsidP="001515D5">
            <w:r>
              <w:t>144</w:t>
            </w:r>
          </w:p>
        </w:tc>
        <w:tc>
          <w:tcPr>
            <w:tcW w:w="3117" w:type="dxa"/>
            <w:vAlign w:val="bottom"/>
          </w:tcPr>
          <w:p w14:paraId="33F0C99C" w14:textId="77777777" w:rsidR="00980919" w:rsidRDefault="00980919" w:rsidP="001515D5">
            <w:r>
              <w:t>73</w:t>
            </w:r>
          </w:p>
        </w:tc>
      </w:tr>
      <w:tr w:rsidR="00980919" w14:paraId="32A732E6" w14:textId="77777777" w:rsidTr="001515D5">
        <w:tc>
          <w:tcPr>
            <w:tcW w:w="3116" w:type="dxa"/>
            <w:vAlign w:val="bottom"/>
          </w:tcPr>
          <w:p w14:paraId="5B1BF8FA" w14:textId="77777777" w:rsidR="00980919" w:rsidRDefault="00980919" w:rsidP="001515D5">
            <w:r>
              <w:t>8/22/20</w:t>
            </w:r>
          </w:p>
        </w:tc>
        <w:tc>
          <w:tcPr>
            <w:tcW w:w="3117" w:type="dxa"/>
            <w:vAlign w:val="bottom"/>
          </w:tcPr>
          <w:p w14:paraId="5B2B7206" w14:textId="77777777" w:rsidR="00980919" w:rsidRDefault="00980919" w:rsidP="001515D5">
            <w:r>
              <w:t>122</w:t>
            </w:r>
          </w:p>
        </w:tc>
        <w:tc>
          <w:tcPr>
            <w:tcW w:w="3117" w:type="dxa"/>
            <w:vAlign w:val="bottom"/>
          </w:tcPr>
          <w:p w14:paraId="2CC23CE7" w14:textId="77777777" w:rsidR="00980919" w:rsidRDefault="00980919" w:rsidP="001515D5">
            <w:r>
              <w:t>73</w:t>
            </w:r>
          </w:p>
        </w:tc>
      </w:tr>
      <w:tr w:rsidR="00980919" w14:paraId="7D08640E" w14:textId="77777777" w:rsidTr="001515D5">
        <w:tc>
          <w:tcPr>
            <w:tcW w:w="3116" w:type="dxa"/>
            <w:vAlign w:val="bottom"/>
          </w:tcPr>
          <w:p w14:paraId="5358783F" w14:textId="77777777" w:rsidR="00980919" w:rsidRDefault="00980919" w:rsidP="001515D5">
            <w:r>
              <w:t>8/29/20</w:t>
            </w:r>
          </w:p>
        </w:tc>
        <w:tc>
          <w:tcPr>
            <w:tcW w:w="3117" w:type="dxa"/>
            <w:vAlign w:val="bottom"/>
          </w:tcPr>
          <w:p w14:paraId="0409E8CD" w14:textId="77777777" w:rsidR="00980919" w:rsidRDefault="00980919" w:rsidP="001515D5">
            <w:r>
              <w:t>118</w:t>
            </w:r>
          </w:p>
        </w:tc>
        <w:tc>
          <w:tcPr>
            <w:tcW w:w="3117" w:type="dxa"/>
            <w:vAlign w:val="bottom"/>
          </w:tcPr>
          <w:p w14:paraId="0B34A0C5" w14:textId="77777777" w:rsidR="00980919" w:rsidRDefault="00980919" w:rsidP="001515D5">
            <w:r>
              <w:t>98</w:t>
            </w:r>
          </w:p>
        </w:tc>
      </w:tr>
      <w:tr w:rsidR="00980919" w14:paraId="7B7A82CF" w14:textId="77777777" w:rsidTr="001515D5">
        <w:tc>
          <w:tcPr>
            <w:tcW w:w="3116" w:type="dxa"/>
            <w:vAlign w:val="bottom"/>
          </w:tcPr>
          <w:p w14:paraId="45F359A8" w14:textId="77777777" w:rsidR="00980919" w:rsidRDefault="00980919" w:rsidP="001515D5">
            <w:r>
              <w:t>9/5/20</w:t>
            </w:r>
          </w:p>
        </w:tc>
        <w:tc>
          <w:tcPr>
            <w:tcW w:w="3117" w:type="dxa"/>
            <w:vAlign w:val="bottom"/>
          </w:tcPr>
          <w:p w14:paraId="23C36384" w14:textId="77777777" w:rsidR="00980919" w:rsidRDefault="00980919" w:rsidP="001515D5">
            <w:r>
              <w:t>107</w:t>
            </w:r>
          </w:p>
        </w:tc>
        <w:tc>
          <w:tcPr>
            <w:tcW w:w="3117" w:type="dxa"/>
            <w:vAlign w:val="bottom"/>
          </w:tcPr>
          <w:p w14:paraId="19CD7E7F" w14:textId="77777777" w:rsidR="00980919" w:rsidRDefault="00980919" w:rsidP="001515D5">
            <w:r>
              <w:t>110</w:t>
            </w:r>
          </w:p>
        </w:tc>
      </w:tr>
      <w:tr w:rsidR="00980919" w14:paraId="5DABC0C7" w14:textId="77777777" w:rsidTr="001515D5">
        <w:tc>
          <w:tcPr>
            <w:tcW w:w="3116" w:type="dxa"/>
            <w:vAlign w:val="bottom"/>
          </w:tcPr>
          <w:p w14:paraId="25F933A4" w14:textId="77777777" w:rsidR="00980919" w:rsidRDefault="00980919" w:rsidP="001515D5">
            <w:r>
              <w:t>9/12/20</w:t>
            </w:r>
          </w:p>
        </w:tc>
        <w:tc>
          <w:tcPr>
            <w:tcW w:w="3117" w:type="dxa"/>
            <w:vAlign w:val="bottom"/>
          </w:tcPr>
          <w:p w14:paraId="643ED864" w14:textId="77777777" w:rsidR="00980919" w:rsidRDefault="00980919" w:rsidP="001515D5">
            <w:r>
              <w:t>79</w:t>
            </w:r>
          </w:p>
        </w:tc>
        <w:tc>
          <w:tcPr>
            <w:tcW w:w="3117" w:type="dxa"/>
            <w:vAlign w:val="bottom"/>
          </w:tcPr>
          <w:p w14:paraId="5A006EE9" w14:textId="77777777" w:rsidR="00980919" w:rsidRDefault="00980919" w:rsidP="001515D5">
            <w:r>
              <w:t>80</w:t>
            </w:r>
          </w:p>
        </w:tc>
      </w:tr>
      <w:tr w:rsidR="00980919" w14:paraId="0BD61CEE" w14:textId="77777777" w:rsidTr="001515D5">
        <w:tc>
          <w:tcPr>
            <w:tcW w:w="3116" w:type="dxa"/>
            <w:vAlign w:val="bottom"/>
          </w:tcPr>
          <w:p w14:paraId="210F6DDC" w14:textId="77777777" w:rsidR="00980919" w:rsidRDefault="00980919" w:rsidP="001515D5">
            <w:r>
              <w:lastRenderedPageBreak/>
              <w:t>9/19/20</w:t>
            </w:r>
          </w:p>
        </w:tc>
        <w:tc>
          <w:tcPr>
            <w:tcW w:w="3117" w:type="dxa"/>
            <w:vAlign w:val="bottom"/>
          </w:tcPr>
          <w:p w14:paraId="67F6430C" w14:textId="77777777" w:rsidR="00980919" w:rsidRDefault="00980919" w:rsidP="001515D5">
            <w:r>
              <w:t>92</w:t>
            </w:r>
          </w:p>
        </w:tc>
        <w:tc>
          <w:tcPr>
            <w:tcW w:w="3117" w:type="dxa"/>
            <w:vAlign w:val="bottom"/>
          </w:tcPr>
          <w:p w14:paraId="6D77110D" w14:textId="77777777" w:rsidR="00980919" w:rsidRDefault="00980919" w:rsidP="001515D5">
            <w:r>
              <w:t>84</w:t>
            </w:r>
          </w:p>
        </w:tc>
      </w:tr>
      <w:tr w:rsidR="00980919" w14:paraId="174763B5" w14:textId="77777777" w:rsidTr="001515D5">
        <w:tc>
          <w:tcPr>
            <w:tcW w:w="3116" w:type="dxa"/>
            <w:vAlign w:val="bottom"/>
          </w:tcPr>
          <w:p w14:paraId="30209E05" w14:textId="77777777" w:rsidR="00980919" w:rsidRDefault="00980919" w:rsidP="001515D5">
            <w:r>
              <w:t>9/26/20</w:t>
            </w:r>
          </w:p>
        </w:tc>
        <w:tc>
          <w:tcPr>
            <w:tcW w:w="3117" w:type="dxa"/>
            <w:vAlign w:val="bottom"/>
          </w:tcPr>
          <w:p w14:paraId="6E5AEB33" w14:textId="77777777" w:rsidR="00980919" w:rsidRDefault="00980919" w:rsidP="001515D5">
            <w:r>
              <w:t>79</w:t>
            </w:r>
          </w:p>
        </w:tc>
        <w:tc>
          <w:tcPr>
            <w:tcW w:w="3117" w:type="dxa"/>
            <w:vAlign w:val="bottom"/>
          </w:tcPr>
          <w:p w14:paraId="30FDE503" w14:textId="77777777" w:rsidR="00980919" w:rsidRDefault="00980919" w:rsidP="001515D5">
            <w:r>
              <w:t>85</w:t>
            </w:r>
          </w:p>
        </w:tc>
      </w:tr>
      <w:tr w:rsidR="00980919" w14:paraId="5A366CDA" w14:textId="77777777" w:rsidTr="001515D5">
        <w:tc>
          <w:tcPr>
            <w:tcW w:w="3116" w:type="dxa"/>
            <w:vAlign w:val="bottom"/>
          </w:tcPr>
          <w:p w14:paraId="28C8D266" w14:textId="77777777" w:rsidR="00980919" w:rsidRDefault="00980919" w:rsidP="001515D5">
            <w:r>
              <w:t>10/3/20</w:t>
            </w:r>
          </w:p>
        </w:tc>
        <w:tc>
          <w:tcPr>
            <w:tcW w:w="3117" w:type="dxa"/>
            <w:vAlign w:val="bottom"/>
          </w:tcPr>
          <w:p w14:paraId="3B3C5D02" w14:textId="77777777" w:rsidR="00980919" w:rsidRDefault="00980919" w:rsidP="001515D5">
            <w:r>
              <w:t>68</w:t>
            </w:r>
          </w:p>
        </w:tc>
        <w:tc>
          <w:tcPr>
            <w:tcW w:w="3117" w:type="dxa"/>
            <w:vAlign w:val="bottom"/>
          </w:tcPr>
          <w:p w14:paraId="15C8FA49" w14:textId="77777777" w:rsidR="00980919" w:rsidRDefault="00980919" w:rsidP="001515D5">
            <w:r>
              <w:t>79</w:t>
            </w:r>
          </w:p>
        </w:tc>
      </w:tr>
      <w:tr w:rsidR="00980919" w14:paraId="2F0079BC" w14:textId="77777777" w:rsidTr="001515D5">
        <w:tc>
          <w:tcPr>
            <w:tcW w:w="3116" w:type="dxa"/>
            <w:vAlign w:val="bottom"/>
          </w:tcPr>
          <w:p w14:paraId="74FAD915" w14:textId="77777777" w:rsidR="00980919" w:rsidRDefault="00980919" w:rsidP="001515D5">
            <w:r>
              <w:t>10/10/20</w:t>
            </w:r>
          </w:p>
        </w:tc>
        <w:tc>
          <w:tcPr>
            <w:tcW w:w="3117" w:type="dxa"/>
            <w:vAlign w:val="bottom"/>
          </w:tcPr>
          <w:p w14:paraId="5666FE6D" w14:textId="77777777" w:rsidR="00980919" w:rsidRDefault="00980919" w:rsidP="001515D5">
            <w:r>
              <w:t>80</w:t>
            </w:r>
          </w:p>
        </w:tc>
        <w:tc>
          <w:tcPr>
            <w:tcW w:w="3117" w:type="dxa"/>
            <w:vAlign w:val="bottom"/>
          </w:tcPr>
          <w:p w14:paraId="483B88EB" w14:textId="77777777" w:rsidR="00980919" w:rsidRDefault="00980919" w:rsidP="001515D5">
            <w:r>
              <w:t>98</w:t>
            </w:r>
          </w:p>
        </w:tc>
      </w:tr>
      <w:tr w:rsidR="00980919" w14:paraId="30A1E15E" w14:textId="77777777" w:rsidTr="001515D5">
        <w:tc>
          <w:tcPr>
            <w:tcW w:w="3116" w:type="dxa"/>
            <w:vAlign w:val="bottom"/>
          </w:tcPr>
          <w:p w14:paraId="404AFD62" w14:textId="77777777" w:rsidR="00980919" w:rsidRDefault="00980919" w:rsidP="001515D5">
            <w:r>
              <w:t>10/17/20</w:t>
            </w:r>
          </w:p>
        </w:tc>
        <w:tc>
          <w:tcPr>
            <w:tcW w:w="3117" w:type="dxa"/>
            <w:vAlign w:val="bottom"/>
          </w:tcPr>
          <w:p w14:paraId="17E77B82" w14:textId="77777777" w:rsidR="00980919" w:rsidRDefault="00980919" w:rsidP="001515D5">
            <w:r>
              <w:t>91</w:t>
            </w:r>
          </w:p>
        </w:tc>
        <w:tc>
          <w:tcPr>
            <w:tcW w:w="3117" w:type="dxa"/>
            <w:vAlign w:val="bottom"/>
          </w:tcPr>
          <w:p w14:paraId="2679FB13" w14:textId="77777777" w:rsidR="00980919" w:rsidRDefault="00980919" w:rsidP="001515D5">
            <w:r>
              <w:t>101</w:t>
            </w:r>
          </w:p>
        </w:tc>
      </w:tr>
      <w:tr w:rsidR="00980919" w14:paraId="3BECD7F8" w14:textId="77777777" w:rsidTr="001515D5">
        <w:tc>
          <w:tcPr>
            <w:tcW w:w="3116" w:type="dxa"/>
            <w:vAlign w:val="bottom"/>
          </w:tcPr>
          <w:p w14:paraId="4D4FA857" w14:textId="77777777" w:rsidR="00980919" w:rsidRDefault="00980919" w:rsidP="001515D5">
            <w:r>
              <w:t>10/24/20</w:t>
            </w:r>
          </w:p>
        </w:tc>
        <w:tc>
          <w:tcPr>
            <w:tcW w:w="3117" w:type="dxa"/>
            <w:vAlign w:val="bottom"/>
          </w:tcPr>
          <w:p w14:paraId="03F9FF9B" w14:textId="77777777" w:rsidR="00980919" w:rsidRDefault="00980919" w:rsidP="001515D5">
            <w:r>
              <w:t>92</w:t>
            </w:r>
          </w:p>
        </w:tc>
        <w:tc>
          <w:tcPr>
            <w:tcW w:w="3117" w:type="dxa"/>
            <w:vAlign w:val="bottom"/>
          </w:tcPr>
          <w:p w14:paraId="28CF834D" w14:textId="77777777" w:rsidR="00980919" w:rsidRDefault="00980919" w:rsidP="001515D5">
            <w:r>
              <w:t>109</w:t>
            </w:r>
          </w:p>
        </w:tc>
      </w:tr>
      <w:tr w:rsidR="00980919" w14:paraId="1D8F8FEE" w14:textId="77777777" w:rsidTr="001515D5">
        <w:tc>
          <w:tcPr>
            <w:tcW w:w="3116" w:type="dxa"/>
            <w:vAlign w:val="bottom"/>
          </w:tcPr>
          <w:p w14:paraId="08262B60" w14:textId="77777777" w:rsidR="00980919" w:rsidRDefault="00980919" w:rsidP="001515D5">
            <w:r>
              <w:t>10/31/20</w:t>
            </w:r>
          </w:p>
        </w:tc>
        <w:tc>
          <w:tcPr>
            <w:tcW w:w="3117" w:type="dxa"/>
            <w:vAlign w:val="bottom"/>
          </w:tcPr>
          <w:p w14:paraId="3B5AB307" w14:textId="77777777" w:rsidR="00980919" w:rsidRDefault="00980919" w:rsidP="001515D5">
            <w:r>
              <w:t>99</w:t>
            </w:r>
          </w:p>
        </w:tc>
        <w:tc>
          <w:tcPr>
            <w:tcW w:w="3117" w:type="dxa"/>
            <w:vAlign w:val="bottom"/>
          </w:tcPr>
          <w:p w14:paraId="2192F361" w14:textId="77777777" w:rsidR="00980919" w:rsidRDefault="00980919" w:rsidP="001515D5">
            <w:r>
              <w:t>113</w:t>
            </w:r>
          </w:p>
        </w:tc>
      </w:tr>
      <w:tr w:rsidR="00980919" w14:paraId="3346993F" w14:textId="77777777" w:rsidTr="001515D5">
        <w:tc>
          <w:tcPr>
            <w:tcW w:w="3116" w:type="dxa"/>
            <w:vAlign w:val="bottom"/>
          </w:tcPr>
          <w:p w14:paraId="27916013" w14:textId="77777777" w:rsidR="00980919" w:rsidRDefault="00980919" w:rsidP="001515D5">
            <w:r>
              <w:t>11/7/20</w:t>
            </w:r>
          </w:p>
        </w:tc>
        <w:tc>
          <w:tcPr>
            <w:tcW w:w="3117" w:type="dxa"/>
            <w:vAlign w:val="bottom"/>
          </w:tcPr>
          <w:p w14:paraId="0F1F7EBD" w14:textId="77777777" w:rsidR="00980919" w:rsidRDefault="00980919" w:rsidP="001515D5">
            <w:r>
              <w:t>95</w:t>
            </w:r>
          </w:p>
        </w:tc>
        <w:tc>
          <w:tcPr>
            <w:tcW w:w="3117" w:type="dxa"/>
            <w:vAlign w:val="bottom"/>
          </w:tcPr>
          <w:p w14:paraId="464DD73A" w14:textId="77777777" w:rsidR="00980919" w:rsidRDefault="00980919" w:rsidP="001515D5">
            <w:r>
              <w:t>120</w:t>
            </w:r>
          </w:p>
        </w:tc>
      </w:tr>
      <w:tr w:rsidR="00980919" w14:paraId="13345390" w14:textId="77777777" w:rsidTr="001515D5">
        <w:tc>
          <w:tcPr>
            <w:tcW w:w="3116" w:type="dxa"/>
            <w:vAlign w:val="bottom"/>
          </w:tcPr>
          <w:p w14:paraId="3671E32C" w14:textId="77777777" w:rsidR="00980919" w:rsidRDefault="00980919" w:rsidP="001515D5">
            <w:r>
              <w:t>11/14/20</w:t>
            </w:r>
          </w:p>
        </w:tc>
        <w:tc>
          <w:tcPr>
            <w:tcW w:w="3117" w:type="dxa"/>
            <w:vAlign w:val="bottom"/>
          </w:tcPr>
          <w:p w14:paraId="4A24EE4B" w14:textId="77777777" w:rsidR="00980919" w:rsidRDefault="00980919" w:rsidP="001515D5">
            <w:r>
              <w:t>121</w:t>
            </w:r>
          </w:p>
        </w:tc>
        <w:tc>
          <w:tcPr>
            <w:tcW w:w="3117" w:type="dxa"/>
            <w:vAlign w:val="bottom"/>
          </w:tcPr>
          <w:p w14:paraId="05D68EE3" w14:textId="77777777" w:rsidR="00980919" w:rsidRDefault="00980919" w:rsidP="001515D5">
            <w:r>
              <w:t>164</w:t>
            </w:r>
          </w:p>
        </w:tc>
      </w:tr>
      <w:tr w:rsidR="00980919" w14:paraId="19230021" w14:textId="77777777" w:rsidTr="001515D5">
        <w:tc>
          <w:tcPr>
            <w:tcW w:w="3116" w:type="dxa"/>
            <w:vAlign w:val="bottom"/>
          </w:tcPr>
          <w:p w14:paraId="59767E86" w14:textId="77777777" w:rsidR="00980919" w:rsidRDefault="00980919" w:rsidP="001515D5">
            <w:r>
              <w:t>11/21/20</w:t>
            </w:r>
          </w:p>
        </w:tc>
        <w:tc>
          <w:tcPr>
            <w:tcW w:w="3117" w:type="dxa"/>
            <w:vAlign w:val="bottom"/>
          </w:tcPr>
          <w:p w14:paraId="31E0B1E6" w14:textId="77777777" w:rsidR="00980919" w:rsidRDefault="00980919" w:rsidP="001515D5">
            <w:r>
              <w:t>117</w:t>
            </w:r>
          </w:p>
        </w:tc>
        <w:tc>
          <w:tcPr>
            <w:tcW w:w="3117" w:type="dxa"/>
            <w:vAlign w:val="bottom"/>
          </w:tcPr>
          <w:p w14:paraId="14158885" w14:textId="77777777" w:rsidR="00980919" w:rsidRDefault="00980919" w:rsidP="001515D5">
            <w:r>
              <w:t>154</w:t>
            </w:r>
          </w:p>
        </w:tc>
      </w:tr>
      <w:tr w:rsidR="00980919" w14:paraId="0EB373D5" w14:textId="77777777" w:rsidTr="001515D5">
        <w:tc>
          <w:tcPr>
            <w:tcW w:w="3116" w:type="dxa"/>
            <w:vAlign w:val="bottom"/>
          </w:tcPr>
          <w:p w14:paraId="6EC8B319" w14:textId="77777777" w:rsidR="00980919" w:rsidRDefault="00980919" w:rsidP="001515D5">
            <w:r>
              <w:t>11/28/20</w:t>
            </w:r>
          </w:p>
        </w:tc>
        <w:tc>
          <w:tcPr>
            <w:tcW w:w="3117" w:type="dxa"/>
            <w:vAlign w:val="bottom"/>
          </w:tcPr>
          <w:p w14:paraId="248BC05E" w14:textId="77777777" w:rsidR="00980919" w:rsidRDefault="00980919" w:rsidP="001515D5">
            <w:r>
              <w:t>127</w:t>
            </w:r>
          </w:p>
        </w:tc>
        <w:tc>
          <w:tcPr>
            <w:tcW w:w="3117" w:type="dxa"/>
            <w:vAlign w:val="bottom"/>
          </w:tcPr>
          <w:p w14:paraId="205F9A69" w14:textId="77777777" w:rsidR="00980919" w:rsidRDefault="00980919" w:rsidP="001515D5">
            <w:r>
              <w:t>161</w:t>
            </w:r>
          </w:p>
        </w:tc>
      </w:tr>
      <w:tr w:rsidR="00980919" w14:paraId="031A6940" w14:textId="77777777" w:rsidTr="001515D5">
        <w:tc>
          <w:tcPr>
            <w:tcW w:w="3116" w:type="dxa"/>
            <w:vAlign w:val="bottom"/>
          </w:tcPr>
          <w:p w14:paraId="156F6303" w14:textId="77777777" w:rsidR="00980919" w:rsidRDefault="00980919" w:rsidP="001515D5">
            <w:r>
              <w:t>12/5/20</w:t>
            </w:r>
          </w:p>
        </w:tc>
        <w:tc>
          <w:tcPr>
            <w:tcW w:w="3117" w:type="dxa"/>
            <w:vAlign w:val="bottom"/>
          </w:tcPr>
          <w:p w14:paraId="6D361924" w14:textId="77777777" w:rsidR="00980919" w:rsidRDefault="00980919" w:rsidP="001515D5">
            <w:r>
              <w:t>219</w:t>
            </w:r>
          </w:p>
        </w:tc>
        <w:tc>
          <w:tcPr>
            <w:tcW w:w="3117" w:type="dxa"/>
            <w:vAlign w:val="bottom"/>
          </w:tcPr>
          <w:p w14:paraId="4F6F7CFA" w14:textId="77777777" w:rsidR="00980919" w:rsidRDefault="00980919" w:rsidP="001515D5">
            <w:r>
              <w:t>239</w:t>
            </w:r>
          </w:p>
        </w:tc>
      </w:tr>
      <w:tr w:rsidR="00980919" w14:paraId="62C1C1F5" w14:textId="77777777" w:rsidTr="001515D5">
        <w:tc>
          <w:tcPr>
            <w:tcW w:w="3116" w:type="dxa"/>
            <w:vAlign w:val="bottom"/>
          </w:tcPr>
          <w:p w14:paraId="27447B57" w14:textId="77777777" w:rsidR="00980919" w:rsidRDefault="00980919" w:rsidP="001515D5">
            <w:r>
              <w:t>12/12/20</w:t>
            </w:r>
          </w:p>
        </w:tc>
        <w:tc>
          <w:tcPr>
            <w:tcW w:w="3117" w:type="dxa"/>
            <w:vAlign w:val="bottom"/>
          </w:tcPr>
          <w:p w14:paraId="093C9034" w14:textId="77777777" w:rsidR="00980919" w:rsidRDefault="00980919" w:rsidP="001515D5">
            <w:r>
              <w:t>280</w:t>
            </w:r>
          </w:p>
        </w:tc>
        <w:tc>
          <w:tcPr>
            <w:tcW w:w="3117" w:type="dxa"/>
            <w:vAlign w:val="bottom"/>
          </w:tcPr>
          <w:p w14:paraId="7374CBF7" w14:textId="77777777" w:rsidR="00980919" w:rsidRDefault="00980919" w:rsidP="001515D5">
            <w:r>
              <w:t>263</w:t>
            </w:r>
          </w:p>
        </w:tc>
      </w:tr>
      <w:tr w:rsidR="00980919" w14:paraId="1D27AD19" w14:textId="77777777" w:rsidTr="001515D5">
        <w:tc>
          <w:tcPr>
            <w:tcW w:w="3116" w:type="dxa"/>
            <w:vAlign w:val="bottom"/>
          </w:tcPr>
          <w:p w14:paraId="3E3ABE2D" w14:textId="77777777" w:rsidR="00980919" w:rsidRDefault="00980919" w:rsidP="001515D5">
            <w:r>
              <w:t>12/19/20</w:t>
            </w:r>
          </w:p>
        </w:tc>
        <w:tc>
          <w:tcPr>
            <w:tcW w:w="3117" w:type="dxa"/>
            <w:vAlign w:val="bottom"/>
          </w:tcPr>
          <w:p w14:paraId="6E9EACF2" w14:textId="77777777" w:rsidR="00980919" w:rsidRDefault="00980919" w:rsidP="001515D5">
            <w:r>
              <w:t>286</w:t>
            </w:r>
          </w:p>
        </w:tc>
        <w:tc>
          <w:tcPr>
            <w:tcW w:w="3117" w:type="dxa"/>
            <w:vAlign w:val="bottom"/>
          </w:tcPr>
          <w:p w14:paraId="585DAFA2" w14:textId="77777777" w:rsidR="00980919" w:rsidRDefault="00980919" w:rsidP="001515D5">
            <w:r>
              <w:t>288</w:t>
            </w:r>
          </w:p>
        </w:tc>
      </w:tr>
      <w:tr w:rsidR="00980919" w14:paraId="066030BC" w14:textId="77777777" w:rsidTr="001515D5">
        <w:tc>
          <w:tcPr>
            <w:tcW w:w="3116" w:type="dxa"/>
            <w:vAlign w:val="bottom"/>
          </w:tcPr>
          <w:p w14:paraId="16286A5B" w14:textId="77777777" w:rsidR="00980919" w:rsidRDefault="00980919" w:rsidP="001515D5">
            <w:r>
              <w:t>12/26/20</w:t>
            </w:r>
          </w:p>
        </w:tc>
        <w:tc>
          <w:tcPr>
            <w:tcW w:w="3117" w:type="dxa"/>
            <w:vAlign w:val="bottom"/>
          </w:tcPr>
          <w:p w14:paraId="2784E978" w14:textId="77777777" w:rsidR="00980919" w:rsidRDefault="00980919" w:rsidP="001515D5">
            <w:r>
              <w:t>260</w:t>
            </w:r>
          </w:p>
        </w:tc>
        <w:tc>
          <w:tcPr>
            <w:tcW w:w="3117" w:type="dxa"/>
            <w:vAlign w:val="bottom"/>
          </w:tcPr>
          <w:p w14:paraId="30FD7437" w14:textId="77777777" w:rsidR="00980919" w:rsidRDefault="00980919" w:rsidP="001515D5">
            <w:r>
              <w:t>312</w:t>
            </w:r>
          </w:p>
        </w:tc>
      </w:tr>
      <w:tr w:rsidR="00980919" w14:paraId="4B3A2088" w14:textId="77777777" w:rsidTr="001515D5">
        <w:tc>
          <w:tcPr>
            <w:tcW w:w="3116" w:type="dxa"/>
            <w:vAlign w:val="bottom"/>
          </w:tcPr>
          <w:p w14:paraId="333A4C1A" w14:textId="77777777" w:rsidR="00980919" w:rsidRDefault="00980919" w:rsidP="001515D5">
            <w:r>
              <w:t>1/2/21</w:t>
            </w:r>
          </w:p>
        </w:tc>
        <w:tc>
          <w:tcPr>
            <w:tcW w:w="3117" w:type="dxa"/>
            <w:vAlign w:val="bottom"/>
          </w:tcPr>
          <w:p w14:paraId="5E8656F0" w14:textId="77777777" w:rsidR="00980919" w:rsidRDefault="00980919" w:rsidP="001515D5">
            <w:r>
              <w:t>341</w:t>
            </w:r>
          </w:p>
        </w:tc>
        <w:tc>
          <w:tcPr>
            <w:tcW w:w="3117" w:type="dxa"/>
            <w:vAlign w:val="bottom"/>
          </w:tcPr>
          <w:p w14:paraId="62C218B1" w14:textId="77777777" w:rsidR="00980919" w:rsidRDefault="00980919" w:rsidP="001515D5">
            <w:r>
              <w:t>410</w:t>
            </w:r>
          </w:p>
        </w:tc>
      </w:tr>
      <w:tr w:rsidR="00980919" w14:paraId="4756B96A" w14:textId="77777777" w:rsidTr="001515D5">
        <w:tc>
          <w:tcPr>
            <w:tcW w:w="3116" w:type="dxa"/>
            <w:vAlign w:val="bottom"/>
          </w:tcPr>
          <w:p w14:paraId="0FFEE045" w14:textId="77777777" w:rsidR="00980919" w:rsidRDefault="00980919" w:rsidP="001515D5">
            <w:r>
              <w:t>1/9/21</w:t>
            </w:r>
          </w:p>
        </w:tc>
        <w:tc>
          <w:tcPr>
            <w:tcW w:w="3117" w:type="dxa"/>
            <w:vAlign w:val="bottom"/>
          </w:tcPr>
          <w:p w14:paraId="3FEE68E5" w14:textId="77777777" w:rsidR="00980919" w:rsidRDefault="00980919" w:rsidP="001515D5">
            <w:r>
              <w:t>474</w:t>
            </w:r>
          </w:p>
        </w:tc>
        <w:tc>
          <w:tcPr>
            <w:tcW w:w="3117" w:type="dxa"/>
            <w:vAlign w:val="bottom"/>
          </w:tcPr>
          <w:p w14:paraId="383AEB04" w14:textId="77777777" w:rsidR="00980919" w:rsidRDefault="00980919" w:rsidP="001515D5">
            <w:r>
              <w:t>518</w:t>
            </w:r>
          </w:p>
        </w:tc>
      </w:tr>
      <w:tr w:rsidR="00980919" w14:paraId="2B1ADC6C" w14:textId="77777777" w:rsidTr="001515D5">
        <w:tc>
          <w:tcPr>
            <w:tcW w:w="3116" w:type="dxa"/>
            <w:vAlign w:val="bottom"/>
          </w:tcPr>
          <w:p w14:paraId="651403DA" w14:textId="77777777" w:rsidR="00980919" w:rsidRDefault="00980919" w:rsidP="001515D5">
            <w:r>
              <w:t>1/16/21</w:t>
            </w:r>
          </w:p>
        </w:tc>
        <w:tc>
          <w:tcPr>
            <w:tcW w:w="3117" w:type="dxa"/>
            <w:vAlign w:val="bottom"/>
          </w:tcPr>
          <w:p w14:paraId="4BE4B50F" w14:textId="77777777" w:rsidR="00980919" w:rsidRDefault="00980919" w:rsidP="001515D5">
            <w:r>
              <w:t>474</w:t>
            </w:r>
          </w:p>
        </w:tc>
        <w:tc>
          <w:tcPr>
            <w:tcW w:w="3117" w:type="dxa"/>
            <w:vAlign w:val="bottom"/>
          </w:tcPr>
          <w:p w14:paraId="2002EBC0" w14:textId="77777777" w:rsidR="00980919" w:rsidRDefault="00980919" w:rsidP="001515D5">
            <w:r>
              <w:t>416</w:t>
            </w:r>
          </w:p>
        </w:tc>
      </w:tr>
      <w:tr w:rsidR="00980919" w14:paraId="25AD48B7" w14:textId="77777777" w:rsidTr="001515D5">
        <w:tc>
          <w:tcPr>
            <w:tcW w:w="3116" w:type="dxa"/>
            <w:vAlign w:val="bottom"/>
          </w:tcPr>
          <w:p w14:paraId="4086F380" w14:textId="77777777" w:rsidR="00980919" w:rsidRDefault="00980919" w:rsidP="001515D5">
            <w:r>
              <w:t>1/23/21</w:t>
            </w:r>
          </w:p>
        </w:tc>
        <w:tc>
          <w:tcPr>
            <w:tcW w:w="3117" w:type="dxa"/>
            <w:vAlign w:val="bottom"/>
          </w:tcPr>
          <w:p w14:paraId="14384E4B" w14:textId="77777777" w:rsidR="00980919" w:rsidRDefault="00980919" w:rsidP="001515D5">
            <w:r>
              <w:t>397</w:t>
            </w:r>
          </w:p>
        </w:tc>
        <w:tc>
          <w:tcPr>
            <w:tcW w:w="3117" w:type="dxa"/>
            <w:vAlign w:val="bottom"/>
          </w:tcPr>
          <w:p w14:paraId="4F205016" w14:textId="77777777" w:rsidR="00980919" w:rsidRDefault="00980919" w:rsidP="001515D5">
            <w:r>
              <w:t>362</w:t>
            </w:r>
          </w:p>
        </w:tc>
      </w:tr>
      <w:tr w:rsidR="00980919" w14:paraId="36D9F595" w14:textId="77777777" w:rsidTr="001515D5">
        <w:tc>
          <w:tcPr>
            <w:tcW w:w="3116" w:type="dxa"/>
            <w:vAlign w:val="bottom"/>
          </w:tcPr>
          <w:p w14:paraId="03CB5D77" w14:textId="77777777" w:rsidR="00980919" w:rsidRDefault="00980919" w:rsidP="001515D5">
            <w:r>
              <w:t>1/30/21</w:t>
            </w:r>
          </w:p>
        </w:tc>
        <w:tc>
          <w:tcPr>
            <w:tcW w:w="3117" w:type="dxa"/>
            <w:vAlign w:val="bottom"/>
          </w:tcPr>
          <w:p w14:paraId="2BCD4E90" w14:textId="77777777" w:rsidR="00980919" w:rsidRDefault="00980919" w:rsidP="001515D5">
            <w:r>
              <w:t>350</w:t>
            </w:r>
          </w:p>
        </w:tc>
        <w:tc>
          <w:tcPr>
            <w:tcW w:w="3117" w:type="dxa"/>
            <w:vAlign w:val="bottom"/>
          </w:tcPr>
          <w:p w14:paraId="7E4BA3DB" w14:textId="77777777" w:rsidR="00980919" w:rsidRDefault="00980919" w:rsidP="001515D5">
            <w:r>
              <w:t>323</w:t>
            </w:r>
          </w:p>
        </w:tc>
      </w:tr>
      <w:tr w:rsidR="00980919" w14:paraId="4630DCB6" w14:textId="77777777" w:rsidTr="001515D5">
        <w:tc>
          <w:tcPr>
            <w:tcW w:w="3116" w:type="dxa"/>
            <w:vAlign w:val="bottom"/>
          </w:tcPr>
          <w:p w14:paraId="62AF13B1" w14:textId="77777777" w:rsidR="00980919" w:rsidRDefault="00980919" w:rsidP="001515D5">
            <w:r>
              <w:t>2/6/21</w:t>
            </w:r>
          </w:p>
        </w:tc>
        <w:tc>
          <w:tcPr>
            <w:tcW w:w="3117" w:type="dxa"/>
            <w:vAlign w:val="bottom"/>
          </w:tcPr>
          <w:p w14:paraId="719360D6" w14:textId="77777777" w:rsidR="00980919" w:rsidRDefault="00980919" w:rsidP="001515D5">
            <w:r>
              <w:t>257</w:t>
            </w:r>
          </w:p>
        </w:tc>
        <w:tc>
          <w:tcPr>
            <w:tcW w:w="3117" w:type="dxa"/>
            <w:vAlign w:val="bottom"/>
          </w:tcPr>
          <w:p w14:paraId="3DF6F564" w14:textId="77777777" w:rsidR="00980919" w:rsidRDefault="00980919" w:rsidP="001515D5">
            <w:r>
              <w:t>267</w:t>
            </w:r>
          </w:p>
        </w:tc>
      </w:tr>
      <w:tr w:rsidR="00980919" w14:paraId="0224871D" w14:textId="77777777" w:rsidTr="001515D5">
        <w:tc>
          <w:tcPr>
            <w:tcW w:w="3116" w:type="dxa"/>
            <w:vAlign w:val="bottom"/>
          </w:tcPr>
          <w:p w14:paraId="5B9014B9" w14:textId="77777777" w:rsidR="00980919" w:rsidRDefault="00980919" w:rsidP="001515D5">
            <w:r>
              <w:t>2/13/21</w:t>
            </w:r>
          </w:p>
        </w:tc>
        <w:tc>
          <w:tcPr>
            <w:tcW w:w="3117" w:type="dxa"/>
            <w:vAlign w:val="bottom"/>
          </w:tcPr>
          <w:p w14:paraId="4177D88B" w14:textId="77777777" w:rsidR="00980919" w:rsidRDefault="00980919" w:rsidP="001515D5">
            <w:r>
              <w:t>232</w:t>
            </w:r>
          </w:p>
        </w:tc>
        <w:tc>
          <w:tcPr>
            <w:tcW w:w="3117" w:type="dxa"/>
            <w:vAlign w:val="bottom"/>
          </w:tcPr>
          <w:p w14:paraId="2DBB3672" w14:textId="77777777" w:rsidR="00980919" w:rsidRDefault="00980919" w:rsidP="001515D5">
            <w:r>
              <w:t>223</w:t>
            </w:r>
          </w:p>
        </w:tc>
      </w:tr>
      <w:tr w:rsidR="00980919" w14:paraId="598E43CD" w14:textId="77777777" w:rsidTr="001515D5">
        <w:tc>
          <w:tcPr>
            <w:tcW w:w="3116" w:type="dxa"/>
            <w:vAlign w:val="bottom"/>
          </w:tcPr>
          <w:p w14:paraId="4E6012E4" w14:textId="77777777" w:rsidR="00980919" w:rsidRDefault="00980919" w:rsidP="001515D5">
            <w:r>
              <w:t>2/20/21</w:t>
            </w:r>
          </w:p>
        </w:tc>
        <w:tc>
          <w:tcPr>
            <w:tcW w:w="3117" w:type="dxa"/>
            <w:vAlign w:val="bottom"/>
          </w:tcPr>
          <w:p w14:paraId="56C186E0" w14:textId="77777777" w:rsidR="00980919" w:rsidRDefault="00980919" w:rsidP="001515D5">
            <w:r>
              <w:t>159</w:t>
            </w:r>
          </w:p>
        </w:tc>
        <w:tc>
          <w:tcPr>
            <w:tcW w:w="3117" w:type="dxa"/>
            <w:vAlign w:val="bottom"/>
          </w:tcPr>
          <w:p w14:paraId="59602C3F" w14:textId="77777777" w:rsidR="00980919" w:rsidRDefault="00980919" w:rsidP="001515D5">
            <w:r>
              <w:t>171</w:t>
            </w:r>
          </w:p>
        </w:tc>
      </w:tr>
      <w:tr w:rsidR="00980919" w14:paraId="1DB01329" w14:textId="77777777" w:rsidTr="001515D5">
        <w:tc>
          <w:tcPr>
            <w:tcW w:w="3116" w:type="dxa"/>
            <w:vAlign w:val="bottom"/>
          </w:tcPr>
          <w:p w14:paraId="41CC0449" w14:textId="77777777" w:rsidR="00980919" w:rsidRDefault="00980919" w:rsidP="001515D5">
            <w:r>
              <w:t>2/27/21</w:t>
            </w:r>
          </w:p>
        </w:tc>
        <w:tc>
          <w:tcPr>
            <w:tcW w:w="3117" w:type="dxa"/>
            <w:vAlign w:val="bottom"/>
          </w:tcPr>
          <w:p w14:paraId="4ACD452D" w14:textId="77777777" w:rsidR="00980919" w:rsidRDefault="00980919" w:rsidP="001515D5">
            <w:r>
              <w:t>142</w:t>
            </w:r>
          </w:p>
        </w:tc>
        <w:tc>
          <w:tcPr>
            <w:tcW w:w="3117" w:type="dxa"/>
            <w:vAlign w:val="bottom"/>
          </w:tcPr>
          <w:p w14:paraId="3FE3B553" w14:textId="77777777" w:rsidR="00980919" w:rsidRDefault="00980919" w:rsidP="001515D5">
            <w:r>
              <w:t>145</w:t>
            </w:r>
          </w:p>
        </w:tc>
      </w:tr>
      <w:tr w:rsidR="00980919" w14:paraId="32B52D49" w14:textId="77777777" w:rsidTr="001515D5">
        <w:tc>
          <w:tcPr>
            <w:tcW w:w="3116" w:type="dxa"/>
            <w:vAlign w:val="bottom"/>
          </w:tcPr>
          <w:p w14:paraId="06DBD5DA" w14:textId="77777777" w:rsidR="00980919" w:rsidRDefault="00980919" w:rsidP="001515D5">
            <w:r>
              <w:t>3/6/21</w:t>
            </w:r>
          </w:p>
        </w:tc>
        <w:tc>
          <w:tcPr>
            <w:tcW w:w="3117" w:type="dxa"/>
            <w:vAlign w:val="bottom"/>
          </w:tcPr>
          <w:p w14:paraId="3AA7CA63" w14:textId="77777777" w:rsidR="00980919" w:rsidRDefault="00980919" w:rsidP="001515D5">
            <w:r>
              <w:t>111</w:t>
            </w:r>
          </w:p>
        </w:tc>
        <w:tc>
          <w:tcPr>
            <w:tcW w:w="3117" w:type="dxa"/>
            <w:vAlign w:val="bottom"/>
          </w:tcPr>
          <w:p w14:paraId="520C08A9" w14:textId="77777777" w:rsidR="00980919" w:rsidRDefault="00980919" w:rsidP="001515D5">
            <w:r>
              <w:t>109</w:t>
            </w:r>
          </w:p>
        </w:tc>
      </w:tr>
      <w:tr w:rsidR="00980919" w14:paraId="16E3D622" w14:textId="77777777" w:rsidTr="001515D5">
        <w:tc>
          <w:tcPr>
            <w:tcW w:w="3116" w:type="dxa"/>
            <w:vAlign w:val="bottom"/>
          </w:tcPr>
          <w:p w14:paraId="6B9726F4" w14:textId="77777777" w:rsidR="00980919" w:rsidRDefault="00980919" w:rsidP="001515D5">
            <w:r>
              <w:t>3/13/21</w:t>
            </w:r>
          </w:p>
        </w:tc>
        <w:tc>
          <w:tcPr>
            <w:tcW w:w="3117" w:type="dxa"/>
            <w:vAlign w:val="bottom"/>
          </w:tcPr>
          <w:p w14:paraId="20BE4BE3" w14:textId="77777777" w:rsidR="00980919" w:rsidRDefault="00980919" w:rsidP="001515D5">
            <w:r>
              <w:t>98</w:t>
            </w:r>
          </w:p>
        </w:tc>
        <w:tc>
          <w:tcPr>
            <w:tcW w:w="3117" w:type="dxa"/>
            <w:vAlign w:val="bottom"/>
          </w:tcPr>
          <w:p w14:paraId="3F7216DC" w14:textId="77777777" w:rsidR="00980919" w:rsidRDefault="00980919" w:rsidP="001515D5">
            <w:r>
              <w:t>92</w:t>
            </w:r>
          </w:p>
        </w:tc>
      </w:tr>
      <w:tr w:rsidR="00980919" w14:paraId="4E2FE456" w14:textId="77777777" w:rsidTr="001515D5">
        <w:tc>
          <w:tcPr>
            <w:tcW w:w="3116" w:type="dxa"/>
            <w:vAlign w:val="bottom"/>
          </w:tcPr>
          <w:p w14:paraId="3D9A9285" w14:textId="77777777" w:rsidR="00980919" w:rsidRDefault="00980919" w:rsidP="001515D5">
            <w:r>
              <w:t>3/20/21</w:t>
            </w:r>
          </w:p>
        </w:tc>
        <w:tc>
          <w:tcPr>
            <w:tcW w:w="3117" w:type="dxa"/>
            <w:vAlign w:val="bottom"/>
          </w:tcPr>
          <w:p w14:paraId="6DF3CCAF" w14:textId="77777777" w:rsidR="00980919" w:rsidRDefault="00980919" w:rsidP="001515D5">
            <w:r>
              <w:t>112</w:t>
            </w:r>
          </w:p>
        </w:tc>
        <w:tc>
          <w:tcPr>
            <w:tcW w:w="3117" w:type="dxa"/>
            <w:vAlign w:val="bottom"/>
          </w:tcPr>
          <w:p w14:paraId="3D0043A5" w14:textId="77777777" w:rsidR="00980919" w:rsidRDefault="00980919" w:rsidP="001515D5">
            <w:r>
              <w:t>103</w:t>
            </w:r>
          </w:p>
        </w:tc>
      </w:tr>
      <w:tr w:rsidR="00980919" w14:paraId="7FE11A3E" w14:textId="77777777" w:rsidTr="001515D5">
        <w:tc>
          <w:tcPr>
            <w:tcW w:w="3116" w:type="dxa"/>
            <w:vAlign w:val="bottom"/>
          </w:tcPr>
          <w:p w14:paraId="1E579774" w14:textId="77777777" w:rsidR="00980919" w:rsidRDefault="00980919" w:rsidP="001515D5">
            <w:r>
              <w:t>3/27/21</w:t>
            </w:r>
          </w:p>
        </w:tc>
        <w:tc>
          <w:tcPr>
            <w:tcW w:w="3117" w:type="dxa"/>
            <w:vAlign w:val="bottom"/>
          </w:tcPr>
          <w:p w14:paraId="2159F94F" w14:textId="77777777" w:rsidR="00980919" w:rsidRDefault="00980919" w:rsidP="001515D5">
            <w:r>
              <w:t>107</w:t>
            </w:r>
          </w:p>
        </w:tc>
        <w:tc>
          <w:tcPr>
            <w:tcW w:w="3117" w:type="dxa"/>
            <w:vAlign w:val="bottom"/>
          </w:tcPr>
          <w:p w14:paraId="13BE2012" w14:textId="77777777" w:rsidR="00980919" w:rsidRDefault="00980919" w:rsidP="001515D5">
            <w:r>
              <w:t>101</w:t>
            </w:r>
          </w:p>
        </w:tc>
      </w:tr>
      <w:tr w:rsidR="00980919" w14:paraId="309BD977" w14:textId="77777777" w:rsidTr="001515D5">
        <w:tc>
          <w:tcPr>
            <w:tcW w:w="3116" w:type="dxa"/>
            <w:vAlign w:val="bottom"/>
          </w:tcPr>
          <w:p w14:paraId="79B8B634" w14:textId="77777777" w:rsidR="00980919" w:rsidRDefault="00980919" w:rsidP="001515D5">
            <w:r>
              <w:t>4/3/21</w:t>
            </w:r>
          </w:p>
        </w:tc>
        <w:tc>
          <w:tcPr>
            <w:tcW w:w="3117" w:type="dxa"/>
            <w:vAlign w:val="bottom"/>
          </w:tcPr>
          <w:p w14:paraId="3E32E87E" w14:textId="77777777" w:rsidR="00980919" w:rsidRDefault="00980919" w:rsidP="001515D5">
            <w:r>
              <w:t>91</w:t>
            </w:r>
          </w:p>
        </w:tc>
        <w:tc>
          <w:tcPr>
            <w:tcW w:w="3117" w:type="dxa"/>
            <w:vAlign w:val="bottom"/>
          </w:tcPr>
          <w:p w14:paraId="420E1080" w14:textId="77777777" w:rsidR="00980919" w:rsidRDefault="00980919" w:rsidP="001515D5">
            <w:r>
              <w:t>98</w:t>
            </w:r>
          </w:p>
        </w:tc>
      </w:tr>
      <w:tr w:rsidR="00980919" w14:paraId="45678D43" w14:textId="77777777" w:rsidTr="001515D5">
        <w:tc>
          <w:tcPr>
            <w:tcW w:w="3116" w:type="dxa"/>
            <w:vAlign w:val="bottom"/>
          </w:tcPr>
          <w:p w14:paraId="65F27156" w14:textId="77777777" w:rsidR="00980919" w:rsidRDefault="00980919" w:rsidP="001515D5">
            <w:r>
              <w:t>4/10/21</w:t>
            </w:r>
          </w:p>
        </w:tc>
        <w:tc>
          <w:tcPr>
            <w:tcW w:w="3117" w:type="dxa"/>
            <w:vAlign w:val="bottom"/>
          </w:tcPr>
          <w:p w14:paraId="20F2D88B" w14:textId="77777777" w:rsidR="00980919" w:rsidRDefault="00980919" w:rsidP="001515D5">
            <w:r>
              <w:t>85</w:t>
            </w:r>
          </w:p>
        </w:tc>
        <w:tc>
          <w:tcPr>
            <w:tcW w:w="3117" w:type="dxa"/>
            <w:vAlign w:val="bottom"/>
          </w:tcPr>
          <w:p w14:paraId="1F6A2058" w14:textId="77777777" w:rsidR="00980919" w:rsidRDefault="00980919" w:rsidP="001515D5">
            <w:r>
              <w:t>88</w:t>
            </w:r>
          </w:p>
        </w:tc>
      </w:tr>
      <w:tr w:rsidR="00980919" w14:paraId="2B47B22F" w14:textId="77777777" w:rsidTr="001515D5">
        <w:tc>
          <w:tcPr>
            <w:tcW w:w="3116" w:type="dxa"/>
            <w:vAlign w:val="bottom"/>
          </w:tcPr>
          <w:p w14:paraId="30A30D25" w14:textId="77777777" w:rsidR="00980919" w:rsidRDefault="00980919" w:rsidP="001515D5">
            <w:r>
              <w:t>4/17/21</w:t>
            </w:r>
          </w:p>
        </w:tc>
        <w:tc>
          <w:tcPr>
            <w:tcW w:w="3117" w:type="dxa"/>
            <w:vAlign w:val="bottom"/>
          </w:tcPr>
          <w:p w14:paraId="7A3C1B0E" w14:textId="77777777" w:rsidR="00980919" w:rsidRDefault="00980919" w:rsidP="001515D5">
            <w:r>
              <w:t>104</w:t>
            </w:r>
          </w:p>
        </w:tc>
        <w:tc>
          <w:tcPr>
            <w:tcW w:w="3117" w:type="dxa"/>
            <w:vAlign w:val="bottom"/>
          </w:tcPr>
          <w:p w14:paraId="6EE6E763" w14:textId="77777777" w:rsidR="00980919" w:rsidRDefault="00980919" w:rsidP="001515D5">
            <w:r>
              <w:t>100</w:t>
            </w:r>
          </w:p>
        </w:tc>
      </w:tr>
      <w:tr w:rsidR="00980919" w14:paraId="6D255E34" w14:textId="77777777" w:rsidTr="001515D5">
        <w:tc>
          <w:tcPr>
            <w:tcW w:w="3116" w:type="dxa"/>
            <w:vAlign w:val="bottom"/>
          </w:tcPr>
          <w:p w14:paraId="788B7A3B" w14:textId="77777777" w:rsidR="00980919" w:rsidRDefault="00980919" w:rsidP="001515D5">
            <w:r>
              <w:t>4/24/21</w:t>
            </w:r>
          </w:p>
        </w:tc>
        <w:tc>
          <w:tcPr>
            <w:tcW w:w="3117" w:type="dxa"/>
            <w:vAlign w:val="bottom"/>
          </w:tcPr>
          <w:p w14:paraId="19DD1C60" w14:textId="77777777" w:rsidR="00980919" w:rsidRDefault="00980919" w:rsidP="001515D5">
            <w:r>
              <w:t>93</w:t>
            </w:r>
          </w:p>
        </w:tc>
        <w:tc>
          <w:tcPr>
            <w:tcW w:w="3117" w:type="dxa"/>
            <w:vAlign w:val="bottom"/>
          </w:tcPr>
          <w:p w14:paraId="52965AC7" w14:textId="77777777" w:rsidR="00980919" w:rsidRDefault="00980919" w:rsidP="001515D5">
            <w:r>
              <w:t>77</w:t>
            </w:r>
          </w:p>
        </w:tc>
      </w:tr>
      <w:tr w:rsidR="00980919" w14:paraId="3EDD17B7" w14:textId="77777777" w:rsidTr="001515D5">
        <w:tc>
          <w:tcPr>
            <w:tcW w:w="3116" w:type="dxa"/>
            <w:vAlign w:val="bottom"/>
          </w:tcPr>
          <w:p w14:paraId="4D9BEFE5" w14:textId="77777777" w:rsidR="00980919" w:rsidRDefault="00980919" w:rsidP="001515D5">
            <w:r>
              <w:t>5/1/21</w:t>
            </w:r>
          </w:p>
        </w:tc>
        <w:tc>
          <w:tcPr>
            <w:tcW w:w="3117" w:type="dxa"/>
            <w:vAlign w:val="bottom"/>
          </w:tcPr>
          <w:p w14:paraId="724EF988" w14:textId="77777777" w:rsidR="00980919" w:rsidRDefault="00980919" w:rsidP="001515D5">
            <w:r>
              <w:t>82</w:t>
            </w:r>
          </w:p>
        </w:tc>
        <w:tc>
          <w:tcPr>
            <w:tcW w:w="3117" w:type="dxa"/>
            <w:vAlign w:val="bottom"/>
          </w:tcPr>
          <w:p w14:paraId="5AC7D256" w14:textId="77777777" w:rsidR="00980919" w:rsidRDefault="00980919" w:rsidP="001515D5">
            <w:r>
              <w:t>67</w:t>
            </w:r>
          </w:p>
        </w:tc>
      </w:tr>
      <w:tr w:rsidR="00980919" w14:paraId="053B4DC3" w14:textId="77777777" w:rsidTr="001515D5">
        <w:tc>
          <w:tcPr>
            <w:tcW w:w="3116" w:type="dxa"/>
            <w:vAlign w:val="bottom"/>
          </w:tcPr>
          <w:p w14:paraId="42E3A597" w14:textId="77777777" w:rsidR="00980919" w:rsidRDefault="00980919" w:rsidP="001515D5">
            <w:r>
              <w:t>5/8/21</w:t>
            </w:r>
          </w:p>
        </w:tc>
        <w:tc>
          <w:tcPr>
            <w:tcW w:w="3117" w:type="dxa"/>
            <w:vAlign w:val="bottom"/>
          </w:tcPr>
          <w:p w14:paraId="32547117" w14:textId="77777777" w:rsidR="00980919" w:rsidRDefault="00980919" w:rsidP="001515D5">
            <w:r>
              <w:t>70</w:t>
            </w:r>
          </w:p>
        </w:tc>
        <w:tc>
          <w:tcPr>
            <w:tcW w:w="3117" w:type="dxa"/>
            <w:vAlign w:val="bottom"/>
          </w:tcPr>
          <w:p w14:paraId="6C835406" w14:textId="77777777" w:rsidR="00980919" w:rsidRDefault="00980919" w:rsidP="001515D5">
            <w:r>
              <w:t>56</w:t>
            </w:r>
          </w:p>
        </w:tc>
      </w:tr>
      <w:tr w:rsidR="00980919" w14:paraId="1A2E87F4" w14:textId="77777777" w:rsidTr="001515D5">
        <w:tc>
          <w:tcPr>
            <w:tcW w:w="3116" w:type="dxa"/>
            <w:vAlign w:val="bottom"/>
          </w:tcPr>
          <w:p w14:paraId="4F22F4C0" w14:textId="77777777" w:rsidR="00980919" w:rsidRDefault="00980919" w:rsidP="001515D5">
            <w:r>
              <w:t>5/15/21</w:t>
            </w:r>
          </w:p>
        </w:tc>
        <w:tc>
          <w:tcPr>
            <w:tcW w:w="3117" w:type="dxa"/>
            <w:vAlign w:val="bottom"/>
          </w:tcPr>
          <w:p w14:paraId="0B144B76" w14:textId="77777777" w:rsidR="00980919" w:rsidRDefault="00980919" w:rsidP="001515D5">
            <w:r>
              <w:t>54</w:t>
            </w:r>
          </w:p>
        </w:tc>
        <w:tc>
          <w:tcPr>
            <w:tcW w:w="3117" w:type="dxa"/>
            <w:vAlign w:val="bottom"/>
          </w:tcPr>
          <w:p w14:paraId="249F9BF3" w14:textId="77777777" w:rsidR="00980919" w:rsidRDefault="00980919" w:rsidP="001515D5">
            <w:r>
              <w:t>44</w:t>
            </w:r>
          </w:p>
        </w:tc>
      </w:tr>
      <w:tr w:rsidR="00980919" w14:paraId="24AE2249" w14:textId="77777777" w:rsidTr="001515D5">
        <w:tc>
          <w:tcPr>
            <w:tcW w:w="3116" w:type="dxa"/>
            <w:vAlign w:val="bottom"/>
          </w:tcPr>
          <w:p w14:paraId="06226AD8" w14:textId="77777777" w:rsidR="00980919" w:rsidRDefault="00980919" w:rsidP="001515D5">
            <w:r>
              <w:t>5/22/21</w:t>
            </w:r>
          </w:p>
        </w:tc>
        <w:tc>
          <w:tcPr>
            <w:tcW w:w="3117" w:type="dxa"/>
            <w:vAlign w:val="bottom"/>
          </w:tcPr>
          <w:p w14:paraId="716993B8" w14:textId="77777777" w:rsidR="00980919" w:rsidRDefault="00980919" w:rsidP="001515D5">
            <w:r>
              <w:t>44</w:t>
            </w:r>
          </w:p>
        </w:tc>
        <w:tc>
          <w:tcPr>
            <w:tcW w:w="3117" w:type="dxa"/>
            <w:vAlign w:val="bottom"/>
          </w:tcPr>
          <w:p w14:paraId="7A54DCF8" w14:textId="77777777" w:rsidR="00980919" w:rsidRDefault="00980919" w:rsidP="001515D5">
            <w:r>
              <w:t>33</w:t>
            </w:r>
          </w:p>
        </w:tc>
      </w:tr>
      <w:tr w:rsidR="00980919" w14:paraId="54C001FC" w14:textId="77777777" w:rsidTr="001515D5">
        <w:tc>
          <w:tcPr>
            <w:tcW w:w="3116" w:type="dxa"/>
            <w:vAlign w:val="bottom"/>
          </w:tcPr>
          <w:p w14:paraId="47661EAA" w14:textId="77777777" w:rsidR="00980919" w:rsidRDefault="00980919" w:rsidP="001515D5">
            <w:r>
              <w:lastRenderedPageBreak/>
              <w:t>5/29/21</w:t>
            </w:r>
          </w:p>
        </w:tc>
        <w:tc>
          <w:tcPr>
            <w:tcW w:w="3117" w:type="dxa"/>
            <w:vAlign w:val="bottom"/>
          </w:tcPr>
          <w:p w14:paraId="33B338EC" w14:textId="77777777" w:rsidR="00980919" w:rsidRDefault="00980919" w:rsidP="001515D5">
            <w:r>
              <w:t>36</w:t>
            </w:r>
          </w:p>
        </w:tc>
        <w:tc>
          <w:tcPr>
            <w:tcW w:w="3117" w:type="dxa"/>
            <w:vAlign w:val="bottom"/>
          </w:tcPr>
          <w:p w14:paraId="7D9B956A" w14:textId="77777777" w:rsidR="00980919" w:rsidRDefault="00980919" w:rsidP="001515D5">
            <w:r>
              <w:t>28</w:t>
            </w:r>
          </w:p>
        </w:tc>
      </w:tr>
      <w:tr w:rsidR="00980919" w14:paraId="5BE236CC" w14:textId="77777777" w:rsidTr="001515D5">
        <w:tc>
          <w:tcPr>
            <w:tcW w:w="3116" w:type="dxa"/>
            <w:vAlign w:val="bottom"/>
          </w:tcPr>
          <w:p w14:paraId="651911C3" w14:textId="77777777" w:rsidR="00980919" w:rsidRDefault="00980919" w:rsidP="001515D5">
            <w:r>
              <w:t>6/5/21</w:t>
            </w:r>
          </w:p>
        </w:tc>
        <w:tc>
          <w:tcPr>
            <w:tcW w:w="3117" w:type="dxa"/>
            <w:vAlign w:val="bottom"/>
          </w:tcPr>
          <w:p w14:paraId="0DCB514A" w14:textId="77777777" w:rsidR="00980919" w:rsidRDefault="00980919" w:rsidP="001515D5">
            <w:r>
              <w:t>22</w:t>
            </w:r>
          </w:p>
        </w:tc>
        <w:tc>
          <w:tcPr>
            <w:tcW w:w="3117" w:type="dxa"/>
            <w:vAlign w:val="bottom"/>
          </w:tcPr>
          <w:p w14:paraId="4BFA497E" w14:textId="77777777" w:rsidR="00980919" w:rsidRDefault="00980919" w:rsidP="001515D5">
            <w:r>
              <w:t>21</w:t>
            </w:r>
          </w:p>
        </w:tc>
      </w:tr>
      <w:tr w:rsidR="00980919" w14:paraId="61DC0489" w14:textId="77777777" w:rsidTr="001515D5">
        <w:tc>
          <w:tcPr>
            <w:tcW w:w="3116" w:type="dxa"/>
            <w:vAlign w:val="bottom"/>
          </w:tcPr>
          <w:p w14:paraId="105D09A7" w14:textId="77777777" w:rsidR="00980919" w:rsidRDefault="00980919" w:rsidP="001515D5">
            <w:r>
              <w:t>6/12/21</w:t>
            </w:r>
          </w:p>
        </w:tc>
        <w:tc>
          <w:tcPr>
            <w:tcW w:w="3117" w:type="dxa"/>
            <w:vAlign w:val="bottom"/>
          </w:tcPr>
          <w:p w14:paraId="5C480177" w14:textId="77777777" w:rsidR="00980919" w:rsidRDefault="00980919" w:rsidP="001515D5">
            <w:r>
              <w:t>20</w:t>
            </w:r>
          </w:p>
        </w:tc>
        <w:tc>
          <w:tcPr>
            <w:tcW w:w="3117" w:type="dxa"/>
            <w:vAlign w:val="bottom"/>
          </w:tcPr>
          <w:p w14:paraId="516D1C1A" w14:textId="77777777" w:rsidR="00980919" w:rsidRDefault="00980919" w:rsidP="001515D5">
            <w:r>
              <w:t>18</w:t>
            </w:r>
          </w:p>
        </w:tc>
      </w:tr>
      <w:tr w:rsidR="00980919" w14:paraId="1FE547A6" w14:textId="77777777" w:rsidTr="001515D5">
        <w:tc>
          <w:tcPr>
            <w:tcW w:w="3116" w:type="dxa"/>
            <w:vAlign w:val="bottom"/>
          </w:tcPr>
          <w:p w14:paraId="50A6D59C" w14:textId="77777777" w:rsidR="00980919" w:rsidRDefault="00980919" w:rsidP="001515D5">
            <w:r>
              <w:t>6/19/21</w:t>
            </w:r>
          </w:p>
        </w:tc>
        <w:tc>
          <w:tcPr>
            <w:tcW w:w="3117" w:type="dxa"/>
            <w:vAlign w:val="bottom"/>
          </w:tcPr>
          <w:p w14:paraId="2B5D9358" w14:textId="77777777" w:rsidR="00980919" w:rsidRDefault="00980919" w:rsidP="001515D5">
            <w:r>
              <w:t>17</w:t>
            </w:r>
          </w:p>
        </w:tc>
        <w:tc>
          <w:tcPr>
            <w:tcW w:w="3117" w:type="dxa"/>
            <w:vAlign w:val="bottom"/>
          </w:tcPr>
          <w:p w14:paraId="3FEA705C" w14:textId="77777777" w:rsidR="00980919" w:rsidRDefault="00980919" w:rsidP="001515D5">
            <w:r>
              <w:t>14</w:t>
            </w:r>
          </w:p>
        </w:tc>
      </w:tr>
      <w:tr w:rsidR="00980919" w14:paraId="3D8AD734" w14:textId="77777777" w:rsidTr="001515D5">
        <w:tc>
          <w:tcPr>
            <w:tcW w:w="3116" w:type="dxa"/>
            <w:vAlign w:val="bottom"/>
          </w:tcPr>
          <w:p w14:paraId="39FA770F" w14:textId="77777777" w:rsidR="00980919" w:rsidRDefault="00980919" w:rsidP="001515D5">
            <w:r>
              <w:t>6/26/21</w:t>
            </w:r>
          </w:p>
        </w:tc>
        <w:tc>
          <w:tcPr>
            <w:tcW w:w="3117" w:type="dxa"/>
            <w:vAlign w:val="bottom"/>
          </w:tcPr>
          <w:p w14:paraId="58B6466D" w14:textId="77777777" w:rsidR="00980919" w:rsidRDefault="00980919" w:rsidP="001515D5">
            <w:r>
              <w:t>17</w:t>
            </w:r>
          </w:p>
        </w:tc>
        <w:tc>
          <w:tcPr>
            <w:tcW w:w="3117" w:type="dxa"/>
            <w:vAlign w:val="bottom"/>
          </w:tcPr>
          <w:p w14:paraId="63B8A47A" w14:textId="77777777" w:rsidR="00980919" w:rsidRDefault="00980919" w:rsidP="001515D5">
            <w:r>
              <w:t>15</w:t>
            </w:r>
          </w:p>
        </w:tc>
      </w:tr>
      <w:tr w:rsidR="00980919" w14:paraId="4A9086E6" w14:textId="77777777" w:rsidTr="001515D5">
        <w:tc>
          <w:tcPr>
            <w:tcW w:w="3116" w:type="dxa"/>
            <w:vAlign w:val="bottom"/>
          </w:tcPr>
          <w:p w14:paraId="126EBB89" w14:textId="77777777" w:rsidR="00980919" w:rsidRDefault="00980919" w:rsidP="001515D5">
            <w:r>
              <w:t>7/3/21</w:t>
            </w:r>
          </w:p>
        </w:tc>
        <w:tc>
          <w:tcPr>
            <w:tcW w:w="3117" w:type="dxa"/>
            <w:vAlign w:val="bottom"/>
          </w:tcPr>
          <w:p w14:paraId="3D1D41D9" w14:textId="77777777" w:rsidR="00980919" w:rsidRDefault="00980919" w:rsidP="001515D5">
            <w:r>
              <w:t>20</w:t>
            </w:r>
          </w:p>
        </w:tc>
        <w:tc>
          <w:tcPr>
            <w:tcW w:w="3117" w:type="dxa"/>
            <w:vAlign w:val="bottom"/>
          </w:tcPr>
          <w:p w14:paraId="2673FBD3" w14:textId="77777777" w:rsidR="00980919" w:rsidRDefault="00980919" w:rsidP="001515D5">
            <w:r>
              <w:t>20</w:t>
            </w:r>
          </w:p>
        </w:tc>
      </w:tr>
      <w:tr w:rsidR="00980919" w14:paraId="6F42C90D" w14:textId="77777777" w:rsidTr="001515D5">
        <w:tc>
          <w:tcPr>
            <w:tcW w:w="3116" w:type="dxa"/>
            <w:vAlign w:val="bottom"/>
          </w:tcPr>
          <w:p w14:paraId="2593F6B4" w14:textId="77777777" w:rsidR="00980919" w:rsidRDefault="00980919" w:rsidP="001515D5">
            <w:r>
              <w:t>7/10/21</w:t>
            </w:r>
          </w:p>
        </w:tc>
        <w:tc>
          <w:tcPr>
            <w:tcW w:w="3117" w:type="dxa"/>
            <w:vAlign w:val="bottom"/>
          </w:tcPr>
          <w:p w14:paraId="386C265E" w14:textId="77777777" w:rsidR="00980919" w:rsidRDefault="00980919" w:rsidP="001515D5">
            <w:r>
              <w:t>34</w:t>
            </w:r>
          </w:p>
        </w:tc>
        <w:tc>
          <w:tcPr>
            <w:tcW w:w="3117" w:type="dxa"/>
            <w:vAlign w:val="bottom"/>
          </w:tcPr>
          <w:p w14:paraId="2808A8DC" w14:textId="77777777" w:rsidR="00980919" w:rsidRDefault="00980919" w:rsidP="001515D5">
            <w:r>
              <w:t>35</w:t>
            </w:r>
          </w:p>
        </w:tc>
      </w:tr>
      <w:tr w:rsidR="00980919" w14:paraId="65933A5F" w14:textId="77777777" w:rsidTr="001515D5">
        <w:tc>
          <w:tcPr>
            <w:tcW w:w="3116" w:type="dxa"/>
            <w:vAlign w:val="bottom"/>
          </w:tcPr>
          <w:p w14:paraId="7027DC59" w14:textId="77777777" w:rsidR="00980919" w:rsidRDefault="00980919" w:rsidP="001515D5">
            <w:r>
              <w:t>7/17/21</w:t>
            </w:r>
          </w:p>
        </w:tc>
        <w:tc>
          <w:tcPr>
            <w:tcW w:w="3117" w:type="dxa"/>
            <w:vAlign w:val="bottom"/>
          </w:tcPr>
          <w:p w14:paraId="443D4070" w14:textId="77777777" w:rsidR="00980919" w:rsidRDefault="00980919" w:rsidP="001515D5">
            <w:r>
              <w:t>59</w:t>
            </w:r>
          </w:p>
        </w:tc>
        <w:tc>
          <w:tcPr>
            <w:tcW w:w="3117" w:type="dxa"/>
            <w:vAlign w:val="bottom"/>
          </w:tcPr>
          <w:p w14:paraId="7CDDD722" w14:textId="77777777" w:rsidR="00980919" w:rsidRDefault="00980919" w:rsidP="001515D5">
            <w:r>
              <w:t>57</w:t>
            </w:r>
          </w:p>
        </w:tc>
      </w:tr>
      <w:tr w:rsidR="00980919" w14:paraId="2B2C1635" w14:textId="77777777" w:rsidTr="001515D5">
        <w:tc>
          <w:tcPr>
            <w:tcW w:w="3116" w:type="dxa"/>
            <w:vAlign w:val="bottom"/>
          </w:tcPr>
          <w:p w14:paraId="5C33347D" w14:textId="77777777" w:rsidR="00980919" w:rsidRDefault="00980919" w:rsidP="001515D5">
            <w:r>
              <w:t>7/24/21</w:t>
            </w:r>
          </w:p>
        </w:tc>
        <w:tc>
          <w:tcPr>
            <w:tcW w:w="3117" w:type="dxa"/>
            <w:vAlign w:val="bottom"/>
          </w:tcPr>
          <w:p w14:paraId="3371816B" w14:textId="77777777" w:rsidR="00980919" w:rsidRDefault="00980919" w:rsidP="001515D5">
            <w:r>
              <w:t>115</w:t>
            </w:r>
          </w:p>
        </w:tc>
        <w:tc>
          <w:tcPr>
            <w:tcW w:w="3117" w:type="dxa"/>
            <w:vAlign w:val="bottom"/>
          </w:tcPr>
          <w:p w14:paraId="247EAFD4" w14:textId="77777777" w:rsidR="00980919" w:rsidRDefault="00980919" w:rsidP="001515D5">
            <w:r>
              <w:t>106</w:t>
            </w:r>
          </w:p>
        </w:tc>
      </w:tr>
      <w:tr w:rsidR="00980919" w14:paraId="4A81B055" w14:textId="77777777" w:rsidTr="001515D5">
        <w:tc>
          <w:tcPr>
            <w:tcW w:w="3116" w:type="dxa"/>
            <w:vAlign w:val="bottom"/>
          </w:tcPr>
          <w:p w14:paraId="555CBFF3" w14:textId="77777777" w:rsidR="00980919" w:rsidRDefault="00980919" w:rsidP="001515D5">
            <w:r>
              <w:t>7/31/21</w:t>
            </w:r>
          </w:p>
        </w:tc>
        <w:tc>
          <w:tcPr>
            <w:tcW w:w="3117" w:type="dxa"/>
            <w:vAlign w:val="bottom"/>
          </w:tcPr>
          <w:p w14:paraId="623CBF2B" w14:textId="77777777" w:rsidR="00980919" w:rsidRDefault="00980919" w:rsidP="001515D5">
            <w:r>
              <w:t>205</w:t>
            </w:r>
          </w:p>
        </w:tc>
        <w:tc>
          <w:tcPr>
            <w:tcW w:w="3117" w:type="dxa"/>
            <w:vAlign w:val="bottom"/>
          </w:tcPr>
          <w:p w14:paraId="4F7EB20E" w14:textId="77777777" w:rsidR="00980919" w:rsidRDefault="00980919" w:rsidP="001515D5">
            <w:r>
              <w:t>179</w:t>
            </w:r>
          </w:p>
        </w:tc>
      </w:tr>
      <w:tr w:rsidR="00980919" w14:paraId="1B22ABC2" w14:textId="77777777" w:rsidTr="001515D5">
        <w:tc>
          <w:tcPr>
            <w:tcW w:w="3116" w:type="dxa"/>
            <w:vAlign w:val="bottom"/>
          </w:tcPr>
          <w:p w14:paraId="6C568046" w14:textId="77777777" w:rsidR="00980919" w:rsidRDefault="00980919" w:rsidP="001515D5">
            <w:r>
              <w:t>8/7/21</w:t>
            </w:r>
          </w:p>
        </w:tc>
        <w:tc>
          <w:tcPr>
            <w:tcW w:w="3117" w:type="dxa"/>
            <w:vAlign w:val="bottom"/>
          </w:tcPr>
          <w:p w14:paraId="4D83DDA3" w14:textId="77777777" w:rsidR="00980919" w:rsidRDefault="00980919" w:rsidP="001515D5">
            <w:r>
              <w:t>252</w:t>
            </w:r>
          </w:p>
        </w:tc>
        <w:tc>
          <w:tcPr>
            <w:tcW w:w="3117" w:type="dxa"/>
            <w:vAlign w:val="bottom"/>
          </w:tcPr>
          <w:p w14:paraId="56DA98BF" w14:textId="77777777" w:rsidR="00980919" w:rsidRDefault="00980919" w:rsidP="001515D5">
            <w:r>
              <w:t>249</w:t>
            </w:r>
          </w:p>
        </w:tc>
      </w:tr>
      <w:tr w:rsidR="00980919" w14:paraId="0D57EB1E" w14:textId="77777777" w:rsidTr="001515D5">
        <w:tc>
          <w:tcPr>
            <w:tcW w:w="3116" w:type="dxa"/>
            <w:vAlign w:val="bottom"/>
          </w:tcPr>
          <w:p w14:paraId="1C23F92F" w14:textId="77777777" w:rsidR="00980919" w:rsidRDefault="00980919" w:rsidP="001515D5">
            <w:r>
              <w:t>8/14/21</w:t>
            </w:r>
          </w:p>
        </w:tc>
        <w:tc>
          <w:tcPr>
            <w:tcW w:w="3117" w:type="dxa"/>
            <w:vAlign w:val="bottom"/>
          </w:tcPr>
          <w:p w14:paraId="2B1B5365" w14:textId="77777777" w:rsidR="00980919" w:rsidRDefault="00980919" w:rsidP="001515D5">
            <w:r>
              <w:t>306</w:t>
            </w:r>
          </w:p>
        </w:tc>
        <w:tc>
          <w:tcPr>
            <w:tcW w:w="3117" w:type="dxa"/>
            <w:vAlign w:val="bottom"/>
          </w:tcPr>
          <w:p w14:paraId="525B22EE" w14:textId="77777777" w:rsidR="00980919" w:rsidRDefault="00980919" w:rsidP="001515D5">
            <w:r>
              <w:t>294</w:t>
            </w:r>
          </w:p>
        </w:tc>
      </w:tr>
      <w:tr w:rsidR="00980919" w14:paraId="7511AE28" w14:textId="77777777" w:rsidTr="001515D5">
        <w:tc>
          <w:tcPr>
            <w:tcW w:w="3116" w:type="dxa"/>
            <w:vAlign w:val="bottom"/>
          </w:tcPr>
          <w:p w14:paraId="00E38B89" w14:textId="77777777" w:rsidR="00980919" w:rsidRDefault="00980919" w:rsidP="001515D5">
            <w:r>
              <w:t>8/21/21</w:t>
            </w:r>
          </w:p>
        </w:tc>
        <w:tc>
          <w:tcPr>
            <w:tcW w:w="3117" w:type="dxa"/>
            <w:vAlign w:val="bottom"/>
          </w:tcPr>
          <w:p w14:paraId="346CABA3" w14:textId="77777777" w:rsidR="00980919" w:rsidRDefault="00980919" w:rsidP="001515D5">
            <w:r>
              <w:t>351</w:t>
            </w:r>
          </w:p>
        </w:tc>
        <w:tc>
          <w:tcPr>
            <w:tcW w:w="3117" w:type="dxa"/>
            <w:vAlign w:val="bottom"/>
          </w:tcPr>
          <w:p w14:paraId="48014DC7" w14:textId="77777777" w:rsidR="00980919" w:rsidRDefault="00980919" w:rsidP="001515D5">
            <w:r>
              <w:t>368</w:t>
            </w:r>
          </w:p>
        </w:tc>
      </w:tr>
      <w:tr w:rsidR="00980919" w14:paraId="010EBF6A" w14:textId="77777777" w:rsidTr="001515D5">
        <w:tc>
          <w:tcPr>
            <w:tcW w:w="3116" w:type="dxa"/>
            <w:vAlign w:val="bottom"/>
          </w:tcPr>
          <w:p w14:paraId="42533B7A" w14:textId="77777777" w:rsidR="00980919" w:rsidRDefault="00980919" w:rsidP="001515D5">
            <w:r>
              <w:t>8/28/21</w:t>
            </w:r>
          </w:p>
        </w:tc>
        <w:tc>
          <w:tcPr>
            <w:tcW w:w="3117" w:type="dxa"/>
            <w:vAlign w:val="bottom"/>
          </w:tcPr>
          <w:p w14:paraId="0E1D9668" w14:textId="77777777" w:rsidR="00980919" w:rsidRDefault="00980919" w:rsidP="001515D5">
            <w:r>
              <w:t>429</w:t>
            </w:r>
          </w:p>
        </w:tc>
        <w:tc>
          <w:tcPr>
            <w:tcW w:w="3117" w:type="dxa"/>
            <w:vAlign w:val="bottom"/>
          </w:tcPr>
          <w:p w14:paraId="201FDA84" w14:textId="77777777" w:rsidR="00980919" w:rsidRDefault="00980919" w:rsidP="001515D5">
            <w:r>
              <w:t>431</w:t>
            </w:r>
          </w:p>
        </w:tc>
      </w:tr>
      <w:tr w:rsidR="00980919" w14:paraId="525A4C3F" w14:textId="77777777" w:rsidTr="001515D5">
        <w:tc>
          <w:tcPr>
            <w:tcW w:w="3116" w:type="dxa"/>
            <w:vAlign w:val="bottom"/>
          </w:tcPr>
          <w:p w14:paraId="2DD20799" w14:textId="77777777" w:rsidR="00980919" w:rsidRDefault="00980919" w:rsidP="001515D5">
            <w:r>
              <w:t>9/4/21</w:t>
            </w:r>
          </w:p>
        </w:tc>
        <w:tc>
          <w:tcPr>
            <w:tcW w:w="3117" w:type="dxa"/>
            <w:vAlign w:val="bottom"/>
          </w:tcPr>
          <w:p w14:paraId="6D7A3400" w14:textId="77777777" w:rsidR="00980919" w:rsidRDefault="00980919" w:rsidP="001515D5">
            <w:r>
              <w:t>452</w:t>
            </w:r>
          </w:p>
        </w:tc>
        <w:tc>
          <w:tcPr>
            <w:tcW w:w="3117" w:type="dxa"/>
            <w:vAlign w:val="bottom"/>
          </w:tcPr>
          <w:p w14:paraId="0429CAEB" w14:textId="77777777" w:rsidR="00980919" w:rsidRDefault="00980919" w:rsidP="001515D5">
            <w:r>
              <w:t>456</w:t>
            </w:r>
          </w:p>
        </w:tc>
      </w:tr>
      <w:tr w:rsidR="00980919" w14:paraId="5B947FC6" w14:textId="77777777" w:rsidTr="001515D5">
        <w:tc>
          <w:tcPr>
            <w:tcW w:w="3116" w:type="dxa"/>
            <w:vAlign w:val="bottom"/>
          </w:tcPr>
          <w:p w14:paraId="6D2BF389" w14:textId="77777777" w:rsidR="00980919" w:rsidRDefault="00980919" w:rsidP="001515D5">
            <w:r>
              <w:t>9/11/21</w:t>
            </w:r>
          </w:p>
        </w:tc>
        <w:tc>
          <w:tcPr>
            <w:tcW w:w="3117" w:type="dxa"/>
            <w:vAlign w:val="bottom"/>
          </w:tcPr>
          <w:p w14:paraId="4A2AC921" w14:textId="77777777" w:rsidR="00980919" w:rsidRDefault="00980919" w:rsidP="001515D5">
            <w:r>
              <w:t>344</w:t>
            </w:r>
          </w:p>
        </w:tc>
        <w:tc>
          <w:tcPr>
            <w:tcW w:w="3117" w:type="dxa"/>
            <w:vAlign w:val="bottom"/>
          </w:tcPr>
          <w:p w14:paraId="6672C24A" w14:textId="77777777" w:rsidR="00980919" w:rsidRDefault="00980919" w:rsidP="001515D5">
            <w:r>
              <w:t>362</w:t>
            </w:r>
          </w:p>
        </w:tc>
      </w:tr>
      <w:tr w:rsidR="00980919" w14:paraId="6D9C456B" w14:textId="77777777" w:rsidTr="001515D5">
        <w:tc>
          <w:tcPr>
            <w:tcW w:w="3116" w:type="dxa"/>
            <w:vAlign w:val="bottom"/>
          </w:tcPr>
          <w:p w14:paraId="6AF6C889" w14:textId="77777777" w:rsidR="00980919" w:rsidRDefault="00980919" w:rsidP="001515D5">
            <w:r>
              <w:t>9/18/21</w:t>
            </w:r>
          </w:p>
        </w:tc>
        <w:tc>
          <w:tcPr>
            <w:tcW w:w="3117" w:type="dxa"/>
            <w:vAlign w:val="bottom"/>
          </w:tcPr>
          <w:p w14:paraId="18782868" w14:textId="77777777" w:rsidR="00980919" w:rsidRDefault="00980919" w:rsidP="001515D5">
            <w:r>
              <w:t>325</w:t>
            </w:r>
          </w:p>
        </w:tc>
        <w:tc>
          <w:tcPr>
            <w:tcW w:w="3117" w:type="dxa"/>
            <w:vAlign w:val="bottom"/>
          </w:tcPr>
          <w:p w14:paraId="54B2E231" w14:textId="77777777" w:rsidR="00980919" w:rsidRDefault="00980919" w:rsidP="001515D5">
            <w:r>
              <w:t>328</w:t>
            </w:r>
          </w:p>
        </w:tc>
      </w:tr>
      <w:tr w:rsidR="00980919" w14:paraId="6DFDA1DA" w14:textId="77777777" w:rsidTr="001515D5">
        <w:tc>
          <w:tcPr>
            <w:tcW w:w="3116" w:type="dxa"/>
            <w:vAlign w:val="bottom"/>
          </w:tcPr>
          <w:p w14:paraId="1F200EFD" w14:textId="77777777" w:rsidR="00980919" w:rsidRDefault="00980919" w:rsidP="001515D5">
            <w:r>
              <w:t>9/25/21</w:t>
            </w:r>
          </w:p>
        </w:tc>
        <w:tc>
          <w:tcPr>
            <w:tcW w:w="3117" w:type="dxa"/>
            <w:vAlign w:val="bottom"/>
          </w:tcPr>
          <w:p w14:paraId="2BEBAFCA" w14:textId="77777777" w:rsidR="00980919" w:rsidRDefault="00980919" w:rsidP="001515D5">
            <w:r>
              <w:t>248</w:t>
            </w:r>
          </w:p>
        </w:tc>
        <w:tc>
          <w:tcPr>
            <w:tcW w:w="3117" w:type="dxa"/>
            <w:vAlign w:val="bottom"/>
          </w:tcPr>
          <w:p w14:paraId="0BC3B4D9" w14:textId="77777777" w:rsidR="00980919" w:rsidRDefault="00980919" w:rsidP="001515D5">
            <w:r>
              <w:t>262</w:t>
            </w:r>
          </w:p>
        </w:tc>
      </w:tr>
      <w:tr w:rsidR="00980919" w14:paraId="7A22F57F" w14:textId="77777777" w:rsidTr="001515D5">
        <w:tc>
          <w:tcPr>
            <w:tcW w:w="3116" w:type="dxa"/>
            <w:vAlign w:val="bottom"/>
          </w:tcPr>
          <w:p w14:paraId="36370ACD" w14:textId="77777777" w:rsidR="00980919" w:rsidRDefault="00980919" w:rsidP="001515D5">
            <w:r>
              <w:t>10/2/21</w:t>
            </w:r>
          </w:p>
        </w:tc>
        <w:tc>
          <w:tcPr>
            <w:tcW w:w="3117" w:type="dxa"/>
            <w:vAlign w:val="bottom"/>
          </w:tcPr>
          <w:p w14:paraId="78A635CF" w14:textId="77777777" w:rsidR="00980919" w:rsidRDefault="00980919" w:rsidP="001515D5">
            <w:r>
              <w:t>206</w:t>
            </w:r>
          </w:p>
        </w:tc>
        <w:tc>
          <w:tcPr>
            <w:tcW w:w="3117" w:type="dxa"/>
            <w:vAlign w:val="bottom"/>
          </w:tcPr>
          <w:p w14:paraId="1B6B3026" w14:textId="77777777" w:rsidR="00980919" w:rsidRDefault="00980919" w:rsidP="001515D5">
            <w:r>
              <w:t>223</w:t>
            </w:r>
          </w:p>
        </w:tc>
      </w:tr>
      <w:tr w:rsidR="00980919" w14:paraId="09BE2727" w14:textId="77777777" w:rsidTr="001515D5">
        <w:tc>
          <w:tcPr>
            <w:tcW w:w="3116" w:type="dxa"/>
            <w:vAlign w:val="bottom"/>
          </w:tcPr>
          <w:p w14:paraId="2A310538" w14:textId="77777777" w:rsidR="00980919" w:rsidRDefault="00980919" w:rsidP="001515D5">
            <w:r>
              <w:t>10/9/21</w:t>
            </w:r>
          </w:p>
        </w:tc>
        <w:tc>
          <w:tcPr>
            <w:tcW w:w="3117" w:type="dxa"/>
            <w:vAlign w:val="bottom"/>
          </w:tcPr>
          <w:p w14:paraId="35A20764" w14:textId="77777777" w:rsidR="00980919" w:rsidRDefault="00980919" w:rsidP="001515D5">
            <w:r>
              <w:t>144</w:t>
            </w:r>
          </w:p>
        </w:tc>
        <w:tc>
          <w:tcPr>
            <w:tcW w:w="3117" w:type="dxa"/>
            <w:vAlign w:val="bottom"/>
          </w:tcPr>
          <w:p w14:paraId="24025D33" w14:textId="77777777" w:rsidR="00980919" w:rsidRDefault="00980919" w:rsidP="001515D5">
            <w:r>
              <w:t>169</w:t>
            </w:r>
          </w:p>
        </w:tc>
      </w:tr>
      <w:tr w:rsidR="00980919" w14:paraId="6BF9A3C5" w14:textId="77777777" w:rsidTr="001515D5">
        <w:tc>
          <w:tcPr>
            <w:tcW w:w="3116" w:type="dxa"/>
            <w:vAlign w:val="bottom"/>
          </w:tcPr>
          <w:p w14:paraId="5EF0AA6E" w14:textId="77777777" w:rsidR="00980919" w:rsidRDefault="00980919" w:rsidP="001515D5">
            <w:r>
              <w:t>10/16/21</w:t>
            </w:r>
          </w:p>
        </w:tc>
        <w:tc>
          <w:tcPr>
            <w:tcW w:w="3117" w:type="dxa"/>
            <w:vAlign w:val="bottom"/>
          </w:tcPr>
          <w:p w14:paraId="51C71EB1" w14:textId="77777777" w:rsidR="00980919" w:rsidRDefault="00980919" w:rsidP="001515D5">
            <w:r>
              <w:t>99</w:t>
            </w:r>
          </w:p>
        </w:tc>
        <w:tc>
          <w:tcPr>
            <w:tcW w:w="3117" w:type="dxa"/>
            <w:vAlign w:val="bottom"/>
          </w:tcPr>
          <w:p w14:paraId="5EF1593F" w14:textId="77777777" w:rsidR="00980919" w:rsidRDefault="00980919" w:rsidP="001515D5">
            <w:r>
              <w:t>128</w:t>
            </w:r>
          </w:p>
        </w:tc>
      </w:tr>
      <w:tr w:rsidR="00980919" w14:paraId="6090F979" w14:textId="77777777" w:rsidTr="001515D5">
        <w:tc>
          <w:tcPr>
            <w:tcW w:w="3116" w:type="dxa"/>
            <w:vAlign w:val="bottom"/>
          </w:tcPr>
          <w:p w14:paraId="630CAD42" w14:textId="77777777" w:rsidR="00980919" w:rsidRDefault="00980919" w:rsidP="001515D5">
            <w:r>
              <w:t>10/23/21</w:t>
            </w:r>
          </w:p>
        </w:tc>
        <w:tc>
          <w:tcPr>
            <w:tcW w:w="3117" w:type="dxa"/>
            <w:vAlign w:val="bottom"/>
          </w:tcPr>
          <w:p w14:paraId="785F9E01" w14:textId="77777777" w:rsidR="00980919" w:rsidRDefault="00980919" w:rsidP="001515D5">
            <w:r>
              <w:t>66</w:t>
            </w:r>
          </w:p>
        </w:tc>
        <w:tc>
          <w:tcPr>
            <w:tcW w:w="3117" w:type="dxa"/>
            <w:vAlign w:val="bottom"/>
          </w:tcPr>
          <w:p w14:paraId="073D9530" w14:textId="77777777" w:rsidR="00980919" w:rsidRDefault="00980919" w:rsidP="001515D5">
            <w:r>
              <w:t>100</w:t>
            </w:r>
          </w:p>
        </w:tc>
      </w:tr>
      <w:tr w:rsidR="00980919" w14:paraId="260FA17C" w14:textId="77777777" w:rsidTr="001515D5">
        <w:tc>
          <w:tcPr>
            <w:tcW w:w="3116" w:type="dxa"/>
            <w:vAlign w:val="bottom"/>
          </w:tcPr>
          <w:p w14:paraId="34BF8926" w14:textId="77777777" w:rsidR="00980919" w:rsidRDefault="00980919" w:rsidP="001515D5">
            <w:r>
              <w:t>10/30/21</w:t>
            </w:r>
          </w:p>
        </w:tc>
        <w:tc>
          <w:tcPr>
            <w:tcW w:w="3117" w:type="dxa"/>
            <w:vAlign w:val="bottom"/>
          </w:tcPr>
          <w:p w14:paraId="32FD49C0" w14:textId="77777777" w:rsidR="00980919" w:rsidRDefault="00980919" w:rsidP="001515D5">
            <w:r>
              <w:t>60</w:t>
            </w:r>
          </w:p>
        </w:tc>
        <w:tc>
          <w:tcPr>
            <w:tcW w:w="3117" w:type="dxa"/>
            <w:vAlign w:val="bottom"/>
          </w:tcPr>
          <w:p w14:paraId="3A032783" w14:textId="77777777" w:rsidR="00980919" w:rsidRDefault="00980919" w:rsidP="001515D5">
            <w:r>
              <w:t>86</w:t>
            </w:r>
          </w:p>
        </w:tc>
      </w:tr>
      <w:tr w:rsidR="00980919" w14:paraId="1E59EA27" w14:textId="77777777" w:rsidTr="001515D5">
        <w:tc>
          <w:tcPr>
            <w:tcW w:w="3116" w:type="dxa"/>
            <w:vAlign w:val="bottom"/>
          </w:tcPr>
          <w:p w14:paraId="40B2E42B" w14:textId="77777777" w:rsidR="00980919" w:rsidRDefault="00980919" w:rsidP="001515D5">
            <w:r>
              <w:t>11/6/21</w:t>
            </w:r>
          </w:p>
        </w:tc>
        <w:tc>
          <w:tcPr>
            <w:tcW w:w="3117" w:type="dxa"/>
            <w:vAlign w:val="bottom"/>
          </w:tcPr>
          <w:p w14:paraId="29E82275" w14:textId="77777777" w:rsidR="00980919" w:rsidRDefault="00980919" w:rsidP="001515D5">
            <w:r>
              <w:t>48</w:t>
            </w:r>
          </w:p>
        </w:tc>
        <w:tc>
          <w:tcPr>
            <w:tcW w:w="3117" w:type="dxa"/>
            <w:vAlign w:val="bottom"/>
          </w:tcPr>
          <w:p w14:paraId="497EBE5E" w14:textId="77777777" w:rsidR="00980919" w:rsidRDefault="00980919" w:rsidP="001515D5">
            <w:r>
              <w:t>77</w:t>
            </w:r>
          </w:p>
        </w:tc>
      </w:tr>
      <w:tr w:rsidR="00980919" w14:paraId="789CE0E4" w14:textId="77777777" w:rsidTr="001515D5">
        <w:tc>
          <w:tcPr>
            <w:tcW w:w="3116" w:type="dxa"/>
            <w:vAlign w:val="bottom"/>
          </w:tcPr>
          <w:p w14:paraId="7A789103" w14:textId="77777777" w:rsidR="00980919" w:rsidRDefault="00980919" w:rsidP="001515D5">
            <w:r>
              <w:t>11/13/21</w:t>
            </w:r>
          </w:p>
        </w:tc>
        <w:tc>
          <w:tcPr>
            <w:tcW w:w="3117" w:type="dxa"/>
            <w:vAlign w:val="bottom"/>
          </w:tcPr>
          <w:p w14:paraId="7E601ECA" w14:textId="77777777" w:rsidR="00980919" w:rsidRDefault="00980919" w:rsidP="001515D5">
            <w:r>
              <w:t>47</w:t>
            </w:r>
          </w:p>
        </w:tc>
        <w:tc>
          <w:tcPr>
            <w:tcW w:w="3117" w:type="dxa"/>
            <w:vAlign w:val="bottom"/>
          </w:tcPr>
          <w:p w14:paraId="488A3194" w14:textId="77777777" w:rsidR="00980919" w:rsidRDefault="00980919" w:rsidP="001515D5">
            <w:r>
              <w:t>78</w:t>
            </w:r>
          </w:p>
        </w:tc>
      </w:tr>
      <w:tr w:rsidR="00980919" w14:paraId="59D236C1" w14:textId="77777777" w:rsidTr="001515D5">
        <w:tc>
          <w:tcPr>
            <w:tcW w:w="3116" w:type="dxa"/>
            <w:vAlign w:val="bottom"/>
          </w:tcPr>
          <w:p w14:paraId="356C7AC6" w14:textId="77777777" w:rsidR="00980919" w:rsidRDefault="00980919" w:rsidP="001515D5">
            <w:r>
              <w:t>11/20/21</w:t>
            </w:r>
          </w:p>
        </w:tc>
        <w:tc>
          <w:tcPr>
            <w:tcW w:w="3117" w:type="dxa"/>
            <w:vAlign w:val="bottom"/>
          </w:tcPr>
          <w:p w14:paraId="1DAEBFA5" w14:textId="77777777" w:rsidR="00980919" w:rsidRDefault="00980919" w:rsidP="001515D5">
            <w:r>
              <w:t>52</w:t>
            </w:r>
          </w:p>
        </w:tc>
        <w:tc>
          <w:tcPr>
            <w:tcW w:w="3117" w:type="dxa"/>
            <w:vAlign w:val="bottom"/>
          </w:tcPr>
          <w:p w14:paraId="53FADBE1" w14:textId="77777777" w:rsidR="00980919" w:rsidRDefault="00980919" w:rsidP="001515D5">
            <w:r>
              <w:t>90</w:t>
            </w:r>
          </w:p>
        </w:tc>
      </w:tr>
      <w:tr w:rsidR="00980919" w14:paraId="6678589E" w14:textId="77777777" w:rsidTr="001515D5">
        <w:tc>
          <w:tcPr>
            <w:tcW w:w="3116" w:type="dxa"/>
            <w:vAlign w:val="bottom"/>
          </w:tcPr>
          <w:p w14:paraId="708B7928" w14:textId="77777777" w:rsidR="00980919" w:rsidRDefault="00980919" w:rsidP="001515D5">
            <w:r>
              <w:t>11/27/21</w:t>
            </w:r>
          </w:p>
        </w:tc>
        <w:tc>
          <w:tcPr>
            <w:tcW w:w="3117" w:type="dxa"/>
            <w:vAlign w:val="bottom"/>
          </w:tcPr>
          <w:p w14:paraId="31B3D4B7" w14:textId="77777777" w:rsidR="00980919" w:rsidRDefault="00980919" w:rsidP="001515D5">
            <w:r>
              <w:t>38</w:t>
            </w:r>
          </w:p>
        </w:tc>
        <w:tc>
          <w:tcPr>
            <w:tcW w:w="3117" w:type="dxa"/>
            <w:vAlign w:val="bottom"/>
          </w:tcPr>
          <w:p w14:paraId="5AF43A95" w14:textId="77777777" w:rsidR="00980919" w:rsidRDefault="00980919" w:rsidP="001515D5">
            <w:r>
              <w:t>69</w:t>
            </w:r>
          </w:p>
        </w:tc>
      </w:tr>
      <w:tr w:rsidR="00980919" w14:paraId="69F21890" w14:textId="77777777" w:rsidTr="001515D5">
        <w:tc>
          <w:tcPr>
            <w:tcW w:w="3116" w:type="dxa"/>
            <w:vAlign w:val="bottom"/>
          </w:tcPr>
          <w:p w14:paraId="31EC9438" w14:textId="77777777" w:rsidR="00980919" w:rsidRDefault="00980919" w:rsidP="001515D5">
            <w:r>
              <w:t>12/4/21</w:t>
            </w:r>
          </w:p>
        </w:tc>
        <w:tc>
          <w:tcPr>
            <w:tcW w:w="3117" w:type="dxa"/>
            <w:vAlign w:val="bottom"/>
          </w:tcPr>
          <w:p w14:paraId="5BFEF49F" w14:textId="77777777" w:rsidR="00980919" w:rsidRDefault="00980919" w:rsidP="001515D5">
            <w:r>
              <w:t>70</w:t>
            </w:r>
          </w:p>
        </w:tc>
        <w:tc>
          <w:tcPr>
            <w:tcW w:w="3117" w:type="dxa"/>
            <w:vAlign w:val="bottom"/>
          </w:tcPr>
          <w:p w14:paraId="5EFB4E27" w14:textId="77777777" w:rsidR="00980919" w:rsidRDefault="00980919" w:rsidP="001515D5">
            <w:r>
              <w:t>126</w:t>
            </w:r>
          </w:p>
        </w:tc>
      </w:tr>
      <w:tr w:rsidR="00980919" w14:paraId="6A3F92F4" w14:textId="77777777" w:rsidTr="001515D5">
        <w:tc>
          <w:tcPr>
            <w:tcW w:w="3116" w:type="dxa"/>
            <w:vAlign w:val="bottom"/>
          </w:tcPr>
          <w:p w14:paraId="07A549D2" w14:textId="77777777" w:rsidR="00980919" w:rsidRDefault="00980919" w:rsidP="001515D5">
            <w:r>
              <w:t>12/11/21</w:t>
            </w:r>
          </w:p>
        </w:tc>
        <w:tc>
          <w:tcPr>
            <w:tcW w:w="3117" w:type="dxa"/>
            <w:vAlign w:val="bottom"/>
          </w:tcPr>
          <w:p w14:paraId="6B0DBA47" w14:textId="77777777" w:rsidR="00980919" w:rsidRDefault="00980919" w:rsidP="001515D5">
            <w:r>
              <w:t>79</w:t>
            </w:r>
          </w:p>
        </w:tc>
        <w:tc>
          <w:tcPr>
            <w:tcW w:w="3117" w:type="dxa"/>
            <w:vAlign w:val="bottom"/>
          </w:tcPr>
          <w:p w14:paraId="08B03074" w14:textId="77777777" w:rsidR="00980919" w:rsidRDefault="00980919" w:rsidP="001515D5">
            <w:r>
              <w:t>126</w:t>
            </w:r>
          </w:p>
        </w:tc>
      </w:tr>
      <w:tr w:rsidR="00980919" w14:paraId="5B88B65F" w14:textId="77777777" w:rsidTr="001515D5">
        <w:tc>
          <w:tcPr>
            <w:tcW w:w="3116" w:type="dxa"/>
            <w:vAlign w:val="bottom"/>
          </w:tcPr>
          <w:p w14:paraId="23F5790D" w14:textId="77777777" w:rsidR="00980919" w:rsidRDefault="00980919" w:rsidP="001515D5">
            <w:r>
              <w:t>12/18/21</w:t>
            </w:r>
          </w:p>
        </w:tc>
        <w:tc>
          <w:tcPr>
            <w:tcW w:w="3117" w:type="dxa"/>
            <w:vAlign w:val="bottom"/>
          </w:tcPr>
          <w:p w14:paraId="1B31BC78" w14:textId="77777777" w:rsidR="00980919" w:rsidRDefault="00980919" w:rsidP="001515D5">
            <w:r>
              <w:t>101</w:t>
            </w:r>
          </w:p>
        </w:tc>
        <w:tc>
          <w:tcPr>
            <w:tcW w:w="3117" w:type="dxa"/>
            <w:vAlign w:val="bottom"/>
          </w:tcPr>
          <w:p w14:paraId="5E180BC7" w14:textId="77777777" w:rsidR="00980919" w:rsidRDefault="00980919" w:rsidP="001515D5">
            <w:r>
              <w:t>137</w:t>
            </w:r>
          </w:p>
        </w:tc>
      </w:tr>
      <w:tr w:rsidR="00980919" w14:paraId="5F40E4CE" w14:textId="77777777" w:rsidTr="001515D5">
        <w:tc>
          <w:tcPr>
            <w:tcW w:w="3116" w:type="dxa"/>
            <w:vAlign w:val="bottom"/>
          </w:tcPr>
          <w:p w14:paraId="26C935A0" w14:textId="77777777" w:rsidR="00980919" w:rsidRDefault="00980919" w:rsidP="001515D5">
            <w:r>
              <w:t>12/25/21</w:t>
            </w:r>
          </w:p>
        </w:tc>
        <w:tc>
          <w:tcPr>
            <w:tcW w:w="3117" w:type="dxa"/>
            <w:vAlign w:val="bottom"/>
          </w:tcPr>
          <w:p w14:paraId="101B102C" w14:textId="77777777" w:rsidR="00980919" w:rsidRDefault="00980919" w:rsidP="001515D5">
            <w:r>
              <w:t>256</w:t>
            </w:r>
          </w:p>
        </w:tc>
        <w:tc>
          <w:tcPr>
            <w:tcW w:w="3117" w:type="dxa"/>
            <w:vAlign w:val="bottom"/>
          </w:tcPr>
          <w:p w14:paraId="794821AD" w14:textId="77777777" w:rsidR="00980919" w:rsidRDefault="00980919" w:rsidP="001515D5">
            <w:r>
              <w:t>211</w:t>
            </w:r>
          </w:p>
        </w:tc>
      </w:tr>
      <w:tr w:rsidR="00980919" w14:paraId="35F00AAF" w14:textId="77777777" w:rsidTr="001515D5">
        <w:tc>
          <w:tcPr>
            <w:tcW w:w="3116" w:type="dxa"/>
            <w:vAlign w:val="bottom"/>
          </w:tcPr>
          <w:p w14:paraId="57968F85" w14:textId="77777777" w:rsidR="00980919" w:rsidRDefault="00980919" w:rsidP="001515D5">
            <w:r>
              <w:t>1/1/22</w:t>
            </w:r>
          </w:p>
        </w:tc>
        <w:tc>
          <w:tcPr>
            <w:tcW w:w="3117" w:type="dxa"/>
            <w:vAlign w:val="bottom"/>
          </w:tcPr>
          <w:p w14:paraId="460CD59B" w14:textId="77777777" w:rsidR="00980919" w:rsidRDefault="00980919" w:rsidP="001515D5">
            <w:r>
              <w:t>1049</w:t>
            </w:r>
          </w:p>
        </w:tc>
        <w:tc>
          <w:tcPr>
            <w:tcW w:w="3117" w:type="dxa"/>
            <w:vAlign w:val="bottom"/>
          </w:tcPr>
          <w:p w14:paraId="756B718C" w14:textId="77777777" w:rsidR="00980919" w:rsidRDefault="00980919" w:rsidP="001515D5">
            <w:r>
              <w:t>543</w:t>
            </w:r>
          </w:p>
        </w:tc>
      </w:tr>
      <w:tr w:rsidR="00980919" w14:paraId="2E86C5AD" w14:textId="77777777" w:rsidTr="001515D5">
        <w:tc>
          <w:tcPr>
            <w:tcW w:w="3116" w:type="dxa"/>
            <w:vAlign w:val="bottom"/>
          </w:tcPr>
          <w:p w14:paraId="54D6BAF5" w14:textId="77777777" w:rsidR="00980919" w:rsidRDefault="00980919" w:rsidP="001515D5">
            <w:r>
              <w:t>1/8/22</w:t>
            </w:r>
          </w:p>
        </w:tc>
        <w:tc>
          <w:tcPr>
            <w:tcW w:w="3117" w:type="dxa"/>
            <w:vAlign w:val="bottom"/>
          </w:tcPr>
          <w:p w14:paraId="4CCF2B9C" w14:textId="77777777" w:rsidR="00980919" w:rsidRDefault="00980919" w:rsidP="001515D5">
            <w:r>
              <w:t>1467</w:t>
            </w:r>
          </w:p>
        </w:tc>
        <w:tc>
          <w:tcPr>
            <w:tcW w:w="3117" w:type="dxa"/>
            <w:vAlign w:val="bottom"/>
          </w:tcPr>
          <w:p w14:paraId="42C8DB02" w14:textId="77777777" w:rsidR="00980919" w:rsidRDefault="00980919" w:rsidP="001515D5">
            <w:r>
              <w:t>886</w:t>
            </w:r>
          </w:p>
        </w:tc>
      </w:tr>
      <w:tr w:rsidR="00980919" w14:paraId="7310C168" w14:textId="77777777" w:rsidTr="001515D5">
        <w:tc>
          <w:tcPr>
            <w:tcW w:w="3116" w:type="dxa"/>
            <w:vAlign w:val="bottom"/>
          </w:tcPr>
          <w:p w14:paraId="035A518C" w14:textId="77777777" w:rsidR="00980919" w:rsidRDefault="00980919" w:rsidP="001515D5">
            <w:r>
              <w:t>1/15/22</w:t>
            </w:r>
          </w:p>
        </w:tc>
        <w:tc>
          <w:tcPr>
            <w:tcW w:w="3117" w:type="dxa"/>
            <w:vAlign w:val="bottom"/>
          </w:tcPr>
          <w:p w14:paraId="3AF71737" w14:textId="77777777" w:rsidR="00980919" w:rsidRDefault="00980919" w:rsidP="001515D5">
            <w:r>
              <w:t>1530</w:t>
            </w:r>
          </w:p>
        </w:tc>
        <w:tc>
          <w:tcPr>
            <w:tcW w:w="3117" w:type="dxa"/>
            <w:vAlign w:val="bottom"/>
          </w:tcPr>
          <w:p w14:paraId="34426B07" w14:textId="77777777" w:rsidR="00980919" w:rsidRDefault="00980919" w:rsidP="001515D5">
            <w:r>
              <w:t>1252</w:t>
            </w:r>
          </w:p>
        </w:tc>
      </w:tr>
      <w:tr w:rsidR="00980919" w14:paraId="6CA9B50A" w14:textId="77777777" w:rsidTr="001515D5">
        <w:tc>
          <w:tcPr>
            <w:tcW w:w="3116" w:type="dxa"/>
            <w:vAlign w:val="bottom"/>
          </w:tcPr>
          <w:p w14:paraId="64D8B920" w14:textId="77777777" w:rsidR="00980919" w:rsidRDefault="00980919" w:rsidP="001515D5">
            <w:r>
              <w:t>1/22/22</w:t>
            </w:r>
          </w:p>
        </w:tc>
        <w:tc>
          <w:tcPr>
            <w:tcW w:w="3117" w:type="dxa"/>
            <w:vAlign w:val="bottom"/>
          </w:tcPr>
          <w:p w14:paraId="6942F4B0" w14:textId="77777777" w:rsidR="00980919" w:rsidRDefault="00980919" w:rsidP="001515D5">
            <w:r>
              <w:t>1103</w:t>
            </w:r>
          </w:p>
        </w:tc>
        <w:tc>
          <w:tcPr>
            <w:tcW w:w="3117" w:type="dxa"/>
            <w:vAlign w:val="bottom"/>
          </w:tcPr>
          <w:p w14:paraId="48B1EBA3" w14:textId="77777777" w:rsidR="00980919" w:rsidRDefault="00980919" w:rsidP="001515D5">
            <w:r>
              <w:t>1186</w:t>
            </w:r>
          </w:p>
        </w:tc>
      </w:tr>
      <w:tr w:rsidR="00980919" w14:paraId="5F0CC3ED" w14:textId="77777777" w:rsidTr="001515D5">
        <w:tc>
          <w:tcPr>
            <w:tcW w:w="3116" w:type="dxa"/>
            <w:vAlign w:val="bottom"/>
          </w:tcPr>
          <w:p w14:paraId="45931EE5" w14:textId="77777777" w:rsidR="00980919" w:rsidRDefault="00980919" w:rsidP="001515D5">
            <w:r>
              <w:t>1/29/22</w:t>
            </w:r>
          </w:p>
        </w:tc>
        <w:tc>
          <w:tcPr>
            <w:tcW w:w="3117" w:type="dxa"/>
            <w:vAlign w:val="bottom"/>
          </w:tcPr>
          <w:p w14:paraId="3814FE00" w14:textId="77777777" w:rsidR="00980919" w:rsidRDefault="00980919" w:rsidP="001515D5">
            <w:r>
              <w:t>665</w:t>
            </w:r>
          </w:p>
        </w:tc>
        <w:tc>
          <w:tcPr>
            <w:tcW w:w="3117" w:type="dxa"/>
            <w:vAlign w:val="bottom"/>
          </w:tcPr>
          <w:p w14:paraId="1861126E" w14:textId="77777777" w:rsidR="00980919" w:rsidRDefault="00980919" w:rsidP="001515D5">
            <w:r>
              <w:t>804</w:t>
            </w:r>
          </w:p>
        </w:tc>
      </w:tr>
      <w:tr w:rsidR="00980919" w14:paraId="5E498ACB" w14:textId="77777777" w:rsidTr="001515D5">
        <w:tc>
          <w:tcPr>
            <w:tcW w:w="3116" w:type="dxa"/>
            <w:vAlign w:val="bottom"/>
          </w:tcPr>
          <w:p w14:paraId="07C53D42" w14:textId="77777777" w:rsidR="00980919" w:rsidRDefault="00980919" w:rsidP="001515D5">
            <w:r>
              <w:lastRenderedPageBreak/>
              <w:t>2/5/22</w:t>
            </w:r>
          </w:p>
        </w:tc>
        <w:tc>
          <w:tcPr>
            <w:tcW w:w="3117" w:type="dxa"/>
            <w:vAlign w:val="bottom"/>
          </w:tcPr>
          <w:p w14:paraId="34CBBE81" w14:textId="77777777" w:rsidR="00980919" w:rsidRDefault="00980919" w:rsidP="001515D5">
            <w:r>
              <w:t>343</w:t>
            </w:r>
          </w:p>
        </w:tc>
        <w:tc>
          <w:tcPr>
            <w:tcW w:w="3117" w:type="dxa"/>
            <w:vAlign w:val="bottom"/>
          </w:tcPr>
          <w:p w14:paraId="0758372E" w14:textId="77777777" w:rsidR="00980919" w:rsidRDefault="00980919" w:rsidP="001515D5">
            <w:r>
              <w:t>471</w:t>
            </w:r>
          </w:p>
        </w:tc>
      </w:tr>
      <w:tr w:rsidR="00980919" w14:paraId="4C3F8F8F" w14:textId="77777777" w:rsidTr="001515D5">
        <w:tc>
          <w:tcPr>
            <w:tcW w:w="3116" w:type="dxa"/>
            <w:vAlign w:val="bottom"/>
          </w:tcPr>
          <w:p w14:paraId="465E7898" w14:textId="77777777" w:rsidR="00980919" w:rsidRDefault="00980919" w:rsidP="001515D5">
            <w:r>
              <w:t>2/12/22</w:t>
            </w:r>
          </w:p>
        </w:tc>
        <w:tc>
          <w:tcPr>
            <w:tcW w:w="3117" w:type="dxa"/>
            <w:vAlign w:val="bottom"/>
          </w:tcPr>
          <w:p w14:paraId="314539CF" w14:textId="77777777" w:rsidR="00980919" w:rsidRDefault="00980919" w:rsidP="001515D5">
            <w:r>
              <w:t>214</w:t>
            </w:r>
          </w:p>
        </w:tc>
        <w:tc>
          <w:tcPr>
            <w:tcW w:w="3117" w:type="dxa"/>
            <w:vAlign w:val="bottom"/>
          </w:tcPr>
          <w:p w14:paraId="47C784D4" w14:textId="77777777" w:rsidR="00980919" w:rsidRDefault="00980919" w:rsidP="001515D5">
            <w:r>
              <w:t>288</w:t>
            </w:r>
          </w:p>
        </w:tc>
      </w:tr>
      <w:tr w:rsidR="00980919" w14:paraId="218C4C42" w14:textId="77777777" w:rsidTr="001515D5">
        <w:tc>
          <w:tcPr>
            <w:tcW w:w="3116" w:type="dxa"/>
            <w:vAlign w:val="bottom"/>
          </w:tcPr>
          <w:p w14:paraId="3D7332EC" w14:textId="77777777" w:rsidR="00980919" w:rsidRDefault="00980919" w:rsidP="001515D5">
            <w:r>
              <w:t>2/19/22</w:t>
            </w:r>
          </w:p>
        </w:tc>
        <w:tc>
          <w:tcPr>
            <w:tcW w:w="3117" w:type="dxa"/>
            <w:vAlign w:val="bottom"/>
          </w:tcPr>
          <w:p w14:paraId="077556A3" w14:textId="77777777" w:rsidR="00980919" w:rsidRDefault="00980919" w:rsidP="001515D5">
            <w:r>
              <w:t>112</w:t>
            </w:r>
          </w:p>
        </w:tc>
        <w:tc>
          <w:tcPr>
            <w:tcW w:w="3117" w:type="dxa"/>
            <w:vAlign w:val="bottom"/>
          </w:tcPr>
          <w:p w14:paraId="3B8968F5" w14:textId="77777777" w:rsidR="00980919" w:rsidRDefault="00980919" w:rsidP="001515D5">
            <w:r>
              <w:t>154</w:t>
            </w:r>
          </w:p>
        </w:tc>
      </w:tr>
      <w:tr w:rsidR="00980919" w14:paraId="691A690C" w14:textId="77777777" w:rsidTr="001515D5">
        <w:tc>
          <w:tcPr>
            <w:tcW w:w="3116" w:type="dxa"/>
            <w:vAlign w:val="bottom"/>
          </w:tcPr>
          <w:p w14:paraId="1E563DDF" w14:textId="77777777" w:rsidR="00980919" w:rsidRDefault="00980919" w:rsidP="001515D5">
            <w:r>
              <w:t>2/26/22</w:t>
            </w:r>
          </w:p>
        </w:tc>
        <w:tc>
          <w:tcPr>
            <w:tcW w:w="3117" w:type="dxa"/>
            <w:vAlign w:val="bottom"/>
          </w:tcPr>
          <w:p w14:paraId="6D9048D5" w14:textId="77777777" w:rsidR="00980919" w:rsidRDefault="00980919" w:rsidP="001515D5">
            <w:r>
              <w:t>59</w:t>
            </w:r>
          </w:p>
        </w:tc>
        <w:tc>
          <w:tcPr>
            <w:tcW w:w="3117" w:type="dxa"/>
            <w:vAlign w:val="bottom"/>
          </w:tcPr>
          <w:p w14:paraId="534715C1" w14:textId="77777777" w:rsidR="00980919" w:rsidRDefault="00980919" w:rsidP="001515D5">
            <w:r>
              <w:t>74</w:t>
            </w:r>
          </w:p>
        </w:tc>
      </w:tr>
      <w:tr w:rsidR="00980919" w14:paraId="0066163D" w14:textId="77777777" w:rsidTr="001515D5">
        <w:tc>
          <w:tcPr>
            <w:tcW w:w="3116" w:type="dxa"/>
            <w:vAlign w:val="bottom"/>
          </w:tcPr>
          <w:p w14:paraId="353CECB1" w14:textId="77777777" w:rsidR="00980919" w:rsidRDefault="00980919" w:rsidP="001515D5">
            <w:r>
              <w:t>3/5/22</w:t>
            </w:r>
          </w:p>
        </w:tc>
        <w:tc>
          <w:tcPr>
            <w:tcW w:w="3117" w:type="dxa"/>
            <w:vAlign w:val="bottom"/>
          </w:tcPr>
          <w:p w14:paraId="7D511B63" w14:textId="77777777" w:rsidR="00980919" w:rsidRDefault="00980919" w:rsidP="001515D5">
            <w:r>
              <w:t>27</w:t>
            </w:r>
          </w:p>
        </w:tc>
        <w:tc>
          <w:tcPr>
            <w:tcW w:w="3117" w:type="dxa"/>
            <w:vAlign w:val="bottom"/>
          </w:tcPr>
          <w:p w14:paraId="2B94A40B" w14:textId="77777777" w:rsidR="00980919" w:rsidRDefault="00980919" w:rsidP="001515D5">
            <w:r>
              <w:t>35</w:t>
            </w:r>
          </w:p>
        </w:tc>
      </w:tr>
      <w:tr w:rsidR="00980919" w14:paraId="51A86D63" w14:textId="77777777" w:rsidTr="001515D5">
        <w:tc>
          <w:tcPr>
            <w:tcW w:w="3116" w:type="dxa"/>
            <w:vAlign w:val="bottom"/>
          </w:tcPr>
          <w:p w14:paraId="676FC646" w14:textId="77777777" w:rsidR="00980919" w:rsidRDefault="00980919" w:rsidP="001515D5">
            <w:r>
              <w:t>3/12/22</w:t>
            </w:r>
          </w:p>
        </w:tc>
        <w:tc>
          <w:tcPr>
            <w:tcW w:w="3117" w:type="dxa"/>
            <w:vAlign w:val="bottom"/>
          </w:tcPr>
          <w:p w14:paraId="46165A66" w14:textId="77777777" w:rsidR="00980919" w:rsidRDefault="00980919" w:rsidP="001515D5">
            <w:r>
              <w:t>18</w:t>
            </w:r>
          </w:p>
        </w:tc>
        <w:tc>
          <w:tcPr>
            <w:tcW w:w="3117" w:type="dxa"/>
            <w:vAlign w:val="bottom"/>
          </w:tcPr>
          <w:p w14:paraId="6296E3A7" w14:textId="77777777" w:rsidR="00980919" w:rsidRDefault="00980919" w:rsidP="001515D5">
            <w:r>
              <w:t>22</w:t>
            </w:r>
          </w:p>
        </w:tc>
      </w:tr>
      <w:tr w:rsidR="00980919" w14:paraId="76AEB593" w14:textId="77777777" w:rsidTr="001515D5">
        <w:tc>
          <w:tcPr>
            <w:tcW w:w="3116" w:type="dxa"/>
            <w:vAlign w:val="bottom"/>
          </w:tcPr>
          <w:p w14:paraId="45794223" w14:textId="77777777" w:rsidR="00980919" w:rsidRDefault="00980919" w:rsidP="001515D5">
            <w:r>
              <w:t>3/19/22</w:t>
            </w:r>
          </w:p>
        </w:tc>
        <w:tc>
          <w:tcPr>
            <w:tcW w:w="3117" w:type="dxa"/>
            <w:vAlign w:val="bottom"/>
          </w:tcPr>
          <w:p w14:paraId="57EB0404" w14:textId="77777777" w:rsidR="00980919" w:rsidRDefault="00980919" w:rsidP="001515D5">
            <w:r>
              <w:t>11</w:t>
            </w:r>
          </w:p>
        </w:tc>
        <w:tc>
          <w:tcPr>
            <w:tcW w:w="3117" w:type="dxa"/>
            <w:vAlign w:val="bottom"/>
          </w:tcPr>
          <w:p w14:paraId="6E05FC58" w14:textId="77777777" w:rsidR="00980919" w:rsidRDefault="00980919" w:rsidP="001515D5">
            <w:r>
              <w:t>17</w:t>
            </w:r>
          </w:p>
        </w:tc>
      </w:tr>
      <w:tr w:rsidR="00980919" w14:paraId="387A543E" w14:textId="77777777" w:rsidTr="001515D5">
        <w:tc>
          <w:tcPr>
            <w:tcW w:w="3116" w:type="dxa"/>
            <w:vAlign w:val="bottom"/>
          </w:tcPr>
          <w:p w14:paraId="2778C11D" w14:textId="77777777" w:rsidR="00980919" w:rsidRDefault="00980919" w:rsidP="001515D5">
            <w:r>
              <w:t>3/26/22</w:t>
            </w:r>
          </w:p>
        </w:tc>
        <w:tc>
          <w:tcPr>
            <w:tcW w:w="3117" w:type="dxa"/>
            <w:vAlign w:val="bottom"/>
          </w:tcPr>
          <w:p w14:paraId="5E9540FD" w14:textId="77777777" w:rsidR="00980919" w:rsidRDefault="00980919" w:rsidP="001515D5">
            <w:r>
              <w:t>11</w:t>
            </w:r>
          </w:p>
        </w:tc>
        <w:tc>
          <w:tcPr>
            <w:tcW w:w="3117" w:type="dxa"/>
            <w:vAlign w:val="bottom"/>
          </w:tcPr>
          <w:p w14:paraId="1EEB0061" w14:textId="77777777" w:rsidR="00980919" w:rsidRDefault="00980919" w:rsidP="001515D5">
            <w:r>
              <w:t>18</w:t>
            </w:r>
          </w:p>
        </w:tc>
      </w:tr>
      <w:tr w:rsidR="00980919" w14:paraId="2635AAF7" w14:textId="77777777" w:rsidTr="001515D5">
        <w:tc>
          <w:tcPr>
            <w:tcW w:w="3116" w:type="dxa"/>
            <w:vAlign w:val="bottom"/>
          </w:tcPr>
          <w:p w14:paraId="47FEA18B" w14:textId="77777777" w:rsidR="00980919" w:rsidRDefault="00980919" w:rsidP="001515D5">
            <w:r>
              <w:t>4/2/22</w:t>
            </w:r>
          </w:p>
        </w:tc>
        <w:tc>
          <w:tcPr>
            <w:tcW w:w="3117" w:type="dxa"/>
            <w:vAlign w:val="bottom"/>
          </w:tcPr>
          <w:p w14:paraId="0E88353B" w14:textId="77777777" w:rsidR="00980919" w:rsidRDefault="00980919" w:rsidP="001515D5">
            <w:r>
              <w:t>11</w:t>
            </w:r>
          </w:p>
        </w:tc>
        <w:tc>
          <w:tcPr>
            <w:tcW w:w="3117" w:type="dxa"/>
            <w:vAlign w:val="bottom"/>
          </w:tcPr>
          <w:p w14:paraId="1A6EC2D8" w14:textId="77777777" w:rsidR="00980919" w:rsidRDefault="00980919" w:rsidP="001515D5">
            <w:r>
              <w:t>15</w:t>
            </w:r>
          </w:p>
        </w:tc>
      </w:tr>
      <w:tr w:rsidR="00980919" w14:paraId="3CB917E7" w14:textId="77777777" w:rsidTr="001515D5">
        <w:tc>
          <w:tcPr>
            <w:tcW w:w="3116" w:type="dxa"/>
            <w:vAlign w:val="bottom"/>
          </w:tcPr>
          <w:p w14:paraId="73EC9F0B" w14:textId="77777777" w:rsidR="00980919" w:rsidRDefault="00980919" w:rsidP="001515D5">
            <w:r>
              <w:t>4/9/22</w:t>
            </w:r>
          </w:p>
        </w:tc>
        <w:tc>
          <w:tcPr>
            <w:tcW w:w="3117" w:type="dxa"/>
            <w:vAlign w:val="bottom"/>
          </w:tcPr>
          <w:p w14:paraId="579E569D" w14:textId="77777777" w:rsidR="00980919" w:rsidRDefault="00980919" w:rsidP="001515D5">
            <w:r>
              <w:t>10</w:t>
            </w:r>
          </w:p>
        </w:tc>
        <w:tc>
          <w:tcPr>
            <w:tcW w:w="3117" w:type="dxa"/>
            <w:vAlign w:val="bottom"/>
          </w:tcPr>
          <w:p w14:paraId="706DBB58" w14:textId="77777777" w:rsidR="00980919" w:rsidRDefault="00980919" w:rsidP="001515D5">
            <w:r>
              <w:t>17</w:t>
            </w:r>
          </w:p>
        </w:tc>
      </w:tr>
      <w:tr w:rsidR="00980919" w14:paraId="478FDAD4" w14:textId="77777777" w:rsidTr="001515D5">
        <w:tc>
          <w:tcPr>
            <w:tcW w:w="3116" w:type="dxa"/>
            <w:vAlign w:val="bottom"/>
          </w:tcPr>
          <w:p w14:paraId="23D6D934" w14:textId="77777777" w:rsidR="00980919" w:rsidRDefault="00980919" w:rsidP="001515D5">
            <w:r>
              <w:t>4/16/22</w:t>
            </w:r>
          </w:p>
        </w:tc>
        <w:tc>
          <w:tcPr>
            <w:tcW w:w="3117" w:type="dxa"/>
            <w:vAlign w:val="bottom"/>
          </w:tcPr>
          <w:p w14:paraId="04576308" w14:textId="77777777" w:rsidR="00980919" w:rsidRDefault="00980919" w:rsidP="001515D5">
            <w:r>
              <w:t>16</w:t>
            </w:r>
          </w:p>
        </w:tc>
        <w:tc>
          <w:tcPr>
            <w:tcW w:w="3117" w:type="dxa"/>
            <w:vAlign w:val="bottom"/>
          </w:tcPr>
          <w:p w14:paraId="277ED3CB" w14:textId="77777777" w:rsidR="00980919" w:rsidRDefault="00980919" w:rsidP="001515D5">
            <w:r>
              <w:t>23</w:t>
            </w:r>
          </w:p>
        </w:tc>
      </w:tr>
      <w:tr w:rsidR="00980919" w14:paraId="3FDD6CB5" w14:textId="77777777" w:rsidTr="001515D5">
        <w:tc>
          <w:tcPr>
            <w:tcW w:w="3116" w:type="dxa"/>
            <w:vAlign w:val="bottom"/>
          </w:tcPr>
          <w:p w14:paraId="74CAC6D0" w14:textId="77777777" w:rsidR="00980919" w:rsidRDefault="00980919" w:rsidP="001515D5">
            <w:r>
              <w:t>4/23/22</w:t>
            </w:r>
          </w:p>
        </w:tc>
        <w:tc>
          <w:tcPr>
            <w:tcW w:w="3117" w:type="dxa"/>
            <w:vAlign w:val="bottom"/>
          </w:tcPr>
          <w:p w14:paraId="223A0490" w14:textId="77777777" w:rsidR="00980919" w:rsidRDefault="00980919" w:rsidP="001515D5">
            <w:r>
              <w:t>23</w:t>
            </w:r>
          </w:p>
        </w:tc>
        <w:tc>
          <w:tcPr>
            <w:tcW w:w="3117" w:type="dxa"/>
            <w:vAlign w:val="bottom"/>
          </w:tcPr>
          <w:p w14:paraId="26CDCA7A" w14:textId="77777777" w:rsidR="00980919" w:rsidRDefault="00980919" w:rsidP="001515D5">
            <w:r>
              <w:t>30</w:t>
            </w:r>
          </w:p>
        </w:tc>
      </w:tr>
      <w:tr w:rsidR="00980919" w14:paraId="3B5260AD" w14:textId="77777777" w:rsidTr="001515D5">
        <w:tc>
          <w:tcPr>
            <w:tcW w:w="3116" w:type="dxa"/>
            <w:vAlign w:val="bottom"/>
          </w:tcPr>
          <w:p w14:paraId="2CA0330C" w14:textId="77777777" w:rsidR="00980919" w:rsidRDefault="00980919" w:rsidP="001515D5">
            <w:r>
              <w:t>4/30/22</w:t>
            </w:r>
          </w:p>
        </w:tc>
        <w:tc>
          <w:tcPr>
            <w:tcW w:w="3117" w:type="dxa"/>
            <w:vAlign w:val="bottom"/>
          </w:tcPr>
          <w:p w14:paraId="18D31E4A" w14:textId="77777777" w:rsidR="00980919" w:rsidRDefault="00980919" w:rsidP="001515D5">
            <w:r>
              <w:t>30</w:t>
            </w:r>
          </w:p>
        </w:tc>
        <w:tc>
          <w:tcPr>
            <w:tcW w:w="3117" w:type="dxa"/>
            <w:vAlign w:val="bottom"/>
          </w:tcPr>
          <w:p w14:paraId="763DC8EF" w14:textId="77777777" w:rsidR="00980919" w:rsidRDefault="00980919" w:rsidP="001515D5">
            <w:r>
              <w:t>38</w:t>
            </w:r>
          </w:p>
        </w:tc>
      </w:tr>
      <w:tr w:rsidR="00980919" w14:paraId="1F89837E" w14:textId="77777777" w:rsidTr="001515D5">
        <w:tc>
          <w:tcPr>
            <w:tcW w:w="3116" w:type="dxa"/>
            <w:vAlign w:val="bottom"/>
          </w:tcPr>
          <w:p w14:paraId="62539D3E" w14:textId="77777777" w:rsidR="00980919" w:rsidRDefault="00980919" w:rsidP="001515D5">
            <w:r>
              <w:t>5/7/22</w:t>
            </w:r>
          </w:p>
        </w:tc>
        <w:tc>
          <w:tcPr>
            <w:tcW w:w="3117" w:type="dxa"/>
            <w:vAlign w:val="bottom"/>
          </w:tcPr>
          <w:p w14:paraId="3CC44FE8" w14:textId="77777777" w:rsidR="00980919" w:rsidRDefault="00980919" w:rsidP="001515D5">
            <w:r>
              <w:t>46</w:t>
            </w:r>
          </w:p>
        </w:tc>
        <w:tc>
          <w:tcPr>
            <w:tcW w:w="3117" w:type="dxa"/>
            <w:vAlign w:val="bottom"/>
          </w:tcPr>
          <w:p w14:paraId="523A3ED6" w14:textId="77777777" w:rsidR="00980919" w:rsidRDefault="00980919" w:rsidP="001515D5">
            <w:r>
              <w:t>56</w:t>
            </w:r>
          </w:p>
        </w:tc>
      </w:tr>
      <w:tr w:rsidR="00980919" w14:paraId="51860D88" w14:textId="77777777" w:rsidTr="001515D5">
        <w:tc>
          <w:tcPr>
            <w:tcW w:w="3116" w:type="dxa"/>
            <w:vAlign w:val="bottom"/>
          </w:tcPr>
          <w:p w14:paraId="798633E4" w14:textId="77777777" w:rsidR="00980919" w:rsidRDefault="00980919" w:rsidP="001515D5">
            <w:r>
              <w:t>5/14/22</w:t>
            </w:r>
          </w:p>
        </w:tc>
        <w:tc>
          <w:tcPr>
            <w:tcW w:w="3117" w:type="dxa"/>
            <w:vAlign w:val="bottom"/>
          </w:tcPr>
          <w:p w14:paraId="2C8197BB" w14:textId="77777777" w:rsidR="00980919" w:rsidRDefault="00980919" w:rsidP="001515D5">
            <w:r>
              <w:t>63</w:t>
            </w:r>
          </w:p>
        </w:tc>
        <w:tc>
          <w:tcPr>
            <w:tcW w:w="3117" w:type="dxa"/>
            <w:vAlign w:val="bottom"/>
          </w:tcPr>
          <w:p w14:paraId="02A6BBFA" w14:textId="77777777" w:rsidR="00980919" w:rsidRDefault="00980919" w:rsidP="001515D5">
            <w:r>
              <w:t>66</w:t>
            </w:r>
          </w:p>
        </w:tc>
      </w:tr>
      <w:tr w:rsidR="00980919" w14:paraId="4049713F" w14:textId="77777777" w:rsidTr="001515D5">
        <w:tc>
          <w:tcPr>
            <w:tcW w:w="3116" w:type="dxa"/>
            <w:vAlign w:val="bottom"/>
          </w:tcPr>
          <w:p w14:paraId="1EC1FE97" w14:textId="77777777" w:rsidR="00980919" w:rsidRDefault="00980919" w:rsidP="001515D5">
            <w:r>
              <w:t>5/21/22</w:t>
            </w:r>
          </w:p>
        </w:tc>
        <w:tc>
          <w:tcPr>
            <w:tcW w:w="3117" w:type="dxa"/>
            <w:vAlign w:val="bottom"/>
          </w:tcPr>
          <w:p w14:paraId="1350ABB8" w14:textId="77777777" w:rsidR="00980919" w:rsidRDefault="00980919" w:rsidP="001515D5">
            <w:r>
              <w:t>93</w:t>
            </w:r>
          </w:p>
        </w:tc>
        <w:tc>
          <w:tcPr>
            <w:tcW w:w="3117" w:type="dxa"/>
            <w:vAlign w:val="bottom"/>
          </w:tcPr>
          <w:p w14:paraId="18D8628D" w14:textId="77777777" w:rsidR="00980919" w:rsidRDefault="00980919" w:rsidP="001515D5">
            <w:r>
              <w:t>95</w:t>
            </w:r>
          </w:p>
        </w:tc>
      </w:tr>
      <w:tr w:rsidR="00980919" w14:paraId="010E4E62" w14:textId="77777777" w:rsidTr="001515D5">
        <w:tc>
          <w:tcPr>
            <w:tcW w:w="3116" w:type="dxa"/>
            <w:vAlign w:val="bottom"/>
          </w:tcPr>
          <w:p w14:paraId="5C8A564D" w14:textId="77777777" w:rsidR="00980919" w:rsidRDefault="00980919" w:rsidP="001515D5">
            <w:r>
              <w:t>5/28/22</w:t>
            </w:r>
          </w:p>
        </w:tc>
        <w:tc>
          <w:tcPr>
            <w:tcW w:w="3117" w:type="dxa"/>
            <w:vAlign w:val="bottom"/>
          </w:tcPr>
          <w:p w14:paraId="421DAEB3" w14:textId="77777777" w:rsidR="00980919" w:rsidRDefault="00980919" w:rsidP="001515D5">
            <w:r>
              <w:t>106</w:t>
            </w:r>
          </w:p>
        </w:tc>
        <w:tc>
          <w:tcPr>
            <w:tcW w:w="3117" w:type="dxa"/>
            <w:vAlign w:val="bottom"/>
          </w:tcPr>
          <w:p w14:paraId="07C3E3FE" w14:textId="77777777" w:rsidR="00980919" w:rsidRDefault="00980919" w:rsidP="001515D5">
            <w:r>
              <w:t>109</w:t>
            </w:r>
          </w:p>
        </w:tc>
      </w:tr>
      <w:tr w:rsidR="00980919" w14:paraId="38EB2C46" w14:textId="77777777" w:rsidTr="001515D5">
        <w:tc>
          <w:tcPr>
            <w:tcW w:w="3116" w:type="dxa"/>
            <w:vAlign w:val="bottom"/>
          </w:tcPr>
          <w:p w14:paraId="1CE1C78A" w14:textId="77777777" w:rsidR="00980919" w:rsidRDefault="00980919" w:rsidP="001515D5">
            <w:r>
              <w:t>6/4/22</w:t>
            </w:r>
          </w:p>
        </w:tc>
        <w:tc>
          <w:tcPr>
            <w:tcW w:w="3117" w:type="dxa"/>
            <w:vAlign w:val="bottom"/>
          </w:tcPr>
          <w:p w14:paraId="1CB0CCFB" w14:textId="77777777" w:rsidR="00980919" w:rsidRDefault="00980919" w:rsidP="001515D5">
            <w:r>
              <w:t>115</w:t>
            </w:r>
          </w:p>
        </w:tc>
        <w:tc>
          <w:tcPr>
            <w:tcW w:w="3117" w:type="dxa"/>
            <w:vAlign w:val="bottom"/>
          </w:tcPr>
          <w:p w14:paraId="45B481FA" w14:textId="77777777" w:rsidR="00980919" w:rsidRDefault="00980919" w:rsidP="001515D5">
            <w:r>
              <w:t>105</w:t>
            </w:r>
          </w:p>
        </w:tc>
      </w:tr>
      <w:tr w:rsidR="00980919" w14:paraId="605A2C72" w14:textId="77777777" w:rsidTr="001515D5">
        <w:tc>
          <w:tcPr>
            <w:tcW w:w="3116" w:type="dxa"/>
            <w:vAlign w:val="bottom"/>
          </w:tcPr>
          <w:p w14:paraId="310E507F" w14:textId="77777777" w:rsidR="00980919" w:rsidRDefault="00980919" w:rsidP="001515D5">
            <w:r>
              <w:t>6/11/22</w:t>
            </w:r>
          </w:p>
        </w:tc>
        <w:tc>
          <w:tcPr>
            <w:tcW w:w="3117" w:type="dxa"/>
            <w:vAlign w:val="bottom"/>
          </w:tcPr>
          <w:p w14:paraId="0D32F487" w14:textId="77777777" w:rsidR="00980919" w:rsidRDefault="00980919" w:rsidP="001515D5">
            <w:r>
              <w:t>136</w:t>
            </w:r>
          </w:p>
        </w:tc>
        <w:tc>
          <w:tcPr>
            <w:tcW w:w="3117" w:type="dxa"/>
            <w:vAlign w:val="bottom"/>
          </w:tcPr>
          <w:p w14:paraId="76DB9118" w14:textId="77777777" w:rsidR="00980919" w:rsidRDefault="00980919" w:rsidP="001515D5">
            <w:r>
              <w:t>114</w:t>
            </w:r>
          </w:p>
        </w:tc>
      </w:tr>
      <w:tr w:rsidR="00980919" w14:paraId="25579F31" w14:textId="77777777" w:rsidTr="001515D5">
        <w:tc>
          <w:tcPr>
            <w:tcW w:w="3116" w:type="dxa"/>
            <w:vAlign w:val="bottom"/>
          </w:tcPr>
          <w:p w14:paraId="7E67EC73" w14:textId="77777777" w:rsidR="00980919" w:rsidRDefault="00980919" w:rsidP="001515D5">
            <w:r>
              <w:t>6/18/22</w:t>
            </w:r>
          </w:p>
        </w:tc>
        <w:tc>
          <w:tcPr>
            <w:tcW w:w="3117" w:type="dxa"/>
            <w:vAlign w:val="bottom"/>
          </w:tcPr>
          <w:p w14:paraId="73E6EC37" w14:textId="77777777" w:rsidR="00980919" w:rsidRDefault="00980919" w:rsidP="001515D5">
            <w:r>
              <w:t>144</w:t>
            </w:r>
          </w:p>
        </w:tc>
        <w:tc>
          <w:tcPr>
            <w:tcW w:w="3117" w:type="dxa"/>
            <w:vAlign w:val="bottom"/>
          </w:tcPr>
          <w:p w14:paraId="7D00DE28" w14:textId="77777777" w:rsidR="00980919" w:rsidRDefault="00980919" w:rsidP="001515D5">
            <w:r>
              <w:t>109</w:t>
            </w:r>
          </w:p>
        </w:tc>
      </w:tr>
      <w:tr w:rsidR="00980919" w14:paraId="0E777F15" w14:textId="77777777" w:rsidTr="001515D5">
        <w:tc>
          <w:tcPr>
            <w:tcW w:w="3116" w:type="dxa"/>
            <w:vAlign w:val="bottom"/>
          </w:tcPr>
          <w:p w14:paraId="2D82DB9D" w14:textId="77777777" w:rsidR="00980919" w:rsidRDefault="00980919" w:rsidP="001515D5">
            <w:r>
              <w:t>6/25/22</w:t>
            </w:r>
          </w:p>
        </w:tc>
        <w:tc>
          <w:tcPr>
            <w:tcW w:w="3117" w:type="dxa"/>
            <w:vAlign w:val="bottom"/>
          </w:tcPr>
          <w:p w14:paraId="102FF473" w14:textId="77777777" w:rsidR="00980919" w:rsidRDefault="00980919" w:rsidP="001515D5">
            <w:r>
              <w:t>153</w:t>
            </w:r>
          </w:p>
        </w:tc>
        <w:tc>
          <w:tcPr>
            <w:tcW w:w="3117" w:type="dxa"/>
            <w:vAlign w:val="bottom"/>
          </w:tcPr>
          <w:p w14:paraId="1AC18E29" w14:textId="77777777" w:rsidR="00980919" w:rsidRDefault="00980919" w:rsidP="001515D5">
            <w:r>
              <w:t>115</w:t>
            </w:r>
          </w:p>
        </w:tc>
      </w:tr>
      <w:tr w:rsidR="00980919" w14:paraId="26B93E8B" w14:textId="77777777" w:rsidTr="001515D5">
        <w:tc>
          <w:tcPr>
            <w:tcW w:w="3116" w:type="dxa"/>
            <w:vAlign w:val="bottom"/>
          </w:tcPr>
          <w:p w14:paraId="19530759" w14:textId="77777777" w:rsidR="00980919" w:rsidRDefault="00980919" w:rsidP="001515D5">
            <w:r>
              <w:t>7/2/22</w:t>
            </w:r>
          </w:p>
        </w:tc>
        <w:tc>
          <w:tcPr>
            <w:tcW w:w="3117" w:type="dxa"/>
            <w:vAlign w:val="bottom"/>
          </w:tcPr>
          <w:p w14:paraId="214D9615" w14:textId="77777777" w:rsidR="00980919" w:rsidRDefault="00980919" w:rsidP="001515D5">
            <w:r>
              <w:t>176</w:t>
            </w:r>
          </w:p>
        </w:tc>
        <w:tc>
          <w:tcPr>
            <w:tcW w:w="3117" w:type="dxa"/>
            <w:vAlign w:val="bottom"/>
          </w:tcPr>
          <w:p w14:paraId="388378AC" w14:textId="77777777" w:rsidR="00980919" w:rsidRDefault="00980919" w:rsidP="001515D5">
            <w:r>
              <w:t>130</w:t>
            </w:r>
          </w:p>
        </w:tc>
      </w:tr>
      <w:tr w:rsidR="00980919" w14:paraId="653A8316" w14:textId="77777777" w:rsidTr="001515D5">
        <w:tc>
          <w:tcPr>
            <w:tcW w:w="3116" w:type="dxa"/>
            <w:vAlign w:val="bottom"/>
          </w:tcPr>
          <w:p w14:paraId="2BA12F17" w14:textId="77777777" w:rsidR="00980919" w:rsidRDefault="00980919" w:rsidP="001515D5">
            <w:r>
              <w:t>7/9/22</w:t>
            </w:r>
          </w:p>
        </w:tc>
        <w:tc>
          <w:tcPr>
            <w:tcW w:w="3117" w:type="dxa"/>
            <w:vAlign w:val="bottom"/>
          </w:tcPr>
          <w:p w14:paraId="619861F7" w14:textId="77777777" w:rsidR="00980919" w:rsidRDefault="00980919" w:rsidP="001515D5">
            <w:r>
              <w:t>209</w:t>
            </w:r>
          </w:p>
        </w:tc>
        <w:tc>
          <w:tcPr>
            <w:tcW w:w="3117" w:type="dxa"/>
            <w:vAlign w:val="bottom"/>
          </w:tcPr>
          <w:p w14:paraId="2DF32E0D" w14:textId="77777777" w:rsidR="00980919" w:rsidRDefault="00980919" w:rsidP="001515D5">
            <w:r>
              <w:t>133</w:t>
            </w:r>
          </w:p>
        </w:tc>
      </w:tr>
      <w:tr w:rsidR="00980919" w14:paraId="1806B9D9" w14:textId="77777777" w:rsidTr="001515D5">
        <w:tc>
          <w:tcPr>
            <w:tcW w:w="3116" w:type="dxa"/>
            <w:vAlign w:val="bottom"/>
          </w:tcPr>
          <w:p w14:paraId="10C3BF15" w14:textId="77777777" w:rsidR="00980919" w:rsidRDefault="00980919" w:rsidP="001515D5">
            <w:r>
              <w:t>7/16/22</w:t>
            </w:r>
          </w:p>
        </w:tc>
        <w:tc>
          <w:tcPr>
            <w:tcW w:w="3117" w:type="dxa"/>
            <w:vAlign w:val="bottom"/>
          </w:tcPr>
          <w:p w14:paraId="4086452C" w14:textId="77777777" w:rsidR="00980919" w:rsidRDefault="00980919" w:rsidP="001515D5">
            <w:r>
              <w:t>237</w:t>
            </w:r>
          </w:p>
        </w:tc>
        <w:tc>
          <w:tcPr>
            <w:tcW w:w="3117" w:type="dxa"/>
            <w:vAlign w:val="bottom"/>
          </w:tcPr>
          <w:p w14:paraId="7A1879D4" w14:textId="77777777" w:rsidR="00980919" w:rsidRDefault="00980919" w:rsidP="001515D5">
            <w:r>
              <w:t>137</w:t>
            </w:r>
          </w:p>
        </w:tc>
      </w:tr>
      <w:tr w:rsidR="00980919" w14:paraId="749AA992" w14:textId="77777777" w:rsidTr="001515D5">
        <w:tc>
          <w:tcPr>
            <w:tcW w:w="3116" w:type="dxa"/>
            <w:vAlign w:val="bottom"/>
          </w:tcPr>
          <w:p w14:paraId="551468A9" w14:textId="77777777" w:rsidR="00980919" w:rsidRDefault="00980919" w:rsidP="001515D5">
            <w:r>
              <w:t>7/23/22</w:t>
            </w:r>
          </w:p>
        </w:tc>
        <w:tc>
          <w:tcPr>
            <w:tcW w:w="3117" w:type="dxa"/>
            <w:vAlign w:val="bottom"/>
          </w:tcPr>
          <w:p w14:paraId="0B000965" w14:textId="77777777" w:rsidR="00980919" w:rsidRDefault="00980919" w:rsidP="001515D5">
            <w:r>
              <w:t>269</w:t>
            </w:r>
          </w:p>
        </w:tc>
        <w:tc>
          <w:tcPr>
            <w:tcW w:w="3117" w:type="dxa"/>
            <w:vAlign w:val="bottom"/>
          </w:tcPr>
          <w:p w14:paraId="1B750DAF" w14:textId="77777777" w:rsidR="00980919" w:rsidRDefault="00980919" w:rsidP="001515D5">
            <w:r>
              <w:t>167</w:t>
            </w:r>
          </w:p>
        </w:tc>
      </w:tr>
      <w:tr w:rsidR="00980919" w14:paraId="3155EE7E" w14:textId="77777777" w:rsidTr="001515D5">
        <w:tc>
          <w:tcPr>
            <w:tcW w:w="3116" w:type="dxa"/>
            <w:vAlign w:val="bottom"/>
          </w:tcPr>
          <w:p w14:paraId="6C682C50" w14:textId="77777777" w:rsidR="00980919" w:rsidRDefault="00980919" w:rsidP="001515D5">
            <w:r>
              <w:t>7/30/22</w:t>
            </w:r>
          </w:p>
        </w:tc>
        <w:tc>
          <w:tcPr>
            <w:tcW w:w="3117" w:type="dxa"/>
            <w:vAlign w:val="bottom"/>
          </w:tcPr>
          <w:p w14:paraId="7378F704" w14:textId="77777777" w:rsidR="00980919" w:rsidRDefault="00980919" w:rsidP="001515D5">
            <w:r>
              <w:t>221</w:t>
            </w:r>
          </w:p>
        </w:tc>
        <w:tc>
          <w:tcPr>
            <w:tcW w:w="3117" w:type="dxa"/>
            <w:vAlign w:val="bottom"/>
          </w:tcPr>
          <w:p w14:paraId="02A93B55" w14:textId="77777777" w:rsidR="00980919" w:rsidRDefault="00980919" w:rsidP="001515D5">
            <w:r>
              <w:t>144</w:t>
            </w:r>
          </w:p>
        </w:tc>
      </w:tr>
      <w:tr w:rsidR="00980919" w14:paraId="0E8831F7" w14:textId="77777777" w:rsidTr="001515D5">
        <w:tc>
          <w:tcPr>
            <w:tcW w:w="3116" w:type="dxa"/>
            <w:vAlign w:val="bottom"/>
          </w:tcPr>
          <w:p w14:paraId="48AB1D9C" w14:textId="77777777" w:rsidR="00980919" w:rsidRDefault="00980919" w:rsidP="001515D5">
            <w:r>
              <w:t>8/6/22</w:t>
            </w:r>
          </w:p>
        </w:tc>
        <w:tc>
          <w:tcPr>
            <w:tcW w:w="3117" w:type="dxa"/>
            <w:vAlign w:val="bottom"/>
          </w:tcPr>
          <w:p w14:paraId="679BBF3D" w14:textId="77777777" w:rsidR="00980919" w:rsidRDefault="00980919" w:rsidP="001515D5">
            <w:r>
              <w:t>242</w:t>
            </w:r>
          </w:p>
        </w:tc>
        <w:tc>
          <w:tcPr>
            <w:tcW w:w="3117" w:type="dxa"/>
            <w:vAlign w:val="bottom"/>
          </w:tcPr>
          <w:p w14:paraId="5D0471A2" w14:textId="77777777" w:rsidR="00980919" w:rsidRDefault="00980919" w:rsidP="001515D5">
            <w:r>
              <w:t>165</w:t>
            </w:r>
          </w:p>
        </w:tc>
      </w:tr>
      <w:tr w:rsidR="00980919" w14:paraId="6853C73B" w14:textId="77777777" w:rsidTr="001515D5">
        <w:tc>
          <w:tcPr>
            <w:tcW w:w="3116" w:type="dxa"/>
            <w:vAlign w:val="bottom"/>
          </w:tcPr>
          <w:p w14:paraId="19F1899B" w14:textId="77777777" w:rsidR="00980919" w:rsidRDefault="00980919" w:rsidP="001515D5">
            <w:r>
              <w:t>8/13/22</w:t>
            </w:r>
          </w:p>
        </w:tc>
        <w:tc>
          <w:tcPr>
            <w:tcW w:w="3117" w:type="dxa"/>
            <w:vAlign w:val="bottom"/>
          </w:tcPr>
          <w:p w14:paraId="6238AD9D" w14:textId="77777777" w:rsidR="00980919" w:rsidRDefault="00980919" w:rsidP="001515D5">
            <w:r>
              <w:t>197</w:t>
            </w:r>
          </w:p>
        </w:tc>
        <w:tc>
          <w:tcPr>
            <w:tcW w:w="3117" w:type="dxa"/>
            <w:vAlign w:val="bottom"/>
          </w:tcPr>
          <w:p w14:paraId="3369439E" w14:textId="77777777" w:rsidR="00980919" w:rsidRDefault="00980919" w:rsidP="001515D5">
            <w:r>
              <w:t>129</w:t>
            </w:r>
          </w:p>
        </w:tc>
      </w:tr>
      <w:tr w:rsidR="00980919" w14:paraId="3675034B" w14:textId="77777777" w:rsidTr="001515D5">
        <w:tc>
          <w:tcPr>
            <w:tcW w:w="3116" w:type="dxa"/>
            <w:vAlign w:val="bottom"/>
          </w:tcPr>
          <w:p w14:paraId="710F2388" w14:textId="77777777" w:rsidR="00980919" w:rsidRDefault="00980919" w:rsidP="001515D5">
            <w:r>
              <w:t>8/20/22</w:t>
            </w:r>
          </w:p>
        </w:tc>
        <w:tc>
          <w:tcPr>
            <w:tcW w:w="3117" w:type="dxa"/>
            <w:vAlign w:val="bottom"/>
          </w:tcPr>
          <w:p w14:paraId="6CD31755" w14:textId="77777777" w:rsidR="00980919" w:rsidRDefault="00980919" w:rsidP="001515D5">
            <w:r>
              <w:t>144</w:t>
            </w:r>
          </w:p>
        </w:tc>
        <w:tc>
          <w:tcPr>
            <w:tcW w:w="3117" w:type="dxa"/>
            <w:vAlign w:val="bottom"/>
          </w:tcPr>
          <w:p w14:paraId="79330C8A" w14:textId="77777777" w:rsidR="00980919" w:rsidRDefault="00980919" w:rsidP="001515D5">
            <w:r>
              <w:t>99</w:t>
            </w:r>
          </w:p>
        </w:tc>
      </w:tr>
      <w:tr w:rsidR="00980919" w14:paraId="4707946D" w14:textId="77777777" w:rsidTr="001515D5">
        <w:tc>
          <w:tcPr>
            <w:tcW w:w="3116" w:type="dxa"/>
            <w:vAlign w:val="bottom"/>
          </w:tcPr>
          <w:p w14:paraId="420C2325" w14:textId="77777777" w:rsidR="00980919" w:rsidRDefault="00980919" w:rsidP="001515D5">
            <w:r>
              <w:t>8/27/22</w:t>
            </w:r>
          </w:p>
        </w:tc>
        <w:tc>
          <w:tcPr>
            <w:tcW w:w="3117" w:type="dxa"/>
            <w:vAlign w:val="bottom"/>
          </w:tcPr>
          <w:p w14:paraId="66AD268B" w14:textId="77777777" w:rsidR="00980919" w:rsidRDefault="00980919" w:rsidP="001515D5">
            <w:r>
              <w:t>186</w:t>
            </w:r>
          </w:p>
        </w:tc>
        <w:tc>
          <w:tcPr>
            <w:tcW w:w="3117" w:type="dxa"/>
            <w:vAlign w:val="bottom"/>
          </w:tcPr>
          <w:p w14:paraId="1BAC961D" w14:textId="77777777" w:rsidR="00980919" w:rsidRDefault="00980919" w:rsidP="001515D5">
            <w:r>
              <w:t>132</w:t>
            </w:r>
          </w:p>
        </w:tc>
      </w:tr>
      <w:tr w:rsidR="00980919" w14:paraId="49382070" w14:textId="77777777" w:rsidTr="001515D5">
        <w:tc>
          <w:tcPr>
            <w:tcW w:w="3116" w:type="dxa"/>
            <w:vAlign w:val="bottom"/>
          </w:tcPr>
          <w:p w14:paraId="08D5F4CA" w14:textId="77777777" w:rsidR="00980919" w:rsidRDefault="00980919" w:rsidP="001515D5">
            <w:r>
              <w:t>9/3/22</w:t>
            </w:r>
          </w:p>
        </w:tc>
        <w:tc>
          <w:tcPr>
            <w:tcW w:w="3117" w:type="dxa"/>
            <w:vAlign w:val="bottom"/>
          </w:tcPr>
          <w:p w14:paraId="131C9F09" w14:textId="77777777" w:rsidR="00980919" w:rsidRDefault="00980919" w:rsidP="001515D5">
            <w:r>
              <w:t>186</w:t>
            </w:r>
          </w:p>
        </w:tc>
        <w:tc>
          <w:tcPr>
            <w:tcW w:w="3117" w:type="dxa"/>
            <w:vAlign w:val="bottom"/>
          </w:tcPr>
          <w:p w14:paraId="4C0DD1D8" w14:textId="77777777" w:rsidR="00980919" w:rsidRDefault="00980919" w:rsidP="001515D5">
            <w:r>
              <w:t>124</w:t>
            </w:r>
          </w:p>
        </w:tc>
      </w:tr>
      <w:tr w:rsidR="00980919" w14:paraId="08B6DE37" w14:textId="77777777" w:rsidTr="001515D5">
        <w:tc>
          <w:tcPr>
            <w:tcW w:w="3116" w:type="dxa"/>
            <w:vAlign w:val="bottom"/>
          </w:tcPr>
          <w:p w14:paraId="094141C8" w14:textId="77777777" w:rsidR="00980919" w:rsidRDefault="00980919" w:rsidP="001515D5">
            <w:r>
              <w:t>9/10/22</w:t>
            </w:r>
          </w:p>
        </w:tc>
        <w:tc>
          <w:tcPr>
            <w:tcW w:w="3117" w:type="dxa"/>
            <w:vAlign w:val="bottom"/>
          </w:tcPr>
          <w:p w14:paraId="27854803" w14:textId="77777777" w:rsidR="00980919" w:rsidRDefault="00980919" w:rsidP="001515D5">
            <w:r>
              <w:t>124</w:t>
            </w:r>
          </w:p>
        </w:tc>
        <w:tc>
          <w:tcPr>
            <w:tcW w:w="3117" w:type="dxa"/>
            <w:vAlign w:val="bottom"/>
          </w:tcPr>
          <w:p w14:paraId="3F2850F7" w14:textId="77777777" w:rsidR="00980919" w:rsidRDefault="00980919" w:rsidP="001515D5">
            <w:r>
              <w:t>87</w:t>
            </w:r>
          </w:p>
        </w:tc>
      </w:tr>
      <w:tr w:rsidR="00980919" w14:paraId="33B58A40" w14:textId="77777777" w:rsidTr="001515D5">
        <w:tc>
          <w:tcPr>
            <w:tcW w:w="3116" w:type="dxa"/>
            <w:vAlign w:val="bottom"/>
          </w:tcPr>
          <w:p w14:paraId="6A778638" w14:textId="77777777" w:rsidR="00980919" w:rsidRDefault="00980919" w:rsidP="001515D5">
            <w:r>
              <w:t>9/17/22</w:t>
            </w:r>
          </w:p>
        </w:tc>
        <w:tc>
          <w:tcPr>
            <w:tcW w:w="3117" w:type="dxa"/>
            <w:vAlign w:val="bottom"/>
          </w:tcPr>
          <w:p w14:paraId="066512ED" w14:textId="77777777" w:rsidR="00980919" w:rsidRDefault="00980919" w:rsidP="001515D5">
            <w:r>
              <w:t>84</w:t>
            </w:r>
          </w:p>
        </w:tc>
        <w:tc>
          <w:tcPr>
            <w:tcW w:w="3117" w:type="dxa"/>
            <w:vAlign w:val="bottom"/>
          </w:tcPr>
          <w:p w14:paraId="6E93B5E2" w14:textId="77777777" w:rsidR="00980919" w:rsidRDefault="00980919" w:rsidP="001515D5">
            <w:r>
              <w:t>64</w:t>
            </w:r>
          </w:p>
        </w:tc>
      </w:tr>
    </w:tbl>
    <w:p w14:paraId="56858959" w14:textId="77777777" w:rsidR="00980919" w:rsidRPr="0090330A" w:rsidRDefault="00980919" w:rsidP="00980919">
      <w:r w:rsidRPr="0090330A">
        <w:t xml:space="preserve">Source: SC DHEC Division of Acute Disease Epidemiology, 2022. </w:t>
      </w:r>
    </w:p>
    <w:p w14:paraId="5BF2FBD7" w14:textId="77777777" w:rsidR="00980919" w:rsidRPr="0090330A" w:rsidRDefault="00980919" w:rsidP="00980919">
      <w:r w:rsidRPr="0090330A">
        <w:t xml:space="preserve">Notes: Data as of September 17, 2022. </w:t>
      </w:r>
    </w:p>
    <w:p w14:paraId="13B43F26" w14:textId="77777777" w:rsidR="00980919" w:rsidRDefault="00980919" w:rsidP="00980919">
      <w:r w:rsidRPr="0090330A">
        <w:lastRenderedPageBreak/>
        <w:t>Limitation: Other races are not shown because of absence of a defined population estimate denominator.</w:t>
      </w:r>
    </w:p>
    <w:p w14:paraId="41C32819" w14:textId="77777777" w:rsidR="00980919" w:rsidRDefault="00980919" w:rsidP="00980919"/>
    <w:p w14:paraId="04E758B2" w14:textId="77777777" w:rsidR="00980919" w:rsidRPr="0090330A" w:rsidRDefault="00980919" w:rsidP="00980919">
      <w:pPr>
        <w:pStyle w:val="Heading4"/>
      </w:pPr>
      <w:bookmarkStart w:id="381" w:name="_Toc154569859"/>
      <w:bookmarkStart w:id="382" w:name="_Toc162267248"/>
      <w:r w:rsidRPr="002F08EB">
        <w:t>Figure 6.</w:t>
      </w:r>
      <w:r>
        <w:t>51</w:t>
      </w:r>
      <w:r w:rsidRPr="002F08EB">
        <w:t xml:space="preserve">: </w:t>
      </w:r>
      <w:r>
        <w:t>Fully Vaccinated Individuals</w:t>
      </w:r>
      <w:r w:rsidRPr="0090330A">
        <w:t xml:space="preserve">, by </w:t>
      </w:r>
      <w:r>
        <w:t>Race i</w:t>
      </w:r>
      <w:r w:rsidRPr="0090330A">
        <w:t>n South Carolina</w:t>
      </w:r>
      <w:r>
        <w:t>.</w:t>
      </w:r>
      <w:bookmarkEnd w:id="381"/>
      <w:bookmarkEnd w:id="382"/>
      <w:r w:rsidRPr="0090330A">
        <w:t xml:space="preserve"> </w:t>
      </w:r>
    </w:p>
    <w:p w14:paraId="3A424782" w14:textId="77777777" w:rsidR="00980919" w:rsidRDefault="00980919" w:rsidP="00980919">
      <w:pPr>
        <w:pStyle w:val="Heading5"/>
      </w:pPr>
      <w:r w:rsidRPr="0090330A">
        <w:t>Rate per 100,000 population</w:t>
      </w:r>
      <w:r>
        <w:t>.</w:t>
      </w:r>
    </w:p>
    <w:tbl>
      <w:tblPr>
        <w:tblStyle w:val="TableGrid"/>
        <w:tblW w:w="0" w:type="auto"/>
        <w:tblLook w:val="04A0" w:firstRow="1" w:lastRow="0" w:firstColumn="1" w:lastColumn="0" w:noHBand="0" w:noVBand="1"/>
      </w:tblPr>
      <w:tblGrid>
        <w:gridCol w:w="3116"/>
        <w:gridCol w:w="3117"/>
        <w:gridCol w:w="3117"/>
      </w:tblGrid>
      <w:tr w:rsidR="00980919" w14:paraId="18F9FC2D" w14:textId="77777777" w:rsidTr="001515D5">
        <w:tc>
          <w:tcPr>
            <w:tcW w:w="3116" w:type="dxa"/>
            <w:vAlign w:val="bottom"/>
          </w:tcPr>
          <w:p w14:paraId="1BBE0B76" w14:textId="77777777" w:rsidR="00980919" w:rsidRDefault="00980919" w:rsidP="001515D5">
            <w:r>
              <w:t>Date</w:t>
            </w:r>
          </w:p>
        </w:tc>
        <w:tc>
          <w:tcPr>
            <w:tcW w:w="3117" w:type="dxa"/>
            <w:vAlign w:val="bottom"/>
          </w:tcPr>
          <w:p w14:paraId="64CA8169" w14:textId="77777777" w:rsidR="00980919" w:rsidRDefault="00980919" w:rsidP="001515D5">
            <w:r>
              <w:t>Black</w:t>
            </w:r>
          </w:p>
        </w:tc>
        <w:tc>
          <w:tcPr>
            <w:tcW w:w="3117" w:type="dxa"/>
            <w:vAlign w:val="bottom"/>
          </w:tcPr>
          <w:p w14:paraId="47D3874A" w14:textId="77777777" w:rsidR="00980919" w:rsidRDefault="00980919" w:rsidP="001515D5">
            <w:r>
              <w:t>White</w:t>
            </w:r>
          </w:p>
        </w:tc>
      </w:tr>
      <w:tr w:rsidR="00980919" w14:paraId="6C174BF2" w14:textId="77777777" w:rsidTr="001515D5">
        <w:tc>
          <w:tcPr>
            <w:tcW w:w="3116" w:type="dxa"/>
            <w:vAlign w:val="bottom"/>
          </w:tcPr>
          <w:p w14:paraId="494BF91A" w14:textId="77777777" w:rsidR="00980919" w:rsidRDefault="00980919" w:rsidP="001515D5">
            <w:r>
              <w:t>1/2/21</w:t>
            </w:r>
          </w:p>
        </w:tc>
        <w:tc>
          <w:tcPr>
            <w:tcW w:w="3117" w:type="dxa"/>
            <w:vAlign w:val="bottom"/>
          </w:tcPr>
          <w:p w14:paraId="02A0417A" w14:textId="77777777" w:rsidR="00980919" w:rsidRDefault="00980919" w:rsidP="001515D5">
            <w:r>
              <w:t>0</w:t>
            </w:r>
          </w:p>
        </w:tc>
        <w:tc>
          <w:tcPr>
            <w:tcW w:w="3117" w:type="dxa"/>
            <w:vAlign w:val="bottom"/>
          </w:tcPr>
          <w:p w14:paraId="58FC8F6E" w14:textId="77777777" w:rsidR="00980919" w:rsidRDefault="00980919" w:rsidP="001515D5">
            <w:r>
              <w:t>2</w:t>
            </w:r>
          </w:p>
        </w:tc>
      </w:tr>
      <w:tr w:rsidR="00980919" w14:paraId="6EEF26B2" w14:textId="77777777" w:rsidTr="001515D5">
        <w:tc>
          <w:tcPr>
            <w:tcW w:w="3116" w:type="dxa"/>
            <w:vAlign w:val="bottom"/>
          </w:tcPr>
          <w:p w14:paraId="54C983B7" w14:textId="77777777" w:rsidR="00980919" w:rsidRDefault="00980919" w:rsidP="001515D5">
            <w:r>
              <w:t>1/9/21</w:t>
            </w:r>
          </w:p>
        </w:tc>
        <w:tc>
          <w:tcPr>
            <w:tcW w:w="3117" w:type="dxa"/>
            <w:vAlign w:val="bottom"/>
          </w:tcPr>
          <w:p w14:paraId="51CEE69C" w14:textId="77777777" w:rsidR="00980919" w:rsidRDefault="00980919" w:rsidP="001515D5">
            <w:r>
              <w:t>63</w:t>
            </w:r>
          </w:p>
        </w:tc>
        <w:tc>
          <w:tcPr>
            <w:tcW w:w="3117" w:type="dxa"/>
            <w:vAlign w:val="bottom"/>
          </w:tcPr>
          <w:p w14:paraId="0971D46E" w14:textId="77777777" w:rsidR="00980919" w:rsidRDefault="00980919" w:rsidP="001515D5">
            <w:r>
              <w:t>333</w:t>
            </w:r>
          </w:p>
        </w:tc>
      </w:tr>
      <w:tr w:rsidR="00980919" w14:paraId="2E805868" w14:textId="77777777" w:rsidTr="001515D5">
        <w:tc>
          <w:tcPr>
            <w:tcW w:w="3116" w:type="dxa"/>
            <w:vAlign w:val="bottom"/>
          </w:tcPr>
          <w:p w14:paraId="67AC7758" w14:textId="77777777" w:rsidR="00980919" w:rsidRDefault="00980919" w:rsidP="001515D5">
            <w:r>
              <w:t>1/16/21</w:t>
            </w:r>
          </w:p>
        </w:tc>
        <w:tc>
          <w:tcPr>
            <w:tcW w:w="3117" w:type="dxa"/>
            <w:vAlign w:val="bottom"/>
          </w:tcPr>
          <w:p w14:paraId="5E6B4E66" w14:textId="77777777" w:rsidR="00980919" w:rsidRDefault="00980919" w:rsidP="001515D5">
            <w:r>
              <w:t>94</w:t>
            </w:r>
          </w:p>
        </w:tc>
        <w:tc>
          <w:tcPr>
            <w:tcW w:w="3117" w:type="dxa"/>
            <w:vAlign w:val="bottom"/>
          </w:tcPr>
          <w:p w14:paraId="55AB7A51" w14:textId="77777777" w:rsidR="00980919" w:rsidRDefault="00980919" w:rsidP="001515D5">
            <w:r>
              <w:t>325</w:t>
            </w:r>
          </w:p>
        </w:tc>
      </w:tr>
      <w:tr w:rsidR="00980919" w14:paraId="4A20043B" w14:textId="77777777" w:rsidTr="001515D5">
        <w:tc>
          <w:tcPr>
            <w:tcW w:w="3116" w:type="dxa"/>
            <w:vAlign w:val="bottom"/>
          </w:tcPr>
          <w:p w14:paraId="0CCC659A" w14:textId="77777777" w:rsidR="00980919" w:rsidRDefault="00980919" w:rsidP="001515D5">
            <w:r>
              <w:t>1/23/21</w:t>
            </w:r>
          </w:p>
        </w:tc>
        <w:tc>
          <w:tcPr>
            <w:tcW w:w="3117" w:type="dxa"/>
            <w:vAlign w:val="bottom"/>
          </w:tcPr>
          <w:p w14:paraId="186273EE" w14:textId="77777777" w:rsidR="00980919" w:rsidRDefault="00980919" w:rsidP="001515D5">
            <w:r>
              <w:t>121</w:t>
            </w:r>
          </w:p>
        </w:tc>
        <w:tc>
          <w:tcPr>
            <w:tcW w:w="3117" w:type="dxa"/>
            <w:vAlign w:val="bottom"/>
          </w:tcPr>
          <w:p w14:paraId="140620AB" w14:textId="77777777" w:rsidR="00980919" w:rsidRDefault="00980919" w:rsidP="001515D5">
            <w:r>
              <w:t>330</w:t>
            </w:r>
          </w:p>
        </w:tc>
      </w:tr>
      <w:tr w:rsidR="00980919" w14:paraId="56878186" w14:textId="77777777" w:rsidTr="001515D5">
        <w:tc>
          <w:tcPr>
            <w:tcW w:w="3116" w:type="dxa"/>
            <w:vAlign w:val="bottom"/>
          </w:tcPr>
          <w:p w14:paraId="494F298B" w14:textId="77777777" w:rsidR="00980919" w:rsidRDefault="00980919" w:rsidP="001515D5">
            <w:r>
              <w:t>1/30/21</w:t>
            </w:r>
          </w:p>
        </w:tc>
        <w:tc>
          <w:tcPr>
            <w:tcW w:w="3117" w:type="dxa"/>
            <w:vAlign w:val="bottom"/>
          </w:tcPr>
          <w:p w14:paraId="7CF998BA" w14:textId="77777777" w:rsidR="00980919" w:rsidRDefault="00980919" w:rsidP="001515D5">
            <w:r>
              <w:t>237</w:t>
            </w:r>
          </w:p>
        </w:tc>
        <w:tc>
          <w:tcPr>
            <w:tcW w:w="3117" w:type="dxa"/>
            <w:vAlign w:val="bottom"/>
          </w:tcPr>
          <w:p w14:paraId="0E65129B" w14:textId="77777777" w:rsidR="00980919" w:rsidRDefault="00980919" w:rsidP="001515D5">
            <w:r>
              <w:t>564</w:t>
            </w:r>
          </w:p>
        </w:tc>
      </w:tr>
      <w:tr w:rsidR="00980919" w14:paraId="596C56C4" w14:textId="77777777" w:rsidTr="001515D5">
        <w:tc>
          <w:tcPr>
            <w:tcW w:w="3116" w:type="dxa"/>
            <w:vAlign w:val="bottom"/>
          </w:tcPr>
          <w:p w14:paraId="2780DAE1" w14:textId="77777777" w:rsidR="00980919" w:rsidRDefault="00980919" w:rsidP="001515D5">
            <w:r>
              <w:t>2/6/21</w:t>
            </w:r>
          </w:p>
        </w:tc>
        <w:tc>
          <w:tcPr>
            <w:tcW w:w="3117" w:type="dxa"/>
            <w:vAlign w:val="bottom"/>
          </w:tcPr>
          <w:p w14:paraId="1559C47B" w14:textId="77777777" w:rsidR="00980919" w:rsidRDefault="00980919" w:rsidP="001515D5">
            <w:r>
              <w:t>309</w:t>
            </w:r>
          </w:p>
        </w:tc>
        <w:tc>
          <w:tcPr>
            <w:tcW w:w="3117" w:type="dxa"/>
            <w:vAlign w:val="bottom"/>
          </w:tcPr>
          <w:p w14:paraId="2FD354E3" w14:textId="77777777" w:rsidR="00980919" w:rsidRDefault="00980919" w:rsidP="001515D5">
            <w:r>
              <w:t>872</w:t>
            </w:r>
          </w:p>
        </w:tc>
      </w:tr>
      <w:tr w:rsidR="00980919" w14:paraId="015C638E" w14:textId="77777777" w:rsidTr="001515D5">
        <w:tc>
          <w:tcPr>
            <w:tcW w:w="3116" w:type="dxa"/>
            <w:vAlign w:val="bottom"/>
          </w:tcPr>
          <w:p w14:paraId="2C496FED" w14:textId="77777777" w:rsidR="00980919" w:rsidRDefault="00980919" w:rsidP="001515D5">
            <w:r>
              <w:t>2/13/21</w:t>
            </w:r>
          </w:p>
        </w:tc>
        <w:tc>
          <w:tcPr>
            <w:tcW w:w="3117" w:type="dxa"/>
            <w:vAlign w:val="bottom"/>
          </w:tcPr>
          <w:p w14:paraId="18579EF5" w14:textId="77777777" w:rsidR="00980919" w:rsidRDefault="00980919" w:rsidP="001515D5">
            <w:r>
              <w:t>563</w:t>
            </w:r>
          </w:p>
        </w:tc>
        <w:tc>
          <w:tcPr>
            <w:tcW w:w="3117" w:type="dxa"/>
            <w:vAlign w:val="bottom"/>
          </w:tcPr>
          <w:p w14:paraId="7479D7E5" w14:textId="77777777" w:rsidR="00980919" w:rsidRDefault="00980919" w:rsidP="001515D5">
            <w:r>
              <w:t>1623</w:t>
            </w:r>
          </w:p>
        </w:tc>
      </w:tr>
      <w:tr w:rsidR="00980919" w14:paraId="1A664708" w14:textId="77777777" w:rsidTr="001515D5">
        <w:tc>
          <w:tcPr>
            <w:tcW w:w="3116" w:type="dxa"/>
            <w:vAlign w:val="bottom"/>
          </w:tcPr>
          <w:p w14:paraId="5063FFB3" w14:textId="77777777" w:rsidR="00980919" w:rsidRDefault="00980919" w:rsidP="001515D5">
            <w:r>
              <w:t>2/20/21</w:t>
            </w:r>
          </w:p>
        </w:tc>
        <w:tc>
          <w:tcPr>
            <w:tcW w:w="3117" w:type="dxa"/>
            <w:vAlign w:val="bottom"/>
          </w:tcPr>
          <w:p w14:paraId="275549F3" w14:textId="77777777" w:rsidR="00980919" w:rsidRDefault="00980919" w:rsidP="001515D5">
            <w:r>
              <w:t>781</w:t>
            </w:r>
          </w:p>
        </w:tc>
        <w:tc>
          <w:tcPr>
            <w:tcW w:w="3117" w:type="dxa"/>
            <w:vAlign w:val="bottom"/>
          </w:tcPr>
          <w:p w14:paraId="0E02BF01" w14:textId="77777777" w:rsidR="00980919" w:rsidRDefault="00980919" w:rsidP="001515D5">
            <w:r>
              <w:t>1723</w:t>
            </w:r>
          </w:p>
        </w:tc>
      </w:tr>
      <w:tr w:rsidR="00980919" w14:paraId="0418E56A" w14:textId="77777777" w:rsidTr="001515D5">
        <w:tc>
          <w:tcPr>
            <w:tcW w:w="3116" w:type="dxa"/>
            <w:vAlign w:val="bottom"/>
          </w:tcPr>
          <w:p w14:paraId="60BFC430" w14:textId="77777777" w:rsidR="00980919" w:rsidRDefault="00980919" w:rsidP="001515D5">
            <w:r>
              <w:t>2/27/21</w:t>
            </w:r>
          </w:p>
        </w:tc>
        <w:tc>
          <w:tcPr>
            <w:tcW w:w="3117" w:type="dxa"/>
            <w:vAlign w:val="bottom"/>
          </w:tcPr>
          <w:p w14:paraId="37D64DD0" w14:textId="77777777" w:rsidR="00980919" w:rsidRDefault="00980919" w:rsidP="001515D5">
            <w:r>
              <w:t>942</w:t>
            </w:r>
          </w:p>
        </w:tc>
        <w:tc>
          <w:tcPr>
            <w:tcW w:w="3117" w:type="dxa"/>
            <w:vAlign w:val="bottom"/>
          </w:tcPr>
          <w:p w14:paraId="3373FF60" w14:textId="77777777" w:rsidR="00980919" w:rsidRDefault="00980919" w:rsidP="001515D5">
            <w:r>
              <w:t>1564</w:t>
            </w:r>
          </w:p>
        </w:tc>
      </w:tr>
      <w:tr w:rsidR="00980919" w14:paraId="6CC58424" w14:textId="77777777" w:rsidTr="001515D5">
        <w:tc>
          <w:tcPr>
            <w:tcW w:w="3116" w:type="dxa"/>
            <w:vAlign w:val="bottom"/>
          </w:tcPr>
          <w:p w14:paraId="4A25B753" w14:textId="77777777" w:rsidR="00980919" w:rsidRDefault="00980919" w:rsidP="001515D5">
            <w:r>
              <w:t>3/6/21</w:t>
            </w:r>
          </w:p>
        </w:tc>
        <w:tc>
          <w:tcPr>
            <w:tcW w:w="3117" w:type="dxa"/>
            <w:vAlign w:val="bottom"/>
          </w:tcPr>
          <w:p w14:paraId="23F6BE40" w14:textId="77777777" w:rsidR="00980919" w:rsidRDefault="00980919" w:rsidP="001515D5">
            <w:r>
              <w:t>999</w:t>
            </w:r>
          </w:p>
        </w:tc>
        <w:tc>
          <w:tcPr>
            <w:tcW w:w="3117" w:type="dxa"/>
            <w:vAlign w:val="bottom"/>
          </w:tcPr>
          <w:p w14:paraId="4BED6196" w14:textId="77777777" w:rsidR="00980919" w:rsidRDefault="00980919" w:rsidP="001515D5">
            <w:r>
              <w:t>1442</w:t>
            </w:r>
          </w:p>
        </w:tc>
      </w:tr>
      <w:tr w:rsidR="00980919" w14:paraId="29A7F705" w14:textId="77777777" w:rsidTr="001515D5">
        <w:tc>
          <w:tcPr>
            <w:tcW w:w="3116" w:type="dxa"/>
            <w:vAlign w:val="bottom"/>
          </w:tcPr>
          <w:p w14:paraId="706B524F" w14:textId="77777777" w:rsidR="00980919" w:rsidRDefault="00980919" w:rsidP="001515D5">
            <w:r>
              <w:t>3/13/21</w:t>
            </w:r>
          </w:p>
        </w:tc>
        <w:tc>
          <w:tcPr>
            <w:tcW w:w="3117" w:type="dxa"/>
            <w:vAlign w:val="bottom"/>
          </w:tcPr>
          <w:p w14:paraId="60419CDB" w14:textId="77777777" w:rsidR="00980919" w:rsidRDefault="00980919" w:rsidP="001515D5">
            <w:r>
              <w:t>1174</w:t>
            </w:r>
          </w:p>
        </w:tc>
        <w:tc>
          <w:tcPr>
            <w:tcW w:w="3117" w:type="dxa"/>
            <w:vAlign w:val="bottom"/>
          </w:tcPr>
          <w:p w14:paraId="502B56A6" w14:textId="77777777" w:rsidR="00980919" w:rsidRDefault="00980919" w:rsidP="001515D5">
            <w:r>
              <w:t>1513</w:t>
            </w:r>
          </w:p>
        </w:tc>
      </w:tr>
      <w:tr w:rsidR="00980919" w14:paraId="63002971" w14:textId="77777777" w:rsidTr="001515D5">
        <w:tc>
          <w:tcPr>
            <w:tcW w:w="3116" w:type="dxa"/>
            <w:vAlign w:val="bottom"/>
          </w:tcPr>
          <w:p w14:paraId="2BBC570E" w14:textId="77777777" w:rsidR="00980919" w:rsidRDefault="00980919" w:rsidP="001515D5">
            <w:r>
              <w:t>3/20/21</w:t>
            </w:r>
          </w:p>
        </w:tc>
        <w:tc>
          <w:tcPr>
            <w:tcW w:w="3117" w:type="dxa"/>
            <w:vAlign w:val="bottom"/>
          </w:tcPr>
          <w:p w14:paraId="73647E90" w14:textId="77777777" w:rsidR="00980919" w:rsidRDefault="00980919" w:rsidP="001515D5">
            <w:r>
              <w:t>1042</w:t>
            </w:r>
          </w:p>
        </w:tc>
        <w:tc>
          <w:tcPr>
            <w:tcW w:w="3117" w:type="dxa"/>
            <w:vAlign w:val="bottom"/>
          </w:tcPr>
          <w:p w14:paraId="71584947" w14:textId="77777777" w:rsidR="00980919" w:rsidRDefault="00980919" w:rsidP="001515D5">
            <w:r>
              <w:t>1297</w:t>
            </w:r>
          </w:p>
        </w:tc>
      </w:tr>
      <w:tr w:rsidR="00980919" w14:paraId="3665BC4D" w14:textId="77777777" w:rsidTr="001515D5">
        <w:tc>
          <w:tcPr>
            <w:tcW w:w="3116" w:type="dxa"/>
            <w:vAlign w:val="bottom"/>
          </w:tcPr>
          <w:p w14:paraId="1842CF9C" w14:textId="77777777" w:rsidR="00980919" w:rsidRDefault="00980919" w:rsidP="001515D5">
            <w:r>
              <w:t>3/27/21</w:t>
            </w:r>
          </w:p>
        </w:tc>
        <w:tc>
          <w:tcPr>
            <w:tcW w:w="3117" w:type="dxa"/>
            <w:vAlign w:val="bottom"/>
          </w:tcPr>
          <w:p w14:paraId="56235B4D" w14:textId="77777777" w:rsidR="00980919" w:rsidRDefault="00980919" w:rsidP="001515D5">
            <w:r>
              <w:t>1223</w:t>
            </w:r>
          </w:p>
        </w:tc>
        <w:tc>
          <w:tcPr>
            <w:tcW w:w="3117" w:type="dxa"/>
            <w:vAlign w:val="bottom"/>
          </w:tcPr>
          <w:p w14:paraId="25728BB1" w14:textId="77777777" w:rsidR="00980919" w:rsidRDefault="00980919" w:rsidP="001515D5">
            <w:r>
              <w:t>1595</w:t>
            </w:r>
          </w:p>
        </w:tc>
      </w:tr>
      <w:tr w:rsidR="00980919" w14:paraId="529FC481" w14:textId="77777777" w:rsidTr="001515D5">
        <w:tc>
          <w:tcPr>
            <w:tcW w:w="3116" w:type="dxa"/>
            <w:vAlign w:val="bottom"/>
          </w:tcPr>
          <w:p w14:paraId="77F595E2" w14:textId="77777777" w:rsidR="00980919" w:rsidRDefault="00980919" w:rsidP="001515D5">
            <w:r>
              <w:t>4/3/21</w:t>
            </w:r>
          </w:p>
        </w:tc>
        <w:tc>
          <w:tcPr>
            <w:tcW w:w="3117" w:type="dxa"/>
            <w:vAlign w:val="bottom"/>
          </w:tcPr>
          <w:p w14:paraId="2383FCFC" w14:textId="77777777" w:rsidR="00980919" w:rsidRDefault="00980919" w:rsidP="001515D5">
            <w:r>
              <w:t>1757</w:t>
            </w:r>
          </w:p>
        </w:tc>
        <w:tc>
          <w:tcPr>
            <w:tcW w:w="3117" w:type="dxa"/>
            <w:vAlign w:val="bottom"/>
          </w:tcPr>
          <w:p w14:paraId="198D0905" w14:textId="77777777" w:rsidR="00980919" w:rsidRDefault="00980919" w:rsidP="001515D5">
            <w:r>
              <w:t>2525</w:t>
            </w:r>
          </w:p>
        </w:tc>
      </w:tr>
      <w:tr w:rsidR="00980919" w14:paraId="47291213" w14:textId="77777777" w:rsidTr="001515D5">
        <w:tc>
          <w:tcPr>
            <w:tcW w:w="3116" w:type="dxa"/>
            <w:vAlign w:val="bottom"/>
          </w:tcPr>
          <w:p w14:paraId="564271D6" w14:textId="77777777" w:rsidR="00980919" w:rsidRDefault="00980919" w:rsidP="001515D5">
            <w:r>
              <w:t>4/10/21</w:t>
            </w:r>
          </w:p>
        </w:tc>
        <w:tc>
          <w:tcPr>
            <w:tcW w:w="3117" w:type="dxa"/>
            <w:vAlign w:val="bottom"/>
          </w:tcPr>
          <w:p w14:paraId="4E160AF0" w14:textId="77777777" w:rsidR="00980919" w:rsidRDefault="00980919" w:rsidP="001515D5">
            <w:r>
              <w:t>2137</w:t>
            </w:r>
          </w:p>
        </w:tc>
        <w:tc>
          <w:tcPr>
            <w:tcW w:w="3117" w:type="dxa"/>
            <w:vAlign w:val="bottom"/>
          </w:tcPr>
          <w:p w14:paraId="3EAE7E1E" w14:textId="77777777" w:rsidR="00980919" w:rsidRDefault="00980919" w:rsidP="001515D5">
            <w:r>
              <w:t>2553</w:t>
            </w:r>
          </w:p>
        </w:tc>
      </w:tr>
      <w:tr w:rsidR="00980919" w14:paraId="523644A3" w14:textId="77777777" w:rsidTr="001515D5">
        <w:tc>
          <w:tcPr>
            <w:tcW w:w="3116" w:type="dxa"/>
            <w:vAlign w:val="bottom"/>
          </w:tcPr>
          <w:p w14:paraId="0DA74031" w14:textId="77777777" w:rsidR="00980919" w:rsidRDefault="00980919" w:rsidP="001515D5">
            <w:r>
              <w:t>4/17/21</w:t>
            </w:r>
          </w:p>
        </w:tc>
        <w:tc>
          <w:tcPr>
            <w:tcW w:w="3117" w:type="dxa"/>
            <w:vAlign w:val="bottom"/>
          </w:tcPr>
          <w:p w14:paraId="645650BF" w14:textId="77777777" w:rsidR="00980919" w:rsidRDefault="00980919" w:rsidP="001515D5">
            <w:r>
              <w:t>2226</w:t>
            </w:r>
          </w:p>
        </w:tc>
        <w:tc>
          <w:tcPr>
            <w:tcW w:w="3117" w:type="dxa"/>
            <w:vAlign w:val="bottom"/>
          </w:tcPr>
          <w:p w14:paraId="5E648B06" w14:textId="77777777" w:rsidR="00980919" w:rsidRDefault="00980919" w:rsidP="001515D5">
            <w:r>
              <w:t>2616</w:t>
            </w:r>
          </w:p>
        </w:tc>
      </w:tr>
      <w:tr w:rsidR="00980919" w14:paraId="5E37DD74" w14:textId="77777777" w:rsidTr="001515D5">
        <w:tc>
          <w:tcPr>
            <w:tcW w:w="3116" w:type="dxa"/>
            <w:vAlign w:val="bottom"/>
          </w:tcPr>
          <w:p w14:paraId="06F40ACB" w14:textId="77777777" w:rsidR="00980919" w:rsidRDefault="00980919" w:rsidP="001515D5">
            <w:r>
              <w:t>4/24/21</w:t>
            </w:r>
          </w:p>
        </w:tc>
        <w:tc>
          <w:tcPr>
            <w:tcW w:w="3117" w:type="dxa"/>
            <w:vAlign w:val="bottom"/>
          </w:tcPr>
          <w:p w14:paraId="5B4EBE99" w14:textId="77777777" w:rsidR="00980919" w:rsidRDefault="00980919" w:rsidP="001515D5">
            <w:r>
              <w:t>1977</w:t>
            </w:r>
          </w:p>
        </w:tc>
        <w:tc>
          <w:tcPr>
            <w:tcW w:w="3117" w:type="dxa"/>
            <w:vAlign w:val="bottom"/>
          </w:tcPr>
          <w:p w14:paraId="76F2DDE7" w14:textId="77777777" w:rsidR="00980919" w:rsidRDefault="00980919" w:rsidP="001515D5">
            <w:r>
              <w:t>2161</w:t>
            </w:r>
          </w:p>
        </w:tc>
      </w:tr>
      <w:tr w:rsidR="00980919" w14:paraId="0E48F169" w14:textId="77777777" w:rsidTr="001515D5">
        <w:tc>
          <w:tcPr>
            <w:tcW w:w="3116" w:type="dxa"/>
            <w:vAlign w:val="bottom"/>
          </w:tcPr>
          <w:p w14:paraId="2037929E" w14:textId="77777777" w:rsidR="00980919" w:rsidRDefault="00980919" w:rsidP="001515D5">
            <w:r>
              <w:t>5/1/21</w:t>
            </w:r>
          </w:p>
        </w:tc>
        <w:tc>
          <w:tcPr>
            <w:tcW w:w="3117" w:type="dxa"/>
            <w:vAlign w:val="bottom"/>
          </w:tcPr>
          <w:p w14:paraId="0F008B52" w14:textId="77777777" w:rsidR="00980919" w:rsidRDefault="00980919" w:rsidP="001515D5">
            <w:r>
              <w:t>1742</w:t>
            </w:r>
          </w:p>
        </w:tc>
        <w:tc>
          <w:tcPr>
            <w:tcW w:w="3117" w:type="dxa"/>
            <w:vAlign w:val="bottom"/>
          </w:tcPr>
          <w:p w14:paraId="22ED8D0D" w14:textId="77777777" w:rsidR="00980919" w:rsidRDefault="00980919" w:rsidP="001515D5">
            <w:r>
              <w:t>1950</w:t>
            </w:r>
          </w:p>
        </w:tc>
      </w:tr>
      <w:tr w:rsidR="00980919" w14:paraId="2E2C7B00" w14:textId="77777777" w:rsidTr="001515D5">
        <w:tc>
          <w:tcPr>
            <w:tcW w:w="3116" w:type="dxa"/>
            <w:vAlign w:val="bottom"/>
          </w:tcPr>
          <w:p w14:paraId="1F61F9C6" w14:textId="77777777" w:rsidR="00980919" w:rsidRDefault="00980919" w:rsidP="001515D5">
            <w:r>
              <w:t>5/8/21</w:t>
            </w:r>
          </w:p>
        </w:tc>
        <w:tc>
          <w:tcPr>
            <w:tcW w:w="3117" w:type="dxa"/>
            <w:vAlign w:val="bottom"/>
          </w:tcPr>
          <w:p w14:paraId="0CB7F65A" w14:textId="77777777" w:rsidR="00980919" w:rsidRDefault="00980919" w:rsidP="001515D5">
            <w:r>
              <w:t>1557</w:t>
            </w:r>
          </w:p>
        </w:tc>
        <w:tc>
          <w:tcPr>
            <w:tcW w:w="3117" w:type="dxa"/>
            <w:vAlign w:val="bottom"/>
          </w:tcPr>
          <w:p w14:paraId="087290DF" w14:textId="77777777" w:rsidR="00980919" w:rsidRDefault="00980919" w:rsidP="001515D5">
            <w:r>
              <w:t>1559</w:t>
            </w:r>
          </w:p>
        </w:tc>
      </w:tr>
      <w:tr w:rsidR="00980919" w14:paraId="4C1B4C5F" w14:textId="77777777" w:rsidTr="001515D5">
        <w:tc>
          <w:tcPr>
            <w:tcW w:w="3116" w:type="dxa"/>
            <w:vAlign w:val="bottom"/>
          </w:tcPr>
          <w:p w14:paraId="7B778D7B" w14:textId="77777777" w:rsidR="00980919" w:rsidRDefault="00980919" w:rsidP="001515D5">
            <w:r>
              <w:t>5/15/21</w:t>
            </w:r>
          </w:p>
        </w:tc>
        <w:tc>
          <w:tcPr>
            <w:tcW w:w="3117" w:type="dxa"/>
            <w:vAlign w:val="bottom"/>
          </w:tcPr>
          <w:p w14:paraId="347BA9C3" w14:textId="77777777" w:rsidR="00980919" w:rsidRDefault="00980919" w:rsidP="001515D5">
            <w:r>
              <w:t>1132</w:t>
            </w:r>
          </w:p>
        </w:tc>
        <w:tc>
          <w:tcPr>
            <w:tcW w:w="3117" w:type="dxa"/>
            <w:vAlign w:val="bottom"/>
          </w:tcPr>
          <w:p w14:paraId="072C5DE8" w14:textId="77777777" w:rsidR="00980919" w:rsidRDefault="00980919" w:rsidP="001515D5">
            <w:r>
              <w:t>1022</w:t>
            </w:r>
          </w:p>
        </w:tc>
      </w:tr>
      <w:tr w:rsidR="00980919" w14:paraId="6644A146" w14:textId="77777777" w:rsidTr="001515D5">
        <w:tc>
          <w:tcPr>
            <w:tcW w:w="3116" w:type="dxa"/>
            <w:vAlign w:val="bottom"/>
          </w:tcPr>
          <w:p w14:paraId="4E4DB01A" w14:textId="77777777" w:rsidR="00980919" w:rsidRDefault="00980919" w:rsidP="001515D5">
            <w:r>
              <w:t>5/22/21</w:t>
            </w:r>
          </w:p>
        </w:tc>
        <w:tc>
          <w:tcPr>
            <w:tcW w:w="3117" w:type="dxa"/>
            <w:vAlign w:val="bottom"/>
          </w:tcPr>
          <w:p w14:paraId="1569BC40" w14:textId="77777777" w:rsidR="00980919" w:rsidRDefault="00980919" w:rsidP="001515D5">
            <w:r>
              <w:t>1001</w:t>
            </w:r>
          </w:p>
        </w:tc>
        <w:tc>
          <w:tcPr>
            <w:tcW w:w="3117" w:type="dxa"/>
            <w:vAlign w:val="bottom"/>
          </w:tcPr>
          <w:p w14:paraId="14679ED2" w14:textId="77777777" w:rsidR="00980919" w:rsidRDefault="00980919" w:rsidP="001515D5">
            <w:r>
              <w:t>850</w:t>
            </w:r>
          </w:p>
        </w:tc>
      </w:tr>
      <w:tr w:rsidR="00980919" w14:paraId="0B83511A" w14:textId="77777777" w:rsidTr="001515D5">
        <w:tc>
          <w:tcPr>
            <w:tcW w:w="3116" w:type="dxa"/>
            <w:vAlign w:val="bottom"/>
          </w:tcPr>
          <w:p w14:paraId="71EBE31A" w14:textId="77777777" w:rsidR="00980919" w:rsidRDefault="00980919" w:rsidP="001515D5">
            <w:r>
              <w:t>5/29/21</w:t>
            </w:r>
          </w:p>
        </w:tc>
        <w:tc>
          <w:tcPr>
            <w:tcW w:w="3117" w:type="dxa"/>
            <w:vAlign w:val="bottom"/>
          </w:tcPr>
          <w:p w14:paraId="01745323" w14:textId="77777777" w:rsidR="00980919" w:rsidRDefault="00980919" w:rsidP="001515D5">
            <w:r>
              <w:t>777</w:t>
            </w:r>
          </w:p>
        </w:tc>
        <w:tc>
          <w:tcPr>
            <w:tcW w:w="3117" w:type="dxa"/>
            <w:vAlign w:val="bottom"/>
          </w:tcPr>
          <w:p w14:paraId="66A60E66" w14:textId="77777777" w:rsidR="00980919" w:rsidRDefault="00980919" w:rsidP="001515D5">
            <w:r>
              <w:t>623</w:t>
            </w:r>
          </w:p>
        </w:tc>
      </w:tr>
      <w:tr w:rsidR="00980919" w14:paraId="2F058FDD" w14:textId="77777777" w:rsidTr="001515D5">
        <w:tc>
          <w:tcPr>
            <w:tcW w:w="3116" w:type="dxa"/>
            <w:vAlign w:val="bottom"/>
          </w:tcPr>
          <w:p w14:paraId="47CAFC8E" w14:textId="77777777" w:rsidR="00980919" w:rsidRDefault="00980919" w:rsidP="001515D5">
            <w:r>
              <w:t>6/5/21</w:t>
            </w:r>
          </w:p>
        </w:tc>
        <w:tc>
          <w:tcPr>
            <w:tcW w:w="3117" w:type="dxa"/>
            <w:vAlign w:val="bottom"/>
          </w:tcPr>
          <w:p w14:paraId="5147B092" w14:textId="77777777" w:rsidR="00980919" w:rsidRDefault="00980919" w:rsidP="001515D5">
            <w:r>
              <w:t>725</w:t>
            </w:r>
          </w:p>
        </w:tc>
        <w:tc>
          <w:tcPr>
            <w:tcW w:w="3117" w:type="dxa"/>
            <w:vAlign w:val="bottom"/>
          </w:tcPr>
          <w:p w14:paraId="464DBAD6" w14:textId="77777777" w:rsidR="00980919" w:rsidRDefault="00980919" w:rsidP="001515D5">
            <w:r>
              <w:t>649</w:t>
            </w:r>
          </w:p>
        </w:tc>
      </w:tr>
      <w:tr w:rsidR="00980919" w14:paraId="7FC40E60" w14:textId="77777777" w:rsidTr="001515D5">
        <w:tc>
          <w:tcPr>
            <w:tcW w:w="3116" w:type="dxa"/>
            <w:vAlign w:val="bottom"/>
          </w:tcPr>
          <w:p w14:paraId="036CEF40" w14:textId="77777777" w:rsidR="00980919" w:rsidRDefault="00980919" w:rsidP="001515D5">
            <w:r>
              <w:t>6/12/21</w:t>
            </w:r>
          </w:p>
        </w:tc>
        <w:tc>
          <w:tcPr>
            <w:tcW w:w="3117" w:type="dxa"/>
            <w:vAlign w:val="bottom"/>
          </w:tcPr>
          <w:p w14:paraId="05231530" w14:textId="77777777" w:rsidR="00980919" w:rsidRDefault="00980919" w:rsidP="001515D5">
            <w:r>
              <w:t>784</w:t>
            </w:r>
          </w:p>
        </w:tc>
        <w:tc>
          <w:tcPr>
            <w:tcW w:w="3117" w:type="dxa"/>
            <w:vAlign w:val="bottom"/>
          </w:tcPr>
          <w:p w14:paraId="2DF088FD" w14:textId="77777777" w:rsidR="00980919" w:rsidRDefault="00980919" w:rsidP="001515D5">
            <w:r>
              <w:t>683</w:t>
            </w:r>
          </w:p>
        </w:tc>
      </w:tr>
      <w:tr w:rsidR="00980919" w14:paraId="0ECC7DCE" w14:textId="77777777" w:rsidTr="001515D5">
        <w:tc>
          <w:tcPr>
            <w:tcW w:w="3116" w:type="dxa"/>
            <w:vAlign w:val="bottom"/>
          </w:tcPr>
          <w:p w14:paraId="1F68691F" w14:textId="77777777" w:rsidR="00980919" w:rsidRDefault="00980919" w:rsidP="001515D5">
            <w:r>
              <w:t>6/19/21</w:t>
            </w:r>
          </w:p>
        </w:tc>
        <w:tc>
          <w:tcPr>
            <w:tcW w:w="3117" w:type="dxa"/>
            <w:vAlign w:val="bottom"/>
          </w:tcPr>
          <w:p w14:paraId="0395817D" w14:textId="77777777" w:rsidR="00980919" w:rsidRDefault="00980919" w:rsidP="001515D5">
            <w:r>
              <w:t>720</w:t>
            </w:r>
          </w:p>
        </w:tc>
        <w:tc>
          <w:tcPr>
            <w:tcW w:w="3117" w:type="dxa"/>
            <w:vAlign w:val="bottom"/>
          </w:tcPr>
          <w:p w14:paraId="199546DE" w14:textId="77777777" w:rsidR="00980919" w:rsidRDefault="00980919" w:rsidP="001515D5">
            <w:r>
              <w:t>518</w:t>
            </w:r>
          </w:p>
        </w:tc>
      </w:tr>
      <w:tr w:rsidR="00980919" w14:paraId="74D4676C" w14:textId="77777777" w:rsidTr="001515D5">
        <w:tc>
          <w:tcPr>
            <w:tcW w:w="3116" w:type="dxa"/>
            <w:vAlign w:val="bottom"/>
          </w:tcPr>
          <w:p w14:paraId="5603026E" w14:textId="77777777" w:rsidR="00980919" w:rsidRDefault="00980919" w:rsidP="001515D5">
            <w:r>
              <w:t>6/26/21</w:t>
            </w:r>
          </w:p>
        </w:tc>
        <w:tc>
          <w:tcPr>
            <w:tcW w:w="3117" w:type="dxa"/>
            <w:vAlign w:val="bottom"/>
          </w:tcPr>
          <w:p w14:paraId="4C811173" w14:textId="77777777" w:rsidR="00980919" w:rsidRDefault="00980919" w:rsidP="001515D5">
            <w:r>
              <w:t>595</w:t>
            </w:r>
          </w:p>
        </w:tc>
        <w:tc>
          <w:tcPr>
            <w:tcW w:w="3117" w:type="dxa"/>
            <w:vAlign w:val="bottom"/>
          </w:tcPr>
          <w:p w14:paraId="0E873A4D" w14:textId="77777777" w:rsidR="00980919" w:rsidRDefault="00980919" w:rsidP="001515D5">
            <w:r>
              <w:t>364</w:t>
            </w:r>
          </w:p>
        </w:tc>
      </w:tr>
      <w:tr w:rsidR="00980919" w14:paraId="268DA6AA" w14:textId="77777777" w:rsidTr="001515D5">
        <w:tc>
          <w:tcPr>
            <w:tcW w:w="3116" w:type="dxa"/>
            <w:vAlign w:val="bottom"/>
          </w:tcPr>
          <w:p w14:paraId="13909711" w14:textId="77777777" w:rsidR="00980919" w:rsidRDefault="00980919" w:rsidP="001515D5">
            <w:r>
              <w:t>7/3/21</w:t>
            </w:r>
          </w:p>
        </w:tc>
        <w:tc>
          <w:tcPr>
            <w:tcW w:w="3117" w:type="dxa"/>
            <w:vAlign w:val="bottom"/>
          </w:tcPr>
          <w:p w14:paraId="2D00322E" w14:textId="77777777" w:rsidR="00980919" w:rsidRDefault="00980919" w:rsidP="001515D5">
            <w:r>
              <w:t>451</w:t>
            </w:r>
          </w:p>
        </w:tc>
        <w:tc>
          <w:tcPr>
            <w:tcW w:w="3117" w:type="dxa"/>
            <w:vAlign w:val="bottom"/>
          </w:tcPr>
          <w:p w14:paraId="7B91E1BA" w14:textId="77777777" w:rsidR="00980919" w:rsidRDefault="00980919" w:rsidP="001515D5">
            <w:r>
              <w:t>301</w:t>
            </w:r>
          </w:p>
        </w:tc>
      </w:tr>
      <w:tr w:rsidR="00980919" w14:paraId="0E005343" w14:textId="77777777" w:rsidTr="001515D5">
        <w:tc>
          <w:tcPr>
            <w:tcW w:w="3116" w:type="dxa"/>
            <w:vAlign w:val="bottom"/>
          </w:tcPr>
          <w:p w14:paraId="233F989C" w14:textId="77777777" w:rsidR="00980919" w:rsidRDefault="00980919" w:rsidP="001515D5">
            <w:r>
              <w:t>7/10/21</w:t>
            </w:r>
          </w:p>
        </w:tc>
        <w:tc>
          <w:tcPr>
            <w:tcW w:w="3117" w:type="dxa"/>
            <w:vAlign w:val="bottom"/>
          </w:tcPr>
          <w:p w14:paraId="59CE4BC6" w14:textId="77777777" w:rsidR="00980919" w:rsidRDefault="00980919" w:rsidP="001515D5">
            <w:r>
              <w:t>403</w:t>
            </w:r>
          </w:p>
        </w:tc>
        <w:tc>
          <w:tcPr>
            <w:tcW w:w="3117" w:type="dxa"/>
            <w:vAlign w:val="bottom"/>
          </w:tcPr>
          <w:p w14:paraId="5A3DC01F" w14:textId="77777777" w:rsidR="00980919" w:rsidRDefault="00980919" w:rsidP="001515D5">
            <w:r>
              <w:t>251</w:t>
            </w:r>
          </w:p>
        </w:tc>
      </w:tr>
      <w:tr w:rsidR="00980919" w14:paraId="7F2D9741" w14:textId="77777777" w:rsidTr="001515D5">
        <w:tc>
          <w:tcPr>
            <w:tcW w:w="3116" w:type="dxa"/>
            <w:vAlign w:val="bottom"/>
          </w:tcPr>
          <w:p w14:paraId="3D86D754" w14:textId="77777777" w:rsidR="00980919" w:rsidRDefault="00980919" w:rsidP="001515D5">
            <w:r>
              <w:t>7/17/21</w:t>
            </w:r>
          </w:p>
        </w:tc>
        <w:tc>
          <w:tcPr>
            <w:tcW w:w="3117" w:type="dxa"/>
            <w:vAlign w:val="bottom"/>
          </w:tcPr>
          <w:p w14:paraId="78FF8EE0" w14:textId="77777777" w:rsidR="00980919" w:rsidRDefault="00980919" w:rsidP="001515D5">
            <w:r>
              <w:t>405</w:t>
            </w:r>
          </w:p>
        </w:tc>
        <w:tc>
          <w:tcPr>
            <w:tcW w:w="3117" w:type="dxa"/>
            <w:vAlign w:val="bottom"/>
          </w:tcPr>
          <w:p w14:paraId="7F190DA6" w14:textId="77777777" w:rsidR="00980919" w:rsidRDefault="00980919" w:rsidP="001515D5">
            <w:r>
              <w:t>243</w:t>
            </w:r>
          </w:p>
        </w:tc>
      </w:tr>
      <w:tr w:rsidR="00980919" w14:paraId="194B6CDC" w14:textId="77777777" w:rsidTr="001515D5">
        <w:tc>
          <w:tcPr>
            <w:tcW w:w="3116" w:type="dxa"/>
            <w:vAlign w:val="bottom"/>
          </w:tcPr>
          <w:p w14:paraId="1310A5DB" w14:textId="77777777" w:rsidR="00980919" w:rsidRDefault="00980919" w:rsidP="001515D5">
            <w:r>
              <w:t>7/24/21</w:t>
            </w:r>
          </w:p>
        </w:tc>
        <w:tc>
          <w:tcPr>
            <w:tcW w:w="3117" w:type="dxa"/>
            <w:vAlign w:val="bottom"/>
          </w:tcPr>
          <w:p w14:paraId="00B7852D" w14:textId="77777777" w:rsidR="00980919" w:rsidRDefault="00980919" w:rsidP="001515D5">
            <w:r>
              <w:t>402</w:t>
            </w:r>
          </w:p>
        </w:tc>
        <w:tc>
          <w:tcPr>
            <w:tcW w:w="3117" w:type="dxa"/>
            <w:vAlign w:val="bottom"/>
          </w:tcPr>
          <w:p w14:paraId="1B7CAED2" w14:textId="77777777" w:rsidR="00980919" w:rsidRDefault="00980919" w:rsidP="001515D5">
            <w:r>
              <w:t>232</w:t>
            </w:r>
          </w:p>
        </w:tc>
      </w:tr>
      <w:tr w:rsidR="00980919" w14:paraId="24F22584" w14:textId="77777777" w:rsidTr="001515D5">
        <w:tc>
          <w:tcPr>
            <w:tcW w:w="3116" w:type="dxa"/>
            <w:vAlign w:val="bottom"/>
          </w:tcPr>
          <w:p w14:paraId="7D9BE63C" w14:textId="77777777" w:rsidR="00980919" w:rsidRDefault="00980919" w:rsidP="001515D5">
            <w:r>
              <w:lastRenderedPageBreak/>
              <w:t>7/31/21</w:t>
            </w:r>
          </w:p>
        </w:tc>
        <w:tc>
          <w:tcPr>
            <w:tcW w:w="3117" w:type="dxa"/>
            <w:vAlign w:val="bottom"/>
          </w:tcPr>
          <w:p w14:paraId="60DC77BB" w14:textId="77777777" w:rsidR="00980919" w:rsidRDefault="00980919" w:rsidP="001515D5">
            <w:r>
              <w:t>388</w:t>
            </w:r>
          </w:p>
        </w:tc>
        <w:tc>
          <w:tcPr>
            <w:tcW w:w="3117" w:type="dxa"/>
            <w:vAlign w:val="bottom"/>
          </w:tcPr>
          <w:p w14:paraId="04EA209F" w14:textId="77777777" w:rsidR="00980919" w:rsidRDefault="00980919" w:rsidP="001515D5">
            <w:r>
              <w:t>235</w:t>
            </w:r>
          </w:p>
        </w:tc>
      </w:tr>
      <w:tr w:rsidR="00980919" w14:paraId="5D7C8903" w14:textId="77777777" w:rsidTr="001515D5">
        <w:tc>
          <w:tcPr>
            <w:tcW w:w="3116" w:type="dxa"/>
            <w:vAlign w:val="bottom"/>
          </w:tcPr>
          <w:p w14:paraId="789603CE" w14:textId="77777777" w:rsidR="00980919" w:rsidRDefault="00980919" w:rsidP="001515D5">
            <w:r>
              <w:t>8/7/21</w:t>
            </w:r>
          </w:p>
        </w:tc>
        <w:tc>
          <w:tcPr>
            <w:tcW w:w="3117" w:type="dxa"/>
            <w:vAlign w:val="bottom"/>
          </w:tcPr>
          <w:p w14:paraId="2E1CE149" w14:textId="77777777" w:rsidR="00980919" w:rsidRDefault="00980919" w:rsidP="001515D5">
            <w:r>
              <w:t>455</w:t>
            </w:r>
          </w:p>
        </w:tc>
        <w:tc>
          <w:tcPr>
            <w:tcW w:w="3117" w:type="dxa"/>
            <w:vAlign w:val="bottom"/>
          </w:tcPr>
          <w:p w14:paraId="24FB7321" w14:textId="77777777" w:rsidR="00980919" w:rsidRDefault="00980919" w:rsidP="001515D5">
            <w:r>
              <w:t>267</w:t>
            </w:r>
          </w:p>
        </w:tc>
      </w:tr>
      <w:tr w:rsidR="00980919" w14:paraId="524D4483" w14:textId="77777777" w:rsidTr="001515D5">
        <w:tc>
          <w:tcPr>
            <w:tcW w:w="3116" w:type="dxa"/>
            <w:vAlign w:val="bottom"/>
          </w:tcPr>
          <w:p w14:paraId="0DA111A2" w14:textId="77777777" w:rsidR="00980919" w:rsidRDefault="00980919" w:rsidP="001515D5">
            <w:r>
              <w:t>8/14/21</w:t>
            </w:r>
          </w:p>
        </w:tc>
        <w:tc>
          <w:tcPr>
            <w:tcW w:w="3117" w:type="dxa"/>
            <w:vAlign w:val="bottom"/>
          </w:tcPr>
          <w:p w14:paraId="772E29A6" w14:textId="77777777" w:rsidR="00980919" w:rsidRDefault="00980919" w:rsidP="001515D5">
            <w:r>
              <w:t>576</w:t>
            </w:r>
          </w:p>
        </w:tc>
        <w:tc>
          <w:tcPr>
            <w:tcW w:w="3117" w:type="dxa"/>
            <w:vAlign w:val="bottom"/>
          </w:tcPr>
          <w:p w14:paraId="4100AF2E" w14:textId="77777777" w:rsidR="00980919" w:rsidRDefault="00980919" w:rsidP="001515D5">
            <w:r>
              <w:t>352</w:t>
            </w:r>
          </w:p>
        </w:tc>
      </w:tr>
      <w:tr w:rsidR="00980919" w14:paraId="1C141B7B" w14:textId="77777777" w:rsidTr="001515D5">
        <w:tc>
          <w:tcPr>
            <w:tcW w:w="3116" w:type="dxa"/>
            <w:vAlign w:val="bottom"/>
          </w:tcPr>
          <w:p w14:paraId="794A3665" w14:textId="77777777" w:rsidR="00980919" w:rsidRDefault="00980919" w:rsidP="001515D5">
            <w:r>
              <w:t>8/21/21</w:t>
            </w:r>
          </w:p>
        </w:tc>
        <w:tc>
          <w:tcPr>
            <w:tcW w:w="3117" w:type="dxa"/>
            <w:vAlign w:val="bottom"/>
          </w:tcPr>
          <w:p w14:paraId="2F15B49B" w14:textId="77777777" w:rsidR="00980919" w:rsidRDefault="00980919" w:rsidP="001515D5">
            <w:r>
              <w:t>692</w:t>
            </w:r>
          </w:p>
        </w:tc>
        <w:tc>
          <w:tcPr>
            <w:tcW w:w="3117" w:type="dxa"/>
            <w:vAlign w:val="bottom"/>
          </w:tcPr>
          <w:p w14:paraId="6EBE7825" w14:textId="77777777" w:rsidR="00980919" w:rsidRDefault="00980919" w:rsidP="001515D5">
            <w:r>
              <w:t>468</w:t>
            </w:r>
          </w:p>
        </w:tc>
      </w:tr>
      <w:tr w:rsidR="00980919" w14:paraId="13C11830" w14:textId="77777777" w:rsidTr="001515D5">
        <w:tc>
          <w:tcPr>
            <w:tcW w:w="3116" w:type="dxa"/>
            <w:vAlign w:val="bottom"/>
          </w:tcPr>
          <w:p w14:paraId="4A6EF0B6" w14:textId="77777777" w:rsidR="00980919" w:rsidRDefault="00980919" w:rsidP="001515D5">
            <w:r>
              <w:t>8/28/21</w:t>
            </w:r>
          </w:p>
        </w:tc>
        <w:tc>
          <w:tcPr>
            <w:tcW w:w="3117" w:type="dxa"/>
            <w:vAlign w:val="bottom"/>
          </w:tcPr>
          <w:p w14:paraId="1D154458" w14:textId="77777777" w:rsidR="00980919" w:rsidRDefault="00980919" w:rsidP="001515D5">
            <w:r>
              <w:t>840</w:t>
            </w:r>
          </w:p>
        </w:tc>
        <w:tc>
          <w:tcPr>
            <w:tcW w:w="3117" w:type="dxa"/>
            <w:vAlign w:val="bottom"/>
          </w:tcPr>
          <w:p w14:paraId="53EBAFB8" w14:textId="77777777" w:rsidR="00980919" w:rsidRDefault="00980919" w:rsidP="001515D5">
            <w:r>
              <w:t>592</w:t>
            </w:r>
          </w:p>
        </w:tc>
      </w:tr>
      <w:tr w:rsidR="00980919" w14:paraId="14978F3C" w14:textId="77777777" w:rsidTr="001515D5">
        <w:tc>
          <w:tcPr>
            <w:tcW w:w="3116" w:type="dxa"/>
            <w:vAlign w:val="bottom"/>
          </w:tcPr>
          <w:p w14:paraId="71C9A3F4" w14:textId="77777777" w:rsidR="00980919" w:rsidRDefault="00980919" w:rsidP="001515D5">
            <w:r>
              <w:t>9/4/21</w:t>
            </w:r>
          </w:p>
        </w:tc>
        <w:tc>
          <w:tcPr>
            <w:tcW w:w="3117" w:type="dxa"/>
            <w:vAlign w:val="bottom"/>
          </w:tcPr>
          <w:p w14:paraId="5FA3C285" w14:textId="77777777" w:rsidR="00980919" w:rsidRDefault="00980919" w:rsidP="001515D5">
            <w:r>
              <w:t>871</w:t>
            </w:r>
          </w:p>
        </w:tc>
        <w:tc>
          <w:tcPr>
            <w:tcW w:w="3117" w:type="dxa"/>
            <w:vAlign w:val="bottom"/>
          </w:tcPr>
          <w:p w14:paraId="286A6453" w14:textId="77777777" w:rsidR="00980919" w:rsidRDefault="00980919" w:rsidP="001515D5">
            <w:r>
              <w:t>653</w:t>
            </w:r>
          </w:p>
        </w:tc>
      </w:tr>
      <w:tr w:rsidR="00980919" w14:paraId="65A7C172" w14:textId="77777777" w:rsidTr="001515D5">
        <w:tc>
          <w:tcPr>
            <w:tcW w:w="3116" w:type="dxa"/>
            <w:vAlign w:val="bottom"/>
          </w:tcPr>
          <w:p w14:paraId="155EA46D" w14:textId="77777777" w:rsidR="00980919" w:rsidRDefault="00980919" w:rsidP="001515D5">
            <w:r>
              <w:t>9/11/21</w:t>
            </w:r>
          </w:p>
        </w:tc>
        <w:tc>
          <w:tcPr>
            <w:tcW w:w="3117" w:type="dxa"/>
            <w:vAlign w:val="bottom"/>
          </w:tcPr>
          <w:p w14:paraId="6AD6A2D7" w14:textId="77777777" w:rsidR="00980919" w:rsidRDefault="00980919" w:rsidP="001515D5">
            <w:r>
              <w:t>752</w:t>
            </w:r>
          </w:p>
        </w:tc>
        <w:tc>
          <w:tcPr>
            <w:tcW w:w="3117" w:type="dxa"/>
            <w:vAlign w:val="bottom"/>
          </w:tcPr>
          <w:p w14:paraId="4732099E" w14:textId="77777777" w:rsidR="00980919" w:rsidRDefault="00980919" w:rsidP="001515D5">
            <w:r>
              <w:t>611</w:t>
            </w:r>
          </w:p>
        </w:tc>
      </w:tr>
      <w:tr w:rsidR="00980919" w14:paraId="4528523C" w14:textId="77777777" w:rsidTr="001515D5">
        <w:tc>
          <w:tcPr>
            <w:tcW w:w="3116" w:type="dxa"/>
            <w:vAlign w:val="bottom"/>
          </w:tcPr>
          <w:p w14:paraId="6FB52474" w14:textId="77777777" w:rsidR="00980919" w:rsidRDefault="00980919" w:rsidP="001515D5">
            <w:r>
              <w:t>9/18/21</w:t>
            </w:r>
          </w:p>
        </w:tc>
        <w:tc>
          <w:tcPr>
            <w:tcW w:w="3117" w:type="dxa"/>
            <w:vAlign w:val="bottom"/>
          </w:tcPr>
          <w:p w14:paraId="13446184" w14:textId="77777777" w:rsidR="00980919" w:rsidRDefault="00980919" w:rsidP="001515D5">
            <w:r>
              <w:t>750</w:t>
            </w:r>
          </w:p>
        </w:tc>
        <w:tc>
          <w:tcPr>
            <w:tcW w:w="3117" w:type="dxa"/>
            <w:vAlign w:val="bottom"/>
          </w:tcPr>
          <w:p w14:paraId="415DC3AB" w14:textId="77777777" w:rsidR="00980919" w:rsidRDefault="00980919" w:rsidP="001515D5">
            <w:r>
              <w:t>694</w:t>
            </w:r>
          </w:p>
        </w:tc>
      </w:tr>
      <w:tr w:rsidR="00980919" w14:paraId="693FAEE1" w14:textId="77777777" w:rsidTr="001515D5">
        <w:tc>
          <w:tcPr>
            <w:tcW w:w="3116" w:type="dxa"/>
            <w:vAlign w:val="bottom"/>
          </w:tcPr>
          <w:p w14:paraId="36E79CD7" w14:textId="77777777" w:rsidR="00980919" w:rsidRDefault="00980919" w:rsidP="001515D5">
            <w:r>
              <w:t>9/25/21</w:t>
            </w:r>
          </w:p>
        </w:tc>
        <w:tc>
          <w:tcPr>
            <w:tcW w:w="3117" w:type="dxa"/>
            <w:vAlign w:val="bottom"/>
          </w:tcPr>
          <w:p w14:paraId="6E78C429" w14:textId="77777777" w:rsidR="00980919" w:rsidRDefault="00980919" w:rsidP="001515D5">
            <w:r>
              <w:t>692</w:t>
            </w:r>
          </w:p>
        </w:tc>
        <w:tc>
          <w:tcPr>
            <w:tcW w:w="3117" w:type="dxa"/>
            <w:vAlign w:val="bottom"/>
          </w:tcPr>
          <w:p w14:paraId="2A0A53DB" w14:textId="77777777" w:rsidR="00980919" w:rsidRDefault="00980919" w:rsidP="001515D5">
            <w:r>
              <w:t>624</w:t>
            </w:r>
          </w:p>
        </w:tc>
      </w:tr>
      <w:tr w:rsidR="00980919" w14:paraId="05075912" w14:textId="77777777" w:rsidTr="001515D5">
        <w:tc>
          <w:tcPr>
            <w:tcW w:w="3116" w:type="dxa"/>
            <w:vAlign w:val="bottom"/>
          </w:tcPr>
          <w:p w14:paraId="4B24E207" w14:textId="77777777" w:rsidR="00980919" w:rsidRDefault="00980919" w:rsidP="001515D5">
            <w:r>
              <w:t>10/2/21</w:t>
            </w:r>
          </w:p>
        </w:tc>
        <w:tc>
          <w:tcPr>
            <w:tcW w:w="3117" w:type="dxa"/>
            <w:vAlign w:val="bottom"/>
          </w:tcPr>
          <w:p w14:paraId="60FFFCC9" w14:textId="77777777" w:rsidR="00980919" w:rsidRDefault="00980919" w:rsidP="001515D5">
            <w:r>
              <w:t>603</w:t>
            </w:r>
          </w:p>
        </w:tc>
        <w:tc>
          <w:tcPr>
            <w:tcW w:w="3117" w:type="dxa"/>
            <w:vAlign w:val="bottom"/>
          </w:tcPr>
          <w:p w14:paraId="5791877B" w14:textId="77777777" w:rsidR="00980919" w:rsidRDefault="00980919" w:rsidP="001515D5">
            <w:r>
              <w:t>532</w:t>
            </w:r>
          </w:p>
        </w:tc>
      </w:tr>
      <w:tr w:rsidR="00980919" w14:paraId="5C28AA67" w14:textId="77777777" w:rsidTr="001515D5">
        <w:tc>
          <w:tcPr>
            <w:tcW w:w="3116" w:type="dxa"/>
            <w:vAlign w:val="bottom"/>
          </w:tcPr>
          <w:p w14:paraId="05F0C3C9" w14:textId="77777777" w:rsidR="00980919" w:rsidRDefault="00980919" w:rsidP="001515D5">
            <w:r>
              <w:t>10/9/21</w:t>
            </w:r>
          </w:p>
        </w:tc>
        <w:tc>
          <w:tcPr>
            <w:tcW w:w="3117" w:type="dxa"/>
            <w:vAlign w:val="bottom"/>
          </w:tcPr>
          <w:p w14:paraId="0093AAFF" w14:textId="77777777" w:rsidR="00980919" w:rsidRDefault="00980919" w:rsidP="001515D5">
            <w:r>
              <w:t>547</w:t>
            </w:r>
          </w:p>
        </w:tc>
        <w:tc>
          <w:tcPr>
            <w:tcW w:w="3117" w:type="dxa"/>
            <w:vAlign w:val="bottom"/>
          </w:tcPr>
          <w:p w14:paraId="3C13BC39" w14:textId="77777777" w:rsidR="00980919" w:rsidRDefault="00980919" w:rsidP="001515D5">
            <w:r>
              <w:t>435</w:t>
            </w:r>
          </w:p>
        </w:tc>
      </w:tr>
      <w:tr w:rsidR="00980919" w14:paraId="0D2BB7C4" w14:textId="77777777" w:rsidTr="001515D5">
        <w:tc>
          <w:tcPr>
            <w:tcW w:w="3116" w:type="dxa"/>
            <w:vAlign w:val="bottom"/>
          </w:tcPr>
          <w:p w14:paraId="1F1E129A" w14:textId="77777777" w:rsidR="00980919" w:rsidRDefault="00980919" w:rsidP="001515D5">
            <w:r>
              <w:t>10/16/21</w:t>
            </w:r>
          </w:p>
        </w:tc>
        <w:tc>
          <w:tcPr>
            <w:tcW w:w="3117" w:type="dxa"/>
            <w:vAlign w:val="bottom"/>
          </w:tcPr>
          <w:p w14:paraId="5FBC67F9" w14:textId="77777777" w:rsidR="00980919" w:rsidRDefault="00980919" w:rsidP="001515D5">
            <w:r>
              <w:t>483</w:t>
            </w:r>
          </w:p>
        </w:tc>
        <w:tc>
          <w:tcPr>
            <w:tcW w:w="3117" w:type="dxa"/>
            <w:vAlign w:val="bottom"/>
          </w:tcPr>
          <w:p w14:paraId="59EDA6FA" w14:textId="77777777" w:rsidR="00980919" w:rsidRDefault="00980919" w:rsidP="001515D5">
            <w:r>
              <w:t>351</w:t>
            </w:r>
          </w:p>
        </w:tc>
      </w:tr>
      <w:tr w:rsidR="00980919" w14:paraId="1BE0AA49" w14:textId="77777777" w:rsidTr="001515D5">
        <w:tc>
          <w:tcPr>
            <w:tcW w:w="3116" w:type="dxa"/>
            <w:vAlign w:val="bottom"/>
          </w:tcPr>
          <w:p w14:paraId="61357FBE" w14:textId="77777777" w:rsidR="00980919" w:rsidRDefault="00980919" w:rsidP="001515D5">
            <w:r>
              <w:t>10/23/21</w:t>
            </w:r>
          </w:p>
        </w:tc>
        <w:tc>
          <w:tcPr>
            <w:tcW w:w="3117" w:type="dxa"/>
            <w:vAlign w:val="bottom"/>
          </w:tcPr>
          <w:p w14:paraId="5C7275F0" w14:textId="77777777" w:rsidR="00980919" w:rsidRDefault="00980919" w:rsidP="001515D5">
            <w:r>
              <w:t>391</w:t>
            </w:r>
          </w:p>
        </w:tc>
        <w:tc>
          <w:tcPr>
            <w:tcW w:w="3117" w:type="dxa"/>
            <w:vAlign w:val="bottom"/>
          </w:tcPr>
          <w:p w14:paraId="2E2350D4" w14:textId="77777777" w:rsidR="00980919" w:rsidRDefault="00980919" w:rsidP="001515D5">
            <w:r>
              <w:t>269</w:t>
            </w:r>
          </w:p>
        </w:tc>
      </w:tr>
      <w:tr w:rsidR="00980919" w14:paraId="05A9DAFC" w14:textId="77777777" w:rsidTr="001515D5">
        <w:tc>
          <w:tcPr>
            <w:tcW w:w="3116" w:type="dxa"/>
            <w:vAlign w:val="bottom"/>
          </w:tcPr>
          <w:p w14:paraId="14F1811F" w14:textId="77777777" w:rsidR="00980919" w:rsidRDefault="00980919" w:rsidP="001515D5">
            <w:r>
              <w:t>10/30/21</w:t>
            </w:r>
          </w:p>
        </w:tc>
        <w:tc>
          <w:tcPr>
            <w:tcW w:w="3117" w:type="dxa"/>
            <w:vAlign w:val="bottom"/>
          </w:tcPr>
          <w:p w14:paraId="0FF34A7F" w14:textId="77777777" w:rsidR="00980919" w:rsidRDefault="00980919" w:rsidP="001515D5">
            <w:r>
              <w:t>335</w:t>
            </w:r>
          </w:p>
        </w:tc>
        <w:tc>
          <w:tcPr>
            <w:tcW w:w="3117" w:type="dxa"/>
            <w:vAlign w:val="bottom"/>
          </w:tcPr>
          <w:p w14:paraId="037DA183" w14:textId="77777777" w:rsidR="00980919" w:rsidRDefault="00980919" w:rsidP="001515D5">
            <w:r>
              <w:t>245</w:t>
            </w:r>
          </w:p>
        </w:tc>
      </w:tr>
      <w:tr w:rsidR="00980919" w14:paraId="0AE1C291" w14:textId="77777777" w:rsidTr="001515D5">
        <w:tc>
          <w:tcPr>
            <w:tcW w:w="3116" w:type="dxa"/>
            <w:vAlign w:val="bottom"/>
          </w:tcPr>
          <w:p w14:paraId="6042B875" w14:textId="77777777" w:rsidR="00980919" w:rsidRDefault="00980919" w:rsidP="001515D5">
            <w:r>
              <w:t>11/6/21</w:t>
            </w:r>
          </w:p>
        </w:tc>
        <w:tc>
          <w:tcPr>
            <w:tcW w:w="3117" w:type="dxa"/>
            <w:vAlign w:val="bottom"/>
          </w:tcPr>
          <w:p w14:paraId="7AAB4235" w14:textId="77777777" w:rsidR="00980919" w:rsidRDefault="00980919" w:rsidP="001515D5">
            <w:r>
              <w:t>300</w:t>
            </w:r>
          </w:p>
        </w:tc>
        <w:tc>
          <w:tcPr>
            <w:tcW w:w="3117" w:type="dxa"/>
            <w:vAlign w:val="bottom"/>
          </w:tcPr>
          <w:p w14:paraId="1717E610" w14:textId="77777777" w:rsidR="00980919" w:rsidRDefault="00980919" w:rsidP="001515D5">
            <w:r>
              <w:t>222</w:t>
            </w:r>
          </w:p>
        </w:tc>
      </w:tr>
      <w:tr w:rsidR="00980919" w14:paraId="37CEE26D" w14:textId="77777777" w:rsidTr="001515D5">
        <w:tc>
          <w:tcPr>
            <w:tcW w:w="3116" w:type="dxa"/>
            <w:vAlign w:val="bottom"/>
          </w:tcPr>
          <w:p w14:paraId="11F1E47C" w14:textId="77777777" w:rsidR="00980919" w:rsidRDefault="00980919" w:rsidP="001515D5">
            <w:r>
              <w:t>11/13/21</w:t>
            </w:r>
          </w:p>
        </w:tc>
        <w:tc>
          <w:tcPr>
            <w:tcW w:w="3117" w:type="dxa"/>
            <w:vAlign w:val="bottom"/>
          </w:tcPr>
          <w:p w14:paraId="07D7182E" w14:textId="77777777" w:rsidR="00980919" w:rsidRDefault="00980919" w:rsidP="001515D5">
            <w:r>
              <w:t>255</w:t>
            </w:r>
          </w:p>
        </w:tc>
        <w:tc>
          <w:tcPr>
            <w:tcW w:w="3117" w:type="dxa"/>
            <w:vAlign w:val="bottom"/>
          </w:tcPr>
          <w:p w14:paraId="61C759DA" w14:textId="77777777" w:rsidR="00980919" w:rsidRDefault="00980919" w:rsidP="001515D5">
            <w:r>
              <w:t>188</w:t>
            </w:r>
          </w:p>
        </w:tc>
      </w:tr>
      <w:tr w:rsidR="00980919" w14:paraId="6DEC285F" w14:textId="77777777" w:rsidTr="001515D5">
        <w:tc>
          <w:tcPr>
            <w:tcW w:w="3116" w:type="dxa"/>
            <w:vAlign w:val="bottom"/>
          </w:tcPr>
          <w:p w14:paraId="16D14E76" w14:textId="77777777" w:rsidR="00980919" w:rsidRDefault="00980919" w:rsidP="001515D5">
            <w:r>
              <w:t>11/20/21</w:t>
            </w:r>
          </w:p>
        </w:tc>
        <w:tc>
          <w:tcPr>
            <w:tcW w:w="3117" w:type="dxa"/>
            <w:vAlign w:val="bottom"/>
          </w:tcPr>
          <w:p w14:paraId="76BBB6B1" w14:textId="77777777" w:rsidR="00980919" w:rsidRDefault="00980919" w:rsidP="001515D5">
            <w:r>
              <w:t>247</w:t>
            </w:r>
          </w:p>
        </w:tc>
        <w:tc>
          <w:tcPr>
            <w:tcW w:w="3117" w:type="dxa"/>
            <w:vAlign w:val="bottom"/>
          </w:tcPr>
          <w:p w14:paraId="1A5C9C7D" w14:textId="77777777" w:rsidR="00980919" w:rsidRDefault="00980919" w:rsidP="001515D5">
            <w:r>
              <w:t>185</w:t>
            </w:r>
          </w:p>
        </w:tc>
      </w:tr>
      <w:tr w:rsidR="00980919" w14:paraId="1BDF0572" w14:textId="77777777" w:rsidTr="001515D5">
        <w:tc>
          <w:tcPr>
            <w:tcW w:w="3116" w:type="dxa"/>
            <w:vAlign w:val="bottom"/>
          </w:tcPr>
          <w:p w14:paraId="17D5B0DC" w14:textId="77777777" w:rsidR="00980919" w:rsidRDefault="00980919" w:rsidP="001515D5">
            <w:r>
              <w:t>11/27/21</w:t>
            </w:r>
          </w:p>
        </w:tc>
        <w:tc>
          <w:tcPr>
            <w:tcW w:w="3117" w:type="dxa"/>
            <w:vAlign w:val="bottom"/>
          </w:tcPr>
          <w:p w14:paraId="7BEEB46C" w14:textId="77777777" w:rsidR="00980919" w:rsidRDefault="00980919" w:rsidP="001515D5">
            <w:r>
              <w:t>187</w:t>
            </w:r>
          </w:p>
        </w:tc>
        <w:tc>
          <w:tcPr>
            <w:tcW w:w="3117" w:type="dxa"/>
            <w:vAlign w:val="bottom"/>
          </w:tcPr>
          <w:p w14:paraId="0F8C7E89" w14:textId="77777777" w:rsidR="00980919" w:rsidRDefault="00980919" w:rsidP="001515D5">
            <w:r>
              <w:t>170</w:t>
            </w:r>
          </w:p>
        </w:tc>
      </w:tr>
      <w:tr w:rsidR="00980919" w14:paraId="3D73C8CC" w14:textId="77777777" w:rsidTr="001515D5">
        <w:tc>
          <w:tcPr>
            <w:tcW w:w="3116" w:type="dxa"/>
            <w:vAlign w:val="bottom"/>
          </w:tcPr>
          <w:p w14:paraId="55E09851" w14:textId="77777777" w:rsidR="00980919" w:rsidRDefault="00980919" w:rsidP="001515D5">
            <w:r>
              <w:t>12/4/21</w:t>
            </w:r>
          </w:p>
        </w:tc>
        <w:tc>
          <w:tcPr>
            <w:tcW w:w="3117" w:type="dxa"/>
            <w:vAlign w:val="bottom"/>
          </w:tcPr>
          <w:p w14:paraId="24403438" w14:textId="77777777" w:rsidR="00980919" w:rsidRDefault="00980919" w:rsidP="001515D5">
            <w:r>
              <w:t>383</w:t>
            </w:r>
          </w:p>
        </w:tc>
        <w:tc>
          <w:tcPr>
            <w:tcW w:w="3117" w:type="dxa"/>
            <w:vAlign w:val="bottom"/>
          </w:tcPr>
          <w:p w14:paraId="4E20052F" w14:textId="77777777" w:rsidR="00980919" w:rsidRDefault="00980919" w:rsidP="001515D5">
            <w:r>
              <w:t>426</w:t>
            </w:r>
          </w:p>
        </w:tc>
      </w:tr>
      <w:tr w:rsidR="00980919" w14:paraId="0290F9BA" w14:textId="77777777" w:rsidTr="001515D5">
        <w:tc>
          <w:tcPr>
            <w:tcW w:w="3116" w:type="dxa"/>
            <w:vAlign w:val="bottom"/>
          </w:tcPr>
          <w:p w14:paraId="1DEB0318" w14:textId="77777777" w:rsidR="00980919" w:rsidRDefault="00980919" w:rsidP="001515D5">
            <w:r>
              <w:t>12/11/21</w:t>
            </w:r>
          </w:p>
        </w:tc>
        <w:tc>
          <w:tcPr>
            <w:tcW w:w="3117" w:type="dxa"/>
            <w:vAlign w:val="bottom"/>
          </w:tcPr>
          <w:p w14:paraId="5BE2600C" w14:textId="77777777" w:rsidR="00980919" w:rsidRDefault="00980919" w:rsidP="001515D5">
            <w:r>
              <w:t>351</w:t>
            </w:r>
          </w:p>
        </w:tc>
        <w:tc>
          <w:tcPr>
            <w:tcW w:w="3117" w:type="dxa"/>
            <w:vAlign w:val="bottom"/>
          </w:tcPr>
          <w:p w14:paraId="168B8C45" w14:textId="77777777" w:rsidR="00980919" w:rsidRDefault="00980919" w:rsidP="001515D5">
            <w:r>
              <w:t>313</w:t>
            </w:r>
          </w:p>
        </w:tc>
      </w:tr>
      <w:tr w:rsidR="00980919" w14:paraId="488C49F0" w14:textId="77777777" w:rsidTr="001515D5">
        <w:tc>
          <w:tcPr>
            <w:tcW w:w="3116" w:type="dxa"/>
            <w:vAlign w:val="bottom"/>
          </w:tcPr>
          <w:p w14:paraId="0EC91310" w14:textId="77777777" w:rsidR="00980919" w:rsidRDefault="00980919" w:rsidP="001515D5">
            <w:r>
              <w:t>12/18/21</w:t>
            </w:r>
          </w:p>
        </w:tc>
        <w:tc>
          <w:tcPr>
            <w:tcW w:w="3117" w:type="dxa"/>
            <w:vAlign w:val="bottom"/>
          </w:tcPr>
          <w:p w14:paraId="52ED1306" w14:textId="77777777" w:rsidR="00980919" w:rsidRDefault="00980919" w:rsidP="001515D5">
            <w:r>
              <w:t>291</w:t>
            </w:r>
          </w:p>
        </w:tc>
        <w:tc>
          <w:tcPr>
            <w:tcW w:w="3117" w:type="dxa"/>
            <w:vAlign w:val="bottom"/>
          </w:tcPr>
          <w:p w14:paraId="6BFF9F39" w14:textId="77777777" w:rsidR="00980919" w:rsidRDefault="00980919" w:rsidP="001515D5">
            <w:r>
              <w:t>224</w:t>
            </w:r>
          </w:p>
        </w:tc>
      </w:tr>
      <w:tr w:rsidR="00980919" w14:paraId="788C125C" w14:textId="77777777" w:rsidTr="001515D5">
        <w:tc>
          <w:tcPr>
            <w:tcW w:w="3116" w:type="dxa"/>
            <w:vAlign w:val="bottom"/>
          </w:tcPr>
          <w:p w14:paraId="48FD5C2C" w14:textId="77777777" w:rsidR="00980919" w:rsidRDefault="00980919" w:rsidP="001515D5">
            <w:r>
              <w:t>12/25/21</w:t>
            </w:r>
          </w:p>
        </w:tc>
        <w:tc>
          <w:tcPr>
            <w:tcW w:w="3117" w:type="dxa"/>
            <w:vAlign w:val="bottom"/>
          </w:tcPr>
          <w:p w14:paraId="3AC5D19C" w14:textId="77777777" w:rsidR="00980919" w:rsidRDefault="00980919" w:rsidP="001515D5">
            <w:r>
              <w:t>240</w:t>
            </w:r>
          </w:p>
        </w:tc>
        <w:tc>
          <w:tcPr>
            <w:tcW w:w="3117" w:type="dxa"/>
            <w:vAlign w:val="bottom"/>
          </w:tcPr>
          <w:p w14:paraId="52072E67" w14:textId="77777777" w:rsidR="00980919" w:rsidRDefault="00980919" w:rsidP="001515D5">
            <w:r>
              <w:t>159</w:t>
            </w:r>
          </w:p>
        </w:tc>
      </w:tr>
      <w:tr w:rsidR="00980919" w14:paraId="20103291" w14:textId="77777777" w:rsidTr="001515D5">
        <w:tc>
          <w:tcPr>
            <w:tcW w:w="3116" w:type="dxa"/>
            <w:vAlign w:val="bottom"/>
          </w:tcPr>
          <w:p w14:paraId="30A957AC" w14:textId="77777777" w:rsidR="00980919" w:rsidRDefault="00980919" w:rsidP="001515D5">
            <w:r>
              <w:t>1/1/22</w:t>
            </w:r>
          </w:p>
        </w:tc>
        <w:tc>
          <w:tcPr>
            <w:tcW w:w="3117" w:type="dxa"/>
            <w:vAlign w:val="bottom"/>
          </w:tcPr>
          <w:p w14:paraId="6B952BE3" w14:textId="77777777" w:rsidR="00980919" w:rsidRDefault="00980919" w:rsidP="001515D5">
            <w:r>
              <w:t>302</w:t>
            </w:r>
          </w:p>
        </w:tc>
        <w:tc>
          <w:tcPr>
            <w:tcW w:w="3117" w:type="dxa"/>
            <w:vAlign w:val="bottom"/>
          </w:tcPr>
          <w:p w14:paraId="54C18B77" w14:textId="77777777" w:rsidR="00980919" w:rsidRDefault="00980919" w:rsidP="001515D5">
            <w:r>
              <w:t>180</w:t>
            </w:r>
          </w:p>
        </w:tc>
      </w:tr>
      <w:tr w:rsidR="00980919" w14:paraId="5905A388" w14:textId="77777777" w:rsidTr="001515D5">
        <w:tc>
          <w:tcPr>
            <w:tcW w:w="3116" w:type="dxa"/>
            <w:vAlign w:val="bottom"/>
          </w:tcPr>
          <w:p w14:paraId="2870B274" w14:textId="77777777" w:rsidR="00980919" w:rsidRDefault="00980919" w:rsidP="001515D5">
            <w:r>
              <w:t>1/8/22</w:t>
            </w:r>
          </w:p>
        </w:tc>
        <w:tc>
          <w:tcPr>
            <w:tcW w:w="3117" w:type="dxa"/>
            <w:vAlign w:val="bottom"/>
          </w:tcPr>
          <w:p w14:paraId="067AD473" w14:textId="77777777" w:rsidR="00980919" w:rsidRDefault="00980919" w:rsidP="001515D5">
            <w:r>
              <w:t>314</w:t>
            </w:r>
          </w:p>
        </w:tc>
        <w:tc>
          <w:tcPr>
            <w:tcW w:w="3117" w:type="dxa"/>
            <w:vAlign w:val="bottom"/>
          </w:tcPr>
          <w:p w14:paraId="3134FE1E" w14:textId="77777777" w:rsidR="00980919" w:rsidRDefault="00980919" w:rsidP="001515D5">
            <w:r>
              <w:t>217</w:t>
            </w:r>
          </w:p>
        </w:tc>
      </w:tr>
      <w:tr w:rsidR="00980919" w14:paraId="271EC99E" w14:textId="77777777" w:rsidTr="001515D5">
        <w:tc>
          <w:tcPr>
            <w:tcW w:w="3116" w:type="dxa"/>
            <w:vAlign w:val="bottom"/>
          </w:tcPr>
          <w:p w14:paraId="485F820E" w14:textId="77777777" w:rsidR="00980919" w:rsidRDefault="00980919" w:rsidP="001515D5">
            <w:r>
              <w:t>1/15/22</w:t>
            </w:r>
          </w:p>
        </w:tc>
        <w:tc>
          <w:tcPr>
            <w:tcW w:w="3117" w:type="dxa"/>
            <w:vAlign w:val="bottom"/>
          </w:tcPr>
          <w:p w14:paraId="130D3146" w14:textId="77777777" w:rsidR="00980919" w:rsidRDefault="00980919" w:rsidP="001515D5">
            <w:r>
              <w:t>260</w:t>
            </w:r>
          </w:p>
        </w:tc>
        <w:tc>
          <w:tcPr>
            <w:tcW w:w="3117" w:type="dxa"/>
            <w:vAlign w:val="bottom"/>
          </w:tcPr>
          <w:p w14:paraId="7C280A44" w14:textId="77777777" w:rsidR="00980919" w:rsidRDefault="00980919" w:rsidP="001515D5">
            <w:r>
              <w:t>156</w:t>
            </w:r>
          </w:p>
        </w:tc>
      </w:tr>
      <w:tr w:rsidR="00980919" w14:paraId="55BDD48D" w14:textId="77777777" w:rsidTr="001515D5">
        <w:tc>
          <w:tcPr>
            <w:tcW w:w="3116" w:type="dxa"/>
            <w:vAlign w:val="bottom"/>
          </w:tcPr>
          <w:p w14:paraId="63297010" w14:textId="77777777" w:rsidR="00980919" w:rsidRDefault="00980919" w:rsidP="001515D5">
            <w:r>
              <w:t>1/22/22</w:t>
            </w:r>
          </w:p>
        </w:tc>
        <w:tc>
          <w:tcPr>
            <w:tcW w:w="3117" w:type="dxa"/>
            <w:vAlign w:val="bottom"/>
          </w:tcPr>
          <w:p w14:paraId="47BD0275" w14:textId="77777777" w:rsidR="00980919" w:rsidRDefault="00980919" w:rsidP="001515D5">
            <w:r>
              <w:t>235</w:t>
            </w:r>
          </w:p>
        </w:tc>
        <w:tc>
          <w:tcPr>
            <w:tcW w:w="3117" w:type="dxa"/>
            <w:vAlign w:val="bottom"/>
          </w:tcPr>
          <w:p w14:paraId="39142AE1" w14:textId="77777777" w:rsidR="00980919" w:rsidRDefault="00980919" w:rsidP="001515D5">
            <w:r>
              <w:t>116</w:t>
            </w:r>
          </w:p>
        </w:tc>
      </w:tr>
      <w:tr w:rsidR="00980919" w14:paraId="73198652" w14:textId="77777777" w:rsidTr="001515D5">
        <w:tc>
          <w:tcPr>
            <w:tcW w:w="3116" w:type="dxa"/>
            <w:vAlign w:val="bottom"/>
          </w:tcPr>
          <w:p w14:paraId="6E9004C1" w14:textId="77777777" w:rsidR="00980919" w:rsidRDefault="00980919" w:rsidP="001515D5">
            <w:r>
              <w:t>1/29/22</w:t>
            </w:r>
          </w:p>
        </w:tc>
        <w:tc>
          <w:tcPr>
            <w:tcW w:w="3117" w:type="dxa"/>
            <w:vAlign w:val="bottom"/>
          </w:tcPr>
          <w:p w14:paraId="261350A8" w14:textId="77777777" w:rsidR="00980919" w:rsidRDefault="00980919" w:rsidP="001515D5">
            <w:r>
              <w:t>337</w:t>
            </w:r>
          </w:p>
        </w:tc>
        <w:tc>
          <w:tcPr>
            <w:tcW w:w="3117" w:type="dxa"/>
            <w:vAlign w:val="bottom"/>
          </w:tcPr>
          <w:p w14:paraId="4E0A1020" w14:textId="77777777" w:rsidR="00980919" w:rsidRDefault="00980919" w:rsidP="001515D5">
            <w:r>
              <w:t>153</w:t>
            </w:r>
          </w:p>
        </w:tc>
      </w:tr>
      <w:tr w:rsidR="00980919" w14:paraId="2A63C9C4" w14:textId="77777777" w:rsidTr="001515D5">
        <w:tc>
          <w:tcPr>
            <w:tcW w:w="3116" w:type="dxa"/>
            <w:vAlign w:val="bottom"/>
          </w:tcPr>
          <w:p w14:paraId="3542EACE" w14:textId="77777777" w:rsidR="00980919" w:rsidRDefault="00980919" w:rsidP="001515D5">
            <w:r>
              <w:t>2/5/22</w:t>
            </w:r>
          </w:p>
        </w:tc>
        <w:tc>
          <w:tcPr>
            <w:tcW w:w="3117" w:type="dxa"/>
            <w:vAlign w:val="bottom"/>
          </w:tcPr>
          <w:p w14:paraId="6336B3C8" w14:textId="77777777" w:rsidR="00980919" w:rsidRDefault="00980919" w:rsidP="001515D5">
            <w:r>
              <w:t>318</w:t>
            </w:r>
          </w:p>
        </w:tc>
        <w:tc>
          <w:tcPr>
            <w:tcW w:w="3117" w:type="dxa"/>
            <w:vAlign w:val="bottom"/>
          </w:tcPr>
          <w:p w14:paraId="449BDC6B" w14:textId="77777777" w:rsidR="00980919" w:rsidRDefault="00980919" w:rsidP="001515D5">
            <w:r>
              <w:t>151</w:t>
            </w:r>
          </w:p>
        </w:tc>
      </w:tr>
      <w:tr w:rsidR="00980919" w14:paraId="7043C4ED" w14:textId="77777777" w:rsidTr="001515D5">
        <w:tc>
          <w:tcPr>
            <w:tcW w:w="3116" w:type="dxa"/>
            <w:vAlign w:val="bottom"/>
          </w:tcPr>
          <w:p w14:paraId="51403653" w14:textId="77777777" w:rsidR="00980919" w:rsidRDefault="00980919" w:rsidP="001515D5">
            <w:r>
              <w:t>2/12/22</w:t>
            </w:r>
          </w:p>
        </w:tc>
        <w:tc>
          <w:tcPr>
            <w:tcW w:w="3117" w:type="dxa"/>
            <w:vAlign w:val="bottom"/>
          </w:tcPr>
          <w:p w14:paraId="2770EAFE" w14:textId="77777777" w:rsidR="00980919" w:rsidRDefault="00980919" w:rsidP="001515D5">
            <w:r>
              <w:t>237</w:t>
            </w:r>
          </w:p>
        </w:tc>
        <w:tc>
          <w:tcPr>
            <w:tcW w:w="3117" w:type="dxa"/>
            <w:vAlign w:val="bottom"/>
          </w:tcPr>
          <w:p w14:paraId="31F3C7C6" w14:textId="77777777" w:rsidR="00980919" w:rsidRDefault="00980919" w:rsidP="001515D5">
            <w:r>
              <w:t>111</w:t>
            </w:r>
          </w:p>
        </w:tc>
      </w:tr>
      <w:tr w:rsidR="00980919" w14:paraId="6C8EF619" w14:textId="77777777" w:rsidTr="001515D5">
        <w:tc>
          <w:tcPr>
            <w:tcW w:w="3116" w:type="dxa"/>
            <w:vAlign w:val="bottom"/>
          </w:tcPr>
          <w:p w14:paraId="72E6BBAB" w14:textId="77777777" w:rsidR="00980919" w:rsidRDefault="00980919" w:rsidP="001515D5">
            <w:r>
              <w:t>2/19/22</w:t>
            </w:r>
          </w:p>
        </w:tc>
        <w:tc>
          <w:tcPr>
            <w:tcW w:w="3117" w:type="dxa"/>
            <w:vAlign w:val="bottom"/>
          </w:tcPr>
          <w:p w14:paraId="18BA8DD4" w14:textId="77777777" w:rsidR="00980919" w:rsidRDefault="00980919" w:rsidP="001515D5">
            <w:r>
              <w:t>196</w:t>
            </w:r>
          </w:p>
        </w:tc>
        <w:tc>
          <w:tcPr>
            <w:tcW w:w="3117" w:type="dxa"/>
            <w:vAlign w:val="bottom"/>
          </w:tcPr>
          <w:p w14:paraId="47DFB77C" w14:textId="77777777" w:rsidR="00980919" w:rsidRDefault="00980919" w:rsidP="001515D5">
            <w:r>
              <w:t>85</w:t>
            </w:r>
          </w:p>
        </w:tc>
      </w:tr>
      <w:tr w:rsidR="00980919" w14:paraId="5DAB210F" w14:textId="77777777" w:rsidTr="001515D5">
        <w:tc>
          <w:tcPr>
            <w:tcW w:w="3116" w:type="dxa"/>
            <w:vAlign w:val="bottom"/>
          </w:tcPr>
          <w:p w14:paraId="4384060F" w14:textId="77777777" w:rsidR="00980919" w:rsidRDefault="00980919" w:rsidP="001515D5">
            <w:r>
              <w:t>2/26/22</w:t>
            </w:r>
          </w:p>
        </w:tc>
        <w:tc>
          <w:tcPr>
            <w:tcW w:w="3117" w:type="dxa"/>
            <w:vAlign w:val="bottom"/>
          </w:tcPr>
          <w:p w14:paraId="3AE9335C" w14:textId="77777777" w:rsidR="00980919" w:rsidRDefault="00980919" w:rsidP="001515D5">
            <w:r>
              <w:t>169</w:t>
            </w:r>
          </w:p>
        </w:tc>
        <w:tc>
          <w:tcPr>
            <w:tcW w:w="3117" w:type="dxa"/>
            <w:vAlign w:val="bottom"/>
          </w:tcPr>
          <w:p w14:paraId="1F6415F5" w14:textId="77777777" w:rsidR="00980919" w:rsidRDefault="00980919" w:rsidP="001515D5">
            <w:r>
              <w:t>74</w:t>
            </w:r>
          </w:p>
        </w:tc>
      </w:tr>
      <w:tr w:rsidR="00980919" w14:paraId="14697564" w14:textId="77777777" w:rsidTr="001515D5">
        <w:tc>
          <w:tcPr>
            <w:tcW w:w="3116" w:type="dxa"/>
            <w:vAlign w:val="bottom"/>
          </w:tcPr>
          <w:p w14:paraId="09201A1D" w14:textId="77777777" w:rsidR="00980919" w:rsidRDefault="00980919" w:rsidP="001515D5">
            <w:r>
              <w:t>3/5/22</w:t>
            </w:r>
          </w:p>
        </w:tc>
        <w:tc>
          <w:tcPr>
            <w:tcW w:w="3117" w:type="dxa"/>
            <w:vAlign w:val="bottom"/>
          </w:tcPr>
          <w:p w14:paraId="2F967FF6" w14:textId="77777777" w:rsidR="00980919" w:rsidRDefault="00980919" w:rsidP="001515D5">
            <w:r>
              <w:t>133</w:t>
            </w:r>
          </w:p>
        </w:tc>
        <w:tc>
          <w:tcPr>
            <w:tcW w:w="3117" w:type="dxa"/>
            <w:vAlign w:val="bottom"/>
          </w:tcPr>
          <w:p w14:paraId="3BB7C766" w14:textId="77777777" w:rsidR="00980919" w:rsidRDefault="00980919" w:rsidP="001515D5">
            <w:r>
              <w:t>64</w:t>
            </w:r>
          </w:p>
        </w:tc>
      </w:tr>
      <w:tr w:rsidR="00980919" w14:paraId="73924A8D" w14:textId="77777777" w:rsidTr="001515D5">
        <w:tc>
          <w:tcPr>
            <w:tcW w:w="3116" w:type="dxa"/>
            <w:vAlign w:val="bottom"/>
          </w:tcPr>
          <w:p w14:paraId="2CC92EEF" w14:textId="77777777" w:rsidR="00980919" w:rsidRDefault="00980919" w:rsidP="001515D5">
            <w:r>
              <w:t>3/12/22</w:t>
            </w:r>
          </w:p>
        </w:tc>
        <w:tc>
          <w:tcPr>
            <w:tcW w:w="3117" w:type="dxa"/>
            <w:vAlign w:val="bottom"/>
          </w:tcPr>
          <w:p w14:paraId="3D1A43BE" w14:textId="77777777" w:rsidR="00980919" w:rsidRDefault="00980919" w:rsidP="001515D5">
            <w:r>
              <w:t>128</w:t>
            </w:r>
          </w:p>
        </w:tc>
        <w:tc>
          <w:tcPr>
            <w:tcW w:w="3117" w:type="dxa"/>
            <w:vAlign w:val="bottom"/>
          </w:tcPr>
          <w:p w14:paraId="33A59D5A" w14:textId="77777777" w:rsidR="00980919" w:rsidRDefault="00980919" w:rsidP="001515D5">
            <w:r>
              <w:t>62</w:t>
            </w:r>
          </w:p>
        </w:tc>
      </w:tr>
      <w:tr w:rsidR="00980919" w14:paraId="2CF8DD3A" w14:textId="77777777" w:rsidTr="001515D5">
        <w:tc>
          <w:tcPr>
            <w:tcW w:w="3116" w:type="dxa"/>
            <w:vAlign w:val="bottom"/>
          </w:tcPr>
          <w:p w14:paraId="4E4300A7" w14:textId="77777777" w:rsidR="00980919" w:rsidRDefault="00980919" w:rsidP="001515D5">
            <w:r>
              <w:t>3/19/22</w:t>
            </w:r>
          </w:p>
        </w:tc>
        <w:tc>
          <w:tcPr>
            <w:tcW w:w="3117" w:type="dxa"/>
            <w:vAlign w:val="bottom"/>
          </w:tcPr>
          <w:p w14:paraId="7B7CE30D" w14:textId="77777777" w:rsidR="00980919" w:rsidRDefault="00980919" w:rsidP="001515D5">
            <w:r>
              <w:t>120</w:t>
            </w:r>
          </w:p>
        </w:tc>
        <w:tc>
          <w:tcPr>
            <w:tcW w:w="3117" w:type="dxa"/>
            <w:vAlign w:val="bottom"/>
          </w:tcPr>
          <w:p w14:paraId="011F6881" w14:textId="77777777" w:rsidR="00980919" w:rsidRDefault="00980919" w:rsidP="001515D5">
            <w:r>
              <w:t>54</w:t>
            </w:r>
          </w:p>
        </w:tc>
      </w:tr>
      <w:tr w:rsidR="00980919" w14:paraId="64F40858" w14:textId="77777777" w:rsidTr="001515D5">
        <w:tc>
          <w:tcPr>
            <w:tcW w:w="3116" w:type="dxa"/>
            <w:vAlign w:val="bottom"/>
          </w:tcPr>
          <w:p w14:paraId="624BD508" w14:textId="77777777" w:rsidR="00980919" w:rsidRDefault="00980919" w:rsidP="001515D5">
            <w:r>
              <w:t>3/26/22</w:t>
            </w:r>
          </w:p>
        </w:tc>
        <w:tc>
          <w:tcPr>
            <w:tcW w:w="3117" w:type="dxa"/>
            <w:vAlign w:val="bottom"/>
          </w:tcPr>
          <w:p w14:paraId="12388CE2" w14:textId="77777777" w:rsidR="00980919" w:rsidRDefault="00980919" w:rsidP="001515D5">
            <w:r>
              <w:t>89</w:t>
            </w:r>
          </w:p>
        </w:tc>
        <w:tc>
          <w:tcPr>
            <w:tcW w:w="3117" w:type="dxa"/>
            <w:vAlign w:val="bottom"/>
          </w:tcPr>
          <w:p w14:paraId="1E81645D" w14:textId="77777777" w:rsidR="00980919" w:rsidRDefault="00980919" w:rsidP="001515D5">
            <w:r>
              <w:t>38</w:t>
            </w:r>
          </w:p>
        </w:tc>
      </w:tr>
      <w:tr w:rsidR="00980919" w14:paraId="6D1CFCFD" w14:textId="77777777" w:rsidTr="001515D5">
        <w:tc>
          <w:tcPr>
            <w:tcW w:w="3116" w:type="dxa"/>
            <w:vAlign w:val="bottom"/>
          </w:tcPr>
          <w:p w14:paraId="00F0F988" w14:textId="77777777" w:rsidR="00980919" w:rsidRDefault="00980919" w:rsidP="001515D5">
            <w:r>
              <w:t>4/2/22</w:t>
            </w:r>
          </w:p>
        </w:tc>
        <w:tc>
          <w:tcPr>
            <w:tcW w:w="3117" w:type="dxa"/>
            <w:vAlign w:val="bottom"/>
          </w:tcPr>
          <w:p w14:paraId="37A1768D" w14:textId="77777777" w:rsidR="00980919" w:rsidRDefault="00980919" w:rsidP="001515D5">
            <w:r>
              <w:t>76</w:t>
            </w:r>
          </w:p>
        </w:tc>
        <w:tc>
          <w:tcPr>
            <w:tcW w:w="3117" w:type="dxa"/>
            <w:vAlign w:val="bottom"/>
          </w:tcPr>
          <w:p w14:paraId="484DD624" w14:textId="77777777" w:rsidR="00980919" w:rsidRDefault="00980919" w:rsidP="001515D5">
            <w:r>
              <w:t>49</w:t>
            </w:r>
          </w:p>
        </w:tc>
      </w:tr>
      <w:tr w:rsidR="00980919" w14:paraId="6E8898CF" w14:textId="77777777" w:rsidTr="001515D5">
        <w:tc>
          <w:tcPr>
            <w:tcW w:w="3116" w:type="dxa"/>
            <w:vAlign w:val="bottom"/>
          </w:tcPr>
          <w:p w14:paraId="0C2274EB" w14:textId="77777777" w:rsidR="00980919" w:rsidRDefault="00980919" w:rsidP="001515D5">
            <w:r>
              <w:lastRenderedPageBreak/>
              <w:t>4/9/22</w:t>
            </w:r>
          </w:p>
        </w:tc>
        <w:tc>
          <w:tcPr>
            <w:tcW w:w="3117" w:type="dxa"/>
            <w:vAlign w:val="bottom"/>
          </w:tcPr>
          <w:p w14:paraId="20EC0A5A" w14:textId="77777777" w:rsidR="00980919" w:rsidRDefault="00980919" w:rsidP="001515D5">
            <w:r>
              <w:t>72</w:t>
            </w:r>
          </w:p>
        </w:tc>
        <w:tc>
          <w:tcPr>
            <w:tcW w:w="3117" w:type="dxa"/>
            <w:vAlign w:val="bottom"/>
          </w:tcPr>
          <w:p w14:paraId="1A55F444" w14:textId="77777777" w:rsidR="00980919" w:rsidRDefault="00980919" w:rsidP="001515D5">
            <w:r>
              <w:t>61</w:t>
            </w:r>
          </w:p>
        </w:tc>
      </w:tr>
      <w:tr w:rsidR="00980919" w14:paraId="78D0C22B" w14:textId="77777777" w:rsidTr="001515D5">
        <w:tc>
          <w:tcPr>
            <w:tcW w:w="3116" w:type="dxa"/>
            <w:vAlign w:val="bottom"/>
          </w:tcPr>
          <w:p w14:paraId="095B41AD" w14:textId="77777777" w:rsidR="00980919" w:rsidRDefault="00980919" w:rsidP="001515D5">
            <w:r>
              <w:t>4/16/22</w:t>
            </w:r>
          </w:p>
        </w:tc>
        <w:tc>
          <w:tcPr>
            <w:tcW w:w="3117" w:type="dxa"/>
            <w:vAlign w:val="bottom"/>
          </w:tcPr>
          <w:p w14:paraId="0CF342B9" w14:textId="77777777" w:rsidR="00980919" w:rsidRDefault="00980919" w:rsidP="001515D5">
            <w:r>
              <w:t>68</w:t>
            </w:r>
          </w:p>
        </w:tc>
        <w:tc>
          <w:tcPr>
            <w:tcW w:w="3117" w:type="dxa"/>
            <w:vAlign w:val="bottom"/>
          </w:tcPr>
          <w:p w14:paraId="6B536183" w14:textId="77777777" w:rsidR="00980919" w:rsidRDefault="00980919" w:rsidP="001515D5">
            <w:r>
              <w:t>56</w:t>
            </w:r>
          </w:p>
        </w:tc>
      </w:tr>
      <w:tr w:rsidR="00980919" w14:paraId="20F21A70" w14:textId="77777777" w:rsidTr="001515D5">
        <w:tc>
          <w:tcPr>
            <w:tcW w:w="3116" w:type="dxa"/>
            <w:vAlign w:val="bottom"/>
          </w:tcPr>
          <w:p w14:paraId="7BB5D4E4" w14:textId="77777777" w:rsidR="00980919" w:rsidRDefault="00980919" w:rsidP="001515D5">
            <w:r>
              <w:t>4/23/22</w:t>
            </w:r>
          </w:p>
        </w:tc>
        <w:tc>
          <w:tcPr>
            <w:tcW w:w="3117" w:type="dxa"/>
            <w:vAlign w:val="bottom"/>
          </w:tcPr>
          <w:p w14:paraId="09B536FA" w14:textId="77777777" w:rsidR="00980919" w:rsidRDefault="00980919" w:rsidP="001515D5">
            <w:r>
              <w:t>70</w:t>
            </w:r>
          </w:p>
        </w:tc>
        <w:tc>
          <w:tcPr>
            <w:tcW w:w="3117" w:type="dxa"/>
            <w:vAlign w:val="bottom"/>
          </w:tcPr>
          <w:p w14:paraId="080AC9F3" w14:textId="77777777" w:rsidR="00980919" w:rsidRDefault="00980919" w:rsidP="001515D5">
            <w:r>
              <w:t>48</w:t>
            </w:r>
          </w:p>
        </w:tc>
      </w:tr>
      <w:tr w:rsidR="00980919" w14:paraId="62E10A4F" w14:textId="77777777" w:rsidTr="001515D5">
        <w:tc>
          <w:tcPr>
            <w:tcW w:w="3116" w:type="dxa"/>
            <w:vAlign w:val="bottom"/>
          </w:tcPr>
          <w:p w14:paraId="02ED0625" w14:textId="77777777" w:rsidR="00980919" w:rsidRDefault="00980919" w:rsidP="001515D5">
            <w:r>
              <w:t>4/30/22</w:t>
            </w:r>
          </w:p>
        </w:tc>
        <w:tc>
          <w:tcPr>
            <w:tcW w:w="3117" w:type="dxa"/>
            <w:vAlign w:val="bottom"/>
          </w:tcPr>
          <w:p w14:paraId="5A11698B" w14:textId="77777777" w:rsidR="00980919" w:rsidRDefault="00980919" w:rsidP="001515D5">
            <w:r>
              <w:t>66</w:t>
            </w:r>
          </w:p>
        </w:tc>
        <w:tc>
          <w:tcPr>
            <w:tcW w:w="3117" w:type="dxa"/>
            <w:vAlign w:val="bottom"/>
          </w:tcPr>
          <w:p w14:paraId="690AEADD" w14:textId="77777777" w:rsidR="00980919" w:rsidRDefault="00980919" w:rsidP="001515D5">
            <w:r>
              <w:t>48</w:t>
            </w:r>
          </w:p>
        </w:tc>
      </w:tr>
      <w:tr w:rsidR="00980919" w14:paraId="4A5BFA65" w14:textId="77777777" w:rsidTr="001515D5">
        <w:tc>
          <w:tcPr>
            <w:tcW w:w="3116" w:type="dxa"/>
            <w:vAlign w:val="bottom"/>
          </w:tcPr>
          <w:p w14:paraId="6E55535C" w14:textId="77777777" w:rsidR="00980919" w:rsidRDefault="00980919" w:rsidP="001515D5">
            <w:r>
              <w:t>5/7/22</w:t>
            </w:r>
          </w:p>
        </w:tc>
        <w:tc>
          <w:tcPr>
            <w:tcW w:w="3117" w:type="dxa"/>
            <w:vAlign w:val="bottom"/>
          </w:tcPr>
          <w:p w14:paraId="5A6BE861" w14:textId="77777777" w:rsidR="00980919" w:rsidRDefault="00980919" w:rsidP="001515D5">
            <w:r>
              <w:t>61</w:t>
            </w:r>
          </w:p>
        </w:tc>
        <w:tc>
          <w:tcPr>
            <w:tcW w:w="3117" w:type="dxa"/>
            <w:vAlign w:val="bottom"/>
          </w:tcPr>
          <w:p w14:paraId="78BECA18" w14:textId="77777777" w:rsidR="00980919" w:rsidRDefault="00980919" w:rsidP="001515D5">
            <w:r>
              <w:t>44</w:t>
            </w:r>
          </w:p>
        </w:tc>
      </w:tr>
      <w:tr w:rsidR="00980919" w14:paraId="1C7B39DD" w14:textId="77777777" w:rsidTr="001515D5">
        <w:tc>
          <w:tcPr>
            <w:tcW w:w="3116" w:type="dxa"/>
            <w:vAlign w:val="bottom"/>
          </w:tcPr>
          <w:p w14:paraId="45A1E250" w14:textId="77777777" w:rsidR="00980919" w:rsidRDefault="00980919" w:rsidP="001515D5">
            <w:r>
              <w:t>5/14/22</w:t>
            </w:r>
          </w:p>
        </w:tc>
        <w:tc>
          <w:tcPr>
            <w:tcW w:w="3117" w:type="dxa"/>
            <w:vAlign w:val="bottom"/>
          </w:tcPr>
          <w:p w14:paraId="6E73E6EF" w14:textId="77777777" w:rsidR="00980919" w:rsidRDefault="00980919" w:rsidP="001515D5">
            <w:r>
              <w:t>55</w:t>
            </w:r>
          </w:p>
        </w:tc>
        <w:tc>
          <w:tcPr>
            <w:tcW w:w="3117" w:type="dxa"/>
            <w:vAlign w:val="bottom"/>
          </w:tcPr>
          <w:p w14:paraId="6F6F50CA" w14:textId="77777777" w:rsidR="00980919" w:rsidRDefault="00980919" w:rsidP="001515D5">
            <w:r>
              <w:t>48</w:t>
            </w:r>
          </w:p>
        </w:tc>
      </w:tr>
      <w:tr w:rsidR="00980919" w14:paraId="7D0991D4" w14:textId="77777777" w:rsidTr="001515D5">
        <w:tc>
          <w:tcPr>
            <w:tcW w:w="3116" w:type="dxa"/>
            <w:vAlign w:val="bottom"/>
          </w:tcPr>
          <w:p w14:paraId="3E679D17" w14:textId="77777777" w:rsidR="00980919" w:rsidRDefault="00980919" w:rsidP="001515D5">
            <w:r>
              <w:t>5/21/22</w:t>
            </w:r>
          </w:p>
        </w:tc>
        <w:tc>
          <w:tcPr>
            <w:tcW w:w="3117" w:type="dxa"/>
            <w:vAlign w:val="bottom"/>
          </w:tcPr>
          <w:p w14:paraId="280251F9" w14:textId="77777777" w:rsidR="00980919" w:rsidRDefault="00980919" w:rsidP="001515D5">
            <w:r>
              <w:t>62</w:t>
            </w:r>
          </w:p>
        </w:tc>
        <w:tc>
          <w:tcPr>
            <w:tcW w:w="3117" w:type="dxa"/>
            <w:vAlign w:val="bottom"/>
          </w:tcPr>
          <w:p w14:paraId="7C0F9665" w14:textId="77777777" w:rsidR="00980919" w:rsidRDefault="00980919" w:rsidP="001515D5">
            <w:r>
              <w:t>47</w:t>
            </w:r>
          </w:p>
        </w:tc>
      </w:tr>
      <w:tr w:rsidR="00980919" w14:paraId="560CFD3F" w14:textId="77777777" w:rsidTr="001515D5">
        <w:tc>
          <w:tcPr>
            <w:tcW w:w="3116" w:type="dxa"/>
            <w:vAlign w:val="bottom"/>
          </w:tcPr>
          <w:p w14:paraId="732C7CDB" w14:textId="77777777" w:rsidR="00980919" w:rsidRDefault="00980919" w:rsidP="001515D5">
            <w:r>
              <w:t>5/28/22</w:t>
            </w:r>
          </w:p>
        </w:tc>
        <w:tc>
          <w:tcPr>
            <w:tcW w:w="3117" w:type="dxa"/>
            <w:vAlign w:val="bottom"/>
          </w:tcPr>
          <w:p w14:paraId="0CBECDBB" w14:textId="77777777" w:rsidR="00980919" w:rsidRDefault="00980919" w:rsidP="001515D5">
            <w:r>
              <w:t>56</w:t>
            </w:r>
          </w:p>
        </w:tc>
        <w:tc>
          <w:tcPr>
            <w:tcW w:w="3117" w:type="dxa"/>
            <w:vAlign w:val="bottom"/>
          </w:tcPr>
          <w:p w14:paraId="0EE72F44" w14:textId="77777777" w:rsidR="00980919" w:rsidRDefault="00980919" w:rsidP="001515D5">
            <w:r>
              <w:t>44</w:t>
            </w:r>
          </w:p>
        </w:tc>
      </w:tr>
      <w:tr w:rsidR="00980919" w14:paraId="7E01C223" w14:textId="77777777" w:rsidTr="001515D5">
        <w:tc>
          <w:tcPr>
            <w:tcW w:w="3116" w:type="dxa"/>
            <w:vAlign w:val="bottom"/>
          </w:tcPr>
          <w:p w14:paraId="4B5C46E8" w14:textId="77777777" w:rsidR="00980919" w:rsidRDefault="00980919" w:rsidP="001515D5">
            <w:r>
              <w:t>6/4/22</w:t>
            </w:r>
          </w:p>
        </w:tc>
        <w:tc>
          <w:tcPr>
            <w:tcW w:w="3117" w:type="dxa"/>
            <w:vAlign w:val="bottom"/>
          </w:tcPr>
          <w:p w14:paraId="2E191723" w14:textId="77777777" w:rsidR="00980919" w:rsidRDefault="00980919" w:rsidP="001515D5">
            <w:r>
              <w:t>45</w:t>
            </w:r>
          </w:p>
        </w:tc>
        <w:tc>
          <w:tcPr>
            <w:tcW w:w="3117" w:type="dxa"/>
            <w:vAlign w:val="bottom"/>
          </w:tcPr>
          <w:p w14:paraId="13995FED" w14:textId="77777777" w:rsidR="00980919" w:rsidRDefault="00980919" w:rsidP="001515D5">
            <w:r>
              <w:t>34</w:t>
            </w:r>
          </w:p>
        </w:tc>
      </w:tr>
      <w:tr w:rsidR="00980919" w14:paraId="216A27DF" w14:textId="77777777" w:rsidTr="001515D5">
        <w:tc>
          <w:tcPr>
            <w:tcW w:w="3116" w:type="dxa"/>
            <w:vAlign w:val="bottom"/>
          </w:tcPr>
          <w:p w14:paraId="2481BE04" w14:textId="77777777" w:rsidR="00980919" w:rsidRDefault="00980919" w:rsidP="001515D5">
            <w:r>
              <w:t>6/11/22</w:t>
            </w:r>
          </w:p>
        </w:tc>
        <w:tc>
          <w:tcPr>
            <w:tcW w:w="3117" w:type="dxa"/>
            <w:vAlign w:val="bottom"/>
          </w:tcPr>
          <w:p w14:paraId="20635853" w14:textId="77777777" w:rsidR="00980919" w:rsidRDefault="00980919" w:rsidP="001515D5">
            <w:r>
              <w:t>49</w:t>
            </w:r>
          </w:p>
        </w:tc>
        <w:tc>
          <w:tcPr>
            <w:tcW w:w="3117" w:type="dxa"/>
            <w:vAlign w:val="bottom"/>
          </w:tcPr>
          <w:p w14:paraId="1E403CD3" w14:textId="77777777" w:rsidR="00980919" w:rsidRDefault="00980919" w:rsidP="001515D5">
            <w:r>
              <w:t>38</w:t>
            </w:r>
          </w:p>
        </w:tc>
      </w:tr>
      <w:tr w:rsidR="00980919" w14:paraId="6463981C" w14:textId="77777777" w:rsidTr="001515D5">
        <w:tc>
          <w:tcPr>
            <w:tcW w:w="3116" w:type="dxa"/>
            <w:vAlign w:val="bottom"/>
          </w:tcPr>
          <w:p w14:paraId="008858DA" w14:textId="77777777" w:rsidR="00980919" w:rsidRDefault="00980919" w:rsidP="001515D5">
            <w:r>
              <w:t>6/18/22</w:t>
            </w:r>
          </w:p>
        </w:tc>
        <w:tc>
          <w:tcPr>
            <w:tcW w:w="3117" w:type="dxa"/>
            <w:vAlign w:val="bottom"/>
          </w:tcPr>
          <w:p w14:paraId="09C55793" w14:textId="77777777" w:rsidR="00980919" w:rsidRDefault="00980919" w:rsidP="001515D5">
            <w:r>
              <w:t>47</w:t>
            </w:r>
          </w:p>
        </w:tc>
        <w:tc>
          <w:tcPr>
            <w:tcW w:w="3117" w:type="dxa"/>
            <w:vAlign w:val="bottom"/>
          </w:tcPr>
          <w:p w14:paraId="72BD549A" w14:textId="77777777" w:rsidR="00980919" w:rsidRDefault="00980919" w:rsidP="001515D5">
            <w:r>
              <w:t>32</w:t>
            </w:r>
          </w:p>
        </w:tc>
      </w:tr>
      <w:tr w:rsidR="00980919" w14:paraId="0AA43BF0" w14:textId="77777777" w:rsidTr="001515D5">
        <w:tc>
          <w:tcPr>
            <w:tcW w:w="3116" w:type="dxa"/>
            <w:vAlign w:val="bottom"/>
          </w:tcPr>
          <w:p w14:paraId="5BCF4B81" w14:textId="77777777" w:rsidR="00980919" w:rsidRDefault="00980919" w:rsidP="001515D5">
            <w:r>
              <w:t>6/25/22</w:t>
            </w:r>
          </w:p>
        </w:tc>
        <w:tc>
          <w:tcPr>
            <w:tcW w:w="3117" w:type="dxa"/>
            <w:vAlign w:val="bottom"/>
          </w:tcPr>
          <w:p w14:paraId="3A906BD4" w14:textId="77777777" w:rsidR="00980919" w:rsidRDefault="00980919" w:rsidP="001515D5">
            <w:r>
              <w:t>43</w:t>
            </w:r>
          </w:p>
        </w:tc>
        <w:tc>
          <w:tcPr>
            <w:tcW w:w="3117" w:type="dxa"/>
            <w:vAlign w:val="bottom"/>
          </w:tcPr>
          <w:p w14:paraId="5185874B" w14:textId="77777777" w:rsidR="00980919" w:rsidRDefault="00980919" w:rsidP="001515D5">
            <w:r>
              <w:t>29</w:t>
            </w:r>
          </w:p>
        </w:tc>
      </w:tr>
      <w:tr w:rsidR="00980919" w14:paraId="268D3AF7" w14:textId="77777777" w:rsidTr="001515D5">
        <w:tc>
          <w:tcPr>
            <w:tcW w:w="3116" w:type="dxa"/>
            <w:vAlign w:val="bottom"/>
          </w:tcPr>
          <w:p w14:paraId="599C2B0C" w14:textId="77777777" w:rsidR="00980919" w:rsidRDefault="00980919" w:rsidP="001515D5">
            <w:r>
              <w:t>7/2/22</w:t>
            </w:r>
          </w:p>
        </w:tc>
        <w:tc>
          <w:tcPr>
            <w:tcW w:w="3117" w:type="dxa"/>
            <w:vAlign w:val="bottom"/>
          </w:tcPr>
          <w:p w14:paraId="572C426D" w14:textId="77777777" w:rsidR="00980919" w:rsidRDefault="00980919" w:rsidP="001515D5">
            <w:r>
              <w:t>44</w:t>
            </w:r>
          </w:p>
        </w:tc>
        <w:tc>
          <w:tcPr>
            <w:tcW w:w="3117" w:type="dxa"/>
            <w:vAlign w:val="bottom"/>
          </w:tcPr>
          <w:p w14:paraId="57FD2BFC" w14:textId="77777777" w:rsidR="00980919" w:rsidRDefault="00980919" w:rsidP="001515D5">
            <w:r>
              <w:t>28</w:t>
            </w:r>
          </w:p>
        </w:tc>
      </w:tr>
      <w:tr w:rsidR="00980919" w14:paraId="74DE7482" w14:textId="77777777" w:rsidTr="001515D5">
        <w:tc>
          <w:tcPr>
            <w:tcW w:w="3116" w:type="dxa"/>
            <w:vAlign w:val="bottom"/>
          </w:tcPr>
          <w:p w14:paraId="131BD619" w14:textId="77777777" w:rsidR="00980919" w:rsidRDefault="00980919" w:rsidP="001515D5">
            <w:r>
              <w:t>7/9/22</w:t>
            </w:r>
          </w:p>
        </w:tc>
        <w:tc>
          <w:tcPr>
            <w:tcW w:w="3117" w:type="dxa"/>
            <w:vAlign w:val="bottom"/>
          </w:tcPr>
          <w:p w14:paraId="2DF131AF" w14:textId="77777777" w:rsidR="00980919" w:rsidRDefault="00980919" w:rsidP="001515D5">
            <w:r>
              <w:t>38</w:t>
            </w:r>
          </w:p>
        </w:tc>
        <w:tc>
          <w:tcPr>
            <w:tcW w:w="3117" w:type="dxa"/>
            <w:vAlign w:val="bottom"/>
          </w:tcPr>
          <w:p w14:paraId="190BCDAF" w14:textId="77777777" w:rsidR="00980919" w:rsidRDefault="00980919" w:rsidP="001515D5">
            <w:r>
              <w:t>23</w:t>
            </w:r>
          </w:p>
        </w:tc>
      </w:tr>
      <w:tr w:rsidR="00980919" w14:paraId="729DA26A" w14:textId="77777777" w:rsidTr="001515D5">
        <w:tc>
          <w:tcPr>
            <w:tcW w:w="3116" w:type="dxa"/>
            <w:vAlign w:val="bottom"/>
          </w:tcPr>
          <w:p w14:paraId="15289970" w14:textId="77777777" w:rsidR="00980919" w:rsidRDefault="00980919" w:rsidP="001515D5">
            <w:r>
              <w:t>7/16/22</w:t>
            </w:r>
          </w:p>
        </w:tc>
        <w:tc>
          <w:tcPr>
            <w:tcW w:w="3117" w:type="dxa"/>
            <w:vAlign w:val="bottom"/>
          </w:tcPr>
          <w:p w14:paraId="51931B0E" w14:textId="77777777" w:rsidR="00980919" w:rsidRDefault="00980919" w:rsidP="001515D5">
            <w:r>
              <w:t>56</w:t>
            </w:r>
          </w:p>
        </w:tc>
        <w:tc>
          <w:tcPr>
            <w:tcW w:w="3117" w:type="dxa"/>
            <w:vAlign w:val="bottom"/>
          </w:tcPr>
          <w:p w14:paraId="1381B8DD" w14:textId="77777777" w:rsidR="00980919" w:rsidRDefault="00980919" w:rsidP="001515D5">
            <w:r>
              <w:t>36</w:t>
            </w:r>
          </w:p>
        </w:tc>
      </w:tr>
      <w:tr w:rsidR="00980919" w14:paraId="7AA6E9BB" w14:textId="77777777" w:rsidTr="001515D5">
        <w:tc>
          <w:tcPr>
            <w:tcW w:w="3116" w:type="dxa"/>
            <w:vAlign w:val="bottom"/>
          </w:tcPr>
          <w:p w14:paraId="246CBC30" w14:textId="77777777" w:rsidR="00980919" w:rsidRDefault="00980919" w:rsidP="001515D5">
            <w:r>
              <w:t>7/23/22</w:t>
            </w:r>
          </w:p>
        </w:tc>
        <w:tc>
          <w:tcPr>
            <w:tcW w:w="3117" w:type="dxa"/>
            <w:vAlign w:val="bottom"/>
          </w:tcPr>
          <w:p w14:paraId="7A7C44B1" w14:textId="77777777" w:rsidR="00980919" w:rsidRDefault="00980919" w:rsidP="001515D5">
            <w:r>
              <w:t>53</w:t>
            </w:r>
          </w:p>
        </w:tc>
        <w:tc>
          <w:tcPr>
            <w:tcW w:w="3117" w:type="dxa"/>
            <w:vAlign w:val="bottom"/>
          </w:tcPr>
          <w:p w14:paraId="0C64308B" w14:textId="77777777" w:rsidR="00980919" w:rsidRDefault="00980919" w:rsidP="001515D5">
            <w:r>
              <w:t>37</w:t>
            </w:r>
          </w:p>
        </w:tc>
      </w:tr>
      <w:tr w:rsidR="00980919" w14:paraId="58ACF7D1" w14:textId="77777777" w:rsidTr="001515D5">
        <w:tc>
          <w:tcPr>
            <w:tcW w:w="3116" w:type="dxa"/>
            <w:vAlign w:val="bottom"/>
          </w:tcPr>
          <w:p w14:paraId="7061B5B3" w14:textId="77777777" w:rsidR="00980919" w:rsidRDefault="00980919" w:rsidP="001515D5">
            <w:r>
              <w:t>7/30/22</w:t>
            </w:r>
          </w:p>
        </w:tc>
        <w:tc>
          <w:tcPr>
            <w:tcW w:w="3117" w:type="dxa"/>
            <w:vAlign w:val="bottom"/>
          </w:tcPr>
          <w:p w14:paraId="6F847D26" w14:textId="77777777" w:rsidR="00980919" w:rsidRDefault="00980919" w:rsidP="001515D5">
            <w:r>
              <w:t>51</w:t>
            </w:r>
          </w:p>
        </w:tc>
        <w:tc>
          <w:tcPr>
            <w:tcW w:w="3117" w:type="dxa"/>
            <w:vAlign w:val="bottom"/>
          </w:tcPr>
          <w:p w14:paraId="48C21503" w14:textId="77777777" w:rsidR="00980919" w:rsidRDefault="00980919" w:rsidP="001515D5">
            <w:r>
              <w:t>34</w:t>
            </w:r>
          </w:p>
        </w:tc>
      </w:tr>
      <w:tr w:rsidR="00980919" w14:paraId="08EF3C96" w14:textId="77777777" w:rsidTr="001515D5">
        <w:tc>
          <w:tcPr>
            <w:tcW w:w="3116" w:type="dxa"/>
            <w:vAlign w:val="bottom"/>
          </w:tcPr>
          <w:p w14:paraId="7EAC040F" w14:textId="77777777" w:rsidR="00980919" w:rsidRDefault="00980919" w:rsidP="001515D5">
            <w:r>
              <w:t>8/6/22</w:t>
            </w:r>
          </w:p>
        </w:tc>
        <w:tc>
          <w:tcPr>
            <w:tcW w:w="3117" w:type="dxa"/>
            <w:vAlign w:val="bottom"/>
          </w:tcPr>
          <w:p w14:paraId="2824AC4F" w14:textId="77777777" w:rsidR="00980919" w:rsidRDefault="00980919" w:rsidP="001515D5">
            <w:r>
              <w:t>49</w:t>
            </w:r>
          </w:p>
        </w:tc>
        <w:tc>
          <w:tcPr>
            <w:tcW w:w="3117" w:type="dxa"/>
            <w:vAlign w:val="bottom"/>
          </w:tcPr>
          <w:p w14:paraId="21F32C17" w14:textId="77777777" w:rsidR="00980919" w:rsidRDefault="00980919" w:rsidP="001515D5">
            <w:r>
              <w:t>28</w:t>
            </w:r>
          </w:p>
        </w:tc>
      </w:tr>
      <w:tr w:rsidR="00980919" w14:paraId="7D97F752" w14:textId="77777777" w:rsidTr="001515D5">
        <w:tc>
          <w:tcPr>
            <w:tcW w:w="3116" w:type="dxa"/>
            <w:vAlign w:val="bottom"/>
          </w:tcPr>
          <w:p w14:paraId="5CF3EBE1" w14:textId="77777777" w:rsidR="00980919" w:rsidRDefault="00980919" w:rsidP="001515D5">
            <w:r>
              <w:t>8/13/22</w:t>
            </w:r>
          </w:p>
        </w:tc>
        <w:tc>
          <w:tcPr>
            <w:tcW w:w="3117" w:type="dxa"/>
            <w:vAlign w:val="bottom"/>
          </w:tcPr>
          <w:p w14:paraId="14AD0915" w14:textId="77777777" w:rsidR="00980919" w:rsidRDefault="00980919" w:rsidP="001515D5">
            <w:r>
              <w:t>49</w:t>
            </w:r>
          </w:p>
        </w:tc>
        <w:tc>
          <w:tcPr>
            <w:tcW w:w="3117" w:type="dxa"/>
            <w:vAlign w:val="bottom"/>
          </w:tcPr>
          <w:p w14:paraId="4D422526" w14:textId="77777777" w:rsidR="00980919" w:rsidRDefault="00980919" w:rsidP="001515D5">
            <w:r>
              <w:t>30</w:t>
            </w:r>
          </w:p>
        </w:tc>
      </w:tr>
      <w:tr w:rsidR="00980919" w14:paraId="46DAA319" w14:textId="77777777" w:rsidTr="001515D5">
        <w:tc>
          <w:tcPr>
            <w:tcW w:w="3116" w:type="dxa"/>
            <w:vAlign w:val="bottom"/>
          </w:tcPr>
          <w:p w14:paraId="49F800CC" w14:textId="77777777" w:rsidR="00980919" w:rsidRDefault="00980919" w:rsidP="001515D5">
            <w:r>
              <w:t>8/20/22</w:t>
            </w:r>
          </w:p>
        </w:tc>
        <w:tc>
          <w:tcPr>
            <w:tcW w:w="3117" w:type="dxa"/>
            <w:vAlign w:val="bottom"/>
          </w:tcPr>
          <w:p w14:paraId="4A435D43" w14:textId="77777777" w:rsidR="00980919" w:rsidRDefault="00980919" w:rsidP="001515D5">
            <w:r>
              <w:t>44</w:t>
            </w:r>
          </w:p>
        </w:tc>
        <w:tc>
          <w:tcPr>
            <w:tcW w:w="3117" w:type="dxa"/>
            <w:vAlign w:val="bottom"/>
          </w:tcPr>
          <w:p w14:paraId="155DB44D" w14:textId="77777777" w:rsidR="00980919" w:rsidRDefault="00980919" w:rsidP="001515D5">
            <w:r>
              <w:t>24</w:t>
            </w:r>
          </w:p>
        </w:tc>
      </w:tr>
      <w:tr w:rsidR="00980919" w14:paraId="3179E4B4" w14:textId="77777777" w:rsidTr="001515D5">
        <w:tc>
          <w:tcPr>
            <w:tcW w:w="3116" w:type="dxa"/>
            <w:vAlign w:val="bottom"/>
          </w:tcPr>
          <w:p w14:paraId="4CAFC79B" w14:textId="77777777" w:rsidR="00980919" w:rsidRDefault="00980919" w:rsidP="001515D5">
            <w:r>
              <w:t>8/27/22</w:t>
            </w:r>
          </w:p>
        </w:tc>
        <w:tc>
          <w:tcPr>
            <w:tcW w:w="3117" w:type="dxa"/>
            <w:vAlign w:val="bottom"/>
          </w:tcPr>
          <w:p w14:paraId="0E8950C4" w14:textId="77777777" w:rsidR="00980919" w:rsidRDefault="00980919" w:rsidP="001515D5">
            <w:r>
              <w:t>44</w:t>
            </w:r>
          </w:p>
        </w:tc>
        <w:tc>
          <w:tcPr>
            <w:tcW w:w="3117" w:type="dxa"/>
            <w:vAlign w:val="bottom"/>
          </w:tcPr>
          <w:p w14:paraId="44EC1F4F" w14:textId="77777777" w:rsidR="00980919" w:rsidRDefault="00980919" w:rsidP="001515D5">
            <w:r>
              <w:t>21</w:t>
            </w:r>
          </w:p>
        </w:tc>
      </w:tr>
      <w:tr w:rsidR="00980919" w14:paraId="1BBA154E" w14:textId="77777777" w:rsidTr="001515D5">
        <w:tc>
          <w:tcPr>
            <w:tcW w:w="3116" w:type="dxa"/>
            <w:vAlign w:val="bottom"/>
          </w:tcPr>
          <w:p w14:paraId="2C47A06A" w14:textId="77777777" w:rsidR="00980919" w:rsidRDefault="00980919" w:rsidP="001515D5">
            <w:r>
              <w:t>9/3/22</w:t>
            </w:r>
          </w:p>
        </w:tc>
        <w:tc>
          <w:tcPr>
            <w:tcW w:w="3117" w:type="dxa"/>
            <w:vAlign w:val="bottom"/>
          </w:tcPr>
          <w:p w14:paraId="52E1BFE0" w14:textId="77777777" w:rsidR="00980919" w:rsidRDefault="00980919" w:rsidP="001515D5">
            <w:r>
              <w:t>40</w:t>
            </w:r>
          </w:p>
        </w:tc>
        <w:tc>
          <w:tcPr>
            <w:tcW w:w="3117" w:type="dxa"/>
            <w:vAlign w:val="bottom"/>
          </w:tcPr>
          <w:p w14:paraId="398AC526" w14:textId="77777777" w:rsidR="00980919" w:rsidRDefault="00980919" w:rsidP="001515D5">
            <w:r>
              <w:t>17</w:t>
            </w:r>
          </w:p>
        </w:tc>
      </w:tr>
      <w:tr w:rsidR="00980919" w14:paraId="7A59A23D" w14:textId="77777777" w:rsidTr="001515D5">
        <w:trPr>
          <w:trHeight w:val="90"/>
        </w:trPr>
        <w:tc>
          <w:tcPr>
            <w:tcW w:w="3116" w:type="dxa"/>
            <w:vAlign w:val="bottom"/>
          </w:tcPr>
          <w:p w14:paraId="4CD00449" w14:textId="77777777" w:rsidR="00980919" w:rsidRDefault="00980919" w:rsidP="001515D5">
            <w:r>
              <w:t>9/10/22</w:t>
            </w:r>
          </w:p>
        </w:tc>
        <w:tc>
          <w:tcPr>
            <w:tcW w:w="3117" w:type="dxa"/>
            <w:vAlign w:val="bottom"/>
          </w:tcPr>
          <w:p w14:paraId="63415223" w14:textId="77777777" w:rsidR="00980919" w:rsidRDefault="00980919" w:rsidP="001515D5">
            <w:r>
              <w:t>34</w:t>
            </w:r>
          </w:p>
        </w:tc>
        <w:tc>
          <w:tcPr>
            <w:tcW w:w="3117" w:type="dxa"/>
            <w:vAlign w:val="bottom"/>
          </w:tcPr>
          <w:p w14:paraId="5BF8FEF3" w14:textId="77777777" w:rsidR="00980919" w:rsidRDefault="00980919" w:rsidP="001515D5">
            <w:r>
              <w:t>30</w:t>
            </w:r>
          </w:p>
        </w:tc>
      </w:tr>
      <w:tr w:rsidR="00980919" w14:paraId="030F0803" w14:textId="77777777" w:rsidTr="001515D5">
        <w:tc>
          <w:tcPr>
            <w:tcW w:w="3116" w:type="dxa"/>
            <w:vAlign w:val="bottom"/>
          </w:tcPr>
          <w:p w14:paraId="5BB208ED" w14:textId="77777777" w:rsidR="00980919" w:rsidRDefault="00980919" w:rsidP="001515D5">
            <w:r>
              <w:t>9/17/22</w:t>
            </w:r>
          </w:p>
        </w:tc>
        <w:tc>
          <w:tcPr>
            <w:tcW w:w="3117" w:type="dxa"/>
            <w:vAlign w:val="bottom"/>
          </w:tcPr>
          <w:p w14:paraId="580D5539" w14:textId="77777777" w:rsidR="00980919" w:rsidRDefault="00980919" w:rsidP="001515D5">
            <w:r>
              <w:t>36</w:t>
            </w:r>
          </w:p>
        </w:tc>
        <w:tc>
          <w:tcPr>
            <w:tcW w:w="3117" w:type="dxa"/>
            <w:vAlign w:val="bottom"/>
          </w:tcPr>
          <w:p w14:paraId="128B3F7B" w14:textId="77777777" w:rsidR="00980919" w:rsidRDefault="00980919" w:rsidP="001515D5">
            <w:r>
              <w:t>39</w:t>
            </w:r>
          </w:p>
        </w:tc>
      </w:tr>
    </w:tbl>
    <w:p w14:paraId="72B302A6" w14:textId="77777777" w:rsidR="00980919" w:rsidRPr="00ED6AF8" w:rsidRDefault="00980919" w:rsidP="00980919">
      <w:r w:rsidRPr="00ED6AF8">
        <w:t xml:space="preserve">Source: SC DHEC Division of Immunization, 2022. </w:t>
      </w:r>
    </w:p>
    <w:p w14:paraId="587996E9" w14:textId="77777777" w:rsidR="00980919" w:rsidRPr="00ED6AF8" w:rsidRDefault="00980919" w:rsidP="00980919">
      <w:r w:rsidRPr="00ED6AF8">
        <w:t xml:space="preserve">Notes: Data as of September 17, 2022. *Total percent of population of completed vaccination by race: White - 43.0%, Black - 41.2% </w:t>
      </w:r>
    </w:p>
    <w:p w14:paraId="4B9F5C1C" w14:textId="77777777" w:rsidR="00980919" w:rsidRDefault="00980919" w:rsidP="00980919">
      <w:r w:rsidRPr="00ED6AF8">
        <w:t>Limitation: Other races are not shown because of absence of a defined population estimate denominator.</w:t>
      </w:r>
    </w:p>
    <w:p w14:paraId="1207F689" w14:textId="77777777" w:rsidR="00980919" w:rsidRDefault="00980919" w:rsidP="00980919"/>
    <w:p w14:paraId="3B9D747D" w14:textId="77777777" w:rsidR="00980919" w:rsidRPr="0090330A" w:rsidRDefault="00980919" w:rsidP="00980919">
      <w:pPr>
        <w:pStyle w:val="Heading4"/>
      </w:pPr>
      <w:bookmarkStart w:id="383" w:name="_Toc154569860"/>
      <w:bookmarkStart w:id="384" w:name="_Toc162267249"/>
      <w:r w:rsidRPr="002F08EB">
        <w:t>Figure 6.</w:t>
      </w:r>
      <w:r>
        <w:t>52</w:t>
      </w:r>
      <w:r w:rsidRPr="002F08EB">
        <w:t xml:space="preserve">: </w:t>
      </w:r>
      <w:r>
        <w:t>Deaths, by Age Group i</w:t>
      </w:r>
      <w:r w:rsidRPr="0090330A">
        <w:t>n South Carolina</w:t>
      </w:r>
      <w:r>
        <w:t>.</w:t>
      </w:r>
      <w:bookmarkEnd w:id="383"/>
      <w:bookmarkEnd w:id="384"/>
      <w:r w:rsidRPr="0090330A">
        <w:t xml:space="preserve"> </w:t>
      </w:r>
    </w:p>
    <w:p w14:paraId="228AC2D8" w14:textId="77777777" w:rsidR="00980919" w:rsidRDefault="00980919" w:rsidP="00980919">
      <w:pPr>
        <w:pStyle w:val="Heading5"/>
      </w:pPr>
      <w:r w:rsidRPr="0090330A">
        <w:t>Rate per 100,000 population</w:t>
      </w:r>
      <w:r>
        <w:t>.</w:t>
      </w:r>
    </w:p>
    <w:tbl>
      <w:tblPr>
        <w:tblStyle w:val="TableGrid"/>
        <w:tblW w:w="0" w:type="auto"/>
        <w:tblLook w:val="04A0" w:firstRow="1" w:lastRow="0" w:firstColumn="1" w:lastColumn="0" w:noHBand="0" w:noVBand="1"/>
      </w:tblPr>
      <w:tblGrid>
        <w:gridCol w:w="1870"/>
        <w:gridCol w:w="1870"/>
        <w:gridCol w:w="1870"/>
        <w:gridCol w:w="1870"/>
        <w:gridCol w:w="1870"/>
      </w:tblGrid>
      <w:tr w:rsidR="00980919" w14:paraId="0A833345" w14:textId="77777777" w:rsidTr="001515D5">
        <w:tc>
          <w:tcPr>
            <w:tcW w:w="1870" w:type="dxa"/>
            <w:vAlign w:val="bottom"/>
          </w:tcPr>
          <w:p w14:paraId="40618D5E" w14:textId="77777777" w:rsidR="00980919" w:rsidRDefault="00980919" w:rsidP="001515D5">
            <w:r>
              <w:t>Date</w:t>
            </w:r>
          </w:p>
        </w:tc>
        <w:tc>
          <w:tcPr>
            <w:tcW w:w="1870" w:type="dxa"/>
            <w:vAlign w:val="bottom"/>
          </w:tcPr>
          <w:p w14:paraId="79793220" w14:textId="77777777" w:rsidR="00980919" w:rsidRDefault="00980919" w:rsidP="001515D5">
            <w:r>
              <w:t>&lt;18</w:t>
            </w:r>
          </w:p>
        </w:tc>
        <w:tc>
          <w:tcPr>
            <w:tcW w:w="1870" w:type="dxa"/>
            <w:vAlign w:val="bottom"/>
          </w:tcPr>
          <w:p w14:paraId="3984F3CE" w14:textId="77777777" w:rsidR="00980919" w:rsidRDefault="00980919" w:rsidP="001515D5">
            <w:r>
              <w:t>18-49</w:t>
            </w:r>
          </w:p>
        </w:tc>
        <w:tc>
          <w:tcPr>
            <w:tcW w:w="1870" w:type="dxa"/>
            <w:vAlign w:val="bottom"/>
          </w:tcPr>
          <w:p w14:paraId="3C89FB2E" w14:textId="77777777" w:rsidR="00980919" w:rsidRDefault="00980919" w:rsidP="001515D5">
            <w:r>
              <w:t>50-84</w:t>
            </w:r>
          </w:p>
        </w:tc>
        <w:tc>
          <w:tcPr>
            <w:tcW w:w="1870" w:type="dxa"/>
            <w:vAlign w:val="bottom"/>
          </w:tcPr>
          <w:p w14:paraId="1475E948" w14:textId="77777777" w:rsidR="00980919" w:rsidRDefault="00980919" w:rsidP="001515D5">
            <w:r>
              <w:t>85+</w:t>
            </w:r>
          </w:p>
        </w:tc>
      </w:tr>
      <w:tr w:rsidR="00980919" w14:paraId="10F08C3B" w14:textId="77777777" w:rsidTr="001515D5">
        <w:tc>
          <w:tcPr>
            <w:tcW w:w="1870" w:type="dxa"/>
            <w:vAlign w:val="bottom"/>
          </w:tcPr>
          <w:p w14:paraId="665295D0" w14:textId="77777777" w:rsidR="00980919" w:rsidRDefault="00980919" w:rsidP="001515D5">
            <w:r>
              <w:t>2/1/20</w:t>
            </w:r>
          </w:p>
        </w:tc>
        <w:tc>
          <w:tcPr>
            <w:tcW w:w="1870" w:type="dxa"/>
            <w:vAlign w:val="bottom"/>
          </w:tcPr>
          <w:p w14:paraId="094A2BCD" w14:textId="77777777" w:rsidR="00980919" w:rsidRDefault="00980919" w:rsidP="001515D5">
            <w:r>
              <w:t>0</w:t>
            </w:r>
          </w:p>
        </w:tc>
        <w:tc>
          <w:tcPr>
            <w:tcW w:w="1870" w:type="dxa"/>
            <w:vAlign w:val="bottom"/>
          </w:tcPr>
          <w:p w14:paraId="7D7F05C6" w14:textId="77777777" w:rsidR="00980919" w:rsidRDefault="00980919" w:rsidP="001515D5">
            <w:r>
              <w:t>0</w:t>
            </w:r>
          </w:p>
        </w:tc>
        <w:tc>
          <w:tcPr>
            <w:tcW w:w="1870" w:type="dxa"/>
            <w:vAlign w:val="bottom"/>
          </w:tcPr>
          <w:p w14:paraId="0D0D86E0" w14:textId="77777777" w:rsidR="00980919" w:rsidRDefault="00980919" w:rsidP="001515D5">
            <w:r>
              <w:t>0</w:t>
            </w:r>
          </w:p>
        </w:tc>
        <w:tc>
          <w:tcPr>
            <w:tcW w:w="1870" w:type="dxa"/>
            <w:vAlign w:val="bottom"/>
          </w:tcPr>
          <w:p w14:paraId="5AFC0249" w14:textId="77777777" w:rsidR="00980919" w:rsidRDefault="00980919" w:rsidP="001515D5">
            <w:r>
              <w:t>0</w:t>
            </w:r>
          </w:p>
        </w:tc>
      </w:tr>
      <w:tr w:rsidR="00980919" w14:paraId="3C6FEF57" w14:textId="77777777" w:rsidTr="001515D5">
        <w:tc>
          <w:tcPr>
            <w:tcW w:w="1870" w:type="dxa"/>
            <w:vAlign w:val="bottom"/>
          </w:tcPr>
          <w:p w14:paraId="77406183" w14:textId="77777777" w:rsidR="00980919" w:rsidRDefault="00980919" w:rsidP="001515D5">
            <w:r>
              <w:t>2/29/20</w:t>
            </w:r>
          </w:p>
        </w:tc>
        <w:tc>
          <w:tcPr>
            <w:tcW w:w="1870" w:type="dxa"/>
            <w:vAlign w:val="bottom"/>
          </w:tcPr>
          <w:p w14:paraId="7BE9D3A0" w14:textId="77777777" w:rsidR="00980919" w:rsidRDefault="00980919" w:rsidP="001515D5">
            <w:r>
              <w:t>0</w:t>
            </w:r>
          </w:p>
        </w:tc>
        <w:tc>
          <w:tcPr>
            <w:tcW w:w="1870" w:type="dxa"/>
            <w:vAlign w:val="bottom"/>
          </w:tcPr>
          <w:p w14:paraId="546896B0" w14:textId="77777777" w:rsidR="00980919" w:rsidRDefault="00980919" w:rsidP="001515D5">
            <w:r>
              <w:t>0</w:t>
            </w:r>
          </w:p>
        </w:tc>
        <w:tc>
          <w:tcPr>
            <w:tcW w:w="1870" w:type="dxa"/>
            <w:vAlign w:val="bottom"/>
          </w:tcPr>
          <w:p w14:paraId="4B69B7A0" w14:textId="77777777" w:rsidR="00980919" w:rsidRDefault="00980919" w:rsidP="001515D5">
            <w:r>
              <w:t>0</w:t>
            </w:r>
          </w:p>
        </w:tc>
        <w:tc>
          <w:tcPr>
            <w:tcW w:w="1870" w:type="dxa"/>
            <w:vAlign w:val="bottom"/>
          </w:tcPr>
          <w:p w14:paraId="31B65F3A" w14:textId="77777777" w:rsidR="00980919" w:rsidRDefault="00980919" w:rsidP="001515D5">
            <w:r>
              <w:t>0</w:t>
            </w:r>
          </w:p>
        </w:tc>
      </w:tr>
      <w:tr w:rsidR="00980919" w14:paraId="5B0C74FB" w14:textId="77777777" w:rsidTr="001515D5">
        <w:tc>
          <w:tcPr>
            <w:tcW w:w="1870" w:type="dxa"/>
            <w:vAlign w:val="bottom"/>
          </w:tcPr>
          <w:p w14:paraId="2D3DAA15" w14:textId="77777777" w:rsidR="00980919" w:rsidRDefault="00980919" w:rsidP="001515D5">
            <w:r>
              <w:t>3/7/20</w:t>
            </w:r>
          </w:p>
        </w:tc>
        <w:tc>
          <w:tcPr>
            <w:tcW w:w="1870" w:type="dxa"/>
            <w:vAlign w:val="bottom"/>
          </w:tcPr>
          <w:p w14:paraId="31B2BA6D" w14:textId="77777777" w:rsidR="00980919" w:rsidRDefault="00980919" w:rsidP="001515D5">
            <w:r>
              <w:t>0</w:t>
            </w:r>
          </w:p>
        </w:tc>
        <w:tc>
          <w:tcPr>
            <w:tcW w:w="1870" w:type="dxa"/>
            <w:vAlign w:val="bottom"/>
          </w:tcPr>
          <w:p w14:paraId="30A6B66C" w14:textId="77777777" w:rsidR="00980919" w:rsidRDefault="00980919" w:rsidP="001515D5">
            <w:r>
              <w:t>0</w:t>
            </w:r>
          </w:p>
        </w:tc>
        <w:tc>
          <w:tcPr>
            <w:tcW w:w="1870" w:type="dxa"/>
            <w:vAlign w:val="bottom"/>
          </w:tcPr>
          <w:p w14:paraId="06B12A60" w14:textId="77777777" w:rsidR="00980919" w:rsidRDefault="00980919" w:rsidP="001515D5">
            <w:r>
              <w:t>0</w:t>
            </w:r>
          </w:p>
        </w:tc>
        <w:tc>
          <w:tcPr>
            <w:tcW w:w="1870" w:type="dxa"/>
            <w:vAlign w:val="bottom"/>
          </w:tcPr>
          <w:p w14:paraId="55B34FE2" w14:textId="77777777" w:rsidR="00980919" w:rsidRDefault="00980919" w:rsidP="001515D5">
            <w:r>
              <w:t>0</w:t>
            </w:r>
          </w:p>
        </w:tc>
      </w:tr>
      <w:tr w:rsidR="00980919" w14:paraId="2F01BE5A" w14:textId="77777777" w:rsidTr="001515D5">
        <w:tc>
          <w:tcPr>
            <w:tcW w:w="1870" w:type="dxa"/>
            <w:vAlign w:val="bottom"/>
          </w:tcPr>
          <w:p w14:paraId="07F09FE6" w14:textId="77777777" w:rsidR="00980919" w:rsidRDefault="00980919" w:rsidP="001515D5">
            <w:r>
              <w:lastRenderedPageBreak/>
              <w:t>3/14/20</w:t>
            </w:r>
          </w:p>
        </w:tc>
        <w:tc>
          <w:tcPr>
            <w:tcW w:w="1870" w:type="dxa"/>
            <w:vAlign w:val="bottom"/>
          </w:tcPr>
          <w:p w14:paraId="3532DE72" w14:textId="77777777" w:rsidR="00980919" w:rsidRDefault="00980919" w:rsidP="001515D5">
            <w:r>
              <w:t>0</w:t>
            </w:r>
          </w:p>
        </w:tc>
        <w:tc>
          <w:tcPr>
            <w:tcW w:w="1870" w:type="dxa"/>
            <w:vAlign w:val="bottom"/>
          </w:tcPr>
          <w:p w14:paraId="7B8C9579" w14:textId="77777777" w:rsidR="00980919" w:rsidRDefault="00980919" w:rsidP="001515D5">
            <w:r>
              <w:t>0</w:t>
            </w:r>
          </w:p>
        </w:tc>
        <w:tc>
          <w:tcPr>
            <w:tcW w:w="1870" w:type="dxa"/>
            <w:vAlign w:val="bottom"/>
          </w:tcPr>
          <w:p w14:paraId="5B4F4FE5" w14:textId="77777777" w:rsidR="00980919" w:rsidRDefault="00980919" w:rsidP="001515D5">
            <w:r>
              <w:t>0</w:t>
            </w:r>
          </w:p>
        </w:tc>
        <w:tc>
          <w:tcPr>
            <w:tcW w:w="1870" w:type="dxa"/>
            <w:vAlign w:val="bottom"/>
          </w:tcPr>
          <w:p w14:paraId="0CB8F7A9" w14:textId="77777777" w:rsidR="00980919" w:rsidRDefault="00980919" w:rsidP="001515D5">
            <w:r>
              <w:t>0</w:t>
            </w:r>
          </w:p>
        </w:tc>
      </w:tr>
      <w:tr w:rsidR="00980919" w14:paraId="048FDFC4" w14:textId="77777777" w:rsidTr="001515D5">
        <w:tc>
          <w:tcPr>
            <w:tcW w:w="1870" w:type="dxa"/>
            <w:vAlign w:val="bottom"/>
          </w:tcPr>
          <w:p w14:paraId="70F03FC2" w14:textId="77777777" w:rsidR="00980919" w:rsidRDefault="00980919" w:rsidP="001515D5">
            <w:r>
              <w:t>3/21/20</w:t>
            </w:r>
          </w:p>
        </w:tc>
        <w:tc>
          <w:tcPr>
            <w:tcW w:w="1870" w:type="dxa"/>
            <w:vAlign w:val="bottom"/>
          </w:tcPr>
          <w:p w14:paraId="4BCAF71A" w14:textId="77777777" w:rsidR="00980919" w:rsidRDefault="00980919" w:rsidP="001515D5">
            <w:r>
              <w:t>0</w:t>
            </w:r>
          </w:p>
        </w:tc>
        <w:tc>
          <w:tcPr>
            <w:tcW w:w="1870" w:type="dxa"/>
            <w:vAlign w:val="bottom"/>
          </w:tcPr>
          <w:p w14:paraId="4476836D" w14:textId="77777777" w:rsidR="00980919" w:rsidRDefault="00980919" w:rsidP="001515D5">
            <w:r>
              <w:t>0</w:t>
            </w:r>
          </w:p>
        </w:tc>
        <w:tc>
          <w:tcPr>
            <w:tcW w:w="1870" w:type="dxa"/>
            <w:vAlign w:val="bottom"/>
          </w:tcPr>
          <w:p w14:paraId="119CC46B" w14:textId="77777777" w:rsidR="00980919" w:rsidRDefault="00980919" w:rsidP="001515D5">
            <w:r>
              <w:t>0</w:t>
            </w:r>
          </w:p>
        </w:tc>
        <w:tc>
          <w:tcPr>
            <w:tcW w:w="1870" w:type="dxa"/>
            <w:vAlign w:val="bottom"/>
          </w:tcPr>
          <w:p w14:paraId="4627EBDA" w14:textId="77777777" w:rsidR="00980919" w:rsidRDefault="00980919" w:rsidP="001515D5">
            <w:r>
              <w:t>1</w:t>
            </w:r>
          </w:p>
        </w:tc>
      </w:tr>
      <w:tr w:rsidR="00980919" w14:paraId="4435D452" w14:textId="77777777" w:rsidTr="001515D5">
        <w:tc>
          <w:tcPr>
            <w:tcW w:w="1870" w:type="dxa"/>
            <w:vAlign w:val="bottom"/>
          </w:tcPr>
          <w:p w14:paraId="1E882651" w14:textId="77777777" w:rsidR="00980919" w:rsidRDefault="00980919" w:rsidP="001515D5">
            <w:r>
              <w:t>3/28/20</w:t>
            </w:r>
          </w:p>
        </w:tc>
        <w:tc>
          <w:tcPr>
            <w:tcW w:w="1870" w:type="dxa"/>
            <w:vAlign w:val="bottom"/>
          </w:tcPr>
          <w:p w14:paraId="6832A92C" w14:textId="77777777" w:rsidR="00980919" w:rsidRDefault="00980919" w:rsidP="001515D5">
            <w:r>
              <w:t>0</w:t>
            </w:r>
          </w:p>
        </w:tc>
        <w:tc>
          <w:tcPr>
            <w:tcW w:w="1870" w:type="dxa"/>
            <w:vAlign w:val="bottom"/>
          </w:tcPr>
          <w:p w14:paraId="7A90DC37" w14:textId="77777777" w:rsidR="00980919" w:rsidRDefault="00980919" w:rsidP="001515D5">
            <w:r>
              <w:t>0</w:t>
            </w:r>
          </w:p>
        </w:tc>
        <w:tc>
          <w:tcPr>
            <w:tcW w:w="1870" w:type="dxa"/>
            <w:vAlign w:val="bottom"/>
          </w:tcPr>
          <w:p w14:paraId="225D2504" w14:textId="77777777" w:rsidR="00980919" w:rsidRDefault="00980919" w:rsidP="001515D5">
            <w:r>
              <w:t>1</w:t>
            </w:r>
          </w:p>
        </w:tc>
        <w:tc>
          <w:tcPr>
            <w:tcW w:w="1870" w:type="dxa"/>
            <w:vAlign w:val="bottom"/>
          </w:tcPr>
          <w:p w14:paraId="6A61C7AB" w14:textId="77777777" w:rsidR="00980919" w:rsidRDefault="00980919" w:rsidP="001515D5">
            <w:r>
              <w:t>2</w:t>
            </w:r>
          </w:p>
        </w:tc>
      </w:tr>
      <w:tr w:rsidR="00980919" w14:paraId="70870401" w14:textId="77777777" w:rsidTr="001515D5">
        <w:tc>
          <w:tcPr>
            <w:tcW w:w="1870" w:type="dxa"/>
            <w:vAlign w:val="bottom"/>
          </w:tcPr>
          <w:p w14:paraId="601F2887" w14:textId="77777777" w:rsidR="00980919" w:rsidRDefault="00980919" w:rsidP="001515D5">
            <w:r>
              <w:t>4/4/20</w:t>
            </w:r>
          </w:p>
        </w:tc>
        <w:tc>
          <w:tcPr>
            <w:tcW w:w="1870" w:type="dxa"/>
            <w:vAlign w:val="bottom"/>
          </w:tcPr>
          <w:p w14:paraId="26629B9C" w14:textId="77777777" w:rsidR="00980919" w:rsidRDefault="00980919" w:rsidP="001515D5">
            <w:r>
              <w:t>0</w:t>
            </w:r>
          </w:p>
        </w:tc>
        <w:tc>
          <w:tcPr>
            <w:tcW w:w="1870" w:type="dxa"/>
            <w:vAlign w:val="bottom"/>
          </w:tcPr>
          <w:p w14:paraId="2FF87DF9" w14:textId="77777777" w:rsidR="00980919" w:rsidRDefault="00980919" w:rsidP="001515D5">
            <w:r>
              <w:t>0</w:t>
            </w:r>
          </w:p>
        </w:tc>
        <w:tc>
          <w:tcPr>
            <w:tcW w:w="1870" w:type="dxa"/>
            <w:vAlign w:val="bottom"/>
          </w:tcPr>
          <w:p w14:paraId="6B058C2D" w14:textId="77777777" w:rsidR="00980919" w:rsidRDefault="00980919" w:rsidP="001515D5">
            <w:r>
              <w:t>2</w:t>
            </w:r>
          </w:p>
        </w:tc>
        <w:tc>
          <w:tcPr>
            <w:tcW w:w="1870" w:type="dxa"/>
            <w:vAlign w:val="bottom"/>
          </w:tcPr>
          <w:p w14:paraId="4EDF8891" w14:textId="77777777" w:rsidR="00980919" w:rsidRDefault="00980919" w:rsidP="001515D5">
            <w:r>
              <w:t>5</w:t>
            </w:r>
          </w:p>
        </w:tc>
      </w:tr>
      <w:tr w:rsidR="00980919" w14:paraId="4ADC0095" w14:textId="77777777" w:rsidTr="001515D5">
        <w:tc>
          <w:tcPr>
            <w:tcW w:w="1870" w:type="dxa"/>
            <w:vAlign w:val="bottom"/>
          </w:tcPr>
          <w:p w14:paraId="06B198B2" w14:textId="77777777" w:rsidR="00980919" w:rsidRDefault="00980919" w:rsidP="001515D5">
            <w:r>
              <w:t>4/11/20</w:t>
            </w:r>
          </w:p>
        </w:tc>
        <w:tc>
          <w:tcPr>
            <w:tcW w:w="1870" w:type="dxa"/>
            <w:vAlign w:val="bottom"/>
          </w:tcPr>
          <w:p w14:paraId="663BA194" w14:textId="77777777" w:rsidR="00980919" w:rsidRDefault="00980919" w:rsidP="001515D5">
            <w:r>
              <w:t>0</w:t>
            </w:r>
          </w:p>
        </w:tc>
        <w:tc>
          <w:tcPr>
            <w:tcW w:w="1870" w:type="dxa"/>
            <w:vAlign w:val="bottom"/>
          </w:tcPr>
          <w:p w14:paraId="18B29E75" w14:textId="77777777" w:rsidR="00980919" w:rsidRDefault="00980919" w:rsidP="001515D5">
            <w:r>
              <w:t>0</w:t>
            </w:r>
          </w:p>
        </w:tc>
        <w:tc>
          <w:tcPr>
            <w:tcW w:w="1870" w:type="dxa"/>
            <w:vAlign w:val="bottom"/>
          </w:tcPr>
          <w:p w14:paraId="1775B35E" w14:textId="77777777" w:rsidR="00980919" w:rsidRDefault="00980919" w:rsidP="001515D5">
            <w:r>
              <w:t>3</w:t>
            </w:r>
          </w:p>
        </w:tc>
        <w:tc>
          <w:tcPr>
            <w:tcW w:w="1870" w:type="dxa"/>
            <w:vAlign w:val="bottom"/>
          </w:tcPr>
          <w:p w14:paraId="196ECDDB" w14:textId="77777777" w:rsidR="00980919" w:rsidRDefault="00980919" w:rsidP="001515D5">
            <w:r>
              <w:t>7</w:t>
            </w:r>
          </w:p>
        </w:tc>
      </w:tr>
      <w:tr w:rsidR="00980919" w14:paraId="3C70FC94" w14:textId="77777777" w:rsidTr="001515D5">
        <w:tc>
          <w:tcPr>
            <w:tcW w:w="1870" w:type="dxa"/>
            <w:vAlign w:val="bottom"/>
          </w:tcPr>
          <w:p w14:paraId="750F2C8B" w14:textId="77777777" w:rsidR="00980919" w:rsidRDefault="00980919" w:rsidP="001515D5">
            <w:r>
              <w:t>4/18/20</w:t>
            </w:r>
          </w:p>
        </w:tc>
        <w:tc>
          <w:tcPr>
            <w:tcW w:w="1870" w:type="dxa"/>
            <w:vAlign w:val="bottom"/>
          </w:tcPr>
          <w:p w14:paraId="622CB739" w14:textId="77777777" w:rsidR="00980919" w:rsidRDefault="00980919" w:rsidP="001515D5">
            <w:r>
              <w:t>0</w:t>
            </w:r>
          </w:p>
        </w:tc>
        <w:tc>
          <w:tcPr>
            <w:tcW w:w="1870" w:type="dxa"/>
            <w:vAlign w:val="bottom"/>
          </w:tcPr>
          <w:p w14:paraId="687DE0BE" w14:textId="77777777" w:rsidR="00980919" w:rsidRDefault="00980919" w:rsidP="001515D5">
            <w:r>
              <w:t>0</w:t>
            </w:r>
          </w:p>
        </w:tc>
        <w:tc>
          <w:tcPr>
            <w:tcW w:w="1870" w:type="dxa"/>
            <w:vAlign w:val="bottom"/>
          </w:tcPr>
          <w:p w14:paraId="4023CD76" w14:textId="77777777" w:rsidR="00980919" w:rsidRDefault="00980919" w:rsidP="001515D5">
            <w:r>
              <w:t>2</w:t>
            </w:r>
          </w:p>
        </w:tc>
        <w:tc>
          <w:tcPr>
            <w:tcW w:w="1870" w:type="dxa"/>
            <w:vAlign w:val="bottom"/>
          </w:tcPr>
          <w:p w14:paraId="388E0C0C" w14:textId="77777777" w:rsidR="00980919" w:rsidRDefault="00980919" w:rsidP="001515D5">
            <w:r>
              <w:t>12</w:t>
            </w:r>
          </w:p>
        </w:tc>
      </w:tr>
      <w:tr w:rsidR="00980919" w14:paraId="1E1063A5" w14:textId="77777777" w:rsidTr="001515D5">
        <w:tc>
          <w:tcPr>
            <w:tcW w:w="1870" w:type="dxa"/>
            <w:vAlign w:val="bottom"/>
          </w:tcPr>
          <w:p w14:paraId="559699E6" w14:textId="77777777" w:rsidR="00980919" w:rsidRDefault="00980919" w:rsidP="001515D5">
            <w:r>
              <w:t>4/25/20</w:t>
            </w:r>
          </w:p>
        </w:tc>
        <w:tc>
          <w:tcPr>
            <w:tcW w:w="1870" w:type="dxa"/>
            <w:vAlign w:val="bottom"/>
          </w:tcPr>
          <w:p w14:paraId="0D9AE81F" w14:textId="77777777" w:rsidR="00980919" w:rsidRDefault="00980919" w:rsidP="001515D5">
            <w:r>
              <w:t>0</w:t>
            </w:r>
          </w:p>
        </w:tc>
        <w:tc>
          <w:tcPr>
            <w:tcW w:w="1870" w:type="dxa"/>
            <w:vAlign w:val="bottom"/>
          </w:tcPr>
          <w:p w14:paraId="0AC79F64" w14:textId="77777777" w:rsidR="00980919" w:rsidRDefault="00980919" w:rsidP="001515D5">
            <w:r>
              <w:t>0</w:t>
            </w:r>
          </w:p>
        </w:tc>
        <w:tc>
          <w:tcPr>
            <w:tcW w:w="1870" w:type="dxa"/>
            <w:vAlign w:val="bottom"/>
          </w:tcPr>
          <w:p w14:paraId="273A86A9" w14:textId="77777777" w:rsidR="00980919" w:rsidRDefault="00980919" w:rsidP="001515D5">
            <w:r>
              <w:t>2</w:t>
            </w:r>
          </w:p>
        </w:tc>
        <w:tc>
          <w:tcPr>
            <w:tcW w:w="1870" w:type="dxa"/>
            <w:vAlign w:val="bottom"/>
          </w:tcPr>
          <w:p w14:paraId="0B4CD83D" w14:textId="77777777" w:rsidR="00980919" w:rsidRDefault="00980919" w:rsidP="001515D5">
            <w:r>
              <w:t>20</w:t>
            </w:r>
          </w:p>
        </w:tc>
      </w:tr>
      <w:tr w:rsidR="00980919" w14:paraId="7E72A866" w14:textId="77777777" w:rsidTr="001515D5">
        <w:tc>
          <w:tcPr>
            <w:tcW w:w="1870" w:type="dxa"/>
            <w:vAlign w:val="bottom"/>
          </w:tcPr>
          <w:p w14:paraId="75CB6F5B" w14:textId="77777777" w:rsidR="00980919" w:rsidRDefault="00980919" w:rsidP="001515D5">
            <w:r>
              <w:t>5/2/20</w:t>
            </w:r>
          </w:p>
        </w:tc>
        <w:tc>
          <w:tcPr>
            <w:tcW w:w="1870" w:type="dxa"/>
            <w:vAlign w:val="bottom"/>
          </w:tcPr>
          <w:p w14:paraId="187BDBAA" w14:textId="77777777" w:rsidR="00980919" w:rsidRDefault="00980919" w:rsidP="001515D5">
            <w:r>
              <w:t>0</w:t>
            </w:r>
          </w:p>
        </w:tc>
        <w:tc>
          <w:tcPr>
            <w:tcW w:w="1870" w:type="dxa"/>
            <w:vAlign w:val="bottom"/>
          </w:tcPr>
          <w:p w14:paraId="62A6C7EC" w14:textId="77777777" w:rsidR="00980919" w:rsidRDefault="00980919" w:rsidP="001515D5">
            <w:r>
              <w:t>0</w:t>
            </w:r>
          </w:p>
        </w:tc>
        <w:tc>
          <w:tcPr>
            <w:tcW w:w="1870" w:type="dxa"/>
            <w:vAlign w:val="bottom"/>
          </w:tcPr>
          <w:p w14:paraId="3350874C" w14:textId="77777777" w:rsidR="00980919" w:rsidRDefault="00980919" w:rsidP="001515D5">
            <w:r>
              <w:t>2</w:t>
            </w:r>
          </w:p>
        </w:tc>
        <w:tc>
          <w:tcPr>
            <w:tcW w:w="1870" w:type="dxa"/>
            <w:vAlign w:val="bottom"/>
          </w:tcPr>
          <w:p w14:paraId="33632AEE" w14:textId="77777777" w:rsidR="00980919" w:rsidRDefault="00980919" w:rsidP="001515D5">
            <w:r>
              <w:t>17</w:t>
            </w:r>
          </w:p>
        </w:tc>
      </w:tr>
      <w:tr w:rsidR="00980919" w14:paraId="59714F81" w14:textId="77777777" w:rsidTr="001515D5">
        <w:tc>
          <w:tcPr>
            <w:tcW w:w="1870" w:type="dxa"/>
            <w:vAlign w:val="bottom"/>
          </w:tcPr>
          <w:p w14:paraId="0FB35D40" w14:textId="77777777" w:rsidR="00980919" w:rsidRDefault="00980919" w:rsidP="001515D5">
            <w:r>
              <w:t>5/9/20</w:t>
            </w:r>
          </w:p>
        </w:tc>
        <w:tc>
          <w:tcPr>
            <w:tcW w:w="1870" w:type="dxa"/>
            <w:vAlign w:val="bottom"/>
          </w:tcPr>
          <w:p w14:paraId="6F0D0E07" w14:textId="77777777" w:rsidR="00980919" w:rsidRDefault="00980919" w:rsidP="001515D5">
            <w:r>
              <w:t>0</w:t>
            </w:r>
          </w:p>
        </w:tc>
        <w:tc>
          <w:tcPr>
            <w:tcW w:w="1870" w:type="dxa"/>
            <w:vAlign w:val="bottom"/>
          </w:tcPr>
          <w:p w14:paraId="62E02212" w14:textId="77777777" w:rsidR="00980919" w:rsidRDefault="00980919" w:rsidP="001515D5">
            <w:r>
              <w:t>0</w:t>
            </w:r>
          </w:p>
        </w:tc>
        <w:tc>
          <w:tcPr>
            <w:tcW w:w="1870" w:type="dxa"/>
            <w:vAlign w:val="bottom"/>
          </w:tcPr>
          <w:p w14:paraId="4B87EC39" w14:textId="77777777" w:rsidR="00980919" w:rsidRDefault="00980919" w:rsidP="001515D5">
            <w:r>
              <w:t>2</w:t>
            </w:r>
          </w:p>
        </w:tc>
        <w:tc>
          <w:tcPr>
            <w:tcW w:w="1870" w:type="dxa"/>
            <w:vAlign w:val="bottom"/>
          </w:tcPr>
          <w:p w14:paraId="387E1ED3" w14:textId="77777777" w:rsidR="00980919" w:rsidRDefault="00980919" w:rsidP="001515D5">
            <w:r>
              <w:t>22</w:t>
            </w:r>
          </w:p>
        </w:tc>
      </w:tr>
      <w:tr w:rsidR="00980919" w14:paraId="5F37D3EF" w14:textId="77777777" w:rsidTr="001515D5">
        <w:tc>
          <w:tcPr>
            <w:tcW w:w="1870" w:type="dxa"/>
            <w:vAlign w:val="bottom"/>
          </w:tcPr>
          <w:p w14:paraId="6B03F34F" w14:textId="77777777" w:rsidR="00980919" w:rsidRDefault="00980919" w:rsidP="001515D5">
            <w:r>
              <w:t>5/16/20</w:t>
            </w:r>
          </w:p>
        </w:tc>
        <w:tc>
          <w:tcPr>
            <w:tcW w:w="1870" w:type="dxa"/>
            <w:vAlign w:val="bottom"/>
          </w:tcPr>
          <w:p w14:paraId="119A09AD" w14:textId="77777777" w:rsidR="00980919" w:rsidRDefault="00980919" w:rsidP="001515D5">
            <w:r>
              <w:t>0</w:t>
            </w:r>
          </w:p>
        </w:tc>
        <w:tc>
          <w:tcPr>
            <w:tcW w:w="1870" w:type="dxa"/>
            <w:vAlign w:val="bottom"/>
          </w:tcPr>
          <w:p w14:paraId="5D71DB95" w14:textId="77777777" w:rsidR="00980919" w:rsidRDefault="00980919" w:rsidP="001515D5">
            <w:r>
              <w:t>0</w:t>
            </w:r>
          </w:p>
        </w:tc>
        <w:tc>
          <w:tcPr>
            <w:tcW w:w="1870" w:type="dxa"/>
            <w:vAlign w:val="bottom"/>
          </w:tcPr>
          <w:p w14:paraId="7401C3A2" w14:textId="77777777" w:rsidR="00980919" w:rsidRDefault="00980919" w:rsidP="001515D5">
            <w:r>
              <w:t>2</w:t>
            </w:r>
          </w:p>
        </w:tc>
        <w:tc>
          <w:tcPr>
            <w:tcW w:w="1870" w:type="dxa"/>
            <w:vAlign w:val="bottom"/>
          </w:tcPr>
          <w:p w14:paraId="02BB1C42" w14:textId="77777777" w:rsidR="00980919" w:rsidRDefault="00980919" w:rsidP="001515D5">
            <w:r>
              <w:t>15</w:t>
            </w:r>
          </w:p>
        </w:tc>
      </w:tr>
      <w:tr w:rsidR="00980919" w14:paraId="7B0EC6D5" w14:textId="77777777" w:rsidTr="001515D5">
        <w:tc>
          <w:tcPr>
            <w:tcW w:w="1870" w:type="dxa"/>
            <w:vAlign w:val="bottom"/>
          </w:tcPr>
          <w:p w14:paraId="7BCA6E5C" w14:textId="77777777" w:rsidR="00980919" w:rsidRDefault="00980919" w:rsidP="001515D5">
            <w:r>
              <w:t>5/23/20</w:t>
            </w:r>
          </w:p>
        </w:tc>
        <w:tc>
          <w:tcPr>
            <w:tcW w:w="1870" w:type="dxa"/>
            <w:vAlign w:val="bottom"/>
          </w:tcPr>
          <w:p w14:paraId="1FF8BDE7" w14:textId="77777777" w:rsidR="00980919" w:rsidRDefault="00980919" w:rsidP="001515D5">
            <w:r>
              <w:t>0</w:t>
            </w:r>
          </w:p>
        </w:tc>
        <w:tc>
          <w:tcPr>
            <w:tcW w:w="1870" w:type="dxa"/>
            <w:vAlign w:val="bottom"/>
          </w:tcPr>
          <w:p w14:paraId="249A11C6" w14:textId="77777777" w:rsidR="00980919" w:rsidRDefault="00980919" w:rsidP="001515D5">
            <w:r>
              <w:t>0</w:t>
            </w:r>
          </w:p>
        </w:tc>
        <w:tc>
          <w:tcPr>
            <w:tcW w:w="1870" w:type="dxa"/>
            <w:vAlign w:val="bottom"/>
          </w:tcPr>
          <w:p w14:paraId="45A89E03" w14:textId="77777777" w:rsidR="00980919" w:rsidRDefault="00980919" w:rsidP="001515D5">
            <w:r>
              <w:t>2</w:t>
            </w:r>
          </w:p>
        </w:tc>
        <w:tc>
          <w:tcPr>
            <w:tcW w:w="1870" w:type="dxa"/>
            <w:vAlign w:val="bottom"/>
          </w:tcPr>
          <w:p w14:paraId="70C2C50F" w14:textId="77777777" w:rsidR="00980919" w:rsidRDefault="00980919" w:rsidP="001515D5">
            <w:r>
              <w:t>13</w:t>
            </w:r>
          </w:p>
        </w:tc>
      </w:tr>
      <w:tr w:rsidR="00980919" w14:paraId="27A7E4F6" w14:textId="77777777" w:rsidTr="001515D5">
        <w:tc>
          <w:tcPr>
            <w:tcW w:w="1870" w:type="dxa"/>
            <w:vAlign w:val="bottom"/>
          </w:tcPr>
          <w:p w14:paraId="00EED949" w14:textId="77777777" w:rsidR="00980919" w:rsidRDefault="00980919" w:rsidP="001515D5">
            <w:r>
              <w:t>5/30/20</w:t>
            </w:r>
          </w:p>
        </w:tc>
        <w:tc>
          <w:tcPr>
            <w:tcW w:w="1870" w:type="dxa"/>
            <w:vAlign w:val="bottom"/>
          </w:tcPr>
          <w:p w14:paraId="66127B64" w14:textId="77777777" w:rsidR="00980919" w:rsidRDefault="00980919" w:rsidP="001515D5">
            <w:r>
              <w:t>0</w:t>
            </w:r>
          </w:p>
        </w:tc>
        <w:tc>
          <w:tcPr>
            <w:tcW w:w="1870" w:type="dxa"/>
            <w:vAlign w:val="bottom"/>
          </w:tcPr>
          <w:p w14:paraId="6E149C2B" w14:textId="77777777" w:rsidR="00980919" w:rsidRDefault="00980919" w:rsidP="001515D5">
            <w:r>
              <w:t>0</w:t>
            </w:r>
          </w:p>
        </w:tc>
        <w:tc>
          <w:tcPr>
            <w:tcW w:w="1870" w:type="dxa"/>
            <w:vAlign w:val="bottom"/>
          </w:tcPr>
          <w:p w14:paraId="27B8180E" w14:textId="77777777" w:rsidR="00980919" w:rsidRDefault="00980919" w:rsidP="001515D5">
            <w:r>
              <w:t>2</w:t>
            </w:r>
          </w:p>
        </w:tc>
        <w:tc>
          <w:tcPr>
            <w:tcW w:w="1870" w:type="dxa"/>
            <w:vAlign w:val="bottom"/>
          </w:tcPr>
          <w:p w14:paraId="5C7FA348" w14:textId="77777777" w:rsidR="00980919" w:rsidRDefault="00980919" w:rsidP="001515D5">
            <w:r>
              <w:t>13</w:t>
            </w:r>
          </w:p>
        </w:tc>
      </w:tr>
      <w:tr w:rsidR="00980919" w14:paraId="59696FB1" w14:textId="77777777" w:rsidTr="001515D5">
        <w:tc>
          <w:tcPr>
            <w:tcW w:w="1870" w:type="dxa"/>
            <w:vAlign w:val="bottom"/>
          </w:tcPr>
          <w:p w14:paraId="6F07891B" w14:textId="77777777" w:rsidR="00980919" w:rsidRDefault="00980919" w:rsidP="001515D5">
            <w:r>
              <w:t>6/6/20</w:t>
            </w:r>
          </w:p>
        </w:tc>
        <w:tc>
          <w:tcPr>
            <w:tcW w:w="1870" w:type="dxa"/>
            <w:vAlign w:val="bottom"/>
          </w:tcPr>
          <w:p w14:paraId="0F23C58D" w14:textId="77777777" w:rsidR="00980919" w:rsidRDefault="00980919" w:rsidP="001515D5">
            <w:r>
              <w:t>0</w:t>
            </w:r>
          </w:p>
        </w:tc>
        <w:tc>
          <w:tcPr>
            <w:tcW w:w="1870" w:type="dxa"/>
            <w:vAlign w:val="bottom"/>
          </w:tcPr>
          <w:p w14:paraId="6A5E658C" w14:textId="77777777" w:rsidR="00980919" w:rsidRDefault="00980919" w:rsidP="001515D5">
            <w:r>
              <w:t>0</w:t>
            </w:r>
          </w:p>
        </w:tc>
        <w:tc>
          <w:tcPr>
            <w:tcW w:w="1870" w:type="dxa"/>
            <w:vAlign w:val="bottom"/>
          </w:tcPr>
          <w:p w14:paraId="426A95F5" w14:textId="77777777" w:rsidR="00980919" w:rsidRDefault="00980919" w:rsidP="001515D5">
            <w:r>
              <w:t>2</w:t>
            </w:r>
          </w:p>
        </w:tc>
        <w:tc>
          <w:tcPr>
            <w:tcW w:w="1870" w:type="dxa"/>
            <w:vAlign w:val="bottom"/>
          </w:tcPr>
          <w:p w14:paraId="0E07B9A4" w14:textId="77777777" w:rsidR="00980919" w:rsidRDefault="00980919" w:rsidP="001515D5">
            <w:r>
              <w:t>17</w:t>
            </w:r>
          </w:p>
        </w:tc>
      </w:tr>
      <w:tr w:rsidR="00980919" w14:paraId="62D1AC20" w14:textId="77777777" w:rsidTr="001515D5">
        <w:tc>
          <w:tcPr>
            <w:tcW w:w="1870" w:type="dxa"/>
            <w:vAlign w:val="bottom"/>
          </w:tcPr>
          <w:p w14:paraId="3CEEAC19" w14:textId="77777777" w:rsidR="00980919" w:rsidRDefault="00980919" w:rsidP="001515D5">
            <w:r>
              <w:t>6/13/20</w:t>
            </w:r>
          </w:p>
        </w:tc>
        <w:tc>
          <w:tcPr>
            <w:tcW w:w="1870" w:type="dxa"/>
            <w:vAlign w:val="bottom"/>
          </w:tcPr>
          <w:p w14:paraId="2B4D09E8" w14:textId="77777777" w:rsidR="00980919" w:rsidRDefault="00980919" w:rsidP="001515D5">
            <w:r>
              <w:t>0</w:t>
            </w:r>
          </w:p>
        </w:tc>
        <w:tc>
          <w:tcPr>
            <w:tcW w:w="1870" w:type="dxa"/>
            <w:vAlign w:val="bottom"/>
          </w:tcPr>
          <w:p w14:paraId="4581E66B" w14:textId="77777777" w:rsidR="00980919" w:rsidRDefault="00980919" w:rsidP="001515D5">
            <w:r>
              <w:t>0</w:t>
            </w:r>
          </w:p>
        </w:tc>
        <w:tc>
          <w:tcPr>
            <w:tcW w:w="1870" w:type="dxa"/>
            <w:vAlign w:val="bottom"/>
          </w:tcPr>
          <w:p w14:paraId="2371683F" w14:textId="77777777" w:rsidR="00980919" w:rsidRDefault="00980919" w:rsidP="001515D5">
            <w:r>
              <w:t>2</w:t>
            </w:r>
          </w:p>
        </w:tc>
        <w:tc>
          <w:tcPr>
            <w:tcW w:w="1870" w:type="dxa"/>
            <w:vAlign w:val="bottom"/>
          </w:tcPr>
          <w:p w14:paraId="50B8F667" w14:textId="77777777" w:rsidR="00980919" w:rsidRDefault="00980919" w:rsidP="001515D5">
            <w:r>
              <w:t>8</w:t>
            </w:r>
          </w:p>
        </w:tc>
      </w:tr>
      <w:tr w:rsidR="00980919" w14:paraId="67C0C7BA" w14:textId="77777777" w:rsidTr="001515D5">
        <w:tc>
          <w:tcPr>
            <w:tcW w:w="1870" w:type="dxa"/>
            <w:vAlign w:val="bottom"/>
          </w:tcPr>
          <w:p w14:paraId="20C5383F" w14:textId="77777777" w:rsidR="00980919" w:rsidRDefault="00980919" w:rsidP="001515D5">
            <w:r>
              <w:t>6/20/20</w:t>
            </w:r>
          </w:p>
        </w:tc>
        <w:tc>
          <w:tcPr>
            <w:tcW w:w="1870" w:type="dxa"/>
            <w:vAlign w:val="bottom"/>
          </w:tcPr>
          <w:p w14:paraId="490B7C96" w14:textId="77777777" w:rsidR="00980919" w:rsidRDefault="00980919" w:rsidP="001515D5">
            <w:r>
              <w:t>0</w:t>
            </w:r>
          </w:p>
        </w:tc>
        <w:tc>
          <w:tcPr>
            <w:tcW w:w="1870" w:type="dxa"/>
            <w:vAlign w:val="bottom"/>
          </w:tcPr>
          <w:p w14:paraId="58B76D11" w14:textId="77777777" w:rsidR="00980919" w:rsidRDefault="00980919" w:rsidP="001515D5">
            <w:r>
              <w:t>0</w:t>
            </w:r>
          </w:p>
        </w:tc>
        <w:tc>
          <w:tcPr>
            <w:tcW w:w="1870" w:type="dxa"/>
            <w:vAlign w:val="bottom"/>
          </w:tcPr>
          <w:p w14:paraId="0FE01892" w14:textId="77777777" w:rsidR="00980919" w:rsidRDefault="00980919" w:rsidP="001515D5">
            <w:r>
              <w:t>2</w:t>
            </w:r>
          </w:p>
        </w:tc>
        <w:tc>
          <w:tcPr>
            <w:tcW w:w="1870" w:type="dxa"/>
            <w:vAlign w:val="bottom"/>
          </w:tcPr>
          <w:p w14:paraId="231B4207" w14:textId="77777777" w:rsidR="00980919" w:rsidRDefault="00980919" w:rsidP="001515D5">
            <w:r>
              <w:t>13</w:t>
            </w:r>
          </w:p>
        </w:tc>
      </w:tr>
      <w:tr w:rsidR="00980919" w14:paraId="01379F01" w14:textId="77777777" w:rsidTr="001515D5">
        <w:tc>
          <w:tcPr>
            <w:tcW w:w="1870" w:type="dxa"/>
            <w:vAlign w:val="bottom"/>
          </w:tcPr>
          <w:p w14:paraId="69BB2BD2" w14:textId="77777777" w:rsidR="00980919" w:rsidRDefault="00980919" w:rsidP="001515D5">
            <w:r>
              <w:t>6/27/20</w:t>
            </w:r>
          </w:p>
        </w:tc>
        <w:tc>
          <w:tcPr>
            <w:tcW w:w="1870" w:type="dxa"/>
            <w:vAlign w:val="bottom"/>
          </w:tcPr>
          <w:p w14:paraId="4C8CFDCA" w14:textId="77777777" w:rsidR="00980919" w:rsidRDefault="00980919" w:rsidP="001515D5">
            <w:r>
              <w:t>0</w:t>
            </w:r>
          </w:p>
        </w:tc>
        <w:tc>
          <w:tcPr>
            <w:tcW w:w="1870" w:type="dxa"/>
            <w:vAlign w:val="bottom"/>
          </w:tcPr>
          <w:p w14:paraId="57F11ACE" w14:textId="77777777" w:rsidR="00980919" w:rsidRDefault="00980919" w:rsidP="001515D5">
            <w:r>
              <w:t>0</w:t>
            </w:r>
          </w:p>
        </w:tc>
        <w:tc>
          <w:tcPr>
            <w:tcW w:w="1870" w:type="dxa"/>
            <w:vAlign w:val="bottom"/>
          </w:tcPr>
          <w:p w14:paraId="579E244E" w14:textId="77777777" w:rsidR="00980919" w:rsidRDefault="00980919" w:rsidP="001515D5">
            <w:r>
              <w:t>3</w:t>
            </w:r>
          </w:p>
        </w:tc>
        <w:tc>
          <w:tcPr>
            <w:tcW w:w="1870" w:type="dxa"/>
            <w:vAlign w:val="bottom"/>
          </w:tcPr>
          <w:p w14:paraId="68E3AB83" w14:textId="77777777" w:rsidR="00980919" w:rsidRDefault="00980919" w:rsidP="001515D5">
            <w:r>
              <w:t>19</w:t>
            </w:r>
          </w:p>
        </w:tc>
      </w:tr>
      <w:tr w:rsidR="00980919" w14:paraId="276E356F" w14:textId="77777777" w:rsidTr="001515D5">
        <w:tc>
          <w:tcPr>
            <w:tcW w:w="1870" w:type="dxa"/>
            <w:vAlign w:val="bottom"/>
          </w:tcPr>
          <w:p w14:paraId="4DDB97BE" w14:textId="77777777" w:rsidR="00980919" w:rsidRDefault="00980919" w:rsidP="001515D5">
            <w:r>
              <w:t>7/4/20</w:t>
            </w:r>
          </w:p>
        </w:tc>
        <w:tc>
          <w:tcPr>
            <w:tcW w:w="1870" w:type="dxa"/>
            <w:vAlign w:val="bottom"/>
          </w:tcPr>
          <w:p w14:paraId="7C593E92" w14:textId="77777777" w:rsidR="00980919" w:rsidRDefault="00980919" w:rsidP="001515D5">
            <w:r>
              <w:t>0</w:t>
            </w:r>
          </w:p>
        </w:tc>
        <w:tc>
          <w:tcPr>
            <w:tcW w:w="1870" w:type="dxa"/>
            <w:vAlign w:val="bottom"/>
          </w:tcPr>
          <w:p w14:paraId="06C25796" w14:textId="77777777" w:rsidR="00980919" w:rsidRDefault="00980919" w:rsidP="001515D5">
            <w:r>
              <w:t>0</w:t>
            </w:r>
          </w:p>
        </w:tc>
        <w:tc>
          <w:tcPr>
            <w:tcW w:w="1870" w:type="dxa"/>
            <w:vAlign w:val="bottom"/>
          </w:tcPr>
          <w:p w14:paraId="68A6C239" w14:textId="77777777" w:rsidR="00980919" w:rsidRDefault="00980919" w:rsidP="001515D5">
            <w:r>
              <w:t>5</w:t>
            </w:r>
          </w:p>
        </w:tc>
        <w:tc>
          <w:tcPr>
            <w:tcW w:w="1870" w:type="dxa"/>
            <w:vAlign w:val="bottom"/>
          </w:tcPr>
          <w:p w14:paraId="6075EF67" w14:textId="77777777" w:rsidR="00980919" w:rsidRDefault="00980919" w:rsidP="001515D5">
            <w:r>
              <w:t>36</w:t>
            </w:r>
          </w:p>
        </w:tc>
      </w:tr>
      <w:tr w:rsidR="00980919" w14:paraId="4E0F9E97" w14:textId="77777777" w:rsidTr="001515D5">
        <w:tc>
          <w:tcPr>
            <w:tcW w:w="1870" w:type="dxa"/>
            <w:vAlign w:val="bottom"/>
          </w:tcPr>
          <w:p w14:paraId="4A04B632" w14:textId="77777777" w:rsidR="00980919" w:rsidRDefault="00980919" w:rsidP="001515D5">
            <w:r>
              <w:t>7/11/20</w:t>
            </w:r>
          </w:p>
        </w:tc>
        <w:tc>
          <w:tcPr>
            <w:tcW w:w="1870" w:type="dxa"/>
            <w:vAlign w:val="bottom"/>
          </w:tcPr>
          <w:p w14:paraId="31CE71F5" w14:textId="77777777" w:rsidR="00980919" w:rsidRDefault="00980919" w:rsidP="001515D5">
            <w:r>
              <w:t>0</w:t>
            </w:r>
          </w:p>
        </w:tc>
        <w:tc>
          <w:tcPr>
            <w:tcW w:w="1870" w:type="dxa"/>
            <w:vAlign w:val="bottom"/>
          </w:tcPr>
          <w:p w14:paraId="57F69D05" w14:textId="77777777" w:rsidR="00980919" w:rsidRDefault="00980919" w:rsidP="001515D5">
            <w:r>
              <w:t>0</w:t>
            </w:r>
          </w:p>
        </w:tc>
        <w:tc>
          <w:tcPr>
            <w:tcW w:w="1870" w:type="dxa"/>
            <w:vAlign w:val="bottom"/>
          </w:tcPr>
          <w:p w14:paraId="2AF29A91" w14:textId="77777777" w:rsidR="00980919" w:rsidRDefault="00980919" w:rsidP="001515D5">
            <w:r>
              <w:t>5</w:t>
            </w:r>
          </w:p>
        </w:tc>
        <w:tc>
          <w:tcPr>
            <w:tcW w:w="1870" w:type="dxa"/>
            <w:vAlign w:val="bottom"/>
          </w:tcPr>
          <w:p w14:paraId="382066AC" w14:textId="77777777" w:rsidR="00980919" w:rsidRDefault="00980919" w:rsidP="001515D5">
            <w:r>
              <w:t>52</w:t>
            </w:r>
          </w:p>
        </w:tc>
      </w:tr>
      <w:tr w:rsidR="00980919" w14:paraId="471ABDDC" w14:textId="77777777" w:rsidTr="001515D5">
        <w:tc>
          <w:tcPr>
            <w:tcW w:w="1870" w:type="dxa"/>
            <w:vAlign w:val="bottom"/>
          </w:tcPr>
          <w:p w14:paraId="4843D2FC" w14:textId="77777777" w:rsidR="00980919" w:rsidRDefault="00980919" w:rsidP="001515D5">
            <w:r>
              <w:t>7/18/20</w:t>
            </w:r>
          </w:p>
        </w:tc>
        <w:tc>
          <w:tcPr>
            <w:tcW w:w="1870" w:type="dxa"/>
            <w:vAlign w:val="bottom"/>
          </w:tcPr>
          <w:p w14:paraId="6D01D600" w14:textId="77777777" w:rsidR="00980919" w:rsidRDefault="00980919" w:rsidP="001515D5">
            <w:r>
              <w:t>0</w:t>
            </w:r>
          </w:p>
        </w:tc>
        <w:tc>
          <w:tcPr>
            <w:tcW w:w="1870" w:type="dxa"/>
            <w:vAlign w:val="bottom"/>
          </w:tcPr>
          <w:p w14:paraId="7A7BB0A3" w14:textId="77777777" w:rsidR="00980919" w:rsidRDefault="00980919" w:rsidP="001515D5">
            <w:r>
              <w:t>0</w:t>
            </w:r>
          </w:p>
        </w:tc>
        <w:tc>
          <w:tcPr>
            <w:tcW w:w="1870" w:type="dxa"/>
            <w:vAlign w:val="bottom"/>
          </w:tcPr>
          <w:p w14:paraId="763459F8" w14:textId="77777777" w:rsidR="00980919" w:rsidRDefault="00980919" w:rsidP="001515D5">
            <w:r>
              <w:t>8</w:t>
            </w:r>
          </w:p>
        </w:tc>
        <w:tc>
          <w:tcPr>
            <w:tcW w:w="1870" w:type="dxa"/>
            <w:vAlign w:val="bottom"/>
          </w:tcPr>
          <w:p w14:paraId="516C6991" w14:textId="77777777" w:rsidR="00980919" w:rsidRDefault="00980919" w:rsidP="001515D5">
            <w:r>
              <w:t>83</w:t>
            </w:r>
          </w:p>
        </w:tc>
      </w:tr>
      <w:tr w:rsidR="00980919" w14:paraId="4874CEF7" w14:textId="77777777" w:rsidTr="001515D5">
        <w:tc>
          <w:tcPr>
            <w:tcW w:w="1870" w:type="dxa"/>
            <w:vAlign w:val="bottom"/>
          </w:tcPr>
          <w:p w14:paraId="67F2871F" w14:textId="77777777" w:rsidR="00980919" w:rsidRDefault="00980919" w:rsidP="001515D5">
            <w:r>
              <w:t>7/25/20</w:t>
            </w:r>
          </w:p>
        </w:tc>
        <w:tc>
          <w:tcPr>
            <w:tcW w:w="1870" w:type="dxa"/>
            <w:vAlign w:val="bottom"/>
          </w:tcPr>
          <w:p w14:paraId="5E36A72C" w14:textId="77777777" w:rsidR="00980919" w:rsidRDefault="00980919" w:rsidP="001515D5">
            <w:r>
              <w:t>0</w:t>
            </w:r>
          </w:p>
        </w:tc>
        <w:tc>
          <w:tcPr>
            <w:tcW w:w="1870" w:type="dxa"/>
            <w:vAlign w:val="bottom"/>
          </w:tcPr>
          <w:p w14:paraId="71B826F0" w14:textId="77777777" w:rsidR="00980919" w:rsidRDefault="00980919" w:rsidP="001515D5">
            <w:r>
              <w:t>1</w:t>
            </w:r>
          </w:p>
        </w:tc>
        <w:tc>
          <w:tcPr>
            <w:tcW w:w="1870" w:type="dxa"/>
            <w:vAlign w:val="bottom"/>
          </w:tcPr>
          <w:p w14:paraId="40BAAADE" w14:textId="77777777" w:rsidR="00980919" w:rsidRDefault="00980919" w:rsidP="001515D5">
            <w:r>
              <w:t>12</w:t>
            </w:r>
          </w:p>
        </w:tc>
        <w:tc>
          <w:tcPr>
            <w:tcW w:w="1870" w:type="dxa"/>
            <w:vAlign w:val="bottom"/>
          </w:tcPr>
          <w:p w14:paraId="5439CCDB" w14:textId="77777777" w:rsidR="00980919" w:rsidRDefault="00980919" w:rsidP="001515D5">
            <w:r>
              <w:t>83</w:t>
            </w:r>
          </w:p>
        </w:tc>
      </w:tr>
      <w:tr w:rsidR="00980919" w14:paraId="106B30CF" w14:textId="77777777" w:rsidTr="001515D5">
        <w:tc>
          <w:tcPr>
            <w:tcW w:w="1870" w:type="dxa"/>
            <w:vAlign w:val="bottom"/>
          </w:tcPr>
          <w:p w14:paraId="4434B8AA" w14:textId="77777777" w:rsidR="00980919" w:rsidRDefault="00980919" w:rsidP="001515D5">
            <w:r>
              <w:t>8/1/20</w:t>
            </w:r>
          </w:p>
        </w:tc>
        <w:tc>
          <w:tcPr>
            <w:tcW w:w="1870" w:type="dxa"/>
            <w:vAlign w:val="bottom"/>
          </w:tcPr>
          <w:p w14:paraId="359D30EB" w14:textId="77777777" w:rsidR="00980919" w:rsidRDefault="00980919" w:rsidP="001515D5">
            <w:r>
              <w:t>0</w:t>
            </w:r>
          </w:p>
        </w:tc>
        <w:tc>
          <w:tcPr>
            <w:tcW w:w="1870" w:type="dxa"/>
            <w:vAlign w:val="bottom"/>
          </w:tcPr>
          <w:p w14:paraId="6A6A7512" w14:textId="77777777" w:rsidR="00980919" w:rsidRDefault="00980919" w:rsidP="001515D5">
            <w:r>
              <w:t>0</w:t>
            </w:r>
          </w:p>
        </w:tc>
        <w:tc>
          <w:tcPr>
            <w:tcW w:w="1870" w:type="dxa"/>
            <w:vAlign w:val="bottom"/>
          </w:tcPr>
          <w:p w14:paraId="111A1B3E" w14:textId="77777777" w:rsidR="00980919" w:rsidRDefault="00980919" w:rsidP="001515D5">
            <w:r>
              <w:t>11</w:t>
            </w:r>
          </w:p>
        </w:tc>
        <w:tc>
          <w:tcPr>
            <w:tcW w:w="1870" w:type="dxa"/>
            <w:vAlign w:val="bottom"/>
          </w:tcPr>
          <w:p w14:paraId="3193DBFC" w14:textId="77777777" w:rsidR="00980919" w:rsidRDefault="00980919" w:rsidP="001515D5">
            <w:r>
              <w:t>80</w:t>
            </w:r>
          </w:p>
        </w:tc>
      </w:tr>
      <w:tr w:rsidR="00980919" w14:paraId="2B921707" w14:textId="77777777" w:rsidTr="001515D5">
        <w:tc>
          <w:tcPr>
            <w:tcW w:w="1870" w:type="dxa"/>
            <w:vAlign w:val="bottom"/>
          </w:tcPr>
          <w:p w14:paraId="7B3C3C01" w14:textId="77777777" w:rsidR="00980919" w:rsidRDefault="00980919" w:rsidP="001515D5">
            <w:r>
              <w:t>8/8/20</w:t>
            </w:r>
          </w:p>
        </w:tc>
        <w:tc>
          <w:tcPr>
            <w:tcW w:w="1870" w:type="dxa"/>
            <w:vAlign w:val="bottom"/>
          </w:tcPr>
          <w:p w14:paraId="50D6E527" w14:textId="77777777" w:rsidR="00980919" w:rsidRDefault="00980919" w:rsidP="001515D5">
            <w:r>
              <w:t>0</w:t>
            </w:r>
          </w:p>
        </w:tc>
        <w:tc>
          <w:tcPr>
            <w:tcW w:w="1870" w:type="dxa"/>
            <w:vAlign w:val="bottom"/>
          </w:tcPr>
          <w:p w14:paraId="5F21ED7F" w14:textId="77777777" w:rsidR="00980919" w:rsidRDefault="00980919" w:rsidP="001515D5">
            <w:r>
              <w:t>1</w:t>
            </w:r>
          </w:p>
        </w:tc>
        <w:tc>
          <w:tcPr>
            <w:tcW w:w="1870" w:type="dxa"/>
            <w:vAlign w:val="bottom"/>
          </w:tcPr>
          <w:p w14:paraId="33A1034B" w14:textId="77777777" w:rsidR="00980919" w:rsidRDefault="00980919" w:rsidP="001515D5">
            <w:r>
              <w:t>10</w:t>
            </w:r>
          </w:p>
        </w:tc>
        <w:tc>
          <w:tcPr>
            <w:tcW w:w="1870" w:type="dxa"/>
            <w:vAlign w:val="bottom"/>
          </w:tcPr>
          <w:p w14:paraId="43082C23" w14:textId="77777777" w:rsidR="00980919" w:rsidRDefault="00980919" w:rsidP="001515D5">
            <w:r>
              <w:t>81</w:t>
            </w:r>
          </w:p>
        </w:tc>
      </w:tr>
      <w:tr w:rsidR="00980919" w14:paraId="513D2F49" w14:textId="77777777" w:rsidTr="001515D5">
        <w:tc>
          <w:tcPr>
            <w:tcW w:w="1870" w:type="dxa"/>
            <w:vAlign w:val="bottom"/>
          </w:tcPr>
          <w:p w14:paraId="1E8A38FE" w14:textId="77777777" w:rsidR="00980919" w:rsidRDefault="00980919" w:rsidP="001515D5">
            <w:r>
              <w:t>8/15/20</w:t>
            </w:r>
          </w:p>
        </w:tc>
        <w:tc>
          <w:tcPr>
            <w:tcW w:w="1870" w:type="dxa"/>
            <w:vAlign w:val="bottom"/>
          </w:tcPr>
          <w:p w14:paraId="37B92CC2" w14:textId="77777777" w:rsidR="00980919" w:rsidRDefault="00980919" w:rsidP="001515D5">
            <w:r>
              <w:t>0</w:t>
            </w:r>
          </w:p>
        </w:tc>
        <w:tc>
          <w:tcPr>
            <w:tcW w:w="1870" w:type="dxa"/>
            <w:vAlign w:val="bottom"/>
          </w:tcPr>
          <w:p w14:paraId="55F6E910" w14:textId="77777777" w:rsidR="00980919" w:rsidRDefault="00980919" w:rsidP="001515D5">
            <w:r>
              <w:t>1</w:t>
            </w:r>
          </w:p>
        </w:tc>
        <w:tc>
          <w:tcPr>
            <w:tcW w:w="1870" w:type="dxa"/>
            <w:vAlign w:val="bottom"/>
          </w:tcPr>
          <w:p w14:paraId="7C57FBCD" w14:textId="77777777" w:rsidR="00980919" w:rsidRDefault="00980919" w:rsidP="001515D5">
            <w:r>
              <w:t>8</w:t>
            </w:r>
          </w:p>
        </w:tc>
        <w:tc>
          <w:tcPr>
            <w:tcW w:w="1870" w:type="dxa"/>
            <w:vAlign w:val="bottom"/>
          </w:tcPr>
          <w:p w14:paraId="5663E461" w14:textId="77777777" w:rsidR="00980919" w:rsidRDefault="00980919" w:rsidP="001515D5">
            <w:r>
              <w:t>80</w:t>
            </w:r>
          </w:p>
        </w:tc>
      </w:tr>
      <w:tr w:rsidR="00980919" w14:paraId="64839922" w14:textId="77777777" w:rsidTr="001515D5">
        <w:tc>
          <w:tcPr>
            <w:tcW w:w="1870" w:type="dxa"/>
            <w:vAlign w:val="bottom"/>
          </w:tcPr>
          <w:p w14:paraId="334BD963" w14:textId="77777777" w:rsidR="00980919" w:rsidRDefault="00980919" w:rsidP="001515D5">
            <w:r>
              <w:t>8/22/20</w:t>
            </w:r>
          </w:p>
        </w:tc>
        <w:tc>
          <w:tcPr>
            <w:tcW w:w="1870" w:type="dxa"/>
            <w:vAlign w:val="bottom"/>
          </w:tcPr>
          <w:p w14:paraId="7FDF8AF2" w14:textId="77777777" w:rsidR="00980919" w:rsidRDefault="00980919" w:rsidP="001515D5">
            <w:r>
              <w:t>0</w:t>
            </w:r>
          </w:p>
        </w:tc>
        <w:tc>
          <w:tcPr>
            <w:tcW w:w="1870" w:type="dxa"/>
            <w:vAlign w:val="bottom"/>
          </w:tcPr>
          <w:p w14:paraId="3DE259E7" w14:textId="77777777" w:rsidR="00980919" w:rsidRDefault="00980919" w:rsidP="001515D5">
            <w:r>
              <w:t>0</w:t>
            </w:r>
          </w:p>
        </w:tc>
        <w:tc>
          <w:tcPr>
            <w:tcW w:w="1870" w:type="dxa"/>
            <w:vAlign w:val="bottom"/>
          </w:tcPr>
          <w:p w14:paraId="2F9FD3A7" w14:textId="77777777" w:rsidR="00980919" w:rsidRDefault="00980919" w:rsidP="001515D5">
            <w:r>
              <w:t>7</w:t>
            </w:r>
          </w:p>
        </w:tc>
        <w:tc>
          <w:tcPr>
            <w:tcW w:w="1870" w:type="dxa"/>
            <w:vAlign w:val="bottom"/>
          </w:tcPr>
          <w:p w14:paraId="21877441" w14:textId="77777777" w:rsidR="00980919" w:rsidRDefault="00980919" w:rsidP="001515D5">
            <w:r>
              <w:t>77</w:t>
            </w:r>
          </w:p>
        </w:tc>
      </w:tr>
      <w:tr w:rsidR="00980919" w14:paraId="2522CFD6" w14:textId="77777777" w:rsidTr="001515D5">
        <w:tc>
          <w:tcPr>
            <w:tcW w:w="1870" w:type="dxa"/>
            <w:vAlign w:val="bottom"/>
          </w:tcPr>
          <w:p w14:paraId="27969E0C" w14:textId="77777777" w:rsidR="00980919" w:rsidRDefault="00980919" w:rsidP="001515D5">
            <w:r>
              <w:t>8/29/20</w:t>
            </w:r>
          </w:p>
        </w:tc>
        <w:tc>
          <w:tcPr>
            <w:tcW w:w="1870" w:type="dxa"/>
            <w:vAlign w:val="bottom"/>
          </w:tcPr>
          <w:p w14:paraId="5839ED07" w14:textId="77777777" w:rsidR="00980919" w:rsidRDefault="00980919" w:rsidP="001515D5">
            <w:r>
              <w:t>0</w:t>
            </w:r>
          </w:p>
        </w:tc>
        <w:tc>
          <w:tcPr>
            <w:tcW w:w="1870" w:type="dxa"/>
            <w:vAlign w:val="bottom"/>
          </w:tcPr>
          <w:p w14:paraId="41470800" w14:textId="77777777" w:rsidR="00980919" w:rsidRDefault="00980919" w:rsidP="001515D5">
            <w:r>
              <w:t>0</w:t>
            </w:r>
          </w:p>
        </w:tc>
        <w:tc>
          <w:tcPr>
            <w:tcW w:w="1870" w:type="dxa"/>
            <w:vAlign w:val="bottom"/>
          </w:tcPr>
          <w:p w14:paraId="5D0AB566" w14:textId="77777777" w:rsidR="00980919" w:rsidRDefault="00980919" w:rsidP="001515D5">
            <w:r>
              <w:t>7</w:t>
            </w:r>
          </w:p>
        </w:tc>
        <w:tc>
          <w:tcPr>
            <w:tcW w:w="1870" w:type="dxa"/>
            <w:vAlign w:val="bottom"/>
          </w:tcPr>
          <w:p w14:paraId="7EDDFC3E" w14:textId="77777777" w:rsidR="00980919" w:rsidRDefault="00980919" w:rsidP="001515D5">
            <w:r>
              <w:t>63</w:t>
            </w:r>
          </w:p>
        </w:tc>
      </w:tr>
      <w:tr w:rsidR="00980919" w14:paraId="5C8ABEFF" w14:textId="77777777" w:rsidTr="001515D5">
        <w:tc>
          <w:tcPr>
            <w:tcW w:w="1870" w:type="dxa"/>
            <w:vAlign w:val="bottom"/>
          </w:tcPr>
          <w:p w14:paraId="438BFB37" w14:textId="77777777" w:rsidR="00980919" w:rsidRDefault="00980919" w:rsidP="001515D5">
            <w:r>
              <w:t>9/5/20</w:t>
            </w:r>
          </w:p>
        </w:tc>
        <w:tc>
          <w:tcPr>
            <w:tcW w:w="1870" w:type="dxa"/>
            <w:vAlign w:val="bottom"/>
          </w:tcPr>
          <w:p w14:paraId="6C3148D7" w14:textId="77777777" w:rsidR="00980919" w:rsidRDefault="00980919" w:rsidP="001515D5">
            <w:r>
              <w:t>0</w:t>
            </w:r>
          </w:p>
        </w:tc>
        <w:tc>
          <w:tcPr>
            <w:tcW w:w="1870" w:type="dxa"/>
            <w:vAlign w:val="bottom"/>
          </w:tcPr>
          <w:p w14:paraId="39C45478" w14:textId="77777777" w:rsidR="00980919" w:rsidRDefault="00980919" w:rsidP="001515D5">
            <w:r>
              <w:t>0</w:t>
            </w:r>
          </w:p>
        </w:tc>
        <w:tc>
          <w:tcPr>
            <w:tcW w:w="1870" w:type="dxa"/>
            <w:vAlign w:val="bottom"/>
          </w:tcPr>
          <w:p w14:paraId="3BE95CE1" w14:textId="77777777" w:rsidR="00980919" w:rsidRDefault="00980919" w:rsidP="001515D5">
            <w:r>
              <w:t>6</w:t>
            </w:r>
          </w:p>
        </w:tc>
        <w:tc>
          <w:tcPr>
            <w:tcW w:w="1870" w:type="dxa"/>
            <w:vAlign w:val="bottom"/>
          </w:tcPr>
          <w:p w14:paraId="029D030D" w14:textId="77777777" w:rsidR="00980919" w:rsidRDefault="00980919" w:rsidP="001515D5">
            <w:r>
              <w:t>54</w:t>
            </w:r>
          </w:p>
        </w:tc>
      </w:tr>
      <w:tr w:rsidR="00980919" w14:paraId="49B2A61B" w14:textId="77777777" w:rsidTr="001515D5">
        <w:tc>
          <w:tcPr>
            <w:tcW w:w="1870" w:type="dxa"/>
            <w:vAlign w:val="bottom"/>
          </w:tcPr>
          <w:p w14:paraId="51CE1C19" w14:textId="77777777" w:rsidR="00980919" w:rsidRDefault="00980919" w:rsidP="001515D5">
            <w:r>
              <w:t>9/12/20</w:t>
            </w:r>
          </w:p>
        </w:tc>
        <w:tc>
          <w:tcPr>
            <w:tcW w:w="1870" w:type="dxa"/>
            <w:vAlign w:val="bottom"/>
          </w:tcPr>
          <w:p w14:paraId="6B18C54B" w14:textId="77777777" w:rsidR="00980919" w:rsidRDefault="00980919" w:rsidP="001515D5">
            <w:r>
              <w:t>0</w:t>
            </w:r>
          </w:p>
        </w:tc>
        <w:tc>
          <w:tcPr>
            <w:tcW w:w="1870" w:type="dxa"/>
            <w:vAlign w:val="bottom"/>
          </w:tcPr>
          <w:p w14:paraId="3055C2C3" w14:textId="77777777" w:rsidR="00980919" w:rsidRDefault="00980919" w:rsidP="001515D5">
            <w:r>
              <w:t>0</w:t>
            </w:r>
          </w:p>
        </w:tc>
        <w:tc>
          <w:tcPr>
            <w:tcW w:w="1870" w:type="dxa"/>
            <w:vAlign w:val="bottom"/>
          </w:tcPr>
          <w:p w14:paraId="651D77B2" w14:textId="77777777" w:rsidR="00980919" w:rsidRDefault="00980919" w:rsidP="001515D5">
            <w:r>
              <w:t>5</w:t>
            </w:r>
          </w:p>
        </w:tc>
        <w:tc>
          <w:tcPr>
            <w:tcW w:w="1870" w:type="dxa"/>
            <w:vAlign w:val="bottom"/>
          </w:tcPr>
          <w:p w14:paraId="3685E518" w14:textId="77777777" w:rsidR="00980919" w:rsidRDefault="00980919" w:rsidP="001515D5">
            <w:r>
              <w:t>42</w:t>
            </w:r>
          </w:p>
        </w:tc>
      </w:tr>
      <w:tr w:rsidR="00980919" w14:paraId="4935B676" w14:textId="77777777" w:rsidTr="001515D5">
        <w:tc>
          <w:tcPr>
            <w:tcW w:w="1870" w:type="dxa"/>
            <w:vAlign w:val="bottom"/>
          </w:tcPr>
          <w:p w14:paraId="659B3239" w14:textId="77777777" w:rsidR="00980919" w:rsidRDefault="00980919" w:rsidP="001515D5">
            <w:r>
              <w:t>9/19/20</w:t>
            </w:r>
          </w:p>
        </w:tc>
        <w:tc>
          <w:tcPr>
            <w:tcW w:w="1870" w:type="dxa"/>
            <w:vAlign w:val="bottom"/>
          </w:tcPr>
          <w:p w14:paraId="0DE29B70" w14:textId="77777777" w:rsidR="00980919" w:rsidRDefault="00980919" w:rsidP="001515D5">
            <w:r>
              <w:t>0</w:t>
            </w:r>
          </w:p>
        </w:tc>
        <w:tc>
          <w:tcPr>
            <w:tcW w:w="1870" w:type="dxa"/>
            <w:vAlign w:val="bottom"/>
          </w:tcPr>
          <w:p w14:paraId="4971CC49" w14:textId="77777777" w:rsidR="00980919" w:rsidRDefault="00980919" w:rsidP="001515D5">
            <w:r>
              <w:t>0</w:t>
            </w:r>
          </w:p>
        </w:tc>
        <w:tc>
          <w:tcPr>
            <w:tcW w:w="1870" w:type="dxa"/>
            <w:vAlign w:val="bottom"/>
          </w:tcPr>
          <w:p w14:paraId="2DB6F9FE" w14:textId="77777777" w:rsidR="00980919" w:rsidRDefault="00980919" w:rsidP="001515D5">
            <w:r>
              <w:t>5</w:t>
            </w:r>
          </w:p>
        </w:tc>
        <w:tc>
          <w:tcPr>
            <w:tcW w:w="1870" w:type="dxa"/>
            <w:vAlign w:val="bottom"/>
          </w:tcPr>
          <w:p w14:paraId="5FA14735" w14:textId="77777777" w:rsidR="00980919" w:rsidRDefault="00980919" w:rsidP="001515D5">
            <w:r>
              <w:t>33</w:t>
            </w:r>
          </w:p>
        </w:tc>
      </w:tr>
      <w:tr w:rsidR="00980919" w14:paraId="297E7351" w14:textId="77777777" w:rsidTr="001515D5">
        <w:tc>
          <w:tcPr>
            <w:tcW w:w="1870" w:type="dxa"/>
            <w:vAlign w:val="bottom"/>
          </w:tcPr>
          <w:p w14:paraId="2CA5B086" w14:textId="77777777" w:rsidR="00980919" w:rsidRDefault="00980919" w:rsidP="001515D5">
            <w:r>
              <w:t>9/26/20</w:t>
            </w:r>
          </w:p>
        </w:tc>
        <w:tc>
          <w:tcPr>
            <w:tcW w:w="1870" w:type="dxa"/>
            <w:vAlign w:val="bottom"/>
          </w:tcPr>
          <w:p w14:paraId="6B71CE7B" w14:textId="77777777" w:rsidR="00980919" w:rsidRDefault="00980919" w:rsidP="001515D5">
            <w:r>
              <w:t>0</w:t>
            </w:r>
          </w:p>
        </w:tc>
        <w:tc>
          <w:tcPr>
            <w:tcW w:w="1870" w:type="dxa"/>
            <w:vAlign w:val="bottom"/>
          </w:tcPr>
          <w:p w14:paraId="080B41AB" w14:textId="77777777" w:rsidR="00980919" w:rsidRDefault="00980919" w:rsidP="001515D5">
            <w:r>
              <w:t>1</w:t>
            </w:r>
          </w:p>
        </w:tc>
        <w:tc>
          <w:tcPr>
            <w:tcW w:w="1870" w:type="dxa"/>
            <w:vAlign w:val="bottom"/>
          </w:tcPr>
          <w:p w14:paraId="32E2EFB3" w14:textId="77777777" w:rsidR="00980919" w:rsidRDefault="00980919" w:rsidP="001515D5">
            <w:r>
              <w:t>5</w:t>
            </w:r>
          </w:p>
        </w:tc>
        <w:tc>
          <w:tcPr>
            <w:tcW w:w="1870" w:type="dxa"/>
            <w:vAlign w:val="bottom"/>
          </w:tcPr>
          <w:p w14:paraId="471270CE" w14:textId="77777777" w:rsidR="00980919" w:rsidRDefault="00980919" w:rsidP="001515D5">
            <w:r>
              <w:t>23</w:t>
            </w:r>
          </w:p>
        </w:tc>
      </w:tr>
      <w:tr w:rsidR="00980919" w14:paraId="74E7B746" w14:textId="77777777" w:rsidTr="001515D5">
        <w:tc>
          <w:tcPr>
            <w:tcW w:w="1870" w:type="dxa"/>
            <w:vAlign w:val="bottom"/>
          </w:tcPr>
          <w:p w14:paraId="731AB427" w14:textId="77777777" w:rsidR="00980919" w:rsidRDefault="00980919" w:rsidP="001515D5">
            <w:r>
              <w:t>10/3/20</w:t>
            </w:r>
          </w:p>
        </w:tc>
        <w:tc>
          <w:tcPr>
            <w:tcW w:w="1870" w:type="dxa"/>
            <w:vAlign w:val="bottom"/>
          </w:tcPr>
          <w:p w14:paraId="627E322E" w14:textId="77777777" w:rsidR="00980919" w:rsidRDefault="00980919" w:rsidP="001515D5">
            <w:r>
              <w:t>0</w:t>
            </w:r>
          </w:p>
        </w:tc>
        <w:tc>
          <w:tcPr>
            <w:tcW w:w="1870" w:type="dxa"/>
            <w:vAlign w:val="bottom"/>
          </w:tcPr>
          <w:p w14:paraId="1E57EBD9" w14:textId="77777777" w:rsidR="00980919" w:rsidRDefault="00980919" w:rsidP="001515D5">
            <w:r>
              <w:t>0</w:t>
            </w:r>
          </w:p>
        </w:tc>
        <w:tc>
          <w:tcPr>
            <w:tcW w:w="1870" w:type="dxa"/>
            <w:vAlign w:val="bottom"/>
          </w:tcPr>
          <w:p w14:paraId="2DFFB535" w14:textId="77777777" w:rsidR="00980919" w:rsidRDefault="00980919" w:rsidP="001515D5">
            <w:r>
              <w:t>4</w:t>
            </w:r>
          </w:p>
        </w:tc>
        <w:tc>
          <w:tcPr>
            <w:tcW w:w="1870" w:type="dxa"/>
            <w:vAlign w:val="bottom"/>
          </w:tcPr>
          <w:p w14:paraId="45D76FC5" w14:textId="77777777" w:rsidR="00980919" w:rsidRDefault="00980919" w:rsidP="001515D5">
            <w:r>
              <w:t>24</w:t>
            </w:r>
          </w:p>
        </w:tc>
      </w:tr>
      <w:tr w:rsidR="00980919" w14:paraId="31A1E604" w14:textId="77777777" w:rsidTr="001515D5">
        <w:tc>
          <w:tcPr>
            <w:tcW w:w="1870" w:type="dxa"/>
            <w:vAlign w:val="bottom"/>
          </w:tcPr>
          <w:p w14:paraId="786EE90B" w14:textId="77777777" w:rsidR="00980919" w:rsidRDefault="00980919" w:rsidP="001515D5">
            <w:r>
              <w:t>10/10/20</w:t>
            </w:r>
          </w:p>
        </w:tc>
        <w:tc>
          <w:tcPr>
            <w:tcW w:w="1870" w:type="dxa"/>
            <w:vAlign w:val="bottom"/>
          </w:tcPr>
          <w:p w14:paraId="51EF4B7F" w14:textId="77777777" w:rsidR="00980919" w:rsidRDefault="00980919" w:rsidP="001515D5">
            <w:r>
              <w:t>0</w:t>
            </w:r>
          </w:p>
        </w:tc>
        <w:tc>
          <w:tcPr>
            <w:tcW w:w="1870" w:type="dxa"/>
            <w:vAlign w:val="bottom"/>
          </w:tcPr>
          <w:p w14:paraId="643034C1" w14:textId="77777777" w:rsidR="00980919" w:rsidRDefault="00980919" w:rsidP="001515D5">
            <w:r>
              <w:t>0</w:t>
            </w:r>
          </w:p>
        </w:tc>
        <w:tc>
          <w:tcPr>
            <w:tcW w:w="1870" w:type="dxa"/>
            <w:vAlign w:val="bottom"/>
          </w:tcPr>
          <w:p w14:paraId="2864C65A" w14:textId="77777777" w:rsidR="00980919" w:rsidRDefault="00980919" w:rsidP="001515D5">
            <w:r>
              <w:t>4</w:t>
            </w:r>
          </w:p>
        </w:tc>
        <w:tc>
          <w:tcPr>
            <w:tcW w:w="1870" w:type="dxa"/>
            <w:vAlign w:val="bottom"/>
          </w:tcPr>
          <w:p w14:paraId="3D1A364C" w14:textId="77777777" w:rsidR="00980919" w:rsidRDefault="00980919" w:rsidP="001515D5">
            <w:r>
              <w:t>23</w:t>
            </w:r>
          </w:p>
        </w:tc>
      </w:tr>
      <w:tr w:rsidR="00980919" w14:paraId="781BBC40" w14:textId="77777777" w:rsidTr="001515D5">
        <w:tc>
          <w:tcPr>
            <w:tcW w:w="1870" w:type="dxa"/>
            <w:vAlign w:val="bottom"/>
          </w:tcPr>
          <w:p w14:paraId="2B01EA37" w14:textId="77777777" w:rsidR="00980919" w:rsidRDefault="00980919" w:rsidP="001515D5">
            <w:r>
              <w:t>10/17/20</w:t>
            </w:r>
          </w:p>
        </w:tc>
        <w:tc>
          <w:tcPr>
            <w:tcW w:w="1870" w:type="dxa"/>
            <w:vAlign w:val="bottom"/>
          </w:tcPr>
          <w:p w14:paraId="038313C1" w14:textId="77777777" w:rsidR="00980919" w:rsidRDefault="00980919" w:rsidP="001515D5">
            <w:r>
              <w:t>0</w:t>
            </w:r>
          </w:p>
        </w:tc>
        <w:tc>
          <w:tcPr>
            <w:tcW w:w="1870" w:type="dxa"/>
            <w:vAlign w:val="bottom"/>
          </w:tcPr>
          <w:p w14:paraId="5699896F" w14:textId="77777777" w:rsidR="00980919" w:rsidRDefault="00980919" w:rsidP="001515D5">
            <w:r>
              <w:t>0</w:t>
            </w:r>
          </w:p>
        </w:tc>
        <w:tc>
          <w:tcPr>
            <w:tcW w:w="1870" w:type="dxa"/>
            <w:vAlign w:val="bottom"/>
          </w:tcPr>
          <w:p w14:paraId="5B3A5B9D" w14:textId="77777777" w:rsidR="00980919" w:rsidRDefault="00980919" w:rsidP="001515D5">
            <w:r>
              <w:t>4</w:t>
            </w:r>
          </w:p>
        </w:tc>
        <w:tc>
          <w:tcPr>
            <w:tcW w:w="1870" w:type="dxa"/>
            <w:vAlign w:val="bottom"/>
          </w:tcPr>
          <w:p w14:paraId="68D96C47" w14:textId="77777777" w:rsidR="00980919" w:rsidRDefault="00980919" w:rsidP="001515D5">
            <w:r>
              <w:t>32</w:t>
            </w:r>
          </w:p>
        </w:tc>
      </w:tr>
      <w:tr w:rsidR="00980919" w14:paraId="50FCE5D7" w14:textId="77777777" w:rsidTr="001515D5">
        <w:tc>
          <w:tcPr>
            <w:tcW w:w="1870" w:type="dxa"/>
            <w:vAlign w:val="bottom"/>
          </w:tcPr>
          <w:p w14:paraId="5B11E8FF" w14:textId="77777777" w:rsidR="00980919" w:rsidRDefault="00980919" w:rsidP="001515D5">
            <w:r>
              <w:t>10/24/20</w:t>
            </w:r>
          </w:p>
        </w:tc>
        <w:tc>
          <w:tcPr>
            <w:tcW w:w="1870" w:type="dxa"/>
            <w:vAlign w:val="bottom"/>
          </w:tcPr>
          <w:p w14:paraId="59246151" w14:textId="77777777" w:rsidR="00980919" w:rsidRDefault="00980919" w:rsidP="001515D5">
            <w:r>
              <w:t>0</w:t>
            </w:r>
          </w:p>
        </w:tc>
        <w:tc>
          <w:tcPr>
            <w:tcW w:w="1870" w:type="dxa"/>
            <w:vAlign w:val="bottom"/>
          </w:tcPr>
          <w:p w14:paraId="63B642BB" w14:textId="77777777" w:rsidR="00980919" w:rsidRDefault="00980919" w:rsidP="001515D5">
            <w:r>
              <w:t>0</w:t>
            </w:r>
          </w:p>
        </w:tc>
        <w:tc>
          <w:tcPr>
            <w:tcW w:w="1870" w:type="dxa"/>
            <w:vAlign w:val="bottom"/>
          </w:tcPr>
          <w:p w14:paraId="622AE5C2" w14:textId="77777777" w:rsidR="00980919" w:rsidRDefault="00980919" w:rsidP="001515D5">
            <w:r>
              <w:t>4</w:t>
            </w:r>
          </w:p>
        </w:tc>
        <w:tc>
          <w:tcPr>
            <w:tcW w:w="1870" w:type="dxa"/>
            <w:vAlign w:val="bottom"/>
          </w:tcPr>
          <w:p w14:paraId="22BD3DE9" w14:textId="77777777" w:rsidR="00980919" w:rsidRDefault="00980919" w:rsidP="001515D5">
            <w:r>
              <w:t>47</w:t>
            </w:r>
          </w:p>
        </w:tc>
      </w:tr>
      <w:tr w:rsidR="00980919" w14:paraId="3CA2699A" w14:textId="77777777" w:rsidTr="001515D5">
        <w:tc>
          <w:tcPr>
            <w:tcW w:w="1870" w:type="dxa"/>
            <w:vAlign w:val="bottom"/>
          </w:tcPr>
          <w:p w14:paraId="110A4CEA" w14:textId="77777777" w:rsidR="00980919" w:rsidRDefault="00980919" w:rsidP="001515D5">
            <w:r>
              <w:t>10/31/20</w:t>
            </w:r>
          </w:p>
        </w:tc>
        <w:tc>
          <w:tcPr>
            <w:tcW w:w="1870" w:type="dxa"/>
            <w:vAlign w:val="bottom"/>
          </w:tcPr>
          <w:p w14:paraId="53355E62" w14:textId="77777777" w:rsidR="00980919" w:rsidRDefault="00980919" w:rsidP="001515D5">
            <w:r>
              <w:t>0</w:t>
            </w:r>
          </w:p>
        </w:tc>
        <w:tc>
          <w:tcPr>
            <w:tcW w:w="1870" w:type="dxa"/>
            <w:vAlign w:val="bottom"/>
          </w:tcPr>
          <w:p w14:paraId="4172CA57" w14:textId="77777777" w:rsidR="00980919" w:rsidRDefault="00980919" w:rsidP="001515D5">
            <w:r>
              <w:t>0</w:t>
            </w:r>
          </w:p>
        </w:tc>
        <w:tc>
          <w:tcPr>
            <w:tcW w:w="1870" w:type="dxa"/>
            <w:vAlign w:val="bottom"/>
          </w:tcPr>
          <w:p w14:paraId="6BC9454B" w14:textId="77777777" w:rsidR="00980919" w:rsidRDefault="00980919" w:rsidP="001515D5">
            <w:r>
              <w:t>4</w:t>
            </w:r>
          </w:p>
        </w:tc>
        <w:tc>
          <w:tcPr>
            <w:tcW w:w="1870" w:type="dxa"/>
            <w:vAlign w:val="bottom"/>
          </w:tcPr>
          <w:p w14:paraId="23743859" w14:textId="77777777" w:rsidR="00980919" w:rsidRDefault="00980919" w:rsidP="001515D5">
            <w:r>
              <w:t>35</w:t>
            </w:r>
          </w:p>
        </w:tc>
      </w:tr>
      <w:tr w:rsidR="00980919" w14:paraId="4C1FD586" w14:textId="77777777" w:rsidTr="001515D5">
        <w:tc>
          <w:tcPr>
            <w:tcW w:w="1870" w:type="dxa"/>
            <w:vAlign w:val="bottom"/>
          </w:tcPr>
          <w:p w14:paraId="3DBA066C" w14:textId="77777777" w:rsidR="00980919" w:rsidRDefault="00980919" w:rsidP="001515D5">
            <w:r>
              <w:t>11/7/20</w:t>
            </w:r>
          </w:p>
        </w:tc>
        <w:tc>
          <w:tcPr>
            <w:tcW w:w="1870" w:type="dxa"/>
            <w:vAlign w:val="bottom"/>
          </w:tcPr>
          <w:p w14:paraId="24953008" w14:textId="77777777" w:rsidR="00980919" w:rsidRDefault="00980919" w:rsidP="001515D5">
            <w:r>
              <w:t>0</w:t>
            </w:r>
          </w:p>
        </w:tc>
        <w:tc>
          <w:tcPr>
            <w:tcW w:w="1870" w:type="dxa"/>
            <w:vAlign w:val="bottom"/>
          </w:tcPr>
          <w:p w14:paraId="0A6071BC" w14:textId="77777777" w:rsidR="00980919" w:rsidRDefault="00980919" w:rsidP="001515D5">
            <w:r>
              <w:t>0</w:t>
            </w:r>
          </w:p>
        </w:tc>
        <w:tc>
          <w:tcPr>
            <w:tcW w:w="1870" w:type="dxa"/>
            <w:vAlign w:val="bottom"/>
          </w:tcPr>
          <w:p w14:paraId="30F7F012" w14:textId="77777777" w:rsidR="00980919" w:rsidRDefault="00980919" w:rsidP="001515D5">
            <w:r>
              <w:t>4</w:t>
            </w:r>
          </w:p>
        </w:tc>
        <w:tc>
          <w:tcPr>
            <w:tcW w:w="1870" w:type="dxa"/>
            <w:vAlign w:val="bottom"/>
          </w:tcPr>
          <w:p w14:paraId="32C1B3EA" w14:textId="77777777" w:rsidR="00980919" w:rsidRDefault="00980919" w:rsidP="001515D5">
            <w:r>
              <w:t>29</w:t>
            </w:r>
          </w:p>
        </w:tc>
      </w:tr>
      <w:tr w:rsidR="00980919" w14:paraId="67D78C41" w14:textId="77777777" w:rsidTr="001515D5">
        <w:tc>
          <w:tcPr>
            <w:tcW w:w="1870" w:type="dxa"/>
            <w:vAlign w:val="bottom"/>
          </w:tcPr>
          <w:p w14:paraId="7C4F5463" w14:textId="77777777" w:rsidR="00980919" w:rsidRDefault="00980919" w:rsidP="001515D5">
            <w:r>
              <w:t>11/14/20</w:t>
            </w:r>
          </w:p>
        </w:tc>
        <w:tc>
          <w:tcPr>
            <w:tcW w:w="1870" w:type="dxa"/>
            <w:vAlign w:val="bottom"/>
          </w:tcPr>
          <w:p w14:paraId="0A654A96" w14:textId="77777777" w:rsidR="00980919" w:rsidRDefault="00980919" w:rsidP="001515D5">
            <w:r>
              <w:t>0</w:t>
            </w:r>
          </w:p>
        </w:tc>
        <w:tc>
          <w:tcPr>
            <w:tcW w:w="1870" w:type="dxa"/>
            <w:vAlign w:val="bottom"/>
          </w:tcPr>
          <w:p w14:paraId="6AEB1044" w14:textId="77777777" w:rsidR="00980919" w:rsidRDefault="00980919" w:rsidP="001515D5">
            <w:r>
              <w:t>0</w:t>
            </w:r>
          </w:p>
        </w:tc>
        <w:tc>
          <w:tcPr>
            <w:tcW w:w="1870" w:type="dxa"/>
            <w:vAlign w:val="bottom"/>
          </w:tcPr>
          <w:p w14:paraId="56DBEE3F" w14:textId="77777777" w:rsidR="00980919" w:rsidRDefault="00980919" w:rsidP="001515D5">
            <w:r>
              <w:t>4</w:t>
            </w:r>
          </w:p>
        </w:tc>
        <w:tc>
          <w:tcPr>
            <w:tcW w:w="1870" w:type="dxa"/>
            <w:vAlign w:val="bottom"/>
          </w:tcPr>
          <w:p w14:paraId="4E4FD628" w14:textId="77777777" w:rsidR="00980919" w:rsidRDefault="00980919" w:rsidP="001515D5">
            <w:r>
              <w:t>37</w:t>
            </w:r>
          </w:p>
        </w:tc>
      </w:tr>
      <w:tr w:rsidR="00980919" w14:paraId="53C0DC6F" w14:textId="77777777" w:rsidTr="001515D5">
        <w:tc>
          <w:tcPr>
            <w:tcW w:w="1870" w:type="dxa"/>
            <w:vAlign w:val="bottom"/>
          </w:tcPr>
          <w:p w14:paraId="532C7DA4" w14:textId="77777777" w:rsidR="00980919" w:rsidRDefault="00980919" w:rsidP="001515D5">
            <w:r>
              <w:lastRenderedPageBreak/>
              <w:t>11/21/20</w:t>
            </w:r>
          </w:p>
        </w:tc>
        <w:tc>
          <w:tcPr>
            <w:tcW w:w="1870" w:type="dxa"/>
            <w:vAlign w:val="bottom"/>
          </w:tcPr>
          <w:p w14:paraId="6CDCE939" w14:textId="77777777" w:rsidR="00980919" w:rsidRDefault="00980919" w:rsidP="001515D5">
            <w:r>
              <w:t>0</w:t>
            </w:r>
          </w:p>
        </w:tc>
        <w:tc>
          <w:tcPr>
            <w:tcW w:w="1870" w:type="dxa"/>
            <w:vAlign w:val="bottom"/>
          </w:tcPr>
          <w:p w14:paraId="71EC1814" w14:textId="77777777" w:rsidR="00980919" w:rsidRDefault="00980919" w:rsidP="001515D5">
            <w:r>
              <w:t>0</w:t>
            </w:r>
          </w:p>
        </w:tc>
        <w:tc>
          <w:tcPr>
            <w:tcW w:w="1870" w:type="dxa"/>
            <w:vAlign w:val="bottom"/>
          </w:tcPr>
          <w:p w14:paraId="0964B885" w14:textId="77777777" w:rsidR="00980919" w:rsidRDefault="00980919" w:rsidP="001515D5">
            <w:r>
              <w:t>5</w:t>
            </w:r>
          </w:p>
        </w:tc>
        <w:tc>
          <w:tcPr>
            <w:tcW w:w="1870" w:type="dxa"/>
            <w:vAlign w:val="bottom"/>
          </w:tcPr>
          <w:p w14:paraId="78078687" w14:textId="77777777" w:rsidR="00980919" w:rsidRDefault="00980919" w:rsidP="001515D5">
            <w:r>
              <w:t>31</w:t>
            </w:r>
          </w:p>
        </w:tc>
      </w:tr>
      <w:tr w:rsidR="00980919" w14:paraId="420BA4FC" w14:textId="77777777" w:rsidTr="001515D5">
        <w:tc>
          <w:tcPr>
            <w:tcW w:w="1870" w:type="dxa"/>
            <w:vAlign w:val="bottom"/>
          </w:tcPr>
          <w:p w14:paraId="28D55DAD" w14:textId="77777777" w:rsidR="00980919" w:rsidRDefault="00980919" w:rsidP="001515D5">
            <w:r>
              <w:t>11/28/20</w:t>
            </w:r>
          </w:p>
        </w:tc>
        <w:tc>
          <w:tcPr>
            <w:tcW w:w="1870" w:type="dxa"/>
            <w:vAlign w:val="bottom"/>
          </w:tcPr>
          <w:p w14:paraId="1C77770A" w14:textId="77777777" w:rsidR="00980919" w:rsidRDefault="00980919" w:rsidP="001515D5">
            <w:r>
              <w:t>0</w:t>
            </w:r>
          </w:p>
        </w:tc>
        <w:tc>
          <w:tcPr>
            <w:tcW w:w="1870" w:type="dxa"/>
            <w:vAlign w:val="bottom"/>
          </w:tcPr>
          <w:p w14:paraId="2E1E6F29" w14:textId="77777777" w:rsidR="00980919" w:rsidRDefault="00980919" w:rsidP="001515D5">
            <w:r>
              <w:t>0</w:t>
            </w:r>
          </w:p>
        </w:tc>
        <w:tc>
          <w:tcPr>
            <w:tcW w:w="1870" w:type="dxa"/>
            <w:vAlign w:val="bottom"/>
          </w:tcPr>
          <w:p w14:paraId="609B3808" w14:textId="77777777" w:rsidR="00980919" w:rsidRDefault="00980919" w:rsidP="001515D5">
            <w:r>
              <w:t>5</w:t>
            </w:r>
          </w:p>
        </w:tc>
        <w:tc>
          <w:tcPr>
            <w:tcW w:w="1870" w:type="dxa"/>
            <w:vAlign w:val="bottom"/>
          </w:tcPr>
          <w:p w14:paraId="3DC17754" w14:textId="77777777" w:rsidR="00980919" w:rsidRDefault="00980919" w:rsidP="001515D5">
            <w:r>
              <w:t>30</w:t>
            </w:r>
          </w:p>
        </w:tc>
      </w:tr>
      <w:tr w:rsidR="00980919" w14:paraId="4693E701" w14:textId="77777777" w:rsidTr="001515D5">
        <w:tc>
          <w:tcPr>
            <w:tcW w:w="1870" w:type="dxa"/>
            <w:vAlign w:val="bottom"/>
          </w:tcPr>
          <w:p w14:paraId="53C53EB9" w14:textId="77777777" w:rsidR="00980919" w:rsidRDefault="00980919" w:rsidP="001515D5">
            <w:r>
              <w:t>12/5/20</w:t>
            </w:r>
          </w:p>
        </w:tc>
        <w:tc>
          <w:tcPr>
            <w:tcW w:w="1870" w:type="dxa"/>
            <w:vAlign w:val="bottom"/>
          </w:tcPr>
          <w:p w14:paraId="51041D9E" w14:textId="77777777" w:rsidR="00980919" w:rsidRDefault="00980919" w:rsidP="001515D5">
            <w:r>
              <w:t>0</w:t>
            </w:r>
          </w:p>
        </w:tc>
        <w:tc>
          <w:tcPr>
            <w:tcW w:w="1870" w:type="dxa"/>
            <w:vAlign w:val="bottom"/>
          </w:tcPr>
          <w:p w14:paraId="25F10B25" w14:textId="77777777" w:rsidR="00980919" w:rsidRDefault="00980919" w:rsidP="001515D5">
            <w:r>
              <w:t>0</w:t>
            </w:r>
          </w:p>
        </w:tc>
        <w:tc>
          <w:tcPr>
            <w:tcW w:w="1870" w:type="dxa"/>
            <w:vAlign w:val="bottom"/>
          </w:tcPr>
          <w:p w14:paraId="2B454EA1" w14:textId="77777777" w:rsidR="00980919" w:rsidRDefault="00980919" w:rsidP="001515D5">
            <w:r>
              <w:t>7</w:t>
            </w:r>
          </w:p>
        </w:tc>
        <w:tc>
          <w:tcPr>
            <w:tcW w:w="1870" w:type="dxa"/>
            <w:vAlign w:val="bottom"/>
          </w:tcPr>
          <w:p w14:paraId="1CE63535" w14:textId="77777777" w:rsidR="00980919" w:rsidRDefault="00980919" w:rsidP="001515D5">
            <w:r>
              <w:t>60</w:t>
            </w:r>
          </w:p>
        </w:tc>
      </w:tr>
      <w:tr w:rsidR="00980919" w14:paraId="45742A22" w14:textId="77777777" w:rsidTr="001515D5">
        <w:tc>
          <w:tcPr>
            <w:tcW w:w="1870" w:type="dxa"/>
            <w:vAlign w:val="bottom"/>
          </w:tcPr>
          <w:p w14:paraId="3311E668" w14:textId="77777777" w:rsidR="00980919" w:rsidRDefault="00980919" w:rsidP="001515D5">
            <w:r>
              <w:t>12/12/20</w:t>
            </w:r>
          </w:p>
        </w:tc>
        <w:tc>
          <w:tcPr>
            <w:tcW w:w="1870" w:type="dxa"/>
            <w:vAlign w:val="bottom"/>
          </w:tcPr>
          <w:p w14:paraId="50C103D7" w14:textId="77777777" w:rsidR="00980919" w:rsidRDefault="00980919" w:rsidP="001515D5">
            <w:r>
              <w:t>0</w:t>
            </w:r>
          </w:p>
        </w:tc>
        <w:tc>
          <w:tcPr>
            <w:tcW w:w="1870" w:type="dxa"/>
            <w:vAlign w:val="bottom"/>
          </w:tcPr>
          <w:p w14:paraId="17BD23B4" w14:textId="77777777" w:rsidR="00980919" w:rsidRDefault="00980919" w:rsidP="001515D5">
            <w:r>
              <w:t>0</w:t>
            </w:r>
          </w:p>
        </w:tc>
        <w:tc>
          <w:tcPr>
            <w:tcW w:w="1870" w:type="dxa"/>
            <w:vAlign w:val="bottom"/>
          </w:tcPr>
          <w:p w14:paraId="4E0F66A3" w14:textId="77777777" w:rsidR="00980919" w:rsidRDefault="00980919" w:rsidP="001515D5">
            <w:r>
              <w:t>6</w:t>
            </w:r>
          </w:p>
        </w:tc>
        <w:tc>
          <w:tcPr>
            <w:tcW w:w="1870" w:type="dxa"/>
            <w:vAlign w:val="bottom"/>
          </w:tcPr>
          <w:p w14:paraId="3FE16889" w14:textId="77777777" w:rsidR="00980919" w:rsidRDefault="00980919" w:rsidP="001515D5">
            <w:r>
              <w:t>74</w:t>
            </w:r>
          </w:p>
        </w:tc>
      </w:tr>
      <w:tr w:rsidR="00980919" w14:paraId="21971990" w14:textId="77777777" w:rsidTr="001515D5">
        <w:tc>
          <w:tcPr>
            <w:tcW w:w="1870" w:type="dxa"/>
            <w:vAlign w:val="bottom"/>
          </w:tcPr>
          <w:p w14:paraId="14813671" w14:textId="77777777" w:rsidR="00980919" w:rsidRDefault="00980919" w:rsidP="001515D5">
            <w:r>
              <w:t>12/19/20</w:t>
            </w:r>
          </w:p>
        </w:tc>
        <w:tc>
          <w:tcPr>
            <w:tcW w:w="1870" w:type="dxa"/>
            <w:vAlign w:val="bottom"/>
          </w:tcPr>
          <w:p w14:paraId="3C124998" w14:textId="77777777" w:rsidR="00980919" w:rsidRDefault="00980919" w:rsidP="001515D5">
            <w:r>
              <w:t>0</w:t>
            </w:r>
          </w:p>
        </w:tc>
        <w:tc>
          <w:tcPr>
            <w:tcW w:w="1870" w:type="dxa"/>
            <w:vAlign w:val="bottom"/>
          </w:tcPr>
          <w:p w14:paraId="249E1D12" w14:textId="77777777" w:rsidR="00980919" w:rsidRDefault="00980919" w:rsidP="001515D5">
            <w:r>
              <w:t>1</w:t>
            </w:r>
          </w:p>
        </w:tc>
        <w:tc>
          <w:tcPr>
            <w:tcW w:w="1870" w:type="dxa"/>
            <w:vAlign w:val="bottom"/>
          </w:tcPr>
          <w:p w14:paraId="60CDEEA3" w14:textId="77777777" w:rsidR="00980919" w:rsidRDefault="00980919" w:rsidP="001515D5">
            <w:r>
              <w:t>9</w:t>
            </w:r>
          </w:p>
        </w:tc>
        <w:tc>
          <w:tcPr>
            <w:tcW w:w="1870" w:type="dxa"/>
            <w:vAlign w:val="bottom"/>
          </w:tcPr>
          <w:p w14:paraId="5748DEC5" w14:textId="77777777" w:rsidR="00980919" w:rsidRDefault="00980919" w:rsidP="001515D5">
            <w:r>
              <w:t>76</w:t>
            </w:r>
          </w:p>
        </w:tc>
      </w:tr>
      <w:tr w:rsidR="00980919" w14:paraId="2BCCF8F4" w14:textId="77777777" w:rsidTr="001515D5">
        <w:tc>
          <w:tcPr>
            <w:tcW w:w="1870" w:type="dxa"/>
            <w:vAlign w:val="bottom"/>
          </w:tcPr>
          <w:p w14:paraId="3CBC75AA" w14:textId="77777777" w:rsidR="00980919" w:rsidRDefault="00980919" w:rsidP="001515D5">
            <w:r>
              <w:t>12/26/20</w:t>
            </w:r>
          </w:p>
        </w:tc>
        <w:tc>
          <w:tcPr>
            <w:tcW w:w="1870" w:type="dxa"/>
            <w:vAlign w:val="bottom"/>
          </w:tcPr>
          <w:p w14:paraId="24FAD81F" w14:textId="77777777" w:rsidR="00980919" w:rsidRDefault="00980919" w:rsidP="001515D5">
            <w:r>
              <w:t>0</w:t>
            </w:r>
          </w:p>
        </w:tc>
        <w:tc>
          <w:tcPr>
            <w:tcW w:w="1870" w:type="dxa"/>
            <w:vAlign w:val="bottom"/>
          </w:tcPr>
          <w:p w14:paraId="4641DD2D" w14:textId="77777777" w:rsidR="00980919" w:rsidRDefault="00980919" w:rsidP="001515D5">
            <w:r>
              <w:t>1</w:t>
            </w:r>
          </w:p>
        </w:tc>
        <w:tc>
          <w:tcPr>
            <w:tcW w:w="1870" w:type="dxa"/>
            <w:vAlign w:val="bottom"/>
          </w:tcPr>
          <w:p w14:paraId="67CEDEDD" w14:textId="77777777" w:rsidR="00980919" w:rsidRDefault="00980919" w:rsidP="001515D5">
            <w:r>
              <w:t>12</w:t>
            </w:r>
          </w:p>
        </w:tc>
        <w:tc>
          <w:tcPr>
            <w:tcW w:w="1870" w:type="dxa"/>
            <w:vAlign w:val="bottom"/>
          </w:tcPr>
          <w:p w14:paraId="0648A41F" w14:textId="77777777" w:rsidR="00980919" w:rsidRDefault="00980919" w:rsidP="001515D5">
            <w:r>
              <w:t>88</w:t>
            </w:r>
          </w:p>
        </w:tc>
      </w:tr>
      <w:tr w:rsidR="00980919" w14:paraId="6B970FE0" w14:textId="77777777" w:rsidTr="001515D5">
        <w:tc>
          <w:tcPr>
            <w:tcW w:w="1870" w:type="dxa"/>
            <w:vAlign w:val="bottom"/>
          </w:tcPr>
          <w:p w14:paraId="71776B40" w14:textId="77777777" w:rsidR="00980919" w:rsidRDefault="00980919" w:rsidP="001515D5">
            <w:r>
              <w:t>1/2/21</w:t>
            </w:r>
          </w:p>
        </w:tc>
        <w:tc>
          <w:tcPr>
            <w:tcW w:w="1870" w:type="dxa"/>
            <w:vAlign w:val="bottom"/>
          </w:tcPr>
          <w:p w14:paraId="0D5A6273" w14:textId="77777777" w:rsidR="00980919" w:rsidRDefault="00980919" w:rsidP="001515D5">
            <w:r>
              <w:t>0</w:t>
            </w:r>
          </w:p>
        </w:tc>
        <w:tc>
          <w:tcPr>
            <w:tcW w:w="1870" w:type="dxa"/>
            <w:vAlign w:val="bottom"/>
          </w:tcPr>
          <w:p w14:paraId="5F7F9457" w14:textId="77777777" w:rsidR="00980919" w:rsidRDefault="00980919" w:rsidP="001515D5">
            <w:r>
              <w:t>1</w:t>
            </w:r>
          </w:p>
        </w:tc>
        <w:tc>
          <w:tcPr>
            <w:tcW w:w="1870" w:type="dxa"/>
            <w:vAlign w:val="bottom"/>
          </w:tcPr>
          <w:p w14:paraId="3C6AC125" w14:textId="77777777" w:rsidR="00980919" w:rsidRDefault="00980919" w:rsidP="001515D5">
            <w:r>
              <w:t>13</w:t>
            </w:r>
          </w:p>
        </w:tc>
        <w:tc>
          <w:tcPr>
            <w:tcW w:w="1870" w:type="dxa"/>
            <w:vAlign w:val="bottom"/>
          </w:tcPr>
          <w:p w14:paraId="668085BA" w14:textId="77777777" w:rsidR="00980919" w:rsidRDefault="00980919" w:rsidP="001515D5">
            <w:r>
              <w:t>99</w:t>
            </w:r>
          </w:p>
        </w:tc>
      </w:tr>
      <w:tr w:rsidR="00980919" w14:paraId="1A20FF25" w14:textId="77777777" w:rsidTr="001515D5">
        <w:tc>
          <w:tcPr>
            <w:tcW w:w="1870" w:type="dxa"/>
            <w:vAlign w:val="bottom"/>
          </w:tcPr>
          <w:p w14:paraId="1D490661" w14:textId="77777777" w:rsidR="00980919" w:rsidRDefault="00980919" w:rsidP="001515D5">
            <w:r>
              <w:t>1/9/21</w:t>
            </w:r>
          </w:p>
        </w:tc>
        <w:tc>
          <w:tcPr>
            <w:tcW w:w="1870" w:type="dxa"/>
            <w:vAlign w:val="bottom"/>
          </w:tcPr>
          <w:p w14:paraId="15867069" w14:textId="77777777" w:rsidR="00980919" w:rsidRDefault="00980919" w:rsidP="001515D5">
            <w:r>
              <w:t>0</w:t>
            </w:r>
          </w:p>
        </w:tc>
        <w:tc>
          <w:tcPr>
            <w:tcW w:w="1870" w:type="dxa"/>
            <w:vAlign w:val="bottom"/>
          </w:tcPr>
          <w:p w14:paraId="61933652" w14:textId="77777777" w:rsidR="00980919" w:rsidRDefault="00980919" w:rsidP="001515D5">
            <w:r>
              <w:t>1</w:t>
            </w:r>
          </w:p>
        </w:tc>
        <w:tc>
          <w:tcPr>
            <w:tcW w:w="1870" w:type="dxa"/>
            <w:vAlign w:val="bottom"/>
          </w:tcPr>
          <w:p w14:paraId="6797E13F" w14:textId="77777777" w:rsidR="00980919" w:rsidRDefault="00980919" w:rsidP="001515D5">
            <w:r>
              <w:t>16</w:t>
            </w:r>
          </w:p>
        </w:tc>
        <w:tc>
          <w:tcPr>
            <w:tcW w:w="1870" w:type="dxa"/>
            <w:vAlign w:val="bottom"/>
          </w:tcPr>
          <w:p w14:paraId="48A91896" w14:textId="77777777" w:rsidR="00980919" w:rsidRDefault="00980919" w:rsidP="001515D5">
            <w:r>
              <w:t>120</w:t>
            </w:r>
          </w:p>
        </w:tc>
      </w:tr>
      <w:tr w:rsidR="00980919" w14:paraId="1C438191" w14:textId="77777777" w:rsidTr="001515D5">
        <w:tc>
          <w:tcPr>
            <w:tcW w:w="1870" w:type="dxa"/>
            <w:vAlign w:val="bottom"/>
          </w:tcPr>
          <w:p w14:paraId="7EE9014F" w14:textId="77777777" w:rsidR="00980919" w:rsidRDefault="00980919" w:rsidP="001515D5">
            <w:r>
              <w:t>1/16/21</w:t>
            </w:r>
          </w:p>
        </w:tc>
        <w:tc>
          <w:tcPr>
            <w:tcW w:w="1870" w:type="dxa"/>
            <w:vAlign w:val="bottom"/>
          </w:tcPr>
          <w:p w14:paraId="4BE42FDB" w14:textId="77777777" w:rsidR="00980919" w:rsidRDefault="00980919" w:rsidP="001515D5">
            <w:r>
              <w:t>0</w:t>
            </w:r>
          </w:p>
        </w:tc>
        <w:tc>
          <w:tcPr>
            <w:tcW w:w="1870" w:type="dxa"/>
            <w:vAlign w:val="bottom"/>
          </w:tcPr>
          <w:p w14:paraId="0C0CBDA7" w14:textId="77777777" w:rsidR="00980919" w:rsidRDefault="00980919" w:rsidP="001515D5">
            <w:r>
              <w:t>1</w:t>
            </w:r>
          </w:p>
        </w:tc>
        <w:tc>
          <w:tcPr>
            <w:tcW w:w="1870" w:type="dxa"/>
            <w:vAlign w:val="bottom"/>
          </w:tcPr>
          <w:p w14:paraId="5FD46205" w14:textId="77777777" w:rsidR="00980919" w:rsidRDefault="00980919" w:rsidP="001515D5">
            <w:r>
              <w:t>18</w:t>
            </w:r>
          </w:p>
        </w:tc>
        <w:tc>
          <w:tcPr>
            <w:tcW w:w="1870" w:type="dxa"/>
            <w:vAlign w:val="bottom"/>
          </w:tcPr>
          <w:p w14:paraId="71C1360D" w14:textId="77777777" w:rsidR="00980919" w:rsidRDefault="00980919" w:rsidP="001515D5">
            <w:r>
              <w:t>128</w:t>
            </w:r>
          </w:p>
        </w:tc>
      </w:tr>
      <w:tr w:rsidR="00980919" w14:paraId="6BAFDFB9" w14:textId="77777777" w:rsidTr="001515D5">
        <w:tc>
          <w:tcPr>
            <w:tcW w:w="1870" w:type="dxa"/>
            <w:vAlign w:val="bottom"/>
          </w:tcPr>
          <w:p w14:paraId="64CE6048" w14:textId="77777777" w:rsidR="00980919" w:rsidRDefault="00980919" w:rsidP="001515D5">
            <w:r>
              <w:t>1/23/21</w:t>
            </w:r>
          </w:p>
        </w:tc>
        <w:tc>
          <w:tcPr>
            <w:tcW w:w="1870" w:type="dxa"/>
            <w:vAlign w:val="bottom"/>
          </w:tcPr>
          <w:p w14:paraId="5C50845E" w14:textId="77777777" w:rsidR="00980919" w:rsidRDefault="00980919" w:rsidP="001515D5">
            <w:r>
              <w:t>0</w:t>
            </w:r>
          </w:p>
        </w:tc>
        <w:tc>
          <w:tcPr>
            <w:tcW w:w="1870" w:type="dxa"/>
            <w:vAlign w:val="bottom"/>
          </w:tcPr>
          <w:p w14:paraId="17F2FEAA" w14:textId="77777777" w:rsidR="00980919" w:rsidRDefault="00980919" w:rsidP="001515D5">
            <w:r>
              <w:t>1</w:t>
            </w:r>
          </w:p>
        </w:tc>
        <w:tc>
          <w:tcPr>
            <w:tcW w:w="1870" w:type="dxa"/>
            <w:vAlign w:val="bottom"/>
          </w:tcPr>
          <w:p w14:paraId="6020848A" w14:textId="77777777" w:rsidR="00980919" w:rsidRDefault="00980919" w:rsidP="001515D5">
            <w:r>
              <w:t>20</w:t>
            </w:r>
          </w:p>
        </w:tc>
        <w:tc>
          <w:tcPr>
            <w:tcW w:w="1870" w:type="dxa"/>
            <w:vAlign w:val="bottom"/>
          </w:tcPr>
          <w:p w14:paraId="5A899898" w14:textId="77777777" w:rsidR="00980919" w:rsidRDefault="00980919" w:rsidP="001515D5">
            <w:r>
              <w:t>137</w:t>
            </w:r>
          </w:p>
        </w:tc>
      </w:tr>
      <w:tr w:rsidR="00980919" w14:paraId="19FE0FD4" w14:textId="77777777" w:rsidTr="001515D5">
        <w:tc>
          <w:tcPr>
            <w:tcW w:w="1870" w:type="dxa"/>
            <w:vAlign w:val="bottom"/>
          </w:tcPr>
          <w:p w14:paraId="5526BA9C" w14:textId="77777777" w:rsidR="00980919" w:rsidRDefault="00980919" w:rsidP="001515D5">
            <w:r>
              <w:t>1/30/21</w:t>
            </w:r>
          </w:p>
        </w:tc>
        <w:tc>
          <w:tcPr>
            <w:tcW w:w="1870" w:type="dxa"/>
            <w:vAlign w:val="bottom"/>
          </w:tcPr>
          <w:p w14:paraId="49D1DCFF" w14:textId="77777777" w:rsidR="00980919" w:rsidRDefault="00980919" w:rsidP="001515D5">
            <w:r>
              <w:t>0</w:t>
            </w:r>
          </w:p>
        </w:tc>
        <w:tc>
          <w:tcPr>
            <w:tcW w:w="1870" w:type="dxa"/>
            <w:vAlign w:val="bottom"/>
          </w:tcPr>
          <w:p w14:paraId="1317F2D0" w14:textId="77777777" w:rsidR="00980919" w:rsidRDefault="00980919" w:rsidP="001515D5">
            <w:r>
              <w:t>1</w:t>
            </w:r>
          </w:p>
        </w:tc>
        <w:tc>
          <w:tcPr>
            <w:tcW w:w="1870" w:type="dxa"/>
            <w:vAlign w:val="bottom"/>
          </w:tcPr>
          <w:p w14:paraId="18CAD6AE" w14:textId="77777777" w:rsidR="00980919" w:rsidRDefault="00980919" w:rsidP="001515D5">
            <w:r>
              <w:t>17</w:t>
            </w:r>
          </w:p>
        </w:tc>
        <w:tc>
          <w:tcPr>
            <w:tcW w:w="1870" w:type="dxa"/>
            <w:vAlign w:val="bottom"/>
          </w:tcPr>
          <w:p w14:paraId="389A7EC5" w14:textId="77777777" w:rsidR="00980919" w:rsidRDefault="00980919" w:rsidP="001515D5">
            <w:r>
              <w:t>126</w:t>
            </w:r>
          </w:p>
        </w:tc>
      </w:tr>
      <w:tr w:rsidR="00980919" w14:paraId="0BB902EC" w14:textId="77777777" w:rsidTr="001515D5">
        <w:tc>
          <w:tcPr>
            <w:tcW w:w="1870" w:type="dxa"/>
            <w:vAlign w:val="bottom"/>
          </w:tcPr>
          <w:p w14:paraId="42B1FDB3" w14:textId="77777777" w:rsidR="00980919" w:rsidRDefault="00980919" w:rsidP="001515D5">
            <w:r>
              <w:t>2/6/21</w:t>
            </w:r>
          </w:p>
        </w:tc>
        <w:tc>
          <w:tcPr>
            <w:tcW w:w="1870" w:type="dxa"/>
            <w:vAlign w:val="bottom"/>
          </w:tcPr>
          <w:p w14:paraId="415E9305" w14:textId="77777777" w:rsidR="00980919" w:rsidRDefault="00980919" w:rsidP="001515D5">
            <w:r>
              <w:t>0</w:t>
            </w:r>
          </w:p>
        </w:tc>
        <w:tc>
          <w:tcPr>
            <w:tcW w:w="1870" w:type="dxa"/>
            <w:vAlign w:val="bottom"/>
          </w:tcPr>
          <w:p w14:paraId="643AFC3C" w14:textId="77777777" w:rsidR="00980919" w:rsidRDefault="00980919" w:rsidP="001515D5">
            <w:r>
              <w:t>0</w:t>
            </w:r>
          </w:p>
        </w:tc>
        <w:tc>
          <w:tcPr>
            <w:tcW w:w="1870" w:type="dxa"/>
            <w:vAlign w:val="bottom"/>
          </w:tcPr>
          <w:p w14:paraId="45EB6655" w14:textId="77777777" w:rsidR="00980919" w:rsidRDefault="00980919" w:rsidP="001515D5">
            <w:r>
              <w:t>15</w:t>
            </w:r>
          </w:p>
        </w:tc>
        <w:tc>
          <w:tcPr>
            <w:tcW w:w="1870" w:type="dxa"/>
            <w:vAlign w:val="bottom"/>
          </w:tcPr>
          <w:p w14:paraId="72C1B13A" w14:textId="77777777" w:rsidR="00980919" w:rsidRDefault="00980919" w:rsidP="001515D5">
            <w:r>
              <w:t>101</w:t>
            </w:r>
          </w:p>
        </w:tc>
      </w:tr>
      <w:tr w:rsidR="00980919" w14:paraId="19478991" w14:textId="77777777" w:rsidTr="001515D5">
        <w:tc>
          <w:tcPr>
            <w:tcW w:w="1870" w:type="dxa"/>
            <w:vAlign w:val="bottom"/>
          </w:tcPr>
          <w:p w14:paraId="53B1CD28" w14:textId="77777777" w:rsidR="00980919" w:rsidRDefault="00980919" w:rsidP="001515D5">
            <w:r>
              <w:t>2/13/21</w:t>
            </w:r>
          </w:p>
        </w:tc>
        <w:tc>
          <w:tcPr>
            <w:tcW w:w="1870" w:type="dxa"/>
            <w:vAlign w:val="bottom"/>
          </w:tcPr>
          <w:p w14:paraId="671864ED" w14:textId="77777777" w:rsidR="00980919" w:rsidRDefault="00980919" w:rsidP="001515D5">
            <w:r>
              <w:t>0</w:t>
            </w:r>
          </w:p>
        </w:tc>
        <w:tc>
          <w:tcPr>
            <w:tcW w:w="1870" w:type="dxa"/>
            <w:vAlign w:val="bottom"/>
          </w:tcPr>
          <w:p w14:paraId="2DE4B96E" w14:textId="77777777" w:rsidR="00980919" w:rsidRDefault="00980919" w:rsidP="001515D5">
            <w:r>
              <w:t>1</w:t>
            </w:r>
          </w:p>
        </w:tc>
        <w:tc>
          <w:tcPr>
            <w:tcW w:w="1870" w:type="dxa"/>
            <w:vAlign w:val="bottom"/>
          </w:tcPr>
          <w:p w14:paraId="3AAA88ED" w14:textId="77777777" w:rsidR="00980919" w:rsidRDefault="00980919" w:rsidP="001515D5">
            <w:r>
              <w:t>11</w:t>
            </w:r>
          </w:p>
        </w:tc>
        <w:tc>
          <w:tcPr>
            <w:tcW w:w="1870" w:type="dxa"/>
            <w:vAlign w:val="bottom"/>
          </w:tcPr>
          <w:p w14:paraId="3B53CF61" w14:textId="77777777" w:rsidR="00980919" w:rsidRDefault="00980919" w:rsidP="001515D5">
            <w:r>
              <w:t>60</w:t>
            </w:r>
          </w:p>
        </w:tc>
      </w:tr>
      <w:tr w:rsidR="00980919" w14:paraId="59E2004B" w14:textId="77777777" w:rsidTr="001515D5">
        <w:tc>
          <w:tcPr>
            <w:tcW w:w="1870" w:type="dxa"/>
            <w:vAlign w:val="bottom"/>
          </w:tcPr>
          <w:p w14:paraId="68754488" w14:textId="77777777" w:rsidR="00980919" w:rsidRDefault="00980919" w:rsidP="001515D5">
            <w:r>
              <w:t>2/20/21</w:t>
            </w:r>
          </w:p>
        </w:tc>
        <w:tc>
          <w:tcPr>
            <w:tcW w:w="1870" w:type="dxa"/>
            <w:vAlign w:val="bottom"/>
          </w:tcPr>
          <w:p w14:paraId="75D312D5" w14:textId="77777777" w:rsidR="00980919" w:rsidRDefault="00980919" w:rsidP="001515D5">
            <w:r>
              <w:t>0</w:t>
            </w:r>
          </w:p>
        </w:tc>
        <w:tc>
          <w:tcPr>
            <w:tcW w:w="1870" w:type="dxa"/>
            <w:vAlign w:val="bottom"/>
          </w:tcPr>
          <w:p w14:paraId="3D867821" w14:textId="77777777" w:rsidR="00980919" w:rsidRDefault="00980919" w:rsidP="001515D5">
            <w:r>
              <w:t>0</w:t>
            </w:r>
          </w:p>
        </w:tc>
        <w:tc>
          <w:tcPr>
            <w:tcW w:w="1870" w:type="dxa"/>
            <w:vAlign w:val="bottom"/>
          </w:tcPr>
          <w:p w14:paraId="6ABB627A" w14:textId="77777777" w:rsidR="00980919" w:rsidRDefault="00980919" w:rsidP="001515D5">
            <w:r>
              <w:t>10</w:t>
            </w:r>
          </w:p>
        </w:tc>
        <w:tc>
          <w:tcPr>
            <w:tcW w:w="1870" w:type="dxa"/>
            <w:vAlign w:val="bottom"/>
          </w:tcPr>
          <w:p w14:paraId="31BDD004" w14:textId="77777777" w:rsidR="00980919" w:rsidRDefault="00980919" w:rsidP="001515D5">
            <w:r>
              <w:t>33</w:t>
            </w:r>
          </w:p>
        </w:tc>
      </w:tr>
      <w:tr w:rsidR="00980919" w14:paraId="544B4464" w14:textId="77777777" w:rsidTr="001515D5">
        <w:tc>
          <w:tcPr>
            <w:tcW w:w="1870" w:type="dxa"/>
            <w:vAlign w:val="bottom"/>
          </w:tcPr>
          <w:p w14:paraId="4E322B17" w14:textId="77777777" w:rsidR="00980919" w:rsidRDefault="00980919" w:rsidP="001515D5">
            <w:r>
              <w:t>2/27/21</w:t>
            </w:r>
          </w:p>
        </w:tc>
        <w:tc>
          <w:tcPr>
            <w:tcW w:w="1870" w:type="dxa"/>
            <w:vAlign w:val="bottom"/>
          </w:tcPr>
          <w:p w14:paraId="75ABF622" w14:textId="77777777" w:rsidR="00980919" w:rsidRDefault="00980919" w:rsidP="001515D5">
            <w:r>
              <w:t>0</w:t>
            </w:r>
          </w:p>
        </w:tc>
        <w:tc>
          <w:tcPr>
            <w:tcW w:w="1870" w:type="dxa"/>
            <w:vAlign w:val="bottom"/>
          </w:tcPr>
          <w:p w14:paraId="610E5BF4" w14:textId="77777777" w:rsidR="00980919" w:rsidRDefault="00980919" w:rsidP="001515D5">
            <w:r>
              <w:t>0</w:t>
            </w:r>
          </w:p>
        </w:tc>
        <w:tc>
          <w:tcPr>
            <w:tcW w:w="1870" w:type="dxa"/>
            <w:vAlign w:val="bottom"/>
          </w:tcPr>
          <w:p w14:paraId="7EEA852A" w14:textId="77777777" w:rsidR="00980919" w:rsidRDefault="00980919" w:rsidP="001515D5">
            <w:r>
              <w:t>7</w:t>
            </w:r>
          </w:p>
        </w:tc>
        <w:tc>
          <w:tcPr>
            <w:tcW w:w="1870" w:type="dxa"/>
            <w:vAlign w:val="bottom"/>
          </w:tcPr>
          <w:p w14:paraId="0603A12F" w14:textId="77777777" w:rsidR="00980919" w:rsidRDefault="00980919" w:rsidP="001515D5">
            <w:r>
              <w:t>27</w:t>
            </w:r>
          </w:p>
        </w:tc>
      </w:tr>
      <w:tr w:rsidR="00980919" w14:paraId="0F62DB1D" w14:textId="77777777" w:rsidTr="001515D5">
        <w:tc>
          <w:tcPr>
            <w:tcW w:w="1870" w:type="dxa"/>
            <w:vAlign w:val="bottom"/>
          </w:tcPr>
          <w:p w14:paraId="668B92A2" w14:textId="77777777" w:rsidR="00980919" w:rsidRDefault="00980919" w:rsidP="001515D5">
            <w:r>
              <w:t>3/6/21</w:t>
            </w:r>
          </w:p>
        </w:tc>
        <w:tc>
          <w:tcPr>
            <w:tcW w:w="1870" w:type="dxa"/>
            <w:vAlign w:val="bottom"/>
          </w:tcPr>
          <w:p w14:paraId="138536AF" w14:textId="77777777" w:rsidR="00980919" w:rsidRDefault="00980919" w:rsidP="001515D5">
            <w:r>
              <w:t>0</w:t>
            </w:r>
          </w:p>
        </w:tc>
        <w:tc>
          <w:tcPr>
            <w:tcW w:w="1870" w:type="dxa"/>
            <w:vAlign w:val="bottom"/>
          </w:tcPr>
          <w:p w14:paraId="788F8547" w14:textId="77777777" w:rsidR="00980919" w:rsidRDefault="00980919" w:rsidP="001515D5">
            <w:r>
              <w:t>0</w:t>
            </w:r>
          </w:p>
        </w:tc>
        <w:tc>
          <w:tcPr>
            <w:tcW w:w="1870" w:type="dxa"/>
            <w:vAlign w:val="bottom"/>
          </w:tcPr>
          <w:p w14:paraId="34F8ED5B" w14:textId="77777777" w:rsidR="00980919" w:rsidRDefault="00980919" w:rsidP="001515D5">
            <w:r>
              <w:t>6</w:t>
            </w:r>
          </w:p>
        </w:tc>
        <w:tc>
          <w:tcPr>
            <w:tcW w:w="1870" w:type="dxa"/>
            <w:vAlign w:val="bottom"/>
          </w:tcPr>
          <w:p w14:paraId="4CB67993" w14:textId="77777777" w:rsidR="00980919" w:rsidRDefault="00980919" w:rsidP="001515D5">
            <w:r>
              <w:t>24</w:t>
            </w:r>
          </w:p>
        </w:tc>
      </w:tr>
      <w:tr w:rsidR="00980919" w14:paraId="5F4D883B" w14:textId="77777777" w:rsidTr="001515D5">
        <w:tc>
          <w:tcPr>
            <w:tcW w:w="1870" w:type="dxa"/>
            <w:vAlign w:val="bottom"/>
          </w:tcPr>
          <w:p w14:paraId="5E7CB1CA" w14:textId="77777777" w:rsidR="00980919" w:rsidRDefault="00980919" w:rsidP="001515D5">
            <w:r>
              <w:t>3/13/21</w:t>
            </w:r>
          </w:p>
        </w:tc>
        <w:tc>
          <w:tcPr>
            <w:tcW w:w="1870" w:type="dxa"/>
            <w:vAlign w:val="bottom"/>
          </w:tcPr>
          <w:p w14:paraId="70BD6C72" w14:textId="77777777" w:rsidR="00980919" w:rsidRDefault="00980919" w:rsidP="001515D5">
            <w:r>
              <w:t>0</w:t>
            </w:r>
          </w:p>
        </w:tc>
        <w:tc>
          <w:tcPr>
            <w:tcW w:w="1870" w:type="dxa"/>
            <w:vAlign w:val="bottom"/>
          </w:tcPr>
          <w:p w14:paraId="2DF637FE" w14:textId="77777777" w:rsidR="00980919" w:rsidRDefault="00980919" w:rsidP="001515D5">
            <w:r>
              <w:t>0</w:t>
            </w:r>
          </w:p>
        </w:tc>
        <w:tc>
          <w:tcPr>
            <w:tcW w:w="1870" w:type="dxa"/>
            <w:vAlign w:val="bottom"/>
          </w:tcPr>
          <w:p w14:paraId="59CED860" w14:textId="77777777" w:rsidR="00980919" w:rsidRDefault="00980919" w:rsidP="001515D5">
            <w:r>
              <w:t>5</w:t>
            </w:r>
          </w:p>
        </w:tc>
        <w:tc>
          <w:tcPr>
            <w:tcW w:w="1870" w:type="dxa"/>
            <w:vAlign w:val="bottom"/>
          </w:tcPr>
          <w:p w14:paraId="6F4FB131" w14:textId="77777777" w:rsidR="00980919" w:rsidRDefault="00980919" w:rsidP="001515D5">
            <w:r>
              <w:t>21</w:t>
            </w:r>
          </w:p>
        </w:tc>
      </w:tr>
      <w:tr w:rsidR="00980919" w14:paraId="3F43FD03" w14:textId="77777777" w:rsidTr="001515D5">
        <w:tc>
          <w:tcPr>
            <w:tcW w:w="1870" w:type="dxa"/>
            <w:vAlign w:val="bottom"/>
          </w:tcPr>
          <w:p w14:paraId="3C701AC6" w14:textId="77777777" w:rsidR="00980919" w:rsidRDefault="00980919" w:rsidP="001515D5">
            <w:r>
              <w:t>3/20/21</w:t>
            </w:r>
          </w:p>
        </w:tc>
        <w:tc>
          <w:tcPr>
            <w:tcW w:w="1870" w:type="dxa"/>
            <w:vAlign w:val="bottom"/>
          </w:tcPr>
          <w:p w14:paraId="33BFE184" w14:textId="77777777" w:rsidR="00980919" w:rsidRDefault="00980919" w:rsidP="001515D5">
            <w:r>
              <w:t>0</w:t>
            </w:r>
          </w:p>
        </w:tc>
        <w:tc>
          <w:tcPr>
            <w:tcW w:w="1870" w:type="dxa"/>
            <w:vAlign w:val="bottom"/>
          </w:tcPr>
          <w:p w14:paraId="633B58A5" w14:textId="77777777" w:rsidR="00980919" w:rsidRDefault="00980919" w:rsidP="001515D5">
            <w:r>
              <w:t>0</w:t>
            </w:r>
          </w:p>
        </w:tc>
        <w:tc>
          <w:tcPr>
            <w:tcW w:w="1870" w:type="dxa"/>
            <w:vAlign w:val="bottom"/>
          </w:tcPr>
          <w:p w14:paraId="76C4AE05" w14:textId="77777777" w:rsidR="00980919" w:rsidRDefault="00980919" w:rsidP="001515D5">
            <w:r>
              <w:t>3</w:t>
            </w:r>
          </w:p>
        </w:tc>
        <w:tc>
          <w:tcPr>
            <w:tcW w:w="1870" w:type="dxa"/>
            <w:vAlign w:val="bottom"/>
          </w:tcPr>
          <w:p w14:paraId="7254EE39" w14:textId="77777777" w:rsidR="00980919" w:rsidRDefault="00980919" w:rsidP="001515D5">
            <w:r>
              <w:t>20</w:t>
            </w:r>
          </w:p>
        </w:tc>
      </w:tr>
      <w:tr w:rsidR="00980919" w14:paraId="0770A9E1" w14:textId="77777777" w:rsidTr="001515D5">
        <w:tc>
          <w:tcPr>
            <w:tcW w:w="1870" w:type="dxa"/>
            <w:vAlign w:val="bottom"/>
          </w:tcPr>
          <w:p w14:paraId="2E4E431E" w14:textId="77777777" w:rsidR="00980919" w:rsidRDefault="00980919" w:rsidP="001515D5">
            <w:r>
              <w:t>3/27/21</w:t>
            </w:r>
          </w:p>
        </w:tc>
        <w:tc>
          <w:tcPr>
            <w:tcW w:w="1870" w:type="dxa"/>
            <w:vAlign w:val="bottom"/>
          </w:tcPr>
          <w:p w14:paraId="0B71A660" w14:textId="77777777" w:rsidR="00980919" w:rsidRDefault="00980919" w:rsidP="001515D5">
            <w:r>
              <w:t>0</w:t>
            </w:r>
          </w:p>
        </w:tc>
        <w:tc>
          <w:tcPr>
            <w:tcW w:w="1870" w:type="dxa"/>
            <w:vAlign w:val="bottom"/>
          </w:tcPr>
          <w:p w14:paraId="22086780" w14:textId="77777777" w:rsidR="00980919" w:rsidRDefault="00980919" w:rsidP="001515D5">
            <w:r>
              <w:t>0</w:t>
            </w:r>
          </w:p>
        </w:tc>
        <w:tc>
          <w:tcPr>
            <w:tcW w:w="1870" w:type="dxa"/>
            <w:vAlign w:val="bottom"/>
          </w:tcPr>
          <w:p w14:paraId="37775CF0" w14:textId="77777777" w:rsidR="00980919" w:rsidRDefault="00980919" w:rsidP="001515D5">
            <w:r>
              <w:t>3</w:t>
            </w:r>
          </w:p>
        </w:tc>
        <w:tc>
          <w:tcPr>
            <w:tcW w:w="1870" w:type="dxa"/>
            <w:vAlign w:val="bottom"/>
          </w:tcPr>
          <w:p w14:paraId="793528F1" w14:textId="77777777" w:rsidR="00980919" w:rsidRDefault="00980919" w:rsidP="001515D5">
            <w:r>
              <w:t>15</w:t>
            </w:r>
          </w:p>
        </w:tc>
      </w:tr>
      <w:tr w:rsidR="00980919" w14:paraId="3580BA7B" w14:textId="77777777" w:rsidTr="001515D5">
        <w:tc>
          <w:tcPr>
            <w:tcW w:w="1870" w:type="dxa"/>
            <w:vAlign w:val="bottom"/>
          </w:tcPr>
          <w:p w14:paraId="0831C7AD" w14:textId="77777777" w:rsidR="00980919" w:rsidRDefault="00980919" w:rsidP="001515D5">
            <w:r>
              <w:t>4/3/21</w:t>
            </w:r>
          </w:p>
        </w:tc>
        <w:tc>
          <w:tcPr>
            <w:tcW w:w="1870" w:type="dxa"/>
            <w:vAlign w:val="bottom"/>
          </w:tcPr>
          <w:p w14:paraId="78C5EE64" w14:textId="77777777" w:rsidR="00980919" w:rsidRDefault="00980919" w:rsidP="001515D5">
            <w:r>
              <w:t>0</w:t>
            </w:r>
          </w:p>
        </w:tc>
        <w:tc>
          <w:tcPr>
            <w:tcW w:w="1870" w:type="dxa"/>
            <w:vAlign w:val="bottom"/>
          </w:tcPr>
          <w:p w14:paraId="5C577B85" w14:textId="77777777" w:rsidR="00980919" w:rsidRDefault="00980919" w:rsidP="001515D5">
            <w:r>
              <w:t>0</w:t>
            </w:r>
          </w:p>
        </w:tc>
        <w:tc>
          <w:tcPr>
            <w:tcW w:w="1870" w:type="dxa"/>
            <w:vAlign w:val="bottom"/>
          </w:tcPr>
          <w:p w14:paraId="232A8DA3" w14:textId="77777777" w:rsidR="00980919" w:rsidRDefault="00980919" w:rsidP="001515D5">
            <w:r>
              <w:t>3</w:t>
            </w:r>
          </w:p>
        </w:tc>
        <w:tc>
          <w:tcPr>
            <w:tcW w:w="1870" w:type="dxa"/>
            <w:vAlign w:val="bottom"/>
          </w:tcPr>
          <w:p w14:paraId="32886468" w14:textId="77777777" w:rsidR="00980919" w:rsidRDefault="00980919" w:rsidP="001515D5">
            <w:r>
              <w:t>8</w:t>
            </w:r>
          </w:p>
        </w:tc>
      </w:tr>
      <w:tr w:rsidR="00980919" w14:paraId="320EBFEE" w14:textId="77777777" w:rsidTr="001515D5">
        <w:tc>
          <w:tcPr>
            <w:tcW w:w="1870" w:type="dxa"/>
            <w:vAlign w:val="bottom"/>
          </w:tcPr>
          <w:p w14:paraId="267ECC37" w14:textId="77777777" w:rsidR="00980919" w:rsidRDefault="00980919" w:rsidP="001515D5">
            <w:r>
              <w:t>4/10/21</w:t>
            </w:r>
          </w:p>
        </w:tc>
        <w:tc>
          <w:tcPr>
            <w:tcW w:w="1870" w:type="dxa"/>
            <w:vAlign w:val="bottom"/>
          </w:tcPr>
          <w:p w14:paraId="696D110D" w14:textId="77777777" w:rsidR="00980919" w:rsidRDefault="00980919" w:rsidP="001515D5">
            <w:r>
              <w:t>0</w:t>
            </w:r>
          </w:p>
        </w:tc>
        <w:tc>
          <w:tcPr>
            <w:tcW w:w="1870" w:type="dxa"/>
            <w:vAlign w:val="bottom"/>
          </w:tcPr>
          <w:p w14:paraId="18340CF9" w14:textId="77777777" w:rsidR="00980919" w:rsidRDefault="00980919" w:rsidP="001515D5">
            <w:r>
              <w:t>1</w:t>
            </w:r>
          </w:p>
        </w:tc>
        <w:tc>
          <w:tcPr>
            <w:tcW w:w="1870" w:type="dxa"/>
            <w:vAlign w:val="bottom"/>
          </w:tcPr>
          <w:p w14:paraId="1FE2597E" w14:textId="77777777" w:rsidR="00980919" w:rsidRDefault="00980919" w:rsidP="001515D5">
            <w:r>
              <w:t>3</w:t>
            </w:r>
          </w:p>
        </w:tc>
        <w:tc>
          <w:tcPr>
            <w:tcW w:w="1870" w:type="dxa"/>
            <w:vAlign w:val="bottom"/>
          </w:tcPr>
          <w:p w14:paraId="498FF09E" w14:textId="77777777" w:rsidR="00980919" w:rsidRDefault="00980919" w:rsidP="001515D5">
            <w:r>
              <w:t>13</w:t>
            </w:r>
          </w:p>
        </w:tc>
      </w:tr>
      <w:tr w:rsidR="00980919" w14:paraId="1B88DF53" w14:textId="77777777" w:rsidTr="001515D5">
        <w:tc>
          <w:tcPr>
            <w:tcW w:w="1870" w:type="dxa"/>
            <w:vAlign w:val="bottom"/>
          </w:tcPr>
          <w:p w14:paraId="7AE5E1D4" w14:textId="77777777" w:rsidR="00980919" w:rsidRDefault="00980919" w:rsidP="001515D5">
            <w:r>
              <w:t>4/17/21</w:t>
            </w:r>
          </w:p>
        </w:tc>
        <w:tc>
          <w:tcPr>
            <w:tcW w:w="1870" w:type="dxa"/>
            <w:vAlign w:val="bottom"/>
          </w:tcPr>
          <w:p w14:paraId="60157015" w14:textId="77777777" w:rsidR="00980919" w:rsidRDefault="00980919" w:rsidP="001515D5">
            <w:r>
              <w:t>0</w:t>
            </w:r>
          </w:p>
        </w:tc>
        <w:tc>
          <w:tcPr>
            <w:tcW w:w="1870" w:type="dxa"/>
            <w:vAlign w:val="bottom"/>
          </w:tcPr>
          <w:p w14:paraId="3179CF63" w14:textId="77777777" w:rsidR="00980919" w:rsidRDefault="00980919" w:rsidP="001515D5">
            <w:r>
              <w:t>0</w:t>
            </w:r>
          </w:p>
        </w:tc>
        <w:tc>
          <w:tcPr>
            <w:tcW w:w="1870" w:type="dxa"/>
            <w:vAlign w:val="bottom"/>
          </w:tcPr>
          <w:p w14:paraId="2915E92D" w14:textId="77777777" w:rsidR="00980919" w:rsidRDefault="00980919" w:rsidP="001515D5">
            <w:r>
              <w:t>3</w:t>
            </w:r>
          </w:p>
        </w:tc>
        <w:tc>
          <w:tcPr>
            <w:tcW w:w="1870" w:type="dxa"/>
            <w:vAlign w:val="bottom"/>
          </w:tcPr>
          <w:p w14:paraId="489F1F84" w14:textId="77777777" w:rsidR="00980919" w:rsidRDefault="00980919" w:rsidP="001515D5">
            <w:r>
              <w:t>11</w:t>
            </w:r>
          </w:p>
        </w:tc>
      </w:tr>
      <w:tr w:rsidR="00980919" w14:paraId="1EA284CC" w14:textId="77777777" w:rsidTr="001515D5">
        <w:tc>
          <w:tcPr>
            <w:tcW w:w="1870" w:type="dxa"/>
            <w:vAlign w:val="bottom"/>
          </w:tcPr>
          <w:p w14:paraId="6CEC3ADB" w14:textId="77777777" w:rsidR="00980919" w:rsidRDefault="00980919" w:rsidP="001515D5">
            <w:r>
              <w:t>4/24/21</w:t>
            </w:r>
          </w:p>
        </w:tc>
        <w:tc>
          <w:tcPr>
            <w:tcW w:w="1870" w:type="dxa"/>
            <w:vAlign w:val="bottom"/>
          </w:tcPr>
          <w:p w14:paraId="3D9ADD3E" w14:textId="77777777" w:rsidR="00980919" w:rsidRDefault="00980919" w:rsidP="001515D5">
            <w:r>
              <w:t>0</w:t>
            </w:r>
          </w:p>
        </w:tc>
        <w:tc>
          <w:tcPr>
            <w:tcW w:w="1870" w:type="dxa"/>
            <w:vAlign w:val="bottom"/>
          </w:tcPr>
          <w:p w14:paraId="79266CC3" w14:textId="77777777" w:rsidR="00980919" w:rsidRDefault="00980919" w:rsidP="001515D5">
            <w:r>
              <w:t>0</w:t>
            </w:r>
          </w:p>
        </w:tc>
        <w:tc>
          <w:tcPr>
            <w:tcW w:w="1870" w:type="dxa"/>
            <w:vAlign w:val="bottom"/>
          </w:tcPr>
          <w:p w14:paraId="52275B7E" w14:textId="77777777" w:rsidR="00980919" w:rsidRDefault="00980919" w:rsidP="001515D5">
            <w:r>
              <w:t>3</w:t>
            </w:r>
          </w:p>
        </w:tc>
        <w:tc>
          <w:tcPr>
            <w:tcW w:w="1870" w:type="dxa"/>
            <w:vAlign w:val="bottom"/>
          </w:tcPr>
          <w:p w14:paraId="4AEDC4C5" w14:textId="77777777" w:rsidR="00980919" w:rsidRDefault="00980919" w:rsidP="001515D5">
            <w:r>
              <w:t>8</w:t>
            </w:r>
          </w:p>
        </w:tc>
      </w:tr>
      <w:tr w:rsidR="00980919" w14:paraId="63F7F92C" w14:textId="77777777" w:rsidTr="001515D5">
        <w:tc>
          <w:tcPr>
            <w:tcW w:w="1870" w:type="dxa"/>
            <w:vAlign w:val="bottom"/>
          </w:tcPr>
          <w:p w14:paraId="5BCD47AC" w14:textId="77777777" w:rsidR="00980919" w:rsidRDefault="00980919" w:rsidP="001515D5">
            <w:r>
              <w:t>5/1/21</w:t>
            </w:r>
          </w:p>
        </w:tc>
        <w:tc>
          <w:tcPr>
            <w:tcW w:w="1870" w:type="dxa"/>
            <w:vAlign w:val="bottom"/>
          </w:tcPr>
          <w:p w14:paraId="6D4368D9" w14:textId="77777777" w:rsidR="00980919" w:rsidRDefault="00980919" w:rsidP="001515D5">
            <w:r>
              <w:t>0</w:t>
            </w:r>
          </w:p>
        </w:tc>
        <w:tc>
          <w:tcPr>
            <w:tcW w:w="1870" w:type="dxa"/>
            <w:vAlign w:val="bottom"/>
          </w:tcPr>
          <w:p w14:paraId="4E1A4517" w14:textId="77777777" w:rsidR="00980919" w:rsidRDefault="00980919" w:rsidP="001515D5">
            <w:r>
              <w:t>0</w:t>
            </w:r>
          </w:p>
        </w:tc>
        <w:tc>
          <w:tcPr>
            <w:tcW w:w="1870" w:type="dxa"/>
            <w:vAlign w:val="bottom"/>
          </w:tcPr>
          <w:p w14:paraId="60D971B9" w14:textId="77777777" w:rsidR="00980919" w:rsidRDefault="00980919" w:rsidP="001515D5">
            <w:r>
              <w:t>3</w:t>
            </w:r>
          </w:p>
        </w:tc>
        <w:tc>
          <w:tcPr>
            <w:tcW w:w="1870" w:type="dxa"/>
            <w:vAlign w:val="bottom"/>
          </w:tcPr>
          <w:p w14:paraId="10ECB567" w14:textId="77777777" w:rsidR="00980919" w:rsidRDefault="00980919" w:rsidP="001515D5">
            <w:r>
              <w:t>6</w:t>
            </w:r>
          </w:p>
        </w:tc>
      </w:tr>
      <w:tr w:rsidR="00980919" w14:paraId="4530857A" w14:textId="77777777" w:rsidTr="001515D5">
        <w:tc>
          <w:tcPr>
            <w:tcW w:w="1870" w:type="dxa"/>
            <w:vAlign w:val="bottom"/>
          </w:tcPr>
          <w:p w14:paraId="3B1EF523" w14:textId="77777777" w:rsidR="00980919" w:rsidRDefault="00980919" w:rsidP="001515D5">
            <w:r>
              <w:t>5/8/21</w:t>
            </w:r>
          </w:p>
        </w:tc>
        <w:tc>
          <w:tcPr>
            <w:tcW w:w="1870" w:type="dxa"/>
            <w:vAlign w:val="bottom"/>
          </w:tcPr>
          <w:p w14:paraId="2DAF05A0" w14:textId="77777777" w:rsidR="00980919" w:rsidRDefault="00980919" w:rsidP="001515D5">
            <w:r>
              <w:t>0</w:t>
            </w:r>
          </w:p>
        </w:tc>
        <w:tc>
          <w:tcPr>
            <w:tcW w:w="1870" w:type="dxa"/>
            <w:vAlign w:val="bottom"/>
          </w:tcPr>
          <w:p w14:paraId="2E7790A9" w14:textId="77777777" w:rsidR="00980919" w:rsidRDefault="00980919" w:rsidP="001515D5">
            <w:r>
              <w:t>0</w:t>
            </w:r>
          </w:p>
        </w:tc>
        <w:tc>
          <w:tcPr>
            <w:tcW w:w="1870" w:type="dxa"/>
            <w:vAlign w:val="bottom"/>
          </w:tcPr>
          <w:p w14:paraId="3BF56C73" w14:textId="77777777" w:rsidR="00980919" w:rsidRDefault="00980919" w:rsidP="001515D5">
            <w:r>
              <w:t>2</w:t>
            </w:r>
          </w:p>
        </w:tc>
        <w:tc>
          <w:tcPr>
            <w:tcW w:w="1870" w:type="dxa"/>
            <w:vAlign w:val="bottom"/>
          </w:tcPr>
          <w:p w14:paraId="514E5570" w14:textId="77777777" w:rsidR="00980919" w:rsidRDefault="00980919" w:rsidP="001515D5">
            <w:r>
              <w:t>10</w:t>
            </w:r>
          </w:p>
        </w:tc>
      </w:tr>
      <w:tr w:rsidR="00980919" w14:paraId="333ECE8A" w14:textId="77777777" w:rsidTr="001515D5">
        <w:tc>
          <w:tcPr>
            <w:tcW w:w="1870" w:type="dxa"/>
            <w:vAlign w:val="bottom"/>
          </w:tcPr>
          <w:p w14:paraId="717D605A" w14:textId="77777777" w:rsidR="00980919" w:rsidRDefault="00980919" w:rsidP="001515D5">
            <w:r>
              <w:t>5/15/21</w:t>
            </w:r>
          </w:p>
        </w:tc>
        <w:tc>
          <w:tcPr>
            <w:tcW w:w="1870" w:type="dxa"/>
            <w:vAlign w:val="bottom"/>
          </w:tcPr>
          <w:p w14:paraId="71E63E06" w14:textId="77777777" w:rsidR="00980919" w:rsidRDefault="00980919" w:rsidP="001515D5">
            <w:r>
              <w:t>0</w:t>
            </w:r>
          </w:p>
        </w:tc>
        <w:tc>
          <w:tcPr>
            <w:tcW w:w="1870" w:type="dxa"/>
            <w:vAlign w:val="bottom"/>
          </w:tcPr>
          <w:p w14:paraId="28E66A96" w14:textId="77777777" w:rsidR="00980919" w:rsidRDefault="00980919" w:rsidP="001515D5">
            <w:r>
              <w:t>0</w:t>
            </w:r>
          </w:p>
        </w:tc>
        <w:tc>
          <w:tcPr>
            <w:tcW w:w="1870" w:type="dxa"/>
            <w:vAlign w:val="bottom"/>
          </w:tcPr>
          <w:p w14:paraId="2A93C074" w14:textId="77777777" w:rsidR="00980919" w:rsidRDefault="00980919" w:rsidP="001515D5">
            <w:r>
              <w:t>2</w:t>
            </w:r>
          </w:p>
        </w:tc>
        <w:tc>
          <w:tcPr>
            <w:tcW w:w="1870" w:type="dxa"/>
            <w:vAlign w:val="bottom"/>
          </w:tcPr>
          <w:p w14:paraId="014AF251" w14:textId="77777777" w:rsidR="00980919" w:rsidRDefault="00980919" w:rsidP="001515D5">
            <w:r>
              <w:t>4</w:t>
            </w:r>
          </w:p>
        </w:tc>
      </w:tr>
      <w:tr w:rsidR="00980919" w14:paraId="27078301" w14:textId="77777777" w:rsidTr="001515D5">
        <w:tc>
          <w:tcPr>
            <w:tcW w:w="1870" w:type="dxa"/>
            <w:vAlign w:val="bottom"/>
          </w:tcPr>
          <w:p w14:paraId="0B86580F" w14:textId="77777777" w:rsidR="00980919" w:rsidRDefault="00980919" w:rsidP="001515D5">
            <w:r>
              <w:t>5/22/21</w:t>
            </w:r>
          </w:p>
        </w:tc>
        <w:tc>
          <w:tcPr>
            <w:tcW w:w="1870" w:type="dxa"/>
            <w:vAlign w:val="bottom"/>
          </w:tcPr>
          <w:p w14:paraId="3BECE0D9" w14:textId="77777777" w:rsidR="00980919" w:rsidRDefault="00980919" w:rsidP="001515D5">
            <w:r>
              <w:t>0</w:t>
            </w:r>
          </w:p>
        </w:tc>
        <w:tc>
          <w:tcPr>
            <w:tcW w:w="1870" w:type="dxa"/>
            <w:vAlign w:val="bottom"/>
          </w:tcPr>
          <w:p w14:paraId="097AB92B" w14:textId="77777777" w:rsidR="00980919" w:rsidRDefault="00980919" w:rsidP="001515D5">
            <w:r>
              <w:t>0</w:t>
            </w:r>
          </w:p>
        </w:tc>
        <w:tc>
          <w:tcPr>
            <w:tcW w:w="1870" w:type="dxa"/>
            <w:vAlign w:val="bottom"/>
          </w:tcPr>
          <w:p w14:paraId="441E57B3" w14:textId="77777777" w:rsidR="00980919" w:rsidRDefault="00980919" w:rsidP="001515D5">
            <w:r>
              <w:t>1</w:t>
            </w:r>
          </w:p>
        </w:tc>
        <w:tc>
          <w:tcPr>
            <w:tcW w:w="1870" w:type="dxa"/>
            <w:vAlign w:val="bottom"/>
          </w:tcPr>
          <w:p w14:paraId="5B1746E4" w14:textId="77777777" w:rsidR="00980919" w:rsidRDefault="00980919" w:rsidP="001515D5">
            <w:r>
              <w:t>6</w:t>
            </w:r>
          </w:p>
        </w:tc>
      </w:tr>
      <w:tr w:rsidR="00980919" w14:paraId="2F3ACC9E" w14:textId="77777777" w:rsidTr="001515D5">
        <w:tc>
          <w:tcPr>
            <w:tcW w:w="1870" w:type="dxa"/>
            <w:vAlign w:val="bottom"/>
          </w:tcPr>
          <w:p w14:paraId="66397F99" w14:textId="77777777" w:rsidR="00980919" w:rsidRDefault="00980919" w:rsidP="001515D5">
            <w:r>
              <w:t>5/29/21</w:t>
            </w:r>
          </w:p>
        </w:tc>
        <w:tc>
          <w:tcPr>
            <w:tcW w:w="1870" w:type="dxa"/>
            <w:vAlign w:val="bottom"/>
          </w:tcPr>
          <w:p w14:paraId="46E1004D" w14:textId="77777777" w:rsidR="00980919" w:rsidRDefault="00980919" w:rsidP="001515D5">
            <w:r>
              <w:t>0</w:t>
            </w:r>
          </w:p>
        </w:tc>
        <w:tc>
          <w:tcPr>
            <w:tcW w:w="1870" w:type="dxa"/>
            <w:vAlign w:val="bottom"/>
          </w:tcPr>
          <w:p w14:paraId="40D55D25" w14:textId="77777777" w:rsidR="00980919" w:rsidRDefault="00980919" w:rsidP="001515D5">
            <w:r>
              <w:t>0</w:t>
            </w:r>
          </w:p>
        </w:tc>
        <w:tc>
          <w:tcPr>
            <w:tcW w:w="1870" w:type="dxa"/>
            <w:vAlign w:val="bottom"/>
          </w:tcPr>
          <w:p w14:paraId="54631FBE" w14:textId="77777777" w:rsidR="00980919" w:rsidRDefault="00980919" w:rsidP="001515D5">
            <w:r>
              <w:t>1</w:t>
            </w:r>
          </w:p>
        </w:tc>
        <w:tc>
          <w:tcPr>
            <w:tcW w:w="1870" w:type="dxa"/>
            <w:vAlign w:val="bottom"/>
          </w:tcPr>
          <w:p w14:paraId="79C5AAEA" w14:textId="77777777" w:rsidR="00980919" w:rsidRDefault="00980919" w:rsidP="001515D5">
            <w:r>
              <w:t>6</w:t>
            </w:r>
          </w:p>
        </w:tc>
      </w:tr>
      <w:tr w:rsidR="00980919" w14:paraId="507FBDD5" w14:textId="77777777" w:rsidTr="001515D5">
        <w:tc>
          <w:tcPr>
            <w:tcW w:w="1870" w:type="dxa"/>
            <w:vAlign w:val="bottom"/>
          </w:tcPr>
          <w:p w14:paraId="7DC89BBE" w14:textId="77777777" w:rsidR="00980919" w:rsidRDefault="00980919" w:rsidP="001515D5">
            <w:r>
              <w:t>6/5/21</w:t>
            </w:r>
          </w:p>
        </w:tc>
        <w:tc>
          <w:tcPr>
            <w:tcW w:w="1870" w:type="dxa"/>
            <w:vAlign w:val="bottom"/>
          </w:tcPr>
          <w:p w14:paraId="140BB9C5" w14:textId="77777777" w:rsidR="00980919" w:rsidRDefault="00980919" w:rsidP="001515D5">
            <w:r>
              <w:t>0</w:t>
            </w:r>
          </w:p>
        </w:tc>
        <w:tc>
          <w:tcPr>
            <w:tcW w:w="1870" w:type="dxa"/>
            <w:vAlign w:val="bottom"/>
          </w:tcPr>
          <w:p w14:paraId="20E263B4" w14:textId="77777777" w:rsidR="00980919" w:rsidRDefault="00980919" w:rsidP="001515D5">
            <w:r>
              <w:t>0</w:t>
            </w:r>
          </w:p>
        </w:tc>
        <w:tc>
          <w:tcPr>
            <w:tcW w:w="1870" w:type="dxa"/>
            <w:vAlign w:val="bottom"/>
          </w:tcPr>
          <w:p w14:paraId="2817BF84" w14:textId="77777777" w:rsidR="00980919" w:rsidRDefault="00980919" w:rsidP="001515D5">
            <w:r>
              <w:t>1</w:t>
            </w:r>
          </w:p>
        </w:tc>
        <w:tc>
          <w:tcPr>
            <w:tcW w:w="1870" w:type="dxa"/>
            <w:vAlign w:val="bottom"/>
          </w:tcPr>
          <w:p w14:paraId="321AFD9A" w14:textId="77777777" w:rsidR="00980919" w:rsidRDefault="00980919" w:rsidP="001515D5">
            <w:r>
              <w:t>5</w:t>
            </w:r>
          </w:p>
        </w:tc>
      </w:tr>
      <w:tr w:rsidR="00980919" w14:paraId="0F415E72" w14:textId="77777777" w:rsidTr="001515D5">
        <w:tc>
          <w:tcPr>
            <w:tcW w:w="1870" w:type="dxa"/>
            <w:vAlign w:val="bottom"/>
          </w:tcPr>
          <w:p w14:paraId="4FA279C2" w14:textId="77777777" w:rsidR="00980919" w:rsidRDefault="00980919" w:rsidP="001515D5">
            <w:r>
              <w:t>6/12/21</w:t>
            </w:r>
          </w:p>
        </w:tc>
        <w:tc>
          <w:tcPr>
            <w:tcW w:w="1870" w:type="dxa"/>
            <w:vAlign w:val="bottom"/>
          </w:tcPr>
          <w:p w14:paraId="2725D81A" w14:textId="77777777" w:rsidR="00980919" w:rsidRDefault="00980919" w:rsidP="001515D5">
            <w:r>
              <w:t>0</w:t>
            </w:r>
          </w:p>
        </w:tc>
        <w:tc>
          <w:tcPr>
            <w:tcW w:w="1870" w:type="dxa"/>
            <w:vAlign w:val="bottom"/>
          </w:tcPr>
          <w:p w14:paraId="71E02201" w14:textId="77777777" w:rsidR="00980919" w:rsidRDefault="00980919" w:rsidP="001515D5">
            <w:r>
              <w:t>0</w:t>
            </w:r>
          </w:p>
        </w:tc>
        <w:tc>
          <w:tcPr>
            <w:tcW w:w="1870" w:type="dxa"/>
            <w:vAlign w:val="bottom"/>
          </w:tcPr>
          <w:p w14:paraId="3E8561EC" w14:textId="77777777" w:rsidR="00980919" w:rsidRDefault="00980919" w:rsidP="001515D5">
            <w:r>
              <w:t>1</w:t>
            </w:r>
          </w:p>
        </w:tc>
        <w:tc>
          <w:tcPr>
            <w:tcW w:w="1870" w:type="dxa"/>
            <w:vAlign w:val="bottom"/>
          </w:tcPr>
          <w:p w14:paraId="1E0A613F" w14:textId="77777777" w:rsidR="00980919" w:rsidRDefault="00980919" w:rsidP="001515D5">
            <w:r>
              <w:t>3</w:t>
            </w:r>
          </w:p>
        </w:tc>
      </w:tr>
      <w:tr w:rsidR="00980919" w14:paraId="3978D461" w14:textId="77777777" w:rsidTr="001515D5">
        <w:tc>
          <w:tcPr>
            <w:tcW w:w="1870" w:type="dxa"/>
            <w:vAlign w:val="bottom"/>
          </w:tcPr>
          <w:p w14:paraId="59D0E380" w14:textId="77777777" w:rsidR="00980919" w:rsidRDefault="00980919" w:rsidP="001515D5">
            <w:r>
              <w:t>6/19/21</w:t>
            </w:r>
          </w:p>
        </w:tc>
        <w:tc>
          <w:tcPr>
            <w:tcW w:w="1870" w:type="dxa"/>
            <w:vAlign w:val="bottom"/>
          </w:tcPr>
          <w:p w14:paraId="3DB48628" w14:textId="77777777" w:rsidR="00980919" w:rsidRDefault="00980919" w:rsidP="001515D5">
            <w:r>
              <w:t>0</w:t>
            </w:r>
          </w:p>
        </w:tc>
        <w:tc>
          <w:tcPr>
            <w:tcW w:w="1870" w:type="dxa"/>
            <w:vAlign w:val="bottom"/>
          </w:tcPr>
          <w:p w14:paraId="518B9282" w14:textId="77777777" w:rsidR="00980919" w:rsidRDefault="00980919" w:rsidP="001515D5">
            <w:r>
              <w:t>0</w:t>
            </w:r>
          </w:p>
        </w:tc>
        <w:tc>
          <w:tcPr>
            <w:tcW w:w="1870" w:type="dxa"/>
            <w:vAlign w:val="bottom"/>
          </w:tcPr>
          <w:p w14:paraId="7280673B" w14:textId="77777777" w:rsidR="00980919" w:rsidRDefault="00980919" w:rsidP="001515D5">
            <w:r>
              <w:t>1</w:t>
            </w:r>
          </w:p>
        </w:tc>
        <w:tc>
          <w:tcPr>
            <w:tcW w:w="1870" w:type="dxa"/>
            <w:vAlign w:val="bottom"/>
          </w:tcPr>
          <w:p w14:paraId="430532C0" w14:textId="77777777" w:rsidR="00980919" w:rsidRDefault="00980919" w:rsidP="001515D5">
            <w:r>
              <w:t>3</w:t>
            </w:r>
          </w:p>
        </w:tc>
      </w:tr>
      <w:tr w:rsidR="00980919" w14:paraId="3AD4CE70" w14:textId="77777777" w:rsidTr="001515D5">
        <w:tc>
          <w:tcPr>
            <w:tcW w:w="1870" w:type="dxa"/>
            <w:vAlign w:val="bottom"/>
          </w:tcPr>
          <w:p w14:paraId="6B7864E7" w14:textId="77777777" w:rsidR="00980919" w:rsidRDefault="00980919" w:rsidP="001515D5">
            <w:r>
              <w:t>6/26/21</w:t>
            </w:r>
          </w:p>
        </w:tc>
        <w:tc>
          <w:tcPr>
            <w:tcW w:w="1870" w:type="dxa"/>
            <w:vAlign w:val="bottom"/>
          </w:tcPr>
          <w:p w14:paraId="04C3DFB1" w14:textId="77777777" w:rsidR="00980919" w:rsidRDefault="00980919" w:rsidP="001515D5">
            <w:r>
              <w:t>0</w:t>
            </w:r>
          </w:p>
        </w:tc>
        <w:tc>
          <w:tcPr>
            <w:tcW w:w="1870" w:type="dxa"/>
            <w:vAlign w:val="bottom"/>
          </w:tcPr>
          <w:p w14:paraId="696940D2" w14:textId="77777777" w:rsidR="00980919" w:rsidRDefault="00980919" w:rsidP="001515D5">
            <w:r>
              <w:t>0</w:t>
            </w:r>
          </w:p>
        </w:tc>
        <w:tc>
          <w:tcPr>
            <w:tcW w:w="1870" w:type="dxa"/>
            <w:vAlign w:val="bottom"/>
          </w:tcPr>
          <w:p w14:paraId="05E8A8FC" w14:textId="77777777" w:rsidR="00980919" w:rsidRDefault="00980919" w:rsidP="001515D5">
            <w:r>
              <w:t>1</w:t>
            </w:r>
          </w:p>
        </w:tc>
        <w:tc>
          <w:tcPr>
            <w:tcW w:w="1870" w:type="dxa"/>
            <w:vAlign w:val="bottom"/>
          </w:tcPr>
          <w:p w14:paraId="49A78637" w14:textId="77777777" w:rsidR="00980919" w:rsidRDefault="00980919" w:rsidP="001515D5">
            <w:r>
              <w:t>3</w:t>
            </w:r>
          </w:p>
        </w:tc>
      </w:tr>
      <w:tr w:rsidR="00980919" w14:paraId="33C14B84" w14:textId="77777777" w:rsidTr="001515D5">
        <w:tc>
          <w:tcPr>
            <w:tcW w:w="1870" w:type="dxa"/>
            <w:vAlign w:val="bottom"/>
          </w:tcPr>
          <w:p w14:paraId="11006C17" w14:textId="77777777" w:rsidR="00980919" w:rsidRDefault="00980919" w:rsidP="001515D5">
            <w:r>
              <w:t>7/3/21</w:t>
            </w:r>
          </w:p>
        </w:tc>
        <w:tc>
          <w:tcPr>
            <w:tcW w:w="1870" w:type="dxa"/>
            <w:vAlign w:val="bottom"/>
          </w:tcPr>
          <w:p w14:paraId="583F7A2F" w14:textId="77777777" w:rsidR="00980919" w:rsidRDefault="00980919" w:rsidP="001515D5">
            <w:r>
              <w:t>0</w:t>
            </w:r>
          </w:p>
        </w:tc>
        <w:tc>
          <w:tcPr>
            <w:tcW w:w="1870" w:type="dxa"/>
            <w:vAlign w:val="bottom"/>
          </w:tcPr>
          <w:p w14:paraId="163F3006" w14:textId="77777777" w:rsidR="00980919" w:rsidRDefault="00980919" w:rsidP="001515D5">
            <w:r>
              <w:t>0</w:t>
            </w:r>
          </w:p>
        </w:tc>
        <w:tc>
          <w:tcPr>
            <w:tcW w:w="1870" w:type="dxa"/>
            <w:vAlign w:val="bottom"/>
          </w:tcPr>
          <w:p w14:paraId="11220C95" w14:textId="77777777" w:rsidR="00980919" w:rsidRDefault="00980919" w:rsidP="001515D5">
            <w:r>
              <w:t>1</w:t>
            </w:r>
          </w:p>
        </w:tc>
        <w:tc>
          <w:tcPr>
            <w:tcW w:w="1870" w:type="dxa"/>
            <w:vAlign w:val="bottom"/>
          </w:tcPr>
          <w:p w14:paraId="62495EA8" w14:textId="77777777" w:rsidR="00980919" w:rsidRDefault="00980919" w:rsidP="001515D5">
            <w:r>
              <w:t>4</w:t>
            </w:r>
          </w:p>
        </w:tc>
      </w:tr>
      <w:tr w:rsidR="00980919" w14:paraId="56279932" w14:textId="77777777" w:rsidTr="001515D5">
        <w:tc>
          <w:tcPr>
            <w:tcW w:w="1870" w:type="dxa"/>
            <w:vAlign w:val="bottom"/>
          </w:tcPr>
          <w:p w14:paraId="197AE3CB" w14:textId="77777777" w:rsidR="00980919" w:rsidRDefault="00980919" w:rsidP="001515D5">
            <w:r>
              <w:t>7/10/21</w:t>
            </w:r>
          </w:p>
        </w:tc>
        <w:tc>
          <w:tcPr>
            <w:tcW w:w="1870" w:type="dxa"/>
            <w:vAlign w:val="bottom"/>
          </w:tcPr>
          <w:p w14:paraId="1A81983F" w14:textId="77777777" w:rsidR="00980919" w:rsidRDefault="00980919" w:rsidP="001515D5">
            <w:r>
              <w:t>0</w:t>
            </w:r>
          </w:p>
        </w:tc>
        <w:tc>
          <w:tcPr>
            <w:tcW w:w="1870" w:type="dxa"/>
            <w:vAlign w:val="bottom"/>
          </w:tcPr>
          <w:p w14:paraId="78BA76E2" w14:textId="77777777" w:rsidR="00980919" w:rsidRDefault="00980919" w:rsidP="001515D5">
            <w:r>
              <w:t>0</w:t>
            </w:r>
          </w:p>
        </w:tc>
        <w:tc>
          <w:tcPr>
            <w:tcW w:w="1870" w:type="dxa"/>
            <w:vAlign w:val="bottom"/>
          </w:tcPr>
          <w:p w14:paraId="246FBFAD" w14:textId="77777777" w:rsidR="00980919" w:rsidRDefault="00980919" w:rsidP="001515D5">
            <w:r>
              <w:t>1</w:t>
            </w:r>
          </w:p>
        </w:tc>
        <w:tc>
          <w:tcPr>
            <w:tcW w:w="1870" w:type="dxa"/>
            <w:vAlign w:val="bottom"/>
          </w:tcPr>
          <w:p w14:paraId="6E192830" w14:textId="77777777" w:rsidR="00980919" w:rsidRDefault="00980919" w:rsidP="001515D5">
            <w:r>
              <w:t>5</w:t>
            </w:r>
          </w:p>
        </w:tc>
      </w:tr>
      <w:tr w:rsidR="00980919" w14:paraId="3EEAD046" w14:textId="77777777" w:rsidTr="001515D5">
        <w:tc>
          <w:tcPr>
            <w:tcW w:w="1870" w:type="dxa"/>
            <w:vAlign w:val="bottom"/>
          </w:tcPr>
          <w:p w14:paraId="482CF23F" w14:textId="77777777" w:rsidR="00980919" w:rsidRDefault="00980919" w:rsidP="001515D5">
            <w:r>
              <w:t>7/17/21</w:t>
            </w:r>
          </w:p>
        </w:tc>
        <w:tc>
          <w:tcPr>
            <w:tcW w:w="1870" w:type="dxa"/>
            <w:vAlign w:val="bottom"/>
          </w:tcPr>
          <w:p w14:paraId="7F5647FB" w14:textId="77777777" w:rsidR="00980919" w:rsidRDefault="00980919" w:rsidP="001515D5">
            <w:r>
              <w:t>0</w:t>
            </w:r>
          </w:p>
        </w:tc>
        <w:tc>
          <w:tcPr>
            <w:tcW w:w="1870" w:type="dxa"/>
            <w:vAlign w:val="bottom"/>
          </w:tcPr>
          <w:p w14:paraId="2C145402" w14:textId="77777777" w:rsidR="00980919" w:rsidRDefault="00980919" w:rsidP="001515D5">
            <w:r>
              <w:t>0</w:t>
            </w:r>
          </w:p>
        </w:tc>
        <w:tc>
          <w:tcPr>
            <w:tcW w:w="1870" w:type="dxa"/>
            <w:vAlign w:val="bottom"/>
          </w:tcPr>
          <w:p w14:paraId="22E792E4" w14:textId="77777777" w:rsidR="00980919" w:rsidRDefault="00980919" w:rsidP="001515D5">
            <w:r>
              <w:t>1</w:t>
            </w:r>
          </w:p>
        </w:tc>
        <w:tc>
          <w:tcPr>
            <w:tcW w:w="1870" w:type="dxa"/>
            <w:vAlign w:val="bottom"/>
          </w:tcPr>
          <w:p w14:paraId="28FAF737" w14:textId="77777777" w:rsidR="00980919" w:rsidRDefault="00980919" w:rsidP="001515D5">
            <w:r>
              <w:t>0</w:t>
            </w:r>
          </w:p>
        </w:tc>
      </w:tr>
      <w:tr w:rsidR="00980919" w14:paraId="2264B981" w14:textId="77777777" w:rsidTr="001515D5">
        <w:tc>
          <w:tcPr>
            <w:tcW w:w="1870" w:type="dxa"/>
            <w:vAlign w:val="bottom"/>
          </w:tcPr>
          <w:p w14:paraId="5144D85B" w14:textId="77777777" w:rsidR="00980919" w:rsidRDefault="00980919" w:rsidP="001515D5">
            <w:r>
              <w:t>7/24/21</w:t>
            </w:r>
          </w:p>
        </w:tc>
        <w:tc>
          <w:tcPr>
            <w:tcW w:w="1870" w:type="dxa"/>
            <w:vAlign w:val="bottom"/>
          </w:tcPr>
          <w:p w14:paraId="592D0D79" w14:textId="77777777" w:rsidR="00980919" w:rsidRDefault="00980919" w:rsidP="001515D5">
            <w:r>
              <w:t>0</w:t>
            </w:r>
          </w:p>
        </w:tc>
        <w:tc>
          <w:tcPr>
            <w:tcW w:w="1870" w:type="dxa"/>
            <w:vAlign w:val="bottom"/>
          </w:tcPr>
          <w:p w14:paraId="306AC2CF" w14:textId="77777777" w:rsidR="00980919" w:rsidRDefault="00980919" w:rsidP="001515D5">
            <w:r>
              <w:t>0</w:t>
            </w:r>
          </w:p>
        </w:tc>
        <w:tc>
          <w:tcPr>
            <w:tcW w:w="1870" w:type="dxa"/>
            <w:vAlign w:val="bottom"/>
          </w:tcPr>
          <w:p w14:paraId="0AC04F9A" w14:textId="77777777" w:rsidR="00980919" w:rsidRDefault="00980919" w:rsidP="001515D5">
            <w:r>
              <w:t>1</w:t>
            </w:r>
          </w:p>
        </w:tc>
        <w:tc>
          <w:tcPr>
            <w:tcW w:w="1870" w:type="dxa"/>
            <w:vAlign w:val="bottom"/>
          </w:tcPr>
          <w:p w14:paraId="0EBA769A" w14:textId="77777777" w:rsidR="00980919" w:rsidRDefault="00980919" w:rsidP="001515D5">
            <w:r>
              <w:t>7</w:t>
            </w:r>
          </w:p>
        </w:tc>
      </w:tr>
      <w:tr w:rsidR="00980919" w14:paraId="28E6F90F" w14:textId="77777777" w:rsidTr="001515D5">
        <w:tc>
          <w:tcPr>
            <w:tcW w:w="1870" w:type="dxa"/>
            <w:vAlign w:val="bottom"/>
          </w:tcPr>
          <w:p w14:paraId="0D2D4F40" w14:textId="77777777" w:rsidR="00980919" w:rsidRDefault="00980919" w:rsidP="001515D5">
            <w:r>
              <w:lastRenderedPageBreak/>
              <w:t>7/31/21</w:t>
            </w:r>
          </w:p>
        </w:tc>
        <w:tc>
          <w:tcPr>
            <w:tcW w:w="1870" w:type="dxa"/>
            <w:vAlign w:val="bottom"/>
          </w:tcPr>
          <w:p w14:paraId="1E46055F" w14:textId="77777777" w:rsidR="00980919" w:rsidRDefault="00980919" w:rsidP="001515D5">
            <w:r>
              <w:t>0</w:t>
            </w:r>
          </w:p>
        </w:tc>
        <w:tc>
          <w:tcPr>
            <w:tcW w:w="1870" w:type="dxa"/>
            <w:vAlign w:val="bottom"/>
          </w:tcPr>
          <w:p w14:paraId="7F48CD0C" w14:textId="77777777" w:rsidR="00980919" w:rsidRDefault="00980919" w:rsidP="001515D5">
            <w:r>
              <w:t>0</w:t>
            </w:r>
          </w:p>
        </w:tc>
        <w:tc>
          <w:tcPr>
            <w:tcW w:w="1870" w:type="dxa"/>
            <w:vAlign w:val="bottom"/>
          </w:tcPr>
          <w:p w14:paraId="26EF46C3" w14:textId="77777777" w:rsidR="00980919" w:rsidRDefault="00980919" w:rsidP="001515D5">
            <w:r>
              <w:t>2</w:t>
            </w:r>
          </w:p>
        </w:tc>
        <w:tc>
          <w:tcPr>
            <w:tcW w:w="1870" w:type="dxa"/>
            <w:vAlign w:val="bottom"/>
          </w:tcPr>
          <w:p w14:paraId="447A74FD" w14:textId="77777777" w:rsidR="00980919" w:rsidRDefault="00980919" w:rsidP="001515D5">
            <w:r>
              <w:t>10</w:t>
            </w:r>
          </w:p>
        </w:tc>
      </w:tr>
      <w:tr w:rsidR="00980919" w14:paraId="3D250DAD" w14:textId="77777777" w:rsidTr="001515D5">
        <w:tc>
          <w:tcPr>
            <w:tcW w:w="1870" w:type="dxa"/>
            <w:vAlign w:val="bottom"/>
          </w:tcPr>
          <w:p w14:paraId="3FED848C" w14:textId="77777777" w:rsidR="00980919" w:rsidRDefault="00980919" w:rsidP="001515D5">
            <w:r>
              <w:t>8/7/21</w:t>
            </w:r>
          </w:p>
        </w:tc>
        <w:tc>
          <w:tcPr>
            <w:tcW w:w="1870" w:type="dxa"/>
            <w:vAlign w:val="bottom"/>
          </w:tcPr>
          <w:p w14:paraId="1602CF5F" w14:textId="77777777" w:rsidR="00980919" w:rsidRDefault="00980919" w:rsidP="001515D5">
            <w:r>
              <w:t>0</w:t>
            </w:r>
          </w:p>
        </w:tc>
        <w:tc>
          <w:tcPr>
            <w:tcW w:w="1870" w:type="dxa"/>
            <w:vAlign w:val="bottom"/>
          </w:tcPr>
          <w:p w14:paraId="04DA2131" w14:textId="77777777" w:rsidR="00980919" w:rsidRDefault="00980919" w:rsidP="001515D5">
            <w:r>
              <w:t>1</w:t>
            </w:r>
          </w:p>
        </w:tc>
        <w:tc>
          <w:tcPr>
            <w:tcW w:w="1870" w:type="dxa"/>
            <w:vAlign w:val="bottom"/>
          </w:tcPr>
          <w:p w14:paraId="3F3818B0" w14:textId="77777777" w:rsidR="00980919" w:rsidRDefault="00980919" w:rsidP="001515D5">
            <w:r>
              <w:t>4</w:t>
            </w:r>
          </w:p>
        </w:tc>
        <w:tc>
          <w:tcPr>
            <w:tcW w:w="1870" w:type="dxa"/>
            <w:vAlign w:val="bottom"/>
          </w:tcPr>
          <w:p w14:paraId="6617E124" w14:textId="77777777" w:rsidR="00980919" w:rsidRDefault="00980919" w:rsidP="001515D5">
            <w:r>
              <w:t>11</w:t>
            </w:r>
          </w:p>
        </w:tc>
      </w:tr>
      <w:tr w:rsidR="00980919" w14:paraId="486B76CD" w14:textId="77777777" w:rsidTr="001515D5">
        <w:tc>
          <w:tcPr>
            <w:tcW w:w="1870" w:type="dxa"/>
            <w:vAlign w:val="bottom"/>
          </w:tcPr>
          <w:p w14:paraId="518A7964" w14:textId="77777777" w:rsidR="00980919" w:rsidRDefault="00980919" w:rsidP="001515D5">
            <w:r>
              <w:t>8/14/21</w:t>
            </w:r>
          </w:p>
        </w:tc>
        <w:tc>
          <w:tcPr>
            <w:tcW w:w="1870" w:type="dxa"/>
            <w:vAlign w:val="bottom"/>
          </w:tcPr>
          <w:p w14:paraId="485FDF79" w14:textId="77777777" w:rsidR="00980919" w:rsidRDefault="00980919" w:rsidP="001515D5">
            <w:r>
              <w:t>0</w:t>
            </w:r>
          </w:p>
        </w:tc>
        <w:tc>
          <w:tcPr>
            <w:tcW w:w="1870" w:type="dxa"/>
            <w:vAlign w:val="bottom"/>
          </w:tcPr>
          <w:p w14:paraId="210CFF3F" w14:textId="77777777" w:rsidR="00980919" w:rsidRDefault="00980919" w:rsidP="001515D5">
            <w:r>
              <w:t>1</w:t>
            </w:r>
          </w:p>
        </w:tc>
        <w:tc>
          <w:tcPr>
            <w:tcW w:w="1870" w:type="dxa"/>
            <w:vAlign w:val="bottom"/>
          </w:tcPr>
          <w:p w14:paraId="0AA8E902" w14:textId="77777777" w:rsidR="00980919" w:rsidRDefault="00980919" w:rsidP="001515D5">
            <w:r>
              <w:t>6</w:t>
            </w:r>
          </w:p>
        </w:tc>
        <w:tc>
          <w:tcPr>
            <w:tcW w:w="1870" w:type="dxa"/>
            <w:vAlign w:val="bottom"/>
          </w:tcPr>
          <w:p w14:paraId="0CFFB265" w14:textId="77777777" w:rsidR="00980919" w:rsidRDefault="00980919" w:rsidP="001515D5">
            <w:r>
              <w:t>25</w:t>
            </w:r>
          </w:p>
        </w:tc>
      </w:tr>
      <w:tr w:rsidR="00980919" w14:paraId="57AAA923" w14:textId="77777777" w:rsidTr="001515D5">
        <w:tc>
          <w:tcPr>
            <w:tcW w:w="1870" w:type="dxa"/>
            <w:vAlign w:val="bottom"/>
          </w:tcPr>
          <w:p w14:paraId="5DB97375" w14:textId="77777777" w:rsidR="00980919" w:rsidRDefault="00980919" w:rsidP="001515D5">
            <w:r>
              <w:t>8/21/21</w:t>
            </w:r>
          </w:p>
        </w:tc>
        <w:tc>
          <w:tcPr>
            <w:tcW w:w="1870" w:type="dxa"/>
            <w:vAlign w:val="bottom"/>
          </w:tcPr>
          <w:p w14:paraId="2E8F394E" w14:textId="77777777" w:rsidR="00980919" w:rsidRDefault="00980919" w:rsidP="001515D5">
            <w:r>
              <w:t>0</w:t>
            </w:r>
          </w:p>
        </w:tc>
        <w:tc>
          <w:tcPr>
            <w:tcW w:w="1870" w:type="dxa"/>
            <w:vAlign w:val="bottom"/>
          </w:tcPr>
          <w:p w14:paraId="47962B18" w14:textId="77777777" w:rsidR="00980919" w:rsidRDefault="00980919" w:rsidP="001515D5">
            <w:r>
              <w:t>2</w:t>
            </w:r>
          </w:p>
        </w:tc>
        <w:tc>
          <w:tcPr>
            <w:tcW w:w="1870" w:type="dxa"/>
            <w:vAlign w:val="bottom"/>
          </w:tcPr>
          <w:p w14:paraId="670015AD" w14:textId="77777777" w:rsidR="00980919" w:rsidRDefault="00980919" w:rsidP="001515D5">
            <w:r>
              <w:t>9</w:t>
            </w:r>
          </w:p>
        </w:tc>
        <w:tc>
          <w:tcPr>
            <w:tcW w:w="1870" w:type="dxa"/>
            <w:vAlign w:val="bottom"/>
          </w:tcPr>
          <w:p w14:paraId="094C8583" w14:textId="77777777" w:rsidR="00980919" w:rsidRDefault="00980919" w:rsidP="001515D5">
            <w:r>
              <w:t>36</w:t>
            </w:r>
          </w:p>
        </w:tc>
      </w:tr>
      <w:tr w:rsidR="00980919" w14:paraId="6B92D63C" w14:textId="77777777" w:rsidTr="001515D5">
        <w:tc>
          <w:tcPr>
            <w:tcW w:w="1870" w:type="dxa"/>
            <w:vAlign w:val="bottom"/>
          </w:tcPr>
          <w:p w14:paraId="4927868C" w14:textId="77777777" w:rsidR="00980919" w:rsidRDefault="00980919" w:rsidP="001515D5">
            <w:r>
              <w:t>8/28/21</w:t>
            </w:r>
          </w:p>
        </w:tc>
        <w:tc>
          <w:tcPr>
            <w:tcW w:w="1870" w:type="dxa"/>
            <w:vAlign w:val="bottom"/>
          </w:tcPr>
          <w:p w14:paraId="0C6172BE" w14:textId="77777777" w:rsidR="00980919" w:rsidRDefault="00980919" w:rsidP="001515D5">
            <w:r>
              <w:t>0</w:t>
            </w:r>
          </w:p>
        </w:tc>
        <w:tc>
          <w:tcPr>
            <w:tcW w:w="1870" w:type="dxa"/>
            <w:vAlign w:val="bottom"/>
          </w:tcPr>
          <w:p w14:paraId="117B9A40" w14:textId="77777777" w:rsidR="00980919" w:rsidRDefault="00980919" w:rsidP="001515D5">
            <w:r>
              <w:t>3</w:t>
            </w:r>
          </w:p>
        </w:tc>
        <w:tc>
          <w:tcPr>
            <w:tcW w:w="1870" w:type="dxa"/>
            <w:vAlign w:val="bottom"/>
          </w:tcPr>
          <w:p w14:paraId="4DD937B4" w14:textId="77777777" w:rsidR="00980919" w:rsidRDefault="00980919" w:rsidP="001515D5">
            <w:r>
              <w:t>12</w:t>
            </w:r>
          </w:p>
        </w:tc>
        <w:tc>
          <w:tcPr>
            <w:tcW w:w="1870" w:type="dxa"/>
            <w:vAlign w:val="bottom"/>
          </w:tcPr>
          <w:p w14:paraId="213AE5E9" w14:textId="77777777" w:rsidR="00980919" w:rsidRDefault="00980919" w:rsidP="001515D5">
            <w:r>
              <w:t>35</w:t>
            </w:r>
          </w:p>
        </w:tc>
      </w:tr>
      <w:tr w:rsidR="00980919" w14:paraId="7B2DE884" w14:textId="77777777" w:rsidTr="001515D5">
        <w:tc>
          <w:tcPr>
            <w:tcW w:w="1870" w:type="dxa"/>
            <w:vAlign w:val="bottom"/>
          </w:tcPr>
          <w:p w14:paraId="7B31BDA5" w14:textId="77777777" w:rsidR="00980919" w:rsidRDefault="00980919" w:rsidP="001515D5">
            <w:r>
              <w:t>9/4/21</w:t>
            </w:r>
          </w:p>
        </w:tc>
        <w:tc>
          <w:tcPr>
            <w:tcW w:w="1870" w:type="dxa"/>
            <w:vAlign w:val="bottom"/>
          </w:tcPr>
          <w:p w14:paraId="3E455AE7" w14:textId="77777777" w:rsidR="00980919" w:rsidRDefault="00980919" w:rsidP="001515D5">
            <w:r>
              <w:t>0</w:t>
            </w:r>
          </w:p>
        </w:tc>
        <w:tc>
          <w:tcPr>
            <w:tcW w:w="1870" w:type="dxa"/>
            <w:vAlign w:val="bottom"/>
          </w:tcPr>
          <w:p w14:paraId="05BD226B" w14:textId="77777777" w:rsidR="00980919" w:rsidRDefault="00980919" w:rsidP="001515D5">
            <w:r>
              <w:t>2</w:t>
            </w:r>
          </w:p>
        </w:tc>
        <w:tc>
          <w:tcPr>
            <w:tcW w:w="1870" w:type="dxa"/>
            <w:vAlign w:val="bottom"/>
          </w:tcPr>
          <w:p w14:paraId="43DE15D3" w14:textId="77777777" w:rsidR="00980919" w:rsidRDefault="00980919" w:rsidP="001515D5">
            <w:r>
              <w:t>15</w:t>
            </w:r>
          </w:p>
        </w:tc>
        <w:tc>
          <w:tcPr>
            <w:tcW w:w="1870" w:type="dxa"/>
            <w:vAlign w:val="bottom"/>
          </w:tcPr>
          <w:p w14:paraId="39F806E9" w14:textId="77777777" w:rsidR="00980919" w:rsidRDefault="00980919" w:rsidP="001515D5">
            <w:r>
              <w:t>43</w:t>
            </w:r>
          </w:p>
        </w:tc>
      </w:tr>
      <w:tr w:rsidR="00980919" w14:paraId="6799792E" w14:textId="77777777" w:rsidTr="001515D5">
        <w:tc>
          <w:tcPr>
            <w:tcW w:w="1870" w:type="dxa"/>
            <w:vAlign w:val="bottom"/>
          </w:tcPr>
          <w:p w14:paraId="2B3E01EC" w14:textId="77777777" w:rsidR="00980919" w:rsidRDefault="00980919" w:rsidP="001515D5">
            <w:r>
              <w:t>9/11/21</w:t>
            </w:r>
          </w:p>
        </w:tc>
        <w:tc>
          <w:tcPr>
            <w:tcW w:w="1870" w:type="dxa"/>
            <w:vAlign w:val="bottom"/>
          </w:tcPr>
          <w:p w14:paraId="04DC78DB" w14:textId="77777777" w:rsidR="00980919" w:rsidRDefault="00980919" w:rsidP="001515D5">
            <w:r>
              <w:t>0</w:t>
            </w:r>
          </w:p>
        </w:tc>
        <w:tc>
          <w:tcPr>
            <w:tcW w:w="1870" w:type="dxa"/>
            <w:vAlign w:val="bottom"/>
          </w:tcPr>
          <w:p w14:paraId="19150CED" w14:textId="77777777" w:rsidR="00980919" w:rsidRDefault="00980919" w:rsidP="001515D5">
            <w:r>
              <w:t>3</w:t>
            </w:r>
          </w:p>
        </w:tc>
        <w:tc>
          <w:tcPr>
            <w:tcW w:w="1870" w:type="dxa"/>
            <w:vAlign w:val="bottom"/>
          </w:tcPr>
          <w:p w14:paraId="579DAFBF" w14:textId="77777777" w:rsidR="00980919" w:rsidRDefault="00980919" w:rsidP="001515D5">
            <w:r>
              <w:t>17</w:t>
            </w:r>
          </w:p>
        </w:tc>
        <w:tc>
          <w:tcPr>
            <w:tcW w:w="1870" w:type="dxa"/>
            <w:vAlign w:val="bottom"/>
          </w:tcPr>
          <w:p w14:paraId="576C0F72" w14:textId="77777777" w:rsidR="00980919" w:rsidRDefault="00980919" w:rsidP="001515D5">
            <w:r>
              <w:t>59</w:t>
            </w:r>
          </w:p>
        </w:tc>
      </w:tr>
      <w:tr w:rsidR="00980919" w14:paraId="60351FDB" w14:textId="77777777" w:rsidTr="001515D5">
        <w:tc>
          <w:tcPr>
            <w:tcW w:w="1870" w:type="dxa"/>
            <w:vAlign w:val="bottom"/>
          </w:tcPr>
          <w:p w14:paraId="05CAC1B7" w14:textId="77777777" w:rsidR="00980919" w:rsidRDefault="00980919" w:rsidP="001515D5">
            <w:r>
              <w:t>9/18/21</w:t>
            </w:r>
          </w:p>
        </w:tc>
        <w:tc>
          <w:tcPr>
            <w:tcW w:w="1870" w:type="dxa"/>
            <w:vAlign w:val="bottom"/>
          </w:tcPr>
          <w:p w14:paraId="4E764174" w14:textId="77777777" w:rsidR="00980919" w:rsidRDefault="00980919" w:rsidP="001515D5">
            <w:r>
              <w:t>0</w:t>
            </w:r>
          </w:p>
        </w:tc>
        <w:tc>
          <w:tcPr>
            <w:tcW w:w="1870" w:type="dxa"/>
            <w:vAlign w:val="bottom"/>
          </w:tcPr>
          <w:p w14:paraId="29B9CCEB" w14:textId="77777777" w:rsidR="00980919" w:rsidRDefault="00980919" w:rsidP="001515D5">
            <w:r>
              <w:t>3</w:t>
            </w:r>
          </w:p>
        </w:tc>
        <w:tc>
          <w:tcPr>
            <w:tcW w:w="1870" w:type="dxa"/>
            <w:vAlign w:val="bottom"/>
          </w:tcPr>
          <w:p w14:paraId="57F71BAD" w14:textId="77777777" w:rsidR="00980919" w:rsidRDefault="00980919" w:rsidP="001515D5">
            <w:r>
              <w:t>19</w:t>
            </w:r>
          </w:p>
        </w:tc>
        <w:tc>
          <w:tcPr>
            <w:tcW w:w="1870" w:type="dxa"/>
            <w:vAlign w:val="bottom"/>
          </w:tcPr>
          <w:p w14:paraId="3DEDA08D" w14:textId="77777777" w:rsidR="00980919" w:rsidRDefault="00980919" w:rsidP="001515D5">
            <w:r>
              <w:t>56</w:t>
            </w:r>
          </w:p>
        </w:tc>
      </w:tr>
      <w:tr w:rsidR="00980919" w14:paraId="4ECC06E5" w14:textId="77777777" w:rsidTr="001515D5">
        <w:tc>
          <w:tcPr>
            <w:tcW w:w="1870" w:type="dxa"/>
            <w:vAlign w:val="bottom"/>
          </w:tcPr>
          <w:p w14:paraId="7113FE34" w14:textId="77777777" w:rsidR="00980919" w:rsidRDefault="00980919" w:rsidP="001515D5">
            <w:r>
              <w:t>9/25/21</w:t>
            </w:r>
          </w:p>
        </w:tc>
        <w:tc>
          <w:tcPr>
            <w:tcW w:w="1870" w:type="dxa"/>
            <w:vAlign w:val="bottom"/>
          </w:tcPr>
          <w:p w14:paraId="270C1571" w14:textId="77777777" w:rsidR="00980919" w:rsidRDefault="00980919" w:rsidP="001515D5">
            <w:r>
              <w:t>0</w:t>
            </w:r>
          </w:p>
        </w:tc>
        <w:tc>
          <w:tcPr>
            <w:tcW w:w="1870" w:type="dxa"/>
            <w:vAlign w:val="bottom"/>
          </w:tcPr>
          <w:p w14:paraId="159F4FF8" w14:textId="77777777" w:rsidR="00980919" w:rsidRDefault="00980919" w:rsidP="001515D5">
            <w:r>
              <w:t>3</w:t>
            </w:r>
          </w:p>
        </w:tc>
        <w:tc>
          <w:tcPr>
            <w:tcW w:w="1870" w:type="dxa"/>
            <w:vAlign w:val="bottom"/>
          </w:tcPr>
          <w:p w14:paraId="1BCB8E40" w14:textId="77777777" w:rsidR="00980919" w:rsidRDefault="00980919" w:rsidP="001515D5">
            <w:r>
              <w:t>17</w:t>
            </w:r>
          </w:p>
        </w:tc>
        <w:tc>
          <w:tcPr>
            <w:tcW w:w="1870" w:type="dxa"/>
            <w:vAlign w:val="bottom"/>
          </w:tcPr>
          <w:p w14:paraId="6B1CE6B8" w14:textId="77777777" w:rsidR="00980919" w:rsidRDefault="00980919" w:rsidP="001515D5">
            <w:r>
              <w:t>53</w:t>
            </w:r>
          </w:p>
        </w:tc>
      </w:tr>
      <w:tr w:rsidR="00980919" w14:paraId="16D47668" w14:textId="77777777" w:rsidTr="001515D5">
        <w:tc>
          <w:tcPr>
            <w:tcW w:w="1870" w:type="dxa"/>
            <w:vAlign w:val="bottom"/>
          </w:tcPr>
          <w:p w14:paraId="0431682B" w14:textId="77777777" w:rsidR="00980919" w:rsidRDefault="00980919" w:rsidP="001515D5">
            <w:r>
              <w:t>10/2/21</w:t>
            </w:r>
          </w:p>
        </w:tc>
        <w:tc>
          <w:tcPr>
            <w:tcW w:w="1870" w:type="dxa"/>
            <w:vAlign w:val="bottom"/>
          </w:tcPr>
          <w:p w14:paraId="7675FF74" w14:textId="77777777" w:rsidR="00980919" w:rsidRDefault="00980919" w:rsidP="001515D5">
            <w:r>
              <w:t>0</w:t>
            </w:r>
          </w:p>
        </w:tc>
        <w:tc>
          <w:tcPr>
            <w:tcW w:w="1870" w:type="dxa"/>
            <w:vAlign w:val="bottom"/>
          </w:tcPr>
          <w:p w14:paraId="27D5EA12" w14:textId="77777777" w:rsidR="00980919" w:rsidRDefault="00980919" w:rsidP="001515D5">
            <w:r>
              <w:t>2</w:t>
            </w:r>
          </w:p>
        </w:tc>
        <w:tc>
          <w:tcPr>
            <w:tcW w:w="1870" w:type="dxa"/>
            <w:vAlign w:val="bottom"/>
          </w:tcPr>
          <w:p w14:paraId="548181CA" w14:textId="77777777" w:rsidR="00980919" w:rsidRDefault="00980919" w:rsidP="001515D5">
            <w:r>
              <w:t>15</w:t>
            </w:r>
          </w:p>
        </w:tc>
        <w:tc>
          <w:tcPr>
            <w:tcW w:w="1870" w:type="dxa"/>
            <w:vAlign w:val="bottom"/>
          </w:tcPr>
          <w:p w14:paraId="075D06A4" w14:textId="77777777" w:rsidR="00980919" w:rsidRDefault="00980919" w:rsidP="001515D5">
            <w:r>
              <w:t>55</w:t>
            </w:r>
          </w:p>
        </w:tc>
      </w:tr>
      <w:tr w:rsidR="00980919" w14:paraId="16FC137D" w14:textId="77777777" w:rsidTr="001515D5">
        <w:tc>
          <w:tcPr>
            <w:tcW w:w="1870" w:type="dxa"/>
            <w:vAlign w:val="bottom"/>
          </w:tcPr>
          <w:p w14:paraId="6FCF296D" w14:textId="77777777" w:rsidR="00980919" w:rsidRDefault="00980919" w:rsidP="001515D5">
            <w:r>
              <w:t>10/9/21</w:t>
            </w:r>
          </w:p>
        </w:tc>
        <w:tc>
          <w:tcPr>
            <w:tcW w:w="1870" w:type="dxa"/>
            <w:vAlign w:val="bottom"/>
          </w:tcPr>
          <w:p w14:paraId="79753CE5" w14:textId="77777777" w:rsidR="00980919" w:rsidRDefault="00980919" w:rsidP="001515D5">
            <w:r>
              <w:t>0</w:t>
            </w:r>
          </w:p>
        </w:tc>
        <w:tc>
          <w:tcPr>
            <w:tcW w:w="1870" w:type="dxa"/>
            <w:vAlign w:val="bottom"/>
          </w:tcPr>
          <w:p w14:paraId="21AE189A" w14:textId="77777777" w:rsidR="00980919" w:rsidRDefault="00980919" w:rsidP="001515D5">
            <w:r>
              <w:t>2</w:t>
            </w:r>
          </w:p>
        </w:tc>
        <w:tc>
          <w:tcPr>
            <w:tcW w:w="1870" w:type="dxa"/>
            <w:vAlign w:val="bottom"/>
          </w:tcPr>
          <w:p w14:paraId="2EF285B7" w14:textId="77777777" w:rsidR="00980919" w:rsidRDefault="00980919" w:rsidP="001515D5">
            <w:r>
              <w:t>13</w:t>
            </w:r>
          </w:p>
        </w:tc>
        <w:tc>
          <w:tcPr>
            <w:tcW w:w="1870" w:type="dxa"/>
            <w:vAlign w:val="bottom"/>
          </w:tcPr>
          <w:p w14:paraId="2900990B" w14:textId="77777777" w:rsidR="00980919" w:rsidRDefault="00980919" w:rsidP="001515D5">
            <w:r>
              <w:t>42</w:t>
            </w:r>
          </w:p>
        </w:tc>
      </w:tr>
      <w:tr w:rsidR="00980919" w14:paraId="6F176E5C" w14:textId="77777777" w:rsidTr="001515D5">
        <w:tc>
          <w:tcPr>
            <w:tcW w:w="1870" w:type="dxa"/>
            <w:vAlign w:val="bottom"/>
          </w:tcPr>
          <w:p w14:paraId="5F8469BE" w14:textId="77777777" w:rsidR="00980919" w:rsidRDefault="00980919" w:rsidP="001515D5">
            <w:r>
              <w:t>10/16/21</w:t>
            </w:r>
          </w:p>
        </w:tc>
        <w:tc>
          <w:tcPr>
            <w:tcW w:w="1870" w:type="dxa"/>
            <w:vAlign w:val="bottom"/>
          </w:tcPr>
          <w:p w14:paraId="75D974DD" w14:textId="77777777" w:rsidR="00980919" w:rsidRDefault="00980919" w:rsidP="001515D5">
            <w:r>
              <w:t>0</w:t>
            </w:r>
          </w:p>
        </w:tc>
        <w:tc>
          <w:tcPr>
            <w:tcW w:w="1870" w:type="dxa"/>
            <w:vAlign w:val="bottom"/>
          </w:tcPr>
          <w:p w14:paraId="32653022" w14:textId="77777777" w:rsidR="00980919" w:rsidRDefault="00980919" w:rsidP="001515D5">
            <w:r>
              <w:t>1</w:t>
            </w:r>
          </w:p>
        </w:tc>
        <w:tc>
          <w:tcPr>
            <w:tcW w:w="1870" w:type="dxa"/>
            <w:vAlign w:val="bottom"/>
          </w:tcPr>
          <w:p w14:paraId="6EF446C4" w14:textId="77777777" w:rsidR="00980919" w:rsidRDefault="00980919" w:rsidP="001515D5">
            <w:r>
              <w:t>9</w:t>
            </w:r>
          </w:p>
        </w:tc>
        <w:tc>
          <w:tcPr>
            <w:tcW w:w="1870" w:type="dxa"/>
            <w:vAlign w:val="bottom"/>
          </w:tcPr>
          <w:p w14:paraId="2C4BB2CF" w14:textId="77777777" w:rsidR="00980919" w:rsidRDefault="00980919" w:rsidP="001515D5">
            <w:r>
              <w:t>37</w:t>
            </w:r>
          </w:p>
        </w:tc>
      </w:tr>
      <w:tr w:rsidR="00980919" w14:paraId="291AA371" w14:textId="77777777" w:rsidTr="001515D5">
        <w:tc>
          <w:tcPr>
            <w:tcW w:w="1870" w:type="dxa"/>
            <w:vAlign w:val="bottom"/>
          </w:tcPr>
          <w:p w14:paraId="70F1C458" w14:textId="77777777" w:rsidR="00980919" w:rsidRDefault="00980919" w:rsidP="001515D5">
            <w:r>
              <w:t>10/23/21</w:t>
            </w:r>
          </w:p>
        </w:tc>
        <w:tc>
          <w:tcPr>
            <w:tcW w:w="1870" w:type="dxa"/>
            <w:vAlign w:val="bottom"/>
          </w:tcPr>
          <w:p w14:paraId="060646A7" w14:textId="77777777" w:rsidR="00980919" w:rsidRDefault="00980919" w:rsidP="001515D5">
            <w:r>
              <w:t>0</w:t>
            </w:r>
          </w:p>
        </w:tc>
        <w:tc>
          <w:tcPr>
            <w:tcW w:w="1870" w:type="dxa"/>
            <w:vAlign w:val="bottom"/>
          </w:tcPr>
          <w:p w14:paraId="39D130B0" w14:textId="77777777" w:rsidR="00980919" w:rsidRDefault="00980919" w:rsidP="001515D5">
            <w:r>
              <w:t>1</w:t>
            </w:r>
          </w:p>
        </w:tc>
        <w:tc>
          <w:tcPr>
            <w:tcW w:w="1870" w:type="dxa"/>
            <w:vAlign w:val="bottom"/>
          </w:tcPr>
          <w:p w14:paraId="2945965F" w14:textId="77777777" w:rsidR="00980919" w:rsidRDefault="00980919" w:rsidP="001515D5">
            <w:r>
              <w:t>8</w:t>
            </w:r>
          </w:p>
        </w:tc>
        <w:tc>
          <w:tcPr>
            <w:tcW w:w="1870" w:type="dxa"/>
            <w:vAlign w:val="bottom"/>
          </w:tcPr>
          <w:p w14:paraId="6DA68A75" w14:textId="77777777" w:rsidR="00980919" w:rsidRDefault="00980919" w:rsidP="001515D5">
            <w:r>
              <w:t>25</w:t>
            </w:r>
          </w:p>
        </w:tc>
      </w:tr>
      <w:tr w:rsidR="00980919" w14:paraId="234CF4F1" w14:textId="77777777" w:rsidTr="001515D5">
        <w:tc>
          <w:tcPr>
            <w:tcW w:w="1870" w:type="dxa"/>
            <w:vAlign w:val="bottom"/>
          </w:tcPr>
          <w:p w14:paraId="7DFCDFF8" w14:textId="77777777" w:rsidR="00980919" w:rsidRDefault="00980919" w:rsidP="001515D5">
            <w:r>
              <w:t>10/30/21</w:t>
            </w:r>
          </w:p>
        </w:tc>
        <w:tc>
          <w:tcPr>
            <w:tcW w:w="1870" w:type="dxa"/>
            <w:vAlign w:val="bottom"/>
          </w:tcPr>
          <w:p w14:paraId="69291697" w14:textId="77777777" w:rsidR="00980919" w:rsidRDefault="00980919" w:rsidP="001515D5">
            <w:r>
              <w:t>0</w:t>
            </w:r>
          </w:p>
        </w:tc>
        <w:tc>
          <w:tcPr>
            <w:tcW w:w="1870" w:type="dxa"/>
            <w:vAlign w:val="bottom"/>
          </w:tcPr>
          <w:p w14:paraId="68549577" w14:textId="77777777" w:rsidR="00980919" w:rsidRDefault="00980919" w:rsidP="001515D5">
            <w:r>
              <w:t>1</w:t>
            </w:r>
          </w:p>
        </w:tc>
        <w:tc>
          <w:tcPr>
            <w:tcW w:w="1870" w:type="dxa"/>
            <w:vAlign w:val="bottom"/>
          </w:tcPr>
          <w:p w14:paraId="0FF6E4AE" w14:textId="77777777" w:rsidR="00980919" w:rsidRDefault="00980919" w:rsidP="001515D5">
            <w:r>
              <w:t>5</w:t>
            </w:r>
          </w:p>
        </w:tc>
        <w:tc>
          <w:tcPr>
            <w:tcW w:w="1870" w:type="dxa"/>
            <w:vAlign w:val="bottom"/>
          </w:tcPr>
          <w:p w14:paraId="0DAF90A6" w14:textId="77777777" w:rsidR="00980919" w:rsidRDefault="00980919" w:rsidP="001515D5">
            <w:r>
              <w:t>12</w:t>
            </w:r>
          </w:p>
        </w:tc>
      </w:tr>
      <w:tr w:rsidR="00980919" w14:paraId="67DFAA38" w14:textId="77777777" w:rsidTr="001515D5">
        <w:tc>
          <w:tcPr>
            <w:tcW w:w="1870" w:type="dxa"/>
            <w:vAlign w:val="bottom"/>
          </w:tcPr>
          <w:p w14:paraId="5A5D83B6" w14:textId="77777777" w:rsidR="00980919" w:rsidRDefault="00980919" w:rsidP="001515D5">
            <w:r>
              <w:t>11/6/21</w:t>
            </w:r>
          </w:p>
        </w:tc>
        <w:tc>
          <w:tcPr>
            <w:tcW w:w="1870" w:type="dxa"/>
            <w:vAlign w:val="bottom"/>
          </w:tcPr>
          <w:p w14:paraId="5092C5DE" w14:textId="77777777" w:rsidR="00980919" w:rsidRDefault="00980919" w:rsidP="001515D5">
            <w:r>
              <w:t>0</w:t>
            </w:r>
          </w:p>
        </w:tc>
        <w:tc>
          <w:tcPr>
            <w:tcW w:w="1870" w:type="dxa"/>
            <w:vAlign w:val="bottom"/>
          </w:tcPr>
          <w:p w14:paraId="29BDACF1" w14:textId="77777777" w:rsidR="00980919" w:rsidRDefault="00980919" w:rsidP="001515D5">
            <w:r>
              <w:t>1</w:t>
            </w:r>
          </w:p>
        </w:tc>
        <w:tc>
          <w:tcPr>
            <w:tcW w:w="1870" w:type="dxa"/>
            <w:vAlign w:val="bottom"/>
          </w:tcPr>
          <w:p w14:paraId="6CA0647A" w14:textId="77777777" w:rsidR="00980919" w:rsidRDefault="00980919" w:rsidP="001515D5">
            <w:r>
              <w:t>4</w:t>
            </w:r>
          </w:p>
        </w:tc>
        <w:tc>
          <w:tcPr>
            <w:tcW w:w="1870" w:type="dxa"/>
            <w:vAlign w:val="bottom"/>
          </w:tcPr>
          <w:p w14:paraId="603B8EBC" w14:textId="77777777" w:rsidR="00980919" w:rsidRDefault="00980919" w:rsidP="001515D5">
            <w:r>
              <w:t>17</w:t>
            </w:r>
          </w:p>
        </w:tc>
      </w:tr>
      <w:tr w:rsidR="00980919" w14:paraId="64F1D4B3" w14:textId="77777777" w:rsidTr="001515D5">
        <w:tc>
          <w:tcPr>
            <w:tcW w:w="1870" w:type="dxa"/>
            <w:vAlign w:val="bottom"/>
          </w:tcPr>
          <w:p w14:paraId="0A922414" w14:textId="77777777" w:rsidR="00980919" w:rsidRDefault="00980919" w:rsidP="001515D5">
            <w:r>
              <w:t>11/13/21</w:t>
            </w:r>
          </w:p>
        </w:tc>
        <w:tc>
          <w:tcPr>
            <w:tcW w:w="1870" w:type="dxa"/>
            <w:vAlign w:val="bottom"/>
          </w:tcPr>
          <w:p w14:paraId="237EBECD" w14:textId="77777777" w:rsidR="00980919" w:rsidRDefault="00980919" w:rsidP="001515D5">
            <w:r>
              <w:t>0</w:t>
            </w:r>
          </w:p>
        </w:tc>
        <w:tc>
          <w:tcPr>
            <w:tcW w:w="1870" w:type="dxa"/>
            <w:vAlign w:val="bottom"/>
          </w:tcPr>
          <w:p w14:paraId="506A8667" w14:textId="77777777" w:rsidR="00980919" w:rsidRDefault="00980919" w:rsidP="001515D5">
            <w:r>
              <w:t>0</w:t>
            </w:r>
          </w:p>
        </w:tc>
        <w:tc>
          <w:tcPr>
            <w:tcW w:w="1870" w:type="dxa"/>
            <w:vAlign w:val="bottom"/>
          </w:tcPr>
          <w:p w14:paraId="21B305A5" w14:textId="77777777" w:rsidR="00980919" w:rsidRDefault="00980919" w:rsidP="001515D5">
            <w:r>
              <w:t>4</w:t>
            </w:r>
          </w:p>
        </w:tc>
        <w:tc>
          <w:tcPr>
            <w:tcW w:w="1870" w:type="dxa"/>
            <w:vAlign w:val="bottom"/>
          </w:tcPr>
          <w:p w14:paraId="6BEC57D1" w14:textId="77777777" w:rsidR="00980919" w:rsidRDefault="00980919" w:rsidP="001515D5">
            <w:r>
              <w:t>13</w:t>
            </w:r>
          </w:p>
        </w:tc>
      </w:tr>
      <w:tr w:rsidR="00980919" w14:paraId="223C9106" w14:textId="77777777" w:rsidTr="001515D5">
        <w:tc>
          <w:tcPr>
            <w:tcW w:w="1870" w:type="dxa"/>
            <w:vAlign w:val="bottom"/>
          </w:tcPr>
          <w:p w14:paraId="2C79C6E6" w14:textId="77777777" w:rsidR="00980919" w:rsidRDefault="00980919" w:rsidP="001515D5">
            <w:r>
              <w:t>11/20/21</w:t>
            </w:r>
          </w:p>
        </w:tc>
        <w:tc>
          <w:tcPr>
            <w:tcW w:w="1870" w:type="dxa"/>
            <w:vAlign w:val="bottom"/>
          </w:tcPr>
          <w:p w14:paraId="56D0204C" w14:textId="77777777" w:rsidR="00980919" w:rsidRDefault="00980919" w:rsidP="001515D5">
            <w:r>
              <w:t>0</w:t>
            </w:r>
          </w:p>
        </w:tc>
        <w:tc>
          <w:tcPr>
            <w:tcW w:w="1870" w:type="dxa"/>
            <w:vAlign w:val="bottom"/>
          </w:tcPr>
          <w:p w14:paraId="0973ED0A" w14:textId="77777777" w:rsidR="00980919" w:rsidRDefault="00980919" w:rsidP="001515D5">
            <w:r>
              <w:t>0</w:t>
            </w:r>
          </w:p>
        </w:tc>
        <w:tc>
          <w:tcPr>
            <w:tcW w:w="1870" w:type="dxa"/>
            <w:vAlign w:val="bottom"/>
          </w:tcPr>
          <w:p w14:paraId="3F593B8D" w14:textId="77777777" w:rsidR="00980919" w:rsidRDefault="00980919" w:rsidP="001515D5">
            <w:r>
              <w:t>4</w:t>
            </w:r>
          </w:p>
        </w:tc>
        <w:tc>
          <w:tcPr>
            <w:tcW w:w="1870" w:type="dxa"/>
            <w:vAlign w:val="bottom"/>
          </w:tcPr>
          <w:p w14:paraId="5D4E5C6C" w14:textId="77777777" w:rsidR="00980919" w:rsidRDefault="00980919" w:rsidP="001515D5">
            <w:r>
              <w:t>20</w:t>
            </w:r>
          </w:p>
        </w:tc>
      </w:tr>
      <w:tr w:rsidR="00980919" w14:paraId="6EF4E0B7" w14:textId="77777777" w:rsidTr="001515D5">
        <w:tc>
          <w:tcPr>
            <w:tcW w:w="1870" w:type="dxa"/>
            <w:vAlign w:val="bottom"/>
          </w:tcPr>
          <w:p w14:paraId="08945B57" w14:textId="77777777" w:rsidR="00980919" w:rsidRDefault="00980919" w:rsidP="001515D5">
            <w:r>
              <w:t>11/27/21</w:t>
            </w:r>
          </w:p>
        </w:tc>
        <w:tc>
          <w:tcPr>
            <w:tcW w:w="1870" w:type="dxa"/>
            <w:vAlign w:val="bottom"/>
          </w:tcPr>
          <w:p w14:paraId="3E80C902" w14:textId="77777777" w:rsidR="00980919" w:rsidRDefault="00980919" w:rsidP="001515D5">
            <w:r>
              <w:t>0</w:t>
            </w:r>
          </w:p>
        </w:tc>
        <w:tc>
          <w:tcPr>
            <w:tcW w:w="1870" w:type="dxa"/>
            <w:vAlign w:val="bottom"/>
          </w:tcPr>
          <w:p w14:paraId="6DAC389A" w14:textId="77777777" w:rsidR="00980919" w:rsidRDefault="00980919" w:rsidP="001515D5">
            <w:r>
              <w:t>1</w:t>
            </w:r>
          </w:p>
        </w:tc>
        <w:tc>
          <w:tcPr>
            <w:tcW w:w="1870" w:type="dxa"/>
            <w:vAlign w:val="bottom"/>
          </w:tcPr>
          <w:p w14:paraId="030454D9" w14:textId="77777777" w:rsidR="00980919" w:rsidRDefault="00980919" w:rsidP="001515D5">
            <w:r>
              <w:t>4</w:t>
            </w:r>
          </w:p>
        </w:tc>
        <w:tc>
          <w:tcPr>
            <w:tcW w:w="1870" w:type="dxa"/>
            <w:vAlign w:val="bottom"/>
          </w:tcPr>
          <w:p w14:paraId="5837C7B2" w14:textId="77777777" w:rsidR="00980919" w:rsidRDefault="00980919" w:rsidP="001515D5">
            <w:r>
              <w:t>12</w:t>
            </w:r>
          </w:p>
        </w:tc>
      </w:tr>
      <w:tr w:rsidR="00980919" w14:paraId="7C0FE979" w14:textId="77777777" w:rsidTr="001515D5">
        <w:tc>
          <w:tcPr>
            <w:tcW w:w="1870" w:type="dxa"/>
            <w:vAlign w:val="bottom"/>
          </w:tcPr>
          <w:p w14:paraId="435DB049" w14:textId="77777777" w:rsidR="00980919" w:rsidRDefault="00980919" w:rsidP="001515D5">
            <w:r>
              <w:t>12/4/21</w:t>
            </w:r>
          </w:p>
        </w:tc>
        <w:tc>
          <w:tcPr>
            <w:tcW w:w="1870" w:type="dxa"/>
            <w:vAlign w:val="bottom"/>
          </w:tcPr>
          <w:p w14:paraId="7C40B842" w14:textId="77777777" w:rsidR="00980919" w:rsidRDefault="00980919" w:rsidP="001515D5">
            <w:r>
              <w:t>0</w:t>
            </w:r>
          </w:p>
        </w:tc>
        <w:tc>
          <w:tcPr>
            <w:tcW w:w="1870" w:type="dxa"/>
            <w:vAlign w:val="bottom"/>
          </w:tcPr>
          <w:p w14:paraId="59E9B0B7" w14:textId="77777777" w:rsidR="00980919" w:rsidRDefault="00980919" w:rsidP="001515D5">
            <w:r>
              <w:t>0</w:t>
            </w:r>
          </w:p>
        </w:tc>
        <w:tc>
          <w:tcPr>
            <w:tcW w:w="1870" w:type="dxa"/>
            <w:vAlign w:val="bottom"/>
          </w:tcPr>
          <w:p w14:paraId="752D362B" w14:textId="77777777" w:rsidR="00980919" w:rsidRDefault="00980919" w:rsidP="001515D5">
            <w:r>
              <w:t>2</w:t>
            </w:r>
          </w:p>
        </w:tc>
        <w:tc>
          <w:tcPr>
            <w:tcW w:w="1870" w:type="dxa"/>
            <w:vAlign w:val="bottom"/>
          </w:tcPr>
          <w:p w14:paraId="6283F9B8" w14:textId="77777777" w:rsidR="00980919" w:rsidRDefault="00980919" w:rsidP="001515D5">
            <w:r>
              <w:t>13</w:t>
            </w:r>
          </w:p>
        </w:tc>
      </w:tr>
      <w:tr w:rsidR="00980919" w14:paraId="65175266" w14:textId="77777777" w:rsidTr="001515D5">
        <w:tc>
          <w:tcPr>
            <w:tcW w:w="1870" w:type="dxa"/>
            <w:vAlign w:val="bottom"/>
          </w:tcPr>
          <w:p w14:paraId="097CBACD" w14:textId="77777777" w:rsidR="00980919" w:rsidRDefault="00980919" w:rsidP="001515D5">
            <w:r>
              <w:t>12/11/21</w:t>
            </w:r>
          </w:p>
        </w:tc>
        <w:tc>
          <w:tcPr>
            <w:tcW w:w="1870" w:type="dxa"/>
            <w:vAlign w:val="bottom"/>
          </w:tcPr>
          <w:p w14:paraId="1116F6E9" w14:textId="77777777" w:rsidR="00980919" w:rsidRDefault="00980919" w:rsidP="001515D5">
            <w:r>
              <w:t>0</w:t>
            </w:r>
          </w:p>
        </w:tc>
        <w:tc>
          <w:tcPr>
            <w:tcW w:w="1870" w:type="dxa"/>
            <w:vAlign w:val="bottom"/>
          </w:tcPr>
          <w:p w14:paraId="390AF11B" w14:textId="77777777" w:rsidR="00980919" w:rsidRDefault="00980919" w:rsidP="001515D5">
            <w:r>
              <w:t>1</w:t>
            </w:r>
          </w:p>
        </w:tc>
        <w:tc>
          <w:tcPr>
            <w:tcW w:w="1870" w:type="dxa"/>
            <w:vAlign w:val="bottom"/>
          </w:tcPr>
          <w:p w14:paraId="73D075F1" w14:textId="77777777" w:rsidR="00980919" w:rsidRDefault="00980919" w:rsidP="001515D5">
            <w:r>
              <w:t>3</w:t>
            </w:r>
          </w:p>
        </w:tc>
        <w:tc>
          <w:tcPr>
            <w:tcW w:w="1870" w:type="dxa"/>
            <w:vAlign w:val="bottom"/>
          </w:tcPr>
          <w:p w14:paraId="1F49964A" w14:textId="77777777" w:rsidR="00980919" w:rsidRDefault="00980919" w:rsidP="001515D5">
            <w:r>
              <w:t>15</w:t>
            </w:r>
          </w:p>
        </w:tc>
      </w:tr>
      <w:tr w:rsidR="00980919" w14:paraId="4A8C6DED" w14:textId="77777777" w:rsidTr="001515D5">
        <w:tc>
          <w:tcPr>
            <w:tcW w:w="1870" w:type="dxa"/>
            <w:vAlign w:val="bottom"/>
          </w:tcPr>
          <w:p w14:paraId="4AC0F1C4" w14:textId="77777777" w:rsidR="00980919" w:rsidRDefault="00980919" w:rsidP="001515D5">
            <w:r>
              <w:t>12/18/21</w:t>
            </w:r>
          </w:p>
        </w:tc>
        <w:tc>
          <w:tcPr>
            <w:tcW w:w="1870" w:type="dxa"/>
            <w:vAlign w:val="bottom"/>
          </w:tcPr>
          <w:p w14:paraId="6707B674" w14:textId="77777777" w:rsidR="00980919" w:rsidRDefault="00980919" w:rsidP="001515D5">
            <w:r>
              <w:t>0</w:t>
            </w:r>
          </w:p>
        </w:tc>
        <w:tc>
          <w:tcPr>
            <w:tcW w:w="1870" w:type="dxa"/>
            <w:vAlign w:val="bottom"/>
          </w:tcPr>
          <w:p w14:paraId="2DEF8092" w14:textId="77777777" w:rsidR="00980919" w:rsidRDefault="00980919" w:rsidP="001515D5">
            <w:r>
              <w:t>0</w:t>
            </w:r>
          </w:p>
        </w:tc>
        <w:tc>
          <w:tcPr>
            <w:tcW w:w="1870" w:type="dxa"/>
            <w:vAlign w:val="bottom"/>
          </w:tcPr>
          <w:p w14:paraId="58242140" w14:textId="77777777" w:rsidR="00980919" w:rsidRDefault="00980919" w:rsidP="001515D5">
            <w:r>
              <w:t>4</w:t>
            </w:r>
          </w:p>
        </w:tc>
        <w:tc>
          <w:tcPr>
            <w:tcW w:w="1870" w:type="dxa"/>
            <w:vAlign w:val="bottom"/>
          </w:tcPr>
          <w:p w14:paraId="7D1C87A3" w14:textId="77777777" w:rsidR="00980919" w:rsidRDefault="00980919" w:rsidP="001515D5">
            <w:r>
              <w:t>10</w:t>
            </w:r>
          </w:p>
        </w:tc>
      </w:tr>
      <w:tr w:rsidR="00980919" w14:paraId="6205E7FA" w14:textId="77777777" w:rsidTr="001515D5">
        <w:tc>
          <w:tcPr>
            <w:tcW w:w="1870" w:type="dxa"/>
            <w:vAlign w:val="bottom"/>
          </w:tcPr>
          <w:p w14:paraId="086204BA" w14:textId="77777777" w:rsidR="00980919" w:rsidRDefault="00980919" w:rsidP="001515D5">
            <w:r>
              <w:t>12/25/21</w:t>
            </w:r>
          </w:p>
        </w:tc>
        <w:tc>
          <w:tcPr>
            <w:tcW w:w="1870" w:type="dxa"/>
            <w:vAlign w:val="bottom"/>
          </w:tcPr>
          <w:p w14:paraId="335C0F11" w14:textId="77777777" w:rsidR="00980919" w:rsidRDefault="00980919" w:rsidP="001515D5">
            <w:r>
              <w:t>0</w:t>
            </w:r>
          </w:p>
        </w:tc>
        <w:tc>
          <w:tcPr>
            <w:tcW w:w="1870" w:type="dxa"/>
            <w:vAlign w:val="bottom"/>
          </w:tcPr>
          <w:p w14:paraId="6DBABB31" w14:textId="77777777" w:rsidR="00980919" w:rsidRDefault="00980919" w:rsidP="001515D5">
            <w:r>
              <w:t>1</w:t>
            </w:r>
          </w:p>
        </w:tc>
        <w:tc>
          <w:tcPr>
            <w:tcW w:w="1870" w:type="dxa"/>
            <w:vAlign w:val="bottom"/>
          </w:tcPr>
          <w:p w14:paraId="2FAC3399" w14:textId="77777777" w:rsidR="00980919" w:rsidRDefault="00980919" w:rsidP="001515D5">
            <w:r>
              <w:t>4</w:t>
            </w:r>
          </w:p>
        </w:tc>
        <w:tc>
          <w:tcPr>
            <w:tcW w:w="1870" w:type="dxa"/>
            <w:vAlign w:val="bottom"/>
          </w:tcPr>
          <w:p w14:paraId="7C444487" w14:textId="77777777" w:rsidR="00980919" w:rsidRDefault="00980919" w:rsidP="001515D5">
            <w:r>
              <w:t>20</w:t>
            </w:r>
          </w:p>
        </w:tc>
      </w:tr>
      <w:tr w:rsidR="00980919" w14:paraId="6DA8C67D" w14:textId="77777777" w:rsidTr="001515D5">
        <w:tc>
          <w:tcPr>
            <w:tcW w:w="1870" w:type="dxa"/>
            <w:vAlign w:val="bottom"/>
          </w:tcPr>
          <w:p w14:paraId="17A1421B" w14:textId="77777777" w:rsidR="00980919" w:rsidRDefault="00980919" w:rsidP="001515D5">
            <w:r>
              <w:t>1/1/22</w:t>
            </w:r>
          </w:p>
        </w:tc>
        <w:tc>
          <w:tcPr>
            <w:tcW w:w="1870" w:type="dxa"/>
            <w:vAlign w:val="bottom"/>
          </w:tcPr>
          <w:p w14:paraId="2071C8F2" w14:textId="77777777" w:rsidR="00980919" w:rsidRDefault="00980919" w:rsidP="001515D5">
            <w:r>
              <w:t>0</w:t>
            </w:r>
          </w:p>
        </w:tc>
        <w:tc>
          <w:tcPr>
            <w:tcW w:w="1870" w:type="dxa"/>
            <w:vAlign w:val="bottom"/>
          </w:tcPr>
          <w:p w14:paraId="4836BC29" w14:textId="77777777" w:rsidR="00980919" w:rsidRDefault="00980919" w:rsidP="001515D5">
            <w:r>
              <w:t>0</w:t>
            </w:r>
          </w:p>
        </w:tc>
        <w:tc>
          <w:tcPr>
            <w:tcW w:w="1870" w:type="dxa"/>
            <w:vAlign w:val="bottom"/>
          </w:tcPr>
          <w:p w14:paraId="76DD5F56" w14:textId="77777777" w:rsidR="00980919" w:rsidRDefault="00980919" w:rsidP="001515D5">
            <w:r>
              <w:t>5</w:t>
            </w:r>
          </w:p>
        </w:tc>
        <w:tc>
          <w:tcPr>
            <w:tcW w:w="1870" w:type="dxa"/>
            <w:vAlign w:val="bottom"/>
          </w:tcPr>
          <w:p w14:paraId="259F5C68" w14:textId="77777777" w:rsidR="00980919" w:rsidRDefault="00980919" w:rsidP="001515D5">
            <w:r>
              <w:t>16</w:t>
            </w:r>
          </w:p>
        </w:tc>
      </w:tr>
      <w:tr w:rsidR="00980919" w14:paraId="4FCD4F7E" w14:textId="77777777" w:rsidTr="001515D5">
        <w:tc>
          <w:tcPr>
            <w:tcW w:w="1870" w:type="dxa"/>
            <w:vAlign w:val="bottom"/>
          </w:tcPr>
          <w:p w14:paraId="7ED398E6" w14:textId="77777777" w:rsidR="00980919" w:rsidRDefault="00980919" w:rsidP="001515D5">
            <w:r>
              <w:t>1/8/22</w:t>
            </w:r>
          </w:p>
        </w:tc>
        <w:tc>
          <w:tcPr>
            <w:tcW w:w="1870" w:type="dxa"/>
            <w:vAlign w:val="bottom"/>
          </w:tcPr>
          <w:p w14:paraId="169DBA8D" w14:textId="77777777" w:rsidR="00980919" w:rsidRDefault="00980919" w:rsidP="001515D5">
            <w:r>
              <w:t>0</w:t>
            </w:r>
          </w:p>
        </w:tc>
        <w:tc>
          <w:tcPr>
            <w:tcW w:w="1870" w:type="dxa"/>
            <w:vAlign w:val="bottom"/>
          </w:tcPr>
          <w:p w14:paraId="3C0A649A" w14:textId="77777777" w:rsidR="00980919" w:rsidRDefault="00980919" w:rsidP="001515D5">
            <w:r>
              <w:t>1</w:t>
            </w:r>
          </w:p>
        </w:tc>
        <w:tc>
          <w:tcPr>
            <w:tcW w:w="1870" w:type="dxa"/>
            <w:vAlign w:val="bottom"/>
          </w:tcPr>
          <w:p w14:paraId="75C23651" w14:textId="77777777" w:rsidR="00980919" w:rsidRDefault="00980919" w:rsidP="001515D5">
            <w:r>
              <w:t>7</w:t>
            </w:r>
          </w:p>
        </w:tc>
        <w:tc>
          <w:tcPr>
            <w:tcW w:w="1870" w:type="dxa"/>
            <w:vAlign w:val="bottom"/>
          </w:tcPr>
          <w:p w14:paraId="36AAC17B" w14:textId="77777777" w:rsidR="00980919" w:rsidRDefault="00980919" w:rsidP="001515D5">
            <w:r>
              <w:t>42</w:t>
            </w:r>
          </w:p>
        </w:tc>
      </w:tr>
      <w:tr w:rsidR="00980919" w14:paraId="062824ED" w14:textId="77777777" w:rsidTr="001515D5">
        <w:tc>
          <w:tcPr>
            <w:tcW w:w="1870" w:type="dxa"/>
            <w:vAlign w:val="bottom"/>
          </w:tcPr>
          <w:p w14:paraId="126F7D60" w14:textId="77777777" w:rsidR="00980919" w:rsidRDefault="00980919" w:rsidP="001515D5">
            <w:r>
              <w:t>1/15/22</w:t>
            </w:r>
          </w:p>
        </w:tc>
        <w:tc>
          <w:tcPr>
            <w:tcW w:w="1870" w:type="dxa"/>
            <w:vAlign w:val="bottom"/>
          </w:tcPr>
          <w:p w14:paraId="5A29953B" w14:textId="77777777" w:rsidR="00980919" w:rsidRDefault="00980919" w:rsidP="001515D5">
            <w:r>
              <w:t>0</w:t>
            </w:r>
          </w:p>
        </w:tc>
        <w:tc>
          <w:tcPr>
            <w:tcW w:w="1870" w:type="dxa"/>
            <w:vAlign w:val="bottom"/>
          </w:tcPr>
          <w:p w14:paraId="084ECB9C" w14:textId="77777777" w:rsidR="00980919" w:rsidRDefault="00980919" w:rsidP="001515D5">
            <w:r>
              <w:t>1</w:t>
            </w:r>
          </w:p>
        </w:tc>
        <w:tc>
          <w:tcPr>
            <w:tcW w:w="1870" w:type="dxa"/>
            <w:vAlign w:val="bottom"/>
          </w:tcPr>
          <w:p w14:paraId="51E5C49C" w14:textId="77777777" w:rsidR="00980919" w:rsidRDefault="00980919" w:rsidP="001515D5">
            <w:r>
              <w:t>10</w:t>
            </w:r>
          </w:p>
        </w:tc>
        <w:tc>
          <w:tcPr>
            <w:tcW w:w="1870" w:type="dxa"/>
            <w:vAlign w:val="bottom"/>
          </w:tcPr>
          <w:p w14:paraId="76B48390" w14:textId="77777777" w:rsidR="00980919" w:rsidRDefault="00980919" w:rsidP="001515D5">
            <w:r>
              <w:t>63</w:t>
            </w:r>
          </w:p>
        </w:tc>
      </w:tr>
      <w:tr w:rsidR="00980919" w14:paraId="1C392758" w14:textId="77777777" w:rsidTr="001515D5">
        <w:tc>
          <w:tcPr>
            <w:tcW w:w="1870" w:type="dxa"/>
            <w:vAlign w:val="bottom"/>
          </w:tcPr>
          <w:p w14:paraId="4D1D4415" w14:textId="77777777" w:rsidR="00980919" w:rsidRDefault="00980919" w:rsidP="001515D5">
            <w:r>
              <w:t>1/22/22</w:t>
            </w:r>
          </w:p>
        </w:tc>
        <w:tc>
          <w:tcPr>
            <w:tcW w:w="1870" w:type="dxa"/>
            <w:vAlign w:val="bottom"/>
          </w:tcPr>
          <w:p w14:paraId="76C9A501" w14:textId="77777777" w:rsidR="00980919" w:rsidRDefault="00980919" w:rsidP="001515D5">
            <w:r>
              <w:t>0</w:t>
            </w:r>
          </w:p>
        </w:tc>
        <w:tc>
          <w:tcPr>
            <w:tcW w:w="1870" w:type="dxa"/>
            <w:vAlign w:val="bottom"/>
          </w:tcPr>
          <w:p w14:paraId="30CC0D3A" w14:textId="77777777" w:rsidR="00980919" w:rsidRDefault="00980919" w:rsidP="001515D5">
            <w:r>
              <w:t>1</w:t>
            </w:r>
          </w:p>
        </w:tc>
        <w:tc>
          <w:tcPr>
            <w:tcW w:w="1870" w:type="dxa"/>
            <w:vAlign w:val="bottom"/>
          </w:tcPr>
          <w:p w14:paraId="1F243946" w14:textId="77777777" w:rsidR="00980919" w:rsidRDefault="00980919" w:rsidP="001515D5">
            <w:r>
              <w:t>13</w:t>
            </w:r>
          </w:p>
        </w:tc>
        <w:tc>
          <w:tcPr>
            <w:tcW w:w="1870" w:type="dxa"/>
            <w:vAlign w:val="bottom"/>
          </w:tcPr>
          <w:p w14:paraId="4BB5E5AE" w14:textId="77777777" w:rsidR="00980919" w:rsidRDefault="00980919" w:rsidP="001515D5">
            <w:r>
              <w:t>76</w:t>
            </w:r>
          </w:p>
        </w:tc>
      </w:tr>
      <w:tr w:rsidR="00980919" w14:paraId="6CA27A89" w14:textId="77777777" w:rsidTr="001515D5">
        <w:tc>
          <w:tcPr>
            <w:tcW w:w="1870" w:type="dxa"/>
            <w:vAlign w:val="bottom"/>
          </w:tcPr>
          <w:p w14:paraId="57A71A5B" w14:textId="77777777" w:rsidR="00980919" w:rsidRDefault="00980919" w:rsidP="001515D5">
            <w:r>
              <w:t>1/29/22</w:t>
            </w:r>
          </w:p>
        </w:tc>
        <w:tc>
          <w:tcPr>
            <w:tcW w:w="1870" w:type="dxa"/>
            <w:vAlign w:val="bottom"/>
          </w:tcPr>
          <w:p w14:paraId="40AB0886" w14:textId="77777777" w:rsidR="00980919" w:rsidRDefault="00980919" w:rsidP="001515D5">
            <w:r>
              <w:t>0</w:t>
            </w:r>
          </w:p>
        </w:tc>
        <w:tc>
          <w:tcPr>
            <w:tcW w:w="1870" w:type="dxa"/>
            <w:vAlign w:val="bottom"/>
          </w:tcPr>
          <w:p w14:paraId="7C72D2FE" w14:textId="77777777" w:rsidR="00980919" w:rsidRDefault="00980919" w:rsidP="001515D5">
            <w:r>
              <w:t>1</w:t>
            </w:r>
          </w:p>
        </w:tc>
        <w:tc>
          <w:tcPr>
            <w:tcW w:w="1870" w:type="dxa"/>
            <w:vAlign w:val="bottom"/>
          </w:tcPr>
          <w:p w14:paraId="5C156411" w14:textId="77777777" w:rsidR="00980919" w:rsidRDefault="00980919" w:rsidP="001515D5">
            <w:r>
              <w:t>18</w:t>
            </w:r>
          </w:p>
        </w:tc>
        <w:tc>
          <w:tcPr>
            <w:tcW w:w="1870" w:type="dxa"/>
            <w:vAlign w:val="bottom"/>
          </w:tcPr>
          <w:p w14:paraId="3BACBB84" w14:textId="77777777" w:rsidR="00980919" w:rsidRDefault="00980919" w:rsidP="001515D5">
            <w:r>
              <w:t>120</w:t>
            </w:r>
          </w:p>
        </w:tc>
      </w:tr>
      <w:tr w:rsidR="00980919" w14:paraId="165FE583" w14:textId="77777777" w:rsidTr="001515D5">
        <w:tc>
          <w:tcPr>
            <w:tcW w:w="1870" w:type="dxa"/>
            <w:vAlign w:val="bottom"/>
          </w:tcPr>
          <w:p w14:paraId="3043D3D4" w14:textId="77777777" w:rsidR="00980919" w:rsidRDefault="00980919" w:rsidP="001515D5">
            <w:r>
              <w:t>2/5/22</w:t>
            </w:r>
          </w:p>
        </w:tc>
        <w:tc>
          <w:tcPr>
            <w:tcW w:w="1870" w:type="dxa"/>
            <w:vAlign w:val="bottom"/>
          </w:tcPr>
          <w:p w14:paraId="352241CF" w14:textId="77777777" w:rsidR="00980919" w:rsidRDefault="00980919" w:rsidP="001515D5">
            <w:r>
              <w:t>0</w:t>
            </w:r>
          </w:p>
        </w:tc>
        <w:tc>
          <w:tcPr>
            <w:tcW w:w="1870" w:type="dxa"/>
            <w:vAlign w:val="bottom"/>
          </w:tcPr>
          <w:p w14:paraId="7E437B36" w14:textId="77777777" w:rsidR="00980919" w:rsidRDefault="00980919" w:rsidP="001515D5">
            <w:r>
              <w:t>1</w:t>
            </w:r>
          </w:p>
        </w:tc>
        <w:tc>
          <w:tcPr>
            <w:tcW w:w="1870" w:type="dxa"/>
            <w:vAlign w:val="bottom"/>
          </w:tcPr>
          <w:p w14:paraId="7DDABEB9" w14:textId="77777777" w:rsidR="00980919" w:rsidRDefault="00980919" w:rsidP="001515D5">
            <w:r>
              <w:t>17</w:t>
            </w:r>
          </w:p>
        </w:tc>
        <w:tc>
          <w:tcPr>
            <w:tcW w:w="1870" w:type="dxa"/>
            <w:vAlign w:val="bottom"/>
          </w:tcPr>
          <w:p w14:paraId="4BD3C601" w14:textId="77777777" w:rsidR="00980919" w:rsidRDefault="00980919" w:rsidP="001515D5">
            <w:r>
              <w:t>99</w:t>
            </w:r>
          </w:p>
        </w:tc>
      </w:tr>
      <w:tr w:rsidR="00980919" w14:paraId="29EE135F" w14:textId="77777777" w:rsidTr="001515D5">
        <w:tc>
          <w:tcPr>
            <w:tcW w:w="1870" w:type="dxa"/>
            <w:vAlign w:val="bottom"/>
          </w:tcPr>
          <w:p w14:paraId="77F4A190" w14:textId="77777777" w:rsidR="00980919" w:rsidRDefault="00980919" w:rsidP="001515D5">
            <w:r>
              <w:t>2/12/22</w:t>
            </w:r>
          </w:p>
        </w:tc>
        <w:tc>
          <w:tcPr>
            <w:tcW w:w="1870" w:type="dxa"/>
            <w:vAlign w:val="bottom"/>
          </w:tcPr>
          <w:p w14:paraId="7EE6FC62" w14:textId="77777777" w:rsidR="00980919" w:rsidRDefault="00980919" w:rsidP="001515D5">
            <w:r>
              <w:t>0</w:t>
            </w:r>
          </w:p>
        </w:tc>
        <w:tc>
          <w:tcPr>
            <w:tcW w:w="1870" w:type="dxa"/>
            <w:vAlign w:val="bottom"/>
          </w:tcPr>
          <w:p w14:paraId="7E6D2B2B" w14:textId="77777777" w:rsidR="00980919" w:rsidRDefault="00980919" w:rsidP="001515D5">
            <w:r>
              <w:t>1</w:t>
            </w:r>
          </w:p>
        </w:tc>
        <w:tc>
          <w:tcPr>
            <w:tcW w:w="1870" w:type="dxa"/>
            <w:vAlign w:val="bottom"/>
          </w:tcPr>
          <w:p w14:paraId="3D1DFC4B" w14:textId="77777777" w:rsidR="00980919" w:rsidRDefault="00980919" w:rsidP="001515D5">
            <w:r>
              <w:t>14</w:t>
            </w:r>
          </w:p>
        </w:tc>
        <w:tc>
          <w:tcPr>
            <w:tcW w:w="1870" w:type="dxa"/>
            <w:vAlign w:val="bottom"/>
          </w:tcPr>
          <w:p w14:paraId="4264A3D6" w14:textId="77777777" w:rsidR="00980919" w:rsidRDefault="00980919" w:rsidP="001515D5">
            <w:r>
              <w:t>94</w:t>
            </w:r>
          </w:p>
        </w:tc>
      </w:tr>
      <w:tr w:rsidR="00980919" w14:paraId="5A221984" w14:textId="77777777" w:rsidTr="001515D5">
        <w:tc>
          <w:tcPr>
            <w:tcW w:w="1870" w:type="dxa"/>
            <w:vAlign w:val="bottom"/>
          </w:tcPr>
          <w:p w14:paraId="2D69FA0E" w14:textId="77777777" w:rsidR="00980919" w:rsidRDefault="00980919" w:rsidP="001515D5">
            <w:r>
              <w:t>2/19/22</w:t>
            </w:r>
          </w:p>
        </w:tc>
        <w:tc>
          <w:tcPr>
            <w:tcW w:w="1870" w:type="dxa"/>
            <w:vAlign w:val="bottom"/>
          </w:tcPr>
          <w:p w14:paraId="55AABD0E" w14:textId="77777777" w:rsidR="00980919" w:rsidRDefault="00980919" w:rsidP="001515D5">
            <w:r>
              <w:t>0</w:t>
            </w:r>
          </w:p>
        </w:tc>
        <w:tc>
          <w:tcPr>
            <w:tcW w:w="1870" w:type="dxa"/>
            <w:vAlign w:val="bottom"/>
          </w:tcPr>
          <w:p w14:paraId="1223B75A" w14:textId="77777777" w:rsidR="00980919" w:rsidRDefault="00980919" w:rsidP="001515D5">
            <w:r>
              <w:t>1</w:t>
            </w:r>
          </w:p>
        </w:tc>
        <w:tc>
          <w:tcPr>
            <w:tcW w:w="1870" w:type="dxa"/>
            <w:vAlign w:val="bottom"/>
          </w:tcPr>
          <w:p w14:paraId="7F3DB56F" w14:textId="77777777" w:rsidR="00980919" w:rsidRDefault="00980919" w:rsidP="001515D5">
            <w:r>
              <w:t>9</w:t>
            </w:r>
          </w:p>
        </w:tc>
        <w:tc>
          <w:tcPr>
            <w:tcW w:w="1870" w:type="dxa"/>
            <w:vAlign w:val="bottom"/>
          </w:tcPr>
          <w:p w14:paraId="7D6656EF" w14:textId="77777777" w:rsidR="00980919" w:rsidRDefault="00980919" w:rsidP="001515D5">
            <w:r>
              <w:t>60</w:t>
            </w:r>
          </w:p>
        </w:tc>
      </w:tr>
      <w:tr w:rsidR="00980919" w14:paraId="1FBE8876" w14:textId="77777777" w:rsidTr="001515D5">
        <w:tc>
          <w:tcPr>
            <w:tcW w:w="1870" w:type="dxa"/>
            <w:vAlign w:val="bottom"/>
          </w:tcPr>
          <w:p w14:paraId="6939BF2F" w14:textId="77777777" w:rsidR="00980919" w:rsidRDefault="00980919" w:rsidP="001515D5">
            <w:r>
              <w:t>2/26/22</w:t>
            </w:r>
          </w:p>
        </w:tc>
        <w:tc>
          <w:tcPr>
            <w:tcW w:w="1870" w:type="dxa"/>
            <w:vAlign w:val="bottom"/>
          </w:tcPr>
          <w:p w14:paraId="67684CEE" w14:textId="77777777" w:rsidR="00980919" w:rsidRDefault="00980919" w:rsidP="001515D5">
            <w:r>
              <w:t>0</w:t>
            </w:r>
          </w:p>
        </w:tc>
        <w:tc>
          <w:tcPr>
            <w:tcW w:w="1870" w:type="dxa"/>
            <w:vAlign w:val="bottom"/>
          </w:tcPr>
          <w:p w14:paraId="275C4504" w14:textId="77777777" w:rsidR="00980919" w:rsidRDefault="00980919" w:rsidP="001515D5">
            <w:r>
              <w:t>0</w:t>
            </w:r>
          </w:p>
        </w:tc>
        <w:tc>
          <w:tcPr>
            <w:tcW w:w="1870" w:type="dxa"/>
            <w:vAlign w:val="bottom"/>
          </w:tcPr>
          <w:p w14:paraId="19D07C47" w14:textId="77777777" w:rsidR="00980919" w:rsidRDefault="00980919" w:rsidP="001515D5">
            <w:r>
              <w:t>7</w:t>
            </w:r>
          </w:p>
        </w:tc>
        <w:tc>
          <w:tcPr>
            <w:tcW w:w="1870" w:type="dxa"/>
            <w:vAlign w:val="bottom"/>
          </w:tcPr>
          <w:p w14:paraId="6E3C70C1" w14:textId="77777777" w:rsidR="00980919" w:rsidRDefault="00980919" w:rsidP="001515D5">
            <w:r>
              <w:t>47</w:t>
            </w:r>
          </w:p>
        </w:tc>
      </w:tr>
      <w:tr w:rsidR="00980919" w14:paraId="7E0C3339" w14:textId="77777777" w:rsidTr="001515D5">
        <w:tc>
          <w:tcPr>
            <w:tcW w:w="1870" w:type="dxa"/>
            <w:vAlign w:val="bottom"/>
          </w:tcPr>
          <w:p w14:paraId="6B85E35E" w14:textId="77777777" w:rsidR="00980919" w:rsidRDefault="00980919" w:rsidP="001515D5">
            <w:r>
              <w:t>3/5/22</w:t>
            </w:r>
          </w:p>
        </w:tc>
        <w:tc>
          <w:tcPr>
            <w:tcW w:w="1870" w:type="dxa"/>
            <w:vAlign w:val="bottom"/>
          </w:tcPr>
          <w:p w14:paraId="0A707873" w14:textId="77777777" w:rsidR="00980919" w:rsidRDefault="00980919" w:rsidP="001515D5">
            <w:r>
              <w:t>0</w:t>
            </w:r>
          </w:p>
        </w:tc>
        <w:tc>
          <w:tcPr>
            <w:tcW w:w="1870" w:type="dxa"/>
            <w:vAlign w:val="bottom"/>
          </w:tcPr>
          <w:p w14:paraId="17C98B74" w14:textId="77777777" w:rsidR="00980919" w:rsidRDefault="00980919" w:rsidP="001515D5">
            <w:r>
              <w:t>0</w:t>
            </w:r>
          </w:p>
        </w:tc>
        <w:tc>
          <w:tcPr>
            <w:tcW w:w="1870" w:type="dxa"/>
            <w:vAlign w:val="bottom"/>
          </w:tcPr>
          <w:p w14:paraId="29F7930B" w14:textId="77777777" w:rsidR="00980919" w:rsidRDefault="00980919" w:rsidP="001515D5">
            <w:r>
              <w:t>5</w:t>
            </w:r>
          </w:p>
        </w:tc>
        <w:tc>
          <w:tcPr>
            <w:tcW w:w="1870" w:type="dxa"/>
            <w:vAlign w:val="bottom"/>
          </w:tcPr>
          <w:p w14:paraId="19D0E5CA" w14:textId="77777777" w:rsidR="00980919" w:rsidRDefault="00980919" w:rsidP="001515D5">
            <w:r>
              <w:t>22</w:t>
            </w:r>
          </w:p>
        </w:tc>
      </w:tr>
      <w:tr w:rsidR="00980919" w14:paraId="0C148969" w14:textId="77777777" w:rsidTr="001515D5">
        <w:tc>
          <w:tcPr>
            <w:tcW w:w="1870" w:type="dxa"/>
            <w:vAlign w:val="bottom"/>
          </w:tcPr>
          <w:p w14:paraId="3515FE6E" w14:textId="77777777" w:rsidR="00980919" w:rsidRDefault="00980919" w:rsidP="001515D5">
            <w:r>
              <w:t>3/12/22</w:t>
            </w:r>
          </w:p>
        </w:tc>
        <w:tc>
          <w:tcPr>
            <w:tcW w:w="1870" w:type="dxa"/>
            <w:vAlign w:val="bottom"/>
          </w:tcPr>
          <w:p w14:paraId="27CE8B05" w14:textId="77777777" w:rsidR="00980919" w:rsidRDefault="00980919" w:rsidP="001515D5">
            <w:r>
              <w:t>0</w:t>
            </w:r>
          </w:p>
        </w:tc>
        <w:tc>
          <w:tcPr>
            <w:tcW w:w="1870" w:type="dxa"/>
            <w:vAlign w:val="bottom"/>
          </w:tcPr>
          <w:p w14:paraId="39B7F61D" w14:textId="77777777" w:rsidR="00980919" w:rsidRDefault="00980919" w:rsidP="001515D5">
            <w:r>
              <w:t>0</w:t>
            </w:r>
          </w:p>
        </w:tc>
        <w:tc>
          <w:tcPr>
            <w:tcW w:w="1870" w:type="dxa"/>
            <w:vAlign w:val="bottom"/>
          </w:tcPr>
          <w:p w14:paraId="61699252" w14:textId="77777777" w:rsidR="00980919" w:rsidRDefault="00980919" w:rsidP="001515D5">
            <w:r>
              <w:t>4</w:t>
            </w:r>
          </w:p>
        </w:tc>
        <w:tc>
          <w:tcPr>
            <w:tcW w:w="1870" w:type="dxa"/>
            <w:vAlign w:val="bottom"/>
          </w:tcPr>
          <w:p w14:paraId="2A1F4130" w14:textId="77777777" w:rsidR="00980919" w:rsidRDefault="00980919" w:rsidP="001515D5">
            <w:r>
              <w:t>31</w:t>
            </w:r>
          </w:p>
        </w:tc>
      </w:tr>
      <w:tr w:rsidR="00980919" w14:paraId="0E11C77E" w14:textId="77777777" w:rsidTr="001515D5">
        <w:tc>
          <w:tcPr>
            <w:tcW w:w="1870" w:type="dxa"/>
            <w:vAlign w:val="bottom"/>
          </w:tcPr>
          <w:p w14:paraId="0AE832C0" w14:textId="77777777" w:rsidR="00980919" w:rsidRDefault="00980919" w:rsidP="001515D5">
            <w:r>
              <w:t>3/19/22</w:t>
            </w:r>
          </w:p>
        </w:tc>
        <w:tc>
          <w:tcPr>
            <w:tcW w:w="1870" w:type="dxa"/>
            <w:vAlign w:val="bottom"/>
          </w:tcPr>
          <w:p w14:paraId="08EFACAC" w14:textId="77777777" w:rsidR="00980919" w:rsidRDefault="00980919" w:rsidP="001515D5">
            <w:r>
              <w:t>0</w:t>
            </w:r>
          </w:p>
        </w:tc>
        <w:tc>
          <w:tcPr>
            <w:tcW w:w="1870" w:type="dxa"/>
            <w:vAlign w:val="bottom"/>
          </w:tcPr>
          <w:p w14:paraId="6DBFE972" w14:textId="77777777" w:rsidR="00980919" w:rsidRDefault="00980919" w:rsidP="001515D5">
            <w:r>
              <w:t>0</w:t>
            </w:r>
          </w:p>
        </w:tc>
        <w:tc>
          <w:tcPr>
            <w:tcW w:w="1870" w:type="dxa"/>
            <w:vAlign w:val="bottom"/>
          </w:tcPr>
          <w:p w14:paraId="766BA5A2" w14:textId="77777777" w:rsidR="00980919" w:rsidRDefault="00980919" w:rsidP="001515D5">
            <w:r>
              <w:t>2</w:t>
            </w:r>
          </w:p>
        </w:tc>
        <w:tc>
          <w:tcPr>
            <w:tcW w:w="1870" w:type="dxa"/>
            <w:vAlign w:val="bottom"/>
          </w:tcPr>
          <w:p w14:paraId="1ABE355C" w14:textId="77777777" w:rsidR="00980919" w:rsidRDefault="00980919" w:rsidP="001515D5">
            <w:r>
              <w:t>12</w:t>
            </w:r>
          </w:p>
        </w:tc>
      </w:tr>
      <w:tr w:rsidR="00980919" w14:paraId="70BA6758" w14:textId="77777777" w:rsidTr="001515D5">
        <w:tc>
          <w:tcPr>
            <w:tcW w:w="1870" w:type="dxa"/>
            <w:vAlign w:val="bottom"/>
          </w:tcPr>
          <w:p w14:paraId="5B1EE1AC" w14:textId="77777777" w:rsidR="00980919" w:rsidRDefault="00980919" w:rsidP="001515D5">
            <w:r>
              <w:t>3/26/22</w:t>
            </w:r>
          </w:p>
        </w:tc>
        <w:tc>
          <w:tcPr>
            <w:tcW w:w="1870" w:type="dxa"/>
            <w:vAlign w:val="bottom"/>
          </w:tcPr>
          <w:p w14:paraId="4AC46677" w14:textId="77777777" w:rsidR="00980919" w:rsidRDefault="00980919" w:rsidP="001515D5">
            <w:r>
              <w:t>0</w:t>
            </w:r>
          </w:p>
        </w:tc>
        <w:tc>
          <w:tcPr>
            <w:tcW w:w="1870" w:type="dxa"/>
            <w:vAlign w:val="bottom"/>
          </w:tcPr>
          <w:p w14:paraId="6B9BBB0B" w14:textId="77777777" w:rsidR="00980919" w:rsidRDefault="00980919" w:rsidP="001515D5">
            <w:r>
              <w:t>0</w:t>
            </w:r>
          </w:p>
        </w:tc>
        <w:tc>
          <w:tcPr>
            <w:tcW w:w="1870" w:type="dxa"/>
            <w:vAlign w:val="bottom"/>
          </w:tcPr>
          <w:p w14:paraId="506390B4" w14:textId="77777777" w:rsidR="00980919" w:rsidRDefault="00980919" w:rsidP="001515D5">
            <w:r>
              <w:t>2</w:t>
            </w:r>
          </w:p>
        </w:tc>
        <w:tc>
          <w:tcPr>
            <w:tcW w:w="1870" w:type="dxa"/>
            <w:vAlign w:val="bottom"/>
          </w:tcPr>
          <w:p w14:paraId="16B31F09" w14:textId="77777777" w:rsidR="00980919" w:rsidRDefault="00980919" w:rsidP="001515D5">
            <w:r>
              <w:t>7</w:t>
            </w:r>
          </w:p>
        </w:tc>
      </w:tr>
      <w:tr w:rsidR="00980919" w14:paraId="2A3449EC" w14:textId="77777777" w:rsidTr="001515D5">
        <w:tc>
          <w:tcPr>
            <w:tcW w:w="1870" w:type="dxa"/>
            <w:vAlign w:val="bottom"/>
          </w:tcPr>
          <w:p w14:paraId="3A1B9B52" w14:textId="77777777" w:rsidR="00980919" w:rsidRDefault="00980919" w:rsidP="001515D5">
            <w:r>
              <w:t>4/2/22</w:t>
            </w:r>
          </w:p>
        </w:tc>
        <w:tc>
          <w:tcPr>
            <w:tcW w:w="1870" w:type="dxa"/>
            <w:vAlign w:val="bottom"/>
          </w:tcPr>
          <w:p w14:paraId="50227879" w14:textId="77777777" w:rsidR="00980919" w:rsidRDefault="00980919" w:rsidP="001515D5">
            <w:r>
              <w:t>0</w:t>
            </w:r>
          </w:p>
        </w:tc>
        <w:tc>
          <w:tcPr>
            <w:tcW w:w="1870" w:type="dxa"/>
            <w:vAlign w:val="bottom"/>
          </w:tcPr>
          <w:p w14:paraId="55749212" w14:textId="77777777" w:rsidR="00980919" w:rsidRDefault="00980919" w:rsidP="001515D5">
            <w:r>
              <w:t>0</w:t>
            </w:r>
          </w:p>
        </w:tc>
        <w:tc>
          <w:tcPr>
            <w:tcW w:w="1870" w:type="dxa"/>
            <w:vAlign w:val="bottom"/>
          </w:tcPr>
          <w:p w14:paraId="7414ADC1" w14:textId="77777777" w:rsidR="00980919" w:rsidRDefault="00980919" w:rsidP="001515D5">
            <w:r>
              <w:t>1</w:t>
            </w:r>
          </w:p>
        </w:tc>
        <w:tc>
          <w:tcPr>
            <w:tcW w:w="1870" w:type="dxa"/>
            <w:vAlign w:val="bottom"/>
          </w:tcPr>
          <w:p w14:paraId="585AB08F" w14:textId="77777777" w:rsidR="00980919" w:rsidRDefault="00980919" w:rsidP="001515D5">
            <w:r>
              <w:t>2</w:t>
            </w:r>
          </w:p>
        </w:tc>
      </w:tr>
      <w:tr w:rsidR="00980919" w14:paraId="05D0405B" w14:textId="77777777" w:rsidTr="001515D5">
        <w:tc>
          <w:tcPr>
            <w:tcW w:w="1870" w:type="dxa"/>
            <w:vAlign w:val="bottom"/>
          </w:tcPr>
          <w:p w14:paraId="3304B2C2" w14:textId="77777777" w:rsidR="00980919" w:rsidRDefault="00980919" w:rsidP="001515D5">
            <w:r>
              <w:lastRenderedPageBreak/>
              <w:t>4/9/22</w:t>
            </w:r>
          </w:p>
        </w:tc>
        <w:tc>
          <w:tcPr>
            <w:tcW w:w="1870" w:type="dxa"/>
            <w:vAlign w:val="bottom"/>
          </w:tcPr>
          <w:p w14:paraId="564A9604" w14:textId="77777777" w:rsidR="00980919" w:rsidRDefault="00980919" w:rsidP="001515D5">
            <w:r>
              <w:t>0</w:t>
            </w:r>
          </w:p>
        </w:tc>
        <w:tc>
          <w:tcPr>
            <w:tcW w:w="1870" w:type="dxa"/>
            <w:vAlign w:val="bottom"/>
          </w:tcPr>
          <w:p w14:paraId="0669F39E" w14:textId="77777777" w:rsidR="00980919" w:rsidRDefault="00980919" w:rsidP="001515D5">
            <w:r>
              <w:t>0</w:t>
            </w:r>
          </w:p>
        </w:tc>
        <w:tc>
          <w:tcPr>
            <w:tcW w:w="1870" w:type="dxa"/>
            <w:vAlign w:val="bottom"/>
          </w:tcPr>
          <w:p w14:paraId="29B3B7E9" w14:textId="77777777" w:rsidR="00980919" w:rsidRDefault="00980919" w:rsidP="001515D5">
            <w:r>
              <w:t>1</w:t>
            </w:r>
          </w:p>
        </w:tc>
        <w:tc>
          <w:tcPr>
            <w:tcW w:w="1870" w:type="dxa"/>
            <w:vAlign w:val="bottom"/>
          </w:tcPr>
          <w:p w14:paraId="6EA3325E" w14:textId="77777777" w:rsidR="00980919" w:rsidRDefault="00980919" w:rsidP="001515D5">
            <w:r>
              <w:t>7</w:t>
            </w:r>
          </w:p>
        </w:tc>
      </w:tr>
      <w:tr w:rsidR="00980919" w14:paraId="4EE11DD5" w14:textId="77777777" w:rsidTr="001515D5">
        <w:tc>
          <w:tcPr>
            <w:tcW w:w="1870" w:type="dxa"/>
            <w:vAlign w:val="bottom"/>
          </w:tcPr>
          <w:p w14:paraId="21418E72" w14:textId="77777777" w:rsidR="00980919" w:rsidRDefault="00980919" w:rsidP="001515D5">
            <w:r>
              <w:t>4/16/22</w:t>
            </w:r>
          </w:p>
        </w:tc>
        <w:tc>
          <w:tcPr>
            <w:tcW w:w="1870" w:type="dxa"/>
            <w:vAlign w:val="bottom"/>
          </w:tcPr>
          <w:p w14:paraId="6B026568" w14:textId="77777777" w:rsidR="00980919" w:rsidRDefault="00980919" w:rsidP="001515D5">
            <w:r>
              <w:t>0</w:t>
            </w:r>
          </w:p>
        </w:tc>
        <w:tc>
          <w:tcPr>
            <w:tcW w:w="1870" w:type="dxa"/>
            <w:vAlign w:val="bottom"/>
          </w:tcPr>
          <w:p w14:paraId="55F9373F" w14:textId="77777777" w:rsidR="00980919" w:rsidRDefault="00980919" w:rsidP="001515D5">
            <w:r>
              <w:t>0</w:t>
            </w:r>
          </w:p>
        </w:tc>
        <w:tc>
          <w:tcPr>
            <w:tcW w:w="1870" w:type="dxa"/>
            <w:vAlign w:val="bottom"/>
          </w:tcPr>
          <w:p w14:paraId="54C95E73" w14:textId="77777777" w:rsidR="00980919" w:rsidRDefault="00980919" w:rsidP="001515D5">
            <w:r>
              <w:t>1</w:t>
            </w:r>
          </w:p>
        </w:tc>
        <w:tc>
          <w:tcPr>
            <w:tcW w:w="1870" w:type="dxa"/>
            <w:vAlign w:val="bottom"/>
          </w:tcPr>
          <w:p w14:paraId="4C395790" w14:textId="77777777" w:rsidR="00980919" w:rsidRDefault="00980919" w:rsidP="001515D5">
            <w:r>
              <w:t>4</w:t>
            </w:r>
          </w:p>
        </w:tc>
      </w:tr>
      <w:tr w:rsidR="00980919" w14:paraId="3EDEC7AF" w14:textId="77777777" w:rsidTr="001515D5">
        <w:tc>
          <w:tcPr>
            <w:tcW w:w="1870" w:type="dxa"/>
            <w:vAlign w:val="bottom"/>
          </w:tcPr>
          <w:p w14:paraId="2D424B26" w14:textId="77777777" w:rsidR="00980919" w:rsidRDefault="00980919" w:rsidP="001515D5">
            <w:r>
              <w:t>4/23/22</w:t>
            </w:r>
          </w:p>
        </w:tc>
        <w:tc>
          <w:tcPr>
            <w:tcW w:w="1870" w:type="dxa"/>
            <w:vAlign w:val="bottom"/>
          </w:tcPr>
          <w:p w14:paraId="6349B151" w14:textId="77777777" w:rsidR="00980919" w:rsidRDefault="00980919" w:rsidP="001515D5">
            <w:r>
              <w:t>0</w:t>
            </w:r>
          </w:p>
        </w:tc>
        <w:tc>
          <w:tcPr>
            <w:tcW w:w="1870" w:type="dxa"/>
            <w:vAlign w:val="bottom"/>
          </w:tcPr>
          <w:p w14:paraId="1D245954" w14:textId="77777777" w:rsidR="00980919" w:rsidRDefault="00980919" w:rsidP="001515D5">
            <w:r>
              <w:t>0</w:t>
            </w:r>
          </w:p>
        </w:tc>
        <w:tc>
          <w:tcPr>
            <w:tcW w:w="1870" w:type="dxa"/>
            <w:vAlign w:val="bottom"/>
          </w:tcPr>
          <w:p w14:paraId="1683AA62" w14:textId="77777777" w:rsidR="00980919" w:rsidRDefault="00980919" w:rsidP="001515D5">
            <w:r>
              <w:t>1</w:t>
            </w:r>
          </w:p>
        </w:tc>
        <w:tc>
          <w:tcPr>
            <w:tcW w:w="1870" w:type="dxa"/>
            <w:vAlign w:val="bottom"/>
          </w:tcPr>
          <w:p w14:paraId="542C3449" w14:textId="77777777" w:rsidR="00980919" w:rsidRDefault="00980919" w:rsidP="001515D5">
            <w:r>
              <w:t>3</w:t>
            </w:r>
          </w:p>
        </w:tc>
      </w:tr>
      <w:tr w:rsidR="00980919" w14:paraId="246E8370" w14:textId="77777777" w:rsidTr="001515D5">
        <w:tc>
          <w:tcPr>
            <w:tcW w:w="1870" w:type="dxa"/>
            <w:vAlign w:val="bottom"/>
          </w:tcPr>
          <w:p w14:paraId="039F6563" w14:textId="77777777" w:rsidR="00980919" w:rsidRDefault="00980919" w:rsidP="001515D5">
            <w:r>
              <w:t>4/30/22</w:t>
            </w:r>
          </w:p>
        </w:tc>
        <w:tc>
          <w:tcPr>
            <w:tcW w:w="1870" w:type="dxa"/>
            <w:vAlign w:val="bottom"/>
          </w:tcPr>
          <w:p w14:paraId="15012E28" w14:textId="77777777" w:rsidR="00980919" w:rsidRDefault="00980919" w:rsidP="001515D5">
            <w:r>
              <w:t>0</w:t>
            </w:r>
          </w:p>
        </w:tc>
        <w:tc>
          <w:tcPr>
            <w:tcW w:w="1870" w:type="dxa"/>
            <w:vAlign w:val="bottom"/>
          </w:tcPr>
          <w:p w14:paraId="695467EE" w14:textId="77777777" w:rsidR="00980919" w:rsidRDefault="00980919" w:rsidP="001515D5">
            <w:r>
              <w:t>0</w:t>
            </w:r>
          </w:p>
        </w:tc>
        <w:tc>
          <w:tcPr>
            <w:tcW w:w="1870" w:type="dxa"/>
            <w:vAlign w:val="bottom"/>
          </w:tcPr>
          <w:p w14:paraId="66240687" w14:textId="77777777" w:rsidR="00980919" w:rsidRDefault="00980919" w:rsidP="001515D5">
            <w:r>
              <w:t>1</w:t>
            </w:r>
          </w:p>
        </w:tc>
        <w:tc>
          <w:tcPr>
            <w:tcW w:w="1870" w:type="dxa"/>
            <w:vAlign w:val="bottom"/>
          </w:tcPr>
          <w:p w14:paraId="0F1B468F" w14:textId="77777777" w:rsidR="00980919" w:rsidRDefault="00980919" w:rsidP="001515D5">
            <w:r>
              <w:t>4</w:t>
            </w:r>
          </w:p>
        </w:tc>
      </w:tr>
      <w:tr w:rsidR="00980919" w14:paraId="01D0812E" w14:textId="77777777" w:rsidTr="001515D5">
        <w:tc>
          <w:tcPr>
            <w:tcW w:w="1870" w:type="dxa"/>
            <w:vAlign w:val="bottom"/>
          </w:tcPr>
          <w:p w14:paraId="3EB52EF6" w14:textId="77777777" w:rsidR="00980919" w:rsidRDefault="00980919" w:rsidP="001515D5">
            <w:r>
              <w:t>5/7/22</w:t>
            </w:r>
          </w:p>
        </w:tc>
        <w:tc>
          <w:tcPr>
            <w:tcW w:w="1870" w:type="dxa"/>
            <w:vAlign w:val="bottom"/>
          </w:tcPr>
          <w:p w14:paraId="47D773F3" w14:textId="77777777" w:rsidR="00980919" w:rsidRDefault="00980919" w:rsidP="001515D5">
            <w:r>
              <w:t>0</w:t>
            </w:r>
          </w:p>
        </w:tc>
        <w:tc>
          <w:tcPr>
            <w:tcW w:w="1870" w:type="dxa"/>
            <w:vAlign w:val="bottom"/>
          </w:tcPr>
          <w:p w14:paraId="2F88104A" w14:textId="77777777" w:rsidR="00980919" w:rsidRDefault="00980919" w:rsidP="001515D5">
            <w:r>
              <w:t>0</w:t>
            </w:r>
          </w:p>
        </w:tc>
        <w:tc>
          <w:tcPr>
            <w:tcW w:w="1870" w:type="dxa"/>
            <w:vAlign w:val="bottom"/>
          </w:tcPr>
          <w:p w14:paraId="11E5A6A6" w14:textId="77777777" w:rsidR="00980919" w:rsidRDefault="00980919" w:rsidP="001515D5">
            <w:r>
              <w:t>1</w:t>
            </w:r>
          </w:p>
        </w:tc>
        <w:tc>
          <w:tcPr>
            <w:tcW w:w="1870" w:type="dxa"/>
            <w:vAlign w:val="bottom"/>
          </w:tcPr>
          <w:p w14:paraId="3236F7E3" w14:textId="77777777" w:rsidR="00980919" w:rsidRDefault="00980919" w:rsidP="001515D5">
            <w:r>
              <w:t>3</w:t>
            </w:r>
          </w:p>
        </w:tc>
      </w:tr>
      <w:tr w:rsidR="00980919" w14:paraId="35F84745" w14:textId="77777777" w:rsidTr="001515D5">
        <w:tc>
          <w:tcPr>
            <w:tcW w:w="1870" w:type="dxa"/>
            <w:vAlign w:val="bottom"/>
          </w:tcPr>
          <w:p w14:paraId="36F880A7" w14:textId="77777777" w:rsidR="00980919" w:rsidRDefault="00980919" w:rsidP="001515D5">
            <w:r>
              <w:t>5/14/22</w:t>
            </w:r>
          </w:p>
        </w:tc>
        <w:tc>
          <w:tcPr>
            <w:tcW w:w="1870" w:type="dxa"/>
            <w:vAlign w:val="bottom"/>
          </w:tcPr>
          <w:p w14:paraId="766C5052" w14:textId="77777777" w:rsidR="00980919" w:rsidRDefault="00980919" w:rsidP="001515D5">
            <w:r>
              <w:t>0</w:t>
            </w:r>
          </w:p>
        </w:tc>
        <w:tc>
          <w:tcPr>
            <w:tcW w:w="1870" w:type="dxa"/>
            <w:vAlign w:val="bottom"/>
          </w:tcPr>
          <w:p w14:paraId="34525FD6" w14:textId="77777777" w:rsidR="00980919" w:rsidRDefault="00980919" w:rsidP="001515D5">
            <w:r>
              <w:t>0</w:t>
            </w:r>
          </w:p>
        </w:tc>
        <w:tc>
          <w:tcPr>
            <w:tcW w:w="1870" w:type="dxa"/>
            <w:vAlign w:val="bottom"/>
          </w:tcPr>
          <w:p w14:paraId="57336CEF" w14:textId="77777777" w:rsidR="00980919" w:rsidRDefault="00980919" w:rsidP="001515D5">
            <w:r>
              <w:t>1</w:t>
            </w:r>
          </w:p>
        </w:tc>
        <w:tc>
          <w:tcPr>
            <w:tcW w:w="1870" w:type="dxa"/>
            <w:vAlign w:val="bottom"/>
          </w:tcPr>
          <w:p w14:paraId="6AE6DEA5" w14:textId="77777777" w:rsidR="00980919" w:rsidRDefault="00980919" w:rsidP="001515D5">
            <w:r>
              <w:t>4</w:t>
            </w:r>
          </w:p>
        </w:tc>
      </w:tr>
      <w:tr w:rsidR="00980919" w14:paraId="57E88B7C" w14:textId="77777777" w:rsidTr="001515D5">
        <w:tc>
          <w:tcPr>
            <w:tcW w:w="1870" w:type="dxa"/>
            <w:vAlign w:val="bottom"/>
          </w:tcPr>
          <w:p w14:paraId="10D2E821" w14:textId="77777777" w:rsidR="00980919" w:rsidRDefault="00980919" w:rsidP="001515D5">
            <w:r>
              <w:t>5/21/22</w:t>
            </w:r>
          </w:p>
        </w:tc>
        <w:tc>
          <w:tcPr>
            <w:tcW w:w="1870" w:type="dxa"/>
            <w:vAlign w:val="bottom"/>
          </w:tcPr>
          <w:p w14:paraId="061FE719" w14:textId="77777777" w:rsidR="00980919" w:rsidRDefault="00980919" w:rsidP="001515D5">
            <w:r>
              <w:t>0</w:t>
            </w:r>
          </w:p>
        </w:tc>
        <w:tc>
          <w:tcPr>
            <w:tcW w:w="1870" w:type="dxa"/>
            <w:vAlign w:val="bottom"/>
          </w:tcPr>
          <w:p w14:paraId="10F16AE6" w14:textId="77777777" w:rsidR="00980919" w:rsidRDefault="00980919" w:rsidP="001515D5">
            <w:r>
              <w:t>0</w:t>
            </w:r>
          </w:p>
        </w:tc>
        <w:tc>
          <w:tcPr>
            <w:tcW w:w="1870" w:type="dxa"/>
            <w:vAlign w:val="bottom"/>
          </w:tcPr>
          <w:p w14:paraId="189EB19B" w14:textId="77777777" w:rsidR="00980919" w:rsidRDefault="00980919" w:rsidP="001515D5">
            <w:r>
              <w:t>1</w:t>
            </w:r>
          </w:p>
        </w:tc>
        <w:tc>
          <w:tcPr>
            <w:tcW w:w="1870" w:type="dxa"/>
            <w:vAlign w:val="bottom"/>
          </w:tcPr>
          <w:p w14:paraId="1B1035B1" w14:textId="77777777" w:rsidR="00980919" w:rsidRDefault="00980919" w:rsidP="001515D5">
            <w:r>
              <w:t>16</w:t>
            </w:r>
          </w:p>
        </w:tc>
      </w:tr>
      <w:tr w:rsidR="00980919" w14:paraId="39BF1820" w14:textId="77777777" w:rsidTr="001515D5">
        <w:tc>
          <w:tcPr>
            <w:tcW w:w="1870" w:type="dxa"/>
            <w:vAlign w:val="bottom"/>
          </w:tcPr>
          <w:p w14:paraId="0F3BF921" w14:textId="77777777" w:rsidR="00980919" w:rsidRDefault="00980919" w:rsidP="001515D5">
            <w:r>
              <w:t>5/28/22</w:t>
            </w:r>
          </w:p>
        </w:tc>
        <w:tc>
          <w:tcPr>
            <w:tcW w:w="1870" w:type="dxa"/>
            <w:vAlign w:val="bottom"/>
          </w:tcPr>
          <w:p w14:paraId="0AD11BBE" w14:textId="77777777" w:rsidR="00980919" w:rsidRDefault="00980919" w:rsidP="001515D5">
            <w:r>
              <w:t>0</w:t>
            </w:r>
          </w:p>
        </w:tc>
        <w:tc>
          <w:tcPr>
            <w:tcW w:w="1870" w:type="dxa"/>
            <w:vAlign w:val="bottom"/>
          </w:tcPr>
          <w:p w14:paraId="1321F6B5" w14:textId="77777777" w:rsidR="00980919" w:rsidRDefault="00980919" w:rsidP="001515D5">
            <w:r>
              <w:t>0</w:t>
            </w:r>
          </w:p>
        </w:tc>
        <w:tc>
          <w:tcPr>
            <w:tcW w:w="1870" w:type="dxa"/>
            <w:vAlign w:val="bottom"/>
          </w:tcPr>
          <w:p w14:paraId="19023774" w14:textId="77777777" w:rsidR="00980919" w:rsidRDefault="00980919" w:rsidP="001515D5">
            <w:r>
              <w:t>1</w:t>
            </w:r>
          </w:p>
        </w:tc>
        <w:tc>
          <w:tcPr>
            <w:tcW w:w="1870" w:type="dxa"/>
            <w:vAlign w:val="bottom"/>
          </w:tcPr>
          <w:p w14:paraId="05160B60" w14:textId="77777777" w:rsidR="00980919" w:rsidRDefault="00980919" w:rsidP="001515D5">
            <w:r>
              <w:t>10</w:t>
            </w:r>
          </w:p>
        </w:tc>
      </w:tr>
      <w:tr w:rsidR="00980919" w14:paraId="2A9703C0" w14:textId="77777777" w:rsidTr="001515D5">
        <w:tc>
          <w:tcPr>
            <w:tcW w:w="1870" w:type="dxa"/>
            <w:vAlign w:val="bottom"/>
          </w:tcPr>
          <w:p w14:paraId="730D4A94" w14:textId="77777777" w:rsidR="00980919" w:rsidRDefault="00980919" w:rsidP="001515D5">
            <w:r>
              <w:t>6/4/22</w:t>
            </w:r>
          </w:p>
        </w:tc>
        <w:tc>
          <w:tcPr>
            <w:tcW w:w="1870" w:type="dxa"/>
            <w:vAlign w:val="bottom"/>
          </w:tcPr>
          <w:p w14:paraId="5FF3107E" w14:textId="77777777" w:rsidR="00980919" w:rsidRDefault="00980919" w:rsidP="001515D5">
            <w:r>
              <w:t>0</w:t>
            </w:r>
          </w:p>
        </w:tc>
        <w:tc>
          <w:tcPr>
            <w:tcW w:w="1870" w:type="dxa"/>
            <w:vAlign w:val="bottom"/>
          </w:tcPr>
          <w:p w14:paraId="0ACC8DDD" w14:textId="77777777" w:rsidR="00980919" w:rsidRDefault="00980919" w:rsidP="001515D5">
            <w:r>
              <w:t>0</w:t>
            </w:r>
          </w:p>
        </w:tc>
        <w:tc>
          <w:tcPr>
            <w:tcW w:w="1870" w:type="dxa"/>
            <w:vAlign w:val="bottom"/>
          </w:tcPr>
          <w:p w14:paraId="646B13D3" w14:textId="77777777" w:rsidR="00980919" w:rsidRDefault="00980919" w:rsidP="001515D5">
            <w:r>
              <w:t>1</w:t>
            </w:r>
          </w:p>
        </w:tc>
        <w:tc>
          <w:tcPr>
            <w:tcW w:w="1870" w:type="dxa"/>
            <w:vAlign w:val="bottom"/>
          </w:tcPr>
          <w:p w14:paraId="7AE47CDC" w14:textId="77777777" w:rsidR="00980919" w:rsidRDefault="00980919" w:rsidP="001515D5">
            <w:r>
              <w:t>7</w:t>
            </w:r>
          </w:p>
        </w:tc>
      </w:tr>
      <w:tr w:rsidR="00980919" w14:paraId="4524AE99" w14:textId="77777777" w:rsidTr="001515D5">
        <w:tc>
          <w:tcPr>
            <w:tcW w:w="1870" w:type="dxa"/>
            <w:vAlign w:val="bottom"/>
          </w:tcPr>
          <w:p w14:paraId="7E77B1F1" w14:textId="77777777" w:rsidR="00980919" w:rsidRDefault="00980919" w:rsidP="001515D5">
            <w:r>
              <w:t>6/11/22</w:t>
            </w:r>
          </w:p>
        </w:tc>
        <w:tc>
          <w:tcPr>
            <w:tcW w:w="1870" w:type="dxa"/>
            <w:vAlign w:val="bottom"/>
          </w:tcPr>
          <w:p w14:paraId="50F2588B" w14:textId="77777777" w:rsidR="00980919" w:rsidRDefault="00980919" w:rsidP="001515D5">
            <w:r>
              <w:t>0</w:t>
            </w:r>
          </w:p>
        </w:tc>
        <w:tc>
          <w:tcPr>
            <w:tcW w:w="1870" w:type="dxa"/>
            <w:vAlign w:val="bottom"/>
          </w:tcPr>
          <w:p w14:paraId="7C3BBF35" w14:textId="77777777" w:rsidR="00980919" w:rsidRDefault="00980919" w:rsidP="001515D5">
            <w:r>
              <w:t>0</w:t>
            </w:r>
          </w:p>
        </w:tc>
        <w:tc>
          <w:tcPr>
            <w:tcW w:w="1870" w:type="dxa"/>
            <w:vAlign w:val="bottom"/>
          </w:tcPr>
          <w:p w14:paraId="1B2357FB" w14:textId="77777777" w:rsidR="00980919" w:rsidRDefault="00980919" w:rsidP="001515D5">
            <w:r>
              <w:t>1</w:t>
            </w:r>
          </w:p>
        </w:tc>
        <w:tc>
          <w:tcPr>
            <w:tcW w:w="1870" w:type="dxa"/>
            <w:vAlign w:val="bottom"/>
          </w:tcPr>
          <w:p w14:paraId="35F2F819" w14:textId="77777777" w:rsidR="00980919" w:rsidRDefault="00980919" w:rsidP="001515D5">
            <w:r>
              <w:t>4</w:t>
            </w:r>
          </w:p>
        </w:tc>
      </w:tr>
      <w:tr w:rsidR="00980919" w14:paraId="3D873465" w14:textId="77777777" w:rsidTr="001515D5">
        <w:tc>
          <w:tcPr>
            <w:tcW w:w="1870" w:type="dxa"/>
            <w:vAlign w:val="bottom"/>
          </w:tcPr>
          <w:p w14:paraId="2B4B036B" w14:textId="77777777" w:rsidR="00980919" w:rsidRDefault="00980919" w:rsidP="001515D5">
            <w:r>
              <w:t>6/18/22</w:t>
            </w:r>
          </w:p>
        </w:tc>
        <w:tc>
          <w:tcPr>
            <w:tcW w:w="1870" w:type="dxa"/>
            <w:vAlign w:val="bottom"/>
          </w:tcPr>
          <w:p w14:paraId="77CEDF8F" w14:textId="77777777" w:rsidR="00980919" w:rsidRDefault="00980919" w:rsidP="001515D5">
            <w:r>
              <w:t>0</w:t>
            </w:r>
          </w:p>
        </w:tc>
        <w:tc>
          <w:tcPr>
            <w:tcW w:w="1870" w:type="dxa"/>
            <w:vAlign w:val="bottom"/>
          </w:tcPr>
          <w:p w14:paraId="566359EC" w14:textId="77777777" w:rsidR="00980919" w:rsidRDefault="00980919" w:rsidP="001515D5">
            <w:r>
              <w:t>0</w:t>
            </w:r>
          </w:p>
        </w:tc>
        <w:tc>
          <w:tcPr>
            <w:tcW w:w="1870" w:type="dxa"/>
            <w:vAlign w:val="bottom"/>
          </w:tcPr>
          <w:p w14:paraId="3C7D9F02" w14:textId="77777777" w:rsidR="00980919" w:rsidRDefault="00980919" w:rsidP="001515D5">
            <w:r>
              <w:t>1</w:t>
            </w:r>
          </w:p>
        </w:tc>
        <w:tc>
          <w:tcPr>
            <w:tcW w:w="1870" w:type="dxa"/>
            <w:vAlign w:val="bottom"/>
          </w:tcPr>
          <w:p w14:paraId="3A49D543" w14:textId="77777777" w:rsidR="00980919" w:rsidRDefault="00980919" w:rsidP="001515D5">
            <w:r>
              <w:t>10</w:t>
            </w:r>
          </w:p>
        </w:tc>
      </w:tr>
      <w:tr w:rsidR="00980919" w14:paraId="7CFC1E21" w14:textId="77777777" w:rsidTr="001515D5">
        <w:tc>
          <w:tcPr>
            <w:tcW w:w="1870" w:type="dxa"/>
            <w:vAlign w:val="bottom"/>
          </w:tcPr>
          <w:p w14:paraId="06F1E45B" w14:textId="77777777" w:rsidR="00980919" w:rsidRDefault="00980919" w:rsidP="001515D5">
            <w:r>
              <w:t>6/25/22</w:t>
            </w:r>
          </w:p>
        </w:tc>
        <w:tc>
          <w:tcPr>
            <w:tcW w:w="1870" w:type="dxa"/>
            <w:vAlign w:val="bottom"/>
          </w:tcPr>
          <w:p w14:paraId="08D22C7C" w14:textId="77777777" w:rsidR="00980919" w:rsidRDefault="00980919" w:rsidP="001515D5">
            <w:r>
              <w:t>0</w:t>
            </w:r>
          </w:p>
        </w:tc>
        <w:tc>
          <w:tcPr>
            <w:tcW w:w="1870" w:type="dxa"/>
            <w:vAlign w:val="bottom"/>
          </w:tcPr>
          <w:p w14:paraId="02015815" w14:textId="77777777" w:rsidR="00980919" w:rsidRDefault="00980919" w:rsidP="001515D5">
            <w:r>
              <w:t>0</w:t>
            </w:r>
          </w:p>
        </w:tc>
        <w:tc>
          <w:tcPr>
            <w:tcW w:w="1870" w:type="dxa"/>
            <w:vAlign w:val="bottom"/>
          </w:tcPr>
          <w:p w14:paraId="089CD89A" w14:textId="77777777" w:rsidR="00980919" w:rsidRDefault="00980919" w:rsidP="001515D5">
            <w:r>
              <w:t>1</w:t>
            </w:r>
          </w:p>
        </w:tc>
        <w:tc>
          <w:tcPr>
            <w:tcW w:w="1870" w:type="dxa"/>
            <w:vAlign w:val="bottom"/>
          </w:tcPr>
          <w:p w14:paraId="042E3D8E" w14:textId="77777777" w:rsidR="00980919" w:rsidRDefault="00980919" w:rsidP="001515D5">
            <w:r>
              <w:t>17</w:t>
            </w:r>
          </w:p>
        </w:tc>
      </w:tr>
      <w:tr w:rsidR="00980919" w14:paraId="536614B6" w14:textId="77777777" w:rsidTr="001515D5">
        <w:tc>
          <w:tcPr>
            <w:tcW w:w="1870" w:type="dxa"/>
            <w:vAlign w:val="bottom"/>
          </w:tcPr>
          <w:p w14:paraId="6F1CD9B7" w14:textId="77777777" w:rsidR="00980919" w:rsidRDefault="00980919" w:rsidP="001515D5">
            <w:r>
              <w:t>7/2/22</w:t>
            </w:r>
          </w:p>
        </w:tc>
        <w:tc>
          <w:tcPr>
            <w:tcW w:w="1870" w:type="dxa"/>
            <w:vAlign w:val="bottom"/>
          </w:tcPr>
          <w:p w14:paraId="40D932D9" w14:textId="77777777" w:rsidR="00980919" w:rsidRDefault="00980919" w:rsidP="001515D5">
            <w:r>
              <w:t>0</w:t>
            </w:r>
          </w:p>
        </w:tc>
        <w:tc>
          <w:tcPr>
            <w:tcW w:w="1870" w:type="dxa"/>
            <w:vAlign w:val="bottom"/>
          </w:tcPr>
          <w:p w14:paraId="678081ED" w14:textId="77777777" w:rsidR="00980919" w:rsidRDefault="00980919" w:rsidP="001515D5">
            <w:r>
              <w:t>0</w:t>
            </w:r>
          </w:p>
        </w:tc>
        <w:tc>
          <w:tcPr>
            <w:tcW w:w="1870" w:type="dxa"/>
            <w:vAlign w:val="bottom"/>
          </w:tcPr>
          <w:p w14:paraId="48054BCC" w14:textId="77777777" w:rsidR="00980919" w:rsidRDefault="00980919" w:rsidP="001515D5">
            <w:r>
              <w:t>1</w:t>
            </w:r>
          </w:p>
        </w:tc>
        <w:tc>
          <w:tcPr>
            <w:tcW w:w="1870" w:type="dxa"/>
            <w:vAlign w:val="bottom"/>
          </w:tcPr>
          <w:p w14:paraId="0E399DC4" w14:textId="77777777" w:rsidR="00980919" w:rsidRDefault="00980919" w:rsidP="001515D5">
            <w:r>
              <w:t>8</w:t>
            </w:r>
          </w:p>
        </w:tc>
      </w:tr>
      <w:tr w:rsidR="00980919" w14:paraId="1A2564E0" w14:textId="77777777" w:rsidTr="001515D5">
        <w:tc>
          <w:tcPr>
            <w:tcW w:w="1870" w:type="dxa"/>
            <w:vAlign w:val="bottom"/>
          </w:tcPr>
          <w:p w14:paraId="0E355FEA" w14:textId="77777777" w:rsidR="00980919" w:rsidRDefault="00980919" w:rsidP="001515D5">
            <w:r>
              <w:t>7/9/22</w:t>
            </w:r>
          </w:p>
        </w:tc>
        <w:tc>
          <w:tcPr>
            <w:tcW w:w="1870" w:type="dxa"/>
            <w:vAlign w:val="bottom"/>
          </w:tcPr>
          <w:p w14:paraId="30AD46A9" w14:textId="77777777" w:rsidR="00980919" w:rsidRDefault="00980919" w:rsidP="001515D5">
            <w:r>
              <w:t>0</w:t>
            </w:r>
          </w:p>
        </w:tc>
        <w:tc>
          <w:tcPr>
            <w:tcW w:w="1870" w:type="dxa"/>
            <w:vAlign w:val="bottom"/>
          </w:tcPr>
          <w:p w14:paraId="027C9325" w14:textId="77777777" w:rsidR="00980919" w:rsidRDefault="00980919" w:rsidP="001515D5">
            <w:r>
              <w:t>0</w:t>
            </w:r>
          </w:p>
        </w:tc>
        <w:tc>
          <w:tcPr>
            <w:tcW w:w="1870" w:type="dxa"/>
            <w:vAlign w:val="bottom"/>
          </w:tcPr>
          <w:p w14:paraId="0025AC71" w14:textId="77777777" w:rsidR="00980919" w:rsidRDefault="00980919" w:rsidP="001515D5">
            <w:r>
              <w:t>1</w:t>
            </w:r>
          </w:p>
        </w:tc>
        <w:tc>
          <w:tcPr>
            <w:tcW w:w="1870" w:type="dxa"/>
            <w:vAlign w:val="bottom"/>
          </w:tcPr>
          <w:p w14:paraId="40550ECB" w14:textId="77777777" w:rsidR="00980919" w:rsidRDefault="00980919" w:rsidP="001515D5">
            <w:r>
              <w:t>5</w:t>
            </w:r>
          </w:p>
        </w:tc>
      </w:tr>
      <w:tr w:rsidR="00980919" w14:paraId="23A96641" w14:textId="77777777" w:rsidTr="001515D5">
        <w:tc>
          <w:tcPr>
            <w:tcW w:w="1870" w:type="dxa"/>
            <w:vAlign w:val="bottom"/>
          </w:tcPr>
          <w:p w14:paraId="279B9482" w14:textId="77777777" w:rsidR="00980919" w:rsidRDefault="00980919" w:rsidP="001515D5">
            <w:r>
              <w:t>7/16/22</w:t>
            </w:r>
          </w:p>
        </w:tc>
        <w:tc>
          <w:tcPr>
            <w:tcW w:w="1870" w:type="dxa"/>
            <w:vAlign w:val="bottom"/>
          </w:tcPr>
          <w:p w14:paraId="169CFC5F" w14:textId="77777777" w:rsidR="00980919" w:rsidRDefault="00980919" w:rsidP="001515D5">
            <w:r>
              <w:t>0</w:t>
            </w:r>
          </w:p>
        </w:tc>
        <w:tc>
          <w:tcPr>
            <w:tcW w:w="1870" w:type="dxa"/>
            <w:vAlign w:val="bottom"/>
          </w:tcPr>
          <w:p w14:paraId="1F8A8462" w14:textId="77777777" w:rsidR="00980919" w:rsidRDefault="00980919" w:rsidP="001515D5">
            <w:r>
              <w:t>0</w:t>
            </w:r>
          </w:p>
        </w:tc>
        <w:tc>
          <w:tcPr>
            <w:tcW w:w="1870" w:type="dxa"/>
            <w:vAlign w:val="bottom"/>
          </w:tcPr>
          <w:p w14:paraId="20055C1A" w14:textId="77777777" w:rsidR="00980919" w:rsidRDefault="00980919" w:rsidP="001515D5">
            <w:r>
              <w:t>1</w:t>
            </w:r>
          </w:p>
        </w:tc>
        <w:tc>
          <w:tcPr>
            <w:tcW w:w="1870" w:type="dxa"/>
            <w:vAlign w:val="bottom"/>
          </w:tcPr>
          <w:p w14:paraId="08AB0347" w14:textId="77777777" w:rsidR="00980919" w:rsidRDefault="00980919" w:rsidP="001515D5">
            <w:r>
              <w:t>10</w:t>
            </w:r>
          </w:p>
        </w:tc>
      </w:tr>
      <w:tr w:rsidR="00980919" w14:paraId="1369F65A" w14:textId="77777777" w:rsidTr="001515D5">
        <w:tc>
          <w:tcPr>
            <w:tcW w:w="1870" w:type="dxa"/>
            <w:vAlign w:val="bottom"/>
          </w:tcPr>
          <w:p w14:paraId="34C48C94" w14:textId="77777777" w:rsidR="00980919" w:rsidRDefault="00980919" w:rsidP="001515D5">
            <w:r>
              <w:t>7/23/22</w:t>
            </w:r>
          </w:p>
        </w:tc>
        <w:tc>
          <w:tcPr>
            <w:tcW w:w="1870" w:type="dxa"/>
            <w:vAlign w:val="bottom"/>
          </w:tcPr>
          <w:p w14:paraId="7351CFBF" w14:textId="77777777" w:rsidR="00980919" w:rsidRDefault="00980919" w:rsidP="001515D5">
            <w:r>
              <w:t>0</w:t>
            </w:r>
          </w:p>
        </w:tc>
        <w:tc>
          <w:tcPr>
            <w:tcW w:w="1870" w:type="dxa"/>
            <w:vAlign w:val="bottom"/>
          </w:tcPr>
          <w:p w14:paraId="249BC541" w14:textId="77777777" w:rsidR="00980919" w:rsidRDefault="00980919" w:rsidP="001515D5">
            <w:r>
              <w:t>0</w:t>
            </w:r>
          </w:p>
        </w:tc>
        <w:tc>
          <w:tcPr>
            <w:tcW w:w="1870" w:type="dxa"/>
            <w:vAlign w:val="bottom"/>
          </w:tcPr>
          <w:p w14:paraId="06EB13A0" w14:textId="77777777" w:rsidR="00980919" w:rsidRDefault="00980919" w:rsidP="001515D5">
            <w:r>
              <w:t>1</w:t>
            </w:r>
          </w:p>
        </w:tc>
        <w:tc>
          <w:tcPr>
            <w:tcW w:w="1870" w:type="dxa"/>
            <w:vAlign w:val="bottom"/>
          </w:tcPr>
          <w:p w14:paraId="035C9FC5" w14:textId="77777777" w:rsidR="00980919" w:rsidRDefault="00980919" w:rsidP="001515D5">
            <w:r>
              <w:t>5</w:t>
            </w:r>
          </w:p>
        </w:tc>
      </w:tr>
      <w:tr w:rsidR="00980919" w14:paraId="59838994" w14:textId="77777777" w:rsidTr="001515D5">
        <w:tc>
          <w:tcPr>
            <w:tcW w:w="1870" w:type="dxa"/>
            <w:vAlign w:val="bottom"/>
          </w:tcPr>
          <w:p w14:paraId="631C8D7F" w14:textId="77777777" w:rsidR="00980919" w:rsidRDefault="00980919" w:rsidP="001515D5">
            <w:r>
              <w:t>7/30/22</w:t>
            </w:r>
          </w:p>
        </w:tc>
        <w:tc>
          <w:tcPr>
            <w:tcW w:w="1870" w:type="dxa"/>
            <w:vAlign w:val="bottom"/>
          </w:tcPr>
          <w:p w14:paraId="596D20D2" w14:textId="77777777" w:rsidR="00980919" w:rsidRDefault="00980919" w:rsidP="001515D5">
            <w:r>
              <w:t>0</w:t>
            </w:r>
          </w:p>
        </w:tc>
        <w:tc>
          <w:tcPr>
            <w:tcW w:w="1870" w:type="dxa"/>
            <w:vAlign w:val="bottom"/>
          </w:tcPr>
          <w:p w14:paraId="4A90F068" w14:textId="77777777" w:rsidR="00980919" w:rsidRDefault="00980919" w:rsidP="001515D5">
            <w:r>
              <w:t>0</w:t>
            </w:r>
          </w:p>
        </w:tc>
        <w:tc>
          <w:tcPr>
            <w:tcW w:w="1870" w:type="dxa"/>
            <w:vAlign w:val="bottom"/>
          </w:tcPr>
          <w:p w14:paraId="356390A3" w14:textId="77777777" w:rsidR="00980919" w:rsidRDefault="00980919" w:rsidP="001515D5">
            <w:r>
              <w:t>1</w:t>
            </w:r>
          </w:p>
        </w:tc>
        <w:tc>
          <w:tcPr>
            <w:tcW w:w="1870" w:type="dxa"/>
            <w:vAlign w:val="bottom"/>
          </w:tcPr>
          <w:p w14:paraId="47B0824C" w14:textId="77777777" w:rsidR="00980919" w:rsidRDefault="00980919" w:rsidP="001515D5">
            <w:r>
              <w:t>2</w:t>
            </w:r>
          </w:p>
        </w:tc>
      </w:tr>
      <w:tr w:rsidR="00980919" w14:paraId="4713C7DB" w14:textId="77777777" w:rsidTr="001515D5">
        <w:tc>
          <w:tcPr>
            <w:tcW w:w="1870" w:type="dxa"/>
            <w:vAlign w:val="bottom"/>
          </w:tcPr>
          <w:p w14:paraId="2641E927" w14:textId="77777777" w:rsidR="00980919" w:rsidRDefault="00980919" w:rsidP="001515D5">
            <w:r>
              <w:t>8/6/22</w:t>
            </w:r>
          </w:p>
        </w:tc>
        <w:tc>
          <w:tcPr>
            <w:tcW w:w="1870" w:type="dxa"/>
            <w:vAlign w:val="bottom"/>
          </w:tcPr>
          <w:p w14:paraId="499A56B5" w14:textId="77777777" w:rsidR="00980919" w:rsidRDefault="00980919" w:rsidP="001515D5">
            <w:r>
              <w:t>0</w:t>
            </w:r>
          </w:p>
        </w:tc>
        <w:tc>
          <w:tcPr>
            <w:tcW w:w="1870" w:type="dxa"/>
            <w:vAlign w:val="bottom"/>
          </w:tcPr>
          <w:p w14:paraId="40FD39EA" w14:textId="77777777" w:rsidR="00980919" w:rsidRDefault="00980919" w:rsidP="001515D5">
            <w:r>
              <w:t>0</w:t>
            </w:r>
          </w:p>
        </w:tc>
        <w:tc>
          <w:tcPr>
            <w:tcW w:w="1870" w:type="dxa"/>
            <w:vAlign w:val="bottom"/>
          </w:tcPr>
          <w:p w14:paraId="4DA3AFE2" w14:textId="77777777" w:rsidR="00980919" w:rsidRDefault="00980919" w:rsidP="001515D5">
            <w:r>
              <w:t>0</w:t>
            </w:r>
          </w:p>
        </w:tc>
        <w:tc>
          <w:tcPr>
            <w:tcW w:w="1870" w:type="dxa"/>
            <w:vAlign w:val="bottom"/>
          </w:tcPr>
          <w:p w14:paraId="1B9F3DD5" w14:textId="77777777" w:rsidR="00980919" w:rsidRDefault="00980919" w:rsidP="001515D5">
            <w:r>
              <w:t>6</w:t>
            </w:r>
          </w:p>
        </w:tc>
      </w:tr>
      <w:tr w:rsidR="00980919" w14:paraId="07EA7CA3" w14:textId="77777777" w:rsidTr="001515D5">
        <w:tc>
          <w:tcPr>
            <w:tcW w:w="1870" w:type="dxa"/>
            <w:vAlign w:val="bottom"/>
          </w:tcPr>
          <w:p w14:paraId="5CE6EE3B" w14:textId="77777777" w:rsidR="00980919" w:rsidRDefault="00980919" w:rsidP="001515D5">
            <w:r>
              <w:t>8/13/22</w:t>
            </w:r>
          </w:p>
        </w:tc>
        <w:tc>
          <w:tcPr>
            <w:tcW w:w="1870" w:type="dxa"/>
            <w:vAlign w:val="bottom"/>
          </w:tcPr>
          <w:p w14:paraId="224E26D3" w14:textId="77777777" w:rsidR="00980919" w:rsidRDefault="00980919" w:rsidP="001515D5">
            <w:r>
              <w:t>0</w:t>
            </w:r>
          </w:p>
        </w:tc>
        <w:tc>
          <w:tcPr>
            <w:tcW w:w="1870" w:type="dxa"/>
            <w:vAlign w:val="bottom"/>
          </w:tcPr>
          <w:p w14:paraId="2B343AE1" w14:textId="77777777" w:rsidR="00980919" w:rsidRDefault="00980919" w:rsidP="001515D5">
            <w:r>
              <w:t>0</w:t>
            </w:r>
          </w:p>
        </w:tc>
        <w:tc>
          <w:tcPr>
            <w:tcW w:w="1870" w:type="dxa"/>
            <w:vAlign w:val="bottom"/>
          </w:tcPr>
          <w:p w14:paraId="0DC3957F" w14:textId="77777777" w:rsidR="00980919" w:rsidRDefault="00980919" w:rsidP="001515D5">
            <w:r>
              <w:t>1</w:t>
            </w:r>
          </w:p>
        </w:tc>
        <w:tc>
          <w:tcPr>
            <w:tcW w:w="1870" w:type="dxa"/>
            <w:vAlign w:val="bottom"/>
          </w:tcPr>
          <w:p w14:paraId="234ACEC1" w14:textId="77777777" w:rsidR="00980919" w:rsidRDefault="00980919" w:rsidP="001515D5">
            <w:r>
              <w:t>5</w:t>
            </w:r>
          </w:p>
        </w:tc>
      </w:tr>
      <w:tr w:rsidR="00980919" w14:paraId="0E54C284" w14:textId="77777777" w:rsidTr="001515D5">
        <w:tc>
          <w:tcPr>
            <w:tcW w:w="1870" w:type="dxa"/>
            <w:vAlign w:val="bottom"/>
          </w:tcPr>
          <w:p w14:paraId="49BC275F" w14:textId="77777777" w:rsidR="00980919" w:rsidRDefault="00980919" w:rsidP="001515D5">
            <w:r>
              <w:t>8/20/22</w:t>
            </w:r>
          </w:p>
        </w:tc>
        <w:tc>
          <w:tcPr>
            <w:tcW w:w="1870" w:type="dxa"/>
            <w:vAlign w:val="bottom"/>
          </w:tcPr>
          <w:p w14:paraId="523F3D27" w14:textId="77777777" w:rsidR="00980919" w:rsidRDefault="00980919" w:rsidP="001515D5">
            <w:r>
              <w:t>0</w:t>
            </w:r>
          </w:p>
        </w:tc>
        <w:tc>
          <w:tcPr>
            <w:tcW w:w="1870" w:type="dxa"/>
            <w:vAlign w:val="bottom"/>
          </w:tcPr>
          <w:p w14:paraId="5F19F29C" w14:textId="77777777" w:rsidR="00980919" w:rsidRDefault="00980919" w:rsidP="001515D5">
            <w:r>
              <w:t>0</w:t>
            </w:r>
          </w:p>
        </w:tc>
        <w:tc>
          <w:tcPr>
            <w:tcW w:w="1870" w:type="dxa"/>
            <w:vAlign w:val="bottom"/>
          </w:tcPr>
          <w:p w14:paraId="017D24AA" w14:textId="77777777" w:rsidR="00980919" w:rsidRDefault="00980919" w:rsidP="001515D5">
            <w:r>
              <w:t>1</w:t>
            </w:r>
          </w:p>
        </w:tc>
        <w:tc>
          <w:tcPr>
            <w:tcW w:w="1870" w:type="dxa"/>
            <w:vAlign w:val="bottom"/>
          </w:tcPr>
          <w:p w14:paraId="38F44701" w14:textId="77777777" w:rsidR="00980919" w:rsidRDefault="00980919" w:rsidP="001515D5">
            <w:r>
              <w:t>13</w:t>
            </w:r>
          </w:p>
        </w:tc>
      </w:tr>
      <w:tr w:rsidR="00980919" w14:paraId="78F00B17" w14:textId="77777777" w:rsidTr="001515D5">
        <w:tc>
          <w:tcPr>
            <w:tcW w:w="1870" w:type="dxa"/>
            <w:vAlign w:val="bottom"/>
          </w:tcPr>
          <w:p w14:paraId="64B6F607" w14:textId="77777777" w:rsidR="00980919" w:rsidRDefault="00980919" w:rsidP="001515D5">
            <w:r>
              <w:t>8/27/22</w:t>
            </w:r>
          </w:p>
        </w:tc>
        <w:tc>
          <w:tcPr>
            <w:tcW w:w="1870" w:type="dxa"/>
            <w:vAlign w:val="bottom"/>
          </w:tcPr>
          <w:p w14:paraId="5A094D99" w14:textId="77777777" w:rsidR="00980919" w:rsidRDefault="00980919" w:rsidP="001515D5">
            <w:r>
              <w:t>0</w:t>
            </w:r>
          </w:p>
        </w:tc>
        <w:tc>
          <w:tcPr>
            <w:tcW w:w="1870" w:type="dxa"/>
            <w:vAlign w:val="bottom"/>
          </w:tcPr>
          <w:p w14:paraId="31F2C55E" w14:textId="77777777" w:rsidR="00980919" w:rsidRDefault="00980919" w:rsidP="001515D5">
            <w:r>
              <w:t>0</w:t>
            </w:r>
          </w:p>
        </w:tc>
        <w:tc>
          <w:tcPr>
            <w:tcW w:w="1870" w:type="dxa"/>
            <w:vAlign w:val="bottom"/>
          </w:tcPr>
          <w:p w14:paraId="498A785F" w14:textId="77777777" w:rsidR="00980919" w:rsidRDefault="00980919" w:rsidP="001515D5">
            <w:r>
              <w:t>1</w:t>
            </w:r>
          </w:p>
        </w:tc>
        <w:tc>
          <w:tcPr>
            <w:tcW w:w="1870" w:type="dxa"/>
            <w:vAlign w:val="bottom"/>
          </w:tcPr>
          <w:p w14:paraId="6038AA74" w14:textId="77777777" w:rsidR="00980919" w:rsidRDefault="00980919" w:rsidP="001515D5">
            <w:r>
              <w:t>5</w:t>
            </w:r>
          </w:p>
        </w:tc>
      </w:tr>
      <w:tr w:rsidR="00980919" w14:paraId="1AD5F829" w14:textId="77777777" w:rsidTr="001515D5">
        <w:tc>
          <w:tcPr>
            <w:tcW w:w="1870" w:type="dxa"/>
            <w:vAlign w:val="bottom"/>
          </w:tcPr>
          <w:p w14:paraId="2BE6613A" w14:textId="77777777" w:rsidR="00980919" w:rsidRDefault="00980919" w:rsidP="001515D5">
            <w:r>
              <w:t>9/3/22</w:t>
            </w:r>
          </w:p>
        </w:tc>
        <w:tc>
          <w:tcPr>
            <w:tcW w:w="1870" w:type="dxa"/>
            <w:vAlign w:val="bottom"/>
          </w:tcPr>
          <w:p w14:paraId="402CA8E4" w14:textId="77777777" w:rsidR="00980919" w:rsidRDefault="00980919" w:rsidP="001515D5">
            <w:r>
              <w:t>0</w:t>
            </w:r>
          </w:p>
        </w:tc>
        <w:tc>
          <w:tcPr>
            <w:tcW w:w="1870" w:type="dxa"/>
            <w:vAlign w:val="bottom"/>
          </w:tcPr>
          <w:p w14:paraId="0C57FCDC" w14:textId="77777777" w:rsidR="00980919" w:rsidRDefault="00980919" w:rsidP="001515D5">
            <w:r>
              <w:t>0</w:t>
            </w:r>
          </w:p>
        </w:tc>
        <w:tc>
          <w:tcPr>
            <w:tcW w:w="1870" w:type="dxa"/>
            <w:vAlign w:val="bottom"/>
          </w:tcPr>
          <w:p w14:paraId="268C4915" w14:textId="77777777" w:rsidR="00980919" w:rsidRDefault="00980919" w:rsidP="001515D5">
            <w:r>
              <w:t>0</w:t>
            </w:r>
          </w:p>
        </w:tc>
        <w:tc>
          <w:tcPr>
            <w:tcW w:w="1870" w:type="dxa"/>
            <w:vAlign w:val="bottom"/>
          </w:tcPr>
          <w:p w14:paraId="6EDC7734" w14:textId="77777777" w:rsidR="00980919" w:rsidRDefault="00980919" w:rsidP="001515D5">
            <w:r>
              <w:t>3</w:t>
            </w:r>
          </w:p>
        </w:tc>
      </w:tr>
      <w:tr w:rsidR="00980919" w14:paraId="5577C6C4" w14:textId="77777777" w:rsidTr="001515D5">
        <w:tc>
          <w:tcPr>
            <w:tcW w:w="1870" w:type="dxa"/>
            <w:vAlign w:val="bottom"/>
          </w:tcPr>
          <w:p w14:paraId="1D9DF086" w14:textId="77777777" w:rsidR="00980919" w:rsidRDefault="00980919" w:rsidP="001515D5">
            <w:r>
              <w:t>9/10/22</w:t>
            </w:r>
          </w:p>
        </w:tc>
        <w:tc>
          <w:tcPr>
            <w:tcW w:w="1870" w:type="dxa"/>
            <w:vAlign w:val="bottom"/>
          </w:tcPr>
          <w:p w14:paraId="4F20FDED" w14:textId="77777777" w:rsidR="00980919" w:rsidRDefault="00980919" w:rsidP="001515D5">
            <w:r>
              <w:t>0</w:t>
            </w:r>
          </w:p>
        </w:tc>
        <w:tc>
          <w:tcPr>
            <w:tcW w:w="1870" w:type="dxa"/>
            <w:vAlign w:val="bottom"/>
          </w:tcPr>
          <w:p w14:paraId="3FBA3E3F" w14:textId="77777777" w:rsidR="00980919" w:rsidRDefault="00980919" w:rsidP="001515D5">
            <w:r>
              <w:t>0</w:t>
            </w:r>
          </w:p>
        </w:tc>
        <w:tc>
          <w:tcPr>
            <w:tcW w:w="1870" w:type="dxa"/>
            <w:vAlign w:val="bottom"/>
          </w:tcPr>
          <w:p w14:paraId="66F2C5DC" w14:textId="77777777" w:rsidR="00980919" w:rsidRDefault="00980919" w:rsidP="001515D5">
            <w:r>
              <w:t>0</w:t>
            </w:r>
          </w:p>
        </w:tc>
        <w:tc>
          <w:tcPr>
            <w:tcW w:w="1870" w:type="dxa"/>
            <w:vAlign w:val="bottom"/>
          </w:tcPr>
          <w:p w14:paraId="0A9D73FF" w14:textId="77777777" w:rsidR="00980919" w:rsidRDefault="00980919" w:rsidP="001515D5">
            <w:r>
              <w:t>1</w:t>
            </w:r>
          </w:p>
        </w:tc>
      </w:tr>
      <w:tr w:rsidR="00980919" w14:paraId="5A5B4903" w14:textId="77777777" w:rsidTr="001515D5">
        <w:tc>
          <w:tcPr>
            <w:tcW w:w="1870" w:type="dxa"/>
            <w:vAlign w:val="bottom"/>
          </w:tcPr>
          <w:p w14:paraId="6F1131D4" w14:textId="77777777" w:rsidR="00980919" w:rsidRDefault="00980919" w:rsidP="001515D5">
            <w:r>
              <w:t>9/17/22</w:t>
            </w:r>
          </w:p>
        </w:tc>
        <w:tc>
          <w:tcPr>
            <w:tcW w:w="1870" w:type="dxa"/>
            <w:vAlign w:val="bottom"/>
          </w:tcPr>
          <w:p w14:paraId="01B1900D" w14:textId="77777777" w:rsidR="00980919" w:rsidRDefault="00980919" w:rsidP="001515D5">
            <w:r>
              <w:t>0</w:t>
            </w:r>
          </w:p>
        </w:tc>
        <w:tc>
          <w:tcPr>
            <w:tcW w:w="1870" w:type="dxa"/>
            <w:vAlign w:val="bottom"/>
          </w:tcPr>
          <w:p w14:paraId="13EFE3C5" w14:textId="77777777" w:rsidR="00980919" w:rsidRDefault="00980919" w:rsidP="001515D5">
            <w:r>
              <w:t>0</w:t>
            </w:r>
          </w:p>
        </w:tc>
        <w:tc>
          <w:tcPr>
            <w:tcW w:w="1870" w:type="dxa"/>
            <w:vAlign w:val="bottom"/>
          </w:tcPr>
          <w:p w14:paraId="7501B403" w14:textId="77777777" w:rsidR="00980919" w:rsidRDefault="00980919" w:rsidP="001515D5">
            <w:r>
              <w:t>0</w:t>
            </w:r>
          </w:p>
        </w:tc>
        <w:tc>
          <w:tcPr>
            <w:tcW w:w="1870" w:type="dxa"/>
            <w:vAlign w:val="bottom"/>
          </w:tcPr>
          <w:p w14:paraId="5D63D7D1" w14:textId="77777777" w:rsidR="00980919" w:rsidRDefault="00980919" w:rsidP="001515D5">
            <w:r>
              <w:t>0</w:t>
            </w:r>
          </w:p>
        </w:tc>
      </w:tr>
    </w:tbl>
    <w:p w14:paraId="7B0CDAFE" w14:textId="77777777" w:rsidR="00980919" w:rsidRPr="00ED6AF8" w:rsidRDefault="00980919" w:rsidP="00980919">
      <w:r w:rsidRPr="00ED6AF8">
        <w:t xml:space="preserve">Source: SC DHEC Division of Acute Disease Epidemiology, 2022. </w:t>
      </w:r>
    </w:p>
    <w:p w14:paraId="373A397C" w14:textId="77777777" w:rsidR="00980919" w:rsidRDefault="00980919" w:rsidP="00980919">
      <w:r w:rsidRPr="00ED6AF8">
        <w:t>Notes: Data as of September 17, 2022.</w:t>
      </w:r>
    </w:p>
    <w:p w14:paraId="04EEB92F" w14:textId="77777777" w:rsidR="00980919" w:rsidRDefault="00980919" w:rsidP="00980919"/>
    <w:p w14:paraId="4FBC2396" w14:textId="77777777" w:rsidR="00980919" w:rsidRPr="00ED6AF8" w:rsidRDefault="00980919" w:rsidP="00980919">
      <w:pPr>
        <w:pStyle w:val="Heading4"/>
      </w:pPr>
      <w:bookmarkStart w:id="385" w:name="_Toc154569861"/>
      <w:bookmarkStart w:id="386" w:name="_Toc162267250"/>
      <w:r>
        <w:t xml:space="preserve">Figure 6.53: </w:t>
      </w:r>
      <w:r w:rsidRPr="00ED6AF8">
        <w:t>COVID-19 Patients Hospitalized and Ventilated, by Week</w:t>
      </w:r>
      <w:r>
        <w:t>.</w:t>
      </w:r>
      <w:bookmarkEnd w:id="385"/>
      <w:bookmarkEnd w:id="386"/>
    </w:p>
    <w:p w14:paraId="7FAE0DA7" w14:textId="77777777" w:rsidR="00980919" w:rsidRDefault="00980919" w:rsidP="00980919">
      <w:pPr>
        <w:pStyle w:val="Heading5"/>
      </w:pPr>
      <w:r w:rsidRPr="00ED6AF8">
        <w:t>Average count per MMWR week</w:t>
      </w:r>
      <w:r>
        <w:t>.</w:t>
      </w:r>
    </w:p>
    <w:tbl>
      <w:tblPr>
        <w:tblStyle w:val="TableGrid"/>
        <w:tblW w:w="0" w:type="auto"/>
        <w:tblLook w:val="04A0" w:firstRow="1" w:lastRow="0" w:firstColumn="1" w:lastColumn="0" w:noHBand="0" w:noVBand="1"/>
      </w:tblPr>
      <w:tblGrid>
        <w:gridCol w:w="3116"/>
        <w:gridCol w:w="3117"/>
        <w:gridCol w:w="3117"/>
      </w:tblGrid>
      <w:tr w:rsidR="00980919" w14:paraId="2CDB406C" w14:textId="77777777" w:rsidTr="001515D5">
        <w:tc>
          <w:tcPr>
            <w:tcW w:w="3116" w:type="dxa"/>
            <w:vAlign w:val="bottom"/>
          </w:tcPr>
          <w:p w14:paraId="534EA98A" w14:textId="77777777" w:rsidR="00980919" w:rsidRDefault="00980919" w:rsidP="001515D5">
            <w:r>
              <w:t>Included Weeks (hospital dash)</w:t>
            </w:r>
          </w:p>
        </w:tc>
        <w:tc>
          <w:tcPr>
            <w:tcW w:w="3117" w:type="dxa"/>
            <w:vAlign w:val="bottom"/>
          </w:tcPr>
          <w:p w14:paraId="0BCB064D" w14:textId="77777777" w:rsidR="00980919" w:rsidRDefault="00980919" w:rsidP="001515D5">
            <w:r>
              <w:t>Total Ventilated Patients Average e decimal</w:t>
            </w:r>
          </w:p>
        </w:tc>
        <w:tc>
          <w:tcPr>
            <w:tcW w:w="3117" w:type="dxa"/>
            <w:vAlign w:val="bottom"/>
          </w:tcPr>
          <w:p w14:paraId="06BD726C" w14:textId="77777777" w:rsidR="00980919" w:rsidRDefault="00980919" w:rsidP="001515D5">
            <w:r>
              <w:t>Total Hospitalized Patients Average</w:t>
            </w:r>
          </w:p>
        </w:tc>
      </w:tr>
      <w:tr w:rsidR="00980919" w14:paraId="3DF410A4" w14:textId="77777777" w:rsidTr="001515D5">
        <w:tc>
          <w:tcPr>
            <w:tcW w:w="3116" w:type="dxa"/>
            <w:vAlign w:val="bottom"/>
          </w:tcPr>
          <w:p w14:paraId="724348FF" w14:textId="77777777" w:rsidR="00980919" w:rsidRDefault="00980919" w:rsidP="001515D5">
            <w:r>
              <w:t>8/8/20</w:t>
            </w:r>
          </w:p>
        </w:tc>
        <w:tc>
          <w:tcPr>
            <w:tcW w:w="3117" w:type="dxa"/>
            <w:vAlign w:val="bottom"/>
          </w:tcPr>
          <w:p w14:paraId="1A544FB5" w14:textId="77777777" w:rsidR="00980919" w:rsidRDefault="00980919" w:rsidP="001515D5">
            <w:r>
              <w:t>234.6</w:t>
            </w:r>
          </w:p>
        </w:tc>
        <w:tc>
          <w:tcPr>
            <w:tcW w:w="3117" w:type="dxa"/>
            <w:vAlign w:val="bottom"/>
          </w:tcPr>
          <w:p w14:paraId="2F8289FA" w14:textId="77777777" w:rsidR="00980919" w:rsidRDefault="00980919" w:rsidP="001515D5">
            <w:r>
              <w:t>1485.4</w:t>
            </w:r>
          </w:p>
        </w:tc>
      </w:tr>
      <w:tr w:rsidR="00980919" w14:paraId="0ED89EF3" w14:textId="77777777" w:rsidTr="001515D5">
        <w:tc>
          <w:tcPr>
            <w:tcW w:w="3116" w:type="dxa"/>
            <w:vAlign w:val="bottom"/>
          </w:tcPr>
          <w:p w14:paraId="572F2EBB" w14:textId="77777777" w:rsidR="00980919" w:rsidRDefault="00980919" w:rsidP="001515D5">
            <w:r>
              <w:t>8/15/20</w:t>
            </w:r>
          </w:p>
        </w:tc>
        <w:tc>
          <w:tcPr>
            <w:tcW w:w="3117" w:type="dxa"/>
            <w:vAlign w:val="bottom"/>
          </w:tcPr>
          <w:p w14:paraId="48209CE4" w14:textId="77777777" w:rsidR="00980919" w:rsidRDefault="00980919" w:rsidP="001515D5">
            <w:r>
              <w:t>199.9</w:t>
            </w:r>
          </w:p>
        </w:tc>
        <w:tc>
          <w:tcPr>
            <w:tcW w:w="3117" w:type="dxa"/>
            <w:vAlign w:val="bottom"/>
          </w:tcPr>
          <w:p w14:paraId="262FB251" w14:textId="77777777" w:rsidR="00980919" w:rsidRDefault="00980919" w:rsidP="001515D5">
            <w:r>
              <w:t>1345.7</w:t>
            </w:r>
          </w:p>
        </w:tc>
      </w:tr>
      <w:tr w:rsidR="00980919" w14:paraId="7543D741" w14:textId="77777777" w:rsidTr="001515D5">
        <w:tc>
          <w:tcPr>
            <w:tcW w:w="3116" w:type="dxa"/>
            <w:vAlign w:val="bottom"/>
          </w:tcPr>
          <w:p w14:paraId="27569BBB" w14:textId="77777777" w:rsidR="00980919" w:rsidRDefault="00980919" w:rsidP="001515D5">
            <w:r>
              <w:t>8/22/20</w:t>
            </w:r>
          </w:p>
        </w:tc>
        <w:tc>
          <w:tcPr>
            <w:tcW w:w="3117" w:type="dxa"/>
            <w:vAlign w:val="bottom"/>
          </w:tcPr>
          <w:p w14:paraId="40A12B67" w14:textId="77777777" w:rsidR="00980919" w:rsidRDefault="00980919" w:rsidP="001515D5">
            <w:r>
              <w:t>168.0</w:t>
            </w:r>
          </w:p>
        </w:tc>
        <w:tc>
          <w:tcPr>
            <w:tcW w:w="3117" w:type="dxa"/>
            <w:vAlign w:val="bottom"/>
          </w:tcPr>
          <w:p w14:paraId="020AD96D" w14:textId="77777777" w:rsidR="00980919" w:rsidRDefault="00980919" w:rsidP="001515D5">
            <w:r>
              <w:t>1162.6</w:t>
            </w:r>
          </w:p>
        </w:tc>
      </w:tr>
      <w:tr w:rsidR="00980919" w14:paraId="223AAF11" w14:textId="77777777" w:rsidTr="001515D5">
        <w:tc>
          <w:tcPr>
            <w:tcW w:w="3116" w:type="dxa"/>
            <w:vAlign w:val="bottom"/>
          </w:tcPr>
          <w:p w14:paraId="46A5BC58" w14:textId="77777777" w:rsidR="00980919" w:rsidRDefault="00980919" w:rsidP="001515D5">
            <w:r>
              <w:t>8/29/20</w:t>
            </w:r>
          </w:p>
        </w:tc>
        <w:tc>
          <w:tcPr>
            <w:tcW w:w="3117" w:type="dxa"/>
            <w:vAlign w:val="bottom"/>
          </w:tcPr>
          <w:p w14:paraId="5F3763BE" w14:textId="77777777" w:rsidR="00980919" w:rsidRDefault="00980919" w:rsidP="001515D5">
            <w:r>
              <w:t>151.9</w:t>
            </w:r>
          </w:p>
        </w:tc>
        <w:tc>
          <w:tcPr>
            <w:tcW w:w="3117" w:type="dxa"/>
            <w:vAlign w:val="bottom"/>
          </w:tcPr>
          <w:p w14:paraId="6AFA5FD0" w14:textId="77777777" w:rsidR="00980919" w:rsidRDefault="00980919" w:rsidP="001515D5">
            <w:r>
              <w:t>1067.6</w:t>
            </w:r>
          </w:p>
        </w:tc>
      </w:tr>
      <w:tr w:rsidR="00980919" w14:paraId="66DD8677" w14:textId="77777777" w:rsidTr="001515D5">
        <w:tc>
          <w:tcPr>
            <w:tcW w:w="3116" w:type="dxa"/>
            <w:vAlign w:val="bottom"/>
          </w:tcPr>
          <w:p w14:paraId="405AE66F" w14:textId="77777777" w:rsidR="00980919" w:rsidRDefault="00980919" w:rsidP="001515D5">
            <w:r>
              <w:t>9/5/20</w:t>
            </w:r>
          </w:p>
        </w:tc>
        <w:tc>
          <w:tcPr>
            <w:tcW w:w="3117" w:type="dxa"/>
            <w:vAlign w:val="bottom"/>
          </w:tcPr>
          <w:p w14:paraId="7A470032" w14:textId="77777777" w:rsidR="00980919" w:rsidRDefault="00980919" w:rsidP="001515D5">
            <w:r>
              <w:t>140.3</w:t>
            </w:r>
          </w:p>
        </w:tc>
        <w:tc>
          <w:tcPr>
            <w:tcW w:w="3117" w:type="dxa"/>
            <w:vAlign w:val="bottom"/>
          </w:tcPr>
          <w:p w14:paraId="10DF7022" w14:textId="77777777" w:rsidR="00980919" w:rsidRDefault="00980919" w:rsidP="001515D5">
            <w:r>
              <w:t>966.7</w:t>
            </w:r>
          </w:p>
        </w:tc>
      </w:tr>
      <w:tr w:rsidR="00980919" w14:paraId="29B0292D" w14:textId="77777777" w:rsidTr="001515D5">
        <w:tc>
          <w:tcPr>
            <w:tcW w:w="3116" w:type="dxa"/>
            <w:vAlign w:val="bottom"/>
          </w:tcPr>
          <w:p w14:paraId="5B7C7352" w14:textId="77777777" w:rsidR="00980919" w:rsidRDefault="00980919" w:rsidP="001515D5">
            <w:r>
              <w:lastRenderedPageBreak/>
              <w:t>9/12/20</w:t>
            </w:r>
          </w:p>
        </w:tc>
        <w:tc>
          <w:tcPr>
            <w:tcW w:w="3117" w:type="dxa"/>
            <w:vAlign w:val="bottom"/>
          </w:tcPr>
          <w:p w14:paraId="506106CD" w14:textId="77777777" w:rsidR="00980919" w:rsidRDefault="00980919" w:rsidP="001515D5">
            <w:r>
              <w:t>125.0</w:t>
            </w:r>
          </w:p>
        </w:tc>
        <w:tc>
          <w:tcPr>
            <w:tcW w:w="3117" w:type="dxa"/>
            <w:vAlign w:val="bottom"/>
          </w:tcPr>
          <w:p w14:paraId="354EC389" w14:textId="77777777" w:rsidR="00980919" w:rsidRDefault="00980919" w:rsidP="001515D5">
            <w:r>
              <w:t>872.3</w:t>
            </w:r>
          </w:p>
        </w:tc>
      </w:tr>
      <w:tr w:rsidR="00980919" w14:paraId="3C0BFC0B" w14:textId="77777777" w:rsidTr="001515D5">
        <w:tc>
          <w:tcPr>
            <w:tcW w:w="3116" w:type="dxa"/>
            <w:vAlign w:val="bottom"/>
          </w:tcPr>
          <w:p w14:paraId="662864FC" w14:textId="77777777" w:rsidR="00980919" w:rsidRDefault="00980919" w:rsidP="001515D5">
            <w:r>
              <w:t>9/19/20</w:t>
            </w:r>
          </w:p>
        </w:tc>
        <w:tc>
          <w:tcPr>
            <w:tcW w:w="3117" w:type="dxa"/>
            <w:vAlign w:val="bottom"/>
          </w:tcPr>
          <w:p w14:paraId="36B6F5E2" w14:textId="77777777" w:rsidR="00980919" w:rsidRDefault="00980919" w:rsidP="001515D5">
            <w:r>
              <w:t>124.0</w:t>
            </w:r>
          </w:p>
        </w:tc>
        <w:tc>
          <w:tcPr>
            <w:tcW w:w="3117" w:type="dxa"/>
            <w:vAlign w:val="bottom"/>
          </w:tcPr>
          <w:p w14:paraId="2403ACE1" w14:textId="77777777" w:rsidR="00980919" w:rsidRDefault="00980919" w:rsidP="001515D5">
            <w:r>
              <w:t>868.3</w:t>
            </w:r>
          </w:p>
        </w:tc>
      </w:tr>
      <w:tr w:rsidR="00980919" w14:paraId="4D1D142E" w14:textId="77777777" w:rsidTr="001515D5">
        <w:tc>
          <w:tcPr>
            <w:tcW w:w="3116" w:type="dxa"/>
            <w:vAlign w:val="bottom"/>
          </w:tcPr>
          <w:p w14:paraId="32D116B3" w14:textId="77777777" w:rsidR="00980919" w:rsidRDefault="00980919" w:rsidP="001515D5">
            <w:r>
              <w:t>9/26/20</w:t>
            </w:r>
          </w:p>
        </w:tc>
        <w:tc>
          <w:tcPr>
            <w:tcW w:w="3117" w:type="dxa"/>
            <w:vAlign w:val="bottom"/>
          </w:tcPr>
          <w:p w14:paraId="1A60AFAA" w14:textId="77777777" w:rsidR="00980919" w:rsidRDefault="00980919" w:rsidP="001515D5">
            <w:r>
              <w:t>107.1</w:t>
            </w:r>
          </w:p>
        </w:tc>
        <w:tc>
          <w:tcPr>
            <w:tcW w:w="3117" w:type="dxa"/>
            <w:vAlign w:val="bottom"/>
          </w:tcPr>
          <w:p w14:paraId="0A3FD00C" w14:textId="77777777" w:rsidR="00980919" w:rsidRDefault="00980919" w:rsidP="001515D5">
            <w:r>
              <w:t>853.0</w:t>
            </w:r>
          </w:p>
        </w:tc>
      </w:tr>
      <w:tr w:rsidR="00980919" w14:paraId="3CA101AF" w14:textId="77777777" w:rsidTr="001515D5">
        <w:tc>
          <w:tcPr>
            <w:tcW w:w="3116" w:type="dxa"/>
            <w:vAlign w:val="bottom"/>
          </w:tcPr>
          <w:p w14:paraId="6F9C0EE9" w14:textId="77777777" w:rsidR="00980919" w:rsidRDefault="00980919" w:rsidP="001515D5">
            <w:r>
              <w:t>10/3/20</w:t>
            </w:r>
          </w:p>
        </w:tc>
        <w:tc>
          <w:tcPr>
            <w:tcW w:w="3117" w:type="dxa"/>
            <w:vAlign w:val="bottom"/>
          </w:tcPr>
          <w:p w14:paraId="50F4F78E" w14:textId="77777777" w:rsidR="00980919" w:rsidRDefault="00980919" w:rsidP="001515D5">
            <w:r>
              <w:t>98.1</w:t>
            </w:r>
          </w:p>
        </w:tc>
        <w:tc>
          <w:tcPr>
            <w:tcW w:w="3117" w:type="dxa"/>
            <w:vAlign w:val="bottom"/>
          </w:tcPr>
          <w:p w14:paraId="60C9E69D" w14:textId="77777777" w:rsidR="00980919" w:rsidRDefault="00980919" w:rsidP="001515D5">
            <w:r>
              <w:t>780.9</w:t>
            </w:r>
          </w:p>
        </w:tc>
      </w:tr>
      <w:tr w:rsidR="00980919" w14:paraId="2B869D44" w14:textId="77777777" w:rsidTr="001515D5">
        <w:tc>
          <w:tcPr>
            <w:tcW w:w="3116" w:type="dxa"/>
            <w:vAlign w:val="bottom"/>
          </w:tcPr>
          <w:p w14:paraId="07CA5897" w14:textId="77777777" w:rsidR="00980919" w:rsidRDefault="00980919" w:rsidP="001515D5">
            <w:r>
              <w:t>10/10/20</w:t>
            </w:r>
          </w:p>
        </w:tc>
        <w:tc>
          <w:tcPr>
            <w:tcW w:w="3117" w:type="dxa"/>
            <w:vAlign w:val="bottom"/>
          </w:tcPr>
          <w:p w14:paraId="78B54D4D" w14:textId="77777777" w:rsidR="00980919" w:rsidRDefault="00980919" w:rsidP="001515D5">
            <w:r>
              <w:t>94.9</w:t>
            </w:r>
          </w:p>
        </w:tc>
        <w:tc>
          <w:tcPr>
            <w:tcW w:w="3117" w:type="dxa"/>
            <w:vAlign w:val="bottom"/>
          </w:tcPr>
          <w:p w14:paraId="5E6388DE" w14:textId="77777777" w:rsidR="00980919" w:rsidRDefault="00980919" w:rsidP="001515D5">
            <w:r>
              <w:t>785.0</w:t>
            </w:r>
          </w:p>
        </w:tc>
      </w:tr>
      <w:tr w:rsidR="00980919" w14:paraId="6E6425EC" w14:textId="77777777" w:rsidTr="001515D5">
        <w:tc>
          <w:tcPr>
            <w:tcW w:w="3116" w:type="dxa"/>
            <w:vAlign w:val="bottom"/>
          </w:tcPr>
          <w:p w14:paraId="664C13C4" w14:textId="77777777" w:rsidR="00980919" w:rsidRDefault="00980919" w:rsidP="001515D5">
            <w:r>
              <w:t>10/17/20</w:t>
            </w:r>
          </w:p>
        </w:tc>
        <w:tc>
          <w:tcPr>
            <w:tcW w:w="3117" w:type="dxa"/>
            <w:vAlign w:val="bottom"/>
          </w:tcPr>
          <w:p w14:paraId="0F9F2CC9" w14:textId="77777777" w:rsidR="00980919" w:rsidRDefault="00980919" w:rsidP="001515D5">
            <w:r>
              <w:t>96.3</w:t>
            </w:r>
          </w:p>
        </w:tc>
        <w:tc>
          <w:tcPr>
            <w:tcW w:w="3117" w:type="dxa"/>
            <w:vAlign w:val="bottom"/>
          </w:tcPr>
          <w:p w14:paraId="6885C1AE" w14:textId="77777777" w:rsidR="00980919" w:rsidRDefault="00980919" w:rsidP="001515D5">
            <w:r>
              <w:t>772.6</w:t>
            </w:r>
          </w:p>
        </w:tc>
      </w:tr>
      <w:tr w:rsidR="00980919" w14:paraId="21E4B394" w14:textId="77777777" w:rsidTr="001515D5">
        <w:tc>
          <w:tcPr>
            <w:tcW w:w="3116" w:type="dxa"/>
            <w:vAlign w:val="bottom"/>
          </w:tcPr>
          <w:p w14:paraId="130FB64A" w14:textId="77777777" w:rsidR="00980919" w:rsidRDefault="00980919" w:rsidP="001515D5">
            <w:r>
              <w:t>10/24/20</w:t>
            </w:r>
          </w:p>
        </w:tc>
        <w:tc>
          <w:tcPr>
            <w:tcW w:w="3117" w:type="dxa"/>
            <w:vAlign w:val="bottom"/>
          </w:tcPr>
          <w:p w14:paraId="5CD0E968" w14:textId="77777777" w:rsidR="00980919" w:rsidRDefault="00980919" w:rsidP="001515D5">
            <w:r>
              <w:t>104.3</w:t>
            </w:r>
          </w:p>
        </w:tc>
        <w:tc>
          <w:tcPr>
            <w:tcW w:w="3117" w:type="dxa"/>
            <w:vAlign w:val="bottom"/>
          </w:tcPr>
          <w:p w14:paraId="55972148" w14:textId="77777777" w:rsidR="00980919" w:rsidRDefault="00980919" w:rsidP="001515D5">
            <w:r>
              <w:t>751.3</w:t>
            </w:r>
          </w:p>
        </w:tc>
      </w:tr>
      <w:tr w:rsidR="00980919" w14:paraId="3BF2FB65" w14:textId="77777777" w:rsidTr="001515D5">
        <w:tc>
          <w:tcPr>
            <w:tcW w:w="3116" w:type="dxa"/>
            <w:vAlign w:val="bottom"/>
          </w:tcPr>
          <w:p w14:paraId="5DCA083C" w14:textId="77777777" w:rsidR="00980919" w:rsidRDefault="00980919" w:rsidP="001515D5">
            <w:r>
              <w:t>10/31/20</w:t>
            </w:r>
          </w:p>
        </w:tc>
        <w:tc>
          <w:tcPr>
            <w:tcW w:w="3117" w:type="dxa"/>
            <w:vAlign w:val="bottom"/>
          </w:tcPr>
          <w:p w14:paraId="2AAACCFA" w14:textId="77777777" w:rsidR="00980919" w:rsidRDefault="00980919" w:rsidP="001515D5">
            <w:r>
              <w:t>91.3</w:t>
            </w:r>
          </w:p>
        </w:tc>
        <w:tc>
          <w:tcPr>
            <w:tcW w:w="3117" w:type="dxa"/>
            <w:vAlign w:val="bottom"/>
          </w:tcPr>
          <w:p w14:paraId="75864ADD" w14:textId="77777777" w:rsidR="00980919" w:rsidRDefault="00980919" w:rsidP="001515D5">
            <w:r>
              <w:t>796.3</w:t>
            </w:r>
          </w:p>
        </w:tc>
      </w:tr>
      <w:tr w:rsidR="00980919" w14:paraId="1D9D1ADD" w14:textId="77777777" w:rsidTr="001515D5">
        <w:tc>
          <w:tcPr>
            <w:tcW w:w="3116" w:type="dxa"/>
            <w:vAlign w:val="bottom"/>
          </w:tcPr>
          <w:p w14:paraId="73A315F3" w14:textId="77777777" w:rsidR="00980919" w:rsidRDefault="00980919" w:rsidP="001515D5">
            <w:r>
              <w:t>11/7/20</w:t>
            </w:r>
          </w:p>
        </w:tc>
        <w:tc>
          <w:tcPr>
            <w:tcW w:w="3117" w:type="dxa"/>
            <w:vAlign w:val="bottom"/>
          </w:tcPr>
          <w:p w14:paraId="528DF753" w14:textId="77777777" w:rsidR="00980919" w:rsidRDefault="00980919" w:rsidP="001515D5">
            <w:r>
              <w:t>102.0</w:t>
            </w:r>
          </w:p>
        </w:tc>
        <w:tc>
          <w:tcPr>
            <w:tcW w:w="3117" w:type="dxa"/>
            <w:vAlign w:val="bottom"/>
          </w:tcPr>
          <w:p w14:paraId="2B560225" w14:textId="77777777" w:rsidR="00980919" w:rsidRDefault="00980919" w:rsidP="001515D5">
            <w:r>
              <w:t>780.0</w:t>
            </w:r>
          </w:p>
        </w:tc>
      </w:tr>
      <w:tr w:rsidR="00980919" w14:paraId="4B1F2DC8" w14:textId="77777777" w:rsidTr="001515D5">
        <w:tc>
          <w:tcPr>
            <w:tcW w:w="3116" w:type="dxa"/>
            <w:vAlign w:val="bottom"/>
          </w:tcPr>
          <w:p w14:paraId="2F1C4676" w14:textId="77777777" w:rsidR="00980919" w:rsidRDefault="00980919" w:rsidP="001515D5">
            <w:r>
              <w:t>11/14/20</w:t>
            </w:r>
          </w:p>
        </w:tc>
        <w:tc>
          <w:tcPr>
            <w:tcW w:w="3117" w:type="dxa"/>
            <w:vAlign w:val="bottom"/>
          </w:tcPr>
          <w:p w14:paraId="6AC7DCDB" w14:textId="77777777" w:rsidR="00980919" w:rsidRDefault="00980919" w:rsidP="001515D5">
            <w:r>
              <w:t>91.4</w:t>
            </w:r>
          </w:p>
        </w:tc>
        <w:tc>
          <w:tcPr>
            <w:tcW w:w="3117" w:type="dxa"/>
            <w:vAlign w:val="bottom"/>
          </w:tcPr>
          <w:p w14:paraId="10709C0C" w14:textId="77777777" w:rsidR="00980919" w:rsidRDefault="00980919" w:rsidP="001515D5">
            <w:r>
              <w:t>785.4</w:t>
            </w:r>
          </w:p>
        </w:tc>
      </w:tr>
      <w:tr w:rsidR="00980919" w14:paraId="21801201" w14:textId="77777777" w:rsidTr="001515D5">
        <w:tc>
          <w:tcPr>
            <w:tcW w:w="3116" w:type="dxa"/>
            <w:vAlign w:val="bottom"/>
          </w:tcPr>
          <w:p w14:paraId="062C3F0E" w14:textId="77777777" w:rsidR="00980919" w:rsidRDefault="00980919" w:rsidP="001515D5">
            <w:r>
              <w:t>11/21/20</w:t>
            </w:r>
          </w:p>
        </w:tc>
        <w:tc>
          <w:tcPr>
            <w:tcW w:w="3117" w:type="dxa"/>
            <w:vAlign w:val="bottom"/>
          </w:tcPr>
          <w:p w14:paraId="6A7BB70D" w14:textId="77777777" w:rsidR="00980919" w:rsidRDefault="00980919" w:rsidP="001515D5">
            <w:r>
              <w:t>96.4</w:t>
            </w:r>
          </w:p>
        </w:tc>
        <w:tc>
          <w:tcPr>
            <w:tcW w:w="3117" w:type="dxa"/>
            <w:vAlign w:val="bottom"/>
          </w:tcPr>
          <w:p w14:paraId="272A6C0E" w14:textId="77777777" w:rsidR="00980919" w:rsidRDefault="00980919" w:rsidP="001515D5">
            <w:r>
              <w:t>808.9</w:t>
            </w:r>
          </w:p>
        </w:tc>
      </w:tr>
      <w:tr w:rsidR="00980919" w14:paraId="1A773CC2" w14:textId="77777777" w:rsidTr="001515D5">
        <w:tc>
          <w:tcPr>
            <w:tcW w:w="3116" w:type="dxa"/>
            <w:vAlign w:val="bottom"/>
          </w:tcPr>
          <w:p w14:paraId="493F7DB0" w14:textId="77777777" w:rsidR="00980919" w:rsidRDefault="00980919" w:rsidP="001515D5">
            <w:r>
              <w:t>11/28/20</w:t>
            </w:r>
          </w:p>
        </w:tc>
        <w:tc>
          <w:tcPr>
            <w:tcW w:w="3117" w:type="dxa"/>
            <w:vAlign w:val="bottom"/>
          </w:tcPr>
          <w:p w14:paraId="23C5B429" w14:textId="77777777" w:rsidR="00980919" w:rsidRDefault="00980919" w:rsidP="001515D5">
            <w:r>
              <w:t>100.3</w:t>
            </w:r>
          </w:p>
        </w:tc>
        <w:tc>
          <w:tcPr>
            <w:tcW w:w="3117" w:type="dxa"/>
            <w:vAlign w:val="bottom"/>
          </w:tcPr>
          <w:p w14:paraId="729D5FF5" w14:textId="77777777" w:rsidR="00980919" w:rsidRDefault="00980919" w:rsidP="001515D5">
            <w:r>
              <w:t>899.3</w:t>
            </w:r>
          </w:p>
        </w:tc>
      </w:tr>
      <w:tr w:rsidR="00980919" w14:paraId="71DF11B7" w14:textId="77777777" w:rsidTr="001515D5">
        <w:tc>
          <w:tcPr>
            <w:tcW w:w="3116" w:type="dxa"/>
            <w:vAlign w:val="bottom"/>
          </w:tcPr>
          <w:p w14:paraId="6B62909A" w14:textId="77777777" w:rsidR="00980919" w:rsidRDefault="00980919" w:rsidP="001515D5">
            <w:r>
              <w:t>12/5/20</w:t>
            </w:r>
          </w:p>
        </w:tc>
        <w:tc>
          <w:tcPr>
            <w:tcW w:w="3117" w:type="dxa"/>
            <w:vAlign w:val="bottom"/>
          </w:tcPr>
          <w:p w14:paraId="3F5251A4" w14:textId="77777777" w:rsidR="00980919" w:rsidRDefault="00980919" w:rsidP="001515D5">
            <w:r>
              <w:t>105.1</w:t>
            </w:r>
          </w:p>
        </w:tc>
        <w:tc>
          <w:tcPr>
            <w:tcW w:w="3117" w:type="dxa"/>
            <w:vAlign w:val="bottom"/>
          </w:tcPr>
          <w:p w14:paraId="5412D76B" w14:textId="77777777" w:rsidR="00980919" w:rsidRDefault="00980919" w:rsidP="001515D5">
            <w:r>
              <w:t>1010.6</w:t>
            </w:r>
          </w:p>
        </w:tc>
      </w:tr>
      <w:tr w:rsidR="00980919" w14:paraId="493CB3B2" w14:textId="77777777" w:rsidTr="001515D5">
        <w:tc>
          <w:tcPr>
            <w:tcW w:w="3116" w:type="dxa"/>
            <w:vAlign w:val="bottom"/>
          </w:tcPr>
          <w:p w14:paraId="15B77E43" w14:textId="77777777" w:rsidR="00980919" w:rsidRDefault="00980919" w:rsidP="001515D5">
            <w:r>
              <w:t>12/12/20</w:t>
            </w:r>
          </w:p>
        </w:tc>
        <w:tc>
          <w:tcPr>
            <w:tcW w:w="3117" w:type="dxa"/>
            <w:vAlign w:val="bottom"/>
          </w:tcPr>
          <w:p w14:paraId="3B738FA8" w14:textId="77777777" w:rsidR="00980919" w:rsidRDefault="00980919" w:rsidP="001515D5">
            <w:r>
              <w:t>119.7</w:t>
            </w:r>
          </w:p>
        </w:tc>
        <w:tc>
          <w:tcPr>
            <w:tcW w:w="3117" w:type="dxa"/>
            <w:vAlign w:val="bottom"/>
          </w:tcPr>
          <w:p w14:paraId="5B5AE62A" w14:textId="77777777" w:rsidR="00980919" w:rsidRDefault="00980919" w:rsidP="001515D5">
            <w:r>
              <w:t>1203.9</w:t>
            </w:r>
          </w:p>
        </w:tc>
      </w:tr>
      <w:tr w:rsidR="00980919" w14:paraId="5398500F" w14:textId="77777777" w:rsidTr="001515D5">
        <w:tc>
          <w:tcPr>
            <w:tcW w:w="3116" w:type="dxa"/>
            <w:vAlign w:val="bottom"/>
          </w:tcPr>
          <w:p w14:paraId="38C696B8" w14:textId="77777777" w:rsidR="00980919" w:rsidRDefault="00980919" w:rsidP="001515D5">
            <w:r>
              <w:t>12/19/20</w:t>
            </w:r>
          </w:p>
        </w:tc>
        <w:tc>
          <w:tcPr>
            <w:tcW w:w="3117" w:type="dxa"/>
            <w:vAlign w:val="bottom"/>
          </w:tcPr>
          <w:p w14:paraId="3590EFA1" w14:textId="77777777" w:rsidR="00980919" w:rsidRDefault="00980919" w:rsidP="001515D5">
            <w:r>
              <w:t>133.0</w:t>
            </w:r>
          </w:p>
        </w:tc>
        <w:tc>
          <w:tcPr>
            <w:tcW w:w="3117" w:type="dxa"/>
            <w:vAlign w:val="bottom"/>
          </w:tcPr>
          <w:p w14:paraId="1445C4B7" w14:textId="77777777" w:rsidR="00980919" w:rsidRDefault="00980919" w:rsidP="001515D5">
            <w:r>
              <w:t>1443.4</w:t>
            </w:r>
          </w:p>
        </w:tc>
      </w:tr>
      <w:tr w:rsidR="00980919" w14:paraId="41ECAD88" w14:textId="77777777" w:rsidTr="001515D5">
        <w:tc>
          <w:tcPr>
            <w:tcW w:w="3116" w:type="dxa"/>
            <w:vAlign w:val="bottom"/>
          </w:tcPr>
          <w:p w14:paraId="15443667" w14:textId="77777777" w:rsidR="00980919" w:rsidRDefault="00980919" w:rsidP="001515D5">
            <w:r>
              <w:t>12/26/20</w:t>
            </w:r>
          </w:p>
        </w:tc>
        <w:tc>
          <w:tcPr>
            <w:tcW w:w="3117" w:type="dxa"/>
            <w:vAlign w:val="bottom"/>
          </w:tcPr>
          <w:p w14:paraId="74E7D6EB" w14:textId="77777777" w:rsidR="00980919" w:rsidRDefault="00980919" w:rsidP="001515D5">
            <w:r>
              <w:t>157.0</w:t>
            </w:r>
          </w:p>
        </w:tc>
        <w:tc>
          <w:tcPr>
            <w:tcW w:w="3117" w:type="dxa"/>
            <w:vAlign w:val="bottom"/>
          </w:tcPr>
          <w:p w14:paraId="7D2CFCD7" w14:textId="77777777" w:rsidR="00980919" w:rsidRDefault="00980919" w:rsidP="001515D5">
            <w:r>
              <w:t>1683.4</w:t>
            </w:r>
          </w:p>
        </w:tc>
      </w:tr>
      <w:tr w:rsidR="00980919" w14:paraId="7348EC4B" w14:textId="77777777" w:rsidTr="001515D5">
        <w:tc>
          <w:tcPr>
            <w:tcW w:w="3116" w:type="dxa"/>
            <w:vAlign w:val="bottom"/>
          </w:tcPr>
          <w:p w14:paraId="2FCA03C3" w14:textId="77777777" w:rsidR="00980919" w:rsidRDefault="00980919" w:rsidP="001515D5">
            <w:r>
              <w:t>1/2/21</w:t>
            </w:r>
          </w:p>
        </w:tc>
        <w:tc>
          <w:tcPr>
            <w:tcW w:w="3117" w:type="dxa"/>
            <w:vAlign w:val="bottom"/>
          </w:tcPr>
          <w:p w14:paraId="73FF2302" w14:textId="77777777" w:rsidR="00980919" w:rsidRDefault="00980919" w:rsidP="001515D5">
            <w:r>
              <w:t>185.6</w:t>
            </w:r>
          </w:p>
        </w:tc>
        <w:tc>
          <w:tcPr>
            <w:tcW w:w="3117" w:type="dxa"/>
            <w:vAlign w:val="bottom"/>
          </w:tcPr>
          <w:p w14:paraId="1DEEF565" w14:textId="77777777" w:rsidR="00980919" w:rsidRDefault="00980919" w:rsidP="001515D5">
            <w:r>
              <w:t>1990.1</w:t>
            </w:r>
          </w:p>
        </w:tc>
      </w:tr>
      <w:tr w:rsidR="00980919" w14:paraId="5D6B83DC" w14:textId="77777777" w:rsidTr="001515D5">
        <w:tc>
          <w:tcPr>
            <w:tcW w:w="3116" w:type="dxa"/>
            <w:vAlign w:val="bottom"/>
          </w:tcPr>
          <w:p w14:paraId="4F9DF9D3" w14:textId="77777777" w:rsidR="00980919" w:rsidRDefault="00980919" w:rsidP="001515D5">
            <w:r>
              <w:t>1/9/21</w:t>
            </w:r>
          </w:p>
        </w:tc>
        <w:tc>
          <w:tcPr>
            <w:tcW w:w="3117" w:type="dxa"/>
            <w:vAlign w:val="bottom"/>
          </w:tcPr>
          <w:p w14:paraId="7A85E1CD" w14:textId="77777777" w:rsidR="00980919" w:rsidRDefault="00980919" w:rsidP="001515D5">
            <w:r>
              <w:t>232.7</w:t>
            </w:r>
          </w:p>
        </w:tc>
        <w:tc>
          <w:tcPr>
            <w:tcW w:w="3117" w:type="dxa"/>
            <w:vAlign w:val="bottom"/>
          </w:tcPr>
          <w:p w14:paraId="7D34609E" w14:textId="77777777" w:rsidR="00980919" w:rsidRDefault="00980919" w:rsidP="001515D5">
            <w:r>
              <w:t>2345.6</w:t>
            </w:r>
          </w:p>
        </w:tc>
      </w:tr>
      <w:tr w:rsidR="00980919" w14:paraId="40FADD1F" w14:textId="77777777" w:rsidTr="001515D5">
        <w:tc>
          <w:tcPr>
            <w:tcW w:w="3116" w:type="dxa"/>
            <w:vAlign w:val="bottom"/>
          </w:tcPr>
          <w:p w14:paraId="00AE6F82" w14:textId="77777777" w:rsidR="00980919" w:rsidRDefault="00980919" w:rsidP="001515D5">
            <w:r>
              <w:t>1/16/21</w:t>
            </w:r>
          </w:p>
        </w:tc>
        <w:tc>
          <w:tcPr>
            <w:tcW w:w="3117" w:type="dxa"/>
            <w:vAlign w:val="bottom"/>
          </w:tcPr>
          <w:p w14:paraId="3EF886DF" w14:textId="77777777" w:rsidR="00980919" w:rsidRDefault="00980919" w:rsidP="001515D5">
            <w:r>
              <w:t>277.7</w:t>
            </w:r>
          </w:p>
        </w:tc>
        <w:tc>
          <w:tcPr>
            <w:tcW w:w="3117" w:type="dxa"/>
            <w:vAlign w:val="bottom"/>
          </w:tcPr>
          <w:p w14:paraId="5F5AFF23" w14:textId="77777777" w:rsidR="00980919" w:rsidRDefault="00980919" w:rsidP="001515D5">
            <w:r>
              <w:t>2400.9</w:t>
            </w:r>
          </w:p>
        </w:tc>
      </w:tr>
      <w:tr w:rsidR="00980919" w14:paraId="30B954CF" w14:textId="77777777" w:rsidTr="001515D5">
        <w:tc>
          <w:tcPr>
            <w:tcW w:w="3116" w:type="dxa"/>
            <w:vAlign w:val="bottom"/>
          </w:tcPr>
          <w:p w14:paraId="7301CE51" w14:textId="77777777" w:rsidR="00980919" w:rsidRDefault="00980919" w:rsidP="001515D5">
            <w:r>
              <w:t>1/23/21</w:t>
            </w:r>
          </w:p>
        </w:tc>
        <w:tc>
          <w:tcPr>
            <w:tcW w:w="3117" w:type="dxa"/>
            <w:vAlign w:val="bottom"/>
          </w:tcPr>
          <w:p w14:paraId="2754F463" w14:textId="77777777" w:rsidR="00980919" w:rsidRDefault="00980919" w:rsidP="001515D5">
            <w:r>
              <w:t>295.4</w:t>
            </w:r>
          </w:p>
        </w:tc>
        <w:tc>
          <w:tcPr>
            <w:tcW w:w="3117" w:type="dxa"/>
            <w:vAlign w:val="bottom"/>
          </w:tcPr>
          <w:p w14:paraId="0130304B" w14:textId="77777777" w:rsidR="00980919" w:rsidRDefault="00980919" w:rsidP="001515D5">
            <w:r>
              <w:t>2327.1</w:t>
            </w:r>
          </w:p>
        </w:tc>
      </w:tr>
      <w:tr w:rsidR="00980919" w14:paraId="4A8ADF37" w14:textId="77777777" w:rsidTr="001515D5">
        <w:tc>
          <w:tcPr>
            <w:tcW w:w="3116" w:type="dxa"/>
            <w:vAlign w:val="bottom"/>
          </w:tcPr>
          <w:p w14:paraId="50F75F71" w14:textId="77777777" w:rsidR="00980919" w:rsidRDefault="00980919" w:rsidP="001515D5">
            <w:r>
              <w:t>1/30/21</w:t>
            </w:r>
          </w:p>
        </w:tc>
        <w:tc>
          <w:tcPr>
            <w:tcW w:w="3117" w:type="dxa"/>
            <w:vAlign w:val="bottom"/>
          </w:tcPr>
          <w:p w14:paraId="3D155A04" w14:textId="77777777" w:rsidR="00980919" w:rsidRDefault="00980919" w:rsidP="001515D5">
            <w:r>
              <w:t>259.3</w:t>
            </w:r>
          </w:p>
        </w:tc>
        <w:tc>
          <w:tcPr>
            <w:tcW w:w="3117" w:type="dxa"/>
            <w:vAlign w:val="bottom"/>
          </w:tcPr>
          <w:p w14:paraId="772B1328" w14:textId="77777777" w:rsidR="00980919" w:rsidRDefault="00980919" w:rsidP="001515D5">
            <w:r>
              <w:t>2042.6</w:t>
            </w:r>
          </w:p>
        </w:tc>
      </w:tr>
      <w:tr w:rsidR="00980919" w14:paraId="52FF5015" w14:textId="77777777" w:rsidTr="001515D5">
        <w:tc>
          <w:tcPr>
            <w:tcW w:w="3116" w:type="dxa"/>
            <w:vAlign w:val="bottom"/>
          </w:tcPr>
          <w:p w14:paraId="4CA21A38" w14:textId="77777777" w:rsidR="00980919" w:rsidRDefault="00980919" w:rsidP="001515D5">
            <w:r>
              <w:t>2/6/21</w:t>
            </w:r>
          </w:p>
        </w:tc>
        <w:tc>
          <w:tcPr>
            <w:tcW w:w="3117" w:type="dxa"/>
            <w:vAlign w:val="bottom"/>
          </w:tcPr>
          <w:p w14:paraId="01D4BD00" w14:textId="77777777" w:rsidR="00980919" w:rsidRDefault="00980919" w:rsidP="001515D5">
            <w:r>
              <w:t>227.0</w:t>
            </w:r>
          </w:p>
        </w:tc>
        <w:tc>
          <w:tcPr>
            <w:tcW w:w="3117" w:type="dxa"/>
            <w:vAlign w:val="bottom"/>
          </w:tcPr>
          <w:p w14:paraId="596356A1" w14:textId="77777777" w:rsidR="00980919" w:rsidRDefault="00980919" w:rsidP="001515D5">
            <w:r>
              <w:t>1700.4</w:t>
            </w:r>
          </w:p>
        </w:tc>
      </w:tr>
      <w:tr w:rsidR="00980919" w14:paraId="5089F57F" w14:textId="77777777" w:rsidTr="001515D5">
        <w:tc>
          <w:tcPr>
            <w:tcW w:w="3116" w:type="dxa"/>
            <w:vAlign w:val="bottom"/>
          </w:tcPr>
          <w:p w14:paraId="27B00E32" w14:textId="77777777" w:rsidR="00980919" w:rsidRDefault="00980919" w:rsidP="001515D5">
            <w:r>
              <w:t>2/13/21</w:t>
            </w:r>
          </w:p>
        </w:tc>
        <w:tc>
          <w:tcPr>
            <w:tcW w:w="3117" w:type="dxa"/>
            <w:vAlign w:val="bottom"/>
          </w:tcPr>
          <w:p w14:paraId="281D6277" w14:textId="77777777" w:rsidR="00980919" w:rsidRDefault="00980919" w:rsidP="001515D5">
            <w:r>
              <w:t>188.3</w:t>
            </w:r>
          </w:p>
        </w:tc>
        <w:tc>
          <w:tcPr>
            <w:tcW w:w="3117" w:type="dxa"/>
            <w:vAlign w:val="bottom"/>
          </w:tcPr>
          <w:p w14:paraId="0A5741F4" w14:textId="77777777" w:rsidR="00980919" w:rsidRDefault="00980919" w:rsidP="001515D5">
            <w:r>
              <w:t>1397.6</w:t>
            </w:r>
          </w:p>
        </w:tc>
      </w:tr>
      <w:tr w:rsidR="00980919" w14:paraId="681CFE8E" w14:textId="77777777" w:rsidTr="001515D5">
        <w:tc>
          <w:tcPr>
            <w:tcW w:w="3116" w:type="dxa"/>
            <w:vAlign w:val="bottom"/>
          </w:tcPr>
          <w:p w14:paraId="579BEA64" w14:textId="77777777" w:rsidR="00980919" w:rsidRDefault="00980919" w:rsidP="001515D5">
            <w:r>
              <w:t>2/20/21</w:t>
            </w:r>
          </w:p>
        </w:tc>
        <w:tc>
          <w:tcPr>
            <w:tcW w:w="3117" w:type="dxa"/>
            <w:vAlign w:val="bottom"/>
          </w:tcPr>
          <w:p w14:paraId="137BF5B1" w14:textId="77777777" w:rsidR="00980919" w:rsidRDefault="00980919" w:rsidP="001515D5">
            <w:r>
              <w:t>145.6</w:t>
            </w:r>
          </w:p>
        </w:tc>
        <w:tc>
          <w:tcPr>
            <w:tcW w:w="3117" w:type="dxa"/>
            <w:vAlign w:val="bottom"/>
          </w:tcPr>
          <w:p w14:paraId="158D4857" w14:textId="77777777" w:rsidR="00980919" w:rsidRDefault="00980919" w:rsidP="001515D5">
            <w:r>
              <w:t>1137.6</w:t>
            </w:r>
          </w:p>
        </w:tc>
      </w:tr>
      <w:tr w:rsidR="00980919" w14:paraId="32D4D14D" w14:textId="77777777" w:rsidTr="001515D5">
        <w:tc>
          <w:tcPr>
            <w:tcW w:w="3116" w:type="dxa"/>
            <w:vAlign w:val="bottom"/>
          </w:tcPr>
          <w:p w14:paraId="3B5E7C55" w14:textId="77777777" w:rsidR="00980919" w:rsidRDefault="00980919" w:rsidP="001515D5">
            <w:r>
              <w:t>2/27/21</w:t>
            </w:r>
          </w:p>
        </w:tc>
        <w:tc>
          <w:tcPr>
            <w:tcW w:w="3117" w:type="dxa"/>
            <w:vAlign w:val="bottom"/>
          </w:tcPr>
          <w:p w14:paraId="32D48E30" w14:textId="77777777" w:rsidR="00980919" w:rsidRDefault="00980919" w:rsidP="001515D5">
            <w:r>
              <w:t>113.4</w:t>
            </w:r>
          </w:p>
        </w:tc>
        <w:tc>
          <w:tcPr>
            <w:tcW w:w="3117" w:type="dxa"/>
            <w:vAlign w:val="bottom"/>
          </w:tcPr>
          <w:p w14:paraId="1F5FA1F4" w14:textId="77777777" w:rsidR="00980919" w:rsidRDefault="00980919" w:rsidP="001515D5">
            <w:r>
              <w:t>908.4</w:t>
            </w:r>
          </w:p>
        </w:tc>
      </w:tr>
      <w:tr w:rsidR="00980919" w14:paraId="542EC1E4" w14:textId="77777777" w:rsidTr="001515D5">
        <w:tc>
          <w:tcPr>
            <w:tcW w:w="3116" w:type="dxa"/>
            <w:vAlign w:val="bottom"/>
          </w:tcPr>
          <w:p w14:paraId="296E51A3" w14:textId="77777777" w:rsidR="00980919" w:rsidRDefault="00980919" w:rsidP="001515D5">
            <w:r>
              <w:t>3/6/21</w:t>
            </w:r>
          </w:p>
        </w:tc>
        <w:tc>
          <w:tcPr>
            <w:tcW w:w="3117" w:type="dxa"/>
            <w:vAlign w:val="bottom"/>
          </w:tcPr>
          <w:p w14:paraId="083EABD1" w14:textId="77777777" w:rsidR="00980919" w:rsidRDefault="00980919" w:rsidP="001515D5">
            <w:r>
              <w:t>90.9</w:t>
            </w:r>
          </w:p>
        </w:tc>
        <w:tc>
          <w:tcPr>
            <w:tcW w:w="3117" w:type="dxa"/>
            <w:vAlign w:val="bottom"/>
          </w:tcPr>
          <w:p w14:paraId="67521CFB" w14:textId="77777777" w:rsidR="00980919" w:rsidRDefault="00980919" w:rsidP="001515D5">
            <w:r>
              <w:t>701.9</w:t>
            </w:r>
          </w:p>
        </w:tc>
      </w:tr>
      <w:tr w:rsidR="00980919" w14:paraId="3C996C9F" w14:textId="77777777" w:rsidTr="001515D5">
        <w:tc>
          <w:tcPr>
            <w:tcW w:w="3116" w:type="dxa"/>
            <w:vAlign w:val="bottom"/>
          </w:tcPr>
          <w:p w14:paraId="20D13992" w14:textId="77777777" w:rsidR="00980919" w:rsidRDefault="00980919" w:rsidP="001515D5">
            <w:r>
              <w:t>3/13/21</w:t>
            </w:r>
          </w:p>
        </w:tc>
        <w:tc>
          <w:tcPr>
            <w:tcW w:w="3117" w:type="dxa"/>
            <w:vAlign w:val="bottom"/>
          </w:tcPr>
          <w:p w14:paraId="159A658A" w14:textId="77777777" w:rsidR="00980919" w:rsidRDefault="00980919" w:rsidP="001515D5">
            <w:r>
              <w:t>59.0</w:t>
            </w:r>
          </w:p>
        </w:tc>
        <w:tc>
          <w:tcPr>
            <w:tcW w:w="3117" w:type="dxa"/>
            <w:vAlign w:val="bottom"/>
          </w:tcPr>
          <w:p w14:paraId="5F362E41" w14:textId="77777777" w:rsidR="00980919" w:rsidRDefault="00980919" w:rsidP="001515D5">
            <w:r>
              <w:t>596.3</w:t>
            </w:r>
          </w:p>
        </w:tc>
      </w:tr>
      <w:tr w:rsidR="00980919" w14:paraId="55842FE7" w14:textId="77777777" w:rsidTr="001515D5">
        <w:tc>
          <w:tcPr>
            <w:tcW w:w="3116" w:type="dxa"/>
            <w:vAlign w:val="bottom"/>
          </w:tcPr>
          <w:p w14:paraId="64E8F703" w14:textId="77777777" w:rsidR="00980919" w:rsidRDefault="00980919" w:rsidP="001515D5">
            <w:r>
              <w:t>3/20/21</w:t>
            </w:r>
          </w:p>
        </w:tc>
        <w:tc>
          <w:tcPr>
            <w:tcW w:w="3117" w:type="dxa"/>
            <w:vAlign w:val="bottom"/>
          </w:tcPr>
          <w:p w14:paraId="58591377" w14:textId="77777777" w:rsidR="00980919" w:rsidRDefault="00980919" w:rsidP="001515D5">
            <w:r>
              <w:t>58.4</w:t>
            </w:r>
          </w:p>
        </w:tc>
        <w:tc>
          <w:tcPr>
            <w:tcW w:w="3117" w:type="dxa"/>
            <w:vAlign w:val="bottom"/>
          </w:tcPr>
          <w:p w14:paraId="6C4CB337" w14:textId="77777777" w:rsidR="00980919" w:rsidRDefault="00980919" w:rsidP="001515D5">
            <w:r>
              <w:t>570.6</w:t>
            </w:r>
          </w:p>
        </w:tc>
      </w:tr>
      <w:tr w:rsidR="00980919" w14:paraId="77641679" w14:textId="77777777" w:rsidTr="001515D5">
        <w:tc>
          <w:tcPr>
            <w:tcW w:w="3116" w:type="dxa"/>
            <w:vAlign w:val="bottom"/>
          </w:tcPr>
          <w:p w14:paraId="4B2E928D" w14:textId="77777777" w:rsidR="00980919" w:rsidRDefault="00980919" w:rsidP="001515D5">
            <w:r>
              <w:t>3/27/21</w:t>
            </w:r>
          </w:p>
        </w:tc>
        <w:tc>
          <w:tcPr>
            <w:tcW w:w="3117" w:type="dxa"/>
            <w:vAlign w:val="bottom"/>
          </w:tcPr>
          <w:p w14:paraId="54B8F8B3" w14:textId="77777777" w:rsidR="00980919" w:rsidRDefault="00980919" w:rsidP="001515D5">
            <w:r>
              <w:t>55.9</w:t>
            </w:r>
          </w:p>
        </w:tc>
        <w:tc>
          <w:tcPr>
            <w:tcW w:w="3117" w:type="dxa"/>
            <w:vAlign w:val="bottom"/>
          </w:tcPr>
          <w:p w14:paraId="5729BDD2" w14:textId="77777777" w:rsidR="00980919" w:rsidRDefault="00980919" w:rsidP="001515D5">
            <w:r>
              <w:t>530.6</w:t>
            </w:r>
          </w:p>
        </w:tc>
      </w:tr>
      <w:tr w:rsidR="00980919" w14:paraId="41381737" w14:textId="77777777" w:rsidTr="001515D5">
        <w:tc>
          <w:tcPr>
            <w:tcW w:w="3116" w:type="dxa"/>
            <w:vAlign w:val="bottom"/>
          </w:tcPr>
          <w:p w14:paraId="55BF2375" w14:textId="77777777" w:rsidR="00980919" w:rsidRDefault="00980919" w:rsidP="001515D5">
            <w:r>
              <w:t>4/3/21</w:t>
            </w:r>
          </w:p>
        </w:tc>
        <w:tc>
          <w:tcPr>
            <w:tcW w:w="3117" w:type="dxa"/>
            <w:vAlign w:val="bottom"/>
          </w:tcPr>
          <w:p w14:paraId="20C010F4" w14:textId="77777777" w:rsidR="00980919" w:rsidRDefault="00980919" w:rsidP="001515D5">
            <w:r>
              <w:t>50.9</w:t>
            </w:r>
          </w:p>
        </w:tc>
        <w:tc>
          <w:tcPr>
            <w:tcW w:w="3117" w:type="dxa"/>
            <w:vAlign w:val="bottom"/>
          </w:tcPr>
          <w:p w14:paraId="03572521" w14:textId="77777777" w:rsidR="00980919" w:rsidRDefault="00980919" w:rsidP="001515D5">
            <w:r>
              <w:t>502.3</w:t>
            </w:r>
          </w:p>
        </w:tc>
      </w:tr>
      <w:tr w:rsidR="00980919" w14:paraId="64D0F08A" w14:textId="77777777" w:rsidTr="001515D5">
        <w:tc>
          <w:tcPr>
            <w:tcW w:w="3116" w:type="dxa"/>
            <w:vAlign w:val="bottom"/>
          </w:tcPr>
          <w:p w14:paraId="1FDF639D" w14:textId="77777777" w:rsidR="00980919" w:rsidRDefault="00980919" w:rsidP="001515D5">
            <w:r>
              <w:t>4/10/21</w:t>
            </w:r>
          </w:p>
        </w:tc>
        <w:tc>
          <w:tcPr>
            <w:tcW w:w="3117" w:type="dxa"/>
            <w:vAlign w:val="bottom"/>
          </w:tcPr>
          <w:p w14:paraId="57FD2E37" w14:textId="77777777" w:rsidR="00980919" w:rsidRDefault="00980919" w:rsidP="001515D5">
            <w:r>
              <w:t>61.6</w:t>
            </w:r>
          </w:p>
        </w:tc>
        <w:tc>
          <w:tcPr>
            <w:tcW w:w="3117" w:type="dxa"/>
            <w:vAlign w:val="bottom"/>
          </w:tcPr>
          <w:p w14:paraId="26E2C5F4" w14:textId="77777777" w:rsidR="00980919" w:rsidRDefault="00980919" w:rsidP="001515D5">
            <w:r>
              <w:t>512.6</w:t>
            </w:r>
          </w:p>
        </w:tc>
      </w:tr>
      <w:tr w:rsidR="00980919" w14:paraId="7145473D" w14:textId="77777777" w:rsidTr="001515D5">
        <w:tc>
          <w:tcPr>
            <w:tcW w:w="3116" w:type="dxa"/>
            <w:vAlign w:val="bottom"/>
          </w:tcPr>
          <w:p w14:paraId="3EA8C23D" w14:textId="77777777" w:rsidR="00980919" w:rsidRDefault="00980919" w:rsidP="001515D5">
            <w:r>
              <w:t>4/17/21</w:t>
            </w:r>
          </w:p>
        </w:tc>
        <w:tc>
          <w:tcPr>
            <w:tcW w:w="3117" w:type="dxa"/>
            <w:vAlign w:val="bottom"/>
          </w:tcPr>
          <w:p w14:paraId="6B306B69" w14:textId="77777777" w:rsidR="00980919" w:rsidRDefault="00980919" w:rsidP="001515D5">
            <w:r>
              <w:t>66.3</w:t>
            </w:r>
          </w:p>
        </w:tc>
        <w:tc>
          <w:tcPr>
            <w:tcW w:w="3117" w:type="dxa"/>
            <w:vAlign w:val="bottom"/>
          </w:tcPr>
          <w:p w14:paraId="3B957F66" w14:textId="77777777" w:rsidR="00980919" w:rsidRDefault="00980919" w:rsidP="001515D5">
            <w:r>
              <w:t>544.9</w:t>
            </w:r>
          </w:p>
        </w:tc>
      </w:tr>
      <w:tr w:rsidR="00980919" w14:paraId="1770A64D" w14:textId="77777777" w:rsidTr="001515D5">
        <w:tc>
          <w:tcPr>
            <w:tcW w:w="3116" w:type="dxa"/>
            <w:vAlign w:val="bottom"/>
          </w:tcPr>
          <w:p w14:paraId="09CAF18A" w14:textId="77777777" w:rsidR="00980919" w:rsidRDefault="00980919" w:rsidP="001515D5">
            <w:r>
              <w:t>4/24/21</w:t>
            </w:r>
          </w:p>
        </w:tc>
        <w:tc>
          <w:tcPr>
            <w:tcW w:w="3117" w:type="dxa"/>
            <w:vAlign w:val="bottom"/>
          </w:tcPr>
          <w:p w14:paraId="49A0F0B5" w14:textId="77777777" w:rsidR="00980919" w:rsidRDefault="00980919" w:rsidP="001515D5">
            <w:r>
              <w:t>63.4</w:t>
            </w:r>
          </w:p>
        </w:tc>
        <w:tc>
          <w:tcPr>
            <w:tcW w:w="3117" w:type="dxa"/>
            <w:vAlign w:val="bottom"/>
          </w:tcPr>
          <w:p w14:paraId="3E3F24B9" w14:textId="77777777" w:rsidR="00980919" w:rsidRDefault="00980919" w:rsidP="001515D5">
            <w:r>
              <w:t>518.7</w:t>
            </w:r>
          </w:p>
        </w:tc>
      </w:tr>
      <w:tr w:rsidR="00980919" w14:paraId="5BBA19CE" w14:textId="77777777" w:rsidTr="001515D5">
        <w:tc>
          <w:tcPr>
            <w:tcW w:w="3116" w:type="dxa"/>
            <w:vAlign w:val="bottom"/>
          </w:tcPr>
          <w:p w14:paraId="57A88A53" w14:textId="77777777" w:rsidR="00980919" w:rsidRDefault="00980919" w:rsidP="001515D5">
            <w:r>
              <w:t>5/1/21</w:t>
            </w:r>
          </w:p>
        </w:tc>
        <w:tc>
          <w:tcPr>
            <w:tcW w:w="3117" w:type="dxa"/>
            <w:vAlign w:val="bottom"/>
          </w:tcPr>
          <w:p w14:paraId="77CF6E63" w14:textId="77777777" w:rsidR="00980919" w:rsidRDefault="00980919" w:rsidP="001515D5">
            <w:r>
              <w:t>60.0</w:t>
            </w:r>
          </w:p>
        </w:tc>
        <w:tc>
          <w:tcPr>
            <w:tcW w:w="3117" w:type="dxa"/>
            <w:vAlign w:val="bottom"/>
          </w:tcPr>
          <w:p w14:paraId="6BCABCCE" w14:textId="77777777" w:rsidR="00980919" w:rsidRDefault="00980919" w:rsidP="001515D5">
            <w:r>
              <w:t>469.3</w:t>
            </w:r>
          </w:p>
        </w:tc>
      </w:tr>
      <w:tr w:rsidR="00980919" w14:paraId="4FAD4932" w14:textId="77777777" w:rsidTr="001515D5">
        <w:tc>
          <w:tcPr>
            <w:tcW w:w="3116" w:type="dxa"/>
            <w:vAlign w:val="bottom"/>
          </w:tcPr>
          <w:p w14:paraId="0D7CCE21" w14:textId="77777777" w:rsidR="00980919" w:rsidRDefault="00980919" w:rsidP="001515D5">
            <w:r>
              <w:t>5/8/21</w:t>
            </w:r>
          </w:p>
        </w:tc>
        <w:tc>
          <w:tcPr>
            <w:tcW w:w="3117" w:type="dxa"/>
            <w:vAlign w:val="bottom"/>
          </w:tcPr>
          <w:p w14:paraId="07FC76BF" w14:textId="77777777" w:rsidR="00980919" w:rsidRDefault="00980919" w:rsidP="001515D5">
            <w:r>
              <w:t>50.7</w:t>
            </w:r>
          </w:p>
        </w:tc>
        <w:tc>
          <w:tcPr>
            <w:tcW w:w="3117" w:type="dxa"/>
            <w:vAlign w:val="bottom"/>
          </w:tcPr>
          <w:p w14:paraId="7B643E0C" w14:textId="77777777" w:rsidR="00980919" w:rsidRDefault="00980919" w:rsidP="001515D5">
            <w:r>
              <w:t>371.0</w:t>
            </w:r>
          </w:p>
        </w:tc>
      </w:tr>
      <w:tr w:rsidR="00980919" w14:paraId="46837D36" w14:textId="77777777" w:rsidTr="001515D5">
        <w:tc>
          <w:tcPr>
            <w:tcW w:w="3116" w:type="dxa"/>
            <w:vAlign w:val="bottom"/>
          </w:tcPr>
          <w:p w14:paraId="45DDE026" w14:textId="77777777" w:rsidR="00980919" w:rsidRDefault="00980919" w:rsidP="001515D5">
            <w:r>
              <w:t>5/15/21</w:t>
            </w:r>
          </w:p>
        </w:tc>
        <w:tc>
          <w:tcPr>
            <w:tcW w:w="3117" w:type="dxa"/>
            <w:vAlign w:val="bottom"/>
          </w:tcPr>
          <w:p w14:paraId="6BECFB9A" w14:textId="77777777" w:rsidR="00980919" w:rsidRDefault="00980919" w:rsidP="001515D5">
            <w:r>
              <w:t>49.4</w:t>
            </w:r>
          </w:p>
        </w:tc>
        <w:tc>
          <w:tcPr>
            <w:tcW w:w="3117" w:type="dxa"/>
            <w:vAlign w:val="bottom"/>
          </w:tcPr>
          <w:p w14:paraId="7D7D2F10" w14:textId="77777777" w:rsidR="00980919" w:rsidRDefault="00980919" w:rsidP="001515D5">
            <w:r>
              <w:t>348.6</w:t>
            </w:r>
          </w:p>
        </w:tc>
      </w:tr>
      <w:tr w:rsidR="00980919" w14:paraId="105623D5" w14:textId="77777777" w:rsidTr="001515D5">
        <w:tc>
          <w:tcPr>
            <w:tcW w:w="3116" w:type="dxa"/>
            <w:vAlign w:val="bottom"/>
          </w:tcPr>
          <w:p w14:paraId="3D6758F5" w14:textId="77777777" w:rsidR="00980919" w:rsidRDefault="00980919" w:rsidP="001515D5">
            <w:r>
              <w:lastRenderedPageBreak/>
              <w:t>5/22/21</w:t>
            </w:r>
          </w:p>
        </w:tc>
        <w:tc>
          <w:tcPr>
            <w:tcW w:w="3117" w:type="dxa"/>
            <w:vAlign w:val="bottom"/>
          </w:tcPr>
          <w:p w14:paraId="40CC8EC3" w14:textId="77777777" w:rsidR="00980919" w:rsidRDefault="00980919" w:rsidP="001515D5">
            <w:r>
              <w:t>38.7</w:t>
            </w:r>
          </w:p>
        </w:tc>
        <w:tc>
          <w:tcPr>
            <w:tcW w:w="3117" w:type="dxa"/>
            <w:vAlign w:val="bottom"/>
          </w:tcPr>
          <w:p w14:paraId="028DADEE" w14:textId="77777777" w:rsidR="00980919" w:rsidRDefault="00980919" w:rsidP="001515D5">
            <w:r>
              <w:t>317.0</w:t>
            </w:r>
          </w:p>
        </w:tc>
      </w:tr>
      <w:tr w:rsidR="00980919" w14:paraId="210C2DFA" w14:textId="77777777" w:rsidTr="001515D5">
        <w:tc>
          <w:tcPr>
            <w:tcW w:w="3116" w:type="dxa"/>
            <w:vAlign w:val="bottom"/>
          </w:tcPr>
          <w:p w14:paraId="53A967D7" w14:textId="77777777" w:rsidR="00980919" w:rsidRDefault="00980919" w:rsidP="001515D5">
            <w:r>
              <w:t>5/29/21</w:t>
            </w:r>
          </w:p>
        </w:tc>
        <w:tc>
          <w:tcPr>
            <w:tcW w:w="3117" w:type="dxa"/>
            <w:vAlign w:val="bottom"/>
          </w:tcPr>
          <w:p w14:paraId="25017C32" w14:textId="77777777" w:rsidR="00980919" w:rsidRDefault="00980919" w:rsidP="001515D5">
            <w:r>
              <w:t>38.0</w:t>
            </w:r>
          </w:p>
        </w:tc>
        <w:tc>
          <w:tcPr>
            <w:tcW w:w="3117" w:type="dxa"/>
            <w:vAlign w:val="bottom"/>
          </w:tcPr>
          <w:p w14:paraId="450662E1" w14:textId="77777777" w:rsidR="00980919" w:rsidRDefault="00980919" w:rsidP="001515D5">
            <w:r>
              <w:t>272.0</w:t>
            </w:r>
          </w:p>
        </w:tc>
      </w:tr>
      <w:tr w:rsidR="00980919" w14:paraId="716A3A47" w14:textId="77777777" w:rsidTr="001515D5">
        <w:tc>
          <w:tcPr>
            <w:tcW w:w="3116" w:type="dxa"/>
            <w:vAlign w:val="bottom"/>
          </w:tcPr>
          <w:p w14:paraId="6B4C9A4C" w14:textId="77777777" w:rsidR="00980919" w:rsidRDefault="00980919" w:rsidP="001515D5">
            <w:r>
              <w:t>6/5/21</w:t>
            </w:r>
          </w:p>
        </w:tc>
        <w:tc>
          <w:tcPr>
            <w:tcW w:w="3117" w:type="dxa"/>
            <w:vAlign w:val="bottom"/>
          </w:tcPr>
          <w:p w14:paraId="74C84493" w14:textId="77777777" w:rsidR="00980919" w:rsidRDefault="00980919" w:rsidP="001515D5">
            <w:r>
              <w:t>28.9</w:t>
            </w:r>
          </w:p>
        </w:tc>
        <w:tc>
          <w:tcPr>
            <w:tcW w:w="3117" w:type="dxa"/>
            <w:vAlign w:val="bottom"/>
          </w:tcPr>
          <w:p w14:paraId="41FBBC0E" w14:textId="77777777" w:rsidR="00980919" w:rsidRDefault="00980919" w:rsidP="001515D5">
            <w:r>
              <w:t>224.3</w:t>
            </w:r>
          </w:p>
        </w:tc>
      </w:tr>
      <w:tr w:rsidR="00980919" w14:paraId="688EE04E" w14:textId="77777777" w:rsidTr="001515D5">
        <w:tc>
          <w:tcPr>
            <w:tcW w:w="3116" w:type="dxa"/>
            <w:vAlign w:val="bottom"/>
          </w:tcPr>
          <w:p w14:paraId="134AA3CA" w14:textId="77777777" w:rsidR="00980919" w:rsidRDefault="00980919" w:rsidP="001515D5">
            <w:r>
              <w:t>6/12/21</w:t>
            </w:r>
          </w:p>
        </w:tc>
        <w:tc>
          <w:tcPr>
            <w:tcW w:w="3117" w:type="dxa"/>
            <w:vAlign w:val="bottom"/>
          </w:tcPr>
          <w:p w14:paraId="317A48BC" w14:textId="77777777" w:rsidR="00980919" w:rsidRDefault="00980919" w:rsidP="001515D5">
            <w:r>
              <w:t>28.6</w:t>
            </w:r>
          </w:p>
        </w:tc>
        <w:tc>
          <w:tcPr>
            <w:tcW w:w="3117" w:type="dxa"/>
            <w:vAlign w:val="bottom"/>
          </w:tcPr>
          <w:p w14:paraId="3B4531A8" w14:textId="77777777" w:rsidR="00980919" w:rsidRDefault="00980919" w:rsidP="001515D5">
            <w:r>
              <w:t>183.3</w:t>
            </w:r>
          </w:p>
        </w:tc>
      </w:tr>
      <w:tr w:rsidR="00980919" w14:paraId="13D9A803" w14:textId="77777777" w:rsidTr="001515D5">
        <w:tc>
          <w:tcPr>
            <w:tcW w:w="3116" w:type="dxa"/>
            <w:vAlign w:val="bottom"/>
          </w:tcPr>
          <w:p w14:paraId="4C400E37" w14:textId="77777777" w:rsidR="00980919" w:rsidRDefault="00980919" w:rsidP="001515D5">
            <w:r>
              <w:t>6/19/21</w:t>
            </w:r>
          </w:p>
        </w:tc>
        <w:tc>
          <w:tcPr>
            <w:tcW w:w="3117" w:type="dxa"/>
            <w:vAlign w:val="bottom"/>
          </w:tcPr>
          <w:p w14:paraId="506E33D0" w14:textId="77777777" w:rsidR="00980919" w:rsidRDefault="00980919" w:rsidP="001515D5">
            <w:r>
              <w:t>22.4</w:t>
            </w:r>
          </w:p>
        </w:tc>
        <w:tc>
          <w:tcPr>
            <w:tcW w:w="3117" w:type="dxa"/>
            <w:vAlign w:val="bottom"/>
          </w:tcPr>
          <w:p w14:paraId="2EC6989E" w14:textId="77777777" w:rsidR="00980919" w:rsidRDefault="00980919" w:rsidP="001515D5">
            <w:r>
              <w:t>151.4</w:t>
            </w:r>
          </w:p>
        </w:tc>
      </w:tr>
      <w:tr w:rsidR="00980919" w14:paraId="28662E1D" w14:textId="77777777" w:rsidTr="001515D5">
        <w:tc>
          <w:tcPr>
            <w:tcW w:w="3116" w:type="dxa"/>
            <w:vAlign w:val="bottom"/>
          </w:tcPr>
          <w:p w14:paraId="200F40ED" w14:textId="77777777" w:rsidR="00980919" w:rsidRDefault="00980919" w:rsidP="001515D5">
            <w:r>
              <w:t>6/26/21</w:t>
            </w:r>
          </w:p>
        </w:tc>
        <w:tc>
          <w:tcPr>
            <w:tcW w:w="3117" w:type="dxa"/>
            <w:vAlign w:val="bottom"/>
          </w:tcPr>
          <w:p w14:paraId="043A82AB" w14:textId="77777777" w:rsidR="00980919" w:rsidRDefault="00980919" w:rsidP="001515D5">
            <w:r>
              <w:t>18.0</w:t>
            </w:r>
          </w:p>
        </w:tc>
        <w:tc>
          <w:tcPr>
            <w:tcW w:w="3117" w:type="dxa"/>
            <w:vAlign w:val="bottom"/>
          </w:tcPr>
          <w:p w14:paraId="53B380EF" w14:textId="77777777" w:rsidR="00980919" w:rsidRDefault="00980919" w:rsidP="001515D5">
            <w:r>
              <w:t>138.3</w:t>
            </w:r>
          </w:p>
        </w:tc>
      </w:tr>
      <w:tr w:rsidR="00980919" w14:paraId="02111C69" w14:textId="77777777" w:rsidTr="001515D5">
        <w:tc>
          <w:tcPr>
            <w:tcW w:w="3116" w:type="dxa"/>
            <w:vAlign w:val="bottom"/>
          </w:tcPr>
          <w:p w14:paraId="7303C77A" w14:textId="77777777" w:rsidR="00980919" w:rsidRDefault="00980919" w:rsidP="001515D5">
            <w:r>
              <w:t>7/3/21</w:t>
            </w:r>
          </w:p>
        </w:tc>
        <w:tc>
          <w:tcPr>
            <w:tcW w:w="3117" w:type="dxa"/>
            <w:vAlign w:val="bottom"/>
          </w:tcPr>
          <w:p w14:paraId="73089551" w14:textId="77777777" w:rsidR="00980919" w:rsidRDefault="00980919" w:rsidP="001515D5">
            <w:r>
              <w:t>12.0</w:t>
            </w:r>
          </w:p>
        </w:tc>
        <w:tc>
          <w:tcPr>
            <w:tcW w:w="3117" w:type="dxa"/>
            <w:vAlign w:val="bottom"/>
          </w:tcPr>
          <w:p w14:paraId="2B554A53" w14:textId="77777777" w:rsidR="00980919" w:rsidRDefault="00980919" w:rsidP="001515D5">
            <w:r>
              <w:t>120.1</w:t>
            </w:r>
          </w:p>
        </w:tc>
      </w:tr>
      <w:tr w:rsidR="00980919" w14:paraId="288FE69D" w14:textId="77777777" w:rsidTr="001515D5">
        <w:tc>
          <w:tcPr>
            <w:tcW w:w="3116" w:type="dxa"/>
            <w:vAlign w:val="bottom"/>
          </w:tcPr>
          <w:p w14:paraId="657B9BD8" w14:textId="77777777" w:rsidR="00980919" w:rsidRDefault="00980919" w:rsidP="001515D5">
            <w:r>
              <w:t>7/10/21</w:t>
            </w:r>
          </w:p>
        </w:tc>
        <w:tc>
          <w:tcPr>
            <w:tcW w:w="3117" w:type="dxa"/>
            <w:vAlign w:val="bottom"/>
          </w:tcPr>
          <w:p w14:paraId="5216940C" w14:textId="77777777" w:rsidR="00980919" w:rsidRDefault="00980919" w:rsidP="001515D5">
            <w:r>
              <w:t>14.9</w:t>
            </w:r>
          </w:p>
        </w:tc>
        <w:tc>
          <w:tcPr>
            <w:tcW w:w="3117" w:type="dxa"/>
            <w:vAlign w:val="bottom"/>
          </w:tcPr>
          <w:p w14:paraId="473A7463" w14:textId="77777777" w:rsidR="00980919" w:rsidRDefault="00980919" w:rsidP="001515D5">
            <w:r>
              <w:t>147.4</w:t>
            </w:r>
          </w:p>
        </w:tc>
      </w:tr>
      <w:tr w:rsidR="00980919" w14:paraId="4C6B457F" w14:textId="77777777" w:rsidTr="001515D5">
        <w:tc>
          <w:tcPr>
            <w:tcW w:w="3116" w:type="dxa"/>
            <w:vAlign w:val="bottom"/>
          </w:tcPr>
          <w:p w14:paraId="338ED70C" w14:textId="77777777" w:rsidR="00980919" w:rsidRDefault="00980919" w:rsidP="001515D5">
            <w:r>
              <w:t>7/17/21</w:t>
            </w:r>
          </w:p>
        </w:tc>
        <w:tc>
          <w:tcPr>
            <w:tcW w:w="3117" w:type="dxa"/>
            <w:vAlign w:val="bottom"/>
          </w:tcPr>
          <w:p w14:paraId="09DCC22D" w14:textId="77777777" w:rsidR="00980919" w:rsidRDefault="00980919" w:rsidP="001515D5">
            <w:r>
              <w:t>17.4</w:t>
            </w:r>
          </w:p>
        </w:tc>
        <w:tc>
          <w:tcPr>
            <w:tcW w:w="3117" w:type="dxa"/>
            <w:vAlign w:val="bottom"/>
          </w:tcPr>
          <w:p w14:paraId="7511F184" w14:textId="77777777" w:rsidR="00980919" w:rsidRDefault="00980919" w:rsidP="001515D5">
            <w:r>
              <w:t>206.4</w:t>
            </w:r>
          </w:p>
        </w:tc>
      </w:tr>
      <w:tr w:rsidR="00980919" w14:paraId="42E8183C" w14:textId="77777777" w:rsidTr="001515D5">
        <w:tc>
          <w:tcPr>
            <w:tcW w:w="3116" w:type="dxa"/>
            <w:vAlign w:val="bottom"/>
          </w:tcPr>
          <w:p w14:paraId="4A55EC3B" w14:textId="77777777" w:rsidR="00980919" w:rsidRDefault="00980919" w:rsidP="001515D5">
            <w:r>
              <w:t>7/24/21</w:t>
            </w:r>
          </w:p>
        </w:tc>
        <w:tc>
          <w:tcPr>
            <w:tcW w:w="3117" w:type="dxa"/>
            <w:vAlign w:val="bottom"/>
          </w:tcPr>
          <w:p w14:paraId="5D547E21" w14:textId="77777777" w:rsidR="00980919" w:rsidRDefault="00980919" w:rsidP="001515D5">
            <w:r>
              <w:t>34.9</w:t>
            </w:r>
          </w:p>
        </w:tc>
        <w:tc>
          <w:tcPr>
            <w:tcW w:w="3117" w:type="dxa"/>
            <w:vAlign w:val="bottom"/>
          </w:tcPr>
          <w:p w14:paraId="0D77AB02" w14:textId="77777777" w:rsidR="00980919" w:rsidRDefault="00980919" w:rsidP="001515D5">
            <w:r>
              <w:t>331.6</w:t>
            </w:r>
          </w:p>
        </w:tc>
      </w:tr>
      <w:tr w:rsidR="00980919" w14:paraId="1C7576E9" w14:textId="77777777" w:rsidTr="001515D5">
        <w:tc>
          <w:tcPr>
            <w:tcW w:w="3116" w:type="dxa"/>
            <w:vAlign w:val="bottom"/>
          </w:tcPr>
          <w:p w14:paraId="5CF68B97" w14:textId="77777777" w:rsidR="00980919" w:rsidRDefault="00980919" w:rsidP="001515D5">
            <w:r>
              <w:t>7/31/21</w:t>
            </w:r>
          </w:p>
        </w:tc>
        <w:tc>
          <w:tcPr>
            <w:tcW w:w="3117" w:type="dxa"/>
            <w:vAlign w:val="bottom"/>
          </w:tcPr>
          <w:p w14:paraId="7955F8DE" w14:textId="77777777" w:rsidR="00980919" w:rsidRDefault="00980919" w:rsidP="001515D5">
            <w:r>
              <w:t>66.1</w:t>
            </w:r>
          </w:p>
        </w:tc>
        <w:tc>
          <w:tcPr>
            <w:tcW w:w="3117" w:type="dxa"/>
            <w:vAlign w:val="bottom"/>
          </w:tcPr>
          <w:p w14:paraId="723954C1" w14:textId="77777777" w:rsidR="00980919" w:rsidRDefault="00980919" w:rsidP="001515D5">
            <w:r>
              <w:t>561.1</w:t>
            </w:r>
          </w:p>
        </w:tc>
      </w:tr>
      <w:tr w:rsidR="00980919" w14:paraId="319BF081" w14:textId="77777777" w:rsidTr="001515D5">
        <w:tc>
          <w:tcPr>
            <w:tcW w:w="3116" w:type="dxa"/>
            <w:vAlign w:val="bottom"/>
          </w:tcPr>
          <w:p w14:paraId="615F99CA" w14:textId="77777777" w:rsidR="00980919" w:rsidRDefault="00980919" w:rsidP="001515D5">
            <w:r>
              <w:t>8/7/21</w:t>
            </w:r>
          </w:p>
        </w:tc>
        <w:tc>
          <w:tcPr>
            <w:tcW w:w="3117" w:type="dxa"/>
            <w:vAlign w:val="bottom"/>
          </w:tcPr>
          <w:p w14:paraId="2B9BCFB9" w14:textId="77777777" w:rsidR="00980919" w:rsidRDefault="00980919" w:rsidP="001515D5">
            <w:r>
              <w:t>124.4</w:t>
            </w:r>
          </w:p>
        </w:tc>
        <w:tc>
          <w:tcPr>
            <w:tcW w:w="3117" w:type="dxa"/>
            <w:vAlign w:val="bottom"/>
          </w:tcPr>
          <w:p w14:paraId="137CB0EB" w14:textId="77777777" w:rsidR="00980919" w:rsidRDefault="00980919" w:rsidP="001515D5">
            <w:r>
              <w:t>957.0</w:t>
            </w:r>
          </w:p>
        </w:tc>
      </w:tr>
      <w:tr w:rsidR="00980919" w14:paraId="70D26A7F" w14:textId="77777777" w:rsidTr="001515D5">
        <w:tc>
          <w:tcPr>
            <w:tcW w:w="3116" w:type="dxa"/>
            <w:vAlign w:val="bottom"/>
          </w:tcPr>
          <w:p w14:paraId="46664321" w14:textId="77777777" w:rsidR="00980919" w:rsidRDefault="00980919" w:rsidP="001515D5">
            <w:r>
              <w:t>8/14/21</w:t>
            </w:r>
          </w:p>
        </w:tc>
        <w:tc>
          <w:tcPr>
            <w:tcW w:w="3117" w:type="dxa"/>
            <w:vAlign w:val="bottom"/>
          </w:tcPr>
          <w:p w14:paraId="5C2A20A7" w14:textId="77777777" w:rsidR="00980919" w:rsidRDefault="00980919" w:rsidP="001515D5">
            <w:r>
              <w:t>189.9</w:t>
            </w:r>
          </w:p>
        </w:tc>
        <w:tc>
          <w:tcPr>
            <w:tcW w:w="3117" w:type="dxa"/>
            <w:vAlign w:val="bottom"/>
          </w:tcPr>
          <w:p w14:paraId="57339470" w14:textId="77777777" w:rsidR="00980919" w:rsidRDefault="00980919" w:rsidP="001515D5">
            <w:r>
              <w:t>1358.4</w:t>
            </w:r>
          </w:p>
        </w:tc>
      </w:tr>
      <w:tr w:rsidR="00980919" w14:paraId="6D4D545C" w14:textId="77777777" w:rsidTr="001515D5">
        <w:tc>
          <w:tcPr>
            <w:tcW w:w="3116" w:type="dxa"/>
            <w:vAlign w:val="bottom"/>
          </w:tcPr>
          <w:p w14:paraId="534C73DC" w14:textId="77777777" w:rsidR="00980919" w:rsidRDefault="00980919" w:rsidP="001515D5">
            <w:r>
              <w:t>8/21/21</w:t>
            </w:r>
          </w:p>
        </w:tc>
        <w:tc>
          <w:tcPr>
            <w:tcW w:w="3117" w:type="dxa"/>
            <w:vAlign w:val="bottom"/>
          </w:tcPr>
          <w:p w14:paraId="3705A427" w14:textId="77777777" w:rsidR="00980919" w:rsidRDefault="00980919" w:rsidP="001515D5">
            <w:r>
              <w:t>278.3</w:t>
            </w:r>
          </w:p>
        </w:tc>
        <w:tc>
          <w:tcPr>
            <w:tcW w:w="3117" w:type="dxa"/>
            <w:vAlign w:val="bottom"/>
          </w:tcPr>
          <w:p w14:paraId="6E772EDA" w14:textId="77777777" w:rsidR="00980919" w:rsidRDefault="00980919" w:rsidP="001515D5">
            <w:r>
              <w:t>1834.4</w:t>
            </w:r>
          </w:p>
        </w:tc>
      </w:tr>
      <w:tr w:rsidR="00980919" w14:paraId="5EB134DC" w14:textId="77777777" w:rsidTr="001515D5">
        <w:tc>
          <w:tcPr>
            <w:tcW w:w="3116" w:type="dxa"/>
            <w:vAlign w:val="bottom"/>
          </w:tcPr>
          <w:p w14:paraId="4AAA2E4E" w14:textId="77777777" w:rsidR="00980919" w:rsidRDefault="00980919" w:rsidP="001515D5">
            <w:r>
              <w:t>8/28/21</w:t>
            </w:r>
          </w:p>
        </w:tc>
        <w:tc>
          <w:tcPr>
            <w:tcW w:w="3117" w:type="dxa"/>
            <w:vAlign w:val="bottom"/>
          </w:tcPr>
          <w:p w14:paraId="7DBF3AED" w14:textId="77777777" w:rsidR="00980919" w:rsidRDefault="00980919" w:rsidP="001515D5">
            <w:r>
              <w:t>319.3</w:t>
            </w:r>
          </w:p>
        </w:tc>
        <w:tc>
          <w:tcPr>
            <w:tcW w:w="3117" w:type="dxa"/>
            <w:vAlign w:val="bottom"/>
          </w:tcPr>
          <w:p w14:paraId="2C449913" w14:textId="77777777" w:rsidR="00980919" w:rsidRDefault="00980919" w:rsidP="001515D5">
            <w:r>
              <w:t>2164.1</w:t>
            </w:r>
          </w:p>
        </w:tc>
      </w:tr>
      <w:tr w:rsidR="00980919" w14:paraId="635951D4" w14:textId="77777777" w:rsidTr="001515D5">
        <w:tc>
          <w:tcPr>
            <w:tcW w:w="3116" w:type="dxa"/>
            <w:vAlign w:val="bottom"/>
          </w:tcPr>
          <w:p w14:paraId="4F45B649" w14:textId="77777777" w:rsidR="00980919" w:rsidRDefault="00980919" w:rsidP="001515D5">
            <w:r>
              <w:t>9/4/21</w:t>
            </w:r>
          </w:p>
        </w:tc>
        <w:tc>
          <w:tcPr>
            <w:tcW w:w="3117" w:type="dxa"/>
            <w:vAlign w:val="bottom"/>
          </w:tcPr>
          <w:p w14:paraId="406EEA9B" w14:textId="77777777" w:rsidR="00980919" w:rsidRDefault="00980919" w:rsidP="001515D5">
            <w:r>
              <w:t>356.9</w:t>
            </w:r>
          </w:p>
        </w:tc>
        <w:tc>
          <w:tcPr>
            <w:tcW w:w="3117" w:type="dxa"/>
            <w:vAlign w:val="bottom"/>
          </w:tcPr>
          <w:p w14:paraId="7A2B1F36" w14:textId="77777777" w:rsidR="00980919" w:rsidRDefault="00980919" w:rsidP="001515D5">
            <w:r>
              <w:t>2394.9</w:t>
            </w:r>
          </w:p>
        </w:tc>
      </w:tr>
      <w:tr w:rsidR="00980919" w14:paraId="0AF94E25" w14:textId="77777777" w:rsidTr="001515D5">
        <w:tc>
          <w:tcPr>
            <w:tcW w:w="3116" w:type="dxa"/>
            <w:vAlign w:val="bottom"/>
          </w:tcPr>
          <w:p w14:paraId="74A50B8D" w14:textId="77777777" w:rsidR="00980919" w:rsidRDefault="00980919" w:rsidP="001515D5">
            <w:r>
              <w:t>9/11/21</w:t>
            </w:r>
          </w:p>
        </w:tc>
        <w:tc>
          <w:tcPr>
            <w:tcW w:w="3117" w:type="dxa"/>
            <w:vAlign w:val="bottom"/>
          </w:tcPr>
          <w:p w14:paraId="7AB922BF" w14:textId="77777777" w:rsidR="00980919" w:rsidRDefault="00980919" w:rsidP="001515D5">
            <w:r>
              <w:t>419.3</w:t>
            </w:r>
          </w:p>
        </w:tc>
        <w:tc>
          <w:tcPr>
            <w:tcW w:w="3117" w:type="dxa"/>
            <w:vAlign w:val="bottom"/>
          </w:tcPr>
          <w:p w14:paraId="2B76E343" w14:textId="77777777" w:rsidR="00980919" w:rsidRDefault="00980919" w:rsidP="001515D5">
            <w:r>
              <w:t>2566.1</w:t>
            </w:r>
          </w:p>
        </w:tc>
      </w:tr>
      <w:tr w:rsidR="00980919" w14:paraId="3504DF0C" w14:textId="77777777" w:rsidTr="001515D5">
        <w:tc>
          <w:tcPr>
            <w:tcW w:w="3116" w:type="dxa"/>
            <w:vAlign w:val="bottom"/>
          </w:tcPr>
          <w:p w14:paraId="19379BE3" w14:textId="77777777" w:rsidR="00980919" w:rsidRDefault="00980919" w:rsidP="001515D5">
            <w:r>
              <w:t>9/18/21</w:t>
            </w:r>
          </w:p>
        </w:tc>
        <w:tc>
          <w:tcPr>
            <w:tcW w:w="3117" w:type="dxa"/>
            <w:vAlign w:val="bottom"/>
          </w:tcPr>
          <w:p w14:paraId="05642105" w14:textId="77777777" w:rsidR="00980919" w:rsidRDefault="00980919" w:rsidP="001515D5">
            <w:r>
              <w:t>432.6</w:t>
            </w:r>
          </w:p>
        </w:tc>
        <w:tc>
          <w:tcPr>
            <w:tcW w:w="3117" w:type="dxa"/>
            <w:vAlign w:val="bottom"/>
          </w:tcPr>
          <w:p w14:paraId="6D537037" w14:textId="77777777" w:rsidR="00980919" w:rsidRDefault="00980919" w:rsidP="001515D5">
            <w:r>
              <w:t>2527.7</w:t>
            </w:r>
          </w:p>
        </w:tc>
      </w:tr>
      <w:tr w:rsidR="00980919" w14:paraId="72F20BBB" w14:textId="77777777" w:rsidTr="001515D5">
        <w:tc>
          <w:tcPr>
            <w:tcW w:w="3116" w:type="dxa"/>
            <w:vAlign w:val="bottom"/>
          </w:tcPr>
          <w:p w14:paraId="16EDACF3" w14:textId="77777777" w:rsidR="00980919" w:rsidRDefault="00980919" w:rsidP="001515D5">
            <w:r>
              <w:t>9/25/21</w:t>
            </w:r>
          </w:p>
        </w:tc>
        <w:tc>
          <w:tcPr>
            <w:tcW w:w="3117" w:type="dxa"/>
            <w:vAlign w:val="bottom"/>
          </w:tcPr>
          <w:p w14:paraId="371094BC" w14:textId="77777777" w:rsidR="00980919" w:rsidRDefault="00980919" w:rsidP="001515D5">
            <w:r>
              <w:t>398.0</w:t>
            </w:r>
          </w:p>
        </w:tc>
        <w:tc>
          <w:tcPr>
            <w:tcW w:w="3117" w:type="dxa"/>
            <w:vAlign w:val="bottom"/>
          </w:tcPr>
          <w:p w14:paraId="1226BB74" w14:textId="77777777" w:rsidR="00980919" w:rsidRDefault="00980919" w:rsidP="001515D5">
            <w:r>
              <w:t>2290.7</w:t>
            </w:r>
          </w:p>
        </w:tc>
      </w:tr>
      <w:tr w:rsidR="00980919" w14:paraId="6E7BFBA2" w14:textId="77777777" w:rsidTr="001515D5">
        <w:tc>
          <w:tcPr>
            <w:tcW w:w="3116" w:type="dxa"/>
            <w:vAlign w:val="bottom"/>
          </w:tcPr>
          <w:p w14:paraId="4AB906C9" w14:textId="77777777" w:rsidR="00980919" w:rsidRDefault="00980919" w:rsidP="001515D5">
            <w:r>
              <w:t>10/2/21</w:t>
            </w:r>
          </w:p>
        </w:tc>
        <w:tc>
          <w:tcPr>
            <w:tcW w:w="3117" w:type="dxa"/>
            <w:vAlign w:val="bottom"/>
          </w:tcPr>
          <w:p w14:paraId="37461E9E" w14:textId="77777777" w:rsidR="00980919" w:rsidRDefault="00980919" w:rsidP="001515D5">
            <w:r>
              <w:t>352.6</w:t>
            </w:r>
          </w:p>
        </w:tc>
        <w:tc>
          <w:tcPr>
            <w:tcW w:w="3117" w:type="dxa"/>
            <w:vAlign w:val="bottom"/>
          </w:tcPr>
          <w:p w14:paraId="181165D3" w14:textId="77777777" w:rsidR="00980919" w:rsidRDefault="00980919" w:rsidP="001515D5">
            <w:r>
              <w:t>1876.6</w:t>
            </w:r>
          </w:p>
        </w:tc>
      </w:tr>
      <w:tr w:rsidR="00980919" w14:paraId="2EA102BE" w14:textId="77777777" w:rsidTr="001515D5">
        <w:tc>
          <w:tcPr>
            <w:tcW w:w="3116" w:type="dxa"/>
            <w:vAlign w:val="bottom"/>
          </w:tcPr>
          <w:p w14:paraId="25716798" w14:textId="77777777" w:rsidR="00980919" w:rsidRDefault="00980919" w:rsidP="001515D5">
            <w:r>
              <w:t>10/9/21</w:t>
            </w:r>
          </w:p>
        </w:tc>
        <w:tc>
          <w:tcPr>
            <w:tcW w:w="3117" w:type="dxa"/>
            <w:vAlign w:val="bottom"/>
          </w:tcPr>
          <w:p w14:paraId="0AA001B9" w14:textId="77777777" w:rsidR="00980919" w:rsidRDefault="00980919" w:rsidP="001515D5">
            <w:r>
              <w:t>308.1</w:t>
            </w:r>
          </w:p>
        </w:tc>
        <w:tc>
          <w:tcPr>
            <w:tcW w:w="3117" w:type="dxa"/>
            <w:vAlign w:val="bottom"/>
          </w:tcPr>
          <w:p w14:paraId="376EBEF8" w14:textId="77777777" w:rsidR="00980919" w:rsidRDefault="00980919" w:rsidP="001515D5">
            <w:r>
              <w:t>1516.3</w:t>
            </w:r>
          </w:p>
        </w:tc>
      </w:tr>
      <w:tr w:rsidR="00980919" w14:paraId="1DDEB045" w14:textId="77777777" w:rsidTr="001515D5">
        <w:tc>
          <w:tcPr>
            <w:tcW w:w="3116" w:type="dxa"/>
            <w:vAlign w:val="bottom"/>
          </w:tcPr>
          <w:p w14:paraId="71F2F3E9" w14:textId="77777777" w:rsidR="00980919" w:rsidRDefault="00980919" w:rsidP="001515D5">
            <w:r>
              <w:t>10/16/21</w:t>
            </w:r>
          </w:p>
        </w:tc>
        <w:tc>
          <w:tcPr>
            <w:tcW w:w="3117" w:type="dxa"/>
            <w:vAlign w:val="bottom"/>
          </w:tcPr>
          <w:p w14:paraId="10841707" w14:textId="77777777" w:rsidR="00980919" w:rsidRDefault="00980919" w:rsidP="001515D5">
            <w:r>
              <w:t>224.7</w:t>
            </w:r>
          </w:p>
        </w:tc>
        <w:tc>
          <w:tcPr>
            <w:tcW w:w="3117" w:type="dxa"/>
            <w:vAlign w:val="bottom"/>
          </w:tcPr>
          <w:p w14:paraId="367411E1" w14:textId="77777777" w:rsidR="00980919" w:rsidRDefault="00980919" w:rsidP="001515D5">
            <w:r>
              <w:t>1150.6</w:t>
            </w:r>
          </w:p>
        </w:tc>
      </w:tr>
      <w:tr w:rsidR="00980919" w14:paraId="2C5AD90B" w14:textId="77777777" w:rsidTr="001515D5">
        <w:tc>
          <w:tcPr>
            <w:tcW w:w="3116" w:type="dxa"/>
            <w:vAlign w:val="bottom"/>
          </w:tcPr>
          <w:p w14:paraId="031CFE25" w14:textId="77777777" w:rsidR="00980919" w:rsidRDefault="00980919" w:rsidP="001515D5">
            <w:r>
              <w:t>10/23/21</w:t>
            </w:r>
          </w:p>
        </w:tc>
        <w:tc>
          <w:tcPr>
            <w:tcW w:w="3117" w:type="dxa"/>
            <w:vAlign w:val="bottom"/>
          </w:tcPr>
          <w:p w14:paraId="0A4E71F7" w14:textId="77777777" w:rsidR="00980919" w:rsidRDefault="00980919" w:rsidP="001515D5">
            <w:r>
              <w:t>178.6</w:t>
            </w:r>
          </w:p>
        </w:tc>
        <w:tc>
          <w:tcPr>
            <w:tcW w:w="3117" w:type="dxa"/>
            <w:vAlign w:val="bottom"/>
          </w:tcPr>
          <w:p w14:paraId="7E76BDC3" w14:textId="77777777" w:rsidR="00980919" w:rsidRDefault="00980919" w:rsidP="001515D5">
            <w:r>
              <w:t>894.0</w:t>
            </w:r>
          </w:p>
        </w:tc>
      </w:tr>
      <w:tr w:rsidR="00980919" w14:paraId="4C2FE99B" w14:textId="77777777" w:rsidTr="001515D5">
        <w:tc>
          <w:tcPr>
            <w:tcW w:w="3116" w:type="dxa"/>
            <w:vAlign w:val="bottom"/>
          </w:tcPr>
          <w:p w14:paraId="34454540" w14:textId="77777777" w:rsidR="00980919" w:rsidRDefault="00980919" w:rsidP="001515D5">
            <w:r>
              <w:t>10/30/21</w:t>
            </w:r>
          </w:p>
        </w:tc>
        <w:tc>
          <w:tcPr>
            <w:tcW w:w="3117" w:type="dxa"/>
            <w:vAlign w:val="bottom"/>
          </w:tcPr>
          <w:p w14:paraId="607E8250" w14:textId="77777777" w:rsidR="00980919" w:rsidRDefault="00980919" w:rsidP="001515D5">
            <w:r>
              <w:t>133.4</w:t>
            </w:r>
          </w:p>
        </w:tc>
        <w:tc>
          <w:tcPr>
            <w:tcW w:w="3117" w:type="dxa"/>
            <w:vAlign w:val="bottom"/>
          </w:tcPr>
          <w:p w14:paraId="705A1DA3" w14:textId="77777777" w:rsidR="00980919" w:rsidRDefault="00980919" w:rsidP="001515D5">
            <w:r>
              <w:t>705.6</w:t>
            </w:r>
          </w:p>
        </w:tc>
      </w:tr>
      <w:tr w:rsidR="00980919" w14:paraId="3D11ACF5" w14:textId="77777777" w:rsidTr="001515D5">
        <w:tc>
          <w:tcPr>
            <w:tcW w:w="3116" w:type="dxa"/>
            <w:vAlign w:val="bottom"/>
          </w:tcPr>
          <w:p w14:paraId="6521AEA8" w14:textId="77777777" w:rsidR="00980919" w:rsidRDefault="00980919" w:rsidP="001515D5">
            <w:r>
              <w:t>11/6/21</w:t>
            </w:r>
          </w:p>
        </w:tc>
        <w:tc>
          <w:tcPr>
            <w:tcW w:w="3117" w:type="dxa"/>
            <w:vAlign w:val="bottom"/>
          </w:tcPr>
          <w:p w14:paraId="58364A95" w14:textId="77777777" w:rsidR="00980919" w:rsidRDefault="00980919" w:rsidP="001515D5">
            <w:r>
              <w:t>92.4</w:t>
            </w:r>
          </w:p>
        </w:tc>
        <w:tc>
          <w:tcPr>
            <w:tcW w:w="3117" w:type="dxa"/>
            <w:vAlign w:val="bottom"/>
          </w:tcPr>
          <w:p w14:paraId="35D81105" w14:textId="77777777" w:rsidR="00980919" w:rsidRDefault="00980919" w:rsidP="001515D5">
            <w:r>
              <w:t>554.4</w:t>
            </w:r>
          </w:p>
        </w:tc>
      </w:tr>
      <w:tr w:rsidR="00980919" w14:paraId="2A44864A" w14:textId="77777777" w:rsidTr="001515D5">
        <w:tc>
          <w:tcPr>
            <w:tcW w:w="3116" w:type="dxa"/>
            <w:vAlign w:val="bottom"/>
          </w:tcPr>
          <w:p w14:paraId="6A24F90F" w14:textId="77777777" w:rsidR="00980919" w:rsidRDefault="00980919" w:rsidP="001515D5">
            <w:r>
              <w:t>11/13/21</w:t>
            </w:r>
          </w:p>
        </w:tc>
        <w:tc>
          <w:tcPr>
            <w:tcW w:w="3117" w:type="dxa"/>
            <w:vAlign w:val="bottom"/>
          </w:tcPr>
          <w:p w14:paraId="2773AE49" w14:textId="77777777" w:rsidR="00980919" w:rsidRDefault="00980919" w:rsidP="001515D5">
            <w:r>
              <w:t>73.1</w:t>
            </w:r>
          </w:p>
        </w:tc>
        <w:tc>
          <w:tcPr>
            <w:tcW w:w="3117" w:type="dxa"/>
            <w:vAlign w:val="bottom"/>
          </w:tcPr>
          <w:p w14:paraId="1BF1E756" w14:textId="77777777" w:rsidR="00980919" w:rsidRDefault="00980919" w:rsidP="001515D5">
            <w:r>
              <w:t>487.3</w:t>
            </w:r>
          </w:p>
        </w:tc>
      </w:tr>
      <w:tr w:rsidR="00980919" w14:paraId="19C68F6E" w14:textId="77777777" w:rsidTr="001515D5">
        <w:tc>
          <w:tcPr>
            <w:tcW w:w="3116" w:type="dxa"/>
            <w:vAlign w:val="bottom"/>
          </w:tcPr>
          <w:p w14:paraId="21E099A1" w14:textId="77777777" w:rsidR="00980919" w:rsidRDefault="00980919" w:rsidP="001515D5">
            <w:r>
              <w:t>11/20/21</w:t>
            </w:r>
          </w:p>
        </w:tc>
        <w:tc>
          <w:tcPr>
            <w:tcW w:w="3117" w:type="dxa"/>
            <w:vAlign w:val="bottom"/>
          </w:tcPr>
          <w:p w14:paraId="407279AC" w14:textId="77777777" w:rsidR="00980919" w:rsidRDefault="00980919" w:rsidP="001515D5">
            <w:r>
              <w:t>69.0</w:t>
            </w:r>
          </w:p>
        </w:tc>
        <w:tc>
          <w:tcPr>
            <w:tcW w:w="3117" w:type="dxa"/>
            <w:vAlign w:val="bottom"/>
          </w:tcPr>
          <w:p w14:paraId="02B2A091" w14:textId="77777777" w:rsidR="00980919" w:rsidRDefault="00980919" w:rsidP="001515D5">
            <w:r>
              <w:t>451.6</w:t>
            </w:r>
          </w:p>
        </w:tc>
      </w:tr>
      <w:tr w:rsidR="00980919" w14:paraId="3E22371E" w14:textId="77777777" w:rsidTr="001515D5">
        <w:tc>
          <w:tcPr>
            <w:tcW w:w="3116" w:type="dxa"/>
            <w:vAlign w:val="bottom"/>
          </w:tcPr>
          <w:p w14:paraId="71791DA4" w14:textId="77777777" w:rsidR="00980919" w:rsidRDefault="00980919" w:rsidP="001515D5">
            <w:r>
              <w:t>11/27/21</w:t>
            </w:r>
          </w:p>
        </w:tc>
        <w:tc>
          <w:tcPr>
            <w:tcW w:w="3117" w:type="dxa"/>
            <w:vAlign w:val="bottom"/>
          </w:tcPr>
          <w:p w14:paraId="4E7313A3" w14:textId="77777777" w:rsidR="00980919" w:rsidRDefault="00980919" w:rsidP="001515D5">
            <w:r>
              <w:t>67.9</w:t>
            </w:r>
          </w:p>
        </w:tc>
        <w:tc>
          <w:tcPr>
            <w:tcW w:w="3117" w:type="dxa"/>
            <w:vAlign w:val="bottom"/>
          </w:tcPr>
          <w:p w14:paraId="2FC5462F" w14:textId="77777777" w:rsidR="00980919" w:rsidRDefault="00980919" w:rsidP="001515D5">
            <w:r>
              <w:t>416.9</w:t>
            </w:r>
          </w:p>
        </w:tc>
      </w:tr>
      <w:tr w:rsidR="00980919" w14:paraId="50DE07D7" w14:textId="77777777" w:rsidTr="001515D5">
        <w:tc>
          <w:tcPr>
            <w:tcW w:w="3116" w:type="dxa"/>
            <w:vAlign w:val="bottom"/>
          </w:tcPr>
          <w:p w14:paraId="41A93CA9" w14:textId="77777777" w:rsidR="00980919" w:rsidRDefault="00980919" w:rsidP="001515D5">
            <w:r>
              <w:t>12/4/21</w:t>
            </w:r>
          </w:p>
        </w:tc>
        <w:tc>
          <w:tcPr>
            <w:tcW w:w="3117" w:type="dxa"/>
            <w:vAlign w:val="bottom"/>
          </w:tcPr>
          <w:p w14:paraId="1488F32B" w14:textId="77777777" w:rsidR="00980919" w:rsidRDefault="00980919" w:rsidP="001515D5">
            <w:r>
              <w:t>61.1</w:t>
            </w:r>
          </w:p>
        </w:tc>
        <w:tc>
          <w:tcPr>
            <w:tcW w:w="3117" w:type="dxa"/>
            <w:vAlign w:val="bottom"/>
          </w:tcPr>
          <w:p w14:paraId="64E56EF1" w14:textId="77777777" w:rsidR="00980919" w:rsidRDefault="00980919" w:rsidP="001515D5">
            <w:r>
              <w:t>431.7</w:t>
            </w:r>
          </w:p>
        </w:tc>
      </w:tr>
      <w:tr w:rsidR="00980919" w14:paraId="524F5298" w14:textId="77777777" w:rsidTr="001515D5">
        <w:tc>
          <w:tcPr>
            <w:tcW w:w="3116" w:type="dxa"/>
            <w:vAlign w:val="bottom"/>
          </w:tcPr>
          <w:p w14:paraId="70DF9958" w14:textId="77777777" w:rsidR="00980919" w:rsidRDefault="00980919" w:rsidP="001515D5">
            <w:r>
              <w:t>12/11/21</w:t>
            </w:r>
          </w:p>
        </w:tc>
        <w:tc>
          <w:tcPr>
            <w:tcW w:w="3117" w:type="dxa"/>
            <w:vAlign w:val="bottom"/>
          </w:tcPr>
          <w:p w14:paraId="4D0AC7CB" w14:textId="77777777" w:rsidR="00980919" w:rsidRDefault="00980919" w:rsidP="001515D5">
            <w:r>
              <w:t>70.6</w:t>
            </w:r>
          </w:p>
        </w:tc>
        <w:tc>
          <w:tcPr>
            <w:tcW w:w="3117" w:type="dxa"/>
            <w:vAlign w:val="bottom"/>
          </w:tcPr>
          <w:p w14:paraId="319F9622" w14:textId="77777777" w:rsidR="00980919" w:rsidRDefault="00980919" w:rsidP="001515D5">
            <w:r>
              <w:t>484.6</w:t>
            </w:r>
          </w:p>
        </w:tc>
      </w:tr>
      <w:tr w:rsidR="00980919" w14:paraId="45C64EF3" w14:textId="77777777" w:rsidTr="001515D5">
        <w:tc>
          <w:tcPr>
            <w:tcW w:w="3116" w:type="dxa"/>
            <w:vAlign w:val="bottom"/>
          </w:tcPr>
          <w:p w14:paraId="48206C8E" w14:textId="77777777" w:rsidR="00980919" w:rsidRDefault="00980919" w:rsidP="001515D5">
            <w:r>
              <w:t>12/18/21</w:t>
            </w:r>
          </w:p>
        </w:tc>
        <w:tc>
          <w:tcPr>
            <w:tcW w:w="3117" w:type="dxa"/>
            <w:vAlign w:val="bottom"/>
          </w:tcPr>
          <w:p w14:paraId="1EF16D89" w14:textId="77777777" w:rsidR="00980919" w:rsidRDefault="00980919" w:rsidP="001515D5">
            <w:r>
              <w:t>75.1</w:t>
            </w:r>
          </w:p>
        </w:tc>
        <w:tc>
          <w:tcPr>
            <w:tcW w:w="3117" w:type="dxa"/>
            <w:vAlign w:val="bottom"/>
          </w:tcPr>
          <w:p w14:paraId="2F03F477" w14:textId="77777777" w:rsidR="00980919" w:rsidRDefault="00980919" w:rsidP="001515D5">
            <w:r>
              <w:t>565.3</w:t>
            </w:r>
          </w:p>
        </w:tc>
      </w:tr>
      <w:tr w:rsidR="00980919" w14:paraId="115C191A" w14:textId="77777777" w:rsidTr="001515D5">
        <w:tc>
          <w:tcPr>
            <w:tcW w:w="3116" w:type="dxa"/>
            <w:vAlign w:val="bottom"/>
          </w:tcPr>
          <w:p w14:paraId="63CF9252" w14:textId="77777777" w:rsidR="00980919" w:rsidRDefault="00980919" w:rsidP="001515D5">
            <w:r>
              <w:t>12/25/21</w:t>
            </w:r>
          </w:p>
        </w:tc>
        <w:tc>
          <w:tcPr>
            <w:tcW w:w="3117" w:type="dxa"/>
            <w:vAlign w:val="bottom"/>
          </w:tcPr>
          <w:p w14:paraId="2D2D5006" w14:textId="77777777" w:rsidR="00980919" w:rsidRDefault="00980919" w:rsidP="001515D5">
            <w:r>
              <w:t>77.4</w:t>
            </w:r>
          </w:p>
        </w:tc>
        <w:tc>
          <w:tcPr>
            <w:tcW w:w="3117" w:type="dxa"/>
            <w:vAlign w:val="bottom"/>
          </w:tcPr>
          <w:p w14:paraId="3E63AFCD" w14:textId="77777777" w:rsidR="00980919" w:rsidRDefault="00980919" w:rsidP="001515D5">
            <w:r>
              <w:t>593.0</w:t>
            </w:r>
          </w:p>
        </w:tc>
      </w:tr>
      <w:tr w:rsidR="00980919" w14:paraId="7928D3DC" w14:textId="77777777" w:rsidTr="001515D5">
        <w:tc>
          <w:tcPr>
            <w:tcW w:w="3116" w:type="dxa"/>
            <w:vAlign w:val="bottom"/>
          </w:tcPr>
          <w:p w14:paraId="153BB4D1" w14:textId="77777777" w:rsidR="00980919" w:rsidRDefault="00980919" w:rsidP="001515D5">
            <w:r>
              <w:t>1/1/22</w:t>
            </w:r>
          </w:p>
        </w:tc>
        <w:tc>
          <w:tcPr>
            <w:tcW w:w="3117" w:type="dxa"/>
            <w:vAlign w:val="bottom"/>
          </w:tcPr>
          <w:p w14:paraId="2E947C82" w14:textId="77777777" w:rsidR="00980919" w:rsidRDefault="00980919" w:rsidP="001515D5">
            <w:r>
              <w:t>90.3</w:t>
            </w:r>
          </w:p>
        </w:tc>
        <w:tc>
          <w:tcPr>
            <w:tcW w:w="3117" w:type="dxa"/>
            <w:vAlign w:val="bottom"/>
          </w:tcPr>
          <w:p w14:paraId="1179651D" w14:textId="77777777" w:rsidR="00980919" w:rsidRDefault="00980919" w:rsidP="001515D5">
            <w:r>
              <w:t>925.6</w:t>
            </w:r>
          </w:p>
        </w:tc>
      </w:tr>
      <w:tr w:rsidR="00980919" w14:paraId="2C69D496" w14:textId="77777777" w:rsidTr="001515D5">
        <w:tc>
          <w:tcPr>
            <w:tcW w:w="3116" w:type="dxa"/>
            <w:vAlign w:val="bottom"/>
          </w:tcPr>
          <w:p w14:paraId="2E54A652" w14:textId="77777777" w:rsidR="00980919" w:rsidRDefault="00980919" w:rsidP="001515D5">
            <w:r>
              <w:t>1/8/22</w:t>
            </w:r>
          </w:p>
        </w:tc>
        <w:tc>
          <w:tcPr>
            <w:tcW w:w="3117" w:type="dxa"/>
            <w:vAlign w:val="bottom"/>
          </w:tcPr>
          <w:p w14:paraId="007D53F6" w14:textId="77777777" w:rsidR="00980919" w:rsidRDefault="00980919" w:rsidP="001515D5">
            <w:r>
              <w:t>132.3</w:t>
            </w:r>
          </w:p>
        </w:tc>
        <w:tc>
          <w:tcPr>
            <w:tcW w:w="3117" w:type="dxa"/>
            <w:vAlign w:val="bottom"/>
          </w:tcPr>
          <w:p w14:paraId="630AB25F" w14:textId="77777777" w:rsidR="00980919" w:rsidRDefault="00980919" w:rsidP="001515D5">
            <w:r>
              <w:t>1516.6</w:t>
            </w:r>
          </w:p>
        </w:tc>
      </w:tr>
      <w:tr w:rsidR="00980919" w14:paraId="0D8DA2D4" w14:textId="77777777" w:rsidTr="001515D5">
        <w:tc>
          <w:tcPr>
            <w:tcW w:w="3116" w:type="dxa"/>
            <w:vAlign w:val="bottom"/>
          </w:tcPr>
          <w:p w14:paraId="730D36E9" w14:textId="77777777" w:rsidR="00980919" w:rsidRDefault="00980919" w:rsidP="001515D5">
            <w:r>
              <w:t>1/15/22</w:t>
            </w:r>
          </w:p>
        </w:tc>
        <w:tc>
          <w:tcPr>
            <w:tcW w:w="3117" w:type="dxa"/>
            <w:vAlign w:val="bottom"/>
          </w:tcPr>
          <w:p w14:paraId="5D00803B" w14:textId="77777777" w:rsidR="00980919" w:rsidRDefault="00980919" w:rsidP="001515D5">
            <w:r>
              <w:t>182.1</w:t>
            </w:r>
          </w:p>
        </w:tc>
        <w:tc>
          <w:tcPr>
            <w:tcW w:w="3117" w:type="dxa"/>
            <w:vAlign w:val="bottom"/>
          </w:tcPr>
          <w:p w14:paraId="77442D60" w14:textId="77777777" w:rsidR="00980919" w:rsidRDefault="00980919" w:rsidP="001515D5">
            <w:r>
              <w:t>2105.1</w:t>
            </w:r>
          </w:p>
        </w:tc>
      </w:tr>
      <w:tr w:rsidR="00980919" w14:paraId="6A7B63AC" w14:textId="77777777" w:rsidTr="001515D5">
        <w:tc>
          <w:tcPr>
            <w:tcW w:w="3116" w:type="dxa"/>
            <w:vAlign w:val="bottom"/>
          </w:tcPr>
          <w:p w14:paraId="0DAC6886" w14:textId="77777777" w:rsidR="00980919" w:rsidRDefault="00980919" w:rsidP="001515D5">
            <w:r>
              <w:t>1/22/22</w:t>
            </w:r>
          </w:p>
        </w:tc>
        <w:tc>
          <w:tcPr>
            <w:tcW w:w="3117" w:type="dxa"/>
            <w:vAlign w:val="bottom"/>
          </w:tcPr>
          <w:p w14:paraId="2A32976D" w14:textId="77777777" w:rsidR="00980919" w:rsidRDefault="00980919" w:rsidP="001515D5">
            <w:r>
              <w:t>218.7</w:t>
            </w:r>
          </w:p>
        </w:tc>
        <w:tc>
          <w:tcPr>
            <w:tcW w:w="3117" w:type="dxa"/>
            <w:vAlign w:val="bottom"/>
          </w:tcPr>
          <w:p w14:paraId="71E7F3A8" w14:textId="77777777" w:rsidR="00980919" w:rsidRDefault="00980919" w:rsidP="001515D5">
            <w:r>
              <w:t>2505.4</w:t>
            </w:r>
          </w:p>
        </w:tc>
      </w:tr>
      <w:tr w:rsidR="00980919" w14:paraId="47886B22" w14:textId="77777777" w:rsidTr="001515D5">
        <w:tc>
          <w:tcPr>
            <w:tcW w:w="3116" w:type="dxa"/>
            <w:vAlign w:val="bottom"/>
          </w:tcPr>
          <w:p w14:paraId="1AABB00D" w14:textId="77777777" w:rsidR="00980919" w:rsidRDefault="00980919" w:rsidP="001515D5">
            <w:r>
              <w:lastRenderedPageBreak/>
              <w:t>1/29/22</w:t>
            </w:r>
          </w:p>
        </w:tc>
        <w:tc>
          <w:tcPr>
            <w:tcW w:w="3117" w:type="dxa"/>
            <w:vAlign w:val="bottom"/>
          </w:tcPr>
          <w:p w14:paraId="478DB226" w14:textId="77777777" w:rsidR="00980919" w:rsidRDefault="00980919" w:rsidP="001515D5">
            <w:r>
              <w:t>232.1</w:t>
            </w:r>
          </w:p>
        </w:tc>
        <w:tc>
          <w:tcPr>
            <w:tcW w:w="3117" w:type="dxa"/>
            <w:vAlign w:val="bottom"/>
          </w:tcPr>
          <w:p w14:paraId="21F823F6" w14:textId="77777777" w:rsidR="00980919" w:rsidRDefault="00980919" w:rsidP="001515D5">
            <w:r>
              <w:t>2616.4</w:t>
            </w:r>
          </w:p>
        </w:tc>
      </w:tr>
      <w:tr w:rsidR="00980919" w14:paraId="346B1CD7" w14:textId="77777777" w:rsidTr="001515D5">
        <w:tc>
          <w:tcPr>
            <w:tcW w:w="3116" w:type="dxa"/>
            <w:vAlign w:val="bottom"/>
          </w:tcPr>
          <w:p w14:paraId="5782DE3A" w14:textId="77777777" w:rsidR="00980919" w:rsidRDefault="00980919" w:rsidP="001515D5">
            <w:r>
              <w:t>2/5/22</w:t>
            </w:r>
          </w:p>
        </w:tc>
        <w:tc>
          <w:tcPr>
            <w:tcW w:w="3117" w:type="dxa"/>
            <w:vAlign w:val="bottom"/>
          </w:tcPr>
          <w:p w14:paraId="52943FF8" w14:textId="77777777" w:rsidR="00980919" w:rsidRDefault="00980919" w:rsidP="001515D5">
            <w:r>
              <w:t>221.0</w:t>
            </w:r>
          </w:p>
        </w:tc>
        <w:tc>
          <w:tcPr>
            <w:tcW w:w="3117" w:type="dxa"/>
            <w:vAlign w:val="bottom"/>
          </w:tcPr>
          <w:p w14:paraId="1C66F253" w14:textId="77777777" w:rsidR="00980919" w:rsidRDefault="00980919" w:rsidP="001515D5">
            <w:r>
              <w:t>2294.6</w:t>
            </w:r>
          </w:p>
        </w:tc>
      </w:tr>
      <w:tr w:rsidR="00980919" w14:paraId="5C60FE0B" w14:textId="77777777" w:rsidTr="001515D5">
        <w:tc>
          <w:tcPr>
            <w:tcW w:w="3116" w:type="dxa"/>
            <w:vAlign w:val="bottom"/>
          </w:tcPr>
          <w:p w14:paraId="0C3E30E9" w14:textId="77777777" w:rsidR="00980919" w:rsidRDefault="00980919" w:rsidP="001515D5">
            <w:r>
              <w:t>2/12/22</w:t>
            </w:r>
          </w:p>
        </w:tc>
        <w:tc>
          <w:tcPr>
            <w:tcW w:w="3117" w:type="dxa"/>
            <w:vAlign w:val="bottom"/>
          </w:tcPr>
          <w:p w14:paraId="48E71517" w14:textId="77777777" w:rsidR="00980919" w:rsidRDefault="00980919" w:rsidP="001515D5">
            <w:r>
              <w:t>183.7</w:t>
            </w:r>
          </w:p>
        </w:tc>
        <w:tc>
          <w:tcPr>
            <w:tcW w:w="3117" w:type="dxa"/>
            <w:vAlign w:val="bottom"/>
          </w:tcPr>
          <w:p w14:paraId="6420E0E8" w14:textId="77777777" w:rsidR="00980919" w:rsidRDefault="00980919" w:rsidP="001515D5">
            <w:r>
              <w:t>1707.0</w:t>
            </w:r>
          </w:p>
        </w:tc>
      </w:tr>
      <w:tr w:rsidR="00980919" w14:paraId="468167A3" w14:textId="77777777" w:rsidTr="001515D5">
        <w:tc>
          <w:tcPr>
            <w:tcW w:w="3116" w:type="dxa"/>
            <w:vAlign w:val="bottom"/>
          </w:tcPr>
          <w:p w14:paraId="0FFEDD11" w14:textId="77777777" w:rsidR="00980919" w:rsidRDefault="00980919" w:rsidP="001515D5">
            <w:r>
              <w:t>2/19/22</w:t>
            </w:r>
          </w:p>
        </w:tc>
        <w:tc>
          <w:tcPr>
            <w:tcW w:w="3117" w:type="dxa"/>
            <w:vAlign w:val="bottom"/>
          </w:tcPr>
          <w:p w14:paraId="3F738C53" w14:textId="77777777" w:rsidR="00980919" w:rsidRDefault="00980919" w:rsidP="001515D5">
            <w:r>
              <w:t>128.6</w:t>
            </w:r>
          </w:p>
        </w:tc>
        <w:tc>
          <w:tcPr>
            <w:tcW w:w="3117" w:type="dxa"/>
            <w:vAlign w:val="bottom"/>
          </w:tcPr>
          <w:p w14:paraId="4EDB1A01" w14:textId="77777777" w:rsidR="00980919" w:rsidRDefault="00980919" w:rsidP="001515D5">
            <w:r>
              <w:t>1192.4</w:t>
            </w:r>
          </w:p>
        </w:tc>
      </w:tr>
      <w:tr w:rsidR="00980919" w14:paraId="5EDED81F" w14:textId="77777777" w:rsidTr="001515D5">
        <w:tc>
          <w:tcPr>
            <w:tcW w:w="3116" w:type="dxa"/>
            <w:vAlign w:val="bottom"/>
          </w:tcPr>
          <w:p w14:paraId="6D71B8CC" w14:textId="77777777" w:rsidR="00980919" w:rsidRDefault="00980919" w:rsidP="001515D5">
            <w:r>
              <w:t>2/26/22</w:t>
            </w:r>
          </w:p>
        </w:tc>
        <w:tc>
          <w:tcPr>
            <w:tcW w:w="3117" w:type="dxa"/>
            <w:vAlign w:val="bottom"/>
          </w:tcPr>
          <w:p w14:paraId="3ECB491E" w14:textId="77777777" w:rsidR="00980919" w:rsidRDefault="00980919" w:rsidP="001515D5">
            <w:r>
              <w:t>78.4</w:t>
            </w:r>
          </w:p>
        </w:tc>
        <w:tc>
          <w:tcPr>
            <w:tcW w:w="3117" w:type="dxa"/>
            <w:vAlign w:val="bottom"/>
          </w:tcPr>
          <w:p w14:paraId="17C0EA07" w14:textId="77777777" w:rsidR="00980919" w:rsidRDefault="00980919" w:rsidP="001515D5">
            <w:r>
              <w:t>801.0</w:t>
            </w:r>
          </w:p>
        </w:tc>
      </w:tr>
      <w:tr w:rsidR="00980919" w14:paraId="12B8E5A3" w14:textId="77777777" w:rsidTr="001515D5">
        <w:tc>
          <w:tcPr>
            <w:tcW w:w="3116" w:type="dxa"/>
            <w:vAlign w:val="bottom"/>
          </w:tcPr>
          <w:p w14:paraId="26160557" w14:textId="77777777" w:rsidR="00980919" w:rsidRDefault="00980919" w:rsidP="001515D5">
            <w:r>
              <w:t>3/5/22</w:t>
            </w:r>
          </w:p>
        </w:tc>
        <w:tc>
          <w:tcPr>
            <w:tcW w:w="3117" w:type="dxa"/>
            <w:vAlign w:val="bottom"/>
          </w:tcPr>
          <w:p w14:paraId="35D7998C" w14:textId="77777777" w:rsidR="00980919" w:rsidRDefault="00980919" w:rsidP="001515D5">
            <w:r>
              <w:t>48.3</w:t>
            </w:r>
          </w:p>
        </w:tc>
        <w:tc>
          <w:tcPr>
            <w:tcW w:w="3117" w:type="dxa"/>
            <w:vAlign w:val="bottom"/>
          </w:tcPr>
          <w:p w14:paraId="2B2A5984" w14:textId="77777777" w:rsidR="00980919" w:rsidRDefault="00980919" w:rsidP="001515D5">
            <w:r>
              <w:t>495.3</w:t>
            </w:r>
          </w:p>
        </w:tc>
      </w:tr>
      <w:tr w:rsidR="00980919" w14:paraId="2DA0CFEE" w14:textId="77777777" w:rsidTr="001515D5">
        <w:tc>
          <w:tcPr>
            <w:tcW w:w="3116" w:type="dxa"/>
            <w:vAlign w:val="bottom"/>
          </w:tcPr>
          <w:p w14:paraId="5A4E5908" w14:textId="77777777" w:rsidR="00980919" w:rsidRDefault="00980919" w:rsidP="001515D5">
            <w:r>
              <w:t>3/12/22</w:t>
            </w:r>
          </w:p>
        </w:tc>
        <w:tc>
          <w:tcPr>
            <w:tcW w:w="3117" w:type="dxa"/>
            <w:vAlign w:val="bottom"/>
          </w:tcPr>
          <w:p w14:paraId="0ABA784D" w14:textId="77777777" w:rsidR="00980919" w:rsidRDefault="00980919" w:rsidP="001515D5">
            <w:r>
              <w:t>30.1</w:t>
            </w:r>
          </w:p>
        </w:tc>
        <w:tc>
          <w:tcPr>
            <w:tcW w:w="3117" w:type="dxa"/>
            <w:vAlign w:val="bottom"/>
          </w:tcPr>
          <w:p w14:paraId="2EA5E722" w14:textId="77777777" w:rsidR="00980919" w:rsidRDefault="00980919" w:rsidP="001515D5">
            <w:r>
              <w:t>340.1</w:t>
            </w:r>
          </w:p>
        </w:tc>
      </w:tr>
      <w:tr w:rsidR="00980919" w14:paraId="5B12B263" w14:textId="77777777" w:rsidTr="001515D5">
        <w:tc>
          <w:tcPr>
            <w:tcW w:w="3116" w:type="dxa"/>
            <w:vAlign w:val="bottom"/>
          </w:tcPr>
          <w:p w14:paraId="0D55A95E" w14:textId="77777777" w:rsidR="00980919" w:rsidRDefault="00980919" w:rsidP="001515D5">
            <w:r>
              <w:t>3/19/22</w:t>
            </w:r>
          </w:p>
        </w:tc>
        <w:tc>
          <w:tcPr>
            <w:tcW w:w="3117" w:type="dxa"/>
            <w:vAlign w:val="bottom"/>
          </w:tcPr>
          <w:p w14:paraId="2A4F2EB3" w14:textId="77777777" w:rsidR="00980919" w:rsidRDefault="00980919" w:rsidP="001515D5">
            <w:r>
              <w:t>20.3</w:t>
            </w:r>
          </w:p>
        </w:tc>
        <w:tc>
          <w:tcPr>
            <w:tcW w:w="3117" w:type="dxa"/>
            <w:vAlign w:val="bottom"/>
          </w:tcPr>
          <w:p w14:paraId="3ABF61AB" w14:textId="77777777" w:rsidR="00980919" w:rsidRDefault="00980919" w:rsidP="001515D5">
            <w:r>
              <w:t>231.6</w:t>
            </w:r>
          </w:p>
        </w:tc>
      </w:tr>
      <w:tr w:rsidR="00980919" w14:paraId="57A55606" w14:textId="77777777" w:rsidTr="001515D5">
        <w:tc>
          <w:tcPr>
            <w:tcW w:w="3116" w:type="dxa"/>
            <w:vAlign w:val="bottom"/>
          </w:tcPr>
          <w:p w14:paraId="775274ED" w14:textId="77777777" w:rsidR="00980919" w:rsidRDefault="00980919" w:rsidP="001515D5">
            <w:r>
              <w:t>3/26/22</w:t>
            </w:r>
          </w:p>
        </w:tc>
        <w:tc>
          <w:tcPr>
            <w:tcW w:w="3117" w:type="dxa"/>
            <w:vAlign w:val="bottom"/>
          </w:tcPr>
          <w:p w14:paraId="315C96B1" w14:textId="77777777" w:rsidR="00980919" w:rsidRDefault="00980919" w:rsidP="001515D5">
            <w:r>
              <w:t>13.9</w:t>
            </w:r>
          </w:p>
        </w:tc>
        <w:tc>
          <w:tcPr>
            <w:tcW w:w="3117" w:type="dxa"/>
            <w:vAlign w:val="bottom"/>
          </w:tcPr>
          <w:p w14:paraId="480DE209" w14:textId="77777777" w:rsidR="00980919" w:rsidRDefault="00980919" w:rsidP="001515D5">
            <w:r>
              <w:t>170.6</w:t>
            </w:r>
          </w:p>
        </w:tc>
      </w:tr>
      <w:tr w:rsidR="00980919" w14:paraId="1692A378" w14:textId="77777777" w:rsidTr="001515D5">
        <w:tc>
          <w:tcPr>
            <w:tcW w:w="3116" w:type="dxa"/>
            <w:vAlign w:val="bottom"/>
          </w:tcPr>
          <w:p w14:paraId="7CE20D73" w14:textId="77777777" w:rsidR="00980919" w:rsidRDefault="00980919" w:rsidP="001515D5">
            <w:r>
              <w:t>4/2/22</w:t>
            </w:r>
          </w:p>
        </w:tc>
        <w:tc>
          <w:tcPr>
            <w:tcW w:w="3117" w:type="dxa"/>
            <w:vAlign w:val="bottom"/>
          </w:tcPr>
          <w:p w14:paraId="072AFCDA" w14:textId="77777777" w:rsidR="00980919" w:rsidRDefault="00980919" w:rsidP="001515D5">
            <w:r>
              <w:t>8.7</w:t>
            </w:r>
          </w:p>
        </w:tc>
        <w:tc>
          <w:tcPr>
            <w:tcW w:w="3117" w:type="dxa"/>
            <w:vAlign w:val="bottom"/>
          </w:tcPr>
          <w:p w14:paraId="1732E547" w14:textId="77777777" w:rsidR="00980919" w:rsidRDefault="00980919" w:rsidP="001515D5">
            <w:r>
              <w:t>131.0</w:t>
            </w:r>
          </w:p>
        </w:tc>
      </w:tr>
      <w:tr w:rsidR="00980919" w14:paraId="0BFAB4FB" w14:textId="77777777" w:rsidTr="001515D5">
        <w:tc>
          <w:tcPr>
            <w:tcW w:w="3116" w:type="dxa"/>
            <w:vAlign w:val="bottom"/>
          </w:tcPr>
          <w:p w14:paraId="129601CC" w14:textId="77777777" w:rsidR="00980919" w:rsidRDefault="00980919" w:rsidP="001515D5">
            <w:r>
              <w:t>4/9/22</w:t>
            </w:r>
          </w:p>
        </w:tc>
        <w:tc>
          <w:tcPr>
            <w:tcW w:w="3117" w:type="dxa"/>
            <w:vAlign w:val="bottom"/>
          </w:tcPr>
          <w:p w14:paraId="1FCFA25D" w14:textId="77777777" w:rsidR="00980919" w:rsidRDefault="00980919" w:rsidP="001515D5">
            <w:r>
              <w:t>10.0</w:t>
            </w:r>
          </w:p>
        </w:tc>
        <w:tc>
          <w:tcPr>
            <w:tcW w:w="3117" w:type="dxa"/>
            <w:vAlign w:val="bottom"/>
          </w:tcPr>
          <w:p w14:paraId="7B94868C" w14:textId="77777777" w:rsidR="00980919" w:rsidRDefault="00980919" w:rsidP="001515D5">
            <w:r>
              <w:t>107.4</w:t>
            </w:r>
          </w:p>
        </w:tc>
      </w:tr>
      <w:tr w:rsidR="00980919" w14:paraId="09E3886F" w14:textId="77777777" w:rsidTr="001515D5">
        <w:tc>
          <w:tcPr>
            <w:tcW w:w="3116" w:type="dxa"/>
            <w:vAlign w:val="bottom"/>
          </w:tcPr>
          <w:p w14:paraId="2BFDA7EC" w14:textId="77777777" w:rsidR="00980919" w:rsidRDefault="00980919" w:rsidP="001515D5">
            <w:r>
              <w:t>4/16/22</w:t>
            </w:r>
          </w:p>
        </w:tc>
        <w:tc>
          <w:tcPr>
            <w:tcW w:w="3117" w:type="dxa"/>
            <w:vAlign w:val="bottom"/>
          </w:tcPr>
          <w:p w14:paraId="3D1FDF0D" w14:textId="77777777" w:rsidR="00980919" w:rsidRDefault="00980919" w:rsidP="001515D5">
            <w:r>
              <w:t>8.9</w:t>
            </w:r>
          </w:p>
        </w:tc>
        <w:tc>
          <w:tcPr>
            <w:tcW w:w="3117" w:type="dxa"/>
            <w:vAlign w:val="bottom"/>
          </w:tcPr>
          <w:p w14:paraId="0ABCD928" w14:textId="77777777" w:rsidR="00980919" w:rsidRDefault="00980919" w:rsidP="001515D5">
            <w:r>
              <w:t>90.1</w:t>
            </w:r>
          </w:p>
        </w:tc>
      </w:tr>
      <w:tr w:rsidR="00980919" w14:paraId="4D975157" w14:textId="77777777" w:rsidTr="001515D5">
        <w:tc>
          <w:tcPr>
            <w:tcW w:w="3116" w:type="dxa"/>
            <w:vAlign w:val="bottom"/>
          </w:tcPr>
          <w:p w14:paraId="78F5C6F0" w14:textId="77777777" w:rsidR="00980919" w:rsidRDefault="00980919" w:rsidP="001515D5">
            <w:r>
              <w:t>4/23/22</w:t>
            </w:r>
          </w:p>
        </w:tc>
        <w:tc>
          <w:tcPr>
            <w:tcW w:w="3117" w:type="dxa"/>
            <w:vAlign w:val="bottom"/>
          </w:tcPr>
          <w:p w14:paraId="07DDE35F" w14:textId="77777777" w:rsidR="00980919" w:rsidRDefault="00980919" w:rsidP="001515D5">
            <w:r>
              <w:t>5.3</w:t>
            </w:r>
          </w:p>
        </w:tc>
        <w:tc>
          <w:tcPr>
            <w:tcW w:w="3117" w:type="dxa"/>
            <w:vAlign w:val="bottom"/>
          </w:tcPr>
          <w:p w14:paraId="6668627D" w14:textId="77777777" w:rsidR="00980919" w:rsidRDefault="00980919" w:rsidP="001515D5">
            <w:r>
              <w:t>101.7</w:t>
            </w:r>
          </w:p>
        </w:tc>
      </w:tr>
      <w:tr w:rsidR="00980919" w14:paraId="1CA36AD8" w14:textId="77777777" w:rsidTr="001515D5">
        <w:tc>
          <w:tcPr>
            <w:tcW w:w="3116" w:type="dxa"/>
            <w:vAlign w:val="bottom"/>
          </w:tcPr>
          <w:p w14:paraId="41186114" w14:textId="77777777" w:rsidR="00980919" w:rsidRDefault="00980919" w:rsidP="001515D5">
            <w:r>
              <w:t>4/30/22</w:t>
            </w:r>
          </w:p>
        </w:tc>
        <w:tc>
          <w:tcPr>
            <w:tcW w:w="3117" w:type="dxa"/>
            <w:vAlign w:val="bottom"/>
          </w:tcPr>
          <w:p w14:paraId="5F511A60" w14:textId="77777777" w:rsidR="00980919" w:rsidRDefault="00980919" w:rsidP="001515D5">
            <w:r>
              <w:t>5.3</w:t>
            </w:r>
          </w:p>
        </w:tc>
        <w:tc>
          <w:tcPr>
            <w:tcW w:w="3117" w:type="dxa"/>
            <w:vAlign w:val="bottom"/>
          </w:tcPr>
          <w:p w14:paraId="456DB41C" w14:textId="77777777" w:rsidR="00980919" w:rsidRDefault="00980919" w:rsidP="001515D5">
            <w:r>
              <w:t>119.6</w:t>
            </w:r>
          </w:p>
        </w:tc>
      </w:tr>
      <w:tr w:rsidR="00980919" w14:paraId="4459E9B0" w14:textId="77777777" w:rsidTr="001515D5">
        <w:tc>
          <w:tcPr>
            <w:tcW w:w="3116" w:type="dxa"/>
            <w:vAlign w:val="bottom"/>
          </w:tcPr>
          <w:p w14:paraId="44469DAF" w14:textId="77777777" w:rsidR="00980919" w:rsidRDefault="00980919" w:rsidP="001515D5">
            <w:r>
              <w:t>5/7/22</w:t>
            </w:r>
          </w:p>
        </w:tc>
        <w:tc>
          <w:tcPr>
            <w:tcW w:w="3117" w:type="dxa"/>
            <w:vAlign w:val="bottom"/>
          </w:tcPr>
          <w:p w14:paraId="641C2BC6" w14:textId="77777777" w:rsidR="00980919" w:rsidRDefault="00980919" w:rsidP="001515D5">
            <w:r>
              <w:t>4.3</w:t>
            </w:r>
          </w:p>
        </w:tc>
        <w:tc>
          <w:tcPr>
            <w:tcW w:w="3117" w:type="dxa"/>
            <w:vAlign w:val="bottom"/>
          </w:tcPr>
          <w:p w14:paraId="27C825AB" w14:textId="77777777" w:rsidR="00980919" w:rsidRDefault="00980919" w:rsidP="001515D5">
            <w:r>
              <w:t>126.3</w:t>
            </w:r>
          </w:p>
        </w:tc>
      </w:tr>
      <w:tr w:rsidR="00980919" w14:paraId="1457CE44" w14:textId="77777777" w:rsidTr="001515D5">
        <w:tc>
          <w:tcPr>
            <w:tcW w:w="3116" w:type="dxa"/>
            <w:vAlign w:val="bottom"/>
          </w:tcPr>
          <w:p w14:paraId="4866D33D" w14:textId="77777777" w:rsidR="00980919" w:rsidRDefault="00980919" w:rsidP="001515D5">
            <w:r>
              <w:t>5/14/22</w:t>
            </w:r>
          </w:p>
        </w:tc>
        <w:tc>
          <w:tcPr>
            <w:tcW w:w="3117" w:type="dxa"/>
            <w:vAlign w:val="bottom"/>
          </w:tcPr>
          <w:p w14:paraId="2BC29DE2" w14:textId="77777777" w:rsidR="00980919" w:rsidRDefault="00980919" w:rsidP="001515D5">
            <w:r>
              <w:t>3.4</w:t>
            </w:r>
          </w:p>
        </w:tc>
        <w:tc>
          <w:tcPr>
            <w:tcW w:w="3117" w:type="dxa"/>
            <w:vAlign w:val="bottom"/>
          </w:tcPr>
          <w:p w14:paraId="642FAEF5" w14:textId="77777777" w:rsidR="00980919" w:rsidRDefault="00980919" w:rsidP="001515D5">
            <w:r>
              <w:t>119.1</w:t>
            </w:r>
          </w:p>
        </w:tc>
      </w:tr>
      <w:tr w:rsidR="00980919" w14:paraId="2431D693" w14:textId="77777777" w:rsidTr="001515D5">
        <w:tc>
          <w:tcPr>
            <w:tcW w:w="3116" w:type="dxa"/>
            <w:vAlign w:val="bottom"/>
          </w:tcPr>
          <w:p w14:paraId="0790B157" w14:textId="77777777" w:rsidR="00980919" w:rsidRDefault="00980919" w:rsidP="001515D5">
            <w:r>
              <w:t>5/21/22</w:t>
            </w:r>
          </w:p>
        </w:tc>
        <w:tc>
          <w:tcPr>
            <w:tcW w:w="3117" w:type="dxa"/>
            <w:vAlign w:val="bottom"/>
          </w:tcPr>
          <w:p w14:paraId="54F017A4" w14:textId="77777777" w:rsidR="00980919" w:rsidRDefault="00980919" w:rsidP="001515D5">
            <w:r>
              <w:t>5.4</w:t>
            </w:r>
          </w:p>
        </w:tc>
        <w:tc>
          <w:tcPr>
            <w:tcW w:w="3117" w:type="dxa"/>
            <w:vAlign w:val="bottom"/>
          </w:tcPr>
          <w:p w14:paraId="19C7E1E5" w14:textId="77777777" w:rsidR="00980919" w:rsidRDefault="00980919" w:rsidP="001515D5">
            <w:r>
              <w:t>187.7</w:t>
            </w:r>
          </w:p>
        </w:tc>
      </w:tr>
      <w:tr w:rsidR="00980919" w14:paraId="7E09F040" w14:textId="77777777" w:rsidTr="001515D5">
        <w:tc>
          <w:tcPr>
            <w:tcW w:w="3116" w:type="dxa"/>
            <w:vAlign w:val="bottom"/>
          </w:tcPr>
          <w:p w14:paraId="27018AB6" w14:textId="77777777" w:rsidR="00980919" w:rsidRDefault="00980919" w:rsidP="001515D5">
            <w:r>
              <w:t>5/28/22</w:t>
            </w:r>
          </w:p>
        </w:tc>
        <w:tc>
          <w:tcPr>
            <w:tcW w:w="3117" w:type="dxa"/>
            <w:vAlign w:val="bottom"/>
          </w:tcPr>
          <w:p w14:paraId="013342A2" w14:textId="77777777" w:rsidR="00980919" w:rsidRDefault="00980919" w:rsidP="001515D5">
            <w:r>
              <w:t>8.9</w:t>
            </w:r>
          </w:p>
        </w:tc>
        <w:tc>
          <w:tcPr>
            <w:tcW w:w="3117" w:type="dxa"/>
            <w:vAlign w:val="bottom"/>
          </w:tcPr>
          <w:p w14:paraId="26900484" w14:textId="77777777" w:rsidR="00980919" w:rsidRDefault="00980919" w:rsidP="001515D5">
            <w:r>
              <w:t>232.0</w:t>
            </w:r>
          </w:p>
        </w:tc>
      </w:tr>
      <w:tr w:rsidR="00980919" w14:paraId="468E2CBE" w14:textId="77777777" w:rsidTr="001515D5">
        <w:tc>
          <w:tcPr>
            <w:tcW w:w="3116" w:type="dxa"/>
            <w:vAlign w:val="bottom"/>
          </w:tcPr>
          <w:p w14:paraId="5E52CAB6" w14:textId="77777777" w:rsidR="00980919" w:rsidRDefault="00980919" w:rsidP="001515D5">
            <w:r>
              <w:t>6/4/22</w:t>
            </w:r>
          </w:p>
        </w:tc>
        <w:tc>
          <w:tcPr>
            <w:tcW w:w="3117" w:type="dxa"/>
            <w:vAlign w:val="bottom"/>
          </w:tcPr>
          <w:p w14:paraId="29378927" w14:textId="77777777" w:rsidR="00980919" w:rsidRDefault="00980919" w:rsidP="001515D5">
            <w:r>
              <w:t>6.3</w:t>
            </w:r>
          </w:p>
        </w:tc>
        <w:tc>
          <w:tcPr>
            <w:tcW w:w="3117" w:type="dxa"/>
            <w:vAlign w:val="bottom"/>
          </w:tcPr>
          <w:p w14:paraId="52955942" w14:textId="77777777" w:rsidR="00980919" w:rsidRDefault="00980919" w:rsidP="001515D5">
            <w:r>
              <w:t>262.6</w:t>
            </w:r>
          </w:p>
        </w:tc>
      </w:tr>
      <w:tr w:rsidR="00980919" w14:paraId="33E6D800" w14:textId="77777777" w:rsidTr="001515D5">
        <w:tc>
          <w:tcPr>
            <w:tcW w:w="3116" w:type="dxa"/>
            <w:vAlign w:val="bottom"/>
          </w:tcPr>
          <w:p w14:paraId="575740DA" w14:textId="77777777" w:rsidR="00980919" w:rsidRDefault="00980919" w:rsidP="001515D5">
            <w:r>
              <w:t>6/11/22</w:t>
            </w:r>
          </w:p>
        </w:tc>
        <w:tc>
          <w:tcPr>
            <w:tcW w:w="3117" w:type="dxa"/>
            <w:vAlign w:val="bottom"/>
          </w:tcPr>
          <w:p w14:paraId="495FBE24" w14:textId="77777777" w:rsidR="00980919" w:rsidRDefault="00980919" w:rsidP="001515D5">
            <w:r>
              <w:t>9.0</w:t>
            </w:r>
          </w:p>
        </w:tc>
        <w:tc>
          <w:tcPr>
            <w:tcW w:w="3117" w:type="dxa"/>
            <w:vAlign w:val="bottom"/>
          </w:tcPr>
          <w:p w14:paraId="790E47D6" w14:textId="77777777" w:rsidR="00980919" w:rsidRDefault="00980919" w:rsidP="001515D5">
            <w:r>
              <w:t>298.3</w:t>
            </w:r>
          </w:p>
        </w:tc>
      </w:tr>
      <w:tr w:rsidR="00980919" w14:paraId="77C8D81D" w14:textId="77777777" w:rsidTr="001515D5">
        <w:tc>
          <w:tcPr>
            <w:tcW w:w="3116" w:type="dxa"/>
            <w:vAlign w:val="bottom"/>
          </w:tcPr>
          <w:p w14:paraId="39F94A32" w14:textId="77777777" w:rsidR="00980919" w:rsidRDefault="00980919" w:rsidP="001515D5">
            <w:r>
              <w:t>6/18/22</w:t>
            </w:r>
          </w:p>
        </w:tc>
        <w:tc>
          <w:tcPr>
            <w:tcW w:w="3117" w:type="dxa"/>
            <w:vAlign w:val="bottom"/>
          </w:tcPr>
          <w:p w14:paraId="2BA043F8" w14:textId="77777777" w:rsidR="00980919" w:rsidRDefault="00980919" w:rsidP="001515D5">
            <w:r>
              <w:t>8.3</w:t>
            </w:r>
          </w:p>
        </w:tc>
        <w:tc>
          <w:tcPr>
            <w:tcW w:w="3117" w:type="dxa"/>
            <w:vAlign w:val="bottom"/>
          </w:tcPr>
          <w:p w14:paraId="3E5C58D6" w14:textId="77777777" w:rsidR="00980919" w:rsidRDefault="00980919" w:rsidP="001515D5">
            <w:r>
              <w:t>264.9</w:t>
            </w:r>
          </w:p>
        </w:tc>
      </w:tr>
      <w:tr w:rsidR="00980919" w14:paraId="6C2FA0B8" w14:textId="77777777" w:rsidTr="001515D5">
        <w:tc>
          <w:tcPr>
            <w:tcW w:w="3116" w:type="dxa"/>
            <w:vAlign w:val="bottom"/>
          </w:tcPr>
          <w:p w14:paraId="6F17D096" w14:textId="77777777" w:rsidR="00980919" w:rsidRDefault="00980919" w:rsidP="001515D5">
            <w:r>
              <w:t>6/25/22</w:t>
            </w:r>
          </w:p>
        </w:tc>
        <w:tc>
          <w:tcPr>
            <w:tcW w:w="3117" w:type="dxa"/>
            <w:vAlign w:val="bottom"/>
          </w:tcPr>
          <w:p w14:paraId="7FA9F4A9" w14:textId="77777777" w:rsidR="00980919" w:rsidRDefault="00980919" w:rsidP="001515D5">
            <w:r>
              <w:t>11.3</w:t>
            </w:r>
          </w:p>
        </w:tc>
        <w:tc>
          <w:tcPr>
            <w:tcW w:w="3117" w:type="dxa"/>
            <w:vAlign w:val="bottom"/>
          </w:tcPr>
          <w:p w14:paraId="361C066F" w14:textId="77777777" w:rsidR="00980919" w:rsidRDefault="00980919" w:rsidP="001515D5">
            <w:r>
              <w:t>279.0</w:t>
            </w:r>
          </w:p>
        </w:tc>
      </w:tr>
      <w:tr w:rsidR="00980919" w14:paraId="27CE0071" w14:textId="77777777" w:rsidTr="001515D5">
        <w:tc>
          <w:tcPr>
            <w:tcW w:w="3116" w:type="dxa"/>
            <w:vAlign w:val="bottom"/>
          </w:tcPr>
          <w:p w14:paraId="7A35AF39" w14:textId="77777777" w:rsidR="00980919" w:rsidRDefault="00980919" w:rsidP="001515D5">
            <w:r>
              <w:t>7/2/22</w:t>
            </w:r>
          </w:p>
        </w:tc>
        <w:tc>
          <w:tcPr>
            <w:tcW w:w="3117" w:type="dxa"/>
            <w:vAlign w:val="bottom"/>
          </w:tcPr>
          <w:p w14:paraId="78900BA0" w14:textId="77777777" w:rsidR="00980919" w:rsidRDefault="00980919" w:rsidP="001515D5">
            <w:r>
              <w:t>14.7</w:t>
            </w:r>
          </w:p>
        </w:tc>
        <w:tc>
          <w:tcPr>
            <w:tcW w:w="3117" w:type="dxa"/>
            <w:vAlign w:val="bottom"/>
          </w:tcPr>
          <w:p w14:paraId="491AE4F2" w14:textId="77777777" w:rsidR="00980919" w:rsidRDefault="00980919" w:rsidP="001515D5">
            <w:r>
              <w:t>321.9</w:t>
            </w:r>
          </w:p>
        </w:tc>
      </w:tr>
      <w:tr w:rsidR="00980919" w14:paraId="3F803896" w14:textId="77777777" w:rsidTr="001515D5">
        <w:tc>
          <w:tcPr>
            <w:tcW w:w="3116" w:type="dxa"/>
            <w:vAlign w:val="bottom"/>
          </w:tcPr>
          <w:p w14:paraId="24F3B170" w14:textId="77777777" w:rsidR="00980919" w:rsidRDefault="00980919" w:rsidP="001515D5">
            <w:r>
              <w:t>7/9/22</w:t>
            </w:r>
          </w:p>
        </w:tc>
        <w:tc>
          <w:tcPr>
            <w:tcW w:w="3117" w:type="dxa"/>
            <w:vAlign w:val="bottom"/>
          </w:tcPr>
          <w:p w14:paraId="33EAECFB" w14:textId="77777777" w:rsidR="00980919" w:rsidRDefault="00980919" w:rsidP="001515D5">
            <w:r>
              <w:t>12.0</w:t>
            </w:r>
          </w:p>
        </w:tc>
        <w:tc>
          <w:tcPr>
            <w:tcW w:w="3117" w:type="dxa"/>
            <w:vAlign w:val="bottom"/>
          </w:tcPr>
          <w:p w14:paraId="5692241C" w14:textId="77777777" w:rsidR="00980919" w:rsidRDefault="00980919" w:rsidP="001515D5">
            <w:r>
              <w:t>419.6</w:t>
            </w:r>
          </w:p>
        </w:tc>
      </w:tr>
      <w:tr w:rsidR="00980919" w14:paraId="4CC3972D" w14:textId="77777777" w:rsidTr="001515D5">
        <w:tc>
          <w:tcPr>
            <w:tcW w:w="3116" w:type="dxa"/>
            <w:vAlign w:val="bottom"/>
          </w:tcPr>
          <w:p w14:paraId="3507BA58" w14:textId="77777777" w:rsidR="00980919" w:rsidRDefault="00980919" w:rsidP="001515D5">
            <w:r>
              <w:t>7/16/22</w:t>
            </w:r>
          </w:p>
        </w:tc>
        <w:tc>
          <w:tcPr>
            <w:tcW w:w="3117" w:type="dxa"/>
            <w:vAlign w:val="bottom"/>
          </w:tcPr>
          <w:p w14:paraId="0484925F" w14:textId="77777777" w:rsidR="00980919" w:rsidRDefault="00980919" w:rsidP="001515D5">
            <w:r>
              <w:t>15.4</w:t>
            </w:r>
          </w:p>
        </w:tc>
        <w:tc>
          <w:tcPr>
            <w:tcW w:w="3117" w:type="dxa"/>
            <w:vAlign w:val="bottom"/>
          </w:tcPr>
          <w:p w14:paraId="6CEFF62A" w14:textId="77777777" w:rsidR="00980919" w:rsidRDefault="00980919" w:rsidP="001515D5">
            <w:r>
              <w:t>475.3</w:t>
            </w:r>
          </w:p>
        </w:tc>
      </w:tr>
      <w:tr w:rsidR="00980919" w14:paraId="30FF2C34" w14:textId="77777777" w:rsidTr="001515D5">
        <w:tc>
          <w:tcPr>
            <w:tcW w:w="3116" w:type="dxa"/>
            <w:vAlign w:val="bottom"/>
          </w:tcPr>
          <w:p w14:paraId="068B852C" w14:textId="77777777" w:rsidR="00980919" w:rsidRDefault="00980919" w:rsidP="001515D5">
            <w:r>
              <w:t>7/23/22</w:t>
            </w:r>
          </w:p>
        </w:tc>
        <w:tc>
          <w:tcPr>
            <w:tcW w:w="3117" w:type="dxa"/>
            <w:vAlign w:val="bottom"/>
          </w:tcPr>
          <w:p w14:paraId="3180AB13" w14:textId="77777777" w:rsidR="00980919" w:rsidRDefault="00980919" w:rsidP="001515D5">
            <w:r>
              <w:t>23.1</w:t>
            </w:r>
          </w:p>
        </w:tc>
        <w:tc>
          <w:tcPr>
            <w:tcW w:w="3117" w:type="dxa"/>
            <w:vAlign w:val="bottom"/>
          </w:tcPr>
          <w:p w14:paraId="302FB352" w14:textId="77777777" w:rsidR="00980919" w:rsidRDefault="00980919" w:rsidP="001515D5">
            <w:r>
              <w:t>537.4</w:t>
            </w:r>
          </w:p>
        </w:tc>
      </w:tr>
      <w:tr w:rsidR="00980919" w14:paraId="129E8DE4" w14:textId="77777777" w:rsidTr="001515D5">
        <w:tc>
          <w:tcPr>
            <w:tcW w:w="3116" w:type="dxa"/>
            <w:vAlign w:val="bottom"/>
          </w:tcPr>
          <w:p w14:paraId="484F9172" w14:textId="77777777" w:rsidR="00980919" w:rsidRDefault="00980919" w:rsidP="001515D5">
            <w:r>
              <w:t>7/30/22</w:t>
            </w:r>
          </w:p>
        </w:tc>
        <w:tc>
          <w:tcPr>
            <w:tcW w:w="3117" w:type="dxa"/>
            <w:vAlign w:val="bottom"/>
          </w:tcPr>
          <w:p w14:paraId="2F8B91FD" w14:textId="77777777" w:rsidR="00980919" w:rsidRDefault="00980919" w:rsidP="001515D5">
            <w:r>
              <w:t>23.4</w:t>
            </w:r>
          </w:p>
        </w:tc>
        <w:tc>
          <w:tcPr>
            <w:tcW w:w="3117" w:type="dxa"/>
            <w:vAlign w:val="bottom"/>
          </w:tcPr>
          <w:p w14:paraId="186C6D01" w14:textId="77777777" w:rsidR="00980919" w:rsidRDefault="00980919" w:rsidP="001515D5">
            <w:r>
              <w:t>607.7</w:t>
            </w:r>
          </w:p>
        </w:tc>
      </w:tr>
      <w:tr w:rsidR="00980919" w14:paraId="5B14456E" w14:textId="77777777" w:rsidTr="001515D5">
        <w:tc>
          <w:tcPr>
            <w:tcW w:w="3116" w:type="dxa"/>
            <w:vAlign w:val="bottom"/>
          </w:tcPr>
          <w:p w14:paraId="67B62517" w14:textId="77777777" w:rsidR="00980919" w:rsidRDefault="00980919" w:rsidP="001515D5">
            <w:r>
              <w:t>8/6/22</w:t>
            </w:r>
          </w:p>
        </w:tc>
        <w:tc>
          <w:tcPr>
            <w:tcW w:w="3117" w:type="dxa"/>
            <w:vAlign w:val="bottom"/>
          </w:tcPr>
          <w:p w14:paraId="51B9C536" w14:textId="77777777" w:rsidR="00980919" w:rsidRDefault="00980919" w:rsidP="001515D5">
            <w:r>
              <w:t>25.3</w:t>
            </w:r>
          </w:p>
        </w:tc>
        <w:tc>
          <w:tcPr>
            <w:tcW w:w="3117" w:type="dxa"/>
            <w:vAlign w:val="bottom"/>
          </w:tcPr>
          <w:p w14:paraId="5ECF8AFF" w14:textId="77777777" w:rsidR="00980919" w:rsidRDefault="00980919" w:rsidP="001515D5">
            <w:r>
              <w:t>619.3</w:t>
            </w:r>
          </w:p>
        </w:tc>
      </w:tr>
      <w:tr w:rsidR="00980919" w14:paraId="255572A8" w14:textId="77777777" w:rsidTr="001515D5">
        <w:tc>
          <w:tcPr>
            <w:tcW w:w="3116" w:type="dxa"/>
            <w:vAlign w:val="bottom"/>
          </w:tcPr>
          <w:p w14:paraId="33B88346" w14:textId="77777777" w:rsidR="00980919" w:rsidRDefault="00980919" w:rsidP="001515D5">
            <w:r>
              <w:t>8/13/22</w:t>
            </w:r>
          </w:p>
        </w:tc>
        <w:tc>
          <w:tcPr>
            <w:tcW w:w="3117" w:type="dxa"/>
            <w:vAlign w:val="bottom"/>
          </w:tcPr>
          <w:p w14:paraId="4890E700" w14:textId="77777777" w:rsidR="00980919" w:rsidRDefault="00980919" w:rsidP="001515D5">
            <w:r>
              <w:t>28.3</w:t>
            </w:r>
          </w:p>
        </w:tc>
        <w:tc>
          <w:tcPr>
            <w:tcW w:w="3117" w:type="dxa"/>
            <w:vAlign w:val="bottom"/>
          </w:tcPr>
          <w:p w14:paraId="79FACB48" w14:textId="77777777" w:rsidR="00980919" w:rsidRDefault="00980919" w:rsidP="001515D5">
            <w:r>
              <w:t>624.7</w:t>
            </w:r>
          </w:p>
        </w:tc>
      </w:tr>
      <w:tr w:rsidR="00980919" w14:paraId="268E8E01" w14:textId="77777777" w:rsidTr="001515D5">
        <w:tc>
          <w:tcPr>
            <w:tcW w:w="3116" w:type="dxa"/>
            <w:vAlign w:val="bottom"/>
          </w:tcPr>
          <w:p w14:paraId="5A1C6747" w14:textId="77777777" w:rsidR="00980919" w:rsidRDefault="00980919" w:rsidP="001515D5">
            <w:r>
              <w:t>8/20/22</w:t>
            </w:r>
          </w:p>
        </w:tc>
        <w:tc>
          <w:tcPr>
            <w:tcW w:w="3117" w:type="dxa"/>
            <w:vAlign w:val="bottom"/>
          </w:tcPr>
          <w:p w14:paraId="0EB2FD3E" w14:textId="77777777" w:rsidR="00980919" w:rsidRDefault="00980919" w:rsidP="001515D5">
            <w:r>
              <w:t>31.7</w:t>
            </w:r>
          </w:p>
        </w:tc>
        <w:tc>
          <w:tcPr>
            <w:tcW w:w="3117" w:type="dxa"/>
            <w:vAlign w:val="bottom"/>
          </w:tcPr>
          <w:p w14:paraId="03A9DCF6" w14:textId="77777777" w:rsidR="00980919" w:rsidRDefault="00980919" w:rsidP="001515D5">
            <w:r>
              <w:t>585.1</w:t>
            </w:r>
          </w:p>
        </w:tc>
      </w:tr>
      <w:tr w:rsidR="00980919" w14:paraId="23C3CA8B" w14:textId="77777777" w:rsidTr="001515D5">
        <w:tc>
          <w:tcPr>
            <w:tcW w:w="3116" w:type="dxa"/>
            <w:vAlign w:val="bottom"/>
          </w:tcPr>
          <w:p w14:paraId="45EA7E86" w14:textId="77777777" w:rsidR="00980919" w:rsidRDefault="00980919" w:rsidP="001515D5">
            <w:r>
              <w:t>8/27/22</w:t>
            </w:r>
          </w:p>
        </w:tc>
        <w:tc>
          <w:tcPr>
            <w:tcW w:w="3117" w:type="dxa"/>
            <w:vAlign w:val="bottom"/>
          </w:tcPr>
          <w:p w14:paraId="5004C36E" w14:textId="77777777" w:rsidR="00980919" w:rsidRDefault="00980919" w:rsidP="001515D5">
            <w:r>
              <w:t>26.4</w:t>
            </w:r>
          </w:p>
        </w:tc>
        <w:tc>
          <w:tcPr>
            <w:tcW w:w="3117" w:type="dxa"/>
            <w:vAlign w:val="bottom"/>
          </w:tcPr>
          <w:p w14:paraId="61CA2A40" w14:textId="77777777" w:rsidR="00980919" w:rsidRDefault="00980919" w:rsidP="001515D5">
            <w:r>
              <w:t>533.6</w:t>
            </w:r>
          </w:p>
        </w:tc>
      </w:tr>
      <w:tr w:rsidR="00980919" w14:paraId="412F17F9" w14:textId="77777777" w:rsidTr="001515D5">
        <w:tc>
          <w:tcPr>
            <w:tcW w:w="3116" w:type="dxa"/>
            <w:vAlign w:val="bottom"/>
          </w:tcPr>
          <w:p w14:paraId="293E028D" w14:textId="77777777" w:rsidR="00980919" w:rsidRDefault="00980919" w:rsidP="001515D5">
            <w:r>
              <w:t>9/3/22</w:t>
            </w:r>
          </w:p>
        </w:tc>
        <w:tc>
          <w:tcPr>
            <w:tcW w:w="3117" w:type="dxa"/>
            <w:vAlign w:val="bottom"/>
          </w:tcPr>
          <w:p w14:paraId="4AF49CB6" w14:textId="77777777" w:rsidR="00980919" w:rsidRDefault="00980919" w:rsidP="001515D5">
            <w:r>
              <w:t>17.9</w:t>
            </w:r>
          </w:p>
        </w:tc>
        <w:tc>
          <w:tcPr>
            <w:tcW w:w="3117" w:type="dxa"/>
            <w:vAlign w:val="bottom"/>
          </w:tcPr>
          <w:p w14:paraId="252CC284" w14:textId="77777777" w:rsidR="00980919" w:rsidRDefault="00980919" w:rsidP="001515D5">
            <w:r>
              <w:t>516.0</w:t>
            </w:r>
          </w:p>
        </w:tc>
      </w:tr>
      <w:tr w:rsidR="00980919" w14:paraId="60CDC49C" w14:textId="77777777" w:rsidTr="001515D5">
        <w:tc>
          <w:tcPr>
            <w:tcW w:w="3116" w:type="dxa"/>
            <w:vAlign w:val="bottom"/>
          </w:tcPr>
          <w:p w14:paraId="46B77303" w14:textId="77777777" w:rsidR="00980919" w:rsidRDefault="00980919" w:rsidP="001515D5">
            <w:r>
              <w:t>9/10/22</w:t>
            </w:r>
          </w:p>
        </w:tc>
        <w:tc>
          <w:tcPr>
            <w:tcW w:w="3117" w:type="dxa"/>
            <w:vAlign w:val="bottom"/>
          </w:tcPr>
          <w:p w14:paraId="06C425D7" w14:textId="77777777" w:rsidR="00980919" w:rsidRDefault="00980919" w:rsidP="001515D5">
            <w:r>
              <w:t>12.9</w:t>
            </w:r>
          </w:p>
        </w:tc>
        <w:tc>
          <w:tcPr>
            <w:tcW w:w="3117" w:type="dxa"/>
            <w:vAlign w:val="bottom"/>
          </w:tcPr>
          <w:p w14:paraId="2DEC643A" w14:textId="77777777" w:rsidR="00980919" w:rsidRDefault="00980919" w:rsidP="001515D5">
            <w:r>
              <w:t>483.0</w:t>
            </w:r>
          </w:p>
        </w:tc>
      </w:tr>
      <w:tr w:rsidR="00980919" w14:paraId="102FBF7B" w14:textId="77777777" w:rsidTr="001515D5">
        <w:tc>
          <w:tcPr>
            <w:tcW w:w="3116" w:type="dxa"/>
            <w:vAlign w:val="bottom"/>
          </w:tcPr>
          <w:p w14:paraId="50FC6FB6" w14:textId="77777777" w:rsidR="00980919" w:rsidRDefault="00980919" w:rsidP="001515D5">
            <w:r>
              <w:t>9/17/22</w:t>
            </w:r>
          </w:p>
        </w:tc>
        <w:tc>
          <w:tcPr>
            <w:tcW w:w="3117" w:type="dxa"/>
            <w:vAlign w:val="bottom"/>
          </w:tcPr>
          <w:p w14:paraId="7F566730" w14:textId="77777777" w:rsidR="00980919" w:rsidRDefault="00980919" w:rsidP="001515D5">
            <w:r>
              <w:t>17.4</w:t>
            </w:r>
          </w:p>
        </w:tc>
        <w:tc>
          <w:tcPr>
            <w:tcW w:w="3117" w:type="dxa"/>
            <w:vAlign w:val="bottom"/>
          </w:tcPr>
          <w:p w14:paraId="30C1A6FB" w14:textId="77777777" w:rsidR="00980919" w:rsidRDefault="00980919" w:rsidP="001515D5">
            <w:r>
              <w:t>398.7</w:t>
            </w:r>
          </w:p>
        </w:tc>
      </w:tr>
    </w:tbl>
    <w:p w14:paraId="12D1926D" w14:textId="77777777" w:rsidR="00980919" w:rsidRPr="00CF106E" w:rsidRDefault="00980919" w:rsidP="00980919">
      <w:r w:rsidRPr="00CF106E">
        <w:t xml:space="preserve">Source: COVID-19 hospitalization data and other key information are obtained through the federally mandated TeleTracking system. </w:t>
      </w:r>
    </w:p>
    <w:p w14:paraId="0CEB10AE" w14:textId="77777777" w:rsidR="00980919" w:rsidRPr="00CF106E" w:rsidRDefault="00980919" w:rsidP="00980919">
      <w:r w:rsidRPr="00CF106E">
        <w:lastRenderedPageBreak/>
        <w:t xml:space="preserve">Notes: Data as of September 17, 2022. </w:t>
      </w:r>
    </w:p>
    <w:p w14:paraId="30EB95B7" w14:textId="77777777" w:rsidR="00980919" w:rsidRDefault="00980919" w:rsidP="00980919">
      <w:r w:rsidRPr="00CF106E">
        <w:t>*TeleTracking system was implemented in August 2020. Therefore, hospitalization data prior to August 2020 cannot be shown due to data limitation.</w:t>
      </w:r>
    </w:p>
    <w:p w14:paraId="7A39092E" w14:textId="77777777" w:rsidR="00980919" w:rsidRDefault="00980919" w:rsidP="00980919"/>
    <w:p w14:paraId="58DB514A" w14:textId="77777777" w:rsidR="00980919" w:rsidRDefault="00980919" w:rsidP="00980919">
      <w:pPr>
        <w:pStyle w:val="Heading4"/>
      </w:pPr>
      <w:bookmarkStart w:id="387" w:name="_Toc154569862"/>
      <w:bookmarkStart w:id="388" w:name="_Toc162267251"/>
      <w:r>
        <w:t>Figure 6.54: Frequently Reported Comorbities with COVID-19.</w:t>
      </w:r>
      <w:bookmarkEnd w:id="387"/>
      <w:bookmarkEnd w:id="388"/>
    </w:p>
    <w:p w14:paraId="70CA6C7B" w14:textId="77777777" w:rsidR="00980919" w:rsidRDefault="00980919" w:rsidP="00980919">
      <w:pPr>
        <w:pStyle w:val="Heading5"/>
      </w:pPr>
      <w:r>
        <w:t>All Cases.</w:t>
      </w:r>
    </w:p>
    <w:tbl>
      <w:tblPr>
        <w:tblStyle w:val="TableGrid"/>
        <w:tblW w:w="0" w:type="auto"/>
        <w:tblLook w:val="04A0" w:firstRow="1" w:lastRow="0" w:firstColumn="1" w:lastColumn="0" w:noHBand="0" w:noVBand="1"/>
      </w:tblPr>
      <w:tblGrid>
        <w:gridCol w:w="4675"/>
        <w:gridCol w:w="4675"/>
      </w:tblGrid>
      <w:tr w:rsidR="00980919" w14:paraId="18913008" w14:textId="77777777" w:rsidTr="001515D5">
        <w:tc>
          <w:tcPr>
            <w:tcW w:w="4675" w:type="dxa"/>
          </w:tcPr>
          <w:p w14:paraId="20B09A67" w14:textId="77777777" w:rsidR="00980919" w:rsidRPr="00CF106E" w:rsidRDefault="00980919" w:rsidP="001515D5">
            <w:r w:rsidRPr="00CF106E">
              <w:t>Comorbidity</w:t>
            </w:r>
          </w:p>
        </w:tc>
        <w:tc>
          <w:tcPr>
            <w:tcW w:w="4675" w:type="dxa"/>
          </w:tcPr>
          <w:p w14:paraId="322034AA" w14:textId="77777777" w:rsidR="00980919" w:rsidRPr="00CF106E" w:rsidRDefault="00980919" w:rsidP="001515D5">
            <w:r w:rsidRPr="00CF106E">
              <w:t>Percent</w:t>
            </w:r>
          </w:p>
        </w:tc>
      </w:tr>
      <w:tr w:rsidR="00980919" w14:paraId="7672351B" w14:textId="77777777" w:rsidTr="001515D5">
        <w:tc>
          <w:tcPr>
            <w:tcW w:w="4675" w:type="dxa"/>
            <w:vAlign w:val="bottom"/>
          </w:tcPr>
          <w:p w14:paraId="14EC6752" w14:textId="77777777" w:rsidR="00980919" w:rsidRPr="00CF106E" w:rsidRDefault="00980919" w:rsidP="001515D5">
            <w:r w:rsidRPr="00CF106E">
              <w:t>Cardiovascular Disease</w:t>
            </w:r>
          </w:p>
        </w:tc>
        <w:tc>
          <w:tcPr>
            <w:tcW w:w="4675" w:type="dxa"/>
            <w:vAlign w:val="bottom"/>
          </w:tcPr>
          <w:p w14:paraId="4C44620C" w14:textId="77777777" w:rsidR="00980919" w:rsidRPr="00CF106E" w:rsidRDefault="00980919" w:rsidP="001515D5">
            <w:r w:rsidRPr="00CF106E">
              <w:t>28.2%</w:t>
            </w:r>
          </w:p>
        </w:tc>
      </w:tr>
      <w:tr w:rsidR="00980919" w14:paraId="4E7AF696" w14:textId="77777777" w:rsidTr="001515D5">
        <w:tc>
          <w:tcPr>
            <w:tcW w:w="4675" w:type="dxa"/>
            <w:vAlign w:val="bottom"/>
          </w:tcPr>
          <w:p w14:paraId="166C4958" w14:textId="77777777" w:rsidR="00980919" w:rsidRPr="00CF106E" w:rsidRDefault="00980919" w:rsidP="001515D5">
            <w:r w:rsidRPr="00CF106E">
              <w:t>Diabetes</w:t>
            </w:r>
          </w:p>
        </w:tc>
        <w:tc>
          <w:tcPr>
            <w:tcW w:w="4675" w:type="dxa"/>
            <w:vAlign w:val="bottom"/>
          </w:tcPr>
          <w:p w14:paraId="53466419" w14:textId="77777777" w:rsidR="00980919" w:rsidRPr="00CF106E" w:rsidRDefault="00980919" w:rsidP="001515D5">
            <w:r w:rsidRPr="00CF106E">
              <w:t>24.5%</w:t>
            </w:r>
          </w:p>
        </w:tc>
      </w:tr>
      <w:tr w:rsidR="00980919" w14:paraId="67A4A65D" w14:textId="77777777" w:rsidTr="001515D5">
        <w:tc>
          <w:tcPr>
            <w:tcW w:w="4675" w:type="dxa"/>
            <w:vAlign w:val="bottom"/>
          </w:tcPr>
          <w:p w14:paraId="5E52BAB9" w14:textId="77777777" w:rsidR="00980919" w:rsidRPr="00CF106E" w:rsidRDefault="00980919" w:rsidP="001515D5">
            <w:r w:rsidRPr="00CF106E">
              <w:t>Asthma</w:t>
            </w:r>
          </w:p>
        </w:tc>
        <w:tc>
          <w:tcPr>
            <w:tcW w:w="4675" w:type="dxa"/>
            <w:vAlign w:val="bottom"/>
          </w:tcPr>
          <w:p w14:paraId="26D22A11" w14:textId="77777777" w:rsidR="00980919" w:rsidRPr="00CF106E" w:rsidRDefault="00980919" w:rsidP="001515D5">
            <w:r w:rsidRPr="00CF106E">
              <w:t>19.6%</w:t>
            </w:r>
          </w:p>
        </w:tc>
      </w:tr>
    </w:tbl>
    <w:p w14:paraId="328F35F9" w14:textId="77777777" w:rsidR="00980919" w:rsidRDefault="00980919" w:rsidP="00980919">
      <w:pPr>
        <w:pStyle w:val="Heading5"/>
      </w:pPr>
      <w:r>
        <w:t>Hospitalized Cases.</w:t>
      </w:r>
    </w:p>
    <w:tbl>
      <w:tblPr>
        <w:tblStyle w:val="TableGrid"/>
        <w:tblW w:w="0" w:type="auto"/>
        <w:tblLook w:val="04A0" w:firstRow="1" w:lastRow="0" w:firstColumn="1" w:lastColumn="0" w:noHBand="0" w:noVBand="1"/>
      </w:tblPr>
      <w:tblGrid>
        <w:gridCol w:w="4675"/>
        <w:gridCol w:w="4675"/>
      </w:tblGrid>
      <w:tr w:rsidR="00980919" w14:paraId="4E0893D8" w14:textId="77777777" w:rsidTr="001515D5">
        <w:tc>
          <w:tcPr>
            <w:tcW w:w="4675" w:type="dxa"/>
          </w:tcPr>
          <w:p w14:paraId="3B16526C" w14:textId="77777777" w:rsidR="00980919" w:rsidRPr="00CF106E" w:rsidRDefault="00980919" w:rsidP="001515D5">
            <w:r w:rsidRPr="00CF106E">
              <w:t>Comorbidity</w:t>
            </w:r>
          </w:p>
        </w:tc>
        <w:tc>
          <w:tcPr>
            <w:tcW w:w="4675" w:type="dxa"/>
          </w:tcPr>
          <w:p w14:paraId="6264BF37" w14:textId="77777777" w:rsidR="00980919" w:rsidRPr="00CF106E" w:rsidRDefault="00980919" w:rsidP="001515D5">
            <w:r w:rsidRPr="00CF106E">
              <w:t>Percent</w:t>
            </w:r>
          </w:p>
        </w:tc>
      </w:tr>
      <w:tr w:rsidR="00980919" w14:paraId="5CF2556D" w14:textId="77777777" w:rsidTr="001515D5">
        <w:tc>
          <w:tcPr>
            <w:tcW w:w="4675" w:type="dxa"/>
            <w:vAlign w:val="bottom"/>
          </w:tcPr>
          <w:p w14:paraId="3A1CB0C4" w14:textId="77777777" w:rsidR="00980919" w:rsidRPr="00CF106E" w:rsidRDefault="00980919" w:rsidP="001515D5">
            <w:r>
              <w:t>Cardiovascular Disease</w:t>
            </w:r>
          </w:p>
        </w:tc>
        <w:tc>
          <w:tcPr>
            <w:tcW w:w="4675" w:type="dxa"/>
            <w:vAlign w:val="bottom"/>
          </w:tcPr>
          <w:p w14:paraId="79B62D3C" w14:textId="77777777" w:rsidR="00980919" w:rsidRPr="00CF106E" w:rsidRDefault="00980919" w:rsidP="001515D5">
            <w:r>
              <w:t>54.7%</w:t>
            </w:r>
          </w:p>
        </w:tc>
      </w:tr>
      <w:tr w:rsidR="00980919" w14:paraId="6A9E5A57" w14:textId="77777777" w:rsidTr="001515D5">
        <w:tc>
          <w:tcPr>
            <w:tcW w:w="4675" w:type="dxa"/>
            <w:vAlign w:val="bottom"/>
          </w:tcPr>
          <w:p w14:paraId="57C40F63" w14:textId="77777777" w:rsidR="00980919" w:rsidRPr="00CF106E" w:rsidRDefault="00980919" w:rsidP="001515D5">
            <w:r>
              <w:t>Diabetes</w:t>
            </w:r>
          </w:p>
        </w:tc>
        <w:tc>
          <w:tcPr>
            <w:tcW w:w="4675" w:type="dxa"/>
            <w:vAlign w:val="bottom"/>
          </w:tcPr>
          <w:p w14:paraId="178F2C2C" w14:textId="77777777" w:rsidR="00980919" w:rsidRPr="00CF106E" w:rsidRDefault="00980919" w:rsidP="001515D5">
            <w:r>
              <w:t>45.1%</w:t>
            </w:r>
          </w:p>
        </w:tc>
      </w:tr>
      <w:tr w:rsidR="00980919" w14:paraId="4079C401" w14:textId="77777777" w:rsidTr="001515D5">
        <w:tc>
          <w:tcPr>
            <w:tcW w:w="4675" w:type="dxa"/>
            <w:vAlign w:val="bottom"/>
          </w:tcPr>
          <w:p w14:paraId="57FCAAF3" w14:textId="77777777" w:rsidR="00980919" w:rsidRPr="00CF106E" w:rsidRDefault="00980919" w:rsidP="001515D5">
            <w:r>
              <w:t>COPD</w:t>
            </w:r>
          </w:p>
        </w:tc>
        <w:tc>
          <w:tcPr>
            <w:tcW w:w="4675" w:type="dxa"/>
            <w:vAlign w:val="bottom"/>
          </w:tcPr>
          <w:p w14:paraId="133702F9" w14:textId="77777777" w:rsidR="00980919" w:rsidRPr="00CF106E" w:rsidRDefault="00980919" w:rsidP="001515D5">
            <w:r>
              <w:t>22.2%</w:t>
            </w:r>
          </w:p>
        </w:tc>
      </w:tr>
    </w:tbl>
    <w:p w14:paraId="1A612106" w14:textId="77777777" w:rsidR="00980919" w:rsidRDefault="00980919" w:rsidP="00980919">
      <w:pPr>
        <w:pStyle w:val="Heading5"/>
      </w:pPr>
      <w:r>
        <w:t>Deaths.</w:t>
      </w:r>
    </w:p>
    <w:tbl>
      <w:tblPr>
        <w:tblStyle w:val="TableGrid"/>
        <w:tblW w:w="0" w:type="auto"/>
        <w:tblLook w:val="04A0" w:firstRow="1" w:lastRow="0" w:firstColumn="1" w:lastColumn="0" w:noHBand="0" w:noVBand="1"/>
      </w:tblPr>
      <w:tblGrid>
        <w:gridCol w:w="4675"/>
        <w:gridCol w:w="4675"/>
      </w:tblGrid>
      <w:tr w:rsidR="00980919" w14:paraId="7567ACB4" w14:textId="77777777" w:rsidTr="001515D5">
        <w:tc>
          <w:tcPr>
            <w:tcW w:w="4675" w:type="dxa"/>
          </w:tcPr>
          <w:p w14:paraId="1B3CA1AC" w14:textId="77777777" w:rsidR="00980919" w:rsidRPr="00CF106E" w:rsidRDefault="00980919" w:rsidP="001515D5">
            <w:r w:rsidRPr="00CF106E">
              <w:t>Comorbidity</w:t>
            </w:r>
          </w:p>
        </w:tc>
        <w:tc>
          <w:tcPr>
            <w:tcW w:w="4675" w:type="dxa"/>
          </w:tcPr>
          <w:p w14:paraId="001309B2" w14:textId="77777777" w:rsidR="00980919" w:rsidRPr="00CF106E" w:rsidRDefault="00980919" w:rsidP="001515D5">
            <w:r w:rsidRPr="00CF106E">
              <w:t>Percent</w:t>
            </w:r>
          </w:p>
        </w:tc>
      </w:tr>
      <w:tr w:rsidR="00980919" w14:paraId="360D421E" w14:textId="77777777" w:rsidTr="001515D5">
        <w:tc>
          <w:tcPr>
            <w:tcW w:w="4675" w:type="dxa"/>
            <w:vAlign w:val="bottom"/>
          </w:tcPr>
          <w:p w14:paraId="25597AB1" w14:textId="77777777" w:rsidR="00980919" w:rsidRPr="00CF106E" w:rsidRDefault="00980919" w:rsidP="001515D5">
            <w:r>
              <w:t>Cardiovascular Disease</w:t>
            </w:r>
          </w:p>
        </w:tc>
        <w:tc>
          <w:tcPr>
            <w:tcW w:w="4675" w:type="dxa"/>
            <w:vAlign w:val="bottom"/>
          </w:tcPr>
          <w:p w14:paraId="74C49ECE" w14:textId="77777777" w:rsidR="00980919" w:rsidRPr="00CF106E" w:rsidRDefault="00980919" w:rsidP="001515D5">
            <w:r>
              <w:t>62.0%</w:t>
            </w:r>
          </w:p>
        </w:tc>
      </w:tr>
      <w:tr w:rsidR="00980919" w14:paraId="20FD2CE4" w14:textId="77777777" w:rsidTr="001515D5">
        <w:tc>
          <w:tcPr>
            <w:tcW w:w="4675" w:type="dxa"/>
            <w:vAlign w:val="bottom"/>
          </w:tcPr>
          <w:p w14:paraId="35AE4759" w14:textId="77777777" w:rsidR="00980919" w:rsidRPr="00CF106E" w:rsidRDefault="00980919" w:rsidP="001515D5">
            <w:r>
              <w:t>Diabetes</w:t>
            </w:r>
          </w:p>
        </w:tc>
        <w:tc>
          <w:tcPr>
            <w:tcW w:w="4675" w:type="dxa"/>
            <w:vAlign w:val="bottom"/>
          </w:tcPr>
          <w:p w14:paraId="79F401FC" w14:textId="77777777" w:rsidR="00980919" w:rsidRPr="00CF106E" w:rsidRDefault="00980919" w:rsidP="001515D5">
            <w:r>
              <w:t>47.3%</w:t>
            </w:r>
          </w:p>
        </w:tc>
      </w:tr>
      <w:tr w:rsidR="00980919" w14:paraId="3F860A17" w14:textId="77777777" w:rsidTr="001515D5">
        <w:tc>
          <w:tcPr>
            <w:tcW w:w="4675" w:type="dxa"/>
            <w:vAlign w:val="bottom"/>
          </w:tcPr>
          <w:p w14:paraId="2BAFE28C" w14:textId="77777777" w:rsidR="00980919" w:rsidRPr="00CF106E" w:rsidRDefault="00980919" w:rsidP="001515D5">
            <w:r>
              <w:t>COPD</w:t>
            </w:r>
          </w:p>
        </w:tc>
        <w:tc>
          <w:tcPr>
            <w:tcW w:w="4675" w:type="dxa"/>
            <w:vAlign w:val="bottom"/>
          </w:tcPr>
          <w:p w14:paraId="1592E5C9" w14:textId="77777777" w:rsidR="00980919" w:rsidRPr="00CF106E" w:rsidRDefault="00980919" w:rsidP="001515D5">
            <w:r>
              <w:t>25.1%</w:t>
            </w:r>
          </w:p>
        </w:tc>
      </w:tr>
    </w:tbl>
    <w:p w14:paraId="143DE56E" w14:textId="77777777" w:rsidR="00980919" w:rsidRPr="00CF106E" w:rsidRDefault="00980919" w:rsidP="00980919">
      <w:r w:rsidRPr="00CF106E">
        <w:t xml:space="preserve">Source: SC DHEC Division of Acute Disease Epidemiology, 2022. </w:t>
      </w:r>
    </w:p>
    <w:p w14:paraId="2D4B4065" w14:textId="471397A0" w:rsidR="00F73294" w:rsidRDefault="00980919" w:rsidP="00F73294">
      <w:r w:rsidRPr="00CF106E">
        <w:t>Notes: Data as of April 2, 2022. Comprehensive case investigation concluded on March 31, 2022. Focused investigations on congregate settings and outbreaks continue through present day. Comorbidities percentages calculated by Count of Yes to a specific comorbid condition over Count of Yes + No. Answers of unknown or no response were dropped. Percentages were calculated separately among all cases and cases that were known to be hospitalized by case investigation</w:t>
      </w:r>
      <w:r w:rsidR="00EA168E">
        <w:t>.</w:t>
      </w:r>
    </w:p>
    <w:p w14:paraId="17E3FFDB" w14:textId="77777777" w:rsidR="00857809" w:rsidRDefault="00857809" w:rsidP="00F73294"/>
    <w:p w14:paraId="61BBFA88" w14:textId="77777777" w:rsidR="00F73294" w:rsidRDefault="00F73294" w:rsidP="00F73294">
      <w:pPr>
        <w:pStyle w:val="Heading4"/>
      </w:pPr>
      <w:bookmarkStart w:id="389" w:name="_Toc162267252"/>
      <w:r w:rsidRPr="00F73294">
        <w:t>Data Interpretations:</w:t>
      </w:r>
      <w:bookmarkEnd w:id="389"/>
      <w:r w:rsidRPr="00F73294">
        <w:t xml:space="preserve"> </w:t>
      </w:r>
    </w:p>
    <w:p w14:paraId="18453780" w14:textId="5548B7B2" w:rsidR="00F73294" w:rsidRPr="00F73294" w:rsidRDefault="00F73294" w:rsidP="00F73294">
      <w:r w:rsidRPr="00F73294">
        <w:t>From 2020 to 2022, SC has seen about 1.7 million confirmed and probable COVID-19 cases. During this time, slight differences in COVID-19 cases rate per 100,000 population were seen between males and females (</w:t>
      </w:r>
      <w:r w:rsidRPr="00F73294">
        <w:rPr>
          <w:b/>
          <w:bCs/>
        </w:rPr>
        <w:t>Figure 6.49</w:t>
      </w:r>
      <w:r w:rsidRPr="00F73294">
        <w:t>), and between Black and White populations (</w:t>
      </w:r>
      <w:r w:rsidRPr="00F73294">
        <w:rPr>
          <w:b/>
          <w:bCs/>
        </w:rPr>
        <w:t>Figure 6.50</w:t>
      </w:r>
      <w:r w:rsidRPr="00F73294">
        <w:t xml:space="preserve">). These differences could be due to multiple factors, including health care seeking behavior, occupational </w:t>
      </w:r>
      <w:proofErr w:type="gramStart"/>
      <w:r w:rsidRPr="00F73294">
        <w:t>exposure</w:t>
      </w:r>
      <w:proofErr w:type="gramEnd"/>
      <w:r w:rsidRPr="00F73294">
        <w:t xml:space="preserve"> and other social factors. These patterns have also been noted in other conditions/diseases. </w:t>
      </w:r>
    </w:p>
    <w:p w14:paraId="1AEB7087" w14:textId="77777777" w:rsidR="00F73294" w:rsidRDefault="00F73294" w:rsidP="00F73294"/>
    <w:p w14:paraId="326EDE1A" w14:textId="54D217E4" w:rsidR="00F73294" w:rsidRPr="00F73294" w:rsidRDefault="00F73294" w:rsidP="00F73294">
      <w:r w:rsidRPr="00F73294">
        <w:t>Disparities were observed in vaccination rates between races. Initially, Blacks became fully vaccinated at a much lower rate than their White counterparts through June 2021. The rate of full vaccination in Black communities caught up later and maintained a higher rate than Whites until around April 2022. After April 2022, the vaccination rates for both races have been similar. This shows how African Americans closed the vaccine gap over time, which may indicate how effective focused public health efforts and educational messaging targeting different communities were in helping to address the initial disparities. To date, cumulative fully vaccinated rates are 43.0% and 41.2% for White and Black respectively (</w:t>
      </w:r>
      <w:r w:rsidRPr="00F73294">
        <w:rPr>
          <w:b/>
          <w:bCs/>
        </w:rPr>
        <w:t>Figure 6.51</w:t>
      </w:r>
      <w:r w:rsidRPr="00F73294">
        <w:t>).</w:t>
      </w:r>
    </w:p>
    <w:p w14:paraId="317AF33C" w14:textId="77777777" w:rsidR="00F73294" w:rsidRDefault="00F73294" w:rsidP="00F73294"/>
    <w:p w14:paraId="41FE81DC" w14:textId="77777777" w:rsidR="00F73294" w:rsidRDefault="00F73294" w:rsidP="00F73294">
      <w:r w:rsidRPr="00F73294">
        <w:t>Out of greater than a million total COVID-19 deaths in the US, SC has recorded a total of 18,849 deaths from COVID-19 as of Dec. 3, 2022. Elderly people (85 and older) had a much higher rate of death across the whole period. Other age groups also bear a high burden from a “Years of Potential Life lost (YPLL)” standpoint, which is an effective metric for assessing societal cost and informing public health decision making. For example, a death at the age of 85 does not have the same weight as a death at the age of 30. The younger the age at death, the higher the YPLL. Also, due to having more comorbidities, elderly people are more susceptible to infection, hospitalization, and death from infectious diseases (</w:t>
      </w:r>
      <w:r w:rsidRPr="00F73294">
        <w:rPr>
          <w:b/>
          <w:bCs/>
        </w:rPr>
        <w:t>Figure 6.52</w:t>
      </w:r>
      <w:r w:rsidRPr="00F73294">
        <w:t>).</w:t>
      </w:r>
      <w:r>
        <w:t xml:space="preserve"> </w:t>
      </w:r>
    </w:p>
    <w:p w14:paraId="3B4A4A02" w14:textId="77777777" w:rsidR="00F73294" w:rsidRDefault="00F73294" w:rsidP="00F73294"/>
    <w:p w14:paraId="77B8D9B7" w14:textId="20DB43AF" w:rsidR="00F73294" w:rsidRDefault="00F73294" w:rsidP="00F73294">
      <w:r w:rsidRPr="00F73294">
        <w:t>Historically, higher hospitalization and ventilation rates happen when there is a novel infectious disease. Most COVID-19 variants are almost like a new infectious disease equally affecting the susceptible population. COVID-19 hospitalizations and ventilation counts per Morbidity and Mortality Weekly Report (MMWR) week in SC shows the magnitude of hospitalizations across the whole period and during the surges (</w:t>
      </w:r>
      <w:r w:rsidRPr="00F73294">
        <w:rPr>
          <w:b/>
          <w:bCs/>
        </w:rPr>
        <w:t>Figure 6.53</w:t>
      </w:r>
      <w:r w:rsidRPr="00F73294">
        <w:t xml:space="preserve">). The reduction in the proportion of hospitalized patients requiring ventilation might be due to vaccination efforts aimed at reducing the severity of disease. Healthcare systems need to be prepared to handle similar situations, should they happen in the future. The top comorbidities (meaning someone has two or more conditions at the same time) among all COVID-19 cases, hospitalizations and deaths reported were cardiovascular disease (28.2%, 54.7%, 62% respectively), diabetes (24.5%, 45.1%, 47.3% respectively), COPD (22.2% and 25.1% among hospitalized and deaths) and asthma (19.7% among cases). Higher rates of comorbidities were reported among hospitalized cases and deaths. The evidence shows that chronic diseases and infectious diseases can </w:t>
      </w:r>
      <w:r w:rsidRPr="00F73294">
        <w:lastRenderedPageBreak/>
        <w:t>often interact with each other and have synergistic effects. People with chronic diseases are more likely to become cases for infectious disease and in turn more likely to get hospitalized or die from the disease (</w:t>
      </w:r>
      <w:r w:rsidRPr="00F73294">
        <w:rPr>
          <w:b/>
          <w:bCs/>
        </w:rPr>
        <w:t>Figure 6.54</w:t>
      </w:r>
      <w:r w:rsidRPr="00F73294">
        <w:t>).</w:t>
      </w:r>
    </w:p>
    <w:p w14:paraId="03C9DA46" w14:textId="4F0FF30C" w:rsidR="00F73294" w:rsidRDefault="00F73294" w:rsidP="00F73294">
      <w:pPr>
        <w:pStyle w:val="Heading5"/>
        <w:rPr>
          <w:rStyle w:val="Heading4Char"/>
          <w:color w:val="000000" w:themeColor="text1"/>
        </w:rPr>
      </w:pPr>
    </w:p>
    <w:p w14:paraId="463929B2" w14:textId="2B2B9558" w:rsidR="00F73294" w:rsidRDefault="00F73294" w:rsidP="00F73294">
      <w:pPr>
        <w:pStyle w:val="Heading5"/>
      </w:pPr>
      <w:r>
        <w:t>Key Takeaways:</w:t>
      </w:r>
    </w:p>
    <w:p w14:paraId="5123E74E" w14:textId="77777777" w:rsidR="00EA168E" w:rsidRDefault="00F73294" w:rsidP="00926EB3">
      <w:pPr>
        <w:pStyle w:val="ListParagraph"/>
        <w:numPr>
          <w:ilvl w:val="0"/>
          <w:numId w:val="219"/>
        </w:numPr>
      </w:pPr>
      <w:r w:rsidRPr="00F73294">
        <w:t xml:space="preserve">COVID-19 is here to stay. </w:t>
      </w:r>
    </w:p>
    <w:p w14:paraId="2AF805B2" w14:textId="77777777" w:rsidR="00EA168E" w:rsidRDefault="00F73294" w:rsidP="00926EB3">
      <w:pPr>
        <w:pStyle w:val="ListParagraph"/>
        <w:numPr>
          <w:ilvl w:val="0"/>
          <w:numId w:val="219"/>
        </w:numPr>
      </w:pPr>
      <w:r w:rsidRPr="00F73294">
        <w:t xml:space="preserve">It is important to continue to be educated about its negative impacts and make decisions to protect yourself and others. </w:t>
      </w:r>
    </w:p>
    <w:p w14:paraId="127008D3" w14:textId="696D8E46" w:rsidR="00F73294" w:rsidRPr="00F73294" w:rsidRDefault="00F73294" w:rsidP="00926EB3">
      <w:pPr>
        <w:pStyle w:val="ListParagraph"/>
        <w:numPr>
          <w:ilvl w:val="0"/>
          <w:numId w:val="219"/>
        </w:numPr>
      </w:pPr>
      <w:r w:rsidRPr="00F73294">
        <w:t xml:space="preserve">This includes being up to date on COVID-19 vaccinations, monitoring the COVID-19 Community Levels in your area and taking steps based upon the COVID-19 Community Level as provided by the Centers for Disease Control and Prevention. </w:t>
      </w:r>
    </w:p>
    <w:p w14:paraId="0EA5F392" w14:textId="77777777" w:rsidR="00F73294" w:rsidRPr="00F73294" w:rsidRDefault="00F73294" w:rsidP="00F73294"/>
    <w:p w14:paraId="77CFDBB6" w14:textId="620F3796" w:rsidR="00F73294" w:rsidRPr="00EA168E" w:rsidRDefault="00F73294" w:rsidP="00F73294">
      <w:pPr>
        <w:pStyle w:val="Heading4"/>
        <w:rPr>
          <w:rFonts w:asciiTheme="minorHAnsi" w:hAnsiTheme="minorHAnsi" w:cstheme="minorHAnsi"/>
          <w:color w:val="000000" w:themeColor="text1"/>
        </w:rPr>
      </w:pPr>
      <w:bookmarkStart w:id="390" w:name="_Toc162267253"/>
      <w:r w:rsidRPr="00EA168E">
        <w:rPr>
          <w:rFonts w:asciiTheme="minorHAnsi" w:hAnsiTheme="minorHAnsi" w:cstheme="minorHAnsi"/>
          <w:color w:val="000000" w:themeColor="text1"/>
        </w:rPr>
        <w:t>References 6.</w:t>
      </w:r>
      <w:r w:rsidR="00425D3B">
        <w:rPr>
          <w:rFonts w:asciiTheme="minorHAnsi" w:hAnsiTheme="minorHAnsi" w:cstheme="minorHAnsi"/>
          <w:color w:val="000000" w:themeColor="text1"/>
        </w:rPr>
        <w:t>21</w:t>
      </w:r>
      <w:bookmarkEnd w:id="390"/>
    </w:p>
    <w:p w14:paraId="24F866FD" w14:textId="5B5C1CF5" w:rsidR="00F73294" w:rsidRDefault="00F73294" w:rsidP="00F73294">
      <w:r w:rsidRPr="00722CE9">
        <w:t>Statistics in the preceding</w:t>
      </w:r>
      <w:r>
        <w:t xml:space="preserve"> section</w:t>
      </w:r>
      <w:r w:rsidRPr="00722CE9">
        <w:t xml:space="preserve"> were referenced from the following report</w:t>
      </w:r>
      <w:r>
        <w:t>s</w:t>
      </w:r>
      <w:r w:rsidRPr="00722CE9">
        <w:t>:</w:t>
      </w:r>
    </w:p>
    <w:p w14:paraId="31B11030" w14:textId="4F093EED" w:rsidR="00F73294" w:rsidRPr="00F73294" w:rsidRDefault="00000000" w:rsidP="00926EB3">
      <w:pPr>
        <w:pStyle w:val="ListParagraph"/>
        <w:numPr>
          <w:ilvl w:val="0"/>
          <w:numId w:val="27"/>
        </w:numPr>
      </w:pPr>
      <w:hyperlink r:id="rId188" w:history="1">
        <w:r w:rsidR="00F73294" w:rsidRPr="00F73294">
          <w:rPr>
            <w:rStyle w:val="Hyperlink"/>
          </w:rPr>
          <w:t>“CDC Museum COVID-19 Timeline” by the Centers for Disease Control and Prevention. Retrieved December 20, 2022.</w:t>
        </w:r>
      </w:hyperlink>
      <w:r w:rsidR="00F73294">
        <w:t xml:space="preserve"> </w:t>
      </w:r>
    </w:p>
    <w:p w14:paraId="70C6C41F" w14:textId="11917C33" w:rsidR="00F73294" w:rsidRPr="00F73294" w:rsidRDefault="00000000" w:rsidP="00926EB3">
      <w:pPr>
        <w:pStyle w:val="ListParagraph"/>
        <w:numPr>
          <w:ilvl w:val="0"/>
          <w:numId w:val="27"/>
        </w:numPr>
      </w:pPr>
      <w:hyperlink r:id="rId189" w:history="1">
        <w:r w:rsidR="00F73294" w:rsidRPr="00F73294">
          <w:rPr>
            <w:rStyle w:val="Hyperlink"/>
          </w:rPr>
          <w:t>South Carolina Department of Health and Environmental Control, news release March 6, 2020. Retrieved December 8, 2022.</w:t>
        </w:r>
      </w:hyperlink>
      <w:r w:rsidR="00F73294" w:rsidRPr="00F73294">
        <w:t xml:space="preserve"> </w:t>
      </w:r>
    </w:p>
    <w:p w14:paraId="145ECC6E" w14:textId="6ADAF221" w:rsidR="00F73294" w:rsidRPr="00F73294" w:rsidRDefault="00000000" w:rsidP="00926EB3">
      <w:pPr>
        <w:pStyle w:val="ListParagraph"/>
        <w:numPr>
          <w:ilvl w:val="0"/>
          <w:numId w:val="27"/>
        </w:numPr>
      </w:pPr>
      <w:hyperlink r:id="rId190" w:history="1">
        <w:r w:rsidR="00F73294" w:rsidRPr="00F73294">
          <w:rPr>
            <w:rStyle w:val="Hyperlink"/>
          </w:rPr>
          <w:t>South Carolina Department of Health and Environmental Control, news release March 16, 2020. Retrieved December 8, 2022.</w:t>
        </w:r>
      </w:hyperlink>
      <w:r w:rsidR="00F73294" w:rsidRPr="00F73294">
        <w:t xml:space="preserve"> </w:t>
      </w:r>
    </w:p>
    <w:p w14:paraId="13D5527C" w14:textId="27A07284" w:rsidR="00F73294" w:rsidRPr="00F73294" w:rsidRDefault="00000000" w:rsidP="00926EB3">
      <w:pPr>
        <w:pStyle w:val="ListParagraph"/>
        <w:numPr>
          <w:ilvl w:val="0"/>
          <w:numId w:val="27"/>
        </w:numPr>
      </w:pPr>
      <w:hyperlink r:id="rId191" w:history="1">
        <w:r w:rsidR="00F73294" w:rsidRPr="00F73294">
          <w:rPr>
            <w:rStyle w:val="Hyperlink"/>
          </w:rPr>
          <w:t>South Carolina Department of Health and Environmental Control, COVID-19 data dashboard. Retrieved December 8, 2022.</w:t>
        </w:r>
      </w:hyperlink>
      <w:r w:rsidR="00F73294" w:rsidRPr="00F73294">
        <w:t xml:space="preserve"> </w:t>
      </w:r>
    </w:p>
    <w:p w14:paraId="79CA0D33" w14:textId="4609BF9C" w:rsidR="00F73294" w:rsidRPr="00F73294" w:rsidRDefault="00000000" w:rsidP="00926EB3">
      <w:pPr>
        <w:pStyle w:val="ListParagraph"/>
        <w:numPr>
          <w:ilvl w:val="0"/>
          <w:numId w:val="27"/>
        </w:numPr>
      </w:pPr>
      <w:hyperlink r:id="rId192" w:history="1">
        <w:r w:rsidR="00F73294" w:rsidRPr="00F73294">
          <w:rPr>
            <w:rStyle w:val="Hyperlink"/>
          </w:rPr>
          <w:t>National Center for Health Statistics, Mortality in the United States, 2020. Retrieved December 8, 2022.</w:t>
        </w:r>
      </w:hyperlink>
      <w:r w:rsidR="00F73294" w:rsidRPr="00F73294">
        <w:t xml:space="preserve"> </w:t>
      </w:r>
    </w:p>
    <w:p w14:paraId="57695988" w14:textId="655DF347" w:rsidR="00F73294" w:rsidRPr="00F73294" w:rsidRDefault="00000000" w:rsidP="00926EB3">
      <w:pPr>
        <w:pStyle w:val="ListParagraph"/>
        <w:numPr>
          <w:ilvl w:val="0"/>
          <w:numId w:val="27"/>
        </w:numPr>
      </w:pPr>
      <w:hyperlink r:id="rId193" w:history="1">
        <w:r w:rsidR="00F73294" w:rsidRPr="00F73294">
          <w:rPr>
            <w:rStyle w:val="Hyperlink"/>
          </w:rPr>
          <w:t>South Carolina Department of Health and Environmental Control, Coronavirus Disease 2019 COVID-19. Retrieved December 8, 2022.</w:t>
        </w:r>
      </w:hyperlink>
      <w:r w:rsidR="00F73294" w:rsidRPr="00F73294">
        <w:t xml:space="preserve"> </w:t>
      </w:r>
    </w:p>
    <w:p w14:paraId="557D71BF" w14:textId="4B252638" w:rsidR="00506CC7" w:rsidRDefault="00000000" w:rsidP="00926EB3">
      <w:pPr>
        <w:pStyle w:val="ListParagraph"/>
        <w:numPr>
          <w:ilvl w:val="0"/>
          <w:numId w:val="27"/>
        </w:numPr>
      </w:pPr>
      <w:hyperlink r:id="rId194" w:history="1">
        <w:r w:rsidR="00F73294" w:rsidRPr="00F73294">
          <w:rPr>
            <w:rStyle w:val="Hyperlink"/>
          </w:rPr>
          <w:t>Centers for Disease Control and Prevention, COVID-19: How to Protect Yourself and Others. Retrieved December 8, 2022.</w:t>
        </w:r>
      </w:hyperlink>
      <w:r w:rsidR="00F73294" w:rsidRPr="00F73294">
        <w:t xml:space="preserve"> </w:t>
      </w:r>
    </w:p>
    <w:p w14:paraId="6B3801D7" w14:textId="77777777" w:rsidR="00506CC7" w:rsidRDefault="00506CC7">
      <w:r>
        <w:br w:type="page"/>
      </w:r>
    </w:p>
    <w:p w14:paraId="19B18AC3" w14:textId="47AF2893" w:rsidR="00F73294" w:rsidRDefault="00506CC7" w:rsidP="00506CC7">
      <w:pPr>
        <w:pStyle w:val="Heading2"/>
      </w:pPr>
      <w:bookmarkStart w:id="391" w:name="_Toc162267254"/>
      <w:r>
        <w:lastRenderedPageBreak/>
        <w:t>Chapter 7: Healthy Mothers and Infants</w:t>
      </w:r>
      <w:bookmarkEnd w:id="391"/>
    </w:p>
    <w:p w14:paraId="14F9E3EA" w14:textId="25A6A8B1" w:rsidR="00506CC7" w:rsidRDefault="00506CC7" w:rsidP="00506CC7">
      <w:pPr>
        <w:pStyle w:val="Heading3"/>
      </w:pPr>
      <w:bookmarkStart w:id="392" w:name="_Toc162267255"/>
      <w:r>
        <w:t>Infant Mortality</w:t>
      </w:r>
      <w:bookmarkEnd w:id="392"/>
    </w:p>
    <w:p w14:paraId="04672CF6" w14:textId="63F39F5F" w:rsidR="00506CC7" w:rsidRPr="00506CC7" w:rsidRDefault="00506CC7" w:rsidP="00506CC7">
      <w:r w:rsidRPr="00506CC7">
        <w:t>Infant mortality refers to the unfortunate occurrence of a baby passing away before reaching the age of 1 year (&lt;365 days). Historically, it has served as a crucial indicator of a society's overall health status.</w:t>
      </w:r>
      <w:r w:rsidRPr="00506CC7">
        <w:rPr>
          <w:b/>
          <w:bCs/>
        </w:rPr>
        <w:t xml:space="preserve"> </w:t>
      </w:r>
      <w:r w:rsidRPr="00506CC7">
        <w:t>Multiple factors can contribute to infant mortality. In the year 2020, the United States (US) experienced the following leading causes of infant deaths: birth defects, preterm birth and low birthweight, Sudden Infant Death Syndrome (SIDS), injuries, and maternal complications of pregnancy. To effectively identify existing health risks and mitigate adverse birth outcomes, women should receive regular care before (preconception care) or between pregnancies (</w:t>
      </w:r>
      <w:proofErr w:type="spellStart"/>
      <w:r w:rsidRPr="00506CC7">
        <w:t>interconception</w:t>
      </w:r>
      <w:proofErr w:type="spellEnd"/>
      <w:r w:rsidRPr="00506CC7">
        <w:t xml:space="preserve"> care). By providing targeted education, implementing interventions aimed at preventing infant deaths, and addressing the underlying factors, we can have a meaningful impact </w:t>
      </w:r>
      <w:r w:rsidR="00121557">
        <w:tab/>
      </w:r>
      <w:r w:rsidRPr="00506CC7">
        <w:t xml:space="preserve">on the communities most in need. Efforts to improve infant mortality rates should include a comprehensive approach that addresses not only medical interventions, but also factors such as access to high-quality health care, education on such topics as safe sleep practices, and social and economic support for expectant mothers and families. </w:t>
      </w:r>
    </w:p>
    <w:p w14:paraId="4AB16844" w14:textId="77777777" w:rsidR="00506CC7" w:rsidRDefault="00506CC7" w:rsidP="00506CC7">
      <w:pPr>
        <w:pStyle w:val="Heading4"/>
        <w:rPr>
          <w:color w:val="FF0000"/>
        </w:rPr>
      </w:pPr>
    </w:p>
    <w:p w14:paraId="3FDCD264" w14:textId="77777777" w:rsidR="00983AE8" w:rsidRDefault="00983AE8" w:rsidP="00983AE8">
      <w:pPr>
        <w:pStyle w:val="Heading4"/>
      </w:pPr>
      <w:bookmarkStart w:id="393" w:name="_Toc154576398"/>
      <w:bookmarkStart w:id="394" w:name="_Toc162267256"/>
      <w:r>
        <w:t>Figure 7.1: Infant Mortality, by Maternal Race/Ethnicity.</w:t>
      </w:r>
      <w:bookmarkEnd w:id="393"/>
      <w:bookmarkEnd w:id="394"/>
    </w:p>
    <w:p w14:paraId="15801EF9" w14:textId="77777777" w:rsidR="00983AE8" w:rsidRDefault="00983AE8" w:rsidP="00983AE8">
      <w:pPr>
        <w:pStyle w:val="Heading5"/>
      </w:pPr>
      <w:r>
        <w:t>Rate per 1,000 live births.</w:t>
      </w:r>
    </w:p>
    <w:tbl>
      <w:tblPr>
        <w:tblStyle w:val="TableGrid"/>
        <w:tblW w:w="0" w:type="auto"/>
        <w:tblLook w:val="04A0" w:firstRow="1" w:lastRow="0" w:firstColumn="1" w:lastColumn="0" w:noHBand="0" w:noVBand="1"/>
      </w:tblPr>
      <w:tblGrid>
        <w:gridCol w:w="1870"/>
        <w:gridCol w:w="1870"/>
        <w:gridCol w:w="1870"/>
        <w:gridCol w:w="1870"/>
        <w:gridCol w:w="1870"/>
      </w:tblGrid>
      <w:tr w:rsidR="00983AE8" w14:paraId="2BD06A41" w14:textId="77777777" w:rsidTr="001515D5">
        <w:tc>
          <w:tcPr>
            <w:tcW w:w="1870" w:type="dxa"/>
            <w:vAlign w:val="bottom"/>
          </w:tcPr>
          <w:p w14:paraId="6F30E55C" w14:textId="77777777" w:rsidR="00983AE8" w:rsidRDefault="00983AE8" w:rsidP="001515D5">
            <w:r>
              <w:t>Year</w:t>
            </w:r>
          </w:p>
        </w:tc>
        <w:tc>
          <w:tcPr>
            <w:tcW w:w="1870" w:type="dxa"/>
            <w:vAlign w:val="bottom"/>
          </w:tcPr>
          <w:p w14:paraId="41DBEF63" w14:textId="77777777" w:rsidR="00983AE8" w:rsidRDefault="00983AE8" w:rsidP="001515D5">
            <w:r>
              <w:t>South Carolina</w:t>
            </w:r>
          </w:p>
        </w:tc>
        <w:tc>
          <w:tcPr>
            <w:tcW w:w="1870" w:type="dxa"/>
            <w:vAlign w:val="bottom"/>
          </w:tcPr>
          <w:p w14:paraId="2D7B7146" w14:textId="77777777" w:rsidR="00983AE8" w:rsidRDefault="00983AE8" w:rsidP="001515D5">
            <w:r>
              <w:t>Non-Hispanic White</w:t>
            </w:r>
          </w:p>
        </w:tc>
        <w:tc>
          <w:tcPr>
            <w:tcW w:w="1870" w:type="dxa"/>
            <w:vAlign w:val="bottom"/>
          </w:tcPr>
          <w:p w14:paraId="73B548C4" w14:textId="77777777" w:rsidR="00983AE8" w:rsidRDefault="00983AE8" w:rsidP="001515D5">
            <w:r>
              <w:t>Non-Hispanic Black</w:t>
            </w:r>
          </w:p>
        </w:tc>
        <w:tc>
          <w:tcPr>
            <w:tcW w:w="1870" w:type="dxa"/>
            <w:vAlign w:val="bottom"/>
          </w:tcPr>
          <w:p w14:paraId="0CB58C34" w14:textId="77777777" w:rsidR="00983AE8" w:rsidRDefault="00983AE8" w:rsidP="001515D5">
            <w:r>
              <w:t>Hispanic</w:t>
            </w:r>
          </w:p>
        </w:tc>
      </w:tr>
      <w:tr w:rsidR="00983AE8" w14:paraId="07E9AC61" w14:textId="77777777" w:rsidTr="001515D5">
        <w:tc>
          <w:tcPr>
            <w:tcW w:w="1870" w:type="dxa"/>
            <w:vAlign w:val="center"/>
          </w:tcPr>
          <w:p w14:paraId="7588FE66" w14:textId="77777777" w:rsidR="00983AE8" w:rsidRDefault="00983AE8" w:rsidP="001515D5">
            <w:r>
              <w:t>2011</w:t>
            </w:r>
          </w:p>
        </w:tc>
        <w:tc>
          <w:tcPr>
            <w:tcW w:w="1870" w:type="dxa"/>
            <w:vAlign w:val="center"/>
          </w:tcPr>
          <w:p w14:paraId="23949780" w14:textId="77777777" w:rsidR="00983AE8" w:rsidRDefault="00983AE8" w:rsidP="001515D5">
            <w:r>
              <w:t>7.4</w:t>
            </w:r>
          </w:p>
        </w:tc>
        <w:tc>
          <w:tcPr>
            <w:tcW w:w="1870" w:type="dxa"/>
            <w:vAlign w:val="center"/>
          </w:tcPr>
          <w:p w14:paraId="1684DA80" w14:textId="77777777" w:rsidR="00983AE8" w:rsidRDefault="00983AE8" w:rsidP="001515D5">
            <w:r>
              <w:t>4.9</w:t>
            </w:r>
          </w:p>
        </w:tc>
        <w:tc>
          <w:tcPr>
            <w:tcW w:w="1870" w:type="dxa"/>
            <w:vAlign w:val="center"/>
          </w:tcPr>
          <w:p w14:paraId="01BF218B" w14:textId="77777777" w:rsidR="00983AE8" w:rsidRDefault="00983AE8" w:rsidP="001515D5">
            <w:r>
              <w:t>12.3</w:t>
            </w:r>
          </w:p>
        </w:tc>
        <w:tc>
          <w:tcPr>
            <w:tcW w:w="1870" w:type="dxa"/>
            <w:vAlign w:val="center"/>
          </w:tcPr>
          <w:p w14:paraId="1C767816" w14:textId="77777777" w:rsidR="00983AE8" w:rsidRDefault="00983AE8" w:rsidP="001515D5">
            <w:r>
              <w:t>5.8</w:t>
            </w:r>
          </w:p>
        </w:tc>
      </w:tr>
      <w:tr w:rsidR="00983AE8" w14:paraId="044BFA57" w14:textId="77777777" w:rsidTr="001515D5">
        <w:tc>
          <w:tcPr>
            <w:tcW w:w="1870" w:type="dxa"/>
            <w:vAlign w:val="center"/>
          </w:tcPr>
          <w:p w14:paraId="2A86BB30" w14:textId="77777777" w:rsidR="00983AE8" w:rsidRDefault="00983AE8" w:rsidP="001515D5">
            <w:r>
              <w:t>2012</w:t>
            </w:r>
          </w:p>
        </w:tc>
        <w:tc>
          <w:tcPr>
            <w:tcW w:w="1870" w:type="dxa"/>
            <w:vAlign w:val="center"/>
          </w:tcPr>
          <w:p w14:paraId="0DC7F1E3" w14:textId="77777777" w:rsidR="00983AE8" w:rsidRDefault="00983AE8" w:rsidP="001515D5">
            <w:r>
              <w:t>7.6</w:t>
            </w:r>
          </w:p>
        </w:tc>
        <w:tc>
          <w:tcPr>
            <w:tcW w:w="1870" w:type="dxa"/>
            <w:vAlign w:val="center"/>
          </w:tcPr>
          <w:p w14:paraId="4A9755F3" w14:textId="77777777" w:rsidR="00983AE8" w:rsidRDefault="00983AE8" w:rsidP="001515D5">
            <w:r>
              <w:t>5.6</w:t>
            </w:r>
          </w:p>
        </w:tc>
        <w:tc>
          <w:tcPr>
            <w:tcW w:w="1870" w:type="dxa"/>
            <w:vAlign w:val="center"/>
          </w:tcPr>
          <w:p w14:paraId="2AC925DE" w14:textId="77777777" w:rsidR="00983AE8" w:rsidRDefault="00983AE8" w:rsidP="001515D5">
            <w:r>
              <w:t>12.6</w:t>
            </w:r>
          </w:p>
        </w:tc>
        <w:tc>
          <w:tcPr>
            <w:tcW w:w="1870" w:type="dxa"/>
            <w:vAlign w:val="center"/>
          </w:tcPr>
          <w:p w14:paraId="01BE8048" w14:textId="77777777" w:rsidR="00983AE8" w:rsidRDefault="00983AE8" w:rsidP="001515D5">
            <w:r>
              <w:t>3.4</w:t>
            </w:r>
          </w:p>
        </w:tc>
      </w:tr>
      <w:tr w:rsidR="00983AE8" w14:paraId="14C55021" w14:textId="77777777" w:rsidTr="001515D5">
        <w:tc>
          <w:tcPr>
            <w:tcW w:w="1870" w:type="dxa"/>
            <w:vAlign w:val="center"/>
          </w:tcPr>
          <w:p w14:paraId="71CF8737" w14:textId="77777777" w:rsidR="00983AE8" w:rsidRDefault="00983AE8" w:rsidP="001515D5">
            <w:r>
              <w:t>2013</w:t>
            </w:r>
          </w:p>
        </w:tc>
        <w:tc>
          <w:tcPr>
            <w:tcW w:w="1870" w:type="dxa"/>
            <w:vAlign w:val="center"/>
          </w:tcPr>
          <w:p w14:paraId="41832EE1" w14:textId="77777777" w:rsidR="00983AE8" w:rsidRDefault="00983AE8" w:rsidP="001515D5">
            <w:r>
              <w:t>6.9</w:t>
            </w:r>
          </w:p>
        </w:tc>
        <w:tc>
          <w:tcPr>
            <w:tcW w:w="1870" w:type="dxa"/>
            <w:vAlign w:val="center"/>
          </w:tcPr>
          <w:p w14:paraId="60AA4122" w14:textId="77777777" w:rsidR="00983AE8" w:rsidRDefault="00983AE8" w:rsidP="001515D5">
            <w:r>
              <w:t>5.5</w:t>
            </w:r>
          </w:p>
        </w:tc>
        <w:tc>
          <w:tcPr>
            <w:tcW w:w="1870" w:type="dxa"/>
            <w:vAlign w:val="center"/>
          </w:tcPr>
          <w:p w14:paraId="7E91958E" w14:textId="77777777" w:rsidR="00983AE8" w:rsidRDefault="00983AE8" w:rsidP="001515D5">
            <w:r>
              <w:t>10.0</w:t>
            </w:r>
          </w:p>
        </w:tc>
        <w:tc>
          <w:tcPr>
            <w:tcW w:w="1870" w:type="dxa"/>
            <w:vAlign w:val="center"/>
          </w:tcPr>
          <w:p w14:paraId="3223717B" w14:textId="77777777" w:rsidR="00983AE8" w:rsidRDefault="00983AE8" w:rsidP="001515D5">
            <w:r>
              <w:t>5.7</w:t>
            </w:r>
          </w:p>
        </w:tc>
      </w:tr>
      <w:tr w:rsidR="00983AE8" w14:paraId="24A9876A" w14:textId="77777777" w:rsidTr="001515D5">
        <w:tc>
          <w:tcPr>
            <w:tcW w:w="1870" w:type="dxa"/>
            <w:vAlign w:val="center"/>
          </w:tcPr>
          <w:p w14:paraId="709FD0A9" w14:textId="77777777" w:rsidR="00983AE8" w:rsidRDefault="00983AE8" w:rsidP="001515D5">
            <w:r>
              <w:t>2014</w:t>
            </w:r>
          </w:p>
        </w:tc>
        <w:tc>
          <w:tcPr>
            <w:tcW w:w="1870" w:type="dxa"/>
            <w:vAlign w:val="center"/>
          </w:tcPr>
          <w:p w14:paraId="3E14D8F5" w14:textId="77777777" w:rsidR="00983AE8" w:rsidRDefault="00983AE8" w:rsidP="001515D5">
            <w:r>
              <w:t>6.5</w:t>
            </w:r>
          </w:p>
        </w:tc>
        <w:tc>
          <w:tcPr>
            <w:tcW w:w="1870" w:type="dxa"/>
            <w:vAlign w:val="center"/>
          </w:tcPr>
          <w:p w14:paraId="40D408B1" w14:textId="77777777" w:rsidR="00983AE8" w:rsidRDefault="00983AE8" w:rsidP="001515D5">
            <w:r>
              <w:t>4.6</w:t>
            </w:r>
          </w:p>
        </w:tc>
        <w:tc>
          <w:tcPr>
            <w:tcW w:w="1870" w:type="dxa"/>
            <w:vAlign w:val="center"/>
          </w:tcPr>
          <w:p w14:paraId="215E5867" w14:textId="77777777" w:rsidR="00983AE8" w:rsidRDefault="00983AE8" w:rsidP="001515D5">
            <w:r>
              <w:t>10.3</w:t>
            </w:r>
          </w:p>
        </w:tc>
        <w:tc>
          <w:tcPr>
            <w:tcW w:w="1870" w:type="dxa"/>
            <w:vAlign w:val="center"/>
          </w:tcPr>
          <w:p w14:paraId="3B7222B0" w14:textId="77777777" w:rsidR="00983AE8" w:rsidRDefault="00983AE8" w:rsidP="001515D5">
            <w:r>
              <w:t>4.6</w:t>
            </w:r>
          </w:p>
        </w:tc>
      </w:tr>
      <w:tr w:rsidR="00983AE8" w14:paraId="0E774D32" w14:textId="77777777" w:rsidTr="001515D5">
        <w:tc>
          <w:tcPr>
            <w:tcW w:w="1870" w:type="dxa"/>
            <w:vAlign w:val="center"/>
          </w:tcPr>
          <w:p w14:paraId="16BCC04E" w14:textId="77777777" w:rsidR="00983AE8" w:rsidRDefault="00983AE8" w:rsidP="001515D5">
            <w:r>
              <w:t>2015</w:t>
            </w:r>
          </w:p>
        </w:tc>
        <w:tc>
          <w:tcPr>
            <w:tcW w:w="1870" w:type="dxa"/>
            <w:vAlign w:val="center"/>
          </w:tcPr>
          <w:p w14:paraId="622A3F29" w14:textId="77777777" w:rsidR="00983AE8" w:rsidRDefault="00983AE8" w:rsidP="001515D5">
            <w:r>
              <w:t>7.0</w:t>
            </w:r>
          </w:p>
        </w:tc>
        <w:tc>
          <w:tcPr>
            <w:tcW w:w="1870" w:type="dxa"/>
            <w:vAlign w:val="center"/>
          </w:tcPr>
          <w:p w14:paraId="09C5E509" w14:textId="77777777" w:rsidR="00983AE8" w:rsidRDefault="00983AE8" w:rsidP="001515D5">
            <w:r>
              <w:t>4.9</w:t>
            </w:r>
          </w:p>
        </w:tc>
        <w:tc>
          <w:tcPr>
            <w:tcW w:w="1870" w:type="dxa"/>
            <w:vAlign w:val="center"/>
          </w:tcPr>
          <w:p w14:paraId="07F03548" w14:textId="77777777" w:rsidR="00983AE8" w:rsidRDefault="00983AE8" w:rsidP="001515D5">
            <w:r>
              <w:t>11.6</w:t>
            </w:r>
          </w:p>
        </w:tc>
        <w:tc>
          <w:tcPr>
            <w:tcW w:w="1870" w:type="dxa"/>
            <w:vAlign w:val="center"/>
          </w:tcPr>
          <w:p w14:paraId="2538C8AD" w14:textId="77777777" w:rsidR="00983AE8" w:rsidRDefault="00983AE8" w:rsidP="001515D5">
            <w:r>
              <w:t>4.5</w:t>
            </w:r>
          </w:p>
        </w:tc>
      </w:tr>
      <w:tr w:rsidR="00983AE8" w14:paraId="77A05263" w14:textId="77777777" w:rsidTr="001515D5">
        <w:tc>
          <w:tcPr>
            <w:tcW w:w="1870" w:type="dxa"/>
            <w:vAlign w:val="center"/>
          </w:tcPr>
          <w:p w14:paraId="11D9416C" w14:textId="77777777" w:rsidR="00983AE8" w:rsidRDefault="00983AE8" w:rsidP="001515D5">
            <w:r>
              <w:t>2016</w:t>
            </w:r>
          </w:p>
        </w:tc>
        <w:tc>
          <w:tcPr>
            <w:tcW w:w="1870" w:type="dxa"/>
            <w:vAlign w:val="center"/>
          </w:tcPr>
          <w:p w14:paraId="56AF7FEF" w14:textId="77777777" w:rsidR="00983AE8" w:rsidRDefault="00983AE8" w:rsidP="001515D5">
            <w:r>
              <w:t>7.0</w:t>
            </w:r>
          </w:p>
        </w:tc>
        <w:tc>
          <w:tcPr>
            <w:tcW w:w="1870" w:type="dxa"/>
            <w:vAlign w:val="center"/>
          </w:tcPr>
          <w:p w14:paraId="25CBDA67" w14:textId="77777777" w:rsidR="00983AE8" w:rsidRDefault="00983AE8" w:rsidP="001515D5">
            <w:r>
              <w:t>5.6</w:t>
            </w:r>
          </w:p>
        </w:tc>
        <w:tc>
          <w:tcPr>
            <w:tcW w:w="1870" w:type="dxa"/>
            <w:vAlign w:val="center"/>
          </w:tcPr>
          <w:p w14:paraId="18866E72" w14:textId="77777777" w:rsidR="00983AE8" w:rsidRDefault="00983AE8" w:rsidP="001515D5">
            <w:r>
              <w:t>10.6</w:t>
            </w:r>
          </w:p>
        </w:tc>
        <w:tc>
          <w:tcPr>
            <w:tcW w:w="1870" w:type="dxa"/>
            <w:vAlign w:val="center"/>
          </w:tcPr>
          <w:p w14:paraId="7847DAC3" w14:textId="77777777" w:rsidR="00983AE8" w:rsidRDefault="00983AE8" w:rsidP="001515D5">
            <w:r>
              <w:t>5.4</w:t>
            </w:r>
          </w:p>
        </w:tc>
      </w:tr>
      <w:tr w:rsidR="00983AE8" w14:paraId="6B235C5F" w14:textId="77777777" w:rsidTr="001515D5">
        <w:tc>
          <w:tcPr>
            <w:tcW w:w="1870" w:type="dxa"/>
            <w:vAlign w:val="center"/>
          </w:tcPr>
          <w:p w14:paraId="5C85A137" w14:textId="77777777" w:rsidR="00983AE8" w:rsidRDefault="00983AE8" w:rsidP="001515D5">
            <w:r>
              <w:t>2017</w:t>
            </w:r>
          </w:p>
        </w:tc>
        <w:tc>
          <w:tcPr>
            <w:tcW w:w="1870" w:type="dxa"/>
            <w:vAlign w:val="center"/>
          </w:tcPr>
          <w:p w14:paraId="0D86A190" w14:textId="77777777" w:rsidR="00983AE8" w:rsidRDefault="00983AE8" w:rsidP="001515D5">
            <w:r>
              <w:t>6.5</w:t>
            </w:r>
          </w:p>
        </w:tc>
        <w:tc>
          <w:tcPr>
            <w:tcW w:w="1870" w:type="dxa"/>
            <w:vAlign w:val="center"/>
          </w:tcPr>
          <w:p w14:paraId="00F0B7FB" w14:textId="77777777" w:rsidR="00983AE8" w:rsidRDefault="00983AE8" w:rsidP="001515D5">
            <w:r>
              <w:t>5.1</w:t>
            </w:r>
          </w:p>
        </w:tc>
        <w:tc>
          <w:tcPr>
            <w:tcW w:w="1870" w:type="dxa"/>
            <w:vAlign w:val="center"/>
          </w:tcPr>
          <w:p w14:paraId="2DCEC12C" w14:textId="77777777" w:rsidR="00983AE8" w:rsidRDefault="00983AE8" w:rsidP="001515D5">
            <w:r>
              <w:t>9.1</w:t>
            </w:r>
          </w:p>
        </w:tc>
        <w:tc>
          <w:tcPr>
            <w:tcW w:w="1870" w:type="dxa"/>
            <w:vAlign w:val="center"/>
          </w:tcPr>
          <w:p w14:paraId="6FD5762C" w14:textId="77777777" w:rsidR="00983AE8" w:rsidRDefault="00983AE8" w:rsidP="001515D5">
            <w:r>
              <w:t>6.5</w:t>
            </w:r>
          </w:p>
        </w:tc>
      </w:tr>
      <w:tr w:rsidR="00983AE8" w14:paraId="5A41B3A3" w14:textId="77777777" w:rsidTr="001515D5">
        <w:tc>
          <w:tcPr>
            <w:tcW w:w="1870" w:type="dxa"/>
            <w:vAlign w:val="center"/>
          </w:tcPr>
          <w:p w14:paraId="469B9DA0" w14:textId="77777777" w:rsidR="00983AE8" w:rsidRDefault="00983AE8" w:rsidP="001515D5">
            <w:r>
              <w:t>2018</w:t>
            </w:r>
          </w:p>
        </w:tc>
        <w:tc>
          <w:tcPr>
            <w:tcW w:w="1870" w:type="dxa"/>
            <w:vAlign w:val="center"/>
          </w:tcPr>
          <w:p w14:paraId="5AFAD95E" w14:textId="77777777" w:rsidR="00983AE8" w:rsidRDefault="00983AE8" w:rsidP="001515D5">
            <w:r>
              <w:t>7.2</w:t>
            </w:r>
          </w:p>
        </w:tc>
        <w:tc>
          <w:tcPr>
            <w:tcW w:w="1870" w:type="dxa"/>
            <w:vAlign w:val="center"/>
          </w:tcPr>
          <w:p w14:paraId="6471C79C" w14:textId="77777777" w:rsidR="00983AE8" w:rsidRDefault="00983AE8" w:rsidP="001515D5">
            <w:r>
              <w:t>5.2</w:t>
            </w:r>
          </w:p>
        </w:tc>
        <w:tc>
          <w:tcPr>
            <w:tcW w:w="1870" w:type="dxa"/>
            <w:vAlign w:val="center"/>
          </w:tcPr>
          <w:p w14:paraId="7C038B0D" w14:textId="77777777" w:rsidR="00983AE8" w:rsidRDefault="00983AE8" w:rsidP="001515D5">
            <w:r>
              <w:t>11.7</w:t>
            </w:r>
          </w:p>
        </w:tc>
        <w:tc>
          <w:tcPr>
            <w:tcW w:w="1870" w:type="dxa"/>
            <w:vAlign w:val="center"/>
          </w:tcPr>
          <w:p w14:paraId="2EFA7AB1" w14:textId="77777777" w:rsidR="00983AE8" w:rsidRDefault="00983AE8" w:rsidP="001515D5">
            <w:r>
              <w:t>5.1</w:t>
            </w:r>
          </w:p>
        </w:tc>
      </w:tr>
      <w:tr w:rsidR="00983AE8" w14:paraId="374DB0DA" w14:textId="77777777" w:rsidTr="001515D5">
        <w:tc>
          <w:tcPr>
            <w:tcW w:w="1870" w:type="dxa"/>
            <w:vAlign w:val="center"/>
          </w:tcPr>
          <w:p w14:paraId="25955E2A" w14:textId="77777777" w:rsidR="00983AE8" w:rsidRDefault="00983AE8" w:rsidP="001515D5">
            <w:r>
              <w:t>2019</w:t>
            </w:r>
          </w:p>
        </w:tc>
        <w:tc>
          <w:tcPr>
            <w:tcW w:w="1870" w:type="dxa"/>
            <w:vAlign w:val="center"/>
          </w:tcPr>
          <w:p w14:paraId="6E4A44F3" w14:textId="77777777" w:rsidR="00983AE8" w:rsidRDefault="00983AE8" w:rsidP="001515D5">
            <w:r>
              <w:t>6.9</w:t>
            </w:r>
          </w:p>
        </w:tc>
        <w:tc>
          <w:tcPr>
            <w:tcW w:w="1870" w:type="dxa"/>
            <w:vAlign w:val="center"/>
          </w:tcPr>
          <w:p w14:paraId="32441A5C" w14:textId="77777777" w:rsidR="00983AE8" w:rsidRDefault="00983AE8" w:rsidP="001515D5">
            <w:r>
              <w:t>4.5</w:t>
            </w:r>
          </w:p>
        </w:tc>
        <w:tc>
          <w:tcPr>
            <w:tcW w:w="1870" w:type="dxa"/>
            <w:vAlign w:val="center"/>
          </w:tcPr>
          <w:p w14:paraId="79B40D77" w14:textId="77777777" w:rsidR="00983AE8" w:rsidRDefault="00983AE8" w:rsidP="001515D5">
            <w:r>
              <w:t>11.7</w:t>
            </w:r>
          </w:p>
        </w:tc>
        <w:tc>
          <w:tcPr>
            <w:tcW w:w="1870" w:type="dxa"/>
            <w:vAlign w:val="center"/>
          </w:tcPr>
          <w:p w14:paraId="0B758A77" w14:textId="77777777" w:rsidR="00983AE8" w:rsidRDefault="00983AE8" w:rsidP="001515D5">
            <w:r>
              <w:t>5.2</w:t>
            </w:r>
          </w:p>
        </w:tc>
      </w:tr>
      <w:tr w:rsidR="00983AE8" w14:paraId="05CA5097" w14:textId="77777777" w:rsidTr="001515D5">
        <w:tc>
          <w:tcPr>
            <w:tcW w:w="1870" w:type="dxa"/>
            <w:vAlign w:val="center"/>
          </w:tcPr>
          <w:p w14:paraId="3A8668D2" w14:textId="77777777" w:rsidR="00983AE8" w:rsidRDefault="00983AE8" w:rsidP="001515D5">
            <w:r>
              <w:t>2020</w:t>
            </w:r>
          </w:p>
        </w:tc>
        <w:tc>
          <w:tcPr>
            <w:tcW w:w="1870" w:type="dxa"/>
            <w:vAlign w:val="center"/>
          </w:tcPr>
          <w:p w14:paraId="51702105" w14:textId="77777777" w:rsidR="00983AE8" w:rsidRDefault="00983AE8" w:rsidP="001515D5">
            <w:r>
              <w:t>6.5</w:t>
            </w:r>
          </w:p>
        </w:tc>
        <w:tc>
          <w:tcPr>
            <w:tcW w:w="1870" w:type="dxa"/>
            <w:vAlign w:val="center"/>
          </w:tcPr>
          <w:p w14:paraId="55AFA9C3" w14:textId="77777777" w:rsidR="00983AE8" w:rsidRDefault="00983AE8" w:rsidP="001515D5">
            <w:r>
              <w:t>4.5</w:t>
            </w:r>
          </w:p>
        </w:tc>
        <w:tc>
          <w:tcPr>
            <w:tcW w:w="1870" w:type="dxa"/>
            <w:vAlign w:val="center"/>
          </w:tcPr>
          <w:p w14:paraId="4F107BB9" w14:textId="77777777" w:rsidR="00983AE8" w:rsidRDefault="00983AE8" w:rsidP="001515D5">
            <w:r>
              <w:t>10.8</w:t>
            </w:r>
          </w:p>
        </w:tc>
        <w:tc>
          <w:tcPr>
            <w:tcW w:w="1870" w:type="dxa"/>
            <w:vAlign w:val="center"/>
          </w:tcPr>
          <w:p w14:paraId="466758E6" w14:textId="77777777" w:rsidR="00983AE8" w:rsidRPr="00CC7D78" w:rsidRDefault="00983AE8" w:rsidP="001515D5">
            <w:r>
              <w:t>5.2</w:t>
            </w:r>
          </w:p>
        </w:tc>
      </w:tr>
      <w:tr w:rsidR="00983AE8" w14:paraId="5D7A31CE" w14:textId="77777777" w:rsidTr="001515D5">
        <w:tc>
          <w:tcPr>
            <w:tcW w:w="1870" w:type="dxa"/>
            <w:vAlign w:val="center"/>
          </w:tcPr>
          <w:p w14:paraId="3D826CF3" w14:textId="77777777" w:rsidR="00983AE8" w:rsidRDefault="00983AE8" w:rsidP="001515D5">
            <w:r>
              <w:t>2021</w:t>
            </w:r>
          </w:p>
        </w:tc>
        <w:tc>
          <w:tcPr>
            <w:tcW w:w="1870" w:type="dxa"/>
            <w:vAlign w:val="center"/>
          </w:tcPr>
          <w:p w14:paraId="4F9A73AD" w14:textId="77777777" w:rsidR="00983AE8" w:rsidRDefault="00983AE8" w:rsidP="001515D5">
            <w:r>
              <w:t>7.3</w:t>
            </w:r>
          </w:p>
        </w:tc>
        <w:tc>
          <w:tcPr>
            <w:tcW w:w="1870" w:type="dxa"/>
            <w:vAlign w:val="center"/>
          </w:tcPr>
          <w:p w14:paraId="7354A609" w14:textId="77777777" w:rsidR="00983AE8" w:rsidRDefault="00983AE8" w:rsidP="001515D5">
            <w:r>
              <w:t>5.2</w:t>
            </w:r>
          </w:p>
        </w:tc>
        <w:tc>
          <w:tcPr>
            <w:tcW w:w="1870" w:type="dxa"/>
            <w:vAlign w:val="center"/>
          </w:tcPr>
          <w:p w14:paraId="1172A095" w14:textId="77777777" w:rsidR="00983AE8" w:rsidRDefault="00983AE8" w:rsidP="001515D5">
            <w:r>
              <w:t>12.7</w:t>
            </w:r>
          </w:p>
        </w:tc>
        <w:tc>
          <w:tcPr>
            <w:tcW w:w="1870" w:type="dxa"/>
            <w:vAlign w:val="center"/>
          </w:tcPr>
          <w:p w14:paraId="75872A99" w14:textId="77777777" w:rsidR="00983AE8" w:rsidRDefault="00983AE8" w:rsidP="001515D5">
            <w:r>
              <w:t>5.1</w:t>
            </w:r>
          </w:p>
        </w:tc>
      </w:tr>
    </w:tbl>
    <w:p w14:paraId="33D5A033" w14:textId="77777777" w:rsidR="00983AE8" w:rsidRDefault="00983AE8" w:rsidP="00983AE8">
      <w:r w:rsidRPr="00CC7D78">
        <w:t>Source: SC DHEC Vital Statistics.</w:t>
      </w:r>
    </w:p>
    <w:p w14:paraId="78F97B89" w14:textId="77777777" w:rsidR="00983AE8" w:rsidRDefault="00983AE8" w:rsidP="00983AE8"/>
    <w:p w14:paraId="256FA1BD" w14:textId="77777777" w:rsidR="00983AE8" w:rsidRDefault="00983AE8" w:rsidP="00983AE8">
      <w:pPr>
        <w:pStyle w:val="Heading4"/>
      </w:pPr>
      <w:bookmarkStart w:id="395" w:name="_Toc154576399"/>
      <w:bookmarkStart w:id="396" w:name="_Toc162267257"/>
      <w:r>
        <w:lastRenderedPageBreak/>
        <w:t>Figure 7.2: Infant Mortality, by Age at Death.</w:t>
      </w:r>
      <w:bookmarkEnd w:id="395"/>
      <w:bookmarkEnd w:id="396"/>
    </w:p>
    <w:p w14:paraId="469CA800" w14:textId="77777777" w:rsidR="00983AE8" w:rsidRDefault="00983AE8" w:rsidP="00983AE8">
      <w:pPr>
        <w:pStyle w:val="Heading5"/>
      </w:pPr>
      <w:r>
        <w:t>Rate per 1,000 live births.</w:t>
      </w:r>
    </w:p>
    <w:tbl>
      <w:tblPr>
        <w:tblStyle w:val="TableGrid"/>
        <w:tblW w:w="0" w:type="auto"/>
        <w:tblLook w:val="04A0" w:firstRow="1" w:lastRow="0" w:firstColumn="1" w:lastColumn="0" w:noHBand="0" w:noVBand="1"/>
      </w:tblPr>
      <w:tblGrid>
        <w:gridCol w:w="4675"/>
        <w:gridCol w:w="4675"/>
      </w:tblGrid>
      <w:tr w:rsidR="00983AE8" w14:paraId="0E32470D" w14:textId="77777777" w:rsidTr="001515D5">
        <w:tc>
          <w:tcPr>
            <w:tcW w:w="4675" w:type="dxa"/>
            <w:vAlign w:val="bottom"/>
          </w:tcPr>
          <w:p w14:paraId="02E5E7C3" w14:textId="77777777" w:rsidR="00983AE8" w:rsidRDefault="00983AE8" w:rsidP="001515D5">
            <w:r>
              <w:t>Timing</w:t>
            </w:r>
          </w:p>
        </w:tc>
        <w:tc>
          <w:tcPr>
            <w:tcW w:w="4675" w:type="dxa"/>
            <w:vAlign w:val="center"/>
          </w:tcPr>
          <w:p w14:paraId="48F8DC8F" w14:textId="548A8364" w:rsidR="00983AE8" w:rsidRDefault="00983AE8" w:rsidP="001515D5">
            <w:r>
              <w:t>Rate</w:t>
            </w:r>
          </w:p>
        </w:tc>
      </w:tr>
      <w:tr w:rsidR="00983AE8" w14:paraId="0B298F18" w14:textId="77777777" w:rsidTr="001515D5">
        <w:tc>
          <w:tcPr>
            <w:tcW w:w="4675" w:type="dxa"/>
            <w:vAlign w:val="center"/>
          </w:tcPr>
          <w:p w14:paraId="39DC73D2" w14:textId="77777777" w:rsidR="00983AE8" w:rsidRDefault="00983AE8" w:rsidP="001515D5">
            <w:r>
              <w:t>Neonatal (&lt;28 days)</w:t>
            </w:r>
          </w:p>
        </w:tc>
        <w:tc>
          <w:tcPr>
            <w:tcW w:w="4675" w:type="dxa"/>
            <w:vAlign w:val="center"/>
          </w:tcPr>
          <w:p w14:paraId="59541EAC" w14:textId="77777777" w:rsidR="00983AE8" w:rsidRDefault="00983AE8" w:rsidP="001515D5">
            <w:r>
              <w:t>4.5</w:t>
            </w:r>
          </w:p>
        </w:tc>
      </w:tr>
      <w:tr w:rsidR="00983AE8" w14:paraId="1B375AF3" w14:textId="77777777" w:rsidTr="001515D5">
        <w:tc>
          <w:tcPr>
            <w:tcW w:w="4675" w:type="dxa"/>
            <w:vAlign w:val="center"/>
          </w:tcPr>
          <w:p w14:paraId="546340B1" w14:textId="77777777" w:rsidR="00983AE8" w:rsidRDefault="00983AE8" w:rsidP="001515D5">
            <w:proofErr w:type="spellStart"/>
            <w:r>
              <w:t>Postneonatal</w:t>
            </w:r>
            <w:proofErr w:type="spellEnd"/>
            <w:r>
              <w:t xml:space="preserve"> (28-364 days)</w:t>
            </w:r>
          </w:p>
        </w:tc>
        <w:tc>
          <w:tcPr>
            <w:tcW w:w="4675" w:type="dxa"/>
            <w:vAlign w:val="center"/>
          </w:tcPr>
          <w:p w14:paraId="7EB5B03F" w14:textId="77777777" w:rsidR="00983AE8" w:rsidRDefault="00983AE8" w:rsidP="001515D5">
            <w:r>
              <w:t>2.3</w:t>
            </w:r>
          </w:p>
        </w:tc>
      </w:tr>
    </w:tbl>
    <w:p w14:paraId="35A8CBB5" w14:textId="77777777" w:rsidR="00983AE8" w:rsidRDefault="00983AE8" w:rsidP="00983AE8">
      <w:r w:rsidRPr="00CC7D78">
        <w:t>Source: SC DHEC Vital Statistics</w:t>
      </w:r>
      <w:r>
        <w:t>, 2017-2021</w:t>
      </w:r>
      <w:r w:rsidRPr="00CC7D78">
        <w:t>.</w:t>
      </w:r>
    </w:p>
    <w:p w14:paraId="3FB35F15" w14:textId="77777777" w:rsidR="00506CC7" w:rsidRPr="00506CC7" w:rsidRDefault="00506CC7" w:rsidP="00506CC7"/>
    <w:p w14:paraId="1A648B90" w14:textId="34D02F88" w:rsidR="00506CC7" w:rsidRDefault="00506CC7" w:rsidP="00506CC7">
      <w:pPr>
        <w:rPr>
          <w:b/>
          <w:bCs/>
        </w:rPr>
      </w:pPr>
      <w:bookmarkStart w:id="397" w:name="_Toc162267258"/>
      <w:r w:rsidRPr="00506CC7">
        <w:rPr>
          <w:rStyle w:val="Heading4Char"/>
        </w:rPr>
        <w:t>Data Interpretations</w:t>
      </w:r>
      <w:r>
        <w:rPr>
          <w:rStyle w:val="Heading4Char"/>
        </w:rPr>
        <w:t>:</w:t>
      </w:r>
      <w:bookmarkEnd w:id="397"/>
      <w:r w:rsidRPr="00506CC7">
        <w:rPr>
          <w:b/>
          <w:bCs/>
        </w:rPr>
        <w:t xml:space="preserve"> </w:t>
      </w:r>
    </w:p>
    <w:p w14:paraId="288F52F6" w14:textId="2150233C" w:rsidR="00506CC7" w:rsidRPr="00506CC7" w:rsidRDefault="00506CC7" w:rsidP="00506CC7">
      <w:r w:rsidRPr="00506CC7">
        <w:t>In 2021, the overall infant mortality rate for South Carolina (SC) was 7.3 deaths per 1,000 live births, and this rate has seen little change over the past decade (</w:t>
      </w:r>
      <w:r w:rsidRPr="00506CC7">
        <w:rPr>
          <w:b/>
          <w:bCs/>
        </w:rPr>
        <w:t>Figure 7.1</w:t>
      </w:r>
      <w:r w:rsidRPr="00506CC7">
        <w:t>). However, SC's infant mortality rate exceeds the Healthy People 2030 target of 5.0 deaths per 1,000 live births. Notably, there exists a significant disparity between infant deaths to non-Hispanic White women, with a rate of 5.2 deaths per 1,000 live births, and those born to non-Hispanic Black women, with 12.7 infant deaths per 1,000 live births (</w:t>
      </w:r>
      <w:r w:rsidRPr="00506CC7">
        <w:rPr>
          <w:b/>
          <w:bCs/>
        </w:rPr>
        <w:t>Figure 7.1</w:t>
      </w:r>
      <w:r w:rsidRPr="00506CC7">
        <w:t>).</w:t>
      </w:r>
    </w:p>
    <w:p w14:paraId="1E498D20" w14:textId="77777777" w:rsidR="00506CC7" w:rsidRDefault="00506CC7" w:rsidP="00506CC7"/>
    <w:p w14:paraId="015FDB27" w14:textId="31BC4255" w:rsidR="00506CC7" w:rsidRDefault="00506CC7" w:rsidP="00506CC7">
      <w:r w:rsidRPr="00506CC7">
        <w:t xml:space="preserve">It is important to examine the timing of infant deaths, classified as neonatal, or within 28 days, and </w:t>
      </w:r>
      <w:proofErr w:type="spellStart"/>
      <w:r w:rsidRPr="00506CC7">
        <w:t>postneonatal</w:t>
      </w:r>
      <w:proofErr w:type="spellEnd"/>
      <w:r w:rsidRPr="00506CC7">
        <w:t xml:space="preserve">, at 28 to 364 days. Within SC, the neonatal infant death rate was 4.5 deaths per 1,000 live births, while the </w:t>
      </w:r>
      <w:proofErr w:type="spellStart"/>
      <w:r w:rsidRPr="00506CC7">
        <w:t>postneonatal</w:t>
      </w:r>
      <w:proofErr w:type="spellEnd"/>
      <w:r w:rsidRPr="00506CC7">
        <w:t xml:space="preserve"> infant death rate was 2.3 deaths per 1,000 live births (</w:t>
      </w:r>
      <w:r w:rsidRPr="00506CC7">
        <w:rPr>
          <w:b/>
          <w:bCs/>
        </w:rPr>
        <w:t>Figure 7.2</w:t>
      </w:r>
      <w:r w:rsidRPr="00506CC7">
        <w:t xml:space="preserve">). Neonatal mortality is often linked to events surrounding the prenatal period and delivery, while </w:t>
      </w:r>
      <w:proofErr w:type="spellStart"/>
      <w:r w:rsidRPr="00506CC7">
        <w:t>postneonatal</w:t>
      </w:r>
      <w:proofErr w:type="spellEnd"/>
      <w:r w:rsidRPr="00506CC7">
        <w:t xml:space="preserve"> deaths may reflect environmental factors and conditions arising after birth.</w:t>
      </w:r>
    </w:p>
    <w:p w14:paraId="7186E5D1" w14:textId="77777777" w:rsidR="00506CC7" w:rsidRDefault="00506CC7" w:rsidP="00506CC7">
      <w:pPr>
        <w:rPr>
          <w:i/>
          <w:iCs/>
        </w:rPr>
      </w:pPr>
    </w:p>
    <w:p w14:paraId="27303186" w14:textId="23FE1E9B" w:rsidR="00506CC7" w:rsidRDefault="00506CC7" w:rsidP="00506CC7">
      <w:pPr>
        <w:pStyle w:val="Heading5"/>
      </w:pPr>
      <w:r>
        <w:t xml:space="preserve">Key Takeaways: </w:t>
      </w:r>
    </w:p>
    <w:p w14:paraId="119AE372" w14:textId="7AC76C51" w:rsidR="00506CC7" w:rsidRPr="00506CC7" w:rsidRDefault="00506CC7" w:rsidP="00926EB3">
      <w:pPr>
        <w:pStyle w:val="ListParagraph"/>
        <w:numPr>
          <w:ilvl w:val="0"/>
          <w:numId w:val="220"/>
        </w:numPr>
      </w:pPr>
      <w:r w:rsidRPr="00506CC7">
        <w:t xml:space="preserve">In 2021, the overall infant mortality rate for South Carolina (SC) was 7.3 deaths per 1,000 live births, and this rate is highest among non-Hispanic Black infants (12.7 deaths per 1,000 live births). </w:t>
      </w:r>
    </w:p>
    <w:p w14:paraId="3C94E6DC" w14:textId="77777777" w:rsidR="00506CC7" w:rsidRDefault="00506CC7" w:rsidP="00506CC7">
      <w:pPr>
        <w:rPr>
          <w:i/>
          <w:iCs/>
        </w:rPr>
      </w:pPr>
    </w:p>
    <w:p w14:paraId="7E243328" w14:textId="58AF1234" w:rsidR="00506CC7" w:rsidRPr="00506CC7" w:rsidRDefault="00506CC7" w:rsidP="00506CC7">
      <w:pPr>
        <w:pStyle w:val="Heading4"/>
        <w:rPr>
          <w:rFonts w:asciiTheme="minorHAnsi" w:hAnsiTheme="minorHAnsi" w:cstheme="minorHAnsi"/>
          <w:color w:val="000000" w:themeColor="text1"/>
        </w:rPr>
      </w:pPr>
      <w:bookmarkStart w:id="398" w:name="_Toc162267259"/>
      <w:r w:rsidRPr="00506CC7">
        <w:rPr>
          <w:rFonts w:asciiTheme="minorHAnsi" w:hAnsiTheme="minorHAnsi" w:cstheme="minorHAnsi"/>
          <w:color w:val="000000" w:themeColor="text1"/>
        </w:rPr>
        <w:t>References 7.1</w:t>
      </w:r>
      <w:bookmarkEnd w:id="398"/>
      <w:r w:rsidRPr="00506CC7">
        <w:rPr>
          <w:rFonts w:asciiTheme="minorHAnsi" w:hAnsiTheme="minorHAnsi" w:cstheme="minorHAnsi"/>
          <w:color w:val="000000" w:themeColor="text1"/>
        </w:rPr>
        <w:t xml:space="preserve"> </w:t>
      </w:r>
    </w:p>
    <w:p w14:paraId="4DCB867B" w14:textId="77777777" w:rsidR="00506CC7" w:rsidRPr="00506CC7" w:rsidRDefault="00506CC7" w:rsidP="00506CC7">
      <w:r w:rsidRPr="00506CC7">
        <w:t>Statistics in the preceding section were referenced from the following reports:</w:t>
      </w:r>
    </w:p>
    <w:p w14:paraId="3F5DA3CE" w14:textId="67E6C34E" w:rsidR="00506CC7" w:rsidRPr="00506CC7" w:rsidRDefault="00000000" w:rsidP="00926EB3">
      <w:pPr>
        <w:pStyle w:val="ListParagraph"/>
        <w:numPr>
          <w:ilvl w:val="0"/>
          <w:numId w:val="28"/>
        </w:numPr>
      </w:pPr>
      <w:hyperlink r:id="rId195" w:history="1">
        <w:r w:rsidR="00506CC7" w:rsidRPr="00506CC7">
          <w:rPr>
            <w:rStyle w:val="Hyperlink"/>
          </w:rPr>
          <w:t>“Infant Mortality, Maternal and Infant Health, Reproductive Health” by CDC via cdc.gov. Accessed June 21, 2023.</w:t>
        </w:r>
      </w:hyperlink>
      <w:r w:rsidR="00506CC7" w:rsidRPr="00506CC7">
        <w:t xml:space="preserve"> </w:t>
      </w:r>
    </w:p>
    <w:p w14:paraId="0661D933" w14:textId="32C8ED49" w:rsidR="00506CC7" w:rsidRPr="00506CC7" w:rsidRDefault="00000000" w:rsidP="00926EB3">
      <w:pPr>
        <w:pStyle w:val="ListParagraph"/>
        <w:numPr>
          <w:ilvl w:val="0"/>
          <w:numId w:val="28"/>
        </w:numPr>
      </w:pPr>
      <w:hyperlink r:id="rId196" w:history="1">
        <w:r w:rsidR="00506CC7" w:rsidRPr="00506CC7">
          <w:rPr>
            <w:rStyle w:val="Hyperlink"/>
          </w:rPr>
          <w:t>“Healthy People 2030” via health.gov. Accessed June 21, 2023.</w:t>
        </w:r>
      </w:hyperlink>
      <w:r w:rsidR="00506CC7" w:rsidRPr="00506CC7">
        <w:t xml:space="preserve"> </w:t>
      </w:r>
    </w:p>
    <w:p w14:paraId="72D63851" w14:textId="38F0C2E9" w:rsidR="00506CC7" w:rsidRPr="00506CC7" w:rsidRDefault="00506CC7" w:rsidP="00926EB3">
      <w:pPr>
        <w:pStyle w:val="ListParagraph"/>
        <w:numPr>
          <w:ilvl w:val="0"/>
          <w:numId w:val="28"/>
        </w:numPr>
      </w:pPr>
      <w:r>
        <w:t>“</w:t>
      </w:r>
      <w:r w:rsidRPr="00506CC7">
        <w:t>Preconception health care interventions: A scoping review</w:t>
      </w:r>
      <w:r>
        <w:t>” by</w:t>
      </w:r>
      <w:r w:rsidRPr="00506CC7">
        <w:t xml:space="preserve"> </w:t>
      </w:r>
      <w:proofErr w:type="spellStart"/>
      <w:r w:rsidRPr="00506CC7">
        <w:t>Hemsing</w:t>
      </w:r>
      <w:proofErr w:type="spellEnd"/>
      <w:r w:rsidRPr="00506CC7">
        <w:t xml:space="preserve"> N, Greaves L, Poole N.</w:t>
      </w:r>
      <w:r>
        <w:t xml:space="preserve"> Published in</w:t>
      </w:r>
      <w:r w:rsidRPr="00506CC7">
        <w:t xml:space="preserve"> Sex </w:t>
      </w:r>
      <w:proofErr w:type="spellStart"/>
      <w:r w:rsidRPr="00506CC7">
        <w:t>Reprod</w:t>
      </w:r>
      <w:proofErr w:type="spellEnd"/>
      <w:r w:rsidRPr="00506CC7">
        <w:t xml:space="preserve"> </w:t>
      </w:r>
      <w:proofErr w:type="spellStart"/>
      <w:r w:rsidRPr="00506CC7">
        <w:t>Healthc</w:t>
      </w:r>
      <w:proofErr w:type="spellEnd"/>
      <w:r w:rsidRPr="00506CC7">
        <w:t>.</w:t>
      </w:r>
      <w:r>
        <w:t>,</w:t>
      </w:r>
      <w:r w:rsidRPr="00506CC7">
        <w:t xml:space="preserve"> 2017</w:t>
      </w:r>
      <w:r>
        <w:t>. No hyperlink.</w:t>
      </w:r>
    </w:p>
    <w:p w14:paraId="020F0C88" w14:textId="77777777" w:rsidR="00506CC7" w:rsidRDefault="00506CC7" w:rsidP="00F73294"/>
    <w:p w14:paraId="0E4627F4" w14:textId="77777777" w:rsidR="00506CC7" w:rsidRPr="00506CC7" w:rsidRDefault="00506CC7" w:rsidP="00506CC7">
      <w:pPr>
        <w:pStyle w:val="Heading3"/>
      </w:pPr>
      <w:bookmarkStart w:id="399" w:name="_Toc162267260"/>
      <w:r w:rsidRPr="00506CC7">
        <w:lastRenderedPageBreak/>
        <w:t>Maternal Mortality</w:t>
      </w:r>
      <w:bookmarkEnd w:id="399"/>
    </w:p>
    <w:p w14:paraId="7E23BE37" w14:textId="32E405C0" w:rsidR="00506CC7" w:rsidRDefault="00506CC7" w:rsidP="00506CC7">
      <w:r w:rsidRPr="00506CC7">
        <w:t xml:space="preserve">In the US, 1,205 women died </w:t>
      </w:r>
      <w:proofErr w:type="gramStart"/>
      <w:r w:rsidRPr="00506CC7">
        <w:t>as a result of</w:t>
      </w:r>
      <w:proofErr w:type="gramEnd"/>
      <w:r w:rsidRPr="00506CC7">
        <w:t xml:space="preserve"> pregnancy complications in 2021. Pregnancy-related deaths are defined as a death while pregnant or within a year of the end of pregnancy from any cause related to or aggravated by pregnancy. In 2019 the pregnancy-related mortality ratio was 17.6 deaths per 100,000 live births in the US.</w:t>
      </w:r>
      <w:r w:rsidRPr="00506CC7">
        <w:rPr>
          <w:b/>
          <w:bCs/>
        </w:rPr>
        <w:t>5</w:t>
      </w:r>
      <w:r w:rsidRPr="00506CC7">
        <w:t xml:space="preserve"> Additionally, disparities exist by race and ethnicity; non-Hispanic Native Hawaiian or other Pacific Islander (62.8 deaths per 100,000 live births) and non-Hispanic Black women (39.9 deaths per 100,000 live births) had much higher rates of pregnancy-related death compared to non-Hispanic White women (14.1 deaths per 100,000 live births). Efforts must be made to tackle the underlying factors contributing to pregnancy-related mortality, especially among minorities, through ensuring appropriate medical interventions, promoting </w:t>
      </w:r>
      <w:proofErr w:type="gramStart"/>
      <w:r w:rsidRPr="00506CC7">
        <w:t>education</w:t>
      </w:r>
      <w:proofErr w:type="gramEnd"/>
      <w:r w:rsidRPr="00506CC7">
        <w:t xml:space="preserve"> and increasing awareness regarding maternal health, and making sure birthing women of color receive equitable and comprehensive care during pregnancy and the post-partum period. </w:t>
      </w:r>
    </w:p>
    <w:p w14:paraId="58BE29C0" w14:textId="77777777" w:rsidR="00506CC7" w:rsidRDefault="00506CC7" w:rsidP="00506CC7"/>
    <w:p w14:paraId="13873BC2" w14:textId="77777777" w:rsidR="00983AE8" w:rsidRDefault="00983AE8" w:rsidP="00983AE8">
      <w:pPr>
        <w:pStyle w:val="Heading4"/>
      </w:pPr>
      <w:bookmarkStart w:id="400" w:name="_Toc154576400"/>
      <w:bookmarkStart w:id="401" w:name="_Toc162267261"/>
      <w:r>
        <w:t>Figure 7.3: Pregnancy-Related Mortality, by Age/Ethnicity.</w:t>
      </w:r>
      <w:bookmarkEnd w:id="400"/>
      <w:bookmarkEnd w:id="401"/>
    </w:p>
    <w:p w14:paraId="460C4F8D" w14:textId="77777777" w:rsidR="00983AE8" w:rsidRDefault="00983AE8" w:rsidP="00983AE8">
      <w:pPr>
        <w:pStyle w:val="Heading5"/>
      </w:pPr>
      <w:r>
        <w:t>Rate per 100,000 live births.</w:t>
      </w:r>
    </w:p>
    <w:tbl>
      <w:tblPr>
        <w:tblStyle w:val="TableGrid"/>
        <w:tblW w:w="0" w:type="auto"/>
        <w:tblLook w:val="04A0" w:firstRow="1" w:lastRow="0" w:firstColumn="1" w:lastColumn="0" w:noHBand="0" w:noVBand="1"/>
      </w:tblPr>
      <w:tblGrid>
        <w:gridCol w:w="2337"/>
        <w:gridCol w:w="2337"/>
        <w:gridCol w:w="2338"/>
        <w:gridCol w:w="2338"/>
      </w:tblGrid>
      <w:tr w:rsidR="00983AE8" w14:paraId="0532F2B0" w14:textId="77777777" w:rsidTr="001515D5">
        <w:tc>
          <w:tcPr>
            <w:tcW w:w="2337" w:type="dxa"/>
            <w:vAlign w:val="bottom"/>
          </w:tcPr>
          <w:p w14:paraId="6154B866" w14:textId="77777777" w:rsidR="00983AE8" w:rsidRDefault="00983AE8" w:rsidP="001515D5">
            <w:r>
              <w:t>Year</w:t>
            </w:r>
          </w:p>
        </w:tc>
        <w:tc>
          <w:tcPr>
            <w:tcW w:w="2337" w:type="dxa"/>
            <w:vAlign w:val="bottom"/>
          </w:tcPr>
          <w:p w14:paraId="0A331BA4" w14:textId="77777777" w:rsidR="00983AE8" w:rsidRDefault="00983AE8" w:rsidP="001515D5">
            <w:r>
              <w:t>South Carolina</w:t>
            </w:r>
          </w:p>
        </w:tc>
        <w:tc>
          <w:tcPr>
            <w:tcW w:w="2338" w:type="dxa"/>
            <w:vAlign w:val="bottom"/>
          </w:tcPr>
          <w:p w14:paraId="65B81C59" w14:textId="77777777" w:rsidR="00983AE8" w:rsidRDefault="00983AE8" w:rsidP="001515D5">
            <w:r>
              <w:t>Non-Hispanic White</w:t>
            </w:r>
          </w:p>
        </w:tc>
        <w:tc>
          <w:tcPr>
            <w:tcW w:w="2338" w:type="dxa"/>
            <w:vAlign w:val="bottom"/>
          </w:tcPr>
          <w:p w14:paraId="63245DE5" w14:textId="77777777" w:rsidR="00983AE8" w:rsidRDefault="00983AE8" w:rsidP="001515D5">
            <w:r>
              <w:t>Non-Hispanic Black</w:t>
            </w:r>
          </w:p>
        </w:tc>
      </w:tr>
      <w:tr w:rsidR="00983AE8" w14:paraId="66FD2317" w14:textId="77777777" w:rsidTr="001515D5">
        <w:tc>
          <w:tcPr>
            <w:tcW w:w="2337" w:type="dxa"/>
            <w:vAlign w:val="center"/>
          </w:tcPr>
          <w:p w14:paraId="0E94EAE9" w14:textId="77777777" w:rsidR="00983AE8" w:rsidRDefault="00983AE8" w:rsidP="001515D5">
            <w:r>
              <w:t>2018-2019</w:t>
            </w:r>
          </w:p>
        </w:tc>
        <w:tc>
          <w:tcPr>
            <w:tcW w:w="2337" w:type="dxa"/>
            <w:vAlign w:val="bottom"/>
          </w:tcPr>
          <w:p w14:paraId="02049D21" w14:textId="77777777" w:rsidR="00983AE8" w:rsidRDefault="00983AE8" w:rsidP="001515D5">
            <w:r>
              <w:t>36.9</w:t>
            </w:r>
          </w:p>
        </w:tc>
        <w:tc>
          <w:tcPr>
            <w:tcW w:w="2338" w:type="dxa"/>
            <w:vAlign w:val="bottom"/>
          </w:tcPr>
          <w:p w14:paraId="060C9C1C" w14:textId="77777777" w:rsidR="00983AE8" w:rsidRDefault="00983AE8" w:rsidP="001515D5">
            <w:r>
              <w:t>29.3</w:t>
            </w:r>
          </w:p>
        </w:tc>
        <w:tc>
          <w:tcPr>
            <w:tcW w:w="2338" w:type="dxa"/>
            <w:vAlign w:val="bottom"/>
          </w:tcPr>
          <w:p w14:paraId="2CCD9C97" w14:textId="77777777" w:rsidR="00983AE8" w:rsidRDefault="00983AE8" w:rsidP="001515D5">
            <w:r>
              <w:t>48.9</w:t>
            </w:r>
          </w:p>
        </w:tc>
      </w:tr>
    </w:tbl>
    <w:p w14:paraId="1838248A" w14:textId="77777777" w:rsidR="00983AE8" w:rsidRPr="00CC7D78" w:rsidRDefault="00983AE8" w:rsidP="00983AE8">
      <w:r w:rsidRPr="00CC7D78">
        <w:t xml:space="preserve">Source: SC Maternal Morbidity and Mortality Review Committee Legislative Brief, 2023. 2018 and 2019 Pregnancy- Related deaths. </w:t>
      </w:r>
    </w:p>
    <w:p w14:paraId="3CDE8D49" w14:textId="77777777" w:rsidR="00983AE8" w:rsidRDefault="00983AE8" w:rsidP="00983AE8">
      <w:r w:rsidRPr="00CC7D78">
        <w:t>Note: A pregnancy-related death is defined as the death of a woman while pregnant or within one year of the end of pregnancy from any cause related to or aggravated by the pregnancy.</w:t>
      </w:r>
    </w:p>
    <w:p w14:paraId="7D98AFD4" w14:textId="77777777" w:rsidR="00983AE8" w:rsidRDefault="00983AE8" w:rsidP="00983AE8"/>
    <w:p w14:paraId="40DF0A7A" w14:textId="77777777" w:rsidR="00983AE8" w:rsidRDefault="00983AE8" w:rsidP="00983AE8">
      <w:pPr>
        <w:pStyle w:val="Heading4"/>
      </w:pPr>
      <w:bookmarkStart w:id="402" w:name="_Toc154576401"/>
      <w:bookmarkStart w:id="403" w:name="_Toc162267262"/>
      <w:r>
        <w:t>Figure 7.4: Leading Causes of Pregnancy-Related Mortality.</w:t>
      </w:r>
      <w:bookmarkEnd w:id="402"/>
      <w:bookmarkEnd w:id="403"/>
    </w:p>
    <w:tbl>
      <w:tblPr>
        <w:tblStyle w:val="TableGrid"/>
        <w:tblW w:w="0" w:type="auto"/>
        <w:tblLook w:val="04A0" w:firstRow="1" w:lastRow="0" w:firstColumn="1" w:lastColumn="0" w:noHBand="0" w:noVBand="1"/>
      </w:tblPr>
      <w:tblGrid>
        <w:gridCol w:w="4675"/>
        <w:gridCol w:w="4675"/>
      </w:tblGrid>
      <w:tr w:rsidR="00983AE8" w14:paraId="234DEFA9" w14:textId="77777777" w:rsidTr="001515D5">
        <w:tc>
          <w:tcPr>
            <w:tcW w:w="4675" w:type="dxa"/>
            <w:vAlign w:val="bottom"/>
          </w:tcPr>
          <w:p w14:paraId="47A1C5CF" w14:textId="77777777" w:rsidR="00983AE8" w:rsidRDefault="00983AE8" w:rsidP="001515D5">
            <w:r>
              <w:t>Cause</w:t>
            </w:r>
          </w:p>
        </w:tc>
        <w:tc>
          <w:tcPr>
            <w:tcW w:w="4675" w:type="dxa"/>
            <w:vAlign w:val="bottom"/>
          </w:tcPr>
          <w:p w14:paraId="242E67B9" w14:textId="77777777" w:rsidR="00983AE8" w:rsidRDefault="00983AE8" w:rsidP="001515D5">
            <w:r>
              <w:t>Percent</w:t>
            </w:r>
          </w:p>
        </w:tc>
      </w:tr>
      <w:tr w:rsidR="00983AE8" w14:paraId="6FD46AFA" w14:textId="77777777" w:rsidTr="001515D5">
        <w:tc>
          <w:tcPr>
            <w:tcW w:w="4675" w:type="dxa"/>
            <w:vAlign w:val="bottom"/>
          </w:tcPr>
          <w:p w14:paraId="7FEFFCDC" w14:textId="77777777" w:rsidR="00983AE8" w:rsidRDefault="00983AE8" w:rsidP="001515D5">
            <w:r>
              <w:t>Cardiomyopathy</w:t>
            </w:r>
          </w:p>
        </w:tc>
        <w:tc>
          <w:tcPr>
            <w:tcW w:w="4675" w:type="dxa"/>
            <w:vAlign w:val="bottom"/>
          </w:tcPr>
          <w:p w14:paraId="34C4754A" w14:textId="77777777" w:rsidR="00983AE8" w:rsidRDefault="00983AE8" w:rsidP="001515D5">
            <w:r>
              <w:t>16.7%</w:t>
            </w:r>
          </w:p>
        </w:tc>
      </w:tr>
      <w:tr w:rsidR="00983AE8" w14:paraId="3CD2C9F7" w14:textId="77777777" w:rsidTr="001515D5">
        <w:tc>
          <w:tcPr>
            <w:tcW w:w="4675" w:type="dxa"/>
            <w:vAlign w:val="bottom"/>
          </w:tcPr>
          <w:p w14:paraId="4318E385" w14:textId="77777777" w:rsidR="00983AE8" w:rsidRDefault="00983AE8" w:rsidP="001515D5">
            <w:r>
              <w:t>Mental Health Conditions</w:t>
            </w:r>
          </w:p>
        </w:tc>
        <w:tc>
          <w:tcPr>
            <w:tcW w:w="4675" w:type="dxa"/>
            <w:vAlign w:val="bottom"/>
          </w:tcPr>
          <w:p w14:paraId="2CDD31F8" w14:textId="77777777" w:rsidR="00983AE8" w:rsidRDefault="00983AE8" w:rsidP="001515D5">
            <w:r>
              <w:t>14.3%</w:t>
            </w:r>
          </w:p>
        </w:tc>
      </w:tr>
      <w:tr w:rsidR="00983AE8" w14:paraId="6FC9E569" w14:textId="77777777" w:rsidTr="001515D5">
        <w:tc>
          <w:tcPr>
            <w:tcW w:w="4675" w:type="dxa"/>
            <w:vAlign w:val="bottom"/>
          </w:tcPr>
          <w:p w14:paraId="7D9ADE85" w14:textId="77777777" w:rsidR="00983AE8" w:rsidRDefault="00983AE8" w:rsidP="001515D5">
            <w:r>
              <w:t>Hemorrhage</w:t>
            </w:r>
          </w:p>
        </w:tc>
        <w:tc>
          <w:tcPr>
            <w:tcW w:w="4675" w:type="dxa"/>
            <w:vAlign w:val="bottom"/>
          </w:tcPr>
          <w:p w14:paraId="395793B2" w14:textId="77777777" w:rsidR="00983AE8" w:rsidRDefault="00983AE8" w:rsidP="001515D5">
            <w:r>
              <w:t>11.9%</w:t>
            </w:r>
          </w:p>
        </w:tc>
      </w:tr>
      <w:tr w:rsidR="00983AE8" w14:paraId="2FCCD139" w14:textId="77777777" w:rsidTr="001515D5">
        <w:tc>
          <w:tcPr>
            <w:tcW w:w="4675" w:type="dxa"/>
            <w:vAlign w:val="bottom"/>
          </w:tcPr>
          <w:p w14:paraId="2F72CD81" w14:textId="77777777" w:rsidR="00983AE8" w:rsidRDefault="00983AE8" w:rsidP="001515D5">
            <w:r>
              <w:t>Cardiovascular Conditions</w:t>
            </w:r>
          </w:p>
        </w:tc>
        <w:tc>
          <w:tcPr>
            <w:tcW w:w="4675" w:type="dxa"/>
            <w:vAlign w:val="bottom"/>
          </w:tcPr>
          <w:p w14:paraId="624297F7" w14:textId="77777777" w:rsidR="00983AE8" w:rsidRDefault="00983AE8" w:rsidP="001515D5">
            <w:r>
              <w:t>9.5%</w:t>
            </w:r>
          </w:p>
        </w:tc>
      </w:tr>
      <w:tr w:rsidR="00983AE8" w14:paraId="6AC7F929" w14:textId="77777777" w:rsidTr="001515D5">
        <w:tc>
          <w:tcPr>
            <w:tcW w:w="4675" w:type="dxa"/>
            <w:vAlign w:val="bottom"/>
          </w:tcPr>
          <w:p w14:paraId="5F834029" w14:textId="77777777" w:rsidR="00983AE8" w:rsidRDefault="00983AE8" w:rsidP="001515D5">
            <w:r>
              <w:t>Infections</w:t>
            </w:r>
          </w:p>
        </w:tc>
        <w:tc>
          <w:tcPr>
            <w:tcW w:w="4675" w:type="dxa"/>
            <w:vAlign w:val="bottom"/>
          </w:tcPr>
          <w:p w14:paraId="49415789" w14:textId="77777777" w:rsidR="00983AE8" w:rsidRDefault="00983AE8" w:rsidP="001515D5">
            <w:r>
              <w:t>9.5%</w:t>
            </w:r>
          </w:p>
        </w:tc>
      </w:tr>
    </w:tbl>
    <w:p w14:paraId="14AE844C" w14:textId="77777777" w:rsidR="00983AE8" w:rsidRPr="00CC7D78" w:rsidRDefault="00983AE8" w:rsidP="00983AE8">
      <w:pPr>
        <w:pStyle w:val="NoSpacing"/>
      </w:pPr>
      <w:r w:rsidRPr="00CC7D78">
        <w:t xml:space="preserve">Source: SC Maternal Morbidity and Mortality Review Committee Legislative Brief, 2023. 2018 and 2019 Pregnancy- Related deaths. </w:t>
      </w:r>
    </w:p>
    <w:p w14:paraId="06160864" w14:textId="77777777" w:rsidR="00983AE8" w:rsidRDefault="00983AE8" w:rsidP="00983AE8">
      <w:pPr>
        <w:pStyle w:val="NoSpacing"/>
      </w:pPr>
      <w:r w:rsidRPr="00CC7D78">
        <w:lastRenderedPageBreak/>
        <w:t>Note: A pregnancy-related death is defined as the death of a woman while pregnant or within one year of the end of pregnancy from any cause related to or aggravated by the pregnancy.</w:t>
      </w:r>
    </w:p>
    <w:p w14:paraId="1080C7A2" w14:textId="77777777" w:rsidR="00506CC7" w:rsidRDefault="00506CC7" w:rsidP="00506CC7"/>
    <w:p w14:paraId="0AE2B966" w14:textId="77777777" w:rsidR="00506CC7" w:rsidRDefault="00506CC7" w:rsidP="00506CC7">
      <w:pPr>
        <w:rPr>
          <w:b/>
          <w:bCs/>
        </w:rPr>
      </w:pPr>
      <w:bookmarkStart w:id="404" w:name="_Toc162267263"/>
      <w:r w:rsidRPr="00506CC7">
        <w:rPr>
          <w:rStyle w:val="Heading4Char"/>
        </w:rPr>
        <w:t>Data Interpretations:</w:t>
      </w:r>
      <w:bookmarkEnd w:id="404"/>
      <w:r w:rsidRPr="00506CC7">
        <w:rPr>
          <w:b/>
          <w:bCs/>
        </w:rPr>
        <w:t xml:space="preserve"> </w:t>
      </w:r>
    </w:p>
    <w:p w14:paraId="76C4503E" w14:textId="71A610E3" w:rsidR="00506CC7" w:rsidRPr="00506CC7" w:rsidRDefault="00506CC7" w:rsidP="00506CC7">
      <w:r w:rsidRPr="00506CC7">
        <w:t>Data from the SC Maternal Morbidity and Mortality Review Committee from 2018-2019 showed that the pregnancy-related mortality rate in SC was 36.9 deaths per 100,000 live births (</w:t>
      </w:r>
      <w:r w:rsidRPr="00506CC7">
        <w:rPr>
          <w:b/>
          <w:bCs/>
        </w:rPr>
        <w:t>Figure 7.3</w:t>
      </w:r>
      <w:r w:rsidRPr="00506CC7">
        <w:t>). In SC, non-Hispanic Black women had a pregnancy-related mortality rate of 48.9 deaths per 100,000 live births, which was 67% higher than their non-Hispanic White counterparts who experienced a rate of 29.3 deaths per 100,000 live births (</w:t>
      </w:r>
      <w:r w:rsidRPr="00506CC7">
        <w:rPr>
          <w:b/>
          <w:bCs/>
        </w:rPr>
        <w:t>Figure 7.3</w:t>
      </w:r>
      <w:r w:rsidRPr="00506CC7">
        <w:t>). The top five leading underlying causes of pregnancy-related mortality in SC were: Cardiomyopathy, accounting for 16.7%; mental health conditions like depression and substance use, at 14.3%; hemorrhage at 11.9%; cardiovascular conditions at 9.5%; and infections at 9.5% (</w:t>
      </w:r>
      <w:r w:rsidRPr="00506CC7">
        <w:rPr>
          <w:b/>
          <w:bCs/>
        </w:rPr>
        <w:t>Figure 7.4</w:t>
      </w:r>
      <w:r w:rsidRPr="00506CC7">
        <w:t>).</w:t>
      </w:r>
    </w:p>
    <w:p w14:paraId="50A2F8B0" w14:textId="77777777" w:rsidR="00506CC7" w:rsidRPr="00506CC7" w:rsidRDefault="00506CC7" w:rsidP="00506CC7"/>
    <w:p w14:paraId="07FBCE4A" w14:textId="77777777" w:rsidR="005253DC" w:rsidRDefault="00506CC7" w:rsidP="00506CC7">
      <w:pPr>
        <w:rPr>
          <w:b/>
          <w:bCs/>
        </w:rPr>
      </w:pPr>
      <w:r w:rsidRPr="00506CC7">
        <w:rPr>
          <w:rStyle w:val="Heading5Char"/>
        </w:rPr>
        <w:t>Key Takeaways:</w:t>
      </w:r>
      <w:r>
        <w:rPr>
          <w:b/>
          <w:bCs/>
        </w:rPr>
        <w:t xml:space="preserve"> </w:t>
      </w:r>
    </w:p>
    <w:p w14:paraId="711C21B8" w14:textId="3A41C3A8" w:rsidR="00506CC7" w:rsidRPr="005253DC" w:rsidRDefault="00506CC7" w:rsidP="00926EB3">
      <w:pPr>
        <w:pStyle w:val="ListParagraph"/>
        <w:numPr>
          <w:ilvl w:val="0"/>
          <w:numId w:val="220"/>
        </w:numPr>
        <w:rPr>
          <w:b/>
          <w:bCs/>
        </w:rPr>
      </w:pPr>
      <w:r w:rsidRPr="00506CC7">
        <w:t>In SC, non-Hispanic Black women had a pregnancy-related mortality rate of 48.9 deaths per 100,000 live births, which was 67% higher than that of their non-Hispanic White counterparts who experienced a rate of 29.3 deaths per 100,000 live births.</w:t>
      </w:r>
    </w:p>
    <w:p w14:paraId="11DF28FC" w14:textId="77777777" w:rsidR="00506CC7" w:rsidRDefault="00506CC7" w:rsidP="00F73294"/>
    <w:p w14:paraId="39341367" w14:textId="35F6059A" w:rsidR="00506CC7" w:rsidRPr="00506CC7" w:rsidRDefault="00506CC7" w:rsidP="00506CC7">
      <w:pPr>
        <w:pStyle w:val="Heading4"/>
        <w:rPr>
          <w:rFonts w:asciiTheme="minorHAnsi" w:hAnsiTheme="minorHAnsi" w:cstheme="minorHAnsi"/>
          <w:color w:val="000000" w:themeColor="text1"/>
        </w:rPr>
      </w:pPr>
      <w:bookmarkStart w:id="405" w:name="_Toc162267264"/>
      <w:r w:rsidRPr="00506CC7">
        <w:rPr>
          <w:rFonts w:asciiTheme="minorHAnsi" w:hAnsiTheme="minorHAnsi" w:cstheme="minorHAnsi"/>
          <w:color w:val="000000" w:themeColor="text1"/>
        </w:rPr>
        <w:t>References 7.2</w:t>
      </w:r>
      <w:bookmarkEnd w:id="405"/>
      <w:r w:rsidRPr="00506CC7">
        <w:rPr>
          <w:rFonts w:asciiTheme="minorHAnsi" w:hAnsiTheme="minorHAnsi" w:cstheme="minorHAnsi"/>
          <w:color w:val="000000" w:themeColor="text1"/>
        </w:rPr>
        <w:t xml:space="preserve"> </w:t>
      </w:r>
    </w:p>
    <w:p w14:paraId="1DD937AD" w14:textId="0CB56036" w:rsidR="00506CC7" w:rsidRPr="00506CC7" w:rsidRDefault="00506CC7" w:rsidP="00506CC7">
      <w:r w:rsidRPr="00506CC7">
        <w:t>Statistics in the preceding section were referenced from the following report:</w:t>
      </w:r>
    </w:p>
    <w:p w14:paraId="48752F16" w14:textId="1D06E764" w:rsidR="00506CC7" w:rsidRDefault="00506CC7" w:rsidP="00926EB3">
      <w:pPr>
        <w:pStyle w:val="ListParagraph"/>
        <w:numPr>
          <w:ilvl w:val="0"/>
          <w:numId w:val="28"/>
        </w:numPr>
      </w:pPr>
      <w:r>
        <w:t>“</w:t>
      </w:r>
      <w:r w:rsidRPr="00506CC7">
        <w:t>Maternal Mortality Rates in the United States</w:t>
      </w:r>
      <w:r>
        <w:t xml:space="preserve">” by </w:t>
      </w:r>
      <w:proofErr w:type="spellStart"/>
      <w:r>
        <w:t>Hoyert</w:t>
      </w:r>
      <w:proofErr w:type="spellEnd"/>
      <w:r>
        <w:t xml:space="preserve"> D.</w:t>
      </w:r>
      <w:r w:rsidRPr="00506CC7">
        <w:t xml:space="preserve">, 2020. Published online February 25, 2022. </w:t>
      </w:r>
      <w:r>
        <w:t>No hyperlink.</w:t>
      </w:r>
    </w:p>
    <w:p w14:paraId="50831075" w14:textId="786FF7F6" w:rsidR="00506CC7" w:rsidRPr="00506CC7" w:rsidRDefault="00000000" w:rsidP="00926EB3">
      <w:pPr>
        <w:pStyle w:val="ListParagraph"/>
        <w:numPr>
          <w:ilvl w:val="0"/>
          <w:numId w:val="28"/>
        </w:numPr>
        <w:rPr>
          <w:u w:val="thick"/>
        </w:rPr>
      </w:pPr>
      <w:hyperlink r:id="rId197" w:history="1">
        <w:r w:rsidR="00506CC7" w:rsidRPr="00506CC7">
          <w:rPr>
            <w:rStyle w:val="Hyperlink"/>
          </w:rPr>
          <w:t>“Pregnancy Mortality Surveillance System, Maternal and Infant Health” by CDC, via cdc.gov. Accessed June 21, 2023.</w:t>
        </w:r>
      </w:hyperlink>
      <w:r w:rsidR="00506CC7" w:rsidRPr="00506CC7">
        <w:t xml:space="preserve"> </w:t>
      </w:r>
    </w:p>
    <w:p w14:paraId="4CB346C5" w14:textId="77777777" w:rsidR="00506CC7" w:rsidRPr="00506CC7" w:rsidRDefault="00506CC7" w:rsidP="00F73294"/>
    <w:p w14:paraId="231B6F17" w14:textId="7F65EDB5" w:rsidR="00506CC7" w:rsidRPr="00506CC7" w:rsidRDefault="00506CC7" w:rsidP="00506CC7">
      <w:pPr>
        <w:pStyle w:val="Heading3"/>
      </w:pPr>
      <w:bookmarkStart w:id="406" w:name="_Toc162267265"/>
      <w:r w:rsidRPr="00506CC7">
        <w:t>Preconception Health</w:t>
      </w:r>
      <w:r>
        <w:t>: Healthy Weight</w:t>
      </w:r>
      <w:bookmarkEnd w:id="406"/>
    </w:p>
    <w:p w14:paraId="050C1E8C" w14:textId="7AD5AE53" w:rsidR="00506CC7" w:rsidRPr="00506CC7" w:rsidRDefault="00506CC7" w:rsidP="00506CC7">
      <w:r w:rsidRPr="00506CC7">
        <w:t xml:space="preserve">Preconception health refers to the health of people during their reproductive years, or the years they can have a child. An important aspect of preconception health is maintaining a healthy weight before pregnancy. Unhealthy weight prior to pregnancy is linked to poor pregnancy outcomes, including high blood pressure and gestational diabetes in mothers, as well as stillbirths and preterm births in infants. </w:t>
      </w:r>
    </w:p>
    <w:p w14:paraId="15C295B7" w14:textId="77777777" w:rsidR="00506CC7" w:rsidRDefault="00506CC7" w:rsidP="00506CC7"/>
    <w:p w14:paraId="7211AD11" w14:textId="77777777" w:rsidR="00506CC7" w:rsidRDefault="00506CC7" w:rsidP="00506CC7">
      <w:pPr>
        <w:rPr>
          <w:b/>
          <w:bCs/>
        </w:rPr>
      </w:pPr>
      <w:bookmarkStart w:id="407" w:name="_Toc162267266"/>
      <w:r w:rsidRPr="00506CC7">
        <w:rPr>
          <w:rStyle w:val="Heading4Char"/>
        </w:rPr>
        <w:lastRenderedPageBreak/>
        <w:t>Data Interpretations:</w:t>
      </w:r>
      <w:bookmarkEnd w:id="407"/>
      <w:r w:rsidRPr="00506CC7">
        <w:rPr>
          <w:b/>
          <w:bCs/>
        </w:rPr>
        <w:t xml:space="preserve"> </w:t>
      </w:r>
    </w:p>
    <w:p w14:paraId="3D2E5A16" w14:textId="26359E96" w:rsidR="00506CC7" w:rsidRPr="00506CC7" w:rsidRDefault="00506CC7" w:rsidP="00506CC7">
      <w:r w:rsidRPr="00506CC7">
        <w:t>In SC, the proportion of women with healthy weight prior to pregnancy was less than that of the US and this proportion decreased from 39.3% in 2017 to 35.6% in 2021, moving further away from the Healthy People 2030 goal of 47.5% (</w:t>
      </w:r>
      <w:r w:rsidRPr="00506CC7">
        <w:rPr>
          <w:b/>
          <w:bCs/>
        </w:rPr>
        <w:t>Figure 7.5</w:t>
      </w:r>
      <w:r w:rsidRPr="00506CC7">
        <w:t>). Between 2017 and 2021, Non-Hispanic Black and Hispanic women reported lower rates of having a healthy pre-pregnancy weight compared to non-Hispanic White mothers (</w:t>
      </w:r>
      <w:r w:rsidRPr="00506CC7">
        <w:rPr>
          <w:b/>
          <w:bCs/>
        </w:rPr>
        <w:t>Figure 7.6</w:t>
      </w:r>
      <w:r w:rsidRPr="00506CC7">
        <w:t>). </w:t>
      </w:r>
    </w:p>
    <w:p w14:paraId="33EA4573" w14:textId="77777777" w:rsidR="00506CC7" w:rsidRDefault="00506CC7" w:rsidP="00506CC7"/>
    <w:p w14:paraId="62598417" w14:textId="77777777" w:rsidR="00576857" w:rsidRDefault="00576857" w:rsidP="00576857">
      <w:pPr>
        <w:pStyle w:val="Heading4"/>
      </w:pPr>
      <w:bookmarkStart w:id="408" w:name="_Toc154576402"/>
      <w:bookmarkStart w:id="409" w:name="_Toc162267267"/>
      <w:r>
        <w:t>Figure 7.5: Healthy Weight (18.5</w:t>
      </w:r>
      <w:r w:rsidRPr="00CC7D78">
        <w:t xml:space="preserve"> ≤ BMI &lt; 25</w:t>
      </w:r>
      <w:r>
        <w:t>) Prior to Pregnancy.</w:t>
      </w:r>
      <w:bookmarkEnd w:id="408"/>
      <w:bookmarkEnd w:id="409"/>
    </w:p>
    <w:tbl>
      <w:tblPr>
        <w:tblStyle w:val="TableGrid"/>
        <w:tblW w:w="0" w:type="auto"/>
        <w:tblLook w:val="04A0" w:firstRow="1" w:lastRow="0" w:firstColumn="1" w:lastColumn="0" w:noHBand="0" w:noVBand="1"/>
      </w:tblPr>
      <w:tblGrid>
        <w:gridCol w:w="2337"/>
        <w:gridCol w:w="2337"/>
        <w:gridCol w:w="2338"/>
        <w:gridCol w:w="2338"/>
      </w:tblGrid>
      <w:tr w:rsidR="00576857" w14:paraId="6DC72387" w14:textId="77777777" w:rsidTr="001515D5">
        <w:tc>
          <w:tcPr>
            <w:tcW w:w="2337" w:type="dxa"/>
            <w:vAlign w:val="bottom"/>
          </w:tcPr>
          <w:p w14:paraId="1F2D4FA2" w14:textId="77777777" w:rsidR="00576857" w:rsidRDefault="00576857" w:rsidP="001515D5">
            <w:r>
              <w:t>Year</w:t>
            </w:r>
          </w:p>
        </w:tc>
        <w:tc>
          <w:tcPr>
            <w:tcW w:w="2337" w:type="dxa"/>
            <w:vAlign w:val="bottom"/>
          </w:tcPr>
          <w:p w14:paraId="2854B532" w14:textId="77777777" w:rsidR="00576857" w:rsidRDefault="00576857" w:rsidP="001515D5">
            <w:r>
              <w:t>South Carolina</w:t>
            </w:r>
          </w:p>
        </w:tc>
        <w:tc>
          <w:tcPr>
            <w:tcW w:w="2338" w:type="dxa"/>
            <w:vAlign w:val="bottom"/>
          </w:tcPr>
          <w:p w14:paraId="54B8139B" w14:textId="77777777" w:rsidR="00576857" w:rsidRDefault="00576857" w:rsidP="001515D5">
            <w:r>
              <w:t>Healthy People 2030</w:t>
            </w:r>
          </w:p>
        </w:tc>
        <w:tc>
          <w:tcPr>
            <w:tcW w:w="2338" w:type="dxa"/>
            <w:vAlign w:val="bottom"/>
          </w:tcPr>
          <w:p w14:paraId="34D51659" w14:textId="77777777" w:rsidR="00576857" w:rsidRDefault="00576857" w:rsidP="001515D5">
            <w:r>
              <w:t>United States</w:t>
            </w:r>
          </w:p>
        </w:tc>
      </w:tr>
      <w:tr w:rsidR="00576857" w14:paraId="29D8E707" w14:textId="77777777" w:rsidTr="001515D5">
        <w:tc>
          <w:tcPr>
            <w:tcW w:w="2337" w:type="dxa"/>
            <w:vAlign w:val="center"/>
          </w:tcPr>
          <w:p w14:paraId="0BAAF206" w14:textId="77777777" w:rsidR="00576857" w:rsidRDefault="00576857" w:rsidP="001515D5">
            <w:r>
              <w:t>2017</w:t>
            </w:r>
          </w:p>
        </w:tc>
        <w:tc>
          <w:tcPr>
            <w:tcW w:w="2337" w:type="dxa"/>
            <w:vAlign w:val="bottom"/>
          </w:tcPr>
          <w:p w14:paraId="38138CF3" w14:textId="77777777" w:rsidR="00576857" w:rsidRDefault="00576857" w:rsidP="001515D5">
            <w:r>
              <w:t>39.3%</w:t>
            </w:r>
          </w:p>
        </w:tc>
        <w:tc>
          <w:tcPr>
            <w:tcW w:w="2338" w:type="dxa"/>
            <w:vAlign w:val="center"/>
          </w:tcPr>
          <w:p w14:paraId="611305AA" w14:textId="3B12E446" w:rsidR="00576857" w:rsidRDefault="00576857" w:rsidP="001515D5">
            <w:r>
              <w:t>47.</w:t>
            </w:r>
            <w:r w:rsidR="00F678C8">
              <w:t>1</w:t>
            </w:r>
            <w:r>
              <w:t>%</w:t>
            </w:r>
          </w:p>
        </w:tc>
        <w:tc>
          <w:tcPr>
            <w:tcW w:w="2338" w:type="dxa"/>
            <w:vAlign w:val="bottom"/>
          </w:tcPr>
          <w:p w14:paraId="31CD3E39" w14:textId="77777777" w:rsidR="00576857" w:rsidRDefault="00576857" w:rsidP="001515D5">
            <w:r>
              <w:t>43.3%</w:t>
            </w:r>
          </w:p>
        </w:tc>
      </w:tr>
      <w:tr w:rsidR="00576857" w14:paraId="15856C3A" w14:textId="77777777" w:rsidTr="001515D5">
        <w:tc>
          <w:tcPr>
            <w:tcW w:w="2337" w:type="dxa"/>
            <w:vAlign w:val="center"/>
          </w:tcPr>
          <w:p w14:paraId="0123B49D" w14:textId="77777777" w:rsidR="00576857" w:rsidRDefault="00576857" w:rsidP="001515D5">
            <w:r>
              <w:t>2018</w:t>
            </w:r>
          </w:p>
        </w:tc>
        <w:tc>
          <w:tcPr>
            <w:tcW w:w="2337" w:type="dxa"/>
            <w:vAlign w:val="bottom"/>
          </w:tcPr>
          <w:p w14:paraId="51D49FEF" w14:textId="77777777" w:rsidR="00576857" w:rsidRDefault="00576857" w:rsidP="001515D5">
            <w:r>
              <w:t>37.7%</w:t>
            </w:r>
          </w:p>
        </w:tc>
        <w:tc>
          <w:tcPr>
            <w:tcW w:w="2338" w:type="dxa"/>
            <w:vAlign w:val="center"/>
          </w:tcPr>
          <w:p w14:paraId="650876CE" w14:textId="5712855A" w:rsidR="00576857" w:rsidRDefault="00576857" w:rsidP="001515D5">
            <w:r>
              <w:t>47.</w:t>
            </w:r>
            <w:r w:rsidR="00F678C8">
              <w:t>1</w:t>
            </w:r>
            <w:r>
              <w:t>%</w:t>
            </w:r>
          </w:p>
        </w:tc>
        <w:tc>
          <w:tcPr>
            <w:tcW w:w="2338" w:type="dxa"/>
            <w:vAlign w:val="bottom"/>
          </w:tcPr>
          <w:p w14:paraId="10C2A01E" w14:textId="77777777" w:rsidR="00576857" w:rsidRDefault="00576857" w:rsidP="001515D5">
            <w:r>
              <w:t>42.1%</w:t>
            </w:r>
          </w:p>
        </w:tc>
      </w:tr>
      <w:tr w:rsidR="00576857" w14:paraId="2157E29B" w14:textId="77777777" w:rsidTr="001515D5">
        <w:tc>
          <w:tcPr>
            <w:tcW w:w="2337" w:type="dxa"/>
            <w:vAlign w:val="center"/>
          </w:tcPr>
          <w:p w14:paraId="3A95B1EE" w14:textId="77777777" w:rsidR="00576857" w:rsidRDefault="00576857" w:rsidP="001515D5">
            <w:r>
              <w:t>2019</w:t>
            </w:r>
          </w:p>
        </w:tc>
        <w:tc>
          <w:tcPr>
            <w:tcW w:w="2337" w:type="dxa"/>
            <w:vAlign w:val="bottom"/>
          </w:tcPr>
          <w:p w14:paraId="1BD7CE88" w14:textId="77777777" w:rsidR="00576857" w:rsidRDefault="00576857" w:rsidP="001515D5">
            <w:r>
              <w:t>37.0%</w:t>
            </w:r>
          </w:p>
        </w:tc>
        <w:tc>
          <w:tcPr>
            <w:tcW w:w="2338" w:type="dxa"/>
            <w:vAlign w:val="center"/>
          </w:tcPr>
          <w:p w14:paraId="411AED6E" w14:textId="24933D84" w:rsidR="00576857" w:rsidRDefault="00576857" w:rsidP="001515D5">
            <w:r>
              <w:t>47.</w:t>
            </w:r>
            <w:r w:rsidR="00F678C8">
              <w:t>1</w:t>
            </w:r>
            <w:r>
              <w:t>%</w:t>
            </w:r>
          </w:p>
        </w:tc>
        <w:tc>
          <w:tcPr>
            <w:tcW w:w="2338" w:type="dxa"/>
            <w:vAlign w:val="bottom"/>
          </w:tcPr>
          <w:p w14:paraId="41136D60" w14:textId="77777777" w:rsidR="00576857" w:rsidRDefault="00576857" w:rsidP="001515D5">
            <w:r>
              <w:t>41.0%</w:t>
            </w:r>
          </w:p>
        </w:tc>
      </w:tr>
      <w:tr w:rsidR="00576857" w14:paraId="1AB62755" w14:textId="77777777" w:rsidTr="001515D5">
        <w:tc>
          <w:tcPr>
            <w:tcW w:w="2337" w:type="dxa"/>
            <w:vAlign w:val="center"/>
          </w:tcPr>
          <w:p w14:paraId="439D08E9" w14:textId="77777777" w:rsidR="00576857" w:rsidRDefault="00576857" w:rsidP="001515D5">
            <w:r>
              <w:t>2020</w:t>
            </w:r>
          </w:p>
        </w:tc>
        <w:tc>
          <w:tcPr>
            <w:tcW w:w="2337" w:type="dxa"/>
            <w:vAlign w:val="bottom"/>
          </w:tcPr>
          <w:p w14:paraId="7A6B99C0" w14:textId="77777777" w:rsidR="00576857" w:rsidRDefault="00576857" w:rsidP="001515D5">
            <w:r>
              <w:t>36.1%</w:t>
            </w:r>
          </w:p>
        </w:tc>
        <w:tc>
          <w:tcPr>
            <w:tcW w:w="2338" w:type="dxa"/>
            <w:vAlign w:val="center"/>
          </w:tcPr>
          <w:p w14:paraId="0CF6430E" w14:textId="3A95B62E" w:rsidR="00576857" w:rsidRDefault="00576857" w:rsidP="001515D5">
            <w:r>
              <w:t>47.</w:t>
            </w:r>
            <w:r w:rsidR="00F678C8">
              <w:t>1</w:t>
            </w:r>
            <w:r>
              <w:t>%</w:t>
            </w:r>
          </w:p>
        </w:tc>
        <w:tc>
          <w:tcPr>
            <w:tcW w:w="2338" w:type="dxa"/>
            <w:vAlign w:val="bottom"/>
          </w:tcPr>
          <w:p w14:paraId="5E771D91" w14:textId="77777777" w:rsidR="00576857" w:rsidRDefault="00576857" w:rsidP="001515D5">
            <w:r>
              <w:t>40.0%</w:t>
            </w:r>
          </w:p>
        </w:tc>
      </w:tr>
      <w:tr w:rsidR="00576857" w14:paraId="75AE74F3" w14:textId="77777777" w:rsidTr="001515D5">
        <w:tc>
          <w:tcPr>
            <w:tcW w:w="2337" w:type="dxa"/>
            <w:vAlign w:val="center"/>
          </w:tcPr>
          <w:p w14:paraId="590FB1AF" w14:textId="77777777" w:rsidR="00576857" w:rsidRDefault="00576857" w:rsidP="001515D5">
            <w:r>
              <w:t>2021</w:t>
            </w:r>
          </w:p>
        </w:tc>
        <w:tc>
          <w:tcPr>
            <w:tcW w:w="2337" w:type="dxa"/>
            <w:vAlign w:val="center"/>
          </w:tcPr>
          <w:p w14:paraId="4A205D31" w14:textId="77777777" w:rsidR="00576857" w:rsidRDefault="00576857" w:rsidP="001515D5">
            <w:r>
              <w:t>35.6%</w:t>
            </w:r>
          </w:p>
        </w:tc>
        <w:tc>
          <w:tcPr>
            <w:tcW w:w="2338" w:type="dxa"/>
            <w:vAlign w:val="center"/>
          </w:tcPr>
          <w:p w14:paraId="56A3F9BD" w14:textId="2FD0A5E1" w:rsidR="00576857" w:rsidRDefault="00576857" w:rsidP="001515D5">
            <w:r>
              <w:t>47.</w:t>
            </w:r>
            <w:r w:rsidR="00F678C8">
              <w:t>1</w:t>
            </w:r>
            <w:r>
              <w:t>%</w:t>
            </w:r>
          </w:p>
        </w:tc>
        <w:tc>
          <w:tcPr>
            <w:tcW w:w="2338" w:type="dxa"/>
            <w:vAlign w:val="center"/>
          </w:tcPr>
          <w:p w14:paraId="6BB0B8CD" w14:textId="77777777" w:rsidR="00576857" w:rsidRDefault="00576857" w:rsidP="001515D5">
            <w:r>
              <w:t>39.1%</w:t>
            </w:r>
          </w:p>
        </w:tc>
      </w:tr>
    </w:tbl>
    <w:p w14:paraId="40C97E72" w14:textId="77777777" w:rsidR="00576857" w:rsidRDefault="00576857" w:rsidP="00576857">
      <w:r>
        <w:t>Source: National Vital Statistics System - Natality (NVSS-N), CDC/NCHS.</w:t>
      </w:r>
    </w:p>
    <w:p w14:paraId="4F78512F" w14:textId="77777777" w:rsidR="00576857" w:rsidRDefault="00576857" w:rsidP="00576857"/>
    <w:p w14:paraId="0D04B21C" w14:textId="77777777" w:rsidR="00576857" w:rsidRDefault="00576857" w:rsidP="00576857">
      <w:pPr>
        <w:pStyle w:val="Heading4"/>
      </w:pPr>
      <w:bookmarkStart w:id="410" w:name="_Toc154576403"/>
      <w:bookmarkStart w:id="411" w:name="_Toc162267268"/>
      <w:r>
        <w:t>Figure 7.6: Healthy Weight (18.5</w:t>
      </w:r>
      <w:r w:rsidRPr="00CC7D78">
        <w:t xml:space="preserve"> ≤ BMI &lt; 25</w:t>
      </w:r>
      <w:r>
        <w:t>) Prior to Pregnancy, by Age Group and Race/Ethnicity.</w:t>
      </w:r>
      <w:bookmarkEnd w:id="410"/>
      <w:bookmarkEnd w:id="411"/>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576857" w14:paraId="7A4AE6CB" w14:textId="77777777" w:rsidTr="001515D5">
        <w:tc>
          <w:tcPr>
            <w:tcW w:w="1335" w:type="dxa"/>
            <w:vAlign w:val="bottom"/>
          </w:tcPr>
          <w:p w14:paraId="083195B8" w14:textId="77777777" w:rsidR="00576857" w:rsidRDefault="00576857" w:rsidP="001515D5">
            <w:r>
              <w:t>Year</w:t>
            </w:r>
          </w:p>
        </w:tc>
        <w:tc>
          <w:tcPr>
            <w:tcW w:w="1335" w:type="dxa"/>
            <w:vAlign w:val="bottom"/>
          </w:tcPr>
          <w:p w14:paraId="71497A80" w14:textId="77777777" w:rsidR="00576857" w:rsidRDefault="00576857" w:rsidP="001515D5">
            <w:r>
              <w:t>Hispanic</w:t>
            </w:r>
          </w:p>
        </w:tc>
        <w:tc>
          <w:tcPr>
            <w:tcW w:w="1336" w:type="dxa"/>
            <w:vAlign w:val="bottom"/>
          </w:tcPr>
          <w:p w14:paraId="2AED655B" w14:textId="77777777" w:rsidR="00576857" w:rsidRDefault="00576857" w:rsidP="001515D5">
            <w:r>
              <w:t>Non-Hispanic Black</w:t>
            </w:r>
          </w:p>
        </w:tc>
        <w:tc>
          <w:tcPr>
            <w:tcW w:w="1336" w:type="dxa"/>
            <w:vAlign w:val="bottom"/>
          </w:tcPr>
          <w:p w14:paraId="70561A44" w14:textId="77777777" w:rsidR="00576857" w:rsidRDefault="00576857" w:rsidP="001515D5">
            <w:r>
              <w:t>Non-Hispanic White</w:t>
            </w:r>
          </w:p>
        </w:tc>
        <w:tc>
          <w:tcPr>
            <w:tcW w:w="1336" w:type="dxa"/>
            <w:vAlign w:val="bottom"/>
          </w:tcPr>
          <w:p w14:paraId="323A841C" w14:textId="77777777" w:rsidR="00576857" w:rsidRDefault="00576857" w:rsidP="001515D5">
            <w:r>
              <w:t>&gt; 35</w:t>
            </w:r>
          </w:p>
        </w:tc>
        <w:tc>
          <w:tcPr>
            <w:tcW w:w="1336" w:type="dxa"/>
            <w:vAlign w:val="bottom"/>
          </w:tcPr>
          <w:p w14:paraId="09EB051C" w14:textId="77777777" w:rsidR="00576857" w:rsidRDefault="00576857" w:rsidP="001515D5">
            <w:r>
              <w:t>25 - 34</w:t>
            </w:r>
          </w:p>
        </w:tc>
        <w:tc>
          <w:tcPr>
            <w:tcW w:w="1336" w:type="dxa"/>
            <w:vAlign w:val="bottom"/>
          </w:tcPr>
          <w:p w14:paraId="182FBBF8" w14:textId="77777777" w:rsidR="00576857" w:rsidRDefault="00576857" w:rsidP="001515D5">
            <w:r>
              <w:t>20 - 24</w:t>
            </w:r>
          </w:p>
        </w:tc>
      </w:tr>
      <w:tr w:rsidR="00576857" w14:paraId="0F74C97D" w14:textId="77777777" w:rsidTr="001515D5">
        <w:tc>
          <w:tcPr>
            <w:tcW w:w="1335" w:type="dxa"/>
            <w:vAlign w:val="bottom"/>
          </w:tcPr>
          <w:p w14:paraId="2684E173" w14:textId="77777777" w:rsidR="00576857" w:rsidRDefault="00576857" w:rsidP="001515D5">
            <w:r>
              <w:t>2017-2021</w:t>
            </w:r>
          </w:p>
        </w:tc>
        <w:tc>
          <w:tcPr>
            <w:tcW w:w="1335" w:type="dxa"/>
            <w:vAlign w:val="bottom"/>
          </w:tcPr>
          <w:p w14:paraId="52C9BB3D" w14:textId="77777777" w:rsidR="00576857" w:rsidRDefault="00576857" w:rsidP="001515D5">
            <w:r>
              <w:t>36.5%</w:t>
            </w:r>
          </w:p>
        </w:tc>
        <w:tc>
          <w:tcPr>
            <w:tcW w:w="1336" w:type="dxa"/>
            <w:vAlign w:val="bottom"/>
          </w:tcPr>
          <w:p w14:paraId="2020F16C" w14:textId="77777777" w:rsidR="00576857" w:rsidRDefault="00576857" w:rsidP="001515D5">
            <w:r>
              <w:t>24.6%</w:t>
            </w:r>
          </w:p>
        </w:tc>
        <w:tc>
          <w:tcPr>
            <w:tcW w:w="1336" w:type="dxa"/>
            <w:vAlign w:val="bottom"/>
          </w:tcPr>
          <w:p w14:paraId="2ADA830B" w14:textId="77777777" w:rsidR="00576857" w:rsidRDefault="00576857" w:rsidP="001515D5">
            <w:r>
              <w:t>46.6%</w:t>
            </w:r>
          </w:p>
        </w:tc>
        <w:tc>
          <w:tcPr>
            <w:tcW w:w="1336" w:type="dxa"/>
            <w:vAlign w:val="bottom"/>
          </w:tcPr>
          <w:p w14:paraId="1BE2096D" w14:textId="77777777" w:rsidR="00576857" w:rsidRDefault="00576857" w:rsidP="001515D5">
            <w:r>
              <w:t>41.7%</w:t>
            </w:r>
          </w:p>
        </w:tc>
        <w:tc>
          <w:tcPr>
            <w:tcW w:w="1336" w:type="dxa"/>
            <w:vAlign w:val="bottom"/>
          </w:tcPr>
          <w:p w14:paraId="49905890" w14:textId="77777777" w:rsidR="00576857" w:rsidRDefault="00576857" w:rsidP="001515D5">
            <w:r>
              <w:t>39.1%</w:t>
            </w:r>
          </w:p>
        </w:tc>
        <w:tc>
          <w:tcPr>
            <w:tcW w:w="1336" w:type="dxa"/>
            <w:vAlign w:val="bottom"/>
          </w:tcPr>
          <w:p w14:paraId="41A26E78" w14:textId="77777777" w:rsidR="00576857" w:rsidRDefault="00576857" w:rsidP="001515D5">
            <w:r>
              <w:t>40.6%</w:t>
            </w:r>
          </w:p>
        </w:tc>
      </w:tr>
    </w:tbl>
    <w:p w14:paraId="0E62765D" w14:textId="77777777" w:rsidR="00576857" w:rsidRDefault="00576857" w:rsidP="00576857">
      <w:r w:rsidRPr="00EB54EF">
        <w:t>Source: South Carolina Pregnancy Risk Assessment Monitoring System (PRAMS), 2017-2021.</w:t>
      </w:r>
    </w:p>
    <w:p w14:paraId="44026D2B" w14:textId="77777777" w:rsidR="00506CC7" w:rsidRDefault="00506CC7" w:rsidP="00506CC7"/>
    <w:p w14:paraId="048BB1DD" w14:textId="77777777" w:rsidR="005253DC" w:rsidRDefault="00506CC7" w:rsidP="00506CC7">
      <w:r w:rsidRPr="00506CC7">
        <w:rPr>
          <w:rStyle w:val="Heading5Char"/>
        </w:rPr>
        <w:t>Key Takeaways:</w:t>
      </w:r>
      <w:r>
        <w:t xml:space="preserve"> </w:t>
      </w:r>
    </w:p>
    <w:p w14:paraId="6C0C640A" w14:textId="1F1BB216" w:rsidR="00506CC7" w:rsidRPr="00506CC7" w:rsidRDefault="00506CC7" w:rsidP="00926EB3">
      <w:pPr>
        <w:pStyle w:val="ListParagraph"/>
        <w:numPr>
          <w:ilvl w:val="0"/>
          <w:numId w:val="220"/>
        </w:numPr>
      </w:pPr>
      <w:r w:rsidRPr="00506CC7">
        <w:t>In SC, the proportion of women with a healthy weight prior to pregnancy was smaller compared to the US, and this decreased from 39.3% in 2017 to 35.6% in 2021, moving further away from the Healthy People 2030 goal of 47.5%.</w:t>
      </w:r>
    </w:p>
    <w:p w14:paraId="200B61D2" w14:textId="77777777" w:rsidR="00506CC7" w:rsidRDefault="00506CC7" w:rsidP="00506CC7"/>
    <w:p w14:paraId="64F64BD2" w14:textId="369577A4" w:rsidR="00506CC7" w:rsidRPr="00506CC7" w:rsidRDefault="00506CC7" w:rsidP="00506CC7">
      <w:pPr>
        <w:pStyle w:val="Heading4"/>
        <w:rPr>
          <w:rFonts w:asciiTheme="minorHAnsi" w:hAnsiTheme="minorHAnsi" w:cstheme="minorHAnsi"/>
          <w:color w:val="000000" w:themeColor="text1"/>
        </w:rPr>
      </w:pPr>
      <w:bookmarkStart w:id="412" w:name="_Toc162267269"/>
      <w:r w:rsidRPr="00506CC7">
        <w:rPr>
          <w:rFonts w:asciiTheme="minorHAnsi" w:hAnsiTheme="minorHAnsi" w:cstheme="minorHAnsi"/>
          <w:color w:val="000000" w:themeColor="text1"/>
        </w:rPr>
        <w:t>References 7.3</w:t>
      </w:r>
      <w:bookmarkEnd w:id="412"/>
      <w:r w:rsidRPr="00506CC7">
        <w:rPr>
          <w:rFonts w:asciiTheme="minorHAnsi" w:hAnsiTheme="minorHAnsi" w:cstheme="minorHAnsi"/>
          <w:color w:val="000000" w:themeColor="text1"/>
        </w:rPr>
        <w:t xml:space="preserve"> </w:t>
      </w:r>
    </w:p>
    <w:p w14:paraId="57C795EC" w14:textId="54127DC2" w:rsidR="00506CC7" w:rsidRPr="00506CC7" w:rsidRDefault="00506CC7" w:rsidP="00506CC7">
      <w:r w:rsidRPr="00506CC7">
        <w:t>Statistics in the preceding section were referenced from the following report</w:t>
      </w:r>
      <w:r>
        <w:t>s</w:t>
      </w:r>
      <w:r w:rsidRPr="00506CC7">
        <w:t>:</w:t>
      </w:r>
    </w:p>
    <w:p w14:paraId="3D4781D8" w14:textId="30FE740F" w:rsidR="00506CC7" w:rsidRPr="00506CC7" w:rsidRDefault="00000000" w:rsidP="00926EB3">
      <w:pPr>
        <w:pStyle w:val="ListParagraph"/>
        <w:numPr>
          <w:ilvl w:val="0"/>
          <w:numId w:val="28"/>
        </w:numPr>
      </w:pPr>
      <w:hyperlink r:id="rId198" w:history="1">
        <w:r w:rsidR="00506CC7" w:rsidRPr="00506CC7">
          <w:rPr>
            <w:rStyle w:val="Hyperlink"/>
          </w:rPr>
          <w:t xml:space="preserve">“Preconception Health and Health Care Is Important For All, Preconception </w:t>
        </w:r>
        <w:proofErr w:type="spellStart"/>
        <w:r w:rsidR="00506CC7" w:rsidRPr="00506CC7">
          <w:rPr>
            <w:rStyle w:val="Hyperlink"/>
          </w:rPr>
          <w:t>Care”by</w:t>
        </w:r>
        <w:proofErr w:type="spellEnd"/>
        <w:r w:rsidR="00506CC7" w:rsidRPr="00506CC7">
          <w:rPr>
            <w:rStyle w:val="Hyperlink"/>
          </w:rPr>
          <w:t xml:space="preserve"> CDC, via cdc.gov. Accessed June 21, 2023.</w:t>
        </w:r>
      </w:hyperlink>
      <w:r w:rsidR="00506CC7" w:rsidRPr="00506CC7">
        <w:t xml:space="preserve"> </w:t>
      </w:r>
    </w:p>
    <w:p w14:paraId="239DE174" w14:textId="14C47307" w:rsidR="00506CC7" w:rsidRDefault="00000000" w:rsidP="00926EB3">
      <w:pPr>
        <w:pStyle w:val="ListParagraph"/>
        <w:numPr>
          <w:ilvl w:val="0"/>
          <w:numId w:val="28"/>
        </w:numPr>
      </w:pPr>
      <w:hyperlink r:id="rId199" w:history="1">
        <w:r w:rsidR="00506CC7" w:rsidRPr="00506CC7">
          <w:rPr>
            <w:rStyle w:val="Hyperlink"/>
          </w:rPr>
          <w:t>“Increase the proportion of women who had a healthy weight before pregnancy — MICH13” published by Healthy People 2030 via health.gov. Accessed June 21, 2023.</w:t>
        </w:r>
      </w:hyperlink>
    </w:p>
    <w:p w14:paraId="64A341E7" w14:textId="2DDD7352" w:rsidR="00506CC7" w:rsidRDefault="00506CC7" w:rsidP="00506CC7">
      <w:r w:rsidRPr="00506CC7">
        <w:t xml:space="preserve"> </w:t>
      </w:r>
    </w:p>
    <w:p w14:paraId="21216EEA" w14:textId="77777777" w:rsidR="00506CC7" w:rsidRPr="00506CC7" w:rsidRDefault="00506CC7" w:rsidP="00506CC7">
      <w:pPr>
        <w:pStyle w:val="Heading3"/>
      </w:pPr>
      <w:bookmarkStart w:id="413" w:name="_Toc162267270"/>
      <w:r w:rsidRPr="00506CC7">
        <w:t>Preconception Health: Pre-Pregnancy Hypertension</w:t>
      </w:r>
      <w:bookmarkEnd w:id="413"/>
    </w:p>
    <w:p w14:paraId="05B84934" w14:textId="68EAFC21" w:rsidR="00506CC7" w:rsidRPr="00506CC7" w:rsidRDefault="00506CC7" w:rsidP="00506CC7">
      <w:r w:rsidRPr="00506CC7">
        <w:t xml:space="preserve">Making sure medical conditions such as hypertension (high blood pressure) are being treated and under control is a highly important aspect of preconception health. High blood pressure during pregnancy can increase the risk of complications such as preeclampsia, </w:t>
      </w:r>
      <w:proofErr w:type="gramStart"/>
      <w:r w:rsidRPr="00506CC7">
        <w:t>eclampsia</w:t>
      </w:r>
      <w:proofErr w:type="gramEnd"/>
      <w:r w:rsidRPr="00506CC7">
        <w:t xml:space="preserve"> and stroke for the mother or preterm delivery and low birthweight for the child. </w:t>
      </w:r>
    </w:p>
    <w:p w14:paraId="10E52CDA" w14:textId="77777777" w:rsidR="00506CC7" w:rsidRDefault="00506CC7" w:rsidP="00506CC7">
      <w:pPr>
        <w:rPr>
          <w:i/>
          <w:iCs/>
        </w:rPr>
      </w:pPr>
    </w:p>
    <w:p w14:paraId="43ACD0C8" w14:textId="77777777" w:rsidR="00506CC7" w:rsidRDefault="00506CC7" w:rsidP="00506CC7">
      <w:pPr>
        <w:rPr>
          <w:b/>
          <w:bCs/>
        </w:rPr>
      </w:pPr>
      <w:bookmarkStart w:id="414" w:name="_Toc162267271"/>
      <w:r w:rsidRPr="00506CC7">
        <w:rPr>
          <w:rStyle w:val="Heading4Char"/>
        </w:rPr>
        <w:t>Data Interpretations:</w:t>
      </w:r>
      <w:bookmarkEnd w:id="414"/>
      <w:r w:rsidRPr="00506CC7">
        <w:rPr>
          <w:b/>
          <w:bCs/>
        </w:rPr>
        <w:t xml:space="preserve"> </w:t>
      </w:r>
    </w:p>
    <w:p w14:paraId="77FD52E8" w14:textId="2A6D71A0" w:rsidR="00506CC7" w:rsidRPr="00506CC7" w:rsidRDefault="00506CC7" w:rsidP="00506CC7">
      <w:r w:rsidRPr="00506CC7">
        <w:t>In SC, the number of women who reported having hypertension in the three months prior to their pregnancies has slightly decreased between 2017-2021 (</w:t>
      </w:r>
      <w:r w:rsidRPr="00506CC7">
        <w:rPr>
          <w:b/>
          <w:bCs/>
        </w:rPr>
        <w:t>Figure 7.7</w:t>
      </w:r>
      <w:r w:rsidRPr="00506CC7">
        <w:t>). Non-Hispanic Black and non-Hispanic Other mothers reported the highest rate of hypertension before pregnancy (</w:t>
      </w:r>
      <w:r w:rsidRPr="00506CC7">
        <w:rPr>
          <w:b/>
          <w:bCs/>
        </w:rPr>
        <w:t>Figure 7.8</w:t>
      </w:r>
      <w:r w:rsidRPr="00506CC7">
        <w:t xml:space="preserve">). Additionally, the prevalence of hypertension prior to pregnancy increased with increasing age. </w:t>
      </w:r>
    </w:p>
    <w:p w14:paraId="00B38224" w14:textId="77777777" w:rsidR="00506CC7" w:rsidRDefault="00506CC7" w:rsidP="00506CC7">
      <w:pPr>
        <w:rPr>
          <w:i/>
          <w:iCs/>
        </w:rPr>
      </w:pPr>
    </w:p>
    <w:p w14:paraId="4AB2C2FE" w14:textId="77777777" w:rsidR="00576857" w:rsidRDefault="00576857" w:rsidP="00576857">
      <w:pPr>
        <w:pStyle w:val="Heading4"/>
      </w:pPr>
      <w:bookmarkStart w:id="415" w:name="_Toc154576404"/>
      <w:bookmarkStart w:id="416" w:name="_Toc162267272"/>
      <w:r>
        <w:t>Figure 7.7: Hypertension 3 Months Before Pregnancy.</w:t>
      </w:r>
      <w:bookmarkEnd w:id="415"/>
      <w:bookmarkEnd w:id="416"/>
    </w:p>
    <w:tbl>
      <w:tblPr>
        <w:tblStyle w:val="TableGrid"/>
        <w:tblW w:w="0" w:type="auto"/>
        <w:tblLook w:val="04A0" w:firstRow="1" w:lastRow="0" w:firstColumn="1" w:lastColumn="0" w:noHBand="0" w:noVBand="1"/>
      </w:tblPr>
      <w:tblGrid>
        <w:gridCol w:w="4675"/>
        <w:gridCol w:w="4675"/>
      </w:tblGrid>
      <w:tr w:rsidR="00576857" w14:paraId="5062075C" w14:textId="77777777" w:rsidTr="001515D5">
        <w:tc>
          <w:tcPr>
            <w:tcW w:w="4675" w:type="dxa"/>
            <w:vAlign w:val="center"/>
          </w:tcPr>
          <w:p w14:paraId="46EF5CC5" w14:textId="77777777" w:rsidR="00576857" w:rsidRDefault="00576857" w:rsidP="001515D5">
            <w:r>
              <w:t>Year</w:t>
            </w:r>
          </w:p>
        </w:tc>
        <w:tc>
          <w:tcPr>
            <w:tcW w:w="4675" w:type="dxa"/>
            <w:vAlign w:val="center"/>
          </w:tcPr>
          <w:p w14:paraId="67C6CAE1" w14:textId="77777777" w:rsidR="00576857" w:rsidRDefault="00576857" w:rsidP="001515D5">
            <w:r>
              <w:t>Percent</w:t>
            </w:r>
          </w:p>
        </w:tc>
      </w:tr>
      <w:tr w:rsidR="00576857" w14:paraId="08115306" w14:textId="77777777" w:rsidTr="001515D5">
        <w:tc>
          <w:tcPr>
            <w:tcW w:w="4675" w:type="dxa"/>
            <w:vAlign w:val="center"/>
          </w:tcPr>
          <w:p w14:paraId="5BC1244B" w14:textId="77777777" w:rsidR="00576857" w:rsidRDefault="00576857" w:rsidP="001515D5">
            <w:r>
              <w:t>2017</w:t>
            </w:r>
          </w:p>
        </w:tc>
        <w:tc>
          <w:tcPr>
            <w:tcW w:w="4675" w:type="dxa"/>
            <w:vAlign w:val="center"/>
          </w:tcPr>
          <w:p w14:paraId="1B9A4337" w14:textId="77777777" w:rsidR="00576857" w:rsidRDefault="00576857" w:rsidP="001515D5">
            <w:r>
              <w:t>7.9%</w:t>
            </w:r>
          </w:p>
        </w:tc>
      </w:tr>
      <w:tr w:rsidR="00576857" w14:paraId="04963A7B" w14:textId="77777777" w:rsidTr="001515D5">
        <w:tc>
          <w:tcPr>
            <w:tcW w:w="4675" w:type="dxa"/>
            <w:vAlign w:val="center"/>
          </w:tcPr>
          <w:p w14:paraId="1BAACFF1" w14:textId="77777777" w:rsidR="00576857" w:rsidRDefault="00576857" w:rsidP="001515D5">
            <w:r>
              <w:t>2018</w:t>
            </w:r>
          </w:p>
        </w:tc>
        <w:tc>
          <w:tcPr>
            <w:tcW w:w="4675" w:type="dxa"/>
            <w:vAlign w:val="center"/>
          </w:tcPr>
          <w:p w14:paraId="02F82453" w14:textId="77777777" w:rsidR="00576857" w:rsidRDefault="00576857" w:rsidP="001515D5">
            <w:r>
              <w:t>7.5%</w:t>
            </w:r>
          </w:p>
        </w:tc>
      </w:tr>
      <w:tr w:rsidR="00576857" w14:paraId="2F0B4BC3" w14:textId="77777777" w:rsidTr="001515D5">
        <w:tc>
          <w:tcPr>
            <w:tcW w:w="4675" w:type="dxa"/>
            <w:vAlign w:val="center"/>
          </w:tcPr>
          <w:p w14:paraId="124E2840" w14:textId="77777777" w:rsidR="00576857" w:rsidRDefault="00576857" w:rsidP="001515D5">
            <w:r>
              <w:t>2019</w:t>
            </w:r>
          </w:p>
        </w:tc>
        <w:tc>
          <w:tcPr>
            <w:tcW w:w="4675" w:type="dxa"/>
            <w:vAlign w:val="center"/>
          </w:tcPr>
          <w:p w14:paraId="5B6AE620" w14:textId="77777777" w:rsidR="00576857" w:rsidRDefault="00576857" w:rsidP="001515D5">
            <w:r>
              <w:t>6.7%</w:t>
            </w:r>
          </w:p>
        </w:tc>
      </w:tr>
      <w:tr w:rsidR="00576857" w14:paraId="32863033" w14:textId="77777777" w:rsidTr="001515D5">
        <w:tc>
          <w:tcPr>
            <w:tcW w:w="4675" w:type="dxa"/>
            <w:vAlign w:val="center"/>
          </w:tcPr>
          <w:p w14:paraId="5F663BF3" w14:textId="77777777" w:rsidR="00576857" w:rsidRDefault="00576857" w:rsidP="001515D5">
            <w:r>
              <w:t>2020</w:t>
            </w:r>
          </w:p>
        </w:tc>
        <w:tc>
          <w:tcPr>
            <w:tcW w:w="4675" w:type="dxa"/>
            <w:vAlign w:val="center"/>
          </w:tcPr>
          <w:p w14:paraId="7016B762" w14:textId="77777777" w:rsidR="00576857" w:rsidRDefault="00576857" w:rsidP="001515D5">
            <w:r>
              <w:t>6.0%</w:t>
            </w:r>
          </w:p>
        </w:tc>
      </w:tr>
    </w:tbl>
    <w:p w14:paraId="60F3E945" w14:textId="77777777" w:rsidR="00576857" w:rsidRDefault="00576857" w:rsidP="00576857">
      <w:r w:rsidRPr="00EB54EF">
        <w:t>Source: South Carolina Pregnancy Risk Assessment Monitoring System (PRAMS).</w:t>
      </w:r>
    </w:p>
    <w:p w14:paraId="7F338192" w14:textId="77777777" w:rsidR="00576857" w:rsidRDefault="00576857" w:rsidP="00576857"/>
    <w:p w14:paraId="0848E69E" w14:textId="77777777" w:rsidR="00576857" w:rsidRDefault="00576857" w:rsidP="00576857">
      <w:pPr>
        <w:pStyle w:val="Heading4"/>
      </w:pPr>
      <w:bookmarkStart w:id="417" w:name="_Toc154576405"/>
      <w:bookmarkStart w:id="418" w:name="_Toc162267273"/>
      <w:r>
        <w:t>Figure 7.8: Hypertension 3 Months Before Pregnancy,</w:t>
      </w:r>
      <w:r w:rsidRPr="00EB54EF">
        <w:t xml:space="preserve"> </w:t>
      </w:r>
      <w:r>
        <w:t>by Age Group and Race/Ethnicity.</w:t>
      </w:r>
      <w:bookmarkEnd w:id="417"/>
      <w:bookmarkEnd w:id="418"/>
    </w:p>
    <w:tbl>
      <w:tblPr>
        <w:tblStyle w:val="TableGrid"/>
        <w:tblW w:w="0" w:type="auto"/>
        <w:tblLook w:val="04A0" w:firstRow="1" w:lastRow="0" w:firstColumn="1" w:lastColumn="0" w:noHBand="0" w:noVBand="1"/>
      </w:tblPr>
      <w:tblGrid>
        <w:gridCol w:w="956"/>
        <w:gridCol w:w="907"/>
        <w:gridCol w:w="907"/>
        <w:gridCol w:w="907"/>
        <w:gridCol w:w="907"/>
        <w:gridCol w:w="1238"/>
        <w:gridCol w:w="1176"/>
        <w:gridCol w:w="1176"/>
        <w:gridCol w:w="1176"/>
      </w:tblGrid>
      <w:tr w:rsidR="00576857" w14:paraId="6508D2D3" w14:textId="77777777" w:rsidTr="001515D5">
        <w:tc>
          <w:tcPr>
            <w:tcW w:w="956" w:type="dxa"/>
            <w:vAlign w:val="bottom"/>
          </w:tcPr>
          <w:p w14:paraId="6FC3FA1C" w14:textId="77777777" w:rsidR="00576857" w:rsidRPr="00EB54EF" w:rsidRDefault="00576857" w:rsidP="001515D5">
            <w:r>
              <w:t>Year</w:t>
            </w:r>
          </w:p>
        </w:tc>
        <w:tc>
          <w:tcPr>
            <w:tcW w:w="907" w:type="dxa"/>
            <w:vAlign w:val="bottom"/>
          </w:tcPr>
          <w:p w14:paraId="4C5F05A6" w14:textId="77777777" w:rsidR="00576857" w:rsidRPr="00EB54EF" w:rsidRDefault="00576857" w:rsidP="001515D5">
            <w:r w:rsidRPr="00EB54EF">
              <w:t>&gt; 35</w:t>
            </w:r>
          </w:p>
        </w:tc>
        <w:tc>
          <w:tcPr>
            <w:tcW w:w="907" w:type="dxa"/>
            <w:vAlign w:val="bottom"/>
          </w:tcPr>
          <w:p w14:paraId="74688658" w14:textId="77777777" w:rsidR="00576857" w:rsidRPr="00EB54EF" w:rsidRDefault="00576857" w:rsidP="001515D5">
            <w:r w:rsidRPr="00EB54EF">
              <w:t>25 - 34</w:t>
            </w:r>
          </w:p>
        </w:tc>
        <w:tc>
          <w:tcPr>
            <w:tcW w:w="907" w:type="dxa"/>
            <w:vAlign w:val="bottom"/>
          </w:tcPr>
          <w:p w14:paraId="68F6E463" w14:textId="77777777" w:rsidR="00576857" w:rsidRPr="00EB54EF" w:rsidRDefault="00576857" w:rsidP="001515D5">
            <w:r w:rsidRPr="00EB54EF">
              <w:t>20 - 24</w:t>
            </w:r>
          </w:p>
        </w:tc>
        <w:tc>
          <w:tcPr>
            <w:tcW w:w="907" w:type="dxa"/>
            <w:vAlign w:val="bottom"/>
          </w:tcPr>
          <w:p w14:paraId="62A4A4EC" w14:textId="77777777" w:rsidR="00576857" w:rsidRPr="00EB54EF" w:rsidRDefault="00576857" w:rsidP="001515D5">
            <w:r w:rsidRPr="00EB54EF">
              <w:t>&lt; 20</w:t>
            </w:r>
          </w:p>
        </w:tc>
        <w:tc>
          <w:tcPr>
            <w:tcW w:w="1238" w:type="dxa"/>
            <w:vAlign w:val="bottom"/>
          </w:tcPr>
          <w:p w14:paraId="6157CE58" w14:textId="77777777" w:rsidR="00576857" w:rsidRPr="00EB54EF" w:rsidRDefault="00576857" w:rsidP="001515D5">
            <w:r w:rsidRPr="00EB54EF">
              <w:t xml:space="preserve">  Non-Hispanic Other (includes multi-racial)</w:t>
            </w:r>
          </w:p>
        </w:tc>
        <w:tc>
          <w:tcPr>
            <w:tcW w:w="1176" w:type="dxa"/>
            <w:vAlign w:val="bottom"/>
          </w:tcPr>
          <w:p w14:paraId="0093F34B" w14:textId="77777777" w:rsidR="00576857" w:rsidRPr="00EB54EF" w:rsidRDefault="00576857" w:rsidP="001515D5">
            <w:r w:rsidRPr="00EB54EF">
              <w:t xml:space="preserve">  Hispanic</w:t>
            </w:r>
          </w:p>
        </w:tc>
        <w:tc>
          <w:tcPr>
            <w:tcW w:w="1176" w:type="dxa"/>
            <w:vAlign w:val="bottom"/>
          </w:tcPr>
          <w:p w14:paraId="46E9383F" w14:textId="77777777" w:rsidR="00576857" w:rsidRPr="00EB54EF" w:rsidRDefault="00576857" w:rsidP="001515D5">
            <w:r w:rsidRPr="00EB54EF">
              <w:t xml:space="preserve">  Non-Hispanic Black</w:t>
            </w:r>
          </w:p>
        </w:tc>
        <w:tc>
          <w:tcPr>
            <w:tcW w:w="1176" w:type="dxa"/>
            <w:vAlign w:val="bottom"/>
          </w:tcPr>
          <w:p w14:paraId="7C1FA4F9" w14:textId="77777777" w:rsidR="00576857" w:rsidRPr="00EB54EF" w:rsidRDefault="00576857" w:rsidP="001515D5">
            <w:r w:rsidRPr="00EB54EF">
              <w:t xml:space="preserve">  Non-Hispanic White</w:t>
            </w:r>
          </w:p>
        </w:tc>
      </w:tr>
      <w:tr w:rsidR="00576857" w14:paraId="79FB22A6" w14:textId="77777777" w:rsidTr="001515D5">
        <w:tc>
          <w:tcPr>
            <w:tcW w:w="956" w:type="dxa"/>
            <w:vAlign w:val="bottom"/>
          </w:tcPr>
          <w:p w14:paraId="1E8CD7EC" w14:textId="77777777" w:rsidR="00576857" w:rsidRPr="00EB54EF" w:rsidRDefault="00576857" w:rsidP="001515D5">
            <w:r w:rsidRPr="00EB54EF">
              <w:lastRenderedPageBreak/>
              <w:t>2017-2021</w:t>
            </w:r>
          </w:p>
        </w:tc>
        <w:tc>
          <w:tcPr>
            <w:tcW w:w="907" w:type="dxa"/>
            <w:vAlign w:val="bottom"/>
          </w:tcPr>
          <w:p w14:paraId="1C444876" w14:textId="77777777" w:rsidR="00576857" w:rsidRPr="00EB54EF" w:rsidRDefault="00576857" w:rsidP="001515D5">
            <w:r w:rsidRPr="00EB54EF">
              <w:t>8.7%</w:t>
            </w:r>
          </w:p>
        </w:tc>
        <w:tc>
          <w:tcPr>
            <w:tcW w:w="907" w:type="dxa"/>
            <w:vAlign w:val="bottom"/>
          </w:tcPr>
          <w:p w14:paraId="029C948A" w14:textId="77777777" w:rsidR="00576857" w:rsidRPr="00EB54EF" w:rsidRDefault="00576857" w:rsidP="001515D5">
            <w:r w:rsidRPr="00EB54EF">
              <w:t>7.9%</w:t>
            </w:r>
          </w:p>
        </w:tc>
        <w:tc>
          <w:tcPr>
            <w:tcW w:w="907" w:type="dxa"/>
            <w:vAlign w:val="bottom"/>
          </w:tcPr>
          <w:p w14:paraId="4BFB120D" w14:textId="77777777" w:rsidR="00576857" w:rsidRPr="00EB54EF" w:rsidRDefault="00576857" w:rsidP="001515D5">
            <w:r w:rsidRPr="00EB54EF">
              <w:t>4.1%</w:t>
            </w:r>
          </w:p>
        </w:tc>
        <w:tc>
          <w:tcPr>
            <w:tcW w:w="907" w:type="dxa"/>
            <w:vAlign w:val="bottom"/>
          </w:tcPr>
          <w:p w14:paraId="79F06519" w14:textId="77777777" w:rsidR="00576857" w:rsidRPr="00EB54EF" w:rsidRDefault="00576857" w:rsidP="001515D5">
            <w:r w:rsidRPr="00EB54EF">
              <w:t>3.9%</w:t>
            </w:r>
          </w:p>
        </w:tc>
        <w:tc>
          <w:tcPr>
            <w:tcW w:w="1238" w:type="dxa"/>
            <w:vAlign w:val="bottom"/>
          </w:tcPr>
          <w:p w14:paraId="166361E7" w14:textId="77777777" w:rsidR="00576857" w:rsidRPr="00EB54EF" w:rsidRDefault="00576857" w:rsidP="001515D5">
            <w:r w:rsidRPr="00EB54EF">
              <w:t>11.0%</w:t>
            </w:r>
          </w:p>
        </w:tc>
        <w:tc>
          <w:tcPr>
            <w:tcW w:w="1176" w:type="dxa"/>
            <w:vAlign w:val="bottom"/>
          </w:tcPr>
          <w:p w14:paraId="7DAF8B18" w14:textId="77777777" w:rsidR="00576857" w:rsidRPr="00EB54EF" w:rsidRDefault="00576857" w:rsidP="001515D5">
            <w:r w:rsidRPr="00EB54EF">
              <w:t>1.7%</w:t>
            </w:r>
          </w:p>
        </w:tc>
        <w:tc>
          <w:tcPr>
            <w:tcW w:w="1176" w:type="dxa"/>
            <w:vAlign w:val="bottom"/>
          </w:tcPr>
          <w:p w14:paraId="5278100E" w14:textId="77777777" w:rsidR="00576857" w:rsidRPr="00EB54EF" w:rsidRDefault="00576857" w:rsidP="001515D5">
            <w:r w:rsidRPr="00EB54EF">
              <w:t>11.0%</w:t>
            </w:r>
          </w:p>
        </w:tc>
        <w:tc>
          <w:tcPr>
            <w:tcW w:w="1176" w:type="dxa"/>
            <w:vAlign w:val="bottom"/>
          </w:tcPr>
          <w:p w14:paraId="630CB7FC" w14:textId="77777777" w:rsidR="00576857" w:rsidRPr="00EB54EF" w:rsidRDefault="00576857" w:rsidP="001515D5">
            <w:r w:rsidRPr="00EB54EF">
              <w:t>5.7%</w:t>
            </w:r>
          </w:p>
        </w:tc>
      </w:tr>
    </w:tbl>
    <w:p w14:paraId="326D2DEC" w14:textId="77777777" w:rsidR="00576857" w:rsidRDefault="00576857" w:rsidP="00576857">
      <w:r w:rsidRPr="00EB54EF">
        <w:t>Source: South Carolina Pregnancy Risk Assessment Monitoring System (PRAMS), 2017-2021.</w:t>
      </w:r>
    </w:p>
    <w:p w14:paraId="19A5A1A6" w14:textId="77777777" w:rsidR="00506CC7" w:rsidRDefault="00506CC7" w:rsidP="00506CC7">
      <w:pPr>
        <w:rPr>
          <w:i/>
          <w:iCs/>
        </w:rPr>
      </w:pPr>
    </w:p>
    <w:p w14:paraId="2C6520CA" w14:textId="77777777" w:rsidR="005253DC" w:rsidRDefault="00506CC7" w:rsidP="00506CC7">
      <w:pPr>
        <w:rPr>
          <w:b/>
          <w:bCs/>
        </w:rPr>
      </w:pPr>
      <w:r w:rsidRPr="00506CC7">
        <w:rPr>
          <w:rStyle w:val="Heading5Char"/>
        </w:rPr>
        <w:t>Key Takeaways:</w:t>
      </w:r>
      <w:r>
        <w:rPr>
          <w:b/>
          <w:bCs/>
        </w:rPr>
        <w:t xml:space="preserve"> </w:t>
      </w:r>
    </w:p>
    <w:p w14:paraId="45162B41" w14:textId="495DBE94" w:rsidR="00506CC7" w:rsidRPr="00506CC7" w:rsidRDefault="00506CC7" w:rsidP="00926EB3">
      <w:pPr>
        <w:pStyle w:val="ListParagraph"/>
        <w:numPr>
          <w:ilvl w:val="0"/>
          <w:numId w:val="220"/>
        </w:numPr>
      </w:pPr>
      <w:r w:rsidRPr="00506CC7">
        <w:t>High blood pressure during pregnancy can increase the risk of complications such as preeclampsia, eclampsia, and stroke for the mother or preterm delivery and low birthweight for the child.</w:t>
      </w:r>
    </w:p>
    <w:p w14:paraId="2B177B00" w14:textId="77777777" w:rsidR="00506CC7" w:rsidRPr="00506CC7" w:rsidRDefault="00506CC7" w:rsidP="00506CC7"/>
    <w:p w14:paraId="39A73B53" w14:textId="7CD45625" w:rsidR="00506CC7" w:rsidRPr="00506CC7" w:rsidRDefault="00506CC7" w:rsidP="00506CC7">
      <w:pPr>
        <w:pStyle w:val="Heading4"/>
        <w:rPr>
          <w:rFonts w:asciiTheme="minorHAnsi" w:hAnsiTheme="minorHAnsi" w:cstheme="minorHAnsi"/>
          <w:color w:val="000000" w:themeColor="text1"/>
        </w:rPr>
      </w:pPr>
      <w:bookmarkStart w:id="419" w:name="_Toc162267274"/>
      <w:r w:rsidRPr="00506CC7">
        <w:rPr>
          <w:rFonts w:asciiTheme="minorHAnsi" w:hAnsiTheme="minorHAnsi" w:cstheme="minorHAnsi"/>
          <w:color w:val="000000" w:themeColor="text1"/>
        </w:rPr>
        <w:t>References 7.4</w:t>
      </w:r>
      <w:bookmarkEnd w:id="419"/>
      <w:r w:rsidRPr="00506CC7">
        <w:rPr>
          <w:rFonts w:asciiTheme="minorHAnsi" w:hAnsiTheme="minorHAnsi" w:cstheme="minorHAnsi"/>
          <w:color w:val="000000" w:themeColor="text1"/>
        </w:rPr>
        <w:t xml:space="preserve"> </w:t>
      </w:r>
    </w:p>
    <w:p w14:paraId="5F9BB312" w14:textId="29524449" w:rsidR="00506CC7" w:rsidRPr="00506CC7" w:rsidRDefault="00506CC7" w:rsidP="00506CC7">
      <w:r w:rsidRPr="00506CC7">
        <w:t xml:space="preserve">Statistics in the preceding section were referenced from the following </w:t>
      </w:r>
      <w:proofErr w:type="spellStart"/>
      <w:r w:rsidRPr="00506CC7">
        <w:t>report</w:t>
      </w:r>
      <w:r>
        <w:t>ss</w:t>
      </w:r>
      <w:proofErr w:type="spellEnd"/>
      <w:r w:rsidRPr="00506CC7">
        <w:t>:</w:t>
      </w:r>
    </w:p>
    <w:p w14:paraId="668E49CB" w14:textId="0ABFA156" w:rsidR="00506CC7" w:rsidRPr="00506CC7" w:rsidRDefault="00000000" w:rsidP="00926EB3">
      <w:pPr>
        <w:pStyle w:val="ListParagraph"/>
        <w:numPr>
          <w:ilvl w:val="0"/>
          <w:numId w:val="28"/>
        </w:numPr>
      </w:pPr>
      <w:hyperlink r:id="rId200" w:history="1">
        <w:r w:rsidR="00506CC7" w:rsidRPr="00506CC7">
          <w:rPr>
            <w:rStyle w:val="Hyperlink"/>
          </w:rPr>
          <w:t>“Planning for Pregnancy, Preconception Care” by CDC, via cdc.gov. Accessed June 21, 2023</w:t>
        </w:r>
      </w:hyperlink>
      <w:r w:rsidR="00506CC7" w:rsidRPr="00506CC7">
        <w:t xml:space="preserve">. </w:t>
      </w:r>
    </w:p>
    <w:p w14:paraId="333BABE0" w14:textId="2910DDE7" w:rsidR="00506CC7" w:rsidRPr="00506CC7" w:rsidRDefault="00000000" w:rsidP="00926EB3">
      <w:pPr>
        <w:pStyle w:val="ListParagraph"/>
        <w:numPr>
          <w:ilvl w:val="0"/>
          <w:numId w:val="28"/>
        </w:numPr>
        <w:rPr>
          <w:u w:val="thick"/>
        </w:rPr>
      </w:pPr>
      <w:hyperlink r:id="rId201" w:history="1">
        <w:r w:rsidR="00506CC7" w:rsidRPr="00506CC7">
          <w:rPr>
            <w:rStyle w:val="Hyperlink"/>
          </w:rPr>
          <w:t>“High Blood Pressure During Pregnancy” by CDC, via cdc.gov. Accessed June 21, 2023.</w:t>
        </w:r>
      </w:hyperlink>
      <w:r w:rsidR="00506CC7" w:rsidRPr="00506CC7">
        <w:t xml:space="preserve"> </w:t>
      </w:r>
    </w:p>
    <w:p w14:paraId="3B312E8D" w14:textId="77777777" w:rsidR="00506CC7" w:rsidRDefault="00506CC7" w:rsidP="00506CC7"/>
    <w:p w14:paraId="1E23B264" w14:textId="071DB838" w:rsidR="00506CC7" w:rsidRDefault="00506CC7" w:rsidP="00506CC7">
      <w:pPr>
        <w:pStyle w:val="Heading3"/>
      </w:pPr>
      <w:bookmarkStart w:id="420" w:name="_Toc162267275"/>
      <w:r>
        <w:t xml:space="preserve">Preconception Health: </w:t>
      </w:r>
      <w:r w:rsidRPr="00506CC7">
        <w:t>Pregnancy Intention</w:t>
      </w:r>
      <w:bookmarkEnd w:id="420"/>
    </w:p>
    <w:p w14:paraId="6953FA97" w14:textId="1EBBC38E" w:rsidR="00506CC7" w:rsidRDefault="00506CC7" w:rsidP="00506CC7">
      <w:r w:rsidRPr="00506CC7">
        <w:t xml:space="preserve">Preconception health is important for all women, whether they are planning for a pregnancy or not. However, preparing for pregnancy is an important step towards the healthiest pregnancy possible. Approximately half of pregnancies in the US are not planned, and women who have unintended pregnancies are more likely to delay getting health care during pregnancy, which could also affect the health of the baby. </w:t>
      </w:r>
    </w:p>
    <w:p w14:paraId="42B772A5" w14:textId="77777777" w:rsidR="00506CC7" w:rsidRPr="00506CC7" w:rsidRDefault="00506CC7" w:rsidP="00506CC7"/>
    <w:p w14:paraId="3B5AB592" w14:textId="77777777" w:rsidR="00576857" w:rsidRDefault="00576857" w:rsidP="00576857">
      <w:pPr>
        <w:pStyle w:val="Heading4"/>
      </w:pPr>
      <w:bookmarkStart w:id="421" w:name="_Toc154576406"/>
      <w:bookmarkStart w:id="422" w:name="_Toc162267276"/>
      <w:r>
        <w:t>Figure 7.9: Unintended Pregnancy.</w:t>
      </w:r>
      <w:bookmarkEnd w:id="421"/>
      <w:bookmarkEnd w:id="422"/>
    </w:p>
    <w:tbl>
      <w:tblPr>
        <w:tblStyle w:val="TableGrid"/>
        <w:tblW w:w="0" w:type="auto"/>
        <w:tblLook w:val="04A0" w:firstRow="1" w:lastRow="0" w:firstColumn="1" w:lastColumn="0" w:noHBand="0" w:noVBand="1"/>
      </w:tblPr>
      <w:tblGrid>
        <w:gridCol w:w="4675"/>
        <w:gridCol w:w="4675"/>
      </w:tblGrid>
      <w:tr w:rsidR="00576857" w14:paraId="71AA35B0" w14:textId="77777777" w:rsidTr="001515D5">
        <w:tc>
          <w:tcPr>
            <w:tcW w:w="4675" w:type="dxa"/>
            <w:vAlign w:val="bottom"/>
          </w:tcPr>
          <w:p w14:paraId="21F47908" w14:textId="77777777" w:rsidR="00576857" w:rsidRPr="00EB54EF" w:rsidRDefault="00576857" w:rsidP="001515D5">
            <w:r>
              <w:t>Year</w:t>
            </w:r>
          </w:p>
        </w:tc>
        <w:tc>
          <w:tcPr>
            <w:tcW w:w="4675" w:type="dxa"/>
            <w:vAlign w:val="bottom"/>
          </w:tcPr>
          <w:p w14:paraId="3AD3FD53" w14:textId="77777777" w:rsidR="00576857" w:rsidRPr="00EB54EF" w:rsidRDefault="00576857" w:rsidP="001515D5">
            <w:r>
              <w:t xml:space="preserve">Percent in </w:t>
            </w:r>
            <w:r w:rsidRPr="00EB54EF">
              <w:t>SC</w:t>
            </w:r>
          </w:p>
        </w:tc>
      </w:tr>
      <w:tr w:rsidR="00576857" w14:paraId="6C6BF1DC" w14:textId="77777777" w:rsidTr="001515D5">
        <w:tc>
          <w:tcPr>
            <w:tcW w:w="4675" w:type="dxa"/>
            <w:vAlign w:val="center"/>
          </w:tcPr>
          <w:p w14:paraId="29DA874B" w14:textId="77777777" w:rsidR="00576857" w:rsidRPr="00EB54EF" w:rsidRDefault="00576857" w:rsidP="001515D5">
            <w:r w:rsidRPr="00EB54EF">
              <w:t>2017</w:t>
            </w:r>
          </w:p>
        </w:tc>
        <w:tc>
          <w:tcPr>
            <w:tcW w:w="4675" w:type="dxa"/>
            <w:vAlign w:val="center"/>
          </w:tcPr>
          <w:p w14:paraId="3F85005E" w14:textId="77777777" w:rsidR="00576857" w:rsidRPr="00EB54EF" w:rsidRDefault="00576857" w:rsidP="001515D5">
            <w:r w:rsidRPr="00EB54EF">
              <w:t>33.7</w:t>
            </w:r>
            <w:r>
              <w:t>%</w:t>
            </w:r>
          </w:p>
        </w:tc>
      </w:tr>
      <w:tr w:rsidR="00576857" w14:paraId="43C4487B" w14:textId="77777777" w:rsidTr="001515D5">
        <w:tc>
          <w:tcPr>
            <w:tcW w:w="4675" w:type="dxa"/>
            <w:vAlign w:val="center"/>
          </w:tcPr>
          <w:p w14:paraId="042A6B5A" w14:textId="77777777" w:rsidR="00576857" w:rsidRPr="00EB54EF" w:rsidRDefault="00576857" w:rsidP="001515D5">
            <w:r w:rsidRPr="00EB54EF">
              <w:t>2018</w:t>
            </w:r>
          </w:p>
        </w:tc>
        <w:tc>
          <w:tcPr>
            <w:tcW w:w="4675" w:type="dxa"/>
            <w:vAlign w:val="center"/>
          </w:tcPr>
          <w:p w14:paraId="6A651ADC" w14:textId="77777777" w:rsidR="00576857" w:rsidRPr="00EB54EF" w:rsidRDefault="00576857" w:rsidP="001515D5">
            <w:r w:rsidRPr="00EB54EF">
              <w:t>35.8</w:t>
            </w:r>
            <w:r>
              <w:t>%</w:t>
            </w:r>
          </w:p>
        </w:tc>
      </w:tr>
      <w:tr w:rsidR="00576857" w14:paraId="4B73A32F" w14:textId="77777777" w:rsidTr="001515D5">
        <w:tc>
          <w:tcPr>
            <w:tcW w:w="4675" w:type="dxa"/>
            <w:vAlign w:val="center"/>
          </w:tcPr>
          <w:p w14:paraId="5C1D795D" w14:textId="77777777" w:rsidR="00576857" w:rsidRPr="00EB54EF" w:rsidRDefault="00576857" w:rsidP="001515D5">
            <w:r w:rsidRPr="00EB54EF">
              <w:t>2019</w:t>
            </w:r>
          </w:p>
        </w:tc>
        <w:tc>
          <w:tcPr>
            <w:tcW w:w="4675" w:type="dxa"/>
            <w:vAlign w:val="center"/>
          </w:tcPr>
          <w:p w14:paraId="71C5C717" w14:textId="77777777" w:rsidR="00576857" w:rsidRPr="00EB54EF" w:rsidRDefault="00576857" w:rsidP="001515D5">
            <w:r w:rsidRPr="00EB54EF">
              <w:t>33.9</w:t>
            </w:r>
            <w:r>
              <w:t>%</w:t>
            </w:r>
          </w:p>
        </w:tc>
      </w:tr>
      <w:tr w:rsidR="00576857" w14:paraId="11BCC9EA" w14:textId="77777777" w:rsidTr="001515D5">
        <w:tc>
          <w:tcPr>
            <w:tcW w:w="4675" w:type="dxa"/>
            <w:vAlign w:val="center"/>
          </w:tcPr>
          <w:p w14:paraId="2E481638" w14:textId="77777777" w:rsidR="00576857" w:rsidRPr="00EB54EF" w:rsidRDefault="00576857" w:rsidP="001515D5">
            <w:r w:rsidRPr="00EB54EF">
              <w:t>2020</w:t>
            </w:r>
          </w:p>
        </w:tc>
        <w:tc>
          <w:tcPr>
            <w:tcW w:w="4675" w:type="dxa"/>
            <w:vAlign w:val="center"/>
          </w:tcPr>
          <w:p w14:paraId="1E893B83" w14:textId="77777777" w:rsidR="00576857" w:rsidRPr="00EB54EF" w:rsidRDefault="00576857" w:rsidP="001515D5">
            <w:r w:rsidRPr="00EB54EF">
              <w:t>24.8</w:t>
            </w:r>
            <w:r>
              <w:t>%</w:t>
            </w:r>
          </w:p>
        </w:tc>
      </w:tr>
      <w:tr w:rsidR="00576857" w14:paraId="0F4DC7C0" w14:textId="77777777" w:rsidTr="001515D5">
        <w:tc>
          <w:tcPr>
            <w:tcW w:w="4675" w:type="dxa"/>
            <w:vAlign w:val="center"/>
          </w:tcPr>
          <w:p w14:paraId="129AC7C3" w14:textId="77777777" w:rsidR="00576857" w:rsidRPr="00EB54EF" w:rsidRDefault="00576857" w:rsidP="001515D5">
            <w:r w:rsidRPr="00EB54EF">
              <w:t>2021</w:t>
            </w:r>
          </w:p>
        </w:tc>
        <w:tc>
          <w:tcPr>
            <w:tcW w:w="4675" w:type="dxa"/>
            <w:vAlign w:val="center"/>
          </w:tcPr>
          <w:p w14:paraId="56EE4EB1" w14:textId="77777777" w:rsidR="00576857" w:rsidRPr="00EB54EF" w:rsidRDefault="00576857" w:rsidP="001515D5">
            <w:r w:rsidRPr="00EB54EF">
              <w:t>25.2</w:t>
            </w:r>
            <w:r>
              <w:t>%</w:t>
            </w:r>
          </w:p>
        </w:tc>
      </w:tr>
    </w:tbl>
    <w:p w14:paraId="35F4D65C" w14:textId="77777777" w:rsidR="00576857" w:rsidRPr="00EB54EF" w:rsidRDefault="00576857" w:rsidP="00576857">
      <w:r w:rsidRPr="00EB54EF">
        <w:t xml:space="preserve">Source: South Carolina Pregnancy Risk Assessment Monitoring System (PRAMS). </w:t>
      </w:r>
    </w:p>
    <w:p w14:paraId="0CD05773" w14:textId="77777777" w:rsidR="00576857" w:rsidRDefault="00576857" w:rsidP="00576857">
      <w:r w:rsidRPr="00EB54EF">
        <w:t>Note: Unintended pregnancy is defined as wanting to be pregnant later (mistimed) or not wanting to be pregnant then or any time (unwanted).</w:t>
      </w:r>
    </w:p>
    <w:p w14:paraId="4C3FB381" w14:textId="77777777" w:rsidR="00576857" w:rsidRDefault="00576857" w:rsidP="00576857"/>
    <w:p w14:paraId="2FB789F4" w14:textId="77777777" w:rsidR="00576857" w:rsidRDefault="00576857" w:rsidP="00576857">
      <w:pPr>
        <w:pStyle w:val="Heading4"/>
      </w:pPr>
      <w:bookmarkStart w:id="423" w:name="_Toc154576407"/>
      <w:bookmarkStart w:id="424" w:name="_Toc162267277"/>
      <w:r>
        <w:lastRenderedPageBreak/>
        <w:t>Figure 7.10: Unintended Pregnancy,</w:t>
      </w:r>
      <w:r w:rsidRPr="00EB54EF">
        <w:t xml:space="preserve"> </w:t>
      </w:r>
      <w:r>
        <w:t>by Age Group and Race/Ethnicity.</w:t>
      </w:r>
      <w:bookmarkEnd w:id="423"/>
      <w:bookmarkEnd w:id="424"/>
    </w:p>
    <w:tbl>
      <w:tblPr>
        <w:tblStyle w:val="TableGrid"/>
        <w:tblW w:w="0" w:type="auto"/>
        <w:tblLook w:val="04A0" w:firstRow="1" w:lastRow="0" w:firstColumn="1" w:lastColumn="0" w:noHBand="0" w:noVBand="1"/>
      </w:tblPr>
      <w:tblGrid>
        <w:gridCol w:w="879"/>
        <w:gridCol w:w="1176"/>
        <w:gridCol w:w="1176"/>
        <w:gridCol w:w="1176"/>
        <w:gridCol w:w="1176"/>
        <w:gridCol w:w="947"/>
        <w:gridCol w:w="940"/>
        <w:gridCol w:w="940"/>
        <w:gridCol w:w="940"/>
      </w:tblGrid>
      <w:tr w:rsidR="00576857" w14:paraId="64A65C61" w14:textId="77777777" w:rsidTr="001515D5">
        <w:tc>
          <w:tcPr>
            <w:tcW w:w="879" w:type="dxa"/>
            <w:vAlign w:val="bottom"/>
          </w:tcPr>
          <w:p w14:paraId="2F3431CE" w14:textId="77777777" w:rsidR="00576857" w:rsidRPr="00EB54EF" w:rsidRDefault="00576857" w:rsidP="001515D5">
            <w:r>
              <w:t>Year</w:t>
            </w:r>
          </w:p>
        </w:tc>
        <w:tc>
          <w:tcPr>
            <w:tcW w:w="1176" w:type="dxa"/>
            <w:vAlign w:val="bottom"/>
          </w:tcPr>
          <w:p w14:paraId="00676F5A" w14:textId="77777777" w:rsidR="00576857" w:rsidRPr="00EB54EF" w:rsidRDefault="00576857" w:rsidP="001515D5">
            <w:r>
              <w:t>Non-Hispanic Other</w:t>
            </w:r>
          </w:p>
        </w:tc>
        <w:tc>
          <w:tcPr>
            <w:tcW w:w="1176" w:type="dxa"/>
            <w:vAlign w:val="bottom"/>
          </w:tcPr>
          <w:p w14:paraId="1B277610" w14:textId="77777777" w:rsidR="00576857" w:rsidRPr="00EB54EF" w:rsidRDefault="00576857" w:rsidP="001515D5">
            <w:r>
              <w:t xml:space="preserve">  Hispanic</w:t>
            </w:r>
          </w:p>
        </w:tc>
        <w:tc>
          <w:tcPr>
            <w:tcW w:w="1176" w:type="dxa"/>
            <w:vAlign w:val="bottom"/>
          </w:tcPr>
          <w:p w14:paraId="53E8F74A" w14:textId="77777777" w:rsidR="00576857" w:rsidRPr="00EB54EF" w:rsidRDefault="00576857" w:rsidP="001515D5">
            <w:r>
              <w:t xml:space="preserve">  Non-Hispanic Black</w:t>
            </w:r>
          </w:p>
        </w:tc>
        <w:tc>
          <w:tcPr>
            <w:tcW w:w="1176" w:type="dxa"/>
            <w:vAlign w:val="bottom"/>
          </w:tcPr>
          <w:p w14:paraId="2B63B1F1" w14:textId="77777777" w:rsidR="00576857" w:rsidRPr="00EB54EF" w:rsidRDefault="00576857" w:rsidP="001515D5">
            <w:r>
              <w:t xml:space="preserve">  Non-Hispanic White</w:t>
            </w:r>
          </w:p>
        </w:tc>
        <w:tc>
          <w:tcPr>
            <w:tcW w:w="947" w:type="dxa"/>
            <w:vAlign w:val="bottom"/>
          </w:tcPr>
          <w:p w14:paraId="2AAE3F25" w14:textId="77777777" w:rsidR="00576857" w:rsidRPr="00EB54EF" w:rsidRDefault="00576857" w:rsidP="001515D5">
            <w:r>
              <w:t>&gt; 35</w:t>
            </w:r>
          </w:p>
        </w:tc>
        <w:tc>
          <w:tcPr>
            <w:tcW w:w="940" w:type="dxa"/>
            <w:vAlign w:val="bottom"/>
          </w:tcPr>
          <w:p w14:paraId="79B94B0D" w14:textId="77777777" w:rsidR="00576857" w:rsidRPr="00EB54EF" w:rsidRDefault="00576857" w:rsidP="001515D5">
            <w:r>
              <w:t>25 - 34</w:t>
            </w:r>
          </w:p>
        </w:tc>
        <w:tc>
          <w:tcPr>
            <w:tcW w:w="940" w:type="dxa"/>
            <w:vAlign w:val="bottom"/>
          </w:tcPr>
          <w:p w14:paraId="54811F0B" w14:textId="77777777" w:rsidR="00576857" w:rsidRPr="00EB54EF" w:rsidRDefault="00576857" w:rsidP="001515D5">
            <w:r>
              <w:t>20 - 24</w:t>
            </w:r>
          </w:p>
        </w:tc>
        <w:tc>
          <w:tcPr>
            <w:tcW w:w="940" w:type="dxa"/>
            <w:vAlign w:val="bottom"/>
          </w:tcPr>
          <w:p w14:paraId="7890C36E" w14:textId="77777777" w:rsidR="00576857" w:rsidRPr="00EB54EF" w:rsidRDefault="00576857" w:rsidP="001515D5">
            <w:r>
              <w:t>&lt;20</w:t>
            </w:r>
          </w:p>
        </w:tc>
      </w:tr>
      <w:tr w:rsidR="00576857" w14:paraId="150A4519" w14:textId="77777777" w:rsidTr="001515D5">
        <w:tc>
          <w:tcPr>
            <w:tcW w:w="879" w:type="dxa"/>
            <w:vAlign w:val="bottom"/>
          </w:tcPr>
          <w:p w14:paraId="5D32D405" w14:textId="77777777" w:rsidR="00576857" w:rsidRPr="00EB54EF" w:rsidRDefault="00576857" w:rsidP="001515D5">
            <w:r w:rsidRPr="00EB54EF">
              <w:t>2017-2021</w:t>
            </w:r>
          </w:p>
        </w:tc>
        <w:tc>
          <w:tcPr>
            <w:tcW w:w="1176" w:type="dxa"/>
            <w:vAlign w:val="bottom"/>
          </w:tcPr>
          <w:p w14:paraId="01FCBB68" w14:textId="77777777" w:rsidR="00576857" w:rsidRPr="00EB54EF" w:rsidRDefault="00576857" w:rsidP="001515D5">
            <w:r>
              <w:t>31.0%</w:t>
            </w:r>
          </w:p>
        </w:tc>
        <w:tc>
          <w:tcPr>
            <w:tcW w:w="1176" w:type="dxa"/>
            <w:vAlign w:val="bottom"/>
          </w:tcPr>
          <w:p w14:paraId="57AE345C" w14:textId="77777777" w:rsidR="00576857" w:rsidRPr="00EB54EF" w:rsidRDefault="00576857" w:rsidP="001515D5">
            <w:r>
              <w:t>34.8%</w:t>
            </w:r>
          </w:p>
        </w:tc>
        <w:tc>
          <w:tcPr>
            <w:tcW w:w="1176" w:type="dxa"/>
            <w:vAlign w:val="bottom"/>
          </w:tcPr>
          <w:p w14:paraId="511B9460" w14:textId="77777777" w:rsidR="00576857" w:rsidRPr="00EB54EF" w:rsidRDefault="00576857" w:rsidP="001515D5">
            <w:r>
              <w:t>44.2%</w:t>
            </w:r>
          </w:p>
        </w:tc>
        <w:tc>
          <w:tcPr>
            <w:tcW w:w="1176" w:type="dxa"/>
            <w:vAlign w:val="bottom"/>
          </w:tcPr>
          <w:p w14:paraId="2A180762" w14:textId="77777777" w:rsidR="00576857" w:rsidRPr="00EB54EF" w:rsidRDefault="00576857" w:rsidP="001515D5">
            <w:r>
              <w:t>23.0%</w:t>
            </w:r>
          </w:p>
        </w:tc>
        <w:tc>
          <w:tcPr>
            <w:tcW w:w="947" w:type="dxa"/>
            <w:vAlign w:val="bottom"/>
          </w:tcPr>
          <w:p w14:paraId="76E012A4" w14:textId="77777777" w:rsidR="00576857" w:rsidRPr="00EB54EF" w:rsidRDefault="00576857" w:rsidP="001515D5">
            <w:r>
              <w:t>16.4%</w:t>
            </w:r>
          </w:p>
        </w:tc>
        <w:tc>
          <w:tcPr>
            <w:tcW w:w="940" w:type="dxa"/>
            <w:vAlign w:val="bottom"/>
          </w:tcPr>
          <w:p w14:paraId="0D3807D4" w14:textId="77777777" w:rsidR="00576857" w:rsidRPr="00EB54EF" w:rsidRDefault="00576857" w:rsidP="001515D5">
            <w:r>
              <w:t>27.3%</w:t>
            </w:r>
          </w:p>
        </w:tc>
        <w:tc>
          <w:tcPr>
            <w:tcW w:w="940" w:type="dxa"/>
            <w:vAlign w:val="bottom"/>
          </w:tcPr>
          <w:p w14:paraId="39911939" w14:textId="77777777" w:rsidR="00576857" w:rsidRPr="00EB54EF" w:rsidRDefault="00576857" w:rsidP="001515D5">
            <w:r>
              <w:t>44.7%</w:t>
            </w:r>
          </w:p>
        </w:tc>
        <w:tc>
          <w:tcPr>
            <w:tcW w:w="940" w:type="dxa"/>
            <w:vAlign w:val="bottom"/>
          </w:tcPr>
          <w:p w14:paraId="0E8164F2" w14:textId="77777777" w:rsidR="00576857" w:rsidRPr="00EB54EF" w:rsidRDefault="00576857" w:rsidP="001515D5">
            <w:r>
              <w:t>52.3%</w:t>
            </w:r>
          </w:p>
        </w:tc>
      </w:tr>
    </w:tbl>
    <w:p w14:paraId="460997DD" w14:textId="77777777" w:rsidR="00576857" w:rsidRPr="00EB54EF" w:rsidRDefault="00576857" w:rsidP="00576857">
      <w:r w:rsidRPr="00EB54EF">
        <w:t xml:space="preserve">Source: South Carolina Pregnancy Risk Assessment Monitoring System (PRAMS), 2017-2021. </w:t>
      </w:r>
    </w:p>
    <w:p w14:paraId="7913D392" w14:textId="77777777" w:rsidR="00576857" w:rsidRDefault="00576857" w:rsidP="00576857">
      <w:r w:rsidRPr="00EB54EF">
        <w:t>Note: Unintended pregnancy is defined as wanting to be pregnant later (mistimed) or not wanting to be pregnant then or any time (unwanted).</w:t>
      </w:r>
    </w:p>
    <w:p w14:paraId="18D86B8B" w14:textId="4304CC66" w:rsidR="00506CC7" w:rsidRDefault="00506CC7" w:rsidP="00506CC7"/>
    <w:p w14:paraId="3E5D48DE" w14:textId="35CEE9F1" w:rsidR="00506CC7" w:rsidRDefault="00506CC7" w:rsidP="00506CC7">
      <w:bookmarkStart w:id="425" w:name="_Toc162267278"/>
      <w:r w:rsidRPr="00506CC7">
        <w:rPr>
          <w:rStyle w:val="Heading4Char"/>
        </w:rPr>
        <w:t>Data Interpretations:</w:t>
      </w:r>
      <w:bookmarkEnd w:id="425"/>
      <w:r w:rsidRPr="00506CC7">
        <w:rPr>
          <w:b/>
          <w:bCs/>
        </w:rPr>
        <w:t xml:space="preserve"> </w:t>
      </w:r>
      <w:r w:rsidRPr="00506CC7">
        <w:t>In SC, the rate of unintended pregnancies remained steady from 2017 to 2019, but has decreased from 33.9% in 2019 to 25.2% in 2021, moving in a positive direction (</w:t>
      </w:r>
      <w:r w:rsidRPr="00506CC7">
        <w:rPr>
          <w:b/>
          <w:bCs/>
        </w:rPr>
        <w:t>Figure 7.9</w:t>
      </w:r>
      <w:r w:rsidRPr="00506CC7">
        <w:t>). However, demographic disparities still exist; Non-Hispanic Black women (44.2%) and young mothers less than 20 years of age (52.3%) report the highest rates of unintended pregnancies (</w:t>
      </w:r>
      <w:r w:rsidRPr="00506CC7">
        <w:rPr>
          <w:b/>
          <w:bCs/>
        </w:rPr>
        <w:t>Figure 7.10</w:t>
      </w:r>
      <w:r w:rsidRPr="00506CC7">
        <w:t>).  </w:t>
      </w:r>
    </w:p>
    <w:p w14:paraId="5DF18FCD" w14:textId="77777777" w:rsidR="00506CC7" w:rsidRDefault="00506CC7" w:rsidP="00506CC7">
      <w:pPr>
        <w:rPr>
          <w:i/>
          <w:iCs/>
        </w:rPr>
      </w:pPr>
    </w:p>
    <w:p w14:paraId="5A6AC77D" w14:textId="77777777" w:rsidR="00506CC7" w:rsidRDefault="00506CC7" w:rsidP="00506CC7">
      <w:pPr>
        <w:rPr>
          <w:b/>
          <w:bCs/>
        </w:rPr>
      </w:pPr>
      <w:r w:rsidRPr="00506CC7">
        <w:rPr>
          <w:rStyle w:val="Heading5Char"/>
        </w:rPr>
        <w:t>Key Takeaways:</w:t>
      </w:r>
      <w:r>
        <w:rPr>
          <w:b/>
          <w:bCs/>
        </w:rPr>
        <w:t xml:space="preserve"> </w:t>
      </w:r>
    </w:p>
    <w:p w14:paraId="22B05DE1" w14:textId="3D64ADC2" w:rsidR="00506CC7" w:rsidRPr="00506CC7" w:rsidRDefault="00506CC7" w:rsidP="00926EB3">
      <w:pPr>
        <w:pStyle w:val="ListParagraph"/>
        <w:numPr>
          <w:ilvl w:val="0"/>
          <w:numId w:val="220"/>
        </w:numPr>
      </w:pPr>
      <w:r w:rsidRPr="00506CC7">
        <w:t>In SC, the rate of unintended pregnancies remained steady from 2017 to 2019, but has decreased from 33.9% in 2019 to 25.2% in 2021, moving in a positive direction and further below the Healthy People 2030 goal of 36.5%.</w:t>
      </w:r>
    </w:p>
    <w:p w14:paraId="394E4F28" w14:textId="77777777" w:rsidR="00506CC7" w:rsidRDefault="00506CC7" w:rsidP="00506CC7"/>
    <w:p w14:paraId="3EADDAE4" w14:textId="16AA4E8A" w:rsidR="00506CC7" w:rsidRPr="00506CC7" w:rsidRDefault="00506CC7" w:rsidP="00506CC7">
      <w:pPr>
        <w:pStyle w:val="Heading4"/>
        <w:rPr>
          <w:rFonts w:asciiTheme="minorHAnsi" w:hAnsiTheme="minorHAnsi" w:cstheme="minorHAnsi"/>
          <w:color w:val="000000" w:themeColor="text1"/>
        </w:rPr>
      </w:pPr>
      <w:bookmarkStart w:id="426" w:name="_Toc162267279"/>
      <w:r w:rsidRPr="00506CC7">
        <w:rPr>
          <w:rFonts w:asciiTheme="minorHAnsi" w:hAnsiTheme="minorHAnsi" w:cstheme="minorHAnsi"/>
          <w:color w:val="000000" w:themeColor="text1"/>
        </w:rPr>
        <w:t>References 7.5</w:t>
      </w:r>
      <w:bookmarkEnd w:id="426"/>
      <w:r w:rsidRPr="00506CC7">
        <w:rPr>
          <w:rFonts w:asciiTheme="minorHAnsi" w:hAnsiTheme="minorHAnsi" w:cstheme="minorHAnsi"/>
          <w:color w:val="000000" w:themeColor="text1"/>
        </w:rPr>
        <w:t xml:space="preserve"> </w:t>
      </w:r>
    </w:p>
    <w:p w14:paraId="2EB33E50" w14:textId="1C54B786" w:rsidR="00506CC7" w:rsidRPr="00506CC7" w:rsidRDefault="00506CC7" w:rsidP="00506CC7">
      <w:r w:rsidRPr="00506CC7">
        <w:t>Statistics in the preceding section were referenced from the following report</w:t>
      </w:r>
      <w:r>
        <w:t>s</w:t>
      </w:r>
      <w:r w:rsidRPr="00506CC7">
        <w:t>:</w:t>
      </w:r>
    </w:p>
    <w:p w14:paraId="34A35523" w14:textId="09D55D96" w:rsidR="00506CC7" w:rsidRDefault="00000000" w:rsidP="00926EB3">
      <w:pPr>
        <w:pStyle w:val="ListParagraph"/>
        <w:numPr>
          <w:ilvl w:val="0"/>
          <w:numId w:val="29"/>
        </w:numPr>
      </w:pPr>
      <w:hyperlink r:id="rId202" w:history="1">
        <w:r w:rsidR="00506CC7" w:rsidRPr="00506CC7">
          <w:rPr>
            <w:rStyle w:val="Hyperlink"/>
          </w:rPr>
          <w:t>“Planning for Pregnancy, Preconception Care” by CDC, via cdc.gov. Accessed June 21, 2023</w:t>
        </w:r>
      </w:hyperlink>
      <w:r w:rsidR="00506CC7" w:rsidRPr="00506CC7">
        <w:t xml:space="preserve">. </w:t>
      </w:r>
    </w:p>
    <w:p w14:paraId="38DE2D29" w14:textId="377EB0C3" w:rsidR="00506CC7" w:rsidRPr="00506CC7" w:rsidRDefault="00000000" w:rsidP="00926EB3">
      <w:pPr>
        <w:pStyle w:val="ListParagraph"/>
        <w:numPr>
          <w:ilvl w:val="0"/>
          <w:numId w:val="28"/>
        </w:numPr>
      </w:pPr>
      <w:hyperlink r:id="rId203" w:history="1">
        <w:r w:rsidR="00506CC7" w:rsidRPr="00506CC7">
          <w:rPr>
            <w:rStyle w:val="Hyperlink"/>
          </w:rPr>
          <w:t>“Unintended Pregnancy” by CDC via cdc.gov. Accessed June 21, 2023.</w:t>
        </w:r>
      </w:hyperlink>
      <w:r w:rsidR="00506CC7" w:rsidRPr="00506CC7">
        <w:t xml:space="preserve"> </w:t>
      </w:r>
    </w:p>
    <w:p w14:paraId="10CD93AE" w14:textId="77777777" w:rsidR="00506CC7" w:rsidRDefault="00506CC7" w:rsidP="00506CC7"/>
    <w:p w14:paraId="4C402D94" w14:textId="3F7AB6A2" w:rsidR="00506CC7" w:rsidRPr="00506CC7" w:rsidRDefault="00506CC7" w:rsidP="00506CC7">
      <w:pPr>
        <w:pStyle w:val="Heading3"/>
      </w:pPr>
      <w:bookmarkStart w:id="427" w:name="_Toc162267280"/>
      <w:r>
        <w:t xml:space="preserve">Preconception Health: </w:t>
      </w:r>
      <w:r w:rsidRPr="00506CC7">
        <w:t>Fertility</w:t>
      </w:r>
      <w:bookmarkEnd w:id="427"/>
    </w:p>
    <w:p w14:paraId="17ECBEF4" w14:textId="5B55B4CD" w:rsidR="00506CC7" w:rsidRDefault="00506CC7" w:rsidP="00506CC7">
      <w:r w:rsidRPr="00506CC7">
        <w:t>Overall, US fertility rate</w:t>
      </w:r>
      <w:r w:rsidR="00A41236">
        <w:t>s</w:t>
      </w:r>
      <w:r w:rsidRPr="00506CC7">
        <w:t xml:space="preserve">, or the birth rate per 1,000 women 15-44, have gradually declined in the past 10 years, mostly among young women ages 20-24. Several lifestyle and economic factors (e.g., postponement of marriage and childbearing to older age, increases in women’s educational attainment and labor force participation, economic prosperity, </w:t>
      </w:r>
      <w:proofErr w:type="gramStart"/>
      <w:r w:rsidRPr="00506CC7">
        <w:t>availability</w:t>
      </w:r>
      <w:proofErr w:type="gramEnd"/>
      <w:r w:rsidRPr="00506CC7">
        <w:t xml:space="preserve"> and affordability of childcare) have been attributed to the decrease in fertility in developed countries such as the US. These decreases in fertility can have economic impacts, as children are needed to replenish an aging population in the labor force. </w:t>
      </w:r>
    </w:p>
    <w:p w14:paraId="52786F1D" w14:textId="77777777" w:rsidR="00506CC7" w:rsidRDefault="00506CC7" w:rsidP="00506CC7">
      <w:pPr>
        <w:pStyle w:val="Heading4"/>
        <w:rPr>
          <w:color w:val="FF0000"/>
        </w:rPr>
      </w:pPr>
    </w:p>
    <w:p w14:paraId="059688FB" w14:textId="77777777" w:rsidR="00576857" w:rsidRDefault="00576857" w:rsidP="00576857">
      <w:pPr>
        <w:pStyle w:val="Heading4"/>
      </w:pPr>
      <w:bookmarkStart w:id="428" w:name="_Toc154576408"/>
      <w:bookmarkStart w:id="429" w:name="_Toc162267281"/>
      <w:r>
        <w:t>Figure 7.11: General Fertility.</w:t>
      </w:r>
      <w:bookmarkEnd w:id="428"/>
      <w:bookmarkEnd w:id="429"/>
    </w:p>
    <w:p w14:paraId="7B11BBF4" w14:textId="77777777" w:rsidR="00576857" w:rsidRDefault="00576857" w:rsidP="00576857">
      <w:pPr>
        <w:pStyle w:val="Heading5"/>
      </w:pPr>
      <w:r>
        <w:t>Rate per 1,000 live births.</w:t>
      </w:r>
    </w:p>
    <w:tbl>
      <w:tblPr>
        <w:tblStyle w:val="TableGrid"/>
        <w:tblW w:w="0" w:type="auto"/>
        <w:tblLook w:val="04A0" w:firstRow="1" w:lastRow="0" w:firstColumn="1" w:lastColumn="0" w:noHBand="0" w:noVBand="1"/>
      </w:tblPr>
      <w:tblGrid>
        <w:gridCol w:w="3116"/>
        <w:gridCol w:w="3117"/>
        <w:gridCol w:w="3117"/>
      </w:tblGrid>
      <w:tr w:rsidR="00576857" w14:paraId="205FF3C7" w14:textId="77777777" w:rsidTr="001515D5">
        <w:tc>
          <w:tcPr>
            <w:tcW w:w="3116" w:type="dxa"/>
            <w:vAlign w:val="bottom"/>
          </w:tcPr>
          <w:p w14:paraId="72647760" w14:textId="77777777" w:rsidR="00576857" w:rsidRPr="00EB54EF" w:rsidRDefault="00576857" w:rsidP="001515D5">
            <w:r>
              <w:t>Year</w:t>
            </w:r>
          </w:p>
        </w:tc>
        <w:tc>
          <w:tcPr>
            <w:tcW w:w="3117" w:type="dxa"/>
            <w:vAlign w:val="bottom"/>
          </w:tcPr>
          <w:p w14:paraId="134481C2" w14:textId="5C49E1C8" w:rsidR="00576857" w:rsidRPr="00EB54EF" w:rsidRDefault="00576857" w:rsidP="001515D5">
            <w:r w:rsidRPr="00EB54EF">
              <w:t>S</w:t>
            </w:r>
            <w:r w:rsidR="00195CD4">
              <w:t>outh Carolina</w:t>
            </w:r>
          </w:p>
        </w:tc>
        <w:tc>
          <w:tcPr>
            <w:tcW w:w="3117" w:type="dxa"/>
            <w:vAlign w:val="bottom"/>
          </w:tcPr>
          <w:p w14:paraId="4632A7E6" w14:textId="18789436" w:rsidR="00576857" w:rsidRPr="00EB54EF" w:rsidRDefault="00576857" w:rsidP="001515D5">
            <w:r w:rsidRPr="00EB54EF">
              <w:t>U</w:t>
            </w:r>
            <w:r w:rsidR="00195CD4">
              <w:t>nited States</w:t>
            </w:r>
          </w:p>
        </w:tc>
      </w:tr>
      <w:tr w:rsidR="00576857" w14:paraId="6A1D40B8" w14:textId="77777777" w:rsidTr="001515D5">
        <w:tc>
          <w:tcPr>
            <w:tcW w:w="3116" w:type="dxa"/>
            <w:vAlign w:val="bottom"/>
          </w:tcPr>
          <w:p w14:paraId="1C17EF3D" w14:textId="77777777" w:rsidR="00576857" w:rsidRPr="00EB54EF" w:rsidRDefault="00576857" w:rsidP="001515D5">
            <w:r w:rsidRPr="00EB54EF">
              <w:t>2017</w:t>
            </w:r>
          </w:p>
        </w:tc>
        <w:tc>
          <w:tcPr>
            <w:tcW w:w="3117" w:type="dxa"/>
            <w:vAlign w:val="bottom"/>
          </w:tcPr>
          <w:p w14:paraId="5D41B7BF" w14:textId="77777777" w:rsidR="00576857" w:rsidRPr="00EB54EF" w:rsidRDefault="00576857" w:rsidP="001515D5">
            <w:r w:rsidRPr="00EB54EF">
              <w:t>58.9</w:t>
            </w:r>
          </w:p>
        </w:tc>
        <w:tc>
          <w:tcPr>
            <w:tcW w:w="3117" w:type="dxa"/>
            <w:vAlign w:val="bottom"/>
          </w:tcPr>
          <w:p w14:paraId="3D330A41" w14:textId="77777777" w:rsidR="00576857" w:rsidRPr="00EB54EF" w:rsidRDefault="00576857" w:rsidP="001515D5">
            <w:r w:rsidRPr="00EB54EF">
              <w:t>60.1</w:t>
            </w:r>
          </w:p>
        </w:tc>
      </w:tr>
      <w:tr w:rsidR="00576857" w14:paraId="4FBF7D31" w14:textId="77777777" w:rsidTr="001515D5">
        <w:tc>
          <w:tcPr>
            <w:tcW w:w="3116" w:type="dxa"/>
            <w:vAlign w:val="bottom"/>
          </w:tcPr>
          <w:p w14:paraId="7F48BC44" w14:textId="77777777" w:rsidR="00576857" w:rsidRPr="00EB54EF" w:rsidRDefault="00576857" w:rsidP="001515D5">
            <w:r w:rsidRPr="00EB54EF">
              <w:t>2018</w:t>
            </w:r>
          </w:p>
        </w:tc>
        <w:tc>
          <w:tcPr>
            <w:tcW w:w="3117" w:type="dxa"/>
            <w:vAlign w:val="bottom"/>
          </w:tcPr>
          <w:p w14:paraId="246B6C59" w14:textId="77777777" w:rsidR="00576857" w:rsidRPr="00EB54EF" w:rsidRDefault="00576857" w:rsidP="001515D5">
            <w:r w:rsidRPr="00EB54EF">
              <w:t>58.0</w:t>
            </w:r>
          </w:p>
        </w:tc>
        <w:tc>
          <w:tcPr>
            <w:tcW w:w="3117" w:type="dxa"/>
            <w:vAlign w:val="bottom"/>
          </w:tcPr>
          <w:p w14:paraId="48285E89" w14:textId="77777777" w:rsidR="00576857" w:rsidRPr="00EB54EF" w:rsidRDefault="00576857" w:rsidP="001515D5">
            <w:r w:rsidRPr="00EB54EF">
              <w:t>58.9</w:t>
            </w:r>
          </w:p>
        </w:tc>
      </w:tr>
      <w:tr w:rsidR="00576857" w14:paraId="136CE728" w14:textId="77777777" w:rsidTr="001515D5">
        <w:tc>
          <w:tcPr>
            <w:tcW w:w="3116" w:type="dxa"/>
            <w:vAlign w:val="bottom"/>
          </w:tcPr>
          <w:p w14:paraId="0032AF53" w14:textId="77777777" w:rsidR="00576857" w:rsidRPr="00EB54EF" w:rsidRDefault="00576857" w:rsidP="001515D5">
            <w:r w:rsidRPr="00EB54EF">
              <w:t>2019</w:t>
            </w:r>
          </w:p>
        </w:tc>
        <w:tc>
          <w:tcPr>
            <w:tcW w:w="3117" w:type="dxa"/>
            <w:vAlign w:val="bottom"/>
          </w:tcPr>
          <w:p w14:paraId="337CB38F" w14:textId="77777777" w:rsidR="00576857" w:rsidRPr="00EB54EF" w:rsidRDefault="00576857" w:rsidP="001515D5">
            <w:r w:rsidRPr="00EB54EF">
              <w:t>57.8</w:t>
            </w:r>
          </w:p>
        </w:tc>
        <w:tc>
          <w:tcPr>
            <w:tcW w:w="3117" w:type="dxa"/>
            <w:vAlign w:val="bottom"/>
          </w:tcPr>
          <w:p w14:paraId="52013577" w14:textId="77777777" w:rsidR="00576857" w:rsidRPr="00EB54EF" w:rsidRDefault="00576857" w:rsidP="001515D5">
            <w:r w:rsidRPr="00EB54EF">
              <w:t>58.1</w:t>
            </w:r>
          </w:p>
        </w:tc>
      </w:tr>
      <w:tr w:rsidR="00576857" w14:paraId="77576E7B" w14:textId="77777777" w:rsidTr="001515D5">
        <w:tc>
          <w:tcPr>
            <w:tcW w:w="3116" w:type="dxa"/>
            <w:vAlign w:val="bottom"/>
          </w:tcPr>
          <w:p w14:paraId="53ECA39A" w14:textId="77777777" w:rsidR="00576857" w:rsidRPr="00EB54EF" w:rsidRDefault="00576857" w:rsidP="001515D5">
            <w:r w:rsidRPr="00EB54EF">
              <w:t>2020</w:t>
            </w:r>
          </w:p>
        </w:tc>
        <w:tc>
          <w:tcPr>
            <w:tcW w:w="3117" w:type="dxa"/>
            <w:vAlign w:val="bottom"/>
          </w:tcPr>
          <w:p w14:paraId="384D1C05" w14:textId="77777777" w:rsidR="00576857" w:rsidRPr="00EB54EF" w:rsidRDefault="00576857" w:rsidP="001515D5">
            <w:r w:rsidRPr="00EB54EF">
              <w:t>55.8</w:t>
            </w:r>
          </w:p>
        </w:tc>
        <w:tc>
          <w:tcPr>
            <w:tcW w:w="3117" w:type="dxa"/>
            <w:vAlign w:val="bottom"/>
          </w:tcPr>
          <w:p w14:paraId="0138B3D4" w14:textId="77777777" w:rsidR="00576857" w:rsidRPr="00EB54EF" w:rsidRDefault="00576857" w:rsidP="001515D5">
            <w:r w:rsidRPr="00EB54EF">
              <w:t>55.8</w:t>
            </w:r>
          </w:p>
        </w:tc>
      </w:tr>
      <w:tr w:rsidR="00576857" w14:paraId="49484705" w14:textId="77777777" w:rsidTr="001515D5">
        <w:tc>
          <w:tcPr>
            <w:tcW w:w="3116" w:type="dxa"/>
            <w:vAlign w:val="bottom"/>
          </w:tcPr>
          <w:p w14:paraId="703653CD" w14:textId="77777777" w:rsidR="00576857" w:rsidRPr="00EB54EF" w:rsidRDefault="00576857" w:rsidP="001515D5">
            <w:r w:rsidRPr="00EB54EF">
              <w:t>2021</w:t>
            </w:r>
          </w:p>
        </w:tc>
        <w:tc>
          <w:tcPr>
            <w:tcW w:w="3117" w:type="dxa"/>
            <w:vAlign w:val="bottom"/>
          </w:tcPr>
          <w:p w14:paraId="6F39D316" w14:textId="77777777" w:rsidR="00576857" w:rsidRPr="00EB54EF" w:rsidRDefault="00576857" w:rsidP="001515D5">
            <w:r w:rsidRPr="00EB54EF">
              <w:t>57.4</w:t>
            </w:r>
          </w:p>
        </w:tc>
        <w:tc>
          <w:tcPr>
            <w:tcW w:w="3117" w:type="dxa"/>
            <w:vAlign w:val="bottom"/>
          </w:tcPr>
          <w:p w14:paraId="1863D753" w14:textId="77777777" w:rsidR="00576857" w:rsidRPr="00EB54EF" w:rsidRDefault="00576857" w:rsidP="001515D5">
            <w:r w:rsidRPr="00EB54EF">
              <w:t>56.1</w:t>
            </w:r>
          </w:p>
        </w:tc>
      </w:tr>
    </w:tbl>
    <w:p w14:paraId="74D969AC" w14:textId="77777777" w:rsidR="00576857" w:rsidRPr="000B2673" w:rsidRDefault="00576857" w:rsidP="00576857">
      <w:r w:rsidRPr="000B2673">
        <w:t xml:space="preserve">Source: SC DHEC Vital Statistics, 2017- 2021. US data from natality data on CDC WONDER Online Database. </w:t>
      </w:r>
    </w:p>
    <w:p w14:paraId="53B7EA0A" w14:textId="77777777" w:rsidR="00576857" w:rsidRDefault="00576857" w:rsidP="00576857">
      <w:r w:rsidRPr="000B2673">
        <w:t>Note: Ages 15-44.</w:t>
      </w:r>
    </w:p>
    <w:p w14:paraId="01BFFB81" w14:textId="77777777" w:rsidR="00576857" w:rsidRDefault="00576857" w:rsidP="00576857"/>
    <w:p w14:paraId="519A5387" w14:textId="77777777" w:rsidR="00576857" w:rsidRDefault="00576857" w:rsidP="00576857">
      <w:pPr>
        <w:pStyle w:val="Heading4"/>
      </w:pPr>
      <w:bookmarkStart w:id="430" w:name="_Toc154576409"/>
      <w:bookmarkStart w:id="431" w:name="_Toc162267282"/>
      <w:r>
        <w:t>Figure 7.12: General Fertility, by Race and Ethnicity.</w:t>
      </w:r>
      <w:bookmarkEnd w:id="430"/>
      <w:bookmarkEnd w:id="431"/>
    </w:p>
    <w:p w14:paraId="28835057" w14:textId="77777777" w:rsidR="00576857" w:rsidRDefault="00576857" w:rsidP="00576857">
      <w:pPr>
        <w:pStyle w:val="Heading5"/>
      </w:pPr>
      <w:r>
        <w:t>Rate per 1,000 live births.</w:t>
      </w:r>
    </w:p>
    <w:tbl>
      <w:tblPr>
        <w:tblStyle w:val="TableGrid"/>
        <w:tblW w:w="0" w:type="auto"/>
        <w:tblLook w:val="04A0" w:firstRow="1" w:lastRow="0" w:firstColumn="1" w:lastColumn="0" w:noHBand="0" w:noVBand="1"/>
      </w:tblPr>
      <w:tblGrid>
        <w:gridCol w:w="1870"/>
        <w:gridCol w:w="1870"/>
        <w:gridCol w:w="1870"/>
        <w:gridCol w:w="1870"/>
        <w:gridCol w:w="1870"/>
      </w:tblGrid>
      <w:tr w:rsidR="00576857" w14:paraId="36D66B7C" w14:textId="77777777" w:rsidTr="001515D5">
        <w:tc>
          <w:tcPr>
            <w:tcW w:w="1870" w:type="dxa"/>
            <w:vAlign w:val="bottom"/>
          </w:tcPr>
          <w:p w14:paraId="50ADDB77" w14:textId="77777777" w:rsidR="00576857" w:rsidRPr="000B2673" w:rsidRDefault="00576857" w:rsidP="001515D5">
            <w:r>
              <w:t>Year</w:t>
            </w:r>
          </w:p>
        </w:tc>
        <w:tc>
          <w:tcPr>
            <w:tcW w:w="1870" w:type="dxa"/>
            <w:vAlign w:val="bottom"/>
          </w:tcPr>
          <w:p w14:paraId="38C95779" w14:textId="77777777" w:rsidR="00576857" w:rsidRPr="000B2673" w:rsidRDefault="00576857" w:rsidP="001515D5">
            <w:r w:rsidRPr="000B2673">
              <w:t xml:space="preserve">  Non-Hispanic White</w:t>
            </w:r>
          </w:p>
        </w:tc>
        <w:tc>
          <w:tcPr>
            <w:tcW w:w="1870" w:type="dxa"/>
            <w:vAlign w:val="bottom"/>
          </w:tcPr>
          <w:p w14:paraId="1F2D7E5F" w14:textId="77777777" w:rsidR="00576857" w:rsidRPr="000B2673" w:rsidRDefault="00576857" w:rsidP="001515D5">
            <w:r w:rsidRPr="000B2673">
              <w:t xml:space="preserve">  Non-Hispanic Black</w:t>
            </w:r>
          </w:p>
        </w:tc>
        <w:tc>
          <w:tcPr>
            <w:tcW w:w="1870" w:type="dxa"/>
            <w:vAlign w:val="bottom"/>
          </w:tcPr>
          <w:p w14:paraId="2F55CBF1" w14:textId="77777777" w:rsidR="00576857" w:rsidRPr="000B2673" w:rsidRDefault="00576857" w:rsidP="001515D5">
            <w:r w:rsidRPr="000B2673">
              <w:t xml:space="preserve">  Non-Hispanic Other (includes multi-racial)</w:t>
            </w:r>
          </w:p>
        </w:tc>
        <w:tc>
          <w:tcPr>
            <w:tcW w:w="1870" w:type="dxa"/>
            <w:vAlign w:val="bottom"/>
          </w:tcPr>
          <w:p w14:paraId="097DB6B1" w14:textId="77777777" w:rsidR="00576857" w:rsidRPr="000B2673" w:rsidRDefault="00576857" w:rsidP="001515D5">
            <w:r w:rsidRPr="000B2673">
              <w:t>Hispanic</w:t>
            </w:r>
          </w:p>
        </w:tc>
      </w:tr>
      <w:tr w:rsidR="00576857" w14:paraId="4EC7B360" w14:textId="77777777" w:rsidTr="001515D5">
        <w:tc>
          <w:tcPr>
            <w:tcW w:w="1870" w:type="dxa"/>
            <w:vAlign w:val="center"/>
          </w:tcPr>
          <w:p w14:paraId="5AE63CF3" w14:textId="77777777" w:rsidR="00576857" w:rsidRPr="000B2673" w:rsidRDefault="00576857" w:rsidP="001515D5">
            <w:r w:rsidRPr="000B2673">
              <w:t>2017-2021</w:t>
            </w:r>
          </w:p>
        </w:tc>
        <w:tc>
          <w:tcPr>
            <w:tcW w:w="1870" w:type="dxa"/>
            <w:vAlign w:val="bottom"/>
          </w:tcPr>
          <w:p w14:paraId="4DBD2C5D" w14:textId="77777777" w:rsidR="00576857" w:rsidRPr="000B2673" w:rsidRDefault="00576857" w:rsidP="001515D5">
            <w:r w:rsidRPr="000B2673">
              <w:t>55.0</w:t>
            </w:r>
          </w:p>
        </w:tc>
        <w:tc>
          <w:tcPr>
            <w:tcW w:w="1870" w:type="dxa"/>
            <w:vAlign w:val="bottom"/>
          </w:tcPr>
          <w:p w14:paraId="6D5BCFD0" w14:textId="77777777" w:rsidR="00576857" w:rsidRPr="000B2673" w:rsidRDefault="00576857" w:rsidP="001515D5">
            <w:r w:rsidRPr="000B2673">
              <w:t>57.6</w:t>
            </w:r>
          </w:p>
        </w:tc>
        <w:tc>
          <w:tcPr>
            <w:tcW w:w="1870" w:type="dxa"/>
            <w:vAlign w:val="bottom"/>
          </w:tcPr>
          <w:p w14:paraId="76404B35" w14:textId="77777777" w:rsidR="00576857" w:rsidRPr="000B2673" w:rsidRDefault="00576857" w:rsidP="001515D5">
            <w:r w:rsidRPr="000B2673">
              <w:t>48.9</w:t>
            </w:r>
          </w:p>
        </w:tc>
        <w:tc>
          <w:tcPr>
            <w:tcW w:w="1870" w:type="dxa"/>
            <w:vAlign w:val="bottom"/>
          </w:tcPr>
          <w:p w14:paraId="1B9218A2" w14:textId="77777777" w:rsidR="00576857" w:rsidRPr="000B2673" w:rsidRDefault="00576857" w:rsidP="001515D5">
            <w:r w:rsidRPr="000B2673">
              <w:t>84.2</w:t>
            </w:r>
          </w:p>
        </w:tc>
      </w:tr>
    </w:tbl>
    <w:p w14:paraId="5E395060" w14:textId="77777777" w:rsidR="00576857" w:rsidRPr="000B2673" w:rsidRDefault="00576857" w:rsidP="00576857">
      <w:r w:rsidRPr="000B2673">
        <w:t xml:space="preserve">Source: SC DHEC Vital Statistics, 2017- 2021. </w:t>
      </w:r>
    </w:p>
    <w:p w14:paraId="57CD5F4C" w14:textId="77777777" w:rsidR="00576857" w:rsidRDefault="00576857" w:rsidP="00576857">
      <w:r w:rsidRPr="000B2673">
        <w:t>Note: population for year 2021 based on single-race estimates and for years prior based on bridge-race estimates.</w:t>
      </w:r>
    </w:p>
    <w:p w14:paraId="1F73C0CD" w14:textId="77777777" w:rsidR="00506CC7" w:rsidRDefault="00506CC7" w:rsidP="00506CC7"/>
    <w:p w14:paraId="408694EA" w14:textId="77777777" w:rsidR="00506CC7" w:rsidRDefault="00506CC7" w:rsidP="00506CC7">
      <w:pPr>
        <w:rPr>
          <w:b/>
          <w:bCs/>
        </w:rPr>
      </w:pPr>
      <w:bookmarkStart w:id="432" w:name="_Toc162267283"/>
      <w:r w:rsidRPr="00506CC7">
        <w:rPr>
          <w:rStyle w:val="Heading4Char"/>
        </w:rPr>
        <w:t>Data Interpretations:</w:t>
      </w:r>
      <w:bookmarkEnd w:id="432"/>
      <w:r w:rsidRPr="00506CC7">
        <w:rPr>
          <w:b/>
          <w:bCs/>
        </w:rPr>
        <w:t xml:space="preserve"> </w:t>
      </w:r>
    </w:p>
    <w:p w14:paraId="719291B0" w14:textId="65712433" w:rsidR="00506CC7" w:rsidRDefault="00506CC7" w:rsidP="00506CC7">
      <w:r w:rsidRPr="00506CC7">
        <w:t xml:space="preserve">In SC, general fertility among women ages 15-44 has slightly decreased from 58.9 live births per 1,000 women 15-44 in 2017 to 57.4 live births per 1,000 women 15-44 in 2021, and the SC fertility rate was very similar to that of the US over this same </w:t>
      </w:r>
      <w:proofErr w:type="gramStart"/>
      <w:r w:rsidRPr="00506CC7">
        <w:t>time period</w:t>
      </w:r>
      <w:proofErr w:type="gramEnd"/>
      <w:r w:rsidRPr="00506CC7">
        <w:t xml:space="preserve"> (</w:t>
      </w:r>
      <w:r w:rsidRPr="00506CC7">
        <w:rPr>
          <w:b/>
          <w:bCs/>
        </w:rPr>
        <w:t>Figure 7.11</w:t>
      </w:r>
      <w:r w:rsidRPr="00506CC7">
        <w:t>).  Additionally, general fertility in SC is highest among the Hispanic population (</w:t>
      </w:r>
      <w:r w:rsidRPr="00506CC7">
        <w:rPr>
          <w:b/>
          <w:bCs/>
        </w:rPr>
        <w:t>Figure 7.12</w:t>
      </w:r>
      <w:r w:rsidRPr="00506CC7">
        <w:t xml:space="preserve">). </w:t>
      </w:r>
    </w:p>
    <w:p w14:paraId="0908EEF7" w14:textId="77777777" w:rsidR="00506CC7" w:rsidRDefault="00506CC7" w:rsidP="00506CC7"/>
    <w:p w14:paraId="1B7B38AE" w14:textId="77777777" w:rsidR="00506CC7" w:rsidRDefault="00506CC7" w:rsidP="00506CC7">
      <w:pPr>
        <w:rPr>
          <w:b/>
          <w:bCs/>
        </w:rPr>
      </w:pPr>
      <w:r w:rsidRPr="00506CC7">
        <w:rPr>
          <w:rStyle w:val="Heading5Char"/>
        </w:rPr>
        <w:t>Key Takeaways:</w:t>
      </w:r>
      <w:r>
        <w:rPr>
          <w:b/>
          <w:bCs/>
        </w:rPr>
        <w:t xml:space="preserve"> </w:t>
      </w:r>
    </w:p>
    <w:p w14:paraId="1F3239FD" w14:textId="44903B8E" w:rsidR="00506CC7" w:rsidRPr="00506CC7" w:rsidRDefault="00506CC7" w:rsidP="00926EB3">
      <w:pPr>
        <w:pStyle w:val="ListParagraph"/>
        <w:numPr>
          <w:ilvl w:val="0"/>
          <w:numId w:val="220"/>
        </w:numPr>
      </w:pPr>
      <w:r w:rsidRPr="00506CC7">
        <w:t>General fertility in SC is highest among the Hispanic population.</w:t>
      </w:r>
    </w:p>
    <w:p w14:paraId="7C5DC77A" w14:textId="77777777" w:rsidR="00506CC7" w:rsidRPr="00506CC7" w:rsidRDefault="00506CC7" w:rsidP="00506CC7">
      <w:pPr>
        <w:pStyle w:val="Heading4"/>
        <w:rPr>
          <w:rFonts w:asciiTheme="minorHAnsi" w:hAnsiTheme="minorHAnsi" w:cstheme="minorHAnsi"/>
          <w:color w:val="000000" w:themeColor="text1"/>
        </w:rPr>
      </w:pPr>
    </w:p>
    <w:p w14:paraId="33D8BD29" w14:textId="6B8A70D4" w:rsidR="00506CC7" w:rsidRPr="00506CC7" w:rsidRDefault="00506CC7" w:rsidP="00506CC7">
      <w:pPr>
        <w:pStyle w:val="Heading4"/>
        <w:rPr>
          <w:rFonts w:asciiTheme="minorHAnsi" w:hAnsiTheme="minorHAnsi" w:cstheme="minorHAnsi"/>
          <w:color w:val="000000" w:themeColor="text1"/>
        </w:rPr>
      </w:pPr>
      <w:bookmarkStart w:id="433" w:name="_Toc162267284"/>
      <w:r w:rsidRPr="00506CC7">
        <w:rPr>
          <w:rFonts w:asciiTheme="minorHAnsi" w:hAnsiTheme="minorHAnsi" w:cstheme="minorHAnsi"/>
          <w:color w:val="000000" w:themeColor="text1"/>
        </w:rPr>
        <w:t>References 7.</w:t>
      </w:r>
      <w:r>
        <w:rPr>
          <w:rFonts w:asciiTheme="minorHAnsi" w:hAnsiTheme="minorHAnsi" w:cstheme="minorHAnsi"/>
          <w:color w:val="000000" w:themeColor="text1"/>
        </w:rPr>
        <w:t>6</w:t>
      </w:r>
      <w:bookmarkEnd w:id="433"/>
    </w:p>
    <w:p w14:paraId="1CDD9321" w14:textId="132C0F54" w:rsidR="00506CC7" w:rsidRPr="00506CC7" w:rsidRDefault="00506CC7" w:rsidP="00506CC7">
      <w:r w:rsidRPr="00506CC7">
        <w:t>Statistics in the preceding section were referenced from the following report</w:t>
      </w:r>
      <w:r>
        <w:t>s</w:t>
      </w:r>
      <w:r w:rsidRPr="00506CC7">
        <w:t>:</w:t>
      </w:r>
    </w:p>
    <w:p w14:paraId="46549CD7" w14:textId="1E735A33" w:rsidR="00506CC7" w:rsidRPr="00506CC7" w:rsidRDefault="00000000" w:rsidP="00926EB3">
      <w:pPr>
        <w:pStyle w:val="ListParagraph"/>
        <w:numPr>
          <w:ilvl w:val="0"/>
          <w:numId w:val="28"/>
        </w:numPr>
        <w:rPr>
          <w:u w:val="thick"/>
        </w:rPr>
      </w:pPr>
      <w:hyperlink r:id="rId204" w:history="1">
        <w:r w:rsidR="00506CC7" w:rsidRPr="00506CC7">
          <w:rPr>
            <w:rStyle w:val="Hyperlink"/>
          </w:rPr>
          <w:t>“Fertility Rates: Declined for Younger Women, Increased for Older Women.” Accessed June 21, 2023.</w:t>
        </w:r>
      </w:hyperlink>
      <w:r w:rsidR="00506CC7" w:rsidRPr="00506CC7">
        <w:t xml:space="preserve"> </w:t>
      </w:r>
    </w:p>
    <w:p w14:paraId="523E1C83" w14:textId="3F69F0AF" w:rsidR="00506CC7" w:rsidRPr="00506CC7" w:rsidRDefault="00506CC7" w:rsidP="00926EB3">
      <w:pPr>
        <w:pStyle w:val="ListParagraph"/>
        <w:numPr>
          <w:ilvl w:val="0"/>
          <w:numId w:val="28"/>
        </w:numPr>
      </w:pPr>
      <w:r>
        <w:t>“</w:t>
      </w:r>
      <w:r w:rsidRPr="00506CC7">
        <w:t>Declining birth rate in Developed Countries: A radical policy re-think is required</w:t>
      </w:r>
      <w:r>
        <w:t>” by</w:t>
      </w:r>
      <w:r w:rsidRPr="00506CC7">
        <w:t xml:space="preserve"> </w:t>
      </w:r>
      <w:proofErr w:type="spellStart"/>
      <w:r w:rsidRPr="00506CC7">
        <w:t>Nargund</w:t>
      </w:r>
      <w:proofErr w:type="spellEnd"/>
      <w:r w:rsidRPr="00506CC7">
        <w:t xml:space="preserve"> G. </w:t>
      </w:r>
      <w:r>
        <w:t xml:space="preserve">Published in </w:t>
      </w:r>
      <w:r w:rsidRPr="00506CC7">
        <w:t xml:space="preserve">Facts Views Vis </w:t>
      </w:r>
      <w:proofErr w:type="spellStart"/>
      <w:r w:rsidRPr="00506CC7">
        <w:t>Obgyn</w:t>
      </w:r>
      <w:proofErr w:type="spellEnd"/>
      <w:r>
        <w:t>,</w:t>
      </w:r>
      <w:r w:rsidRPr="00506CC7">
        <w:t xml:space="preserve"> 2009</w:t>
      </w:r>
      <w:r>
        <w:t xml:space="preserve">. </w:t>
      </w:r>
      <w:r w:rsidRPr="00506CC7">
        <w:t>Accessed June 21, 2023.</w:t>
      </w:r>
      <w:r>
        <w:t xml:space="preserve"> No hyperlink.</w:t>
      </w:r>
    </w:p>
    <w:p w14:paraId="3987EF95" w14:textId="77777777" w:rsidR="00A41236" w:rsidRDefault="00A41236" w:rsidP="00506CC7">
      <w:pPr>
        <w:pStyle w:val="Heading3"/>
      </w:pPr>
    </w:p>
    <w:p w14:paraId="559FB913" w14:textId="0205F4AB" w:rsidR="00506CC7" w:rsidRDefault="00506CC7" w:rsidP="00506CC7">
      <w:pPr>
        <w:pStyle w:val="Heading3"/>
      </w:pPr>
      <w:bookmarkStart w:id="434" w:name="_Toc162267285"/>
      <w:r w:rsidRPr="00506CC7">
        <w:t>Pregnancy Health: Prenatal Care</w:t>
      </w:r>
      <w:bookmarkEnd w:id="434"/>
    </w:p>
    <w:p w14:paraId="10977830" w14:textId="71E42C4F" w:rsidR="00506CC7" w:rsidRPr="00506CC7" w:rsidRDefault="00506CC7" w:rsidP="00506CC7">
      <w:r w:rsidRPr="00506CC7">
        <w:t xml:space="preserve">Receiving early and regular prenatal care during pregnancy is key to monitoring and maintaining maternal and fetal health. Prenatal care assists women in preventing and reducing the risk of complications during pregnancy, including infections, gestational </w:t>
      </w:r>
      <w:proofErr w:type="gramStart"/>
      <w:r w:rsidRPr="00506CC7">
        <w:t>diabetes</w:t>
      </w:r>
      <w:proofErr w:type="gramEnd"/>
      <w:r w:rsidRPr="00506CC7">
        <w:t xml:space="preserve"> and preeclampsia. Once diagnosed, those complications can be treated by prenatal care providers, which improves health outcomes. Lack of prenatal care is associated with negative pregnancy outcomes. Infants in the US born to mothers who did not receive prenatal care are 3 times more likely to be of low birthweight and 5 times more likely to die; additionally, women who do not receive prenatal care are 3-4 times more likely to die from pregnancy-related complications. Barriers to receiving adequate prenatal care include financial factors, social </w:t>
      </w:r>
      <w:proofErr w:type="gramStart"/>
      <w:r w:rsidRPr="00506CC7">
        <w:t>attitudes</w:t>
      </w:r>
      <w:proofErr w:type="gramEnd"/>
      <w:r w:rsidRPr="00506CC7">
        <w:t xml:space="preserve"> and lack of knowledge. </w:t>
      </w:r>
    </w:p>
    <w:p w14:paraId="53960DD9" w14:textId="77777777" w:rsidR="00576857" w:rsidRDefault="00576857" w:rsidP="00576857"/>
    <w:p w14:paraId="3E9E3172" w14:textId="77777777" w:rsidR="00576857" w:rsidRDefault="00576857" w:rsidP="00576857">
      <w:pPr>
        <w:pStyle w:val="Heading4"/>
      </w:pPr>
      <w:bookmarkStart w:id="435" w:name="_Toc154576410"/>
      <w:bookmarkStart w:id="436" w:name="_Toc162267286"/>
      <w:r>
        <w:t>Figure 7.13: Adequate Prenatal Care.</w:t>
      </w:r>
      <w:bookmarkEnd w:id="435"/>
      <w:bookmarkEnd w:id="436"/>
    </w:p>
    <w:tbl>
      <w:tblPr>
        <w:tblStyle w:val="TableGrid"/>
        <w:tblW w:w="0" w:type="auto"/>
        <w:tblLook w:val="04A0" w:firstRow="1" w:lastRow="0" w:firstColumn="1" w:lastColumn="0" w:noHBand="0" w:noVBand="1"/>
      </w:tblPr>
      <w:tblGrid>
        <w:gridCol w:w="3116"/>
        <w:gridCol w:w="3117"/>
        <w:gridCol w:w="3117"/>
      </w:tblGrid>
      <w:tr w:rsidR="00576857" w14:paraId="2E8D3D0E" w14:textId="77777777" w:rsidTr="001515D5">
        <w:tc>
          <w:tcPr>
            <w:tcW w:w="3116" w:type="dxa"/>
            <w:vAlign w:val="bottom"/>
          </w:tcPr>
          <w:p w14:paraId="55DBC6AB" w14:textId="77777777" w:rsidR="00576857" w:rsidRDefault="00576857" w:rsidP="001515D5">
            <w:r>
              <w:t>Year</w:t>
            </w:r>
          </w:p>
        </w:tc>
        <w:tc>
          <w:tcPr>
            <w:tcW w:w="3117" w:type="dxa"/>
            <w:vAlign w:val="bottom"/>
          </w:tcPr>
          <w:p w14:paraId="6B61694E" w14:textId="77777777" w:rsidR="00576857" w:rsidRDefault="00576857" w:rsidP="001515D5">
            <w:r>
              <w:t>South Carolina</w:t>
            </w:r>
          </w:p>
        </w:tc>
        <w:tc>
          <w:tcPr>
            <w:tcW w:w="3117" w:type="dxa"/>
            <w:vAlign w:val="bottom"/>
          </w:tcPr>
          <w:p w14:paraId="1311D7B7" w14:textId="77777777" w:rsidR="00576857" w:rsidRDefault="00576857" w:rsidP="001515D5">
            <w:r>
              <w:t xml:space="preserve">Healthy People 2030 </w:t>
            </w:r>
          </w:p>
        </w:tc>
      </w:tr>
      <w:tr w:rsidR="00576857" w14:paraId="7F1471FE" w14:textId="77777777" w:rsidTr="001515D5">
        <w:tc>
          <w:tcPr>
            <w:tcW w:w="3116" w:type="dxa"/>
            <w:vAlign w:val="bottom"/>
          </w:tcPr>
          <w:p w14:paraId="7B6C170D" w14:textId="77777777" w:rsidR="00576857" w:rsidRDefault="00576857" w:rsidP="001515D5">
            <w:r>
              <w:t>2017</w:t>
            </w:r>
          </w:p>
        </w:tc>
        <w:tc>
          <w:tcPr>
            <w:tcW w:w="3117" w:type="dxa"/>
            <w:vAlign w:val="bottom"/>
          </w:tcPr>
          <w:p w14:paraId="7CBD4D2C" w14:textId="77777777" w:rsidR="00576857" w:rsidRDefault="00576857" w:rsidP="001515D5">
            <w:r>
              <w:t>76.5%</w:t>
            </w:r>
          </w:p>
        </w:tc>
        <w:tc>
          <w:tcPr>
            <w:tcW w:w="3117" w:type="dxa"/>
            <w:vAlign w:val="bottom"/>
          </w:tcPr>
          <w:p w14:paraId="05469024" w14:textId="77777777" w:rsidR="00576857" w:rsidRDefault="00576857" w:rsidP="001515D5">
            <w:r>
              <w:t>80.5%</w:t>
            </w:r>
          </w:p>
        </w:tc>
      </w:tr>
      <w:tr w:rsidR="00576857" w14:paraId="01F8CD20" w14:textId="77777777" w:rsidTr="001515D5">
        <w:tc>
          <w:tcPr>
            <w:tcW w:w="3116" w:type="dxa"/>
            <w:vAlign w:val="bottom"/>
          </w:tcPr>
          <w:p w14:paraId="4E6610F6" w14:textId="77777777" w:rsidR="00576857" w:rsidRDefault="00576857" w:rsidP="001515D5">
            <w:r>
              <w:t>2018</w:t>
            </w:r>
          </w:p>
        </w:tc>
        <w:tc>
          <w:tcPr>
            <w:tcW w:w="3117" w:type="dxa"/>
            <w:vAlign w:val="bottom"/>
          </w:tcPr>
          <w:p w14:paraId="3CA59897" w14:textId="77777777" w:rsidR="00576857" w:rsidRDefault="00576857" w:rsidP="001515D5">
            <w:r>
              <w:t>76.7%</w:t>
            </w:r>
          </w:p>
        </w:tc>
        <w:tc>
          <w:tcPr>
            <w:tcW w:w="3117" w:type="dxa"/>
            <w:vAlign w:val="bottom"/>
          </w:tcPr>
          <w:p w14:paraId="37DBAFEC" w14:textId="77777777" w:rsidR="00576857" w:rsidRDefault="00576857" w:rsidP="001515D5">
            <w:r>
              <w:t>80.5%</w:t>
            </w:r>
          </w:p>
        </w:tc>
      </w:tr>
      <w:tr w:rsidR="00576857" w14:paraId="1EA1E88E" w14:textId="77777777" w:rsidTr="001515D5">
        <w:tc>
          <w:tcPr>
            <w:tcW w:w="3116" w:type="dxa"/>
            <w:vAlign w:val="bottom"/>
          </w:tcPr>
          <w:p w14:paraId="40E1F6AD" w14:textId="77777777" w:rsidR="00576857" w:rsidRDefault="00576857" w:rsidP="001515D5">
            <w:r>
              <w:t>2019</w:t>
            </w:r>
          </w:p>
        </w:tc>
        <w:tc>
          <w:tcPr>
            <w:tcW w:w="3117" w:type="dxa"/>
            <w:vAlign w:val="bottom"/>
          </w:tcPr>
          <w:p w14:paraId="37C13194" w14:textId="77777777" w:rsidR="00576857" w:rsidRDefault="00576857" w:rsidP="001515D5">
            <w:r>
              <w:t>78.3%</w:t>
            </w:r>
          </w:p>
        </w:tc>
        <w:tc>
          <w:tcPr>
            <w:tcW w:w="3117" w:type="dxa"/>
            <w:vAlign w:val="bottom"/>
          </w:tcPr>
          <w:p w14:paraId="0997C65F" w14:textId="77777777" w:rsidR="00576857" w:rsidRDefault="00576857" w:rsidP="001515D5">
            <w:r>
              <w:t>80.5%</w:t>
            </w:r>
          </w:p>
        </w:tc>
      </w:tr>
      <w:tr w:rsidR="00576857" w14:paraId="5F81F446" w14:textId="77777777" w:rsidTr="001515D5">
        <w:tc>
          <w:tcPr>
            <w:tcW w:w="3116" w:type="dxa"/>
            <w:vAlign w:val="bottom"/>
          </w:tcPr>
          <w:p w14:paraId="44635259" w14:textId="77777777" w:rsidR="00576857" w:rsidRDefault="00576857" w:rsidP="001515D5">
            <w:r>
              <w:t>2020</w:t>
            </w:r>
          </w:p>
        </w:tc>
        <w:tc>
          <w:tcPr>
            <w:tcW w:w="3117" w:type="dxa"/>
            <w:vAlign w:val="bottom"/>
          </w:tcPr>
          <w:p w14:paraId="315AF41A" w14:textId="77777777" w:rsidR="00576857" w:rsidRDefault="00576857" w:rsidP="001515D5">
            <w:r>
              <w:t>78.0%</w:t>
            </w:r>
          </w:p>
        </w:tc>
        <w:tc>
          <w:tcPr>
            <w:tcW w:w="3117" w:type="dxa"/>
            <w:vAlign w:val="bottom"/>
          </w:tcPr>
          <w:p w14:paraId="09536623" w14:textId="77777777" w:rsidR="00576857" w:rsidRDefault="00576857" w:rsidP="001515D5">
            <w:r>
              <w:t>80.5%</w:t>
            </w:r>
          </w:p>
        </w:tc>
      </w:tr>
      <w:tr w:rsidR="00576857" w14:paraId="00446A09" w14:textId="77777777" w:rsidTr="001515D5">
        <w:tc>
          <w:tcPr>
            <w:tcW w:w="3116" w:type="dxa"/>
            <w:vAlign w:val="bottom"/>
          </w:tcPr>
          <w:p w14:paraId="17851E0A" w14:textId="77777777" w:rsidR="00576857" w:rsidRDefault="00576857" w:rsidP="001515D5">
            <w:r>
              <w:t>2021</w:t>
            </w:r>
          </w:p>
        </w:tc>
        <w:tc>
          <w:tcPr>
            <w:tcW w:w="3117" w:type="dxa"/>
            <w:vAlign w:val="bottom"/>
          </w:tcPr>
          <w:p w14:paraId="68DE1BBB" w14:textId="77777777" w:rsidR="00576857" w:rsidRDefault="00576857" w:rsidP="001515D5">
            <w:r>
              <w:t>74.3%</w:t>
            </w:r>
          </w:p>
        </w:tc>
        <w:tc>
          <w:tcPr>
            <w:tcW w:w="3117" w:type="dxa"/>
            <w:vAlign w:val="bottom"/>
          </w:tcPr>
          <w:p w14:paraId="2BDAB452" w14:textId="77777777" w:rsidR="00576857" w:rsidRDefault="00576857" w:rsidP="001515D5">
            <w:r>
              <w:t>80.5%</w:t>
            </w:r>
          </w:p>
        </w:tc>
      </w:tr>
    </w:tbl>
    <w:p w14:paraId="5BA4903E" w14:textId="77777777" w:rsidR="00576857" w:rsidRPr="000B2673" w:rsidRDefault="00576857" w:rsidP="00576857">
      <w:r w:rsidRPr="000B2673">
        <w:t xml:space="preserve">Source: SC DHEC Vital Statistics, 2017- 2021. </w:t>
      </w:r>
    </w:p>
    <w:p w14:paraId="533E8479" w14:textId="77777777" w:rsidR="00576857" w:rsidRDefault="00576857" w:rsidP="00576857">
      <w:r w:rsidRPr="000B2673">
        <w:t xml:space="preserve">Note: population for year 2021 based on single-race estimates and for years prior based on bridge-race estimates. Adequate Prenatal Care = Receiving adequate or adequate plus prenatal care as defined by the </w:t>
      </w:r>
      <w:proofErr w:type="spellStart"/>
      <w:r w:rsidRPr="000B2673">
        <w:t>Kotelchuck</w:t>
      </w:r>
      <w:proofErr w:type="spellEnd"/>
      <w:r w:rsidRPr="000B2673">
        <w:t xml:space="preserve"> Index.</w:t>
      </w:r>
    </w:p>
    <w:p w14:paraId="6E8514B5" w14:textId="77777777" w:rsidR="00576857" w:rsidRDefault="00576857" w:rsidP="00576857"/>
    <w:p w14:paraId="206CF80A" w14:textId="77777777" w:rsidR="00576857" w:rsidRDefault="00576857" w:rsidP="00576857">
      <w:pPr>
        <w:pStyle w:val="Heading4"/>
      </w:pPr>
      <w:bookmarkStart w:id="437" w:name="_Toc154576411"/>
      <w:bookmarkStart w:id="438" w:name="_Toc162267287"/>
      <w:r>
        <w:t>Figure 7.14: Adequate Prenatal Care, by Race/Ethnicity.</w:t>
      </w:r>
      <w:bookmarkEnd w:id="437"/>
      <w:bookmarkEnd w:id="438"/>
    </w:p>
    <w:tbl>
      <w:tblPr>
        <w:tblStyle w:val="TableGrid"/>
        <w:tblW w:w="0" w:type="auto"/>
        <w:tblLook w:val="04A0" w:firstRow="1" w:lastRow="0" w:firstColumn="1" w:lastColumn="0" w:noHBand="0" w:noVBand="1"/>
      </w:tblPr>
      <w:tblGrid>
        <w:gridCol w:w="1870"/>
        <w:gridCol w:w="1870"/>
        <w:gridCol w:w="1870"/>
        <w:gridCol w:w="1870"/>
        <w:gridCol w:w="1870"/>
      </w:tblGrid>
      <w:tr w:rsidR="00576857" w14:paraId="6132C428" w14:textId="77777777" w:rsidTr="001515D5">
        <w:tc>
          <w:tcPr>
            <w:tcW w:w="1870" w:type="dxa"/>
            <w:vAlign w:val="bottom"/>
          </w:tcPr>
          <w:p w14:paraId="0F74688F" w14:textId="77777777" w:rsidR="00576857" w:rsidRPr="000B2673" w:rsidRDefault="00576857" w:rsidP="001515D5"/>
        </w:tc>
        <w:tc>
          <w:tcPr>
            <w:tcW w:w="1870" w:type="dxa"/>
            <w:vAlign w:val="bottom"/>
          </w:tcPr>
          <w:p w14:paraId="7FDBF004" w14:textId="77777777" w:rsidR="00576857" w:rsidRPr="000B2673" w:rsidRDefault="00576857" w:rsidP="001515D5">
            <w:r w:rsidRPr="000B2673">
              <w:t xml:space="preserve">  Non-Hispanic White</w:t>
            </w:r>
          </w:p>
        </w:tc>
        <w:tc>
          <w:tcPr>
            <w:tcW w:w="1870" w:type="dxa"/>
            <w:vAlign w:val="bottom"/>
          </w:tcPr>
          <w:p w14:paraId="3393C0E4" w14:textId="77777777" w:rsidR="00576857" w:rsidRPr="000B2673" w:rsidRDefault="00576857" w:rsidP="001515D5">
            <w:r w:rsidRPr="000B2673">
              <w:t xml:space="preserve">  Non-Hispanic Black</w:t>
            </w:r>
          </w:p>
        </w:tc>
        <w:tc>
          <w:tcPr>
            <w:tcW w:w="1870" w:type="dxa"/>
            <w:vAlign w:val="bottom"/>
          </w:tcPr>
          <w:p w14:paraId="465BB2D6" w14:textId="77777777" w:rsidR="00576857" w:rsidRPr="000B2673" w:rsidRDefault="00576857" w:rsidP="001515D5">
            <w:r w:rsidRPr="000B2673">
              <w:t xml:space="preserve">  Non-Hispanic Other (includes multi-racial)</w:t>
            </w:r>
          </w:p>
        </w:tc>
        <w:tc>
          <w:tcPr>
            <w:tcW w:w="1870" w:type="dxa"/>
            <w:vAlign w:val="bottom"/>
          </w:tcPr>
          <w:p w14:paraId="46E88493" w14:textId="77777777" w:rsidR="00576857" w:rsidRPr="000B2673" w:rsidRDefault="00576857" w:rsidP="001515D5">
            <w:r w:rsidRPr="000B2673">
              <w:t>Hispanic</w:t>
            </w:r>
          </w:p>
        </w:tc>
      </w:tr>
      <w:tr w:rsidR="00576857" w14:paraId="0D13684A" w14:textId="77777777" w:rsidTr="001515D5">
        <w:tc>
          <w:tcPr>
            <w:tcW w:w="1870" w:type="dxa"/>
            <w:vAlign w:val="bottom"/>
          </w:tcPr>
          <w:p w14:paraId="739C1AAE" w14:textId="77777777" w:rsidR="00576857" w:rsidRPr="000B2673" w:rsidRDefault="00576857" w:rsidP="001515D5">
            <w:r w:rsidRPr="000B2673">
              <w:lastRenderedPageBreak/>
              <w:t>2017-2021</w:t>
            </w:r>
          </w:p>
        </w:tc>
        <w:tc>
          <w:tcPr>
            <w:tcW w:w="1870" w:type="dxa"/>
            <w:vAlign w:val="bottom"/>
          </w:tcPr>
          <w:p w14:paraId="46B8717B" w14:textId="77777777" w:rsidR="00576857" w:rsidRPr="000B2673" w:rsidRDefault="00576857" w:rsidP="001515D5">
            <w:r w:rsidRPr="000B2673">
              <w:t>81.4%</w:t>
            </w:r>
          </w:p>
        </w:tc>
        <w:tc>
          <w:tcPr>
            <w:tcW w:w="1870" w:type="dxa"/>
            <w:vAlign w:val="bottom"/>
          </w:tcPr>
          <w:p w14:paraId="2CE667A8" w14:textId="77777777" w:rsidR="00576857" w:rsidRPr="000B2673" w:rsidRDefault="00576857" w:rsidP="001515D5">
            <w:r w:rsidRPr="000B2673">
              <w:t>72.7%</w:t>
            </w:r>
          </w:p>
        </w:tc>
        <w:tc>
          <w:tcPr>
            <w:tcW w:w="1870" w:type="dxa"/>
            <w:vAlign w:val="bottom"/>
          </w:tcPr>
          <w:p w14:paraId="1E23680F" w14:textId="77777777" w:rsidR="00576857" w:rsidRPr="000B2673" w:rsidRDefault="00576857" w:rsidP="001515D5">
            <w:r w:rsidRPr="000B2673">
              <w:t>73.9%</w:t>
            </w:r>
          </w:p>
        </w:tc>
        <w:tc>
          <w:tcPr>
            <w:tcW w:w="1870" w:type="dxa"/>
            <w:vAlign w:val="bottom"/>
          </w:tcPr>
          <w:p w14:paraId="4F5BBAA0" w14:textId="77777777" w:rsidR="00576857" w:rsidRPr="000B2673" w:rsidRDefault="00576857" w:rsidP="001515D5">
            <w:r w:rsidRPr="000B2673">
              <w:t>63.1%</w:t>
            </w:r>
          </w:p>
        </w:tc>
      </w:tr>
    </w:tbl>
    <w:p w14:paraId="3C94A265" w14:textId="77777777" w:rsidR="00576857" w:rsidRPr="000B2673" w:rsidRDefault="00576857" w:rsidP="00576857">
      <w:r w:rsidRPr="000B2673">
        <w:t xml:space="preserve">Source: SC DHEC Vital Statistics, 2017- 2021. </w:t>
      </w:r>
    </w:p>
    <w:p w14:paraId="2D26C96B" w14:textId="77777777" w:rsidR="00576857" w:rsidRPr="000B2673" w:rsidRDefault="00576857" w:rsidP="00576857">
      <w:r w:rsidRPr="000B2673">
        <w:t>Note: population for year 2021 based on single-race estimates and for years prior based on bridge-race estimates.</w:t>
      </w:r>
    </w:p>
    <w:p w14:paraId="59637B13" w14:textId="77777777" w:rsidR="00506CC7" w:rsidRDefault="00506CC7" w:rsidP="00506CC7"/>
    <w:p w14:paraId="6378C79A" w14:textId="77777777" w:rsidR="00506CC7" w:rsidRDefault="00506CC7" w:rsidP="00506CC7">
      <w:pPr>
        <w:rPr>
          <w:b/>
          <w:bCs/>
        </w:rPr>
      </w:pPr>
      <w:bookmarkStart w:id="439" w:name="_Toc162267288"/>
      <w:r w:rsidRPr="00506CC7">
        <w:rPr>
          <w:rStyle w:val="Heading4Char"/>
        </w:rPr>
        <w:t>Data Interpretations:</w:t>
      </w:r>
      <w:bookmarkEnd w:id="439"/>
      <w:r w:rsidRPr="00506CC7">
        <w:rPr>
          <w:b/>
          <w:bCs/>
        </w:rPr>
        <w:t xml:space="preserve"> </w:t>
      </w:r>
    </w:p>
    <w:p w14:paraId="252D2A3B" w14:textId="79C3B161" w:rsidR="00506CC7" w:rsidRPr="00506CC7" w:rsidRDefault="00506CC7" w:rsidP="00506CC7">
      <w:r w:rsidRPr="00506CC7">
        <w:t>The percentage of SC mothers that received adequate prenatal care from 2017 through 2020 increased from 76.5% in 2017 to 78% in 2020, but then decreased to 74.3% in 2021 (</w:t>
      </w:r>
      <w:r w:rsidRPr="00506CC7">
        <w:rPr>
          <w:b/>
          <w:bCs/>
        </w:rPr>
        <w:t>Figure 7.13</w:t>
      </w:r>
      <w:r w:rsidRPr="00506CC7">
        <w:t>). The Healthy People 2030 goal for adequate prenatal care is set at 80.5%, and in 2021 SC was 6.2% away from meeting that goal. The percentage of mothers receiving adequate prenatal care was highest among the non-Hispanic White population at 81.4%, followed by non-Hispanic Other (73.9%) and non-Hispanic Black (72.7%), and lowest among the Hispanic population (63.1%) (</w:t>
      </w:r>
      <w:r w:rsidRPr="00506CC7">
        <w:rPr>
          <w:b/>
          <w:bCs/>
        </w:rPr>
        <w:t>Figure 7.14</w:t>
      </w:r>
      <w:r w:rsidRPr="00506CC7">
        <w:t>). This rate was 18.3% higher within the non-Hispanic White population compared to the Hispanic population, indicative of a potential disparity when it comes to receiving adequate prenatal care.</w:t>
      </w:r>
    </w:p>
    <w:p w14:paraId="2C4D0F83" w14:textId="77777777" w:rsidR="00506CC7" w:rsidRPr="00506CC7" w:rsidRDefault="00506CC7" w:rsidP="00506CC7"/>
    <w:p w14:paraId="44F3F140" w14:textId="77777777" w:rsidR="00506CC7" w:rsidRDefault="00506CC7" w:rsidP="00506CC7">
      <w:pPr>
        <w:pStyle w:val="Heading5"/>
      </w:pPr>
      <w:r>
        <w:t xml:space="preserve">Key Takeaways: </w:t>
      </w:r>
    </w:p>
    <w:p w14:paraId="54D2D9BD" w14:textId="57CC63F7" w:rsidR="00506CC7" w:rsidRDefault="00506CC7" w:rsidP="00926EB3">
      <w:pPr>
        <w:pStyle w:val="ListParagraph"/>
        <w:numPr>
          <w:ilvl w:val="0"/>
          <w:numId w:val="220"/>
        </w:numPr>
      </w:pPr>
      <w:r w:rsidRPr="00506CC7">
        <w:t>The percentage of mothers receiving adequate prenatal care was highest among the non-Hispanic White population, and lowest among the Hispanic population.</w:t>
      </w:r>
    </w:p>
    <w:p w14:paraId="3F4789B8" w14:textId="77777777" w:rsidR="00506CC7" w:rsidRDefault="00506CC7" w:rsidP="00506CC7"/>
    <w:p w14:paraId="19353FC7" w14:textId="5B5EF3CF" w:rsidR="00506CC7" w:rsidRPr="00506CC7" w:rsidRDefault="00506CC7" w:rsidP="00506CC7">
      <w:pPr>
        <w:pStyle w:val="Heading4"/>
        <w:rPr>
          <w:rFonts w:asciiTheme="minorHAnsi" w:hAnsiTheme="minorHAnsi" w:cstheme="minorHAnsi"/>
          <w:color w:val="000000" w:themeColor="text1"/>
        </w:rPr>
      </w:pPr>
      <w:bookmarkStart w:id="440" w:name="_Toc162267289"/>
      <w:r w:rsidRPr="00506CC7">
        <w:rPr>
          <w:rFonts w:asciiTheme="minorHAnsi" w:hAnsiTheme="minorHAnsi" w:cstheme="minorHAnsi"/>
          <w:color w:val="000000" w:themeColor="text1"/>
        </w:rPr>
        <w:t>References 7.7</w:t>
      </w:r>
      <w:bookmarkEnd w:id="440"/>
      <w:r w:rsidRPr="00506CC7">
        <w:rPr>
          <w:rFonts w:asciiTheme="minorHAnsi" w:hAnsiTheme="minorHAnsi" w:cstheme="minorHAnsi"/>
          <w:color w:val="000000" w:themeColor="text1"/>
        </w:rPr>
        <w:t xml:space="preserve"> </w:t>
      </w:r>
    </w:p>
    <w:p w14:paraId="2ADC68B2" w14:textId="0EEC1D48" w:rsidR="00506CC7" w:rsidRPr="00506CC7" w:rsidRDefault="00506CC7" w:rsidP="00506CC7">
      <w:r w:rsidRPr="00506CC7">
        <w:t>Statistics in the preceding section were referenced from the following report</w:t>
      </w:r>
      <w:r>
        <w:t>s</w:t>
      </w:r>
      <w:r w:rsidRPr="00506CC7">
        <w:t>:</w:t>
      </w:r>
    </w:p>
    <w:p w14:paraId="0A8605EC" w14:textId="6F4B5555" w:rsidR="00506CC7" w:rsidRPr="00506CC7" w:rsidRDefault="00000000" w:rsidP="00926EB3">
      <w:pPr>
        <w:pStyle w:val="ListParagraph"/>
        <w:numPr>
          <w:ilvl w:val="0"/>
          <w:numId w:val="28"/>
        </w:numPr>
        <w:rPr>
          <w:u w:val="thick"/>
        </w:rPr>
      </w:pPr>
      <w:hyperlink r:id="rId205" w:history="1">
        <w:r w:rsidR="00506CC7" w:rsidRPr="00506CC7">
          <w:rPr>
            <w:rStyle w:val="Hyperlink"/>
          </w:rPr>
          <w:t>“What is prenatal care and why is it important?” Published by NICHD - Eunice Kennedy Shriver National Institute of Child Health and Human Development. Accessed June 21, 2023.</w:t>
        </w:r>
      </w:hyperlink>
      <w:r w:rsidR="00506CC7" w:rsidRPr="00506CC7">
        <w:t xml:space="preserve"> </w:t>
      </w:r>
    </w:p>
    <w:p w14:paraId="529DDFA9" w14:textId="3B437E9E" w:rsidR="00506CC7" w:rsidRPr="00506CC7" w:rsidRDefault="00000000" w:rsidP="00926EB3">
      <w:pPr>
        <w:pStyle w:val="ListParagraph"/>
        <w:numPr>
          <w:ilvl w:val="0"/>
          <w:numId w:val="28"/>
        </w:numPr>
      </w:pPr>
      <w:hyperlink r:id="rId206" w:history="1">
        <w:r w:rsidR="00506CC7" w:rsidRPr="00506CC7">
          <w:rPr>
            <w:rStyle w:val="Hyperlink"/>
          </w:rPr>
          <w:t>“Prenatal care” by the Office on Women’s Health via womenshealth.gov. Accessed June 21, 2023.</w:t>
        </w:r>
      </w:hyperlink>
      <w:r w:rsidR="00506CC7" w:rsidRPr="00506CC7">
        <w:t xml:space="preserve"> </w:t>
      </w:r>
    </w:p>
    <w:p w14:paraId="0D9A47B1" w14:textId="3C0F58E3" w:rsidR="00506CC7" w:rsidRPr="00506CC7" w:rsidRDefault="00506CC7" w:rsidP="00926EB3">
      <w:pPr>
        <w:pStyle w:val="ListParagraph"/>
        <w:numPr>
          <w:ilvl w:val="0"/>
          <w:numId w:val="28"/>
        </w:numPr>
      </w:pPr>
      <w:r>
        <w:t>“</w:t>
      </w:r>
      <w:r w:rsidRPr="00506CC7">
        <w:t>Pregnancy-related mortality in the United States, 1991-1997</w:t>
      </w:r>
      <w:r>
        <w:t>” by</w:t>
      </w:r>
      <w:r w:rsidRPr="00506CC7">
        <w:t xml:space="preserve"> Berg CJ, Chang J, Callaghan WM, Whitehead SJ. </w:t>
      </w:r>
      <w:r>
        <w:t xml:space="preserve">Published in </w:t>
      </w:r>
      <w:r w:rsidRPr="00506CC7">
        <w:t>Obstetrics and Gynecology</w:t>
      </w:r>
      <w:r>
        <w:t xml:space="preserve">, </w:t>
      </w:r>
      <w:r w:rsidRPr="00506CC7">
        <w:t>2003</w:t>
      </w:r>
      <w:r>
        <w:t>. No hyperlink.</w:t>
      </w:r>
    </w:p>
    <w:p w14:paraId="72BCF6FD" w14:textId="4B6562A3" w:rsidR="00506CC7" w:rsidRPr="00506CC7" w:rsidRDefault="00506CC7" w:rsidP="00926EB3">
      <w:pPr>
        <w:pStyle w:val="ListParagraph"/>
        <w:numPr>
          <w:ilvl w:val="0"/>
          <w:numId w:val="28"/>
        </w:numPr>
      </w:pPr>
      <w:r>
        <w:t>“</w:t>
      </w:r>
      <w:r w:rsidRPr="00506CC7">
        <w:t>Barriers to prenatal care among Black women of low socioeconomic status</w:t>
      </w:r>
      <w:r>
        <w:t>” by</w:t>
      </w:r>
      <w:r w:rsidRPr="00506CC7">
        <w:t xml:space="preserve"> Daniels P, Noe GF, Mayberry R.</w:t>
      </w:r>
      <w:r>
        <w:t xml:space="preserve"> Published in</w:t>
      </w:r>
      <w:r w:rsidRPr="00506CC7">
        <w:t xml:space="preserve"> Am J Health </w:t>
      </w:r>
      <w:proofErr w:type="spellStart"/>
      <w:r w:rsidRPr="00506CC7">
        <w:t>Behav</w:t>
      </w:r>
      <w:proofErr w:type="spellEnd"/>
      <w:r w:rsidRPr="00506CC7">
        <w:t>.</w:t>
      </w:r>
      <w:r>
        <w:t>,</w:t>
      </w:r>
      <w:r w:rsidRPr="00506CC7">
        <w:t xml:space="preserve"> 2006</w:t>
      </w:r>
      <w:r>
        <w:t>. No hyperlink.</w:t>
      </w:r>
    </w:p>
    <w:p w14:paraId="565C2FC2" w14:textId="2656F5AB" w:rsidR="00506CC7" w:rsidRPr="00506CC7" w:rsidRDefault="00506CC7" w:rsidP="00926EB3">
      <w:pPr>
        <w:pStyle w:val="ListParagraph"/>
        <w:numPr>
          <w:ilvl w:val="0"/>
          <w:numId w:val="28"/>
        </w:numPr>
      </w:pPr>
      <w:r>
        <w:t>“</w:t>
      </w:r>
      <w:r w:rsidRPr="00506CC7">
        <w:t>Prenatal care initiation among very low-income women in the aftermath of welfare reform: does pre-pregnancy Medicaid coverage make a difference?</w:t>
      </w:r>
      <w:r>
        <w:t xml:space="preserve">” </w:t>
      </w:r>
      <w:r>
        <w:lastRenderedPageBreak/>
        <w:t xml:space="preserve">by </w:t>
      </w:r>
      <w:r w:rsidRPr="00506CC7">
        <w:t xml:space="preserve">Rosenberg D, Handler A, Rankin KM, </w:t>
      </w:r>
      <w:proofErr w:type="spellStart"/>
      <w:r w:rsidRPr="00506CC7">
        <w:t>Zimbeck</w:t>
      </w:r>
      <w:proofErr w:type="spellEnd"/>
      <w:r w:rsidRPr="00506CC7">
        <w:t xml:space="preserve"> M, Adams EK. </w:t>
      </w:r>
      <w:r>
        <w:t>Published in</w:t>
      </w:r>
      <w:r w:rsidRPr="00506CC7">
        <w:t xml:space="preserve"> </w:t>
      </w:r>
      <w:proofErr w:type="spellStart"/>
      <w:r w:rsidRPr="00506CC7">
        <w:t>Matern</w:t>
      </w:r>
      <w:proofErr w:type="spellEnd"/>
      <w:r w:rsidRPr="00506CC7">
        <w:t xml:space="preserve"> Child Health J</w:t>
      </w:r>
      <w:r>
        <w:t>,</w:t>
      </w:r>
      <w:r w:rsidRPr="00506CC7">
        <w:t xml:space="preserve"> 2007</w:t>
      </w:r>
      <w:r>
        <w:t>. No hyperlink.</w:t>
      </w:r>
    </w:p>
    <w:p w14:paraId="64A93F5E" w14:textId="0DC1153C" w:rsidR="00506CC7" w:rsidRPr="00506CC7" w:rsidRDefault="00506CC7" w:rsidP="00926EB3">
      <w:pPr>
        <w:pStyle w:val="ListParagraph"/>
        <w:numPr>
          <w:ilvl w:val="0"/>
          <w:numId w:val="28"/>
        </w:numPr>
      </w:pPr>
      <w:r>
        <w:t>“</w:t>
      </w:r>
      <w:r w:rsidRPr="00506CC7">
        <w:t>Unintended pregnancy and associated maternal preconception, prenatal and postpartum behaviors</w:t>
      </w:r>
      <w:r>
        <w:t>”, by</w:t>
      </w:r>
      <w:r w:rsidRPr="00506CC7">
        <w:t xml:space="preserve"> Cheng D, Schwarz EB, Douglas E, </w:t>
      </w:r>
      <w:proofErr w:type="spellStart"/>
      <w:r w:rsidRPr="00506CC7">
        <w:t>Horon</w:t>
      </w:r>
      <w:proofErr w:type="spellEnd"/>
      <w:r w:rsidRPr="00506CC7">
        <w:t xml:space="preserve"> I. </w:t>
      </w:r>
      <w:r>
        <w:t xml:space="preserve"> Published in</w:t>
      </w:r>
      <w:r w:rsidRPr="00506CC7">
        <w:t xml:space="preserve"> Contraception</w:t>
      </w:r>
      <w:r>
        <w:t>,</w:t>
      </w:r>
      <w:r w:rsidRPr="00506CC7">
        <w:t xml:space="preserve"> 2009</w:t>
      </w:r>
      <w:r>
        <w:t>.</w:t>
      </w:r>
      <w:r w:rsidRPr="00506CC7">
        <w:t xml:space="preserve"> </w:t>
      </w:r>
      <w:r>
        <w:t>No hyperlink.</w:t>
      </w:r>
    </w:p>
    <w:p w14:paraId="18FCE468" w14:textId="77777777" w:rsidR="00506CC7" w:rsidRDefault="00506CC7" w:rsidP="00506CC7"/>
    <w:p w14:paraId="173E5155" w14:textId="5E09E17D" w:rsidR="00506CC7" w:rsidRPr="00506CC7" w:rsidRDefault="00506CC7" w:rsidP="00506CC7">
      <w:pPr>
        <w:pStyle w:val="Heading3"/>
      </w:pPr>
      <w:bookmarkStart w:id="441" w:name="_Toc162267290"/>
      <w:r>
        <w:t xml:space="preserve">Pregnancy Health: </w:t>
      </w:r>
      <w:r w:rsidRPr="00506CC7">
        <w:t>Gestational Diabetes</w:t>
      </w:r>
      <w:bookmarkEnd w:id="441"/>
    </w:p>
    <w:p w14:paraId="4CD5CDE0" w14:textId="1EA86EC0" w:rsidR="00506CC7" w:rsidRPr="00506CC7" w:rsidRDefault="00506CC7" w:rsidP="00506CC7">
      <w:pPr>
        <w:rPr>
          <w:b/>
          <w:bCs/>
        </w:rPr>
      </w:pPr>
      <w:r w:rsidRPr="00506CC7">
        <w:t>Gestational diabetes mellitus (GDM) is a type of diabetes that develops in pregnant women who previously were not diabetic. Risk factors for developing GDM include age, level of physical activity, weight, presence of other medical conditions and family history.</w:t>
      </w:r>
      <w:r w:rsidR="00204068">
        <w:t xml:space="preserve"> </w:t>
      </w:r>
      <w:r w:rsidRPr="00506CC7">
        <w:t>GDM affects the health of the pregnancy and can also have long-term impacts on both maternal and infant health. Half of all women who experience GDM develop type 2 diabetes later in life, and infants of GDM pregnancies are more likely to experience complications during and after delivery, including preterm birth and respiratory distress. Prenatal care is important to diagnose and assist in treatment for GDM. Treatment can include dietary changes, lifestyle changes, and medication. Properly controlled GDM is associated with lowered health risks to maternal and infant health.</w:t>
      </w:r>
    </w:p>
    <w:p w14:paraId="35C358BD" w14:textId="77777777" w:rsidR="00506CC7" w:rsidRDefault="00506CC7" w:rsidP="00506CC7"/>
    <w:p w14:paraId="77B018CE" w14:textId="77777777" w:rsidR="00576857" w:rsidRDefault="00576857" w:rsidP="00576857">
      <w:pPr>
        <w:pStyle w:val="Heading4"/>
      </w:pPr>
      <w:bookmarkStart w:id="442" w:name="_Toc154576412"/>
      <w:bookmarkStart w:id="443" w:name="_Toc162267291"/>
      <w:r>
        <w:t>Figure 7.15: Gestational Diabetes.</w:t>
      </w:r>
      <w:bookmarkEnd w:id="442"/>
      <w:bookmarkEnd w:id="443"/>
    </w:p>
    <w:tbl>
      <w:tblPr>
        <w:tblStyle w:val="TableGrid"/>
        <w:tblW w:w="0" w:type="auto"/>
        <w:tblLook w:val="04A0" w:firstRow="1" w:lastRow="0" w:firstColumn="1" w:lastColumn="0" w:noHBand="0" w:noVBand="1"/>
      </w:tblPr>
      <w:tblGrid>
        <w:gridCol w:w="3116"/>
        <w:gridCol w:w="3117"/>
        <w:gridCol w:w="3117"/>
      </w:tblGrid>
      <w:tr w:rsidR="00576857" w14:paraId="00115713" w14:textId="77777777" w:rsidTr="001515D5">
        <w:tc>
          <w:tcPr>
            <w:tcW w:w="3116" w:type="dxa"/>
            <w:vAlign w:val="bottom"/>
          </w:tcPr>
          <w:p w14:paraId="39B48E46" w14:textId="77777777" w:rsidR="00576857" w:rsidRPr="000B2673" w:rsidRDefault="00576857" w:rsidP="001515D5">
            <w:r>
              <w:t>Year</w:t>
            </w:r>
          </w:p>
        </w:tc>
        <w:tc>
          <w:tcPr>
            <w:tcW w:w="3117" w:type="dxa"/>
            <w:vAlign w:val="bottom"/>
          </w:tcPr>
          <w:p w14:paraId="5EC2DB6F" w14:textId="77777777" w:rsidR="00576857" w:rsidRPr="000B2673" w:rsidRDefault="00576857" w:rsidP="001515D5">
            <w:r w:rsidRPr="000B2673">
              <w:t>South Carolina</w:t>
            </w:r>
          </w:p>
        </w:tc>
        <w:tc>
          <w:tcPr>
            <w:tcW w:w="3117" w:type="dxa"/>
            <w:vAlign w:val="bottom"/>
          </w:tcPr>
          <w:p w14:paraId="74692084" w14:textId="77777777" w:rsidR="00576857" w:rsidRPr="000B2673" w:rsidRDefault="00576857" w:rsidP="001515D5">
            <w:r w:rsidRPr="000B2673">
              <w:t>United States</w:t>
            </w:r>
          </w:p>
        </w:tc>
      </w:tr>
      <w:tr w:rsidR="00576857" w14:paraId="268A17E4" w14:textId="77777777" w:rsidTr="001515D5">
        <w:tc>
          <w:tcPr>
            <w:tcW w:w="3116" w:type="dxa"/>
            <w:vAlign w:val="bottom"/>
          </w:tcPr>
          <w:p w14:paraId="344635C4" w14:textId="77777777" w:rsidR="00576857" w:rsidRPr="000B2673" w:rsidRDefault="00576857" w:rsidP="001515D5">
            <w:r w:rsidRPr="000B2673">
              <w:t>2017</w:t>
            </w:r>
          </w:p>
        </w:tc>
        <w:tc>
          <w:tcPr>
            <w:tcW w:w="3117" w:type="dxa"/>
            <w:vAlign w:val="center"/>
          </w:tcPr>
          <w:p w14:paraId="04896D16" w14:textId="77777777" w:rsidR="00576857" w:rsidRPr="000B2673" w:rsidRDefault="00576857" w:rsidP="001515D5">
            <w:r w:rsidRPr="000B2673">
              <w:t>6.3%</w:t>
            </w:r>
          </w:p>
        </w:tc>
        <w:tc>
          <w:tcPr>
            <w:tcW w:w="3117" w:type="dxa"/>
            <w:vAlign w:val="bottom"/>
          </w:tcPr>
          <w:p w14:paraId="272A8DAE" w14:textId="77777777" w:rsidR="00576857" w:rsidRPr="000B2673" w:rsidRDefault="00576857" w:rsidP="001515D5">
            <w:r w:rsidRPr="000B2673">
              <w:t>6.3%</w:t>
            </w:r>
          </w:p>
        </w:tc>
      </w:tr>
      <w:tr w:rsidR="00576857" w14:paraId="47CD9992" w14:textId="77777777" w:rsidTr="001515D5">
        <w:tc>
          <w:tcPr>
            <w:tcW w:w="3116" w:type="dxa"/>
            <w:vAlign w:val="bottom"/>
          </w:tcPr>
          <w:p w14:paraId="1AC34AD7" w14:textId="77777777" w:rsidR="00576857" w:rsidRPr="000B2673" w:rsidRDefault="00576857" w:rsidP="001515D5">
            <w:r w:rsidRPr="000B2673">
              <w:t>2018</w:t>
            </w:r>
          </w:p>
        </w:tc>
        <w:tc>
          <w:tcPr>
            <w:tcW w:w="3117" w:type="dxa"/>
            <w:vAlign w:val="center"/>
          </w:tcPr>
          <w:p w14:paraId="511AD8BF" w14:textId="77777777" w:rsidR="00576857" w:rsidRPr="000B2673" w:rsidRDefault="00576857" w:rsidP="001515D5">
            <w:r w:rsidRPr="000B2673">
              <w:t>6.6%</w:t>
            </w:r>
          </w:p>
        </w:tc>
        <w:tc>
          <w:tcPr>
            <w:tcW w:w="3117" w:type="dxa"/>
            <w:vAlign w:val="bottom"/>
          </w:tcPr>
          <w:p w14:paraId="0DF9EB89" w14:textId="77777777" w:rsidR="00576857" w:rsidRPr="000B2673" w:rsidRDefault="00576857" w:rsidP="001515D5">
            <w:r w:rsidRPr="000B2673">
              <w:t>6.7%</w:t>
            </w:r>
          </w:p>
        </w:tc>
      </w:tr>
      <w:tr w:rsidR="00576857" w14:paraId="0BF702E4" w14:textId="77777777" w:rsidTr="001515D5">
        <w:tc>
          <w:tcPr>
            <w:tcW w:w="3116" w:type="dxa"/>
            <w:vAlign w:val="bottom"/>
          </w:tcPr>
          <w:p w14:paraId="358955B9" w14:textId="77777777" w:rsidR="00576857" w:rsidRPr="000B2673" w:rsidRDefault="00576857" w:rsidP="001515D5">
            <w:r w:rsidRPr="000B2673">
              <w:t>2019</w:t>
            </w:r>
          </w:p>
        </w:tc>
        <w:tc>
          <w:tcPr>
            <w:tcW w:w="3117" w:type="dxa"/>
            <w:vAlign w:val="center"/>
          </w:tcPr>
          <w:p w14:paraId="70AA7252" w14:textId="77777777" w:rsidR="00576857" w:rsidRPr="000B2673" w:rsidRDefault="00576857" w:rsidP="001515D5">
            <w:r w:rsidRPr="000B2673">
              <w:t>6.4%</w:t>
            </w:r>
          </w:p>
        </w:tc>
        <w:tc>
          <w:tcPr>
            <w:tcW w:w="3117" w:type="dxa"/>
            <w:vAlign w:val="bottom"/>
          </w:tcPr>
          <w:p w14:paraId="55F0A501" w14:textId="77777777" w:rsidR="00576857" w:rsidRPr="000B2673" w:rsidRDefault="00576857" w:rsidP="001515D5">
            <w:r w:rsidRPr="000B2673">
              <w:t>6.9%</w:t>
            </w:r>
          </w:p>
        </w:tc>
      </w:tr>
      <w:tr w:rsidR="00576857" w14:paraId="7CC1B13B" w14:textId="77777777" w:rsidTr="001515D5">
        <w:tc>
          <w:tcPr>
            <w:tcW w:w="3116" w:type="dxa"/>
            <w:vAlign w:val="bottom"/>
          </w:tcPr>
          <w:p w14:paraId="1E368B0B" w14:textId="77777777" w:rsidR="00576857" w:rsidRPr="000B2673" w:rsidRDefault="00576857" w:rsidP="001515D5">
            <w:r w:rsidRPr="000B2673">
              <w:t>2020</w:t>
            </w:r>
          </w:p>
        </w:tc>
        <w:tc>
          <w:tcPr>
            <w:tcW w:w="3117" w:type="dxa"/>
            <w:vAlign w:val="center"/>
          </w:tcPr>
          <w:p w14:paraId="2D80F0E6" w14:textId="77777777" w:rsidR="00576857" w:rsidRPr="000B2673" w:rsidRDefault="00576857" w:rsidP="001515D5">
            <w:r w:rsidRPr="000B2673">
              <w:t>7.5%</w:t>
            </w:r>
          </w:p>
        </w:tc>
        <w:tc>
          <w:tcPr>
            <w:tcW w:w="3117" w:type="dxa"/>
            <w:vAlign w:val="bottom"/>
          </w:tcPr>
          <w:p w14:paraId="46A68178" w14:textId="77777777" w:rsidR="00576857" w:rsidRPr="000B2673" w:rsidRDefault="00576857" w:rsidP="001515D5">
            <w:r w:rsidRPr="000B2673">
              <w:t>7.8%</w:t>
            </w:r>
          </w:p>
        </w:tc>
      </w:tr>
      <w:tr w:rsidR="00576857" w14:paraId="6C942E6A" w14:textId="77777777" w:rsidTr="001515D5">
        <w:tc>
          <w:tcPr>
            <w:tcW w:w="3116" w:type="dxa"/>
            <w:vAlign w:val="bottom"/>
          </w:tcPr>
          <w:p w14:paraId="2DB92011" w14:textId="77777777" w:rsidR="00576857" w:rsidRPr="000B2673" w:rsidRDefault="00576857" w:rsidP="001515D5">
            <w:r w:rsidRPr="000B2673">
              <w:t>2021</w:t>
            </w:r>
          </w:p>
        </w:tc>
        <w:tc>
          <w:tcPr>
            <w:tcW w:w="3117" w:type="dxa"/>
            <w:vAlign w:val="center"/>
          </w:tcPr>
          <w:p w14:paraId="320FFAC7" w14:textId="77777777" w:rsidR="00576857" w:rsidRPr="000B2673" w:rsidRDefault="00576857" w:rsidP="001515D5">
            <w:r w:rsidRPr="000B2673">
              <w:t>7.1%</w:t>
            </w:r>
          </w:p>
        </w:tc>
        <w:tc>
          <w:tcPr>
            <w:tcW w:w="3117" w:type="dxa"/>
            <w:vAlign w:val="bottom"/>
          </w:tcPr>
          <w:p w14:paraId="2A146C87" w14:textId="77777777" w:rsidR="00576857" w:rsidRPr="000B2673" w:rsidRDefault="00576857" w:rsidP="001515D5">
            <w:r w:rsidRPr="000B2673">
              <w:t>8.3%</w:t>
            </w:r>
          </w:p>
        </w:tc>
      </w:tr>
    </w:tbl>
    <w:p w14:paraId="0BC57B44" w14:textId="77777777" w:rsidR="00576857" w:rsidRPr="000B2673" w:rsidRDefault="00576857" w:rsidP="00576857">
      <w:r w:rsidRPr="000B2673">
        <w:t xml:space="preserve">Source: SC DHEC Vital Statistics, 2017- 2021. US data from natality data on CDC WONDER Online Database. </w:t>
      </w:r>
    </w:p>
    <w:p w14:paraId="3216A29E" w14:textId="77777777" w:rsidR="00576857" w:rsidRDefault="00576857" w:rsidP="00576857">
      <w:r w:rsidRPr="000B2673">
        <w:t>Note: population for year 2021 based on single-race estimates and for years prior based on bridge-race estimates.</w:t>
      </w:r>
    </w:p>
    <w:p w14:paraId="04D8227A" w14:textId="77777777" w:rsidR="00576857" w:rsidRPr="000B2673" w:rsidRDefault="00576857" w:rsidP="00576857"/>
    <w:p w14:paraId="296942BE" w14:textId="77777777" w:rsidR="00576857" w:rsidRDefault="00576857" w:rsidP="00576857">
      <w:pPr>
        <w:pStyle w:val="Heading4"/>
      </w:pPr>
      <w:bookmarkStart w:id="444" w:name="_Toc154576413"/>
      <w:bookmarkStart w:id="445" w:name="_Toc162267292"/>
      <w:r>
        <w:t>Figure 7.16: Gestational Diabetes, by Race/Ethnicity.</w:t>
      </w:r>
      <w:bookmarkEnd w:id="444"/>
      <w:bookmarkEnd w:id="445"/>
    </w:p>
    <w:tbl>
      <w:tblPr>
        <w:tblStyle w:val="TableGrid"/>
        <w:tblW w:w="0" w:type="auto"/>
        <w:tblLook w:val="04A0" w:firstRow="1" w:lastRow="0" w:firstColumn="1" w:lastColumn="0" w:noHBand="0" w:noVBand="1"/>
      </w:tblPr>
      <w:tblGrid>
        <w:gridCol w:w="1870"/>
        <w:gridCol w:w="1870"/>
        <w:gridCol w:w="1870"/>
        <w:gridCol w:w="1870"/>
        <w:gridCol w:w="1870"/>
      </w:tblGrid>
      <w:tr w:rsidR="00576857" w14:paraId="48D29857" w14:textId="77777777" w:rsidTr="001515D5">
        <w:tc>
          <w:tcPr>
            <w:tcW w:w="1870" w:type="dxa"/>
            <w:vAlign w:val="bottom"/>
          </w:tcPr>
          <w:p w14:paraId="46324778" w14:textId="77777777" w:rsidR="00576857" w:rsidRPr="000B2673" w:rsidRDefault="00576857" w:rsidP="001515D5">
            <w:r w:rsidRPr="000B2673">
              <w:t>Year</w:t>
            </w:r>
          </w:p>
        </w:tc>
        <w:tc>
          <w:tcPr>
            <w:tcW w:w="1870" w:type="dxa"/>
            <w:vAlign w:val="bottom"/>
          </w:tcPr>
          <w:p w14:paraId="11EC9546" w14:textId="77777777" w:rsidR="00576857" w:rsidRPr="000B2673" w:rsidRDefault="00576857" w:rsidP="001515D5">
            <w:r w:rsidRPr="000B2673">
              <w:t xml:space="preserve">  Non-Hispanic White</w:t>
            </w:r>
          </w:p>
        </w:tc>
        <w:tc>
          <w:tcPr>
            <w:tcW w:w="1870" w:type="dxa"/>
            <w:vAlign w:val="bottom"/>
          </w:tcPr>
          <w:p w14:paraId="3C274744" w14:textId="77777777" w:rsidR="00576857" w:rsidRPr="000B2673" w:rsidRDefault="00576857" w:rsidP="001515D5">
            <w:r w:rsidRPr="000B2673">
              <w:t xml:space="preserve">  Non-Hispanic Black</w:t>
            </w:r>
          </w:p>
        </w:tc>
        <w:tc>
          <w:tcPr>
            <w:tcW w:w="1870" w:type="dxa"/>
            <w:vAlign w:val="bottom"/>
          </w:tcPr>
          <w:p w14:paraId="49E5D551" w14:textId="77777777" w:rsidR="00576857" w:rsidRPr="000B2673" w:rsidRDefault="00576857" w:rsidP="001515D5">
            <w:r w:rsidRPr="000B2673">
              <w:t xml:space="preserve">  Non-Hispanic Other (includes multi-racial)</w:t>
            </w:r>
          </w:p>
        </w:tc>
        <w:tc>
          <w:tcPr>
            <w:tcW w:w="1870" w:type="dxa"/>
            <w:vAlign w:val="bottom"/>
          </w:tcPr>
          <w:p w14:paraId="1135678F" w14:textId="77777777" w:rsidR="00576857" w:rsidRPr="000B2673" w:rsidRDefault="00576857" w:rsidP="001515D5">
            <w:r w:rsidRPr="000B2673">
              <w:t>Hispanic</w:t>
            </w:r>
          </w:p>
        </w:tc>
      </w:tr>
      <w:tr w:rsidR="00576857" w14:paraId="1CFFA774" w14:textId="77777777" w:rsidTr="001515D5">
        <w:tc>
          <w:tcPr>
            <w:tcW w:w="1870" w:type="dxa"/>
            <w:vAlign w:val="bottom"/>
          </w:tcPr>
          <w:p w14:paraId="522B0EB5" w14:textId="77777777" w:rsidR="00576857" w:rsidRPr="000B2673" w:rsidRDefault="00576857" w:rsidP="001515D5">
            <w:r w:rsidRPr="000B2673">
              <w:lastRenderedPageBreak/>
              <w:t>2017-2021</w:t>
            </w:r>
          </w:p>
        </w:tc>
        <w:tc>
          <w:tcPr>
            <w:tcW w:w="1870" w:type="dxa"/>
            <w:vAlign w:val="bottom"/>
          </w:tcPr>
          <w:p w14:paraId="58E00C12" w14:textId="77777777" w:rsidR="00576857" w:rsidRPr="000B2673" w:rsidRDefault="00576857" w:rsidP="001515D5">
            <w:r w:rsidRPr="000B2673">
              <w:t>6.7%</w:t>
            </w:r>
          </w:p>
        </w:tc>
        <w:tc>
          <w:tcPr>
            <w:tcW w:w="1870" w:type="dxa"/>
            <w:vAlign w:val="bottom"/>
          </w:tcPr>
          <w:p w14:paraId="263BF1F9" w14:textId="77777777" w:rsidR="00576857" w:rsidRPr="000B2673" w:rsidRDefault="00576857" w:rsidP="001515D5">
            <w:r w:rsidRPr="000B2673">
              <w:t>6.0%</w:t>
            </w:r>
          </w:p>
        </w:tc>
        <w:tc>
          <w:tcPr>
            <w:tcW w:w="1870" w:type="dxa"/>
            <w:vAlign w:val="bottom"/>
          </w:tcPr>
          <w:p w14:paraId="64BE925B" w14:textId="77777777" w:rsidR="00576857" w:rsidRPr="000B2673" w:rsidRDefault="00576857" w:rsidP="001515D5">
            <w:r w:rsidRPr="000B2673">
              <w:t>12.2%</w:t>
            </w:r>
          </w:p>
        </w:tc>
        <w:tc>
          <w:tcPr>
            <w:tcW w:w="1870" w:type="dxa"/>
            <w:vAlign w:val="bottom"/>
          </w:tcPr>
          <w:p w14:paraId="7E019009" w14:textId="77777777" w:rsidR="00576857" w:rsidRPr="000B2673" w:rsidRDefault="00576857" w:rsidP="001515D5">
            <w:r w:rsidRPr="000B2673">
              <w:t>8.0%</w:t>
            </w:r>
          </w:p>
        </w:tc>
      </w:tr>
    </w:tbl>
    <w:p w14:paraId="16C7BC20" w14:textId="77777777" w:rsidR="00576857" w:rsidRPr="000B2673" w:rsidRDefault="00576857" w:rsidP="00576857">
      <w:r w:rsidRPr="000B2673">
        <w:t>Source: SC DHEC Vital Statistics, 2017- 2021.</w:t>
      </w:r>
    </w:p>
    <w:p w14:paraId="0788C6D5" w14:textId="77777777" w:rsidR="00576857" w:rsidRDefault="00576857" w:rsidP="00576857">
      <w:r w:rsidRPr="000B2673">
        <w:t>Note: population for year 2021 based on single-race estimates and for years prior based on bridge-race estimates.</w:t>
      </w:r>
    </w:p>
    <w:p w14:paraId="78579B1D" w14:textId="77777777" w:rsidR="00506CC7" w:rsidRDefault="00506CC7" w:rsidP="00506CC7"/>
    <w:p w14:paraId="5C1A4BA4" w14:textId="77777777" w:rsidR="00506CC7" w:rsidRDefault="00506CC7" w:rsidP="00506CC7">
      <w:pPr>
        <w:rPr>
          <w:b/>
          <w:bCs/>
        </w:rPr>
      </w:pPr>
      <w:bookmarkStart w:id="446" w:name="_Toc162267293"/>
      <w:r w:rsidRPr="00506CC7">
        <w:rPr>
          <w:rStyle w:val="Heading4Char"/>
        </w:rPr>
        <w:t>Data Interpretations:</w:t>
      </w:r>
      <w:bookmarkEnd w:id="446"/>
      <w:r w:rsidRPr="00506CC7">
        <w:rPr>
          <w:b/>
          <w:bCs/>
        </w:rPr>
        <w:t xml:space="preserve"> </w:t>
      </w:r>
    </w:p>
    <w:p w14:paraId="3BB0B537" w14:textId="66EE3954" w:rsidR="00506CC7" w:rsidRPr="00506CC7" w:rsidRDefault="00506CC7" w:rsidP="00506CC7">
      <w:r w:rsidRPr="00506CC7">
        <w:t>From 2017 through 2021, the percentage of infants born to mothers experiencing GDM increased slightly from 6.3% to 7.1% (</w:t>
      </w:r>
      <w:r w:rsidRPr="00506CC7">
        <w:rPr>
          <w:b/>
          <w:bCs/>
        </w:rPr>
        <w:t>Figure 7.15</w:t>
      </w:r>
      <w:r w:rsidRPr="00506CC7">
        <w:t>). Although this prevalence was the same between SC and the US in 2017, SC has experienced smaller increases compared to the US between 2017 and 2021 (</w:t>
      </w:r>
      <w:r w:rsidRPr="00506CC7">
        <w:rPr>
          <w:b/>
          <w:bCs/>
        </w:rPr>
        <w:t>Figure 7.15</w:t>
      </w:r>
      <w:r w:rsidRPr="00506CC7">
        <w:t>). However, disparities exist in GDM rates in SC, as the non-Hispanic Other population, followed by Hispanics, had the highest rates of GDM (</w:t>
      </w:r>
      <w:r w:rsidRPr="00506CC7">
        <w:rPr>
          <w:b/>
          <w:bCs/>
        </w:rPr>
        <w:t>Figure 7.16</w:t>
      </w:r>
      <w:r w:rsidRPr="00506CC7">
        <w:t xml:space="preserve">). </w:t>
      </w:r>
    </w:p>
    <w:p w14:paraId="4FC131CF" w14:textId="77777777" w:rsidR="00506CC7" w:rsidRDefault="00506CC7" w:rsidP="00506CC7"/>
    <w:p w14:paraId="0FA7E05E" w14:textId="77777777" w:rsidR="00506CC7" w:rsidRDefault="00506CC7" w:rsidP="00506CC7">
      <w:pPr>
        <w:rPr>
          <w:b/>
          <w:bCs/>
        </w:rPr>
      </w:pPr>
      <w:r w:rsidRPr="00506CC7">
        <w:rPr>
          <w:rStyle w:val="Heading5Char"/>
        </w:rPr>
        <w:t>Key Takeaways:</w:t>
      </w:r>
      <w:r>
        <w:rPr>
          <w:b/>
          <w:bCs/>
        </w:rPr>
        <w:t xml:space="preserve"> </w:t>
      </w:r>
    </w:p>
    <w:p w14:paraId="72A2508B" w14:textId="3B2182E8" w:rsidR="00506CC7" w:rsidRPr="00506CC7" w:rsidRDefault="00506CC7" w:rsidP="00926EB3">
      <w:pPr>
        <w:pStyle w:val="ListParagraph"/>
        <w:numPr>
          <w:ilvl w:val="0"/>
          <w:numId w:val="220"/>
        </w:numPr>
      </w:pPr>
      <w:r w:rsidRPr="00506CC7">
        <w:t xml:space="preserve">Risk factors for developing GDM — such as physical activity, weight, and presence of other medical conditions — should be closely monitored to lower health risks for adverse maternal and infant health outcomes. </w:t>
      </w:r>
    </w:p>
    <w:p w14:paraId="38626E74" w14:textId="77777777" w:rsidR="00506CC7" w:rsidRDefault="00506CC7" w:rsidP="00506CC7"/>
    <w:p w14:paraId="223009C0" w14:textId="6AD15DD0" w:rsidR="00506CC7" w:rsidRPr="00506CC7" w:rsidRDefault="00506CC7" w:rsidP="00506CC7">
      <w:pPr>
        <w:pStyle w:val="Heading4"/>
        <w:rPr>
          <w:rFonts w:asciiTheme="minorHAnsi" w:hAnsiTheme="minorHAnsi" w:cstheme="minorHAnsi"/>
          <w:color w:val="000000" w:themeColor="text1"/>
        </w:rPr>
      </w:pPr>
      <w:bookmarkStart w:id="447" w:name="_Toc162267294"/>
      <w:r w:rsidRPr="00506CC7">
        <w:rPr>
          <w:rFonts w:asciiTheme="minorHAnsi" w:hAnsiTheme="minorHAnsi" w:cstheme="minorHAnsi"/>
          <w:color w:val="000000" w:themeColor="text1"/>
        </w:rPr>
        <w:t>References 7.</w:t>
      </w:r>
      <w:r>
        <w:rPr>
          <w:rFonts w:asciiTheme="minorHAnsi" w:hAnsiTheme="minorHAnsi" w:cstheme="minorHAnsi"/>
          <w:color w:val="000000" w:themeColor="text1"/>
        </w:rPr>
        <w:t>8</w:t>
      </w:r>
      <w:bookmarkEnd w:id="447"/>
      <w:r w:rsidRPr="00506CC7">
        <w:rPr>
          <w:rFonts w:asciiTheme="minorHAnsi" w:hAnsiTheme="minorHAnsi" w:cstheme="minorHAnsi"/>
          <w:color w:val="000000" w:themeColor="text1"/>
        </w:rPr>
        <w:t xml:space="preserve"> </w:t>
      </w:r>
    </w:p>
    <w:p w14:paraId="27F2E258" w14:textId="77777777" w:rsidR="00506CC7" w:rsidRPr="00506CC7" w:rsidRDefault="00506CC7" w:rsidP="00506CC7">
      <w:r w:rsidRPr="00506CC7">
        <w:t>Statistics in the preceding section were referenced from the following report</w:t>
      </w:r>
      <w:r>
        <w:t>s</w:t>
      </w:r>
      <w:r w:rsidRPr="00506CC7">
        <w:t>:</w:t>
      </w:r>
    </w:p>
    <w:p w14:paraId="00318DFA" w14:textId="26AA81F0" w:rsidR="00506CC7" w:rsidRPr="00506CC7" w:rsidRDefault="00000000" w:rsidP="00926EB3">
      <w:pPr>
        <w:pStyle w:val="ListParagraph"/>
        <w:numPr>
          <w:ilvl w:val="0"/>
          <w:numId w:val="28"/>
        </w:numPr>
        <w:rPr>
          <w:u w:val="thick"/>
        </w:rPr>
      </w:pPr>
      <w:hyperlink r:id="rId207" w:history="1">
        <w:r w:rsidR="00506CC7" w:rsidRPr="00506CC7">
          <w:rPr>
            <w:rStyle w:val="Hyperlink"/>
          </w:rPr>
          <w:t>“Gestational Diabetes” by CDC via cdc.gov. Accessed June 21, 2023.</w:t>
        </w:r>
      </w:hyperlink>
      <w:r w:rsidR="00506CC7" w:rsidRPr="00506CC7">
        <w:t xml:space="preserve"> </w:t>
      </w:r>
    </w:p>
    <w:p w14:paraId="08205D01" w14:textId="138D51DB" w:rsidR="00506CC7" w:rsidRPr="00506CC7" w:rsidRDefault="00000000" w:rsidP="00926EB3">
      <w:pPr>
        <w:pStyle w:val="ListParagraph"/>
        <w:numPr>
          <w:ilvl w:val="0"/>
          <w:numId w:val="28"/>
        </w:numPr>
      </w:pPr>
      <w:hyperlink r:id="rId208" w:history="1">
        <w:r w:rsidR="00506CC7" w:rsidRPr="00506CC7">
          <w:rPr>
            <w:rStyle w:val="Hyperlink"/>
          </w:rPr>
          <w:t>“Gestational Diabetes and Preterm Labor” via verywellfamily.com. Accessed June 21, 2023.</w:t>
        </w:r>
      </w:hyperlink>
      <w:r w:rsidR="00506CC7" w:rsidRPr="00506CC7">
        <w:t xml:space="preserve"> </w:t>
      </w:r>
    </w:p>
    <w:p w14:paraId="5C9CB725" w14:textId="664F4DAD" w:rsidR="00506CC7" w:rsidRPr="00506CC7" w:rsidRDefault="00506CC7" w:rsidP="00926EB3">
      <w:pPr>
        <w:pStyle w:val="ListParagraph"/>
        <w:numPr>
          <w:ilvl w:val="0"/>
          <w:numId w:val="28"/>
        </w:numPr>
      </w:pPr>
      <w:r>
        <w:t>“</w:t>
      </w:r>
      <w:r w:rsidRPr="00506CC7">
        <w:t>Gestational diabetes mellitus and adverse pregnancy outcomes: systematic review and meta-analysis</w:t>
      </w:r>
      <w:r>
        <w:t>” by</w:t>
      </w:r>
      <w:r w:rsidRPr="00506CC7">
        <w:t xml:space="preserve"> Ye W, Luo C, Huang J, Li C, Liu Z, Liu F.</w:t>
      </w:r>
      <w:r>
        <w:t xml:space="preserve"> Published by BMJ, 2022. No hyperlink.</w:t>
      </w:r>
    </w:p>
    <w:p w14:paraId="032AEF1C" w14:textId="0FEE176E" w:rsidR="00506CC7" w:rsidRPr="00506CC7" w:rsidRDefault="00000000" w:rsidP="00926EB3">
      <w:pPr>
        <w:pStyle w:val="ListParagraph"/>
        <w:numPr>
          <w:ilvl w:val="0"/>
          <w:numId w:val="28"/>
        </w:numPr>
        <w:rPr>
          <w:u w:val="thick"/>
        </w:rPr>
      </w:pPr>
      <w:hyperlink r:id="rId209" w:history="1">
        <w:r w:rsidR="00506CC7" w:rsidRPr="00506CC7">
          <w:rPr>
            <w:rStyle w:val="Hyperlink"/>
          </w:rPr>
          <w:t>“Treating Mild Gestational Diabetes Reduces Birth Complications” by the National Institutes of Health (NIH) via nih.gov. Accessed June 21, 2023.</w:t>
        </w:r>
      </w:hyperlink>
      <w:r w:rsidR="00506CC7" w:rsidRPr="00506CC7">
        <w:t xml:space="preserve"> </w:t>
      </w:r>
    </w:p>
    <w:p w14:paraId="478EA030" w14:textId="77777777" w:rsidR="00506CC7" w:rsidRDefault="00506CC7" w:rsidP="00506CC7"/>
    <w:p w14:paraId="31C17B7F" w14:textId="77777777" w:rsidR="00506CC7" w:rsidRPr="00506CC7" w:rsidRDefault="00506CC7" w:rsidP="00506CC7">
      <w:pPr>
        <w:pStyle w:val="Heading3"/>
      </w:pPr>
      <w:bookmarkStart w:id="448" w:name="_Toc162267295"/>
      <w:r w:rsidRPr="00506CC7">
        <w:t>Pregnancy Health: Oral Health</w:t>
      </w:r>
      <w:bookmarkEnd w:id="448"/>
    </w:p>
    <w:p w14:paraId="2F214F45" w14:textId="34D90D32" w:rsidR="00506CC7" w:rsidRPr="00506CC7" w:rsidRDefault="00506CC7" w:rsidP="00506CC7">
      <w:pPr>
        <w:rPr>
          <w:b/>
          <w:bCs/>
        </w:rPr>
      </w:pPr>
      <w:r w:rsidRPr="00506CC7">
        <w:t xml:space="preserve">Maintaining good oral health throughout life is important, as it contributes to better general health. During pregnancy, maintaining oral health is especially important; pregnant women are more prone to dental issues, including gingivitis, periodontitis, pregnancy tumors (pyogenic granuloma), tooth decay, loose </w:t>
      </w:r>
      <w:proofErr w:type="gramStart"/>
      <w:r w:rsidRPr="00506CC7">
        <w:t>teeth</w:t>
      </w:r>
      <w:proofErr w:type="gramEnd"/>
      <w:r w:rsidRPr="00506CC7">
        <w:t xml:space="preserve"> and tooth loss.</w:t>
      </w:r>
      <w:r>
        <w:rPr>
          <w:b/>
          <w:bCs/>
        </w:rPr>
        <w:t xml:space="preserve"> </w:t>
      </w:r>
      <w:r w:rsidRPr="00506CC7">
        <w:t>Additionally, poor oral health like periodontitis has been associated with poor pregnancy outcomes, such as preterm birth and low birthweight.</w:t>
      </w:r>
      <w:r>
        <w:rPr>
          <w:b/>
          <w:bCs/>
        </w:rPr>
        <w:t xml:space="preserve"> </w:t>
      </w:r>
      <w:r w:rsidRPr="00506CC7">
        <w:t xml:space="preserve">Attending regular dental cleaning appointments during pregnancy is </w:t>
      </w:r>
      <w:r w:rsidRPr="00506CC7">
        <w:lastRenderedPageBreak/>
        <w:t xml:space="preserve">one key method for monitoring any developing teeth and gum issues that could affect overall health. Barriers to receiving dental care during pregnancy include financial factors, </w:t>
      </w:r>
      <w:proofErr w:type="gramStart"/>
      <w:r w:rsidRPr="00506CC7">
        <w:t>myths</w:t>
      </w:r>
      <w:proofErr w:type="gramEnd"/>
      <w:r w:rsidRPr="00506CC7">
        <w:t xml:space="preserve"> and beliefs about safety of treatment, anxiety over treatment and other social factors.</w:t>
      </w:r>
    </w:p>
    <w:p w14:paraId="0592221C" w14:textId="77777777" w:rsidR="00506CC7" w:rsidRDefault="00506CC7" w:rsidP="00506CC7"/>
    <w:p w14:paraId="265FF7B7" w14:textId="77777777" w:rsidR="00576857" w:rsidRDefault="00576857" w:rsidP="00576857">
      <w:pPr>
        <w:pStyle w:val="Heading4"/>
      </w:pPr>
      <w:bookmarkStart w:id="449" w:name="_Toc154576414"/>
      <w:bookmarkStart w:id="450" w:name="_Toc162267296"/>
      <w:r>
        <w:t>Figure 7.17: Teeth Cleaned During Pregnancy.</w:t>
      </w:r>
      <w:bookmarkEnd w:id="449"/>
      <w:bookmarkEnd w:id="450"/>
    </w:p>
    <w:tbl>
      <w:tblPr>
        <w:tblStyle w:val="TableGrid"/>
        <w:tblW w:w="0" w:type="auto"/>
        <w:tblLook w:val="04A0" w:firstRow="1" w:lastRow="0" w:firstColumn="1" w:lastColumn="0" w:noHBand="0" w:noVBand="1"/>
      </w:tblPr>
      <w:tblGrid>
        <w:gridCol w:w="4675"/>
        <w:gridCol w:w="4675"/>
      </w:tblGrid>
      <w:tr w:rsidR="00576857" w14:paraId="6F6BC595" w14:textId="77777777" w:rsidTr="001515D5">
        <w:tc>
          <w:tcPr>
            <w:tcW w:w="4675" w:type="dxa"/>
            <w:vAlign w:val="bottom"/>
          </w:tcPr>
          <w:p w14:paraId="4AAEE4FF" w14:textId="77777777" w:rsidR="00576857" w:rsidRPr="000B2673" w:rsidRDefault="00576857" w:rsidP="001515D5">
            <w:r w:rsidRPr="000B2673">
              <w:t>Year</w:t>
            </w:r>
          </w:p>
        </w:tc>
        <w:tc>
          <w:tcPr>
            <w:tcW w:w="4675" w:type="dxa"/>
            <w:vAlign w:val="bottom"/>
          </w:tcPr>
          <w:p w14:paraId="3293E959" w14:textId="77777777" w:rsidR="00576857" w:rsidRPr="000B2673" w:rsidRDefault="00576857" w:rsidP="001515D5">
            <w:r w:rsidRPr="000B2673">
              <w:t>South Carolina</w:t>
            </w:r>
          </w:p>
        </w:tc>
      </w:tr>
      <w:tr w:rsidR="00576857" w14:paraId="57159B48" w14:textId="77777777" w:rsidTr="001515D5">
        <w:tc>
          <w:tcPr>
            <w:tcW w:w="4675" w:type="dxa"/>
            <w:vAlign w:val="bottom"/>
          </w:tcPr>
          <w:p w14:paraId="1487E58F" w14:textId="77777777" w:rsidR="00576857" w:rsidRPr="000B2673" w:rsidRDefault="00576857" w:rsidP="001515D5">
            <w:r w:rsidRPr="000B2673">
              <w:t>2017</w:t>
            </w:r>
          </w:p>
        </w:tc>
        <w:tc>
          <w:tcPr>
            <w:tcW w:w="4675" w:type="dxa"/>
            <w:vAlign w:val="bottom"/>
          </w:tcPr>
          <w:p w14:paraId="3C7E5F2A" w14:textId="77777777" w:rsidR="00576857" w:rsidRPr="000B2673" w:rsidRDefault="00576857" w:rsidP="001515D5">
            <w:r w:rsidRPr="000B2673">
              <w:t>38.0%</w:t>
            </w:r>
          </w:p>
        </w:tc>
      </w:tr>
      <w:tr w:rsidR="00576857" w14:paraId="798E796A" w14:textId="77777777" w:rsidTr="001515D5">
        <w:tc>
          <w:tcPr>
            <w:tcW w:w="4675" w:type="dxa"/>
            <w:vAlign w:val="bottom"/>
          </w:tcPr>
          <w:p w14:paraId="72F30EDE" w14:textId="77777777" w:rsidR="00576857" w:rsidRPr="000B2673" w:rsidRDefault="00576857" w:rsidP="001515D5">
            <w:r w:rsidRPr="000B2673">
              <w:t>2018</w:t>
            </w:r>
          </w:p>
        </w:tc>
        <w:tc>
          <w:tcPr>
            <w:tcW w:w="4675" w:type="dxa"/>
            <w:vAlign w:val="bottom"/>
          </w:tcPr>
          <w:p w14:paraId="718E4232" w14:textId="77777777" w:rsidR="00576857" w:rsidRPr="000B2673" w:rsidRDefault="00576857" w:rsidP="001515D5">
            <w:r w:rsidRPr="000B2673">
              <w:t>40.3%</w:t>
            </w:r>
          </w:p>
        </w:tc>
      </w:tr>
      <w:tr w:rsidR="00576857" w14:paraId="3DEEB209" w14:textId="77777777" w:rsidTr="001515D5">
        <w:tc>
          <w:tcPr>
            <w:tcW w:w="4675" w:type="dxa"/>
            <w:vAlign w:val="bottom"/>
          </w:tcPr>
          <w:p w14:paraId="69D4BE15" w14:textId="77777777" w:rsidR="00576857" w:rsidRPr="000B2673" w:rsidRDefault="00576857" w:rsidP="001515D5">
            <w:r w:rsidRPr="000B2673">
              <w:t>2019</w:t>
            </w:r>
          </w:p>
        </w:tc>
        <w:tc>
          <w:tcPr>
            <w:tcW w:w="4675" w:type="dxa"/>
            <w:vAlign w:val="bottom"/>
          </w:tcPr>
          <w:p w14:paraId="218D1F18" w14:textId="77777777" w:rsidR="00576857" w:rsidRPr="000B2673" w:rsidRDefault="00576857" w:rsidP="001515D5">
            <w:r w:rsidRPr="000B2673">
              <w:t>41.4%</w:t>
            </w:r>
          </w:p>
        </w:tc>
      </w:tr>
      <w:tr w:rsidR="00576857" w14:paraId="4788C5DD" w14:textId="77777777" w:rsidTr="001515D5">
        <w:tc>
          <w:tcPr>
            <w:tcW w:w="4675" w:type="dxa"/>
            <w:vAlign w:val="bottom"/>
          </w:tcPr>
          <w:p w14:paraId="0930E6B4" w14:textId="77777777" w:rsidR="00576857" w:rsidRPr="000B2673" w:rsidRDefault="00576857" w:rsidP="001515D5">
            <w:r w:rsidRPr="000B2673">
              <w:t>2020</w:t>
            </w:r>
          </w:p>
        </w:tc>
        <w:tc>
          <w:tcPr>
            <w:tcW w:w="4675" w:type="dxa"/>
            <w:vAlign w:val="bottom"/>
          </w:tcPr>
          <w:p w14:paraId="340F3C4B" w14:textId="77777777" w:rsidR="00576857" w:rsidRPr="000B2673" w:rsidRDefault="00576857" w:rsidP="001515D5">
            <w:r w:rsidRPr="000B2673">
              <w:t>46.0%</w:t>
            </w:r>
          </w:p>
        </w:tc>
      </w:tr>
      <w:tr w:rsidR="00576857" w14:paraId="5A22ABF3" w14:textId="77777777" w:rsidTr="001515D5">
        <w:tc>
          <w:tcPr>
            <w:tcW w:w="4675" w:type="dxa"/>
            <w:vAlign w:val="bottom"/>
          </w:tcPr>
          <w:p w14:paraId="651B8719" w14:textId="77777777" w:rsidR="00576857" w:rsidRPr="000B2673" w:rsidRDefault="00576857" w:rsidP="001515D5">
            <w:r w:rsidRPr="000B2673">
              <w:t>2021</w:t>
            </w:r>
          </w:p>
        </w:tc>
        <w:tc>
          <w:tcPr>
            <w:tcW w:w="4675" w:type="dxa"/>
            <w:vAlign w:val="bottom"/>
          </w:tcPr>
          <w:p w14:paraId="6C1AC5C9" w14:textId="77777777" w:rsidR="00576857" w:rsidRPr="000B2673" w:rsidRDefault="00576857" w:rsidP="001515D5">
            <w:r w:rsidRPr="000B2673">
              <w:t>44.9%</w:t>
            </w:r>
          </w:p>
        </w:tc>
      </w:tr>
    </w:tbl>
    <w:p w14:paraId="7F2B73BF" w14:textId="77777777" w:rsidR="00576857" w:rsidRDefault="00576857" w:rsidP="00576857">
      <w:r w:rsidRPr="000B2673">
        <w:t>Source: South Carolina Pregnancy Risk Assessment Monitoring System (PRAMS), 2017-2021.</w:t>
      </w:r>
    </w:p>
    <w:p w14:paraId="234408BF" w14:textId="77777777" w:rsidR="00576857" w:rsidRDefault="00576857" w:rsidP="00576857"/>
    <w:p w14:paraId="41046ADC" w14:textId="77777777" w:rsidR="00576857" w:rsidRDefault="00576857" w:rsidP="00576857">
      <w:pPr>
        <w:pStyle w:val="Heading4"/>
      </w:pPr>
      <w:bookmarkStart w:id="451" w:name="_Toc154576415"/>
      <w:bookmarkStart w:id="452" w:name="_Toc162267297"/>
      <w:r>
        <w:t>Figure 7.18: Teeth Cleaned During Pregnancy, by Race/Ethnicity.</w:t>
      </w:r>
      <w:bookmarkEnd w:id="451"/>
      <w:bookmarkEnd w:id="452"/>
    </w:p>
    <w:tbl>
      <w:tblPr>
        <w:tblStyle w:val="TableGrid"/>
        <w:tblW w:w="0" w:type="auto"/>
        <w:tblLook w:val="04A0" w:firstRow="1" w:lastRow="0" w:firstColumn="1" w:lastColumn="0" w:noHBand="0" w:noVBand="1"/>
      </w:tblPr>
      <w:tblGrid>
        <w:gridCol w:w="2337"/>
        <w:gridCol w:w="2337"/>
        <w:gridCol w:w="2338"/>
        <w:gridCol w:w="2338"/>
      </w:tblGrid>
      <w:tr w:rsidR="00576857" w14:paraId="7A2CB876" w14:textId="77777777" w:rsidTr="001515D5">
        <w:tc>
          <w:tcPr>
            <w:tcW w:w="2337" w:type="dxa"/>
            <w:vAlign w:val="bottom"/>
          </w:tcPr>
          <w:p w14:paraId="61845927" w14:textId="77777777" w:rsidR="00576857" w:rsidRPr="000B2673" w:rsidRDefault="00576857" w:rsidP="001515D5">
            <w:r>
              <w:t>Year</w:t>
            </w:r>
          </w:p>
        </w:tc>
        <w:tc>
          <w:tcPr>
            <w:tcW w:w="2337" w:type="dxa"/>
            <w:vAlign w:val="bottom"/>
          </w:tcPr>
          <w:p w14:paraId="2D5D2834" w14:textId="77777777" w:rsidR="00576857" w:rsidRPr="000B2673" w:rsidRDefault="00576857" w:rsidP="001515D5">
            <w:r w:rsidRPr="000B2673">
              <w:t xml:space="preserve">  Non-Hispanic White</w:t>
            </w:r>
          </w:p>
        </w:tc>
        <w:tc>
          <w:tcPr>
            <w:tcW w:w="2338" w:type="dxa"/>
            <w:vAlign w:val="bottom"/>
          </w:tcPr>
          <w:p w14:paraId="69DC101B" w14:textId="77777777" w:rsidR="00576857" w:rsidRPr="000B2673" w:rsidRDefault="00576857" w:rsidP="001515D5">
            <w:r w:rsidRPr="000B2673">
              <w:t xml:space="preserve">  Non-Hispanic Black</w:t>
            </w:r>
          </w:p>
        </w:tc>
        <w:tc>
          <w:tcPr>
            <w:tcW w:w="2338" w:type="dxa"/>
            <w:vAlign w:val="bottom"/>
          </w:tcPr>
          <w:p w14:paraId="3A62C502" w14:textId="77777777" w:rsidR="00576857" w:rsidRPr="000B2673" w:rsidRDefault="00576857" w:rsidP="001515D5">
            <w:r w:rsidRPr="000B2673">
              <w:t xml:space="preserve">  Hispanic</w:t>
            </w:r>
          </w:p>
        </w:tc>
      </w:tr>
      <w:tr w:rsidR="00576857" w14:paraId="49E9851F" w14:textId="77777777" w:rsidTr="001515D5">
        <w:tc>
          <w:tcPr>
            <w:tcW w:w="2337" w:type="dxa"/>
            <w:vAlign w:val="bottom"/>
          </w:tcPr>
          <w:p w14:paraId="20AD85CC" w14:textId="77777777" w:rsidR="00576857" w:rsidRPr="000B2673" w:rsidRDefault="00576857" w:rsidP="001515D5">
            <w:r w:rsidRPr="000B2673">
              <w:t>2017-2021</w:t>
            </w:r>
          </w:p>
        </w:tc>
        <w:tc>
          <w:tcPr>
            <w:tcW w:w="2337" w:type="dxa"/>
            <w:vAlign w:val="bottom"/>
          </w:tcPr>
          <w:p w14:paraId="3BF2B169" w14:textId="77777777" w:rsidR="00576857" w:rsidRPr="000B2673" w:rsidRDefault="00576857" w:rsidP="001515D5">
            <w:r w:rsidRPr="000B2673">
              <w:t>48.0%</w:t>
            </w:r>
          </w:p>
        </w:tc>
        <w:tc>
          <w:tcPr>
            <w:tcW w:w="2338" w:type="dxa"/>
            <w:vAlign w:val="bottom"/>
          </w:tcPr>
          <w:p w14:paraId="688CDBDD" w14:textId="77777777" w:rsidR="00576857" w:rsidRPr="000B2673" w:rsidRDefault="00576857" w:rsidP="001515D5">
            <w:r w:rsidRPr="000B2673">
              <w:t>36.2%</w:t>
            </w:r>
          </w:p>
        </w:tc>
        <w:tc>
          <w:tcPr>
            <w:tcW w:w="2338" w:type="dxa"/>
            <w:vAlign w:val="bottom"/>
          </w:tcPr>
          <w:p w14:paraId="7EDB9B80" w14:textId="77777777" w:rsidR="00576857" w:rsidRPr="000B2673" w:rsidRDefault="00576857" w:rsidP="001515D5">
            <w:r w:rsidRPr="000B2673">
              <w:t>29.0%</w:t>
            </w:r>
          </w:p>
        </w:tc>
      </w:tr>
    </w:tbl>
    <w:p w14:paraId="1EA4C743" w14:textId="77777777" w:rsidR="00576857" w:rsidRDefault="00576857" w:rsidP="00576857">
      <w:r w:rsidRPr="005976A3">
        <w:t>Source: South Carolina Pregnancy Risk Assessment Monitoring System (PRAMS), 2017-2021.</w:t>
      </w:r>
    </w:p>
    <w:p w14:paraId="66D5F7EA" w14:textId="77777777" w:rsidR="00506CC7" w:rsidRDefault="00506CC7" w:rsidP="00506CC7"/>
    <w:p w14:paraId="5A1A9B93" w14:textId="77777777" w:rsidR="00506CC7" w:rsidRDefault="00506CC7" w:rsidP="00506CC7">
      <w:pPr>
        <w:pStyle w:val="Heading4"/>
      </w:pPr>
      <w:bookmarkStart w:id="453" w:name="_Toc162267298"/>
      <w:r w:rsidRPr="00506CC7">
        <w:t>Data Interpretations:</w:t>
      </w:r>
      <w:bookmarkEnd w:id="453"/>
      <w:r w:rsidRPr="00506CC7">
        <w:t xml:space="preserve"> </w:t>
      </w:r>
    </w:p>
    <w:p w14:paraId="6D73D660" w14:textId="7A98FC79" w:rsidR="00506CC7" w:rsidRPr="00506CC7" w:rsidRDefault="00506CC7" w:rsidP="00506CC7">
      <w:r w:rsidRPr="00506CC7">
        <w:t>From 2017 through 2021, the percentage of women in SC who got their teeth cleaned during pregnancy increased from 38.0% to 44.9% (</w:t>
      </w:r>
      <w:r w:rsidRPr="00506CC7">
        <w:rPr>
          <w:b/>
          <w:bCs/>
        </w:rPr>
        <w:t>Figure 7.17</w:t>
      </w:r>
      <w:r w:rsidRPr="00506CC7">
        <w:t>). When broken down by racial and ethnic groups, the rate of teeth cleaning during pregnancy was highest amongst the non-Hispanic White population at 48.0%, followed by the non-Hispanic Black and Hispanic populations at 36.2% and 29.0%, respectively (</w:t>
      </w:r>
      <w:r w:rsidRPr="00506CC7">
        <w:rPr>
          <w:b/>
          <w:bCs/>
        </w:rPr>
        <w:t>Figure 7.18</w:t>
      </w:r>
      <w:r w:rsidRPr="00506CC7">
        <w:t xml:space="preserve">).  </w:t>
      </w:r>
    </w:p>
    <w:p w14:paraId="1A8DDAC2" w14:textId="77777777" w:rsidR="00506CC7" w:rsidRDefault="00506CC7" w:rsidP="00506CC7"/>
    <w:p w14:paraId="6B78CA84" w14:textId="77777777" w:rsidR="00506CC7" w:rsidRDefault="00506CC7" w:rsidP="00506CC7">
      <w:pPr>
        <w:pStyle w:val="Heading5"/>
      </w:pPr>
      <w:r>
        <w:t xml:space="preserve">Key Takeaways: </w:t>
      </w:r>
    </w:p>
    <w:p w14:paraId="5A2BD1CE" w14:textId="28BCBBAE" w:rsidR="00506CC7" w:rsidRPr="005253DC" w:rsidRDefault="00506CC7" w:rsidP="00926EB3">
      <w:pPr>
        <w:pStyle w:val="ListParagraph"/>
        <w:numPr>
          <w:ilvl w:val="0"/>
          <w:numId w:val="220"/>
        </w:numPr>
        <w:rPr>
          <w:b/>
          <w:bCs/>
        </w:rPr>
      </w:pPr>
      <w:r w:rsidRPr="00506CC7">
        <w:t>Attending regular dental cleaning appointments during pregnancy is one key method to monitor any developing teeth and gum issues as poor oral health like periodontitis has been associated with poor pregnancy outcomes such as preterm birth and low birthweight.</w:t>
      </w:r>
    </w:p>
    <w:p w14:paraId="79B0094F" w14:textId="77777777" w:rsidR="00506CC7" w:rsidRDefault="00506CC7" w:rsidP="00506CC7"/>
    <w:p w14:paraId="2552D9B4" w14:textId="68BB6DD9" w:rsidR="00506CC7" w:rsidRPr="00506CC7" w:rsidRDefault="00506CC7" w:rsidP="00506CC7">
      <w:pPr>
        <w:pStyle w:val="Heading4"/>
        <w:rPr>
          <w:rFonts w:asciiTheme="minorHAnsi" w:hAnsiTheme="minorHAnsi" w:cstheme="minorHAnsi"/>
          <w:color w:val="000000" w:themeColor="text1"/>
        </w:rPr>
      </w:pPr>
      <w:bookmarkStart w:id="454" w:name="_Toc162267299"/>
      <w:r w:rsidRPr="00506CC7">
        <w:rPr>
          <w:rFonts w:asciiTheme="minorHAnsi" w:hAnsiTheme="minorHAnsi" w:cstheme="minorHAnsi"/>
          <w:color w:val="000000" w:themeColor="text1"/>
        </w:rPr>
        <w:lastRenderedPageBreak/>
        <w:t>References 7.9</w:t>
      </w:r>
      <w:bookmarkEnd w:id="454"/>
      <w:r w:rsidRPr="00506CC7">
        <w:rPr>
          <w:rFonts w:asciiTheme="minorHAnsi" w:hAnsiTheme="minorHAnsi" w:cstheme="minorHAnsi"/>
          <w:color w:val="000000" w:themeColor="text1"/>
        </w:rPr>
        <w:t xml:space="preserve"> </w:t>
      </w:r>
    </w:p>
    <w:p w14:paraId="21EEDD33" w14:textId="59FAF1B4" w:rsidR="00CD2C4C" w:rsidRPr="00CD2C4C" w:rsidRDefault="00506CC7" w:rsidP="00506CC7">
      <w:r w:rsidRPr="00506CC7">
        <w:t>Statistics in the preceding section were referenced from the following reports:</w:t>
      </w:r>
    </w:p>
    <w:p w14:paraId="078B7C1C" w14:textId="59E06087" w:rsidR="00506CC7" w:rsidRPr="00CD2C4C" w:rsidRDefault="00000000" w:rsidP="00CD2C4C">
      <w:pPr>
        <w:pStyle w:val="ListParagraph"/>
        <w:numPr>
          <w:ilvl w:val="0"/>
          <w:numId w:val="28"/>
        </w:numPr>
        <w:rPr>
          <w:u w:val="thick"/>
        </w:rPr>
      </w:pPr>
      <w:hyperlink r:id="rId210" w:history="1">
        <w:r w:rsidR="00506CC7" w:rsidRPr="00506CC7">
          <w:rPr>
            <w:rStyle w:val="Hyperlink"/>
          </w:rPr>
          <w:t>“Dental health during pregnancy” by March of Dimes. Accessed June 21, 2023.</w:t>
        </w:r>
      </w:hyperlink>
      <w:r w:rsidR="00506CC7" w:rsidRPr="00506CC7">
        <w:t xml:space="preserve"> </w:t>
      </w:r>
    </w:p>
    <w:p w14:paraId="0D24FA58" w14:textId="5A035F89" w:rsidR="00506CC7" w:rsidRPr="00506CC7" w:rsidRDefault="00506CC7" w:rsidP="00CD2C4C">
      <w:pPr>
        <w:pStyle w:val="ListParagraph"/>
        <w:numPr>
          <w:ilvl w:val="0"/>
          <w:numId w:val="28"/>
        </w:numPr>
      </w:pPr>
      <w:r>
        <w:t>“</w:t>
      </w:r>
      <w:r w:rsidRPr="00506CC7">
        <w:t>Adverse pregnancy outcomes and periodontitis: A systematic review and meta-analysis exploring potential association</w:t>
      </w:r>
      <w:r>
        <w:t>” by</w:t>
      </w:r>
      <w:r w:rsidRPr="00506CC7">
        <w:t xml:space="preserve"> </w:t>
      </w:r>
      <w:proofErr w:type="spellStart"/>
      <w:r w:rsidRPr="00506CC7">
        <w:t>Corbella</w:t>
      </w:r>
      <w:proofErr w:type="spellEnd"/>
      <w:r w:rsidRPr="00506CC7">
        <w:t xml:space="preserve"> S, </w:t>
      </w:r>
      <w:proofErr w:type="spellStart"/>
      <w:r w:rsidRPr="00506CC7">
        <w:t>Taschieri</w:t>
      </w:r>
      <w:proofErr w:type="spellEnd"/>
      <w:r w:rsidRPr="00506CC7">
        <w:t xml:space="preserve"> S, Del </w:t>
      </w:r>
      <w:proofErr w:type="spellStart"/>
      <w:r w:rsidRPr="00506CC7">
        <w:t>Fabbro</w:t>
      </w:r>
      <w:proofErr w:type="spellEnd"/>
      <w:r w:rsidRPr="00506CC7">
        <w:t xml:space="preserve"> M, </w:t>
      </w:r>
      <w:proofErr w:type="spellStart"/>
      <w:r w:rsidRPr="00506CC7">
        <w:t>Francetti</w:t>
      </w:r>
      <w:proofErr w:type="spellEnd"/>
      <w:r w:rsidRPr="00506CC7">
        <w:t xml:space="preserve"> L, Weinstein R, </w:t>
      </w:r>
      <w:proofErr w:type="spellStart"/>
      <w:r w:rsidRPr="00506CC7">
        <w:t>Ferrazzi</w:t>
      </w:r>
      <w:proofErr w:type="spellEnd"/>
      <w:r w:rsidRPr="00506CC7">
        <w:t xml:space="preserve"> E. </w:t>
      </w:r>
      <w:r>
        <w:t xml:space="preserve">Published in </w:t>
      </w:r>
      <w:r w:rsidRPr="00506CC7">
        <w:t>Quintessence Int</w:t>
      </w:r>
      <w:r>
        <w:t>,</w:t>
      </w:r>
      <w:r w:rsidRPr="00506CC7">
        <w:t xml:space="preserve"> 2016</w:t>
      </w:r>
      <w:r>
        <w:t>. No hyperlink.</w:t>
      </w:r>
    </w:p>
    <w:p w14:paraId="5EA4AFF9" w14:textId="46FC0AEF" w:rsidR="00506CC7" w:rsidRPr="00506CC7" w:rsidRDefault="00506CC7" w:rsidP="00CD2C4C">
      <w:pPr>
        <w:pStyle w:val="ListParagraph"/>
        <w:numPr>
          <w:ilvl w:val="0"/>
          <w:numId w:val="28"/>
        </w:numPr>
      </w:pPr>
      <w:r>
        <w:t>“</w:t>
      </w:r>
      <w:r w:rsidRPr="00506CC7">
        <w:t>Oral care in pregnancy</w:t>
      </w:r>
      <w:r>
        <w:t>” by</w:t>
      </w:r>
      <w:r w:rsidRPr="00506CC7">
        <w:t xml:space="preserve"> </w:t>
      </w:r>
      <w:proofErr w:type="spellStart"/>
      <w:r w:rsidRPr="00506CC7">
        <w:t>Yenen</w:t>
      </w:r>
      <w:proofErr w:type="spellEnd"/>
      <w:r w:rsidRPr="00506CC7">
        <w:t xml:space="preserve"> Z, </w:t>
      </w:r>
      <w:proofErr w:type="spellStart"/>
      <w:r w:rsidRPr="00506CC7">
        <w:t>Ataçağ</w:t>
      </w:r>
      <w:proofErr w:type="spellEnd"/>
      <w:r w:rsidRPr="00506CC7">
        <w:t xml:space="preserve"> T.</w:t>
      </w:r>
      <w:r>
        <w:t xml:space="preserve"> Published in</w:t>
      </w:r>
      <w:r w:rsidRPr="00506CC7">
        <w:t xml:space="preserve"> J Turk Ger </w:t>
      </w:r>
      <w:proofErr w:type="spellStart"/>
      <w:r w:rsidRPr="00506CC7">
        <w:t>Gynecol</w:t>
      </w:r>
      <w:proofErr w:type="spellEnd"/>
      <w:r w:rsidRPr="00506CC7">
        <w:t xml:space="preserve"> Assoc</w:t>
      </w:r>
      <w:r>
        <w:t xml:space="preserve">., </w:t>
      </w:r>
      <w:r w:rsidRPr="00506CC7">
        <w:t>2019</w:t>
      </w:r>
      <w:r>
        <w:t>. No hyperlink.</w:t>
      </w:r>
    </w:p>
    <w:p w14:paraId="6EFFD186" w14:textId="78B0D55B" w:rsidR="00506CC7" w:rsidRPr="00506CC7" w:rsidRDefault="00506CC7" w:rsidP="00CD2C4C">
      <w:pPr>
        <w:pStyle w:val="ListParagraph"/>
        <w:numPr>
          <w:ilvl w:val="0"/>
          <w:numId w:val="28"/>
        </w:numPr>
      </w:pPr>
      <w:r>
        <w:t>“</w:t>
      </w:r>
      <w:r w:rsidRPr="00506CC7">
        <w:t>Barriers and facilitators to dental care during pregnancy: a systematic review and meta-synthesis of qualitative studies</w:t>
      </w:r>
      <w:r>
        <w:t>” by</w:t>
      </w:r>
      <w:r w:rsidRPr="00506CC7">
        <w:t xml:space="preserve"> Rocha JS, Arima L, </w:t>
      </w:r>
      <w:proofErr w:type="spellStart"/>
      <w:r w:rsidRPr="00506CC7">
        <w:t>Chibinski</w:t>
      </w:r>
      <w:proofErr w:type="spellEnd"/>
      <w:r w:rsidRPr="00506CC7">
        <w:t xml:space="preserve"> AC, Werneck RI, </w:t>
      </w:r>
      <w:proofErr w:type="spellStart"/>
      <w:r w:rsidRPr="00506CC7">
        <w:t>Moysés</w:t>
      </w:r>
      <w:proofErr w:type="spellEnd"/>
      <w:r w:rsidRPr="00506CC7">
        <w:t xml:space="preserve"> SJ, </w:t>
      </w:r>
      <w:proofErr w:type="spellStart"/>
      <w:r w:rsidRPr="00506CC7">
        <w:t>Baldani</w:t>
      </w:r>
      <w:proofErr w:type="spellEnd"/>
      <w:r w:rsidRPr="00506CC7">
        <w:t xml:space="preserve"> MH. </w:t>
      </w:r>
      <w:r>
        <w:t xml:space="preserve">Published by </w:t>
      </w:r>
      <w:r w:rsidRPr="00506CC7">
        <w:t xml:space="preserve">Cad </w:t>
      </w:r>
      <w:proofErr w:type="spellStart"/>
      <w:r w:rsidRPr="00506CC7">
        <w:t>Saude</w:t>
      </w:r>
      <w:proofErr w:type="spellEnd"/>
      <w:r w:rsidRPr="00506CC7">
        <w:t xml:space="preserve"> Publica</w:t>
      </w:r>
      <w:r>
        <w:t>,</w:t>
      </w:r>
      <w:r w:rsidRPr="00506CC7">
        <w:t xml:space="preserve"> 2018</w:t>
      </w:r>
      <w:r>
        <w:t xml:space="preserve">. No hyperlink. </w:t>
      </w:r>
    </w:p>
    <w:p w14:paraId="585080C9" w14:textId="77777777" w:rsidR="00506CC7" w:rsidRDefault="00506CC7" w:rsidP="00506CC7"/>
    <w:p w14:paraId="23EBF7F4" w14:textId="068DC62C" w:rsidR="00506CC7" w:rsidRPr="00506CC7" w:rsidRDefault="00506CC7" w:rsidP="00506CC7">
      <w:pPr>
        <w:pStyle w:val="Heading3"/>
      </w:pPr>
      <w:bookmarkStart w:id="455" w:name="_Toc162267300"/>
      <w:r w:rsidRPr="00506CC7">
        <w:t>Behavioral Health</w:t>
      </w:r>
      <w:r>
        <w:t>: Mental Health</w:t>
      </w:r>
      <w:bookmarkEnd w:id="455"/>
    </w:p>
    <w:p w14:paraId="47CAB3D2" w14:textId="2EFEE818" w:rsidR="00506CC7" w:rsidRPr="00506CC7" w:rsidRDefault="00506CC7" w:rsidP="00506CC7">
      <w:r w:rsidRPr="00506CC7">
        <w:t>Mental health conditions are one of the leading causes of pregnancy-related deaths in the US and in SC. Being mentally healthy is an important part of planning for pregnancy. However, mental health conditions such as depression are common among women of reproductive age before, during and after pregnancy. Women of all ages, whether they are planning on being pregnant or not, should talk to their healthcare provider about counseling or other treatments if they think they may suffer from depression or other mental health conditions.</w:t>
      </w:r>
    </w:p>
    <w:p w14:paraId="1C167986" w14:textId="77777777" w:rsidR="00506CC7" w:rsidRDefault="00506CC7" w:rsidP="00506CC7"/>
    <w:p w14:paraId="5DEC220E" w14:textId="796112AD" w:rsidR="00506CC7" w:rsidRDefault="00506CC7" w:rsidP="00506CC7">
      <w:pPr>
        <w:rPr>
          <w:b/>
          <w:bCs/>
        </w:rPr>
      </w:pPr>
      <w:r w:rsidRPr="00506CC7">
        <w:t>Risk factors for developing depression during or after pregnancy include personal or family history of depression, having a difficult or complex pregnancy, having an unplanned pregnancy, and experiencing interpersonal or financial stressors. Maternal depression can affect the health of infants as well. Left untreated, mothers experiencing depression may be less motivated to care for themselves and their developing babies during pregnancy, and may find it hard to bond with and properly care for a newborn.</w:t>
      </w:r>
    </w:p>
    <w:p w14:paraId="0D223DA4" w14:textId="77777777" w:rsidR="00506CC7" w:rsidRDefault="00506CC7" w:rsidP="00506CC7">
      <w:pPr>
        <w:pStyle w:val="Heading4"/>
        <w:rPr>
          <w:rFonts w:asciiTheme="minorHAnsi" w:hAnsiTheme="minorHAnsi" w:cstheme="minorHAnsi"/>
          <w:color w:val="000000" w:themeColor="text1"/>
        </w:rPr>
      </w:pPr>
    </w:p>
    <w:p w14:paraId="1112B8FD" w14:textId="77777777" w:rsidR="00576857" w:rsidRDefault="00576857" w:rsidP="00576857">
      <w:pPr>
        <w:pStyle w:val="Heading4"/>
      </w:pPr>
      <w:bookmarkStart w:id="456" w:name="_Toc154576416"/>
      <w:bookmarkStart w:id="457" w:name="_Toc162267301"/>
      <w:r>
        <w:t>Figure 7.19: Prevalence of Depression among Women 18-44, by Race/Ethnicity.</w:t>
      </w:r>
      <w:bookmarkEnd w:id="456"/>
      <w:bookmarkEnd w:id="457"/>
    </w:p>
    <w:tbl>
      <w:tblPr>
        <w:tblStyle w:val="TableGrid"/>
        <w:tblW w:w="0" w:type="auto"/>
        <w:tblLook w:val="04A0" w:firstRow="1" w:lastRow="0" w:firstColumn="1" w:lastColumn="0" w:noHBand="0" w:noVBand="1"/>
      </w:tblPr>
      <w:tblGrid>
        <w:gridCol w:w="1558"/>
        <w:gridCol w:w="1558"/>
        <w:gridCol w:w="1558"/>
        <w:gridCol w:w="1558"/>
        <w:gridCol w:w="1559"/>
        <w:gridCol w:w="1559"/>
      </w:tblGrid>
      <w:tr w:rsidR="00576857" w14:paraId="387AABA8" w14:textId="77777777" w:rsidTr="001515D5">
        <w:tc>
          <w:tcPr>
            <w:tcW w:w="1558" w:type="dxa"/>
            <w:vAlign w:val="bottom"/>
          </w:tcPr>
          <w:p w14:paraId="164F6BF3" w14:textId="77777777" w:rsidR="00576857" w:rsidRPr="005976A3" w:rsidRDefault="00576857" w:rsidP="001515D5">
            <w:r>
              <w:t>Year</w:t>
            </w:r>
          </w:p>
        </w:tc>
        <w:tc>
          <w:tcPr>
            <w:tcW w:w="1558" w:type="dxa"/>
            <w:vAlign w:val="bottom"/>
          </w:tcPr>
          <w:p w14:paraId="7FECF8EE" w14:textId="77777777" w:rsidR="00576857" w:rsidRPr="005976A3" w:rsidRDefault="00576857" w:rsidP="001515D5">
            <w:r w:rsidRPr="005976A3">
              <w:t>South Carolina</w:t>
            </w:r>
          </w:p>
        </w:tc>
        <w:tc>
          <w:tcPr>
            <w:tcW w:w="1558" w:type="dxa"/>
            <w:vAlign w:val="bottom"/>
          </w:tcPr>
          <w:p w14:paraId="4116B062" w14:textId="77777777" w:rsidR="00576857" w:rsidRPr="005976A3" w:rsidRDefault="00576857" w:rsidP="001515D5">
            <w:r w:rsidRPr="005976A3">
              <w:t>Non-Hispanic White</w:t>
            </w:r>
          </w:p>
        </w:tc>
        <w:tc>
          <w:tcPr>
            <w:tcW w:w="1558" w:type="dxa"/>
            <w:vAlign w:val="bottom"/>
          </w:tcPr>
          <w:p w14:paraId="1E796510" w14:textId="77777777" w:rsidR="00576857" w:rsidRPr="005976A3" w:rsidRDefault="00576857" w:rsidP="001515D5">
            <w:r w:rsidRPr="005976A3">
              <w:t>Non-Hispanic Black</w:t>
            </w:r>
          </w:p>
        </w:tc>
        <w:tc>
          <w:tcPr>
            <w:tcW w:w="1559" w:type="dxa"/>
            <w:vAlign w:val="bottom"/>
          </w:tcPr>
          <w:p w14:paraId="3226D8E7" w14:textId="77777777" w:rsidR="00576857" w:rsidRPr="005976A3" w:rsidRDefault="00576857" w:rsidP="001515D5">
            <w:r w:rsidRPr="005976A3">
              <w:t>Hispanic</w:t>
            </w:r>
          </w:p>
        </w:tc>
        <w:tc>
          <w:tcPr>
            <w:tcW w:w="1559" w:type="dxa"/>
            <w:vAlign w:val="bottom"/>
          </w:tcPr>
          <w:p w14:paraId="175BD157" w14:textId="77777777" w:rsidR="00576857" w:rsidRPr="005976A3" w:rsidRDefault="00576857" w:rsidP="001515D5">
            <w:r w:rsidRPr="005976A3">
              <w:t xml:space="preserve">Non-Hispanic Other (includes </w:t>
            </w:r>
            <w:r w:rsidRPr="005976A3">
              <w:lastRenderedPageBreak/>
              <w:t>multi-racial)</w:t>
            </w:r>
          </w:p>
        </w:tc>
      </w:tr>
      <w:tr w:rsidR="00576857" w14:paraId="6645CB83" w14:textId="77777777" w:rsidTr="001515D5">
        <w:tc>
          <w:tcPr>
            <w:tcW w:w="1558" w:type="dxa"/>
            <w:vAlign w:val="bottom"/>
          </w:tcPr>
          <w:p w14:paraId="55181695" w14:textId="77777777" w:rsidR="00576857" w:rsidRPr="005976A3" w:rsidRDefault="00576857" w:rsidP="001515D5">
            <w:r w:rsidRPr="005976A3">
              <w:lastRenderedPageBreak/>
              <w:t>2019-2021</w:t>
            </w:r>
          </w:p>
        </w:tc>
        <w:tc>
          <w:tcPr>
            <w:tcW w:w="1558" w:type="dxa"/>
            <w:vAlign w:val="bottom"/>
          </w:tcPr>
          <w:p w14:paraId="18274812" w14:textId="77777777" w:rsidR="00576857" w:rsidRPr="005976A3" w:rsidRDefault="00576857" w:rsidP="001515D5">
            <w:r w:rsidRPr="005976A3">
              <w:t>29.3%</w:t>
            </w:r>
          </w:p>
        </w:tc>
        <w:tc>
          <w:tcPr>
            <w:tcW w:w="1558" w:type="dxa"/>
            <w:vAlign w:val="bottom"/>
          </w:tcPr>
          <w:p w14:paraId="36048A45" w14:textId="77777777" w:rsidR="00576857" w:rsidRPr="005976A3" w:rsidRDefault="00576857" w:rsidP="001515D5">
            <w:r w:rsidRPr="005976A3">
              <w:t>37.2%</w:t>
            </w:r>
          </w:p>
        </w:tc>
        <w:tc>
          <w:tcPr>
            <w:tcW w:w="1558" w:type="dxa"/>
            <w:vAlign w:val="bottom"/>
          </w:tcPr>
          <w:p w14:paraId="67394797" w14:textId="77777777" w:rsidR="00576857" w:rsidRPr="005976A3" w:rsidRDefault="00576857" w:rsidP="001515D5">
            <w:r w:rsidRPr="005976A3">
              <w:t>17.0%</w:t>
            </w:r>
          </w:p>
        </w:tc>
        <w:tc>
          <w:tcPr>
            <w:tcW w:w="1559" w:type="dxa"/>
            <w:vAlign w:val="bottom"/>
          </w:tcPr>
          <w:p w14:paraId="1B7C537C" w14:textId="77777777" w:rsidR="00576857" w:rsidRPr="005976A3" w:rsidRDefault="00576857" w:rsidP="001515D5">
            <w:r w:rsidRPr="005976A3">
              <w:t>16.6%</w:t>
            </w:r>
          </w:p>
        </w:tc>
        <w:tc>
          <w:tcPr>
            <w:tcW w:w="1559" w:type="dxa"/>
            <w:vAlign w:val="bottom"/>
          </w:tcPr>
          <w:p w14:paraId="0B9B778B" w14:textId="77777777" w:rsidR="00576857" w:rsidRPr="005976A3" w:rsidRDefault="00576857" w:rsidP="001515D5">
            <w:r w:rsidRPr="005976A3">
              <w:t>30.3%</w:t>
            </w:r>
          </w:p>
        </w:tc>
      </w:tr>
    </w:tbl>
    <w:p w14:paraId="1E9D4D63" w14:textId="77777777" w:rsidR="00576857" w:rsidRDefault="00576857" w:rsidP="00576857">
      <w:r w:rsidRPr="005976A3">
        <w:t>Source: SC BRFSS, 2019-2021.</w:t>
      </w:r>
    </w:p>
    <w:p w14:paraId="5AB9F51D" w14:textId="77777777" w:rsidR="00576857" w:rsidRDefault="00576857" w:rsidP="00576857"/>
    <w:p w14:paraId="13AE9EEB" w14:textId="77777777" w:rsidR="00576857" w:rsidRDefault="00576857" w:rsidP="00576857">
      <w:pPr>
        <w:pStyle w:val="Heading4"/>
      </w:pPr>
      <w:bookmarkStart w:id="458" w:name="_Toc154576417"/>
      <w:bookmarkStart w:id="459" w:name="_Toc162267302"/>
      <w:r>
        <w:t>Figure 7.20: Prevalence of Depression During Pregnancy, by Year.</w:t>
      </w:r>
      <w:bookmarkEnd w:id="458"/>
      <w:bookmarkEnd w:id="459"/>
    </w:p>
    <w:tbl>
      <w:tblPr>
        <w:tblStyle w:val="TableGrid"/>
        <w:tblW w:w="0" w:type="auto"/>
        <w:tblLook w:val="04A0" w:firstRow="1" w:lastRow="0" w:firstColumn="1" w:lastColumn="0" w:noHBand="0" w:noVBand="1"/>
      </w:tblPr>
      <w:tblGrid>
        <w:gridCol w:w="4675"/>
        <w:gridCol w:w="4675"/>
      </w:tblGrid>
      <w:tr w:rsidR="00576857" w14:paraId="42E81CDC" w14:textId="77777777" w:rsidTr="001515D5">
        <w:tc>
          <w:tcPr>
            <w:tcW w:w="4675" w:type="dxa"/>
            <w:vAlign w:val="bottom"/>
          </w:tcPr>
          <w:p w14:paraId="2D134995" w14:textId="77777777" w:rsidR="00576857" w:rsidRPr="000B2673" w:rsidRDefault="00576857" w:rsidP="001515D5">
            <w:r w:rsidRPr="000B2673">
              <w:t>Year</w:t>
            </w:r>
          </w:p>
        </w:tc>
        <w:tc>
          <w:tcPr>
            <w:tcW w:w="4675" w:type="dxa"/>
            <w:vAlign w:val="bottom"/>
          </w:tcPr>
          <w:p w14:paraId="57FA930C" w14:textId="77777777" w:rsidR="00576857" w:rsidRPr="000B2673" w:rsidRDefault="00576857" w:rsidP="001515D5">
            <w:r>
              <w:t>Percent</w:t>
            </w:r>
          </w:p>
        </w:tc>
      </w:tr>
      <w:tr w:rsidR="00576857" w14:paraId="655BCFF9" w14:textId="77777777" w:rsidTr="001515D5">
        <w:tc>
          <w:tcPr>
            <w:tcW w:w="4675" w:type="dxa"/>
            <w:vAlign w:val="bottom"/>
          </w:tcPr>
          <w:p w14:paraId="5DA7F42B" w14:textId="77777777" w:rsidR="00576857" w:rsidRPr="000B2673" w:rsidRDefault="00576857" w:rsidP="001515D5">
            <w:r w:rsidRPr="000B2673">
              <w:t>2017</w:t>
            </w:r>
          </w:p>
        </w:tc>
        <w:tc>
          <w:tcPr>
            <w:tcW w:w="4675" w:type="dxa"/>
            <w:vAlign w:val="bottom"/>
          </w:tcPr>
          <w:p w14:paraId="0F4F0412" w14:textId="77777777" w:rsidR="00576857" w:rsidRPr="005976A3" w:rsidRDefault="00576857" w:rsidP="001515D5">
            <w:r w:rsidRPr="005976A3">
              <w:t>14.9%</w:t>
            </w:r>
          </w:p>
        </w:tc>
      </w:tr>
      <w:tr w:rsidR="00576857" w14:paraId="3AA5A282" w14:textId="77777777" w:rsidTr="001515D5">
        <w:tc>
          <w:tcPr>
            <w:tcW w:w="4675" w:type="dxa"/>
            <w:vAlign w:val="bottom"/>
          </w:tcPr>
          <w:p w14:paraId="0E466E75" w14:textId="77777777" w:rsidR="00576857" w:rsidRPr="000B2673" w:rsidRDefault="00576857" w:rsidP="001515D5">
            <w:r w:rsidRPr="000B2673">
              <w:t>2018</w:t>
            </w:r>
          </w:p>
        </w:tc>
        <w:tc>
          <w:tcPr>
            <w:tcW w:w="4675" w:type="dxa"/>
            <w:vAlign w:val="bottom"/>
          </w:tcPr>
          <w:p w14:paraId="3F0840AA" w14:textId="77777777" w:rsidR="00576857" w:rsidRPr="005976A3" w:rsidRDefault="00576857" w:rsidP="001515D5">
            <w:r w:rsidRPr="005976A3">
              <w:t>13.0%</w:t>
            </w:r>
          </w:p>
        </w:tc>
      </w:tr>
      <w:tr w:rsidR="00576857" w14:paraId="3A25FDF1" w14:textId="77777777" w:rsidTr="001515D5">
        <w:tc>
          <w:tcPr>
            <w:tcW w:w="4675" w:type="dxa"/>
            <w:vAlign w:val="bottom"/>
          </w:tcPr>
          <w:p w14:paraId="7F582C84" w14:textId="77777777" w:rsidR="00576857" w:rsidRPr="000B2673" w:rsidRDefault="00576857" w:rsidP="001515D5">
            <w:r w:rsidRPr="000B2673">
              <w:t>2019</w:t>
            </w:r>
          </w:p>
        </w:tc>
        <w:tc>
          <w:tcPr>
            <w:tcW w:w="4675" w:type="dxa"/>
            <w:vAlign w:val="bottom"/>
          </w:tcPr>
          <w:p w14:paraId="74B0B53E" w14:textId="77777777" w:rsidR="00576857" w:rsidRPr="005976A3" w:rsidRDefault="00576857" w:rsidP="001515D5">
            <w:r w:rsidRPr="005976A3">
              <w:t>17.2%</w:t>
            </w:r>
          </w:p>
        </w:tc>
      </w:tr>
      <w:tr w:rsidR="00576857" w14:paraId="23CF8AD1" w14:textId="77777777" w:rsidTr="001515D5">
        <w:tc>
          <w:tcPr>
            <w:tcW w:w="4675" w:type="dxa"/>
            <w:vAlign w:val="bottom"/>
          </w:tcPr>
          <w:p w14:paraId="5E8BC81D" w14:textId="77777777" w:rsidR="00576857" w:rsidRPr="000B2673" w:rsidRDefault="00576857" w:rsidP="001515D5">
            <w:r w:rsidRPr="000B2673">
              <w:t>2020</w:t>
            </w:r>
          </w:p>
        </w:tc>
        <w:tc>
          <w:tcPr>
            <w:tcW w:w="4675" w:type="dxa"/>
            <w:vAlign w:val="bottom"/>
          </w:tcPr>
          <w:p w14:paraId="3388D7E7" w14:textId="77777777" w:rsidR="00576857" w:rsidRPr="005976A3" w:rsidRDefault="00576857" w:rsidP="001515D5">
            <w:r w:rsidRPr="005976A3">
              <w:t>15.6%</w:t>
            </w:r>
          </w:p>
        </w:tc>
      </w:tr>
      <w:tr w:rsidR="00576857" w14:paraId="642F73F8" w14:textId="77777777" w:rsidTr="001515D5">
        <w:tc>
          <w:tcPr>
            <w:tcW w:w="4675" w:type="dxa"/>
            <w:vAlign w:val="bottom"/>
          </w:tcPr>
          <w:p w14:paraId="6C0D3BDB" w14:textId="77777777" w:rsidR="00576857" w:rsidRPr="000B2673" w:rsidRDefault="00576857" w:rsidP="001515D5">
            <w:r w:rsidRPr="000B2673">
              <w:t>2021</w:t>
            </w:r>
          </w:p>
        </w:tc>
        <w:tc>
          <w:tcPr>
            <w:tcW w:w="4675" w:type="dxa"/>
            <w:vAlign w:val="bottom"/>
          </w:tcPr>
          <w:p w14:paraId="52BE28C8" w14:textId="77777777" w:rsidR="00576857" w:rsidRPr="005976A3" w:rsidRDefault="00576857" w:rsidP="001515D5">
            <w:r w:rsidRPr="005976A3">
              <w:t>18.9%</w:t>
            </w:r>
          </w:p>
        </w:tc>
      </w:tr>
    </w:tbl>
    <w:p w14:paraId="0B80DFD7" w14:textId="77777777" w:rsidR="00576857" w:rsidRDefault="00576857" w:rsidP="00576857">
      <w:r w:rsidRPr="000B2673">
        <w:t>Source: South Carolina Pregnancy Risk Assessment Monitoring System (PRAMS</w:t>
      </w:r>
      <w:r>
        <w:t>).</w:t>
      </w:r>
    </w:p>
    <w:p w14:paraId="44234579" w14:textId="77777777" w:rsidR="00506CC7" w:rsidRDefault="00506CC7" w:rsidP="00506CC7"/>
    <w:p w14:paraId="5F65ED34" w14:textId="77777777" w:rsidR="00506CC7" w:rsidRDefault="00506CC7" w:rsidP="00506CC7">
      <w:pPr>
        <w:pStyle w:val="Heading4"/>
      </w:pPr>
      <w:bookmarkStart w:id="460" w:name="_Toc162267303"/>
      <w:r w:rsidRPr="00506CC7">
        <w:t>Data Interpretations:</w:t>
      </w:r>
      <w:bookmarkEnd w:id="460"/>
      <w:r w:rsidRPr="00506CC7">
        <w:t xml:space="preserve"> </w:t>
      </w:r>
    </w:p>
    <w:p w14:paraId="3346C9A4" w14:textId="70AAB16F" w:rsidR="00506CC7" w:rsidRPr="00506CC7" w:rsidRDefault="00506CC7" w:rsidP="00506CC7">
      <w:r w:rsidRPr="00506CC7">
        <w:t>In SC, 29.3% of women ages 18-44 reported having depression, and this was highest among non-Hispanic White women (37.2%) (</w:t>
      </w:r>
      <w:r w:rsidRPr="00506CC7">
        <w:rPr>
          <w:b/>
          <w:bCs/>
        </w:rPr>
        <w:t>Figure 7.19</w:t>
      </w:r>
      <w:r w:rsidRPr="00506CC7">
        <w:t>). Additionally, the prevalence of depression during pregnancy is increasing over time, from 14.9% of new mothers reporting having depression during pregnancy in 2017 to 18.9% in 2021 (</w:t>
      </w:r>
      <w:r w:rsidRPr="00506CC7">
        <w:rPr>
          <w:b/>
          <w:bCs/>
        </w:rPr>
        <w:t>Figure 7.20</w:t>
      </w:r>
      <w:r w:rsidRPr="00506CC7">
        <w:t xml:space="preserve">). </w:t>
      </w:r>
    </w:p>
    <w:p w14:paraId="136D7E7E" w14:textId="77777777" w:rsidR="00506CC7" w:rsidRDefault="00506CC7" w:rsidP="00506CC7"/>
    <w:p w14:paraId="78530554" w14:textId="77777777" w:rsidR="00506CC7" w:rsidRDefault="00506CC7" w:rsidP="00506CC7">
      <w:pPr>
        <w:pStyle w:val="Heading5"/>
      </w:pPr>
      <w:r>
        <w:t xml:space="preserve">Key Takeaways: </w:t>
      </w:r>
    </w:p>
    <w:p w14:paraId="37553975" w14:textId="298BEEC0" w:rsidR="00506CC7" w:rsidRPr="00506CC7" w:rsidRDefault="00506CC7" w:rsidP="00926EB3">
      <w:pPr>
        <w:pStyle w:val="ListParagraph"/>
        <w:numPr>
          <w:ilvl w:val="0"/>
          <w:numId w:val="220"/>
        </w:numPr>
      </w:pPr>
      <w:r w:rsidRPr="00506CC7">
        <w:t>In SC, 29% of women 18-44 reported having depression, and this was highest among non-Hispanic White women.</w:t>
      </w:r>
    </w:p>
    <w:p w14:paraId="1CFE0D80" w14:textId="77777777" w:rsidR="00506CC7" w:rsidRPr="00506CC7" w:rsidRDefault="00506CC7" w:rsidP="00506CC7"/>
    <w:p w14:paraId="29CE8F36" w14:textId="425F9A9E" w:rsidR="00506CC7" w:rsidRPr="00506CC7" w:rsidRDefault="00506CC7" w:rsidP="00506CC7">
      <w:pPr>
        <w:pStyle w:val="Heading4"/>
        <w:rPr>
          <w:rFonts w:asciiTheme="minorHAnsi" w:hAnsiTheme="minorHAnsi" w:cstheme="minorHAnsi"/>
          <w:color w:val="000000" w:themeColor="text1"/>
        </w:rPr>
      </w:pPr>
      <w:bookmarkStart w:id="461" w:name="_Toc162267304"/>
      <w:r w:rsidRPr="00506CC7">
        <w:rPr>
          <w:rFonts w:asciiTheme="minorHAnsi" w:hAnsiTheme="minorHAnsi" w:cstheme="minorHAnsi"/>
          <w:color w:val="000000" w:themeColor="text1"/>
        </w:rPr>
        <w:t>References 7.</w:t>
      </w:r>
      <w:r>
        <w:rPr>
          <w:rFonts w:asciiTheme="minorHAnsi" w:hAnsiTheme="minorHAnsi" w:cstheme="minorHAnsi"/>
          <w:color w:val="000000" w:themeColor="text1"/>
        </w:rPr>
        <w:t>10</w:t>
      </w:r>
      <w:bookmarkEnd w:id="461"/>
      <w:r w:rsidRPr="00506CC7">
        <w:rPr>
          <w:rFonts w:asciiTheme="minorHAnsi" w:hAnsiTheme="minorHAnsi" w:cstheme="minorHAnsi"/>
          <w:color w:val="000000" w:themeColor="text1"/>
        </w:rPr>
        <w:t xml:space="preserve"> </w:t>
      </w:r>
    </w:p>
    <w:p w14:paraId="20EAD828" w14:textId="77777777" w:rsidR="00506CC7" w:rsidRPr="00506CC7" w:rsidRDefault="00506CC7" w:rsidP="00506CC7">
      <w:pPr>
        <w:rPr>
          <w:i/>
          <w:iCs/>
        </w:rPr>
      </w:pPr>
      <w:r w:rsidRPr="00506CC7">
        <w:t>Statistics in the preceding section were referenced from the following reports:</w:t>
      </w:r>
    </w:p>
    <w:p w14:paraId="6C1715B4" w14:textId="6A956AF7" w:rsidR="00506CC7" w:rsidRPr="00506CC7" w:rsidRDefault="00000000" w:rsidP="00926EB3">
      <w:pPr>
        <w:pStyle w:val="ListParagraph"/>
        <w:numPr>
          <w:ilvl w:val="0"/>
          <w:numId w:val="31"/>
        </w:numPr>
        <w:rPr>
          <w:u w:val="thick"/>
        </w:rPr>
      </w:pPr>
      <w:hyperlink r:id="rId211" w:history="1">
        <w:r w:rsidR="00506CC7" w:rsidRPr="00506CC7">
          <w:rPr>
            <w:rStyle w:val="Hyperlink"/>
          </w:rPr>
          <w:t>“Committee SCMM and MR” Legislative brief. Published online 2022 by South Carolina State Government. Accessed June 21, 2023.</w:t>
        </w:r>
      </w:hyperlink>
      <w:r w:rsidR="00506CC7" w:rsidRPr="00506CC7">
        <w:t xml:space="preserve"> </w:t>
      </w:r>
    </w:p>
    <w:p w14:paraId="4CA893ED" w14:textId="7C8DC4A2" w:rsidR="00506CC7" w:rsidRPr="00506CC7" w:rsidRDefault="00000000" w:rsidP="00926EB3">
      <w:pPr>
        <w:pStyle w:val="ListParagraph"/>
        <w:numPr>
          <w:ilvl w:val="0"/>
          <w:numId w:val="31"/>
        </w:numPr>
        <w:rPr>
          <w:u w:val="thick"/>
        </w:rPr>
      </w:pPr>
      <w:hyperlink r:id="rId212" w:history="1">
        <w:r w:rsidR="00506CC7" w:rsidRPr="00506CC7">
          <w:rPr>
            <w:rStyle w:val="Hyperlink"/>
          </w:rPr>
          <w:t>“Women’s Reproductive Health” by CDC via cdc.gov. Accessed June 21, 2023.</w:t>
        </w:r>
      </w:hyperlink>
      <w:r w:rsidR="00506CC7" w:rsidRPr="00506CC7">
        <w:t xml:space="preserve"> </w:t>
      </w:r>
    </w:p>
    <w:p w14:paraId="7A3FB666" w14:textId="606C545F" w:rsidR="00506CC7" w:rsidRPr="00506CC7" w:rsidRDefault="00000000" w:rsidP="00926EB3">
      <w:pPr>
        <w:pStyle w:val="ListParagraph"/>
        <w:numPr>
          <w:ilvl w:val="0"/>
          <w:numId w:val="31"/>
        </w:numPr>
        <w:rPr>
          <w:u w:val="thick"/>
        </w:rPr>
      </w:pPr>
      <w:hyperlink r:id="rId213" w:history="1">
        <w:r w:rsidR="00506CC7" w:rsidRPr="00506CC7">
          <w:rPr>
            <w:rStyle w:val="Hyperlink"/>
          </w:rPr>
          <w:t>“Mom’s Mental Health Matters: Moms-to-be and Moms – NCMHEP” by NICHD - Eunice Kennedy Shriver National Institute of Child Health and Human Development. Accessed June 21, 2023.</w:t>
        </w:r>
      </w:hyperlink>
      <w:r w:rsidR="00506CC7" w:rsidRPr="00506CC7">
        <w:t xml:space="preserve"> </w:t>
      </w:r>
    </w:p>
    <w:p w14:paraId="794555F2" w14:textId="7FB4B97F" w:rsidR="00506CC7" w:rsidRPr="00506CC7" w:rsidRDefault="00000000" w:rsidP="00926EB3">
      <w:pPr>
        <w:pStyle w:val="ListParagraph"/>
        <w:numPr>
          <w:ilvl w:val="0"/>
          <w:numId w:val="31"/>
        </w:numPr>
        <w:rPr>
          <w:u w:val="thick"/>
        </w:rPr>
      </w:pPr>
      <w:hyperlink r:id="rId214" w:history="1">
        <w:r w:rsidR="00506CC7" w:rsidRPr="00506CC7">
          <w:rPr>
            <w:rStyle w:val="Hyperlink"/>
          </w:rPr>
          <w:t>“Depression During Pregnancy” published by the American Pregnancy Association. Accessed June 21, 2023.</w:t>
        </w:r>
      </w:hyperlink>
      <w:r w:rsidR="00506CC7" w:rsidRPr="00506CC7">
        <w:t xml:space="preserve"> </w:t>
      </w:r>
    </w:p>
    <w:p w14:paraId="73FF1E85" w14:textId="6A1607D0" w:rsidR="00506CC7" w:rsidRPr="00506CC7" w:rsidRDefault="00000000" w:rsidP="00926EB3">
      <w:pPr>
        <w:pStyle w:val="ListParagraph"/>
        <w:numPr>
          <w:ilvl w:val="0"/>
          <w:numId w:val="31"/>
        </w:numPr>
        <w:rPr>
          <w:u w:val="thick"/>
        </w:rPr>
      </w:pPr>
      <w:hyperlink r:id="rId215" w:history="1">
        <w:r w:rsidR="00506CC7" w:rsidRPr="00506CC7">
          <w:rPr>
            <w:rStyle w:val="Hyperlink"/>
          </w:rPr>
          <w:t>“Postpartum depression” published by March of Dimes. Accessed June 21, 2023.</w:t>
        </w:r>
      </w:hyperlink>
      <w:r w:rsidR="00506CC7" w:rsidRPr="00506CC7">
        <w:t xml:space="preserve"> </w:t>
      </w:r>
    </w:p>
    <w:p w14:paraId="1F7E6030" w14:textId="77777777" w:rsidR="00506CC7" w:rsidRDefault="00506CC7" w:rsidP="00506CC7"/>
    <w:p w14:paraId="78FA4A62" w14:textId="2D1A470F" w:rsidR="00506CC7" w:rsidRDefault="00506CC7" w:rsidP="00506CC7">
      <w:pPr>
        <w:pStyle w:val="Heading3"/>
      </w:pPr>
      <w:bookmarkStart w:id="462" w:name="_Toc162267305"/>
      <w:r>
        <w:t>Behavioral Health: Substance Use</w:t>
      </w:r>
      <w:bookmarkEnd w:id="462"/>
    </w:p>
    <w:p w14:paraId="508E77AC" w14:textId="6879697F" w:rsidR="00506CC7" w:rsidRPr="00506CC7" w:rsidRDefault="00506CC7" w:rsidP="00506CC7">
      <w:r w:rsidRPr="00506CC7">
        <w:t xml:space="preserve">Substance use during pregnancy, including alcohol, </w:t>
      </w:r>
      <w:proofErr w:type="gramStart"/>
      <w:r w:rsidRPr="00506CC7">
        <w:t>tobacco</w:t>
      </w:r>
      <w:proofErr w:type="gramEnd"/>
      <w:r w:rsidRPr="00506CC7">
        <w:t xml:space="preserve"> and drugs, can be detrimental to infant health. Consuming alcohol at any point in pregnancy is risky and increases the chances of birth defects, brain damage, developmental problems, low birthweight, premature birth, miscarriage, and stillbirth. These issues can develop early in pregnancy, often before a woman realizes she is pregnant. Tobacco and other e-cigarette products that contain nicotine have been linked to brain and lung damage in developing infants, and usage also increases risks of low birthweight, mouth and lip defects, and premature birth. Marijuana usage during pregnancy has been linked to low birthweight and abnormal neurological development in infants, which can affect impulsivity during adolescence. Prescription opioid use during pregnancy has been associated with increased chances of preterm birth, poor fetal growth, and stillbirth, as well as the chance of neonatal opioid withdrawal syndrome after birth. Avoiding use of substances during pregnancy and while actively trying to get pregnant is the best way to avoid negative outcomes, and raising awareness of the risks of substance use is key to prevention. </w:t>
      </w:r>
    </w:p>
    <w:p w14:paraId="0832A1DA" w14:textId="77777777" w:rsidR="00506CC7" w:rsidRDefault="00506CC7" w:rsidP="00506CC7"/>
    <w:p w14:paraId="2D218070" w14:textId="77777777" w:rsidR="00576857" w:rsidRDefault="00576857" w:rsidP="00576857">
      <w:pPr>
        <w:pStyle w:val="Heading4"/>
      </w:pPr>
      <w:bookmarkStart w:id="463" w:name="_Toc154576418"/>
      <w:bookmarkStart w:id="464" w:name="_Toc162267306"/>
      <w:r>
        <w:t xml:space="preserve">Figure 7.21: Prevalence of </w:t>
      </w:r>
      <w:r w:rsidRPr="00C12D03">
        <w:t>Ever Having a Problem with Alcohol or Drugs among Women 18-44, by Race/Ethnicity</w:t>
      </w:r>
      <w:r>
        <w:t>.</w:t>
      </w:r>
      <w:bookmarkEnd w:id="463"/>
      <w:bookmarkEnd w:id="464"/>
    </w:p>
    <w:tbl>
      <w:tblPr>
        <w:tblStyle w:val="TableGrid"/>
        <w:tblW w:w="0" w:type="auto"/>
        <w:tblLook w:val="04A0" w:firstRow="1" w:lastRow="0" w:firstColumn="1" w:lastColumn="0" w:noHBand="0" w:noVBand="1"/>
      </w:tblPr>
      <w:tblGrid>
        <w:gridCol w:w="1558"/>
        <w:gridCol w:w="1558"/>
        <w:gridCol w:w="1558"/>
        <w:gridCol w:w="1558"/>
        <w:gridCol w:w="1559"/>
        <w:gridCol w:w="1559"/>
      </w:tblGrid>
      <w:tr w:rsidR="00576857" w14:paraId="374D85E2" w14:textId="77777777" w:rsidTr="001515D5">
        <w:tc>
          <w:tcPr>
            <w:tcW w:w="1558" w:type="dxa"/>
            <w:vAlign w:val="bottom"/>
          </w:tcPr>
          <w:p w14:paraId="79490CCB" w14:textId="77777777" w:rsidR="00576857" w:rsidRPr="00C12D03" w:rsidRDefault="00576857" w:rsidP="001515D5">
            <w:r>
              <w:t>Year</w:t>
            </w:r>
          </w:p>
        </w:tc>
        <w:tc>
          <w:tcPr>
            <w:tcW w:w="1558" w:type="dxa"/>
            <w:vAlign w:val="bottom"/>
          </w:tcPr>
          <w:p w14:paraId="027CCC39" w14:textId="77777777" w:rsidR="00576857" w:rsidRPr="00C12D03" w:rsidRDefault="00576857" w:rsidP="001515D5">
            <w:r w:rsidRPr="00C12D03">
              <w:t>South Carolina</w:t>
            </w:r>
          </w:p>
        </w:tc>
        <w:tc>
          <w:tcPr>
            <w:tcW w:w="1558" w:type="dxa"/>
            <w:vAlign w:val="bottom"/>
          </w:tcPr>
          <w:p w14:paraId="08B35F95" w14:textId="77777777" w:rsidR="00576857" w:rsidRPr="00C12D03" w:rsidRDefault="00576857" w:rsidP="001515D5">
            <w:r w:rsidRPr="00C12D03">
              <w:t xml:space="preserve">  Hispanic</w:t>
            </w:r>
          </w:p>
        </w:tc>
        <w:tc>
          <w:tcPr>
            <w:tcW w:w="1558" w:type="dxa"/>
            <w:vAlign w:val="bottom"/>
          </w:tcPr>
          <w:p w14:paraId="6466856F" w14:textId="77777777" w:rsidR="00576857" w:rsidRPr="00C12D03" w:rsidRDefault="00576857" w:rsidP="001515D5">
            <w:r w:rsidRPr="00C12D03">
              <w:t xml:space="preserve">  Non-Hispanic Black</w:t>
            </w:r>
          </w:p>
        </w:tc>
        <w:tc>
          <w:tcPr>
            <w:tcW w:w="1559" w:type="dxa"/>
            <w:vAlign w:val="bottom"/>
          </w:tcPr>
          <w:p w14:paraId="4C19EDE6" w14:textId="77777777" w:rsidR="00576857" w:rsidRPr="00C12D03" w:rsidRDefault="00576857" w:rsidP="001515D5">
            <w:r w:rsidRPr="00C12D03">
              <w:t xml:space="preserve">  Non-Hispanic White</w:t>
            </w:r>
          </w:p>
        </w:tc>
        <w:tc>
          <w:tcPr>
            <w:tcW w:w="1559" w:type="dxa"/>
            <w:vAlign w:val="bottom"/>
          </w:tcPr>
          <w:p w14:paraId="19C86168" w14:textId="77777777" w:rsidR="00576857" w:rsidRPr="00C12D03" w:rsidRDefault="00576857" w:rsidP="001515D5">
            <w:r w:rsidRPr="00C12D03">
              <w:t xml:space="preserve">  Non-Hispanic Other (includes multi-racial)</w:t>
            </w:r>
          </w:p>
        </w:tc>
      </w:tr>
      <w:tr w:rsidR="00576857" w14:paraId="0B6F0E14" w14:textId="77777777" w:rsidTr="001515D5">
        <w:tc>
          <w:tcPr>
            <w:tcW w:w="1558" w:type="dxa"/>
            <w:vAlign w:val="bottom"/>
          </w:tcPr>
          <w:p w14:paraId="3416044C" w14:textId="77777777" w:rsidR="00576857" w:rsidRPr="00C12D03" w:rsidRDefault="00576857" w:rsidP="001515D5">
            <w:r w:rsidRPr="00C12D03">
              <w:t>2019-2021</w:t>
            </w:r>
          </w:p>
        </w:tc>
        <w:tc>
          <w:tcPr>
            <w:tcW w:w="1558" w:type="dxa"/>
            <w:vAlign w:val="bottom"/>
          </w:tcPr>
          <w:p w14:paraId="4BAF9F3E" w14:textId="77777777" w:rsidR="00576857" w:rsidRPr="00C12D03" w:rsidRDefault="00576857" w:rsidP="001515D5">
            <w:r w:rsidRPr="00C12D03">
              <w:t>10.2%</w:t>
            </w:r>
          </w:p>
        </w:tc>
        <w:tc>
          <w:tcPr>
            <w:tcW w:w="1558" w:type="dxa"/>
            <w:vAlign w:val="bottom"/>
          </w:tcPr>
          <w:p w14:paraId="2B7CD9E0" w14:textId="77777777" w:rsidR="00576857" w:rsidRPr="00C12D03" w:rsidRDefault="00576857" w:rsidP="001515D5">
            <w:r w:rsidRPr="00C12D03">
              <w:t>2.3%</w:t>
            </w:r>
          </w:p>
        </w:tc>
        <w:tc>
          <w:tcPr>
            <w:tcW w:w="1558" w:type="dxa"/>
            <w:vAlign w:val="bottom"/>
          </w:tcPr>
          <w:p w14:paraId="6FBF43BC" w14:textId="77777777" w:rsidR="00576857" w:rsidRPr="00C12D03" w:rsidRDefault="00576857" w:rsidP="001515D5">
            <w:r w:rsidRPr="00C12D03">
              <w:t>4.6%</w:t>
            </w:r>
          </w:p>
        </w:tc>
        <w:tc>
          <w:tcPr>
            <w:tcW w:w="1559" w:type="dxa"/>
            <w:vAlign w:val="bottom"/>
          </w:tcPr>
          <w:p w14:paraId="17966994" w14:textId="77777777" w:rsidR="00576857" w:rsidRPr="00C12D03" w:rsidRDefault="00576857" w:rsidP="001515D5">
            <w:r w:rsidRPr="00C12D03">
              <w:t>13.4%</w:t>
            </w:r>
          </w:p>
        </w:tc>
        <w:tc>
          <w:tcPr>
            <w:tcW w:w="1559" w:type="dxa"/>
            <w:vAlign w:val="bottom"/>
          </w:tcPr>
          <w:p w14:paraId="005D03FF" w14:textId="77777777" w:rsidR="00576857" w:rsidRPr="00C12D03" w:rsidRDefault="00576857" w:rsidP="001515D5">
            <w:r w:rsidRPr="00C12D03">
              <w:t>6.9%</w:t>
            </w:r>
          </w:p>
        </w:tc>
      </w:tr>
    </w:tbl>
    <w:p w14:paraId="3E7BD0D6" w14:textId="77777777" w:rsidR="00576857" w:rsidRDefault="00576857" w:rsidP="00576857">
      <w:r w:rsidRPr="00C12D03">
        <w:t>Source: SC BRFSS, 2019-2021.</w:t>
      </w:r>
    </w:p>
    <w:p w14:paraId="29E4252A" w14:textId="77777777" w:rsidR="00576857" w:rsidRPr="00C12D03" w:rsidRDefault="00576857" w:rsidP="00576857"/>
    <w:p w14:paraId="2F07731B" w14:textId="77777777" w:rsidR="00576857" w:rsidRDefault="00576857" w:rsidP="00576857">
      <w:pPr>
        <w:pStyle w:val="Heading4"/>
      </w:pPr>
      <w:bookmarkStart w:id="465" w:name="_Toc154576419"/>
      <w:bookmarkStart w:id="466" w:name="_Toc162267307"/>
      <w:r>
        <w:t>Figure 7.22: Prevalence of Currently</w:t>
      </w:r>
      <w:r w:rsidRPr="00C12D03">
        <w:t xml:space="preserve"> Having a Problem with Alcohol or Drugs among Women 18-44, by Race/Ethnicity</w:t>
      </w:r>
      <w:r>
        <w:t>.</w:t>
      </w:r>
      <w:bookmarkEnd w:id="465"/>
      <w:bookmarkEnd w:id="466"/>
    </w:p>
    <w:tbl>
      <w:tblPr>
        <w:tblStyle w:val="TableGrid"/>
        <w:tblW w:w="0" w:type="auto"/>
        <w:tblLook w:val="04A0" w:firstRow="1" w:lastRow="0" w:firstColumn="1" w:lastColumn="0" w:noHBand="0" w:noVBand="1"/>
      </w:tblPr>
      <w:tblGrid>
        <w:gridCol w:w="1558"/>
        <w:gridCol w:w="1558"/>
        <w:gridCol w:w="1558"/>
        <w:gridCol w:w="1558"/>
        <w:gridCol w:w="1559"/>
        <w:gridCol w:w="1559"/>
      </w:tblGrid>
      <w:tr w:rsidR="00576857" w14:paraId="262DB205" w14:textId="77777777" w:rsidTr="001515D5">
        <w:tc>
          <w:tcPr>
            <w:tcW w:w="1558" w:type="dxa"/>
            <w:vAlign w:val="bottom"/>
          </w:tcPr>
          <w:p w14:paraId="4BD7A767" w14:textId="77777777" w:rsidR="00576857" w:rsidRPr="00C12D03" w:rsidRDefault="00576857" w:rsidP="001515D5">
            <w:r>
              <w:t>Year</w:t>
            </w:r>
          </w:p>
        </w:tc>
        <w:tc>
          <w:tcPr>
            <w:tcW w:w="1558" w:type="dxa"/>
            <w:vAlign w:val="bottom"/>
          </w:tcPr>
          <w:p w14:paraId="2B3DF708" w14:textId="77777777" w:rsidR="00576857" w:rsidRPr="00C12D03" w:rsidRDefault="00576857" w:rsidP="001515D5">
            <w:r w:rsidRPr="00C12D03">
              <w:t>South Carolina</w:t>
            </w:r>
          </w:p>
        </w:tc>
        <w:tc>
          <w:tcPr>
            <w:tcW w:w="1558" w:type="dxa"/>
            <w:vAlign w:val="bottom"/>
          </w:tcPr>
          <w:p w14:paraId="033AB4DE" w14:textId="77777777" w:rsidR="00576857" w:rsidRPr="00C12D03" w:rsidRDefault="00576857" w:rsidP="001515D5">
            <w:r w:rsidRPr="00C12D03">
              <w:t xml:space="preserve">  Hispanic</w:t>
            </w:r>
          </w:p>
        </w:tc>
        <w:tc>
          <w:tcPr>
            <w:tcW w:w="1558" w:type="dxa"/>
            <w:vAlign w:val="bottom"/>
          </w:tcPr>
          <w:p w14:paraId="7E395CA5" w14:textId="77777777" w:rsidR="00576857" w:rsidRPr="00C12D03" w:rsidRDefault="00576857" w:rsidP="001515D5">
            <w:r w:rsidRPr="00C12D03">
              <w:t xml:space="preserve">  Non-Hispanic Black</w:t>
            </w:r>
          </w:p>
        </w:tc>
        <w:tc>
          <w:tcPr>
            <w:tcW w:w="1559" w:type="dxa"/>
            <w:vAlign w:val="bottom"/>
          </w:tcPr>
          <w:p w14:paraId="79A42864" w14:textId="77777777" w:rsidR="00576857" w:rsidRPr="00C12D03" w:rsidRDefault="00576857" w:rsidP="001515D5">
            <w:r w:rsidRPr="00C12D03">
              <w:t xml:space="preserve">  Non-Hispanic White</w:t>
            </w:r>
          </w:p>
        </w:tc>
        <w:tc>
          <w:tcPr>
            <w:tcW w:w="1559" w:type="dxa"/>
            <w:vAlign w:val="bottom"/>
          </w:tcPr>
          <w:p w14:paraId="29AE7E3D" w14:textId="77777777" w:rsidR="00576857" w:rsidRPr="00C12D03" w:rsidRDefault="00576857" w:rsidP="001515D5">
            <w:r w:rsidRPr="00C12D03">
              <w:t xml:space="preserve">  Non-Hispanic Other </w:t>
            </w:r>
            <w:r w:rsidRPr="00C12D03">
              <w:lastRenderedPageBreak/>
              <w:t>(includes multi-racial)</w:t>
            </w:r>
          </w:p>
        </w:tc>
      </w:tr>
      <w:tr w:rsidR="00576857" w14:paraId="3C7B23DD" w14:textId="77777777" w:rsidTr="001515D5">
        <w:tc>
          <w:tcPr>
            <w:tcW w:w="1558" w:type="dxa"/>
            <w:vAlign w:val="bottom"/>
          </w:tcPr>
          <w:p w14:paraId="421324B6" w14:textId="77777777" w:rsidR="00576857" w:rsidRPr="00C12D03" w:rsidRDefault="00576857" w:rsidP="001515D5">
            <w:r w:rsidRPr="00C12D03">
              <w:lastRenderedPageBreak/>
              <w:t>2019-2021</w:t>
            </w:r>
          </w:p>
        </w:tc>
        <w:tc>
          <w:tcPr>
            <w:tcW w:w="1558" w:type="dxa"/>
            <w:vAlign w:val="bottom"/>
          </w:tcPr>
          <w:p w14:paraId="73742B1D" w14:textId="77777777" w:rsidR="00576857" w:rsidRPr="00C12D03" w:rsidRDefault="00576857" w:rsidP="001515D5">
            <w:r w:rsidRPr="00C12D03">
              <w:t>1.5%</w:t>
            </w:r>
          </w:p>
        </w:tc>
        <w:tc>
          <w:tcPr>
            <w:tcW w:w="1558" w:type="dxa"/>
            <w:vAlign w:val="bottom"/>
          </w:tcPr>
          <w:p w14:paraId="4AA6DEF0" w14:textId="77777777" w:rsidR="00576857" w:rsidRPr="00C12D03" w:rsidRDefault="00576857" w:rsidP="001515D5">
            <w:r w:rsidRPr="00C12D03">
              <w:t>2.4%</w:t>
            </w:r>
          </w:p>
        </w:tc>
        <w:tc>
          <w:tcPr>
            <w:tcW w:w="1558" w:type="dxa"/>
            <w:vAlign w:val="bottom"/>
          </w:tcPr>
          <w:p w14:paraId="7EC36A23" w14:textId="77777777" w:rsidR="00576857" w:rsidRPr="00C12D03" w:rsidRDefault="00576857" w:rsidP="001515D5">
            <w:r w:rsidRPr="00C12D03">
              <w:t>0.4%</w:t>
            </w:r>
          </w:p>
        </w:tc>
        <w:tc>
          <w:tcPr>
            <w:tcW w:w="1559" w:type="dxa"/>
            <w:vAlign w:val="bottom"/>
          </w:tcPr>
          <w:p w14:paraId="29CBAF76" w14:textId="77777777" w:rsidR="00576857" w:rsidRPr="00C12D03" w:rsidRDefault="00576857" w:rsidP="001515D5">
            <w:r w:rsidRPr="00C12D03">
              <w:t>2.8%</w:t>
            </w:r>
          </w:p>
        </w:tc>
        <w:tc>
          <w:tcPr>
            <w:tcW w:w="1559" w:type="dxa"/>
            <w:vAlign w:val="bottom"/>
          </w:tcPr>
          <w:p w14:paraId="0617072E" w14:textId="77777777" w:rsidR="00576857" w:rsidRPr="00C12D03" w:rsidRDefault="00576857" w:rsidP="001515D5">
            <w:r w:rsidRPr="00C12D03">
              <w:t>2.2%</w:t>
            </w:r>
          </w:p>
        </w:tc>
      </w:tr>
    </w:tbl>
    <w:p w14:paraId="5B1B98F2" w14:textId="77777777" w:rsidR="00576857" w:rsidRDefault="00576857" w:rsidP="00576857">
      <w:r w:rsidRPr="00C12D03">
        <w:t>Source: SC BRFSS, 2019-2021.</w:t>
      </w:r>
    </w:p>
    <w:p w14:paraId="3223E63C" w14:textId="77777777" w:rsidR="00576857" w:rsidRPr="00C12D03" w:rsidRDefault="00576857" w:rsidP="00576857"/>
    <w:p w14:paraId="4CC75694" w14:textId="77777777" w:rsidR="00576857" w:rsidRDefault="00576857" w:rsidP="00576857">
      <w:pPr>
        <w:pStyle w:val="Heading4"/>
      </w:pPr>
      <w:bookmarkStart w:id="467" w:name="_Toc154576420"/>
      <w:bookmarkStart w:id="468" w:name="_Toc162267308"/>
      <w:r>
        <w:t>Figure 7.23: Prevalence of Prescription Opioid Use during Pregnancy</w:t>
      </w:r>
      <w:r w:rsidRPr="00C12D03">
        <w:t>, by Race/Ethnicity</w:t>
      </w:r>
      <w:r>
        <w:t>.</w:t>
      </w:r>
      <w:bookmarkEnd w:id="467"/>
      <w:bookmarkEnd w:id="468"/>
    </w:p>
    <w:tbl>
      <w:tblPr>
        <w:tblStyle w:val="TableGrid"/>
        <w:tblW w:w="0" w:type="auto"/>
        <w:tblLook w:val="04A0" w:firstRow="1" w:lastRow="0" w:firstColumn="1" w:lastColumn="0" w:noHBand="0" w:noVBand="1"/>
      </w:tblPr>
      <w:tblGrid>
        <w:gridCol w:w="1558"/>
        <w:gridCol w:w="1558"/>
        <w:gridCol w:w="1558"/>
        <w:gridCol w:w="1558"/>
        <w:gridCol w:w="1559"/>
        <w:gridCol w:w="1559"/>
      </w:tblGrid>
      <w:tr w:rsidR="00576857" w14:paraId="2CF01344" w14:textId="77777777" w:rsidTr="001515D5">
        <w:tc>
          <w:tcPr>
            <w:tcW w:w="1558" w:type="dxa"/>
            <w:vAlign w:val="bottom"/>
          </w:tcPr>
          <w:p w14:paraId="16513D5E" w14:textId="77777777" w:rsidR="00576857" w:rsidRPr="00C12D03" w:rsidRDefault="00576857" w:rsidP="001515D5">
            <w:r>
              <w:t>Year</w:t>
            </w:r>
          </w:p>
        </w:tc>
        <w:tc>
          <w:tcPr>
            <w:tcW w:w="1558" w:type="dxa"/>
            <w:vAlign w:val="bottom"/>
          </w:tcPr>
          <w:p w14:paraId="45ABEB35" w14:textId="77777777" w:rsidR="00576857" w:rsidRPr="00C12D03" w:rsidRDefault="00576857" w:rsidP="001515D5">
            <w:r w:rsidRPr="00C12D03">
              <w:t>South Carolina</w:t>
            </w:r>
          </w:p>
        </w:tc>
        <w:tc>
          <w:tcPr>
            <w:tcW w:w="1558" w:type="dxa"/>
            <w:vAlign w:val="bottom"/>
          </w:tcPr>
          <w:p w14:paraId="6F6B2299" w14:textId="77777777" w:rsidR="00576857" w:rsidRPr="00C12D03" w:rsidRDefault="00576857" w:rsidP="001515D5">
            <w:r w:rsidRPr="00C12D03">
              <w:t xml:space="preserve">  Hispanic</w:t>
            </w:r>
          </w:p>
        </w:tc>
        <w:tc>
          <w:tcPr>
            <w:tcW w:w="1558" w:type="dxa"/>
            <w:vAlign w:val="bottom"/>
          </w:tcPr>
          <w:p w14:paraId="7C1B3952" w14:textId="77777777" w:rsidR="00576857" w:rsidRPr="00C12D03" w:rsidRDefault="00576857" w:rsidP="001515D5">
            <w:r w:rsidRPr="00C12D03">
              <w:t xml:space="preserve">  Non-Hispanic Black</w:t>
            </w:r>
          </w:p>
        </w:tc>
        <w:tc>
          <w:tcPr>
            <w:tcW w:w="1559" w:type="dxa"/>
            <w:vAlign w:val="bottom"/>
          </w:tcPr>
          <w:p w14:paraId="3B72F4A7" w14:textId="77777777" w:rsidR="00576857" w:rsidRPr="00C12D03" w:rsidRDefault="00576857" w:rsidP="001515D5">
            <w:r w:rsidRPr="00C12D03">
              <w:t xml:space="preserve">  Non-Hispanic White</w:t>
            </w:r>
          </w:p>
        </w:tc>
        <w:tc>
          <w:tcPr>
            <w:tcW w:w="1559" w:type="dxa"/>
            <w:vAlign w:val="bottom"/>
          </w:tcPr>
          <w:p w14:paraId="442079DE" w14:textId="77777777" w:rsidR="00576857" w:rsidRPr="00C12D03" w:rsidRDefault="00576857" w:rsidP="001515D5">
            <w:r w:rsidRPr="00C12D03">
              <w:t xml:space="preserve">  Non-Hispanic Other (includes multi-racial)</w:t>
            </w:r>
          </w:p>
        </w:tc>
      </w:tr>
      <w:tr w:rsidR="00576857" w14:paraId="01F652E5" w14:textId="77777777" w:rsidTr="001515D5">
        <w:tc>
          <w:tcPr>
            <w:tcW w:w="1558" w:type="dxa"/>
            <w:vAlign w:val="bottom"/>
          </w:tcPr>
          <w:p w14:paraId="111FD479" w14:textId="77777777" w:rsidR="00576857" w:rsidRPr="00C12D03" w:rsidRDefault="00576857" w:rsidP="001515D5">
            <w:r w:rsidRPr="00C12D03">
              <w:t>2019-202</w:t>
            </w:r>
            <w:r>
              <w:t>0</w:t>
            </w:r>
          </w:p>
        </w:tc>
        <w:tc>
          <w:tcPr>
            <w:tcW w:w="1558" w:type="dxa"/>
            <w:vAlign w:val="bottom"/>
          </w:tcPr>
          <w:p w14:paraId="0D26E55A" w14:textId="77777777" w:rsidR="00576857" w:rsidRPr="00C12D03" w:rsidRDefault="00576857" w:rsidP="001515D5">
            <w:r w:rsidRPr="00C12D03">
              <w:t>6.5%</w:t>
            </w:r>
          </w:p>
        </w:tc>
        <w:tc>
          <w:tcPr>
            <w:tcW w:w="1558" w:type="dxa"/>
            <w:vAlign w:val="bottom"/>
          </w:tcPr>
          <w:p w14:paraId="2839546F" w14:textId="77777777" w:rsidR="00576857" w:rsidRPr="00C12D03" w:rsidRDefault="00576857" w:rsidP="001515D5">
            <w:r w:rsidRPr="00C12D03">
              <w:t>6.0%</w:t>
            </w:r>
          </w:p>
        </w:tc>
        <w:tc>
          <w:tcPr>
            <w:tcW w:w="1558" w:type="dxa"/>
            <w:vAlign w:val="bottom"/>
          </w:tcPr>
          <w:p w14:paraId="3A68FCA4" w14:textId="77777777" w:rsidR="00576857" w:rsidRPr="00C12D03" w:rsidRDefault="00576857" w:rsidP="001515D5">
            <w:r w:rsidRPr="00C12D03">
              <w:t>8.6%</w:t>
            </w:r>
          </w:p>
        </w:tc>
        <w:tc>
          <w:tcPr>
            <w:tcW w:w="1559" w:type="dxa"/>
            <w:vAlign w:val="bottom"/>
          </w:tcPr>
          <w:p w14:paraId="68B10301" w14:textId="77777777" w:rsidR="00576857" w:rsidRPr="00C12D03" w:rsidRDefault="00576857" w:rsidP="001515D5">
            <w:r w:rsidRPr="00C12D03">
              <w:t>4.5%</w:t>
            </w:r>
          </w:p>
        </w:tc>
        <w:tc>
          <w:tcPr>
            <w:tcW w:w="1559" w:type="dxa"/>
            <w:vAlign w:val="bottom"/>
          </w:tcPr>
          <w:p w14:paraId="69CD3EFD" w14:textId="77777777" w:rsidR="00576857" w:rsidRPr="00C12D03" w:rsidRDefault="00576857" w:rsidP="001515D5">
            <w:r w:rsidRPr="00C12D03">
              <w:t>6.7%</w:t>
            </w:r>
          </w:p>
        </w:tc>
      </w:tr>
    </w:tbl>
    <w:p w14:paraId="61D6CCA4" w14:textId="77777777" w:rsidR="00576857" w:rsidRDefault="00576857" w:rsidP="00576857">
      <w:r w:rsidRPr="00C12D03">
        <w:t>Source: South Carolina Pregnancy Risk Assessment Monitoring System (PRAMS), 2019-2020.</w:t>
      </w:r>
    </w:p>
    <w:p w14:paraId="0875AB4A" w14:textId="77777777" w:rsidR="00576857" w:rsidRDefault="00576857" w:rsidP="00576857">
      <w:r w:rsidRPr="00C12D03">
        <w:t>Note: Opio</w:t>
      </w:r>
      <w:r>
        <w:t>i</w:t>
      </w:r>
      <w:r w:rsidRPr="00C12D03">
        <w:t xml:space="preserve">ds = Hydrocodone (like Vicodin®, Norco®, or Lortab®), Codeine (like Tylenol® #3 or #4, not regular Tylenol®), Oxycodone (like Percocet®, Percodan®, OxyContin®, or Roxicodone®), Tramadol (like Ultram® or Ultracet®), Hydromorphone or meperidine (like </w:t>
      </w:r>
      <w:proofErr w:type="spellStart"/>
      <w:r w:rsidRPr="00C12D03">
        <w:t>Demorol</w:t>
      </w:r>
      <w:proofErr w:type="spellEnd"/>
      <w:r w:rsidRPr="00C12D03">
        <w:t xml:space="preserve">®, </w:t>
      </w:r>
      <w:proofErr w:type="spellStart"/>
      <w:r w:rsidRPr="00C12D03">
        <w:t>Exalgo</w:t>
      </w:r>
      <w:proofErr w:type="spellEnd"/>
      <w:r w:rsidRPr="00C12D03">
        <w:t xml:space="preserve">®, or </w:t>
      </w:r>
      <w:proofErr w:type="spellStart"/>
      <w:r w:rsidRPr="00C12D03">
        <w:t>Dilaudid</w:t>
      </w:r>
      <w:proofErr w:type="spellEnd"/>
      <w:r w:rsidRPr="00C12D03">
        <w:t xml:space="preserve">®), Oxymorphone (like </w:t>
      </w:r>
      <w:proofErr w:type="spellStart"/>
      <w:r w:rsidRPr="00C12D03">
        <w:t>Opana</w:t>
      </w:r>
      <w:proofErr w:type="spellEnd"/>
      <w:r w:rsidRPr="00C12D03">
        <w:t xml:space="preserve">®), Morphine (like MS Contin®, </w:t>
      </w:r>
      <w:proofErr w:type="spellStart"/>
      <w:r w:rsidRPr="00C12D03">
        <w:t>Avinza</w:t>
      </w:r>
      <w:proofErr w:type="spellEnd"/>
      <w:r w:rsidRPr="00C12D03">
        <w:t xml:space="preserve">®, or </w:t>
      </w:r>
      <w:proofErr w:type="spellStart"/>
      <w:r w:rsidRPr="00C12D03">
        <w:t>Kadian</w:t>
      </w:r>
      <w:proofErr w:type="spellEnd"/>
      <w:r w:rsidRPr="00C12D03">
        <w:t xml:space="preserve"> ®), Fentanyl (like Duragesic®, </w:t>
      </w:r>
      <w:proofErr w:type="spellStart"/>
      <w:r w:rsidRPr="00C12D03">
        <w:t>Fentora</w:t>
      </w:r>
      <w:proofErr w:type="spellEnd"/>
      <w:r w:rsidRPr="00C12D03">
        <w:t xml:space="preserve">®, or </w:t>
      </w:r>
      <w:proofErr w:type="spellStart"/>
      <w:r w:rsidRPr="00C12D03">
        <w:t>Actiq</w:t>
      </w:r>
      <w:proofErr w:type="spellEnd"/>
      <w:r w:rsidRPr="00C12D03">
        <w:t>®).</w:t>
      </w:r>
    </w:p>
    <w:p w14:paraId="08C6FA8E" w14:textId="77777777" w:rsidR="00506CC7" w:rsidRPr="00506CC7" w:rsidRDefault="00506CC7" w:rsidP="00506CC7"/>
    <w:p w14:paraId="3C10B081" w14:textId="77777777" w:rsidR="00506CC7" w:rsidRDefault="00506CC7" w:rsidP="00506CC7">
      <w:pPr>
        <w:pStyle w:val="Heading4"/>
      </w:pPr>
      <w:bookmarkStart w:id="469" w:name="_Toc162267309"/>
      <w:r w:rsidRPr="00506CC7">
        <w:t>Data Interpretations:</w:t>
      </w:r>
      <w:bookmarkEnd w:id="469"/>
      <w:r w:rsidRPr="00506CC7">
        <w:t xml:space="preserve"> </w:t>
      </w:r>
    </w:p>
    <w:p w14:paraId="3E5C30A8" w14:textId="5DCAF98F" w:rsidR="00506CC7" w:rsidRPr="00506CC7" w:rsidRDefault="00506CC7" w:rsidP="00506CC7">
      <w:r w:rsidRPr="00506CC7">
        <w:t>Approximately one in 10 women of childbearing age reported ever having a problem with alcohol or drugs in SC, with non-Hispanic White women of childbearing age reporting the highest percentage at 13.4% (</w:t>
      </w:r>
      <w:r w:rsidRPr="00506CC7">
        <w:rPr>
          <w:b/>
          <w:bCs/>
        </w:rPr>
        <w:t>Figure 7.21</w:t>
      </w:r>
      <w:r w:rsidRPr="00506CC7">
        <w:t xml:space="preserve">). About 1 in 50 women of childbearing age reported having current problems with alcohol or drugs in SC from 2019-2021, with Non-Hispanic White women reporting the highest current substance problem percentage </w:t>
      </w:r>
      <w:r w:rsidR="00A41236">
        <w:t xml:space="preserve">at </w:t>
      </w:r>
      <w:r w:rsidRPr="00506CC7">
        <w:t>2.8% (</w:t>
      </w:r>
      <w:r w:rsidRPr="00506CC7">
        <w:rPr>
          <w:b/>
          <w:bCs/>
        </w:rPr>
        <w:t>Figure 7.22</w:t>
      </w:r>
      <w:r w:rsidRPr="00506CC7">
        <w:t>). Prescription opioid use during pregnancy was reported in 6.5% of SC women surveyed in 2019-2020 (</w:t>
      </w:r>
      <w:r w:rsidRPr="00506CC7">
        <w:rPr>
          <w:b/>
          <w:bCs/>
        </w:rPr>
        <w:t>Figure 7.23</w:t>
      </w:r>
      <w:r w:rsidRPr="00506CC7">
        <w:t>). The highest percent was reported by non-Hispanic Black women at 8.6% (</w:t>
      </w:r>
      <w:r w:rsidRPr="00506CC7">
        <w:rPr>
          <w:b/>
          <w:bCs/>
        </w:rPr>
        <w:t>Figure 7.23</w:t>
      </w:r>
      <w:r w:rsidRPr="00506CC7">
        <w:t>).</w:t>
      </w:r>
    </w:p>
    <w:p w14:paraId="69ECD330" w14:textId="77777777" w:rsidR="00506CC7" w:rsidRDefault="00506CC7" w:rsidP="00506CC7"/>
    <w:p w14:paraId="34F721D2" w14:textId="30FF67DA" w:rsidR="00506CC7" w:rsidRDefault="00506CC7" w:rsidP="00506CC7">
      <w:pPr>
        <w:pStyle w:val="Heading5"/>
      </w:pPr>
      <w:r>
        <w:lastRenderedPageBreak/>
        <w:t xml:space="preserve">Key Takeaways: </w:t>
      </w:r>
    </w:p>
    <w:p w14:paraId="59A792E8" w14:textId="67334551" w:rsidR="00506CC7" w:rsidRPr="00506CC7" w:rsidRDefault="00506CC7" w:rsidP="00926EB3">
      <w:pPr>
        <w:pStyle w:val="ListParagraph"/>
        <w:numPr>
          <w:ilvl w:val="0"/>
          <w:numId w:val="220"/>
        </w:numPr>
      </w:pPr>
      <w:r w:rsidRPr="00506CC7">
        <w:t>Prescription opioid use during pregnancy was reported in 6.5% of SC women surveyed in 2019-2020.</w:t>
      </w:r>
    </w:p>
    <w:p w14:paraId="74B936AA" w14:textId="77777777" w:rsidR="00506CC7" w:rsidRPr="00506CC7" w:rsidRDefault="00506CC7" w:rsidP="00506CC7"/>
    <w:p w14:paraId="737A61B8" w14:textId="1E79D150" w:rsidR="00506CC7" w:rsidRPr="00506CC7" w:rsidRDefault="00506CC7" w:rsidP="00506CC7">
      <w:pPr>
        <w:pStyle w:val="Heading4"/>
        <w:rPr>
          <w:rFonts w:asciiTheme="minorHAnsi" w:hAnsiTheme="minorHAnsi" w:cstheme="minorHAnsi"/>
          <w:color w:val="000000" w:themeColor="text1"/>
        </w:rPr>
      </w:pPr>
      <w:bookmarkStart w:id="470" w:name="_Toc162267310"/>
      <w:r w:rsidRPr="00506CC7">
        <w:rPr>
          <w:rFonts w:asciiTheme="minorHAnsi" w:hAnsiTheme="minorHAnsi" w:cstheme="minorHAnsi"/>
          <w:color w:val="000000" w:themeColor="text1"/>
        </w:rPr>
        <w:t>References 7.</w:t>
      </w:r>
      <w:r>
        <w:rPr>
          <w:rFonts w:asciiTheme="minorHAnsi" w:hAnsiTheme="minorHAnsi" w:cstheme="minorHAnsi"/>
          <w:color w:val="000000" w:themeColor="text1"/>
        </w:rPr>
        <w:t>11</w:t>
      </w:r>
      <w:bookmarkEnd w:id="470"/>
      <w:r w:rsidRPr="00506CC7">
        <w:rPr>
          <w:rFonts w:asciiTheme="minorHAnsi" w:hAnsiTheme="minorHAnsi" w:cstheme="minorHAnsi"/>
          <w:color w:val="000000" w:themeColor="text1"/>
        </w:rPr>
        <w:t xml:space="preserve"> </w:t>
      </w:r>
    </w:p>
    <w:p w14:paraId="2897F0C0" w14:textId="77777777" w:rsidR="00506CC7" w:rsidRPr="00506CC7" w:rsidRDefault="00506CC7" w:rsidP="00506CC7">
      <w:pPr>
        <w:rPr>
          <w:i/>
          <w:iCs/>
        </w:rPr>
      </w:pPr>
      <w:r w:rsidRPr="00506CC7">
        <w:t>Statistics in the preceding section were referenced from the following reports:</w:t>
      </w:r>
    </w:p>
    <w:p w14:paraId="17407B6B" w14:textId="637C7DC1" w:rsidR="00506CC7" w:rsidRPr="00506CC7" w:rsidRDefault="00000000" w:rsidP="00926EB3">
      <w:pPr>
        <w:pStyle w:val="ListParagraph"/>
        <w:numPr>
          <w:ilvl w:val="0"/>
          <w:numId w:val="31"/>
        </w:numPr>
      </w:pPr>
      <w:hyperlink r:id="rId216" w:history="1">
        <w:r w:rsidR="00506CC7" w:rsidRPr="00506CC7">
          <w:rPr>
            <w:rStyle w:val="Hyperlink"/>
          </w:rPr>
          <w:t>“Alcohol during pregnancy” published by March of Dimes. Accessed June 21, 2023.</w:t>
        </w:r>
      </w:hyperlink>
      <w:r w:rsidR="00506CC7" w:rsidRPr="00506CC7">
        <w:t xml:space="preserve"> </w:t>
      </w:r>
    </w:p>
    <w:p w14:paraId="1FCB7F6E" w14:textId="05F97FC9" w:rsidR="00506CC7" w:rsidRPr="00506CC7" w:rsidRDefault="00000000" w:rsidP="00926EB3">
      <w:pPr>
        <w:pStyle w:val="ListParagraph"/>
        <w:numPr>
          <w:ilvl w:val="0"/>
          <w:numId w:val="31"/>
        </w:numPr>
      </w:pPr>
      <w:hyperlink r:id="rId217" w:history="1">
        <w:r w:rsidR="00506CC7" w:rsidRPr="00506CC7">
          <w:rPr>
            <w:rStyle w:val="Hyperlink"/>
          </w:rPr>
          <w:t>“Substance Use During Pregnancy” by CDC, via cdc.gov. Accessed June 21, 2023.</w:t>
        </w:r>
      </w:hyperlink>
      <w:r w:rsidR="00506CC7" w:rsidRPr="00506CC7">
        <w:t xml:space="preserve"> </w:t>
      </w:r>
    </w:p>
    <w:p w14:paraId="5CE46458" w14:textId="5494504D" w:rsidR="00506CC7" w:rsidRPr="00506CC7" w:rsidRDefault="00506CC7" w:rsidP="00926EB3">
      <w:pPr>
        <w:pStyle w:val="ListParagraph"/>
        <w:numPr>
          <w:ilvl w:val="0"/>
          <w:numId w:val="31"/>
        </w:numPr>
      </w:pPr>
      <w:r>
        <w:t>“</w:t>
      </w:r>
      <w:r w:rsidRPr="00506CC7">
        <w:t>The Health Effects of Cannabis and Cannabinoids</w:t>
      </w:r>
      <w:r>
        <w:t xml:space="preserve">” by the </w:t>
      </w:r>
      <w:r w:rsidRPr="00506CC7">
        <w:t>National Academies of Sciences E and M, Division H and M, Practice B on PH and PH, Agenda C on the HE of MAER and R.</w:t>
      </w:r>
      <w:r>
        <w:t xml:space="preserve"> Published in</w:t>
      </w:r>
      <w:r w:rsidRPr="00506CC7">
        <w:t xml:space="preserve"> </w:t>
      </w:r>
      <w:proofErr w:type="spellStart"/>
      <w:r w:rsidRPr="00506CC7">
        <w:t>Psychiatria</w:t>
      </w:r>
      <w:proofErr w:type="spellEnd"/>
      <w:r>
        <w:t xml:space="preserve">, </w:t>
      </w:r>
      <w:r w:rsidRPr="00506CC7">
        <w:t>2017</w:t>
      </w:r>
      <w:r>
        <w:t>. No hyperlink.</w:t>
      </w:r>
    </w:p>
    <w:p w14:paraId="40EA6573" w14:textId="16DB17A8" w:rsidR="00506CC7" w:rsidRPr="00506CC7" w:rsidRDefault="00506CC7" w:rsidP="00926EB3">
      <w:pPr>
        <w:pStyle w:val="ListParagraph"/>
        <w:numPr>
          <w:ilvl w:val="0"/>
          <w:numId w:val="31"/>
        </w:numPr>
      </w:pPr>
      <w:r w:rsidRPr="00506CC7">
        <w:t>Vital Signs: Prescription Opioid Pain Reliever Use During Pregnancy — 34 U.S. Jurisdictions,</w:t>
      </w:r>
      <w:r>
        <w:t>” by</w:t>
      </w:r>
      <w:r w:rsidRPr="00506CC7">
        <w:t xml:space="preserve"> Ko JY, D’Angelo D V., Haight SC, et al.</w:t>
      </w:r>
      <w:r>
        <w:t xml:space="preserve">, 2019. Published by </w:t>
      </w:r>
      <w:r w:rsidRPr="00506CC7">
        <w:t xml:space="preserve">MMWR </w:t>
      </w:r>
      <w:proofErr w:type="spellStart"/>
      <w:r w:rsidRPr="00506CC7">
        <w:t>Morb</w:t>
      </w:r>
      <w:proofErr w:type="spellEnd"/>
      <w:r w:rsidRPr="00506CC7">
        <w:t xml:space="preserve"> Mortal </w:t>
      </w:r>
      <w:proofErr w:type="spellStart"/>
      <w:r w:rsidRPr="00506CC7">
        <w:t>Wkly</w:t>
      </w:r>
      <w:proofErr w:type="spellEnd"/>
      <w:r w:rsidRPr="00506CC7">
        <w:t xml:space="preserve"> Rep. 2020</w:t>
      </w:r>
      <w:r>
        <w:t>. No hyperlink.</w:t>
      </w:r>
    </w:p>
    <w:p w14:paraId="7C96A1E9" w14:textId="77777777" w:rsidR="00506CC7" w:rsidRDefault="00506CC7" w:rsidP="00506CC7">
      <w:pPr>
        <w:pStyle w:val="Heading3"/>
      </w:pPr>
    </w:p>
    <w:p w14:paraId="3E3C23F6" w14:textId="4FED0837" w:rsidR="00506CC7" w:rsidRPr="00506CC7" w:rsidRDefault="00506CC7" w:rsidP="00506CC7">
      <w:pPr>
        <w:pStyle w:val="Heading3"/>
      </w:pPr>
      <w:bookmarkStart w:id="471" w:name="_Toc162267311"/>
      <w:r w:rsidRPr="00506CC7">
        <w:t>Healthy Infants: Preterm Births</w:t>
      </w:r>
      <w:bookmarkEnd w:id="471"/>
    </w:p>
    <w:p w14:paraId="6FA7F5B1" w14:textId="6E2742D9" w:rsidR="00506CC7" w:rsidRPr="00506CC7" w:rsidRDefault="00506CC7" w:rsidP="00506CC7">
      <w:r w:rsidRPr="00506CC7">
        <w:t>Preterm birth is defined as the occurrence of a live birth before 37 completed weeks of pregnancy, and is a significant public health priority area and Healthy People 2030 objective. Some challenges may exist for babies born early, such as increased risk of infections, breathing or feeding challenges, disability, and hearing and vision problems</w:t>
      </w:r>
      <w:r>
        <w:t>.</w:t>
      </w:r>
    </w:p>
    <w:p w14:paraId="09B938C4" w14:textId="77777777" w:rsidR="00506CC7" w:rsidRDefault="00506CC7" w:rsidP="00506CC7"/>
    <w:p w14:paraId="1989881B" w14:textId="788AFE79" w:rsidR="00506CC7" w:rsidRPr="00506CC7" w:rsidRDefault="00A41236" w:rsidP="00506CC7">
      <w:r>
        <w:t>Pregnancy</w:t>
      </w:r>
      <w:r w:rsidR="00506CC7" w:rsidRPr="00506CC7">
        <w:t xml:space="preserve"> complications due to infections or chronic conditions, having had a previous preterm birth, and stress and perinatal depression all increase the risk of preterm birth. Maternal age and exposure to racism, discrimination, and other social and economic factors can also have an adverse effect on birth outcomes. Receiving high-quality medical care early during pregnancy, maintaining a healthy pre-pregnancy weight, not engaging in substance use, participating in prenatal Women, Infants, and Children (WIC) Program visits, and waiting at least 18 months between pregnancies reduce the likelihood of delivering before 37 completed weeks of pregnancy. </w:t>
      </w:r>
    </w:p>
    <w:p w14:paraId="600030F8" w14:textId="77777777" w:rsidR="00506CC7" w:rsidRDefault="00506CC7" w:rsidP="00506CC7"/>
    <w:p w14:paraId="018DEC1D" w14:textId="733C6F39" w:rsidR="00506CC7" w:rsidRDefault="00506CC7" w:rsidP="00506CC7">
      <w:pPr>
        <w:rPr>
          <w:b/>
          <w:bCs/>
        </w:rPr>
      </w:pPr>
      <w:r w:rsidRPr="00506CC7">
        <w:lastRenderedPageBreak/>
        <w:t>Some studies have also reported an association between indicators of social vulnerability (e.g., race and ethnicity, population structure, socioeconomic status, housing structure, and access/functional needs) and both low birthweight and preterm birth. In addition to medical, behavioral and lifestyle factors, efforts should continue around understanding the intersection of the social environment to mitigate the drivers of poor birth outcomes.</w:t>
      </w:r>
    </w:p>
    <w:p w14:paraId="37DE74B8" w14:textId="77777777" w:rsidR="00576857" w:rsidRDefault="00576857" w:rsidP="00576857">
      <w:pPr>
        <w:pStyle w:val="Heading4"/>
      </w:pPr>
      <w:bookmarkStart w:id="472" w:name="_Toc154576421"/>
      <w:bookmarkStart w:id="473" w:name="_Toc162267312"/>
      <w:r>
        <w:t>Figure 7.24: Preterm Births.</w:t>
      </w:r>
      <w:bookmarkEnd w:id="472"/>
      <w:bookmarkEnd w:id="473"/>
    </w:p>
    <w:tbl>
      <w:tblPr>
        <w:tblStyle w:val="TableGrid"/>
        <w:tblW w:w="0" w:type="auto"/>
        <w:tblLook w:val="04A0" w:firstRow="1" w:lastRow="0" w:firstColumn="1" w:lastColumn="0" w:noHBand="0" w:noVBand="1"/>
      </w:tblPr>
      <w:tblGrid>
        <w:gridCol w:w="2337"/>
        <w:gridCol w:w="2337"/>
        <w:gridCol w:w="2338"/>
        <w:gridCol w:w="2338"/>
      </w:tblGrid>
      <w:tr w:rsidR="00576857" w14:paraId="4A6426CC" w14:textId="77777777" w:rsidTr="001515D5">
        <w:tc>
          <w:tcPr>
            <w:tcW w:w="2337" w:type="dxa"/>
            <w:vAlign w:val="bottom"/>
          </w:tcPr>
          <w:p w14:paraId="6C30782E" w14:textId="77777777" w:rsidR="00576857" w:rsidRPr="00C12D03" w:rsidRDefault="00576857" w:rsidP="001515D5">
            <w:r>
              <w:t>Year</w:t>
            </w:r>
          </w:p>
        </w:tc>
        <w:tc>
          <w:tcPr>
            <w:tcW w:w="2337" w:type="dxa"/>
            <w:vAlign w:val="bottom"/>
          </w:tcPr>
          <w:p w14:paraId="1A7F658A" w14:textId="77777777" w:rsidR="00576857" w:rsidRPr="00C12D03" w:rsidRDefault="00576857" w:rsidP="001515D5">
            <w:r w:rsidRPr="00C12D03">
              <w:t>South Carolina</w:t>
            </w:r>
          </w:p>
        </w:tc>
        <w:tc>
          <w:tcPr>
            <w:tcW w:w="2338" w:type="dxa"/>
            <w:vAlign w:val="bottom"/>
          </w:tcPr>
          <w:p w14:paraId="2467171B" w14:textId="77777777" w:rsidR="00576857" w:rsidRPr="00C12D03" w:rsidRDefault="00576857" w:rsidP="001515D5">
            <w:r w:rsidRPr="00C12D03">
              <w:t>United States</w:t>
            </w:r>
          </w:p>
        </w:tc>
        <w:tc>
          <w:tcPr>
            <w:tcW w:w="2338" w:type="dxa"/>
            <w:vAlign w:val="bottom"/>
          </w:tcPr>
          <w:p w14:paraId="21EE3496" w14:textId="77777777" w:rsidR="00576857" w:rsidRPr="00C12D03" w:rsidRDefault="00576857" w:rsidP="001515D5">
            <w:r w:rsidRPr="00C12D03">
              <w:t>HP 2030</w:t>
            </w:r>
          </w:p>
        </w:tc>
      </w:tr>
      <w:tr w:rsidR="00576857" w14:paraId="7515C97A" w14:textId="77777777" w:rsidTr="001515D5">
        <w:tc>
          <w:tcPr>
            <w:tcW w:w="2337" w:type="dxa"/>
            <w:vAlign w:val="bottom"/>
          </w:tcPr>
          <w:p w14:paraId="7F3144CF" w14:textId="77777777" w:rsidR="00576857" w:rsidRPr="00C12D03" w:rsidRDefault="00576857" w:rsidP="001515D5">
            <w:r w:rsidRPr="00C12D03">
              <w:t>2017</w:t>
            </w:r>
          </w:p>
        </w:tc>
        <w:tc>
          <w:tcPr>
            <w:tcW w:w="2337" w:type="dxa"/>
            <w:vAlign w:val="bottom"/>
          </w:tcPr>
          <w:p w14:paraId="2029BE33" w14:textId="77777777" w:rsidR="00576857" w:rsidRPr="00C12D03" w:rsidRDefault="00576857" w:rsidP="001515D5">
            <w:r w:rsidRPr="00C12D03">
              <w:t>11.2%</w:t>
            </w:r>
          </w:p>
        </w:tc>
        <w:tc>
          <w:tcPr>
            <w:tcW w:w="2338" w:type="dxa"/>
            <w:vAlign w:val="bottom"/>
          </w:tcPr>
          <w:p w14:paraId="7C726DE2" w14:textId="77777777" w:rsidR="00576857" w:rsidRPr="00C12D03" w:rsidRDefault="00576857" w:rsidP="001515D5">
            <w:r w:rsidRPr="00C12D03">
              <w:t>9.9%</w:t>
            </w:r>
          </w:p>
        </w:tc>
        <w:tc>
          <w:tcPr>
            <w:tcW w:w="2338" w:type="dxa"/>
            <w:vAlign w:val="bottom"/>
          </w:tcPr>
          <w:p w14:paraId="4CEE829E" w14:textId="77777777" w:rsidR="00576857" w:rsidRPr="00C12D03" w:rsidRDefault="00576857" w:rsidP="001515D5">
            <w:r w:rsidRPr="00C12D03">
              <w:t>9.4%</w:t>
            </w:r>
          </w:p>
        </w:tc>
      </w:tr>
      <w:tr w:rsidR="00576857" w14:paraId="2CCF6630" w14:textId="77777777" w:rsidTr="001515D5">
        <w:tc>
          <w:tcPr>
            <w:tcW w:w="2337" w:type="dxa"/>
            <w:vAlign w:val="bottom"/>
          </w:tcPr>
          <w:p w14:paraId="5FDF449B" w14:textId="77777777" w:rsidR="00576857" w:rsidRPr="00C12D03" w:rsidRDefault="00576857" w:rsidP="001515D5">
            <w:r w:rsidRPr="00C12D03">
              <w:t>2018</w:t>
            </w:r>
          </w:p>
        </w:tc>
        <w:tc>
          <w:tcPr>
            <w:tcW w:w="2337" w:type="dxa"/>
            <w:vAlign w:val="bottom"/>
          </w:tcPr>
          <w:p w14:paraId="1357CEBF" w14:textId="77777777" w:rsidR="00576857" w:rsidRPr="00C12D03" w:rsidRDefault="00576857" w:rsidP="001515D5">
            <w:r w:rsidRPr="00C12D03">
              <w:t>11.3%</w:t>
            </w:r>
          </w:p>
        </w:tc>
        <w:tc>
          <w:tcPr>
            <w:tcW w:w="2338" w:type="dxa"/>
            <w:vAlign w:val="bottom"/>
          </w:tcPr>
          <w:p w14:paraId="2AA32019" w14:textId="77777777" w:rsidR="00576857" w:rsidRPr="00C12D03" w:rsidRDefault="00576857" w:rsidP="001515D5">
            <w:r w:rsidRPr="00C12D03">
              <w:t>10.0%</w:t>
            </w:r>
          </w:p>
        </w:tc>
        <w:tc>
          <w:tcPr>
            <w:tcW w:w="2338" w:type="dxa"/>
            <w:vAlign w:val="bottom"/>
          </w:tcPr>
          <w:p w14:paraId="4F132716" w14:textId="77777777" w:rsidR="00576857" w:rsidRPr="00C12D03" w:rsidRDefault="00576857" w:rsidP="001515D5">
            <w:r w:rsidRPr="00C12D03">
              <w:t>9.4%</w:t>
            </w:r>
          </w:p>
        </w:tc>
      </w:tr>
      <w:tr w:rsidR="00576857" w14:paraId="3844B288" w14:textId="77777777" w:rsidTr="001515D5">
        <w:tc>
          <w:tcPr>
            <w:tcW w:w="2337" w:type="dxa"/>
            <w:vAlign w:val="bottom"/>
          </w:tcPr>
          <w:p w14:paraId="2B900832" w14:textId="77777777" w:rsidR="00576857" w:rsidRPr="00C12D03" w:rsidRDefault="00576857" w:rsidP="001515D5">
            <w:r w:rsidRPr="00C12D03">
              <w:t>2019</w:t>
            </w:r>
          </w:p>
        </w:tc>
        <w:tc>
          <w:tcPr>
            <w:tcW w:w="2337" w:type="dxa"/>
            <w:vAlign w:val="bottom"/>
          </w:tcPr>
          <w:p w14:paraId="4F9727F3" w14:textId="77777777" w:rsidR="00576857" w:rsidRPr="00C12D03" w:rsidRDefault="00576857" w:rsidP="001515D5">
            <w:r w:rsidRPr="00C12D03">
              <w:t>11.5%</w:t>
            </w:r>
          </w:p>
        </w:tc>
        <w:tc>
          <w:tcPr>
            <w:tcW w:w="2338" w:type="dxa"/>
            <w:vAlign w:val="bottom"/>
          </w:tcPr>
          <w:p w14:paraId="74E4818C" w14:textId="77777777" w:rsidR="00576857" w:rsidRPr="00C12D03" w:rsidRDefault="00576857" w:rsidP="001515D5">
            <w:r w:rsidRPr="00C12D03">
              <w:t>10.2%</w:t>
            </w:r>
          </w:p>
        </w:tc>
        <w:tc>
          <w:tcPr>
            <w:tcW w:w="2338" w:type="dxa"/>
            <w:vAlign w:val="bottom"/>
          </w:tcPr>
          <w:p w14:paraId="7D4AC3C1" w14:textId="77777777" w:rsidR="00576857" w:rsidRPr="00C12D03" w:rsidRDefault="00576857" w:rsidP="001515D5">
            <w:r w:rsidRPr="00C12D03">
              <w:t>9.4%</w:t>
            </w:r>
          </w:p>
        </w:tc>
      </w:tr>
      <w:tr w:rsidR="00576857" w14:paraId="73A88F51" w14:textId="77777777" w:rsidTr="001515D5">
        <w:tc>
          <w:tcPr>
            <w:tcW w:w="2337" w:type="dxa"/>
            <w:vAlign w:val="bottom"/>
          </w:tcPr>
          <w:p w14:paraId="3E81E924" w14:textId="77777777" w:rsidR="00576857" w:rsidRPr="00C12D03" w:rsidRDefault="00576857" w:rsidP="001515D5">
            <w:r w:rsidRPr="00C12D03">
              <w:t>2020</w:t>
            </w:r>
          </w:p>
        </w:tc>
        <w:tc>
          <w:tcPr>
            <w:tcW w:w="2337" w:type="dxa"/>
            <w:vAlign w:val="bottom"/>
          </w:tcPr>
          <w:p w14:paraId="18D9ECD6" w14:textId="77777777" w:rsidR="00576857" w:rsidRPr="00C12D03" w:rsidRDefault="00576857" w:rsidP="001515D5">
            <w:r w:rsidRPr="00C12D03">
              <w:t>11.8%</w:t>
            </w:r>
          </w:p>
        </w:tc>
        <w:tc>
          <w:tcPr>
            <w:tcW w:w="2338" w:type="dxa"/>
            <w:vAlign w:val="bottom"/>
          </w:tcPr>
          <w:p w14:paraId="7B5F90A6" w14:textId="77777777" w:rsidR="00576857" w:rsidRPr="00C12D03" w:rsidRDefault="00576857" w:rsidP="001515D5">
            <w:r w:rsidRPr="00C12D03">
              <w:t>10.1%</w:t>
            </w:r>
          </w:p>
        </w:tc>
        <w:tc>
          <w:tcPr>
            <w:tcW w:w="2338" w:type="dxa"/>
            <w:vAlign w:val="bottom"/>
          </w:tcPr>
          <w:p w14:paraId="1C3D3861" w14:textId="77777777" w:rsidR="00576857" w:rsidRPr="00C12D03" w:rsidRDefault="00576857" w:rsidP="001515D5">
            <w:r w:rsidRPr="00C12D03">
              <w:t>9.4%</w:t>
            </w:r>
          </w:p>
        </w:tc>
      </w:tr>
      <w:tr w:rsidR="00576857" w14:paraId="6C433528" w14:textId="77777777" w:rsidTr="001515D5">
        <w:tc>
          <w:tcPr>
            <w:tcW w:w="2337" w:type="dxa"/>
            <w:vAlign w:val="bottom"/>
          </w:tcPr>
          <w:p w14:paraId="248F0B77" w14:textId="77777777" w:rsidR="00576857" w:rsidRPr="00C12D03" w:rsidRDefault="00576857" w:rsidP="001515D5">
            <w:r w:rsidRPr="00C12D03">
              <w:t>2021</w:t>
            </w:r>
          </w:p>
        </w:tc>
        <w:tc>
          <w:tcPr>
            <w:tcW w:w="2337" w:type="dxa"/>
            <w:vAlign w:val="bottom"/>
          </w:tcPr>
          <w:p w14:paraId="1EB7A36F" w14:textId="77777777" w:rsidR="00576857" w:rsidRPr="00C12D03" w:rsidRDefault="00576857" w:rsidP="001515D5">
            <w:r w:rsidRPr="00C12D03">
              <w:t>11.8%</w:t>
            </w:r>
          </w:p>
        </w:tc>
        <w:tc>
          <w:tcPr>
            <w:tcW w:w="2338" w:type="dxa"/>
            <w:vAlign w:val="bottom"/>
          </w:tcPr>
          <w:p w14:paraId="06058C94" w14:textId="77777777" w:rsidR="00576857" w:rsidRPr="00C12D03" w:rsidRDefault="00576857" w:rsidP="001515D5">
            <w:r w:rsidRPr="00C12D03">
              <w:t>10.5%</w:t>
            </w:r>
          </w:p>
        </w:tc>
        <w:tc>
          <w:tcPr>
            <w:tcW w:w="2338" w:type="dxa"/>
            <w:vAlign w:val="bottom"/>
          </w:tcPr>
          <w:p w14:paraId="1DEEC689" w14:textId="77777777" w:rsidR="00576857" w:rsidRPr="00C12D03" w:rsidRDefault="00576857" w:rsidP="001515D5">
            <w:r w:rsidRPr="00C12D03">
              <w:t>9.4%</w:t>
            </w:r>
          </w:p>
        </w:tc>
      </w:tr>
    </w:tbl>
    <w:p w14:paraId="695B32FE" w14:textId="77777777" w:rsidR="00576857" w:rsidRPr="00C12D03" w:rsidRDefault="00576857" w:rsidP="00576857">
      <w:r w:rsidRPr="00C12D03">
        <w:t xml:space="preserve">Source: SC DHEC Vital Statistics. US data from natality data on CDC WONDER Online Database. </w:t>
      </w:r>
    </w:p>
    <w:p w14:paraId="6AC03707" w14:textId="77777777" w:rsidR="00576857" w:rsidRDefault="00576857" w:rsidP="00576857">
      <w:r w:rsidRPr="00C12D03">
        <w:t>Note: preterm birth equal to &lt;37 weeks.</w:t>
      </w:r>
    </w:p>
    <w:p w14:paraId="679D985E" w14:textId="77777777" w:rsidR="00576857" w:rsidRDefault="00576857" w:rsidP="00576857"/>
    <w:p w14:paraId="6B0BF1F0" w14:textId="77777777" w:rsidR="00576857" w:rsidRDefault="00576857" w:rsidP="00576857">
      <w:pPr>
        <w:pStyle w:val="Heading4"/>
      </w:pPr>
      <w:bookmarkStart w:id="474" w:name="_Toc154576422"/>
      <w:bookmarkStart w:id="475" w:name="_Toc162267313"/>
      <w:r>
        <w:t>Figure 7.25: Preterm Births, by Maternal Age.</w:t>
      </w:r>
      <w:bookmarkEnd w:id="474"/>
      <w:bookmarkEnd w:id="475"/>
    </w:p>
    <w:tbl>
      <w:tblPr>
        <w:tblStyle w:val="TableGrid"/>
        <w:tblW w:w="0" w:type="auto"/>
        <w:tblLook w:val="04A0" w:firstRow="1" w:lastRow="0" w:firstColumn="1" w:lastColumn="0" w:noHBand="0" w:noVBand="1"/>
      </w:tblPr>
      <w:tblGrid>
        <w:gridCol w:w="1870"/>
        <w:gridCol w:w="1870"/>
        <w:gridCol w:w="1870"/>
        <w:gridCol w:w="1870"/>
        <w:gridCol w:w="1870"/>
      </w:tblGrid>
      <w:tr w:rsidR="00576857" w14:paraId="3E906452" w14:textId="77777777" w:rsidTr="001515D5">
        <w:tc>
          <w:tcPr>
            <w:tcW w:w="1870" w:type="dxa"/>
            <w:vAlign w:val="bottom"/>
          </w:tcPr>
          <w:p w14:paraId="444D81B1" w14:textId="77777777" w:rsidR="00576857" w:rsidRPr="00C12D03" w:rsidRDefault="00576857" w:rsidP="001515D5">
            <w:r>
              <w:t>Year</w:t>
            </w:r>
          </w:p>
        </w:tc>
        <w:tc>
          <w:tcPr>
            <w:tcW w:w="1870" w:type="dxa"/>
            <w:vAlign w:val="bottom"/>
          </w:tcPr>
          <w:p w14:paraId="6C7546BA" w14:textId="77777777" w:rsidR="00576857" w:rsidRPr="00C12D03" w:rsidRDefault="00576857" w:rsidP="001515D5">
            <w:r w:rsidRPr="00C12D03">
              <w:t xml:space="preserve">  &lt; 25</w:t>
            </w:r>
          </w:p>
        </w:tc>
        <w:tc>
          <w:tcPr>
            <w:tcW w:w="1870" w:type="dxa"/>
            <w:vAlign w:val="bottom"/>
          </w:tcPr>
          <w:p w14:paraId="6A274F32" w14:textId="77777777" w:rsidR="00576857" w:rsidRPr="00C12D03" w:rsidRDefault="00576857" w:rsidP="001515D5">
            <w:r w:rsidRPr="00C12D03">
              <w:t xml:space="preserve">  25 - 34</w:t>
            </w:r>
          </w:p>
        </w:tc>
        <w:tc>
          <w:tcPr>
            <w:tcW w:w="1870" w:type="dxa"/>
            <w:vAlign w:val="bottom"/>
          </w:tcPr>
          <w:p w14:paraId="01161426" w14:textId="77777777" w:rsidR="00576857" w:rsidRPr="00C12D03" w:rsidRDefault="00576857" w:rsidP="001515D5">
            <w:r w:rsidRPr="00C12D03">
              <w:t xml:space="preserve">  35 - 44</w:t>
            </w:r>
          </w:p>
        </w:tc>
        <w:tc>
          <w:tcPr>
            <w:tcW w:w="1870" w:type="dxa"/>
            <w:vAlign w:val="bottom"/>
          </w:tcPr>
          <w:p w14:paraId="470FA742" w14:textId="77777777" w:rsidR="00576857" w:rsidRPr="00C12D03" w:rsidRDefault="00576857" w:rsidP="001515D5">
            <w:r w:rsidRPr="00C12D03">
              <w:t xml:space="preserve">  45+</w:t>
            </w:r>
          </w:p>
        </w:tc>
      </w:tr>
      <w:tr w:rsidR="00576857" w14:paraId="09ED0814" w14:textId="77777777" w:rsidTr="001515D5">
        <w:tc>
          <w:tcPr>
            <w:tcW w:w="1870" w:type="dxa"/>
            <w:vAlign w:val="bottom"/>
          </w:tcPr>
          <w:p w14:paraId="44657ED2" w14:textId="77777777" w:rsidR="00576857" w:rsidRPr="00C12D03" w:rsidRDefault="00576857" w:rsidP="001515D5">
            <w:r w:rsidRPr="00C12D03">
              <w:t>2017-2021</w:t>
            </w:r>
          </w:p>
        </w:tc>
        <w:tc>
          <w:tcPr>
            <w:tcW w:w="1870" w:type="dxa"/>
            <w:vAlign w:val="bottom"/>
          </w:tcPr>
          <w:p w14:paraId="04BF20C0" w14:textId="77777777" w:rsidR="00576857" w:rsidRPr="00C12D03" w:rsidRDefault="00576857" w:rsidP="001515D5">
            <w:r w:rsidRPr="00C12D03">
              <w:t>11.0%</w:t>
            </w:r>
          </w:p>
        </w:tc>
        <w:tc>
          <w:tcPr>
            <w:tcW w:w="1870" w:type="dxa"/>
            <w:vAlign w:val="bottom"/>
          </w:tcPr>
          <w:p w14:paraId="33580CCA" w14:textId="77777777" w:rsidR="00576857" w:rsidRPr="00C12D03" w:rsidRDefault="00576857" w:rsidP="001515D5">
            <w:r w:rsidRPr="00C12D03">
              <w:t>11.1%</w:t>
            </w:r>
          </w:p>
        </w:tc>
        <w:tc>
          <w:tcPr>
            <w:tcW w:w="1870" w:type="dxa"/>
            <w:vAlign w:val="bottom"/>
          </w:tcPr>
          <w:p w14:paraId="53EF6D36" w14:textId="77777777" w:rsidR="00576857" w:rsidRPr="00C12D03" w:rsidRDefault="00576857" w:rsidP="001515D5">
            <w:r w:rsidRPr="00C12D03">
              <w:t>14.0%</w:t>
            </w:r>
          </w:p>
        </w:tc>
        <w:tc>
          <w:tcPr>
            <w:tcW w:w="1870" w:type="dxa"/>
            <w:vAlign w:val="bottom"/>
          </w:tcPr>
          <w:p w14:paraId="233D8391" w14:textId="77777777" w:rsidR="00576857" w:rsidRPr="00C12D03" w:rsidRDefault="00576857" w:rsidP="001515D5">
            <w:r w:rsidRPr="00C12D03">
              <w:t>28.2%</w:t>
            </w:r>
          </w:p>
        </w:tc>
      </w:tr>
    </w:tbl>
    <w:p w14:paraId="655B95CB" w14:textId="77777777" w:rsidR="00576857" w:rsidRPr="00C12D03" w:rsidRDefault="00576857" w:rsidP="00576857">
      <w:r w:rsidRPr="00C12D03">
        <w:t xml:space="preserve">Source: SC DHEC Vital Statistics, 2017- 2021. </w:t>
      </w:r>
    </w:p>
    <w:p w14:paraId="058E853C" w14:textId="77777777" w:rsidR="00576857" w:rsidRDefault="00576857" w:rsidP="00576857">
      <w:r w:rsidRPr="00C12D03">
        <w:t>Note: preterm birth equal to &lt;37 weeks</w:t>
      </w:r>
      <w:r>
        <w:t>.</w:t>
      </w:r>
    </w:p>
    <w:p w14:paraId="13F05277" w14:textId="77777777" w:rsidR="00576857" w:rsidRDefault="00576857" w:rsidP="00576857"/>
    <w:p w14:paraId="479A0545" w14:textId="77777777" w:rsidR="00576857" w:rsidRDefault="00576857" w:rsidP="00576857">
      <w:pPr>
        <w:pStyle w:val="Heading4"/>
      </w:pPr>
      <w:bookmarkStart w:id="476" w:name="_Toc154576423"/>
      <w:bookmarkStart w:id="477" w:name="_Toc162267314"/>
      <w:r>
        <w:t>Figure 7.26: Preterm Births, by Maternal Race/Ethnicity.</w:t>
      </w:r>
      <w:bookmarkEnd w:id="476"/>
      <w:bookmarkEnd w:id="477"/>
    </w:p>
    <w:tbl>
      <w:tblPr>
        <w:tblStyle w:val="TableGrid"/>
        <w:tblW w:w="0" w:type="auto"/>
        <w:tblLook w:val="04A0" w:firstRow="1" w:lastRow="0" w:firstColumn="1" w:lastColumn="0" w:noHBand="0" w:noVBand="1"/>
      </w:tblPr>
      <w:tblGrid>
        <w:gridCol w:w="1870"/>
        <w:gridCol w:w="1870"/>
        <w:gridCol w:w="1870"/>
        <w:gridCol w:w="1870"/>
        <w:gridCol w:w="1870"/>
      </w:tblGrid>
      <w:tr w:rsidR="00576857" w14:paraId="009E7777" w14:textId="77777777" w:rsidTr="001515D5">
        <w:tc>
          <w:tcPr>
            <w:tcW w:w="1870" w:type="dxa"/>
            <w:vAlign w:val="bottom"/>
          </w:tcPr>
          <w:p w14:paraId="7AC903ED" w14:textId="77777777" w:rsidR="00576857" w:rsidRPr="00C12D03" w:rsidRDefault="00576857" w:rsidP="001515D5">
            <w:r>
              <w:t>Year</w:t>
            </w:r>
          </w:p>
        </w:tc>
        <w:tc>
          <w:tcPr>
            <w:tcW w:w="1870" w:type="dxa"/>
            <w:vAlign w:val="bottom"/>
          </w:tcPr>
          <w:p w14:paraId="0CA88F77" w14:textId="77777777" w:rsidR="00576857" w:rsidRPr="00C12D03" w:rsidRDefault="00576857" w:rsidP="001515D5">
            <w:r w:rsidRPr="00C12D03">
              <w:t>Non-Hispanic White</w:t>
            </w:r>
          </w:p>
        </w:tc>
        <w:tc>
          <w:tcPr>
            <w:tcW w:w="1870" w:type="dxa"/>
            <w:vAlign w:val="bottom"/>
          </w:tcPr>
          <w:p w14:paraId="39947F27" w14:textId="77777777" w:rsidR="00576857" w:rsidRPr="00C12D03" w:rsidRDefault="00576857" w:rsidP="001515D5">
            <w:r w:rsidRPr="00C12D03">
              <w:t>Non-Hispanic Black</w:t>
            </w:r>
          </w:p>
        </w:tc>
        <w:tc>
          <w:tcPr>
            <w:tcW w:w="1870" w:type="dxa"/>
            <w:vAlign w:val="bottom"/>
          </w:tcPr>
          <w:p w14:paraId="10DEDA7B" w14:textId="77777777" w:rsidR="00576857" w:rsidRPr="00C12D03" w:rsidRDefault="00576857" w:rsidP="001515D5">
            <w:r w:rsidRPr="00C12D03">
              <w:t>Non-Hispanic Other (includes multi-racial)</w:t>
            </w:r>
          </w:p>
        </w:tc>
        <w:tc>
          <w:tcPr>
            <w:tcW w:w="1870" w:type="dxa"/>
            <w:vAlign w:val="bottom"/>
          </w:tcPr>
          <w:p w14:paraId="507055F5" w14:textId="77777777" w:rsidR="00576857" w:rsidRPr="00C12D03" w:rsidRDefault="00576857" w:rsidP="001515D5">
            <w:r w:rsidRPr="00C12D03">
              <w:t>Hispanic</w:t>
            </w:r>
          </w:p>
        </w:tc>
      </w:tr>
      <w:tr w:rsidR="00576857" w14:paraId="44B3E0F2" w14:textId="77777777" w:rsidTr="001515D5">
        <w:tc>
          <w:tcPr>
            <w:tcW w:w="1870" w:type="dxa"/>
            <w:vAlign w:val="bottom"/>
          </w:tcPr>
          <w:p w14:paraId="5A59D371" w14:textId="77777777" w:rsidR="00576857" w:rsidRPr="00C12D03" w:rsidRDefault="00576857" w:rsidP="001515D5">
            <w:r w:rsidRPr="00C12D03">
              <w:t>2017-2021</w:t>
            </w:r>
          </w:p>
        </w:tc>
        <w:tc>
          <w:tcPr>
            <w:tcW w:w="1870" w:type="dxa"/>
            <w:vAlign w:val="bottom"/>
          </w:tcPr>
          <w:p w14:paraId="43116D45" w14:textId="77777777" w:rsidR="00576857" w:rsidRPr="00C12D03" w:rsidRDefault="00576857" w:rsidP="001515D5">
            <w:r w:rsidRPr="00C12D03">
              <w:t>9.9%</w:t>
            </w:r>
          </w:p>
        </w:tc>
        <w:tc>
          <w:tcPr>
            <w:tcW w:w="1870" w:type="dxa"/>
            <w:vAlign w:val="bottom"/>
          </w:tcPr>
          <w:p w14:paraId="0E99BF7E" w14:textId="77777777" w:rsidR="00576857" w:rsidRPr="00C12D03" w:rsidRDefault="00576857" w:rsidP="001515D5">
            <w:r w:rsidRPr="00C12D03">
              <w:t>15.2%</w:t>
            </w:r>
          </w:p>
        </w:tc>
        <w:tc>
          <w:tcPr>
            <w:tcW w:w="1870" w:type="dxa"/>
            <w:vAlign w:val="bottom"/>
          </w:tcPr>
          <w:p w14:paraId="3B540CEE" w14:textId="77777777" w:rsidR="00576857" w:rsidRPr="00C12D03" w:rsidRDefault="00576857" w:rsidP="001515D5">
            <w:r w:rsidRPr="00C12D03">
              <w:t>10.4%</w:t>
            </w:r>
          </w:p>
        </w:tc>
        <w:tc>
          <w:tcPr>
            <w:tcW w:w="1870" w:type="dxa"/>
            <w:vAlign w:val="bottom"/>
          </w:tcPr>
          <w:p w14:paraId="2280DD3B" w14:textId="77777777" w:rsidR="00576857" w:rsidRPr="00C12D03" w:rsidRDefault="00576857" w:rsidP="001515D5">
            <w:r w:rsidRPr="00C12D03">
              <w:t>10.0%</w:t>
            </w:r>
          </w:p>
        </w:tc>
      </w:tr>
    </w:tbl>
    <w:p w14:paraId="43C98CD0" w14:textId="77777777" w:rsidR="00576857" w:rsidRPr="00C12D03" w:rsidRDefault="00576857" w:rsidP="00576857">
      <w:r w:rsidRPr="00C12D03">
        <w:t xml:space="preserve">Source: SC DHEC Vital Statistics, 2017- 2021. </w:t>
      </w:r>
    </w:p>
    <w:p w14:paraId="262BECCB" w14:textId="77777777" w:rsidR="00576857" w:rsidRPr="00C12D03" w:rsidRDefault="00576857" w:rsidP="00576857">
      <w:r w:rsidRPr="00C12D03">
        <w:t>Note: preterm birth equal to &lt;37 weeks</w:t>
      </w:r>
      <w:r>
        <w:t>.</w:t>
      </w:r>
    </w:p>
    <w:p w14:paraId="11AD1A96" w14:textId="77777777" w:rsidR="00506CC7" w:rsidRDefault="00506CC7" w:rsidP="00506CC7">
      <w:pPr>
        <w:rPr>
          <w:b/>
          <w:bCs/>
        </w:rPr>
      </w:pPr>
    </w:p>
    <w:p w14:paraId="61393FCC" w14:textId="77777777" w:rsidR="00506CC7" w:rsidRDefault="00506CC7" w:rsidP="00506CC7">
      <w:pPr>
        <w:pStyle w:val="Heading4"/>
      </w:pPr>
      <w:bookmarkStart w:id="478" w:name="_Toc162267315"/>
      <w:r w:rsidRPr="00506CC7">
        <w:t>Data Interpretations:</w:t>
      </w:r>
      <w:bookmarkEnd w:id="478"/>
      <w:r w:rsidRPr="00506CC7">
        <w:t xml:space="preserve"> </w:t>
      </w:r>
    </w:p>
    <w:p w14:paraId="10DF0AD8" w14:textId="750879E5" w:rsidR="00506CC7" w:rsidRPr="00506CC7" w:rsidRDefault="00506CC7" w:rsidP="00506CC7">
      <w:r w:rsidRPr="00506CC7">
        <w:t>In SC, the prevalence of preterm birth has been steadily increasing over time, from 11.2% in 2017 to 11.8% in 2021 statewide (</w:t>
      </w:r>
      <w:r w:rsidRPr="00506CC7">
        <w:rPr>
          <w:b/>
          <w:bCs/>
        </w:rPr>
        <w:t>Figure 7.24</w:t>
      </w:r>
      <w:r w:rsidRPr="00506CC7">
        <w:t xml:space="preserve">). SC’s rates are higher than the US rate of 10.5% in 2021 and the Healthy People 2030 goal of 9.4%. Additionally, the prevalence of preterm birth increases with increasing maternal </w:t>
      </w:r>
      <w:r w:rsidRPr="00506CC7">
        <w:lastRenderedPageBreak/>
        <w:t>age (</w:t>
      </w:r>
      <w:r w:rsidRPr="00506CC7">
        <w:rPr>
          <w:b/>
          <w:bCs/>
        </w:rPr>
        <w:t>Figure 7.25</w:t>
      </w:r>
      <w:r w:rsidRPr="00506CC7">
        <w:t>). Non-Hispanic Black mothers have the highest prevalence of preterm birth (15.2%) as compared to other racial and ethnic populations (</w:t>
      </w:r>
      <w:r w:rsidRPr="00506CC7">
        <w:rPr>
          <w:b/>
          <w:bCs/>
        </w:rPr>
        <w:t>Figure 7.26</w:t>
      </w:r>
      <w:r w:rsidRPr="00506CC7">
        <w:t xml:space="preserve">). </w:t>
      </w:r>
    </w:p>
    <w:p w14:paraId="4318FAE3" w14:textId="77777777" w:rsidR="00506CC7" w:rsidRDefault="00506CC7" w:rsidP="00506CC7">
      <w:pPr>
        <w:rPr>
          <w:b/>
          <w:bCs/>
        </w:rPr>
      </w:pPr>
    </w:p>
    <w:p w14:paraId="13E88188" w14:textId="4DF9A753" w:rsidR="00506CC7" w:rsidRDefault="00506CC7" w:rsidP="00506CC7">
      <w:pPr>
        <w:pStyle w:val="Heading5"/>
      </w:pPr>
      <w:r>
        <w:t>Key Takeaways:</w:t>
      </w:r>
    </w:p>
    <w:p w14:paraId="60F05F74" w14:textId="77777777" w:rsidR="00506CC7" w:rsidRPr="00506CC7" w:rsidRDefault="00506CC7" w:rsidP="00926EB3">
      <w:pPr>
        <w:pStyle w:val="ListParagraph"/>
        <w:numPr>
          <w:ilvl w:val="0"/>
          <w:numId w:val="220"/>
        </w:numPr>
      </w:pPr>
      <w:r w:rsidRPr="00506CC7">
        <w:t>In SC, the prevalence of preterm birth has been steadily increasing over time. Some studies have reported an association between indicators of social vulnerability (e.g., race and ethnicity, population structure, socioeconomic status, housing structure, and access/functional needs) and both low birthweight and preterm birth.</w:t>
      </w:r>
    </w:p>
    <w:p w14:paraId="7107DBB6" w14:textId="77777777" w:rsidR="00506CC7" w:rsidRDefault="00506CC7" w:rsidP="00506CC7">
      <w:pPr>
        <w:rPr>
          <w:b/>
          <w:bCs/>
        </w:rPr>
      </w:pPr>
    </w:p>
    <w:p w14:paraId="3CA7D5E0" w14:textId="7971FE7D" w:rsidR="00506CC7" w:rsidRPr="00506CC7" w:rsidRDefault="00506CC7" w:rsidP="00506CC7">
      <w:pPr>
        <w:pStyle w:val="Heading4"/>
        <w:rPr>
          <w:rFonts w:asciiTheme="minorHAnsi" w:hAnsiTheme="minorHAnsi" w:cstheme="minorHAnsi"/>
          <w:color w:val="000000" w:themeColor="text1"/>
        </w:rPr>
      </w:pPr>
      <w:bookmarkStart w:id="479" w:name="_Toc162267316"/>
      <w:r w:rsidRPr="00506CC7">
        <w:rPr>
          <w:rFonts w:asciiTheme="minorHAnsi" w:hAnsiTheme="minorHAnsi" w:cstheme="minorHAnsi"/>
          <w:color w:val="000000" w:themeColor="text1"/>
        </w:rPr>
        <w:t>References 7.</w:t>
      </w:r>
      <w:r>
        <w:rPr>
          <w:rFonts w:asciiTheme="minorHAnsi" w:hAnsiTheme="minorHAnsi" w:cstheme="minorHAnsi"/>
          <w:color w:val="000000" w:themeColor="text1"/>
        </w:rPr>
        <w:t>12</w:t>
      </w:r>
      <w:bookmarkEnd w:id="479"/>
      <w:r w:rsidRPr="00506CC7">
        <w:rPr>
          <w:rFonts w:asciiTheme="minorHAnsi" w:hAnsiTheme="minorHAnsi" w:cstheme="minorHAnsi"/>
          <w:color w:val="000000" w:themeColor="text1"/>
        </w:rPr>
        <w:t xml:space="preserve"> </w:t>
      </w:r>
    </w:p>
    <w:p w14:paraId="7C0D3D61" w14:textId="77777777" w:rsidR="00506CC7" w:rsidRPr="00506CC7" w:rsidRDefault="00506CC7" w:rsidP="00506CC7">
      <w:pPr>
        <w:rPr>
          <w:i/>
          <w:iCs/>
        </w:rPr>
      </w:pPr>
      <w:r w:rsidRPr="00506CC7">
        <w:t>Statistics in the preceding section were referenced from the following reports:</w:t>
      </w:r>
    </w:p>
    <w:p w14:paraId="6250DCCD" w14:textId="6C5A57BA" w:rsidR="00506CC7" w:rsidRPr="00506CC7" w:rsidRDefault="00000000" w:rsidP="00926EB3">
      <w:pPr>
        <w:pStyle w:val="ListParagraph"/>
        <w:numPr>
          <w:ilvl w:val="0"/>
          <w:numId w:val="31"/>
        </w:numPr>
        <w:rPr>
          <w:u w:val="thick"/>
        </w:rPr>
      </w:pPr>
      <w:hyperlink r:id="rId218" w:history="1">
        <w:r w:rsidR="00506CC7" w:rsidRPr="00506CC7">
          <w:rPr>
            <w:rStyle w:val="Hyperlink"/>
          </w:rPr>
          <w:t>“Preterm Birth, Maternal and Infant Health, Reproductive Health” by CDC via cdc.gov. Accessed December 18, 2023.</w:t>
        </w:r>
      </w:hyperlink>
      <w:r w:rsidR="00506CC7" w:rsidRPr="00506CC7">
        <w:t xml:space="preserve"> </w:t>
      </w:r>
    </w:p>
    <w:p w14:paraId="533398D6" w14:textId="08C2DAAD" w:rsidR="00506CC7" w:rsidRPr="00506CC7" w:rsidRDefault="00000000" w:rsidP="00926EB3">
      <w:pPr>
        <w:pStyle w:val="ListParagraph"/>
        <w:numPr>
          <w:ilvl w:val="0"/>
          <w:numId w:val="31"/>
        </w:numPr>
      </w:pPr>
      <w:hyperlink r:id="rId219" w:history="1">
        <w:r w:rsidR="00506CC7" w:rsidRPr="00506CC7">
          <w:rPr>
            <w:rStyle w:val="Hyperlink"/>
          </w:rPr>
          <w:t>“Reduce preterm births — MICH 07” by Healthy People 2030 via health.gov. Accessed December 18, 2023.</w:t>
        </w:r>
      </w:hyperlink>
      <w:r w:rsidR="00506CC7" w:rsidRPr="00506CC7">
        <w:t xml:space="preserve"> </w:t>
      </w:r>
    </w:p>
    <w:p w14:paraId="7D7B26F3" w14:textId="17E22EFE" w:rsidR="00506CC7" w:rsidRPr="00506CC7" w:rsidRDefault="00000000" w:rsidP="00926EB3">
      <w:pPr>
        <w:pStyle w:val="ListParagraph"/>
        <w:numPr>
          <w:ilvl w:val="0"/>
          <w:numId w:val="31"/>
        </w:numPr>
      </w:pPr>
      <w:hyperlink r:id="rId220" w:history="1">
        <w:r w:rsidR="00506CC7" w:rsidRPr="00506CC7">
          <w:rPr>
            <w:rStyle w:val="Hyperlink"/>
          </w:rPr>
          <w:t>“Premature babies” published by March of Dimes. Accessed December 18, 2023.</w:t>
        </w:r>
      </w:hyperlink>
      <w:r w:rsidR="00506CC7" w:rsidRPr="00506CC7">
        <w:rPr>
          <w:u w:val="thick"/>
        </w:rPr>
        <w:t xml:space="preserve"> </w:t>
      </w:r>
    </w:p>
    <w:p w14:paraId="789236FA" w14:textId="39141CBB" w:rsidR="00506CC7" w:rsidRPr="00506CC7" w:rsidRDefault="00506CC7" w:rsidP="00926EB3">
      <w:pPr>
        <w:pStyle w:val="ListParagraph"/>
        <w:numPr>
          <w:ilvl w:val="0"/>
          <w:numId w:val="31"/>
        </w:numPr>
      </w:pPr>
      <w:r>
        <w:t>“</w:t>
      </w:r>
      <w:r w:rsidRPr="00506CC7">
        <w:t>Birth Settings in America: Outcomes, Quality, Access, and Choice</w:t>
      </w:r>
      <w:r>
        <w:t>” by</w:t>
      </w:r>
      <w:r w:rsidRPr="00506CC7">
        <w:t xml:space="preserve"> EP B, SC S. Birth Settings in America. Published online April 1, 2020. </w:t>
      </w:r>
      <w:r>
        <w:t>No hyperlink.</w:t>
      </w:r>
    </w:p>
    <w:p w14:paraId="1C541B05" w14:textId="753B369E" w:rsidR="00506CC7" w:rsidRPr="00506CC7" w:rsidRDefault="00506CC7" w:rsidP="00926EB3">
      <w:pPr>
        <w:pStyle w:val="ListParagraph"/>
        <w:numPr>
          <w:ilvl w:val="0"/>
          <w:numId w:val="31"/>
        </w:numPr>
      </w:pPr>
      <w:r>
        <w:t>“</w:t>
      </w:r>
      <w:r w:rsidRPr="00506CC7">
        <w:t>Prenatal WIC participation can reduce low birth weight and newborn medical costs: a cost-benefit analysis of WIC participation in North Carolina</w:t>
      </w:r>
      <w:r>
        <w:t>” by</w:t>
      </w:r>
      <w:r w:rsidRPr="00506CC7">
        <w:t xml:space="preserve"> Buescher PA, Larson LC, Nelson MD, </w:t>
      </w:r>
      <w:proofErr w:type="spellStart"/>
      <w:r w:rsidRPr="00506CC7">
        <w:t>Lenihan</w:t>
      </w:r>
      <w:proofErr w:type="spellEnd"/>
      <w:r w:rsidRPr="00506CC7">
        <w:t xml:space="preserve"> AJ.</w:t>
      </w:r>
      <w:r>
        <w:t xml:space="preserve"> Published in</w:t>
      </w:r>
      <w:r w:rsidRPr="00506CC7">
        <w:t xml:space="preserve"> J Am Diet Assoc</w:t>
      </w:r>
      <w:r>
        <w:t>, 1993. No hyperlink.</w:t>
      </w:r>
    </w:p>
    <w:p w14:paraId="2640D37B" w14:textId="5EDB4F30" w:rsidR="00506CC7" w:rsidRDefault="00506CC7" w:rsidP="00926EB3">
      <w:pPr>
        <w:pStyle w:val="ListParagraph"/>
        <w:numPr>
          <w:ilvl w:val="0"/>
          <w:numId w:val="31"/>
        </w:numPr>
      </w:pPr>
      <w:r>
        <w:t>“</w:t>
      </w:r>
      <w:r w:rsidRPr="00506CC7">
        <w:t>Preterm birth among pregnant women living in areas with high social vulnerability</w:t>
      </w:r>
      <w:r>
        <w:t>” by</w:t>
      </w:r>
      <w:r w:rsidRPr="00506CC7">
        <w:t xml:space="preserve"> Givens M, Teal EN, Patel V, </w:t>
      </w:r>
      <w:proofErr w:type="spellStart"/>
      <w:r w:rsidRPr="00506CC7">
        <w:t>Manuck</w:t>
      </w:r>
      <w:proofErr w:type="spellEnd"/>
      <w:r w:rsidRPr="00506CC7">
        <w:t xml:space="preserve"> TA. </w:t>
      </w:r>
      <w:r>
        <w:t xml:space="preserve">Published in </w:t>
      </w:r>
      <w:r w:rsidRPr="00506CC7">
        <w:t xml:space="preserve">Am J </w:t>
      </w:r>
      <w:proofErr w:type="spellStart"/>
      <w:r w:rsidRPr="00506CC7">
        <w:t>Obstet</w:t>
      </w:r>
      <w:proofErr w:type="spellEnd"/>
      <w:r w:rsidRPr="00506CC7">
        <w:t xml:space="preserve"> </w:t>
      </w:r>
      <w:proofErr w:type="spellStart"/>
      <w:r w:rsidRPr="00506CC7">
        <w:t>Gynecol</w:t>
      </w:r>
      <w:proofErr w:type="spellEnd"/>
      <w:r w:rsidRPr="00506CC7">
        <w:t xml:space="preserve"> MFM</w:t>
      </w:r>
      <w:r>
        <w:t xml:space="preserve">, </w:t>
      </w:r>
      <w:r w:rsidRPr="00506CC7">
        <w:t>2021</w:t>
      </w:r>
      <w:r>
        <w:t xml:space="preserve">. </w:t>
      </w:r>
    </w:p>
    <w:p w14:paraId="56896C08" w14:textId="77777777" w:rsidR="005253DC" w:rsidRDefault="005253DC" w:rsidP="00506CC7">
      <w:pPr>
        <w:pStyle w:val="Heading3"/>
      </w:pPr>
    </w:p>
    <w:p w14:paraId="5C2A9BD4" w14:textId="28657014" w:rsidR="00506CC7" w:rsidRDefault="00506CC7" w:rsidP="00506CC7">
      <w:pPr>
        <w:pStyle w:val="Heading3"/>
      </w:pPr>
      <w:bookmarkStart w:id="480" w:name="_Toc162267317"/>
      <w:r w:rsidRPr="00506CC7">
        <w:t>Healthy Infants: Low Birthweight</w:t>
      </w:r>
      <w:bookmarkEnd w:id="480"/>
    </w:p>
    <w:p w14:paraId="6E29E9F0" w14:textId="1B289469" w:rsidR="00506CC7" w:rsidRPr="00506CC7" w:rsidRDefault="00506CC7" w:rsidP="00506CC7">
      <w:r w:rsidRPr="00506CC7">
        <w:t xml:space="preserve">Babies weighing less than 2,500 grams (or about 5.5 pounds) at birth are classified as having low birthweight. A significant marker for infant survival, developmental delays in childhood, and disease in adulthood, low birthweight is, in many cases, preventable. Some challenges may exist for babies born with low birthweight, such as low oxygen levels and breathing problems at birth, decreased ability to </w:t>
      </w:r>
      <w:r w:rsidRPr="00506CC7">
        <w:lastRenderedPageBreak/>
        <w:t>maintain an appropriate body temperature, infection, difficulty feeding and gaining weight, digestive and nervous system issues, and increased risk of SIDS.</w:t>
      </w:r>
    </w:p>
    <w:p w14:paraId="652C5D3A" w14:textId="77777777" w:rsidR="00506CC7" w:rsidRDefault="00506CC7" w:rsidP="00506CC7"/>
    <w:p w14:paraId="3C7AAF96" w14:textId="5A4670EE" w:rsidR="00506CC7" w:rsidRDefault="00506CC7" w:rsidP="00506CC7">
      <w:r w:rsidRPr="00506CC7">
        <w:t xml:space="preserve">Low birthweight is largely caused by early or preterm birth. It can also result from intrauterine growth restriction (IUGR), or when a fetus does not grow as expected. </w:t>
      </w:r>
      <w:r>
        <w:t>T</w:t>
      </w:r>
      <w:r w:rsidRPr="00506CC7">
        <w:t>here are medical, behavioral, and lifestyle factors that can increase one’s risk of having a low-birthweight baby. These include having chronic health conditions like high blood pressure, diabetes, and problems involving the vital organs (i.e., heart, lung, kidney), having preterm labor and a history of preterm birth, infections, placental issues, malnutrition, substance use (i.e., smoking, alcohol consumption, illicit drugs), and exposure to toxins and pollutants</w:t>
      </w:r>
      <w:r w:rsidR="00A41236">
        <w:t>.</w:t>
      </w:r>
      <w:r w:rsidRPr="00506CC7">
        <w:t xml:space="preserve"> </w:t>
      </w:r>
    </w:p>
    <w:p w14:paraId="560A3842" w14:textId="77777777" w:rsidR="00506CC7" w:rsidRDefault="00506CC7" w:rsidP="00506CC7"/>
    <w:p w14:paraId="720F169C" w14:textId="5B2D7399" w:rsidR="00506CC7" w:rsidRPr="00506CC7" w:rsidRDefault="00506CC7" w:rsidP="00506CC7">
      <w:r w:rsidRPr="00506CC7">
        <w:t>Maternal age, domestic violence, and exposure to racism, discrimination, and other social and economic factors can have an adverse effect on birth outcomes as well. Maintaining a healthy diet, being physically healthy, not engaging in substance use, and being married are associated with a lower prevalence of low birthweight. Prenatal WIC participation is also linked to a lower prevalence of low birthweight.</w:t>
      </w:r>
    </w:p>
    <w:p w14:paraId="3DEF4B18" w14:textId="69A8F9EA" w:rsidR="00506CC7" w:rsidRDefault="00506CC7" w:rsidP="00506CC7">
      <w:pPr>
        <w:pStyle w:val="Heading3"/>
      </w:pPr>
    </w:p>
    <w:p w14:paraId="330A1D40" w14:textId="77777777" w:rsidR="00576857" w:rsidRDefault="00576857" w:rsidP="00576857">
      <w:pPr>
        <w:pStyle w:val="Heading4"/>
      </w:pPr>
      <w:bookmarkStart w:id="481" w:name="_Toc154576424"/>
      <w:bookmarkStart w:id="482" w:name="_Toc162267318"/>
      <w:r>
        <w:t>Figure 7.27: Low Birthweight, by Maternal Age.</w:t>
      </w:r>
      <w:bookmarkEnd w:id="481"/>
      <w:bookmarkEnd w:id="482"/>
    </w:p>
    <w:tbl>
      <w:tblPr>
        <w:tblStyle w:val="TableGrid"/>
        <w:tblW w:w="0" w:type="auto"/>
        <w:tblLook w:val="04A0" w:firstRow="1" w:lastRow="0" w:firstColumn="1" w:lastColumn="0" w:noHBand="0" w:noVBand="1"/>
      </w:tblPr>
      <w:tblGrid>
        <w:gridCol w:w="1870"/>
        <w:gridCol w:w="1870"/>
        <w:gridCol w:w="1870"/>
        <w:gridCol w:w="1870"/>
        <w:gridCol w:w="1870"/>
      </w:tblGrid>
      <w:tr w:rsidR="00576857" w14:paraId="04929676" w14:textId="77777777" w:rsidTr="001515D5">
        <w:tc>
          <w:tcPr>
            <w:tcW w:w="1870" w:type="dxa"/>
            <w:vAlign w:val="bottom"/>
          </w:tcPr>
          <w:p w14:paraId="2610E842" w14:textId="77777777" w:rsidR="00576857" w:rsidRPr="00C12D03" w:rsidRDefault="00576857" w:rsidP="001515D5">
            <w:r>
              <w:t>Year</w:t>
            </w:r>
          </w:p>
        </w:tc>
        <w:tc>
          <w:tcPr>
            <w:tcW w:w="1870" w:type="dxa"/>
            <w:vAlign w:val="bottom"/>
          </w:tcPr>
          <w:p w14:paraId="71AAF4CE" w14:textId="77777777" w:rsidR="00576857" w:rsidRPr="00C12D03" w:rsidRDefault="00576857" w:rsidP="001515D5">
            <w:r w:rsidRPr="00C12D03">
              <w:t xml:space="preserve">  &lt; 25</w:t>
            </w:r>
          </w:p>
        </w:tc>
        <w:tc>
          <w:tcPr>
            <w:tcW w:w="1870" w:type="dxa"/>
            <w:vAlign w:val="bottom"/>
          </w:tcPr>
          <w:p w14:paraId="467E71F4" w14:textId="77777777" w:rsidR="00576857" w:rsidRPr="00C12D03" w:rsidRDefault="00576857" w:rsidP="001515D5">
            <w:r w:rsidRPr="00C12D03">
              <w:t xml:space="preserve">  25 - 34</w:t>
            </w:r>
          </w:p>
        </w:tc>
        <w:tc>
          <w:tcPr>
            <w:tcW w:w="1870" w:type="dxa"/>
            <w:vAlign w:val="bottom"/>
          </w:tcPr>
          <w:p w14:paraId="7BE685DD" w14:textId="77777777" w:rsidR="00576857" w:rsidRPr="00C12D03" w:rsidRDefault="00576857" w:rsidP="001515D5">
            <w:r w:rsidRPr="00C12D03">
              <w:t xml:space="preserve">  35 - 44</w:t>
            </w:r>
          </w:p>
        </w:tc>
        <w:tc>
          <w:tcPr>
            <w:tcW w:w="1870" w:type="dxa"/>
            <w:vAlign w:val="bottom"/>
          </w:tcPr>
          <w:p w14:paraId="55AA6286" w14:textId="77777777" w:rsidR="00576857" w:rsidRPr="00C12D03" w:rsidRDefault="00576857" w:rsidP="001515D5">
            <w:r w:rsidRPr="00C12D03">
              <w:t xml:space="preserve">  45+</w:t>
            </w:r>
          </w:p>
        </w:tc>
      </w:tr>
      <w:tr w:rsidR="00576857" w14:paraId="033B09F8" w14:textId="77777777" w:rsidTr="001515D5">
        <w:tc>
          <w:tcPr>
            <w:tcW w:w="1870" w:type="dxa"/>
            <w:vAlign w:val="bottom"/>
          </w:tcPr>
          <w:p w14:paraId="06A2CFF0" w14:textId="77777777" w:rsidR="00576857" w:rsidRPr="00C12D03" w:rsidRDefault="00576857" w:rsidP="001515D5">
            <w:r w:rsidRPr="00C12D03">
              <w:t>2017-2021</w:t>
            </w:r>
          </w:p>
        </w:tc>
        <w:tc>
          <w:tcPr>
            <w:tcW w:w="1870" w:type="dxa"/>
            <w:vAlign w:val="bottom"/>
          </w:tcPr>
          <w:p w14:paraId="2F0FDDF7" w14:textId="77777777" w:rsidR="00576857" w:rsidRPr="00C12D03" w:rsidRDefault="00576857" w:rsidP="001515D5">
            <w:r>
              <w:t>10.7%</w:t>
            </w:r>
          </w:p>
        </w:tc>
        <w:tc>
          <w:tcPr>
            <w:tcW w:w="1870" w:type="dxa"/>
            <w:vAlign w:val="bottom"/>
          </w:tcPr>
          <w:p w14:paraId="0EC313EA" w14:textId="77777777" w:rsidR="00576857" w:rsidRPr="00C12D03" w:rsidRDefault="00576857" w:rsidP="001515D5">
            <w:r>
              <w:t>9.1%</w:t>
            </w:r>
          </w:p>
        </w:tc>
        <w:tc>
          <w:tcPr>
            <w:tcW w:w="1870" w:type="dxa"/>
            <w:vAlign w:val="bottom"/>
          </w:tcPr>
          <w:p w14:paraId="6CDFC0E9" w14:textId="77777777" w:rsidR="00576857" w:rsidRPr="00C12D03" w:rsidRDefault="00576857" w:rsidP="001515D5">
            <w:r>
              <w:t>10.8%</w:t>
            </w:r>
          </w:p>
        </w:tc>
        <w:tc>
          <w:tcPr>
            <w:tcW w:w="1870" w:type="dxa"/>
            <w:vAlign w:val="bottom"/>
          </w:tcPr>
          <w:p w14:paraId="5EF8A0BB" w14:textId="77777777" w:rsidR="00576857" w:rsidRPr="00C12D03" w:rsidRDefault="00576857" w:rsidP="001515D5">
            <w:r>
              <w:t>20.0%</w:t>
            </w:r>
          </w:p>
        </w:tc>
      </w:tr>
    </w:tbl>
    <w:p w14:paraId="0AFA0F04" w14:textId="77777777" w:rsidR="00576857" w:rsidRPr="00C12D03" w:rsidRDefault="00576857" w:rsidP="00576857">
      <w:r w:rsidRPr="00C12D03">
        <w:t xml:space="preserve">Source: SC DHEC Vital Statistics, 2017- 2021. </w:t>
      </w:r>
    </w:p>
    <w:p w14:paraId="361ECE78" w14:textId="77777777" w:rsidR="00576857" w:rsidRDefault="00576857" w:rsidP="00576857">
      <w:r w:rsidRPr="00C12D03">
        <w:t>Note: population for year 2021 based on single-race estimates and for years prior based on bridge-race estimates.</w:t>
      </w:r>
    </w:p>
    <w:p w14:paraId="4619A39B" w14:textId="77777777" w:rsidR="00576857" w:rsidRDefault="00576857" w:rsidP="00576857"/>
    <w:p w14:paraId="56E39D09" w14:textId="77777777" w:rsidR="00576857" w:rsidRDefault="00576857" w:rsidP="00576857">
      <w:pPr>
        <w:pStyle w:val="Heading4"/>
      </w:pPr>
      <w:bookmarkStart w:id="483" w:name="_Toc154576425"/>
      <w:bookmarkStart w:id="484" w:name="_Toc162267319"/>
      <w:r>
        <w:t>Figure 7.28: Low Birthweight, by Maternal Race/Ethnicity.</w:t>
      </w:r>
      <w:bookmarkEnd w:id="483"/>
      <w:bookmarkEnd w:id="484"/>
    </w:p>
    <w:tbl>
      <w:tblPr>
        <w:tblStyle w:val="TableGrid"/>
        <w:tblW w:w="0" w:type="auto"/>
        <w:tblLook w:val="04A0" w:firstRow="1" w:lastRow="0" w:firstColumn="1" w:lastColumn="0" w:noHBand="0" w:noVBand="1"/>
      </w:tblPr>
      <w:tblGrid>
        <w:gridCol w:w="1870"/>
        <w:gridCol w:w="1870"/>
        <w:gridCol w:w="1870"/>
        <w:gridCol w:w="1870"/>
        <w:gridCol w:w="1870"/>
      </w:tblGrid>
      <w:tr w:rsidR="00576857" w14:paraId="7F80815B" w14:textId="77777777" w:rsidTr="001515D5">
        <w:tc>
          <w:tcPr>
            <w:tcW w:w="1870" w:type="dxa"/>
            <w:vAlign w:val="bottom"/>
          </w:tcPr>
          <w:p w14:paraId="750C4FD0" w14:textId="77777777" w:rsidR="00576857" w:rsidRPr="00C12D03" w:rsidRDefault="00576857" w:rsidP="001515D5">
            <w:r>
              <w:t>Year</w:t>
            </w:r>
          </w:p>
        </w:tc>
        <w:tc>
          <w:tcPr>
            <w:tcW w:w="1870" w:type="dxa"/>
            <w:vAlign w:val="bottom"/>
          </w:tcPr>
          <w:p w14:paraId="745ECDD4" w14:textId="77777777" w:rsidR="00576857" w:rsidRPr="00C12D03" w:rsidRDefault="00576857" w:rsidP="001515D5">
            <w:r w:rsidRPr="00C12D03">
              <w:t>Non-Hispanic White</w:t>
            </w:r>
          </w:p>
        </w:tc>
        <w:tc>
          <w:tcPr>
            <w:tcW w:w="1870" w:type="dxa"/>
            <w:vAlign w:val="bottom"/>
          </w:tcPr>
          <w:p w14:paraId="740B342D" w14:textId="77777777" w:rsidR="00576857" w:rsidRPr="00C12D03" w:rsidRDefault="00576857" w:rsidP="001515D5">
            <w:r w:rsidRPr="00C12D03">
              <w:t>Non-Hispanic Black</w:t>
            </w:r>
          </w:p>
        </w:tc>
        <w:tc>
          <w:tcPr>
            <w:tcW w:w="1870" w:type="dxa"/>
            <w:vAlign w:val="bottom"/>
          </w:tcPr>
          <w:p w14:paraId="6CDD8D6B" w14:textId="77777777" w:rsidR="00576857" w:rsidRPr="00C12D03" w:rsidRDefault="00576857" w:rsidP="001515D5">
            <w:r w:rsidRPr="00C12D03">
              <w:t>Non-Hispanic Other (includes multi-racial)</w:t>
            </w:r>
          </w:p>
        </w:tc>
        <w:tc>
          <w:tcPr>
            <w:tcW w:w="1870" w:type="dxa"/>
            <w:vAlign w:val="bottom"/>
          </w:tcPr>
          <w:p w14:paraId="0A873171" w14:textId="77777777" w:rsidR="00576857" w:rsidRPr="00C12D03" w:rsidRDefault="00576857" w:rsidP="001515D5">
            <w:r w:rsidRPr="00C12D03">
              <w:t>Hispanic</w:t>
            </w:r>
          </w:p>
        </w:tc>
      </w:tr>
      <w:tr w:rsidR="00576857" w14:paraId="6FB59177" w14:textId="77777777" w:rsidTr="001515D5">
        <w:tc>
          <w:tcPr>
            <w:tcW w:w="1870" w:type="dxa"/>
            <w:vAlign w:val="bottom"/>
          </w:tcPr>
          <w:p w14:paraId="7FEF80EF" w14:textId="77777777" w:rsidR="00576857" w:rsidRPr="00C12D03" w:rsidRDefault="00576857" w:rsidP="001515D5">
            <w:r w:rsidRPr="00C12D03">
              <w:t>2017-2021</w:t>
            </w:r>
          </w:p>
        </w:tc>
        <w:tc>
          <w:tcPr>
            <w:tcW w:w="1870" w:type="dxa"/>
            <w:vAlign w:val="bottom"/>
          </w:tcPr>
          <w:p w14:paraId="22323ADA" w14:textId="77777777" w:rsidR="00576857" w:rsidRPr="00C12D03" w:rsidRDefault="00576857" w:rsidP="001515D5">
            <w:r w:rsidRPr="00C12D03">
              <w:t>7.3%</w:t>
            </w:r>
          </w:p>
        </w:tc>
        <w:tc>
          <w:tcPr>
            <w:tcW w:w="1870" w:type="dxa"/>
            <w:vAlign w:val="bottom"/>
          </w:tcPr>
          <w:p w14:paraId="7C087191" w14:textId="77777777" w:rsidR="00576857" w:rsidRPr="00C12D03" w:rsidRDefault="00576857" w:rsidP="001515D5">
            <w:r w:rsidRPr="00C12D03">
              <w:t>15.4%</w:t>
            </w:r>
          </w:p>
        </w:tc>
        <w:tc>
          <w:tcPr>
            <w:tcW w:w="1870" w:type="dxa"/>
            <w:vAlign w:val="bottom"/>
          </w:tcPr>
          <w:p w14:paraId="6AF9C69A" w14:textId="77777777" w:rsidR="00576857" w:rsidRPr="00C12D03" w:rsidRDefault="00576857" w:rsidP="001515D5">
            <w:r w:rsidRPr="00C12D03">
              <w:t>9.1%</w:t>
            </w:r>
          </w:p>
        </w:tc>
        <w:tc>
          <w:tcPr>
            <w:tcW w:w="1870" w:type="dxa"/>
            <w:vAlign w:val="bottom"/>
          </w:tcPr>
          <w:p w14:paraId="0B44F69D" w14:textId="77777777" w:rsidR="00576857" w:rsidRPr="00C12D03" w:rsidRDefault="00576857" w:rsidP="001515D5">
            <w:r w:rsidRPr="00C12D03">
              <w:t>7.3%</w:t>
            </w:r>
          </w:p>
        </w:tc>
      </w:tr>
    </w:tbl>
    <w:p w14:paraId="239A776C" w14:textId="77777777" w:rsidR="00576857" w:rsidRDefault="00576857" w:rsidP="00576857">
      <w:r w:rsidRPr="00C12D03">
        <w:t xml:space="preserve">Source: SC DHEC Vital Statistics, 2017- 2021. </w:t>
      </w:r>
    </w:p>
    <w:p w14:paraId="77E42101" w14:textId="77777777" w:rsidR="00576857" w:rsidRDefault="00576857" w:rsidP="00576857">
      <w:r w:rsidRPr="00C12D03">
        <w:t>Note: population for year 2021 based on single-race estimates and for years prior based on bridge-race estimates.</w:t>
      </w:r>
    </w:p>
    <w:p w14:paraId="63D202AD" w14:textId="77777777" w:rsidR="00576857" w:rsidRPr="00C12D03" w:rsidRDefault="00576857" w:rsidP="00576857"/>
    <w:p w14:paraId="05D31B1A" w14:textId="77777777" w:rsidR="00576857" w:rsidRDefault="00576857" w:rsidP="00576857">
      <w:pPr>
        <w:pStyle w:val="Heading4"/>
      </w:pPr>
      <w:bookmarkStart w:id="485" w:name="_Toc154576426"/>
      <w:bookmarkStart w:id="486" w:name="_Toc162267320"/>
      <w:r>
        <w:lastRenderedPageBreak/>
        <w:t>Figure 7.29: Low Birthweight, by County.</w:t>
      </w:r>
      <w:bookmarkEnd w:id="485"/>
      <w:bookmarkEnd w:id="486"/>
    </w:p>
    <w:tbl>
      <w:tblPr>
        <w:tblStyle w:val="TableGrid"/>
        <w:tblW w:w="0" w:type="auto"/>
        <w:tblLook w:val="04A0" w:firstRow="1" w:lastRow="0" w:firstColumn="1" w:lastColumn="0" w:noHBand="0" w:noVBand="1"/>
      </w:tblPr>
      <w:tblGrid>
        <w:gridCol w:w="4675"/>
        <w:gridCol w:w="4675"/>
      </w:tblGrid>
      <w:tr w:rsidR="00576857" w14:paraId="0EE9CE86" w14:textId="77777777" w:rsidTr="001515D5">
        <w:tc>
          <w:tcPr>
            <w:tcW w:w="4675" w:type="dxa"/>
            <w:vAlign w:val="bottom"/>
          </w:tcPr>
          <w:p w14:paraId="0EC371F7" w14:textId="77777777" w:rsidR="00576857" w:rsidRPr="00C12D03" w:rsidRDefault="00576857" w:rsidP="001515D5">
            <w:r w:rsidRPr="00C12D03">
              <w:t>Abbeville</w:t>
            </w:r>
          </w:p>
        </w:tc>
        <w:tc>
          <w:tcPr>
            <w:tcW w:w="4675" w:type="dxa"/>
            <w:vAlign w:val="bottom"/>
          </w:tcPr>
          <w:p w14:paraId="7AF7C913" w14:textId="77777777" w:rsidR="00576857" w:rsidRPr="00C12D03" w:rsidRDefault="00576857" w:rsidP="001515D5">
            <w:r w:rsidRPr="00C12D03">
              <w:t>9.9%</w:t>
            </w:r>
          </w:p>
        </w:tc>
      </w:tr>
      <w:tr w:rsidR="00576857" w14:paraId="6AC9E9D7" w14:textId="77777777" w:rsidTr="001515D5">
        <w:tc>
          <w:tcPr>
            <w:tcW w:w="4675" w:type="dxa"/>
            <w:vAlign w:val="bottom"/>
          </w:tcPr>
          <w:p w14:paraId="3AA49E75" w14:textId="77777777" w:rsidR="00576857" w:rsidRPr="00C12D03" w:rsidRDefault="00576857" w:rsidP="001515D5">
            <w:r w:rsidRPr="00C12D03">
              <w:t>Aiken</w:t>
            </w:r>
          </w:p>
        </w:tc>
        <w:tc>
          <w:tcPr>
            <w:tcW w:w="4675" w:type="dxa"/>
            <w:vAlign w:val="bottom"/>
          </w:tcPr>
          <w:p w14:paraId="585FB5AF" w14:textId="77777777" w:rsidR="00576857" w:rsidRPr="00C12D03" w:rsidRDefault="00576857" w:rsidP="001515D5">
            <w:r w:rsidRPr="00C12D03">
              <w:t>9.2%</w:t>
            </w:r>
          </w:p>
        </w:tc>
      </w:tr>
      <w:tr w:rsidR="00576857" w14:paraId="54B0CBA9" w14:textId="77777777" w:rsidTr="001515D5">
        <w:tc>
          <w:tcPr>
            <w:tcW w:w="4675" w:type="dxa"/>
            <w:vAlign w:val="bottom"/>
          </w:tcPr>
          <w:p w14:paraId="5F1CD331" w14:textId="77777777" w:rsidR="00576857" w:rsidRPr="00C12D03" w:rsidRDefault="00576857" w:rsidP="001515D5">
            <w:r w:rsidRPr="00C12D03">
              <w:t>Allendale</w:t>
            </w:r>
          </w:p>
        </w:tc>
        <w:tc>
          <w:tcPr>
            <w:tcW w:w="4675" w:type="dxa"/>
            <w:vAlign w:val="bottom"/>
          </w:tcPr>
          <w:p w14:paraId="6FDEE2D4" w14:textId="77777777" w:rsidR="00576857" w:rsidRPr="00C12D03" w:rsidRDefault="00576857" w:rsidP="001515D5">
            <w:r w:rsidRPr="00C12D03">
              <w:t>13.2%</w:t>
            </w:r>
          </w:p>
        </w:tc>
      </w:tr>
      <w:tr w:rsidR="00576857" w14:paraId="6A5F92C5" w14:textId="77777777" w:rsidTr="001515D5">
        <w:tc>
          <w:tcPr>
            <w:tcW w:w="4675" w:type="dxa"/>
            <w:vAlign w:val="bottom"/>
          </w:tcPr>
          <w:p w14:paraId="1D81FAC6" w14:textId="77777777" w:rsidR="00576857" w:rsidRPr="00C12D03" w:rsidRDefault="00576857" w:rsidP="001515D5">
            <w:r w:rsidRPr="00C12D03">
              <w:t>Anderson</w:t>
            </w:r>
          </w:p>
        </w:tc>
        <w:tc>
          <w:tcPr>
            <w:tcW w:w="4675" w:type="dxa"/>
            <w:vAlign w:val="bottom"/>
          </w:tcPr>
          <w:p w14:paraId="1E7E3262" w14:textId="77777777" w:rsidR="00576857" w:rsidRPr="00C12D03" w:rsidRDefault="00576857" w:rsidP="001515D5">
            <w:r w:rsidRPr="00C12D03">
              <w:t>9.7%</w:t>
            </w:r>
          </w:p>
        </w:tc>
      </w:tr>
      <w:tr w:rsidR="00576857" w14:paraId="42666C7A" w14:textId="77777777" w:rsidTr="001515D5">
        <w:tc>
          <w:tcPr>
            <w:tcW w:w="4675" w:type="dxa"/>
            <w:vAlign w:val="bottom"/>
          </w:tcPr>
          <w:p w14:paraId="6F8E801B" w14:textId="77777777" w:rsidR="00576857" w:rsidRPr="00C12D03" w:rsidRDefault="00576857" w:rsidP="001515D5">
            <w:r w:rsidRPr="00C12D03">
              <w:t>Bamberg</w:t>
            </w:r>
          </w:p>
        </w:tc>
        <w:tc>
          <w:tcPr>
            <w:tcW w:w="4675" w:type="dxa"/>
            <w:vAlign w:val="bottom"/>
          </w:tcPr>
          <w:p w14:paraId="48D58544" w14:textId="77777777" w:rsidR="00576857" w:rsidRPr="00C12D03" w:rsidRDefault="00576857" w:rsidP="001515D5">
            <w:r w:rsidRPr="00C12D03">
              <w:t>11.3%</w:t>
            </w:r>
          </w:p>
        </w:tc>
      </w:tr>
      <w:tr w:rsidR="00576857" w14:paraId="7AA16B36" w14:textId="77777777" w:rsidTr="001515D5">
        <w:tc>
          <w:tcPr>
            <w:tcW w:w="4675" w:type="dxa"/>
            <w:vAlign w:val="bottom"/>
          </w:tcPr>
          <w:p w14:paraId="6E5C57F0" w14:textId="77777777" w:rsidR="00576857" w:rsidRPr="00C12D03" w:rsidRDefault="00576857" w:rsidP="001515D5">
            <w:r w:rsidRPr="00C12D03">
              <w:t>Barnwell</w:t>
            </w:r>
          </w:p>
        </w:tc>
        <w:tc>
          <w:tcPr>
            <w:tcW w:w="4675" w:type="dxa"/>
            <w:vAlign w:val="bottom"/>
          </w:tcPr>
          <w:p w14:paraId="67A6874C" w14:textId="77777777" w:rsidR="00576857" w:rsidRPr="00C12D03" w:rsidRDefault="00576857" w:rsidP="001515D5">
            <w:r w:rsidRPr="00C12D03">
              <w:t>11.6%</w:t>
            </w:r>
          </w:p>
        </w:tc>
      </w:tr>
      <w:tr w:rsidR="00576857" w14:paraId="5107DBEE" w14:textId="77777777" w:rsidTr="001515D5">
        <w:tc>
          <w:tcPr>
            <w:tcW w:w="4675" w:type="dxa"/>
            <w:vAlign w:val="bottom"/>
          </w:tcPr>
          <w:p w14:paraId="1D9AF972" w14:textId="77777777" w:rsidR="00576857" w:rsidRPr="00C12D03" w:rsidRDefault="00576857" w:rsidP="001515D5">
            <w:r w:rsidRPr="00C12D03">
              <w:t>Beaufort</w:t>
            </w:r>
          </w:p>
        </w:tc>
        <w:tc>
          <w:tcPr>
            <w:tcW w:w="4675" w:type="dxa"/>
            <w:vAlign w:val="bottom"/>
          </w:tcPr>
          <w:p w14:paraId="5D60436F" w14:textId="77777777" w:rsidR="00576857" w:rsidRPr="00C12D03" w:rsidRDefault="00576857" w:rsidP="001515D5">
            <w:r w:rsidRPr="00C12D03">
              <w:t>8.4%</w:t>
            </w:r>
          </w:p>
        </w:tc>
      </w:tr>
      <w:tr w:rsidR="00576857" w14:paraId="0DCBD326" w14:textId="77777777" w:rsidTr="001515D5">
        <w:tc>
          <w:tcPr>
            <w:tcW w:w="4675" w:type="dxa"/>
            <w:vAlign w:val="bottom"/>
          </w:tcPr>
          <w:p w14:paraId="358D14CD" w14:textId="77777777" w:rsidR="00576857" w:rsidRPr="00C12D03" w:rsidRDefault="00576857" w:rsidP="001515D5">
            <w:r w:rsidRPr="00C12D03">
              <w:t>Berkeley</w:t>
            </w:r>
          </w:p>
        </w:tc>
        <w:tc>
          <w:tcPr>
            <w:tcW w:w="4675" w:type="dxa"/>
            <w:vAlign w:val="bottom"/>
          </w:tcPr>
          <w:p w14:paraId="0063C010" w14:textId="77777777" w:rsidR="00576857" w:rsidRPr="00C12D03" w:rsidRDefault="00576857" w:rsidP="001515D5">
            <w:r w:rsidRPr="00C12D03">
              <w:t>9.1%</w:t>
            </w:r>
          </w:p>
        </w:tc>
      </w:tr>
      <w:tr w:rsidR="00576857" w14:paraId="609DC8A3" w14:textId="77777777" w:rsidTr="001515D5">
        <w:tc>
          <w:tcPr>
            <w:tcW w:w="4675" w:type="dxa"/>
            <w:vAlign w:val="bottom"/>
          </w:tcPr>
          <w:p w14:paraId="5F700829" w14:textId="77777777" w:rsidR="00576857" w:rsidRPr="00C12D03" w:rsidRDefault="00576857" w:rsidP="001515D5">
            <w:r w:rsidRPr="00C12D03">
              <w:t>Calhoun</w:t>
            </w:r>
          </w:p>
        </w:tc>
        <w:tc>
          <w:tcPr>
            <w:tcW w:w="4675" w:type="dxa"/>
            <w:vAlign w:val="bottom"/>
          </w:tcPr>
          <w:p w14:paraId="67F5ED4E" w14:textId="77777777" w:rsidR="00576857" w:rsidRPr="00C12D03" w:rsidRDefault="00576857" w:rsidP="001515D5">
            <w:r w:rsidRPr="00C12D03">
              <w:t>11.1%</w:t>
            </w:r>
          </w:p>
        </w:tc>
      </w:tr>
      <w:tr w:rsidR="00576857" w14:paraId="6BE038DC" w14:textId="77777777" w:rsidTr="001515D5">
        <w:tc>
          <w:tcPr>
            <w:tcW w:w="4675" w:type="dxa"/>
            <w:vAlign w:val="bottom"/>
          </w:tcPr>
          <w:p w14:paraId="2027065C" w14:textId="77777777" w:rsidR="00576857" w:rsidRPr="00C12D03" w:rsidRDefault="00576857" w:rsidP="001515D5">
            <w:r w:rsidRPr="00C12D03">
              <w:t>Charleston</w:t>
            </w:r>
          </w:p>
        </w:tc>
        <w:tc>
          <w:tcPr>
            <w:tcW w:w="4675" w:type="dxa"/>
            <w:vAlign w:val="bottom"/>
          </w:tcPr>
          <w:p w14:paraId="142BB58A" w14:textId="77777777" w:rsidR="00576857" w:rsidRPr="00C12D03" w:rsidRDefault="00576857" w:rsidP="001515D5">
            <w:r w:rsidRPr="00C12D03">
              <w:t>9.6%</w:t>
            </w:r>
          </w:p>
        </w:tc>
      </w:tr>
      <w:tr w:rsidR="00576857" w14:paraId="36B7B4BD" w14:textId="77777777" w:rsidTr="001515D5">
        <w:tc>
          <w:tcPr>
            <w:tcW w:w="4675" w:type="dxa"/>
            <w:vAlign w:val="bottom"/>
          </w:tcPr>
          <w:p w14:paraId="13F245F0" w14:textId="77777777" w:rsidR="00576857" w:rsidRPr="00C12D03" w:rsidRDefault="00576857" w:rsidP="001515D5">
            <w:r w:rsidRPr="00C12D03">
              <w:t>Cherokee</w:t>
            </w:r>
          </w:p>
        </w:tc>
        <w:tc>
          <w:tcPr>
            <w:tcW w:w="4675" w:type="dxa"/>
            <w:vAlign w:val="bottom"/>
          </w:tcPr>
          <w:p w14:paraId="5071BEF6" w14:textId="77777777" w:rsidR="00576857" w:rsidRPr="00C12D03" w:rsidRDefault="00576857" w:rsidP="001515D5">
            <w:r w:rsidRPr="00C12D03">
              <w:t>11.7%</w:t>
            </w:r>
          </w:p>
        </w:tc>
      </w:tr>
      <w:tr w:rsidR="00576857" w14:paraId="6D94EEB8" w14:textId="77777777" w:rsidTr="001515D5">
        <w:tc>
          <w:tcPr>
            <w:tcW w:w="4675" w:type="dxa"/>
            <w:vAlign w:val="bottom"/>
          </w:tcPr>
          <w:p w14:paraId="409D9A8A" w14:textId="77777777" w:rsidR="00576857" w:rsidRPr="00C12D03" w:rsidRDefault="00576857" w:rsidP="001515D5">
            <w:r w:rsidRPr="00C12D03">
              <w:t>Chester</w:t>
            </w:r>
          </w:p>
        </w:tc>
        <w:tc>
          <w:tcPr>
            <w:tcW w:w="4675" w:type="dxa"/>
            <w:vAlign w:val="bottom"/>
          </w:tcPr>
          <w:p w14:paraId="793E7ED7" w14:textId="77777777" w:rsidR="00576857" w:rsidRPr="00C12D03" w:rsidRDefault="00576857" w:rsidP="001515D5">
            <w:r w:rsidRPr="00C12D03">
              <w:t>11.4%</w:t>
            </w:r>
          </w:p>
        </w:tc>
      </w:tr>
      <w:tr w:rsidR="00576857" w14:paraId="70290ABA" w14:textId="77777777" w:rsidTr="001515D5">
        <w:tc>
          <w:tcPr>
            <w:tcW w:w="4675" w:type="dxa"/>
            <w:vAlign w:val="bottom"/>
          </w:tcPr>
          <w:p w14:paraId="0597095A" w14:textId="77777777" w:rsidR="00576857" w:rsidRPr="00C12D03" w:rsidRDefault="00576857" w:rsidP="001515D5">
            <w:r w:rsidRPr="00C12D03">
              <w:t>Chesterfield</w:t>
            </w:r>
          </w:p>
        </w:tc>
        <w:tc>
          <w:tcPr>
            <w:tcW w:w="4675" w:type="dxa"/>
            <w:vAlign w:val="bottom"/>
          </w:tcPr>
          <w:p w14:paraId="0E4E6298" w14:textId="77777777" w:rsidR="00576857" w:rsidRPr="00C12D03" w:rsidRDefault="00576857" w:rsidP="001515D5">
            <w:r w:rsidRPr="00C12D03">
              <w:t>11.0%</w:t>
            </w:r>
          </w:p>
        </w:tc>
      </w:tr>
      <w:tr w:rsidR="00576857" w14:paraId="4F38E80E" w14:textId="77777777" w:rsidTr="001515D5">
        <w:tc>
          <w:tcPr>
            <w:tcW w:w="4675" w:type="dxa"/>
            <w:vAlign w:val="bottom"/>
          </w:tcPr>
          <w:p w14:paraId="718D7389" w14:textId="77777777" w:rsidR="00576857" w:rsidRPr="00C12D03" w:rsidRDefault="00576857" w:rsidP="001515D5">
            <w:r w:rsidRPr="00C12D03">
              <w:t>Clarendon</w:t>
            </w:r>
          </w:p>
        </w:tc>
        <w:tc>
          <w:tcPr>
            <w:tcW w:w="4675" w:type="dxa"/>
            <w:vAlign w:val="bottom"/>
          </w:tcPr>
          <w:p w14:paraId="5A96333F" w14:textId="77777777" w:rsidR="00576857" w:rsidRPr="00C12D03" w:rsidRDefault="00576857" w:rsidP="001515D5">
            <w:r w:rsidRPr="00C12D03">
              <w:t>11.6%</w:t>
            </w:r>
          </w:p>
        </w:tc>
      </w:tr>
      <w:tr w:rsidR="00576857" w14:paraId="314600A9" w14:textId="77777777" w:rsidTr="001515D5">
        <w:tc>
          <w:tcPr>
            <w:tcW w:w="4675" w:type="dxa"/>
            <w:vAlign w:val="bottom"/>
          </w:tcPr>
          <w:p w14:paraId="552B37B4" w14:textId="77777777" w:rsidR="00576857" w:rsidRPr="00C12D03" w:rsidRDefault="00576857" w:rsidP="001515D5">
            <w:r w:rsidRPr="00C12D03">
              <w:t>Colleton</w:t>
            </w:r>
          </w:p>
        </w:tc>
        <w:tc>
          <w:tcPr>
            <w:tcW w:w="4675" w:type="dxa"/>
            <w:vAlign w:val="bottom"/>
          </w:tcPr>
          <w:p w14:paraId="7604CD54" w14:textId="77777777" w:rsidR="00576857" w:rsidRPr="00C12D03" w:rsidRDefault="00576857" w:rsidP="001515D5">
            <w:r w:rsidRPr="00C12D03">
              <w:t>11.6%</w:t>
            </w:r>
          </w:p>
        </w:tc>
      </w:tr>
      <w:tr w:rsidR="00576857" w14:paraId="06905171" w14:textId="77777777" w:rsidTr="001515D5">
        <w:tc>
          <w:tcPr>
            <w:tcW w:w="4675" w:type="dxa"/>
            <w:vAlign w:val="bottom"/>
          </w:tcPr>
          <w:p w14:paraId="65941182" w14:textId="77777777" w:rsidR="00576857" w:rsidRPr="00C12D03" w:rsidRDefault="00576857" w:rsidP="001515D5">
            <w:r w:rsidRPr="00C12D03">
              <w:t>Darlington</w:t>
            </w:r>
          </w:p>
        </w:tc>
        <w:tc>
          <w:tcPr>
            <w:tcW w:w="4675" w:type="dxa"/>
            <w:vAlign w:val="bottom"/>
          </w:tcPr>
          <w:p w14:paraId="7C709851" w14:textId="77777777" w:rsidR="00576857" w:rsidRPr="00C12D03" w:rsidRDefault="00576857" w:rsidP="001515D5">
            <w:r w:rsidRPr="00C12D03">
              <w:t>13.0%</w:t>
            </w:r>
          </w:p>
        </w:tc>
      </w:tr>
      <w:tr w:rsidR="00576857" w14:paraId="7E039C0E" w14:textId="77777777" w:rsidTr="001515D5">
        <w:tc>
          <w:tcPr>
            <w:tcW w:w="4675" w:type="dxa"/>
            <w:vAlign w:val="bottom"/>
          </w:tcPr>
          <w:p w14:paraId="699112D2" w14:textId="77777777" w:rsidR="00576857" w:rsidRPr="00C12D03" w:rsidRDefault="00576857" w:rsidP="001515D5">
            <w:r w:rsidRPr="00C12D03">
              <w:t>Dillon</w:t>
            </w:r>
          </w:p>
        </w:tc>
        <w:tc>
          <w:tcPr>
            <w:tcW w:w="4675" w:type="dxa"/>
            <w:vAlign w:val="bottom"/>
          </w:tcPr>
          <w:p w14:paraId="7D8BFA05" w14:textId="77777777" w:rsidR="00576857" w:rsidRPr="00C12D03" w:rsidRDefault="00576857" w:rsidP="001515D5">
            <w:r w:rsidRPr="00C12D03">
              <w:t>12.7%</w:t>
            </w:r>
          </w:p>
        </w:tc>
      </w:tr>
      <w:tr w:rsidR="00576857" w14:paraId="54AD42B4" w14:textId="77777777" w:rsidTr="001515D5">
        <w:tc>
          <w:tcPr>
            <w:tcW w:w="4675" w:type="dxa"/>
            <w:vAlign w:val="bottom"/>
          </w:tcPr>
          <w:p w14:paraId="6B86CA3B" w14:textId="77777777" w:rsidR="00576857" w:rsidRPr="00C12D03" w:rsidRDefault="00576857" w:rsidP="001515D5">
            <w:r w:rsidRPr="00C12D03">
              <w:t>Dorchester</w:t>
            </w:r>
          </w:p>
        </w:tc>
        <w:tc>
          <w:tcPr>
            <w:tcW w:w="4675" w:type="dxa"/>
            <w:vAlign w:val="bottom"/>
          </w:tcPr>
          <w:p w14:paraId="2D093118" w14:textId="77777777" w:rsidR="00576857" w:rsidRPr="00C12D03" w:rsidRDefault="00576857" w:rsidP="001515D5">
            <w:r w:rsidRPr="00C12D03">
              <w:t>9.1%</w:t>
            </w:r>
          </w:p>
        </w:tc>
      </w:tr>
      <w:tr w:rsidR="00576857" w14:paraId="789959E8" w14:textId="77777777" w:rsidTr="001515D5">
        <w:tc>
          <w:tcPr>
            <w:tcW w:w="4675" w:type="dxa"/>
            <w:vAlign w:val="bottom"/>
          </w:tcPr>
          <w:p w14:paraId="15E4DD31" w14:textId="77777777" w:rsidR="00576857" w:rsidRPr="00C12D03" w:rsidRDefault="00576857" w:rsidP="001515D5">
            <w:r w:rsidRPr="00C12D03">
              <w:t>Edgefield</w:t>
            </w:r>
          </w:p>
        </w:tc>
        <w:tc>
          <w:tcPr>
            <w:tcW w:w="4675" w:type="dxa"/>
            <w:vAlign w:val="bottom"/>
          </w:tcPr>
          <w:p w14:paraId="08066690" w14:textId="77777777" w:rsidR="00576857" w:rsidRPr="00C12D03" w:rsidRDefault="00576857" w:rsidP="001515D5">
            <w:r w:rsidRPr="00C12D03">
              <w:t>10.0%</w:t>
            </w:r>
          </w:p>
        </w:tc>
      </w:tr>
      <w:tr w:rsidR="00576857" w14:paraId="5F17D391" w14:textId="77777777" w:rsidTr="001515D5">
        <w:tc>
          <w:tcPr>
            <w:tcW w:w="4675" w:type="dxa"/>
            <w:vAlign w:val="bottom"/>
          </w:tcPr>
          <w:p w14:paraId="2E1B10F1" w14:textId="77777777" w:rsidR="00576857" w:rsidRPr="00C12D03" w:rsidRDefault="00576857" w:rsidP="001515D5">
            <w:r w:rsidRPr="00C12D03">
              <w:t>Fairfield</w:t>
            </w:r>
          </w:p>
        </w:tc>
        <w:tc>
          <w:tcPr>
            <w:tcW w:w="4675" w:type="dxa"/>
            <w:vAlign w:val="bottom"/>
          </w:tcPr>
          <w:p w14:paraId="5F65CA89" w14:textId="77777777" w:rsidR="00576857" w:rsidRPr="00C12D03" w:rsidRDefault="00576857" w:rsidP="001515D5">
            <w:r w:rsidRPr="00C12D03">
              <w:t>10.7%</w:t>
            </w:r>
          </w:p>
        </w:tc>
      </w:tr>
      <w:tr w:rsidR="00576857" w14:paraId="0A88A8D7" w14:textId="77777777" w:rsidTr="001515D5">
        <w:tc>
          <w:tcPr>
            <w:tcW w:w="4675" w:type="dxa"/>
            <w:vAlign w:val="bottom"/>
          </w:tcPr>
          <w:p w14:paraId="301C4DCC" w14:textId="77777777" w:rsidR="00576857" w:rsidRPr="00C12D03" w:rsidRDefault="00576857" w:rsidP="001515D5">
            <w:r w:rsidRPr="00C12D03">
              <w:t>Florence</w:t>
            </w:r>
          </w:p>
        </w:tc>
        <w:tc>
          <w:tcPr>
            <w:tcW w:w="4675" w:type="dxa"/>
            <w:vAlign w:val="bottom"/>
          </w:tcPr>
          <w:p w14:paraId="48E16912" w14:textId="77777777" w:rsidR="00576857" w:rsidRPr="00C12D03" w:rsidRDefault="00576857" w:rsidP="001515D5">
            <w:r w:rsidRPr="00C12D03">
              <w:t>12.8%</w:t>
            </w:r>
          </w:p>
        </w:tc>
      </w:tr>
      <w:tr w:rsidR="00576857" w14:paraId="1C63C362" w14:textId="77777777" w:rsidTr="001515D5">
        <w:tc>
          <w:tcPr>
            <w:tcW w:w="4675" w:type="dxa"/>
            <w:vAlign w:val="bottom"/>
          </w:tcPr>
          <w:p w14:paraId="37C1F6A7" w14:textId="77777777" w:rsidR="00576857" w:rsidRPr="00C12D03" w:rsidRDefault="00576857" w:rsidP="001515D5">
            <w:r w:rsidRPr="00C12D03">
              <w:t>Georgetown</w:t>
            </w:r>
          </w:p>
        </w:tc>
        <w:tc>
          <w:tcPr>
            <w:tcW w:w="4675" w:type="dxa"/>
            <w:vAlign w:val="bottom"/>
          </w:tcPr>
          <w:p w14:paraId="27204780" w14:textId="77777777" w:rsidR="00576857" w:rsidRPr="00C12D03" w:rsidRDefault="00576857" w:rsidP="001515D5">
            <w:r w:rsidRPr="00C12D03">
              <w:t>10.8%</w:t>
            </w:r>
          </w:p>
        </w:tc>
      </w:tr>
      <w:tr w:rsidR="00576857" w14:paraId="6772991C" w14:textId="77777777" w:rsidTr="001515D5">
        <w:tc>
          <w:tcPr>
            <w:tcW w:w="4675" w:type="dxa"/>
            <w:vAlign w:val="bottom"/>
          </w:tcPr>
          <w:p w14:paraId="3A4B3DD3" w14:textId="77777777" w:rsidR="00576857" w:rsidRPr="00C12D03" w:rsidRDefault="00576857" w:rsidP="001515D5">
            <w:r w:rsidRPr="00C12D03">
              <w:t>Greenville</w:t>
            </w:r>
          </w:p>
        </w:tc>
        <w:tc>
          <w:tcPr>
            <w:tcW w:w="4675" w:type="dxa"/>
            <w:vAlign w:val="bottom"/>
          </w:tcPr>
          <w:p w14:paraId="738F9C78" w14:textId="77777777" w:rsidR="00576857" w:rsidRPr="00C12D03" w:rsidRDefault="00576857" w:rsidP="001515D5">
            <w:r w:rsidRPr="00C12D03">
              <w:t>8.6%</w:t>
            </w:r>
          </w:p>
        </w:tc>
      </w:tr>
      <w:tr w:rsidR="00576857" w14:paraId="337EE4BC" w14:textId="77777777" w:rsidTr="001515D5">
        <w:tc>
          <w:tcPr>
            <w:tcW w:w="4675" w:type="dxa"/>
            <w:vAlign w:val="bottom"/>
          </w:tcPr>
          <w:p w14:paraId="3268A835" w14:textId="77777777" w:rsidR="00576857" w:rsidRPr="00C12D03" w:rsidRDefault="00576857" w:rsidP="001515D5">
            <w:r w:rsidRPr="00C12D03">
              <w:t>Greenwood</w:t>
            </w:r>
          </w:p>
        </w:tc>
        <w:tc>
          <w:tcPr>
            <w:tcW w:w="4675" w:type="dxa"/>
            <w:vAlign w:val="bottom"/>
          </w:tcPr>
          <w:p w14:paraId="7409B558" w14:textId="77777777" w:rsidR="00576857" w:rsidRPr="00C12D03" w:rsidRDefault="00576857" w:rsidP="001515D5">
            <w:r w:rsidRPr="00C12D03">
              <w:t>10.8%</w:t>
            </w:r>
          </w:p>
        </w:tc>
      </w:tr>
      <w:tr w:rsidR="00576857" w14:paraId="2620B9B1" w14:textId="77777777" w:rsidTr="001515D5">
        <w:tc>
          <w:tcPr>
            <w:tcW w:w="4675" w:type="dxa"/>
            <w:vAlign w:val="bottom"/>
          </w:tcPr>
          <w:p w14:paraId="2619CC33" w14:textId="77777777" w:rsidR="00576857" w:rsidRPr="00C12D03" w:rsidRDefault="00576857" w:rsidP="001515D5">
            <w:r w:rsidRPr="00C12D03">
              <w:t>Hampton</w:t>
            </w:r>
          </w:p>
        </w:tc>
        <w:tc>
          <w:tcPr>
            <w:tcW w:w="4675" w:type="dxa"/>
            <w:vAlign w:val="bottom"/>
          </w:tcPr>
          <w:p w14:paraId="46BB9A71" w14:textId="77777777" w:rsidR="00576857" w:rsidRPr="00C12D03" w:rsidRDefault="00576857" w:rsidP="001515D5">
            <w:r w:rsidRPr="00C12D03">
              <w:t>13.3%</w:t>
            </w:r>
          </w:p>
        </w:tc>
      </w:tr>
      <w:tr w:rsidR="00576857" w14:paraId="2BF9FED0" w14:textId="77777777" w:rsidTr="001515D5">
        <w:tc>
          <w:tcPr>
            <w:tcW w:w="4675" w:type="dxa"/>
            <w:vAlign w:val="bottom"/>
          </w:tcPr>
          <w:p w14:paraId="50809092" w14:textId="77777777" w:rsidR="00576857" w:rsidRPr="00C12D03" w:rsidRDefault="00576857" w:rsidP="001515D5">
            <w:r w:rsidRPr="00C12D03">
              <w:t>Horry</w:t>
            </w:r>
          </w:p>
        </w:tc>
        <w:tc>
          <w:tcPr>
            <w:tcW w:w="4675" w:type="dxa"/>
            <w:vAlign w:val="bottom"/>
          </w:tcPr>
          <w:p w14:paraId="6F36FFA3" w14:textId="77777777" w:rsidR="00576857" w:rsidRPr="00C12D03" w:rsidRDefault="00576857" w:rsidP="001515D5">
            <w:r w:rsidRPr="00C12D03">
              <w:t>8.6%</w:t>
            </w:r>
          </w:p>
        </w:tc>
      </w:tr>
      <w:tr w:rsidR="00576857" w14:paraId="1406860B" w14:textId="77777777" w:rsidTr="001515D5">
        <w:tc>
          <w:tcPr>
            <w:tcW w:w="4675" w:type="dxa"/>
            <w:vAlign w:val="bottom"/>
          </w:tcPr>
          <w:p w14:paraId="30B128F0" w14:textId="77777777" w:rsidR="00576857" w:rsidRPr="00C12D03" w:rsidRDefault="00576857" w:rsidP="001515D5">
            <w:r w:rsidRPr="00C12D03">
              <w:t>Jasper</w:t>
            </w:r>
          </w:p>
        </w:tc>
        <w:tc>
          <w:tcPr>
            <w:tcW w:w="4675" w:type="dxa"/>
            <w:vAlign w:val="bottom"/>
          </w:tcPr>
          <w:p w14:paraId="177C3B95" w14:textId="77777777" w:rsidR="00576857" w:rsidRPr="00C12D03" w:rsidRDefault="00576857" w:rsidP="001515D5">
            <w:r w:rsidRPr="00C12D03">
              <w:t>10.2%</w:t>
            </w:r>
          </w:p>
        </w:tc>
      </w:tr>
      <w:tr w:rsidR="00576857" w14:paraId="74202E65" w14:textId="77777777" w:rsidTr="001515D5">
        <w:tc>
          <w:tcPr>
            <w:tcW w:w="4675" w:type="dxa"/>
            <w:vAlign w:val="bottom"/>
          </w:tcPr>
          <w:p w14:paraId="59510F57" w14:textId="77777777" w:rsidR="00576857" w:rsidRPr="00C12D03" w:rsidRDefault="00576857" w:rsidP="001515D5">
            <w:r w:rsidRPr="00C12D03">
              <w:t>Kershaw</w:t>
            </w:r>
          </w:p>
        </w:tc>
        <w:tc>
          <w:tcPr>
            <w:tcW w:w="4675" w:type="dxa"/>
            <w:vAlign w:val="bottom"/>
          </w:tcPr>
          <w:p w14:paraId="15C6510D" w14:textId="77777777" w:rsidR="00576857" w:rsidRPr="00C12D03" w:rsidRDefault="00576857" w:rsidP="001515D5">
            <w:r w:rsidRPr="00C12D03">
              <w:t>9.4%</w:t>
            </w:r>
          </w:p>
        </w:tc>
      </w:tr>
      <w:tr w:rsidR="00576857" w14:paraId="0E0F0D13" w14:textId="77777777" w:rsidTr="001515D5">
        <w:tc>
          <w:tcPr>
            <w:tcW w:w="4675" w:type="dxa"/>
            <w:vAlign w:val="bottom"/>
          </w:tcPr>
          <w:p w14:paraId="11A0CE42" w14:textId="77777777" w:rsidR="00576857" w:rsidRPr="00C12D03" w:rsidRDefault="00576857" w:rsidP="001515D5">
            <w:r w:rsidRPr="00C12D03">
              <w:t>Lancaster</w:t>
            </w:r>
          </w:p>
        </w:tc>
        <w:tc>
          <w:tcPr>
            <w:tcW w:w="4675" w:type="dxa"/>
            <w:vAlign w:val="bottom"/>
          </w:tcPr>
          <w:p w14:paraId="61156D4D" w14:textId="77777777" w:rsidR="00576857" w:rsidRPr="00C12D03" w:rsidRDefault="00576857" w:rsidP="001515D5">
            <w:r w:rsidRPr="00C12D03">
              <w:t>9.2%</w:t>
            </w:r>
          </w:p>
        </w:tc>
      </w:tr>
      <w:tr w:rsidR="00576857" w14:paraId="3D1AA7AA" w14:textId="77777777" w:rsidTr="001515D5">
        <w:tc>
          <w:tcPr>
            <w:tcW w:w="4675" w:type="dxa"/>
            <w:vAlign w:val="bottom"/>
          </w:tcPr>
          <w:p w14:paraId="72754D2B" w14:textId="77777777" w:rsidR="00576857" w:rsidRPr="00C12D03" w:rsidRDefault="00576857" w:rsidP="001515D5">
            <w:r w:rsidRPr="00C12D03">
              <w:t>Laurens</w:t>
            </w:r>
          </w:p>
        </w:tc>
        <w:tc>
          <w:tcPr>
            <w:tcW w:w="4675" w:type="dxa"/>
            <w:vAlign w:val="bottom"/>
          </w:tcPr>
          <w:p w14:paraId="191E5E77" w14:textId="77777777" w:rsidR="00576857" w:rsidRPr="00C12D03" w:rsidRDefault="00576857" w:rsidP="001515D5">
            <w:r w:rsidRPr="00C12D03">
              <w:t>10.8%</w:t>
            </w:r>
          </w:p>
        </w:tc>
      </w:tr>
      <w:tr w:rsidR="00576857" w14:paraId="25599A14" w14:textId="77777777" w:rsidTr="001515D5">
        <w:tc>
          <w:tcPr>
            <w:tcW w:w="4675" w:type="dxa"/>
            <w:vAlign w:val="bottom"/>
          </w:tcPr>
          <w:p w14:paraId="429EF395" w14:textId="77777777" w:rsidR="00576857" w:rsidRPr="00C12D03" w:rsidRDefault="00576857" w:rsidP="001515D5">
            <w:r w:rsidRPr="00C12D03">
              <w:t>Lee</w:t>
            </w:r>
          </w:p>
        </w:tc>
        <w:tc>
          <w:tcPr>
            <w:tcW w:w="4675" w:type="dxa"/>
            <w:vAlign w:val="bottom"/>
          </w:tcPr>
          <w:p w14:paraId="66F37843" w14:textId="77777777" w:rsidR="00576857" w:rsidRPr="00C12D03" w:rsidRDefault="00576857" w:rsidP="001515D5">
            <w:r w:rsidRPr="00C12D03">
              <w:t>15.9%</w:t>
            </w:r>
          </w:p>
        </w:tc>
      </w:tr>
      <w:tr w:rsidR="00576857" w14:paraId="1FCB9968" w14:textId="77777777" w:rsidTr="001515D5">
        <w:tc>
          <w:tcPr>
            <w:tcW w:w="4675" w:type="dxa"/>
            <w:vAlign w:val="bottom"/>
          </w:tcPr>
          <w:p w14:paraId="7978AEC7" w14:textId="77777777" w:rsidR="00576857" w:rsidRPr="00C12D03" w:rsidRDefault="00576857" w:rsidP="001515D5">
            <w:r w:rsidRPr="00C12D03">
              <w:t>Lexington</w:t>
            </w:r>
          </w:p>
        </w:tc>
        <w:tc>
          <w:tcPr>
            <w:tcW w:w="4675" w:type="dxa"/>
            <w:vAlign w:val="bottom"/>
          </w:tcPr>
          <w:p w14:paraId="25D60D5E" w14:textId="77777777" w:rsidR="00576857" w:rsidRPr="00C12D03" w:rsidRDefault="00576857" w:rsidP="001515D5">
            <w:r w:rsidRPr="00C12D03">
              <w:t>8.9%</w:t>
            </w:r>
          </w:p>
        </w:tc>
      </w:tr>
      <w:tr w:rsidR="00576857" w14:paraId="07B3065F" w14:textId="77777777" w:rsidTr="001515D5">
        <w:tc>
          <w:tcPr>
            <w:tcW w:w="4675" w:type="dxa"/>
            <w:vAlign w:val="bottom"/>
          </w:tcPr>
          <w:p w14:paraId="60C8DE7B" w14:textId="77777777" w:rsidR="00576857" w:rsidRPr="00C12D03" w:rsidRDefault="00576857" w:rsidP="001515D5">
            <w:r w:rsidRPr="00C12D03">
              <w:t>McCormick</w:t>
            </w:r>
          </w:p>
        </w:tc>
        <w:tc>
          <w:tcPr>
            <w:tcW w:w="4675" w:type="dxa"/>
            <w:vAlign w:val="bottom"/>
          </w:tcPr>
          <w:p w14:paraId="150BFB43" w14:textId="77777777" w:rsidR="00576857" w:rsidRPr="00C12D03" w:rsidRDefault="00576857" w:rsidP="001515D5">
            <w:r w:rsidRPr="00C12D03">
              <w:t>12.4%</w:t>
            </w:r>
          </w:p>
        </w:tc>
      </w:tr>
      <w:tr w:rsidR="00576857" w14:paraId="2698F8D4" w14:textId="77777777" w:rsidTr="001515D5">
        <w:tc>
          <w:tcPr>
            <w:tcW w:w="4675" w:type="dxa"/>
            <w:vAlign w:val="bottom"/>
          </w:tcPr>
          <w:p w14:paraId="7A08137F" w14:textId="77777777" w:rsidR="00576857" w:rsidRPr="00C12D03" w:rsidRDefault="00576857" w:rsidP="001515D5">
            <w:r w:rsidRPr="00C12D03">
              <w:t>Marion</w:t>
            </w:r>
          </w:p>
        </w:tc>
        <w:tc>
          <w:tcPr>
            <w:tcW w:w="4675" w:type="dxa"/>
            <w:vAlign w:val="bottom"/>
          </w:tcPr>
          <w:p w14:paraId="22E0D6B1" w14:textId="77777777" w:rsidR="00576857" w:rsidRPr="00C12D03" w:rsidRDefault="00576857" w:rsidP="001515D5">
            <w:r w:rsidRPr="00C12D03">
              <w:t>14.4%</w:t>
            </w:r>
          </w:p>
        </w:tc>
      </w:tr>
      <w:tr w:rsidR="00576857" w14:paraId="53EEED53" w14:textId="77777777" w:rsidTr="001515D5">
        <w:tc>
          <w:tcPr>
            <w:tcW w:w="4675" w:type="dxa"/>
            <w:vAlign w:val="bottom"/>
          </w:tcPr>
          <w:p w14:paraId="558E9D27" w14:textId="77777777" w:rsidR="00576857" w:rsidRPr="00C12D03" w:rsidRDefault="00576857" w:rsidP="001515D5">
            <w:r w:rsidRPr="00C12D03">
              <w:t>Marlboro</w:t>
            </w:r>
          </w:p>
        </w:tc>
        <w:tc>
          <w:tcPr>
            <w:tcW w:w="4675" w:type="dxa"/>
            <w:vAlign w:val="bottom"/>
          </w:tcPr>
          <w:p w14:paraId="5B2FCD96" w14:textId="77777777" w:rsidR="00576857" w:rsidRPr="00C12D03" w:rsidRDefault="00576857" w:rsidP="001515D5">
            <w:r w:rsidRPr="00C12D03">
              <w:t>12.1%</w:t>
            </w:r>
          </w:p>
        </w:tc>
      </w:tr>
      <w:tr w:rsidR="00576857" w14:paraId="439A6CD7" w14:textId="77777777" w:rsidTr="001515D5">
        <w:tc>
          <w:tcPr>
            <w:tcW w:w="4675" w:type="dxa"/>
            <w:vAlign w:val="bottom"/>
          </w:tcPr>
          <w:p w14:paraId="10137055" w14:textId="77777777" w:rsidR="00576857" w:rsidRPr="00C12D03" w:rsidRDefault="00576857" w:rsidP="001515D5">
            <w:r w:rsidRPr="00C12D03">
              <w:lastRenderedPageBreak/>
              <w:t>Newberry</w:t>
            </w:r>
          </w:p>
        </w:tc>
        <w:tc>
          <w:tcPr>
            <w:tcW w:w="4675" w:type="dxa"/>
            <w:vAlign w:val="bottom"/>
          </w:tcPr>
          <w:p w14:paraId="54C924ED" w14:textId="77777777" w:rsidR="00576857" w:rsidRPr="00C12D03" w:rsidRDefault="00576857" w:rsidP="001515D5">
            <w:r w:rsidRPr="00C12D03">
              <w:t>11.7%</w:t>
            </w:r>
          </w:p>
        </w:tc>
      </w:tr>
      <w:tr w:rsidR="00576857" w14:paraId="19BFA781" w14:textId="77777777" w:rsidTr="001515D5">
        <w:tc>
          <w:tcPr>
            <w:tcW w:w="4675" w:type="dxa"/>
            <w:vAlign w:val="bottom"/>
          </w:tcPr>
          <w:p w14:paraId="164E5EA8" w14:textId="77777777" w:rsidR="00576857" w:rsidRPr="00C12D03" w:rsidRDefault="00576857" w:rsidP="001515D5">
            <w:r w:rsidRPr="00C12D03">
              <w:t>Oconee</w:t>
            </w:r>
          </w:p>
        </w:tc>
        <w:tc>
          <w:tcPr>
            <w:tcW w:w="4675" w:type="dxa"/>
            <w:vAlign w:val="bottom"/>
          </w:tcPr>
          <w:p w14:paraId="579211BF" w14:textId="77777777" w:rsidR="00576857" w:rsidRPr="00C12D03" w:rsidRDefault="00576857" w:rsidP="001515D5">
            <w:r w:rsidRPr="00C12D03">
              <w:t>9.5%</w:t>
            </w:r>
          </w:p>
        </w:tc>
      </w:tr>
      <w:tr w:rsidR="00576857" w14:paraId="02A81E2F" w14:textId="77777777" w:rsidTr="001515D5">
        <w:tc>
          <w:tcPr>
            <w:tcW w:w="4675" w:type="dxa"/>
            <w:vAlign w:val="bottom"/>
          </w:tcPr>
          <w:p w14:paraId="6889AE8B" w14:textId="77777777" w:rsidR="00576857" w:rsidRPr="00C12D03" w:rsidRDefault="00576857" w:rsidP="001515D5">
            <w:r w:rsidRPr="00C12D03">
              <w:t>Orangeburg</w:t>
            </w:r>
          </w:p>
        </w:tc>
        <w:tc>
          <w:tcPr>
            <w:tcW w:w="4675" w:type="dxa"/>
            <w:vAlign w:val="bottom"/>
          </w:tcPr>
          <w:p w14:paraId="04F9EA8F" w14:textId="77777777" w:rsidR="00576857" w:rsidRPr="00C12D03" w:rsidRDefault="00576857" w:rsidP="001515D5">
            <w:r w:rsidRPr="00C12D03">
              <w:t>12.7%</w:t>
            </w:r>
          </w:p>
        </w:tc>
      </w:tr>
      <w:tr w:rsidR="00576857" w14:paraId="271C3D89" w14:textId="77777777" w:rsidTr="001515D5">
        <w:tc>
          <w:tcPr>
            <w:tcW w:w="4675" w:type="dxa"/>
            <w:vAlign w:val="bottom"/>
          </w:tcPr>
          <w:p w14:paraId="069AA753" w14:textId="77777777" w:rsidR="00576857" w:rsidRPr="00C12D03" w:rsidRDefault="00576857" w:rsidP="001515D5">
            <w:r w:rsidRPr="00C12D03">
              <w:t>Pickens</w:t>
            </w:r>
          </w:p>
        </w:tc>
        <w:tc>
          <w:tcPr>
            <w:tcW w:w="4675" w:type="dxa"/>
            <w:vAlign w:val="bottom"/>
          </w:tcPr>
          <w:p w14:paraId="7611E21C" w14:textId="77777777" w:rsidR="00576857" w:rsidRPr="00C12D03" w:rsidRDefault="00576857" w:rsidP="001515D5">
            <w:r w:rsidRPr="00C12D03">
              <w:t>8.1%</w:t>
            </w:r>
          </w:p>
        </w:tc>
      </w:tr>
      <w:tr w:rsidR="00576857" w14:paraId="0CE4225B" w14:textId="77777777" w:rsidTr="001515D5">
        <w:tc>
          <w:tcPr>
            <w:tcW w:w="4675" w:type="dxa"/>
            <w:vAlign w:val="bottom"/>
          </w:tcPr>
          <w:p w14:paraId="01717C3A" w14:textId="77777777" w:rsidR="00576857" w:rsidRPr="00C12D03" w:rsidRDefault="00576857" w:rsidP="001515D5">
            <w:r w:rsidRPr="00C12D03">
              <w:t>Richland</w:t>
            </w:r>
          </w:p>
        </w:tc>
        <w:tc>
          <w:tcPr>
            <w:tcW w:w="4675" w:type="dxa"/>
            <w:vAlign w:val="bottom"/>
          </w:tcPr>
          <w:p w14:paraId="79B76D2C" w14:textId="77777777" w:rsidR="00576857" w:rsidRPr="00C12D03" w:rsidRDefault="00576857" w:rsidP="001515D5">
            <w:r w:rsidRPr="00C12D03">
              <w:t>10.9%</w:t>
            </w:r>
          </w:p>
        </w:tc>
      </w:tr>
      <w:tr w:rsidR="00576857" w14:paraId="02AEF2AA" w14:textId="77777777" w:rsidTr="001515D5">
        <w:tc>
          <w:tcPr>
            <w:tcW w:w="4675" w:type="dxa"/>
            <w:vAlign w:val="bottom"/>
          </w:tcPr>
          <w:p w14:paraId="2706B52F" w14:textId="77777777" w:rsidR="00576857" w:rsidRPr="00C12D03" w:rsidRDefault="00576857" w:rsidP="001515D5">
            <w:r w:rsidRPr="00C12D03">
              <w:t>Saluda</w:t>
            </w:r>
          </w:p>
        </w:tc>
        <w:tc>
          <w:tcPr>
            <w:tcW w:w="4675" w:type="dxa"/>
            <w:vAlign w:val="bottom"/>
          </w:tcPr>
          <w:p w14:paraId="4761816C" w14:textId="77777777" w:rsidR="00576857" w:rsidRPr="00C12D03" w:rsidRDefault="00576857" w:rsidP="001515D5">
            <w:r w:rsidRPr="00C12D03">
              <w:t>8.4%</w:t>
            </w:r>
          </w:p>
        </w:tc>
      </w:tr>
      <w:tr w:rsidR="00576857" w14:paraId="37144B08" w14:textId="77777777" w:rsidTr="001515D5">
        <w:tc>
          <w:tcPr>
            <w:tcW w:w="4675" w:type="dxa"/>
            <w:vAlign w:val="bottom"/>
          </w:tcPr>
          <w:p w14:paraId="0CA022DA" w14:textId="77777777" w:rsidR="00576857" w:rsidRPr="00C12D03" w:rsidRDefault="00576857" w:rsidP="001515D5">
            <w:r w:rsidRPr="00C12D03">
              <w:t>Spartanburg</w:t>
            </w:r>
          </w:p>
        </w:tc>
        <w:tc>
          <w:tcPr>
            <w:tcW w:w="4675" w:type="dxa"/>
            <w:vAlign w:val="bottom"/>
          </w:tcPr>
          <w:p w14:paraId="7665B66C" w14:textId="77777777" w:rsidR="00576857" w:rsidRPr="00C12D03" w:rsidRDefault="00576857" w:rsidP="001515D5">
            <w:r w:rsidRPr="00C12D03">
              <w:t>9.2%</w:t>
            </w:r>
          </w:p>
        </w:tc>
      </w:tr>
      <w:tr w:rsidR="00576857" w14:paraId="645AB074" w14:textId="77777777" w:rsidTr="001515D5">
        <w:tc>
          <w:tcPr>
            <w:tcW w:w="4675" w:type="dxa"/>
            <w:vAlign w:val="bottom"/>
          </w:tcPr>
          <w:p w14:paraId="208F3B90" w14:textId="77777777" w:rsidR="00576857" w:rsidRPr="00C12D03" w:rsidRDefault="00576857" w:rsidP="001515D5">
            <w:r w:rsidRPr="00C12D03">
              <w:t>Sumter</w:t>
            </w:r>
          </w:p>
        </w:tc>
        <w:tc>
          <w:tcPr>
            <w:tcW w:w="4675" w:type="dxa"/>
            <w:vAlign w:val="bottom"/>
          </w:tcPr>
          <w:p w14:paraId="31ECCBFE" w14:textId="77777777" w:rsidR="00576857" w:rsidRPr="00C12D03" w:rsidRDefault="00576857" w:rsidP="001515D5">
            <w:r w:rsidRPr="00C12D03">
              <w:t>11.1%</w:t>
            </w:r>
          </w:p>
        </w:tc>
      </w:tr>
      <w:tr w:rsidR="00576857" w14:paraId="222EE50A" w14:textId="77777777" w:rsidTr="001515D5">
        <w:tc>
          <w:tcPr>
            <w:tcW w:w="4675" w:type="dxa"/>
            <w:vAlign w:val="bottom"/>
          </w:tcPr>
          <w:p w14:paraId="06304289" w14:textId="77777777" w:rsidR="00576857" w:rsidRPr="00C12D03" w:rsidRDefault="00576857" w:rsidP="001515D5">
            <w:r w:rsidRPr="00C12D03">
              <w:t>Union</w:t>
            </w:r>
          </w:p>
        </w:tc>
        <w:tc>
          <w:tcPr>
            <w:tcW w:w="4675" w:type="dxa"/>
            <w:vAlign w:val="bottom"/>
          </w:tcPr>
          <w:p w14:paraId="047546EF" w14:textId="77777777" w:rsidR="00576857" w:rsidRPr="00C12D03" w:rsidRDefault="00576857" w:rsidP="001515D5">
            <w:r w:rsidRPr="00C12D03">
              <w:t>12.3%</w:t>
            </w:r>
          </w:p>
        </w:tc>
      </w:tr>
      <w:tr w:rsidR="00576857" w14:paraId="3817AB37" w14:textId="77777777" w:rsidTr="001515D5">
        <w:tc>
          <w:tcPr>
            <w:tcW w:w="4675" w:type="dxa"/>
            <w:vAlign w:val="bottom"/>
          </w:tcPr>
          <w:p w14:paraId="7C157C88" w14:textId="77777777" w:rsidR="00576857" w:rsidRPr="00C12D03" w:rsidRDefault="00576857" w:rsidP="001515D5">
            <w:r w:rsidRPr="00C12D03">
              <w:t>Williamsburg</w:t>
            </w:r>
          </w:p>
        </w:tc>
        <w:tc>
          <w:tcPr>
            <w:tcW w:w="4675" w:type="dxa"/>
            <w:vAlign w:val="bottom"/>
          </w:tcPr>
          <w:p w14:paraId="5F576DAF" w14:textId="77777777" w:rsidR="00576857" w:rsidRPr="00C12D03" w:rsidRDefault="00576857" w:rsidP="001515D5">
            <w:r w:rsidRPr="00C12D03">
              <w:t>12.7%</w:t>
            </w:r>
          </w:p>
        </w:tc>
      </w:tr>
      <w:tr w:rsidR="00576857" w14:paraId="4BEF6680" w14:textId="77777777" w:rsidTr="001515D5">
        <w:tc>
          <w:tcPr>
            <w:tcW w:w="4675" w:type="dxa"/>
            <w:vAlign w:val="bottom"/>
          </w:tcPr>
          <w:p w14:paraId="7F10323F" w14:textId="77777777" w:rsidR="00576857" w:rsidRPr="00C12D03" w:rsidRDefault="00576857" w:rsidP="001515D5">
            <w:r w:rsidRPr="00C12D03">
              <w:t>York</w:t>
            </w:r>
          </w:p>
        </w:tc>
        <w:tc>
          <w:tcPr>
            <w:tcW w:w="4675" w:type="dxa"/>
            <w:vAlign w:val="bottom"/>
          </w:tcPr>
          <w:p w14:paraId="2B648FDA" w14:textId="77777777" w:rsidR="00576857" w:rsidRPr="00C12D03" w:rsidRDefault="00576857" w:rsidP="001515D5">
            <w:r w:rsidRPr="00C12D03">
              <w:t>8.6%</w:t>
            </w:r>
          </w:p>
        </w:tc>
      </w:tr>
    </w:tbl>
    <w:p w14:paraId="3A3C2134" w14:textId="77777777" w:rsidR="00576857" w:rsidRPr="000F5C65" w:rsidRDefault="00576857" w:rsidP="00576857">
      <w:r w:rsidRPr="000F5C65">
        <w:t xml:space="preserve">Source: SC DHEC Vital Statistics, 2017-2021. </w:t>
      </w:r>
    </w:p>
    <w:p w14:paraId="2FD2A687" w14:textId="77777777" w:rsidR="00576857" w:rsidRDefault="00576857" w:rsidP="00576857">
      <w:r w:rsidRPr="000F5C65">
        <w:t>Note: population for year 2021 based on single-race estimates and for years prior based on bridge-race estimates.</w:t>
      </w:r>
    </w:p>
    <w:p w14:paraId="4FBFE459" w14:textId="77777777" w:rsidR="00506CC7" w:rsidRDefault="00506CC7" w:rsidP="00506CC7"/>
    <w:p w14:paraId="1611141A" w14:textId="77777777" w:rsidR="00506CC7" w:rsidRDefault="00506CC7" w:rsidP="00506CC7">
      <w:pPr>
        <w:rPr>
          <w:b/>
          <w:bCs/>
        </w:rPr>
      </w:pPr>
      <w:bookmarkStart w:id="487" w:name="_Toc162267321"/>
      <w:r w:rsidRPr="00506CC7">
        <w:rPr>
          <w:rStyle w:val="Heading4Char"/>
        </w:rPr>
        <w:t>Data Interpretations:</w:t>
      </w:r>
      <w:bookmarkEnd w:id="487"/>
      <w:r w:rsidRPr="00506CC7">
        <w:rPr>
          <w:b/>
          <w:bCs/>
        </w:rPr>
        <w:t xml:space="preserve"> </w:t>
      </w:r>
    </w:p>
    <w:p w14:paraId="4589FBB0" w14:textId="307F1338" w:rsidR="00506CC7" w:rsidRDefault="00506CC7" w:rsidP="00506CC7">
      <w:r w:rsidRPr="00506CC7">
        <w:t>The prevalence of low birthweight was 10% in SC in 2021, higher than that of the US in that same year (8.5%). Low birthweight prevalence is highest among older (≥35 years) mothers (</w:t>
      </w:r>
      <w:r w:rsidRPr="00506CC7">
        <w:rPr>
          <w:b/>
          <w:bCs/>
        </w:rPr>
        <w:t>Figure 7.27</w:t>
      </w:r>
      <w:r w:rsidRPr="00506CC7">
        <w:t>). Non-Hispanic Black mothers have the highest prevalence of low-birthweight births as compared to other racial and ethnic populations (</w:t>
      </w:r>
      <w:r w:rsidRPr="00506CC7">
        <w:rPr>
          <w:b/>
          <w:bCs/>
        </w:rPr>
        <w:t>Figure 7.28</w:t>
      </w:r>
      <w:r w:rsidRPr="00506CC7">
        <w:t>). Pregnancies resulting in multiple births tend to also have a higher risk for low-birthweight babies. There is evidence associating low birthweight with the degree of rural isolation in some communities.</w:t>
      </w:r>
    </w:p>
    <w:p w14:paraId="25CEEBC9" w14:textId="77777777" w:rsidR="00A41236" w:rsidRPr="00506CC7" w:rsidRDefault="00A41236" w:rsidP="00506CC7"/>
    <w:p w14:paraId="68A5B69E" w14:textId="0E38547D" w:rsidR="00506CC7" w:rsidRDefault="00506CC7" w:rsidP="00506CC7">
      <w:r w:rsidRPr="00506CC7">
        <w:t>Low birthweight prevalence is lowest in highly populated counties across SC which are usually richer in resources and with better access to services (</w:t>
      </w:r>
      <w:r w:rsidRPr="00506CC7">
        <w:rPr>
          <w:b/>
          <w:bCs/>
        </w:rPr>
        <w:t>Figure 7.29</w:t>
      </w:r>
      <w:r w:rsidRPr="00506CC7">
        <w:t>). These counties make</w:t>
      </w:r>
      <w:r w:rsidR="00A41236">
        <w:t xml:space="preserve"> </w:t>
      </w:r>
      <w:r w:rsidRPr="00506CC7">
        <w:t>up the metropolitan areas of the state. Conversely, counties having the highest prevalence of low birthweight are smaller, more rural counties, many of which lie along the I-95 corridor of the state. </w:t>
      </w:r>
    </w:p>
    <w:p w14:paraId="0176A480" w14:textId="77777777" w:rsidR="005253DC" w:rsidRDefault="005253DC" w:rsidP="00506CC7">
      <w:pPr>
        <w:pStyle w:val="Heading5"/>
      </w:pPr>
    </w:p>
    <w:p w14:paraId="50E88ED9" w14:textId="710254A8" w:rsidR="00506CC7" w:rsidRDefault="00506CC7" w:rsidP="00506CC7">
      <w:pPr>
        <w:pStyle w:val="Heading5"/>
      </w:pPr>
      <w:r>
        <w:t>Key Takeaways:</w:t>
      </w:r>
    </w:p>
    <w:p w14:paraId="49E38F71" w14:textId="77777777" w:rsidR="005253DC" w:rsidRDefault="00506CC7" w:rsidP="00926EB3">
      <w:pPr>
        <w:pStyle w:val="ListParagraph"/>
        <w:numPr>
          <w:ilvl w:val="0"/>
          <w:numId w:val="220"/>
        </w:numPr>
      </w:pPr>
      <w:r w:rsidRPr="00506CC7">
        <w:t xml:space="preserve">Non-Hispanic Black mothers have the highest prevalence of low-birthweight births as compared to other racial and ethnic populations. </w:t>
      </w:r>
    </w:p>
    <w:p w14:paraId="441922B4" w14:textId="3F917288" w:rsidR="00506CC7" w:rsidRDefault="00506CC7" w:rsidP="00926EB3">
      <w:pPr>
        <w:pStyle w:val="ListParagraph"/>
        <w:numPr>
          <w:ilvl w:val="0"/>
          <w:numId w:val="220"/>
        </w:numPr>
      </w:pPr>
      <w:r w:rsidRPr="00506CC7">
        <w:t>Additionally, low birthweight prevalence is lowest in highly populated counties across SC that are usually richer in resources and have better access to services.</w:t>
      </w:r>
    </w:p>
    <w:p w14:paraId="3F3B750C" w14:textId="77777777" w:rsidR="00506CC7" w:rsidRPr="00506CC7" w:rsidRDefault="00506CC7" w:rsidP="00506CC7"/>
    <w:p w14:paraId="7AF54714" w14:textId="5965012A" w:rsidR="00506CC7" w:rsidRDefault="00506CC7" w:rsidP="00506CC7">
      <w:pPr>
        <w:pStyle w:val="Heading4"/>
        <w:rPr>
          <w:rFonts w:asciiTheme="minorHAnsi" w:hAnsiTheme="minorHAnsi" w:cstheme="minorHAnsi"/>
          <w:color w:val="000000" w:themeColor="text1"/>
        </w:rPr>
      </w:pPr>
      <w:bookmarkStart w:id="488" w:name="_Toc162267322"/>
      <w:r w:rsidRPr="00506CC7">
        <w:rPr>
          <w:rFonts w:asciiTheme="minorHAnsi" w:hAnsiTheme="minorHAnsi" w:cstheme="minorHAnsi"/>
          <w:color w:val="000000" w:themeColor="text1"/>
        </w:rPr>
        <w:lastRenderedPageBreak/>
        <w:t>References 7.</w:t>
      </w:r>
      <w:r>
        <w:rPr>
          <w:rFonts w:asciiTheme="minorHAnsi" w:hAnsiTheme="minorHAnsi" w:cstheme="minorHAnsi"/>
          <w:color w:val="000000" w:themeColor="text1"/>
        </w:rPr>
        <w:t>13</w:t>
      </w:r>
      <w:bookmarkEnd w:id="488"/>
      <w:r w:rsidRPr="00506CC7">
        <w:rPr>
          <w:rFonts w:asciiTheme="minorHAnsi" w:hAnsiTheme="minorHAnsi" w:cstheme="minorHAnsi"/>
          <w:color w:val="000000" w:themeColor="text1"/>
        </w:rPr>
        <w:t xml:space="preserve"> </w:t>
      </w:r>
    </w:p>
    <w:p w14:paraId="6C1397FF" w14:textId="77777777" w:rsidR="00506CC7" w:rsidRPr="00506CC7" w:rsidRDefault="00506CC7" w:rsidP="00506CC7">
      <w:pPr>
        <w:rPr>
          <w:i/>
          <w:iCs/>
        </w:rPr>
      </w:pPr>
      <w:r w:rsidRPr="00506CC7">
        <w:t>Statistics in the preceding section were referenced from the following reports:</w:t>
      </w:r>
    </w:p>
    <w:p w14:paraId="54B04D6C" w14:textId="5701504A" w:rsidR="00506CC7" w:rsidRPr="00506CC7" w:rsidRDefault="00506CC7" w:rsidP="00926EB3">
      <w:pPr>
        <w:pStyle w:val="ListParagraph"/>
        <w:numPr>
          <w:ilvl w:val="0"/>
          <w:numId w:val="31"/>
        </w:numPr>
      </w:pPr>
      <w:r>
        <w:t>“</w:t>
      </w:r>
      <w:r w:rsidRPr="00506CC7">
        <w:t>Low birth weight and its associated risk factors: Health facility-based case-control study</w:t>
      </w:r>
      <w:r>
        <w:t>” by</w:t>
      </w:r>
      <w:r w:rsidRPr="00506CC7">
        <w:t xml:space="preserve"> Anil KC, Basel PL, Singh S.</w:t>
      </w:r>
      <w:r>
        <w:t xml:space="preserve"> Published in</w:t>
      </w:r>
      <w:r w:rsidRPr="00506CC7">
        <w:t xml:space="preserve"> </w:t>
      </w:r>
      <w:proofErr w:type="spellStart"/>
      <w:r w:rsidRPr="00506CC7">
        <w:t>PLoS</w:t>
      </w:r>
      <w:proofErr w:type="spellEnd"/>
      <w:r w:rsidRPr="00506CC7">
        <w:t xml:space="preserve"> One</w:t>
      </w:r>
      <w:r>
        <w:t>, 2020</w:t>
      </w:r>
      <w:r w:rsidRPr="00506CC7">
        <w:t xml:space="preserve">. </w:t>
      </w:r>
      <w:r>
        <w:t>No hyperlink.</w:t>
      </w:r>
    </w:p>
    <w:p w14:paraId="0A97175B" w14:textId="241D39C8" w:rsidR="00506CC7" w:rsidRPr="00506CC7" w:rsidRDefault="00000000" w:rsidP="00926EB3">
      <w:pPr>
        <w:pStyle w:val="ListParagraph"/>
        <w:numPr>
          <w:ilvl w:val="0"/>
          <w:numId w:val="31"/>
        </w:numPr>
      </w:pPr>
      <w:hyperlink r:id="rId221" w:history="1">
        <w:r w:rsidR="00506CC7" w:rsidRPr="00506CC7">
          <w:rPr>
            <w:rStyle w:val="Hyperlink"/>
          </w:rPr>
          <w:t>“Low Birth Weight” by Stanford Medicine Children’s Health. Accessed December 18, 2023.</w:t>
        </w:r>
      </w:hyperlink>
      <w:r w:rsidR="00506CC7" w:rsidRPr="00506CC7">
        <w:t xml:space="preserve"> </w:t>
      </w:r>
    </w:p>
    <w:p w14:paraId="6167BFD8" w14:textId="2362DA02" w:rsidR="00506CC7" w:rsidRPr="00506CC7" w:rsidRDefault="00000000" w:rsidP="00926EB3">
      <w:pPr>
        <w:pStyle w:val="ListParagraph"/>
        <w:numPr>
          <w:ilvl w:val="0"/>
          <w:numId w:val="31"/>
        </w:numPr>
      </w:pPr>
      <w:hyperlink r:id="rId222" w:history="1">
        <w:r w:rsidR="00506CC7" w:rsidRPr="00506CC7">
          <w:rPr>
            <w:rStyle w:val="Hyperlink"/>
          </w:rPr>
          <w:t>“Low birthweight by March of Dimes. Accessed December 18, 2023.</w:t>
        </w:r>
      </w:hyperlink>
      <w:r w:rsidR="00506CC7" w:rsidRPr="00506CC7">
        <w:rPr>
          <w:u w:val="thick"/>
        </w:rPr>
        <w:t xml:space="preserve"> </w:t>
      </w:r>
    </w:p>
    <w:p w14:paraId="6437ADBD" w14:textId="5F44EB40" w:rsidR="00506CC7" w:rsidRPr="00506CC7" w:rsidRDefault="00506CC7" w:rsidP="00926EB3">
      <w:pPr>
        <w:pStyle w:val="ListParagraph"/>
        <w:numPr>
          <w:ilvl w:val="0"/>
          <w:numId w:val="31"/>
        </w:numPr>
      </w:pPr>
      <w:r>
        <w:t>“</w:t>
      </w:r>
      <w:r w:rsidRPr="00506CC7">
        <w:t>Low Birth Weight due to Intrauterine Growth Restriction and/or Preterm Birth: Effects on Nephron Number and Long-Term Renal Health</w:t>
      </w:r>
      <w:r>
        <w:t>” by</w:t>
      </w:r>
      <w:r w:rsidRPr="00506CC7">
        <w:t xml:space="preserve"> </w:t>
      </w:r>
      <w:proofErr w:type="spellStart"/>
      <w:r w:rsidRPr="00506CC7">
        <w:t>Zohdi</w:t>
      </w:r>
      <w:proofErr w:type="spellEnd"/>
      <w:r w:rsidRPr="00506CC7">
        <w:t xml:space="preserve"> V, Sutherland MR, Lim K, </w:t>
      </w:r>
      <w:proofErr w:type="spellStart"/>
      <w:r w:rsidRPr="00506CC7">
        <w:t>Gubhaju</w:t>
      </w:r>
      <w:proofErr w:type="spellEnd"/>
      <w:r w:rsidRPr="00506CC7">
        <w:t xml:space="preserve"> L, </w:t>
      </w:r>
      <w:proofErr w:type="spellStart"/>
      <w:r w:rsidRPr="00506CC7">
        <w:t>Zimanyi</w:t>
      </w:r>
      <w:proofErr w:type="spellEnd"/>
      <w:r w:rsidRPr="00506CC7">
        <w:t xml:space="preserve"> MA, Black MJ.</w:t>
      </w:r>
      <w:r>
        <w:t xml:space="preserve"> Published in</w:t>
      </w:r>
      <w:r w:rsidRPr="00506CC7">
        <w:t xml:space="preserve"> Int J Nephrol</w:t>
      </w:r>
      <w:r>
        <w:t xml:space="preserve">, </w:t>
      </w:r>
      <w:r w:rsidRPr="00506CC7">
        <w:t>2012</w:t>
      </w:r>
      <w:r>
        <w:t>.</w:t>
      </w:r>
      <w:r w:rsidRPr="00506CC7">
        <w:t xml:space="preserve"> </w:t>
      </w:r>
      <w:r>
        <w:t>No hyperlink.</w:t>
      </w:r>
    </w:p>
    <w:p w14:paraId="3BCA2AC2" w14:textId="2701F54B" w:rsidR="00506CC7" w:rsidRDefault="00506CC7" w:rsidP="00926EB3">
      <w:pPr>
        <w:pStyle w:val="ListParagraph"/>
        <w:numPr>
          <w:ilvl w:val="0"/>
          <w:numId w:val="31"/>
        </w:numPr>
      </w:pPr>
      <w:r w:rsidRPr="00506CC7">
        <w:t xml:space="preserve"> </w:t>
      </w:r>
      <w:r>
        <w:t>“</w:t>
      </w:r>
      <w:r w:rsidRPr="00506CC7">
        <w:t>Maternal and Newborn Care in the United States</w:t>
      </w:r>
      <w:r>
        <w:t xml:space="preserve">, </w:t>
      </w:r>
      <w:r w:rsidRPr="00506CC7">
        <w:t>Birth Settings in America</w:t>
      </w:r>
      <w:r>
        <w:t>” by</w:t>
      </w:r>
      <w:r w:rsidRPr="00506CC7">
        <w:t xml:space="preserve"> </w:t>
      </w:r>
      <w:r>
        <w:t xml:space="preserve">the </w:t>
      </w:r>
      <w:r w:rsidRPr="00506CC7">
        <w:t xml:space="preserve">National Academies of Sciences E and MH and MDD of B and SS and EB on CY and FC on AHO by BS, Backes EP, Scrimshaw SC. Published online February 6, 2020. </w:t>
      </w:r>
      <w:r>
        <w:t>No hyperlink.</w:t>
      </w:r>
    </w:p>
    <w:p w14:paraId="39583F46" w14:textId="77777777" w:rsidR="00506CC7" w:rsidRPr="00506CC7" w:rsidRDefault="00506CC7" w:rsidP="00506CC7"/>
    <w:p w14:paraId="7EE8460F" w14:textId="77777777" w:rsidR="00506CC7" w:rsidRDefault="00506CC7" w:rsidP="00506CC7">
      <w:pPr>
        <w:pStyle w:val="Heading3"/>
      </w:pPr>
      <w:bookmarkStart w:id="489" w:name="_Toc162267323"/>
      <w:r w:rsidRPr="00506CC7">
        <w:t>Healthy Infants: Birth Defects</w:t>
      </w:r>
      <w:bookmarkEnd w:id="489"/>
    </w:p>
    <w:p w14:paraId="08842AFB" w14:textId="58D8E92C" w:rsidR="00506CC7" w:rsidRPr="00506CC7" w:rsidRDefault="00506CC7" w:rsidP="00506CC7">
      <w:r w:rsidRPr="00506CC7">
        <w:t xml:space="preserve">Birth defects, otherwise known as congenital malformations, are any functional or structural abnormality that has a prenatal origin. They can be caused by a wide array of factors including, but not limited to, genetic abnormalities, maternal nutrition and health status, and prenatal exposure to chemicals or substances including alcohol, tobacco, and other drugs. Birth defects affect 1 in 33 babies in the US and are the leading cause of infant mortality nationwide. </w:t>
      </w:r>
    </w:p>
    <w:p w14:paraId="2CD70144" w14:textId="77777777" w:rsidR="00506CC7" w:rsidRDefault="00506CC7" w:rsidP="00506CC7"/>
    <w:p w14:paraId="3F4AE993" w14:textId="77777777" w:rsidR="00576857" w:rsidRDefault="00576857" w:rsidP="00576857">
      <w:pPr>
        <w:pStyle w:val="Heading4"/>
      </w:pPr>
      <w:bookmarkStart w:id="490" w:name="_Toc154576427"/>
      <w:bookmarkStart w:id="491" w:name="_Toc162267324"/>
      <w:r>
        <w:t>Figure 7.30: Rate of Birth Defects by Organ System.</w:t>
      </w:r>
      <w:bookmarkEnd w:id="490"/>
      <w:bookmarkEnd w:id="491"/>
    </w:p>
    <w:p w14:paraId="37EF86FE" w14:textId="77777777" w:rsidR="00576857" w:rsidRDefault="00576857" w:rsidP="00576857">
      <w:pPr>
        <w:pStyle w:val="Heading5"/>
      </w:pPr>
      <w:r>
        <w:t>Rate per 10,000 Live Births.</w:t>
      </w:r>
    </w:p>
    <w:tbl>
      <w:tblPr>
        <w:tblStyle w:val="TableGrid"/>
        <w:tblW w:w="0" w:type="auto"/>
        <w:tblLook w:val="04A0" w:firstRow="1" w:lastRow="0" w:firstColumn="1" w:lastColumn="0" w:noHBand="0" w:noVBand="1"/>
      </w:tblPr>
      <w:tblGrid>
        <w:gridCol w:w="584"/>
        <w:gridCol w:w="1295"/>
        <w:gridCol w:w="832"/>
        <w:gridCol w:w="1405"/>
        <w:gridCol w:w="1724"/>
        <w:gridCol w:w="879"/>
        <w:gridCol w:w="1247"/>
        <w:gridCol w:w="1384"/>
      </w:tblGrid>
      <w:tr w:rsidR="00576857" w14:paraId="589C6DDB" w14:textId="77777777" w:rsidTr="00576857">
        <w:tc>
          <w:tcPr>
            <w:tcW w:w="584" w:type="dxa"/>
            <w:vAlign w:val="bottom"/>
          </w:tcPr>
          <w:p w14:paraId="7B1A88E6" w14:textId="77777777" w:rsidR="00576857" w:rsidRPr="000F5C65" w:rsidRDefault="00576857" w:rsidP="001515D5">
            <w:r>
              <w:t>Birth Year</w:t>
            </w:r>
          </w:p>
        </w:tc>
        <w:tc>
          <w:tcPr>
            <w:tcW w:w="1295" w:type="dxa"/>
            <w:vAlign w:val="bottom"/>
          </w:tcPr>
          <w:p w14:paraId="4402DC76" w14:textId="77777777" w:rsidR="00576857" w:rsidRPr="000F5C65" w:rsidRDefault="00576857" w:rsidP="001515D5">
            <w:r w:rsidRPr="000F5C65">
              <w:t>Cardiovascular</w:t>
            </w:r>
          </w:p>
        </w:tc>
        <w:tc>
          <w:tcPr>
            <w:tcW w:w="1626" w:type="dxa"/>
            <w:vAlign w:val="bottom"/>
          </w:tcPr>
          <w:p w14:paraId="3CD06CEA" w14:textId="77777777" w:rsidR="00576857" w:rsidRPr="000F5C65" w:rsidRDefault="00576857" w:rsidP="001515D5">
            <w:r w:rsidRPr="000F5C65">
              <w:t>Central Nervous System</w:t>
            </w:r>
          </w:p>
        </w:tc>
        <w:tc>
          <w:tcPr>
            <w:tcW w:w="611" w:type="dxa"/>
            <w:vAlign w:val="bottom"/>
          </w:tcPr>
          <w:p w14:paraId="22EF22E1" w14:textId="77777777" w:rsidR="00576857" w:rsidRPr="000F5C65" w:rsidRDefault="00576857" w:rsidP="001515D5">
            <w:r w:rsidRPr="000F5C65">
              <w:t>Musculoskeletal</w:t>
            </w:r>
          </w:p>
        </w:tc>
        <w:tc>
          <w:tcPr>
            <w:tcW w:w="1724" w:type="dxa"/>
            <w:vAlign w:val="bottom"/>
          </w:tcPr>
          <w:p w14:paraId="4B19CB5C" w14:textId="77777777" w:rsidR="00576857" w:rsidRPr="000F5C65" w:rsidRDefault="00576857" w:rsidP="001515D5">
            <w:r w:rsidRPr="000F5C65">
              <w:t>Renal/Genitourinary</w:t>
            </w:r>
          </w:p>
        </w:tc>
        <w:tc>
          <w:tcPr>
            <w:tcW w:w="879" w:type="dxa"/>
            <w:vAlign w:val="bottom"/>
          </w:tcPr>
          <w:p w14:paraId="379B560C" w14:textId="77777777" w:rsidR="00576857" w:rsidRPr="000F5C65" w:rsidRDefault="00576857" w:rsidP="001515D5">
            <w:r w:rsidRPr="000F5C65">
              <w:t>Orofacial</w:t>
            </w:r>
          </w:p>
        </w:tc>
        <w:tc>
          <w:tcPr>
            <w:tcW w:w="1247" w:type="dxa"/>
            <w:vAlign w:val="bottom"/>
          </w:tcPr>
          <w:p w14:paraId="5D40EB17" w14:textId="77777777" w:rsidR="00576857" w:rsidRPr="000F5C65" w:rsidRDefault="00576857" w:rsidP="001515D5">
            <w:r w:rsidRPr="000F5C65">
              <w:t>Chromosomal</w:t>
            </w:r>
          </w:p>
        </w:tc>
        <w:tc>
          <w:tcPr>
            <w:tcW w:w="1384" w:type="dxa"/>
            <w:vAlign w:val="bottom"/>
          </w:tcPr>
          <w:p w14:paraId="1E87BE4E" w14:textId="77777777" w:rsidR="00576857" w:rsidRPr="000F5C65" w:rsidRDefault="00576857" w:rsidP="001515D5">
            <w:r w:rsidRPr="000F5C65">
              <w:t>Gastrointestinal</w:t>
            </w:r>
          </w:p>
        </w:tc>
      </w:tr>
      <w:tr w:rsidR="00576857" w14:paraId="238BC87C" w14:textId="77777777" w:rsidTr="00576857">
        <w:tc>
          <w:tcPr>
            <w:tcW w:w="584" w:type="dxa"/>
            <w:vAlign w:val="bottom"/>
          </w:tcPr>
          <w:p w14:paraId="042F5B41" w14:textId="77777777" w:rsidR="00576857" w:rsidRPr="000F5C65" w:rsidRDefault="00576857" w:rsidP="001515D5">
            <w:r w:rsidRPr="000F5C65">
              <w:t>2017</w:t>
            </w:r>
          </w:p>
        </w:tc>
        <w:tc>
          <w:tcPr>
            <w:tcW w:w="1295" w:type="dxa"/>
            <w:vAlign w:val="bottom"/>
          </w:tcPr>
          <w:p w14:paraId="27CC8749" w14:textId="77777777" w:rsidR="00576857" w:rsidRPr="000F5C65" w:rsidRDefault="00576857" w:rsidP="001515D5">
            <w:r w:rsidRPr="000F5C65">
              <w:t>86</w:t>
            </w:r>
          </w:p>
        </w:tc>
        <w:tc>
          <w:tcPr>
            <w:tcW w:w="1626" w:type="dxa"/>
            <w:vAlign w:val="bottom"/>
          </w:tcPr>
          <w:p w14:paraId="6C6EB79C" w14:textId="77777777" w:rsidR="00576857" w:rsidRPr="000F5C65" w:rsidRDefault="00576857" w:rsidP="001515D5">
            <w:r w:rsidRPr="000F5C65">
              <w:t>25</w:t>
            </w:r>
          </w:p>
        </w:tc>
        <w:tc>
          <w:tcPr>
            <w:tcW w:w="611" w:type="dxa"/>
            <w:vAlign w:val="bottom"/>
          </w:tcPr>
          <w:p w14:paraId="6E86CF6F" w14:textId="77777777" w:rsidR="00576857" w:rsidRPr="000F5C65" w:rsidRDefault="00576857" w:rsidP="001515D5">
            <w:r w:rsidRPr="000F5C65">
              <w:t>24</w:t>
            </w:r>
          </w:p>
        </w:tc>
        <w:tc>
          <w:tcPr>
            <w:tcW w:w="1724" w:type="dxa"/>
            <w:vAlign w:val="bottom"/>
          </w:tcPr>
          <w:p w14:paraId="44D0C797" w14:textId="77777777" w:rsidR="00576857" w:rsidRPr="000F5C65" w:rsidRDefault="00576857" w:rsidP="001515D5">
            <w:r w:rsidRPr="000F5C65">
              <w:t>15</w:t>
            </w:r>
          </w:p>
        </w:tc>
        <w:tc>
          <w:tcPr>
            <w:tcW w:w="879" w:type="dxa"/>
            <w:vAlign w:val="bottom"/>
          </w:tcPr>
          <w:p w14:paraId="1885C5D9" w14:textId="77777777" w:rsidR="00576857" w:rsidRPr="000F5C65" w:rsidRDefault="00576857" w:rsidP="001515D5">
            <w:r w:rsidRPr="000F5C65">
              <w:t>18</w:t>
            </w:r>
          </w:p>
        </w:tc>
        <w:tc>
          <w:tcPr>
            <w:tcW w:w="1247" w:type="dxa"/>
            <w:vAlign w:val="bottom"/>
          </w:tcPr>
          <w:p w14:paraId="5F03CF13" w14:textId="77777777" w:rsidR="00576857" w:rsidRPr="000F5C65" w:rsidRDefault="00576857" w:rsidP="001515D5">
            <w:r w:rsidRPr="000F5C65">
              <w:t>19</w:t>
            </w:r>
          </w:p>
        </w:tc>
        <w:tc>
          <w:tcPr>
            <w:tcW w:w="1384" w:type="dxa"/>
            <w:vAlign w:val="bottom"/>
          </w:tcPr>
          <w:p w14:paraId="302C036A" w14:textId="77777777" w:rsidR="00576857" w:rsidRPr="000F5C65" w:rsidRDefault="00576857" w:rsidP="001515D5">
            <w:r w:rsidRPr="000F5C65">
              <w:t>7</w:t>
            </w:r>
          </w:p>
        </w:tc>
      </w:tr>
      <w:tr w:rsidR="00576857" w14:paraId="705BD11A" w14:textId="77777777" w:rsidTr="00576857">
        <w:tc>
          <w:tcPr>
            <w:tcW w:w="584" w:type="dxa"/>
            <w:vAlign w:val="bottom"/>
          </w:tcPr>
          <w:p w14:paraId="449701C2" w14:textId="77777777" w:rsidR="00576857" w:rsidRPr="000F5C65" w:rsidRDefault="00576857" w:rsidP="001515D5">
            <w:r w:rsidRPr="000F5C65">
              <w:t>2018</w:t>
            </w:r>
          </w:p>
        </w:tc>
        <w:tc>
          <w:tcPr>
            <w:tcW w:w="1295" w:type="dxa"/>
            <w:vAlign w:val="bottom"/>
          </w:tcPr>
          <w:p w14:paraId="702B389B" w14:textId="77777777" w:rsidR="00576857" w:rsidRPr="000F5C65" w:rsidRDefault="00576857" w:rsidP="001515D5">
            <w:r w:rsidRPr="000F5C65">
              <w:t>89</w:t>
            </w:r>
          </w:p>
        </w:tc>
        <w:tc>
          <w:tcPr>
            <w:tcW w:w="1626" w:type="dxa"/>
            <w:vAlign w:val="bottom"/>
          </w:tcPr>
          <w:p w14:paraId="452776F0" w14:textId="77777777" w:rsidR="00576857" w:rsidRPr="000F5C65" w:rsidRDefault="00576857" w:rsidP="001515D5">
            <w:r w:rsidRPr="000F5C65">
              <w:t>28</w:t>
            </w:r>
          </w:p>
        </w:tc>
        <w:tc>
          <w:tcPr>
            <w:tcW w:w="611" w:type="dxa"/>
            <w:vAlign w:val="bottom"/>
          </w:tcPr>
          <w:p w14:paraId="160AACEE" w14:textId="77777777" w:rsidR="00576857" w:rsidRPr="000F5C65" w:rsidRDefault="00576857" w:rsidP="001515D5">
            <w:r w:rsidRPr="000F5C65">
              <w:t>23</w:t>
            </w:r>
          </w:p>
        </w:tc>
        <w:tc>
          <w:tcPr>
            <w:tcW w:w="1724" w:type="dxa"/>
            <w:vAlign w:val="bottom"/>
          </w:tcPr>
          <w:p w14:paraId="3298F4D6" w14:textId="77777777" w:rsidR="00576857" w:rsidRPr="000F5C65" w:rsidRDefault="00576857" w:rsidP="001515D5">
            <w:r w:rsidRPr="000F5C65">
              <w:t>17</w:t>
            </w:r>
          </w:p>
        </w:tc>
        <w:tc>
          <w:tcPr>
            <w:tcW w:w="879" w:type="dxa"/>
            <w:vAlign w:val="bottom"/>
          </w:tcPr>
          <w:p w14:paraId="30F58F6F" w14:textId="77777777" w:rsidR="00576857" w:rsidRPr="000F5C65" w:rsidRDefault="00576857" w:rsidP="001515D5">
            <w:r w:rsidRPr="000F5C65">
              <w:t>19</w:t>
            </w:r>
          </w:p>
        </w:tc>
        <w:tc>
          <w:tcPr>
            <w:tcW w:w="1247" w:type="dxa"/>
            <w:vAlign w:val="bottom"/>
          </w:tcPr>
          <w:p w14:paraId="578C590F" w14:textId="77777777" w:rsidR="00576857" w:rsidRPr="000F5C65" w:rsidRDefault="00576857" w:rsidP="001515D5">
            <w:r w:rsidRPr="000F5C65">
              <w:t>17</w:t>
            </w:r>
          </w:p>
        </w:tc>
        <w:tc>
          <w:tcPr>
            <w:tcW w:w="1384" w:type="dxa"/>
            <w:vAlign w:val="bottom"/>
          </w:tcPr>
          <w:p w14:paraId="3E417615" w14:textId="77777777" w:rsidR="00576857" w:rsidRPr="000F5C65" w:rsidRDefault="00576857" w:rsidP="001515D5">
            <w:r w:rsidRPr="000F5C65">
              <w:t>8</w:t>
            </w:r>
          </w:p>
        </w:tc>
      </w:tr>
      <w:tr w:rsidR="00576857" w14:paraId="1B059AC1" w14:textId="77777777" w:rsidTr="00576857">
        <w:tc>
          <w:tcPr>
            <w:tcW w:w="584" w:type="dxa"/>
            <w:vAlign w:val="bottom"/>
          </w:tcPr>
          <w:p w14:paraId="0D71CB9C" w14:textId="77777777" w:rsidR="00576857" w:rsidRPr="000F5C65" w:rsidRDefault="00576857" w:rsidP="001515D5">
            <w:r w:rsidRPr="000F5C65">
              <w:lastRenderedPageBreak/>
              <w:t>2019</w:t>
            </w:r>
          </w:p>
        </w:tc>
        <w:tc>
          <w:tcPr>
            <w:tcW w:w="1295" w:type="dxa"/>
            <w:vAlign w:val="bottom"/>
          </w:tcPr>
          <w:p w14:paraId="619CC835" w14:textId="77777777" w:rsidR="00576857" w:rsidRPr="000F5C65" w:rsidRDefault="00576857" w:rsidP="001515D5">
            <w:r w:rsidRPr="000F5C65">
              <w:t>116</w:t>
            </w:r>
          </w:p>
        </w:tc>
        <w:tc>
          <w:tcPr>
            <w:tcW w:w="1626" w:type="dxa"/>
            <w:vAlign w:val="bottom"/>
          </w:tcPr>
          <w:p w14:paraId="56B97D5B" w14:textId="77777777" w:rsidR="00576857" w:rsidRPr="000F5C65" w:rsidRDefault="00576857" w:rsidP="001515D5">
            <w:r w:rsidRPr="000F5C65">
              <w:t>37</w:t>
            </w:r>
          </w:p>
        </w:tc>
        <w:tc>
          <w:tcPr>
            <w:tcW w:w="611" w:type="dxa"/>
            <w:vAlign w:val="bottom"/>
          </w:tcPr>
          <w:p w14:paraId="250AFFAD" w14:textId="77777777" w:rsidR="00576857" w:rsidRPr="000F5C65" w:rsidRDefault="00576857" w:rsidP="001515D5">
            <w:r w:rsidRPr="000F5C65">
              <w:t>21</w:t>
            </w:r>
          </w:p>
        </w:tc>
        <w:tc>
          <w:tcPr>
            <w:tcW w:w="1724" w:type="dxa"/>
            <w:vAlign w:val="bottom"/>
          </w:tcPr>
          <w:p w14:paraId="31FF4DBD" w14:textId="77777777" w:rsidR="00576857" w:rsidRPr="000F5C65" w:rsidRDefault="00576857" w:rsidP="001515D5">
            <w:r w:rsidRPr="000F5C65">
              <w:t>16</w:t>
            </w:r>
          </w:p>
        </w:tc>
        <w:tc>
          <w:tcPr>
            <w:tcW w:w="879" w:type="dxa"/>
            <w:vAlign w:val="bottom"/>
          </w:tcPr>
          <w:p w14:paraId="2A5626D9" w14:textId="77777777" w:rsidR="00576857" w:rsidRPr="000F5C65" w:rsidRDefault="00576857" w:rsidP="001515D5">
            <w:r w:rsidRPr="000F5C65">
              <w:t>17</w:t>
            </w:r>
          </w:p>
        </w:tc>
        <w:tc>
          <w:tcPr>
            <w:tcW w:w="1247" w:type="dxa"/>
            <w:vAlign w:val="bottom"/>
          </w:tcPr>
          <w:p w14:paraId="461D2ED8" w14:textId="77777777" w:rsidR="00576857" w:rsidRPr="000F5C65" w:rsidRDefault="00576857" w:rsidP="001515D5">
            <w:r w:rsidRPr="000F5C65">
              <w:t>25</w:t>
            </w:r>
          </w:p>
        </w:tc>
        <w:tc>
          <w:tcPr>
            <w:tcW w:w="1384" w:type="dxa"/>
            <w:vAlign w:val="bottom"/>
          </w:tcPr>
          <w:p w14:paraId="689AF067" w14:textId="77777777" w:rsidR="00576857" w:rsidRPr="000F5C65" w:rsidRDefault="00576857" w:rsidP="001515D5">
            <w:r w:rsidRPr="000F5C65">
              <w:t>8</w:t>
            </w:r>
          </w:p>
        </w:tc>
      </w:tr>
      <w:tr w:rsidR="00576857" w14:paraId="077C7C82" w14:textId="77777777" w:rsidTr="00576857">
        <w:tc>
          <w:tcPr>
            <w:tcW w:w="584" w:type="dxa"/>
            <w:vAlign w:val="bottom"/>
          </w:tcPr>
          <w:p w14:paraId="410E90D7" w14:textId="77777777" w:rsidR="00576857" w:rsidRPr="000F5C65" w:rsidRDefault="00576857" w:rsidP="001515D5">
            <w:r w:rsidRPr="000F5C65">
              <w:t>2020</w:t>
            </w:r>
          </w:p>
        </w:tc>
        <w:tc>
          <w:tcPr>
            <w:tcW w:w="1295" w:type="dxa"/>
            <w:vAlign w:val="bottom"/>
          </w:tcPr>
          <w:p w14:paraId="66D760D2" w14:textId="77777777" w:rsidR="00576857" w:rsidRPr="000F5C65" w:rsidRDefault="00576857" w:rsidP="001515D5">
            <w:r w:rsidRPr="000F5C65">
              <w:t>131</w:t>
            </w:r>
          </w:p>
        </w:tc>
        <w:tc>
          <w:tcPr>
            <w:tcW w:w="1626" w:type="dxa"/>
            <w:vAlign w:val="bottom"/>
          </w:tcPr>
          <w:p w14:paraId="6FAA3486" w14:textId="77777777" w:rsidR="00576857" w:rsidRPr="000F5C65" w:rsidRDefault="00576857" w:rsidP="001515D5">
            <w:r w:rsidRPr="000F5C65">
              <w:t>45</w:t>
            </w:r>
          </w:p>
        </w:tc>
        <w:tc>
          <w:tcPr>
            <w:tcW w:w="611" w:type="dxa"/>
            <w:vAlign w:val="bottom"/>
          </w:tcPr>
          <w:p w14:paraId="6FADE985" w14:textId="77777777" w:rsidR="00576857" w:rsidRPr="000F5C65" w:rsidRDefault="00576857" w:rsidP="001515D5">
            <w:r w:rsidRPr="000F5C65">
              <w:t>30</w:t>
            </w:r>
          </w:p>
        </w:tc>
        <w:tc>
          <w:tcPr>
            <w:tcW w:w="1724" w:type="dxa"/>
            <w:vAlign w:val="bottom"/>
          </w:tcPr>
          <w:p w14:paraId="7DE48248" w14:textId="77777777" w:rsidR="00576857" w:rsidRPr="000F5C65" w:rsidRDefault="00576857" w:rsidP="001515D5">
            <w:r w:rsidRPr="000F5C65">
              <w:t>23</w:t>
            </w:r>
          </w:p>
        </w:tc>
        <w:tc>
          <w:tcPr>
            <w:tcW w:w="879" w:type="dxa"/>
            <w:vAlign w:val="bottom"/>
          </w:tcPr>
          <w:p w14:paraId="426704CF" w14:textId="77777777" w:rsidR="00576857" w:rsidRPr="000F5C65" w:rsidRDefault="00576857" w:rsidP="001515D5">
            <w:r w:rsidRPr="000F5C65">
              <w:t>26</w:t>
            </w:r>
          </w:p>
        </w:tc>
        <w:tc>
          <w:tcPr>
            <w:tcW w:w="1247" w:type="dxa"/>
            <w:vAlign w:val="bottom"/>
          </w:tcPr>
          <w:p w14:paraId="05304E66" w14:textId="77777777" w:rsidR="00576857" w:rsidRPr="000F5C65" w:rsidRDefault="00576857" w:rsidP="001515D5">
            <w:r w:rsidRPr="000F5C65">
              <w:t>21</w:t>
            </w:r>
          </w:p>
        </w:tc>
        <w:tc>
          <w:tcPr>
            <w:tcW w:w="1384" w:type="dxa"/>
            <w:vAlign w:val="bottom"/>
          </w:tcPr>
          <w:p w14:paraId="293C4053" w14:textId="77777777" w:rsidR="00576857" w:rsidRPr="000F5C65" w:rsidRDefault="00576857" w:rsidP="001515D5">
            <w:r w:rsidRPr="000F5C65">
              <w:t>11</w:t>
            </w:r>
          </w:p>
        </w:tc>
      </w:tr>
      <w:tr w:rsidR="00576857" w14:paraId="0BBAC021" w14:textId="77777777" w:rsidTr="00576857">
        <w:tc>
          <w:tcPr>
            <w:tcW w:w="584" w:type="dxa"/>
            <w:vAlign w:val="bottom"/>
          </w:tcPr>
          <w:p w14:paraId="4DC13E39" w14:textId="77777777" w:rsidR="00576857" w:rsidRPr="000F5C65" w:rsidRDefault="00576857" w:rsidP="001515D5">
            <w:r w:rsidRPr="000F5C65">
              <w:t>2021</w:t>
            </w:r>
          </w:p>
        </w:tc>
        <w:tc>
          <w:tcPr>
            <w:tcW w:w="1295" w:type="dxa"/>
            <w:vAlign w:val="bottom"/>
          </w:tcPr>
          <w:p w14:paraId="097CF6FD" w14:textId="77777777" w:rsidR="00576857" w:rsidRPr="000F5C65" w:rsidRDefault="00576857" w:rsidP="001515D5">
            <w:r w:rsidRPr="000F5C65">
              <w:t>210</w:t>
            </w:r>
          </w:p>
        </w:tc>
        <w:tc>
          <w:tcPr>
            <w:tcW w:w="1626" w:type="dxa"/>
            <w:vAlign w:val="bottom"/>
          </w:tcPr>
          <w:p w14:paraId="1A1BF911" w14:textId="77777777" w:rsidR="00576857" w:rsidRPr="000F5C65" w:rsidRDefault="00576857" w:rsidP="001515D5">
            <w:r w:rsidRPr="000F5C65">
              <w:t>49</w:t>
            </w:r>
          </w:p>
        </w:tc>
        <w:tc>
          <w:tcPr>
            <w:tcW w:w="611" w:type="dxa"/>
            <w:vAlign w:val="bottom"/>
          </w:tcPr>
          <w:p w14:paraId="3E2EBAA5" w14:textId="77777777" w:rsidR="00576857" w:rsidRPr="000F5C65" w:rsidRDefault="00576857" w:rsidP="001515D5">
            <w:r w:rsidRPr="000F5C65">
              <w:t>47</w:t>
            </w:r>
          </w:p>
        </w:tc>
        <w:tc>
          <w:tcPr>
            <w:tcW w:w="1724" w:type="dxa"/>
            <w:vAlign w:val="bottom"/>
          </w:tcPr>
          <w:p w14:paraId="21BB31FF" w14:textId="77777777" w:rsidR="00576857" w:rsidRPr="000F5C65" w:rsidRDefault="00576857" w:rsidP="001515D5">
            <w:r w:rsidRPr="000F5C65">
              <w:t>45</w:t>
            </w:r>
          </w:p>
        </w:tc>
        <w:tc>
          <w:tcPr>
            <w:tcW w:w="879" w:type="dxa"/>
            <w:vAlign w:val="bottom"/>
          </w:tcPr>
          <w:p w14:paraId="2579C640" w14:textId="77777777" w:rsidR="00576857" w:rsidRPr="000F5C65" w:rsidRDefault="00576857" w:rsidP="001515D5">
            <w:r w:rsidRPr="000F5C65">
              <w:t>32</w:t>
            </w:r>
          </w:p>
        </w:tc>
        <w:tc>
          <w:tcPr>
            <w:tcW w:w="1247" w:type="dxa"/>
            <w:vAlign w:val="bottom"/>
          </w:tcPr>
          <w:p w14:paraId="4BB74B15" w14:textId="77777777" w:rsidR="00576857" w:rsidRPr="000F5C65" w:rsidRDefault="00576857" w:rsidP="001515D5">
            <w:r w:rsidRPr="000F5C65">
              <w:t>27</w:t>
            </w:r>
          </w:p>
        </w:tc>
        <w:tc>
          <w:tcPr>
            <w:tcW w:w="1384" w:type="dxa"/>
            <w:vAlign w:val="bottom"/>
          </w:tcPr>
          <w:p w14:paraId="51C8498E" w14:textId="77777777" w:rsidR="00576857" w:rsidRPr="000F5C65" w:rsidRDefault="00576857" w:rsidP="001515D5">
            <w:r w:rsidRPr="000F5C65">
              <w:t>11</w:t>
            </w:r>
          </w:p>
        </w:tc>
      </w:tr>
    </w:tbl>
    <w:p w14:paraId="045AE480" w14:textId="77777777" w:rsidR="00506CC7" w:rsidRPr="00506CC7" w:rsidRDefault="00506CC7" w:rsidP="00506CC7"/>
    <w:p w14:paraId="64485A91" w14:textId="77777777" w:rsidR="00506CC7" w:rsidRDefault="00506CC7" w:rsidP="00506CC7">
      <w:pPr>
        <w:pStyle w:val="Heading4"/>
      </w:pPr>
      <w:bookmarkStart w:id="492" w:name="_Toc162267325"/>
      <w:r w:rsidRPr="00506CC7">
        <w:t>Data Interpretations:</w:t>
      </w:r>
      <w:bookmarkEnd w:id="492"/>
      <w:r w:rsidRPr="00506CC7">
        <w:t xml:space="preserve"> </w:t>
      </w:r>
    </w:p>
    <w:p w14:paraId="70495D5A" w14:textId="295C95C8" w:rsidR="00506CC7" w:rsidRPr="00506CC7" w:rsidRDefault="00506CC7" w:rsidP="00506CC7">
      <w:r w:rsidRPr="00506CC7">
        <w:t>In SC, the greatest burden of birth defects is from malformations of the cardiovascular system (</w:t>
      </w:r>
      <w:r w:rsidRPr="00506CC7">
        <w:rPr>
          <w:b/>
          <w:bCs/>
        </w:rPr>
        <w:t>Figure 7.30</w:t>
      </w:r>
      <w:r w:rsidRPr="00506CC7">
        <w:t>). Effective ways to reduce risk for development of birth defects are to take folic acid before and during pregnancy, maintain a healthy lifestyle, and avoid behaviors and substances that could</w:t>
      </w:r>
      <w:r w:rsidR="00A41236">
        <w:t xml:space="preserve"> be</w:t>
      </w:r>
      <w:r w:rsidRPr="00506CC7">
        <w:t xml:space="preserve"> potentially harmful to the baby. Additionally, adequate prenatal care can help, with early detection and diagnosis, to improve outcomes for infants with birth defects.  </w:t>
      </w:r>
    </w:p>
    <w:p w14:paraId="477EE8E3" w14:textId="77777777" w:rsidR="00506CC7" w:rsidRDefault="00506CC7" w:rsidP="00506CC7"/>
    <w:p w14:paraId="2A479269" w14:textId="77777777" w:rsidR="00506CC7" w:rsidRDefault="00506CC7" w:rsidP="00506CC7">
      <w:pPr>
        <w:pStyle w:val="Heading5"/>
      </w:pPr>
      <w:r>
        <w:t xml:space="preserve">Key Takeaways: </w:t>
      </w:r>
    </w:p>
    <w:p w14:paraId="54341A1A" w14:textId="420A901D" w:rsidR="00506CC7" w:rsidRPr="00506CC7" w:rsidRDefault="00506CC7" w:rsidP="00926EB3">
      <w:pPr>
        <w:pStyle w:val="ListParagraph"/>
        <w:numPr>
          <w:ilvl w:val="0"/>
          <w:numId w:val="221"/>
        </w:numPr>
      </w:pPr>
      <w:r w:rsidRPr="00506CC7">
        <w:t>In SC, the greatest burden of birth defects are from malformations of the cardiovascular system.</w:t>
      </w:r>
    </w:p>
    <w:p w14:paraId="5C1EEE95" w14:textId="77777777" w:rsidR="00506CC7" w:rsidRDefault="00506CC7" w:rsidP="00506CC7"/>
    <w:p w14:paraId="3EDF25CD" w14:textId="57EDD082" w:rsidR="00506CC7" w:rsidRDefault="00506CC7" w:rsidP="00506CC7">
      <w:pPr>
        <w:pStyle w:val="Heading4"/>
        <w:rPr>
          <w:rFonts w:asciiTheme="minorHAnsi" w:hAnsiTheme="minorHAnsi" w:cstheme="minorHAnsi"/>
          <w:color w:val="000000" w:themeColor="text1"/>
        </w:rPr>
      </w:pPr>
      <w:bookmarkStart w:id="493" w:name="_Toc162267326"/>
      <w:r w:rsidRPr="00506CC7">
        <w:rPr>
          <w:rFonts w:asciiTheme="minorHAnsi" w:hAnsiTheme="minorHAnsi" w:cstheme="minorHAnsi"/>
          <w:color w:val="000000" w:themeColor="text1"/>
        </w:rPr>
        <w:t>References 7.</w:t>
      </w:r>
      <w:r>
        <w:rPr>
          <w:rFonts w:asciiTheme="minorHAnsi" w:hAnsiTheme="minorHAnsi" w:cstheme="minorHAnsi"/>
          <w:color w:val="000000" w:themeColor="text1"/>
        </w:rPr>
        <w:t>14</w:t>
      </w:r>
      <w:bookmarkEnd w:id="493"/>
      <w:r w:rsidRPr="00506CC7">
        <w:rPr>
          <w:rFonts w:asciiTheme="minorHAnsi" w:hAnsiTheme="minorHAnsi" w:cstheme="minorHAnsi"/>
          <w:color w:val="000000" w:themeColor="text1"/>
        </w:rPr>
        <w:t xml:space="preserve"> </w:t>
      </w:r>
    </w:p>
    <w:p w14:paraId="035866B8" w14:textId="77777777" w:rsidR="00506CC7" w:rsidRPr="00506CC7" w:rsidRDefault="00506CC7" w:rsidP="00506CC7">
      <w:pPr>
        <w:rPr>
          <w:i/>
          <w:iCs/>
        </w:rPr>
      </w:pPr>
      <w:r w:rsidRPr="00506CC7">
        <w:t>Statistics in the preceding section were referenced from the following reports:</w:t>
      </w:r>
    </w:p>
    <w:p w14:paraId="6E8AA7D1" w14:textId="5CE8730D" w:rsidR="00506CC7" w:rsidRPr="00506CC7" w:rsidRDefault="00506CC7" w:rsidP="00926EB3">
      <w:pPr>
        <w:pStyle w:val="ListParagraph"/>
        <w:numPr>
          <w:ilvl w:val="0"/>
          <w:numId w:val="31"/>
        </w:numPr>
      </w:pPr>
      <w:r>
        <w:t>“</w:t>
      </w:r>
      <w:r w:rsidRPr="00506CC7">
        <w:t>Why are Birth Defects Surveillance Programs Important?</w:t>
      </w:r>
      <w:r>
        <w:t>” by</w:t>
      </w:r>
      <w:r w:rsidRPr="00506CC7">
        <w:t xml:space="preserve"> Melo DG, </w:t>
      </w:r>
      <w:proofErr w:type="spellStart"/>
      <w:r w:rsidRPr="00506CC7">
        <w:t>Sanseverino</w:t>
      </w:r>
      <w:proofErr w:type="spellEnd"/>
      <w:r w:rsidRPr="00506CC7">
        <w:t xml:space="preserve"> MTV, </w:t>
      </w:r>
      <w:proofErr w:type="spellStart"/>
      <w:r w:rsidRPr="00506CC7">
        <w:t>Schmalfuss</w:t>
      </w:r>
      <w:proofErr w:type="spellEnd"/>
      <w:r w:rsidRPr="00506CC7">
        <w:t xml:space="preserve"> T de O, </w:t>
      </w:r>
      <w:proofErr w:type="spellStart"/>
      <w:r w:rsidRPr="00506CC7">
        <w:t>Larrandaburu</w:t>
      </w:r>
      <w:proofErr w:type="spellEnd"/>
      <w:r w:rsidRPr="00506CC7">
        <w:t xml:space="preserve"> M. </w:t>
      </w:r>
      <w:proofErr w:type="spellStart"/>
      <w:r>
        <w:t>Publihsed</w:t>
      </w:r>
      <w:proofErr w:type="spellEnd"/>
      <w:r>
        <w:t xml:space="preserve"> in </w:t>
      </w:r>
      <w:r w:rsidRPr="00506CC7">
        <w:t>Front Public Health</w:t>
      </w:r>
      <w:r>
        <w:t>,</w:t>
      </w:r>
      <w:r w:rsidRPr="00506CC7">
        <w:t xml:space="preserve"> 2021</w:t>
      </w:r>
      <w:r>
        <w:t>.</w:t>
      </w:r>
    </w:p>
    <w:p w14:paraId="5854E3E0" w14:textId="0469F072" w:rsidR="00506CC7" w:rsidRPr="00506CC7" w:rsidRDefault="00000000" w:rsidP="00926EB3">
      <w:pPr>
        <w:pStyle w:val="ListParagraph"/>
        <w:numPr>
          <w:ilvl w:val="0"/>
          <w:numId w:val="31"/>
        </w:numPr>
      </w:pPr>
      <w:hyperlink r:id="rId223" w:history="1">
        <w:r w:rsidR="00506CC7" w:rsidRPr="00506CC7">
          <w:rPr>
            <w:rStyle w:val="Hyperlink"/>
          </w:rPr>
          <w:t xml:space="preserve">“Appendix C, Surveillance Manual, Birth </w:t>
        </w:r>
        <w:proofErr w:type="gramStart"/>
        <w:r w:rsidR="00506CC7" w:rsidRPr="00506CC7">
          <w:rPr>
            <w:rStyle w:val="Hyperlink"/>
          </w:rPr>
          <w:t>Defects ,</w:t>
        </w:r>
        <w:proofErr w:type="gramEnd"/>
        <w:r w:rsidR="00506CC7" w:rsidRPr="00506CC7">
          <w:rPr>
            <w:rStyle w:val="Hyperlink"/>
          </w:rPr>
          <w:t xml:space="preserve"> NCBDDD” by CDC via cdc.gov. Accessed June 21, 2023.</w:t>
        </w:r>
      </w:hyperlink>
      <w:r w:rsidR="00506CC7" w:rsidRPr="00506CC7">
        <w:t xml:space="preserve"> </w:t>
      </w:r>
    </w:p>
    <w:p w14:paraId="4BB6F83E" w14:textId="74CA519E" w:rsidR="00506CC7" w:rsidRPr="00506CC7" w:rsidRDefault="00000000" w:rsidP="00926EB3">
      <w:pPr>
        <w:pStyle w:val="ListParagraph"/>
        <w:numPr>
          <w:ilvl w:val="0"/>
          <w:numId w:val="31"/>
        </w:numPr>
      </w:pPr>
      <w:hyperlink r:id="rId224" w:history="1">
        <w:r w:rsidR="00506CC7" w:rsidRPr="00506CC7">
          <w:rPr>
            <w:rStyle w:val="Hyperlink"/>
          </w:rPr>
          <w:t>“Learn More about Birth Defects” by CDC via cdc.gov. Accessed June 21, 2023.</w:t>
        </w:r>
      </w:hyperlink>
      <w:r w:rsidR="00506CC7" w:rsidRPr="00506CC7">
        <w:t xml:space="preserve"> </w:t>
      </w:r>
    </w:p>
    <w:p w14:paraId="20B1007B" w14:textId="77777777" w:rsidR="00506CC7" w:rsidRDefault="00506CC7" w:rsidP="00506CC7">
      <w:pPr>
        <w:pStyle w:val="Heading3"/>
      </w:pPr>
    </w:p>
    <w:p w14:paraId="7381B3F3" w14:textId="791473F2" w:rsidR="00506CC7" w:rsidRDefault="00506CC7" w:rsidP="00506CC7">
      <w:pPr>
        <w:pStyle w:val="Heading3"/>
      </w:pPr>
      <w:bookmarkStart w:id="494" w:name="_Toc162267327"/>
      <w:r w:rsidRPr="00506CC7">
        <w:t xml:space="preserve">Healthy Infants: </w:t>
      </w:r>
      <w:r>
        <w:t>Breastfeeding</w:t>
      </w:r>
      <w:bookmarkEnd w:id="494"/>
    </w:p>
    <w:p w14:paraId="562C7925" w14:textId="5BE687F2" w:rsidR="00506CC7" w:rsidRPr="00506CC7" w:rsidRDefault="00506CC7" w:rsidP="00506CC7">
      <w:r w:rsidRPr="00506CC7">
        <w:t>Breastfeeding is advantageous for both mother and baby, and exclusive breastfeeding through six months is a Healthy People 2030 objective</w:t>
      </w:r>
      <w:r>
        <w:t>.</w:t>
      </w:r>
      <w:r w:rsidRPr="00506CC7">
        <w:t xml:space="preserve"> In most cases, breastfeeding can be initiated at birth, and may be the primary source of nutrition through the first six months. The benefits of breastfeeding are proven, and extend beyond the infancy period. These benefits can range from intellectual and motor development as well as a reduction in the risk of infection (e.g., </w:t>
      </w:r>
      <w:r w:rsidRPr="00506CC7">
        <w:lastRenderedPageBreak/>
        <w:t xml:space="preserve">gastrointestinal, respiratory), SIDS, and chronic diseases throughout infancy and childhood. Breastfeeding also reduces the risk of premenopausal breast and ovarian cancers, high blood pressure, and type 2 diabetes for the mother.  </w:t>
      </w:r>
    </w:p>
    <w:p w14:paraId="22F7AD57" w14:textId="77777777" w:rsidR="00506CC7" w:rsidRDefault="00506CC7" w:rsidP="00506CC7"/>
    <w:p w14:paraId="033073FC" w14:textId="1B2B5266" w:rsidR="00506CC7" w:rsidRPr="00506CC7" w:rsidRDefault="00506CC7" w:rsidP="00506CC7">
      <w:r w:rsidRPr="00506CC7">
        <w:t>There is an array of factors that may challenge the initiation or continuation of breastfeeding for mother and baby. Age, parity, and some maternal health conditions are non-modifiable maternal risk factors that can negatively affect breastfeeding. Among modifiable maternal risk factors, lack of social support, exposure to interpersonal violence and home stressors, late or lack of prenatal care, the use and timing of oral contraceptives, substance use, and the desire to return to work may also impede the initiation or continuation of breastfeeding. Family support and education, intervention, and referrals provided by pediatricians and lactation specialists offered through hospitals, birthing centers, and clinics are essential. Just as important to achieving our goals are hospital practices, workplace policies, community resources and programs such as WIC, which provide breastfeeding peer counseling and lactation support to mothers and their babies.</w:t>
      </w:r>
    </w:p>
    <w:p w14:paraId="2AF76F27" w14:textId="77777777" w:rsidR="00506CC7" w:rsidRDefault="00506CC7" w:rsidP="00506CC7"/>
    <w:p w14:paraId="06512EEB" w14:textId="18AAD2E6" w:rsidR="00506CC7" w:rsidRDefault="00506CC7" w:rsidP="00506CC7">
      <w:r w:rsidRPr="00506CC7">
        <w:t xml:space="preserve">The US Surgeon General has devised a Call to Action that outlines steps for the removal of barriers faced by women who desire to breastfeed. The Call to Action provides specific recommendations for the healthcare community, employers, community leaders, </w:t>
      </w:r>
      <w:proofErr w:type="gramStart"/>
      <w:r w:rsidRPr="00506CC7">
        <w:t>families</w:t>
      </w:r>
      <w:proofErr w:type="gramEnd"/>
      <w:r w:rsidRPr="00506CC7">
        <w:t xml:space="preserve"> and friends, as well as policymakers. The recommendations include ensuring access to International Board Certified Lactation Consultants, breastfeeding education geared toward providers, starting and maintaining high-quality lactation support programs for employees, using community organizations to promote and support breastfeeding, educating fathers and grandmothers about breastfeeding, supporting nonprofit organizations that promote breastfeeding in racial and ethnic minority communities, and supporting better tracking of breastfeeding rates and their associated factors.</w:t>
      </w:r>
    </w:p>
    <w:p w14:paraId="1EC87B25" w14:textId="77777777" w:rsidR="00576857" w:rsidRDefault="00576857" w:rsidP="00506CC7">
      <w:pPr>
        <w:rPr>
          <w:b/>
          <w:bCs/>
        </w:rPr>
      </w:pPr>
    </w:p>
    <w:p w14:paraId="0B280652" w14:textId="77777777" w:rsidR="00576857" w:rsidRDefault="00576857" w:rsidP="00576857">
      <w:pPr>
        <w:pStyle w:val="Heading4"/>
      </w:pPr>
      <w:bookmarkStart w:id="495" w:name="_Toc154576428"/>
      <w:bookmarkStart w:id="496" w:name="_Toc162267328"/>
      <w:r>
        <w:t>Figure 7.31: Breastfeeding Initiation, by Maternal Race/Ethnicity.</w:t>
      </w:r>
      <w:bookmarkEnd w:id="495"/>
      <w:bookmarkEnd w:id="496"/>
    </w:p>
    <w:tbl>
      <w:tblPr>
        <w:tblStyle w:val="TableGrid"/>
        <w:tblW w:w="0" w:type="auto"/>
        <w:tblLook w:val="04A0" w:firstRow="1" w:lastRow="0" w:firstColumn="1" w:lastColumn="0" w:noHBand="0" w:noVBand="1"/>
      </w:tblPr>
      <w:tblGrid>
        <w:gridCol w:w="1870"/>
        <w:gridCol w:w="1870"/>
        <w:gridCol w:w="1870"/>
        <w:gridCol w:w="1870"/>
        <w:gridCol w:w="1870"/>
      </w:tblGrid>
      <w:tr w:rsidR="00576857" w14:paraId="0C9DB585" w14:textId="77777777" w:rsidTr="001515D5">
        <w:tc>
          <w:tcPr>
            <w:tcW w:w="1870" w:type="dxa"/>
            <w:vAlign w:val="bottom"/>
          </w:tcPr>
          <w:p w14:paraId="1987353C" w14:textId="77777777" w:rsidR="00576857" w:rsidRPr="00C12D03" w:rsidRDefault="00576857" w:rsidP="001515D5">
            <w:r>
              <w:t>Year</w:t>
            </w:r>
          </w:p>
        </w:tc>
        <w:tc>
          <w:tcPr>
            <w:tcW w:w="1870" w:type="dxa"/>
            <w:vAlign w:val="bottom"/>
          </w:tcPr>
          <w:p w14:paraId="7311F02C" w14:textId="77777777" w:rsidR="00576857" w:rsidRPr="00C12D03" w:rsidRDefault="00576857" w:rsidP="001515D5">
            <w:r w:rsidRPr="00C12D03">
              <w:t>Non-Hispanic White</w:t>
            </w:r>
          </w:p>
        </w:tc>
        <w:tc>
          <w:tcPr>
            <w:tcW w:w="1870" w:type="dxa"/>
            <w:vAlign w:val="bottom"/>
          </w:tcPr>
          <w:p w14:paraId="1237BCBA" w14:textId="77777777" w:rsidR="00576857" w:rsidRPr="00C12D03" w:rsidRDefault="00576857" w:rsidP="001515D5">
            <w:r w:rsidRPr="00C12D03">
              <w:t>Non-Hispanic Black</w:t>
            </w:r>
          </w:p>
        </w:tc>
        <w:tc>
          <w:tcPr>
            <w:tcW w:w="1870" w:type="dxa"/>
            <w:vAlign w:val="bottom"/>
          </w:tcPr>
          <w:p w14:paraId="7F4FDEE5" w14:textId="77777777" w:rsidR="00576857" w:rsidRPr="00C12D03" w:rsidRDefault="00576857" w:rsidP="001515D5">
            <w:r w:rsidRPr="00C12D03">
              <w:t>Non-Hispanic Other (includes multi-racial)</w:t>
            </w:r>
          </w:p>
        </w:tc>
        <w:tc>
          <w:tcPr>
            <w:tcW w:w="1870" w:type="dxa"/>
            <w:vAlign w:val="bottom"/>
          </w:tcPr>
          <w:p w14:paraId="3626E14A" w14:textId="77777777" w:rsidR="00576857" w:rsidRPr="00C12D03" w:rsidRDefault="00576857" w:rsidP="001515D5">
            <w:r w:rsidRPr="00C12D03">
              <w:t>Hispanic</w:t>
            </w:r>
          </w:p>
        </w:tc>
      </w:tr>
      <w:tr w:rsidR="00576857" w14:paraId="31ED3F53" w14:textId="77777777" w:rsidTr="001515D5">
        <w:tc>
          <w:tcPr>
            <w:tcW w:w="1870" w:type="dxa"/>
            <w:vAlign w:val="bottom"/>
          </w:tcPr>
          <w:p w14:paraId="1949566F" w14:textId="77777777" w:rsidR="00576857" w:rsidRPr="00C12D03" w:rsidRDefault="00576857" w:rsidP="001515D5">
            <w:r w:rsidRPr="00C12D03">
              <w:t>2017-2021</w:t>
            </w:r>
          </w:p>
        </w:tc>
        <w:tc>
          <w:tcPr>
            <w:tcW w:w="1870" w:type="dxa"/>
            <w:vAlign w:val="bottom"/>
          </w:tcPr>
          <w:p w14:paraId="2D858CC2" w14:textId="77777777" w:rsidR="00576857" w:rsidRPr="000F5C65" w:rsidRDefault="00576857" w:rsidP="001515D5">
            <w:r w:rsidRPr="000F5C65">
              <w:t>81.8%</w:t>
            </w:r>
          </w:p>
        </w:tc>
        <w:tc>
          <w:tcPr>
            <w:tcW w:w="1870" w:type="dxa"/>
            <w:vAlign w:val="bottom"/>
          </w:tcPr>
          <w:p w14:paraId="7775BD4C" w14:textId="77777777" w:rsidR="00576857" w:rsidRPr="000F5C65" w:rsidRDefault="00576857" w:rsidP="001515D5">
            <w:r w:rsidRPr="000F5C65">
              <w:t>65.8%</w:t>
            </w:r>
          </w:p>
        </w:tc>
        <w:tc>
          <w:tcPr>
            <w:tcW w:w="1870" w:type="dxa"/>
            <w:vAlign w:val="bottom"/>
          </w:tcPr>
          <w:p w14:paraId="7AEC101B" w14:textId="77777777" w:rsidR="00576857" w:rsidRPr="000F5C65" w:rsidRDefault="00576857" w:rsidP="001515D5">
            <w:r w:rsidRPr="000F5C65">
              <w:t>85.6%</w:t>
            </w:r>
          </w:p>
        </w:tc>
        <w:tc>
          <w:tcPr>
            <w:tcW w:w="1870" w:type="dxa"/>
            <w:vAlign w:val="bottom"/>
          </w:tcPr>
          <w:p w14:paraId="4D32D39E" w14:textId="77777777" w:rsidR="00576857" w:rsidRPr="000F5C65" w:rsidRDefault="00576857" w:rsidP="001515D5">
            <w:r w:rsidRPr="000F5C65">
              <w:t>85.4%</w:t>
            </w:r>
          </w:p>
        </w:tc>
      </w:tr>
    </w:tbl>
    <w:p w14:paraId="75A30E58" w14:textId="77777777" w:rsidR="00576857" w:rsidRDefault="00576857" w:rsidP="00576857">
      <w:r w:rsidRPr="00C12D03">
        <w:lastRenderedPageBreak/>
        <w:t xml:space="preserve">Source: SC DHEC Vital Statistics, 2017- 2021. </w:t>
      </w:r>
    </w:p>
    <w:p w14:paraId="0B6A32D8" w14:textId="77777777" w:rsidR="00576857" w:rsidRDefault="00576857" w:rsidP="00576857">
      <w:r w:rsidRPr="000F5C65">
        <w:t>Note: population for year 2021 based on single-race estimates and for years prior based on bridge-race estimates.</w:t>
      </w:r>
    </w:p>
    <w:p w14:paraId="757EE030" w14:textId="77777777" w:rsidR="00576857" w:rsidRDefault="00576857" w:rsidP="00576857"/>
    <w:p w14:paraId="042D391A" w14:textId="77777777" w:rsidR="00576857" w:rsidRDefault="00576857" w:rsidP="00576857">
      <w:pPr>
        <w:pStyle w:val="Heading4"/>
      </w:pPr>
      <w:bookmarkStart w:id="497" w:name="_Toc154576429"/>
      <w:bookmarkStart w:id="498" w:name="_Toc162267329"/>
      <w:r>
        <w:t>Figure 7.32: Breastfeeding Initiation, by Maternal Age.</w:t>
      </w:r>
      <w:bookmarkEnd w:id="497"/>
      <w:bookmarkEnd w:id="498"/>
    </w:p>
    <w:tbl>
      <w:tblPr>
        <w:tblStyle w:val="TableGrid"/>
        <w:tblW w:w="0" w:type="auto"/>
        <w:tblLook w:val="04A0" w:firstRow="1" w:lastRow="0" w:firstColumn="1" w:lastColumn="0" w:noHBand="0" w:noVBand="1"/>
      </w:tblPr>
      <w:tblGrid>
        <w:gridCol w:w="1870"/>
        <w:gridCol w:w="1870"/>
        <w:gridCol w:w="1870"/>
        <w:gridCol w:w="1870"/>
        <w:gridCol w:w="1870"/>
      </w:tblGrid>
      <w:tr w:rsidR="00576857" w14:paraId="0C97FD03" w14:textId="77777777" w:rsidTr="001515D5">
        <w:tc>
          <w:tcPr>
            <w:tcW w:w="1870" w:type="dxa"/>
            <w:vAlign w:val="bottom"/>
          </w:tcPr>
          <w:p w14:paraId="55F44980" w14:textId="77777777" w:rsidR="00576857" w:rsidRPr="00C12D03" w:rsidRDefault="00576857" w:rsidP="001515D5">
            <w:r>
              <w:t>Year</w:t>
            </w:r>
          </w:p>
        </w:tc>
        <w:tc>
          <w:tcPr>
            <w:tcW w:w="1870" w:type="dxa"/>
            <w:vAlign w:val="bottom"/>
          </w:tcPr>
          <w:p w14:paraId="17B4900A" w14:textId="77777777" w:rsidR="00576857" w:rsidRPr="00C12D03" w:rsidRDefault="00576857" w:rsidP="001515D5">
            <w:r w:rsidRPr="00C12D03">
              <w:t xml:space="preserve">  &lt; 25</w:t>
            </w:r>
          </w:p>
        </w:tc>
        <w:tc>
          <w:tcPr>
            <w:tcW w:w="1870" w:type="dxa"/>
            <w:vAlign w:val="bottom"/>
          </w:tcPr>
          <w:p w14:paraId="05068FA0" w14:textId="77777777" w:rsidR="00576857" w:rsidRPr="00C12D03" w:rsidRDefault="00576857" w:rsidP="001515D5">
            <w:r w:rsidRPr="00C12D03">
              <w:t xml:space="preserve">  25 - 34</w:t>
            </w:r>
          </w:p>
        </w:tc>
        <w:tc>
          <w:tcPr>
            <w:tcW w:w="1870" w:type="dxa"/>
            <w:vAlign w:val="bottom"/>
          </w:tcPr>
          <w:p w14:paraId="67C0A53F" w14:textId="77777777" w:rsidR="00576857" w:rsidRPr="00C12D03" w:rsidRDefault="00576857" w:rsidP="001515D5">
            <w:r w:rsidRPr="00C12D03">
              <w:t xml:space="preserve">  35 - 44</w:t>
            </w:r>
          </w:p>
        </w:tc>
        <w:tc>
          <w:tcPr>
            <w:tcW w:w="1870" w:type="dxa"/>
            <w:vAlign w:val="bottom"/>
          </w:tcPr>
          <w:p w14:paraId="64903D99" w14:textId="77777777" w:rsidR="00576857" w:rsidRPr="00C12D03" w:rsidRDefault="00576857" w:rsidP="001515D5">
            <w:r w:rsidRPr="00C12D03">
              <w:t xml:space="preserve">  45+</w:t>
            </w:r>
          </w:p>
        </w:tc>
      </w:tr>
      <w:tr w:rsidR="00576857" w14:paraId="17BB5CBE" w14:textId="77777777" w:rsidTr="001515D5">
        <w:tc>
          <w:tcPr>
            <w:tcW w:w="1870" w:type="dxa"/>
            <w:vAlign w:val="bottom"/>
          </w:tcPr>
          <w:p w14:paraId="3DD21B2E" w14:textId="77777777" w:rsidR="00576857" w:rsidRPr="00C12D03" w:rsidRDefault="00576857" w:rsidP="001515D5">
            <w:r w:rsidRPr="00C12D03">
              <w:t>2017-2021</w:t>
            </w:r>
          </w:p>
        </w:tc>
        <w:tc>
          <w:tcPr>
            <w:tcW w:w="1870" w:type="dxa"/>
            <w:vAlign w:val="bottom"/>
          </w:tcPr>
          <w:p w14:paraId="40698B4D" w14:textId="77777777" w:rsidR="00576857" w:rsidRPr="000F5C65" w:rsidRDefault="00576857" w:rsidP="001515D5">
            <w:r w:rsidRPr="000F5C65">
              <w:t>69.8%</w:t>
            </w:r>
          </w:p>
        </w:tc>
        <w:tc>
          <w:tcPr>
            <w:tcW w:w="1870" w:type="dxa"/>
            <w:vAlign w:val="bottom"/>
          </w:tcPr>
          <w:p w14:paraId="2C11EFC7" w14:textId="77777777" w:rsidR="00576857" w:rsidRPr="000F5C65" w:rsidRDefault="00576857" w:rsidP="001515D5">
            <w:r w:rsidRPr="000F5C65">
              <w:t>80.0%</w:t>
            </w:r>
          </w:p>
        </w:tc>
        <w:tc>
          <w:tcPr>
            <w:tcW w:w="1870" w:type="dxa"/>
            <w:vAlign w:val="bottom"/>
          </w:tcPr>
          <w:p w14:paraId="472860DC" w14:textId="77777777" w:rsidR="00576857" w:rsidRPr="000F5C65" w:rsidRDefault="00576857" w:rsidP="001515D5">
            <w:r w:rsidRPr="000F5C65">
              <w:t>81.9%</w:t>
            </w:r>
          </w:p>
        </w:tc>
        <w:tc>
          <w:tcPr>
            <w:tcW w:w="1870" w:type="dxa"/>
            <w:vAlign w:val="bottom"/>
          </w:tcPr>
          <w:p w14:paraId="7318C145" w14:textId="77777777" w:rsidR="00576857" w:rsidRPr="000F5C65" w:rsidRDefault="00576857" w:rsidP="001515D5">
            <w:r w:rsidRPr="000F5C65">
              <w:t>83.1%</w:t>
            </w:r>
          </w:p>
        </w:tc>
      </w:tr>
    </w:tbl>
    <w:p w14:paraId="09E1B56D" w14:textId="77777777" w:rsidR="00576857" w:rsidRDefault="00576857" w:rsidP="00576857">
      <w:r w:rsidRPr="00C12D03">
        <w:t xml:space="preserve">Source: SC DHEC Vital Statistics, 2017- 2021. </w:t>
      </w:r>
    </w:p>
    <w:p w14:paraId="32F9C641" w14:textId="77777777" w:rsidR="00576857" w:rsidRDefault="00576857" w:rsidP="00576857">
      <w:r w:rsidRPr="000F5C65">
        <w:t>Note: population for year 2021 based on single-race estimates and for years prior based on bridge-race estimates.</w:t>
      </w:r>
    </w:p>
    <w:p w14:paraId="7A243053" w14:textId="77777777" w:rsidR="00576857" w:rsidRDefault="00576857" w:rsidP="00576857"/>
    <w:p w14:paraId="3337732C" w14:textId="77777777" w:rsidR="00576857" w:rsidRDefault="00576857" w:rsidP="00576857">
      <w:pPr>
        <w:pStyle w:val="Heading4"/>
      </w:pPr>
      <w:bookmarkStart w:id="499" w:name="_Toc154576430"/>
      <w:bookmarkStart w:id="500" w:name="_Toc162267330"/>
      <w:r>
        <w:t>Figure 7.33: Exclusive Breastfeeding.</w:t>
      </w:r>
      <w:bookmarkEnd w:id="499"/>
      <w:bookmarkEnd w:id="500"/>
    </w:p>
    <w:p w14:paraId="714A245E" w14:textId="77777777" w:rsidR="00576857" w:rsidRDefault="00576857" w:rsidP="00576857">
      <w:pPr>
        <w:pStyle w:val="Heading5"/>
      </w:pPr>
      <w:r>
        <w:t>US National Percentages</w:t>
      </w:r>
    </w:p>
    <w:tbl>
      <w:tblPr>
        <w:tblStyle w:val="TableGrid"/>
        <w:tblW w:w="0" w:type="auto"/>
        <w:tblLook w:val="04A0" w:firstRow="1" w:lastRow="0" w:firstColumn="1" w:lastColumn="0" w:noHBand="0" w:noVBand="1"/>
      </w:tblPr>
      <w:tblGrid>
        <w:gridCol w:w="1870"/>
        <w:gridCol w:w="1870"/>
        <w:gridCol w:w="1870"/>
        <w:gridCol w:w="1870"/>
        <w:gridCol w:w="1870"/>
      </w:tblGrid>
      <w:tr w:rsidR="00576857" w14:paraId="7B84D938" w14:textId="77777777" w:rsidTr="001515D5">
        <w:tc>
          <w:tcPr>
            <w:tcW w:w="1870" w:type="dxa"/>
            <w:vAlign w:val="bottom"/>
          </w:tcPr>
          <w:p w14:paraId="44620BA1" w14:textId="77777777" w:rsidR="00576857" w:rsidRPr="000F5C65" w:rsidRDefault="00576857" w:rsidP="001515D5">
            <w:r w:rsidRPr="000F5C65">
              <w:t>Year</w:t>
            </w:r>
          </w:p>
        </w:tc>
        <w:tc>
          <w:tcPr>
            <w:tcW w:w="1870" w:type="dxa"/>
            <w:vAlign w:val="bottom"/>
          </w:tcPr>
          <w:p w14:paraId="00650578" w14:textId="77777777" w:rsidR="00576857" w:rsidRPr="000F5C65" w:rsidRDefault="00576857" w:rsidP="001515D5">
            <w:r w:rsidRPr="000F5C65">
              <w:t>2016</w:t>
            </w:r>
          </w:p>
        </w:tc>
        <w:tc>
          <w:tcPr>
            <w:tcW w:w="1870" w:type="dxa"/>
            <w:vAlign w:val="bottom"/>
          </w:tcPr>
          <w:p w14:paraId="3E8F883D" w14:textId="77777777" w:rsidR="00576857" w:rsidRPr="000F5C65" w:rsidRDefault="00576857" w:rsidP="001515D5">
            <w:r w:rsidRPr="000F5C65">
              <w:t>2017</w:t>
            </w:r>
          </w:p>
        </w:tc>
        <w:tc>
          <w:tcPr>
            <w:tcW w:w="1870" w:type="dxa"/>
            <w:vAlign w:val="bottom"/>
          </w:tcPr>
          <w:p w14:paraId="236A561E" w14:textId="77777777" w:rsidR="00576857" w:rsidRPr="000F5C65" w:rsidRDefault="00576857" w:rsidP="001515D5">
            <w:r w:rsidRPr="000F5C65">
              <w:t>2018</w:t>
            </w:r>
          </w:p>
        </w:tc>
        <w:tc>
          <w:tcPr>
            <w:tcW w:w="1870" w:type="dxa"/>
            <w:vAlign w:val="bottom"/>
          </w:tcPr>
          <w:p w14:paraId="4176897A" w14:textId="77777777" w:rsidR="00576857" w:rsidRPr="000F5C65" w:rsidRDefault="00576857" w:rsidP="001515D5">
            <w:r w:rsidRPr="000F5C65">
              <w:t>2019</w:t>
            </w:r>
          </w:p>
        </w:tc>
      </w:tr>
      <w:tr w:rsidR="00576857" w14:paraId="0ED84E86" w14:textId="77777777" w:rsidTr="001515D5">
        <w:tc>
          <w:tcPr>
            <w:tcW w:w="1870" w:type="dxa"/>
            <w:vAlign w:val="bottom"/>
          </w:tcPr>
          <w:p w14:paraId="328E399F" w14:textId="77777777" w:rsidR="00576857" w:rsidRPr="000F5C65" w:rsidRDefault="00576857" w:rsidP="001515D5">
            <w:r w:rsidRPr="000F5C65">
              <w:t xml:space="preserve">Exclusive Breastfeeding Through 3 Months </w:t>
            </w:r>
          </w:p>
        </w:tc>
        <w:tc>
          <w:tcPr>
            <w:tcW w:w="1870" w:type="dxa"/>
            <w:vAlign w:val="bottom"/>
          </w:tcPr>
          <w:p w14:paraId="15456168" w14:textId="77777777" w:rsidR="00576857" w:rsidRPr="000F5C65" w:rsidRDefault="00576857" w:rsidP="001515D5">
            <w:r w:rsidRPr="000F5C65">
              <w:t>47.5%</w:t>
            </w:r>
          </w:p>
        </w:tc>
        <w:tc>
          <w:tcPr>
            <w:tcW w:w="1870" w:type="dxa"/>
            <w:vAlign w:val="bottom"/>
          </w:tcPr>
          <w:p w14:paraId="21B681B0" w14:textId="77777777" w:rsidR="00576857" w:rsidRPr="000F5C65" w:rsidRDefault="00576857" w:rsidP="001515D5">
            <w:r w:rsidRPr="000F5C65">
              <w:t>46.9%</w:t>
            </w:r>
          </w:p>
        </w:tc>
        <w:tc>
          <w:tcPr>
            <w:tcW w:w="1870" w:type="dxa"/>
            <w:vAlign w:val="bottom"/>
          </w:tcPr>
          <w:p w14:paraId="719A0B89" w14:textId="77777777" w:rsidR="00576857" w:rsidRPr="000F5C65" w:rsidRDefault="00576857" w:rsidP="001515D5">
            <w:r w:rsidRPr="000F5C65">
              <w:t>46.3%</w:t>
            </w:r>
          </w:p>
        </w:tc>
        <w:tc>
          <w:tcPr>
            <w:tcW w:w="1870" w:type="dxa"/>
            <w:vAlign w:val="bottom"/>
          </w:tcPr>
          <w:p w14:paraId="3DB9755D" w14:textId="77777777" w:rsidR="00576857" w:rsidRPr="000F5C65" w:rsidRDefault="00576857" w:rsidP="001515D5">
            <w:r w:rsidRPr="000F5C65">
              <w:t>45.3%</w:t>
            </w:r>
          </w:p>
        </w:tc>
      </w:tr>
      <w:tr w:rsidR="00576857" w14:paraId="20EB59E8" w14:textId="77777777" w:rsidTr="001515D5">
        <w:tc>
          <w:tcPr>
            <w:tcW w:w="1870" w:type="dxa"/>
            <w:vAlign w:val="bottom"/>
          </w:tcPr>
          <w:p w14:paraId="1B492713" w14:textId="77777777" w:rsidR="00576857" w:rsidRPr="000F5C65" w:rsidRDefault="00576857" w:rsidP="001515D5">
            <w:r w:rsidRPr="000F5C65">
              <w:t xml:space="preserve">Exclusive Breastfeeding Through 6 Months </w:t>
            </w:r>
          </w:p>
        </w:tc>
        <w:tc>
          <w:tcPr>
            <w:tcW w:w="1870" w:type="dxa"/>
            <w:vAlign w:val="bottom"/>
          </w:tcPr>
          <w:p w14:paraId="606CC6D0" w14:textId="77777777" w:rsidR="00576857" w:rsidRPr="000F5C65" w:rsidRDefault="00576857" w:rsidP="001515D5">
            <w:r w:rsidRPr="000F5C65">
              <w:t>25.4%</w:t>
            </w:r>
          </w:p>
        </w:tc>
        <w:tc>
          <w:tcPr>
            <w:tcW w:w="1870" w:type="dxa"/>
            <w:vAlign w:val="bottom"/>
          </w:tcPr>
          <w:p w14:paraId="4813FB45" w14:textId="77777777" w:rsidR="00576857" w:rsidRPr="000F5C65" w:rsidRDefault="00576857" w:rsidP="001515D5">
            <w:r w:rsidRPr="000F5C65">
              <w:t>25.6%</w:t>
            </w:r>
          </w:p>
        </w:tc>
        <w:tc>
          <w:tcPr>
            <w:tcW w:w="1870" w:type="dxa"/>
            <w:vAlign w:val="bottom"/>
          </w:tcPr>
          <w:p w14:paraId="419B5A83" w14:textId="77777777" w:rsidR="00576857" w:rsidRPr="000F5C65" w:rsidRDefault="00576857" w:rsidP="001515D5">
            <w:r w:rsidRPr="000F5C65">
              <w:t>25.8%</w:t>
            </w:r>
          </w:p>
        </w:tc>
        <w:tc>
          <w:tcPr>
            <w:tcW w:w="1870" w:type="dxa"/>
            <w:vAlign w:val="bottom"/>
          </w:tcPr>
          <w:p w14:paraId="7FEC2243" w14:textId="77777777" w:rsidR="00576857" w:rsidRPr="000F5C65" w:rsidRDefault="00576857" w:rsidP="001515D5">
            <w:r w:rsidRPr="000F5C65">
              <w:t>24.9%</w:t>
            </w:r>
          </w:p>
        </w:tc>
      </w:tr>
    </w:tbl>
    <w:p w14:paraId="7FE4CC9B" w14:textId="77777777" w:rsidR="00576857" w:rsidRDefault="00576857" w:rsidP="00576857">
      <w:pPr>
        <w:pStyle w:val="Heading5"/>
      </w:pPr>
      <w:r>
        <w:t>South Carolina Percentages</w:t>
      </w:r>
    </w:p>
    <w:tbl>
      <w:tblPr>
        <w:tblStyle w:val="TableGrid"/>
        <w:tblW w:w="0" w:type="auto"/>
        <w:tblLook w:val="04A0" w:firstRow="1" w:lastRow="0" w:firstColumn="1" w:lastColumn="0" w:noHBand="0" w:noVBand="1"/>
      </w:tblPr>
      <w:tblGrid>
        <w:gridCol w:w="1870"/>
        <w:gridCol w:w="1870"/>
        <w:gridCol w:w="1870"/>
        <w:gridCol w:w="1870"/>
        <w:gridCol w:w="1870"/>
      </w:tblGrid>
      <w:tr w:rsidR="00576857" w14:paraId="122C06C1" w14:textId="77777777" w:rsidTr="001515D5">
        <w:tc>
          <w:tcPr>
            <w:tcW w:w="1870" w:type="dxa"/>
            <w:vAlign w:val="bottom"/>
          </w:tcPr>
          <w:p w14:paraId="078A4069" w14:textId="77777777" w:rsidR="00576857" w:rsidRPr="000F5C65" w:rsidRDefault="00576857" w:rsidP="001515D5">
            <w:r w:rsidRPr="000F5C65">
              <w:t>Year</w:t>
            </w:r>
          </w:p>
        </w:tc>
        <w:tc>
          <w:tcPr>
            <w:tcW w:w="1870" w:type="dxa"/>
            <w:vAlign w:val="bottom"/>
          </w:tcPr>
          <w:p w14:paraId="5DD5B769" w14:textId="77777777" w:rsidR="00576857" w:rsidRPr="000F5C65" w:rsidRDefault="00576857" w:rsidP="001515D5">
            <w:r w:rsidRPr="000F5C65">
              <w:t>2016</w:t>
            </w:r>
          </w:p>
        </w:tc>
        <w:tc>
          <w:tcPr>
            <w:tcW w:w="1870" w:type="dxa"/>
            <w:vAlign w:val="bottom"/>
          </w:tcPr>
          <w:p w14:paraId="6AEA2AFB" w14:textId="77777777" w:rsidR="00576857" w:rsidRPr="000F5C65" w:rsidRDefault="00576857" w:rsidP="001515D5">
            <w:r w:rsidRPr="000F5C65">
              <w:t>2017</w:t>
            </w:r>
          </w:p>
        </w:tc>
        <w:tc>
          <w:tcPr>
            <w:tcW w:w="1870" w:type="dxa"/>
            <w:vAlign w:val="bottom"/>
          </w:tcPr>
          <w:p w14:paraId="347FD858" w14:textId="77777777" w:rsidR="00576857" w:rsidRPr="000F5C65" w:rsidRDefault="00576857" w:rsidP="001515D5">
            <w:r w:rsidRPr="000F5C65">
              <w:t>2018</w:t>
            </w:r>
          </w:p>
        </w:tc>
        <w:tc>
          <w:tcPr>
            <w:tcW w:w="1870" w:type="dxa"/>
            <w:vAlign w:val="bottom"/>
          </w:tcPr>
          <w:p w14:paraId="279B76DF" w14:textId="77777777" w:rsidR="00576857" w:rsidRPr="000F5C65" w:rsidRDefault="00576857" w:rsidP="001515D5">
            <w:r w:rsidRPr="000F5C65">
              <w:t>2019</w:t>
            </w:r>
          </w:p>
        </w:tc>
      </w:tr>
      <w:tr w:rsidR="00576857" w14:paraId="5650159D" w14:textId="77777777" w:rsidTr="001515D5">
        <w:tc>
          <w:tcPr>
            <w:tcW w:w="1870" w:type="dxa"/>
            <w:vAlign w:val="bottom"/>
          </w:tcPr>
          <w:p w14:paraId="3E0BE75D" w14:textId="77777777" w:rsidR="00576857" w:rsidRPr="000F5C65" w:rsidRDefault="00576857" w:rsidP="001515D5">
            <w:r w:rsidRPr="000F5C65">
              <w:t xml:space="preserve">Exclusive Breastfeeding Through 3 Months </w:t>
            </w:r>
          </w:p>
        </w:tc>
        <w:tc>
          <w:tcPr>
            <w:tcW w:w="1870" w:type="dxa"/>
            <w:vAlign w:val="bottom"/>
          </w:tcPr>
          <w:p w14:paraId="69B7BF09" w14:textId="77777777" w:rsidR="00576857" w:rsidRPr="000F5C65" w:rsidRDefault="00576857" w:rsidP="001515D5">
            <w:r w:rsidRPr="000F5C65">
              <w:t>46.8%</w:t>
            </w:r>
          </w:p>
        </w:tc>
        <w:tc>
          <w:tcPr>
            <w:tcW w:w="1870" w:type="dxa"/>
            <w:vAlign w:val="bottom"/>
          </w:tcPr>
          <w:p w14:paraId="4928BDD2" w14:textId="77777777" w:rsidR="00576857" w:rsidRPr="000F5C65" w:rsidRDefault="00576857" w:rsidP="001515D5">
            <w:r w:rsidRPr="000F5C65">
              <w:t>45.0%</w:t>
            </w:r>
          </w:p>
        </w:tc>
        <w:tc>
          <w:tcPr>
            <w:tcW w:w="1870" w:type="dxa"/>
            <w:vAlign w:val="bottom"/>
          </w:tcPr>
          <w:p w14:paraId="3B06FD4D" w14:textId="77777777" w:rsidR="00576857" w:rsidRPr="000F5C65" w:rsidRDefault="00576857" w:rsidP="001515D5">
            <w:r w:rsidRPr="000F5C65">
              <w:t>45.9%</w:t>
            </w:r>
          </w:p>
        </w:tc>
        <w:tc>
          <w:tcPr>
            <w:tcW w:w="1870" w:type="dxa"/>
            <w:vAlign w:val="bottom"/>
          </w:tcPr>
          <w:p w14:paraId="16304EEA" w14:textId="77777777" w:rsidR="00576857" w:rsidRPr="000F5C65" w:rsidRDefault="00576857" w:rsidP="001515D5">
            <w:r w:rsidRPr="000F5C65">
              <w:t>43.3%</w:t>
            </w:r>
          </w:p>
        </w:tc>
      </w:tr>
      <w:tr w:rsidR="00576857" w14:paraId="6F97FE34" w14:textId="77777777" w:rsidTr="001515D5">
        <w:tc>
          <w:tcPr>
            <w:tcW w:w="1870" w:type="dxa"/>
            <w:vAlign w:val="bottom"/>
          </w:tcPr>
          <w:p w14:paraId="595A0120" w14:textId="77777777" w:rsidR="00576857" w:rsidRPr="000F5C65" w:rsidRDefault="00576857" w:rsidP="001515D5">
            <w:r w:rsidRPr="000F5C65">
              <w:t xml:space="preserve">Exclusive Breastfeeding Through 6 Months </w:t>
            </w:r>
          </w:p>
        </w:tc>
        <w:tc>
          <w:tcPr>
            <w:tcW w:w="1870" w:type="dxa"/>
            <w:vAlign w:val="bottom"/>
          </w:tcPr>
          <w:p w14:paraId="6CEA0156" w14:textId="77777777" w:rsidR="00576857" w:rsidRPr="000F5C65" w:rsidRDefault="00576857" w:rsidP="001515D5">
            <w:r w:rsidRPr="000F5C65">
              <w:t>22.8%</w:t>
            </w:r>
          </w:p>
        </w:tc>
        <w:tc>
          <w:tcPr>
            <w:tcW w:w="1870" w:type="dxa"/>
            <w:vAlign w:val="bottom"/>
          </w:tcPr>
          <w:p w14:paraId="684242D7" w14:textId="77777777" w:rsidR="00576857" w:rsidRPr="000F5C65" w:rsidRDefault="00576857" w:rsidP="001515D5">
            <w:r w:rsidRPr="000F5C65">
              <w:t>25.6%</w:t>
            </w:r>
          </w:p>
        </w:tc>
        <w:tc>
          <w:tcPr>
            <w:tcW w:w="1870" w:type="dxa"/>
            <w:vAlign w:val="bottom"/>
          </w:tcPr>
          <w:p w14:paraId="510B2306" w14:textId="77777777" w:rsidR="00576857" w:rsidRPr="000F5C65" w:rsidRDefault="00576857" w:rsidP="001515D5">
            <w:r w:rsidRPr="000F5C65">
              <w:t>23.6%</w:t>
            </w:r>
          </w:p>
        </w:tc>
        <w:tc>
          <w:tcPr>
            <w:tcW w:w="1870" w:type="dxa"/>
            <w:vAlign w:val="bottom"/>
          </w:tcPr>
          <w:p w14:paraId="334B6CC1" w14:textId="77777777" w:rsidR="00576857" w:rsidRPr="000F5C65" w:rsidRDefault="00576857" w:rsidP="001515D5">
            <w:r w:rsidRPr="000F5C65">
              <w:t>19.3%</w:t>
            </w:r>
          </w:p>
        </w:tc>
      </w:tr>
    </w:tbl>
    <w:p w14:paraId="350005C8" w14:textId="77777777" w:rsidR="00576857" w:rsidRDefault="00576857" w:rsidP="00576857">
      <w:r w:rsidRPr="000F5C65">
        <w:t>Source: National Immunization Survey, 2016-2019.</w:t>
      </w:r>
    </w:p>
    <w:p w14:paraId="3B75A069" w14:textId="77777777" w:rsidR="00576857" w:rsidRDefault="00576857" w:rsidP="00576857"/>
    <w:p w14:paraId="5CEA8AEB" w14:textId="77777777" w:rsidR="00576857" w:rsidRDefault="00576857" w:rsidP="00576857">
      <w:pPr>
        <w:pStyle w:val="Heading4"/>
      </w:pPr>
      <w:bookmarkStart w:id="501" w:name="_Toc154576431"/>
      <w:bookmarkStart w:id="502" w:name="_Toc162267331"/>
      <w:r>
        <w:t>Figure 7.34: Breastfeeding among Infants who are Part of the WIC Program.</w:t>
      </w:r>
      <w:bookmarkEnd w:id="501"/>
      <w:bookmarkEnd w:id="502"/>
    </w:p>
    <w:tbl>
      <w:tblPr>
        <w:tblStyle w:val="TableGrid"/>
        <w:tblW w:w="0" w:type="auto"/>
        <w:tblLook w:val="04A0" w:firstRow="1" w:lastRow="0" w:firstColumn="1" w:lastColumn="0" w:noHBand="0" w:noVBand="1"/>
      </w:tblPr>
      <w:tblGrid>
        <w:gridCol w:w="2337"/>
        <w:gridCol w:w="2337"/>
        <w:gridCol w:w="2338"/>
        <w:gridCol w:w="2338"/>
      </w:tblGrid>
      <w:tr w:rsidR="00576857" w14:paraId="4EF2DC57" w14:textId="77777777" w:rsidTr="001515D5">
        <w:tc>
          <w:tcPr>
            <w:tcW w:w="2337" w:type="dxa"/>
            <w:vAlign w:val="bottom"/>
          </w:tcPr>
          <w:p w14:paraId="2CE03B3B" w14:textId="77777777" w:rsidR="00576857" w:rsidRPr="000F5C65" w:rsidRDefault="00576857" w:rsidP="001515D5">
            <w:r>
              <w:t>Year</w:t>
            </w:r>
          </w:p>
        </w:tc>
        <w:tc>
          <w:tcPr>
            <w:tcW w:w="2337" w:type="dxa"/>
            <w:vAlign w:val="bottom"/>
          </w:tcPr>
          <w:p w14:paraId="314D0274" w14:textId="77777777" w:rsidR="00576857" w:rsidRPr="000F5C65" w:rsidRDefault="00576857" w:rsidP="001515D5">
            <w:r w:rsidRPr="000F5C65">
              <w:t>2020</w:t>
            </w:r>
          </w:p>
        </w:tc>
        <w:tc>
          <w:tcPr>
            <w:tcW w:w="2338" w:type="dxa"/>
            <w:vAlign w:val="bottom"/>
          </w:tcPr>
          <w:p w14:paraId="7263E292" w14:textId="77777777" w:rsidR="00576857" w:rsidRPr="000F5C65" w:rsidRDefault="00576857" w:rsidP="001515D5">
            <w:r w:rsidRPr="000F5C65">
              <w:t>2021</w:t>
            </w:r>
          </w:p>
        </w:tc>
        <w:tc>
          <w:tcPr>
            <w:tcW w:w="2338" w:type="dxa"/>
            <w:vAlign w:val="bottom"/>
          </w:tcPr>
          <w:p w14:paraId="7CF7F159" w14:textId="77777777" w:rsidR="00576857" w:rsidRPr="000F5C65" w:rsidRDefault="00576857" w:rsidP="001515D5">
            <w:r w:rsidRPr="000F5C65">
              <w:t>2022</w:t>
            </w:r>
          </w:p>
        </w:tc>
      </w:tr>
      <w:tr w:rsidR="00576857" w14:paraId="23B6F730" w14:textId="77777777" w:rsidTr="001515D5">
        <w:tc>
          <w:tcPr>
            <w:tcW w:w="2337" w:type="dxa"/>
            <w:vAlign w:val="bottom"/>
          </w:tcPr>
          <w:p w14:paraId="55FBDCEE" w14:textId="77777777" w:rsidR="00576857" w:rsidRPr="000F5C65" w:rsidRDefault="00576857" w:rsidP="001515D5">
            <w:r w:rsidRPr="000F5C65">
              <w:lastRenderedPageBreak/>
              <w:t>Total Breastfed</w:t>
            </w:r>
          </w:p>
        </w:tc>
        <w:tc>
          <w:tcPr>
            <w:tcW w:w="2337" w:type="dxa"/>
            <w:vAlign w:val="bottom"/>
          </w:tcPr>
          <w:p w14:paraId="3A5782CF" w14:textId="77777777" w:rsidR="00576857" w:rsidRPr="000F5C65" w:rsidRDefault="00576857" w:rsidP="001515D5">
            <w:r w:rsidRPr="000F5C65">
              <w:t>20.8%</w:t>
            </w:r>
          </w:p>
        </w:tc>
        <w:tc>
          <w:tcPr>
            <w:tcW w:w="2338" w:type="dxa"/>
            <w:vAlign w:val="bottom"/>
          </w:tcPr>
          <w:p w14:paraId="4A420BB3" w14:textId="77777777" w:rsidR="00576857" w:rsidRPr="000F5C65" w:rsidRDefault="00576857" w:rsidP="001515D5">
            <w:r w:rsidRPr="000F5C65">
              <w:t>21.0%</w:t>
            </w:r>
          </w:p>
        </w:tc>
        <w:tc>
          <w:tcPr>
            <w:tcW w:w="2338" w:type="dxa"/>
            <w:vAlign w:val="bottom"/>
          </w:tcPr>
          <w:p w14:paraId="62C7BD53" w14:textId="77777777" w:rsidR="00576857" w:rsidRPr="000F5C65" w:rsidRDefault="00576857" w:rsidP="001515D5">
            <w:r w:rsidRPr="000F5C65">
              <w:t>23.6%</w:t>
            </w:r>
          </w:p>
        </w:tc>
      </w:tr>
      <w:tr w:rsidR="00576857" w14:paraId="453014EA" w14:textId="77777777" w:rsidTr="001515D5">
        <w:tc>
          <w:tcPr>
            <w:tcW w:w="2337" w:type="dxa"/>
            <w:vAlign w:val="bottom"/>
          </w:tcPr>
          <w:p w14:paraId="3D35C4B4" w14:textId="77777777" w:rsidR="00576857" w:rsidRPr="000F5C65" w:rsidRDefault="00576857" w:rsidP="001515D5">
            <w:r w:rsidRPr="000F5C65">
              <w:t>Fully Breastfed</w:t>
            </w:r>
          </w:p>
        </w:tc>
        <w:tc>
          <w:tcPr>
            <w:tcW w:w="2337" w:type="dxa"/>
            <w:vAlign w:val="bottom"/>
          </w:tcPr>
          <w:p w14:paraId="52C8062E" w14:textId="77777777" w:rsidR="00576857" w:rsidRPr="000F5C65" w:rsidRDefault="00576857" w:rsidP="001515D5">
            <w:r w:rsidRPr="000F5C65">
              <w:t>7.1%</w:t>
            </w:r>
          </w:p>
        </w:tc>
        <w:tc>
          <w:tcPr>
            <w:tcW w:w="2338" w:type="dxa"/>
            <w:vAlign w:val="bottom"/>
          </w:tcPr>
          <w:p w14:paraId="5EA1F5EA" w14:textId="77777777" w:rsidR="00576857" w:rsidRPr="000F5C65" w:rsidRDefault="00576857" w:rsidP="001515D5">
            <w:r w:rsidRPr="000F5C65">
              <w:t>7.4%</w:t>
            </w:r>
          </w:p>
        </w:tc>
        <w:tc>
          <w:tcPr>
            <w:tcW w:w="2338" w:type="dxa"/>
            <w:vAlign w:val="bottom"/>
          </w:tcPr>
          <w:p w14:paraId="0663FEBC" w14:textId="77777777" w:rsidR="00576857" w:rsidRPr="000F5C65" w:rsidRDefault="00576857" w:rsidP="001515D5">
            <w:r w:rsidRPr="000F5C65">
              <w:t>8.4%</w:t>
            </w:r>
          </w:p>
        </w:tc>
      </w:tr>
      <w:tr w:rsidR="00576857" w14:paraId="175F875D" w14:textId="77777777" w:rsidTr="001515D5">
        <w:tc>
          <w:tcPr>
            <w:tcW w:w="2337" w:type="dxa"/>
            <w:vAlign w:val="bottom"/>
          </w:tcPr>
          <w:p w14:paraId="609F2BB3" w14:textId="77777777" w:rsidR="00576857" w:rsidRPr="000F5C65" w:rsidRDefault="00576857" w:rsidP="001515D5">
            <w:r w:rsidRPr="000F5C65">
              <w:t>Partially Breastfed</w:t>
            </w:r>
          </w:p>
        </w:tc>
        <w:tc>
          <w:tcPr>
            <w:tcW w:w="2337" w:type="dxa"/>
            <w:vAlign w:val="bottom"/>
          </w:tcPr>
          <w:p w14:paraId="555C51EF" w14:textId="77777777" w:rsidR="00576857" w:rsidRPr="000F5C65" w:rsidRDefault="00576857" w:rsidP="001515D5">
            <w:r w:rsidRPr="000F5C65">
              <w:t>13.8%</w:t>
            </w:r>
          </w:p>
        </w:tc>
        <w:tc>
          <w:tcPr>
            <w:tcW w:w="2338" w:type="dxa"/>
            <w:vAlign w:val="bottom"/>
          </w:tcPr>
          <w:p w14:paraId="51C02AD8" w14:textId="77777777" w:rsidR="00576857" w:rsidRPr="000F5C65" w:rsidRDefault="00576857" w:rsidP="001515D5">
            <w:r w:rsidRPr="000F5C65">
              <w:t>13.6%</w:t>
            </w:r>
          </w:p>
        </w:tc>
        <w:tc>
          <w:tcPr>
            <w:tcW w:w="2338" w:type="dxa"/>
            <w:vAlign w:val="bottom"/>
          </w:tcPr>
          <w:p w14:paraId="54388552" w14:textId="77777777" w:rsidR="00576857" w:rsidRPr="000F5C65" w:rsidRDefault="00576857" w:rsidP="001515D5">
            <w:r w:rsidRPr="000F5C65">
              <w:t>15.2%</w:t>
            </w:r>
          </w:p>
        </w:tc>
      </w:tr>
    </w:tbl>
    <w:p w14:paraId="46D8B5D4" w14:textId="77777777" w:rsidR="00576857" w:rsidRDefault="00576857" w:rsidP="00576857">
      <w:r w:rsidRPr="000F5C65">
        <w:t>Source: SC WIC</w:t>
      </w:r>
      <w:r>
        <w:t>.</w:t>
      </w:r>
    </w:p>
    <w:p w14:paraId="36328DBB" w14:textId="77777777" w:rsidR="00576857" w:rsidRDefault="00576857" w:rsidP="00576857"/>
    <w:p w14:paraId="02C464F4" w14:textId="77777777" w:rsidR="00576857" w:rsidRDefault="00576857" w:rsidP="00576857">
      <w:pPr>
        <w:pStyle w:val="Heading4"/>
      </w:pPr>
      <w:bookmarkStart w:id="503" w:name="_Toc154576432"/>
      <w:bookmarkStart w:id="504" w:name="_Toc162267332"/>
      <w:r>
        <w:t>Figure 7.35: Breastfeeding Initiation, by County.</w:t>
      </w:r>
      <w:bookmarkEnd w:id="503"/>
      <w:bookmarkEnd w:id="504"/>
    </w:p>
    <w:tbl>
      <w:tblPr>
        <w:tblStyle w:val="TableGrid"/>
        <w:tblW w:w="0" w:type="auto"/>
        <w:tblLook w:val="04A0" w:firstRow="1" w:lastRow="0" w:firstColumn="1" w:lastColumn="0" w:noHBand="0" w:noVBand="1"/>
      </w:tblPr>
      <w:tblGrid>
        <w:gridCol w:w="4675"/>
        <w:gridCol w:w="4675"/>
      </w:tblGrid>
      <w:tr w:rsidR="00195CD4" w14:paraId="7163EEAC" w14:textId="77777777" w:rsidTr="001515D5">
        <w:tc>
          <w:tcPr>
            <w:tcW w:w="4675" w:type="dxa"/>
            <w:vAlign w:val="bottom"/>
          </w:tcPr>
          <w:p w14:paraId="46EB3E16" w14:textId="6A266F5F" w:rsidR="00195CD4" w:rsidRPr="000F5C65" w:rsidRDefault="00195CD4" w:rsidP="001515D5">
            <w:r>
              <w:t>County</w:t>
            </w:r>
          </w:p>
        </w:tc>
        <w:tc>
          <w:tcPr>
            <w:tcW w:w="4675" w:type="dxa"/>
            <w:vAlign w:val="bottom"/>
          </w:tcPr>
          <w:p w14:paraId="49B9A10B" w14:textId="40DD0246" w:rsidR="00195CD4" w:rsidRPr="000F5C65" w:rsidRDefault="00195CD4" w:rsidP="001515D5">
            <w:r>
              <w:t>Percent</w:t>
            </w:r>
          </w:p>
        </w:tc>
      </w:tr>
      <w:tr w:rsidR="00576857" w14:paraId="74AC97AA" w14:textId="77777777" w:rsidTr="001515D5">
        <w:tc>
          <w:tcPr>
            <w:tcW w:w="4675" w:type="dxa"/>
            <w:vAlign w:val="bottom"/>
          </w:tcPr>
          <w:p w14:paraId="43619D70" w14:textId="77777777" w:rsidR="00576857" w:rsidRPr="000F5C65" w:rsidRDefault="00576857" w:rsidP="001515D5">
            <w:r w:rsidRPr="000F5C65">
              <w:t>Abbeville</w:t>
            </w:r>
          </w:p>
        </w:tc>
        <w:tc>
          <w:tcPr>
            <w:tcW w:w="4675" w:type="dxa"/>
            <w:vAlign w:val="bottom"/>
          </w:tcPr>
          <w:p w14:paraId="12E19F65" w14:textId="77777777" w:rsidR="00576857" w:rsidRPr="000F5C65" w:rsidRDefault="00576857" w:rsidP="001515D5">
            <w:r w:rsidRPr="000F5C65">
              <w:t>69.7%</w:t>
            </w:r>
          </w:p>
        </w:tc>
      </w:tr>
      <w:tr w:rsidR="00576857" w14:paraId="75B08D62" w14:textId="77777777" w:rsidTr="001515D5">
        <w:tc>
          <w:tcPr>
            <w:tcW w:w="4675" w:type="dxa"/>
            <w:vAlign w:val="bottom"/>
          </w:tcPr>
          <w:p w14:paraId="1C435AE2" w14:textId="77777777" w:rsidR="00576857" w:rsidRPr="000F5C65" w:rsidRDefault="00576857" w:rsidP="001515D5">
            <w:r w:rsidRPr="000F5C65">
              <w:t>Aiken</w:t>
            </w:r>
          </w:p>
        </w:tc>
        <w:tc>
          <w:tcPr>
            <w:tcW w:w="4675" w:type="dxa"/>
            <w:vAlign w:val="bottom"/>
          </w:tcPr>
          <w:p w14:paraId="5F0248D2" w14:textId="77777777" w:rsidR="00576857" w:rsidRPr="000F5C65" w:rsidRDefault="00576857" w:rsidP="001515D5">
            <w:r w:rsidRPr="000F5C65">
              <w:t>76.1%</w:t>
            </w:r>
          </w:p>
        </w:tc>
      </w:tr>
      <w:tr w:rsidR="00576857" w14:paraId="06DBCA3B" w14:textId="77777777" w:rsidTr="001515D5">
        <w:tc>
          <w:tcPr>
            <w:tcW w:w="4675" w:type="dxa"/>
            <w:vAlign w:val="bottom"/>
          </w:tcPr>
          <w:p w14:paraId="112CD46D" w14:textId="77777777" w:rsidR="00576857" w:rsidRPr="000F5C65" w:rsidRDefault="00576857" w:rsidP="001515D5">
            <w:r w:rsidRPr="000F5C65">
              <w:t>Allendale</w:t>
            </w:r>
          </w:p>
        </w:tc>
        <w:tc>
          <w:tcPr>
            <w:tcW w:w="4675" w:type="dxa"/>
            <w:vAlign w:val="bottom"/>
          </w:tcPr>
          <w:p w14:paraId="7FDE1BC1" w14:textId="77777777" w:rsidR="00576857" w:rsidRPr="000F5C65" w:rsidRDefault="00576857" w:rsidP="001515D5">
            <w:r w:rsidRPr="000F5C65">
              <w:t>46.8%</w:t>
            </w:r>
          </w:p>
        </w:tc>
      </w:tr>
      <w:tr w:rsidR="00576857" w14:paraId="62E48488" w14:textId="77777777" w:rsidTr="001515D5">
        <w:tc>
          <w:tcPr>
            <w:tcW w:w="4675" w:type="dxa"/>
            <w:vAlign w:val="bottom"/>
          </w:tcPr>
          <w:p w14:paraId="38E9EA5D" w14:textId="77777777" w:rsidR="00576857" w:rsidRPr="000F5C65" w:rsidRDefault="00576857" w:rsidP="001515D5">
            <w:r w:rsidRPr="000F5C65">
              <w:t>Anderson</w:t>
            </w:r>
          </w:p>
        </w:tc>
        <w:tc>
          <w:tcPr>
            <w:tcW w:w="4675" w:type="dxa"/>
            <w:vAlign w:val="bottom"/>
          </w:tcPr>
          <w:p w14:paraId="00D0BCB8" w14:textId="77777777" w:rsidR="00576857" w:rsidRPr="000F5C65" w:rsidRDefault="00576857" w:rsidP="001515D5">
            <w:r w:rsidRPr="000F5C65">
              <w:t>68.3%</w:t>
            </w:r>
          </w:p>
        </w:tc>
      </w:tr>
      <w:tr w:rsidR="00576857" w14:paraId="6B684E1A" w14:textId="77777777" w:rsidTr="001515D5">
        <w:tc>
          <w:tcPr>
            <w:tcW w:w="4675" w:type="dxa"/>
            <w:vAlign w:val="bottom"/>
          </w:tcPr>
          <w:p w14:paraId="73BD3D41" w14:textId="77777777" w:rsidR="00576857" w:rsidRPr="000F5C65" w:rsidRDefault="00576857" w:rsidP="001515D5">
            <w:r w:rsidRPr="000F5C65">
              <w:t>Bamberg</w:t>
            </w:r>
          </w:p>
        </w:tc>
        <w:tc>
          <w:tcPr>
            <w:tcW w:w="4675" w:type="dxa"/>
            <w:vAlign w:val="bottom"/>
          </w:tcPr>
          <w:p w14:paraId="3DE3E8D7" w14:textId="77777777" w:rsidR="00576857" w:rsidRPr="000F5C65" w:rsidRDefault="00576857" w:rsidP="001515D5">
            <w:r w:rsidRPr="000F5C65">
              <w:t>62.4%</w:t>
            </w:r>
          </w:p>
        </w:tc>
      </w:tr>
      <w:tr w:rsidR="00576857" w14:paraId="66D88D4A" w14:textId="77777777" w:rsidTr="001515D5">
        <w:tc>
          <w:tcPr>
            <w:tcW w:w="4675" w:type="dxa"/>
            <w:vAlign w:val="bottom"/>
          </w:tcPr>
          <w:p w14:paraId="1B893F06" w14:textId="77777777" w:rsidR="00576857" w:rsidRPr="000F5C65" w:rsidRDefault="00576857" w:rsidP="001515D5">
            <w:r w:rsidRPr="000F5C65">
              <w:t>Barnwell</w:t>
            </w:r>
          </w:p>
        </w:tc>
        <w:tc>
          <w:tcPr>
            <w:tcW w:w="4675" w:type="dxa"/>
            <w:vAlign w:val="bottom"/>
          </w:tcPr>
          <w:p w14:paraId="7B437B27" w14:textId="77777777" w:rsidR="00576857" w:rsidRPr="000F5C65" w:rsidRDefault="00576857" w:rsidP="001515D5">
            <w:r w:rsidRPr="000F5C65">
              <w:t>60.8%</w:t>
            </w:r>
          </w:p>
        </w:tc>
      </w:tr>
      <w:tr w:rsidR="00576857" w14:paraId="0E03D87A" w14:textId="77777777" w:rsidTr="001515D5">
        <w:tc>
          <w:tcPr>
            <w:tcW w:w="4675" w:type="dxa"/>
            <w:vAlign w:val="bottom"/>
          </w:tcPr>
          <w:p w14:paraId="1CB12EF8" w14:textId="77777777" w:rsidR="00576857" w:rsidRPr="000F5C65" w:rsidRDefault="00576857" w:rsidP="001515D5">
            <w:r w:rsidRPr="000F5C65">
              <w:t>Beaufort</w:t>
            </w:r>
          </w:p>
        </w:tc>
        <w:tc>
          <w:tcPr>
            <w:tcW w:w="4675" w:type="dxa"/>
            <w:vAlign w:val="bottom"/>
          </w:tcPr>
          <w:p w14:paraId="5463A6D3" w14:textId="77777777" w:rsidR="00576857" w:rsidRPr="000F5C65" w:rsidRDefault="00576857" w:rsidP="001515D5">
            <w:r w:rsidRPr="000F5C65">
              <w:t>90.2%</w:t>
            </w:r>
          </w:p>
        </w:tc>
      </w:tr>
      <w:tr w:rsidR="00576857" w14:paraId="28B7BCBA" w14:textId="77777777" w:rsidTr="001515D5">
        <w:tc>
          <w:tcPr>
            <w:tcW w:w="4675" w:type="dxa"/>
            <w:vAlign w:val="bottom"/>
          </w:tcPr>
          <w:p w14:paraId="44948268" w14:textId="77777777" w:rsidR="00576857" w:rsidRPr="000F5C65" w:rsidRDefault="00576857" w:rsidP="001515D5">
            <w:r w:rsidRPr="000F5C65">
              <w:t>Berkeley</w:t>
            </w:r>
          </w:p>
        </w:tc>
        <w:tc>
          <w:tcPr>
            <w:tcW w:w="4675" w:type="dxa"/>
            <w:vAlign w:val="bottom"/>
          </w:tcPr>
          <w:p w14:paraId="105BB191" w14:textId="77777777" w:rsidR="00576857" w:rsidRPr="000F5C65" w:rsidRDefault="00576857" w:rsidP="001515D5">
            <w:r w:rsidRPr="000F5C65">
              <w:t>85.3%</w:t>
            </w:r>
          </w:p>
        </w:tc>
      </w:tr>
      <w:tr w:rsidR="00576857" w14:paraId="0661EFA0" w14:textId="77777777" w:rsidTr="001515D5">
        <w:tc>
          <w:tcPr>
            <w:tcW w:w="4675" w:type="dxa"/>
            <w:vAlign w:val="bottom"/>
          </w:tcPr>
          <w:p w14:paraId="2BCFF620" w14:textId="77777777" w:rsidR="00576857" w:rsidRPr="000F5C65" w:rsidRDefault="00576857" w:rsidP="001515D5">
            <w:r w:rsidRPr="000F5C65">
              <w:t>Calhoun</w:t>
            </w:r>
          </w:p>
        </w:tc>
        <w:tc>
          <w:tcPr>
            <w:tcW w:w="4675" w:type="dxa"/>
            <w:vAlign w:val="bottom"/>
          </w:tcPr>
          <w:p w14:paraId="6421F932" w14:textId="77777777" w:rsidR="00576857" w:rsidRPr="000F5C65" w:rsidRDefault="00576857" w:rsidP="001515D5">
            <w:r w:rsidRPr="000F5C65">
              <w:t>70.8%</w:t>
            </w:r>
          </w:p>
        </w:tc>
      </w:tr>
      <w:tr w:rsidR="00576857" w14:paraId="55CAC25F" w14:textId="77777777" w:rsidTr="001515D5">
        <w:tc>
          <w:tcPr>
            <w:tcW w:w="4675" w:type="dxa"/>
            <w:vAlign w:val="bottom"/>
          </w:tcPr>
          <w:p w14:paraId="76327549" w14:textId="77777777" w:rsidR="00576857" w:rsidRPr="000F5C65" w:rsidRDefault="00576857" w:rsidP="001515D5">
            <w:r w:rsidRPr="000F5C65">
              <w:t>Charleston</w:t>
            </w:r>
          </w:p>
        </w:tc>
        <w:tc>
          <w:tcPr>
            <w:tcW w:w="4675" w:type="dxa"/>
            <w:vAlign w:val="bottom"/>
          </w:tcPr>
          <w:p w14:paraId="08CA5926" w14:textId="77777777" w:rsidR="00576857" w:rsidRPr="000F5C65" w:rsidRDefault="00576857" w:rsidP="001515D5">
            <w:r w:rsidRPr="000F5C65">
              <w:t>87.8%</w:t>
            </w:r>
          </w:p>
        </w:tc>
      </w:tr>
      <w:tr w:rsidR="00576857" w14:paraId="3234F4E8" w14:textId="77777777" w:rsidTr="001515D5">
        <w:tc>
          <w:tcPr>
            <w:tcW w:w="4675" w:type="dxa"/>
            <w:vAlign w:val="bottom"/>
          </w:tcPr>
          <w:p w14:paraId="5E8F9FDC" w14:textId="77777777" w:rsidR="00576857" w:rsidRPr="000F5C65" w:rsidRDefault="00576857" w:rsidP="001515D5">
            <w:r w:rsidRPr="000F5C65">
              <w:t>Cherokee</w:t>
            </w:r>
          </w:p>
        </w:tc>
        <w:tc>
          <w:tcPr>
            <w:tcW w:w="4675" w:type="dxa"/>
            <w:vAlign w:val="bottom"/>
          </w:tcPr>
          <w:p w14:paraId="46F4A399" w14:textId="77777777" w:rsidR="00576857" w:rsidRPr="000F5C65" w:rsidRDefault="00576857" w:rsidP="001515D5">
            <w:r w:rsidRPr="000F5C65">
              <w:t>64.9%</w:t>
            </w:r>
          </w:p>
        </w:tc>
      </w:tr>
      <w:tr w:rsidR="00576857" w14:paraId="5822C9F5" w14:textId="77777777" w:rsidTr="001515D5">
        <w:tc>
          <w:tcPr>
            <w:tcW w:w="4675" w:type="dxa"/>
            <w:vAlign w:val="bottom"/>
          </w:tcPr>
          <w:p w14:paraId="34A43755" w14:textId="77777777" w:rsidR="00576857" w:rsidRPr="000F5C65" w:rsidRDefault="00576857" w:rsidP="001515D5">
            <w:r w:rsidRPr="000F5C65">
              <w:t>Chester</w:t>
            </w:r>
          </w:p>
        </w:tc>
        <w:tc>
          <w:tcPr>
            <w:tcW w:w="4675" w:type="dxa"/>
            <w:vAlign w:val="bottom"/>
          </w:tcPr>
          <w:p w14:paraId="1AEB838F" w14:textId="77777777" w:rsidR="00576857" w:rsidRPr="000F5C65" w:rsidRDefault="00576857" w:rsidP="001515D5">
            <w:r w:rsidRPr="000F5C65">
              <w:t>67.8%</w:t>
            </w:r>
          </w:p>
        </w:tc>
      </w:tr>
      <w:tr w:rsidR="00576857" w14:paraId="50884D2D" w14:textId="77777777" w:rsidTr="001515D5">
        <w:tc>
          <w:tcPr>
            <w:tcW w:w="4675" w:type="dxa"/>
            <w:vAlign w:val="bottom"/>
          </w:tcPr>
          <w:p w14:paraId="49AAA102" w14:textId="77777777" w:rsidR="00576857" w:rsidRPr="000F5C65" w:rsidRDefault="00576857" w:rsidP="001515D5">
            <w:r w:rsidRPr="000F5C65">
              <w:t>Chesterfield</w:t>
            </w:r>
          </w:p>
        </w:tc>
        <w:tc>
          <w:tcPr>
            <w:tcW w:w="4675" w:type="dxa"/>
            <w:vAlign w:val="bottom"/>
          </w:tcPr>
          <w:p w14:paraId="31EF9DDF" w14:textId="77777777" w:rsidR="00576857" w:rsidRPr="000F5C65" w:rsidRDefault="00576857" w:rsidP="001515D5">
            <w:r w:rsidRPr="000F5C65">
              <w:t>57.2%</w:t>
            </w:r>
          </w:p>
        </w:tc>
      </w:tr>
      <w:tr w:rsidR="00576857" w14:paraId="2AA83F09" w14:textId="77777777" w:rsidTr="001515D5">
        <w:tc>
          <w:tcPr>
            <w:tcW w:w="4675" w:type="dxa"/>
            <w:vAlign w:val="bottom"/>
          </w:tcPr>
          <w:p w14:paraId="18059709" w14:textId="77777777" w:rsidR="00576857" w:rsidRPr="000F5C65" w:rsidRDefault="00576857" w:rsidP="001515D5">
            <w:r w:rsidRPr="000F5C65">
              <w:t>Clarendon</w:t>
            </w:r>
          </w:p>
        </w:tc>
        <w:tc>
          <w:tcPr>
            <w:tcW w:w="4675" w:type="dxa"/>
            <w:vAlign w:val="bottom"/>
          </w:tcPr>
          <w:p w14:paraId="297FE606" w14:textId="77777777" w:rsidR="00576857" w:rsidRPr="000F5C65" w:rsidRDefault="00576857" w:rsidP="001515D5">
            <w:r w:rsidRPr="000F5C65">
              <w:t>65.0%</w:t>
            </w:r>
          </w:p>
        </w:tc>
      </w:tr>
      <w:tr w:rsidR="00576857" w14:paraId="1EEB0126" w14:textId="77777777" w:rsidTr="001515D5">
        <w:tc>
          <w:tcPr>
            <w:tcW w:w="4675" w:type="dxa"/>
            <w:vAlign w:val="bottom"/>
          </w:tcPr>
          <w:p w14:paraId="1387015B" w14:textId="77777777" w:rsidR="00576857" w:rsidRPr="000F5C65" w:rsidRDefault="00576857" w:rsidP="001515D5">
            <w:r w:rsidRPr="000F5C65">
              <w:t>Colleton</w:t>
            </w:r>
          </w:p>
        </w:tc>
        <w:tc>
          <w:tcPr>
            <w:tcW w:w="4675" w:type="dxa"/>
            <w:vAlign w:val="bottom"/>
          </w:tcPr>
          <w:p w14:paraId="3D4BC5AB" w14:textId="77777777" w:rsidR="00576857" w:rsidRPr="000F5C65" w:rsidRDefault="00576857" w:rsidP="001515D5">
            <w:r w:rsidRPr="000F5C65">
              <w:t>62.8%</w:t>
            </w:r>
          </w:p>
        </w:tc>
      </w:tr>
      <w:tr w:rsidR="00576857" w14:paraId="720997D7" w14:textId="77777777" w:rsidTr="001515D5">
        <w:tc>
          <w:tcPr>
            <w:tcW w:w="4675" w:type="dxa"/>
            <w:vAlign w:val="bottom"/>
          </w:tcPr>
          <w:p w14:paraId="3897C1FB" w14:textId="77777777" w:rsidR="00576857" w:rsidRPr="000F5C65" w:rsidRDefault="00576857" w:rsidP="001515D5">
            <w:r w:rsidRPr="000F5C65">
              <w:t>Darlington</w:t>
            </w:r>
          </w:p>
        </w:tc>
        <w:tc>
          <w:tcPr>
            <w:tcW w:w="4675" w:type="dxa"/>
            <w:vAlign w:val="bottom"/>
          </w:tcPr>
          <w:p w14:paraId="30F99659" w14:textId="77777777" w:rsidR="00576857" w:rsidRPr="000F5C65" w:rsidRDefault="00576857" w:rsidP="001515D5">
            <w:r w:rsidRPr="000F5C65">
              <w:t>60.6%</w:t>
            </w:r>
          </w:p>
        </w:tc>
      </w:tr>
      <w:tr w:rsidR="00576857" w14:paraId="67DEA61C" w14:textId="77777777" w:rsidTr="001515D5">
        <w:tc>
          <w:tcPr>
            <w:tcW w:w="4675" w:type="dxa"/>
            <w:vAlign w:val="bottom"/>
          </w:tcPr>
          <w:p w14:paraId="75130631" w14:textId="77777777" w:rsidR="00576857" w:rsidRPr="000F5C65" w:rsidRDefault="00576857" w:rsidP="001515D5">
            <w:r w:rsidRPr="000F5C65">
              <w:t>Dillon</w:t>
            </w:r>
          </w:p>
        </w:tc>
        <w:tc>
          <w:tcPr>
            <w:tcW w:w="4675" w:type="dxa"/>
            <w:vAlign w:val="bottom"/>
          </w:tcPr>
          <w:p w14:paraId="75E18600" w14:textId="77777777" w:rsidR="00576857" w:rsidRPr="000F5C65" w:rsidRDefault="00576857" w:rsidP="001515D5">
            <w:r w:rsidRPr="000F5C65">
              <w:t>51.5%</w:t>
            </w:r>
          </w:p>
        </w:tc>
      </w:tr>
      <w:tr w:rsidR="00576857" w14:paraId="648FD69B" w14:textId="77777777" w:rsidTr="001515D5">
        <w:tc>
          <w:tcPr>
            <w:tcW w:w="4675" w:type="dxa"/>
            <w:vAlign w:val="bottom"/>
          </w:tcPr>
          <w:p w14:paraId="6397609A" w14:textId="77777777" w:rsidR="00576857" w:rsidRPr="000F5C65" w:rsidRDefault="00576857" w:rsidP="001515D5">
            <w:r w:rsidRPr="000F5C65">
              <w:t>Dorchester</w:t>
            </w:r>
          </w:p>
        </w:tc>
        <w:tc>
          <w:tcPr>
            <w:tcW w:w="4675" w:type="dxa"/>
            <w:vAlign w:val="bottom"/>
          </w:tcPr>
          <w:p w14:paraId="4161EB62" w14:textId="77777777" w:rsidR="00576857" w:rsidRPr="000F5C65" w:rsidRDefault="00576857" w:rsidP="001515D5">
            <w:r w:rsidRPr="000F5C65">
              <w:t>83.9%</w:t>
            </w:r>
          </w:p>
        </w:tc>
      </w:tr>
      <w:tr w:rsidR="00576857" w14:paraId="0AC57DA1" w14:textId="77777777" w:rsidTr="001515D5">
        <w:tc>
          <w:tcPr>
            <w:tcW w:w="4675" w:type="dxa"/>
            <w:vAlign w:val="bottom"/>
          </w:tcPr>
          <w:p w14:paraId="7D28E780" w14:textId="77777777" w:rsidR="00576857" w:rsidRPr="000F5C65" w:rsidRDefault="00576857" w:rsidP="001515D5">
            <w:r w:rsidRPr="000F5C65">
              <w:t>Edgefield</w:t>
            </w:r>
          </w:p>
        </w:tc>
        <w:tc>
          <w:tcPr>
            <w:tcW w:w="4675" w:type="dxa"/>
            <w:vAlign w:val="bottom"/>
          </w:tcPr>
          <w:p w14:paraId="2546089F" w14:textId="77777777" w:rsidR="00576857" w:rsidRPr="000F5C65" w:rsidRDefault="00576857" w:rsidP="001515D5">
            <w:r w:rsidRPr="000F5C65">
              <w:t>66.7%</w:t>
            </w:r>
          </w:p>
        </w:tc>
      </w:tr>
      <w:tr w:rsidR="00576857" w14:paraId="4F7336B9" w14:textId="77777777" w:rsidTr="001515D5">
        <w:tc>
          <w:tcPr>
            <w:tcW w:w="4675" w:type="dxa"/>
            <w:vAlign w:val="bottom"/>
          </w:tcPr>
          <w:p w14:paraId="55713000" w14:textId="77777777" w:rsidR="00576857" w:rsidRPr="000F5C65" w:rsidRDefault="00576857" w:rsidP="001515D5">
            <w:r w:rsidRPr="000F5C65">
              <w:t>Fairfield</w:t>
            </w:r>
          </w:p>
        </w:tc>
        <w:tc>
          <w:tcPr>
            <w:tcW w:w="4675" w:type="dxa"/>
            <w:vAlign w:val="bottom"/>
          </w:tcPr>
          <w:p w14:paraId="724B57C6" w14:textId="77777777" w:rsidR="00576857" w:rsidRPr="000F5C65" w:rsidRDefault="00576857" w:rsidP="001515D5">
            <w:r w:rsidRPr="000F5C65">
              <w:t>73.2%</w:t>
            </w:r>
          </w:p>
        </w:tc>
      </w:tr>
      <w:tr w:rsidR="00576857" w14:paraId="59BD92DB" w14:textId="77777777" w:rsidTr="001515D5">
        <w:tc>
          <w:tcPr>
            <w:tcW w:w="4675" w:type="dxa"/>
            <w:vAlign w:val="bottom"/>
          </w:tcPr>
          <w:p w14:paraId="12073159" w14:textId="77777777" w:rsidR="00576857" w:rsidRPr="000F5C65" w:rsidRDefault="00576857" w:rsidP="001515D5">
            <w:r w:rsidRPr="000F5C65">
              <w:t>Florence</w:t>
            </w:r>
          </w:p>
        </w:tc>
        <w:tc>
          <w:tcPr>
            <w:tcW w:w="4675" w:type="dxa"/>
            <w:vAlign w:val="bottom"/>
          </w:tcPr>
          <w:p w14:paraId="38FCEA84" w14:textId="77777777" w:rsidR="00576857" w:rsidRPr="000F5C65" w:rsidRDefault="00576857" w:rsidP="001515D5">
            <w:r w:rsidRPr="000F5C65">
              <w:t>66.9%</w:t>
            </w:r>
          </w:p>
        </w:tc>
      </w:tr>
      <w:tr w:rsidR="00576857" w14:paraId="59CA38BD" w14:textId="77777777" w:rsidTr="001515D5">
        <w:tc>
          <w:tcPr>
            <w:tcW w:w="4675" w:type="dxa"/>
            <w:vAlign w:val="bottom"/>
          </w:tcPr>
          <w:p w14:paraId="58B7D1A5" w14:textId="77777777" w:rsidR="00576857" w:rsidRPr="000F5C65" w:rsidRDefault="00576857" w:rsidP="001515D5">
            <w:r w:rsidRPr="000F5C65">
              <w:t>Georgetown</w:t>
            </w:r>
          </w:p>
        </w:tc>
        <w:tc>
          <w:tcPr>
            <w:tcW w:w="4675" w:type="dxa"/>
            <w:vAlign w:val="bottom"/>
          </w:tcPr>
          <w:p w14:paraId="1EF28AF9" w14:textId="77777777" w:rsidR="00576857" w:rsidRPr="000F5C65" w:rsidRDefault="00576857" w:rsidP="001515D5">
            <w:r w:rsidRPr="000F5C65">
              <w:t>72.2%</w:t>
            </w:r>
          </w:p>
        </w:tc>
      </w:tr>
      <w:tr w:rsidR="00576857" w14:paraId="3892542A" w14:textId="77777777" w:rsidTr="001515D5">
        <w:tc>
          <w:tcPr>
            <w:tcW w:w="4675" w:type="dxa"/>
            <w:vAlign w:val="bottom"/>
          </w:tcPr>
          <w:p w14:paraId="3DEF9309" w14:textId="77777777" w:rsidR="00576857" w:rsidRPr="000F5C65" w:rsidRDefault="00576857" w:rsidP="001515D5">
            <w:r w:rsidRPr="000F5C65">
              <w:t>Greenville</w:t>
            </w:r>
          </w:p>
        </w:tc>
        <w:tc>
          <w:tcPr>
            <w:tcW w:w="4675" w:type="dxa"/>
            <w:vAlign w:val="bottom"/>
          </w:tcPr>
          <w:p w14:paraId="2AE89B16" w14:textId="77777777" w:rsidR="00576857" w:rsidRPr="000F5C65" w:rsidRDefault="00576857" w:rsidP="001515D5">
            <w:r w:rsidRPr="000F5C65">
              <w:t>81.2%</w:t>
            </w:r>
          </w:p>
        </w:tc>
      </w:tr>
      <w:tr w:rsidR="00576857" w14:paraId="05E6535C" w14:textId="77777777" w:rsidTr="001515D5">
        <w:tc>
          <w:tcPr>
            <w:tcW w:w="4675" w:type="dxa"/>
            <w:vAlign w:val="bottom"/>
          </w:tcPr>
          <w:p w14:paraId="60B3996F" w14:textId="77777777" w:rsidR="00576857" w:rsidRPr="000F5C65" w:rsidRDefault="00576857" w:rsidP="001515D5">
            <w:r w:rsidRPr="000F5C65">
              <w:t>Greenwood</w:t>
            </w:r>
          </w:p>
        </w:tc>
        <w:tc>
          <w:tcPr>
            <w:tcW w:w="4675" w:type="dxa"/>
            <w:vAlign w:val="bottom"/>
          </w:tcPr>
          <w:p w14:paraId="651230C8" w14:textId="77777777" w:rsidR="00576857" w:rsidRPr="000F5C65" w:rsidRDefault="00576857" w:rsidP="001515D5">
            <w:r w:rsidRPr="000F5C65">
              <w:t>66.1%</w:t>
            </w:r>
          </w:p>
        </w:tc>
      </w:tr>
      <w:tr w:rsidR="00576857" w14:paraId="005F3DB5" w14:textId="77777777" w:rsidTr="001515D5">
        <w:tc>
          <w:tcPr>
            <w:tcW w:w="4675" w:type="dxa"/>
            <w:vAlign w:val="bottom"/>
          </w:tcPr>
          <w:p w14:paraId="701896B5" w14:textId="77777777" w:rsidR="00576857" w:rsidRPr="000F5C65" w:rsidRDefault="00576857" w:rsidP="001515D5">
            <w:r w:rsidRPr="000F5C65">
              <w:t>Hampton</w:t>
            </w:r>
          </w:p>
        </w:tc>
        <w:tc>
          <w:tcPr>
            <w:tcW w:w="4675" w:type="dxa"/>
            <w:vAlign w:val="bottom"/>
          </w:tcPr>
          <w:p w14:paraId="7A5A96FC" w14:textId="77777777" w:rsidR="00576857" w:rsidRPr="000F5C65" w:rsidRDefault="00576857" w:rsidP="001515D5">
            <w:r w:rsidRPr="000F5C65">
              <w:t>66.0%</w:t>
            </w:r>
          </w:p>
        </w:tc>
      </w:tr>
      <w:tr w:rsidR="00576857" w14:paraId="30D511AE" w14:textId="77777777" w:rsidTr="001515D5">
        <w:tc>
          <w:tcPr>
            <w:tcW w:w="4675" w:type="dxa"/>
            <w:vAlign w:val="bottom"/>
          </w:tcPr>
          <w:p w14:paraId="60CEFB7B" w14:textId="77777777" w:rsidR="00576857" w:rsidRPr="000F5C65" w:rsidRDefault="00576857" w:rsidP="001515D5">
            <w:r w:rsidRPr="000F5C65">
              <w:t>Horry</w:t>
            </w:r>
          </w:p>
        </w:tc>
        <w:tc>
          <w:tcPr>
            <w:tcW w:w="4675" w:type="dxa"/>
            <w:vAlign w:val="bottom"/>
          </w:tcPr>
          <w:p w14:paraId="7F927666" w14:textId="77777777" w:rsidR="00576857" w:rsidRPr="000F5C65" w:rsidRDefault="00576857" w:rsidP="001515D5">
            <w:r w:rsidRPr="000F5C65">
              <w:t>76.9%</w:t>
            </w:r>
          </w:p>
        </w:tc>
      </w:tr>
      <w:tr w:rsidR="00576857" w14:paraId="7CD4BF61" w14:textId="77777777" w:rsidTr="001515D5">
        <w:tc>
          <w:tcPr>
            <w:tcW w:w="4675" w:type="dxa"/>
            <w:vAlign w:val="bottom"/>
          </w:tcPr>
          <w:p w14:paraId="791405F7" w14:textId="77777777" w:rsidR="00576857" w:rsidRPr="000F5C65" w:rsidRDefault="00576857" w:rsidP="001515D5">
            <w:r w:rsidRPr="000F5C65">
              <w:t>Jasper</w:t>
            </w:r>
          </w:p>
        </w:tc>
        <w:tc>
          <w:tcPr>
            <w:tcW w:w="4675" w:type="dxa"/>
            <w:vAlign w:val="bottom"/>
          </w:tcPr>
          <w:p w14:paraId="1035D90F" w14:textId="77777777" w:rsidR="00576857" w:rsidRPr="000F5C65" w:rsidRDefault="00576857" w:rsidP="001515D5">
            <w:r w:rsidRPr="000F5C65">
              <w:t>87.3%</w:t>
            </w:r>
          </w:p>
        </w:tc>
      </w:tr>
      <w:tr w:rsidR="00576857" w14:paraId="6EE1941C" w14:textId="77777777" w:rsidTr="001515D5">
        <w:tc>
          <w:tcPr>
            <w:tcW w:w="4675" w:type="dxa"/>
            <w:vAlign w:val="bottom"/>
          </w:tcPr>
          <w:p w14:paraId="08BEEF84" w14:textId="77777777" w:rsidR="00576857" w:rsidRPr="000F5C65" w:rsidRDefault="00576857" w:rsidP="001515D5">
            <w:r w:rsidRPr="000F5C65">
              <w:t>Kershaw</w:t>
            </w:r>
          </w:p>
        </w:tc>
        <w:tc>
          <w:tcPr>
            <w:tcW w:w="4675" w:type="dxa"/>
            <w:vAlign w:val="bottom"/>
          </w:tcPr>
          <w:p w14:paraId="1FF7576C" w14:textId="77777777" w:rsidR="00576857" w:rsidRPr="000F5C65" w:rsidRDefault="00576857" w:rsidP="001515D5">
            <w:r w:rsidRPr="000F5C65">
              <w:t>75.2%</w:t>
            </w:r>
          </w:p>
        </w:tc>
      </w:tr>
      <w:tr w:rsidR="00576857" w14:paraId="29F16CA8" w14:textId="77777777" w:rsidTr="001515D5">
        <w:tc>
          <w:tcPr>
            <w:tcW w:w="4675" w:type="dxa"/>
            <w:vAlign w:val="bottom"/>
          </w:tcPr>
          <w:p w14:paraId="5EFBFA1E" w14:textId="77777777" w:rsidR="00576857" w:rsidRPr="000F5C65" w:rsidRDefault="00576857" w:rsidP="001515D5">
            <w:r w:rsidRPr="000F5C65">
              <w:t>Lancaster</w:t>
            </w:r>
          </w:p>
        </w:tc>
        <w:tc>
          <w:tcPr>
            <w:tcW w:w="4675" w:type="dxa"/>
            <w:vAlign w:val="bottom"/>
          </w:tcPr>
          <w:p w14:paraId="03B74C29" w14:textId="77777777" w:rsidR="00576857" w:rsidRPr="000F5C65" w:rsidRDefault="00576857" w:rsidP="001515D5">
            <w:r w:rsidRPr="000F5C65">
              <w:t>71.7%</w:t>
            </w:r>
          </w:p>
        </w:tc>
      </w:tr>
      <w:tr w:rsidR="00576857" w14:paraId="55677492" w14:textId="77777777" w:rsidTr="001515D5">
        <w:tc>
          <w:tcPr>
            <w:tcW w:w="4675" w:type="dxa"/>
            <w:vAlign w:val="bottom"/>
          </w:tcPr>
          <w:p w14:paraId="2DE21F81" w14:textId="77777777" w:rsidR="00576857" w:rsidRPr="000F5C65" w:rsidRDefault="00576857" w:rsidP="001515D5">
            <w:r w:rsidRPr="000F5C65">
              <w:lastRenderedPageBreak/>
              <w:t>Laurens</w:t>
            </w:r>
          </w:p>
        </w:tc>
        <w:tc>
          <w:tcPr>
            <w:tcW w:w="4675" w:type="dxa"/>
            <w:vAlign w:val="bottom"/>
          </w:tcPr>
          <w:p w14:paraId="56DF73B9" w14:textId="77777777" w:rsidR="00576857" w:rsidRPr="000F5C65" w:rsidRDefault="00576857" w:rsidP="001515D5">
            <w:r w:rsidRPr="000F5C65">
              <w:t>62.2%</w:t>
            </w:r>
          </w:p>
        </w:tc>
      </w:tr>
      <w:tr w:rsidR="00576857" w14:paraId="16F645B1" w14:textId="77777777" w:rsidTr="001515D5">
        <w:tc>
          <w:tcPr>
            <w:tcW w:w="4675" w:type="dxa"/>
            <w:vAlign w:val="bottom"/>
          </w:tcPr>
          <w:p w14:paraId="7CEFE23F" w14:textId="77777777" w:rsidR="00576857" w:rsidRPr="000F5C65" w:rsidRDefault="00576857" w:rsidP="001515D5">
            <w:r w:rsidRPr="000F5C65">
              <w:t>Lee</w:t>
            </w:r>
          </w:p>
        </w:tc>
        <w:tc>
          <w:tcPr>
            <w:tcW w:w="4675" w:type="dxa"/>
            <w:vAlign w:val="bottom"/>
          </w:tcPr>
          <w:p w14:paraId="19C78998" w14:textId="77777777" w:rsidR="00576857" w:rsidRPr="000F5C65" w:rsidRDefault="00576857" w:rsidP="001515D5">
            <w:r w:rsidRPr="000F5C65">
              <w:t>55.4%</w:t>
            </w:r>
          </w:p>
        </w:tc>
      </w:tr>
      <w:tr w:rsidR="00576857" w14:paraId="0A4E9A4E" w14:textId="77777777" w:rsidTr="001515D5">
        <w:tc>
          <w:tcPr>
            <w:tcW w:w="4675" w:type="dxa"/>
            <w:vAlign w:val="bottom"/>
          </w:tcPr>
          <w:p w14:paraId="00DC56FE" w14:textId="77777777" w:rsidR="00576857" w:rsidRPr="000F5C65" w:rsidRDefault="00576857" w:rsidP="001515D5">
            <w:r w:rsidRPr="000F5C65">
              <w:t>Lexington</w:t>
            </w:r>
          </w:p>
        </w:tc>
        <w:tc>
          <w:tcPr>
            <w:tcW w:w="4675" w:type="dxa"/>
            <w:vAlign w:val="bottom"/>
          </w:tcPr>
          <w:p w14:paraId="200210E3" w14:textId="77777777" w:rsidR="00576857" w:rsidRPr="000F5C65" w:rsidRDefault="00576857" w:rsidP="001515D5">
            <w:r w:rsidRPr="000F5C65">
              <w:t>82.4%</w:t>
            </w:r>
          </w:p>
        </w:tc>
      </w:tr>
      <w:tr w:rsidR="00576857" w14:paraId="02CE6B35" w14:textId="77777777" w:rsidTr="001515D5">
        <w:tc>
          <w:tcPr>
            <w:tcW w:w="4675" w:type="dxa"/>
            <w:vAlign w:val="bottom"/>
          </w:tcPr>
          <w:p w14:paraId="0482460B" w14:textId="77777777" w:rsidR="00576857" w:rsidRPr="000F5C65" w:rsidRDefault="00576857" w:rsidP="001515D5">
            <w:r w:rsidRPr="000F5C65">
              <w:t>McCormick</w:t>
            </w:r>
          </w:p>
        </w:tc>
        <w:tc>
          <w:tcPr>
            <w:tcW w:w="4675" w:type="dxa"/>
            <w:vAlign w:val="bottom"/>
          </w:tcPr>
          <w:p w14:paraId="14C5C976" w14:textId="77777777" w:rsidR="00576857" w:rsidRPr="000F5C65" w:rsidRDefault="00576857" w:rsidP="001515D5">
            <w:r w:rsidRPr="000F5C65">
              <w:t>58.4%</w:t>
            </w:r>
          </w:p>
        </w:tc>
      </w:tr>
      <w:tr w:rsidR="00576857" w14:paraId="5C5439BA" w14:textId="77777777" w:rsidTr="001515D5">
        <w:tc>
          <w:tcPr>
            <w:tcW w:w="4675" w:type="dxa"/>
            <w:vAlign w:val="bottom"/>
          </w:tcPr>
          <w:p w14:paraId="43F375FB" w14:textId="77777777" w:rsidR="00576857" w:rsidRPr="000F5C65" w:rsidRDefault="00576857" w:rsidP="001515D5">
            <w:r w:rsidRPr="000F5C65">
              <w:t>Marion</w:t>
            </w:r>
          </w:p>
        </w:tc>
        <w:tc>
          <w:tcPr>
            <w:tcW w:w="4675" w:type="dxa"/>
            <w:vAlign w:val="bottom"/>
          </w:tcPr>
          <w:p w14:paraId="6E01F656" w14:textId="77777777" w:rsidR="00576857" w:rsidRPr="000F5C65" w:rsidRDefault="00576857" w:rsidP="001515D5">
            <w:r w:rsidRPr="000F5C65">
              <w:t>54.7%</w:t>
            </w:r>
          </w:p>
        </w:tc>
      </w:tr>
      <w:tr w:rsidR="00576857" w14:paraId="6C354DF0" w14:textId="77777777" w:rsidTr="001515D5">
        <w:tc>
          <w:tcPr>
            <w:tcW w:w="4675" w:type="dxa"/>
            <w:vAlign w:val="bottom"/>
          </w:tcPr>
          <w:p w14:paraId="26377169" w14:textId="77777777" w:rsidR="00576857" w:rsidRPr="000F5C65" w:rsidRDefault="00576857" w:rsidP="001515D5">
            <w:r w:rsidRPr="000F5C65">
              <w:t>Marlboro</w:t>
            </w:r>
          </w:p>
        </w:tc>
        <w:tc>
          <w:tcPr>
            <w:tcW w:w="4675" w:type="dxa"/>
            <w:vAlign w:val="bottom"/>
          </w:tcPr>
          <w:p w14:paraId="38067EA5" w14:textId="77777777" w:rsidR="00576857" w:rsidRPr="000F5C65" w:rsidRDefault="00576857" w:rsidP="001515D5">
            <w:r w:rsidRPr="000F5C65">
              <w:t>43.0%</w:t>
            </w:r>
          </w:p>
        </w:tc>
      </w:tr>
      <w:tr w:rsidR="00576857" w14:paraId="781ABC77" w14:textId="77777777" w:rsidTr="001515D5">
        <w:tc>
          <w:tcPr>
            <w:tcW w:w="4675" w:type="dxa"/>
            <w:vAlign w:val="bottom"/>
          </w:tcPr>
          <w:p w14:paraId="53FBF3C3" w14:textId="77777777" w:rsidR="00576857" w:rsidRPr="000F5C65" w:rsidRDefault="00576857" w:rsidP="001515D5">
            <w:r w:rsidRPr="000F5C65">
              <w:t>Newberry</w:t>
            </w:r>
          </w:p>
        </w:tc>
        <w:tc>
          <w:tcPr>
            <w:tcW w:w="4675" w:type="dxa"/>
            <w:vAlign w:val="bottom"/>
          </w:tcPr>
          <w:p w14:paraId="03C3582F" w14:textId="77777777" w:rsidR="00576857" w:rsidRPr="000F5C65" w:rsidRDefault="00576857" w:rsidP="001515D5">
            <w:r w:rsidRPr="000F5C65">
              <w:t>63.2%</w:t>
            </w:r>
          </w:p>
        </w:tc>
      </w:tr>
      <w:tr w:rsidR="00576857" w14:paraId="2417943F" w14:textId="77777777" w:rsidTr="001515D5">
        <w:tc>
          <w:tcPr>
            <w:tcW w:w="4675" w:type="dxa"/>
            <w:vAlign w:val="bottom"/>
          </w:tcPr>
          <w:p w14:paraId="34BD26AE" w14:textId="77777777" w:rsidR="00576857" w:rsidRPr="000F5C65" w:rsidRDefault="00576857" w:rsidP="001515D5">
            <w:r w:rsidRPr="000F5C65">
              <w:t>Oconee</w:t>
            </w:r>
          </w:p>
        </w:tc>
        <w:tc>
          <w:tcPr>
            <w:tcW w:w="4675" w:type="dxa"/>
            <w:vAlign w:val="bottom"/>
          </w:tcPr>
          <w:p w14:paraId="5781A804" w14:textId="77777777" w:rsidR="00576857" w:rsidRPr="000F5C65" w:rsidRDefault="00576857" w:rsidP="001515D5">
            <w:r w:rsidRPr="000F5C65">
              <w:t>72.1%</w:t>
            </w:r>
          </w:p>
        </w:tc>
      </w:tr>
      <w:tr w:rsidR="00576857" w14:paraId="500A8F96" w14:textId="77777777" w:rsidTr="001515D5">
        <w:tc>
          <w:tcPr>
            <w:tcW w:w="4675" w:type="dxa"/>
            <w:vAlign w:val="bottom"/>
          </w:tcPr>
          <w:p w14:paraId="379EF2DA" w14:textId="77777777" w:rsidR="00576857" w:rsidRPr="000F5C65" w:rsidRDefault="00576857" w:rsidP="001515D5">
            <w:r w:rsidRPr="000F5C65">
              <w:t>Orangeburg</w:t>
            </w:r>
          </w:p>
        </w:tc>
        <w:tc>
          <w:tcPr>
            <w:tcW w:w="4675" w:type="dxa"/>
            <w:vAlign w:val="bottom"/>
          </w:tcPr>
          <w:p w14:paraId="67D77759" w14:textId="77777777" w:rsidR="00576857" w:rsidRPr="000F5C65" w:rsidRDefault="00576857" w:rsidP="001515D5">
            <w:r w:rsidRPr="000F5C65">
              <w:t>63.0%</w:t>
            </w:r>
          </w:p>
        </w:tc>
      </w:tr>
      <w:tr w:rsidR="00576857" w14:paraId="323FF601" w14:textId="77777777" w:rsidTr="001515D5">
        <w:tc>
          <w:tcPr>
            <w:tcW w:w="4675" w:type="dxa"/>
            <w:vAlign w:val="bottom"/>
          </w:tcPr>
          <w:p w14:paraId="403349CE" w14:textId="77777777" w:rsidR="00576857" w:rsidRPr="000F5C65" w:rsidRDefault="00576857" w:rsidP="001515D5">
            <w:r w:rsidRPr="000F5C65">
              <w:t>Pickens</w:t>
            </w:r>
          </w:p>
        </w:tc>
        <w:tc>
          <w:tcPr>
            <w:tcW w:w="4675" w:type="dxa"/>
            <w:vAlign w:val="bottom"/>
          </w:tcPr>
          <w:p w14:paraId="0AA33549" w14:textId="77777777" w:rsidR="00576857" w:rsidRPr="000F5C65" w:rsidRDefault="00576857" w:rsidP="001515D5">
            <w:r w:rsidRPr="000F5C65">
              <w:t>76.3%</w:t>
            </w:r>
          </w:p>
        </w:tc>
      </w:tr>
      <w:tr w:rsidR="00576857" w14:paraId="5B2C0A9B" w14:textId="77777777" w:rsidTr="001515D5">
        <w:tc>
          <w:tcPr>
            <w:tcW w:w="4675" w:type="dxa"/>
            <w:vAlign w:val="bottom"/>
          </w:tcPr>
          <w:p w14:paraId="5ACD5EF3" w14:textId="77777777" w:rsidR="00576857" w:rsidRPr="000F5C65" w:rsidRDefault="00576857" w:rsidP="001515D5">
            <w:r w:rsidRPr="000F5C65">
              <w:t>Richland</w:t>
            </w:r>
          </w:p>
        </w:tc>
        <w:tc>
          <w:tcPr>
            <w:tcW w:w="4675" w:type="dxa"/>
            <w:vAlign w:val="bottom"/>
          </w:tcPr>
          <w:p w14:paraId="13C08146" w14:textId="77777777" w:rsidR="00576857" w:rsidRPr="000F5C65" w:rsidRDefault="00576857" w:rsidP="001515D5">
            <w:r w:rsidRPr="000F5C65">
              <w:t>84.2%</w:t>
            </w:r>
          </w:p>
        </w:tc>
      </w:tr>
      <w:tr w:rsidR="00576857" w14:paraId="4E00F836" w14:textId="77777777" w:rsidTr="001515D5">
        <w:tc>
          <w:tcPr>
            <w:tcW w:w="4675" w:type="dxa"/>
            <w:vAlign w:val="bottom"/>
          </w:tcPr>
          <w:p w14:paraId="439FD4A5" w14:textId="77777777" w:rsidR="00576857" w:rsidRPr="000F5C65" w:rsidRDefault="00576857" w:rsidP="001515D5">
            <w:r w:rsidRPr="000F5C65">
              <w:t>Saluda</w:t>
            </w:r>
          </w:p>
        </w:tc>
        <w:tc>
          <w:tcPr>
            <w:tcW w:w="4675" w:type="dxa"/>
            <w:vAlign w:val="bottom"/>
          </w:tcPr>
          <w:p w14:paraId="65AD8CD7" w14:textId="77777777" w:rsidR="00576857" w:rsidRPr="000F5C65" w:rsidRDefault="00576857" w:rsidP="001515D5">
            <w:r w:rsidRPr="000F5C65">
              <w:t>68.1%</w:t>
            </w:r>
          </w:p>
        </w:tc>
      </w:tr>
      <w:tr w:rsidR="00576857" w14:paraId="5063DD1B" w14:textId="77777777" w:rsidTr="001515D5">
        <w:tc>
          <w:tcPr>
            <w:tcW w:w="4675" w:type="dxa"/>
            <w:vAlign w:val="bottom"/>
          </w:tcPr>
          <w:p w14:paraId="163EFCDF" w14:textId="77777777" w:rsidR="00576857" w:rsidRPr="000F5C65" w:rsidRDefault="00576857" w:rsidP="001515D5">
            <w:r w:rsidRPr="000F5C65">
              <w:t>Spartanburg</w:t>
            </w:r>
          </w:p>
        </w:tc>
        <w:tc>
          <w:tcPr>
            <w:tcW w:w="4675" w:type="dxa"/>
            <w:vAlign w:val="bottom"/>
          </w:tcPr>
          <w:p w14:paraId="0977B4E8" w14:textId="77777777" w:rsidR="00576857" w:rsidRPr="000F5C65" w:rsidRDefault="00576857" w:rsidP="001515D5">
            <w:r w:rsidRPr="000F5C65">
              <w:t>80.5%</w:t>
            </w:r>
          </w:p>
        </w:tc>
      </w:tr>
      <w:tr w:rsidR="00576857" w14:paraId="6013BA0A" w14:textId="77777777" w:rsidTr="001515D5">
        <w:tc>
          <w:tcPr>
            <w:tcW w:w="4675" w:type="dxa"/>
            <w:vAlign w:val="bottom"/>
          </w:tcPr>
          <w:p w14:paraId="222630D3" w14:textId="77777777" w:rsidR="00576857" w:rsidRPr="000F5C65" w:rsidRDefault="00576857" w:rsidP="001515D5">
            <w:r w:rsidRPr="000F5C65">
              <w:t>Sumter</w:t>
            </w:r>
          </w:p>
        </w:tc>
        <w:tc>
          <w:tcPr>
            <w:tcW w:w="4675" w:type="dxa"/>
            <w:vAlign w:val="bottom"/>
          </w:tcPr>
          <w:p w14:paraId="2E2BC43A" w14:textId="77777777" w:rsidR="00576857" w:rsidRPr="000F5C65" w:rsidRDefault="00576857" w:rsidP="001515D5">
            <w:r w:rsidRPr="000F5C65">
              <w:t>71.4%</w:t>
            </w:r>
          </w:p>
        </w:tc>
      </w:tr>
      <w:tr w:rsidR="00576857" w14:paraId="1360A0F9" w14:textId="77777777" w:rsidTr="001515D5">
        <w:tc>
          <w:tcPr>
            <w:tcW w:w="4675" w:type="dxa"/>
            <w:vAlign w:val="bottom"/>
          </w:tcPr>
          <w:p w14:paraId="6FD4EAB8" w14:textId="77777777" w:rsidR="00576857" w:rsidRPr="000F5C65" w:rsidRDefault="00576857" w:rsidP="001515D5">
            <w:r w:rsidRPr="000F5C65">
              <w:t>Union</w:t>
            </w:r>
          </w:p>
        </w:tc>
        <w:tc>
          <w:tcPr>
            <w:tcW w:w="4675" w:type="dxa"/>
            <w:vAlign w:val="bottom"/>
          </w:tcPr>
          <w:p w14:paraId="563D93EC" w14:textId="77777777" w:rsidR="00576857" w:rsidRPr="000F5C65" w:rsidRDefault="00576857" w:rsidP="001515D5">
            <w:r w:rsidRPr="000F5C65">
              <w:t>58.4%</w:t>
            </w:r>
          </w:p>
        </w:tc>
      </w:tr>
      <w:tr w:rsidR="00576857" w14:paraId="33A63309" w14:textId="77777777" w:rsidTr="001515D5">
        <w:tc>
          <w:tcPr>
            <w:tcW w:w="4675" w:type="dxa"/>
            <w:vAlign w:val="bottom"/>
          </w:tcPr>
          <w:p w14:paraId="7D0C3AEF" w14:textId="77777777" w:rsidR="00576857" w:rsidRPr="000F5C65" w:rsidRDefault="00576857" w:rsidP="001515D5">
            <w:r w:rsidRPr="000F5C65">
              <w:t>Williamsburg</w:t>
            </w:r>
          </w:p>
        </w:tc>
        <w:tc>
          <w:tcPr>
            <w:tcW w:w="4675" w:type="dxa"/>
            <w:vAlign w:val="bottom"/>
          </w:tcPr>
          <w:p w14:paraId="593DD1CB" w14:textId="77777777" w:rsidR="00576857" w:rsidRPr="000F5C65" w:rsidRDefault="00576857" w:rsidP="001515D5">
            <w:r w:rsidRPr="000F5C65">
              <w:t>59.7%</w:t>
            </w:r>
          </w:p>
        </w:tc>
      </w:tr>
      <w:tr w:rsidR="00576857" w14:paraId="7D5D49BE" w14:textId="77777777" w:rsidTr="001515D5">
        <w:tc>
          <w:tcPr>
            <w:tcW w:w="4675" w:type="dxa"/>
            <w:vAlign w:val="bottom"/>
          </w:tcPr>
          <w:p w14:paraId="0A00B564" w14:textId="77777777" w:rsidR="00576857" w:rsidRPr="000F5C65" w:rsidRDefault="00576857" w:rsidP="001515D5">
            <w:r w:rsidRPr="000F5C65">
              <w:t>York</w:t>
            </w:r>
          </w:p>
        </w:tc>
        <w:tc>
          <w:tcPr>
            <w:tcW w:w="4675" w:type="dxa"/>
            <w:vAlign w:val="bottom"/>
          </w:tcPr>
          <w:p w14:paraId="583B7DFD" w14:textId="77777777" w:rsidR="00576857" w:rsidRPr="000F5C65" w:rsidRDefault="00576857" w:rsidP="001515D5">
            <w:r w:rsidRPr="000F5C65">
              <w:t>81.9%</w:t>
            </w:r>
          </w:p>
        </w:tc>
      </w:tr>
    </w:tbl>
    <w:p w14:paraId="7EE3015F" w14:textId="77777777" w:rsidR="00576857" w:rsidRPr="000F5C65" w:rsidRDefault="00576857" w:rsidP="00576857">
      <w:r w:rsidRPr="000F5C65">
        <w:t xml:space="preserve">Source: SC DHEC Vital Statistics, 2017-2021. </w:t>
      </w:r>
    </w:p>
    <w:p w14:paraId="65B88362" w14:textId="77777777" w:rsidR="00576857" w:rsidRPr="000F5C65" w:rsidRDefault="00576857" w:rsidP="00576857">
      <w:r w:rsidRPr="000F5C65">
        <w:t>Note: population for year 2021 based on single-race estimates and for years prior based on bridge-race estimates.</w:t>
      </w:r>
    </w:p>
    <w:p w14:paraId="4D9E49AA" w14:textId="77777777" w:rsidR="00506CC7" w:rsidRPr="00506CC7" w:rsidRDefault="00506CC7" w:rsidP="00506CC7"/>
    <w:p w14:paraId="26AFA773" w14:textId="77777777" w:rsidR="00506CC7" w:rsidRDefault="00506CC7" w:rsidP="00506CC7">
      <w:pPr>
        <w:pStyle w:val="Heading4"/>
      </w:pPr>
      <w:bookmarkStart w:id="505" w:name="_Toc162267333"/>
      <w:r>
        <w:t>Data Interpretations:</w:t>
      </w:r>
      <w:bookmarkEnd w:id="505"/>
      <w:r>
        <w:t xml:space="preserve"> </w:t>
      </w:r>
    </w:p>
    <w:p w14:paraId="71CCB147" w14:textId="71A37440" w:rsidR="00506CC7" w:rsidRPr="00506CC7" w:rsidRDefault="00506CC7" w:rsidP="00506CC7">
      <w:r w:rsidRPr="00506CC7">
        <w:t>Breastfeeding initiation rates are relatively high in non-Hispanic White (81.8%), non-Hispanic Other (85.6%), and Hispanic (85.4%) populations and lowest the among non-Hispanic Black population (65.8%) (</w:t>
      </w:r>
      <w:r w:rsidRPr="00506CC7">
        <w:rPr>
          <w:b/>
          <w:bCs/>
        </w:rPr>
        <w:t>Figure 7.31</w:t>
      </w:r>
      <w:r w:rsidRPr="00506CC7">
        <w:t>). By maternal age, breastfeeding initiation rates increase with increasing age (</w:t>
      </w:r>
      <w:r w:rsidRPr="00506CC7">
        <w:rPr>
          <w:b/>
          <w:bCs/>
        </w:rPr>
        <w:t>Figure 7.32</w:t>
      </w:r>
      <w:r w:rsidRPr="00506CC7">
        <w:t xml:space="preserve">).  </w:t>
      </w:r>
    </w:p>
    <w:p w14:paraId="54B9DC64" w14:textId="77777777" w:rsidR="00506CC7" w:rsidRPr="00506CC7" w:rsidRDefault="00506CC7" w:rsidP="00506CC7">
      <w:r w:rsidRPr="00506CC7">
        <w:t>With respect to exclusivity and duration, only 43.3% and 19.3% of infants born in 2019 in SC breastfed exclusively through three and six months, respectively. Exclusive breastfeeding of any duration has declined since 2016 in both SC and the US (</w:t>
      </w:r>
      <w:r w:rsidRPr="00506CC7">
        <w:rPr>
          <w:b/>
          <w:bCs/>
        </w:rPr>
        <w:t>Figure 7.33</w:t>
      </w:r>
      <w:r w:rsidRPr="00506CC7">
        <w:t>). In the SC WIC Program, 23.6% of infant participants were, on average, either fully (8.4%) or partially (15.2%) breastfed during 2022. Since 2020, breastfeeding rates in the WIC program have increased by 13% (</w:t>
      </w:r>
      <w:r w:rsidRPr="00506CC7">
        <w:rPr>
          <w:b/>
          <w:bCs/>
        </w:rPr>
        <w:t>Figure 7.34</w:t>
      </w:r>
      <w:r w:rsidRPr="00506CC7">
        <w:t xml:space="preserve">). </w:t>
      </w:r>
    </w:p>
    <w:p w14:paraId="20E2823F" w14:textId="7948BBDF" w:rsidR="00506CC7" w:rsidRDefault="00506CC7" w:rsidP="00506CC7">
      <w:r w:rsidRPr="00506CC7">
        <w:t>Breastfeeding initiation rates are highest in the metropolitan areas of the state, which usually have greater access to breastfeeding support services and community resources that encourage breastfeeding than less urban areas (</w:t>
      </w:r>
      <w:r w:rsidRPr="00506CC7">
        <w:rPr>
          <w:b/>
          <w:bCs/>
        </w:rPr>
        <w:t>Figure 7.35</w:t>
      </w:r>
      <w:r w:rsidRPr="00506CC7">
        <w:t>).</w:t>
      </w:r>
    </w:p>
    <w:p w14:paraId="388A3F1C" w14:textId="77777777" w:rsidR="00506CC7" w:rsidRDefault="00506CC7" w:rsidP="00506CC7"/>
    <w:p w14:paraId="6A91603D" w14:textId="0B45EAEF" w:rsidR="00506CC7" w:rsidRDefault="00506CC7" w:rsidP="00506CC7">
      <w:pPr>
        <w:pStyle w:val="Heading5"/>
      </w:pPr>
      <w:r>
        <w:lastRenderedPageBreak/>
        <w:t>Key Takeaways:</w:t>
      </w:r>
    </w:p>
    <w:p w14:paraId="02626F20" w14:textId="77777777" w:rsidR="005253DC" w:rsidRDefault="00506CC7" w:rsidP="00926EB3">
      <w:pPr>
        <w:pStyle w:val="ListParagraph"/>
        <w:numPr>
          <w:ilvl w:val="0"/>
          <w:numId w:val="221"/>
        </w:numPr>
      </w:pPr>
      <w:r w:rsidRPr="00506CC7">
        <w:t xml:space="preserve">In SC, the prevalence of exclusive breastfeeding through 6 months was 19.3%, far below the HP 2030 goal of 42.4%. </w:t>
      </w:r>
    </w:p>
    <w:p w14:paraId="6384A181" w14:textId="6C69716E" w:rsidR="00506CC7" w:rsidRPr="00506CC7" w:rsidRDefault="00506CC7" w:rsidP="00926EB3">
      <w:pPr>
        <w:pStyle w:val="ListParagraph"/>
        <w:numPr>
          <w:ilvl w:val="0"/>
          <w:numId w:val="221"/>
        </w:numPr>
      </w:pPr>
      <w:r w:rsidRPr="00506CC7">
        <w:t xml:space="preserve">Family and healthcare team support and education are essential to initiating and continuing breastfeeding. </w:t>
      </w:r>
    </w:p>
    <w:p w14:paraId="48E7BE13" w14:textId="77777777" w:rsidR="00506CC7" w:rsidRDefault="00506CC7" w:rsidP="00506CC7">
      <w:pPr>
        <w:rPr>
          <w:b/>
          <w:bCs/>
        </w:rPr>
      </w:pPr>
    </w:p>
    <w:p w14:paraId="42C7779F" w14:textId="06A53643" w:rsidR="00506CC7" w:rsidRDefault="00506CC7" w:rsidP="00506CC7">
      <w:pPr>
        <w:pStyle w:val="Heading4"/>
        <w:rPr>
          <w:rFonts w:asciiTheme="minorHAnsi" w:hAnsiTheme="minorHAnsi" w:cstheme="minorHAnsi"/>
          <w:color w:val="000000" w:themeColor="text1"/>
        </w:rPr>
      </w:pPr>
      <w:bookmarkStart w:id="506" w:name="_Toc162267334"/>
      <w:r w:rsidRPr="00506CC7">
        <w:rPr>
          <w:rFonts w:asciiTheme="minorHAnsi" w:hAnsiTheme="minorHAnsi" w:cstheme="minorHAnsi"/>
          <w:color w:val="000000" w:themeColor="text1"/>
        </w:rPr>
        <w:t>References 7.</w:t>
      </w:r>
      <w:r>
        <w:rPr>
          <w:rFonts w:asciiTheme="minorHAnsi" w:hAnsiTheme="minorHAnsi" w:cstheme="minorHAnsi"/>
          <w:color w:val="000000" w:themeColor="text1"/>
        </w:rPr>
        <w:t>15</w:t>
      </w:r>
      <w:bookmarkEnd w:id="506"/>
    </w:p>
    <w:p w14:paraId="33AE360E" w14:textId="77777777" w:rsidR="00506CC7" w:rsidRPr="00506CC7" w:rsidRDefault="00506CC7" w:rsidP="00506CC7">
      <w:pPr>
        <w:rPr>
          <w:i/>
          <w:iCs/>
        </w:rPr>
      </w:pPr>
      <w:r w:rsidRPr="00506CC7">
        <w:t>Statistics in the preceding section were referenced from the following reports:</w:t>
      </w:r>
    </w:p>
    <w:p w14:paraId="07220EF5" w14:textId="7556C959" w:rsidR="00506CC7" w:rsidRPr="00506CC7" w:rsidRDefault="00000000" w:rsidP="00926EB3">
      <w:pPr>
        <w:pStyle w:val="ListParagraph"/>
        <w:numPr>
          <w:ilvl w:val="0"/>
          <w:numId w:val="31"/>
        </w:numPr>
      </w:pPr>
      <w:hyperlink r:id="rId225" w:history="1">
        <w:r w:rsidR="00506CC7" w:rsidRPr="00506CC7">
          <w:rPr>
            <w:rStyle w:val="Hyperlink"/>
          </w:rPr>
          <w:t>“Increase the proportion of infants who are breastfed exclusively through age 6 months — MICH 15” by Healthy People 2030 via health.gov. Accessed December 18, 2023.</w:t>
        </w:r>
      </w:hyperlink>
      <w:r w:rsidR="00506CC7" w:rsidRPr="00506CC7">
        <w:t xml:space="preserve"> </w:t>
      </w:r>
    </w:p>
    <w:p w14:paraId="40A47158" w14:textId="23DCA8B2" w:rsidR="00506CC7" w:rsidRPr="00506CC7" w:rsidRDefault="00000000" w:rsidP="00926EB3">
      <w:pPr>
        <w:pStyle w:val="ListParagraph"/>
        <w:numPr>
          <w:ilvl w:val="0"/>
          <w:numId w:val="31"/>
        </w:numPr>
      </w:pPr>
      <w:hyperlink r:id="rId226" w:history="1">
        <w:r w:rsidR="00506CC7" w:rsidRPr="00506CC7">
          <w:rPr>
            <w:rStyle w:val="Hyperlink"/>
          </w:rPr>
          <w:t>“Quantifying the benefits of breastfeeding: A summary of the evidence - PAHO/WHO” by the Pan American Health Organization via paho.org. Accessed December 18, 2023.</w:t>
        </w:r>
      </w:hyperlink>
      <w:r w:rsidR="00506CC7" w:rsidRPr="00506CC7">
        <w:t xml:space="preserve"> </w:t>
      </w:r>
    </w:p>
    <w:p w14:paraId="7F9D1A7A" w14:textId="77EEEC06" w:rsidR="00506CC7" w:rsidRPr="00506CC7" w:rsidRDefault="00000000" w:rsidP="00926EB3">
      <w:pPr>
        <w:pStyle w:val="ListParagraph"/>
        <w:numPr>
          <w:ilvl w:val="0"/>
          <w:numId w:val="31"/>
        </w:numPr>
        <w:rPr>
          <w:u w:val="thick"/>
        </w:rPr>
      </w:pPr>
      <w:hyperlink r:id="rId227" w:history="1">
        <w:r w:rsidR="00506CC7" w:rsidRPr="00506CC7">
          <w:rPr>
            <w:rStyle w:val="Hyperlink"/>
          </w:rPr>
          <w:t>“Why It Matters, Breastfeeding,” by CDC via cdc.gov. Accessed December 18, 2023.</w:t>
        </w:r>
      </w:hyperlink>
      <w:r w:rsidR="00506CC7" w:rsidRPr="00506CC7">
        <w:t xml:space="preserve"> </w:t>
      </w:r>
    </w:p>
    <w:p w14:paraId="490DAE89" w14:textId="128D2697" w:rsidR="00506CC7" w:rsidRPr="00506CC7" w:rsidRDefault="00000000" w:rsidP="00926EB3">
      <w:pPr>
        <w:pStyle w:val="ListParagraph"/>
        <w:numPr>
          <w:ilvl w:val="0"/>
          <w:numId w:val="31"/>
        </w:numPr>
      </w:pPr>
      <w:hyperlink r:id="rId228" w:history="1">
        <w:r w:rsidR="00506CC7" w:rsidRPr="00506CC7">
          <w:rPr>
            <w:rStyle w:val="Hyperlink"/>
          </w:rPr>
          <w:t>“CDC’s Work to Support &amp; Promote Breastfeeding” by CDC, via cdc.gov. Accessed December 18, 2023.</w:t>
        </w:r>
      </w:hyperlink>
      <w:r w:rsidR="00506CC7" w:rsidRPr="00506CC7">
        <w:t xml:space="preserve"> </w:t>
      </w:r>
    </w:p>
    <w:p w14:paraId="2CED8D1F" w14:textId="092DF6F2" w:rsidR="00506CC7" w:rsidRPr="00506CC7" w:rsidRDefault="00000000" w:rsidP="00926EB3">
      <w:pPr>
        <w:pStyle w:val="ListParagraph"/>
        <w:numPr>
          <w:ilvl w:val="0"/>
          <w:numId w:val="31"/>
        </w:numPr>
      </w:pPr>
      <w:hyperlink r:id="rId229" w:history="1">
        <w:r w:rsidR="00506CC7" w:rsidRPr="00506CC7">
          <w:rPr>
            <w:rStyle w:val="Hyperlink"/>
          </w:rPr>
          <w:t>“Utilizing a Risk Factor Approach to Identify Potential Breastfeeding Problems” by Flagg JA, Busch DW.</w:t>
        </w:r>
      </w:hyperlink>
      <w:r w:rsidR="00506CC7" w:rsidRPr="00506CC7">
        <w:t xml:space="preserve"> </w:t>
      </w:r>
    </w:p>
    <w:p w14:paraId="304B9F73" w14:textId="63928A46" w:rsidR="00506CC7" w:rsidRPr="00506CC7" w:rsidRDefault="00000000" w:rsidP="00926EB3">
      <w:pPr>
        <w:pStyle w:val="ListParagraph"/>
        <w:numPr>
          <w:ilvl w:val="0"/>
          <w:numId w:val="31"/>
        </w:numPr>
      </w:pPr>
      <w:hyperlink r:id="rId230" w:history="1">
        <w:r w:rsidR="00506CC7" w:rsidRPr="00506CC7">
          <w:rPr>
            <w:rStyle w:val="Hyperlink"/>
          </w:rPr>
          <w:t>“Breastfeeding Is a Priority in the WIC Program” by the Food and Nutrition Service via fns.usda.gov. Accessed December 18, 2023.</w:t>
        </w:r>
      </w:hyperlink>
      <w:r w:rsidR="00506CC7" w:rsidRPr="00506CC7">
        <w:t xml:space="preserve"> </w:t>
      </w:r>
    </w:p>
    <w:p w14:paraId="48A79E30" w14:textId="2FDB2615" w:rsidR="00506CC7" w:rsidRDefault="00000000" w:rsidP="00926EB3">
      <w:pPr>
        <w:pStyle w:val="ListParagraph"/>
        <w:numPr>
          <w:ilvl w:val="0"/>
          <w:numId w:val="31"/>
        </w:numPr>
      </w:pPr>
      <w:hyperlink r:id="rId231" w:history="1">
        <w:r w:rsidR="00506CC7" w:rsidRPr="00506CC7">
          <w:rPr>
            <w:rStyle w:val="Hyperlink"/>
          </w:rPr>
          <w:t>“Breastfeeding: Surgeon General’s Call to Action Fact Sheet” by the U.S. Department of Health and Human Services, via HHS.gov. Accessed December 18, 2023.</w:t>
        </w:r>
      </w:hyperlink>
      <w:r w:rsidR="00506CC7" w:rsidRPr="00506CC7">
        <w:t xml:space="preserve"> </w:t>
      </w:r>
    </w:p>
    <w:p w14:paraId="0B8AC4AE" w14:textId="0E7288D5" w:rsidR="00506CC7" w:rsidRDefault="00506CC7" w:rsidP="00506CC7">
      <w:pPr>
        <w:pStyle w:val="Heading3"/>
      </w:pPr>
      <w:bookmarkStart w:id="507" w:name="_Toc162267335"/>
      <w:r>
        <w:t>Healthy Infants: Safe Sleep</w:t>
      </w:r>
      <w:bookmarkEnd w:id="507"/>
    </w:p>
    <w:p w14:paraId="58AEE263" w14:textId="296CA1AD" w:rsidR="00506CC7" w:rsidRPr="00506CC7" w:rsidRDefault="00506CC7" w:rsidP="00506CC7">
      <w:r w:rsidRPr="00506CC7">
        <w:t>Safe sleep is the practice of putting infants to sleep in a protective way to avoid adverse events, including choking, suffocation, and SIDS. It is recommended that infants are put to sleep lying on their backs; in a shared room, but alone in a crib or bassinet; on a flat, firm mattress with a fitted sheet; and without hazards such as blankets, pillows, and soft toys.</w:t>
      </w:r>
      <w:r>
        <w:rPr>
          <w:b/>
          <w:bCs/>
        </w:rPr>
        <w:t xml:space="preserve"> </w:t>
      </w:r>
      <w:r w:rsidRPr="00506CC7">
        <w:t xml:space="preserve">In the US, 3,500 infants die every year due to sleep-related causes. </w:t>
      </w:r>
    </w:p>
    <w:p w14:paraId="4FD64D31" w14:textId="77777777" w:rsidR="00506CC7" w:rsidRDefault="00506CC7" w:rsidP="00506CC7"/>
    <w:p w14:paraId="6E3FF46C" w14:textId="77777777" w:rsidR="00576857" w:rsidRDefault="00576857" w:rsidP="00576857">
      <w:pPr>
        <w:pStyle w:val="Heading4"/>
      </w:pPr>
      <w:bookmarkStart w:id="508" w:name="_Toc154576433"/>
      <w:bookmarkStart w:id="509" w:name="_Toc162267336"/>
      <w:r>
        <w:t>Figure 7.36: Infants Who Are Put to Sleep on Their Backs.</w:t>
      </w:r>
      <w:bookmarkEnd w:id="508"/>
      <w:bookmarkEnd w:id="509"/>
    </w:p>
    <w:tbl>
      <w:tblPr>
        <w:tblStyle w:val="TableGrid"/>
        <w:tblW w:w="0" w:type="auto"/>
        <w:tblLook w:val="04A0" w:firstRow="1" w:lastRow="0" w:firstColumn="1" w:lastColumn="0" w:noHBand="0" w:noVBand="1"/>
      </w:tblPr>
      <w:tblGrid>
        <w:gridCol w:w="3116"/>
        <w:gridCol w:w="3117"/>
        <w:gridCol w:w="3117"/>
      </w:tblGrid>
      <w:tr w:rsidR="00576857" w14:paraId="5F5F51FF" w14:textId="77777777" w:rsidTr="001515D5">
        <w:tc>
          <w:tcPr>
            <w:tcW w:w="3116" w:type="dxa"/>
            <w:vAlign w:val="bottom"/>
          </w:tcPr>
          <w:p w14:paraId="2690CBCC" w14:textId="77777777" w:rsidR="00576857" w:rsidRPr="000F5C65" w:rsidRDefault="00576857" w:rsidP="001515D5">
            <w:r>
              <w:t>Year</w:t>
            </w:r>
          </w:p>
        </w:tc>
        <w:tc>
          <w:tcPr>
            <w:tcW w:w="3117" w:type="dxa"/>
            <w:vAlign w:val="bottom"/>
          </w:tcPr>
          <w:p w14:paraId="1BE70EA1" w14:textId="77777777" w:rsidR="00576857" w:rsidRPr="000F5C65" w:rsidRDefault="00576857" w:rsidP="001515D5">
            <w:r w:rsidRPr="000F5C65">
              <w:t>South Carolina</w:t>
            </w:r>
          </w:p>
        </w:tc>
        <w:tc>
          <w:tcPr>
            <w:tcW w:w="3117" w:type="dxa"/>
            <w:vAlign w:val="bottom"/>
          </w:tcPr>
          <w:p w14:paraId="0A28EED7" w14:textId="77777777" w:rsidR="00576857" w:rsidRPr="000F5C65" w:rsidRDefault="00576857" w:rsidP="001515D5">
            <w:r w:rsidRPr="000F5C65">
              <w:t>HP 2030</w:t>
            </w:r>
          </w:p>
        </w:tc>
      </w:tr>
      <w:tr w:rsidR="00576857" w14:paraId="6FE6EF97" w14:textId="77777777" w:rsidTr="001515D5">
        <w:tc>
          <w:tcPr>
            <w:tcW w:w="3116" w:type="dxa"/>
            <w:vAlign w:val="bottom"/>
          </w:tcPr>
          <w:p w14:paraId="66D97DB3" w14:textId="77777777" w:rsidR="00576857" w:rsidRPr="000F5C65" w:rsidRDefault="00576857" w:rsidP="001515D5">
            <w:r w:rsidRPr="000F5C65">
              <w:t>2017</w:t>
            </w:r>
          </w:p>
        </w:tc>
        <w:tc>
          <w:tcPr>
            <w:tcW w:w="3117" w:type="dxa"/>
            <w:vAlign w:val="bottom"/>
          </w:tcPr>
          <w:p w14:paraId="40B8229B" w14:textId="77777777" w:rsidR="00576857" w:rsidRPr="000F5C65" w:rsidRDefault="00576857" w:rsidP="001515D5">
            <w:r w:rsidRPr="000F5C65">
              <w:t>73.7619</w:t>
            </w:r>
          </w:p>
        </w:tc>
        <w:tc>
          <w:tcPr>
            <w:tcW w:w="3117" w:type="dxa"/>
            <w:vAlign w:val="bottom"/>
          </w:tcPr>
          <w:p w14:paraId="73146155" w14:textId="77777777" w:rsidR="00576857" w:rsidRPr="000F5C65" w:rsidRDefault="00576857" w:rsidP="001515D5">
            <w:r w:rsidRPr="000F5C65">
              <w:t>88.9</w:t>
            </w:r>
          </w:p>
        </w:tc>
      </w:tr>
      <w:tr w:rsidR="00576857" w14:paraId="0141DF48" w14:textId="77777777" w:rsidTr="001515D5">
        <w:tc>
          <w:tcPr>
            <w:tcW w:w="3116" w:type="dxa"/>
            <w:vAlign w:val="bottom"/>
          </w:tcPr>
          <w:p w14:paraId="09825B7C" w14:textId="77777777" w:rsidR="00576857" w:rsidRPr="000F5C65" w:rsidRDefault="00576857" w:rsidP="001515D5">
            <w:r w:rsidRPr="000F5C65">
              <w:t>2018</w:t>
            </w:r>
          </w:p>
        </w:tc>
        <w:tc>
          <w:tcPr>
            <w:tcW w:w="3117" w:type="dxa"/>
            <w:vAlign w:val="bottom"/>
          </w:tcPr>
          <w:p w14:paraId="68FC5F9D" w14:textId="77777777" w:rsidR="00576857" w:rsidRPr="000F5C65" w:rsidRDefault="00576857" w:rsidP="001515D5">
            <w:r w:rsidRPr="000F5C65">
              <w:t>74.7199</w:t>
            </w:r>
          </w:p>
        </w:tc>
        <w:tc>
          <w:tcPr>
            <w:tcW w:w="3117" w:type="dxa"/>
            <w:vAlign w:val="bottom"/>
          </w:tcPr>
          <w:p w14:paraId="34ECF363" w14:textId="77777777" w:rsidR="00576857" w:rsidRPr="000F5C65" w:rsidRDefault="00576857" w:rsidP="001515D5">
            <w:r w:rsidRPr="000F5C65">
              <w:t>88.9</w:t>
            </w:r>
          </w:p>
        </w:tc>
      </w:tr>
      <w:tr w:rsidR="00576857" w14:paraId="22AB514E" w14:textId="77777777" w:rsidTr="001515D5">
        <w:tc>
          <w:tcPr>
            <w:tcW w:w="3116" w:type="dxa"/>
            <w:vAlign w:val="bottom"/>
          </w:tcPr>
          <w:p w14:paraId="571F771D" w14:textId="77777777" w:rsidR="00576857" w:rsidRPr="000F5C65" w:rsidRDefault="00576857" w:rsidP="001515D5">
            <w:r w:rsidRPr="000F5C65">
              <w:lastRenderedPageBreak/>
              <w:t>2019</w:t>
            </w:r>
          </w:p>
        </w:tc>
        <w:tc>
          <w:tcPr>
            <w:tcW w:w="3117" w:type="dxa"/>
            <w:vAlign w:val="bottom"/>
          </w:tcPr>
          <w:p w14:paraId="6D2988F2" w14:textId="77777777" w:rsidR="00576857" w:rsidRPr="000F5C65" w:rsidRDefault="00576857" w:rsidP="001515D5">
            <w:r w:rsidRPr="000F5C65">
              <w:t>77.0257</w:t>
            </w:r>
          </w:p>
        </w:tc>
        <w:tc>
          <w:tcPr>
            <w:tcW w:w="3117" w:type="dxa"/>
            <w:vAlign w:val="bottom"/>
          </w:tcPr>
          <w:p w14:paraId="6D77A96B" w14:textId="77777777" w:rsidR="00576857" w:rsidRPr="000F5C65" w:rsidRDefault="00576857" w:rsidP="001515D5">
            <w:r w:rsidRPr="000F5C65">
              <w:t>88.9</w:t>
            </w:r>
          </w:p>
        </w:tc>
      </w:tr>
      <w:tr w:rsidR="00576857" w14:paraId="0D7C13B9" w14:textId="77777777" w:rsidTr="001515D5">
        <w:tc>
          <w:tcPr>
            <w:tcW w:w="3116" w:type="dxa"/>
            <w:vAlign w:val="bottom"/>
          </w:tcPr>
          <w:p w14:paraId="215AD250" w14:textId="77777777" w:rsidR="00576857" w:rsidRPr="000F5C65" w:rsidRDefault="00576857" w:rsidP="001515D5">
            <w:r w:rsidRPr="000F5C65">
              <w:t>2020</w:t>
            </w:r>
          </w:p>
        </w:tc>
        <w:tc>
          <w:tcPr>
            <w:tcW w:w="3117" w:type="dxa"/>
            <w:vAlign w:val="bottom"/>
          </w:tcPr>
          <w:p w14:paraId="34430AA6" w14:textId="77777777" w:rsidR="00576857" w:rsidRPr="000F5C65" w:rsidRDefault="00576857" w:rsidP="001515D5">
            <w:r w:rsidRPr="000F5C65">
              <w:t>70.5175</w:t>
            </w:r>
          </w:p>
        </w:tc>
        <w:tc>
          <w:tcPr>
            <w:tcW w:w="3117" w:type="dxa"/>
            <w:vAlign w:val="bottom"/>
          </w:tcPr>
          <w:p w14:paraId="0AFC5601" w14:textId="77777777" w:rsidR="00576857" w:rsidRPr="000F5C65" w:rsidRDefault="00576857" w:rsidP="001515D5">
            <w:r w:rsidRPr="000F5C65">
              <w:t>88.9</w:t>
            </w:r>
          </w:p>
        </w:tc>
      </w:tr>
      <w:tr w:rsidR="00576857" w14:paraId="320D00EE" w14:textId="77777777" w:rsidTr="001515D5">
        <w:tc>
          <w:tcPr>
            <w:tcW w:w="3116" w:type="dxa"/>
            <w:vAlign w:val="bottom"/>
          </w:tcPr>
          <w:p w14:paraId="6C0D4BE3" w14:textId="77777777" w:rsidR="00576857" w:rsidRPr="000F5C65" w:rsidRDefault="00576857" w:rsidP="001515D5">
            <w:r w:rsidRPr="000F5C65">
              <w:t>2021</w:t>
            </w:r>
          </w:p>
        </w:tc>
        <w:tc>
          <w:tcPr>
            <w:tcW w:w="3117" w:type="dxa"/>
            <w:vAlign w:val="bottom"/>
          </w:tcPr>
          <w:p w14:paraId="55253FB2" w14:textId="77777777" w:rsidR="00576857" w:rsidRPr="000F5C65" w:rsidRDefault="00576857" w:rsidP="001515D5">
            <w:r w:rsidRPr="000F5C65">
              <w:t>79.1329</w:t>
            </w:r>
          </w:p>
        </w:tc>
        <w:tc>
          <w:tcPr>
            <w:tcW w:w="3117" w:type="dxa"/>
            <w:vAlign w:val="bottom"/>
          </w:tcPr>
          <w:p w14:paraId="11096FA7" w14:textId="77777777" w:rsidR="00576857" w:rsidRPr="000F5C65" w:rsidRDefault="00576857" w:rsidP="001515D5">
            <w:r w:rsidRPr="000F5C65">
              <w:t>88.9</w:t>
            </w:r>
          </w:p>
        </w:tc>
      </w:tr>
    </w:tbl>
    <w:p w14:paraId="37E98B32" w14:textId="77777777" w:rsidR="00576857" w:rsidRDefault="00576857" w:rsidP="00576857">
      <w:r w:rsidRPr="000F5C65">
        <w:t>Source: South Carolina Pregnancy Risk Assessment Monitoring System (PRAMS), 2017-2021.</w:t>
      </w:r>
    </w:p>
    <w:p w14:paraId="4CBA6E5A" w14:textId="77777777" w:rsidR="00576857" w:rsidRDefault="00576857" w:rsidP="00576857"/>
    <w:p w14:paraId="158DC3C0" w14:textId="77777777" w:rsidR="00576857" w:rsidRDefault="00576857" w:rsidP="00576857">
      <w:pPr>
        <w:pStyle w:val="Heading4"/>
      </w:pPr>
      <w:bookmarkStart w:id="510" w:name="_Toc154576434"/>
      <w:bookmarkStart w:id="511" w:name="_Toc162267337"/>
      <w:r>
        <w:t>Figure 7.37: Infants Who Are Put to Sleep on Their Backs, by Maternal Race/Ethnicity and Age.</w:t>
      </w:r>
      <w:bookmarkEnd w:id="510"/>
      <w:bookmarkEnd w:id="511"/>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576857" w14:paraId="12BE2217" w14:textId="77777777" w:rsidTr="001515D5">
        <w:tc>
          <w:tcPr>
            <w:tcW w:w="1335" w:type="dxa"/>
            <w:vAlign w:val="bottom"/>
          </w:tcPr>
          <w:p w14:paraId="7A9B5445" w14:textId="77777777" w:rsidR="00576857" w:rsidRPr="000F5C65" w:rsidRDefault="00576857" w:rsidP="001515D5">
            <w:r>
              <w:t>Year</w:t>
            </w:r>
          </w:p>
        </w:tc>
        <w:tc>
          <w:tcPr>
            <w:tcW w:w="1335" w:type="dxa"/>
            <w:vAlign w:val="bottom"/>
          </w:tcPr>
          <w:p w14:paraId="33FCCBC2" w14:textId="77777777" w:rsidR="00576857" w:rsidRPr="000F5C65" w:rsidRDefault="00576857" w:rsidP="001515D5">
            <w:r w:rsidRPr="000F5C65">
              <w:t>&gt;35</w:t>
            </w:r>
          </w:p>
        </w:tc>
        <w:tc>
          <w:tcPr>
            <w:tcW w:w="1336" w:type="dxa"/>
            <w:vAlign w:val="bottom"/>
          </w:tcPr>
          <w:p w14:paraId="0421B283" w14:textId="77777777" w:rsidR="00576857" w:rsidRPr="000F5C65" w:rsidRDefault="00576857" w:rsidP="001515D5">
            <w:r w:rsidRPr="000F5C65">
              <w:t>25-34</w:t>
            </w:r>
          </w:p>
        </w:tc>
        <w:tc>
          <w:tcPr>
            <w:tcW w:w="1336" w:type="dxa"/>
            <w:vAlign w:val="bottom"/>
          </w:tcPr>
          <w:p w14:paraId="1BCA07AF" w14:textId="77777777" w:rsidR="00576857" w:rsidRPr="000F5C65" w:rsidRDefault="00576857" w:rsidP="001515D5">
            <w:r w:rsidRPr="000F5C65">
              <w:t>20-24</w:t>
            </w:r>
          </w:p>
        </w:tc>
        <w:tc>
          <w:tcPr>
            <w:tcW w:w="1336" w:type="dxa"/>
            <w:vAlign w:val="bottom"/>
          </w:tcPr>
          <w:p w14:paraId="309591FA" w14:textId="77777777" w:rsidR="00576857" w:rsidRPr="000F5C65" w:rsidRDefault="00576857" w:rsidP="001515D5">
            <w:r w:rsidRPr="000F5C65">
              <w:t>Hispanic</w:t>
            </w:r>
          </w:p>
        </w:tc>
        <w:tc>
          <w:tcPr>
            <w:tcW w:w="1336" w:type="dxa"/>
            <w:vAlign w:val="bottom"/>
          </w:tcPr>
          <w:p w14:paraId="750DEFA5" w14:textId="77777777" w:rsidR="00576857" w:rsidRPr="000F5C65" w:rsidRDefault="00576857" w:rsidP="001515D5">
            <w:r w:rsidRPr="000F5C65">
              <w:t>Non-Hispanic Black</w:t>
            </w:r>
          </w:p>
        </w:tc>
        <w:tc>
          <w:tcPr>
            <w:tcW w:w="1336" w:type="dxa"/>
            <w:vAlign w:val="bottom"/>
          </w:tcPr>
          <w:p w14:paraId="32AF8640" w14:textId="77777777" w:rsidR="00576857" w:rsidRPr="000F5C65" w:rsidRDefault="00576857" w:rsidP="001515D5">
            <w:r w:rsidRPr="000F5C65">
              <w:t>Non-Hispanic White</w:t>
            </w:r>
          </w:p>
        </w:tc>
      </w:tr>
      <w:tr w:rsidR="00576857" w14:paraId="0BA6F202" w14:textId="77777777" w:rsidTr="001515D5">
        <w:tc>
          <w:tcPr>
            <w:tcW w:w="1335" w:type="dxa"/>
            <w:vAlign w:val="bottom"/>
          </w:tcPr>
          <w:p w14:paraId="232E81DB" w14:textId="77777777" w:rsidR="00576857" w:rsidRPr="000F5C65" w:rsidRDefault="00576857" w:rsidP="001515D5">
            <w:r w:rsidRPr="000F5C65">
              <w:t>2017-2021</w:t>
            </w:r>
          </w:p>
        </w:tc>
        <w:tc>
          <w:tcPr>
            <w:tcW w:w="1335" w:type="dxa"/>
            <w:vAlign w:val="bottom"/>
          </w:tcPr>
          <w:p w14:paraId="4A387C8F" w14:textId="77777777" w:rsidR="00576857" w:rsidRPr="000F5C65" w:rsidRDefault="00576857" w:rsidP="001515D5">
            <w:r w:rsidRPr="000F5C65">
              <w:t>84.9%</w:t>
            </w:r>
          </w:p>
        </w:tc>
        <w:tc>
          <w:tcPr>
            <w:tcW w:w="1336" w:type="dxa"/>
            <w:vAlign w:val="bottom"/>
          </w:tcPr>
          <w:p w14:paraId="740F5728" w14:textId="77777777" w:rsidR="00576857" w:rsidRPr="000F5C65" w:rsidRDefault="00576857" w:rsidP="001515D5">
            <w:r w:rsidRPr="000F5C65">
              <w:t>74.7%</w:t>
            </w:r>
          </w:p>
        </w:tc>
        <w:tc>
          <w:tcPr>
            <w:tcW w:w="1336" w:type="dxa"/>
            <w:vAlign w:val="bottom"/>
          </w:tcPr>
          <w:p w14:paraId="0B8F983D" w14:textId="77777777" w:rsidR="00576857" w:rsidRPr="000F5C65" w:rsidRDefault="00576857" w:rsidP="001515D5">
            <w:r w:rsidRPr="000F5C65">
              <w:t>68.8%</w:t>
            </w:r>
          </w:p>
        </w:tc>
        <w:tc>
          <w:tcPr>
            <w:tcW w:w="1336" w:type="dxa"/>
            <w:vAlign w:val="bottom"/>
          </w:tcPr>
          <w:p w14:paraId="1ED015A2" w14:textId="77777777" w:rsidR="00576857" w:rsidRPr="000F5C65" w:rsidRDefault="00576857" w:rsidP="001515D5">
            <w:r w:rsidRPr="000F5C65">
              <w:t>71.1%</w:t>
            </w:r>
          </w:p>
        </w:tc>
        <w:tc>
          <w:tcPr>
            <w:tcW w:w="1336" w:type="dxa"/>
            <w:vAlign w:val="bottom"/>
          </w:tcPr>
          <w:p w14:paraId="2FDAA78B" w14:textId="77777777" w:rsidR="00576857" w:rsidRPr="000F5C65" w:rsidRDefault="00576857" w:rsidP="001515D5">
            <w:r w:rsidRPr="000F5C65">
              <w:t>63.8%</w:t>
            </w:r>
          </w:p>
        </w:tc>
        <w:tc>
          <w:tcPr>
            <w:tcW w:w="1336" w:type="dxa"/>
            <w:vAlign w:val="bottom"/>
          </w:tcPr>
          <w:p w14:paraId="725A421B" w14:textId="77777777" w:rsidR="00576857" w:rsidRPr="000F5C65" w:rsidRDefault="00576857" w:rsidP="001515D5">
            <w:r w:rsidRPr="000F5C65">
              <w:t>81.3%</w:t>
            </w:r>
          </w:p>
        </w:tc>
      </w:tr>
    </w:tbl>
    <w:p w14:paraId="0313A851" w14:textId="77777777" w:rsidR="00576857" w:rsidRDefault="00576857" w:rsidP="00576857">
      <w:r w:rsidRPr="00236CD8">
        <w:t>Source: South Carolina Pregnancy Risk Assessment Monitoring System (PRAMS), 2017-2021.</w:t>
      </w:r>
    </w:p>
    <w:p w14:paraId="6955F262" w14:textId="77777777" w:rsidR="00506CC7" w:rsidRPr="00506CC7" w:rsidRDefault="00506CC7" w:rsidP="00506CC7"/>
    <w:p w14:paraId="15710D0E" w14:textId="77777777" w:rsidR="00506CC7" w:rsidRDefault="00506CC7" w:rsidP="00506CC7">
      <w:pPr>
        <w:pStyle w:val="Heading4"/>
      </w:pPr>
      <w:bookmarkStart w:id="512" w:name="_Toc162267338"/>
      <w:r w:rsidRPr="00506CC7">
        <w:t>Data Interpretations:</w:t>
      </w:r>
      <w:bookmarkEnd w:id="512"/>
      <w:r w:rsidRPr="00506CC7">
        <w:t xml:space="preserve"> </w:t>
      </w:r>
    </w:p>
    <w:p w14:paraId="73586F88" w14:textId="150EFBBF" w:rsidR="00506CC7" w:rsidRPr="00506CC7" w:rsidRDefault="00506CC7" w:rsidP="00506CC7">
      <w:pPr>
        <w:rPr>
          <w:b/>
          <w:bCs/>
        </w:rPr>
      </w:pPr>
      <w:r w:rsidRPr="00506CC7">
        <w:t>In SC, the proportion of infants who are put to sleep exclusively on their backs has slightly increased from 73.8% in 2017 to 79.1% in 2021. However, this is still below the Healthy People 2030 goal of 88.9% (</w:t>
      </w:r>
      <w:r w:rsidRPr="00506CC7">
        <w:rPr>
          <w:b/>
          <w:bCs/>
        </w:rPr>
        <w:t>Figure 7.36</w:t>
      </w:r>
      <w:r w:rsidRPr="00506CC7">
        <w:t>). Furthermore, Non-Hispanic Black mothers report the lowest rate of placing their infants to sleep on their back (63.8%), followed by younger mothers 20-24 years of age (68.8%) (</w:t>
      </w:r>
      <w:r w:rsidRPr="00506CC7">
        <w:rPr>
          <w:b/>
          <w:bCs/>
        </w:rPr>
        <w:t>Figure 7.37</w:t>
      </w:r>
      <w:r w:rsidRPr="00506CC7">
        <w:t>). By following safe sleep guidelines, parents can lower the risk of SIDS and other causes of sleep-related infant death.</w:t>
      </w:r>
    </w:p>
    <w:p w14:paraId="0AE3F845" w14:textId="77777777" w:rsidR="00506CC7" w:rsidRDefault="00506CC7" w:rsidP="00506CC7"/>
    <w:p w14:paraId="7A1839D0" w14:textId="41D9629B" w:rsidR="00506CC7" w:rsidRDefault="00506CC7" w:rsidP="00506CC7">
      <w:pPr>
        <w:pStyle w:val="Heading5"/>
      </w:pPr>
      <w:r>
        <w:t>Key Takeaways:</w:t>
      </w:r>
    </w:p>
    <w:p w14:paraId="53F28775" w14:textId="77777777" w:rsidR="005253DC" w:rsidRDefault="00506CC7" w:rsidP="00926EB3">
      <w:pPr>
        <w:pStyle w:val="ListParagraph"/>
        <w:numPr>
          <w:ilvl w:val="0"/>
          <w:numId w:val="222"/>
        </w:numPr>
      </w:pPr>
      <w:r w:rsidRPr="00506CC7">
        <w:t xml:space="preserve">Non-Hispanic Black populations have the lowest rate of placing their infants to sleep on their back (63.8%). </w:t>
      </w:r>
    </w:p>
    <w:p w14:paraId="20254560" w14:textId="4D47BB8A" w:rsidR="00506CC7" w:rsidRPr="00506CC7" w:rsidRDefault="00506CC7" w:rsidP="00926EB3">
      <w:pPr>
        <w:pStyle w:val="ListParagraph"/>
        <w:numPr>
          <w:ilvl w:val="0"/>
          <w:numId w:val="222"/>
        </w:numPr>
      </w:pPr>
      <w:r w:rsidRPr="00506CC7">
        <w:t>By following safe sleep guidelines, parents can lower the risk of SIDS and other causes of sleep-related infant death.</w:t>
      </w:r>
    </w:p>
    <w:p w14:paraId="4F35CB00" w14:textId="77777777" w:rsidR="00506CC7" w:rsidRDefault="00506CC7" w:rsidP="00506CC7"/>
    <w:p w14:paraId="6880D3A8" w14:textId="78F9D5C7" w:rsidR="00506CC7" w:rsidRDefault="00506CC7" w:rsidP="00506CC7">
      <w:pPr>
        <w:pStyle w:val="Heading4"/>
        <w:rPr>
          <w:rFonts w:asciiTheme="minorHAnsi" w:hAnsiTheme="minorHAnsi" w:cstheme="minorHAnsi"/>
          <w:color w:val="000000" w:themeColor="text1"/>
        </w:rPr>
      </w:pPr>
      <w:bookmarkStart w:id="513" w:name="_Toc162267339"/>
      <w:r w:rsidRPr="00506CC7">
        <w:rPr>
          <w:rFonts w:asciiTheme="minorHAnsi" w:hAnsiTheme="minorHAnsi" w:cstheme="minorHAnsi"/>
          <w:color w:val="000000" w:themeColor="text1"/>
        </w:rPr>
        <w:t>References 7.</w:t>
      </w:r>
      <w:r>
        <w:rPr>
          <w:rFonts w:asciiTheme="minorHAnsi" w:hAnsiTheme="minorHAnsi" w:cstheme="minorHAnsi"/>
          <w:color w:val="000000" w:themeColor="text1"/>
        </w:rPr>
        <w:t>16</w:t>
      </w:r>
      <w:bookmarkEnd w:id="513"/>
      <w:r w:rsidRPr="00506CC7">
        <w:rPr>
          <w:rFonts w:asciiTheme="minorHAnsi" w:hAnsiTheme="minorHAnsi" w:cstheme="minorHAnsi"/>
          <w:color w:val="000000" w:themeColor="text1"/>
        </w:rPr>
        <w:t xml:space="preserve"> </w:t>
      </w:r>
    </w:p>
    <w:p w14:paraId="3144C0C1" w14:textId="77777777" w:rsidR="00506CC7" w:rsidRPr="00506CC7" w:rsidRDefault="00506CC7" w:rsidP="00506CC7">
      <w:pPr>
        <w:rPr>
          <w:i/>
          <w:iCs/>
        </w:rPr>
      </w:pPr>
      <w:r w:rsidRPr="00506CC7">
        <w:t>Statistics in the preceding section were referenced from the following reports:</w:t>
      </w:r>
    </w:p>
    <w:p w14:paraId="268F9847" w14:textId="77777777" w:rsidR="00506CC7" w:rsidRPr="00506CC7" w:rsidRDefault="00000000" w:rsidP="00926EB3">
      <w:pPr>
        <w:pStyle w:val="ListParagraph"/>
        <w:numPr>
          <w:ilvl w:val="0"/>
          <w:numId w:val="32"/>
        </w:numPr>
      </w:pPr>
      <w:hyperlink r:id="rId232" w:history="1">
        <w:r w:rsidR="00506CC7" w:rsidRPr="00506CC7">
          <w:rPr>
            <w:rStyle w:val="Hyperlink"/>
          </w:rPr>
          <w:t>“Infant Mortality, Maternal and Infant Health, Reproductive Health” by CDC via cdc.gov. Accessed June 21, 2023.</w:t>
        </w:r>
      </w:hyperlink>
      <w:r w:rsidR="00506CC7" w:rsidRPr="00506CC7">
        <w:t xml:space="preserve"> </w:t>
      </w:r>
    </w:p>
    <w:p w14:paraId="6DD1A885" w14:textId="77777777" w:rsidR="00506CC7" w:rsidRDefault="00000000" w:rsidP="00926EB3">
      <w:pPr>
        <w:pStyle w:val="ListParagraph"/>
        <w:numPr>
          <w:ilvl w:val="0"/>
          <w:numId w:val="32"/>
        </w:numPr>
      </w:pPr>
      <w:hyperlink r:id="rId233" w:history="1">
        <w:r w:rsidR="00506CC7" w:rsidRPr="00506CC7">
          <w:rPr>
            <w:rStyle w:val="Hyperlink"/>
          </w:rPr>
          <w:t>“Healthy People 2030” via health.gov. Accessed June 21, 2023.</w:t>
        </w:r>
      </w:hyperlink>
      <w:r w:rsidR="00506CC7" w:rsidRPr="00506CC7">
        <w:t xml:space="preserve"> </w:t>
      </w:r>
    </w:p>
    <w:p w14:paraId="3CA0071E" w14:textId="4E798136" w:rsidR="00506CC7" w:rsidRPr="00506CC7" w:rsidRDefault="00000000" w:rsidP="00926EB3">
      <w:pPr>
        <w:pStyle w:val="ListParagraph"/>
        <w:numPr>
          <w:ilvl w:val="0"/>
          <w:numId w:val="31"/>
        </w:numPr>
      </w:pPr>
      <w:hyperlink r:id="rId234" w:history="1">
        <w:r w:rsidR="00506CC7" w:rsidRPr="00506CC7">
          <w:rPr>
            <w:rStyle w:val="Hyperlink"/>
          </w:rPr>
          <w:t xml:space="preserve">“Safe Sleep for Babies, </w:t>
        </w:r>
        <w:proofErr w:type="spellStart"/>
        <w:r w:rsidR="00506CC7" w:rsidRPr="00506CC7">
          <w:rPr>
            <w:rStyle w:val="Hyperlink"/>
          </w:rPr>
          <w:t>VitalSigns</w:t>
        </w:r>
        <w:proofErr w:type="spellEnd"/>
        <w:r w:rsidR="00506CC7" w:rsidRPr="00506CC7">
          <w:rPr>
            <w:rStyle w:val="Hyperlink"/>
          </w:rPr>
          <w:t>” by CDC, via cdc.gov. Accessed June 21, 2023.</w:t>
        </w:r>
      </w:hyperlink>
      <w:r w:rsidR="00506CC7" w:rsidRPr="00506CC7">
        <w:t xml:space="preserve"> </w:t>
      </w:r>
    </w:p>
    <w:p w14:paraId="4433FC16" w14:textId="0A0CBCDD" w:rsidR="00506CC7" w:rsidRDefault="00000000" w:rsidP="00926EB3">
      <w:pPr>
        <w:pStyle w:val="ListParagraph"/>
        <w:numPr>
          <w:ilvl w:val="0"/>
          <w:numId w:val="31"/>
        </w:numPr>
      </w:pPr>
      <w:hyperlink r:id="rId235" w:history="1">
        <w:r w:rsidR="00506CC7" w:rsidRPr="00506CC7">
          <w:rPr>
            <w:rStyle w:val="Hyperlink"/>
          </w:rPr>
          <w:t>“Safe Sleep” by the American Academy of Pediatrics via aap.org. Accessed June 21, 2023.</w:t>
        </w:r>
      </w:hyperlink>
      <w:r w:rsidR="00506CC7" w:rsidRPr="00506CC7">
        <w:t xml:space="preserve"> </w:t>
      </w:r>
    </w:p>
    <w:p w14:paraId="25B62FE5" w14:textId="77777777" w:rsidR="00506CC7" w:rsidRDefault="00506CC7">
      <w:r>
        <w:br w:type="page"/>
      </w:r>
    </w:p>
    <w:p w14:paraId="06B705AC" w14:textId="15ACA27D" w:rsidR="00506CC7" w:rsidRDefault="00506CC7" w:rsidP="00506CC7">
      <w:pPr>
        <w:pStyle w:val="Heading2"/>
      </w:pPr>
      <w:bookmarkStart w:id="514" w:name="_Toc162267340"/>
      <w:r>
        <w:lastRenderedPageBreak/>
        <w:t>Chapter 8: Healthy Children and Adolescents</w:t>
      </w:r>
      <w:bookmarkEnd w:id="514"/>
    </w:p>
    <w:p w14:paraId="2CE754C7" w14:textId="77777777" w:rsidR="00506CC7" w:rsidRDefault="00506CC7" w:rsidP="00506CC7">
      <w:pPr>
        <w:pStyle w:val="Heading3"/>
      </w:pPr>
      <w:bookmarkStart w:id="515" w:name="_Toc162267341"/>
      <w:r>
        <w:t>Leading Causes of Hospitalizations and Deaths</w:t>
      </w:r>
      <w:bookmarkEnd w:id="515"/>
    </w:p>
    <w:p w14:paraId="4850CAD2" w14:textId="77777777" w:rsidR="00506CC7" w:rsidRPr="00506CC7" w:rsidRDefault="00506CC7" w:rsidP="00506CC7">
      <w:r w:rsidRPr="00506CC7">
        <w:t>Monitoring hospitalizations and deaths among children and adolescents is of utmost importance, as it yields invaluable insights into the health conditions that affect these specific populations. Through analysis of hospitalization and mortality data, targeted programs can be developed and implemented to effectively reduce the prevalence of preventable causes of hospitalization and death within these age groups.</w:t>
      </w:r>
    </w:p>
    <w:p w14:paraId="34A78633" w14:textId="77777777" w:rsidR="00506CC7" w:rsidRDefault="00506CC7" w:rsidP="00506CC7"/>
    <w:p w14:paraId="5E81ADE8" w14:textId="41BD90FF" w:rsidR="00506CC7" w:rsidRPr="00506CC7" w:rsidRDefault="00506CC7" w:rsidP="00506CC7">
      <w:r w:rsidRPr="00506CC7">
        <w:t>In the United States (US), the leading causes of hospitalization among children (aged 1-9) and adolescents (aged 10-17) exhibit notable differences: for children, pneumonia and asthma were found to be the primary causes of hospitalization, underscoring the significance of respiratory conditions in this age range.</w:t>
      </w:r>
      <w:r>
        <w:t xml:space="preserve"> </w:t>
      </w:r>
      <w:r w:rsidRPr="00506CC7">
        <w:t>Conversely, depressive disorders emerged as the leading cause of hospitalization among adolescents, highlighting the substantial impact of mental health issues experienced by those in middle and high school. While causes of hospitalizations diverge between children and adolescents, causes of death are similar within these two groups. Unintentional injuries were identified as the primary cause of death for both children and adolescents.</w:t>
      </w:r>
    </w:p>
    <w:p w14:paraId="79041C40" w14:textId="77777777" w:rsidR="00506CC7" w:rsidRDefault="00506CC7" w:rsidP="00506CC7"/>
    <w:p w14:paraId="7EC5EC72" w14:textId="28B6A425" w:rsidR="00506CC7" w:rsidRPr="00506CC7" w:rsidRDefault="00506CC7" w:rsidP="00506CC7">
      <w:r w:rsidRPr="00506CC7">
        <w:t>Understanding the leading causes of hospitalization and death in South Carolina (SC) for children and adolescents is crucial to helping inform public health interventions and policies. By examining hospitalization and mortality data, we can identify the key health challenges faced by these populations in SC. This understanding enables policymakers, healthcare providers, and public health officials to develop targeted strategies to address their specific needs.</w:t>
      </w:r>
    </w:p>
    <w:p w14:paraId="15D28B8E" w14:textId="2FD4990C" w:rsidR="00506CC7" w:rsidRDefault="00506CC7" w:rsidP="00506CC7">
      <w:pPr>
        <w:pStyle w:val="Heading3"/>
      </w:pPr>
    </w:p>
    <w:p w14:paraId="4649202B" w14:textId="77777777" w:rsidR="00576857" w:rsidRDefault="00576857" w:rsidP="00576857">
      <w:pPr>
        <w:pStyle w:val="Heading4"/>
      </w:pPr>
      <w:bookmarkStart w:id="516" w:name="_Toc162267342"/>
      <w:r w:rsidRPr="00750EB7">
        <w:t>Table 8.1: Leading Hospitalizations in Children Aged 1-17, by Inpatient Discharge Primary Diagnoses and Age Group</w:t>
      </w:r>
      <w:r>
        <w:t>.</w:t>
      </w:r>
      <w:bookmarkEnd w:id="516"/>
    </w:p>
    <w:p w14:paraId="7E63F4D3" w14:textId="77777777" w:rsidR="00576857" w:rsidRDefault="00576857" w:rsidP="00576857">
      <w:pPr>
        <w:pStyle w:val="Heading5"/>
      </w:pPr>
      <w:r>
        <w:t>By rank, Descending.</w:t>
      </w:r>
    </w:p>
    <w:tbl>
      <w:tblPr>
        <w:tblStyle w:val="TableGrid"/>
        <w:tblW w:w="0" w:type="auto"/>
        <w:tblLook w:val="04A0" w:firstRow="1" w:lastRow="0" w:firstColumn="1" w:lastColumn="0" w:noHBand="0" w:noVBand="1"/>
      </w:tblPr>
      <w:tblGrid>
        <w:gridCol w:w="1520"/>
        <w:gridCol w:w="1988"/>
        <w:gridCol w:w="1842"/>
        <w:gridCol w:w="1842"/>
        <w:gridCol w:w="2158"/>
      </w:tblGrid>
      <w:tr w:rsidR="00576857" w14:paraId="2EF59172" w14:textId="77777777" w:rsidTr="001515D5">
        <w:tc>
          <w:tcPr>
            <w:tcW w:w="1520" w:type="dxa"/>
          </w:tcPr>
          <w:p w14:paraId="5BB42F5F" w14:textId="77777777" w:rsidR="00576857" w:rsidRPr="00750EB7" w:rsidRDefault="00576857" w:rsidP="001515D5">
            <w:r w:rsidRPr="00750EB7">
              <w:t>Rank</w:t>
            </w:r>
          </w:p>
        </w:tc>
        <w:tc>
          <w:tcPr>
            <w:tcW w:w="1988" w:type="dxa"/>
            <w:vAlign w:val="bottom"/>
          </w:tcPr>
          <w:p w14:paraId="2A8A3EEF" w14:textId="77777777" w:rsidR="00576857" w:rsidRPr="00750EB7" w:rsidRDefault="00576857" w:rsidP="001515D5">
            <w:r w:rsidRPr="00750EB7">
              <w:t>Ages 1-4</w:t>
            </w:r>
          </w:p>
        </w:tc>
        <w:tc>
          <w:tcPr>
            <w:tcW w:w="1842" w:type="dxa"/>
            <w:vAlign w:val="bottom"/>
          </w:tcPr>
          <w:p w14:paraId="149D0E20" w14:textId="77777777" w:rsidR="00576857" w:rsidRPr="00750EB7" w:rsidRDefault="00576857" w:rsidP="001515D5">
            <w:r w:rsidRPr="00750EB7">
              <w:t>Ages 5-9</w:t>
            </w:r>
          </w:p>
        </w:tc>
        <w:tc>
          <w:tcPr>
            <w:tcW w:w="1842" w:type="dxa"/>
            <w:vAlign w:val="bottom"/>
          </w:tcPr>
          <w:p w14:paraId="6833970C" w14:textId="77777777" w:rsidR="00576857" w:rsidRPr="00750EB7" w:rsidRDefault="00576857" w:rsidP="001515D5">
            <w:r w:rsidRPr="00750EB7">
              <w:t>Ages 10-14</w:t>
            </w:r>
          </w:p>
        </w:tc>
        <w:tc>
          <w:tcPr>
            <w:tcW w:w="2158" w:type="dxa"/>
            <w:vAlign w:val="bottom"/>
          </w:tcPr>
          <w:p w14:paraId="1E3694C2" w14:textId="77777777" w:rsidR="00576857" w:rsidRPr="00750EB7" w:rsidRDefault="00576857" w:rsidP="001515D5">
            <w:r w:rsidRPr="00750EB7">
              <w:t>Ages 15-17</w:t>
            </w:r>
          </w:p>
        </w:tc>
      </w:tr>
      <w:tr w:rsidR="00576857" w14:paraId="71C2E772" w14:textId="77777777" w:rsidTr="001515D5">
        <w:tc>
          <w:tcPr>
            <w:tcW w:w="1520" w:type="dxa"/>
          </w:tcPr>
          <w:p w14:paraId="1DD99A62" w14:textId="77777777" w:rsidR="00576857" w:rsidRPr="00750EB7" w:rsidRDefault="00576857" w:rsidP="001515D5">
            <w:r>
              <w:t>1</w:t>
            </w:r>
          </w:p>
        </w:tc>
        <w:tc>
          <w:tcPr>
            <w:tcW w:w="1988" w:type="dxa"/>
            <w:vAlign w:val="bottom"/>
          </w:tcPr>
          <w:p w14:paraId="40045E85" w14:textId="77777777" w:rsidR="00576857" w:rsidRPr="00750EB7" w:rsidRDefault="00576857" w:rsidP="001515D5">
            <w:r w:rsidRPr="00750EB7">
              <w:t>Acute bronchiolitis</w:t>
            </w:r>
          </w:p>
        </w:tc>
        <w:tc>
          <w:tcPr>
            <w:tcW w:w="1842" w:type="dxa"/>
            <w:vAlign w:val="bottom"/>
          </w:tcPr>
          <w:p w14:paraId="02AAE1A5" w14:textId="77777777" w:rsidR="00576857" w:rsidRPr="00750EB7" w:rsidRDefault="00576857" w:rsidP="001515D5">
            <w:r w:rsidRPr="00750EB7">
              <w:t>Encounter for other aftercare</w:t>
            </w:r>
          </w:p>
        </w:tc>
        <w:tc>
          <w:tcPr>
            <w:tcW w:w="1842" w:type="dxa"/>
            <w:vAlign w:val="bottom"/>
          </w:tcPr>
          <w:p w14:paraId="709F3BCC" w14:textId="77777777" w:rsidR="00576857" w:rsidRPr="00750EB7" w:rsidRDefault="00576857" w:rsidP="001515D5">
            <w:r w:rsidRPr="00750EB7">
              <w:t>Encounter for other aftercare</w:t>
            </w:r>
          </w:p>
        </w:tc>
        <w:tc>
          <w:tcPr>
            <w:tcW w:w="2158" w:type="dxa"/>
            <w:vAlign w:val="bottom"/>
          </w:tcPr>
          <w:p w14:paraId="27C5FE8B" w14:textId="77777777" w:rsidR="00576857" w:rsidRPr="00750EB7" w:rsidRDefault="00576857" w:rsidP="001515D5">
            <w:r w:rsidRPr="00750EB7">
              <w:t>Major depressive disorder, single episode</w:t>
            </w:r>
          </w:p>
        </w:tc>
      </w:tr>
      <w:tr w:rsidR="00576857" w14:paraId="751FAA13" w14:textId="77777777" w:rsidTr="001515D5">
        <w:tc>
          <w:tcPr>
            <w:tcW w:w="1520" w:type="dxa"/>
          </w:tcPr>
          <w:p w14:paraId="5D35EF28" w14:textId="77777777" w:rsidR="00576857" w:rsidRPr="00750EB7" w:rsidRDefault="00576857" w:rsidP="001515D5">
            <w:r>
              <w:lastRenderedPageBreak/>
              <w:t>2</w:t>
            </w:r>
          </w:p>
        </w:tc>
        <w:tc>
          <w:tcPr>
            <w:tcW w:w="1988" w:type="dxa"/>
            <w:vAlign w:val="bottom"/>
          </w:tcPr>
          <w:p w14:paraId="7924BD33" w14:textId="77777777" w:rsidR="00576857" w:rsidRPr="00750EB7" w:rsidRDefault="00576857" w:rsidP="001515D5">
            <w:r w:rsidRPr="00750EB7">
              <w:t>Asthma</w:t>
            </w:r>
          </w:p>
        </w:tc>
        <w:tc>
          <w:tcPr>
            <w:tcW w:w="1842" w:type="dxa"/>
            <w:vAlign w:val="bottom"/>
          </w:tcPr>
          <w:p w14:paraId="117B4E68" w14:textId="77777777" w:rsidR="00576857" w:rsidRPr="00750EB7" w:rsidRDefault="00576857" w:rsidP="001515D5">
            <w:r w:rsidRPr="00750EB7">
              <w:t>Asthma</w:t>
            </w:r>
          </w:p>
        </w:tc>
        <w:tc>
          <w:tcPr>
            <w:tcW w:w="1842" w:type="dxa"/>
            <w:vAlign w:val="bottom"/>
          </w:tcPr>
          <w:p w14:paraId="427BAF71" w14:textId="77777777" w:rsidR="00576857" w:rsidRPr="00750EB7" w:rsidRDefault="00576857" w:rsidP="001515D5">
            <w:r w:rsidRPr="00750EB7">
              <w:t>Major depressive disorder, single episode</w:t>
            </w:r>
          </w:p>
        </w:tc>
        <w:tc>
          <w:tcPr>
            <w:tcW w:w="2158" w:type="dxa"/>
            <w:vAlign w:val="bottom"/>
          </w:tcPr>
          <w:p w14:paraId="1E065CB7" w14:textId="77777777" w:rsidR="00576857" w:rsidRPr="00750EB7" w:rsidRDefault="00576857" w:rsidP="001515D5">
            <w:r w:rsidRPr="00750EB7">
              <w:t>Major depressive disorder, recurrent</w:t>
            </w:r>
          </w:p>
        </w:tc>
      </w:tr>
      <w:tr w:rsidR="00576857" w14:paraId="767D8143" w14:textId="77777777" w:rsidTr="001515D5">
        <w:tc>
          <w:tcPr>
            <w:tcW w:w="1520" w:type="dxa"/>
          </w:tcPr>
          <w:p w14:paraId="5ACC93AF" w14:textId="77777777" w:rsidR="00576857" w:rsidRPr="00750EB7" w:rsidRDefault="00576857" w:rsidP="001515D5">
            <w:r>
              <w:t>3</w:t>
            </w:r>
          </w:p>
        </w:tc>
        <w:tc>
          <w:tcPr>
            <w:tcW w:w="1988" w:type="dxa"/>
            <w:vAlign w:val="bottom"/>
          </w:tcPr>
          <w:p w14:paraId="754A9948" w14:textId="77777777" w:rsidR="00576857" w:rsidRPr="00750EB7" w:rsidRDefault="00576857" w:rsidP="001515D5">
            <w:r w:rsidRPr="00750EB7">
              <w:t>Encounter for other aftercare</w:t>
            </w:r>
          </w:p>
        </w:tc>
        <w:tc>
          <w:tcPr>
            <w:tcW w:w="1842" w:type="dxa"/>
            <w:vAlign w:val="bottom"/>
          </w:tcPr>
          <w:p w14:paraId="49E750E6" w14:textId="77777777" w:rsidR="00576857" w:rsidRPr="00750EB7" w:rsidRDefault="00576857" w:rsidP="001515D5">
            <w:r w:rsidRPr="00750EB7">
              <w:t>Acute appendicitis</w:t>
            </w:r>
          </w:p>
        </w:tc>
        <w:tc>
          <w:tcPr>
            <w:tcW w:w="1842" w:type="dxa"/>
            <w:vAlign w:val="bottom"/>
          </w:tcPr>
          <w:p w14:paraId="4A17570E" w14:textId="77777777" w:rsidR="00576857" w:rsidRPr="00750EB7" w:rsidRDefault="00576857" w:rsidP="001515D5">
            <w:r w:rsidRPr="00750EB7">
              <w:t>Type 1 diabetes mellitus</w:t>
            </w:r>
          </w:p>
        </w:tc>
        <w:tc>
          <w:tcPr>
            <w:tcW w:w="2158" w:type="dxa"/>
            <w:vAlign w:val="bottom"/>
          </w:tcPr>
          <w:p w14:paraId="7C738335" w14:textId="77777777" w:rsidR="00576857" w:rsidRPr="00750EB7" w:rsidRDefault="00576857" w:rsidP="001515D5">
            <w:r w:rsidRPr="00750EB7">
              <w:t>Type 1 diabetes mellitus</w:t>
            </w:r>
          </w:p>
        </w:tc>
      </w:tr>
      <w:tr w:rsidR="00576857" w14:paraId="04FC771F" w14:textId="77777777" w:rsidTr="001515D5">
        <w:tc>
          <w:tcPr>
            <w:tcW w:w="1520" w:type="dxa"/>
          </w:tcPr>
          <w:p w14:paraId="47D4CEAA" w14:textId="77777777" w:rsidR="00576857" w:rsidRPr="00750EB7" w:rsidRDefault="00576857" w:rsidP="001515D5">
            <w:r>
              <w:t>4</w:t>
            </w:r>
          </w:p>
        </w:tc>
        <w:tc>
          <w:tcPr>
            <w:tcW w:w="1988" w:type="dxa"/>
            <w:vAlign w:val="bottom"/>
          </w:tcPr>
          <w:p w14:paraId="4A093C2E" w14:textId="77777777" w:rsidR="00576857" w:rsidRPr="00750EB7" w:rsidRDefault="00576857" w:rsidP="001515D5">
            <w:r w:rsidRPr="00750EB7">
              <w:t>Pneumonia, unspecified organism</w:t>
            </w:r>
          </w:p>
        </w:tc>
        <w:tc>
          <w:tcPr>
            <w:tcW w:w="1842" w:type="dxa"/>
            <w:vAlign w:val="bottom"/>
          </w:tcPr>
          <w:p w14:paraId="5F56842E" w14:textId="77777777" w:rsidR="00576857" w:rsidRPr="00750EB7" w:rsidRDefault="00576857" w:rsidP="001515D5">
            <w:r w:rsidRPr="00750EB7">
              <w:t>Epilepsy and recurrent seizures</w:t>
            </w:r>
          </w:p>
        </w:tc>
        <w:tc>
          <w:tcPr>
            <w:tcW w:w="1842" w:type="dxa"/>
            <w:vAlign w:val="bottom"/>
          </w:tcPr>
          <w:p w14:paraId="1519BFE4" w14:textId="77777777" w:rsidR="00576857" w:rsidRPr="00750EB7" w:rsidRDefault="00576857" w:rsidP="001515D5">
            <w:r w:rsidRPr="00750EB7">
              <w:t>Major depressive disorder, recurrent</w:t>
            </w:r>
          </w:p>
        </w:tc>
        <w:tc>
          <w:tcPr>
            <w:tcW w:w="2158" w:type="dxa"/>
            <w:vAlign w:val="bottom"/>
          </w:tcPr>
          <w:p w14:paraId="17E345E1" w14:textId="77777777" w:rsidR="00576857" w:rsidRPr="00750EB7" w:rsidRDefault="00576857" w:rsidP="001515D5">
            <w:r w:rsidRPr="00750EB7">
              <w:t>Oth</w:t>
            </w:r>
            <w:r>
              <w:t>er</w:t>
            </w:r>
            <w:r w:rsidRPr="00750EB7">
              <w:t xml:space="preserve"> maternal diseases </w:t>
            </w:r>
            <w:r>
              <w:t>and pregnancy complications</w:t>
            </w:r>
          </w:p>
        </w:tc>
      </w:tr>
      <w:tr w:rsidR="00576857" w14:paraId="7877CF1C" w14:textId="77777777" w:rsidTr="001515D5">
        <w:tc>
          <w:tcPr>
            <w:tcW w:w="1520" w:type="dxa"/>
          </w:tcPr>
          <w:p w14:paraId="6472A472" w14:textId="77777777" w:rsidR="00576857" w:rsidRPr="00750EB7" w:rsidRDefault="00576857" w:rsidP="001515D5">
            <w:r>
              <w:t>5</w:t>
            </w:r>
          </w:p>
        </w:tc>
        <w:tc>
          <w:tcPr>
            <w:tcW w:w="1988" w:type="dxa"/>
            <w:vAlign w:val="bottom"/>
          </w:tcPr>
          <w:p w14:paraId="1D1B8E7F" w14:textId="77777777" w:rsidR="00576857" w:rsidRPr="00750EB7" w:rsidRDefault="00576857" w:rsidP="001515D5">
            <w:r w:rsidRPr="00750EB7">
              <w:t>Epilepsy and recurrent seizures</w:t>
            </w:r>
          </w:p>
        </w:tc>
        <w:tc>
          <w:tcPr>
            <w:tcW w:w="1842" w:type="dxa"/>
            <w:vAlign w:val="bottom"/>
          </w:tcPr>
          <w:p w14:paraId="453652E3" w14:textId="77777777" w:rsidR="00576857" w:rsidRPr="00750EB7" w:rsidRDefault="00576857" w:rsidP="001515D5">
            <w:r w:rsidRPr="00750EB7">
              <w:t>Sickle-cell disorders</w:t>
            </w:r>
          </w:p>
        </w:tc>
        <w:tc>
          <w:tcPr>
            <w:tcW w:w="1842" w:type="dxa"/>
            <w:vAlign w:val="bottom"/>
          </w:tcPr>
          <w:p w14:paraId="5016A382" w14:textId="77777777" w:rsidR="00576857" w:rsidRPr="00750EB7" w:rsidRDefault="00576857" w:rsidP="001515D5">
            <w:r w:rsidRPr="00750EB7">
              <w:t>Acute appendicitis</w:t>
            </w:r>
          </w:p>
        </w:tc>
        <w:tc>
          <w:tcPr>
            <w:tcW w:w="2158" w:type="dxa"/>
            <w:vAlign w:val="bottom"/>
          </w:tcPr>
          <w:p w14:paraId="0F8B924A" w14:textId="77777777" w:rsidR="00576857" w:rsidRPr="00750EB7" w:rsidRDefault="00576857" w:rsidP="001515D5">
            <w:r w:rsidRPr="00750EB7">
              <w:t>Sickle-cell disorders</w:t>
            </w:r>
          </w:p>
        </w:tc>
      </w:tr>
    </w:tbl>
    <w:p w14:paraId="27516826" w14:textId="77777777" w:rsidR="00576857" w:rsidRDefault="00576857" w:rsidP="00576857">
      <w:r w:rsidRPr="00750EB7">
        <w:t>Source: SC Revenue and Fiscal Affairs Office, Health and Demographics, 2019- 2020.</w:t>
      </w:r>
    </w:p>
    <w:p w14:paraId="0282FBFF" w14:textId="77777777" w:rsidR="00576857" w:rsidRPr="00750EB7" w:rsidRDefault="00576857" w:rsidP="00576857"/>
    <w:p w14:paraId="791540C2" w14:textId="77777777" w:rsidR="00576857" w:rsidRDefault="00576857" w:rsidP="00576857">
      <w:pPr>
        <w:pStyle w:val="Heading4"/>
      </w:pPr>
      <w:bookmarkStart w:id="517" w:name="_Toc154576436"/>
      <w:bookmarkStart w:id="518" w:name="_Toc162267343"/>
      <w:r>
        <w:t>Figure 8.1: Leading Causes of Death in Children Aged 1-17.</w:t>
      </w:r>
      <w:bookmarkEnd w:id="517"/>
      <w:bookmarkEnd w:id="518"/>
    </w:p>
    <w:p w14:paraId="3F625334" w14:textId="3C10E657" w:rsidR="00576857" w:rsidRDefault="007A7C83" w:rsidP="00576857">
      <w:pPr>
        <w:pStyle w:val="Heading5"/>
      </w:pPr>
      <w:r>
        <w:t>Percent</w:t>
      </w:r>
      <w:r w:rsidR="00576857">
        <w:t xml:space="preserve"> per 100,000 population.</w:t>
      </w:r>
    </w:p>
    <w:tbl>
      <w:tblPr>
        <w:tblStyle w:val="TableGrid"/>
        <w:tblW w:w="0" w:type="auto"/>
        <w:tblLook w:val="04A0" w:firstRow="1" w:lastRow="0" w:firstColumn="1" w:lastColumn="0" w:noHBand="0" w:noVBand="1"/>
      </w:tblPr>
      <w:tblGrid>
        <w:gridCol w:w="4675"/>
        <w:gridCol w:w="4675"/>
      </w:tblGrid>
      <w:tr w:rsidR="00576857" w14:paraId="4830FA6B" w14:textId="77777777" w:rsidTr="001515D5">
        <w:tc>
          <w:tcPr>
            <w:tcW w:w="4675" w:type="dxa"/>
            <w:vAlign w:val="bottom"/>
          </w:tcPr>
          <w:p w14:paraId="3A1ECDFA" w14:textId="77777777" w:rsidR="00576857" w:rsidRPr="00750EB7" w:rsidRDefault="00576857" w:rsidP="001515D5">
            <w:r>
              <w:t>Cause of Death</w:t>
            </w:r>
          </w:p>
        </w:tc>
        <w:tc>
          <w:tcPr>
            <w:tcW w:w="4675" w:type="dxa"/>
            <w:vAlign w:val="bottom"/>
          </w:tcPr>
          <w:p w14:paraId="4AD0D2BA" w14:textId="5A6D5982" w:rsidR="00576857" w:rsidRPr="00750EB7" w:rsidRDefault="007A7C83" w:rsidP="001515D5">
            <w:r>
              <w:t>Percent</w:t>
            </w:r>
          </w:p>
        </w:tc>
      </w:tr>
      <w:tr w:rsidR="00576857" w14:paraId="3991BC52" w14:textId="77777777" w:rsidTr="001515D5">
        <w:tc>
          <w:tcPr>
            <w:tcW w:w="4675" w:type="dxa"/>
            <w:vAlign w:val="bottom"/>
          </w:tcPr>
          <w:p w14:paraId="1A03B457" w14:textId="77777777" w:rsidR="00576857" w:rsidRPr="00750EB7" w:rsidRDefault="00576857" w:rsidP="001515D5">
            <w:r w:rsidRPr="00750EB7">
              <w:t>Unintentional Injuries</w:t>
            </w:r>
          </w:p>
        </w:tc>
        <w:tc>
          <w:tcPr>
            <w:tcW w:w="4675" w:type="dxa"/>
            <w:vAlign w:val="bottom"/>
          </w:tcPr>
          <w:p w14:paraId="1B2A1C70" w14:textId="300FC6FD" w:rsidR="00576857" w:rsidRPr="00750EB7" w:rsidRDefault="00576857" w:rsidP="001515D5">
            <w:r w:rsidRPr="00750EB7">
              <w:t>34.3</w:t>
            </w:r>
            <w:r w:rsidR="007A7C83">
              <w:t>%</w:t>
            </w:r>
          </w:p>
        </w:tc>
      </w:tr>
      <w:tr w:rsidR="00576857" w14:paraId="4B349AF7" w14:textId="77777777" w:rsidTr="001515D5">
        <w:tc>
          <w:tcPr>
            <w:tcW w:w="4675" w:type="dxa"/>
            <w:vAlign w:val="bottom"/>
          </w:tcPr>
          <w:p w14:paraId="26F26225" w14:textId="77777777" w:rsidR="00576857" w:rsidRPr="00750EB7" w:rsidRDefault="00576857" w:rsidP="001515D5">
            <w:r w:rsidRPr="00750EB7">
              <w:t>Homicide</w:t>
            </w:r>
          </w:p>
        </w:tc>
        <w:tc>
          <w:tcPr>
            <w:tcW w:w="4675" w:type="dxa"/>
            <w:vAlign w:val="bottom"/>
          </w:tcPr>
          <w:p w14:paraId="3BABDC70" w14:textId="6851ADED" w:rsidR="00576857" w:rsidRPr="00750EB7" w:rsidRDefault="00576857" w:rsidP="001515D5">
            <w:r w:rsidRPr="00750EB7">
              <w:t>14.5</w:t>
            </w:r>
            <w:r w:rsidR="007A7C83">
              <w:t>%</w:t>
            </w:r>
          </w:p>
        </w:tc>
      </w:tr>
      <w:tr w:rsidR="00576857" w14:paraId="4E4E7DE5" w14:textId="77777777" w:rsidTr="001515D5">
        <w:tc>
          <w:tcPr>
            <w:tcW w:w="4675" w:type="dxa"/>
            <w:vAlign w:val="bottom"/>
          </w:tcPr>
          <w:p w14:paraId="3C29CD3F" w14:textId="77777777" w:rsidR="00576857" w:rsidRPr="00750EB7" w:rsidRDefault="00576857" w:rsidP="001515D5">
            <w:r w:rsidRPr="00750EB7">
              <w:t>Suicide</w:t>
            </w:r>
          </w:p>
        </w:tc>
        <w:tc>
          <w:tcPr>
            <w:tcW w:w="4675" w:type="dxa"/>
            <w:vAlign w:val="bottom"/>
          </w:tcPr>
          <w:p w14:paraId="2AB3C9B9" w14:textId="208A4B05" w:rsidR="00576857" w:rsidRPr="00750EB7" w:rsidRDefault="00576857" w:rsidP="001515D5">
            <w:r w:rsidRPr="00750EB7">
              <w:t>10.6</w:t>
            </w:r>
            <w:r w:rsidR="007A7C83">
              <w:t>%</w:t>
            </w:r>
          </w:p>
        </w:tc>
      </w:tr>
      <w:tr w:rsidR="00576857" w14:paraId="275A3D12" w14:textId="77777777" w:rsidTr="001515D5">
        <w:tc>
          <w:tcPr>
            <w:tcW w:w="4675" w:type="dxa"/>
            <w:vAlign w:val="bottom"/>
          </w:tcPr>
          <w:p w14:paraId="3440A32B" w14:textId="77777777" w:rsidR="00576857" w:rsidRPr="00750EB7" w:rsidRDefault="00576857" w:rsidP="001515D5">
            <w:r w:rsidRPr="00750EB7">
              <w:t>Cancer</w:t>
            </w:r>
          </w:p>
        </w:tc>
        <w:tc>
          <w:tcPr>
            <w:tcW w:w="4675" w:type="dxa"/>
            <w:vAlign w:val="bottom"/>
          </w:tcPr>
          <w:p w14:paraId="2EC06E75" w14:textId="6F7FC4B4" w:rsidR="00576857" w:rsidRPr="00750EB7" w:rsidRDefault="00576857" w:rsidP="001515D5">
            <w:r w:rsidRPr="00750EB7">
              <w:t>8.5</w:t>
            </w:r>
            <w:r w:rsidR="007A7C83">
              <w:t>%</w:t>
            </w:r>
          </w:p>
        </w:tc>
      </w:tr>
    </w:tbl>
    <w:p w14:paraId="4BE5A8B7" w14:textId="77777777" w:rsidR="00576857" w:rsidRPr="00750EB7" w:rsidRDefault="00576857" w:rsidP="00576857">
      <w:r w:rsidRPr="00750EB7">
        <w:t xml:space="preserve">Source: SC Vital Statistics, 2017-2021. </w:t>
      </w:r>
    </w:p>
    <w:p w14:paraId="448651C4" w14:textId="77777777" w:rsidR="00576857" w:rsidRPr="00750EB7" w:rsidRDefault="00576857" w:rsidP="00576857">
      <w:r w:rsidRPr="00750EB7">
        <w:t>Note: population for year 2021 based on single-race estimates and for years prior based on bridge-race estimates.</w:t>
      </w:r>
    </w:p>
    <w:p w14:paraId="6768748B" w14:textId="77777777" w:rsidR="00CF1BB1" w:rsidRPr="00CF1BB1" w:rsidRDefault="00CF1BB1" w:rsidP="00CF1BB1"/>
    <w:p w14:paraId="21CE0B7B" w14:textId="77777777" w:rsidR="00CF1BB1" w:rsidRPr="00CF1BB1" w:rsidRDefault="00CF1BB1" w:rsidP="00CF1BB1">
      <w:bookmarkStart w:id="519" w:name="_Toc162267344"/>
      <w:r w:rsidRPr="00CF1BB1">
        <w:rPr>
          <w:rStyle w:val="Heading4Char"/>
        </w:rPr>
        <w:t>Data Interpretations:</w:t>
      </w:r>
      <w:bookmarkEnd w:id="519"/>
      <w:r w:rsidRPr="00CF1BB1">
        <w:t xml:space="preserve"> </w:t>
      </w:r>
    </w:p>
    <w:p w14:paraId="0187A94C" w14:textId="065FBC78" w:rsidR="00CF1BB1" w:rsidRDefault="00CF1BB1" w:rsidP="00CF1BB1">
      <w:r w:rsidRPr="00CF1BB1">
        <w:t>The leading cause of hospitalizations in SC varies by age, with those ages 1-4 years being hospitalized due to acute bronchiolitis, those 5-9 and 10-14 years due to encounter for other aftercare, and those 15-17 years due to major depressive disorder (</w:t>
      </w:r>
      <w:r w:rsidRPr="00CF1BB1">
        <w:rPr>
          <w:b/>
          <w:bCs/>
        </w:rPr>
        <w:t>Table 8.1</w:t>
      </w:r>
      <w:r w:rsidRPr="00CF1BB1">
        <w:t>). Among children and adolescents, unintentional injuries were the leading cause of death, constituting 34% of all fatalities. This surpasses the combined occurrence of the subsequent three leading causes: homicide (14.5%), suicide (10.6%), and cancer (8.5%) (</w:t>
      </w:r>
      <w:r w:rsidRPr="00CF1BB1">
        <w:rPr>
          <w:b/>
          <w:bCs/>
        </w:rPr>
        <w:t>Figure 8.1</w:t>
      </w:r>
      <w:r w:rsidRPr="00CF1BB1">
        <w:t>).</w:t>
      </w:r>
    </w:p>
    <w:p w14:paraId="314E02BA" w14:textId="77777777" w:rsidR="00CF1BB1" w:rsidRDefault="00CF1BB1" w:rsidP="00CF1BB1"/>
    <w:p w14:paraId="4D12179B" w14:textId="7511CD1F" w:rsidR="00CF1BB1" w:rsidRDefault="00CF1BB1" w:rsidP="00CF1BB1">
      <w:pPr>
        <w:pStyle w:val="Heading5"/>
      </w:pPr>
      <w:r>
        <w:lastRenderedPageBreak/>
        <w:t xml:space="preserve">Key Takeaway: </w:t>
      </w:r>
    </w:p>
    <w:p w14:paraId="3F313933" w14:textId="77777777" w:rsidR="00CF1BB1" w:rsidRPr="00CF1BB1" w:rsidRDefault="00CF1BB1" w:rsidP="00926EB3">
      <w:pPr>
        <w:pStyle w:val="ListParagraph"/>
        <w:numPr>
          <w:ilvl w:val="0"/>
          <w:numId w:val="223"/>
        </w:numPr>
      </w:pPr>
      <w:r w:rsidRPr="00CF1BB1">
        <w:t>Among children and adolescents, unintentional injuries were the leading cause of death, constituting 34% of all fatalities, surpassing the combined occurrence of the subsequent three leading causes: homicide (14.5%), suicide (10.6%), and cancer (8.5%).</w:t>
      </w:r>
    </w:p>
    <w:p w14:paraId="0F8F8178" w14:textId="77777777" w:rsidR="00CF1BB1" w:rsidRDefault="00CF1BB1" w:rsidP="00CF1BB1"/>
    <w:p w14:paraId="0B78CB7D" w14:textId="3C83813E" w:rsidR="00CF1BB1" w:rsidRDefault="00506CC7" w:rsidP="00CF1BB1">
      <w:pPr>
        <w:pStyle w:val="Heading4"/>
        <w:rPr>
          <w:rFonts w:asciiTheme="minorHAnsi" w:hAnsiTheme="minorHAnsi" w:cstheme="minorHAnsi"/>
          <w:color w:val="000000" w:themeColor="text1"/>
        </w:rPr>
      </w:pPr>
      <w:bookmarkStart w:id="520" w:name="_Toc162267345"/>
      <w:r w:rsidRPr="00506CC7">
        <w:rPr>
          <w:rFonts w:asciiTheme="minorHAnsi" w:hAnsiTheme="minorHAnsi" w:cstheme="minorHAnsi"/>
          <w:color w:val="000000" w:themeColor="text1"/>
        </w:rPr>
        <w:t xml:space="preserve">References </w:t>
      </w:r>
      <w:r w:rsidR="00CF1BB1">
        <w:rPr>
          <w:rFonts w:asciiTheme="minorHAnsi" w:hAnsiTheme="minorHAnsi" w:cstheme="minorHAnsi"/>
          <w:color w:val="000000" w:themeColor="text1"/>
        </w:rPr>
        <w:t>8.1</w:t>
      </w:r>
      <w:bookmarkEnd w:id="520"/>
    </w:p>
    <w:p w14:paraId="34233FB8" w14:textId="77777777" w:rsidR="00CF1BB1" w:rsidRPr="00506CC7" w:rsidRDefault="00CF1BB1" w:rsidP="00CF1BB1">
      <w:pPr>
        <w:rPr>
          <w:i/>
          <w:iCs/>
        </w:rPr>
      </w:pPr>
      <w:r w:rsidRPr="00506CC7">
        <w:t>Statistics in the preceding section were referenced from the following reports:</w:t>
      </w:r>
    </w:p>
    <w:p w14:paraId="2999C48B" w14:textId="04981B24" w:rsidR="00056587" w:rsidRPr="00056587" w:rsidRDefault="00056587" w:rsidP="00926EB3">
      <w:pPr>
        <w:pStyle w:val="ListParagraph"/>
        <w:numPr>
          <w:ilvl w:val="0"/>
          <w:numId w:val="35"/>
        </w:numPr>
      </w:pPr>
      <w:r>
        <w:t>“</w:t>
      </w:r>
      <w:r w:rsidRPr="00056587">
        <w:t>Overview of Hospital Stays Among Children and Adolescents, 2019</w:t>
      </w:r>
      <w:r>
        <w:t xml:space="preserve">” by </w:t>
      </w:r>
      <w:r w:rsidRPr="00056587">
        <w:t>Weiss AJ, Liang L, Martin K. Published online 2019.</w:t>
      </w:r>
      <w:r>
        <w:t xml:space="preserve"> No hyperlink.</w:t>
      </w:r>
    </w:p>
    <w:p w14:paraId="0B15D47A" w14:textId="483B5CD1" w:rsidR="00056587" w:rsidRPr="00056587" w:rsidRDefault="00000000" w:rsidP="00926EB3">
      <w:pPr>
        <w:pStyle w:val="ListParagraph"/>
        <w:numPr>
          <w:ilvl w:val="0"/>
          <w:numId w:val="35"/>
        </w:numPr>
        <w:rPr>
          <w:u w:val="thick"/>
        </w:rPr>
      </w:pPr>
      <w:hyperlink r:id="rId236" w:history="1">
        <w:r w:rsidR="00056587" w:rsidRPr="00056587">
          <w:rPr>
            <w:rStyle w:val="Hyperlink"/>
          </w:rPr>
          <w:t>“</w:t>
        </w:r>
        <w:proofErr w:type="spellStart"/>
        <w:r w:rsidR="00056587" w:rsidRPr="00056587">
          <w:rPr>
            <w:rStyle w:val="Hyperlink"/>
          </w:rPr>
          <w:t>FastStats</w:t>
        </w:r>
        <w:proofErr w:type="spellEnd"/>
        <w:r w:rsidR="00056587" w:rsidRPr="00056587">
          <w:rPr>
            <w:rStyle w:val="Hyperlink"/>
          </w:rPr>
          <w:t xml:space="preserve"> — Child Health” by CDC via cdc.gov. Accessed June 21, 2023.</w:t>
        </w:r>
      </w:hyperlink>
      <w:r w:rsidR="00056587" w:rsidRPr="00056587">
        <w:t xml:space="preserve"> </w:t>
      </w:r>
    </w:p>
    <w:p w14:paraId="3E55254E" w14:textId="4F11F0C9" w:rsidR="00CF1BB1" w:rsidRPr="00056587" w:rsidRDefault="00000000" w:rsidP="00926EB3">
      <w:pPr>
        <w:pStyle w:val="ListParagraph"/>
        <w:numPr>
          <w:ilvl w:val="0"/>
          <w:numId w:val="35"/>
        </w:numPr>
        <w:rPr>
          <w:u w:val="thick"/>
        </w:rPr>
      </w:pPr>
      <w:hyperlink r:id="rId237" w:history="1">
        <w:r w:rsidR="00056587" w:rsidRPr="00056587">
          <w:rPr>
            <w:rStyle w:val="Hyperlink"/>
          </w:rPr>
          <w:t>“</w:t>
        </w:r>
        <w:proofErr w:type="spellStart"/>
        <w:r w:rsidR="00056587" w:rsidRPr="00056587">
          <w:rPr>
            <w:rStyle w:val="Hyperlink"/>
          </w:rPr>
          <w:t>FastStats</w:t>
        </w:r>
        <w:proofErr w:type="spellEnd"/>
        <w:r w:rsidR="00056587" w:rsidRPr="00056587">
          <w:rPr>
            <w:rStyle w:val="Hyperlink"/>
          </w:rPr>
          <w:t xml:space="preserve"> — Adolescent Health” by CDC via cdc.gov. Accessed June 21, 2023.</w:t>
        </w:r>
      </w:hyperlink>
      <w:r w:rsidR="00056587" w:rsidRPr="00056587">
        <w:t xml:space="preserve"> </w:t>
      </w:r>
    </w:p>
    <w:p w14:paraId="1CFDAB6B" w14:textId="77777777" w:rsidR="00056587" w:rsidRPr="00CF1BB1" w:rsidRDefault="00056587" w:rsidP="00056587"/>
    <w:p w14:paraId="566B4306" w14:textId="4EDEB7D5" w:rsidR="00CF1BB1" w:rsidRPr="00CF1BB1" w:rsidRDefault="00CF1BB1" w:rsidP="00CF1BB1">
      <w:pPr>
        <w:pStyle w:val="Heading3"/>
      </w:pPr>
      <w:bookmarkStart w:id="521" w:name="_Toc162267346"/>
      <w:r w:rsidRPr="00CF1BB1">
        <w:t>Injuries and Injury-Related Deaths: Drownings</w:t>
      </w:r>
      <w:bookmarkEnd w:id="521"/>
    </w:p>
    <w:p w14:paraId="3C12B64B" w14:textId="18045CD0" w:rsidR="00CF1BB1" w:rsidRPr="00CF1BB1" w:rsidRDefault="00CF1BB1" w:rsidP="00CF1BB1">
      <w:r w:rsidRPr="00CF1BB1">
        <w:t xml:space="preserve">Every year in the US, approximately 4,000 people die from unintentional drowning, with nearly 900 of them under the age of 19. In the US, more children ages 1-4 die from drowning than any other cause of death, and drownings are the second cause of unintentional-injury deaths for children ages 5-14. Drowning is not always fatal. People who experience a nonfatal drowning incident can have a wide range of outcomes, from no injury to very serious injuries such as brain damage or permanent disability. Nearly 40% of drownings in the US treated in emergency departments (ED) require hospitalizations or transfers for further care.  </w:t>
      </w:r>
    </w:p>
    <w:p w14:paraId="5EE48217" w14:textId="77777777" w:rsidR="00CF1BB1" w:rsidRDefault="00CF1BB1" w:rsidP="00CF1BB1"/>
    <w:p w14:paraId="707E722E" w14:textId="7CA4E691" w:rsidR="00506CC7" w:rsidRDefault="00CF1BB1" w:rsidP="00CF1BB1">
      <w:proofErr w:type="gramStart"/>
      <w:r w:rsidRPr="00CF1BB1">
        <w:t>Overall</w:t>
      </w:r>
      <w:proofErr w:type="gramEnd"/>
      <w:r w:rsidRPr="00CF1BB1">
        <w:t xml:space="preserve"> in the US, male children are at a higher risk for drowning, with more than twice the death rate of female children. Rates of drowning deaths are higher for Black and Native Hawaiian or Other Pacific Islander children and adolescents. Additionally, children and adolescents in the South generally have higher rates of drowning deaths compared to those in other US regions.</w:t>
      </w:r>
    </w:p>
    <w:p w14:paraId="5407CD66" w14:textId="77777777" w:rsidR="00CF1BB1" w:rsidRDefault="00CF1BB1" w:rsidP="00CF1BB1"/>
    <w:p w14:paraId="7BBEC5C7" w14:textId="77777777" w:rsidR="00576857" w:rsidRDefault="00576857" w:rsidP="00576857">
      <w:pPr>
        <w:pStyle w:val="Heading4"/>
      </w:pPr>
      <w:bookmarkStart w:id="522" w:name="_Toc154576437"/>
      <w:bookmarkStart w:id="523" w:name="_Toc162267347"/>
      <w:r>
        <w:t>Figure 8.2: Unintentional Drowning Mortality in Children Aged 1-17, by Age Group.</w:t>
      </w:r>
      <w:bookmarkEnd w:id="522"/>
      <w:bookmarkEnd w:id="523"/>
    </w:p>
    <w:p w14:paraId="60B64B71" w14:textId="77777777" w:rsidR="00576857" w:rsidRDefault="00576857" w:rsidP="00576857">
      <w:pPr>
        <w:pStyle w:val="Heading5"/>
      </w:pPr>
      <w:r>
        <w:t>Rate per 100,000 population.</w:t>
      </w:r>
    </w:p>
    <w:tbl>
      <w:tblPr>
        <w:tblStyle w:val="TableGrid"/>
        <w:tblW w:w="0" w:type="auto"/>
        <w:tblLook w:val="04A0" w:firstRow="1" w:lastRow="0" w:firstColumn="1" w:lastColumn="0" w:noHBand="0" w:noVBand="1"/>
      </w:tblPr>
      <w:tblGrid>
        <w:gridCol w:w="4675"/>
        <w:gridCol w:w="4675"/>
      </w:tblGrid>
      <w:tr w:rsidR="00576857" w14:paraId="0A74D3FF" w14:textId="77777777" w:rsidTr="001515D5">
        <w:tc>
          <w:tcPr>
            <w:tcW w:w="4675" w:type="dxa"/>
            <w:vAlign w:val="bottom"/>
          </w:tcPr>
          <w:p w14:paraId="4C791A52" w14:textId="77777777" w:rsidR="00576857" w:rsidRPr="00750EB7" w:rsidRDefault="00576857" w:rsidP="001515D5">
            <w:r w:rsidRPr="00750EB7">
              <w:t xml:space="preserve"> </w:t>
            </w:r>
            <w:r>
              <w:t>Age Group</w:t>
            </w:r>
          </w:p>
        </w:tc>
        <w:tc>
          <w:tcPr>
            <w:tcW w:w="4675" w:type="dxa"/>
            <w:vAlign w:val="bottom"/>
          </w:tcPr>
          <w:p w14:paraId="5CF3A7AF" w14:textId="77777777" w:rsidR="00576857" w:rsidRPr="00750EB7" w:rsidRDefault="00576857" w:rsidP="001515D5">
            <w:r>
              <w:t>Rate</w:t>
            </w:r>
          </w:p>
        </w:tc>
      </w:tr>
      <w:tr w:rsidR="00576857" w14:paraId="5E6FFE11" w14:textId="77777777" w:rsidTr="001515D5">
        <w:tc>
          <w:tcPr>
            <w:tcW w:w="4675" w:type="dxa"/>
            <w:vAlign w:val="bottom"/>
          </w:tcPr>
          <w:p w14:paraId="3EF594EF" w14:textId="77777777" w:rsidR="00576857" w:rsidRPr="00750EB7" w:rsidRDefault="00576857" w:rsidP="001515D5">
            <w:r w:rsidRPr="00750EB7">
              <w:t>1 - 4</w:t>
            </w:r>
          </w:p>
        </w:tc>
        <w:tc>
          <w:tcPr>
            <w:tcW w:w="4675" w:type="dxa"/>
            <w:vAlign w:val="bottom"/>
          </w:tcPr>
          <w:p w14:paraId="6E5F709C" w14:textId="77777777" w:rsidR="00576857" w:rsidRPr="00750EB7" w:rsidRDefault="00576857" w:rsidP="001515D5">
            <w:r w:rsidRPr="00750EB7">
              <w:t>2.9</w:t>
            </w:r>
          </w:p>
        </w:tc>
      </w:tr>
      <w:tr w:rsidR="00576857" w14:paraId="6859ED14" w14:textId="77777777" w:rsidTr="001515D5">
        <w:tc>
          <w:tcPr>
            <w:tcW w:w="4675" w:type="dxa"/>
            <w:vAlign w:val="bottom"/>
          </w:tcPr>
          <w:p w14:paraId="0972B383" w14:textId="77777777" w:rsidR="00576857" w:rsidRPr="00750EB7" w:rsidRDefault="00576857" w:rsidP="001515D5">
            <w:r w:rsidRPr="00750EB7">
              <w:t>5 - 9</w:t>
            </w:r>
          </w:p>
        </w:tc>
        <w:tc>
          <w:tcPr>
            <w:tcW w:w="4675" w:type="dxa"/>
            <w:vAlign w:val="bottom"/>
          </w:tcPr>
          <w:p w14:paraId="105D5A32" w14:textId="77777777" w:rsidR="00576857" w:rsidRPr="00750EB7" w:rsidRDefault="00576857" w:rsidP="001515D5">
            <w:r w:rsidRPr="00750EB7">
              <w:t>0.7</w:t>
            </w:r>
          </w:p>
        </w:tc>
      </w:tr>
      <w:tr w:rsidR="00576857" w14:paraId="0982475B" w14:textId="77777777" w:rsidTr="001515D5">
        <w:tc>
          <w:tcPr>
            <w:tcW w:w="4675" w:type="dxa"/>
            <w:vAlign w:val="bottom"/>
          </w:tcPr>
          <w:p w14:paraId="5CE90BF4" w14:textId="77777777" w:rsidR="00576857" w:rsidRPr="00750EB7" w:rsidRDefault="00576857" w:rsidP="001515D5">
            <w:r w:rsidRPr="00750EB7">
              <w:t>10 - 14</w:t>
            </w:r>
          </w:p>
        </w:tc>
        <w:tc>
          <w:tcPr>
            <w:tcW w:w="4675" w:type="dxa"/>
            <w:vAlign w:val="bottom"/>
          </w:tcPr>
          <w:p w14:paraId="737C7ADC" w14:textId="77777777" w:rsidR="00576857" w:rsidRPr="00750EB7" w:rsidRDefault="00576857" w:rsidP="001515D5">
            <w:r>
              <w:t>*</w:t>
            </w:r>
          </w:p>
        </w:tc>
      </w:tr>
      <w:tr w:rsidR="00576857" w14:paraId="6DFA16B8" w14:textId="77777777" w:rsidTr="001515D5">
        <w:tc>
          <w:tcPr>
            <w:tcW w:w="4675" w:type="dxa"/>
            <w:vAlign w:val="bottom"/>
          </w:tcPr>
          <w:p w14:paraId="65F82414" w14:textId="77777777" w:rsidR="00576857" w:rsidRPr="00750EB7" w:rsidRDefault="00576857" w:rsidP="001515D5">
            <w:r w:rsidRPr="00750EB7">
              <w:lastRenderedPageBreak/>
              <w:t>15 - 17</w:t>
            </w:r>
          </w:p>
        </w:tc>
        <w:tc>
          <w:tcPr>
            <w:tcW w:w="4675" w:type="dxa"/>
            <w:vAlign w:val="bottom"/>
          </w:tcPr>
          <w:p w14:paraId="7B8D120A" w14:textId="77777777" w:rsidR="00576857" w:rsidRPr="00750EB7" w:rsidRDefault="00576857" w:rsidP="001515D5">
            <w:r w:rsidRPr="00750EB7">
              <w:t>1.5</w:t>
            </w:r>
          </w:p>
        </w:tc>
      </w:tr>
    </w:tbl>
    <w:p w14:paraId="2E46923F" w14:textId="77777777" w:rsidR="00576857" w:rsidRPr="00750EB7" w:rsidRDefault="00576857" w:rsidP="00576857">
      <w:r w:rsidRPr="00750EB7">
        <w:t xml:space="preserve">Source: SC DHEC Vital Statistics, 2017- 2021. </w:t>
      </w:r>
    </w:p>
    <w:p w14:paraId="64654909" w14:textId="77777777" w:rsidR="00576857" w:rsidRDefault="00576857" w:rsidP="00576857">
      <w:r w:rsidRPr="00750EB7">
        <w:t>Note: Excludes water transport; rates denoted with a * are suppressed due to counts &lt; 5; population for year 2021 based on single-race estimates and for years prior based on bridge-race estimates.</w:t>
      </w:r>
    </w:p>
    <w:p w14:paraId="39356C88" w14:textId="77777777" w:rsidR="00576857" w:rsidRPr="00750EB7" w:rsidRDefault="00576857" w:rsidP="00576857"/>
    <w:p w14:paraId="1CAFC96B" w14:textId="77777777" w:rsidR="00576857" w:rsidRDefault="00576857" w:rsidP="00576857">
      <w:pPr>
        <w:pStyle w:val="Heading4"/>
      </w:pPr>
      <w:bookmarkStart w:id="524" w:name="_Toc154576438"/>
      <w:bookmarkStart w:id="525" w:name="_Toc162267348"/>
      <w:r>
        <w:t>Figure 8.3: Unintentional Drowning Mortality in Children Aged 1-17, by Sex.</w:t>
      </w:r>
      <w:bookmarkEnd w:id="524"/>
      <w:bookmarkEnd w:id="525"/>
    </w:p>
    <w:p w14:paraId="1ECEDDF9" w14:textId="77777777" w:rsidR="00576857" w:rsidRPr="009D7FE2" w:rsidRDefault="00576857" w:rsidP="00576857">
      <w:pPr>
        <w:pStyle w:val="Heading5"/>
      </w:pPr>
      <w:r>
        <w:t>Rate per 100,000 population.</w:t>
      </w:r>
    </w:p>
    <w:tbl>
      <w:tblPr>
        <w:tblStyle w:val="TableGrid"/>
        <w:tblW w:w="0" w:type="auto"/>
        <w:tblLook w:val="04A0" w:firstRow="1" w:lastRow="0" w:firstColumn="1" w:lastColumn="0" w:noHBand="0" w:noVBand="1"/>
      </w:tblPr>
      <w:tblGrid>
        <w:gridCol w:w="3116"/>
        <w:gridCol w:w="3117"/>
        <w:gridCol w:w="3117"/>
      </w:tblGrid>
      <w:tr w:rsidR="00576857" w14:paraId="0A8C61C8" w14:textId="77777777" w:rsidTr="001515D5">
        <w:tc>
          <w:tcPr>
            <w:tcW w:w="3116" w:type="dxa"/>
            <w:vAlign w:val="bottom"/>
          </w:tcPr>
          <w:p w14:paraId="0126539B" w14:textId="77777777" w:rsidR="00576857" w:rsidRPr="00750EB7" w:rsidRDefault="00576857" w:rsidP="001515D5">
            <w:r w:rsidRPr="00750EB7">
              <w:t xml:space="preserve"> </w:t>
            </w:r>
            <w:r>
              <w:t>Sex</w:t>
            </w:r>
          </w:p>
        </w:tc>
        <w:tc>
          <w:tcPr>
            <w:tcW w:w="3117" w:type="dxa"/>
            <w:vAlign w:val="bottom"/>
          </w:tcPr>
          <w:p w14:paraId="366212FD" w14:textId="77777777" w:rsidR="00576857" w:rsidRPr="00750EB7" w:rsidRDefault="00576857" w:rsidP="001515D5">
            <w:r w:rsidRPr="00750EB7">
              <w:t>South Carolina</w:t>
            </w:r>
          </w:p>
        </w:tc>
        <w:tc>
          <w:tcPr>
            <w:tcW w:w="3117" w:type="dxa"/>
            <w:vAlign w:val="bottom"/>
          </w:tcPr>
          <w:p w14:paraId="6B7F37CB" w14:textId="77777777" w:rsidR="00576857" w:rsidRPr="00750EB7" w:rsidRDefault="00576857" w:rsidP="001515D5">
            <w:r w:rsidRPr="00750EB7">
              <w:t>United States</w:t>
            </w:r>
          </w:p>
        </w:tc>
      </w:tr>
      <w:tr w:rsidR="00576857" w14:paraId="10E613A1" w14:textId="77777777" w:rsidTr="001515D5">
        <w:tc>
          <w:tcPr>
            <w:tcW w:w="3116" w:type="dxa"/>
            <w:vAlign w:val="bottom"/>
          </w:tcPr>
          <w:p w14:paraId="468FF2DF" w14:textId="77777777" w:rsidR="00576857" w:rsidRPr="00750EB7" w:rsidRDefault="00576857" w:rsidP="001515D5">
            <w:r w:rsidRPr="00750EB7">
              <w:t>Male</w:t>
            </w:r>
          </w:p>
        </w:tc>
        <w:tc>
          <w:tcPr>
            <w:tcW w:w="3117" w:type="dxa"/>
            <w:vAlign w:val="bottom"/>
          </w:tcPr>
          <w:p w14:paraId="1B653E37" w14:textId="77777777" w:rsidR="00576857" w:rsidRPr="00750EB7" w:rsidRDefault="00576857" w:rsidP="001515D5">
            <w:r w:rsidRPr="00750EB7">
              <w:t>1.9</w:t>
            </w:r>
          </w:p>
        </w:tc>
        <w:tc>
          <w:tcPr>
            <w:tcW w:w="3117" w:type="dxa"/>
            <w:vAlign w:val="bottom"/>
          </w:tcPr>
          <w:p w14:paraId="1610785C" w14:textId="77777777" w:rsidR="00576857" w:rsidRPr="00750EB7" w:rsidRDefault="00576857" w:rsidP="001515D5">
            <w:r w:rsidRPr="00750EB7">
              <w:t>1.5</w:t>
            </w:r>
          </w:p>
        </w:tc>
      </w:tr>
      <w:tr w:rsidR="00576857" w14:paraId="2DA59B33" w14:textId="77777777" w:rsidTr="001515D5">
        <w:tc>
          <w:tcPr>
            <w:tcW w:w="3116" w:type="dxa"/>
            <w:vAlign w:val="bottom"/>
          </w:tcPr>
          <w:p w14:paraId="658BAF6C" w14:textId="77777777" w:rsidR="00576857" w:rsidRPr="00750EB7" w:rsidRDefault="00576857" w:rsidP="001515D5">
            <w:r w:rsidRPr="00750EB7">
              <w:t>Female</w:t>
            </w:r>
          </w:p>
        </w:tc>
        <w:tc>
          <w:tcPr>
            <w:tcW w:w="3117" w:type="dxa"/>
            <w:vAlign w:val="bottom"/>
          </w:tcPr>
          <w:p w14:paraId="3AD5BB52" w14:textId="77777777" w:rsidR="00576857" w:rsidRPr="00750EB7" w:rsidRDefault="00576857" w:rsidP="001515D5">
            <w:r w:rsidRPr="00750EB7">
              <w:t>0.5</w:t>
            </w:r>
          </w:p>
        </w:tc>
        <w:tc>
          <w:tcPr>
            <w:tcW w:w="3117" w:type="dxa"/>
            <w:vAlign w:val="bottom"/>
          </w:tcPr>
          <w:p w14:paraId="348000A5" w14:textId="77777777" w:rsidR="00576857" w:rsidRPr="00750EB7" w:rsidRDefault="00576857" w:rsidP="001515D5">
            <w:r w:rsidRPr="00750EB7">
              <w:t>0.7</w:t>
            </w:r>
          </w:p>
        </w:tc>
      </w:tr>
    </w:tbl>
    <w:p w14:paraId="453FC486" w14:textId="77777777" w:rsidR="00576857" w:rsidRPr="00750EB7" w:rsidRDefault="00576857" w:rsidP="00576857">
      <w:r w:rsidRPr="00750EB7">
        <w:t xml:space="preserve">Source: SC DHEC Vital Statistics, 2017- 2021. United States data come from CDC WONDER. </w:t>
      </w:r>
    </w:p>
    <w:p w14:paraId="3A633015" w14:textId="77777777" w:rsidR="00576857" w:rsidRPr="00750EB7" w:rsidRDefault="00576857" w:rsidP="00576857">
      <w:r w:rsidRPr="00750EB7">
        <w:t>Note: Excludes water transport; population for year 2021 based on single-race estimates and for years prior based on bridge-race estimates.</w:t>
      </w:r>
    </w:p>
    <w:p w14:paraId="47F740D0" w14:textId="77777777" w:rsidR="00CF1BB1" w:rsidRDefault="00CF1BB1" w:rsidP="00CF1BB1"/>
    <w:p w14:paraId="74475F18" w14:textId="77777777" w:rsidR="00CF1BB1" w:rsidRDefault="00CF1BB1" w:rsidP="00CF1BB1">
      <w:pPr>
        <w:rPr>
          <w:b/>
          <w:bCs/>
        </w:rPr>
      </w:pPr>
      <w:bookmarkStart w:id="526" w:name="_Toc162267349"/>
      <w:r w:rsidRPr="00CF1BB1">
        <w:rPr>
          <w:rStyle w:val="Heading4Char"/>
        </w:rPr>
        <w:t>Data Interpretations:</w:t>
      </w:r>
      <w:bookmarkEnd w:id="526"/>
      <w:r w:rsidRPr="00CF1BB1">
        <w:rPr>
          <w:b/>
          <w:bCs/>
        </w:rPr>
        <w:t xml:space="preserve"> </w:t>
      </w:r>
    </w:p>
    <w:p w14:paraId="531E8816" w14:textId="1FA45C4F" w:rsidR="00CF1BB1" w:rsidRPr="00CF1BB1" w:rsidRDefault="00CF1BB1" w:rsidP="00CF1BB1">
      <w:r w:rsidRPr="00CF1BB1">
        <w:t xml:space="preserve">From 2017-2021, drowning was the </w:t>
      </w:r>
      <w:r w:rsidR="006D4802">
        <w:t>second</w:t>
      </w:r>
      <w:r w:rsidRPr="00CF1BB1">
        <w:t>-leading cause of unintentional-injury death in SC children ages 1 to 9. From 2017-2021, SC children ages 1 to 4 had an unintentional-drowning mortality rate of 2.9 drownings per 100,000 population, which is over more than four times as high than children ages 5 to 9 and 10 to 14 (</w:t>
      </w:r>
      <w:r w:rsidRPr="00CF1BB1">
        <w:rPr>
          <w:b/>
          <w:bCs/>
        </w:rPr>
        <w:t>Figure 8.2</w:t>
      </w:r>
      <w:r w:rsidRPr="00CF1BB1">
        <w:t>). The second-highest drowning mortality rates were in children ages 15 to 17 (1.5 drownings per 100,000 population) (</w:t>
      </w:r>
      <w:r w:rsidRPr="00CF1BB1">
        <w:rPr>
          <w:b/>
          <w:bCs/>
        </w:rPr>
        <w:t>Figure 8.2</w:t>
      </w:r>
      <w:r w:rsidRPr="00CF1BB1">
        <w:t>). SC male children had higher rates of unintentional drowning compared to females. From 2017-2021, SC male children died from unintentional drowning at a rate of 1.9 drownings per 100,000 population, compared to SC female children with a rate of 0.5 drownings per 100,000 population (</w:t>
      </w:r>
      <w:r w:rsidRPr="00CF1BB1">
        <w:rPr>
          <w:b/>
          <w:bCs/>
        </w:rPr>
        <w:t>Figure 8.3</w:t>
      </w:r>
      <w:r w:rsidRPr="00CF1BB1">
        <w:t>). According to the SC Revenue and Fiscal Affairs Office (RFA), from 2019-2021 the most common location of nonfatal, unintentional-drowning-related ED visits among children ages 1 to 17 was in a swimming pool.</w:t>
      </w:r>
    </w:p>
    <w:p w14:paraId="4C172AA9" w14:textId="77777777" w:rsidR="00CF1BB1" w:rsidRPr="00CF1BB1" w:rsidRDefault="00CF1BB1" w:rsidP="00CF1BB1"/>
    <w:p w14:paraId="1698E7E9" w14:textId="33E3E2D0" w:rsidR="00CF1BB1" w:rsidRDefault="00CF1BB1" w:rsidP="00CF1BB1">
      <w:pPr>
        <w:pStyle w:val="Heading5"/>
      </w:pPr>
      <w:r>
        <w:t>Key Takeaways:</w:t>
      </w:r>
    </w:p>
    <w:p w14:paraId="1DBDF729" w14:textId="3B62FD88" w:rsidR="00CF1BB1" w:rsidRPr="00CF1BB1" w:rsidRDefault="00CF1BB1" w:rsidP="00926EB3">
      <w:pPr>
        <w:pStyle w:val="ListParagraph"/>
        <w:numPr>
          <w:ilvl w:val="0"/>
          <w:numId w:val="223"/>
        </w:numPr>
      </w:pPr>
      <w:r w:rsidRPr="00CF1BB1">
        <w:t xml:space="preserve">Drowning is a leading cause of death for South Carolina children ages 1-14. </w:t>
      </w:r>
    </w:p>
    <w:p w14:paraId="3CDAEEC2" w14:textId="5F2FA241" w:rsidR="00CF1BB1" w:rsidRDefault="00CF1BB1" w:rsidP="00506CC7"/>
    <w:p w14:paraId="360657D4" w14:textId="11C89224" w:rsidR="00CF1BB1" w:rsidRDefault="00506CC7" w:rsidP="00CF1BB1">
      <w:pPr>
        <w:pStyle w:val="Heading4"/>
        <w:rPr>
          <w:rFonts w:asciiTheme="minorHAnsi" w:hAnsiTheme="minorHAnsi" w:cstheme="minorHAnsi"/>
          <w:color w:val="000000" w:themeColor="text1"/>
        </w:rPr>
      </w:pPr>
      <w:bookmarkStart w:id="527" w:name="_Toc162267350"/>
      <w:r w:rsidRPr="00506CC7">
        <w:rPr>
          <w:rFonts w:asciiTheme="minorHAnsi" w:hAnsiTheme="minorHAnsi" w:cstheme="minorHAnsi"/>
          <w:color w:val="000000" w:themeColor="text1"/>
        </w:rPr>
        <w:t xml:space="preserve">References </w:t>
      </w:r>
      <w:r w:rsidR="00CF1BB1">
        <w:rPr>
          <w:rFonts w:asciiTheme="minorHAnsi" w:hAnsiTheme="minorHAnsi" w:cstheme="minorHAnsi"/>
          <w:color w:val="000000" w:themeColor="text1"/>
        </w:rPr>
        <w:t>8.2</w:t>
      </w:r>
      <w:bookmarkEnd w:id="527"/>
      <w:r w:rsidR="00CF1BB1">
        <w:rPr>
          <w:rFonts w:asciiTheme="minorHAnsi" w:hAnsiTheme="minorHAnsi" w:cstheme="minorHAnsi"/>
          <w:color w:val="000000" w:themeColor="text1"/>
        </w:rPr>
        <w:t xml:space="preserve"> </w:t>
      </w:r>
    </w:p>
    <w:p w14:paraId="2C642134" w14:textId="77777777" w:rsidR="00CF1BB1" w:rsidRPr="00506CC7" w:rsidRDefault="00CF1BB1" w:rsidP="00CF1BB1">
      <w:pPr>
        <w:rPr>
          <w:i/>
          <w:iCs/>
        </w:rPr>
      </w:pPr>
      <w:r w:rsidRPr="00506CC7">
        <w:t>Statistics in the preceding section were referenced from the following reports:</w:t>
      </w:r>
    </w:p>
    <w:p w14:paraId="36DECA69" w14:textId="568AA3DE" w:rsidR="00056587" w:rsidRPr="00056587" w:rsidRDefault="00056587" w:rsidP="00926EB3">
      <w:pPr>
        <w:pStyle w:val="ListParagraph"/>
        <w:numPr>
          <w:ilvl w:val="0"/>
          <w:numId w:val="35"/>
        </w:numPr>
      </w:pPr>
      <w:r>
        <w:lastRenderedPageBreak/>
        <w:t>“</w:t>
      </w:r>
      <w:r w:rsidRPr="00056587">
        <w:t>National Vital Statistics System, Mortality 2018-2021</w:t>
      </w:r>
      <w:r>
        <w:t>” by the</w:t>
      </w:r>
      <w:r w:rsidRPr="00056587">
        <w:t xml:space="preserve"> National Center for Health Statistics, Centers for Disease Control and Prevention. </w:t>
      </w:r>
      <w:r>
        <w:t>Published</w:t>
      </w:r>
      <w:r w:rsidRPr="00056587">
        <w:t xml:space="preserve"> on CDC WONDER Online Database, 2021.</w:t>
      </w:r>
      <w:r>
        <w:t xml:space="preserve"> No hyperlink.</w:t>
      </w:r>
    </w:p>
    <w:p w14:paraId="1C07F2AB" w14:textId="4324AEA9" w:rsidR="00056587" w:rsidRPr="00056587" w:rsidRDefault="00000000" w:rsidP="00926EB3">
      <w:pPr>
        <w:pStyle w:val="ListParagraph"/>
        <w:numPr>
          <w:ilvl w:val="0"/>
          <w:numId w:val="35"/>
        </w:numPr>
        <w:rPr>
          <w:u w:val="thick"/>
        </w:rPr>
      </w:pPr>
      <w:hyperlink r:id="rId238" w:history="1">
        <w:r w:rsidR="00056587" w:rsidRPr="00056587">
          <w:rPr>
            <w:rStyle w:val="Hyperlink"/>
          </w:rPr>
          <w:t>“Drowning Facts - Drowning Prevention by CDC via cdc.gov. Accessed June 21, 2023.</w:t>
        </w:r>
      </w:hyperlink>
      <w:r w:rsidR="00056587" w:rsidRPr="00056587">
        <w:rPr>
          <w:u w:val="thick"/>
        </w:rPr>
        <w:t xml:space="preserve"> </w:t>
      </w:r>
    </w:p>
    <w:p w14:paraId="77F53966" w14:textId="799A20A1" w:rsidR="00056587" w:rsidRPr="00056587" w:rsidRDefault="00000000" w:rsidP="00926EB3">
      <w:pPr>
        <w:pStyle w:val="ListParagraph"/>
        <w:numPr>
          <w:ilvl w:val="0"/>
          <w:numId w:val="35"/>
        </w:numPr>
        <w:rPr>
          <w:u w:val="thick"/>
        </w:rPr>
      </w:pPr>
      <w:hyperlink r:id="rId239" w:history="1">
        <w:r w:rsidR="00056587" w:rsidRPr="00056587">
          <w:rPr>
            <w:rStyle w:val="Hyperlink"/>
          </w:rPr>
          <w:t>“WISQARS (Web-based Injury Statistics Query and Reporting System)” by CDC Injury Center via cdc.gov. Accessed June 21, 2023.</w:t>
        </w:r>
      </w:hyperlink>
      <w:r w:rsidR="00056587" w:rsidRPr="00056587">
        <w:t xml:space="preserve"> </w:t>
      </w:r>
    </w:p>
    <w:p w14:paraId="4B0F92E8" w14:textId="77777777" w:rsidR="00CF1BB1" w:rsidRDefault="00CF1BB1" w:rsidP="00506CC7"/>
    <w:p w14:paraId="0CF0C69F" w14:textId="113647C0" w:rsidR="00CF1BB1" w:rsidRPr="00CF1BB1" w:rsidRDefault="00CF1BB1" w:rsidP="00CF1BB1">
      <w:pPr>
        <w:pStyle w:val="Heading3"/>
      </w:pPr>
      <w:bookmarkStart w:id="528" w:name="_Toc162267351"/>
      <w:r w:rsidRPr="00CF1BB1">
        <w:t xml:space="preserve">Injuries and Injury-Related Deaths: </w:t>
      </w:r>
      <w:r>
        <w:t>Motor Vehicle Crashes</w:t>
      </w:r>
      <w:bookmarkEnd w:id="528"/>
    </w:p>
    <w:p w14:paraId="46311EF9" w14:textId="5C532F62" w:rsidR="00CF1BB1" w:rsidRPr="00CF1BB1" w:rsidRDefault="00CF1BB1" w:rsidP="00CF1BB1">
      <w:r w:rsidRPr="00CF1BB1">
        <w:t>Among children, motor-vehicle crash (MVC) deaths are most common among ages 15-19, and cause more deaths than other causes of unintentional injury. Nationally, children aged 0-17 had a nonfatal unintentional motor vehicle related ED visit rate of 211.6 visits per 100,000 population in 2020, and a motor vehicle-related mortality rate of 3.7 deaths per 100,000 population in 2021.6 Of the children who were killed in a</w:t>
      </w:r>
      <w:r w:rsidR="006D4802">
        <w:t>n</w:t>
      </w:r>
      <w:r w:rsidRPr="00CF1BB1">
        <w:t xml:space="preserve"> MVC with a known restraint status, 38% were not properly buckled up. Among young children, car seat use reduces the risk of injury in a crash by 71-82%, when compared with seat belt use alone.  </w:t>
      </w:r>
    </w:p>
    <w:p w14:paraId="7BAD1552" w14:textId="77777777" w:rsidR="00CF1BB1" w:rsidRDefault="00CF1BB1" w:rsidP="00CF1BB1"/>
    <w:p w14:paraId="24F38BBD" w14:textId="7E4DA701" w:rsidR="00CF1BB1" w:rsidRPr="00CF1BB1" w:rsidRDefault="00CF1BB1" w:rsidP="00CF1BB1">
      <w:r w:rsidRPr="00CF1BB1">
        <w:t>Certain populations are more at risk for experiencing MVC. Black and Hispanic children, as well as children in rural areas, are more likely to travel unrestrained or improperly restrained in vehicles. Children in rural areas are typically at higher risk of being killed in a</w:t>
      </w:r>
      <w:r w:rsidR="006D4802">
        <w:t>n</w:t>
      </w:r>
      <w:r w:rsidRPr="00CF1BB1">
        <w:t xml:space="preserve"> MVC, compared to children in urban areas.</w:t>
      </w:r>
    </w:p>
    <w:p w14:paraId="6A4F5EE1" w14:textId="77777777" w:rsidR="00CF1BB1" w:rsidRDefault="00CF1BB1" w:rsidP="00506CC7"/>
    <w:p w14:paraId="0C4F7B48" w14:textId="77777777" w:rsidR="00576857" w:rsidRDefault="00576857" w:rsidP="00576857">
      <w:pPr>
        <w:pStyle w:val="Heading4"/>
      </w:pPr>
      <w:bookmarkStart w:id="529" w:name="_Toc154576439"/>
      <w:bookmarkStart w:id="530" w:name="_Toc162267352"/>
      <w:r>
        <w:t>Figure 8.4: Motor Vehicle Crash Deaths in Children Aged 1-17, by Race/Ethnicity.</w:t>
      </w:r>
      <w:bookmarkEnd w:id="529"/>
      <w:bookmarkEnd w:id="530"/>
    </w:p>
    <w:p w14:paraId="60391EFE" w14:textId="77777777" w:rsidR="00576857" w:rsidRDefault="00576857" w:rsidP="00576857">
      <w:pPr>
        <w:pStyle w:val="Heading5"/>
      </w:pPr>
      <w:r>
        <w:t>Rate per 100,000 population.</w:t>
      </w:r>
    </w:p>
    <w:tbl>
      <w:tblPr>
        <w:tblStyle w:val="TableGrid"/>
        <w:tblW w:w="0" w:type="auto"/>
        <w:tblLook w:val="04A0" w:firstRow="1" w:lastRow="0" w:firstColumn="1" w:lastColumn="0" w:noHBand="0" w:noVBand="1"/>
      </w:tblPr>
      <w:tblGrid>
        <w:gridCol w:w="3116"/>
        <w:gridCol w:w="3117"/>
        <w:gridCol w:w="3117"/>
      </w:tblGrid>
      <w:tr w:rsidR="00576857" w14:paraId="0EDDCFCD" w14:textId="77777777" w:rsidTr="001515D5">
        <w:tc>
          <w:tcPr>
            <w:tcW w:w="3116" w:type="dxa"/>
            <w:vAlign w:val="bottom"/>
          </w:tcPr>
          <w:p w14:paraId="0A66EC10" w14:textId="77777777" w:rsidR="00576857" w:rsidRPr="009D7FE2" w:rsidRDefault="00576857" w:rsidP="001515D5">
            <w:r w:rsidRPr="009D7FE2">
              <w:t xml:space="preserve"> </w:t>
            </w:r>
            <w:r>
              <w:t>Age Group</w:t>
            </w:r>
          </w:p>
        </w:tc>
        <w:tc>
          <w:tcPr>
            <w:tcW w:w="3117" w:type="dxa"/>
            <w:vAlign w:val="bottom"/>
          </w:tcPr>
          <w:p w14:paraId="297AE9F8" w14:textId="77777777" w:rsidR="00576857" w:rsidRPr="009D7FE2" w:rsidRDefault="00576857" w:rsidP="001515D5">
            <w:r w:rsidRPr="009D7FE2">
              <w:t>Non-Hispanic White</w:t>
            </w:r>
          </w:p>
        </w:tc>
        <w:tc>
          <w:tcPr>
            <w:tcW w:w="3117" w:type="dxa"/>
            <w:vAlign w:val="bottom"/>
          </w:tcPr>
          <w:p w14:paraId="6B6EA5DC" w14:textId="77777777" w:rsidR="00576857" w:rsidRPr="009D7FE2" w:rsidRDefault="00576857" w:rsidP="001515D5">
            <w:r w:rsidRPr="009D7FE2">
              <w:t>Non-Hispanic Black</w:t>
            </w:r>
          </w:p>
        </w:tc>
      </w:tr>
      <w:tr w:rsidR="00576857" w14:paraId="033B774F" w14:textId="77777777" w:rsidTr="001515D5">
        <w:tc>
          <w:tcPr>
            <w:tcW w:w="3116" w:type="dxa"/>
            <w:vAlign w:val="bottom"/>
          </w:tcPr>
          <w:p w14:paraId="6E79AE15" w14:textId="77777777" w:rsidR="00576857" w:rsidRPr="009D7FE2" w:rsidRDefault="00576857" w:rsidP="001515D5">
            <w:r w:rsidRPr="009D7FE2">
              <w:t>1 to 4</w:t>
            </w:r>
          </w:p>
        </w:tc>
        <w:tc>
          <w:tcPr>
            <w:tcW w:w="3117" w:type="dxa"/>
            <w:vAlign w:val="bottom"/>
          </w:tcPr>
          <w:p w14:paraId="4D1847D3" w14:textId="77777777" w:rsidR="00576857" w:rsidRPr="009D7FE2" w:rsidRDefault="00576857" w:rsidP="001515D5">
            <w:r w:rsidRPr="009D7FE2">
              <w:t>2.5</w:t>
            </w:r>
          </w:p>
        </w:tc>
        <w:tc>
          <w:tcPr>
            <w:tcW w:w="3117" w:type="dxa"/>
            <w:vAlign w:val="bottom"/>
          </w:tcPr>
          <w:p w14:paraId="37884E95" w14:textId="77777777" w:rsidR="00576857" w:rsidRPr="009D7FE2" w:rsidRDefault="00576857" w:rsidP="001515D5">
            <w:r w:rsidRPr="009D7FE2">
              <w:t>7.0</w:t>
            </w:r>
          </w:p>
        </w:tc>
      </w:tr>
      <w:tr w:rsidR="00576857" w14:paraId="14481F1B" w14:textId="77777777" w:rsidTr="001515D5">
        <w:tc>
          <w:tcPr>
            <w:tcW w:w="3116" w:type="dxa"/>
            <w:vAlign w:val="bottom"/>
          </w:tcPr>
          <w:p w14:paraId="1B5CC8A0" w14:textId="77777777" w:rsidR="00576857" w:rsidRPr="009D7FE2" w:rsidRDefault="00576857" w:rsidP="001515D5">
            <w:r w:rsidRPr="009D7FE2">
              <w:t>5 to 9</w:t>
            </w:r>
          </w:p>
        </w:tc>
        <w:tc>
          <w:tcPr>
            <w:tcW w:w="3117" w:type="dxa"/>
            <w:vAlign w:val="bottom"/>
          </w:tcPr>
          <w:p w14:paraId="51895B12" w14:textId="77777777" w:rsidR="00576857" w:rsidRPr="009D7FE2" w:rsidRDefault="00576857" w:rsidP="001515D5">
            <w:r w:rsidRPr="009D7FE2">
              <w:t>2.2</w:t>
            </w:r>
          </w:p>
        </w:tc>
        <w:tc>
          <w:tcPr>
            <w:tcW w:w="3117" w:type="dxa"/>
            <w:vAlign w:val="bottom"/>
          </w:tcPr>
          <w:p w14:paraId="1D77B42F" w14:textId="77777777" w:rsidR="00576857" w:rsidRPr="009D7FE2" w:rsidRDefault="00576857" w:rsidP="001515D5">
            <w:r w:rsidRPr="009D7FE2">
              <w:t>5.5</w:t>
            </w:r>
          </w:p>
        </w:tc>
      </w:tr>
      <w:tr w:rsidR="00576857" w14:paraId="54588BD6" w14:textId="77777777" w:rsidTr="001515D5">
        <w:tc>
          <w:tcPr>
            <w:tcW w:w="3116" w:type="dxa"/>
            <w:vAlign w:val="bottom"/>
          </w:tcPr>
          <w:p w14:paraId="2DDE12D8" w14:textId="77777777" w:rsidR="00576857" w:rsidRPr="009D7FE2" w:rsidRDefault="00576857" w:rsidP="001515D5">
            <w:r w:rsidRPr="009D7FE2">
              <w:t>10 to 14</w:t>
            </w:r>
          </w:p>
        </w:tc>
        <w:tc>
          <w:tcPr>
            <w:tcW w:w="3117" w:type="dxa"/>
            <w:vAlign w:val="bottom"/>
          </w:tcPr>
          <w:p w14:paraId="3B85BF9C" w14:textId="77777777" w:rsidR="00576857" w:rsidRPr="009D7FE2" w:rsidRDefault="00576857" w:rsidP="001515D5">
            <w:r w:rsidRPr="009D7FE2">
              <w:t>2.3</w:t>
            </w:r>
          </w:p>
        </w:tc>
        <w:tc>
          <w:tcPr>
            <w:tcW w:w="3117" w:type="dxa"/>
            <w:vAlign w:val="bottom"/>
          </w:tcPr>
          <w:p w14:paraId="1514A708" w14:textId="77777777" w:rsidR="00576857" w:rsidRPr="009D7FE2" w:rsidRDefault="00576857" w:rsidP="001515D5">
            <w:r w:rsidRPr="009D7FE2">
              <w:t>2.8</w:t>
            </w:r>
          </w:p>
        </w:tc>
      </w:tr>
      <w:tr w:rsidR="00576857" w14:paraId="41E32C66" w14:textId="77777777" w:rsidTr="001515D5">
        <w:tc>
          <w:tcPr>
            <w:tcW w:w="3116" w:type="dxa"/>
            <w:vAlign w:val="bottom"/>
          </w:tcPr>
          <w:p w14:paraId="63F977D7" w14:textId="77777777" w:rsidR="00576857" w:rsidRPr="009D7FE2" w:rsidRDefault="00576857" w:rsidP="001515D5">
            <w:r w:rsidRPr="009D7FE2">
              <w:t>15 to 17</w:t>
            </w:r>
          </w:p>
        </w:tc>
        <w:tc>
          <w:tcPr>
            <w:tcW w:w="3117" w:type="dxa"/>
            <w:vAlign w:val="bottom"/>
          </w:tcPr>
          <w:p w14:paraId="747770E8" w14:textId="77777777" w:rsidR="00576857" w:rsidRPr="009D7FE2" w:rsidRDefault="00576857" w:rsidP="001515D5">
            <w:r w:rsidRPr="009D7FE2">
              <w:t>14.1</w:t>
            </w:r>
          </w:p>
        </w:tc>
        <w:tc>
          <w:tcPr>
            <w:tcW w:w="3117" w:type="dxa"/>
            <w:vAlign w:val="bottom"/>
          </w:tcPr>
          <w:p w14:paraId="25337383" w14:textId="77777777" w:rsidR="00576857" w:rsidRPr="009D7FE2" w:rsidRDefault="00576857" w:rsidP="001515D5">
            <w:r w:rsidRPr="009D7FE2">
              <w:t>15.7</w:t>
            </w:r>
          </w:p>
        </w:tc>
      </w:tr>
    </w:tbl>
    <w:p w14:paraId="432B2DA8" w14:textId="77777777" w:rsidR="00576857" w:rsidRPr="009D7FE2" w:rsidRDefault="00576857" w:rsidP="00576857">
      <w:r w:rsidRPr="009D7FE2">
        <w:t xml:space="preserve">Source: SC DHEC Vital Statistics, 2017- 2021. </w:t>
      </w:r>
    </w:p>
    <w:p w14:paraId="6A834F62" w14:textId="77777777" w:rsidR="00576857" w:rsidRDefault="00576857" w:rsidP="00576857">
      <w:r w:rsidRPr="009D7FE2">
        <w:t>Note: Population for year 2021 based on single-race estimates and for years prior based on bridge-race estimates.</w:t>
      </w:r>
    </w:p>
    <w:p w14:paraId="71635DF6" w14:textId="77777777" w:rsidR="00576857" w:rsidRDefault="00576857" w:rsidP="00576857"/>
    <w:p w14:paraId="4A895C23" w14:textId="77777777" w:rsidR="00576857" w:rsidRDefault="00576857" w:rsidP="00576857">
      <w:pPr>
        <w:pStyle w:val="Heading4"/>
      </w:pPr>
      <w:bookmarkStart w:id="531" w:name="_Toc154576440"/>
      <w:bookmarkStart w:id="532" w:name="_Toc162267353"/>
      <w:r>
        <w:lastRenderedPageBreak/>
        <w:t>Figure 8.5: Motor Vehicle Crash Deaths in Children Aged 1-17, by Sex and Age Group.</w:t>
      </w:r>
      <w:bookmarkEnd w:id="531"/>
      <w:bookmarkEnd w:id="532"/>
    </w:p>
    <w:p w14:paraId="12A07605" w14:textId="77777777" w:rsidR="00576857" w:rsidRDefault="00576857" w:rsidP="00576857">
      <w:pPr>
        <w:pStyle w:val="Heading5"/>
      </w:pPr>
      <w:r>
        <w:t>Rate per 100,000 population.</w:t>
      </w:r>
    </w:p>
    <w:tbl>
      <w:tblPr>
        <w:tblStyle w:val="TableGrid"/>
        <w:tblW w:w="0" w:type="auto"/>
        <w:tblLook w:val="04A0" w:firstRow="1" w:lastRow="0" w:firstColumn="1" w:lastColumn="0" w:noHBand="0" w:noVBand="1"/>
      </w:tblPr>
      <w:tblGrid>
        <w:gridCol w:w="3116"/>
        <w:gridCol w:w="3117"/>
        <w:gridCol w:w="3117"/>
      </w:tblGrid>
      <w:tr w:rsidR="00576857" w14:paraId="0D92730C" w14:textId="77777777" w:rsidTr="001515D5">
        <w:tc>
          <w:tcPr>
            <w:tcW w:w="3116" w:type="dxa"/>
            <w:vAlign w:val="bottom"/>
          </w:tcPr>
          <w:p w14:paraId="30DC6659" w14:textId="77777777" w:rsidR="00576857" w:rsidRPr="009D7FE2" w:rsidRDefault="00576857" w:rsidP="001515D5">
            <w:r w:rsidRPr="009D7FE2">
              <w:t xml:space="preserve"> </w:t>
            </w:r>
            <w:r>
              <w:t>Age Group</w:t>
            </w:r>
          </w:p>
        </w:tc>
        <w:tc>
          <w:tcPr>
            <w:tcW w:w="3117" w:type="dxa"/>
            <w:vAlign w:val="bottom"/>
          </w:tcPr>
          <w:p w14:paraId="124F3795" w14:textId="77777777" w:rsidR="00576857" w:rsidRPr="009D7FE2" w:rsidRDefault="00576857" w:rsidP="001515D5">
            <w:r w:rsidRPr="009D7FE2">
              <w:t>Male</w:t>
            </w:r>
          </w:p>
        </w:tc>
        <w:tc>
          <w:tcPr>
            <w:tcW w:w="3117" w:type="dxa"/>
            <w:vAlign w:val="bottom"/>
          </w:tcPr>
          <w:p w14:paraId="0413FB0A" w14:textId="77777777" w:rsidR="00576857" w:rsidRPr="009D7FE2" w:rsidRDefault="00576857" w:rsidP="001515D5">
            <w:r w:rsidRPr="009D7FE2">
              <w:t>Female</w:t>
            </w:r>
          </w:p>
        </w:tc>
      </w:tr>
      <w:tr w:rsidR="00576857" w14:paraId="65CDCCF3" w14:textId="77777777" w:rsidTr="001515D5">
        <w:tc>
          <w:tcPr>
            <w:tcW w:w="3116" w:type="dxa"/>
            <w:vAlign w:val="bottom"/>
          </w:tcPr>
          <w:p w14:paraId="4654409E" w14:textId="77777777" w:rsidR="00576857" w:rsidRPr="009D7FE2" w:rsidRDefault="00576857" w:rsidP="001515D5">
            <w:r w:rsidRPr="009D7FE2">
              <w:t>1 to 4</w:t>
            </w:r>
          </w:p>
        </w:tc>
        <w:tc>
          <w:tcPr>
            <w:tcW w:w="3117" w:type="dxa"/>
            <w:vAlign w:val="bottom"/>
          </w:tcPr>
          <w:p w14:paraId="293FBC26" w14:textId="77777777" w:rsidR="00576857" w:rsidRPr="009D7FE2" w:rsidRDefault="00576857" w:rsidP="001515D5">
            <w:r w:rsidRPr="009D7FE2">
              <w:t>2.5</w:t>
            </w:r>
          </w:p>
        </w:tc>
        <w:tc>
          <w:tcPr>
            <w:tcW w:w="3117" w:type="dxa"/>
            <w:vAlign w:val="bottom"/>
          </w:tcPr>
          <w:p w14:paraId="0D21D3FA" w14:textId="77777777" w:rsidR="00576857" w:rsidRPr="009D7FE2" w:rsidRDefault="00576857" w:rsidP="001515D5">
            <w:r w:rsidRPr="009D7FE2">
              <w:t>4.9</w:t>
            </w:r>
          </w:p>
        </w:tc>
      </w:tr>
      <w:tr w:rsidR="00576857" w14:paraId="7BA0F657" w14:textId="77777777" w:rsidTr="001515D5">
        <w:tc>
          <w:tcPr>
            <w:tcW w:w="3116" w:type="dxa"/>
            <w:vAlign w:val="bottom"/>
          </w:tcPr>
          <w:p w14:paraId="233C69C9" w14:textId="77777777" w:rsidR="00576857" w:rsidRPr="009D7FE2" w:rsidRDefault="00576857" w:rsidP="001515D5">
            <w:r w:rsidRPr="009D7FE2">
              <w:t>5 to 9</w:t>
            </w:r>
          </w:p>
        </w:tc>
        <w:tc>
          <w:tcPr>
            <w:tcW w:w="3117" w:type="dxa"/>
            <w:vAlign w:val="bottom"/>
          </w:tcPr>
          <w:p w14:paraId="5FB2FFE3" w14:textId="77777777" w:rsidR="00576857" w:rsidRPr="009D7FE2" w:rsidRDefault="00576857" w:rsidP="001515D5">
            <w:r w:rsidRPr="009D7FE2">
              <w:t>3.6</w:t>
            </w:r>
          </w:p>
        </w:tc>
        <w:tc>
          <w:tcPr>
            <w:tcW w:w="3117" w:type="dxa"/>
            <w:vAlign w:val="bottom"/>
          </w:tcPr>
          <w:p w14:paraId="710F8652" w14:textId="77777777" w:rsidR="00576857" w:rsidRPr="009D7FE2" w:rsidRDefault="00576857" w:rsidP="001515D5">
            <w:r w:rsidRPr="009D7FE2">
              <w:t>3.0</w:t>
            </w:r>
          </w:p>
        </w:tc>
      </w:tr>
      <w:tr w:rsidR="00576857" w14:paraId="01062F0B" w14:textId="77777777" w:rsidTr="001515D5">
        <w:tc>
          <w:tcPr>
            <w:tcW w:w="3116" w:type="dxa"/>
            <w:vAlign w:val="bottom"/>
          </w:tcPr>
          <w:p w14:paraId="69175FDD" w14:textId="77777777" w:rsidR="00576857" w:rsidRPr="009D7FE2" w:rsidRDefault="00576857" w:rsidP="001515D5">
            <w:r w:rsidRPr="009D7FE2">
              <w:t>10 to 14</w:t>
            </w:r>
          </w:p>
        </w:tc>
        <w:tc>
          <w:tcPr>
            <w:tcW w:w="3117" w:type="dxa"/>
            <w:vAlign w:val="bottom"/>
          </w:tcPr>
          <w:p w14:paraId="40C58FA8" w14:textId="77777777" w:rsidR="00576857" w:rsidRPr="009D7FE2" w:rsidRDefault="00576857" w:rsidP="001515D5">
            <w:r w:rsidRPr="009D7FE2">
              <w:t>2.3</w:t>
            </w:r>
          </w:p>
        </w:tc>
        <w:tc>
          <w:tcPr>
            <w:tcW w:w="3117" w:type="dxa"/>
            <w:vAlign w:val="bottom"/>
          </w:tcPr>
          <w:p w14:paraId="7624E8DC" w14:textId="77777777" w:rsidR="00576857" w:rsidRPr="009D7FE2" w:rsidRDefault="00576857" w:rsidP="001515D5">
            <w:r w:rsidRPr="009D7FE2">
              <w:t>2.9</w:t>
            </w:r>
          </w:p>
        </w:tc>
      </w:tr>
      <w:tr w:rsidR="00576857" w14:paraId="2BFFD51D" w14:textId="77777777" w:rsidTr="001515D5">
        <w:tc>
          <w:tcPr>
            <w:tcW w:w="3116" w:type="dxa"/>
            <w:vAlign w:val="bottom"/>
          </w:tcPr>
          <w:p w14:paraId="65477ADB" w14:textId="77777777" w:rsidR="00576857" w:rsidRPr="009D7FE2" w:rsidRDefault="00576857" w:rsidP="001515D5">
            <w:r w:rsidRPr="009D7FE2">
              <w:t>15 to 17</w:t>
            </w:r>
          </w:p>
        </w:tc>
        <w:tc>
          <w:tcPr>
            <w:tcW w:w="3117" w:type="dxa"/>
            <w:vAlign w:val="bottom"/>
          </w:tcPr>
          <w:p w14:paraId="024116CE" w14:textId="77777777" w:rsidR="00576857" w:rsidRPr="009D7FE2" w:rsidRDefault="00576857" w:rsidP="001515D5">
            <w:r w:rsidRPr="009D7FE2">
              <w:t>17.0</w:t>
            </w:r>
          </w:p>
        </w:tc>
        <w:tc>
          <w:tcPr>
            <w:tcW w:w="3117" w:type="dxa"/>
            <w:vAlign w:val="bottom"/>
          </w:tcPr>
          <w:p w14:paraId="1614835A" w14:textId="77777777" w:rsidR="00576857" w:rsidRPr="009D7FE2" w:rsidRDefault="00576857" w:rsidP="001515D5">
            <w:r w:rsidRPr="009D7FE2">
              <w:t>11.1</w:t>
            </w:r>
          </w:p>
        </w:tc>
      </w:tr>
    </w:tbl>
    <w:p w14:paraId="109F739C" w14:textId="77777777" w:rsidR="00576857" w:rsidRPr="009D7FE2" w:rsidRDefault="00576857" w:rsidP="00576857">
      <w:r w:rsidRPr="009D7FE2">
        <w:t xml:space="preserve">Source: SC DHEC Vital Statistics, 2017- 2021. </w:t>
      </w:r>
    </w:p>
    <w:p w14:paraId="5022D261" w14:textId="77777777" w:rsidR="00576857" w:rsidRDefault="00576857" w:rsidP="00576857">
      <w:r w:rsidRPr="009D7FE2">
        <w:t>Note: Population for year 2021 based on single-race estimates and for years prior based on bridge-race estimates.</w:t>
      </w:r>
    </w:p>
    <w:p w14:paraId="43D835D9" w14:textId="77777777" w:rsidR="00CF1BB1" w:rsidRDefault="00CF1BB1" w:rsidP="00506CC7"/>
    <w:p w14:paraId="2F1ECC3D" w14:textId="77777777" w:rsidR="00CF1BB1" w:rsidRDefault="00CF1BB1" w:rsidP="00CF1BB1">
      <w:pPr>
        <w:pStyle w:val="Heading4"/>
      </w:pPr>
      <w:bookmarkStart w:id="533" w:name="_Toc162267354"/>
      <w:r w:rsidRPr="00CF1BB1">
        <w:t>Data Interpretations:</w:t>
      </w:r>
      <w:bookmarkEnd w:id="533"/>
      <w:r w:rsidRPr="00CF1BB1">
        <w:t xml:space="preserve"> </w:t>
      </w:r>
    </w:p>
    <w:p w14:paraId="6C9EA1FE" w14:textId="52B61A61" w:rsidR="00CF1BB1" w:rsidRDefault="00CF1BB1" w:rsidP="00CF1BB1">
      <w:r w:rsidRPr="00CF1BB1">
        <w:t>Among children in SC ages 1 to 17, those ages 15 to 17 died from a MVC more than 5 times the rate of children ages 1 to 14.  From 2017-2021, non-Hispanic Black children ages 1 to 17 had higher mortality rates due to MVCs than non-Hispanic White children of the same age (</w:t>
      </w:r>
      <w:r w:rsidRPr="00CF1BB1">
        <w:rPr>
          <w:b/>
          <w:bCs/>
        </w:rPr>
        <w:t>Figure 8.4</w:t>
      </w:r>
      <w:r w:rsidRPr="00CF1BB1">
        <w:t>).  Males ages 15 to 17 had the highest MVC mortality rate (17.0 deaths per 100,000 population), which was more than 50% higher than females ages 15 to 17 (11.1 deaths per 100,000 population) (</w:t>
      </w:r>
      <w:r w:rsidRPr="00CF1BB1">
        <w:rPr>
          <w:b/>
          <w:bCs/>
        </w:rPr>
        <w:t>Figure 8.5</w:t>
      </w:r>
      <w:r w:rsidRPr="00CF1BB1">
        <w:t xml:space="preserve">).  </w:t>
      </w:r>
    </w:p>
    <w:p w14:paraId="2365F7D7" w14:textId="77777777" w:rsidR="00CF1BB1" w:rsidRDefault="00CF1BB1" w:rsidP="00CF1BB1"/>
    <w:p w14:paraId="00E8B1FF" w14:textId="3BB71A0B" w:rsidR="00CF1BB1" w:rsidRDefault="00CF1BB1" w:rsidP="00CF1BB1">
      <w:pPr>
        <w:pStyle w:val="Heading5"/>
      </w:pPr>
      <w:r>
        <w:t>Key Takeaways:</w:t>
      </w:r>
    </w:p>
    <w:p w14:paraId="11D0A9A6" w14:textId="6B1F86DE" w:rsidR="00CF1BB1" w:rsidRPr="00CF1BB1" w:rsidRDefault="00CF1BB1" w:rsidP="00926EB3">
      <w:pPr>
        <w:pStyle w:val="ListParagraph"/>
        <w:numPr>
          <w:ilvl w:val="0"/>
          <w:numId w:val="223"/>
        </w:numPr>
      </w:pPr>
      <w:r w:rsidRPr="00CF1BB1">
        <w:t>Among children in South Carolina ages 1 to 17, children ages 15 to 17 died from a</w:t>
      </w:r>
      <w:r w:rsidR="006D4802">
        <w:t>n</w:t>
      </w:r>
      <w:r w:rsidRPr="00CF1BB1">
        <w:t xml:space="preserve"> MVC</w:t>
      </w:r>
      <w:r w:rsidR="006D4802">
        <w:t xml:space="preserve"> at</w:t>
      </w:r>
      <w:r w:rsidRPr="00CF1BB1">
        <w:t xml:space="preserve"> more than 5 times the rate of children ages 1 to 14. </w:t>
      </w:r>
    </w:p>
    <w:p w14:paraId="221776DD" w14:textId="77777777" w:rsidR="00CF1BB1" w:rsidRDefault="00CF1BB1" w:rsidP="00506CC7"/>
    <w:p w14:paraId="01F7C212" w14:textId="31B4D4FF" w:rsidR="00CF1BB1" w:rsidRDefault="00506CC7" w:rsidP="00CF1BB1">
      <w:pPr>
        <w:pStyle w:val="Heading4"/>
        <w:rPr>
          <w:rFonts w:asciiTheme="minorHAnsi" w:hAnsiTheme="minorHAnsi" w:cstheme="minorHAnsi"/>
          <w:color w:val="000000" w:themeColor="text1"/>
        </w:rPr>
      </w:pPr>
      <w:bookmarkStart w:id="534" w:name="_Toc162267355"/>
      <w:r w:rsidRPr="00506CC7">
        <w:rPr>
          <w:rFonts w:asciiTheme="minorHAnsi" w:hAnsiTheme="minorHAnsi" w:cstheme="minorHAnsi"/>
          <w:color w:val="000000" w:themeColor="text1"/>
        </w:rPr>
        <w:t xml:space="preserve">References </w:t>
      </w:r>
      <w:r w:rsidR="00CF1BB1">
        <w:rPr>
          <w:rFonts w:asciiTheme="minorHAnsi" w:hAnsiTheme="minorHAnsi" w:cstheme="minorHAnsi"/>
          <w:color w:val="000000" w:themeColor="text1"/>
        </w:rPr>
        <w:t>8.3</w:t>
      </w:r>
      <w:bookmarkEnd w:id="534"/>
      <w:r w:rsidR="00CF1BB1">
        <w:rPr>
          <w:rFonts w:asciiTheme="minorHAnsi" w:hAnsiTheme="minorHAnsi" w:cstheme="minorHAnsi"/>
          <w:color w:val="000000" w:themeColor="text1"/>
        </w:rPr>
        <w:t xml:space="preserve"> </w:t>
      </w:r>
    </w:p>
    <w:p w14:paraId="18DCE856" w14:textId="77777777" w:rsidR="00CF1BB1" w:rsidRPr="00506CC7" w:rsidRDefault="00CF1BB1" w:rsidP="00CF1BB1">
      <w:pPr>
        <w:rPr>
          <w:i/>
          <w:iCs/>
        </w:rPr>
      </w:pPr>
      <w:r w:rsidRPr="00506CC7">
        <w:t>Statistics in the preceding section were referenced from the following reports:</w:t>
      </w:r>
    </w:p>
    <w:p w14:paraId="12CD0959" w14:textId="2A416DEF" w:rsidR="00236A4C" w:rsidRDefault="00236A4C" w:rsidP="005253DC">
      <w:pPr>
        <w:ind w:firstLine="360"/>
      </w:pPr>
      <w:r>
        <w:t xml:space="preserve">6. </w:t>
      </w:r>
      <w:hyperlink r:id="rId240" w:history="1">
        <w:r w:rsidRPr="00056587">
          <w:rPr>
            <w:rStyle w:val="Hyperlink"/>
          </w:rPr>
          <w:t>“WISQARS (Web-based Injury Statistics Query and Reporting System)” by CDC Injury Center via cdc.gov. Accessed June 21, 2023.</w:t>
        </w:r>
      </w:hyperlink>
    </w:p>
    <w:p w14:paraId="1D59D3A2" w14:textId="06156AB0" w:rsidR="00236A4C" w:rsidRPr="00D26A8E" w:rsidRDefault="00000000" w:rsidP="00926EB3">
      <w:pPr>
        <w:pStyle w:val="ListParagraph"/>
        <w:numPr>
          <w:ilvl w:val="0"/>
          <w:numId w:val="35"/>
        </w:numPr>
        <w:rPr>
          <w:u w:val="thick"/>
        </w:rPr>
      </w:pPr>
      <w:hyperlink r:id="rId241" w:history="1">
        <w:r w:rsidR="00236A4C" w:rsidRPr="00236A4C">
          <w:rPr>
            <w:rStyle w:val="Hyperlink"/>
          </w:rPr>
          <w:t>“Child Passenger Safety: Get the Facts; Transportation Safety” by CDC via cdc.gov. Accessed June 21, 2023.</w:t>
        </w:r>
      </w:hyperlink>
      <w:r w:rsidR="00236A4C" w:rsidRPr="00236A4C">
        <w:t xml:space="preserve"> </w:t>
      </w:r>
    </w:p>
    <w:p w14:paraId="68CA3F58" w14:textId="77777777" w:rsidR="00CF1BB1" w:rsidRDefault="00CF1BB1" w:rsidP="00506CC7"/>
    <w:p w14:paraId="0393DF8E" w14:textId="77777777" w:rsidR="00CF1BB1" w:rsidRDefault="00CF1BB1" w:rsidP="00CF1BB1">
      <w:pPr>
        <w:pStyle w:val="Heading3"/>
      </w:pPr>
      <w:bookmarkStart w:id="535" w:name="_Toc162267356"/>
      <w:r w:rsidRPr="00CF1BB1">
        <w:t xml:space="preserve">Injuries and Injury-Related Deaths: </w:t>
      </w:r>
      <w:r>
        <w:t>Homicide Deaths</w:t>
      </w:r>
      <w:bookmarkEnd w:id="535"/>
    </w:p>
    <w:p w14:paraId="40126538" w14:textId="0C188EBF" w:rsidR="00CF1BB1" w:rsidRPr="00CF1BB1" w:rsidRDefault="00CF1BB1" w:rsidP="00CF1BB1">
      <w:r w:rsidRPr="00CF1BB1">
        <w:t xml:space="preserve">Homicide is a leading cause of death among children aged 0-17 in the US, disproportionately affecting adolescent males, older children, infants, and children of color. From 2017-2021 the rate of child homicide in the US increased by about </w:t>
      </w:r>
      <w:r w:rsidRPr="00CF1BB1">
        <w:lastRenderedPageBreak/>
        <w:t xml:space="preserve">34%, with 2,220 children under the age of 17 being victims of homicide in 2021. Youth homicides and nonfatal physical assault-related injuries result in an estimated $100 billion annually in costs, including medical, lost work, and quality and value of life in the US. Youth homicide and non-fatal violence not only contribute to the global burden of premature death, injury, and disability, but also have a serious impact on a person’s psychological and social functioning. This can affect victims' families, friends, and communities. </w:t>
      </w:r>
    </w:p>
    <w:p w14:paraId="12B46922" w14:textId="77777777" w:rsidR="00CF1BB1" w:rsidRDefault="00CF1BB1" w:rsidP="00CF1BB1">
      <w:pPr>
        <w:pStyle w:val="Heading4"/>
        <w:rPr>
          <w:color w:val="FF0000"/>
        </w:rPr>
      </w:pPr>
    </w:p>
    <w:p w14:paraId="41739C02" w14:textId="77777777" w:rsidR="00576857" w:rsidRDefault="00576857" w:rsidP="00576857">
      <w:pPr>
        <w:pStyle w:val="Heading4"/>
      </w:pPr>
      <w:bookmarkStart w:id="536" w:name="_Toc154576441"/>
      <w:bookmarkStart w:id="537" w:name="_Toc162267357"/>
      <w:r>
        <w:t>Figure 8.6: Homicide in Children Aged 1-17.</w:t>
      </w:r>
      <w:bookmarkEnd w:id="536"/>
      <w:bookmarkEnd w:id="537"/>
    </w:p>
    <w:p w14:paraId="0B34CC80" w14:textId="77777777" w:rsidR="00576857" w:rsidRDefault="00576857" w:rsidP="00576857">
      <w:pPr>
        <w:pStyle w:val="Heading5"/>
      </w:pPr>
      <w:r>
        <w:t>Rate per 100,000 population.</w:t>
      </w:r>
    </w:p>
    <w:tbl>
      <w:tblPr>
        <w:tblStyle w:val="TableGrid"/>
        <w:tblW w:w="0" w:type="auto"/>
        <w:tblLook w:val="04A0" w:firstRow="1" w:lastRow="0" w:firstColumn="1" w:lastColumn="0" w:noHBand="0" w:noVBand="1"/>
      </w:tblPr>
      <w:tblGrid>
        <w:gridCol w:w="3116"/>
        <w:gridCol w:w="3117"/>
        <w:gridCol w:w="3117"/>
      </w:tblGrid>
      <w:tr w:rsidR="00576857" w14:paraId="20E86931" w14:textId="77777777" w:rsidTr="001515D5">
        <w:tc>
          <w:tcPr>
            <w:tcW w:w="3116" w:type="dxa"/>
            <w:vAlign w:val="bottom"/>
          </w:tcPr>
          <w:p w14:paraId="039600D4" w14:textId="77777777" w:rsidR="00576857" w:rsidRPr="009D7FE2" w:rsidRDefault="00576857" w:rsidP="001515D5">
            <w:r w:rsidRPr="009D7FE2">
              <w:t> </w:t>
            </w:r>
            <w:r>
              <w:t>Year</w:t>
            </w:r>
          </w:p>
        </w:tc>
        <w:tc>
          <w:tcPr>
            <w:tcW w:w="3117" w:type="dxa"/>
            <w:vAlign w:val="bottom"/>
          </w:tcPr>
          <w:p w14:paraId="2CAA6C94" w14:textId="77777777" w:rsidR="00576857" w:rsidRPr="009D7FE2" w:rsidRDefault="00576857" w:rsidP="001515D5">
            <w:r w:rsidRPr="009D7FE2">
              <w:t>SC</w:t>
            </w:r>
          </w:p>
        </w:tc>
        <w:tc>
          <w:tcPr>
            <w:tcW w:w="3117" w:type="dxa"/>
            <w:vAlign w:val="bottom"/>
          </w:tcPr>
          <w:p w14:paraId="21144003" w14:textId="77777777" w:rsidR="00576857" w:rsidRPr="009D7FE2" w:rsidRDefault="00576857" w:rsidP="001515D5">
            <w:r w:rsidRPr="009D7FE2">
              <w:t>US</w:t>
            </w:r>
          </w:p>
        </w:tc>
      </w:tr>
      <w:tr w:rsidR="00576857" w14:paraId="19F1D3FF" w14:textId="77777777" w:rsidTr="001515D5">
        <w:tc>
          <w:tcPr>
            <w:tcW w:w="3116" w:type="dxa"/>
            <w:vAlign w:val="center"/>
          </w:tcPr>
          <w:p w14:paraId="0F1835D3" w14:textId="77777777" w:rsidR="00576857" w:rsidRPr="009D7FE2" w:rsidRDefault="00576857" w:rsidP="001515D5">
            <w:r w:rsidRPr="009D7FE2">
              <w:t>2012</w:t>
            </w:r>
          </w:p>
        </w:tc>
        <w:tc>
          <w:tcPr>
            <w:tcW w:w="3117" w:type="dxa"/>
            <w:vAlign w:val="center"/>
          </w:tcPr>
          <w:p w14:paraId="2ED59BE5" w14:textId="77777777" w:rsidR="00576857" w:rsidRPr="009D7FE2" w:rsidRDefault="00576857" w:rsidP="001515D5">
            <w:r w:rsidRPr="009D7FE2">
              <w:t>1.3</w:t>
            </w:r>
          </w:p>
        </w:tc>
        <w:tc>
          <w:tcPr>
            <w:tcW w:w="3117" w:type="dxa"/>
            <w:vAlign w:val="bottom"/>
          </w:tcPr>
          <w:p w14:paraId="53CA7B87" w14:textId="77777777" w:rsidR="00576857" w:rsidRPr="009D7FE2" w:rsidRDefault="00576857" w:rsidP="001515D5">
            <w:r w:rsidRPr="009D7FE2">
              <w:t>1.8</w:t>
            </w:r>
          </w:p>
        </w:tc>
      </w:tr>
      <w:tr w:rsidR="00576857" w14:paraId="42DA088A" w14:textId="77777777" w:rsidTr="001515D5">
        <w:tc>
          <w:tcPr>
            <w:tcW w:w="3116" w:type="dxa"/>
            <w:vAlign w:val="center"/>
          </w:tcPr>
          <w:p w14:paraId="6D5E8AF7" w14:textId="77777777" w:rsidR="00576857" w:rsidRPr="009D7FE2" w:rsidRDefault="00576857" w:rsidP="001515D5">
            <w:r w:rsidRPr="009D7FE2">
              <w:t>2013</w:t>
            </w:r>
          </w:p>
        </w:tc>
        <w:tc>
          <w:tcPr>
            <w:tcW w:w="3117" w:type="dxa"/>
            <w:vAlign w:val="center"/>
          </w:tcPr>
          <w:p w14:paraId="5F0621CF" w14:textId="77777777" w:rsidR="00576857" w:rsidRPr="009D7FE2" w:rsidRDefault="00576857" w:rsidP="001515D5">
            <w:r w:rsidRPr="009D7FE2">
              <w:t>2.1</w:t>
            </w:r>
          </w:p>
        </w:tc>
        <w:tc>
          <w:tcPr>
            <w:tcW w:w="3117" w:type="dxa"/>
            <w:vAlign w:val="bottom"/>
          </w:tcPr>
          <w:p w14:paraId="094BFA9D" w14:textId="77777777" w:rsidR="00576857" w:rsidRPr="009D7FE2" w:rsidRDefault="00576857" w:rsidP="001515D5">
            <w:r w:rsidRPr="009D7FE2">
              <w:t>1.6</w:t>
            </w:r>
          </w:p>
        </w:tc>
      </w:tr>
      <w:tr w:rsidR="00576857" w14:paraId="29F4A418" w14:textId="77777777" w:rsidTr="001515D5">
        <w:tc>
          <w:tcPr>
            <w:tcW w:w="3116" w:type="dxa"/>
            <w:vAlign w:val="center"/>
          </w:tcPr>
          <w:p w14:paraId="4186761E" w14:textId="77777777" w:rsidR="00576857" w:rsidRPr="009D7FE2" w:rsidRDefault="00576857" w:rsidP="001515D5">
            <w:r w:rsidRPr="009D7FE2">
              <w:t>2014</w:t>
            </w:r>
          </w:p>
        </w:tc>
        <w:tc>
          <w:tcPr>
            <w:tcW w:w="3117" w:type="dxa"/>
            <w:vAlign w:val="center"/>
          </w:tcPr>
          <w:p w14:paraId="5E6E2A86" w14:textId="77777777" w:rsidR="00576857" w:rsidRPr="009D7FE2" w:rsidRDefault="00576857" w:rsidP="001515D5">
            <w:r w:rsidRPr="009D7FE2">
              <w:t>2.7</w:t>
            </w:r>
          </w:p>
        </w:tc>
        <w:tc>
          <w:tcPr>
            <w:tcW w:w="3117" w:type="dxa"/>
            <w:vAlign w:val="bottom"/>
          </w:tcPr>
          <w:p w14:paraId="4362376A" w14:textId="77777777" w:rsidR="00576857" w:rsidRPr="009D7FE2" w:rsidRDefault="00576857" w:rsidP="001515D5">
            <w:r w:rsidRPr="009D7FE2">
              <w:t>1.7</w:t>
            </w:r>
          </w:p>
        </w:tc>
      </w:tr>
      <w:tr w:rsidR="00576857" w14:paraId="1F0A9787" w14:textId="77777777" w:rsidTr="001515D5">
        <w:tc>
          <w:tcPr>
            <w:tcW w:w="3116" w:type="dxa"/>
            <w:vAlign w:val="center"/>
          </w:tcPr>
          <w:p w14:paraId="2947E43E" w14:textId="77777777" w:rsidR="00576857" w:rsidRPr="009D7FE2" w:rsidRDefault="00576857" w:rsidP="001515D5">
            <w:r w:rsidRPr="009D7FE2">
              <w:t>2015</w:t>
            </w:r>
          </w:p>
        </w:tc>
        <w:tc>
          <w:tcPr>
            <w:tcW w:w="3117" w:type="dxa"/>
            <w:vAlign w:val="center"/>
          </w:tcPr>
          <w:p w14:paraId="460BE8DA" w14:textId="77777777" w:rsidR="00576857" w:rsidRPr="009D7FE2" w:rsidRDefault="00576857" w:rsidP="001515D5">
            <w:r w:rsidRPr="009D7FE2">
              <w:t>2.4</w:t>
            </w:r>
          </w:p>
        </w:tc>
        <w:tc>
          <w:tcPr>
            <w:tcW w:w="3117" w:type="dxa"/>
            <w:vAlign w:val="bottom"/>
          </w:tcPr>
          <w:p w14:paraId="51F0D43A" w14:textId="77777777" w:rsidR="00576857" w:rsidRPr="009D7FE2" w:rsidRDefault="00576857" w:rsidP="001515D5">
            <w:r w:rsidRPr="009D7FE2">
              <w:t>1.9</w:t>
            </w:r>
          </w:p>
        </w:tc>
      </w:tr>
      <w:tr w:rsidR="00576857" w14:paraId="5B53795B" w14:textId="77777777" w:rsidTr="001515D5">
        <w:tc>
          <w:tcPr>
            <w:tcW w:w="3116" w:type="dxa"/>
            <w:vAlign w:val="center"/>
          </w:tcPr>
          <w:p w14:paraId="7463E371" w14:textId="77777777" w:rsidR="00576857" w:rsidRPr="009D7FE2" w:rsidRDefault="00576857" w:rsidP="001515D5">
            <w:r w:rsidRPr="009D7FE2">
              <w:t>2016</w:t>
            </w:r>
          </w:p>
        </w:tc>
        <w:tc>
          <w:tcPr>
            <w:tcW w:w="3117" w:type="dxa"/>
            <w:vAlign w:val="center"/>
          </w:tcPr>
          <w:p w14:paraId="3719583E" w14:textId="77777777" w:rsidR="00576857" w:rsidRPr="009D7FE2" w:rsidRDefault="00576857" w:rsidP="001515D5">
            <w:r w:rsidRPr="009D7FE2">
              <w:t>2.5</w:t>
            </w:r>
          </w:p>
        </w:tc>
        <w:tc>
          <w:tcPr>
            <w:tcW w:w="3117" w:type="dxa"/>
            <w:vAlign w:val="bottom"/>
          </w:tcPr>
          <w:p w14:paraId="625B1578" w14:textId="77777777" w:rsidR="00576857" w:rsidRPr="009D7FE2" w:rsidRDefault="00576857" w:rsidP="001515D5">
            <w:r w:rsidRPr="009D7FE2">
              <w:t>1.9</w:t>
            </w:r>
          </w:p>
        </w:tc>
      </w:tr>
      <w:tr w:rsidR="00576857" w14:paraId="33FF77C9" w14:textId="77777777" w:rsidTr="001515D5">
        <w:tc>
          <w:tcPr>
            <w:tcW w:w="3116" w:type="dxa"/>
            <w:vAlign w:val="center"/>
          </w:tcPr>
          <w:p w14:paraId="2C636CF4" w14:textId="77777777" w:rsidR="00576857" w:rsidRPr="009D7FE2" w:rsidRDefault="00576857" w:rsidP="001515D5">
            <w:r w:rsidRPr="009D7FE2">
              <w:t>2017</w:t>
            </w:r>
          </w:p>
        </w:tc>
        <w:tc>
          <w:tcPr>
            <w:tcW w:w="3117" w:type="dxa"/>
            <w:vAlign w:val="center"/>
          </w:tcPr>
          <w:p w14:paraId="7D579EC2" w14:textId="77777777" w:rsidR="00576857" w:rsidRPr="009D7FE2" w:rsidRDefault="00576857" w:rsidP="001515D5">
            <w:r w:rsidRPr="009D7FE2">
              <w:t>3.4</w:t>
            </w:r>
          </w:p>
        </w:tc>
        <w:tc>
          <w:tcPr>
            <w:tcW w:w="3117" w:type="dxa"/>
            <w:vAlign w:val="bottom"/>
          </w:tcPr>
          <w:p w14:paraId="25727BAE" w14:textId="77777777" w:rsidR="00576857" w:rsidRPr="009D7FE2" w:rsidRDefault="00576857" w:rsidP="001515D5">
            <w:r w:rsidRPr="009D7FE2">
              <w:t>2</w:t>
            </w:r>
          </w:p>
        </w:tc>
      </w:tr>
      <w:tr w:rsidR="00576857" w14:paraId="23D4C1B8" w14:textId="77777777" w:rsidTr="001515D5">
        <w:tc>
          <w:tcPr>
            <w:tcW w:w="3116" w:type="dxa"/>
            <w:vAlign w:val="center"/>
          </w:tcPr>
          <w:p w14:paraId="6AA32EFC" w14:textId="77777777" w:rsidR="00576857" w:rsidRPr="009D7FE2" w:rsidRDefault="00576857" w:rsidP="001515D5">
            <w:r w:rsidRPr="009D7FE2">
              <w:t>2018</w:t>
            </w:r>
          </w:p>
        </w:tc>
        <w:tc>
          <w:tcPr>
            <w:tcW w:w="3117" w:type="dxa"/>
            <w:vAlign w:val="center"/>
          </w:tcPr>
          <w:p w14:paraId="114E7901" w14:textId="77777777" w:rsidR="00576857" w:rsidRPr="009D7FE2" w:rsidRDefault="00576857" w:rsidP="001515D5">
            <w:r w:rsidRPr="009D7FE2">
              <w:t>3.5</w:t>
            </w:r>
          </w:p>
        </w:tc>
        <w:tc>
          <w:tcPr>
            <w:tcW w:w="3117" w:type="dxa"/>
            <w:vAlign w:val="bottom"/>
          </w:tcPr>
          <w:p w14:paraId="0A84CDB8" w14:textId="77777777" w:rsidR="00576857" w:rsidRPr="009D7FE2" w:rsidRDefault="00576857" w:rsidP="001515D5">
            <w:r w:rsidRPr="009D7FE2">
              <w:t>1.9</w:t>
            </w:r>
          </w:p>
        </w:tc>
      </w:tr>
      <w:tr w:rsidR="00576857" w14:paraId="11596A74" w14:textId="77777777" w:rsidTr="001515D5">
        <w:tc>
          <w:tcPr>
            <w:tcW w:w="3116" w:type="dxa"/>
            <w:vAlign w:val="center"/>
          </w:tcPr>
          <w:p w14:paraId="34187A53" w14:textId="77777777" w:rsidR="00576857" w:rsidRPr="009D7FE2" w:rsidRDefault="00576857" w:rsidP="001515D5">
            <w:r w:rsidRPr="009D7FE2">
              <w:t>2019</w:t>
            </w:r>
          </w:p>
        </w:tc>
        <w:tc>
          <w:tcPr>
            <w:tcW w:w="3117" w:type="dxa"/>
            <w:vAlign w:val="center"/>
          </w:tcPr>
          <w:p w14:paraId="2A198AC2" w14:textId="77777777" w:rsidR="00576857" w:rsidRPr="009D7FE2" w:rsidRDefault="00576857" w:rsidP="001515D5">
            <w:r w:rsidRPr="009D7FE2">
              <w:t>3.3</w:t>
            </w:r>
          </w:p>
        </w:tc>
        <w:tc>
          <w:tcPr>
            <w:tcW w:w="3117" w:type="dxa"/>
            <w:vAlign w:val="bottom"/>
          </w:tcPr>
          <w:p w14:paraId="30ED0EB1" w14:textId="77777777" w:rsidR="00576857" w:rsidRPr="009D7FE2" w:rsidRDefault="00576857" w:rsidP="001515D5">
            <w:r w:rsidRPr="009D7FE2">
              <w:t>1.9</w:t>
            </w:r>
          </w:p>
        </w:tc>
      </w:tr>
      <w:tr w:rsidR="00576857" w14:paraId="75630086" w14:textId="77777777" w:rsidTr="001515D5">
        <w:tc>
          <w:tcPr>
            <w:tcW w:w="3116" w:type="dxa"/>
            <w:vAlign w:val="center"/>
          </w:tcPr>
          <w:p w14:paraId="2E55A8ED" w14:textId="77777777" w:rsidR="00576857" w:rsidRPr="009D7FE2" w:rsidRDefault="00576857" w:rsidP="001515D5">
            <w:r w:rsidRPr="009D7FE2">
              <w:t>2020</w:t>
            </w:r>
          </w:p>
        </w:tc>
        <w:tc>
          <w:tcPr>
            <w:tcW w:w="3117" w:type="dxa"/>
            <w:vAlign w:val="center"/>
          </w:tcPr>
          <w:p w14:paraId="273E5C33" w14:textId="77777777" w:rsidR="00576857" w:rsidRPr="009D7FE2" w:rsidRDefault="00576857" w:rsidP="001515D5">
            <w:r w:rsidRPr="009D7FE2">
              <w:t>4.4</w:t>
            </w:r>
          </w:p>
        </w:tc>
        <w:tc>
          <w:tcPr>
            <w:tcW w:w="3117" w:type="dxa"/>
            <w:vAlign w:val="bottom"/>
          </w:tcPr>
          <w:p w14:paraId="1E63CAAD" w14:textId="77777777" w:rsidR="00576857" w:rsidRPr="009D7FE2" w:rsidRDefault="00576857" w:rsidP="001515D5">
            <w:r w:rsidRPr="009D7FE2">
              <w:t>2.6</w:t>
            </w:r>
          </w:p>
        </w:tc>
      </w:tr>
      <w:tr w:rsidR="00576857" w14:paraId="68E74879" w14:textId="77777777" w:rsidTr="001515D5">
        <w:tc>
          <w:tcPr>
            <w:tcW w:w="3116" w:type="dxa"/>
            <w:vAlign w:val="center"/>
          </w:tcPr>
          <w:p w14:paraId="7217FEED" w14:textId="77777777" w:rsidR="00576857" w:rsidRPr="009D7FE2" w:rsidRDefault="00576857" w:rsidP="001515D5">
            <w:r w:rsidRPr="009D7FE2">
              <w:t>2021</w:t>
            </w:r>
          </w:p>
        </w:tc>
        <w:tc>
          <w:tcPr>
            <w:tcW w:w="3117" w:type="dxa"/>
            <w:vAlign w:val="center"/>
          </w:tcPr>
          <w:p w14:paraId="1D9BB9AB" w14:textId="77777777" w:rsidR="00576857" w:rsidRPr="009D7FE2" w:rsidRDefault="00576857" w:rsidP="001515D5">
            <w:r w:rsidRPr="009D7FE2">
              <w:t>4.7</w:t>
            </w:r>
          </w:p>
        </w:tc>
        <w:tc>
          <w:tcPr>
            <w:tcW w:w="3117" w:type="dxa"/>
            <w:vAlign w:val="bottom"/>
          </w:tcPr>
          <w:p w14:paraId="7A2E9A6D" w14:textId="77777777" w:rsidR="00576857" w:rsidRPr="009D7FE2" w:rsidRDefault="00576857" w:rsidP="001515D5">
            <w:r w:rsidRPr="009D7FE2">
              <w:t>2.8</w:t>
            </w:r>
          </w:p>
        </w:tc>
      </w:tr>
    </w:tbl>
    <w:p w14:paraId="0BD433FC" w14:textId="77777777" w:rsidR="00576857" w:rsidRPr="009D7FE2" w:rsidRDefault="00576857" w:rsidP="00576857">
      <w:r w:rsidRPr="009D7FE2">
        <w:t xml:space="preserve">Source: SC DHEC Vital Statistics.; US data from CDC NCHS. </w:t>
      </w:r>
    </w:p>
    <w:p w14:paraId="66DAFED8" w14:textId="77777777" w:rsidR="00576857" w:rsidRDefault="00576857" w:rsidP="00576857">
      <w:r w:rsidRPr="009D7FE2">
        <w:t>Note: Population for year 2021 based on single-race estimates and for years prior based on bridge-race estimates.</w:t>
      </w:r>
    </w:p>
    <w:p w14:paraId="27166E97" w14:textId="77777777" w:rsidR="00576857" w:rsidRDefault="00576857" w:rsidP="00576857"/>
    <w:p w14:paraId="7A6F9C6D" w14:textId="77777777" w:rsidR="00576857" w:rsidRDefault="00576857" w:rsidP="00576857">
      <w:pPr>
        <w:pStyle w:val="Heading4"/>
      </w:pPr>
      <w:bookmarkStart w:id="538" w:name="_Toc154576442"/>
      <w:bookmarkStart w:id="539" w:name="_Toc162267358"/>
      <w:r>
        <w:t>Figure 8.7: Homicide in Children Aged 1-17, by Sex and Race.</w:t>
      </w:r>
      <w:bookmarkEnd w:id="538"/>
      <w:bookmarkEnd w:id="539"/>
    </w:p>
    <w:p w14:paraId="26D0FA62" w14:textId="77777777" w:rsidR="00576857" w:rsidRDefault="00576857" w:rsidP="00576857">
      <w:pPr>
        <w:pStyle w:val="Heading5"/>
      </w:pPr>
      <w:r>
        <w:t>Rate per 100,000 population.</w:t>
      </w:r>
    </w:p>
    <w:tbl>
      <w:tblPr>
        <w:tblStyle w:val="TableGrid"/>
        <w:tblW w:w="0" w:type="auto"/>
        <w:tblLook w:val="04A0" w:firstRow="1" w:lastRow="0" w:firstColumn="1" w:lastColumn="0" w:noHBand="0" w:noVBand="1"/>
      </w:tblPr>
      <w:tblGrid>
        <w:gridCol w:w="3116"/>
        <w:gridCol w:w="3117"/>
        <w:gridCol w:w="3117"/>
      </w:tblGrid>
      <w:tr w:rsidR="00576857" w14:paraId="309CF888" w14:textId="77777777" w:rsidTr="001515D5">
        <w:tc>
          <w:tcPr>
            <w:tcW w:w="3116" w:type="dxa"/>
            <w:vAlign w:val="bottom"/>
          </w:tcPr>
          <w:p w14:paraId="3A2253F3" w14:textId="77777777" w:rsidR="00576857" w:rsidRPr="009D7FE2" w:rsidRDefault="00576857" w:rsidP="001515D5">
            <w:r>
              <w:t>Race</w:t>
            </w:r>
          </w:p>
        </w:tc>
        <w:tc>
          <w:tcPr>
            <w:tcW w:w="3117" w:type="dxa"/>
            <w:vAlign w:val="bottom"/>
          </w:tcPr>
          <w:p w14:paraId="51FB5CA8" w14:textId="77777777" w:rsidR="00576857" w:rsidRPr="009D7FE2" w:rsidRDefault="00576857" w:rsidP="001515D5">
            <w:r w:rsidRPr="009D7FE2">
              <w:t>Male</w:t>
            </w:r>
          </w:p>
        </w:tc>
        <w:tc>
          <w:tcPr>
            <w:tcW w:w="3117" w:type="dxa"/>
            <w:vAlign w:val="bottom"/>
          </w:tcPr>
          <w:p w14:paraId="331E6888" w14:textId="77777777" w:rsidR="00576857" w:rsidRPr="009D7FE2" w:rsidRDefault="00576857" w:rsidP="001515D5">
            <w:r w:rsidRPr="009D7FE2">
              <w:t>Female</w:t>
            </w:r>
          </w:p>
        </w:tc>
      </w:tr>
      <w:tr w:rsidR="00576857" w14:paraId="385A0071" w14:textId="77777777" w:rsidTr="001515D5">
        <w:tc>
          <w:tcPr>
            <w:tcW w:w="3116" w:type="dxa"/>
            <w:vAlign w:val="center"/>
          </w:tcPr>
          <w:p w14:paraId="10F74C0E" w14:textId="77777777" w:rsidR="00576857" w:rsidRPr="009D7FE2" w:rsidRDefault="00576857" w:rsidP="001515D5">
            <w:r w:rsidRPr="009D7FE2">
              <w:t xml:space="preserve">Non-Hispanic White </w:t>
            </w:r>
          </w:p>
        </w:tc>
        <w:tc>
          <w:tcPr>
            <w:tcW w:w="3117" w:type="dxa"/>
            <w:vAlign w:val="bottom"/>
          </w:tcPr>
          <w:p w14:paraId="7A2D75F8" w14:textId="77777777" w:rsidR="00576857" w:rsidRPr="009D7FE2" w:rsidRDefault="00576857" w:rsidP="001515D5">
            <w:r w:rsidRPr="009D7FE2">
              <w:t>2.0</w:t>
            </w:r>
          </w:p>
        </w:tc>
        <w:tc>
          <w:tcPr>
            <w:tcW w:w="3117" w:type="dxa"/>
            <w:vAlign w:val="bottom"/>
          </w:tcPr>
          <w:p w14:paraId="3D13B6D6" w14:textId="77777777" w:rsidR="00576857" w:rsidRPr="009D7FE2" w:rsidRDefault="00576857" w:rsidP="001515D5">
            <w:r w:rsidRPr="009D7FE2">
              <w:t>0.8</w:t>
            </w:r>
          </w:p>
        </w:tc>
      </w:tr>
      <w:tr w:rsidR="00576857" w14:paraId="282D5133" w14:textId="77777777" w:rsidTr="001515D5">
        <w:tc>
          <w:tcPr>
            <w:tcW w:w="3116" w:type="dxa"/>
            <w:vAlign w:val="center"/>
          </w:tcPr>
          <w:p w14:paraId="6FCFBA93" w14:textId="77777777" w:rsidR="00576857" w:rsidRPr="009D7FE2" w:rsidRDefault="00576857" w:rsidP="001515D5">
            <w:r w:rsidRPr="009D7FE2">
              <w:t>Non-Hispanic Black</w:t>
            </w:r>
          </w:p>
        </w:tc>
        <w:tc>
          <w:tcPr>
            <w:tcW w:w="3117" w:type="dxa"/>
            <w:vAlign w:val="bottom"/>
          </w:tcPr>
          <w:p w14:paraId="0F359D34" w14:textId="77777777" w:rsidR="00576857" w:rsidRPr="009D7FE2" w:rsidRDefault="00576857" w:rsidP="001515D5">
            <w:r w:rsidRPr="009D7FE2">
              <w:t>13.4</w:t>
            </w:r>
          </w:p>
        </w:tc>
        <w:tc>
          <w:tcPr>
            <w:tcW w:w="3117" w:type="dxa"/>
            <w:vAlign w:val="bottom"/>
          </w:tcPr>
          <w:p w14:paraId="16DC9ADA" w14:textId="77777777" w:rsidR="00576857" w:rsidRPr="009D7FE2" w:rsidRDefault="00576857" w:rsidP="001515D5">
            <w:r w:rsidRPr="009D7FE2">
              <w:t>4.3</w:t>
            </w:r>
          </w:p>
        </w:tc>
      </w:tr>
      <w:tr w:rsidR="00576857" w14:paraId="62AE42B3" w14:textId="77777777" w:rsidTr="001515D5">
        <w:tc>
          <w:tcPr>
            <w:tcW w:w="3116" w:type="dxa"/>
            <w:vAlign w:val="center"/>
          </w:tcPr>
          <w:p w14:paraId="6D90C740" w14:textId="77777777" w:rsidR="00576857" w:rsidRPr="009D7FE2" w:rsidRDefault="00576857" w:rsidP="001515D5">
            <w:r w:rsidRPr="009D7FE2">
              <w:t>Hispanic</w:t>
            </w:r>
          </w:p>
        </w:tc>
        <w:tc>
          <w:tcPr>
            <w:tcW w:w="3117" w:type="dxa"/>
            <w:vAlign w:val="bottom"/>
          </w:tcPr>
          <w:p w14:paraId="6638C527" w14:textId="77777777" w:rsidR="00576857" w:rsidRPr="009D7FE2" w:rsidRDefault="00576857" w:rsidP="001515D5">
            <w:r w:rsidRPr="009D7FE2">
              <w:t>4.2</w:t>
            </w:r>
          </w:p>
        </w:tc>
        <w:tc>
          <w:tcPr>
            <w:tcW w:w="3117" w:type="dxa"/>
            <w:vAlign w:val="bottom"/>
          </w:tcPr>
          <w:p w14:paraId="2AF06061" w14:textId="77777777" w:rsidR="00576857" w:rsidRPr="009D7FE2" w:rsidRDefault="00576857" w:rsidP="001515D5">
            <w:r w:rsidRPr="009D7FE2">
              <w:t>*</w:t>
            </w:r>
          </w:p>
        </w:tc>
      </w:tr>
    </w:tbl>
    <w:p w14:paraId="5241C895" w14:textId="77777777" w:rsidR="00576857" w:rsidRDefault="00576857" w:rsidP="00576857">
      <w:r>
        <w:t xml:space="preserve">Source: SC DHEC Vital Statistics, 2017- 2021. </w:t>
      </w:r>
    </w:p>
    <w:p w14:paraId="40B8EA20" w14:textId="77777777" w:rsidR="00576857" w:rsidRDefault="00576857" w:rsidP="00576857">
      <w:r>
        <w:t>Note: Rates denoted with an asterisk are suppressed due to counts &lt; 5; population for year 2021 based on single-race estimates and for years prior based on bridge-race estimates.</w:t>
      </w:r>
    </w:p>
    <w:p w14:paraId="0CB71150" w14:textId="77777777" w:rsidR="00576857" w:rsidRPr="009D7FE2" w:rsidRDefault="00576857" w:rsidP="00576857"/>
    <w:p w14:paraId="10FA99FB" w14:textId="77777777" w:rsidR="00576857" w:rsidRDefault="00576857" w:rsidP="00576857">
      <w:pPr>
        <w:pStyle w:val="Heading4"/>
      </w:pPr>
      <w:bookmarkStart w:id="540" w:name="_Toc154576443"/>
      <w:bookmarkStart w:id="541" w:name="_Toc162267359"/>
      <w:r>
        <w:lastRenderedPageBreak/>
        <w:t>Figure 8.8: Percent of Homicides by Firearm Among Children Aged 1-17, by Age Group.</w:t>
      </w:r>
      <w:bookmarkEnd w:id="540"/>
      <w:bookmarkEnd w:id="541"/>
    </w:p>
    <w:tbl>
      <w:tblPr>
        <w:tblStyle w:val="TableGrid"/>
        <w:tblW w:w="0" w:type="auto"/>
        <w:tblLook w:val="04A0" w:firstRow="1" w:lastRow="0" w:firstColumn="1" w:lastColumn="0" w:noHBand="0" w:noVBand="1"/>
      </w:tblPr>
      <w:tblGrid>
        <w:gridCol w:w="4675"/>
        <w:gridCol w:w="4675"/>
      </w:tblGrid>
      <w:tr w:rsidR="00576857" w14:paraId="47541480" w14:textId="77777777" w:rsidTr="001515D5">
        <w:tc>
          <w:tcPr>
            <w:tcW w:w="4675" w:type="dxa"/>
            <w:vAlign w:val="bottom"/>
          </w:tcPr>
          <w:p w14:paraId="78F1E92E" w14:textId="77777777" w:rsidR="00576857" w:rsidRDefault="00576857" w:rsidP="001515D5">
            <w:r>
              <w:t>Age Group</w:t>
            </w:r>
          </w:p>
        </w:tc>
        <w:tc>
          <w:tcPr>
            <w:tcW w:w="4675" w:type="dxa"/>
            <w:vAlign w:val="bottom"/>
          </w:tcPr>
          <w:p w14:paraId="738B6FFC" w14:textId="2B86594A" w:rsidR="00576857" w:rsidRDefault="00195CD4" w:rsidP="001515D5">
            <w:r>
              <w:t>Percent</w:t>
            </w:r>
          </w:p>
        </w:tc>
      </w:tr>
      <w:tr w:rsidR="00576857" w14:paraId="382CB129" w14:textId="77777777" w:rsidTr="001515D5">
        <w:tc>
          <w:tcPr>
            <w:tcW w:w="4675" w:type="dxa"/>
            <w:vAlign w:val="bottom"/>
          </w:tcPr>
          <w:p w14:paraId="7FA3595F" w14:textId="77777777" w:rsidR="00576857" w:rsidRDefault="00576857" w:rsidP="001515D5">
            <w:r>
              <w:t>1 to 4</w:t>
            </w:r>
          </w:p>
        </w:tc>
        <w:tc>
          <w:tcPr>
            <w:tcW w:w="4675" w:type="dxa"/>
            <w:vAlign w:val="bottom"/>
          </w:tcPr>
          <w:p w14:paraId="38A8A0C6" w14:textId="77777777" w:rsidR="00576857" w:rsidRDefault="00576857" w:rsidP="001515D5">
            <w:r>
              <w:t>25.0%</w:t>
            </w:r>
          </w:p>
        </w:tc>
      </w:tr>
      <w:tr w:rsidR="00576857" w14:paraId="233CFF45" w14:textId="77777777" w:rsidTr="001515D5">
        <w:tc>
          <w:tcPr>
            <w:tcW w:w="4675" w:type="dxa"/>
            <w:vAlign w:val="bottom"/>
          </w:tcPr>
          <w:p w14:paraId="25953495" w14:textId="77777777" w:rsidR="00576857" w:rsidRDefault="00576857" w:rsidP="001515D5">
            <w:r>
              <w:t>5 to 9</w:t>
            </w:r>
          </w:p>
        </w:tc>
        <w:tc>
          <w:tcPr>
            <w:tcW w:w="4675" w:type="dxa"/>
            <w:vAlign w:val="bottom"/>
          </w:tcPr>
          <w:p w14:paraId="680F04EE" w14:textId="77777777" w:rsidR="00576857" w:rsidRDefault="00576857" w:rsidP="001515D5">
            <w:r>
              <w:t>63.0%</w:t>
            </w:r>
          </w:p>
        </w:tc>
      </w:tr>
      <w:tr w:rsidR="00576857" w14:paraId="1E8A5FF7" w14:textId="77777777" w:rsidTr="001515D5">
        <w:tc>
          <w:tcPr>
            <w:tcW w:w="4675" w:type="dxa"/>
            <w:vAlign w:val="bottom"/>
          </w:tcPr>
          <w:p w14:paraId="7619C79D" w14:textId="77777777" w:rsidR="00576857" w:rsidRDefault="00576857" w:rsidP="001515D5">
            <w:r>
              <w:t>10 to 14</w:t>
            </w:r>
          </w:p>
        </w:tc>
        <w:tc>
          <w:tcPr>
            <w:tcW w:w="4675" w:type="dxa"/>
            <w:vAlign w:val="bottom"/>
          </w:tcPr>
          <w:p w14:paraId="560BD229" w14:textId="77777777" w:rsidR="00576857" w:rsidRDefault="00576857" w:rsidP="001515D5">
            <w:r>
              <w:t>92.9%</w:t>
            </w:r>
          </w:p>
        </w:tc>
      </w:tr>
      <w:tr w:rsidR="00576857" w14:paraId="3910A621" w14:textId="77777777" w:rsidTr="001515D5">
        <w:tc>
          <w:tcPr>
            <w:tcW w:w="4675" w:type="dxa"/>
            <w:vAlign w:val="bottom"/>
          </w:tcPr>
          <w:p w14:paraId="3D903DE1" w14:textId="77777777" w:rsidR="00576857" w:rsidRDefault="00576857" w:rsidP="001515D5">
            <w:r>
              <w:t>15 to 17</w:t>
            </w:r>
          </w:p>
        </w:tc>
        <w:tc>
          <w:tcPr>
            <w:tcW w:w="4675" w:type="dxa"/>
            <w:vAlign w:val="bottom"/>
          </w:tcPr>
          <w:p w14:paraId="61A2AE96" w14:textId="77777777" w:rsidR="00576857" w:rsidRDefault="00576857" w:rsidP="001515D5">
            <w:r>
              <w:t>97.2%</w:t>
            </w:r>
          </w:p>
        </w:tc>
      </w:tr>
    </w:tbl>
    <w:p w14:paraId="4EC22092" w14:textId="77777777" w:rsidR="00576857" w:rsidRPr="009D7FE2" w:rsidRDefault="00576857" w:rsidP="00576857">
      <w:r w:rsidRPr="009D7FE2">
        <w:t xml:space="preserve">Source: SC DHEC Vital Statistics, 2017- 2021. </w:t>
      </w:r>
    </w:p>
    <w:p w14:paraId="0868600D" w14:textId="77777777" w:rsidR="00576857" w:rsidRPr="000F5C65" w:rsidRDefault="00576857" w:rsidP="00576857">
      <w:r w:rsidRPr="009D7FE2">
        <w:t>Note: Population for year 2021 based on single-race estimates and for years prior based on bridge-race estimates.</w:t>
      </w:r>
    </w:p>
    <w:p w14:paraId="488D526A" w14:textId="5AF3E9E8" w:rsidR="00CF1BB1" w:rsidRDefault="00CF1BB1" w:rsidP="00CF1BB1"/>
    <w:p w14:paraId="45E9E819" w14:textId="77777777" w:rsidR="00CF1BB1" w:rsidRDefault="00CF1BB1" w:rsidP="00CF1BB1">
      <w:pPr>
        <w:pStyle w:val="Heading4"/>
      </w:pPr>
      <w:bookmarkStart w:id="542" w:name="_Toc162267360"/>
      <w:r w:rsidRPr="00CF1BB1">
        <w:t>Data Interpretations:</w:t>
      </w:r>
      <w:bookmarkEnd w:id="542"/>
      <w:r w:rsidRPr="00CF1BB1">
        <w:t xml:space="preserve"> </w:t>
      </w:r>
    </w:p>
    <w:p w14:paraId="4564D719" w14:textId="3449AC60" w:rsidR="00CF1BB1" w:rsidRPr="00CF1BB1" w:rsidRDefault="00CF1BB1" w:rsidP="00CF1BB1">
      <w:r w:rsidRPr="00CF1BB1">
        <w:t>From 2012-2021, homicide in SC children ages 1 to 17 increased from a rate of 1.3 deaths per 100,000 population to 4.7 deaths per 100,000 population. SC’s 2021 rate was almost double the national rate of 2.8 per 100,000 (</w:t>
      </w:r>
      <w:r w:rsidRPr="00CF1BB1">
        <w:rPr>
          <w:b/>
          <w:bCs/>
        </w:rPr>
        <w:t>Figure 8.6</w:t>
      </w:r>
      <w:r w:rsidRPr="00CF1BB1">
        <w:t>). According to the SC Violent Death Reporting System (SCVDRS), nearly 75% of homicides among children aged 1 to 4 in SC with known circumstances were directly related to or precipitated by caretaker abuse or neglect. From 2017-2021, SC non-Hispanic Black males had the highest homicide rate among children ages 1 to 17 (13.4 deaths per 100,000 population), which was more than 6 times as high as non-Hispanic White males (2.0 deaths per 100,000 population) (</w:t>
      </w:r>
      <w:r w:rsidRPr="00CF1BB1">
        <w:rPr>
          <w:b/>
          <w:bCs/>
        </w:rPr>
        <w:t>Figure 8.7</w:t>
      </w:r>
      <w:r w:rsidRPr="00CF1BB1">
        <w:t xml:space="preserve">). The homicide rate for </w:t>
      </w:r>
      <w:r w:rsidR="006D4802">
        <w:t>n</w:t>
      </w:r>
      <w:r w:rsidRPr="00CF1BB1">
        <w:t>on-Hispanic Black females ages 1 to 17 (4.3 deaths per 100,000 population) was more than 5 times higher than non-Hispanic White females (0.8 deaths per 100,000 population) (</w:t>
      </w:r>
      <w:r w:rsidRPr="00CF1BB1">
        <w:rPr>
          <w:b/>
          <w:bCs/>
        </w:rPr>
        <w:t>Figure 8.7</w:t>
      </w:r>
      <w:r w:rsidRPr="00CF1BB1">
        <w:t xml:space="preserve">). From 2017-2021, </w:t>
      </w:r>
      <w:proofErr w:type="gramStart"/>
      <w:r w:rsidRPr="00CF1BB1">
        <w:t>the majority of</w:t>
      </w:r>
      <w:proofErr w:type="gramEnd"/>
      <w:r w:rsidRPr="00CF1BB1">
        <w:t xml:space="preserve"> homicides among SC children ages 10 to 14 (92.9%) and ages 15 to 17 (97.2%) were by firearms (</w:t>
      </w:r>
      <w:r w:rsidRPr="00CF1BB1">
        <w:rPr>
          <w:b/>
          <w:bCs/>
        </w:rPr>
        <w:t>Figure 8.8</w:t>
      </w:r>
      <w:r w:rsidRPr="00CF1BB1">
        <w:t xml:space="preserve">).  </w:t>
      </w:r>
    </w:p>
    <w:p w14:paraId="7D338254" w14:textId="77777777" w:rsidR="00CF1BB1" w:rsidRDefault="00CF1BB1" w:rsidP="00CF1BB1">
      <w:pPr>
        <w:rPr>
          <w:b/>
          <w:bCs/>
        </w:rPr>
      </w:pPr>
    </w:p>
    <w:p w14:paraId="58196B11" w14:textId="622D416B" w:rsidR="00CF1BB1" w:rsidRDefault="00CF1BB1" w:rsidP="00CF1BB1">
      <w:pPr>
        <w:pStyle w:val="Heading5"/>
      </w:pPr>
      <w:r>
        <w:t xml:space="preserve">Key Takeaways: </w:t>
      </w:r>
    </w:p>
    <w:p w14:paraId="4C8C2B37" w14:textId="195E7774" w:rsidR="00CF1BB1" w:rsidRPr="00CF1BB1" w:rsidRDefault="00CF1BB1" w:rsidP="00926EB3">
      <w:pPr>
        <w:pStyle w:val="ListParagraph"/>
        <w:numPr>
          <w:ilvl w:val="0"/>
          <w:numId w:val="223"/>
        </w:numPr>
      </w:pPr>
      <w:r w:rsidRPr="00CF1BB1">
        <w:t xml:space="preserve">Non-Hispanic black male children in South Carolina are disproportionately affected by homicide. </w:t>
      </w:r>
    </w:p>
    <w:p w14:paraId="31F7694C" w14:textId="76E4FD09" w:rsidR="00CF1BB1" w:rsidRPr="00CF1BB1" w:rsidRDefault="00CF1BB1" w:rsidP="00CF1BB1">
      <w:pPr>
        <w:pStyle w:val="Heading4"/>
        <w:rPr>
          <w:color w:val="FF0000"/>
        </w:rPr>
      </w:pPr>
    </w:p>
    <w:p w14:paraId="1C4229B9" w14:textId="595F2254" w:rsidR="00CF1BB1" w:rsidRDefault="00506CC7" w:rsidP="00CF1BB1">
      <w:pPr>
        <w:pStyle w:val="Heading4"/>
        <w:rPr>
          <w:rFonts w:asciiTheme="minorHAnsi" w:hAnsiTheme="minorHAnsi" w:cstheme="minorHAnsi"/>
          <w:color w:val="000000" w:themeColor="text1"/>
        </w:rPr>
      </w:pPr>
      <w:bookmarkStart w:id="543" w:name="_Toc162267361"/>
      <w:r w:rsidRPr="00506CC7">
        <w:rPr>
          <w:rFonts w:asciiTheme="minorHAnsi" w:hAnsiTheme="minorHAnsi" w:cstheme="minorHAnsi"/>
          <w:color w:val="000000" w:themeColor="text1"/>
        </w:rPr>
        <w:t xml:space="preserve">References </w:t>
      </w:r>
      <w:r w:rsidR="00CF1BB1">
        <w:rPr>
          <w:rFonts w:asciiTheme="minorHAnsi" w:hAnsiTheme="minorHAnsi" w:cstheme="minorHAnsi"/>
          <w:color w:val="000000" w:themeColor="text1"/>
        </w:rPr>
        <w:t>8.4</w:t>
      </w:r>
      <w:bookmarkEnd w:id="543"/>
      <w:r w:rsidR="00CF1BB1">
        <w:rPr>
          <w:rFonts w:asciiTheme="minorHAnsi" w:hAnsiTheme="minorHAnsi" w:cstheme="minorHAnsi"/>
          <w:color w:val="000000" w:themeColor="text1"/>
        </w:rPr>
        <w:t xml:space="preserve">  </w:t>
      </w:r>
    </w:p>
    <w:p w14:paraId="31475F79" w14:textId="77777777" w:rsidR="00CF1BB1" w:rsidRPr="00506CC7" w:rsidRDefault="00CF1BB1" w:rsidP="00CF1BB1">
      <w:pPr>
        <w:rPr>
          <w:i/>
          <w:iCs/>
        </w:rPr>
      </w:pPr>
      <w:r w:rsidRPr="00506CC7">
        <w:t>Statistics in the preceding section were referenced from the following reports:</w:t>
      </w:r>
    </w:p>
    <w:p w14:paraId="50AA5C3F" w14:textId="77777777" w:rsidR="00236A4C" w:rsidRDefault="00236A4C" w:rsidP="00236A4C">
      <w:pPr>
        <w:ind w:left="360"/>
      </w:pPr>
      <w:r>
        <w:t>6.</w:t>
      </w:r>
      <w:hyperlink r:id="rId242" w:history="1">
        <w:r w:rsidRPr="00056587">
          <w:rPr>
            <w:rStyle w:val="Hyperlink"/>
          </w:rPr>
          <w:t>“WISQARS (Web-based Injury Statistics Query and Reporting System)” by CDC Injury Center via cdc.gov. Accessed June 21, 2023.</w:t>
        </w:r>
      </w:hyperlink>
      <w:r w:rsidRPr="00056587">
        <w:t xml:space="preserve"> </w:t>
      </w:r>
    </w:p>
    <w:p w14:paraId="7B0266C4" w14:textId="4C9E92D9" w:rsidR="00D26A8E" w:rsidRPr="00D26A8E" w:rsidRDefault="00D26A8E" w:rsidP="00926EB3">
      <w:pPr>
        <w:pStyle w:val="ListParagraph"/>
        <w:numPr>
          <w:ilvl w:val="0"/>
          <w:numId w:val="35"/>
        </w:numPr>
      </w:pPr>
      <w:r>
        <w:lastRenderedPageBreak/>
        <w:t>“</w:t>
      </w:r>
      <w:r w:rsidRPr="00D26A8E">
        <w:t>Trends in Homicide Rates for US Children Aged 0 to 17 Years, 1999 to 2020</w:t>
      </w:r>
      <w:r>
        <w:t>” by</w:t>
      </w:r>
      <w:r w:rsidRPr="00D26A8E">
        <w:t xml:space="preserve"> Wilson RF, Fortson BL, Zhou H, et al.</w:t>
      </w:r>
      <w:r>
        <w:t xml:space="preserve"> Published in</w:t>
      </w:r>
      <w:r w:rsidRPr="00D26A8E">
        <w:t xml:space="preserve"> JAMA </w:t>
      </w:r>
      <w:proofErr w:type="spellStart"/>
      <w:r w:rsidRPr="00D26A8E">
        <w:t>Pediatr</w:t>
      </w:r>
      <w:proofErr w:type="spellEnd"/>
      <w:r w:rsidRPr="00D26A8E">
        <w:t>.</w:t>
      </w:r>
      <w:r>
        <w:t>, 2023. No hyperlink.</w:t>
      </w:r>
    </w:p>
    <w:p w14:paraId="262D5761" w14:textId="0BFC0C62" w:rsidR="00D26A8E" w:rsidRPr="00D26A8E" w:rsidRDefault="00000000" w:rsidP="00926EB3">
      <w:pPr>
        <w:pStyle w:val="ListParagraph"/>
        <w:numPr>
          <w:ilvl w:val="0"/>
          <w:numId w:val="35"/>
        </w:numPr>
      </w:pPr>
      <w:hyperlink r:id="rId243" w:history="1">
        <w:r w:rsidR="00D26A8E" w:rsidRPr="00D26A8E">
          <w:rPr>
            <w:rStyle w:val="Hyperlink"/>
          </w:rPr>
          <w:t>“Preventing Youth Violence, Violence Prevention; Injury Center” by CDC via cdc.gov. Accessed June 21, 2023.</w:t>
        </w:r>
      </w:hyperlink>
      <w:r w:rsidR="00D26A8E" w:rsidRPr="00D26A8E">
        <w:t xml:space="preserve"> </w:t>
      </w:r>
    </w:p>
    <w:p w14:paraId="347DE68D" w14:textId="63143560" w:rsidR="00D26A8E" w:rsidRPr="00D26A8E" w:rsidRDefault="00000000" w:rsidP="00926EB3">
      <w:pPr>
        <w:pStyle w:val="ListParagraph"/>
        <w:numPr>
          <w:ilvl w:val="0"/>
          <w:numId w:val="35"/>
        </w:numPr>
      </w:pPr>
      <w:hyperlink r:id="rId244" w:history="1">
        <w:r w:rsidR="00D26A8E" w:rsidRPr="00D26A8E">
          <w:rPr>
            <w:rStyle w:val="Hyperlink"/>
          </w:rPr>
          <w:t xml:space="preserve">“Youth violence is a global public health problem’ by the World Health </w:t>
        </w:r>
        <w:proofErr w:type="spellStart"/>
        <w:r w:rsidR="00D26A8E" w:rsidRPr="00D26A8E">
          <w:rPr>
            <w:rStyle w:val="Hyperlink"/>
          </w:rPr>
          <w:t>Organzation</w:t>
        </w:r>
        <w:proofErr w:type="spellEnd"/>
        <w:r w:rsidR="00D26A8E" w:rsidRPr="00D26A8E">
          <w:rPr>
            <w:rStyle w:val="Hyperlink"/>
          </w:rPr>
          <w:t>, via un.org. Accessed June 21, 2023.</w:t>
        </w:r>
      </w:hyperlink>
      <w:r w:rsidR="00D26A8E" w:rsidRPr="00D26A8E">
        <w:t xml:space="preserve"> </w:t>
      </w:r>
    </w:p>
    <w:p w14:paraId="5D027F8B" w14:textId="799712E9" w:rsidR="00D26A8E" w:rsidRPr="00D26A8E" w:rsidRDefault="00000000" w:rsidP="00926EB3">
      <w:pPr>
        <w:pStyle w:val="ListParagraph"/>
        <w:numPr>
          <w:ilvl w:val="0"/>
          <w:numId w:val="35"/>
        </w:numPr>
      </w:pPr>
      <w:hyperlink r:id="rId245" w:history="1">
        <w:r w:rsidR="00D26A8E" w:rsidRPr="00D26A8E">
          <w:rPr>
            <w:rStyle w:val="Hyperlink"/>
          </w:rPr>
          <w:t>“South Carolina Violent Death Reporting System” by SCDHEC via scdhec.gov. Accessed June 21, 2023.</w:t>
        </w:r>
      </w:hyperlink>
    </w:p>
    <w:p w14:paraId="6E9255D4" w14:textId="4322BB5B" w:rsidR="00CF1BB1" w:rsidRDefault="00CF1BB1" w:rsidP="00CF1BB1">
      <w:pPr>
        <w:pStyle w:val="H3"/>
      </w:pPr>
    </w:p>
    <w:p w14:paraId="38341980" w14:textId="77777777" w:rsidR="00CF1BB1" w:rsidRDefault="00CF1BB1" w:rsidP="00CF1BB1">
      <w:pPr>
        <w:pStyle w:val="Heading3"/>
      </w:pPr>
      <w:bookmarkStart w:id="544" w:name="_Toc162267362"/>
      <w:r w:rsidRPr="00CF1BB1">
        <w:t>Injuries and Injury-Related Deaths:</w:t>
      </w:r>
      <w:r>
        <w:t xml:space="preserve"> Suicide Deaths</w:t>
      </w:r>
      <w:bookmarkEnd w:id="544"/>
    </w:p>
    <w:p w14:paraId="0053B473" w14:textId="03799BF5" w:rsidR="00CF1BB1" w:rsidRPr="00CF1BB1" w:rsidRDefault="00CF1BB1" w:rsidP="00CF1BB1">
      <w:r w:rsidRPr="00CF1BB1">
        <w:t xml:space="preserve">Rates of suicide attempts and deaths among children have increased in the US over the past decade. Suicide is the </w:t>
      </w:r>
      <w:r w:rsidR="006D4802">
        <w:t>seco</w:t>
      </w:r>
      <w:r w:rsidRPr="00CF1BB1">
        <w:t xml:space="preserve">nd-leading cause of death among children and young adults ages 10-24 in the US. In 2021, EDs across the US noted a sharp rise in people aged 12-17 needing treatment for suicidal ideation or actions Firearms are the top cause of death for teens 15-19 who die by suicide, and children who live in homes with firearms are more likely to attempt suicide. </w:t>
      </w:r>
    </w:p>
    <w:p w14:paraId="008632D1" w14:textId="77777777" w:rsidR="00CF1BB1" w:rsidRDefault="00CF1BB1" w:rsidP="00CF1BB1"/>
    <w:p w14:paraId="263E55A7" w14:textId="79CC68F0" w:rsidR="00CF1BB1" w:rsidRPr="00CF1BB1" w:rsidRDefault="00CF1BB1" w:rsidP="00CF1BB1">
      <w:r w:rsidRPr="00CF1BB1">
        <w:t>There are many factors that make certain young people more susceptible to suicide.</w:t>
      </w:r>
      <w:r w:rsidR="006D4802">
        <w:t xml:space="preserve"> </w:t>
      </w:r>
      <w:r w:rsidRPr="00CF1BB1">
        <w:t>Young people who have already tried to take their lives face higher risks of suicide. Children who experience Adverse Childhood Experiences (ACEs) such as abuse, violence, death of family members, and other trauma are at a greater risk of suicide. Additionally, females think about and attempt suicide about twice as often as males, yet males die by suicide about 4 times more than females due to use of more lethal methods.</w:t>
      </w:r>
    </w:p>
    <w:p w14:paraId="5D10968D" w14:textId="41C307E9" w:rsidR="00CF1BB1" w:rsidRDefault="00CF1BB1" w:rsidP="00506CC7"/>
    <w:p w14:paraId="13BC432A" w14:textId="77777777" w:rsidR="00576857" w:rsidRDefault="00576857" w:rsidP="00576857">
      <w:pPr>
        <w:pStyle w:val="Heading4"/>
      </w:pPr>
      <w:bookmarkStart w:id="545" w:name="_Toc154576444"/>
      <w:bookmarkStart w:id="546" w:name="_Toc162267363"/>
      <w:r>
        <w:t>Figure 8.9: Suicide in Teens Aged 10-17.</w:t>
      </w:r>
      <w:bookmarkEnd w:id="545"/>
      <w:bookmarkEnd w:id="546"/>
    </w:p>
    <w:p w14:paraId="386950F0" w14:textId="77777777" w:rsidR="00576857" w:rsidRDefault="00576857" w:rsidP="00576857">
      <w:pPr>
        <w:pStyle w:val="Heading5"/>
      </w:pPr>
      <w:r>
        <w:t>Rate per 100,000 population.</w:t>
      </w:r>
    </w:p>
    <w:tbl>
      <w:tblPr>
        <w:tblStyle w:val="TableGrid"/>
        <w:tblW w:w="0" w:type="auto"/>
        <w:tblLook w:val="04A0" w:firstRow="1" w:lastRow="0" w:firstColumn="1" w:lastColumn="0" w:noHBand="0" w:noVBand="1"/>
      </w:tblPr>
      <w:tblGrid>
        <w:gridCol w:w="3116"/>
        <w:gridCol w:w="3117"/>
        <w:gridCol w:w="3117"/>
      </w:tblGrid>
      <w:tr w:rsidR="00576857" w14:paraId="1D1C1992" w14:textId="77777777" w:rsidTr="001515D5">
        <w:tc>
          <w:tcPr>
            <w:tcW w:w="3116" w:type="dxa"/>
            <w:vAlign w:val="bottom"/>
          </w:tcPr>
          <w:p w14:paraId="3B52E73F" w14:textId="77777777" w:rsidR="00576857" w:rsidRPr="009D7FE2" w:rsidRDefault="00576857" w:rsidP="001515D5">
            <w:r w:rsidRPr="009D7FE2">
              <w:t> </w:t>
            </w:r>
            <w:r>
              <w:t>Year</w:t>
            </w:r>
          </w:p>
        </w:tc>
        <w:tc>
          <w:tcPr>
            <w:tcW w:w="3117" w:type="dxa"/>
            <w:vAlign w:val="bottom"/>
          </w:tcPr>
          <w:p w14:paraId="767E307A" w14:textId="77777777" w:rsidR="00576857" w:rsidRPr="009D7FE2" w:rsidRDefault="00576857" w:rsidP="001515D5">
            <w:r w:rsidRPr="009D7FE2">
              <w:t>SC</w:t>
            </w:r>
          </w:p>
        </w:tc>
        <w:tc>
          <w:tcPr>
            <w:tcW w:w="3117" w:type="dxa"/>
            <w:vAlign w:val="bottom"/>
          </w:tcPr>
          <w:p w14:paraId="6216BB4B" w14:textId="77777777" w:rsidR="00576857" w:rsidRPr="009D7FE2" w:rsidRDefault="00576857" w:rsidP="001515D5">
            <w:r w:rsidRPr="009D7FE2">
              <w:t>US</w:t>
            </w:r>
          </w:p>
        </w:tc>
      </w:tr>
      <w:tr w:rsidR="00576857" w14:paraId="43C2DC99" w14:textId="77777777" w:rsidTr="001515D5">
        <w:tc>
          <w:tcPr>
            <w:tcW w:w="3116" w:type="dxa"/>
            <w:vAlign w:val="center"/>
          </w:tcPr>
          <w:p w14:paraId="5A0DAA0A" w14:textId="77777777" w:rsidR="00576857" w:rsidRPr="009D7FE2" w:rsidRDefault="00576857" w:rsidP="001515D5">
            <w:r w:rsidRPr="009D7FE2">
              <w:t>2012</w:t>
            </w:r>
          </w:p>
        </w:tc>
        <w:tc>
          <w:tcPr>
            <w:tcW w:w="3117" w:type="dxa"/>
            <w:vAlign w:val="bottom"/>
          </w:tcPr>
          <w:p w14:paraId="59411DB8" w14:textId="77777777" w:rsidR="00576857" w:rsidRPr="009D7FE2" w:rsidRDefault="00576857" w:rsidP="001515D5">
            <w:r w:rsidRPr="009D7FE2">
              <w:t>3.3</w:t>
            </w:r>
          </w:p>
        </w:tc>
        <w:tc>
          <w:tcPr>
            <w:tcW w:w="3117" w:type="dxa"/>
            <w:vAlign w:val="bottom"/>
          </w:tcPr>
          <w:p w14:paraId="321DFEC0" w14:textId="77777777" w:rsidR="00576857" w:rsidRPr="009D7FE2" w:rsidRDefault="00576857" w:rsidP="001515D5">
            <w:r w:rsidRPr="009D7FE2">
              <w:t>3.5</w:t>
            </w:r>
          </w:p>
        </w:tc>
      </w:tr>
      <w:tr w:rsidR="00576857" w14:paraId="67CC8BB2" w14:textId="77777777" w:rsidTr="001515D5">
        <w:tc>
          <w:tcPr>
            <w:tcW w:w="3116" w:type="dxa"/>
            <w:vAlign w:val="center"/>
          </w:tcPr>
          <w:p w14:paraId="2595B30C" w14:textId="77777777" w:rsidR="00576857" w:rsidRPr="009D7FE2" w:rsidRDefault="00576857" w:rsidP="001515D5">
            <w:r w:rsidRPr="009D7FE2">
              <w:t>2013</w:t>
            </w:r>
          </w:p>
        </w:tc>
        <w:tc>
          <w:tcPr>
            <w:tcW w:w="3117" w:type="dxa"/>
            <w:vAlign w:val="bottom"/>
          </w:tcPr>
          <w:p w14:paraId="7B02A88D" w14:textId="77777777" w:rsidR="00576857" w:rsidRPr="009D7FE2" w:rsidRDefault="00576857" w:rsidP="001515D5">
            <w:r w:rsidRPr="009D7FE2">
              <w:t>3.9</w:t>
            </w:r>
          </w:p>
        </w:tc>
        <w:tc>
          <w:tcPr>
            <w:tcW w:w="3117" w:type="dxa"/>
            <w:vAlign w:val="bottom"/>
          </w:tcPr>
          <w:p w14:paraId="30091738" w14:textId="77777777" w:rsidR="00576857" w:rsidRPr="009D7FE2" w:rsidRDefault="00576857" w:rsidP="001515D5">
            <w:r w:rsidRPr="009D7FE2">
              <w:t>3.7</w:t>
            </w:r>
          </w:p>
        </w:tc>
      </w:tr>
      <w:tr w:rsidR="00576857" w14:paraId="2C47D8A7" w14:textId="77777777" w:rsidTr="001515D5">
        <w:tc>
          <w:tcPr>
            <w:tcW w:w="3116" w:type="dxa"/>
            <w:vAlign w:val="center"/>
          </w:tcPr>
          <w:p w14:paraId="2D180907" w14:textId="77777777" w:rsidR="00576857" w:rsidRPr="009D7FE2" w:rsidRDefault="00576857" w:rsidP="001515D5">
            <w:r w:rsidRPr="009D7FE2">
              <w:t>2014</w:t>
            </w:r>
          </w:p>
        </w:tc>
        <w:tc>
          <w:tcPr>
            <w:tcW w:w="3117" w:type="dxa"/>
            <w:vAlign w:val="bottom"/>
          </w:tcPr>
          <w:p w14:paraId="0E1F1176" w14:textId="77777777" w:rsidR="00576857" w:rsidRPr="009D7FE2" w:rsidRDefault="00576857" w:rsidP="001515D5">
            <w:r w:rsidRPr="009D7FE2">
              <w:t>5.3</w:t>
            </w:r>
          </w:p>
        </w:tc>
        <w:tc>
          <w:tcPr>
            <w:tcW w:w="3117" w:type="dxa"/>
            <w:vAlign w:val="bottom"/>
          </w:tcPr>
          <w:p w14:paraId="58ED8D05" w14:textId="77777777" w:rsidR="00576857" w:rsidRPr="009D7FE2" w:rsidRDefault="00576857" w:rsidP="001515D5">
            <w:r w:rsidRPr="009D7FE2">
              <w:t>4</w:t>
            </w:r>
          </w:p>
        </w:tc>
      </w:tr>
      <w:tr w:rsidR="00576857" w14:paraId="27FC2F60" w14:textId="77777777" w:rsidTr="001515D5">
        <w:tc>
          <w:tcPr>
            <w:tcW w:w="3116" w:type="dxa"/>
            <w:vAlign w:val="center"/>
          </w:tcPr>
          <w:p w14:paraId="5B4F3E5B" w14:textId="77777777" w:rsidR="00576857" w:rsidRPr="009D7FE2" w:rsidRDefault="00576857" w:rsidP="001515D5">
            <w:r w:rsidRPr="009D7FE2">
              <w:t>2015</w:t>
            </w:r>
          </w:p>
        </w:tc>
        <w:tc>
          <w:tcPr>
            <w:tcW w:w="3117" w:type="dxa"/>
            <w:vAlign w:val="bottom"/>
          </w:tcPr>
          <w:p w14:paraId="0A181209" w14:textId="77777777" w:rsidR="00576857" w:rsidRPr="009D7FE2" w:rsidRDefault="00576857" w:rsidP="001515D5">
            <w:r w:rsidRPr="009D7FE2">
              <w:t>4</w:t>
            </w:r>
          </w:p>
        </w:tc>
        <w:tc>
          <w:tcPr>
            <w:tcW w:w="3117" w:type="dxa"/>
            <w:vAlign w:val="bottom"/>
          </w:tcPr>
          <w:p w14:paraId="5878A91A" w14:textId="77777777" w:rsidR="00576857" w:rsidRPr="009D7FE2" w:rsidRDefault="00576857" w:rsidP="001515D5">
            <w:r w:rsidRPr="009D7FE2">
              <w:t>4.2</w:t>
            </w:r>
          </w:p>
        </w:tc>
      </w:tr>
      <w:tr w:rsidR="00576857" w14:paraId="1263CFE9" w14:textId="77777777" w:rsidTr="001515D5">
        <w:tc>
          <w:tcPr>
            <w:tcW w:w="3116" w:type="dxa"/>
            <w:vAlign w:val="center"/>
          </w:tcPr>
          <w:p w14:paraId="10B2430E" w14:textId="77777777" w:rsidR="00576857" w:rsidRPr="009D7FE2" w:rsidRDefault="00576857" w:rsidP="001515D5">
            <w:r w:rsidRPr="009D7FE2">
              <w:t>2016</w:t>
            </w:r>
          </w:p>
        </w:tc>
        <w:tc>
          <w:tcPr>
            <w:tcW w:w="3117" w:type="dxa"/>
            <w:vAlign w:val="bottom"/>
          </w:tcPr>
          <w:p w14:paraId="21C32703" w14:textId="77777777" w:rsidR="00576857" w:rsidRPr="009D7FE2" w:rsidRDefault="00576857" w:rsidP="001515D5">
            <w:r w:rsidRPr="009D7FE2">
              <w:t>4.6</w:t>
            </w:r>
          </w:p>
        </w:tc>
        <w:tc>
          <w:tcPr>
            <w:tcW w:w="3117" w:type="dxa"/>
            <w:vAlign w:val="bottom"/>
          </w:tcPr>
          <w:p w14:paraId="56BC5709" w14:textId="77777777" w:rsidR="00576857" w:rsidRPr="009D7FE2" w:rsidRDefault="00576857" w:rsidP="001515D5">
            <w:r w:rsidRPr="009D7FE2">
              <w:t>4.6</w:t>
            </w:r>
          </w:p>
        </w:tc>
      </w:tr>
      <w:tr w:rsidR="00576857" w14:paraId="5C510869" w14:textId="77777777" w:rsidTr="001515D5">
        <w:tc>
          <w:tcPr>
            <w:tcW w:w="3116" w:type="dxa"/>
            <w:vAlign w:val="center"/>
          </w:tcPr>
          <w:p w14:paraId="1A2BD6BE" w14:textId="77777777" w:rsidR="00576857" w:rsidRPr="009D7FE2" w:rsidRDefault="00576857" w:rsidP="001515D5">
            <w:r w:rsidRPr="009D7FE2">
              <w:t>2017</w:t>
            </w:r>
          </w:p>
        </w:tc>
        <w:tc>
          <w:tcPr>
            <w:tcW w:w="3117" w:type="dxa"/>
            <w:vAlign w:val="bottom"/>
          </w:tcPr>
          <w:p w14:paraId="1ED9FA3D" w14:textId="77777777" w:rsidR="00576857" w:rsidRPr="009D7FE2" w:rsidRDefault="00576857" w:rsidP="001515D5">
            <w:r w:rsidRPr="009D7FE2">
              <w:t>5.1</w:t>
            </w:r>
          </w:p>
        </w:tc>
        <w:tc>
          <w:tcPr>
            <w:tcW w:w="3117" w:type="dxa"/>
            <w:vAlign w:val="bottom"/>
          </w:tcPr>
          <w:p w14:paraId="2B61A704" w14:textId="77777777" w:rsidR="00576857" w:rsidRPr="009D7FE2" w:rsidRDefault="00576857" w:rsidP="001515D5">
            <w:r w:rsidRPr="009D7FE2">
              <w:t>5.3</w:t>
            </w:r>
          </w:p>
        </w:tc>
      </w:tr>
      <w:tr w:rsidR="00576857" w14:paraId="09288F2F" w14:textId="77777777" w:rsidTr="001515D5">
        <w:tc>
          <w:tcPr>
            <w:tcW w:w="3116" w:type="dxa"/>
            <w:vAlign w:val="center"/>
          </w:tcPr>
          <w:p w14:paraId="2BBC9AAF" w14:textId="77777777" w:rsidR="00576857" w:rsidRPr="009D7FE2" w:rsidRDefault="00576857" w:rsidP="001515D5">
            <w:r w:rsidRPr="009D7FE2">
              <w:t>2018</w:t>
            </w:r>
          </w:p>
        </w:tc>
        <w:tc>
          <w:tcPr>
            <w:tcW w:w="3117" w:type="dxa"/>
            <w:vAlign w:val="bottom"/>
          </w:tcPr>
          <w:p w14:paraId="7D86ECAF" w14:textId="77777777" w:rsidR="00576857" w:rsidRPr="009D7FE2" w:rsidRDefault="00576857" w:rsidP="001515D5">
            <w:r w:rsidRPr="009D7FE2">
              <w:t>5.6</w:t>
            </w:r>
          </w:p>
        </w:tc>
        <w:tc>
          <w:tcPr>
            <w:tcW w:w="3117" w:type="dxa"/>
            <w:vAlign w:val="bottom"/>
          </w:tcPr>
          <w:p w14:paraId="3C32EFDC" w14:textId="77777777" w:rsidR="00576857" w:rsidRPr="009D7FE2" w:rsidRDefault="00576857" w:rsidP="001515D5">
            <w:r w:rsidRPr="009D7FE2">
              <w:t>5.5</w:t>
            </w:r>
          </w:p>
        </w:tc>
      </w:tr>
      <w:tr w:rsidR="00576857" w14:paraId="41BDDC7F" w14:textId="77777777" w:rsidTr="001515D5">
        <w:tc>
          <w:tcPr>
            <w:tcW w:w="3116" w:type="dxa"/>
            <w:vAlign w:val="center"/>
          </w:tcPr>
          <w:p w14:paraId="7409C3C1" w14:textId="77777777" w:rsidR="00576857" w:rsidRPr="009D7FE2" w:rsidRDefault="00576857" w:rsidP="001515D5">
            <w:r w:rsidRPr="009D7FE2">
              <w:t>2019</w:t>
            </w:r>
          </w:p>
        </w:tc>
        <w:tc>
          <w:tcPr>
            <w:tcW w:w="3117" w:type="dxa"/>
            <w:vAlign w:val="bottom"/>
          </w:tcPr>
          <w:p w14:paraId="35A7C078" w14:textId="77777777" w:rsidR="00576857" w:rsidRPr="009D7FE2" w:rsidRDefault="00576857" w:rsidP="001515D5">
            <w:r w:rsidRPr="009D7FE2">
              <w:t>7.5</w:t>
            </w:r>
          </w:p>
        </w:tc>
        <w:tc>
          <w:tcPr>
            <w:tcW w:w="3117" w:type="dxa"/>
            <w:vAlign w:val="bottom"/>
          </w:tcPr>
          <w:p w14:paraId="7F8F9115" w14:textId="77777777" w:rsidR="00576857" w:rsidRPr="009D7FE2" w:rsidRDefault="00576857" w:rsidP="001515D5">
            <w:r w:rsidRPr="009D7FE2">
              <w:t>4.9</w:t>
            </w:r>
          </w:p>
        </w:tc>
      </w:tr>
      <w:tr w:rsidR="00576857" w14:paraId="404DA831" w14:textId="77777777" w:rsidTr="001515D5">
        <w:tc>
          <w:tcPr>
            <w:tcW w:w="3116" w:type="dxa"/>
            <w:vAlign w:val="center"/>
          </w:tcPr>
          <w:p w14:paraId="2BC0D65F" w14:textId="77777777" w:rsidR="00576857" w:rsidRPr="009D7FE2" w:rsidRDefault="00576857" w:rsidP="001515D5">
            <w:r w:rsidRPr="009D7FE2">
              <w:lastRenderedPageBreak/>
              <w:t>2020</w:t>
            </w:r>
          </w:p>
        </w:tc>
        <w:tc>
          <w:tcPr>
            <w:tcW w:w="3117" w:type="dxa"/>
            <w:vAlign w:val="bottom"/>
          </w:tcPr>
          <w:p w14:paraId="1FECB303" w14:textId="77777777" w:rsidR="00576857" w:rsidRPr="009D7FE2" w:rsidRDefault="00576857" w:rsidP="001515D5">
            <w:r w:rsidRPr="009D7FE2">
              <w:t>5.4</w:t>
            </w:r>
          </w:p>
        </w:tc>
        <w:tc>
          <w:tcPr>
            <w:tcW w:w="3117" w:type="dxa"/>
            <w:vAlign w:val="bottom"/>
          </w:tcPr>
          <w:p w14:paraId="569C2BEB" w14:textId="77777777" w:rsidR="00576857" w:rsidRPr="009D7FE2" w:rsidRDefault="00576857" w:rsidP="001515D5">
            <w:r w:rsidRPr="009D7FE2">
              <w:t>5</w:t>
            </w:r>
          </w:p>
        </w:tc>
      </w:tr>
    </w:tbl>
    <w:p w14:paraId="7E3A4720" w14:textId="77777777" w:rsidR="00576857" w:rsidRDefault="00576857" w:rsidP="00576857">
      <w:r>
        <w:t xml:space="preserve">Source: SC DHEC Vital Statistics, CDC NCHS. </w:t>
      </w:r>
    </w:p>
    <w:p w14:paraId="1CC782F9" w14:textId="77777777" w:rsidR="00576857" w:rsidRDefault="00576857" w:rsidP="00576857">
      <w:r>
        <w:t>Note: Population for year 2021 based on single-race estimates and for years prior based on bridge-race estimates.</w:t>
      </w:r>
    </w:p>
    <w:p w14:paraId="5003CCB5" w14:textId="77777777" w:rsidR="00576857" w:rsidRPr="00C12D03" w:rsidRDefault="00576857" w:rsidP="00576857"/>
    <w:p w14:paraId="2CF856F6" w14:textId="77777777" w:rsidR="00576857" w:rsidRDefault="00576857" w:rsidP="00576857">
      <w:pPr>
        <w:pStyle w:val="Heading4"/>
      </w:pPr>
      <w:bookmarkStart w:id="547" w:name="_Toc154576445"/>
      <w:bookmarkStart w:id="548" w:name="_Toc162267364"/>
      <w:r>
        <w:t>Figure 8.10: Suicide in Teens Aged 10-17, by Sex and Race.</w:t>
      </w:r>
      <w:bookmarkEnd w:id="547"/>
      <w:bookmarkEnd w:id="548"/>
    </w:p>
    <w:p w14:paraId="4E2CE04D" w14:textId="77777777" w:rsidR="00576857" w:rsidRDefault="00576857" w:rsidP="00576857">
      <w:pPr>
        <w:pStyle w:val="Heading5"/>
      </w:pPr>
      <w:r>
        <w:t>Rate per 100,000 population.</w:t>
      </w:r>
    </w:p>
    <w:tbl>
      <w:tblPr>
        <w:tblStyle w:val="TableGrid"/>
        <w:tblW w:w="0" w:type="auto"/>
        <w:tblLook w:val="04A0" w:firstRow="1" w:lastRow="0" w:firstColumn="1" w:lastColumn="0" w:noHBand="0" w:noVBand="1"/>
      </w:tblPr>
      <w:tblGrid>
        <w:gridCol w:w="3116"/>
        <w:gridCol w:w="3117"/>
        <w:gridCol w:w="3117"/>
      </w:tblGrid>
      <w:tr w:rsidR="00576857" w14:paraId="09861A05" w14:textId="77777777" w:rsidTr="001515D5">
        <w:tc>
          <w:tcPr>
            <w:tcW w:w="3116" w:type="dxa"/>
            <w:vAlign w:val="bottom"/>
          </w:tcPr>
          <w:p w14:paraId="2AA5C802" w14:textId="77777777" w:rsidR="00576857" w:rsidRPr="009D7FE2" w:rsidRDefault="00576857" w:rsidP="001515D5">
            <w:r>
              <w:t>Race</w:t>
            </w:r>
          </w:p>
        </w:tc>
        <w:tc>
          <w:tcPr>
            <w:tcW w:w="3117" w:type="dxa"/>
            <w:vAlign w:val="bottom"/>
          </w:tcPr>
          <w:p w14:paraId="34F6CCFE" w14:textId="77777777" w:rsidR="00576857" w:rsidRPr="009D7FE2" w:rsidRDefault="00576857" w:rsidP="001515D5">
            <w:r w:rsidRPr="009D7FE2">
              <w:t>Male</w:t>
            </w:r>
          </w:p>
        </w:tc>
        <w:tc>
          <w:tcPr>
            <w:tcW w:w="3117" w:type="dxa"/>
            <w:vAlign w:val="bottom"/>
          </w:tcPr>
          <w:p w14:paraId="7B23050F" w14:textId="77777777" w:rsidR="00576857" w:rsidRPr="009D7FE2" w:rsidRDefault="00576857" w:rsidP="001515D5">
            <w:r w:rsidRPr="009D7FE2">
              <w:t>Female</w:t>
            </w:r>
          </w:p>
        </w:tc>
      </w:tr>
      <w:tr w:rsidR="00576857" w14:paraId="2464412A" w14:textId="77777777" w:rsidTr="001515D5">
        <w:tc>
          <w:tcPr>
            <w:tcW w:w="3116" w:type="dxa"/>
            <w:vAlign w:val="center"/>
          </w:tcPr>
          <w:p w14:paraId="78A0F82C" w14:textId="77777777" w:rsidR="00576857" w:rsidRPr="009D7FE2" w:rsidRDefault="00576857" w:rsidP="001515D5">
            <w:r w:rsidRPr="009D7FE2">
              <w:t xml:space="preserve">Non-Hispanic White </w:t>
            </w:r>
          </w:p>
        </w:tc>
        <w:tc>
          <w:tcPr>
            <w:tcW w:w="3117" w:type="dxa"/>
            <w:vAlign w:val="bottom"/>
          </w:tcPr>
          <w:p w14:paraId="525D9F54" w14:textId="77777777" w:rsidR="00576857" w:rsidRPr="009D7FE2" w:rsidRDefault="00576857" w:rsidP="001515D5">
            <w:r>
              <w:t>11.5</w:t>
            </w:r>
          </w:p>
        </w:tc>
        <w:tc>
          <w:tcPr>
            <w:tcW w:w="3117" w:type="dxa"/>
            <w:vAlign w:val="bottom"/>
          </w:tcPr>
          <w:p w14:paraId="6CB63035" w14:textId="77777777" w:rsidR="00576857" w:rsidRPr="009D7FE2" w:rsidRDefault="00576857" w:rsidP="001515D5">
            <w:r>
              <w:t>2.5</w:t>
            </w:r>
          </w:p>
        </w:tc>
      </w:tr>
      <w:tr w:rsidR="00576857" w14:paraId="71D35A2D" w14:textId="77777777" w:rsidTr="001515D5">
        <w:tc>
          <w:tcPr>
            <w:tcW w:w="3116" w:type="dxa"/>
            <w:vAlign w:val="center"/>
          </w:tcPr>
          <w:p w14:paraId="3524AEEB" w14:textId="77777777" w:rsidR="00576857" w:rsidRPr="009D7FE2" w:rsidRDefault="00576857" w:rsidP="001515D5">
            <w:r w:rsidRPr="009D7FE2">
              <w:t>Non-Hispanic Black</w:t>
            </w:r>
          </w:p>
        </w:tc>
        <w:tc>
          <w:tcPr>
            <w:tcW w:w="3117" w:type="dxa"/>
            <w:vAlign w:val="bottom"/>
          </w:tcPr>
          <w:p w14:paraId="5B572BDC" w14:textId="77777777" w:rsidR="00576857" w:rsidRPr="009D7FE2" w:rsidRDefault="00576857" w:rsidP="001515D5">
            <w:r>
              <w:t>5.2</w:t>
            </w:r>
          </w:p>
        </w:tc>
        <w:tc>
          <w:tcPr>
            <w:tcW w:w="3117" w:type="dxa"/>
            <w:vAlign w:val="bottom"/>
          </w:tcPr>
          <w:p w14:paraId="3A3A837E" w14:textId="77777777" w:rsidR="00576857" w:rsidRPr="009D7FE2" w:rsidRDefault="00576857" w:rsidP="001515D5">
            <w:r>
              <w:t>1.3</w:t>
            </w:r>
          </w:p>
        </w:tc>
      </w:tr>
      <w:tr w:rsidR="00576857" w14:paraId="79F34E08" w14:textId="77777777" w:rsidTr="001515D5">
        <w:tc>
          <w:tcPr>
            <w:tcW w:w="3116" w:type="dxa"/>
            <w:vAlign w:val="center"/>
          </w:tcPr>
          <w:p w14:paraId="543775A5" w14:textId="77777777" w:rsidR="00576857" w:rsidRPr="009D7FE2" w:rsidRDefault="00576857" w:rsidP="001515D5">
            <w:r w:rsidRPr="009D7FE2">
              <w:t>Hispanic</w:t>
            </w:r>
          </w:p>
        </w:tc>
        <w:tc>
          <w:tcPr>
            <w:tcW w:w="3117" w:type="dxa"/>
            <w:vAlign w:val="bottom"/>
          </w:tcPr>
          <w:p w14:paraId="6EA91A2C" w14:textId="77777777" w:rsidR="00576857" w:rsidRPr="009D7FE2" w:rsidRDefault="00576857" w:rsidP="001515D5">
            <w:r>
              <w:t>9.8</w:t>
            </w:r>
          </w:p>
        </w:tc>
        <w:tc>
          <w:tcPr>
            <w:tcW w:w="3117" w:type="dxa"/>
            <w:vAlign w:val="bottom"/>
          </w:tcPr>
          <w:p w14:paraId="685E0504" w14:textId="77777777" w:rsidR="00576857" w:rsidRPr="009D7FE2" w:rsidRDefault="00576857" w:rsidP="001515D5">
            <w:r>
              <w:t>*</w:t>
            </w:r>
          </w:p>
        </w:tc>
      </w:tr>
    </w:tbl>
    <w:p w14:paraId="0605721C" w14:textId="77777777" w:rsidR="00576857" w:rsidRPr="009D7FE2" w:rsidRDefault="00576857" w:rsidP="00576857">
      <w:r w:rsidRPr="009D7FE2">
        <w:t xml:space="preserve">Source: SC DHEC Vital Statistics, 2017- 2021. </w:t>
      </w:r>
    </w:p>
    <w:p w14:paraId="19F7508D" w14:textId="77777777" w:rsidR="00576857" w:rsidRDefault="00576857" w:rsidP="00576857">
      <w:r w:rsidRPr="009D7FE2">
        <w:t>Note: Rates denoted with a * are suppressed due to counts &lt; 5; population for year 2021 based on single-race estimates and for years prior based on bridge-race estimates.</w:t>
      </w:r>
    </w:p>
    <w:p w14:paraId="4CF15629" w14:textId="77777777" w:rsidR="00CF1BB1" w:rsidRDefault="00CF1BB1" w:rsidP="00506CC7"/>
    <w:p w14:paraId="6CB28F98" w14:textId="77777777" w:rsidR="00CF1BB1" w:rsidRDefault="00CF1BB1" w:rsidP="00CF1BB1">
      <w:pPr>
        <w:pStyle w:val="Heading4"/>
      </w:pPr>
      <w:bookmarkStart w:id="549" w:name="_Toc162267365"/>
      <w:r w:rsidRPr="00CF1BB1">
        <w:t>Data Interpretations:</w:t>
      </w:r>
      <w:bookmarkEnd w:id="549"/>
      <w:r w:rsidRPr="00CF1BB1">
        <w:t xml:space="preserve"> </w:t>
      </w:r>
    </w:p>
    <w:p w14:paraId="35AE1AA5" w14:textId="6DC9AB03" w:rsidR="00CF1BB1" w:rsidRPr="00CF1BB1" w:rsidRDefault="00CF1BB1" w:rsidP="00CF1BB1">
      <w:r w:rsidRPr="00CF1BB1">
        <w:t>Suicide rates in SC children aged 10 to 17 have fluctuated since 2017 but continue to rise (3.3 suicides per 100,000 population). There was a peak in suicides among 10- to 17-year-olds in 2019, with a rate of 7.5 suicides per 100,000 population, but this has since decreased to 5.3 suicides per 100,000 population in 2021 (</w:t>
      </w:r>
      <w:r w:rsidRPr="00CF1BB1">
        <w:rPr>
          <w:b/>
          <w:bCs/>
        </w:rPr>
        <w:t>Figure 8.9</w:t>
      </w:r>
      <w:r w:rsidRPr="00CF1BB1">
        <w:t>). Male children aged 10 to 17 died from suicide more than females. From 2017-2021, non-Hispanic White males had the highest suicide rates (11.5 suicides per 100,000 population), followed by Hispanic males (9.8 suicides per 100,000 population) and non-Hispanic Black males (5.2 suicides per 100,000 population) (</w:t>
      </w:r>
      <w:r w:rsidRPr="00CF1BB1">
        <w:rPr>
          <w:b/>
          <w:bCs/>
        </w:rPr>
        <w:t>Figure 8.10</w:t>
      </w:r>
      <w:r w:rsidRPr="00CF1BB1">
        <w:t>). Non-Hispanic White females aged 10 to 17 had a suicide rate of 2.5 suicides per 100,000 population, while non-Hispanic Black females had a rate of 1.3 suicides per 100,000 population. Suicide counts for Hispanic females aged 10 to 17 were too low to calculate rates (</w:t>
      </w:r>
      <w:r w:rsidRPr="00CF1BB1">
        <w:rPr>
          <w:b/>
          <w:bCs/>
        </w:rPr>
        <w:t>Figure 8.10</w:t>
      </w:r>
      <w:r w:rsidRPr="00CF1BB1">
        <w:t xml:space="preserve">).  </w:t>
      </w:r>
    </w:p>
    <w:p w14:paraId="39F9BA62" w14:textId="77777777" w:rsidR="00CF1BB1" w:rsidRDefault="00CF1BB1" w:rsidP="00506CC7"/>
    <w:p w14:paraId="4C71EB2B" w14:textId="77777777" w:rsidR="00CF1BB1" w:rsidRDefault="00CF1BB1" w:rsidP="00CF1BB1">
      <w:pPr>
        <w:pStyle w:val="Heading5"/>
      </w:pPr>
      <w:r>
        <w:t xml:space="preserve">Key Takeaways: </w:t>
      </w:r>
    </w:p>
    <w:p w14:paraId="1C07A1E8" w14:textId="5530CE94" w:rsidR="00CF1BB1" w:rsidRPr="00CF1BB1" w:rsidRDefault="00CF1BB1" w:rsidP="00926EB3">
      <w:pPr>
        <w:pStyle w:val="ListParagraph"/>
        <w:numPr>
          <w:ilvl w:val="0"/>
          <w:numId w:val="223"/>
        </w:numPr>
      </w:pPr>
      <w:r w:rsidRPr="00CF1BB1">
        <w:t>From 2017-2021, non-Hispanic White males had the highest suicide rates (11.5 suicides per 100,000 population)</w:t>
      </w:r>
    </w:p>
    <w:p w14:paraId="5A679F33" w14:textId="77777777" w:rsidR="00CF1BB1" w:rsidRDefault="00CF1BB1" w:rsidP="00506CC7"/>
    <w:p w14:paraId="0F70317B" w14:textId="644F82F0" w:rsidR="00CF1BB1" w:rsidRDefault="00506CC7" w:rsidP="00CF1BB1">
      <w:pPr>
        <w:pStyle w:val="Heading4"/>
        <w:rPr>
          <w:rFonts w:asciiTheme="minorHAnsi" w:hAnsiTheme="minorHAnsi" w:cstheme="minorHAnsi"/>
          <w:color w:val="000000" w:themeColor="text1"/>
        </w:rPr>
      </w:pPr>
      <w:bookmarkStart w:id="550" w:name="_Toc162267366"/>
      <w:r w:rsidRPr="00506CC7">
        <w:rPr>
          <w:rFonts w:asciiTheme="minorHAnsi" w:hAnsiTheme="minorHAnsi" w:cstheme="minorHAnsi"/>
          <w:color w:val="000000" w:themeColor="text1"/>
        </w:rPr>
        <w:t xml:space="preserve">References </w:t>
      </w:r>
      <w:r w:rsidR="00CF1BB1">
        <w:rPr>
          <w:rFonts w:asciiTheme="minorHAnsi" w:hAnsiTheme="minorHAnsi" w:cstheme="minorHAnsi"/>
          <w:color w:val="000000" w:themeColor="text1"/>
        </w:rPr>
        <w:t>8.5</w:t>
      </w:r>
      <w:bookmarkEnd w:id="550"/>
      <w:r w:rsidR="00CF1BB1">
        <w:rPr>
          <w:rFonts w:asciiTheme="minorHAnsi" w:hAnsiTheme="minorHAnsi" w:cstheme="minorHAnsi"/>
          <w:color w:val="000000" w:themeColor="text1"/>
        </w:rPr>
        <w:t xml:space="preserve"> </w:t>
      </w:r>
    </w:p>
    <w:p w14:paraId="5E26EE1C" w14:textId="77777777" w:rsidR="00CF1BB1" w:rsidRPr="00506CC7" w:rsidRDefault="00CF1BB1" w:rsidP="00CF1BB1">
      <w:pPr>
        <w:rPr>
          <w:i/>
          <w:iCs/>
        </w:rPr>
      </w:pPr>
      <w:r w:rsidRPr="00506CC7">
        <w:t>Statistics in the preceding section were referenced from the following reports:</w:t>
      </w:r>
    </w:p>
    <w:p w14:paraId="107211C2" w14:textId="3095B058" w:rsidR="00D26A8E" w:rsidRPr="00D26A8E" w:rsidRDefault="00D26A8E" w:rsidP="00926EB3">
      <w:pPr>
        <w:pStyle w:val="ListParagraph"/>
        <w:numPr>
          <w:ilvl w:val="0"/>
          <w:numId w:val="35"/>
        </w:numPr>
      </w:pPr>
      <w:r>
        <w:lastRenderedPageBreak/>
        <w:t>“</w:t>
      </w:r>
      <w:r w:rsidRPr="00D26A8E">
        <w:t>Characteristics and Precipitating Circumstances of Suicide Among Children Aged 5 to 11 Years in the United States, 2013-2017</w:t>
      </w:r>
      <w:r>
        <w:t xml:space="preserve">” by </w:t>
      </w:r>
      <w:r w:rsidRPr="00D26A8E">
        <w:t xml:space="preserve">Ruch DA, Heck KM, </w:t>
      </w:r>
      <w:proofErr w:type="spellStart"/>
      <w:r w:rsidRPr="00D26A8E">
        <w:t>Sheftall</w:t>
      </w:r>
      <w:proofErr w:type="spellEnd"/>
      <w:r w:rsidRPr="00D26A8E">
        <w:t xml:space="preserve"> AH, et al.</w:t>
      </w:r>
      <w:r>
        <w:t xml:space="preserve"> Published in</w:t>
      </w:r>
      <w:r w:rsidRPr="00D26A8E">
        <w:t xml:space="preserve"> JAMA </w:t>
      </w:r>
      <w:proofErr w:type="spellStart"/>
      <w:r w:rsidRPr="00D26A8E">
        <w:t>Netw</w:t>
      </w:r>
      <w:proofErr w:type="spellEnd"/>
      <w:r w:rsidRPr="00D26A8E">
        <w:t xml:space="preserve"> Open</w:t>
      </w:r>
      <w:r>
        <w:t>,</w:t>
      </w:r>
      <w:r w:rsidRPr="00D26A8E">
        <w:t xml:space="preserve"> 2021</w:t>
      </w:r>
      <w:r>
        <w:t>. No hyperlink.</w:t>
      </w:r>
    </w:p>
    <w:p w14:paraId="031FFE32" w14:textId="78970FC1" w:rsidR="00D26A8E" w:rsidRPr="00D26A8E" w:rsidRDefault="00000000" w:rsidP="00926EB3">
      <w:pPr>
        <w:pStyle w:val="ListParagraph"/>
        <w:numPr>
          <w:ilvl w:val="0"/>
          <w:numId w:val="35"/>
        </w:numPr>
        <w:rPr>
          <w:u w:val="thick"/>
        </w:rPr>
      </w:pPr>
      <w:hyperlink r:id="rId246" w:history="1">
        <w:r w:rsidR="00D26A8E" w:rsidRPr="00D26A8E">
          <w:rPr>
            <w:rStyle w:val="Hyperlink"/>
          </w:rPr>
          <w:t>“Suicide Prevention Among Teens And Children” by CHOC, via CHOC.gov. Accessed June 22, 2023.</w:t>
        </w:r>
      </w:hyperlink>
      <w:r w:rsidR="00D26A8E" w:rsidRPr="00D26A8E">
        <w:t xml:space="preserve"> </w:t>
      </w:r>
    </w:p>
    <w:p w14:paraId="7D6778E9" w14:textId="05CC8ECB" w:rsidR="00D26A8E" w:rsidRPr="00D26A8E" w:rsidRDefault="00000000" w:rsidP="00926EB3">
      <w:pPr>
        <w:pStyle w:val="ListParagraph"/>
        <w:numPr>
          <w:ilvl w:val="0"/>
          <w:numId w:val="35"/>
        </w:numPr>
        <w:rPr>
          <w:u w:val="thick"/>
        </w:rPr>
      </w:pPr>
      <w:hyperlink r:id="rId247" w:history="1">
        <w:r w:rsidR="00D26A8E" w:rsidRPr="00D26A8E">
          <w:rPr>
            <w:rStyle w:val="Hyperlink"/>
          </w:rPr>
          <w:t>“Teen Suicide Risk: What Parents Should Know” via HealthyChildren.org. Accessed June 22, 2023.</w:t>
        </w:r>
      </w:hyperlink>
      <w:r w:rsidR="00D26A8E" w:rsidRPr="00D26A8E">
        <w:t xml:space="preserve"> </w:t>
      </w:r>
    </w:p>
    <w:p w14:paraId="7BB11FF2" w14:textId="77777777" w:rsidR="00CF1BB1" w:rsidRDefault="00CF1BB1" w:rsidP="00CF1BB1"/>
    <w:p w14:paraId="27DE155B" w14:textId="7859AA19" w:rsidR="00CF1BB1" w:rsidRPr="00CF1BB1" w:rsidRDefault="00CF1BB1" w:rsidP="00CF1BB1">
      <w:pPr>
        <w:pStyle w:val="Heading3"/>
        <w:rPr>
          <w:b/>
          <w:bCs/>
        </w:rPr>
      </w:pPr>
      <w:bookmarkStart w:id="551" w:name="_Toc162267367"/>
      <w:r w:rsidRPr="00CF1BB1">
        <w:t>Injuries and Injury-Related Deaths:</w:t>
      </w:r>
      <w:r>
        <w:t xml:space="preserve"> </w:t>
      </w:r>
      <w:r w:rsidRPr="00CF1BB1">
        <w:t>Firearm-Related Deaths</w:t>
      </w:r>
      <w:bookmarkEnd w:id="551"/>
    </w:p>
    <w:p w14:paraId="49CE7FC1" w14:textId="0649AD30" w:rsidR="00CF1BB1" w:rsidRPr="00CF1BB1" w:rsidRDefault="00CF1BB1" w:rsidP="00CF1BB1">
      <w:r w:rsidRPr="00CF1BB1">
        <w:t>Firearm injuries and deaths in the US have increased in recent years, and adversely affect many children and adolescents. In 2020, firearms became the leading cause of death among children under the age of 19. During the COVID-19 pandemic, US firearm-related deaths increased among children, with seven children per day dying by firearm in 2021. From 2019-2021, the firearm death rate among children increased by 50% in the US. Firearms were used in at least 50% of suicide deaths among children and adolescents.</w:t>
      </w:r>
    </w:p>
    <w:p w14:paraId="6805B978" w14:textId="77777777" w:rsidR="00CF1BB1" w:rsidRDefault="00CF1BB1" w:rsidP="00CF1BB1"/>
    <w:p w14:paraId="1207DD91" w14:textId="455BA640" w:rsidR="00CF1BB1" w:rsidRPr="00CF1BB1" w:rsidRDefault="00CF1BB1" w:rsidP="00CF1BB1">
      <w:r w:rsidRPr="00CF1BB1">
        <w:t>Not only does firearm violence cause physical harm, but it can negatively affect the mental health and well-being of youth. Black youth have substantially higher rates of firearm-related deaths than any other racial or ethnic group, and they accounted for 46% of youth firearm deaths. Additionally, male youth are more than four times as more likely to die by firearm than their female peers.</w:t>
      </w:r>
    </w:p>
    <w:p w14:paraId="3F2DF6DC" w14:textId="77777777" w:rsidR="00CF1BB1" w:rsidRDefault="00CF1BB1" w:rsidP="00CF1BB1">
      <w:pPr>
        <w:pStyle w:val="Heading4"/>
        <w:rPr>
          <w:color w:val="FF0000"/>
        </w:rPr>
      </w:pPr>
    </w:p>
    <w:p w14:paraId="603352BC" w14:textId="77777777" w:rsidR="00B90936" w:rsidRDefault="00B90936" w:rsidP="00B90936">
      <w:pPr>
        <w:pStyle w:val="Heading4"/>
      </w:pPr>
      <w:bookmarkStart w:id="552" w:name="_Toc154576446"/>
      <w:bookmarkStart w:id="553" w:name="_Toc162267368"/>
      <w:r>
        <w:t>Figure 8.11: Type of Firearm-Related Deaths in Children, Aged 1-17.</w:t>
      </w:r>
      <w:bookmarkEnd w:id="552"/>
      <w:bookmarkEnd w:id="553"/>
    </w:p>
    <w:tbl>
      <w:tblPr>
        <w:tblStyle w:val="TableGrid"/>
        <w:tblW w:w="0" w:type="auto"/>
        <w:tblLook w:val="04A0" w:firstRow="1" w:lastRow="0" w:firstColumn="1" w:lastColumn="0" w:noHBand="0" w:noVBand="1"/>
      </w:tblPr>
      <w:tblGrid>
        <w:gridCol w:w="3116"/>
        <w:gridCol w:w="3117"/>
        <w:gridCol w:w="3117"/>
      </w:tblGrid>
      <w:tr w:rsidR="00B90936" w14:paraId="6D27BA29" w14:textId="77777777" w:rsidTr="001515D5">
        <w:tc>
          <w:tcPr>
            <w:tcW w:w="3116" w:type="dxa"/>
            <w:vAlign w:val="bottom"/>
          </w:tcPr>
          <w:p w14:paraId="2BF9D24F" w14:textId="77777777" w:rsidR="00B90936" w:rsidRPr="00B41BC6" w:rsidRDefault="00B90936" w:rsidP="001515D5">
            <w:r>
              <w:t>Type of Death</w:t>
            </w:r>
          </w:p>
        </w:tc>
        <w:tc>
          <w:tcPr>
            <w:tcW w:w="3117" w:type="dxa"/>
            <w:vAlign w:val="bottom"/>
          </w:tcPr>
          <w:p w14:paraId="2A05FCA3" w14:textId="77777777" w:rsidR="00B90936" w:rsidRPr="00B41BC6" w:rsidRDefault="00B90936" w:rsidP="001515D5">
            <w:r>
              <w:t>Number</w:t>
            </w:r>
          </w:p>
        </w:tc>
        <w:tc>
          <w:tcPr>
            <w:tcW w:w="3117" w:type="dxa"/>
            <w:vAlign w:val="bottom"/>
          </w:tcPr>
          <w:p w14:paraId="42B9CE2F" w14:textId="77777777" w:rsidR="00B90936" w:rsidRPr="00B41BC6" w:rsidRDefault="00B90936" w:rsidP="001515D5">
            <w:r>
              <w:t>Percent</w:t>
            </w:r>
          </w:p>
        </w:tc>
      </w:tr>
      <w:tr w:rsidR="00B90936" w14:paraId="39EFA40C" w14:textId="77777777" w:rsidTr="001515D5">
        <w:tc>
          <w:tcPr>
            <w:tcW w:w="3116" w:type="dxa"/>
            <w:vAlign w:val="bottom"/>
          </w:tcPr>
          <w:p w14:paraId="281DB5FA" w14:textId="77777777" w:rsidR="00B90936" w:rsidRPr="00B41BC6" w:rsidRDefault="00B90936" w:rsidP="001515D5">
            <w:r w:rsidRPr="00B41BC6">
              <w:t>Unintentional Injury Deaths</w:t>
            </w:r>
          </w:p>
        </w:tc>
        <w:tc>
          <w:tcPr>
            <w:tcW w:w="3117" w:type="dxa"/>
            <w:vAlign w:val="bottom"/>
          </w:tcPr>
          <w:p w14:paraId="16DAEDB2" w14:textId="77777777" w:rsidR="00B90936" w:rsidRPr="00B41BC6" w:rsidRDefault="00B90936" w:rsidP="001515D5">
            <w:r w:rsidRPr="00B41BC6">
              <w:t>22</w:t>
            </w:r>
          </w:p>
        </w:tc>
        <w:tc>
          <w:tcPr>
            <w:tcW w:w="3117" w:type="dxa"/>
            <w:vAlign w:val="bottom"/>
          </w:tcPr>
          <w:p w14:paraId="67DD9024" w14:textId="77777777" w:rsidR="00B90936" w:rsidRPr="00B41BC6" w:rsidRDefault="00B90936" w:rsidP="001515D5">
            <w:r w:rsidRPr="00B41BC6">
              <w:t>8.6%</w:t>
            </w:r>
          </w:p>
        </w:tc>
      </w:tr>
      <w:tr w:rsidR="00B90936" w14:paraId="7775C79B" w14:textId="77777777" w:rsidTr="001515D5">
        <w:tc>
          <w:tcPr>
            <w:tcW w:w="3116" w:type="dxa"/>
            <w:vAlign w:val="bottom"/>
          </w:tcPr>
          <w:p w14:paraId="39753A93" w14:textId="77777777" w:rsidR="00B90936" w:rsidRPr="00B41BC6" w:rsidRDefault="00B90936" w:rsidP="001515D5">
            <w:r w:rsidRPr="00B41BC6">
              <w:t>Homicide</w:t>
            </w:r>
          </w:p>
        </w:tc>
        <w:tc>
          <w:tcPr>
            <w:tcW w:w="3117" w:type="dxa"/>
            <w:vAlign w:val="bottom"/>
          </w:tcPr>
          <w:p w14:paraId="6154E78D" w14:textId="77777777" w:rsidR="00B90936" w:rsidRPr="00B41BC6" w:rsidRDefault="00B90936" w:rsidP="001515D5">
            <w:r w:rsidRPr="00B41BC6">
              <w:t>157</w:t>
            </w:r>
          </w:p>
        </w:tc>
        <w:tc>
          <w:tcPr>
            <w:tcW w:w="3117" w:type="dxa"/>
            <w:vAlign w:val="bottom"/>
          </w:tcPr>
          <w:p w14:paraId="1143F760" w14:textId="77777777" w:rsidR="00B90936" w:rsidRPr="00B41BC6" w:rsidRDefault="00B90936" w:rsidP="001515D5">
            <w:r w:rsidRPr="00B41BC6">
              <w:t>61.1%</w:t>
            </w:r>
          </w:p>
        </w:tc>
      </w:tr>
      <w:tr w:rsidR="00B90936" w14:paraId="7954F113" w14:textId="77777777" w:rsidTr="001515D5">
        <w:tc>
          <w:tcPr>
            <w:tcW w:w="3116" w:type="dxa"/>
            <w:vAlign w:val="bottom"/>
          </w:tcPr>
          <w:p w14:paraId="7C778C2D" w14:textId="77777777" w:rsidR="00B90936" w:rsidRPr="00B41BC6" w:rsidRDefault="00B90936" w:rsidP="001515D5">
            <w:r w:rsidRPr="00B41BC6">
              <w:t>Suicide</w:t>
            </w:r>
          </w:p>
        </w:tc>
        <w:tc>
          <w:tcPr>
            <w:tcW w:w="3117" w:type="dxa"/>
            <w:vAlign w:val="bottom"/>
          </w:tcPr>
          <w:p w14:paraId="114998C1" w14:textId="77777777" w:rsidR="00B90936" w:rsidRPr="00B41BC6" w:rsidRDefault="00B90936" w:rsidP="001515D5">
            <w:r w:rsidRPr="00B41BC6">
              <w:t>78</w:t>
            </w:r>
          </w:p>
        </w:tc>
        <w:tc>
          <w:tcPr>
            <w:tcW w:w="3117" w:type="dxa"/>
            <w:vAlign w:val="bottom"/>
          </w:tcPr>
          <w:p w14:paraId="4F75E813" w14:textId="77777777" w:rsidR="00B90936" w:rsidRPr="00B41BC6" w:rsidRDefault="00B90936" w:rsidP="001515D5">
            <w:r w:rsidRPr="00B41BC6">
              <w:t>30.4%</w:t>
            </w:r>
          </w:p>
        </w:tc>
      </w:tr>
    </w:tbl>
    <w:p w14:paraId="4AB14D61" w14:textId="77777777" w:rsidR="00B90936" w:rsidRPr="00B41BC6" w:rsidRDefault="00B90936" w:rsidP="00B90936">
      <w:r w:rsidRPr="00B41BC6">
        <w:t xml:space="preserve">Source: SC DHEC Vital Statistics, 2017- 2021. </w:t>
      </w:r>
    </w:p>
    <w:p w14:paraId="0EF2563C" w14:textId="77777777" w:rsidR="00B90936" w:rsidRDefault="00B90936" w:rsidP="00B90936">
      <w:r w:rsidRPr="00B41BC6">
        <w:t>Note: Population for year 2021 based on single-race estimates.</w:t>
      </w:r>
    </w:p>
    <w:p w14:paraId="5F098DDA" w14:textId="77777777" w:rsidR="00B90936" w:rsidRDefault="00B90936" w:rsidP="00B90936"/>
    <w:p w14:paraId="01E30707" w14:textId="77777777" w:rsidR="00B90936" w:rsidRDefault="00B90936" w:rsidP="00B90936">
      <w:pPr>
        <w:pStyle w:val="Heading4"/>
      </w:pPr>
      <w:bookmarkStart w:id="554" w:name="_Toc154576447"/>
      <w:bookmarkStart w:id="555" w:name="_Toc162267369"/>
      <w:r>
        <w:t>Figure 8.12: Unintentional Firearm Deaths Among Children Aged 1-17, by Relationship to Shooter.</w:t>
      </w:r>
      <w:bookmarkEnd w:id="554"/>
      <w:bookmarkEnd w:id="555"/>
    </w:p>
    <w:tbl>
      <w:tblPr>
        <w:tblStyle w:val="TableGrid"/>
        <w:tblW w:w="0" w:type="auto"/>
        <w:tblLook w:val="04A0" w:firstRow="1" w:lastRow="0" w:firstColumn="1" w:lastColumn="0" w:noHBand="0" w:noVBand="1"/>
      </w:tblPr>
      <w:tblGrid>
        <w:gridCol w:w="4675"/>
        <w:gridCol w:w="4675"/>
      </w:tblGrid>
      <w:tr w:rsidR="00B90936" w14:paraId="3EBBFF2C" w14:textId="77777777" w:rsidTr="001515D5">
        <w:tc>
          <w:tcPr>
            <w:tcW w:w="4675" w:type="dxa"/>
            <w:vAlign w:val="bottom"/>
          </w:tcPr>
          <w:p w14:paraId="7D91591A" w14:textId="77777777" w:rsidR="00B90936" w:rsidRDefault="00B90936" w:rsidP="001515D5">
            <w:r>
              <w:t>Relationship</w:t>
            </w:r>
          </w:p>
        </w:tc>
        <w:tc>
          <w:tcPr>
            <w:tcW w:w="4675" w:type="dxa"/>
            <w:vAlign w:val="bottom"/>
          </w:tcPr>
          <w:p w14:paraId="4C14382D" w14:textId="77777777" w:rsidR="00B90936" w:rsidRDefault="00B90936" w:rsidP="001515D5">
            <w:r>
              <w:t>Percent</w:t>
            </w:r>
          </w:p>
        </w:tc>
      </w:tr>
      <w:tr w:rsidR="00B90936" w14:paraId="2EAD1518" w14:textId="77777777" w:rsidTr="001515D5">
        <w:tc>
          <w:tcPr>
            <w:tcW w:w="4675" w:type="dxa"/>
            <w:vAlign w:val="bottom"/>
          </w:tcPr>
          <w:p w14:paraId="4D39193E" w14:textId="77777777" w:rsidR="00B90936" w:rsidRDefault="00B90936" w:rsidP="001515D5">
            <w:r>
              <w:t>Unknown who inflicted</w:t>
            </w:r>
          </w:p>
        </w:tc>
        <w:tc>
          <w:tcPr>
            <w:tcW w:w="4675" w:type="dxa"/>
            <w:vAlign w:val="bottom"/>
          </w:tcPr>
          <w:p w14:paraId="228A4CB2" w14:textId="77777777" w:rsidR="00B90936" w:rsidRDefault="00B90936" w:rsidP="001515D5">
            <w:r>
              <w:t>34.8%</w:t>
            </w:r>
          </w:p>
        </w:tc>
      </w:tr>
      <w:tr w:rsidR="00B90936" w14:paraId="307A9BD3" w14:textId="77777777" w:rsidTr="001515D5">
        <w:tc>
          <w:tcPr>
            <w:tcW w:w="4675" w:type="dxa"/>
            <w:vAlign w:val="bottom"/>
          </w:tcPr>
          <w:p w14:paraId="410EF7AF" w14:textId="77777777" w:rsidR="00B90936" w:rsidRDefault="00B90936" w:rsidP="001515D5">
            <w:r>
              <w:lastRenderedPageBreak/>
              <w:t>Self-inflicted</w:t>
            </w:r>
          </w:p>
        </w:tc>
        <w:tc>
          <w:tcPr>
            <w:tcW w:w="4675" w:type="dxa"/>
            <w:vAlign w:val="bottom"/>
          </w:tcPr>
          <w:p w14:paraId="7640D6BA" w14:textId="77777777" w:rsidR="00B90936" w:rsidRDefault="00B90936" w:rsidP="001515D5">
            <w:r>
              <w:t>34.8%</w:t>
            </w:r>
          </w:p>
        </w:tc>
      </w:tr>
      <w:tr w:rsidR="00B90936" w14:paraId="7E8D4515" w14:textId="77777777" w:rsidTr="001515D5">
        <w:tc>
          <w:tcPr>
            <w:tcW w:w="4675" w:type="dxa"/>
            <w:vAlign w:val="bottom"/>
          </w:tcPr>
          <w:p w14:paraId="6AB8CA09" w14:textId="77777777" w:rsidR="00B90936" w:rsidRDefault="00B90936" w:rsidP="001515D5">
            <w:r>
              <w:t>Inflicted by Other Person</w:t>
            </w:r>
          </w:p>
        </w:tc>
        <w:tc>
          <w:tcPr>
            <w:tcW w:w="4675" w:type="dxa"/>
            <w:vAlign w:val="bottom"/>
          </w:tcPr>
          <w:p w14:paraId="4E2BBA0C" w14:textId="77777777" w:rsidR="00B90936" w:rsidRDefault="00B90936" w:rsidP="001515D5">
            <w:r>
              <w:t>30.4%</w:t>
            </w:r>
          </w:p>
        </w:tc>
      </w:tr>
    </w:tbl>
    <w:p w14:paraId="0CA037F5" w14:textId="77777777" w:rsidR="00B90936" w:rsidRPr="00B41BC6" w:rsidRDefault="00B90936" w:rsidP="00B90936">
      <w:r w:rsidRPr="00B41BC6">
        <w:t xml:space="preserve">Source: SCVDRS, 2016-2020. </w:t>
      </w:r>
    </w:p>
    <w:p w14:paraId="798F791C" w14:textId="77777777" w:rsidR="00B90936" w:rsidRDefault="00B90936" w:rsidP="00B90936">
      <w:r w:rsidRPr="00B41BC6">
        <w:t>Note: Percentages are among those with known circumstances.</w:t>
      </w:r>
    </w:p>
    <w:p w14:paraId="4B4346D7" w14:textId="77777777" w:rsidR="00CF1BB1" w:rsidRDefault="00CF1BB1" w:rsidP="00CF1BB1"/>
    <w:p w14:paraId="4899EA7C" w14:textId="77777777" w:rsidR="00CF1BB1" w:rsidRDefault="00CF1BB1" w:rsidP="00CF1BB1">
      <w:pPr>
        <w:pStyle w:val="Heading4"/>
      </w:pPr>
      <w:bookmarkStart w:id="556" w:name="_Toc162267370"/>
      <w:r w:rsidRPr="00CF1BB1">
        <w:t>Data Interpretations:</w:t>
      </w:r>
      <w:bookmarkEnd w:id="556"/>
    </w:p>
    <w:p w14:paraId="782D6FD7" w14:textId="05DB42D7" w:rsidR="00CF1BB1" w:rsidRPr="00CF1BB1" w:rsidRDefault="00CF1BB1" w:rsidP="00CF1BB1">
      <w:r w:rsidRPr="00CF1BB1">
        <w:t>In 2021, SC’s pediatric firearm-related death rate was 78% higher than the national rate.</w:t>
      </w:r>
      <w:r w:rsidRPr="00CF1BB1">
        <w:rPr>
          <w:b/>
          <w:bCs/>
        </w:rPr>
        <w:t xml:space="preserve"> </w:t>
      </w:r>
      <w:r w:rsidRPr="00CF1BB1">
        <w:t>From 2017-2021, 61% of firearm-related deaths in SC children ages 1 to 17 were homicides, 30% were suicides, and 9% were unintentional injury deaths (</w:t>
      </w:r>
      <w:r w:rsidRPr="00CF1BB1">
        <w:rPr>
          <w:b/>
          <w:bCs/>
        </w:rPr>
        <w:t>Figure 8.11</w:t>
      </w:r>
      <w:r w:rsidRPr="00CF1BB1">
        <w:t>). Unintentional injury deaths were seen most among ages 1 to 4, while homicides and suicides were seen most in ages 15 to 17.  Male children are disproportionately affected by firearms with 84% of pediatric firearm deaths in SC being among male children.</w:t>
      </w:r>
    </w:p>
    <w:p w14:paraId="7B423520" w14:textId="77777777" w:rsidR="00CF1BB1" w:rsidRDefault="00CF1BB1" w:rsidP="00CF1BB1"/>
    <w:p w14:paraId="022878E1" w14:textId="74F522BA" w:rsidR="00CF1BB1" w:rsidRPr="00CF1BB1" w:rsidRDefault="00CF1BB1" w:rsidP="00CF1BB1">
      <w:r w:rsidRPr="00CF1BB1">
        <w:t>From 2016-2020, unintentional firearm deaths among children ages 1 to 17 were either inflicted by another person (30.4%), self-inflicted (34.8%), or it was unknown who inflicted the fatal injury (34.8%) (</w:t>
      </w:r>
      <w:r w:rsidRPr="00CF1BB1">
        <w:rPr>
          <w:b/>
          <w:bCs/>
        </w:rPr>
        <w:t>Figure 8.12</w:t>
      </w:r>
      <w:r w:rsidRPr="00CF1BB1">
        <w:t>).  In more than one-third (35.3%) of these unintentional firearm deaths, the shooter was playing with the gun when it discharged.</w:t>
      </w:r>
    </w:p>
    <w:p w14:paraId="62BB453A" w14:textId="77777777" w:rsidR="00CF1BB1" w:rsidRDefault="00CF1BB1" w:rsidP="00CF1BB1"/>
    <w:p w14:paraId="47E74BAB" w14:textId="77777777" w:rsidR="00CF1BB1" w:rsidRDefault="00CF1BB1" w:rsidP="00CF1BB1">
      <w:pPr>
        <w:pStyle w:val="Heading5"/>
      </w:pPr>
      <w:r>
        <w:t>Key Takeaways:</w:t>
      </w:r>
    </w:p>
    <w:p w14:paraId="4636B56D" w14:textId="577CC52C" w:rsidR="00CF1BB1" w:rsidRPr="00CF1BB1" w:rsidRDefault="00CF1BB1" w:rsidP="00926EB3">
      <w:pPr>
        <w:pStyle w:val="ListParagraph"/>
        <w:numPr>
          <w:ilvl w:val="0"/>
          <w:numId w:val="223"/>
        </w:numPr>
      </w:pPr>
      <w:r w:rsidRPr="00CF1BB1">
        <w:t>In 2021, SC’s pediatric firearm-related death rate was 78% higher than the national rate.</w:t>
      </w:r>
    </w:p>
    <w:p w14:paraId="5E50DE9E" w14:textId="77777777" w:rsidR="00CF1BB1" w:rsidRPr="00506CC7" w:rsidRDefault="00CF1BB1" w:rsidP="00CF1BB1"/>
    <w:p w14:paraId="59E0DB23" w14:textId="5DB46736" w:rsidR="00CF1BB1" w:rsidRDefault="00506CC7" w:rsidP="00CF1BB1">
      <w:pPr>
        <w:pStyle w:val="Heading4"/>
        <w:rPr>
          <w:rFonts w:asciiTheme="minorHAnsi" w:hAnsiTheme="minorHAnsi" w:cstheme="minorHAnsi"/>
          <w:color w:val="000000" w:themeColor="text1"/>
        </w:rPr>
      </w:pPr>
      <w:bookmarkStart w:id="557" w:name="_Toc162267371"/>
      <w:r w:rsidRPr="00506CC7">
        <w:rPr>
          <w:rFonts w:asciiTheme="minorHAnsi" w:hAnsiTheme="minorHAnsi" w:cstheme="minorHAnsi"/>
          <w:color w:val="000000" w:themeColor="text1"/>
        </w:rPr>
        <w:t xml:space="preserve">References </w:t>
      </w:r>
      <w:r w:rsidR="00CF1BB1">
        <w:rPr>
          <w:rFonts w:asciiTheme="minorHAnsi" w:hAnsiTheme="minorHAnsi" w:cstheme="minorHAnsi"/>
          <w:color w:val="000000" w:themeColor="text1"/>
        </w:rPr>
        <w:t>8.6</w:t>
      </w:r>
      <w:bookmarkEnd w:id="557"/>
    </w:p>
    <w:p w14:paraId="2243A8C1" w14:textId="77777777" w:rsidR="00CF1BB1" w:rsidRPr="00506CC7" w:rsidRDefault="00CF1BB1" w:rsidP="00CF1BB1">
      <w:pPr>
        <w:rPr>
          <w:i/>
          <w:iCs/>
        </w:rPr>
      </w:pPr>
      <w:r w:rsidRPr="00506CC7">
        <w:t>Statistics in the preceding section were referenced from the following reports:</w:t>
      </w:r>
    </w:p>
    <w:p w14:paraId="32E863F5" w14:textId="2A2D16FF" w:rsidR="0022487C" w:rsidRDefault="00000000" w:rsidP="00926EB3">
      <w:pPr>
        <w:pStyle w:val="ListParagraph"/>
        <w:numPr>
          <w:ilvl w:val="0"/>
          <w:numId w:val="11"/>
        </w:numPr>
      </w:pPr>
      <w:hyperlink r:id="rId248" w:history="1">
        <w:r w:rsidR="0022487C" w:rsidRPr="0022487C">
          <w:rPr>
            <w:rStyle w:val="Hyperlink"/>
          </w:rPr>
          <w:t>South Carolina Violent Death Reporting System” by SCDHEC via scdhec.gov. Accessed June 21, 2023.</w:t>
        </w:r>
      </w:hyperlink>
    </w:p>
    <w:p w14:paraId="13C5FE68" w14:textId="4F5660EF" w:rsidR="00D26A8E" w:rsidRPr="00D26A8E" w:rsidRDefault="00000000" w:rsidP="00926EB3">
      <w:pPr>
        <w:pStyle w:val="ListParagraph"/>
        <w:numPr>
          <w:ilvl w:val="0"/>
          <w:numId w:val="35"/>
        </w:numPr>
        <w:rPr>
          <w:u w:val="thick"/>
        </w:rPr>
      </w:pPr>
      <w:hyperlink r:id="rId249" w:history="1">
        <w:r w:rsidR="00D26A8E" w:rsidRPr="0022487C">
          <w:rPr>
            <w:rStyle w:val="Hyperlink"/>
          </w:rPr>
          <w:t>“The Impact of Gun Violence on Children and Adolescents” by KFF via kff.org. Accessed June 22, 2023</w:t>
        </w:r>
      </w:hyperlink>
    </w:p>
    <w:p w14:paraId="2DBD934E" w14:textId="0E81ADDD" w:rsidR="00D26A8E" w:rsidRPr="00D26A8E" w:rsidRDefault="00000000" w:rsidP="00926EB3">
      <w:pPr>
        <w:pStyle w:val="ListParagraph"/>
        <w:numPr>
          <w:ilvl w:val="0"/>
          <w:numId w:val="35"/>
        </w:numPr>
        <w:rPr>
          <w:u w:val="thick"/>
        </w:rPr>
      </w:pPr>
      <w:hyperlink r:id="rId250" w:history="1">
        <w:r w:rsidR="0022487C" w:rsidRPr="0022487C">
          <w:rPr>
            <w:rStyle w:val="Hyperlink"/>
          </w:rPr>
          <w:t>“</w:t>
        </w:r>
        <w:r w:rsidR="00D26A8E" w:rsidRPr="0022487C">
          <w:rPr>
            <w:rStyle w:val="Hyperlink"/>
          </w:rPr>
          <w:t>S.C. Vital Records Data and Statistics</w:t>
        </w:r>
        <w:r w:rsidR="0022487C" w:rsidRPr="0022487C">
          <w:rPr>
            <w:rStyle w:val="Hyperlink"/>
          </w:rPr>
          <w:t>” by</w:t>
        </w:r>
        <w:r w:rsidR="00D26A8E" w:rsidRPr="0022487C">
          <w:rPr>
            <w:rStyle w:val="Hyperlink"/>
          </w:rPr>
          <w:t xml:space="preserve"> SCDHEC</w:t>
        </w:r>
        <w:r w:rsidR="0022487C" w:rsidRPr="0022487C">
          <w:rPr>
            <w:rStyle w:val="Hyperlink"/>
          </w:rPr>
          <w:t xml:space="preserve"> via scdhec.gov.</w:t>
        </w:r>
        <w:r w:rsidR="00D26A8E" w:rsidRPr="0022487C">
          <w:rPr>
            <w:rStyle w:val="Hyperlink"/>
          </w:rPr>
          <w:t xml:space="preserve"> Accessed June 22, 2023.</w:t>
        </w:r>
      </w:hyperlink>
      <w:r w:rsidR="00D26A8E" w:rsidRPr="00D26A8E">
        <w:rPr>
          <w:u w:val="thick"/>
        </w:rPr>
        <w:t xml:space="preserve"> </w:t>
      </w:r>
    </w:p>
    <w:p w14:paraId="046D9464" w14:textId="77777777" w:rsidR="00CF1BB1" w:rsidRDefault="00CF1BB1" w:rsidP="00506CC7"/>
    <w:p w14:paraId="5D7B8C41" w14:textId="47B1A142" w:rsidR="00CF1BB1" w:rsidRDefault="00CF1BB1" w:rsidP="00CF1BB1">
      <w:pPr>
        <w:pStyle w:val="Heading3"/>
      </w:pPr>
      <w:bookmarkStart w:id="558" w:name="_Toc162267372"/>
      <w:r w:rsidRPr="00CF1BB1">
        <w:t>Injuries and Injury-Related Deaths:</w:t>
      </w:r>
      <w:r>
        <w:t xml:space="preserve"> Traumatic Brain Injuries</w:t>
      </w:r>
      <w:bookmarkEnd w:id="558"/>
    </w:p>
    <w:p w14:paraId="0CDF5575" w14:textId="1F1E097C" w:rsidR="00CF1BB1" w:rsidRPr="00CF1BB1" w:rsidRDefault="00CF1BB1" w:rsidP="00CF1BB1">
      <w:r w:rsidRPr="00CF1BB1">
        <w:t xml:space="preserve">While the symptoms of brain injuries in children are </w:t>
      </w:r>
      <w:proofErr w:type="gramStart"/>
      <w:r w:rsidRPr="00CF1BB1">
        <w:t>similar to</w:t>
      </w:r>
      <w:proofErr w:type="gramEnd"/>
      <w:r w:rsidRPr="00CF1BB1">
        <w:t xml:space="preserve"> those experienced by adults, the impact can be very different. Children’s brains are still developing, and the implications of a traumatic brain injury (TBI) can create life</w:t>
      </w:r>
      <w:r w:rsidR="006D4802">
        <w:t>long</w:t>
      </w:r>
      <w:r w:rsidRPr="00CF1BB1">
        <w:t xml:space="preserve"> challenges </w:t>
      </w:r>
      <w:r w:rsidRPr="00CF1BB1">
        <w:lastRenderedPageBreak/>
        <w:t xml:space="preserve">for living and learning for children, their families, schools, and communities. Brain injury is the leading cause of disability in children and adolescents in the US. Children aged 1-17 had a nonfatal TBI-related hospitalization rate of 22.5 hospitalizations per 100,000 population in 2018, and a TBI-related mortality rate of 3.4 deaths per 100,000 population in 2019. TBI in children and adolescents are typically a result of MVCs, falls, sports injuries, physical abuse, or other causes Children living in rural areas are more likely to experience a TBI, die </w:t>
      </w:r>
      <w:proofErr w:type="gramStart"/>
      <w:r w:rsidRPr="00CF1BB1">
        <w:t>as a result of</w:t>
      </w:r>
      <w:proofErr w:type="gramEnd"/>
      <w:r w:rsidRPr="00CF1BB1">
        <w:t xml:space="preserve"> the injury and experience delays in receiving care, compared to urban areas.  </w:t>
      </w:r>
    </w:p>
    <w:p w14:paraId="3E2E7587" w14:textId="77777777" w:rsidR="00CF1BB1" w:rsidRDefault="00CF1BB1" w:rsidP="00506CC7"/>
    <w:p w14:paraId="562AA89C" w14:textId="77777777" w:rsidR="00B90936" w:rsidRDefault="00B90936" w:rsidP="00B90936">
      <w:pPr>
        <w:pStyle w:val="Heading4"/>
      </w:pPr>
      <w:bookmarkStart w:id="559" w:name="_Toc154576448"/>
      <w:bookmarkStart w:id="560" w:name="_Toc162267373"/>
      <w:r>
        <w:t>Figure 8.13: Traumatic Brain Injury Deaths in Children Aged 1-17, by Sex and Age Group.</w:t>
      </w:r>
      <w:bookmarkEnd w:id="559"/>
      <w:bookmarkEnd w:id="560"/>
    </w:p>
    <w:p w14:paraId="41CFEE2D" w14:textId="1C71E553" w:rsidR="00195CD4" w:rsidRPr="00195CD4" w:rsidRDefault="00195CD4" w:rsidP="00195CD4">
      <w:pPr>
        <w:pStyle w:val="Heading5"/>
      </w:pPr>
      <w:r>
        <w:t>Rate per 100,000 population.</w:t>
      </w:r>
    </w:p>
    <w:tbl>
      <w:tblPr>
        <w:tblStyle w:val="TableGrid"/>
        <w:tblW w:w="0" w:type="auto"/>
        <w:tblLook w:val="04A0" w:firstRow="1" w:lastRow="0" w:firstColumn="1" w:lastColumn="0" w:noHBand="0" w:noVBand="1"/>
      </w:tblPr>
      <w:tblGrid>
        <w:gridCol w:w="3116"/>
        <w:gridCol w:w="3117"/>
        <w:gridCol w:w="3117"/>
      </w:tblGrid>
      <w:tr w:rsidR="00B90936" w14:paraId="5FB1250B" w14:textId="77777777" w:rsidTr="001515D5">
        <w:tc>
          <w:tcPr>
            <w:tcW w:w="3116" w:type="dxa"/>
            <w:vAlign w:val="bottom"/>
          </w:tcPr>
          <w:p w14:paraId="3D934A3B" w14:textId="77777777" w:rsidR="00B90936" w:rsidRPr="009D7FE2" w:rsidRDefault="00B90936" w:rsidP="001515D5">
            <w:r w:rsidRPr="009D7FE2">
              <w:t xml:space="preserve"> </w:t>
            </w:r>
            <w:r>
              <w:t>Age Group</w:t>
            </w:r>
          </w:p>
        </w:tc>
        <w:tc>
          <w:tcPr>
            <w:tcW w:w="3117" w:type="dxa"/>
            <w:vAlign w:val="bottom"/>
          </w:tcPr>
          <w:p w14:paraId="56937FF1" w14:textId="77777777" w:rsidR="00B90936" w:rsidRPr="009D7FE2" w:rsidRDefault="00B90936" w:rsidP="001515D5">
            <w:r w:rsidRPr="009D7FE2">
              <w:t>Male</w:t>
            </w:r>
          </w:p>
        </w:tc>
        <w:tc>
          <w:tcPr>
            <w:tcW w:w="3117" w:type="dxa"/>
            <w:vAlign w:val="bottom"/>
          </w:tcPr>
          <w:p w14:paraId="73A01777" w14:textId="77777777" w:rsidR="00B90936" w:rsidRPr="009D7FE2" w:rsidRDefault="00B90936" w:rsidP="001515D5">
            <w:r w:rsidRPr="009D7FE2">
              <w:t>Female</w:t>
            </w:r>
          </w:p>
        </w:tc>
      </w:tr>
      <w:tr w:rsidR="00B90936" w14:paraId="4BA5F26F" w14:textId="77777777" w:rsidTr="001515D5">
        <w:tc>
          <w:tcPr>
            <w:tcW w:w="3116" w:type="dxa"/>
            <w:vAlign w:val="bottom"/>
          </w:tcPr>
          <w:p w14:paraId="29E6F7BB" w14:textId="77777777" w:rsidR="00B90936" w:rsidRPr="009D7FE2" w:rsidRDefault="00B90936" w:rsidP="001515D5">
            <w:r w:rsidRPr="009D7FE2">
              <w:t>1 to 4</w:t>
            </w:r>
          </w:p>
        </w:tc>
        <w:tc>
          <w:tcPr>
            <w:tcW w:w="3117" w:type="dxa"/>
            <w:vAlign w:val="center"/>
          </w:tcPr>
          <w:p w14:paraId="1CBA8785" w14:textId="77777777" w:rsidR="00B90936" w:rsidRPr="009D7FE2" w:rsidRDefault="00B90936" w:rsidP="001515D5">
            <w:r>
              <w:t>6.0</w:t>
            </w:r>
          </w:p>
        </w:tc>
        <w:tc>
          <w:tcPr>
            <w:tcW w:w="3117" w:type="dxa"/>
            <w:vAlign w:val="center"/>
          </w:tcPr>
          <w:p w14:paraId="3AEDB0D7" w14:textId="77777777" w:rsidR="00B90936" w:rsidRPr="009D7FE2" w:rsidRDefault="00B90936" w:rsidP="001515D5">
            <w:r>
              <w:t>5.2</w:t>
            </w:r>
          </w:p>
        </w:tc>
      </w:tr>
      <w:tr w:rsidR="00B90936" w14:paraId="38D61DE3" w14:textId="77777777" w:rsidTr="001515D5">
        <w:tc>
          <w:tcPr>
            <w:tcW w:w="3116" w:type="dxa"/>
            <w:vAlign w:val="bottom"/>
          </w:tcPr>
          <w:p w14:paraId="38526D5B" w14:textId="77777777" w:rsidR="00B90936" w:rsidRPr="009D7FE2" w:rsidRDefault="00B90936" w:rsidP="001515D5">
            <w:r w:rsidRPr="009D7FE2">
              <w:t>5 to 9</w:t>
            </w:r>
          </w:p>
        </w:tc>
        <w:tc>
          <w:tcPr>
            <w:tcW w:w="3117" w:type="dxa"/>
            <w:vAlign w:val="center"/>
          </w:tcPr>
          <w:p w14:paraId="4D3A1E84" w14:textId="77777777" w:rsidR="00B90936" w:rsidRPr="009D7FE2" w:rsidRDefault="00B90936" w:rsidP="001515D5">
            <w:r>
              <w:t>4.6</w:t>
            </w:r>
          </w:p>
        </w:tc>
        <w:tc>
          <w:tcPr>
            <w:tcW w:w="3117" w:type="dxa"/>
            <w:vAlign w:val="center"/>
          </w:tcPr>
          <w:p w14:paraId="49B17B5B" w14:textId="77777777" w:rsidR="00B90936" w:rsidRPr="009D7FE2" w:rsidRDefault="00B90936" w:rsidP="001515D5">
            <w:r>
              <w:t>1.5</w:t>
            </w:r>
          </w:p>
        </w:tc>
      </w:tr>
      <w:tr w:rsidR="00B90936" w14:paraId="5B1A5D78" w14:textId="77777777" w:rsidTr="001515D5">
        <w:tc>
          <w:tcPr>
            <w:tcW w:w="3116" w:type="dxa"/>
            <w:vAlign w:val="bottom"/>
          </w:tcPr>
          <w:p w14:paraId="0945606A" w14:textId="77777777" w:rsidR="00B90936" w:rsidRPr="009D7FE2" w:rsidRDefault="00B90936" w:rsidP="001515D5">
            <w:r w:rsidRPr="009D7FE2">
              <w:t>10 to 14</w:t>
            </w:r>
          </w:p>
        </w:tc>
        <w:tc>
          <w:tcPr>
            <w:tcW w:w="3117" w:type="dxa"/>
            <w:vAlign w:val="center"/>
          </w:tcPr>
          <w:p w14:paraId="459078E8" w14:textId="77777777" w:rsidR="00B90936" w:rsidRPr="009D7FE2" w:rsidRDefault="00B90936" w:rsidP="001515D5">
            <w:r>
              <w:t>4.6</w:t>
            </w:r>
          </w:p>
        </w:tc>
        <w:tc>
          <w:tcPr>
            <w:tcW w:w="3117" w:type="dxa"/>
            <w:vAlign w:val="center"/>
          </w:tcPr>
          <w:p w14:paraId="527B312D" w14:textId="77777777" w:rsidR="00B90936" w:rsidRPr="009D7FE2" w:rsidRDefault="00B90936" w:rsidP="001515D5">
            <w:r>
              <w:t>2.4</w:t>
            </w:r>
          </w:p>
        </w:tc>
      </w:tr>
      <w:tr w:rsidR="00B90936" w14:paraId="32E093E1" w14:textId="77777777" w:rsidTr="001515D5">
        <w:tc>
          <w:tcPr>
            <w:tcW w:w="3116" w:type="dxa"/>
            <w:vAlign w:val="bottom"/>
          </w:tcPr>
          <w:p w14:paraId="1D80A16F" w14:textId="77777777" w:rsidR="00B90936" w:rsidRPr="009D7FE2" w:rsidRDefault="00B90936" w:rsidP="001515D5">
            <w:r w:rsidRPr="009D7FE2">
              <w:t>15 to 17</w:t>
            </w:r>
          </w:p>
        </w:tc>
        <w:tc>
          <w:tcPr>
            <w:tcW w:w="3117" w:type="dxa"/>
            <w:vAlign w:val="center"/>
          </w:tcPr>
          <w:p w14:paraId="6ABDD4D2" w14:textId="77777777" w:rsidR="00B90936" w:rsidRPr="009D7FE2" w:rsidRDefault="00B90936" w:rsidP="001515D5">
            <w:r>
              <w:t>26.0</w:t>
            </w:r>
          </w:p>
        </w:tc>
        <w:tc>
          <w:tcPr>
            <w:tcW w:w="3117" w:type="dxa"/>
            <w:vAlign w:val="center"/>
          </w:tcPr>
          <w:p w14:paraId="0F9A70A8" w14:textId="77777777" w:rsidR="00B90936" w:rsidRPr="009D7FE2" w:rsidRDefault="00B90936" w:rsidP="001515D5">
            <w:r>
              <w:t>8.4</w:t>
            </w:r>
          </w:p>
        </w:tc>
      </w:tr>
    </w:tbl>
    <w:p w14:paraId="6C95F714" w14:textId="77777777" w:rsidR="00B90936" w:rsidRPr="00B41BC6" w:rsidRDefault="00B90936" w:rsidP="00B90936">
      <w:r w:rsidRPr="00B41BC6">
        <w:t xml:space="preserve">Source: SC DHEC Vital Statistics, 2017- 2021. </w:t>
      </w:r>
    </w:p>
    <w:p w14:paraId="50349A06" w14:textId="77777777" w:rsidR="00B90936" w:rsidRDefault="00B90936" w:rsidP="00B90936">
      <w:r w:rsidRPr="00B41BC6">
        <w:t>Note: Population for year 2021 based on single-race estimates and for years prior based on bridge-race estimates.</w:t>
      </w:r>
    </w:p>
    <w:p w14:paraId="2F09B706" w14:textId="77777777" w:rsidR="00B90936" w:rsidRDefault="00B90936" w:rsidP="00B90936"/>
    <w:p w14:paraId="0D05B744" w14:textId="22BF36AD" w:rsidR="00B90936" w:rsidRDefault="00B90936" w:rsidP="00B90936">
      <w:pPr>
        <w:pStyle w:val="Heading4"/>
      </w:pPr>
      <w:bookmarkStart w:id="561" w:name="_Toc154576449"/>
      <w:bookmarkStart w:id="562" w:name="_Toc162267374"/>
      <w:r>
        <w:t>Figure 8.14: Rate of Nonfatal TBIs seen in the Emergency Department among children 1-17, by Age Group.</w:t>
      </w:r>
      <w:bookmarkEnd w:id="561"/>
      <w:bookmarkEnd w:id="562"/>
    </w:p>
    <w:p w14:paraId="2F547270" w14:textId="77777777" w:rsidR="00B90936" w:rsidRDefault="00B90936" w:rsidP="00B90936">
      <w:pPr>
        <w:pStyle w:val="Heading5"/>
      </w:pPr>
      <w:r>
        <w:t>Rate per 100,000 population.</w:t>
      </w:r>
    </w:p>
    <w:tbl>
      <w:tblPr>
        <w:tblStyle w:val="TableGrid"/>
        <w:tblW w:w="0" w:type="auto"/>
        <w:tblLook w:val="04A0" w:firstRow="1" w:lastRow="0" w:firstColumn="1" w:lastColumn="0" w:noHBand="0" w:noVBand="1"/>
      </w:tblPr>
      <w:tblGrid>
        <w:gridCol w:w="1870"/>
        <w:gridCol w:w="1870"/>
        <w:gridCol w:w="1870"/>
        <w:gridCol w:w="1870"/>
        <w:gridCol w:w="1870"/>
      </w:tblGrid>
      <w:tr w:rsidR="00B90936" w14:paraId="03209B70" w14:textId="77777777" w:rsidTr="001515D5">
        <w:tc>
          <w:tcPr>
            <w:tcW w:w="1870" w:type="dxa"/>
            <w:vAlign w:val="bottom"/>
          </w:tcPr>
          <w:p w14:paraId="55B6F825" w14:textId="77777777" w:rsidR="00B90936" w:rsidRDefault="00B90936" w:rsidP="001515D5">
            <w:r>
              <w:t> Year</w:t>
            </w:r>
          </w:p>
        </w:tc>
        <w:tc>
          <w:tcPr>
            <w:tcW w:w="1870" w:type="dxa"/>
            <w:vAlign w:val="bottom"/>
          </w:tcPr>
          <w:p w14:paraId="675A8BE4" w14:textId="77777777" w:rsidR="00B90936" w:rsidRDefault="00B90936" w:rsidP="001515D5">
            <w:r>
              <w:t>Age 1 to 4</w:t>
            </w:r>
          </w:p>
        </w:tc>
        <w:tc>
          <w:tcPr>
            <w:tcW w:w="1870" w:type="dxa"/>
            <w:vAlign w:val="bottom"/>
          </w:tcPr>
          <w:p w14:paraId="17B58B9D" w14:textId="77777777" w:rsidR="00B90936" w:rsidRDefault="00B90936" w:rsidP="001515D5">
            <w:r>
              <w:t>Age 5 to 9</w:t>
            </w:r>
          </w:p>
        </w:tc>
        <w:tc>
          <w:tcPr>
            <w:tcW w:w="1870" w:type="dxa"/>
            <w:vAlign w:val="bottom"/>
          </w:tcPr>
          <w:p w14:paraId="2AB9BB16" w14:textId="77777777" w:rsidR="00B90936" w:rsidRDefault="00B90936" w:rsidP="001515D5">
            <w:r>
              <w:t>Age 10 to 14</w:t>
            </w:r>
          </w:p>
        </w:tc>
        <w:tc>
          <w:tcPr>
            <w:tcW w:w="1870" w:type="dxa"/>
            <w:vAlign w:val="bottom"/>
          </w:tcPr>
          <w:p w14:paraId="324B058C" w14:textId="77777777" w:rsidR="00B90936" w:rsidRDefault="00B90936" w:rsidP="001515D5">
            <w:r>
              <w:t>Age 15 to 17</w:t>
            </w:r>
          </w:p>
        </w:tc>
      </w:tr>
      <w:tr w:rsidR="00B90936" w14:paraId="52C63BF6" w14:textId="77777777" w:rsidTr="001515D5">
        <w:tc>
          <w:tcPr>
            <w:tcW w:w="1870" w:type="dxa"/>
            <w:vAlign w:val="bottom"/>
          </w:tcPr>
          <w:p w14:paraId="14F7C76B" w14:textId="77777777" w:rsidR="00B90936" w:rsidRDefault="00B90936" w:rsidP="001515D5">
            <w:r>
              <w:t>2017</w:t>
            </w:r>
          </w:p>
        </w:tc>
        <w:tc>
          <w:tcPr>
            <w:tcW w:w="1870" w:type="dxa"/>
            <w:vAlign w:val="bottom"/>
          </w:tcPr>
          <w:p w14:paraId="00AA2267" w14:textId="77777777" w:rsidR="00B90936" w:rsidRDefault="00B90936" w:rsidP="001515D5">
            <w:r>
              <w:t>169.9</w:t>
            </w:r>
          </w:p>
        </w:tc>
        <w:tc>
          <w:tcPr>
            <w:tcW w:w="1870" w:type="dxa"/>
            <w:vAlign w:val="bottom"/>
          </w:tcPr>
          <w:p w14:paraId="19F67B53" w14:textId="77777777" w:rsidR="00B90936" w:rsidRDefault="00B90936" w:rsidP="001515D5">
            <w:r>
              <w:t>174.6</w:t>
            </w:r>
          </w:p>
        </w:tc>
        <w:tc>
          <w:tcPr>
            <w:tcW w:w="1870" w:type="dxa"/>
            <w:vAlign w:val="bottom"/>
          </w:tcPr>
          <w:p w14:paraId="1FE5D195" w14:textId="77777777" w:rsidR="00B90936" w:rsidRDefault="00B90936" w:rsidP="001515D5">
            <w:r>
              <w:t>315.3</w:t>
            </w:r>
          </w:p>
        </w:tc>
        <w:tc>
          <w:tcPr>
            <w:tcW w:w="1870" w:type="dxa"/>
            <w:vAlign w:val="bottom"/>
          </w:tcPr>
          <w:p w14:paraId="4EA60979" w14:textId="77777777" w:rsidR="00B90936" w:rsidRDefault="00B90936" w:rsidP="001515D5">
            <w:r>
              <w:t>482.3</w:t>
            </w:r>
          </w:p>
        </w:tc>
      </w:tr>
      <w:tr w:rsidR="00B90936" w14:paraId="314CB388" w14:textId="77777777" w:rsidTr="001515D5">
        <w:tc>
          <w:tcPr>
            <w:tcW w:w="1870" w:type="dxa"/>
            <w:vAlign w:val="bottom"/>
          </w:tcPr>
          <w:p w14:paraId="19F73C2A" w14:textId="77777777" w:rsidR="00B90936" w:rsidRDefault="00B90936" w:rsidP="001515D5">
            <w:r>
              <w:t>2018</w:t>
            </w:r>
          </w:p>
        </w:tc>
        <w:tc>
          <w:tcPr>
            <w:tcW w:w="1870" w:type="dxa"/>
            <w:vAlign w:val="bottom"/>
          </w:tcPr>
          <w:p w14:paraId="3CCBCB09" w14:textId="77777777" w:rsidR="00B90936" w:rsidRDefault="00B90936" w:rsidP="001515D5">
            <w:r>
              <w:t>158.8</w:t>
            </w:r>
          </w:p>
        </w:tc>
        <w:tc>
          <w:tcPr>
            <w:tcW w:w="1870" w:type="dxa"/>
            <w:vAlign w:val="bottom"/>
          </w:tcPr>
          <w:p w14:paraId="7138DF73" w14:textId="77777777" w:rsidR="00B90936" w:rsidRDefault="00B90936" w:rsidP="001515D5">
            <w:r>
              <w:t>141.3</w:t>
            </w:r>
          </w:p>
        </w:tc>
        <w:tc>
          <w:tcPr>
            <w:tcW w:w="1870" w:type="dxa"/>
            <w:vAlign w:val="bottom"/>
          </w:tcPr>
          <w:p w14:paraId="2DE12E0C" w14:textId="77777777" w:rsidR="00B90936" w:rsidRDefault="00B90936" w:rsidP="001515D5">
            <w:r>
              <w:t>275.2</w:t>
            </w:r>
          </w:p>
        </w:tc>
        <w:tc>
          <w:tcPr>
            <w:tcW w:w="1870" w:type="dxa"/>
            <w:vAlign w:val="bottom"/>
          </w:tcPr>
          <w:p w14:paraId="32B05229" w14:textId="77777777" w:rsidR="00B90936" w:rsidRDefault="00B90936" w:rsidP="001515D5">
            <w:r>
              <w:t>488.4</w:t>
            </w:r>
          </w:p>
        </w:tc>
      </w:tr>
      <w:tr w:rsidR="00B90936" w14:paraId="6926F6E4" w14:textId="77777777" w:rsidTr="001515D5">
        <w:tc>
          <w:tcPr>
            <w:tcW w:w="1870" w:type="dxa"/>
            <w:vAlign w:val="bottom"/>
          </w:tcPr>
          <w:p w14:paraId="66902A91" w14:textId="77777777" w:rsidR="00B90936" w:rsidRDefault="00B90936" w:rsidP="001515D5">
            <w:r>
              <w:t>2019</w:t>
            </w:r>
          </w:p>
        </w:tc>
        <w:tc>
          <w:tcPr>
            <w:tcW w:w="1870" w:type="dxa"/>
            <w:vAlign w:val="bottom"/>
          </w:tcPr>
          <w:p w14:paraId="43BDE56D" w14:textId="77777777" w:rsidR="00B90936" w:rsidRDefault="00B90936" w:rsidP="001515D5">
            <w:r>
              <w:t>154.0</w:t>
            </w:r>
          </w:p>
        </w:tc>
        <w:tc>
          <w:tcPr>
            <w:tcW w:w="1870" w:type="dxa"/>
            <w:vAlign w:val="bottom"/>
          </w:tcPr>
          <w:p w14:paraId="67175DE3" w14:textId="77777777" w:rsidR="00B90936" w:rsidRDefault="00B90936" w:rsidP="001515D5">
            <w:r>
              <w:t>155.8</w:t>
            </w:r>
          </w:p>
        </w:tc>
        <w:tc>
          <w:tcPr>
            <w:tcW w:w="1870" w:type="dxa"/>
            <w:vAlign w:val="bottom"/>
          </w:tcPr>
          <w:p w14:paraId="0679BEC3" w14:textId="77777777" w:rsidR="00B90936" w:rsidRDefault="00B90936" w:rsidP="001515D5">
            <w:r>
              <w:t>280.9</w:t>
            </w:r>
          </w:p>
        </w:tc>
        <w:tc>
          <w:tcPr>
            <w:tcW w:w="1870" w:type="dxa"/>
            <w:vAlign w:val="bottom"/>
          </w:tcPr>
          <w:p w14:paraId="0797E488" w14:textId="77777777" w:rsidR="00B90936" w:rsidRDefault="00B90936" w:rsidP="001515D5">
            <w:r>
              <w:t>485.1</w:t>
            </w:r>
          </w:p>
        </w:tc>
      </w:tr>
      <w:tr w:rsidR="00B90936" w14:paraId="0B69C334" w14:textId="77777777" w:rsidTr="001515D5">
        <w:tc>
          <w:tcPr>
            <w:tcW w:w="1870" w:type="dxa"/>
            <w:vAlign w:val="bottom"/>
          </w:tcPr>
          <w:p w14:paraId="16DA7F98" w14:textId="77777777" w:rsidR="00B90936" w:rsidRDefault="00B90936" w:rsidP="001515D5">
            <w:r>
              <w:t>2020</w:t>
            </w:r>
          </w:p>
        </w:tc>
        <w:tc>
          <w:tcPr>
            <w:tcW w:w="1870" w:type="dxa"/>
            <w:vAlign w:val="bottom"/>
          </w:tcPr>
          <w:p w14:paraId="575D99DF" w14:textId="77777777" w:rsidR="00B90936" w:rsidRDefault="00B90936" w:rsidP="001515D5">
            <w:r>
              <w:t>136.6</w:t>
            </w:r>
          </w:p>
        </w:tc>
        <w:tc>
          <w:tcPr>
            <w:tcW w:w="1870" w:type="dxa"/>
            <w:vAlign w:val="bottom"/>
          </w:tcPr>
          <w:p w14:paraId="3CE4EDEF" w14:textId="77777777" w:rsidR="00B90936" w:rsidRDefault="00B90936" w:rsidP="001515D5">
            <w:r>
              <w:t>116.3</w:t>
            </w:r>
          </w:p>
        </w:tc>
        <w:tc>
          <w:tcPr>
            <w:tcW w:w="1870" w:type="dxa"/>
            <w:vAlign w:val="bottom"/>
          </w:tcPr>
          <w:p w14:paraId="3588AF35" w14:textId="77777777" w:rsidR="00B90936" w:rsidRDefault="00B90936" w:rsidP="001515D5">
            <w:r>
              <w:t>172.6</w:t>
            </w:r>
          </w:p>
        </w:tc>
        <w:tc>
          <w:tcPr>
            <w:tcW w:w="1870" w:type="dxa"/>
            <w:vAlign w:val="bottom"/>
          </w:tcPr>
          <w:p w14:paraId="57B665BC" w14:textId="77777777" w:rsidR="00B90936" w:rsidRDefault="00B90936" w:rsidP="001515D5">
            <w:r>
              <w:t>333.9</w:t>
            </w:r>
          </w:p>
        </w:tc>
      </w:tr>
      <w:tr w:rsidR="00B90936" w14:paraId="1F2E3389" w14:textId="77777777" w:rsidTr="001515D5">
        <w:tc>
          <w:tcPr>
            <w:tcW w:w="1870" w:type="dxa"/>
            <w:vAlign w:val="bottom"/>
          </w:tcPr>
          <w:p w14:paraId="73725690" w14:textId="77777777" w:rsidR="00B90936" w:rsidRDefault="00B90936" w:rsidP="001515D5">
            <w:r>
              <w:t>2021</w:t>
            </w:r>
          </w:p>
        </w:tc>
        <w:tc>
          <w:tcPr>
            <w:tcW w:w="1870" w:type="dxa"/>
            <w:vAlign w:val="bottom"/>
          </w:tcPr>
          <w:p w14:paraId="046FC6C1" w14:textId="77777777" w:rsidR="00B90936" w:rsidRDefault="00B90936" w:rsidP="001515D5">
            <w:r>
              <w:t>146.9</w:t>
            </w:r>
          </w:p>
        </w:tc>
        <w:tc>
          <w:tcPr>
            <w:tcW w:w="1870" w:type="dxa"/>
            <w:vAlign w:val="bottom"/>
          </w:tcPr>
          <w:p w14:paraId="4F2897EE" w14:textId="77777777" w:rsidR="00B90936" w:rsidRDefault="00B90936" w:rsidP="001515D5">
            <w:r>
              <w:t>123.2</w:t>
            </w:r>
          </w:p>
        </w:tc>
        <w:tc>
          <w:tcPr>
            <w:tcW w:w="1870" w:type="dxa"/>
            <w:vAlign w:val="bottom"/>
          </w:tcPr>
          <w:p w14:paraId="635959AE" w14:textId="77777777" w:rsidR="00B90936" w:rsidRDefault="00B90936" w:rsidP="001515D5">
            <w:r>
              <w:t>232.5</w:t>
            </w:r>
          </w:p>
        </w:tc>
        <w:tc>
          <w:tcPr>
            <w:tcW w:w="1870" w:type="dxa"/>
            <w:vAlign w:val="bottom"/>
          </w:tcPr>
          <w:p w14:paraId="75D24857" w14:textId="77777777" w:rsidR="00B90936" w:rsidRDefault="00B90936" w:rsidP="001515D5">
            <w:r>
              <w:t>389.5</w:t>
            </w:r>
          </w:p>
        </w:tc>
      </w:tr>
    </w:tbl>
    <w:p w14:paraId="4A7BC0E5" w14:textId="77777777" w:rsidR="00B90936" w:rsidRPr="00B41BC6" w:rsidRDefault="00B90936" w:rsidP="00B90936">
      <w:r w:rsidRPr="00B41BC6">
        <w:t xml:space="preserve">Source: SC RFA. </w:t>
      </w:r>
    </w:p>
    <w:p w14:paraId="08A3FEE4" w14:textId="77777777" w:rsidR="00B90936" w:rsidRDefault="00B90936" w:rsidP="00B90936">
      <w:r w:rsidRPr="00B41BC6">
        <w:t>Note: Includes cases subsequently admitted as an inpatient to the same hospital from the ED, initial encounter for injury only; population for year 2021 based on single-race estimates and for years prior based on bridge-race estimates.</w:t>
      </w:r>
    </w:p>
    <w:p w14:paraId="4F0F354E" w14:textId="77777777" w:rsidR="00CF1BB1" w:rsidRDefault="00CF1BB1" w:rsidP="00506CC7"/>
    <w:p w14:paraId="4449A10F" w14:textId="77777777" w:rsidR="00CF1BB1" w:rsidRDefault="00CF1BB1" w:rsidP="00CF1BB1">
      <w:pPr>
        <w:pStyle w:val="Heading4"/>
      </w:pPr>
      <w:bookmarkStart w:id="563" w:name="_Toc162267375"/>
      <w:r w:rsidRPr="00CF1BB1">
        <w:lastRenderedPageBreak/>
        <w:t>Data Interpretations:</w:t>
      </w:r>
      <w:bookmarkEnd w:id="563"/>
      <w:r w:rsidRPr="00CF1BB1">
        <w:t xml:space="preserve"> </w:t>
      </w:r>
    </w:p>
    <w:p w14:paraId="386DC3B1" w14:textId="229EE1D0" w:rsidR="00CF1BB1" w:rsidRPr="00CF1BB1" w:rsidRDefault="00CF1BB1" w:rsidP="00CF1BB1">
      <w:r w:rsidRPr="00CF1BB1">
        <w:t>From 2017-2021, SC male children ages 15 to 17 had the highest rate of TBI deaths (26.0 deaths per 100,000 population), which was more than 3 times as high as the rate in females 15 to 17 (8.4 deaths per 100,000 population) (</w:t>
      </w:r>
      <w:r w:rsidRPr="00CF1BB1">
        <w:rPr>
          <w:b/>
          <w:bCs/>
        </w:rPr>
        <w:t>Figure 8.13</w:t>
      </w:r>
      <w:r w:rsidRPr="00CF1BB1">
        <w:t>). SC male children also had higher rates of TBI deaths than females in the other age groups, with the second-highest rate being males in the 1 to 4 age group (6.0 deaths per 100,000 population) (</w:t>
      </w:r>
      <w:r w:rsidRPr="00CF1BB1">
        <w:rPr>
          <w:b/>
          <w:bCs/>
        </w:rPr>
        <w:t>Figure 8.13</w:t>
      </w:r>
      <w:r w:rsidRPr="00CF1BB1">
        <w:t xml:space="preserve">).  </w:t>
      </w:r>
    </w:p>
    <w:p w14:paraId="350D3FF2" w14:textId="77777777" w:rsidR="00CF1BB1" w:rsidRDefault="00CF1BB1" w:rsidP="00CF1BB1"/>
    <w:p w14:paraId="6EBC5854" w14:textId="25623ED7" w:rsidR="00CF1BB1" w:rsidRDefault="00CF1BB1" w:rsidP="00CF1BB1">
      <w:r w:rsidRPr="00CF1BB1">
        <w:t>Nonfatal TBI ED visits among children have decreased from 2017 to 2021 in all age groups among children 1 to 17 (</w:t>
      </w:r>
      <w:r w:rsidRPr="00CF1BB1">
        <w:rPr>
          <w:b/>
          <w:bCs/>
        </w:rPr>
        <w:t>Figure 8.14</w:t>
      </w:r>
      <w:r w:rsidRPr="00CF1BB1">
        <w:t>). The drop in nonfatal TBI ED visits in 2020 can potentially be attributed to the COVID-19 pandemic.  From 2017-2021, SC children ages 15 to 17 had the highest rates of nonfatal TBI ED visits, and children ages 1 to 9 had the lowest rates (</w:t>
      </w:r>
      <w:r w:rsidRPr="00CF1BB1">
        <w:rPr>
          <w:b/>
          <w:bCs/>
        </w:rPr>
        <w:t>Figure 8.14</w:t>
      </w:r>
      <w:r w:rsidRPr="00CF1BB1">
        <w:t>). In SC, falls are the leading cause of nonfatal TBI ED visits among children 1 to 9, and among children 10 to 17, the leading cause is events in which the person is struck by or against someone/something</w:t>
      </w:r>
      <w:r>
        <w:t>.</w:t>
      </w:r>
    </w:p>
    <w:p w14:paraId="3278A8FB" w14:textId="77777777" w:rsidR="00CF1BB1" w:rsidRDefault="00CF1BB1" w:rsidP="00CF1BB1">
      <w:pPr>
        <w:pStyle w:val="Heading4"/>
        <w:rPr>
          <w:rFonts w:asciiTheme="minorHAnsi" w:hAnsiTheme="minorHAnsi" w:cstheme="minorHAnsi"/>
          <w:color w:val="000000" w:themeColor="text1"/>
        </w:rPr>
      </w:pPr>
    </w:p>
    <w:p w14:paraId="7800A20C" w14:textId="77777777" w:rsidR="005253DC" w:rsidRDefault="00CF1BB1" w:rsidP="005253DC">
      <w:pPr>
        <w:rPr>
          <w:rStyle w:val="Heading5Char"/>
        </w:rPr>
      </w:pPr>
      <w:r w:rsidRPr="00CF1BB1">
        <w:rPr>
          <w:rStyle w:val="Heading5Char"/>
        </w:rPr>
        <w:t>Key Takeaways:</w:t>
      </w:r>
    </w:p>
    <w:p w14:paraId="351295F4" w14:textId="3F90FC71" w:rsidR="00CF1BB1" w:rsidRPr="005253DC" w:rsidRDefault="00CF1BB1" w:rsidP="00926EB3">
      <w:pPr>
        <w:pStyle w:val="ListParagraph"/>
        <w:numPr>
          <w:ilvl w:val="0"/>
          <w:numId w:val="223"/>
        </w:numPr>
        <w:rPr>
          <w:b/>
          <w:bCs/>
        </w:rPr>
      </w:pPr>
      <w:r w:rsidRPr="00CF1BB1">
        <w:t>South Carolina male children ages 15 to 19 have the highest rate of TBI deaths.</w:t>
      </w:r>
    </w:p>
    <w:p w14:paraId="060D63A6" w14:textId="77777777" w:rsidR="00CF1BB1" w:rsidRDefault="00CF1BB1" w:rsidP="00CF1BB1">
      <w:pPr>
        <w:pStyle w:val="Heading4"/>
        <w:rPr>
          <w:rFonts w:asciiTheme="minorHAnsi" w:hAnsiTheme="minorHAnsi" w:cstheme="minorHAnsi"/>
          <w:color w:val="000000" w:themeColor="text1"/>
        </w:rPr>
      </w:pPr>
    </w:p>
    <w:p w14:paraId="175F9BF4" w14:textId="238B3BBD" w:rsidR="00CF1BB1" w:rsidRDefault="00506CC7" w:rsidP="00CF1BB1">
      <w:pPr>
        <w:pStyle w:val="Heading4"/>
        <w:rPr>
          <w:rFonts w:asciiTheme="minorHAnsi" w:hAnsiTheme="minorHAnsi" w:cstheme="minorHAnsi"/>
          <w:color w:val="000000" w:themeColor="text1"/>
        </w:rPr>
      </w:pPr>
      <w:bookmarkStart w:id="564" w:name="_Toc162267376"/>
      <w:r w:rsidRPr="00506CC7">
        <w:rPr>
          <w:rFonts w:asciiTheme="minorHAnsi" w:hAnsiTheme="minorHAnsi" w:cstheme="minorHAnsi"/>
          <w:color w:val="000000" w:themeColor="text1"/>
        </w:rPr>
        <w:t xml:space="preserve">References </w:t>
      </w:r>
      <w:r w:rsidR="00CF1BB1">
        <w:rPr>
          <w:rFonts w:asciiTheme="minorHAnsi" w:hAnsiTheme="minorHAnsi" w:cstheme="minorHAnsi"/>
          <w:color w:val="000000" w:themeColor="text1"/>
        </w:rPr>
        <w:t>8.7</w:t>
      </w:r>
      <w:bookmarkEnd w:id="564"/>
      <w:r w:rsidR="00CF1BB1">
        <w:rPr>
          <w:rFonts w:asciiTheme="minorHAnsi" w:hAnsiTheme="minorHAnsi" w:cstheme="minorHAnsi"/>
          <w:color w:val="000000" w:themeColor="text1"/>
        </w:rPr>
        <w:t xml:space="preserve">  </w:t>
      </w:r>
    </w:p>
    <w:p w14:paraId="49EEA64C" w14:textId="77777777" w:rsidR="00CF1BB1" w:rsidRPr="00506CC7" w:rsidRDefault="00CF1BB1" w:rsidP="00CF1BB1">
      <w:pPr>
        <w:rPr>
          <w:i/>
          <w:iCs/>
        </w:rPr>
      </w:pPr>
      <w:r w:rsidRPr="00506CC7">
        <w:t>Statistics in the preceding section were referenced from the following reports:</w:t>
      </w:r>
    </w:p>
    <w:p w14:paraId="19E12DE2" w14:textId="0059E66A" w:rsidR="0022487C" w:rsidRPr="0022487C" w:rsidRDefault="00000000" w:rsidP="00926EB3">
      <w:pPr>
        <w:pStyle w:val="ListParagraph"/>
        <w:numPr>
          <w:ilvl w:val="0"/>
          <w:numId w:val="35"/>
        </w:numPr>
      </w:pPr>
      <w:hyperlink r:id="rId251" w:history="1">
        <w:r w:rsidR="0022487C" w:rsidRPr="0022487C">
          <w:rPr>
            <w:rStyle w:val="Hyperlink"/>
          </w:rPr>
          <w:t>“Children: What to Expect” by the Brain Injury Association of America via biausa.org. Accessed June 22, 2023.</w:t>
        </w:r>
      </w:hyperlink>
      <w:r w:rsidR="0022487C" w:rsidRPr="0022487C">
        <w:t xml:space="preserve"> </w:t>
      </w:r>
    </w:p>
    <w:p w14:paraId="6EAA02ED" w14:textId="630626B8" w:rsidR="0022487C" w:rsidRPr="0022487C" w:rsidRDefault="00000000" w:rsidP="00926EB3">
      <w:pPr>
        <w:pStyle w:val="ListParagraph"/>
        <w:numPr>
          <w:ilvl w:val="0"/>
          <w:numId w:val="35"/>
        </w:numPr>
      </w:pPr>
      <w:hyperlink r:id="rId252" w:history="1">
        <w:r w:rsidR="0022487C" w:rsidRPr="0022487C">
          <w:rPr>
            <w:rStyle w:val="Hyperlink"/>
          </w:rPr>
          <w:t xml:space="preserve">“Incidence” by </w:t>
        </w:r>
        <w:proofErr w:type="gramStart"/>
        <w:r w:rsidR="0022487C" w:rsidRPr="0022487C">
          <w:rPr>
            <w:rStyle w:val="Hyperlink"/>
          </w:rPr>
          <w:t>the  Brain</w:t>
        </w:r>
        <w:proofErr w:type="gramEnd"/>
        <w:r w:rsidR="0022487C" w:rsidRPr="0022487C">
          <w:rPr>
            <w:rStyle w:val="Hyperlink"/>
          </w:rPr>
          <w:t xml:space="preserve"> Injury Association of America via biausa.org. Accessed June 22, 2023.</w:t>
        </w:r>
      </w:hyperlink>
      <w:r w:rsidR="0022487C" w:rsidRPr="0022487C">
        <w:t xml:space="preserve"> </w:t>
      </w:r>
    </w:p>
    <w:p w14:paraId="0B3F3769" w14:textId="0EF749C9" w:rsidR="0022487C" w:rsidRPr="0022487C" w:rsidRDefault="0022487C" w:rsidP="00926EB3">
      <w:pPr>
        <w:pStyle w:val="ListParagraph"/>
        <w:numPr>
          <w:ilvl w:val="0"/>
          <w:numId w:val="35"/>
        </w:numPr>
      </w:pPr>
      <w:r>
        <w:t>“</w:t>
      </w:r>
      <w:r w:rsidRPr="0022487C">
        <w:t>Incidence of Nonfatal Traumatic Brain Injury-Related Hospitalizations — United States, 2018</w:t>
      </w:r>
      <w:r>
        <w:t>” by</w:t>
      </w:r>
      <w:r w:rsidRPr="0022487C">
        <w:t xml:space="preserve"> Peterson AB, Thomas KE.</w:t>
      </w:r>
      <w:r>
        <w:t xml:space="preserve"> Published in</w:t>
      </w:r>
      <w:r w:rsidRPr="0022487C">
        <w:t xml:space="preserve"> MMWR </w:t>
      </w:r>
      <w:proofErr w:type="spellStart"/>
      <w:r w:rsidRPr="0022487C">
        <w:t>Morb</w:t>
      </w:r>
      <w:proofErr w:type="spellEnd"/>
      <w:r w:rsidRPr="0022487C">
        <w:t xml:space="preserve"> Mortal </w:t>
      </w:r>
      <w:proofErr w:type="spellStart"/>
      <w:r w:rsidRPr="0022487C">
        <w:t>Wkly</w:t>
      </w:r>
      <w:proofErr w:type="spellEnd"/>
      <w:r w:rsidRPr="0022487C">
        <w:t xml:space="preserve"> Rep. 2021</w:t>
      </w:r>
      <w:r>
        <w:t>. No hyperlink.</w:t>
      </w:r>
    </w:p>
    <w:p w14:paraId="133D6D9F" w14:textId="1252C2BC" w:rsidR="0022487C" w:rsidRPr="0022487C" w:rsidRDefault="0022487C" w:rsidP="00926EB3">
      <w:pPr>
        <w:pStyle w:val="ListParagraph"/>
        <w:numPr>
          <w:ilvl w:val="0"/>
          <w:numId w:val="35"/>
        </w:numPr>
      </w:pPr>
      <w:r>
        <w:t>“</w:t>
      </w:r>
      <w:r w:rsidRPr="0022487C">
        <w:t>Surveillance Report of Traumatic Brain Injury-Related Deaths by Age Group, Sex, and Mechanism of Injury — United States, 2018 and 2019</w:t>
      </w:r>
      <w:r>
        <w:t>” by</w:t>
      </w:r>
      <w:r w:rsidRPr="0022487C">
        <w:t xml:space="preserve"> Centers for Disease Control and Prevention</w:t>
      </w:r>
      <w:r>
        <w:t>,</w:t>
      </w:r>
      <w:r w:rsidRPr="0022487C">
        <w:t xml:space="preserve"> 2022.</w:t>
      </w:r>
      <w:r>
        <w:t xml:space="preserve"> No hyperlink</w:t>
      </w:r>
      <w:r w:rsidR="00C2531F">
        <w:t>.</w:t>
      </w:r>
    </w:p>
    <w:p w14:paraId="36A32243" w14:textId="6ECBECA6" w:rsidR="0022487C" w:rsidRPr="0022487C" w:rsidRDefault="00000000" w:rsidP="00926EB3">
      <w:pPr>
        <w:pStyle w:val="ListParagraph"/>
        <w:numPr>
          <w:ilvl w:val="0"/>
          <w:numId w:val="35"/>
        </w:numPr>
        <w:rPr>
          <w:u w:val="thick"/>
        </w:rPr>
      </w:pPr>
      <w:hyperlink r:id="rId253" w:history="1">
        <w:r w:rsidR="00C2531F" w:rsidRPr="00C2531F">
          <w:rPr>
            <w:rStyle w:val="Hyperlink"/>
          </w:rPr>
          <w:t>“</w:t>
        </w:r>
        <w:r w:rsidR="0022487C" w:rsidRPr="00C2531F">
          <w:rPr>
            <w:rStyle w:val="Hyperlink"/>
          </w:rPr>
          <w:t>Health Disparities and T</w:t>
        </w:r>
        <w:r w:rsidR="00C2531F" w:rsidRPr="00C2531F">
          <w:rPr>
            <w:rStyle w:val="Hyperlink"/>
          </w:rPr>
          <w:t xml:space="preserve">raumatic Brain Injury, </w:t>
        </w:r>
        <w:r w:rsidR="0022487C" w:rsidRPr="00C2531F">
          <w:rPr>
            <w:rStyle w:val="Hyperlink"/>
          </w:rPr>
          <w:t>Concussion</w:t>
        </w:r>
        <w:r w:rsidR="00C2531F" w:rsidRPr="00C2531F">
          <w:rPr>
            <w:rStyle w:val="Hyperlink"/>
          </w:rPr>
          <w:t xml:space="preserve">” by the </w:t>
        </w:r>
        <w:r w:rsidR="0022487C" w:rsidRPr="00C2531F">
          <w:rPr>
            <w:rStyle w:val="Hyperlink"/>
          </w:rPr>
          <w:t>CDC Injury Center</w:t>
        </w:r>
        <w:r w:rsidR="00C2531F" w:rsidRPr="00C2531F">
          <w:rPr>
            <w:rStyle w:val="Hyperlink"/>
          </w:rPr>
          <w:t xml:space="preserve"> via cdc.gov</w:t>
        </w:r>
        <w:r w:rsidR="0022487C" w:rsidRPr="00C2531F">
          <w:rPr>
            <w:rStyle w:val="Hyperlink"/>
          </w:rPr>
          <w:t>. Accessed June 22, 2023.</w:t>
        </w:r>
      </w:hyperlink>
      <w:r w:rsidR="0022487C" w:rsidRPr="0022487C">
        <w:t xml:space="preserve"> </w:t>
      </w:r>
    </w:p>
    <w:p w14:paraId="4A0B499E" w14:textId="77777777" w:rsidR="00CF1BB1" w:rsidRDefault="00CF1BB1" w:rsidP="00506CC7"/>
    <w:p w14:paraId="08CA340C" w14:textId="77777777" w:rsidR="00CF1BB1" w:rsidRPr="00CF1BB1" w:rsidRDefault="00CF1BB1" w:rsidP="00CF1BB1">
      <w:pPr>
        <w:pStyle w:val="Heading3"/>
      </w:pPr>
      <w:bookmarkStart w:id="565" w:name="_Toc162267377"/>
      <w:r>
        <w:lastRenderedPageBreak/>
        <w:t xml:space="preserve">Healthy Children: </w:t>
      </w:r>
      <w:r w:rsidRPr="00CF1BB1">
        <w:t>Nutrition, Physical Activity and Obesity</w:t>
      </w:r>
      <w:bookmarkEnd w:id="565"/>
    </w:p>
    <w:p w14:paraId="4D247B9A" w14:textId="2C3FFB37" w:rsidR="00CF1BB1" w:rsidRPr="00CF1BB1" w:rsidRDefault="00CF1BB1" w:rsidP="00CF1BB1">
      <w:r w:rsidRPr="00CF1BB1">
        <w:t>More children than ever face the prospect of growing up less healthy and living shorter lives than their parents. The obesity rate for SC children ages 2-4 who participate in the Women, Infants, and Children (WIC) program is 13%.</w:t>
      </w:r>
      <w:r>
        <w:rPr>
          <w:b/>
          <w:bCs/>
        </w:rPr>
        <w:t xml:space="preserve"> </w:t>
      </w:r>
      <w:r w:rsidRPr="00CF1BB1">
        <w:t>According to SC FitnessGram data, 2 in 5 (42%) SC public school students ages 5 to 18 are overweight or obese, and more than half (57%) are not meeting minimum standards for heart and lung health (</w:t>
      </w:r>
      <w:r w:rsidRPr="00CF1BB1">
        <w:rPr>
          <w:b/>
          <w:bCs/>
        </w:rPr>
        <w:t>Figure 8.15</w:t>
      </w:r>
      <w:r w:rsidRPr="00CF1BB1">
        <w:t>). Black females and students living in poverty have the lowest rates of meeting fitness standards. Children are exhibiting earlier onset of what used to be considered adult conditions, including type 2 diabetes and hypertension. These children are also at higher risk for obesity and its related health risks as adults. Additionally, the proportion of SC children aged 10-17 who are obese is increasing away from the Healthy People 2030 goal of 15.5% (</w:t>
      </w:r>
      <w:r w:rsidRPr="00CF1BB1">
        <w:rPr>
          <w:b/>
          <w:bCs/>
        </w:rPr>
        <w:t>Figure 8.16</w:t>
      </w:r>
      <w:r w:rsidRPr="00CF1BB1">
        <w:t xml:space="preserve">). </w:t>
      </w:r>
    </w:p>
    <w:p w14:paraId="113FDFAF" w14:textId="77777777" w:rsidR="00CF1BB1" w:rsidRDefault="00CF1BB1" w:rsidP="00CF1BB1"/>
    <w:p w14:paraId="543A19E8" w14:textId="01BED6B7" w:rsidR="00CF1BB1" w:rsidRPr="00CF1BB1" w:rsidRDefault="00CF1BB1" w:rsidP="00CF1BB1">
      <w:r w:rsidRPr="00CF1BB1">
        <w:t>Access to nutritious foods and physical activity have a major impact on the health, well-being, and quality of life of those living in SC. However, 12% of SC high school students were not eating fruits and vegetables (</w:t>
      </w:r>
      <w:r w:rsidRPr="00CF1BB1">
        <w:rPr>
          <w:b/>
          <w:bCs/>
        </w:rPr>
        <w:t>Figure 8.17</w:t>
      </w:r>
      <w:r w:rsidRPr="00CF1BB1">
        <w:t>) and only 1 of 5 (19.5%) were physically active as of 2019 (</w:t>
      </w:r>
      <w:r w:rsidRPr="00CF1BB1">
        <w:rPr>
          <w:b/>
          <w:bCs/>
        </w:rPr>
        <w:t>Figure 8.18</w:t>
      </w:r>
      <w:r w:rsidRPr="00CF1BB1">
        <w:t>). The healthy development of children is most affected by their home, school, and community environments. Therefore, it is necessary for these environments to provide access to healthy, affordable foods and safe, conveniently located places for daily physical activity. Developing policies and creating environments that make healthy choices easier and less expensive can prevent costly chronic health conditions, such as obesity, diabetes, and high blood pressure.</w:t>
      </w:r>
    </w:p>
    <w:p w14:paraId="52F64DB9" w14:textId="77777777" w:rsidR="00CF1BB1" w:rsidRDefault="00CF1BB1" w:rsidP="00506CC7"/>
    <w:p w14:paraId="1AA7E446" w14:textId="77777777" w:rsidR="00B90936" w:rsidRDefault="00B90936" w:rsidP="00B90936">
      <w:pPr>
        <w:pStyle w:val="Heading4"/>
      </w:pPr>
      <w:bookmarkStart w:id="566" w:name="_Toc154576450"/>
      <w:bookmarkStart w:id="567" w:name="_Toc162267378"/>
      <w:r>
        <w:t>Figure 8.15: Weight Status among South Carolina Students, by School Year.</w:t>
      </w:r>
      <w:bookmarkEnd w:id="566"/>
      <w:bookmarkEnd w:id="567"/>
    </w:p>
    <w:tbl>
      <w:tblPr>
        <w:tblStyle w:val="TableGrid"/>
        <w:tblW w:w="0" w:type="auto"/>
        <w:tblLook w:val="04A0" w:firstRow="1" w:lastRow="0" w:firstColumn="1" w:lastColumn="0" w:noHBand="0" w:noVBand="1"/>
      </w:tblPr>
      <w:tblGrid>
        <w:gridCol w:w="2337"/>
        <w:gridCol w:w="2337"/>
        <w:gridCol w:w="2338"/>
        <w:gridCol w:w="2338"/>
      </w:tblGrid>
      <w:tr w:rsidR="00B90936" w14:paraId="503DD4B9" w14:textId="77777777" w:rsidTr="001515D5">
        <w:tc>
          <w:tcPr>
            <w:tcW w:w="2337" w:type="dxa"/>
            <w:vAlign w:val="bottom"/>
          </w:tcPr>
          <w:p w14:paraId="35ED0368" w14:textId="77777777" w:rsidR="00B90936" w:rsidRPr="00781446" w:rsidRDefault="00B90936" w:rsidP="001515D5">
            <w:r>
              <w:t>School Year</w:t>
            </w:r>
          </w:p>
        </w:tc>
        <w:tc>
          <w:tcPr>
            <w:tcW w:w="2337" w:type="dxa"/>
            <w:vAlign w:val="bottom"/>
          </w:tcPr>
          <w:p w14:paraId="60A88C8A" w14:textId="77777777" w:rsidR="00B90936" w:rsidRPr="00781446" w:rsidRDefault="00B90936" w:rsidP="001515D5">
            <w:r w:rsidRPr="00781446">
              <w:t>Healthy Weight</w:t>
            </w:r>
          </w:p>
        </w:tc>
        <w:tc>
          <w:tcPr>
            <w:tcW w:w="2338" w:type="dxa"/>
            <w:vAlign w:val="bottom"/>
          </w:tcPr>
          <w:p w14:paraId="3D246938" w14:textId="77777777" w:rsidR="00B90936" w:rsidRPr="00781446" w:rsidRDefault="00B90936" w:rsidP="001515D5">
            <w:r w:rsidRPr="00781446">
              <w:t>Overweight</w:t>
            </w:r>
          </w:p>
        </w:tc>
        <w:tc>
          <w:tcPr>
            <w:tcW w:w="2338" w:type="dxa"/>
            <w:vAlign w:val="bottom"/>
          </w:tcPr>
          <w:p w14:paraId="38E55014" w14:textId="77777777" w:rsidR="00B90936" w:rsidRPr="00781446" w:rsidRDefault="00B90936" w:rsidP="001515D5">
            <w:r w:rsidRPr="00781446">
              <w:t>Obese</w:t>
            </w:r>
          </w:p>
        </w:tc>
      </w:tr>
      <w:tr w:rsidR="00B90936" w14:paraId="6AD5EA56" w14:textId="77777777" w:rsidTr="001515D5">
        <w:tc>
          <w:tcPr>
            <w:tcW w:w="2337" w:type="dxa"/>
            <w:vAlign w:val="bottom"/>
          </w:tcPr>
          <w:p w14:paraId="6F16A5A8" w14:textId="77777777" w:rsidR="00B90936" w:rsidRPr="00781446" w:rsidRDefault="00B90936" w:rsidP="001515D5">
            <w:r w:rsidRPr="00781446">
              <w:t>2016-2017</w:t>
            </w:r>
          </w:p>
        </w:tc>
        <w:tc>
          <w:tcPr>
            <w:tcW w:w="2337" w:type="dxa"/>
            <w:vAlign w:val="bottom"/>
          </w:tcPr>
          <w:p w14:paraId="52DDFFD0" w14:textId="77777777" w:rsidR="00B90936" w:rsidRPr="00781446" w:rsidRDefault="00B90936" w:rsidP="001515D5">
            <w:r w:rsidRPr="00781446">
              <w:t>64%</w:t>
            </w:r>
          </w:p>
        </w:tc>
        <w:tc>
          <w:tcPr>
            <w:tcW w:w="2338" w:type="dxa"/>
            <w:vAlign w:val="bottom"/>
          </w:tcPr>
          <w:p w14:paraId="29ABAA0D" w14:textId="77777777" w:rsidR="00B90936" w:rsidRPr="00781446" w:rsidRDefault="00B90936" w:rsidP="001515D5">
            <w:r w:rsidRPr="00781446">
              <w:t>16%</w:t>
            </w:r>
          </w:p>
        </w:tc>
        <w:tc>
          <w:tcPr>
            <w:tcW w:w="2338" w:type="dxa"/>
            <w:vAlign w:val="bottom"/>
          </w:tcPr>
          <w:p w14:paraId="39A7863F" w14:textId="77777777" w:rsidR="00B90936" w:rsidRPr="00781446" w:rsidRDefault="00B90936" w:rsidP="001515D5">
            <w:r w:rsidRPr="00781446">
              <w:t>20%</w:t>
            </w:r>
          </w:p>
        </w:tc>
      </w:tr>
      <w:tr w:rsidR="00B90936" w14:paraId="63D5A329" w14:textId="77777777" w:rsidTr="001515D5">
        <w:tc>
          <w:tcPr>
            <w:tcW w:w="2337" w:type="dxa"/>
            <w:vAlign w:val="bottom"/>
          </w:tcPr>
          <w:p w14:paraId="2B8BE213" w14:textId="77777777" w:rsidR="00B90936" w:rsidRPr="00781446" w:rsidRDefault="00B90936" w:rsidP="001515D5">
            <w:r w:rsidRPr="00781446">
              <w:t>2017-2018</w:t>
            </w:r>
          </w:p>
        </w:tc>
        <w:tc>
          <w:tcPr>
            <w:tcW w:w="2337" w:type="dxa"/>
            <w:vAlign w:val="bottom"/>
          </w:tcPr>
          <w:p w14:paraId="306CBDE8" w14:textId="77777777" w:rsidR="00B90936" w:rsidRPr="00781446" w:rsidRDefault="00B90936" w:rsidP="001515D5">
            <w:r w:rsidRPr="00781446">
              <w:t>63%</w:t>
            </w:r>
          </w:p>
        </w:tc>
        <w:tc>
          <w:tcPr>
            <w:tcW w:w="2338" w:type="dxa"/>
            <w:vAlign w:val="bottom"/>
          </w:tcPr>
          <w:p w14:paraId="56BE404D" w14:textId="77777777" w:rsidR="00B90936" w:rsidRPr="00781446" w:rsidRDefault="00B90936" w:rsidP="001515D5">
            <w:r w:rsidRPr="00781446">
              <w:t>17%</w:t>
            </w:r>
          </w:p>
        </w:tc>
        <w:tc>
          <w:tcPr>
            <w:tcW w:w="2338" w:type="dxa"/>
            <w:vAlign w:val="bottom"/>
          </w:tcPr>
          <w:p w14:paraId="5BB5ADB3" w14:textId="77777777" w:rsidR="00B90936" w:rsidRPr="00781446" w:rsidRDefault="00B90936" w:rsidP="001515D5">
            <w:r w:rsidRPr="00781446">
              <w:t>21%</w:t>
            </w:r>
          </w:p>
        </w:tc>
      </w:tr>
      <w:tr w:rsidR="00B90936" w14:paraId="076C276A" w14:textId="77777777" w:rsidTr="001515D5">
        <w:tc>
          <w:tcPr>
            <w:tcW w:w="2337" w:type="dxa"/>
            <w:vAlign w:val="bottom"/>
          </w:tcPr>
          <w:p w14:paraId="15E154C2" w14:textId="77777777" w:rsidR="00B90936" w:rsidRPr="00781446" w:rsidRDefault="00B90936" w:rsidP="001515D5">
            <w:r w:rsidRPr="00781446">
              <w:t>2018-2019</w:t>
            </w:r>
          </w:p>
        </w:tc>
        <w:tc>
          <w:tcPr>
            <w:tcW w:w="2337" w:type="dxa"/>
            <w:vAlign w:val="bottom"/>
          </w:tcPr>
          <w:p w14:paraId="007D496F" w14:textId="77777777" w:rsidR="00B90936" w:rsidRPr="00781446" w:rsidRDefault="00B90936" w:rsidP="001515D5">
            <w:r w:rsidRPr="00781446">
              <w:t>63%</w:t>
            </w:r>
          </w:p>
        </w:tc>
        <w:tc>
          <w:tcPr>
            <w:tcW w:w="2338" w:type="dxa"/>
            <w:vAlign w:val="bottom"/>
          </w:tcPr>
          <w:p w14:paraId="6176C837" w14:textId="77777777" w:rsidR="00B90936" w:rsidRPr="00781446" w:rsidRDefault="00B90936" w:rsidP="001515D5">
            <w:r w:rsidRPr="00781446">
              <w:t>16%</w:t>
            </w:r>
          </w:p>
        </w:tc>
        <w:tc>
          <w:tcPr>
            <w:tcW w:w="2338" w:type="dxa"/>
            <w:vAlign w:val="bottom"/>
          </w:tcPr>
          <w:p w14:paraId="24EBDC38" w14:textId="77777777" w:rsidR="00B90936" w:rsidRPr="00781446" w:rsidRDefault="00B90936" w:rsidP="001515D5">
            <w:r w:rsidRPr="00781446">
              <w:t>21%</w:t>
            </w:r>
          </w:p>
        </w:tc>
      </w:tr>
      <w:tr w:rsidR="00B90936" w14:paraId="4FA6BAEC" w14:textId="77777777" w:rsidTr="001515D5">
        <w:tc>
          <w:tcPr>
            <w:tcW w:w="2337" w:type="dxa"/>
            <w:vAlign w:val="bottom"/>
          </w:tcPr>
          <w:p w14:paraId="5B30C388" w14:textId="77777777" w:rsidR="00B90936" w:rsidRPr="00781446" w:rsidRDefault="00B90936" w:rsidP="001515D5">
            <w:r w:rsidRPr="00781446">
              <w:t>2019-2020</w:t>
            </w:r>
          </w:p>
        </w:tc>
        <w:tc>
          <w:tcPr>
            <w:tcW w:w="2337" w:type="dxa"/>
            <w:vAlign w:val="bottom"/>
          </w:tcPr>
          <w:p w14:paraId="78CA10D2" w14:textId="77777777" w:rsidR="00B90936" w:rsidRPr="00781446" w:rsidRDefault="00B90936" w:rsidP="001515D5">
            <w:r w:rsidRPr="00781446">
              <w:t>62%</w:t>
            </w:r>
          </w:p>
        </w:tc>
        <w:tc>
          <w:tcPr>
            <w:tcW w:w="2338" w:type="dxa"/>
            <w:vAlign w:val="bottom"/>
          </w:tcPr>
          <w:p w14:paraId="7AF42F03" w14:textId="77777777" w:rsidR="00B90936" w:rsidRPr="00781446" w:rsidRDefault="00B90936" w:rsidP="001515D5">
            <w:r w:rsidRPr="00781446">
              <w:t>17%</w:t>
            </w:r>
          </w:p>
        </w:tc>
        <w:tc>
          <w:tcPr>
            <w:tcW w:w="2338" w:type="dxa"/>
            <w:vAlign w:val="bottom"/>
          </w:tcPr>
          <w:p w14:paraId="04BC877F" w14:textId="77777777" w:rsidR="00B90936" w:rsidRPr="00781446" w:rsidRDefault="00B90936" w:rsidP="001515D5">
            <w:r w:rsidRPr="00781446">
              <w:t>21%</w:t>
            </w:r>
          </w:p>
        </w:tc>
      </w:tr>
      <w:tr w:rsidR="00B90936" w14:paraId="52025AF2" w14:textId="77777777" w:rsidTr="001515D5">
        <w:tc>
          <w:tcPr>
            <w:tcW w:w="2337" w:type="dxa"/>
            <w:vAlign w:val="bottom"/>
          </w:tcPr>
          <w:p w14:paraId="4A5DDAE2" w14:textId="77777777" w:rsidR="00B90936" w:rsidRPr="00781446" w:rsidRDefault="00B90936" w:rsidP="001515D5">
            <w:r w:rsidRPr="00781446">
              <w:t>2020-2021</w:t>
            </w:r>
          </w:p>
        </w:tc>
        <w:tc>
          <w:tcPr>
            <w:tcW w:w="2337" w:type="dxa"/>
            <w:vAlign w:val="bottom"/>
          </w:tcPr>
          <w:p w14:paraId="0DA2E034" w14:textId="77777777" w:rsidR="00B90936" w:rsidRPr="00781446" w:rsidRDefault="00B90936" w:rsidP="001515D5">
            <w:r w:rsidRPr="00781446">
              <w:t>58%</w:t>
            </w:r>
          </w:p>
        </w:tc>
        <w:tc>
          <w:tcPr>
            <w:tcW w:w="2338" w:type="dxa"/>
            <w:vAlign w:val="bottom"/>
          </w:tcPr>
          <w:p w14:paraId="3C7FE509" w14:textId="77777777" w:rsidR="00B90936" w:rsidRPr="00781446" w:rsidRDefault="00B90936" w:rsidP="001515D5">
            <w:r w:rsidRPr="00781446">
              <w:t>17%</w:t>
            </w:r>
          </w:p>
        </w:tc>
        <w:tc>
          <w:tcPr>
            <w:tcW w:w="2338" w:type="dxa"/>
            <w:vAlign w:val="bottom"/>
          </w:tcPr>
          <w:p w14:paraId="11826250" w14:textId="77777777" w:rsidR="00B90936" w:rsidRPr="00781446" w:rsidRDefault="00B90936" w:rsidP="001515D5">
            <w:r w:rsidRPr="00781446">
              <w:t>25%</w:t>
            </w:r>
          </w:p>
        </w:tc>
      </w:tr>
      <w:tr w:rsidR="00B90936" w14:paraId="1B7F8B47" w14:textId="77777777" w:rsidTr="001515D5">
        <w:tc>
          <w:tcPr>
            <w:tcW w:w="2337" w:type="dxa"/>
            <w:vAlign w:val="bottom"/>
          </w:tcPr>
          <w:p w14:paraId="3F67E57C" w14:textId="77777777" w:rsidR="00B90936" w:rsidRPr="00781446" w:rsidRDefault="00B90936" w:rsidP="001515D5">
            <w:r w:rsidRPr="00781446">
              <w:t>2021-2022</w:t>
            </w:r>
          </w:p>
        </w:tc>
        <w:tc>
          <w:tcPr>
            <w:tcW w:w="2337" w:type="dxa"/>
            <w:vAlign w:val="bottom"/>
          </w:tcPr>
          <w:p w14:paraId="0FDB8B49" w14:textId="77777777" w:rsidR="00B90936" w:rsidRPr="00781446" w:rsidRDefault="00B90936" w:rsidP="001515D5">
            <w:r w:rsidRPr="00781446">
              <w:t>58%</w:t>
            </w:r>
          </w:p>
        </w:tc>
        <w:tc>
          <w:tcPr>
            <w:tcW w:w="2338" w:type="dxa"/>
            <w:vAlign w:val="bottom"/>
          </w:tcPr>
          <w:p w14:paraId="747B1CB3" w14:textId="77777777" w:rsidR="00B90936" w:rsidRPr="00781446" w:rsidRDefault="00B90936" w:rsidP="001515D5">
            <w:r w:rsidRPr="00781446">
              <w:t>18%</w:t>
            </w:r>
          </w:p>
        </w:tc>
        <w:tc>
          <w:tcPr>
            <w:tcW w:w="2338" w:type="dxa"/>
            <w:vAlign w:val="bottom"/>
          </w:tcPr>
          <w:p w14:paraId="3208ED2C" w14:textId="77777777" w:rsidR="00B90936" w:rsidRPr="00781446" w:rsidRDefault="00B90936" w:rsidP="001515D5">
            <w:r w:rsidRPr="00781446">
              <w:t>24%</w:t>
            </w:r>
          </w:p>
        </w:tc>
      </w:tr>
    </w:tbl>
    <w:p w14:paraId="070ED18D" w14:textId="77777777" w:rsidR="00B90936" w:rsidRDefault="00B90936" w:rsidP="00B90936">
      <w:r w:rsidRPr="00781446">
        <w:t>Note: Healthy Weight (normal weight = &lt;85th percentile), Overweight (overweight = 85th percentile to &lt;95th percentile), and Obese (obese = ≥95th percentile).</w:t>
      </w:r>
    </w:p>
    <w:p w14:paraId="24591477" w14:textId="77777777" w:rsidR="00B90936" w:rsidRPr="00781446" w:rsidRDefault="00B90936" w:rsidP="00B90936"/>
    <w:p w14:paraId="5E89CEE2" w14:textId="77777777" w:rsidR="00B90936" w:rsidRDefault="00B90936" w:rsidP="00B90936">
      <w:pPr>
        <w:pStyle w:val="Heading4"/>
      </w:pPr>
      <w:bookmarkStart w:id="568" w:name="_Toc154576451"/>
      <w:bookmarkStart w:id="569" w:name="_Toc162267379"/>
      <w:r>
        <w:lastRenderedPageBreak/>
        <w:t>Figure 8.16: Obesity among Children, Aged 10-17.</w:t>
      </w:r>
      <w:bookmarkEnd w:id="568"/>
      <w:bookmarkEnd w:id="569"/>
    </w:p>
    <w:tbl>
      <w:tblPr>
        <w:tblStyle w:val="TableGrid"/>
        <w:tblW w:w="0" w:type="auto"/>
        <w:tblLook w:val="04A0" w:firstRow="1" w:lastRow="0" w:firstColumn="1" w:lastColumn="0" w:noHBand="0" w:noVBand="1"/>
      </w:tblPr>
      <w:tblGrid>
        <w:gridCol w:w="3116"/>
        <w:gridCol w:w="3117"/>
        <w:gridCol w:w="3117"/>
      </w:tblGrid>
      <w:tr w:rsidR="00B90936" w14:paraId="222E87C8" w14:textId="77777777" w:rsidTr="001515D5">
        <w:tc>
          <w:tcPr>
            <w:tcW w:w="3116" w:type="dxa"/>
            <w:vAlign w:val="bottom"/>
          </w:tcPr>
          <w:p w14:paraId="67D2AAF0" w14:textId="77777777" w:rsidR="00B90936" w:rsidRPr="00781446" w:rsidRDefault="00B90936" w:rsidP="001515D5">
            <w:r>
              <w:t>Year</w:t>
            </w:r>
          </w:p>
        </w:tc>
        <w:tc>
          <w:tcPr>
            <w:tcW w:w="3117" w:type="dxa"/>
            <w:vAlign w:val="bottom"/>
          </w:tcPr>
          <w:p w14:paraId="17F4962D" w14:textId="77777777" w:rsidR="00B90936" w:rsidRPr="00781446" w:rsidRDefault="00B90936" w:rsidP="001515D5">
            <w:r w:rsidRPr="00781446">
              <w:t>South Carolina</w:t>
            </w:r>
          </w:p>
        </w:tc>
        <w:tc>
          <w:tcPr>
            <w:tcW w:w="3117" w:type="dxa"/>
            <w:vAlign w:val="bottom"/>
          </w:tcPr>
          <w:p w14:paraId="1D31FFC9" w14:textId="77777777" w:rsidR="00B90936" w:rsidRPr="00781446" w:rsidRDefault="00B90936" w:rsidP="001515D5">
            <w:r w:rsidRPr="00781446">
              <w:t>Healthy People 2030</w:t>
            </w:r>
          </w:p>
        </w:tc>
      </w:tr>
      <w:tr w:rsidR="00B90936" w14:paraId="62387A49" w14:textId="77777777" w:rsidTr="001515D5">
        <w:tc>
          <w:tcPr>
            <w:tcW w:w="3116" w:type="dxa"/>
            <w:vAlign w:val="center"/>
          </w:tcPr>
          <w:p w14:paraId="6E1BBB40" w14:textId="77777777" w:rsidR="00B90936" w:rsidRPr="00781446" w:rsidRDefault="00B90936" w:rsidP="001515D5">
            <w:r w:rsidRPr="00781446">
              <w:t>2016-2017</w:t>
            </w:r>
          </w:p>
        </w:tc>
        <w:tc>
          <w:tcPr>
            <w:tcW w:w="3117" w:type="dxa"/>
            <w:vAlign w:val="center"/>
          </w:tcPr>
          <w:p w14:paraId="38EB7DE9" w14:textId="77777777" w:rsidR="00B90936" w:rsidRPr="00781446" w:rsidRDefault="00B90936" w:rsidP="001515D5">
            <w:r w:rsidRPr="00781446">
              <w:t>15.4%</w:t>
            </w:r>
          </w:p>
        </w:tc>
        <w:tc>
          <w:tcPr>
            <w:tcW w:w="3117" w:type="dxa"/>
            <w:vAlign w:val="bottom"/>
          </w:tcPr>
          <w:p w14:paraId="3D4A30A2" w14:textId="77777777" w:rsidR="00B90936" w:rsidRPr="00781446" w:rsidRDefault="00B90936" w:rsidP="001515D5">
            <w:r w:rsidRPr="00781446">
              <w:t>15.5%</w:t>
            </w:r>
          </w:p>
        </w:tc>
      </w:tr>
      <w:tr w:rsidR="00B90936" w14:paraId="5B7E1ADF" w14:textId="77777777" w:rsidTr="001515D5">
        <w:tc>
          <w:tcPr>
            <w:tcW w:w="3116" w:type="dxa"/>
            <w:vAlign w:val="center"/>
          </w:tcPr>
          <w:p w14:paraId="2BB82EA5" w14:textId="77777777" w:rsidR="00B90936" w:rsidRPr="00781446" w:rsidRDefault="00B90936" w:rsidP="001515D5">
            <w:r w:rsidRPr="00781446">
              <w:t>2017-2018</w:t>
            </w:r>
          </w:p>
        </w:tc>
        <w:tc>
          <w:tcPr>
            <w:tcW w:w="3117" w:type="dxa"/>
            <w:vAlign w:val="center"/>
          </w:tcPr>
          <w:p w14:paraId="53E2278A" w14:textId="77777777" w:rsidR="00B90936" w:rsidRPr="00781446" w:rsidRDefault="00B90936" w:rsidP="001515D5">
            <w:r w:rsidRPr="00781446">
              <w:t>17.9%</w:t>
            </w:r>
          </w:p>
        </w:tc>
        <w:tc>
          <w:tcPr>
            <w:tcW w:w="3117" w:type="dxa"/>
            <w:vAlign w:val="bottom"/>
          </w:tcPr>
          <w:p w14:paraId="2613AA6F" w14:textId="77777777" w:rsidR="00B90936" w:rsidRPr="00781446" w:rsidRDefault="00B90936" w:rsidP="001515D5">
            <w:r w:rsidRPr="00781446">
              <w:t>15.5%</w:t>
            </w:r>
          </w:p>
        </w:tc>
      </w:tr>
      <w:tr w:rsidR="00B90936" w14:paraId="35BBB631" w14:textId="77777777" w:rsidTr="001515D5">
        <w:tc>
          <w:tcPr>
            <w:tcW w:w="3116" w:type="dxa"/>
            <w:vAlign w:val="center"/>
          </w:tcPr>
          <w:p w14:paraId="0FD9BFD8" w14:textId="77777777" w:rsidR="00B90936" w:rsidRPr="00781446" w:rsidRDefault="00B90936" w:rsidP="001515D5">
            <w:r w:rsidRPr="00781446">
              <w:t>2018-2019</w:t>
            </w:r>
          </w:p>
        </w:tc>
        <w:tc>
          <w:tcPr>
            <w:tcW w:w="3117" w:type="dxa"/>
            <w:vAlign w:val="center"/>
          </w:tcPr>
          <w:p w14:paraId="2FA18B59" w14:textId="77777777" w:rsidR="00B90936" w:rsidRPr="00781446" w:rsidRDefault="00B90936" w:rsidP="001515D5">
            <w:r w:rsidRPr="00781446">
              <w:t>22.1%</w:t>
            </w:r>
          </w:p>
        </w:tc>
        <w:tc>
          <w:tcPr>
            <w:tcW w:w="3117" w:type="dxa"/>
            <w:vAlign w:val="bottom"/>
          </w:tcPr>
          <w:p w14:paraId="636BB2EA" w14:textId="77777777" w:rsidR="00B90936" w:rsidRPr="00781446" w:rsidRDefault="00B90936" w:rsidP="001515D5">
            <w:r w:rsidRPr="00781446">
              <w:t>15.5%</w:t>
            </w:r>
          </w:p>
        </w:tc>
      </w:tr>
      <w:tr w:rsidR="00B90936" w14:paraId="5C928222" w14:textId="77777777" w:rsidTr="001515D5">
        <w:tc>
          <w:tcPr>
            <w:tcW w:w="3116" w:type="dxa"/>
            <w:vAlign w:val="center"/>
          </w:tcPr>
          <w:p w14:paraId="7D4940F3" w14:textId="77777777" w:rsidR="00B90936" w:rsidRPr="00781446" w:rsidRDefault="00B90936" w:rsidP="001515D5">
            <w:r w:rsidRPr="00781446">
              <w:t>2019-2020</w:t>
            </w:r>
          </w:p>
        </w:tc>
        <w:tc>
          <w:tcPr>
            <w:tcW w:w="3117" w:type="dxa"/>
            <w:vAlign w:val="center"/>
          </w:tcPr>
          <w:p w14:paraId="7E4DB198" w14:textId="77777777" w:rsidR="00B90936" w:rsidRPr="00781446" w:rsidRDefault="00B90936" w:rsidP="001515D5">
            <w:r w:rsidRPr="00781446">
              <w:t>20.1%</w:t>
            </w:r>
          </w:p>
        </w:tc>
        <w:tc>
          <w:tcPr>
            <w:tcW w:w="3117" w:type="dxa"/>
            <w:vAlign w:val="bottom"/>
          </w:tcPr>
          <w:p w14:paraId="05A31613" w14:textId="77777777" w:rsidR="00B90936" w:rsidRPr="00781446" w:rsidRDefault="00B90936" w:rsidP="001515D5">
            <w:r w:rsidRPr="00781446">
              <w:t>15.5%</w:t>
            </w:r>
          </w:p>
        </w:tc>
      </w:tr>
    </w:tbl>
    <w:p w14:paraId="7B974B22" w14:textId="77777777" w:rsidR="00B90936" w:rsidRDefault="00B90936" w:rsidP="00B90936">
      <w:r w:rsidRPr="00781446">
        <w:t>Source: National Survey of Children’s Health, Health Resources and Services Administration, Maternal and Child Health Bureau.</w:t>
      </w:r>
    </w:p>
    <w:p w14:paraId="3AFE0111" w14:textId="77777777" w:rsidR="00B90936" w:rsidRDefault="00B90936" w:rsidP="00B90936"/>
    <w:p w14:paraId="762A500F" w14:textId="77777777" w:rsidR="00B90936" w:rsidRDefault="00B90936" w:rsidP="00B90936">
      <w:pPr>
        <w:pStyle w:val="Heading4"/>
      </w:pPr>
      <w:bookmarkStart w:id="570" w:name="_Toc154576452"/>
      <w:bookmarkStart w:id="571" w:name="_Toc162267380"/>
      <w:r>
        <w:t xml:space="preserve">Figure 8.17: </w:t>
      </w:r>
      <w:r w:rsidRPr="00781446">
        <w:t>Consuming Fruits and Vegetables among High School Students Grades 9-12</w:t>
      </w:r>
      <w:r>
        <w:t>.</w:t>
      </w:r>
      <w:bookmarkEnd w:id="570"/>
      <w:bookmarkEnd w:id="571"/>
    </w:p>
    <w:tbl>
      <w:tblPr>
        <w:tblStyle w:val="TableGrid"/>
        <w:tblW w:w="0" w:type="auto"/>
        <w:tblLook w:val="04A0" w:firstRow="1" w:lastRow="0" w:firstColumn="1" w:lastColumn="0" w:noHBand="0" w:noVBand="1"/>
      </w:tblPr>
      <w:tblGrid>
        <w:gridCol w:w="3116"/>
        <w:gridCol w:w="3117"/>
        <w:gridCol w:w="3117"/>
      </w:tblGrid>
      <w:tr w:rsidR="00B90936" w14:paraId="059E84D3" w14:textId="77777777" w:rsidTr="001515D5">
        <w:tc>
          <w:tcPr>
            <w:tcW w:w="3116" w:type="dxa"/>
            <w:vAlign w:val="bottom"/>
          </w:tcPr>
          <w:p w14:paraId="504E4144" w14:textId="77777777" w:rsidR="00B90936" w:rsidRPr="00781446" w:rsidRDefault="00B90936" w:rsidP="001515D5">
            <w:r>
              <w:t>Year</w:t>
            </w:r>
          </w:p>
        </w:tc>
        <w:tc>
          <w:tcPr>
            <w:tcW w:w="3117" w:type="dxa"/>
            <w:vAlign w:val="bottom"/>
          </w:tcPr>
          <w:p w14:paraId="652AA43E" w14:textId="77777777" w:rsidR="00B90936" w:rsidRPr="00781446" w:rsidRDefault="00B90936" w:rsidP="001515D5">
            <w:r w:rsidRPr="00781446">
              <w:t>No Vegetables</w:t>
            </w:r>
          </w:p>
        </w:tc>
        <w:tc>
          <w:tcPr>
            <w:tcW w:w="3117" w:type="dxa"/>
            <w:vAlign w:val="bottom"/>
          </w:tcPr>
          <w:p w14:paraId="2FEBD6DC" w14:textId="77777777" w:rsidR="00B90936" w:rsidRPr="00781446" w:rsidRDefault="00B90936" w:rsidP="001515D5">
            <w:r w:rsidRPr="00781446">
              <w:t>No Fruits</w:t>
            </w:r>
          </w:p>
        </w:tc>
      </w:tr>
      <w:tr w:rsidR="00B90936" w14:paraId="5CC44E06" w14:textId="77777777" w:rsidTr="001515D5">
        <w:tc>
          <w:tcPr>
            <w:tcW w:w="3116" w:type="dxa"/>
            <w:vAlign w:val="bottom"/>
          </w:tcPr>
          <w:p w14:paraId="2D5A5065" w14:textId="77777777" w:rsidR="00B90936" w:rsidRPr="00781446" w:rsidRDefault="00B90936" w:rsidP="001515D5">
            <w:r w:rsidRPr="00781446">
              <w:t>2013</w:t>
            </w:r>
          </w:p>
        </w:tc>
        <w:tc>
          <w:tcPr>
            <w:tcW w:w="3117" w:type="dxa"/>
            <w:vAlign w:val="bottom"/>
          </w:tcPr>
          <w:p w14:paraId="7CCAFFF0" w14:textId="77777777" w:rsidR="00B90936" w:rsidRPr="00781446" w:rsidRDefault="00B90936" w:rsidP="001515D5">
            <w:r w:rsidRPr="00781446">
              <w:t>9.4%</w:t>
            </w:r>
          </w:p>
        </w:tc>
        <w:tc>
          <w:tcPr>
            <w:tcW w:w="3117" w:type="dxa"/>
            <w:vAlign w:val="bottom"/>
          </w:tcPr>
          <w:p w14:paraId="12C9A4CF" w14:textId="77777777" w:rsidR="00B90936" w:rsidRPr="00781446" w:rsidRDefault="00B90936" w:rsidP="001515D5">
            <w:r w:rsidRPr="00781446">
              <w:t>8.0%</w:t>
            </w:r>
          </w:p>
        </w:tc>
      </w:tr>
      <w:tr w:rsidR="00B90936" w14:paraId="72E28785" w14:textId="77777777" w:rsidTr="001515D5">
        <w:tc>
          <w:tcPr>
            <w:tcW w:w="3116" w:type="dxa"/>
            <w:vAlign w:val="bottom"/>
          </w:tcPr>
          <w:p w14:paraId="71F21830" w14:textId="77777777" w:rsidR="00B90936" w:rsidRPr="00781446" w:rsidRDefault="00B90936" w:rsidP="001515D5">
            <w:r w:rsidRPr="00781446">
              <w:t>2015</w:t>
            </w:r>
          </w:p>
        </w:tc>
        <w:tc>
          <w:tcPr>
            <w:tcW w:w="3117" w:type="dxa"/>
            <w:vAlign w:val="bottom"/>
          </w:tcPr>
          <w:p w14:paraId="6F96EBBC" w14:textId="77777777" w:rsidR="00B90936" w:rsidRPr="00781446" w:rsidRDefault="00B90936" w:rsidP="001515D5">
            <w:r w:rsidRPr="00781446">
              <w:t>10.0%</w:t>
            </w:r>
          </w:p>
        </w:tc>
        <w:tc>
          <w:tcPr>
            <w:tcW w:w="3117" w:type="dxa"/>
            <w:vAlign w:val="bottom"/>
          </w:tcPr>
          <w:p w14:paraId="0BDE86B5" w14:textId="77777777" w:rsidR="00B90936" w:rsidRPr="00781446" w:rsidRDefault="00B90936" w:rsidP="001515D5">
            <w:r w:rsidRPr="00781446">
              <w:t>9.2%</w:t>
            </w:r>
          </w:p>
        </w:tc>
      </w:tr>
      <w:tr w:rsidR="00B90936" w14:paraId="06E817BC" w14:textId="77777777" w:rsidTr="001515D5">
        <w:tc>
          <w:tcPr>
            <w:tcW w:w="3116" w:type="dxa"/>
            <w:vAlign w:val="bottom"/>
          </w:tcPr>
          <w:p w14:paraId="7775FB3D" w14:textId="77777777" w:rsidR="00B90936" w:rsidRPr="00781446" w:rsidRDefault="00B90936" w:rsidP="001515D5">
            <w:r w:rsidRPr="00781446">
              <w:t>2017</w:t>
            </w:r>
          </w:p>
        </w:tc>
        <w:tc>
          <w:tcPr>
            <w:tcW w:w="3117" w:type="dxa"/>
            <w:vAlign w:val="bottom"/>
          </w:tcPr>
          <w:p w14:paraId="04345205" w14:textId="77777777" w:rsidR="00B90936" w:rsidRPr="00781446" w:rsidRDefault="00B90936" w:rsidP="001515D5">
            <w:r w:rsidRPr="00781446">
              <w:t>12.1%</w:t>
            </w:r>
          </w:p>
        </w:tc>
        <w:tc>
          <w:tcPr>
            <w:tcW w:w="3117" w:type="dxa"/>
            <w:vAlign w:val="bottom"/>
          </w:tcPr>
          <w:p w14:paraId="663B2ADC" w14:textId="77777777" w:rsidR="00B90936" w:rsidRPr="00781446" w:rsidRDefault="00B90936" w:rsidP="001515D5">
            <w:r w:rsidRPr="00781446">
              <w:t>10.4%</w:t>
            </w:r>
          </w:p>
        </w:tc>
      </w:tr>
      <w:tr w:rsidR="00B90936" w14:paraId="24EC7C88" w14:textId="77777777" w:rsidTr="001515D5">
        <w:tc>
          <w:tcPr>
            <w:tcW w:w="3116" w:type="dxa"/>
            <w:vAlign w:val="bottom"/>
          </w:tcPr>
          <w:p w14:paraId="10E34AA9" w14:textId="77777777" w:rsidR="00B90936" w:rsidRPr="00781446" w:rsidRDefault="00B90936" w:rsidP="001515D5">
            <w:r w:rsidRPr="00781446">
              <w:t>2019</w:t>
            </w:r>
          </w:p>
        </w:tc>
        <w:tc>
          <w:tcPr>
            <w:tcW w:w="3117" w:type="dxa"/>
            <w:vAlign w:val="bottom"/>
          </w:tcPr>
          <w:p w14:paraId="7AB3F42E" w14:textId="77777777" w:rsidR="00B90936" w:rsidRPr="00781446" w:rsidRDefault="00B90936" w:rsidP="001515D5">
            <w:r w:rsidRPr="00781446">
              <w:t>12.1%</w:t>
            </w:r>
          </w:p>
        </w:tc>
        <w:tc>
          <w:tcPr>
            <w:tcW w:w="3117" w:type="dxa"/>
            <w:vAlign w:val="bottom"/>
          </w:tcPr>
          <w:p w14:paraId="64AB9127" w14:textId="77777777" w:rsidR="00B90936" w:rsidRPr="00781446" w:rsidRDefault="00B90936" w:rsidP="001515D5">
            <w:r w:rsidRPr="00781446">
              <w:t>12.5%</w:t>
            </w:r>
          </w:p>
        </w:tc>
      </w:tr>
    </w:tbl>
    <w:p w14:paraId="1F722E72" w14:textId="77777777" w:rsidR="00B90936" w:rsidRPr="00781446" w:rsidRDefault="00B90936" w:rsidP="00B90936">
      <w:r w:rsidRPr="00781446">
        <w:t xml:space="preserve">Source: SC Youth Risk Behavior Surveillance System (YRBSS). </w:t>
      </w:r>
    </w:p>
    <w:p w14:paraId="7A6C985D" w14:textId="77777777" w:rsidR="00B90936" w:rsidRDefault="00B90936" w:rsidP="00B90936">
      <w:r w:rsidRPr="00781446">
        <w:t>Note: No vegetables defined as (green salad, potatoes (not counting French fries, fried potatoes, or potato chips), carrots, or other vegetables, during the seven days before the survey). No fruits defined as (such as orange juice, apple juice, or grape juice, not counting punch, Kool-Aid, sports drinks, or other fruit-flavored drinks, during the seven days before the survey). High school students, grades 9-12.</w:t>
      </w:r>
    </w:p>
    <w:p w14:paraId="44328AE7" w14:textId="77777777" w:rsidR="00B90936" w:rsidRPr="00781446" w:rsidRDefault="00B90936" w:rsidP="00B90936"/>
    <w:p w14:paraId="331E1688" w14:textId="77777777" w:rsidR="00B90936" w:rsidRDefault="00B90936" w:rsidP="00B90936">
      <w:pPr>
        <w:pStyle w:val="Heading4"/>
      </w:pPr>
      <w:bookmarkStart w:id="572" w:name="_Toc154576453"/>
      <w:bookmarkStart w:id="573" w:name="_Toc162267381"/>
      <w:r>
        <w:t>Figure 8.18: Physical Activity</w:t>
      </w:r>
      <w:r w:rsidRPr="00781446">
        <w:t xml:space="preserve"> among High School Students Grades 9-12</w:t>
      </w:r>
      <w:r>
        <w:t>.</w:t>
      </w:r>
      <w:bookmarkEnd w:id="572"/>
      <w:bookmarkEnd w:id="573"/>
    </w:p>
    <w:tbl>
      <w:tblPr>
        <w:tblStyle w:val="TableGrid"/>
        <w:tblW w:w="0" w:type="auto"/>
        <w:tblLook w:val="04A0" w:firstRow="1" w:lastRow="0" w:firstColumn="1" w:lastColumn="0" w:noHBand="0" w:noVBand="1"/>
      </w:tblPr>
      <w:tblGrid>
        <w:gridCol w:w="3116"/>
        <w:gridCol w:w="3117"/>
        <w:gridCol w:w="3117"/>
      </w:tblGrid>
      <w:tr w:rsidR="00B90936" w14:paraId="2BC5BA46" w14:textId="77777777" w:rsidTr="001515D5">
        <w:tc>
          <w:tcPr>
            <w:tcW w:w="3116" w:type="dxa"/>
            <w:vAlign w:val="bottom"/>
          </w:tcPr>
          <w:p w14:paraId="245324B8" w14:textId="77777777" w:rsidR="00B90936" w:rsidRDefault="00B90936" w:rsidP="001515D5">
            <w:r>
              <w:t xml:space="preserve"> Year</w:t>
            </w:r>
          </w:p>
        </w:tc>
        <w:tc>
          <w:tcPr>
            <w:tcW w:w="3117" w:type="dxa"/>
            <w:vAlign w:val="bottom"/>
          </w:tcPr>
          <w:p w14:paraId="24B45AFF" w14:textId="77777777" w:rsidR="00B90936" w:rsidRDefault="00B90936" w:rsidP="001515D5">
            <w:r>
              <w:t>South Carolina</w:t>
            </w:r>
          </w:p>
        </w:tc>
        <w:tc>
          <w:tcPr>
            <w:tcW w:w="3117" w:type="dxa"/>
            <w:vAlign w:val="bottom"/>
          </w:tcPr>
          <w:p w14:paraId="3613AC4C" w14:textId="77777777" w:rsidR="00B90936" w:rsidRDefault="00B90936" w:rsidP="001515D5">
            <w:r>
              <w:t>Healthy People 2030 Goal</w:t>
            </w:r>
          </w:p>
        </w:tc>
      </w:tr>
      <w:tr w:rsidR="00B90936" w14:paraId="63273BA4" w14:textId="77777777" w:rsidTr="001515D5">
        <w:tc>
          <w:tcPr>
            <w:tcW w:w="3116" w:type="dxa"/>
            <w:vAlign w:val="bottom"/>
          </w:tcPr>
          <w:p w14:paraId="5B87E106" w14:textId="77777777" w:rsidR="00B90936" w:rsidRDefault="00B90936" w:rsidP="001515D5">
            <w:r>
              <w:t>2007</w:t>
            </w:r>
          </w:p>
        </w:tc>
        <w:tc>
          <w:tcPr>
            <w:tcW w:w="3117" w:type="dxa"/>
            <w:vAlign w:val="bottom"/>
          </w:tcPr>
          <w:p w14:paraId="06D09BF8" w14:textId="77777777" w:rsidR="00B90936" w:rsidRDefault="00B90936" w:rsidP="001515D5">
            <w:r>
              <w:t>20.1%</w:t>
            </w:r>
          </w:p>
        </w:tc>
        <w:tc>
          <w:tcPr>
            <w:tcW w:w="3117" w:type="dxa"/>
            <w:vAlign w:val="bottom"/>
          </w:tcPr>
          <w:p w14:paraId="0BFC2515" w14:textId="77777777" w:rsidR="00B90936" w:rsidRDefault="00B90936" w:rsidP="001515D5">
            <w:r>
              <w:t>30.6%</w:t>
            </w:r>
          </w:p>
        </w:tc>
      </w:tr>
      <w:tr w:rsidR="00B90936" w14:paraId="3BD64D86" w14:textId="77777777" w:rsidTr="001515D5">
        <w:tc>
          <w:tcPr>
            <w:tcW w:w="3116" w:type="dxa"/>
            <w:vAlign w:val="bottom"/>
          </w:tcPr>
          <w:p w14:paraId="7327F870" w14:textId="77777777" w:rsidR="00B90936" w:rsidRDefault="00B90936" w:rsidP="001515D5">
            <w:r>
              <w:t>2009</w:t>
            </w:r>
          </w:p>
        </w:tc>
        <w:tc>
          <w:tcPr>
            <w:tcW w:w="3117" w:type="dxa"/>
            <w:vAlign w:val="bottom"/>
          </w:tcPr>
          <w:p w14:paraId="5F72D62C" w14:textId="77777777" w:rsidR="00B90936" w:rsidRDefault="00B90936" w:rsidP="001515D5">
            <w:r>
              <w:t>17.1%</w:t>
            </w:r>
          </w:p>
        </w:tc>
        <w:tc>
          <w:tcPr>
            <w:tcW w:w="3117" w:type="dxa"/>
            <w:vAlign w:val="bottom"/>
          </w:tcPr>
          <w:p w14:paraId="538F4EFE" w14:textId="77777777" w:rsidR="00B90936" w:rsidRDefault="00B90936" w:rsidP="001515D5">
            <w:r>
              <w:t>30.6%</w:t>
            </w:r>
          </w:p>
        </w:tc>
      </w:tr>
      <w:tr w:rsidR="00B90936" w14:paraId="1AA0E86E" w14:textId="77777777" w:rsidTr="001515D5">
        <w:tc>
          <w:tcPr>
            <w:tcW w:w="3116" w:type="dxa"/>
            <w:vAlign w:val="bottom"/>
          </w:tcPr>
          <w:p w14:paraId="2768F30F" w14:textId="77777777" w:rsidR="00B90936" w:rsidRDefault="00B90936" w:rsidP="001515D5">
            <w:r>
              <w:t>2011</w:t>
            </w:r>
          </w:p>
        </w:tc>
        <w:tc>
          <w:tcPr>
            <w:tcW w:w="3117" w:type="dxa"/>
            <w:vAlign w:val="bottom"/>
          </w:tcPr>
          <w:p w14:paraId="00415714" w14:textId="77777777" w:rsidR="00B90936" w:rsidRDefault="00B90936" w:rsidP="001515D5">
            <w:r>
              <w:t>25.8%</w:t>
            </w:r>
          </w:p>
        </w:tc>
        <w:tc>
          <w:tcPr>
            <w:tcW w:w="3117" w:type="dxa"/>
            <w:vAlign w:val="bottom"/>
          </w:tcPr>
          <w:p w14:paraId="65B63876" w14:textId="77777777" w:rsidR="00B90936" w:rsidRDefault="00B90936" w:rsidP="001515D5">
            <w:r>
              <w:t>30.6%</w:t>
            </w:r>
          </w:p>
        </w:tc>
      </w:tr>
      <w:tr w:rsidR="00B90936" w14:paraId="25276368" w14:textId="77777777" w:rsidTr="001515D5">
        <w:tc>
          <w:tcPr>
            <w:tcW w:w="3116" w:type="dxa"/>
            <w:vAlign w:val="bottom"/>
          </w:tcPr>
          <w:p w14:paraId="2A01727E" w14:textId="77777777" w:rsidR="00B90936" w:rsidRDefault="00B90936" w:rsidP="001515D5">
            <w:r>
              <w:t>2013</w:t>
            </w:r>
          </w:p>
        </w:tc>
        <w:tc>
          <w:tcPr>
            <w:tcW w:w="3117" w:type="dxa"/>
            <w:vAlign w:val="bottom"/>
          </w:tcPr>
          <w:p w14:paraId="14921DE6" w14:textId="77777777" w:rsidR="00B90936" w:rsidRDefault="00B90936" w:rsidP="001515D5">
            <w:r>
              <w:t>23.8%</w:t>
            </w:r>
          </w:p>
        </w:tc>
        <w:tc>
          <w:tcPr>
            <w:tcW w:w="3117" w:type="dxa"/>
            <w:vAlign w:val="bottom"/>
          </w:tcPr>
          <w:p w14:paraId="4491B707" w14:textId="77777777" w:rsidR="00B90936" w:rsidRDefault="00B90936" w:rsidP="001515D5">
            <w:r>
              <w:t>30.6%</w:t>
            </w:r>
          </w:p>
        </w:tc>
      </w:tr>
      <w:tr w:rsidR="00B90936" w14:paraId="0DDFF4AC" w14:textId="77777777" w:rsidTr="001515D5">
        <w:tc>
          <w:tcPr>
            <w:tcW w:w="3116" w:type="dxa"/>
            <w:vAlign w:val="bottom"/>
          </w:tcPr>
          <w:p w14:paraId="731D5AC7" w14:textId="77777777" w:rsidR="00B90936" w:rsidRDefault="00B90936" w:rsidP="001515D5">
            <w:r>
              <w:t>2015</w:t>
            </w:r>
          </w:p>
        </w:tc>
        <w:tc>
          <w:tcPr>
            <w:tcW w:w="3117" w:type="dxa"/>
            <w:vAlign w:val="bottom"/>
          </w:tcPr>
          <w:p w14:paraId="483087DE" w14:textId="77777777" w:rsidR="00B90936" w:rsidRDefault="00B90936" w:rsidP="001515D5">
            <w:r>
              <w:t>23.6%</w:t>
            </w:r>
          </w:p>
        </w:tc>
        <w:tc>
          <w:tcPr>
            <w:tcW w:w="3117" w:type="dxa"/>
            <w:vAlign w:val="bottom"/>
          </w:tcPr>
          <w:p w14:paraId="08D927FE" w14:textId="77777777" w:rsidR="00B90936" w:rsidRDefault="00B90936" w:rsidP="001515D5">
            <w:r>
              <w:t>30.6%</w:t>
            </w:r>
          </w:p>
        </w:tc>
      </w:tr>
      <w:tr w:rsidR="00B90936" w14:paraId="50D7EFAC" w14:textId="77777777" w:rsidTr="001515D5">
        <w:tc>
          <w:tcPr>
            <w:tcW w:w="3116" w:type="dxa"/>
            <w:vAlign w:val="bottom"/>
          </w:tcPr>
          <w:p w14:paraId="63BA2334" w14:textId="77777777" w:rsidR="00B90936" w:rsidRDefault="00B90936" w:rsidP="001515D5">
            <w:r>
              <w:t>2017</w:t>
            </w:r>
          </w:p>
        </w:tc>
        <w:tc>
          <w:tcPr>
            <w:tcW w:w="3117" w:type="dxa"/>
            <w:vAlign w:val="bottom"/>
          </w:tcPr>
          <w:p w14:paraId="76E56EFC" w14:textId="77777777" w:rsidR="00B90936" w:rsidRDefault="00B90936" w:rsidP="001515D5">
            <w:r>
              <w:t>21.7%</w:t>
            </w:r>
          </w:p>
        </w:tc>
        <w:tc>
          <w:tcPr>
            <w:tcW w:w="3117" w:type="dxa"/>
            <w:vAlign w:val="bottom"/>
          </w:tcPr>
          <w:p w14:paraId="5ADFA55E" w14:textId="77777777" w:rsidR="00B90936" w:rsidRDefault="00B90936" w:rsidP="001515D5">
            <w:r>
              <w:t>30.6%</w:t>
            </w:r>
          </w:p>
        </w:tc>
      </w:tr>
      <w:tr w:rsidR="00B90936" w14:paraId="655DAC92" w14:textId="77777777" w:rsidTr="001515D5">
        <w:tc>
          <w:tcPr>
            <w:tcW w:w="3116" w:type="dxa"/>
            <w:vAlign w:val="bottom"/>
          </w:tcPr>
          <w:p w14:paraId="0712823D" w14:textId="77777777" w:rsidR="00B90936" w:rsidRDefault="00B90936" w:rsidP="001515D5">
            <w:r>
              <w:t>2019</w:t>
            </w:r>
          </w:p>
        </w:tc>
        <w:tc>
          <w:tcPr>
            <w:tcW w:w="3117" w:type="dxa"/>
            <w:vAlign w:val="bottom"/>
          </w:tcPr>
          <w:p w14:paraId="6C1B0F16" w14:textId="77777777" w:rsidR="00B90936" w:rsidRDefault="00B90936" w:rsidP="001515D5">
            <w:r>
              <w:t>19.5%</w:t>
            </w:r>
          </w:p>
        </w:tc>
        <w:tc>
          <w:tcPr>
            <w:tcW w:w="3117" w:type="dxa"/>
            <w:vAlign w:val="bottom"/>
          </w:tcPr>
          <w:p w14:paraId="651EB048" w14:textId="77777777" w:rsidR="00B90936" w:rsidRDefault="00B90936" w:rsidP="001515D5">
            <w:r>
              <w:t>30.6%</w:t>
            </w:r>
          </w:p>
        </w:tc>
      </w:tr>
    </w:tbl>
    <w:p w14:paraId="55B244E4" w14:textId="77777777" w:rsidR="00B90936" w:rsidRPr="00781446" w:rsidRDefault="00B90936" w:rsidP="00B90936">
      <w:r w:rsidRPr="00781446">
        <w:t xml:space="preserve">Source: SC Youth Risk Behavior Surveillance System (YRBSS). </w:t>
      </w:r>
    </w:p>
    <w:p w14:paraId="1A188CFC" w14:textId="677037E2" w:rsidR="00CF1BB1" w:rsidRDefault="00B90936" w:rsidP="00506CC7">
      <w:r w:rsidRPr="00781446">
        <w:t>Note: Physical activity is defined as adolescents exercising at least 60 minutes on all seven days of the past week, high school students grades 9-12.</w:t>
      </w:r>
    </w:p>
    <w:p w14:paraId="079E6476" w14:textId="77777777" w:rsidR="00F97C7C" w:rsidRDefault="00F97C7C" w:rsidP="00506CC7"/>
    <w:p w14:paraId="12D97F70" w14:textId="35381CFD" w:rsidR="00CF1BB1" w:rsidRDefault="00CF1BB1" w:rsidP="00CF1BB1">
      <w:pPr>
        <w:pStyle w:val="Heading5"/>
      </w:pPr>
      <w:r>
        <w:t xml:space="preserve">Key Takeaways: </w:t>
      </w:r>
    </w:p>
    <w:p w14:paraId="1F016D87" w14:textId="2A3633B6" w:rsidR="00CF1BB1" w:rsidRDefault="00CF1BB1" w:rsidP="00506CC7">
      <w:pPr>
        <w:pStyle w:val="ListParagraph"/>
        <w:numPr>
          <w:ilvl w:val="0"/>
          <w:numId w:val="223"/>
        </w:numPr>
      </w:pPr>
      <w:r w:rsidRPr="00CF1BB1">
        <w:t xml:space="preserve">Children today face the prospect of growing up less healthy and living shorter lives than their parents. Establishing healthy trajectories during childhood has the greatest overall return on investment. </w:t>
      </w:r>
    </w:p>
    <w:p w14:paraId="4236C303" w14:textId="7BCFD472" w:rsidR="00CF1BB1" w:rsidRDefault="00506CC7" w:rsidP="00CF1BB1">
      <w:pPr>
        <w:pStyle w:val="Heading4"/>
        <w:rPr>
          <w:rFonts w:asciiTheme="minorHAnsi" w:hAnsiTheme="minorHAnsi" w:cstheme="minorHAnsi"/>
          <w:color w:val="000000" w:themeColor="text1"/>
        </w:rPr>
      </w:pPr>
      <w:bookmarkStart w:id="574" w:name="_Toc162267382"/>
      <w:r w:rsidRPr="00506CC7">
        <w:rPr>
          <w:rFonts w:asciiTheme="minorHAnsi" w:hAnsiTheme="minorHAnsi" w:cstheme="minorHAnsi"/>
          <w:color w:val="000000" w:themeColor="text1"/>
        </w:rPr>
        <w:t xml:space="preserve">References </w:t>
      </w:r>
      <w:r w:rsidR="00CF1BB1">
        <w:rPr>
          <w:rFonts w:asciiTheme="minorHAnsi" w:hAnsiTheme="minorHAnsi" w:cstheme="minorHAnsi"/>
          <w:color w:val="000000" w:themeColor="text1"/>
        </w:rPr>
        <w:t>8.8</w:t>
      </w:r>
      <w:bookmarkEnd w:id="574"/>
    </w:p>
    <w:p w14:paraId="49E42846" w14:textId="77777777" w:rsidR="00CF1BB1" w:rsidRPr="00506CC7" w:rsidRDefault="00CF1BB1" w:rsidP="00CF1BB1">
      <w:pPr>
        <w:rPr>
          <w:i/>
          <w:iCs/>
        </w:rPr>
      </w:pPr>
      <w:r w:rsidRPr="00506CC7">
        <w:t>Statistics in the preceding section were referenced from the following reports:</w:t>
      </w:r>
    </w:p>
    <w:p w14:paraId="0A74B8E4" w14:textId="2458BBC2" w:rsidR="00C2531F" w:rsidRPr="00C2531F" w:rsidRDefault="00000000" w:rsidP="00926EB3">
      <w:pPr>
        <w:pStyle w:val="ListParagraph"/>
        <w:numPr>
          <w:ilvl w:val="0"/>
          <w:numId w:val="35"/>
        </w:numPr>
      </w:pPr>
      <w:hyperlink r:id="rId254" w:history="1">
        <w:r w:rsidR="00C2531F" w:rsidRPr="00C2531F">
          <w:rPr>
            <w:rStyle w:val="Hyperlink"/>
          </w:rPr>
          <w:t>“A Generational Opportunity to Invest in Our Children” by RWIF via rwif.org. Accessed July 11, 2023.</w:t>
        </w:r>
      </w:hyperlink>
      <w:r w:rsidR="00C2531F" w:rsidRPr="00C2531F">
        <w:rPr>
          <w:u w:val="thick"/>
        </w:rPr>
        <w:t xml:space="preserve"> </w:t>
      </w:r>
    </w:p>
    <w:p w14:paraId="3AE5A8BE" w14:textId="48F67372" w:rsidR="00C2531F" w:rsidRPr="00C2531F" w:rsidRDefault="00000000" w:rsidP="00926EB3">
      <w:pPr>
        <w:pStyle w:val="ListParagraph"/>
        <w:numPr>
          <w:ilvl w:val="0"/>
          <w:numId w:val="35"/>
        </w:numPr>
      </w:pPr>
      <w:hyperlink r:id="rId255" w:history="1">
        <w:r w:rsidR="00C2531F" w:rsidRPr="00C2531F">
          <w:rPr>
            <w:rStyle w:val="Hyperlink"/>
          </w:rPr>
          <w:t>“Women, Infants and Children (WIC) Nutrition Program” by SCDHEC via scdhec.org. Accessed June 22, 2023.</w:t>
        </w:r>
      </w:hyperlink>
      <w:r w:rsidR="00C2531F" w:rsidRPr="00C2531F">
        <w:t xml:space="preserve"> </w:t>
      </w:r>
    </w:p>
    <w:p w14:paraId="1787576B" w14:textId="294171E6" w:rsidR="00C2531F" w:rsidRPr="00C2531F" w:rsidRDefault="00000000" w:rsidP="00926EB3">
      <w:pPr>
        <w:pStyle w:val="ListParagraph"/>
        <w:numPr>
          <w:ilvl w:val="0"/>
          <w:numId w:val="35"/>
        </w:numPr>
      </w:pPr>
      <w:hyperlink r:id="rId256" w:history="1">
        <w:r w:rsidR="00C2531F" w:rsidRPr="00C2531F">
          <w:rPr>
            <w:rStyle w:val="Hyperlink"/>
          </w:rPr>
          <w:t>“FitnessGram” by SCDHEC via scdhec.org. Accessed June 22, 2023.</w:t>
        </w:r>
      </w:hyperlink>
      <w:r w:rsidR="00C2531F" w:rsidRPr="00C2531F">
        <w:t xml:space="preserve"> </w:t>
      </w:r>
    </w:p>
    <w:p w14:paraId="31C96F08" w14:textId="0E66950A" w:rsidR="00C2531F" w:rsidRDefault="00C2531F" w:rsidP="00926EB3">
      <w:pPr>
        <w:pStyle w:val="ListParagraph"/>
        <w:numPr>
          <w:ilvl w:val="0"/>
          <w:numId w:val="35"/>
        </w:numPr>
      </w:pPr>
      <w:r>
        <w:t>“</w:t>
      </w:r>
      <w:r w:rsidRPr="00C2531F">
        <w:t>Evaluation and Management of Youth-Onset Type 2 Diabetes: A Position Statement by the American Diabetes Association</w:t>
      </w:r>
      <w:r>
        <w:t>” by</w:t>
      </w:r>
      <w:r w:rsidRPr="00C2531F">
        <w:t xml:space="preserve"> </w:t>
      </w:r>
      <w:proofErr w:type="spellStart"/>
      <w:r w:rsidRPr="00C2531F">
        <w:t>Arslanian</w:t>
      </w:r>
      <w:proofErr w:type="spellEnd"/>
      <w:r w:rsidRPr="00C2531F">
        <w:t xml:space="preserve"> S, Bacha F, Grey M, Marcus MD, White NH, Zeitler P.</w:t>
      </w:r>
      <w:r>
        <w:t xml:space="preserve"> Published in</w:t>
      </w:r>
      <w:r w:rsidRPr="00C2531F">
        <w:t xml:space="preserve"> Diabetes Care</w:t>
      </w:r>
      <w:r>
        <w:t xml:space="preserve">, </w:t>
      </w:r>
      <w:r w:rsidRPr="00C2531F">
        <w:t>2018</w:t>
      </w:r>
      <w:r>
        <w:t>. No hyperlink.</w:t>
      </w:r>
    </w:p>
    <w:p w14:paraId="4D34FC4C" w14:textId="77777777" w:rsidR="00C2531F" w:rsidRPr="00C2531F" w:rsidRDefault="00C2531F" w:rsidP="00C2531F"/>
    <w:p w14:paraId="422955FE" w14:textId="20427D30" w:rsidR="00CF1BB1" w:rsidRDefault="00CF1BB1" w:rsidP="00CF1BB1">
      <w:pPr>
        <w:pStyle w:val="Heading3"/>
      </w:pPr>
      <w:bookmarkStart w:id="575" w:name="_Toc162267383"/>
      <w:r>
        <w:t>Childhood Lead Exposure</w:t>
      </w:r>
      <w:bookmarkEnd w:id="575"/>
    </w:p>
    <w:p w14:paraId="13BD5F81" w14:textId="5ECFC07F" w:rsidR="00CF1BB1" w:rsidRDefault="00CF1BB1" w:rsidP="00CF1BB1">
      <w:pPr>
        <w:rPr>
          <w:b/>
          <w:bCs/>
        </w:rPr>
      </w:pPr>
      <w:r w:rsidRPr="00CF1BB1">
        <w:t>The harmful effects of childhood lead exposure can be prevented. However, the degree of exposure can most times go unnoticed. Exposure to lead can seriously harm a child’s health, including damage to the brain and nervous system, slowed growth and development, learning and behavior problems, and hearing and speech problems. The main sources of lead in SC are related to contaminated soil and dust, and chipping lead-based paint in older houses, particularly those built before 1950.</w:t>
      </w:r>
    </w:p>
    <w:p w14:paraId="5B73B5BA" w14:textId="77777777" w:rsidR="00CF1BB1" w:rsidRDefault="00CF1BB1" w:rsidP="00CF1BB1">
      <w:pPr>
        <w:pStyle w:val="Heading4"/>
        <w:rPr>
          <w:color w:val="FF0000"/>
        </w:rPr>
      </w:pPr>
    </w:p>
    <w:p w14:paraId="7E8F5018" w14:textId="77777777" w:rsidR="00B90936" w:rsidRDefault="00B90936" w:rsidP="00B90936">
      <w:pPr>
        <w:pStyle w:val="Heading4"/>
      </w:pPr>
      <w:bookmarkStart w:id="576" w:name="_Toc154576454"/>
      <w:bookmarkStart w:id="577" w:name="_Toc162267384"/>
      <w:r>
        <w:t>Figure 8.19: Confirmed Elevated Blood Levels, by Race/Ethnicity.</w:t>
      </w:r>
      <w:bookmarkEnd w:id="576"/>
      <w:bookmarkEnd w:id="577"/>
    </w:p>
    <w:p w14:paraId="5B00AC84" w14:textId="77777777" w:rsidR="00B90936" w:rsidRDefault="00B90936" w:rsidP="00B90936">
      <w:pPr>
        <w:pStyle w:val="Heading5"/>
      </w:pPr>
      <w:r>
        <w:t>Rate per 1,000 children tested.</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B90936" w14:paraId="5524093A" w14:textId="77777777" w:rsidTr="001515D5">
        <w:tc>
          <w:tcPr>
            <w:tcW w:w="1558" w:type="dxa"/>
            <w:vAlign w:val="bottom"/>
          </w:tcPr>
          <w:p w14:paraId="43E73146" w14:textId="77777777" w:rsidR="00B90936" w:rsidRPr="00781446" w:rsidRDefault="00B90936" w:rsidP="001515D5">
            <w:r>
              <w:t>Year</w:t>
            </w:r>
          </w:p>
        </w:tc>
        <w:tc>
          <w:tcPr>
            <w:tcW w:w="1558" w:type="dxa"/>
            <w:vAlign w:val="bottom"/>
          </w:tcPr>
          <w:p w14:paraId="175A24CC" w14:textId="77777777" w:rsidR="00B90936" w:rsidRPr="00781446" w:rsidRDefault="00B90936" w:rsidP="001515D5">
            <w:r w:rsidRPr="00781446">
              <w:t>South Carolina</w:t>
            </w:r>
          </w:p>
        </w:tc>
        <w:tc>
          <w:tcPr>
            <w:tcW w:w="1558" w:type="dxa"/>
            <w:vAlign w:val="bottom"/>
          </w:tcPr>
          <w:p w14:paraId="78425BD4" w14:textId="77777777" w:rsidR="00B90936" w:rsidRPr="00781446" w:rsidRDefault="00B90936" w:rsidP="001515D5">
            <w:r w:rsidRPr="00781446">
              <w:t>White</w:t>
            </w:r>
          </w:p>
        </w:tc>
        <w:tc>
          <w:tcPr>
            <w:tcW w:w="1558" w:type="dxa"/>
            <w:vAlign w:val="bottom"/>
          </w:tcPr>
          <w:p w14:paraId="24C9DD49" w14:textId="77777777" w:rsidR="00B90936" w:rsidRPr="00781446" w:rsidRDefault="00B90936" w:rsidP="001515D5">
            <w:r w:rsidRPr="00781446">
              <w:t>Black</w:t>
            </w:r>
          </w:p>
        </w:tc>
        <w:tc>
          <w:tcPr>
            <w:tcW w:w="1559" w:type="dxa"/>
            <w:vAlign w:val="bottom"/>
          </w:tcPr>
          <w:p w14:paraId="6F3B0A5D" w14:textId="77777777" w:rsidR="00B90936" w:rsidRPr="00781446" w:rsidRDefault="00B90936" w:rsidP="001515D5">
            <w:r w:rsidRPr="00781446">
              <w:t>Hispanic</w:t>
            </w:r>
          </w:p>
        </w:tc>
        <w:tc>
          <w:tcPr>
            <w:tcW w:w="1559" w:type="dxa"/>
            <w:vAlign w:val="bottom"/>
          </w:tcPr>
          <w:p w14:paraId="4709919D" w14:textId="77777777" w:rsidR="00B90936" w:rsidRPr="00781446" w:rsidRDefault="00B90936" w:rsidP="001515D5">
            <w:r w:rsidRPr="00781446">
              <w:t>Other</w:t>
            </w:r>
          </w:p>
        </w:tc>
      </w:tr>
      <w:tr w:rsidR="00B90936" w14:paraId="18618FA0" w14:textId="77777777" w:rsidTr="001515D5">
        <w:tc>
          <w:tcPr>
            <w:tcW w:w="1558" w:type="dxa"/>
            <w:vAlign w:val="bottom"/>
          </w:tcPr>
          <w:p w14:paraId="6282E410" w14:textId="77777777" w:rsidR="00B90936" w:rsidRPr="00781446" w:rsidRDefault="00B90936" w:rsidP="001515D5">
            <w:r w:rsidRPr="00781446">
              <w:t>2017</w:t>
            </w:r>
          </w:p>
        </w:tc>
        <w:tc>
          <w:tcPr>
            <w:tcW w:w="1558" w:type="dxa"/>
            <w:vAlign w:val="bottom"/>
          </w:tcPr>
          <w:p w14:paraId="52742C87" w14:textId="77777777" w:rsidR="00B90936" w:rsidRPr="00781446" w:rsidRDefault="00B90936" w:rsidP="001515D5">
            <w:r w:rsidRPr="00781446">
              <w:t>6.8</w:t>
            </w:r>
          </w:p>
        </w:tc>
        <w:tc>
          <w:tcPr>
            <w:tcW w:w="1558" w:type="dxa"/>
            <w:vAlign w:val="bottom"/>
          </w:tcPr>
          <w:p w14:paraId="4DDD1467" w14:textId="77777777" w:rsidR="00B90936" w:rsidRPr="00781446" w:rsidRDefault="00B90936" w:rsidP="001515D5">
            <w:r w:rsidRPr="00781446">
              <w:t>6.1</w:t>
            </w:r>
          </w:p>
        </w:tc>
        <w:tc>
          <w:tcPr>
            <w:tcW w:w="1558" w:type="dxa"/>
            <w:vAlign w:val="bottom"/>
          </w:tcPr>
          <w:p w14:paraId="356499B2" w14:textId="77777777" w:rsidR="00B90936" w:rsidRPr="00781446" w:rsidRDefault="00B90936" w:rsidP="001515D5">
            <w:r w:rsidRPr="00781446">
              <w:t>8.0</w:t>
            </w:r>
          </w:p>
        </w:tc>
        <w:tc>
          <w:tcPr>
            <w:tcW w:w="1559" w:type="dxa"/>
            <w:vAlign w:val="bottom"/>
          </w:tcPr>
          <w:p w14:paraId="6F69192E" w14:textId="77777777" w:rsidR="00B90936" w:rsidRPr="00781446" w:rsidRDefault="00B90936" w:rsidP="001515D5">
            <w:r w:rsidRPr="00781446">
              <w:t>4.5</w:t>
            </w:r>
          </w:p>
        </w:tc>
        <w:tc>
          <w:tcPr>
            <w:tcW w:w="1559" w:type="dxa"/>
            <w:vAlign w:val="bottom"/>
          </w:tcPr>
          <w:p w14:paraId="2DF7D98C" w14:textId="77777777" w:rsidR="00B90936" w:rsidRPr="00781446" w:rsidRDefault="00B90936" w:rsidP="001515D5">
            <w:r w:rsidRPr="00781446">
              <w:t>14.0</w:t>
            </w:r>
          </w:p>
        </w:tc>
      </w:tr>
      <w:tr w:rsidR="00B90936" w14:paraId="7F231C37" w14:textId="77777777" w:rsidTr="001515D5">
        <w:tc>
          <w:tcPr>
            <w:tcW w:w="1558" w:type="dxa"/>
            <w:vAlign w:val="bottom"/>
          </w:tcPr>
          <w:p w14:paraId="71CFB6B4" w14:textId="77777777" w:rsidR="00B90936" w:rsidRPr="00781446" w:rsidRDefault="00B90936" w:rsidP="001515D5">
            <w:r w:rsidRPr="00781446">
              <w:t>2018</w:t>
            </w:r>
          </w:p>
        </w:tc>
        <w:tc>
          <w:tcPr>
            <w:tcW w:w="1558" w:type="dxa"/>
            <w:vAlign w:val="bottom"/>
          </w:tcPr>
          <w:p w14:paraId="48A0FF77" w14:textId="77777777" w:rsidR="00B90936" w:rsidRPr="00781446" w:rsidRDefault="00B90936" w:rsidP="001515D5">
            <w:r w:rsidRPr="00781446">
              <w:t>6.1</w:t>
            </w:r>
          </w:p>
        </w:tc>
        <w:tc>
          <w:tcPr>
            <w:tcW w:w="1558" w:type="dxa"/>
            <w:vAlign w:val="bottom"/>
          </w:tcPr>
          <w:p w14:paraId="63755D9B" w14:textId="77777777" w:rsidR="00B90936" w:rsidRPr="00781446" w:rsidRDefault="00B90936" w:rsidP="001515D5">
            <w:r w:rsidRPr="00781446">
              <w:t>4.7</w:t>
            </w:r>
          </w:p>
        </w:tc>
        <w:tc>
          <w:tcPr>
            <w:tcW w:w="1558" w:type="dxa"/>
            <w:vAlign w:val="bottom"/>
          </w:tcPr>
          <w:p w14:paraId="2894FA4C" w14:textId="77777777" w:rsidR="00B90936" w:rsidRPr="00781446" w:rsidRDefault="00B90936" w:rsidP="001515D5">
            <w:r w:rsidRPr="00781446">
              <w:t>6.8</w:t>
            </w:r>
          </w:p>
        </w:tc>
        <w:tc>
          <w:tcPr>
            <w:tcW w:w="1559" w:type="dxa"/>
            <w:vAlign w:val="bottom"/>
          </w:tcPr>
          <w:p w14:paraId="7652FA2A" w14:textId="77777777" w:rsidR="00B90936" w:rsidRPr="00781446" w:rsidRDefault="00B90936" w:rsidP="001515D5">
            <w:r w:rsidRPr="00781446">
              <w:t>7.4</w:t>
            </w:r>
          </w:p>
        </w:tc>
        <w:tc>
          <w:tcPr>
            <w:tcW w:w="1559" w:type="dxa"/>
            <w:vAlign w:val="bottom"/>
          </w:tcPr>
          <w:p w14:paraId="6854252D" w14:textId="77777777" w:rsidR="00B90936" w:rsidRPr="00781446" w:rsidRDefault="00B90936" w:rsidP="001515D5">
            <w:r w:rsidRPr="00781446">
              <w:t>18.5</w:t>
            </w:r>
          </w:p>
        </w:tc>
      </w:tr>
      <w:tr w:rsidR="00B90936" w14:paraId="51CF3FD6" w14:textId="77777777" w:rsidTr="001515D5">
        <w:tc>
          <w:tcPr>
            <w:tcW w:w="1558" w:type="dxa"/>
            <w:vAlign w:val="bottom"/>
          </w:tcPr>
          <w:p w14:paraId="00FE6744" w14:textId="77777777" w:rsidR="00B90936" w:rsidRPr="00781446" w:rsidRDefault="00B90936" w:rsidP="001515D5">
            <w:r w:rsidRPr="00781446">
              <w:t>2019</w:t>
            </w:r>
          </w:p>
        </w:tc>
        <w:tc>
          <w:tcPr>
            <w:tcW w:w="1558" w:type="dxa"/>
            <w:vAlign w:val="bottom"/>
          </w:tcPr>
          <w:p w14:paraId="3ACC43CA" w14:textId="77777777" w:rsidR="00B90936" w:rsidRPr="00781446" w:rsidRDefault="00B90936" w:rsidP="001515D5">
            <w:r w:rsidRPr="00781446">
              <w:t>4.9</w:t>
            </w:r>
          </w:p>
        </w:tc>
        <w:tc>
          <w:tcPr>
            <w:tcW w:w="1558" w:type="dxa"/>
            <w:vAlign w:val="bottom"/>
          </w:tcPr>
          <w:p w14:paraId="49517D0B" w14:textId="77777777" w:rsidR="00B90936" w:rsidRPr="00781446" w:rsidRDefault="00B90936" w:rsidP="001515D5">
            <w:r w:rsidRPr="00781446">
              <w:t>4.3</w:t>
            </w:r>
          </w:p>
        </w:tc>
        <w:tc>
          <w:tcPr>
            <w:tcW w:w="1558" w:type="dxa"/>
            <w:vAlign w:val="bottom"/>
          </w:tcPr>
          <w:p w14:paraId="5636DA13" w14:textId="77777777" w:rsidR="00B90936" w:rsidRPr="00781446" w:rsidRDefault="00B90936" w:rsidP="001515D5">
            <w:r w:rsidRPr="00781446">
              <w:t>5.0</w:t>
            </w:r>
          </w:p>
        </w:tc>
        <w:tc>
          <w:tcPr>
            <w:tcW w:w="1559" w:type="dxa"/>
            <w:vAlign w:val="bottom"/>
          </w:tcPr>
          <w:p w14:paraId="1158E4E5" w14:textId="77777777" w:rsidR="00B90936" w:rsidRPr="00781446" w:rsidRDefault="00B90936" w:rsidP="001515D5">
            <w:r w:rsidRPr="00781446">
              <w:t>5.1</w:t>
            </w:r>
          </w:p>
        </w:tc>
        <w:tc>
          <w:tcPr>
            <w:tcW w:w="1559" w:type="dxa"/>
            <w:vAlign w:val="bottom"/>
          </w:tcPr>
          <w:p w14:paraId="1A51DE70" w14:textId="77777777" w:rsidR="00B90936" w:rsidRPr="00781446" w:rsidRDefault="00B90936" w:rsidP="001515D5">
            <w:r w:rsidRPr="00781446">
              <w:t>15.9</w:t>
            </w:r>
          </w:p>
        </w:tc>
      </w:tr>
      <w:tr w:rsidR="00B90936" w14:paraId="54FED84A" w14:textId="77777777" w:rsidTr="001515D5">
        <w:tc>
          <w:tcPr>
            <w:tcW w:w="1558" w:type="dxa"/>
            <w:vAlign w:val="bottom"/>
          </w:tcPr>
          <w:p w14:paraId="16D0C3B8" w14:textId="77777777" w:rsidR="00B90936" w:rsidRPr="00781446" w:rsidRDefault="00B90936" w:rsidP="001515D5">
            <w:r w:rsidRPr="00781446">
              <w:t>2020</w:t>
            </w:r>
          </w:p>
        </w:tc>
        <w:tc>
          <w:tcPr>
            <w:tcW w:w="1558" w:type="dxa"/>
            <w:vAlign w:val="bottom"/>
          </w:tcPr>
          <w:p w14:paraId="61F12E8D" w14:textId="77777777" w:rsidR="00B90936" w:rsidRPr="00781446" w:rsidRDefault="00B90936" w:rsidP="001515D5">
            <w:r w:rsidRPr="00781446">
              <w:t>5.3</w:t>
            </w:r>
          </w:p>
        </w:tc>
        <w:tc>
          <w:tcPr>
            <w:tcW w:w="1558" w:type="dxa"/>
            <w:vAlign w:val="bottom"/>
          </w:tcPr>
          <w:p w14:paraId="7C93C6B6" w14:textId="77777777" w:rsidR="00B90936" w:rsidRPr="00781446" w:rsidRDefault="00B90936" w:rsidP="001515D5">
            <w:r w:rsidRPr="00781446">
              <w:t>4.9</w:t>
            </w:r>
          </w:p>
        </w:tc>
        <w:tc>
          <w:tcPr>
            <w:tcW w:w="1558" w:type="dxa"/>
            <w:vAlign w:val="bottom"/>
          </w:tcPr>
          <w:p w14:paraId="4C3B3F1C" w14:textId="77777777" w:rsidR="00B90936" w:rsidRPr="00781446" w:rsidRDefault="00B90936" w:rsidP="001515D5">
            <w:r w:rsidRPr="00781446">
              <w:t>5.8</w:t>
            </w:r>
          </w:p>
        </w:tc>
        <w:tc>
          <w:tcPr>
            <w:tcW w:w="1559" w:type="dxa"/>
            <w:vAlign w:val="bottom"/>
          </w:tcPr>
          <w:p w14:paraId="17F0ECEA" w14:textId="77777777" w:rsidR="00B90936" w:rsidRPr="00781446" w:rsidRDefault="00B90936" w:rsidP="001515D5">
            <w:r w:rsidRPr="00781446">
              <w:t>3.9</w:t>
            </w:r>
          </w:p>
        </w:tc>
        <w:tc>
          <w:tcPr>
            <w:tcW w:w="1559" w:type="dxa"/>
            <w:vAlign w:val="bottom"/>
          </w:tcPr>
          <w:p w14:paraId="10BD9B63" w14:textId="77777777" w:rsidR="00B90936" w:rsidRPr="00781446" w:rsidRDefault="00B90936" w:rsidP="001515D5">
            <w:r w:rsidRPr="00781446">
              <w:t>13.3</w:t>
            </w:r>
          </w:p>
        </w:tc>
      </w:tr>
    </w:tbl>
    <w:p w14:paraId="4FBC78FB" w14:textId="77777777" w:rsidR="00B90936" w:rsidRPr="00781446" w:rsidRDefault="00B90936" w:rsidP="00B90936">
      <w:r w:rsidRPr="00781446">
        <w:t xml:space="preserve">Source: SC DHEC </w:t>
      </w:r>
      <w:proofErr w:type="gramStart"/>
      <w:r w:rsidRPr="00781446">
        <w:t>Lead</w:t>
      </w:r>
      <w:proofErr w:type="gramEnd"/>
      <w:r w:rsidRPr="00781446">
        <w:t xml:space="preserve"> Surveillance. </w:t>
      </w:r>
    </w:p>
    <w:p w14:paraId="0C7A16D2" w14:textId="77777777" w:rsidR="00B90936" w:rsidRPr="00781446" w:rsidRDefault="00B90936" w:rsidP="00B90936">
      <w:r w:rsidRPr="00781446">
        <w:lastRenderedPageBreak/>
        <w:t xml:space="preserve">Note: Confirmed elevated blood lead levels defined as venous test results greater than or equal to 5 </w:t>
      </w:r>
      <w:proofErr w:type="spellStart"/>
      <w:r w:rsidRPr="00781446">
        <w:t>μg</w:t>
      </w:r>
      <w:proofErr w:type="spellEnd"/>
      <w:r w:rsidRPr="00781446">
        <w:t xml:space="preserve">/dL. </w:t>
      </w:r>
    </w:p>
    <w:p w14:paraId="42CA1D67" w14:textId="77777777" w:rsidR="00B90936" w:rsidRDefault="00B90936" w:rsidP="00B90936">
      <w:r w:rsidRPr="00781446">
        <w:t>Children defined as less than 6 years of age.</w:t>
      </w:r>
    </w:p>
    <w:p w14:paraId="4435B80B" w14:textId="77777777" w:rsidR="00CF1BB1" w:rsidRDefault="00CF1BB1" w:rsidP="00CF1BB1">
      <w:pPr>
        <w:rPr>
          <w:b/>
          <w:bCs/>
        </w:rPr>
      </w:pPr>
    </w:p>
    <w:p w14:paraId="10E95ED3" w14:textId="77777777" w:rsidR="00CF1BB1" w:rsidRDefault="00CF1BB1" w:rsidP="00CF1BB1">
      <w:pPr>
        <w:pStyle w:val="Heading4"/>
      </w:pPr>
      <w:bookmarkStart w:id="578" w:name="_Toc162267385"/>
      <w:r w:rsidRPr="00CF1BB1">
        <w:t>Data Interpretations:</w:t>
      </w:r>
      <w:bookmarkEnd w:id="578"/>
      <w:r w:rsidRPr="00CF1BB1">
        <w:t xml:space="preserve"> </w:t>
      </w:r>
    </w:p>
    <w:p w14:paraId="1C56178F" w14:textId="3AE8D2BD" w:rsidR="00CF1BB1" w:rsidRPr="00CF1BB1" w:rsidRDefault="00CF1BB1" w:rsidP="00CF1BB1">
      <w:r w:rsidRPr="00CF1BB1">
        <w:t>In SC, the rate of children tested with confirmed elevated blood lead levels (venous test results greater than or equal to 5 µg/dL) decreased from 6.8 cases per 1,000 children tested in 2017 to 5.3 cases per 1,000 children tested in 2020 (</w:t>
      </w:r>
      <w:r w:rsidRPr="00CF1BB1">
        <w:rPr>
          <w:b/>
          <w:bCs/>
        </w:rPr>
        <w:t>Figure 8.19</w:t>
      </w:r>
      <w:r w:rsidRPr="00CF1BB1">
        <w:t>). In 2020, children from other minorities had the highest rate of confirmed elevated blood lead levels (13.3) followed by Black children (5.8) (</w:t>
      </w:r>
      <w:r w:rsidRPr="00CF1BB1">
        <w:rPr>
          <w:b/>
          <w:bCs/>
        </w:rPr>
        <w:t>Figure 8.19</w:t>
      </w:r>
      <w:r w:rsidRPr="00CF1BB1">
        <w:t>).</w:t>
      </w:r>
    </w:p>
    <w:p w14:paraId="14424A93" w14:textId="77777777" w:rsidR="00CF1BB1" w:rsidRDefault="00CF1BB1" w:rsidP="00CF1BB1"/>
    <w:p w14:paraId="626DC484" w14:textId="77777777" w:rsidR="00CF1BB1" w:rsidRDefault="00CF1BB1" w:rsidP="00CF1BB1">
      <w:pPr>
        <w:pStyle w:val="Heading5"/>
      </w:pPr>
      <w:r>
        <w:t xml:space="preserve">Key Takeaways: </w:t>
      </w:r>
    </w:p>
    <w:p w14:paraId="5423E52B" w14:textId="2EBFD38A" w:rsidR="00CF1BB1" w:rsidRPr="00CF1BB1" w:rsidRDefault="00CF1BB1" w:rsidP="00926EB3">
      <w:pPr>
        <w:pStyle w:val="ListParagraph"/>
        <w:numPr>
          <w:ilvl w:val="0"/>
          <w:numId w:val="223"/>
        </w:numPr>
      </w:pPr>
      <w:r w:rsidRPr="00CF1BB1">
        <w:t>Exposure to lead can seriously harm a child’s health, including damage to the brain and nervous system, slowed growth and development, learning and behavior problems, and hearing and speech problems.</w:t>
      </w:r>
    </w:p>
    <w:p w14:paraId="7F148D38" w14:textId="77777777" w:rsidR="00CF1BB1" w:rsidRDefault="00CF1BB1" w:rsidP="00CF1BB1"/>
    <w:p w14:paraId="70D109A9" w14:textId="45C901C2" w:rsidR="00CF1BB1" w:rsidRDefault="00506CC7" w:rsidP="00CF1BB1">
      <w:pPr>
        <w:pStyle w:val="Heading4"/>
        <w:rPr>
          <w:rFonts w:asciiTheme="minorHAnsi" w:hAnsiTheme="minorHAnsi" w:cstheme="minorHAnsi"/>
          <w:color w:val="000000" w:themeColor="text1"/>
        </w:rPr>
      </w:pPr>
      <w:bookmarkStart w:id="579" w:name="_Toc162267386"/>
      <w:r w:rsidRPr="00506CC7">
        <w:rPr>
          <w:rFonts w:asciiTheme="minorHAnsi" w:hAnsiTheme="minorHAnsi" w:cstheme="minorHAnsi"/>
          <w:color w:val="000000" w:themeColor="text1"/>
        </w:rPr>
        <w:t xml:space="preserve">References </w:t>
      </w:r>
      <w:r w:rsidR="00CF1BB1">
        <w:rPr>
          <w:rFonts w:asciiTheme="minorHAnsi" w:hAnsiTheme="minorHAnsi" w:cstheme="minorHAnsi"/>
          <w:color w:val="000000" w:themeColor="text1"/>
        </w:rPr>
        <w:t>8.9</w:t>
      </w:r>
      <w:bookmarkEnd w:id="579"/>
    </w:p>
    <w:p w14:paraId="1E6C9155" w14:textId="77777777" w:rsidR="00CF1BB1" w:rsidRPr="00506CC7" w:rsidRDefault="00CF1BB1" w:rsidP="00CF1BB1">
      <w:pPr>
        <w:rPr>
          <w:i/>
          <w:iCs/>
        </w:rPr>
      </w:pPr>
      <w:r w:rsidRPr="00506CC7">
        <w:t>Statistics in the preceding section were referenced from the following reports:</w:t>
      </w:r>
    </w:p>
    <w:p w14:paraId="122A7F6A" w14:textId="1ABF788B" w:rsidR="00C2531F" w:rsidRPr="00C2531F" w:rsidRDefault="00000000" w:rsidP="00926EB3">
      <w:pPr>
        <w:pStyle w:val="ListParagraph"/>
        <w:numPr>
          <w:ilvl w:val="0"/>
          <w:numId w:val="35"/>
        </w:numPr>
      </w:pPr>
      <w:hyperlink r:id="rId257" w:history="1">
        <w:r w:rsidR="00C2531F" w:rsidRPr="00C2531F">
          <w:rPr>
            <w:rStyle w:val="Hyperlink"/>
          </w:rPr>
          <w:t>“Prevent Children’s Exposure to Lead” by CDC via cdc.gov. Accessed June 22, 2023.</w:t>
        </w:r>
      </w:hyperlink>
      <w:r w:rsidR="00C2531F" w:rsidRPr="00C2531F">
        <w:rPr>
          <w:u w:val="thick"/>
        </w:rPr>
        <w:t xml:space="preserve"> </w:t>
      </w:r>
    </w:p>
    <w:p w14:paraId="0366B8B0" w14:textId="1AFF50AD" w:rsidR="00C2531F" w:rsidRPr="00C2531F" w:rsidRDefault="00000000" w:rsidP="00926EB3">
      <w:pPr>
        <w:pStyle w:val="ListParagraph"/>
        <w:numPr>
          <w:ilvl w:val="0"/>
          <w:numId w:val="35"/>
        </w:numPr>
      </w:pPr>
      <w:hyperlink r:id="rId258" w:history="1">
        <w:r w:rsidR="00C2531F" w:rsidRPr="00C2531F">
          <w:rPr>
            <w:rStyle w:val="Hyperlink"/>
          </w:rPr>
          <w:t>“Lead” by SCDHEC via scdhec.gov. Accessed June 22, 2023.</w:t>
        </w:r>
      </w:hyperlink>
      <w:r w:rsidR="00C2531F" w:rsidRPr="00C2531F">
        <w:t xml:space="preserve"> </w:t>
      </w:r>
    </w:p>
    <w:p w14:paraId="65FAC519" w14:textId="77777777" w:rsidR="00CF1BB1" w:rsidRDefault="00CF1BB1" w:rsidP="00506CC7"/>
    <w:p w14:paraId="192DFC9D" w14:textId="77777777" w:rsidR="00CF1BB1" w:rsidRPr="00CF1BB1" w:rsidRDefault="00CF1BB1" w:rsidP="00CF1BB1">
      <w:pPr>
        <w:pStyle w:val="Heading3"/>
      </w:pPr>
      <w:bookmarkStart w:id="580" w:name="_Toc162267387"/>
      <w:r w:rsidRPr="00CF1BB1">
        <w:t>Oral Health</w:t>
      </w:r>
      <w:bookmarkEnd w:id="580"/>
    </w:p>
    <w:p w14:paraId="4DC92F58" w14:textId="3D35C8D9" w:rsidR="00CF1BB1" w:rsidRPr="00CF1BB1" w:rsidRDefault="00CF1BB1" w:rsidP="00CF1BB1">
      <w:r w:rsidRPr="00CF1BB1">
        <w:t>The condition of a person’s oral health affects the ability to eat, speak, smile, and show emotions. Poor oral health can also negatively affect someone’s self-esteem, school performance, and attendance at work or school. Oral diseases, which range from cavities and gum disease to oral cancer, cause pain and disability for millions of Americans, and cost taxpayers billions of dollars each year.</w:t>
      </w:r>
    </w:p>
    <w:p w14:paraId="13531C5A" w14:textId="77777777" w:rsidR="00CF1BB1" w:rsidRDefault="00CF1BB1" w:rsidP="00506CC7"/>
    <w:p w14:paraId="780F1727" w14:textId="77777777" w:rsidR="00B90936" w:rsidRDefault="00B90936" w:rsidP="00B90936">
      <w:pPr>
        <w:pStyle w:val="Heading4"/>
      </w:pPr>
      <w:bookmarkStart w:id="581" w:name="_Toc154576455"/>
      <w:bookmarkStart w:id="582" w:name="_Toc162267388"/>
      <w:r>
        <w:t>Figure 8.20: Proportion of Children and Adolescents With Tooth Decay.</w:t>
      </w:r>
      <w:bookmarkEnd w:id="581"/>
      <w:bookmarkEnd w:id="582"/>
    </w:p>
    <w:tbl>
      <w:tblPr>
        <w:tblStyle w:val="TableGrid"/>
        <w:tblW w:w="0" w:type="auto"/>
        <w:tblLook w:val="04A0" w:firstRow="1" w:lastRow="0" w:firstColumn="1" w:lastColumn="0" w:noHBand="0" w:noVBand="1"/>
      </w:tblPr>
      <w:tblGrid>
        <w:gridCol w:w="4675"/>
        <w:gridCol w:w="4675"/>
      </w:tblGrid>
      <w:tr w:rsidR="00B90936" w14:paraId="1F6D551A" w14:textId="77777777" w:rsidTr="001515D5">
        <w:tc>
          <w:tcPr>
            <w:tcW w:w="4675" w:type="dxa"/>
          </w:tcPr>
          <w:p w14:paraId="75F83910" w14:textId="77777777" w:rsidR="00B90936" w:rsidRPr="00781446" w:rsidRDefault="00B90936" w:rsidP="001515D5">
            <w:r w:rsidRPr="00781446">
              <w:t>Demographic</w:t>
            </w:r>
          </w:p>
        </w:tc>
        <w:tc>
          <w:tcPr>
            <w:tcW w:w="4675" w:type="dxa"/>
          </w:tcPr>
          <w:p w14:paraId="4EB20B6E" w14:textId="77777777" w:rsidR="00B90936" w:rsidRPr="00781446" w:rsidRDefault="00B90936" w:rsidP="001515D5">
            <w:r w:rsidRPr="00781446">
              <w:t>Percent</w:t>
            </w:r>
          </w:p>
        </w:tc>
      </w:tr>
      <w:tr w:rsidR="00B90936" w14:paraId="6BB84C6A" w14:textId="77777777" w:rsidTr="001515D5">
        <w:tc>
          <w:tcPr>
            <w:tcW w:w="4675" w:type="dxa"/>
            <w:vAlign w:val="bottom"/>
          </w:tcPr>
          <w:p w14:paraId="40668DA1" w14:textId="77777777" w:rsidR="00B90936" w:rsidRPr="00781446" w:rsidRDefault="00B90936" w:rsidP="001515D5">
            <w:r w:rsidRPr="00781446">
              <w:t>South Carolina</w:t>
            </w:r>
          </w:p>
        </w:tc>
        <w:tc>
          <w:tcPr>
            <w:tcW w:w="4675" w:type="dxa"/>
            <w:vAlign w:val="center"/>
          </w:tcPr>
          <w:p w14:paraId="39542265" w14:textId="77777777" w:rsidR="00B90936" w:rsidRPr="00781446" w:rsidRDefault="00B90936" w:rsidP="001515D5">
            <w:r w:rsidRPr="00781446">
              <w:t>27.2%</w:t>
            </w:r>
          </w:p>
        </w:tc>
      </w:tr>
      <w:tr w:rsidR="00B90936" w14:paraId="693DC0C0" w14:textId="77777777" w:rsidTr="001515D5">
        <w:tc>
          <w:tcPr>
            <w:tcW w:w="4675" w:type="dxa"/>
            <w:vAlign w:val="center"/>
          </w:tcPr>
          <w:p w14:paraId="1858628A" w14:textId="77777777" w:rsidR="00B90936" w:rsidRPr="00781446" w:rsidRDefault="00B90936" w:rsidP="001515D5">
            <w:r w:rsidRPr="00781446">
              <w:t>Non-Hispanic White</w:t>
            </w:r>
          </w:p>
        </w:tc>
        <w:tc>
          <w:tcPr>
            <w:tcW w:w="4675" w:type="dxa"/>
            <w:vAlign w:val="center"/>
          </w:tcPr>
          <w:p w14:paraId="11C90E7E" w14:textId="77777777" w:rsidR="00B90936" w:rsidRPr="00781446" w:rsidRDefault="00B90936" w:rsidP="001515D5">
            <w:r w:rsidRPr="00781446">
              <w:t>28.9%</w:t>
            </w:r>
          </w:p>
        </w:tc>
      </w:tr>
      <w:tr w:rsidR="00B90936" w14:paraId="6A797E0B" w14:textId="77777777" w:rsidTr="001515D5">
        <w:tc>
          <w:tcPr>
            <w:tcW w:w="4675" w:type="dxa"/>
            <w:vAlign w:val="center"/>
          </w:tcPr>
          <w:p w14:paraId="011882CF" w14:textId="77777777" w:rsidR="00B90936" w:rsidRPr="00781446" w:rsidRDefault="00B90936" w:rsidP="001515D5">
            <w:r w:rsidRPr="00781446">
              <w:t>Non-Hispanic Black</w:t>
            </w:r>
          </w:p>
        </w:tc>
        <w:tc>
          <w:tcPr>
            <w:tcW w:w="4675" w:type="dxa"/>
            <w:vAlign w:val="center"/>
          </w:tcPr>
          <w:p w14:paraId="245EF8BF" w14:textId="77777777" w:rsidR="00B90936" w:rsidRPr="00781446" w:rsidRDefault="00B90936" w:rsidP="001515D5">
            <w:r w:rsidRPr="00781446">
              <w:t>25.1%</w:t>
            </w:r>
          </w:p>
        </w:tc>
      </w:tr>
      <w:tr w:rsidR="00B90936" w14:paraId="21BA1BFB" w14:textId="77777777" w:rsidTr="001515D5">
        <w:tc>
          <w:tcPr>
            <w:tcW w:w="4675" w:type="dxa"/>
            <w:vAlign w:val="center"/>
          </w:tcPr>
          <w:p w14:paraId="51E55C5A" w14:textId="77777777" w:rsidR="00B90936" w:rsidRPr="00781446" w:rsidRDefault="00B90936" w:rsidP="001515D5">
            <w:r w:rsidRPr="00781446">
              <w:lastRenderedPageBreak/>
              <w:t>Non-Hispanic Other (includes multi-racial)</w:t>
            </w:r>
          </w:p>
        </w:tc>
        <w:tc>
          <w:tcPr>
            <w:tcW w:w="4675" w:type="dxa"/>
            <w:vAlign w:val="center"/>
          </w:tcPr>
          <w:p w14:paraId="6714BD96" w14:textId="77777777" w:rsidR="00B90936" w:rsidRPr="00781446" w:rsidRDefault="00B90936" w:rsidP="001515D5">
            <w:r w:rsidRPr="00781446">
              <w:t>23.2%</w:t>
            </w:r>
          </w:p>
        </w:tc>
      </w:tr>
      <w:tr w:rsidR="00B90936" w14:paraId="5AB4B931" w14:textId="77777777" w:rsidTr="001515D5">
        <w:tc>
          <w:tcPr>
            <w:tcW w:w="4675" w:type="dxa"/>
            <w:vAlign w:val="center"/>
          </w:tcPr>
          <w:p w14:paraId="7BD022A7" w14:textId="77777777" w:rsidR="00B90936" w:rsidRPr="00781446" w:rsidRDefault="00B90936" w:rsidP="001515D5">
            <w:r w:rsidRPr="00781446">
              <w:t>Hispanic</w:t>
            </w:r>
          </w:p>
        </w:tc>
        <w:tc>
          <w:tcPr>
            <w:tcW w:w="4675" w:type="dxa"/>
            <w:vAlign w:val="center"/>
          </w:tcPr>
          <w:p w14:paraId="7ACE62E4" w14:textId="77777777" w:rsidR="00B90936" w:rsidRPr="00781446" w:rsidRDefault="00B90936" w:rsidP="001515D5">
            <w:r w:rsidRPr="00781446">
              <w:t>28.4%</w:t>
            </w:r>
          </w:p>
        </w:tc>
      </w:tr>
    </w:tbl>
    <w:p w14:paraId="62316A16" w14:textId="77777777" w:rsidR="00B90936" w:rsidRDefault="00B90936" w:rsidP="00B90936">
      <w:r w:rsidRPr="00781446">
        <w:t>Source: South Carolina Oral Health Needs Assessment 2017-2018.</w:t>
      </w:r>
    </w:p>
    <w:p w14:paraId="52BC7B65" w14:textId="77777777" w:rsidR="00B90936" w:rsidRDefault="00B90936" w:rsidP="00B90936"/>
    <w:p w14:paraId="1CBFAD4E" w14:textId="77777777" w:rsidR="00B90936" w:rsidRDefault="00B90936" w:rsidP="00B90936">
      <w:pPr>
        <w:pStyle w:val="Heading4"/>
      </w:pPr>
      <w:bookmarkStart w:id="583" w:name="_Toc154576456"/>
      <w:bookmarkStart w:id="584" w:name="_Toc162267389"/>
      <w:r>
        <w:t>Figure 8.21: Proportion of Children and Adolescents Who Have Dental Sealant.</w:t>
      </w:r>
      <w:bookmarkEnd w:id="583"/>
      <w:bookmarkEnd w:id="584"/>
    </w:p>
    <w:tbl>
      <w:tblPr>
        <w:tblStyle w:val="TableGrid"/>
        <w:tblW w:w="0" w:type="auto"/>
        <w:tblLook w:val="04A0" w:firstRow="1" w:lastRow="0" w:firstColumn="1" w:lastColumn="0" w:noHBand="0" w:noVBand="1"/>
      </w:tblPr>
      <w:tblGrid>
        <w:gridCol w:w="4675"/>
        <w:gridCol w:w="4675"/>
      </w:tblGrid>
      <w:tr w:rsidR="00B90936" w14:paraId="625BC990" w14:textId="77777777" w:rsidTr="001515D5">
        <w:tc>
          <w:tcPr>
            <w:tcW w:w="4675" w:type="dxa"/>
          </w:tcPr>
          <w:p w14:paraId="00683E9D" w14:textId="77777777" w:rsidR="00B90936" w:rsidRPr="00781446" w:rsidRDefault="00B90936" w:rsidP="001515D5">
            <w:r w:rsidRPr="00781446">
              <w:t>Demographic</w:t>
            </w:r>
          </w:p>
        </w:tc>
        <w:tc>
          <w:tcPr>
            <w:tcW w:w="4675" w:type="dxa"/>
          </w:tcPr>
          <w:p w14:paraId="3A36C622" w14:textId="77777777" w:rsidR="00B90936" w:rsidRPr="00781446" w:rsidRDefault="00B90936" w:rsidP="001515D5">
            <w:r w:rsidRPr="00781446">
              <w:t>Percent</w:t>
            </w:r>
          </w:p>
        </w:tc>
      </w:tr>
      <w:tr w:rsidR="00B90936" w14:paraId="6E4AB267" w14:textId="77777777" w:rsidTr="001515D5">
        <w:tc>
          <w:tcPr>
            <w:tcW w:w="4675" w:type="dxa"/>
            <w:vAlign w:val="bottom"/>
          </w:tcPr>
          <w:p w14:paraId="76507EEA" w14:textId="77777777" w:rsidR="00B90936" w:rsidRPr="00781446" w:rsidRDefault="00B90936" w:rsidP="001515D5">
            <w:r w:rsidRPr="00781446">
              <w:t>South Carolina</w:t>
            </w:r>
          </w:p>
        </w:tc>
        <w:tc>
          <w:tcPr>
            <w:tcW w:w="4675" w:type="dxa"/>
            <w:vAlign w:val="center"/>
          </w:tcPr>
          <w:p w14:paraId="0921BC8A" w14:textId="77777777" w:rsidR="00B90936" w:rsidRPr="00781446" w:rsidRDefault="00B90936" w:rsidP="001515D5">
            <w:r>
              <w:t>47.0%</w:t>
            </w:r>
          </w:p>
        </w:tc>
      </w:tr>
      <w:tr w:rsidR="00B90936" w14:paraId="0FEC8CA1" w14:textId="77777777" w:rsidTr="001515D5">
        <w:tc>
          <w:tcPr>
            <w:tcW w:w="4675" w:type="dxa"/>
            <w:vAlign w:val="center"/>
          </w:tcPr>
          <w:p w14:paraId="42AB0311" w14:textId="77777777" w:rsidR="00B90936" w:rsidRPr="00781446" w:rsidRDefault="00B90936" w:rsidP="001515D5">
            <w:r w:rsidRPr="00781446">
              <w:t>Non-Hispanic White</w:t>
            </w:r>
          </w:p>
        </w:tc>
        <w:tc>
          <w:tcPr>
            <w:tcW w:w="4675" w:type="dxa"/>
            <w:vAlign w:val="center"/>
          </w:tcPr>
          <w:p w14:paraId="35A1815D" w14:textId="77777777" w:rsidR="00B90936" w:rsidRPr="00781446" w:rsidRDefault="00B90936" w:rsidP="001515D5">
            <w:r>
              <w:t>39.3%</w:t>
            </w:r>
          </w:p>
        </w:tc>
      </w:tr>
      <w:tr w:rsidR="00B90936" w14:paraId="6568C65D" w14:textId="77777777" w:rsidTr="001515D5">
        <w:tc>
          <w:tcPr>
            <w:tcW w:w="4675" w:type="dxa"/>
            <w:vAlign w:val="center"/>
          </w:tcPr>
          <w:p w14:paraId="00DBA6AD" w14:textId="77777777" w:rsidR="00B90936" w:rsidRPr="00781446" w:rsidRDefault="00B90936" w:rsidP="001515D5">
            <w:r w:rsidRPr="00781446">
              <w:t>Non-Hispanic Black</w:t>
            </w:r>
          </w:p>
        </w:tc>
        <w:tc>
          <w:tcPr>
            <w:tcW w:w="4675" w:type="dxa"/>
            <w:vAlign w:val="center"/>
          </w:tcPr>
          <w:p w14:paraId="0595F871" w14:textId="77777777" w:rsidR="00B90936" w:rsidRPr="00781446" w:rsidRDefault="00B90936" w:rsidP="001515D5">
            <w:r>
              <w:t>53.3%</w:t>
            </w:r>
          </w:p>
        </w:tc>
      </w:tr>
      <w:tr w:rsidR="00B90936" w14:paraId="5C8AC680" w14:textId="77777777" w:rsidTr="001515D5">
        <w:tc>
          <w:tcPr>
            <w:tcW w:w="4675" w:type="dxa"/>
            <w:vAlign w:val="center"/>
          </w:tcPr>
          <w:p w14:paraId="7F8ED5C7" w14:textId="77777777" w:rsidR="00B90936" w:rsidRPr="00781446" w:rsidRDefault="00B90936" w:rsidP="001515D5">
            <w:r w:rsidRPr="00781446">
              <w:t>Hispanic</w:t>
            </w:r>
          </w:p>
        </w:tc>
        <w:tc>
          <w:tcPr>
            <w:tcW w:w="4675" w:type="dxa"/>
            <w:vAlign w:val="center"/>
          </w:tcPr>
          <w:p w14:paraId="25AC42C8" w14:textId="77777777" w:rsidR="00B90936" w:rsidRPr="00781446" w:rsidRDefault="00B90936" w:rsidP="001515D5">
            <w:r>
              <w:t>54.0%</w:t>
            </w:r>
          </w:p>
        </w:tc>
      </w:tr>
      <w:tr w:rsidR="00B90936" w14:paraId="0D7A61DD" w14:textId="77777777" w:rsidTr="001515D5">
        <w:tc>
          <w:tcPr>
            <w:tcW w:w="4675" w:type="dxa"/>
            <w:vAlign w:val="center"/>
          </w:tcPr>
          <w:p w14:paraId="52EE0027" w14:textId="77777777" w:rsidR="00B90936" w:rsidRPr="00781446" w:rsidRDefault="00B90936" w:rsidP="001515D5">
            <w:r w:rsidRPr="00781446">
              <w:t>Non-Hispanic Other (includes multi-racial)</w:t>
            </w:r>
          </w:p>
        </w:tc>
        <w:tc>
          <w:tcPr>
            <w:tcW w:w="4675" w:type="dxa"/>
            <w:vAlign w:val="center"/>
          </w:tcPr>
          <w:p w14:paraId="0F88C857" w14:textId="77777777" w:rsidR="00B90936" w:rsidRPr="00781446" w:rsidRDefault="00B90936" w:rsidP="001515D5">
            <w:r>
              <w:t>47.3%</w:t>
            </w:r>
          </w:p>
        </w:tc>
      </w:tr>
    </w:tbl>
    <w:p w14:paraId="2B090DDD" w14:textId="77777777" w:rsidR="00B90936" w:rsidRDefault="00B90936" w:rsidP="00B90936">
      <w:r w:rsidRPr="00781446">
        <w:t>Source: South Carolina Oral Health Needs Assessment 2017-2018.</w:t>
      </w:r>
    </w:p>
    <w:p w14:paraId="057AB1A0" w14:textId="77777777" w:rsidR="00CF1BB1" w:rsidRDefault="00CF1BB1" w:rsidP="00506CC7"/>
    <w:p w14:paraId="6E8527E0" w14:textId="77777777" w:rsidR="00CF1BB1" w:rsidRDefault="00CF1BB1" w:rsidP="00CF1BB1">
      <w:pPr>
        <w:rPr>
          <w:b/>
          <w:bCs/>
        </w:rPr>
      </w:pPr>
      <w:r w:rsidRPr="00CF1BB1">
        <w:rPr>
          <w:b/>
          <w:bCs/>
        </w:rPr>
        <w:t xml:space="preserve">Data Interpretations: </w:t>
      </w:r>
    </w:p>
    <w:p w14:paraId="44A93E61" w14:textId="5E5EA247" w:rsidR="00CF1BB1" w:rsidRPr="00CF1BB1" w:rsidRDefault="00CF1BB1" w:rsidP="00CF1BB1">
      <w:r w:rsidRPr="00CF1BB1">
        <w:t>Important disparities exist in oral health among children; according to SC Medicaid billing data, the percentage of children and adolescents aged 5 to 19 years with untreated tooth decay is twice as high for those from low-Income families (25%) compared with children from higher-income households (11%). In SC, the percentage of children with decayed teeth is 47.0% (</w:t>
      </w:r>
      <w:r w:rsidRPr="00CF1BB1">
        <w:rPr>
          <w:b/>
          <w:bCs/>
        </w:rPr>
        <w:t>Figure 8.20</w:t>
      </w:r>
      <w:r w:rsidRPr="00CF1BB1">
        <w:t>). The prevalence of tooth decay is higher among racial and ethnic minorities, primarily Hispanic children (54.0%) (</w:t>
      </w:r>
      <w:r w:rsidRPr="00CF1BB1">
        <w:rPr>
          <w:b/>
          <w:bCs/>
        </w:rPr>
        <w:t>Figure 8.20</w:t>
      </w:r>
      <w:r w:rsidRPr="00CF1BB1">
        <w:t>). Additionally, geographic disparities exist; children in the Pee Dee region have the highest prevalence of tooth decay (59%).</w:t>
      </w:r>
    </w:p>
    <w:p w14:paraId="11B0CE1A" w14:textId="77777777" w:rsidR="00CF1BB1" w:rsidRDefault="00CF1BB1" w:rsidP="00CF1BB1"/>
    <w:p w14:paraId="792F8F3C" w14:textId="77777777" w:rsidR="00CF1BB1" w:rsidRDefault="00CF1BB1" w:rsidP="00CF1BB1">
      <w:r w:rsidRPr="00CF1BB1">
        <w:t xml:space="preserve">An effective way to prevent cavities among children, particularly those who are most vulnerable to decay, is through Public Health Dental Prevention Provider programs. These preventive services were created to address the needs of priority populations identified by DHEC using standard public health principles. School-based programs can provide preventive services such as dental sealants and fluoride varnish. Dental sealants are thin plastic coatings that are applied on the chewing surfaces of the back teeth to keep out tooth decay, </w:t>
      </w:r>
      <w:proofErr w:type="gramStart"/>
      <w:r w:rsidRPr="00CF1BB1">
        <w:t>germs</w:t>
      </w:r>
      <w:proofErr w:type="gramEnd"/>
      <w:r w:rsidRPr="00CF1BB1">
        <w:t xml:space="preserve"> and food. Once applied, sealants protect against 80% of cavities for two years and continue to protect against 50% of cavities for up to four years. In SC, the proportion of children assessed with a sealant present was 27.2% between 2017 and 2018 (</w:t>
      </w:r>
      <w:r w:rsidRPr="00CF1BB1">
        <w:rPr>
          <w:b/>
          <w:bCs/>
        </w:rPr>
        <w:t>Figure 8.21</w:t>
      </w:r>
      <w:r w:rsidRPr="00CF1BB1">
        <w:t xml:space="preserve">). However, </w:t>
      </w:r>
      <w:proofErr w:type="gramStart"/>
      <w:r w:rsidRPr="00CF1BB1">
        <w:t>racial</w:t>
      </w:r>
      <w:proofErr w:type="gramEnd"/>
      <w:r w:rsidRPr="00CF1BB1">
        <w:t xml:space="preserve"> and ethnic disparities exist, particularly among non-</w:t>
      </w:r>
      <w:r w:rsidRPr="00CF1BB1">
        <w:lastRenderedPageBreak/>
        <w:t>Hispanic Other children, who experience the lowest proportion of having a dental sealant (23.2%) (</w:t>
      </w:r>
      <w:r w:rsidRPr="00CF1BB1">
        <w:rPr>
          <w:b/>
          <w:bCs/>
        </w:rPr>
        <w:t>Figure 8.21</w:t>
      </w:r>
      <w:r w:rsidRPr="00CF1BB1">
        <w:t xml:space="preserve">). </w:t>
      </w:r>
    </w:p>
    <w:p w14:paraId="2A7A353C" w14:textId="77777777" w:rsidR="00CF1BB1" w:rsidRDefault="00CF1BB1" w:rsidP="00CF1BB1"/>
    <w:p w14:paraId="304CFF1E" w14:textId="035EF6A8" w:rsidR="00CF1BB1" w:rsidRDefault="00CF1BB1" w:rsidP="005253DC">
      <w:pPr>
        <w:pStyle w:val="Heading5"/>
      </w:pPr>
      <w:r>
        <w:t>Key Takeaways:</w:t>
      </w:r>
    </w:p>
    <w:p w14:paraId="064A494C" w14:textId="77777777" w:rsidR="005253DC" w:rsidRDefault="00CF1BB1" w:rsidP="00926EB3">
      <w:pPr>
        <w:pStyle w:val="ListParagraph"/>
        <w:numPr>
          <w:ilvl w:val="0"/>
          <w:numId w:val="223"/>
        </w:numPr>
      </w:pPr>
      <w:r w:rsidRPr="00CF1BB1">
        <w:t xml:space="preserve">Most oral health issues that affect children can be prevented by good oral health practices. </w:t>
      </w:r>
    </w:p>
    <w:p w14:paraId="053CE705" w14:textId="0D68BDE9" w:rsidR="00CF1BB1" w:rsidRPr="00CF1BB1" w:rsidRDefault="00CF1BB1" w:rsidP="00926EB3">
      <w:pPr>
        <w:pStyle w:val="ListParagraph"/>
        <w:numPr>
          <w:ilvl w:val="0"/>
          <w:numId w:val="223"/>
        </w:numPr>
      </w:pPr>
      <w:r w:rsidRPr="00CF1BB1">
        <w:t>Brushing and flossing daily, consuming a diet that is low in sugar and visiting the dentist regularly will help reduce oral health problems</w:t>
      </w:r>
      <w:r w:rsidR="005253DC">
        <w:t>.</w:t>
      </w:r>
    </w:p>
    <w:p w14:paraId="643E3CA7" w14:textId="77777777" w:rsidR="00CF1BB1" w:rsidRDefault="00CF1BB1" w:rsidP="00CF1BB1"/>
    <w:p w14:paraId="2D58F7E5" w14:textId="2E7DE8CC" w:rsidR="00CF1BB1" w:rsidRDefault="00506CC7" w:rsidP="00CF1BB1">
      <w:pPr>
        <w:pStyle w:val="Heading4"/>
        <w:rPr>
          <w:rFonts w:asciiTheme="minorHAnsi" w:hAnsiTheme="minorHAnsi" w:cstheme="minorHAnsi"/>
          <w:color w:val="000000" w:themeColor="text1"/>
        </w:rPr>
      </w:pPr>
      <w:bookmarkStart w:id="585" w:name="_Toc162267390"/>
      <w:r w:rsidRPr="00506CC7">
        <w:rPr>
          <w:rFonts w:asciiTheme="minorHAnsi" w:hAnsiTheme="minorHAnsi" w:cstheme="minorHAnsi"/>
          <w:color w:val="000000" w:themeColor="text1"/>
        </w:rPr>
        <w:t xml:space="preserve">References </w:t>
      </w:r>
      <w:r w:rsidR="00CF1BB1">
        <w:rPr>
          <w:rFonts w:asciiTheme="minorHAnsi" w:hAnsiTheme="minorHAnsi" w:cstheme="minorHAnsi"/>
          <w:color w:val="000000" w:themeColor="text1"/>
        </w:rPr>
        <w:t>8.10</w:t>
      </w:r>
      <w:bookmarkEnd w:id="585"/>
    </w:p>
    <w:p w14:paraId="492ACF67" w14:textId="77777777" w:rsidR="00CF1BB1" w:rsidRPr="00506CC7" w:rsidRDefault="00CF1BB1" w:rsidP="00CF1BB1">
      <w:pPr>
        <w:rPr>
          <w:i/>
          <w:iCs/>
        </w:rPr>
      </w:pPr>
      <w:r w:rsidRPr="00506CC7">
        <w:t>Statistics in the preceding section were referenced from the following reports:</w:t>
      </w:r>
    </w:p>
    <w:p w14:paraId="37F2D241" w14:textId="00FA7368" w:rsidR="00C2531F" w:rsidRPr="00C2531F" w:rsidRDefault="00000000" w:rsidP="00926EB3">
      <w:pPr>
        <w:pStyle w:val="ListParagraph"/>
        <w:numPr>
          <w:ilvl w:val="0"/>
          <w:numId w:val="35"/>
        </w:numPr>
      </w:pPr>
      <w:hyperlink r:id="rId259" w:history="1">
        <w:r w:rsidR="00C2531F" w:rsidRPr="00C2531F">
          <w:rPr>
            <w:rStyle w:val="Hyperlink"/>
          </w:rPr>
          <w:t>“Oral Health” by CDC via cdc.gov. Accessed June 22, 2023.</w:t>
        </w:r>
      </w:hyperlink>
      <w:r w:rsidR="00C2531F" w:rsidRPr="00C2531F">
        <w:t xml:space="preserve"> </w:t>
      </w:r>
    </w:p>
    <w:p w14:paraId="7978E199" w14:textId="7B31AD6C" w:rsidR="00C2531F" w:rsidRPr="00C2531F" w:rsidRDefault="00C2531F" w:rsidP="00926EB3">
      <w:pPr>
        <w:pStyle w:val="ListParagraph"/>
        <w:numPr>
          <w:ilvl w:val="0"/>
          <w:numId w:val="35"/>
        </w:numPr>
      </w:pPr>
      <w:r w:rsidRPr="00C2531F">
        <w:t xml:space="preserve"> </w:t>
      </w:r>
      <w:hyperlink r:id="rId260" w:history="1">
        <w:r w:rsidRPr="00C2531F">
          <w:rPr>
            <w:rStyle w:val="Hyperlink"/>
          </w:rPr>
          <w:t>“2017-2018 South Carolina oral health statewide screening” by SCDHEC, 2017. Accessed June 22, 2023.</w:t>
        </w:r>
      </w:hyperlink>
      <w:r w:rsidRPr="00C2531F">
        <w:t xml:space="preserve"> </w:t>
      </w:r>
    </w:p>
    <w:p w14:paraId="66217737" w14:textId="77777777" w:rsidR="00CF1BB1" w:rsidRDefault="00CF1BB1" w:rsidP="00CF1BB1"/>
    <w:p w14:paraId="6E8C5125" w14:textId="0FD6ACFD" w:rsidR="00CF1BB1" w:rsidRPr="00CF1BB1" w:rsidRDefault="00CF1BB1" w:rsidP="00CF1BB1">
      <w:pPr>
        <w:pStyle w:val="Heading3"/>
      </w:pPr>
      <w:bookmarkStart w:id="586" w:name="_Toc162267391"/>
      <w:r w:rsidRPr="00CF1BB1">
        <w:t>Behavioral Health</w:t>
      </w:r>
      <w:r>
        <w:t>:</w:t>
      </w:r>
      <w:r w:rsidRPr="00CF1BB1">
        <w:rPr>
          <w:rFonts w:ascii="DicoSlab-ExtraBold" w:eastAsiaTheme="minorHAnsi" w:hAnsi="DicoSlab-ExtraBold" w:cs="DicoSlab-ExtraBold"/>
          <w:color w:val="000000"/>
          <w:sz w:val="24"/>
        </w:rPr>
        <w:t xml:space="preserve"> </w:t>
      </w:r>
      <w:r w:rsidRPr="00CF1BB1">
        <w:t>Adolescent Mental Health</w:t>
      </w:r>
      <w:bookmarkEnd w:id="586"/>
    </w:p>
    <w:p w14:paraId="5B51A40A" w14:textId="59CB5ED7" w:rsidR="00CF1BB1" w:rsidRPr="00CF1BB1" w:rsidRDefault="00CF1BB1" w:rsidP="00CF1BB1">
      <w:r w:rsidRPr="00CF1BB1">
        <w:t xml:space="preserve">While childhood and adolescence are times of growth and potential, navigating new milestones in preparation for adult roles involving education, employment, relationships, and living circumstances can be difficult. These transitions can lead to various mental health challenges that can be associated with increased risk for suicide. Approximately one out of every 15 high school students reports attempting suicide each year.  </w:t>
      </w:r>
    </w:p>
    <w:p w14:paraId="5756CFE7" w14:textId="77777777" w:rsidR="00CF1BB1" w:rsidRDefault="00CF1BB1" w:rsidP="00CF1BB1"/>
    <w:p w14:paraId="1DEF5998" w14:textId="6F845B87" w:rsidR="00CF1BB1" w:rsidRPr="00CF1BB1" w:rsidRDefault="00CF1BB1" w:rsidP="00CF1BB1">
      <w:r w:rsidRPr="00CF1BB1">
        <w:t>Since the COVID-19 pandemic, rates of psychological distress among young people have increased. More than 1 in 10 youth in the US experience depression that severely impairs their ability to function at school, work, home, with family, or in their social lives. Vulnerable populations</w:t>
      </w:r>
      <w:r w:rsidR="006D4802">
        <w:t>,</w:t>
      </w:r>
      <w:r w:rsidRPr="00CF1BB1">
        <w:t xml:space="preserve"> such as youths with disabilities, racial and ethnic minorities, LGBTQ+, and other marginalized communities, have been the most affected</w:t>
      </w:r>
      <w:r>
        <w:t>.</w:t>
      </w:r>
      <w:r w:rsidRPr="00CF1BB1">
        <w:t xml:space="preserve"> While males are four times more likely to die from suicide, females are more likely to attempt suicide.  </w:t>
      </w:r>
    </w:p>
    <w:p w14:paraId="45CDA102" w14:textId="4628206B" w:rsidR="00CF1BB1" w:rsidRDefault="00CF1BB1" w:rsidP="00CF1BB1">
      <w:pPr>
        <w:tabs>
          <w:tab w:val="left" w:pos="1507"/>
        </w:tabs>
      </w:pPr>
      <w:r>
        <w:tab/>
      </w:r>
    </w:p>
    <w:p w14:paraId="3EC992A7" w14:textId="77777777" w:rsidR="00B90936" w:rsidRDefault="00B90936" w:rsidP="00B90936">
      <w:pPr>
        <w:pStyle w:val="Heading4"/>
      </w:pPr>
      <w:bookmarkStart w:id="587" w:name="_Toc154576457"/>
      <w:bookmarkStart w:id="588" w:name="_Toc162267392"/>
      <w:r>
        <w:t xml:space="preserve">Figure 8.22: </w:t>
      </w:r>
      <w:r w:rsidRPr="00781446">
        <w:t>Changes in Past-Year Major Depressive Episode (MDE) among Youth Aged 12–17 in South Carolina</w:t>
      </w:r>
      <w:r>
        <w:t>.</w:t>
      </w:r>
      <w:bookmarkEnd w:id="587"/>
      <w:bookmarkEnd w:id="588"/>
    </w:p>
    <w:tbl>
      <w:tblPr>
        <w:tblStyle w:val="TableGrid"/>
        <w:tblW w:w="0" w:type="auto"/>
        <w:tblLook w:val="04A0" w:firstRow="1" w:lastRow="0" w:firstColumn="1" w:lastColumn="0" w:noHBand="0" w:noVBand="1"/>
      </w:tblPr>
      <w:tblGrid>
        <w:gridCol w:w="3116"/>
        <w:gridCol w:w="3117"/>
        <w:gridCol w:w="3117"/>
      </w:tblGrid>
      <w:tr w:rsidR="00B90936" w14:paraId="54F41198" w14:textId="77777777" w:rsidTr="001515D5">
        <w:tc>
          <w:tcPr>
            <w:tcW w:w="3116" w:type="dxa"/>
            <w:vAlign w:val="bottom"/>
          </w:tcPr>
          <w:p w14:paraId="560BF6DE" w14:textId="77777777" w:rsidR="00B90936" w:rsidRPr="00781446" w:rsidRDefault="00B90936" w:rsidP="001515D5">
            <w:r>
              <w:t>Year</w:t>
            </w:r>
          </w:p>
        </w:tc>
        <w:tc>
          <w:tcPr>
            <w:tcW w:w="3117" w:type="dxa"/>
            <w:vAlign w:val="bottom"/>
          </w:tcPr>
          <w:p w14:paraId="240A9990" w14:textId="77777777" w:rsidR="00B90936" w:rsidRPr="00781446" w:rsidRDefault="00B90936" w:rsidP="001515D5">
            <w:r w:rsidRPr="00781446">
              <w:t>South Carolina</w:t>
            </w:r>
          </w:p>
        </w:tc>
        <w:tc>
          <w:tcPr>
            <w:tcW w:w="3117" w:type="dxa"/>
            <w:vAlign w:val="bottom"/>
          </w:tcPr>
          <w:p w14:paraId="45B1E6E7" w14:textId="77777777" w:rsidR="00B90936" w:rsidRPr="00781446" w:rsidRDefault="00B90936" w:rsidP="001515D5">
            <w:r w:rsidRPr="00781446">
              <w:t>United States</w:t>
            </w:r>
          </w:p>
        </w:tc>
      </w:tr>
      <w:tr w:rsidR="00B90936" w14:paraId="0A62FC63" w14:textId="77777777" w:rsidTr="001515D5">
        <w:tc>
          <w:tcPr>
            <w:tcW w:w="3116" w:type="dxa"/>
            <w:vAlign w:val="bottom"/>
          </w:tcPr>
          <w:p w14:paraId="3253E0B7" w14:textId="77777777" w:rsidR="00B90936" w:rsidRPr="00781446" w:rsidRDefault="00B90936" w:rsidP="001515D5">
            <w:r w:rsidRPr="00781446">
              <w:t>2004-2007</w:t>
            </w:r>
          </w:p>
        </w:tc>
        <w:tc>
          <w:tcPr>
            <w:tcW w:w="3117" w:type="dxa"/>
            <w:vAlign w:val="bottom"/>
          </w:tcPr>
          <w:p w14:paraId="56E0A6EB" w14:textId="77777777" w:rsidR="00B90936" w:rsidRPr="00781446" w:rsidRDefault="00B90936" w:rsidP="001515D5">
            <w:r w:rsidRPr="00781446">
              <w:t>8.6%</w:t>
            </w:r>
          </w:p>
        </w:tc>
        <w:tc>
          <w:tcPr>
            <w:tcW w:w="3117" w:type="dxa"/>
            <w:vAlign w:val="bottom"/>
          </w:tcPr>
          <w:p w14:paraId="0370686E" w14:textId="77777777" w:rsidR="00B90936" w:rsidRPr="00781446" w:rsidRDefault="00B90936" w:rsidP="001515D5">
            <w:r w:rsidRPr="00781446">
              <w:t>8.5%</w:t>
            </w:r>
          </w:p>
        </w:tc>
      </w:tr>
      <w:tr w:rsidR="00B90936" w14:paraId="4825E77D" w14:textId="77777777" w:rsidTr="001515D5">
        <w:tc>
          <w:tcPr>
            <w:tcW w:w="3116" w:type="dxa"/>
            <w:vAlign w:val="bottom"/>
          </w:tcPr>
          <w:p w14:paraId="12790CD4" w14:textId="77777777" w:rsidR="00B90936" w:rsidRPr="00781446" w:rsidRDefault="00B90936" w:rsidP="001515D5">
            <w:r w:rsidRPr="00781446">
              <w:t>2016-2019</w:t>
            </w:r>
          </w:p>
        </w:tc>
        <w:tc>
          <w:tcPr>
            <w:tcW w:w="3117" w:type="dxa"/>
            <w:vAlign w:val="bottom"/>
          </w:tcPr>
          <w:p w14:paraId="48EDD098" w14:textId="77777777" w:rsidR="00B90936" w:rsidRPr="00781446" w:rsidRDefault="00B90936" w:rsidP="001515D5">
            <w:r w:rsidRPr="00781446">
              <w:t>13.2%</w:t>
            </w:r>
          </w:p>
        </w:tc>
        <w:tc>
          <w:tcPr>
            <w:tcW w:w="3117" w:type="dxa"/>
            <w:vAlign w:val="bottom"/>
          </w:tcPr>
          <w:p w14:paraId="66683E2B" w14:textId="77777777" w:rsidR="00B90936" w:rsidRPr="00781446" w:rsidRDefault="00B90936" w:rsidP="001515D5">
            <w:r w:rsidRPr="00781446">
              <w:t>14.0%</w:t>
            </w:r>
          </w:p>
        </w:tc>
      </w:tr>
    </w:tbl>
    <w:p w14:paraId="712E8784" w14:textId="77777777" w:rsidR="00B90936" w:rsidRDefault="00B90936" w:rsidP="00B90936">
      <w:r w:rsidRPr="005171E4">
        <w:lastRenderedPageBreak/>
        <w:t>Source: Source: SAMHSA, Center for Behavioral Health Statistics and Quality, National Survey on Drug Use and Health, 2004–2007 and 2016–2019.</w:t>
      </w:r>
    </w:p>
    <w:p w14:paraId="587D1E09" w14:textId="77777777" w:rsidR="00B90936" w:rsidRDefault="00B90936" w:rsidP="00B90936"/>
    <w:p w14:paraId="2111BC61" w14:textId="77777777" w:rsidR="00B90936" w:rsidRDefault="00B90936" w:rsidP="00B90936">
      <w:pPr>
        <w:pStyle w:val="Heading4"/>
      </w:pPr>
      <w:bookmarkStart w:id="589" w:name="_Toc154576458"/>
      <w:bookmarkStart w:id="590" w:name="_Toc162267393"/>
      <w:r>
        <w:t>Figure 8.23: Suicide Attempts in the Past 12 Months.</w:t>
      </w:r>
      <w:bookmarkEnd w:id="589"/>
      <w:bookmarkEnd w:id="590"/>
    </w:p>
    <w:p w14:paraId="40749E98" w14:textId="77777777" w:rsidR="00B90936" w:rsidRPr="005171E4" w:rsidRDefault="00B90936" w:rsidP="00B90936">
      <w:pPr>
        <w:pStyle w:val="Heading5"/>
      </w:pPr>
      <w:r>
        <w:t>Rate per 100 students.</w:t>
      </w:r>
    </w:p>
    <w:tbl>
      <w:tblPr>
        <w:tblStyle w:val="TableGrid"/>
        <w:tblW w:w="0" w:type="auto"/>
        <w:tblLook w:val="04A0" w:firstRow="1" w:lastRow="0" w:firstColumn="1" w:lastColumn="0" w:noHBand="0" w:noVBand="1"/>
      </w:tblPr>
      <w:tblGrid>
        <w:gridCol w:w="2337"/>
        <w:gridCol w:w="2337"/>
        <w:gridCol w:w="2338"/>
        <w:gridCol w:w="2338"/>
      </w:tblGrid>
      <w:tr w:rsidR="00B90936" w14:paraId="15AB3B1B" w14:textId="77777777" w:rsidTr="001515D5">
        <w:tc>
          <w:tcPr>
            <w:tcW w:w="2337" w:type="dxa"/>
            <w:vAlign w:val="center"/>
          </w:tcPr>
          <w:p w14:paraId="54F50063" w14:textId="77777777" w:rsidR="00B90936" w:rsidRPr="005171E4" w:rsidRDefault="00B90936" w:rsidP="001515D5">
            <w:r w:rsidRPr="005171E4">
              <w:t>Year</w:t>
            </w:r>
          </w:p>
        </w:tc>
        <w:tc>
          <w:tcPr>
            <w:tcW w:w="2337" w:type="dxa"/>
            <w:vAlign w:val="center"/>
          </w:tcPr>
          <w:p w14:paraId="561CC7A1" w14:textId="77777777" w:rsidR="00B90936" w:rsidRPr="005171E4" w:rsidRDefault="00B90936" w:rsidP="001515D5">
            <w:r w:rsidRPr="005171E4">
              <w:t>South Carolina</w:t>
            </w:r>
          </w:p>
        </w:tc>
        <w:tc>
          <w:tcPr>
            <w:tcW w:w="2338" w:type="dxa"/>
            <w:vAlign w:val="center"/>
          </w:tcPr>
          <w:p w14:paraId="29235A62" w14:textId="77777777" w:rsidR="00B90936" w:rsidRPr="005171E4" w:rsidRDefault="00B90936" w:rsidP="001515D5">
            <w:r w:rsidRPr="005171E4">
              <w:t>US</w:t>
            </w:r>
          </w:p>
        </w:tc>
        <w:tc>
          <w:tcPr>
            <w:tcW w:w="2338" w:type="dxa"/>
            <w:vAlign w:val="center"/>
          </w:tcPr>
          <w:p w14:paraId="4C4F34D9" w14:textId="77777777" w:rsidR="00B90936" w:rsidRPr="005171E4" w:rsidRDefault="00B90936" w:rsidP="001515D5">
            <w:r>
              <w:t>Healthy People 2030 Goal</w:t>
            </w:r>
          </w:p>
        </w:tc>
      </w:tr>
      <w:tr w:rsidR="00B90936" w14:paraId="1E6E98B1" w14:textId="77777777" w:rsidTr="001515D5">
        <w:tc>
          <w:tcPr>
            <w:tcW w:w="2337" w:type="dxa"/>
            <w:vAlign w:val="center"/>
          </w:tcPr>
          <w:p w14:paraId="65073F37" w14:textId="77777777" w:rsidR="00B90936" w:rsidRPr="005171E4" w:rsidRDefault="00B90936" w:rsidP="001515D5">
            <w:r w:rsidRPr="005171E4">
              <w:t>2015</w:t>
            </w:r>
          </w:p>
        </w:tc>
        <w:tc>
          <w:tcPr>
            <w:tcW w:w="2337" w:type="dxa"/>
            <w:vAlign w:val="bottom"/>
          </w:tcPr>
          <w:p w14:paraId="62111AF6" w14:textId="77777777" w:rsidR="00B90936" w:rsidRPr="005171E4" w:rsidRDefault="00B90936" w:rsidP="001515D5">
            <w:r w:rsidRPr="005171E4">
              <w:t>11.0</w:t>
            </w:r>
          </w:p>
        </w:tc>
        <w:tc>
          <w:tcPr>
            <w:tcW w:w="2338" w:type="dxa"/>
            <w:vAlign w:val="bottom"/>
          </w:tcPr>
          <w:p w14:paraId="4544447B" w14:textId="77777777" w:rsidR="00B90936" w:rsidRPr="005171E4" w:rsidRDefault="00B90936" w:rsidP="001515D5">
            <w:r w:rsidRPr="005171E4">
              <w:t>8.6</w:t>
            </w:r>
          </w:p>
        </w:tc>
        <w:tc>
          <w:tcPr>
            <w:tcW w:w="2338" w:type="dxa"/>
            <w:vAlign w:val="bottom"/>
          </w:tcPr>
          <w:p w14:paraId="6703F8D9" w14:textId="77777777" w:rsidR="00B90936" w:rsidRPr="005171E4" w:rsidRDefault="00B90936" w:rsidP="001515D5">
            <w:r w:rsidRPr="005171E4">
              <w:t>1.8</w:t>
            </w:r>
          </w:p>
        </w:tc>
      </w:tr>
      <w:tr w:rsidR="00B90936" w14:paraId="6308C9D6" w14:textId="77777777" w:rsidTr="001515D5">
        <w:tc>
          <w:tcPr>
            <w:tcW w:w="2337" w:type="dxa"/>
            <w:vAlign w:val="center"/>
          </w:tcPr>
          <w:p w14:paraId="13E47B72" w14:textId="77777777" w:rsidR="00B90936" w:rsidRPr="005171E4" w:rsidRDefault="00B90936" w:rsidP="001515D5">
            <w:r w:rsidRPr="005171E4">
              <w:t>2017</w:t>
            </w:r>
          </w:p>
        </w:tc>
        <w:tc>
          <w:tcPr>
            <w:tcW w:w="2337" w:type="dxa"/>
            <w:vAlign w:val="bottom"/>
          </w:tcPr>
          <w:p w14:paraId="3F608048" w14:textId="77777777" w:rsidR="00B90936" w:rsidRPr="005171E4" w:rsidRDefault="00B90936" w:rsidP="001515D5">
            <w:r w:rsidRPr="005171E4">
              <w:t>11.2</w:t>
            </w:r>
          </w:p>
        </w:tc>
        <w:tc>
          <w:tcPr>
            <w:tcW w:w="2338" w:type="dxa"/>
            <w:vAlign w:val="bottom"/>
          </w:tcPr>
          <w:p w14:paraId="74262903" w14:textId="77777777" w:rsidR="00B90936" w:rsidRPr="005171E4" w:rsidRDefault="00B90936" w:rsidP="001515D5">
            <w:r w:rsidRPr="005171E4">
              <w:t>7.4</w:t>
            </w:r>
          </w:p>
        </w:tc>
        <w:tc>
          <w:tcPr>
            <w:tcW w:w="2338" w:type="dxa"/>
            <w:vAlign w:val="bottom"/>
          </w:tcPr>
          <w:p w14:paraId="770056A4" w14:textId="77777777" w:rsidR="00B90936" w:rsidRPr="005171E4" w:rsidRDefault="00B90936" w:rsidP="001515D5">
            <w:r w:rsidRPr="005171E4">
              <w:t>1.8</w:t>
            </w:r>
          </w:p>
        </w:tc>
      </w:tr>
      <w:tr w:rsidR="00B90936" w14:paraId="70CE2E72" w14:textId="77777777" w:rsidTr="001515D5">
        <w:tc>
          <w:tcPr>
            <w:tcW w:w="2337" w:type="dxa"/>
            <w:vAlign w:val="center"/>
          </w:tcPr>
          <w:p w14:paraId="6334051C" w14:textId="77777777" w:rsidR="00B90936" w:rsidRPr="005171E4" w:rsidRDefault="00B90936" w:rsidP="001515D5">
            <w:r w:rsidRPr="005171E4">
              <w:t>2019</w:t>
            </w:r>
          </w:p>
        </w:tc>
        <w:tc>
          <w:tcPr>
            <w:tcW w:w="2337" w:type="dxa"/>
            <w:vAlign w:val="bottom"/>
          </w:tcPr>
          <w:p w14:paraId="5DB4F25D" w14:textId="77777777" w:rsidR="00B90936" w:rsidRPr="005171E4" w:rsidRDefault="00B90936" w:rsidP="001515D5">
            <w:r w:rsidRPr="005171E4">
              <w:t>10.3</w:t>
            </w:r>
          </w:p>
        </w:tc>
        <w:tc>
          <w:tcPr>
            <w:tcW w:w="2338" w:type="dxa"/>
            <w:vAlign w:val="bottom"/>
          </w:tcPr>
          <w:p w14:paraId="01C2C8E8" w14:textId="77777777" w:rsidR="00B90936" w:rsidRPr="005171E4" w:rsidRDefault="00B90936" w:rsidP="001515D5">
            <w:r w:rsidRPr="005171E4">
              <w:t>8.9</w:t>
            </w:r>
          </w:p>
        </w:tc>
        <w:tc>
          <w:tcPr>
            <w:tcW w:w="2338" w:type="dxa"/>
            <w:vAlign w:val="bottom"/>
          </w:tcPr>
          <w:p w14:paraId="28A22E12" w14:textId="77777777" w:rsidR="00B90936" w:rsidRPr="005171E4" w:rsidRDefault="00B90936" w:rsidP="001515D5">
            <w:r w:rsidRPr="005171E4">
              <w:t>1.8</w:t>
            </w:r>
          </w:p>
        </w:tc>
      </w:tr>
    </w:tbl>
    <w:p w14:paraId="30D8CE51" w14:textId="77777777" w:rsidR="00B90936" w:rsidRPr="005171E4" w:rsidRDefault="00B90936" w:rsidP="00B90936">
      <w:r w:rsidRPr="005171E4">
        <w:t xml:space="preserve">Source: CDC, Youth Risk Behavior Surveillance System (YRBSS). </w:t>
      </w:r>
    </w:p>
    <w:p w14:paraId="086FB97E" w14:textId="77777777" w:rsidR="00B90936" w:rsidRPr="005171E4" w:rsidRDefault="00B90936" w:rsidP="00B90936">
      <w:r w:rsidRPr="005171E4">
        <w:t>Note: Among students in grades 9 through 12</w:t>
      </w:r>
      <w:r>
        <w:t>.</w:t>
      </w:r>
    </w:p>
    <w:p w14:paraId="282FF90B" w14:textId="77777777" w:rsidR="00CF1BB1" w:rsidRDefault="00CF1BB1" w:rsidP="00CF1BB1">
      <w:pPr>
        <w:tabs>
          <w:tab w:val="left" w:pos="1507"/>
        </w:tabs>
      </w:pPr>
    </w:p>
    <w:p w14:paraId="61FBFAD0" w14:textId="77777777" w:rsidR="00CF1BB1" w:rsidRPr="00CF1BB1" w:rsidRDefault="00CF1BB1" w:rsidP="00CF1BB1">
      <w:pPr>
        <w:tabs>
          <w:tab w:val="left" w:pos="1507"/>
        </w:tabs>
      </w:pPr>
      <w:r w:rsidRPr="00CF1BB1">
        <w:rPr>
          <w:b/>
          <w:bCs/>
        </w:rPr>
        <w:t xml:space="preserve">Data Interpretations: </w:t>
      </w:r>
      <w:r w:rsidRPr="00CF1BB1">
        <w:t xml:space="preserve">In SC, </w:t>
      </w:r>
      <w:proofErr w:type="gramStart"/>
      <w:r w:rsidRPr="00CF1BB1">
        <w:t>similar to</w:t>
      </w:r>
      <w:proofErr w:type="gramEnd"/>
      <w:r w:rsidRPr="00CF1BB1">
        <w:t xml:space="preserve"> the US, the percentage of youth aged 12-17 who reported a major depressive episode in the past year increased from 8.6% between 2004-2007 to 13.2% between 2016-2019 (</w:t>
      </w:r>
      <w:r w:rsidRPr="00CF1BB1">
        <w:rPr>
          <w:b/>
          <w:bCs/>
        </w:rPr>
        <w:t>Figure 8.22</w:t>
      </w:r>
      <w:r w:rsidRPr="00CF1BB1">
        <w:t>). Additionally, although the proportion of high school students in SC who reported attempting suicide in the past 12 months slightly decreased from 11% in 2015 to 10.3% in 2019, SC rates were still higher than the US in 2019 and much higher than the Healthy People 2030 goal of 1.8% (</w:t>
      </w:r>
      <w:r w:rsidRPr="00CF1BB1">
        <w:rPr>
          <w:b/>
          <w:bCs/>
        </w:rPr>
        <w:t>Figure 8.23</w:t>
      </w:r>
      <w:r w:rsidRPr="00CF1BB1">
        <w:t xml:space="preserve">). </w:t>
      </w:r>
    </w:p>
    <w:p w14:paraId="55307C52" w14:textId="77777777" w:rsidR="00CF1BB1" w:rsidRDefault="00CF1BB1" w:rsidP="00CF1BB1">
      <w:pPr>
        <w:tabs>
          <w:tab w:val="left" w:pos="1507"/>
        </w:tabs>
      </w:pPr>
    </w:p>
    <w:p w14:paraId="03699425" w14:textId="181C707E" w:rsidR="00CF1BB1" w:rsidRDefault="00CF1BB1" w:rsidP="00CF1BB1">
      <w:pPr>
        <w:pStyle w:val="Heading5"/>
      </w:pPr>
      <w:r>
        <w:t>Key Takeaways:</w:t>
      </w:r>
    </w:p>
    <w:p w14:paraId="7C6EE630" w14:textId="77777777" w:rsidR="00CF1BB1" w:rsidRPr="00CF1BB1" w:rsidRDefault="00CF1BB1" w:rsidP="00926EB3">
      <w:pPr>
        <w:pStyle w:val="ListParagraph"/>
        <w:numPr>
          <w:ilvl w:val="0"/>
          <w:numId w:val="224"/>
        </w:numPr>
        <w:tabs>
          <w:tab w:val="left" w:pos="1507"/>
        </w:tabs>
      </w:pPr>
      <w:r w:rsidRPr="00CF1BB1">
        <w:t>Since the COVID-19 pandemic, rates of psychological distress among young people have increased.</w:t>
      </w:r>
    </w:p>
    <w:p w14:paraId="245DC6A8" w14:textId="77777777" w:rsidR="00CF1BB1" w:rsidRPr="00CF1BB1" w:rsidRDefault="00CF1BB1" w:rsidP="00CF1BB1">
      <w:pPr>
        <w:tabs>
          <w:tab w:val="left" w:pos="1507"/>
        </w:tabs>
      </w:pPr>
    </w:p>
    <w:p w14:paraId="05CD675D" w14:textId="23865954" w:rsidR="00CF1BB1" w:rsidRDefault="00506CC7" w:rsidP="00CF1BB1">
      <w:pPr>
        <w:pStyle w:val="Heading4"/>
        <w:rPr>
          <w:rFonts w:asciiTheme="minorHAnsi" w:hAnsiTheme="minorHAnsi" w:cstheme="minorHAnsi"/>
          <w:color w:val="000000" w:themeColor="text1"/>
        </w:rPr>
      </w:pPr>
      <w:bookmarkStart w:id="591" w:name="_Toc162267394"/>
      <w:r w:rsidRPr="00506CC7">
        <w:rPr>
          <w:rFonts w:asciiTheme="minorHAnsi" w:hAnsiTheme="minorHAnsi" w:cstheme="minorHAnsi"/>
          <w:color w:val="000000" w:themeColor="text1"/>
        </w:rPr>
        <w:t xml:space="preserve">References </w:t>
      </w:r>
      <w:r w:rsidR="00CF1BB1">
        <w:rPr>
          <w:rFonts w:asciiTheme="minorHAnsi" w:hAnsiTheme="minorHAnsi" w:cstheme="minorHAnsi"/>
          <w:color w:val="000000" w:themeColor="text1"/>
        </w:rPr>
        <w:t>8.11</w:t>
      </w:r>
      <w:bookmarkEnd w:id="591"/>
    </w:p>
    <w:p w14:paraId="3402FFE0" w14:textId="77777777" w:rsidR="00CF1BB1" w:rsidRPr="00506CC7" w:rsidRDefault="00CF1BB1" w:rsidP="00CF1BB1">
      <w:pPr>
        <w:rPr>
          <w:i/>
          <w:iCs/>
        </w:rPr>
      </w:pPr>
      <w:r w:rsidRPr="00506CC7">
        <w:t>Statistics in the preceding section were referenced from the following reports:</w:t>
      </w:r>
    </w:p>
    <w:p w14:paraId="7FC1BC4C" w14:textId="4EA5D81D" w:rsidR="00C2531F" w:rsidRPr="00C2531F" w:rsidRDefault="00000000" w:rsidP="00926EB3">
      <w:pPr>
        <w:pStyle w:val="ListParagraph"/>
        <w:numPr>
          <w:ilvl w:val="0"/>
          <w:numId w:val="35"/>
        </w:numPr>
      </w:pPr>
      <w:hyperlink r:id="rId261" w:anchor="_ftn" w:history="1">
        <w:r w:rsidR="00C2531F" w:rsidRPr="00C2531F">
          <w:rPr>
            <w:rStyle w:val="Hyperlink"/>
          </w:rPr>
          <w:t>“Suicide Prevention” via youth.gov. Accessed June 22, 2023.</w:t>
        </w:r>
      </w:hyperlink>
      <w:r w:rsidR="00C2531F" w:rsidRPr="00C2531F">
        <w:t xml:space="preserve"> </w:t>
      </w:r>
    </w:p>
    <w:p w14:paraId="46619C8E" w14:textId="77C48ED3" w:rsidR="00C2531F" w:rsidRPr="00C2531F" w:rsidRDefault="00000000" w:rsidP="00926EB3">
      <w:pPr>
        <w:pStyle w:val="ListParagraph"/>
        <w:numPr>
          <w:ilvl w:val="0"/>
          <w:numId w:val="35"/>
        </w:numPr>
      </w:pPr>
      <w:hyperlink r:id="rId262" w:history="1">
        <w:r w:rsidR="00C2531F" w:rsidRPr="00C2531F">
          <w:rPr>
            <w:rStyle w:val="Hyperlink"/>
          </w:rPr>
          <w:t>“The State of Mental Health in America” by Mental Health America via mhanational.org. Accessed June 22, 2023.</w:t>
        </w:r>
      </w:hyperlink>
      <w:r w:rsidR="00C2531F" w:rsidRPr="00C2531F">
        <w:t xml:space="preserve"> </w:t>
      </w:r>
    </w:p>
    <w:p w14:paraId="29BFDF1C" w14:textId="280B849D" w:rsidR="00C2531F" w:rsidRPr="00C2531F" w:rsidRDefault="00000000" w:rsidP="00926EB3">
      <w:pPr>
        <w:pStyle w:val="ListParagraph"/>
        <w:numPr>
          <w:ilvl w:val="0"/>
          <w:numId w:val="35"/>
        </w:numPr>
      </w:pPr>
      <w:hyperlink r:id="rId263" w:history="1">
        <w:r w:rsidR="00C2531F" w:rsidRPr="005A5FEB">
          <w:rPr>
            <w:rStyle w:val="Hyperlink"/>
          </w:rPr>
          <w:t xml:space="preserve">“Youth Mental Health — Current Priorities of the U.S. Surgeon General” by the </w:t>
        </w:r>
        <w:r w:rsidR="005A5FEB" w:rsidRPr="005A5FEB">
          <w:rPr>
            <w:rStyle w:val="Hyperlink"/>
          </w:rPr>
          <w:t>Department of Health &amp; Human Services via hhs.gov</w:t>
        </w:r>
        <w:r w:rsidR="00C2531F" w:rsidRPr="005A5FEB">
          <w:rPr>
            <w:rStyle w:val="Hyperlink"/>
          </w:rPr>
          <w:t>. Accessed June 22, 2023.</w:t>
        </w:r>
      </w:hyperlink>
    </w:p>
    <w:p w14:paraId="40DF01C0" w14:textId="0BC05A92" w:rsidR="00C2531F" w:rsidRPr="00C2531F" w:rsidRDefault="00000000" w:rsidP="00926EB3">
      <w:pPr>
        <w:pStyle w:val="ListParagraph"/>
        <w:numPr>
          <w:ilvl w:val="0"/>
          <w:numId w:val="35"/>
        </w:numPr>
      </w:pPr>
      <w:hyperlink r:id="rId264" w:history="1">
        <w:r w:rsidR="005A5FEB" w:rsidRPr="005A5FEB">
          <w:rPr>
            <w:rStyle w:val="Hyperlink"/>
          </w:rPr>
          <w:t>“</w:t>
        </w:r>
        <w:r w:rsidR="00C2531F" w:rsidRPr="005A5FEB">
          <w:rPr>
            <w:rStyle w:val="Hyperlink"/>
          </w:rPr>
          <w:t>Teen Suicide</w:t>
        </w:r>
        <w:r w:rsidR="005A5FEB" w:rsidRPr="005A5FEB">
          <w:rPr>
            <w:rStyle w:val="Hyperlink"/>
          </w:rPr>
          <w:t xml:space="preserve">” by John </w:t>
        </w:r>
        <w:r w:rsidR="00C2531F" w:rsidRPr="005A5FEB">
          <w:rPr>
            <w:rStyle w:val="Hyperlink"/>
          </w:rPr>
          <w:t>Hopkins Medicine. Accessed June 22, 2023.</w:t>
        </w:r>
      </w:hyperlink>
      <w:r w:rsidR="00C2531F" w:rsidRPr="00C2531F">
        <w:t xml:space="preserve"> </w:t>
      </w:r>
    </w:p>
    <w:p w14:paraId="71B78C8C" w14:textId="77777777" w:rsidR="00CF1BB1" w:rsidRDefault="00CF1BB1" w:rsidP="00CF1BB1"/>
    <w:p w14:paraId="4FE8388D" w14:textId="20EA3D44" w:rsidR="00CF1BB1" w:rsidRPr="00CF1BB1" w:rsidRDefault="00CF1BB1" w:rsidP="00CF1BB1">
      <w:pPr>
        <w:pStyle w:val="Heading3"/>
      </w:pPr>
      <w:bookmarkStart w:id="592" w:name="_Toc162267395"/>
      <w:r w:rsidRPr="00CF1BB1">
        <w:lastRenderedPageBreak/>
        <w:t>Adolescent Substance Use</w:t>
      </w:r>
      <w:r>
        <w:t>: Alcohol</w:t>
      </w:r>
      <w:bookmarkEnd w:id="592"/>
    </w:p>
    <w:p w14:paraId="6697B2DA" w14:textId="43B82CCC" w:rsidR="00CF1BB1" w:rsidRPr="00CF1BB1" w:rsidRDefault="00CF1BB1" w:rsidP="00CF1BB1">
      <w:r w:rsidRPr="00CF1BB1">
        <w:t xml:space="preserve">As the </w:t>
      </w:r>
      <w:proofErr w:type="gramStart"/>
      <w:r w:rsidRPr="00CF1BB1">
        <w:t>most commonly used</w:t>
      </w:r>
      <w:proofErr w:type="gramEnd"/>
      <w:r w:rsidRPr="00CF1BB1">
        <w:t xml:space="preserve"> substance among youth in the US, addressing adolescent alcohol use is a major public health concern. With its usage, adolescents are at risk of affecting growth and brain development, to include lifelong effects such as memory problems and alcohol use disorder. Additionally, use of alcohol has a relationship with increased problems at school, social problems such as violence, and poor participation in youth-specific activities. Risks for adolescent drinking include genetics, increased access, poor enforcement of identification purchasing requirements, family attitudes and history of alcohol use, and peer perception of alcohol; peer behavior is considered one of the most reliable predictors of youth drinking. Further, data from the national Youth Risk Behavior Survey (YRBS) in 2019 showed rates of underage alcohol use among women have surpassed those of men, indicating a gender disparity. As such, prevention strategies often center around education and increased community-based interventions. Targeting youth knowledge and beliefs regarding risks associated with alcohol use and social norms around drinking are education-based public health interventions. Additionally, youth involvement with strong social networks and high participation in school and extracurricular activities are all protective factors against underage drinking. Such prevention strategies should be tailored to the populations at highest risk. </w:t>
      </w:r>
    </w:p>
    <w:p w14:paraId="0252F4D7" w14:textId="77777777" w:rsidR="00CF1BB1" w:rsidRDefault="00CF1BB1" w:rsidP="00CF1BB1">
      <w:pPr>
        <w:pStyle w:val="Heading4"/>
        <w:rPr>
          <w:color w:val="FF0000"/>
        </w:rPr>
      </w:pPr>
    </w:p>
    <w:p w14:paraId="26DC2CA4" w14:textId="77777777" w:rsidR="00B90936" w:rsidRDefault="00B90936" w:rsidP="00B90936">
      <w:pPr>
        <w:pStyle w:val="Heading4"/>
      </w:pPr>
      <w:bookmarkStart w:id="593" w:name="_Toc154576459"/>
      <w:bookmarkStart w:id="594" w:name="_Toc162267396"/>
      <w:r>
        <w:t>Figure 8.24: Adolescent Alcohol Use Past Month.</w:t>
      </w:r>
      <w:bookmarkEnd w:id="593"/>
      <w:bookmarkEnd w:id="594"/>
    </w:p>
    <w:tbl>
      <w:tblPr>
        <w:tblStyle w:val="TableGrid"/>
        <w:tblW w:w="0" w:type="auto"/>
        <w:tblLook w:val="04A0" w:firstRow="1" w:lastRow="0" w:firstColumn="1" w:lastColumn="0" w:noHBand="0" w:noVBand="1"/>
      </w:tblPr>
      <w:tblGrid>
        <w:gridCol w:w="3116"/>
        <w:gridCol w:w="3117"/>
        <w:gridCol w:w="3117"/>
      </w:tblGrid>
      <w:tr w:rsidR="00B90936" w14:paraId="7F70125F" w14:textId="77777777" w:rsidTr="001515D5">
        <w:tc>
          <w:tcPr>
            <w:tcW w:w="3116" w:type="dxa"/>
            <w:vAlign w:val="bottom"/>
          </w:tcPr>
          <w:p w14:paraId="67A945D3" w14:textId="77777777" w:rsidR="00B90936" w:rsidRDefault="00B90936" w:rsidP="001515D5">
            <w:r>
              <w:t>Year</w:t>
            </w:r>
          </w:p>
        </w:tc>
        <w:tc>
          <w:tcPr>
            <w:tcW w:w="3117" w:type="dxa"/>
            <w:vAlign w:val="bottom"/>
          </w:tcPr>
          <w:p w14:paraId="63E89CF9" w14:textId="2621FD4C" w:rsidR="00B90936" w:rsidRDefault="00B90936" w:rsidP="001515D5">
            <w:r>
              <w:t>S</w:t>
            </w:r>
            <w:r w:rsidR="00195CD4">
              <w:t>outh Carolina</w:t>
            </w:r>
          </w:p>
        </w:tc>
        <w:tc>
          <w:tcPr>
            <w:tcW w:w="3117" w:type="dxa"/>
            <w:vAlign w:val="bottom"/>
          </w:tcPr>
          <w:p w14:paraId="6DDAD6D1" w14:textId="3C2A4D11" w:rsidR="00B90936" w:rsidRDefault="00B90936" w:rsidP="001515D5">
            <w:r>
              <w:t>U</w:t>
            </w:r>
            <w:r w:rsidR="00195CD4">
              <w:t>nited States</w:t>
            </w:r>
          </w:p>
        </w:tc>
      </w:tr>
      <w:tr w:rsidR="00B90936" w14:paraId="265AB7CE" w14:textId="77777777" w:rsidTr="001515D5">
        <w:tc>
          <w:tcPr>
            <w:tcW w:w="3116" w:type="dxa"/>
            <w:vAlign w:val="bottom"/>
          </w:tcPr>
          <w:p w14:paraId="097DCFDC" w14:textId="77777777" w:rsidR="00B90936" w:rsidRDefault="00B90936" w:rsidP="001515D5">
            <w:r>
              <w:t>2015</w:t>
            </w:r>
          </w:p>
        </w:tc>
        <w:tc>
          <w:tcPr>
            <w:tcW w:w="3117" w:type="dxa"/>
            <w:vAlign w:val="bottom"/>
          </w:tcPr>
          <w:p w14:paraId="3A9BDC73" w14:textId="77777777" w:rsidR="00B90936" w:rsidRDefault="00B90936" w:rsidP="001515D5">
            <w:r>
              <w:t>24.6%</w:t>
            </w:r>
          </w:p>
        </w:tc>
        <w:tc>
          <w:tcPr>
            <w:tcW w:w="3117" w:type="dxa"/>
            <w:vAlign w:val="bottom"/>
          </w:tcPr>
          <w:p w14:paraId="08650418" w14:textId="77777777" w:rsidR="00B90936" w:rsidRDefault="00B90936" w:rsidP="001515D5">
            <w:r>
              <w:t>32.8%</w:t>
            </w:r>
          </w:p>
        </w:tc>
      </w:tr>
      <w:tr w:rsidR="00B90936" w14:paraId="5CA127B1" w14:textId="77777777" w:rsidTr="001515D5">
        <w:tc>
          <w:tcPr>
            <w:tcW w:w="3116" w:type="dxa"/>
            <w:vAlign w:val="bottom"/>
          </w:tcPr>
          <w:p w14:paraId="014A1E53" w14:textId="77777777" w:rsidR="00B90936" w:rsidRDefault="00B90936" w:rsidP="001515D5">
            <w:r>
              <w:t>2017</w:t>
            </w:r>
          </w:p>
        </w:tc>
        <w:tc>
          <w:tcPr>
            <w:tcW w:w="3117" w:type="dxa"/>
            <w:vAlign w:val="bottom"/>
          </w:tcPr>
          <w:p w14:paraId="137A0A61" w14:textId="77777777" w:rsidR="00B90936" w:rsidRDefault="00B90936" w:rsidP="001515D5">
            <w:r>
              <w:t>25.4%</w:t>
            </w:r>
          </w:p>
        </w:tc>
        <w:tc>
          <w:tcPr>
            <w:tcW w:w="3117" w:type="dxa"/>
            <w:vAlign w:val="bottom"/>
          </w:tcPr>
          <w:p w14:paraId="4BECF5DE" w14:textId="77777777" w:rsidR="00B90936" w:rsidRDefault="00B90936" w:rsidP="001515D5">
            <w:r>
              <w:t>29.8%</w:t>
            </w:r>
          </w:p>
        </w:tc>
      </w:tr>
      <w:tr w:rsidR="00B90936" w14:paraId="111C95C2" w14:textId="77777777" w:rsidTr="001515D5">
        <w:tc>
          <w:tcPr>
            <w:tcW w:w="3116" w:type="dxa"/>
            <w:vAlign w:val="bottom"/>
          </w:tcPr>
          <w:p w14:paraId="2D7C91F6" w14:textId="77777777" w:rsidR="00B90936" w:rsidRDefault="00B90936" w:rsidP="001515D5">
            <w:r>
              <w:t>2019</w:t>
            </w:r>
          </w:p>
        </w:tc>
        <w:tc>
          <w:tcPr>
            <w:tcW w:w="3117" w:type="dxa"/>
            <w:vAlign w:val="bottom"/>
          </w:tcPr>
          <w:p w14:paraId="1EF849FC" w14:textId="77777777" w:rsidR="00B90936" w:rsidRDefault="00B90936" w:rsidP="001515D5">
            <w:r>
              <w:t>23.1%</w:t>
            </w:r>
          </w:p>
        </w:tc>
        <w:tc>
          <w:tcPr>
            <w:tcW w:w="3117" w:type="dxa"/>
            <w:vAlign w:val="bottom"/>
          </w:tcPr>
          <w:p w14:paraId="363B0431" w14:textId="77777777" w:rsidR="00B90936" w:rsidRDefault="00B90936" w:rsidP="001515D5">
            <w:r>
              <w:t>29.2%</w:t>
            </w:r>
          </w:p>
        </w:tc>
      </w:tr>
    </w:tbl>
    <w:p w14:paraId="10A9F1AC" w14:textId="77777777" w:rsidR="00B90936" w:rsidRPr="005171E4" w:rsidRDefault="00B90936" w:rsidP="00B90936">
      <w:r w:rsidRPr="005171E4">
        <w:t xml:space="preserve">Source: CDC, Youth Risk Behavior Survey (YRBS). </w:t>
      </w:r>
    </w:p>
    <w:p w14:paraId="62A8FDD1" w14:textId="77777777" w:rsidR="00B90936" w:rsidRDefault="00B90936" w:rsidP="00B90936">
      <w:r w:rsidRPr="005171E4">
        <w:t>Note: Among students in grades 9 through 12.</w:t>
      </w:r>
    </w:p>
    <w:p w14:paraId="3D3CDF5C" w14:textId="77777777" w:rsidR="00CF1BB1" w:rsidRDefault="00CF1BB1" w:rsidP="00CF1BB1"/>
    <w:p w14:paraId="727262DC" w14:textId="77777777" w:rsidR="00CF1BB1" w:rsidRDefault="00CF1BB1" w:rsidP="00CF1BB1">
      <w:pPr>
        <w:rPr>
          <w:b/>
          <w:bCs/>
        </w:rPr>
      </w:pPr>
      <w:bookmarkStart w:id="595" w:name="_Toc162267397"/>
      <w:r w:rsidRPr="00CF1BB1">
        <w:rPr>
          <w:rStyle w:val="Heading4Char"/>
        </w:rPr>
        <w:t>Data Interpretations:</w:t>
      </w:r>
      <w:bookmarkEnd w:id="595"/>
      <w:r w:rsidRPr="00CF1BB1">
        <w:rPr>
          <w:b/>
          <w:bCs/>
        </w:rPr>
        <w:t xml:space="preserve"> </w:t>
      </w:r>
    </w:p>
    <w:p w14:paraId="72B683CB" w14:textId="4BEA314E" w:rsidR="00CF1BB1" w:rsidRPr="00CF1BB1" w:rsidRDefault="00CF1BB1" w:rsidP="00CF1BB1">
      <w:r w:rsidRPr="00CF1BB1">
        <w:t>In SC, 23.1% of students grades 9 through 12 reported alcohol use in the last month in 2019, lower than the national prevalence of 29.2% (</w:t>
      </w:r>
      <w:r w:rsidRPr="00CF1BB1">
        <w:rPr>
          <w:b/>
          <w:bCs/>
        </w:rPr>
        <w:t>Figure 8.24</w:t>
      </w:r>
      <w:r w:rsidRPr="00CF1BB1">
        <w:t xml:space="preserve">). Additionally, according to the 2019 SC YRBS, alcohol use in the last month was higher among male high school students (25.5%) compared to female high school students (20.5%) and highest among non-Hispanic White students (27.1%). </w:t>
      </w:r>
    </w:p>
    <w:p w14:paraId="583D33B6" w14:textId="77777777" w:rsidR="00CF1BB1" w:rsidRDefault="00CF1BB1" w:rsidP="00CF1BB1"/>
    <w:p w14:paraId="4FB05086" w14:textId="77777777" w:rsidR="00CF1BB1" w:rsidRDefault="00CF1BB1" w:rsidP="00CF1BB1">
      <w:pPr>
        <w:pStyle w:val="Heading5"/>
      </w:pPr>
      <w:r>
        <w:lastRenderedPageBreak/>
        <w:t xml:space="preserve">Key Takeaways: </w:t>
      </w:r>
    </w:p>
    <w:p w14:paraId="1E8C5A89" w14:textId="7F21D333" w:rsidR="00CF1BB1" w:rsidRPr="00CF1BB1" w:rsidRDefault="00CF1BB1" w:rsidP="00926EB3">
      <w:pPr>
        <w:pStyle w:val="ListParagraph"/>
        <w:numPr>
          <w:ilvl w:val="0"/>
          <w:numId w:val="224"/>
        </w:numPr>
      </w:pPr>
      <w:r w:rsidRPr="00CF1BB1">
        <w:t>Early initiation of alcohol use is associated with the development of alcohol use disorder later in life.</w:t>
      </w:r>
    </w:p>
    <w:p w14:paraId="254C870D" w14:textId="77777777" w:rsidR="00CF1BB1" w:rsidRDefault="00CF1BB1" w:rsidP="00CF1BB1"/>
    <w:p w14:paraId="025D59A1" w14:textId="2F6DBAC1" w:rsidR="00CF1BB1" w:rsidRDefault="00506CC7" w:rsidP="00CF1BB1">
      <w:pPr>
        <w:pStyle w:val="Heading4"/>
        <w:rPr>
          <w:rFonts w:asciiTheme="minorHAnsi" w:hAnsiTheme="minorHAnsi" w:cstheme="minorHAnsi"/>
          <w:color w:val="000000" w:themeColor="text1"/>
        </w:rPr>
      </w:pPr>
      <w:bookmarkStart w:id="596" w:name="_Toc162267398"/>
      <w:r w:rsidRPr="00506CC7">
        <w:rPr>
          <w:rFonts w:asciiTheme="minorHAnsi" w:hAnsiTheme="minorHAnsi" w:cstheme="minorHAnsi"/>
          <w:color w:val="000000" w:themeColor="text1"/>
        </w:rPr>
        <w:t xml:space="preserve">References </w:t>
      </w:r>
      <w:r w:rsidR="00CF1BB1">
        <w:rPr>
          <w:rFonts w:asciiTheme="minorHAnsi" w:hAnsiTheme="minorHAnsi" w:cstheme="minorHAnsi"/>
          <w:color w:val="000000" w:themeColor="text1"/>
        </w:rPr>
        <w:t>8.12</w:t>
      </w:r>
      <w:bookmarkEnd w:id="596"/>
    </w:p>
    <w:p w14:paraId="524439BF" w14:textId="77777777" w:rsidR="00CF1BB1" w:rsidRPr="00506CC7" w:rsidRDefault="00CF1BB1" w:rsidP="00CF1BB1">
      <w:pPr>
        <w:rPr>
          <w:i/>
          <w:iCs/>
        </w:rPr>
      </w:pPr>
      <w:r w:rsidRPr="00506CC7">
        <w:t>Statistics in the preceding section were referenced from the following reports:</w:t>
      </w:r>
    </w:p>
    <w:p w14:paraId="47E6E115" w14:textId="55BE1721" w:rsidR="005A5FEB" w:rsidRPr="005A5FEB" w:rsidRDefault="00000000" w:rsidP="00926EB3">
      <w:pPr>
        <w:pStyle w:val="ListParagraph"/>
        <w:numPr>
          <w:ilvl w:val="0"/>
          <w:numId w:val="35"/>
        </w:numPr>
      </w:pPr>
      <w:hyperlink r:id="rId265" w:history="1">
        <w:r w:rsidR="005A5FEB" w:rsidRPr="005A5FEB">
          <w:rPr>
            <w:rStyle w:val="Hyperlink"/>
          </w:rPr>
          <w:t>“Youth Risk Behavior Surveillance System (YRBSS)” by CDC via cdc.gov. Accessed June 22, 2023.</w:t>
        </w:r>
      </w:hyperlink>
      <w:r w:rsidR="005A5FEB" w:rsidRPr="005A5FEB">
        <w:t xml:space="preserve"> </w:t>
      </w:r>
    </w:p>
    <w:p w14:paraId="7F55C6E1" w14:textId="001A9901" w:rsidR="005A5FEB" w:rsidRPr="005A5FEB" w:rsidRDefault="00000000" w:rsidP="00926EB3">
      <w:pPr>
        <w:pStyle w:val="ListParagraph"/>
        <w:numPr>
          <w:ilvl w:val="0"/>
          <w:numId w:val="35"/>
        </w:numPr>
      </w:pPr>
      <w:hyperlink r:id="rId266" w:history="1">
        <w:r w:rsidR="005A5FEB" w:rsidRPr="005A5FEB">
          <w:rPr>
            <w:rStyle w:val="Hyperlink"/>
          </w:rPr>
          <w:t>“Underage Drinking” by CDC via cdc.gov. Accessed June 22, 2023.</w:t>
        </w:r>
      </w:hyperlink>
      <w:r w:rsidR="005A5FEB" w:rsidRPr="005A5FEB">
        <w:t xml:space="preserve"> </w:t>
      </w:r>
    </w:p>
    <w:p w14:paraId="18BBA74B" w14:textId="6F3CA34C" w:rsidR="005A5FEB" w:rsidRPr="005A5FEB" w:rsidRDefault="005A5FEB" w:rsidP="00926EB3">
      <w:pPr>
        <w:pStyle w:val="ListParagraph"/>
        <w:numPr>
          <w:ilvl w:val="0"/>
          <w:numId w:val="35"/>
        </w:numPr>
      </w:pPr>
      <w:r>
        <w:t>“</w:t>
      </w:r>
      <w:r w:rsidRPr="005A5FEB">
        <w:t>Genetic and environmental influences on stages of alcohol use across adolescence and into young adulthood</w:t>
      </w:r>
      <w:r>
        <w:t>” by</w:t>
      </w:r>
      <w:r w:rsidRPr="005A5FEB">
        <w:t xml:space="preserve"> Pagan JL, Rose RJ, </w:t>
      </w:r>
      <w:proofErr w:type="spellStart"/>
      <w:r w:rsidRPr="005A5FEB">
        <w:t>Viken</w:t>
      </w:r>
      <w:proofErr w:type="spellEnd"/>
      <w:r w:rsidRPr="005A5FEB">
        <w:t xml:space="preserve"> RJ, </w:t>
      </w:r>
      <w:proofErr w:type="spellStart"/>
      <w:r w:rsidRPr="005A5FEB">
        <w:t>Pulkkinen</w:t>
      </w:r>
      <w:proofErr w:type="spellEnd"/>
      <w:r w:rsidRPr="005A5FEB">
        <w:t xml:space="preserve"> L, </w:t>
      </w:r>
      <w:proofErr w:type="spellStart"/>
      <w:r w:rsidRPr="005A5FEB">
        <w:t>Kaprio</w:t>
      </w:r>
      <w:proofErr w:type="spellEnd"/>
      <w:r w:rsidRPr="005A5FEB">
        <w:t xml:space="preserve"> J, Dick DM.</w:t>
      </w:r>
      <w:r>
        <w:t xml:space="preserve"> Published in</w:t>
      </w:r>
      <w:r w:rsidRPr="005A5FEB">
        <w:t xml:space="preserve"> </w:t>
      </w:r>
      <w:proofErr w:type="spellStart"/>
      <w:r w:rsidRPr="005A5FEB">
        <w:t>Behav</w:t>
      </w:r>
      <w:proofErr w:type="spellEnd"/>
      <w:r w:rsidRPr="005A5FEB">
        <w:t xml:space="preserve"> Genet</w:t>
      </w:r>
      <w:r>
        <w:t>,</w:t>
      </w:r>
      <w:r w:rsidRPr="005A5FEB">
        <w:t xml:space="preserve"> 2006</w:t>
      </w:r>
      <w:r>
        <w:t>.</w:t>
      </w:r>
      <w:r w:rsidRPr="005A5FEB">
        <w:t xml:space="preserve"> </w:t>
      </w:r>
      <w:r>
        <w:t>No hyperlink.</w:t>
      </w:r>
    </w:p>
    <w:p w14:paraId="720D9DF8" w14:textId="422792E7" w:rsidR="005A5FEB" w:rsidRPr="005A5FEB" w:rsidRDefault="005A5FEB" w:rsidP="00926EB3">
      <w:pPr>
        <w:pStyle w:val="ListParagraph"/>
        <w:numPr>
          <w:ilvl w:val="0"/>
          <w:numId w:val="35"/>
        </w:numPr>
      </w:pPr>
      <w:r>
        <w:t>“</w:t>
      </w:r>
      <w:r w:rsidRPr="005A5FEB">
        <w:t>Patterns of alcohol and drug use in adolescents can be predicted by parental substance use disorders</w:t>
      </w:r>
      <w:r>
        <w:t>” by</w:t>
      </w:r>
      <w:r w:rsidRPr="005A5FEB">
        <w:t xml:space="preserve"> Biederman J, </w:t>
      </w:r>
      <w:proofErr w:type="spellStart"/>
      <w:r w:rsidRPr="005A5FEB">
        <w:t>Faraone</w:t>
      </w:r>
      <w:proofErr w:type="spellEnd"/>
      <w:r w:rsidRPr="005A5FEB">
        <w:t xml:space="preserve"> S V., </w:t>
      </w:r>
      <w:proofErr w:type="spellStart"/>
      <w:r w:rsidRPr="005A5FEB">
        <w:t>Monuteaux</w:t>
      </w:r>
      <w:proofErr w:type="spellEnd"/>
      <w:r w:rsidRPr="005A5FEB">
        <w:t xml:space="preserve"> MC, </w:t>
      </w:r>
      <w:proofErr w:type="spellStart"/>
      <w:r w:rsidRPr="005A5FEB">
        <w:t>Feighner</w:t>
      </w:r>
      <w:proofErr w:type="spellEnd"/>
      <w:r w:rsidRPr="005A5FEB">
        <w:t xml:space="preserve"> JA. </w:t>
      </w:r>
      <w:r>
        <w:t xml:space="preserve">Published in </w:t>
      </w:r>
      <w:r w:rsidRPr="005A5FEB">
        <w:t>Pediatrics</w:t>
      </w:r>
      <w:r>
        <w:t>,</w:t>
      </w:r>
      <w:r w:rsidRPr="005A5FEB">
        <w:t xml:space="preserve"> 2000</w:t>
      </w:r>
      <w:r>
        <w:t>. No hyperlink.</w:t>
      </w:r>
    </w:p>
    <w:p w14:paraId="0F721601" w14:textId="64E0122E" w:rsidR="005A5FEB" w:rsidRPr="005A5FEB" w:rsidRDefault="005A5FEB" w:rsidP="00926EB3">
      <w:pPr>
        <w:pStyle w:val="ListParagraph"/>
        <w:numPr>
          <w:ilvl w:val="0"/>
          <w:numId w:val="35"/>
        </w:numPr>
      </w:pPr>
      <w:r>
        <w:t>“</w:t>
      </w:r>
      <w:r w:rsidRPr="005A5FEB">
        <w:t>Adults’ approval and adolescents’ alcohol use</w:t>
      </w:r>
      <w:r>
        <w:t>” by</w:t>
      </w:r>
      <w:r w:rsidRPr="005A5FEB">
        <w:t xml:space="preserve"> Foley KL, Altman D, Durant RH, Wolfson M.</w:t>
      </w:r>
      <w:r>
        <w:t xml:space="preserve"> Published in the</w:t>
      </w:r>
      <w:r w:rsidRPr="005A5FEB">
        <w:t xml:space="preserve"> Journal of Adolescent Health</w:t>
      </w:r>
      <w:r>
        <w:t xml:space="preserve">, </w:t>
      </w:r>
      <w:r w:rsidRPr="005A5FEB">
        <w:t>200</w:t>
      </w:r>
      <w:r>
        <w:t>4. No hyperlink.</w:t>
      </w:r>
    </w:p>
    <w:p w14:paraId="26C2CED9" w14:textId="3F25917B" w:rsidR="005A5FEB" w:rsidRPr="005A5FEB" w:rsidRDefault="005A5FEB" w:rsidP="00926EB3">
      <w:pPr>
        <w:pStyle w:val="ListParagraph"/>
        <w:numPr>
          <w:ilvl w:val="0"/>
          <w:numId w:val="35"/>
        </w:numPr>
      </w:pPr>
      <w:r>
        <w:t>“</w:t>
      </w:r>
      <w:r w:rsidRPr="005A5FEB">
        <w:t>Peer network drinking predicts increased alcohol use from adolescence to early adulthood after controlling for genetic and shared environmental selection</w:t>
      </w:r>
      <w:r>
        <w:t xml:space="preserve">” by </w:t>
      </w:r>
      <w:r w:rsidRPr="005A5FEB">
        <w:t xml:space="preserve">Cruz JE, Emery RE, </w:t>
      </w:r>
      <w:proofErr w:type="spellStart"/>
      <w:r w:rsidRPr="005A5FEB">
        <w:t>Turkheimer</w:t>
      </w:r>
      <w:proofErr w:type="spellEnd"/>
      <w:r w:rsidRPr="005A5FEB">
        <w:t xml:space="preserve"> E.</w:t>
      </w:r>
      <w:r>
        <w:t xml:space="preserve"> Published in</w:t>
      </w:r>
      <w:r w:rsidRPr="005A5FEB">
        <w:t xml:space="preserve"> Dev Psychol</w:t>
      </w:r>
      <w:r>
        <w:t xml:space="preserve">, </w:t>
      </w:r>
      <w:r w:rsidRPr="005A5FEB">
        <w:t>2012</w:t>
      </w:r>
      <w:r>
        <w:t>.</w:t>
      </w:r>
      <w:r w:rsidRPr="005A5FEB">
        <w:t xml:space="preserve"> </w:t>
      </w:r>
      <w:r>
        <w:t>No hyperlink.</w:t>
      </w:r>
    </w:p>
    <w:p w14:paraId="1A86344D" w14:textId="1BCDAF6E" w:rsidR="005A5FEB" w:rsidRPr="005A5FEB" w:rsidRDefault="005A5FEB" w:rsidP="00926EB3">
      <w:pPr>
        <w:pStyle w:val="ListParagraph"/>
        <w:numPr>
          <w:ilvl w:val="0"/>
          <w:numId w:val="35"/>
        </w:numPr>
      </w:pPr>
      <w:r>
        <w:t>“</w:t>
      </w:r>
      <w:r w:rsidRPr="005A5FEB">
        <w:t>Universal family-based prevention programs for alcohol misuse in young people</w:t>
      </w:r>
      <w:r>
        <w:t>” by</w:t>
      </w:r>
      <w:r w:rsidRPr="005A5FEB">
        <w:t xml:space="preserve"> Foxcroft DR, </w:t>
      </w:r>
      <w:proofErr w:type="spellStart"/>
      <w:r w:rsidRPr="005A5FEB">
        <w:t>Tsertsvadze</w:t>
      </w:r>
      <w:proofErr w:type="spellEnd"/>
      <w:r w:rsidRPr="005A5FEB">
        <w:t xml:space="preserve"> A. </w:t>
      </w:r>
      <w:r>
        <w:t xml:space="preserve">Published in </w:t>
      </w:r>
      <w:r w:rsidRPr="005A5FEB">
        <w:t>Cochrane Database Syst Rev</w:t>
      </w:r>
      <w:r>
        <w:t xml:space="preserve">, </w:t>
      </w:r>
      <w:r w:rsidRPr="005A5FEB">
        <w:t>2011</w:t>
      </w:r>
      <w:r>
        <w:t>.</w:t>
      </w:r>
      <w:r w:rsidRPr="005A5FEB">
        <w:t xml:space="preserve"> </w:t>
      </w:r>
      <w:r>
        <w:t>No hyperlink.</w:t>
      </w:r>
    </w:p>
    <w:p w14:paraId="29911CCE" w14:textId="434E7BD4" w:rsidR="005A5FEB" w:rsidRPr="005A5FEB" w:rsidRDefault="005A5FEB" w:rsidP="00926EB3">
      <w:pPr>
        <w:pStyle w:val="ListParagraph"/>
        <w:numPr>
          <w:ilvl w:val="0"/>
          <w:numId w:val="35"/>
        </w:numPr>
      </w:pPr>
      <w:r>
        <w:t>“</w:t>
      </w:r>
      <w:r w:rsidRPr="005A5FEB">
        <w:t>Mentoring adolescents to prevent drug and alcohol use</w:t>
      </w:r>
      <w:r>
        <w:t xml:space="preserve">” by </w:t>
      </w:r>
      <w:r w:rsidRPr="005A5FEB">
        <w:t xml:space="preserve">Thomas RE, Lorenzetti D, </w:t>
      </w:r>
      <w:proofErr w:type="spellStart"/>
      <w:r w:rsidRPr="005A5FEB">
        <w:t>Spragins</w:t>
      </w:r>
      <w:proofErr w:type="spellEnd"/>
      <w:r w:rsidRPr="005A5FEB">
        <w:t xml:space="preserve"> W.</w:t>
      </w:r>
      <w:r>
        <w:t xml:space="preserve"> Published in </w:t>
      </w:r>
      <w:r w:rsidRPr="005A5FEB">
        <w:t>Cochrane Database Syst Rev.</w:t>
      </w:r>
      <w:r>
        <w:t>,</w:t>
      </w:r>
      <w:r w:rsidRPr="005A5FEB">
        <w:t xml:space="preserve"> 2011</w:t>
      </w:r>
      <w:r>
        <w:t>. No hyperlink.</w:t>
      </w:r>
    </w:p>
    <w:p w14:paraId="7C90F711" w14:textId="2EB18883" w:rsidR="005A5FEB" w:rsidRDefault="00000000" w:rsidP="00926EB3">
      <w:pPr>
        <w:pStyle w:val="ListParagraph"/>
        <w:numPr>
          <w:ilvl w:val="0"/>
          <w:numId w:val="35"/>
        </w:numPr>
      </w:pPr>
      <w:hyperlink r:id="rId267" w:history="1">
        <w:r w:rsidR="005A5FEB" w:rsidRPr="005A5FEB">
          <w:rPr>
            <w:rStyle w:val="Hyperlink"/>
          </w:rPr>
          <w:t>“Underage Drinking — Why Do Adolescents Drink, What Are the Risks, and How Can Underage Drinking Be Prevented?” by the National Institute on Alcohol Abuse and Alcoholism, via niaaa.nih.gov. Accessed June 22, 2023.</w:t>
        </w:r>
      </w:hyperlink>
      <w:r w:rsidR="005A5FEB" w:rsidRPr="005A5FEB">
        <w:t xml:space="preserve"> </w:t>
      </w:r>
    </w:p>
    <w:p w14:paraId="5D14D635" w14:textId="77777777" w:rsidR="005A5FEB" w:rsidRDefault="005A5FEB" w:rsidP="00CF1BB1"/>
    <w:p w14:paraId="66D833BC" w14:textId="7C7EE390" w:rsidR="00CF1BB1" w:rsidRPr="00CF1BB1" w:rsidRDefault="00CF1BB1" w:rsidP="00CF1BB1">
      <w:pPr>
        <w:pStyle w:val="Heading3"/>
      </w:pPr>
      <w:bookmarkStart w:id="597" w:name="_Toc162267399"/>
      <w:r w:rsidRPr="00CF1BB1">
        <w:t>Adolescent Substance Use</w:t>
      </w:r>
      <w:r>
        <w:t>: Marijuana</w:t>
      </w:r>
      <w:bookmarkEnd w:id="597"/>
    </w:p>
    <w:p w14:paraId="64160ABB" w14:textId="613BDC29" w:rsidR="00CF1BB1" w:rsidRPr="00CF1BB1" w:rsidRDefault="00CF1BB1" w:rsidP="00CF1BB1">
      <w:r w:rsidRPr="00CF1BB1">
        <w:t xml:space="preserve">Adolescent use of marijuana is at an all-time high. This poses serious risks to youth as marijuana can harm a developing brain and has the potential for addiction. Adolescent use is also associated with increased risk of mental health </w:t>
      </w:r>
      <w:r w:rsidRPr="00CF1BB1">
        <w:lastRenderedPageBreak/>
        <w:t>issues, including risk for future depression and neurodevelopmental decline, and poor school performance, to include school drop-out rates. Factors such as widespread marijuana availability, and commercialization of high-potency products appealing to youth, increase adolescent marijuana use. Socially, parental acceptance of substance use, family conflict, poor familial relationships, and perception of peer marijuana use are all associated with early initiation and current use of marijuana among adolescents</w:t>
      </w:r>
      <w:r>
        <w:t>.</w:t>
      </w:r>
      <w:r w:rsidRPr="00CF1BB1">
        <w:t xml:space="preserve"> Conversely, protective factors include, protective peer norms, participation in extracurricular activities, perceived parental trust, future college or career aspirations, and self-efficacy to decline substances. The burden of marijuana use is not equal across all youth demographics. At the national level, higher use is associated with lower socioeconomic status. Males also use marijuana at higher rates than their female counterparts. Finally, non-White youth, </w:t>
      </w:r>
      <w:proofErr w:type="gramStart"/>
      <w:r w:rsidRPr="00CF1BB1">
        <w:t>with the exception of</w:t>
      </w:r>
      <w:proofErr w:type="gramEnd"/>
      <w:r w:rsidRPr="00CF1BB1">
        <w:t xml:space="preserve"> Asian Americans, report higher use of marijuana than White adolescents. Among adolescents, Native Americans report the highest past-year and lifetime use. These disparities at the national level and SC-specific data on youth marijuana use should be used to develop tailored prevention strategies. </w:t>
      </w:r>
    </w:p>
    <w:p w14:paraId="15227B13" w14:textId="77777777" w:rsidR="00CF1BB1" w:rsidRDefault="00CF1BB1" w:rsidP="00CF1BB1"/>
    <w:p w14:paraId="0B427404" w14:textId="77777777" w:rsidR="00B90936" w:rsidRDefault="00B90936" w:rsidP="00B90936">
      <w:pPr>
        <w:pStyle w:val="Heading4"/>
      </w:pPr>
      <w:bookmarkStart w:id="598" w:name="_Toc154576460"/>
      <w:bookmarkStart w:id="599" w:name="_Toc162267400"/>
      <w:r>
        <w:t>Figure 8.25: Adolescent Marijuana Use Past Month.</w:t>
      </w:r>
      <w:bookmarkEnd w:id="598"/>
      <w:bookmarkEnd w:id="599"/>
    </w:p>
    <w:tbl>
      <w:tblPr>
        <w:tblStyle w:val="TableGrid"/>
        <w:tblW w:w="0" w:type="auto"/>
        <w:tblLook w:val="04A0" w:firstRow="1" w:lastRow="0" w:firstColumn="1" w:lastColumn="0" w:noHBand="0" w:noVBand="1"/>
      </w:tblPr>
      <w:tblGrid>
        <w:gridCol w:w="3116"/>
        <w:gridCol w:w="3117"/>
        <w:gridCol w:w="3117"/>
      </w:tblGrid>
      <w:tr w:rsidR="00B90936" w14:paraId="3BB3D823" w14:textId="77777777" w:rsidTr="001515D5">
        <w:tc>
          <w:tcPr>
            <w:tcW w:w="3116" w:type="dxa"/>
            <w:vAlign w:val="bottom"/>
          </w:tcPr>
          <w:p w14:paraId="0F696DEF" w14:textId="77777777" w:rsidR="00B90936" w:rsidRDefault="00B90936" w:rsidP="001515D5">
            <w:r>
              <w:t>Year</w:t>
            </w:r>
          </w:p>
        </w:tc>
        <w:tc>
          <w:tcPr>
            <w:tcW w:w="3117" w:type="dxa"/>
            <w:vAlign w:val="bottom"/>
          </w:tcPr>
          <w:p w14:paraId="5AAB314E" w14:textId="6E8656AF" w:rsidR="00B90936" w:rsidRDefault="00B90936" w:rsidP="001515D5">
            <w:r>
              <w:t>S</w:t>
            </w:r>
            <w:r w:rsidR="00195CD4">
              <w:t>outh Carolina</w:t>
            </w:r>
          </w:p>
        </w:tc>
        <w:tc>
          <w:tcPr>
            <w:tcW w:w="3117" w:type="dxa"/>
            <w:vAlign w:val="bottom"/>
          </w:tcPr>
          <w:p w14:paraId="748F621D" w14:textId="399802BB" w:rsidR="00B90936" w:rsidRDefault="00B90936" w:rsidP="001515D5">
            <w:r>
              <w:t>U</w:t>
            </w:r>
            <w:r w:rsidR="00195CD4">
              <w:t>nited States</w:t>
            </w:r>
          </w:p>
        </w:tc>
      </w:tr>
      <w:tr w:rsidR="00B90936" w14:paraId="01FCDE16" w14:textId="77777777" w:rsidTr="001515D5">
        <w:tc>
          <w:tcPr>
            <w:tcW w:w="3116" w:type="dxa"/>
            <w:vAlign w:val="bottom"/>
          </w:tcPr>
          <w:p w14:paraId="7D779C3D" w14:textId="77777777" w:rsidR="00B90936" w:rsidRDefault="00B90936" w:rsidP="001515D5">
            <w:r>
              <w:t>2015</w:t>
            </w:r>
          </w:p>
        </w:tc>
        <w:tc>
          <w:tcPr>
            <w:tcW w:w="3117" w:type="dxa"/>
            <w:vAlign w:val="center"/>
          </w:tcPr>
          <w:p w14:paraId="70B1D515" w14:textId="77777777" w:rsidR="00B90936" w:rsidRPr="005171E4" w:rsidRDefault="00B90936" w:rsidP="001515D5">
            <w:r w:rsidRPr="005171E4">
              <w:t>17.8%</w:t>
            </w:r>
          </w:p>
        </w:tc>
        <w:tc>
          <w:tcPr>
            <w:tcW w:w="3117" w:type="dxa"/>
            <w:vAlign w:val="center"/>
          </w:tcPr>
          <w:p w14:paraId="7148694F" w14:textId="77777777" w:rsidR="00B90936" w:rsidRPr="005171E4" w:rsidRDefault="00B90936" w:rsidP="001515D5">
            <w:r w:rsidRPr="005171E4">
              <w:t>21.7%</w:t>
            </w:r>
          </w:p>
        </w:tc>
      </w:tr>
      <w:tr w:rsidR="00B90936" w14:paraId="5A47DAED" w14:textId="77777777" w:rsidTr="001515D5">
        <w:tc>
          <w:tcPr>
            <w:tcW w:w="3116" w:type="dxa"/>
            <w:vAlign w:val="bottom"/>
          </w:tcPr>
          <w:p w14:paraId="5CE09223" w14:textId="77777777" w:rsidR="00B90936" w:rsidRDefault="00B90936" w:rsidP="001515D5">
            <w:r>
              <w:t>2017</w:t>
            </w:r>
          </w:p>
        </w:tc>
        <w:tc>
          <w:tcPr>
            <w:tcW w:w="3117" w:type="dxa"/>
            <w:vAlign w:val="center"/>
          </w:tcPr>
          <w:p w14:paraId="2E531FA3" w14:textId="77777777" w:rsidR="00B90936" w:rsidRPr="005171E4" w:rsidRDefault="00B90936" w:rsidP="001515D5">
            <w:r w:rsidRPr="005171E4">
              <w:t>18.6%</w:t>
            </w:r>
          </w:p>
        </w:tc>
        <w:tc>
          <w:tcPr>
            <w:tcW w:w="3117" w:type="dxa"/>
            <w:vAlign w:val="center"/>
          </w:tcPr>
          <w:p w14:paraId="45F16F4E" w14:textId="77777777" w:rsidR="00B90936" w:rsidRPr="005171E4" w:rsidRDefault="00B90936" w:rsidP="001515D5">
            <w:r w:rsidRPr="005171E4">
              <w:t>19.8%</w:t>
            </w:r>
          </w:p>
        </w:tc>
      </w:tr>
      <w:tr w:rsidR="00B90936" w14:paraId="6C43BE5D" w14:textId="77777777" w:rsidTr="001515D5">
        <w:tc>
          <w:tcPr>
            <w:tcW w:w="3116" w:type="dxa"/>
            <w:vAlign w:val="bottom"/>
          </w:tcPr>
          <w:p w14:paraId="11A69CE7" w14:textId="77777777" w:rsidR="00B90936" w:rsidRDefault="00B90936" w:rsidP="001515D5">
            <w:r>
              <w:t>2019</w:t>
            </w:r>
          </w:p>
        </w:tc>
        <w:tc>
          <w:tcPr>
            <w:tcW w:w="3117" w:type="dxa"/>
            <w:vAlign w:val="center"/>
          </w:tcPr>
          <w:p w14:paraId="3FDE057C" w14:textId="77777777" w:rsidR="00B90936" w:rsidRPr="005171E4" w:rsidRDefault="00B90936" w:rsidP="001515D5">
            <w:r w:rsidRPr="005171E4">
              <w:t>17.9%</w:t>
            </w:r>
          </w:p>
        </w:tc>
        <w:tc>
          <w:tcPr>
            <w:tcW w:w="3117" w:type="dxa"/>
            <w:vAlign w:val="center"/>
          </w:tcPr>
          <w:p w14:paraId="43854F65" w14:textId="77777777" w:rsidR="00B90936" w:rsidRPr="005171E4" w:rsidRDefault="00B90936" w:rsidP="001515D5">
            <w:r w:rsidRPr="005171E4">
              <w:t>21.7%</w:t>
            </w:r>
          </w:p>
        </w:tc>
      </w:tr>
    </w:tbl>
    <w:p w14:paraId="7DEAEC78" w14:textId="77777777" w:rsidR="00B90936" w:rsidRPr="005171E4" w:rsidRDefault="00B90936" w:rsidP="00B90936">
      <w:r w:rsidRPr="005171E4">
        <w:t xml:space="preserve">Source: CDC, Youth Risk Behavior Survey (YRBS). </w:t>
      </w:r>
    </w:p>
    <w:p w14:paraId="387EAD02" w14:textId="77777777" w:rsidR="00B90936" w:rsidRDefault="00B90936" w:rsidP="00B90936">
      <w:r w:rsidRPr="005171E4">
        <w:t>Note: Among students in grades 9 through 12.</w:t>
      </w:r>
    </w:p>
    <w:p w14:paraId="207CD052" w14:textId="77777777" w:rsidR="00CF1BB1" w:rsidRDefault="00CF1BB1" w:rsidP="00CF1BB1"/>
    <w:p w14:paraId="683C8CEB" w14:textId="77777777" w:rsidR="00CF1BB1" w:rsidRDefault="00CF1BB1" w:rsidP="00CF1BB1">
      <w:pPr>
        <w:rPr>
          <w:b/>
          <w:bCs/>
        </w:rPr>
      </w:pPr>
      <w:bookmarkStart w:id="600" w:name="_Toc162267401"/>
      <w:r w:rsidRPr="00CF1BB1">
        <w:rPr>
          <w:rStyle w:val="Heading4Char"/>
        </w:rPr>
        <w:t>Data Interpretations:</w:t>
      </w:r>
      <w:bookmarkEnd w:id="600"/>
      <w:r w:rsidRPr="00CF1BB1">
        <w:rPr>
          <w:b/>
          <w:bCs/>
        </w:rPr>
        <w:t xml:space="preserve"> </w:t>
      </w:r>
    </w:p>
    <w:p w14:paraId="4DE2557A" w14:textId="1C46EE9C" w:rsidR="00CF1BB1" w:rsidRDefault="00CF1BB1" w:rsidP="00CF1BB1">
      <w:r w:rsidRPr="00CF1BB1">
        <w:t>In SC, 17.9% of students grades 9 through 12 reported using marijuana in the past month in 2019, lower than the national prevalence of 21.7% (</w:t>
      </w:r>
      <w:r w:rsidRPr="00CF1BB1">
        <w:rPr>
          <w:b/>
          <w:bCs/>
        </w:rPr>
        <w:t>Figure 8.25</w:t>
      </w:r>
      <w:r w:rsidRPr="00CF1BB1">
        <w:t>). Additionally, according to the 2019 SC YRBS, marijuana use in the last month was higher among racial and ethnic minorities and older students; 22.2% of 12th-grade students reported currently using marijuana (data not shown).</w:t>
      </w:r>
    </w:p>
    <w:p w14:paraId="1FE260AB" w14:textId="77777777" w:rsidR="00CF1BB1" w:rsidRDefault="00CF1BB1" w:rsidP="00CF1BB1"/>
    <w:p w14:paraId="5B310E91" w14:textId="77777777" w:rsidR="00CF1BB1" w:rsidRDefault="00CF1BB1" w:rsidP="00CF1BB1">
      <w:pPr>
        <w:pStyle w:val="Heading5"/>
      </w:pPr>
      <w:r>
        <w:t xml:space="preserve">Key Takeaways: </w:t>
      </w:r>
    </w:p>
    <w:p w14:paraId="56A1168C" w14:textId="77777777" w:rsidR="005253DC" w:rsidRDefault="00CF1BB1" w:rsidP="00926EB3">
      <w:pPr>
        <w:pStyle w:val="ListParagraph"/>
        <w:numPr>
          <w:ilvl w:val="0"/>
          <w:numId w:val="224"/>
        </w:numPr>
      </w:pPr>
      <w:r w:rsidRPr="00CF1BB1">
        <w:t xml:space="preserve">Marijuana can harm a developing brain and has the potential for addiction. </w:t>
      </w:r>
    </w:p>
    <w:p w14:paraId="7255825F" w14:textId="20867E6B" w:rsidR="00CF1BB1" w:rsidRPr="00CF1BB1" w:rsidRDefault="00CF1BB1" w:rsidP="00926EB3">
      <w:pPr>
        <w:pStyle w:val="ListParagraph"/>
        <w:numPr>
          <w:ilvl w:val="0"/>
          <w:numId w:val="224"/>
        </w:numPr>
      </w:pPr>
      <w:r w:rsidRPr="00CF1BB1">
        <w:lastRenderedPageBreak/>
        <w:t xml:space="preserve">Marijuana use prevention strategies should be tailored toward high-risk populations, such as male youth and youth from racial and ethnic minorities. </w:t>
      </w:r>
    </w:p>
    <w:p w14:paraId="19062840" w14:textId="77777777" w:rsidR="00CF1BB1" w:rsidRDefault="00CF1BB1" w:rsidP="00CF1BB1"/>
    <w:p w14:paraId="6FB9D9E2" w14:textId="676D64B4" w:rsidR="00CF1BB1" w:rsidRDefault="00506CC7" w:rsidP="00CF1BB1">
      <w:pPr>
        <w:pStyle w:val="Heading4"/>
        <w:rPr>
          <w:rFonts w:asciiTheme="minorHAnsi" w:hAnsiTheme="minorHAnsi" w:cstheme="minorHAnsi"/>
          <w:color w:val="000000" w:themeColor="text1"/>
        </w:rPr>
      </w:pPr>
      <w:bookmarkStart w:id="601" w:name="_Toc162267402"/>
      <w:r w:rsidRPr="00506CC7">
        <w:rPr>
          <w:rFonts w:asciiTheme="minorHAnsi" w:hAnsiTheme="minorHAnsi" w:cstheme="minorHAnsi"/>
          <w:color w:val="000000" w:themeColor="text1"/>
        </w:rPr>
        <w:t xml:space="preserve">References </w:t>
      </w:r>
      <w:r w:rsidR="00CF1BB1">
        <w:rPr>
          <w:rFonts w:asciiTheme="minorHAnsi" w:hAnsiTheme="minorHAnsi" w:cstheme="minorHAnsi"/>
          <w:color w:val="000000" w:themeColor="text1"/>
        </w:rPr>
        <w:t>8.13</w:t>
      </w:r>
      <w:bookmarkEnd w:id="601"/>
      <w:r w:rsidR="00CF1BB1">
        <w:rPr>
          <w:rFonts w:asciiTheme="minorHAnsi" w:hAnsiTheme="minorHAnsi" w:cstheme="minorHAnsi"/>
          <w:color w:val="000000" w:themeColor="text1"/>
        </w:rPr>
        <w:t xml:space="preserve"> </w:t>
      </w:r>
    </w:p>
    <w:p w14:paraId="47E8B4BA" w14:textId="77777777" w:rsidR="00CF1BB1" w:rsidRPr="00506CC7" w:rsidRDefault="00CF1BB1" w:rsidP="00CF1BB1">
      <w:pPr>
        <w:rPr>
          <w:i/>
          <w:iCs/>
        </w:rPr>
      </w:pPr>
      <w:r w:rsidRPr="00506CC7">
        <w:t>Statistics in the preceding section were referenced from the following reports:</w:t>
      </w:r>
    </w:p>
    <w:p w14:paraId="54E6E72A" w14:textId="175C6044" w:rsidR="005A5FEB" w:rsidRPr="005A5FEB" w:rsidRDefault="00000000" w:rsidP="00926EB3">
      <w:pPr>
        <w:pStyle w:val="ListParagraph"/>
        <w:numPr>
          <w:ilvl w:val="0"/>
          <w:numId w:val="35"/>
        </w:numPr>
      </w:pPr>
      <w:hyperlink r:id="rId268" w:history="1">
        <w:r w:rsidR="005A5FEB" w:rsidRPr="005A5FEB">
          <w:rPr>
            <w:rStyle w:val="Hyperlink"/>
          </w:rPr>
          <w:t>“A continuing study of American youth” by Monitoring the Future via monitoringthefuture.org. Accessed June 22, 2023.</w:t>
        </w:r>
      </w:hyperlink>
      <w:r w:rsidR="005A5FEB" w:rsidRPr="005A5FEB">
        <w:t xml:space="preserve"> </w:t>
      </w:r>
    </w:p>
    <w:p w14:paraId="78D3B46C" w14:textId="10ABB54A" w:rsidR="005A5FEB" w:rsidRPr="005A5FEB" w:rsidRDefault="00000000" w:rsidP="00926EB3">
      <w:pPr>
        <w:pStyle w:val="ListParagraph"/>
        <w:numPr>
          <w:ilvl w:val="0"/>
          <w:numId w:val="35"/>
        </w:numPr>
      </w:pPr>
      <w:hyperlink r:id="rId269" w:history="1">
        <w:r w:rsidR="005A5FEB" w:rsidRPr="005A5FEB">
          <w:rPr>
            <w:rStyle w:val="Hyperlink"/>
          </w:rPr>
          <w:t>“Teens; Health Effects; Marijuana” by CDC via cdc.gov. Accessed June 22, 2023.</w:t>
        </w:r>
      </w:hyperlink>
    </w:p>
    <w:p w14:paraId="6CBD88F2" w14:textId="46D14C41" w:rsidR="005A5FEB" w:rsidRPr="005A5FEB" w:rsidRDefault="00000000" w:rsidP="00926EB3">
      <w:pPr>
        <w:pStyle w:val="ListParagraph"/>
        <w:numPr>
          <w:ilvl w:val="0"/>
          <w:numId w:val="35"/>
        </w:numPr>
      </w:pPr>
      <w:hyperlink r:id="rId270" w:history="1">
        <w:r w:rsidR="005A5FEB" w:rsidRPr="005A5FEB">
          <w:rPr>
            <w:rStyle w:val="Hyperlink"/>
          </w:rPr>
          <w:t>“Preventing Marijuana Use Among Youth Preventing Marijuana Use Among Youth” by Substance Abuse and Mental Health Services Administration (SAMHSA), 2021. Accessed June 22, 2023.</w:t>
        </w:r>
      </w:hyperlink>
      <w:r w:rsidR="005A5FEB" w:rsidRPr="005A5FEB">
        <w:t xml:space="preserve"> </w:t>
      </w:r>
    </w:p>
    <w:p w14:paraId="3E3B938A" w14:textId="05DB9E0A" w:rsidR="005A5FEB" w:rsidRPr="005A5FEB" w:rsidRDefault="005A5FEB" w:rsidP="00926EB3">
      <w:pPr>
        <w:pStyle w:val="ListParagraph"/>
        <w:numPr>
          <w:ilvl w:val="0"/>
          <w:numId w:val="35"/>
        </w:numPr>
      </w:pPr>
      <w:r>
        <w:t>“</w:t>
      </w:r>
      <w:r w:rsidRPr="005A5FEB">
        <w:t>Characteristics and reasons for use associated with solitary alcohol and marijuana use among U.S. 12th Grade Students, 2015-2021</w:t>
      </w:r>
      <w:r>
        <w:t>” by</w:t>
      </w:r>
      <w:r w:rsidRPr="005A5FEB">
        <w:t xml:space="preserve"> Terry-McElrath YM, O’Malley PM, Pang YC, Patrick ME.</w:t>
      </w:r>
      <w:r>
        <w:t xml:space="preserve"> Published in</w:t>
      </w:r>
      <w:r w:rsidRPr="005A5FEB">
        <w:t xml:space="preserve"> Drug Alcohol Depend</w:t>
      </w:r>
      <w:r>
        <w:t xml:space="preserve">, </w:t>
      </w:r>
      <w:r w:rsidRPr="005A5FEB">
        <w:t>2022</w:t>
      </w:r>
      <w:r>
        <w:t>. No hyperlink.</w:t>
      </w:r>
    </w:p>
    <w:p w14:paraId="0E97F711" w14:textId="56FB5457" w:rsidR="005A5FEB" w:rsidRPr="005A5FEB" w:rsidRDefault="005A5FEB" w:rsidP="00926EB3">
      <w:pPr>
        <w:pStyle w:val="ListParagraph"/>
        <w:numPr>
          <w:ilvl w:val="0"/>
          <w:numId w:val="35"/>
        </w:numPr>
      </w:pPr>
      <w:r>
        <w:t>“</w:t>
      </w:r>
      <w:r w:rsidRPr="005A5FEB">
        <w:t>Protective Factors for Nicotine and Marijuana Vaping Among U.S. Adolescents</w:t>
      </w:r>
      <w:r>
        <w:t xml:space="preserve">” by </w:t>
      </w:r>
      <w:r w:rsidRPr="005A5FEB">
        <w:t>Parks MJ, Patrick ME.</w:t>
      </w:r>
      <w:r>
        <w:t xml:space="preserve"> Published in</w:t>
      </w:r>
      <w:r w:rsidRPr="005A5FEB">
        <w:t xml:space="preserve"> </w:t>
      </w:r>
      <w:r>
        <w:t xml:space="preserve">the </w:t>
      </w:r>
      <w:r w:rsidRPr="005A5FEB">
        <w:t>Am</w:t>
      </w:r>
      <w:r>
        <w:t>erican</w:t>
      </w:r>
      <w:r w:rsidRPr="005A5FEB">
        <w:t xml:space="preserve"> J</w:t>
      </w:r>
      <w:r>
        <w:t>ournal of</w:t>
      </w:r>
      <w:r w:rsidRPr="005A5FEB">
        <w:t xml:space="preserve"> Prev</w:t>
      </w:r>
      <w:r>
        <w:t>entative</w:t>
      </w:r>
      <w:r w:rsidRPr="005A5FEB">
        <w:t xml:space="preserve"> Med</w:t>
      </w:r>
      <w:r>
        <w:t>icine,</w:t>
      </w:r>
      <w:r w:rsidRPr="005A5FEB">
        <w:t xml:space="preserve"> 2022</w:t>
      </w:r>
      <w:r>
        <w:t>. No hyperlink.</w:t>
      </w:r>
    </w:p>
    <w:p w14:paraId="76EE0A29" w14:textId="63FD9E09" w:rsidR="005A5FEB" w:rsidRPr="005A5FEB" w:rsidRDefault="005A5FEB" w:rsidP="00926EB3">
      <w:pPr>
        <w:pStyle w:val="ListParagraph"/>
        <w:numPr>
          <w:ilvl w:val="0"/>
          <w:numId w:val="35"/>
        </w:numPr>
      </w:pPr>
      <w:r>
        <w:t>“</w:t>
      </w:r>
      <w:r w:rsidRPr="005A5FEB">
        <w:t>Gender differences in adolescent marijuana use and associated psychosocial characteristics</w:t>
      </w:r>
      <w:r>
        <w:t xml:space="preserve">” by </w:t>
      </w:r>
      <w:proofErr w:type="spellStart"/>
      <w:r w:rsidRPr="005A5FEB">
        <w:t>Schepis</w:t>
      </w:r>
      <w:proofErr w:type="spellEnd"/>
      <w:r w:rsidRPr="005A5FEB">
        <w:t xml:space="preserve"> TS, Desai RA, Cavallo DA, et al.</w:t>
      </w:r>
      <w:r>
        <w:t xml:space="preserve"> Published in</w:t>
      </w:r>
      <w:r w:rsidRPr="005A5FEB">
        <w:t xml:space="preserve"> J Addict Med</w:t>
      </w:r>
      <w:r>
        <w:t>,</w:t>
      </w:r>
      <w:r w:rsidRPr="005A5FEB">
        <w:t xml:space="preserve"> 2011</w:t>
      </w:r>
      <w:r>
        <w:t>. No hyperlink.</w:t>
      </w:r>
      <w:r w:rsidRPr="005A5FEB">
        <w:t xml:space="preserve"> </w:t>
      </w:r>
    </w:p>
    <w:p w14:paraId="2508AF92" w14:textId="4237A105" w:rsidR="005A5FEB" w:rsidRPr="005A5FEB" w:rsidRDefault="005A5FEB" w:rsidP="00926EB3">
      <w:pPr>
        <w:pStyle w:val="ListParagraph"/>
        <w:numPr>
          <w:ilvl w:val="0"/>
          <w:numId w:val="35"/>
        </w:numPr>
      </w:pPr>
      <w:r>
        <w:t>“</w:t>
      </w:r>
      <w:r w:rsidRPr="005A5FEB">
        <w:t>Race/ethnicity differences in risk and protective factors for marijuana use among U.S. adolescents</w:t>
      </w:r>
      <w:r>
        <w:t xml:space="preserve">” by </w:t>
      </w:r>
      <w:r w:rsidRPr="005A5FEB">
        <w:t xml:space="preserve">Lee MH, Kim-Godwin YS, </w:t>
      </w:r>
      <w:proofErr w:type="spellStart"/>
      <w:r w:rsidRPr="005A5FEB">
        <w:t>Hur</w:t>
      </w:r>
      <w:proofErr w:type="spellEnd"/>
      <w:r w:rsidRPr="005A5FEB">
        <w:t xml:space="preserve"> H.</w:t>
      </w:r>
      <w:r>
        <w:t xml:space="preserve"> Published in</w:t>
      </w:r>
      <w:r w:rsidRPr="005A5FEB">
        <w:t xml:space="preserve"> BMC Public Health</w:t>
      </w:r>
      <w:r>
        <w:t>,</w:t>
      </w:r>
      <w:r w:rsidRPr="005A5FEB">
        <w:t xml:space="preserve"> 2021</w:t>
      </w:r>
      <w:r>
        <w:t>. No hyperlink.</w:t>
      </w:r>
    </w:p>
    <w:p w14:paraId="53ECC633" w14:textId="77777777" w:rsidR="00CF1BB1" w:rsidRDefault="00CF1BB1" w:rsidP="00CF1BB1"/>
    <w:p w14:paraId="68285166" w14:textId="55ED308C" w:rsidR="00CF1BB1" w:rsidRPr="00CF1BB1" w:rsidRDefault="00CF1BB1" w:rsidP="00CF1BB1">
      <w:pPr>
        <w:pStyle w:val="Heading3"/>
      </w:pPr>
      <w:bookmarkStart w:id="602" w:name="_Toc162267403"/>
      <w:r w:rsidRPr="00CF1BB1">
        <w:t>Adolescent Substance Use</w:t>
      </w:r>
      <w:r>
        <w:t>: Tobacco</w:t>
      </w:r>
      <w:bookmarkEnd w:id="602"/>
    </w:p>
    <w:p w14:paraId="60B98B82" w14:textId="3AAB057E" w:rsidR="00CF1BB1" w:rsidRPr="00CF1BB1" w:rsidRDefault="00CF1BB1" w:rsidP="00CF1BB1">
      <w:r w:rsidRPr="00CF1BB1">
        <w:t xml:space="preserve">The use of commercial tobacco products is primarily established during adolescence. According to the SC Adult Tobacco Survey, most adult smokers in SC smoked their first cigarette before the age of 18.  Nicotine is harmful to developing adolescent brains because it damages the normal course of brain maturation, and can have lasting consequences on cognitive ability, mental health, and personality (including susceptibility to addiction to other substances). </w:t>
      </w:r>
      <w:r>
        <w:t>Y</w:t>
      </w:r>
      <w:r w:rsidRPr="00CF1BB1">
        <w:t xml:space="preserve">outh who use commercial tobacco products are often unaware of the possibility of nicotine addiction, and believe that quitting will be easy.  Research shows that </w:t>
      </w:r>
      <w:r w:rsidRPr="00CF1BB1">
        <w:lastRenderedPageBreak/>
        <w:t xml:space="preserve">youth who smoke and vape are more likely to become lifelong tobacco users than youth who do not smoke or vape. </w:t>
      </w:r>
    </w:p>
    <w:p w14:paraId="39BE50B3" w14:textId="77777777" w:rsidR="00CF1BB1" w:rsidRDefault="00CF1BB1" w:rsidP="00CF1BB1"/>
    <w:p w14:paraId="5F9974BC" w14:textId="4DFE8EEF" w:rsidR="00CF1BB1" w:rsidRDefault="00CF1BB1" w:rsidP="00CF1BB1">
      <w:r w:rsidRPr="00CF1BB1">
        <w:t>Factors affecting youth tobacco use include mass media depictions of tobacco use, tobacco industry marketing, parental tobacco use, flavored tobacco products, low socioeconomic status, affordability/cost, and availability of tobacco products.  In addition, children and teens experiencing social and environmental stress related to hunger, violence, incarceration, discrimination, substance use, homelessness, mental health issues, or other potential traumas are more likely to vape or smoke commercial tobacco products.</w:t>
      </w:r>
    </w:p>
    <w:p w14:paraId="61A558F3" w14:textId="77777777" w:rsidR="00CF1BB1" w:rsidRDefault="00CF1BB1" w:rsidP="00CF1BB1"/>
    <w:p w14:paraId="749D0C39" w14:textId="77777777" w:rsidR="00B90936" w:rsidRDefault="00B90936" w:rsidP="00B90936">
      <w:pPr>
        <w:pStyle w:val="Heading4"/>
      </w:pPr>
      <w:bookmarkStart w:id="603" w:name="_Toc154576461"/>
      <w:bookmarkStart w:id="604" w:name="_Toc162267404"/>
      <w:r>
        <w:t>Figure 8.26: Current Smoking and Vaping among SC Youth.</w:t>
      </w:r>
      <w:bookmarkEnd w:id="603"/>
      <w:bookmarkEnd w:id="604"/>
    </w:p>
    <w:tbl>
      <w:tblPr>
        <w:tblStyle w:val="TableGrid"/>
        <w:tblW w:w="0" w:type="auto"/>
        <w:tblLook w:val="04A0" w:firstRow="1" w:lastRow="0" w:firstColumn="1" w:lastColumn="0" w:noHBand="0" w:noVBand="1"/>
      </w:tblPr>
      <w:tblGrid>
        <w:gridCol w:w="3116"/>
        <w:gridCol w:w="3117"/>
        <w:gridCol w:w="3117"/>
      </w:tblGrid>
      <w:tr w:rsidR="00B90936" w14:paraId="2C84EBFD" w14:textId="77777777" w:rsidTr="001515D5">
        <w:tc>
          <w:tcPr>
            <w:tcW w:w="3116" w:type="dxa"/>
            <w:vAlign w:val="bottom"/>
          </w:tcPr>
          <w:p w14:paraId="47EAE569" w14:textId="77777777" w:rsidR="00B90936" w:rsidRDefault="00B90936" w:rsidP="001515D5">
            <w:r>
              <w:t>Year</w:t>
            </w:r>
          </w:p>
        </w:tc>
        <w:tc>
          <w:tcPr>
            <w:tcW w:w="3117" w:type="dxa"/>
            <w:vAlign w:val="bottom"/>
          </w:tcPr>
          <w:p w14:paraId="196FCCFB" w14:textId="77777777" w:rsidR="00B90936" w:rsidRDefault="00B90936" w:rsidP="001515D5">
            <w:r>
              <w:t>Cigarettes</w:t>
            </w:r>
          </w:p>
        </w:tc>
        <w:tc>
          <w:tcPr>
            <w:tcW w:w="3117" w:type="dxa"/>
            <w:vAlign w:val="bottom"/>
          </w:tcPr>
          <w:p w14:paraId="711778DF" w14:textId="77777777" w:rsidR="00B90936" w:rsidRDefault="00B90936" w:rsidP="001515D5">
            <w:r>
              <w:t>ENDS</w:t>
            </w:r>
          </w:p>
        </w:tc>
      </w:tr>
      <w:tr w:rsidR="00B90936" w14:paraId="241EAA6B" w14:textId="77777777" w:rsidTr="001515D5">
        <w:tc>
          <w:tcPr>
            <w:tcW w:w="3116" w:type="dxa"/>
            <w:vAlign w:val="bottom"/>
          </w:tcPr>
          <w:p w14:paraId="025E0ED3" w14:textId="77777777" w:rsidR="00B90936" w:rsidRDefault="00B90936" w:rsidP="001515D5">
            <w:r>
              <w:t>2013</w:t>
            </w:r>
          </w:p>
        </w:tc>
        <w:tc>
          <w:tcPr>
            <w:tcW w:w="3117" w:type="dxa"/>
            <w:vAlign w:val="center"/>
          </w:tcPr>
          <w:p w14:paraId="6D6B53D2" w14:textId="77777777" w:rsidR="00B90936" w:rsidRPr="005171E4" w:rsidRDefault="00B90936" w:rsidP="001515D5">
            <w:r>
              <w:t>15.4%</w:t>
            </w:r>
          </w:p>
        </w:tc>
        <w:tc>
          <w:tcPr>
            <w:tcW w:w="3117" w:type="dxa"/>
            <w:vAlign w:val="center"/>
          </w:tcPr>
          <w:p w14:paraId="497B8EB6" w14:textId="77777777" w:rsidR="00B90936" w:rsidRPr="005171E4" w:rsidRDefault="00B90936" w:rsidP="001515D5">
            <w:r>
              <w:t>3.7%</w:t>
            </w:r>
          </w:p>
        </w:tc>
      </w:tr>
      <w:tr w:rsidR="00B90936" w14:paraId="2CFADFE5" w14:textId="77777777" w:rsidTr="001515D5">
        <w:tc>
          <w:tcPr>
            <w:tcW w:w="3116" w:type="dxa"/>
            <w:vAlign w:val="bottom"/>
          </w:tcPr>
          <w:p w14:paraId="477C9D98" w14:textId="77777777" w:rsidR="00B90936" w:rsidRDefault="00B90936" w:rsidP="001515D5">
            <w:r>
              <w:t>2015</w:t>
            </w:r>
          </w:p>
        </w:tc>
        <w:tc>
          <w:tcPr>
            <w:tcW w:w="3117" w:type="dxa"/>
            <w:vAlign w:val="center"/>
          </w:tcPr>
          <w:p w14:paraId="12B69814" w14:textId="77777777" w:rsidR="00B90936" w:rsidRPr="005171E4" w:rsidRDefault="00B90936" w:rsidP="001515D5">
            <w:r>
              <w:t>11.9%</w:t>
            </w:r>
          </w:p>
        </w:tc>
        <w:tc>
          <w:tcPr>
            <w:tcW w:w="3117" w:type="dxa"/>
            <w:vAlign w:val="center"/>
          </w:tcPr>
          <w:p w14:paraId="01F4F22A" w14:textId="77777777" w:rsidR="00B90936" w:rsidRPr="005171E4" w:rsidRDefault="00B90936" w:rsidP="001515D5">
            <w:r>
              <w:t>23.2%</w:t>
            </w:r>
          </w:p>
        </w:tc>
      </w:tr>
      <w:tr w:rsidR="00B90936" w14:paraId="129DAB14" w14:textId="77777777" w:rsidTr="001515D5">
        <w:tc>
          <w:tcPr>
            <w:tcW w:w="3116" w:type="dxa"/>
            <w:vAlign w:val="bottom"/>
          </w:tcPr>
          <w:p w14:paraId="2F6C153C" w14:textId="77777777" w:rsidR="00B90936" w:rsidRDefault="00B90936" w:rsidP="001515D5">
            <w:r>
              <w:t>2017</w:t>
            </w:r>
          </w:p>
        </w:tc>
        <w:tc>
          <w:tcPr>
            <w:tcW w:w="3117" w:type="dxa"/>
            <w:vAlign w:val="center"/>
          </w:tcPr>
          <w:p w14:paraId="60775C63" w14:textId="77777777" w:rsidR="00B90936" w:rsidRPr="005171E4" w:rsidRDefault="00B90936" w:rsidP="001515D5">
            <w:r>
              <w:t>12.0%</w:t>
            </w:r>
          </w:p>
        </w:tc>
        <w:tc>
          <w:tcPr>
            <w:tcW w:w="3117" w:type="dxa"/>
            <w:vAlign w:val="center"/>
          </w:tcPr>
          <w:p w14:paraId="5E2027A4" w14:textId="77777777" w:rsidR="00B90936" w:rsidRPr="005171E4" w:rsidRDefault="00B90936" w:rsidP="001515D5">
            <w:r>
              <w:t>13.1%</w:t>
            </w:r>
          </w:p>
        </w:tc>
      </w:tr>
      <w:tr w:rsidR="00B90936" w14:paraId="78A245EE" w14:textId="77777777" w:rsidTr="001515D5">
        <w:tc>
          <w:tcPr>
            <w:tcW w:w="3116" w:type="dxa"/>
            <w:vAlign w:val="bottom"/>
          </w:tcPr>
          <w:p w14:paraId="45B8D257" w14:textId="77777777" w:rsidR="00B90936" w:rsidRDefault="00B90936" w:rsidP="001515D5">
            <w:r>
              <w:t>2019</w:t>
            </w:r>
          </w:p>
        </w:tc>
        <w:tc>
          <w:tcPr>
            <w:tcW w:w="3117" w:type="dxa"/>
            <w:vAlign w:val="center"/>
          </w:tcPr>
          <w:p w14:paraId="5E6A36A9" w14:textId="77777777" w:rsidR="00B90936" w:rsidRDefault="00B90936" w:rsidP="001515D5">
            <w:r>
              <w:t>4.9%</w:t>
            </w:r>
          </w:p>
        </w:tc>
        <w:tc>
          <w:tcPr>
            <w:tcW w:w="3117" w:type="dxa"/>
            <w:vAlign w:val="center"/>
          </w:tcPr>
          <w:p w14:paraId="2BBFD02E" w14:textId="77777777" w:rsidR="00B90936" w:rsidRDefault="00B90936" w:rsidP="001515D5">
            <w:r>
              <w:t>22.1%</w:t>
            </w:r>
          </w:p>
        </w:tc>
      </w:tr>
      <w:tr w:rsidR="00B90936" w14:paraId="2E96D545" w14:textId="77777777" w:rsidTr="001515D5">
        <w:tc>
          <w:tcPr>
            <w:tcW w:w="3116" w:type="dxa"/>
            <w:vAlign w:val="bottom"/>
          </w:tcPr>
          <w:p w14:paraId="0461B7C5" w14:textId="77777777" w:rsidR="00B90936" w:rsidRDefault="00B90936" w:rsidP="001515D5">
            <w:r>
              <w:t>2021</w:t>
            </w:r>
          </w:p>
        </w:tc>
        <w:tc>
          <w:tcPr>
            <w:tcW w:w="3117" w:type="dxa"/>
            <w:vAlign w:val="center"/>
          </w:tcPr>
          <w:p w14:paraId="33D3C13B" w14:textId="77777777" w:rsidR="00B90936" w:rsidRDefault="00B90936" w:rsidP="001515D5">
            <w:r>
              <w:t>3.3%</w:t>
            </w:r>
          </w:p>
        </w:tc>
        <w:tc>
          <w:tcPr>
            <w:tcW w:w="3117" w:type="dxa"/>
            <w:vAlign w:val="center"/>
          </w:tcPr>
          <w:p w14:paraId="5DA8C4E8" w14:textId="77777777" w:rsidR="00B90936" w:rsidRDefault="00B90936" w:rsidP="001515D5">
            <w:r>
              <w:t>21.2%</w:t>
            </w:r>
          </w:p>
        </w:tc>
      </w:tr>
    </w:tbl>
    <w:p w14:paraId="6B807B80" w14:textId="77777777" w:rsidR="00B90936" w:rsidRPr="005171E4" w:rsidRDefault="00B90936" w:rsidP="00B90936">
      <w:r w:rsidRPr="005171E4">
        <w:t xml:space="preserve">Source: SC Youth Tobacco Survey. </w:t>
      </w:r>
    </w:p>
    <w:p w14:paraId="3B0EC99F" w14:textId="77777777" w:rsidR="00B90936" w:rsidRDefault="00B90936" w:rsidP="00B90936">
      <w:r w:rsidRPr="005171E4">
        <w:t>Note: ENDS = Electronic Nicotine Delivery System device.</w:t>
      </w:r>
    </w:p>
    <w:p w14:paraId="355F8874" w14:textId="77777777" w:rsidR="00CF1BB1" w:rsidRDefault="00CF1BB1" w:rsidP="00CF1BB1"/>
    <w:p w14:paraId="5B39ED36" w14:textId="77777777" w:rsidR="00CF1BB1" w:rsidRDefault="00CF1BB1" w:rsidP="00CF1BB1">
      <w:pPr>
        <w:pStyle w:val="Heading4"/>
      </w:pPr>
      <w:bookmarkStart w:id="605" w:name="_Toc162267405"/>
      <w:r w:rsidRPr="00CF1BB1">
        <w:t>Data Interpretations:</w:t>
      </w:r>
      <w:bookmarkEnd w:id="605"/>
      <w:r w:rsidRPr="00CF1BB1">
        <w:t xml:space="preserve"> </w:t>
      </w:r>
    </w:p>
    <w:p w14:paraId="52E995E0" w14:textId="5FCB71A9" w:rsidR="00CF1BB1" w:rsidRDefault="00CF1BB1" w:rsidP="00CF1BB1">
      <w:r w:rsidRPr="00CF1BB1">
        <w:t>Trend data show a decline in overall cigarette smoking rates among SC youth; however, use of Electronic Nicotine Delivery System devices (ENDS) such as e-cigarettes/vapes has increased (</w:t>
      </w:r>
      <w:r w:rsidRPr="00CF1BB1">
        <w:rPr>
          <w:b/>
          <w:bCs/>
        </w:rPr>
        <w:t>Figure 8.26</w:t>
      </w:r>
      <w:r w:rsidRPr="00CF1BB1">
        <w:t xml:space="preserve">).  The majority of e-cigarettes/vapes contain nicotine, which has long-lasting, negative health effects, especially for youth.  Exposure to nicotine among youth is particularly dangerous, since it has been shown to </w:t>
      </w:r>
      <w:proofErr w:type="gramStart"/>
      <w:r w:rsidRPr="00CF1BB1">
        <w:t>have an effect on</w:t>
      </w:r>
      <w:proofErr w:type="gramEnd"/>
      <w:r w:rsidRPr="00CF1BB1">
        <w:t xml:space="preserve"> key brain receptors, making young people more susceptible to nicotine addiction. In young people, five milligrams of nicotine a day is enough to establish a nicotine addiction ­— about the amount of nicotine in one-quarter of an e-cigarette pod. One e-cigarette pod contains the same amount of nicotine as an entire pack of cigarettes.    </w:t>
      </w:r>
    </w:p>
    <w:p w14:paraId="50297CE4" w14:textId="77777777" w:rsidR="005253DC" w:rsidRDefault="005253DC" w:rsidP="00CF1BB1">
      <w:pPr>
        <w:pStyle w:val="Heading5"/>
      </w:pPr>
    </w:p>
    <w:p w14:paraId="5250B77A" w14:textId="19759D8A" w:rsidR="00CF1BB1" w:rsidRDefault="00CF1BB1" w:rsidP="00CF1BB1">
      <w:pPr>
        <w:pStyle w:val="Heading5"/>
      </w:pPr>
      <w:r>
        <w:t xml:space="preserve">Key Takeaways: </w:t>
      </w:r>
    </w:p>
    <w:p w14:paraId="69B3A1B2" w14:textId="53610BA9" w:rsidR="00CF1BB1" w:rsidRPr="00CF1BB1" w:rsidRDefault="00CF1BB1" w:rsidP="00926EB3">
      <w:pPr>
        <w:pStyle w:val="ListParagraph"/>
        <w:numPr>
          <w:ilvl w:val="0"/>
          <w:numId w:val="225"/>
        </w:numPr>
      </w:pPr>
      <w:r w:rsidRPr="00CF1BB1">
        <w:t xml:space="preserve">Nicotine is harmful to developing adolescent brains because it damages the normal course of brain maturation and has lasting consequences on </w:t>
      </w:r>
      <w:r w:rsidRPr="00CF1BB1">
        <w:lastRenderedPageBreak/>
        <w:t>cognitive ability, mental health, and personality (including susceptibility to addiction to other substances).</w:t>
      </w:r>
    </w:p>
    <w:p w14:paraId="771FA552" w14:textId="77777777" w:rsidR="00CF1BB1" w:rsidRDefault="00CF1BB1" w:rsidP="00CF1BB1"/>
    <w:p w14:paraId="14164050" w14:textId="1BE97D02" w:rsidR="00CF1BB1" w:rsidRPr="00CF1BB1" w:rsidRDefault="00506CC7" w:rsidP="00CF1BB1">
      <w:pPr>
        <w:pStyle w:val="Heading4"/>
        <w:rPr>
          <w:rFonts w:asciiTheme="minorHAnsi" w:hAnsiTheme="minorHAnsi" w:cstheme="minorHAnsi"/>
          <w:color w:val="000000" w:themeColor="text1"/>
        </w:rPr>
      </w:pPr>
      <w:bookmarkStart w:id="606" w:name="_Toc162267406"/>
      <w:r w:rsidRPr="00CF1BB1">
        <w:rPr>
          <w:rFonts w:asciiTheme="minorHAnsi" w:hAnsiTheme="minorHAnsi" w:cstheme="minorHAnsi"/>
          <w:color w:val="000000" w:themeColor="text1"/>
        </w:rPr>
        <w:t xml:space="preserve">References </w:t>
      </w:r>
      <w:r w:rsidR="00CF1BB1" w:rsidRPr="00CF1BB1">
        <w:rPr>
          <w:rFonts w:asciiTheme="minorHAnsi" w:hAnsiTheme="minorHAnsi" w:cstheme="minorHAnsi"/>
          <w:color w:val="000000" w:themeColor="text1"/>
        </w:rPr>
        <w:t>8.14</w:t>
      </w:r>
      <w:bookmarkEnd w:id="606"/>
      <w:r w:rsidR="00CF1BB1" w:rsidRPr="00CF1BB1">
        <w:rPr>
          <w:rFonts w:asciiTheme="minorHAnsi" w:hAnsiTheme="minorHAnsi" w:cstheme="minorHAnsi"/>
          <w:color w:val="000000" w:themeColor="text1"/>
        </w:rPr>
        <w:t xml:space="preserve"> </w:t>
      </w:r>
    </w:p>
    <w:p w14:paraId="34AE0AC4" w14:textId="77777777" w:rsidR="00CF1BB1" w:rsidRPr="00CF1BB1" w:rsidRDefault="00CF1BB1" w:rsidP="00CF1BB1">
      <w:pPr>
        <w:rPr>
          <w:i/>
          <w:iCs/>
        </w:rPr>
      </w:pPr>
      <w:r w:rsidRPr="00CF1BB1">
        <w:t>Statistics in the preceding section were referenced from the following reports:</w:t>
      </w:r>
    </w:p>
    <w:p w14:paraId="22F9CF7A" w14:textId="763DE755" w:rsidR="005A5FEB" w:rsidRPr="005A5FEB" w:rsidRDefault="005A5FEB" w:rsidP="00926EB3">
      <w:pPr>
        <w:pStyle w:val="ListParagraph"/>
        <w:numPr>
          <w:ilvl w:val="0"/>
          <w:numId w:val="35"/>
        </w:numPr>
      </w:pPr>
      <w:r>
        <w:t>“</w:t>
      </w:r>
      <w:r w:rsidRPr="005A5FEB">
        <w:t>The Health Consequences of Smoking — 50 Years of Progress</w:t>
      </w:r>
      <w:r>
        <w:t xml:space="preserve">” by the </w:t>
      </w:r>
      <w:r w:rsidRPr="005A5FEB">
        <w:t>US Department of Health and Human Services, Centers for Disease Control and Prevention, National Center for Chronic Disease Prevention and Health Promotion, Office on Smoking and Health. Published online 2014</w:t>
      </w:r>
      <w:r>
        <w:t>. No hyperlink.</w:t>
      </w:r>
    </w:p>
    <w:p w14:paraId="64994A71" w14:textId="738F34DB" w:rsidR="005A5FEB" w:rsidRPr="005A5FEB" w:rsidRDefault="00000000" w:rsidP="00926EB3">
      <w:pPr>
        <w:pStyle w:val="ListParagraph"/>
        <w:numPr>
          <w:ilvl w:val="0"/>
          <w:numId w:val="35"/>
        </w:numPr>
      </w:pPr>
      <w:hyperlink r:id="rId271" w:history="1">
        <w:r w:rsidR="005A5FEB" w:rsidRPr="005A5FEB">
          <w:rPr>
            <w:rStyle w:val="Hyperlink"/>
          </w:rPr>
          <w:t>“Preventing Tobacco Use Among Youth and Young Adults: A Report of the Surgeon General” by the National Center for Chronic Disease Prevention and Health Promotion, Office on Smoking and Health. Preventing Tobacco Use Among Youth and Young Adults, 2012. Acc</w:t>
        </w:r>
      </w:hyperlink>
    </w:p>
    <w:p w14:paraId="67C9CA0F" w14:textId="6181589B" w:rsidR="005A5FEB" w:rsidRPr="005A5FEB" w:rsidRDefault="005A5FEB" w:rsidP="00926EB3">
      <w:pPr>
        <w:pStyle w:val="ListParagraph"/>
        <w:numPr>
          <w:ilvl w:val="0"/>
          <w:numId w:val="35"/>
        </w:numPr>
      </w:pPr>
      <w:r>
        <w:t>“</w:t>
      </w:r>
      <w:r w:rsidRPr="005A5FEB">
        <w:t>Short- and Long-Term Consequences of Nicotine Exposure during Adolescence for Prefrontal Cortex Neuronal Network Function</w:t>
      </w:r>
      <w:r>
        <w:t>” by</w:t>
      </w:r>
      <w:r w:rsidRPr="005A5FEB">
        <w:t xml:space="preserve"> </w:t>
      </w:r>
      <w:proofErr w:type="spellStart"/>
      <w:r w:rsidRPr="005A5FEB">
        <w:t>Goriounova</w:t>
      </w:r>
      <w:proofErr w:type="spellEnd"/>
      <w:r w:rsidRPr="005A5FEB">
        <w:t xml:space="preserve"> NA, </w:t>
      </w:r>
      <w:proofErr w:type="spellStart"/>
      <w:r w:rsidRPr="005A5FEB">
        <w:t>Mansvelder</w:t>
      </w:r>
      <w:proofErr w:type="spellEnd"/>
      <w:r w:rsidRPr="005A5FEB">
        <w:t xml:space="preserve"> HD.</w:t>
      </w:r>
      <w:r>
        <w:t xml:space="preserve"> Published in</w:t>
      </w:r>
      <w:r w:rsidRPr="005A5FEB">
        <w:t xml:space="preserve"> Cold Spring </w:t>
      </w:r>
      <w:proofErr w:type="spellStart"/>
      <w:r w:rsidRPr="005A5FEB">
        <w:t>Harb</w:t>
      </w:r>
      <w:proofErr w:type="spellEnd"/>
      <w:r w:rsidRPr="005A5FEB">
        <w:t xml:space="preserve"> </w:t>
      </w:r>
      <w:proofErr w:type="spellStart"/>
      <w:r w:rsidRPr="005A5FEB">
        <w:t>Perspect</w:t>
      </w:r>
      <w:proofErr w:type="spellEnd"/>
      <w:r w:rsidRPr="005A5FEB">
        <w:t xml:space="preserve"> Med</w:t>
      </w:r>
      <w:r>
        <w:t>,</w:t>
      </w:r>
      <w:r w:rsidRPr="005A5FEB">
        <w:t xml:space="preserve"> 2012</w:t>
      </w:r>
      <w:r>
        <w:t>.</w:t>
      </w:r>
      <w:r w:rsidR="00F813C0" w:rsidRPr="00F813C0">
        <w:t xml:space="preserve"> </w:t>
      </w:r>
      <w:r w:rsidR="00F813C0">
        <w:t>No hyperlink.</w:t>
      </w:r>
    </w:p>
    <w:p w14:paraId="435988B3" w14:textId="2B6474FA" w:rsidR="005A5FEB" w:rsidRPr="005A5FEB" w:rsidRDefault="00000000" w:rsidP="00926EB3">
      <w:pPr>
        <w:pStyle w:val="ListParagraph"/>
        <w:numPr>
          <w:ilvl w:val="0"/>
          <w:numId w:val="35"/>
        </w:numPr>
        <w:rPr>
          <w:u w:val="thick"/>
        </w:rPr>
      </w:pPr>
      <w:hyperlink r:id="rId272" w:history="1">
        <w:r w:rsidR="005A5FEB" w:rsidRPr="005A5FEB">
          <w:rPr>
            <w:rStyle w:val="Hyperlink"/>
          </w:rPr>
          <w:t>“Quick Facts on the Risks of E-cigarettes for Kids, Teens, and Young Adults” by CDC via cdc.gov. Accessed June 22, 2023.</w:t>
        </w:r>
      </w:hyperlink>
      <w:r w:rsidR="005A5FEB" w:rsidRPr="005A5FEB">
        <w:t xml:space="preserve"> </w:t>
      </w:r>
    </w:p>
    <w:p w14:paraId="5CDE2067" w14:textId="728AE90C" w:rsidR="005A5FEB" w:rsidRPr="005A5FEB" w:rsidRDefault="005A5FEB" w:rsidP="00926EB3">
      <w:pPr>
        <w:pStyle w:val="ListParagraph"/>
        <w:numPr>
          <w:ilvl w:val="0"/>
          <w:numId w:val="35"/>
        </w:numPr>
      </w:pPr>
      <w:r>
        <w:t>“</w:t>
      </w:r>
      <w:r w:rsidRPr="005A5FEB">
        <w:t>Moderating the Effects of Adverse Childhood Experiences to Address Inequities in Tobacco-Related Risk Behaviors</w:t>
      </w:r>
      <w:r>
        <w:t xml:space="preserve">” by </w:t>
      </w:r>
      <w:r w:rsidRPr="005A5FEB">
        <w:t xml:space="preserve">Srivastav A, </w:t>
      </w:r>
      <w:proofErr w:type="spellStart"/>
      <w:r w:rsidRPr="005A5FEB">
        <w:t>Strompolis</w:t>
      </w:r>
      <w:proofErr w:type="spellEnd"/>
      <w:r w:rsidRPr="005A5FEB">
        <w:t xml:space="preserve"> M, </w:t>
      </w:r>
      <w:proofErr w:type="spellStart"/>
      <w:r w:rsidRPr="005A5FEB">
        <w:t>Kipp</w:t>
      </w:r>
      <w:proofErr w:type="spellEnd"/>
      <w:r w:rsidRPr="005A5FEB">
        <w:t xml:space="preserve"> C, Richard CL, Thrasher JF.</w:t>
      </w:r>
      <w:r>
        <w:t xml:space="preserve"> Published in</w:t>
      </w:r>
      <w:r w:rsidRPr="005A5FEB">
        <w:t xml:space="preserve"> Health </w:t>
      </w:r>
      <w:proofErr w:type="spellStart"/>
      <w:r w:rsidRPr="005A5FEB">
        <w:t>Promot</w:t>
      </w:r>
      <w:proofErr w:type="spellEnd"/>
      <w:r w:rsidRPr="005A5FEB">
        <w:t xml:space="preserve"> </w:t>
      </w:r>
      <w:proofErr w:type="spellStart"/>
      <w:r w:rsidRPr="005A5FEB">
        <w:t>Pract</w:t>
      </w:r>
      <w:proofErr w:type="spellEnd"/>
      <w:r w:rsidR="00F813C0">
        <w:t>,</w:t>
      </w:r>
      <w:r w:rsidRPr="005A5FEB">
        <w:t xml:space="preserve"> 2020</w:t>
      </w:r>
      <w:r w:rsidR="00F813C0">
        <w:t>.</w:t>
      </w:r>
    </w:p>
    <w:p w14:paraId="508E0667" w14:textId="7B60DC1A" w:rsidR="005A5FEB" w:rsidRPr="005A5FEB" w:rsidRDefault="00F813C0" w:rsidP="00926EB3">
      <w:pPr>
        <w:pStyle w:val="ListParagraph"/>
        <w:numPr>
          <w:ilvl w:val="0"/>
          <w:numId w:val="35"/>
        </w:numPr>
      </w:pPr>
      <w:r>
        <w:t>“</w:t>
      </w:r>
      <w:r w:rsidR="005A5FEB" w:rsidRPr="005A5FEB">
        <w:t>Nicotine arms race: JUUL and the high-nicotine product market</w:t>
      </w:r>
      <w:r>
        <w:t>” by</w:t>
      </w:r>
      <w:r w:rsidRPr="00F813C0">
        <w:t xml:space="preserve"> </w:t>
      </w:r>
      <w:proofErr w:type="spellStart"/>
      <w:r w:rsidRPr="005A5FEB">
        <w:t>Jackler</w:t>
      </w:r>
      <w:proofErr w:type="spellEnd"/>
      <w:r w:rsidRPr="005A5FEB">
        <w:t xml:space="preserve"> RK, </w:t>
      </w:r>
      <w:proofErr w:type="spellStart"/>
      <w:r w:rsidRPr="005A5FEB">
        <w:t>Ramamurthi</w:t>
      </w:r>
      <w:proofErr w:type="spellEnd"/>
      <w:r w:rsidRPr="005A5FEB">
        <w:t xml:space="preserve"> D</w:t>
      </w:r>
      <w:r w:rsidR="005A5FEB" w:rsidRPr="005A5FEB">
        <w:t xml:space="preserve">. </w:t>
      </w:r>
      <w:r>
        <w:t xml:space="preserve">Published in </w:t>
      </w:r>
      <w:r w:rsidR="005A5FEB" w:rsidRPr="005A5FEB">
        <w:t>Tob Control</w:t>
      </w:r>
      <w:r>
        <w:t>, 2019. No hyperlink.</w:t>
      </w:r>
    </w:p>
    <w:p w14:paraId="73988856" w14:textId="02C407EB" w:rsidR="005A5FEB" w:rsidRPr="005A5FEB" w:rsidRDefault="00F813C0" w:rsidP="00926EB3">
      <w:pPr>
        <w:pStyle w:val="ListParagraph"/>
        <w:numPr>
          <w:ilvl w:val="0"/>
          <w:numId w:val="35"/>
        </w:numPr>
      </w:pPr>
      <w:r>
        <w:t>“</w:t>
      </w:r>
      <w:r w:rsidR="005A5FEB" w:rsidRPr="005A5FEB">
        <w:t>Establishing a nicotine threshold for addiction</w:t>
      </w:r>
      <w:r>
        <w:t xml:space="preserve">- </w:t>
      </w:r>
      <w:r w:rsidR="005A5FEB" w:rsidRPr="005A5FEB">
        <w:t>The implications for tobacco regulation</w:t>
      </w:r>
      <w:r>
        <w:t>” by</w:t>
      </w:r>
      <w:r w:rsidRPr="00F813C0">
        <w:t xml:space="preserve"> </w:t>
      </w:r>
      <w:proofErr w:type="spellStart"/>
      <w:r w:rsidRPr="005A5FEB">
        <w:t>Benowitz</w:t>
      </w:r>
      <w:proofErr w:type="spellEnd"/>
      <w:r w:rsidRPr="005A5FEB">
        <w:t xml:space="preserve"> NL, </w:t>
      </w:r>
      <w:proofErr w:type="spellStart"/>
      <w:r w:rsidRPr="005A5FEB">
        <w:t>Henningfield</w:t>
      </w:r>
      <w:proofErr w:type="spellEnd"/>
      <w:r w:rsidRPr="005A5FEB">
        <w:t xml:space="preserve"> JE</w:t>
      </w:r>
      <w:r w:rsidR="005A5FEB" w:rsidRPr="005A5FEB">
        <w:t xml:space="preserve">. N </w:t>
      </w:r>
      <w:proofErr w:type="spellStart"/>
      <w:r w:rsidR="005A5FEB" w:rsidRPr="005A5FEB">
        <w:t>Engl</w:t>
      </w:r>
      <w:proofErr w:type="spellEnd"/>
      <w:r w:rsidR="005A5FEB" w:rsidRPr="005A5FEB">
        <w:t xml:space="preserve"> J Med</w:t>
      </w:r>
      <w:r>
        <w:t>,</w:t>
      </w:r>
      <w:r w:rsidR="005A5FEB" w:rsidRPr="005A5FEB">
        <w:t xml:space="preserve"> 1994</w:t>
      </w:r>
      <w:r>
        <w:t>.</w:t>
      </w:r>
      <w:r w:rsidRPr="00F813C0">
        <w:t xml:space="preserve"> </w:t>
      </w:r>
      <w:r>
        <w:t>No hyperlink.</w:t>
      </w:r>
    </w:p>
    <w:p w14:paraId="776263E4" w14:textId="77777777" w:rsidR="00CF1BB1" w:rsidRDefault="00CF1BB1" w:rsidP="00CF1BB1"/>
    <w:p w14:paraId="30A05BD0" w14:textId="77777777" w:rsidR="00CF1BB1" w:rsidRPr="00CF1BB1" w:rsidRDefault="00CF1BB1" w:rsidP="00CF1BB1">
      <w:pPr>
        <w:pStyle w:val="Heading3"/>
      </w:pPr>
      <w:bookmarkStart w:id="607" w:name="_Toc162267407"/>
      <w:r w:rsidRPr="00CF1BB1">
        <w:t>Bullying and Violence</w:t>
      </w:r>
      <w:bookmarkEnd w:id="607"/>
    </w:p>
    <w:p w14:paraId="11544DA5" w14:textId="1EFF9D42" w:rsidR="00CF1BB1" w:rsidRPr="00CF1BB1" w:rsidRDefault="00CF1BB1" w:rsidP="00CF1BB1">
      <w:r w:rsidRPr="00CF1BB1">
        <w:t xml:space="preserve">Bullying can result in physical injury, social and emotional distress, self-harm, and even death. About 1 in 5 US high school students reported being bullied on school property, and more than 1 in 6 reported being cyberbullied in the last year. Other forms of violence such as fighting, weapon use, and sexual assault occur at schools. According to the 2019 YRBS, in the 12 months before the survey, 21.9% of high school students reported being in a physical fight at least once in the last </w:t>
      </w:r>
      <w:r w:rsidRPr="00CF1BB1">
        <w:lastRenderedPageBreak/>
        <w:t xml:space="preserve">year, and more than 7% of high school students had been threatened or injured with a weapon at school. </w:t>
      </w:r>
    </w:p>
    <w:p w14:paraId="3895D6E5" w14:textId="77777777" w:rsidR="00CF1BB1" w:rsidRDefault="00CF1BB1" w:rsidP="00CF1BB1"/>
    <w:p w14:paraId="61387F5E" w14:textId="77777777" w:rsidR="00B90936" w:rsidRDefault="00B90936" w:rsidP="00B90936">
      <w:pPr>
        <w:pStyle w:val="Heading4"/>
      </w:pPr>
      <w:bookmarkStart w:id="608" w:name="_Toc154576462"/>
      <w:bookmarkStart w:id="609" w:name="_Toc162267408"/>
      <w:r>
        <w:t>Figure 8.27: Physical Fight At Least One in the Last 12 Months.</w:t>
      </w:r>
      <w:bookmarkEnd w:id="608"/>
      <w:bookmarkEnd w:id="609"/>
    </w:p>
    <w:tbl>
      <w:tblPr>
        <w:tblStyle w:val="TableGrid"/>
        <w:tblW w:w="0" w:type="auto"/>
        <w:tblLook w:val="04A0" w:firstRow="1" w:lastRow="0" w:firstColumn="1" w:lastColumn="0" w:noHBand="0" w:noVBand="1"/>
      </w:tblPr>
      <w:tblGrid>
        <w:gridCol w:w="3116"/>
        <w:gridCol w:w="3117"/>
        <w:gridCol w:w="3117"/>
      </w:tblGrid>
      <w:tr w:rsidR="00B90936" w14:paraId="75AFD875" w14:textId="77777777" w:rsidTr="001515D5">
        <w:tc>
          <w:tcPr>
            <w:tcW w:w="3116" w:type="dxa"/>
            <w:vAlign w:val="center"/>
          </w:tcPr>
          <w:p w14:paraId="4F7B2100" w14:textId="77777777" w:rsidR="00B90936" w:rsidRPr="005171E4" w:rsidRDefault="00B90936" w:rsidP="001515D5">
            <w:r>
              <w:t>Year</w:t>
            </w:r>
          </w:p>
        </w:tc>
        <w:tc>
          <w:tcPr>
            <w:tcW w:w="3117" w:type="dxa"/>
            <w:vAlign w:val="center"/>
          </w:tcPr>
          <w:p w14:paraId="41ADCD66" w14:textId="1D427DD7" w:rsidR="00B90936" w:rsidRPr="005171E4" w:rsidRDefault="00B90936" w:rsidP="001515D5">
            <w:r w:rsidRPr="005171E4">
              <w:t>S</w:t>
            </w:r>
            <w:r w:rsidR="00195CD4">
              <w:t>outh Carolina</w:t>
            </w:r>
          </w:p>
        </w:tc>
        <w:tc>
          <w:tcPr>
            <w:tcW w:w="3117" w:type="dxa"/>
            <w:vAlign w:val="center"/>
          </w:tcPr>
          <w:p w14:paraId="43AD9813" w14:textId="77777777" w:rsidR="00B90936" w:rsidRPr="005171E4" w:rsidRDefault="00B90936" w:rsidP="001515D5">
            <w:r>
              <w:t>Healthy People 2030 Goal</w:t>
            </w:r>
          </w:p>
        </w:tc>
      </w:tr>
      <w:tr w:rsidR="00B90936" w14:paraId="31DAFFA7" w14:textId="77777777" w:rsidTr="001515D5">
        <w:tc>
          <w:tcPr>
            <w:tcW w:w="3116" w:type="dxa"/>
            <w:vAlign w:val="center"/>
          </w:tcPr>
          <w:p w14:paraId="760FEC3F" w14:textId="77777777" w:rsidR="00B90936" w:rsidRPr="005171E4" w:rsidRDefault="00B90936" w:rsidP="001515D5">
            <w:r w:rsidRPr="005171E4">
              <w:t>2015</w:t>
            </w:r>
          </w:p>
        </w:tc>
        <w:tc>
          <w:tcPr>
            <w:tcW w:w="3117" w:type="dxa"/>
            <w:vAlign w:val="center"/>
          </w:tcPr>
          <w:p w14:paraId="5BE734BB" w14:textId="77777777" w:rsidR="00B90936" w:rsidRPr="005171E4" w:rsidRDefault="00B90936" w:rsidP="001515D5">
            <w:r w:rsidRPr="005171E4">
              <w:t>25.8%</w:t>
            </w:r>
          </w:p>
        </w:tc>
        <w:tc>
          <w:tcPr>
            <w:tcW w:w="3117" w:type="dxa"/>
            <w:vAlign w:val="center"/>
          </w:tcPr>
          <w:p w14:paraId="4FDECFE9" w14:textId="77777777" w:rsidR="00B90936" w:rsidRPr="005171E4" w:rsidRDefault="00B90936" w:rsidP="001515D5">
            <w:r w:rsidRPr="005171E4">
              <w:t>20.9%</w:t>
            </w:r>
          </w:p>
        </w:tc>
      </w:tr>
      <w:tr w:rsidR="00B90936" w14:paraId="0DA6F228" w14:textId="77777777" w:rsidTr="001515D5">
        <w:tc>
          <w:tcPr>
            <w:tcW w:w="3116" w:type="dxa"/>
            <w:vAlign w:val="center"/>
          </w:tcPr>
          <w:p w14:paraId="398E739F" w14:textId="77777777" w:rsidR="00B90936" w:rsidRPr="005171E4" w:rsidRDefault="00B90936" w:rsidP="001515D5">
            <w:r w:rsidRPr="005171E4">
              <w:t>2017</w:t>
            </w:r>
          </w:p>
        </w:tc>
        <w:tc>
          <w:tcPr>
            <w:tcW w:w="3117" w:type="dxa"/>
            <w:vAlign w:val="center"/>
          </w:tcPr>
          <w:p w14:paraId="28F67F51" w14:textId="77777777" w:rsidR="00B90936" w:rsidRPr="005171E4" w:rsidRDefault="00B90936" w:rsidP="001515D5">
            <w:r w:rsidRPr="005171E4">
              <w:t>23.9%</w:t>
            </w:r>
          </w:p>
        </w:tc>
        <w:tc>
          <w:tcPr>
            <w:tcW w:w="3117" w:type="dxa"/>
            <w:vAlign w:val="center"/>
          </w:tcPr>
          <w:p w14:paraId="137F1720" w14:textId="77777777" w:rsidR="00B90936" w:rsidRPr="005171E4" w:rsidRDefault="00B90936" w:rsidP="001515D5">
            <w:r w:rsidRPr="005171E4">
              <w:t>20.9%</w:t>
            </w:r>
          </w:p>
        </w:tc>
      </w:tr>
      <w:tr w:rsidR="00B90936" w14:paraId="773AE15E" w14:textId="77777777" w:rsidTr="001515D5">
        <w:tc>
          <w:tcPr>
            <w:tcW w:w="3116" w:type="dxa"/>
            <w:vAlign w:val="center"/>
          </w:tcPr>
          <w:p w14:paraId="58A49F9A" w14:textId="77777777" w:rsidR="00B90936" w:rsidRPr="005171E4" w:rsidRDefault="00B90936" w:rsidP="001515D5">
            <w:r w:rsidRPr="005171E4">
              <w:t>2019</w:t>
            </w:r>
          </w:p>
        </w:tc>
        <w:tc>
          <w:tcPr>
            <w:tcW w:w="3117" w:type="dxa"/>
            <w:vAlign w:val="center"/>
          </w:tcPr>
          <w:p w14:paraId="3E8BC431" w14:textId="77777777" w:rsidR="00B90936" w:rsidRPr="005171E4" w:rsidRDefault="00B90936" w:rsidP="001515D5">
            <w:r w:rsidRPr="005171E4">
              <w:t>21.9%</w:t>
            </w:r>
          </w:p>
        </w:tc>
        <w:tc>
          <w:tcPr>
            <w:tcW w:w="3117" w:type="dxa"/>
            <w:vAlign w:val="center"/>
          </w:tcPr>
          <w:p w14:paraId="12F25F33" w14:textId="77777777" w:rsidR="00B90936" w:rsidRPr="005171E4" w:rsidRDefault="00B90936" w:rsidP="001515D5">
            <w:r w:rsidRPr="005171E4">
              <w:t>20.9%</w:t>
            </w:r>
          </w:p>
        </w:tc>
      </w:tr>
    </w:tbl>
    <w:p w14:paraId="28E4DC0B" w14:textId="0B9B7763" w:rsidR="00B90936" w:rsidRDefault="00B90936" w:rsidP="00B90936">
      <w:r w:rsidRPr="005171E4">
        <w:t>Source: South Carolina, High School Youth Risk Behavior Survey (YRBS)</w:t>
      </w:r>
      <w:r>
        <w:t>.</w:t>
      </w:r>
    </w:p>
    <w:p w14:paraId="5C6D53C6" w14:textId="77777777" w:rsidR="00B90936" w:rsidRDefault="00B90936" w:rsidP="00B90936"/>
    <w:p w14:paraId="6EDA6670" w14:textId="77777777" w:rsidR="00B90936" w:rsidRDefault="00B90936" w:rsidP="00B90936">
      <w:pPr>
        <w:pStyle w:val="Heading4"/>
      </w:pPr>
      <w:bookmarkStart w:id="610" w:name="_Toc154576463"/>
      <w:bookmarkStart w:id="611" w:name="_Toc162267409"/>
      <w:r>
        <w:t>Figure 8.28: Physical Fight At Least One in the Last 12 Months, by Race/Ethnicity.</w:t>
      </w:r>
      <w:bookmarkEnd w:id="610"/>
      <w:bookmarkEnd w:id="611"/>
    </w:p>
    <w:tbl>
      <w:tblPr>
        <w:tblStyle w:val="TableGrid"/>
        <w:tblW w:w="0" w:type="auto"/>
        <w:tblLook w:val="04A0" w:firstRow="1" w:lastRow="0" w:firstColumn="1" w:lastColumn="0" w:noHBand="0" w:noVBand="1"/>
      </w:tblPr>
      <w:tblGrid>
        <w:gridCol w:w="4675"/>
        <w:gridCol w:w="4675"/>
      </w:tblGrid>
      <w:tr w:rsidR="00B90936" w14:paraId="209BF82F" w14:textId="77777777" w:rsidTr="001515D5">
        <w:tc>
          <w:tcPr>
            <w:tcW w:w="4675" w:type="dxa"/>
          </w:tcPr>
          <w:p w14:paraId="4B98CBBA" w14:textId="77777777" w:rsidR="00B90936" w:rsidRDefault="00B90936" w:rsidP="001515D5">
            <w:r>
              <w:t>Race/Ethnicity</w:t>
            </w:r>
          </w:p>
        </w:tc>
        <w:tc>
          <w:tcPr>
            <w:tcW w:w="4675" w:type="dxa"/>
          </w:tcPr>
          <w:p w14:paraId="3FCC6DC5" w14:textId="77777777" w:rsidR="00B90936" w:rsidRDefault="00B90936" w:rsidP="001515D5">
            <w:r>
              <w:t>Percent</w:t>
            </w:r>
          </w:p>
        </w:tc>
      </w:tr>
      <w:tr w:rsidR="00B90936" w14:paraId="671D6505" w14:textId="77777777" w:rsidTr="001515D5">
        <w:tc>
          <w:tcPr>
            <w:tcW w:w="4675" w:type="dxa"/>
            <w:vAlign w:val="center"/>
          </w:tcPr>
          <w:p w14:paraId="1A8CDFD8" w14:textId="77777777" w:rsidR="00B90936" w:rsidRDefault="00B90936" w:rsidP="001515D5">
            <w:r>
              <w:t>Non-Hispanic White</w:t>
            </w:r>
          </w:p>
        </w:tc>
        <w:tc>
          <w:tcPr>
            <w:tcW w:w="4675" w:type="dxa"/>
            <w:vAlign w:val="center"/>
          </w:tcPr>
          <w:p w14:paraId="297420DC" w14:textId="77777777" w:rsidR="00B90936" w:rsidRDefault="00B90936" w:rsidP="001515D5">
            <w:r>
              <w:t>15.2%</w:t>
            </w:r>
          </w:p>
        </w:tc>
      </w:tr>
      <w:tr w:rsidR="00B90936" w14:paraId="11AC8A04" w14:textId="77777777" w:rsidTr="001515D5">
        <w:tc>
          <w:tcPr>
            <w:tcW w:w="4675" w:type="dxa"/>
            <w:vAlign w:val="center"/>
          </w:tcPr>
          <w:p w14:paraId="6DB96D7F" w14:textId="77777777" w:rsidR="00B90936" w:rsidRDefault="00B90936" w:rsidP="001515D5">
            <w:r>
              <w:t>Non-Hispanic Black</w:t>
            </w:r>
          </w:p>
        </w:tc>
        <w:tc>
          <w:tcPr>
            <w:tcW w:w="4675" w:type="dxa"/>
            <w:vAlign w:val="center"/>
          </w:tcPr>
          <w:p w14:paraId="7DAA8490" w14:textId="77777777" w:rsidR="00B90936" w:rsidRDefault="00B90936" w:rsidP="001515D5">
            <w:r>
              <w:t>30.2%</w:t>
            </w:r>
          </w:p>
        </w:tc>
      </w:tr>
      <w:tr w:rsidR="00B90936" w14:paraId="5E3BB41F" w14:textId="77777777" w:rsidTr="001515D5">
        <w:tc>
          <w:tcPr>
            <w:tcW w:w="4675" w:type="dxa"/>
            <w:vAlign w:val="center"/>
          </w:tcPr>
          <w:p w14:paraId="23377F1E" w14:textId="77777777" w:rsidR="00B90936" w:rsidRDefault="00B90936" w:rsidP="001515D5">
            <w:r>
              <w:t>Non-Hispanic Other (includes multi-racial)</w:t>
            </w:r>
          </w:p>
        </w:tc>
        <w:tc>
          <w:tcPr>
            <w:tcW w:w="4675" w:type="dxa"/>
            <w:vAlign w:val="center"/>
          </w:tcPr>
          <w:p w14:paraId="23145633" w14:textId="77777777" w:rsidR="00B90936" w:rsidRDefault="00B90936" w:rsidP="001515D5">
            <w:r>
              <w:t>18.6%</w:t>
            </w:r>
          </w:p>
        </w:tc>
      </w:tr>
      <w:tr w:rsidR="00B90936" w14:paraId="1730E322" w14:textId="77777777" w:rsidTr="001515D5">
        <w:tc>
          <w:tcPr>
            <w:tcW w:w="4675" w:type="dxa"/>
            <w:vAlign w:val="center"/>
          </w:tcPr>
          <w:p w14:paraId="337A020C" w14:textId="77777777" w:rsidR="00B90936" w:rsidRDefault="00B90936" w:rsidP="001515D5">
            <w:r>
              <w:t>Hispanic</w:t>
            </w:r>
          </w:p>
        </w:tc>
        <w:tc>
          <w:tcPr>
            <w:tcW w:w="4675" w:type="dxa"/>
            <w:vAlign w:val="center"/>
          </w:tcPr>
          <w:p w14:paraId="6AAD58B4" w14:textId="77777777" w:rsidR="00B90936" w:rsidRDefault="00B90936" w:rsidP="001515D5">
            <w:r>
              <w:t>29.0%</w:t>
            </w:r>
          </w:p>
        </w:tc>
      </w:tr>
    </w:tbl>
    <w:p w14:paraId="49865EDA" w14:textId="663FCC4E" w:rsidR="00B90936" w:rsidRDefault="00B90936" w:rsidP="00B90936">
      <w:r w:rsidRPr="005171E4">
        <w:t>Source: South Carolina, High School Youth Risk Behavior Survey (YRBS), 2019.</w:t>
      </w:r>
    </w:p>
    <w:p w14:paraId="6C5D463F" w14:textId="77777777" w:rsidR="00CF1BB1" w:rsidRDefault="00CF1BB1" w:rsidP="00CF1BB1"/>
    <w:p w14:paraId="3C967049" w14:textId="77777777" w:rsidR="00CF1BB1" w:rsidRDefault="00CF1BB1" w:rsidP="00CF1BB1">
      <w:pPr>
        <w:pStyle w:val="Heading4"/>
      </w:pPr>
      <w:bookmarkStart w:id="612" w:name="_Toc162267410"/>
      <w:r w:rsidRPr="00CF1BB1">
        <w:t>Data Interpretations:</w:t>
      </w:r>
      <w:bookmarkEnd w:id="612"/>
      <w:r w:rsidRPr="00CF1BB1">
        <w:t xml:space="preserve"> </w:t>
      </w:r>
    </w:p>
    <w:p w14:paraId="6FD135A2" w14:textId="442C012F" w:rsidR="00CF1BB1" w:rsidRPr="00CF1BB1" w:rsidRDefault="00CF1BB1" w:rsidP="00CF1BB1">
      <w:r w:rsidRPr="00CF1BB1">
        <w:t>Some youth experience bullying more than others. Nearly 40% of US high school students who identify as lesbian, gay, or bisexual experienced bullying at school or electronically in the last year, compared to 22% of heterosexual students. About 30% of female high school students experienced bullying at school or electronically in the last year, compared to about 19% of males. In SC, the proportion of students reporting being in a physical fight in the last 12 months decreased from 25.8% in 2015 to 21.9% in 2019, but this is still higher than the Healthy People 2030 goal of 20.9% (</w:t>
      </w:r>
      <w:r w:rsidRPr="00CF1BB1">
        <w:rPr>
          <w:b/>
          <w:bCs/>
        </w:rPr>
        <w:t>Figure 8.27</w:t>
      </w:r>
      <w:r w:rsidRPr="00CF1BB1">
        <w:t>). Additionally, in 2019, the prevalence of being in a physical fight in the last year was highest among non-Hispanic Black (30.2%) and Hispanic (29.0%) high school students in SC (</w:t>
      </w:r>
      <w:r w:rsidRPr="00CF1BB1">
        <w:rPr>
          <w:b/>
          <w:bCs/>
        </w:rPr>
        <w:t>Figure 8.28</w:t>
      </w:r>
      <w:r w:rsidRPr="00CF1BB1">
        <w:t xml:space="preserve">). </w:t>
      </w:r>
    </w:p>
    <w:p w14:paraId="503063B4" w14:textId="77777777" w:rsidR="00CF1BB1" w:rsidRDefault="00CF1BB1" w:rsidP="00CF1BB1"/>
    <w:p w14:paraId="690934F0" w14:textId="011E4E9D" w:rsidR="00CF1BB1" w:rsidRDefault="00CF1BB1" w:rsidP="00CF1BB1">
      <w:pPr>
        <w:pStyle w:val="Heading5"/>
      </w:pPr>
      <w:r>
        <w:t xml:space="preserve">Key Takeaways: </w:t>
      </w:r>
    </w:p>
    <w:p w14:paraId="5AC45EDD" w14:textId="77777777" w:rsidR="00CF1BB1" w:rsidRPr="00CF1BB1" w:rsidRDefault="00CF1BB1" w:rsidP="00926EB3">
      <w:pPr>
        <w:pStyle w:val="ListParagraph"/>
        <w:numPr>
          <w:ilvl w:val="0"/>
          <w:numId w:val="225"/>
        </w:numPr>
      </w:pPr>
      <w:r w:rsidRPr="00CF1BB1">
        <w:t>Nearly 40% of US high school students who identify as lesbian, gay, or bisexual experienced bullying at school or electronically in the last year, compared to 22% of heterosexual students.</w:t>
      </w:r>
    </w:p>
    <w:p w14:paraId="4AE1FC47" w14:textId="77777777" w:rsidR="00CF1BB1" w:rsidRPr="00CF1BB1" w:rsidRDefault="00CF1BB1" w:rsidP="00CF1BB1"/>
    <w:p w14:paraId="744F570B" w14:textId="456FCEF4" w:rsidR="00CF1BB1" w:rsidRPr="00CF1BB1" w:rsidRDefault="00506CC7" w:rsidP="00CF1BB1">
      <w:pPr>
        <w:pStyle w:val="Heading4"/>
        <w:rPr>
          <w:rFonts w:asciiTheme="minorHAnsi" w:hAnsiTheme="minorHAnsi" w:cstheme="minorHAnsi"/>
          <w:color w:val="000000" w:themeColor="text1"/>
        </w:rPr>
      </w:pPr>
      <w:bookmarkStart w:id="613" w:name="_Toc162267411"/>
      <w:r w:rsidRPr="00CF1BB1">
        <w:rPr>
          <w:rFonts w:asciiTheme="minorHAnsi" w:hAnsiTheme="minorHAnsi" w:cstheme="minorHAnsi"/>
          <w:color w:val="000000" w:themeColor="text1"/>
        </w:rPr>
        <w:t xml:space="preserve">References </w:t>
      </w:r>
      <w:r w:rsidR="00CF1BB1" w:rsidRPr="00CF1BB1">
        <w:rPr>
          <w:rFonts w:asciiTheme="minorHAnsi" w:hAnsiTheme="minorHAnsi" w:cstheme="minorHAnsi"/>
          <w:color w:val="000000" w:themeColor="text1"/>
        </w:rPr>
        <w:t>8.15</w:t>
      </w:r>
      <w:bookmarkEnd w:id="613"/>
      <w:r w:rsidR="00CF1BB1" w:rsidRPr="00CF1BB1">
        <w:rPr>
          <w:rFonts w:asciiTheme="minorHAnsi" w:hAnsiTheme="minorHAnsi" w:cstheme="minorHAnsi"/>
          <w:color w:val="000000" w:themeColor="text1"/>
        </w:rPr>
        <w:t xml:space="preserve"> </w:t>
      </w:r>
    </w:p>
    <w:p w14:paraId="22CB2960" w14:textId="77777777" w:rsidR="00CF1BB1" w:rsidRPr="00CF1BB1" w:rsidRDefault="00CF1BB1" w:rsidP="00CF1BB1">
      <w:pPr>
        <w:rPr>
          <w:i/>
          <w:iCs/>
        </w:rPr>
      </w:pPr>
      <w:r w:rsidRPr="00CF1BB1">
        <w:t>Statistics in the preceding section were referenced from the following reports:</w:t>
      </w:r>
    </w:p>
    <w:p w14:paraId="294C436C" w14:textId="57606D8E" w:rsidR="00F813C0" w:rsidRPr="00F813C0" w:rsidRDefault="00000000" w:rsidP="00926EB3">
      <w:pPr>
        <w:pStyle w:val="ListParagraph"/>
        <w:numPr>
          <w:ilvl w:val="0"/>
          <w:numId w:val="35"/>
        </w:numPr>
      </w:pPr>
      <w:hyperlink r:id="rId273" w:history="1">
        <w:r w:rsidR="00F813C0" w:rsidRPr="00F813C0">
          <w:rPr>
            <w:rStyle w:val="Hyperlink"/>
          </w:rPr>
          <w:t>“Fast Fact: Preventing Bullying, Violence Prevention” by the CDC Injury Center via cdc.gov. Accessed June 22, 2023.</w:t>
        </w:r>
      </w:hyperlink>
      <w:r w:rsidR="00F813C0" w:rsidRPr="00F813C0">
        <w:t xml:space="preserve"> </w:t>
      </w:r>
    </w:p>
    <w:p w14:paraId="6DC355A8" w14:textId="3BBFBAD8" w:rsidR="00F813C0" w:rsidRPr="00F813C0" w:rsidRDefault="00000000" w:rsidP="00926EB3">
      <w:pPr>
        <w:pStyle w:val="ListParagraph"/>
        <w:numPr>
          <w:ilvl w:val="0"/>
          <w:numId w:val="35"/>
        </w:numPr>
      </w:pPr>
      <w:hyperlink r:id="rId274" w:history="1">
        <w:r w:rsidR="00F813C0" w:rsidRPr="00F813C0">
          <w:rPr>
            <w:rStyle w:val="Hyperlink"/>
          </w:rPr>
          <w:t>“Fast Fact: Preventing School Violence, Violence Prevention” by the CDC Injury Center via cdc.gov. Accessed June 22, 2023.</w:t>
        </w:r>
      </w:hyperlink>
      <w:r w:rsidR="00F813C0" w:rsidRPr="00F813C0">
        <w:t xml:space="preserve"> </w:t>
      </w:r>
    </w:p>
    <w:p w14:paraId="4790D044" w14:textId="77777777" w:rsidR="00CF1BB1" w:rsidRDefault="00CF1BB1" w:rsidP="00CF1BB1"/>
    <w:p w14:paraId="27CF7D37" w14:textId="2688E1B0" w:rsidR="00CF1BB1" w:rsidRDefault="00CF1BB1" w:rsidP="00CF1BB1">
      <w:pPr>
        <w:pStyle w:val="Heading3"/>
      </w:pPr>
      <w:bookmarkStart w:id="614" w:name="_Toc162267412"/>
      <w:r>
        <w:t>Teen Pregnancy</w:t>
      </w:r>
      <w:bookmarkEnd w:id="614"/>
    </w:p>
    <w:p w14:paraId="2A1EC434" w14:textId="0EF1C22A" w:rsidR="00CF1BB1" w:rsidRPr="00CF1BB1" w:rsidRDefault="00CF1BB1" w:rsidP="00CF1BB1">
      <w:r w:rsidRPr="00CF1BB1">
        <w:t>In the US, the teen birth rate (births per 1,000 females aged 15 to 19 years) has been declining since 1991. Rates over the last few years have continued to decline, from 18.8 births per 1,000 females in 2017 to 13.9 births per 1,000 females in 2021. However, the teen birth rate in the US is still substantially higher than other industrialized nations, and racial and ethnic disparities persist.</w:t>
      </w:r>
    </w:p>
    <w:p w14:paraId="7B5031F4" w14:textId="77777777" w:rsidR="00CF1BB1" w:rsidRDefault="00CF1BB1" w:rsidP="00CF1BB1"/>
    <w:p w14:paraId="7959C698" w14:textId="6C1FEF99" w:rsidR="00CF1BB1" w:rsidRPr="00CF1BB1" w:rsidRDefault="00CF1BB1" w:rsidP="00CF1BB1">
      <w:r w:rsidRPr="00CF1BB1">
        <w:t xml:space="preserve">Teen pregnancy and childbearing can have short- and long-term negative consequences for teen parents and their children. For example, teen pregnancies can negatively affect educational attainment; only around 50% of teen mothers have received a high school diploma, compared to 90% of women who did not give birth during adolescence. Additionally, children who are born to teen mothers are more likely to experience adverse birth outcomes, such as having a higher risk for low birthweight and infant mortality. Being born to a teen mother also places children at higher risk of long-term adverse outcomes, such as behavioral problems, chronic health conditions, being placed in foster care, and more.  </w:t>
      </w:r>
    </w:p>
    <w:p w14:paraId="78B56AA0" w14:textId="77777777" w:rsidR="00CF1BB1" w:rsidRDefault="00CF1BB1" w:rsidP="00CF1BB1"/>
    <w:p w14:paraId="1B13CE81" w14:textId="77777777" w:rsidR="00B90936" w:rsidRDefault="00B90936" w:rsidP="00B90936">
      <w:pPr>
        <w:pStyle w:val="Heading4"/>
      </w:pPr>
      <w:bookmarkStart w:id="615" w:name="_Toc154576464"/>
      <w:bookmarkStart w:id="616" w:name="_Toc162267413"/>
      <w:r>
        <w:t>Figure 8.29: Teen Birth Rate.</w:t>
      </w:r>
      <w:bookmarkEnd w:id="615"/>
      <w:bookmarkEnd w:id="616"/>
    </w:p>
    <w:p w14:paraId="61E5DF03" w14:textId="77777777" w:rsidR="00B90936" w:rsidRDefault="00B90936" w:rsidP="00B90936">
      <w:pPr>
        <w:pStyle w:val="Heading5"/>
      </w:pPr>
      <w:r>
        <w:t>Rate per 1,000.</w:t>
      </w:r>
    </w:p>
    <w:tbl>
      <w:tblPr>
        <w:tblStyle w:val="TableGrid"/>
        <w:tblW w:w="0" w:type="auto"/>
        <w:tblLook w:val="04A0" w:firstRow="1" w:lastRow="0" w:firstColumn="1" w:lastColumn="0" w:noHBand="0" w:noVBand="1"/>
      </w:tblPr>
      <w:tblGrid>
        <w:gridCol w:w="3116"/>
        <w:gridCol w:w="3117"/>
        <w:gridCol w:w="3117"/>
      </w:tblGrid>
      <w:tr w:rsidR="00B90936" w14:paraId="637B670B" w14:textId="77777777" w:rsidTr="001515D5">
        <w:tc>
          <w:tcPr>
            <w:tcW w:w="3116" w:type="dxa"/>
            <w:vAlign w:val="bottom"/>
          </w:tcPr>
          <w:p w14:paraId="4AA9601D" w14:textId="77777777" w:rsidR="00B90936" w:rsidRDefault="00B90936" w:rsidP="001515D5">
            <w:r>
              <w:t>Year</w:t>
            </w:r>
          </w:p>
        </w:tc>
        <w:tc>
          <w:tcPr>
            <w:tcW w:w="3117" w:type="dxa"/>
            <w:vAlign w:val="bottom"/>
          </w:tcPr>
          <w:p w14:paraId="5ED91332" w14:textId="77777777" w:rsidR="00B90936" w:rsidRDefault="00B90936" w:rsidP="001515D5">
            <w:r>
              <w:t>US Teen Birth Rate</w:t>
            </w:r>
          </w:p>
        </w:tc>
        <w:tc>
          <w:tcPr>
            <w:tcW w:w="3117" w:type="dxa"/>
            <w:vAlign w:val="bottom"/>
          </w:tcPr>
          <w:p w14:paraId="48C25D20" w14:textId="77777777" w:rsidR="00B90936" w:rsidRDefault="00B90936" w:rsidP="001515D5">
            <w:r>
              <w:t>SC Teen Birth Rate</w:t>
            </w:r>
          </w:p>
        </w:tc>
      </w:tr>
      <w:tr w:rsidR="00B90936" w14:paraId="23B81552" w14:textId="77777777" w:rsidTr="001515D5">
        <w:tc>
          <w:tcPr>
            <w:tcW w:w="3116" w:type="dxa"/>
            <w:vAlign w:val="bottom"/>
          </w:tcPr>
          <w:p w14:paraId="102D09B5" w14:textId="77777777" w:rsidR="00B90936" w:rsidRDefault="00B90936" w:rsidP="001515D5">
            <w:r>
              <w:t>2017</w:t>
            </w:r>
          </w:p>
        </w:tc>
        <w:tc>
          <w:tcPr>
            <w:tcW w:w="3117" w:type="dxa"/>
            <w:vAlign w:val="bottom"/>
          </w:tcPr>
          <w:p w14:paraId="2ADA3022" w14:textId="77777777" w:rsidR="00B90936" w:rsidRDefault="00B90936" w:rsidP="001515D5">
            <w:r>
              <w:t>18.8</w:t>
            </w:r>
          </w:p>
        </w:tc>
        <w:tc>
          <w:tcPr>
            <w:tcW w:w="3117" w:type="dxa"/>
            <w:vAlign w:val="center"/>
          </w:tcPr>
          <w:p w14:paraId="0F7557DB" w14:textId="77777777" w:rsidR="00B90936" w:rsidRDefault="00B90936" w:rsidP="001515D5">
            <w:r>
              <w:t>21.7</w:t>
            </w:r>
          </w:p>
        </w:tc>
      </w:tr>
      <w:tr w:rsidR="00B90936" w14:paraId="0851C748" w14:textId="77777777" w:rsidTr="001515D5">
        <w:tc>
          <w:tcPr>
            <w:tcW w:w="3116" w:type="dxa"/>
            <w:vAlign w:val="bottom"/>
          </w:tcPr>
          <w:p w14:paraId="6816BD6F" w14:textId="77777777" w:rsidR="00B90936" w:rsidRDefault="00B90936" w:rsidP="001515D5">
            <w:r>
              <w:t>2018</w:t>
            </w:r>
          </w:p>
        </w:tc>
        <w:tc>
          <w:tcPr>
            <w:tcW w:w="3117" w:type="dxa"/>
            <w:vAlign w:val="bottom"/>
          </w:tcPr>
          <w:p w14:paraId="4B6E3293" w14:textId="77777777" w:rsidR="00B90936" w:rsidRDefault="00B90936" w:rsidP="001515D5">
            <w:r>
              <w:t>17.4</w:t>
            </w:r>
          </w:p>
        </w:tc>
        <w:tc>
          <w:tcPr>
            <w:tcW w:w="3117" w:type="dxa"/>
            <w:vAlign w:val="center"/>
          </w:tcPr>
          <w:p w14:paraId="5D9716C7" w14:textId="77777777" w:rsidR="00B90936" w:rsidRDefault="00B90936" w:rsidP="001515D5">
            <w:r>
              <w:t>22.0</w:t>
            </w:r>
          </w:p>
        </w:tc>
      </w:tr>
      <w:tr w:rsidR="00B90936" w14:paraId="5E1B24FE" w14:textId="77777777" w:rsidTr="001515D5">
        <w:tc>
          <w:tcPr>
            <w:tcW w:w="3116" w:type="dxa"/>
            <w:vAlign w:val="bottom"/>
          </w:tcPr>
          <w:p w14:paraId="4456D9B7" w14:textId="77777777" w:rsidR="00B90936" w:rsidRDefault="00B90936" w:rsidP="001515D5">
            <w:r>
              <w:t>2019</w:t>
            </w:r>
          </w:p>
        </w:tc>
        <w:tc>
          <w:tcPr>
            <w:tcW w:w="3117" w:type="dxa"/>
            <w:vAlign w:val="bottom"/>
          </w:tcPr>
          <w:p w14:paraId="52EB2309" w14:textId="77777777" w:rsidR="00B90936" w:rsidRDefault="00B90936" w:rsidP="001515D5">
            <w:r>
              <w:t>16.6</w:t>
            </w:r>
          </w:p>
        </w:tc>
        <w:tc>
          <w:tcPr>
            <w:tcW w:w="3117" w:type="dxa"/>
            <w:vAlign w:val="center"/>
          </w:tcPr>
          <w:p w14:paraId="21ABFD24" w14:textId="77777777" w:rsidR="00B90936" w:rsidRDefault="00B90936" w:rsidP="001515D5">
            <w:r>
              <w:t>21.6</w:t>
            </w:r>
          </w:p>
        </w:tc>
      </w:tr>
      <w:tr w:rsidR="00B90936" w14:paraId="59EEA329" w14:textId="77777777" w:rsidTr="001515D5">
        <w:tc>
          <w:tcPr>
            <w:tcW w:w="3116" w:type="dxa"/>
            <w:vAlign w:val="bottom"/>
          </w:tcPr>
          <w:p w14:paraId="52671916" w14:textId="77777777" w:rsidR="00B90936" w:rsidRDefault="00B90936" w:rsidP="001515D5">
            <w:r>
              <w:t>2020</w:t>
            </w:r>
          </w:p>
        </w:tc>
        <w:tc>
          <w:tcPr>
            <w:tcW w:w="3117" w:type="dxa"/>
            <w:vAlign w:val="bottom"/>
          </w:tcPr>
          <w:p w14:paraId="583A41A6" w14:textId="77777777" w:rsidR="00B90936" w:rsidRDefault="00B90936" w:rsidP="001515D5">
            <w:r>
              <w:t>15.4</w:t>
            </w:r>
          </w:p>
        </w:tc>
        <w:tc>
          <w:tcPr>
            <w:tcW w:w="3117" w:type="dxa"/>
            <w:vAlign w:val="center"/>
          </w:tcPr>
          <w:p w14:paraId="4DF56348" w14:textId="77777777" w:rsidR="00B90936" w:rsidRDefault="00B90936" w:rsidP="001515D5">
            <w:r>
              <w:t>19.3</w:t>
            </w:r>
          </w:p>
        </w:tc>
      </w:tr>
      <w:tr w:rsidR="00B90936" w14:paraId="2659251B" w14:textId="77777777" w:rsidTr="001515D5">
        <w:tc>
          <w:tcPr>
            <w:tcW w:w="3116" w:type="dxa"/>
            <w:vAlign w:val="bottom"/>
          </w:tcPr>
          <w:p w14:paraId="32F64C37" w14:textId="77777777" w:rsidR="00B90936" w:rsidRDefault="00B90936" w:rsidP="001515D5">
            <w:r>
              <w:t>2021</w:t>
            </w:r>
          </w:p>
        </w:tc>
        <w:tc>
          <w:tcPr>
            <w:tcW w:w="3117" w:type="dxa"/>
            <w:vAlign w:val="bottom"/>
          </w:tcPr>
          <w:p w14:paraId="2DD6982C" w14:textId="77777777" w:rsidR="00B90936" w:rsidRDefault="00B90936" w:rsidP="001515D5">
            <w:r>
              <w:t>13.9</w:t>
            </w:r>
          </w:p>
        </w:tc>
        <w:tc>
          <w:tcPr>
            <w:tcW w:w="3117" w:type="dxa"/>
            <w:vAlign w:val="center"/>
          </w:tcPr>
          <w:p w14:paraId="1C98A0AF" w14:textId="77777777" w:rsidR="00B90936" w:rsidRDefault="00B90936" w:rsidP="001515D5">
            <w:r>
              <w:t>18.3</w:t>
            </w:r>
          </w:p>
        </w:tc>
      </w:tr>
    </w:tbl>
    <w:p w14:paraId="44F133E2" w14:textId="77777777" w:rsidR="00B90936" w:rsidRPr="00D47C63" w:rsidRDefault="00B90936" w:rsidP="00B90936">
      <w:r w:rsidRPr="00D47C63">
        <w:t xml:space="preserve">Source: SC DHEC Vital Statistics, 2017- 2021. United States data come from CDC WONDER. </w:t>
      </w:r>
    </w:p>
    <w:p w14:paraId="74602BFB" w14:textId="77777777" w:rsidR="00B90936" w:rsidRDefault="00B90936" w:rsidP="00B90936">
      <w:r w:rsidRPr="00D47C63">
        <w:lastRenderedPageBreak/>
        <w:t>Note: population for year 2021 based on single-race estimates and for years prior based on bridge-race estimates. Teen = Ages 15-19.</w:t>
      </w:r>
    </w:p>
    <w:p w14:paraId="248B6BD7" w14:textId="77777777" w:rsidR="00B90936" w:rsidRDefault="00B90936" w:rsidP="00B90936"/>
    <w:p w14:paraId="288435F2" w14:textId="77777777" w:rsidR="00B90936" w:rsidRDefault="00B90936" w:rsidP="00B90936">
      <w:pPr>
        <w:pStyle w:val="Heading4"/>
      </w:pPr>
      <w:bookmarkStart w:id="617" w:name="_Toc154576465"/>
      <w:bookmarkStart w:id="618" w:name="_Toc162267414"/>
      <w:r>
        <w:t>Figure 8.30: Teen Birth Rate, by Race/Ethnicity.</w:t>
      </w:r>
      <w:bookmarkEnd w:id="617"/>
      <w:bookmarkEnd w:id="618"/>
    </w:p>
    <w:p w14:paraId="73163ED5" w14:textId="77777777" w:rsidR="00B90936" w:rsidRPr="00D47C63" w:rsidRDefault="00B90936" w:rsidP="00B90936">
      <w:pPr>
        <w:pStyle w:val="Heading5"/>
      </w:pPr>
      <w:r>
        <w:t>Rate per 1,000.</w:t>
      </w:r>
    </w:p>
    <w:tbl>
      <w:tblPr>
        <w:tblStyle w:val="TableGrid"/>
        <w:tblW w:w="0" w:type="auto"/>
        <w:tblLook w:val="04A0" w:firstRow="1" w:lastRow="0" w:firstColumn="1" w:lastColumn="0" w:noHBand="0" w:noVBand="1"/>
      </w:tblPr>
      <w:tblGrid>
        <w:gridCol w:w="4675"/>
        <w:gridCol w:w="4675"/>
      </w:tblGrid>
      <w:tr w:rsidR="00B90936" w14:paraId="37B966FE" w14:textId="77777777" w:rsidTr="001515D5">
        <w:tc>
          <w:tcPr>
            <w:tcW w:w="4675" w:type="dxa"/>
          </w:tcPr>
          <w:p w14:paraId="37755AE1" w14:textId="77777777" w:rsidR="00B90936" w:rsidRDefault="00B90936" w:rsidP="001515D5">
            <w:r>
              <w:t>Race/Ethnicity</w:t>
            </w:r>
          </w:p>
        </w:tc>
        <w:tc>
          <w:tcPr>
            <w:tcW w:w="4675" w:type="dxa"/>
          </w:tcPr>
          <w:p w14:paraId="2C2C39FD" w14:textId="77777777" w:rsidR="00B90936" w:rsidRDefault="00B90936" w:rsidP="001515D5">
            <w:r>
              <w:t>Rate</w:t>
            </w:r>
          </w:p>
        </w:tc>
      </w:tr>
      <w:tr w:rsidR="00B90936" w14:paraId="4BBC574B" w14:textId="77777777" w:rsidTr="001515D5">
        <w:tc>
          <w:tcPr>
            <w:tcW w:w="4675" w:type="dxa"/>
            <w:vAlign w:val="bottom"/>
          </w:tcPr>
          <w:p w14:paraId="5EB0EE12" w14:textId="77777777" w:rsidR="00B90936" w:rsidRDefault="00B90936" w:rsidP="001515D5">
            <w:r>
              <w:t>Non-Hispanic White</w:t>
            </w:r>
          </w:p>
        </w:tc>
        <w:tc>
          <w:tcPr>
            <w:tcW w:w="4675" w:type="dxa"/>
            <w:vAlign w:val="bottom"/>
          </w:tcPr>
          <w:p w14:paraId="44AA1389" w14:textId="77777777" w:rsidR="00B90936" w:rsidRDefault="00B90936" w:rsidP="001515D5">
            <w:r>
              <w:t>15.3</w:t>
            </w:r>
          </w:p>
        </w:tc>
      </w:tr>
      <w:tr w:rsidR="00B90936" w14:paraId="1895EE64" w14:textId="77777777" w:rsidTr="001515D5">
        <w:tc>
          <w:tcPr>
            <w:tcW w:w="4675" w:type="dxa"/>
            <w:vAlign w:val="bottom"/>
          </w:tcPr>
          <w:p w14:paraId="136DC100" w14:textId="77777777" w:rsidR="00B90936" w:rsidRDefault="00B90936" w:rsidP="001515D5">
            <w:r>
              <w:t>Non-Hispanic Black</w:t>
            </w:r>
          </w:p>
        </w:tc>
        <w:tc>
          <w:tcPr>
            <w:tcW w:w="4675" w:type="dxa"/>
            <w:vAlign w:val="bottom"/>
          </w:tcPr>
          <w:p w14:paraId="7491CDED" w14:textId="77777777" w:rsidR="00B90936" w:rsidRDefault="00B90936" w:rsidP="001515D5">
            <w:r>
              <w:t>27.5</w:t>
            </w:r>
          </w:p>
        </w:tc>
      </w:tr>
      <w:tr w:rsidR="00B90936" w14:paraId="5123FDC1" w14:textId="77777777" w:rsidTr="001515D5">
        <w:tc>
          <w:tcPr>
            <w:tcW w:w="4675" w:type="dxa"/>
            <w:vAlign w:val="bottom"/>
          </w:tcPr>
          <w:p w14:paraId="4AE73E61" w14:textId="77777777" w:rsidR="00B90936" w:rsidRDefault="00B90936" w:rsidP="001515D5">
            <w:r>
              <w:t>Non-Hispanic Other (includes multi-racial)</w:t>
            </w:r>
          </w:p>
        </w:tc>
        <w:tc>
          <w:tcPr>
            <w:tcW w:w="4675" w:type="dxa"/>
            <w:vAlign w:val="center"/>
          </w:tcPr>
          <w:p w14:paraId="2450F717" w14:textId="77777777" w:rsidR="00B90936" w:rsidRDefault="00B90936" w:rsidP="001515D5">
            <w:r>
              <w:t>7.4</w:t>
            </w:r>
          </w:p>
        </w:tc>
      </w:tr>
      <w:tr w:rsidR="00B90936" w14:paraId="3826F61B" w14:textId="77777777" w:rsidTr="001515D5">
        <w:tc>
          <w:tcPr>
            <w:tcW w:w="4675" w:type="dxa"/>
            <w:vAlign w:val="bottom"/>
          </w:tcPr>
          <w:p w14:paraId="6CCAAB21" w14:textId="77777777" w:rsidR="00B90936" w:rsidRDefault="00B90936" w:rsidP="001515D5">
            <w:r>
              <w:t>Hispanic</w:t>
            </w:r>
          </w:p>
        </w:tc>
        <w:tc>
          <w:tcPr>
            <w:tcW w:w="4675" w:type="dxa"/>
            <w:vAlign w:val="bottom"/>
          </w:tcPr>
          <w:p w14:paraId="3613FEE9" w14:textId="77777777" w:rsidR="00B90936" w:rsidRDefault="00B90936" w:rsidP="001515D5">
            <w:r>
              <w:t>36.4</w:t>
            </w:r>
          </w:p>
        </w:tc>
      </w:tr>
    </w:tbl>
    <w:p w14:paraId="49BC2BE5" w14:textId="77777777" w:rsidR="00B90936" w:rsidRPr="00D47C63" w:rsidRDefault="00B90936" w:rsidP="00B90936">
      <w:r w:rsidRPr="00D47C63">
        <w:t xml:space="preserve">Source: SC DHEC Vital Statistics, 2017- 2021. </w:t>
      </w:r>
    </w:p>
    <w:p w14:paraId="52ECD1F9" w14:textId="77777777" w:rsidR="00B90936" w:rsidRDefault="00B90936" w:rsidP="00B90936">
      <w:r w:rsidRPr="00D47C63">
        <w:t>Note: population for year 2021 based on single-race estimates and for years prior based on bridge-race estimates. Teen = Ages 15-19.</w:t>
      </w:r>
    </w:p>
    <w:p w14:paraId="095F969E" w14:textId="77777777" w:rsidR="00CF1BB1" w:rsidRDefault="00CF1BB1" w:rsidP="00CF1BB1"/>
    <w:p w14:paraId="489ECF6C" w14:textId="77777777" w:rsidR="00CF1BB1" w:rsidRDefault="00CF1BB1" w:rsidP="00CF1BB1">
      <w:pPr>
        <w:pStyle w:val="Heading4"/>
      </w:pPr>
      <w:bookmarkStart w:id="619" w:name="_Toc162267415"/>
      <w:r w:rsidRPr="00CF1BB1">
        <w:t>Data Interpretations:</w:t>
      </w:r>
      <w:bookmarkEnd w:id="619"/>
      <w:r w:rsidRPr="00CF1BB1">
        <w:t xml:space="preserve"> </w:t>
      </w:r>
    </w:p>
    <w:p w14:paraId="12286DC3" w14:textId="0C6CE521" w:rsidR="00CF1BB1" w:rsidRPr="00CF1BB1" w:rsidRDefault="00CF1BB1" w:rsidP="00CF1BB1">
      <w:r w:rsidRPr="00CF1BB1">
        <w:t>In SC, the teen birth rate has also decreased, from 21.7 births per 1,000 females in 2017 to 18.3 births per 1,000 females in 2021. However, the teen birth rate is still higher than that of the US (</w:t>
      </w:r>
      <w:r w:rsidRPr="00CF1BB1">
        <w:rPr>
          <w:b/>
          <w:bCs/>
        </w:rPr>
        <w:t>Figure 8.29</w:t>
      </w:r>
      <w:r w:rsidRPr="00CF1BB1">
        <w:t>). Additionally, important racial and ethnic disparities exist in SC’s teen birth rate, with the Hispanic population having the largest rate of teen births (36.4 births per 1,000 females) followed by the non-Hispanic Black population (27.5 births per 1,000 females) (</w:t>
      </w:r>
      <w:r w:rsidRPr="00CF1BB1">
        <w:rPr>
          <w:b/>
          <w:bCs/>
        </w:rPr>
        <w:t>Figure 8.30</w:t>
      </w:r>
      <w:r w:rsidRPr="00CF1BB1">
        <w:t xml:space="preserve">). </w:t>
      </w:r>
    </w:p>
    <w:p w14:paraId="225A247F" w14:textId="77777777" w:rsidR="00CF1BB1" w:rsidRDefault="00CF1BB1" w:rsidP="00CF1BB1"/>
    <w:p w14:paraId="4685FC3B" w14:textId="37CBE218" w:rsidR="00CF1BB1" w:rsidRDefault="00CF1BB1" w:rsidP="00CF1BB1">
      <w:pPr>
        <w:pStyle w:val="Heading5"/>
      </w:pPr>
      <w:r>
        <w:t xml:space="preserve">Key Takeaways: </w:t>
      </w:r>
    </w:p>
    <w:p w14:paraId="545AB718" w14:textId="29576138" w:rsidR="00CF1BB1" w:rsidRPr="00CF1BB1" w:rsidRDefault="00CF1BB1" w:rsidP="00926EB3">
      <w:pPr>
        <w:pStyle w:val="ListParagraph"/>
        <w:numPr>
          <w:ilvl w:val="0"/>
          <w:numId w:val="225"/>
        </w:numPr>
      </w:pPr>
      <w:r w:rsidRPr="00CF1BB1">
        <w:t>Children who are born to teen mothers are more likely to experience adverse birth outcomes, such as having a higher risk for low birthweight and infant mortality.</w:t>
      </w:r>
    </w:p>
    <w:p w14:paraId="1A344C1F" w14:textId="77777777" w:rsidR="00CF1BB1" w:rsidRDefault="00CF1BB1" w:rsidP="00CF1BB1"/>
    <w:p w14:paraId="6D86F542" w14:textId="368F22A9" w:rsidR="00CF1BB1" w:rsidRPr="00CF1BB1" w:rsidRDefault="00506CC7" w:rsidP="00CF1BB1">
      <w:pPr>
        <w:pStyle w:val="Heading4"/>
        <w:rPr>
          <w:rFonts w:asciiTheme="minorHAnsi" w:hAnsiTheme="minorHAnsi" w:cstheme="minorHAnsi"/>
          <w:color w:val="000000" w:themeColor="text1"/>
        </w:rPr>
      </w:pPr>
      <w:bookmarkStart w:id="620" w:name="_Toc162267416"/>
      <w:r w:rsidRPr="00CF1BB1">
        <w:rPr>
          <w:rFonts w:asciiTheme="minorHAnsi" w:hAnsiTheme="minorHAnsi" w:cstheme="minorHAnsi"/>
          <w:color w:val="000000" w:themeColor="text1"/>
        </w:rPr>
        <w:t xml:space="preserve">References </w:t>
      </w:r>
      <w:r w:rsidR="00CF1BB1" w:rsidRPr="00CF1BB1">
        <w:rPr>
          <w:rFonts w:asciiTheme="minorHAnsi" w:hAnsiTheme="minorHAnsi" w:cstheme="minorHAnsi"/>
          <w:color w:val="000000" w:themeColor="text1"/>
        </w:rPr>
        <w:t>8.16</w:t>
      </w:r>
      <w:bookmarkEnd w:id="620"/>
      <w:r w:rsidR="00CF1BB1" w:rsidRPr="00CF1BB1">
        <w:rPr>
          <w:rFonts w:asciiTheme="minorHAnsi" w:hAnsiTheme="minorHAnsi" w:cstheme="minorHAnsi"/>
          <w:color w:val="000000" w:themeColor="text1"/>
        </w:rPr>
        <w:t xml:space="preserve"> </w:t>
      </w:r>
    </w:p>
    <w:p w14:paraId="6D7BE015" w14:textId="77777777" w:rsidR="00CF1BB1" w:rsidRPr="00CF1BB1" w:rsidRDefault="00CF1BB1" w:rsidP="00CF1BB1">
      <w:pPr>
        <w:rPr>
          <w:i/>
          <w:iCs/>
        </w:rPr>
      </w:pPr>
      <w:r w:rsidRPr="00CF1BB1">
        <w:t>Statistics in the preceding section were referenced from the following reports:</w:t>
      </w:r>
    </w:p>
    <w:p w14:paraId="3F554AF1" w14:textId="6EF88BF4" w:rsidR="00F813C0" w:rsidRPr="00F813C0" w:rsidRDefault="00000000" w:rsidP="00926EB3">
      <w:pPr>
        <w:pStyle w:val="ListParagraph"/>
        <w:numPr>
          <w:ilvl w:val="0"/>
          <w:numId w:val="35"/>
        </w:numPr>
      </w:pPr>
      <w:hyperlink r:id="rId275" w:history="1">
        <w:r w:rsidR="00F813C0" w:rsidRPr="00F813C0">
          <w:rPr>
            <w:rStyle w:val="Hyperlink"/>
          </w:rPr>
          <w:t>“National Vital Statistics System, Natality” by Centers for Disease Control and Prevention, National Center for Health Statistics. Published on CDC WONDER Online Database.</w:t>
        </w:r>
      </w:hyperlink>
      <w:r w:rsidR="00F813C0" w:rsidRPr="00F813C0">
        <w:t xml:space="preserve"> </w:t>
      </w:r>
      <w:r w:rsidR="00F813C0">
        <w:t xml:space="preserve">Note: </w:t>
      </w:r>
      <w:r w:rsidR="00F813C0" w:rsidRPr="00F813C0">
        <w:t xml:space="preserve">Data are from the Natality Records 2016-2021, as compiled from data provided by the 57 vital statistics jurisdictions through the Vital Statistics Cooperative Program. </w:t>
      </w:r>
    </w:p>
    <w:p w14:paraId="4628E23B" w14:textId="067AF136" w:rsidR="00F813C0" w:rsidRPr="00F813C0" w:rsidRDefault="00000000" w:rsidP="00926EB3">
      <w:pPr>
        <w:pStyle w:val="ListParagraph"/>
        <w:numPr>
          <w:ilvl w:val="0"/>
          <w:numId w:val="35"/>
        </w:numPr>
      </w:pPr>
      <w:hyperlink r:id="rId276" w:history="1">
        <w:r w:rsidR="00F813C0" w:rsidRPr="00F813C0">
          <w:rPr>
            <w:rStyle w:val="Hyperlink"/>
          </w:rPr>
          <w:t>“About Teen Pregnancy” by CDC via cdc.gov. Accessed June 22, 2023.</w:t>
        </w:r>
      </w:hyperlink>
      <w:r w:rsidR="00F813C0" w:rsidRPr="00F813C0">
        <w:t xml:space="preserve"> </w:t>
      </w:r>
    </w:p>
    <w:p w14:paraId="3B4CC51A" w14:textId="0237ED16" w:rsidR="00F813C0" w:rsidRPr="00F813C0" w:rsidRDefault="00000000" w:rsidP="00926EB3">
      <w:pPr>
        <w:pStyle w:val="ListParagraph"/>
        <w:numPr>
          <w:ilvl w:val="0"/>
          <w:numId w:val="35"/>
        </w:numPr>
        <w:rPr>
          <w:u w:val="thick"/>
        </w:rPr>
      </w:pPr>
      <w:hyperlink r:id="rId277" w:history="1">
        <w:r w:rsidR="00F813C0" w:rsidRPr="00F813C0">
          <w:rPr>
            <w:rStyle w:val="Hyperlink"/>
          </w:rPr>
          <w:t>“The Adverse Effects of Teen Pregnancy” by Youth.gov. Accessed June 22, 2023.</w:t>
        </w:r>
      </w:hyperlink>
      <w:r w:rsidR="00F813C0" w:rsidRPr="00F813C0">
        <w:rPr>
          <w:u w:val="thick"/>
        </w:rPr>
        <w:t xml:space="preserve"> </w:t>
      </w:r>
    </w:p>
    <w:p w14:paraId="1EB4DF4E" w14:textId="77777777" w:rsidR="00CF1BB1" w:rsidRDefault="00CF1BB1" w:rsidP="00CF1BB1"/>
    <w:p w14:paraId="5FCFD7B0" w14:textId="77777777" w:rsidR="00CF1BB1" w:rsidRPr="00CF1BB1" w:rsidRDefault="00CF1BB1" w:rsidP="00CF1BB1">
      <w:pPr>
        <w:pStyle w:val="Heading3"/>
      </w:pPr>
      <w:bookmarkStart w:id="621" w:name="_Toc162267417"/>
      <w:r w:rsidRPr="00CF1BB1">
        <w:t>Adverse Childhood Experiences</w:t>
      </w:r>
      <w:bookmarkEnd w:id="621"/>
    </w:p>
    <w:p w14:paraId="1AE2B342" w14:textId="321DA51E" w:rsidR="00CF1BB1" w:rsidRPr="00CF1BB1" w:rsidRDefault="00CF1BB1" w:rsidP="00CF1BB1">
      <w:r w:rsidRPr="00CF1BB1">
        <w:t>Adverse childhood experiences (ACEs) are traumatic events that occur before a child reaches the age of 18. These experiences can include such things as physical and emotional abuse, neglect, caregiver mental illness, and household dysfunction. The association between ACEs and long-term adverse health outcomes has been well</w:t>
      </w:r>
      <w:r w:rsidR="006D4802">
        <w:t xml:space="preserve"> </w:t>
      </w:r>
      <w:r w:rsidRPr="00CF1BB1">
        <w:t xml:space="preserve">documented; the more ACEs a child experiences, the more likely they are to suffer from chronic diseases such as heart disease and diabetes later in life. Additionally, ACEs have been associated with poor academic achievement and substance use later in life.  </w:t>
      </w:r>
    </w:p>
    <w:p w14:paraId="1C5C51D1" w14:textId="77777777" w:rsidR="00CF1BB1" w:rsidRDefault="00CF1BB1" w:rsidP="00CF1BB1"/>
    <w:p w14:paraId="41D1AE8E" w14:textId="77777777" w:rsidR="00B90936" w:rsidRDefault="00B90936" w:rsidP="00B90936">
      <w:pPr>
        <w:pStyle w:val="Heading4"/>
      </w:pPr>
      <w:bookmarkStart w:id="622" w:name="_Toc154576466"/>
      <w:bookmarkStart w:id="623" w:name="_Toc162267418"/>
      <w:r>
        <w:t xml:space="preserve">Figure 8.31: </w:t>
      </w:r>
      <w:r w:rsidRPr="00D47C63">
        <w:t xml:space="preserve">Children </w:t>
      </w:r>
      <w:r>
        <w:t>W</w:t>
      </w:r>
      <w:r w:rsidRPr="00D47C63">
        <w:t>ho Experienced One or More Adverse Childhood Experiences</w:t>
      </w:r>
      <w:r>
        <w:t>.</w:t>
      </w:r>
      <w:bookmarkEnd w:id="622"/>
      <w:bookmarkEnd w:id="623"/>
    </w:p>
    <w:tbl>
      <w:tblPr>
        <w:tblStyle w:val="TableGrid"/>
        <w:tblW w:w="0" w:type="auto"/>
        <w:tblLook w:val="04A0" w:firstRow="1" w:lastRow="0" w:firstColumn="1" w:lastColumn="0" w:noHBand="0" w:noVBand="1"/>
      </w:tblPr>
      <w:tblGrid>
        <w:gridCol w:w="2337"/>
        <w:gridCol w:w="2337"/>
        <w:gridCol w:w="2338"/>
        <w:gridCol w:w="2338"/>
      </w:tblGrid>
      <w:tr w:rsidR="00B90936" w14:paraId="783D3BAB" w14:textId="77777777" w:rsidTr="001515D5">
        <w:tc>
          <w:tcPr>
            <w:tcW w:w="2337" w:type="dxa"/>
            <w:vAlign w:val="bottom"/>
          </w:tcPr>
          <w:p w14:paraId="242247FE" w14:textId="77777777" w:rsidR="00B90936" w:rsidRPr="00D47C63" w:rsidRDefault="00B90936" w:rsidP="001515D5">
            <w:r>
              <w:t>Population</w:t>
            </w:r>
          </w:p>
        </w:tc>
        <w:tc>
          <w:tcPr>
            <w:tcW w:w="2337" w:type="dxa"/>
            <w:vAlign w:val="center"/>
          </w:tcPr>
          <w:p w14:paraId="52309CE9" w14:textId="77777777" w:rsidR="00B90936" w:rsidRPr="00D47C63" w:rsidRDefault="00B90936" w:rsidP="001515D5">
            <w:r w:rsidRPr="00D47C63">
              <w:t>No adverse childhood experiences</w:t>
            </w:r>
          </w:p>
        </w:tc>
        <w:tc>
          <w:tcPr>
            <w:tcW w:w="2338" w:type="dxa"/>
            <w:vAlign w:val="center"/>
          </w:tcPr>
          <w:p w14:paraId="2E0074FB" w14:textId="77777777" w:rsidR="00B90936" w:rsidRPr="00D47C63" w:rsidRDefault="00B90936" w:rsidP="001515D5">
            <w:r w:rsidRPr="00D47C63">
              <w:t>At least one adverse childhood experience</w:t>
            </w:r>
          </w:p>
        </w:tc>
        <w:tc>
          <w:tcPr>
            <w:tcW w:w="2338" w:type="dxa"/>
            <w:vAlign w:val="center"/>
          </w:tcPr>
          <w:p w14:paraId="62948EF5" w14:textId="77777777" w:rsidR="00B90936" w:rsidRPr="00D47C63" w:rsidRDefault="00B90936" w:rsidP="001515D5">
            <w:r w:rsidRPr="00D47C63">
              <w:t>Two or more adverse childhood experiences</w:t>
            </w:r>
          </w:p>
        </w:tc>
      </w:tr>
      <w:tr w:rsidR="00B90936" w14:paraId="745C32F6" w14:textId="77777777" w:rsidTr="001515D5">
        <w:tc>
          <w:tcPr>
            <w:tcW w:w="2337" w:type="dxa"/>
            <w:vAlign w:val="center"/>
          </w:tcPr>
          <w:p w14:paraId="60271A30" w14:textId="77777777" w:rsidR="00B90936" w:rsidRPr="00D47C63" w:rsidRDefault="00B90936" w:rsidP="001515D5">
            <w:r w:rsidRPr="00D47C63">
              <w:t>United States</w:t>
            </w:r>
          </w:p>
        </w:tc>
        <w:tc>
          <w:tcPr>
            <w:tcW w:w="2337" w:type="dxa"/>
            <w:vAlign w:val="center"/>
          </w:tcPr>
          <w:p w14:paraId="57248212" w14:textId="77777777" w:rsidR="00B90936" w:rsidRPr="00D47C63" w:rsidRDefault="00B90936" w:rsidP="001515D5">
            <w:r w:rsidRPr="00D47C63">
              <w:t>61.2%</w:t>
            </w:r>
          </w:p>
        </w:tc>
        <w:tc>
          <w:tcPr>
            <w:tcW w:w="2338" w:type="dxa"/>
            <w:vAlign w:val="center"/>
          </w:tcPr>
          <w:p w14:paraId="2E9ED630" w14:textId="77777777" w:rsidR="00B90936" w:rsidRPr="00D47C63" w:rsidRDefault="00B90936" w:rsidP="001515D5">
            <w:r w:rsidRPr="00D47C63">
              <w:t>38.8%</w:t>
            </w:r>
          </w:p>
        </w:tc>
        <w:tc>
          <w:tcPr>
            <w:tcW w:w="2338" w:type="dxa"/>
            <w:vAlign w:val="center"/>
          </w:tcPr>
          <w:p w14:paraId="1E8BCDA0" w14:textId="77777777" w:rsidR="00B90936" w:rsidRPr="00D47C63" w:rsidRDefault="00B90936" w:rsidP="001515D5">
            <w:r w:rsidRPr="00D47C63">
              <w:t>17.2%</w:t>
            </w:r>
          </w:p>
        </w:tc>
      </w:tr>
      <w:tr w:rsidR="00B90936" w14:paraId="46E63957" w14:textId="77777777" w:rsidTr="001515D5">
        <w:tc>
          <w:tcPr>
            <w:tcW w:w="2337" w:type="dxa"/>
            <w:vAlign w:val="center"/>
          </w:tcPr>
          <w:p w14:paraId="101BFE48" w14:textId="77777777" w:rsidR="00B90936" w:rsidRPr="00D47C63" w:rsidRDefault="00B90936" w:rsidP="001515D5">
            <w:r w:rsidRPr="00D47C63">
              <w:t>South Carolina</w:t>
            </w:r>
          </w:p>
        </w:tc>
        <w:tc>
          <w:tcPr>
            <w:tcW w:w="2337" w:type="dxa"/>
            <w:vAlign w:val="center"/>
          </w:tcPr>
          <w:p w14:paraId="1CF6CDD3" w14:textId="77777777" w:rsidR="00B90936" w:rsidRPr="00D47C63" w:rsidRDefault="00B90936" w:rsidP="001515D5">
            <w:r w:rsidRPr="00D47C63">
              <w:t>59.2%</w:t>
            </w:r>
          </w:p>
        </w:tc>
        <w:tc>
          <w:tcPr>
            <w:tcW w:w="2338" w:type="dxa"/>
            <w:vAlign w:val="center"/>
          </w:tcPr>
          <w:p w14:paraId="4342DDEF" w14:textId="77777777" w:rsidR="00B90936" w:rsidRPr="00D47C63" w:rsidRDefault="00B90936" w:rsidP="001515D5">
            <w:r w:rsidRPr="00D47C63">
              <w:t>40.8%</w:t>
            </w:r>
          </w:p>
        </w:tc>
        <w:tc>
          <w:tcPr>
            <w:tcW w:w="2338" w:type="dxa"/>
            <w:vAlign w:val="center"/>
          </w:tcPr>
          <w:p w14:paraId="77490232" w14:textId="77777777" w:rsidR="00B90936" w:rsidRPr="00D47C63" w:rsidRDefault="00B90936" w:rsidP="001515D5">
            <w:r w:rsidRPr="00D47C63">
              <w:t>19.4%</w:t>
            </w:r>
          </w:p>
        </w:tc>
      </w:tr>
    </w:tbl>
    <w:p w14:paraId="09329E25" w14:textId="77777777" w:rsidR="00B90936" w:rsidRDefault="00B90936" w:rsidP="00B90936">
      <w:r w:rsidRPr="00D47C63">
        <w:t>Source: National Survey of Children's Health, 2020-2021.</w:t>
      </w:r>
    </w:p>
    <w:p w14:paraId="11AD4B73" w14:textId="77777777" w:rsidR="00B90936" w:rsidRDefault="00B90936" w:rsidP="00B90936"/>
    <w:p w14:paraId="75E99541" w14:textId="77777777" w:rsidR="00B90936" w:rsidRDefault="00B90936" w:rsidP="00B90936">
      <w:pPr>
        <w:pStyle w:val="Heading4"/>
      </w:pPr>
      <w:bookmarkStart w:id="624" w:name="_Toc154576467"/>
      <w:bookmarkStart w:id="625" w:name="_Toc162267419"/>
      <w:r>
        <w:t xml:space="preserve">Figure 8.32: </w:t>
      </w:r>
      <w:r w:rsidRPr="00D47C63">
        <w:t xml:space="preserve">South Carolina Children </w:t>
      </w:r>
      <w:r>
        <w:t>W</w:t>
      </w:r>
      <w:r w:rsidRPr="00D47C63">
        <w:t xml:space="preserve">ho Experienced One or More Adverse Childhood Experiences, by </w:t>
      </w:r>
      <w:r>
        <w:t>A</w:t>
      </w:r>
      <w:r w:rsidRPr="00D47C63">
        <w:t xml:space="preserve">ge </w:t>
      </w:r>
      <w:r>
        <w:t>G</w:t>
      </w:r>
      <w:r w:rsidRPr="00D47C63">
        <w:t>roup</w:t>
      </w:r>
      <w:r>
        <w:t>.</w:t>
      </w:r>
      <w:bookmarkEnd w:id="624"/>
      <w:bookmarkEnd w:id="625"/>
    </w:p>
    <w:tbl>
      <w:tblPr>
        <w:tblStyle w:val="TableGrid"/>
        <w:tblW w:w="0" w:type="auto"/>
        <w:tblLook w:val="04A0" w:firstRow="1" w:lastRow="0" w:firstColumn="1" w:lastColumn="0" w:noHBand="0" w:noVBand="1"/>
      </w:tblPr>
      <w:tblGrid>
        <w:gridCol w:w="2337"/>
        <w:gridCol w:w="2337"/>
        <w:gridCol w:w="2338"/>
        <w:gridCol w:w="2338"/>
      </w:tblGrid>
      <w:tr w:rsidR="00B90936" w14:paraId="464FE765" w14:textId="77777777" w:rsidTr="001515D5">
        <w:tc>
          <w:tcPr>
            <w:tcW w:w="2337" w:type="dxa"/>
            <w:vAlign w:val="bottom"/>
          </w:tcPr>
          <w:p w14:paraId="1D0FD813" w14:textId="77777777" w:rsidR="00B90936" w:rsidRPr="00D47C63" w:rsidRDefault="00B90936" w:rsidP="001515D5">
            <w:r>
              <w:t>Age Group</w:t>
            </w:r>
          </w:p>
        </w:tc>
        <w:tc>
          <w:tcPr>
            <w:tcW w:w="2337" w:type="dxa"/>
            <w:vAlign w:val="center"/>
          </w:tcPr>
          <w:p w14:paraId="03E11551" w14:textId="77777777" w:rsidR="00B90936" w:rsidRPr="00D47C63" w:rsidRDefault="00B90936" w:rsidP="001515D5">
            <w:r w:rsidRPr="00D47C63">
              <w:t>No adverse childhood experiences</w:t>
            </w:r>
          </w:p>
        </w:tc>
        <w:tc>
          <w:tcPr>
            <w:tcW w:w="2338" w:type="dxa"/>
            <w:vAlign w:val="center"/>
          </w:tcPr>
          <w:p w14:paraId="6CFB71AE" w14:textId="77777777" w:rsidR="00B90936" w:rsidRPr="00D47C63" w:rsidRDefault="00B90936" w:rsidP="001515D5">
            <w:r w:rsidRPr="00D47C63">
              <w:t>At least one adverse childhood experience</w:t>
            </w:r>
          </w:p>
        </w:tc>
        <w:tc>
          <w:tcPr>
            <w:tcW w:w="2338" w:type="dxa"/>
            <w:vAlign w:val="center"/>
          </w:tcPr>
          <w:p w14:paraId="05451554" w14:textId="77777777" w:rsidR="00B90936" w:rsidRPr="00D47C63" w:rsidRDefault="00B90936" w:rsidP="001515D5">
            <w:r w:rsidRPr="00D47C63">
              <w:t>Two or more adverse childhood experiences</w:t>
            </w:r>
          </w:p>
        </w:tc>
      </w:tr>
      <w:tr w:rsidR="00B90936" w14:paraId="4CD4F6F1" w14:textId="77777777" w:rsidTr="001515D5">
        <w:tc>
          <w:tcPr>
            <w:tcW w:w="2337" w:type="dxa"/>
            <w:vAlign w:val="bottom"/>
          </w:tcPr>
          <w:p w14:paraId="026CEA28" w14:textId="77777777" w:rsidR="00B90936" w:rsidRPr="00D47C63" w:rsidRDefault="00B90936" w:rsidP="001515D5">
            <w:r w:rsidRPr="00D47C63">
              <w:t>0-5</w:t>
            </w:r>
          </w:p>
        </w:tc>
        <w:tc>
          <w:tcPr>
            <w:tcW w:w="2337" w:type="dxa"/>
            <w:vAlign w:val="center"/>
          </w:tcPr>
          <w:p w14:paraId="275FB98E" w14:textId="77777777" w:rsidR="00B90936" w:rsidRPr="00D47C63" w:rsidRDefault="00B90936" w:rsidP="001515D5">
            <w:r w:rsidRPr="00D47C63">
              <w:t>72.1%</w:t>
            </w:r>
          </w:p>
        </w:tc>
        <w:tc>
          <w:tcPr>
            <w:tcW w:w="2338" w:type="dxa"/>
            <w:vAlign w:val="center"/>
          </w:tcPr>
          <w:p w14:paraId="1E5E38D5" w14:textId="77777777" w:rsidR="00B90936" w:rsidRPr="00D47C63" w:rsidRDefault="00B90936" w:rsidP="001515D5">
            <w:r w:rsidRPr="00D47C63">
              <w:t>27.9%</w:t>
            </w:r>
          </w:p>
        </w:tc>
        <w:tc>
          <w:tcPr>
            <w:tcW w:w="2338" w:type="dxa"/>
            <w:vAlign w:val="center"/>
          </w:tcPr>
          <w:p w14:paraId="1FB70F5C" w14:textId="77777777" w:rsidR="00B90936" w:rsidRPr="00D47C63" w:rsidRDefault="00B90936" w:rsidP="001515D5">
            <w:r w:rsidRPr="00D47C63">
              <w:t>11.2%</w:t>
            </w:r>
          </w:p>
        </w:tc>
      </w:tr>
      <w:tr w:rsidR="00B90936" w14:paraId="688B8623" w14:textId="77777777" w:rsidTr="001515D5">
        <w:tc>
          <w:tcPr>
            <w:tcW w:w="2337" w:type="dxa"/>
            <w:vAlign w:val="bottom"/>
          </w:tcPr>
          <w:p w14:paraId="21125012" w14:textId="77777777" w:rsidR="00B90936" w:rsidRPr="00D47C63" w:rsidRDefault="00B90936" w:rsidP="001515D5">
            <w:r w:rsidRPr="00D47C63">
              <w:t>6-11</w:t>
            </w:r>
          </w:p>
        </w:tc>
        <w:tc>
          <w:tcPr>
            <w:tcW w:w="2337" w:type="dxa"/>
            <w:vAlign w:val="center"/>
          </w:tcPr>
          <w:p w14:paraId="5696982E" w14:textId="77777777" w:rsidR="00B90936" w:rsidRPr="00D47C63" w:rsidRDefault="00B90936" w:rsidP="001515D5">
            <w:r w:rsidRPr="00D47C63">
              <w:t>58.1%</w:t>
            </w:r>
          </w:p>
        </w:tc>
        <w:tc>
          <w:tcPr>
            <w:tcW w:w="2338" w:type="dxa"/>
            <w:vAlign w:val="center"/>
          </w:tcPr>
          <w:p w14:paraId="6A590E26" w14:textId="77777777" w:rsidR="00B90936" w:rsidRPr="00D47C63" w:rsidRDefault="00B90936" w:rsidP="001515D5">
            <w:r w:rsidRPr="00D47C63">
              <w:t>41.9%</w:t>
            </w:r>
          </w:p>
        </w:tc>
        <w:tc>
          <w:tcPr>
            <w:tcW w:w="2338" w:type="dxa"/>
            <w:vAlign w:val="center"/>
          </w:tcPr>
          <w:p w14:paraId="7580C827" w14:textId="77777777" w:rsidR="00B90936" w:rsidRPr="00D47C63" w:rsidRDefault="00B90936" w:rsidP="001515D5">
            <w:r w:rsidRPr="00D47C63">
              <w:t>21.8%</w:t>
            </w:r>
          </w:p>
        </w:tc>
      </w:tr>
      <w:tr w:rsidR="00B90936" w14:paraId="3F1BB0C0" w14:textId="77777777" w:rsidTr="001515D5">
        <w:tc>
          <w:tcPr>
            <w:tcW w:w="2337" w:type="dxa"/>
            <w:vAlign w:val="bottom"/>
          </w:tcPr>
          <w:p w14:paraId="4BA5E43A" w14:textId="77777777" w:rsidR="00B90936" w:rsidRPr="00D47C63" w:rsidRDefault="00B90936" w:rsidP="001515D5">
            <w:r w:rsidRPr="00D47C63">
              <w:t>12-17</w:t>
            </w:r>
          </w:p>
        </w:tc>
        <w:tc>
          <w:tcPr>
            <w:tcW w:w="2337" w:type="dxa"/>
            <w:vAlign w:val="center"/>
          </w:tcPr>
          <w:p w14:paraId="3631540C" w14:textId="77777777" w:rsidR="00B90936" w:rsidRPr="00D47C63" w:rsidRDefault="00B90936" w:rsidP="001515D5">
            <w:r w:rsidRPr="00D47C63">
              <w:t>48.8%</w:t>
            </w:r>
          </w:p>
        </w:tc>
        <w:tc>
          <w:tcPr>
            <w:tcW w:w="2338" w:type="dxa"/>
            <w:vAlign w:val="center"/>
          </w:tcPr>
          <w:p w14:paraId="1D721512" w14:textId="77777777" w:rsidR="00B90936" w:rsidRPr="00D47C63" w:rsidRDefault="00B90936" w:rsidP="001515D5">
            <w:r w:rsidRPr="00D47C63">
              <w:t>51.2%</w:t>
            </w:r>
          </w:p>
        </w:tc>
        <w:tc>
          <w:tcPr>
            <w:tcW w:w="2338" w:type="dxa"/>
            <w:vAlign w:val="center"/>
          </w:tcPr>
          <w:p w14:paraId="3C9F1CAB" w14:textId="77777777" w:rsidR="00B90936" w:rsidRPr="00D47C63" w:rsidRDefault="00B90936" w:rsidP="001515D5">
            <w:r w:rsidRPr="00D47C63">
              <w:t>24.3%</w:t>
            </w:r>
          </w:p>
        </w:tc>
      </w:tr>
    </w:tbl>
    <w:p w14:paraId="6A1D3C8F" w14:textId="24588D6B" w:rsidR="00CF1BB1" w:rsidRDefault="00B90936" w:rsidP="00CF1BB1">
      <w:r w:rsidRPr="00D47C63">
        <w:t>Source: National Survey of Children's Health, 2020-2021.</w:t>
      </w:r>
    </w:p>
    <w:p w14:paraId="30297F65" w14:textId="77777777" w:rsidR="00B90936" w:rsidRDefault="00B90936" w:rsidP="00CF1BB1"/>
    <w:p w14:paraId="38702A09" w14:textId="77777777" w:rsidR="00CF1BB1" w:rsidRDefault="00CF1BB1" w:rsidP="00CF1BB1">
      <w:pPr>
        <w:pStyle w:val="Heading4"/>
      </w:pPr>
      <w:bookmarkStart w:id="626" w:name="_Toc162267420"/>
      <w:r w:rsidRPr="00CF1BB1">
        <w:t>Data Interpretations:</w:t>
      </w:r>
      <w:bookmarkEnd w:id="626"/>
      <w:r w:rsidRPr="00CF1BB1">
        <w:t xml:space="preserve"> </w:t>
      </w:r>
    </w:p>
    <w:p w14:paraId="156487A3" w14:textId="4D686178" w:rsidR="00CF1BB1" w:rsidRPr="00CF1BB1" w:rsidRDefault="00CF1BB1" w:rsidP="00CF1BB1">
      <w:r w:rsidRPr="00CF1BB1">
        <w:t>In SC, 40.8% of children have experienced at least one ACE, and this was higher than the national estimate (38.8%) (</w:t>
      </w:r>
      <w:r w:rsidRPr="00CF1BB1">
        <w:rPr>
          <w:b/>
          <w:bCs/>
        </w:rPr>
        <w:t>Figure 8.31</w:t>
      </w:r>
      <w:r w:rsidRPr="00CF1BB1">
        <w:t xml:space="preserve">). Additionally, 19.4% of children in SC have experienced two or more ACEs, and this was also higher than the national </w:t>
      </w:r>
      <w:r w:rsidRPr="00CF1BB1">
        <w:lastRenderedPageBreak/>
        <w:t>estimate (17.2%) (</w:t>
      </w:r>
      <w:r w:rsidRPr="00CF1BB1">
        <w:rPr>
          <w:b/>
          <w:bCs/>
        </w:rPr>
        <w:t>Figure 8.31</w:t>
      </w:r>
      <w:r w:rsidRPr="00CF1BB1">
        <w:t>). An important note is that this is an average for all children 0-18. When looking at ACEs by age group, we can see that the proportion of children experiencing at least one, or two or more ACEs increases as age increases; more than half of children 12-17 in SC have experienced at least one ACE (</w:t>
      </w:r>
      <w:r w:rsidRPr="00CF1BB1">
        <w:rPr>
          <w:b/>
          <w:bCs/>
        </w:rPr>
        <w:t>Figure 8.32</w:t>
      </w:r>
      <w:r w:rsidRPr="00CF1BB1">
        <w:t xml:space="preserve">). </w:t>
      </w:r>
    </w:p>
    <w:p w14:paraId="39543505" w14:textId="77777777" w:rsidR="00CF1BB1" w:rsidRDefault="00CF1BB1" w:rsidP="00CF1BB1"/>
    <w:p w14:paraId="4CB42CAA" w14:textId="3523CBF5" w:rsidR="00CF1BB1" w:rsidRPr="00CF1BB1" w:rsidRDefault="00CF1BB1" w:rsidP="00CF1BB1">
      <w:r w:rsidRPr="00CF1BB1">
        <w:t xml:space="preserve">Mitigating the effects of ACEs by building and promoting resilience is extremely important. By building support systems in a child’s community, we can begin managing the effects of toxic stress from ACEs on children’s health. This process should involve teachers in the school system and other adults in a child’s community. Experiencing positive childhood experiences such as having safe, stable, and nurturing relationships can help mitigate the effects of ACEs and buffer against the effects of toxic stress on children’s health. </w:t>
      </w:r>
    </w:p>
    <w:p w14:paraId="037DD42B" w14:textId="77777777" w:rsidR="00CF1BB1" w:rsidRDefault="00CF1BB1" w:rsidP="00CF1BB1"/>
    <w:p w14:paraId="7F7A3CCA" w14:textId="12E0BE15" w:rsidR="00CF1BB1" w:rsidRDefault="00CF1BB1" w:rsidP="00CF1BB1">
      <w:pPr>
        <w:pStyle w:val="Heading5"/>
      </w:pPr>
      <w:r>
        <w:t>Key Takeaways:</w:t>
      </w:r>
    </w:p>
    <w:p w14:paraId="583024D6" w14:textId="49B3E8EE" w:rsidR="00CF1BB1" w:rsidRDefault="00CF1BB1" w:rsidP="00926EB3">
      <w:pPr>
        <w:pStyle w:val="ListParagraph"/>
        <w:numPr>
          <w:ilvl w:val="0"/>
          <w:numId w:val="225"/>
        </w:numPr>
      </w:pPr>
      <w:r w:rsidRPr="00CF1BB1">
        <w:t>More than half of children 12-17 in SC have experienced at least one ACE</w:t>
      </w:r>
      <w:r>
        <w:t>.</w:t>
      </w:r>
    </w:p>
    <w:p w14:paraId="277DDF5C" w14:textId="104DC673" w:rsidR="002122F9" w:rsidRDefault="00000000" w:rsidP="002122F9">
      <w:pPr>
        <w:pStyle w:val="ListParagraph"/>
        <w:numPr>
          <w:ilvl w:val="0"/>
          <w:numId w:val="225"/>
        </w:numPr>
      </w:pPr>
      <w:hyperlink r:id="rId278" w:tgtFrame="_blank" w:history="1">
        <w:r w:rsidR="002122F9" w:rsidRPr="002122F9">
          <w:rPr>
            <w:rStyle w:val="Hyperlink"/>
            <w:rFonts w:ascii="Aptos" w:hAnsi="Aptos"/>
            <w:bdr w:val="none" w:sz="0" w:space="0" w:color="auto" w:frame="1"/>
            <w:shd w:val="clear" w:color="auto" w:fill="FFFFFF"/>
          </w:rPr>
          <w:t>www.cdc.gov/violenceprevention/aces/index.html</w:t>
        </w:r>
      </w:hyperlink>
    </w:p>
    <w:p w14:paraId="4004228D" w14:textId="77777777" w:rsidR="00CF1BB1" w:rsidRDefault="00CF1BB1" w:rsidP="00CF1BB1">
      <w:pPr>
        <w:rPr>
          <w:i/>
          <w:iCs/>
        </w:rPr>
      </w:pPr>
    </w:p>
    <w:p w14:paraId="2E37A33B" w14:textId="77777777" w:rsidR="002122F9" w:rsidRDefault="002122F9" w:rsidP="00CF1BB1">
      <w:pPr>
        <w:rPr>
          <w:i/>
          <w:iCs/>
        </w:rPr>
      </w:pPr>
    </w:p>
    <w:p w14:paraId="084A12FA" w14:textId="07859B16" w:rsidR="00CF1BB1" w:rsidRPr="00CF1BB1" w:rsidRDefault="00506CC7" w:rsidP="00CF1BB1">
      <w:pPr>
        <w:pStyle w:val="Heading4"/>
        <w:rPr>
          <w:rFonts w:asciiTheme="minorHAnsi" w:hAnsiTheme="minorHAnsi" w:cstheme="minorHAnsi"/>
          <w:color w:val="000000" w:themeColor="text1"/>
        </w:rPr>
      </w:pPr>
      <w:bookmarkStart w:id="627" w:name="_Toc162267421"/>
      <w:r w:rsidRPr="00CF1BB1">
        <w:rPr>
          <w:rFonts w:asciiTheme="minorHAnsi" w:hAnsiTheme="minorHAnsi" w:cstheme="minorHAnsi"/>
          <w:color w:val="000000" w:themeColor="text1"/>
        </w:rPr>
        <w:t xml:space="preserve">References </w:t>
      </w:r>
      <w:r w:rsidR="00CF1BB1" w:rsidRPr="00CF1BB1">
        <w:rPr>
          <w:rFonts w:asciiTheme="minorHAnsi" w:hAnsiTheme="minorHAnsi" w:cstheme="minorHAnsi"/>
          <w:color w:val="000000" w:themeColor="text1"/>
        </w:rPr>
        <w:t>8.17</w:t>
      </w:r>
      <w:bookmarkEnd w:id="627"/>
    </w:p>
    <w:p w14:paraId="1CC6BB0B" w14:textId="77777777" w:rsidR="00CF1BB1" w:rsidRPr="00CF1BB1" w:rsidRDefault="00CF1BB1" w:rsidP="00CF1BB1">
      <w:pPr>
        <w:rPr>
          <w:i/>
          <w:iCs/>
        </w:rPr>
      </w:pPr>
      <w:r w:rsidRPr="00CF1BB1">
        <w:t>Statistics in the preceding section were referenced from the following reports:</w:t>
      </w:r>
    </w:p>
    <w:p w14:paraId="0CE2F74A" w14:textId="78E43A58" w:rsidR="00F813C0" w:rsidRPr="00F813C0" w:rsidRDefault="00000000" w:rsidP="00926EB3">
      <w:pPr>
        <w:pStyle w:val="ListParagraph"/>
        <w:numPr>
          <w:ilvl w:val="0"/>
          <w:numId w:val="35"/>
        </w:numPr>
      </w:pPr>
      <w:hyperlink r:id="rId279" w:history="1">
        <w:r w:rsidR="002122F9" w:rsidRPr="002122F9">
          <w:rPr>
            <w:rStyle w:val="Hyperlink"/>
          </w:rPr>
          <w:t>“Adverse Childhood Experiences (ACEs)” by Centers for Disease Control and Prevention</w:t>
        </w:r>
        <w:r w:rsidR="002122F9" w:rsidRPr="002122F9">
          <w:rPr>
            <w:rStyle w:val="Hyperlink"/>
            <w:rFonts w:cs="Muli"/>
            <w:kern w:val="0"/>
          </w:rPr>
          <w:t>, 2023. Retrieved March 7, 2024.</w:t>
        </w:r>
      </w:hyperlink>
      <w:r w:rsidR="002122F9">
        <w:t xml:space="preserve"> </w:t>
      </w:r>
    </w:p>
    <w:p w14:paraId="7A358402" w14:textId="482ECDE0" w:rsidR="00F813C0" w:rsidRPr="00F813C0" w:rsidRDefault="00000000" w:rsidP="00926EB3">
      <w:pPr>
        <w:pStyle w:val="ListParagraph"/>
        <w:numPr>
          <w:ilvl w:val="0"/>
          <w:numId w:val="35"/>
        </w:numPr>
      </w:pPr>
      <w:hyperlink r:id="rId280" w:history="1">
        <w:r w:rsidR="00F813C0" w:rsidRPr="00F813C0">
          <w:rPr>
            <w:rStyle w:val="Hyperlink"/>
          </w:rPr>
          <w:t>“What Are ACEs? And How Do They Relate to Toxic Stress?” by Harvard Child Development. Accessed June 22, 2023.</w:t>
        </w:r>
      </w:hyperlink>
      <w:r w:rsidR="00F813C0" w:rsidRPr="00F813C0">
        <w:t xml:space="preserve"> </w:t>
      </w:r>
    </w:p>
    <w:p w14:paraId="7866514E" w14:textId="77777777" w:rsidR="00CF1BB1" w:rsidRDefault="00CF1BB1" w:rsidP="00CF1BB1"/>
    <w:p w14:paraId="164EE90E" w14:textId="6879E8E4" w:rsidR="00CF1BB1" w:rsidRDefault="00CF1BB1" w:rsidP="00CF1BB1">
      <w:pPr>
        <w:pStyle w:val="Heading3"/>
      </w:pPr>
      <w:bookmarkStart w:id="628" w:name="_Toc162267422"/>
      <w:r w:rsidRPr="00CF1BB1">
        <w:t>Chronic Disease</w:t>
      </w:r>
      <w:r>
        <w:t>: Childhood Cancer</w:t>
      </w:r>
      <w:bookmarkEnd w:id="628"/>
    </w:p>
    <w:p w14:paraId="26CE57D8" w14:textId="52EE9047" w:rsidR="00CF1BB1" w:rsidRDefault="00CF1BB1" w:rsidP="00CF1BB1">
      <w:r w:rsidRPr="00CF1BB1">
        <w:t xml:space="preserve">Malignant neoplasms are the 4th-leading cause of death among children and adolescents (aged 0-19) in the US, which is behind firearm related injury, MVC, and drug overdose and poisoning, respectively. The top five occurring pediatric cancers for both the US and SC, are leukemias, central nervous system cancers, lymphomas, melanomas, and soft tissue cancers, respectively. In SC, there are roughly 207 pediatric cancer cases and 32 pediatric cancer deaths per year. Black children are about 30% less likely to have pediatric cancer compared to White children; however, Black children are about 22% more likely to die from a pediatric cancer. In 2021, according to the SC RFA, the average inpatient charges for any </w:t>
      </w:r>
      <w:r w:rsidRPr="00CF1BB1">
        <w:lastRenderedPageBreak/>
        <w:t>childhood cancer was $130,631, which added up to a total economic impact of $56,425,507.</w:t>
      </w:r>
    </w:p>
    <w:p w14:paraId="20BA44E9" w14:textId="77777777" w:rsidR="00CF1BB1" w:rsidRDefault="00CF1BB1" w:rsidP="00CF1BB1"/>
    <w:p w14:paraId="0C48A7E4" w14:textId="77777777" w:rsidR="00B90936" w:rsidRDefault="00B90936" w:rsidP="00B90936">
      <w:pPr>
        <w:pStyle w:val="Heading4"/>
      </w:pPr>
      <w:bookmarkStart w:id="629" w:name="_Toc154576468"/>
      <w:bookmarkStart w:id="630" w:name="_Toc162267423"/>
      <w:r>
        <w:t>Figure 8.33: Top 5 Pediatric Cancers.</w:t>
      </w:r>
      <w:bookmarkEnd w:id="629"/>
      <w:bookmarkEnd w:id="630"/>
    </w:p>
    <w:p w14:paraId="5A5D7DFD" w14:textId="77777777" w:rsidR="00B90936" w:rsidRDefault="00B90936" w:rsidP="00B90936">
      <w:pPr>
        <w:pStyle w:val="Heading5"/>
      </w:pPr>
      <w:r>
        <w:t>Rate per 100,000 individuals.</w:t>
      </w:r>
    </w:p>
    <w:tbl>
      <w:tblPr>
        <w:tblStyle w:val="TableGrid"/>
        <w:tblW w:w="0" w:type="auto"/>
        <w:tblLook w:val="04A0" w:firstRow="1" w:lastRow="0" w:firstColumn="1" w:lastColumn="0" w:noHBand="0" w:noVBand="1"/>
      </w:tblPr>
      <w:tblGrid>
        <w:gridCol w:w="3116"/>
        <w:gridCol w:w="3117"/>
        <w:gridCol w:w="3117"/>
      </w:tblGrid>
      <w:tr w:rsidR="00B90936" w14:paraId="40D0C0A9" w14:textId="77777777" w:rsidTr="001515D5">
        <w:tc>
          <w:tcPr>
            <w:tcW w:w="3116" w:type="dxa"/>
            <w:vAlign w:val="bottom"/>
          </w:tcPr>
          <w:p w14:paraId="4FB73A89" w14:textId="77777777" w:rsidR="00B90936" w:rsidRPr="00D47C63" w:rsidRDefault="00B90936" w:rsidP="001515D5">
            <w:r>
              <w:t>Type of Cancer</w:t>
            </w:r>
          </w:p>
        </w:tc>
        <w:tc>
          <w:tcPr>
            <w:tcW w:w="3117" w:type="dxa"/>
            <w:vAlign w:val="bottom"/>
          </w:tcPr>
          <w:p w14:paraId="434D7BA0" w14:textId="77777777" w:rsidR="00B90936" w:rsidRPr="00D47C63" w:rsidRDefault="00B90936" w:rsidP="001515D5">
            <w:r w:rsidRPr="00D47C63">
              <w:t>United States</w:t>
            </w:r>
          </w:p>
        </w:tc>
        <w:tc>
          <w:tcPr>
            <w:tcW w:w="3117" w:type="dxa"/>
            <w:vAlign w:val="bottom"/>
          </w:tcPr>
          <w:p w14:paraId="0E8C8B82" w14:textId="77777777" w:rsidR="00B90936" w:rsidRPr="00D47C63" w:rsidRDefault="00B90936" w:rsidP="001515D5">
            <w:r w:rsidRPr="00D47C63">
              <w:t xml:space="preserve">South Carolina </w:t>
            </w:r>
          </w:p>
        </w:tc>
      </w:tr>
      <w:tr w:rsidR="00B90936" w14:paraId="7E0A6301" w14:textId="77777777" w:rsidTr="001515D5">
        <w:tc>
          <w:tcPr>
            <w:tcW w:w="3116" w:type="dxa"/>
            <w:vAlign w:val="bottom"/>
          </w:tcPr>
          <w:p w14:paraId="237BE358" w14:textId="77777777" w:rsidR="00B90936" w:rsidRPr="00D47C63" w:rsidRDefault="00B90936" w:rsidP="001515D5">
            <w:r w:rsidRPr="00D47C63">
              <w:t xml:space="preserve">Soft Tissue </w:t>
            </w:r>
          </w:p>
        </w:tc>
        <w:tc>
          <w:tcPr>
            <w:tcW w:w="3117" w:type="dxa"/>
            <w:vAlign w:val="bottom"/>
          </w:tcPr>
          <w:p w14:paraId="62CD798A" w14:textId="77777777" w:rsidR="00B90936" w:rsidRPr="00D47C63" w:rsidRDefault="00B90936" w:rsidP="001515D5">
            <w:r w:rsidRPr="00D47C63">
              <w:t>1.2</w:t>
            </w:r>
          </w:p>
        </w:tc>
        <w:tc>
          <w:tcPr>
            <w:tcW w:w="3117" w:type="dxa"/>
            <w:vAlign w:val="bottom"/>
          </w:tcPr>
          <w:p w14:paraId="7FBC8369" w14:textId="77777777" w:rsidR="00B90936" w:rsidRPr="00D47C63" w:rsidRDefault="00B90936" w:rsidP="001515D5">
            <w:r w:rsidRPr="00D47C63">
              <w:t>1.1</w:t>
            </w:r>
          </w:p>
        </w:tc>
      </w:tr>
      <w:tr w:rsidR="00B90936" w14:paraId="7584473D" w14:textId="77777777" w:rsidTr="001515D5">
        <w:tc>
          <w:tcPr>
            <w:tcW w:w="3116" w:type="dxa"/>
            <w:vAlign w:val="bottom"/>
          </w:tcPr>
          <w:p w14:paraId="6F8513F9" w14:textId="77777777" w:rsidR="00B90936" w:rsidRPr="00D47C63" w:rsidRDefault="00B90936" w:rsidP="001515D5">
            <w:r w:rsidRPr="00D47C63">
              <w:t xml:space="preserve">Melanoma </w:t>
            </w:r>
          </w:p>
        </w:tc>
        <w:tc>
          <w:tcPr>
            <w:tcW w:w="3117" w:type="dxa"/>
            <w:vAlign w:val="bottom"/>
          </w:tcPr>
          <w:p w14:paraId="5F5C25FA" w14:textId="77777777" w:rsidR="00B90936" w:rsidRPr="00D47C63" w:rsidRDefault="00B90936" w:rsidP="001515D5">
            <w:r w:rsidRPr="00D47C63">
              <w:t>2.4</w:t>
            </w:r>
          </w:p>
        </w:tc>
        <w:tc>
          <w:tcPr>
            <w:tcW w:w="3117" w:type="dxa"/>
            <w:vAlign w:val="bottom"/>
          </w:tcPr>
          <w:p w14:paraId="6D29BEA9" w14:textId="77777777" w:rsidR="00B90936" w:rsidRPr="00D47C63" w:rsidRDefault="00B90936" w:rsidP="001515D5">
            <w:r w:rsidRPr="00D47C63">
              <w:t>2</w:t>
            </w:r>
          </w:p>
        </w:tc>
      </w:tr>
      <w:tr w:rsidR="00B90936" w14:paraId="3F692FF7" w14:textId="77777777" w:rsidTr="001515D5">
        <w:tc>
          <w:tcPr>
            <w:tcW w:w="3116" w:type="dxa"/>
            <w:vAlign w:val="bottom"/>
          </w:tcPr>
          <w:p w14:paraId="6EADD3F0" w14:textId="77777777" w:rsidR="00B90936" w:rsidRPr="00D47C63" w:rsidRDefault="00B90936" w:rsidP="001515D5">
            <w:r w:rsidRPr="00D47C63">
              <w:t xml:space="preserve">Lymphoma </w:t>
            </w:r>
          </w:p>
        </w:tc>
        <w:tc>
          <w:tcPr>
            <w:tcW w:w="3117" w:type="dxa"/>
            <w:vAlign w:val="bottom"/>
          </w:tcPr>
          <w:p w14:paraId="1DA883DE" w14:textId="77777777" w:rsidR="00B90936" w:rsidRPr="00D47C63" w:rsidRDefault="00B90936" w:rsidP="001515D5">
            <w:r w:rsidRPr="00D47C63">
              <w:t>3</w:t>
            </w:r>
          </w:p>
        </w:tc>
        <w:tc>
          <w:tcPr>
            <w:tcW w:w="3117" w:type="dxa"/>
            <w:vAlign w:val="bottom"/>
          </w:tcPr>
          <w:p w14:paraId="64D7A1DB" w14:textId="77777777" w:rsidR="00B90936" w:rsidRPr="00D47C63" w:rsidRDefault="00B90936" w:rsidP="001515D5">
            <w:r w:rsidRPr="00D47C63">
              <w:t>2.6</w:t>
            </w:r>
          </w:p>
        </w:tc>
      </w:tr>
      <w:tr w:rsidR="00B90936" w14:paraId="21A44C3E" w14:textId="77777777" w:rsidTr="001515D5">
        <w:tc>
          <w:tcPr>
            <w:tcW w:w="3116" w:type="dxa"/>
            <w:vAlign w:val="bottom"/>
          </w:tcPr>
          <w:p w14:paraId="4161F5AA" w14:textId="77777777" w:rsidR="00B90936" w:rsidRPr="00D47C63" w:rsidRDefault="00B90936" w:rsidP="001515D5">
            <w:r w:rsidRPr="00D47C63">
              <w:t xml:space="preserve">Central Nervous System </w:t>
            </w:r>
          </w:p>
        </w:tc>
        <w:tc>
          <w:tcPr>
            <w:tcW w:w="3117" w:type="dxa"/>
            <w:vAlign w:val="bottom"/>
          </w:tcPr>
          <w:p w14:paraId="661A59EA" w14:textId="77777777" w:rsidR="00B90936" w:rsidRPr="00D47C63" w:rsidRDefault="00B90936" w:rsidP="001515D5">
            <w:r w:rsidRPr="00D47C63">
              <w:t>3</w:t>
            </w:r>
          </w:p>
        </w:tc>
        <w:tc>
          <w:tcPr>
            <w:tcW w:w="3117" w:type="dxa"/>
            <w:vAlign w:val="bottom"/>
          </w:tcPr>
          <w:p w14:paraId="1BF85A13" w14:textId="77777777" w:rsidR="00B90936" w:rsidRPr="00D47C63" w:rsidRDefault="00B90936" w:rsidP="001515D5">
            <w:r w:rsidRPr="00D47C63">
              <w:t>2.9</w:t>
            </w:r>
          </w:p>
        </w:tc>
      </w:tr>
      <w:tr w:rsidR="00B90936" w14:paraId="0B5FE628" w14:textId="77777777" w:rsidTr="001515D5">
        <w:tc>
          <w:tcPr>
            <w:tcW w:w="3116" w:type="dxa"/>
            <w:vAlign w:val="bottom"/>
          </w:tcPr>
          <w:p w14:paraId="370DA8FC" w14:textId="77777777" w:rsidR="00B90936" w:rsidRPr="00D47C63" w:rsidRDefault="00B90936" w:rsidP="001515D5">
            <w:r w:rsidRPr="00D47C63">
              <w:t xml:space="preserve">Leukemia </w:t>
            </w:r>
          </w:p>
        </w:tc>
        <w:tc>
          <w:tcPr>
            <w:tcW w:w="3117" w:type="dxa"/>
            <w:vAlign w:val="bottom"/>
          </w:tcPr>
          <w:p w14:paraId="2218A9CF" w14:textId="77777777" w:rsidR="00B90936" w:rsidRPr="00D47C63" w:rsidRDefault="00B90936" w:rsidP="001515D5">
            <w:r w:rsidRPr="00D47C63">
              <w:t>4.9</w:t>
            </w:r>
          </w:p>
        </w:tc>
        <w:tc>
          <w:tcPr>
            <w:tcW w:w="3117" w:type="dxa"/>
            <w:vAlign w:val="bottom"/>
          </w:tcPr>
          <w:p w14:paraId="27373102" w14:textId="77777777" w:rsidR="00B90936" w:rsidRPr="00D47C63" w:rsidRDefault="00B90936" w:rsidP="001515D5">
            <w:r w:rsidRPr="00D47C63">
              <w:t>3.9</w:t>
            </w:r>
          </w:p>
        </w:tc>
      </w:tr>
    </w:tbl>
    <w:p w14:paraId="790D4A7E" w14:textId="77777777" w:rsidR="00B90936" w:rsidRPr="00D47C63" w:rsidRDefault="00B90936" w:rsidP="00B90936">
      <w:r w:rsidRPr="00D47C63">
        <w:t xml:space="preserve">Source: National Incidence: National Program of Cancer Registries and Surveillance, Epidemiology and End Results Program SEER*Stat Database: NPCR and SEER Incidence - U.S. Cancer Statistics Public Use Research Database, 2021 Submission (2001-2019). United States Department of Health and Human Services, Centers for Disease Control and Prevention and National Cancer Institute. Released June 2022. South Carolina Incidence: 1996-2020ytd SC Cancer Incidence Data. Based file run date 11/23/21. SC Central Cancer Registry, Bureau of Chronic Disease &amp; Injury Prevention, SC Dept. of Health &amp; Environmental Control. 02/25/2022. </w:t>
      </w:r>
    </w:p>
    <w:p w14:paraId="0DEFCC4C" w14:textId="77777777" w:rsidR="00B90936" w:rsidRDefault="00B90936" w:rsidP="00B90936">
      <w:r w:rsidRPr="00D47C63">
        <w:t>Note: Ages 0-19.</w:t>
      </w:r>
    </w:p>
    <w:p w14:paraId="70E500C1" w14:textId="77777777" w:rsidR="00B90936" w:rsidRDefault="00B90936" w:rsidP="00B90936"/>
    <w:p w14:paraId="437D3123" w14:textId="77777777" w:rsidR="00B90936" w:rsidRDefault="00B90936" w:rsidP="00B90936">
      <w:pPr>
        <w:pStyle w:val="Heading4"/>
      </w:pPr>
      <w:bookmarkStart w:id="631" w:name="_Toc154576469"/>
      <w:bookmarkStart w:id="632" w:name="_Toc162267424"/>
      <w:r>
        <w:t xml:space="preserve">Figure 8.34: </w:t>
      </w:r>
      <w:r w:rsidRPr="00D47C63">
        <w:t>South Carolina All Pediatric Cancer Incidence, by Race</w:t>
      </w:r>
      <w:r>
        <w:t xml:space="preserve"> and</w:t>
      </w:r>
      <w:r w:rsidRPr="00D47C63">
        <w:t xml:space="preserve"> Sex</w:t>
      </w:r>
      <w:r>
        <w:t>.</w:t>
      </w:r>
      <w:bookmarkEnd w:id="631"/>
      <w:bookmarkEnd w:id="632"/>
    </w:p>
    <w:p w14:paraId="34D2E807" w14:textId="77777777" w:rsidR="00B90936" w:rsidRDefault="00B90936" w:rsidP="00B90936">
      <w:pPr>
        <w:pStyle w:val="Heading5"/>
      </w:pPr>
      <w:r>
        <w:t>Rate per 100,000 individuals.</w:t>
      </w:r>
    </w:p>
    <w:tbl>
      <w:tblPr>
        <w:tblStyle w:val="TableGrid"/>
        <w:tblW w:w="0" w:type="auto"/>
        <w:tblLook w:val="04A0" w:firstRow="1" w:lastRow="0" w:firstColumn="1" w:lastColumn="0" w:noHBand="0" w:noVBand="1"/>
      </w:tblPr>
      <w:tblGrid>
        <w:gridCol w:w="1870"/>
        <w:gridCol w:w="1870"/>
        <w:gridCol w:w="1870"/>
        <w:gridCol w:w="1870"/>
        <w:gridCol w:w="1870"/>
      </w:tblGrid>
      <w:tr w:rsidR="00B90936" w14:paraId="77619835" w14:textId="77777777" w:rsidTr="001515D5">
        <w:tc>
          <w:tcPr>
            <w:tcW w:w="1870" w:type="dxa"/>
            <w:vAlign w:val="bottom"/>
          </w:tcPr>
          <w:p w14:paraId="1A1C25FE" w14:textId="77777777" w:rsidR="00B90936" w:rsidRPr="00D47C63" w:rsidRDefault="00B90936" w:rsidP="001515D5">
            <w:r w:rsidRPr="00D47C63">
              <w:t>Year</w:t>
            </w:r>
          </w:p>
        </w:tc>
        <w:tc>
          <w:tcPr>
            <w:tcW w:w="1870" w:type="dxa"/>
            <w:vAlign w:val="bottom"/>
          </w:tcPr>
          <w:p w14:paraId="44EA45C2" w14:textId="77777777" w:rsidR="00B90936" w:rsidRPr="00D47C63" w:rsidRDefault="00B90936" w:rsidP="001515D5">
            <w:r w:rsidRPr="00D47C63">
              <w:t xml:space="preserve">White Male </w:t>
            </w:r>
          </w:p>
        </w:tc>
        <w:tc>
          <w:tcPr>
            <w:tcW w:w="1870" w:type="dxa"/>
            <w:vAlign w:val="bottom"/>
          </w:tcPr>
          <w:p w14:paraId="6A82FE10" w14:textId="77777777" w:rsidR="00B90936" w:rsidRPr="00D47C63" w:rsidRDefault="00B90936" w:rsidP="001515D5">
            <w:r w:rsidRPr="00D47C63">
              <w:t xml:space="preserve">Black Male </w:t>
            </w:r>
          </w:p>
        </w:tc>
        <w:tc>
          <w:tcPr>
            <w:tcW w:w="1870" w:type="dxa"/>
            <w:vAlign w:val="bottom"/>
          </w:tcPr>
          <w:p w14:paraId="3E599CCE" w14:textId="77777777" w:rsidR="00B90936" w:rsidRPr="00D47C63" w:rsidRDefault="00B90936" w:rsidP="001515D5">
            <w:r w:rsidRPr="00D47C63">
              <w:t xml:space="preserve">White Female </w:t>
            </w:r>
          </w:p>
        </w:tc>
        <w:tc>
          <w:tcPr>
            <w:tcW w:w="1870" w:type="dxa"/>
            <w:vAlign w:val="bottom"/>
          </w:tcPr>
          <w:p w14:paraId="0EE16162" w14:textId="77777777" w:rsidR="00B90936" w:rsidRPr="00D47C63" w:rsidRDefault="00B90936" w:rsidP="001515D5">
            <w:r w:rsidRPr="00D47C63">
              <w:t xml:space="preserve">Black Female </w:t>
            </w:r>
          </w:p>
        </w:tc>
      </w:tr>
      <w:tr w:rsidR="00B90936" w14:paraId="4F3A418E" w14:textId="77777777" w:rsidTr="001515D5">
        <w:tc>
          <w:tcPr>
            <w:tcW w:w="1870" w:type="dxa"/>
            <w:vAlign w:val="bottom"/>
          </w:tcPr>
          <w:p w14:paraId="76191E84" w14:textId="77777777" w:rsidR="00B90936" w:rsidRPr="00D47C63" w:rsidRDefault="00B90936" w:rsidP="001515D5">
            <w:r w:rsidRPr="00D47C63">
              <w:t>2015</w:t>
            </w:r>
          </w:p>
        </w:tc>
        <w:tc>
          <w:tcPr>
            <w:tcW w:w="1870" w:type="dxa"/>
            <w:vAlign w:val="bottom"/>
          </w:tcPr>
          <w:p w14:paraId="3CB49222" w14:textId="77777777" w:rsidR="00B90936" w:rsidRPr="00D47C63" w:rsidRDefault="00B90936" w:rsidP="001515D5">
            <w:r w:rsidRPr="00D47C63">
              <w:t>15.4</w:t>
            </w:r>
          </w:p>
        </w:tc>
        <w:tc>
          <w:tcPr>
            <w:tcW w:w="1870" w:type="dxa"/>
            <w:vAlign w:val="bottom"/>
          </w:tcPr>
          <w:p w14:paraId="7656F6A5" w14:textId="77777777" w:rsidR="00B90936" w:rsidRPr="00D47C63" w:rsidRDefault="00B90936" w:rsidP="001515D5">
            <w:r w:rsidRPr="00D47C63">
              <w:t>15.1</w:t>
            </w:r>
          </w:p>
        </w:tc>
        <w:tc>
          <w:tcPr>
            <w:tcW w:w="1870" w:type="dxa"/>
            <w:vAlign w:val="bottom"/>
          </w:tcPr>
          <w:p w14:paraId="0140FF0C" w14:textId="77777777" w:rsidR="00B90936" w:rsidRPr="00D47C63" w:rsidRDefault="00B90936" w:rsidP="001515D5">
            <w:r w:rsidRPr="00D47C63">
              <w:t>18.5</w:t>
            </w:r>
          </w:p>
        </w:tc>
        <w:tc>
          <w:tcPr>
            <w:tcW w:w="1870" w:type="dxa"/>
            <w:vAlign w:val="bottom"/>
          </w:tcPr>
          <w:p w14:paraId="35852070" w14:textId="77777777" w:rsidR="00B90936" w:rsidRPr="00D47C63" w:rsidRDefault="00B90936" w:rsidP="001515D5">
            <w:r w:rsidRPr="00D47C63">
              <w:t>16.4</w:t>
            </w:r>
          </w:p>
        </w:tc>
      </w:tr>
      <w:tr w:rsidR="00B90936" w14:paraId="67C4721B" w14:textId="77777777" w:rsidTr="001515D5">
        <w:tc>
          <w:tcPr>
            <w:tcW w:w="1870" w:type="dxa"/>
            <w:vAlign w:val="bottom"/>
          </w:tcPr>
          <w:p w14:paraId="08F1B3DD" w14:textId="77777777" w:rsidR="00B90936" w:rsidRPr="00D47C63" w:rsidRDefault="00B90936" w:rsidP="001515D5">
            <w:r w:rsidRPr="00D47C63">
              <w:t>2016</w:t>
            </w:r>
          </w:p>
        </w:tc>
        <w:tc>
          <w:tcPr>
            <w:tcW w:w="1870" w:type="dxa"/>
            <w:vAlign w:val="bottom"/>
          </w:tcPr>
          <w:p w14:paraId="3B8DDF81" w14:textId="77777777" w:rsidR="00B90936" w:rsidRPr="00D47C63" w:rsidRDefault="00B90936" w:rsidP="001515D5">
            <w:r w:rsidRPr="00D47C63">
              <w:t>21.1</w:t>
            </w:r>
          </w:p>
        </w:tc>
        <w:tc>
          <w:tcPr>
            <w:tcW w:w="1870" w:type="dxa"/>
            <w:vAlign w:val="bottom"/>
          </w:tcPr>
          <w:p w14:paraId="4CC436DF" w14:textId="77777777" w:rsidR="00B90936" w:rsidRPr="00D47C63" w:rsidRDefault="00B90936" w:rsidP="001515D5">
            <w:r w:rsidRPr="00D47C63">
              <w:t>17</w:t>
            </w:r>
          </w:p>
        </w:tc>
        <w:tc>
          <w:tcPr>
            <w:tcW w:w="1870" w:type="dxa"/>
            <w:vAlign w:val="bottom"/>
          </w:tcPr>
          <w:p w14:paraId="1E79EF24" w14:textId="77777777" w:rsidR="00B90936" w:rsidRPr="00D47C63" w:rsidRDefault="00B90936" w:rsidP="001515D5">
            <w:r w:rsidRPr="00D47C63">
              <w:t>18.1</w:t>
            </w:r>
          </w:p>
        </w:tc>
        <w:tc>
          <w:tcPr>
            <w:tcW w:w="1870" w:type="dxa"/>
            <w:vAlign w:val="bottom"/>
          </w:tcPr>
          <w:p w14:paraId="46D801A8" w14:textId="77777777" w:rsidR="00B90936" w:rsidRPr="00D47C63" w:rsidRDefault="00B90936" w:rsidP="001515D5">
            <w:r w:rsidRPr="00D47C63">
              <w:t>8.5</w:t>
            </w:r>
          </w:p>
        </w:tc>
      </w:tr>
      <w:tr w:rsidR="00B90936" w14:paraId="52B3FD93" w14:textId="77777777" w:rsidTr="001515D5">
        <w:tc>
          <w:tcPr>
            <w:tcW w:w="1870" w:type="dxa"/>
            <w:vAlign w:val="bottom"/>
          </w:tcPr>
          <w:p w14:paraId="765A5B1C" w14:textId="77777777" w:rsidR="00B90936" w:rsidRPr="00D47C63" w:rsidRDefault="00B90936" w:rsidP="001515D5">
            <w:r w:rsidRPr="00D47C63">
              <w:t>2017</w:t>
            </w:r>
          </w:p>
        </w:tc>
        <w:tc>
          <w:tcPr>
            <w:tcW w:w="1870" w:type="dxa"/>
            <w:vAlign w:val="bottom"/>
          </w:tcPr>
          <w:p w14:paraId="03663132" w14:textId="77777777" w:rsidR="00B90936" w:rsidRPr="00D47C63" w:rsidRDefault="00B90936" w:rsidP="001515D5">
            <w:r w:rsidRPr="00D47C63">
              <w:t>20.3</w:t>
            </w:r>
          </w:p>
        </w:tc>
        <w:tc>
          <w:tcPr>
            <w:tcW w:w="1870" w:type="dxa"/>
            <w:vAlign w:val="bottom"/>
          </w:tcPr>
          <w:p w14:paraId="0279ED8F" w14:textId="77777777" w:rsidR="00B90936" w:rsidRPr="00D47C63" w:rsidRDefault="00B90936" w:rsidP="001515D5">
            <w:r w:rsidRPr="00D47C63">
              <w:t>12.7</w:t>
            </w:r>
          </w:p>
        </w:tc>
        <w:tc>
          <w:tcPr>
            <w:tcW w:w="1870" w:type="dxa"/>
            <w:vAlign w:val="bottom"/>
          </w:tcPr>
          <w:p w14:paraId="1A9B48BD" w14:textId="77777777" w:rsidR="00B90936" w:rsidRPr="00D47C63" w:rsidRDefault="00B90936" w:rsidP="001515D5">
            <w:r w:rsidRPr="00D47C63">
              <w:t>17.9</w:t>
            </w:r>
          </w:p>
        </w:tc>
        <w:tc>
          <w:tcPr>
            <w:tcW w:w="1870" w:type="dxa"/>
            <w:vAlign w:val="bottom"/>
          </w:tcPr>
          <w:p w14:paraId="52424092" w14:textId="77777777" w:rsidR="00B90936" w:rsidRPr="00D47C63" w:rsidRDefault="00B90936" w:rsidP="001515D5">
            <w:r w:rsidRPr="00D47C63">
              <w:t>15</w:t>
            </w:r>
          </w:p>
        </w:tc>
      </w:tr>
      <w:tr w:rsidR="00B90936" w14:paraId="6D0D5DC7" w14:textId="77777777" w:rsidTr="001515D5">
        <w:tc>
          <w:tcPr>
            <w:tcW w:w="1870" w:type="dxa"/>
            <w:vAlign w:val="bottom"/>
          </w:tcPr>
          <w:p w14:paraId="5E13D6C1" w14:textId="77777777" w:rsidR="00B90936" w:rsidRPr="00D47C63" w:rsidRDefault="00B90936" w:rsidP="001515D5">
            <w:r w:rsidRPr="00D47C63">
              <w:t>2018</w:t>
            </w:r>
          </w:p>
        </w:tc>
        <w:tc>
          <w:tcPr>
            <w:tcW w:w="1870" w:type="dxa"/>
            <w:vAlign w:val="bottom"/>
          </w:tcPr>
          <w:p w14:paraId="3A228899" w14:textId="77777777" w:rsidR="00B90936" w:rsidRPr="00D47C63" w:rsidRDefault="00B90936" w:rsidP="001515D5">
            <w:r w:rsidRPr="00D47C63">
              <w:t>20.6</w:t>
            </w:r>
          </w:p>
        </w:tc>
        <w:tc>
          <w:tcPr>
            <w:tcW w:w="1870" w:type="dxa"/>
            <w:vAlign w:val="bottom"/>
          </w:tcPr>
          <w:p w14:paraId="59DF314B" w14:textId="77777777" w:rsidR="00B90936" w:rsidRPr="00D47C63" w:rsidRDefault="00B90936" w:rsidP="001515D5">
            <w:r w:rsidRPr="00D47C63">
              <w:t>8.8</w:t>
            </w:r>
          </w:p>
        </w:tc>
        <w:tc>
          <w:tcPr>
            <w:tcW w:w="1870" w:type="dxa"/>
            <w:vAlign w:val="bottom"/>
          </w:tcPr>
          <w:p w14:paraId="6272F0AC" w14:textId="77777777" w:rsidR="00B90936" w:rsidRPr="00D47C63" w:rsidRDefault="00B90936" w:rsidP="001515D5">
            <w:r w:rsidRPr="00D47C63">
              <w:t>19.6</w:t>
            </w:r>
          </w:p>
        </w:tc>
        <w:tc>
          <w:tcPr>
            <w:tcW w:w="1870" w:type="dxa"/>
            <w:vAlign w:val="bottom"/>
          </w:tcPr>
          <w:p w14:paraId="6E87DBEF" w14:textId="77777777" w:rsidR="00B90936" w:rsidRPr="00D47C63" w:rsidRDefault="00B90936" w:rsidP="001515D5">
            <w:r w:rsidRPr="00D47C63">
              <w:t>6.9</w:t>
            </w:r>
          </w:p>
        </w:tc>
      </w:tr>
      <w:tr w:rsidR="00B90936" w14:paraId="0A658E72" w14:textId="77777777" w:rsidTr="001515D5">
        <w:tc>
          <w:tcPr>
            <w:tcW w:w="1870" w:type="dxa"/>
            <w:vAlign w:val="bottom"/>
          </w:tcPr>
          <w:p w14:paraId="34D3822C" w14:textId="77777777" w:rsidR="00B90936" w:rsidRPr="00D47C63" w:rsidRDefault="00B90936" w:rsidP="001515D5">
            <w:r w:rsidRPr="00D47C63">
              <w:t>2019</w:t>
            </w:r>
          </w:p>
        </w:tc>
        <w:tc>
          <w:tcPr>
            <w:tcW w:w="1870" w:type="dxa"/>
            <w:vAlign w:val="bottom"/>
          </w:tcPr>
          <w:p w14:paraId="31359499" w14:textId="77777777" w:rsidR="00B90936" w:rsidRPr="00D47C63" w:rsidRDefault="00B90936" w:rsidP="001515D5">
            <w:r w:rsidRPr="00D47C63">
              <w:t>15.5</w:t>
            </w:r>
          </w:p>
        </w:tc>
        <w:tc>
          <w:tcPr>
            <w:tcW w:w="1870" w:type="dxa"/>
            <w:vAlign w:val="bottom"/>
          </w:tcPr>
          <w:p w14:paraId="6F92776A" w14:textId="77777777" w:rsidR="00B90936" w:rsidRPr="00D47C63" w:rsidRDefault="00B90936" w:rsidP="001515D5">
            <w:r w:rsidRPr="00D47C63">
              <w:t>11.7</w:t>
            </w:r>
          </w:p>
        </w:tc>
        <w:tc>
          <w:tcPr>
            <w:tcW w:w="1870" w:type="dxa"/>
            <w:vAlign w:val="bottom"/>
          </w:tcPr>
          <w:p w14:paraId="60FC026F" w14:textId="77777777" w:rsidR="00B90936" w:rsidRPr="00D47C63" w:rsidRDefault="00B90936" w:rsidP="001515D5">
            <w:r w:rsidRPr="00D47C63">
              <w:t>15.4</w:t>
            </w:r>
          </w:p>
        </w:tc>
        <w:tc>
          <w:tcPr>
            <w:tcW w:w="1870" w:type="dxa"/>
            <w:vAlign w:val="bottom"/>
          </w:tcPr>
          <w:p w14:paraId="3EF64FF0" w14:textId="77777777" w:rsidR="00B90936" w:rsidRPr="00D47C63" w:rsidRDefault="00B90936" w:rsidP="001515D5">
            <w:r w:rsidRPr="00D47C63">
              <w:t>16.5</w:t>
            </w:r>
          </w:p>
        </w:tc>
      </w:tr>
    </w:tbl>
    <w:p w14:paraId="7516603C" w14:textId="77777777" w:rsidR="00B90936" w:rsidRPr="00D47C63" w:rsidRDefault="00B90936" w:rsidP="00B90936">
      <w:r w:rsidRPr="00D47C63">
        <w:t xml:space="preserve">Source: South Carolina Incidence: 1996- 2020ytd SC Cancer Incidence Data. Based file run date 11/23/21. SC Central Cancer Registry, Bureau of Chronic Disease &amp; Injury Prevention, SC Dept. of Health &amp; Environmental Control. 02/25/2022. </w:t>
      </w:r>
    </w:p>
    <w:p w14:paraId="7676E02B" w14:textId="77777777" w:rsidR="00B90936" w:rsidRDefault="00B90936" w:rsidP="00B90936">
      <w:r w:rsidRPr="00D47C63">
        <w:t>Note: Ages 0-19.</w:t>
      </w:r>
    </w:p>
    <w:p w14:paraId="63F855E6" w14:textId="77777777" w:rsidR="00B90936" w:rsidRPr="00D47C63" w:rsidRDefault="00B90936" w:rsidP="00B90936"/>
    <w:p w14:paraId="4982D3EC" w14:textId="77777777" w:rsidR="00B90936" w:rsidRDefault="00B90936" w:rsidP="00B90936">
      <w:pPr>
        <w:pStyle w:val="Heading4"/>
      </w:pPr>
      <w:bookmarkStart w:id="633" w:name="_Toc154576470"/>
      <w:bookmarkStart w:id="634" w:name="_Toc162267425"/>
      <w:r>
        <w:lastRenderedPageBreak/>
        <w:t xml:space="preserve">Figure 8.35: </w:t>
      </w:r>
      <w:r w:rsidRPr="00D47C63">
        <w:t xml:space="preserve">South Carolina All Pediatric Cancer </w:t>
      </w:r>
      <w:r>
        <w:t>Mortality</w:t>
      </w:r>
      <w:r w:rsidRPr="00D47C63">
        <w:t>, by Race</w:t>
      </w:r>
      <w:r>
        <w:t xml:space="preserve"> and</w:t>
      </w:r>
      <w:r w:rsidRPr="00D47C63">
        <w:t xml:space="preserve"> Sex</w:t>
      </w:r>
      <w:r>
        <w:t>.</w:t>
      </w:r>
      <w:bookmarkEnd w:id="633"/>
      <w:bookmarkEnd w:id="634"/>
    </w:p>
    <w:p w14:paraId="3B08D9C7" w14:textId="77777777" w:rsidR="00B90936" w:rsidRDefault="00B90936" w:rsidP="00B90936">
      <w:pPr>
        <w:pStyle w:val="Heading5"/>
      </w:pPr>
      <w:r>
        <w:t>Rate per 100,000 individuals.</w:t>
      </w:r>
    </w:p>
    <w:tbl>
      <w:tblPr>
        <w:tblStyle w:val="TableGrid"/>
        <w:tblW w:w="0" w:type="auto"/>
        <w:tblLook w:val="04A0" w:firstRow="1" w:lastRow="0" w:firstColumn="1" w:lastColumn="0" w:noHBand="0" w:noVBand="1"/>
      </w:tblPr>
      <w:tblGrid>
        <w:gridCol w:w="1870"/>
        <w:gridCol w:w="1870"/>
        <w:gridCol w:w="1870"/>
        <w:gridCol w:w="1870"/>
        <w:gridCol w:w="1870"/>
      </w:tblGrid>
      <w:tr w:rsidR="00B90936" w14:paraId="25BA0A97" w14:textId="77777777" w:rsidTr="001515D5">
        <w:tc>
          <w:tcPr>
            <w:tcW w:w="1870" w:type="dxa"/>
          </w:tcPr>
          <w:p w14:paraId="5D978759" w14:textId="77777777" w:rsidR="00B90936" w:rsidRDefault="00B90936" w:rsidP="001515D5">
            <w:r>
              <w:t>Race</w:t>
            </w:r>
          </w:p>
        </w:tc>
        <w:tc>
          <w:tcPr>
            <w:tcW w:w="1870" w:type="dxa"/>
            <w:vAlign w:val="bottom"/>
          </w:tcPr>
          <w:p w14:paraId="19305C4B" w14:textId="77777777" w:rsidR="00B90936" w:rsidRDefault="00B90936" w:rsidP="001515D5">
            <w:r>
              <w:t xml:space="preserve">White Male </w:t>
            </w:r>
          </w:p>
        </w:tc>
        <w:tc>
          <w:tcPr>
            <w:tcW w:w="1870" w:type="dxa"/>
            <w:vAlign w:val="bottom"/>
          </w:tcPr>
          <w:p w14:paraId="6F515F7E" w14:textId="77777777" w:rsidR="00B90936" w:rsidRDefault="00B90936" w:rsidP="001515D5">
            <w:r>
              <w:t xml:space="preserve">White Female </w:t>
            </w:r>
          </w:p>
        </w:tc>
        <w:tc>
          <w:tcPr>
            <w:tcW w:w="1870" w:type="dxa"/>
            <w:vAlign w:val="bottom"/>
          </w:tcPr>
          <w:p w14:paraId="1FC95219" w14:textId="77777777" w:rsidR="00B90936" w:rsidRDefault="00B90936" w:rsidP="001515D5">
            <w:r>
              <w:t xml:space="preserve">Black Male </w:t>
            </w:r>
          </w:p>
        </w:tc>
        <w:tc>
          <w:tcPr>
            <w:tcW w:w="1870" w:type="dxa"/>
            <w:vAlign w:val="bottom"/>
          </w:tcPr>
          <w:p w14:paraId="095F3D29" w14:textId="77777777" w:rsidR="00B90936" w:rsidRDefault="00B90936" w:rsidP="001515D5">
            <w:r>
              <w:t xml:space="preserve">Black Female </w:t>
            </w:r>
          </w:p>
        </w:tc>
      </w:tr>
      <w:tr w:rsidR="00B90936" w14:paraId="096DAD86" w14:textId="77777777" w:rsidTr="001515D5">
        <w:tc>
          <w:tcPr>
            <w:tcW w:w="1870" w:type="dxa"/>
          </w:tcPr>
          <w:p w14:paraId="6D34FB46" w14:textId="77777777" w:rsidR="00B90936" w:rsidRDefault="00B90936" w:rsidP="001515D5">
            <w:r>
              <w:t>Rate</w:t>
            </w:r>
          </w:p>
        </w:tc>
        <w:tc>
          <w:tcPr>
            <w:tcW w:w="1870" w:type="dxa"/>
            <w:vAlign w:val="bottom"/>
          </w:tcPr>
          <w:p w14:paraId="2498A404" w14:textId="77777777" w:rsidR="00B90936" w:rsidRDefault="00B90936" w:rsidP="001515D5">
            <w:r>
              <w:t>2.2</w:t>
            </w:r>
          </w:p>
        </w:tc>
        <w:tc>
          <w:tcPr>
            <w:tcW w:w="1870" w:type="dxa"/>
            <w:vAlign w:val="bottom"/>
          </w:tcPr>
          <w:p w14:paraId="0ED90366" w14:textId="77777777" w:rsidR="00B90936" w:rsidRDefault="00B90936" w:rsidP="001515D5">
            <w:r>
              <w:t>2.5</w:t>
            </w:r>
          </w:p>
        </w:tc>
        <w:tc>
          <w:tcPr>
            <w:tcW w:w="1870" w:type="dxa"/>
            <w:vAlign w:val="bottom"/>
          </w:tcPr>
          <w:p w14:paraId="366420A5" w14:textId="77777777" w:rsidR="00B90936" w:rsidRDefault="00B90936" w:rsidP="001515D5">
            <w:r>
              <w:t>3.5</w:t>
            </w:r>
          </w:p>
        </w:tc>
        <w:tc>
          <w:tcPr>
            <w:tcW w:w="1870" w:type="dxa"/>
            <w:vAlign w:val="bottom"/>
          </w:tcPr>
          <w:p w14:paraId="3A452372" w14:textId="77777777" w:rsidR="00B90936" w:rsidRDefault="00B90936" w:rsidP="001515D5">
            <w:r>
              <w:t>2.1</w:t>
            </w:r>
          </w:p>
        </w:tc>
      </w:tr>
    </w:tbl>
    <w:p w14:paraId="4FA6B0BD" w14:textId="36543F19" w:rsidR="00B90936" w:rsidRPr="00E808AA" w:rsidRDefault="00B90936" w:rsidP="00B90936">
      <w:r w:rsidRPr="00E808AA">
        <w:t>Source: 1996-2020 SC Cancer Mortality Data. Based on SC Vital Records Death Data file run date 8/5/2021. SC Central Cancer Registry, SC DHEC. 06/14/2022</w:t>
      </w:r>
      <w:r w:rsidR="006D4802">
        <w:t>.</w:t>
      </w:r>
      <w:r w:rsidRPr="00E808AA">
        <w:t xml:space="preserve"> </w:t>
      </w:r>
    </w:p>
    <w:p w14:paraId="48D7324E" w14:textId="77777777" w:rsidR="00B90936" w:rsidRDefault="00B90936" w:rsidP="00B90936">
      <w:r w:rsidRPr="00E808AA">
        <w:t>Note: Ages 0-19.</w:t>
      </w:r>
    </w:p>
    <w:p w14:paraId="19F64C6F" w14:textId="77777777" w:rsidR="00CF1BB1" w:rsidRDefault="00CF1BB1" w:rsidP="00CF1BB1">
      <w:pPr>
        <w:rPr>
          <w:b/>
          <w:bCs/>
        </w:rPr>
      </w:pPr>
    </w:p>
    <w:p w14:paraId="3EA9AEB9" w14:textId="77777777" w:rsidR="00CF1BB1" w:rsidRDefault="00CF1BB1" w:rsidP="00CF1BB1">
      <w:pPr>
        <w:pStyle w:val="Heading4"/>
      </w:pPr>
      <w:bookmarkStart w:id="635" w:name="_Toc162267426"/>
      <w:r w:rsidRPr="00CF1BB1">
        <w:t>Data Interpretations:</w:t>
      </w:r>
      <w:bookmarkEnd w:id="635"/>
      <w:r w:rsidRPr="00CF1BB1">
        <w:t xml:space="preserve"> </w:t>
      </w:r>
    </w:p>
    <w:p w14:paraId="65FAE3FE" w14:textId="18DF0403" w:rsidR="00CF1BB1" w:rsidRPr="00CF1BB1" w:rsidRDefault="00CF1BB1" w:rsidP="00CF1BB1">
      <w:r w:rsidRPr="00CF1BB1">
        <w:t>From 2015 through 2019, the incidence rate of each of the top five occurring pediatric cancers was lower in SC, compared to the US (</w:t>
      </w:r>
      <w:r w:rsidRPr="00CF1BB1">
        <w:rPr>
          <w:b/>
          <w:bCs/>
        </w:rPr>
        <w:t>Figure 8.33</w:t>
      </w:r>
      <w:r w:rsidRPr="00CF1BB1">
        <w:t xml:space="preserve">). Leukemia, the most commonly occurring pediatric cancer, is 23% higher in the US compared to SC. Melanoma, the fourth most-common pediatric cancer, is 18% higher in the US compared to SC. </w:t>
      </w:r>
    </w:p>
    <w:p w14:paraId="017D9E48" w14:textId="77777777" w:rsidR="00CF1BB1" w:rsidRDefault="00CF1BB1" w:rsidP="00CF1BB1"/>
    <w:p w14:paraId="650975B7" w14:textId="63850780" w:rsidR="00CF1BB1" w:rsidRPr="00CF1BB1" w:rsidRDefault="00CF1BB1" w:rsidP="00CF1BB1">
      <w:r w:rsidRPr="00CF1BB1">
        <w:t>Child and adolescent cancer incidence rates broken down by race and sex are unstable due to small case counts (</w:t>
      </w:r>
      <w:r w:rsidRPr="00CF1BB1">
        <w:rPr>
          <w:b/>
          <w:bCs/>
        </w:rPr>
        <w:t>Figure 8.34</w:t>
      </w:r>
      <w:r w:rsidRPr="00CF1BB1">
        <w:t xml:space="preserve">). For example, in 2019, Black females had the highest all pediatric cancer incidence rates of any sex and race combination; however, in 2016 and 2018 Black females had the lowest all pediatric cancer incidence rate among the same groups. Over the entire </w:t>
      </w:r>
      <w:proofErr w:type="gramStart"/>
      <w:r w:rsidRPr="00CF1BB1">
        <w:t>time period</w:t>
      </w:r>
      <w:proofErr w:type="gramEnd"/>
      <w:r w:rsidRPr="00CF1BB1">
        <w:t>, White males had the highest average incidence rates (18.6 cases per 100,000 population) of all pediatric cancers, followed by White females (17.9 cases per 100,000 population), Black males (13.1 cases per 100,000 population), and Black females (12.7 cases per 100,000 population).</w:t>
      </w:r>
    </w:p>
    <w:p w14:paraId="0FADE18C" w14:textId="36F5E3A5" w:rsidR="00CF1BB1" w:rsidRPr="00CF1BB1" w:rsidRDefault="00CF1BB1" w:rsidP="00CF1BB1">
      <w:r w:rsidRPr="00CF1BB1">
        <w:t>From 2016 through 2020, Black Males had the highest mortality rate from all pediatric cancers (3.5 deaths per 100,000 population), despite Black Males having a lower incidence rate than both White Males and White Females (</w:t>
      </w:r>
      <w:r w:rsidRPr="00CF1BB1">
        <w:rPr>
          <w:b/>
          <w:bCs/>
        </w:rPr>
        <w:t>Figure 8.35</w:t>
      </w:r>
      <w:r w:rsidRPr="00CF1BB1">
        <w:t>). The lowest pediatric mortality rates were observed among Black Females (2.1 deaths per 100,000 population).</w:t>
      </w:r>
    </w:p>
    <w:p w14:paraId="17DD3642" w14:textId="77777777" w:rsidR="00CF1BB1" w:rsidRDefault="00CF1BB1" w:rsidP="00CF1BB1"/>
    <w:p w14:paraId="4AEDAC75" w14:textId="77777777" w:rsidR="00CF1BB1" w:rsidRDefault="00CF1BB1" w:rsidP="00CF1BB1">
      <w:pPr>
        <w:pStyle w:val="Heading5"/>
      </w:pPr>
      <w:r>
        <w:t xml:space="preserve">Key Takeaways: </w:t>
      </w:r>
    </w:p>
    <w:p w14:paraId="4D530CE1" w14:textId="77777777" w:rsidR="005253DC" w:rsidRDefault="00CF1BB1" w:rsidP="00926EB3">
      <w:pPr>
        <w:pStyle w:val="ListParagraph"/>
        <w:numPr>
          <w:ilvl w:val="0"/>
          <w:numId w:val="225"/>
        </w:numPr>
      </w:pPr>
      <w:r w:rsidRPr="00CF1BB1">
        <w:t xml:space="preserve">In SC, there are roughly 207 pediatric cancer cases and 32 pediatric cancer deaths per year.  </w:t>
      </w:r>
    </w:p>
    <w:p w14:paraId="655AB228" w14:textId="56747901" w:rsidR="00CF1BB1" w:rsidRPr="00CF1BB1" w:rsidRDefault="00CF1BB1" w:rsidP="00926EB3">
      <w:pPr>
        <w:pStyle w:val="ListParagraph"/>
        <w:numPr>
          <w:ilvl w:val="0"/>
          <w:numId w:val="225"/>
        </w:numPr>
      </w:pPr>
      <w:r w:rsidRPr="00CF1BB1">
        <w:t xml:space="preserve">In 2023, an estimated 9,910 children younger than 15 and about 5,280 teens ages 15 to 19 in the United States will be diagnosed with cancer.  </w:t>
      </w:r>
    </w:p>
    <w:p w14:paraId="3C45DB39" w14:textId="77777777" w:rsidR="00CF1BB1" w:rsidRPr="00CF1BB1" w:rsidRDefault="00CF1BB1" w:rsidP="00CF1BB1"/>
    <w:p w14:paraId="5383292A" w14:textId="0FD1489A" w:rsidR="00CF1BB1" w:rsidRPr="00CF1BB1" w:rsidRDefault="00506CC7" w:rsidP="00CF1BB1">
      <w:pPr>
        <w:pStyle w:val="Heading4"/>
        <w:rPr>
          <w:rFonts w:asciiTheme="minorHAnsi" w:hAnsiTheme="minorHAnsi" w:cstheme="minorHAnsi"/>
          <w:color w:val="000000" w:themeColor="text1"/>
        </w:rPr>
      </w:pPr>
      <w:bookmarkStart w:id="636" w:name="_Toc162267427"/>
      <w:r w:rsidRPr="00CF1BB1">
        <w:rPr>
          <w:rFonts w:asciiTheme="minorHAnsi" w:hAnsiTheme="minorHAnsi" w:cstheme="minorHAnsi"/>
          <w:color w:val="000000" w:themeColor="text1"/>
        </w:rPr>
        <w:lastRenderedPageBreak/>
        <w:t xml:space="preserve">References </w:t>
      </w:r>
      <w:r w:rsidR="00CF1BB1" w:rsidRPr="00CF1BB1">
        <w:rPr>
          <w:rFonts w:asciiTheme="minorHAnsi" w:hAnsiTheme="minorHAnsi" w:cstheme="minorHAnsi"/>
          <w:color w:val="000000" w:themeColor="text1"/>
        </w:rPr>
        <w:t>8.18</w:t>
      </w:r>
      <w:bookmarkEnd w:id="636"/>
      <w:r w:rsidR="00CF1BB1" w:rsidRPr="00CF1BB1">
        <w:rPr>
          <w:rFonts w:asciiTheme="minorHAnsi" w:hAnsiTheme="minorHAnsi" w:cstheme="minorHAnsi"/>
          <w:color w:val="000000" w:themeColor="text1"/>
        </w:rPr>
        <w:t xml:space="preserve"> </w:t>
      </w:r>
    </w:p>
    <w:p w14:paraId="69CF05AD" w14:textId="77777777" w:rsidR="00CF1BB1" w:rsidRDefault="00CF1BB1" w:rsidP="00CF1BB1">
      <w:r w:rsidRPr="00CF1BB1">
        <w:t>Statistics in the preceding section were referenced from the following reports:</w:t>
      </w:r>
    </w:p>
    <w:p w14:paraId="5EE0959F" w14:textId="57F7C090" w:rsidR="00F813C0" w:rsidRPr="00CF1BB1" w:rsidRDefault="00F813C0" w:rsidP="00F813C0">
      <w:pPr>
        <w:ind w:left="720"/>
      </w:pPr>
      <w:r>
        <w:t xml:space="preserve">16. </w:t>
      </w:r>
      <w:hyperlink r:id="rId281" w:history="1">
        <w:r w:rsidRPr="00F813C0">
          <w:rPr>
            <w:rStyle w:val="Hyperlink"/>
          </w:rPr>
          <w:t>“S.C. Vital Records Data and Statistics” by SCDHEC via scdhec.gov. Accessed June 22, 2023.</w:t>
        </w:r>
      </w:hyperlink>
      <w:r w:rsidRPr="00F813C0">
        <w:t> </w:t>
      </w:r>
      <w:r>
        <w:t xml:space="preserve"> </w:t>
      </w:r>
    </w:p>
    <w:p w14:paraId="561968DB" w14:textId="5B3BEB7D" w:rsidR="00F813C0" w:rsidRPr="00F813C0" w:rsidRDefault="00DD210D" w:rsidP="00926EB3">
      <w:pPr>
        <w:pStyle w:val="ListParagraph"/>
        <w:numPr>
          <w:ilvl w:val="0"/>
          <w:numId w:val="35"/>
        </w:numPr>
      </w:pPr>
      <w:r>
        <w:t>“</w:t>
      </w:r>
      <w:r w:rsidR="00F813C0" w:rsidRPr="00F813C0">
        <w:t>Current Causes of Death in Children and Adolescents in the United States</w:t>
      </w:r>
      <w:r>
        <w:t xml:space="preserve">” by </w:t>
      </w:r>
      <w:r w:rsidRPr="00F813C0">
        <w:t>Goldstick JE, Cunningham RM, Carter PM</w:t>
      </w:r>
      <w:r w:rsidR="00F813C0" w:rsidRPr="00F813C0">
        <w:t>. New England Journal of Medicine</w:t>
      </w:r>
      <w:r>
        <w:t>,</w:t>
      </w:r>
      <w:r w:rsidR="00F813C0" w:rsidRPr="00F813C0">
        <w:t xml:space="preserve"> 2022</w:t>
      </w:r>
      <w:r>
        <w:t>. No hyperlink.</w:t>
      </w:r>
    </w:p>
    <w:p w14:paraId="27D87D97" w14:textId="262EE19E" w:rsidR="00F813C0" w:rsidRPr="00F813C0" w:rsidRDefault="00000000" w:rsidP="00926EB3">
      <w:pPr>
        <w:pStyle w:val="ListParagraph"/>
        <w:numPr>
          <w:ilvl w:val="0"/>
          <w:numId w:val="35"/>
        </w:numPr>
        <w:rPr>
          <w:u w:val="thick"/>
        </w:rPr>
      </w:pPr>
      <w:hyperlink r:id="rId282" w:history="1">
        <w:r w:rsidR="00DD210D" w:rsidRPr="00DD210D">
          <w:rPr>
            <w:rStyle w:val="Hyperlink"/>
          </w:rPr>
          <w:t>“</w:t>
        </w:r>
        <w:r w:rsidR="00F813C0" w:rsidRPr="00DD210D">
          <w:rPr>
            <w:rStyle w:val="Hyperlink"/>
          </w:rPr>
          <w:t>Surveillance, Epidemiology, and End Results Program</w:t>
        </w:r>
        <w:r w:rsidR="00DD210D" w:rsidRPr="00DD210D">
          <w:rPr>
            <w:rStyle w:val="Hyperlink"/>
          </w:rPr>
          <w:t>” by seer.cancer.gov</w:t>
        </w:r>
        <w:r w:rsidR="00F813C0" w:rsidRPr="00DD210D">
          <w:rPr>
            <w:rStyle w:val="Hyperlink"/>
          </w:rPr>
          <w:t>. Accessed June 22, 2023.</w:t>
        </w:r>
      </w:hyperlink>
      <w:r w:rsidR="00F813C0" w:rsidRPr="00F813C0">
        <w:t xml:space="preserve"> </w:t>
      </w:r>
    </w:p>
    <w:p w14:paraId="3756DE86" w14:textId="1B940868" w:rsidR="00F813C0" w:rsidRPr="00F813C0" w:rsidRDefault="00000000" w:rsidP="00926EB3">
      <w:pPr>
        <w:pStyle w:val="ListParagraph"/>
        <w:numPr>
          <w:ilvl w:val="0"/>
          <w:numId w:val="35"/>
        </w:numPr>
        <w:rPr>
          <w:u w:val="thick"/>
        </w:rPr>
      </w:pPr>
      <w:hyperlink r:id="rId283" w:history="1">
        <w:r w:rsidR="00DD210D" w:rsidRPr="00DD210D">
          <w:rPr>
            <w:rStyle w:val="Hyperlink"/>
          </w:rPr>
          <w:t>“</w:t>
        </w:r>
        <w:r w:rsidR="00F813C0" w:rsidRPr="00DD210D">
          <w:rPr>
            <w:rStyle w:val="Hyperlink"/>
          </w:rPr>
          <w:t>South Carolina Central Cancer Registry</w:t>
        </w:r>
        <w:r w:rsidR="00DD210D" w:rsidRPr="00DD210D">
          <w:rPr>
            <w:rStyle w:val="Hyperlink"/>
          </w:rPr>
          <w:t>”</w:t>
        </w:r>
        <w:r w:rsidR="00F813C0" w:rsidRPr="00DD210D">
          <w:rPr>
            <w:rStyle w:val="Hyperlink"/>
          </w:rPr>
          <w:t xml:space="preserve"> </w:t>
        </w:r>
        <w:r w:rsidR="00DD210D" w:rsidRPr="00DD210D">
          <w:rPr>
            <w:rStyle w:val="Hyperlink"/>
          </w:rPr>
          <w:t xml:space="preserve">by </w:t>
        </w:r>
        <w:r w:rsidR="00F813C0" w:rsidRPr="00DD210D">
          <w:rPr>
            <w:rStyle w:val="Hyperlink"/>
          </w:rPr>
          <w:t>SCDHEC</w:t>
        </w:r>
        <w:r w:rsidR="00DD210D" w:rsidRPr="00DD210D">
          <w:rPr>
            <w:rStyle w:val="Hyperlink"/>
          </w:rPr>
          <w:t xml:space="preserve"> via scdhec.gov</w:t>
        </w:r>
        <w:r w:rsidR="00F813C0" w:rsidRPr="00DD210D">
          <w:rPr>
            <w:rStyle w:val="Hyperlink"/>
          </w:rPr>
          <w:t>. Accessed June 22, 2023.</w:t>
        </w:r>
      </w:hyperlink>
      <w:r w:rsidR="00F813C0" w:rsidRPr="00F813C0">
        <w:t xml:space="preserve"> </w:t>
      </w:r>
    </w:p>
    <w:p w14:paraId="56B5D52C" w14:textId="77777777" w:rsidR="00CF1BB1" w:rsidRPr="00CF1BB1" w:rsidRDefault="00CF1BB1" w:rsidP="00CF1BB1"/>
    <w:p w14:paraId="15379F90" w14:textId="61745709" w:rsidR="00CF1BB1" w:rsidRDefault="00CF1BB1" w:rsidP="00CF1BB1">
      <w:pPr>
        <w:pStyle w:val="Heading3"/>
      </w:pPr>
      <w:bookmarkStart w:id="637" w:name="_Toc162267428"/>
      <w:r>
        <w:t>Chronic Disease: Childhood Asthma</w:t>
      </w:r>
      <w:bookmarkEnd w:id="637"/>
    </w:p>
    <w:p w14:paraId="43D2F582" w14:textId="740C49A7" w:rsidR="00CF1BB1" w:rsidRPr="00CF1BB1" w:rsidRDefault="00CF1BB1" w:rsidP="00CF1BB1">
      <w:r w:rsidRPr="00CF1BB1">
        <w:t>Asthma is a chronic lung disorder characterized by narrowing of the airway tubes that carry air into the lungs. Asthma causes the airways to become inflamed and constricted, leading to shortness of breath, wheezing and coughing.  Over a lifetime, if untreated, asthma can cause permanent lung damage. In SC, the prevalence of lifetime childhood asthma in 2020 was 11.2%, and this was highest among non-Hispanic Black children (15.2%) and Hispanic children (15.8%) (</w:t>
      </w:r>
      <w:r w:rsidRPr="00CF1BB1">
        <w:rPr>
          <w:b/>
          <w:bCs/>
        </w:rPr>
        <w:t>Figure 8.36</w:t>
      </w:r>
      <w:r w:rsidRPr="00CF1BB1">
        <w:t xml:space="preserve">). Asthma places a significant economic burden on the US, with a total cost of asthma, including costs incurred by absenteeism and mortality, of $81.9 billion in 2013. Factors that may increase a child's likelihood of developing asthma include: </w:t>
      </w:r>
    </w:p>
    <w:p w14:paraId="1A2DB1E2" w14:textId="3BFC7F44" w:rsidR="00CF1BB1" w:rsidRDefault="00CF1BB1" w:rsidP="00926EB3">
      <w:pPr>
        <w:pStyle w:val="ListParagraph"/>
        <w:numPr>
          <w:ilvl w:val="0"/>
          <w:numId w:val="33"/>
        </w:numPr>
      </w:pPr>
      <w:r w:rsidRPr="00CF1BB1">
        <w:t>Exposure to tobacco smoke, including before birth</w:t>
      </w:r>
      <w:r>
        <w:t>.</w:t>
      </w:r>
    </w:p>
    <w:p w14:paraId="78647D94" w14:textId="60AB34F5" w:rsidR="00CF1BB1" w:rsidRDefault="00CF1BB1" w:rsidP="00926EB3">
      <w:pPr>
        <w:pStyle w:val="ListParagraph"/>
        <w:numPr>
          <w:ilvl w:val="0"/>
          <w:numId w:val="33"/>
        </w:numPr>
      </w:pPr>
      <w:r w:rsidRPr="00CF1BB1">
        <w:t>Previous allergic reactions, including skin reactions, food allergies or hay fever (allergic rhinitis)</w:t>
      </w:r>
      <w:r>
        <w:t>.</w:t>
      </w:r>
    </w:p>
    <w:p w14:paraId="04451450" w14:textId="231B925E" w:rsidR="00CF1BB1" w:rsidRDefault="00CF1BB1" w:rsidP="00926EB3">
      <w:pPr>
        <w:pStyle w:val="ListParagraph"/>
        <w:numPr>
          <w:ilvl w:val="0"/>
          <w:numId w:val="33"/>
        </w:numPr>
      </w:pPr>
      <w:r w:rsidRPr="00CF1BB1">
        <w:t>A family history of asthma or allergies</w:t>
      </w:r>
      <w:r>
        <w:t>.</w:t>
      </w:r>
    </w:p>
    <w:p w14:paraId="557A0B6F" w14:textId="73CAE12F" w:rsidR="00CF1BB1" w:rsidRDefault="00CF1BB1" w:rsidP="00926EB3">
      <w:pPr>
        <w:pStyle w:val="ListParagraph"/>
        <w:numPr>
          <w:ilvl w:val="0"/>
          <w:numId w:val="33"/>
        </w:numPr>
      </w:pPr>
      <w:r w:rsidRPr="00CF1BB1">
        <w:t>Living in an area with high pollution</w:t>
      </w:r>
      <w:r>
        <w:t>.</w:t>
      </w:r>
    </w:p>
    <w:p w14:paraId="6B608A62" w14:textId="492DBB63" w:rsidR="00CF1BB1" w:rsidRDefault="00CF1BB1" w:rsidP="00926EB3">
      <w:pPr>
        <w:pStyle w:val="ListParagraph"/>
        <w:numPr>
          <w:ilvl w:val="0"/>
          <w:numId w:val="33"/>
        </w:numPr>
      </w:pPr>
      <w:r w:rsidRPr="00CF1BB1">
        <w:t>Obesity</w:t>
      </w:r>
      <w:r>
        <w:t>.</w:t>
      </w:r>
    </w:p>
    <w:p w14:paraId="3316EAB0" w14:textId="7A7AB3C8" w:rsidR="00CF1BB1" w:rsidRDefault="00CF1BB1" w:rsidP="00926EB3">
      <w:pPr>
        <w:pStyle w:val="ListParagraph"/>
        <w:numPr>
          <w:ilvl w:val="0"/>
          <w:numId w:val="33"/>
        </w:numPr>
      </w:pPr>
      <w:r w:rsidRPr="00CF1BB1">
        <w:t>Respiratory conditions, such as a chronic runny or stuffy nose (rhinitis), inflamed sinuses (sinusitis) or pneumonia</w:t>
      </w:r>
      <w:r>
        <w:t>.</w:t>
      </w:r>
    </w:p>
    <w:p w14:paraId="0D9A9F54" w14:textId="504FF24C" w:rsidR="00CF1BB1" w:rsidRDefault="00CF1BB1" w:rsidP="00926EB3">
      <w:pPr>
        <w:pStyle w:val="ListParagraph"/>
        <w:numPr>
          <w:ilvl w:val="0"/>
          <w:numId w:val="33"/>
        </w:numPr>
      </w:pPr>
      <w:r w:rsidRPr="00CF1BB1">
        <w:t>Heartburn (gastroesophageal reflux disease, or GERD)</w:t>
      </w:r>
      <w:r>
        <w:t>.</w:t>
      </w:r>
    </w:p>
    <w:p w14:paraId="274F5D54" w14:textId="260F2401" w:rsidR="00CF1BB1" w:rsidRDefault="00CF1BB1" w:rsidP="00926EB3">
      <w:pPr>
        <w:pStyle w:val="ListParagraph"/>
        <w:numPr>
          <w:ilvl w:val="0"/>
          <w:numId w:val="33"/>
        </w:numPr>
      </w:pPr>
      <w:r w:rsidRPr="00CF1BB1">
        <w:t>Being male</w:t>
      </w:r>
      <w:r>
        <w:t>.</w:t>
      </w:r>
    </w:p>
    <w:p w14:paraId="477BBDB0" w14:textId="2DE4FE66" w:rsidR="00CF1BB1" w:rsidRPr="00CF1BB1" w:rsidRDefault="00CF1BB1" w:rsidP="00926EB3">
      <w:pPr>
        <w:pStyle w:val="ListParagraph"/>
        <w:numPr>
          <w:ilvl w:val="0"/>
          <w:numId w:val="33"/>
        </w:numPr>
      </w:pPr>
      <w:r w:rsidRPr="00CF1BB1">
        <w:t>Being Black or Puerto Rican</w:t>
      </w:r>
      <w:r>
        <w:t>.</w:t>
      </w:r>
    </w:p>
    <w:p w14:paraId="2E87C9E8" w14:textId="77777777" w:rsidR="00CF1BB1" w:rsidRDefault="00CF1BB1" w:rsidP="00CF1BB1"/>
    <w:p w14:paraId="5813F62C" w14:textId="3F6F5E77" w:rsidR="00CF1BB1" w:rsidRDefault="00CF1BB1" w:rsidP="00CF1BB1">
      <w:r w:rsidRPr="00CF1BB1">
        <w:t xml:space="preserve">Asthma can result in several health complications and affect a person’s quality of life, in ways that include: </w:t>
      </w:r>
    </w:p>
    <w:p w14:paraId="18FB34B5" w14:textId="2A59987B" w:rsidR="00CF1BB1" w:rsidRDefault="00CF1BB1" w:rsidP="00926EB3">
      <w:pPr>
        <w:pStyle w:val="ListParagraph"/>
        <w:numPr>
          <w:ilvl w:val="0"/>
          <w:numId w:val="34"/>
        </w:numPr>
      </w:pPr>
      <w:r w:rsidRPr="00CF1BB1">
        <w:t>Severe asthma attacks that require emergency treatment or hospital care</w:t>
      </w:r>
      <w:r>
        <w:t>.</w:t>
      </w:r>
    </w:p>
    <w:p w14:paraId="075BF4A0" w14:textId="4A3B804C" w:rsidR="00CF1BB1" w:rsidRDefault="00CF1BB1" w:rsidP="00926EB3">
      <w:pPr>
        <w:pStyle w:val="ListParagraph"/>
        <w:numPr>
          <w:ilvl w:val="0"/>
          <w:numId w:val="34"/>
        </w:numPr>
      </w:pPr>
      <w:r w:rsidRPr="00CF1BB1">
        <w:lastRenderedPageBreak/>
        <w:t>Permanent decline in lung function</w:t>
      </w:r>
      <w:r>
        <w:t>.</w:t>
      </w:r>
    </w:p>
    <w:p w14:paraId="16E64954" w14:textId="67B5C6BD" w:rsidR="00CF1BB1" w:rsidRDefault="00CF1BB1" w:rsidP="00926EB3">
      <w:pPr>
        <w:pStyle w:val="ListParagraph"/>
        <w:numPr>
          <w:ilvl w:val="0"/>
          <w:numId w:val="34"/>
        </w:numPr>
      </w:pPr>
      <w:r w:rsidRPr="00CF1BB1">
        <w:t>Missed school days or getting behind in school</w:t>
      </w:r>
      <w:r>
        <w:t>.</w:t>
      </w:r>
    </w:p>
    <w:p w14:paraId="4AEB76D4" w14:textId="4396266A" w:rsidR="00CF1BB1" w:rsidRDefault="00CF1BB1" w:rsidP="00926EB3">
      <w:pPr>
        <w:pStyle w:val="ListParagraph"/>
        <w:numPr>
          <w:ilvl w:val="0"/>
          <w:numId w:val="34"/>
        </w:numPr>
      </w:pPr>
      <w:r w:rsidRPr="00CF1BB1">
        <w:t>Poor sleep and fatigue</w:t>
      </w:r>
      <w:r>
        <w:t>.</w:t>
      </w:r>
    </w:p>
    <w:p w14:paraId="15D8459A" w14:textId="724C7D9B" w:rsidR="00CF1BB1" w:rsidRPr="00CF1BB1" w:rsidRDefault="00CF1BB1" w:rsidP="00926EB3">
      <w:pPr>
        <w:pStyle w:val="ListParagraph"/>
        <w:numPr>
          <w:ilvl w:val="0"/>
          <w:numId w:val="34"/>
        </w:numPr>
      </w:pPr>
      <w:r w:rsidRPr="00CF1BB1">
        <w:t xml:space="preserve">Symptoms that interfere with play, </w:t>
      </w:r>
      <w:proofErr w:type="gramStart"/>
      <w:r w:rsidRPr="00CF1BB1">
        <w:t>sports</w:t>
      </w:r>
      <w:proofErr w:type="gramEnd"/>
      <w:r w:rsidRPr="00CF1BB1">
        <w:t xml:space="preserve"> or other activities</w:t>
      </w:r>
      <w:r>
        <w:t>.</w:t>
      </w:r>
    </w:p>
    <w:p w14:paraId="4B31021D" w14:textId="77777777" w:rsidR="00CF1BB1" w:rsidRDefault="00CF1BB1" w:rsidP="00CF1BB1"/>
    <w:p w14:paraId="24F2D32E" w14:textId="463A71EA" w:rsidR="00CF1BB1" w:rsidRPr="00CF1BB1" w:rsidRDefault="00CF1BB1" w:rsidP="00CF1BB1">
      <w:r w:rsidRPr="00CF1BB1">
        <w:t>While the causes of asthma are not always known, prevention and timely management of symptoms can make asthma symptoms less severe and result in fewer episodes, missed school days, and hospital visits.</w:t>
      </w:r>
    </w:p>
    <w:p w14:paraId="6DA016AF" w14:textId="77777777" w:rsidR="00CF1BB1" w:rsidRDefault="00CF1BB1" w:rsidP="00CF1BB1"/>
    <w:p w14:paraId="77ABD317" w14:textId="77777777" w:rsidR="00B90936" w:rsidRDefault="00B90936" w:rsidP="00B90936">
      <w:pPr>
        <w:pStyle w:val="Heading4"/>
      </w:pPr>
      <w:bookmarkStart w:id="638" w:name="_Toc154576471"/>
      <w:bookmarkStart w:id="639" w:name="_Toc162267429"/>
      <w:r>
        <w:t>Figure 8.36: Childhood Asthma Prevalence</w:t>
      </w:r>
      <w:r w:rsidRPr="00D47C63">
        <w:t>, by Rac</w:t>
      </w:r>
      <w:r>
        <w:t>e/Ethnicity.</w:t>
      </w:r>
      <w:bookmarkEnd w:id="638"/>
      <w:bookmarkEnd w:id="639"/>
    </w:p>
    <w:tbl>
      <w:tblPr>
        <w:tblStyle w:val="TableGrid"/>
        <w:tblW w:w="0" w:type="auto"/>
        <w:tblLook w:val="04A0" w:firstRow="1" w:lastRow="0" w:firstColumn="1" w:lastColumn="0" w:noHBand="0" w:noVBand="1"/>
      </w:tblPr>
      <w:tblGrid>
        <w:gridCol w:w="4675"/>
        <w:gridCol w:w="4675"/>
      </w:tblGrid>
      <w:tr w:rsidR="00195CD4" w14:paraId="6D11A498" w14:textId="77777777" w:rsidTr="001515D5">
        <w:tc>
          <w:tcPr>
            <w:tcW w:w="4675" w:type="dxa"/>
            <w:vAlign w:val="bottom"/>
          </w:tcPr>
          <w:p w14:paraId="025F472A" w14:textId="78D4232D" w:rsidR="00195CD4" w:rsidRDefault="00195CD4" w:rsidP="001515D5">
            <w:r>
              <w:t>Demographic</w:t>
            </w:r>
          </w:p>
        </w:tc>
        <w:tc>
          <w:tcPr>
            <w:tcW w:w="4675" w:type="dxa"/>
            <w:vAlign w:val="center"/>
          </w:tcPr>
          <w:p w14:paraId="1C39B641" w14:textId="3732B950" w:rsidR="00195CD4" w:rsidRDefault="00195CD4" w:rsidP="001515D5">
            <w:r>
              <w:t>Percent</w:t>
            </w:r>
          </w:p>
        </w:tc>
      </w:tr>
      <w:tr w:rsidR="00B90936" w14:paraId="29D04444" w14:textId="77777777" w:rsidTr="001515D5">
        <w:tc>
          <w:tcPr>
            <w:tcW w:w="4675" w:type="dxa"/>
            <w:vAlign w:val="bottom"/>
          </w:tcPr>
          <w:p w14:paraId="15CE0C60" w14:textId="77777777" w:rsidR="00B90936" w:rsidRDefault="00B90936" w:rsidP="001515D5">
            <w:r>
              <w:t>South Carolina</w:t>
            </w:r>
          </w:p>
        </w:tc>
        <w:tc>
          <w:tcPr>
            <w:tcW w:w="4675" w:type="dxa"/>
            <w:vAlign w:val="center"/>
          </w:tcPr>
          <w:p w14:paraId="1CBD6B76" w14:textId="77777777" w:rsidR="00B90936" w:rsidRDefault="00B90936" w:rsidP="001515D5">
            <w:r>
              <w:t>11.2%</w:t>
            </w:r>
          </w:p>
        </w:tc>
      </w:tr>
      <w:tr w:rsidR="00B90936" w14:paraId="56737A3A" w14:textId="77777777" w:rsidTr="001515D5">
        <w:tc>
          <w:tcPr>
            <w:tcW w:w="4675" w:type="dxa"/>
            <w:vAlign w:val="center"/>
          </w:tcPr>
          <w:p w14:paraId="35D7B999" w14:textId="77777777" w:rsidR="00B90936" w:rsidRDefault="00B90936" w:rsidP="001515D5">
            <w:r>
              <w:t>Non-Hispanic White</w:t>
            </w:r>
          </w:p>
        </w:tc>
        <w:tc>
          <w:tcPr>
            <w:tcW w:w="4675" w:type="dxa"/>
            <w:vAlign w:val="center"/>
          </w:tcPr>
          <w:p w14:paraId="2FF7F4B4" w14:textId="77777777" w:rsidR="00B90936" w:rsidRDefault="00B90936" w:rsidP="001515D5">
            <w:r>
              <w:t>9.0%</w:t>
            </w:r>
          </w:p>
        </w:tc>
      </w:tr>
      <w:tr w:rsidR="00B90936" w14:paraId="49222FDD" w14:textId="77777777" w:rsidTr="001515D5">
        <w:tc>
          <w:tcPr>
            <w:tcW w:w="4675" w:type="dxa"/>
            <w:vAlign w:val="center"/>
          </w:tcPr>
          <w:p w14:paraId="2724DEEF" w14:textId="77777777" w:rsidR="00B90936" w:rsidRDefault="00B90936" w:rsidP="001515D5">
            <w:r>
              <w:t>Non-Hispanic Black</w:t>
            </w:r>
          </w:p>
        </w:tc>
        <w:tc>
          <w:tcPr>
            <w:tcW w:w="4675" w:type="dxa"/>
            <w:vAlign w:val="center"/>
          </w:tcPr>
          <w:p w14:paraId="4C8944D3" w14:textId="77777777" w:rsidR="00B90936" w:rsidRDefault="00B90936" w:rsidP="001515D5">
            <w:r>
              <w:t>15.2%</w:t>
            </w:r>
          </w:p>
        </w:tc>
      </w:tr>
      <w:tr w:rsidR="00B90936" w14:paraId="1EDEA330" w14:textId="77777777" w:rsidTr="001515D5">
        <w:tc>
          <w:tcPr>
            <w:tcW w:w="4675" w:type="dxa"/>
            <w:vAlign w:val="center"/>
          </w:tcPr>
          <w:p w14:paraId="3F9309A0" w14:textId="77777777" w:rsidR="00B90936" w:rsidRDefault="00B90936" w:rsidP="001515D5">
            <w:r>
              <w:t>Non-Hispanic Other (includes multi-racial)</w:t>
            </w:r>
          </w:p>
        </w:tc>
        <w:tc>
          <w:tcPr>
            <w:tcW w:w="4675" w:type="dxa"/>
            <w:vAlign w:val="center"/>
          </w:tcPr>
          <w:p w14:paraId="06E51EE3" w14:textId="77777777" w:rsidR="00B90936" w:rsidRDefault="00B90936" w:rsidP="001515D5">
            <w:r>
              <w:t>6.7%</w:t>
            </w:r>
          </w:p>
        </w:tc>
      </w:tr>
      <w:tr w:rsidR="00B90936" w14:paraId="3C6B8780" w14:textId="77777777" w:rsidTr="001515D5">
        <w:tc>
          <w:tcPr>
            <w:tcW w:w="4675" w:type="dxa"/>
            <w:vAlign w:val="center"/>
          </w:tcPr>
          <w:p w14:paraId="5E272F2B" w14:textId="77777777" w:rsidR="00B90936" w:rsidRDefault="00B90936" w:rsidP="001515D5">
            <w:r>
              <w:t>Hispanic</w:t>
            </w:r>
          </w:p>
        </w:tc>
        <w:tc>
          <w:tcPr>
            <w:tcW w:w="4675" w:type="dxa"/>
            <w:vAlign w:val="center"/>
          </w:tcPr>
          <w:p w14:paraId="20497072" w14:textId="77777777" w:rsidR="00B90936" w:rsidRDefault="00B90936" w:rsidP="001515D5">
            <w:r>
              <w:t>15.8%</w:t>
            </w:r>
          </w:p>
        </w:tc>
      </w:tr>
      <w:tr w:rsidR="00B90936" w14:paraId="51C5CF98" w14:textId="77777777" w:rsidTr="001515D5">
        <w:tc>
          <w:tcPr>
            <w:tcW w:w="4675" w:type="dxa"/>
            <w:vAlign w:val="bottom"/>
          </w:tcPr>
          <w:p w14:paraId="043A1B49" w14:textId="77777777" w:rsidR="00B90936" w:rsidRDefault="00B90936" w:rsidP="001515D5">
            <w:r>
              <w:t>South Carolina</w:t>
            </w:r>
          </w:p>
        </w:tc>
        <w:tc>
          <w:tcPr>
            <w:tcW w:w="4675" w:type="dxa"/>
            <w:vAlign w:val="center"/>
          </w:tcPr>
          <w:p w14:paraId="44357492" w14:textId="77777777" w:rsidR="00B90936" w:rsidRDefault="00B90936" w:rsidP="001515D5">
            <w:r>
              <w:t>11.2%</w:t>
            </w:r>
          </w:p>
        </w:tc>
      </w:tr>
    </w:tbl>
    <w:p w14:paraId="2CB9C9CB" w14:textId="77777777" w:rsidR="00B90936" w:rsidRPr="00E808AA" w:rsidRDefault="00B90936" w:rsidP="00B90936">
      <w:r w:rsidRPr="00E808AA">
        <w:t xml:space="preserve">Source: National Survey of Children’s Health (NSCH), 2020. </w:t>
      </w:r>
    </w:p>
    <w:p w14:paraId="6E7F46D6" w14:textId="77777777" w:rsidR="00B90936" w:rsidRDefault="00B90936" w:rsidP="00B90936">
      <w:r w:rsidRPr="00E808AA">
        <w:t>Note: Data shows prevalence of ever having asthma.</w:t>
      </w:r>
    </w:p>
    <w:p w14:paraId="4089FCEC" w14:textId="77777777" w:rsidR="00CF1BB1" w:rsidRDefault="00CF1BB1" w:rsidP="00CF1BB1"/>
    <w:p w14:paraId="7917E36C" w14:textId="45E4DDEA" w:rsidR="00CF1BB1" w:rsidRDefault="00CF1BB1" w:rsidP="00CF1BB1">
      <w:pPr>
        <w:pStyle w:val="Heading5"/>
      </w:pPr>
      <w:r>
        <w:t xml:space="preserve">Key Takeaways: </w:t>
      </w:r>
    </w:p>
    <w:p w14:paraId="130E927E" w14:textId="77777777" w:rsidR="00CF1BB1" w:rsidRPr="00CF1BB1" w:rsidRDefault="00CF1BB1" w:rsidP="00926EB3">
      <w:pPr>
        <w:pStyle w:val="ListParagraph"/>
        <w:numPr>
          <w:ilvl w:val="0"/>
          <w:numId w:val="226"/>
        </w:numPr>
      </w:pPr>
      <w:r w:rsidRPr="00CF1BB1">
        <w:t xml:space="preserve">Asthma is a serious, but treatable, chronic condition. It is important to take it </w:t>
      </w:r>
      <w:proofErr w:type="gramStart"/>
      <w:r w:rsidRPr="00CF1BB1">
        <w:t>seriously</w:t>
      </w:r>
      <w:proofErr w:type="gramEnd"/>
      <w:r w:rsidRPr="00CF1BB1">
        <w:t xml:space="preserve"> but it shouldn’t dictate a child’s life. Children with asthma can and should play sports and be physically active. </w:t>
      </w:r>
    </w:p>
    <w:p w14:paraId="54B5ABC9" w14:textId="77777777" w:rsidR="00CF1BB1" w:rsidRDefault="00CF1BB1" w:rsidP="00CF1BB1"/>
    <w:p w14:paraId="254EEB80" w14:textId="2FA02540" w:rsidR="00CF1BB1" w:rsidRPr="00CF1BB1" w:rsidRDefault="00506CC7" w:rsidP="00CF1BB1">
      <w:pPr>
        <w:pStyle w:val="Heading4"/>
        <w:rPr>
          <w:rFonts w:asciiTheme="minorHAnsi" w:hAnsiTheme="minorHAnsi" w:cstheme="minorHAnsi"/>
          <w:color w:val="000000" w:themeColor="text1"/>
        </w:rPr>
      </w:pPr>
      <w:bookmarkStart w:id="640" w:name="_Toc162267430"/>
      <w:r w:rsidRPr="00CF1BB1">
        <w:rPr>
          <w:rFonts w:asciiTheme="minorHAnsi" w:hAnsiTheme="minorHAnsi" w:cstheme="minorHAnsi"/>
          <w:color w:val="000000" w:themeColor="text1"/>
        </w:rPr>
        <w:t xml:space="preserve">References </w:t>
      </w:r>
      <w:r w:rsidR="00CF1BB1" w:rsidRPr="00CF1BB1">
        <w:rPr>
          <w:rFonts w:asciiTheme="minorHAnsi" w:hAnsiTheme="minorHAnsi" w:cstheme="minorHAnsi"/>
          <w:color w:val="000000" w:themeColor="text1"/>
        </w:rPr>
        <w:t>8.19</w:t>
      </w:r>
      <w:bookmarkEnd w:id="640"/>
      <w:r w:rsidR="00CF1BB1" w:rsidRPr="00CF1BB1">
        <w:rPr>
          <w:rFonts w:asciiTheme="minorHAnsi" w:hAnsiTheme="minorHAnsi" w:cstheme="minorHAnsi"/>
          <w:color w:val="000000" w:themeColor="text1"/>
        </w:rPr>
        <w:t xml:space="preserve"> </w:t>
      </w:r>
    </w:p>
    <w:p w14:paraId="5FAD6131" w14:textId="50529900" w:rsidR="00CF1BB1" w:rsidRPr="00CF1BB1" w:rsidRDefault="00CF1BB1" w:rsidP="00CF1BB1">
      <w:pPr>
        <w:rPr>
          <w:i/>
          <w:iCs/>
        </w:rPr>
      </w:pPr>
      <w:r w:rsidRPr="00CF1BB1">
        <w:t>Statistics in the preceding section were referenced from the following reports:</w:t>
      </w:r>
    </w:p>
    <w:p w14:paraId="484AD075" w14:textId="261CFDFA" w:rsidR="00DD210D" w:rsidRPr="00DD210D" w:rsidRDefault="00DD210D" w:rsidP="00926EB3">
      <w:pPr>
        <w:pStyle w:val="ListParagraph"/>
        <w:numPr>
          <w:ilvl w:val="0"/>
          <w:numId w:val="35"/>
        </w:numPr>
      </w:pPr>
      <w:r>
        <w:t>“</w:t>
      </w:r>
      <w:r w:rsidRPr="00DD210D">
        <w:t>Economic Burden of Asthma in the United States, 2008-2013</w:t>
      </w:r>
      <w:r>
        <w:t xml:space="preserve">” by </w:t>
      </w:r>
      <w:proofErr w:type="spellStart"/>
      <w:r w:rsidRPr="00DD210D">
        <w:t>Nurmagambetov</w:t>
      </w:r>
      <w:proofErr w:type="spellEnd"/>
      <w:r w:rsidRPr="00DD210D">
        <w:t xml:space="preserve"> T, </w:t>
      </w:r>
      <w:proofErr w:type="spellStart"/>
      <w:r w:rsidRPr="00DD210D">
        <w:t>Kuwahara</w:t>
      </w:r>
      <w:proofErr w:type="spellEnd"/>
      <w:r w:rsidRPr="00DD210D">
        <w:t xml:space="preserve"> R, </w:t>
      </w:r>
      <w:proofErr w:type="spellStart"/>
      <w:r w:rsidRPr="00DD210D">
        <w:t>Garbe</w:t>
      </w:r>
      <w:proofErr w:type="spellEnd"/>
      <w:r w:rsidRPr="00DD210D">
        <w:t xml:space="preserve"> P. </w:t>
      </w:r>
      <w:r>
        <w:t>Published in</w:t>
      </w:r>
      <w:r w:rsidRPr="00DD210D">
        <w:t xml:space="preserve"> Ann Am </w:t>
      </w:r>
      <w:proofErr w:type="spellStart"/>
      <w:r w:rsidRPr="00DD210D">
        <w:t>Thorac</w:t>
      </w:r>
      <w:proofErr w:type="spellEnd"/>
      <w:r w:rsidRPr="00DD210D">
        <w:t xml:space="preserve"> Soc. 2018</w:t>
      </w:r>
      <w:r>
        <w:t>. No hyperlink.</w:t>
      </w:r>
    </w:p>
    <w:p w14:paraId="792BED3F" w14:textId="70F29365" w:rsidR="00DD210D" w:rsidRPr="00DD210D" w:rsidRDefault="00000000" w:rsidP="00926EB3">
      <w:pPr>
        <w:pStyle w:val="ListParagraph"/>
        <w:numPr>
          <w:ilvl w:val="0"/>
          <w:numId w:val="35"/>
        </w:numPr>
      </w:pPr>
      <w:hyperlink r:id="rId284" w:history="1">
        <w:r w:rsidR="00DD210D" w:rsidRPr="00DD210D">
          <w:rPr>
            <w:rStyle w:val="Hyperlink"/>
          </w:rPr>
          <w:t xml:space="preserve">“Asthma in children” by CDC </w:t>
        </w:r>
        <w:proofErr w:type="spellStart"/>
        <w:r w:rsidR="00DD210D" w:rsidRPr="00DD210D">
          <w:rPr>
            <w:rStyle w:val="Hyperlink"/>
          </w:rPr>
          <w:t>VitalSigns</w:t>
        </w:r>
        <w:proofErr w:type="spellEnd"/>
        <w:r w:rsidR="00DD210D" w:rsidRPr="00DD210D">
          <w:rPr>
            <w:rStyle w:val="Hyperlink"/>
          </w:rPr>
          <w:t xml:space="preserve"> via cdc.gov. Accessed June 22, 2023.</w:t>
        </w:r>
      </w:hyperlink>
      <w:r w:rsidR="00DD210D" w:rsidRPr="00DD210D">
        <w:t xml:space="preserve"> </w:t>
      </w:r>
    </w:p>
    <w:p w14:paraId="25397470" w14:textId="51894648" w:rsidR="00DD210D" w:rsidRPr="00DD210D" w:rsidRDefault="00000000" w:rsidP="00926EB3">
      <w:pPr>
        <w:pStyle w:val="ListParagraph"/>
        <w:numPr>
          <w:ilvl w:val="0"/>
          <w:numId w:val="35"/>
        </w:numPr>
      </w:pPr>
      <w:hyperlink r:id="rId285" w:history="1">
        <w:r w:rsidR="00DD210D" w:rsidRPr="00DD210D">
          <w:rPr>
            <w:rStyle w:val="Hyperlink"/>
          </w:rPr>
          <w:t xml:space="preserve">“Childhood </w:t>
        </w:r>
        <w:proofErr w:type="gramStart"/>
        <w:r w:rsidR="00DD210D" w:rsidRPr="00DD210D">
          <w:rPr>
            <w:rStyle w:val="Hyperlink"/>
          </w:rPr>
          <w:t>asthma  —</w:t>
        </w:r>
        <w:proofErr w:type="gramEnd"/>
        <w:r w:rsidR="00DD210D" w:rsidRPr="00DD210D">
          <w:rPr>
            <w:rStyle w:val="Hyperlink"/>
          </w:rPr>
          <w:t xml:space="preserve">  Symptoms and causes” by the Mayo Clinic. Accessed June 22, 2023.</w:t>
        </w:r>
      </w:hyperlink>
      <w:r w:rsidR="00DD210D" w:rsidRPr="00DD210D">
        <w:t xml:space="preserve"> </w:t>
      </w:r>
    </w:p>
    <w:p w14:paraId="21C8FAB9" w14:textId="77777777" w:rsidR="00CF1BB1" w:rsidRDefault="00CF1BB1" w:rsidP="00CF1BB1"/>
    <w:p w14:paraId="5642DE76" w14:textId="77777777" w:rsidR="00CF1BB1" w:rsidRPr="00CF1BB1" w:rsidRDefault="00CF1BB1" w:rsidP="00CF1BB1">
      <w:pPr>
        <w:pStyle w:val="Heading3"/>
      </w:pPr>
      <w:bookmarkStart w:id="641" w:name="_Toc162267431"/>
      <w:r w:rsidRPr="00CF1BB1">
        <w:lastRenderedPageBreak/>
        <w:t>Immunizations</w:t>
      </w:r>
      <w:bookmarkEnd w:id="641"/>
    </w:p>
    <w:p w14:paraId="21074D6D" w14:textId="77777777" w:rsidR="00CF1BB1" w:rsidRPr="00CF1BB1" w:rsidRDefault="00CF1BB1" w:rsidP="00CF1BB1">
      <w:r w:rsidRPr="00CF1BB1">
        <w:t xml:space="preserve">Immunizations are a critical form of primary disease prevention and one of the most successful public health interventions in reducing disease spread, preventing complications, and death from vaccine-preventable disease (VPD). Although immunizations have significantly reduced the spread of vaccine-preventable diseases, this does not mean that these diseases are no longer a threat. </w:t>
      </w:r>
    </w:p>
    <w:p w14:paraId="30320B97" w14:textId="77777777" w:rsidR="00CF1BB1" w:rsidRPr="00CF1BB1" w:rsidRDefault="00CF1BB1" w:rsidP="00CF1BB1">
      <w:r w:rsidRPr="00CF1BB1">
        <w:t xml:space="preserve">The rise in parental refusal of immunizations over the last several years is a worrying trend because VPDs can still pose a threat, especially among under-immunized populations. "Parental refusal of vaccines" refers to parents choosing not to vaccinate their children for various reasons, including religious belief, fear of pain, fear of serious side effects, or a belief that VPDs are not harmful. One way to measure parental vaccination refusal is by tracking data on religious exemptions granted to daycare and school-aged children. </w:t>
      </w:r>
      <w:proofErr w:type="gramStart"/>
      <w:r w:rsidRPr="00CF1BB1">
        <w:t>In order to</w:t>
      </w:r>
      <w:proofErr w:type="gramEnd"/>
      <w:r w:rsidRPr="00CF1BB1">
        <w:t xml:space="preserve"> attend daycare and public schools (grades 5K-12), families must provide proof of their children being up to date on all required immunizations. Medical and religious exemptions are the only available immunization exemptions in SC. A religious exemption may be granted to any student whose parent, guardian, or person </w:t>
      </w:r>
      <w:r w:rsidRPr="00CF1BB1">
        <w:rPr>
          <w:i/>
          <w:iCs/>
        </w:rPr>
        <w:t>in loco parentis</w:t>
      </w:r>
      <w:r w:rsidRPr="00CF1BB1">
        <w:t xml:space="preserve"> signs and has notarized the appropriate section of the SC Certificate of Religious Exemption. The religious exemption form can only be obtained from a county health department. </w:t>
      </w:r>
    </w:p>
    <w:p w14:paraId="6905712C" w14:textId="77777777" w:rsidR="00CF1BB1" w:rsidRDefault="00CF1BB1" w:rsidP="00CF1BB1"/>
    <w:p w14:paraId="32A5B636" w14:textId="77777777" w:rsidR="00B90936" w:rsidRDefault="00B90936" w:rsidP="00B90936">
      <w:pPr>
        <w:pStyle w:val="Heading4"/>
      </w:pPr>
      <w:bookmarkStart w:id="642" w:name="_Toc154576472"/>
      <w:bookmarkStart w:id="643" w:name="_Toc162267432"/>
      <w:r>
        <w:t xml:space="preserve">Figure 8.37: </w:t>
      </w:r>
      <w:r w:rsidRPr="00124A6D">
        <w:t>SC and Highest County K12 School Religious Exemptions for Vaccinations</w:t>
      </w:r>
      <w:r>
        <w:t>.</w:t>
      </w:r>
      <w:bookmarkEnd w:id="642"/>
      <w:bookmarkEnd w:id="643"/>
    </w:p>
    <w:tbl>
      <w:tblPr>
        <w:tblStyle w:val="TableGrid"/>
        <w:tblW w:w="0" w:type="auto"/>
        <w:tblLook w:val="04A0" w:firstRow="1" w:lastRow="0" w:firstColumn="1" w:lastColumn="0" w:noHBand="0" w:noVBand="1"/>
      </w:tblPr>
      <w:tblGrid>
        <w:gridCol w:w="1616"/>
        <w:gridCol w:w="1289"/>
        <w:gridCol w:w="1289"/>
        <w:gridCol w:w="1289"/>
        <w:gridCol w:w="1289"/>
        <w:gridCol w:w="1289"/>
        <w:gridCol w:w="1289"/>
      </w:tblGrid>
      <w:tr w:rsidR="00B90936" w14:paraId="245D1776" w14:textId="77777777" w:rsidTr="001515D5">
        <w:tc>
          <w:tcPr>
            <w:tcW w:w="1616" w:type="dxa"/>
            <w:vAlign w:val="bottom"/>
          </w:tcPr>
          <w:p w14:paraId="1A4BFA8E" w14:textId="77777777" w:rsidR="00B90936" w:rsidRPr="00124A6D" w:rsidRDefault="00B90936" w:rsidP="001515D5">
            <w:r>
              <w:t>Year</w:t>
            </w:r>
          </w:p>
        </w:tc>
        <w:tc>
          <w:tcPr>
            <w:tcW w:w="1289" w:type="dxa"/>
            <w:vAlign w:val="bottom"/>
          </w:tcPr>
          <w:p w14:paraId="6FD7D141" w14:textId="77777777" w:rsidR="00B90936" w:rsidRPr="00124A6D" w:rsidRDefault="00B90936" w:rsidP="001515D5">
            <w:r w:rsidRPr="00124A6D">
              <w:t>2016-17</w:t>
            </w:r>
          </w:p>
        </w:tc>
        <w:tc>
          <w:tcPr>
            <w:tcW w:w="1289" w:type="dxa"/>
            <w:vAlign w:val="bottom"/>
          </w:tcPr>
          <w:p w14:paraId="4583A93E" w14:textId="77777777" w:rsidR="00B90936" w:rsidRPr="00124A6D" w:rsidRDefault="00B90936" w:rsidP="001515D5">
            <w:r w:rsidRPr="00124A6D">
              <w:t>2017-18</w:t>
            </w:r>
          </w:p>
        </w:tc>
        <w:tc>
          <w:tcPr>
            <w:tcW w:w="1289" w:type="dxa"/>
            <w:vAlign w:val="bottom"/>
          </w:tcPr>
          <w:p w14:paraId="67008850" w14:textId="77777777" w:rsidR="00B90936" w:rsidRPr="00124A6D" w:rsidRDefault="00B90936" w:rsidP="001515D5">
            <w:r w:rsidRPr="00124A6D">
              <w:t>2018-19</w:t>
            </w:r>
          </w:p>
        </w:tc>
        <w:tc>
          <w:tcPr>
            <w:tcW w:w="1289" w:type="dxa"/>
            <w:vAlign w:val="bottom"/>
          </w:tcPr>
          <w:p w14:paraId="1A7A4845" w14:textId="77777777" w:rsidR="00B90936" w:rsidRPr="00124A6D" w:rsidRDefault="00B90936" w:rsidP="001515D5">
            <w:r w:rsidRPr="00124A6D">
              <w:t>2019-20</w:t>
            </w:r>
          </w:p>
        </w:tc>
        <w:tc>
          <w:tcPr>
            <w:tcW w:w="1289" w:type="dxa"/>
            <w:vAlign w:val="bottom"/>
          </w:tcPr>
          <w:p w14:paraId="6033456C" w14:textId="77777777" w:rsidR="00B90936" w:rsidRPr="00124A6D" w:rsidRDefault="00B90936" w:rsidP="001515D5">
            <w:r w:rsidRPr="00124A6D">
              <w:t>2020-21</w:t>
            </w:r>
          </w:p>
        </w:tc>
        <w:tc>
          <w:tcPr>
            <w:tcW w:w="1289" w:type="dxa"/>
            <w:vAlign w:val="bottom"/>
          </w:tcPr>
          <w:p w14:paraId="29FB2F94" w14:textId="77777777" w:rsidR="00B90936" w:rsidRPr="00124A6D" w:rsidRDefault="00B90936" w:rsidP="001515D5">
            <w:r w:rsidRPr="00124A6D">
              <w:t>2021-22</w:t>
            </w:r>
          </w:p>
        </w:tc>
      </w:tr>
      <w:tr w:rsidR="00B90936" w14:paraId="63FCE499" w14:textId="77777777" w:rsidTr="001515D5">
        <w:tc>
          <w:tcPr>
            <w:tcW w:w="1616" w:type="dxa"/>
            <w:vAlign w:val="bottom"/>
          </w:tcPr>
          <w:p w14:paraId="2259C36A" w14:textId="77777777" w:rsidR="00B90936" w:rsidRPr="00124A6D" w:rsidRDefault="00B90936" w:rsidP="001515D5">
            <w:r w:rsidRPr="00124A6D">
              <w:t>South Carolina</w:t>
            </w:r>
          </w:p>
        </w:tc>
        <w:tc>
          <w:tcPr>
            <w:tcW w:w="1289" w:type="dxa"/>
            <w:vAlign w:val="bottom"/>
          </w:tcPr>
          <w:p w14:paraId="68AA802A" w14:textId="77777777" w:rsidR="00B90936" w:rsidRPr="00124A6D" w:rsidRDefault="00B90936" w:rsidP="001515D5">
            <w:r w:rsidRPr="00124A6D">
              <w:t>1.0%</w:t>
            </w:r>
          </w:p>
        </w:tc>
        <w:tc>
          <w:tcPr>
            <w:tcW w:w="1289" w:type="dxa"/>
            <w:vAlign w:val="bottom"/>
          </w:tcPr>
          <w:p w14:paraId="7003B01C" w14:textId="77777777" w:rsidR="00B90936" w:rsidRPr="00124A6D" w:rsidRDefault="00B90936" w:rsidP="001515D5">
            <w:r w:rsidRPr="00124A6D">
              <w:t>1.2%</w:t>
            </w:r>
          </w:p>
        </w:tc>
        <w:tc>
          <w:tcPr>
            <w:tcW w:w="1289" w:type="dxa"/>
            <w:vAlign w:val="bottom"/>
          </w:tcPr>
          <w:p w14:paraId="58880EBE" w14:textId="77777777" w:rsidR="00B90936" w:rsidRPr="00124A6D" w:rsidRDefault="00B90936" w:rsidP="001515D5">
            <w:r w:rsidRPr="00124A6D">
              <w:t>1.4%</w:t>
            </w:r>
          </w:p>
        </w:tc>
        <w:tc>
          <w:tcPr>
            <w:tcW w:w="1289" w:type="dxa"/>
            <w:vAlign w:val="bottom"/>
          </w:tcPr>
          <w:p w14:paraId="76AA7081" w14:textId="77777777" w:rsidR="00B90936" w:rsidRPr="00124A6D" w:rsidRDefault="00B90936" w:rsidP="001515D5">
            <w:r w:rsidRPr="00124A6D">
              <w:t>1.6%</w:t>
            </w:r>
          </w:p>
        </w:tc>
        <w:tc>
          <w:tcPr>
            <w:tcW w:w="1289" w:type="dxa"/>
            <w:vAlign w:val="bottom"/>
          </w:tcPr>
          <w:p w14:paraId="03AAEAC5" w14:textId="77777777" w:rsidR="00B90936" w:rsidRPr="00124A6D" w:rsidRDefault="00B90936" w:rsidP="001515D5">
            <w:r w:rsidRPr="00124A6D">
              <w:t>1.6%</w:t>
            </w:r>
          </w:p>
        </w:tc>
        <w:tc>
          <w:tcPr>
            <w:tcW w:w="1289" w:type="dxa"/>
            <w:vAlign w:val="bottom"/>
          </w:tcPr>
          <w:p w14:paraId="4EFD3C3E" w14:textId="77777777" w:rsidR="00B90936" w:rsidRPr="00124A6D" w:rsidRDefault="00B90936" w:rsidP="001515D5">
            <w:r w:rsidRPr="00124A6D">
              <w:t>2.0%</w:t>
            </w:r>
          </w:p>
        </w:tc>
      </w:tr>
      <w:tr w:rsidR="00B90936" w14:paraId="1D4878BB" w14:textId="77777777" w:rsidTr="001515D5">
        <w:tc>
          <w:tcPr>
            <w:tcW w:w="1616" w:type="dxa"/>
            <w:vAlign w:val="bottom"/>
          </w:tcPr>
          <w:p w14:paraId="77DAA5C2" w14:textId="77777777" w:rsidR="00B90936" w:rsidRPr="00124A6D" w:rsidRDefault="00B90936" w:rsidP="001515D5">
            <w:r w:rsidRPr="00124A6D">
              <w:t>Spartanburg County</w:t>
            </w:r>
          </w:p>
        </w:tc>
        <w:tc>
          <w:tcPr>
            <w:tcW w:w="1289" w:type="dxa"/>
            <w:vAlign w:val="bottom"/>
          </w:tcPr>
          <w:p w14:paraId="1A15FE10" w14:textId="77777777" w:rsidR="00B90936" w:rsidRPr="00124A6D" w:rsidRDefault="00B90936" w:rsidP="001515D5">
            <w:r w:rsidRPr="00124A6D">
              <w:t>2.3%</w:t>
            </w:r>
          </w:p>
        </w:tc>
        <w:tc>
          <w:tcPr>
            <w:tcW w:w="1289" w:type="dxa"/>
            <w:vAlign w:val="bottom"/>
          </w:tcPr>
          <w:p w14:paraId="58C06595" w14:textId="77777777" w:rsidR="00B90936" w:rsidRPr="00124A6D" w:rsidRDefault="00B90936" w:rsidP="001515D5">
            <w:r w:rsidRPr="00124A6D">
              <w:t>2.7%</w:t>
            </w:r>
          </w:p>
        </w:tc>
        <w:tc>
          <w:tcPr>
            <w:tcW w:w="1289" w:type="dxa"/>
            <w:vAlign w:val="bottom"/>
          </w:tcPr>
          <w:p w14:paraId="6805E0B0" w14:textId="77777777" w:rsidR="00B90936" w:rsidRPr="00124A6D" w:rsidRDefault="00B90936" w:rsidP="001515D5">
            <w:r w:rsidRPr="00124A6D">
              <w:t>3.2%</w:t>
            </w:r>
          </w:p>
        </w:tc>
        <w:tc>
          <w:tcPr>
            <w:tcW w:w="1289" w:type="dxa"/>
            <w:vAlign w:val="bottom"/>
          </w:tcPr>
          <w:p w14:paraId="4489BECB" w14:textId="77777777" w:rsidR="00B90936" w:rsidRPr="00124A6D" w:rsidRDefault="00B90936" w:rsidP="001515D5">
            <w:r w:rsidRPr="00124A6D">
              <w:t>3.4%</w:t>
            </w:r>
          </w:p>
        </w:tc>
        <w:tc>
          <w:tcPr>
            <w:tcW w:w="1289" w:type="dxa"/>
            <w:vAlign w:val="bottom"/>
          </w:tcPr>
          <w:p w14:paraId="73693913" w14:textId="77777777" w:rsidR="00B90936" w:rsidRPr="00124A6D" w:rsidRDefault="00B90936" w:rsidP="001515D5">
            <w:r w:rsidRPr="00124A6D">
              <w:t>3.4%</w:t>
            </w:r>
          </w:p>
        </w:tc>
        <w:tc>
          <w:tcPr>
            <w:tcW w:w="1289" w:type="dxa"/>
            <w:vAlign w:val="bottom"/>
          </w:tcPr>
          <w:p w14:paraId="26BF8B1C" w14:textId="77777777" w:rsidR="00B90936" w:rsidRPr="00124A6D" w:rsidRDefault="00B90936" w:rsidP="001515D5">
            <w:r w:rsidRPr="00124A6D">
              <w:t>4.5%</w:t>
            </w:r>
          </w:p>
        </w:tc>
      </w:tr>
    </w:tbl>
    <w:p w14:paraId="004C6352" w14:textId="77777777" w:rsidR="00B90936" w:rsidRDefault="00B90936" w:rsidP="00B90936">
      <w:r w:rsidRPr="00124A6D">
        <w:t>Source: DHEC School Summary of Student Immunization Status (45 Day Report).</w:t>
      </w:r>
    </w:p>
    <w:p w14:paraId="01AC28EF" w14:textId="77777777" w:rsidR="00B90936" w:rsidRDefault="00B90936" w:rsidP="00B90936"/>
    <w:p w14:paraId="0D8AFBE9" w14:textId="77777777" w:rsidR="00B90936" w:rsidRDefault="00B90936" w:rsidP="00B90936">
      <w:pPr>
        <w:pStyle w:val="Heading4"/>
      </w:pPr>
      <w:bookmarkStart w:id="644" w:name="_Toc154576473"/>
      <w:bookmarkStart w:id="645" w:name="_Toc162267433"/>
      <w:r>
        <w:t xml:space="preserve">Figure 8.38: </w:t>
      </w:r>
      <w:r w:rsidRPr="00124A6D">
        <w:t>K12 School Religious Exemptions for Vaccinations</w:t>
      </w:r>
      <w:r>
        <w:t>, by County.</w:t>
      </w:r>
      <w:bookmarkEnd w:id="644"/>
      <w:bookmarkEnd w:id="645"/>
    </w:p>
    <w:tbl>
      <w:tblPr>
        <w:tblStyle w:val="TableGrid"/>
        <w:tblW w:w="0" w:type="auto"/>
        <w:tblLook w:val="04A0" w:firstRow="1" w:lastRow="0" w:firstColumn="1" w:lastColumn="0" w:noHBand="0" w:noVBand="1"/>
      </w:tblPr>
      <w:tblGrid>
        <w:gridCol w:w="2337"/>
        <w:gridCol w:w="2337"/>
        <w:gridCol w:w="2338"/>
        <w:gridCol w:w="2338"/>
      </w:tblGrid>
      <w:tr w:rsidR="00B90936" w14:paraId="09535DC6" w14:textId="77777777" w:rsidTr="001515D5">
        <w:tc>
          <w:tcPr>
            <w:tcW w:w="2337" w:type="dxa"/>
            <w:vAlign w:val="center"/>
          </w:tcPr>
          <w:p w14:paraId="27EED930" w14:textId="77777777" w:rsidR="00B90936" w:rsidRPr="00124A6D" w:rsidRDefault="00B90936" w:rsidP="001515D5">
            <w:r w:rsidRPr="00124A6D">
              <w:t>County</w:t>
            </w:r>
          </w:p>
        </w:tc>
        <w:tc>
          <w:tcPr>
            <w:tcW w:w="2337" w:type="dxa"/>
            <w:vAlign w:val="bottom"/>
          </w:tcPr>
          <w:p w14:paraId="110EC97C" w14:textId="77777777" w:rsidR="00B90936" w:rsidRPr="00124A6D" w:rsidRDefault="00B90936" w:rsidP="001515D5">
            <w:r w:rsidRPr="00124A6D">
              <w:t>Enrolled</w:t>
            </w:r>
          </w:p>
        </w:tc>
        <w:tc>
          <w:tcPr>
            <w:tcW w:w="2338" w:type="dxa"/>
            <w:vAlign w:val="bottom"/>
          </w:tcPr>
          <w:p w14:paraId="7F5444D4" w14:textId="77777777" w:rsidR="00B90936" w:rsidRPr="00124A6D" w:rsidRDefault="00B90936" w:rsidP="001515D5">
            <w:r>
              <w:t>Number</w:t>
            </w:r>
          </w:p>
        </w:tc>
        <w:tc>
          <w:tcPr>
            <w:tcW w:w="2338" w:type="dxa"/>
            <w:vAlign w:val="bottom"/>
          </w:tcPr>
          <w:p w14:paraId="5EE16E5A" w14:textId="77777777" w:rsidR="00B90936" w:rsidRPr="00124A6D" w:rsidRDefault="00B90936" w:rsidP="001515D5">
            <w:r>
              <w:t>Percent</w:t>
            </w:r>
          </w:p>
        </w:tc>
      </w:tr>
      <w:tr w:rsidR="00B90936" w14:paraId="05AC9F53" w14:textId="77777777" w:rsidTr="001515D5">
        <w:tc>
          <w:tcPr>
            <w:tcW w:w="2337" w:type="dxa"/>
            <w:vAlign w:val="bottom"/>
          </w:tcPr>
          <w:p w14:paraId="5E4117B2" w14:textId="77777777" w:rsidR="00B90936" w:rsidRPr="00124A6D" w:rsidRDefault="00B90936" w:rsidP="001515D5">
            <w:r w:rsidRPr="00124A6D">
              <w:t>Abbeville</w:t>
            </w:r>
          </w:p>
        </w:tc>
        <w:tc>
          <w:tcPr>
            <w:tcW w:w="2337" w:type="dxa"/>
            <w:vAlign w:val="bottom"/>
          </w:tcPr>
          <w:p w14:paraId="0236EC4C" w14:textId="77777777" w:rsidR="00B90936" w:rsidRPr="00124A6D" w:rsidRDefault="00B90936" w:rsidP="001515D5">
            <w:r w:rsidRPr="00124A6D">
              <w:t>3,209</w:t>
            </w:r>
          </w:p>
        </w:tc>
        <w:tc>
          <w:tcPr>
            <w:tcW w:w="2338" w:type="dxa"/>
            <w:vAlign w:val="bottom"/>
          </w:tcPr>
          <w:p w14:paraId="1013D0EA" w14:textId="77777777" w:rsidR="00B90936" w:rsidRPr="00124A6D" w:rsidRDefault="00B90936" w:rsidP="001515D5">
            <w:r w:rsidRPr="00124A6D">
              <w:t>124</w:t>
            </w:r>
          </w:p>
        </w:tc>
        <w:tc>
          <w:tcPr>
            <w:tcW w:w="2338" w:type="dxa"/>
            <w:vAlign w:val="bottom"/>
          </w:tcPr>
          <w:p w14:paraId="6342686A" w14:textId="77777777" w:rsidR="00B90936" w:rsidRPr="00124A6D" w:rsidRDefault="00B90936" w:rsidP="001515D5">
            <w:r w:rsidRPr="00124A6D">
              <w:t>3.86%</w:t>
            </w:r>
          </w:p>
        </w:tc>
      </w:tr>
      <w:tr w:rsidR="00B90936" w14:paraId="2C8FEDB8" w14:textId="77777777" w:rsidTr="001515D5">
        <w:tc>
          <w:tcPr>
            <w:tcW w:w="2337" w:type="dxa"/>
            <w:vAlign w:val="bottom"/>
          </w:tcPr>
          <w:p w14:paraId="4A68ED72" w14:textId="77777777" w:rsidR="00B90936" w:rsidRPr="00124A6D" w:rsidRDefault="00B90936" w:rsidP="001515D5">
            <w:r w:rsidRPr="00124A6D">
              <w:t>Aiken</w:t>
            </w:r>
          </w:p>
        </w:tc>
        <w:tc>
          <w:tcPr>
            <w:tcW w:w="2337" w:type="dxa"/>
            <w:vAlign w:val="bottom"/>
          </w:tcPr>
          <w:p w14:paraId="366A1464" w14:textId="77777777" w:rsidR="00B90936" w:rsidRPr="00124A6D" w:rsidRDefault="00B90936" w:rsidP="001515D5">
            <w:r w:rsidRPr="00124A6D">
              <w:t>25,966</w:t>
            </w:r>
          </w:p>
        </w:tc>
        <w:tc>
          <w:tcPr>
            <w:tcW w:w="2338" w:type="dxa"/>
            <w:vAlign w:val="bottom"/>
          </w:tcPr>
          <w:p w14:paraId="1E9D2256" w14:textId="77777777" w:rsidR="00B90936" w:rsidRPr="00124A6D" w:rsidRDefault="00B90936" w:rsidP="001515D5">
            <w:r w:rsidRPr="00124A6D">
              <w:t>224</w:t>
            </w:r>
          </w:p>
        </w:tc>
        <w:tc>
          <w:tcPr>
            <w:tcW w:w="2338" w:type="dxa"/>
            <w:vAlign w:val="bottom"/>
          </w:tcPr>
          <w:p w14:paraId="0D3B0733" w14:textId="77777777" w:rsidR="00B90936" w:rsidRPr="00124A6D" w:rsidRDefault="00B90936" w:rsidP="001515D5">
            <w:r w:rsidRPr="00124A6D">
              <w:t>0.86%</w:t>
            </w:r>
          </w:p>
        </w:tc>
      </w:tr>
      <w:tr w:rsidR="00B90936" w14:paraId="4613388D" w14:textId="77777777" w:rsidTr="001515D5">
        <w:tc>
          <w:tcPr>
            <w:tcW w:w="2337" w:type="dxa"/>
            <w:vAlign w:val="bottom"/>
          </w:tcPr>
          <w:p w14:paraId="289F7C8B" w14:textId="77777777" w:rsidR="00B90936" w:rsidRPr="00124A6D" w:rsidRDefault="00B90936" w:rsidP="001515D5">
            <w:r w:rsidRPr="00124A6D">
              <w:t>Allendale</w:t>
            </w:r>
          </w:p>
        </w:tc>
        <w:tc>
          <w:tcPr>
            <w:tcW w:w="2337" w:type="dxa"/>
            <w:vAlign w:val="bottom"/>
          </w:tcPr>
          <w:p w14:paraId="0979AC07" w14:textId="77777777" w:rsidR="00B90936" w:rsidRPr="00124A6D" w:rsidRDefault="00B90936" w:rsidP="001515D5">
            <w:r w:rsidRPr="00124A6D">
              <w:t>993</w:t>
            </w:r>
          </w:p>
        </w:tc>
        <w:tc>
          <w:tcPr>
            <w:tcW w:w="2338" w:type="dxa"/>
            <w:vAlign w:val="bottom"/>
          </w:tcPr>
          <w:p w14:paraId="1BC93F9E" w14:textId="77777777" w:rsidR="00B90936" w:rsidRPr="00124A6D" w:rsidRDefault="00B90936" w:rsidP="001515D5">
            <w:r w:rsidRPr="00124A6D">
              <w:t>3</w:t>
            </w:r>
          </w:p>
        </w:tc>
        <w:tc>
          <w:tcPr>
            <w:tcW w:w="2338" w:type="dxa"/>
            <w:vAlign w:val="bottom"/>
          </w:tcPr>
          <w:p w14:paraId="129A5749" w14:textId="77777777" w:rsidR="00B90936" w:rsidRPr="00124A6D" w:rsidRDefault="00B90936" w:rsidP="001515D5">
            <w:r w:rsidRPr="00124A6D">
              <w:t>0.30%</w:t>
            </w:r>
          </w:p>
        </w:tc>
      </w:tr>
      <w:tr w:rsidR="00B90936" w14:paraId="1D681EC8" w14:textId="77777777" w:rsidTr="001515D5">
        <w:tc>
          <w:tcPr>
            <w:tcW w:w="2337" w:type="dxa"/>
            <w:vAlign w:val="bottom"/>
          </w:tcPr>
          <w:p w14:paraId="6A6D596E" w14:textId="77777777" w:rsidR="00B90936" w:rsidRPr="00124A6D" w:rsidRDefault="00B90936" w:rsidP="001515D5">
            <w:r w:rsidRPr="00124A6D">
              <w:t>Anderson</w:t>
            </w:r>
          </w:p>
        </w:tc>
        <w:tc>
          <w:tcPr>
            <w:tcW w:w="2337" w:type="dxa"/>
            <w:vAlign w:val="bottom"/>
          </w:tcPr>
          <w:p w14:paraId="000CB37F" w14:textId="77777777" w:rsidR="00B90936" w:rsidRPr="00124A6D" w:rsidRDefault="00B90936" w:rsidP="001515D5">
            <w:r w:rsidRPr="00124A6D">
              <w:t>32,393</w:t>
            </w:r>
          </w:p>
        </w:tc>
        <w:tc>
          <w:tcPr>
            <w:tcW w:w="2338" w:type="dxa"/>
            <w:vAlign w:val="bottom"/>
          </w:tcPr>
          <w:p w14:paraId="024EBD26" w14:textId="77777777" w:rsidR="00B90936" w:rsidRPr="00124A6D" w:rsidRDefault="00B90936" w:rsidP="001515D5">
            <w:r w:rsidRPr="00124A6D">
              <w:t>700</w:t>
            </w:r>
          </w:p>
        </w:tc>
        <w:tc>
          <w:tcPr>
            <w:tcW w:w="2338" w:type="dxa"/>
            <w:vAlign w:val="bottom"/>
          </w:tcPr>
          <w:p w14:paraId="21BAFC27" w14:textId="77777777" w:rsidR="00B90936" w:rsidRPr="00124A6D" w:rsidRDefault="00B90936" w:rsidP="001515D5">
            <w:r w:rsidRPr="00124A6D">
              <w:t>2.16%</w:t>
            </w:r>
          </w:p>
        </w:tc>
      </w:tr>
      <w:tr w:rsidR="00B90936" w14:paraId="2814D463" w14:textId="77777777" w:rsidTr="001515D5">
        <w:tc>
          <w:tcPr>
            <w:tcW w:w="2337" w:type="dxa"/>
            <w:vAlign w:val="bottom"/>
          </w:tcPr>
          <w:p w14:paraId="3E71B250" w14:textId="77777777" w:rsidR="00B90936" w:rsidRPr="00124A6D" w:rsidRDefault="00B90936" w:rsidP="001515D5">
            <w:r w:rsidRPr="00124A6D">
              <w:t>Bamberg</w:t>
            </w:r>
          </w:p>
        </w:tc>
        <w:tc>
          <w:tcPr>
            <w:tcW w:w="2337" w:type="dxa"/>
            <w:vAlign w:val="bottom"/>
          </w:tcPr>
          <w:p w14:paraId="2AD28C7B" w14:textId="77777777" w:rsidR="00B90936" w:rsidRPr="00124A6D" w:rsidRDefault="00B90936" w:rsidP="001515D5">
            <w:r w:rsidRPr="00124A6D">
              <w:t>1,988</w:t>
            </w:r>
          </w:p>
        </w:tc>
        <w:tc>
          <w:tcPr>
            <w:tcW w:w="2338" w:type="dxa"/>
            <w:vAlign w:val="bottom"/>
          </w:tcPr>
          <w:p w14:paraId="6A640BA5" w14:textId="77777777" w:rsidR="00B90936" w:rsidRPr="00124A6D" w:rsidRDefault="00B90936" w:rsidP="001515D5">
            <w:r w:rsidRPr="00124A6D">
              <w:t>5</w:t>
            </w:r>
          </w:p>
        </w:tc>
        <w:tc>
          <w:tcPr>
            <w:tcW w:w="2338" w:type="dxa"/>
            <w:vAlign w:val="bottom"/>
          </w:tcPr>
          <w:p w14:paraId="1B1FA54A" w14:textId="77777777" w:rsidR="00B90936" w:rsidRPr="00124A6D" w:rsidRDefault="00B90936" w:rsidP="001515D5">
            <w:r w:rsidRPr="00124A6D">
              <w:t>0.25%</w:t>
            </w:r>
          </w:p>
        </w:tc>
      </w:tr>
      <w:tr w:rsidR="00B90936" w14:paraId="5C1843ED" w14:textId="77777777" w:rsidTr="001515D5">
        <w:tc>
          <w:tcPr>
            <w:tcW w:w="2337" w:type="dxa"/>
            <w:vAlign w:val="bottom"/>
          </w:tcPr>
          <w:p w14:paraId="42249EE6" w14:textId="77777777" w:rsidR="00B90936" w:rsidRPr="00124A6D" w:rsidRDefault="00B90936" w:rsidP="001515D5">
            <w:r w:rsidRPr="00124A6D">
              <w:lastRenderedPageBreak/>
              <w:t>Barnwell</w:t>
            </w:r>
          </w:p>
        </w:tc>
        <w:tc>
          <w:tcPr>
            <w:tcW w:w="2337" w:type="dxa"/>
            <w:vAlign w:val="bottom"/>
          </w:tcPr>
          <w:p w14:paraId="11F0BB98" w14:textId="77777777" w:rsidR="00B90936" w:rsidRPr="00124A6D" w:rsidRDefault="00B90936" w:rsidP="001515D5">
            <w:r w:rsidRPr="00124A6D">
              <w:t>4,044</w:t>
            </w:r>
          </w:p>
        </w:tc>
        <w:tc>
          <w:tcPr>
            <w:tcW w:w="2338" w:type="dxa"/>
            <w:vAlign w:val="bottom"/>
          </w:tcPr>
          <w:p w14:paraId="5B59681F" w14:textId="77777777" w:rsidR="00B90936" w:rsidRPr="00124A6D" w:rsidRDefault="00B90936" w:rsidP="001515D5">
            <w:r w:rsidRPr="00124A6D">
              <w:t>35</w:t>
            </w:r>
          </w:p>
        </w:tc>
        <w:tc>
          <w:tcPr>
            <w:tcW w:w="2338" w:type="dxa"/>
            <w:vAlign w:val="bottom"/>
          </w:tcPr>
          <w:p w14:paraId="0FFC460E" w14:textId="77777777" w:rsidR="00B90936" w:rsidRPr="00124A6D" w:rsidRDefault="00B90936" w:rsidP="001515D5">
            <w:r w:rsidRPr="00124A6D">
              <w:t>0.87%</w:t>
            </w:r>
          </w:p>
        </w:tc>
      </w:tr>
      <w:tr w:rsidR="00B90936" w14:paraId="229A97A0" w14:textId="77777777" w:rsidTr="001515D5">
        <w:tc>
          <w:tcPr>
            <w:tcW w:w="2337" w:type="dxa"/>
            <w:vAlign w:val="bottom"/>
          </w:tcPr>
          <w:p w14:paraId="29F2C7D2" w14:textId="77777777" w:rsidR="00B90936" w:rsidRPr="00124A6D" w:rsidRDefault="00B90936" w:rsidP="001515D5">
            <w:r w:rsidRPr="00124A6D">
              <w:t>Beaufort</w:t>
            </w:r>
          </w:p>
        </w:tc>
        <w:tc>
          <w:tcPr>
            <w:tcW w:w="2337" w:type="dxa"/>
            <w:vAlign w:val="bottom"/>
          </w:tcPr>
          <w:p w14:paraId="61E88C44" w14:textId="77777777" w:rsidR="00B90936" w:rsidRPr="00124A6D" w:rsidRDefault="00B90936" w:rsidP="001515D5">
            <w:r w:rsidRPr="00124A6D">
              <w:t>25,010</w:t>
            </w:r>
          </w:p>
        </w:tc>
        <w:tc>
          <w:tcPr>
            <w:tcW w:w="2338" w:type="dxa"/>
            <w:vAlign w:val="bottom"/>
          </w:tcPr>
          <w:p w14:paraId="315A09C2" w14:textId="77777777" w:rsidR="00B90936" w:rsidRPr="00124A6D" w:rsidRDefault="00B90936" w:rsidP="001515D5">
            <w:r w:rsidRPr="00124A6D">
              <w:t>534</w:t>
            </w:r>
          </w:p>
        </w:tc>
        <w:tc>
          <w:tcPr>
            <w:tcW w:w="2338" w:type="dxa"/>
            <w:vAlign w:val="bottom"/>
          </w:tcPr>
          <w:p w14:paraId="66353762" w14:textId="77777777" w:rsidR="00B90936" w:rsidRPr="00124A6D" w:rsidRDefault="00B90936" w:rsidP="001515D5">
            <w:r w:rsidRPr="00124A6D">
              <w:t>2.14%</w:t>
            </w:r>
          </w:p>
        </w:tc>
      </w:tr>
      <w:tr w:rsidR="00B90936" w14:paraId="7BBC75BD" w14:textId="77777777" w:rsidTr="001515D5">
        <w:tc>
          <w:tcPr>
            <w:tcW w:w="2337" w:type="dxa"/>
            <w:vAlign w:val="bottom"/>
          </w:tcPr>
          <w:p w14:paraId="1FB7939E" w14:textId="77777777" w:rsidR="00B90936" w:rsidRPr="00124A6D" w:rsidRDefault="00B90936" w:rsidP="001515D5">
            <w:r w:rsidRPr="00124A6D">
              <w:t>Berkeley</w:t>
            </w:r>
          </w:p>
        </w:tc>
        <w:tc>
          <w:tcPr>
            <w:tcW w:w="2337" w:type="dxa"/>
            <w:vAlign w:val="bottom"/>
          </w:tcPr>
          <w:p w14:paraId="60A6DA9B" w14:textId="77777777" w:rsidR="00B90936" w:rsidRPr="00124A6D" w:rsidRDefault="00B90936" w:rsidP="001515D5">
            <w:r w:rsidRPr="00124A6D">
              <w:t>37,072</w:t>
            </w:r>
          </w:p>
        </w:tc>
        <w:tc>
          <w:tcPr>
            <w:tcW w:w="2338" w:type="dxa"/>
            <w:vAlign w:val="bottom"/>
          </w:tcPr>
          <w:p w14:paraId="7C1D4DB6" w14:textId="77777777" w:rsidR="00B90936" w:rsidRPr="00124A6D" w:rsidRDefault="00B90936" w:rsidP="001515D5">
            <w:r w:rsidRPr="00124A6D">
              <w:t>648</w:t>
            </w:r>
          </w:p>
        </w:tc>
        <w:tc>
          <w:tcPr>
            <w:tcW w:w="2338" w:type="dxa"/>
            <w:vAlign w:val="bottom"/>
          </w:tcPr>
          <w:p w14:paraId="0B3B446B" w14:textId="77777777" w:rsidR="00B90936" w:rsidRPr="00124A6D" w:rsidRDefault="00B90936" w:rsidP="001515D5">
            <w:r w:rsidRPr="00124A6D">
              <w:t>1.75%</w:t>
            </w:r>
          </w:p>
        </w:tc>
      </w:tr>
      <w:tr w:rsidR="00B90936" w14:paraId="1F9224AA" w14:textId="77777777" w:rsidTr="001515D5">
        <w:tc>
          <w:tcPr>
            <w:tcW w:w="2337" w:type="dxa"/>
            <w:vAlign w:val="bottom"/>
          </w:tcPr>
          <w:p w14:paraId="07FDCEB2" w14:textId="77777777" w:rsidR="00B90936" w:rsidRPr="00124A6D" w:rsidRDefault="00B90936" w:rsidP="001515D5">
            <w:r w:rsidRPr="00124A6D">
              <w:t>Calhoun</w:t>
            </w:r>
          </w:p>
        </w:tc>
        <w:tc>
          <w:tcPr>
            <w:tcW w:w="2337" w:type="dxa"/>
            <w:vAlign w:val="bottom"/>
          </w:tcPr>
          <w:p w14:paraId="2EEF3FE2" w14:textId="77777777" w:rsidR="00B90936" w:rsidRPr="00124A6D" w:rsidRDefault="00B90936" w:rsidP="001515D5">
            <w:r w:rsidRPr="00124A6D">
              <w:t>1,899</w:t>
            </w:r>
          </w:p>
        </w:tc>
        <w:tc>
          <w:tcPr>
            <w:tcW w:w="2338" w:type="dxa"/>
            <w:vAlign w:val="bottom"/>
          </w:tcPr>
          <w:p w14:paraId="2B7283F0" w14:textId="77777777" w:rsidR="00B90936" w:rsidRPr="00124A6D" w:rsidRDefault="00B90936" w:rsidP="001515D5">
            <w:r w:rsidRPr="00124A6D">
              <w:t>18</w:t>
            </w:r>
          </w:p>
        </w:tc>
        <w:tc>
          <w:tcPr>
            <w:tcW w:w="2338" w:type="dxa"/>
            <w:vAlign w:val="bottom"/>
          </w:tcPr>
          <w:p w14:paraId="633C68ED" w14:textId="77777777" w:rsidR="00B90936" w:rsidRPr="00124A6D" w:rsidRDefault="00B90936" w:rsidP="001515D5">
            <w:r w:rsidRPr="00124A6D">
              <w:t>0.95%</w:t>
            </w:r>
          </w:p>
        </w:tc>
      </w:tr>
      <w:tr w:rsidR="00B90936" w14:paraId="55DAE2C8" w14:textId="77777777" w:rsidTr="001515D5">
        <w:tc>
          <w:tcPr>
            <w:tcW w:w="2337" w:type="dxa"/>
            <w:vAlign w:val="bottom"/>
          </w:tcPr>
          <w:p w14:paraId="44955C0F" w14:textId="77777777" w:rsidR="00B90936" w:rsidRPr="00124A6D" w:rsidRDefault="00B90936" w:rsidP="001515D5">
            <w:r w:rsidRPr="00124A6D">
              <w:t>Charleston</w:t>
            </w:r>
          </w:p>
        </w:tc>
        <w:tc>
          <w:tcPr>
            <w:tcW w:w="2337" w:type="dxa"/>
            <w:vAlign w:val="bottom"/>
          </w:tcPr>
          <w:p w14:paraId="30F97E2C" w14:textId="77777777" w:rsidR="00B90936" w:rsidRPr="00124A6D" w:rsidRDefault="00B90936" w:rsidP="001515D5">
            <w:r w:rsidRPr="00124A6D">
              <w:t>55,112</w:t>
            </w:r>
          </w:p>
        </w:tc>
        <w:tc>
          <w:tcPr>
            <w:tcW w:w="2338" w:type="dxa"/>
            <w:vAlign w:val="bottom"/>
          </w:tcPr>
          <w:p w14:paraId="6E6A25D7" w14:textId="77777777" w:rsidR="00B90936" w:rsidRPr="00124A6D" w:rsidRDefault="00B90936" w:rsidP="001515D5">
            <w:r w:rsidRPr="00124A6D">
              <w:t>1,109</w:t>
            </w:r>
          </w:p>
        </w:tc>
        <w:tc>
          <w:tcPr>
            <w:tcW w:w="2338" w:type="dxa"/>
            <w:vAlign w:val="bottom"/>
          </w:tcPr>
          <w:p w14:paraId="793A8A5C" w14:textId="77777777" w:rsidR="00B90936" w:rsidRPr="00124A6D" w:rsidRDefault="00B90936" w:rsidP="001515D5">
            <w:r w:rsidRPr="00124A6D">
              <w:t>2.01%</w:t>
            </w:r>
          </w:p>
        </w:tc>
      </w:tr>
      <w:tr w:rsidR="00B90936" w14:paraId="0C52786A" w14:textId="77777777" w:rsidTr="001515D5">
        <w:tc>
          <w:tcPr>
            <w:tcW w:w="2337" w:type="dxa"/>
            <w:vAlign w:val="bottom"/>
          </w:tcPr>
          <w:p w14:paraId="493AFA22" w14:textId="77777777" w:rsidR="00B90936" w:rsidRPr="00124A6D" w:rsidRDefault="00B90936" w:rsidP="001515D5">
            <w:r w:rsidRPr="00124A6D">
              <w:t>Cherokee</w:t>
            </w:r>
          </w:p>
        </w:tc>
        <w:tc>
          <w:tcPr>
            <w:tcW w:w="2337" w:type="dxa"/>
            <w:vAlign w:val="bottom"/>
          </w:tcPr>
          <w:p w14:paraId="769ABE45" w14:textId="77777777" w:rsidR="00B90936" w:rsidRPr="00124A6D" w:rsidRDefault="00B90936" w:rsidP="001515D5">
            <w:r w:rsidRPr="00124A6D">
              <w:t>7,526</w:t>
            </w:r>
          </w:p>
        </w:tc>
        <w:tc>
          <w:tcPr>
            <w:tcW w:w="2338" w:type="dxa"/>
            <w:vAlign w:val="bottom"/>
          </w:tcPr>
          <w:p w14:paraId="298247B1" w14:textId="77777777" w:rsidR="00B90936" w:rsidRPr="00124A6D" w:rsidRDefault="00B90936" w:rsidP="001515D5">
            <w:r w:rsidRPr="00124A6D">
              <w:t>115</w:t>
            </w:r>
          </w:p>
        </w:tc>
        <w:tc>
          <w:tcPr>
            <w:tcW w:w="2338" w:type="dxa"/>
            <w:vAlign w:val="bottom"/>
          </w:tcPr>
          <w:p w14:paraId="06051710" w14:textId="77777777" w:rsidR="00B90936" w:rsidRPr="00124A6D" w:rsidRDefault="00B90936" w:rsidP="001515D5">
            <w:r w:rsidRPr="00124A6D">
              <w:t>1.53%</w:t>
            </w:r>
          </w:p>
        </w:tc>
      </w:tr>
      <w:tr w:rsidR="00B90936" w14:paraId="355C555E" w14:textId="77777777" w:rsidTr="001515D5">
        <w:tc>
          <w:tcPr>
            <w:tcW w:w="2337" w:type="dxa"/>
            <w:vAlign w:val="bottom"/>
          </w:tcPr>
          <w:p w14:paraId="52E22571" w14:textId="77777777" w:rsidR="00B90936" w:rsidRPr="00124A6D" w:rsidRDefault="00B90936" w:rsidP="001515D5">
            <w:r w:rsidRPr="00124A6D">
              <w:t>Chester</w:t>
            </w:r>
          </w:p>
        </w:tc>
        <w:tc>
          <w:tcPr>
            <w:tcW w:w="2337" w:type="dxa"/>
            <w:vAlign w:val="bottom"/>
          </w:tcPr>
          <w:p w14:paraId="48C33CF6" w14:textId="77777777" w:rsidR="00B90936" w:rsidRPr="00124A6D" w:rsidRDefault="00B90936" w:rsidP="001515D5">
            <w:r w:rsidRPr="00124A6D">
              <w:t>4,816</w:t>
            </w:r>
          </w:p>
        </w:tc>
        <w:tc>
          <w:tcPr>
            <w:tcW w:w="2338" w:type="dxa"/>
            <w:vAlign w:val="bottom"/>
          </w:tcPr>
          <w:p w14:paraId="05068C34" w14:textId="77777777" w:rsidR="00B90936" w:rsidRPr="00124A6D" w:rsidRDefault="00B90936" w:rsidP="001515D5">
            <w:r w:rsidRPr="00124A6D">
              <w:t>51</w:t>
            </w:r>
          </w:p>
        </w:tc>
        <w:tc>
          <w:tcPr>
            <w:tcW w:w="2338" w:type="dxa"/>
            <w:vAlign w:val="bottom"/>
          </w:tcPr>
          <w:p w14:paraId="673D4A68" w14:textId="77777777" w:rsidR="00B90936" w:rsidRPr="00124A6D" w:rsidRDefault="00B90936" w:rsidP="001515D5">
            <w:r w:rsidRPr="00124A6D">
              <w:t>1.06%</w:t>
            </w:r>
          </w:p>
        </w:tc>
      </w:tr>
      <w:tr w:rsidR="00B90936" w14:paraId="0CCF5A88" w14:textId="77777777" w:rsidTr="001515D5">
        <w:tc>
          <w:tcPr>
            <w:tcW w:w="2337" w:type="dxa"/>
            <w:vAlign w:val="bottom"/>
          </w:tcPr>
          <w:p w14:paraId="3243CBF8" w14:textId="77777777" w:rsidR="00B90936" w:rsidRPr="00124A6D" w:rsidRDefault="00B90936" w:rsidP="001515D5">
            <w:r w:rsidRPr="00124A6D">
              <w:t>Chesterfield</w:t>
            </w:r>
          </w:p>
        </w:tc>
        <w:tc>
          <w:tcPr>
            <w:tcW w:w="2337" w:type="dxa"/>
            <w:vAlign w:val="bottom"/>
          </w:tcPr>
          <w:p w14:paraId="6DF4B43F" w14:textId="77777777" w:rsidR="00B90936" w:rsidRPr="00124A6D" w:rsidRDefault="00B90936" w:rsidP="001515D5">
            <w:r w:rsidRPr="00124A6D">
              <w:t>7,002</w:t>
            </w:r>
          </w:p>
        </w:tc>
        <w:tc>
          <w:tcPr>
            <w:tcW w:w="2338" w:type="dxa"/>
            <w:vAlign w:val="bottom"/>
          </w:tcPr>
          <w:p w14:paraId="5FB3B5D8" w14:textId="77777777" w:rsidR="00B90936" w:rsidRPr="00124A6D" w:rsidRDefault="00B90936" w:rsidP="001515D5">
            <w:r w:rsidRPr="00124A6D">
              <w:t>35</w:t>
            </w:r>
          </w:p>
        </w:tc>
        <w:tc>
          <w:tcPr>
            <w:tcW w:w="2338" w:type="dxa"/>
            <w:vAlign w:val="bottom"/>
          </w:tcPr>
          <w:p w14:paraId="0C53FAF6" w14:textId="77777777" w:rsidR="00B90936" w:rsidRPr="00124A6D" w:rsidRDefault="00B90936" w:rsidP="001515D5">
            <w:r w:rsidRPr="00124A6D">
              <w:t>0.50%</w:t>
            </w:r>
          </w:p>
        </w:tc>
      </w:tr>
      <w:tr w:rsidR="00B90936" w14:paraId="286A145C" w14:textId="77777777" w:rsidTr="001515D5">
        <w:tc>
          <w:tcPr>
            <w:tcW w:w="2337" w:type="dxa"/>
            <w:vAlign w:val="bottom"/>
          </w:tcPr>
          <w:p w14:paraId="09D0B880" w14:textId="77777777" w:rsidR="00B90936" w:rsidRPr="00124A6D" w:rsidRDefault="00B90936" w:rsidP="001515D5">
            <w:r w:rsidRPr="00124A6D">
              <w:t>Clarendon</w:t>
            </w:r>
          </w:p>
        </w:tc>
        <w:tc>
          <w:tcPr>
            <w:tcW w:w="2337" w:type="dxa"/>
            <w:vAlign w:val="bottom"/>
          </w:tcPr>
          <w:p w14:paraId="2742B69B" w14:textId="77777777" w:rsidR="00B90936" w:rsidRPr="00124A6D" w:rsidRDefault="00B90936" w:rsidP="001515D5">
            <w:r w:rsidRPr="00124A6D">
              <w:t>5,453</w:t>
            </w:r>
          </w:p>
        </w:tc>
        <w:tc>
          <w:tcPr>
            <w:tcW w:w="2338" w:type="dxa"/>
            <w:vAlign w:val="bottom"/>
          </w:tcPr>
          <w:p w14:paraId="45642350" w14:textId="77777777" w:rsidR="00B90936" w:rsidRPr="00124A6D" w:rsidRDefault="00B90936" w:rsidP="001515D5">
            <w:r w:rsidRPr="00124A6D">
              <w:t>27</w:t>
            </w:r>
          </w:p>
        </w:tc>
        <w:tc>
          <w:tcPr>
            <w:tcW w:w="2338" w:type="dxa"/>
            <w:vAlign w:val="bottom"/>
          </w:tcPr>
          <w:p w14:paraId="2DAB8716" w14:textId="77777777" w:rsidR="00B90936" w:rsidRPr="00124A6D" w:rsidRDefault="00B90936" w:rsidP="001515D5">
            <w:r w:rsidRPr="00124A6D">
              <w:t>0.50%</w:t>
            </w:r>
          </w:p>
        </w:tc>
      </w:tr>
      <w:tr w:rsidR="00B90936" w14:paraId="118245D4" w14:textId="77777777" w:rsidTr="001515D5">
        <w:tc>
          <w:tcPr>
            <w:tcW w:w="2337" w:type="dxa"/>
            <w:vAlign w:val="bottom"/>
          </w:tcPr>
          <w:p w14:paraId="089BDE33" w14:textId="77777777" w:rsidR="00B90936" w:rsidRPr="00124A6D" w:rsidRDefault="00B90936" w:rsidP="001515D5">
            <w:r w:rsidRPr="00124A6D">
              <w:t>Colleton</w:t>
            </w:r>
          </w:p>
        </w:tc>
        <w:tc>
          <w:tcPr>
            <w:tcW w:w="2337" w:type="dxa"/>
            <w:vAlign w:val="bottom"/>
          </w:tcPr>
          <w:p w14:paraId="5EA7F6A9" w14:textId="77777777" w:rsidR="00B90936" w:rsidRPr="00124A6D" w:rsidRDefault="00B90936" w:rsidP="001515D5">
            <w:r w:rsidRPr="00124A6D">
              <w:t>5,268</w:t>
            </w:r>
          </w:p>
        </w:tc>
        <w:tc>
          <w:tcPr>
            <w:tcW w:w="2338" w:type="dxa"/>
            <w:vAlign w:val="bottom"/>
          </w:tcPr>
          <w:p w14:paraId="6CAE8AB5" w14:textId="77777777" w:rsidR="00B90936" w:rsidRPr="00124A6D" w:rsidRDefault="00B90936" w:rsidP="001515D5">
            <w:r w:rsidRPr="00124A6D">
              <w:t>45</w:t>
            </w:r>
          </w:p>
        </w:tc>
        <w:tc>
          <w:tcPr>
            <w:tcW w:w="2338" w:type="dxa"/>
            <w:vAlign w:val="bottom"/>
          </w:tcPr>
          <w:p w14:paraId="7F0C2F5F" w14:textId="77777777" w:rsidR="00B90936" w:rsidRPr="00124A6D" w:rsidRDefault="00B90936" w:rsidP="001515D5">
            <w:r w:rsidRPr="00124A6D">
              <w:t>0.85%</w:t>
            </w:r>
          </w:p>
        </w:tc>
      </w:tr>
      <w:tr w:rsidR="00B90936" w14:paraId="1CD55D17" w14:textId="77777777" w:rsidTr="001515D5">
        <w:tc>
          <w:tcPr>
            <w:tcW w:w="2337" w:type="dxa"/>
            <w:vAlign w:val="bottom"/>
          </w:tcPr>
          <w:p w14:paraId="4DBD824C" w14:textId="77777777" w:rsidR="00B90936" w:rsidRPr="00124A6D" w:rsidRDefault="00B90936" w:rsidP="001515D5">
            <w:r w:rsidRPr="00124A6D">
              <w:t>Darlington</w:t>
            </w:r>
          </w:p>
        </w:tc>
        <w:tc>
          <w:tcPr>
            <w:tcW w:w="2337" w:type="dxa"/>
            <w:vAlign w:val="bottom"/>
          </w:tcPr>
          <w:p w14:paraId="7A3C84DB" w14:textId="77777777" w:rsidR="00B90936" w:rsidRPr="00124A6D" w:rsidRDefault="00B90936" w:rsidP="001515D5">
            <w:r w:rsidRPr="00124A6D">
              <w:t>10,429</w:t>
            </w:r>
          </w:p>
        </w:tc>
        <w:tc>
          <w:tcPr>
            <w:tcW w:w="2338" w:type="dxa"/>
            <w:vAlign w:val="bottom"/>
          </w:tcPr>
          <w:p w14:paraId="7EC1D14C" w14:textId="77777777" w:rsidR="00B90936" w:rsidRPr="00124A6D" w:rsidRDefault="00B90936" w:rsidP="001515D5">
            <w:r w:rsidRPr="00124A6D">
              <w:t>64</w:t>
            </w:r>
          </w:p>
        </w:tc>
        <w:tc>
          <w:tcPr>
            <w:tcW w:w="2338" w:type="dxa"/>
            <w:vAlign w:val="bottom"/>
          </w:tcPr>
          <w:p w14:paraId="6C8747AB" w14:textId="77777777" w:rsidR="00B90936" w:rsidRPr="00124A6D" w:rsidRDefault="00B90936" w:rsidP="001515D5">
            <w:r w:rsidRPr="00124A6D">
              <w:t>0.61%</w:t>
            </w:r>
          </w:p>
        </w:tc>
      </w:tr>
      <w:tr w:rsidR="00B90936" w14:paraId="19E673FE" w14:textId="77777777" w:rsidTr="001515D5">
        <w:tc>
          <w:tcPr>
            <w:tcW w:w="2337" w:type="dxa"/>
            <w:vAlign w:val="bottom"/>
          </w:tcPr>
          <w:p w14:paraId="4060F979" w14:textId="77777777" w:rsidR="00B90936" w:rsidRPr="00124A6D" w:rsidRDefault="00B90936" w:rsidP="001515D5">
            <w:r w:rsidRPr="00124A6D">
              <w:t>Dillon</w:t>
            </w:r>
          </w:p>
        </w:tc>
        <w:tc>
          <w:tcPr>
            <w:tcW w:w="2337" w:type="dxa"/>
            <w:vAlign w:val="bottom"/>
          </w:tcPr>
          <w:p w14:paraId="634F60AF" w14:textId="77777777" w:rsidR="00B90936" w:rsidRPr="00124A6D" w:rsidRDefault="00B90936" w:rsidP="001515D5">
            <w:r w:rsidRPr="00124A6D">
              <w:t>5,587</w:t>
            </w:r>
          </w:p>
        </w:tc>
        <w:tc>
          <w:tcPr>
            <w:tcW w:w="2338" w:type="dxa"/>
            <w:vAlign w:val="bottom"/>
          </w:tcPr>
          <w:p w14:paraId="773D0F95" w14:textId="77777777" w:rsidR="00B90936" w:rsidRPr="00124A6D" w:rsidRDefault="00B90936" w:rsidP="001515D5">
            <w:r w:rsidRPr="00124A6D">
              <w:t>30</w:t>
            </w:r>
          </w:p>
        </w:tc>
        <w:tc>
          <w:tcPr>
            <w:tcW w:w="2338" w:type="dxa"/>
            <w:vAlign w:val="bottom"/>
          </w:tcPr>
          <w:p w14:paraId="7C8BCA8D" w14:textId="77777777" w:rsidR="00B90936" w:rsidRPr="00124A6D" w:rsidRDefault="00B90936" w:rsidP="001515D5">
            <w:r w:rsidRPr="00124A6D">
              <w:t>0.54%</w:t>
            </w:r>
          </w:p>
        </w:tc>
      </w:tr>
      <w:tr w:rsidR="00B90936" w14:paraId="65B4AD8E" w14:textId="77777777" w:rsidTr="001515D5">
        <w:tc>
          <w:tcPr>
            <w:tcW w:w="2337" w:type="dxa"/>
            <w:vAlign w:val="bottom"/>
          </w:tcPr>
          <w:p w14:paraId="38FC98FC" w14:textId="77777777" w:rsidR="00B90936" w:rsidRPr="00124A6D" w:rsidRDefault="00B90936" w:rsidP="001515D5">
            <w:r w:rsidRPr="00124A6D">
              <w:t>Dorchester</w:t>
            </w:r>
          </w:p>
        </w:tc>
        <w:tc>
          <w:tcPr>
            <w:tcW w:w="2337" w:type="dxa"/>
            <w:vAlign w:val="bottom"/>
          </w:tcPr>
          <w:p w14:paraId="4D85E0D9" w14:textId="77777777" w:rsidR="00B90936" w:rsidRPr="00124A6D" w:rsidRDefault="00B90936" w:rsidP="001515D5">
            <w:r w:rsidRPr="00124A6D">
              <w:t>28,189</w:t>
            </w:r>
          </w:p>
        </w:tc>
        <w:tc>
          <w:tcPr>
            <w:tcW w:w="2338" w:type="dxa"/>
            <w:vAlign w:val="bottom"/>
          </w:tcPr>
          <w:p w14:paraId="240FD4DA" w14:textId="77777777" w:rsidR="00B90936" w:rsidRPr="00124A6D" w:rsidRDefault="00B90936" w:rsidP="001515D5">
            <w:r w:rsidRPr="00124A6D">
              <w:t>540</w:t>
            </w:r>
          </w:p>
        </w:tc>
        <w:tc>
          <w:tcPr>
            <w:tcW w:w="2338" w:type="dxa"/>
            <w:vAlign w:val="bottom"/>
          </w:tcPr>
          <w:p w14:paraId="0E6577E1" w14:textId="77777777" w:rsidR="00B90936" w:rsidRPr="00124A6D" w:rsidRDefault="00B90936" w:rsidP="001515D5">
            <w:r w:rsidRPr="00124A6D">
              <w:t>1.92%</w:t>
            </w:r>
          </w:p>
        </w:tc>
      </w:tr>
      <w:tr w:rsidR="00B90936" w14:paraId="5731D6C1" w14:textId="77777777" w:rsidTr="001515D5">
        <w:tc>
          <w:tcPr>
            <w:tcW w:w="2337" w:type="dxa"/>
            <w:vAlign w:val="bottom"/>
          </w:tcPr>
          <w:p w14:paraId="5F7310FA" w14:textId="77777777" w:rsidR="00B90936" w:rsidRPr="00124A6D" w:rsidRDefault="00B90936" w:rsidP="001515D5">
            <w:r w:rsidRPr="00124A6D">
              <w:t>Edgefield</w:t>
            </w:r>
          </w:p>
        </w:tc>
        <w:tc>
          <w:tcPr>
            <w:tcW w:w="2337" w:type="dxa"/>
            <w:vAlign w:val="bottom"/>
          </w:tcPr>
          <w:p w14:paraId="5C5F3257" w14:textId="77777777" w:rsidR="00B90936" w:rsidRPr="00124A6D" w:rsidRDefault="00B90936" w:rsidP="001515D5">
            <w:r w:rsidRPr="00124A6D">
              <w:t>3,347</w:t>
            </w:r>
          </w:p>
        </w:tc>
        <w:tc>
          <w:tcPr>
            <w:tcW w:w="2338" w:type="dxa"/>
            <w:vAlign w:val="bottom"/>
          </w:tcPr>
          <w:p w14:paraId="4B1B268C" w14:textId="77777777" w:rsidR="00B90936" w:rsidRPr="00124A6D" w:rsidRDefault="00B90936" w:rsidP="001515D5">
            <w:r w:rsidRPr="00124A6D">
              <w:t>22</w:t>
            </w:r>
          </w:p>
        </w:tc>
        <w:tc>
          <w:tcPr>
            <w:tcW w:w="2338" w:type="dxa"/>
            <w:vAlign w:val="bottom"/>
          </w:tcPr>
          <w:p w14:paraId="6BA294C2" w14:textId="77777777" w:rsidR="00B90936" w:rsidRPr="00124A6D" w:rsidRDefault="00B90936" w:rsidP="001515D5">
            <w:r w:rsidRPr="00124A6D">
              <w:t>0.66%</w:t>
            </w:r>
          </w:p>
        </w:tc>
      </w:tr>
      <w:tr w:rsidR="00B90936" w14:paraId="10D1BF00" w14:textId="77777777" w:rsidTr="001515D5">
        <w:tc>
          <w:tcPr>
            <w:tcW w:w="2337" w:type="dxa"/>
            <w:vAlign w:val="bottom"/>
          </w:tcPr>
          <w:p w14:paraId="2E0882C1" w14:textId="77777777" w:rsidR="00B90936" w:rsidRPr="00124A6D" w:rsidRDefault="00B90936" w:rsidP="001515D5">
            <w:r w:rsidRPr="00124A6D">
              <w:t>Fairfield</w:t>
            </w:r>
          </w:p>
        </w:tc>
        <w:tc>
          <w:tcPr>
            <w:tcW w:w="2337" w:type="dxa"/>
            <w:vAlign w:val="bottom"/>
          </w:tcPr>
          <w:p w14:paraId="178CFB62" w14:textId="77777777" w:rsidR="00B90936" w:rsidRPr="00124A6D" w:rsidRDefault="00B90936" w:rsidP="001515D5">
            <w:r w:rsidRPr="00124A6D">
              <w:t>2,660</w:t>
            </w:r>
          </w:p>
        </w:tc>
        <w:tc>
          <w:tcPr>
            <w:tcW w:w="2338" w:type="dxa"/>
            <w:vAlign w:val="bottom"/>
          </w:tcPr>
          <w:p w14:paraId="1694AD34" w14:textId="77777777" w:rsidR="00B90936" w:rsidRPr="00124A6D" w:rsidRDefault="00B90936" w:rsidP="001515D5">
            <w:r w:rsidRPr="00124A6D">
              <w:t>14</w:t>
            </w:r>
          </w:p>
        </w:tc>
        <w:tc>
          <w:tcPr>
            <w:tcW w:w="2338" w:type="dxa"/>
            <w:vAlign w:val="bottom"/>
          </w:tcPr>
          <w:p w14:paraId="60C56C1F" w14:textId="77777777" w:rsidR="00B90936" w:rsidRPr="00124A6D" w:rsidRDefault="00B90936" w:rsidP="001515D5">
            <w:r w:rsidRPr="00124A6D">
              <w:t>0.53%</w:t>
            </w:r>
          </w:p>
        </w:tc>
      </w:tr>
      <w:tr w:rsidR="00B90936" w14:paraId="6F5EDB35" w14:textId="77777777" w:rsidTr="001515D5">
        <w:tc>
          <w:tcPr>
            <w:tcW w:w="2337" w:type="dxa"/>
            <w:vAlign w:val="bottom"/>
          </w:tcPr>
          <w:p w14:paraId="59991F64" w14:textId="77777777" w:rsidR="00B90936" w:rsidRPr="00124A6D" w:rsidRDefault="00B90936" w:rsidP="001515D5">
            <w:r w:rsidRPr="00124A6D">
              <w:t>Florence</w:t>
            </w:r>
          </w:p>
        </w:tc>
        <w:tc>
          <w:tcPr>
            <w:tcW w:w="2337" w:type="dxa"/>
            <w:vAlign w:val="bottom"/>
          </w:tcPr>
          <w:p w14:paraId="6256289A" w14:textId="77777777" w:rsidR="00B90936" w:rsidRPr="00124A6D" w:rsidRDefault="00B90936" w:rsidP="001515D5">
            <w:r w:rsidRPr="00124A6D">
              <w:t>23,201</w:t>
            </w:r>
          </w:p>
        </w:tc>
        <w:tc>
          <w:tcPr>
            <w:tcW w:w="2338" w:type="dxa"/>
            <w:vAlign w:val="bottom"/>
          </w:tcPr>
          <w:p w14:paraId="1E607DA7" w14:textId="77777777" w:rsidR="00B90936" w:rsidRPr="00124A6D" w:rsidRDefault="00B90936" w:rsidP="001515D5">
            <w:r w:rsidRPr="00124A6D">
              <w:t>161</w:t>
            </w:r>
          </w:p>
        </w:tc>
        <w:tc>
          <w:tcPr>
            <w:tcW w:w="2338" w:type="dxa"/>
            <w:vAlign w:val="bottom"/>
          </w:tcPr>
          <w:p w14:paraId="76C1441C" w14:textId="77777777" w:rsidR="00B90936" w:rsidRPr="00124A6D" w:rsidRDefault="00B90936" w:rsidP="001515D5">
            <w:r w:rsidRPr="00124A6D">
              <w:t>0.69%</w:t>
            </w:r>
          </w:p>
        </w:tc>
      </w:tr>
      <w:tr w:rsidR="00B90936" w14:paraId="7E6D1B05" w14:textId="77777777" w:rsidTr="001515D5">
        <w:tc>
          <w:tcPr>
            <w:tcW w:w="2337" w:type="dxa"/>
            <w:vAlign w:val="bottom"/>
          </w:tcPr>
          <w:p w14:paraId="250C75D2" w14:textId="77777777" w:rsidR="00B90936" w:rsidRPr="00124A6D" w:rsidRDefault="00B90936" w:rsidP="001515D5">
            <w:r w:rsidRPr="00124A6D">
              <w:t>Georgetown</w:t>
            </w:r>
          </w:p>
        </w:tc>
        <w:tc>
          <w:tcPr>
            <w:tcW w:w="2337" w:type="dxa"/>
            <w:vAlign w:val="bottom"/>
          </w:tcPr>
          <w:p w14:paraId="6A10AC9D" w14:textId="77777777" w:rsidR="00B90936" w:rsidRPr="00124A6D" w:rsidRDefault="00B90936" w:rsidP="001515D5">
            <w:r w:rsidRPr="00124A6D">
              <w:t>8,609</w:t>
            </w:r>
          </w:p>
        </w:tc>
        <w:tc>
          <w:tcPr>
            <w:tcW w:w="2338" w:type="dxa"/>
            <w:vAlign w:val="bottom"/>
          </w:tcPr>
          <w:p w14:paraId="1CBAED23" w14:textId="77777777" w:rsidR="00B90936" w:rsidRPr="00124A6D" w:rsidRDefault="00B90936" w:rsidP="001515D5">
            <w:r w:rsidRPr="00124A6D">
              <w:t>104</w:t>
            </w:r>
          </w:p>
        </w:tc>
        <w:tc>
          <w:tcPr>
            <w:tcW w:w="2338" w:type="dxa"/>
            <w:vAlign w:val="bottom"/>
          </w:tcPr>
          <w:p w14:paraId="4A2812FC" w14:textId="77777777" w:rsidR="00B90936" w:rsidRPr="00124A6D" w:rsidRDefault="00B90936" w:rsidP="001515D5">
            <w:r w:rsidRPr="00124A6D">
              <w:t>1.21%</w:t>
            </w:r>
          </w:p>
        </w:tc>
      </w:tr>
      <w:tr w:rsidR="00B90936" w14:paraId="5303504C" w14:textId="77777777" w:rsidTr="001515D5">
        <w:tc>
          <w:tcPr>
            <w:tcW w:w="2337" w:type="dxa"/>
            <w:vAlign w:val="bottom"/>
          </w:tcPr>
          <w:p w14:paraId="3AB287FA" w14:textId="77777777" w:rsidR="00B90936" w:rsidRPr="00124A6D" w:rsidRDefault="00B90936" w:rsidP="001515D5">
            <w:r w:rsidRPr="00124A6D">
              <w:t>Greenville</w:t>
            </w:r>
          </w:p>
        </w:tc>
        <w:tc>
          <w:tcPr>
            <w:tcW w:w="2337" w:type="dxa"/>
            <w:vAlign w:val="bottom"/>
          </w:tcPr>
          <w:p w14:paraId="6E1750B8" w14:textId="77777777" w:rsidR="00B90936" w:rsidRPr="00124A6D" w:rsidRDefault="00B90936" w:rsidP="001515D5">
            <w:r w:rsidRPr="00124A6D">
              <w:t>92,351</w:t>
            </w:r>
          </w:p>
        </w:tc>
        <w:tc>
          <w:tcPr>
            <w:tcW w:w="2338" w:type="dxa"/>
            <w:vAlign w:val="bottom"/>
          </w:tcPr>
          <w:p w14:paraId="0F8086F4" w14:textId="77777777" w:rsidR="00B90936" w:rsidRPr="00124A6D" w:rsidRDefault="00B90936" w:rsidP="001515D5">
            <w:r w:rsidRPr="00124A6D">
              <w:t>3,292</w:t>
            </w:r>
          </w:p>
        </w:tc>
        <w:tc>
          <w:tcPr>
            <w:tcW w:w="2338" w:type="dxa"/>
            <w:vAlign w:val="bottom"/>
          </w:tcPr>
          <w:p w14:paraId="50C5E587" w14:textId="77777777" w:rsidR="00B90936" w:rsidRPr="00124A6D" w:rsidRDefault="00B90936" w:rsidP="001515D5">
            <w:r w:rsidRPr="00124A6D">
              <w:t>3.56%</w:t>
            </w:r>
          </w:p>
        </w:tc>
      </w:tr>
      <w:tr w:rsidR="00B90936" w14:paraId="4FD7F33A" w14:textId="77777777" w:rsidTr="001515D5">
        <w:tc>
          <w:tcPr>
            <w:tcW w:w="2337" w:type="dxa"/>
            <w:vAlign w:val="bottom"/>
          </w:tcPr>
          <w:p w14:paraId="412C4ECC" w14:textId="77777777" w:rsidR="00B90936" w:rsidRPr="00124A6D" w:rsidRDefault="00B90936" w:rsidP="001515D5">
            <w:r w:rsidRPr="00124A6D">
              <w:t>Greenwood</w:t>
            </w:r>
          </w:p>
        </w:tc>
        <w:tc>
          <w:tcPr>
            <w:tcW w:w="2337" w:type="dxa"/>
            <w:vAlign w:val="bottom"/>
          </w:tcPr>
          <w:p w14:paraId="5BD7C41F" w14:textId="77777777" w:rsidR="00B90936" w:rsidRPr="00124A6D" w:rsidRDefault="00B90936" w:rsidP="001515D5">
            <w:r w:rsidRPr="00124A6D">
              <w:t>11,536</w:t>
            </w:r>
          </w:p>
        </w:tc>
        <w:tc>
          <w:tcPr>
            <w:tcW w:w="2338" w:type="dxa"/>
            <w:vAlign w:val="bottom"/>
          </w:tcPr>
          <w:p w14:paraId="7F8BB532" w14:textId="77777777" w:rsidR="00B90936" w:rsidRPr="00124A6D" w:rsidRDefault="00B90936" w:rsidP="001515D5">
            <w:r w:rsidRPr="00124A6D">
              <w:t>140</w:t>
            </w:r>
          </w:p>
        </w:tc>
        <w:tc>
          <w:tcPr>
            <w:tcW w:w="2338" w:type="dxa"/>
            <w:vAlign w:val="bottom"/>
          </w:tcPr>
          <w:p w14:paraId="2DB33A7F" w14:textId="77777777" w:rsidR="00B90936" w:rsidRPr="00124A6D" w:rsidRDefault="00B90936" w:rsidP="001515D5">
            <w:r w:rsidRPr="00124A6D">
              <w:t>1.21%</w:t>
            </w:r>
          </w:p>
        </w:tc>
      </w:tr>
      <w:tr w:rsidR="00B90936" w14:paraId="5961CE62" w14:textId="77777777" w:rsidTr="001515D5">
        <w:tc>
          <w:tcPr>
            <w:tcW w:w="2337" w:type="dxa"/>
            <w:vAlign w:val="bottom"/>
          </w:tcPr>
          <w:p w14:paraId="2A9AD0C9" w14:textId="77777777" w:rsidR="00B90936" w:rsidRPr="00124A6D" w:rsidRDefault="00B90936" w:rsidP="001515D5">
            <w:r w:rsidRPr="00124A6D">
              <w:t>Hampton</w:t>
            </w:r>
          </w:p>
        </w:tc>
        <w:tc>
          <w:tcPr>
            <w:tcW w:w="2337" w:type="dxa"/>
            <w:vAlign w:val="bottom"/>
          </w:tcPr>
          <w:p w14:paraId="10488B42" w14:textId="77777777" w:rsidR="00B90936" w:rsidRPr="00124A6D" w:rsidRDefault="00B90936" w:rsidP="001515D5">
            <w:r w:rsidRPr="00124A6D">
              <w:t>2,469</w:t>
            </w:r>
          </w:p>
        </w:tc>
        <w:tc>
          <w:tcPr>
            <w:tcW w:w="2338" w:type="dxa"/>
            <w:vAlign w:val="bottom"/>
          </w:tcPr>
          <w:p w14:paraId="4A132D74" w14:textId="77777777" w:rsidR="00B90936" w:rsidRPr="00124A6D" w:rsidRDefault="00B90936" w:rsidP="001515D5">
            <w:r w:rsidRPr="00124A6D">
              <w:t>6</w:t>
            </w:r>
          </w:p>
        </w:tc>
        <w:tc>
          <w:tcPr>
            <w:tcW w:w="2338" w:type="dxa"/>
            <w:vAlign w:val="bottom"/>
          </w:tcPr>
          <w:p w14:paraId="5CC3AA1C" w14:textId="77777777" w:rsidR="00B90936" w:rsidRPr="00124A6D" w:rsidRDefault="00B90936" w:rsidP="001515D5">
            <w:r w:rsidRPr="00124A6D">
              <w:t>0.24%</w:t>
            </w:r>
          </w:p>
        </w:tc>
      </w:tr>
      <w:tr w:rsidR="00B90936" w14:paraId="233B3051" w14:textId="77777777" w:rsidTr="001515D5">
        <w:tc>
          <w:tcPr>
            <w:tcW w:w="2337" w:type="dxa"/>
            <w:vAlign w:val="bottom"/>
          </w:tcPr>
          <w:p w14:paraId="18377A1E" w14:textId="77777777" w:rsidR="00B90936" w:rsidRPr="00124A6D" w:rsidRDefault="00B90936" w:rsidP="001515D5">
            <w:r w:rsidRPr="00124A6D">
              <w:t>Horry</w:t>
            </w:r>
          </w:p>
        </w:tc>
        <w:tc>
          <w:tcPr>
            <w:tcW w:w="2337" w:type="dxa"/>
            <w:vAlign w:val="bottom"/>
          </w:tcPr>
          <w:p w14:paraId="235495AF" w14:textId="77777777" w:rsidR="00B90936" w:rsidRPr="00124A6D" w:rsidRDefault="00B90936" w:rsidP="001515D5">
            <w:r w:rsidRPr="00124A6D">
              <w:t>47,744</w:t>
            </w:r>
          </w:p>
        </w:tc>
        <w:tc>
          <w:tcPr>
            <w:tcW w:w="2338" w:type="dxa"/>
            <w:vAlign w:val="bottom"/>
          </w:tcPr>
          <w:p w14:paraId="7EFF2AAB" w14:textId="77777777" w:rsidR="00B90936" w:rsidRPr="00124A6D" w:rsidRDefault="00B90936" w:rsidP="001515D5">
            <w:r w:rsidRPr="00124A6D">
              <w:t>922</w:t>
            </w:r>
          </w:p>
        </w:tc>
        <w:tc>
          <w:tcPr>
            <w:tcW w:w="2338" w:type="dxa"/>
            <w:vAlign w:val="bottom"/>
          </w:tcPr>
          <w:p w14:paraId="1E14E8FF" w14:textId="77777777" w:rsidR="00B90936" w:rsidRPr="00124A6D" w:rsidRDefault="00B90936" w:rsidP="001515D5">
            <w:r w:rsidRPr="00124A6D">
              <w:t>1.93%</w:t>
            </w:r>
          </w:p>
        </w:tc>
      </w:tr>
      <w:tr w:rsidR="00B90936" w14:paraId="1716601A" w14:textId="77777777" w:rsidTr="001515D5">
        <w:tc>
          <w:tcPr>
            <w:tcW w:w="2337" w:type="dxa"/>
            <w:vAlign w:val="bottom"/>
          </w:tcPr>
          <w:p w14:paraId="30B95750" w14:textId="77777777" w:rsidR="00B90936" w:rsidRPr="00124A6D" w:rsidRDefault="00B90936" w:rsidP="001515D5">
            <w:r w:rsidRPr="00124A6D">
              <w:t>Jasper</w:t>
            </w:r>
          </w:p>
        </w:tc>
        <w:tc>
          <w:tcPr>
            <w:tcW w:w="2337" w:type="dxa"/>
            <w:vAlign w:val="bottom"/>
          </w:tcPr>
          <w:p w14:paraId="51576144" w14:textId="77777777" w:rsidR="00B90936" w:rsidRPr="00124A6D" w:rsidRDefault="00B90936" w:rsidP="001515D5">
            <w:r w:rsidRPr="00124A6D">
              <w:t>4,348</w:t>
            </w:r>
          </w:p>
        </w:tc>
        <w:tc>
          <w:tcPr>
            <w:tcW w:w="2338" w:type="dxa"/>
            <w:vAlign w:val="bottom"/>
          </w:tcPr>
          <w:p w14:paraId="203B594D" w14:textId="77777777" w:rsidR="00B90936" w:rsidRPr="00124A6D" w:rsidRDefault="00B90936" w:rsidP="001515D5">
            <w:r w:rsidRPr="00124A6D">
              <w:t>31</w:t>
            </w:r>
          </w:p>
        </w:tc>
        <w:tc>
          <w:tcPr>
            <w:tcW w:w="2338" w:type="dxa"/>
            <w:vAlign w:val="bottom"/>
          </w:tcPr>
          <w:p w14:paraId="1FDDB285" w14:textId="77777777" w:rsidR="00B90936" w:rsidRPr="00124A6D" w:rsidRDefault="00B90936" w:rsidP="001515D5">
            <w:r w:rsidRPr="00124A6D">
              <w:t>0.71%</w:t>
            </w:r>
          </w:p>
        </w:tc>
      </w:tr>
      <w:tr w:rsidR="00B90936" w14:paraId="4FE40795" w14:textId="77777777" w:rsidTr="001515D5">
        <w:tc>
          <w:tcPr>
            <w:tcW w:w="2337" w:type="dxa"/>
            <w:vAlign w:val="bottom"/>
          </w:tcPr>
          <w:p w14:paraId="5071795F" w14:textId="77777777" w:rsidR="00B90936" w:rsidRPr="00124A6D" w:rsidRDefault="00B90936" w:rsidP="001515D5">
            <w:r w:rsidRPr="00124A6D">
              <w:t>Kershaw</w:t>
            </w:r>
          </w:p>
        </w:tc>
        <w:tc>
          <w:tcPr>
            <w:tcW w:w="2337" w:type="dxa"/>
            <w:vAlign w:val="bottom"/>
          </w:tcPr>
          <w:p w14:paraId="2C4A06A2" w14:textId="77777777" w:rsidR="00B90936" w:rsidRPr="00124A6D" w:rsidRDefault="00B90936" w:rsidP="001515D5">
            <w:r w:rsidRPr="00124A6D">
              <w:t>11,059</w:t>
            </w:r>
          </w:p>
        </w:tc>
        <w:tc>
          <w:tcPr>
            <w:tcW w:w="2338" w:type="dxa"/>
            <w:vAlign w:val="bottom"/>
          </w:tcPr>
          <w:p w14:paraId="2EED3584" w14:textId="77777777" w:rsidR="00B90936" w:rsidRPr="00124A6D" w:rsidRDefault="00B90936" w:rsidP="001515D5">
            <w:r w:rsidRPr="00124A6D">
              <w:t>115</w:t>
            </w:r>
          </w:p>
        </w:tc>
        <w:tc>
          <w:tcPr>
            <w:tcW w:w="2338" w:type="dxa"/>
            <w:vAlign w:val="bottom"/>
          </w:tcPr>
          <w:p w14:paraId="5D2AD96D" w14:textId="77777777" w:rsidR="00B90936" w:rsidRPr="00124A6D" w:rsidRDefault="00B90936" w:rsidP="001515D5">
            <w:r w:rsidRPr="00124A6D">
              <w:t>1.04%</w:t>
            </w:r>
          </w:p>
        </w:tc>
      </w:tr>
      <w:tr w:rsidR="00B90936" w14:paraId="09E6949A" w14:textId="77777777" w:rsidTr="001515D5">
        <w:tc>
          <w:tcPr>
            <w:tcW w:w="2337" w:type="dxa"/>
            <w:vAlign w:val="bottom"/>
          </w:tcPr>
          <w:p w14:paraId="7A03C8ED" w14:textId="77777777" w:rsidR="00B90936" w:rsidRPr="00124A6D" w:rsidRDefault="00B90936" w:rsidP="001515D5">
            <w:r w:rsidRPr="00124A6D">
              <w:t>Lancaster</w:t>
            </w:r>
          </w:p>
        </w:tc>
        <w:tc>
          <w:tcPr>
            <w:tcW w:w="2337" w:type="dxa"/>
            <w:vAlign w:val="bottom"/>
          </w:tcPr>
          <w:p w14:paraId="7E401837" w14:textId="77777777" w:rsidR="00B90936" w:rsidRPr="00124A6D" w:rsidRDefault="00B90936" w:rsidP="001515D5">
            <w:r w:rsidRPr="00124A6D">
              <w:t>15,019</w:t>
            </w:r>
          </w:p>
        </w:tc>
        <w:tc>
          <w:tcPr>
            <w:tcW w:w="2338" w:type="dxa"/>
            <w:vAlign w:val="bottom"/>
          </w:tcPr>
          <w:p w14:paraId="7BEDFA60" w14:textId="77777777" w:rsidR="00B90936" w:rsidRPr="00124A6D" w:rsidRDefault="00B90936" w:rsidP="001515D5">
            <w:r w:rsidRPr="00124A6D">
              <w:t>210</w:t>
            </w:r>
          </w:p>
        </w:tc>
        <w:tc>
          <w:tcPr>
            <w:tcW w:w="2338" w:type="dxa"/>
            <w:vAlign w:val="bottom"/>
          </w:tcPr>
          <w:p w14:paraId="73AB3393" w14:textId="77777777" w:rsidR="00B90936" w:rsidRPr="00124A6D" w:rsidRDefault="00B90936" w:rsidP="001515D5">
            <w:r w:rsidRPr="00124A6D">
              <w:t>1.40%</w:t>
            </w:r>
          </w:p>
        </w:tc>
      </w:tr>
      <w:tr w:rsidR="00B90936" w14:paraId="47778E63" w14:textId="77777777" w:rsidTr="001515D5">
        <w:tc>
          <w:tcPr>
            <w:tcW w:w="2337" w:type="dxa"/>
            <w:vAlign w:val="bottom"/>
          </w:tcPr>
          <w:p w14:paraId="6DDF97B5" w14:textId="77777777" w:rsidR="00B90936" w:rsidRPr="00124A6D" w:rsidRDefault="00B90936" w:rsidP="001515D5">
            <w:r w:rsidRPr="00124A6D">
              <w:t>Laurens</w:t>
            </w:r>
          </w:p>
        </w:tc>
        <w:tc>
          <w:tcPr>
            <w:tcW w:w="2337" w:type="dxa"/>
            <w:vAlign w:val="bottom"/>
          </w:tcPr>
          <w:p w14:paraId="35CBEAB3" w14:textId="77777777" w:rsidR="00B90936" w:rsidRPr="00124A6D" w:rsidRDefault="00B90936" w:rsidP="001515D5">
            <w:r w:rsidRPr="00124A6D">
              <w:t>8,290</w:t>
            </w:r>
          </w:p>
        </w:tc>
        <w:tc>
          <w:tcPr>
            <w:tcW w:w="2338" w:type="dxa"/>
            <w:vAlign w:val="bottom"/>
          </w:tcPr>
          <w:p w14:paraId="6AF796BD" w14:textId="77777777" w:rsidR="00B90936" w:rsidRPr="00124A6D" w:rsidRDefault="00B90936" w:rsidP="001515D5">
            <w:r w:rsidRPr="00124A6D">
              <w:t>106</w:t>
            </w:r>
          </w:p>
        </w:tc>
        <w:tc>
          <w:tcPr>
            <w:tcW w:w="2338" w:type="dxa"/>
            <w:vAlign w:val="bottom"/>
          </w:tcPr>
          <w:p w14:paraId="375EB5F7" w14:textId="77777777" w:rsidR="00B90936" w:rsidRPr="00124A6D" w:rsidRDefault="00B90936" w:rsidP="001515D5">
            <w:r w:rsidRPr="00124A6D">
              <w:t>1.28%</w:t>
            </w:r>
          </w:p>
        </w:tc>
      </w:tr>
      <w:tr w:rsidR="00B90936" w14:paraId="22808674" w14:textId="77777777" w:rsidTr="001515D5">
        <w:tc>
          <w:tcPr>
            <w:tcW w:w="2337" w:type="dxa"/>
            <w:vAlign w:val="bottom"/>
          </w:tcPr>
          <w:p w14:paraId="509E34A5" w14:textId="77777777" w:rsidR="00B90936" w:rsidRPr="00124A6D" w:rsidRDefault="00B90936" w:rsidP="001515D5">
            <w:r w:rsidRPr="00124A6D">
              <w:t>Lee</w:t>
            </w:r>
          </w:p>
        </w:tc>
        <w:tc>
          <w:tcPr>
            <w:tcW w:w="2337" w:type="dxa"/>
            <w:vAlign w:val="bottom"/>
          </w:tcPr>
          <w:p w14:paraId="60567F1F" w14:textId="77777777" w:rsidR="00B90936" w:rsidRPr="00124A6D" w:rsidRDefault="00B90936" w:rsidP="001515D5">
            <w:r w:rsidRPr="00124A6D">
              <w:t>1,833</w:t>
            </w:r>
          </w:p>
        </w:tc>
        <w:tc>
          <w:tcPr>
            <w:tcW w:w="2338" w:type="dxa"/>
            <w:vAlign w:val="bottom"/>
          </w:tcPr>
          <w:p w14:paraId="7157B8A7" w14:textId="77777777" w:rsidR="00B90936" w:rsidRPr="00124A6D" w:rsidRDefault="00B90936" w:rsidP="001515D5">
            <w:r w:rsidRPr="00124A6D">
              <w:t>6</w:t>
            </w:r>
          </w:p>
        </w:tc>
        <w:tc>
          <w:tcPr>
            <w:tcW w:w="2338" w:type="dxa"/>
            <w:vAlign w:val="bottom"/>
          </w:tcPr>
          <w:p w14:paraId="4D53CA31" w14:textId="77777777" w:rsidR="00B90936" w:rsidRPr="00124A6D" w:rsidRDefault="00B90936" w:rsidP="001515D5">
            <w:r w:rsidRPr="00124A6D">
              <w:t>0.33%</w:t>
            </w:r>
          </w:p>
        </w:tc>
      </w:tr>
      <w:tr w:rsidR="00B90936" w14:paraId="71FB144C" w14:textId="77777777" w:rsidTr="001515D5">
        <w:tc>
          <w:tcPr>
            <w:tcW w:w="2337" w:type="dxa"/>
            <w:vAlign w:val="bottom"/>
          </w:tcPr>
          <w:p w14:paraId="37B2E303" w14:textId="77777777" w:rsidR="00B90936" w:rsidRPr="00124A6D" w:rsidRDefault="00B90936" w:rsidP="001515D5">
            <w:r w:rsidRPr="00124A6D">
              <w:t>Lexington</w:t>
            </w:r>
          </w:p>
        </w:tc>
        <w:tc>
          <w:tcPr>
            <w:tcW w:w="2337" w:type="dxa"/>
            <w:vAlign w:val="bottom"/>
          </w:tcPr>
          <w:p w14:paraId="64BBBFE1" w14:textId="77777777" w:rsidR="00B90936" w:rsidRPr="00124A6D" w:rsidRDefault="00B90936" w:rsidP="001515D5">
            <w:r w:rsidRPr="00124A6D">
              <w:t>61,318</w:t>
            </w:r>
          </w:p>
        </w:tc>
        <w:tc>
          <w:tcPr>
            <w:tcW w:w="2338" w:type="dxa"/>
            <w:vAlign w:val="bottom"/>
          </w:tcPr>
          <w:p w14:paraId="11BD1A1F" w14:textId="77777777" w:rsidR="00B90936" w:rsidRPr="00124A6D" w:rsidRDefault="00B90936" w:rsidP="001515D5">
            <w:r w:rsidRPr="00124A6D">
              <w:t>1,097</w:t>
            </w:r>
          </w:p>
        </w:tc>
        <w:tc>
          <w:tcPr>
            <w:tcW w:w="2338" w:type="dxa"/>
            <w:vAlign w:val="bottom"/>
          </w:tcPr>
          <w:p w14:paraId="1E9FC2A6" w14:textId="77777777" w:rsidR="00B90936" w:rsidRPr="00124A6D" w:rsidRDefault="00B90936" w:rsidP="001515D5">
            <w:r w:rsidRPr="00124A6D">
              <w:t>1.79%</w:t>
            </w:r>
          </w:p>
        </w:tc>
      </w:tr>
      <w:tr w:rsidR="00B90936" w14:paraId="04E3A43A" w14:textId="77777777" w:rsidTr="001515D5">
        <w:tc>
          <w:tcPr>
            <w:tcW w:w="2337" w:type="dxa"/>
            <w:vAlign w:val="bottom"/>
          </w:tcPr>
          <w:p w14:paraId="48469814" w14:textId="77777777" w:rsidR="00B90936" w:rsidRPr="00124A6D" w:rsidRDefault="00B90936" w:rsidP="001515D5">
            <w:r w:rsidRPr="00124A6D">
              <w:t>Marion</w:t>
            </w:r>
          </w:p>
        </w:tc>
        <w:tc>
          <w:tcPr>
            <w:tcW w:w="2337" w:type="dxa"/>
            <w:vAlign w:val="bottom"/>
          </w:tcPr>
          <w:p w14:paraId="57450377" w14:textId="77777777" w:rsidR="00B90936" w:rsidRPr="00124A6D" w:rsidRDefault="00B90936" w:rsidP="001515D5">
            <w:r w:rsidRPr="00124A6D">
              <w:t>4,328</w:t>
            </w:r>
          </w:p>
        </w:tc>
        <w:tc>
          <w:tcPr>
            <w:tcW w:w="2338" w:type="dxa"/>
            <w:vAlign w:val="bottom"/>
          </w:tcPr>
          <w:p w14:paraId="0DA2E205" w14:textId="77777777" w:rsidR="00B90936" w:rsidRPr="00124A6D" w:rsidRDefault="00B90936" w:rsidP="001515D5">
            <w:r w:rsidRPr="00124A6D">
              <w:t>20</w:t>
            </w:r>
          </w:p>
        </w:tc>
        <w:tc>
          <w:tcPr>
            <w:tcW w:w="2338" w:type="dxa"/>
            <w:vAlign w:val="bottom"/>
          </w:tcPr>
          <w:p w14:paraId="3CC5A1F9" w14:textId="77777777" w:rsidR="00B90936" w:rsidRPr="00124A6D" w:rsidRDefault="00B90936" w:rsidP="001515D5">
            <w:r w:rsidRPr="00124A6D">
              <w:t>0.46%</w:t>
            </w:r>
          </w:p>
        </w:tc>
      </w:tr>
      <w:tr w:rsidR="00B90936" w14:paraId="7C40EF32" w14:textId="77777777" w:rsidTr="001515D5">
        <w:tc>
          <w:tcPr>
            <w:tcW w:w="2337" w:type="dxa"/>
            <w:vAlign w:val="bottom"/>
          </w:tcPr>
          <w:p w14:paraId="2C200596" w14:textId="77777777" w:rsidR="00B90936" w:rsidRPr="00124A6D" w:rsidRDefault="00B90936" w:rsidP="001515D5">
            <w:r w:rsidRPr="00124A6D">
              <w:t>Marlboro</w:t>
            </w:r>
          </w:p>
        </w:tc>
        <w:tc>
          <w:tcPr>
            <w:tcW w:w="2337" w:type="dxa"/>
            <w:vAlign w:val="bottom"/>
          </w:tcPr>
          <w:p w14:paraId="63830E07" w14:textId="77777777" w:rsidR="00B90936" w:rsidRPr="00124A6D" w:rsidRDefault="00B90936" w:rsidP="001515D5">
            <w:r w:rsidRPr="00124A6D">
              <w:t>3,832</w:t>
            </w:r>
          </w:p>
        </w:tc>
        <w:tc>
          <w:tcPr>
            <w:tcW w:w="2338" w:type="dxa"/>
            <w:vAlign w:val="bottom"/>
          </w:tcPr>
          <w:p w14:paraId="35BE07C6" w14:textId="77777777" w:rsidR="00B90936" w:rsidRPr="00124A6D" w:rsidRDefault="00B90936" w:rsidP="001515D5">
            <w:r w:rsidRPr="00124A6D">
              <w:t>12</w:t>
            </w:r>
          </w:p>
        </w:tc>
        <w:tc>
          <w:tcPr>
            <w:tcW w:w="2338" w:type="dxa"/>
            <w:vAlign w:val="bottom"/>
          </w:tcPr>
          <w:p w14:paraId="563CF99D" w14:textId="77777777" w:rsidR="00B90936" w:rsidRPr="00124A6D" w:rsidRDefault="00B90936" w:rsidP="001515D5">
            <w:r w:rsidRPr="00124A6D">
              <w:t>0.31%</w:t>
            </w:r>
          </w:p>
        </w:tc>
      </w:tr>
      <w:tr w:rsidR="00B90936" w14:paraId="57B6CBC1" w14:textId="77777777" w:rsidTr="001515D5">
        <w:tc>
          <w:tcPr>
            <w:tcW w:w="2337" w:type="dxa"/>
            <w:vAlign w:val="bottom"/>
          </w:tcPr>
          <w:p w14:paraId="62255855" w14:textId="77777777" w:rsidR="00B90936" w:rsidRPr="00124A6D" w:rsidRDefault="00B90936" w:rsidP="001515D5">
            <w:r w:rsidRPr="00124A6D">
              <w:t>McCormick</w:t>
            </w:r>
          </w:p>
        </w:tc>
        <w:tc>
          <w:tcPr>
            <w:tcW w:w="2337" w:type="dxa"/>
            <w:vAlign w:val="bottom"/>
          </w:tcPr>
          <w:p w14:paraId="4DBAA8CB" w14:textId="77777777" w:rsidR="00B90936" w:rsidRPr="00124A6D" w:rsidRDefault="00B90936" w:rsidP="001515D5">
            <w:r w:rsidRPr="00124A6D">
              <w:t>658</w:t>
            </w:r>
          </w:p>
        </w:tc>
        <w:tc>
          <w:tcPr>
            <w:tcW w:w="2338" w:type="dxa"/>
            <w:vAlign w:val="bottom"/>
          </w:tcPr>
          <w:p w14:paraId="0CEA4D83" w14:textId="77777777" w:rsidR="00B90936" w:rsidRPr="00124A6D" w:rsidRDefault="00B90936" w:rsidP="001515D5">
            <w:r w:rsidRPr="00124A6D">
              <w:t>1</w:t>
            </w:r>
          </w:p>
        </w:tc>
        <w:tc>
          <w:tcPr>
            <w:tcW w:w="2338" w:type="dxa"/>
            <w:vAlign w:val="bottom"/>
          </w:tcPr>
          <w:p w14:paraId="13AC654C" w14:textId="77777777" w:rsidR="00B90936" w:rsidRPr="00124A6D" w:rsidRDefault="00B90936" w:rsidP="001515D5">
            <w:r w:rsidRPr="00124A6D">
              <w:t>0.15%</w:t>
            </w:r>
          </w:p>
        </w:tc>
      </w:tr>
      <w:tr w:rsidR="00B90936" w14:paraId="3D0D07BC" w14:textId="77777777" w:rsidTr="001515D5">
        <w:tc>
          <w:tcPr>
            <w:tcW w:w="2337" w:type="dxa"/>
            <w:vAlign w:val="bottom"/>
          </w:tcPr>
          <w:p w14:paraId="1AB39F54" w14:textId="77777777" w:rsidR="00B90936" w:rsidRPr="00124A6D" w:rsidRDefault="00B90936" w:rsidP="001515D5">
            <w:r w:rsidRPr="00124A6D">
              <w:t>Newberry</w:t>
            </w:r>
          </w:p>
        </w:tc>
        <w:tc>
          <w:tcPr>
            <w:tcW w:w="2337" w:type="dxa"/>
            <w:vAlign w:val="bottom"/>
          </w:tcPr>
          <w:p w14:paraId="77F428C9" w14:textId="77777777" w:rsidR="00B90936" w:rsidRPr="00124A6D" w:rsidRDefault="00B90936" w:rsidP="001515D5">
            <w:r w:rsidRPr="00124A6D">
              <w:t>5,678</w:t>
            </w:r>
          </w:p>
        </w:tc>
        <w:tc>
          <w:tcPr>
            <w:tcW w:w="2338" w:type="dxa"/>
            <w:vAlign w:val="bottom"/>
          </w:tcPr>
          <w:p w14:paraId="6CCDADF7" w14:textId="77777777" w:rsidR="00B90936" w:rsidRPr="00124A6D" w:rsidRDefault="00B90936" w:rsidP="001515D5">
            <w:r w:rsidRPr="00124A6D">
              <w:t>46</w:t>
            </w:r>
          </w:p>
        </w:tc>
        <w:tc>
          <w:tcPr>
            <w:tcW w:w="2338" w:type="dxa"/>
            <w:vAlign w:val="bottom"/>
          </w:tcPr>
          <w:p w14:paraId="2997BBD1" w14:textId="77777777" w:rsidR="00B90936" w:rsidRPr="00124A6D" w:rsidRDefault="00B90936" w:rsidP="001515D5">
            <w:r w:rsidRPr="00124A6D">
              <w:t>0.81%</w:t>
            </w:r>
          </w:p>
        </w:tc>
      </w:tr>
      <w:tr w:rsidR="00B90936" w14:paraId="21E74A39" w14:textId="77777777" w:rsidTr="001515D5">
        <w:tc>
          <w:tcPr>
            <w:tcW w:w="2337" w:type="dxa"/>
            <w:vAlign w:val="bottom"/>
          </w:tcPr>
          <w:p w14:paraId="37EE83B9" w14:textId="77777777" w:rsidR="00B90936" w:rsidRPr="00124A6D" w:rsidRDefault="00B90936" w:rsidP="001515D5">
            <w:r w:rsidRPr="00124A6D">
              <w:t>Oconee</w:t>
            </w:r>
          </w:p>
        </w:tc>
        <w:tc>
          <w:tcPr>
            <w:tcW w:w="2337" w:type="dxa"/>
            <w:vAlign w:val="bottom"/>
          </w:tcPr>
          <w:p w14:paraId="54403489" w14:textId="77777777" w:rsidR="00B90936" w:rsidRPr="00124A6D" w:rsidRDefault="00B90936" w:rsidP="001515D5">
            <w:r w:rsidRPr="00124A6D">
              <w:t>10,269</w:t>
            </w:r>
          </w:p>
        </w:tc>
        <w:tc>
          <w:tcPr>
            <w:tcW w:w="2338" w:type="dxa"/>
            <w:vAlign w:val="bottom"/>
          </w:tcPr>
          <w:p w14:paraId="3E2C4DED" w14:textId="77777777" w:rsidR="00B90936" w:rsidRPr="00124A6D" w:rsidRDefault="00B90936" w:rsidP="001515D5">
            <w:r w:rsidRPr="00124A6D">
              <w:t>233</w:t>
            </w:r>
          </w:p>
        </w:tc>
        <w:tc>
          <w:tcPr>
            <w:tcW w:w="2338" w:type="dxa"/>
            <w:vAlign w:val="bottom"/>
          </w:tcPr>
          <w:p w14:paraId="44B654FD" w14:textId="77777777" w:rsidR="00B90936" w:rsidRPr="00124A6D" w:rsidRDefault="00B90936" w:rsidP="001515D5">
            <w:r w:rsidRPr="00124A6D">
              <w:t>2.27%</w:t>
            </w:r>
          </w:p>
        </w:tc>
      </w:tr>
      <w:tr w:rsidR="00B90936" w14:paraId="72D901AA" w14:textId="77777777" w:rsidTr="001515D5">
        <w:tc>
          <w:tcPr>
            <w:tcW w:w="2337" w:type="dxa"/>
            <w:vAlign w:val="bottom"/>
          </w:tcPr>
          <w:p w14:paraId="41173E28" w14:textId="77777777" w:rsidR="00B90936" w:rsidRPr="00124A6D" w:rsidRDefault="00B90936" w:rsidP="001515D5">
            <w:r w:rsidRPr="00124A6D">
              <w:t>Orangeburg</w:t>
            </w:r>
          </w:p>
        </w:tc>
        <w:tc>
          <w:tcPr>
            <w:tcW w:w="2337" w:type="dxa"/>
            <w:vAlign w:val="bottom"/>
          </w:tcPr>
          <w:p w14:paraId="33B84904" w14:textId="77777777" w:rsidR="00B90936" w:rsidRPr="00124A6D" w:rsidRDefault="00B90936" w:rsidP="001515D5">
            <w:r w:rsidRPr="00124A6D">
              <w:t>12,422</w:t>
            </w:r>
          </w:p>
        </w:tc>
        <w:tc>
          <w:tcPr>
            <w:tcW w:w="2338" w:type="dxa"/>
            <w:vAlign w:val="bottom"/>
          </w:tcPr>
          <w:p w14:paraId="3FD5F90B" w14:textId="77777777" w:rsidR="00B90936" w:rsidRPr="00124A6D" w:rsidRDefault="00B90936" w:rsidP="001515D5">
            <w:r w:rsidRPr="00124A6D">
              <w:t>64</w:t>
            </w:r>
          </w:p>
        </w:tc>
        <w:tc>
          <w:tcPr>
            <w:tcW w:w="2338" w:type="dxa"/>
            <w:vAlign w:val="bottom"/>
          </w:tcPr>
          <w:p w14:paraId="0EBFE5A1" w14:textId="77777777" w:rsidR="00B90936" w:rsidRPr="00124A6D" w:rsidRDefault="00B90936" w:rsidP="001515D5">
            <w:r w:rsidRPr="00124A6D">
              <w:t>0.52%</w:t>
            </w:r>
          </w:p>
        </w:tc>
      </w:tr>
      <w:tr w:rsidR="00B90936" w14:paraId="353971CA" w14:textId="77777777" w:rsidTr="001515D5">
        <w:tc>
          <w:tcPr>
            <w:tcW w:w="2337" w:type="dxa"/>
            <w:vAlign w:val="bottom"/>
          </w:tcPr>
          <w:p w14:paraId="0A21CF19" w14:textId="77777777" w:rsidR="00B90936" w:rsidRPr="00124A6D" w:rsidRDefault="00B90936" w:rsidP="001515D5">
            <w:r w:rsidRPr="00124A6D">
              <w:t>Pickens</w:t>
            </w:r>
          </w:p>
        </w:tc>
        <w:tc>
          <w:tcPr>
            <w:tcW w:w="2337" w:type="dxa"/>
            <w:vAlign w:val="bottom"/>
          </w:tcPr>
          <w:p w14:paraId="4E129A9E" w14:textId="77777777" w:rsidR="00B90936" w:rsidRPr="00124A6D" w:rsidRDefault="00B90936" w:rsidP="001515D5">
            <w:r w:rsidRPr="00124A6D">
              <w:t>16,263</w:t>
            </w:r>
          </w:p>
        </w:tc>
        <w:tc>
          <w:tcPr>
            <w:tcW w:w="2338" w:type="dxa"/>
            <w:vAlign w:val="bottom"/>
          </w:tcPr>
          <w:p w14:paraId="3AC28381" w14:textId="77777777" w:rsidR="00B90936" w:rsidRPr="00124A6D" w:rsidRDefault="00B90936" w:rsidP="001515D5">
            <w:r w:rsidRPr="00124A6D">
              <w:t>355</w:t>
            </w:r>
          </w:p>
        </w:tc>
        <w:tc>
          <w:tcPr>
            <w:tcW w:w="2338" w:type="dxa"/>
            <w:vAlign w:val="bottom"/>
          </w:tcPr>
          <w:p w14:paraId="533BB91D" w14:textId="77777777" w:rsidR="00B90936" w:rsidRPr="00124A6D" w:rsidRDefault="00B90936" w:rsidP="001515D5">
            <w:r w:rsidRPr="00124A6D">
              <w:t>2.18%</w:t>
            </w:r>
          </w:p>
        </w:tc>
      </w:tr>
      <w:tr w:rsidR="00B90936" w14:paraId="3E317CE0" w14:textId="77777777" w:rsidTr="001515D5">
        <w:tc>
          <w:tcPr>
            <w:tcW w:w="2337" w:type="dxa"/>
            <w:vAlign w:val="bottom"/>
          </w:tcPr>
          <w:p w14:paraId="77CF2D91" w14:textId="77777777" w:rsidR="00B90936" w:rsidRPr="00124A6D" w:rsidRDefault="00B90936" w:rsidP="001515D5">
            <w:r w:rsidRPr="00124A6D">
              <w:t>Richland</w:t>
            </w:r>
          </w:p>
        </w:tc>
        <w:tc>
          <w:tcPr>
            <w:tcW w:w="2337" w:type="dxa"/>
            <w:vAlign w:val="bottom"/>
          </w:tcPr>
          <w:p w14:paraId="6214160D" w14:textId="77777777" w:rsidR="00B90936" w:rsidRPr="00124A6D" w:rsidRDefault="00B90936" w:rsidP="001515D5">
            <w:r w:rsidRPr="00124A6D">
              <w:t>60,877</w:t>
            </w:r>
          </w:p>
        </w:tc>
        <w:tc>
          <w:tcPr>
            <w:tcW w:w="2338" w:type="dxa"/>
            <w:vAlign w:val="bottom"/>
          </w:tcPr>
          <w:p w14:paraId="379ECCA9" w14:textId="77777777" w:rsidR="00B90936" w:rsidRPr="00124A6D" w:rsidRDefault="00B90936" w:rsidP="001515D5">
            <w:r w:rsidRPr="00124A6D">
              <w:t>939</w:t>
            </w:r>
          </w:p>
        </w:tc>
        <w:tc>
          <w:tcPr>
            <w:tcW w:w="2338" w:type="dxa"/>
            <w:vAlign w:val="bottom"/>
          </w:tcPr>
          <w:p w14:paraId="621E445D" w14:textId="77777777" w:rsidR="00B90936" w:rsidRPr="00124A6D" w:rsidRDefault="00B90936" w:rsidP="001515D5">
            <w:r w:rsidRPr="00124A6D">
              <w:t>1.54%</w:t>
            </w:r>
          </w:p>
        </w:tc>
      </w:tr>
      <w:tr w:rsidR="00B90936" w14:paraId="78302510" w14:textId="77777777" w:rsidTr="001515D5">
        <w:tc>
          <w:tcPr>
            <w:tcW w:w="2337" w:type="dxa"/>
            <w:vAlign w:val="bottom"/>
          </w:tcPr>
          <w:p w14:paraId="0B907618" w14:textId="77777777" w:rsidR="00B90936" w:rsidRPr="00124A6D" w:rsidRDefault="00B90936" w:rsidP="001515D5">
            <w:r w:rsidRPr="00124A6D">
              <w:t>Saluda</w:t>
            </w:r>
          </w:p>
        </w:tc>
        <w:tc>
          <w:tcPr>
            <w:tcW w:w="2337" w:type="dxa"/>
            <w:vAlign w:val="bottom"/>
          </w:tcPr>
          <w:p w14:paraId="400F2C98" w14:textId="77777777" w:rsidR="00B90936" w:rsidRPr="00124A6D" w:rsidRDefault="00B90936" w:rsidP="001515D5">
            <w:r w:rsidRPr="00124A6D">
              <w:t>2,516</w:t>
            </w:r>
          </w:p>
        </w:tc>
        <w:tc>
          <w:tcPr>
            <w:tcW w:w="2338" w:type="dxa"/>
            <w:vAlign w:val="bottom"/>
          </w:tcPr>
          <w:p w14:paraId="212E8DB3" w14:textId="77777777" w:rsidR="00B90936" w:rsidRPr="00124A6D" w:rsidRDefault="00B90936" w:rsidP="001515D5">
            <w:r w:rsidRPr="00124A6D">
              <w:t>31</w:t>
            </w:r>
          </w:p>
        </w:tc>
        <w:tc>
          <w:tcPr>
            <w:tcW w:w="2338" w:type="dxa"/>
            <w:vAlign w:val="bottom"/>
          </w:tcPr>
          <w:p w14:paraId="11FED4A3" w14:textId="77777777" w:rsidR="00B90936" w:rsidRPr="00124A6D" w:rsidRDefault="00B90936" w:rsidP="001515D5">
            <w:r w:rsidRPr="00124A6D">
              <w:t>1.23%</w:t>
            </w:r>
          </w:p>
        </w:tc>
      </w:tr>
      <w:tr w:rsidR="00B90936" w14:paraId="4B79879A" w14:textId="77777777" w:rsidTr="001515D5">
        <w:tc>
          <w:tcPr>
            <w:tcW w:w="2337" w:type="dxa"/>
            <w:vAlign w:val="bottom"/>
          </w:tcPr>
          <w:p w14:paraId="6A0ACB53" w14:textId="77777777" w:rsidR="00B90936" w:rsidRPr="00124A6D" w:rsidRDefault="00B90936" w:rsidP="001515D5">
            <w:r>
              <w:lastRenderedPageBreak/>
              <w:t>Spartanburg</w:t>
            </w:r>
          </w:p>
        </w:tc>
        <w:tc>
          <w:tcPr>
            <w:tcW w:w="2337" w:type="dxa"/>
            <w:vAlign w:val="bottom"/>
          </w:tcPr>
          <w:p w14:paraId="3B271A60" w14:textId="77777777" w:rsidR="00B90936" w:rsidRPr="00124A6D" w:rsidRDefault="00B90936" w:rsidP="001515D5">
            <w:r>
              <w:t>52,343</w:t>
            </w:r>
          </w:p>
        </w:tc>
        <w:tc>
          <w:tcPr>
            <w:tcW w:w="2338" w:type="dxa"/>
            <w:vAlign w:val="bottom"/>
          </w:tcPr>
          <w:p w14:paraId="662BABF1" w14:textId="77777777" w:rsidR="00B90936" w:rsidRPr="00124A6D" w:rsidRDefault="00B90936" w:rsidP="001515D5">
            <w:r>
              <w:t>2,372</w:t>
            </w:r>
          </w:p>
        </w:tc>
        <w:tc>
          <w:tcPr>
            <w:tcW w:w="2338" w:type="dxa"/>
            <w:vAlign w:val="bottom"/>
          </w:tcPr>
          <w:p w14:paraId="347018F0" w14:textId="77777777" w:rsidR="00B90936" w:rsidRPr="00124A6D" w:rsidRDefault="00B90936" w:rsidP="001515D5">
            <w:r>
              <w:t>4.53%</w:t>
            </w:r>
          </w:p>
        </w:tc>
      </w:tr>
      <w:tr w:rsidR="00B90936" w14:paraId="07AC1445" w14:textId="77777777" w:rsidTr="001515D5">
        <w:tc>
          <w:tcPr>
            <w:tcW w:w="2337" w:type="dxa"/>
            <w:vAlign w:val="bottom"/>
          </w:tcPr>
          <w:p w14:paraId="105405AD" w14:textId="77777777" w:rsidR="00B90936" w:rsidRDefault="00B90936" w:rsidP="001515D5">
            <w:r>
              <w:t>Sumter</w:t>
            </w:r>
          </w:p>
        </w:tc>
        <w:tc>
          <w:tcPr>
            <w:tcW w:w="2337" w:type="dxa"/>
            <w:vAlign w:val="bottom"/>
          </w:tcPr>
          <w:p w14:paraId="026A7274" w14:textId="77777777" w:rsidR="00B90936" w:rsidRDefault="00B90936" w:rsidP="001515D5">
            <w:r>
              <w:t>16,550</w:t>
            </w:r>
          </w:p>
        </w:tc>
        <w:tc>
          <w:tcPr>
            <w:tcW w:w="2338" w:type="dxa"/>
            <w:vAlign w:val="bottom"/>
          </w:tcPr>
          <w:p w14:paraId="48B56CE2" w14:textId="77777777" w:rsidR="00B90936" w:rsidRDefault="00B90936" w:rsidP="001515D5">
            <w:r>
              <w:t>104</w:t>
            </w:r>
          </w:p>
        </w:tc>
        <w:tc>
          <w:tcPr>
            <w:tcW w:w="2338" w:type="dxa"/>
            <w:vAlign w:val="bottom"/>
          </w:tcPr>
          <w:p w14:paraId="731F0267" w14:textId="77777777" w:rsidR="00B90936" w:rsidRDefault="00B90936" w:rsidP="001515D5">
            <w:r>
              <w:t>0.63%</w:t>
            </w:r>
          </w:p>
        </w:tc>
      </w:tr>
      <w:tr w:rsidR="00B90936" w14:paraId="7588C4DE" w14:textId="77777777" w:rsidTr="001515D5">
        <w:tc>
          <w:tcPr>
            <w:tcW w:w="2337" w:type="dxa"/>
            <w:vAlign w:val="bottom"/>
          </w:tcPr>
          <w:p w14:paraId="6F924F4A" w14:textId="77777777" w:rsidR="00B90936" w:rsidRDefault="00B90936" w:rsidP="001515D5">
            <w:r>
              <w:t>Union</w:t>
            </w:r>
          </w:p>
        </w:tc>
        <w:tc>
          <w:tcPr>
            <w:tcW w:w="2337" w:type="dxa"/>
            <w:vAlign w:val="bottom"/>
          </w:tcPr>
          <w:p w14:paraId="5AF8BAE0" w14:textId="77777777" w:rsidR="00B90936" w:rsidRDefault="00B90936" w:rsidP="001515D5">
            <w:r>
              <w:t>3,930</w:t>
            </w:r>
          </w:p>
        </w:tc>
        <w:tc>
          <w:tcPr>
            <w:tcW w:w="2338" w:type="dxa"/>
            <w:vAlign w:val="bottom"/>
          </w:tcPr>
          <w:p w14:paraId="1325F9EC" w14:textId="77777777" w:rsidR="00B90936" w:rsidRDefault="00B90936" w:rsidP="001515D5">
            <w:r>
              <w:t>28</w:t>
            </w:r>
          </w:p>
        </w:tc>
        <w:tc>
          <w:tcPr>
            <w:tcW w:w="2338" w:type="dxa"/>
            <w:vAlign w:val="bottom"/>
          </w:tcPr>
          <w:p w14:paraId="32F17E58" w14:textId="77777777" w:rsidR="00B90936" w:rsidRDefault="00B90936" w:rsidP="001515D5">
            <w:r>
              <w:t>0.71%</w:t>
            </w:r>
          </w:p>
        </w:tc>
      </w:tr>
      <w:tr w:rsidR="00B90936" w14:paraId="2900334D" w14:textId="77777777" w:rsidTr="001515D5">
        <w:tc>
          <w:tcPr>
            <w:tcW w:w="2337" w:type="dxa"/>
            <w:vAlign w:val="bottom"/>
          </w:tcPr>
          <w:p w14:paraId="1AF55CC1" w14:textId="77777777" w:rsidR="00B90936" w:rsidRDefault="00B90936" w:rsidP="001515D5">
            <w:r>
              <w:t>Williamsburg</w:t>
            </w:r>
          </w:p>
        </w:tc>
        <w:tc>
          <w:tcPr>
            <w:tcW w:w="2337" w:type="dxa"/>
            <w:vAlign w:val="bottom"/>
          </w:tcPr>
          <w:p w14:paraId="51F4255D" w14:textId="77777777" w:rsidR="00B90936" w:rsidRDefault="00B90936" w:rsidP="001515D5">
            <w:r>
              <w:t>3,356</w:t>
            </w:r>
          </w:p>
        </w:tc>
        <w:tc>
          <w:tcPr>
            <w:tcW w:w="2338" w:type="dxa"/>
            <w:vAlign w:val="bottom"/>
          </w:tcPr>
          <w:p w14:paraId="1E4A450B" w14:textId="77777777" w:rsidR="00B90936" w:rsidRDefault="00B90936" w:rsidP="001515D5">
            <w:r>
              <w:t>12</w:t>
            </w:r>
          </w:p>
        </w:tc>
        <w:tc>
          <w:tcPr>
            <w:tcW w:w="2338" w:type="dxa"/>
            <w:vAlign w:val="bottom"/>
          </w:tcPr>
          <w:p w14:paraId="22476BD3" w14:textId="77777777" w:rsidR="00B90936" w:rsidRDefault="00B90936" w:rsidP="001515D5">
            <w:r>
              <w:t>0.36%</w:t>
            </w:r>
          </w:p>
        </w:tc>
      </w:tr>
      <w:tr w:rsidR="00B90936" w14:paraId="6FA420B6" w14:textId="77777777" w:rsidTr="001515D5">
        <w:tc>
          <w:tcPr>
            <w:tcW w:w="2337" w:type="dxa"/>
            <w:vAlign w:val="bottom"/>
          </w:tcPr>
          <w:p w14:paraId="07BCECEA" w14:textId="77777777" w:rsidR="00B90936" w:rsidRDefault="00B90936" w:rsidP="001515D5">
            <w:r>
              <w:t>York</w:t>
            </w:r>
          </w:p>
        </w:tc>
        <w:tc>
          <w:tcPr>
            <w:tcW w:w="2337" w:type="dxa"/>
            <w:vAlign w:val="bottom"/>
          </w:tcPr>
          <w:p w14:paraId="75D97B9C" w14:textId="77777777" w:rsidR="00B90936" w:rsidRDefault="00B90936" w:rsidP="001515D5">
            <w:r>
              <w:t>49,781</w:t>
            </w:r>
          </w:p>
        </w:tc>
        <w:tc>
          <w:tcPr>
            <w:tcW w:w="2338" w:type="dxa"/>
            <w:vAlign w:val="bottom"/>
          </w:tcPr>
          <w:p w14:paraId="33680F20" w14:textId="77777777" w:rsidR="00B90936" w:rsidRDefault="00B90936" w:rsidP="001515D5">
            <w:r>
              <w:t>1,135</w:t>
            </w:r>
          </w:p>
        </w:tc>
        <w:tc>
          <w:tcPr>
            <w:tcW w:w="2338" w:type="dxa"/>
            <w:vAlign w:val="bottom"/>
          </w:tcPr>
          <w:p w14:paraId="3A19176A" w14:textId="77777777" w:rsidR="00B90936" w:rsidRDefault="00B90936" w:rsidP="001515D5">
            <w:r>
              <w:t>2.28%</w:t>
            </w:r>
          </w:p>
        </w:tc>
      </w:tr>
    </w:tbl>
    <w:p w14:paraId="0687D2D8" w14:textId="77777777" w:rsidR="00B90936" w:rsidRPr="00124A6D" w:rsidRDefault="00B90936" w:rsidP="00B90936">
      <w:r w:rsidRPr="00124A6D">
        <w:t xml:space="preserve">Source: DHEC School Summary of Student Immunization Status (45-Day Report). </w:t>
      </w:r>
    </w:p>
    <w:p w14:paraId="23B04B2A" w14:textId="77777777" w:rsidR="00B90936" w:rsidRDefault="00B90936" w:rsidP="00B90936">
      <w:r w:rsidRPr="00124A6D">
        <w:t>Note: For the 2021-2022 school year.</w:t>
      </w:r>
    </w:p>
    <w:p w14:paraId="72AA44A2" w14:textId="77777777" w:rsidR="00B90936" w:rsidRPr="00124A6D" w:rsidRDefault="00B90936" w:rsidP="00B90936"/>
    <w:p w14:paraId="3D40418E" w14:textId="77777777" w:rsidR="00B90936" w:rsidRDefault="00B90936" w:rsidP="00B90936">
      <w:pPr>
        <w:pStyle w:val="Heading4"/>
      </w:pPr>
      <w:bookmarkStart w:id="646" w:name="_Toc154576474"/>
      <w:bookmarkStart w:id="647" w:name="_Toc162267434"/>
      <w:r>
        <w:t xml:space="preserve">Figure 8.39: </w:t>
      </w:r>
      <w:r w:rsidRPr="00124A6D">
        <w:t>≥4 Doses DTaP Vaccination Coverage by 24 Months of Age, by Race and Ethnicity</w:t>
      </w:r>
      <w:r>
        <w:t>.</w:t>
      </w:r>
      <w:bookmarkEnd w:id="646"/>
      <w:bookmarkEnd w:id="647"/>
    </w:p>
    <w:tbl>
      <w:tblPr>
        <w:tblStyle w:val="TableGrid"/>
        <w:tblW w:w="0" w:type="auto"/>
        <w:tblLook w:val="04A0" w:firstRow="1" w:lastRow="0" w:firstColumn="1" w:lastColumn="0" w:noHBand="0" w:noVBand="1"/>
      </w:tblPr>
      <w:tblGrid>
        <w:gridCol w:w="1870"/>
        <w:gridCol w:w="1870"/>
        <w:gridCol w:w="1870"/>
        <w:gridCol w:w="1870"/>
        <w:gridCol w:w="1870"/>
      </w:tblGrid>
      <w:tr w:rsidR="00B90936" w14:paraId="4110177C" w14:textId="77777777" w:rsidTr="00195CD4">
        <w:tc>
          <w:tcPr>
            <w:tcW w:w="1870" w:type="dxa"/>
            <w:vAlign w:val="bottom"/>
          </w:tcPr>
          <w:p w14:paraId="651FC05F" w14:textId="77777777" w:rsidR="00B90936" w:rsidRPr="00124A6D" w:rsidRDefault="00B90936" w:rsidP="00195CD4">
            <w:r w:rsidRPr="00124A6D">
              <w:t>South Carolina</w:t>
            </w:r>
          </w:p>
        </w:tc>
        <w:tc>
          <w:tcPr>
            <w:tcW w:w="1870" w:type="dxa"/>
            <w:vAlign w:val="bottom"/>
          </w:tcPr>
          <w:p w14:paraId="0E23E9E9" w14:textId="77777777" w:rsidR="00B90936" w:rsidRPr="00124A6D" w:rsidRDefault="00B90936" w:rsidP="00195CD4">
            <w:r w:rsidRPr="00124A6D">
              <w:t>White, Non-Hispanic</w:t>
            </w:r>
          </w:p>
        </w:tc>
        <w:tc>
          <w:tcPr>
            <w:tcW w:w="1870" w:type="dxa"/>
            <w:vAlign w:val="bottom"/>
          </w:tcPr>
          <w:p w14:paraId="12D14A9E" w14:textId="77777777" w:rsidR="00B90936" w:rsidRPr="00124A6D" w:rsidRDefault="00B90936" w:rsidP="00195CD4">
            <w:r w:rsidRPr="00124A6D">
              <w:t>Black, Non-Hispanic</w:t>
            </w:r>
          </w:p>
        </w:tc>
        <w:tc>
          <w:tcPr>
            <w:tcW w:w="1870" w:type="dxa"/>
            <w:vAlign w:val="bottom"/>
          </w:tcPr>
          <w:p w14:paraId="02284101" w14:textId="77777777" w:rsidR="00B90936" w:rsidRPr="00124A6D" w:rsidRDefault="00B90936" w:rsidP="00195CD4">
            <w:r w:rsidRPr="00124A6D">
              <w:t>Hispanic</w:t>
            </w:r>
          </w:p>
        </w:tc>
        <w:tc>
          <w:tcPr>
            <w:tcW w:w="1870" w:type="dxa"/>
            <w:vAlign w:val="bottom"/>
          </w:tcPr>
          <w:p w14:paraId="5D528047" w14:textId="77777777" w:rsidR="00B90936" w:rsidRPr="00124A6D" w:rsidRDefault="00B90936" w:rsidP="00195CD4">
            <w:r w:rsidRPr="00124A6D">
              <w:t>Other or Multiple Races, Non-Hispanic</w:t>
            </w:r>
          </w:p>
        </w:tc>
      </w:tr>
      <w:tr w:rsidR="00B90936" w14:paraId="133C7E81" w14:textId="77777777" w:rsidTr="001515D5">
        <w:tc>
          <w:tcPr>
            <w:tcW w:w="1870" w:type="dxa"/>
            <w:vAlign w:val="bottom"/>
          </w:tcPr>
          <w:p w14:paraId="2161CBE9" w14:textId="77777777" w:rsidR="00B90936" w:rsidRPr="00124A6D" w:rsidRDefault="00B90936" w:rsidP="001515D5">
            <w:r w:rsidRPr="00124A6D">
              <w:t>79.50%</w:t>
            </w:r>
          </w:p>
        </w:tc>
        <w:tc>
          <w:tcPr>
            <w:tcW w:w="1870" w:type="dxa"/>
            <w:vAlign w:val="bottom"/>
          </w:tcPr>
          <w:p w14:paraId="3FD877A5" w14:textId="77777777" w:rsidR="00B90936" w:rsidRPr="00124A6D" w:rsidRDefault="00B90936" w:rsidP="001515D5">
            <w:r w:rsidRPr="00124A6D">
              <w:t>78.40%</w:t>
            </w:r>
          </w:p>
        </w:tc>
        <w:tc>
          <w:tcPr>
            <w:tcW w:w="1870" w:type="dxa"/>
            <w:vAlign w:val="bottom"/>
          </w:tcPr>
          <w:p w14:paraId="6E72D226" w14:textId="77777777" w:rsidR="00B90936" w:rsidRPr="00124A6D" w:rsidRDefault="00B90936" w:rsidP="001515D5">
            <w:r w:rsidRPr="00124A6D">
              <w:t>81.20%</w:t>
            </w:r>
          </w:p>
        </w:tc>
        <w:tc>
          <w:tcPr>
            <w:tcW w:w="1870" w:type="dxa"/>
            <w:vAlign w:val="bottom"/>
          </w:tcPr>
          <w:p w14:paraId="45F4FA82" w14:textId="77777777" w:rsidR="00B90936" w:rsidRPr="00124A6D" w:rsidRDefault="00B90936" w:rsidP="001515D5">
            <w:r w:rsidRPr="00124A6D">
              <w:t>82.10%</w:t>
            </w:r>
          </w:p>
        </w:tc>
        <w:tc>
          <w:tcPr>
            <w:tcW w:w="1870" w:type="dxa"/>
            <w:vAlign w:val="bottom"/>
          </w:tcPr>
          <w:p w14:paraId="623B2D0F" w14:textId="77777777" w:rsidR="00B90936" w:rsidRPr="00124A6D" w:rsidRDefault="00B90936" w:rsidP="001515D5">
            <w:r w:rsidRPr="00124A6D">
              <w:t>76.90%</w:t>
            </w:r>
          </w:p>
        </w:tc>
      </w:tr>
    </w:tbl>
    <w:p w14:paraId="12CDDD7A" w14:textId="77777777" w:rsidR="00B90936" w:rsidRPr="00124A6D" w:rsidRDefault="00B90936" w:rsidP="00B90936">
      <w:r w:rsidRPr="00124A6D">
        <w:t>Source: National Immunization Survey (NIS), 2018.</w:t>
      </w:r>
    </w:p>
    <w:p w14:paraId="2A910B92" w14:textId="77777777" w:rsidR="00CF1BB1" w:rsidRDefault="00CF1BB1" w:rsidP="00CF1BB1"/>
    <w:p w14:paraId="2520535F" w14:textId="77777777" w:rsidR="00CF1BB1" w:rsidRDefault="00CF1BB1" w:rsidP="00CF1BB1">
      <w:pPr>
        <w:pStyle w:val="Heading4"/>
      </w:pPr>
      <w:bookmarkStart w:id="648" w:name="_Toc162267435"/>
      <w:r w:rsidRPr="00CF1BB1">
        <w:t>Data Interpretations:</w:t>
      </w:r>
      <w:bookmarkEnd w:id="648"/>
      <w:r w:rsidRPr="00CF1BB1">
        <w:t xml:space="preserve"> </w:t>
      </w:r>
    </w:p>
    <w:p w14:paraId="4260D702" w14:textId="5352A8BE" w:rsidR="00CF1BB1" w:rsidRPr="00CF1BB1" w:rsidRDefault="00CF1BB1" w:rsidP="00CF1BB1">
      <w:r w:rsidRPr="00CF1BB1">
        <w:t>The last 10 school years have seen a significant increase of 12,000 students whose parents completed religious exemptions rather than having their children vaccinated against VPDs. Certain population groups tend to show higher rates of parental vaccine refusal. The Upstate region shows the highest rates of student and childcare religious exemptions (</w:t>
      </w:r>
      <w:r w:rsidRPr="00CF1BB1">
        <w:rPr>
          <w:b/>
          <w:bCs/>
        </w:rPr>
        <w:t>Figure 8.37</w:t>
      </w:r>
      <w:r w:rsidRPr="00CF1BB1">
        <w:t>). Spartanburg and Greenville counties have the highest and second-highest county religious exemption rates respectively (</w:t>
      </w:r>
      <w:r w:rsidRPr="00CF1BB1">
        <w:rPr>
          <w:b/>
          <w:bCs/>
        </w:rPr>
        <w:t>Figure 8.38</w:t>
      </w:r>
      <w:r w:rsidRPr="00CF1BB1">
        <w:t xml:space="preserve">). School districts in this area appear to experience a greater number of VPD outbreaks than counties with lower rates of religious exemption. Disparities in DTaP (diphtheria, </w:t>
      </w:r>
      <w:proofErr w:type="gramStart"/>
      <w:r w:rsidRPr="00CF1BB1">
        <w:t>tetanus</w:t>
      </w:r>
      <w:proofErr w:type="gramEnd"/>
      <w:r w:rsidRPr="00CF1BB1">
        <w:t xml:space="preserve"> and acellular pertussis) vaccination coverage by race/ethnicity are not statistically significant (</w:t>
      </w:r>
      <w:r w:rsidRPr="00CF1BB1">
        <w:rPr>
          <w:b/>
          <w:bCs/>
        </w:rPr>
        <w:t>Figure 8.39</w:t>
      </w:r>
      <w:r w:rsidRPr="00CF1BB1">
        <w:t>). One cause of parental vaccine refusal is due to misinformation that vaccines can cause more harm to a child than benefit. The best way to prevent this problem is through education that serious side effects from vaccines are extremely rare, and that benefits of vaccination far outweigh the associated risks.</w:t>
      </w:r>
    </w:p>
    <w:p w14:paraId="3BE83C8F" w14:textId="77777777" w:rsidR="00CF1BB1" w:rsidRDefault="00CF1BB1" w:rsidP="00CF1BB1">
      <w:pPr>
        <w:rPr>
          <w:b/>
          <w:bCs/>
        </w:rPr>
      </w:pPr>
    </w:p>
    <w:p w14:paraId="76406139" w14:textId="77777777" w:rsidR="00CF1BB1" w:rsidRDefault="00CF1BB1" w:rsidP="00CF1BB1">
      <w:pPr>
        <w:pStyle w:val="Heading5"/>
      </w:pPr>
      <w:r>
        <w:t xml:space="preserve">Key Takeaways: </w:t>
      </w:r>
    </w:p>
    <w:p w14:paraId="035934E5" w14:textId="25E4FC2C" w:rsidR="005253DC" w:rsidRDefault="00CF1BB1" w:rsidP="00926EB3">
      <w:pPr>
        <w:pStyle w:val="ListParagraph"/>
        <w:numPr>
          <w:ilvl w:val="0"/>
          <w:numId w:val="226"/>
        </w:numPr>
      </w:pPr>
      <w:r w:rsidRPr="00CF1BB1">
        <w:t xml:space="preserve">Immunizations are the ultimate form of preventive medicine. There are not many options a physician has that can still provide protection to children 10 years from now or for their lifetime. </w:t>
      </w:r>
    </w:p>
    <w:p w14:paraId="4B33622F" w14:textId="4F825840" w:rsidR="005253DC" w:rsidRDefault="00CF1BB1" w:rsidP="00926EB3">
      <w:pPr>
        <w:pStyle w:val="ListParagraph"/>
        <w:numPr>
          <w:ilvl w:val="0"/>
          <w:numId w:val="226"/>
        </w:numPr>
      </w:pPr>
      <w:r w:rsidRPr="00CF1BB1">
        <w:lastRenderedPageBreak/>
        <w:t xml:space="preserve">Misconceptions around immunizations have had a negative effect on vaccine uptake in our communities. The best way to address this issue is through education on the benefits and risks of vaccines. </w:t>
      </w:r>
    </w:p>
    <w:p w14:paraId="4E65B46A" w14:textId="388B1863" w:rsidR="00CF1BB1" w:rsidRPr="00CF1BB1" w:rsidRDefault="00CF1BB1" w:rsidP="00926EB3">
      <w:pPr>
        <w:pStyle w:val="ListParagraph"/>
        <w:numPr>
          <w:ilvl w:val="0"/>
          <w:numId w:val="226"/>
        </w:numPr>
      </w:pPr>
      <w:r w:rsidRPr="00CF1BB1">
        <w:t xml:space="preserve">The Upstate region experiences the most disparity in vaccine uptake compared to other regions. It may be beneficial to focus resources </w:t>
      </w:r>
      <w:proofErr w:type="gramStart"/>
      <w:r w:rsidRPr="00CF1BB1">
        <w:t>toward</w:t>
      </w:r>
      <w:proofErr w:type="gramEnd"/>
      <w:r w:rsidRPr="00CF1BB1">
        <w:t xml:space="preserve"> educational efforts in this region. </w:t>
      </w:r>
    </w:p>
    <w:p w14:paraId="45FE1B5E" w14:textId="77777777" w:rsidR="00CF1BB1" w:rsidRDefault="00CF1BB1" w:rsidP="00CF1BB1"/>
    <w:p w14:paraId="02DF612A" w14:textId="4ED7972E" w:rsidR="00637B75" w:rsidRPr="00637B75" w:rsidRDefault="00637B75" w:rsidP="00637B75">
      <w:pPr>
        <w:pStyle w:val="Heading4"/>
        <w:rPr>
          <w:rFonts w:asciiTheme="minorHAnsi" w:hAnsiTheme="minorHAnsi" w:cstheme="minorHAnsi"/>
          <w:color w:val="000000" w:themeColor="text1"/>
        </w:rPr>
      </w:pPr>
      <w:r w:rsidRPr="00637B75">
        <w:rPr>
          <w:rFonts w:asciiTheme="minorHAnsi" w:hAnsiTheme="minorHAnsi" w:cstheme="minorHAnsi"/>
          <w:color w:val="000000" w:themeColor="text1"/>
        </w:rPr>
        <w:t>References 8.20</w:t>
      </w:r>
    </w:p>
    <w:p w14:paraId="194FC63C" w14:textId="2AE0BD27" w:rsidR="00637B75" w:rsidRPr="00637B75" w:rsidRDefault="00637B75" w:rsidP="00CF1BB1">
      <w:pPr>
        <w:rPr>
          <w:i/>
          <w:iCs/>
        </w:rPr>
      </w:pPr>
      <w:r w:rsidRPr="00CF1BB1">
        <w:t>Statistics in the preceding section were referenced from the following reports:</w:t>
      </w:r>
    </w:p>
    <w:p w14:paraId="33C74CBE" w14:textId="09F9A962" w:rsidR="00637B75" w:rsidRPr="00637B75" w:rsidRDefault="00637B75" w:rsidP="00637B75">
      <w:pPr>
        <w:pStyle w:val="ListParagraph"/>
        <w:numPr>
          <w:ilvl w:val="0"/>
          <w:numId w:val="35"/>
        </w:numPr>
      </w:pPr>
      <w:r>
        <w:t xml:space="preserve"> </w:t>
      </w:r>
      <w:hyperlink r:id="rId286" w:anchor="tab=tab_1" w:history="1">
        <w:r w:rsidRPr="00637B75">
          <w:rPr>
            <w:rStyle w:val="Hyperlink"/>
          </w:rPr>
          <w:t>“Vaccines and immunization” by the World Health Organization. Accessed January 25, 2024.</w:t>
        </w:r>
      </w:hyperlink>
      <w:r w:rsidRPr="00637B75">
        <w:t xml:space="preserve"> </w:t>
      </w:r>
    </w:p>
    <w:p w14:paraId="5BCB503E" w14:textId="2F3E6B77" w:rsidR="00CF1BB1" w:rsidRDefault="00637B75" w:rsidP="00CF1BB1">
      <w:pPr>
        <w:pStyle w:val="ListParagraph"/>
        <w:numPr>
          <w:ilvl w:val="0"/>
          <w:numId w:val="35"/>
        </w:numPr>
      </w:pPr>
      <w:r>
        <w:t xml:space="preserve"> “</w:t>
      </w:r>
      <w:r w:rsidRPr="00637B75">
        <w:t>Addressing vaccine hesitancy: Clinical guidance for primary care physicians working with parents</w:t>
      </w:r>
      <w:r>
        <w:t>” by S. S</w:t>
      </w:r>
      <w:r w:rsidRPr="00637B75">
        <w:t xml:space="preserve">hen </w:t>
      </w:r>
      <w:r>
        <w:t>and V. Dubey. Published in</w:t>
      </w:r>
      <w:r w:rsidRPr="00637B75">
        <w:t xml:space="preserve"> Canadian Family Physician</w:t>
      </w:r>
      <w:r>
        <w:t>, 2019.</w:t>
      </w:r>
      <w:r w:rsidRPr="00637B75">
        <w:t xml:space="preserve"> Accessed January 25, 2024. </w:t>
      </w:r>
      <w:r>
        <w:t>No hyperlink.</w:t>
      </w:r>
    </w:p>
    <w:p w14:paraId="3FF900F5" w14:textId="684E26C0" w:rsidR="00CF1BB1" w:rsidRPr="00CF1BB1" w:rsidRDefault="00CF1BB1" w:rsidP="00CF1BB1">
      <w:pPr>
        <w:pStyle w:val="Heading3"/>
      </w:pPr>
      <w:bookmarkStart w:id="649" w:name="_Toc162267436"/>
      <w:r w:rsidRPr="00CF1BB1">
        <w:t>Healthy Schools</w:t>
      </w:r>
      <w:r>
        <w:t>: K-5 Readiness</w:t>
      </w:r>
      <w:bookmarkEnd w:id="649"/>
    </w:p>
    <w:p w14:paraId="0749475C" w14:textId="59057BB2" w:rsidR="00CF1BB1" w:rsidRDefault="00CF1BB1" w:rsidP="00CF1BB1">
      <w:pPr>
        <w:rPr>
          <w:b/>
          <w:bCs/>
        </w:rPr>
      </w:pPr>
      <w:r w:rsidRPr="00CF1BB1">
        <w:t>While the subject of an ideal state of readiness for kindergarten may be controversial because not all children learn to walk or talk at the same pace, the establishment of key developmental milestones can help provide early identification of children who have experienced adverse childhood experiences (ACEs), may be on the autism spectrum, or have other learning difficulties, so they can get early access to support. Some states perform readiness tests to assess the incoming kindergarten class. However, there is no national standard test. SC law requires all students be assessed using the Kindergarten Readiness Assessment (KRA). The KRA is an assessment performed by the teacher over the first 45 days of school and is done by observation of play, interaction with peers and adults, participation in activities, and responses to questions. It focuses on key areas such as social, emotional, and behavioral development, sensory and motor development, mathematics, and early language and literacy development. The resulting data help stakeholders make informed decisions about any learning gaps that are identified.</w:t>
      </w:r>
    </w:p>
    <w:p w14:paraId="420CF59B" w14:textId="77777777" w:rsidR="00CF1BB1" w:rsidRDefault="00CF1BB1" w:rsidP="00CF1BB1">
      <w:pPr>
        <w:rPr>
          <w:b/>
          <w:bCs/>
        </w:rPr>
      </w:pPr>
    </w:p>
    <w:p w14:paraId="1C34FE79" w14:textId="77777777" w:rsidR="00B90936" w:rsidRDefault="00B90936" w:rsidP="00B90936">
      <w:pPr>
        <w:pStyle w:val="Heading4"/>
      </w:pPr>
      <w:bookmarkStart w:id="650" w:name="_Toc154576475"/>
      <w:bookmarkStart w:id="651" w:name="_Toc162267437"/>
      <w:r>
        <w:t xml:space="preserve">Figure 8.40: </w:t>
      </w:r>
      <w:r w:rsidRPr="00124A6D">
        <w:t>Students Demonstrating Readiness, Overall and by Selected Characteristics</w:t>
      </w:r>
      <w:r>
        <w:t>.</w:t>
      </w:r>
      <w:bookmarkEnd w:id="650"/>
      <w:bookmarkEnd w:id="651"/>
    </w:p>
    <w:tbl>
      <w:tblPr>
        <w:tblStyle w:val="TableGrid"/>
        <w:tblW w:w="0" w:type="auto"/>
        <w:tblLook w:val="04A0" w:firstRow="1" w:lastRow="0" w:firstColumn="1" w:lastColumn="0" w:noHBand="0" w:noVBand="1"/>
      </w:tblPr>
      <w:tblGrid>
        <w:gridCol w:w="2337"/>
        <w:gridCol w:w="2337"/>
        <w:gridCol w:w="2338"/>
        <w:gridCol w:w="2338"/>
      </w:tblGrid>
      <w:tr w:rsidR="00B90936" w14:paraId="7C63E3EA" w14:textId="77777777" w:rsidTr="001515D5">
        <w:tc>
          <w:tcPr>
            <w:tcW w:w="2337" w:type="dxa"/>
            <w:vAlign w:val="bottom"/>
          </w:tcPr>
          <w:p w14:paraId="38132519" w14:textId="423E029D" w:rsidR="00B90936" w:rsidRPr="00124A6D" w:rsidRDefault="00195CD4" w:rsidP="001515D5">
            <w:r>
              <w:t>Year</w:t>
            </w:r>
          </w:p>
        </w:tc>
        <w:tc>
          <w:tcPr>
            <w:tcW w:w="2337" w:type="dxa"/>
            <w:vAlign w:val="bottom"/>
          </w:tcPr>
          <w:p w14:paraId="51831250" w14:textId="77777777" w:rsidR="00B90936" w:rsidRPr="00124A6D" w:rsidRDefault="00B90936" w:rsidP="001515D5">
            <w:r w:rsidRPr="00124A6D">
              <w:t>2018-2019</w:t>
            </w:r>
          </w:p>
        </w:tc>
        <w:tc>
          <w:tcPr>
            <w:tcW w:w="2338" w:type="dxa"/>
            <w:vAlign w:val="bottom"/>
          </w:tcPr>
          <w:p w14:paraId="2C6265EC" w14:textId="77777777" w:rsidR="00B90936" w:rsidRPr="00124A6D" w:rsidRDefault="00B90936" w:rsidP="001515D5">
            <w:r w:rsidRPr="00124A6D">
              <w:t>2019-2020</w:t>
            </w:r>
          </w:p>
        </w:tc>
        <w:tc>
          <w:tcPr>
            <w:tcW w:w="2338" w:type="dxa"/>
            <w:vAlign w:val="bottom"/>
          </w:tcPr>
          <w:p w14:paraId="55ECE6ED" w14:textId="77777777" w:rsidR="00B90936" w:rsidRPr="00124A6D" w:rsidRDefault="00B90936" w:rsidP="001515D5">
            <w:r w:rsidRPr="00124A6D">
              <w:t>2020-2021</w:t>
            </w:r>
          </w:p>
        </w:tc>
      </w:tr>
      <w:tr w:rsidR="00B90936" w14:paraId="74CFFB67" w14:textId="77777777" w:rsidTr="001515D5">
        <w:tc>
          <w:tcPr>
            <w:tcW w:w="2337" w:type="dxa"/>
            <w:vAlign w:val="bottom"/>
          </w:tcPr>
          <w:p w14:paraId="1F2B95B3" w14:textId="52671639" w:rsidR="00B90936" w:rsidRPr="00124A6D" w:rsidRDefault="00B90936" w:rsidP="001515D5">
            <w:r w:rsidRPr="00124A6D">
              <w:t>S</w:t>
            </w:r>
            <w:r w:rsidR="00195CD4">
              <w:t>outh Carolina</w:t>
            </w:r>
          </w:p>
        </w:tc>
        <w:tc>
          <w:tcPr>
            <w:tcW w:w="2337" w:type="dxa"/>
            <w:vAlign w:val="bottom"/>
          </w:tcPr>
          <w:p w14:paraId="661ABA15" w14:textId="77777777" w:rsidR="00B90936" w:rsidRPr="00124A6D" w:rsidRDefault="00B90936" w:rsidP="001515D5">
            <w:r w:rsidRPr="00124A6D">
              <w:t>37.2%</w:t>
            </w:r>
          </w:p>
        </w:tc>
        <w:tc>
          <w:tcPr>
            <w:tcW w:w="2338" w:type="dxa"/>
            <w:vAlign w:val="bottom"/>
          </w:tcPr>
          <w:p w14:paraId="2A61B177" w14:textId="77777777" w:rsidR="00B90936" w:rsidRPr="00124A6D" w:rsidRDefault="00B90936" w:rsidP="001515D5">
            <w:r w:rsidRPr="00124A6D">
              <w:t>39.2%</w:t>
            </w:r>
          </w:p>
        </w:tc>
        <w:tc>
          <w:tcPr>
            <w:tcW w:w="2338" w:type="dxa"/>
            <w:vAlign w:val="bottom"/>
          </w:tcPr>
          <w:p w14:paraId="00E1E30C" w14:textId="77777777" w:rsidR="00B90936" w:rsidRPr="00124A6D" w:rsidRDefault="00B90936" w:rsidP="001515D5">
            <w:r w:rsidRPr="00124A6D">
              <w:t>26.8%</w:t>
            </w:r>
          </w:p>
        </w:tc>
      </w:tr>
      <w:tr w:rsidR="00B90936" w14:paraId="0F968171" w14:textId="77777777" w:rsidTr="001515D5">
        <w:tc>
          <w:tcPr>
            <w:tcW w:w="2337" w:type="dxa"/>
            <w:vAlign w:val="bottom"/>
          </w:tcPr>
          <w:p w14:paraId="69EC9986" w14:textId="77777777" w:rsidR="00B90936" w:rsidRPr="00124A6D" w:rsidRDefault="00B90936" w:rsidP="001515D5">
            <w:r w:rsidRPr="00124A6D">
              <w:t>Female</w:t>
            </w:r>
          </w:p>
        </w:tc>
        <w:tc>
          <w:tcPr>
            <w:tcW w:w="2337" w:type="dxa"/>
            <w:vAlign w:val="bottom"/>
          </w:tcPr>
          <w:p w14:paraId="34CA9FB1" w14:textId="77777777" w:rsidR="00B90936" w:rsidRPr="00124A6D" w:rsidRDefault="00B90936" w:rsidP="001515D5">
            <w:r w:rsidRPr="00124A6D">
              <w:t>42.4%</w:t>
            </w:r>
          </w:p>
        </w:tc>
        <w:tc>
          <w:tcPr>
            <w:tcW w:w="2338" w:type="dxa"/>
            <w:vAlign w:val="bottom"/>
          </w:tcPr>
          <w:p w14:paraId="5C5D265C" w14:textId="77777777" w:rsidR="00B90936" w:rsidRPr="00124A6D" w:rsidRDefault="00B90936" w:rsidP="001515D5">
            <w:r w:rsidRPr="00124A6D">
              <w:t>43.9%</w:t>
            </w:r>
          </w:p>
        </w:tc>
        <w:tc>
          <w:tcPr>
            <w:tcW w:w="2338" w:type="dxa"/>
            <w:vAlign w:val="bottom"/>
          </w:tcPr>
          <w:p w14:paraId="7C958830" w14:textId="77777777" w:rsidR="00B90936" w:rsidRPr="00124A6D" w:rsidRDefault="00B90936" w:rsidP="001515D5">
            <w:r w:rsidRPr="00124A6D">
              <w:t>29.5%</w:t>
            </w:r>
          </w:p>
        </w:tc>
      </w:tr>
      <w:tr w:rsidR="00B90936" w14:paraId="1D111700" w14:textId="77777777" w:rsidTr="001515D5">
        <w:tc>
          <w:tcPr>
            <w:tcW w:w="2337" w:type="dxa"/>
            <w:vAlign w:val="bottom"/>
          </w:tcPr>
          <w:p w14:paraId="1BF08406" w14:textId="77777777" w:rsidR="00B90936" w:rsidRPr="00124A6D" w:rsidRDefault="00B90936" w:rsidP="001515D5">
            <w:r w:rsidRPr="00124A6D">
              <w:t>Male</w:t>
            </w:r>
          </w:p>
        </w:tc>
        <w:tc>
          <w:tcPr>
            <w:tcW w:w="2337" w:type="dxa"/>
            <w:vAlign w:val="bottom"/>
          </w:tcPr>
          <w:p w14:paraId="7505A7F4" w14:textId="77777777" w:rsidR="00B90936" w:rsidRPr="00124A6D" w:rsidRDefault="00B90936" w:rsidP="001515D5">
            <w:r w:rsidRPr="00124A6D">
              <w:t>32.4%</w:t>
            </w:r>
          </w:p>
        </w:tc>
        <w:tc>
          <w:tcPr>
            <w:tcW w:w="2338" w:type="dxa"/>
            <w:vAlign w:val="bottom"/>
          </w:tcPr>
          <w:p w14:paraId="75092A4F" w14:textId="77777777" w:rsidR="00B90936" w:rsidRPr="00124A6D" w:rsidRDefault="00B90936" w:rsidP="001515D5">
            <w:r w:rsidRPr="00124A6D">
              <w:t>34.0%</w:t>
            </w:r>
          </w:p>
        </w:tc>
        <w:tc>
          <w:tcPr>
            <w:tcW w:w="2338" w:type="dxa"/>
            <w:vAlign w:val="bottom"/>
          </w:tcPr>
          <w:p w14:paraId="7BA8FD79" w14:textId="77777777" w:rsidR="00B90936" w:rsidRPr="00124A6D" w:rsidRDefault="00B90936" w:rsidP="001515D5">
            <w:r w:rsidRPr="00124A6D">
              <w:t>24.9%</w:t>
            </w:r>
          </w:p>
        </w:tc>
      </w:tr>
      <w:tr w:rsidR="00B90936" w14:paraId="7EF4686A" w14:textId="77777777" w:rsidTr="001515D5">
        <w:tc>
          <w:tcPr>
            <w:tcW w:w="2337" w:type="dxa"/>
            <w:vAlign w:val="bottom"/>
          </w:tcPr>
          <w:p w14:paraId="33AC2135" w14:textId="77777777" w:rsidR="00B90936" w:rsidRPr="00124A6D" w:rsidRDefault="00B90936" w:rsidP="001515D5">
            <w:r w:rsidRPr="00124A6D">
              <w:lastRenderedPageBreak/>
              <w:t>Special Education</w:t>
            </w:r>
          </w:p>
        </w:tc>
        <w:tc>
          <w:tcPr>
            <w:tcW w:w="2337" w:type="dxa"/>
            <w:vAlign w:val="bottom"/>
          </w:tcPr>
          <w:p w14:paraId="6D82CFA9" w14:textId="77777777" w:rsidR="00B90936" w:rsidRPr="00124A6D" w:rsidRDefault="00B90936" w:rsidP="001515D5">
            <w:r w:rsidRPr="00124A6D">
              <w:t>17.0%</w:t>
            </w:r>
          </w:p>
        </w:tc>
        <w:tc>
          <w:tcPr>
            <w:tcW w:w="2338" w:type="dxa"/>
            <w:vAlign w:val="bottom"/>
          </w:tcPr>
          <w:p w14:paraId="4E656554" w14:textId="77777777" w:rsidR="00B90936" w:rsidRPr="00124A6D" w:rsidRDefault="00B90936" w:rsidP="001515D5">
            <w:r w:rsidRPr="00124A6D">
              <w:t>16.5%</w:t>
            </w:r>
          </w:p>
        </w:tc>
        <w:tc>
          <w:tcPr>
            <w:tcW w:w="2338" w:type="dxa"/>
            <w:vAlign w:val="bottom"/>
          </w:tcPr>
          <w:p w14:paraId="22ED26C0" w14:textId="77777777" w:rsidR="00B90936" w:rsidRPr="00124A6D" w:rsidRDefault="00B90936" w:rsidP="001515D5">
            <w:r w:rsidRPr="00124A6D">
              <w:t>11.5%</w:t>
            </w:r>
          </w:p>
        </w:tc>
      </w:tr>
    </w:tbl>
    <w:p w14:paraId="0156B474" w14:textId="77777777" w:rsidR="00B90936" w:rsidRPr="00124A6D" w:rsidRDefault="00B90936" w:rsidP="00B90936">
      <w:r w:rsidRPr="00124A6D">
        <w:t xml:space="preserve">Source: SC Department of Education, Kindergarten Readiness Assessment (KRA). </w:t>
      </w:r>
    </w:p>
    <w:p w14:paraId="7655890C" w14:textId="77777777" w:rsidR="00B90936" w:rsidRDefault="00B90936" w:rsidP="00B90936">
      <w:r w:rsidRPr="00124A6D">
        <w:t>Special education means specially designed instruction to meet the unique needs of a child with a disability.</w:t>
      </w:r>
    </w:p>
    <w:p w14:paraId="0693833C" w14:textId="77777777" w:rsidR="00B90936" w:rsidRDefault="00B90936" w:rsidP="00B90936"/>
    <w:p w14:paraId="4A77996E" w14:textId="77777777" w:rsidR="00B90936" w:rsidRDefault="00B90936" w:rsidP="00B90936">
      <w:pPr>
        <w:pStyle w:val="Heading4"/>
      </w:pPr>
      <w:bookmarkStart w:id="652" w:name="_Toc154576476"/>
      <w:bookmarkStart w:id="653" w:name="_Toc162267438"/>
      <w:r>
        <w:t xml:space="preserve">Figure 8.41: </w:t>
      </w:r>
      <w:r w:rsidRPr="00124A6D">
        <w:t xml:space="preserve">Students Demonstrating Readiness, </w:t>
      </w:r>
      <w:r>
        <w:t>by Race/Ethnicity.</w:t>
      </w:r>
      <w:bookmarkEnd w:id="652"/>
      <w:bookmarkEnd w:id="653"/>
    </w:p>
    <w:tbl>
      <w:tblPr>
        <w:tblStyle w:val="TableGrid"/>
        <w:tblW w:w="0" w:type="auto"/>
        <w:tblLook w:val="04A0" w:firstRow="1" w:lastRow="0" w:firstColumn="1" w:lastColumn="0" w:noHBand="0" w:noVBand="1"/>
      </w:tblPr>
      <w:tblGrid>
        <w:gridCol w:w="2337"/>
        <w:gridCol w:w="2337"/>
        <w:gridCol w:w="2338"/>
        <w:gridCol w:w="2338"/>
      </w:tblGrid>
      <w:tr w:rsidR="00B90936" w14:paraId="4B867752" w14:textId="77777777" w:rsidTr="001515D5">
        <w:tc>
          <w:tcPr>
            <w:tcW w:w="2337" w:type="dxa"/>
            <w:vAlign w:val="bottom"/>
          </w:tcPr>
          <w:p w14:paraId="6945F0F1" w14:textId="77777777" w:rsidR="00B90936" w:rsidRPr="00CB3321" w:rsidRDefault="00B90936" w:rsidP="001515D5">
            <w:r>
              <w:t>Year</w:t>
            </w:r>
          </w:p>
        </w:tc>
        <w:tc>
          <w:tcPr>
            <w:tcW w:w="2337" w:type="dxa"/>
            <w:vAlign w:val="bottom"/>
          </w:tcPr>
          <w:p w14:paraId="3B39418A" w14:textId="77777777" w:rsidR="00B90936" w:rsidRPr="00CB3321" w:rsidRDefault="00B90936" w:rsidP="001515D5">
            <w:r w:rsidRPr="00CB3321">
              <w:t>2018-2019</w:t>
            </w:r>
          </w:p>
        </w:tc>
        <w:tc>
          <w:tcPr>
            <w:tcW w:w="2338" w:type="dxa"/>
            <w:vAlign w:val="bottom"/>
          </w:tcPr>
          <w:p w14:paraId="1E942BDE" w14:textId="77777777" w:rsidR="00B90936" w:rsidRPr="00CB3321" w:rsidRDefault="00B90936" w:rsidP="001515D5">
            <w:r w:rsidRPr="00CB3321">
              <w:t>2019-2020</w:t>
            </w:r>
          </w:p>
        </w:tc>
        <w:tc>
          <w:tcPr>
            <w:tcW w:w="2338" w:type="dxa"/>
            <w:vAlign w:val="bottom"/>
          </w:tcPr>
          <w:p w14:paraId="3563AA3B" w14:textId="77777777" w:rsidR="00B90936" w:rsidRPr="00CB3321" w:rsidRDefault="00B90936" w:rsidP="001515D5">
            <w:r w:rsidRPr="00CB3321">
              <w:t>2020-2021</w:t>
            </w:r>
          </w:p>
        </w:tc>
      </w:tr>
      <w:tr w:rsidR="00B90936" w14:paraId="6C5B6DF1" w14:textId="77777777" w:rsidTr="001515D5">
        <w:tc>
          <w:tcPr>
            <w:tcW w:w="2337" w:type="dxa"/>
            <w:vAlign w:val="bottom"/>
          </w:tcPr>
          <w:p w14:paraId="009C4F1F" w14:textId="77777777" w:rsidR="00B90936" w:rsidRPr="00CB3321" w:rsidRDefault="00B90936" w:rsidP="001515D5">
            <w:r w:rsidRPr="00CB3321">
              <w:t>American Indian</w:t>
            </w:r>
          </w:p>
        </w:tc>
        <w:tc>
          <w:tcPr>
            <w:tcW w:w="2337" w:type="dxa"/>
            <w:vAlign w:val="bottom"/>
          </w:tcPr>
          <w:p w14:paraId="079412EF" w14:textId="77777777" w:rsidR="00B90936" w:rsidRPr="00CB3321" w:rsidRDefault="00B90936" w:rsidP="001515D5">
            <w:r w:rsidRPr="00CB3321">
              <w:t>32.4%</w:t>
            </w:r>
          </w:p>
        </w:tc>
        <w:tc>
          <w:tcPr>
            <w:tcW w:w="2338" w:type="dxa"/>
            <w:vAlign w:val="bottom"/>
          </w:tcPr>
          <w:p w14:paraId="56A716EB" w14:textId="77777777" w:rsidR="00B90936" w:rsidRPr="00CB3321" w:rsidRDefault="00B90936" w:rsidP="001515D5">
            <w:r w:rsidRPr="00CB3321">
              <w:t>30.1%</w:t>
            </w:r>
          </w:p>
        </w:tc>
        <w:tc>
          <w:tcPr>
            <w:tcW w:w="2338" w:type="dxa"/>
            <w:vAlign w:val="bottom"/>
          </w:tcPr>
          <w:p w14:paraId="63270E46" w14:textId="77777777" w:rsidR="00B90936" w:rsidRPr="00CB3321" w:rsidRDefault="00B90936" w:rsidP="001515D5">
            <w:r w:rsidRPr="00CB3321">
              <w:t>27.0%</w:t>
            </w:r>
          </w:p>
        </w:tc>
      </w:tr>
      <w:tr w:rsidR="00B90936" w14:paraId="2B09743F" w14:textId="77777777" w:rsidTr="001515D5">
        <w:tc>
          <w:tcPr>
            <w:tcW w:w="2337" w:type="dxa"/>
            <w:vAlign w:val="bottom"/>
          </w:tcPr>
          <w:p w14:paraId="0A95A094" w14:textId="77777777" w:rsidR="00B90936" w:rsidRPr="00CB3321" w:rsidRDefault="00B90936" w:rsidP="001515D5">
            <w:r w:rsidRPr="00CB3321">
              <w:t>Asian</w:t>
            </w:r>
          </w:p>
        </w:tc>
        <w:tc>
          <w:tcPr>
            <w:tcW w:w="2337" w:type="dxa"/>
            <w:vAlign w:val="bottom"/>
          </w:tcPr>
          <w:p w14:paraId="293E0224" w14:textId="77777777" w:rsidR="00B90936" w:rsidRPr="00CB3321" w:rsidRDefault="00B90936" w:rsidP="001515D5">
            <w:r w:rsidRPr="00CB3321">
              <w:t>47.4%</w:t>
            </w:r>
          </w:p>
        </w:tc>
        <w:tc>
          <w:tcPr>
            <w:tcW w:w="2338" w:type="dxa"/>
            <w:vAlign w:val="bottom"/>
          </w:tcPr>
          <w:p w14:paraId="4AE4F7A5" w14:textId="77777777" w:rsidR="00B90936" w:rsidRPr="00CB3321" w:rsidRDefault="00B90936" w:rsidP="001515D5">
            <w:r w:rsidRPr="00CB3321">
              <w:t>46.2%</w:t>
            </w:r>
          </w:p>
        </w:tc>
        <w:tc>
          <w:tcPr>
            <w:tcW w:w="2338" w:type="dxa"/>
            <w:vAlign w:val="bottom"/>
          </w:tcPr>
          <w:p w14:paraId="4CFD433E" w14:textId="77777777" w:rsidR="00B90936" w:rsidRPr="00CB3321" w:rsidRDefault="00B90936" w:rsidP="001515D5">
            <w:r w:rsidRPr="00CB3321">
              <w:t>42.5%</w:t>
            </w:r>
          </w:p>
        </w:tc>
      </w:tr>
      <w:tr w:rsidR="00B90936" w14:paraId="43FEA1FE" w14:textId="77777777" w:rsidTr="001515D5">
        <w:tc>
          <w:tcPr>
            <w:tcW w:w="2337" w:type="dxa"/>
            <w:vAlign w:val="bottom"/>
          </w:tcPr>
          <w:p w14:paraId="24BD5CBF" w14:textId="77777777" w:rsidR="00B90936" w:rsidRPr="00CB3321" w:rsidRDefault="00B90936" w:rsidP="001515D5">
            <w:r w:rsidRPr="00CB3321">
              <w:t>Black</w:t>
            </w:r>
          </w:p>
        </w:tc>
        <w:tc>
          <w:tcPr>
            <w:tcW w:w="2337" w:type="dxa"/>
            <w:vAlign w:val="bottom"/>
          </w:tcPr>
          <w:p w14:paraId="0F9BC649" w14:textId="77777777" w:rsidR="00B90936" w:rsidRPr="00CB3321" w:rsidRDefault="00B90936" w:rsidP="001515D5">
            <w:r w:rsidRPr="00CB3321">
              <w:t>28.0%</w:t>
            </w:r>
          </w:p>
        </w:tc>
        <w:tc>
          <w:tcPr>
            <w:tcW w:w="2338" w:type="dxa"/>
            <w:vAlign w:val="bottom"/>
          </w:tcPr>
          <w:p w14:paraId="66128927" w14:textId="77777777" w:rsidR="00B90936" w:rsidRPr="00CB3321" w:rsidRDefault="00B90936" w:rsidP="001515D5">
            <w:r w:rsidRPr="00CB3321">
              <w:t>29.1%</w:t>
            </w:r>
          </w:p>
        </w:tc>
        <w:tc>
          <w:tcPr>
            <w:tcW w:w="2338" w:type="dxa"/>
            <w:vAlign w:val="bottom"/>
          </w:tcPr>
          <w:p w14:paraId="70248491" w14:textId="77777777" w:rsidR="00B90936" w:rsidRPr="00CB3321" w:rsidRDefault="00B90936" w:rsidP="001515D5">
            <w:r w:rsidRPr="00CB3321">
              <w:t>17.9%</w:t>
            </w:r>
          </w:p>
        </w:tc>
      </w:tr>
      <w:tr w:rsidR="00B90936" w14:paraId="386AFAC4" w14:textId="77777777" w:rsidTr="001515D5">
        <w:tc>
          <w:tcPr>
            <w:tcW w:w="2337" w:type="dxa"/>
            <w:vAlign w:val="bottom"/>
          </w:tcPr>
          <w:p w14:paraId="1A9955BB" w14:textId="77777777" w:rsidR="00B90936" w:rsidRPr="00CB3321" w:rsidRDefault="00B90936" w:rsidP="001515D5">
            <w:r w:rsidRPr="00CB3321">
              <w:t>Hispanic</w:t>
            </w:r>
          </w:p>
        </w:tc>
        <w:tc>
          <w:tcPr>
            <w:tcW w:w="2337" w:type="dxa"/>
            <w:vAlign w:val="bottom"/>
          </w:tcPr>
          <w:p w14:paraId="077AB337" w14:textId="77777777" w:rsidR="00B90936" w:rsidRPr="00CB3321" w:rsidRDefault="00B90936" w:rsidP="001515D5">
            <w:r w:rsidRPr="00CB3321">
              <w:t>23.8%</w:t>
            </w:r>
          </w:p>
        </w:tc>
        <w:tc>
          <w:tcPr>
            <w:tcW w:w="2338" w:type="dxa"/>
            <w:vAlign w:val="bottom"/>
          </w:tcPr>
          <w:p w14:paraId="0939F503" w14:textId="77777777" w:rsidR="00B90936" w:rsidRPr="00CB3321" w:rsidRDefault="00B90936" w:rsidP="001515D5">
            <w:r w:rsidRPr="00CB3321">
              <w:t>24.5%</w:t>
            </w:r>
          </w:p>
        </w:tc>
        <w:tc>
          <w:tcPr>
            <w:tcW w:w="2338" w:type="dxa"/>
            <w:vAlign w:val="bottom"/>
          </w:tcPr>
          <w:p w14:paraId="0F793821" w14:textId="77777777" w:rsidR="00B90936" w:rsidRPr="00CB3321" w:rsidRDefault="00B90936" w:rsidP="001515D5">
            <w:r w:rsidRPr="00CB3321">
              <w:t>14.4%</w:t>
            </w:r>
          </w:p>
        </w:tc>
      </w:tr>
      <w:tr w:rsidR="00B90936" w14:paraId="6853016E" w14:textId="77777777" w:rsidTr="001515D5">
        <w:tc>
          <w:tcPr>
            <w:tcW w:w="2337" w:type="dxa"/>
            <w:vAlign w:val="bottom"/>
          </w:tcPr>
          <w:p w14:paraId="7B23148E" w14:textId="77777777" w:rsidR="00B90936" w:rsidRPr="00CB3321" w:rsidRDefault="00B90936" w:rsidP="001515D5">
            <w:r w:rsidRPr="00CB3321">
              <w:t>Multiracial</w:t>
            </w:r>
          </w:p>
        </w:tc>
        <w:tc>
          <w:tcPr>
            <w:tcW w:w="2337" w:type="dxa"/>
            <w:vAlign w:val="bottom"/>
          </w:tcPr>
          <w:p w14:paraId="0BD8863F" w14:textId="77777777" w:rsidR="00B90936" w:rsidRPr="00CB3321" w:rsidRDefault="00B90936" w:rsidP="001515D5">
            <w:r w:rsidRPr="00CB3321">
              <w:t>36.9%</w:t>
            </w:r>
          </w:p>
        </w:tc>
        <w:tc>
          <w:tcPr>
            <w:tcW w:w="2338" w:type="dxa"/>
            <w:vAlign w:val="bottom"/>
          </w:tcPr>
          <w:p w14:paraId="0CA2DFB4" w14:textId="77777777" w:rsidR="00B90936" w:rsidRPr="00CB3321" w:rsidRDefault="00B90936" w:rsidP="001515D5">
            <w:r w:rsidRPr="00CB3321">
              <w:t>37.5%</w:t>
            </w:r>
          </w:p>
        </w:tc>
        <w:tc>
          <w:tcPr>
            <w:tcW w:w="2338" w:type="dxa"/>
            <w:vAlign w:val="bottom"/>
          </w:tcPr>
          <w:p w14:paraId="5F6CB46F" w14:textId="77777777" w:rsidR="00B90936" w:rsidRPr="00CB3321" w:rsidRDefault="00B90936" w:rsidP="001515D5">
            <w:r w:rsidRPr="00CB3321">
              <w:t>27.2%</w:t>
            </w:r>
          </w:p>
        </w:tc>
      </w:tr>
      <w:tr w:rsidR="00B90936" w14:paraId="669C5E58" w14:textId="77777777" w:rsidTr="001515D5">
        <w:tc>
          <w:tcPr>
            <w:tcW w:w="2337" w:type="dxa"/>
            <w:vAlign w:val="bottom"/>
          </w:tcPr>
          <w:p w14:paraId="536AC382" w14:textId="77777777" w:rsidR="00B90936" w:rsidRPr="00CB3321" w:rsidRDefault="00B90936" w:rsidP="001515D5">
            <w:r w:rsidRPr="00CB3321">
              <w:t>NH/PI</w:t>
            </w:r>
          </w:p>
        </w:tc>
        <w:tc>
          <w:tcPr>
            <w:tcW w:w="2337" w:type="dxa"/>
            <w:vAlign w:val="bottom"/>
          </w:tcPr>
          <w:p w14:paraId="41DB374E" w14:textId="77777777" w:rsidR="00B90936" w:rsidRPr="00CB3321" w:rsidRDefault="00B90936" w:rsidP="001515D5">
            <w:r w:rsidRPr="00CB3321">
              <w:t>27.2%</w:t>
            </w:r>
          </w:p>
        </w:tc>
        <w:tc>
          <w:tcPr>
            <w:tcW w:w="2338" w:type="dxa"/>
            <w:vAlign w:val="bottom"/>
          </w:tcPr>
          <w:p w14:paraId="11E58674" w14:textId="77777777" w:rsidR="00B90936" w:rsidRPr="00CB3321" w:rsidRDefault="00B90936" w:rsidP="001515D5">
            <w:r w:rsidRPr="00CB3321">
              <w:t>20.3%</w:t>
            </w:r>
          </w:p>
        </w:tc>
        <w:tc>
          <w:tcPr>
            <w:tcW w:w="2338" w:type="dxa"/>
            <w:vAlign w:val="bottom"/>
          </w:tcPr>
          <w:p w14:paraId="2D63BED3" w14:textId="77777777" w:rsidR="00B90936" w:rsidRPr="00CB3321" w:rsidRDefault="00B90936" w:rsidP="001515D5">
            <w:r w:rsidRPr="00CB3321">
              <w:t>15.1%</w:t>
            </w:r>
          </w:p>
        </w:tc>
      </w:tr>
      <w:tr w:rsidR="00B90936" w14:paraId="6D6A58A9" w14:textId="77777777" w:rsidTr="001515D5">
        <w:tc>
          <w:tcPr>
            <w:tcW w:w="2337" w:type="dxa"/>
            <w:vAlign w:val="bottom"/>
          </w:tcPr>
          <w:p w14:paraId="17DC50EE" w14:textId="77777777" w:rsidR="00B90936" w:rsidRPr="00CB3321" w:rsidRDefault="00B90936" w:rsidP="001515D5">
            <w:r w:rsidRPr="00CB3321">
              <w:t>White</w:t>
            </w:r>
          </w:p>
        </w:tc>
        <w:tc>
          <w:tcPr>
            <w:tcW w:w="2337" w:type="dxa"/>
            <w:vAlign w:val="bottom"/>
          </w:tcPr>
          <w:p w14:paraId="7A1970B5" w14:textId="77777777" w:rsidR="00B90936" w:rsidRPr="00CB3321" w:rsidRDefault="00B90936" w:rsidP="001515D5">
            <w:r w:rsidRPr="00CB3321">
              <w:t>46.8%</w:t>
            </w:r>
          </w:p>
        </w:tc>
        <w:tc>
          <w:tcPr>
            <w:tcW w:w="2338" w:type="dxa"/>
            <w:vAlign w:val="bottom"/>
          </w:tcPr>
          <w:p w14:paraId="3D05BD13" w14:textId="77777777" w:rsidR="00B90936" w:rsidRPr="00CB3321" w:rsidRDefault="00B90936" w:rsidP="001515D5">
            <w:r w:rsidRPr="00CB3321">
              <w:t>48.4%</w:t>
            </w:r>
          </w:p>
        </w:tc>
        <w:tc>
          <w:tcPr>
            <w:tcW w:w="2338" w:type="dxa"/>
            <w:vAlign w:val="bottom"/>
          </w:tcPr>
          <w:p w14:paraId="20335C58" w14:textId="77777777" w:rsidR="00B90936" w:rsidRPr="00CB3321" w:rsidRDefault="00B90936" w:rsidP="001515D5">
            <w:r w:rsidRPr="00CB3321">
              <w:t>35.2%</w:t>
            </w:r>
          </w:p>
        </w:tc>
      </w:tr>
    </w:tbl>
    <w:p w14:paraId="23D82A2E" w14:textId="77777777" w:rsidR="00B90936" w:rsidRPr="00CB3321" w:rsidRDefault="00B90936" w:rsidP="00B90936">
      <w:r w:rsidRPr="00CB3321">
        <w:t xml:space="preserve">Source: SC Department of Education, Kindergarten Readiness Assessment (KRA). </w:t>
      </w:r>
    </w:p>
    <w:p w14:paraId="36D6F802" w14:textId="77777777" w:rsidR="00B90936" w:rsidRPr="00124A6D" w:rsidRDefault="00B90936" w:rsidP="00B90936">
      <w:r w:rsidRPr="00CB3321">
        <w:t>NH/PI = Native Hawaiian/Pacific Islander.</w:t>
      </w:r>
    </w:p>
    <w:p w14:paraId="6C2467EE" w14:textId="77777777" w:rsidR="00CF1BB1" w:rsidRDefault="00CF1BB1" w:rsidP="00CF1BB1">
      <w:pPr>
        <w:rPr>
          <w:b/>
          <w:bCs/>
        </w:rPr>
      </w:pPr>
    </w:p>
    <w:p w14:paraId="7841226B" w14:textId="77777777" w:rsidR="00CF1BB1" w:rsidRDefault="00CF1BB1" w:rsidP="00CF1BB1">
      <w:pPr>
        <w:pStyle w:val="Heading4"/>
      </w:pPr>
      <w:bookmarkStart w:id="654" w:name="_Toc162267439"/>
      <w:r w:rsidRPr="00CF1BB1">
        <w:t>Data Interpretations:</w:t>
      </w:r>
      <w:bookmarkEnd w:id="654"/>
      <w:r w:rsidRPr="00CF1BB1">
        <w:t xml:space="preserve"> </w:t>
      </w:r>
    </w:p>
    <w:p w14:paraId="7E1E8607" w14:textId="55C11360" w:rsidR="00CF1BB1" w:rsidRPr="00CF1BB1" w:rsidRDefault="00CF1BB1" w:rsidP="00CF1BB1">
      <w:r w:rsidRPr="00CF1BB1">
        <w:t xml:space="preserve">In SC, data show a decline in K-5 readiness between the 2018-2019 and 2020-2021 school years, however, two of these were school years </w:t>
      </w:r>
      <w:r w:rsidR="00B90936" w:rsidRPr="00CF1BB1">
        <w:t>affected</w:t>
      </w:r>
      <w:r w:rsidRPr="00CF1BB1">
        <w:t xml:space="preserve"> by the COVID-19 pandemic (</w:t>
      </w:r>
      <w:r w:rsidRPr="00CF1BB1">
        <w:rPr>
          <w:b/>
          <w:bCs/>
        </w:rPr>
        <w:t>Figure 8.40</w:t>
      </w:r>
      <w:r w:rsidRPr="00CF1BB1">
        <w:t>). The overall readiness for SC children for the 2018-2019 school year was 37.2%, and this declined to 26.8% for the 2020-2021 school year (</w:t>
      </w:r>
      <w:r w:rsidRPr="00CF1BB1">
        <w:rPr>
          <w:b/>
          <w:bCs/>
        </w:rPr>
        <w:t>Figure 8.40</w:t>
      </w:r>
      <w:r w:rsidRPr="00CF1BB1">
        <w:t>). Females demonstrated a higher level of K-5 readiness than males in all three school years, and both genders showed a decline over time (</w:t>
      </w:r>
      <w:r w:rsidRPr="00CF1BB1">
        <w:rPr>
          <w:b/>
          <w:bCs/>
        </w:rPr>
        <w:t>Figure 8.40</w:t>
      </w:r>
      <w:r w:rsidRPr="00CF1BB1">
        <w:t>). The percentage of children in special education who were ready for K-5 was significantly lower than the overall readiness of SC students and declined during the three school years, with the most decline during the school years affected by the pandemic (</w:t>
      </w:r>
      <w:r w:rsidRPr="00CF1BB1">
        <w:rPr>
          <w:b/>
          <w:bCs/>
        </w:rPr>
        <w:t>Figure 8.40</w:t>
      </w:r>
      <w:r w:rsidRPr="00CF1BB1">
        <w:t>).</w:t>
      </w:r>
    </w:p>
    <w:p w14:paraId="1CD47C7E" w14:textId="77777777" w:rsidR="00CF1BB1" w:rsidRDefault="00CF1BB1" w:rsidP="00CF1BB1"/>
    <w:p w14:paraId="7408A829" w14:textId="22A130A9" w:rsidR="00CF1BB1" w:rsidRPr="00CF1BB1" w:rsidRDefault="00CF1BB1" w:rsidP="00CF1BB1">
      <w:r w:rsidRPr="00CF1BB1">
        <w:t>When examining K-5 readiness by race and ethnicity, White and Asian students demonstrate greater levels of readiness, but White students declined more sharply during the school years affected by the pandemic (</w:t>
      </w:r>
      <w:r w:rsidRPr="00CF1BB1">
        <w:rPr>
          <w:b/>
          <w:bCs/>
        </w:rPr>
        <w:t>Figure 8.41</w:t>
      </w:r>
      <w:r w:rsidRPr="00CF1BB1">
        <w:t>). Black and Hispanic students, while demonstrating significant gaps in readiness compared to their White and Asian classmates, had also been increasing in readiness pre-pandemic, but both declined in readiness during the pandemic. Declines were also observed in American Indian/Alaskan Native, Multiracial, and Native Hawaiian/Pacific Islander populations (</w:t>
      </w:r>
      <w:r w:rsidRPr="00CF1BB1">
        <w:rPr>
          <w:b/>
          <w:bCs/>
        </w:rPr>
        <w:t>Figure 8.41</w:t>
      </w:r>
      <w:r w:rsidRPr="00CF1BB1">
        <w:t xml:space="preserve">). </w:t>
      </w:r>
    </w:p>
    <w:p w14:paraId="2E6A8AC4" w14:textId="77777777" w:rsidR="00CF1BB1" w:rsidRDefault="00CF1BB1" w:rsidP="00CF1BB1"/>
    <w:p w14:paraId="07A0E219" w14:textId="46B49619" w:rsidR="00CF1BB1" w:rsidRPr="00CF1BB1" w:rsidRDefault="006D4802" w:rsidP="00CF1BB1">
      <w:r w:rsidRPr="006D4802">
        <w:t>Healthcare providers and organizations that work with families can educate parents and caregivers on the importance of their children being ready to learn in the school environment through</w:t>
      </w:r>
      <w:r w:rsidRPr="006D4802">
        <w:rPr>
          <w:b/>
          <w:bCs/>
        </w:rPr>
        <w:t xml:space="preserve"> </w:t>
      </w:r>
      <w:r w:rsidRPr="006D4802">
        <w:t>promotion of early learning experiences such as reading vocabulary, critical thinking, and a love of learning</w:t>
      </w:r>
      <w:r w:rsidR="00CF1BB1" w:rsidRPr="00CF1BB1">
        <w:t>. While childcare and preschool may provide these opportunities, free and low-cost community activities that promote social skills, motor development and tactile experiences — such as waiting in lines, taking turns, and participation circles — can be found at places such as the zoo, a park playground or a library children’s room. Interaction with siblings, neighbors and family members can foster communication skills and instill curiosity. Healthcare providers can also help the parent understand and monitor for developmental milestones. This can help with early referral to medical and developmental resources to improve outcomes for children who may require special education.</w:t>
      </w:r>
    </w:p>
    <w:p w14:paraId="1A602C3E" w14:textId="77777777" w:rsidR="00CF1BB1" w:rsidRDefault="00CF1BB1" w:rsidP="00CF1BB1"/>
    <w:p w14:paraId="2F38CC37" w14:textId="5F69D3A3" w:rsidR="00CF1BB1" w:rsidRDefault="00CF1BB1" w:rsidP="00CF1BB1">
      <w:pPr>
        <w:pStyle w:val="Heading5"/>
      </w:pPr>
      <w:r>
        <w:t>Key Takeaways:</w:t>
      </w:r>
    </w:p>
    <w:p w14:paraId="22B1A3FA" w14:textId="788F5EE7" w:rsidR="00CF1BB1" w:rsidRPr="00CF1BB1" w:rsidRDefault="00CF1BB1" w:rsidP="00926EB3">
      <w:pPr>
        <w:pStyle w:val="ListParagraph"/>
        <w:numPr>
          <w:ilvl w:val="0"/>
          <w:numId w:val="227"/>
        </w:numPr>
      </w:pPr>
      <w:r w:rsidRPr="00CF1BB1">
        <w:t>In SC, the data demonstrate a decline in K-5 readiness over the three school years examined, two of which were affected by the COVID-19 pandemic.</w:t>
      </w:r>
    </w:p>
    <w:p w14:paraId="38A97A4A" w14:textId="77777777" w:rsidR="00CF1BB1" w:rsidRDefault="00CF1BB1" w:rsidP="00CF1BB1"/>
    <w:p w14:paraId="68F1C4D2" w14:textId="5605E1BB" w:rsidR="00CF1BB1" w:rsidRPr="00CF1BB1" w:rsidRDefault="00506CC7" w:rsidP="00CF1BB1">
      <w:pPr>
        <w:pStyle w:val="Heading4"/>
        <w:rPr>
          <w:rFonts w:asciiTheme="minorHAnsi" w:hAnsiTheme="minorHAnsi" w:cstheme="minorHAnsi"/>
          <w:color w:val="000000" w:themeColor="text1"/>
        </w:rPr>
      </w:pPr>
      <w:bookmarkStart w:id="655" w:name="_Toc162267440"/>
      <w:r w:rsidRPr="00CF1BB1">
        <w:rPr>
          <w:rFonts w:asciiTheme="minorHAnsi" w:hAnsiTheme="minorHAnsi" w:cstheme="minorHAnsi"/>
          <w:color w:val="000000" w:themeColor="text1"/>
        </w:rPr>
        <w:t xml:space="preserve">References </w:t>
      </w:r>
      <w:r w:rsidR="00CF1BB1" w:rsidRPr="00CF1BB1">
        <w:rPr>
          <w:rFonts w:asciiTheme="minorHAnsi" w:hAnsiTheme="minorHAnsi" w:cstheme="minorHAnsi"/>
          <w:color w:val="000000" w:themeColor="text1"/>
        </w:rPr>
        <w:t>8.2</w:t>
      </w:r>
      <w:r w:rsidR="00637B75">
        <w:rPr>
          <w:rFonts w:asciiTheme="minorHAnsi" w:hAnsiTheme="minorHAnsi" w:cstheme="minorHAnsi"/>
          <w:color w:val="000000" w:themeColor="text1"/>
        </w:rPr>
        <w:t>1</w:t>
      </w:r>
      <w:bookmarkEnd w:id="655"/>
    </w:p>
    <w:p w14:paraId="1E1892CB" w14:textId="77777777" w:rsidR="00CF1BB1" w:rsidRPr="00CF1BB1" w:rsidRDefault="00CF1BB1" w:rsidP="00CF1BB1">
      <w:pPr>
        <w:rPr>
          <w:i/>
          <w:iCs/>
        </w:rPr>
      </w:pPr>
      <w:r w:rsidRPr="00CF1BB1">
        <w:t>Statistics in the preceding section were referenced from the following reports:</w:t>
      </w:r>
    </w:p>
    <w:p w14:paraId="506279C9" w14:textId="73EB9B84" w:rsidR="00C65F72" w:rsidRPr="00C65F72" w:rsidRDefault="00000000" w:rsidP="00926EB3">
      <w:pPr>
        <w:pStyle w:val="ListParagraph"/>
        <w:numPr>
          <w:ilvl w:val="0"/>
          <w:numId w:val="35"/>
        </w:numPr>
      </w:pPr>
      <w:hyperlink r:id="rId287" w:history="1">
        <w:r w:rsidR="00C65F72" w:rsidRPr="00C65F72">
          <w:rPr>
            <w:rStyle w:val="Hyperlink"/>
          </w:rPr>
          <w:t>“What is the Kindergarten Readiness Assessment (KRA)? Why is the KRA Important?” via pd.kready.org. Accessed June 22, 2023.</w:t>
        </w:r>
      </w:hyperlink>
      <w:r w:rsidR="00C65F72" w:rsidRPr="00C65F72">
        <w:t xml:space="preserve"> </w:t>
      </w:r>
    </w:p>
    <w:p w14:paraId="6CE7010A" w14:textId="4D1A5122" w:rsidR="00C65F72" w:rsidRPr="00C65F72" w:rsidRDefault="00000000" w:rsidP="00926EB3">
      <w:pPr>
        <w:pStyle w:val="ListParagraph"/>
        <w:numPr>
          <w:ilvl w:val="0"/>
          <w:numId w:val="35"/>
        </w:numPr>
      </w:pPr>
      <w:hyperlink r:id="rId288" w:history="1">
        <w:r w:rsidR="00C65F72" w:rsidRPr="00C65F72">
          <w:rPr>
            <w:rStyle w:val="Hyperlink"/>
          </w:rPr>
          <w:t>“Early Childhood” by JHU School of Education via eduation.jhu.edu. Accessed June 22, 2023.</w:t>
        </w:r>
      </w:hyperlink>
      <w:r w:rsidR="00C65F72" w:rsidRPr="00C65F72">
        <w:t xml:space="preserve"> </w:t>
      </w:r>
    </w:p>
    <w:p w14:paraId="751FC17C" w14:textId="328F0C5D" w:rsidR="00C65F72" w:rsidRPr="00C65F72" w:rsidRDefault="00C65F72" w:rsidP="00926EB3">
      <w:pPr>
        <w:pStyle w:val="ListParagraph"/>
        <w:numPr>
          <w:ilvl w:val="0"/>
          <w:numId w:val="35"/>
        </w:numPr>
      </w:pPr>
      <w:r>
        <w:t>“</w:t>
      </w:r>
      <w:r w:rsidRPr="00C65F72">
        <w:t>South Carolina Kindergarten Readiness Assessment Kindergarten Readiness Assessment</w:t>
      </w:r>
      <w:r>
        <w:t xml:space="preserve">” by the </w:t>
      </w:r>
      <w:r w:rsidRPr="00C65F72">
        <w:t>South Carolina Department of Education.</w:t>
      </w:r>
      <w:r>
        <w:t xml:space="preserve"> No hyperlink.</w:t>
      </w:r>
    </w:p>
    <w:p w14:paraId="5E4E9E9E" w14:textId="392AD53E" w:rsidR="00C65F72" w:rsidRPr="00C65F72" w:rsidRDefault="00000000" w:rsidP="00926EB3">
      <w:pPr>
        <w:pStyle w:val="ListParagraph"/>
        <w:numPr>
          <w:ilvl w:val="0"/>
          <w:numId w:val="35"/>
        </w:numPr>
      </w:pPr>
      <w:hyperlink r:id="rId289" w:history="1">
        <w:r w:rsidR="00C65F72" w:rsidRPr="00C65F72">
          <w:rPr>
            <w:rStyle w:val="Hyperlink"/>
          </w:rPr>
          <w:t>“Resources for Early Childhood Educators” by CDC via cdc.gov. Accessed June 22, 2023.</w:t>
        </w:r>
      </w:hyperlink>
      <w:r w:rsidR="00C65F72" w:rsidRPr="00C65F72">
        <w:t xml:space="preserve"> </w:t>
      </w:r>
    </w:p>
    <w:p w14:paraId="0927F4E2" w14:textId="665AE870" w:rsidR="00C65F72" w:rsidRPr="00C65F72" w:rsidRDefault="00000000" w:rsidP="00926EB3">
      <w:pPr>
        <w:pStyle w:val="ListParagraph"/>
        <w:numPr>
          <w:ilvl w:val="0"/>
          <w:numId w:val="35"/>
        </w:numPr>
      </w:pPr>
      <w:hyperlink r:id="rId290" w:history="1">
        <w:r w:rsidR="00C65F72" w:rsidRPr="00C65F72">
          <w:rPr>
            <w:rStyle w:val="Hyperlink"/>
          </w:rPr>
          <w:t>“Is Your Preschooler Ready for Kindergarten?” by Healthy Children via HealthyChildren.org. Accessed June 22, 2023.</w:t>
        </w:r>
      </w:hyperlink>
      <w:r w:rsidR="00C65F72" w:rsidRPr="00C65F72">
        <w:t xml:space="preserve"> </w:t>
      </w:r>
    </w:p>
    <w:p w14:paraId="13CA9A16" w14:textId="77777777" w:rsidR="00CF1BB1" w:rsidRPr="00CF1BB1" w:rsidRDefault="00CF1BB1" w:rsidP="00CF1BB1"/>
    <w:p w14:paraId="087C7CE1" w14:textId="020E342A" w:rsidR="00CF1BB1" w:rsidRPr="00CF1BB1" w:rsidRDefault="00CF1BB1" w:rsidP="00CF1BB1">
      <w:pPr>
        <w:pStyle w:val="Heading3"/>
      </w:pPr>
      <w:bookmarkStart w:id="656" w:name="_Toc162267441"/>
      <w:r>
        <w:t xml:space="preserve">Healthy Schools: </w:t>
      </w:r>
      <w:r w:rsidRPr="00CF1BB1">
        <w:t>High School Dropout Rates</w:t>
      </w:r>
      <w:bookmarkEnd w:id="656"/>
    </w:p>
    <w:p w14:paraId="18A7FB69" w14:textId="18EF138D" w:rsidR="00CF1BB1" w:rsidRPr="00CF1BB1" w:rsidRDefault="00CF1BB1" w:rsidP="00CF1BB1">
      <w:r w:rsidRPr="00CF1BB1">
        <w:t xml:space="preserve">Historically, high school dropout rates may not have been considered a public health issue, but research has shown that education is one of the greatest predictors of health. Understanding the complex and vast reasons why students </w:t>
      </w:r>
      <w:r w:rsidRPr="00CF1BB1">
        <w:lastRenderedPageBreak/>
        <w:t xml:space="preserve">drop out of high school can inform policy and advocacy. Partnerships between education, health agencies and other organizations are essential to helping young people want to stay in school. Fostering student engagement and making adolescents feel connected to their school and community has been demonstrated to increase the student’s likelihood of graduation. Physical and mental health challenges have been shown to be significant reasons why young people do not stay in school and graduate. Pregnancy is a leading reason why adolescent women leave school and can also affect males who become fathers while still in school. Substance use can also lead to dropping out. Caring for mental illness, either for themselves or for a family member, and dealing with chronic disease are other reasons for leaving school before graduation. Racial and ethnic disparities permeate, even in states with high rates of graduation. Hispanic, Native American, Native Alaskan, and Black students have lower rates of graduation. </w:t>
      </w:r>
    </w:p>
    <w:p w14:paraId="70DA0815" w14:textId="77777777" w:rsidR="00CF1BB1" w:rsidRDefault="00CF1BB1" w:rsidP="00CF1BB1"/>
    <w:p w14:paraId="7E4F99DC" w14:textId="77777777" w:rsidR="00B90936" w:rsidRDefault="00B90936" w:rsidP="00B90936">
      <w:pPr>
        <w:pStyle w:val="Heading4"/>
      </w:pPr>
      <w:bookmarkStart w:id="657" w:name="_Toc154576477"/>
      <w:bookmarkStart w:id="658" w:name="_Toc162267442"/>
      <w:r>
        <w:t>Figure 8.42: High School Dropout, by Selected Characteristics.</w:t>
      </w:r>
      <w:bookmarkEnd w:id="657"/>
      <w:bookmarkEnd w:id="658"/>
    </w:p>
    <w:tbl>
      <w:tblPr>
        <w:tblStyle w:val="TableGrid"/>
        <w:tblW w:w="0" w:type="auto"/>
        <w:tblLook w:val="04A0" w:firstRow="1" w:lastRow="0" w:firstColumn="1" w:lastColumn="0" w:noHBand="0" w:noVBand="1"/>
      </w:tblPr>
      <w:tblGrid>
        <w:gridCol w:w="1765"/>
        <w:gridCol w:w="1172"/>
        <w:gridCol w:w="1267"/>
        <w:gridCol w:w="1885"/>
        <w:gridCol w:w="1325"/>
        <w:gridCol w:w="859"/>
        <w:gridCol w:w="1077"/>
      </w:tblGrid>
      <w:tr w:rsidR="00B90936" w14:paraId="04C512D4" w14:textId="77777777" w:rsidTr="001515D5">
        <w:tc>
          <w:tcPr>
            <w:tcW w:w="1765" w:type="dxa"/>
            <w:vAlign w:val="bottom"/>
          </w:tcPr>
          <w:p w14:paraId="4ECE8C4D" w14:textId="77777777" w:rsidR="00B90936" w:rsidRPr="00CB3321" w:rsidRDefault="00B90936" w:rsidP="001515D5">
            <w:r w:rsidRPr="00CB3321">
              <w:t>Selected Characteristic</w:t>
            </w:r>
          </w:p>
        </w:tc>
        <w:tc>
          <w:tcPr>
            <w:tcW w:w="1172" w:type="dxa"/>
            <w:vAlign w:val="bottom"/>
          </w:tcPr>
          <w:p w14:paraId="64E937B8" w14:textId="77777777" w:rsidR="00B90936" w:rsidRPr="00CB3321" w:rsidRDefault="00B90936" w:rsidP="001515D5">
            <w:r w:rsidRPr="00CB3321">
              <w:t>South Carolina</w:t>
            </w:r>
          </w:p>
        </w:tc>
        <w:tc>
          <w:tcPr>
            <w:tcW w:w="1267" w:type="dxa"/>
            <w:vAlign w:val="bottom"/>
          </w:tcPr>
          <w:p w14:paraId="620B6E33" w14:textId="77777777" w:rsidR="00B90936" w:rsidRPr="00CB3321" w:rsidRDefault="00B90936" w:rsidP="001515D5">
            <w:r w:rsidRPr="00CB3321">
              <w:t>Students Having a Disability</w:t>
            </w:r>
          </w:p>
        </w:tc>
        <w:tc>
          <w:tcPr>
            <w:tcW w:w="1885" w:type="dxa"/>
            <w:vAlign w:val="bottom"/>
          </w:tcPr>
          <w:p w14:paraId="6B8F8AFE" w14:textId="77777777" w:rsidR="00B90936" w:rsidRPr="00CB3321" w:rsidRDefault="00B90936" w:rsidP="001515D5">
            <w:r w:rsidRPr="00CB3321">
              <w:t>Economically Disadvantaged</w:t>
            </w:r>
          </w:p>
        </w:tc>
        <w:tc>
          <w:tcPr>
            <w:tcW w:w="1325" w:type="dxa"/>
            <w:vAlign w:val="bottom"/>
          </w:tcPr>
          <w:p w14:paraId="7CD424C3" w14:textId="77777777" w:rsidR="00B90936" w:rsidRPr="00CB3321" w:rsidRDefault="00B90936" w:rsidP="001515D5">
            <w:r w:rsidRPr="00CB3321">
              <w:t>Homeless</w:t>
            </w:r>
          </w:p>
        </w:tc>
        <w:tc>
          <w:tcPr>
            <w:tcW w:w="859" w:type="dxa"/>
            <w:vAlign w:val="bottom"/>
          </w:tcPr>
          <w:p w14:paraId="71933BA8" w14:textId="77777777" w:rsidR="00B90936" w:rsidRPr="00CB3321" w:rsidRDefault="00B90936" w:rsidP="001515D5">
            <w:r w:rsidRPr="00CB3321">
              <w:t>Male</w:t>
            </w:r>
          </w:p>
        </w:tc>
        <w:tc>
          <w:tcPr>
            <w:tcW w:w="1077" w:type="dxa"/>
            <w:vAlign w:val="bottom"/>
          </w:tcPr>
          <w:p w14:paraId="38648EBF" w14:textId="77777777" w:rsidR="00B90936" w:rsidRPr="00CB3321" w:rsidRDefault="00B90936" w:rsidP="001515D5">
            <w:r w:rsidRPr="00CB3321">
              <w:t>Female</w:t>
            </w:r>
          </w:p>
        </w:tc>
      </w:tr>
      <w:tr w:rsidR="00B90936" w14:paraId="17209A63" w14:textId="77777777" w:rsidTr="001515D5">
        <w:tc>
          <w:tcPr>
            <w:tcW w:w="1765" w:type="dxa"/>
            <w:vAlign w:val="bottom"/>
          </w:tcPr>
          <w:p w14:paraId="176FEF8A" w14:textId="77777777" w:rsidR="00B90936" w:rsidRPr="00CB3321" w:rsidRDefault="00B90936" w:rsidP="001515D5">
            <w:r>
              <w:t>Percent</w:t>
            </w:r>
          </w:p>
        </w:tc>
        <w:tc>
          <w:tcPr>
            <w:tcW w:w="1172" w:type="dxa"/>
          </w:tcPr>
          <w:p w14:paraId="3C452E2A" w14:textId="77777777" w:rsidR="00B90936" w:rsidRPr="00CB3321" w:rsidRDefault="00B90936" w:rsidP="001515D5">
            <w:r w:rsidRPr="00CB3321">
              <w:t>2.4%</w:t>
            </w:r>
          </w:p>
        </w:tc>
        <w:tc>
          <w:tcPr>
            <w:tcW w:w="1267" w:type="dxa"/>
          </w:tcPr>
          <w:p w14:paraId="4508E177" w14:textId="77777777" w:rsidR="00B90936" w:rsidRPr="00CB3321" w:rsidRDefault="00B90936" w:rsidP="001515D5">
            <w:r w:rsidRPr="00CB3321">
              <w:t>4.7%</w:t>
            </w:r>
          </w:p>
        </w:tc>
        <w:tc>
          <w:tcPr>
            <w:tcW w:w="1885" w:type="dxa"/>
          </w:tcPr>
          <w:p w14:paraId="00BE74C4" w14:textId="77777777" w:rsidR="00B90936" w:rsidRPr="00CB3321" w:rsidRDefault="00B90936" w:rsidP="001515D5">
            <w:r w:rsidRPr="00CB3321">
              <w:t>3.4%</w:t>
            </w:r>
          </w:p>
        </w:tc>
        <w:tc>
          <w:tcPr>
            <w:tcW w:w="1325" w:type="dxa"/>
          </w:tcPr>
          <w:p w14:paraId="25923136" w14:textId="77777777" w:rsidR="00B90936" w:rsidRPr="00CB3321" w:rsidRDefault="00B90936" w:rsidP="001515D5">
            <w:r w:rsidRPr="00CB3321">
              <w:t>11.6%</w:t>
            </w:r>
          </w:p>
        </w:tc>
        <w:tc>
          <w:tcPr>
            <w:tcW w:w="859" w:type="dxa"/>
          </w:tcPr>
          <w:p w14:paraId="7476AC52" w14:textId="77777777" w:rsidR="00B90936" w:rsidRPr="00CB3321" w:rsidRDefault="00B90936" w:rsidP="001515D5">
            <w:r w:rsidRPr="00CB3321">
              <w:t>3.0%</w:t>
            </w:r>
          </w:p>
        </w:tc>
        <w:tc>
          <w:tcPr>
            <w:tcW w:w="1077" w:type="dxa"/>
          </w:tcPr>
          <w:p w14:paraId="07BDCAFA" w14:textId="77777777" w:rsidR="00B90936" w:rsidRPr="00CB3321" w:rsidRDefault="00B90936" w:rsidP="001515D5">
            <w:r w:rsidRPr="00CB3321">
              <w:t>1.9%</w:t>
            </w:r>
          </w:p>
        </w:tc>
      </w:tr>
    </w:tbl>
    <w:p w14:paraId="58CF78F7" w14:textId="77777777" w:rsidR="00B90936" w:rsidRDefault="00B90936" w:rsidP="00B90936">
      <w:r w:rsidRPr="00CB3321">
        <w:t>Source: SC Department of Education 2020- 2021.</w:t>
      </w:r>
    </w:p>
    <w:p w14:paraId="75C0004A" w14:textId="77777777" w:rsidR="00CF1BB1" w:rsidRDefault="00CF1BB1" w:rsidP="00CF1BB1"/>
    <w:p w14:paraId="30405A7D" w14:textId="77777777" w:rsidR="00CF1BB1" w:rsidRDefault="00CF1BB1" w:rsidP="00CF1BB1">
      <w:pPr>
        <w:pStyle w:val="Heading4"/>
      </w:pPr>
      <w:bookmarkStart w:id="659" w:name="_Toc162267443"/>
      <w:r w:rsidRPr="00CF1BB1">
        <w:t>Data Interpretations:</w:t>
      </w:r>
      <w:bookmarkEnd w:id="659"/>
      <w:r w:rsidRPr="00CF1BB1">
        <w:t xml:space="preserve"> </w:t>
      </w:r>
    </w:p>
    <w:p w14:paraId="5E3671DB" w14:textId="7B922272" w:rsidR="00CF1BB1" w:rsidRPr="00CF1BB1" w:rsidRDefault="00CF1BB1" w:rsidP="00CF1BB1">
      <w:r w:rsidRPr="00CF1BB1">
        <w:t>In SC the overall dropout rate, or the rate of students who drop out from school during a calendar year while enrolled in grades 9-12, was 2.4% in 2020-2021 (</w:t>
      </w:r>
      <w:r w:rsidRPr="00CA3B89">
        <w:rPr>
          <w:b/>
          <w:bCs/>
        </w:rPr>
        <w:t>Figure 8.42</w:t>
      </w:r>
      <w:r w:rsidRPr="00CF1BB1">
        <w:t>). Male students are more likely to drop out than female students, and the risk factor associated with the highest dropout rate was homelessness (</w:t>
      </w:r>
      <w:r w:rsidRPr="00CF1BB1">
        <w:rPr>
          <w:b/>
          <w:bCs/>
        </w:rPr>
        <w:t>Figure 8.42</w:t>
      </w:r>
      <w:r w:rsidRPr="00CF1BB1">
        <w:t>). Other factors that significantly affected the dropout rate for students included economic disadvantages and disabilities (</w:t>
      </w:r>
      <w:r w:rsidRPr="00CF1BB1">
        <w:rPr>
          <w:b/>
          <w:bCs/>
        </w:rPr>
        <w:t>Figure 8.42</w:t>
      </w:r>
      <w:r w:rsidRPr="00CF1BB1">
        <w:t xml:space="preserve">). </w:t>
      </w:r>
    </w:p>
    <w:p w14:paraId="06E562E8" w14:textId="25E6A8B1" w:rsidR="00CF1BB1" w:rsidRDefault="00CF1BB1" w:rsidP="00CF1BB1">
      <w:r w:rsidRPr="00CF1BB1">
        <w:t xml:space="preserve">It is essential to bridge the gaps between those students who make it to graduation and those who do not. Cultural competence and programming that engage more students — such as career training, better college preparation, and identifying and working collaboratively to resolve disparities that result in homelessness and economic disadvantage — can improve opportunities for students to stay in school and graduate. Most students in SC who drop out do so in their 9th grade year, which means that we need to initiate these programs while students are in elementary and middle school. We must also engage their </w:t>
      </w:r>
      <w:r w:rsidRPr="00CF1BB1">
        <w:lastRenderedPageBreak/>
        <w:t>families and caregivers to increase their vision of the importance and value of education and the opportunities it provides.</w:t>
      </w:r>
    </w:p>
    <w:p w14:paraId="66A326E0" w14:textId="2489D7B5" w:rsidR="00CF1BB1" w:rsidRDefault="00CF1BB1" w:rsidP="00CF1BB1">
      <w:pPr>
        <w:pStyle w:val="Heading5"/>
      </w:pPr>
      <w:r>
        <w:t>Key Takeaways:</w:t>
      </w:r>
    </w:p>
    <w:p w14:paraId="7D8F4093" w14:textId="77777777" w:rsidR="00CF1BB1" w:rsidRPr="00CF1BB1" w:rsidRDefault="00CF1BB1" w:rsidP="00926EB3">
      <w:pPr>
        <w:pStyle w:val="ListParagraph"/>
        <w:numPr>
          <w:ilvl w:val="0"/>
          <w:numId w:val="227"/>
        </w:numPr>
      </w:pPr>
      <w:r w:rsidRPr="00CF1BB1">
        <w:t>Pregnancy is a leading reason why adolescent females leave school and can also affect parenting young males.</w:t>
      </w:r>
    </w:p>
    <w:p w14:paraId="59E388BB" w14:textId="77777777" w:rsidR="00CF1BB1" w:rsidRDefault="00CF1BB1" w:rsidP="00CF1BB1"/>
    <w:p w14:paraId="5C62210C" w14:textId="002F0FF4" w:rsidR="00CF1BB1" w:rsidRPr="00CF1BB1" w:rsidRDefault="00CF1BB1" w:rsidP="00CF1BB1">
      <w:pPr>
        <w:pStyle w:val="Heading3"/>
      </w:pPr>
      <w:bookmarkStart w:id="660" w:name="_Toc162267444"/>
      <w:r>
        <w:t xml:space="preserve">Healthy Schools: </w:t>
      </w:r>
      <w:r w:rsidRPr="00CF1BB1">
        <w:t>High School Graduation</w:t>
      </w:r>
      <w:bookmarkEnd w:id="660"/>
    </w:p>
    <w:p w14:paraId="705359D1" w14:textId="3AB0730A" w:rsidR="00CF1BB1" w:rsidRPr="00CF1BB1" w:rsidRDefault="00CF1BB1" w:rsidP="00CF1BB1">
      <w:r w:rsidRPr="00CF1BB1">
        <w:t>Many of the reasons why graduating from high school can contribute to good health are obvious. Higher levels of education can lead to better jobs, higher income, further education, health insurance and funds to pay for health care, ability to live in safer neighborhoods with green spaces for play and exercise, and access to healthy foods. Alternatively, those with less education are more likely to engage in risky behaviors, which can negatively affect their health and safety.</w:t>
      </w:r>
      <w:r>
        <w:rPr>
          <w:b/>
          <w:bCs/>
        </w:rPr>
        <w:t xml:space="preserve"> </w:t>
      </w:r>
      <w:r w:rsidRPr="00CF1BB1">
        <w:t xml:space="preserve">Bringing public health and education leaders together to address improving graduation rates has the potential to provide long-term health benefits for the residents of SC. </w:t>
      </w:r>
    </w:p>
    <w:p w14:paraId="0F99519B" w14:textId="77777777" w:rsidR="00CF1BB1" w:rsidRDefault="00CF1BB1" w:rsidP="00CF1BB1"/>
    <w:p w14:paraId="11172983" w14:textId="52B1F1E2" w:rsidR="00CF1BB1" w:rsidRPr="00CF1BB1" w:rsidRDefault="00CF1BB1" w:rsidP="00CF1BB1">
      <w:r w:rsidRPr="00CF1BB1">
        <w:t xml:space="preserve">Programs that urge young people to seek higher levels of education, gain workplace skills and live healthier lifestyles should be prioritized </w:t>
      </w:r>
      <w:proofErr w:type="gramStart"/>
      <w:r w:rsidRPr="00CF1BB1">
        <w:t>in order to</w:t>
      </w:r>
      <w:proofErr w:type="gramEnd"/>
      <w:r w:rsidRPr="00CF1BB1">
        <w:t xml:space="preserve"> increase graduation rates. Support systems for students who face mental illness, chronic disease and nutritional challenges should be developed to reduce barriers to success. Engaging families and caregivers can provide additional insight into what can help students graduate. Students who may not be able to graduate in four years may benefit from extended graduation options that allow them to continue in high school to help them graduate.</w:t>
      </w:r>
    </w:p>
    <w:p w14:paraId="2E5C829F" w14:textId="77777777" w:rsidR="00CF1BB1" w:rsidRDefault="00CF1BB1" w:rsidP="00CF1BB1"/>
    <w:p w14:paraId="39BDD900" w14:textId="77777777" w:rsidR="00B90936" w:rsidRDefault="00B90936" w:rsidP="00B90936">
      <w:pPr>
        <w:pStyle w:val="Heading4"/>
      </w:pPr>
      <w:bookmarkStart w:id="661" w:name="_Toc154576478"/>
      <w:bookmarkStart w:id="662" w:name="_Toc162267445"/>
      <w:r>
        <w:t>Figure 8.43: High School Graduation, Overall and by Disability Status.</w:t>
      </w:r>
      <w:bookmarkEnd w:id="661"/>
      <w:bookmarkEnd w:id="662"/>
    </w:p>
    <w:tbl>
      <w:tblPr>
        <w:tblStyle w:val="TableGrid"/>
        <w:tblW w:w="0" w:type="auto"/>
        <w:tblLook w:val="04A0" w:firstRow="1" w:lastRow="0" w:firstColumn="1" w:lastColumn="0" w:noHBand="0" w:noVBand="1"/>
      </w:tblPr>
      <w:tblGrid>
        <w:gridCol w:w="2337"/>
        <w:gridCol w:w="2337"/>
        <w:gridCol w:w="2338"/>
        <w:gridCol w:w="2338"/>
      </w:tblGrid>
      <w:tr w:rsidR="00B90936" w14:paraId="19740E5C" w14:textId="77777777" w:rsidTr="001515D5">
        <w:tc>
          <w:tcPr>
            <w:tcW w:w="2337" w:type="dxa"/>
            <w:vAlign w:val="bottom"/>
          </w:tcPr>
          <w:p w14:paraId="433A9D9B" w14:textId="77777777" w:rsidR="00B90936" w:rsidRPr="00CB3321" w:rsidRDefault="00B90936" w:rsidP="001515D5">
            <w:r w:rsidRPr="00CB3321">
              <w:t>Year</w:t>
            </w:r>
          </w:p>
        </w:tc>
        <w:tc>
          <w:tcPr>
            <w:tcW w:w="2337" w:type="dxa"/>
            <w:vAlign w:val="bottom"/>
          </w:tcPr>
          <w:p w14:paraId="3ABD1D86" w14:textId="77777777" w:rsidR="00B90936" w:rsidRPr="00CB3321" w:rsidRDefault="00B90936" w:rsidP="001515D5">
            <w:r w:rsidRPr="00CB3321">
              <w:t>South Carolina</w:t>
            </w:r>
          </w:p>
        </w:tc>
        <w:tc>
          <w:tcPr>
            <w:tcW w:w="2338" w:type="dxa"/>
            <w:vAlign w:val="bottom"/>
          </w:tcPr>
          <w:p w14:paraId="04226BD5" w14:textId="77777777" w:rsidR="00B90936" w:rsidRPr="00CB3321" w:rsidRDefault="00B90936" w:rsidP="001515D5">
            <w:r w:rsidRPr="00CB3321">
              <w:t>Students Having a Disability</w:t>
            </w:r>
          </w:p>
        </w:tc>
        <w:tc>
          <w:tcPr>
            <w:tcW w:w="2338" w:type="dxa"/>
            <w:vAlign w:val="bottom"/>
          </w:tcPr>
          <w:p w14:paraId="378F8F2A" w14:textId="77777777" w:rsidR="00B90936" w:rsidRPr="00CB3321" w:rsidRDefault="00B90936" w:rsidP="001515D5">
            <w:r w:rsidRPr="00CB3321">
              <w:t>Students Not Having a Disability</w:t>
            </w:r>
          </w:p>
        </w:tc>
      </w:tr>
      <w:tr w:rsidR="00B90936" w14:paraId="2598A650" w14:textId="77777777" w:rsidTr="001515D5">
        <w:tc>
          <w:tcPr>
            <w:tcW w:w="2337" w:type="dxa"/>
            <w:vAlign w:val="bottom"/>
          </w:tcPr>
          <w:p w14:paraId="14579992" w14:textId="77777777" w:rsidR="00B90936" w:rsidRPr="00CB3321" w:rsidRDefault="00B90936" w:rsidP="001515D5">
            <w:r w:rsidRPr="00CB3321">
              <w:t>2017-2018</w:t>
            </w:r>
          </w:p>
        </w:tc>
        <w:tc>
          <w:tcPr>
            <w:tcW w:w="2337" w:type="dxa"/>
            <w:vAlign w:val="bottom"/>
          </w:tcPr>
          <w:p w14:paraId="7FAB27B7" w14:textId="77777777" w:rsidR="00B90936" w:rsidRPr="00CB3321" w:rsidRDefault="00B90936" w:rsidP="001515D5">
            <w:r w:rsidRPr="00CB3321">
              <w:t>81.0%</w:t>
            </w:r>
          </w:p>
        </w:tc>
        <w:tc>
          <w:tcPr>
            <w:tcW w:w="2338" w:type="dxa"/>
            <w:vAlign w:val="bottom"/>
          </w:tcPr>
          <w:p w14:paraId="641F81BA" w14:textId="77777777" w:rsidR="00B90936" w:rsidRPr="00CB3321" w:rsidRDefault="00B90936" w:rsidP="001515D5">
            <w:r w:rsidRPr="00CB3321">
              <w:t>52.1%</w:t>
            </w:r>
          </w:p>
        </w:tc>
        <w:tc>
          <w:tcPr>
            <w:tcW w:w="2338" w:type="dxa"/>
            <w:vAlign w:val="bottom"/>
          </w:tcPr>
          <w:p w14:paraId="27C0AC24" w14:textId="77777777" w:rsidR="00B90936" w:rsidRPr="00CB3321" w:rsidRDefault="00B90936" w:rsidP="001515D5">
            <w:r w:rsidRPr="00CB3321">
              <w:t>85.2%</w:t>
            </w:r>
          </w:p>
        </w:tc>
      </w:tr>
      <w:tr w:rsidR="00B90936" w14:paraId="45E5B54B" w14:textId="77777777" w:rsidTr="001515D5">
        <w:tc>
          <w:tcPr>
            <w:tcW w:w="2337" w:type="dxa"/>
            <w:vAlign w:val="bottom"/>
          </w:tcPr>
          <w:p w14:paraId="6C311E9B" w14:textId="77777777" w:rsidR="00B90936" w:rsidRPr="00CB3321" w:rsidRDefault="00B90936" w:rsidP="001515D5">
            <w:r w:rsidRPr="00CB3321">
              <w:t>2018-2019</w:t>
            </w:r>
          </w:p>
        </w:tc>
        <w:tc>
          <w:tcPr>
            <w:tcW w:w="2337" w:type="dxa"/>
            <w:vAlign w:val="bottom"/>
          </w:tcPr>
          <w:p w14:paraId="33700E74" w14:textId="77777777" w:rsidR="00B90936" w:rsidRPr="00CB3321" w:rsidRDefault="00B90936" w:rsidP="001515D5">
            <w:r w:rsidRPr="00CB3321">
              <w:t>81.1%</w:t>
            </w:r>
          </w:p>
        </w:tc>
        <w:tc>
          <w:tcPr>
            <w:tcW w:w="2338" w:type="dxa"/>
            <w:vAlign w:val="bottom"/>
          </w:tcPr>
          <w:p w14:paraId="6CE7526D" w14:textId="77777777" w:rsidR="00B90936" w:rsidRPr="00CB3321" w:rsidRDefault="00B90936" w:rsidP="001515D5">
            <w:r w:rsidRPr="00CB3321">
              <w:t>54.8%</w:t>
            </w:r>
          </w:p>
        </w:tc>
        <w:tc>
          <w:tcPr>
            <w:tcW w:w="2338" w:type="dxa"/>
            <w:vAlign w:val="bottom"/>
          </w:tcPr>
          <w:p w14:paraId="01521B15" w14:textId="77777777" w:rsidR="00B90936" w:rsidRPr="00CB3321" w:rsidRDefault="00B90936" w:rsidP="001515D5">
            <w:r w:rsidRPr="00CB3321">
              <w:t>85.0%</w:t>
            </w:r>
          </w:p>
        </w:tc>
      </w:tr>
      <w:tr w:rsidR="00B90936" w14:paraId="16B0588F" w14:textId="77777777" w:rsidTr="001515D5">
        <w:tc>
          <w:tcPr>
            <w:tcW w:w="2337" w:type="dxa"/>
            <w:vAlign w:val="bottom"/>
          </w:tcPr>
          <w:p w14:paraId="1868CEB9" w14:textId="77777777" w:rsidR="00B90936" w:rsidRPr="00CB3321" w:rsidRDefault="00B90936" w:rsidP="001515D5">
            <w:r w:rsidRPr="00CB3321">
              <w:t>2019-2020</w:t>
            </w:r>
          </w:p>
        </w:tc>
        <w:tc>
          <w:tcPr>
            <w:tcW w:w="2337" w:type="dxa"/>
            <w:vAlign w:val="bottom"/>
          </w:tcPr>
          <w:p w14:paraId="07CF514C" w14:textId="77777777" w:rsidR="00B90936" w:rsidRPr="00CB3321" w:rsidRDefault="00B90936" w:rsidP="001515D5">
            <w:r w:rsidRPr="00CB3321">
              <w:t>82.2%</w:t>
            </w:r>
          </w:p>
        </w:tc>
        <w:tc>
          <w:tcPr>
            <w:tcW w:w="2338" w:type="dxa"/>
            <w:vAlign w:val="bottom"/>
          </w:tcPr>
          <w:p w14:paraId="376E8C07" w14:textId="77777777" w:rsidR="00B90936" w:rsidRPr="00CB3321" w:rsidRDefault="00B90936" w:rsidP="001515D5">
            <w:r w:rsidRPr="00CB3321">
              <w:t>55.8%</w:t>
            </w:r>
          </w:p>
        </w:tc>
        <w:tc>
          <w:tcPr>
            <w:tcW w:w="2338" w:type="dxa"/>
            <w:vAlign w:val="bottom"/>
          </w:tcPr>
          <w:p w14:paraId="26FEC3F5" w14:textId="77777777" w:rsidR="00B90936" w:rsidRPr="00CB3321" w:rsidRDefault="00B90936" w:rsidP="001515D5">
            <w:r w:rsidRPr="00CB3321">
              <w:t>86.1%</w:t>
            </w:r>
          </w:p>
        </w:tc>
      </w:tr>
      <w:tr w:rsidR="00B90936" w14:paraId="26416710" w14:textId="77777777" w:rsidTr="001515D5">
        <w:tc>
          <w:tcPr>
            <w:tcW w:w="2337" w:type="dxa"/>
            <w:vAlign w:val="bottom"/>
          </w:tcPr>
          <w:p w14:paraId="06423587" w14:textId="77777777" w:rsidR="00B90936" w:rsidRPr="00CB3321" w:rsidRDefault="00B90936" w:rsidP="001515D5">
            <w:r w:rsidRPr="00CB3321">
              <w:t>2020-2021</w:t>
            </w:r>
          </w:p>
        </w:tc>
        <w:tc>
          <w:tcPr>
            <w:tcW w:w="2337" w:type="dxa"/>
            <w:vAlign w:val="bottom"/>
          </w:tcPr>
          <w:p w14:paraId="350C2BC6" w14:textId="77777777" w:rsidR="00B90936" w:rsidRPr="00CB3321" w:rsidRDefault="00B90936" w:rsidP="001515D5">
            <w:r w:rsidRPr="00CB3321">
              <w:t>83.3%</w:t>
            </w:r>
          </w:p>
        </w:tc>
        <w:tc>
          <w:tcPr>
            <w:tcW w:w="2338" w:type="dxa"/>
            <w:vAlign w:val="bottom"/>
          </w:tcPr>
          <w:p w14:paraId="2EF81975" w14:textId="77777777" w:rsidR="00B90936" w:rsidRPr="00CB3321" w:rsidRDefault="00B90936" w:rsidP="001515D5">
            <w:r w:rsidRPr="00CB3321">
              <w:t>56.6%</w:t>
            </w:r>
          </w:p>
        </w:tc>
        <w:tc>
          <w:tcPr>
            <w:tcW w:w="2338" w:type="dxa"/>
            <w:vAlign w:val="bottom"/>
          </w:tcPr>
          <w:p w14:paraId="7EF55EC3" w14:textId="77777777" w:rsidR="00B90936" w:rsidRPr="00CB3321" w:rsidRDefault="00B90936" w:rsidP="001515D5">
            <w:r w:rsidRPr="00CB3321">
              <w:t>87.4%</w:t>
            </w:r>
          </w:p>
        </w:tc>
      </w:tr>
    </w:tbl>
    <w:p w14:paraId="361B8CD5" w14:textId="77777777" w:rsidR="00B90936" w:rsidRDefault="00B90936" w:rsidP="00B90936">
      <w:r w:rsidRPr="00CB3321">
        <w:t>Source: SC Department of Education 2020- 2021.</w:t>
      </w:r>
    </w:p>
    <w:p w14:paraId="586E1CED" w14:textId="77777777" w:rsidR="00B90936" w:rsidRPr="00CB3321" w:rsidRDefault="00B90936" w:rsidP="00B90936"/>
    <w:p w14:paraId="59F68DCF" w14:textId="77777777" w:rsidR="00B90936" w:rsidRDefault="00B90936" w:rsidP="00B90936">
      <w:pPr>
        <w:pStyle w:val="Heading4"/>
      </w:pPr>
      <w:bookmarkStart w:id="663" w:name="_Toc154576479"/>
      <w:bookmarkStart w:id="664" w:name="_Toc162267446"/>
      <w:r>
        <w:lastRenderedPageBreak/>
        <w:t>Figure 8.44: High School Graduation, by Race/Ethnicity.</w:t>
      </w:r>
      <w:bookmarkEnd w:id="663"/>
      <w:bookmarkEnd w:id="664"/>
    </w:p>
    <w:tbl>
      <w:tblPr>
        <w:tblStyle w:val="TableGrid"/>
        <w:tblW w:w="0" w:type="auto"/>
        <w:tblLook w:val="04A0" w:firstRow="1" w:lastRow="0" w:firstColumn="1" w:lastColumn="0" w:noHBand="0" w:noVBand="1"/>
      </w:tblPr>
      <w:tblGrid>
        <w:gridCol w:w="1530"/>
        <w:gridCol w:w="1532"/>
        <w:gridCol w:w="1532"/>
        <w:gridCol w:w="1543"/>
        <w:gridCol w:w="1549"/>
        <w:gridCol w:w="1664"/>
      </w:tblGrid>
      <w:tr w:rsidR="00B90936" w14:paraId="7A0FBBEA" w14:textId="77777777" w:rsidTr="001515D5">
        <w:tc>
          <w:tcPr>
            <w:tcW w:w="1530" w:type="dxa"/>
            <w:vAlign w:val="bottom"/>
          </w:tcPr>
          <w:p w14:paraId="62AB3482" w14:textId="77777777" w:rsidR="00B90936" w:rsidRPr="00CB3321" w:rsidRDefault="00B90936" w:rsidP="001515D5">
            <w:r w:rsidRPr="00CB3321">
              <w:t>Year</w:t>
            </w:r>
          </w:p>
        </w:tc>
        <w:tc>
          <w:tcPr>
            <w:tcW w:w="1532" w:type="dxa"/>
            <w:vAlign w:val="bottom"/>
          </w:tcPr>
          <w:p w14:paraId="5D0A5829" w14:textId="77777777" w:rsidR="00B90936" w:rsidRPr="00CB3321" w:rsidRDefault="00B90936" w:rsidP="001515D5">
            <w:r w:rsidRPr="00CB3321">
              <w:t>White</w:t>
            </w:r>
          </w:p>
        </w:tc>
        <w:tc>
          <w:tcPr>
            <w:tcW w:w="1532" w:type="dxa"/>
            <w:vAlign w:val="bottom"/>
          </w:tcPr>
          <w:p w14:paraId="70E4FD2D" w14:textId="77777777" w:rsidR="00B90936" w:rsidRPr="00CB3321" w:rsidRDefault="00B90936" w:rsidP="001515D5">
            <w:r w:rsidRPr="00CB3321">
              <w:t>Black</w:t>
            </w:r>
          </w:p>
        </w:tc>
        <w:tc>
          <w:tcPr>
            <w:tcW w:w="1543" w:type="dxa"/>
            <w:vAlign w:val="bottom"/>
          </w:tcPr>
          <w:p w14:paraId="1BD190D9" w14:textId="77777777" w:rsidR="00B90936" w:rsidRPr="00CB3321" w:rsidRDefault="00B90936" w:rsidP="001515D5">
            <w:r w:rsidRPr="00CB3321">
              <w:t>Hispanic</w:t>
            </w:r>
          </w:p>
        </w:tc>
        <w:tc>
          <w:tcPr>
            <w:tcW w:w="1549" w:type="dxa"/>
            <w:vAlign w:val="bottom"/>
          </w:tcPr>
          <w:p w14:paraId="51AEA514" w14:textId="77777777" w:rsidR="00B90936" w:rsidRPr="00CB3321" w:rsidRDefault="00B90936" w:rsidP="001515D5">
            <w:r w:rsidRPr="00CB3321">
              <w:t>American Indian</w:t>
            </w:r>
          </w:p>
        </w:tc>
        <w:tc>
          <w:tcPr>
            <w:tcW w:w="1664" w:type="dxa"/>
            <w:vAlign w:val="bottom"/>
          </w:tcPr>
          <w:p w14:paraId="33FFDEB6" w14:textId="77777777" w:rsidR="00B90936" w:rsidRPr="00CB3321" w:rsidRDefault="00B90936" w:rsidP="001515D5">
            <w:r w:rsidRPr="00CB3321">
              <w:t>Asian/Pacific Islander</w:t>
            </w:r>
          </w:p>
        </w:tc>
      </w:tr>
      <w:tr w:rsidR="00B90936" w14:paraId="16E3EBB3" w14:textId="77777777" w:rsidTr="001515D5">
        <w:tc>
          <w:tcPr>
            <w:tcW w:w="1530" w:type="dxa"/>
            <w:vAlign w:val="bottom"/>
          </w:tcPr>
          <w:p w14:paraId="48A8EB01" w14:textId="77777777" w:rsidR="00B90936" w:rsidRPr="00CB3321" w:rsidRDefault="00B90936" w:rsidP="001515D5">
            <w:r w:rsidRPr="00CB3321">
              <w:t>2017-2018</w:t>
            </w:r>
          </w:p>
        </w:tc>
        <w:tc>
          <w:tcPr>
            <w:tcW w:w="1532" w:type="dxa"/>
            <w:vAlign w:val="bottom"/>
          </w:tcPr>
          <w:p w14:paraId="134C6DE4" w14:textId="77777777" w:rsidR="00B90936" w:rsidRPr="00CB3321" w:rsidRDefault="00B90936" w:rsidP="001515D5">
            <w:r w:rsidRPr="00CB3321">
              <w:t>83.6%</w:t>
            </w:r>
          </w:p>
        </w:tc>
        <w:tc>
          <w:tcPr>
            <w:tcW w:w="1532" w:type="dxa"/>
            <w:vAlign w:val="bottom"/>
          </w:tcPr>
          <w:p w14:paraId="76208636" w14:textId="77777777" w:rsidR="00B90936" w:rsidRPr="00CB3321" w:rsidRDefault="00B90936" w:rsidP="001515D5">
            <w:r w:rsidRPr="00CB3321">
              <w:t>76.9%</w:t>
            </w:r>
          </w:p>
        </w:tc>
        <w:tc>
          <w:tcPr>
            <w:tcW w:w="1543" w:type="dxa"/>
            <w:vAlign w:val="bottom"/>
          </w:tcPr>
          <w:p w14:paraId="58C9C345" w14:textId="77777777" w:rsidR="00B90936" w:rsidRPr="00CB3321" w:rsidRDefault="00B90936" w:rsidP="001515D5">
            <w:r w:rsidRPr="00CB3321">
              <w:t>80.5%</w:t>
            </w:r>
          </w:p>
        </w:tc>
        <w:tc>
          <w:tcPr>
            <w:tcW w:w="1549" w:type="dxa"/>
            <w:vAlign w:val="bottom"/>
          </w:tcPr>
          <w:p w14:paraId="4F551F6F" w14:textId="77777777" w:rsidR="00B90936" w:rsidRPr="00CB3321" w:rsidRDefault="00B90936" w:rsidP="001515D5">
            <w:r w:rsidRPr="00CB3321">
              <w:t>73.1%</w:t>
            </w:r>
          </w:p>
        </w:tc>
        <w:tc>
          <w:tcPr>
            <w:tcW w:w="1664" w:type="dxa"/>
            <w:vAlign w:val="bottom"/>
          </w:tcPr>
          <w:p w14:paraId="0FA3B859" w14:textId="77777777" w:rsidR="00B90936" w:rsidRPr="00CB3321" w:rsidRDefault="00B90936" w:rsidP="001515D5">
            <w:r w:rsidRPr="00CB3321">
              <w:t>92.3%</w:t>
            </w:r>
          </w:p>
        </w:tc>
      </w:tr>
      <w:tr w:rsidR="00B90936" w14:paraId="4FE5BE3C" w14:textId="77777777" w:rsidTr="001515D5">
        <w:tc>
          <w:tcPr>
            <w:tcW w:w="1530" w:type="dxa"/>
            <w:vAlign w:val="bottom"/>
          </w:tcPr>
          <w:p w14:paraId="40D602CD" w14:textId="77777777" w:rsidR="00B90936" w:rsidRPr="00CB3321" w:rsidRDefault="00B90936" w:rsidP="001515D5">
            <w:r w:rsidRPr="00CB3321">
              <w:t>2018-2019</w:t>
            </w:r>
          </w:p>
        </w:tc>
        <w:tc>
          <w:tcPr>
            <w:tcW w:w="1532" w:type="dxa"/>
            <w:vAlign w:val="bottom"/>
          </w:tcPr>
          <w:p w14:paraId="6D3644F7" w14:textId="77777777" w:rsidR="00B90936" w:rsidRPr="00CB3321" w:rsidRDefault="00B90936" w:rsidP="001515D5">
            <w:r w:rsidRPr="00CB3321">
              <w:t>84.2%</w:t>
            </w:r>
          </w:p>
        </w:tc>
        <w:tc>
          <w:tcPr>
            <w:tcW w:w="1532" w:type="dxa"/>
            <w:vAlign w:val="bottom"/>
          </w:tcPr>
          <w:p w14:paraId="5600B768" w14:textId="77777777" w:rsidR="00B90936" w:rsidRPr="00CB3321" w:rsidRDefault="00B90936" w:rsidP="001515D5">
            <w:r w:rsidRPr="00CB3321">
              <w:t>76.4%</w:t>
            </w:r>
          </w:p>
        </w:tc>
        <w:tc>
          <w:tcPr>
            <w:tcW w:w="1543" w:type="dxa"/>
            <w:vAlign w:val="bottom"/>
          </w:tcPr>
          <w:p w14:paraId="7488FE66" w14:textId="77777777" w:rsidR="00B90936" w:rsidRPr="00CB3321" w:rsidRDefault="00B90936" w:rsidP="001515D5">
            <w:r w:rsidRPr="00CB3321">
              <w:t>79.5%</w:t>
            </w:r>
          </w:p>
        </w:tc>
        <w:tc>
          <w:tcPr>
            <w:tcW w:w="1549" w:type="dxa"/>
            <w:vAlign w:val="bottom"/>
          </w:tcPr>
          <w:p w14:paraId="4694854B" w14:textId="77777777" w:rsidR="00B90936" w:rsidRPr="00CB3321" w:rsidRDefault="00B90936" w:rsidP="001515D5">
            <w:r w:rsidRPr="00CB3321">
              <w:t>70.9%</w:t>
            </w:r>
          </w:p>
        </w:tc>
        <w:tc>
          <w:tcPr>
            <w:tcW w:w="1664" w:type="dxa"/>
            <w:vAlign w:val="bottom"/>
          </w:tcPr>
          <w:p w14:paraId="4ACA59D9" w14:textId="77777777" w:rsidR="00B90936" w:rsidRPr="00CB3321" w:rsidRDefault="00B90936" w:rsidP="001515D5">
            <w:r w:rsidRPr="00CB3321">
              <w:t>92.3%</w:t>
            </w:r>
          </w:p>
        </w:tc>
      </w:tr>
      <w:tr w:rsidR="00B90936" w14:paraId="03DC3CAD" w14:textId="77777777" w:rsidTr="001515D5">
        <w:tc>
          <w:tcPr>
            <w:tcW w:w="1530" w:type="dxa"/>
            <w:vAlign w:val="bottom"/>
          </w:tcPr>
          <w:p w14:paraId="3BBFECEC" w14:textId="77777777" w:rsidR="00B90936" w:rsidRPr="00CB3321" w:rsidRDefault="00B90936" w:rsidP="001515D5">
            <w:r w:rsidRPr="00CB3321">
              <w:t>2019-2020</w:t>
            </w:r>
          </w:p>
        </w:tc>
        <w:tc>
          <w:tcPr>
            <w:tcW w:w="1532" w:type="dxa"/>
            <w:vAlign w:val="bottom"/>
          </w:tcPr>
          <w:p w14:paraId="4CF0ED81" w14:textId="77777777" w:rsidR="00B90936" w:rsidRPr="00CB3321" w:rsidRDefault="00B90936" w:rsidP="001515D5">
            <w:r w:rsidRPr="00CB3321">
              <w:t>85.3%</w:t>
            </w:r>
          </w:p>
        </w:tc>
        <w:tc>
          <w:tcPr>
            <w:tcW w:w="1532" w:type="dxa"/>
            <w:vAlign w:val="bottom"/>
          </w:tcPr>
          <w:p w14:paraId="51D44A8C" w14:textId="77777777" w:rsidR="00B90936" w:rsidRPr="00CB3321" w:rsidRDefault="00B90936" w:rsidP="001515D5">
            <w:r w:rsidRPr="00CB3321">
              <w:t>77.5%</w:t>
            </w:r>
          </w:p>
        </w:tc>
        <w:tc>
          <w:tcPr>
            <w:tcW w:w="1543" w:type="dxa"/>
            <w:vAlign w:val="bottom"/>
          </w:tcPr>
          <w:p w14:paraId="583CD126" w14:textId="77777777" w:rsidR="00B90936" w:rsidRPr="00CB3321" w:rsidRDefault="00B90936" w:rsidP="001515D5">
            <w:r w:rsidRPr="00CB3321">
              <w:t>80.1%</w:t>
            </w:r>
          </w:p>
        </w:tc>
        <w:tc>
          <w:tcPr>
            <w:tcW w:w="1549" w:type="dxa"/>
            <w:vAlign w:val="bottom"/>
          </w:tcPr>
          <w:p w14:paraId="3030750C" w14:textId="77777777" w:rsidR="00B90936" w:rsidRPr="00CB3321" w:rsidRDefault="00B90936" w:rsidP="001515D5">
            <w:r w:rsidRPr="00CB3321">
              <w:t>81.2%</w:t>
            </w:r>
          </w:p>
        </w:tc>
        <w:tc>
          <w:tcPr>
            <w:tcW w:w="1664" w:type="dxa"/>
            <w:vAlign w:val="bottom"/>
          </w:tcPr>
          <w:p w14:paraId="4E0729D2" w14:textId="77777777" w:rsidR="00B90936" w:rsidRPr="00CB3321" w:rsidRDefault="00B90936" w:rsidP="001515D5">
            <w:r w:rsidRPr="00CB3321">
              <w:t>92.7%</w:t>
            </w:r>
          </w:p>
        </w:tc>
      </w:tr>
      <w:tr w:rsidR="00B90936" w14:paraId="2C0BDE80" w14:textId="77777777" w:rsidTr="001515D5">
        <w:tc>
          <w:tcPr>
            <w:tcW w:w="1530" w:type="dxa"/>
            <w:vAlign w:val="bottom"/>
          </w:tcPr>
          <w:p w14:paraId="33107517" w14:textId="77777777" w:rsidR="00B90936" w:rsidRPr="00CB3321" w:rsidRDefault="00B90936" w:rsidP="001515D5">
            <w:r w:rsidRPr="00CB3321">
              <w:t>2020-2021</w:t>
            </w:r>
          </w:p>
        </w:tc>
        <w:tc>
          <w:tcPr>
            <w:tcW w:w="1532" w:type="dxa"/>
            <w:vAlign w:val="bottom"/>
          </w:tcPr>
          <w:p w14:paraId="1968CEB2" w14:textId="77777777" w:rsidR="00B90936" w:rsidRPr="00CB3321" w:rsidRDefault="00B90936" w:rsidP="001515D5">
            <w:r w:rsidRPr="00CB3321">
              <w:t>86.9%</w:t>
            </w:r>
          </w:p>
        </w:tc>
        <w:tc>
          <w:tcPr>
            <w:tcW w:w="1532" w:type="dxa"/>
            <w:vAlign w:val="bottom"/>
          </w:tcPr>
          <w:p w14:paraId="64CE463F" w14:textId="77777777" w:rsidR="00B90936" w:rsidRPr="00CB3321" w:rsidRDefault="00B90936" w:rsidP="001515D5">
            <w:r w:rsidRPr="00CB3321">
              <w:t>78.1%</w:t>
            </w:r>
          </w:p>
        </w:tc>
        <w:tc>
          <w:tcPr>
            <w:tcW w:w="1543" w:type="dxa"/>
            <w:vAlign w:val="bottom"/>
          </w:tcPr>
          <w:p w14:paraId="5869D8F2" w14:textId="77777777" w:rsidR="00B90936" w:rsidRPr="00CB3321" w:rsidRDefault="00B90936" w:rsidP="001515D5">
            <w:r w:rsidRPr="00CB3321">
              <w:t>81.2%</w:t>
            </w:r>
          </w:p>
        </w:tc>
        <w:tc>
          <w:tcPr>
            <w:tcW w:w="1549" w:type="dxa"/>
            <w:vAlign w:val="bottom"/>
          </w:tcPr>
          <w:p w14:paraId="6FB491A1" w14:textId="77777777" w:rsidR="00B90936" w:rsidRPr="00CB3321" w:rsidRDefault="00B90936" w:rsidP="001515D5">
            <w:r w:rsidRPr="00CB3321">
              <w:t>77.2%</w:t>
            </w:r>
          </w:p>
        </w:tc>
        <w:tc>
          <w:tcPr>
            <w:tcW w:w="1664" w:type="dxa"/>
            <w:vAlign w:val="bottom"/>
          </w:tcPr>
          <w:p w14:paraId="7D43C5E5" w14:textId="77777777" w:rsidR="00B90936" w:rsidRPr="00CB3321" w:rsidRDefault="00B90936" w:rsidP="001515D5">
            <w:r w:rsidRPr="00CB3321">
              <w:t>92.3%</w:t>
            </w:r>
          </w:p>
        </w:tc>
      </w:tr>
    </w:tbl>
    <w:p w14:paraId="5E639529" w14:textId="77777777" w:rsidR="00B90936" w:rsidRPr="00CB3321" w:rsidRDefault="00B90936" w:rsidP="00B90936">
      <w:r w:rsidRPr="00CB3321">
        <w:t>Source: SC Department of Education, SC School Report Cards.</w:t>
      </w:r>
    </w:p>
    <w:p w14:paraId="044E2149" w14:textId="77777777" w:rsidR="00CF1BB1" w:rsidRDefault="00CF1BB1" w:rsidP="00CF1BB1">
      <w:pPr>
        <w:pStyle w:val="Heading4"/>
      </w:pPr>
    </w:p>
    <w:p w14:paraId="5FAD0D37" w14:textId="5232DCD1" w:rsidR="00CF1BB1" w:rsidRDefault="00CF1BB1" w:rsidP="00CF1BB1">
      <w:pPr>
        <w:pStyle w:val="Heading4"/>
      </w:pPr>
      <w:bookmarkStart w:id="665" w:name="_Toc162267447"/>
      <w:r w:rsidRPr="00CF1BB1">
        <w:t>Data Interpretations:</w:t>
      </w:r>
      <w:bookmarkEnd w:id="665"/>
      <w:r w:rsidRPr="00CF1BB1">
        <w:t xml:space="preserve"> </w:t>
      </w:r>
    </w:p>
    <w:p w14:paraId="34727416" w14:textId="1C58715E" w:rsidR="00CF1BB1" w:rsidRPr="00CF1BB1" w:rsidRDefault="00CF1BB1" w:rsidP="00CF1BB1">
      <w:r w:rsidRPr="00CF1BB1">
        <w:t>The SC overall graduation rate has been broken down by those with and without a disability, and by race and ethnicity. While all categories have been improving from 2017-2018 through 2020-2021, those without a disability have higher rates of graduation than students with a disability (</w:t>
      </w:r>
      <w:r w:rsidRPr="00CF1BB1">
        <w:rPr>
          <w:b/>
          <w:bCs/>
        </w:rPr>
        <w:t>Figure 8.43</w:t>
      </w:r>
      <w:r w:rsidRPr="00CF1BB1">
        <w:t>). Asian/Pacific Islander students have the highest rates of graduation, followed by White, Hispanic, and Black students (</w:t>
      </w:r>
      <w:r w:rsidRPr="00CF1BB1">
        <w:rPr>
          <w:b/>
          <w:bCs/>
        </w:rPr>
        <w:t>Figure 8.44</w:t>
      </w:r>
      <w:r w:rsidRPr="00CF1BB1">
        <w:t>). American Indian/Alaskan Native student graduations were on a dramatic incline until the pandemic, when they started to decline again, but remained higher than the pre-pandemic 2017-2018 school year (</w:t>
      </w:r>
      <w:r w:rsidRPr="00CF1BB1">
        <w:rPr>
          <w:b/>
          <w:bCs/>
        </w:rPr>
        <w:t>Figure 8.44</w:t>
      </w:r>
      <w:r w:rsidRPr="00CF1BB1">
        <w:t>).</w:t>
      </w:r>
    </w:p>
    <w:p w14:paraId="0AE491C7" w14:textId="77777777" w:rsidR="00CF1BB1" w:rsidRDefault="00CF1BB1" w:rsidP="00CF1BB1">
      <w:pPr>
        <w:rPr>
          <w:b/>
          <w:bCs/>
        </w:rPr>
      </w:pPr>
    </w:p>
    <w:p w14:paraId="78DB9E65" w14:textId="77777777" w:rsidR="00CF1BB1" w:rsidRDefault="00CF1BB1" w:rsidP="00CF1BB1">
      <w:pPr>
        <w:pStyle w:val="Heading5"/>
      </w:pPr>
      <w:r>
        <w:t xml:space="preserve">Key Takeaways: </w:t>
      </w:r>
    </w:p>
    <w:p w14:paraId="2134DC10" w14:textId="77777777" w:rsidR="005253DC" w:rsidRDefault="00CF1BB1" w:rsidP="00926EB3">
      <w:pPr>
        <w:pStyle w:val="ListParagraph"/>
        <w:numPr>
          <w:ilvl w:val="0"/>
          <w:numId w:val="227"/>
        </w:numPr>
      </w:pPr>
      <w:r w:rsidRPr="00CF1BB1">
        <w:t xml:space="preserve">Higher levels of education can lead to better jobs, higher income, further education, health insurance and funds to pay for health care, ability to live in safer neighborhoods with green spaces for play and exercise, and access to healthy foods. </w:t>
      </w:r>
    </w:p>
    <w:p w14:paraId="6F198037" w14:textId="5488DA8B" w:rsidR="00CF1BB1" w:rsidRPr="00CF1BB1" w:rsidRDefault="00CF1BB1" w:rsidP="00926EB3">
      <w:pPr>
        <w:pStyle w:val="ListParagraph"/>
        <w:numPr>
          <w:ilvl w:val="0"/>
          <w:numId w:val="227"/>
        </w:numPr>
      </w:pPr>
      <w:r w:rsidRPr="00CF1BB1">
        <w:t>Helping young people begin the process of leading healthier lives will lead to healthier adults, living in healthier communities.</w:t>
      </w:r>
    </w:p>
    <w:p w14:paraId="5D154E1A" w14:textId="77777777" w:rsidR="00CF1BB1" w:rsidRDefault="00CF1BB1" w:rsidP="00CF1BB1"/>
    <w:p w14:paraId="22240AD9" w14:textId="4CF4914A" w:rsidR="00CF1BB1" w:rsidRPr="00CF1BB1" w:rsidRDefault="00506CC7" w:rsidP="00CF1BB1">
      <w:pPr>
        <w:rPr>
          <w:i/>
          <w:iCs/>
        </w:rPr>
      </w:pPr>
      <w:r w:rsidRPr="00CF1BB1">
        <w:rPr>
          <w:i/>
          <w:iCs/>
        </w:rPr>
        <w:t xml:space="preserve">References </w:t>
      </w:r>
      <w:r w:rsidR="00CF1BB1" w:rsidRPr="00CF1BB1">
        <w:rPr>
          <w:i/>
          <w:iCs/>
        </w:rPr>
        <w:t>8.2</w:t>
      </w:r>
      <w:r w:rsidR="00637B75">
        <w:rPr>
          <w:i/>
          <w:iCs/>
        </w:rPr>
        <w:t>2</w:t>
      </w:r>
    </w:p>
    <w:p w14:paraId="5BC0E7B8" w14:textId="1F17E6EB" w:rsidR="00CF1BB1" w:rsidRPr="00CF1BB1" w:rsidRDefault="00CF1BB1" w:rsidP="00CF1BB1">
      <w:pPr>
        <w:rPr>
          <w:i/>
          <w:iCs/>
        </w:rPr>
      </w:pPr>
      <w:r w:rsidRPr="00CF1BB1">
        <w:t xml:space="preserve">Statistics in the </w:t>
      </w:r>
      <w:r>
        <w:t xml:space="preserve">two </w:t>
      </w:r>
      <w:r w:rsidRPr="00CF1BB1">
        <w:t>preceding section</w:t>
      </w:r>
      <w:r>
        <w:t>s</w:t>
      </w:r>
      <w:r w:rsidRPr="00CF1BB1">
        <w:t xml:space="preserve"> were referenced from the following report</w:t>
      </w:r>
      <w:r>
        <w:t>s</w:t>
      </w:r>
      <w:r w:rsidRPr="00CF1BB1">
        <w:t>:</w:t>
      </w:r>
    </w:p>
    <w:p w14:paraId="0251BF2B" w14:textId="2F1B0A05" w:rsidR="00C65F72" w:rsidRPr="00C65F72" w:rsidRDefault="00000000" w:rsidP="00926EB3">
      <w:pPr>
        <w:pStyle w:val="ListParagraph"/>
        <w:numPr>
          <w:ilvl w:val="0"/>
          <w:numId w:val="35"/>
        </w:numPr>
      </w:pPr>
      <w:hyperlink r:id="rId291" w:history="1">
        <w:r w:rsidR="00C65F72" w:rsidRPr="00C65F72">
          <w:rPr>
            <w:rStyle w:val="Hyperlink"/>
          </w:rPr>
          <w:t>“THE DROPOUT CRISIS: A Public Health Problem and the Role of School-Based Health Care” by the American Public Health Association, 2018. Accessed July 11, 2023.</w:t>
        </w:r>
      </w:hyperlink>
      <w:r w:rsidR="00C65F72" w:rsidRPr="00C65F72">
        <w:t xml:space="preserve"> </w:t>
      </w:r>
    </w:p>
    <w:p w14:paraId="151F8939" w14:textId="6BCDF6DF" w:rsidR="00C65F72" w:rsidRPr="00C65F72" w:rsidRDefault="00000000" w:rsidP="00926EB3">
      <w:pPr>
        <w:pStyle w:val="ListParagraph"/>
        <w:numPr>
          <w:ilvl w:val="0"/>
          <w:numId w:val="35"/>
        </w:numPr>
      </w:pPr>
      <w:hyperlink r:id="rId292" w:history="1">
        <w:r w:rsidR="00C65F72" w:rsidRPr="00C65F72">
          <w:rPr>
            <w:rStyle w:val="Hyperlink"/>
          </w:rPr>
          <w:t xml:space="preserve">“Preventing Chronic Disease” by Freudenberg N, </w:t>
        </w:r>
        <w:proofErr w:type="spellStart"/>
        <w:r w:rsidR="00C65F72" w:rsidRPr="00C65F72">
          <w:rPr>
            <w:rStyle w:val="Hyperlink"/>
          </w:rPr>
          <w:t>Ruglis</w:t>
        </w:r>
        <w:proofErr w:type="spellEnd"/>
        <w:r w:rsidR="00C65F72" w:rsidRPr="00C65F72">
          <w:rPr>
            <w:rStyle w:val="Hyperlink"/>
          </w:rPr>
          <w:t xml:space="preserve"> for CDC J. Published online 2007. Accessed July 11, 2023.</w:t>
        </w:r>
      </w:hyperlink>
      <w:r w:rsidR="00C65F72" w:rsidRPr="00C65F72">
        <w:t xml:space="preserve"> </w:t>
      </w:r>
    </w:p>
    <w:p w14:paraId="434A12D4" w14:textId="77777777" w:rsidR="00CF1BB1" w:rsidRDefault="00CF1BB1" w:rsidP="00CF1BB1"/>
    <w:p w14:paraId="0C492B3C" w14:textId="77777777" w:rsidR="00CF1BB1" w:rsidRPr="00CF1BB1" w:rsidRDefault="00CF1BB1" w:rsidP="00CF1BB1">
      <w:pPr>
        <w:pStyle w:val="Heading3"/>
      </w:pPr>
      <w:bookmarkStart w:id="666" w:name="_Toc162267448"/>
      <w:r w:rsidRPr="00CF1BB1">
        <w:lastRenderedPageBreak/>
        <w:t>Children and Youth with Special Health Care Needs</w:t>
      </w:r>
      <w:bookmarkEnd w:id="666"/>
      <w:r w:rsidRPr="00CF1BB1">
        <w:t xml:space="preserve"> </w:t>
      </w:r>
    </w:p>
    <w:p w14:paraId="5E8DF7F2" w14:textId="48C797CB" w:rsidR="00CF1BB1" w:rsidRPr="00CF1BB1" w:rsidRDefault="00CF1BB1" w:rsidP="00CF1BB1">
      <w:pPr>
        <w:rPr>
          <w:b/>
          <w:bCs/>
        </w:rPr>
      </w:pPr>
      <w:r w:rsidRPr="00CF1BB1">
        <w:t>Children and youth with special health care needs (CYSHCN) are a unique population that face varying degrees of challenges. This population is defined as individuals who have or are at increased risk for a chronic physical, developmental, behavioral, or emotional condition and who also require health and related services of a type or amount beyond that required by children generally.</w:t>
      </w:r>
    </w:p>
    <w:p w14:paraId="25BA3905" w14:textId="77777777" w:rsidR="00CF1BB1" w:rsidRDefault="00CF1BB1" w:rsidP="00CF1BB1"/>
    <w:p w14:paraId="1CB8CD9C" w14:textId="77777777" w:rsidR="00CF1BB1" w:rsidRDefault="00CF1BB1" w:rsidP="00CF1BB1">
      <w:pPr>
        <w:pStyle w:val="Heading4"/>
      </w:pPr>
      <w:bookmarkStart w:id="667" w:name="_Toc162267449"/>
      <w:r w:rsidRPr="00CF1BB1">
        <w:t>Data Interpretations:</w:t>
      </w:r>
      <w:bookmarkEnd w:id="667"/>
      <w:r w:rsidRPr="00CF1BB1">
        <w:t xml:space="preserve"> </w:t>
      </w:r>
    </w:p>
    <w:p w14:paraId="7CE161E0" w14:textId="611C7B73" w:rsidR="00CF1BB1" w:rsidRPr="00CF1BB1" w:rsidRDefault="00CF1BB1" w:rsidP="00CF1BB1">
      <w:r w:rsidRPr="00CF1BB1">
        <w:t xml:space="preserve">According to the National Survey of </w:t>
      </w:r>
      <w:proofErr w:type="spellStart"/>
      <w:r w:rsidRPr="00CF1BB1">
        <w:t>Childrens</w:t>
      </w:r>
      <w:proofErr w:type="spellEnd"/>
      <w:r w:rsidRPr="00CF1BB1">
        <w:t xml:space="preserve"> Health (NSCH), about 14 million children under 18 years of age (19.5%) had a special health care need in the US in 2020-2021. In SC, 23.7% of children and youth met this definition during the same </w:t>
      </w:r>
      <w:proofErr w:type="gramStart"/>
      <w:r w:rsidRPr="00CF1BB1">
        <w:t>time period</w:t>
      </w:r>
      <w:proofErr w:type="gramEnd"/>
      <w:r w:rsidRPr="00CF1BB1">
        <w:t>, and it’s been increasing steadily over the past five years, especially among non-Hispanic White and Hispanic children (</w:t>
      </w:r>
      <w:r w:rsidRPr="00CF1BB1">
        <w:rPr>
          <w:b/>
          <w:bCs/>
        </w:rPr>
        <w:t>Figure 8.45</w:t>
      </w:r>
      <w:r w:rsidRPr="00CF1BB1">
        <w:t xml:space="preserve">).   </w:t>
      </w:r>
    </w:p>
    <w:p w14:paraId="7AEFEB22" w14:textId="77777777" w:rsidR="00CF1BB1" w:rsidRDefault="00CF1BB1" w:rsidP="00CF1BB1"/>
    <w:p w14:paraId="6D74CBF4" w14:textId="26CDD33A" w:rsidR="00CF1BB1" w:rsidRPr="00CF1BB1" w:rsidRDefault="00CF1BB1" w:rsidP="00CF1BB1">
      <w:r w:rsidRPr="00CF1BB1">
        <w:t>Having a medical home is a critical component to successful health outcomes for CYSHCN. About half (49.7%) of CYSHCN reported having a medical home in 2020-2021 (</w:t>
      </w:r>
      <w:r w:rsidRPr="00CF1BB1">
        <w:rPr>
          <w:b/>
          <w:bCs/>
        </w:rPr>
        <w:t>Figure 8.46</w:t>
      </w:r>
      <w:r w:rsidRPr="00CF1BB1">
        <w:t xml:space="preserve">). Research has shown that children with an established healthcare provider are more likely to receive consistent, appropriate medical care and immunizations, and experience a reduced rate of hospitalizations for preventable conditions. Those who receive care in a well-functioning system are also more likely to be diagnosed promptly for other chronic conditions. By providing comprehensive care in a medical home setting as an evidence-based practice and providing education to both providers and families on the importance of establishing a medical home, we can improve health outcomes and complications for this population. </w:t>
      </w:r>
    </w:p>
    <w:p w14:paraId="298DC6B8" w14:textId="77777777" w:rsidR="00CF1BB1" w:rsidRDefault="00CF1BB1" w:rsidP="00CF1BB1"/>
    <w:p w14:paraId="52861CB4" w14:textId="412D2B17" w:rsidR="00CF1BB1" w:rsidRDefault="00CF1BB1" w:rsidP="00CF1BB1">
      <w:r w:rsidRPr="00CF1BB1">
        <w:t>Transition of youth to adulthood has also been identified as a crucial factor when considering health for youth and adolescents. According to the NSCH, in SC, about 1 in 5 CYSHCN 12-17 years of age (20.5%) received transition services in 2020-2021. Research has shown that youth who do not have the opportunity to engage in a structured transition process may experience an increase in medical complications, leading to difficulties in treatment and medication adherence, the absence of a medical home, an increase in preventable emergency department and hospital use, and higher health</w:t>
      </w:r>
      <w:r w:rsidR="00CA3B89">
        <w:t xml:space="preserve"> </w:t>
      </w:r>
      <w:r w:rsidRPr="00CF1BB1">
        <w:t xml:space="preserve">care associated costs. Poor health in adolescence and early adulthood has been shown to have a negative impact on academic and professional outcomes for adolescents and young adults. Over 90 </w:t>
      </w:r>
      <w:r w:rsidRPr="00CF1BB1">
        <w:lastRenderedPageBreak/>
        <w:t>percent of children with special health care needs live to adulthood, however, are less likely to complete high-school, college, or be actively employed. Evidence shows that a successful transition to adulthood leads to a positive outcome for overall population health.</w:t>
      </w:r>
    </w:p>
    <w:p w14:paraId="7E627CFC" w14:textId="77777777" w:rsidR="00CF1BB1" w:rsidRDefault="00CF1BB1" w:rsidP="00CF1BB1">
      <w:pPr>
        <w:pStyle w:val="Heading4"/>
        <w:rPr>
          <w:rFonts w:asciiTheme="minorHAnsi" w:hAnsiTheme="minorHAnsi" w:cstheme="minorHAnsi"/>
          <w:color w:val="000000" w:themeColor="text1"/>
        </w:rPr>
      </w:pPr>
    </w:p>
    <w:p w14:paraId="080CDD3C" w14:textId="24443D62" w:rsidR="00CF1BB1" w:rsidRDefault="00CF1BB1" w:rsidP="00CF1BB1">
      <w:pPr>
        <w:pStyle w:val="Heading5"/>
      </w:pPr>
      <w:r>
        <w:t xml:space="preserve">Key Takeaways: </w:t>
      </w:r>
    </w:p>
    <w:p w14:paraId="1F1719F9" w14:textId="77777777" w:rsidR="00CF1BB1" w:rsidRDefault="00CF1BB1" w:rsidP="00926EB3">
      <w:pPr>
        <w:pStyle w:val="ListParagraph"/>
        <w:numPr>
          <w:ilvl w:val="0"/>
          <w:numId w:val="228"/>
        </w:numPr>
      </w:pPr>
      <w:r w:rsidRPr="00CF1BB1">
        <w:t>The percent of children and youth with special health care needs has been increasing in SC over the past five years, from 20.4% in 2016-2017 to 23.7% in 2020-2021, with the most notable increases seen among Hispanic children (12.1% in 2016-2017 to 21.7% in 2020-2021).</w:t>
      </w:r>
    </w:p>
    <w:p w14:paraId="187D8608" w14:textId="77777777" w:rsidR="00B90936" w:rsidRDefault="00B90936" w:rsidP="00CF1BB1"/>
    <w:p w14:paraId="07BF865D" w14:textId="77777777" w:rsidR="00B90936" w:rsidRDefault="00B90936" w:rsidP="00B90936">
      <w:pPr>
        <w:pStyle w:val="Heading4"/>
      </w:pPr>
      <w:bookmarkStart w:id="668" w:name="_Toc154576480"/>
      <w:bookmarkStart w:id="669" w:name="_Toc162267450"/>
      <w:r>
        <w:t>Figure 8.45: Children with Special Health Care Needs, Aged 0-17, by Race/Ethnicity.</w:t>
      </w:r>
      <w:bookmarkEnd w:id="668"/>
      <w:bookmarkEnd w:id="669"/>
    </w:p>
    <w:tbl>
      <w:tblPr>
        <w:tblStyle w:val="TableGrid"/>
        <w:tblW w:w="0" w:type="auto"/>
        <w:tblLook w:val="04A0" w:firstRow="1" w:lastRow="0" w:firstColumn="1" w:lastColumn="0" w:noHBand="0" w:noVBand="1"/>
      </w:tblPr>
      <w:tblGrid>
        <w:gridCol w:w="1558"/>
        <w:gridCol w:w="1558"/>
        <w:gridCol w:w="1558"/>
        <w:gridCol w:w="1558"/>
        <w:gridCol w:w="1559"/>
        <w:gridCol w:w="1559"/>
      </w:tblGrid>
      <w:tr w:rsidR="00B90936" w14:paraId="45A788D1" w14:textId="77777777" w:rsidTr="001515D5">
        <w:tc>
          <w:tcPr>
            <w:tcW w:w="1558" w:type="dxa"/>
            <w:vAlign w:val="bottom"/>
          </w:tcPr>
          <w:p w14:paraId="59924233" w14:textId="77777777" w:rsidR="00B90936" w:rsidRPr="00CB3321" w:rsidRDefault="00B90936" w:rsidP="001515D5">
            <w:r>
              <w:t>Year</w:t>
            </w:r>
          </w:p>
        </w:tc>
        <w:tc>
          <w:tcPr>
            <w:tcW w:w="1558" w:type="dxa"/>
            <w:vAlign w:val="bottom"/>
          </w:tcPr>
          <w:p w14:paraId="5B028301" w14:textId="77777777" w:rsidR="00B90936" w:rsidRPr="00CB3321" w:rsidRDefault="00B90936" w:rsidP="001515D5">
            <w:r w:rsidRPr="00CB3321">
              <w:t>South Carolina</w:t>
            </w:r>
          </w:p>
        </w:tc>
        <w:tc>
          <w:tcPr>
            <w:tcW w:w="1558" w:type="dxa"/>
            <w:vAlign w:val="bottom"/>
          </w:tcPr>
          <w:p w14:paraId="0A68AD76" w14:textId="77777777" w:rsidR="00B90936" w:rsidRPr="00CB3321" w:rsidRDefault="00B90936" w:rsidP="001515D5">
            <w:r w:rsidRPr="00CB3321">
              <w:t>United States</w:t>
            </w:r>
          </w:p>
        </w:tc>
        <w:tc>
          <w:tcPr>
            <w:tcW w:w="1558" w:type="dxa"/>
            <w:vAlign w:val="bottom"/>
          </w:tcPr>
          <w:p w14:paraId="6CD33126" w14:textId="77777777" w:rsidR="00B90936" w:rsidRPr="00CB3321" w:rsidRDefault="00B90936" w:rsidP="001515D5">
            <w:r w:rsidRPr="00CB3321">
              <w:t>Non-Hispanic White</w:t>
            </w:r>
          </w:p>
        </w:tc>
        <w:tc>
          <w:tcPr>
            <w:tcW w:w="1559" w:type="dxa"/>
            <w:vAlign w:val="bottom"/>
          </w:tcPr>
          <w:p w14:paraId="7D11823A" w14:textId="77777777" w:rsidR="00B90936" w:rsidRPr="00CB3321" w:rsidRDefault="00B90936" w:rsidP="001515D5">
            <w:r w:rsidRPr="00CB3321">
              <w:t>Non-Hispanic Black</w:t>
            </w:r>
          </w:p>
        </w:tc>
        <w:tc>
          <w:tcPr>
            <w:tcW w:w="1559" w:type="dxa"/>
            <w:vAlign w:val="bottom"/>
          </w:tcPr>
          <w:p w14:paraId="23BDDBD7" w14:textId="77777777" w:rsidR="00B90936" w:rsidRPr="00CB3321" w:rsidRDefault="00B90936" w:rsidP="001515D5">
            <w:r w:rsidRPr="00CB3321">
              <w:t>Hispanic</w:t>
            </w:r>
          </w:p>
        </w:tc>
      </w:tr>
      <w:tr w:rsidR="00B90936" w14:paraId="1E5B5A3C" w14:textId="77777777" w:rsidTr="001515D5">
        <w:tc>
          <w:tcPr>
            <w:tcW w:w="1558" w:type="dxa"/>
            <w:vAlign w:val="bottom"/>
          </w:tcPr>
          <w:p w14:paraId="47389F3B" w14:textId="77777777" w:rsidR="00B90936" w:rsidRPr="00CB3321" w:rsidRDefault="00B90936" w:rsidP="001515D5">
            <w:r w:rsidRPr="00CB3321">
              <w:t>2016-2017</w:t>
            </w:r>
          </w:p>
        </w:tc>
        <w:tc>
          <w:tcPr>
            <w:tcW w:w="1558" w:type="dxa"/>
            <w:vAlign w:val="bottom"/>
          </w:tcPr>
          <w:p w14:paraId="62416416" w14:textId="77777777" w:rsidR="00B90936" w:rsidRPr="00CB3321" w:rsidRDefault="00B90936" w:rsidP="001515D5">
            <w:r w:rsidRPr="00CB3321">
              <w:t>20.4%</w:t>
            </w:r>
          </w:p>
        </w:tc>
        <w:tc>
          <w:tcPr>
            <w:tcW w:w="1558" w:type="dxa"/>
            <w:vAlign w:val="bottom"/>
          </w:tcPr>
          <w:p w14:paraId="01A98F0A" w14:textId="77777777" w:rsidR="00B90936" w:rsidRPr="00CB3321" w:rsidRDefault="00B90936" w:rsidP="001515D5">
            <w:r w:rsidRPr="00CB3321">
              <w:t>18.8%</w:t>
            </w:r>
          </w:p>
        </w:tc>
        <w:tc>
          <w:tcPr>
            <w:tcW w:w="1558" w:type="dxa"/>
            <w:vAlign w:val="bottom"/>
          </w:tcPr>
          <w:p w14:paraId="60E12D73" w14:textId="77777777" w:rsidR="00B90936" w:rsidRPr="00CB3321" w:rsidRDefault="00B90936" w:rsidP="001515D5">
            <w:r w:rsidRPr="00CB3321">
              <w:t>16.2%</w:t>
            </w:r>
          </w:p>
        </w:tc>
        <w:tc>
          <w:tcPr>
            <w:tcW w:w="1559" w:type="dxa"/>
            <w:vAlign w:val="bottom"/>
          </w:tcPr>
          <w:p w14:paraId="3999852C" w14:textId="77777777" w:rsidR="00B90936" w:rsidRPr="00CB3321" w:rsidRDefault="00B90936" w:rsidP="001515D5">
            <w:r w:rsidRPr="00CB3321">
              <w:t>28.2%</w:t>
            </w:r>
          </w:p>
        </w:tc>
        <w:tc>
          <w:tcPr>
            <w:tcW w:w="1559" w:type="dxa"/>
            <w:vAlign w:val="bottom"/>
          </w:tcPr>
          <w:p w14:paraId="5196B99B" w14:textId="77777777" w:rsidR="00B90936" w:rsidRPr="00CB3321" w:rsidRDefault="00B90936" w:rsidP="001515D5">
            <w:r w:rsidRPr="00CB3321">
              <w:t>12.1%</w:t>
            </w:r>
          </w:p>
        </w:tc>
      </w:tr>
      <w:tr w:rsidR="00B90936" w14:paraId="05F5E9FF" w14:textId="77777777" w:rsidTr="001515D5">
        <w:tc>
          <w:tcPr>
            <w:tcW w:w="1558" w:type="dxa"/>
            <w:vAlign w:val="bottom"/>
          </w:tcPr>
          <w:p w14:paraId="31A16AFE" w14:textId="77777777" w:rsidR="00B90936" w:rsidRPr="00CB3321" w:rsidRDefault="00B90936" w:rsidP="001515D5">
            <w:r w:rsidRPr="00CB3321">
              <w:t>2017-2018</w:t>
            </w:r>
          </w:p>
        </w:tc>
        <w:tc>
          <w:tcPr>
            <w:tcW w:w="1558" w:type="dxa"/>
            <w:vAlign w:val="bottom"/>
          </w:tcPr>
          <w:p w14:paraId="189258C9" w14:textId="77777777" w:rsidR="00B90936" w:rsidRPr="00CB3321" w:rsidRDefault="00B90936" w:rsidP="001515D5">
            <w:r w:rsidRPr="00CB3321">
              <w:t>20.8%</w:t>
            </w:r>
          </w:p>
        </w:tc>
        <w:tc>
          <w:tcPr>
            <w:tcW w:w="1558" w:type="dxa"/>
            <w:vAlign w:val="bottom"/>
          </w:tcPr>
          <w:p w14:paraId="4164C793" w14:textId="77777777" w:rsidR="00B90936" w:rsidRPr="00CB3321" w:rsidRDefault="00B90936" w:rsidP="001515D5">
            <w:r w:rsidRPr="00CB3321">
              <w:t>18.5%</w:t>
            </w:r>
          </w:p>
        </w:tc>
        <w:tc>
          <w:tcPr>
            <w:tcW w:w="1558" w:type="dxa"/>
            <w:vAlign w:val="bottom"/>
          </w:tcPr>
          <w:p w14:paraId="524920DA" w14:textId="77777777" w:rsidR="00B90936" w:rsidRPr="00CB3321" w:rsidRDefault="00B90936" w:rsidP="001515D5">
            <w:r w:rsidRPr="00CB3321">
              <w:t>17.3%</w:t>
            </w:r>
          </w:p>
        </w:tc>
        <w:tc>
          <w:tcPr>
            <w:tcW w:w="1559" w:type="dxa"/>
            <w:vAlign w:val="bottom"/>
          </w:tcPr>
          <w:p w14:paraId="5A7E2BDA" w14:textId="77777777" w:rsidR="00B90936" w:rsidRPr="00CB3321" w:rsidRDefault="00B90936" w:rsidP="001515D5">
            <w:r w:rsidRPr="00CB3321">
              <w:t>28.4%</w:t>
            </w:r>
          </w:p>
        </w:tc>
        <w:tc>
          <w:tcPr>
            <w:tcW w:w="1559" w:type="dxa"/>
            <w:vAlign w:val="bottom"/>
          </w:tcPr>
          <w:p w14:paraId="3565302C" w14:textId="77777777" w:rsidR="00B90936" w:rsidRPr="00CB3321" w:rsidRDefault="00B90936" w:rsidP="001515D5">
            <w:r w:rsidRPr="00CB3321">
              <w:t>9.1%</w:t>
            </w:r>
          </w:p>
        </w:tc>
      </w:tr>
      <w:tr w:rsidR="00B90936" w14:paraId="61F87155" w14:textId="77777777" w:rsidTr="001515D5">
        <w:tc>
          <w:tcPr>
            <w:tcW w:w="1558" w:type="dxa"/>
            <w:vAlign w:val="bottom"/>
          </w:tcPr>
          <w:p w14:paraId="461E7F3A" w14:textId="77777777" w:rsidR="00B90936" w:rsidRPr="00CB3321" w:rsidRDefault="00B90936" w:rsidP="001515D5">
            <w:r w:rsidRPr="00CB3321">
              <w:t>2018-2019</w:t>
            </w:r>
          </w:p>
        </w:tc>
        <w:tc>
          <w:tcPr>
            <w:tcW w:w="1558" w:type="dxa"/>
            <w:vAlign w:val="bottom"/>
          </w:tcPr>
          <w:p w14:paraId="1B03B8A0" w14:textId="77777777" w:rsidR="00B90936" w:rsidRPr="00CB3321" w:rsidRDefault="00B90936" w:rsidP="001515D5">
            <w:r w:rsidRPr="00CB3321">
              <w:t>21.3%</w:t>
            </w:r>
          </w:p>
        </w:tc>
        <w:tc>
          <w:tcPr>
            <w:tcW w:w="1558" w:type="dxa"/>
            <w:vAlign w:val="bottom"/>
          </w:tcPr>
          <w:p w14:paraId="78CEA2D2" w14:textId="77777777" w:rsidR="00B90936" w:rsidRPr="00CB3321" w:rsidRDefault="00B90936" w:rsidP="001515D5">
            <w:r w:rsidRPr="00CB3321">
              <w:t>18.9%</w:t>
            </w:r>
          </w:p>
        </w:tc>
        <w:tc>
          <w:tcPr>
            <w:tcW w:w="1558" w:type="dxa"/>
            <w:vAlign w:val="bottom"/>
          </w:tcPr>
          <w:p w14:paraId="2A49442F" w14:textId="77777777" w:rsidR="00B90936" w:rsidRPr="00CB3321" w:rsidRDefault="00B90936" w:rsidP="001515D5">
            <w:r w:rsidRPr="00CB3321">
              <w:t>19.0%</w:t>
            </w:r>
          </w:p>
        </w:tc>
        <w:tc>
          <w:tcPr>
            <w:tcW w:w="1559" w:type="dxa"/>
            <w:vAlign w:val="bottom"/>
          </w:tcPr>
          <w:p w14:paraId="57C97625" w14:textId="77777777" w:rsidR="00B90936" w:rsidRPr="00CB3321" w:rsidRDefault="00B90936" w:rsidP="001515D5">
            <w:r w:rsidRPr="00CB3321">
              <w:t>26.7%</w:t>
            </w:r>
          </w:p>
        </w:tc>
        <w:tc>
          <w:tcPr>
            <w:tcW w:w="1559" w:type="dxa"/>
            <w:vAlign w:val="bottom"/>
          </w:tcPr>
          <w:p w14:paraId="66C656AF" w14:textId="77777777" w:rsidR="00B90936" w:rsidRPr="00CB3321" w:rsidRDefault="00B90936" w:rsidP="001515D5">
            <w:r w:rsidRPr="00CB3321">
              <w:t>15.0%</w:t>
            </w:r>
          </w:p>
        </w:tc>
      </w:tr>
      <w:tr w:rsidR="00B90936" w14:paraId="1B845259" w14:textId="77777777" w:rsidTr="001515D5">
        <w:tc>
          <w:tcPr>
            <w:tcW w:w="1558" w:type="dxa"/>
            <w:vAlign w:val="bottom"/>
          </w:tcPr>
          <w:p w14:paraId="1320AA17" w14:textId="77777777" w:rsidR="00B90936" w:rsidRPr="00CB3321" w:rsidRDefault="00B90936" w:rsidP="001515D5">
            <w:r w:rsidRPr="00CB3321">
              <w:t>2019-2020</w:t>
            </w:r>
          </w:p>
        </w:tc>
        <w:tc>
          <w:tcPr>
            <w:tcW w:w="1558" w:type="dxa"/>
            <w:vAlign w:val="bottom"/>
          </w:tcPr>
          <w:p w14:paraId="6729F085" w14:textId="77777777" w:rsidR="00B90936" w:rsidRPr="00CB3321" w:rsidRDefault="00B90936" w:rsidP="001515D5">
            <w:r w:rsidRPr="00CB3321">
              <w:t>22.7%</w:t>
            </w:r>
          </w:p>
        </w:tc>
        <w:tc>
          <w:tcPr>
            <w:tcW w:w="1558" w:type="dxa"/>
            <w:vAlign w:val="bottom"/>
          </w:tcPr>
          <w:p w14:paraId="4EFD190C" w14:textId="77777777" w:rsidR="00B90936" w:rsidRPr="00CB3321" w:rsidRDefault="00B90936" w:rsidP="001515D5">
            <w:r w:rsidRPr="00CB3321">
              <w:t>19.4%</w:t>
            </w:r>
          </w:p>
        </w:tc>
        <w:tc>
          <w:tcPr>
            <w:tcW w:w="1558" w:type="dxa"/>
            <w:vAlign w:val="bottom"/>
          </w:tcPr>
          <w:p w14:paraId="5EB6CF6D" w14:textId="77777777" w:rsidR="00B90936" w:rsidRPr="00CB3321" w:rsidRDefault="00B90936" w:rsidP="001515D5">
            <w:r w:rsidRPr="00CB3321">
              <w:t>21.3%</w:t>
            </w:r>
          </w:p>
        </w:tc>
        <w:tc>
          <w:tcPr>
            <w:tcW w:w="1559" w:type="dxa"/>
            <w:vAlign w:val="bottom"/>
          </w:tcPr>
          <w:p w14:paraId="26408248" w14:textId="77777777" w:rsidR="00B90936" w:rsidRPr="00CB3321" w:rsidRDefault="00B90936" w:rsidP="001515D5">
            <w:r w:rsidRPr="00CB3321">
              <w:t>24.9%</w:t>
            </w:r>
          </w:p>
        </w:tc>
        <w:tc>
          <w:tcPr>
            <w:tcW w:w="1559" w:type="dxa"/>
            <w:vAlign w:val="bottom"/>
          </w:tcPr>
          <w:p w14:paraId="13D2DD66" w14:textId="77777777" w:rsidR="00B90936" w:rsidRPr="00CB3321" w:rsidRDefault="00B90936" w:rsidP="001515D5">
            <w:r w:rsidRPr="00CB3321">
              <w:t>24.3%</w:t>
            </w:r>
          </w:p>
        </w:tc>
      </w:tr>
      <w:tr w:rsidR="00B90936" w14:paraId="1CBA3B49" w14:textId="77777777" w:rsidTr="001515D5">
        <w:tc>
          <w:tcPr>
            <w:tcW w:w="1558" w:type="dxa"/>
            <w:vAlign w:val="bottom"/>
          </w:tcPr>
          <w:p w14:paraId="3E57CDF7" w14:textId="77777777" w:rsidR="00B90936" w:rsidRPr="00CB3321" w:rsidRDefault="00B90936" w:rsidP="001515D5">
            <w:r w:rsidRPr="00CB3321">
              <w:t>2020-2021</w:t>
            </w:r>
          </w:p>
        </w:tc>
        <w:tc>
          <w:tcPr>
            <w:tcW w:w="1558" w:type="dxa"/>
            <w:vAlign w:val="bottom"/>
          </w:tcPr>
          <w:p w14:paraId="498547F5" w14:textId="77777777" w:rsidR="00B90936" w:rsidRPr="00CB3321" w:rsidRDefault="00B90936" w:rsidP="001515D5">
            <w:r w:rsidRPr="00CB3321">
              <w:t>23.7%</w:t>
            </w:r>
          </w:p>
        </w:tc>
        <w:tc>
          <w:tcPr>
            <w:tcW w:w="1558" w:type="dxa"/>
            <w:vAlign w:val="bottom"/>
          </w:tcPr>
          <w:p w14:paraId="192669EF" w14:textId="77777777" w:rsidR="00B90936" w:rsidRPr="00CB3321" w:rsidRDefault="00B90936" w:rsidP="001515D5">
            <w:r w:rsidRPr="00CB3321">
              <w:t>19.5%</w:t>
            </w:r>
          </w:p>
        </w:tc>
        <w:tc>
          <w:tcPr>
            <w:tcW w:w="1558" w:type="dxa"/>
            <w:vAlign w:val="bottom"/>
          </w:tcPr>
          <w:p w14:paraId="71BAA6D3" w14:textId="77777777" w:rsidR="00B90936" w:rsidRPr="00CB3321" w:rsidRDefault="00B90936" w:rsidP="001515D5">
            <w:r w:rsidRPr="00CB3321">
              <w:t>23.4%</w:t>
            </w:r>
          </w:p>
        </w:tc>
        <w:tc>
          <w:tcPr>
            <w:tcW w:w="1559" w:type="dxa"/>
            <w:vAlign w:val="bottom"/>
          </w:tcPr>
          <w:p w14:paraId="209EE4EA" w14:textId="77777777" w:rsidR="00B90936" w:rsidRPr="00CB3321" w:rsidRDefault="00B90936" w:rsidP="001515D5">
            <w:r w:rsidRPr="00CB3321">
              <w:t>25.4%</w:t>
            </w:r>
          </w:p>
        </w:tc>
        <w:tc>
          <w:tcPr>
            <w:tcW w:w="1559" w:type="dxa"/>
            <w:vAlign w:val="bottom"/>
          </w:tcPr>
          <w:p w14:paraId="0AC0AD04" w14:textId="77777777" w:rsidR="00B90936" w:rsidRPr="00CB3321" w:rsidRDefault="00B90936" w:rsidP="001515D5">
            <w:r w:rsidRPr="00CB3321">
              <w:t>21.7%</w:t>
            </w:r>
          </w:p>
        </w:tc>
      </w:tr>
    </w:tbl>
    <w:p w14:paraId="2F812847" w14:textId="77777777" w:rsidR="00B90936" w:rsidRDefault="00B90936" w:rsidP="00B90936">
      <w:r w:rsidRPr="00CB3321">
        <w:t>Source: National Survey of Children’s Health, Health Resources and Services Administration, Maternal and Child Health Bureau.</w:t>
      </w:r>
    </w:p>
    <w:p w14:paraId="6E90B51C" w14:textId="77777777" w:rsidR="00B90936" w:rsidRPr="00CB3321" w:rsidRDefault="00B90936" w:rsidP="00B90936"/>
    <w:p w14:paraId="08F2ED95" w14:textId="77777777" w:rsidR="00B90936" w:rsidRDefault="00B90936" w:rsidP="00B90936">
      <w:pPr>
        <w:pStyle w:val="Heading4"/>
      </w:pPr>
      <w:bookmarkStart w:id="670" w:name="_Toc154576481"/>
      <w:bookmarkStart w:id="671" w:name="_Toc162267451"/>
      <w:r>
        <w:t>Figure 8.46: Children with Special Health Care Needs, Aged 0-17, Who Have a Medical Home.</w:t>
      </w:r>
      <w:bookmarkEnd w:id="670"/>
      <w:bookmarkEnd w:id="671"/>
    </w:p>
    <w:tbl>
      <w:tblPr>
        <w:tblStyle w:val="TableGrid"/>
        <w:tblW w:w="0" w:type="auto"/>
        <w:tblLook w:val="04A0" w:firstRow="1" w:lastRow="0" w:firstColumn="1" w:lastColumn="0" w:noHBand="0" w:noVBand="1"/>
      </w:tblPr>
      <w:tblGrid>
        <w:gridCol w:w="3116"/>
        <w:gridCol w:w="3117"/>
        <w:gridCol w:w="3117"/>
      </w:tblGrid>
      <w:tr w:rsidR="00B90936" w14:paraId="1B920883" w14:textId="77777777" w:rsidTr="001515D5">
        <w:tc>
          <w:tcPr>
            <w:tcW w:w="3116" w:type="dxa"/>
            <w:vAlign w:val="bottom"/>
          </w:tcPr>
          <w:p w14:paraId="6A913309" w14:textId="77777777" w:rsidR="00B90936" w:rsidRPr="00CB3321" w:rsidRDefault="00B90936" w:rsidP="001515D5">
            <w:r>
              <w:t>Year</w:t>
            </w:r>
          </w:p>
        </w:tc>
        <w:tc>
          <w:tcPr>
            <w:tcW w:w="3117" w:type="dxa"/>
            <w:vAlign w:val="bottom"/>
          </w:tcPr>
          <w:p w14:paraId="5F5FCC2A" w14:textId="77777777" w:rsidR="00B90936" w:rsidRPr="00CB3321" w:rsidRDefault="00B90936" w:rsidP="001515D5">
            <w:r w:rsidRPr="00CB3321">
              <w:t>South Carolina</w:t>
            </w:r>
          </w:p>
        </w:tc>
        <w:tc>
          <w:tcPr>
            <w:tcW w:w="3117" w:type="dxa"/>
            <w:vAlign w:val="bottom"/>
          </w:tcPr>
          <w:p w14:paraId="792856AC" w14:textId="77777777" w:rsidR="00B90936" w:rsidRPr="00CB3321" w:rsidRDefault="00B90936" w:rsidP="001515D5">
            <w:r w:rsidRPr="00CB3321">
              <w:t>United States</w:t>
            </w:r>
          </w:p>
        </w:tc>
      </w:tr>
      <w:tr w:rsidR="00B90936" w14:paraId="2277DA35" w14:textId="77777777" w:rsidTr="001515D5">
        <w:tc>
          <w:tcPr>
            <w:tcW w:w="3116" w:type="dxa"/>
            <w:vAlign w:val="bottom"/>
          </w:tcPr>
          <w:p w14:paraId="4C5D3F03" w14:textId="77777777" w:rsidR="00B90936" w:rsidRPr="00CB3321" w:rsidRDefault="00B90936" w:rsidP="001515D5">
            <w:r w:rsidRPr="00CB3321">
              <w:t>2016-2017</w:t>
            </w:r>
          </w:p>
        </w:tc>
        <w:tc>
          <w:tcPr>
            <w:tcW w:w="3117" w:type="dxa"/>
            <w:vAlign w:val="bottom"/>
          </w:tcPr>
          <w:p w14:paraId="3047437D" w14:textId="77777777" w:rsidR="00B90936" w:rsidRPr="00CB3321" w:rsidRDefault="00B90936" w:rsidP="001515D5">
            <w:r w:rsidRPr="00CB3321">
              <w:t>48.4%</w:t>
            </w:r>
          </w:p>
        </w:tc>
        <w:tc>
          <w:tcPr>
            <w:tcW w:w="3117" w:type="dxa"/>
            <w:vAlign w:val="bottom"/>
          </w:tcPr>
          <w:p w14:paraId="38F4CD61" w14:textId="77777777" w:rsidR="00B90936" w:rsidRPr="00CB3321" w:rsidRDefault="00B90936" w:rsidP="001515D5">
            <w:r w:rsidRPr="00CB3321">
              <w:t>43.2%</w:t>
            </w:r>
          </w:p>
        </w:tc>
      </w:tr>
      <w:tr w:rsidR="00B90936" w14:paraId="4485FECD" w14:textId="77777777" w:rsidTr="001515D5">
        <w:tc>
          <w:tcPr>
            <w:tcW w:w="3116" w:type="dxa"/>
            <w:vAlign w:val="bottom"/>
          </w:tcPr>
          <w:p w14:paraId="6AFAE02B" w14:textId="77777777" w:rsidR="00B90936" w:rsidRPr="00CB3321" w:rsidRDefault="00B90936" w:rsidP="001515D5">
            <w:r w:rsidRPr="00CB3321">
              <w:t>2017-2018</w:t>
            </w:r>
          </w:p>
        </w:tc>
        <w:tc>
          <w:tcPr>
            <w:tcW w:w="3117" w:type="dxa"/>
            <w:vAlign w:val="bottom"/>
          </w:tcPr>
          <w:p w14:paraId="3576C550" w14:textId="77777777" w:rsidR="00B90936" w:rsidRPr="00CB3321" w:rsidRDefault="00B90936" w:rsidP="001515D5">
            <w:r w:rsidRPr="00CB3321">
              <w:t>44.6%</w:t>
            </w:r>
          </w:p>
        </w:tc>
        <w:tc>
          <w:tcPr>
            <w:tcW w:w="3117" w:type="dxa"/>
            <w:vAlign w:val="bottom"/>
          </w:tcPr>
          <w:p w14:paraId="287C52EC" w14:textId="77777777" w:rsidR="00B90936" w:rsidRPr="00CB3321" w:rsidRDefault="00B90936" w:rsidP="001515D5">
            <w:r w:rsidRPr="00CB3321">
              <w:t>42.7%</w:t>
            </w:r>
          </w:p>
        </w:tc>
      </w:tr>
      <w:tr w:rsidR="00B90936" w14:paraId="4AFE9C0E" w14:textId="77777777" w:rsidTr="001515D5">
        <w:tc>
          <w:tcPr>
            <w:tcW w:w="3116" w:type="dxa"/>
            <w:vAlign w:val="bottom"/>
          </w:tcPr>
          <w:p w14:paraId="638CDADB" w14:textId="77777777" w:rsidR="00B90936" w:rsidRPr="00CB3321" w:rsidRDefault="00B90936" w:rsidP="001515D5">
            <w:r w:rsidRPr="00CB3321">
              <w:t>2018-2019</w:t>
            </w:r>
          </w:p>
        </w:tc>
        <w:tc>
          <w:tcPr>
            <w:tcW w:w="3117" w:type="dxa"/>
            <w:vAlign w:val="bottom"/>
          </w:tcPr>
          <w:p w14:paraId="2DB50257" w14:textId="77777777" w:rsidR="00B90936" w:rsidRPr="00CB3321" w:rsidRDefault="00B90936" w:rsidP="001515D5">
            <w:r w:rsidRPr="00CB3321">
              <w:t>49.5%</w:t>
            </w:r>
          </w:p>
        </w:tc>
        <w:tc>
          <w:tcPr>
            <w:tcW w:w="3117" w:type="dxa"/>
            <w:vAlign w:val="bottom"/>
          </w:tcPr>
          <w:p w14:paraId="142783F9" w14:textId="77777777" w:rsidR="00B90936" w:rsidRPr="00CB3321" w:rsidRDefault="00B90936" w:rsidP="001515D5">
            <w:r w:rsidRPr="00CB3321">
              <w:t>42.3%</w:t>
            </w:r>
          </w:p>
        </w:tc>
      </w:tr>
      <w:tr w:rsidR="00B90936" w14:paraId="6B53935A" w14:textId="77777777" w:rsidTr="001515D5">
        <w:tc>
          <w:tcPr>
            <w:tcW w:w="3116" w:type="dxa"/>
            <w:vAlign w:val="bottom"/>
          </w:tcPr>
          <w:p w14:paraId="24B5B28F" w14:textId="77777777" w:rsidR="00B90936" w:rsidRPr="00CB3321" w:rsidRDefault="00B90936" w:rsidP="001515D5">
            <w:r w:rsidRPr="00CB3321">
              <w:t>2019-2020</w:t>
            </w:r>
          </w:p>
        </w:tc>
        <w:tc>
          <w:tcPr>
            <w:tcW w:w="3117" w:type="dxa"/>
            <w:vAlign w:val="bottom"/>
          </w:tcPr>
          <w:p w14:paraId="698FD9E2" w14:textId="77777777" w:rsidR="00B90936" w:rsidRPr="00CB3321" w:rsidRDefault="00B90936" w:rsidP="001515D5">
            <w:r w:rsidRPr="00CB3321">
              <w:t>58.1%</w:t>
            </w:r>
          </w:p>
        </w:tc>
        <w:tc>
          <w:tcPr>
            <w:tcW w:w="3117" w:type="dxa"/>
            <w:vAlign w:val="bottom"/>
          </w:tcPr>
          <w:p w14:paraId="4EA6AD4F" w14:textId="77777777" w:rsidR="00B90936" w:rsidRPr="00CB3321" w:rsidRDefault="00B90936" w:rsidP="001515D5">
            <w:r w:rsidRPr="00CB3321">
              <w:t>42.2%</w:t>
            </w:r>
          </w:p>
        </w:tc>
      </w:tr>
      <w:tr w:rsidR="00B90936" w14:paraId="14B2CBF7" w14:textId="77777777" w:rsidTr="001515D5">
        <w:tc>
          <w:tcPr>
            <w:tcW w:w="3116" w:type="dxa"/>
            <w:vAlign w:val="bottom"/>
          </w:tcPr>
          <w:p w14:paraId="0048D3DE" w14:textId="77777777" w:rsidR="00B90936" w:rsidRPr="00CB3321" w:rsidRDefault="00B90936" w:rsidP="001515D5">
            <w:r w:rsidRPr="00CB3321">
              <w:t>2020-2021</w:t>
            </w:r>
          </w:p>
        </w:tc>
        <w:tc>
          <w:tcPr>
            <w:tcW w:w="3117" w:type="dxa"/>
            <w:vAlign w:val="bottom"/>
          </w:tcPr>
          <w:p w14:paraId="04F49BFB" w14:textId="77777777" w:rsidR="00B90936" w:rsidRPr="00CB3321" w:rsidRDefault="00B90936" w:rsidP="001515D5">
            <w:r w:rsidRPr="00CB3321">
              <w:t>49.7%</w:t>
            </w:r>
          </w:p>
        </w:tc>
        <w:tc>
          <w:tcPr>
            <w:tcW w:w="3117" w:type="dxa"/>
            <w:vAlign w:val="bottom"/>
          </w:tcPr>
          <w:p w14:paraId="3710A5BB" w14:textId="77777777" w:rsidR="00B90936" w:rsidRPr="00CB3321" w:rsidRDefault="00B90936" w:rsidP="001515D5">
            <w:r w:rsidRPr="00CB3321">
              <w:t>42.0%</w:t>
            </w:r>
          </w:p>
        </w:tc>
      </w:tr>
    </w:tbl>
    <w:p w14:paraId="674A45E9" w14:textId="4080D2EE" w:rsidR="00B90936" w:rsidRPr="00CF1BB1" w:rsidRDefault="00B90936" w:rsidP="00CF1BB1">
      <w:r w:rsidRPr="00CB3321">
        <w:t>Source: National Survey of Children’s Health, Health Resources and Services Administration, Maternal and Child Health Bureau.</w:t>
      </w:r>
    </w:p>
    <w:p w14:paraId="66651DFD" w14:textId="77777777" w:rsidR="00CF1BB1" w:rsidRPr="00CF1BB1" w:rsidRDefault="00CF1BB1" w:rsidP="00CF1BB1"/>
    <w:p w14:paraId="7F7CFDDE" w14:textId="295CE197" w:rsidR="00CF1BB1" w:rsidRPr="00CF1BB1" w:rsidRDefault="00506CC7" w:rsidP="00CF1BB1">
      <w:pPr>
        <w:pStyle w:val="Heading4"/>
        <w:rPr>
          <w:rFonts w:asciiTheme="minorHAnsi" w:hAnsiTheme="minorHAnsi" w:cstheme="minorHAnsi"/>
          <w:color w:val="000000" w:themeColor="text1"/>
        </w:rPr>
      </w:pPr>
      <w:bookmarkStart w:id="672" w:name="_Toc162267452"/>
      <w:r w:rsidRPr="00CF1BB1">
        <w:rPr>
          <w:rFonts w:asciiTheme="minorHAnsi" w:hAnsiTheme="minorHAnsi" w:cstheme="minorHAnsi"/>
          <w:color w:val="000000" w:themeColor="text1"/>
        </w:rPr>
        <w:t xml:space="preserve">References </w:t>
      </w:r>
      <w:r w:rsidR="00CF1BB1" w:rsidRPr="00CF1BB1">
        <w:rPr>
          <w:rFonts w:asciiTheme="minorHAnsi" w:hAnsiTheme="minorHAnsi" w:cstheme="minorHAnsi"/>
          <w:color w:val="000000" w:themeColor="text1"/>
        </w:rPr>
        <w:t>8.2</w:t>
      </w:r>
      <w:bookmarkEnd w:id="672"/>
      <w:r w:rsidR="00637B75">
        <w:rPr>
          <w:rFonts w:asciiTheme="minorHAnsi" w:hAnsiTheme="minorHAnsi" w:cstheme="minorHAnsi"/>
          <w:color w:val="000000" w:themeColor="text1"/>
        </w:rPr>
        <w:t>3</w:t>
      </w:r>
    </w:p>
    <w:p w14:paraId="792432DE" w14:textId="3F83115E" w:rsidR="00CF1BB1" w:rsidRPr="00CF1BB1" w:rsidRDefault="00CF1BB1" w:rsidP="00CF1BB1">
      <w:pPr>
        <w:rPr>
          <w:i/>
          <w:iCs/>
        </w:rPr>
      </w:pPr>
      <w:r w:rsidRPr="00CF1BB1">
        <w:t>Statistics in the preceding section were referenced from the following report</w:t>
      </w:r>
      <w:r>
        <w:t>s</w:t>
      </w:r>
      <w:r w:rsidRPr="00CF1BB1">
        <w:t>:</w:t>
      </w:r>
    </w:p>
    <w:p w14:paraId="7B9FB48A" w14:textId="4DCCA009" w:rsidR="00C65F72" w:rsidRPr="00C65F72" w:rsidRDefault="00C65F72" w:rsidP="00926EB3">
      <w:pPr>
        <w:pStyle w:val="ListParagraph"/>
        <w:numPr>
          <w:ilvl w:val="0"/>
          <w:numId w:val="35"/>
        </w:numPr>
      </w:pPr>
      <w:r>
        <w:lastRenderedPageBreak/>
        <w:t>“</w:t>
      </w:r>
      <w:r w:rsidRPr="00C65F72">
        <w:t>A New Definition of Children With Special Health Care Needs</w:t>
      </w:r>
      <w:r>
        <w:t>” by</w:t>
      </w:r>
      <w:r w:rsidRPr="00C65F72">
        <w:t xml:space="preserve"> McPherson M, Arango P, Fox H, et al.</w:t>
      </w:r>
      <w:r>
        <w:t xml:space="preserve"> Published in</w:t>
      </w:r>
      <w:r w:rsidRPr="00C65F72">
        <w:t xml:space="preserve"> Pediatrics</w:t>
      </w:r>
      <w:r>
        <w:t>,</w:t>
      </w:r>
      <w:r w:rsidRPr="00C65F72">
        <w:t xml:space="preserve"> 1998</w:t>
      </w:r>
      <w:r>
        <w:t>. No hyperlink.</w:t>
      </w:r>
    </w:p>
    <w:p w14:paraId="38DDFE1B" w14:textId="0D3401C3" w:rsidR="00C65F72" w:rsidRPr="00C65F72" w:rsidRDefault="00C65F72" w:rsidP="00926EB3">
      <w:pPr>
        <w:pStyle w:val="ListParagraph"/>
        <w:numPr>
          <w:ilvl w:val="0"/>
          <w:numId w:val="35"/>
        </w:numPr>
      </w:pPr>
      <w:r>
        <w:t>“</w:t>
      </w:r>
      <w:r w:rsidRPr="00C65F72">
        <w:t>National Performance Measure 11 Medical Evidence Review</w:t>
      </w:r>
      <w:r>
        <w:t xml:space="preserve">” by </w:t>
      </w:r>
      <w:r w:rsidRPr="00C65F72">
        <w:t>Le L, Rachel Brady M, Peter Hanssen M, Deborah Perry MF, Richards J.</w:t>
      </w:r>
      <w:r>
        <w:t xml:space="preserve"> Published in</w:t>
      </w:r>
      <w:r w:rsidRPr="00C65F72">
        <w:t xml:space="preserve"> Strengthen the Evidence Base for Maternal and Child Health Programs.; 2019.</w:t>
      </w:r>
      <w:r>
        <w:t xml:space="preserve"> No hyperlink.</w:t>
      </w:r>
    </w:p>
    <w:p w14:paraId="376A21E8" w14:textId="640309AC" w:rsidR="00C65F72" w:rsidRDefault="0024002A" w:rsidP="00926EB3">
      <w:pPr>
        <w:pStyle w:val="ListParagraph"/>
        <w:numPr>
          <w:ilvl w:val="0"/>
          <w:numId w:val="35"/>
        </w:numPr>
      </w:pPr>
      <w:r>
        <w:t>“</w:t>
      </w:r>
      <w:r w:rsidR="00C65F72" w:rsidRPr="00C65F72">
        <w:t>National Performance Measure 12 Health Care Transition Review</w:t>
      </w:r>
      <w:r>
        <w:t xml:space="preserve">” by </w:t>
      </w:r>
      <w:r w:rsidRPr="00C65F72">
        <w:t xml:space="preserve">Le LT, Wendy </w:t>
      </w:r>
      <w:proofErr w:type="spellStart"/>
      <w:r w:rsidRPr="00C65F72">
        <w:t>Wasman</w:t>
      </w:r>
      <w:proofErr w:type="spellEnd"/>
      <w:r w:rsidRPr="00C65F72">
        <w:t xml:space="preserve"> M, Beth </w:t>
      </w:r>
      <w:proofErr w:type="spellStart"/>
      <w:r w:rsidRPr="00C65F72">
        <w:t>DeFrancis</w:t>
      </w:r>
      <w:proofErr w:type="spellEnd"/>
      <w:r w:rsidRPr="00C65F72">
        <w:t xml:space="preserve"> Sun M, et al</w:t>
      </w:r>
      <w:r w:rsidR="00C65F72" w:rsidRPr="00C65F72">
        <w:t>.</w:t>
      </w:r>
      <w:r>
        <w:t xml:space="preserve"> Published in</w:t>
      </w:r>
      <w:r w:rsidR="00C65F72" w:rsidRPr="00C65F72">
        <w:t xml:space="preserve"> Strengthen the Evidence Base for Maternal and Child Health Programs</w:t>
      </w:r>
      <w:r>
        <w:t>,</w:t>
      </w:r>
      <w:r w:rsidR="00C65F72" w:rsidRPr="00C65F72">
        <w:t xml:space="preserve"> 2020.</w:t>
      </w:r>
      <w:r>
        <w:t xml:space="preserve"> No hyperlink.</w:t>
      </w:r>
    </w:p>
    <w:p w14:paraId="259F34A8" w14:textId="02B6E3AF" w:rsidR="00637B75" w:rsidRPr="00C65F72" w:rsidRDefault="00637B75" w:rsidP="00637B75">
      <w:pPr>
        <w:pStyle w:val="ListParagraph"/>
        <w:numPr>
          <w:ilvl w:val="0"/>
          <w:numId w:val="35"/>
        </w:numPr>
      </w:pPr>
      <w:r>
        <w:t>“</w:t>
      </w:r>
      <w:r w:rsidRPr="00C65F72">
        <w:t>Outcomes of Pediatric to Adult Health Care Transition Interventions: An Updated Systematic Review</w:t>
      </w:r>
      <w:r>
        <w:t xml:space="preserve">” by </w:t>
      </w:r>
      <w:r w:rsidRPr="00C65F72">
        <w:t>Schmidt A, Ilango SM, McManus MA, Rogers KK, White PH.</w:t>
      </w:r>
      <w:r>
        <w:t xml:space="preserve"> Published in</w:t>
      </w:r>
      <w:r w:rsidRPr="00C65F72">
        <w:t xml:space="preserve"> J </w:t>
      </w:r>
      <w:proofErr w:type="spellStart"/>
      <w:r w:rsidRPr="00C65F72">
        <w:t>Pediatr</w:t>
      </w:r>
      <w:proofErr w:type="spellEnd"/>
      <w:r w:rsidRPr="00C65F72">
        <w:t xml:space="preserve"> </w:t>
      </w:r>
      <w:proofErr w:type="spellStart"/>
      <w:r w:rsidRPr="00C65F72">
        <w:t>Nurs</w:t>
      </w:r>
      <w:proofErr w:type="spellEnd"/>
      <w:r>
        <w:t xml:space="preserve">, </w:t>
      </w:r>
      <w:r w:rsidRPr="00C65F72">
        <w:t>2020</w:t>
      </w:r>
      <w:r>
        <w:t>. No hyperlink.</w:t>
      </w:r>
    </w:p>
    <w:p w14:paraId="259017FA" w14:textId="2E1CADD8" w:rsidR="00056587" w:rsidRDefault="00056587" w:rsidP="00637B75">
      <w:pPr>
        <w:pStyle w:val="ListParagraph"/>
        <w:numPr>
          <w:ilvl w:val="0"/>
          <w:numId w:val="35"/>
        </w:numPr>
      </w:pPr>
      <w:r>
        <w:br w:type="page"/>
      </w:r>
    </w:p>
    <w:p w14:paraId="590E9BB6" w14:textId="77777777" w:rsidR="00056587" w:rsidRDefault="00056587" w:rsidP="00056587">
      <w:pPr>
        <w:pStyle w:val="Heading2"/>
      </w:pPr>
      <w:bookmarkStart w:id="673" w:name="_Toc162267453"/>
      <w:r>
        <w:lastRenderedPageBreak/>
        <w:t>Chapter 9: Healthy Adults</w:t>
      </w:r>
      <w:bookmarkEnd w:id="673"/>
    </w:p>
    <w:p w14:paraId="5894D32F" w14:textId="77777777" w:rsidR="00560BFC" w:rsidRPr="00560BFC" w:rsidRDefault="00560BFC" w:rsidP="00560BFC">
      <w:pPr>
        <w:pStyle w:val="Heading3"/>
      </w:pPr>
      <w:bookmarkStart w:id="674" w:name="_Toc162267454"/>
      <w:r w:rsidRPr="00560BFC">
        <w:t>Leading Causes of Hospitalizations and Deaths</w:t>
      </w:r>
      <w:bookmarkEnd w:id="674"/>
    </w:p>
    <w:p w14:paraId="62EC6944" w14:textId="49AA2A64" w:rsidR="00560BFC" w:rsidRDefault="00560BFC" w:rsidP="00560BFC">
      <w:r w:rsidRPr="00560BFC">
        <w:t>Hospitals and emergency departments (ED) are essential sources of care for acute, chronic, and emergency conditions. The most frequent diagnoses for hospitalizations in the United States (US) are septicemia, heart failure, osteoarthritis, pneumonia, and diabetes. Identifying the most frequent primary conditions for which patients are admitted to the hospital is important to the implementation and improvement of health care delivery, quality initiatives, and health policy. For example, this information can help establish national health priorities, initiatives, and action plans.</w:t>
      </w:r>
    </w:p>
    <w:p w14:paraId="4CE27036" w14:textId="77777777" w:rsidR="00353117" w:rsidRPr="00560BFC" w:rsidRDefault="00353117" w:rsidP="00560BFC"/>
    <w:p w14:paraId="5D29795E" w14:textId="43AA6CF3" w:rsidR="00560BFC" w:rsidRDefault="00560BFC" w:rsidP="00560BFC">
      <w:pPr>
        <w:rPr>
          <w:b/>
          <w:bCs/>
        </w:rPr>
      </w:pPr>
      <w:r w:rsidRPr="00560BFC">
        <w:t>Leading causes of death are an important measure of population health. They can highlight the need to address growing epidemics in healthcare and lead to</w:t>
      </w:r>
      <w:r w:rsidR="00353117">
        <w:t xml:space="preserve"> </w:t>
      </w:r>
      <w:r w:rsidRPr="00560BFC">
        <w:t>understanding how preventive measures may help people live longer and healthier lives. For more than a decade, heart disease and cancer have claimed the first and second spots respectively as the leading causes of death in US. Together, the two causes are responsible for 46% of deaths in the US.</w:t>
      </w:r>
    </w:p>
    <w:p w14:paraId="070B5B08" w14:textId="77777777" w:rsidR="004503E5" w:rsidRDefault="004503E5" w:rsidP="004503E5">
      <w:pPr>
        <w:pStyle w:val="Heading4"/>
        <w:rPr>
          <w:color w:val="FF0000"/>
        </w:rPr>
      </w:pPr>
    </w:p>
    <w:p w14:paraId="0AEE3AD8" w14:textId="77777777" w:rsidR="00B90936" w:rsidRDefault="00B90936" w:rsidP="00B90936">
      <w:pPr>
        <w:pStyle w:val="Heading4"/>
      </w:pPr>
      <w:bookmarkStart w:id="675" w:name="_Toc154576482"/>
      <w:bookmarkStart w:id="676" w:name="_Toc162267455"/>
      <w:bookmarkStart w:id="677" w:name="_Toc154576483"/>
      <w:r>
        <w:t>Figure 9.1: Leading Causes of Hospitalizations, Ages 18-64 Years.</w:t>
      </w:r>
      <w:bookmarkEnd w:id="675"/>
      <w:bookmarkEnd w:id="676"/>
    </w:p>
    <w:tbl>
      <w:tblPr>
        <w:tblStyle w:val="TableGrid"/>
        <w:tblW w:w="0" w:type="auto"/>
        <w:tblLook w:val="04A0" w:firstRow="1" w:lastRow="0" w:firstColumn="1" w:lastColumn="0" w:noHBand="0" w:noVBand="1"/>
      </w:tblPr>
      <w:tblGrid>
        <w:gridCol w:w="4675"/>
        <w:gridCol w:w="4675"/>
      </w:tblGrid>
      <w:tr w:rsidR="00B90936" w14:paraId="3978E31B" w14:textId="77777777" w:rsidTr="001515D5">
        <w:tc>
          <w:tcPr>
            <w:tcW w:w="4675" w:type="dxa"/>
          </w:tcPr>
          <w:p w14:paraId="7054339A" w14:textId="77777777" w:rsidR="00B90936" w:rsidRDefault="00B90936" w:rsidP="001515D5">
            <w:r>
              <w:t>Cause</w:t>
            </w:r>
          </w:p>
        </w:tc>
        <w:tc>
          <w:tcPr>
            <w:tcW w:w="4675" w:type="dxa"/>
          </w:tcPr>
          <w:p w14:paraId="694C918E" w14:textId="77777777" w:rsidR="00B90936" w:rsidRDefault="00B90936" w:rsidP="001515D5">
            <w:r>
              <w:t>Total number of hospitalizations</w:t>
            </w:r>
          </w:p>
        </w:tc>
      </w:tr>
      <w:tr w:rsidR="00B90936" w14:paraId="24EBE3C5" w14:textId="77777777" w:rsidTr="001515D5">
        <w:tc>
          <w:tcPr>
            <w:tcW w:w="4675" w:type="dxa"/>
            <w:vAlign w:val="bottom"/>
          </w:tcPr>
          <w:p w14:paraId="6DAD5993" w14:textId="77777777" w:rsidR="00B90936" w:rsidRDefault="00B90936" w:rsidP="001515D5">
            <w:r>
              <w:t>Maternal Care for other Fetal Problems</w:t>
            </w:r>
          </w:p>
        </w:tc>
        <w:tc>
          <w:tcPr>
            <w:tcW w:w="4675" w:type="dxa"/>
            <w:vAlign w:val="bottom"/>
          </w:tcPr>
          <w:p w14:paraId="2E524348" w14:textId="77777777" w:rsidR="00B90936" w:rsidRDefault="00B90936" w:rsidP="001515D5">
            <w:r>
              <w:t>3,511</w:t>
            </w:r>
          </w:p>
        </w:tc>
      </w:tr>
      <w:tr w:rsidR="00B90936" w14:paraId="40A43BB9" w14:textId="77777777" w:rsidTr="001515D5">
        <w:tc>
          <w:tcPr>
            <w:tcW w:w="4675" w:type="dxa"/>
            <w:vAlign w:val="bottom"/>
          </w:tcPr>
          <w:p w14:paraId="088DC267" w14:textId="77777777" w:rsidR="00B90936" w:rsidRDefault="00B90936" w:rsidP="001515D5">
            <w:r>
              <w:t>Acute Pancreatitis</w:t>
            </w:r>
          </w:p>
        </w:tc>
        <w:tc>
          <w:tcPr>
            <w:tcW w:w="4675" w:type="dxa"/>
            <w:vAlign w:val="bottom"/>
          </w:tcPr>
          <w:p w14:paraId="4167A7FC" w14:textId="77777777" w:rsidR="00B90936" w:rsidRDefault="00B90936" w:rsidP="001515D5">
            <w:r>
              <w:t>3,515</w:t>
            </w:r>
          </w:p>
        </w:tc>
      </w:tr>
      <w:tr w:rsidR="00B90936" w14:paraId="12280B45" w14:textId="77777777" w:rsidTr="001515D5">
        <w:tc>
          <w:tcPr>
            <w:tcW w:w="4675" w:type="dxa"/>
            <w:vAlign w:val="bottom"/>
          </w:tcPr>
          <w:p w14:paraId="7794057D" w14:textId="77777777" w:rsidR="00B90936" w:rsidRDefault="00B90936" w:rsidP="001515D5">
            <w:r>
              <w:t>Premature Rupture of Membranes</w:t>
            </w:r>
          </w:p>
        </w:tc>
        <w:tc>
          <w:tcPr>
            <w:tcW w:w="4675" w:type="dxa"/>
            <w:vAlign w:val="bottom"/>
          </w:tcPr>
          <w:p w14:paraId="04A39216" w14:textId="77777777" w:rsidR="00B90936" w:rsidRDefault="00B90936" w:rsidP="001515D5">
            <w:r>
              <w:t>3,567</w:t>
            </w:r>
          </w:p>
        </w:tc>
      </w:tr>
      <w:tr w:rsidR="00B90936" w14:paraId="356AAFD0" w14:textId="77777777" w:rsidTr="001515D5">
        <w:tc>
          <w:tcPr>
            <w:tcW w:w="4675" w:type="dxa"/>
            <w:vAlign w:val="bottom"/>
          </w:tcPr>
          <w:p w14:paraId="25450F2A" w14:textId="77777777" w:rsidR="00B90936" w:rsidRDefault="00B90936" w:rsidP="001515D5">
            <w:r>
              <w:t>Stroke</w:t>
            </w:r>
          </w:p>
        </w:tc>
        <w:tc>
          <w:tcPr>
            <w:tcW w:w="4675" w:type="dxa"/>
            <w:vAlign w:val="bottom"/>
          </w:tcPr>
          <w:p w14:paraId="65638177" w14:textId="77777777" w:rsidR="00B90936" w:rsidRDefault="00B90936" w:rsidP="001515D5">
            <w:r>
              <w:t>3,954</w:t>
            </w:r>
          </w:p>
        </w:tc>
      </w:tr>
      <w:tr w:rsidR="00B90936" w14:paraId="0EB778AD" w14:textId="77777777" w:rsidTr="001515D5">
        <w:tc>
          <w:tcPr>
            <w:tcW w:w="4675" w:type="dxa"/>
            <w:vAlign w:val="bottom"/>
          </w:tcPr>
          <w:p w14:paraId="58E78285" w14:textId="77777777" w:rsidR="00B90936" w:rsidRDefault="00B90936" w:rsidP="001515D5">
            <w:r>
              <w:t>Heart Attack</w:t>
            </w:r>
          </w:p>
        </w:tc>
        <w:tc>
          <w:tcPr>
            <w:tcW w:w="4675" w:type="dxa"/>
            <w:vAlign w:val="bottom"/>
          </w:tcPr>
          <w:p w14:paraId="44871EDA" w14:textId="77777777" w:rsidR="00B90936" w:rsidRDefault="00B90936" w:rsidP="001515D5">
            <w:r>
              <w:t>4,565</w:t>
            </w:r>
          </w:p>
        </w:tc>
      </w:tr>
      <w:tr w:rsidR="00B90936" w14:paraId="680D5FAD" w14:textId="77777777" w:rsidTr="001515D5">
        <w:tc>
          <w:tcPr>
            <w:tcW w:w="4675" w:type="dxa"/>
            <w:vAlign w:val="bottom"/>
          </w:tcPr>
          <w:p w14:paraId="2F9D3268" w14:textId="77777777" w:rsidR="00B90936" w:rsidRDefault="00B90936" w:rsidP="001515D5">
            <w:r>
              <w:t>Type 2 Diabetes</w:t>
            </w:r>
          </w:p>
        </w:tc>
        <w:tc>
          <w:tcPr>
            <w:tcW w:w="4675" w:type="dxa"/>
            <w:vAlign w:val="bottom"/>
          </w:tcPr>
          <w:p w14:paraId="3CA3840B" w14:textId="77777777" w:rsidR="00B90936" w:rsidRDefault="00B90936" w:rsidP="001515D5">
            <w:r>
              <w:t>5,837</w:t>
            </w:r>
          </w:p>
        </w:tc>
      </w:tr>
      <w:tr w:rsidR="00B90936" w14:paraId="6B21683C" w14:textId="77777777" w:rsidTr="001515D5">
        <w:tc>
          <w:tcPr>
            <w:tcW w:w="4675" w:type="dxa"/>
            <w:vAlign w:val="bottom"/>
          </w:tcPr>
          <w:p w14:paraId="641C6D33" w14:textId="77777777" w:rsidR="00B90936" w:rsidRDefault="00B90936" w:rsidP="001515D5">
            <w:r>
              <w:t>Maternal Care for Abnormality of Pelvic Organs</w:t>
            </w:r>
          </w:p>
        </w:tc>
        <w:tc>
          <w:tcPr>
            <w:tcW w:w="4675" w:type="dxa"/>
            <w:vAlign w:val="bottom"/>
          </w:tcPr>
          <w:p w14:paraId="3196394F" w14:textId="77777777" w:rsidR="00B90936" w:rsidRDefault="00B90936" w:rsidP="001515D5">
            <w:r>
              <w:t>6,630</w:t>
            </w:r>
          </w:p>
        </w:tc>
      </w:tr>
      <w:tr w:rsidR="00B90936" w14:paraId="24A14EAC" w14:textId="77777777" w:rsidTr="001515D5">
        <w:tc>
          <w:tcPr>
            <w:tcW w:w="4675" w:type="dxa"/>
            <w:vAlign w:val="center"/>
          </w:tcPr>
          <w:p w14:paraId="7BA8AC25" w14:textId="77777777" w:rsidR="00B90936" w:rsidRPr="00120084" w:rsidRDefault="00B90936" w:rsidP="001515D5">
            <w:r w:rsidRPr="00120084">
              <w:t>Maternal Disease, Complications with Pregnancy or Childbirth</w:t>
            </w:r>
          </w:p>
        </w:tc>
        <w:tc>
          <w:tcPr>
            <w:tcW w:w="4675" w:type="dxa"/>
            <w:vAlign w:val="bottom"/>
          </w:tcPr>
          <w:p w14:paraId="10E10C4B" w14:textId="77777777" w:rsidR="00B90936" w:rsidRDefault="00B90936" w:rsidP="001515D5">
            <w:r>
              <w:t>8,592</w:t>
            </w:r>
          </w:p>
        </w:tc>
      </w:tr>
      <w:tr w:rsidR="00B90936" w14:paraId="4F7F687C" w14:textId="77777777" w:rsidTr="001515D5">
        <w:tc>
          <w:tcPr>
            <w:tcW w:w="4675" w:type="dxa"/>
            <w:vAlign w:val="bottom"/>
          </w:tcPr>
          <w:p w14:paraId="5B53E384" w14:textId="77777777" w:rsidR="00B90936" w:rsidRDefault="00B90936" w:rsidP="001515D5">
            <w:r>
              <w:t>Sepsis</w:t>
            </w:r>
          </w:p>
        </w:tc>
        <w:tc>
          <w:tcPr>
            <w:tcW w:w="4675" w:type="dxa"/>
            <w:vAlign w:val="bottom"/>
          </w:tcPr>
          <w:p w14:paraId="3C4C2049" w14:textId="77777777" w:rsidR="00B90936" w:rsidRDefault="00B90936" w:rsidP="001515D5">
            <w:r>
              <w:t>15,384</w:t>
            </w:r>
          </w:p>
        </w:tc>
      </w:tr>
      <w:tr w:rsidR="00B90936" w14:paraId="16225A55" w14:textId="77777777" w:rsidTr="001515D5">
        <w:tc>
          <w:tcPr>
            <w:tcW w:w="4675" w:type="dxa"/>
            <w:vAlign w:val="bottom"/>
          </w:tcPr>
          <w:p w14:paraId="65D84053" w14:textId="77777777" w:rsidR="00B90936" w:rsidRDefault="00B90936" w:rsidP="001515D5">
            <w:r>
              <w:t>COVID-19</w:t>
            </w:r>
          </w:p>
        </w:tc>
        <w:tc>
          <w:tcPr>
            <w:tcW w:w="4675" w:type="dxa"/>
            <w:vAlign w:val="bottom"/>
          </w:tcPr>
          <w:p w14:paraId="3428A3D8" w14:textId="77777777" w:rsidR="00B90936" w:rsidRDefault="00B90936" w:rsidP="001515D5">
            <w:r>
              <w:t>16,079</w:t>
            </w:r>
          </w:p>
        </w:tc>
      </w:tr>
    </w:tbl>
    <w:p w14:paraId="3EF01F95" w14:textId="77777777" w:rsidR="00B90936" w:rsidRPr="00120084" w:rsidRDefault="00B90936" w:rsidP="00B90936">
      <w:r w:rsidRPr="00120084">
        <w:t xml:space="preserve">Source: SC RFA, 2021. </w:t>
      </w:r>
    </w:p>
    <w:p w14:paraId="1CF87385" w14:textId="77777777" w:rsidR="00B90936" w:rsidRDefault="00B90936" w:rsidP="00B90936">
      <w:r w:rsidRPr="00120084">
        <w:t>Note: Federal fiscal year.</w:t>
      </w:r>
    </w:p>
    <w:p w14:paraId="6E9BD573" w14:textId="77777777" w:rsidR="00B90936" w:rsidRDefault="00B90936" w:rsidP="00B90936">
      <w:pPr>
        <w:pStyle w:val="Heading4"/>
      </w:pPr>
    </w:p>
    <w:p w14:paraId="10BB6390" w14:textId="1D700C7D" w:rsidR="00B90936" w:rsidRDefault="00B90936" w:rsidP="00B90936">
      <w:pPr>
        <w:pStyle w:val="Heading4"/>
      </w:pPr>
      <w:bookmarkStart w:id="678" w:name="_Toc162267456"/>
      <w:r>
        <w:t>Table 9.1: Leading Causes of Death, by Age Group.</w:t>
      </w:r>
      <w:bookmarkEnd w:id="677"/>
      <w:bookmarkEnd w:id="678"/>
    </w:p>
    <w:p w14:paraId="7FE73F16" w14:textId="77777777" w:rsidR="00B90936" w:rsidRDefault="00B90936" w:rsidP="00B90936">
      <w:pPr>
        <w:pStyle w:val="Heading5"/>
      </w:pPr>
      <w:r>
        <w:t xml:space="preserve">Ages 18-24. </w:t>
      </w:r>
    </w:p>
    <w:tbl>
      <w:tblPr>
        <w:tblStyle w:val="TableGrid"/>
        <w:tblW w:w="0" w:type="auto"/>
        <w:tblLook w:val="04A0" w:firstRow="1" w:lastRow="0" w:firstColumn="1" w:lastColumn="0" w:noHBand="0" w:noVBand="1"/>
      </w:tblPr>
      <w:tblGrid>
        <w:gridCol w:w="3116"/>
        <w:gridCol w:w="3117"/>
        <w:gridCol w:w="3117"/>
      </w:tblGrid>
      <w:tr w:rsidR="00B90936" w14:paraId="5F253516" w14:textId="77777777" w:rsidTr="001515D5">
        <w:tc>
          <w:tcPr>
            <w:tcW w:w="3116" w:type="dxa"/>
            <w:vAlign w:val="bottom"/>
          </w:tcPr>
          <w:p w14:paraId="656C1C89" w14:textId="77777777" w:rsidR="00B90936" w:rsidRPr="00120084" w:rsidRDefault="00B90936" w:rsidP="001515D5">
            <w:r>
              <w:t>Rank</w:t>
            </w:r>
          </w:p>
        </w:tc>
        <w:tc>
          <w:tcPr>
            <w:tcW w:w="3117" w:type="dxa"/>
            <w:vAlign w:val="bottom"/>
          </w:tcPr>
          <w:p w14:paraId="7F8FA309" w14:textId="77777777" w:rsidR="00B90936" w:rsidRPr="00120084" w:rsidRDefault="00B90936" w:rsidP="001515D5">
            <w:r w:rsidRPr="00120084">
              <w:t>Cause of death</w:t>
            </w:r>
          </w:p>
        </w:tc>
        <w:tc>
          <w:tcPr>
            <w:tcW w:w="3117" w:type="dxa"/>
            <w:vAlign w:val="bottom"/>
          </w:tcPr>
          <w:p w14:paraId="446E865B" w14:textId="77777777" w:rsidR="00B90936" w:rsidRPr="00120084" w:rsidRDefault="00B90936" w:rsidP="001515D5">
            <w:r>
              <w:t>Number</w:t>
            </w:r>
          </w:p>
        </w:tc>
      </w:tr>
      <w:tr w:rsidR="00B90936" w14:paraId="272148A8" w14:textId="77777777" w:rsidTr="001515D5">
        <w:tc>
          <w:tcPr>
            <w:tcW w:w="3116" w:type="dxa"/>
            <w:vAlign w:val="bottom"/>
          </w:tcPr>
          <w:p w14:paraId="317279A4" w14:textId="77777777" w:rsidR="00B90936" w:rsidRPr="00120084" w:rsidRDefault="00B90936" w:rsidP="001515D5"/>
        </w:tc>
        <w:tc>
          <w:tcPr>
            <w:tcW w:w="3117" w:type="dxa"/>
            <w:vAlign w:val="center"/>
          </w:tcPr>
          <w:p w14:paraId="0FB14A98" w14:textId="77777777" w:rsidR="00B90936" w:rsidRPr="00120084" w:rsidRDefault="00B90936" w:rsidP="001515D5">
            <w:r w:rsidRPr="00120084">
              <w:t>All Deaths</w:t>
            </w:r>
          </w:p>
        </w:tc>
        <w:tc>
          <w:tcPr>
            <w:tcW w:w="3117" w:type="dxa"/>
            <w:vAlign w:val="center"/>
          </w:tcPr>
          <w:p w14:paraId="1F875DAC" w14:textId="77777777" w:rsidR="00B90936" w:rsidRPr="00120084" w:rsidRDefault="00B90936" w:rsidP="001515D5">
            <w:r w:rsidRPr="00120084">
              <w:t>723</w:t>
            </w:r>
          </w:p>
        </w:tc>
      </w:tr>
      <w:tr w:rsidR="00B90936" w14:paraId="55ECE394" w14:textId="77777777" w:rsidTr="001515D5">
        <w:tc>
          <w:tcPr>
            <w:tcW w:w="3116" w:type="dxa"/>
            <w:vAlign w:val="bottom"/>
          </w:tcPr>
          <w:p w14:paraId="42ED1F36" w14:textId="77777777" w:rsidR="00B90936" w:rsidRPr="00120084" w:rsidRDefault="00B90936" w:rsidP="001515D5">
            <w:r w:rsidRPr="00120084">
              <w:t>1</w:t>
            </w:r>
          </w:p>
        </w:tc>
        <w:tc>
          <w:tcPr>
            <w:tcW w:w="3117" w:type="dxa"/>
            <w:vAlign w:val="bottom"/>
          </w:tcPr>
          <w:p w14:paraId="1DD32DB7" w14:textId="77777777" w:rsidR="00B90936" w:rsidRPr="00120084" w:rsidRDefault="00B90936" w:rsidP="001515D5">
            <w:r w:rsidRPr="00120084">
              <w:t>Unintentional Injuries</w:t>
            </w:r>
          </w:p>
        </w:tc>
        <w:tc>
          <w:tcPr>
            <w:tcW w:w="3117" w:type="dxa"/>
            <w:vAlign w:val="bottom"/>
          </w:tcPr>
          <w:p w14:paraId="498D89D1" w14:textId="77777777" w:rsidR="00B90936" w:rsidRPr="00120084" w:rsidRDefault="00B90936" w:rsidP="001515D5">
            <w:r w:rsidRPr="00120084">
              <w:t>333</w:t>
            </w:r>
          </w:p>
        </w:tc>
      </w:tr>
      <w:tr w:rsidR="00B90936" w14:paraId="679289A4" w14:textId="77777777" w:rsidTr="001515D5">
        <w:tc>
          <w:tcPr>
            <w:tcW w:w="3116" w:type="dxa"/>
            <w:vAlign w:val="bottom"/>
          </w:tcPr>
          <w:p w14:paraId="7BE377A2" w14:textId="77777777" w:rsidR="00B90936" w:rsidRPr="00120084" w:rsidRDefault="00B90936" w:rsidP="001515D5">
            <w:r w:rsidRPr="00120084">
              <w:t>2</w:t>
            </w:r>
          </w:p>
        </w:tc>
        <w:tc>
          <w:tcPr>
            <w:tcW w:w="3117" w:type="dxa"/>
            <w:vAlign w:val="bottom"/>
          </w:tcPr>
          <w:p w14:paraId="60717E02" w14:textId="77777777" w:rsidR="00B90936" w:rsidRPr="00120084" w:rsidRDefault="00B90936" w:rsidP="001515D5">
            <w:r w:rsidRPr="00120084">
              <w:t>Homicide</w:t>
            </w:r>
          </w:p>
        </w:tc>
        <w:tc>
          <w:tcPr>
            <w:tcW w:w="3117" w:type="dxa"/>
            <w:vAlign w:val="bottom"/>
          </w:tcPr>
          <w:p w14:paraId="7CFBEBD0" w14:textId="77777777" w:rsidR="00B90936" w:rsidRPr="00120084" w:rsidRDefault="00B90936" w:rsidP="001515D5">
            <w:r w:rsidRPr="00120084">
              <w:t>145</w:t>
            </w:r>
          </w:p>
        </w:tc>
      </w:tr>
      <w:tr w:rsidR="00B90936" w14:paraId="5BDFD62D" w14:textId="77777777" w:rsidTr="001515D5">
        <w:tc>
          <w:tcPr>
            <w:tcW w:w="3116" w:type="dxa"/>
            <w:vAlign w:val="bottom"/>
          </w:tcPr>
          <w:p w14:paraId="7BB734D0" w14:textId="77777777" w:rsidR="00B90936" w:rsidRPr="00120084" w:rsidRDefault="00B90936" w:rsidP="001515D5">
            <w:r w:rsidRPr="00120084">
              <w:t>3</w:t>
            </w:r>
          </w:p>
        </w:tc>
        <w:tc>
          <w:tcPr>
            <w:tcW w:w="3117" w:type="dxa"/>
            <w:vAlign w:val="bottom"/>
          </w:tcPr>
          <w:p w14:paraId="3E720068" w14:textId="77777777" w:rsidR="00B90936" w:rsidRPr="00120084" w:rsidRDefault="00B90936" w:rsidP="001515D5">
            <w:r w:rsidRPr="00120084">
              <w:t>Suicide</w:t>
            </w:r>
          </w:p>
        </w:tc>
        <w:tc>
          <w:tcPr>
            <w:tcW w:w="3117" w:type="dxa"/>
            <w:vAlign w:val="bottom"/>
          </w:tcPr>
          <w:p w14:paraId="36865E63" w14:textId="77777777" w:rsidR="00B90936" w:rsidRPr="00120084" w:rsidRDefault="00B90936" w:rsidP="001515D5">
            <w:r w:rsidRPr="00120084">
              <w:t>102</w:t>
            </w:r>
          </w:p>
        </w:tc>
      </w:tr>
      <w:tr w:rsidR="00B90936" w14:paraId="42FBF2CC" w14:textId="77777777" w:rsidTr="001515D5">
        <w:tc>
          <w:tcPr>
            <w:tcW w:w="3116" w:type="dxa"/>
            <w:vAlign w:val="bottom"/>
          </w:tcPr>
          <w:p w14:paraId="352870DD" w14:textId="77777777" w:rsidR="00B90936" w:rsidRPr="00120084" w:rsidRDefault="00B90936" w:rsidP="001515D5">
            <w:r w:rsidRPr="00120084">
              <w:t>4</w:t>
            </w:r>
          </w:p>
        </w:tc>
        <w:tc>
          <w:tcPr>
            <w:tcW w:w="3117" w:type="dxa"/>
            <w:vAlign w:val="bottom"/>
          </w:tcPr>
          <w:p w14:paraId="6B7E9311" w14:textId="77777777" w:rsidR="00B90936" w:rsidRPr="00120084" w:rsidRDefault="00B90936" w:rsidP="001515D5">
            <w:r w:rsidRPr="00120084">
              <w:t>COVID-19</w:t>
            </w:r>
          </w:p>
        </w:tc>
        <w:tc>
          <w:tcPr>
            <w:tcW w:w="3117" w:type="dxa"/>
            <w:vAlign w:val="bottom"/>
          </w:tcPr>
          <w:p w14:paraId="71DCE9A2" w14:textId="77777777" w:rsidR="00B90936" w:rsidRPr="00120084" w:rsidRDefault="00B90936" w:rsidP="001515D5">
            <w:r w:rsidRPr="00120084">
              <w:t>28</w:t>
            </w:r>
          </w:p>
        </w:tc>
      </w:tr>
      <w:tr w:rsidR="00B90936" w14:paraId="5C91AF8A" w14:textId="77777777" w:rsidTr="001515D5">
        <w:tc>
          <w:tcPr>
            <w:tcW w:w="3116" w:type="dxa"/>
            <w:vAlign w:val="bottom"/>
          </w:tcPr>
          <w:p w14:paraId="569E5B31" w14:textId="77777777" w:rsidR="00B90936" w:rsidRPr="00120084" w:rsidRDefault="00B90936" w:rsidP="001515D5">
            <w:r w:rsidRPr="00120084">
              <w:t>5</w:t>
            </w:r>
          </w:p>
        </w:tc>
        <w:tc>
          <w:tcPr>
            <w:tcW w:w="3117" w:type="dxa"/>
            <w:vAlign w:val="bottom"/>
          </w:tcPr>
          <w:p w14:paraId="141D53E6" w14:textId="77777777" w:rsidR="00B90936" w:rsidRPr="00120084" w:rsidRDefault="00B90936" w:rsidP="001515D5">
            <w:r w:rsidRPr="00120084">
              <w:t>Cancer</w:t>
            </w:r>
          </w:p>
        </w:tc>
        <w:tc>
          <w:tcPr>
            <w:tcW w:w="3117" w:type="dxa"/>
            <w:vAlign w:val="bottom"/>
          </w:tcPr>
          <w:p w14:paraId="44286403" w14:textId="77777777" w:rsidR="00B90936" w:rsidRPr="00120084" w:rsidRDefault="00B90936" w:rsidP="001515D5">
            <w:r w:rsidRPr="00120084">
              <w:t>15</w:t>
            </w:r>
          </w:p>
        </w:tc>
      </w:tr>
      <w:tr w:rsidR="00B90936" w14:paraId="3C3C7FF5" w14:textId="77777777" w:rsidTr="001515D5">
        <w:tc>
          <w:tcPr>
            <w:tcW w:w="3116" w:type="dxa"/>
            <w:vAlign w:val="bottom"/>
          </w:tcPr>
          <w:p w14:paraId="5C0822EA" w14:textId="77777777" w:rsidR="00B90936" w:rsidRPr="00120084" w:rsidRDefault="00B90936" w:rsidP="001515D5">
            <w:r w:rsidRPr="00120084">
              <w:t>6</w:t>
            </w:r>
          </w:p>
        </w:tc>
        <w:tc>
          <w:tcPr>
            <w:tcW w:w="3117" w:type="dxa"/>
            <w:vAlign w:val="bottom"/>
          </w:tcPr>
          <w:p w14:paraId="3F30466C" w14:textId="77777777" w:rsidR="00B90936" w:rsidRPr="00120084" w:rsidRDefault="00B90936" w:rsidP="001515D5">
            <w:r w:rsidRPr="00120084">
              <w:t>Heart Disease</w:t>
            </w:r>
          </w:p>
        </w:tc>
        <w:tc>
          <w:tcPr>
            <w:tcW w:w="3117" w:type="dxa"/>
            <w:vAlign w:val="bottom"/>
          </w:tcPr>
          <w:p w14:paraId="3A0A67CA" w14:textId="77777777" w:rsidR="00B90936" w:rsidRPr="00120084" w:rsidRDefault="00B90936" w:rsidP="001515D5">
            <w:r w:rsidRPr="00120084">
              <w:t>11</w:t>
            </w:r>
          </w:p>
        </w:tc>
      </w:tr>
      <w:tr w:rsidR="00B90936" w14:paraId="58EAD4AE" w14:textId="77777777" w:rsidTr="001515D5">
        <w:tc>
          <w:tcPr>
            <w:tcW w:w="3116" w:type="dxa"/>
            <w:vAlign w:val="bottom"/>
          </w:tcPr>
          <w:p w14:paraId="7805B018" w14:textId="77777777" w:rsidR="00B90936" w:rsidRPr="00120084" w:rsidRDefault="00B90936" w:rsidP="001515D5">
            <w:r w:rsidRPr="00120084">
              <w:t>7</w:t>
            </w:r>
          </w:p>
        </w:tc>
        <w:tc>
          <w:tcPr>
            <w:tcW w:w="3117" w:type="dxa"/>
            <w:vAlign w:val="bottom"/>
          </w:tcPr>
          <w:p w14:paraId="0D417D9C" w14:textId="77777777" w:rsidR="00B90936" w:rsidRPr="00120084" w:rsidRDefault="00B90936" w:rsidP="001515D5">
            <w:r w:rsidRPr="00120084">
              <w:t>Congenital Malformation</w:t>
            </w:r>
            <w:r w:rsidRPr="00120084">
              <w:br/>
              <w:t>Diabetes</w:t>
            </w:r>
          </w:p>
        </w:tc>
        <w:tc>
          <w:tcPr>
            <w:tcW w:w="3117" w:type="dxa"/>
            <w:vAlign w:val="bottom"/>
          </w:tcPr>
          <w:p w14:paraId="247C8AF0" w14:textId="77777777" w:rsidR="00B90936" w:rsidRPr="00120084" w:rsidRDefault="00B90936" w:rsidP="001515D5">
            <w:r w:rsidRPr="00120084">
              <w:t>55</w:t>
            </w:r>
          </w:p>
        </w:tc>
      </w:tr>
    </w:tbl>
    <w:p w14:paraId="43EDF998" w14:textId="77777777" w:rsidR="00B90936" w:rsidRDefault="00B90936" w:rsidP="00B90936">
      <w:pPr>
        <w:pStyle w:val="Heading5"/>
      </w:pPr>
      <w:r>
        <w:t xml:space="preserve">Ages 25-34. </w:t>
      </w:r>
    </w:p>
    <w:tbl>
      <w:tblPr>
        <w:tblStyle w:val="TableGrid"/>
        <w:tblW w:w="0" w:type="auto"/>
        <w:tblLook w:val="04A0" w:firstRow="1" w:lastRow="0" w:firstColumn="1" w:lastColumn="0" w:noHBand="0" w:noVBand="1"/>
      </w:tblPr>
      <w:tblGrid>
        <w:gridCol w:w="3116"/>
        <w:gridCol w:w="3117"/>
        <w:gridCol w:w="3117"/>
      </w:tblGrid>
      <w:tr w:rsidR="00B90936" w14:paraId="25523D61" w14:textId="77777777" w:rsidTr="001515D5">
        <w:tc>
          <w:tcPr>
            <w:tcW w:w="3116" w:type="dxa"/>
            <w:vAlign w:val="bottom"/>
          </w:tcPr>
          <w:p w14:paraId="1B8D02A7" w14:textId="77777777" w:rsidR="00B90936" w:rsidRPr="00120084" w:rsidRDefault="00B90936" w:rsidP="001515D5">
            <w:r>
              <w:t>Rank</w:t>
            </w:r>
          </w:p>
        </w:tc>
        <w:tc>
          <w:tcPr>
            <w:tcW w:w="3117" w:type="dxa"/>
            <w:vAlign w:val="bottom"/>
          </w:tcPr>
          <w:p w14:paraId="0BAB909F" w14:textId="77777777" w:rsidR="00B90936" w:rsidRPr="00120084" w:rsidRDefault="00B90936" w:rsidP="001515D5">
            <w:r w:rsidRPr="00120084">
              <w:t>Cause of death</w:t>
            </w:r>
          </w:p>
        </w:tc>
        <w:tc>
          <w:tcPr>
            <w:tcW w:w="3117" w:type="dxa"/>
            <w:vAlign w:val="bottom"/>
          </w:tcPr>
          <w:p w14:paraId="4FD7CFF8" w14:textId="77777777" w:rsidR="00B90936" w:rsidRPr="00120084" w:rsidRDefault="00B90936" w:rsidP="001515D5">
            <w:r>
              <w:t>Number</w:t>
            </w:r>
          </w:p>
        </w:tc>
      </w:tr>
      <w:tr w:rsidR="00B90936" w14:paraId="23F5AA8E" w14:textId="77777777" w:rsidTr="001515D5">
        <w:tc>
          <w:tcPr>
            <w:tcW w:w="3116" w:type="dxa"/>
            <w:vAlign w:val="bottom"/>
          </w:tcPr>
          <w:p w14:paraId="5F09755F" w14:textId="77777777" w:rsidR="00B90936" w:rsidRPr="00120084" w:rsidRDefault="00B90936" w:rsidP="001515D5"/>
        </w:tc>
        <w:tc>
          <w:tcPr>
            <w:tcW w:w="3117" w:type="dxa"/>
            <w:vAlign w:val="center"/>
          </w:tcPr>
          <w:p w14:paraId="08E8B420" w14:textId="77777777" w:rsidR="00B90936" w:rsidRPr="00120084" w:rsidRDefault="00B90936" w:rsidP="001515D5">
            <w:r w:rsidRPr="00120084">
              <w:t>All Deaths</w:t>
            </w:r>
          </w:p>
        </w:tc>
        <w:tc>
          <w:tcPr>
            <w:tcW w:w="3117" w:type="dxa"/>
            <w:vAlign w:val="center"/>
          </w:tcPr>
          <w:p w14:paraId="6252F7B4" w14:textId="77777777" w:rsidR="00B90936" w:rsidRPr="00120084" w:rsidRDefault="00B90936" w:rsidP="001515D5">
            <w:r w:rsidRPr="00120084">
              <w:t>1,706</w:t>
            </w:r>
          </w:p>
        </w:tc>
      </w:tr>
      <w:tr w:rsidR="00B90936" w14:paraId="7E652B58" w14:textId="77777777" w:rsidTr="001515D5">
        <w:tc>
          <w:tcPr>
            <w:tcW w:w="3116" w:type="dxa"/>
            <w:vAlign w:val="bottom"/>
          </w:tcPr>
          <w:p w14:paraId="229CCE39" w14:textId="77777777" w:rsidR="00B90936" w:rsidRPr="00120084" w:rsidRDefault="00B90936" w:rsidP="001515D5">
            <w:r w:rsidRPr="00120084">
              <w:t>1</w:t>
            </w:r>
          </w:p>
        </w:tc>
        <w:tc>
          <w:tcPr>
            <w:tcW w:w="3117" w:type="dxa"/>
            <w:vAlign w:val="bottom"/>
          </w:tcPr>
          <w:p w14:paraId="74A022DE" w14:textId="77777777" w:rsidR="00B90936" w:rsidRPr="00120084" w:rsidRDefault="00B90936" w:rsidP="001515D5">
            <w:r w:rsidRPr="00120084">
              <w:t>Unintentional Injuries</w:t>
            </w:r>
          </w:p>
        </w:tc>
        <w:tc>
          <w:tcPr>
            <w:tcW w:w="3117" w:type="dxa"/>
            <w:vAlign w:val="bottom"/>
          </w:tcPr>
          <w:p w14:paraId="3E668766" w14:textId="77777777" w:rsidR="00B90936" w:rsidRPr="00120084" w:rsidRDefault="00B90936" w:rsidP="001515D5">
            <w:r w:rsidRPr="00120084">
              <w:t>818</w:t>
            </w:r>
          </w:p>
        </w:tc>
      </w:tr>
      <w:tr w:rsidR="00B90936" w14:paraId="4C294F1C" w14:textId="77777777" w:rsidTr="001515D5">
        <w:tc>
          <w:tcPr>
            <w:tcW w:w="3116" w:type="dxa"/>
            <w:vAlign w:val="bottom"/>
          </w:tcPr>
          <w:p w14:paraId="0A3CC044" w14:textId="77777777" w:rsidR="00B90936" w:rsidRPr="00120084" w:rsidRDefault="00B90936" w:rsidP="001515D5">
            <w:r w:rsidRPr="00120084">
              <w:t>2</w:t>
            </w:r>
          </w:p>
        </w:tc>
        <w:tc>
          <w:tcPr>
            <w:tcW w:w="3117" w:type="dxa"/>
            <w:vAlign w:val="bottom"/>
          </w:tcPr>
          <w:p w14:paraId="57A89664" w14:textId="77777777" w:rsidR="00B90936" w:rsidRPr="00120084" w:rsidRDefault="00B90936" w:rsidP="001515D5">
            <w:r w:rsidRPr="00120084">
              <w:t>Homicide</w:t>
            </w:r>
          </w:p>
        </w:tc>
        <w:tc>
          <w:tcPr>
            <w:tcW w:w="3117" w:type="dxa"/>
            <w:vAlign w:val="bottom"/>
          </w:tcPr>
          <w:p w14:paraId="799E622D" w14:textId="77777777" w:rsidR="00B90936" w:rsidRPr="00120084" w:rsidRDefault="00B90936" w:rsidP="001515D5">
            <w:r w:rsidRPr="00120084">
              <w:t>195</w:t>
            </w:r>
          </w:p>
        </w:tc>
      </w:tr>
      <w:tr w:rsidR="00B90936" w14:paraId="40F8A485" w14:textId="77777777" w:rsidTr="001515D5">
        <w:tc>
          <w:tcPr>
            <w:tcW w:w="3116" w:type="dxa"/>
            <w:vAlign w:val="bottom"/>
          </w:tcPr>
          <w:p w14:paraId="67CCBB43" w14:textId="77777777" w:rsidR="00B90936" w:rsidRPr="00120084" w:rsidRDefault="00B90936" w:rsidP="001515D5">
            <w:r w:rsidRPr="00120084">
              <w:t>3</w:t>
            </w:r>
          </w:p>
        </w:tc>
        <w:tc>
          <w:tcPr>
            <w:tcW w:w="3117" w:type="dxa"/>
            <w:vAlign w:val="bottom"/>
          </w:tcPr>
          <w:p w14:paraId="3438EE3B" w14:textId="77777777" w:rsidR="00B90936" w:rsidRPr="00120084" w:rsidRDefault="00B90936" w:rsidP="001515D5">
            <w:r w:rsidRPr="00120084">
              <w:t>Suicide</w:t>
            </w:r>
          </w:p>
        </w:tc>
        <w:tc>
          <w:tcPr>
            <w:tcW w:w="3117" w:type="dxa"/>
            <w:vAlign w:val="bottom"/>
          </w:tcPr>
          <w:p w14:paraId="07180EB3" w14:textId="77777777" w:rsidR="00B90936" w:rsidRPr="00120084" w:rsidRDefault="00B90936" w:rsidP="001515D5">
            <w:r w:rsidRPr="00120084">
              <w:t>134</w:t>
            </w:r>
          </w:p>
        </w:tc>
      </w:tr>
      <w:tr w:rsidR="00B90936" w14:paraId="601DFF7F" w14:textId="77777777" w:rsidTr="001515D5">
        <w:tc>
          <w:tcPr>
            <w:tcW w:w="3116" w:type="dxa"/>
            <w:vAlign w:val="bottom"/>
          </w:tcPr>
          <w:p w14:paraId="1DCC64B3" w14:textId="77777777" w:rsidR="00B90936" w:rsidRPr="00120084" w:rsidRDefault="00B90936" w:rsidP="001515D5">
            <w:r w:rsidRPr="00120084">
              <w:t>4</w:t>
            </w:r>
          </w:p>
        </w:tc>
        <w:tc>
          <w:tcPr>
            <w:tcW w:w="3117" w:type="dxa"/>
            <w:vAlign w:val="bottom"/>
          </w:tcPr>
          <w:p w14:paraId="453FED76" w14:textId="77777777" w:rsidR="00B90936" w:rsidRPr="00120084" w:rsidRDefault="00B90936" w:rsidP="001515D5">
            <w:r w:rsidRPr="00120084">
              <w:t>COVID-19</w:t>
            </w:r>
          </w:p>
        </w:tc>
        <w:tc>
          <w:tcPr>
            <w:tcW w:w="3117" w:type="dxa"/>
            <w:vAlign w:val="bottom"/>
          </w:tcPr>
          <w:p w14:paraId="408597D1" w14:textId="77777777" w:rsidR="00B90936" w:rsidRPr="00120084" w:rsidRDefault="00B90936" w:rsidP="001515D5">
            <w:r w:rsidRPr="00120084">
              <w:t>119</w:t>
            </w:r>
          </w:p>
        </w:tc>
      </w:tr>
      <w:tr w:rsidR="00B90936" w14:paraId="451F15EC" w14:textId="77777777" w:rsidTr="001515D5">
        <w:tc>
          <w:tcPr>
            <w:tcW w:w="3116" w:type="dxa"/>
            <w:vAlign w:val="bottom"/>
          </w:tcPr>
          <w:p w14:paraId="79DF8B6B" w14:textId="77777777" w:rsidR="00B90936" w:rsidRPr="00120084" w:rsidRDefault="00B90936" w:rsidP="001515D5">
            <w:r w:rsidRPr="00120084">
              <w:t>5</w:t>
            </w:r>
          </w:p>
        </w:tc>
        <w:tc>
          <w:tcPr>
            <w:tcW w:w="3117" w:type="dxa"/>
            <w:vAlign w:val="bottom"/>
          </w:tcPr>
          <w:p w14:paraId="0FF47160" w14:textId="77777777" w:rsidR="00B90936" w:rsidRPr="00120084" w:rsidRDefault="00B90936" w:rsidP="001515D5">
            <w:r w:rsidRPr="00120084">
              <w:t>Heart Disease</w:t>
            </w:r>
          </w:p>
        </w:tc>
        <w:tc>
          <w:tcPr>
            <w:tcW w:w="3117" w:type="dxa"/>
            <w:vAlign w:val="bottom"/>
          </w:tcPr>
          <w:p w14:paraId="2FAE19C3" w14:textId="77777777" w:rsidR="00B90936" w:rsidRPr="00120084" w:rsidRDefault="00B90936" w:rsidP="001515D5">
            <w:r w:rsidRPr="00120084">
              <w:t>87</w:t>
            </w:r>
          </w:p>
        </w:tc>
      </w:tr>
      <w:tr w:rsidR="00B90936" w14:paraId="1193534E" w14:textId="77777777" w:rsidTr="001515D5">
        <w:tc>
          <w:tcPr>
            <w:tcW w:w="3116" w:type="dxa"/>
            <w:vAlign w:val="bottom"/>
          </w:tcPr>
          <w:p w14:paraId="5498CE88" w14:textId="77777777" w:rsidR="00B90936" w:rsidRPr="00120084" w:rsidRDefault="00B90936" w:rsidP="001515D5">
            <w:r w:rsidRPr="00120084">
              <w:t>6</w:t>
            </w:r>
          </w:p>
        </w:tc>
        <w:tc>
          <w:tcPr>
            <w:tcW w:w="3117" w:type="dxa"/>
            <w:vAlign w:val="bottom"/>
          </w:tcPr>
          <w:p w14:paraId="05382268" w14:textId="77777777" w:rsidR="00B90936" w:rsidRPr="00120084" w:rsidRDefault="00B90936" w:rsidP="001515D5">
            <w:r w:rsidRPr="00120084">
              <w:t>Cancer</w:t>
            </w:r>
          </w:p>
        </w:tc>
        <w:tc>
          <w:tcPr>
            <w:tcW w:w="3117" w:type="dxa"/>
            <w:vAlign w:val="bottom"/>
          </w:tcPr>
          <w:p w14:paraId="558CB1F1" w14:textId="77777777" w:rsidR="00B90936" w:rsidRPr="00120084" w:rsidRDefault="00B90936" w:rsidP="001515D5">
            <w:r w:rsidRPr="00120084">
              <w:t>55</w:t>
            </w:r>
          </w:p>
        </w:tc>
      </w:tr>
      <w:tr w:rsidR="00B90936" w14:paraId="7F9ACAC4" w14:textId="77777777" w:rsidTr="001515D5">
        <w:tc>
          <w:tcPr>
            <w:tcW w:w="3116" w:type="dxa"/>
            <w:vAlign w:val="bottom"/>
          </w:tcPr>
          <w:p w14:paraId="5BEF8843" w14:textId="77777777" w:rsidR="00B90936" w:rsidRPr="00120084" w:rsidRDefault="00B90936" w:rsidP="001515D5">
            <w:r w:rsidRPr="00120084">
              <w:t>7</w:t>
            </w:r>
          </w:p>
        </w:tc>
        <w:tc>
          <w:tcPr>
            <w:tcW w:w="3117" w:type="dxa"/>
            <w:vAlign w:val="bottom"/>
          </w:tcPr>
          <w:p w14:paraId="0F4B63A2" w14:textId="77777777" w:rsidR="00B90936" w:rsidRPr="00120084" w:rsidRDefault="00B90936" w:rsidP="001515D5">
            <w:r w:rsidRPr="00120084">
              <w:t>Chronic Liver Disease And Cirrhosis</w:t>
            </w:r>
          </w:p>
        </w:tc>
        <w:tc>
          <w:tcPr>
            <w:tcW w:w="3117" w:type="dxa"/>
            <w:vAlign w:val="bottom"/>
          </w:tcPr>
          <w:p w14:paraId="5A3A09E7" w14:textId="77777777" w:rsidR="00B90936" w:rsidRPr="00120084" w:rsidRDefault="00B90936" w:rsidP="001515D5">
            <w:r w:rsidRPr="00120084">
              <w:t>30</w:t>
            </w:r>
          </w:p>
        </w:tc>
      </w:tr>
      <w:tr w:rsidR="00B90936" w14:paraId="7EA112EA" w14:textId="77777777" w:rsidTr="001515D5">
        <w:tc>
          <w:tcPr>
            <w:tcW w:w="3116" w:type="dxa"/>
            <w:vAlign w:val="bottom"/>
          </w:tcPr>
          <w:p w14:paraId="7061B7F6" w14:textId="77777777" w:rsidR="00B90936" w:rsidRPr="00120084" w:rsidRDefault="00B90936" w:rsidP="001515D5">
            <w:r>
              <w:t>8</w:t>
            </w:r>
          </w:p>
        </w:tc>
        <w:tc>
          <w:tcPr>
            <w:tcW w:w="3117" w:type="dxa"/>
            <w:vAlign w:val="bottom"/>
          </w:tcPr>
          <w:p w14:paraId="6FDB54D2" w14:textId="77777777" w:rsidR="00B90936" w:rsidRPr="00120084" w:rsidRDefault="00B90936" w:rsidP="001515D5">
            <w:r>
              <w:t>Diabetes</w:t>
            </w:r>
          </w:p>
        </w:tc>
        <w:tc>
          <w:tcPr>
            <w:tcW w:w="3117" w:type="dxa"/>
            <w:vAlign w:val="bottom"/>
          </w:tcPr>
          <w:p w14:paraId="4C51F140" w14:textId="77777777" w:rsidR="00B90936" w:rsidRPr="00120084" w:rsidRDefault="00B90936" w:rsidP="001515D5">
            <w:r>
              <w:t>28</w:t>
            </w:r>
          </w:p>
        </w:tc>
      </w:tr>
      <w:tr w:rsidR="00B90936" w14:paraId="7108E10E" w14:textId="77777777" w:rsidTr="001515D5">
        <w:tc>
          <w:tcPr>
            <w:tcW w:w="3116" w:type="dxa"/>
            <w:vAlign w:val="bottom"/>
          </w:tcPr>
          <w:p w14:paraId="045FA614" w14:textId="77777777" w:rsidR="00B90936" w:rsidRDefault="00B90936" w:rsidP="001515D5">
            <w:r>
              <w:t>9</w:t>
            </w:r>
          </w:p>
        </w:tc>
        <w:tc>
          <w:tcPr>
            <w:tcW w:w="3117" w:type="dxa"/>
            <w:vAlign w:val="bottom"/>
          </w:tcPr>
          <w:p w14:paraId="64730589" w14:textId="77777777" w:rsidR="00B90936" w:rsidRDefault="00B90936" w:rsidP="001515D5">
            <w:r>
              <w:t xml:space="preserve">Pregnancy, </w:t>
            </w:r>
            <w:proofErr w:type="gramStart"/>
            <w:r>
              <w:t>Childbirth</w:t>
            </w:r>
            <w:proofErr w:type="gramEnd"/>
            <w:r>
              <w:t xml:space="preserve"> and the Puerperium</w:t>
            </w:r>
          </w:p>
        </w:tc>
        <w:tc>
          <w:tcPr>
            <w:tcW w:w="3117" w:type="dxa"/>
            <w:vAlign w:val="bottom"/>
          </w:tcPr>
          <w:p w14:paraId="2BA8426C" w14:textId="77777777" w:rsidR="00B90936" w:rsidRDefault="00B90936" w:rsidP="001515D5">
            <w:r>
              <w:t>20</w:t>
            </w:r>
          </w:p>
        </w:tc>
      </w:tr>
      <w:tr w:rsidR="00B90936" w14:paraId="7B91648E" w14:textId="77777777" w:rsidTr="001515D5">
        <w:tc>
          <w:tcPr>
            <w:tcW w:w="3116" w:type="dxa"/>
            <w:vAlign w:val="bottom"/>
          </w:tcPr>
          <w:p w14:paraId="7CAEBC49" w14:textId="77777777" w:rsidR="00B90936" w:rsidRDefault="00B90936" w:rsidP="001515D5">
            <w:r>
              <w:t>10</w:t>
            </w:r>
          </w:p>
        </w:tc>
        <w:tc>
          <w:tcPr>
            <w:tcW w:w="3117" w:type="dxa"/>
            <w:vAlign w:val="bottom"/>
          </w:tcPr>
          <w:p w14:paraId="567A336E" w14:textId="77777777" w:rsidR="00B90936" w:rsidRDefault="00B90936" w:rsidP="001515D5">
            <w:r>
              <w:t>HIV</w:t>
            </w:r>
          </w:p>
        </w:tc>
        <w:tc>
          <w:tcPr>
            <w:tcW w:w="3117" w:type="dxa"/>
            <w:vAlign w:val="bottom"/>
          </w:tcPr>
          <w:p w14:paraId="2913E6FE" w14:textId="77777777" w:rsidR="00B90936" w:rsidRDefault="00B90936" w:rsidP="001515D5">
            <w:r>
              <w:t>19</w:t>
            </w:r>
          </w:p>
        </w:tc>
      </w:tr>
    </w:tbl>
    <w:p w14:paraId="13CB83F7" w14:textId="77777777" w:rsidR="00B90936" w:rsidRDefault="00B90936" w:rsidP="00B90936">
      <w:pPr>
        <w:pStyle w:val="Heading5"/>
      </w:pPr>
      <w:r>
        <w:t xml:space="preserve">Ages 35-44. </w:t>
      </w:r>
    </w:p>
    <w:tbl>
      <w:tblPr>
        <w:tblStyle w:val="TableGrid"/>
        <w:tblW w:w="0" w:type="auto"/>
        <w:tblLook w:val="04A0" w:firstRow="1" w:lastRow="0" w:firstColumn="1" w:lastColumn="0" w:noHBand="0" w:noVBand="1"/>
      </w:tblPr>
      <w:tblGrid>
        <w:gridCol w:w="3116"/>
        <w:gridCol w:w="3117"/>
        <w:gridCol w:w="3117"/>
      </w:tblGrid>
      <w:tr w:rsidR="00B90936" w14:paraId="4AFD98F0" w14:textId="77777777" w:rsidTr="001515D5">
        <w:tc>
          <w:tcPr>
            <w:tcW w:w="3116" w:type="dxa"/>
            <w:vAlign w:val="bottom"/>
          </w:tcPr>
          <w:p w14:paraId="01924F42" w14:textId="77777777" w:rsidR="00B90936" w:rsidRPr="00120084" w:rsidRDefault="00B90936" w:rsidP="001515D5">
            <w:r>
              <w:t>Rank</w:t>
            </w:r>
          </w:p>
        </w:tc>
        <w:tc>
          <w:tcPr>
            <w:tcW w:w="3117" w:type="dxa"/>
            <w:vAlign w:val="bottom"/>
          </w:tcPr>
          <w:p w14:paraId="64F7571D" w14:textId="77777777" w:rsidR="00B90936" w:rsidRPr="00120084" w:rsidRDefault="00B90936" w:rsidP="001515D5">
            <w:r w:rsidRPr="00120084">
              <w:t>Cause of death</w:t>
            </w:r>
          </w:p>
        </w:tc>
        <w:tc>
          <w:tcPr>
            <w:tcW w:w="3117" w:type="dxa"/>
            <w:vAlign w:val="bottom"/>
          </w:tcPr>
          <w:p w14:paraId="7FD5DFF4" w14:textId="77777777" w:rsidR="00B90936" w:rsidRPr="00120084" w:rsidRDefault="00B90936" w:rsidP="001515D5">
            <w:r>
              <w:t>Number</w:t>
            </w:r>
          </w:p>
        </w:tc>
      </w:tr>
      <w:tr w:rsidR="00B90936" w14:paraId="4CDB6F56" w14:textId="77777777" w:rsidTr="001515D5">
        <w:tc>
          <w:tcPr>
            <w:tcW w:w="3116" w:type="dxa"/>
            <w:vAlign w:val="bottom"/>
          </w:tcPr>
          <w:p w14:paraId="7DE10E6B" w14:textId="77777777" w:rsidR="00B90936" w:rsidRPr="00120084" w:rsidRDefault="00B90936" w:rsidP="001515D5"/>
        </w:tc>
        <w:tc>
          <w:tcPr>
            <w:tcW w:w="3117" w:type="dxa"/>
            <w:vAlign w:val="center"/>
          </w:tcPr>
          <w:p w14:paraId="3DF319E7" w14:textId="77777777" w:rsidR="00B90936" w:rsidRPr="00120084" w:rsidRDefault="00B90936" w:rsidP="001515D5">
            <w:r>
              <w:t>All Deaths</w:t>
            </w:r>
          </w:p>
        </w:tc>
        <w:tc>
          <w:tcPr>
            <w:tcW w:w="3117" w:type="dxa"/>
            <w:vAlign w:val="center"/>
          </w:tcPr>
          <w:p w14:paraId="32359680" w14:textId="77777777" w:rsidR="00B90936" w:rsidRPr="00120084" w:rsidRDefault="00B90936" w:rsidP="001515D5">
            <w:r>
              <w:t>2,509</w:t>
            </w:r>
          </w:p>
        </w:tc>
      </w:tr>
      <w:tr w:rsidR="00B90936" w14:paraId="5E17B684" w14:textId="77777777" w:rsidTr="001515D5">
        <w:tc>
          <w:tcPr>
            <w:tcW w:w="3116" w:type="dxa"/>
            <w:vAlign w:val="bottom"/>
          </w:tcPr>
          <w:p w14:paraId="194B10FC" w14:textId="77777777" w:rsidR="00B90936" w:rsidRPr="00120084" w:rsidRDefault="00B90936" w:rsidP="001515D5">
            <w:r w:rsidRPr="00120084">
              <w:t>1</w:t>
            </w:r>
          </w:p>
        </w:tc>
        <w:tc>
          <w:tcPr>
            <w:tcW w:w="3117" w:type="dxa"/>
            <w:vAlign w:val="bottom"/>
          </w:tcPr>
          <w:p w14:paraId="6FD745BF" w14:textId="77777777" w:rsidR="00B90936" w:rsidRPr="00120084" w:rsidRDefault="00B90936" w:rsidP="001515D5">
            <w:r>
              <w:t>Unintentional Injuries</w:t>
            </w:r>
          </w:p>
        </w:tc>
        <w:tc>
          <w:tcPr>
            <w:tcW w:w="3117" w:type="dxa"/>
            <w:vAlign w:val="bottom"/>
          </w:tcPr>
          <w:p w14:paraId="309BA50D" w14:textId="77777777" w:rsidR="00B90936" w:rsidRPr="00120084" w:rsidRDefault="00B90936" w:rsidP="001515D5">
            <w:r>
              <w:t>746</w:t>
            </w:r>
          </w:p>
        </w:tc>
      </w:tr>
      <w:tr w:rsidR="00B90936" w14:paraId="09EBEC94" w14:textId="77777777" w:rsidTr="001515D5">
        <w:tc>
          <w:tcPr>
            <w:tcW w:w="3116" w:type="dxa"/>
            <w:vAlign w:val="bottom"/>
          </w:tcPr>
          <w:p w14:paraId="4EC1DB24" w14:textId="77777777" w:rsidR="00B90936" w:rsidRPr="00120084" w:rsidRDefault="00B90936" w:rsidP="001515D5">
            <w:r w:rsidRPr="00120084">
              <w:t>2</w:t>
            </w:r>
          </w:p>
        </w:tc>
        <w:tc>
          <w:tcPr>
            <w:tcW w:w="3117" w:type="dxa"/>
            <w:vAlign w:val="bottom"/>
          </w:tcPr>
          <w:p w14:paraId="7E00D136" w14:textId="77777777" w:rsidR="00B90936" w:rsidRPr="00120084" w:rsidRDefault="00B90936" w:rsidP="001515D5">
            <w:r>
              <w:t>COVID-19</w:t>
            </w:r>
          </w:p>
        </w:tc>
        <w:tc>
          <w:tcPr>
            <w:tcW w:w="3117" w:type="dxa"/>
            <w:vAlign w:val="bottom"/>
          </w:tcPr>
          <w:p w14:paraId="0066FC5B" w14:textId="77777777" w:rsidR="00B90936" w:rsidRPr="00120084" w:rsidRDefault="00B90936" w:rsidP="001515D5">
            <w:r>
              <w:t>353</w:t>
            </w:r>
          </w:p>
        </w:tc>
      </w:tr>
      <w:tr w:rsidR="00B90936" w14:paraId="2EE3A4D0" w14:textId="77777777" w:rsidTr="001515D5">
        <w:tc>
          <w:tcPr>
            <w:tcW w:w="3116" w:type="dxa"/>
            <w:vAlign w:val="bottom"/>
          </w:tcPr>
          <w:p w14:paraId="3ADFA21D" w14:textId="77777777" w:rsidR="00B90936" w:rsidRPr="00120084" w:rsidRDefault="00B90936" w:rsidP="001515D5">
            <w:r w:rsidRPr="00120084">
              <w:t>3</w:t>
            </w:r>
          </w:p>
        </w:tc>
        <w:tc>
          <w:tcPr>
            <w:tcW w:w="3117" w:type="dxa"/>
            <w:vAlign w:val="bottom"/>
          </w:tcPr>
          <w:p w14:paraId="305B0B2B" w14:textId="77777777" w:rsidR="00B90936" w:rsidRPr="00120084" w:rsidRDefault="00B90936" w:rsidP="001515D5">
            <w:r>
              <w:t>Heart Disease</w:t>
            </w:r>
          </w:p>
        </w:tc>
        <w:tc>
          <w:tcPr>
            <w:tcW w:w="3117" w:type="dxa"/>
            <w:vAlign w:val="bottom"/>
          </w:tcPr>
          <w:p w14:paraId="2FC8369B" w14:textId="77777777" w:rsidR="00B90936" w:rsidRPr="00120084" w:rsidRDefault="00B90936" w:rsidP="001515D5">
            <w:r>
              <w:t>288</w:t>
            </w:r>
          </w:p>
        </w:tc>
      </w:tr>
      <w:tr w:rsidR="00B90936" w14:paraId="50D329E9" w14:textId="77777777" w:rsidTr="001515D5">
        <w:tc>
          <w:tcPr>
            <w:tcW w:w="3116" w:type="dxa"/>
            <w:vAlign w:val="bottom"/>
          </w:tcPr>
          <w:p w14:paraId="6E36847E" w14:textId="77777777" w:rsidR="00B90936" w:rsidRPr="00120084" w:rsidRDefault="00B90936" w:rsidP="001515D5">
            <w:r w:rsidRPr="00120084">
              <w:t>4</w:t>
            </w:r>
          </w:p>
        </w:tc>
        <w:tc>
          <w:tcPr>
            <w:tcW w:w="3117" w:type="dxa"/>
            <w:vAlign w:val="bottom"/>
          </w:tcPr>
          <w:p w14:paraId="3C85DA2C" w14:textId="77777777" w:rsidR="00B90936" w:rsidRPr="00120084" w:rsidRDefault="00B90936" w:rsidP="001515D5">
            <w:r>
              <w:t>Cancer</w:t>
            </w:r>
          </w:p>
        </w:tc>
        <w:tc>
          <w:tcPr>
            <w:tcW w:w="3117" w:type="dxa"/>
            <w:vAlign w:val="bottom"/>
          </w:tcPr>
          <w:p w14:paraId="760FA252" w14:textId="77777777" w:rsidR="00B90936" w:rsidRPr="00120084" w:rsidRDefault="00B90936" w:rsidP="001515D5">
            <w:r>
              <w:t>199</w:t>
            </w:r>
          </w:p>
        </w:tc>
      </w:tr>
      <w:tr w:rsidR="00B90936" w14:paraId="6A925937" w14:textId="77777777" w:rsidTr="001515D5">
        <w:tc>
          <w:tcPr>
            <w:tcW w:w="3116" w:type="dxa"/>
            <w:vAlign w:val="bottom"/>
          </w:tcPr>
          <w:p w14:paraId="4FFBAEBA" w14:textId="77777777" w:rsidR="00B90936" w:rsidRPr="00120084" w:rsidRDefault="00B90936" w:rsidP="001515D5">
            <w:r w:rsidRPr="00120084">
              <w:t>5</w:t>
            </w:r>
          </w:p>
        </w:tc>
        <w:tc>
          <w:tcPr>
            <w:tcW w:w="3117" w:type="dxa"/>
            <w:vAlign w:val="bottom"/>
          </w:tcPr>
          <w:p w14:paraId="056B02AB" w14:textId="77777777" w:rsidR="00B90936" w:rsidRPr="00120084" w:rsidRDefault="00B90936" w:rsidP="001515D5">
            <w:r>
              <w:t>Suicide</w:t>
            </w:r>
          </w:p>
        </w:tc>
        <w:tc>
          <w:tcPr>
            <w:tcW w:w="3117" w:type="dxa"/>
            <w:vAlign w:val="bottom"/>
          </w:tcPr>
          <w:p w14:paraId="75521F94" w14:textId="77777777" w:rsidR="00B90936" w:rsidRPr="00120084" w:rsidRDefault="00B90936" w:rsidP="001515D5">
            <w:r>
              <w:t>122</w:t>
            </w:r>
          </w:p>
        </w:tc>
      </w:tr>
      <w:tr w:rsidR="00B90936" w14:paraId="332BA132" w14:textId="77777777" w:rsidTr="001515D5">
        <w:tc>
          <w:tcPr>
            <w:tcW w:w="3116" w:type="dxa"/>
            <w:vAlign w:val="bottom"/>
          </w:tcPr>
          <w:p w14:paraId="0B7574C4" w14:textId="77777777" w:rsidR="00B90936" w:rsidRPr="00120084" w:rsidRDefault="00B90936" w:rsidP="001515D5">
            <w:r w:rsidRPr="00120084">
              <w:lastRenderedPageBreak/>
              <w:t>6</w:t>
            </w:r>
          </w:p>
        </w:tc>
        <w:tc>
          <w:tcPr>
            <w:tcW w:w="3117" w:type="dxa"/>
            <w:vAlign w:val="bottom"/>
          </w:tcPr>
          <w:p w14:paraId="340D3841" w14:textId="77777777" w:rsidR="00B90936" w:rsidRPr="00120084" w:rsidRDefault="00B90936" w:rsidP="001515D5">
            <w:r>
              <w:t>Chronic Liver Disease And Cirrhosis</w:t>
            </w:r>
          </w:p>
        </w:tc>
        <w:tc>
          <w:tcPr>
            <w:tcW w:w="3117" w:type="dxa"/>
            <w:vAlign w:val="bottom"/>
          </w:tcPr>
          <w:p w14:paraId="7A33E02A" w14:textId="77777777" w:rsidR="00B90936" w:rsidRPr="00120084" w:rsidRDefault="00B90936" w:rsidP="001515D5">
            <w:r>
              <w:t>109</w:t>
            </w:r>
          </w:p>
        </w:tc>
      </w:tr>
      <w:tr w:rsidR="00B90936" w14:paraId="26A4828F" w14:textId="77777777" w:rsidTr="001515D5">
        <w:tc>
          <w:tcPr>
            <w:tcW w:w="3116" w:type="dxa"/>
            <w:vAlign w:val="bottom"/>
          </w:tcPr>
          <w:p w14:paraId="2BD3D142" w14:textId="77777777" w:rsidR="00B90936" w:rsidRPr="00120084" w:rsidRDefault="00B90936" w:rsidP="001515D5">
            <w:r w:rsidRPr="00120084">
              <w:t>7</w:t>
            </w:r>
          </w:p>
        </w:tc>
        <w:tc>
          <w:tcPr>
            <w:tcW w:w="3117" w:type="dxa"/>
            <w:vAlign w:val="bottom"/>
          </w:tcPr>
          <w:p w14:paraId="780F9F80" w14:textId="77777777" w:rsidR="00B90936" w:rsidRPr="00120084" w:rsidRDefault="00B90936" w:rsidP="001515D5">
            <w:r>
              <w:t>Homicide</w:t>
            </w:r>
          </w:p>
        </w:tc>
        <w:tc>
          <w:tcPr>
            <w:tcW w:w="3117" w:type="dxa"/>
            <w:vAlign w:val="bottom"/>
          </w:tcPr>
          <w:p w14:paraId="0A66D921" w14:textId="77777777" w:rsidR="00B90936" w:rsidRPr="00120084" w:rsidRDefault="00B90936" w:rsidP="001515D5">
            <w:r>
              <w:t>103</w:t>
            </w:r>
          </w:p>
        </w:tc>
      </w:tr>
      <w:tr w:rsidR="00B90936" w14:paraId="581D06B3" w14:textId="77777777" w:rsidTr="001515D5">
        <w:tc>
          <w:tcPr>
            <w:tcW w:w="3116" w:type="dxa"/>
            <w:vAlign w:val="bottom"/>
          </w:tcPr>
          <w:p w14:paraId="10316AF0" w14:textId="77777777" w:rsidR="00B90936" w:rsidRPr="00120084" w:rsidRDefault="00B90936" w:rsidP="001515D5">
            <w:r>
              <w:t>8</w:t>
            </w:r>
          </w:p>
        </w:tc>
        <w:tc>
          <w:tcPr>
            <w:tcW w:w="3117" w:type="dxa"/>
            <w:vAlign w:val="bottom"/>
          </w:tcPr>
          <w:p w14:paraId="52E03B80" w14:textId="77777777" w:rsidR="00B90936" w:rsidRPr="00120084" w:rsidRDefault="00B90936" w:rsidP="001515D5">
            <w:r>
              <w:t>Stroke</w:t>
            </w:r>
          </w:p>
        </w:tc>
        <w:tc>
          <w:tcPr>
            <w:tcW w:w="3117" w:type="dxa"/>
            <w:vAlign w:val="bottom"/>
          </w:tcPr>
          <w:p w14:paraId="7F576DD2" w14:textId="77777777" w:rsidR="00B90936" w:rsidRPr="00120084" w:rsidRDefault="00B90936" w:rsidP="001515D5">
            <w:r>
              <w:t>59</w:t>
            </w:r>
          </w:p>
        </w:tc>
      </w:tr>
      <w:tr w:rsidR="00B90936" w14:paraId="49AC73B5" w14:textId="77777777" w:rsidTr="001515D5">
        <w:tc>
          <w:tcPr>
            <w:tcW w:w="3116" w:type="dxa"/>
            <w:vAlign w:val="bottom"/>
          </w:tcPr>
          <w:p w14:paraId="6C96F324" w14:textId="77777777" w:rsidR="00B90936" w:rsidRDefault="00B90936" w:rsidP="001515D5">
            <w:r>
              <w:t>9</w:t>
            </w:r>
          </w:p>
        </w:tc>
        <w:tc>
          <w:tcPr>
            <w:tcW w:w="3117" w:type="dxa"/>
            <w:vAlign w:val="bottom"/>
          </w:tcPr>
          <w:p w14:paraId="75FA9E6A" w14:textId="77777777" w:rsidR="00B90936" w:rsidRDefault="00B90936" w:rsidP="001515D5">
            <w:r>
              <w:t>Diabetes</w:t>
            </w:r>
          </w:p>
        </w:tc>
        <w:tc>
          <w:tcPr>
            <w:tcW w:w="3117" w:type="dxa"/>
            <w:vAlign w:val="bottom"/>
          </w:tcPr>
          <w:p w14:paraId="2A9C4FC1" w14:textId="77777777" w:rsidR="00B90936" w:rsidRDefault="00B90936" w:rsidP="001515D5">
            <w:r>
              <w:t>58</w:t>
            </w:r>
          </w:p>
        </w:tc>
      </w:tr>
      <w:tr w:rsidR="00B90936" w14:paraId="535535F1" w14:textId="77777777" w:rsidTr="001515D5">
        <w:tc>
          <w:tcPr>
            <w:tcW w:w="3116" w:type="dxa"/>
            <w:vAlign w:val="bottom"/>
          </w:tcPr>
          <w:p w14:paraId="77DFC35D" w14:textId="77777777" w:rsidR="00B90936" w:rsidRDefault="00B90936" w:rsidP="001515D5">
            <w:r>
              <w:t>10</w:t>
            </w:r>
          </w:p>
        </w:tc>
        <w:tc>
          <w:tcPr>
            <w:tcW w:w="3117" w:type="dxa"/>
            <w:vAlign w:val="bottom"/>
          </w:tcPr>
          <w:p w14:paraId="5E56B41B" w14:textId="77777777" w:rsidR="00B90936" w:rsidRDefault="00B90936" w:rsidP="001515D5">
            <w:r>
              <w:t>Kidney Disease</w:t>
            </w:r>
          </w:p>
        </w:tc>
        <w:tc>
          <w:tcPr>
            <w:tcW w:w="3117" w:type="dxa"/>
            <w:vAlign w:val="bottom"/>
          </w:tcPr>
          <w:p w14:paraId="3F484A3F" w14:textId="77777777" w:rsidR="00B90936" w:rsidRDefault="00B90936" w:rsidP="001515D5">
            <w:r>
              <w:t>33</w:t>
            </w:r>
          </w:p>
        </w:tc>
      </w:tr>
    </w:tbl>
    <w:p w14:paraId="07033D57" w14:textId="77777777" w:rsidR="00B90936" w:rsidRDefault="00B90936" w:rsidP="00B90936">
      <w:pPr>
        <w:pStyle w:val="Heading5"/>
      </w:pPr>
      <w:r>
        <w:t xml:space="preserve">Ages 45-54. </w:t>
      </w:r>
    </w:p>
    <w:tbl>
      <w:tblPr>
        <w:tblStyle w:val="TableGrid"/>
        <w:tblW w:w="0" w:type="auto"/>
        <w:tblLook w:val="04A0" w:firstRow="1" w:lastRow="0" w:firstColumn="1" w:lastColumn="0" w:noHBand="0" w:noVBand="1"/>
      </w:tblPr>
      <w:tblGrid>
        <w:gridCol w:w="3116"/>
        <w:gridCol w:w="3117"/>
        <w:gridCol w:w="3117"/>
      </w:tblGrid>
      <w:tr w:rsidR="00B90936" w14:paraId="799D1AB0" w14:textId="77777777" w:rsidTr="001515D5">
        <w:tc>
          <w:tcPr>
            <w:tcW w:w="3116" w:type="dxa"/>
            <w:vAlign w:val="bottom"/>
          </w:tcPr>
          <w:p w14:paraId="2254DD77" w14:textId="77777777" w:rsidR="00B90936" w:rsidRPr="00120084" w:rsidRDefault="00B90936" w:rsidP="001515D5">
            <w:r>
              <w:t>Rank</w:t>
            </w:r>
          </w:p>
        </w:tc>
        <w:tc>
          <w:tcPr>
            <w:tcW w:w="3117" w:type="dxa"/>
            <w:vAlign w:val="bottom"/>
          </w:tcPr>
          <w:p w14:paraId="2CC0F42D" w14:textId="77777777" w:rsidR="00B90936" w:rsidRPr="00120084" w:rsidRDefault="00B90936" w:rsidP="001515D5">
            <w:r w:rsidRPr="00120084">
              <w:t>Cause of death</w:t>
            </w:r>
          </w:p>
        </w:tc>
        <w:tc>
          <w:tcPr>
            <w:tcW w:w="3117" w:type="dxa"/>
            <w:vAlign w:val="bottom"/>
          </w:tcPr>
          <w:p w14:paraId="016422F1" w14:textId="77777777" w:rsidR="00B90936" w:rsidRPr="00120084" w:rsidRDefault="00B90936" w:rsidP="001515D5">
            <w:r>
              <w:t>Number</w:t>
            </w:r>
          </w:p>
        </w:tc>
      </w:tr>
      <w:tr w:rsidR="00B90936" w14:paraId="63B88D22" w14:textId="77777777" w:rsidTr="001515D5">
        <w:tc>
          <w:tcPr>
            <w:tcW w:w="3116" w:type="dxa"/>
            <w:vAlign w:val="bottom"/>
          </w:tcPr>
          <w:p w14:paraId="1B15D969" w14:textId="77777777" w:rsidR="00B90936" w:rsidRPr="00120084" w:rsidRDefault="00B90936" w:rsidP="001515D5"/>
        </w:tc>
        <w:tc>
          <w:tcPr>
            <w:tcW w:w="3117" w:type="dxa"/>
            <w:vAlign w:val="center"/>
          </w:tcPr>
          <w:p w14:paraId="30425FBF" w14:textId="77777777" w:rsidR="00B90936" w:rsidRPr="00120084" w:rsidRDefault="00B90936" w:rsidP="001515D5">
            <w:r w:rsidRPr="00120084">
              <w:t>All Deaths</w:t>
            </w:r>
          </w:p>
        </w:tc>
        <w:tc>
          <w:tcPr>
            <w:tcW w:w="3117" w:type="dxa"/>
            <w:vAlign w:val="center"/>
          </w:tcPr>
          <w:p w14:paraId="7D5FEA9D" w14:textId="77777777" w:rsidR="00B90936" w:rsidRPr="00120084" w:rsidRDefault="00B90936" w:rsidP="001515D5">
            <w:r w:rsidRPr="00120084">
              <w:t>4,532</w:t>
            </w:r>
          </w:p>
        </w:tc>
      </w:tr>
      <w:tr w:rsidR="00B90936" w14:paraId="234BF3E4" w14:textId="77777777" w:rsidTr="001515D5">
        <w:tc>
          <w:tcPr>
            <w:tcW w:w="3116" w:type="dxa"/>
            <w:vAlign w:val="bottom"/>
          </w:tcPr>
          <w:p w14:paraId="3A0B342F" w14:textId="77777777" w:rsidR="00B90936" w:rsidRPr="00120084" w:rsidRDefault="00B90936" w:rsidP="001515D5">
            <w:r w:rsidRPr="00120084">
              <w:t>1</w:t>
            </w:r>
          </w:p>
        </w:tc>
        <w:tc>
          <w:tcPr>
            <w:tcW w:w="3117" w:type="dxa"/>
            <w:vAlign w:val="bottom"/>
          </w:tcPr>
          <w:p w14:paraId="5ADDB8F4" w14:textId="77777777" w:rsidR="00B90936" w:rsidRPr="00120084" w:rsidRDefault="00B90936" w:rsidP="001515D5">
            <w:r w:rsidRPr="00120084">
              <w:t>COVID-19</w:t>
            </w:r>
          </w:p>
        </w:tc>
        <w:tc>
          <w:tcPr>
            <w:tcW w:w="3117" w:type="dxa"/>
            <w:vAlign w:val="bottom"/>
          </w:tcPr>
          <w:p w14:paraId="070D463B" w14:textId="77777777" w:rsidR="00B90936" w:rsidRPr="00120084" w:rsidRDefault="00B90936" w:rsidP="001515D5">
            <w:r w:rsidRPr="00120084">
              <w:t>858</w:t>
            </w:r>
          </w:p>
        </w:tc>
      </w:tr>
      <w:tr w:rsidR="00B90936" w14:paraId="3007E633" w14:textId="77777777" w:rsidTr="001515D5">
        <w:tc>
          <w:tcPr>
            <w:tcW w:w="3116" w:type="dxa"/>
            <w:vAlign w:val="bottom"/>
          </w:tcPr>
          <w:p w14:paraId="33D83CFB" w14:textId="77777777" w:rsidR="00B90936" w:rsidRPr="00120084" w:rsidRDefault="00B90936" w:rsidP="001515D5">
            <w:r w:rsidRPr="00120084">
              <w:t>2</w:t>
            </w:r>
          </w:p>
        </w:tc>
        <w:tc>
          <w:tcPr>
            <w:tcW w:w="3117" w:type="dxa"/>
            <w:vAlign w:val="bottom"/>
          </w:tcPr>
          <w:p w14:paraId="09A84A25" w14:textId="77777777" w:rsidR="00B90936" w:rsidRPr="00120084" w:rsidRDefault="00B90936" w:rsidP="001515D5">
            <w:r w:rsidRPr="00120084">
              <w:t>Heart Disease</w:t>
            </w:r>
          </w:p>
        </w:tc>
        <w:tc>
          <w:tcPr>
            <w:tcW w:w="3117" w:type="dxa"/>
            <w:vAlign w:val="bottom"/>
          </w:tcPr>
          <w:p w14:paraId="18312291" w14:textId="77777777" w:rsidR="00B90936" w:rsidRPr="00120084" w:rsidRDefault="00B90936" w:rsidP="001515D5">
            <w:r w:rsidRPr="00120084">
              <w:t>729</w:t>
            </w:r>
          </w:p>
        </w:tc>
      </w:tr>
      <w:tr w:rsidR="00B90936" w14:paraId="1A87C282" w14:textId="77777777" w:rsidTr="001515D5">
        <w:tc>
          <w:tcPr>
            <w:tcW w:w="3116" w:type="dxa"/>
            <w:vAlign w:val="bottom"/>
          </w:tcPr>
          <w:p w14:paraId="3A16FDFB" w14:textId="77777777" w:rsidR="00B90936" w:rsidRPr="00120084" w:rsidRDefault="00B90936" w:rsidP="001515D5">
            <w:r w:rsidRPr="00120084">
              <w:t>3</w:t>
            </w:r>
          </w:p>
        </w:tc>
        <w:tc>
          <w:tcPr>
            <w:tcW w:w="3117" w:type="dxa"/>
            <w:vAlign w:val="bottom"/>
          </w:tcPr>
          <w:p w14:paraId="1F1A5CA7" w14:textId="77777777" w:rsidR="00B90936" w:rsidRPr="00120084" w:rsidRDefault="00B90936" w:rsidP="001515D5">
            <w:r w:rsidRPr="00120084">
              <w:t>Unintentional Injuries</w:t>
            </w:r>
          </w:p>
        </w:tc>
        <w:tc>
          <w:tcPr>
            <w:tcW w:w="3117" w:type="dxa"/>
            <w:vAlign w:val="bottom"/>
          </w:tcPr>
          <w:p w14:paraId="51613DAC" w14:textId="77777777" w:rsidR="00B90936" w:rsidRPr="00120084" w:rsidRDefault="00B90936" w:rsidP="001515D5">
            <w:r w:rsidRPr="00120084">
              <w:t>704</w:t>
            </w:r>
          </w:p>
        </w:tc>
      </w:tr>
      <w:tr w:rsidR="00B90936" w14:paraId="2BE381E2" w14:textId="77777777" w:rsidTr="001515D5">
        <w:tc>
          <w:tcPr>
            <w:tcW w:w="3116" w:type="dxa"/>
            <w:vAlign w:val="bottom"/>
          </w:tcPr>
          <w:p w14:paraId="653DB297" w14:textId="77777777" w:rsidR="00B90936" w:rsidRPr="00120084" w:rsidRDefault="00B90936" w:rsidP="001515D5">
            <w:r w:rsidRPr="00120084">
              <w:t>4</w:t>
            </w:r>
          </w:p>
        </w:tc>
        <w:tc>
          <w:tcPr>
            <w:tcW w:w="3117" w:type="dxa"/>
            <w:vAlign w:val="bottom"/>
          </w:tcPr>
          <w:p w14:paraId="0AF941FF" w14:textId="77777777" w:rsidR="00B90936" w:rsidRPr="00120084" w:rsidRDefault="00B90936" w:rsidP="001515D5">
            <w:r w:rsidRPr="00120084">
              <w:t>Cancer</w:t>
            </w:r>
          </w:p>
        </w:tc>
        <w:tc>
          <w:tcPr>
            <w:tcW w:w="3117" w:type="dxa"/>
            <w:vAlign w:val="bottom"/>
          </w:tcPr>
          <w:p w14:paraId="17657FC6" w14:textId="77777777" w:rsidR="00B90936" w:rsidRPr="00120084" w:rsidRDefault="00B90936" w:rsidP="001515D5">
            <w:r w:rsidRPr="00120084">
              <w:t>606</w:t>
            </w:r>
          </w:p>
        </w:tc>
      </w:tr>
      <w:tr w:rsidR="00B90936" w14:paraId="1123BA06" w14:textId="77777777" w:rsidTr="001515D5">
        <w:tc>
          <w:tcPr>
            <w:tcW w:w="3116" w:type="dxa"/>
            <w:vAlign w:val="bottom"/>
          </w:tcPr>
          <w:p w14:paraId="51FA825C" w14:textId="77777777" w:rsidR="00B90936" w:rsidRPr="00120084" w:rsidRDefault="00B90936" w:rsidP="001515D5">
            <w:r w:rsidRPr="00120084">
              <w:t>5</w:t>
            </w:r>
          </w:p>
        </w:tc>
        <w:tc>
          <w:tcPr>
            <w:tcW w:w="3117" w:type="dxa"/>
            <w:vAlign w:val="bottom"/>
          </w:tcPr>
          <w:p w14:paraId="1267D34C" w14:textId="77777777" w:rsidR="00B90936" w:rsidRPr="00120084" w:rsidRDefault="00B90936" w:rsidP="001515D5">
            <w:r w:rsidRPr="00120084">
              <w:t>Chronic Liver Disease And Cirrhosis</w:t>
            </w:r>
          </w:p>
        </w:tc>
        <w:tc>
          <w:tcPr>
            <w:tcW w:w="3117" w:type="dxa"/>
            <w:vAlign w:val="bottom"/>
          </w:tcPr>
          <w:p w14:paraId="3421D637" w14:textId="77777777" w:rsidR="00B90936" w:rsidRPr="00120084" w:rsidRDefault="00B90936" w:rsidP="001515D5">
            <w:r w:rsidRPr="00120084">
              <w:t>203</w:t>
            </w:r>
          </w:p>
        </w:tc>
      </w:tr>
      <w:tr w:rsidR="00B90936" w14:paraId="41C53F3F" w14:textId="77777777" w:rsidTr="001515D5">
        <w:tc>
          <w:tcPr>
            <w:tcW w:w="3116" w:type="dxa"/>
            <w:vAlign w:val="bottom"/>
          </w:tcPr>
          <w:p w14:paraId="22A43AF1" w14:textId="77777777" w:rsidR="00B90936" w:rsidRPr="00120084" w:rsidRDefault="00B90936" w:rsidP="001515D5">
            <w:r w:rsidRPr="00120084">
              <w:t>6</w:t>
            </w:r>
          </w:p>
        </w:tc>
        <w:tc>
          <w:tcPr>
            <w:tcW w:w="3117" w:type="dxa"/>
            <w:vAlign w:val="bottom"/>
          </w:tcPr>
          <w:p w14:paraId="11760353" w14:textId="77777777" w:rsidR="00B90936" w:rsidRPr="00120084" w:rsidRDefault="00B90936" w:rsidP="001515D5">
            <w:r w:rsidRPr="00120084">
              <w:t>Suicide</w:t>
            </w:r>
          </w:p>
        </w:tc>
        <w:tc>
          <w:tcPr>
            <w:tcW w:w="3117" w:type="dxa"/>
            <w:vAlign w:val="bottom"/>
          </w:tcPr>
          <w:p w14:paraId="776A3D79" w14:textId="77777777" w:rsidR="00B90936" w:rsidRPr="00120084" w:rsidRDefault="00B90936" w:rsidP="001515D5">
            <w:r w:rsidRPr="00120084">
              <w:t>136</w:t>
            </w:r>
          </w:p>
        </w:tc>
      </w:tr>
      <w:tr w:rsidR="00B90936" w14:paraId="675E6680" w14:textId="77777777" w:rsidTr="001515D5">
        <w:tc>
          <w:tcPr>
            <w:tcW w:w="3116" w:type="dxa"/>
            <w:vAlign w:val="bottom"/>
          </w:tcPr>
          <w:p w14:paraId="47182A21" w14:textId="77777777" w:rsidR="00B90936" w:rsidRPr="00120084" w:rsidRDefault="00B90936" w:rsidP="001515D5">
            <w:r w:rsidRPr="00120084">
              <w:t>7</w:t>
            </w:r>
          </w:p>
        </w:tc>
        <w:tc>
          <w:tcPr>
            <w:tcW w:w="3117" w:type="dxa"/>
            <w:vAlign w:val="bottom"/>
          </w:tcPr>
          <w:p w14:paraId="05151074" w14:textId="77777777" w:rsidR="00B90936" w:rsidRPr="00120084" w:rsidRDefault="00B90936" w:rsidP="001515D5">
            <w:r w:rsidRPr="00120084">
              <w:t>Diabetes</w:t>
            </w:r>
          </w:p>
        </w:tc>
        <w:tc>
          <w:tcPr>
            <w:tcW w:w="3117" w:type="dxa"/>
            <w:vAlign w:val="bottom"/>
          </w:tcPr>
          <w:p w14:paraId="1424EB2A" w14:textId="77777777" w:rsidR="00B90936" w:rsidRPr="00120084" w:rsidRDefault="00B90936" w:rsidP="001515D5">
            <w:r w:rsidRPr="00120084">
              <w:t>131</w:t>
            </w:r>
          </w:p>
        </w:tc>
      </w:tr>
      <w:tr w:rsidR="00B90936" w14:paraId="3917E75B" w14:textId="77777777" w:rsidTr="001515D5">
        <w:tc>
          <w:tcPr>
            <w:tcW w:w="3116" w:type="dxa"/>
            <w:vAlign w:val="bottom"/>
          </w:tcPr>
          <w:p w14:paraId="2B8F17D7" w14:textId="77777777" w:rsidR="00B90936" w:rsidRPr="00120084" w:rsidRDefault="00B90936" w:rsidP="001515D5">
            <w:r>
              <w:t>8</w:t>
            </w:r>
          </w:p>
        </w:tc>
        <w:tc>
          <w:tcPr>
            <w:tcW w:w="3117" w:type="dxa"/>
            <w:vAlign w:val="bottom"/>
          </w:tcPr>
          <w:p w14:paraId="2B9256B1" w14:textId="77777777" w:rsidR="00B90936" w:rsidRPr="00120084" w:rsidRDefault="00B90936" w:rsidP="001515D5">
            <w:r w:rsidRPr="00120084">
              <w:t>Stroke</w:t>
            </w:r>
          </w:p>
        </w:tc>
        <w:tc>
          <w:tcPr>
            <w:tcW w:w="3117" w:type="dxa"/>
            <w:vAlign w:val="bottom"/>
          </w:tcPr>
          <w:p w14:paraId="281497FF" w14:textId="77777777" w:rsidR="00B90936" w:rsidRPr="00120084" w:rsidRDefault="00B90936" w:rsidP="001515D5">
            <w:r w:rsidRPr="00120084">
              <w:t>125</w:t>
            </w:r>
          </w:p>
        </w:tc>
      </w:tr>
      <w:tr w:rsidR="00B90936" w14:paraId="0C4B5E02" w14:textId="77777777" w:rsidTr="001515D5">
        <w:tc>
          <w:tcPr>
            <w:tcW w:w="3116" w:type="dxa"/>
            <w:vAlign w:val="bottom"/>
          </w:tcPr>
          <w:p w14:paraId="6513601A" w14:textId="77777777" w:rsidR="00B90936" w:rsidRDefault="00B90936" w:rsidP="001515D5">
            <w:r>
              <w:t>9</w:t>
            </w:r>
          </w:p>
        </w:tc>
        <w:tc>
          <w:tcPr>
            <w:tcW w:w="3117" w:type="dxa"/>
            <w:vAlign w:val="bottom"/>
          </w:tcPr>
          <w:p w14:paraId="335AC1AD" w14:textId="77777777" w:rsidR="00B90936" w:rsidRPr="00120084" w:rsidRDefault="00B90936" w:rsidP="001515D5">
            <w:r w:rsidRPr="00120084">
              <w:t>Chronic Lower Respiratory Disease</w:t>
            </w:r>
          </w:p>
        </w:tc>
        <w:tc>
          <w:tcPr>
            <w:tcW w:w="3117" w:type="dxa"/>
            <w:vAlign w:val="bottom"/>
          </w:tcPr>
          <w:p w14:paraId="3BC4E9D5" w14:textId="77777777" w:rsidR="00B90936" w:rsidRPr="00120084" w:rsidRDefault="00B90936" w:rsidP="001515D5">
            <w:r w:rsidRPr="00120084">
              <w:t>72</w:t>
            </w:r>
          </w:p>
        </w:tc>
      </w:tr>
      <w:tr w:rsidR="00B90936" w14:paraId="6C396D45" w14:textId="77777777" w:rsidTr="001515D5">
        <w:tc>
          <w:tcPr>
            <w:tcW w:w="3116" w:type="dxa"/>
            <w:vAlign w:val="bottom"/>
          </w:tcPr>
          <w:p w14:paraId="42622D19" w14:textId="77777777" w:rsidR="00B90936" w:rsidRDefault="00B90936" w:rsidP="001515D5">
            <w:r>
              <w:t>10</w:t>
            </w:r>
          </w:p>
        </w:tc>
        <w:tc>
          <w:tcPr>
            <w:tcW w:w="3117" w:type="dxa"/>
            <w:vAlign w:val="bottom"/>
          </w:tcPr>
          <w:p w14:paraId="4B68DEAA" w14:textId="77777777" w:rsidR="00B90936" w:rsidRPr="00120084" w:rsidRDefault="00B90936" w:rsidP="001515D5">
            <w:r w:rsidRPr="00120084">
              <w:t>Kidney Disease</w:t>
            </w:r>
          </w:p>
        </w:tc>
        <w:tc>
          <w:tcPr>
            <w:tcW w:w="3117" w:type="dxa"/>
            <w:vAlign w:val="bottom"/>
          </w:tcPr>
          <w:p w14:paraId="1132FDA5" w14:textId="77777777" w:rsidR="00B90936" w:rsidRPr="00120084" w:rsidRDefault="00B90936" w:rsidP="001515D5">
            <w:r w:rsidRPr="00120084">
              <w:t>62</w:t>
            </w:r>
          </w:p>
        </w:tc>
      </w:tr>
    </w:tbl>
    <w:p w14:paraId="7221D119" w14:textId="77777777" w:rsidR="00B90936" w:rsidRDefault="00B90936" w:rsidP="00B90936">
      <w:pPr>
        <w:pStyle w:val="Heading5"/>
      </w:pPr>
      <w:r>
        <w:t xml:space="preserve">Ages 55-64. </w:t>
      </w:r>
    </w:p>
    <w:tbl>
      <w:tblPr>
        <w:tblStyle w:val="TableGrid"/>
        <w:tblW w:w="0" w:type="auto"/>
        <w:tblLook w:val="04A0" w:firstRow="1" w:lastRow="0" w:firstColumn="1" w:lastColumn="0" w:noHBand="0" w:noVBand="1"/>
      </w:tblPr>
      <w:tblGrid>
        <w:gridCol w:w="3116"/>
        <w:gridCol w:w="3117"/>
        <w:gridCol w:w="3117"/>
      </w:tblGrid>
      <w:tr w:rsidR="00B90936" w14:paraId="4509FA9F" w14:textId="77777777" w:rsidTr="001515D5">
        <w:tc>
          <w:tcPr>
            <w:tcW w:w="3116" w:type="dxa"/>
            <w:vAlign w:val="bottom"/>
          </w:tcPr>
          <w:p w14:paraId="165F8E9E" w14:textId="77777777" w:rsidR="00B90936" w:rsidRPr="00120084" w:rsidRDefault="00B90936" w:rsidP="001515D5">
            <w:r>
              <w:t>Rank</w:t>
            </w:r>
          </w:p>
        </w:tc>
        <w:tc>
          <w:tcPr>
            <w:tcW w:w="3117" w:type="dxa"/>
            <w:vAlign w:val="bottom"/>
          </w:tcPr>
          <w:p w14:paraId="6AEEF17A" w14:textId="77777777" w:rsidR="00B90936" w:rsidRPr="00120084" w:rsidRDefault="00B90936" w:rsidP="001515D5">
            <w:r w:rsidRPr="00120084">
              <w:t>Cause of death</w:t>
            </w:r>
          </w:p>
        </w:tc>
        <w:tc>
          <w:tcPr>
            <w:tcW w:w="3117" w:type="dxa"/>
            <w:vAlign w:val="bottom"/>
          </w:tcPr>
          <w:p w14:paraId="6BB2CA5B" w14:textId="77777777" w:rsidR="00B90936" w:rsidRPr="00120084" w:rsidRDefault="00B90936" w:rsidP="001515D5">
            <w:r>
              <w:t>Number</w:t>
            </w:r>
          </w:p>
        </w:tc>
      </w:tr>
      <w:tr w:rsidR="00B90936" w14:paraId="6D956933" w14:textId="77777777" w:rsidTr="001515D5">
        <w:tc>
          <w:tcPr>
            <w:tcW w:w="3116" w:type="dxa"/>
            <w:vAlign w:val="bottom"/>
          </w:tcPr>
          <w:p w14:paraId="2AE07F74" w14:textId="77777777" w:rsidR="00B90936" w:rsidRPr="00120084" w:rsidRDefault="00B90936" w:rsidP="001515D5"/>
        </w:tc>
        <w:tc>
          <w:tcPr>
            <w:tcW w:w="3117" w:type="dxa"/>
            <w:vAlign w:val="center"/>
          </w:tcPr>
          <w:p w14:paraId="018648E1" w14:textId="77777777" w:rsidR="00B90936" w:rsidRPr="00120084" w:rsidRDefault="00B90936" w:rsidP="001515D5">
            <w:r>
              <w:t>All Deaths</w:t>
            </w:r>
          </w:p>
        </w:tc>
        <w:tc>
          <w:tcPr>
            <w:tcW w:w="3117" w:type="dxa"/>
            <w:vAlign w:val="center"/>
          </w:tcPr>
          <w:p w14:paraId="17A69B02" w14:textId="77777777" w:rsidR="00B90936" w:rsidRPr="00120084" w:rsidRDefault="00B90936" w:rsidP="001515D5">
            <w:r>
              <w:t>9,651</w:t>
            </w:r>
          </w:p>
        </w:tc>
      </w:tr>
      <w:tr w:rsidR="00B90936" w14:paraId="09BAB360" w14:textId="77777777" w:rsidTr="001515D5">
        <w:tc>
          <w:tcPr>
            <w:tcW w:w="3116" w:type="dxa"/>
            <w:vAlign w:val="bottom"/>
          </w:tcPr>
          <w:p w14:paraId="17F1CE31" w14:textId="77777777" w:rsidR="00B90936" w:rsidRPr="00120084" w:rsidRDefault="00B90936" w:rsidP="001515D5">
            <w:r w:rsidRPr="00120084">
              <w:t>1</w:t>
            </w:r>
          </w:p>
        </w:tc>
        <w:tc>
          <w:tcPr>
            <w:tcW w:w="3117" w:type="dxa"/>
            <w:vAlign w:val="bottom"/>
          </w:tcPr>
          <w:p w14:paraId="327FE4E0" w14:textId="77777777" w:rsidR="00B90936" w:rsidRPr="00120084" w:rsidRDefault="00B90936" w:rsidP="001515D5">
            <w:r>
              <w:t>Heart Disease</w:t>
            </w:r>
          </w:p>
        </w:tc>
        <w:tc>
          <w:tcPr>
            <w:tcW w:w="3117" w:type="dxa"/>
            <w:vAlign w:val="bottom"/>
          </w:tcPr>
          <w:p w14:paraId="6F7C2C41" w14:textId="77777777" w:rsidR="00B90936" w:rsidRPr="00120084" w:rsidRDefault="00B90936" w:rsidP="001515D5">
            <w:r>
              <w:t>2,018</w:t>
            </w:r>
          </w:p>
        </w:tc>
      </w:tr>
      <w:tr w:rsidR="00B90936" w14:paraId="366D0FCC" w14:textId="77777777" w:rsidTr="001515D5">
        <w:tc>
          <w:tcPr>
            <w:tcW w:w="3116" w:type="dxa"/>
            <w:vAlign w:val="bottom"/>
          </w:tcPr>
          <w:p w14:paraId="5A8023CB" w14:textId="77777777" w:rsidR="00B90936" w:rsidRPr="00120084" w:rsidRDefault="00B90936" w:rsidP="001515D5">
            <w:r w:rsidRPr="00120084">
              <w:t>2</w:t>
            </w:r>
          </w:p>
        </w:tc>
        <w:tc>
          <w:tcPr>
            <w:tcW w:w="3117" w:type="dxa"/>
            <w:vAlign w:val="bottom"/>
          </w:tcPr>
          <w:p w14:paraId="00EA0C40" w14:textId="77777777" w:rsidR="00B90936" w:rsidRPr="00120084" w:rsidRDefault="00B90936" w:rsidP="001515D5">
            <w:r>
              <w:t>Disease Of Heart</w:t>
            </w:r>
          </w:p>
        </w:tc>
        <w:tc>
          <w:tcPr>
            <w:tcW w:w="3117" w:type="dxa"/>
            <w:vAlign w:val="bottom"/>
          </w:tcPr>
          <w:p w14:paraId="2DE49D23" w14:textId="77777777" w:rsidR="00B90936" w:rsidRPr="00120084" w:rsidRDefault="00B90936" w:rsidP="001515D5">
            <w:r>
              <w:t>1,830</w:t>
            </w:r>
          </w:p>
        </w:tc>
      </w:tr>
      <w:tr w:rsidR="00B90936" w14:paraId="0F2ABF40" w14:textId="77777777" w:rsidTr="001515D5">
        <w:tc>
          <w:tcPr>
            <w:tcW w:w="3116" w:type="dxa"/>
            <w:vAlign w:val="bottom"/>
          </w:tcPr>
          <w:p w14:paraId="1103E06A" w14:textId="77777777" w:rsidR="00B90936" w:rsidRPr="00120084" w:rsidRDefault="00B90936" w:rsidP="001515D5">
            <w:r w:rsidRPr="00120084">
              <w:t>3</w:t>
            </w:r>
          </w:p>
        </w:tc>
        <w:tc>
          <w:tcPr>
            <w:tcW w:w="3117" w:type="dxa"/>
            <w:vAlign w:val="bottom"/>
          </w:tcPr>
          <w:p w14:paraId="5CC4EF77" w14:textId="77777777" w:rsidR="00B90936" w:rsidRPr="00120084" w:rsidRDefault="00B90936" w:rsidP="001515D5">
            <w:r>
              <w:t>COVID-19</w:t>
            </w:r>
          </w:p>
        </w:tc>
        <w:tc>
          <w:tcPr>
            <w:tcW w:w="3117" w:type="dxa"/>
            <w:vAlign w:val="bottom"/>
          </w:tcPr>
          <w:p w14:paraId="0A238179" w14:textId="77777777" w:rsidR="00B90936" w:rsidRPr="00120084" w:rsidRDefault="00B90936" w:rsidP="001515D5">
            <w:r>
              <w:t>1,628</w:t>
            </w:r>
          </w:p>
        </w:tc>
      </w:tr>
      <w:tr w:rsidR="00B90936" w14:paraId="0ACA806C" w14:textId="77777777" w:rsidTr="001515D5">
        <w:tc>
          <w:tcPr>
            <w:tcW w:w="3116" w:type="dxa"/>
            <w:vAlign w:val="bottom"/>
          </w:tcPr>
          <w:p w14:paraId="75F7A7E1" w14:textId="77777777" w:rsidR="00B90936" w:rsidRPr="00120084" w:rsidRDefault="00B90936" w:rsidP="001515D5">
            <w:r w:rsidRPr="00120084">
              <w:t>4</w:t>
            </w:r>
          </w:p>
        </w:tc>
        <w:tc>
          <w:tcPr>
            <w:tcW w:w="3117" w:type="dxa"/>
            <w:vAlign w:val="bottom"/>
          </w:tcPr>
          <w:p w14:paraId="38F05455" w14:textId="77777777" w:rsidR="00B90936" w:rsidRPr="00120084" w:rsidRDefault="00B90936" w:rsidP="001515D5">
            <w:r>
              <w:t>Unintentional Injuries</w:t>
            </w:r>
          </w:p>
        </w:tc>
        <w:tc>
          <w:tcPr>
            <w:tcW w:w="3117" w:type="dxa"/>
            <w:vAlign w:val="bottom"/>
          </w:tcPr>
          <w:p w14:paraId="76E00270" w14:textId="77777777" w:rsidR="00B90936" w:rsidRPr="00120084" w:rsidRDefault="00B90936" w:rsidP="001515D5">
            <w:r>
              <w:t>658</w:t>
            </w:r>
          </w:p>
        </w:tc>
      </w:tr>
      <w:tr w:rsidR="00B90936" w14:paraId="3E1723A9" w14:textId="77777777" w:rsidTr="001515D5">
        <w:tc>
          <w:tcPr>
            <w:tcW w:w="3116" w:type="dxa"/>
            <w:vAlign w:val="bottom"/>
          </w:tcPr>
          <w:p w14:paraId="15AD5AC5" w14:textId="77777777" w:rsidR="00B90936" w:rsidRPr="00120084" w:rsidRDefault="00B90936" w:rsidP="001515D5">
            <w:r w:rsidRPr="00120084">
              <w:t>5</w:t>
            </w:r>
          </w:p>
        </w:tc>
        <w:tc>
          <w:tcPr>
            <w:tcW w:w="3117" w:type="dxa"/>
            <w:vAlign w:val="bottom"/>
          </w:tcPr>
          <w:p w14:paraId="367FFF80" w14:textId="77777777" w:rsidR="00B90936" w:rsidRPr="00120084" w:rsidRDefault="00B90936" w:rsidP="001515D5">
            <w:r>
              <w:t>Chronic Lower Respiratory Disease</w:t>
            </w:r>
          </w:p>
        </w:tc>
        <w:tc>
          <w:tcPr>
            <w:tcW w:w="3117" w:type="dxa"/>
            <w:vAlign w:val="bottom"/>
          </w:tcPr>
          <w:p w14:paraId="6779935C" w14:textId="77777777" w:rsidR="00B90936" w:rsidRPr="00120084" w:rsidRDefault="00B90936" w:rsidP="001515D5">
            <w:r>
              <w:t>423</w:t>
            </w:r>
          </w:p>
        </w:tc>
      </w:tr>
      <w:tr w:rsidR="00B90936" w14:paraId="0F21D67D" w14:textId="77777777" w:rsidTr="001515D5">
        <w:tc>
          <w:tcPr>
            <w:tcW w:w="3116" w:type="dxa"/>
            <w:vAlign w:val="bottom"/>
          </w:tcPr>
          <w:p w14:paraId="18BFF22C" w14:textId="77777777" w:rsidR="00B90936" w:rsidRPr="00120084" w:rsidRDefault="00B90936" w:rsidP="001515D5">
            <w:r w:rsidRPr="00120084">
              <w:t>6</w:t>
            </w:r>
          </w:p>
        </w:tc>
        <w:tc>
          <w:tcPr>
            <w:tcW w:w="3117" w:type="dxa"/>
            <w:vAlign w:val="bottom"/>
          </w:tcPr>
          <w:p w14:paraId="16BA4B6B" w14:textId="77777777" w:rsidR="00B90936" w:rsidRPr="00120084" w:rsidRDefault="00B90936" w:rsidP="001515D5">
            <w:r>
              <w:t>Diabetes</w:t>
            </w:r>
          </w:p>
        </w:tc>
        <w:tc>
          <w:tcPr>
            <w:tcW w:w="3117" w:type="dxa"/>
            <w:vAlign w:val="bottom"/>
          </w:tcPr>
          <w:p w14:paraId="03EBFBA7" w14:textId="77777777" w:rsidR="00B90936" w:rsidRPr="00120084" w:rsidRDefault="00B90936" w:rsidP="001515D5">
            <w:r>
              <w:t>347</w:t>
            </w:r>
          </w:p>
        </w:tc>
      </w:tr>
      <w:tr w:rsidR="00B90936" w14:paraId="5C800E06" w14:textId="77777777" w:rsidTr="001515D5">
        <w:tc>
          <w:tcPr>
            <w:tcW w:w="3116" w:type="dxa"/>
            <w:vAlign w:val="bottom"/>
          </w:tcPr>
          <w:p w14:paraId="202E4251" w14:textId="77777777" w:rsidR="00B90936" w:rsidRPr="00120084" w:rsidRDefault="00B90936" w:rsidP="001515D5">
            <w:r w:rsidRPr="00120084">
              <w:t>7</w:t>
            </w:r>
          </w:p>
        </w:tc>
        <w:tc>
          <w:tcPr>
            <w:tcW w:w="3117" w:type="dxa"/>
            <w:vAlign w:val="bottom"/>
          </w:tcPr>
          <w:p w14:paraId="29B2ED27" w14:textId="77777777" w:rsidR="00B90936" w:rsidRPr="00120084" w:rsidRDefault="00B90936" w:rsidP="001515D5">
            <w:r>
              <w:t>Chronic Liver Disease And Cirrhosis</w:t>
            </w:r>
          </w:p>
        </w:tc>
        <w:tc>
          <w:tcPr>
            <w:tcW w:w="3117" w:type="dxa"/>
            <w:vAlign w:val="bottom"/>
          </w:tcPr>
          <w:p w14:paraId="5040AED5" w14:textId="77777777" w:rsidR="00B90936" w:rsidRPr="00120084" w:rsidRDefault="00B90936" w:rsidP="001515D5">
            <w:r>
              <w:t>341</w:t>
            </w:r>
          </w:p>
        </w:tc>
      </w:tr>
      <w:tr w:rsidR="00B90936" w14:paraId="65971908" w14:textId="77777777" w:rsidTr="001515D5">
        <w:tc>
          <w:tcPr>
            <w:tcW w:w="3116" w:type="dxa"/>
            <w:vAlign w:val="bottom"/>
          </w:tcPr>
          <w:p w14:paraId="37A6E48E" w14:textId="77777777" w:rsidR="00B90936" w:rsidRPr="00120084" w:rsidRDefault="00B90936" w:rsidP="001515D5">
            <w:r>
              <w:t>8</w:t>
            </w:r>
          </w:p>
        </w:tc>
        <w:tc>
          <w:tcPr>
            <w:tcW w:w="3117" w:type="dxa"/>
            <w:vAlign w:val="bottom"/>
          </w:tcPr>
          <w:p w14:paraId="189AF667" w14:textId="77777777" w:rsidR="00B90936" w:rsidRPr="00120084" w:rsidRDefault="00B90936" w:rsidP="001515D5">
            <w:r>
              <w:t>Stroke</w:t>
            </w:r>
          </w:p>
        </w:tc>
        <w:tc>
          <w:tcPr>
            <w:tcW w:w="3117" w:type="dxa"/>
            <w:vAlign w:val="bottom"/>
          </w:tcPr>
          <w:p w14:paraId="0BEB8697" w14:textId="77777777" w:rsidR="00B90936" w:rsidRPr="00120084" w:rsidRDefault="00B90936" w:rsidP="001515D5">
            <w:r>
              <w:t>298</w:t>
            </w:r>
          </w:p>
        </w:tc>
      </w:tr>
      <w:tr w:rsidR="00B90936" w14:paraId="180C51E7" w14:textId="77777777" w:rsidTr="001515D5">
        <w:tc>
          <w:tcPr>
            <w:tcW w:w="3116" w:type="dxa"/>
            <w:vAlign w:val="bottom"/>
          </w:tcPr>
          <w:p w14:paraId="70A8415D" w14:textId="77777777" w:rsidR="00B90936" w:rsidRDefault="00B90936" w:rsidP="001515D5">
            <w:r>
              <w:t>9</w:t>
            </w:r>
          </w:p>
        </w:tc>
        <w:tc>
          <w:tcPr>
            <w:tcW w:w="3117" w:type="dxa"/>
            <w:vAlign w:val="bottom"/>
          </w:tcPr>
          <w:p w14:paraId="01E0777D" w14:textId="77777777" w:rsidR="00B90936" w:rsidRPr="00120084" w:rsidRDefault="00B90936" w:rsidP="001515D5">
            <w:r>
              <w:t>Septicemia</w:t>
            </w:r>
          </w:p>
        </w:tc>
        <w:tc>
          <w:tcPr>
            <w:tcW w:w="3117" w:type="dxa"/>
            <w:vAlign w:val="bottom"/>
          </w:tcPr>
          <w:p w14:paraId="1B549CB3" w14:textId="77777777" w:rsidR="00B90936" w:rsidRPr="00120084" w:rsidRDefault="00B90936" w:rsidP="001515D5">
            <w:r>
              <w:t>141</w:t>
            </w:r>
          </w:p>
        </w:tc>
      </w:tr>
      <w:tr w:rsidR="00B90936" w14:paraId="21001EE0" w14:textId="77777777" w:rsidTr="001515D5">
        <w:tc>
          <w:tcPr>
            <w:tcW w:w="3116" w:type="dxa"/>
            <w:vAlign w:val="bottom"/>
          </w:tcPr>
          <w:p w14:paraId="2BAED15A" w14:textId="77777777" w:rsidR="00B90936" w:rsidRDefault="00B90936" w:rsidP="001515D5">
            <w:r>
              <w:t>10</w:t>
            </w:r>
          </w:p>
        </w:tc>
        <w:tc>
          <w:tcPr>
            <w:tcW w:w="3117" w:type="dxa"/>
            <w:vAlign w:val="bottom"/>
          </w:tcPr>
          <w:p w14:paraId="6CA239A4" w14:textId="77777777" w:rsidR="00B90936" w:rsidRPr="00120084" w:rsidRDefault="00B90936" w:rsidP="001515D5">
            <w:r>
              <w:t>Kidney Disease</w:t>
            </w:r>
          </w:p>
        </w:tc>
        <w:tc>
          <w:tcPr>
            <w:tcW w:w="3117" w:type="dxa"/>
            <w:vAlign w:val="bottom"/>
          </w:tcPr>
          <w:p w14:paraId="268A4184" w14:textId="77777777" w:rsidR="00B90936" w:rsidRPr="00120084" w:rsidRDefault="00B90936" w:rsidP="001515D5">
            <w:r>
              <w:t>127</w:t>
            </w:r>
          </w:p>
        </w:tc>
      </w:tr>
    </w:tbl>
    <w:p w14:paraId="1CAD3A83" w14:textId="77777777" w:rsidR="00B90936" w:rsidRDefault="00B90936" w:rsidP="00B90936">
      <w:pPr>
        <w:pStyle w:val="Heading5"/>
      </w:pPr>
      <w:r>
        <w:lastRenderedPageBreak/>
        <w:t xml:space="preserve">Ages 18-64. </w:t>
      </w:r>
    </w:p>
    <w:tbl>
      <w:tblPr>
        <w:tblStyle w:val="TableGrid"/>
        <w:tblW w:w="0" w:type="auto"/>
        <w:tblLook w:val="04A0" w:firstRow="1" w:lastRow="0" w:firstColumn="1" w:lastColumn="0" w:noHBand="0" w:noVBand="1"/>
      </w:tblPr>
      <w:tblGrid>
        <w:gridCol w:w="3116"/>
        <w:gridCol w:w="3117"/>
        <w:gridCol w:w="3117"/>
      </w:tblGrid>
      <w:tr w:rsidR="00B90936" w14:paraId="5781D4DE" w14:textId="77777777" w:rsidTr="001515D5">
        <w:tc>
          <w:tcPr>
            <w:tcW w:w="3116" w:type="dxa"/>
            <w:vAlign w:val="bottom"/>
          </w:tcPr>
          <w:p w14:paraId="3CAA83D7" w14:textId="77777777" w:rsidR="00B90936" w:rsidRPr="00120084" w:rsidRDefault="00B90936" w:rsidP="001515D5">
            <w:r>
              <w:t>Rank</w:t>
            </w:r>
          </w:p>
        </w:tc>
        <w:tc>
          <w:tcPr>
            <w:tcW w:w="3117" w:type="dxa"/>
            <w:vAlign w:val="bottom"/>
          </w:tcPr>
          <w:p w14:paraId="7490972F" w14:textId="77777777" w:rsidR="00B90936" w:rsidRPr="00120084" w:rsidRDefault="00B90936" w:rsidP="001515D5">
            <w:r w:rsidRPr="00120084">
              <w:t>Cause of death</w:t>
            </w:r>
          </w:p>
        </w:tc>
        <w:tc>
          <w:tcPr>
            <w:tcW w:w="3117" w:type="dxa"/>
            <w:vAlign w:val="bottom"/>
          </w:tcPr>
          <w:p w14:paraId="6A04DC3C" w14:textId="77777777" w:rsidR="00B90936" w:rsidRPr="00120084" w:rsidRDefault="00B90936" w:rsidP="001515D5">
            <w:r>
              <w:t>Number</w:t>
            </w:r>
          </w:p>
        </w:tc>
      </w:tr>
      <w:tr w:rsidR="00B90936" w14:paraId="495D1AA4" w14:textId="77777777" w:rsidTr="001515D5">
        <w:tc>
          <w:tcPr>
            <w:tcW w:w="3116" w:type="dxa"/>
            <w:vAlign w:val="bottom"/>
          </w:tcPr>
          <w:p w14:paraId="2AD03825" w14:textId="77777777" w:rsidR="00B90936" w:rsidRPr="00120084" w:rsidRDefault="00B90936" w:rsidP="001515D5"/>
        </w:tc>
        <w:tc>
          <w:tcPr>
            <w:tcW w:w="3117" w:type="dxa"/>
            <w:vAlign w:val="center"/>
          </w:tcPr>
          <w:p w14:paraId="1106A1B6" w14:textId="77777777" w:rsidR="00B90936" w:rsidRPr="00120084" w:rsidRDefault="00B90936" w:rsidP="001515D5">
            <w:r>
              <w:t>All Deaths</w:t>
            </w:r>
          </w:p>
        </w:tc>
        <w:tc>
          <w:tcPr>
            <w:tcW w:w="3117" w:type="dxa"/>
            <w:vAlign w:val="center"/>
          </w:tcPr>
          <w:p w14:paraId="4676746C" w14:textId="77777777" w:rsidR="00B90936" w:rsidRPr="00120084" w:rsidRDefault="00B90936" w:rsidP="001515D5">
            <w:r>
              <w:t>19,121</w:t>
            </w:r>
          </w:p>
        </w:tc>
      </w:tr>
      <w:tr w:rsidR="00B90936" w14:paraId="17D9CB70" w14:textId="77777777" w:rsidTr="001515D5">
        <w:tc>
          <w:tcPr>
            <w:tcW w:w="3116" w:type="dxa"/>
            <w:vAlign w:val="bottom"/>
          </w:tcPr>
          <w:p w14:paraId="13D3E364" w14:textId="77777777" w:rsidR="00B90936" w:rsidRPr="00120084" w:rsidRDefault="00B90936" w:rsidP="001515D5">
            <w:r w:rsidRPr="00120084">
              <w:t>1</w:t>
            </w:r>
          </w:p>
        </w:tc>
        <w:tc>
          <w:tcPr>
            <w:tcW w:w="3117" w:type="dxa"/>
            <w:vAlign w:val="bottom"/>
          </w:tcPr>
          <w:p w14:paraId="42C736B0" w14:textId="77777777" w:rsidR="00B90936" w:rsidRPr="00120084" w:rsidRDefault="00B90936" w:rsidP="001515D5">
            <w:r>
              <w:t>Unintentional Injuries</w:t>
            </w:r>
          </w:p>
        </w:tc>
        <w:tc>
          <w:tcPr>
            <w:tcW w:w="3117" w:type="dxa"/>
            <w:vAlign w:val="bottom"/>
          </w:tcPr>
          <w:p w14:paraId="6F89E317" w14:textId="77777777" w:rsidR="00B90936" w:rsidRPr="00120084" w:rsidRDefault="00B90936" w:rsidP="001515D5">
            <w:r>
              <w:t>3,259</w:t>
            </w:r>
          </w:p>
        </w:tc>
      </w:tr>
      <w:tr w:rsidR="00B90936" w14:paraId="424EA350" w14:textId="77777777" w:rsidTr="001515D5">
        <w:tc>
          <w:tcPr>
            <w:tcW w:w="3116" w:type="dxa"/>
            <w:vAlign w:val="bottom"/>
          </w:tcPr>
          <w:p w14:paraId="195E58B0" w14:textId="77777777" w:rsidR="00B90936" w:rsidRPr="00120084" w:rsidRDefault="00B90936" w:rsidP="001515D5">
            <w:r w:rsidRPr="00120084">
              <w:t>2</w:t>
            </w:r>
          </w:p>
        </w:tc>
        <w:tc>
          <w:tcPr>
            <w:tcW w:w="3117" w:type="dxa"/>
            <w:vAlign w:val="bottom"/>
          </w:tcPr>
          <w:p w14:paraId="537D18F9" w14:textId="77777777" w:rsidR="00B90936" w:rsidRPr="00120084" w:rsidRDefault="00B90936" w:rsidP="001515D5">
            <w:r>
              <w:t>COVID-19</w:t>
            </w:r>
          </w:p>
        </w:tc>
        <w:tc>
          <w:tcPr>
            <w:tcW w:w="3117" w:type="dxa"/>
            <w:vAlign w:val="bottom"/>
          </w:tcPr>
          <w:p w14:paraId="0133FBC7" w14:textId="77777777" w:rsidR="00B90936" w:rsidRPr="00120084" w:rsidRDefault="00B90936" w:rsidP="001515D5">
            <w:r>
              <w:t>2,986</w:t>
            </w:r>
          </w:p>
        </w:tc>
      </w:tr>
      <w:tr w:rsidR="00B90936" w14:paraId="40226AD3" w14:textId="77777777" w:rsidTr="001515D5">
        <w:tc>
          <w:tcPr>
            <w:tcW w:w="3116" w:type="dxa"/>
            <w:vAlign w:val="bottom"/>
          </w:tcPr>
          <w:p w14:paraId="5DDBF95F" w14:textId="77777777" w:rsidR="00B90936" w:rsidRPr="00120084" w:rsidRDefault="00B90936" w:rsidP="001515D5">
            <w:r w:rsidRPr="00120084">
              <w:t>3</w:t>
            </w:r>
          </w:p>
        </w:tc>
        <w:tc>
          <w:tcPr>
            <w:tcW w:w="3117" w:type="dxa"/>
            <w:vAlign w:val="bottom"/>
          </w:tcPr>
          <w:p w14:paraId="5AFA977D" w14:textId="77777777" w:rsidR="00B90936" w:rsidRPr="00120084" w:rsidRDefault="00B90936" w:rsidP="001515D5">
            <w:r>
              <w:t>Heart Disease</w:t>
            </w:r>
          </w:p>
        </w:tc>
        <w:tc>
          <w:tcPr>
            <w:tcW w:w="3117" w:type="dxa"/>
            <w:vAlign w:val="bottom"/>
          </w:tcPr>
          <w:p w14:paraId="5A92786A" w14:textId="77777777" w:rsidR="00B90936" w:rsidRPr="00120084" w:rsidRDefault="00B90936" w:rsidP="001515D5">
            <w:r>
              <w:t>2,945</w:t>
            </w:r>
          </w:p>
        </w:tc>
      </w:tr>
      <w:tr w:rsidR="00B90936" w14:paraId="20675D0F" w14:textId="77777777" w:rsidTr="001515D5">
        <w:tc>
          <w:tcPr>
            <w:tcW w:w="3116" w:type="dxa"/>
            <w:vAlign w:val="bottom"/>
          </w:tcPr>
          <w:p w14:paraId="03690536" w14:textId="77777777" w:rsidR="00B90936" w:rsidRPr="00120084" w:rsidRDefault="00B90936" w:rsidP="001515D5">
            <w:r w:rsidRPr="00120084">
              <w:t>4</w:t>
            </w:r>
          </w:p>
        </w:tc>
        <w:tc>
          <w:tcPr>
            <w:tcW w:w="3117" w:type="dxa"/>
            <w:vAlign w:val="bottom"/>
          </w:tcPr>
          <w:p w14:paraId="6EF992F3" w14:textId="77777777" w:rsidR="00B90936" w:rsidRPr="00120084" w:rsidRDefault="00B90936" w:rsidP="001515D5">
            <w:r>
              <w:t>Cancer</w:t>
            </w:r>
          </w:p>
        </w:tc>
        <w:tc>
          <w:tcPr>
            <w:tcW w:w="3117" w:type="dxa"/>
            <w:vAlign w:val="bottom"/>
          </w:tcPr>
          <w:p w14:paraId="7787662A" w14:textId="77777777" w:rsidR="00B90936" w:rsidRPr="00120084" w:rsidRDefault="00B90936" w:rsidP="001515D5">
            <w:r>
              <w:t>2,893</w:t>
            </w:r>
          </w:p>
        </w:tc>
      </w:tr>
      <w:tr w:rsidR="00B90936" w14:paraId="64E783F2" w14:textId="77777777" w:rsidTr="001515D5">
        <w:tc>
          <w:tcPr>
            <w:tcW w:w="3116" w:type="dxa"/>
            <w:vAlign w:val="bottom"/>
          </w:tcPr>
          <w:p w14:paraId="3869CF68" w14:textId="77777777" w:rsidR="00B90936" w:rsidRPr="00120084" w:rsidRDefault="00B90936" w:rsidP="001515D5">
            <w:r w:rsidRPr="00120084">
              <w:t>5</w:t>
            </w:r>
          </w:p>
        </w:tc>
        <w:tc>
          <w:tcPr>
            <w:tcW w:w="3117" w:type="dxa"/>
            <w:vAlign w:val="bottom"/>
          </w:tcPr>
          <w:p w14:paraId="4E46A325" w14:textId="77777777" w:rsidR="00B90936" w:rsidRPr="00120084" w:rsidRDefault="00B90936" w:rsidP="001515D5">
            <w:r>
              <w:t>Chronic Liver Disease And Cirrhosis</w:t>
            </w:r>
          </w:p>
        </w:tc>
        <w:tc>
          <w:tcPr>
            <w:tcW w:w="3117" w:type="dxa"/>
            <w:vAlign w:val="bottom"/>
          </w:tcPr>
          <w:p w14:paraId="06ED9E88" w14:textId="77777777" w:rsidR="00B90936" w:rsidRPr="00120084" w:rsidRDefault="00B90936" w:rsidP="001515D5">
            <w:r>
              <w:t>683</w:t>
            </w:r>
          </w:p>
        </w:tc>
      </w:tr>
      <w:tr w:rsidR="00B90936" w14:paraId="43065ADB" w14:textId="77777777" w:rsidTr="001515D5">
        <w:tc>
          <w:tcPr>
            <w:tcW w:w="3116" w:type="dxa"/>
            <w:vAlign w:val="bottom"/>
          </w:tcPr>
          <w:p w14:paraId="20BDD221" w14:textId="77777777" w:rsidR="00B90936" w:rsidRPr="00120084" w:rsidRDefault="00B90936" w:rsidP="001515D5">
            <w:r w:rsidRPr="00120084">
              <w:t>6</w:t>
            </w:r>
          </w:p>
        </w:tc>
        <w:tc>
          <w:tcPr>
            <w:tcW w:w="3117" w:type="dxa"/>
            <w:vAlign w:val="bottom"/>
          </w:tcPr>
          <w:p w14:paraId="2D32EF17" w14:textId="77777777" w:rsidR="00B90936" w:rsidRPr="00120084" w:rsidRDefault="00B90936" w:rsidP="001515D5">
            <w:r>
              <w:t>Suicide</w:t>
            </w:r>
          </w:p>
        </w:tc>
        <w:tc>
          <w:tcPr>
            <w:tcW w:w="3117" w:type="dxa"/>
            <w:vAlign w:val="bottom"/>
          </w:tcPr>
          <w:p w14:paraId="160B1A8D" w14:textId="77777777" w:rsidR="00B90936" w:rsidRPr="00120084" w:rsidRDefault="00B90936" w:rsidP="001515D5">
            <w:r>
              <w:t>597</w:t>
            </w:r>
          </w:p>
        </w:tc>
      </w:tr>
      <w:tr w:rsidR="00B90936" w14:paraId="4DC85A18" w14:textId="77777777" w:rsidTr="001515D5">
        <w:tc>
          <w:tcPr>
            <w:tcW w:w="3116" w:type="dxa"/>
            <w:vAlign w:val="bottom"/>
          </w:tcPr>
          <w:p w14:paraId="65D84FE9" w14:textId="77777777" w:rsidR="00B90936" w:rsidRPr="00120084" w:rsidRDefault="00B90936" w:rsidP="001515D5">
            <w:r w:rsidRPr="00120084">
              <w:t>7</w:t>
            </w:r>
          </w:p>
        </w:tc>
        <w:tc>
          <w:tcPr>
            <w:tcW w:w="3117" w:type="dxa"/>
            <w:vAlign w:val="bottom"/>
          </w:tcPr>
          <w:p w14:paraId="367E7B02" w14:textId="77777777" w:rsidR="00B90936" w:rsidRPr="00120084" w:rsidRDefault="00B90936" w:rsidP="001515D5">
            <w:r>
              <w:t>Diabetes</w:t>
            </w:r>
          </w:p>
        </w:tc>
        <w:tc>
          <w:tcPr>
            <w:tcW w:w="3117" w:type="dxa"/>
            <w:vAlign w:val="bottom"/>
          </w:tcPr>
          <w:p w14:paraId="2D41BBA4" w14:textId="77777777" w:rsidR="00B90936" w:rsidRPr="00120084" w:rsidRDefault="00B90936" w:rsidP="001515D5">
            <w:r>
              <w:t>569</w:t>
            </w:r>
          </w:p>
        </w:tc>
      </w:tr>
      <w:tr w:rsidR="00B90936" w14:paraId="3B7CBA9D" w14:textId="77777777" w:rsidTr="001515D5">
        <w:tc>
          <w:tcPr>
            <w:tcW w:w="3116" w:type="dxa"/>
            <w:vAlign w:val="bottom"/>
          </w:tcPr>
          <w:p w14:paraId="1A352A8E" w14:textId="77777777" w:rsidR="00B90936" w:rsidRPr="00120084" w:rsidRDefault="00B90936" w:rsidP="001515D5">
            <w:r>
              <w:t>8</w:t>
            </w:r>
          </w:p>
        </w:tc>
        <w:tc>
          <w:tcPr>
            <w:tcW w:w="3117" w:type="dxa"/>
            <w:vAlign w:val="bottom"/>
          </w:tcPr>
          <w:p w14:paraId="04AE4947" w14:textId="77777777" w:rsidR="00B90936" w:rsidRPr="00120084" w:rsidRDefault="00B90936" w:rsidP="001515D5">
            <w:r>
              <w:t>Homicide</w:t>
            </w:r>
          </w:p>
        </w:tc>
        <w:tc>
          <w:tcPr>
            <w:tcW w:w="3117" w:type="dxa"/>
            <w:vAlign w:val="bottom"/>
          </w:tcPr>
          <w:p w14:paraId="2D3DEB68" w14:textId="77777777" w:rsidR="00B90936" w:rsidRPr="00120084" w:rsidRDefault="00B90936" w:rsidP="001515D5">
            <w:r>
              <w:t>552</w:t>
            </w:r>
          </w:p>
        </w:tc>
      </w:tr>
      <w:tr w:rsidR="00B90936" w14:paraId="09FA5810" w14:textId="77777777" w:rsidTr="001515D5">
        <w:tc>
          <w:tcPr>
            <w:tcW w:w="3116" w:type="dxa"/>
            <w:vAlign w:val="bottom"/>
          </w:tcPr>
          <w:p w14:paraId="3B0FFDF7" w14:textId="77777777" w:rsidR="00B90936" w:rsidRDefault="00B90936" w:rsidP="001515D5">
            <w:r>
              <w:t>9</w:t>
            </w:r>
          </w:p>
        </w:tc>
        <w:tc>
          <w:tcPr>
            <w:tcW w:w="3117" w:type="dxa"/>
            <w:vAlign w:val="bottom"/>
          </w:tcPr>
          <w:p w14:paraId="6F8EB9E7" w14:textId="77777777" w:rsidR="00B90936" w:rsidRPr="00120084" w:rsidRDefault="00B90936" w:rsidP="001515D5">
            <w:r>
              <w:t>Chronic Lower Respiratory Disease</w:t>
            </w:r>
          </w:p>
        </w:tc>
        <w:tc>
          <w:tcPr>
            <w:tcW w:w="3117" w:type="dxa"/>
            <w:vAlign w:val="bottom"/>
          </w:tcPr>
          <w:p w14:paraId="517ED691" w14:textId="77777777" w:rsidR="00B90936" w:rsidRPr="00120084" w:rsidRDefault="00B90936" w:rsidP="001515D5">
            <w:r>
              <w:t>525</w:t>
            </w:r>
          </w:p>
        </w:tc>
      </w:tr>
      <w:tr w:rsidR="00B90936" w14:paraId="59E309C5" w14:textId="77777777" w:rsidTr="001515D5">
        <w:tc>
          <w:tcPr>
            <w:tcW w:w="3116" w:type="dxa"/>
            <w:vAlign w:val="bottom"/>
          </w:tcPr>
          <w:p w14:paraId="64111A0E" w14:textId="77777777" w:rsidR="00B90936" w:rsidRDefault="00B90936" w:rsidP="001515D5">
            <w:r>
              <w:t>10</w:t>
            </w:r>
          </w:p>
        </w:tc>
        <w:tc>
          <w:tcPr>
            <w:tcW w:w="3117" w:type="dxa"/>
            <w:vAlign w:val="bottom"/>
          </w:tcPr>
          <w:p w14:paraId="7F21666C" w14:textId="77777777" w:rsidR="00B90936" w:rsidRPr="00120084" w:rsidRDefault="00B90936" w:rsidP="001515D5">
            <w:r>
              <w:t>Stroke</w:t>
            </w:r>
          </w:p>
        </w:tc>
        <w:tc>
          <w:tcPr>
            <w:tcW w:w="3117" w:type="dxa"/>
            <w:vAlign w:val="bottom"/>
          </w:tcPr>
          <w:p w14:paraId="3F63272F" w14:textId="77777777" w:rsidR="00B90936" w:rsidRPr="00120084" w:rsidRDefault="00B90936" w:rsidP="001515D5">
            <w:r>
              <w:t>495</w:t>
            </w:r>
          </w:p>
        </w:tc>
      </w:tr>
    </w:tbl>
    <w:p w14:paraId="75FAA048" w14:textId="77777777" w:rsidR="00B90936" w:rsidRDefault="00B90936" w:rsidP="00B90936">
      <w:r w:rsidRPr="00120084">
        <w:t>Source: SC DHEC Vital Statistics, 2021.</w:t>
      </w:r>
    </w:p>
    <w:p w14:paraId="03373797" w14:textId="77777777" w:rsidR="00560BFC" w:rsidRDefault="00560BFC" w:rsidP="00560BFC">
      <w:pPr>
        <w:rPr>
          <w:b/>
          <w:bCs/>
        </w:rPr>
      </w:pPr>
    </w:p>
    <w:p w14:paraId="6BEC3F86" w14:textId="77777777" w:rsidR="00560BFC" w:rsidRDefault="00560BFC" w:rsidP="00560BFC">
      <w:pPr>
        <w:pStyle w:val="Heading4"/>
      </w:pPr>
      <w:bookmarkStart w:id="679" w:name="_Toc162267457"/>
      <w:r w:rsidRPr="00560BFC">
        <w:t>Data Interpretations:</w:t>
      </w:r>
      <w:bookmarkEnd w:id="679"/>
      <w:r w:rsidRPr="00560BFC">
        <w:t xml:space="preserve"> </w:t>
      </w:r>
    </w:p>
    <w:p w14:paraId="6CFEE88D" w14:textId="38F36165" w:rsidR="00560BFC" w:rsidRPr="00560BFC" w:rsidRDefault="00560BFC" w:rsidP="00560BFC">
      <w:r w:rsidRPr="00560BFC">
        <w:t>In 2021, the leading cause of hospitalization among South Carolina (SC) adults ages 18-64 years was COVID-19 with 16,079 hospitalizations (</w:t>
      </w:r>
      <w:r w:rsidRPr="00560BFC">
        <w:rPr>
          <w:b/>
          <w:bCs/>
        </w:rPr>
        <w:t>Figure 9.1</w:t>
      </w:r>
      <w:r w:rsidRPr="00560BFC">
        <w:t>). Sepsis was second and these two top conditions accounted for 12.6% of all hospitalizations among adults ages 18-64. Hospitalizations among adults accounted for over $16 billion in charges with an average stay of 4.3 days.</w:t>
      </w:r>
    </w:p>
    <w:p w14:paraId="53BDCEC9" w14:textId="77777777" w:rsidR="00560BFC" w:rsidRDefault="00560BFC" w:rsidP="00560BFC">
      <w:r w:rsidRPr="00560BFC">
        <w:t>Unintentional injuries, such as motor vehicle crashes, falls, and accidental poisonings, were the leading cause of death among adults ages 18-64 in 2021, followed by COVID-19, heart disease, and cancer (</w:t>
      </w:r>
      <w:r w:rsidRPr="00560BFC">
        <w:rPr>
          <w:b/>
          <w:bCs/>
        </w:rPr>
        <w:t>Table 9.1</w:t>
      </w:r>
      <w:r w:rsidRPr="00560BFC">
        <w:t>). Chronic diseases accounted for six of the top 10 leading causes of death among adults. Unintentional injuries were the leading cause of death among all age groups, except among 45- to 54-year-olds and 55- to 64-year-olds.</w:t>
      </w:r>
    </w:p>
    <w:p w14:paraId="6F34F9DB" w14:textId="77777777" w:rsidR="00560BFC" w:rsidRDefault="00560BFC" w:rsidP="00560BFC"/>
    <w:p w14:paraId="5CD7A130" w14:textId="77777777" w:rsidR="0060334A" w:rsidRDefault="004503E5" w:rsidP="004503E5">
      <w:pPr>
        <w:rPr>
          <w:rStyle w:val="Heading5Char"/>
        </w:rPr>
      </w:pPr>
      <w:r w:rsidRPr="004503E5">
        <w:rPr>
          <w:rStyle w:val="Heading5Char"/>
        </w:rPr>
        <w:t xml:space="preserve">Key Takeaways: </w:t>
      </w:r>
    </w:p>
    <w:p w14:paraId="50E20CD1" w14:textId="0B126C76" w:rsidR="004503E5" w:rsidRPr="004503E5" w:rsidRDefault="004503E5" w:rsidP="00926EB3">
      <w:pPr>
        <w:pStyle w:val="ListParagraph"/>
        <w:numPr>
          <w:ilvl w:val="0"/>
          <w:numId w:val="228"/>
        </w:numPr>
      </w:pPr>
      <w:r w:rsidRPr="004503E5">
        <w:t>COVID-19 was the leading cause of hospitalization and the 2nd-leading cause of death among adults ages 18-64 years in 2021.</w:t>
      </w:r>
    </w:p>
    <w:p w14:paraId="4FA1B40C" w14:textId="77777777" w:rsidR="004503E5" w:rsidRPr="004503E5" w:rsidRDefault="004503E5" w:rsidP="00560BFC"/>
    <w:p w14:paraId="5E623347" w14:textId="63A25C09" w:rsidR="00560BFC" w:rsidRPr="00CF1BB1" w:rsidRDefault="00560BFC" w:rsidP="00560BFC">
      <w:pPr>
        <w:pStyle w:val="Heading4"/>
        <w:rPr>
          <w:rFonts w:asciiTheme="minorHAnsi" w:hAnsiTheme="minorHAnsi" w:cstheme="minorHAnsi"/>
          <w:color w:val="000000" w:themeColor="text1"/>
        </w:rPr>
      </w:pPr>
      <w:bookmarkStart w:id="680" w:name="_Toc162267458"/>
      <w:r w:rsidRPr="00CF1BB1">
        <w:rPr>
          <w:rFonts w:asciiTheme="minorHAnsi" w:hAnsiTheme="minorHAnsi" w:cstheme="minorHAnsi"/>
          <w:color w:val="000000" w:themeColor="text1"/>
        </w:rPr>
        <w:t xml:space="preserve">References </w:t>
      </w:r>
      <w:r>
        <w:rPr>
          <w:rFonts w:asciiTheme="minorHAnsi" w:hAnsiTheme="minorHAnsi" w:cstheme="minorHAnsi"/>
          <w:color w:val="000000" w:themeColor="text1"/>
        </w:rPr>
        <w:t>9.1</w:t>
      </w:r>
      <w:bookmarkEnd w:id="680"/>
      <w:r>
        <w:rPr>
          <w:rFonts w:asciiTheme="minorHAnsi" w:hAnsiTheme="minorHAnsi" w:cstheme="minorHAnsi"/>
          <w:color w:val="000000" w:themeColor="text1"/>
        </w:rPr>
        <w:t xml:space="preserve"> </w:t>
      </w:r>
    </w:p>
    <w:p w14:paraId="78561A35" w14:textId="77777777" w:rsidR="00560BFC" w:rsidRDefault="00560BFC" w:rsidP="00560BFC">
      <w:r w:rsidRPr="00CF1BB1">
        <w:t>Statistics in the preceding section were referenced from the following report</w:t>
      </w:r>
      <w:r>
        <w:t>s</w:t>
      </w:r>
      <w:r w:rsidRPr="00CF1BB1">
        <w:t>:</w:t>
      </w:r>
    </w:p>
    <w:p w14:paraId="07490EE5" w14:textId="317BF695" w:rsidR="0090713C" w:rsidRPr="0090713C" w:rsidRDefault="0090713C" w:rsidP="00926EB3">
      <w:pPr>
        <w:pStyle w:val="ListParagraph"/>
        <w:numPr>
          <w:ilvl w:val="0"/>
          <w:numId w:val="192"/>
        </w:numPr>
      </w:pPr>
      <w:r>
        <w:lastRenderedPageBreak/>
        <w:t>“</w:t>
      </w:r>
      <w:r w:rsidRPr="0090713C">
        <w:t>Most frequent principal diagnoses for inpatient stays in U.S. Hospitals, 2018: Statistical Brief, no 277</w:t>
      </w:r>
      <w:r>
        <w:t xml:space="preserve">” by </w:t>
      </w:r>
      <w:r w:rsidRPr="0090713C">
        <w:t xml:space="preserve">McDermott KW, Roemer M. </w:t>
      </w:r>
      <w:r>
        <w:t>Published i</w:t>
      </w:r>
      <w:r w:rsidRPr="0090713C">
        <w:t>n</w:t>
      </w:r>
      <w:r>
        <w:t xml:space="preserve"> </w:t>
      </w:r>
      <w:r w:rsidRPr="0090713C">
        <w:t>Health care Cost and Utilization Project (HCUP) Statistical Briefs. Rockville, MD: Agency for Health care Research and Quality</w:t>
      </w:r>
      <w:r>
        <w:t>,</w:t>
      </w:r>
      <w:r w:rsidRPr="0090713C">
        <w:t xml:space="preserve"> 2021.</w:t>
      </w:r>
      <w:r>
        <w:t xml:space="preserve"> No hyperlink.</w:t>
      </w:r>
    </w:p>
    <w:p w14:paraId="18CD2C5A" w14:textId="734B39FE" w:rsidR="0090713C" w:rsidRPr="0090713C" w:rsidRDefault="00000000" w:rsidP="00926EB3">
      <w:pPr>
        <w:pStyle w:val="ListParagraph"/>
        <w:numPr>
          <w:ilvl w:val="0"/>
          <w:numId w:val="192"/>
        </w:numPr>
      </w:pPr>
      <w:hyperlink r:id="rId293" w:history="1">
        <w:r w:rsidR="0090713C" w:rsidRPr="0090713C">
          <w:rPr>
            <w:rStyle w:val="Hyperlink"/>
          </w:rPr>
          <w:t>“12 leading causes of death in the United States” by Holland, K. Published by Healthline, 2019. Retrieved January 3, 2023.</w:t>
        </w:r>
      </w:hyperlink>
      <w:r w:rsidR="0090713C" w:rsidRPr="0090713C">
        <w:t xml:space="preserve"> </w:t>
      </w:r>
    </w:p>
    <w:p w14:paraId="6A8B7A41" w14:textId="77777777" w:rsidR="004503E5" w:rsidRDefault="004503E5" w:rsidP="00560BFC"/>
    <w:p w14:paraId="77D284F3" w14:textId="77777777" w:rsidR="004503E5" w:rsidRPr="004503E5" w:rsidRDefault="004503E5" w:rsidP="004503E5">
      <w:pPr>
        <w:pStyle w:val="Heading3"/>
      </w:pPr>
      <w:bookmarkStart w:id="681" w:name="_Toc162267459"/>
      <w:r w:rsidRPr="004503E5">
        <w:t>Multiple Chronic Conditions</w:t>
      </w:r>
      <w:bookmarkEnd w:id="681"/>
    </w:p>
    <w:p w14:paraId="190C662F" w14:textId="7C228835" w:rsidR="004503E5" w:rsidRPr="004503E5" w:rsidRDefault="004503E5" w:rsidP="004503E5">
      <w:r w:rsidRPr="004503E5">
        <w:t>Chronic disease is the leading cause of death and disability in the US. Multiple chronic conditions (MCC) means that a person is living with two or more chronic conditions, such as asthma, coronary heart disease, diabetes, hypertension, Chronic obstructive pulmonary disease (COPD), depression, or stroke. Six in 10 Americans live with a chronic disease, and one in three have two or more.</w:t>
      </w:r>
      <w:r w:rsidR="00951CC1">
        <w:t xml:space="preserve"> </w:t>
      </w:r>
      <w:r w:rsidRPr="004503E5">
        <w:t>Furthermore, 4 in 5 Medicare beneficiaries have MCC and the prevalence of MCC is greater among people with low-income and racial ethnic minorities.</w:t>
      </w:r>
    </w:p>
    <w:p w14:paraId="60C50281" w14:textId="170E904E" w:rsidR="004503E5" w:rsidRDefault="004503E5" w:rsidP="004503E5">
      <w:pPr>
        <w:rPr>
          <w:b/>
          <w:bCs/>
        </w:rPr>
      </w:pPr>
      <w:r w:rsidRPr="004503E5">
        <w:t>People living with MCC account for a disproportionate share of health care utilization and costs. In fact, these chronic conditions account for over 90% of our national health care cost or $3.5 trillion annually.</w:t>
      </w:r>
    </w:p>
    <w:p w14:paraId="2BC605AC" w14:textId="77777777" w:rsidR="004503E5" w:rsidRDefault="004503E5" w:rsidP="004503E5">
      <w:pPr>
        <w:rPr>
          <w:b/>
          <w:bCs/>
        </w:rPr>
      </w:pPr>
    </w:p>
    <w:p w14:paraId="0C8BFA6A" w14:textId="77777777" w:rsidR="00B90936" w:rsidRDefault="00B90936" w:rsidP="00B90936">
      <w:pPr>
        <w:pStyle w:val="Heading4"/>
      </w:pPr>
      <w:bookmarkStart w:id="682" w:name="_Toc154576484"/>
      <w:bookmarkStart w:id="683" w:name="_Toc162267460"/>
      <w:r>
        <w:t>Figure 9.2: Multiple Chronic Conditions, by Age Group.</w:t>
      </w:r>
      <w:bookmarkEnd w:id="682"/>
      <w:bookmarkEnd w:id="683"/>
    </w:p>
    <w:tbl>
      <w:tblPr>
        <w:tblStyle w:val="TableGrid"/>
        <w:tblW w:w="0" w:type="auto"/>
        <w:tblLook w:val="04A0" w:firstRow="1" w:lastRow="0" w:firstColumn="1" w:lastColumn="0" w:noHBand="0" w:noVBand="1"/>
      </w:tblPr>
      <w:tblGrid>
        <w:gridCol w:w="4675"/>
        <w:gridCol w:w="4675"/>
      </w:tblGrid>
      <w:tr w:rsidR="00B90936" w14:paraId="251F6E95" w14:textId="77777777" w:rsidTr="001515D5">
        <w:tc>
          <w:tcPr>
            <w:tcW w:w="4675" w:type="dxa"/>
          </w:tcPr>
          <w:p w14:paraId="71126FA0" w14:textId="77777777" w:rsidR="00B90936" w:rsidRDefault="00B90936" w:rsidP="001515D5">
            <w:r>
              <w:t>Age Group</w:t>
            </w:r>
          </w:p>
        </w:tc>
        <w:tc>
          <w:tcPr>
            <w:tcW w:w="4675" w:type="dxa"/>
          </w:tcPr>
          <w:p w14:paraId="6B513306" w14:textId="77777777" w:rsidR="00B90936" w:rsidRDefault="00B90936" w:rsidP="001515D5">
            <w:r>
              <w:t>Percent</w:t>
            </w:r>
          </w:p>
        </w:tc>
      </w:tr>
      <w:tr w:rsidR="00B90936" w14:paraId="00105BA7" w14:textId="77777777" w:rsidTr="001515D5">
        <w:tc>
          <w:tcPr>
            <w:tcW w:w="4675" w:type="dxa"/>
            <w:vAlign w:val="bottom"/>
          </w:tcPr>
          <w:p w14:paraId="41E21848" w14:textId="77777777" w:rsidR="00B90936" w:rsidRPr="00722DB3" w:rsidRDefault="00B90936" w:rsidP="001515D5">
            <w:r w:rsidRPr="00722DB3">
              <w:t xml:space="preserve">  18 - 24</w:t>
            </w:r>
          </w:p>
        </w:tc>
        <w:tc>
          <w:tcPr>
            <w:tcW w:w="4675" w:type="dxa"/>
            <w:vAlign w:val="bottom"/>
          </w:tcPr>
          <w:p w14:paraId="19CA46F1" w14:textId="77777777" w:rsidR="00B90936" w:rsidRPr="00722DB3" w:rsidRDefault="00B90936" w:rsidP="001515D5">
            <w:r w:rsidRPr="00722DB3">
              <w:t>12.6%</w:t>
            </w:r>
          </w:p>
        </w:tc>
      </w:tr>
      <w:tr w:rsidR="00B90936" w14:paraId="3A60A9DA" w14:textId="77777777" w:rsidTr="001515D5">
        <w:tc>
          <w:tcPr>
            <w:tcW w:w="4675" w:type="dxa"/>
            <w:vAlign w:val="bottom"/>
          </w:tcPr>
          <w:p w14:paraId="0E98CFD1" w14:textId="77777777" w:rsidR="00B90936" w:rsidRPr="00722DB3" w:rsidRDefault="00B90936" w:rsidP="001515D5">
            <w:r w:rsidRPr="00722DB3">
              <w:t xml:space="preserve">  25 - 34</w:t>
            </w:r>
          </w:p>
        </w:tc>
        <w:tc>
          <w:tcPr>
            <w:tcW w:w="4675" w:type="dxa"/>
            <w:vAlign w:val="bottom"/>
          </w:tcPr>
          <w:p w14:paraId="1769369C" w14:textId="77777777" w:rsidR="00B90936" w:rsidRPr="00722DB3" w:rsidRDefault="00B90936" w:rsidP="001515D5">
            <w:r w:rsidRPr="00722DB3">
              <w:t>16.6%</w:t>
            </w:r>
          </w:p>
        </w:tc>
      </w:tr>
      <w:tr w:rsidR="00B90936" w14:paraId="554BFBEB" w14:textId="77777777" w:rsidTr="001515D5">
        <w:tc>
          <w:tcPr>
            <w:tcW w:w="4675" w:type="dxa"/>
            <w:vAlign w:val="bottom"/>
          </w:tcPr>
          <w:p w14:paraId="2960D3CD" w14:textId="77777777" w:rsidR="00B90936" w:rsidRPr="00722DB3" w:rsidRDefault="00B90936" w:rsidP="001515D5">
            <w:r w:rsidRPr="00722DB3">
              <w:t xml:space="preserve">  35 - 44</w:t>
            </w:r>
          </w:p>
        </w:tc>
        <w:tc>
          <w:tcPr>
            <w:tcW w:w="4675" w:type="dxa"/>
            <w:vAlign w:val="bottom"/>
          </w:tcPr>
          <w:p w14:paraId="02AA2B4E" w14:textId="77777777" w:rsidR="00B90936" w:rsidRPr="00722DB3" w:rsidRDefault="00B90936" w:rsidP="001515D5">
            <w:r w:rsidRPr="00722DB3">
              <w:t>23.9%</w:t>
            </w:r>
          </w:p>
        </w:tc>
      </w:tr>
      <w:tr w:rsidR="00B90936" w14:paraId="48516F4E" w14:textId="77777777" w:rsidTr="001515D5">
        <w:tc>
          <w:tcPr>
            <w:tcW w:w="4675" w:type="dxa"/>
            <w:vAlign w:val="bottom"/>
          </w:tcPr>
          <w:p w14:paraId="5F0C4322" w14:textId="77777777" w:rsidR="00B90936" w:rsidRPr="00722DB3" w:rsidRDefault="00B90936" w:rsidP="001515D5">
            <w:r w:rsidRPr="00722DB3">
              <w:t xml:space="preserve">  45 - 54</w:t>
            </w:r>
          </w:p>
        </w:tc>
        <w:tc>
          <w:tcPr>
            <w:tcW w:w="4675" w:type="dxa"/>
            <w:vAlign w:val="bottom"/>
          </w:tcPr>
          <w:p w14:paraId="74785B3F" w14:textId="77777777" w:rsidR="00B90936" w:rsidRPr="00722DB3" w:rsidRDefault="00B90936" w:rsidP="001515D5">
            <w:r w:rsidRPr="00722DB3">
              <w:t>36.6%</w:t>
            </w:r>
          </w:p>
        </w:tc>
      </w:tr>
      <w:tr w:rsidR="00B90936" w14:paraId="1E4BF086" w14:textId="77777777" w:rsidTr="001515D5">
        <w:tc>
          <w:tcPr>
            <w:tcW w:w="4675" w:type="dxa"/>
            <w:vAlign w:val="bottom"/>
          </w:tcPr>
          <w:p w14:paraId="7727E111" w14:textId="77777777" w:rsidR="00B90936" w:rsidRPr="00722DB3" w:rsidRDefault="00B90936" w:rsidP="001515D5">
            <w:r w:rsidRPr="00722DB3">
              <w:t xml:space="preserve">  55 - 64</w:t>
            </w:r>
          </w:p>
        </w:tc>
        <w:tc>
          <w:tcPr>
            <w:tcW w:w="4675" w:type="dxa"/>
            <w:vAlign w:val="bottom"/>
          </w:tcPr>
          <w:p w14:paraId="4FF2524B" w14:textId="77777777" w:rsidR="00B90936" w:rsidRPr="00722DB3" w:rsidRDefault="00B90936" w:rsidP="001515D5">
            <w:r w:rsidRPr="00722DB3">
              <w:t>50.1%</w:t>
            </w:r>
          </w:p>
        </w:tc>
      </w:tr>
    </w:tbl>
    <w:p w14:paraId="62570005" w14:textId="77777777" w:rsidR="00B90936" w:rsidRPr="00722DB3" w:rsidRDefault="00B90936" w:rsidP="00B90936">
      <w:r w:rsidRPr="00722DB3">
        <w:t xml:space="preserve">Source: SC BRFSS, 2021. </w:t>
      </w:r>
    </w:p>
    <w:p w14:paraId="3EA8BAA0" w14:textId="77777777" w:rsidR="00B90936" w:rsidRDefault="00B90936" w:rsidP="00B90936">
      <w:r w:rsidRPr="00722DB3">
        <w:t>Note: Diagnosed with two or more chronic conditions (asthma, coronary heart disease, diabetes, arthritis, COPD, depression, stroke, heart attack, hypertension).</w:t>
      </w:r>
    </w:p>
    <w:p w14:paraId="09572F63" w14:textId="77777777" w:rsidR="00C2195E" w:rsidRDefault="00C2195E" w:rsidP="00B90936"/>
    <w:p w14:paraId="6A0C5ACC" w14:textId="77777777" w:rsidR="00B90936" w:rsidRDefault="00B90936" w:rsidP="00B90936">
      <w:pPr>
        <w:pStyle w:val="Heading4"/>
      </w:pPr>
      <w:bookmarkStart w:id="684" w:name="_Toc154576485"/>
      <w:bookmarkStart w:id="685" w:name="_Toc162267461"/>
      <w:r>
        <w:t>Figure 9.3: Multiple Chronic Conditions, by Race/Ethnicity.</w:t>
      </w:r>
      <w:bookmarkEnd w:id="684"/>
      <w:bookmarkEnd w:id="685"/>
    </w:p>
    <w:tbl>
      <w:tblPr>
        <w:tblStyle w:val="TableGrid"/>
        <w:tblW w:w="0" w:type="auto"/>
        <w:tblLook w:val="04A0" w:firstRow="1" w:lastRow="0" w:firstColumn="1" w:lastColumn="0" w:noHBand="0" w:noVBand="1"/>
      </w:tblPr>
      <w:tblGrid>
        <w:gridCol w:w="4675"/>
        <w:gridCol w:w="4675"/>
      </w:tblGrid>
      <w:tr w:rsidR="00B90936" w14:paraId="4B3E8336" w14:textId="77777777" w:rsidTr="001515D5">
        <w:tc>
          <w:tcPr>
            <w:tcW w:w="4675" w:type="dxa"/>
          </w:tcPr>
          <w:p w14:paraId="770439AB" w14:textId="77777777" w:rsidR="00B90936" w:rsidRDefault="00B90936" w:rsidP="001515D5">
            <w:r>
              <w:t>Race/Ethnicity</w:t>
            </w:r>
          </w:p>
        </w:tc>
        <w:tc>
          <w:tcPr>
            <w:tcW w:w="4675" w:type="dxa"/>
          </w:tcPr>
          <w:p w14:paraId="78255518" w14:textId="77777777" w:rsidR="00B90936" w:rsidRDefault="00B90936" w:rsidP="001515D5">
            <w:r>
              <w:t>Percent</w:t>
            </w:r>
          </w:p>
        </w:tc>
      </w:tr>
      <w:tr w:rsidR="00B90936" w14:paraId="3267403F" w14:textId="77777777" w:rsidTr="001515D5">
        <w:tc>
          <w:tcPr>
            <w:tcW w:w="4675" w:type="dxa"/>
            <w:vAlign w:val="bottom"/>
          </w:tcPr>
          <w:p w14:paraId="383C9472" w14:textId="77777777" w:rsidR="00B90936" w:rsidRDefault="00B90936" w:rsidP="001515D5">
            <w:r>
              <w:t>Non-Hispanic White</w:t>
            </w:r>
          </w:p>
        </w:tc>
        <w:tc>
          <w:tcPr>
            <w:tcW w:w="4675" w:type="dxa"/>
            <w:vAlign w:val="center"/>
          </w:tcPr>
          <w:p w14:paraId="0717AD7D" w14:textId="77777777" w:rsidR="00B90936" w:rsidRDefault="00B90936" w:rsidP="001515D5">
            <w:r>
              <w:t>37.9%</w:t>
            </w:r>
          </w:p>
        </w:tc>
      </w:tr>
      <w:tr w:rsidR="00B90936" w14:paraId="160C065B" w14:textId="77777777" w:rsidTr="001515D5">
        <w:tc>
          <w:tcPr>
            <w:tcW w:w="4675" w:type="dxa"/>
            <w:vAlign w:val="bottom"/>
          </w:tcPr>
          <w:p w14:paraId="3E186E54" w14:textId="77777777" w:rsidR="00B90936" w:rsidRDefault="00B90936" w:rsidP="001515D5">
            <w:r>
              <w:t>Non-Hispanic Black</w:t>
            </w:r>
          </w:p>
        </w:tc>
        <w:tc>
          <w:tcPr>
            <w:tcW w:w="4675" w:type="dxa"/>
            <w:vAlign w:val="center"/>
          </w:tcPr>
          <w:p w14:paraId="4A4D6442" w14:textId="77777777" w:rsidR="00B90936" w:rsidRDefault="00B90936" w:rsidP="001515D5">
            <w:r>
              <w:t>38.7%</w:t>
            </w:r>
          </w:p>
        </w:tc>
      </w:tr>
      <w:tr w:rsidR="00B90936" w14:paraId="34FBEDA9" w14:textId="77777777" w:rsidTr="001515D5">
        <w:tc>
          <w:tcPr>
            <w:tcW w:w="4675" w:type="dxa"/>
            <w:vAlign w:val="bottom"/>
          </w:tcPr>
          <w:p w14:paraId="665C8462" w14:textId="77777777" w:rsidR="00B90936" w:rsidRDefault="00B90936" w:rsidP="001515D5">
            <w:r>
              <w:t>Non-Hispanic Other</w:t>
            </w:r>
          </w:p>
        </w:tc>
        <w:tc>
          <w:tcPr>
            <w:tcW w:w="4675" w:type="dxa"/>
            <w:vAlign w:val="center"/>
          </w:tcPr>
          <w:p w14:paraId="064F8DB4" w14:textId="77777777" w:rsidR="00B90936" w:rsidRDefault="00B90936" w:rsidP="001515D5">
            <w:r>
              <w:t>29.1%</w:t>
            </w:r>
          </w:p>
        </w:tc>
      </w:tr>
      <w:tr w:rsidR="00B90936" w14:paraId="5FA8BE06" w14:textId="77777777" w:rsidTr="001515D5">
        <w:tc>
          <w:tcPr>
            <w:tcW w:w="4675" w:type="dxa"/>
            <w:vAlign w:val="bottom"/>
          </w:tcPr>
          <w:p w14:paraId="3FD939DF" w14:textId="77777777" w:rsidR="00B90936" w:rsidRDefault="00B90936" w:rsidP="001515D5">
            <w:r>
              <w:t>Hispanic</w:t>
            </w:r>
          </w:p>
        </w:tc>
        <w:tc>
          <w:tcPr>
            <w:tcW w:w="4675" w:type="dxa"/>
            <w:vAlign w:val="center"/>
          </w:tcPr>
          <w:p w14:paraId="0B8DF2D0" w14:textId="77777777" w:rsidR="00B90936" w:rsidRDefault="00B90936" w:rsidP="001515D5">
            <w:r>
              <w:t>11.4%</w:t>
            </w:r>
          </w:p>
        </w:tc>
      </w:tr>
    </w:tbl>
    <w:p w14:paraId="678EC950" w14:textId="77777777" w:rsidR="00B90936" w:rsidRPr="00722DB3" w:rsidRDefault="00B90936" w:rsidP="00B90936">
      <w:r w:rsidRPr="00722DB3">
        <w:lastRenderedPageBreak/>
        <w:t xml:space="preserve">Source: SC BRFSS, 2021. </w:t>
      </w:r>
    </w:p>
    <w:p w14:paraId="6BCDF9CC" w14:textId="77777777" w:rsidR="00B90936" w:rsidRDefault="00B90936" w:rsidP="00B90936">
      <w:r w:rsidRPr="00722DB3">
        <w:t>Notes: Adults 18+. diagnosed with two or more chronic conditions (asthma, coronary heart disease, diabetes, arthritis, COPD, depression, stroke, heart attack, hypertension).</w:t>
      </w:r>
    </w:p>
    <w:p w14:paraId="4F4A788C" w14:textId="77777777" w:rsidR="004503E5" w:rsidRDefault="004503E5" w:rsidP="004503E5">
      <w:pPr>
        <w:rPr>
          <w:b/>
          <w:bCs/>
        </w:rPr>
      </w:pPr>
    </w:p>
    <w:p w14:paraId="61818322" w14:textId="77777777" w:rsidR="004503E5" w:rsidRDefault="004503E5" w:rsidP="004503E5">
      <w:pPr>
        <w:pStyle w:val="Heading4"/>
      </w:pPr>
      <w:bookmarkStart w:id="686" w:name="_Toc162267462"/>
      <w:r w:rsidRPr="004503E5">
        <w:t>Data Interpretations:</w:t>
      </w:r>
      <w:bookmarkEnd w:id="686"/>
    </w:p>
    <w:p w14:paraId="5BA97C1B" w14:textId="40909002" w:rsidR="004503E5" w:rsidRPr="004503E5" w:rsidRDefault="004503E5" w:rsidP="004503E5">
      <w:r w:rsidRPr="004503E5">
        <w:t>One-third of adults in SC had at least two chronic conditions in 2021. The prevalence of MCC increased with age with the highest among those ages 55-64 (</w:t>
      </w:r>
      <w:r w:rsidRPr="004503E5">
        <w:rPr>
          <w:b/>
          <w:bCs/>
        </w:rPr>
        <w:t>Figure 9.2</w:t>
      </w:r>
      <w:r w:rsidRPr="004503E5">
        <w:t>). More female adults (39.5%) had MCC than male adults (32.8%). Non-Hispanic Black adults had a slightly higher prevalence of MCC than non-Hispanic White adults (</w:t>
      </w:r>
      <w:r w:rsidRPr="004503E5">
        <w:rPr>
          <w:b/>
          <w:bCs/>
        </w:rPr>
        <w:t>Figure 9.3</w:t>
      </w:r>
      <w:r w:rsidRPr="004503E5">
        <w:t>). The prevalence of MCC was highest among adults with an annual household income of less than $15,000.</w:t>
      </w:r>
    </w:p>
    <w:p w14:paraId="4D31B36B" w14:textId="77777777" w:rsidR="004503E5" w:rsidRDefault="004503E5" w:rsidP="004503E5"/>
    <w:p w14:paraId="5DD5F3C6" w14:textId="57151323" w:rsidR="004503E5" w:rsidRDefault="004503E5" w:rsidP="004503E5">
      <w:pPr>
        <w:pStyle w:val="Heading5"/>
      </w:pPr>
      <w:r>
        <w:t xml:space="preserve">Key Takeaways: </w:t>
      </w:r>
    </w:p>
    <w:p w14:paraId="67AC11E8" w14:textId="77777777" w:rsidR="004503E5" w:rsidRPr="004503E5" w:rsidRDefault="004503E5" w:rsidP="00926EB3">
      <w:pPr>
        <w:pStyle w:val="ListParagraph"/>
        <w:numPr>
          <w:ilvl w:val="0"/>
          <w:numId w:val="228"/>
        </w:numPr>
      </w:pPr>
      <w:r w:rsidRPr="004503E5">
        <w:t>One in three adults have at least two chronic conditions.</w:t>
      </w:r>
    </w:p>
    <w:p w14:paraId="3D338C9C" w14:textId="77777777" w:rsidR="004503E5" w:rsidRPr="004503E5" w:rsidRDefault="004503E5" w:rsidP="004503E5"/>
    <w:p w14:paraId="66D455D3" w14:textId="1A0DC41D" w:rsidR="004503E5" w:rsidRPr="00CF1BB1" w:rsidRDefault="004503E5" w:rsidP="004503E5">
      <w:pPr>
        <w:pStyle w:val="Heading4"/>
        <w:rPr>
          <w:rFonts w:asciiTheme="minorHAnsi" w:hAnsiTheme="minorHAnsi" w:cstheme="minorHAnsi"/>
          <w:color w:val="000000" w:themeColor="text1"/>
        </w:rPr>
      </w:pPr>
      <w:bookmarkStart w:id="687" w:name="_Toc162267463"/>
      <w:r w:rsidRPr="00CF1BB1">
        <w:rPr>
          <w:rFonts w:asciiTheme="minorHAnsi" w:hAnsiTheme="minorHAnsi" w:cstheme="minorHAnsi"/>
          <w:color w:val="000000" w:themeColor="text1"/>
        </w:rPr>
        <w:t xml:space="preserve">References </w:t>
      </w:r>
      <w:r>
        <w:rPr>
          <w:rFonts w:asciiTheme="minorHAnsi" w:hAnsiTheme="minorHAnsi" w:cstheme="minorHAnsi"/>
          <w:color w:val="000000" w:themeColor="text1"/>
        </w:rPr>
        <w:t>9.2</w:t>
      </w:r>
      <w:bookmarkEnd w:id="687"/>
      <w:r>
        <w:rPr>
          <w:rFonts w:asciiTheme="minorHAnsi" w:hAnsiTheme="minorHAnsi" w:cstheme="minorHAnsi"/>
          <w:color w:val="000000" w:themeColor="text1"/>
        </w:rPr>
        <w:t xml:space="preserve"> </w:t>
      </w:r>
    </w:p>
    <w:p w14:paraId="7AED69C9" w14:textId="77777777" w:rsidR="004503E5" w:rsidRDefault="004503E5" w:rsidP="004503E5">
      <w:r w:rsidRPr="00CF1BB1">
        <w:t>Statistics in the preceding section were referenced from the following report</w:t>
      </w:r>
      <w:r>
        <w:t>s</w:t>
      </w:r>
      <w:r w:rsidRPr="00CF1BB1">
        <w:t>:</w:t>
      </w:r>
    </w:p>
    <w:p w14:paraId="2B09ABB4" w14:textId="4437EDE7" w:rsidR="0090713C" w:rsidRPr="0090713C" w:rsidRDefault="0090713C" w:rsidP="00926EB3">
      <w:pPr>
        <w:pStyle w:val="ListParagraph"/>
        <w:numPr>
          <w:ilvl w:val="0"/>
          <w:numId w:val="192"/>
        </w:numPr>
      </w:pPr>
      <w:r>
        <w:t>“</w:t>
      </w:r>
      <w:r w:rsidRPr="0090713C">
        <w:t>Chronic Disease Prevention: The Key to Improving Life and Health care,</w:t>
      </w:r>
      <w:r>
        <w:t>”</w:t>
      </w:r>
      <w:r w:rsidRPr="0090713C">
        <w:t xml:space="preserve"> a white paper prepared by NACDD, 2020.</w:t>
      </w:r>
      <w:r>
        <w:t xml:space="preserve"> No hyperlink.</w:t>
      </w:r>
    </w:p>
    <w:p w14:paraId="2D0CF108" w14:textId="0C765C59" w:rsidR="0090713C" w:rsidRPr="0090713C" w:rsidRDefault="0090713C" w:rsidP="00926EB3">
      <w:pPr>
        <w:pStyle w:val="ListParagraph"/>
        <w:numPr>
          <w:ilvl w:val="0"/>
          <w:numId w:val="192"/>
        </w:numPr>
      </w:pPr>
      <w:r>
        <w:t>“</w:t>
      </w:r>
      <w:r w:rsidRPr="0090713C">
        <w:t>Prevalence of Multiple Chronic Conditions Among US Adults, 2018</w:t>
      </w:r>
      <w:r>
        <w:t>” by</w:t>
      </w:r>
      <w:r w:rsidRPr="0090713C">
        <w:t xml:space="preserve"> Boersma P, Black LI, Ward BW.</w:t>
      </w:r>
      <w:r>
        <w:t xml:space="preserve"> Published in</w:t>
      </w:r>
      <w:r w:rsidRPr="0090713C">
        <w:t xml:space="preserve"> </w:t>
      </w:r>
      <w:proofErr w:type="spellStart"/>
      <w:r w:rsidRPr="0090713C">
        <w:t>Prev</w:t>
      </w:r>
      <w:proofErr w:type="spellEnd"/>
      <w:r w:rsidRPr="0090713C">
        <w:t xml:space="preserve"> Chronic Dis</w:t>
      </w:r>
      <w:r>
        <w:t>,</w:t>
      </w:r>
      <w:r w:rsidRPr="0090713C">
        <w:t xml:space="preserve"> 2020</w:t>
      </w:r>
      <w:r>
        <w:t>. No hyperlink.</w:t>
      </w:r>
    </w:p>
    <w:p w14:paraId="6487952C" w14:textId="59D0CF0E" w:rsidR="0090713C" w:rsidRPr="0090713C" w:rsidRDefault="00000000" w:rsidP="00926EB3">
      <w:pPr>
        <w:pStyle w:val="ListParagraph"/>
        <w:numPr>
          <w:ilvl w:val="0"/>
          <w:numId w:val="192"/>
        </w:numPr>
      </w:pPr>
      <w:hyperlink r:id="rId294" w:history="1">
        <w:r w:rsidR="0090713C" w:rsidRPr="0090713C">
          <w:rPr>
            <w:rStyle w:val="Hyperlink"/>
          </w:rPr>
          <w:t>“Multiple chronic conditions”</w:t>
        </w:r>
        <w:r w:rsidR="0090713C" w:rsidRPr="0090713C">
          <w:rPr>
            <w:rStyle w:val="Hyperlink"/>
            <w:i/>
            <w:iCs/>
          </w:rPr>
          <w:t xml:space="preserve"> </w:t>
        </w:r>
        <w:r w:rsidR="0090713C" w:rsidRPr="0090713C">
          <w:rPr>
            <w:rStyle w:val="Hyperlink"/>
          </w:rPr>
          <w:t>published by AHRQ. Retrieved December 21, 2022.</w:t>
        </w:r>
      </w:hyperlink>
      <w:r w:rsidR="0090713C" w:rsidRPr="0090713C">
        <w:t xml:space="preserve"> </w:t>
      </w:r>
    </w:p>
    <w:p w14:paraId="69A74F43" w14:textId="77777777" w:rsidR="00951CC1" w:rsidRDefault="00951CC1" w:rsidP="004503E5"/>
    <w:p w14:paraId="59763059" w14:textId="77777777" w:rsidR="00951CC1" w:rsidRPr="00951CC1" w:rsidRDefault="00951CC1" w:rsidP="00951CC1">
      <w:pPr>
        <w:pStyle w:val="Heading3"/>
      </w:pPr>
      <w:bookmarkStart w:id="688" w:name="_Toc162267464"/>
      <w:r w:rsidRPr="00951CC1">
        <w:t>Obesity</w:t>
      </w:r>
      <w:bookmarkEnd w:id="688"/>
    </w:p>
    <w:p w14:paraId="33E0A5AC" w14:textId="7797F69E" w:rsidR="00951CC1" w:rsidRPr="00951CC1" w:rsidRDefault="00951CC1" w:rsidP="00951CC1">
      <w:r w:rsidRPr="00951CC1">
        <w:t>Access to nutritious foods and physical activity ha</w:t>
      </w:r>
      <w:r w:rsidR="00353117">
        <w:t>s</w:t>
      </w:r>
      <w:r w:rsidRPr="00951CC1">
        <w:t xml:space="preserve"> a major impact on overall health, well-being, and quality of life. Developing policies and creating environments that make healthy choices easier and less expensive supports South Carolinians in preventing costly chronic health conditions, such as obesity, diabetes, and high blood pressure.</w:t>
      </w:r>
    </w:p>
    <w:p w14:paraId="6F24518A" w14:textId="77777777" w:rsidR="00951CC1" w:rsidRDefault="00951CC1" w:rsidP="00951CC1"/>
    <w:p w14:paraId="4C40888E" w14:textId="0F759976" w:rsidR="00951CC1" w:rsidRPr="00951CC1" w:rsidRDefault="00951CC1" w:rsidP="00951CC1">
      <w:r w:rsidRPr="00951CC1">
        <w:t xml:space="preserve">Obesity disproportionately affects low-income and rural communities, as well as certain racial and ethnic groups. Adults with obesity are at increased risk for many other serious health conditions such as heart disease, stroke, type 2 diabetes, some cancers, and poorer mental health. Obesity threatens our military readiness, </w:t>
      </w:r>
      <w:r w:rsidRPr="00951CC1">
        <w:lastRenderedPageBreak/>
        <w:t>as well as the number of individuals capable of serving as first responders, firefighters, and police officers. Furthermore, obesity is costing SC more than $8.7 billion per year. There is a financial return on investment for proven community-based prevention programs that increase physical activity, improve nutrition</w:t>
      </w:r>
      <w:r w:rsidR="00353117">
        <w:t>,</w:t>
      </w:r>
      <w:r w:rsidRPr="00951CC1">
        <w:t xml:space="preserve"> and prevent smoking and other tobacco use</w:t>
      </w:r>
      <w:r w:rsidR="00353117">
        <w:t xml:space="preserve">, </w:t>
      </w:r>
      <w:r w:rsidRPr="00951CC1">
        <w:t>of $5.60 for every $1 invested. This return on investment represents medical cost savings only and does not include the significant gains that could be achieved in worker productivity, reduced absenteeism at work and school, and enhanced quality of life. Where people live should not determine how long or how well they live, but many communities face obstacles in accessing healthy food and safe spaces for physical activity, thereby limiting opportunities to truly flourish.</w:t>
      </w:r>
    </w:p>
    <w:p w14:paraId="45569594" w14:textId="77777777" w:rsidR="00951CC1" w:rsidRDefault="00951CC1" w:rsidP="004503E5"/>
    <w:p w14:paraId="63B24570" w14:textId="77777777" w:rsidR="00C2195E" w:rsidRDefault="00C2195E" w:rsidP="00C2195E">
      <w:pPr>
        <w:pStyle w:val="Heading4"/>
      </w:pPr>
      <w:bookmarkStart w:id="689" w:name="_Toc154576486"/>
      <w:bookmarkStart w:id="690" w:name="_Toc162267465"/>
      <w:r>
        <w:t>Figure 9.4: Adults Who Are Obese.</w:t>
      </w:r>
      <w:bookmarkEnd w:id="689"/>
      <w:bookmarkEnd w:id="690"/>
    </w:p>
    <w:tbl>
      <w:tblPr>
        <w:tblStyle w:val="TableGrid"/>
        <w:tblW w:w="0" w:type="auto"/>
        <w:tblLook w:val="04A0" w:firstRow="1" w:lastRow="0" w:firstColumn="1" w:lastColumn="0" w:noHBand="0" w:noVBand="1"/>
      </w:tblPr>
      <w:tblGrid>
        <w:gridCol w:w="3116"/>
        <w:gridCol w:w="3117"/>
        <w:gridCol w:w="3117"/>
      </w:tblGrid>
      <w:tr w:rsidR="00C2195E" w14:paraId="4367DF73" w14:textId="77777777" w:rsidTr="001515D5">
        <w:tc>
          <w:tcPr>
            <w:tcW w:w="3116" w:type="dxa"/>
            <w:vAlign w:val="bottom"/>
          </w:tcPr>
          <w:p w14:paraId="491ECEF3" w14:textId="77777777" w:rsidR="00C2195E" w:rsidRPr="002C756C" w:rsidRDefault="00C2195E" w:rsidP="001515D5">
            <w:r>
              <w:t>Year</w:t>
            </w:r>
          </w:p>
        </w:tc>
        <w:tc>
          <w:tcPr>
            <w:tcW w:w="3117" w:type="dxa"/>
            <w:vAlign w:val="bottom"/>
          </w:tcPr>
          <w:p w14:paraId="3DF62462" w14:textId="77777777" w:rsidR="00C2195E" w:rsidRPr="002C756C" w:rsidRDefault="00C2195E" w:rsidP="001515D5">
            <w:r w:rsidRPr="002C756C">
              <w:t>SC</w:t>
            </w:r>
          </w:p>
        </w:tc>
        <w:tc>
          <w:tcPr>
            <w:tcW w:w="3117" w:type="dxa"/>
            <w:vAlign w:val="bottom"/>
          </w:tcPr>
          <w:p w14:paraId="26DE90DB" w14:textId="77777777" w:rsidR="00C2195E" w:rsidRPr="002C756C" w:rsidRDefault="00C2195E" w:rsidP="001515D5">
            <w:r w:rsidRPr="002C756C">
              <w:t>H</w:t>
            </w:r>
            <w:r>
              <w:t>ealthy People 2030 Goal</w:t>
            </w:r>
          </w:p>
        </w:tc>
      </w:tr>
      <w:tr w:rsidR="00C2195E" w14:paraId="05C4E158" w14:textId="77777777" w:rsidTr="001515D5">
        <w:tc>
          <w:tcPr>
            <w:tcW w:w="3116" w:type="dxa"/>
            <w:vAlign w:val="center"/>
          </w:tcPr>
          <w:p w14:paraId="02F419F8" w14:textId="77777777" w:rsidR="00C2195E" w:rsidRPr="002C756C" w:rsidRDefault="00C2195E" w:rsidP="001515D5">
            <w:r w:rsidRPr="002C756C">
              <w:t>2012</w:t>
            </w:r>
          </w:p>
        </w:tc>
        <w:tc>
          <w:tcPr>
            <w:tcW w:w="3117" w:type="dxa"/>
            <w:vAlign w:val="center"/>
          </w:tcPr>
          <w:p w14:paraId="6994F4BD" w14:textId="77777777" w:rsidR="00C2195E" w:rsidRPr="002C756C" w:rsidRDefault="00C2195E" w:rsidP="001515D5">
            <w:r w:rsidRPr="002C756C">
              <w:t>31.4%</w:t>
            </w:r>
          </w:p>
        </w:tc>
        <w:tc>
          <w:tcPr>
            <w:tcW w:w="3117" w:type="dxa"/>
            <w:vAlign w:val="bottom"/>
          </w:tcPr>
          <w:p w14:paraId="127DF8F7" w14:textId="77777777" w:rsidR="00C2195E" w:rsidRPr="002C756C" w:rsidRDefault="00C2195E" w:rsidP="001515D5">
            <w:r w:rsidRPr="002C756C">
              <w:t>36.0%</w:t>
            </w:r>
          </w:p>
        </w:tc>
      </w:tr>
      <w:tr w:rsidR="00C2195E" w14:paraId="428E4323" w14:textId="77777777" w:rsidTr="001515D5">
        <w:tc>
          <w:tcPr>
            <w:tcW w:w="3116" w:type="dxa"/>
            <w:vAlign w:val="center"/>
          </w:tcPr>
          <w:p w14:paraId="6D0596A0" w14:textId="77777777" w:rsidR="00C2195E" w:rsidRPr="002C756C" w:rsidRDefault="00C2195E" w:rsidP="001515D5">
            <w:r w:rsidRPr="002C756C">
              <w:t>2013</w:t>
            </w:r>
          </w:p>
        </w:tc>
        <w:tc>
          <w:tcPr>
            <w:tcW w:w="3117" w:type="dxa"/>
            <w:vAlign w:val="center"/>
          </w:tcPr>
          <w:p w14:paraId="0A707808" w14:textId="77777777" w:rsidR="00C2195E" w:rsidRPr="002C756C" w:rsidRDefault="00C2195E" w:rsidP="001515D5">
            <w:r w:rsidRPr="002C756C">
              <w:t>31.8%</w:t>
            </w:r>
          </w:p>
        </w:tc>
        <w:tc>
          <w:tcPr>
            <w:tcW w:w="3117" w:type="dxa"/>
            <w:vAlign w:val="bottom"/>
          </w:tcPr>
          <w:p w14:paraId="17B980C8" w14:textId="77777777" w:rsidR="00C2195E" w:rsidRPr="002C756C" w:rsidRDefault="00C2195E" w:rsidP="001515D5">
            <w:r w:rsidRPr="002C756C">
              <w:t>36.0%</w:t>
            </w:r>
          </w:p>
        </w:tc>
      </w:tr>
      <w:tr w:rsidR="00C2195E" w14:paraId="624A4ABC" w14:textId="77777777" w:rsidTr="001515D5">
        <w:tc>
          <w:tcPr>
            <w:tcW w:w="3116" w:type="dxa"/>
            <w:vAlign w:val="center"/>
          </w:tcPr>
          <w:p w14:paraId="66B25E51" w14:textId="77777777" w:rsidR="00C2195E" w:rsidRPr="002C756C" w:rsidRDefault="00C2195E" w:rsidP="001515D5">
            <w:r w:rsidRPr="002C756C">
              <w:t>2014</w:t>
            </w:r>
          </w:p>
        </w:tc>
        <w:tc>
          <w:tcPr>
            <w:tcW w:w="3117" w:type="dxa"/>
            <w:vAlign w:val="center"/>
          </w:tcPr>
          <w:p w14:paraId="63D94A00" w14:textId="77777777" w:rsidR="00C2195E" w:rsidRPr="002C756C" w:rsidRDefault="00C2195E" w:rsidP="001515D5">
            <w:r w:rsidRPr="002C756C">
              <w:t>32.0%</w:t>
            </w:r>
          </w:p>
        </w:tc>
        <w:tc>
          <w:tcPr>
            <w:tcW w:w="3117" w:type="dxa"/>
            <w:vAlign w:val="bottom"/>
          </w:tcPr>
          <w:p w14:paraId="21F8D684" w14:textId="77777777" w:rsidR="00C2195E" w:rsidRPr="002C756C" w:rsidRDefault="00C2195E" w:rsidP="001515D5">
            <w:r w:rsidRPr="002C756C">
              <w:t>36.0%</w:t>
            </w:r>
          </w:p>
        </w:tc>
      </w:tr>
      <w:tr w:rsidR="00C2195E" w14:paraId="6BEAC9BD" w14:textId="77777777" w:rsidTr="001515D5">
        <w:tc>
          <w:tcPr>
            <w:tcW w:w="3116" w:type="dxa"/>
            <w:vAlign w:val="center"/>
          </w:tcPr>
          <w:p w14:paraId="572204C2" w14:textId="77777777" w:rsidR="00C2195E" w:rsidRPr="002C756C" w:rsidRDefault="00C2195E" w:rsidP="001515D5">
            <w:r w:rsidRPr="002C756C">
              <w:t>2015</w:t>
            </w:r>
          </w:p>
        </w:tc>
        <w:tc>
          <w:tcPr>
            <w:tcW w:w="3117" w:type="dxa"/>
            <w:vAlign w:val="center"/>
          </w:tcPr>
          <w:p w14:paraId="4F1D66FC" w14:textId="77777777" w:rsidR="00C2195E" w:rsidRPr="002C756C" w:rsidRDefault="00C2195E" w:rsidP="001515D5">
            <w:r w:rsidRPr="002C756C">
              <w:t>31.7%</w:t>
            </w:r>
          </w:p>
        </w:tc>
        <w:tc>
          <w:tcPr>
            <w:tcW w:w="3117" w:type="dxa"/>
            <w:vAlign w:val="bottom"/>
          </w:tcPr>
          <w:p w14:paraId="3604A997" w14:textId="77777777" w:rsidR="00C2195E" w:rsidRPr="002C756C" w:rsidRDefault="00C2195E" w:rsidP="001515D5">
            <w:r w:rsidRPr="002C756C">
              <w:t>36.0%</w:t>
            </w:r>
          </w:p>
        </w:tc>
      </w:tr>
      <w:tr w:rsidR="00C2195E" w14:paraId="128577CC" w14:textId="77777777" w:rsidTr="001515D5">
        <w:tc>
          <w:tcPr>
            <w:tcW w:w="3116" w:type="dxa"/>
            <w:vAlign w:val="center"/>
          </w:tcPr>
          <w:p w14:paraId="294A473B" w14:textId="77777777" w:rsidR="00C2195E" w:rsidRPr="002C756C" w:rsidRDefault="00C2195E" w:rsidP="001515D5">
            <w:r w:rsidRPr="002C756C">
              <w:t>2016</w:t>
            </w:r>
          </w:p>
        </w:tc>
        <w:tc>
          <w:tcPr>
            <w:tcW w:w="3117" w:type="dxa"/>
            <w:vAlign w:val="center"/>
          </w:tcPr>
          <w:p w14:paraId="219B67BF" w14:textId="77777777" w:rsidR="00C2195E" w:rsidRPr="002C756C" w:rsidRDefault="00C2195E" w:rsidP="001515D5">
            <w:r w:rsidRPr="002C756C">
              <w:t>32.1%</w:t>
            </w:r>
          </w:p>
        </w:tc>
        <w:tc>
          <w:tcPr>
            <w:tcW w:w="3117" w:type="dxa"/>
            <w:vAlign w:val="bottom"/>
          </w:tcPr>
          <w:p w14:paraId="61E7BE89" w14:textId="77777777" w:rsidR="00C2195E" w:rsidRPr="002C756C" w:rsidRDefault="00C2195E" w:rsidP="001515D5">
            <w:r w:rsidRPr="002C756C">
              <w:t>36.0%</w:t>
            </w:r>
          </w:p>
        </w:tc>
      </w:tr>
      <w:tr w:rsidR="00C2195E" w14:paraId="652360C2" w14:textId="77777777" w:rsidTr="001515D5">
        <w:tc>
          <w:tcPr>
            <w:tcW w:w="3116" w:type="dxa"/>
            <w:vAlign w:val="center"/>
          </w:tcPr>
          <w:p w14:paraId="25518169" w14:textId="77777777" w:rsidR="00C2195E" w:rsidRPr="002C756C" w:rsidRDefault="00C2195E" w:rsidP="001515D5">
            <w:r w:rsidRPr="002C756C">
              <w:t>2017</w:t>
            </w:r>
          </w:p>
        </w:tc>
        <w:tc>
          <w:tcPr>
            <w:tcW w:w="3117" w:type="dxa"/>
            <w:vAlign w:val="center"/>
          </w:tcPr>
          <w:p w14:paraId="42DE6ABE" w14:textId="77777777" w:rsidR="00C2195E" w:rsidRPr="002C756C" w:rsidRDefault="00C2195E" w:rsidP="001515D5">
            <w:r w:rsidRPr="002C756C">
              <w:t>34.3%</w:t>
            </w:r>
          </w:p>
        </w:tc>
        <w:tc>
          <w:tcPr>
            <w:tcW w:w="3117" w:type="dxa"/>
            <w:vAlign w:val="bottom"/>
          </w:tcPr>
          <w:p w14:paraId="69B1CD71" w14:textId="77777777" w:rsidR="00C2195E" w:rsidRPr="002C756C" w:rsidRDefault="00C2195E" w:rsidP="001515D5">
            <w:r w:rsidRPr="002C756C">
              <w:t>36.0%</w:t>
            </w:r>
          </w:p>
        </w:tc>
      </w:tr>
      <w:tr w:rsidR="00C2195E" w14:paraId="1AFA71DE" w14:textId="77777777" w:rsidTr="001515D5">
        <w:tc>
          <w:tcPr>
            <w:tcW w:w="3116" w:type="dxa"/>
            <w:vAlign w:val="center"/>
          </w:tcPr>
          <w:p w14:paraId="1943E438" w14:textId="77777777" w:rsidR="00C2195E" w:rsidRPr="002C756C" w:rsidRDefault="00C2195E" w:rsidP="001515D5">
            <w:r w:rsidRPr="002C756C">
              <w:t>2018</w:t>
            </w:r>
          </w:p>
        </w:tc>
        <w:tc>
          <w:tcPr>
            <w:tcW w:w="3117" w:type="dxa"/>
            <w:vAlign w:val="center"/>
          </w:tcPr>
          <w:p w14:paraId="5C9707D7" w14:textId="77777777" w:rsidR="00C2195E" w:rsidRPr="002C756C" w:rsidRDefault="00C2195E" w:rsidP="001515D5">
            <w:r w:rsidRPr="002C756C">
              <w:t>34.2%</w:t>
            </w:r>
          </w:p>
        </w:tc>
        <w:tc>
          <w:tcPr>
            <w:tcW w:w="3117" w:type="dxa"/>
            <w:vAlign w:val="bottom"/>
          </w:tcPr>
          <w:p w14:paraId="2914B898" w14:textId="77777777" w:rsidR="00C2195E" w:rsidRPr="002C756C" w:rsidRDefault="00C2195E" w:rsidP="001515D5">
            <w:r w:rsidRPr="002C756C">
              <w:t>36.0%</w:t>
            </w:r>
          </w:p>
        </w:tc>
      </w:tr>
      <w:tr w:rsidR="00C2195E" w14:paraId="02956986" w14:textId="77777777" w:rsidTr="001515D5">
        <w:tc>
          <w:tcPr>
            <w:tcW w:w="3116" w:type="dxa"/>
            <w:vAlign w:val="center"/>
          </w:tcPr>
          <w:p w14:paraId="14EF128A" w14:textId="77777777" w:rsidR="00C2195E" w:rsidRPr="002C756C" w:rsidRDefault="00C2195E" w:rsidP="001515D5">
            <w:r w:rsidRPr="002C756C">
              <w:t>2019</w:t>
            </w:r>
          </w:p>
        </w:tc>
        <w:tc>
          <w:tcPr>
            <w:tcW w:w="3117" w:type="dxa"/>
            <w:vAlign w:val="center"/>
          </w:tcPr>
          <w:p w14:paraId="32A6F726" w14:textId="77777777" w:rsidR="00C2195E" w:rsidRPr="002C756C" w:rsidRDefault="00C2195E" w:rsidP="001515D5">
            <w:r w:rsidRPr="002C756C">
              <w:t>35.5%</w:t>
            </w:r>
          </w:p>
        </w:tc>
        <w:tc>
          <w:tcPr>
            <w:tcW w:w="3117" w:type="dxa"/>
            <w:vAlign w:val="bottom"/>
          </w:tcPr>
          <w:p w14:paraId="4A643D6D" w14:textId="77777777" w:rsidR="00C2195E" w:rsidRPr="002C756C" w:rsidRDefault="00C2195E" w:rsidP="001515D5">
            <w:r w:rsidRPr="002C756C">
              <w:t>36.0%</w:t>
            </w:r>
          </w:p>
        </w:tc>
      </w:tr>
      <w:tr w:rsidR="00C2195E" w14:paraId="0388DA92" w14:textId="77777777" w:rsidTr="001515D5">
        <w:tc>
          <w:tcPr>
            <w:tcW w:w="3116" w:type="dxa"/>
            <w:vAlign w:val="center"/>
          </w:tcPr>
          <w:p w14:paraId="38FDF4E0" w14:textId="77777777" w:rsidR="00C2195E" w:rsidRPr="002C756C" w:rsidRDefault="00C2195E" w:rsidP="001515D5">
            <w:r w:rsidRPr="002C756C">
              <w:t>2020</w:t>
            </w:r>
          </w:p>
        </w:tc>
        <w:tc>
          <w:tcPr>
            <w:tcW w:w="3117" w:type="dxa"/>
            <w:vAlign w:val="center"/>
          </w:tcPr>
          <w:p w14:paraId="01A7FBE4" w14:textId="77777777" w:rsidR="00C2195E" w:rsidRPr="002C756C" w:rsidRDefault="00C2195E" w:rsidP="001515D5">
            <w:r w:rsidRPr="002C756C">
              <w:t>36.5%</w:t>
            </w:r>
          </w:p>
        </w:tc>
        <w:tc>
          <w:tcPr>
            <w:tcW w:w="3117" w:type="dxa"/>
            <w:vAlign w:val="bottom"/>
          </w:tcPr>
          <w:p w14:paraId="2476FB06" w14:textId="77777777" w:rsidR="00C2195E" w:rsidRPr="002C756C" w:rsidRDefault="00C2195E" w:rsidP="001515D5">
            <w:r w:rsidRPr="002C756C">
              <w:t>36.0%</w:t>
            </w:r>
          </w:p>
        </w:tc>
      </w:tr>
      <w:tr w:rsidR="00C2195E" w14:paraId="1F26E02C" w14:textId="77777777" w:rsidTr="001515D5">
        <w:tc>
          <w:tcPr>
            <w:tcW w:w="3116" w:type="dxa"/>
            <w:vAlign w:val="center"/>
          </w:tcPr>
          <w:p w14:paraId="3435B34C" w14:textId="77777777" w:rsidR="00C2195E" w:rsidRPr="002C756C" w:rsidRDefault="00C2195E" w:rsidP="001515D5">
            <w:r w:rsidRPr="002C756C">
              <w:t>2021</w:t>
            </w:r>
          </w:p>
        </w:tc>
        <w:tc>
          <w:tcPr>
            <w:tcW w:w="3117" w:type="dxa"/>
            <w:vAlign w:val="center"/>
          </w:tcPr>
          <w:p w14:paraId="0B2C38CD" w14:textId="77777777" w:rsidR="00C2195E" w:rsidRPr="002C756C" w:rsidRDefault="00C2195E" w:rsidP="001515D5">
            <w:r w:rsidRPr="002C756C">
              <w:t>36.9%</w:t>
            </w:r>
          </w:p>
        </w:tc>
        <w:tc>
          <w:tcPr>
            <w:tcW w:w="3117" w:type="dxa"/>
            <w:vAlign w:val="bottom"/>
          </w:tcPr>
          <w:p w14:paraId="3A8BC58F" w14:textId="77777777" w:rsidR="00C2195E" w:rsidRPr="002C756C" w:rsidRDefault="00C2195E" w:rsidP="001515D5">
            <w:r w:rsidRPr="002C756C">
              <w:t>36.0%</w:t>
            </w:r>
          </w:p>
        </w:tc>
      </w:tr>
    </w:tbl>
    <w:p w14:paraId="3172B25B" w14:textId="77777777" w:rsidR="00C2195E" w:rsidRPr="002C756C" w:rsidRDefault="00C2195E" w:rsidP="00C2195E">
      <w:r w:rsidRPr="002C756C">
        <w:t xml:space="preserve">Source: SC BRFSS. </w:t>
      </w:r>
    </w:p>
    <w:p w14:paraId="183113A5" w14:textId="77777777" w:rsidR="00C2195E" w:rsidRDefault="00C2195E" w:rsidP="00C2195E">
      <w:r w:rsidRPr="002C756C">
        <w:t xml:space="preserve">Notes: Adults 20+, </w:t>
      </w:r>
      <w:proofErr w:type="gramStart"/>
      <w:r w:rsidRPr="002C756C">
        <w:t>age-adjusted</w:t>
      </w:r>
      <w:proofErr w:type="gramEnd"/>
      <w:r w:rsidRPr="002C756C">
        <w:t>.</w:t>
      </w:r>
    </w:p>
    <w:p w14:paraId="2DBD7B48" w14:textId="77777777" w:rsidR="00C2195E" w:rsidRPr="002C756C" w:rsidRDefault="00C2195E" w:rsidP="00C2195E"/>
    <w:p w14:paraId="2DCB5877" w14:textId="77777777" w:rsidR="00C2195E" w:rsidRDefault="00C2195E" w:rsidP="00C2195E">
      <w:pPr>
        <w:pStyle w:val="Heading4"/>
      </w:pPr>
      <w:bookmarkStart w:id="691" w:name="_Toc154576487"/>
      <w:bookmarkStart w:id="692" w:name="_Toc162267466"/>
      <w:r>
        <w:t>Figure 9.5: Adults Who Are Obese, by Race/Ethnicity and Sex.</w:t>
      </w:r>
      <w:bookmarkEnd w:id="691"/>
      <w:bookmarkEnd w:id="692"/>
    </w:p>
    <w:tbl>
      <w:tblPr>
        <w:tblStyle w:val="TableGrid"/>
        <w:tblW w:w="0" w:type="auto"/>
        <w:tblLook w:val="04A0" w:firstRow="1" w:lastRow="0" w:firstColumn="1" w:lastColumn="0" w:noHBand="0" w:noVBand="1"/>
      </w:tblPr>
      <w:tblGrid>
        <w:gridCol w:w="4675"/>
        <w:gridCol w:w="4675"/>
      </w:tblGrid>
      <w:tr w:rsidR="00C2195E" w14:paraId="5F6364B6" w14:textId="77777777" w:rsidTr="001515D5">
        <w:tc>
          <w:tcPr>
            <w:tcW w:w="4675" w:type="dxa"/>
          </w:tcPr>
          <w:p w14:paraId="6D0D978F" w14:textId="77777777" w:rsidR="00C2195E" w:rsidRDefault="00C2195E" w:rsidP="001515D5">
            <w:r>
              <w:t>Race/Ethnicity and Sex</w:t>
            </w:r>
          </w:p>
        </w:tc>
        <w:tc>
          <w:tcPr>
            <w:tcW w:w="4675" w:type="dxa"/>
          </w:tcPr>
          <w:p w14:paraId="3D7C29FB" w14:textId="77777777" w:rsidR="00C2195E" w:rsidRDefault="00C2195E" w:rsidP="001515D5">
            <w:r>
              <w:t>Percent</w:t>
            </w:r>
          </w:p>
        </w:tc>
      </w:tr>
      <w:tr w:rsidR="00C2195E" w14:paraId="72890F3D" w14:textId="77777777" w:rsidTr="001515D5">
        <w:tc>
          <w:tcPr>
            <w:tcW w:w="4675" w:type="dxa"/>
            <w:vAlign w:val="bottom"/>
          </w:tcPr>
          <w:p w14:paraId="031B94DB" w14:textId="77777777" w:rsidR="00C2195E" w:rsidRPr="002C756C" w:rsidRDefault="00C2195E" w:rsidP="001515D5">
            <w:r w:rsidRPr="002C756C">
              <w:t>Non-Hispanic White Male</w:t>
            </w:r>
          </w:p>
        </w:tc>
        <w:tc>
          <w:tcPr>
            <w:tcW w:w="4675" w:type="dxa"/>
            <w:vAlign w:val="center"/>
          </w:tcPr>
          <w:p w14:paraId="542A36E7" w14:textId="77777777" w:rsidR="00C2195E" w:rsidRPr="002C756C" w:rsidRDefault="00C2195E" w:rsidP="001515D5">
            <w:r w:rsidRPr="002C756C">
              <w:t>32.4%</w:t>
            </w:r>
          </w:p>
        </w:tc>
      </w:tr>
      <w:tr w:rsidR="00C2195E" w14:paraId="5241F32E" w14:textId="77777777" w:rsidTr="001515D5">
        <w:tc>
          <w:tcPr>
            <w:tcW w:w="4675" w:type="dxa"/>
            <w:vAlign w:val="bottom"/>
          </w:tcPr>
          <w:p w14:paraId="0F1A8768" w14:textId="77777777" w:rsidR="00C2195E" w:rsidRPr="002C756C" w:rsidRDefault="00C2195E" w:rsidP="001515D5">
            <w:r w:rsidRPr="002C756C">
              <w:t>Non-Hispanic White Female</w:t>
            </w:r>
          </w:p>
        </w:tc>
        <w:tc>
          <w:tcPr>
            <w:tcW w:w="4675" w:type="dxa"/>
            <w:vAlign w:val="center"/>
          </w:tcPr>
          <w:p w14:paraId="07C95802" w14:textId="77777777" w:rsidR="00C2195E" w:rsidRPr="002C756C" w:rsidRDefault="00C2195E" w:rsidP="001515D5">
            <w:r w:rsidRPr="002C756C">
              <w:t>34.5%</w:t>
            </w:r>
          </w:p>
        </w:tc>
      </w:tr>
      <w:tr w:rsidR="00C2195E" w14:paraId="2142B708" w14:textId="77777777" w:rsidTr="001515D5">
        <w:tc>
          <w:tcPr>
            <w:tcW w:w="4675" w:type="dxa"/>
            <w:vAlign w:val="bottom"/>
          </w:tcPr>
          <w:p w14:paraId="471B1D3A" w14:textId="77777777" w:rsidR="00C2195E" w:rsidRPr="002C756C" w:rsidRDefault="00C2195E" w:rsidP="001515D5">
            <w:r w:rsidRPr="002C756C">
              <w:t>Non-Hispanic Black Male</w:t>
            </w:r>
          </w:p>
        </w:tc>
        <w:tc>
          <w:tcPr>
            <w:tcW w:w="4675" w:type="dxa"/>
            <w:vAlign w:val="center"/>
          </w:tcPr>
          <w:p w14:paraId="763D1B06" w14:textId="77777777" w:rsidR="00C2195E" w:rsidRPr="002C756C" w:rsidRDefault="00C2195E" w:rsidP="001515D5">
            <w:r w:rsidRPr="002C756C">
              <w:t>38.4%</w:t>
            </w:r>
          </w:p>
        </w:tc>
      </w:tr>
      <w:tr w:rsidR="00C2195E" w14:paraId="68CAA4DD" w14:textId="77777777" w:rsidTr="001515D5">
        <w:tc>
          <w:tcPr>
            <w:tcW w:w="4675" w:type="dxa"/>
            <w:vAlign w:val="bottom"/>
          </w:tcPr>
          <w:p w14:paraId="17747F82" w14:textId="77777777" w:rsidR="00C2195E" w:rsidRPr="002C756C" w:rsidRDefault="00C2195E" w:rsidP="001515D5">
            <w:r w:rsidRPr="002C756C">
              <w:t>Non-Hispanic Black Female</w:t>
            </w:r>
          </w:p>
        </w:tc>
        <w:tc>
          <w:tcPr>
            <w:tcW w:w="4675" w:type="dxa"/>
            <w:vAlign w:val="center"/>
          </w:tcPr>
          <w:p w14:paraId="6B4C4A48" w14:textId="77777777" w:rsidR="00C2195E" w:rsidRPr="002C756C" w:rsidRDefault="00C2195E" w:rsidP="001515D5">
            <w:r w:rsidRPr="002C756C">
              <w:t>54.2%</w:t>
            </w:r>
          </w:p>
        </w:tc>
      </w:tr>
    </w:tbl>
    <w:p w14:paraId="4123A41A" w14:textId="77777777" w:rsidR="00C2195E" w:rsidRPr="002C756C" w:rsidRDefault="00C2195E" w:rsidP="00C2195E">
      <w:r w:rsidRPr="002C756C">
        <w:t xml:space="preserve">Source: SC BRFSS, 2021. </w:t>
      </w:r>
    </w:p>
    <w:p w14:paraId="0F5B4FEA" w14:textId="77777777" w:rsidR="00C2195E" w:rsidRDefault="00C2195E" w:rsidP="00C2195E">
      <w:r w:rsidRPr="002C756C">
        <w:t xml:space="preserve">Notes: Adults 20+, </w:t>
      </w:r>
      <w:proofErr w:type="gramStart"/>
      <w:r w:rsidRPr="002C756C">
        <w:t>age-adjusted</w:t>
      </w:r>
      <w:proofErr w:type="gramEnd"/>
      <w:r w:rsidRPr="002C756C">
        <w:t>.</w:t>
      </w:r>
    </w:p>
    <w:p w14:paraId="06C3BB7F" w14:textId="77777777" w:rsidR="00C2195E" w:rsidRDefault="00C2195E" w:rsidP="00C2195E"/>
    <w:p w14:paraId="3D158F03" w14:textId="77777777" w:rsidR="00C2195E" w:rsidRDefault="00C2195E" w:rsidP="00C2195E">
      <w:pPr>
        <w:pStyle w:val="Heading4"/>
      </w:pPr>
      <w:bookmarkStart w:id="693" w:name="_Toc154576488"/>
      <w:bookmarkStart w:id="694" w:name="_Toc162267467"/>
      <w:r>
        <w:lastRenderedPageBreak/>
        <w:t>Figure 9.6: Adults Who Are Obese, by Income.</w:t>
      </w:r>
      <w:bookmarkEnd w:id="693"/>
      <w:bookmarkEnd w:id="694"/>
    </w:p>
    <w:tbl>
      <w:tblPr>
        <w:tblStyle w:val="TableGrid"/>
        <w:tblW w:w="0" w:type="auto"/>
        <w:tblLook w:val="04A0" w:firstRow="1" w:lastRow="0" w:firstColumn="1" w:lastColumn="0" w:noHBand="0" w:noVBand="1"/>
      </w:tblPr>
      <w:tblGrid>
        <w:gridCol w:w="3116"/>
        <w:gridCol w:w="3117"/>
        <w:gridCol w:w="3117"/>
      </w:tblGrid>
      <w:tr w:rsidR="00C2195E" w14:paraId="10B8C8BF" w14:textId="77777777" w:rsidTr="001515D5">
        <w:tc>
          <w:tcPr>
            <w:tcW w:w="3116" w:type="dxa"/>
            <w:vAlign w:val="bottom"/>
          </w:tcPr>
          <w:p w14:paraId="7F1C391B" w14:textId="77777777" w:rsidR="00C2195E" w:rsidRPr="002C756C" w:rsidRDefault="00C2195E" w:rsidP="001515D5">
            <w:r>
              <w:t>Income Level</w:t>
            </w:r>
          </w:p>
        </w:tc>
        <w:tc>
          <w:tcPr>
            <w:tcW w:w="3117" w:type="dxa"/>
            <w:vAlign w:val="bottom"/>
          </w:tcPr>
          <w:p w14:paraId="78C7CAE6" w14:textId="77777777" w:rsidR="00C2195E" w:rsidRPr="002C756C" w:rsidRDefault="00C2195E" w:rsidP="001515D5">
            <w:r w:rsidRPr="002C756C">
              <w:t>Overweight</w:t>
            </w:r>
          </w:p>
        </w:tc>
        <w:tc>
          <w:tcPr>
            <w:tcW w:w="3117" w:type="dxa"/>
            <w:vAlign w:val="bottom"/>
          </w:tcPr>
          <w:p w14:paraId="23BFD0C5" w14:textId="77777777" w:rsidR="00C2195E" w:rsidRPr="002C756C" w:rsidRDefault="00C2195E" w:rsidP="001515D5">
            <w:r w:rsidRPr="002C756C">
              <w:t>Obese</w:t>
            </w:r>
          </w:p>
        </w:tc>
      </w:tr>
      <w:tr w:rsidR="00C2195E" w14:paraId="34708034" w14:textId="77777777" w:rsidTr="001515D5">
        <w:tc>
          <w:tcPr>
            <w:tcW w:w="3116" w:type="dxa"/>
            <w:vAlign w:val="bottom"/>
          </w:tcPr>
          <w:p w14:paraId="1BF9FD30" w14:textId="77777777" w:rsidR="00C2195E" w:rsidRPr="002C756C" w:rsidRDefault="00C2195E" w:rsidP="001515D5">
            <w:r w:rsidRPr="002C756C">
              <w:t>&lt; $15K</w:t>
            </w:r>
          </w:p>
        </w:tc>
        <w:tc>
          <w:tcPr>
            <w:tcW w:w="3117" w:type="dxa"/>
            <w:vAlign w:val="bottom"/>
          </w:tcPr>
          <w:p w14:paraId="6072DDF2" w14:textId="77777777" w:rsidR="00C2195E" w:rsidRPr="002C756C" w:rsidRDefault="00C2195E" w:rsidP="001515D5">
            <w:r w:rsidRPr="002C756C">
              <w:t>25.2%</w:t>
            </w:r>
          </w:p>
        </w:tc>
        <w:tc>
          <w:tcPr>
            <w:tcW w:w="3117" w:type="dxa"/>
            <w:vAlign w:val="bottom"/>
          </w:tcPr>
          <w:p w14:paraId="31B98001" w14:textId="77777777" w:rsidR="00C2195E" w:rsidRPr="002C756C" w:rsidRDefault="00C2195E" w:rsidP="001515D5">
            <w:r w:rsidRPr="002C756C">
              <w:t>48.1%</w:t>
            </w:r>
          </w:p>
        </w:tc>
      </w:tr>
      <w:tr w:rsidR="00C2195E" w14:paraId="3441E527" w14:textId="77777777" w:rsidTr="001515D5">
        <w:tc>
          <w:tcPr>
            <w:tcW w:w="3116" w:type="dxa"/>
            <w:vAlign w:val="bottom"/>
          </w:tcPr>
          <w:p w14:paraId="5AF31C90" w14:textId="77777777" w:rsidR="00C2195E" w:rsidRPr="002C756C" w:rsidRDefault="00C2195E" w:rsidP="001515D5">
            <w:r w:rsidRPr="002C756C">
              <w:t>$15K - &lt;$25K</w:t>
            </w:r>
          </w:p>
        </w:tc>
        <w:tc>
          <w:tcPr>
            <w:tcW w:w="3117" w:type="dxa"/>
            <w:vAlign w:val="bottom"/>
          </w:tcPr>
          <w:p w14:paraId="3B9B99B4" w14:textId="77777777" w:rsidR="00C2195E" w:rsidRPr="002C756C" w:rsidRDefault="00C2195E" w:rsidP="001515D5">
            <w:r w:rsidRPr="002C756C">
              <w:t>27.4%</w:t>
            </w:r>
          </w:p>
        </w:tc>
        <w:tc>
          <w:tcPr>
            <w:tcW w:w="3117" w:type="dxa"/>
            <w:vAlign w:val="bottom"/>
          </w:tcPr>
          <w:p w14:paraId="5B645C9D" w14:textId="77777777" w:rsidR="00C2195E" w:rsidRPr="002C756C" w:rsidRDefault="00C2195E" w:rsidP="001515D5">
            <w:r w:rsidRPr="002C756C">
              <w:t>41.7%</w:t>
            </w:r>
          </w:p>
        </w:tc>
      </w:tr>
      <w:tr w:rsidR="00C2195E" w14:paraId="330B4521" w14:textId="77777777" w:rsidTr="001515D5">
        <w:tc>
          <w:tcPr>
            <w:tcW w:w="3116" w:type="dxa"/>
            <w:vAlign w:val="bottom"/>
          </w:tcPr>
          <w:p w14:paraId="5F00D525" w14:textId="77777777" w:rsidR="00C2195E" w:rsidRPr="002C756C" w:rsidRDefault="00C2195E" w:rsidP="001515D5">
            <w:r w:rsidRPr="002C756C">
              <w:t>$25K - &lt;$35K</w:t>
            </w:r>
          </w:p>
        </w:tc>
        <w:tc>
          <w:tcPr>
            <w:tcW w:w="3117" w:type="dxa"/>
            <w:vAlign w:val="bottom"/>
          </w:tcPr>
          <w:p w14:paraId="3DFDCD53" w14:textId="77777777" w:rsidR="00C2195E" w:rsidRPr="002C756C" w:rsidRDefault="00C2195E" w:rsidP="001515D5">
            <w:r w:rsidRPr="002C756C">
              <w:t>33.3%</w:t>
            </w:r>
          </w:p>
        </w:tc>
        <w:tc>
          <w:tcPr>
            <w:tcW w:w="3117" w:type="dxa"/>
            <w:vAlign w:val="bottom"/>
          </w:tcPr>
          <w:p w14:paraId="4CBABDAC" w14:textId="77777777" w:rsidR="00C2195E" w:rsidRPr="002C756C" w:rsidRDefault="00C2195E" w:rsidP="001515D5">
            <w:r w:rsidRPr="002C756C">
              <w:t>41.2%</w:t>
            </w:r>
          </w:p>
        </w:tc>
      </w:tr>
      <w:tr w:rsidR="00C2195E" w14:paraId="7FBC73CB" w14:textId="77777777" w:rsidTr="001515D5">
        <w:tc>
          <w:tcPr>
            <w:tcW w:w="3116" w:type="dxa"/>
            <w:vAlign w:val="bottom"/>
          </w:tcPr>
          <w:p w14:paraId="5267CE11" w14:textId="77777777" w:rsidR="00C2195E" w:rsidRPr="002C756C" w:rsidRDefault="00C2195E" w:rsidP="001515D5">
            <w:r w:rsidRPr="002C756C">
              <w:t>$35K - &lt;$50K</w:t>
            </w:r>
          </w:p>
        </w:tc>
        <w:tc>
          <w:tcPr>
            <w:tcW w:w="3117" w:type="dxa"/>
            <w:vAlign w:val="bottom"/>
          </w:tcPr>
          <w:p w14:paraId="73593C29" w14:textId="77777777" w:rsidR="00C2195E" w:rsidRPr="002C756C" w:rsidRDefault="00C2195E" w:rsidP="001515D5">
            <w:r w:rsidRPr="002C756C">
              <w:t>34.0%</w:t>
            </w:r>
          </w:p>
        </w:tc>
        <w:tc>
          <w:tcPr>
            <w:tcW w:w="3117" w:type="dxa"/>
            <w:vAlign w:val="bottom"/>
          </w:tcPr>
          <w:p w14:paraId="4165F6DE" w14:textId="77777777" w:rsidR="00C2195E" w:rsidRPr="002C756C" w:rsidRDefault="00C2195E" w:rsidP="001515D5">
            <w:r w:rsidRPr="002C756C">
              <w:t>35.5%</w:t>
            </w:r>
          </w:p>
        </w:tc>
      </w:tr>
      <w:tr w:rsidR="00C2195E" w14:paraId="448D84D1" w14:textId="77777777" w:rsidTr="001515D5">
        <w:tc>
          <w:tcPr>
            <w:tcW w:w="3116" w:type="dxa"/>
            <w:vAlign w:val="bottom"/>
          </w:tcPr>
          <w:p w14:paraId="7BB32815" w14:textId="77777777" w:rsidR="00C2195E" w:rsidRPr="002C756C" w:rsidRDefault="00C2195E" w:rsidP="001515D5">
            <w:r w:rsidRPr="002C756C">
              <w:t>$50K - $99K</w:t>
            </w:r>
          </w:p>
        </w:tc>
        <w:tc>
          <w:tcPr>
            <w:tcW w:w="3117" w:type="dxa"/>
            <w:vAlign w:val="bottom"/>
          </w:tcPr>
          <w:p w14:paraId="231598B4" w14:textId="77777777" w:rsidR="00C2195E" w:rsidRPr="002C756C" w:rsidRDefault="00C2195E" w:rsidP="001515D5">
            <w:r w:rsidRPr="002C756C">
              <w:t>36.6%</w:t>
            </w:r>
          </w:p>
        </w:tc>
        <w:tc>
          <w:tcPr>
            <w:tcW w:w="3117" w:type="dxa"/>
            <w:vAlign w:val="bottom"/>
          </w:tcPr>
          <w:p w14:paraId="0E8FFA99" w14:textId="77777777" w:rsidR="00C2195E" w:rsidRPr="002C756C" w:rsidRDefault="00C2195E" w:rsidP="001515D5">
            <w:r w:rsidRPr="002C756C">
              <w:t>37.7%</w:t>
            </w:r>
          </w:p>
        </w:tc>
      </w:tr>
      <w:tr w:rsidR="00C2195E" w14:paraId="7561A965" w14:textId="77777777" w:rsidTr="001515D5">
        <w:tc>
          <w:tcPr>
            <w:tcW w:w="3116" w:type="dxa"/>
            <w:vAlign w:val="bottom"/>
          </w:tcPr>
          <w:p w14:paraId="042D197A" w14:textId="77777777" w:rsidR="00C2195E" w:rsidRPr="002C756C" w:rsidRDefault="00C2195E" w:rsidP="001515D5">
            <w:r w:rsidRPr="002C756C">
              <w:t>$100K - $199K</w:t>
            </w:r>
          </w:p>
        </w:tc>
        <w:tc>
          <w:tcPr>
            <w:tcW w:w="3117" w:type="dxa"/>
            <w:vAlign w:val="bottom"/>
          </w:tcPr>
          <w:p w14:paraId="5136FEBD" w14:textId="77777777" w:rsidR="00C2195E" w:rsidRPr="002C756C" w:rsidRDefault="00C2195E" w:rsidP="001515D5">
            <w:r w:rsidRPr="002C756C">
              <w:t>35.9%</w:t>
            </w:r>
          </w:p>
        </w:tc>
        <w:tc>
          <w:tcPr>
            <w:tcW w:w="3117" w:type="dxa"/>
            <w:vAlign w:val="bottom"/>
          </w:tcPr>
          <w:p w14:paraId="45D772F3" w14:textId="77777777" w:rsidR="00C2195E" w:rsidRPr="002C756C" w:rsidRDefault="00C2195E" w:rsidP="001515D5">
            <w:r w:rsidRPr="002C756C">
              <w:t>34.3%</w:t>
            </w:r>
          </w:p>
        </w:tc>
      </w:tr>
      <w:tr w:rsidR="00C2195E" w14:paraId="3192F0D6" w14:textId="77777777" w:rsidTr="001515D5">
        <w:tc>
          <w:tcPr>
            <w:tcW w:w="3116" w:type="dxa"/>
            <w:vAlign w:val="bottom"/>
          </w:tcPr>
          <w:p w14:paraId="3EAC6EB8" w14:textId="77777777" w:rsidR="00C2195E" w:rsidRPr="002C756C" w:rsidRDefault="00C2195E" w:rsidP="001515D5">
            <w:r w:rsidRPr="002C756C">
              <w:t>$200K +</w:t>
            </w:r>
          </w:p>
        </w:tc>
        <w:tc>
          <w:tcPr>
            <w:tcW w:w="3117" w:type="dxa"/>
            <w:vAlign w:val="bottom"/>
          </w:tcPr>
          <w:p w14:paraId="78205963" w14:textId="77777777" w:rsidR="00C2195E" w:rsidRPr="002C756C" w:rsidRDefault="00C2195E" w:rsidP="001515D5">
            <w:r w:rsidRPr="002C756C">
              <w:t>42.4%</w:t>
            </w:r>
          </w:p>
        </w:tc>
        <w:tc>
          <w:tcPr>
            <w:tcW w:w="3117" w:type="dxa"/>
            <w:vAlign w:val="bottom"/>
          </w:tcPr>
          <w:p w14:paraId="0C123549" w14:textId="77777777" w:rsidR="00C2195E" w:rsidRPr="002C756C" w:rsidRDefault="00C2195E" w:rsidP="001515D5">
            <w:r w:rsidRPr="002C756C">
              <w:t>26.6%</w:t>
            </w:r>
          </w:p>
        </w:tc>
      </w:tr>
    </w:tbl>
    <w:p w14:paraId="6D2E07DF" w14:textId="77777777" w:rsidR="00C2195E" w:rsidRPr="002C756C" w:rsidRDefault="00C2195E" w:rsidP="00C2195E">
      <w:r w:rsidRPr="002C756C">
        <w:t xml:space="preserve">Source: SC BRFSS, 2021. </w:t>
      </w:r>
    </w:p>
    <w:p w14:paraId="19F0F6D1" w14:textId="77777777" w:rsidR="00C2195E" w:rsidRPr="002C756C" w:rsidRDefault="00C2195E" w:rsidP="00C2195E">
      <w:r w:rsidRPr="002C756C">
        <w:t>Note</w:t>
      </w:r>
      <w:r>
        <w:t>:</w:t>
      </w:r>
      <w:r w:rsidRPr="002C756C">
        <w:t xml:space="preserve"> Adults 18+.</w:t>
      </w:r>
    </w:p>
    <w:p w14:paraId="35E77A50" w14:textId="77777777" w:rsidR="00951CC1" w:rsidRDefault="00951CC1" w:rsidP="004503E5"/>
    <w:p w14:paraId="451B99F8" w14:textId="77777777" w:rsidR="00951CC1" w:rsidRDefault="00951CC1" w:rsidP="00951CC1">
      <w:pPr>
        <w:pStyle w:val="Heading4"/>
      </w:pPr>
      <w:bookmarkStart w:id="695" w:name="_Toc162267468"/>
      <w:r w:rsidRPr="00951CC1">
        <w:t>Data Interpretations:</w:t>
      </w:r>
      <w:bookmarkEnd w:id="695"/>
      <w:r w:rsidRPr="00951CC1">
        <w:t xml:space="preserve"> </w:t>
      </w:r>
    </w:p>
    <w:p w14:paraId="0EA70E1D" w14:textId="35D4F083" w:rsidR="00951CC1" w:rsidRPr="00951CC1" w:rsidRDefault="00951CC1" w:rsidP="00951CC1">
      <w:r w:rsidRPr="00951CC1">
        <w:t>In 2021, SC had the 13th-highest prevalence of obesity among adults in the nation. For adults, obesity was defined as having a body mass index (BMI) of 30.0 or higher. The prevalence of obesity among adults 20 years of age or older in SC increased from 31.4% in 2012 to 36.9% in 2021 (</w:t>
      </w:r>
      <w:r w:rsidRPr="00951CC1">
        <w:rPr>
          <w:b/>
          <w:bCs/>
        </w:rPr>
        <w:t>Figure 9.4</w:t>
      </w:r>
      <w:r w:rsidRPr="00951CC1">
        <w:t>). The prevalence of obesity was slightly higher than the Healthy People 2030 target of 36.0%.</w:t>
      </w:r>
    </w:p>
    <w:p w14:paraId="39D5277B" w14:textId="77777777" w:rsidR="00951CC1" w:rsidRPr="00951CC1" w:rsidRDefault="00951CC1" w:rsidP="00951CC1">
      <w:r w:rsidRPr="00951CC1">
        <w:t>In 2021, over half of non-Hispanic Black females were obese and this prevalence was 57.1% higher than that of non-Hispanic White females (</w:t>
      </w:r>
      <w:r w:rsidRPr="00951CC1">
        <w:rPr>
          <w:b/>
          <w:bCs/>
        </w:rPr>
        <w:t>Figure 9.5</w:t>
      </w:r>
      <w:r w:rsidRPr="00951CC1">
        <w:t>). Overweight, defined as having a BMI of 25.0-29.9, was highest among those with an annual household income of $200,000 or greater, while those with an annual household income of less than $15,000 had the highest prevalence of obesity (</w:t>
      </w:r>
      <w:r w:rsidRPr="00951CC1">
        <w:rPr>
          <w:b/>
          <w:bCs/>
        </w:rPr>
        <w:t>Figure 9.6</w:t>
      </w:r>
      <w:r w:rsidRPr="00951CC1">
        <w:t xml:space="preserve">). The prevalence of obesity was highest among those ages 45-54 (47.1%) compared to other age groups. Williamsburg County (50.2%) had the highest prevalence of obesity between 2017 and 2021, while Beaufort County had the lowest (27.6%). </w:t>
      </w:r>
    </w:p>
    <w:p w14:paraId="158E70EB" w14:textId="77777777" w:rsidR="00951CC1" w:rsidRDefault="00951CC1" w:rsidP="004503E5"/>
    <w:p w14:paraId="7955440E" w14:textId="77777777" w:rsidR="00951CC1" w:rsidRDefault="00951CC1" w:rsidP="00951CC1">
      <w:pPr>
        <w:pStyle w:val="Heading5"/>
      </w:pPr>
      <w:r>
        <w:t>Key Takeaways:</w:t>
      </w:r>
    </w:p>
    <w:p w14:paraId="18C3FBCC" w14:textId="2EB1E2C4" w:rsidR="00951CC1" w:rsidRPr="00951CC1" w:rsidRDefault="00951CC1" w:rsidP="00926EB3">
      <w:pPr>
        <w:pStyle w:val="ListParagraph"/>
        <w:numPr>
          <w:ilvl w:val="0"/>
          <w:numId w:val="228"/>
        </w:numPr>
      </w:pPr>
      <w:r w:rsidRPr="00951CC1">
        <w:t xml:space="preserve">Implementing policies and creating environments that make healthy choices easier and less expensive supports South Carolinians in preventing costly chronic health conditions, such as obesity, diabetes, and high blood pressure. </w:t>
      </w:r>
    </w:p>
    <w:p w14:paraId="071EA915" w14:textId="77777777" w:rsidR="00951CC1" w:rsidRPr="00951CC1" w:rsidRDefault="00951CC1" w:rsidP="004503E5"/>
    <w:p w14:paraId="4BCA30B2" w14:textId="06DE5548" w:rsidR="00951CC1" w:rsidRPr="00CF1BB1" w:rsidRDefault="00951CC1" w:rsidP="00951CC1">
      <w:pPr>
        <w:pStyle w:val="Heading4"/>
        <w:rPr>
          <w:rFonts w:asciiTheme="minorHAnsi" w:hAnsiTheme="minorHAnsi" w:cstheme="minorHAnsi"/>
          <w:color w:val="000000" w:themeColor="text1"/>
        </w:rPr>
      </w:pPr>
      <w:bookmarkStart w:id="696" w:name="_Toc162267469"/>
      <w:r w:rsidRPr="00CF1BB1">
        <w:rPr>
          <w:rFonts w:asciiTheme="minorHAnsi" w:hAnsiTheme="minorHAnsi" w:cstheme="minorHAnsi"/>
          <w:color w:val="000000" w:themeColor="text1"/>
        </w:rPr>
        <w:t xml:space="preserve">References </w:t>
      </w:r>
      <w:r>
        <w:rPr>
          <w:rFonts w:asciiTheme="minorHAnsi" w:hAnsiTheme="minorHAnsi" w:cstheme="minorHAnsi"/>
          <w:color w:val="000000" w:themeColor="text1"/>
        </w:rPr>
        <w:t>9.3</w:t>
      </w:r>
      <w:bookmarkEnd w:id="696"/>
    </w:p>
    <w:p w14:paraId="26BB068A" w14:textId="77777777" w:rsidR="00951CC1" w:rsidRDefault="00951CC1" w:rsidP="00951CC1">
      <w:r w:rsidRPr="00CF1BB1">
        <w:t>Statistics in the preceding section were referenced from the following report</w:t>
      </w:r>
      <w:r>
        <w:t>s</w:t>
      </w:r>
      <w:r w:rsidRPr="00CF1BB1">
        <w:t>:</w:t>
      </w:r>
    </w:p>
    <w:p w14:paraId="38E5898E" w14:textId="19CE9FBA" w:rsidR="0090713C" w:rsidRPr="0090713C" w:rsidRDefault="00000000" w:rsidP="00926EB3">
      <w:pPr>
        <w:pStyle w:val="ListParagraph"/>
        <w:numPr>
          <w:ilvl w:val="0"/>
          <w:numId w:val="192"/>
        </w:numPr>
      </w:pPr>
      <w:hyperlink r:id="rId295" w:history="1">
        <w:r w:rsidR="0090713C" w:rsidRPr="0090713C">
          <w:rPr>
            <w:rStyle w:val="Hyperlink"/>
          </w:rPr>
          <w:t>“CDC: More obesity in U.S. rural counties than in urban counties” by Centers for Disease Control and Prevention, 2018.</w:t>
        </w:r>
      </w:hyperlink>
    </w:p>
    <w:p w14:paraId="58DAEA65" w14:textId="07EDF243" w:rsidR="0090713C" w:rsidRPr="0090713C" w:rsidRDefault="00000000" w:rsidP="00926EB3">
      <w:pPr>
        <w:pStyle w:val="ListParagraph"/>
        <w:numPr>
          <w:ilvl w:val="0"/>
          <w:numId w:val="192"/>
        </w:numPr>
      </w:pPr>
      <w:hyperlink r:id="rId296" w:history="1">
        <w:r w:rsidR="0090713C" w:rsidRPr="0090713C">
          <w:rPr>
            <w:rStyle w:val="Hyperlink"/>
          </w:rPr>
          <w:t>“Adult Obesity Prevalence Maps” by Centers for Disease Control and Prevention Behavioral Risk Factor Surveillance System, 2021. Retrieved January 5, 2023.</w:t>
        </w:r>
      </w:hyperlink>
    </w:p>
    <w:p w14:paraId="615F0E6A" w14:textId="6C0AA4BA" w:rsidR="0090713C" w:rsidRPr="0090713C" w:rsidRDefault="00000000" w:rsidP="00926EB3">
      <w:pPr>
        <w:pStyle w:val="ListParagraph"/>
        <w:numPr>
          <w:ilvl w:val="0"/>
          <w:numId w:val="192"/>
        </w:numPr>
      </w:pPr>
      <w:hyperlink r:id="rId297" w:history="1">
        <w:r w:rsidR="0090713C" w:rsidRPr="0090713C">
          <w:rPr>
            <w:rStyle w:val="Hyperlink"/>
          </w:rPr>
          <w:t>“The State of Obesity 2020: Better Policies for a Healthier America” by Trust for America’s Health, 2020.</w:t>
        </w:r>
      </w:hyperlink>
      <w:r w:rsidR="0090713C" w:rsidRPr="0090713C">
        <w:t xml:space="preserve"> </w:t>
      </w:r>
    </w:p>
    <w:p w14:paraId="16B8DDAA" w14:textId="735771D2" w:rsidR="0090713C" w:rsidRPr="0090713C" w:rsidRDefault="00000000" w:rsidP="00926EB3">
      <w:pPr>
        <w:pStyle w:val="ListParagraph"/>
        <w:numPr>
          <w:ilvl w:val="0"/>
          <w:numId w:val="192"/>
        </w:numPr>
      </w:pPr>
      <w:hyperlink r:id="rId298" w:history="1">
        <w:r w:rsidR="00F75FA5" w:rsidRPr="00F75FA5">
          <w:rPr>
            <w:rStyle w:val="Hyperlink"/>
          </w:rPr>
          <w:t xml:space="preserve">“Obesity” by </w:t>
        </w:r>
        <w:r w:rsidR="0090713C" w:rsidRPr="00F75FA5">
          <w:rPr>
            <w:rStyle w:val="Hyperlink"/>
          </w:rPr>
          <w:t xml:space="preserve">America’s Health Rankings </w:t>
        </w:r>
        <w:r w:rsidR="00F75FA5" w:rsidRPr="00F75FA5">
          <w:rPr>
            <w:rStyle w:val="Hyperlink"/>
          </w:rPr>
          <w:t>via americashealthrankings.org</w:t>
        </w:r>
        <w:r w:rsidR="0090713C" w:rsidRPr="00F75FA5">
          <w:rPr>
            <w:rStyle w:val="Hyperlink"/>
          </w:rPr>
          <w:t>. Retrieved January 5, 2023</w:t>
        </w:r>
        <w:r w:rsidR="00F75FA5" w:rsidRPr="00F75FA5">
          <w:rPr>
            <w:rStyle w:val="Hyperlink"/>
          </w:rPr>
          <w:t>.</w:t>
        </w:r>
      </w:hyperlink>
    </w:p>
    <w:p w14:paraId="4D1C7E7A" w14:textId="6B66F4A5" w:rsidR="0090713C" w:rsidRPr="0090713C" w:rsidRDefault="00000000" w:rsidP="00926EB3">
      <w:pPr>
        <w:pStyle w:val="ListParagraph"/>
        <w:numPr>
          <w:ilvl w:val="0"/>
          <w:numId w:val="192"/>
        </w:numPr>
      </w:pPr>
      <w:hyperlink r:id="rId299" w:history="1">
        <w:r w:rsidR="00F75FA5" w:rsidRPr="00F75FA5">
          <w:rPr>
            <w:rStyle w:val="Hyperlink"/>
          </w:rPr>
          <w:t>“</w:t>
        </w:r>
        <w:r w:rsidR="0090713C" w:rsidRPr="00F75FA5">
          <w:rPr>
            <w:rStyle w:val="Hyperlink"/>
          </w:rPr>
          <w:t>Prevention for a Healthier America: Investments in Disease Prevention Yield Significant Savings, Stronger Communities</w:t>
        </w:r>
        <w:r w:rsidR="00F75FA5" w:rsidRPr="00F75FA5">
          <w:rPr>
            <w:rStyle w:val="Hyperlink"/>
          </w:rPr>
          <w:t>” by Trust for America’s Health,</w:t>
        </w:r>
        <w:r w:rsidR="0090713C" w:rsidRPr="00F75FA5">
          <w:rPr>
            <w:rStyle w:val="Hyperlink"/>
          </w:rPr>
          <w:t xml:space="preserve"> 2008</w:t>
        </w:r>
        <w:r w:rsidR="00F75FA5" w:rsidRPr="00F75FA5">
          <w:rPr>
            <w:rStyle w:val="Hyperlink"/>
          </w:rPr>
          <w:t>.</w:t>
        </w:r>
      </w:hyperlink>
      <w:r w:rsidR="00F75FA5">
        <w:t xml:space="preserve"> </w:t>
      </w:r>
    </w:p>
    <w:p w14:paraId="7F2DA35E" w14:textId="77777777" w:rsidR="00951CC1" w:rsidRDefault="00951CC1" w:rsidP="00951CC1"/>
    <w:p w14:paraId="60778096" w14:textId="77777777" w:rsidR="00951CC1" w:rsidRDefault="00951CC1" w:rsidP="00951CC1">
      <w:pPr>
        <w:pStyle w:val="Heading3"/>
      </w:pPr>
      <w:bookmarkStart w:id="697" w:name="_Toc162267470"/>
      <w:r>
        <w:t>Cholesterol</w:t>
      </w:r>
      <w:bookmarkEnd w:id="697"/>
    </w:p>
    <w:p w14:paraId="5CB8DA4F" w14:textId="3B03FE7F" w:rsidR="00951CC1" w:rsidRPr="00951CC1" w:rsidRDefault="00951CC1" w:rsidP="00951CC1">
      <w:pPr>
        <w:rPr>
          <w:b/>
          <w:bCs/>
        </w:rPr>
      </w:pPr>
      <w:r w:rsidRPr="00951CC1">
        <w:t>High blood cholesterol occurs when fatty deposits (plaque) build up in blood vessels. Also known as hyperlipemia, high blood cholesterol is when your cholesterol levels are greater than 200 mg/dl. In the US, about 94 million adults ages 20 and older have high blood cholesterol. The only way to determine if you have high blood cholesterol is to have your blood levels checked by a healt</w:t>
      </w:r>
      <w:r w:rsidR="00353117">
        <w:t>h</w:t>
      </w:r>
      <w:r w:rsidRPr="00951CC1">
        <w:t>care provider. Eating a diet high in saturated and trans fats, not getting enough physical activity, smoking and other factors like family history, age, and sex increase the risk for high cholesterol</w:t>
      </w:r>
      <w:r>
        <w:t>.</w:t>
      </w:r>
      <w:r w:rsidRPr="00951CC1">
        <w:t xml:space="preserve"> Various cholesterol-focused intervention programs are available to help patients prevent and control their high cholesterol.</w:t>
      </w:r>
    </w:p>
    <w:p w14:paraId="2280E5F2" w14:textId="77777777" w:rsidR="00951CC1" w:rsidRDefault="00951CC1" w:rsidP="00951CC1"/>
    <w:p w14:paraId="01724392" w14:textId="77777777" w:rsidR="00C2195E" w:rsidRDefault="00C2195E" w:rsidP="00C2195E">
      <w:pPr>
        <w:pStyle w:val="Heading4"/>
      </w:pPr>
      <w:bookmarkStart w:id="698" w:name="_Toc154576489"/>
      <w:bookmarkStart w:id="699" w:name="_Toc162267471"/>
      <w:r>
        <w:t>Figure 9.7: Adults with High Cholesterol, by Age Group.</w:t>
      </w:r>
      <w:bookmarkEnd w:id="698"/>
      <w:bookmarkEnd w:id="699"/>
    </w:p>
    <w:tbl>
      <w:tblPr>
        <w:tblStyle w:val="TableGrid"/>
        <w:tblW w:w="0" w:type="auto"/>
        <w:tblLook w:val="04A0" w:firstRow="1" w:lastRow="0" w:firstColumn="1" w:lastColumn="0" w:noHBand="0" w:noVBand="1"/>
      </w:tblPr>
      <w:tblGrid>
        <w:gridCol w:w="4675"/>
        <w:gridCol w:w="4675"/>
      </w:tblGrid>
      <w:tr w:rsidR="00C2195E" w14:paraId="35C5CBEA" w14:textId="77777777" w:rsidTr="001515D5">
        <w:tc>
          <w:tcPr>
            <w:tcW w:w="4675" w:type="dxa"/>
          </w:tcPr>
          <w:p w14:paraId="1796F9FB" w14:textId="77777777" w:rsidR="00C2195E" w:rsidRDefault="00C2195E" w:rsidP="001515D5">
            <w:r>
              <w:t>Age Group</w:t>
            </w:r>
          </w:p>
        </w:tc>
        <w:tc>
          <w:tcPr>
            <w:tcW w:w="4675" w:type="dxa"/>
          </w:tcPr>
          <w:p w14:paraId="1600BFAB" w14:textId="77777777" w:rsidR="00C2195E" w:rsidRDefault="00C2195E" w:rsidP="001515D5">
            <w:r>
              <w:t>Percent</w:t>
            </w:r>
          </w:p>
        </w:tc>
      </w:tr>
      <w:tr w:rsidR="00C2195E" w14:paraId="701CE636" w14:textId="77777777" w:rsidTr="001515D5">
        <w:tc>
          <w:tcPr>
            <w:tcW w:w="4675" w:type="dxa"/>
            <w:vAlign w:val="bottom"/>
          </w:tcPr>
          <w:p w14:paraId="002CA877" w14:textId="77777777" w:rsidR="00C2195E" w:rsidRPr="00722DB3" w:rsidRDefault="00C2195E" w:rsidP="001515D5">
            <w:r w:rsidRPr="00722DB3">
              <w:t xml:space="preserve">  18 - 24</w:t>
            </w:r>
          </w:p>
        </w:tc>
        <w:tc>
          <w:tcPr>
            <w:tcW w:w="4675" w:type="dxa"/>
            <w:vAlign w:val="center"/>
          </w:tcPr>
          <w:p w14:paraId="4C478DEF" w14:textId="77777777" w:rsidR="00C2195E" w:rsidRPr="004D0B69" w:rsidRDefault="00C2195E" w:rsidP="001515D5">
            <w:r w:rsidRPr="004D0B69">
              <w:t>13.2%</w:t>
            </w:r>
          </w:p>
        </w:tc>
      </w:tr>
      <w:tr w:rsidR="00C2195E" w14:paraId="5AAA8FD2" w14:textId="77777777" w:rsidTr="001515D5">
        <w:tc>
          <w:tcPr>
            <w:tcW w:w="4675" w:type="dxa"/>
            <w:vAlign w:val="bottom"/>
          </w:tcPr>
          <w:p w14:paraId="1FB88C6C" w14:textId="77777777" w:rsidR="00C2195E" w:rsidRPr="00722DB3" w:rsidRDefault="00C2195E" w:rsidP="001515D5">
            <w:r w:rsidRPr="00722DB3">
              <w:t xml:space="preserve">  25 - 34</w:t>
            </w:r>
          </w:p>
        </w:tc>
        <w:tc>
          <w:tcPr>
            <w:tcW w:w="4675" w:type="dxa"/>
            <w:vAlign w:val="center"/>
          </w:tcPr>
          <w:p w14:paraId="05EFC6CE" w14:textId="77777777" w:rsidR="00C2195E" w:rsidRPr="004D0B69" w:rsidRDefault="00C2195E" w:rsidP="001515D5">
            <w:r w:rsidRPr="004D0B69">
              <w:t>10.0%</w:t>
            </w:r>
          </w:p>
        </w:tc>
      </w:tr>
      <w:tr w:rsidR="00C2195E" w14:paraId="7C651722" w14:textId="77777777" w:rsidTr="001515D5">
        <w:tc>
          <w:tcPr>
            <w:tcW w:w="4675" w:type="dxa"/>
            <w:vAlign w:val="bottom"/>
          </w:tcPr>
          <w:p w14:paraId="5C5C53F6" w14:textId="77777777" w:rsidR="00C2195E" w:rsidRPr="00722DB3" w:rsidRDefault="00C2195E" w:rsidP="001515D5">
            <w:r w:rsidRPr="00722DB3">
              <w:t xml:space="preserve">  35 - 44</w:t>
            </w:r>
          </w:p>
        </w:tc>
        <w:tc>
          <w:tcPr>
            <w:tcW w:w="4675" w:type="dxa"/>
            <w:vAlign w:val="center"/>
          </w:tcPr>
          <w:p w14:paraId="5D0DFB0D" w14:textId="77777777" w:rsidR="00C2195E" w:rsidRPr="004D0B69" w:rsidRDefault="00C2195E" w:rsidP="001515D5">
            <w:r w:rsidRPr="004D0B69">
              <w:t>26.9%</w:t>
            </w:r>
          </w:p>
        </w:tc>
      </w:tr>
      <w:tr w:rsidR="00C2195E" w14:paraId="7E11F007" w14:textId="77777777" w:rsidTr="001515D5">
        <w:tc>
          <w:tcPr>
            <w:tcW w:w="4675" w:type="dxa"/>
            <w:vAlign w:val="bottom"/>
          </w:tcPr>
          <w:p w14:paraId="4D356564" w14:textId="77777777" w:rsidR="00C2195E" w:rsidRPr="00722DB3" w:rsidRDefault="00C2195E" w:rsidP="001515D5">
            <w:r w:rsidRPr="00722DB3">
              <w:t xml:space="preserve">  45 - 54</w:t>
            </w:r>
          </w:p>
        </w:tc>
        <w:tc>
          <w:tcPr>
            <w:tcW w:w="4675" w:type="dxa"/>
            <w:vAlign w:val="center"/>
          </w:tcPr>
          <w:p w14:paraId="147F98B4" w14:textId="77777777" w:rsidR="00C2195E" w:rsidRPr="004D0B69" w:rsidRDefault="00C2195E" w:rsidP="001515D5">
            <w:r w:rsidRPr="004D0B69">
              <w:t>36.0%</w:t>
            </w:r>
          </w:p>
        </w:tc>
      </w:tr>
      <w:tr w:rsidR="00C2195E" w14:paraId="3DBBB205" w14:textId="77777777" w:rsidTr="001515D5">
        <w:tc>
          <w:tcPr>
            <w:tcW w:w="4675" w:type="dxa"/>
            <w:vAlign w:val="bottom"/>
          </w:tcPr>
          <w:p w14:paraId="1132370E" w14:textId="77777777" w:rsidR="00C2195E" w:rsidRPr="00722DB3" w:rsidRDefault="00C2195E" w:rsidP="001515D5">
            <w:r w:rsidRPr="00722DB3">
              <w:t xml:space="preserve">  55 - 64</w:t>
            </w:r>
          </w:p>
        </w:tc>
        <w:tc>
          <w:tcPr>
            <w:tcW w:w="4675" w:type="dxa"/>
            <w:vAlign w:val="center"/>
          </w:tcPr>
          <w:p w14:paraId="4E76C6F6" w14:textId="77777777" w:rsidR="00C2195E" w:rsidRPr="004D0B69" w:rsidRDefault="00C2195E" w:rsidP="001515D5">
            <w:r w:rsidRPr="004D0B69">
              <w:t>50.8%</w:t>
            </w:r>
          </w:p>
        </w:tc>
      </w:tr>
    </w:tbl>
    <w:p w14:paraId="64A93DCF" w14:textId="77777777" w:rsidR="00C2195E" w:rsidRDefault="00C2195E" w:rsidP="00C2195E">
      <w:r w:rsidRPr="00722DB3">
        <w:t xml:space="preserve">Source: SC BRFSS, 2021. </w:t>
      </w:r>
    </w:p>
    <w:p w14:paraId="4BB51FCA" w14:textId="77777777" w:rsidR="00C2195E" w:rsidRDefault="00C2195E" w:rsidP="00C2195E">
      <w:r>
        <w:t>Note: Adults 18+.</w:t>
      </w:r>
    </w:p>
    <w:p w14:paraId="345219D5" w14:textId="77777777" w:rsidR="00C2195E" w:rsidRPr="00722DB3" w:rsidRDefault="00C2195E" w:rsidP="00C2195E"/>
    <w:p w14:paraId="7E91704E" w14:textId="77777777" w:rsidR="00C2195E" w:rsidRDefault="00C2195E" w:rsidP="00C2195E">
      <w:pPr>
        <w:pStyle w:val="Heading4"/>
      </w:pPr>
      <w:bookmarkStart w:id="700" w:name="_Toc154576490"/>
      <w:bookmarkStart w:id="701" w:name="_Toc162267472"/>
      <w:r>
        <w:t>Figure 9.8: Adults with High Cholesterol, by Race/Ethnicity.</w:t>
      </w:r>
      <w:bookmarkEnd w:id="700"/>
      <w:bookmarkEnd w:id="701"/>
    </w:p>
    <w:tbl>
      <w:tblPr>
        <w:tblStyle w:val="TableGrid"/>
        <w:tblW w:w="0" w:type="auto"/>
        <w:tblLook w:val="04A0" w:firstRow="1" w:lastRow="0" w:firstColumn="1" w:lastColumn="0" w:noHBand="0" w:noVBand="1"/>
      </w:tblPr>
      <w:tblGrid>
        <w:gridCol w:w="4675"/>
        <w:gridCol w:w="4675"/>
      </w:tblGrid>
      <w:tr w:rsidR="00C2195E" w14:paraId="70C694D5" w14:textId="77777777" w:rsidTr="001515D5">
        <w:tc>
          <w:tcPr>
            <w:tcW w:w="4675" w:type="dxa"/>
          </w:tcPr>
          <w:p w14:paraId="2C8E5E11" w14:textId="77777777" w:rsidR="00C2195E" w:rsidRDefault="00C2195E" w:rsidP="001515D5">
            <w:r>
              <w:t>Race/Ethnicity and Sex</w:t>
            </w:r>
          </w:p>
        </w:tc>
        <w:tc>
          <w:tcPr>
            <w:tcW w:w="4675" w:type="dxa"/>
          </w:tcPr>
          <w:p w14:paraId="6CBB8412" w14:textId="77777777" w:rsidR="00C2195E" w:rsidRDefault="00C2195E" w:rsidP="001515D5">
            <w:r>
              <w:t>Percent</w:t>
            </w:r>
          </w:p>
        </w:tc>
      </w:tr>
      <w:tr w:rsidR="00C2195E" w14:paraId="7EB0ECB8" w14:textId="77777777" w:rsidTr="001515D5">
        <w:tc>
          <w:tcPr>
            <w:tcW w:w="4675" w:type="dxa"/>
            <w:vAlign w:val="bottom"/>
          </w:tcPr>
          <w:p w14:paraId="0D48979C" w14:textId="77777777" w:rsidR="00C2195E" w:rsidRPr="004D0B69" w:rsidRDefault="00C2195E" w:rsidP="001515D5">
            <w:r w:rsidRPr="004D0B69">
              <w:lastRenderedPageBreak/>
              <w:t>Non-Hispanic White</w:t>
            </w:r>
          </w:p>
        </w:tc>
        <w:tc>
          <w:tcPr>
            <w:tcW w:w="4675" w:type="dxa"/>
            <w:vAlign w:val="center"/>
          </w:tcPr>
          <w:p w14:paraId="34ECE243" w14:textId="77777777" w:rsidR="00C2195E" w:rsidRPr="004D0B69" w:rsidRDefault="00C2195E" w:rsidP="001515D5">
            <w:r w:rsidRPr="004D0B69">
              <w:t>40.2%</w:t>
            </w:r>
          </w:p>
        </w:tc>
      </w:tr>
      <w:tr w:rsidR="00C2195E" w14:paraId="3DAE0320" w14:textId="77777777" w:rsidTr="001515D5">
        <w:tc>
          <w:tcPr>
            <w:tcW w:w="4675" w:type="dxa"/>
            <w:vAlign w:val="bottom"/>
          </w:tcPr>
          <w:p w14:paraId="64763A84" w14:textId="77777777" w:rsidR="00C2195E" w:rsidRPr="004D0B69" w:rsidRDefault="00C2195E" w:rsidP="001515D5">
            <w:r w:rsidRPr="004D0B69">
              <w:t>Non-Hispanic Black</w:t>
            </w:r>
          </w:p>
        </w:tc>
        <w:tc>
          <w:tcPr>
            <w:tcW w:w="4675" w:type="dxa"/>
            <w:vAlign w:val="center"/>
          </w:tcPr>
          <w:p w14:paraId="26AFB48B" w14:textId="77777777" w:rsidR="00C2195E" w:rsidRPr="004D0B69" w:rsidRDefault="00C2195E" w:rsidP="001515D5">
            <w:r w:rsidRPr="004D0B69">
              <w:t>35.1%</w:t>
            </w:r>
          </w:p>
        </w:tc>
      </w:tr>
      <w:tr w:rsidR="00C2195E" w14:paraId="10452E1F" w14:textId="77777777" w:rsidTr="001515D5">
        <w:tc>
          <w:tcPr>
            <w:tcW w:w="4675" w:type="dxa"/>
            <w:vAlign w:val="bottom"/>
          </w:tcPr>
          <w:p w14:paraId="57BAB92B" w14:textId="77777777" w:rsidR="00C2195E" w:rsidRPr="004D0B69" w:rsidRDefault="00C2195E" w:rsidP="001515D5">
            <w:r w:rsidRPr="004D0B69">
              <w:t>Non-Hispanic American Indian or Alaskan Native</w:t>
            </w:r>
          </w:p>
        </w:tc>
        <w:tc>
          <w:tcPr>
            <w:tcW w:w="4675" w:type="dxa"/>
            <w:vAlign w:val="bottom"/>
          </w:tcPr>
          <w:p w14:paraId="315E7898" w14:textId="77777777" w:rsidR="00C2195E" w:rsidRPr="004D0B69" w:rsidRDefault="00C2195E" w:rsidP="001515D5">
            <w:r w:rsidRPr="004D0B69">
              <w:t>46.6%</w:t>
            </w:r>
          </w:p>
        </w:tc>
      </w:tr>
      <w:tr w:rsidR="00C2195E" w14:paraId="15F2534B" w14:textId="77777777" w:rsidTr="001515D5">
        <w:tc>
          <w:tcPr>
            <w:tcW w:w="4675" w:type="dxa"/>
            <w:vAlign w:val="bottom"/>
          </w:tcPr>
          <w:p w14:paraId="49071901" w14:textId="77777777" w:rsidR="00C2195E" w:rsidRPr="004D0B69" w:rsidRDefault="00C2195E" w:rsidP="001515D5">
            <w:r w:rsidRPr="004D0B69">
              <w:t>Hispanic</w:t>
            </w:r>
          </w:p>
        </w:tc>
        <w:tc>
          <w:tcPr>
            <w:tcW w:w="4675" w:type="dxa"/>
            <w:vAlign w:val="center"/>
          </w:tcPr>
          <w:p w14:paraId="3057089E" w14:textId="77777777" w:rsidR="00C2195E" w:rsidRPr="004D0B69" w:rsidRDefault="00C2195E" w:rsidP="001515D5">
            <w:r w:rsidRPr="004D0B69">
              <w:t>18.9%</w:t>
            </w:r>
          </w:p>
        </w:tc>
      </w:tr>
    </w:tbl>
    <w:p w14:paraId="0C721913" w14:textId="77777777" w:rsidR="00C2195E" w:rsidRPr="002C756C" w:rsidRDefault="00C2195E" w:rsidP="00C2195E">
      <w:r w:rsidRPr="002C756C">
        <w:t xml:space="preserve">Source: SC BRFSS, 2021. </w:t>
      </w:r>
    </w:p>
    <w:p w14:paraId="1038A38E" w14:textId="77777777" w:rsidR="00C2195E" w:rsidRDefault="00C2195E" w:rsidP="00C2195E">
      <w:r w:rsidRPr="002C756C">
        <w:t xml:space="preserve">Notes: Adults </w:t>
      </w:r>
      <w:r>
        <w:t>18</w:t>
      </w:r>
      <w:r w:rsidRPr="002C756C">
        <w:t>+.</w:t>
      </w:r>
    </w:p>
    <w:p w14:paraId="79425E54" w14:textId="77777777" w:rsidR="00951CC1" w:rsidRDefault="00951CC1" w:rsidP="00951CC1"/>
    <w:p w14:paraId="0CEF3675" w14:textId="77777777" w:rsidR="00AE0C75" w:rsidRDefault="00951CC1" w:rsidP="00AE0C75">
      <w:pPr>
        <w:pStyle w:val="Heading4"/>
      </w:pPr>
      <w:bookmarkStart w:id="702" w:name="_Toc162267473"/>
      <w:r w:rsidRPr="00951CC1">
        <w:t>Data Interpretations:</w:t>
      </w:r>
      <w:bookmarkEnd w:id="702"/>
      <w:r w:rsidRPr="00951CC1">
        <w:t xml:space="preserve"> </w:t>
      </w:r>
    </w:p>
    <w:p w14:paraId="62D798A8" w14:textId="127E28C8" w:rsidR="00951CC1" w:rsidRPr="00951CC1" w:rsidRDefault="00951CC1" w:rsidP="00951CC1">
      <w:r w:rsidRPr="00951CC1">
        <w:t>In 2021, over a third of adults (37.7%) in SC reported that their blood cholesterol was checked and that they were told it was high. This prevalence is higher than the US prevalence of 35.7%. Among adults ages 18-64 years, the prevalence of high cholesterol increased with age with the highest rates among those ages 55 to 64 (50.8%) (</w:t>
      </w:r>
      <w:r w:rsidRPr="00951CC1">
        <w:rPr>
          <w:b/>
          <w:bCs/>
        </w:rPr>
        <w:t>Figure 9.7</w:t>
      </w:r>
      <w:r w:rsidRPr="00951CC1">
        <w:t>) Non-Hispanic American Indian or Alaskan Native populations (46.6%) had the highest prevalence of high cholesterol compared to other race/ethnicities (</w:t>
      </w:r>
      <w:r w:rsidRPr="00951CC1">
        <w:rPr>
          <w:b/>
          <w:bCs/>
        </w:rPr>
        <w:t>Figure 9.8</w:t>
      </w:r>
      <w:r w:rsidRPr="00951CC1">
        <w:t>). Females (38.1%) reported a slightly higher prevalence than males (37.2%), and the prevalence of high cholesterol was highest among those with an annual household income level of less than $15,000.</w:t>
      </w:r>
    </w:p>
    <w:p w14:paraId="16EBE893" w14:textId="77777777" w:rsidR="00951CC1" w:rsidRDefault="00951CC1" w:rsidP="00951CC1"/>
    <w:p w14:paraId="352D6D8B" w14:textId="77777777" w:rsidR="00AE0C75" w:rsidRDefault="00AE0C75" w:rsidP="00AE0C75">
      <w:pPr>
        <w:pStyle w:val="Heading5"/>
      </w:pPr>
      <w:r>
        <w:t xml:space="preserve">Key Takeaways: </w:t>
      </w:r>
    </w:p>
    <w:p w14:paraId="1664B90E" w14:textId="498563C9" w:rsidR="00AE0C75" w:rsidRPr="00951CC1" w:rsidRDefault="00AE0C75" w:rsidP="00926EB3">
      <w:pPr>
        <w:pStyle w:val="ListParagraph"/>
        <w:numPr>
          <w:ilvl w:val="0"/>
          <w:numId w:val="228"/>
        </w:numPr>
      </w:pPr>
      <w:r w:rsidRPr="00AE0C75">
        <w:t>In 2021, non-Hispanic American Indian or Alaskan Native populations had the highest prevalence of high cholesterol compared to other race/ethnicities</w:t>
      </w:r>
      <w:r>
        <w:t>.</w:t>
      </w:r>
    </w:p>
    <w:p w14:paraId="4DFE2DA6" w14:textId="77777777" w:rsidR="00951CC1" w:rsidRDefault="00951CC1" w:rsidP="00951CC1"/>
    <w:p w14:paraId="30F3DCA8" w14:textId="4EA1FB84" w:rsidR="00951CC1" w:rsidRPr="00CF1BB1" w:rsidRDefault="00951CC1" w:rsidP="00951CC1">
      <w:pPr>
        <w:pStyle w:val="Heading4"/>
        <w:rPr>
          <w:rFonts w:asciiTheme="minorHAnsi" w:hAnsiTheme="minorHAnsi" w:cstheme="minorHAnsi"/>
          <w:color w:val="000000" w:themeColor="text1"/>
        </w:rPr>
      </w:pPr>
      <w:bookmarkStart w:id="703" w:name="_Toc162267474"/>
      <w:r w:rsidRPr="00CF1BB1">
        <w:rPr>
          <w:rFonts w:asciiTheme="minorHAnsi" w:hAnsiTheme="minorHAnsi" w:cstheme="minorHAnsi"/>
          <w:color w:val="000000" w:themeColor="text1"/>
        </w:rPr>
        <w:t xml:space="preserve">References </w:t>
      </w:r>
      <w:r>
        <w:rPr>
          <w:rFonts w:asciiTheme="minorHAnsi" w:hAnsiTheme="minorHAnsi" w:cstheme="minorHAnsi"/>
          <w:color w:val="000000" w:themeColor="text1"/>
        </w:rPr>
        <w:t>9.4</w:t>
      </w:r>
      <w:bookmarkEnd w:id="703"/>
      <w:r>
        <w:rPr>
          <w:rFonts w:asciiTheme="minorHAnsi" w:hAnsiTheme="minorHAnsi" w:cstheme="minorHAnsi"/>
          <w:color w:val="000000" w:themeColor="text1"/>
        </w:rPr>
        <w:t xml:space="preserve"> </w:t>
      </w:r>
    </w:p>
    <w:p w14:paraId="1664EA1B" w14:textId="77777777" w:rsidR="00951CC1" w:rsidRDefault="00951CC1" w:rsidP="00951CC1">
      <w:r w:rsidRPr="00CF1BB1">
        <w:t>Statistics in the preceding section were referenced from the following report</w:t>
      </w:r>
      <w:r>
        <w:t>s</w:t>
      </w:r>
      <w:r w:rsidRPr="00CF1BB1">
        <w:t>:</w:t>
      </w:r>
    </w:p>
    <w:p w14:paraId="441EFDFC" w14:textId="7E2DF660" w:rsidR="00F75FA5" w:rsidRPr="00F75FA5" w:rsidRDefault="00000000" w:rsidP="00926EB3">
      <w:pPr>
        <w:pStyle w:val="ListParagraph"/>
        <w:numPr>
          <w:ilvl w:val="0"/>
          <w:numId w:val="192"/>
        </w:numPr>
      </w:pPr>
      <w:hyperlink r:id="rId300" w:history="1">
        <w:r w:rsidR="00F75FA5" w:rsidRPr="00F75FA5">
          <w:rPr>
            <w:rStyle w:val="Hyperlink"/>
          </w:rPr>
          <w:t>“What is blood cholesterol?” by U.S. Department of Health and Human Services National Heart Lung and Blood Institute. Retrieved December 13, 2022.</w:t>
        </w:r>
      </w:hyperlink>
      <w:r w:rsidR="00F75FA5" w:rsidRPr="00F75FA5">
        <w:t xml:space="preserve"> </w:t>
      </w:r>
    </w:p>
    <w:p w14:paraId="74027D51" w14:textId="4637B9A1" w:rsidR="00F75FA5" w:rsidRPr="00F75FA5" w:rsidRDefault="00000000" w:rsidP="00926EB3">
      <w:pPr>
        <w:pStyle w:val="ListParagraph"/>
        <w:numPr>
          <w:ilvl w:val="0"/>
          <w:numId w:val="192"/>
        </w:numPr>
      </w:pPr>
      <w:hyperlink r:id="rId301" w:history="1">
        <w:r w:rsidR="00F75FA5" w:rsidRPr="00F75FA5">
          <w:rPr>
            <w:rStyle w:val="Hyperlink"/>
          </w:rPr>
          <w:t>“About cholesterol” by Centers for Disease Control and Prevention, 2022. Retrieved December 13, 2022.</w:t>
        </w:r>
      </w:hyperlink>
      <w:r w:rsidR="00F75FA5" w:rsidRPr="00F75FA5">
        <w:t xml:space="preserve"> </w:t>
      </w:r>
    </w:p>
    <w:p w14:paraId="1E8E854A" w14:textId="18D99D0A" w:rsidR="00F75FA5" w:rsidRPr="00F75FA5" w:rsidRDefault="00000000" w:rsidP="00926EB3">
      <w:pPr>
        <w:pStyle w:val="ListParagraph"/>
        <w:numPr>
          <w:ilvl w:val="0"/>
          <w:numId w:val="192"/>
        </w:numPr>
      </w:pPr>
      <w:hyperlink r:id="rId302" w:history="1">
        <w:r w:rsidR="00F75FA5" w:rsidRPr="00F75FA5">
          <w:rPr>
            <w:rStyle w:val="Hyperlink"/>
          </w:rPr>
          <w:t>“High cholesterol facts” by Centers for Disease Control and Prevention, 2022. Retrieved December 13, 2022.</w:t>
        </w:r>
      </w:hyperlink>
      <w:r w:rsidR="00F75FA5" w:rsidRPr="00F75FA5">
        <w:t xml:space="preserve"> </w:t>
      </w:r>
    </w:p>
    <w:p w14:paraId="5C9C1AE8" w14:textId="04792474" w:rsidR="00F75FA5" w:rsidRPr="00F75FA5" w:rsidRDefault="00000000" w:rsidP="00926EB3">
      <w:pPr>
        <w:pStyle w:val="ListParagraph"/>
        <w:numPr>
          <w:ilvl w:val="0"/>
          <w:numId w:val="192"/>
        </w:numPr>
        <w:rPr>
          <w:u w:val="thick"/>
        </w:rPr>
      </w:pPr>
      <w:hyperlink r:id="rId303" w:history="1">
        <w:r w:rsidR="00F75FA5" w:rsidRPr="00F75FA5">
          <w:rPr>
            <w:rStyle w:val="Hyperlink"/>
          </w:rPr>
          <w:t>“Know your risk for high cholesterol” by Centers for Disease Control and Prevention, 2022. Retrieved January 26, 2023.</w:t>
        </w:r>
      </w:hyperlink>
      <w:r w:rsidR="00F75FA5" w:rsidRPr="00F75FA5">
        <w:t xml:space="preserve"> </w:t>
      </w:r>
    </w:p>
    <w:p w14:paraId="69E1CE4F" w14:textId="21682DBF" w:rsidR="00AE0C75" w:rsidRPr="00F75FA5" w:rsidRDefault="00000000" w:rsidP="00926EB3">
      <w:pPr>
        <w:pStyle w:val="ListParagraph"/>
        <w:numPr>
          <w:ilvl w:val="0"/>
          <w:numId w:val="192"/>
        </w:numPr>
      </w:pPr>
      <w:hyperlink r:id="rId304" w:history="1">
        <w:r w:rsidR="00F75FA5" w:rsidRPr="00F75FA5">
          <w:rPr>
            <w:rStyle w:val="Hyperlink"/>
          </w:rPr>
          <w:t>“Programs” by Centers for Disease Control and Prevention via cdc.gov, 2016. Retrieved December 13, 2022.</w:t>
        </w:r>
      </w:hyperlink>
      <w:r w:rsidR="00F75FA5" w:rsidRPr="00F75FA5">
        <w:t xml:space="preserve"> </w:t>
      </w:r>
    </w:p>
    <w:p w14:paraId="2195C572" w14:textId="77777777" w:rsidR="00F75FA5" w:rsidRDefault="00F75FA5" w:rsidP="00AE0C75">
      <w:pPr>
        <w:pStyle w:val="Heading3"/>
      </w:pPr>
    </w:p>
    <w:p w14:paraId="532AC57E" w14:textId="477D00D5" w:rsidR="00AE0C75" w:rsidRDefault="00AE0C75" w:rsidP="00AE0C75">
      <w:pPr>
        <w:pStyle w:val="Heading3"/>
      </w:pPr>
      <w:bookmarkStart w:id="704" w:name="_Toc162267475"/>
      <w:r>
        <w:t>Hypertension</w:t>
      </w:r>
      <w:bookmarkEnd w:id="704"/>
    </w:p>
    <w:p w14:paraId="61B9E7B8" w14:textId="5C7A077E" w:rsidR="00AE0C75" w:rsidRPr="00AE0C75" w:rsidRDefault="00AE0C75" w:rsidP="00AE0C75">
      <w:r w:rsidRPr="00AE0C75">
        <w:t>Hypertension, or high blood pressure, occurs when a person has a higher-than-normal blood pressure level at or above 130/80 mmHg. Hypertension is also known as the “silent killer” because it typically has no symptoms. In 2020 in the US, over 670,000 deaths indicated that hypertension was a primary or contributing cause. According to the Centers for Disease Control and Prevention (CDC), about 1 in 4 persons with hypertension have their condition under control. Family history, lack of physical activity, an unhealthy diet, being overweight or obese, stress, and tobacco use are some risk factors that contribute to hypertension. Persons with hypertension are also at an increased risk of developing heart disease and stroke, the leading causes of death in the US. In the US, the cost of treating hypertension is rather expensive. Compared to non-hypertensive patients, patients with hypertension are likely to face higher annual health care expenditure costs. The costs associated with hypertension in the US are about $131 billion annually.</w:t>
      </w:r>
    </w:p>
    <w:p w14:paraId="0D70922D" w14:textId="77777777" w:rsidR="00AE0C75" w:rsidRDefault="00AE0C75" w:rsidP="00AE0C75"/>
    <w:p w14:paraId="2AA7DF1F" w14:textId="3B7B8BC6" w:rsidR="00AE0C75" w:rsidRDefault="00AE0C75" w:rsidP="00AE0C75">
      <w:r w:rsidRPr="00AE0C75">
        <w:t>The burden of hypertension is evident in SC and racial disparities exist. In SC, American Indian or Alaskan Native, non-Hispanic Black, and non-Hispanic White populations are more likely to have high blood pressure than Hispanic and non-Hispanic Other populations. SC has various programs available to prevent and monitor high blood pressure.</w:t>
      </w:r>
    </w:p>
    <w:p w14:paraId="161EC643" w14:textId="77777777" w:rsidR="00AE0C75" w:rsidRDefault="00AE0C75" w:rsidP="00AE0C75">
      <w:pPr>
        <w:pStyle w:val="Heading4"/>
        <w:rPr>
          <w:color w:val="FF0000"/>
        </w:rPr>
      </w:pPr>
    </w:p>
    <w:p w14:paraId="567B6A14" w14:textId="77777777" w:rsidR="00C2195E" w:rsidRDefault="00C2195E" w:rsidP="00C2195E">
      <w:pPr>
        <w:pStyle w:val="Heading4"/>
      </w:pPr>
      <w:bookmarkStart w:id="705" w:name="_Toc154576491"/>
      <w:bookmarkStart w:id="706" w:name="_Toc162267476"/>
      <w:r>
        <w:t>Figure 9.9: Adults with High Blood Pressure.</w:t>
      </w:r>
      <w:bookmarkEnd w:id="705"/>
      <w:bookmarkEnd w:id="706"/>
    </w:p>
    <w:tbl>
      <w:tblPr>
        <w:tblStyle w:val="TableGrid"/>
        <w:tblW w:w="0" w:type="auto"/>
        <w:tblLook w:val="04A0" w:firstRow="1" w:lastRow="0" w:firstColumn="1" w:lastColumn="0" w:noHBand="0" w:noVBand="1"/>
      </w:tblPr>
      <w:tblGrid>
        <w:gridCol w:w="2337"/>
        <w:gridCol w:w="2337"/>
        <w:gridCol w:w="2338"/>
        <w:gridCol w:w="2338"/>
      </w:tblGrid>
      <w:tr w:rsidR="00C2195E" w14:paraId="407E3FB7" w14:textId="77777777" w:rsidTr="001515D5">
        <w:tc>
          <w:tcPr>
            <w:tcW w:w="2337" w:type="dxa"/>
            <w:vAlign w:val="bottom"/>
          </w:tcPr>
          <w:p w14:paraId="57A15E8D" w14:textId="77777777" w:rsidR="00C2195E" w:rsidRPr="004D0B69" w:rsidRDefault="00C2195E" w:rsidP="001515D5">
            <w:r>
              <w:t>Year</w:t>
            </w:r>
          </w:p>
        </w:tc>
        <w:tc>
          <w:tcPr>
            <w:tcW w:w="2337" w:type="dxa"/>
            <w:vAlign w:val="bottom"/>
          </w:tcPr>
          <w:p w14:paraId="64B52688" w14:textId="77777777" w:rsidR="00C2195E" w:rsidRPr="004D0B69" w:rsidRDefault="00C2195E" w:rsidP="001515D5">
            <w:r w:rsidRPr="004D0B69">
              <w:t xml:space="preserve">SC </w:t>
            </w:r>
          </w:p>
        </w:tc>
        <w:tc>
          <w:tcPr>
            <w:tcW w:w="2338" w:type="dxa"/>
            <w:vAlign w:val="bottom"/>
          </w:tcPr>
          <w:p w14:paraId="14940B0C" w14:textId="77777777" w:rsidR="00C2195E" w:rsidRPr="004D0B69" w:rsidRDefault="00C2195E" w:rsidP="001515D5">
            <w:r w:rsidRPr="004D0B69">
              <w:t>US</w:t>
            </w:r>
          </w:p>
        </w:tc>
        <w:tc>
          <w:tcPr>
            <w:tcW w:w="2338" w:type="dxa"/>
            <w:vAlign w:val="bottom"/>
          </w:tcPr>
          <w:p w14:paraId="0E788475" w14:textId="77777777" w:rsidR="00C2195E" w:rsidRPr="004D0B69" w:rsidRDefault="00C2195E" w:rsidP="001515D5">
            <w:r w:rsidRPr="004D0B69">
              <w:t>H</w:t>
            </w:r>
            <w:r>
              <w:t>ealthy People 2030 Goal</w:t>
            </w:r>
          </w:p>
        </w:tc>
      </w:tr>
      <w:tr w:rsidR="00C2195E" w14:paraId="78E796BA" w14:textId="77777777" w:rsidTr="001515D5">
        <w:tc>
          <w:tcPr>
            <w:tcW w:w="2337" w:type="dxa"/>
            <w:vAlign w:val="center"/>
          </w:tcPr>
          <w:p w14:paraId="465F26B2" w14:textId="77777777" w:rsidR="00C2195E" w:rsidRPr="004D0B69" w:rsidRDefault="00C2195E" w:rsidP="001515D5">
            <w:r w:rsidRPr="004D0B69">
              <w:t>2013</w:t>
            </w:r>
          </w:p>
        </w:tc>
        <w:tc>
          <w:tcPr>
            <w:tcW w:w="2337" w:type="dxa"/>
            <w:vAlign w:val="center"/>
          </w:tcPr>
          <w:p w14:paraId="4B5C64FD" w14:textId="77777777" w:rsidR="00C2195E" w:rsidRPr="004D0B69" w:rsidRDefault="00C2195E" w:rsidP="001515D5">
            <w:r w:rsidRPr="004D0B69">
              <w:t>35.6%</w:t>
            </w:r>
          </w:p>
        </w:tc>
        <w:tc>
          <w:tcPr>
            <w:tcW w:w="2338" w:type="dxa"/>
            <w:vAlign w:val="bottom"/>
          </w:tcPr>
          <w:p w14:paraId="329B0E16" w14:textId="77777777" w:rsidR="00C2195E" w:rsidRPr="004D0B69" w:rsidRDefault="00C2195E" w:rsidP="001515D5">
            <w:r w:rsidRPr="004D0B69">
              <w:t>31.4%</w:t>
            </w:r>
          </w:p>
        </w:tc>
        <w:tc>
          <w:tcPr>
            <w:tcW w:w="2338" w:type="dxa"/>
            <w:vAlign w:val="bottom"/>
          </w:tcPr>
          <w:p w14:paraId="0178231C" w14:textId="77777777" w:rsidR="00C2195E" w:rsidRPr="004D0B69" w:rsidRDefault="00C2195E" w:rsidP="001515D5">
            <w:r w:rsidRPr="004D0B69">
              <w:t>42.6%</w:t>
            </w:r>
          </w:p>
        </w:tc>
      </w:tr>
      <w:tr w:rsidR="00C2195E" w14:paraId="22B32C1A" w14:textId="77777777" w:rsidTr="001515D5">
        <w:tc>
          <w:tcPr>
            <w:tcW w:w="2337" w:type="dxa"/>
            <w:vAlign w:val="center"/>
          </w:tcPr>
          <w:p w14:paraId="678E4831" w14:textId="77777777" w:rsidR="00C2195E" w:rsidRPr="004D0B69" w:rsidRDefault="00C2195E" w:rsidP="001515D5">
            <w:r w:rsidRPr="004D0B69">
              <w:t>2015</w:t>
            </w:r>
          </w:p>
        </w:tc>
        <w:tc>
          <w:tcPr>
            <w:tcW w:w="2337" w:type="dxa"/>
            <w:vAlign w:val="center"/>
          </w:tcPr>
          <w:p w14:paraId="5874774F" w14:textId="77777777" w:rsidR="00C2195E" w:rsidRPr="004D0B69" w:rsidRDefault="00C2195E" w:rsidP="001515D5">
            <w:r w:rsidRPr="004D0B69">
              <w:t>34.6%</w:t>
            </w:r>
          </w:p>
        </w:tc>
        <w:tc>
          <w:tcPr>
            <w:tcW w:w="2338" w:type="dxa"/>
            <w:vAlign w:val="bottom"/>
          </w:tcPr>
          <w:p w14:paraId="0712070A" w14:textId="77777777" w:rsidR="00C2195E" w:rsidRPr="004D0B69" w:rsidRDefault="00C2195E" w:rsidP="001515D5">
            <w:r w:rsidRPr="004D0B69">
              <w:t>30.9%</w:t>
            </w:r>
          </w:p>
        </w:tc>
        <w:tc>
          <w:tcPr>
            <w:tcW w:w="2338" w:type="dxa"/>
            <w:vAlign w:val="bottom"/>
          </w:tcPr>
          <w:p w14:paraId="59A4CF57" w14:textId="77777777" w:rsidR="00C2195E" w:rsidRPr="004D0B69" w:rsidRDefault="00C2195E" w:rsidP="001515D5">
            <w:r w:rsidRPr="004D0B69">
              <w:t>42.6%</w:t>
            </w:r>
          </w:p>
        </w:tc>
      </w:tr>
      <w:tr w:rsidR="00C2195E" w14:paraId="7090FC81" w14:textId="77777777" w:rsidTr="001515D5">
        <w:tc>
          <w:tcPr>
            <w:tcW w:w="2337" w:type="dxa"/>
            <w:vAlign w:val="center"/>
          </w:tcPr>
          <w:p w14:paraId="4EAF9FB6" w14:textId="77777777" w:rsidR="00C2195E" w:rsidRPr="004D0B69" w:rsidRDefault="00C2195E" w:rsidP="001515D5">
            <w:r w:rsidRPr="004D0B69">
              <w:t>2017</w:t>
            </w:r>
          </w:p>
        </w:tc>
        <w:tc>
          <w:tcPr>
            <w:tcW w:w="2337" w:type="dxa"/>
            <w:vAlign w:val="center"/>
          </w:tcPr>
          <w:p w14:paraId="428EE0C9" w14:textId="77777777" w:rsidR="00C2195E" w:rsidRPr="004D0B69" w:rsidRDefault="00C2195E" w:rsidP="001515D5">
            <w:r w:rsidRPr="004D0B69">
              <w:t>34.4%</w:t>
            </w:r>
          </w:p>
        </w:tc>
        <w:tc>
          <w:tcPr>
            <w:tcW w:w="2338" w:type="dxa"/>
            <w:vAlign w:val="bottom"/>
          </w:tcPr>
          <w:p w14:paraId="7E52466C" w14:textId="77777777" w:rsidR="00C2195E" w:rsidRPr="004D0B69" w:rsidRDefault="00C2195E" w:rsidP="001515D5">
            <w:r w:rsidRPr="004D0B69">
              <w:t>32.3%</w:t>
            </w:r>
          </w:p>
        </w:tc>
        <w:tc>
          <w:tcPr>
            <w:tcW w:w="2338" w:type="dxa"/>
            <w:vAlign w:val="bottom"/>
          </w:tcPr>
          <w:p w14:paraId="3564A169" w14:textId="77777777" w:rsidR="00C2195E" w:rsidRPr="004D0B69" w:rsidRDefault="00C2195E" w:rsidP="001515D5">
            <w:r w:rsidRPr="004D0B69">
              <w:t>42.6%</w:t>
            </w:r>
          </w:p>
        </w:tc>
      </w:tr>
      <w:tr w:rsidR="00C2195E" w14:paraId="290D3072" w14:textId="77777777" w:rsidTr="001515D5">
        <w:tc>
          <w:tcPr>
            <w:tcW w:w="2337" w:type="dxa"/>
            <w:vAlign w:val="center"/>
          </w:tcPr>
          <w:p w14:paraId="0533C605" w14:textId="77777777" w:rsidR="00C2195E" w:rsidRPr="004D0B69" w:rsidRDefault="00C2195E" w:rsidP="001515D5">
            <w:r w:rsidRPr="004D0B69">
              <w:t>2019</w:t>
            </w:r>
          </w:p>
        </w:tc>
        <w:tc>
          <w:tcPr>
            <w:tcW w:w="2337" w:type="dxa"/>
            <w:vAlign w:val="center"/>
          </w:tcPr>
          <w:p w14:paraId="2E406989" w14:textId="77777777" w:rsidR="00C2195E" w:rsidRPr="004D0B69" w:rsidRDefault="00C2195E" w:rsidP="001515D5">
            <w:r w:rsidRPr="004D0B69">
              <w:t>34.3%</w:t>
            </w:r>
          </w:p>
        </w:tc>
        <w:tc>
          <w:tcPr>
            <w:tcW w:w="2338" w:type="dxa"/>
            <w:vAlign w:val="bottom"/>
          </w:tcPr>
          <w:p w14:paraId="781D7DB0" w14:textId="77777777" w:rsidR="00C2195E" w:rsidRPr="004D0B69" w:rsidRDefault="00C2195E" w:rsidP="001515D5">
            <w:r w:rsidRPr="004D0B69">
              <w:t>32.3%</w:t>
            </w:r>
          </w:p>
        </w:tc>
        <w:tc>
          <w:tcPr>
            <w:tcW w:w="2338" w:type="dxa"/>
            <w:vAlign w:val="bottom"/>
          </w:tcPr>
          <w:p w14:paraId="1E6BCFBC" w14:textId="77777777" w:rsidR="00C2195E" w:rsidRPr="004D0B69" w:rsidRDefault="00C2195E" w:rsidP="001515D5">
            <w:r w:rsidRPr="004D0B69">
              <w:t>42.6%</w:t>
            </w:r>
          </w:p>
        </w:tc>
      </w:tr>
      <w:tr w:rsidR="00C2195E" w14:paraId="6D49A726" w14:textId="77777777" w:rsidTr="001515D5">
        <w:tc>
          <w:tcPr>
            <w:tcW w:w="2337" w:type="dxa"/>
            <w:vAlign w:val="center"/>
          </w:tcPr>
          <w:p w14:paraId="7A085463" w14:textId="77777777" w:rsidR="00C2195E" w:rsidRPr="004D0B69" w:rsidRDefault="00C2195E" w:rsidP="001515D5">
            <w:r w:rsidRPr="004D0B69">
              <w:t>2021</w:t>
            </w:r>
          </w:p>
        </w:tc>
        <w:tc>
          <w:tcPr>
            <w:tcW w:w="2337" w:type="dxa"/>
            <w:vAlign w:val="center"/>
          </w:tcPr>
          <w:p w14:paraId="2C9A450A" w14:textId="77777777" w:rsidR="00C2195E" w:rsidRPr="004D0B69" w:rsidRDefault="00C2195E" w:rsidP="001515D5">
            <w:r w:rsidRPr="004D0B69">
              <w:t>33.7%</w:t>
            </w:r>
          </w:p>
        </w:tc>
        <w:tc>
          <w:tcPr>
            <w:tcW w:w="2338" w:type="dxa"/>
            <w:vAlign w:val="bottom"/>
          </w:tcPr>
          <w:p w14:paraId="355759D7" w14:textId="77777777" w:rsidR="00C2195E" w:rsidRPr="004D0B69" w:rsidRDefault="00C2195E" w:rsidP="001515D5">
            <w:r w:rsidRPr="004D0B69">
              <w:t>33.7%</w:t>
            </w:r>
          </w:p>
        </w:tc>
        <w:tc>
          <w:tcPr>
            <w:tcW w:w="2338" w:type="dxa"/>
            <w:vAlign w:val="bottom"/>
          </w:tcPr>
          <w:p w14:paraId="731E5256" w14:textId="77777777" w:rsidR="00C2195E" w:rsidRPr="004D0B69" w:rsidRDefault="00C2195E" w:rsidP="001515D5">
            <w:r w:rsidRPr="004D0B69">
              <w:t>42.6%</w:t>
            </w:r>
          </w:p>
        </w:tc>
      </w:tr>
    </w:tbl>
    <w:p w14:paraId="3D9E4B06" w14:textId="77777777" w:rsidR="00C2195E" w:rsidRPr="004D0B69" w:rsidRDefault="00C2195E" w:rsidP="00C2195E">
      <w:r w:rsidRPr="004D0B69">
        <w:t xml:space="preserve">Sources: SC BRFSS, CDC BRFSS. </w:t>
      </w:r>
    </w:p>
    <w:p w14:paraId="7CB10682" w14:textId="77777777" w:rsidR="00C2195E" w:rsidRDefault="00C2195E" w:rsidP="00C2195E">
      <w:r w:rsidRPr="004D0B69">
        <w:t xml:space="preserve">Notes: Adults 18+, </w:t>
      </w:r>
      <w:proofErr w:type="gramStart"/>
      <w:r w:rsidRPr="004D0B69">
        <w:t>age-adjusted</w:t>
      </w:r>
      <w:proofErr w:type="gramEnd"/>
      <w:r w:rsidRPr="004D0B69">
        <w:t>.</w:t>
      </w:r>
    </w:p>
    <w:p w14:paraId="71155029" w14:textId="77777777" w:rsidR="00C2195E" w:rsidRPr="00722DB3" w:rsidRDefault="00C2195E" w:rsidP="00C2195E"/>
    <w:p w14:paraId="2E53A78F" w14:textId="77777777" w:rsidR="00C2195E" w:rsidRDefault="00C2195E" w:rsidP="00C2195E">
      <w:pPr>
        <w:pStyle w:val="Heading4"/>
      </w:pPr>
      <w:bookmarkStart w:id="707" w:name="_Toc154576492"/>
      <w:bookmarkStart w:id="708" w:name="_Toc162267477"/>
      <w:r>
        <w:t>Figure 9.10: Prevalence of Hypertension among Adults, by County.</w:t>
      </w:r>
      <w:bookmarkEnd w:id="707"/>
      <w:bookmarkEnd w:id="708"/>
    </w:p>
    <w:tbl>
      <w:tblPr>
        <w:tblStyle w:val="TableGrid"/>
        <w:tblW w:w="0" w:type="auto"/>
        <w:tblLook w:val="04A0" w:firstRow="1" w:lastRow="0" w:firstColumn="1" w:lastColumn="0" w:noHBand="0" w:noVBand="1"/>
      </w:tblPr>
      <w:tblGrid>
        <w:gridCol w:w="4675"/>
        <w:gridCol w:w="4675"/>
      </w:tblGrid>
      <w:tr w:rsidR="00C2195E" w14:paraId="1563A5AF" w14:textId="77777777" w:rsidTr="001515D5">
        <w:tc>
          <w:tcPr>
            <w:tcW w:w="4675" w:type="dxa"/>
          </w:tcPr>
          <w:p w14:paraId="5A4FD5DD" w14:textId="77777777" w:rsidR="00C2195E" w:rsidRDefault="00C2195E" w:rsidP="001515D5">
            <w:r>
              <w:t>County</w:t>
            </w:r>
          </w:p>
        </w:tc>
        <w:tc>
          <w:tcPr>
            <w:tcW w:w="4675" w:type="dxa"/>
          </w:tcPr>
          <w:p w14:paraId="43CC72F9" w14:textId="77777777" w:rsidR="00C2195E" w:rsidRDefault="00C2195E" w:rsidP="001515D5">
            <w:r>
              <w:t>Percent</w:t>
            </w:r>
          </w:p>
        </w:tc>
      </w:tr>
      <w:tr w:rsidR="00C2195E" w14:paraId="54C73020" w14:textId="77777777" w:rsidTr="001515D5">
        <w:tc>
          <w:tcPr>
            <w:tcW w:w="4675" w:type="dxa"/>
            <w:vAlign w:val="bottom"/>
          </w:tcPr>
          <w:p w14:paraId="2AD7DB47" w14:textId="77777777" w:rsidR="00C2195E" w:rsidRPr="0094415D" w:rsidRDefault="00C2195E" w:rsidP="001515D5">
            <w:r w:rsidRPr="00122D44">
              <w:lastRenderedPageBreak/>
              <w:t>Abbeville</w:t>
            </w:r>
          </w:p>
        </w:tc>
        <w:tc>
          <w:tcPr>
            <w:tcW w:w="4675" w:type="dxa"/>
            <w:vAlign w:val="bottom"/>
          </w:tcPr>
          <w:p w14:paraId="36040F2E" w14:textId="77777777" w:rsidR="00C2195E" w:rsidRPr="0094415D" w:rsidRDefault="00C2195E" w:rsidP="001515D5">
            <w:r w:rsidRPr="0094415D">
              <w:t>48.1%</w:t>
            </w:r>
          </w:p>
        </w:tc>
      </w:tr>
      <w:tr w:rsidR="00C2195E" w14:paraId="51546780" w14:textId="77777777" w:rsidTr="001515D5">
        <w:tc>
          <w:tcPr>
            <w:tcW w:w="4675" w:type="dxa"/>
            <w:vAlign w:val="bottom"/>
          </w:tcPr>
          <w:p w14:paraId="788E2259" w14:textId="77777777" w:rsidR="00C2195E" w:rsidRPr="0094415D" w:rsidRDefault="00C2195E" w:rsidP="001515D5">
            <w:r w:rsidRPr="00122D44">
              <w:t>Aiken</w:t>
            </w:r>
          </w:p>
        </w:tc>
        <w:tc>
          <w:tcPr>
            <w:tcW w:w="4675" w:type="dxa"/>
            <w:vAlign w:val="bottom"/>
          </w:tcPr>
          <w:p w14:paraId="7FC8B1A8" w14:textId="77777777" w:rsidR="00C2195E" w:rsidRPr="0094415D" w:rsidRDefault="00C2195E" w:rsidP="001515D5">
            <w:r w:rsidRPr="0094415D">
              <w:t>39.1%</w:t>
            </w:r>
          </w:p>
        </w:tc>
      </w:tr>
      <w:tr w:rsidR="00C2195E" w14:paraId="318695F9" w14:textId="77777777" w:rsidTr="001515D5">
        <w:tc>
          <w:tcPr>
            <w:tcW w:w="4675" w:type="dxa"/>
            <w:vAlign w:val="bottom"/>
          </w:tcPr>
          <w:p w14:paraId="2E1381E0" w14:textId="77777777" w:rsidR="00C2195E" w:rsidRPr="0094415D" w:rsidRDefault="00C2195E" w:rsidP="001515D5">
            <w:r w:rsidRPr="00122D44">
              <w:t>Allendale</w:t>
            </w:r>
          </w:p>
        </w:tc>
        <w:tc>
          <w:tcPr>
            <w:tcW w:w="4675" w:type="dxa"/>
            <w:vAlign w:val="bottom"/>
          </w:tcPr>
          <w:p w14:paraId="3D6A4930" w14:textId="77777777" w:rsidR="00C2195E" w:rsidRPr="0094415D" w:rsidRDefault="00C2195E" w:rsidP="001515D5">
            <w:r w:rsidRPr="0094415D">
              <w:t>*</w:t>
            </w:r>
          </w:p>
        </w:tc>
      </w:tr>
      <w:tr w:rsidR="00C2195E" w14:paraId="27B25466" w14:textId="77777777" w:rsidTr="001515D5">
        <w:tc>
          <w:tcPr>
            <w:tcW w:w="4675" w:type="dxa"/>
            <w:vAlign w:val="bottom"/>
          </w:tcPr>
          <w:p w14:paraId="13343BA4" w14:textId="77777777" w:rsidR="00C2195E" w:rsidRPr="0094415D" w:rsidRDefault="00C2195E" w:rsidP="001515D5">
            <w:r w:rsidRPr="00122D44">
              <w:t>Anderson</w:t>
            </w:r>
          </w:p>
        </w:tc>
        <w:tc>
          <w:tcPr>
            <w:tcW w:w="4675" w:type="dxa"/>
            <w:vAlign w:val="bottom"/>
          </w:tcPr>
          <w:p w14:paraId="55E0AF4F" w14:textId="77777777" w:rsidR="00C2195E" w:rsidRPr="0094415D" w:rsidRDefault="00C2195E" w:rsidP="001515D5">
            <w:r w:rsidRPr="0094415D">
              <w:t>41.4%</w:t>
            </w:r>
          </w:p>
        </w:tc>
      </w:tr>
      <w:tr w:rsidR="00C2195E" w14:paraId="6A3CDAEA" w14:textId="77777777" w:rsidTr="001515D5">
        <w:tc>
          <w:tcPr>
            <w:tcW w:w="4675" w:type="dxa"/>
            <w:vAlign w:val="bottom"/>
          </w:tcPr>
          <w:p w14:paraId="7F5C99B4" w14:textId="77777777" w:rsidR="00C2195E" w:rsidRPr="0094415D" w:rsidRDefault="00C2195E" w:rsidP="001515D5">
            <w:r w:rsidRPr="00122D44">
              <w:t>Bamberg</w:t>
            </w:r>
          </w:p>
        </w:tc>
        <w:tc>
          <w:tcPr>
            <w:tcW w:w="4675" w:type="dxa"/>
            <w:vAlign w:val="bottom"/>
          </w:tcPr>
          <w:p w14:paraId="1E8187A1" w14:textId="77777777" w:rsidR="00C2195E" w:rsidRPr="0094415D" w:rsidRDefault="00C2195E" w:rsidP="001515D5">
            <w:r w:rsidRPr="0094415D">
              <w:t>47.2%</w:t>
            </w:r>
          </w:p>
        </w:tc>
      </w:tr>
      <w:tr w:rsidR="00C2195E" w14:paraId="1F0AA37A" w14:textId="77777777" w:rsidTr="001515D5">
        <w:tc>
          <w:tcPr>
            <w:tcW w:w="4675" w:type="dxa"/>
            <w:vAlign w:val="bottom"/>
          </w:tcPr>
          <w:p w14:paraId="3BA74263" w14:textId="77777777" w:rsidR="00C2195E" w:rsidRPr="0094415D" w:rsidRDefault="00C2195E" w:rsidP="001515D5">
            <w:r w:rsidRPr="00122D44">
              <w:t>Barnwell</w:t>
            </w:r>
          </w:p>
        </w:tc>
        <w:tc>
          <w:tcPr>
            <w:tcW w:w="4675" w:type="dxa"/>
            <w:vAlign w:val="bottom"/>
          </w:tcPr>
          <w:p w14:paraId="1AAAA1B7" w14:textId="77777777" w:rsidR="00C2195E" w:rsidRPr="0094415D" w:rsidRDefault="00C2195E" w:rsidP="001515D5">
            <w:r w:rsidRPr="0094415D">
              <w:t>45.3%</w:t>
            </w:r>
          </w:p>
        </w:tc>
      </w:tr>
      <w:tr w:rsidR="00C2195E" w14:paraId="34DFF607" w14:textId="77777777" w:rsidTr="001515D5">
        <w:tc>
          <w:tcPr>
            <w:tcW w:w="4675" w:type="dxa"/>
            <w:vAlign w:val="bottom"/>
          </w:tcPr>
          <w:p w14:paraId="762E496C" w14:textId="77777777" w:rsidR="00C2195E" w:rsidRPr="0094415D" w:rsidRDefault="00C2195E" w:rsidP="001515D5">
            <w:r w:rsidRPr="00122D44">
              <w:t>Beaufort</w:t>
            </w:r>
          </w:p>
        </w:tc>
        <w:tc>
          <w:tcPr>
            <w:tcW w:w="4675" w:type="dxa"/>
            <w:vAlign w:val="bottom"/>
          </w:tcPr>
          <w:p w14:paraId="68C3A6B9" w14:textId="77777777" w:rsidR="00C2195E" w:rsidRPr="0094415D" w:rsidRDefault="00C2195E" w:rsidP="001515D5">
            <w:r w:rsidRPr="0094415D">
              <w:t>37.9%</w:t>
            </w:r>
          </w:p>
        </w:tc>
      </w:tr>
      <w:tr w:rsidR="00C2195E" w14:paraId="6EB9B99B" w14:textId="77777777" w:rsidTr="001515D5">
        <w:tc>
          <w:tcPr>
            <w:tcW w:w="4675" w:type="dxa"/>
            <w:vAlign w:val="bottom"/>
          </w:tcPr>
          <w:p w14:paraId="0EEE36D3" w14:textId="77777777" w:rsidR="00C2195E" w:rsidRPr="0094415D" w:rsidRDefault="00C2195E" w:rsidP="001515D5">
            <w:r w:rsidRPr="00122D44">
              <w:t>Berkeley</w:t>
            </w:r>
          </w:p>
        </w:tc>
        <w:tc>
          <w:tcPr>
            <w:tcW w:w="4675" w:type="dxa"/>
            <w:vAlign w:val="bottom"/>
          </w:tcPr>
          <w:p w14:paraId="63B9ECAE" w14:textId="77777777" w:rsidR="00C2195E" w:rsidRPr="0094415D" w:rsidRDefault="00C2195E" w:rsidP="001515D5">
            <w:r w:rsidRPr="0094415D">
              <w:t>40.9%</w:t>
            </w:r>
          </w:p>
        </w:tc>
      </w:tr>
      <w:tr w:rsidR="00C2195E" w14:paraId="567ACD89" w14:textId="77777777" w:rsidTr="001515D5">
        <w:tc>
          <w:tcPr>
            <w:tcW w:w="4675" w:type="dxa"/>
            <w:vAlign w:val="bottom"/>
          </w:tcPr>
          <w:p w14:paraId="66126CD0" w14:textId="77777777" w:rsidR="00C2195E" w:rsidRPr="0094415D" w:rsidRDefault="00C2195E" w:rsidP="001515D5">
            <w:r w:rsidRPr="00122D44">
              <w:t>Calhoun</w:t>
            </w:r>
          </w:p>
        </w:tc>
        <w:tc>
          <w:tcPr>
            <w:tcW w:w="4675" w:type="dxa"/>
            <w:vAlign w:val="bottom"/>
          </w:tcPr>
          <w:p w14:paraId="6BE54AFD" w14:textId="77777777" w:rsidR="00C2195E" w:rsidRPr="0094415D" w:rsidRDefault="00C2195E" w:rsidP="001515D5">
            <w:r w:rsidRPr="0094415D">
              <w:t>52.2%</w:t>
            </w:r>
          </w:p>
        </w:tc>
      </w:tr>
      <w:tr w:rsidR="00C2195E" w14:paraId="4C9AD405" w14:textId="77777777" w:rsidTr="001515D5">
        <w:tc>
          <w:tcPr>
            <w:tcW w:w="4675" w:type="dxa"/>
            <w:vAlign w:val="bottom"/>
          </w:tcPr>
          <w:p w14:paraId="402BE3C0" w14:textId="77777777" w:rsidR="00C2195E" w:rsidRPr="0094415D" w:rsidRDefault="00C2195E" w:rsidP="001515D5">
            <w:r w:rsidRPr="00122D44">
              <w:t>Charleston</w:t>
            </w:r>
          </w:p>
        </w:tc>
        <w:tc>
          <w:tcPr>
            <w:tcW w:w="4675" w:type="dxa"/>
            <w:vAlign w:val="bottom"/>
          </w:tcPr>
          <w:p w14:paraId="6ECD1490" w14:textId="77777777" w:rsidR="00C2195E" w:rsidRPr="0094415D" w:rsidRDefault="00C2195E" w:rsidP="001515D5">
            <w:r w:rsidRPr="0094415D">
              <w:t>34.0%</w:t>
            </w:r>
          </w:p>
        </w:tc>
      </w:tr>
      <w:tr w:rsidR="00C2195E" w14:paraId="1B8A33E8" w14:textId="77777777" w:rsidTr="001515D5">
        <w:tc>
          <w:tcPr>
            <w:tcW w:w="4675" w:type="dxa"/>
            <w:vAlign w:val="bottom"/>
          </w:tcPr>
          <w:p w14:paraId="6AC49975" w14:textId="77777777" w:rsidR="00C2195E" w:rsidRPr="0094415D" w:rsidRDefault="00C2195E" w:rsidP="001515D5">
            <w:r w:rsidRPr="00122D44">
              <w:t>Cherokee</w:t>
            </w:r>
          </w:p>
        </w:tc>
        <w:tc>
          <w:tcPr>
            <w:tcW w:w="4675" w:type="dxa"/>
            <w:vAlign w:val="bottom"/>
          </w:tcPr>
          <w:p w14:paraId="13400EF3" w14:textId="77777777" w:rsidR="00C2195E" w:rsidRPr="0094415D" w:rsidRDefault="00C2195E" w:rsidP="001515D5">
            <w:r w:rsidRPr="0094415D">
              <w:t>43.8%</w:t>
            </w:r>
          </w:p>
        </w:tc>
      </w:tr>
      <w:tr w:rsidR="00C2195E" w14:paraId="12FAA6C7" w14:textId="77777777" w:rsidTr="001515D5">
        <w:tc>
          <w:tcPr>
            <w:tcW w:w="4675" w:type="dxa"/>
            <w:vAlign w:val="bottom"/>
          </w:tcPr>
          <w:p w14:paraId="1FF60487" w14:textId="77777777" w:rsidR="00C2195E" w:rsidRPr="0094415D" w:rsidRDefault="00C2195E" w:rsidP="001515D5">
            <w:r w:rsidRPr="00122D44">
              <w:t>Chester</w:t>
            </w:r>
          </w:p>
        </w:tc>
        <w:tc>
          <w:tcPr>
            <w:tcW w:w="4675" w:type="dxa"/>
            <w:vAlign w:val="bottom"/>
          </w:tcPr>
          <w:p w14:paraId="3C188031" w14:textId="77777777" w:rsidR="00C2195E" w:rsidRPr="0094415D" w:rsidRDefault="00C2195E" w:rsidP="001515D5">
            <w:r w:rsidRPr="0094415D">
              <w:t>43.9%</w:t>
            </w:r>
          </w:p>
        </w:tc>
      </w:tr>
      <w:tr w:rsidR="00C2195E" w14:paraId="4BCD6667" w14:textId="77777777" w:rsidTr="001515D5">
        <w:tc>
          <w:tcPr>
            <w:tcW w:w="4675" w:type="dxa"/>
            <w:vAlign w:val="bottom"/>
          </w:tcPr>
          <w:p w14:paraId="34DCE501" w14:textId="77777777" w:rsidR="00C2195E" w:rsidRPr="0094415D" w:rsidRDefault="00C2195E" w:rsidP="001515D5">
            <w:r w:rsidRPr="00122D44">
              <w:t>Chesterfield</w:t>
            </w:r>
          </w:p>
        </w:tc>
        <w:tc>
          <w:tcPr>
            <w:tcW w:w="4675" w:type="dxa"/>
            <w:vAlign w:val="bottom"/>
          </w:tcPr>
          <w:p w14:paraId="194A207F" w14:textId="77777777" w:rsidR="00C2195E" w:rsidRPr="0094415D" w:rsidRDefault="00C2195E" w:rsidP="001515D5">
            <w:r w:rsidRPr="0094415D">
              <w:t>45.0%</w:t>
            </w:r>
          </w:p>
        </w:tc>
      </w:tr>
      <w:tr w:rsidR="00C2195E" w14:paraId="7A16CADD" w14:textId="77777777" w:rsidTr="001515D5">
        <w:tc>
          <w:tcPr>
            <w:tcW w:w="4675" w:type="dxa"/>
            <w:vAlign w:val="bottom"/>
          </w:tcPr>
          <w:p w14:paraId="21DE5516" w14:textId="77777777" w:rsidR="00C2195E" w:rsidRPr="0094415D" w:rsidRDefault="00C2195E" w:rsidP="001515D5">
            <w:r w:rsidRPr="00122D44">
              <w:t>Clarendon</w:t>
            </w:r>
          </w:p>
        </w:tc>
        <w:tc>
          <w:tcPr>
            <w:tcW w:w="4675" w:type="dxa"/>
            <w:vAlign w:val="bottom"/>
          </w:tcPr>
          <w:p w14:paraId="6972F466" w14:textId="77777777" w:rsidR="00C2195E" w:rsidRPr="0094415D" w:rsidRDefault="00C2195E" w:rsidP="001515D5">
            <w:r w:rsidRPr="0094415D">
              <w:t>45.6%</w:t>
            </w:r>
          </w:p>
        </w:tc>
      </w:tr>
      <w:tr w:rsidR="00C2195E" w14:paraId="5D9080B0" w14:textId="77777777" w:rsidTr="001515D5">
        <w:tc>
          <w:tcPr>
            <w:tcW w:w="4675" w:type="dxa"/>
            <w:vAlign w:val="bottom"/>
          </w:tcPr>
          <w:p w14:paraId="57716A02" w14:textId="77777777" w:rsidR="00C2195E" w:rsidRPr="0094415D" w:rsidRDefault="00C2195E" w:rsidP="001515D5">
            <w:r w:rsidRPr="00122D44">
              <w:t>Colleton</w:t>
            </w:r>
          </w:p>
        </w:tc>
        <w:tc>
          <w:tcPr>
            <w:tcW w:w="4675" w:type="dxa"/>
            <w:vAlign w:val="bottom"/>
          </w:tcPr>
          <w:p w14:paraId="34FCB3F5" w14:textId="77777777" w:rsidR="00C2195E" w:rsidRPr="0094415D" w:rsidRDefault="00C2195E" w:rsidP="001515D5">
            <w:r w:rsidRPr="0094415D">
              <w:t>47.2%</w:t>
            </w:r>
          </w:p>
        </w:tc>
      </w:tr>
      <w:tr w:rsidR="00C2195E" w14:paraId="6C8C2429" w14:textId="77777777" w:rsidTr="001515D5">
        <w:tc>
          <w:tcPr>
            <w:tcW w:w="4675" w:type="dxa"/>
            <w:vAlign w:val="bottom"/>
          </w:tcPr>
          <w:p w14:paraId="0BA5D31B" w14:textId="77777777" w:rsidR="00C2195E" w:rsidRPr="0094415D" w:rsidRDefault="00C2195E" w:rsidP="001515D5">
            <w:r w:rsidRPr="00122D44">
              <w:t>Darlington</w:t>
            </w:r>
          </w:p>
        </w:tc>
        <w:tc>
          <w:tcPr>
            <w:tcW w:w="4675" w:type="dxa"/>
            <w:vAlign w:val="bottom"/>
          </w:tcPr>
          <w:p w14:paraId="73A06D40" w14:textId="77777777" w:rsidR="00C2195E" w:rsidRPr="0094415D" w:rsidRDefault="00C2195E" w:rsidP="001515D5">
            <w:r w:rsidRPr="0094415D">
              <w:t>50.8%</w:t>
            </w:r>
          </w:p>
        </w:tc>
      </w:tr>
      <w:tr w:rsidR="00C2195E" w14:paraId="2BC6B660" w14:textId="77777777" w:rsidTr="001515D5">
        <w:tc>
          <w:tcPr>
            <w:tcW w:w="4675" w:type="dxa"/>
            <w:vAlign w:val="bottom"/>
          </w:tcPr>
          <w:p w14:paraId="57543919" w14:textId="77777777" w:rsidR="00C2195E" w:rsidRPr="0094415D" w:rsidRDefault="00C2195E" w:rsidP="001515D5">
            <w:r w:rsidRPr="00122D44">
              <w:t>Dillon</w:t>
            </w:r>
          </w:p>
        </w:tc>
        <w:tc>
          <w:tcPr>
            <w:tcW w:w="4675" w:type="dxa"/>
            <w:vAlign w:val="bottom"/>
          </w:tcPr>
          <w:p w14:paraId="551F45D4" w14:textId="77777777" w:rsidR="00C2195E" w:rsidRPr="0094415D" w:rsidRDefault="00C2195E" w:rsidP="001515D5">
            <w:r w:rsidRPr="0094415D">
              <w:t>52.9%</w:t>
            </w:r>
          </w:p>
        </w:tc>
      </w:tr>
      <w:tr w:rsidR="00C2195E" w14:paraId="3EE20485" w14:textId="77777777" w:rsidTr="001515D5">
        <w:tc>
          <w:tcPr>
            <w:tcW w:w="4675" w:type="dxa"/>
            <w:vAlign w:val="bottom"/>
          </w:tcPr>
          <w:p w14:paraId="014F4AFC" w14:textId="77777777" w:rsidR="00C2195E" w:rsidRPr="0094415D" w:rsidRDefault="00C2195E" w:rsidP="001515D5">
            <w:r w:rsidRPr="00122D44">
              <w:t>Dorchester</w:t>
            </w:r>
          </w:p>
        </w:tc>
        <w:tc>
          <w:tcPr>
            <w:tcW w:w="4675" w:type="dxa"/>
            <w:vAlign w:val="bottom"/>
          </w:tcPr>
          <w:p w14:paraId="59FC4B4F" w14:textId="77777777" w:rsidR="00C2195E" w:rsidRPr="0094415D" w:rsidRDefault="00C2195E" w:rsidP="001515D5">
            <w:r w:rsidRPr="0094415D">
              <w:t>33.8%</w:t>
            </w:r>
          </w:p>
        </w:tc>
      </w:tr>
      <w:tr w:rsidR="00C2195E" w14:paraId="7E05BB57" w14:textId="77777777" w:rsidTr="001515D5">
        <w:tc>
          <w:tcPr>
            <w:tcW w:w="4675" w:type="dxa"/>
            <w:vAlign w:val="bottom"/>
          </w:tcPr>
          <w:p w14:paraId="7FD43A0E" w14:textId="77777777" w:rsidR="00C2195E" w:rsidRPr="0094415D" w:rsidRDefault="00C2195E" w:rsidP="001515D5">
            <w:r w:rsidRPr="00122D44">
              <w:t>Edgefield</w:t>
            </w:r>
          </w:p>
        </w:tc>
        <w:tc>
          <w:tcPr>
            <w:tcW w:w="4675" w:type="dxa"/>
            <w:vAlign w:val="bottom"/>
          </w:tcPr>
          <w:p w14:paraId="0BC41FD4" w14:textId="77777777" w:rsidR="00C2195E" w:rsidRPr="0094415D" w:rsidRDefault="00C2195E" w:rsidP="001515D5">
            <w:r w:rsidRPr="0094415D">
              <w:t>41.1%</w:t>
            </w:r>
          </w:p>
        </w:tc>
      </w:tr>
      <w:tr w:rsidR="00C2195E" w14:paraId="3105B4A8" w14:textId="77777777" w:rsidTr="001515D5">
        <w:tc>
          <w:tcPr>
            <w:tcW w:w="4675" w:type="dxa"/>
            <w:vAlign w:val="bottom"/>
          </w:tcPr>
          <w:p w14:paraId="3CF0E2B4" w14:textId="77777777" w:rsidR="00C2195E" w:rsidRPr="0094415D" w:rsidRDefault="00C2195E" w:rsidP="001515D5">
            <w:r w:rsidRPr="00122D44">
              <w:t>Fairfield</w:t>
            </w:r>
          </w:p>
        </w:tc>
        <w:tc>
          <w:tcPr>
            <w:tcW w:w="4675" w:type="dxa"/>
            <w:vAlign w:val="bottom"/>
          </w:tcPr>
          <w:p w14:paraId="0035F507" w14:textId="77777777" w:rsidR="00C2195E" w:rsidRPr="0094415D" w:rsidRDefault="00C2195E" w:rsidP="001515D5">
            <w:r w:rsidRPr="0094415D">
              <w:t>*</w:t>
            </w:r>
          </w:p>
        </w:tc>
      </w:tr>
      <w:tr w:rsidR="00C2195E" w14:paraId="7F2D1E68" w14:textId="77777777" w:rsidTr="001515D5">
        <w:tc>
          <w:tcPr>
            <w:tcW w:w="4675" w:type="dxa"/>
            <w:vAlign w:val="bottom"/>
          </w:tcPr>
          <w:p w14:paraId="42F063D4" w14:textId="77777777" w:rsidR="00C2195E" w:rsidRPr="0094415D" w:rsidRDefault="00C2195E" w:rsidP="001515D5">
            <w:r w:rsidRPr="00122D44">
              <w:t>Florence</w:t>
            </w:r>
          </w:p>
        </w:tc>
        <w:tc>
          <w:tcPr>
            <w:tcW w:w="4675" w:type="dxa"/>
            <w:vAlign w:val="bottom"/>
          </w:tcPr>
          <w:p w14:paraId="1B32993B" w14:textId="77777777" w:rsidR="00C2195E" w:rsidRPr="0094415D" w:rsidRDefault="00C2195E" w:rsidP="001515D5">
            <w:r w:rsidRPr="0094415D">
              <w:t>42.8%</w:t>
            </w:r>
          </w:p>
        </w:tc>
      </w:tr>
      <w:tr w:rsidR="00C2195E" w14:paraId="0A119F1A" w14:textId="77777777" w:rsidTr="001515D5">
        <w:tc>
          <w:tcPr>
            <w:tcW w:w="4675" w:type="dxa"/>
            <w:vAlign w:val="bottom"/>
          </w:tcPr>
          <w:p w14:paraId="00F481E8" w14:textId="77777777" w:rsidR="00C2195E" w:rsidRPr="0094415D" w:rsidRDefault="00C2195E" w:rsidP="001515D5">
            <w:r w:rsidRPr="00122D44">
              <w:t>Georgetown</w:t>
            </w:r>
          </w:p>
        </w:tc>
        <w:tc>
          <w:tcPr>
            <w:tcW w:w="4675" w:type="dxa"/>
            <w:vAlign w:val="bottom"/>
          </w:tcPr>
          <w:p w14:paraId="3F285A01" w14:textId="77777777" w:rsidR="00C2195E" w:rsidRPr="0094415D" w:rsidRDefault="00C2195E" w:rsidP="001515D5">
            <w:r w:rsidRPr="0094415D">
              <w:t>46.0%</w:t>
            </w:r>
          </w:p>
        </w:tc>
      </w:tr>
      <w:tr w:rsidR="00C2195E" w14:paraId="4BABBC2E" w14:textId="77777777" w:rsidTr="001515D5">
        <w:tc>
          <w:tcPr>
            <w:tcW w:w="4675" w:type="dxa"/>
            <w:vAlign w:val="bottom"/>
          </w:tcPr>
          <w:p w14:paraId="61115301" w14:textId="77777777" w:rsidR="00C2195E" w:rsidRPr="0094415D" w:rsidRDefault="00C2195E" w:rsidP="001515D5">
            <w:r w:rsidRPr="00122D44">
              <w:t>Greenville</w:t>
            </w:r>
          </w:p>
        </w:tc>
        <w:tc>
          <w:tcPr>
            <w:tcW w:w="4675" w:type="dxa"/>
            <w:vAlign w:val="bottom"/>
          </w:tcPr>
          <w:p w14:paraId="70AA2DCB" w14:textId="77777777" w:rsidR="00C2195E" w:rsidRPr="0094415D" w:rsidRDefault="00C2195E" w:rsidP="001515D5">
            <w:r w:rsidRPr="0094415D">
              <w:t>35.8%</w:t>
            </w:r>
          </w:p>
        </w:tc>
      </w:tr>
      <w:tr w:rsidR="00C2195E" w14:paraId="38CE44A0" w14:textId="77777777" w:rsidTr="001515D5">
        <w:tc>
          <w:tcPr>
            <w:tcW w:w="4675" w:type="dxa"/>
            <w:vAlign w:val="bottom"/>
          </w:tcPr>
          <w:p w14:paraId="165F1F15" w14:textId="77777777" w:rsidR="00C2195E" w:rsidRPr="0094415D" w:rsidRDefault="00C2195E" w:rsidP="001515D5">
            <w:r w:rsidRPr="00122D44">
              <w:t>Greenwood</w:t>
            </w:r>
          </w:p>
        </w:tc>
        <w:tc>
          <w:tcPr>
            <w:tcW w:w="4675" w:type="dxa"/>
            <w:vAlign w:val="bottom"/>
          </w:tcPr>
          <w:p w14:paraId="5A383175" w14:textId="77777777" w:rsidR="00C2195E" w:rsidRPr="0094415D" w:rsidRDefault="00C2195E" w:rsidP="001515D5">
            <w:r w:rsidRPr="0094415D">
              <w:t>39.1%</w:t>
            </w:r>
          </w:p>
        </w:tc>
      </w:tr>
      <w:tr w:rsidR="00C2195E" w14:paraId="5561E1E7" w14:textId="77777777" w:rsidTr="001515D5">
        <w:tc>
          <w:tcPr>
            <w:tcW w:w="4675" w:type="dxa"/>
            <w:vAlign w:val="bottom"/>
          </w:tcPr>
          <w:p w14:paraId="5C2B6FE9" w14:textId="77777777" w:rsidR="00C2195E" w:rsidRPr="0094415D" w:rsidRDefault="00C2195E" w:rsidP="001515D5">
            <w:r w:rsidRPr="00122D44">
              <w:t>Hampton</w:t>
            </w:r>
          </w:p>
        </w:tc>
        <w:tc>
          <w:tcPr>
            <w:tcW w:w="4675" w:type="dxa"/>
            <w:vAlign w:val="bottom"/>
          </w:tcPr>
          <w:p w14:paraId="097129EB" w14:textId="77777777" w:rsidR="00C2195E" w:rsidRPr="0094415D" w:rsidRDefault="00C2195E" w:rsidP="001515D5">
            <w:r w:rsidRPr="0094415D">
              <w:t>51.5%</w:t>
            </w:r>
          </w:p>
        </w:tc>
      </w:tr>
      <w:tr w:rsidR="00C2195E" w14:paraId="022A53B6" w14:textId="77777777" w:rsidTr="001515D5">
        <w:tc>
          <w:tcPr>
            <w:tcW w:w="4675" w:type="dxa"/>
            <w:vAlign w:val="bottom"/>
          </w:tcPr>
          <w:p w14:paraId="27244A57" w14:textId="77777777" w:rsidR="00C2195E" w:rsidRPr="0094415D" w:rsidRDefault="00C2195E" w:rsidP="001515D5">
            <w:r w:rsidRPr="00122D44">
              <w:t>Horry</w:t>
            </w:r>
          </w:p>
        </w:tc>
        <w:tc>
          <w:tcPr>
            <w:tcW w:w="4675" w:type="dxa"/>
            <w:vAlign w:val="bottom"/>
          </w:tcPr>
          <w:p w14:paraId="3644A2E7" w14:textId="77777777" w:rsidR="00C2195E" w:rsidRPr="0094415D" w:rsidRDefault="00C2195E" w:rsidP="001515D5">
            <w:r w:rsidRPr="0094415D">
              <w:t>41.3%</w:t>
            </w:r>
          </w:p>
        </w:tc>
      </w:tr>
      <w:tr w:rsidR="00C2195E" w14:paraId="4186A0AA" w14:textId="77777777" w:rsidTr="001515D5">
        <w:tc>
          <w:tcPr>
            <w:tcW w:w="4675" w:type="dxa"/>
            <w:vAlign w:val="bottom"/>
          </w:tcPr>
          <w:p w14:paraId="2CDA0DCA" w14:textId="77777777" w:rsidR="00C2195E" w:rsidRPr="0094415D" w:rsidRDefault="00C2195E" w:rsidP="001515D5">
            <w:r w:rsidRPr="00122D44">
              <w:t>Jasper</w:t>
            </w:r>
          </w:p>
        </w:tc>
        <w:tc>
          <w:tcPr>
            <w:tcW w:w="4675" w:type="dxa"/>
            <w:vAlign w:val="bottom"/>
          </w:tcPr>
          <w:p w14:paraId="444FB95B" w14:textId="77777777" w:rsidR="00C2195E" w:rsidRPr="0094415D" w:rsidRDefault="00C2195E" w:rsidP="001515D5">
            <w:r w:rsidRPr="0094415D">
              <w:t>41.9%</w:t>
            </w:r>
          </w:p>
        </w:tc>
      </w:tr>
      <w:tr w:rsidR="00C2195E" w14:paraId="4ACC5675" w14:textId="77777777" w:rsidTr="001515D5">
        <w:tc>
          <w:tcPr>
            <w:tcW w:w="4675" w:type="dxa"/>
            <w:vAlign w:val="bottom"/>
          </w:tcPr>
          <w:p w14:paraId="64CE73F8" w14:textId="77777777" w:rsidR="00C2195E" w:rsidRPr="0094415D" w:rsidRDefault="00C2195E" w:rsidP="001515D5">
            <w:r w:rsidRPr="00122D44">
              <w:t>Kershaw</w:t>
            </w:r>
          </w:p>
        </w:tc>
        <w:tc>
          <w:tcPr>
            <w:tcW w:w="4675" w:type="dxa"/>
            <w:vAlign w:val="bottom"/>
          </w:tcPr>
          <w:p w14:paraId="5F43E59B" w14:textId="77777777" w:rsidR="00C2195E" w:rsidRPr="0094415D" w:rsidRDefault="00C2195E" w:rsidP="001515D5">
            <w:r w:rsidRPr="0094415D">
              <w:t>41.7%</w:t>
            </w:r>
          </w:p>
        </w:tc>
      </w:tr>
      <w:tr w:rsidR="00C2195E" w14:paraId="225EA42F" w14:textId="77777777" w:rsidTr="001515D5">
        <w:tc>
          <w:tcPr>
            <w:tcW w:w="4675" w:type="dxa"/>
            <w:vAlign w:val="bottom"/>
          </w:tcPr>
          <w:p w14:paraId="1C1D969B" w14:textId="77777777" w:rsidR="00C2195E" w:rsidRPr="0094415D" w:rsidRDefault="00C2195E" w:rsidP="001515D5">
            <w:r w:rsidRPr="00122D44">
              <w:t>Lancaster</w:t>
            </w:r>
          </w:p>
        </w:tc>
        <w:tc>
          <w:tcPr>
            <w:tcW w:w="4675" w:type="dxa"/>
            <w:vAlign w:val="bottom"/>
          </w:tcPr>
          <w:p w14:paraId="36277274" w14:textId="77777777" w:rsidR="00C2195E" w:rsidRPr="0094415D" w:rsidRDefault="00C2195E" w:rsidP="001515D5">
            <w:r w:rsidRPr="0094415D">
              <w:t>43.9%</w:t>
            </w:r>
          </w:p>
        </w:tc>
      </w:tr>
      <w:tr w:rsidR="00C2195E" w14:paraId="366C0CA3" w14:textId="77777777" w:rsidTr="001515D5">
        <w:tc>
          <w:tcPr>
            <w:tcW w:w="4675" w:type="dxa"/>
            <w:vAlign w:val="bottom"/>
          </w:tcPr>
          <w:p w14:paraId="23CD62F6" w14:textId="77777777" w:rsidR="00C2195E" w:rsidRPr="0094415D" w:rsidRDefault="00C2195E" w:rsidP="001515D5">
            <w:r w:rsidRPr="00122D44">
              <w:t>Laurens</w:t>
            </w:r>
          </w:p>
        </w:tc>
        <w:tc>
          <w:tcPr>
            <w:tcW w:w="4675" w:type="dxa"/>
            <w:vAlign w:val="bottom"/>
          </w:tcPr>
          <w:p w14:paraId="195A4093" w14:textId="77777777" w:rsidR="00C2195E" w:rsidRPr="0094415D" w:rsidRDefault="00C2195E" w:rsidP="001515D5">
            <w:r w:rsidRPr="0094415D">
              <w:t>45.2%</w:t>
            </w:r>
          </w:p>
        </w:tc>
      </w:tr>
      <w:tr w:rsidR="00C2195E" w14:paraId="23622A0D" w14:textId="77777777" w:rsidTr="001515D5">
        <w:tc>
          <w:tcPr>
            <w:tcW w:w="4675" w:type="dxa"/>
            <w:vAlign w:val="bottom"/>
          </w:tcPr>
          <w:p w14:paraId="6A2D9CC2" w14:textId="77777777" w:rsidR="00C2195E" w:rsidRPr="0094415D" w:rsidRDefault="00C2195E" w:rsidP="001515D5">
            <w:r w:rsidRPr="00122D44">
              <w:t>Lee</w:t>
            </w:r>
          </w:p>
        </w:tc>
        <w:tc>
          <w:tcPr>
            <w:tcW w:w="4675" w:type="dxa"/>
            <w:vAlign w:val="bottom"/>
          </w:tcPr>
          <w:p w14:paraId="72E3AC9E" w14:textId="77777777" w:rsidR="00C2195E" w:rsidRPr="0094415D" w:rsidRDefault="00C2195E" w:rsidP="001515D5">
            <w:r w:rsidRPr="0094415D">
              <w:t>46.7%</w:t>
            </w:r>
          </w:p>
        </w:tc>
      </w:tr>
      <w:tr w:rsidR="00C2195E" w14:paraId="3B96A6B7" w14:textId="77777777" w:rsidTr="001515D5">
        <w:tc>
          <w:tcPr>
            <w:tcW w:w="4675" w:type="dxa"/>
            <w:vAlign w:val="bottom"/>
          </w:tcPr>
          <w:p w14:paraId="07F409EB" w14:textId="77777777" w:rsidR="00C2195E" w:rsidRPr="0094415D" w:rsidRDefault="00C2195E" w:rsidP="001515D5">
            <w:r w:rsidRPr="00122D44">
              <w:t>Lexington</w:t>
            </w:r>
          </w:p>
        </w:tc>
        <w:tc>
          <w:tcPr>
            <w:tcW w:w="4675" w:type="dxa"/>
            <w:vAlign w:val="bottom"/>
          </w:tcPr>
          <w:p w14:paraId="382D4401" w14:textId="77777777" w:rsidR="00C2195E" w:rsidRPr="0094415D" w:rsidRDefault="00C2195E" w:rsidP="001515D5">
            <w:r w:rsidRPr="0094415D">
              <w:t>37.6%</w:t>
            </w:r>
          </w:p>
        </w:tc>
      </w:tr>
      <w:tr w:rsidR="00C2195E" w14:paraId="621AFC1E" w14:textId="77777777" w:rsidTr="001515D5">
        <w:tc>
          <w:tcPr>
            <w:tcW w:w="4675" w:type="dxa"/>
            <w:vAlign w:val="bottom"/>
          </w:tcPr>
          <w:p w14:paraId="1D8697D8" w14:textId="77777777" w:rsidR="00C2195E" w:rsidRPr="0094415D" w:rsidRDefault="00C2195E" w:rsidP="001515D5">
            <w:r w:rsidRPr="00122D44">
              <w:t>McCormick</w:t>
            </w:r>
          </w:p>
        </w:tc>
        <w:tc>
          <w:tcPr>
            <w:tcW w:w="4675" w:type="dxa"/>
            <w:vAlign w:val="bottom"/>
          </w:tcPr>
          <w:p w14:paraId="4F7BF962" w14:textId="77777777" w:rsidR="00C2195E" w:rsidRPr="0094415D" w:rsidRDefault="00C2195E" w:rsidP="001515D5">
            <w:r w:rsidRPr="0094415D">
              <w:t>57.4%</w:t>
            </w:r>
          </w:p>
        </w:tc>
      </w:tr>
      <w:tr w:rsidR="00C2195E" w14:paraId="7461C585" w14:textId="77777777" w:rsidTr="001515D5">
        <w:tc>
          <w:tcPr>
            <w:tcW w:w="4675" w:type="dxa"/>
            <w:vAlign w:val="bottom"/>
          </w:tcPr>
          <w:p w14:paraId="4046EABB" w14:textId="77777777" w:rsidR="00C2195E" w:rsidRPr="0094415D" w:rsidRDefault="00C2195E" w:rsidP="001515D5">
            <w:r w:rsidRPr="00122D44">
              <w:t>Marion</w:t>
            </w:r>
          </w:p>
        </w:tc>
        <w:tc>
          <w:tcPr>
            <w:tcW w:w="4675" w:type="dxa"/>
            <w:vAlign w:val="bottom"/>
          </w:tcPr>
          <w:p w14:paraId="7BA7EDFC" w14:textId="77777777" w:rsidR="00C2195E" w:rsidRPr="0094415D" w:rsidRDefault="00C2195E" w:rsidP="001515D5">
            <w:r w:rsidRPr="0094415D">
              <w:t>53.2%</w:t>
            </w:r>
          </w:p>
        </w:tc>
      </w:tr>
      <w:tr w:rsidR="00C2195E" w14:paraId="72ACB640" w14:textId="77777777" w:rsidTr="001515D5">
        <w:tc>
          <w:tcPr>
            <w:tcW w:w="4675" w:type="dxa"/>
            <w:vAlign w:val="bottom"/>
          </w:tcPr>
          <w:p w14:paraId="65E36B96" w14:textId="77777777" w:rsidR="00C2195E" w:rsidRPr="0094415D" w:rsidRDefault="00C2195E" w:rsidP="001515D5">
            <w:r w:rsidRPr="00122D44">
              <w:t>Marlboro</w:t>
            </w:r>
          </w:p>
        </w:tc>
        <w:tc>
          <w:tcPr>
            <w:tcW w:w="4675" w:type="dxa"/>
            <w:vAlign w:val="bottom"/>
          </w:tcPr>
          <w:p w14:paraId="60A34576" w14:textId="77777777" w:rsidR="00C2195E" w:rsidRPr="0094415D" w:rsidRDefault="00C2195E" w:rsidP="001515D5">
            <w:r w:rsidRPr="0094415D">
              <w:t>53.7%</w:t>
            </w:r>
          </w:p>
        </w:tc>
      </w:tr>
      <w:tr w:rsidR="00C2195E" w14:paraId="0066E144" w14:textId="77777777" w:rsidTr="001515D5">
        <w:tc>
          <w:tcPr>
            <w:tcW w:w="4675" w:type="dxa"/>
            <w:vAlign w:val="bottom"/>
          </w:tcPr>
          <w:p w14:paraId="66D8B527" w14:textId="77777777" w:rsidR="00C2195E" w:rsidRPr="0094415D" w:rsidRDefault="00C2195E" w:rsidP="001515D5">
            <w:r w:rsidRPr="00122D44">
              <w:t>Newberry</w:t>
            </w:r>
          </w:p>
        </w:tc>
        <w:tc>
          <w:tcPr>
            <w:tcW w:w="4675" w:type="dxa"/>
            <w:vAlign w:val="bottom"/>
          </w:tcPr>
          <w:p w14:paraId="22AA7568" w14:textId="77777777" w:rsidR="00C2195E" w:rsidRPr="0094415D" w:rsidRDefault="00C2195E" w:rsidP="001515D5">
            <w:r w:rsidRPr="0094415D">
              <w:t>38.1%</w:t>
            </w:r>
          </w:p>
        </w:tc>
      </w:tr>
      <w:tr w:rsidR="00C2195E" w14:paraId="671CFB82" w14:textId="77777777" w:rsidTr="001515D5">
        <w:tc>
          <w:tcPr>
            <w:tcW w:w="4675" w:type="dxa"/>
            <w:vAlign w:val="bottom"/>
          </w:tcPr>
          <w:p w14:paraId="05DC8FF3" w14:textId="77777777" w:rsidR="00C2195E" w:rsidRPr="0094415D" w:rsidRDefault="00C2195E" w:rsidP="001515D5">
            <w:r w:rsidRPr="00122D44">
              <w:lastRenderedPageBreak/>
              <w:t>Oconee</w:t>
            </w:r>
          </w:p>
        </w:tc>
        <w:tc>
          <w:tcPr>
            <w:tcW w:w="4675" w:type="dxa"/>
            <w:vAlign w:val="bottom"/>
          </w:tcPr>
          <w:p w14:paraId="798B1120" w14:textId="77777777" w:rsidR="00C2195E" w:rsidRPr="0094415D" w:rsidRDefault="00C2195E" w:rsidP="001515D5">
            <w:r w:rsidRPr="0094415D">
              <w:t>39.6%</w:t>
            </w:r>
          </w:p>
        </w:tc>
      </w:tr>
      <w:tr w:rsidR="00C2195E" w14:paraId="713B7E54" w14:textId="77777777" w:rsidTr="001515D5">
        <w:tc>
          <w:tcPr>
            <w:tcW w:w="4675" w:type="dxa"/>
            <w:vAlign w:val="bottom"/>
          </w:tcPr>
          <w:p w14:paraId="5DE9A016" w14:textId="77777777" w:rsidR="00C2195E" w:rsidRPr="0094415D" w:rsidRDefault="00C2195E" w:rsidP="001515D5">
            <w:r w:rsidRPr="00122D44">
              <w:t>Orangeburg</w:t>
            </w:r>
          </w:p>
        </w:tc>
        <w:tc>
          <w:tcPr>
            <w:tcW w:w="4675" w:type="dxa"/>
            <w:vAlign w:val="bottom"/>
          </w:tcPr>
          <w:p w14:paraId="66AF617A" w14:textId="77777777" w:rsidR="00C2195E" w:rsidRPr="0094415D" w:rsidRDefault="00C2195E" w:rsidP="001515D5">
            <w:r w:rsidRPr="0094415D">
              <w:t>42.4%</w:t>
            </w:r>
          </w:p>
        </w:tc>
      </w:tr>
      <w:tr w:rsidR="00C2195E" w14:paraId="257B73C1" w14:textId="77777777" w:rsidTr="001515D5">
        <w:tc>
          <w:tcPr>
            <w:tcW w:w="4675" w:type="dxa"/>
            <w:vAlign w:val="bottom"/>
          </w:tcPr>
          <w:p w14:paraId="126A43C5" w14:textId="77777777" w:rsidR="00C2195E" w:rsidRPr="0094415D" w:rsidRDefault="00C2195E" w:rsidP="001515D5">
            <w:r w:rsidRPr="00122D44">
              <w:t>Pickens</w:t>
            </w:r>
          </w:p>
        </w:tc>
        <w:tc>
          <w:tcPr>
            <w:tcW w:w="4675" w:type="dxa"/>
            <w:vAlign w:val="bottom"/>
          </w:tcPr>
          <w:p w14:paraId="11B69B96" w14:textId="77777777" w:rsidR="00C2195E" w:rsidRPr="0094415D" w:rsidRDefault="00C2195E" w:rsidP="001515D5">
            <w:r w:rsidRPr="0094415D">
              <w:t>37.1%</w:t>
            </w:r>
          </w:p>
        </w:tc>
      </w:tr>
      <w:tr w:rsidR="00C2195E" w14:paraId="15F5E382" w14:textId="77777777" w:rsidTr="001515D5">
        <w:tc>
          <w:tcPr>
            <w:tcW w:w="4675" w:type="dxa"/>
            <w:vAlign w:val="bottom"/>
          </w:tcPr>
          <w:p w14:paraId="0C1477AD" w14:textId="77777777" w:rsidR="00C2195E" w:rsidRPr="0094415D" w:rsidRDefault="00C2195E" w:rsidP="001515D5">
            <w:r w:rsidRPr="00122D44">
              <w:t>Richland</w:t>
            </w:r>
          </w:p>
        </w:tc>
        <w:tc>
          <w:tcPr>
            <w:tcW w:w="4675" w:type="dxa"/>
            <w:vAlign w:val="bottom"/>
          </w:tcPr>
          <w:p w14:paraId="083FE30B" w14:textId="77777777" w:rsidR="00C2195E" w:rsidRPr="0094415D" w:rsidRDefault="00C2195E" w:rsidP="001515D5">
            <w:r w:rsidRPr="0094415D">
              <w:t>32.6%</w:t>
            </w:r>
          </w:p>
        </w:tc>
      </w:tr>
      <w:tr w:rsidR="00C2195E" w14:paraId="144B6978" w14:textId="77777777" w:rsidTr="001515D5">
        <w:tc>
          <w:tcPr>
            <w:tcW w:w="4675" w:type="dxa"/>
            <w:vAlign w:val="bottom"/>
          </w:tcPr>
          <w:p w14:paraId="1525A2C8" w14:textId="77777777" w:rsidR="00C2195E" w:rsidRPr="0094415D" w:rsidRDefault="00C2195E" w:rsidP="001515D5">
            <w:r w:rsidRPr="00122D44">
              <w:t>Saluda</w:t>
            </w:r>
          </w:p>
        </w:tc>
        <w:tc>
          <w:tcPr>
            <w:tcW w:w="4675" w:type="dxa"/>
            <w:vAlign w:val="bottom"/>
          </w:tcPr>
          <w:p w14:paraId="5FE2A11B" w14:textId="77777777" w:rsidR="00C2195E" w:rsidRPr="0094415D" w:rsidRDefault="00C2195E" w:rsidP="001515D5">
            <w:r w:rsidRPr="0094415D">
              <w:t>46.6%</w:t>
            </w:r>
          </w:p>
        </w:tc>
      </w:tr>
      <w:tr w:rsidR="00C2195E" w14:paraId="63AA5B4B" w14:textId="77777777" w:rsidTr="001515D5">
        <w:tc>
          <w:tcPr>
            <w:tcW w:w="4675" w:type="dxa"/>
            <w:vAlign w:val="bottom"/>
          </w:tcPr>
          <w:p w14:paraId="2C19E036" w14:textId="77777777" w:rsidR="00C2195E" w:rsidRPr="0094415D" w:rsidRDefault="00C2195E" w:rsidP="001515D5">
            <w:r w:rsidRPr="00122D44">
              <w:t>Spartanburg</w:t>
            </w:r>
          </w:p>
        </w:tc>
        <w:tc>
          <w:tcPr>
            <w:tcW w:w="4675" w:type="dxa"/>
            <w:vAlign w:val="bottom"/>
          </w:tcPr>
          <w:p w14:paraId="77BB3342" w14:textId="77777777" w:rsidR="00C2195E" w:rsidRPr="0094415D" w:rsidRDefault="00C2195E" w:rsidP="001515D5">
            <w:r w:rsidRPr="0094415D">
              <w:t>37.0%</w:t>
            </w:r>
          </w:p>
        </w:tc>
      </w:tr>
      <w:tr w:rsidR="00C2195E" w14:paraId="1E3B4268" w14:textId="77777777" w:rsidTr="001515D5">
        <w:tc>
          <w:tcPr>
            <w:tcW w:w="4675" w:type="dxa"/>
            <w:vAlign w:val="bottom"/>
          </w:tcPr>
          <w:p w14:paraId="197D30E1" w14:textId="77777777" w:rsidR="00C2195E" w:rsidRPr="0094415D" w:rsidRDefault="00C2195E" w:rsidP="001515D5">
            <w:r w:rsidRPr="00122D44">
              <w:t>Sumter</w:t>
            </w:r>
          </w:p>
        </w:tc>
        <w:tc>
          <w:tcPr>
            <w:tcW w:w="4675" w:type="dxa"/>
            <w:vAlign w:val="bottom"/>
          </w:tcPr>
          <w:p w14:paraId="72C8D90A" w14:textId="77777777" w:rsidR="00C2195E" w:rsidRPr="0094415D" w:rsidRDefault="00C2195E" w:rsidP="001515D5">
            <w:r w:rsidRPr="0094415D">
              <w:t>42.0%</w:t>
            </w:r>
          </w:p>
        </w:tc>
      </w:tr>
      <w:tr w:rsidR="00C2195E" w14:paraId="7EF06BC9" w14:textId="77777777" w:rsidTr="001515D5">
        <w:tc>
          <w:tcPr>
            <w:tcW w:w="4675" w:type="dxa"/>
            <w:vAlign w:val="bottom"/>
          </w:tcPr>
          <w:p w14:paraId="626F474D" w14:textId="77777777" w:rsidR="00C2195E" w:rsidRPr="0094415D" w:rsidRDefault="00C2195E" w:rsidP="001515D5">
            <w:r w:rsidRPr="00122D44">
              <w:t>Union</w:t>
            </w:r>
          </w:p>
        </w:tc>
        <w:tc>
          <w:tcPr>
            <w:tcW w:w="4675" w:type="dxa"/>
            <w:vAlign w:val="bottom"/>
          </w:tcPr>
          <w:p w14:paraId="620F45AA" w14:textId="77777777" w:rsidR="00C2195E" w:rsidRPr="0094415D" w:rsidRDefault="00C2195E" w:rsidP="001515D5">
            <w:r w:rsidRPr="0094415D">
              <w:t>51.2%</w:t>
            </w:r>
          </w:p>
        </w:tc>
      </w:tr>
      <w:tr w:rsidR="00C2195E" w14:paraId="722FCE0D" w14:textId="77777777" w:rsidTr="001515D5">
        <w:tc>
          <w:tcPr>
            <w:tcW w:w="4675" w:type="dxa"/>
            <w:vAlign w:val="bottom"/>
          </w:tcPr>
          <w:p w14:paraId="686406D6" w14:textId="77777777" w:rsidR="00C2195E" w:rsidRPr="0094415D" w:rsidRDefault="00C2195E" w:rsidP="001515D5">
            <w:r w:rsidRPr="00122D44">
              <w:t>Williamsburg</w:t>
            </w:r>
          </w:p>
        </w:tc>
        <w:tc>
          <w:tcPr>
            <w:tcW w:w="4675" w:type="dxa"/>
            <w:vAlign w:val="bottom"/>
          </w:tcPr>
          <w:p w14:paraId="60673381" w14:textId="77777777" w:rsidR="00C2195E" w:rsidRPr="0094415D" w:rsidRDefault="00C2195E" w:rsidP="001515D5">
            <w:r w:rsidRPr="0094415D">
              <w:t>53.0%</w:t>
            </w:r>
          </w:p>
        </w:tc>
      </w:tr>
      <w:tr w:rsidR="00C2195E" w14:paraId="3A5119E3" w14:textId="77777777" w:rsidTr="001515D5">
        <w:tc>
          <w:tcPr>
            <w:tcW w:w="4675" w:type="dxa"/>
            <w:vAlign w:val="bottom"/>
          </w:tcPr>
          <w:p w14:paraId="2F00C208" w14:textId="77777777" w:rsidR="00C2195E" w:rsidRPr="0094415D" w:rsidRDefault="00C2195E" w:rsidP="001515D5">
            <w:r w:rsidRPr="00122D44">
              <w:t>York</w:t>
            </w:r>
          </w:p>
        </w:tc>
        <w:tc>
          <w:tcPr>
            <w:tcW w:w="4675" w:type="dxa"/>
            <w:vAlign w:val="bottom"/>
          </w:tcPr>
          <w:p w14:paraId="4B2089BE" w14:textId="77777777" w:rsidR="00C2195E" w:rsidRPr="0094415D" w:rsidRDefault="00C2195E" w:rsidP="001515D5">
            <w:r w:rsidRPr="0094415D">
              <w:t>37.2%</w:t>
            </w:r>
          </w:p>
        </w:tc>
      </w:tr>
    </w:tbl>
    <w:p w14:paraId="545AE777" w14:textId="77777777" w:rsidR="00C2195E" w:rsidRPr="0094415D" w:rsidRDefault="00C2195E" w:rsidP="00C2195E">
      <w:r w:rsidRPr="0094415D">
        <w:t xml:space="preserve">Source: SC BRFSS, 2016-2019, 2021. </w:t>
      </w:r>
    </w:p>
    <w:p w14:paraId="3E6E9D71" w14:textId="77777777" w:rsidR="00C2195E" w:rsidRDefault="00C2195E" w:rsidP="00C2195E">
      <w:r w:rsidRPr="0094415D">
        <w:t>Notes: Adults 18+, * suppressed regional estimates.</w:t>
      </w:r>
    </w:p>
    <w:p w14:paraId="7EC5AFF6" w14:textId="77777777" w:rsidR="00C2195E" w:rsidRDefault="00C2195E" w:rsidP="00AE0C75">
      <w:pPr>
        <w:tabs>
          <w:tab w:val="left" w:pos="908"/>
        </w:tabs>
        <w:rPr>
          <w:rStyle w:val="Heading4Char"/>
        </w:rPr>
      </w:pPr>
    </w:p>
    <w:p w14:paraId="37F72261" w14:textId="4F40A9FA" w:rsidR="00AE0C75" w:rsidRDefault="00AE0C75" w:rsidP="00AE0C75">
      <w:pPr>
        <w:tabs>
          <w:tab w:val="left" w:pos="908"/>
        </w:tabs>
        <w:rPr>
          <w:b/>
          <w:bCs/>
        </w:rPr>
      </w:pPr>
      <w:bookmarkStart w:id="709" w:name="_Toc162267478"/>
      <w:r w:rsidRPr="00AE0C75">
        <w:rPr>
          <w:rStyle w:val="Heading4Char"/>
        </w:rPr>
        <w:t>Data Interpretations:</w:t>
      </w:r>
      <w:bookmarkEnd w:id="709"/>
      <w:r w:rsidRPr="00AE0C75">
        <w:rPr>
          <w:b/>
          <w:bCs/>
        </w:rPr>
        <w:t xml:space="preserve"> </w:t>
      </w:r>
    </w:p>
    <w:p w14:paraId="2ADA1108" w14:textId="0CABDAD7" w:rsidR="00AE0C75" w:rsidRPr="00AE0C75" w:rsidRDefault="00AE0C75" w:rsidP="00AE0C75">
      <w:pPr>
        <w:tabs>
          <w:tab w:val="left" w:pos="908"/>
        </w:tabs>
      </w:pPr>
      <w:r w:rsidRPr="00AE0C75">
        <w:t>In 2021, one-third (33.7%) of adults in SC and in the US had high blood pressure (</w:t>
      </w:r>
      <w:r w:rsidRPr="00AE0C75">
        <w:rPr>
          <w:b/>
          <w:bCs/>
        </w:rPr>
        <w:t>Figure 9.9</w:t>
      </w:r>
      <w:r w:rsidRPr="00AE0C75">
        <w:t>). The prevalence of high blood pressure among adults in SC has decreased from 35.6% in 2013 to 33.7% in 2021 and remains lower than the Healthy People 2030 target of 42.6%.</w:t>
      </w:r>
    </w:p>
    <w:p w14:paraId="54725CDB" w14:textId="77777777" w:rsidR="00AE0C75" w:rsidRDefault="00AE0C75" w:rsidP="00AE0C75">
      <w:pPr>
        <w:tabs>
          <w:tab w:val="left" w:pos="908"/>
        </w:tabs>
      </w:pPr>
    </w:p>
    <w:p w14:paraId="0ACC1DCD" w14:textId="0C708A32" w:rsidR="00AE0C75" w:rsidRPr="00AE0C75" w:rsidRDefault="00AE0C75" w:rsidP="00AE0C75">
      <w:pPr>
        <w:tabs>
          <w:tab w:val="left" w:pos="908"/>
        </w:tabs>
      </w:pPr>
      <w:r w:rsidRPr="00AE0C75">
        <w:t xml:space="preserve">In 2021, the prevalence of hypertension increased with age. The prevalence of hypertension was higher in non-Hispanic Black adults (44.5%) than in non-Hispanic White adults (30.9%) and Hispanic adults (24.0%). More adult males (34.8%) reported high blood pressure than females (32.6%), and the prevalence of high blood pressure was higher in those with an annual household income of less than $15,000 (40.5%), than in those with an annual household income of $50,000 and greater (31.3%). </w:t>
      </w:r>
    </w:p>
    <w:p w14:paraId="447740DD" w14:textId="77777777" w:rsidR="00AE0C75" w:rsidRDefault="00AE0C75" w:rsidP="00AE0C75">
      <w:pPr>
        <w:tabs>
          <w:tab w:val="left" w:pos="908"/>
        </w:tabs>
      </w:pPr>
    </w:p>
    <w:p w14:paraId="43B6DF75" w14:textId="78B93750" w:rsidR="00AE0C75" w:rsidRDefault="00353117" w:rsidP="00AE0C75">
      <w:pPr>
        <w:tabs>
          <w:tab w:val="left" w:pos="908"/>
        </w:tabs>
      </w:pPr>
      <w:r w:rsidRPr="00353117">
        <w:t>Thirty-three counties had a prevalence of high blood pressure higher than the state average at 38.6% and McCormick County had the highest prevalence (57.4%) (</w:t>
      </w:r>
      <w:r w:rsidRPr="00353117">
        <w:rPr>
          <w:b/>
          <w:bCs/>
        </w:rPr>
        <w:t>Figure 9.10</w:t>
      </w:r>
      <w:r w:rsidRPr="00353117">
        <w:t>).</w:t>
      </w:r>
    </w:p>
    <w:p w14:paraId="77BD3E74" w14:textId="77777777" w:rsidR="00353117" w:rsidRDefault="00353117" w:rsidP="00AE0C75">
      <w:pPr>
        <w:tabs>
          <w:tab w:val="left" w:pos="908"/>
        </w:tabs>
      </w:pPr>
    </w:p>
    <w:p w14:paraId="4556BFC8" w14:textId="69371B78" w:rsidR="00AE0C75" w:rsidRDefault="00AE0C75" w:rsidP="00AE0C75">
      <w:pPr>
        <w:pStyle w:val="Heading5"/>
      </w:pPr>
      <w:r>
        <w:t xml:space="preserve">Key Takeaways: </w:t>
      </w:r>
    </w:p>
    <w:p w14:paraId="3B2C7A57" w14:textId="77777777" w:rsidR="00AE0C75" w:rsidRPr="00AE0C75" w:rsidRDefault="00AE0C75" w:rsidP="00926EB3">
      <w:pPr>
        <w:pStyle w:val="ListParagraph"/>
        <w:numPr>
          <w:ilvl w:val="0"/>
          <w:numId w:val="228"/>
        </w:numPr>
        <w:tabs>
          <w:tab w:val="left" w:pos="908"/>
        </w:tabs>
      </w:pPr>
      <w:r w:rsidRPr="00AE0C75">
        <w:t xml:space="preserve">In 2021, one-third of adults in SC had high blood pressure. </w:t>
      </w:r>
    </w:p>
    <w:p w14:paraId="7EFBA49D" w14:textId="77777777" w:rsidR="00AE0C75" w:rsidRDefault="00AE0C75" w:rsidP="00AE0C75">
      <w:pPr>
        <w:tabs>
          <w:tab w:val="left" w:pos="908"/>
        </w:tabs>
      </w:pPr>
    </w:p>
    <w:p w14:paraId="4662DE4C" w14:textId="60EF7CA8" w:rsidR="00AE0C75" w:rsidRPr="00CF1BB1" w:rsidRDefault="00AE0C75" w:rsidP="00AE0C75">
      <w:pPr>
        <w:pStyle w:val="Heading4"/>
        <w:rPr>
          <w:rFonts w:asciiTheme="minorHAnsi" w:hAnsiTheme="minorHAnsi" w:cstheme="minorHAnsi"/>
          <w:color w:val="000000" w:themeColor="text1"/>
        </w:rPr>
      </w:pPr>
      <w:bookmarkStart w:id="710" w:name="_Toc162267479"/>
      <w:r w:rsidRPr="00CF1BB1">
        <w:rPr>
          <w:rFonts w:asciiTheme="minorHAnsi" w:hAnsiTheme="minorHAnsi" w:cstheme="minorHAnsi"/>
          <w:color w:val="000000" w:themeColor="text1"/>
        </w:rPr>
        <w:t xml:space="preserve">References </w:t>
      </w:r>
      <w:r>
        <w:rPr>
          <w:rFonts w:asciiTheme="minorHAnsi" w:hAnsiTheme="minorHAnsi" w:cstheme="minorHAnsi"/>
          <w:color w:val="000000" w:themeColor="text1"/>
        </w:rPr>
        <w:t>9.5</w:t>
      </w:r>
      <w:bookmarkEnd w:id="710"/>
      <w:r>
        <w:rPr>
          <w:rFonts w:asciiTheme="minorHAnsi" w:hAnsiTheme="minorHAnsi" w:cstheme="minorHAnsi"/>
          <w:color w:val="000000" w:themeColor="text1"/>
        </w:rPr>
        <w:t xml:space="preserve"> </w:t>
      </w:r>
    </w:p>
    <w:p w14:paraId="1FBFBD60" w14:textId="77777777" w:rsidR="00F75FA5" w:rsidRDefault="00AE0C75" w:rsidP="00AE0C75">
      <w:r w:rsidRPr="00CF1BB1">
        <w:t>Statistics in the preceding section were referenced from the following report</w:t>
      </w:r>
      <w:r>
        <w:t>s</w:t>
      </w:r>
      <w:r w:rsidRPr="00CF1BB1">
        <w:t>:</w:t>
      </w:r>
    </w:p>
    <w:p w14:paraId="48544672" w14:textId="0D74DD39" w:rsidR="00F75FA5" w:rsidRPr="00F75FA5" w:rsidRDefault="00000000" w:rsidP="00926EB3">
      <w:pPr>
        <w:pStyle w:val="ListParagraph"/>
        <w:numPr>
          <w:ilvl w:val="0"/>
          <w:numId w:val="192"/>
        </w:numPr>
      </w:pPr>
      <w:hyperlink r:id="rId305" w:history="1">
        <w:r w:rsidR="00F75FA5" w:rsidRPr="00F75FA5">
          <w:rPr>
            <w:rStyle w:val="Hyperlink"/>
          </w:rPr>
          <w:t>“Facts about hypertension” by Centers for Disease Control and Prevention, 2022. Retrieved December 13, 2022.</w:t>
        </w:r>
      </w:hyperlink>
      <w:r w:rsidR="00F75FA5" w:rsidRPr="00F75FA5">
        <w:t xml:space="preserve"> </w:t>
      </w:r>
    </w:p>
    <w:p w14:paraId="33475C42" w14:textId="3487025C" w:rsidR="00F75FA5" w:rsidRPr="00F75FA5" w:rsidRDefault="00000000" w:rsidP="00926EB3">
      <w:pPr>
        <w:pStyle w:val="ListParagraph"/>
        <w:numPr>
          <w:ilvl w:val="0"/>
          <w:numId w:val="192"/>
        </w:numPr>
        <w:rPr>
          <w:u w:val="thick"/>
        </w:rPr>
      </w:pPr>
      <w:hyperlink r:id="rId306" w:anchor=":~:text=Why%20is%20it%20important%20to,and%20stroke%2C%20among%20other%20things" w:history="1">
        <w:r w:rsidR="00F75FA5" w:rsidRPr="00F75FA5">
          <w:rPr>
            <w:rStyle w:val="Hyperlink"/>
          </w:rPr>
          <w:t>“High blood pressure–understanding the silent killer” by Center for Drug Evaluation and Research. Published by the U.S. Food and Drug Administration via fda.gov. Retrieved December 13, 2022.</w:t>
        </w:r>
      </w:hyperlink>
      <w:r w:rsidR="00F75FA5" w:rsidRPr="00F75FA5">
        <w:t xml:space="preserve"> </w:t>
      </w:r>
    </w:p>
    <w:p w14:paraId="53AB2013" w14:textId="2F98B07A" w:rsidR="00F75FA5" w:rsidRPr="00F75FA5" w:rsidRDefault="00000000" w:rsidP="00926EB3">
      <w:pPr>
        <w:pStyle w:val="ListParagraph"/>
        <w:numPr>
          <w:ilvl w:val="0"/>
          <w:numId w:val="192"/>
        </w:numPr>
      </w:pPr>
      <w:hyperlink r:id="rId307" w:history="1">
        <w:r w:rsidR="00F75FA5" w:rsidRPr="00F75FA5">
          <w:rPr>
            <w:rStyle w:val="Hyperlink"/>
          </w:rPr>
          <w:t>“Know your risk factors for high blood pressure” by the American Heart Association via www.heart.org, 2022. Retrieved December 13, 2022.</w:t>
        </w:r>
      </w:hyperlink>
      <w:r w:rsidR="00F75FA5" w:rsidRPr="00F75FA5">
        <w:t xml:space="preserve"> </w:t>
      </w:r>
    </w:p>
    <w:p w14:paraId="66FA5968" w14:textId="5373D461" w:rsidR="00F75FA5" w:rsidRPr="00F75FA5" w:rsidRDefault="00000000" w:rsidP="00926EB3">
      <w:pPr>
        <w:pStyle w:val="ListParagraph"/>
        <w:numPr>
          <w:ilvl w:val="0"/>
          <w:numId w:val="192"/>
        </w:numPr>
      </w:pPr>
      <w:hyperlink r:id="rId308" w:history="1">
        <w:r w:rsidR="00F75FA5" w:rsidRPr="00F75FA5">
          <w:rPr>
            <w:rStyle w:val="Hyperlink"/>
          </w:rPr>
          <w:t xml:space="preserve">“Trends in health care expenditures among US adults with hypertension: National Estimates, 2003-2014” by Kirkland EB; </w:t>
        </w:r>
        <w:proofErr w:type="spellStart"/>
        <w:r w:rsidR="00F75FA5" w:rsidRPr="00F75FA5">
          <w:rPr>
            <w:rStyle w:val="Hyperlink"/>
          </w:rPr>
          <w:t>Heincelman</w:t>
        </w:r>
        <w:proofErr w:type="spellEnd"/>
        <w:r w:rsidR="00F75FA5" w:rsidRPr="00F75FA5">
          <w:rPr>
            <w:rStyle w:val="Hyperlink"/>
          </w:rPr>
          <w:t xml:space="preserve"> M; </w:t>
        </w:r>
        <w:proofErr w:type="spellStart"/>
        <w:r w:rsidR="00F75FA5" w:rsidRPr="00F75FA5">
          <w:rPr>
            <w:rStyle w:val="Hyperlink"/>
          </w:rPr>
          <w:t>Bishu</w:t>
        </w:r>
        <w:proofErr w:type="spellEnd"/>
        <w:r w:rsidR="00F75FA5" w:rsidRPr="00F75FA5">
          <w:rPr>
            <w:rStyle w:val="Hyperlink"/>
          </w:rPr>
          <w:t xml:space="preserve"> KG; Schumann SO; Schreiner A; Axon RN; Mauldin PD; Moran WP. Published in the Journal of the American Heart </w:t>
        </w:r>
        <w:proofErr w:type="spellStart"/>
        <w:r w:rsidR="00F75FA5" w:rsidRPr="00F75FA5">
          <w:rPr>
            <w:rStyle w:val="Hyperlink"/>
          </w:rPr>
          <w:t>Associati</w:t>
        </w:r>
        <w:proofErr w:type="spellEnd"/>
      </w:hyperlink>
    </w:p>
    <w:p w14:paraId="79C1118E" w14:textId="543AA23F" w:rsidR="00F75FA5" w:rsidRPr="00F75FA5" w:rsidRDefault="00F75FA5" w:rsidP="00926EB3">
      <w:pPr>
        <w:pStyle w:val="ListParagraph"/>
        <w:numPr>
          <w:ilvl w:val="0"/>
          <w:numId w:val="192"/>
        </w:numPr>
      </w:pPr>
      <w:r w:rsidRPr="00F75FA5">
        <w:t>CDC, Behavioral Risk Factor Surveillance System, 2021</w:t>
      </w:r>
      <w:r>
        <w:t>. No hyperlink.</w:t>
      </w:r>
    </w:p>
    <w:p w14:paraId="64D65F86" w14:textId="77777777" w:rsidR="00F75FA5" w:rsidRDefault="00F75FA5" w:rsidP="00AE0C75"/>
    <w:p w14:paraId="31457B18" w14:textId="77777777" w:rsidR="00951CC1" w:rsidRDefault="00951CC1" w:rsidP="004503E5"/>
    <w:p w14:paraId="59FD89DD" w14:textId="77777777" w:rsidR="00AE0C75" w:rsidRPr="00AE0C75" w:rsidRDefault="00AE0C75" w:rsidP="00AE0C75">
      <w:pPr>
        <w:pStyle w:val="Heading3"/>
      </w:pPr>
      <w:bookmarkStart w:id="711" w:name="_Toc162267480"/>
      <w:r w:rsidRPr="00AE0C75">
        <w:t>Heart Disease</w:t>
      </w:r>
      <w:bookmarkEnd w:id="711"/>
    </w:p>
    <w:p w14:paraId="76F69775" w14:textId="39014B94" w:rsidR="00AE0C75" w:rsidRPr="00AE0C75" w:rsidRDefault="00AE0C75" w:rsidP="00AE0C75">
      <w:r w:rsidRPr="00AE0C75">
        <w:t>Nearly 1 in every 5 deaths in the US in 2020, accounting for 700,000 people, w</w:t>
      </w:r>
      <w:r w:rsidR="00353117">
        <w:t>as</w:t>
      </w:r>
      <w:r w:rsidRPr="00AE0C75">
        <w:t xml:space="preserve"> the result of heart disease. In 2020, heart disease was the leading cause of death in the US. Heart disease has several </w:t>
      </w:r>
      <w:proofErr w:type="gramStart"/>
      <w:r w:rsidRPr="00AE0C75">
        <w:t>types</w:t>
      </w:r>
      <w:proofErr w:type="gramEnd"/>
      <w:r w:rsidRPr="00AE0C75">
        <w:t xml:space="preserve"> but the most common type of heart disease is coronary artery disease (CAD), which affects the flow of blood to the heart. The primary risk factors for heart disease are high blood pressure, high blood cholesterol, and smoking. Other behaviors and health conditions associated with heart disease include diabetes, being overweight or obese, poor nutrition, physical inactivity, and excessive alcohol use. Having a family history of developing heart disease by age 50 or younger also increases a person’s risk of developing heart disease. The risk of developing heart disease increases with age. A person can reduce their risk of developing heart disease through lifestyle changes, including healthy eating, active living, stress management, and medication adherence.</w:t>
      </w:r>
    </w:p>
    <w:p w14:paraId="1F3C127A" w14:textId="77777777" w:rsidR="00AE0C75" w:rsidRDefault="00AE0C75" w:rsidP="00AE0C75"/>
    <w:p w14:paraId="6D1D649A" w14:textId="6DC7DA34" w:rsidR="00AE0C75" w:rsidRPr="00AE0C75" w:rsidRDefault="00AE0C75" w:rsidP="00AE0C75">
      <w:r w:rsidRPr="00AE0C75">
        <w:t xml:space="preserve">Although heart disease is the number one killer for men and women, research has shown that only about half (56%) of women </w:t>
      </w:r>
      <w:proofErr w:type="gramStart"/>
      <w:r w:rsidRPr="00AE0C75">
        <w:t>recognize  heart</w:t>
      </w:r>
      <w:proofErr w:type="gramEnd"/>
      <w:r w:rsidRPr="00AE0C75">
        <w:t xml:space="preserve"> disease as their leading cause of death. Heart disease is the leading cause of death for people of most racial and ethnic groups in the US, including non-Hispanic Black, American Indian or Alaskan Native, and non-Hispanic White populations. For Asian American, Pacific Islander, and Hispanic populations, heart disease is the </w:t>
      </w:r>
      <w:r w:rsidR="00353117">
        <w:t>seco</w:t>
      </w:r>
      <w:r w:rsidRPr="00AE0C75">
        <w:t>nd-leading cause of death behind cancer.</w:t>
      </w:r>
    </w:p>
    <w:p w14:paraId="0FE1C68C" w14:textId="77777777" w:rsidR="00AE0C75" w:rsidRDefault="00AE0C75" w:rsidP="00AE0C75"/>
    <w:p w14:paraId="20CBE37A" w14:textId="270AEC03" w:rsidR="00951CC1" w:rsidRDefault="00AE0C75" w:rsidP="00AE0C75">
      <w:r w:rsidRPr="00AE0C75">
        <w:lastRenderedPageBreak/>
        <w:t>Heart disease is described as the costliest disease among any major diagnostic group. The direct and indirect economic impact of cardiovascular disease in the US is estimated to be $378 billion. The cost of heart disease per capita in 2017 ranged from $16,055-$24,110 for Medicare beneficiaries living in SC.</w:t>
      </w:r>
    </w:p>
    <w:p w14:paraId="10314967" w14:textId="77777777" w:rsidR="00AE0C75" w:rsidRDefault="00AE0C75" w:rsidP="00AE0C75">
      <w:pPr>
        <w:pStyle w:val="Heading4"/>
        <w:rPr>
          <w:color w:val="FF0000"/>
        </w:rPr>
      </w:pPr>
    </w:p>
    <w:p w14:paraId="64E4D510" w14:textId="77777777" w:rsidR="00C2195E" w:rsidRDefault="00C2195E" w:rsidP="00C2195E">
      <w:pPr>
        <w:pStyle w:val="Heading4"/>
      </w:pPr>
      <w:bookmarkStart w:id="712" w:name="_Toc154576493"/>
      <w:bookmarkStart w:id="713" w:name="_Toc162267481"/>
      <w:r>
        <w:t>Figure 9.11: Coronary Heart Disease Deaths.</w:t>
      </w:r>
      <w:bookmarkEnd w:id="712"/>
      <w:bookmarkEnd w:id="713"/>
    </w:p>
    <w:p w14:paraId="39CEBFBF" w14:textId="77777777" w:rsidR="00C2195E" w:rsidRDefault="00C2195E" w:rsidP="00C2195E">
      <w:pPr>
        <w:pStyle w:val="Heading5"/>
      </w:pPr>
      <w:r>
        <w:t>Rate per 100,000 population.</w:t>
      </w:r>
    </w:p>
    <w:tbl>
      <w:tblPr>
        <w:tblStyle w:val="TableGrid"/>
        <w:tblW w:w="0" w:type="auto"/>
        <w:tblLook w:val="04A0" w:firstRow="1" w:lastRow="0" w:firstColumn="1" w:lastColumn="0" w:noHBand="0" w:noVBand="1"/>
      </w:tblPr>
      <w:tblGrid>
        <w:gridCol w:w="2337"/>
        <w:gridCol w:w="2337"/>
        <w:gridCol w:w="2338"/>
        <w:gridCol w:w="2338"/>
      </w:tblGrid>
      <w:tr w:rsidR="00C2195E" w14:paraId="15E9C9C9" w14:textId="77777777" w:rsidTr="001515D5">
        <w:tc>
          <w:tcPr>
            <w:tcW w:w="2337" w:type="dxa"/>
            <w:vAlign w:val="bottom"/>
          </w:tcPr>
          <w:p w14:paraId="4B9EE2AB" w14:textId="77777777" w:rsidR="00C2195E" w:rsidRDefault="00C2195E" w:rsidP="001515D5">
            <w:r>
              <w:t>Year</w:t>
            </w:r>
          </w:p>
        </w:tc>
        <w:tc>
          <w:tcPr>
            <w:tcW w:w="2337" w:type="dxa"/>
            <w:vAlign w:val="bottom"/>
          </w:tcPr>
          <w:p w14:paraId="296AA39F" w14:textId="77777777" w:rsidR="00C2195E" w:rsidRDefault="00C2195E" w:rsidP="001515D5">
            <w:r>
              <w:t>SC</w:t>
            </w:r>
          </w:p>
        </w:tc>
        <w:tc>
          <w:tcPr>
            <w:tcW w:w="2338" w:type="dxa"/>
            <w:vAlign w:val="bottom"/>
          </w:tcPr>
          <w:p w14:paraId="7B13DB02" w14:textId="77777777" w:rsidR="00C2195E" w:rsidRDefault="00C2195E" w:rsidP="001515D5">
            <w:r>
              <w:t>US</w:t>
            </w:r>
          </w:p>
        </w:tc>
        <w:tc>
          <w:tcPr>
            <w:tcW w:w="2338" w:type="dxa"/>
            <w:vAlign w:val="bottom"/>
          </w:tcPr>
          <w:p w14:paraId="43C5CA2C" w14:textId="77777777" w:rsidR="00C2195E" w:rsidRDefault="00C2195E" w:rsidP="001515D5">
            <w:r>
              <w:t>Healthy People 2030 Goal</w:t>
            </w:r>
          </w:p>
        </w:tc>
      </w:tr>
      <w:tr w:rsidR="00C2195E" w14:paraId="0546FDE3" w14:textId="77777777" w:rsidTr="001515D5">
        <w:tc>
          <w:tcPr>
            <w:tcW w:w="2337" w:type="dxa"/>
            <w:vAlign w:val="center"/>
          </w:tcPr>
          <w:p w14:paraId="44EEE8A7" w14:textId="77777777" w:rsidR="00C2195E" w:rsidRDefault="00C2195E" w:rsidP="001515D5">
            <w:r>
              <w:t>2012</w:t>
            </w:r>
          </w:p>
        </w:tc>
        <w:tc>
          <w:tcPr>
            <w:tcW w:w="2337" w:type="dxa"/>
            <w:vAlign w:val="center"/>
          </w:tcPr>
          <w:p w14:paraId="1C603732" w14:textId="77777777" w:rsidR="00C2195E" w:rsidRDefault="00C2195E" w:rsidP="001515D5">
            <w:r>
              <w:t>98.5</w:t>
            </w:r>
          </w:p>
        </w:tc>
        <w:tc>
          <w:tcPr>
            <w:tcW w:w="2338" w:type="dxa"/>
            <w:vAlign w:val="bottom"/>
          </w:tcPr>
          <w:p w14:paraId="32323B8D" w14:textId="77777777" w:rsidR="00C2195E" w:rsidRDefault="00C2195E" w:rsidP="001515D5">
            <w:r>
              <w:t>105.4</w:t>
            </w:r>
          </w:p>
        </w:tc>
        <w:tc>
          <w:tcPr>
            <w:tcW w:w="2338" w:type="dxa"/>
            <w:vAlign w:val="bottom"/>
          </w:tcPr>
          <w:p w14:paraId="4C236784" w14:textId="77777777" w:rsidR="00C2195E" w:rsidRDefault="00C2195E" w:rsidP="001515D5">
            <w:r>
              <w:t>71.1</w:t>
            </w:r>
          </w:p>
        </w:tc>
      </w:tr>
      <w:tr w:rsidR="00C2195E" w14:paraId="6303DE8E" w14:textId="77777777" w:rsidTr="001515D5">
        <w:tc>
          <w:tcPr>
            <w:tcW w:w="2337" w:type="dxa"/>
            <w:vAlign w:val="center"/>
          </w:tcPr>
          <w:p w14:paraId="0F869328" w14:textId="77777777" w:rsidR="00C2195E" w:rsidRDefault="00C2195E" w:rsidP="001515D5">
            <w:r>
              <w:t>2013</w:t>
            </w:r>
          </w:p>
        </w:tc>
        <w:tc>
          <w:tcPr>
            <w:tcW w:w="2337" w:type="dxa"/>
            <w:vAlign w:val="center"/>
          </w:tcPr>
          <w:p w14:paraId="38C82705" w14:textId="77777777" w:rsidR="00C2195E" w:rsidRDefault="00C2195E" w:rsidP="001515D5">
            <w:r>
              <w:t>98.4</w:t>
            </w:r>
          </w:p>
        </w:tc>
        <w:tc>
          <w:tcPr>
            <w:tcW w:w="2338" w:type="dxa"/>
            <w:vAlign w:val="bottom"/>
          </w:tcPr>
          <w:p w14:paraId="718DBB36" w14:textId="77777777" w:rsidR="00C2195E" w:rsidRDefault="00C2195E" w:rsidP="001515D5">
            <w:r>
              <w:t>102.6</w:t>
            </w:r>
          </w:p>
        </w:tc>
        <w:tc>
          <w:tcPr>
            <w:tcW w:w="2338" w:type="dxa"/>
            <w:vAlign w:val="bottom"/>
          </w:tcPr>
          <w:p w14:paraId="655402FF" w14:textId="77777777" w:rsidR="00C2195E" w:rsidRDefault="00C2195E" w:rsidP="001515D5">
            <w:r>
              <w:t>71.1</w:t>
            </w:r>
          </w:p>
        </w:tc>
      </w:tr>
      <w:tr w:rsidR="00C2195E" w14:paraId="348A0AE1" w14:textId="77777777" w:rsidTr="001515D5">
        <w:tc>
          <w:tcPr>
            <w:tcW w:w="2337" w:type="dxa"/>
            <w:vAlign w:val="center"/>
          </w:tcPr>
          <w:p w14:paraId="267DD956" w14:textId="77777777" w:rsidR="00C2195E" w:rsidRDefault="00C2195E" w:rsidP="001515D5">
            <w:r>
              <w:t>2014</w:t>
            </w:r>
          </w:p>
        </w:tc>
        <w:tc>
          <w:tcPr>
            <w:tcW w:w="2337" w:type="dxa"/>
            <w:vAlign w:val="center"/>
          </w:tcPr>
          <w:p w14:paraId="4507735C" w14:textId="77777777" w:rsidR="00C2195E" w:rsidRDefault="00C2195E" w:rsidP="001515D5">
            <w:r>
              <w:t>94.8</w:t>
            </w:r>
          </w:p>
        </w:tc>
        <w:tc>
          <w:tcPr>
            <w:tcW w:w="2338" w:type="dxa"/>
            <w:vAlign w:val="bottom"/>
          </w:tcPr>
          <w:p w14:paraId="49E17653" w14:textId="77777777" w:rsidR="00C2195E" w:rsidRDefault="00C2195E" w:rsidP="001515D5">
            <w:r>
              <w:t>98.8</w:t>
            </w:r>
          </w:p>
        </w:tc>
        <w:tc>
          <w:tcPr>
            <w:tcW w:w="2338" w:type="dxa"/>
            <w:vAlign w:val="bottom"/>
          </w:tcPr>
          <w:p w14:paraId="69852930" w14:textId="77777777" w:rsidR="00C2195E" w:rsidRDefault="00C2195E" w:rsidP="001515D5">
            <w:r>
              <w:t>71.1</w:t>
            </w:r>
          </w:p>
        </w:tc>
      </w:tr>
      <w:tr w:rsidR="00C2195E" w14:paraId="0A9460E5" w14:textId="77777777" w:rsidTr="001515D5">
        <w:tc>
          <w:tcPr>
            <w:tcW w:w="2337" w:type="dxa"/>
            <w:vAlign w:val="center"/>
          </w:tcPr>
          <w:p w14:paraId="2ED0178E" w14:textId="77777777" w:rsidR="00C2195E" w:rsidRDefault="00C2195E" w:rsidP="001515D5">
            <w:r>
              <w:t>2015</w:t>
            </w:r>
          </w:p>
        </w:tc>
        <w:tc>
          <w:tcPr>
            <w:tcW w:w="2337" w:type="dxa"/>
            <w:vAlign w:val="center"/>
          </w:tcPr>
          <w:p w14:paraId="002476CF" w14:textId="77777777" w:rsidR="00C2195E" w:rsidRDefault="00C2195E" w:rsidP="001515D5">
            <w:r>
              <w:t>91.2</w:t>
            </w:r>
          </w:p>
        </w:tc>
        <w:tc>
          <w:tcPr>
            <w:tcW w:w="2338" w:type="dxa"/>
            <w:vAlign w:val="bottom"/>
          </w:tcPr>
          <w:p w14:paraId="11EE9CF9" w14:textId="77777777" w:rsidR="00C2195E" w:rsidRDefault="00C2195E" w:rsidP="001515D5">
            <w:r>
              <w:t>97.2</w:t>
            </w:r>
          </w:p>
        </w:tc>
        <w:tc>
          <w:tcPr>
            <w:tcW w:w="2338" w:type="dxa"/>
            <w:vAlign w:val="bottom"/>
          </w:tcPr>
          <w:p w14:paraId="0A08B1A9" w14:textId="77777777" w:rsidR="00C2195E" w:rsidRDefault="00C2195E" w:rsidP="001515D5">
            <w:r>
              <w:t>71.1</w:t>
            </w:r>
          </w:p>
        </w:tc>
      </w:tr>
      <w:tr w:rsidR="00C2195E" w14:paraId="35D3C1CB" w14:textId="77777777" w:rsidTr="001515D5">
        <w:tc>
          <w:tcPr>
            <w:tcW w:w="2337" w:type="dxa"/>
            <w:vAlign w:val="center"/>
          </w:tcPr>
          <w:p w14:paraId="7955D536" w14:textId="77777777" w:rsidR="00C2195E" w:rsidRDefault="00C2195E" w:rsidP="001515D5">
            <w:r>
              <w:t>2016</w:t>
            </w:r>
          </w:p>
        </w:tc>
        <w:tc>
          <w:tcPr>
            <w:tcW w:w="2337" w:type="dxa"/>
            <w:vAlign w:val="center"/>
          </w:tcPr>
          <w:p w14:paraId="6CE16877" w14:textId="77777777" w:rsidR="00C2195E" w:rsidRDefault="00C2195E" w:rsidP="001515D5">
            <w:r>
              <w:t>86.4</w:t>
            </w:r>
          </w:p>
        </w:tc>
        <w:tc>
          <w:tcPr>
            <w:tcW w:w="2338" w:type="dxa"/>
            <w:vAlign w:val="bottom"/>
          </w:tcPr>
          <w:p w14:paraId="1E718635" w14:textId="77777777" w:rsidR="00C2195E" w:rsidRDefault="00C2195E" w:rsidP="001515D5">
            <w:r>
              <w:t>94.3</w:t>
            </w:r>
          </w:p>
        </w:tc>
        <w:tc>
          <w:tcPr>
            <w:tcW w:w="2338" w:type="dxa"/>
            <w:vAlign w:val="bottom"/>
          </w:tcPr>
          <w:p w14:paraId="0436652A" w14:textId="77777777" w:rsidR="00C2195E" w:rsidRDefault="00C2195E" w:rsidP="001515D5">
            <w:r>
              <w:t>71.1</w:t>
            </w:r>
          </w:p>
        </w:tc>
      </w:tr>
      <w:tr w:rsidR="00C2195E" w14:paraId="7D73925F" w14:textId="77777777" w:rsidTr="001515D5">
        <w:tc>
          <w:tcPr>
            <w:tcW w:w="2337" w:type="dxa"/>
            <w:vAlign w:val="center"/>
          </w:tcPr>
          <w:p w14:paraId="17BE51CE" w14:textId="77777777" w:rsidR="00C2195E" w:rsidRDefault="00C2195E" w:rsidP="001515D5">
            <w:r>
              <w:t>2017</w:t>
            </w:r>
          </w:p>
        </w:tc>
        <w:tc>
          <w:tcPr>
            <w:tcW w:w="2337" w:type="dxa"/>
            <w:vAlign w:val="center"/>
          </w:tcPr>
          <w:p w14:paraId="7B550321" w14:textId="77777777" w:rsidR="00C2195E" w:rsidRDefault="00C2195E" w:rsidP="001515D5">
            <w:r>
              <w:t>87.8</w:t>
            </w:r>
          </w:p>
        </w:tc>
        <w:tc>
          <w:tcPr>
            <w:tcW w:w="2338" w:type="dxa"/>
            <w:vAlign w:val="bottom"/>
          </w:tcPr>
          <w:p w14:paraId="07660B24" w14:textId="77777777" w:rsidR="00C2195E" w:rsidRDefault="00C2195E" w:rsidP="001515D5">
            <w:r>
              <w:t>92.9</w:t>
            </w:r>
          </w:p>
        </w:tc>
        <w:tc>
          <w:tcPr>
            <w:tcW w:w="2338" w:type="dxa"/>
            <w:vAlign w:val="bottom"/>
          </w:tcPr>
          <w:p w14:paraId="70C62B2F" w14:textId="77777777" w:rsidR="00C2195E" w:rsidRDefault="00C2195E" w:rsidP="001515D5">
            <w:r>
              <w:t>71.1</w:t>
            </w:r>
          </w:p>
        </w:tc>
      </w:tr>
      <w:tr w:rsidR="00C2195E" w14:paraId="019DADCA" w14:textId="77777777" w:rsidTr="001515D5">
        <w:tc>
          <w:tcPr>
            <w:tcW w:w="2337" w:type="dxa"/>
            <w:vAlign w:val="center"/>
          </w:tcPr>
          <w:p w14:paraId="55C340B8" w14:textId="77777777" w:rsidR="00C2195E" w:rsidRDefault="00C2195E" w:rsidP="001515D5">
            <w:r>
              <w:t>2018</w:t>
            </w:r>
          </w:p>
        </w:tc>
        <w:tc>
          <w:tcPr>
            <w:tcW w:w="2337" w:type="dxa"/>
            <w:vAlign w:val="center"/>
          </w:tcPr>
          <w:p w14:paraId="3E96B693" w14:textId="77777777" w:rsidR="00C2195E" w:rsidRDefault="00C2195E" w:rsidP="001515D5">
            <w:r>
              <w:t>81.8</w:t>
            </w:r>
          </w:p>
        </w:tc>
        <w:tc>
          <w:tcPr>
            <w:tcW w:w="2338" w:type="dxa"/>
            <w:vAlign w:val="bottom"/>
          </w:tcPr>
          <w:p w14:paraId="36E6F62D" w14:textId="77777777" w:rsidR="00C2195E" w:rsidRDefault="00C2195E" w:rsidP="001515D5">
            <w:r>
              <w:t>90.9</w:t>
            </w:r>
          </w:p>
        </w:tc>
        <w:tc>
          <w:tcPr>
            <w:tcW w:w="2338" w:type="dxa"/>
            <w:vAlign w:val="bottom"/>
          </w:tcPr>
          <w:p w14:paraId="557EEED8" w14:textId="77777777" w:rsidR="00C2195E" w:rsidRDefault="00C2195E" w:rsidP="001515D5">
            <w:r>
              <w:t>71.1</w:t>
            </w:r>
          </w:p>
        </w:tc>
      </w:tr>
      <w:tr w:rsidR="00C2195E" w14:paraId="5577020D" w14:textId="77777777" w:rsidTr="001515D5">
        <w:tc>
          <w:tcPr>
            <w:tcW w:w="2337" w:type="dxa"/>
            <w:vAlign w:val="center"/>
          </w:tcPr>
          <w:p w14:paraId="1920BF47" w14:textId="77777777" w:rsidR="00C2195E" w:rsidRDefault="00C2195E" w:rsidP="001515D5">
            <w:r>
              <w:t>2019</w:t>
            </w:r>
          </w:p>
        </w:tc>
        <w:tc>
          <w:tcPr>
            <w:tcW w:w="2337" w:type="dxa"/>
            <w:vAlign w:val="center"/>
          </w:tcPr>
          <w:p w14:paraId="1856D6AC" w14:textId="77777777" w:rsidR="00C2195E" w:rsidRDefault="00C2195E" w:rsidP="001515D5">
            <w:r>
              <w:t>77.1</w:t>
            </w:r>
          </w:p>
        </w:tc>
        <w:tc>
          <w:tcPr>
            <w:tcW w:w="2338" w:type="dxa"/>
            <w:vAlign w:val="bottom"/>
          </w:tcPr>
          <w:p w14:paraId="56763539" w14:textId="77777777" w:rsidR="00C2195E" w:rsidRDefault="00C2195E" w:rsidP="001515D5">
            <w:r>
              <w:t>88</w:t>
            </w:r>
          </w:p>
        </w:tc>
        <w:tc>
          <w:tcPr>
            <w:tcW w:w="2338" w:type="dxa"/>
            <w:vAlign w:val="bottom"/>
          </w:tcPr>
          <w:p w14:paraId="0FE4BEC3" w14:textId="77777777" w:rsidR="00C2195E" w:rsidRDefault="00C2195E" w:rsidP="001515D5">
            <w:r>
              <w:t>71.1</w:t>
            </w:r>
          </w:p>
        </w:tc>
      </w:tr>
      <w:tr w:rsidR="00C2195E" w14:paraId="7E5EA858" w14:textId="77777777" w:rsidTr="001515D5">
        <w:tc>
          <w:tcPr>
            <w:tcW w:w="2337" w:type="dxa"/>
            <w:vAlign w:val="center"/>
          </w:tcPr>
          <w:p w14:paraId="519683F0" w14:textId="77777777" w:rsidR="00C2195E" w:rsidRDefault="00C2195E" w:rsidP="001515D5">
            <w:r>
              <w:t>2020</w:t>
            </w:r>
          </w:p>
        </w:tc>
        <w:tc>
          <w:tcPr>
            <w:tcW w:w="2337" w:type="dxa"/>
            <w:vAlign w:val="center"/>
          </w:tcPr>
          <w:p w14:paraId="16507883" w14:textId="77777777" w:rsidR="00C2195E" w:rsidRDefault="00C2195E" w:rsidP="001515D5">
            <w:r>
              <w:t>83.2</w:t>
            </w:r>
          </w:p>
        </w:tc>
        <w:tc>
          <w:tcPr>
            <w:tcW w:w="2338" w:type="dxa"/>
            <w:vAlign w:val="bottom"/>
          </w:tcPr>
          <w:p w14:paraId="282C09C4" w14:textId="77777777" w:rsidR="00C2195E" w:rsidRDefault="00C2195E" w:rsidP="001515D5">
            <w:r>
              <w:t>91.8</w:t>
            </w:r>
          </w:p>
        </w:tc>
        <w:tc>
          <w:tcPr>
            <w:tcW w:w="2338" w:type="dxa"/>
            <w:vAlign w:val="bottom"/>
          </w:tcPr>
          <w:p w14:paraId="3C7F6551" w14:textId="77777777" w:rsidR="00C2195E" w:rsidRDefault="00C2195E" w:rsidP="001515D5">
            <w:r>
              <w:t>71.1</w:t>
            </w:r>
          </w:p>
        </w:tc>
      </w:tr>
      <w:tr w:rsidR="00C2195E" w14:paraId="44F2E48D" w14:textId="77777777" w:rsidTr="001515D5">
        <w:tc>
          <w:tcPr>
            <w:tcW w:w="2337" w:type="dxa"/>
            <w:vAlign w:val="bottom"/>
          </w:tcPr>
          <w:p w14:paraId="106D2298" w14:textId="77777777" w:rsidR="00C2195E" w:rsidRDefault="00C2195E" w:rsidP="001515D5">
            <w:r>
              <w:t>2021</w:t>
            </w:r>
          </w:p>
        </w:tc>
        <w:tc>
          <w:tcPr>
            <w:tcW w:w="2337" w:type="dxa"/>
            <w:vAlign w:val="bottom"/>
          </w:tcPr>
          <w:p w14:paraId="45D4E6FA" w14:textId="77777777" w:rsidR="00C2195E" w:rsidRDefault="00C2195E" w:rsidP="001515D5">
            <w:r>
              <w:t>89.2</w:t>
            </w:r>
          </w:p>
        </w:tc>
        <w:tc>
          <w:tcPr>
            <w:tcW w:w="2338" w:type="dxa"/>
            <w:vAlign w:val="bottom"/>
          </w:tcPr>
          <w:p w14:paraId="13ADE2C9" w14:textId="77777777" w:rsidR="00C2195E" w:rsidRDefault="00C2195E" w:rsidP="001515D5">
            <w:r>
              <w:t>92.8</w:t>
            </w:r>
          </w:p>
        </w:tc>
        <w:tc>
          <w:tcPr>
            <w:tcW w:w="2338" w:type="dxa"/>
            <w:vAlign w:val="bottom"/>
          </w:tcPr>
          <w:p w14:paraId="10E1E3F5" w14:textId="77777777" w:rsidR="00C2195E" w:rsidRDefault="00C2195E" w:rsidP="001515D5">
            <w:r>
              <w:t>71.1</w:t>
            </w:r>
          </w:p>
        </w:tc>
      </w:tr>
    </w:tbl>
    <w:p w14:paraId="3536D80E" w14:textId="77777777" w:rsidR="00C2195E" w:rsidRPr="0094415D" w:rsidRDefault="00C2195E" w:rsidP="00C2195E">
      <w:r w:rsidRPr="0094415D">
        <w:t xml:space="preserve">Sources: SC DHEC Vital Statistics, CDC NCHS. </w:t>
      </w:r>
    </w:p>
    <w:p w14:paraId="140B5AF8" w14:textId="77777777" w:rsidR="00C2195E" w:rsidRDefault="00C2195E" w:rsidP="00C2195E">
      <w:r w:rsidRPr="0094415D">
        <w:t>Notes: Age-adjusted, population for year 2021 based on single-race estimates and for years prior based on bridge-race estimates</w:t>
      </w:r>
      <w:r>
        <w:t>.</w:t>
      </w:r>
    </w:p>
    <w:p w14:paraId="282FA39E" w14:textId="77777777" w:rsidR="00C2195E" w:rsidRPr="0094415D" w:rsidRDefault="00C2195E" w:rsidP="00C2195E"/>
    <w:p w14:paraId="12AD9352" w14:textId="77777777" w:rsidR="00C2195E" w:rsidRDefault="00C2195E" w:rsidP="00C2195E">
      <w:pPr>
        <w:pStyle w:val="Heading4"/>
      </w:pPr>
      <w:bookmarkStart w:id="714" w:name="_Toc154576494"/>
      <w:bookmarkStart w:id="715" w:name="_Toc162267482"/>
      <w:r>
        <w:t>Figure 9.12: Coronary Heart Disease Deaths, by Race/Ethnicity.</w:t>
      </w:r>
      <w:bookmarkEnd w:id="714"/>
      <w:bookmarkEnd w:id="715"/>
    </w:p>
    <w:p w14:paraId="27F95F3F" w14:textId="77777777" w:rsidR="00C2195E" w:rsidRDefault="00C2195E" w:rsidP="00C2195E">
      <w:pPr>
        <w:pStyle w:val="Heading5"/>
      </w:pPr>
      <w:r>
        <w:t>Rate per 100,000 population.</w:t>
      </w:r>
    </w:p>
    <w:tbl>
      <w:tblPr>
        <w:tblStyle w:val="TableGrid"/>
        <w:tblW w:w="0" w:type="auto"/>
        <w:tblLook w:val="04A0" w:firstRow="1" w:lastRow="0" w:firstColumn="1" w:lastColumn="0" w:noHBand="0" w:noVBand="1"/>
      </w:tblPr>
      <w:tblGrid>
        <w:gridCol w:w="4675"/>
        <w:gridCol w:w="4675"/>
      </w:tblGrid>
      <w:tr w:rsidR="00C2195E" w14:paraId="6B745357" w14:textId="77777777" w:rsidTr="001515D5">
        <w:tc>
          <w:tcPr>
            <w:tcW w:w="4675" w:type="dxa"/>
          </w:tcPr>
          <w:p w14:paraId="24C7BF0B" w14:textId="77777777" w:rsidR="00C2195E" w:rsidRDefault="00C2195E" w:rsidP="001515D5">
            <w:r>
              <w:t>Race/Ethnicity</w:t>
            </w:r>
          </w:p>
        </w:tc>
        <w:tc>
          <w:tcPr>
            <w:tcW w:w="4675" w:type="dxa"/>
          </w:tcPr>
          <w:p w14:paraId="1DF8C398" w14:textId="77777777" w:rsidR="00C2195E" w:rsidRDefault="00C2195E" w:rsidP="001515D5">
            <w:r>
              <w:t>Rate</w:t>
            </w:r>
          </w:p>
        </w:tc>
      </w:tr>
      <w:tr w:rsidR="00C2195E" w14:paraId="458AC88A" w14:textId="77777777" w:rsidTr="001515D5">
        <w:tc>
          <w:tcPr>
            <w:tcW w:w="4675" w:type="dxa"/>
            <w:vAlign w:val="bottom"/>
          </w:tcPr>
          <w:p w14:paraId="68AE287D" w14:textId="77777777" w:rsidR="00C2195E" w:rsidRPr="0094415D" w:rsidRDefault="00C2195E" w:rsidP="001515D5">
            <w:r w:rsidRPr="0094415D">
              <w:t>Non-Hispanic White</w:t>
            </w:r>
          </w:p>
        </w:tc>
        <w:tc>
          <w:tcPr>
            <w:tcW w:w="4675" w:type="dxa"/>
            <w:vAlign w:val="bottom"/>
          </w:tcPr>
          <w:p w14:paraId="7C543539" w14:textId="77777777" w:rsidR="00C2195E" w:rsidRPr="0094415D" w:rsidRDefault="00C2195E" w:rsidP="001515D5">
            <w:r w:rsidRPr="0094415D">
              <w:t>88.2</w:t>
            </w:r>
          </w:p>
        </w:tc>
      </w:tr>
      <w:tr w:rsidR="00C2195E" w14:paraId="09D22608" w14:textId="77777777" w:rsidTr="001515D5">
        <w:tc>
          <w:tcPr>
            <w:tcW w:w="4675" w:type="dxa"/>
            <w:vAlign w:val="bottom"/>
          </w:tcPr>
          <w:p w14:paraId="783C2122" w14:textId="77777777" w:rsidR="00C2195E" w:rsidRPr="0094415D" w:rsidRDefault="00C2195E" w:rsidP="001515D5">
            <w:r w:rsidRPr="0094415D">
              <w:t>Non-Hispanic Black</w:t>
            </w:r>
          </w:p>
        </w:tc>
        <w:tc>
          <w:tcPr>
            <w:tcW w:w="4675" w:type="dxa"/>
            <w:vAlign w:val="bottom"/>
          </w:tcPr>
          <w:p w14:paraId="35D00EBD" w14:textId="77777777" w:rsidR="00C2195E" w:rsidRPr="0094415D" w:rsidRDefault="00C2195E" w:rsidP="001515D5">
            <w:r w:rsidRPr="0094415D">
              <w:t>102.6</w:t>
            </w:r>
          </w:p>
        </w:tc>
      </w:tr>
      <w:tr w:rsidR="00C2195E" w14:paraId="35757B0D" w14:textId="77777777" w:rsidTr="001515D5">
        <w:tc>
          <w:tcPr>
            <w:tcW w:w="4675" w:type="dxa"/>
            <w:vAlign w:val="bottom"/>
          </w:tcPr>
          <w:p w14:paraId="5E09AB50" w14:textId="77777777" w:rsidR="00C2195E" w:rsidRPr="0094415D" w:rsidRDefault="00C2195E" w:rsidP="001515D5">
            <w:r w:rsidRPr="0094415D">
              <w:t>Non-Hispanic Other</w:t>
            </w:r>
          </w:p>
        </w:tc>
        <w:tc>
          <w:tcPr>
            <w:tcW w:w="4675" w:type="dxa"/>
            <w:vAlign w:val="bottom"/>
          </w:tcPr>
          <w:p w14:paraId="33FE14EC" w14:textId="77777777" w:rsidR="00C2195E" w:rsidRPr="0094415D" w:rsidRDefault="00C2195E" w:rsidP="001515D5">
            <w:r w:rsidRPr="0094415D">
              <w:t>32.0</w:t>
            </w:r>
          </w:p>
        </w:tc>
      </w:tr>
      <w:tr w:rsidR="00C2195E" w14:paraId="51164C0D" w14:textId="77777777" w:rsidTr="001515D5">
        <w:tc>
          <w:tcPr>
            <w:tcW w:w="4675" w:type="dxa"/>
            <w:vAlign w:val="bottom"/>
          </w:tcPr>
          <w:p w14:paraId="76FE68FA" w14:textId="77777777" w:rsidR="00C2195E" w:rsidRPr="0094415D" w:rsidRDefault="00C2195E" w:rsidP="001515D5">
            <w:r w:rsidRPr="0094415D">
              <w:t>Hispanic</w:t>
            </w:r>
          </w:p>
        </w:tc>
        <w:tc>
          <w:tcPr>
            <w:tcW w:w="4675" w:type="dxa"/>
            <w:vAlign w:val="bottom"/>
          </w:tcPr>
          <w:p w14:paraId="190E350F" w14:textId="77777777" w:rsidR="00C2195E" w:rsidRPr="0094415D" w:rsidRDefault="00C2195E" w:rsidP="001515D5">
            <w:r w:rsidRPr="0094415D">
              <w:t>48.4</w:t>
            </w:r>
          </w:p>
        </w:tc>
      </w:tr>
    </w:tbl>
    <w:p w14:paraId="5F707320" w14:textId="77777777" w:rsidR="00C2195E" w:rsidRPr="0094415D" w:rsidRDefault="00C2195E" w:rsidP="00C2195E">
      <w:r w:rsidRPr="0094415D">
        <w:t xml:space="preserve">Sources: SC DHEC Vital Statistics, 2021. </w:t>
      </w:r>
    </w:p>
    <w:p w14:paraId="77FD7BBF" w14:textId="77777777" w:rsidR="00C2195E" w:rsidRPr="00120084" w:rsidRDefault="00C2195E" w:rsidP="00C2195E">
      <w:r w:rsidRPr="0094415D">
        <w:t>Notes: Age-adjusted. Population for year 2021 based on single-race estimates.</w:t>
      </w:r>
    </w:p>
    <w:p w14:paraId="2726B791" w14:textId="77777777" w:rsidR="00AE0C75" w:rsidRDefault="00AE0C75" w:rsidP="00AE0C75">
      <w:pPr>
        <w:rPr>
          <w:b/>
          <w:bCs/>
        </w:rPr>
      </w:pPr>
    </w:p>
    <w:p w14:paraId="73995317" w14:textId="77777777" w:rsidR="00AE0C75" w:rsidRDefault="00AE0C75" w:rsidP="00AE0C75">
      <w:pPr>
        <w:pStyle w:val="Heading4"/>
      </w:pPr>
      <w:bookmarkStart w:id="716" w:name="_Toc162267483"/>
      <w:r w:rsidRPr="00AE0C75">
        <w:t>Data Interpretations:</w:t>
      </w:r>
      <w:bookmarkEnd w:id="716"/>
      <w:r w:rsidRPr="00AE0C75">
        <w:t xml:space="preserve"> </w:t>
      </w:r>
    </w:p>
    <w:p w14:paraId="102CD66D" w14:textId="135D0BC5" w:rsidR="00AE0C75" w:rsidRPr="00AE0C75" w:rsidRDefault="00AE0C75" w:rsidP="00AE0C75">
      <w:r w:rsidRPr="00AE0C75">
        <w:t xml:space="preserve">Heart disease is the leading cause of death for all ages in SC and was the 3rd-leading cause of death among adults ages 18-64 years in 2021. There were 5,859 </w:t>
      </w:r>
      <w:r w:rsidRPr="00AE0C75">
        <w:lastRenderedPageBreak/>
        <w:t>deaths among all ages in SC from coronary heart disease in 2021, which is the most common form of heart disease. From 2012 to 2021, there was a decrease in the death rate of coronary heart disease in SC from 98.5 deaths per 100,000 population in 2012 to 89.2 deaths per 100,000 population in 2021 (</w:t>
      </w:r>
      <w:r w:rsidRPr="00AE0C75">
        <w:rPr>
          <w:b/>
          <w:bCs/>
        </w:rPr>
        <w:t>Figure 9.11</w:t>
      </w:r>
      <w:r w:rsidRPr="00AE0C75">
        <w:t>). SC had a lower death rate compared to the US and has not met the Healthy People 2030 goal of 71.1 coronary heart disease deaths per 100,000 population. Male residents (124.7 deaths per 100,000 population) had a two-times higher death rate than female residents (60.6 deaths per 100,000 population). Non-Hispanic Blacks experienced a higher death rate than all other racial ethnic groups (</w:t>
      </w:r>
      <w:r w:rsidRPr="00AE0C75">
        <w:rPr>
          <w:b/>
          <w:bCs/>
        </w:rPr>
        <w:t>Figure 9.12</w:t>
      </w:r>
      <w:r w:rsidRPr="00AE0C75">
        <w:t>). Lee County (159.6 deaths per 100,000) had the highest coronary heart disease death rate while Beaufort County (46.1 deaths per 100,000) had the lowest in 2021.</w:t>
      </w:r>
    </w:p>
    <w:p w14:paraId="364600A6" w14:textId="77777777" w:rsidR="00951CC1" w:rsidRPr="00AE0C75" w:rsidRDefault="00951CC1" w:rsidP="004503E5"/>
    <w:p w14:paraId="7D39B401" w14:textId="5BC2F782" w:rsidR="00AE0C75" w:rsidRDefault="00AE0C75" w:rsidP="00AE0C75">
      <w:pPr>
        <w:pStyle w:val="Heading5"/>
      </w:pPr>
      <w:r>
        <w:t>Key Takeaways:</w:t>
      </w:r>
    </w:p>
    <w:p w14:paraId="0AC0CC7C" w14:textId="22C0F1C0" w:rsidR="00AE0C75" w:rsidRPr="00AE0C75" w:rsidRDefault="00AE0C75" w:rsidP="00926EB3">
      <w:pPr>
        <w:pStyle w:val="ListParagraph"/>
        <w:numPr>
          <w:ilvl w:val="0"/>
          <w:numId w:val="228"/>
        </w:numPr>
      </w:pPr>
      <w:r w:rsidRPr="00AE0C75">
        <w:t>Male South Carolinians are twice as likely to die from coronary heart disease compared to female residents.</w:t>
      </w:r>
    </w:p>
    <w:p w14:paraId="1B86056D" w14:textId="77777777" w:rsidR="00AE0C75" w:rsidRDefault="00AE0C75" w:rsidP="004503E5">
      <w:pPr>
        <w:rPr>
          <w:i/>
          <w:iCs/>
        </w:rPr>
      </w:pPr>
    </w:p>
    <w:p w14:paraId="236332F3" w14:textId="4BD6FC3D" w:rsidR="00AE0C75" w:rsidRPr="00AE0C75" w:rsidRDefault="00AE0C75" w:rsidP="00AE0C75">
      <w:pPr>
        <w:pStyle w:val="Heading4"/>
        <w:rPr>
          <w:rFonts w:asciiTheme="minorHAnsi" w:hAnsiTheme="minorHAnsi" w:cstheme="minorHAnsi"/>
          <w:color w:val="000000" w:themeColor="text1"/>
        </w:rPr>
      </w:pPr>
      <w:bookmarkStart w:id="717" w:name="_Toc162267484"/>
      <w:r w:rsidRPr="00AE0C75">
        <w:rPr>
          <w:rFonts w:asciiTheme="minorHAnsi" w:hAnsiTheme="minorHAnsi" w:cstheme="minorHAnsi"/>
          <w:color w:val="000000" w:themeColor="text1"/>
        </w:rPr>
        <w:t>References 9.6</w:t>
      </w:r>
      <w:bookmarkEnd w:id="717"/>
      <w:r w:rsidRPr="00AE0C75">
        <w:rPr>
          <w:rFonts w:asciiTheme="minorHAnsi" w:hAnsiTheme="minorHAnsi" w:cstheme="minorHAnsi"/>
          <w:color w:val="000000" w:themeColor="text1"/>
        </w:rPr>
        <w:t xml:space="preserve"> </w:t>
      </w:r>
    </w:p>
    <w:p w14:paraId="0772C39E" w14:textId="77777777" w:rsidR="00F75FA5" w:rsidRDefault="00AE0C75" w:rsidP="00F75FA5">
      <w:r w:rsidRPr="00AE0C75">
        <w:t>Statistics in the preceding section were referenced from the following reports:</w:t>
      </w:r>
    </w:p>
    <w:p w14:paraId="2179435A" w14:textId="2649B923" w:rsidR="00F75FA5" w:rsidRDefault="00F75FA5" w:rsidP="00926EB3">
      <w:pPr>
        <w:pStyle w:val="ListParagraph"/>
        <w:numPr>
          <w:ilvl w:val="0"/>
          <w:numId w:val="12"/>
        </w:numPr>
      </w:pPr>
      <w:r w:rsidRPr="00F75FA5">
        <w:t>“CDC: More obesity in U.S. rural counties than in urban counties” by Centers for Disease Control and Prevention, 2018.</w:t>
      </w:r>
    </w:p>
    <w:p w14:paraId="45B289DF" w14:textId="4948982F" w:rsidR="00F75FA5" w:rsidRPr="00F75FA5" w:rsidRDefault="00000000" w:rsidP="00926EB3">
      <w:pPr>
        <w:pStyle w:val="ListParagraph"/>
        <w:numPr>
          <w:ilvl w:val="0"/>
          <w:numId w:val="192"/>
        </w:numPr>
      </w:pPr>
      <w:hyperlink r:id="rId309" w:history="1">
        <w:r w:rsidR="00F75FA5" w:rsidRPr="00F75FA5">
          <w:rPr>
            <w:rStyle w:val="Hyperlink"/>
          </w:rPr>
          <w:t>“About Multiple Cause of Death, 1999–2020” by the Centers for Disease Control and Prevention, National Center for Health Statistics via CDC WONDER Online Database, 2022. Retrieved February 21, 2022.</w:t>
        </w:r>
      </w:hyperlink>
    </w:p>
    <w:p w14:paraId="6D600846" w14:textId="312AD465" w:rsidR="00F75FA5" w:rsidRPr="00F75FA5" w:rsidRDefault="00000000" w:rsidP="00926EB3">
      <w:pPr>
        <w:pStyle w:val="ListParagraph"/>
        <w:numPr>
          <w:ilvl w:val="0"/>
          <w:numId w:val="192"/>
        </w:numPr>
      </w:pPr>
      <w:hyperlink r:id="rId310" w:history="1">
        <w:r w:rsidR="00F75FA5" w:rsidRPr="00F75FA5">
          <w:rPr>
            <w:rStyle w:val="Hyperlink"/>
          </w:rPr>
          <w:t xml:space="preserve">“Heart Disease and Stroke Statistics—2022 Update: A Report From the American Heart Association” by Tsao CW, </w:t>
        </w:r>
        <w:proofErr w:type="spellStart"/>
        <w:r w:rsidR="00F75FA5" w:rsidRPr="00F75FA5">
          <w:rPr>
            <w:rStyle w:val="Hyperlink"/>
          </w:rPr>
          <w:t>Aday</w:t>
        </w:r>
        <w:proofErr w:type="spellEnd"/>
        <w:r w:rsidR="00F75FA5" w:rsidRPr="00F75FA5">
          <w:rPr>
            <w:rStyle w:val="Hyperlink"/>
          </w:rPr>
          <w:t xml:space="preserve"> AW, </w:t>
        </w:r>
        <w:proofErr w:type="spellStart"/>
        <w:r w:rsidR="00F75FA5" w:rsidRPr="00F75FA5">
          <w:rPr>
            <w:rStyle w:val="Hyperlink"/>
          </w:rPr>
          <w:t>Almarzooq</w:t>
        </w:r>
        <w:proofErr w:type="spellEnd"/>
        <w:r w:rsidR="00F75FA5" w:rsidRPr="00F75FA5">
          <w:rPr>
            <w:rStyle w:val="Hyperlink"/>
          </w:rPr>
          <w:t xml:space="preserve"> ZI, Beaton AZ, </w:t>
        </w:r>
        <w:proofErr w:type="spellStart"/>
        <w:r w:rsidR="00F75FA5" w:rsidRPr="00F75FA5">
          <w:rPr>
            <w:rStyle w:val="Hyperlink"/>
          </w:rPr>
          <w:t>Bittencourt</w:t>
        </w:r>
        <w:proofErr w:type="spellEnd"/>
        <w:r w:rsidR="00F75FA5" w:rsidRPr="00F75FA5">
          <w:rPr>
            <w:rStyle w:val="Hyperlink"/>
          </w:rPr>
          <w:t xml:space="preserve"> MS, Boehme AK, et al. Published in Circulation, 2022.</w:t>
        </w:r>
      </w:hyperlink>
    </w:p>
    <w:p w14:paraId="182A6496" w14:textId="622BE423" w:rsidR="00F75FA5" w:rsidRPr="00F75FA5" w:rsidRDefault="00000000" w:rsidP="00926EB3">
      <w:pPr>
        <w:pStyle w:val="ListParagraph"/>
        <w:numPr>
          <w:ilvl w:val="0"/>
          <w:numId w:val="192"/>
        </w:numPr>
        <w:rPr>
          <w:u w:val="thick"/>
        </w:rPr>
      </w:pPr>
      <w:hyperlink r:id="rId311" w:history="1">
        <w:r w:rsidR="00F75FA5" w:rsidRPr="00F75FA5">
          <w:rPr>
            <w:rStyle w:val="Hyperlink"/>
          </w:rPr>
          <w:t>“</w:t>
        </w:r>
        <w:r w:rsidR="00F75FA5" w:rsidRPr="00F75FA5">
          <w:rPr>
            <w:rStyle w:val="Hyperlink"/>
            <w:i/>
            <w:iCs/>
          </w:rPr>
          <w:t>About heart disease”</w:t>
        </w:r>
        <w:r w:rsidR="00F75FA5" w:rsidRPr="00F75FA5">
          <w:rPr>
            <w:rStyle w:val="Hyperlink"/>
          </w:rPr>
          <w:t xml:space="preserve"> by Centers for Disease Control and Prevention, 2022. Retrieved December 13, 2022.</w:t>
        </w:r>
      </w:hyperlink>
    </w:p>
    <w:p w14:paraId="2D618B69" w14:textId="6E40FB1B" w:rsidR="00F75FA5" w:rsidRPr="00F75FA5" w:rsidRDefault="00000000" w:rsidP="00926EB3">
      <w:pPr>
        <w:pStyle w:val="ListParagraph"/>
        <w:numPr>
          <w:ilvl w:val="0"/>
          <w:numId w:val="192"/>
        </w:numPr>
        <w:rPr>
          <w:u w:val="thick"/>
        </w:rPr>
      </w:pPr>
      <w:hyperlink r:id="rId312" w:history="1">
        <w:r w:rsidR="00F75FA5" w:rsidRPr="00F75FA5">
          <w:rPr>
            <w:rStyle w:val="Hyperlink"/>
            <w:i/>
            <w:iCs/>
          </w:rPr>
          <w:t>Know your risk for heart disease” by</w:t>
        </w:r>
        <w:r w:rsidR="00F75FA5" w:rsidRPr="00F75FA5">
          <w:rPr>
            <w:rStyle w:val="Hyperlink"/>
          </w:rPr>
          <w:t xml:space="preserve"> Centers for Disease Control and Prevention, 2019. Retrieved December 13, 2022.</w:t>
        </w:r>
      </w:hyperlink>
    </w:p>
    <w:p w14:paraId="122E0879" w14:textId="49C036A3" w:rsidR="00F75FA5" w:rsidRPr="00F75FA5" w:rsidRDefault="00000000" w:rsidP="00926EB3">
      <w:pPr>
        <w:pStyle w:val="ListParagraph"/>
        <w:numPr>
          <w:ilvl w:val="0"/>
          <w:numId w:val="192"/>
        </w:numPr>
        <w:rPr>
          <w:u w:val="thick"/>
        </w:rPr>
      </w:pPr>
      <w:hyperlink r:id="rId313" w:history="1">
        <w:r w:rsidR="00F75FA5" w:rsidRPr="00F75FA5">
          <w:rPr>
            <w:rStyle w:val="Hyperlink"/>
          </w:rPr>
          <w:t>“</w:t>
        </w:r>
        <w:r w:rsidR="00F75FA5" w:rsidRPr="00F75FA5">
          <w:rPr>
            <w:rStyle w:val="Hyperlink"/>
            <w:i/>
            <w:iCs/>
          </w:rPr>
          <w:t>Women and heart disease”</w:t>
        </w:r>
        <w:r w:rsidR="00F75FA5" w:rsidRPr="00F75FA5">
          <w:rPr>
            <w:rStyle w:val="Hyperlink"/>
          </w:rPr>
          <w:t xml:space="preserve"> by Centers for Disease Control and Prevention via cdc.gov, 2022. Retrieved December 13, 2022.</w:t>
        </w:r>
      </w:hyperlink>
      <w:r w:rsidR="00F75FA5" w:rsidRPr="00F75FA5">
        <w:t xml:space="preserve"> </w:t>
      </w:r>
    </w:p>
    <w:p w14:paraId="0B07CED2" w14:textId="0331C8F4" w:rsidR="00F75FA5" w:rsidRPr="00F75FA5" w:rsidRDefault="00000000" w:rsidP="00926EB3">
      <w:pPr>
        <w:pStyle w:val="ListParagraph"/>
        <w:numPr>
          <w:ilvl w:val="0"/>
          <w:numId w:val="192"/>
        </w:numPr>
      </w:pPr>
      <w:hyperlink r:id="rId314" w:history="1">
        <w:r w:rsidR="00F75FA5" w:rsidRPr="00F75FA5">
          <w:rPr>
            <w:rStyle w:val="Hyperlink"/>
          </w:rPr>
          <w:t>“Medical Expenditure Panel Survey (MEPS): household component summary tables: medical conditions, United States” by the Agency for Health care Research and Quality. Retrieved April 8, 2021.</w:t>
        </w:r>
      </w:hyperlink>
      <w:r w:rsidR="00F75FA5" w:rsidRPr="00F75FA5">
        <w:t xml:space="preserve"> </w:t>
      </w:r>
    </w:p>
    <w:p w14:paraId="4595FEFE" w14:textId="3DCB52F1" w:rsidR="00F75FA5" w:rsidRPr="00F75FA5" w:rsidRDefault="00000000" w:rsidP="00926EB3">
      <w:pPr>
        <w:pStyle w:val="ListParagraph"/>
        <w:numPr>
          <w:ilvl w:val="0"/>
          <w:numId w:val="192"/>
        </w:numPr>
        <w:rPr>
          <w:u w:val="thick"/>
        </w:rPr>
      </w:pPr>
      <w:hyperlink r:id="rId315" w:history="1">
        <w:r w:rsidR="00BF5FF4" w:rsidRPr="00BF5FF4">
          <w:rPr>
            <w:rStyle w:val="Hyperlink"/>
          </w:rPr>
          <w:t>“</w:t>
        </w:r>
        <w:r w:rsidR="00F75FA5" w:rsidRPr="00BF5FF4">
          <w:rPr>
            <w:rStyle w:val="Hyperlink"/>
            <w:i/>
            <w:iCs/>
          </w:rPr>
          <w:t>Interactive atlas of heart disease and stroke</w:t>
        </w:r>
        <w:r w:rsidR="00BF5FF4" w:rsidRPr="00BF5FF4">
          <w:rPr>
            <w:rStyle w:val="Hyperlink"/>
            <w:i/>
            <w:iCs/>
          </w:rPr>
          <w:t>”</w:t>
        </w:r>
        <w:r w:rsidR="00F75FA5" w:rsidRPr="00BF5FF4">
          <w:rPr>
            <w:rStyle w:val="Hyperlink"/>
          </w:rPr>
          <w:t xml:space="preserve"> </w:t>
        </w:r>
        <w:r w:rsidR="00BF5FF4" w:rsidRPr="00BF5FF4">
          <w:rPr>
            <w:rStyle w:val="Hyperlink"/>
          </w:rPr>
          <w:t xml:space="preserve">by </w:t>
        </w:r>
        <w:r w:rsidR="00F75FA5" w:rsidRPr="00BF5FF4">
          <w:rPr>
            <w:rStyle w:val="Hyperlink"/>
          </w:rPr>
          <w:t>Centers for Disease Control and Prevention</w:t>
        </w:r>
        <w:r w:rsidR="00BF5FF4" w:rsidRPr="00BF5FF4">
          <w:rPr>
            <w:rStyle w:val="Hyperlink"/>
          </w:rPr>
          <w:t xml:space="preserve"> via </w:t>
        </w:r>
        <w:r w:rsidR="00BF5FF4">
          <w:rPr>
            <w:rStyle w:val="Hyperlink"/>
          </w:rPr>
          <w:t>nccd.</w:t>
        </w:r>
        <w:r w:rsidR="00BF5FF4" w:rsidRPr="00BF5FF4">
          <w:rPr>
            <w:rStyle w:val="Hyperlink"/>
          </w:rPr>
          <w:t>cdc.gov</w:t>
        </w:r>
        <w:r w:rsidR="00F75FA5" w:rsidRPr="00BF5FF4">
          <w:rPr>
            <w:rStyle w:val="Hyperlink"/>
          </w:rPr>
          <w:t>. Retrieved December 13, 2022</w:t>
        </w:r>
        <w:r w:rsidR="00BF5FF4" w:rsidRPr="00BF5FF4">
          <w:rPr>
            <w:rStyle w:val="Hyperlink"/>
          </w:rPr>
          <w:t>.</w:t>
        </w:r>
      </w:hyperlink>
      <w:r w:rsidR="00F75FA5" w:rsidRPr="00F75FA5">
        <w:t xml:space="preserve"> </w:t>
      </w:r>
    </w:p>
    <w:p w14:paraId="266432A9" w14:textId="30000252" w:rsidR="00F75FA5" w:rsidRPr="00BF5FF4" w:rsidRDefault="00000000" w:rsidP="00926EB3">
      <w:pPr>
        <w:pStyle w:val="ListParagraph"/>
        <w:numPr>
          <w:ilvl w:val="0"/>
          <w:numId w:val="192"/>
        </w:numPr>
      </w:pPr>
      <w:hyperlink r:id="rId316" w:history="1">
        <w:r w:rsidR="00BF5FF4" w:rsidRPr="00BF5FF4">
          <w:rPr>
            <w:rStyle w:val="Hyperlink"/>
          </w:rPr>
          <w:t>“</w:t>
        </w:r>
        <w:r w:rsidR="00F75FA5" w:rsidRPr="00BF5FF4">
          <w:rPr>
            <w:rStyle w:val="Hyperlink"/>
          </w:rPr>
          <w:t>Health, United States, 2017. Table 19: Leading Causes of Death and Numbers of Deaths, by Sex, Race, and Hispanic Origin: United States, 1980 and 2016</w:t>
        </w:r>
        <w:r w:rsidR="00BF5FF4" w:rsidRPr="00BF5FF4">
          <w:rPr>
            <w:rStyle w:val="Hyperlink"/>
          </w:rPr>
          <w:t>” by National Center for Health Statistics.</w:t>
        </w:r>
      </w:hyperlink>
    </w:p>
    <w:p w14:paraId="47EB27D0" w14:textId="77777777" w:rsidR="00AE0C75" w:rsidRPr="00AE0C75" w:rsidRDefault="00AE0C75" w:rsidP="004503E5"/>
    <w:p w14:paraId="2D1EDE61" w14:textId="77777777" w:rsidR="00AE0C75" w:rsidRPr="00AE0C75" w:rsidRDefault="00AE0C75" w:rsidP="00AE0C75">
      <w:pPr>
        <w:pStyle w:val="Heading3"/>
      </w:pPr>
      <w:bookmarkStart w:id="718" w:name="_Toc162267485"/>
      <w:r w:rsidRPr="00AE0C75">
        <w:t>Prediabetes</w:t>
      </w:r>
      <w:bookmarkEnd w:id="718"/>
    </w:p>
    <w:p w14:paraId="20777AB5" w14:textId="497AFEFF" w:rsidR="00AE0C75" w:rsidRPr="00AE0C75" w:rsidRDefault="00AE0C75" w:rsidP="00AE0C75">
      <w:r w:rsidRPr="00AE0C75">
        <w:t xml:space="preserve">SC faces a mounting health challenge with prediabetes, as it is estimated more than 1 million people in SC are affected. The CDC defines prediabetes as a serious condition where one’s blood sugar levels are higher than normal but not high enough to be diagnosed as type 2 diabetes. Prediabetes, when left untreated, increases the risk for developing other chronic diseases, including stroke, heart disease, and type 2 diabetes. With increasing rates of prediabetes, there have also been increasing costs of care. In 2012, $710 million was spent on prediabetes care, but costs increased to $740 million in 2015 in the US. The greater challenge regarding prediabetes care, is the lack of awareness about prediabetes and the seriousness of the condition from both the provider and patient’s perspectives. </w:t>
      </w:r>
    </w:p>
    <w:p w14:paraId="08168CBB" w14:textId="77777777" w:rsidR="00AE0C75" w:rsidRDefault="00AE0C75" w:rsidP="00AE0C75"/>
    <w:p w14:paraId="22AB3378" w14:textId="11BEBC86" w:rsidR="00AE0C75" w:rsidRPr="00AE0C75" w:rsidRDefault="00AE0C75" w:rsidP="00AE0C75">
      <w:r w:rsidRPr="00AE0C75">
        <w:t xml:space="preserve">There are several risk factors that can increase someone’s chance of developing prediabetes. For adults, risk factors include being 45 years or older, being overweight or obese, having a sedentary lifestyle, having high blood pressure, having a family history of type 2 diabetes, and having a diagnosis of gestational diabetes or a baby weighing more than 9 pounds during pregnancy. </w:t>
      </w:r>
    </w:p>
    <w:p w14:paraId="1CE24189" w14:textId="55C644E3" w:rsidR="00AE0C75" w:rsidRPr="00AE0C75" w:rsidRDefault="00AE0C75" w:rsidP="00AE0C75">
      <w:r w:rsidRPr="00AE0C75">
        <w:t xml:space="preserve">American Indians, non-Hispanic Blacks, Hispanics, Pacific </w:t>
      </w:r>
      <w:proofErr w:type="gramStart"/>
      <w:r w:rsidRPr="00AE0C75">
        <w:t>Islanders</w:t>
      </w:r>
      <w:proofErr w:type="gramEnd"/>
      <w:r w:rsidRPr="00AE0C75">
        <w:t xml:space="preserve"> and some Asian Americans are at higher risk of developing prediabetes than other racial and ethnic groups. There are also programs that can assist with prediabetes and diabetes prevention in SC, such as the National Diabetes Prevention Program. </w:t>
      </w:r>
    </w:p>
    <w:p w14:paraId="23FEF698" w14:textId="77777777" w:rsidR="00AE0C75" w:rsidRDefault="00AE0C75" w:rsidP="004503E5"/>
    <w:p w14:paraId="69B8CBD2" w14:textId="77777777" w:rsidR="00C2195E" w:rsidRDefault="00C2195E" w:rsidP="00C2195E">
      <w:pPr>
        <w:pStyle w:val="Heading4"/>
      </w:pPr>
      <w:bookmarkStart w:id="719" w:name="_Toc154576495"/>
      <w:bookmarkStart w:id="720" w:name="_Toc162267486"/>
      <w:r>
        <w:t>Figure 9.13: Adults with Prediabetes.</w:t>
      </w:r>
      <w:bookmarkEnd w:id="719"/>
      <w:bookmarkEnd w:id="720"/>
    </w:p>
    <w:tbl>
      <w:tblPr>
        <w:tblStyle w:val="TableGrid"/>
        <w:tblW w:w="0" w:type="auto"/>
        <w:tblLook w:val="04A0" w:firstRow="1" w:lastRow="0" w:firstColumn="1" w:lastColumn="0" w:noHBand="0" w:noVBand="1"/>
      </w:tblPr>
      <w:tblGrid>
        <w:gridCol w:w="4675"/>
        <w:gridCol w:w="4675"/>
      </w:tblGrid>
      <w:tr w:rsidR="00C2195E" w14:paraId="5236043D" w14:textId="77777777" w:rsidTr="001515D5">
        <w:tc>
          <w:tcPr>
            <w:tcW w:w="4675" w:type="dxa"/>
          </w:tcPr>
          <w:p w14:paraId="71703265" w14:textId="77777777" w:rsidR="00C2195E" w:rsidRDefault="00C2195E" w:rsidP="001515D5">
            <w:r>
              <w:t>Year</w:t>
            </w:r>
          </w:p>
        </w:tc>
        <w:tc>
          <w:tcPr>
            <w:tcW w:w="4675" w:type="dxa"/>
          </w:tcPr>
          <w:p w14:paraId="784A373C" w14:textId="77777777" w:rsidR="00C2195E" w:rsidRDefault="00C2195E" w:rsidP="001515D5">
            <w:r>
              <w:t>Percent</w:t>
            </w:r>
          </w:p>
        </w:tc>
      </w:tr>
      <w:tr w:rsidR="00C2195E" w14:paraId="33C080E8" w14:textId="77777777" w:rsidTr="001515D5">
        <w:tc>
          <w:tcPr>
            <w:tcW w:w="4675" w:type="dxa"/>
            <w:vAlign w:val="center"/>
          </w:tcPr>
          <w:p w14:paraId="7D4D7358" w14:textId="77777777" w:rsidR="00C2195E" w:rsidRDefault="00C2195E" w:rsidP="001515D5">
            <w:r>
              <w:t>2011</w:t>
            </w:r>
          </w:p>
        </w:tc>
        <w:tc>
          <w:tcPr>
            <w:tcW w:w="4675" w:type="dxa"/>
            <w:vAlign w:val="center"/>
          </w:tcPr>
          <w:p w14:paraId="1F4EF959" w14:textId="77777777" w:rsidR="00C2195E" w:rsidRDefault="00C2195E" w:rsidP="001515D5">
            <w:r>
              <w:t>6.7%</w:t>
            </w:r>
          </w:p>
        </w:tc>
      </w:tr>
      <w:tr w:rsidR="00C2195E" w14:paraId="50F73365" w14:textId="77777777" w:rsidTr="001515D5">
        <w:tc>
          <w:tcPr>
            <w:tcW w:w="4675" w:type="dxa"/>
            <w:vAlign w:val="center"/>
          </w:tcPr>
          <w:p w14:paraId="7B1E193F" w14:textId="77777777" w:rsidR="00C2195E" w:rsidRDefault="00C2195E" w:rsidP="001515D5">
            <w:r>
              <w:t>2013</w:t>
            </w:r>
          </w:p>
        </w:tc>
        <w:tc>
          <w:tcPr>
            <w:tcW w:w="4675" w:type="dxa"/>
            <w:vAlign w:val="center"/>
          </w:tcPr>
          <w:p w14:paraId="4CBB8557" w14:textId="77777777" w:rsidR="00C2195E" w:rsidRDefault="00C2195E" w:rsidP="001515D5">
            <w:r>
              <w:t>8.1%</w:t>
            </w:r>
          </w:p>
        </w:tc>
      </w:tr>
      <w:tr w:rsidR="00C2195E" w14:paraId="6FC3EEFC" w14:textId="77777777" w:rsidTr="001515D5">
        <w:tc>
          <w:tcPr>
            <w:tcW w:w="4675" w:type="dxa"/>
            <w:vAlign w:val="center"/>
          </w:tcPr>
          <w:p w14:paraId="367B8CE6" w14:textId="77777777" w:rsidR="00C2195E" w:rsidRDefault="00C2195E" w:rsidP="001515D5">
            <w:r>
              <w:t>2014</w:t>
            </w:r>
          </w:p>
        </w:tc>
        <w:tc>
          <w:tcPr>
            <w:tcW w:w="4675" w:type="dxa"/>
            <w:vAlign w:val="center"/>
          </w:tcPr>
          <w:p w14:paraId="3CD919EA" w14:textId="77777777" w:rsidR="00C2195E" w:rsidRDefault="00C2195E" w:rsidP="001515D5">
            <w:r>
              <w:t>9.4%</w:t>
            </w:r>
          </w:p>
        </w:tc>
      </w:tr>
      <w:tr w:rsidR="00C2195E" w14:paraId="4AAE2516" w14:textId="77777777" w:rsidTr="001515D5">
        <w:tc>
          <w:tcPr>
            <w:tcW w:w="4675" w:type="dxa"/>
            <w:vAlign w:val="center"/>
          </w:tcPr>
          <w:p w14:paraId="4AB4369A" w14:textId="77777777" w:rsidR="00C2195E" w:rsidRDefault="00C2195E" w:rsidP="001515D5">
            <w:r>
              <w:t>2015</w:t>
            </w:r>
          </w:p>
        </w:tc>
        <w:tc>
          <w:tcPr>
            <w:tcW w:w="4675" w:type="dxa"/>
            <w:vAlign w:val="center"/>
          </w:tcPr>
          <w:p w14:paraId="7E9F91ED" w14:textId="77777777" w:rsidR="00C2195E" w:rsidRDefault="00C2195E" w:rsidP="001515D5">
            <w:r>
              <w:t>8.8%</w:t>
            </w:r>
          </w:p>
        </w:tc>
      </w:tr>
      <w:tr w:rsidR="00C2195E" w14:paraId="06F8490F" w14:textId="77777777" w:rsidTr="001515D5">
        <w:tc>
          <w:tcPr>
            <w:tcW w:w="4675" w:type="dxa"/>
            <w:vAlign w:val="center"/>
          </w:tcPr>
          <w:p w14:paraId="15D19DBA" w14:textId="77777777" w:rsidR="00C2195E" w:rsidRDefault="00C2195E" w:rsidP="001515D5">
            <w:r>
              <w:t>2016</w:t>
            </w:r>
          </w:p>
        </w:tc>
        <w:tc>
          <w:tcPr>
            <w:tcW w:w="4675" w:type="dxa"/>
            <w:vAlign w:val="center"/>
          </w:tcPr>
          <w:p w14:paraId="259CAF28" w14:textId="77777777" w:rsidR="00C2195E" w:rsidRDefault="00C2195E" w:rsidP="001515D5">
            <w:r>
              <w:t>9.4%</w:t>
            </w:r>
          </w:p>
        </w:tc>
      </w:tr>
      <w:tr w:rsidR="00C2195E" w14:paraId="19AF0FAB" w14:textId="77777777" w:rsidTr="001515D5">
        <w:tc>
          <w:tcPr>
            <w:tcW w:w="4675" w:type="dxa"/>
            <w:vAlign w:val="center"/>
          </w:tcPr>
          <w:p w14:paraId="7E176869" w14:textId="77777777" w:rsidR="00C2195E" w:rsidRDefault="00C2195E" w:rsidP="001515D5">
            <w:r>
              <w:t>2017</w:t>
            </w:r>
          </w:p>
        </w:tc>
        <w:tc>
          <w:tcPr>
            <w:tcW w:w="4675" w:type="dxa"/>
            <w:vAlign w:val="center"/>
          </w:tcPr>
          <w:p w14:paraId="630D8B8A" w14:textId="77777777" w:rsidR="00C2195E" w:rsidRDefault="00C2195E" w:rsidP="001515D5">
            <w:r>
              <w:t>9.6%</w:t>
            </w:r>
          </w:p>
        </w:tc>
      </w:tr>
      <w:tr w:rsidR="00C2195E" w14:paraId="7DDA3E0E" w14:textId="77777777" w:rsidTr="001515D5">
        <w:tc>
          <w:tcPr>
            <w:tcW w:w="4675" w:type="dxa"/>
            <w:vAlign w:val="center"/>
          </w:tcPr>
          <w:p w14:paraId="6BF8C120" w14:textId="77777777" w:rsidR="00C2195E" w:rsidRDefault="00C2195E" w:rsidP="001515D5">
            <w:r>
              <w:t>2018</w:t>
            </w:r>
          </w:p>
        </w:tc>
        <w:tc>
          <w:tcPr>
            <w:tcW w:w="4675" w:type="dxa"/>
            <w:vAlign w:val="center"/>
          </w:tcPr>
          <w:p w14:paraId="4115D6B2" w14:textId="77777777" w:rsidR="00C2195E" w:rsidRDefault="00C2195E" w:rsidP="001515D5">
            <w:r>
              <w:t>10.9%</w:t>
            </w:r>
          </w:p>
        </w:tc>
      </w:tr>
      <w:tr w:rsidR="00C2195E" w14:paraId="37A568AF" w14:textId="77777777" w:rsidTr="001515D5">
        <w:tc>
          <w:tcPr>
            <w:tcW w:w="4675" w:type="dxa"/>
            <w:vAlign w:val="center"/>
          </w:tcPr>
          <w:p w14:paraId="388BA5A8" w14:textId="77777777" w:rsidR="00C2195E" w:rsidRDefault="00C2195E" w:rsidP="001515D5">
            <w:r>
              <w:lastRenderedPageBreak/>
              <w:t>2021</w:t>
            </w:r>
          </w:p>
        </w:tc>
        <w:tc>
          <w:tcPr>
            <w:tcW w:w="4675" w:type="dxa"/>
            <w:vAlign w:val="center"/>
          </w:tcPr>
          <w:p w14:paraId="605F008F" w14:textId="77777777" w:rsidR="00C2195E" w:rsidRDefault="00C2195E" w:rsidP="001515D5">
            <w:r>
              <w:t>10.4%</w:t>
            </w:r>
          </w:p>
        </w:tc>
      </w:tr>
    </w:tbl>
    <w:p w14:paraId="5FADC947" w14:textId="77777777" w:rsidR="00C2195E" w:rsidRPr="008D32C1" w:rsidRDefault="00C2195E" w:rsidP="00C2195E">
      <w:r w:rsidRPr="008D32C1">
        <w:t xml:space="preserve">Source: SC BRFSS, 2021. </w:t>
      </w:r>
    </w:p>
    <w:p w14:paraId="290FA27A" w14:textId="77777777" w:rsidR="00C2195E" w:rsidRDefault="00C2195E" w:rsidP="00C2195E">
      <w:r w:rsidRPr="008D32C1">
        <w:t>Note: Adults 18+.</w:t>
      </w:r>
    </w:p>
    <w:p w14:paraId="651FE9E2" w14:textId="77777777" w:rsidR="00C2195E" w:rsidRPr="00120084" w:rsidRDefault="00C2195E" w:rsidP="00C2195E"/>
    <w:p w14:paraId="57D8FB8F" w14:textId="77777777" w:rsidR="00C2195E" w:rsidRDefault="00C2195E" w:rsidP="00C2195E">
      <w:pPr>
        <w:pStyle w:val="Heading4"/>
      </w:pPr>
      <w:bookmarkStart w:id="721" w:name="_Toc154576496"/>
      <w:bookmarkStart w:id="722" w:name="_Toc162267487"/>
      <w:r>
        <w:t>Figure 9.14: Adults with Prediabetes, by Race/Ethnicity and Sex.</w:t>
      </w:r>
      <w:bookmarkEnd w:id="721"/>
      <w:bookmarkEnd w:id="722"/>
    </w:p>
    <w:tbl>
      <w:tblPr>
        <w:tblStyle w:val="TableGrid"/>
        <w:tblW w:w="0" w:type="auto"/>
        <w:tblLook w:val="04A0" w:firstRow="1" w:lastRow="0" w:firstColumn="1" w:lastColumn="0" w:noHBand="0" w:noVBand="1"/>
      </w:tblPr>
      <w:tblGrid>
        <w:gridCol w:w="4675"/>
        <w:gridCol w:w="4675"/>
      </w:tblGrid>
      <w:tr w:rsidR="00C2195E" w14:paraId="39D2AEC8" w14:textId="77777777" w:rsidTr="001515D5">
        <w:tc>
          <w:tcPr>
            <w:tcW w:w="4675" w:type="dxa"/>
          </w:tcPr>
          <w:p w14:paraId="3A37839A" w14:textId="77777777" w:rsidR="00C2195E" w:rsidRDefault="00C2195E" w:rsidP="001515D5">
            <w:r>
              <w:t>Race/Ethnicity and Sex</w:t>
            </w:r>
          </w:p>
        </w:tc>
        <w:tc>
          <w:tcPr>
            <w:tcW w:w="4675" w:type="dxa"/>
          </w:tcPr>
          <w:p w14:paraId="7EC07EF0" w14:textId="77777777" w:rsidR="00C2195E" w:rsidRDefault="00C2195E" w:rsidP="001515D5">
            <w:r>
              <w:t>Percent</w:t>
            </w:r>
          </w:p>
        </w:tc>
      </w:tr>
      <w:tr w:rsidR="00C2195E" w14:paraId="618BF703" w14:textId="77777777" w:rsidTr="001515D5">
        <w:tc>
          <w:tcPr>
            <w:tcW w:w="4675" w:type="dxa"/>
            <w:vAlign w:val="bottom"/>
          </w:tcPr>
          <w:p w14:paraId="6287F037" w14:textId="77777777" w:rsidR="00C2195E" w:rsidRDefault="00C2195E" w:rsidP="001515D5">
            <w:r>
              <w:t>Non-Hispanic White Male</w:t>
            </w:r>
          </w:p>
        </w:tc>
        <w:tc>
          <w:tcPr>
            <w:tcW w:w="4675" w:type="dxa"/>
            <w:vAlign w:val="center"/>
          </w:tcPr>
          <w:p w14:paraId="14176BB7" w14:textId="77777777" w:rsidR="00C2195E" w:rsidRDefault="00C2195E" w:rsidP="001515D5">
            <w:r>
              <w:t>10.2%</w:t>
            </w:r>
          </w:p>
        </w:tc>
      </w:tr>
      <w:tr w:rsidR="00C2195E" w14:paraId="5F6E68E4" w14:textId="77777777" w:rsidTr="001515D5">
        <w:tc>
          <w:tcPr>
            <w:tcW w:w="4675" w:type="dxa"/>
            <w:vAlign w:val="bottom"/>
          </w:tcPr>
          <w:p w14:paraId="51901C62" w14:textId="77777777" w:rsidR="00C2195E" w:rsidRDefault="00C2195E" w:rsidP="001515D5">
            <w:r>
              <w:t>Non-Hispanic White Female</w:t>
            </w:r>
          </w:p>
        </w:tc>
        <w:tc>
          <w:tcPr>
            <w:tcW w:w="4675" w:type="dxa"/>
            <w:vAlign w:val="center"/>
          </w:tcPr>
          <w:p w14:paraId="209DC3D4" w14:textId="77777777" w:rsidR="00C2195E" w:rsidRDefault="00C2195E" w:rsidP="001515D5">
            <w:r>
              <w:t>12.5%</w:t>
            </w:r>
          </w:p>
        </w:tc>
      </w:tr>
      <w:tr w:rsidR="00C2195E" w14:paraId="2C576DCD" w14:textId="77777777" w:rsidTr="001515D5">
        <w:tc>
          <w:tcPr>
            <w:tcW w:w="4675" w:type="dxa"/>
            <w:vAlign w:val="bottom"/>
          </w:tcPr>
          <w:p w14:paraId="29BADA9B" w14:textId="77777777" w:rsidR="00C2195E" w:rsidRDefault="00C2195E" w:rsidP="001515D5">
            <w:r>
              <w:t>Non-Hispanic Black Male</w:t>
            </w:r>
          </w:p>
        </w:tc>
        <w:tc>
          <w:tcPr>
            <w:tcW w:w="4675" w:type="dxa"/>
            <w:vAlign w:val="center"/>
          </w:tcPr>
          <w:p w14:paraId="006135BE" w14:textId="77777777" w:rsidR="00C2195E" w:rsidRDefault="00C2195E" w:rsidP="001515D5">
            <w:r>
              <w:t>4.5%</w:t>
            </w:r>
          </w:p>
        </w:tc>
      </w:tr>
      <w:tr w:rsidR="00C2195E" w14:paraId="51478714" w14:textId="77777777" w:rsidTr="001515D5">
        <w:tc>
          <w:tcPr>
            <w:tcW w:w="4675" w:type="dxa"/>
            <w:vAlign w:val="bottom"/>
          </w:tcPr>
          <w:p w14:paraId="311C18A8" w14:textId="77777777" w:rsidR="00C2195E" w:rsidRPr="008D32C1" w:rsidRDefault="00C2195E" w:rsidP="001515D5">
            <w:r w:rsidRPr="008D32C1">
              <w:t>Non-Hispanic Black Female</w:t>
            </w:r>
          </w:p>
        </w:tc>
        <w:tc>
          <w:tcPr>
            <w:tcW w:w="4675" w:type="dxa"/>
            <w:vAlign w:val="center"/>
          </w:tcPr>
          <w:p w14:paraId="1DEABC53" w14:textId="77777777" w:rsidR="00C2195E" w:rsidRDefault="00C2195E" w:rsidP="001515D5">
            <w:r>
              <w:t>8.4%</w:t>
            </w:r>
          </w:p>
        </w:tc>
      </w:tr>
    </w:tbl>
    <w:p w14:paraId="4015FCAE" w14:textId="77777777" w:rsidR="00C2195E" w:rsidRPr="008D32C1" w:rsidRDefault="00C2195E" w:rsidP="00C2195E">
      <w:r w:rsidRPr="008D32C1">
        <w:t xml:space="preserve">Source: SC BRFSS, 2021. </w:t>
      </w:r>
    </w:p>
    <w:p w14:paraId="268B8710" w14:textId="77777777" w:rsidR="00C2195E" w:rsidRDefault="00C2195E" w:rsidP="00C2195E">
      <w:r w:rsidRPr="008D32C1">
        <w:t>Note: Adults 18+.</w:t>
      </w:r>
    </w:p>
    <w:p w14:paraId="270F7EAD" w14:textId="77777777" w:rsidR="00AE0C75" w:rsidRDefault="00AE0C75" w:rsidP="004503E5"/>
    <w:p w14:paraId="7DCF3A2F" w14:textId="77777777" w:rsidR="00AE0C75" w:rsidRDefault="00AE0C75" w:rsidP="00AE0C75">
      <w:pPr>
        <w:pStyle w:val="Heading4"/>
      </w:pPr>
      <w:bookmarkStart w:id="723" w:name="_Toc162267488"/>
      <w:r w:rsidRPr="00AE0C75">
        <w:t>Data Interpretations:</w:t>
      </w:r>
      <w:bookmarkEnd w:id="723"/>
      <w:r w:rsidRPr="00AE0C75">
        <w:t xml:space="preserve"> </w:t>
      </w:r>
    </w:p>
    <w:p w14:paraId="25BB471B" w14:textId="0319549A" w:rsidR="00AE0C75" w:rsidRPr="00AE0C75" w:rsidRDefault="00AE0C75" w:rsidP="00AE0C75">
      <w:r w:rsidRPr="00AE0C75">
        <w:t>The prevalence of adults in SC diagnosed with prediabetes increased by 55% in the last decade, from 6.7% in 2011 to 10.4% in 2021 (</w:t>
      </w:r>
      <w:r w:rsidRPr="00AE0C75">
        <w:rPr>
          <w:b/>
          <w:bCs/>
        </w:rPr>
        <w:t>Figure 9.13</w:t>
      </w:r>
      <w:r w:rsidRPr="00AE0C75">
        <w:t>). In 2021, the prevalence of prediabetes was highest among non-Hispanic White females (12.5%) (</w:t>
      </w:r>
      <w:r w:rsidRPr="00AE0C75">
        <w:rPr>
          <w:b/>
          <w:bCs/>
        </w:rPr>
        <w:t>Figure 9.14</w:t>
      </w:r>
      <w:r w:rsidRPr="00AE0C75">
        <w:t>). Non-Hispanic White males (10.2%) had over two times higher prevalence of prediabetes than non-Hispanic Black males (4.5%). The prevalence of prediabetes increases with age and was highest in those with some college education.</w:t>
      </w:r>
    </w:p>
    <w:p w14:paraId="640F7639" w14:textId="77777777" w:rsidR="00AE0C75" w:rsidRDefault="00AE0C75" w:rsidP="004503E5"/>
    <w:p w14:paraId="32CD1B74" w14:textId="23C521A9" w:rsidR="00AE0C75" w:rsidRDefault="00AE0C75" w:rsidP="00AE0C75">
      <w:pPr>
        <w:pStyle w:val="Heading5"/>
      </w:pPr>
      <w:r>
        <w:t xml:space="preserve">Key Takeaways: </w:t>
      </w:r>
    </w:p>
    <w:p w14:paraId="1300D194" w14:textId="77777777" w:rsidR="00AE0C75" w:rsidRPr="00AE0C75" w:rsidRDefault="00AE0C75" w:rsidP="00926EB3">
      <w:pPr>
        <w:pStyle w:val="ListParagraph"/>
        <w:numPr>
          <w:ilvl w:val="0"/>
          <w:numId w:val="228"/>
        </w:numPr>
      </w:pPr>
      <w:r w:rsidRPr="00AE0C75">
        <w:t>As the awareness of prediabetes continues to increase, diagnoses among adults with prediabetes increased by 55% between 2011 and 2021.</w:t>
      </w:r>
    </w:p>
    <w:p w14:paraId="5F282417" w14:textId="77777777" w:rsidR="00AE0C75" w:rsidRDefault="00AE0C75" w:rsidP="004503E5"/>
    <w:p w14:paraId="0746F745" w14:textId="71589F45" w:rsidR="00AE0C75" w:rsidRPr="00AE0C75" w:rsidRDefault="00AE0C75" w:rsidP="00AE0C75">
      <w:pPr>
        <w:pStyle w:val="Heading4"/>
        <w:rPr>
          <w:rFonts w:asciiTheme="minorHAnsi" w:hAnsiTheme="minorHAnsi" w:cstheme="minorHAnsi"/>
          <w:color w:val="000000" w:themeColor="text1"/>
        </w:rPr>
      </w:pPr>
      <w:bookmarkStart w:id="724" w:name="_Toc162267489"/>
      <w:r w:rsidRPr="00AE0C75">
        <w:rPr>
          <w:rFonts w:asciiTheme="minorHAnsi" w:hAnsiTheme="minorHAnsi" w:cstheme="minorHAnsi"/>
          <w:color w:val="000000" w:themeColor="text1"/>
        </w:rPr>
        <w:t>References 9.7</w:t>
      </w:r>
      <w:bookmarkEnd w:id="724"/>
      <w:r w:rsidRPr="00AE0C75">
        <w:rPr>
          <w:rFonts w:asciiTheme="minorHAnsi" w:hAnsiTheme="minorHAnsi" w:cstheme="minorHAnsi"/>
          <w:color w:val="000000" w:themeColor="text1"/>
        </w:rPr>
        <w:t xml:space="preserve"> </w:t>
      </w:r>
    </w:p>
    <w:p w14:paraId="4888C192" w14:textId="77777777" w:rsidR="00AE0C75" w:rsidRPr="00AE0C75" w:rsidRDefault="00AE0C75" w:rsidP="00AE0C75">
      <w:r w:rsidRPr="00AE0C75">
        <w:t>Statistics in the preceding section were referenced from the following reports:</w:t>
      </w:r>
    </w:p>
    <w:p w14:paraId="5FD7D44D" w14:textId="6A03D2AD" w:rsidR="00BF5FF4" w:rsidRPr="00BF5FF4" w:rsidRDefault="00000000" w:rsidP="00926EB3">
      <w:pPr>
        <w:pStyle w:val="ListParagraph"/>
        <w:numPr>
          <w:ilvl w:val="0"/>
          <w:numId w:val="192"/>
        </w:numPr>
      </w:pPr>
      <w:hyperlink r:id="rId317" w:history="1">
        <w:r w:rsidR="00BF5FF4" w:rsidRPr="00BF5FF4">
          <w:rPr>
            <w:rStyle w:val="Hyperlink"/>
          </w:rPr>
          <w:t>“Prediabetes in South Carolina; Columbia, SC” by SC DHEC, 2020. Retrieved December 13, 2022.</w:t>
        </w:r>
      </w:hyperlink>
    </w:p>
    <w:p w14:paraId="75F879CB" w14:textId="7639AC90" w:rsidR="00BF5FF4" w:rsidRPr="00BF5FF4" w:rsidRDefault="00000000" w:rsidP="00926EB3">
      <w:pPr>
        <w:pStyle w:val="ListParagraph"/>
        <w:numPr>
          <w:ilvl w:val="0"/>
          <w:numId w:val="192"/>
        </w:numPr>
      </w:pPr>
      <w:hyperlink r:id="rId318" w:history="1">
        <w:r w:rsidR="00BF5FF4" w:rsidRPr="00BF5FF4">
          <w:rPr>
            <w:rStyle w:val="Hyperlink"/>
          </w:rPr>
          <w:t xml:space="preserve">“The economic burden of elevated blood glucose levels in 2017: Diagnosed and undiagnosed diabetes, gestational diabetes mellitus, and prediabetes” by Dall, T. M., Yang, W., Gillespie, K., </w:t>
        </w:r>
        <w:proofErr w:type="spellStart"/>
        <w:r w:rsidR="00BF5FF4" w:rsidRPr="00BF5FF4">
          <w:rPr>
            <w:rStyle w:val="Hyperlink"/>
          </w:rPr>
          <w:t>Mocarski</w:t>
        </w:r>
        <w:proofErr w:type="spellEnd"/>
        <w:r w:rsidR="00BF5FF4" w:rsidRPr="00BF5FF4">
          <w:rPr>
            <w:rStyle w:val="Hyperlink"/>
          </w:rPr>
          <w:t xml:space="preserve">, M., Byrne, E., </w:t>
        </w:r>
        <w:proofErr w:type="spellStart"/>
        <w:r w:rsidR="00BF5FF4" w:rsidRPr="00BF5FF4">
          <w:rPr>
            <w:rStyle w:val="Hyperlink"/>
          </w:rPr>
          <w:t>Cintina</w:t>
        </w:r>
        <w:proofErr w:type="spellEnd"/>
        <w:r w:rsidR="00BF5FF4" w:rsidRPr="00BF5FF4">
          <w:rPr>
            <w:rStyle w:val="Hyperlink"/>
          </w:rPr>
          <w:t xml:space="preserve">, I., </w:t>
        </w:r>
        <w:proofErr w:type="spellStart"/>
        <w:r w:rsidR="00BF5FF4" w:rsidRPr="00BF5FF4">
          <w:rPr>
            <w:rStyle w:val="Hyperlink"/>
          </w:rPr>
          <w:t>Beronja</w:t>
        </w:r>
        <w:proofErr w:type="spellEnd"/>
        <w:r w:rsidR="00BF5FF4" w:rsidRPr="00BF5FF4">
          <w:rPr>
            <w:rStyle w:val="Hyperlink"/>
          </w:rPr>
          <w:t xml:space="preserve">, K., </w:t>
        </w:r>
        <w:proofErr w:type="spellStart"/>
        <w:r w:rsidR="00BF5FF4" w:rsidRPr="00BF5FF4">
          <w:rPr>
            <w:rStyle w:val="Hyperlink"/>
          </w:rPr>
          <w:t>Semilla</w:t>
        </w:r>
        <w:proofErr w:type="spellEnd"/>
        <w:r w:rsidR="00BF5FF4" w:rsidRPr="00BF5FF4">
          <w:rPr>
            <w:rStyle w:val="Hyperlink"/>
          </w:rPr>
          <w:t>, A. P.,</w:t>
        </w:r>
      </w:hyperlink>
      <w:r w:rsidR="00BF5FF4" w:rsidRPr="00BF5FF4">
        <w:t xml:space="preserve"> </w:t>
      </w:r>
    </w:p>
    <w:p w14:paraId="58654932" w14:textId="37F91567" w:rsidR="00BF5FF4" w:rsidRPr="00BF5FF4" w:rsidRDefault="00000000" w:rsidP="00926EB3">
      <w:pPr>
        <w:pStyle w:val="ListParagraph"/>
        <w:numPr>
          <w:ilvl w:val="0"/>
          <w:numId w:val="192"/>
        </w:numPr>
      </w:pPr>
      <w:hyperlink r:id="rId319" w:history="1">
        <w:r w:rsidR="00BF5FF4" w:rsidRPr="00BF5FF4">
          <w:rPr>
            <w:rStyle w:val="Hyperlink"/>
          </w:rPr>
          <w:t>“Prediabetes” by BlueCross BlueShield of South Carolina via southcarolinablues.com. Retrieved December 13, 2022.</w:t>
        </w:r>
      </w:hyperlink>
      <w:r w:rsidR="00BF5FF4" w:rsidRPr="00BF5FF4">
        <w:t xml:space="preserve"> </w:t>
      </w:r>
    </w:p>
    <w:p w14:paraId="48A5FA4B" w14:textId="77777777" w:rsidR="00AE0C75" w:rsidRDefault="00AE0C75" w:rsidP="004503E5"/>
    <w:p w14:paraId="213775FE" w14:textId="77777777" w:rsidR="00AE0C75" w:rsidRPr="00AE0C75" w:rsidRDefault="00AE0C75" w:rsidP="00AE0C75">
      <w:pPr>
        <w:pStyle w:val="Heading3"/>
      </w:pPr>
      <w:bookmarkStart w:id="725" w:name="_Toc162267490"/>
      <w:r w:rsidRPr="00AE0C75">
        <w:lastRenderedPageBreak/>
        <w:t>Diabetes</w:t>
      </w:r>
      <w:bookmarkEnd w:id="725"/>
    </w:p>
    <w:p w14:paraId="047510EE" w14:textId="445B2822" w:rsidR="00AE0C75" w:rsidRPr="00AE0C75" w:rsidRDefault="00AE0C75" w:rsidP="00AE0C75">
      <w:r w:rsidRPr="00AE0C75">
        <w:t xml:space="preserve">The three most common types of diabetes are type 1, type 2, and gestational. About 90-95% of people with diabetes have type 2. Once thought of as a chronic condition for adults, type 2 diabetes is being diagnosed more and more in children, teens, and young adults, due in part to obesity. SC has one of the highest prevalence rates of diabetes in the country. At 8.4%, SC’s rate of patients with newly diagnosed type 2 diabetes is higher than the national median of 7.8%. </w:t>
      </w:r>
    </w:p>
    <w:p w14:paraId="157556BC" w14:textId="77777777" w:rsidR="00AE0C75" w:rsidRDefault="00AE0C75" w:rsidP="00AE0C75"/>
    <w:p w14:paraId="1A172E9D" w14:textId="690CF0F3" w:rsidR="00AE0C75" w:rsidRPr="00AE0C75" w:rsidRDefault="00AE0C75" w:rsidP="00AE0C75">
      <w:r w:rsidRPr="00AE0C75">
        <w:t xml:space="preserve">Nearly 70% of SC counties have high and rapidly growing rates of diabetes and are part of what is labeled the “Diabetes Belt”. </w:t>
      </w:r>
      <w:proofErr w:type="gramStart"/>
      <w:r w:rsidRPr="00AE0C75">
        <w:t>The “Diabetes Belt”,</w:t>
      </w:r>
      <w:proofErr w:type="gramEnd"/>
      <w:r w:rsidRPr="00AE0C75">
        <w:t xml:space="preserve"> is an area in the southern part of the US consisting of 15 states and approximately 644 counties. The cost of diabetes care alone in SC in 2017 was nearly $6 billion in direct and indirect medical expenses. </w:t>
      </w:r>
    </w:p>
    <w:p w14:paraId="2CD8F0D2" w14:textId="77777777" w:rsidR="00AE0C75" w:rsidRDefault="00AE0C75" w:rsidP="00AE0C75"/>
    <w:p w14:paraId="066400B3" w14:textId="2A32561E" w:rsidR="00AE0C75" w:rsidRPr="00AE0C75" w:rsidRDefault="00AE0C75" w:rsidP="00AE0C75">
      <w:r w:rsidRPr="00AE0C75">
        <w:t>There are also several comorbidities that exist for people with diabetes, including hypertension, high cholesterol, obesity or being overweight, and renal disease.</w:t>
      </w:r>
    </w:p>
    <w:p w14:paraId="7AD6C072" w14:textId="765BFB6B" w:rsidR="00AE0C75" w:rsidRDefault="00AE0C75" w:rsidP="00AE0C75">
      <w:r w:rsidRPr="00AE0C75">
        <w:t>Diabetes disparities exist within SC. The prevalence of diabetes is higher among non-Hispanic Black adults than non-Hispanic White adults. There are also programs that can help with diabetes management in SC including the Diabetes Self-Management Education and Support program.</w:t>
      </w:r>
    </w:p>
    <w:p w14:paraId="29E347B4" w14:textId="77777777" w:rsidR="00AE0C75" w:rsidRDefault="00AE0C75" w:rsidP="00AE0C75"/>
    <w:p w14:paraId="2C49EBF2" w14:textId="77777777" w:rsidR="00C2195E" w:rsidRDefault="00C2195E" w:rsidP="00C2195E">
      <w:pPr>
        <w:pStyle w:val="Heading4"/>
      </w:pPr>
      <w:bookmarkStart w:id="726" w:name="_Toc154576497"/>
      <w:bookmarkStart w:id="727" w:name="_Toc162267491"/>
      <w:r>
        <w:t>Figure 9.15: Adults with Diabetes.</w:t>
      </w:r>
      <w:bookmarkEnd w:id="726"/>
      <w:bookmarkEnd w:id="727"/>
    </w:p>
    <w:tbl>
      <w:tblPr>
        <w:tblStyle w:val="TableGrid"/>
        <w:tblW w:w="0" w:type="auto"/>
        <w:tblLook w:val="04A0" w:firstRow="1" w:lastRow="0" w:firstColumn="1" w:lastColumn="0" w:noHBand="0" w:noVBand="1"/>
      </w:tblPr>
      <w:tblGrid>
        <w:gridCol w:w="3116"/>
        <w:gridCol w:w="3117"/>
        <w:gridCol w:w="3117"/>
      </w:tblGrid>
      <w:tr w:rsidR="00C2195E" w14:paraId="2A1AFDD3" w14:textId="77777777" w:rsidTr="001515D5">
        <w:tc>
          <w:tcPr>
            <w:tcW w:w="3116" w:type="dxa"/>
            <w:vAlign w:val="bottom"/>
          </w:tcPr>
          <w:p w14:paraId="2AED630E" w14:textId="77777777" w:rsidR="00C2195E" w:rsidRPr="008D32C1" w:rsidRDefault="00C2195E" w:rsidP="001515D5">
            <w:r w:rsidRPr="008D32C1">
              <w:t>Year</w:t>
            </w:r>
          </w:p>
        </w:tc>
        <w:tc>
          <w:tcPr>
            <w:tcW w:w="3117" w:type="dxa"/>
            <w:vAlign w:val="bottom"/>
          </w:tcPr>
          <w:p w14:paraId="6FFDD624" w14:textId="77777777" w:rsidR="00C2195E" w:rsidRPr="008D32C1" w:rsidRDefault="00C2195E" w:rsidP="001515D5">
            <w:r w:rsidRPr="008D32C1">
              <w:t>SC</w:t>
            </w:r>
          </w:p>
        </w:tc>
        <w:tc>
          <w:tcPr>
            <w:tcW w:w="3117" w:type="dxa"/>
            <w:vAlign w:val="bottom"/>
          </w:tcPr>
          <w:p w14:paraId="780D1CE9" w14:textId="77777777" w:rsidR="00C2195E" w:rsidRPr="008D32C1" w:rsidRDefault="00C2195E" w:rsidP="001515D5">
            <w:r w:rsidRPr="008D32C1">
              <w:t>US</w:t>
            </w:r>
          </w:p>
        </w:tc>
      </w:tr>
      <w:tr w:rsidR="00C2195E" w14:paraId="63B697D0" w14:textId="77777777" w:rsidTr="001515D5">
        <w:tc>
          <w:tcPr>
            <w:tcW w:w="3116" w:type="dxa"/>
            <w:vAlign w:val="center"/>
          </w:tcPr>
          <w:p w14:paraId="68883FC6" w14:textId="77777777" w:rsidR="00C2195E" w:rsidRPr="008D32C1" w:rsidRDefault="00C2195E" w:rsidP="001515D5">
            <w:r w:rsidRPr="008D32C1">
              <w:t>2012</w:t>
            </w:r>
          </w:p>
        </w:tc>
        <w:tc>
          <w:tcPr>
            <w:tcW w:w="3117" w:type="dxa"/>
            <w:vAlign w:val="center"/>
          </w:tcPr>
          <w:p w14:paraId="4E036AA4" w14:textId="77777777" w:rsidR="00C2195E" w:rsidRPr="008D32C1" w:rsidRDefault="00C2195E" w:rsidP="001515D5">
            <w:r w:rsidRPr="008D32C1">
              <w:t>11.6%</w:t>
            </w:r>
          </w:p>
        </w:tc>
        <w:tc>
          <w:tcPr>
            <w:tcW w:w="3117" w:type="dxa"/>
            <w:vAlign w:val="bottom"/>
          </w:tcPr>
          <w:p w14:paraId="741EFC01" w14:textId="77777777" w:rsidR="00C2195E" w:rsidRPr="008D32C1" w:rsidRDefault="00C2195E" w:rsidP="001515D5">
            <w:r w:rsidRPr="008D32C1">
              <w:t>9.7%</w:t>
            </w:r>
          </w:p>
        </w:tc>
      </w:tr>
      <w:tr w:rsidR="00C2195E" w14:paraId="7EA81757" w14:textId="77777777" w:rsidTr="001515D5">
        <w:tc>
          <w:tcPr>
            <w:tcW w:w="3116" w:type="dxa"/>
            <w:vAlign w:val="center"/>
          </w:tcPr>
          <w:p w14:paraId="6EEB0484" w14:textId="77777777" w:rsidR="00C2195E" w:rsidRPr="008D32C1" w:rsidRDefault="00C2195E" w:rsidP="001515D5">
            <w:r w:rsidRPr="008D32C1">
              <w:t>2013</w:t>
            </w:r>
          </w:p>
        </w:tc>
        <w:tc>
          <w:tcPr>
            <w:tcW w:w="3117" w:type="dxa"/>
            <w:vAlign w:val="center"/>
          </w:tcPr>
          <w:p w14:paraId="491922C1" w14:textId="77777777" w:rsidR="00C2195E" w:rsidRPr="008D32C1" w:rsidRDefault="00C2195E" w:rsidP="001515D5">
            <w:r w:rsidRPr="008D32C1">
              <w:t>12.5%</w:t>
            </w:r>
          </w:p>
        </w:tc>
        <w:tc>
          <w:tcPr>
            <w:tcW w:w="3117" w:type="dxa"/>
            <w:vAlign w:val="bottom"/>
          </w:tcPr>
          <w:p w14:paraId="6457280B" w14:textId="77777777" w:rsidR="00C2195E" w:rsidRPr="008D32C1" w:rsidRDefault="00C2195E" w:rsidP="001515D5">
            <w:r w:rsidRPr="008D32C1">
              <w:t>9.7%</w:t>
            </w:r>
          </w:p>
        </w:tc>
      </w:tr>
      <w:tr w:rsidR="00C2195E" w14:paraId="62BE5DAE" w14:textId="77777777" w:rsidTr="001515D5">
        <w:tc>
          <w:tcPr>
            <w:tcW w:w="3116" w:type="dxa"/>
            <w:vAlign w:val="center"/>
          </w:tcPr>
          <w:p w14:paraId="119473A6" w14:textId="77777777" w:rsidR="00C2195E" w:rsidRPr="008D32C1" w:rsidRDefault="00C2195E" w:rsidP="001515D5">
            <w:r w:rsidRPr="008D32C1">
              <w:t>2014</w:t>
            </w:r>
          </w:p>
        </w:tc>
        <w:tc>
          <w:tcPr>
            <w:tcW w:w="3117" w:type="dxa"/>
            <w:vAlign w:val="center"/>
          </w:tcPr>
          <w:p w14:paraId="07255158" w14:textId="77777777" w:rsidR="00C2195E" w:rsidRPr="008D32C1" w:rsidRDefault="00C2195E" w:rsidP="001515D5">
            <w:r w:rsidRPr="008D32C1">
              <w:t>12.0%</w:t>
            </w:r>
          </w:p>
        </w:tc>
        <w:tc>
          <w:tcPr>
            <w:tcW w:w="3117" w:type="dxa"/>
            <w:vAlign w:val="bottom"/>
          </w:tcPr>
          <w:p w14:paraId="3DAE4CA0" w14:textId="77777777" w:rsidR="00C2195E" w:rsidRPr="008D32C1" w:rsidRDefault="00C2195E" w:rsidP="001515D5">
            <w:r w:rsidRPr="008D32C1">
              <w:t>10.0%</w:t>
            </w:r>
          </w:p>
        </w:tc>
      </w:tr>
      <w:tr w:rsidR="00C2195E" w14:paraId="2DECD251" w14:textId="77777777" w:rsidTr="001515D5">
        <w:tc>
          <w:tcPr>
            <w:tcW w:w="3116" w:type="dxa"/>
            <w:vAlign w:val="center"/>
          </w:tcPr>
          <w:p w14:paraId="3C1CC7F5" w14:textId="77777777" w:rsidR="00C2195E" w:rsidRPr="008D32C1" w:rsidRDefault="00C2195E" w:rsidP="001515D5">
            <w:r w:rsidRPr="008D32C1">
              <w:t>2015</w:t>
            </w:r>
          </w:p>
        </w:tc>
        <w:tc>
          <w:tcPr>
            <w:tcW w:w="3117" w:type="dxa"/>
            <w:vAlign w:val="center"/>
          </w:tcPr>
          <w:p w14:paraId="372FE37D" w14:textId="77777777" w:rsidR="00C2195E" w:rsidRPr="008D32C1" w:rsidRDefault="00C2195E" w:rsidP="001515D5">
            <w:r w:rsidRPr="008D32C1">
              <w:t>11.8%</w:t>
            </w:r>
          </w:p>
        </w:tc>
        <w:tc>
          <w:tcPr>
            <w:tcW w:w="3117" w:type="dxa"/>
            <w:vAlign w:val="bottom"/>
          </w:tcPr>
          <w:p w14:paraId="4336F1F3" w14:textId="77777777" w:rsidR="00C2195E" w:rsidRPr="008D32C1" w:rsidRDefault="00C2195E" w:rsidP="001515D5">
            <w:r w:rsidRPr="008D32C1">
              <w:t>9.9%</w:t>
            </w:r>
          </w:p>
        </w:tc>
      </w:tr>
      <w:tr w:rsidR="00C2195E" w14:paraId="539E6FF7" w14:textId="77777777" w:rsidTr="001515D5">
        <w:tc>
          <w:tcPr>
            <w:tcW w:w="3116" w:type="dxa"/>
            <w:vAlign w:val="center"/>
          </w:tcPr>
          <w:p w14:paraId="714D3B80" w14:textId="77777777" w:rsidR="00C2195E" w:rsidRPr="008D32C1" w:rsidRDefault="00C2195E" w:rsidP="001515D5">
            <w:r w:rsidRPr="008D32C1">
              <w:t>2016</w:t>
            </w:r>
          </w:p>
        </w:tc>
        <w:tc>
          <w:tcPr>
            <w:tcW w:w="3117" w:type="dxa"/>
            <w:vAlign w:val="center"/>
          </w:tcPr>
          <w:p w14:paraId="3AF081AE" w14:textId="77777777" w:rsidR="00C2195E" w:rsidRPr="008D32C1" w:rsidRDefault="00C2195E" w:rsidP="001515D5">
            <w:r w:rsidRPr="008D32C1">
              <w:t>13.0%</w:t>
            </w:r>
          </w:p>
        </w:tc>
        <w:tc>
          <w:tcPr>
            <w:tcW w:w="3117" w:type="dxa"/>
            <w:vAlign w:val="bottom"/>
          </w:tcPr>
          <w:p w14:paraId="37ABC482" w14:textId="77777777" w:rsidR="00C2195E" w:rsidRPr="008D32C1" w:rsidRDefault="00C2195E" w:rsidP="001515D5">
            <w:r w:rsidRPr="008D32C1">
              <w:t>10.5%</w:t>
            </w:r>
          </w:p>
        </w:tc>
      </w:tr>
      <w:tr w:rsidR="00C2195E" w14:paraId="440E4659" w14:textId="77777777" w:rsidTr="001515D5">
        <w:tc>
          <w:tcPr>
            <w:tcW w:w="3116" w:type="dxa"/>
            <w:vAlign w:val="center"/>
          </w:tcPr>
          <w:p w14:paraId="003A2E2D" w14:textId="77777777" w:rsidR="00C2195E" w:rsidRPr="008D32C1" w:rsidRDefault="00C2195E" w:rsidP="001515D5">
            <w:r w:rsidRPr="008D32C1">
              <w:t>2017</w:t>
            </w:r>
          </w:p>
        </w:tc>
        <w:tc>
          <w:tcPr>
            <w:tcW w:w="3117" w:type="dxa"/>
            <w:vAlign w:val="center"/>
          </w:tcPr>
          <w:p w14:paraId="530A26D9" w14:textId="77777777" w:rsidR="00C2195E" w:rsidRPr="008D32C1" w:rsidRDefault="00C2195E" w:rsidP="001515D5">
            <w:r w:rsidRPr="008D32C1">
              <w:t>13.4%</w:t>
            </w:r>
          </w:p>
        </w:tc>
        <w:tc>
          <w:tcPr>
            <w:tcW w:w="3117" w:type="dxa"/>
            <w:vAlign w:val="bottom"/>
          </w:tcPr>
          <w:p w14:paraId="47813D02" w14:textId="77777777" w:rsidR="00C2195E" w:rsidRPr="008D32C1" w:rsidRDefault="00C2195E" w:rsidP="001515D5">
            <w:r w:rsidRPr="008D32C1">
              <w:t>10.5%</w:t>
            </w:r>
          </w:p>
        </w:tc>
      </w:tr>
      <w:tr w:rsidR="00C2195E" w14:paraId="155F20B1" w14:textId="77777777" w:rsidTr="001515D5">
        <w:tc>
          <w:tcPr>
            <w:tcW w:w="3116" w:type="dxa"/>
            <w:vAlign w:val="center"/>
          </w:tcPr>
          <w:p w14:paraId="72ADAF40" w14:textId="77777777" w:rsidR="00C2195E" w:rsidRPr="008D32C1" w:rsidRDefault="00C2195E" w:rsidP="001515D5">
            <w:r w:rsidRPr="008D32C1">
              <w:t>2018</w:t>
            </w:r>
          </w:p>
        </w:tc>
        <w:tc>
          <w:tcPr>
            <w:tcW w:w="3117" w:type="dxa"/>
            <w:vAlign w:val="center"/>
          </w:tcPr>
          <w:p w14:paraId="0C29322C" w14:textId="77777777" w:rsidR="00C2195E" w:rsidRPr="008D32C1" w:rsidRDefault="00C2195E" w:rsidP="001515D5">
            <w:r w:rsidRPr="008D32C1">
              <w:t>13.3%</w:t>
            </w:r>
          </w:p>
        </w:tc>
        <w:tc>
          <w:tcPr>
            <w:tcW w:w="3117" w:type="dxa"/>
            <w:vAlign w:val="bottom"/>
          </w:tcPr>
          <w:p w14:paraId="2376887E" w14:textId="77777777" w:rsidR="00C2195E" w:rsidRPr="008D32C1" w:rsidRDefault="00C2195E" w:rsidP="001515D5">
            <w:r w:rsidRPr="008D32C1">
              <w:t>10.9%</w:t>
            </w:r>
          </w:p>
        </w:tc>
      </w:tr>
      <w:tr w:rsidR="00C2195E" w14:paraId="51F3BD7B" w14:textId="77777777" w:rsidTr="001515D5">
        <w:tc>
          <w:tcPr>
            <w:tcW w:w="3116" w:type="dxa"/>
            <w:vAlign w:val="center"/>
          </w:tcPr>
          <w:p w14:paraId="7D75F4BF" w14:textId="77777777" w:rsidR="00C2195E" w:rsidRPr="008D32C1" w:rsidRDefault="00C2195E" w:rsidP="001515D5">
            <w:r w:rsidRPr="008D32C1">
              <w:t>2019</w:t>
            </w:r>
          </w:p>
        </w:tc>
        <w:tc>
          <w:tcPr>
            <w:tcW w:w="3117" w:type="dxa"/>
            <w:vAlign w:val="center"/>
          </w:tcPr>
          <w:p w14:paraId="313B4A69" w14:textId="77777777" w:rsidR="00C2195E" w:rsidRPr="008D32C1" w:rsidRDefault="00C2195E" w:rsidP="001515D5">
            <w:r w:rsidRPr="008D32C1">
              <w:t>13.4%</w:t>
            </w:r>
          </w:p>
        </w:tc>
        <w:tc>
          <w:tcPr>
            <w:tcW w:w="3117" w:type="dxa"/>
            <w:vAlign w:val="bottom"/>
          </w:tcPr>
          <w:p w14:paraId="4AA25DC2" w14:textId="77777777" w:rsidR="00C2195E" w:rsidRPr="008D32C1" w:rsidRDefault="00C2195E" w:rsidP="001515D5">
            <w:r w:rsidRPr="008D32C1">
              <w:t>10.7%</w:t>
            </w:r>
          </w:p>
        </w:tc>
      </w:tr>
      <w:tr w:rsidR="00C2195E" w14:paraId="535AA01F" w14:textId="77777777" w:rsidTr="001515D5">
        <w:tc>
          <w:tcPr>
            <w:tcW w:w="3116" w:type="dxa"/>
            <w:vAlign w:val="center"/>
          </w:tcPr>
          <w:p w14:paraId="0EB90801" w14:textId="77777777" w:rsidR="00C2195E" w:rsidRPr="008D32C1" w:rsidRDefault="00C2195E" w:rsidP="001515D5">
            <w:r w:rsidRPr="008D32C1">
              <w:t>2020</w:t>
            </w:r>
          </w:p>
        </w:tc>
        <w:tc>
          <w:tcPr>
            <w:tcW w:w="3117" w:type="dxa"/>
            <w:vAlign w:val="center"/>
          </w:tcPr>
          <w:p w14:paraId="6B74CC8D" w14:textId="77777777" w:rsidR="00C2195E" w:rsidRPr="008D32C1" w:rsidRDefault="00C2195E" w:rsidP="001515D5">
            <w:r w:rsidRPr="008D32C1">
              <w:t>13.6%</w:t>
            </w:r>
          </w:p>
        </w:tc>
        <w:tc>
          <w:tcPr>
            <w:tcW w:w="3117" w:type="dxa"/>
            <w:vAlign w:val="bottom"/>
          </w:tcPr>
          <w:p w14:paraId="7AD83448" w14:textId="77777777" w:rsidR="00C2195E" w:rsidRPr="008D32C1" w:rsidRDefault="00C2195E" w:rsidP="001515D5">
            <w:r w:rsidRPr="008D32C1">
              <w:t>10.6%</w:t>
            </w:r>
          </w:p>
        </w:tc>
      </w:tr>
      <w:tr w:rsidR="00C2195E" w14:paraId="5AF023E6" w14:textId="77777777" w:rsidTr="001515D5">
        <w:tc>
          <w:tcPr>
            <w:tcW w:w="3116" w:type="dxa"/>
            <w:vAlign w:val="center"/>
          </w:tcPr>
          <w:p w14:paraId="56BDA9BD" w14:textId="77777777" w:rsidR="00C2195E" w:rsidRPr="008D32C1" w:rsidRDefault="00C2195E" w:rsidP="001515D5">
            <w:r w:rsidRPr="008D32C1">
              <w:t>2021</w:t>
            </w:r>
          </w:p>
        </w:tc>
        <w:tc>
          <w:tcPr>
            <w:tcW w:w="3117" w:type="dxa"/>
            <w:vAlign w:val="center"/>
          </w:tcPr>
          <w:p w14:paraId="4525A7C1" w14:textId="77777777" w:rsidR="00C2195E" w:rsidRPr="008D32C1" w:rsidRDefault="00C2195E" w:rsidP="001515D5">
            <w:r w:rsidRPr="008D32C1">
              <w:t>13.7%</w:t>
            </w:r>
          </w:p>
        </w:tc>
        <w:tc>
          <w:tcPr>
            <w:tcW w:w="3117" w:type="dxa"/>
            <w:vAlign w:val="bottom"/>
          </w:tcPr>
          <w:p w14:paraId="50A166C3" w14:textId="77777777" w:rsidR="00C2195E" w:rsidRPr="008D32C1" w:rsidRDefault="00C2195E" w:rsidP="001515D5">
            <w:r w:rsidRPr="008D32C1">
              <w:t>10.9%</w:t>
            </w:r>
          </w:p>
        </w:tc>
      </w:tr>
    </w:tbl>
    <w:p w14:paraId="499E1F52" w14:textId="77777777" w:rsidR="00C2195E" w:rsidRPr="008D32C1" w:rsidRDefault="00C2195E" w:rsidP="00C2195E">
      <w:r w:rsidRPr="008D32C1">
        <w:t xml:space="preserve">Sources: SC BRFSS, CDC BRFSS. </w:t>
      </w:r>
    </w:p>
    <w:p w14:paraId="522474CA" w14:textId="77777777" w:rsidR="00C2195E" w:rsidRDefault="00C2195E" w:rsidP="00C2195E">
      <w:r w:rsidRPr="008D32C1">
        <w:t>Note: Adults 18+.</w:t>
      </w:r>
    </w:p>
    <w:p w14:paraId="7C1718CF" w14:textId="77777777" w:rsidR="00C2195E" w:rsidRPr="008D32C1" w:rsidRDefault="00C2195E" w:rsidP="00C2195E"/>
    <w:p w14:paraId="5BA147B7" w14:textId="77777777" w:rsidR="00C2195E" w:rsidRDefault="00C2195E" w:rsidP="00C2195E">
      <w:pPr>
        <w:pStyle w:val="Heading4"/>
      </w:pPr>
      <w:bookmarkStart w:id="728" w:name="_Toc154576498"/>
      <w:bookmarkStart w:id="729" w:name="_Toc162267492"/>
      <w:r>
        <w:lastRenderedPageBreak/>
        <w:t>Figure 9.16: Adults with Diabetes, by Income Level.</w:t>
      </w:r>
      <w:bookmarkEnd w:id="728"/>
      <w:bookmarkEnd w:id="729"/>
    </w:p>
    <w:tbl>
      <w:tblPr>
        <w:tblStyle w:val="TableGrid"/>
        <w:tblW w:w="0" w:type="auto"/>
        <w:tblLook w:val="04A0" w:firstRow="1" w:lastRow="0" w:firstColumn="1" w:lastColumn="0" w:noHBand="0" w:noVBand="1"/>
      </w:tblPr>
      <w:tblGrid>
        <w:gridCol w:w="4675"/>
        <w:gridCol w:w="4675"/>
      </w:tblGrid>
      <w:tr w:rsidR="00C2195E" w14:paraId="76B5DFE0" w14:textId="77777777" w:rsidTr="001515D5">
        <w:tc>
          <w:tcPr>
            <w:tcW w:w="4675" w:type="dxa"/>
          </w:tcPr>
          <w:p w14:paraId="55492B9E" w14:textId="77777777" w:rsidR="00C2195E" w:rsidRDefault="00C2195E" w:rsidP="001515D5">
            <w:r>
              <w:t>Income Level</w:t>
            </w:r>
          </w:p>
        </w:tc>
        <w:tc>
          <w:tcPr>
            <w:tcW w:w="4675" w:type="dxa"/>
          </w:tcPr>
          <w:p w14:paraId="731B3B11" w14:textId="77777777" w:rsidR="00C2195E" w:rsidRDefault="00C2195E" w:rsidP="001515D5">
            <w:r>
              <w:t>Percent</w:t>
            </w:r>
          </w:p>
        </w:tc>
      </w:tr>
      <w:tr w:rsidR="00C2195E" w14:paraId="56ADD1F3" w14:textId="77777777" w:rsidTr="001515D5">
        <w:tc>
          <w:tcPr>
            <w:tcW w:w="4675" w:type="dxa"/>
            <w:vAlign w:val="bottom"/>
          </w:tcPr>
          <w:p w14:paraId="3A5A9960" w14:textId="77777777" w:rsidR="00C2195E" w:rsidRDefault="00C2195E" w:rsidP="001515D5">
            <w:r>
              <w:t>&lt;$15K</w:t>
            </w:r>
          </w:p>
        </w:tc>
        <w:tc>
          <w:tcPr>
            <w:tcW w:w="4675" w:type="dxa"/>
            <w:vAlign w:val="center"/>
          </w:tcPr>
          <w:p w14:paraId="40BABB3C" w14:textId="77777777" w:rsidR="00C2195E" w:rsidRDefault="00C2195E" w:rsidP="001515D5">
            <w:r>
              <w:t>23.6%</w:t>
            </w:r>
          </w:p>
        </w:tc>
      </w:tr>
      <w:tr w:rsidR="00C2195E" w14:paraId="191DC367" w14:textId="77777777" w:rsidTr="001515D5">
        <w:tc>
          <w:tcPr>
            <w:tcW w:w="4675" w:type="dxa"/>
            <w:vAlign w:val="bottom"/>
          </w:tcPr>
          <w:p w14:paraId="655C395B" w14:textId="77777777" w:rsidR="00C2195E" w:rsidRDefault="00C2195E" w:rsidP="001515D5">
            <w:r>
              <w:t>$15K-&lt;$25K</w:t>
            </w:r>
          </w:p>
        </w:tc>
        <w:tc>
          <w:tcPr>
            <w:tcW w:w="4675" w:type="dxa"/>
            <w:vAlign w:val="center"/>
          </w:tcPr>
          <w:p w14:paraId="1E114F59" w14:textId="77777777" w:rsidR="00C2195E" w:rsidRDefault="00C2195E" w:rsidP="001515D5">
            <w:r>
              <w:t>21.0%</w:t>
            </w:r>
          </w:p>
        </w:tc>
      </w:tr>
      <w:tr w:rsidR="00C2195E" w14:paraId="041C357E" w14:textId="77777777" w:rsidTr="001515D5">
        <w:tc>
          <w:tcPr>
            <w:tcW w:w="4675" w:type="dxa"/>
            <w:vAlign w:val="bottom"/>
          </w:tcPr>
          <w:p w14:paraId="25DE177E" w14:textId="77777777" w:rsidR="00C2195E" w:rsidRDefault="00C2195E" w:rsidP="001515D5">
            <w:r>
              <w:t>$25K-&lt;$35K</w:t>
            </w:r>
          </w:p>
        </w:tc>
        <w:tc>
          <w:tcPr>
            <w:tcW w:w="4675" w:type="dxa"/>
            <w:vAlign w:val="center"/>
          </w:tcPr>
          <w:p w14:paraId="543804C7" w14:textId="77777777" w:rsidR="00C2195E" w:rsidRDefault="00C2195E" w:rsidP="001515D5">
            <w:r>
              <w:t>14.8%</w:t>
            </w:r>
          </w:p>
        </w:tc>
      </w:tr>
      <w:tr w:rsidR="00C2195E" w14:paraId="23CFB60E" w14:textId="77777777" w:rsidTr="001515D5">
        <w:tc>
          <w:tcPr>
            <w:tcW w:w="4675" w:type="dxa"/>
            <w:vAlign w:val="bottom"/>
          </w:tcPr>
          <w:p w14:paraId="493CC52A" w14:textId="77777777" w:rsidR="00C2195E" w:rsidRDefault="00C2195E" w:rsidP="001515D5">
            <w:r>
              <w:t>$35K-&lt;$50K</w:t>
            </w:r>
          </w:p>
        </w:tc>
        <w:tc>
          <w:tcPr>
            <w:tcW w:w="4675" w:type="dxa"/>
            <w:vAlign w:val="center"/>
          </w:tcPr>
          <w:p w14:paraId="3B64C469" w14:textId="77777777" w:rsidR="00C2195E" w:rsidRDefault="00C2195E" w:rsidP="001515D5">
            <w:r>
              <w:t>13.3%</w:t>
            </w:r>
          </w:p>
        </w:tc>
      </w:tr>
      <w:tr w:rsidR="00C2195E" w14:paraId="3C71B7A9" w14:textId="77777777" w:rsidTr="001515D5">
        <w:tc>
          <w:tcPr>
            <w:tcW w:w="4675" w:type="dxa"/>
            <w:vAlign w:val="bottom"/>
          </w:tcPr>
          <w:p w14:paraId="7287FC9E" w14:textId="77777777" w:rsidR="00C2195E" w:rsidRDefault="00C2195E" w:rsidP="001515D5">
            <w:r>
              <w:t>$50K-$99K</w:t>
            </w:r>
          </w:p>
        </w:tc>
        <w:tc>
          <w:tcPr>
            <w:tcW w:w="4675" w:type="dxa"/>
            <w:vAlign w:val="center"/>
          </w:tcPr>
          <w:p w14:paraId="65F328D1" w14:textId="77777777" w:rsidR="00C2195E" w:rsidRDefault="00C2195E" w:rsidP="001515D5">
            <w:r>
              <w:t>11.5%</w:t>
            </w:r>
          </w:p>
        </w:tc>
      </w:tr>
      <w:tr w:rsidR="00C2195E" w14:paraId="5EE3290C" w14:textId="77777777" w:rsidTr="001515D5">
        <w:tc>
          <w:tcPr>
            <w:tcW w:w="4675" w:type="dxa"/>
            <w:vAlign w:val="bottom"/>
          </w:tcPr>
          <w:p w14:paraId="719FB126" w14:textId="77777777" w:rsidR="00C2195E" w:rsidRDefault="00C2195E" w:rsidP="001515D5">
            <w:r>
              <w:t>$100K+</w:t>
            </w:r>
          </w:p>
        </w:tc>
        <w:tc>
          <w:tcPr>
            <w:tcW w:w="4675" w:type="dxa"/>
            <w:vAlign w:val="center"/>
          </w:tcPr>
          <w:p w14:paraId="165BE815" w14:textId="77777777" w:rsidR="00C2195E" w:rsidRDefault="00C2195E" w:rsidP="001515D5">
            <w:r>
              <w:t>9.8%</w:t>
            </w:r>
          </w:p>
        </w:tc>
      </w:tr>
    </w:tbl>
    <w:p w14:paraId="4BAA8CC6" w14:textId="77777777" w:rsidR="00C2195E" w:rsidRPr="00044D16" w:rsidRDefault="00C2195E" w:rsidP="00C2195E">
      <w:r w:rsidRPr="00044D16">
        <w:t xml:space="preserve">Sources: SC BRFSS, 2021. </w:t>
      </w:r>
    </w:p>
    <w:p w14:paraId="68E7527B" w14:textId="77777777" w:rsidR="00C2195E" w:rsidRDefault="00C2195E" w:rsidP="00C2195E">
      <w:r w:rsidRPr="00044D16">
        <w:t>Note: Adults 18+.</w:t>
      </w:r>
    </w:p>
    <w:p w14:paraId="66362437" w14:textId="77777777" w:rsidR="00C2195E" w:rsidRPr="008D32C1" w:rsidRDefault="00C2195E" w:rsidP="00C2195E"/>
    <w:p w14:paraId="0D542EA0" w14:textId="77777777" w:rsidR="00C2195E" w:rsidRDefault="00C2195E" w:rsidP="00C2195E">
      <w:pPr>
        <w:pStyle w:val="Heading4"/>
      </w:pPr>
      <w:bookmarkStart w:id="730" w:name="_Toc154576499"/>
      <w:bookmarkStart w:id="731" w:name="_Toc162267493"/>
      <w:r>
        <w:t>Figure 9.17: Diabetes Deaths, by Race/Ethnicity and Sex.</w:t>
      </w:r>
      <w:bookmarkEnd w:id="730"/>
      <w:bookmarkEnd w:id="731"/>
    </w:p>
    <w:p w14:paraId="059899D5" w14:textId="4EA1E9F9" w:rsidR="00637B75" w:rsidRPr="00637B75" w:rsidRDefault="00637B75" w:rsidP="00637B75">
      <w:pPr>
        <w:pStyle w:val="Heading5"/>
      </w:pPr>
      <w:r>
        <w:t>Rate per 100,000 population.</w:t>
      </w:r>
    </w:p>
    <w:tbl>
      <w:tblPr>
        <w:tblStyle w:val="TableGrid"/>
        <w:tblW w:w="0" w:type="auto"/>
        <w:tblLook w:val="04A0" w:firstRow="1" w:lastRow="0" w:firstColumn="1" w:lastColumn="0" w:noHBand="0" w:noVBand="1"/>
      </w:tblPr>
      <w:tblGrid>
        <w:gridCol w:w="4675"/>
        <w:gridCol w:w="4675"/>
      </w:tblGrid>
      <w:tr w:rsidR="00C2195E" w14:paraId="2885C442" w14:textId="77777777" w:rsidTr="001515D5">
        <w:tc>
          <w:tcPr>
            <w:tcW w:w="4675" w:type="dxa"/>
            <w:vAlign w:val="bottom"/>
          </w:tcPr>
          <w:p w14:paraId="718D5FDA" w14:textId="77777777" w:rsidR="00C2195E" w:rsidRPr="00044D16" w:rsidRDefault="00C2195E" w:rsidP="001515D5">
            <w:r>
              <w:t>Race/Ethnicity and Sex</w:t>
            </w:r>
          </w:p>
        </w:tc>
        <w:tc>
          <w:tcPr>
            <w:tcW w:w="4675" w:type="dxa"/>
            <w:vAlign w:val="bottom"/>
          </w:tcPr>
          <w:p w14:paraId="57A32315" w14:textId="77777777" w:rsidR="00C2195E" w:rsidRPr="00044D16" w:rsidRDefault="00C2195E" w:rsidP="001515D5">
            <w:r>
              <w:t>Rate</w:t>
            </w:r>
          </w:p>
        </w:tc>
      </w:tr>
      <w:tr w:rsidR="00C2195E" w14:paraId="7B193140" w14:textId="77777777" w:rsidTr="001515D5">
        <w:tc>
          <w:tcPr>
            <w:tcW w:w="4675" w:type="dxa"/>
            <w:vAlign w:val="bottom"/>
          </w:tcPr>
          <w:p w14:paraId="2EC6D379" w14:textId="77777777" w:rsidR="00C2195E" w:rsidRPr="00044D16" w:rsidRDefault="00C2195E" w:rsidP="001515D5">
            <w:r w:rsidRPr="00044D16">
              <w:t>Non-Hispanic White Male</w:t>
            </w:r>
          </w:p>
        </w:tc>
        <w:tc>
          <w:tcPr>
            <w:tcW w:w="4675" w:type="dxa"/>
            <w:vAlign w:val="bottom"/>
          </w:tcPr>
          <w:p w14:paraId="1CAB84FA" w14:textId="77777777" w:rsidR="00C2195E" w:rsidRPr="00044D16" w:rsidRDefault="00C2195E" w:rsidP="001515D5">
            <w:r w:rsidRPr="00044D16">
              <w:t>26.6</w:t>
            </w:r>
          </w:p>
        </w:tc>
      </w:tr>
      <w:tr w:rsidR="00C2195E" w14:paraId="28685642" w14:textId="77777777" w:rsidTr="001515D5">
        <w:tc>
          <w:tcPr>
            <w:tcW w:w="4675" w:type="dxa"/>
            <w:vAlign w:val="bottom"/>
          </w:tcPr>
          <w:p w14:paraId="10835A91" w14:textId="77777777" w:rsidR="00C2195E" w:rsidRPr="00044D16" w:rsidRDefault="00C2195E" w:rsidP="001515D5">
            <w:r w:rsidRPr="00044D16">
              <w:t>Non-Hispanic White Female</w:t>
            </w:r>
          </w:p>
        </w:tc>
        <w:tc>
          <w:tcPr>
            <w:tcW w:w="4675" w:type="dxa"/>
            <w:vAlign w:val="bottom"/>
          </w:tcPr>
          <w:p w14:paraId="1A3618F6" w14:textId="77777777" w:rsidR="00C2195E" w:rsidRPr="00044D16" w:rsidRDefault="00C2195E" w:rsidP="001515D5">
            <w:r w:rsidRPr="00044D16">
              <w:t>14.5</w:t>
            </w:r>
          </w:p>
        </w:tc>
      </w:tr>
      <w:tr w:rsidR="00C2195E" w14:paraId="11837C1E" w14:textId="77777777" w:rsidTr="001515D5">
        <w:tc>
          <w:tcPr>
            <w:tcW w:w="4675" w:type="dxa"/>
            <w:vAlign w:val="bottom"/>
          </w:tcPr>
          <w:p w14:paraId="45C1E0FE" w14:textId="77777777" w:rsidR="00C2195E" w:rsidRPr="00044D16" w:rsidRDefault="00C2195E" w:rsidP="001515D5">
            <w:r w:rsidRPr="00044D16">
              <w:t>Non-Hispanic Black Male</w:t>
            </w:r>
          </w:p>
        </w:tc>
        <w:tc>
          <w:tcPr>
            <w:tcW w:w="4675" w:type="dxa"/>
            <w:vAlign w:val="bottom"/>
          </w:tcPr>
          <w:p w14:paraId="39E140E6" w14:textId="77777777" w:rsidR="00C2195E" w:rsidRPr="00044D16" w:rsidRDefault="00C2195E" w:rsidP="001515D5">
            <w:r w:rsidRPr="00044D16">
              <w:t>58.1</w:t>
            </w:r>
          </w:p>
        </w:tc>
      </w:tr>
      <w:tr w:rsidR="00C2195E" w14:paraId="60EC010F" w14:textId="77777777" w:rsidTr="001515D5">
        <w:tc>
          <w:tcPr>
            <w:tcW w:w="4675" w:type="dxa"/>
            <w:vAlign w:val="bottom"/>
          </w:tcPr>
          <w:p w14:paraId="7C3D4617" w14:textId="77777777" w:rsidR="00C2195E" w:rsidRPr="00044D16" w:rsidRDefault="00C2195E" w:rsidP="001515D5">
            <w:r w:rsidRPr="00044D16">
              <w:t>Non-Hispanic Black Female</w:t>
            </w:r>
          </w:p>
        </w:tc>
        <w:tc>
          <w:tcPr>
            <w:tcW w:w="4675" w:type="dxa"/>
            <w:vAlign w:val="bottom"/>
          </w:tcPr>
          <w:p w14:paraId="55B6CD3A" w14:textId="77777777" w:rsidR="00C2195E" w:rsidRPr="00044D16" w:rsidRDefault="00C2195E" w:rsidP="001515D5">
            <w:r w:rsidRPr="00044D16">
              <w:t>45.5</w:t>
            </w:r>
          </w:p>
        </w:tc>
      </w:tr>
      <w:tr w:rsidR="00C2195E" w14:paraId="458E6F72" w14:textId="77777777" w:rsidTr="001515D5">
        <w:tc>
          <w:tcPr>
            <w:tcW w:w="4675" w:type="dxa"/>
            <w:vAlign w:val="bottom"/>
          </w:tcPr>
          <w:p w14:paraId="58F1983B" w14:textId="77777777" w:rsidR="00C2195E" w:rsidRPr="00044D16" w:rsidRDefault="00C2195E" w:rsidP="001515D5">
            <w:r w:rsidRPr="00044D16">
              <w:t>Hispanic Male</w:t>
            </w:r>
          </w:p>
        </w:tc>
        <w:tc>
          <w:tcPr>
            <w:tcW w:w="4675" w:type="dxa"/>
            <w:vAlign w:val="bottom"/>
          </w:tcPr>
          <w:p w14:paraId="4769EBF8" w14:textId="77777777" w:rsidR="00C2195E" w:rsidRPr="00044D16" w:rsidRDefault="00C2195E" w:rsidP="001515D5">
            <w:r w:rsidRPr="00044D16">
              <w:t>25.6</w:t>
            </w:r>
          </w:p>
        </w:tc>
      </w:tr>
      <w:tr w:rsidR="00C2195E" w14:paraId="55053421" w14:textId="77777777" w:rsidTr="001515D5">
        <w:tc>
          <w:tcPr>
            <w:tcW w:w="4675" w:type="dxa"/>
            <w:vAlign w:val="bottom"/>
          </w:tcPr>
          <w:p w14:paraId="045646E7" w14:textId="77777777" w:rsidR="00C2195E" w:rsidRPr="00044D16" w:rsidRDefault="00C2195E" w:rsidP="001515D5">
            <w:r w:rsidRPr="00044D16">
              <w:t>Hispanic Female</w:t>
            </w:r>
          </w:p>
        </w:tc>
        <w:tc>
          <w:tcPr>
            <w:tcW w:w="4675" w:type="dxa"/>
            <w:vAlign w:val="bottom"/>
          </w:tcPr>
          <w:p w14:paraId="7CEAC143" w14:textId="77777777" w:rsidR="00C2195E" w:rsidRPr="00044D16" w:rsidRDefault="00C2195E" w:rsidP="001515D5">
            <w:r w:rsidRPr="00044D16">
              <w:t>7.6</w:t>
            </w:r>
          </w:p>
        </w:tc>
      </w:tr>
    </w:tbl>
    <w:p w14:paraId="43ADBB84" w14:textId="77777777" w:rsidR="00C2195E" w:rsidRPr="00044D16" w:rsidRDefault="00C2195E" w:rsidP="00C2195E">
      <w:r w:rsidRPr="00044D16">
        <w:t xml:space="preserve">Sources: SC DHEC Vital Statistics, 2021. </w:t>
      </w:r>
    </w:p>
    <w:p w14:paraId="7AFF9582" w14:textId="77777777" w:rsidR="00C2195E" w:rsidRPr="00044D16" w:rsidRDefault="00C2195E" w:rsidP="00C2195E">
      <w:r w:rsidRPr="00044D16">
        <w:t>Notes: Age-adjusted,</w:t>
      </w:r>
      <w:r>
        <w:t xml:space="preserve"> </w:t>
      </w:r>
      <w:r w:rsidRPr="00044D16">
        <w:t>population for year 2021 based on single-race estimates.</w:t>
      </w:r>
    </w:p>
    <w:p w14:paraId="3BA3F49D" w14:textId="77777777" w:rsidR="00AE0C75" w:rsidRPr="00AE0C75" w:rsidRDefault="00AE0C75" w:rsidP="00AE0C75"/>
    <w:p w14:paraId="7AC5EA71" w14:textId="77777777" w:rsidR="00AE0C75" w:rsidRDefault="00AE0C75" w:rsidP="00AE0C75">
      <w:pPr>
        <w:pStyle w:val="Heading4"/>
      </w:pPr>
      <w:bookmarkStart w:id="732" w:name="_Toc162267494"/>
      <w:r w:rsidRPr="00AE0C75">
        <w:t>Data Interpretations:</w:t>
      </w:r>
      <w:bookmarkEnd w:id="732"/>
      <w:r w:rsidRPr="00AE0C75">
        <w:t xml:space="preserve"> </w:t>
      </w:r>
    </w:p>
    <w:p w14:paraId="1814A3EC" w14:textId="7C0584D5" w:rsidR="00AE0C75" w:rsidRPr="00AE0C75" w:rsidRDefault="00AE0C75" w:rsidP="00AE0C75">
      <w:r w:rsidRPr="00AE0C75">
        <w:t>SC had the sixth-highest prevalence of diabetes in the country in 2021 with approximately 1 in 7 adults being diagnosed. The prevalence of adults with diabetes increased from 11.6% in 2012 to 13.7% in 2021 and remains above the US prevalence of 10.9% (</w:t>
      </w:r>
      <w:r w:rsidRPr="00AE0C75">
        <w:rPr>
          <w:b/>
          <w:bCs/>
        </w:rPr>
        <w:t>Figure 9.15</w:t>
      </w:r>
      <w:r w:rsidRPr="00AE0C75">
        <w:t>). The prevalence of diabetes increases with age with 1 in 4 adults aged 65 or older (25.2%) diagnosed with diabetes. The prevalence of diabetes was highest among non-Hispanic Black adults (17.4%) compared to non-Hispanic White adults (12.9%) and Hispanic adults (8.9%). Those with an annual household income of less than $15,000 had the highest prevalence of diabetes (</w:t>
      </w:r>
      <w:r w:rsidRPr="00AE0C75">
        <w:rPr>
          <w:b/>
          <w:bCs/>
        </w:rPr>
        <w:t>Figure 9.16</w:t>
      </w:r>
      <w:r w:rsidRPr="00AE0C75">
        <w:t>). According to SC BRFSS, for every 10 adults diagnosed with diabetes, only five have taken a class to manage their diabetes.</w:t>
      </w:r>
    </w:p>
    <w:p w14:paraId="5455D627" w14:textId="77777777" w:rsidR="00AE0C75" w:rsidRDefault="00AE0C75" w:rsidP="00AE0C75"/>
    <w:p w14:paraId="1CA7F54D" w14:textId="77777777" w:rsidR="00AE0C75" w:rsidRDefault="00AE0C75" w:rsidP="00AE0C75">
      <w:r w:rsidRPr="00AE0C75">
        <w:t xml:space="preserve">Diabetes was the eighth-leading cause of death in 2021 with 1,757 deaths in SC. Non-Hispanic Black males saw the highest age-adjusted death rates from diabetes </w:t>
      </w:r>
      <w:r w:rsidRPr="00AE0C75">
        <w:lastRenderedPageBreak/>
        <w:t>in the state, 2.2 and 2.3 times higher than non-Hispanic White and Hispanic males respectively (</w:t>
      </w:r>
      <w:r w:rsidRPr="00AE0C75">
        <w:rPr>
          <w:b/>
          <w:bCs/>
        </w:rPr>
        <w:t>Figure 9.17</w:t>
      </w:r>
      <w:r w:rsidRPr="00AE0C75">
        <w:t xml:space="preserve">). Non-Hispanic Black females saw higher rates of age-adjusted diabetes death rates when compared to their non-Hispanic White and Hispanic female counterparts.   </w:t>
      </w:r>
    </w:p>
    <w:p w14:paraId="58C89BC8" w14:textId="77777777" w:rsidR="00AE0C75" w:rsidRDefault="00AE0C75" w:rsidP="00AE0C75"/>
    <w:p w14:paraId="7CB4B37E" w14:textId="77777777" w:rsidR="00AE0C75" w:rsidRDefault="00AE0C75" w:rsidP="00AE0C75">
      <w:pPr>
        <w:pStyle w:val="Heading5"/>
      </w:pPr>
      <w:r>
        <w:t xml:space="preserve">Key Takeaways: </w:t>
      </w:r>
    </w:p>
    <w:p w14:paraId="0D23D3CD" w14:textId="30848D85" w:rsidR="00AE0C75" w:rsidRPr="00AE0C75" w:rsidRDefault="00AE0C75" w:rsidP="00926EB3">
      <w:pPr>
        <w:pStyle w:val="ListParagraph"/>
        <w:numPr>
          <w:ilvl w:val="0"/>
          <w:numId w:val="228"/>
        </w:numPr>
      </w:pPr>
      <w:r w:rsidRPr="00AE0C75">
        <w:t xml:space="preserve">In 2021, SC had one of the highest </w:t>
      </w:r>
      <w:proofErr w:type="spellStart"/>
      <w:r w:rsidRPr="00AE0C75">
        <w:t>prevalence</w:t>
      </w:r>
      <w:r w:rsidR="00353117">
        <w:t>s</w:t>
      </w:r>
      <w:proofErr w:type="spellEnd"/>
      <w:r w:rsidRPr="00AE0C75">
        <w:t xml:space="preserve"> of diabetes in the country and type 2 diabetes is being diagnosed more and more in children, teens, and young adults, due in part to obesity. </w:t>
      </w:r>
    </w:p>
    <w:p w14:paraId="5E7C0E07" w14:textId="77777777" w:rsidR="00AE0C75" w:rsidRDefault="00AE0C75" w:rsidP="00AE0C75"/>
    <w:p w14:paraId="3049BDFE" w14:textId="4E3782A0" w:rsidR="00AE0C75" w:rsidRPr="00AE0C75" w:rsidRDefault="00AE0C75" w:rsidP="00AE0C75">
      <w:pPr>
        <w:pStyle w:val="Heading4"/>
        <w:rPr>
          <w:rFonts w:asciiTheme="minorHAnsi" w:hAnsiTheme="minorHAnsi" w:cstheme="minorHAnsi"/>
          <w:color w:val="000000" w:themeColor="text1"/>
        </w:rPr>
      </w:pPr>
      <w:bookmarkStart w:id="733" w:name="_Toc162267495"/>
      <w:r w:rsidRPr="00AE0C75">
        <w:rPr>
          <w:rFonts w:asciiTheme="minorHAnsi" w:hAnsiTheme="minorHAnsi" w:cstheme="minorHAnsi"/>
          <w:color w:val="000000" w:themeColor="text1"/>
        </w:rPr>
        <w:t>References 9.</w:t>
      </w:r>
      <w:r>
        <w:rPr>
          <w:rFonts w:asciiTheme="minorHAnsi" w:hAnsiTheme="minorHAnsi" w:cstheme="minorHAnsi"/>
          <w:color w:val="000000" w:themeColor="text1"/>
        </w:rPr>
        <w:t>8</w:t>
      </w:r>
      <w:bookmarkEnd w:id="733"/>
    </w:p>
    <w:p w14:paraId="180A87BA" w14:textId="77777777" w:rsidR="00AE0C75" w:rsidRPr="00AE0C75" w:rsidRDefault="00AE0C75" w:rsidP="00AE0C75">
      <w:r w:rsidRPr="00AE0C75">
        <w:t>Statistics in the preceding section were referenced from the following reports:</w:t>
      </w:r>
    </w:p>
    <w:p w14:paraId="22758EDB" w14:textId="713911B0" w:rsidR="00BF5FF4" w:rsidRPr="00BF5FF4" w:rsidRDefault="00000000" w:rsidP="00926EB3">
      <w:pPr>
        <w:pStyle w:val="ListParagraph"/>
        <w:numPr>
          <w:ilvl w:val="0"/>
          <w:numId w:val="192"/>
        </w:numPr>
        <w:rPr>
          <w:u w:val="thick"/>
        </w:rPr>
      </w:pPr>
      <w:hyperlink r:id="rId320" w:history="1">
        <w:r w:rsidR="00BF5FF4" w:rsidRPr="00BF5FF4">
          <w:rPr>
            <w:rStyle w:val="Hyperlink"/>
          </w:rPr>
          <w:t>“</w:t>
        </w:r>
        <w:r w:rsidR="00BF5FF4" w:rsidRPr="00BF5FF4">
          <w:rPr>
            <w:rStyle w:val="Hyperlink"/>
            <w:i/>
            <w:iCs/>
          </w:rPr>
          <w:t>What is diabetes?” by</w:t>
        </w:r>
        <w:r w:rsidR="00BF5FF4" w:rsidRPr="00BF5FF4">
          <w:rPr>
            <w:rStyle w:val="Hyperlink"/>
          </w:rPr>
          <w:t xml:space="preserve"> Centers for Disease Control and Prevention, 2022. Retrieved January 27, 2023.</w:t>
        </w:r>
      </w:hyperlink>
    </w:p>
    <w:p w14:paraId="12F619B0" w14:textId="040E30CF" w:rsidR="00BF5FF4" w:rsidRPr="00BF5FF4" w:rsidRDefault="00000000" w:rsidP="00926EB3">
      <w:pPr>
        <w:pStyle w:val="ListParagraph"/>
        <w:numPr>
          <w:ilvl w:val="0"/>
          <w:numId w:val="192"/>
        </w:numPr>
      </w:pPr>
      <w:hyperlink r:id="rId321" w:history="1">
        <w:r w:rsidR="00BF5FF4" w:rsidRPr="00BF5FF4">
          <w:rPr>
            <w:rStyle w:val="Hyperlink"/>
          </w:rPr>
          <w:t>“</w:t>
        </w:r>
        <w:r w:rsidR="00BF5FF4" w:rsidRPr="00BF5FF4">
          <w:rPr>
            <w:rStyle w:val="Hyperlink"/>
            <w:i/>
            <w:iCs/>
          </w:rPr>
          <w:t>Type 2 diabetes”</w:t>
        </w:r>
        <w:r w:rsidR="00BF5FF4" w:rsidRPr="00BF5FF4">
          <w:rPr>
            <w:rStyle w:val="Hyperlink"/>
          </w:rPr>
          <w:t xml:space="preserve"> by Centers for Disease Control and Prevention, 2021. Retrieved December 13, 2022.</w:t>
        </w:r>
      </w:hyperlink>
      <w:r w:rsidR="00BF5FF4" w:rsidRPr="00BF5FF4">
        <w:t xml:space="preserve"> </w:t>
      </w:r>
    </w:p>
    <w:p w14:paraId="06443C46" w14:textId="2362B6A3" w:rsidR="00BF5FF4" w:rsidRPr="00BF5FF4" w:rsidRDefault="00000000" w:rsidP="00926EB3">
      <w:pPr>
        <w:pStyle w:val="ListParagraph"/>
        <w:numPr>
          <w:ilvl w:val="0"/>
          <w:numId w:val="192"/>
        </w:numPr>
      </w:pPr>
      <w:hyperlink r:id="rId322" w:history="1">
        <w:r w:rsidR="00BF5FF4" w:rsidRPr="00BF5FF4">
          <w:rPr>
            <w:rStyle w:val="Hyperlink"/>
          </w:rPr>
          <w:t>“Diabetes Impact in South Carolina; Columbia, SC” by SC DHEC, 2022. Retrieved December 13, 2022.</w:t>
        </w:r>
      </w:hyperlink>
      <w:r w:rsidR="00BF5FF4" w:rsidRPr="00BF5FF4">
        <w:t xml:space="preserve"> </w:t>
      </w:r>
    </w:p>
    <w:p w14:paraId="02C8F9EA" w14:textId="3E2005AD" w:rsidR="00BF5FF4" w:rsidRPr="00BF5FF4" w:rsidRDefault="00000000" w:rsidP="00926EB3">
      <w:pPr>
        <w:pStyle w:val="ListParagraph"/>
        <w:numPr>
          <w:ilvl w:val="0"/>
          <w:numId w:val="192"/>
        </w:numPr>
      </w:pPr>
      <w:hyperlink r:id="rId323" w:anchor="/details?q=https://www.cdc.gov/diabetes/library/reports/reportcard/national-state-diabetes-trends.html&amp;start=0&amp;rows=10&amp;url=https://www.cdc.gov/diabetes/library/reports/reportcard/national-state-diabetes-trends.html" w:history="1">
        <w:r w:rsidR="00BF5FF4" w:rsidRPr="00BF5FF4">
          <w:rPr>
            <w:rStyle w:val="Hyperlink"/>
          </w:rPr>
          <w:t>“</w:t>
        </w:r>
        <w:r w:rsidR="00BF5FF4" w:rsidRPr="00BF5FF4">
          <w:rPr>
            <w:rStyle w:val="Hyperlink"/>
            <w:i/>
            <w:iCs/>
          </w:rPr>
          <w:t>National and State Diabetes Trends” by</w:t>
        </w:r>
        <w:r w:rsidR="00BF5FF4" w:rsidRPr="00BF5FF4">
          <w:rPr>
            <w:rStyle w:val="Hyperlink"/>
          </w:rPr>
          <w:t xml:space="preserve"> Centers for Disease Control and Prevention, 2022. Retrieved December 13, 2022.</w:t>
        </w:r>
      </w:hyperlink>
      <w:r w:rsidR="00BF5FF4" w:rsidRPr="00BF5FF4">
        <w:t xml:space="preserve"> </w:t>
      </w:r>
    </w:p>
    <w:p w14:paraId="73282720" w14:textId="303E117F" w:rsidR="00BF5FF4" w:rsidRPr="00BF5FF4" w:rsidRDefault="00000000" w:rsidP="00926EB3">
      <w:pPr>
        <w:pStyle w:val="ListParagraph"/>
        <w:numPr>
          <w:ilvl w:val="0"/>
          <w:numId w:val="192"/>
        </w:numPr>
      </w:pPr>
      <w:hyperlink r:id="rId324" w:history="1">
        <w:r w:rsidR="00BF5FF4" w:rsidRPr="00BF5FF4">
          <w:rPr>
            <w:rStyle w:val="Hyperlink"/>
          </w:rPr>
          <w:t xml:space="preserve">“Geographic distribution of diagnosed diabetes in the U.S.: a diabetes belt” by Barker LE, Kirtland KA, Gregg EW, Geiss LS, Thompson TJ. Published in Am J </w:t>
        </w:r>
        <w:proofErr w:type="spellStart"/>
        <w:r w:rsidR="00BF5FF4" w:rsidRPr="00BF5FF4">
          <w:rPr>
            <w:rStyle w:val="Hyperlink"/>
          </w:rPr>
          <w:t>Prev</w:t>
        </w:r>
        <w:proofErr w:type="spellEnd"/>
        <w:r w:rsidR="00BF5FF4" w:rsidRPr="00BF5FF4">
          <w:rPr>
            <w:rStyle w:val="Hyperlink"/>
          </w:rPr>
          <w:t xml:space="preserve"> Med., 2011.</w:t>
        </w:r>
      </w:hyperlink>
      <w:r w:rsidR="00BF5FF4" w:rsidRPr="00BF5FF4">
        <w:t xml:space="preserve"> </w:t>
      </w:r>
    </w:p>
    <w:p w14:paraId="6671DB67" w14:textId="4A3EC95E" w:rsidR="00BF5FF4" w:rsidRPr="00BF5FF4" w:rsidRDefault="00000000" w:rsidP="00926EB3">
      <w:pPr>
        <w:pStyle w:val="ListParagraph"/>
        <w:numPr>
          <w:ilvl w:val="0"/>
          <w:numId w:val="192"/>
        </w:numPr>
      </w:pPr>
      <w:hyperlink r:id="rId325" w:history="1">
        <w:r w:rsidR="00BF5FF4" w:rsidRPr="00BF5FF4">
          <w:rPr>
            <w:rStyle w:val="Hyperlink"/>
          </w:rPr>
          <w:t>“</w:t>
        </w:r>
        <w:r w:rsidR="00BF5FF4" w:rsidRPr="00BF5FF4">
          <w:rPr>
            <w:rStyle w:val="Hyperlink"/>
            <w:i/>
            <w:iCs/>
          </w:rPr>
          <w:t>CDC identifies diabetes belt” by</w:t>
        </w:r>
        <w:r w:rsidR="00BF5FF4" w:rsidRPr="00BF5FF4">
          <w:rPr>
            <w:rStyle w:val="Hyperlink"/>
          </w:rPr>
          <w:t xml:space="preserve"> Centers for Disease Control and Prevention via stacks.cdc.gov. Retrieved January 27, 2023.</w:t>
        </w:r>
      </w:hyperlink>
      <w:r w:rsidR="00BF5FF4" w:rsidRPr="00BF5FF4">
        <w:t xml:space="preserve"> </w:t>
      </w:r>
    </w:p>
    <w:p w14:paraId="553CF8BA" w14:textId="77777777" w:rsidR="005561F7" w:rsidRDefault="005561F7" w:rsidP="00AE0C75"/>
    <w:p w14:paraId="7E4CF427" w14:textId="2AC49C63" w:rsidR="005561F7" w:rsidRPr="005561F7" w:rsidRDefault="005561F7" w:rsidP="00AE0C75">
      <w:pPr>
        <w:rPr>
          <w:rFonts w:asciiTheme="majorHAnsi" w:eastAsiaTheme="majorEastAsia" w:hAnsiTheme="majorHAnsi" w:cstheme="majorBidi"/>
          <w:color w:val="2F5496" w:themeColor="accent1" w:themeShade="BF"/>
          <w:sz w:val="36"/>
        </w:rPr>
      </w:pPr>
      <w:r w:rsidRPr="005561F7">
        <w:rPr>
          <w:rFonts w:asciiTheme="majorHAnsi" w:eastAsiaTheme="majorEastAsia" w:hAnsiTheme="majorHAnsi" w:cstheme="majorBidi"/>
          <w:color w:val="2F5496" w:themeColor="accent1" w:themeShade="BF"/>
          <w:sz w:val="36"/>
        </w:rPr>
        <w:t>Oral Health</w:t>
      </w:r>
    </w:p>
    <w:p w14:paraId="294E9ACB" w14:textId="772E175C" w:rsidR="005561F7" w:rsidRPr="005561F7" w:rsidRDefault="005561F7" w:rsidP="005561F7">
      <w:pPr>
        <w:rPr>
          <w:b/>
          <w:bCs/>
        </w:rPr>
      </w:pPr>
      <w:r w:rsidRPr="005561F7">
        <w:t>Many oral health problems (i.e., tooth decay, gum disease, oral cancer) can be prevented with routine dental visits. Dentists can detect signs of nutritional deficiencies, bacterial infections, immune disorders, and cancers. Having a chronic disease, such as arthritis, heart disease or stroke, diabetes, emphysema, hepatitis C, a liver condition, or being obese may increase a person’s risk of having missing teeth and poor oral health. Adults 20 or older with diabetes are 40% more likely to have untreated cavities than similar adults without diabetes. Tobacco use and diabetes are two risk factors for gum disease</w:t>
      </w:r>
      <w:r>
        <w:t>.</w:t>
      </w:r>
      <w:r w:rsidRPr="005561F7">
        <w:t xml:space="preserve"> Regular dental visits as an adult, specifically an adult with a chronic disease, is important. Regular dental visits allow for dental professionals to properly evaluate an adult patient with a </w:t>
      </w:r>
      <w:r w:rsidRPr="005561F7">
        <w:lastRenderedPageBreak/>
        <w:t>treatment plan and goals specific to their health conditions and needs, while providing prophylaxis (teeth cleaning), radiographs, examination, and oral health education. Along with proper oral hygiene education and instruction, regular dental visits play an essential part in maintaining positive oral health for a lifetime. Among adults who reported an unmet dental care need, 80% report they could not afford it. Furthermore, 40% of low-income adults had untreated cavities.</w:t>
      </w:r>
    </w:p>
    <w:p w14:paraId="0F25BCED" w14:textId="77777777" w:rsidR="005561F7" w:rsidRDefault="005561F7" w:rsidP="00AE0C75"/>
    <w:p w14:paraId="6D4FE143" w14:textId="77777777" w:rsidR="005561F7" w:rsidRDefault="005561F7" w:rsidP="005561F7">
      <w:pPr>
        <w:pStyle w:val="Heading4"/>
      </w:pPr>
      <w:bookmarkStart w:id="734" w:name="_Toc154576500"/>
      <w:bookmarkStart w:id="735" w:name="_Toc162267496"/>
      <w:r w:rsidRPr="00115A6A">
        <w:t>Figure 9.18: Adults Who Were Seen by a Dentist in the Past Year for Any Reason, by Income Level.</w:t>
      </w:r>
      <w:bookmarkEnd w:id="734"/>
      <w:bookmarkEnd w:id="735"/>
    </w:p>
    <w:tbl>
      <w:tblPr>
        <w:tblStyle w:val="TableGrid"/>
        <w:tblW w:w="0" w:type="auto"/>
        <w:tblLook w:val="04A0" w:firstRow="1" w:lastRow="0" w:firstColumn="1" w:lastColumn="0" w:noHBand="0" w:noVBand="1"/>
      </w:tblPr>
      <w:tblGrid>
        <w:gridCol w:w="4675"/>
        <w:gridCol w:w="4675"/>
      </w:tblGrid>
      <w:tr w:rsidR="005561F7" w14:paraId="6976111B" w14:textId="77777777" w:rsidTr="001B41BD">
        <w:tc>
          <w:tcPr>
            <w:tcW w:w="4675" w:type="dxa"/>
          </w:tcPr>
          <w:p w14:paraId="2C81AF7E" w14:textId="77777777" w:rsidR="005561F7" w:rsidRDefault="005561F7" w:rsidP="001B41BD">
            <w:r>
              <w:t>Income Level</w:t>
            </w:r>
          </w:p>
        </w:tc>
        <w:tc>
          <w:tcPr>
            <w:tcW w:w="4675" w:type="dxa"/>
          </w:tcPr>
          <w:p w14:paraId="06363AAF" w14:textId="77777777" w:rsidR="005561F7" w:rsidRDefault="005561F7" w:rsidP="001B41BD">
            <w:r>
              <w:t>Percent</w:t>
            </w:r>
          </w:p>
        </w:tc>
      </w:tr>
      <w:tr w:rsidR="005561F7" w14:paraId="034BDFBA" w14:textId="77777777" w:rsidTr="001B41BD">
        <w:tc>
          <w:tcPr>
            <w:tcW w:w="4675" w:type="dxa"/>
            <w:vAlign w:val="bottom"/>
          </w:tcPr>
          <w:p w14:paraId="717B2839" w14:textId="77777777" w:rsidR="005561F7" w:rsidRDefault="005561F7" w:rsidP="001B41BD">
            <w:r>
              <w:t>&lt;$15K</w:t>
            </w:r>
          </w:p>
        </w:tc>
        <w:tc>
          <w:tcPr>
            <w:tcW w:w="4675" w:type="dxa"/>
            <w:vAlign w:val="center"/>
          </w:tcPr>
          <w:p w14:paraId="1CC316BC" w14:textId="77777777" w:rsidR="005561F7" w:rsidRDefault="005561F7" w:rsidP="001B41BD">
            <w:r>
              <w:t>46.1%</w:t>
            </w:r>
          </w:p>
        </w:tc>
      </w:tr>
      <w:tr w:rsidR="005561F7" w14:paraId="13DD7CBF" w14:textId="77777777" w:rsidTr="001B41BD">
        <w:tc>
          <w:tcPr>
            <w:tcW w:w="4675" w:type="dxa"/>
            <w:vAlign w:val="bottom"/>
          </w:tcPr>
          <w:p w14:paraId="10D2833E" w14:textId="77777777" w:rsidR="005561F7" w:rsidRDefault="005561F7" w:rsidP="001B41BD">
            <w:r>
              <w:t>$15K-&lt;$25K</w:t>
            </w:r>
          </w:p>
        </w:tc>
        <w:tc>
          <w:tcPr>
            <w:tcW w:w="4675" w:type="dxa"/>
            <w:vAlign w:val="center"/>
          </w:tcPr>
          <w:p w14:paraId="77019C7E" w14:textId="77777777" w:rsidR="005561F7" w:rsidRDefault="005561F7" w:rsidP="001B41BD">
            <w:r>
              <w:t>53.2%</w:t>
            </w:r>
          </w:p>
        </w:tc>
      </w:tr>
      <w:tr w:rsidR="005561F7" w14:paraId="0530ACBE" w14:textId="77777777" w:rsidTr="001B41BD">
        <w:tc>
          <w:tcPr>
            <w:tcW w:w="4675" w:type="dxa"/>
            <w:vAlign w:val="bottom"/>
          </w:tcPr>
          <w:p w14:paraId="33075F50" w14:textId="77777777" w:rsidR="005561F7" w:rsidRDefault="005561F7" w:rsidP="001B41BD">
            <w:r>
              <w:t>$25K-&lt;$35K</w:t>
            </w:r>
          </w:p>
        </w:tc>
        <w:tc>
          <w:tcPr>
            <w:tcW w:w="4675" w:type="dxa"/>
            <w:vAlign w:val="center"/>
          </w:tcPr>
          <w:p w14:paraId="3CE0552E" w14:textId="77777777" w:rsidR="005561F7" w:rsidRDefault="005561F7" w:rsidP="001B41BD">
            <w:r>
              <w:t>56.5%</w:t>
            </w:r>
          </w:p>
        </w:tc>
      </w:tr>
      <w:tr w:rsidR="005561F7" w14:paraId="4E74A50A" w14:textId="77777777" w:rsidTr="001B41BD">
        <w:tc>
          <w:tcPr>
            <w:tcW w:w="4675" w:type="dxa"/>
            <w:vAlign w:val="bottom"/>
          </w:tcPr>
          <w:p w14:paraId="375F9F22" w14:textId="77777777" w:rsidR="005561F7" w:rsidRDefault="005561F7" w:rsidP="001B41BD">
            <w:r>
              <w:t>$35K-&lt;$50K</w:t>
            </w:r>
          </w:p>
        </w:tc>
        <w:tc>
          <w:tcPr>
            <w:tcW w:w="4675" w:type="dxa"/>
            <w:vAlign w:val="bottom"/>
          </w:tcPr>
          <w:p w14:paraId="6A68B856" w14:textId="77777777" w:rsidR="005561F7" w:rsidRDefault="005561F7" w:rsidP="001B41BD">
            <w:r>
              <w:t>67.1%</w:t>
            </w:r>
          </w:p>
        </w:tc>
      </w:tr>
      <w:tr w:rsidR="005561F7" w14:paraId="0DBA4834" w14:textId="77777777" w:rsidTr="001B41BD">
        <w:tc>
          <w:tcPr>
            <w:tcW w:w="4675" w:type="dxa"/>
            <w:vAlign w:val="bottom"/>
          </w:tcPr>
          <w:p w14:paraId="6BEC5CC1" w14:textId="77777777" w:rsidR="005561F7" w:rsidRDefault="005561F7" w:rsidP="001B41BD">
            <w:r>
              <w:t>$50K+</w:t>
            </w:r>
          </w:p>
        </w:tc>
        <w:tc>
          <w:tcPr>
            <w:tcW w:w="4675" w:type="dxa"/>
            <w:vAlign w:val="bottom"/>
          </w:tcPr>
          <w:p w14:paraId="65AF3612" w14:textId="77777777" w:rsidR="005561F7" w:rsidRDefault="005561F7" w:rsidP="001B41BD">
            <w:r>
              <w:t>79.7%</w:t>
            </w:r>
          </w:p>
        </w:tc>
      </w:tr>
    </w:tbl>
    <w:p w14:paraId="3E70A970" w14:textId="77777777" w:rsidR="005561F7" w:rsidRPr="00044D16" w:rsidRDefault="005561F7" w:rsidP="005561F7">
      <w:r w:rsidRPr="00044D16">
        <w:t xml:space="preserve">Source: SC BRFSS, 2020. </w:t>
      </w:r>
    </w:p>
    <w:p w14:paraId="03211086" w14:textId="77777777" w:rsidR="005561F7" w:rsidRPr="00044D16" w:rsidRDefault="005561F7" w:rsidP="005561F7">
      <w:r w:rsidRPr="00044D16">
        <w:t>Note: Adults 18+.</w:t>
      </w:r>
    </w:p>
    <w:p w14:paraId="6F6032EF" w14:textId="77777777" w:rsidR="005561F7" w:rsidRDefault="005561F7" w:rsidP="00AE0C75"/>
    <w:p w14:paraId="6114028F" w14:textId="77777777" w:rsidR="005561F7" w:rsidRDefault="005561F7" w:rsidP="005561F7">
      <w:pPr>
        <w:pStyle w:val="Heading4"/>
      </w:pPr>
      <w:bookmarkStart w:id="736" w:name="_Toc162267497"/>
      <w:r w:rsidRPr="00AE0C75">
        <w:t>Data Interpretations:</w:t>
      </w:r>
      <w:bookmarkEnd w:id="736"/>
      <w:r w:rsidRPr="00AE0C75">
        <w:t xml:space="preserve"> </w:t>
      </w:r>
    </w:p>
    <w:p w14:paraId="09EB0D76" w14:textId="4A31867F" w:rsidR="005561F7" w:rsidRPr="005561F7" w:rsidRDefault="005561F7" w:rsidP="005561F7">
      <w:r w:rsidRPr="005561F7">
        <w:t>Two-thirds (67.7%) of SC adults visited the dentist within the past year for any reason. In 2020, the median prevalence of adults visiting a dentist in the past year was 66.7% in the US. In 2020, SC residents who had an annual household income of $50,000 or more (79.7%) had a higher prevalence of visiting a dentist compared to those making less than $50,000 a year (</w:t>
      </w:r>
      <w:r w:rsidRPr="005561F7">
        <w:rPr>
          <w:b/>
          <w:bCs/>
        </w:rPr>
        <w:t>Figure 9.18</w:t>
      </w:r>
      <w:r w:rsidRPr="005561F7">
        <w:t>). More females (70.9%) visited the dentist compared to males (64.2%). Visiting the dentist was highest among non-Hispanic White adults (70.2%) compared to other racial/ethnicity groups. Those with health insurance (72.0%) visited the dentist more often than those without health insurance (41.3%).</w:t>
      </w:r>
    </w:p>
    <w:p w14:paraId="6E5DC8DB" w14:textId="77777777" w:rsidR="005561F7" w:rsidRDefault="005561F7" w:rsidP="00AE0C75"/>
    <w:p w14:paraId="7D8FA962" w14:textId="4B95E2EF" w:rsidR="005561F7" w:rsidRDefault="005561F7" w:rsidP="0060334A">
      <w:pPr>
        <w:pStyle w:val="Heading5"/>
      </w:pPr>
      <w:r w:rsidRPr="005561F7">
        <w:t xml:space="preserve">Key Takeaways: </w:t>
      </w:r>
    </w:p>
    <w:p w14:paraId="6F06FCDF" w14:textId="77777777" w:rsidR="005561F7" w:rsidRPr="005561F7" w:rsidRDefault="005561F7" w:rsidP="00926EB3">
      <w:pPr>
        <w:pStyle w:val="ListParagraph"/>
        <w:numPr>
          <w:ilvl w:val="0"/>
          <w:numId w:val="228"/>
        </w:numPr>
      </w:pPr>
      <w:r w:rsidRPr="005561F7">
        <w:t>Regular dental visits as an adult, specifically an adult with a chronic disease, is important.</w:t>
      </w:r>
    </w:p>
    <w:p w14:paraId="55086EE0" w14:textId="77777777" w:rsidR="005561F7" w:rsidRPr="005561F7" w:rsidRDefault="005561F7" w:rsidP="00AE0C75">
      <w:pPr>
        <w:rPr>
          <w:b/>
          <w:bCs/>
        </w:rPr>
      </w:pPr>
    </w:p>
    <w:p w14:paraId="6E5F6FB0" w14:textId="5E8E138B" w:rsidR="005561F7" w:rsidRPr="005561F7" w:rsidRDefault="005561F7" w:rsidP="005561F7">
      <w:pPr>
        <w:pStyle w:val="Heading4"/>
        <w:rPr>
          <w:rFonts w:asciiTheme="minorHAnsi" w:hAnsiTheme="minorHAnsi" w:cstheme="minorHAnsi"/>
          <w:color w:val="000000" w:themeColor="text1"/>
        </w:rPr>
      </w:pPr>
      <w:bookmarkStart w:id="737" w:name="_Toc162267498"/>
      <w:r w:rsidRPr="005561F7">
        <w:rPr>
          <w:rFonts w:asciiTheme="minorHAnsi" w:hAnsiTheme="minorHAnsi" w:cstheme="minorHAnsi"/>
          <w:color w:val="000000" w:themeColor="text1"/>
        </w:rPr>
        <w:t>References 9.9</w:t>
      </w:r>
      <w:bookmarkEnd w:id="737"/>
      <w:r w:rsidRPr="005561F7">
        <w:rPr>
          <w:rFonts w:asciiTheme="minorHAnsi" w:hAnsiTheme="minorHAnsi" w:cstheme="minorHAnsi"/>
          <w:color w:val="000000" w:themeColor="text1"/>
        </w:rPr>
        <w:t xml:space="preserve"> </w:t>
      </w:r>
    </w:p>
    <w:p w14:paraId="736FECCB" w14:textId="77777777" w:rsidR="00113B57" w:rsidRDefault="005561F7" w:rsidP="00BF5FF4">
      <w:r w:rsidRPr="005561F7">
        <w:t>Statistics in the preceding section were referenced from the following reports:</w:t>
      </w:r>
      <w:r w:rsidR="00BF5FF4" w:rsidRPr="00BF5FF4">
        <w:t xml:space="preserve"> </w:t>
      </w:r>
    </w:p>
    <w:p w14:paraId="1E992FE5" w14:textId="736490DE" w:rsidR="00BF5FF4" w:rsidRPr="00113B57" w:rsidRDefault="00113B57" w:rsidP="00926EB3">
      <w:pPr>
        <w:pStyle w:val="ListParagraph"/>
        <w:numPr>
          <w:ilvl w:val="0"/>
          <w:numId w:val="192"/>
        </w:numPr>
      </w:pPr>
      <w:r w:rsidRPr="00113B57">
        <w:t>“</w:t>
      </w:r>
      <w:r w:rsidR="00BF5FF4" w:rsidRPr="00113B57">
        <w:t xml:space="preserve">The World Oral Health Report 2003. Continuous improvement of oral health in the 21st century – the approach of the WHO Global Oral Health </w:t>
      </w:r>
      <w:proofErr w:type="spellStart"/>
      <w:r w:rsidR="00BF5FF4" w:rsidRPr="00113B57">
        <w:lastRenderedPageBreak/>
        <w:t>Programme</w:t>
      </w:r>
      <w:proofErr w:type="spellEnd"/>
      <w:r w:rsidRPr="00113B57">
        <w:t>” by Petersen, P.E</w:t>
      </w:r>
      <w:r w:rsidR="00BF5FF4" w:rsidRPr="00113B57">
        <w:t>.</w:t>
      </w:r>
      <w:r w:rsidRPr="00113B57">
        <w:t xml:space="preserve"> Published in</w:t>
      </w:r>
      <w:r w:rsidR="00BF5FF4" w:rsidRPr="00113B57">
        <w:t xml:space="preserve"> Community Dentistry and Oral Epidemiology, </w:t>
      </w:r>
      <w:r w:rsidRPr="00113B57">
        <w:t>2003. No hyperlink.</w:t>
      </w:r>
    </w:p>
    <w:p w14:paraId="75CF21C8" w14:textId="471E982A" w:rsidR="00BF5FF4" w:rsidRPr="00113B57" w:rsidRDefault="00000000" w:rsidP="00926EB3">
      <w:pPr>
        <w:pStyle w:val="ListParagraph"/>
        <w:numPr>
          <w:ilvl w:val="0"/>
          <w:numId w:val="192"/>
        </w:numPr>
      </w:pPr>
      <w:hyperlink r:id="rId326" w:history="1">
        <w:r w:rsidR="00BF5FF4" w:rsidRPr="00113B57">
          <w:rPr>
            <w:rStyle w:val="Hyperlink"/>
          </w:rPr>
          <w:t xml:space="preserve"> </w:t>
        </w:r>
        <w:r w:rsidR="00113B57" w:rsidRPr="00113B57">
          <w:rPr>
            <w:rStyle w:val="Hyperlink"/>
          </w:rPr>
          <w:t>“</w:t>
        </w:r>
        <w:r w:rsidR="00BF5FF4" w:rsidRPr="00113B57">
          <w:rPr>
            <w:rStyle w:val="Hyperlink"/>
          </w:rPr>
          <w:t>Adult oral health</w:t>
        </w:r>
        <w:r w:rsidR="00113B57" w:rsidRPr="00113B57">
          <w:rPr>
            <w:rStyle w:val="Hyperlink"/>
          </w:rPr>
          <w:t>” by</w:t>
        </w:r>
        <w:r w:rsidR="00BF5FF4" w:rsidRPr="00113B57">
          <w:rPr>
            <w:rStyle w:val="Hyperlink"/>
          </w:rPr>
          <w:t xml:space="preserve"> Centers for Disease Control and Prevention</w:t>
        </w:r>
        <w:r w:rsidR="00113B57" w:rsidRPr="00113B57">
          <w:rPr>
            <w:rStyle w:val="Hyperlink"/>
          </w:rPr>
          <w:t>, 2020</w:t>
        </w:r>
        <w:r w:rsidR="00BF5FF4" w:rsidRPr="00113B57">
          <w:rPr>
            <w:rStyle w:val="Hyperlink"/>
          </w:rPr>
          <w:t>. Retrieved January 3, 2023</w:t>
        </w:r>
        <w:r w:rsidR="00113B57" w:rsidRPr="00113B57">
          <w:rPr>
            <w:rStyle w:val="Hyperlink"/>
          </w:rPr>
          <w:t>.</w:t>
        </w:r>
      </w:hyperlink>
      <w:r w:rsidR="00BF5FF4" w:rsidRPr="00113B57">
        <w:t xml:space="preserve"> </w:t>
      </w:r>
    </w:p>
    <w:p w14:paraId="264FDB56" w14:textId="3C7D7A1F" w:rsidR="00BF5FF4" w:rsidRPr="00113B57" w:rsidRDefault="00000000" w:rsidP="00926EB3">
      <w:pPr>
        <w:pStyle w:val="ListParagraph"/>
        <w:numPr>
          <w:ilvl w:val="0"/>
          <w:numId w:val="192"/>
        </w:numPr>
      </w:pPr>
      <w:hyperlink r:id="rId327" w:history="1">
        <w:r w:rsidR="00113B57" w:rsidRPr="00113B57">
          <w:rPr>
            <w:rStyle w:val="Hyperlink"/>
          </w:rPr>
          <w:t>“</w:t>
        </w:r>
        <w:r w:rsidR="00BF5FF4" w:rsidRPr="00113B57">
          <w:rPr>
            <w:rStyle w:val="Hyperlink"/>
          </w:rPr>
          <w:t>Diabetes</w:t>
        </w:r>
        <w:r w:rsidR="00113B57" w:rsidRPr="00113B57">
          <w:rPr>
            <w:rStyle w:val="Hyperlink"/>
          </w:rPr>
          <w:t>” by</w:t>
        </w:r>
        <w:r w:rsidR="00BF5FF4" w:rsidRPr="00113B57">
          <w:rPr>
            <w:rStyle w:val="Hyperlink"/>
          </w:rPr>
          <w:t xml:space="preserve"> Centers for Disease Control and Prevention</w:t>
        </w:r>
        <w:r w:rsidR="00113B57" w:rsidRPr="00113B57">
          <w:rPr>
            <w:rStyle w:val="Hyperlink"/>
          </w:rPr>
          <w:t>, 2022</w:t>
        </w:r>
        <w:r w:rsidR="00BF5FF4" w:rsidRPr="00113B57">
          <w:rPr>
            <w:rStyle w:val="Hyperlink"/>
          </w:rPr>
          <w:t>. Retrieved January 3, 2023</w:t>
        </w:r>
        <w:r w:rsidR="00113B57" w:rsidRPr="00113B57">
          <w:rPr>
            <w:rStyle w:val="Hyperlink"/>
          </w:rPr>
          <w:t>.</w:t>
        </w:r>
      </w:hyperlink>
    </w:p>
    <w:p w14:paraId="609E3873" w14:textId="6E8B7044" w:rsidR="00BF5FF4" w:rsidRPr="00113B57" w:rsidRDefault="00000000" w:rsidP="00926EB3">
      <w:pPr>
        <w:pStyle w:val="ListParagraph"/>
        <w:numPr>
          <w:ilvl w:val="0"/>
          <w:numId w:val="192"/>
        </w:numPr>
      </w:pPr>
      <w:hyperlink r:id="rId328" w:history="1">
        <w:r w:rsidR="00113B57" w:rsidRPr="00113B57">
          <w:rPr>
            <w:rStyle w:val="Hyperlink"/>
          </w:rPr>
          <w:t>“</w:t>
        </w:r>
        <w:r w:rsidR="00BF5FF4" w:rsidRPr="00113B57">
          <w:rPr>
            <w:rStyle w:val="Hyperlink"/>
          </w:rPr>
          <w:t>Oral Health Fast Facts</w:t>
        </w:r>
        <w:r w:rsidR="00113B57" w:rsidRPr="00113B57">
          <w:rPr>
            <w:rStyle w:val="Hyperlink"/>
          </w:rPr>
          <w:t>” by</w:t>
        </w:r>
        <w:r w:rsidR="00BF5FF4" w:rsidRPr="00113B57">
          <w:rPr>
            <w:rStyle w:val="Hyperlink"/>
          </w:rPr>
          <w:t xml:space="preserve"> Centers for Disease Control and Prevention</w:t>
        </w:r>
        <w:r w:rsidR="00113B57" w:rsidRPr="00113B57">
          <w:rPr>
            <w:rStyle w:val="Hyperlink"/>
          </w:rPr>
          <w:t>, 2021</w:t>
        </w:r>
        <w:r w:rsidR="00BF5FF4" w:rsidRPr="00113B57">
          <w:rPr>
            <w:rStyle w:val="Hyperlink"/>
          </w:rPr>
          <w:t>. Retrieved January 3, 2023</w:t>
        </w:r>
        <w:r w:rsidR="00113B57" w:rsidRPr="00113B57">
          <w:rPr>
            <w:rStyle w:val="Hyperlink"/>
          </w:rPr>
          <w:t>.</w:t>
        </w:r>
      </w:hyperlink>
    </w:p>
    <w:p w14:paraId="30E8752F" w14:textId="1E5F775A" w:rsidR="00BF5FF4" w:rsidRPr="00113B57" w:rsidRDefault="00000000" w:rsidP="00926EB3">
      <w:pPr>
        <w:pStyle w:val="ListParagraph"/>
        <w:numPr>
          <w:ilvl w:val="0"/>
          <w:numId w:val="192"/>
        </w:numPr>
      </w:pPr>
      <w:hyperlink r:id="rId329" w:history="1">
        <w:r w:rsidR="00113B57" w:rsidRPr="00113B57">
          <w:rPr>
            <w:rStyle w:val="Hyperlink"/>
          </w:rPr>
          <w:t>“</w:t>
        </w:r>
        <w:r w:rsidR="00BF5FF4" w:rsidRPr="00113B57">
          <w:rPr>
            <w:rStyle w:val="Hyperlink"/>
          </w:rPr>
          <w:t>Disparities in oral health</w:t>
        </w:r>
        <w:r w:rsidR="00113B57" w:rsidRPr="00113B57">
          <w:rPr>
            <w:rStyle w:val="Hyperlink"/>
          </w:rPr>
          <w:t>” by</w:t>
        </w:r>
        <w:r w:rsidR="00BF5FF4" w:rsidRPr="00113B57">
          <w:rPr>
            <w:rStyle w:val="Hyperlink"/>
          </w:rPr>
          <w:t xml:space="preserve"> Centers for Disease Control and Prevention</w:t>
        </w:r>
        <w:r w:rsidR="00113B57" w:rsidRPr="00113B57">
          <w:rPr>
            <w:rStyle w:val="Hyperlink"/>
          </w:rPr>
          <w:t>, 2021</w:t>
        </w:r>
        <w:r w:rsidR="00BF5FF4" w:rsidRPr="00113B57">
          <w:rPr>
            <w:rStyle w:val="Hyperlink"/>
          </w:rPr>
          <w:t>. Retrieved January 3, 2023</w:t>
        </w:r>
        <w:r w:rsidR="00113B57" w:rsidRPr="00113B57">
          <w:rPr>
            <w:rStyle w:val="Hyperlink"/>
          </w:rPr>
          <w:t>.</w:t>
        </w:r>
      </w:hyperlink>
    </w:p>
    <w:p w14:paraId="5E153357" w14:textId="77777777" w:rsidR="005561F7" w:rsidRDefault="005561F7" w:rsidP="00AE0C75"/>
    <w:p w14:paraId="186882F6" w14:textId="77777777" w:rsidR="005561F7" w:rsidRPr="005561F7" w:rsidRDefault="005561F7" w:rsidP="005561F7">
      <w:pPr>
        <w:pStyle w:val="Heading3"/>
      </w:pPr>
      <w:bookmarkStart w:id="738" w:name="_Toc162267499"/>
      <w:r w:rsidRPr="005561F7">
        <w:t>Cigarette Smoking</w:t>
      </w:r>
      <w:bookmarkEnd w:id="738"/>
    </w:p>
    <w:p w14:paraId="4C33A32B" w14:textId="42C38F2C" w:rsidR="005561F7" w:rsidRPr="005561F7" w:rsidRDefault="005561F7" w:rsidP="005561F7">
      <w:r w:rsidRPr="005561F7">
        <w:t>Commercial tobacco use remains the leading cause of preventable death in SC and is causally linked to type 2 diabetes, COPD, high blood pressure, heart disease, and many different types of cancer. The nicotine found in commercial tobacco products is highly addictive and difficult to quit. In addition to causing chronic health conditions, the use of commercial tobacco products worsens existing chronic conditions. For example, people with diabetes who smoke are more likely than those who do not smoke to have trouble with insulin dosing and with managing their condition. Use of commercial tobacco products also decreases the effectiveness of cancer treatments and weakens the immune system.</w:t>
      </w:r>
    </w:p>
    <w:p w14:paraId="3CDE5E41" w14:textId="77777777" w:rsidR="005561F7" w:rsidRDefault="005561F7" w:rsidP="005561F7"/>
    <w:p w14:paraId="0F882FB5" w14:textId="1E6711A0" w:rsidR="005561F7" w:rsidRDefault="005561F7" w:rsidP="005561F7">
      <w:pPr>
        <w:rPr>
          <w:b/>
          <w:bCs/>
        </w:rPr>
      </w:pPr>
      <w:r w:rsidRPr="005561F7">
        <w:t>Factors that impact exposure to and use of commercial tobacco products like cigarettes include mental/behavioral health, income, education, smoke-free/tobacco-free protections, and industry marketing. Under-resourced areas and people experiencing significant stress and pressure in everyday life also see higher rates of tobacco use. This is especially true for certain racial and ethnic groups, as well as for LGBTQ+ people.</w:t>
      </w:r>
    </w:p>
    <w:p w14:paraId="305C8D26" w14:textId="77777777" w:rsidR="005561F7" w:rsidRDefault="005561F7" w:rsidP="005561F7">
      <w:pPr>
        <w:rPr>
          <w:b/>
          <w:bCs/>
        </w:rPr>
      </w:pPr>
    </w:p>
    <w:p w14:paraId="728AEA21" w14:textId="77777777" w:rsidR="005561F7" w:rsidRDefault="005561F7" w:rsidP="005561F7">
      <w:pPr>
        <w:pStyle w:val="Heading4"/>
      </w:pPr>
      <w:bookmarkStart w:id="739" w:name="_Toc154576501"/>
      <w:bookmarkStart w:id="740" w:name="_Toc162267500"/>
      <w:r>
        <w:t>Figure 9.19: Current Cigarette Smoking Among Adults.</w:t>
      </w:r>
      <w:bookmarkEnd w:id="739"/>
      <w:bookmarkEnd w:id="740"/>
      <w:r>
        <w:t xml:space="preserve"> </w:t>
      </w:r>
    </w:p>
    <w:tbl>
      <w:tblPr>
        <w:tblStyle w:val="TableGrid"/>
        <w:tblW w:w="0" w:type="auto"/>
        <w:tblLook w:val="04A0" w:firstRow="1" w:lastRow="0" w:firstColumn="1" w:lastColumn="0" w:noHBand="0" w:noVBand="1"/>
      </w:tblPr>
      <w:tblGrid>
        <w:gridCol w:w="3116"/>
        <w:gridCol w:w="3117"/>
        <w:gridCol w:w="3117"/>
      </w:tblGrid>
      <w:tr w:rsidR="005561F7" w14:paraId="529A455C" w14:textId="77777777" w:rsidTr="001B41BD">
        <w:tc>
          <w:tcPr>
            <w:tcW w:w="3116" w:type="dxa"/>
            <w:vAlign w:val="bottom"/>
          </w:tcPr>
          <w:p w14:paraId="5644DA31" w14:textId="77777777" w:rsidR="005561F7" w:rsidRPr="00044D16" w:rsidRDefault="005561F7" w:rsidP="001B41BD">
            <w:r>
              <w:t>Year</w:t>
            </w:r>
          </w:p>
        </w:tc>
        <w:tc>
          <w:tcPr>
            <w:tcW w:w="3117" w:type="dxa"/>
            <w:vAlign w:val="bottom"/>
          </w:tcPr>
          <w:p w14:paraId="2A7365E4" w14:textId="77777777" w:rsidR="005561F7" w:rsidRPr="00044D16" w:rsidRDefault="005561F7" w:rsidP="001B41BD">
            <w:r w:rsidRPr="00044D16">
              <w:t>SC</w:t>
            </w:r>
          </w:p>
        </w:tc>
        <w:tc>
          <w:tcPr>
            <w:tcW w:w="3117" w:type="dxa"/>
            <w:vAlign w:val="bottom"/>
          </w:tcPr>
          <w:p w14:paraId="2818985F" w14:textId="77777777" w:rsidR="005561F7" w:rsidRPr="00044D16" w:rsidRDefault="005561F7" w:rsidP="001B41BD">
            <w:r w:rsidRPr="00044D16">
              <w:t>Healthy People 2030 Goal</w:t>
            </w:r>
          </w:p>
        </w:tc>
      </w:tr>
      <w:tr w:rsidR="005561F7" w14:paraId="72AF87E4" w14:textId="77777777" w:rsidTr="001B41BD">
        <w:tc>
          <w:tcPr>
            <w:tcW w:w="3116" w:type="dxa"/>
            <w:vAlign w:val="bottom"/>
          </w:tcPr>
          <w:p w14:paraId="0363B3E4" w14:textId="77777777" w:rsidR="005561F7" w:rsidRPr="00044D16" w:rsidRDefault="005561F7" w:rsidP="001B41BD">
            <w:r w:rsidRPr="00044D16">
              <w:t>2012</w:t>
            </w:r>
          </w:p>
        </w:tc>
        <w:tc>
          <w:tcPr>
            <w:tcW w:w="3117" w:type="dxa"/>
            <w:vAlign w:val="bottom"/>
          </w:tcPr>
          <w:p w14:paraId="22F8E0A9" w14:textId="77777777" w:rsidR="005561F7" w:rsidRPr="00044D16" w:rsidRDefault="005561F7" w:rsidP="001B41BD">
            <w:r w:rsidRPr="00044D16">
              <w:t>23.1%</w:t>
            </w:r>
          </w:p>
        </w:tc>
        <w:tc>
          <w:tcPr>
            <w:tcW w:w="3117" w:type="dxa"/>
            <w:vAlign w:val="bottom"/>
          </w:tcPr>
          <w:p w14:paraId="40CF7B07" w14:textId="77777777" w:rsidR="005561F7" w:rsidRPr="00044D16" w:rsidRDefault="005561F7" w:rsidP="001B41BD">
            <w:r w:rsidRPr="00044D16">
              <w:t>6.1%</w:t>
            </w:r>
          </w:p>
        </w:tc>
      </w:tr>
      <w:tr w:rsidR="005561F7" w14:paraId="4AF04349" w14:textId="77777777" w:rsidTr="001B41BD">
        <w:tc>
          <w:tcPr>
            <w:tcW w:w="3116" w:type="dxa"/>
            <w:vAlign w:val="bottom"/>
          </w:tcPr>
          <w:p w14:paraId="52FD398D" w14:textId="77777777" w:rsidR="005561F7" w:rsidRPr="00044D16" w:rsidRDefault="005561F7" w:rsidP="001B41BD">
            <w:r w:rsidRPr="00044D16">
              <w:t>2013</w:t>
            </w:r>
          </w:p>
        </w:tc>
        <w:tc>
          <w:tcPr>
            <w:tcW w:w="3117" w:type="dxa"/>
            <w:vAlign w:val="bottom"/>
          </w:tcPr>
          <w:p w14:paraId="5795BC80" w14:textId="77777777" w:rsidR="005561F7" w:rsidRPr="00044D16" w:rsidRDefault="005561F7" w:rsidP="001B41BD">
            <w:r w:rsidRPr="00044D16">
              <w:t>22.6%</w:t>
            </w:r>
          </w:p>
        </w:tc>
        <w:tc>
          <w:tcPr>
            <w:tcW w:w="3117" w:type="dxa"/>
            <w:vAlign w:val="bottom"/>
          </w:tcPr>
          <w:p w14:paraId="266D5205" w14:textId="77777777" w:rsidR="005561F7" w:rsidRPr="00044D16" w:rsidRDefault="005561F7" w:rsidP="001B41BD">
            <w:r w:rsidRPr="00044D16">
              <w:t>6.1%</w:t>
            </w:r>
          </w:p>
        </w:tc>
      </w:tr>
      <w:tr w:rsidR="005561F7" w14:paraId="6045B351" w14:textId="77777777" w:rsidTr="001B41BD">
        <w:tc>
          <w:tcPr>
            <w:tcW w:w="3116" w:type="dxa"/>
            <w:vAlign w:val="bottom"/>
          </w:tcPr>
          <w:p w14:paraId="7E522D92" w14:textId="77777777" w:rsidR="005561F7" w:rsidRPr="00044D16" w:rsidRDefault="005561F7" w:rsidP="001B41BD">
            <w:r w:rsidRPr="00044D16">
              <w:t>2014</w:t>
            </w:r>
          </w:p>
        </w:tc>
        <w:tc>
          <w:tcPr>
            <w:tcW w:w="3117" w:type="dxa"/>
            <w:vAlign w:val="bottom"/>
          </w:tcPr>
          <w:p w14:paraId="31AB2304" w14:textId="77777777" w:rsidR="005561F7" w:rsidRPr="00044D16" w:rsidRDefault="005561F7" w:rsidP="001B41BD">
            <w:r w:rsidRPr="00044D16">
              <w:t>22.2%</w:t>
            </w:r>
          </w:p>
        </w:tc>
        <w:tc>
          <w:tcPr>
            <w:tcW w:w="3117" w:type="dxa"/>
            <w:vAlign w:val="bottom"/>
          </w:tcPr>
          <w:p w14:paraId="0D6B165D" w14:textId="77777777" w:rsidR="005561F7" w:rsidRPr="00044D16" w:rsidRDefault="005561F7" w:rsidP="001B41BD">
            <w:r w:rsidRPr="00044D16">
              <w:t>6.1%</w:t>
            </w:r>
          </w:p>
        </w:tc>
      </w:tr>
      <w:tr w:rsidR="005561F7" w14:paraId="0C59AB54" w14:textId="77777777" w:rsidTr="001B41BD">
        <w:tc>
          <w:tcPr>
            <w:tcW w:w="3116" w:type="dxa"/>
            <w:vAlign w:val="bottom"/>
          </w:tcPr>
          <w:p w14:paraId="6CFD19D7" w14:textId="77777777" w:rsidR="005561F7" w:rsidRPr="00044D16" w:rsidRDefault="005561F7" w:rsidP="001B41BD">
            <w:r w:rsidRPr="00044D16">
              <w:t>2015</w:t>
            </w:r>
          </w:p>
        </w:tc>
        <w:tc>
          <w:tcPr>
            <w:tcW w:w="3117" w:type="dxa"/>
            <w:vAlign w:val="bottom"/>
          </w:tcPr>
          <w:p w14:paraId="44D55121" w14:textId="77777777" w:rsidR="005561F7" w:rsidRPr="00044D16" w:rsidRDefault="005561F7" w:rsidP="001B41BD">
            <w:r w:rsidRPr="00044D16">
              <w:t>20.3%</w:t>
            </w:r>
          </w:p>
        </w:tc>
        <w:tc>
          <w:tcPr>
            <w:tcW w:w="3117" w:type="dxa"/>
            <w:vAlign w:val="bottom"/>
          </w:tcPr>
          <w:p w14:paraId="46963AC6" w14:textId="77777777" w:rsidR="005561F7" w:rsidRPr="00044D16" w:rsidRDefault="005561F7" w:rsidP="001B41BD">
            <w:r w:rsidRPr="00044D16">
              <w:t>6.1%</w:t>
            </w:r>
          </w:p>
        </w:tc>
      </w:tr>
      <w:tr w:rsidR="005561F7" w14:paraId="56A50CD6" w14:textId="77777777" w:rsidTr="001B41BD">
        <w:tc>
          <w:tcPr>
            <w:tcW w:w="3116" w:type="dxa"/>
            <w:vAlign w:val="bottom"/>
          </w:tcPr>
          <w:p w14:paraId="670E707B" w14:textId="77777777" w:rsidR="005561F7" w:rsidRPr="00044D16" w:rsidRDefault="005561F7" w:rsidP="001B41BD">
            <w:r w:rsidRPr="00044D16">
              <w:t>2016</w:t>
            </w:r>
          </w:p>
        </w:tc>
        <w:tc>
          <w:tcPr>
            <w:tcW w:w="3117" w:type="dxa"/>
            <w:vAlign w:val="bottom"/>
          </w:tcPr>
          <w:p w14:paraId="2FFE1D04" w14:textId="77777777" w:rsidR="005561F7" w:rsidRPr="00044D16" w:rsidRDefault="005561F7" w:rsidP="001B41BD">
            <w:r w:rsidRPr="00044D16">
              <w:t>20.6%</w:t>
            </w:r>
          </w:p>
        </w:tc>
        <w:tc>
          <w:tcPr>
            <w:tcW w:w="3117" w:type="dxa"/>
            <w:vAlign w:val="bottom"/>
          </w:tcPr>
          <w:p w14:paraId="42ABDF5F" w14:textId="77777777" w:rsidR="005561F7" w:rsidRPr="00044D16" w:rsidRDefault="005561F7" w:rsidP="001B41BD">
            <w:r w:rsidRPr="00044D16">
              <w:t>6.1%</w:t>
            </w:r>
          </w:p>
        </w:tc>
      </w:tr>
      <w:tr w:rsidR="005561F7" w14:paraId="3FA4B8A1" w14:textId="77777777" w:rsidTr="001B41BD">
        <w:tc>
          <w:tcPr>
            <w:tcW w:w="3116" w:type="dxa"/>
            <w:vAlign w:val="bottom"/>
          </w:tcPr>
          <w:p w14:paraId="14EA58F8" w14:textId="77777777" w:rsidR="005561F7" w:rsidRPr="00044D16" w:rsidRDefault="005561F7" w:rsidP="001B41BD">
            <w:r w:rsidRPr="00044D16">
              <w:lastRenderedPageBreak/>
              <w:t>2017</w:t>
            </w:r>
          </w:p>
        </w:tc>
        <w:tc>
          <w:tcPr>
            <w:tcW w:w="3117" w:type="dxa"/>
            <w:vAlign w:val="bottom"/>
          </w:tcPr>
          <w:p w14:paraId="7D63D2CB" w14:textId="77777777" w:rsidR="005561F7" w:rsidRPr="00044D16" w:rsidRDefault="005561F7" w:rsidP="001B41BD">
            <w:r w:rsidRPr="00044D16">
              <w:t>19.5%</w:t>
            </w:r>
          </w:p>
        </w:tc>
        <w:tc>
          <w:tcPr>
            <w:tcW w:w="3117" w:type="dxa"/>
            <w:vAlign w:val="bottom"/>
          </w:tcPr>
          <w:p w14:paraId="799AB87E" w14:textId="77777777" w:rsidR="005561F7" w:rsidRPr="00044D16" w:rsidRDefault="005561F7" w:rsidP="001B41BD">
            <w:r w:rsidRPr="00044D16">
              <w:t>6.1%</w:t>
            </w:r>
          </w:p>
        </w:tc>
      </w:tr>
      <w:tr w:rsidR="005561F7" w14:paraId="14E0E55D" w14:textId="77777777" w:rsidTr="001B41BD">
        <w:tc>
          <w:tcPr>
            <w:tcW w:w="3116" w:type="dxa"/>
            <w:vAlign w:val="bottom"/>
          </w:tcPr>
          <w:p w14:paraId="2D4BBFE5" w14:textId="77777777" w:rsidR="005561F7" w:rsidRPr="00044D16" w:rsidRDefault="005561F7" w:rsidP="001B41BD">
            <w:r w:rsidRPr="00044D16">
              <w:t>2018</w:t>
            </w:r>
          </w:p>
        </w:tc>
        <w:tc>
          <w:tcPr>
            <w:tcW w:w="3117" w:type="dxa"/>
            <w:vAlign w:val="bottom"/>
          </w:tcPr>
          <w:p w14:paraId="4E0D9200" w14:textId="77777777" w:rsidR="005561F7" w:rsidRPr="00044D16" w:rsidRDefault="005561F7" w:rsidP="001B41BD">
            <w:r w:rsidRPr="00044D16">
              <w:t>18.6%</w:t>
            </w:r>
          </w:p>
        </w:tc>
        <w:tc>
          <w:tcPr>
            <w:tcW w:w="3117" w:type="dxa"/>
            <w:vAlign w:val="bottom"/>
          </w:tcPr>
          <w:p w14:paraId="79A6F3B8" w14:textId="77777777" w:rsidR="005561F7" w:rsidRPr="00044D16" w:rsidRDefault="005561F7" w:rsidP="001B41BD">
            <w:r w:rsidRPr="00044D16">
              <w:t>6.1%</w:t>
            </w:r>
          </w:p>
        </w:tc>
      </w:tr>
      <w:tr w:rsidR="005561F7" w14:paraId="74002F36" w14:textId="77777777" w:rsidTr="001B41BD">
        <w:tc>
          <w:tcPr>
            <w:tcW w:w="3116" w:type="dxa"/>
            <w:vAlign w:val="bottom"/>
          </w:tcPr>
          <w:p w14:paraId="12CBDC82" w14:textId="77777777" w:rsidR="005561F7" w:rsidRPr="00044D16" w:rsidRDefault="005561F7" w:rsidP="001B41BD">
            <w:r w:rsidRPr="00044D16">
              <w:t>2019</w:t>
            </w:r>
          </w:p>
        </w:tc>
        <w:tc>
          <w:tcPr>
            <w:tcW w:w="3117" w:type="dxa"/>
            <w:vAlign w:val="bottom"/>
          </w:tcPr>
          <w:p w14:paraId="31D711C9" w14:textId="77777777" w:rsidR="005561F7" w:rsidRPr="00044D16" w:rsidRDefault="005561F7" w:rsidP="001B41BD">
            <w:r w:rsidRPr="00044D16">
              <w:t>18.2%</w:t>
            </w:r>
          </w:p>
        </w:tc>
        <w:tc>
          <w:tcPr>
            <w:tcW w:w="3117" w:type="dxa"/>
            <w:vAlign w:val="bottom"/>
          </w:tcPr>
          <w:p w14:paraId="22D22C74" w14:textId="77777777" w:rsidR="005561F7" w:rsidRPr="00044D16" w:rsidRDefault="005561F7" w:rsidP="001B41BD">
            <w:r w:rsidRPr="00044D16">
              <w:t>6.1%</w:t>
            </w:r>
          </w:p>
        </w:tc>
      </w:tr>
      <w:tr w:rsidR="005561F7" w14:paraId="56ABFB55" w14:textId="77777777" w:rsidTr="001B41BD">
        <w:tc>
          <w:tcPr>
            <w:tcW w:w="3116" w:type="dxa"/>
            <w:vAlign w:val="bottom"/>
          </w:tcPr>
          <w:p w14:paraId="462018FD" w14:textId="77777777" w:rsidR="005561F7" w:rsidRPr="00044D16" w:rsidRDefault="005561F7" w:rsidP="001B41BD">
            <w:r w:rsidRPr="00044D16">
              <w:t>2020</w:t>
            </w:r>
          </w:p>
        </w:tc>
        <w:tc>
          <w:tcPr>
            <w:tcW w:w="3117" w:type="dxa"/>
            <w:vAlign w:val="bottom"/>
          </w:tcPr>
          <w:p w14:paraId="586B6AD0" w14:textId="77777777" w:rsidR="005561F7" w:rsidRPr="00044D16" w:rsidRDefault="005561F7" w:rsidP="001B41BD">
            <w:r w:rsidRPr="00044D16">
              <w:t>18.7%</w:t>
            </w:r>
          </w:p>
        </w:tc>
        <w:tc>
          <w:tcPr>
            <w:tcW w:w="3117" w:type="dxa"/>
            <w:vAlign w:val="bottom"/>
          </w:tcPr>
          <w:p w14:paraId="2BEDA3A7" w14:textId="77777777" w:rsidR="005561F7" w:rsidRPr="00044D16" w:rsidRDefault="005561F7" w:rsidP="001B41BD">
            <w:r w:rsidRPr="00044D16">
              <w:t>6.1%</w:t>
            </w:r>
          </w:p>
        </w:tc>
      </w:tr>
      <w:tr w:rsidR="005561F7" w14:paraId="454C7B17" w14:textId="77777777" w:rsidTr="001B41BD">
        <w:tc>
          <w:tcPr>
            <w:tcW w:w="3116" w:type="dxa"/>
            <w:vAlign w:val="bottom"/>
          </w:tcPr>
          <w:p w14:paraId="1ED5D887" w14:textId="77777777" w:rsidR="005561F7" w:rsidRPr="00044D16" w:rsidRDefault="005561F7" w:rsidP="001B41BD">
            <w:r w:rsidRPr="00044D16">
              <w:t>2021</w:t>
            </w:r>
          </w:p>
        </w:tc>
        <w:tc>
          <w:tcPr>
            <w:tcW w:w="3117" w:type="dxa"/>
            <w:vAlign w:val="bottom"/>
          </w:tcPr>
          <w:p w14:paraId="0CE0750F" w14:textId="77777777" w:rsidR="005561F7" w:rsidRPr="00044D16" w:rsidRDefault="005561F7" w:rsidP="001B41BD">
            <w:r w:rsidRPr="00044D16">
              <w:t>15.9%</w:t>
            </w:r>
          </w:p>
        </w:tc>
        <w:tc>
          <w:tcPr>
            <w:tcW w:w="3117" w:type="dxa"/>
            <w:vAlign w:val="bottom"/>
          </w:tcPr>
          <w:p w14:paraId="19F774E7" w14:textId="77777777" w:rsidR="005561F7" w:rsidRPr="00044D16" w:rsidRDefault="005561F7" w:rsidP="001B41BD">
            <w:r w:rsidRPr="00044D16">
              <w:t>6.1%</w:t>
            </w:r>
          </w:p>
        </w:tc>
      </w:tr>
    </w:tbl>
    <w:p w14:paraId="221AEB89" w14:textId="77777777" w:rsidR="005561F7" w:rsidRPr="00044D16" w:rsidRDefault="005561F7" w:rsidP="005561F7">
      <w:r w:rsidRPr="00044D16">
        <w:t xml:space="preserve">Source: SC BRFSS. </w:t>
      </w:r>
    </w:p>
    <w:p w14:paraId="7DCAB9DD" w14:textId="77777777" w:rsidR="005561F7" w:rsidRPr="00044D16" w:rsidRDefault="005561F7" w:rsidP="005561F7">
      <w:r w:rsidRPr="00044D16">
        <w:t>Notes: Age-adjusted, adults 18+.</w:t>
      </w:r>
    </w:p>
    <w:p w14:paraId="4AE7B966" w14:textId="77777777" w:rsidR="005561F7" w:rsidRDefault="005561F7" w:rsidP="005561F7">
      <w:pPr>
        <w:pStyle w:val="Heading4"/>
      </w:pPr>
      <w:bookmarkStart w:id="741" w:name="_Toc154576502"/>
    </w:p>
    <w:p w14:paraId="65493DFB" w14:textId="5E06EE10" w:rsidR="005561F7" w:rsidRPr="00CB3321" w:rsidRDefault="005561F7" w:rsidP="005561F7">
      <w:pPr>
        <w:pStyle w:val="Heading4"/>
      </w:pPr>
      <w:bookmarkStart w:id="742" w:name="_Toc162267501"/>
      <w:r>
        <w:t>Figure 9.20: Current Cigarette Smoking Among Adults, by Race/Ethnicity.</w:t>
      </w:r>
      <w:bookmarkEnd w:id="741"/>
      <w:bookmarkEnd w:id="742"/>
      <w:r>
        <w:t xml:space="preserve"> </w:t>
      </w:r>
    </w:p>
    <w:tbl>
      <w:tblPr>
        <w:tblStyle w:val="TableGrid"/>
        <w:tblW w:w="0" w:type="auto"/>
        <w:tblLook w:val="04A0" w:firstRow="1" w:lastRow="0" w:firstColumn="1" w:lastColumn="0" w:noHBand="0" w:noVBand="1"/>
      </w:tblPr>
      <w:tblGrid>
        <w:gridCol w:w="4675"/>
        <w:gridCol w:w="4675"/>
      </w:tblGrid>
      <w:tr w:rsidR="005561F7" w14:paraId="134E9ADA" w14:textId="77777777" w:rsidTr="001B41BD">
        <w:tc>
          <w:tcPr>
            <w:tcW w:w="4675" w:type="dxa"/>
            <w:vAlign w:val="bottom"/>
          </w:tcPr>
          <w:p w14:paraId="45DBB933" w14:textId="77777777" w:rsidR="005561F7" w:rsidRPr="00044D16" w:rsidRDefault="005561F7" w:rsidP="001B41BD">
            <w:r>
              <w:t>Race/Ethnicity</w:t>
            </w:r>
          </w:p>
        </w:tc>
        <w:tc>
          <w:tcPr>
            <w:tcW w:w="4675" w:type="dxa"/>
            <w:vAlign w:val="bottom"/>
          </w:tcPr>
          <w:p w14:paraId="195CAC67" w14:textId="77777777" w:rsidR="005561F7" w:rsidRPr="00044D16" w:rsidRDefault="005561F7" w:rsidP="001B41BD">
            <w:r>
              <w:t>Percent</w:t>
            </w:r>
          </w:p>
        </w:tc>
      </w:tr>
      <w:tr w:rsidR="005561F7" w14:paraId="237F5320" w14:textId="77777777" w:rsidTr="001B41BD">
        <w:tc>
          <w:tcPr>
            <w:tcW w:w="4675" w:type="dxa"/>
            <w:vAlign w:val="bottom"/>
          </w:tcPr>
          <w:p w14:paraId="49974FD9" w14:textId="77777777" w:rsidR="005561F7" w:rsidRPr="00044D16" w:rsidRDefault="005561F7" w:rsidP="001B41BD">
            <w:r w:rsidRPr="00044D16">
              <w:t>Non-Hispanic White</w:t>
            </w:r>
          </w:p>
        </w:tc>
        <w:tc>
          <w:tcPr>
            <w:tcW w:w="4675" w:type="dxa"/>
            <w:vAlign w:val="bottom"/>
          </w:tcPr>
          <w:p w14:paraId="4CDF0994" w14:textId="77777777" w:rsidR="005561F7" w:rsidRPr="00044D16" w:rsidRDefault="005561F7" w:rsidP="001B41BD">
            <w:r w:rsidRPr="00044D16">
              <w:t>16.2%</w:t>
            </w:r>
          </w:p>
        </w:tc>
      </w:tr>
      <w:tr w:rsidR="005561F7" w14:paraId="02331446" w14:textId="77777777" w:rsidTr="001B41BD">
        <w:tc>
          <w:tcPr>
            <w:tcW w:w="4675" w:type="dxa"/>
            <w:vAlign w:val="bottom"/>
          </w:tcPr>
          <w:p w14:paraId="66A4BCBA" w14:textId="77777777" w:rsidR="005561F7" w:rsidRPr="00044D16" w:rsidRDefault="005561F7" w:rsidP="001B41BD">
            <w:r w:rsidRPr="00044D16">
              <w:t>Non-Hispanic Black</w:t>
            </w:r>
          </w:p>
        </w:tc>
        <w:tc>
          <w:tcPr>
            <w:tcW w:w="4675" w:type="dxa"/>
            <w:vAlign w:val="bottom"/>
          </w:tcPr>
          <w:p w14:paraId="58E91E0F" w14:textId="77777777" w:rsidR="005561F7" w:rsidRPr="00044D16" w:rsidRDefault="005561F7" w:rsidP="001B41BD">
            <w:r w:rsidRPr="00044D16">
              <w:t>14.9%</w:t>
            </w:r>
          </w:p>
        </w:tc>
      </w:tr>
      <w:tr w:rsidR="005561F7" w14:paraId="3613D7D3" w14:textId="77777777" w:rsidTr="001B41BD">
        <w:tc>
          <w:tcPr>
            <w:tcW w:w="4675" w:type="dxa"/>
            <w:vAlign w:val="bottom"/>
          </w:tcPr>
          <w:p w14:paraId="7C9D6757" w14:textId="77777777" w:rsidR="005561F7" w:rsidRPr="00044D16" w:rsidRDefault="005561F7" w:rsidP="001B41BD">
            <w:r w:rsidRPr="00044D16">
              <w:t xml:space="preserve">Non-Hispanic American Indian or Alaskan Native </w:t>
            </w:r>
          </w:p>
        </w:tc>
        <w:tc>
          <w:tcPr>
            <w:tcW w:w="4675" w:type="dxa"/>
            <w:vAlign w:val="bottom"/>
          </w:tcPr>
          <w:p w14:paraId="3D92715D" w14:textId="77777777" w:rsidR="005561F7" w:rsidRPr="00044D16" w:rsidRDefault="005561F7" w:rsidP="001B41BD">
            <w:r w:rsidRPr="00044D16">
              <w:t>24.3%</w:t>
            </w:r>
          </w:p>
        </w:tc>
      </w:tr>
      <w:tr w:rsidR="005561F7" w14:paraId="7EE26FF7" w14:textId="77777777" w:rsidTr="001B41BD">
        <w:tc>
          <w:tcPr>
            <w:tcW w:w="4675" w:type="dxa"/>
            <w:vAlign w:val="bottom"/>
          </w:tcPr>
          <w:p w14:paraId="324B87BB" w14:textId="77777777" w:rsidR="005561F7" w:rsidRPr="00044D16" w:rsidRDefault="005561F7" w:rsidP="001B41BD">
            <w:r w:rsidRPr="00044D16">
              <w:t>Non-Hispanic Multiracial</w:t>
            </w:r>
          </w:p>
        </w:tc>
        <w:tc>
          <w:tcPr>
            <w:tcW w:w="4675" w:type="dxa"/>
            <w:vAlign w:val="bottom"/>
          </w:tcPr>
          <w:p w14:paraId="16A2CEC1" w14:textId="77777777" w:rsidR="005561F7" w:rsidRPr="00044D16" w:rsidRDefault="005561F7" w:rsidP="001B41BD">
            <w:r w:rsidRPr="00044D16">
              <w:t>16.0%</w:t>
            </w:r>
          </w:p>
        </w:tc>
      </w:tr>
      <w:tr w:rsidR="005561F7" w14:paraId="4493E036" w14:textId="77777777" w:rsidTr="001B41BD">
        <w:tc>
          <w:tcPr>
            <w:tcW w:w="4675" w:type="dxa"/>
            <w:vAlign w:val="bottom"/>
          </w:tcPr>
          <w:p w14:paraId="4FEE5D3A" w14:textId="77777777" w:rsidR="005561F7" w:rsidRPr="00044D16" w:rsidRDefault="005561F7" w:rsidP="001B41BD">
            <w:r w:rsidRPr="00044D16">
              <w:t>Hispanic</w:t>
            </w:r>
          </w:p>
        </w:tc>
        <w:tc>
          <w:tcPr>
            <w:tcW w:w="4675" w:type="dxa"/>
            <w:vAlign w:val="bottom"/>
          </w:tcPr>
          <w:p w14:paraId="067B55B6" w14:textId="77777777" w:rsidR="005561F7" w:rsidRPr="00044D16" w:rsidRDefault="005561F7" w:rsidP="001B41BD">
            <w:r w:rsidRPr="00044D16">
              <w:t>9.7%</w:t>
            </w:r>
          </w:p>
        </w:tc>
      </w:tr>
    </w:tbl>
    <w:p w14:paraId="780D6130" w14:textId="77777777" w:rsidR="005561F7" w:rsidRPr="00044D16" w:rsidRDefault="005561F7" w:rsidP="005561F7">
      <w:r w:rsidRPr="00044D16">
        <w:t xml:space="preserve">Source: SC BRFSS, 2021. </w:t>
      </w:r>
    </w:p>
    <w:p w14:paraId="34566C05" w14:textId="77777777" w:rsidR="005561F7" w:rsidRDefault="005561F7" w:rsidP="005561F7">
      <w:r w:rsidRPr="00044D16">
        <w:t>Note: Adults 18+.</w:t>
      </w:r>
    </w:p>
    <w:p w14:paraId="14F033FB" w14:textId="77777777" w:rsidR="005561F7" w:rsidRDefault="005561F7" w:rsidP="005561F7">
      <w:pPr>
        <w:pStyle w:val="Heading4"/>
      </w:pPr>
      <w:bookmarkStart w:id="743" w:name="_Toc154576503"/>
    </w:p>
    <w:p w14:paraId="727ABFC6" w14:textId="0800775F" w:rsidR="005561F7" w:rsidRPr="00CB3321" w:rsidRDefault="005561F7" w:rsidP="005561F7">
      <w:pPr>
        <w:pStyle w:val="Heading4"/>
      </w:pPr>
      <w:bookmarkStart w:id="744" w:name="_Toc162267502"/>
      <w:r>
        <w:t>Figure 9.21: Current Cigarette Smoking Among Adults, by Income Level.</w:t>
      </w:r>
      <w:bookmarkEnd w:id="743"/>
      <w:bookmarkEnd w:id="744"/>
      <w:r>
        <w:t xml:space="preserve"> </w:t>
      </w:r>
    </w:p>
    <w:tbl>
      <w:tblPr>
        <w:tblStyle w:val="TableGrid"/>
        <w:tblW w:w="0" w:type="auto"/>
        <w:tblLook w:val="04A0" w:firstRow="1" w:lastRow="0" w:firstColumn="1" w:lastColumn="0" w:noHBand="0" w:noVBand="1"/>
      </w:tblPr>
      <w:tblGrid>
        <w:gridCol w:w="4675"/>
        <w:gridCol w:w="4675"/>
      </w:tblGrid>
      <w:tr w:rsidR="005561F7" w14:paraId="3FEB2CAD" w14:textId="77777777" w:rsidTr="001B41BD">
        <w:tc>
          <w:tcPr>
            <w:tcW w:w="4675" w:type="dxa"/>
          </w:tcPr>
          <w:p w14:paraId="6A1C0577" w14:textId="77777777" w:rsidR="005561F7" w:rsidRDefault="005561F7" w:rsidP="001B41BD">
            <w:r>
              <w:t>Income Level</w:t>
            </w:r>
          </w:p>
        </w:tc>
        <w:tc>
          <w:tcPr>
            <w:tcW w:w="4675" w:type="dxa"/>
          </w:tcPr>
          <w:p w14:paraId="500A8DB5" w14:textId="77777777" w:rsidR="005561F7" w:rsidRDefault="005561F7" w:rsidP="001B41BD">
            <w:r>
              <w:t>Percent</w:t>
            </w:r>
          </w:p>
        </w:tc>
      </w:tr>
      <w:tr w:rsidR="005561F7" w14:paraId="2407388D" w14:textId="77777777" w:rsidTr="001B41BD">
        <w:tc>
          <w:tcPr>
            <w:tcW w:w="4675" w:type="dxa"/>
            <w:vAlign w:val="bottom"/>
          </w:tcPr>
          <w:p w14:paraId="3C1DAD1C" w14:textId="77777777" w:rsidR="005561F7" w:rsidRDefault="005561F7" w:rsidP="001B41BD">
            <w:r>
              <w:t>&lt;$15K</w:t>
            </w:r>
          </w:p>
        </w:tc>
        <w:tc>
          <w:tcPr>
            <w:tcW w:w="4675" w:type="dxa"/>
            <w:vAlign w:val="center"/>
          </w:tcPr>
          <w:p w14:paraId="5986D0DB" w14:textId="77777777" w:rsidR="005561F7" w:rsidRDefault="005561F7" w:rsidP="001B41BD">
            <w:r>
              <w:t>26.0%</w:t>
            </w:r>
          </w:p>
        </w:tc>
      </w:tr>
      <w:tr w:rsidR="005561F7" w14:paraId="70772CE2" w14:textId="77777777" w:rsidTr="001B41BD">
        <w:tc>
          <w:tcPr>
            <w:tcW w:w="4675" w:type="dxa"/>
            <w:vAlign w:val="bottom"/>
          </w:tcPr>
          <w:p w14:paraId="44114EA4" w14:textId="77777777" w:rsidR="005561F7" w:rsidRDefault="005561F7" w:rsidP="001B41BD">
            <w:r>
              <w:t>$15K-&lt;$25K</w:t>
            </w:r>
          </w:p>
        </w:tc>
        <w:tc>
          <w:tcPr>
            <w:tcW w:w="4675" w:type="dxa"/>
            <w:vAlign w:val="center"/>
          </w:tcPr>
          <w:p w14:paraId="6702C61D" w14:textId="77777777" w:rsidR="005561F7" w:rsidRDefault="005561F7" w:rsidP="001B41BD">
            <w:r>
              <w:t>27.0%</w:t>
            </w:r>
          </w:p>
        </w:tc>
      </w:tr>
      <w:tr w:rsidR="005561F7" w14:paraId="6FB70F35" w14:textId="77777777" w:rsidTr="001B41BD">
        <w:tc>
          <w:tcPr>
            <w:tcW w:w="4675" w:type="dxa"/>
            <w:vAlign w:val="bottom"/>
          </w:tcPr>
          <w:p w14:paraId="2701DEF4" w14:textId="77777777" w:rsidR="005561F7" w:rsidRDefault="005561F7" w:rsidP="001B41BD">
            <w:r>
              <w:t>$25K-&lt;$35K</w:t>
            </w:r>
          </w:p>
        </w:tc>
        <w:tc>
          <w:tcPr>
            <w:tcW w:w="4675" w:type="dxa"/>
            <w:vAlign w:val="center"/>
          </w:tcPr>
          <w:p w14:paraId="0DD2EC11" w14:textId="77777777" w:rsidR="005561F7" w:rsidRDefault="005561F7" w:rsidP="001B41BD">
            <w:r>
              <w:t>21.9%</w:t>
            </w:r>
          </w:p>
        </w:tc>
      </w:tr>
      <w:tr w:rsidR="005561F7" w14:paraId="14D042A8" w14:textId="77777777" w:rsidTr="001B41BD">
        <w:tc>
          <w:tcPr>
            <w:tcW w:w="4675" w:type="dxa"/>
            <w:vAlign w:val="bottom"/>
          </w:tcPr>
          <w:p w14:paraId="5CCF4596" w14:textId="77777777" w:rsidR="005561F7" w:rsidRDefault="005561F7" w:rsidP="001B41BD">
            <w:r>
              <w:t>$35K-&lt;$50K</w:t>
            </w:r>
          </w:p>
        </w:tc>
        <w:tc>
          <w:tcPr>
            <w:tcW w:w="4675" w:type="dxa"/>
            <w:vAlign w:val="bottom"/>
          </w:tcPr>
          <w:p w14:paraId="16AD6389" w14:textId="77777777" w:rsidR="005561F7" w:rsidRDefault="005561F7" w:rsidP="001B41BD">
            <w:r>
              <w:t>16.1%</w:t>
            </w:r>
          </w:p>
        </w:tc>
      </w:tr>
      <w:tr w:rsidR="005561F7" w14:paraId="15B50B3D" w14:textId="77777777" w:rsidTr="001B41BD">
        <w:tc>
          <w:tcPr>
            <w:tcW w:w="4675" w:type="dxa"/>
            <w:vAlign w:val="bottom"/>
          </w:tcPr>
          <w:p w14:paraId="1499F03D" w14:textId="77777777" w:rsidR="005561F7" w:rsidRDefault="005561F7" w:rsidP="001B41BD">
            <w:r>
              <w:t>$50K-&lt;$100K</w:t>
            </w:r>
          </w:p>
        </w:tc>
        <w:tc>
          <w:tcPr>
            <w:tcW w:w="4675" w:type="dxa"/>
            <w:vAlign w:val="bottom"/>
          </w:tcPr>
          <w:p w14:paraId="70A21964" w14:textId="77777777" w:rsidR="005561F7" w:rsidRDefault="005561F7" w:rsidP="001B41BD">
            <w:r>
              <w:t>14.5%</w:t>
            </w:r>
          </w:p>
        </w:tc>
      </w:tr>
      <w:tr w:rsidR="005561F7" w14:paraId="64BCEC1D" w14:textId="77777777" w:rsidTr="001B41BD">
        <w:tc>
          <w:tcPr>
            <w:tcW w:w="4675" w:type="dxa"/>
            <w:vAlign w:val="bottom"/>
          </w:tcPr>
          <w:p w14:paraId="5D7CEB04" w14:textId="77777777" w:rsidR="005561F7" w:rsidRDefault="005561F7" w:rsidP="001B41BD">
            <w:r>
              <w:t>$100K-&lt;$200K</w:t>
            </w:r>
          </w:p>
        </w:tc>
        <w:tc>
          <w:tcPr>
            <w:tcW w:w="4675" w:type="dxa"/>
            <w:vAlign w:val="bottom"/>
          </w:tcPr>
          <w:p w14:paraId="1C50D9B6" w14:textId="77777777" w:rsidR="005561F7" w:rsidRDefault="005561F7" w:rsidP="001B41BD">
            <w:r>
              <w:t>6.7%</w:t>
            </w:r>
          </w:p>
        </w:tc>
      </w:tr>
      <w:tr w:rsidR="005561F7" w14:paraId="49FF7475" w14:textId="77777777" w:rsidTr="001B41BD">
        <w:tc>
          <w:tcPr>
            <w:tcW w:w="4675" w:type="dxa"/>
            <w:vAlign w:val="bottom"/>
          </w:tcPr>
          <w:p w14:paraId="3EBAFBF0" w14:textId="77777777" w:rsidR="005561F7" w:rsidRDefault="005561F7" w:rsidP="001B41BD">
            <w:r>
              <w:t>$200+</w:t>
            </w:r>
          </w:p>
        </w:tc>
        <w:tc>
          <w:tcPr>
            <w:tcW w:w="4675" w:type="dxa"/>
            <w:vAlign w:val="bottom"/>
          </w:tcPr>
          <w:p w14:paraId="265FF324" w14:textId="77777777" w:rsidR="005561F7" w:rsidRDefault="005561F7" w:rsidP="001B41BD">
            <w:r>
              <w:t>5.7%</w:t>
            </w:r>
          </w:p>
        </w:tc>
      </w:tr>
    </w:tbl>
    <w:p w14:paraId="6823982C" w14:textId="77777777" w:rsidR="005561F7" w:rsidRPr="00122D44" w:rsidRDefault="005561F7" w:rsidP="005561F7">
      <w:r w:rsidRPr="00122D44">
        <w:t xml:space="preserve">Source: SC BRFSS, 2021. </w:t>
      </w:r>
    </w:p>
    <w:p w14:paraId="3891D0DD" w14:textId="77777777" w:rsidR="005561F7" w:rsidRPr="00124A6D" w:rsidRDefault="005561F7" w:rsidP="005561F7">
      <w:r w:rsidRPr="00122D44">
        <w:t>Note: Adults 18+.</w:t>
      </w:r>
    </w:p>
    <w:p w14:paraId="414ED2F9" w14:textId="77777777" w:rsidR="005561F7" w:rsidRDefault="005561F7" w:rsidP="005561F7">
      <w:pPr>
        <w:pStyle w:val="Heading4"/>
      </w:pPr>
      <w:bookmarkStart w:id="745" w:name="_Toc154576504"/>
    </w:p>
    <w:p w14:paraId="2D45D539" w14:textId="77777777" w:rsidR="005561F7" w:rsidRPr="005561F7" w:rsidRDefault="005561F7" w:rsidP="005561F7">
      <w:pPr>
        <w:pStyle w:val="Heading4"/>
      </w:pPr>
      <w:bookmarkStart w:id="746" w:name="_Toc162267503"/>
      <w:bookmarkEnd w:id="745"/>
      <w:r w:rsidRPr="005561F7">
        <w:t>Data Interpretations:</w:t>
      </w:r>
      <w:bookmarkEnd w:id="746"/>
      <w:r w:rsidRPr="005561F7">
        <w:t xml:space="preserve"> </w:t>
      </w:r>
    </w:p>
    <w:p w14:paraId="5BB6B848" w14:textId="04578995" w:rsidR="005561F7" w:rsidRPr="005561F7" w:rsidRDefault="005561F7" w:rsidP="005561F7">
      <w:r w:rsidRPr="005561F7">
        <w:t>Adult cigarette smoking decreased from 23.1% in 2012 to 15.9% in 2021 (</w:t>
      </w:r>
      <w:r w:rsidRPr="005561F7">
        <w:rPr>
          <w:b/>
          <w:bCs/>
        </w:rPr>
        <w:t>Figure 9.19</w:t>
      </w:r>
      <w:r w:rsidRPr="005561F7">
        <w:t xml:space="preserve">).  As of 2021, SC has not met the Healthy People 2030 goal of 6.1%. The prevalence of adults who smoke is highest among people who identify as American Indian or Alaskan Native (24.3%), followed by people who identify as </w:t>
      </w:r>
      <w:r w:rsidRPr="005561F7">
        <w:lastRenderedPageBreak/>
        <w:t>White (16.2%) and Multiracial (16.0%) (</w:t>
      </w:r>
      <w:r w:rsidRPr="005561F7">
        <w:rPr>
          <w:b/>
          <w:bCs/>
        </w:rPr>
        <w:t>Figure 9.20</w:t>
      </w:r>
      <w:r w:rsidRPr="005561F7">
        <w:t>). In 2021, the prevalence of smoking among adults earning less than $50,000/year was higher compared to those earning more than $50,000 (</w:t>
      </w:r>
      <w:r w:rsidRPr="005561F7">
        <w:rPr>
          <w:b/>
          <w:bCs/>
        </w:rPr>
        <w:t>Figure 9.21</w:t>
      </w:r>
      <w:r w:rsidRPr="005561F7">
        <w:t xml:space="preserve">). Smoking is also highest among those with less than a high school education compared to those who graduated high school or had some post-high school education.  The prevalence of smoking is higher among males (17.7%) compared to females (13.4%).  While cigarette smoking prevalence in 2021 among 18- to 24-year-olds was only 7.4% compared to 27.1% in 2011 for that same age group, recent data from the SC Adult Tobacco Survey shows that overall tobacco use is still a concern as the use of e-cigarettes and other commercial tobacco products has increased significantly among this population.  </w:t>
      </w:r>
    </w:p>
    <w:p w14:paraId="79E1AB68" w14:textId="77777777" w:rsidR="005561F7" w:rsidRDefault="005561F7" w:rsidP="005561F7"/>
    <w:p w14:paraId="3262F5D8" w14:textId="0E0C3118" w:rsidR="005561F7" w:rsidRPr="005561F7" w:rsidRDefault="005561F7" w:rsidP="005561F7">
      <w:pPr>
        <w:pStyle w:val="Heading5"/>
      </w:pPr>
      <w:r w:rsidRPr="005561F7">
        <w:t xml:space="preserve">Key Takeaways: </w:t>
      </w:r>
    </w:p>
    <w:p w14:paraId="1E57501B" w14:textId="77777777" w:rsidR="005561F7" w:rsidRPr="005561F7" w:rsidRDefault="005561F7" w:rsidP="00926EB3">
      <w:pPr>
        <w:pStyle w:val="ListParagraph"/>
        <w:numPr>
          <w:ilvl w:val="0"/>
          <w:numId w:val="228"/>
        </w:numPr>
      </w:pPr>
      <w:r w:rsidRPr="005561F7">
        <w:t xml:space="preserve">Discrimination, poverty, and other social conditions are associated with commercial tobacco use and can make it harder to quit.    </w:t>
      </w:r>
    </w:p>
    <w:p w14:paraId="709D3521" w14:textId="77777777" w:rsidR="005561F7" w:rsidRPr="005561F7" w:rsidRDefault="005561F7" w:rsidP="005561F7"/>
    <w:p w14:paraId="699FB9DA" w14:textId="7ACB7167" w:rsidR="005561F7" w:rsidRPr="005561F7" w:rsidRDefault="005561F7" w:rsidP="005561F7">
      <w:pPr>
        <w:pStyle w:val="Heading4"/>
        <w:rPr>
          <w:rFonts w:asciiTheme="minorHAnsi" w:hAnsiTheme="minorHAnsi" w:cstheme="minorHAnsi"/>
          <w:color w:val="000000" w:themeColor="text1"/>
        </w:rPr>
      </w:pPr>
      <w:bookmarkStart w:id="747" w:name="_Toc162267504"/>
      <w:r w:rsidRPr="005561F7">
        <w:rPr>
          <w:rFonts w:asciiTheme="minorHAnsi" w:hAnsiTheme="minorHAnsi" w:cstheme="minorHAnsi"/>
          <w:color w:val="000000" w:themeColor="text1"/>
        </w:rPr>
        <w:t>References 9</w:t>
      </w:r>
      <w:r w:rsidR="00142CC9">
        <w:rPr>
          <w:rFonts w:asciiTheme="minorHAnsi" w:hAnsiTheme="minorHAnsi" w:cstheme="minorHAnsi"/>
          <w:color w:val="000000" w:themeColor="text1"/>
        </w:rPr>
        <w:t>.</w:t>
      </w:r>
      <w:r>
        <w:rPr>
          <w:rFonts w:asciiTheme="minorHAnsi" w:hAnsiTheme="minorHAnsi" w:cstheme="minorHAnsi"/>
          <w:color w:val="000000" w:themeColor="text1"/>
        </w:rPr>
        <w:t>10</w:t>
      </w:r>
      <w:bookmarkEnd w:id="747"/>
      <w:r w:rsidRPr="005561F7">
        <w:rPr>
          <w:rFonts w:asciiTheme="minorHAnsi" w:hAnsiTheme="minorHAnsi" w:cstheme="minorHAnsi"/>
          <w:color w:val="000000" w:themeColor="text1"/>
        </w:rPr>
        <w:t xml:space="preserve"> </w:t>
      </w:r>
    </w:p>
    <w:p w14:paraId="2FA9D23D" w14:textId="77777777" w:rsidR="005561F7" w:rsidRPr="005561F7" w:rsidRDefault="005561F7" w:rsidP="005561F7">
      <w:r w:rsidRPr="005561F7">
        <w:t>Statistics in the preceding section were referenced from the following reports:</w:t>
      </w:r>
    </w:p>
    <w:p w14:paraId="7DE3DBEC" w14:textId="125CC6AA" w:rsidR="00113B57" w:rsidRPr="00113B57" w:rsidRDefault="00000000" w:rsidP="00926EB3">
      <w:pPr>
        <w:pStyle w:val="ListParagraph"/>
        <w:numPr>
          <w:ilvl w:val="0"/>
          <w:numId w:val="192"/>
        </w:numPr>
      </w:pPr>
      <w:hyperlink r:id="rId330" w:anchor="page=592" w:history="1">
        <w:r w:rsidR="00113B57" w:rsidRPr="00113B57">
          <w:rPr>
            <w:rStyle w:val="Hyperlink"/>
          </w:rPr>
          <w:t>“The Health Consequences of Smoking—50 Years of Progress: A Report of the Surgeon General” </w:t>
        </w:r>
      </w:hyperlink>
      <w:r w:rsidR="00113B57" w:rsidRPr="00113B57">
        <w:t>by the U.S. Department of Health and Human Services, Centers for Disease Control and Prevention, National Center for Chronic Disease Prevention and Health Promotion, Office on Smoking and Health, 2014. Accessed June 15, 2021.</w:t>
      </w:r>
    </w:p>
    <w:p w14:paraId="2978E3A6" w14:textId="23340AE6" w:rsidR="00113B57" w:rsidRPr="00113B57" w:rsidRDefault="00000000" w:rsidP="00926EB3">
      <w:pPr>
        <w:pStyle w:val="ListParagraph"/>
        <w:numPr>
          <w:ilvl w:val="0"/>
          <w:numId w:val="192"/>
        </w:numPr>
      </w:pPr>
      <w:hyperlink r:id="rId331" w:anchor="/details?url=https://www.cdc.gov/tobacco/sgr/2010/index.htm" w:history="1">
        <w:r w:rsidR="00113B57" w:rsidRPr="00113B57">
          <w:rPr>
            <w:rStyle w:val="Hyperlink"/>
          </w:rPr>
          <w:t>“A Report of the Surgeon General. How Tobacco Smoke Causes Disease: What It Means to You” by U.S. Department of Health and Human Services. </w:t>
        </w:r>
      </w:hyperlink>
    </w:p>
    <w:p w14:paraId="1DC214F9" w14:textId="00CD5A13" w:rsidR="00113B57" w:rsidRPr="00113B57" w:rsidRDefault="00000000" w:rsidP="00926EB3">
      <w:pPr>
        <w:pStyle w:val="ListParagraph"/>
        <w:numPr>
          <w:ilvl w:val="0"/>
          <w:numId w:val="192"/>
        </w:numPr>
        <w:rPr>
          <w:u w:val="thick"/>
        </w:rPr>
      </w:pPr>
      <w:hyperlink r:id="rId332" w:history="1">
        <w:r w:rsidR="00113B57" w:rsidRPr="00113B57">
          <w:rPr>
            <w:rStyle w:val="Hyperlink"/>
          </w:rPr>
          <w:t>“Treating nicotine addiction” by Jain, A. Published in BMJ, 2003.</w:t>
        </w:r>
      </w:hyperlink>
      <w:r w:rsidR="00113B57" w:rsidRPr="00113B57">
        <w:rPr>
          <w:i/>
          <w:iCs/>
        </w:rPr>
        <w:t xml:space="preserve"> </w:t>
      </w:r>
    </w:p>
    <w:p w14:paraId="39AB5ABE" w14:textId="2C7FB5AA" w:rsidR="00113B57" w:rsidRPr="00113B57" w:rsidRDefault="00113B57" w:rsidP="00926EB3">
      <w:pPr>
        <w:pStyle w:val="ListParagraph"/>
        <w:numPr>
          <w:ilvl w:val="0"/>
          <w:numId w:val="192"/>
        </w:numPr>
      </w:pPr>
      <w:r w:rsidRPr="00113B57">
        <w:t> </w:t>
      </w:r>
      <w:r>
        <w:t>“</w:t>
      </w:r>
      <w:r w:rsidRPr="00113B57">
        <w:t>Chapter 18: Heart disease and diabetes</w:t>
      </w:r>
      <w:r>
        <w:t>”</w:t>
      </w:r>
      <w:r w:rsidRPr="00113B57">
        <w:t>.</w:t>
      </w:r>
      <w:r>
        <w:t xml:space="preserve"> by</w:t>
      </w:r>
      <w:r w:rsidRPr="00113B57">
        <w:t xml:space="preserve"> In: Cowie CC, Casagrande SS, Menke A, et al. </w:t>
      </w:r>
      <w:r>
        <w:t xml:space="preserve">Published in </w:t>
      </w:r>
      <w:r w:rsidRPr="00113B57">
        <w:rPr>
          <w:i/>
          <w:iCs/>
        </w:rPr>
        <w:t>Diabetes in America</w:t>
      </w:r>
      <w:r w:rsidRPr="00113B57">
        <w:t>, 3rd ed. NIH Pub No. 17-1468. National Institutes of Health; 2018</w:t>
      </w:r>
      <w:r>
        <w:t>. No hyperlink.</w:t>
      </w:r>
    </w:p>
    <w:p w14:paraId="7DC4ED08" w14:textId="726E2C7D" w:rsidR="00113B57" w:rsidRPr="00113B57" w:rsidRDefault="00000000" w:rsidP="00926EB3">
      <w:pPr>
        <w:pStyle w:val="ListParagraph"/>
        <w:numPr>
          <w:ilvl w:val="0"/>
          <w:numId w:val="192"/>
        </w:numPr>
      </w:pPr>
      <w:hyperlink r:id="rId333" w:history="1">
        <w:r w:rsidR="00113B57" w:rsidRPr="00113B57">
          <w:rPr>
            <w:rStyle w:val="Hyperlink"/>
          </w:rPr>
          <w:t>“Improving tobacco-related health disparities” by Centers for Disease Control and Prevention, 2022. Retrieved March 22, 2023.</w:t>
        </w:r>
      </w:hyperlink>
    </w:p>
    <w:p w14:paraId="06C64D16" w14:textId="68199FD3" w:rsidR="00113B57" w:rsidRPr="00113B57" w:rsidRDefault="00000000" w:rsidP="00926EB3">
      <w:pPr>
        <w:pStyle w:val="ListParagraph"/>
        <w:numPr>
          <w:ilvl w:val="0"/>
          <w:numId w:val="192"/>
        </w:numPr>
        <w:rPr>
          <w:u w:val="thick"/>
        </w:rPr>
      </w:pPr>
      <w:hyperlink r:id="rId334" w:history="1">
        <w:r w:rsidR="00113B57" w:rsidRPr="00113B57">
          <w:rPr>
            <w:rStyle w:val="Hyperlink"/>
          </w:rPr>
          <w:t xml:space="preserve">“Discrimination, affect, and cancer risk factors among African Americans” by </w:t>
        </w:r>
        <w:r w:rsidR="00113B57" w:rsidRPr="00113B57">
          <w:rPr>
            <w:rStyle w:val="Hyperlink"/>
            <w:lang w:val="es-ES_tradnl"/>
          </w:rPr>
          <w:t xml:space="preserve">Cuevas </w:t>
        </w:r>
        <w:proofErr w:type="gramStart"/>
        <w:r w:rsidR="00113B57" w:rsidRPr="00113B57">
          <w:rPr>
            <w:rStyle w:val="Hyperlink"/>
            <w:lang w:val="es-ES_tradnl"/>
          </w:rPr>
          <w:t>AG ,</w:t>
        </w:r>
        <w:proofErr w:type="gramEnd"/>
        <w:r w:rsidR="00113B57" w:rsidRPr="00113B57">
          <w:rPr>
            <w:rStyle w:val="Hyperlink"/>
            <w:lang w:val="es-ES_tradnl"/>
          </w:rPr>
          <w:t xml:space="preserve"> </w:t>
        </w:r>
        <w:proofErr w:type="spellStart"/>
        <w:r w:rsidR="00113B57" w:rsidRPr="00113B57">
          <w:rPr>
            <w:rStyle w:val="Hyperlink"/>
            <w:lang w:val="es-ES_tradnl"/>
          </w:rPr>
          <w:t>Reitzel</w:t>
        </w:r>
        <w:proofErr w:type="spellEnd"/>
        <w:r w:rsidR="00113B57" w:rsidRPr="00113B57">
          <w:rPr>
            <w:rStyle w:val="Hyperlink"/>
            <w:lang w:val="es-ES_tradnl"/>
          </w:rPr>
          <w:t xml:space="preserve"> LR, Adams CE, et al</w:t>
        </w:r>
        <w:r w:rsidR="00113B57" w:rsidRPr="00113B57">
          <w:rPr>
            <w:rStyle w:val="Hyperlink"/>
          </w:rPr>
          <w:t xml:space="preserve">. Published in Am J Health </w:t>
        </w:r>
        <w:proofErr w:type="spellStart"/>
        <w:r w:rsidR="00113B57" w:rsidRPr="00113B57">
          <w:rPr>
            <w:rStyle w:val="Hyperlink"/>
          </w:rPr>
          <w:t>Behav</w:t>
        </w:r>
        <w:proofErr w:type="spellEnd"/>
        <w:r w:rsidR="00113B57" w:rsidRPr="00113B57">
          <w:rPr>
            <w:rStyle w:val="Hyperlink"/>
          </w:rPr>
          <w:t>., 2014. Centers for Disease Control and Prevention. Retrieved January 23, 2023</w:t>
        </w:r>
      </w:hyperlink>
      <w:r w:rsidR="00113B57">
        <w:t>.</w:t>
      </w:r>
      <w:r w:rsidR="00113B57" w:rsidRPr="00113B57">
        <w:t xml:space="preserve"> </w:t>
      </w:r>
    </w:p>
    <w:p w14:paraId="0087FE2B" w14:textId="442FC48D" w:rsidR="00113B57" w:rsidRPr="00113B57" w:rsidRDefault="00000000" w:rsidP="00926EB3">
      <w:pPr>
        <w:pStyle w:val="ListParagraph"/>
        <w:numPr>
          <w:ilvl w:val="0"/>
          <w:numId w:val="192"/>
        </w:numPr>
        <w:rPr>
          <w:u w:val="thick"/>
        </w:rPr>
      </w:pPr>
      <w:hyperlink r:id="rId335" w:history="1">
        <w:r w:rsidR="00113B57" w:rsidRPr="00113B57">
          <w:rPr>
            <w:rStyle w:val="Hyperlink"/>
          </w:rPr>
          <w:t>“Naming Racism, not Race, as a Determinant of Tobacco-Related Health Disparities”</w:t>
        </w:r>
      </w:hyperlink>
      <w:r w:rsidR="00113B57">
        <w:t xml:space="preserve"> by </w:t>
      </w:r>
      <w:r w:rsidR="00113B57" w:rsidRPr="00113B57">
        <w:t xml:space="preserve">Jennifer L Pearson, MPH, PhD, Andrew Waa, MPH, Kamran </w:t>
      </w:r>
      <w:r w:rsidR="00113B57" w:rsidRPr="00113B57">
        <w:lastRenderedPageBreak/>
        <w:t>Siddiqi, PhD, Richard Edwards, MPH, MD, Patricia Nez Henderson, MD, MPH, Monica Webb Hooper, PhD</w:t>
      </w:r>
      <w:r w:rsidR="00113B57">
        <w:t>. Published in</w:t>
      </w:r>
      <w:r w:rsidR="00113B57" w:rsidRPr="00113B57">
        <w:t> </w:t>
      </w:r>
      <w:r w:rsidR="00113B57" w:rsidRPr="00113B57">
        <w:rPr>
          <w:i/>
          <w:iCs/>
        </w:rPr>
        <w:t>Nicotine &amp; Tobacco Research</w:t>
      </w:r>
      <w:r w:rsidR="00113B57" w:rsidRPr="00113B57">
        <w:t>, Volume 23, Issue 6, 2021</w:t>
      </w:r>
      <w:r w:rsidR="00113B57">
        <w:t>.</w:t>
      </w:r>
      <w:r w:rsidR="00113B57" w:rsidRPr="00113B57">
        <w:t xml:space="preserve"> </w:t>
      </w:r>
    </w:p>
    <w:p w14:paraId="4C79E0D0" w14:textId="77777777" w:rsidR="005561F7" w:rsidRDefault="005561F7" w:rsidP="005561F7"/>
    <w:p w14:paraId="7625C22C" w14:textId="77777777" w:rsidR="005561F7" w:rsidRPr="005561F7" w:rsidRDefault="005561F7" w:rsidP="005561F7">
      <w:pPr>
        <w:pStyle w:val="Heading3"/>
      </w:pPr>
      <w:bookmarkStart w:id="748" w:name="_Toc162267505"/>
      <w:r w:rsidRPr="005561F7">
        <w:t>Smoking Attributable Deaths</w:t>
      </w:r>
      <w:bookmarkEnd w:id="748"/>
    </w:p>
    <w:p w14:paraId="7BACDD42" w14:textId="109CFF3A" w:rsidR="005561F7" w:rsidRPr="005561F7" w:rsidRDefault="005561F7" w:rsidP="005561F7">
      <w:r w:rsidRPr="005561F7">
        <w:t>Smoking and exposure to secondhand smoke cause and worsen 5 out of 10 of the leading causes of death in SC (heart disease, cancer, chronic obstructive pulmonary disease or COPD, stroke, and diabetes).  Race/ethnicity, level of education, stress, rurality, and especially poverty are factors that increase the risk of diabetes, various cancers, and other leading causes of death These same factors also impact smoking behavior.</w:t>
      </w:r>
    </w:p>
    <w:p w14:paraId="370FA274" w14:textId="77777777" w:rsidR="005561F7" w:rsidRDefault="005561F7" w:rsidP="005561F7"/>
    <w:p w14:paraId="31B12AC8" w14:textId="3E4324ED" w:rsidR="005561F7" w:rsidRPr="005561F7" w:rsidRDefault="005561F7" w:rsidP="005561F7">
      <w:r w:rsidRPr="005561F7">
        <w:t>People facing stress and pressure from racial discrimination, inadequate or no health insurance coverage, unemployment, and financial instability often experience a disproportionate burden of tobacco use compared to other groups of people</w:t>
      </w:r>
      <w:r>
        <w:t>.</w:t>
      </w:r>
      <w:r w:rsidRPr="005561F7">
        <w:t xml:space="preserve"> Data show that in SC, tobacco-related death rates are highest in areas of the state where </w:t>
      </w:r>
      <w:proofErr w:type="gramStart"/>
      <w:r w:rsidRPr="005561F7">
        <w:t>the majority of</w:t>
      </w:r>
      <w:proofErr w:type="gramEnd"/>
      <w:r w:rsidRPr="005561F7">
        <w:t xml:space="preserve"> residents have lower income, are chronically under-resourced, have chronic diseases exacerbated by smoking or secondhand smoke exposure, and/or identify as Hispanic and/or Latino; Black and/or African American; American Indian and/or Alaskan Native; and Asian, Asian American and/or Pacific Islander. Nicotine is highly addictive and hard to quit. Reduced tobacco use can decrease the nearly $2 billion in health care funding needed for chronic disease management, to provide care for premature births and pregnancy complications, and to treat other tobacco-related illnesses.</w:t>
      </w:r>
    </w:p>
    <w:p w14:paraId="09BB6138" w14:textId="77777777" w:rsidR="005561F7" w:rsidRDefault="005561F7" w:rsidP="005561F7"/>
    <w:p w14:paraId="132DF791" w14:textId="0340CC7E" w:rsidR="005561F7" w:rsidRDefault="005561F7" w:rsidP="005561F7">
      <w:r w:rsidRPr="005561F7">
        <w:t xml:space="preserve">The use of commercial tobacco products is highest in counties where residents earn lower annual incomes, have less education, </w:t>
      </w:r>
      <w:r w:rsidR="00353117">
        <w:t>are uninsured, or</w:t>
      </w:r>
      <w:r w:rsidRPr="005561F7">
        <w:t xml:space="preserve"> are unemployed. Counties experiencing these difficulties often overlap with counties that experience high rates of chronic diseases like heart disease, cancer, COPD, and diabetes.</w:t>
      </w:r>
    </w:p>
    <w:p w14:paraId="5A660E52" w14:textId="77777777" w:rsidR="005561F7" w:rsidRDefault="005561F7" w:rsidP="005561F7"/>
    <w:p w14:paraId="13B43A6E" w14:textId="77777777" w:rsidR="005561F7" w:rsidRDefault="005561F7" w:rsidP="005561F7">
      <w:pPr>
        <w:pStyle w:val="Heading4"/>
      </w:pPr>
      <w:bookmarkStart w:id="749" w:name="_Toc162267506"/>
      <w:r>
        <w:t>Figure 9.22: Deaths Linked to Smoking, by County.</w:t>
      </w:r>
      <w:bookmarkEnd w:id="749"/>
    </w:p>
    <w:p w14:paraId="04325718" w14:textId="77777777" w:rsidR="005561F7" w:rsidRDefault="005561F7" w:rsidP="005561F7">
      <w:pPr>
        <w:pStyle w:val="Heading5"/>
      </w:pPr>
      <w:r>
        <w:t>Rate per 100,000 population.</w:t>
      </w:r>
    </w:p>
    <w:tbl>
      <w:tblPr>
        <w:tblStyle w:val="TableGrid"/>
        <w:tblW w:w="0" w:type="auto"/>
        <w:tblLook w:val="04A0" w:firstRow="1" w:lastRow="0" w:firstColumn="1" w:lastColumn="0" w:noHBand="0" w:noVBand="1"/>
      </w:tblPr>
      <w:tblGrid>
        <w:gridCol w:w="4675"/>
        <w:gridCol w:w="4675"/>
      </w:tblGrid>
      <w:tr w:rsidR="005561F7" w14:paraId="16BE8D64" w14:textId="77777777" w:rsidTr="001B41BD">
        <w:tc>
          <w:tcPr>
            <w:tcW w:w="4675" w:type="dxa"/>
            <w:vAlign w:val="bottom"/>
          </w:tcPr>
          <w:p w14:paraId="1A43F1FD" w14:textId="77777777" w:rsidR="005561F7" w:rsidRPr="00122D44" w:rsidRDefault="005561F7" w:rsidP="001B41BD">
            <w:r w:rsidRPr="00122D44">
              <w:t>County</w:t>
            </w:r>
          </w:p>
        </w:tc>
        <w:tc>
          <w:tcPr>
            <w:tcW w:w="4675" w:type="dxa"/>
            <w:vAlign w:val="bottom"/>
          </w:tcPr>
          <w:p w14:paraId="3BA72837" w14:textId="77777777" w:rsidR="005561F7" w:rsidRPr="00122D44" w:rsidRDefault="005561F7" w:rsidP="001B41BD">
            <w:r>
              <w:t>Rate</w:t>
            </w:r>
          </w:p>
        </w:tc>
      </w:tr>
      <w:tr w:rsidR="005561F7" w14:paraId="1B8358D3" w14:textId="77777777" w:rsidTr="001B41BD">
        <w:tc>
          <w:tcPr>
            <w:tcW w:w="4675" w:type="dxa"/>
            <w:vAlign w:val="bottom"/>
          </w:tcPr>
          <w:p w14:paraId="2742ECC7" w14:textId="77777777" w:rsidR="005561F7" w:rsidRPr="00122D44" w:rsidRDefault="005561F7" w:rsidP="001B41BD">
            <w:r w:rsidRPr="00122D44">
              <w:t>Abbeville</w:t>
            </w:r>
          </w:p>
        </w:tc>
        <w:tc>
          <w:tcPr>
            <w:tcW w:w="4675" w:type="dxa"/>
            <w:vAlign w:val="bottom"/>
          </w:tcPr>
          <w:p w14:paraId="4D8251A7" w14:textId="77777777" w:rsidR="005561F7" w:rsidRPr="00122D44" w:rsidRDefault="005561F7" w:rsidP="001B41BD">
            <w:r w:rsidRPr="00122D44">
              <w:t>365.6 - 454.7</w:t>
            </w:r>
          </w:p>
        </w:tc>
      </w:tr>
      <w:tr w:rsidR="005561F7" w14:paraId="60749DC1" w14:textId="77777777" w:rsidTr="001B41BD">
        <w:tc>
          <w:tcPr>
            <w:tcW w:w="4675" w:type="dxa"/>
            <w:vAlign w:val="bottom"/>
          </w:tcPr>
          <w:p w14:paraId="18F3525F" w14:textId="77777777" w:rsidR="005561F7" w:rsidRPr="00122D44" w:rsidRDefault="005561F7" w:rsidP="001B41BD">
            <w:r w:rsidRPr="00122D44">
              <w:t>Aiken</w:t>
            </w:r>
          </w:p>
        </w:tc>
        <w:tc>
          <w:tcPr>
            <w:tcW w:w="4675" w:type="dxa"/>
            <w:vAlign w:val="bottom"/>
          </w:tcPr>
          <w:p w14:paraId="49ABD76F" w14:textId="77777777" w:rsidR="005561F7" w:rsidRPr="00122D44" w:rsidRDefault="005561F7" w:rsidP="001B41BD">
            <w:r w:rsidRPr="00122D44">
              <w:t>269.9 - 310.3</w:t>
            </w:r>
          </w:p>
        </w:tc>
      </w:tr>
      <w:tr w:rsidR="005561F7" w14:paraId="00669158" w14:textId="77777777" w:rsidTr="001B41BD">
        <w:tc>
          <w:tcPr>
            <w:tcW w:w="4675" w:type="dxa"/>
            <w:vAlign w:val="bottom"/>
          </w:tcPr>
          <w:p w14:paraId="74D4EC8C" w14:textId="77777777" w:rsidR="005561F7" w:rsidRPr="00122D44" w:rsidRDefault="005561F7" w:rsidP="001B41BD">
            <w:r w:rsidRPr="00122D44">
              <w:t>Allendale</w:t>
            </w:r>
          </w:p>
        </w:tc>
        <w:tc>
          <w:tcPr>
            <w:tcW w:w="4675" w:type="dxa"/>
            <w:vAlign w:val="bottom"/>
          </w:tcPr>
          <w:p w14:paraId="2783A53B" w14:textId="77777777" w:rsidR="005561F7" w:rsidRPr="00122D44" w:rsidRDefault="005561F7" w:rsidP="001B41BD">
            <w:r w:rsidRPr="00122D44">
              <w:t>269.9 - 310.3</w:t>
            </w:r>
          </w:p>
        </w:tc>
      </w:tr>
      <w:tr w:rsidR="005561F7" w14:paraId="25485775" w14:textId="77777777" w:rsidTr="001B41BD">
        <w:tc>
          <w:tcPr>
            <w:tcW w:w="4675" w:type="dxa"/>
            <w:vAlign w:val="bottom"/>
          </w:tcPr>
          <w:p w14:paraId="79E28653" w14:textId="77777777" w:rsidR="005561F7" w:rsidRPr="00122D44" w:rsidRDefault="005561F7" w:rsidP="001B41BD">
            <w:r w:rsidRPr="00122D44">
              <w:lastRenderedPageBreak/>
              <w:t>Anderson</w:t>
            </w:r>
          </w:p>
        </w:tc>
        <w:tc>
          <w:tcPr>
            <w:tcW w:w="4675" w:type="dxa"/>
            <w:vAlign w:val="bottom"/>
          </w:tcPr>
          <w:p w14:paraId="0248288D" w14:textId="77777777" w:rsidR="005561F7" w:rsidRPr="00122D44" w:rsidRDefault="005561F7" w:rsidP="001B41BD">
            <w:r w:rsidRPr="00122D44">
              <w:t>269.9 - 310.3</w:t>
            </w:r>
          </w:p>
        </w:tc>
      </w:tr>
      <w:tr w:rsidR="005561F7" w14:paraId="01206D34" w14:textId="77777777" w:rsidTr="001B41BD">
        <w:tc>
          <w:tcPr>
            <w:tcW w:w="4675" w:type="dxa"/>
            <w:vAlign w:val="bottom"/>
          </w:tcPr>
          <w:p w14:paraId="634FD9C1" w14:textId="77777777" w:rsidR="005561F7" w:rsidRPr="00122D44" w:rsidRDefault="005561F7" w:rsidP="001B41BD">
            <w:r w:rsidRPr="00122D44">
              <w:t>Bamberg</w:t>
            </w:r>
          </w:p>
        </w:tc>
        <w:tc>
          <w:tcPr>
            <w:tcW w:w="4675" w:type="dxa"/>
            <w:vAlign w:val="bottom"/>
          </w:tcPr>
          <w:p w14:paraId="09619F14" w14:textId="77777777" w:rsidR="005561F7" w:rsidRPr="00122D44" w:rsidRDefault="005561F7" w:rsidP="001B41BD">
            <w:r w:rsidRPr="00122D44">
              <w:t>269.9 - 310.3</w:t>
            </w:r>
          </w:p>
        </w:tc>
      </w:tr>
      <w:tr w:rsidR="005561F7" w14:paraId="336A4CA9" w14:textId="77777777" w:rsidTr="001B41BD">
        <w:tc>
          <w:tcPr>
            <w:tcW w:w="4675" w:type="dxa"/>
            <w:vAlign w:val="bottom"/>
          </w:tcPr>
          <w:p w14:paraId="540A1A70" w14:textId="77777777" w:rsidR="005561F7" w:rsidRPr="00122D44" w:rsidRDefault="005561F7" w:rsidP="001B41BD">
            <w:r w:rsidRPr="00122D44">
              <w:t>Barnwell</w:t>
            </w:r>
          </w:p>
        </w:tc>
        <w:tc>
          <w:tcPr>
            <w:tcW w:w="4675" w:type="dxa"/>
            <w:vAlign w:val="bottom"/>
          </w:tcPr>
          <w:p w14:paraId="22A51D85" w14:textId="77777777" w:rsidR="005561F7" w:rsidRPr="00122D44" w:rsidRDefault="005561F7" w:rsidP="001B41BD">
            <w:r w:rsidRPr="00122D44">
              <w:t>365.6 - 454.7</w:t>
            </w:r>
          </w:p>
        </w:tc>
      </w:tr>
      <w:tr w:rsidR="005561F7" w14:paraId="64BD4537" w14:textId="77777777" w:rsidTr="001B41BD">
        <w:tc>
          <w:tcPr>
            <w:tcW w:w="4675" w:type="dxa"/>
            <w:vAlign w:val="bottom"/>
          </w:tcPr>
          <w:p w14:paraId="100BC4F7" w14:textId="77777777" w:rsidR="005561F7" w:rsidRPr="00122D44" w:rsidRDefault="005561F7" w:rsidP="001B41BD">
            <w:r w:rsidRPr="00122D44">
              <w:t>Beaufort</w:t>
            </w:r>
          </w:p>
        </w:tc>
        <w:tc>
          <w:tcPr>
            <w:tcW w:w="4675" w:type="dxa"/>
            <w:vAlign w:val="bottom"/>
          </w:tcPr>
          <w:p w14:paraId="2E8FFBD7" w14:textId="77777777" w:rsidR="005561F7" w:rsidRPr="00122D44" w:rsidRDefault="005561F7" w:rsidP="001B41BD">
            <w:r w:rsidRPr="00122D44">
              <w:t>170.1 - 218.3</w:t>
            </w:r>
          </w:p>
        </w:tc>
      </w:tr>
      <w:tr w:rsidR="005561F7" w14:paraId="44106BE2" w14:textId="77777777" w:rsidTr="001B41BD">
        <w:tc>
          <w:tcPr>
            <w:tcW w:w="4675" w:type="dxa"/>
            <w:vAlign w:val="bottom"/>
          </w:tcPr>
          <w:p w14:paraId="4C152E37" w14:textId="77777777" w:rsidR="005561F7" w:rsidRPr="00122D44" w:rsidRDefault="005561F7" w:rsidP="001B41BD">
            <w:r w:rsidRPr="00122D44">
              <w:t>Berkeley</w:t>
            </w:r>
          </w:p>
        </w:tc>
        <w:tc>
          <w:tcPr>
            <w:tcW w:w="4675" w:type="dxa"/>
            <w:vAlign w:val="bottom"/>
          </w:tcPr>
          <w:p w14:paraId="639AC8A6" w14:textId="77777777" w:rsidR="005561F7" w:rsidRPr="00122D44" w:rsidRDefault="005561F7" w:rsidP="001B41BD">
            <w:r w:rsidRPr="00122D44">
              <w:t>218.4 - 269.8</w:t>
            </w:r>
          </w:p>
        </w:tc>
      </w:tr>
      <w:tr w:rsidR="005561F7" w14:paraId="446BC8AF" w14:textId="77777777" w:rsidTr="001B41BD">
        <w:tc>
          <w:tcPr>
            <w:tcW w:w="4675" w:type="dxa"/>
            <w:vAlign w:val="bottom"/>
          </w:tcPr>
          <w:p w14:paraId="4507A64D" w14:textId="77777777" w:rsidR="005561F7" w:rsidRPr="00122D44" w:rsidRDefault="005561F7" w:rsidP="001B41BD">
            <w:r w:rsidRPr="00122D44">
              <w:t>Calhoun</w:t>
            </w:r>
          </w:p>
        </w:tc>
        <w:tc>
          <w:tcPr>
            <w:tcW w:w="4675" w:type="dxa"/>
            <w:vAlign w:val="bottom"/>
          </w:tcPr>
          <w:p w14:paraId="5183B2B6" w14:textId="77777777" w:rsidR="005561F7" w:rsidRPr="00122D44" w:rsidRDefault="005561F7" w:rsidP="001B41BD">
            <w:r w:rsidRPr="00122D44">
              <w:t>269.9 - 310.3</w:t>
            </w:r>
          </w:p>
        </w:tc>
      </w:tr>
      <w:tr w:rsidR="005561F7" w14:paraId="1AED41F1" w14:textId="77777777" w:rsidTr="001B41BD">
        <w:tc>
          <w:tcPr>
            <w:tcW w:w="4675" w:type="dxa"/>
            <w:vAlign w:val="bottom"/>
          </w:tcPr>
          <w:p w14:paraId="75FEAFDF" w14:textId="77777777" w:rsidR="005561F7" w:rsidRPr="00122D44" w:rsidRDefault="005561F7" w:rsidP="001B41BD">
            <w:r w:rsidRPr="00122D44">
              <w:t>Charleston</w:t>
            </w:r>
          </w:p>
        </w:tc>
        <w:tc>
          <w:tcPr>
            <w:tcW w:w="4675" w:type="dxa"/>
            <w:vAlign w:val="bottom"/>
          </w:tcPr>
          <w:p w14:paraId="46ADF719" w14:textId="77777777" w:rsidR="005561F7" w:rsidRPr="00122D44" w:rsidRDefault="005561F7" w:rsidP="001B41BD">
            <w:r w:rsidRPr="00122D44">
              <w:t>170.1 - 218.3</w:t>
            </w:r>
          </w:p>
        </w:tc>
      </w:tr>
      <w:tr w:rsidR="005561F7" w14:paraId="6A590E8B" w14:textId="77777777" w:rsidTr="001B41BD">
        <w:tc>
          <w:tcPr>
            <w:tcW w:w="4675" w:type="dxa"/>
            <w:vAlign w:val="bottom"/>
          </w:tcPr>
          <w:p w14:paraId="1B077572" w14:textId="77777777" w:rsidR="005561F7" w:rsidRPr="00122D44" w:rsidRDefault="005561F7" w:rsidP="001B41BD">
            <w:r w:rsidRPr="00122D44">
              <w:t>Cherokee</w:t>
            </w:r>
          </w:p>
        </w:tc>
        <w:tc>
          <w:tcPr>
            <w:tcW w:w="4675" w:type="dxa"/>
            <w:vAlign w:val="bottom"/>
          </w:tcPr>
          <w:p w14:paraId="0831676A" w14:textId="77777777" w:rsidR="005561F7" w:rsidRPr="00122D44" w:rsidRDefault="005561F7" w:rsidP="001B41BD">
            <w:r w:rsidRPr="00122D44">
              <w:t>365.6 - 454.7</w:t>
            </w:r>
          </w:p>
        </w:tc>
      </w:tr>
      <w:tr w:rsidR="005561F7" w14:paraId="6757D538" w14:textId="77777777" w:rsidTr="001B41BD">
        <w:tc>
          <w:tcPr>
            <w:tcW w:w="4675" w:type="dxa"/>
            <w:vAlign w:val="bottom"/>
          </w:tcPr>
          <w:p w14:paraId="758FDDCF" w14:textId="77777777" w:rsidR="005561F7" w:rsidRPr="00122D44" w:rsidRDefault="005561F7" w:rsidP="001B41BD">
            <w:r w:rsidRPr="00122D44">
              <w:t>Chester</w:t>
            </w:r>
          </w:p>
        </w:tc>
        <w:tc>
          <w:tcPr>
            <w:tcW w:w="4675" w:type="dxa"/>
            <w:vAlign w:val="bottom"/>
          </w:tcPr>
          <w:p w14:paraId="2B3D3CF2" w14:textId="77777777" w:rsidR="005561F7" w:rsidRPr="00122D44" w:rsidRDefault="005561F7" w:rsidP="001B41BD">
            <w:r w:rsidRPr="00122D44">
              <w:t>365.6 - 454.7</w:t>
            </w:r>
          </w:p>
        </w:tc>
      </w:tr>
      <w:tr w:rsidR="005561F7" w14:paraId="37E8BCD0" w14:textId="77777777" w:rsidTr="001B41BD">
        <w:tc>
          <w:tcPr>
            <w:tcW w:w="4675" w:type="dxa"/>
            <w:vAlign w:val="bottom"/>
          </w:tcPr>
          <w:p w14:paraId="2F9BC639" w14:textId="77777777" w:rsidR="005561F7" w:rsidRPr="00122D44" w:rsidRDefault="005561F7" w:rsidP="001B41BD">
            <w:r w:rsidRPr="00122D44">
              <w:t>Chesterfield</w:t>
            </w:r>
          </w:p>
        </w:tc>
        <w:tc>
          <w:tcPr>
            <w:tcW w:w="4675" w:type="dxa"/>
            <w:vAlign w:val="bottom"/>
          </w:tcPr>
          <w:p w14:paraId="06103C5F" w14:textId="77777777" w:rsidR="005561F7" w:rsidRPr="00122D44" w:rsidRDefault="005561F7" w:rsidP="001B41BD">
            <w:r w:rsidRPr="00122D44">
              <w:t>365.6 - 454.7</w:t>
            </w:r>
          </w:p>
        </w:tc>
      </w:tr>
      <w:tr w:rsidR="005561F7" w14:paraId="326501C6" w14:textId="77777777" w:rsidTr="001B41BD">
        <w:tc>
          <w:tcPr>
            <w:tcW w:w="4675" w:type="dxa"/>
            <w:vAlign w:val="bottom"/>
          </w:tcPr>
          <w:p w14:paraId="76A04928" w14:textId="77777777" w:rsidR="005561F7" w:rsidRPr="00122D44" w:rsidRDefault="005561F7" w:rsidP="001B41BD">
            <w:r w:rsidRPr="00122D44">
              <w:t>Clarendon</w:t>
            </w:r>
          </w:p>
        </w:tc>
        <w:tc>
          <w:tcPr>
            <w:tcW w:w="4675" w:type="dxa"/>
            <w:vAlign w:val="bottom"/>
          </w:tcPr>
          <w:p w14:paraId="7E237C50" w14:textId="77777777" w:rsidR="005561F7" w:rsidRPr="00122D44" w:rsidRDefault="005561F7" w:rsidP="001B41BD">
            <w:r w:rsidRPr="00122D44">
              <w:t>310.4 - 365.5</w:t>
            </w:r>
          </w:p>
        </w:tc>
      </w:tr>
      <w:tr w:rsidR="005561F7" w14:paraId="38E69F8B" w14:textId="77777777" w:rsidTr="001B41BD">
        <w:tc>
          <w:tcPr>
            <w:tcW w:w="4675" w:type="dxa"/>
            <w:vAlign w:val="bottom"/>
          </w:tcPr>
          <w:p w14:paraId="6801D461" w14:textId="77777777" w:rsidR="005561F7" w:rsidRPr="00122D44" w:rsidRDefault="005561F7" w:rsidP="001B41BD">
            <w:r w:rsidRPr="00122D44">
              <w:t>Colleton</w:t>
            </w:r>
          </w:p>
        </w:tc>
        <w:tc>
          <w:tcPr>
            <w:tcW w:w="4675" w:type="dxa"/>
            <w:vAlign w:val="bottom"/>
          </w:tcPr>
          <w:p w14:paraId="293D8A12" w14:textId="77777777" w:rsidR="005561F7" w:rsidRPr="00122D44" w:rsidRDefault="005561F7" w:rsidP="001B41BD">
            <w:r w:rsidRPr="00122D44">
              <w:t>310.4 - 365.5</w:t>
            </w:r>
          </w:p>
        </w:tc>
      </w:tr>
      <w:tr w:rsidR="005561F7" w14:paraId="63D76359" w14:textId="77777777" w:rsidTr="001B41BD">
        <w:tc>
          <w:tcPr>
            <w:tcW w:w="4675" w:type="dxa"/>
            <w:vAlign w:val="bottom"/>
          </w:tcPr>
          <w:p w14:paraId="02836A85" w14:textId="77777777" w:rsidR="005561F7" w:rsidRPr="00122D44" w:rsidRDefault="005561F7" w:rsidP="001B41BD">
            <w:r w:rsidRPr="00122D44">
              <w:t>Darlington</w:t>
            </w:r>
          </w:p>
        </w:tc>
        <w:tc>
          <w:tcPr>
            <w:tcW w:w="4675" w:type="dxa"/>
            <w:vAlign w:val="bottom"/>
          </w:tcPr>
          <w:p w14:paraId="069A2DB0" w14:textId="77777777" w:rsidR="005561F7" w:rsidRPr="00122D44" w:rsidRDefault="005561F7" w:rsidP="001B41BD">
            <w:r w:rsidRPr="00122D44">
              <w:t>310.4 - 365.5</w:t>
            </w:r>
          </w:p>
        </w:tc>
      </w:tr>
      <w:tr w:rsidR="005561F7" w14:paraId="11ED4CFB" w14:textId="77777777" w:rsidTr="001B41BD">
        <w:tc>
          <w:tcPr>
            <w:tcW w:w="4675" w:type="dxa"/>
            <w:vAlign w:val="bottom"/>
          </w:tcPr>
          <w:p w14:paraId="590B36D3" w14:textId="77777777" w:rsidR="005561F7" w:rsidRPr="00122D44" w:rsidRDefault="005561F7" w:rsidP="001B41BD">
            <w:r w:rsidRPr="00122D44">
              <w:t>Dillon</w:t>
            </w:r>
          </w:p>
        </w:tc>
        <w:tc>
          <w:tcPr>
            <w:tcW w:w="4675" w:type="dxa"/>
            <w:vAlign w:val="bottom"/>
          </w:tcPr>
          <w:p w14:paraId="1E432BA0" w14:textId="77777777" w:rsidR="005561F7" w:rsidRPr="00122D44" w:rsidRDefault="005561F7" w:rsidP="001B41BD">
            <w:r w:rsidRPr="00122D44">
              <w:t>365.6 - 454.7</w:t>
            </w:r>
          </w:p>
        </w:tc>
      </w:tr>
      <w:tr w:rsidR="005561F7" w14:paraId="7F139B9E" w14:textId="77777777" w:rsidTr="001B41BD">
        <w:tc>
          <w:tcPr>
            <w:tcW w:w="4675" w:type="dxa"/>
            <w:vAlign w:val="bottom"/>
          </w:tcPr>
          <w:p w14:paraId="57AEE0F8" w14:textId="77777777" w:rsidR="005561F7" w:rsidRPr="00122D44" w:rsidRDefault="005561F7" w:rsidP="001B41BD">
            <w:r w:rsidRPr="00122D44">
              <w:t>Dorchester</w:t>
            </w:r>
          </w:p>
        </w:tc>
        <w:tc>
          <w:tcPr>
            <w:tcW w:w="4675" w:type="dxa"/>
            <w:vAlign w:val="bottom"/>
          </w:tcPr>
          <w:p w14:paraId="6AF9753D" w14:textId="77777777" w:rsidR="005561F7" w:rsidRPr="00122D44" w:rsidRDefault="005561F7" w:rsidP="001B41BD">
            <w:r w:rsidRPr="00122D44">
              <w:t>218.4 - 269.8</w:t>
            </w:r>
          </w:p>
        </w:tc>
      </w:tr>
      <w:tr w:rsidR="005561F7" w14:paraId="13EFADD2" w14:textId="77777777" w:rsidTr="001B41BD">
        <w:tc>
          <w:tcPr>
            <w:tcW w:w="4675" w:type="dxa"/>
            <w:vAlign w:val="bottom"/>
          </w:tcPr>
          <w:p w14:paraId="2E460358" w14:textId="77777777" w:rsidR="005561F7" w:rsidRPr="00122D44" w:rsidRDefault="005561F7" w:rsidP="001B41BD">
            <w:r w:rsidRPr="00122D44">
              <w:t>Edgefield</w:t>
            </w:r>
          </w:p>
        </w:tc>
        <w:tc>
          <w:tcPr>
            <w:tcW w:w="4675" w:type="dxa"/>
            <w:vAlign w:val="bottom"/>
          </w:tcPr>
          <w:p w14:paraId="4EFB260D" w14:textId="77777777" w:rsidR="005561F7" w:rsidRPr="00122D44" w:rsidRDefault="005561F7" w:rsidP="001B41BD">
            <w:r w:rsidRPr="00122D44">
              <w:t>170.1 - 218.3</w:t>
            </w:r>
          </w:p>
        </w:tc>
      </w:tr>
      <w:tr w:rsidR="005561F7" w14:paraId="5EE84486" w14:textId="77777777" w:rsidTr="001B41BD">
        <w:tc>
          <w:tcPr>
            <w:tcW w:w="4675" w:type="dxa"/>
            <w:vAlign w:val="bottom"/>
          </w:tcPr>
          <w:p w14:paraId="6CEC16BF" w14:textId="77777777" w:rsidR="005561F7" w:rsidRPr="00122D44" w:rsidRDefault="005561F7" w:rsidP="001B41BD">
            <w:r w:rsidRPr="00122D44">
              <w:t>Fairfield</w:t>
            </w:r>
          </w:p>
        </w:tc>
        <w:tc>
          <w:tcPr>
            <w:tcW w:w="4675" w:type="dxa"/>
            <w:vAlign w:val="bottom"/>
          </w:tcPr>
          <w:p w14:paraId="383185D6" w14:textId="77777777" w:rsidR="005561F7" w:rsidRPr="00122D44" w:rsidRDefault="005561F7" w:rsidP="001B41BD">
            <w:r w:rsidRPr="00122D44">
              <w:t>310.4 - 365.5</w:t>
            </w:r>
          </w:p>
        </w:tc>
      </w:tr>
      <w:tr w:rsidR="005561F7" w14:paraId="68730800" w14:textId="77777777" w:rsidTr="001B41BD">
        <w:tc>
          <w:tcPr>
            <w:tcW w:w="4675" w:type="dxa"/>
            <w:vAlign w:val="bottom"/>
          </w:tcPr>
          <w:p w14:paraId="0F99A418" w14:textId="77777777" w:rsidR="005561F7" w:rsidRPr="00122D44" w:rsidRDefault="005561F7" w:rsidP="001B41BD">
            <w:r w:rsidRPr="00122D44">
              <w:t>Florence</w:t>
            </w:r>
          </w:p>
        </w:tc>
        <w:tc>
          <w:tcPr>
            <w:tcW w:w="4675" w:type="dxa"/>
            <w:vAlign w:val="bottom"/>
          </w:tcPr>
          <w:p w14:paraId="1438F747" w14:textId="77777777" w:rsidR="005561F7" w:rsidRPr="00122D44" w:rsidRDefault="005561F7" w:rsidP="001B41BD">
            <w:r w:rsidRPr="00122D44">
              <w:t>170.1 - 218.3</w:t>
            </w:r>
          </w:p>
        </w:tc>
      </w:tr>
      <w:tr w:rsidR="005561F7" w14:paraId="4DBA932B" w14:textId="77777777" w:rsidTr="001B41BD">
        <w:tc>
          <w:tcPr>
            <w:tcW w:w="4675" w:type="dxa"/>
            <w:vAlign w:val="bottom"/>
          </w:tcPr>
          <w:p w14:paraId="2006E475" w14:textId="77777777" w:rsidR="005561F7" w:rsidRPr="00122D44" w:rsidRDefault="005561F7" w:rsidP="001B41BD">
            <w:r w:rsidRPr="00122D44">
              <w:t>Georgetown</w:t>
            </w:r>
          </w:p>
        </w:tc>
        <w:tc>
          <w:tcPr>
            <w:tcW w:w="4675" w:type="dxa"/>
            <w:vAlign w:val="bottom"/>
          </w:tcPr>
          <w:p w14:paraId="43772B07" w14:textId="77777777" w:rsidR="005561F7" w:rsidRPr="00122D44" w:rsidRDefault="005561F7" w:rsidP="001B41BD">
            <w:r w:rsidRPr="00122D44">
              <w:t>269.9 - 310.3</w:t>
            </w:r>
          </w:p>
        </w:tc>
      </w:tr>
      <w:tr w:rsidR="005561F7" w14:paraId="79A60BD2" w14:textId="77777777" w:rsidTr="001B41BD">
        <w:tc>
          <w:tcPr>
            <w:tcW w:w="4675" w:type="dxa"/>
            <w:vAlign w:val="bottom"/>
          </w:tcPr>
          <w:p w14:paraId="09ACBA7B" w14:textId="77777777" w:rsidR="005561F7" w:rsidRPr="00122D44" w:rsidRDefault="005561F7" w:rsidP="001B41BD">
            <w:r w:rsidRPr="00122D44">
              <w:t>Greenville</w:t>
            </w:r>
          </w:p>
        </w:tc>
        <w:tc>
          <w:tcPr>
            <w:tcW w:w="4675" w:type="dxa"/>
            <w:vAlign w:val="bottom"/>
          </w:tcPr>
          <w:p w14:paraId="427ABCB4" w14:textId="77777777" w:rsidR="005561F7" w:rsidRPr="00122D44" w:rsidRDefault="005561F7" w:rsidP="001B41BD">
            <w:r w:rsidRPr="00122D44">
              <w:t>170.1 - 218.3</w:t>
            </w:r>
          </w:p>
        </w:tc>
      </w:tr>
      <w:tr w:rsidR="005561F7" w14:paraId="2A40AB2F" w14:textId="77777777" w:rsidTr="001B41BD">
        <w:tc>
          <w:tcPr>
            <w:tcW w:w="4675" w:type="dxa"/>
            <w:vAlign w:val="bottom"/>
          </w:tcPr>
          <w:p w14:paraId="72206D99" w14:textId="77777777" w:rsidR="005561F7" w:rsidRPr="00122D44" w:rsidRDefault="005561F7" w:rsidP="001B41BD">
            <w:r w:rsidRPr="00122D44">
              <w:t>Greenwood</w:t>
            </w:r>
          </w:p>
        </w:tc>
        <w:tc>
          <w:tcPr>
            <w:tcW w:w="4675" w:type="dxa"/>
            <w:vAlign w:val="bottom"/>
          </w:tcPr>
          <w:p w14:paraId="61197F97" w14:textId="77777777" w:rsidR="005561F7" w:rsidRPr="00122D44" w:rsidRDefault="005561F7" w:rsidP="001B41BD">
            <w:r w:rsidRPr="00122D44">
              <w:t>218.4 - 269.8</w:t>
            </w:r>
          </w:p>
        </w:tc>
      </w:tr>
      <w:tr w:rsidR="005561F7" w14:paraId="4801C493" w14:textId="77777777" w:rsidTr="001B41BD">
        <w:tc>
          <w:tcPr>
            <w:tcW w:w="4675" w:type="dxa"/>
            <w:vAlign w:val="bottom"/>
          </w:tcPr>
          <w:p w14:paraId="0DF3F010" w14:textId="77777777" w:rsidR="005561F7" w:rsidRPr="00122D44" w:rsidRDefault="005561F7" w:rsidP="001B41BD">
            <w:r w:rsidRPr="00122D44">
              <w:t>Hampton</w:t>
            </w:r>
          </w:p>
        </w:tc>
        <w:tc>
          <w:tcPr>
            <w:tcW w:w="4675" w:type="dxa"/>
            <w:vAlign w:val="bottom"/>
          </w:tcPr>
          <w:p w14:paraId="624D3BF3" w14:textId="77777777" w:rsidR="005561F7" w:rsidRPr="00122D44" w:rsidRDefault="005561F7" w:rsidP="001B41BD">
            <w:r w:rsidRPr="00122D44">
              <w:t>218.4 - 269.8</w:t>
            </w:r>
          </w:p>
        </w:tc>
      </w:tr>
      <w:tr w:rsidR="005561F7" w14:paraId="1C542A6F" w14:textId="77777777" w:rsidTr="001B41BD">
        <w:tc>
          <w:tcPr>
            <w:tcW w:w="4675" w:type="dxa"/>
            <w:vAlign w:val="bottom"/>
          </w:tcPr>
          <w:p w14:paraId="06DF1971" w14:textId="77777777" w:rsidR="005561F7" w:rsidRPr="00122D44" w:rsidRDefault="005561F7" w:rsidP="001B41BD">
            <w:r w:rsidRPr="00122D44">
              <w:t>Horry</w:t>
            </w:r>
          </w:p>
        </w:tc>
        <w:tc>
          <w:tcPr>
            <w:tcW w:w="4675" w:type="dxa"/>
            <w:vAlign w:val="bottom"/>
          </w:tcPr>
          <w:p w14:paraId="37DFB5F4" w14:textId="77777777" w:rsidR="005561F7" w:rsidRPr="00122D44" w:rsidRDefault="005561F7" w:rsidP="001B41BD">
            <w:r w:rsidRPr="00122D44">
              <w:t>310.4 - 365.5</w:t>
            </w:r>
          </w:p>
        </w:tc>
      </w:tr>
      <w:tr w:rsidR="005561F7" w14:paraId="11FECA2B" w14:textId="77777777" w:rsidTr="001B41BD">
        <w:tc>
          <w:tcPr>
            <w:tcW w:w="4675" w:type="dxa"/>
            <w:vAlign w:val="bottom"/>
          </w:tcPr>
          <w:p w14:paraId="63ECA12A" w14:textId="77777777" w:rsidR="005561F7" w:rsidRPr="00122D44" w:rsidRDefault="005561F7" w:rsidP="001B41BD">
            <w:r w:rsidRPr="00122D44">
              <w:t>Jasper</w:t>
            </w:r>
          </w:p>
        </w:tc>
        <w:tc>
          <w:tcPr>
            <w:tcW w:w="4675" w:type="dxa"/>
            <w:vAlign w:val="bottom"/>
          </w:tcPr>
          <w:p w14:paraId="07EFB4FC" w14:textId="77777777" w:rsidR="005561F7" w:rsidRPr="00122D44" w:rsidRDefault="005561F7" w:rsidP="001B41BD">
            <w:r w:rsidRPr="00122D44">
              <w:t>218.4 - 269.8</w:t>
            </w:r>
          </w:p>
        </w:tc>
      </w:tr>
      <w:tr w:rsidR="005561F7" w14:paraId="3323B519" w14:textId="77777777" w:rsidTr="001B41BD">
        <w:tc>
          <w:tcPr>
            <w:tcW w:w="4675" w:type="dxa"/>
            <w:vAlign w:val="bottom"/>
          </w:tcPr>
          <w:p w14:paraId="769E83F2" w14:textId="77777777" w:rsidR="005561F7" w:rsidRPr="00122D44" w:rsidRDefault="005561F7" w:rsidP="001B41BD">
            <w:r w:rsidRPr="00122D44">
              <w:t>Kershaw</w:t>
            </w:r>
          </w:p>
        </w:tc>
        <w:tc>
          <w:tcPr>
            <w:tcW w:w="4675" w:type="dxa"/>
            <w:vAlign w:val="bottom"/>
          </w:tcPr>
          <w:p w14:paraId="3A38E130" w14:textId="77777777" w:rsidR="005561F7" w:rsidRPr="00122D44" w:rsidRDefault="005561F7" w:rsidP="001B41BD">
            <w:r w:rsidRPr="00122D44">
              <w:t>269.9 - 310.3</w:t>
            </w:r>
          </w:p>
        </w:tc>
      </w:tr>
      <w:tr w:rsidR="005561F7" w14:paraId="648C6927" w14:textId="77777777" w:rsidTr="001B41BD">
        <w:tc>
          <w:tcPr>
            <w:tcW w:w="4675" w:type="dxa"/>
            <w:vAlign w:val="bottom"/>
          </w:tcPr>
          <w:p w14:paraId="7BE73E92" w14:textId="77777777" w:rsidR="005561F7" w:rsidRPr="00122D44" w:rsidRDefault="005561F7" w:rsidP="001B41BD">
            <w:r w:rsidRPr="00122D44">
              <w:t>Lancaster</w:t>
            </w:r>
          </w:p>
        </w:tc>
        <w:tc>
          <w:tcPr>
            <w:tcW w:w="4675" w:type="dxa"/>
            <w:vAlign w:val="bottom"/>
          </w:tcPr>
          <w:p w14:paraId="7158539C" w14:textId="77777777" w:rsidR="005561F7" w:rsidRPr="00122D44" w:rsidRDefault="005561F7" w:rsidP="001B41BD">
            <w:r w:rsidRPr="00122D44">
              <w:t>269.9 - 310.3</w:t>
            </w:r>
          </w:p>
        </w:tc>
      </w:tr>
      <w:tr w:rsidR="005561F7" w14:paraId="3AC0D9BB" w14:textId="77777777" w:rsidTr="001B41BD">
        <w:tc>
          <w:tcPr>
            <w:tcW w:w="4675" w:type="dxa"/>
            <w:vAlign w:val="bottom"/>
          </w:tcPr>
          <w:p w14:paraId="79AAE324" w14:textId="77777777" w:rsidR="005561F7" w:rsidRPr="00122D44" w:rsidRDefault="005561F7" w:rsidP="001B41BD">
            <w:r w:rsidRPr="00122D44">
              <w:t>Laurens</w:t>
            </w:r>
          </w:p>
        </w:tc>
        <w:tc>
          <w:tcPr>
            <w:tcW w:w="4675" w:type="dxa"/>
            <w:vAlign w:val="bottom"/>
          </w:tcPr>
          <w:p w14:paraId="2BD8E473" w14:textId="77777777" w:rsidR="005561F7" w:rsidRPr="00122D44" w:rsidRDefault="005561F7" w:rsidP="001B41BD">
            <w:r w:rsidRPr="00122D44">
              <w:t>310.4 - 365.5</w:t>
            </w:r>
          </w:p>
        </w:tc>
      </w:tr>
      <w:tr w:rsidR="005561F7" w14:paraId="6C7CD0B2" w14:textId="77777777" w:rsidTr="001B41BD">
        <w:tc>
          <w:tcPr>
            <w:tcW w:w="4675" w:type="dxa"/>
            <w:vAlign w:val="bottom"/>
          </w:tcPr>
          <w:p w14:paraId="136DBF7E" w14:textId="77777777" w:rsidR="005561F7" w:rsidRPr="00122D44" w:rsidRDefault="005561F7" w:rsidP="001B41BD">
            <w:r w:rsidRPr="00122D44">
              <w:t>Lee</w:t>
            </w:r>
          </w:p>
        </w:tc>
        <w:tc>
          <w:tcPr>
            <w:tcW w:w="4675" w:type="dxa"/>
            <w:vAlign w:val="bottom"/>
          </w:tcPr>
          <w:p w14:paraId="7457EF1B" w14:textId="77777777" w:rsidR="005561F7" w:rsidRPr="00122D44" w:rsidRDefault="005561F7" w:rsidP="001B41BD">
            <w:r w:rsidRPr="00122D44">
              <w:t>310.4 - 365.5</w:t>
            </w:r>
          </w:p>
        </w:tc>
      </w:tr>
      <w:tr w:rsidR="005561F7" w14:paraId="0063F7CE" w14:textId="77777777" w:rsidTr="001B41BD">
        <w:tc>
          <w:tcPr>
            <w:tcW w:w="4675" w:type="dxa"/>
            <w:vAlign w:val="bottom"/>
          </w:tcPr>
          <w:p w14:paraId="0B5F4077" w14:textId="77777777" w:rsidR="005561F7" w:rsidRPr="00122D44" w:rsidRDefault="005561F7" w:rsidP="001B41BD">
            <w:r w:rsidRPr="00122D44">
              <w:t>Lexington</w:t>
            </w:r>
          </w:p>
        </w:tc>
        <w:tc>
          <w:tcPr>
            <w:tcW w:w="4675" w:type="dxa"/>
            <w:vAlign w:val="bottom"/>
          </w:tcPr>
          <w:p w14:paraId="6038DC30" w14:textId="77777777" w:rsidR="005561F7" w:rsidRPr="00122D44" w:rsidRDefault="005561F7" w:rsidP="001B41BD">
            <w:r w:rsidRPr="00122D44">
              <w:t>218.4 - 269.8</w:t>
            </w:r>
          </w:p>
        </w:tc>
      </w:tr>
      <w:tr w:rsidR="005561F7" w14:paraId="2BEBC7C6" w14:textId="77777777" w:rsidTr="001B41BD">
        <w:tc>
          <w:tcPr>
            <w:tcW w:w="4675" w:type="dxa"/>
            <w:vAlign w:val="bottom"/>
          </w:tcPr>
          <w:p w14:paraId="16264F90" w14:textId="77777777" w:rsidR="005561F7" w:rsidRPr="00122D44" w:rsidRDefault="005561F7" w:rsidP="001B41BD">
            <w:r w:rsidRPr="00122D44">
              <w:t>McCormick</w:t>
            </w:r>
          </w:p>
        </w:tc>
        <w:tc>
          <w:tcPr>
            <w:tcW w:w="4675" w:type="dxa"/>
            <w:vAlign w:val="bottom"/>
          </w:tcPr>
          <w:p w14:paraId="56C703DB" w14:textId="77777777" w:rsidR="005561F7" w:rsidRPr="00122D44" w:rsidRDefault="005561F7" w:rsidP="001B41BD">
            <w:r w:rsidRPr="00122D44">
              <w:t>218.4 - 269.8</w:t>
            </w:r>
          </w:p>
        </w:tc>
      </w:tr>
      <w:tr w:rsidR="005561F7" w14:paraId="4BEECC9D" w14:textId="77777777" w:rsidTr="001B41BD">
        <w:tc>
          <w:tcPr>
            <w:tcW w:w="4675" w:type="dxa"/>
            <w:vAlign w:val="bottom"/>
          </w:tcPr>
          <w:p w14:paraId="0F5BD378" w14:textId="77777777" w:rsidR="005561F7" w:rsidRPr="00122D44" w:rsidRDefault="005561F7" w:rsidP="001B41BD">
            <w:r w:rsidRPr="00122D44">
              <w:t>Marion</w:t>
            </w:r>
          </w:p>
        </w:tc>
        <w:tc>
          <w:tcPr>
            <w:tcW w:w="4675" w:type="dxa"/>
            <w:vAlign w:val="bottom"/>
          </w:tcPr>
          <w:p w14:paraId="50CC6295" w14:textId="77777777" w:rsidR="005561F7" w:rsidRPr="00122D44" w:rsidRDefault="005561F7" w:rsidP="001B41BD">
            <w:r w:rsidRPr="00122D44">
              <w:t>218.4 - 269.8</w:t>
            </w:r>
          </w:p>
        </w:tc>
      </w:tr>
      <w:tr w:rsidR="005561F7" w14:paraId="1BF45005" w14:textId="77777777" w:rsidTr="001B41BD">
        <w:tc>
          <w:tcPr>
            <w:tcW w:w="4675" w:type="dxa"/>
            <w:vAlign w:val="bottom"/>
          </w:tcPr>
          <w:p w14:paraId="232C7EC0" w14:textId="77777777" w:rsidR="005561F7" w:rsidRPr="00122D44" w:rsidRDefault="005561F7" w:rsidP="001B41BD">
            <w:r w:rsidRPr="00122D44">
              <w:t>Marlboro</w:t>
            </w:r>
          </w:p>
        </w:tc>
        <w:tc>
          <w:tcPr>
            <w:tcW w:w="4675" w:type="dxa"/>
            <w:vAlign w:val="bottom"/>
          </w:tcPr>
          <w:p w14:paraId="7D074BCF" w14:textId="77777777" w:rsidR="005561F7" w:rsidRPr="00122D44" w:rsidRDefault="005561F7" w:rsidP="001B41BD">
            <w:r w:rsidRPr="00122D44">
              <w:t>269.9 - 310.3</w:t>
            </w:r>
          </w:p>
        </w:tc>
      </w:tr>
      <w:tr w:rsidR="005561F7" w14:paraId="6B7C990A" w14:textId="77777777" w:rsidTr="001B41BD">
        <w:tc>
          <w:tcPr>
            <w:tcW w:w="4675" w:type="dxa"/>
            <w:vAlign w:val="bottom"/>
          </w:tcPr>
          <w:p w14:paraId="06AE810C" w14:textId="77777777" w:rsidR="005561F7" w:rsidRPr="00122D44" w:rsidRDefault="005561F7" w:rsidP="001B41BD">
            <w:r w:rsidRPr="00122D44">
              <w:t>Newberry</w:t>
            </w:r>
          </w:p>
        </w:tc>
        <w:tc>
          <w:tcPr>
            <w:tcW w:w="4675" w:type="dxa"/>
            <w:vAlign w:val="bottom"/>
          </w:tcPr>
          <w:p w14:paraId="6F9969CC" w14:textId="77777777" w:rsidR="005561F7" w:rsidRPr="00122D44" w:rsidRDefault="005561F7" w:rsidP="001B41BD">
            <w:r w:rsidRPr="00122D44">
              <w:t>310.4 - 365.5</w:t>
            </w:r>
          </w:p>
        </w:tc>
      </w:tr>
      <w:tr w:rsidR="005561F7" w14:paraId="6F9E0801" w14:textId="77777777" w:rsidTr="001B41BD">
        <w:tc>
          <w:tcPr>
            <w:tcW w:w="4675" w:type="dxa"/>
            <w:vAlign w:val="bottom"/>
          </w:tcPr>
          <w:p w14:paraId="2607FE0F" w14:textId="77777777" w:rsidR="005561F7" w:rsidRPr="00122D44" w:rsidRDefault="005561F7" w:rsidP="001B41BD">
            <w:r w:rsidRPr="00122D44">
              <w:t>Oconee</w:t>
            </w:r>
          </w:p>
        </w:tc>
        <w:tc>
          <w:tcPr>
            <w:tcW w:w="4675" w:type="dxa"/>
            <w:vAlign w:val="bottom"/>
          </w:tcPr>
          <w:p w14:paraId="1BAA4ECE" w14:textId="77777777" w:rsidR="005561F7" w:rsidRPr="00122D44" w:rsidRDefault="005561F7" w:rsidP="001B41BD">
            <w:r w:rsidRPr="00122D44">
              <w:t>269.9 - 310.3</w:t>
            </w:r>
          </w:p>
        </w:tc>
      </w:tr>
      <w:tr w:rsidR="005561F7" w14:paraId="0ECCAACF" w14:textId="77777777" w:rsidTr="001B41BD">
        <w:tc>
          <w:tcPr>
            <w:tcW w:w="4675" w:type="dxa"/>
            <w:vAlign w:val="bottom"/>
          </w:tcPr>
          <w:p w14:paraId="1CA60008" w14:textId="77777777" w:rsidR="005561F7" w:rsidRPr="00122D44" w:rsidRDefault="005561F7" w:rsidP="001B41BD">
            <w:r w:rsidRPr="00122D44">
              <w:t>Orangeburg</w:t>
            </w:r>
          </w:p>
        </w:tc>
        <w:tc>
          <w:tcPr>
            <w:tcW w:w="4675" w:type="dxa"/>
            <w:vAlign w:val="bottom"/>
          </w:tcPr>
          <w:p w14:paraId="275BFB83" w14:textId="77777777" w:rsidR="005561F7" w:rsidRPr="00122D44" w:rsidRDefault="005561F7" w:rsidP="001B41BD">
            <w:r w:rsidRPr="00122D44">
              <w:t>269.9 - 310.3</w:t>
            </w:r>
          </w:p>
        </w:tc>
      </w:tr>
      <w:tr w:rsidR="005561F7" w14:paraId="367A10C3" w14:textId="77777777" w:rsidTr="001B41BD">
        <w:tc>
          <w:tcPr>
            <w:tcW w:w="4675" w:type="dxa"/>
            <w:vAlign w:val="bottom"/>
          </w:tcPr>
          <w:p w14:paraId="5CC16EFC" w14:textId="77777777" w:rsidR="005561F7" w:rsidRPr="00122D44" w:rsidRDefault="005561F7" w:rsidP="001B41BD">
            <w:r w:rsidRPr="00122D44">
              <w:t>Pickens</w:t>
            </w:r>
          </w:p>
        </w:tc>
        <w:tc>
          <w:tcPr>
            <w:tcW w:w="4675" w:type="dxa"/>
            <w:vAlign w:val="bottom"/>
          </w:tcPr>
          <w:p w14:paraId="03CBA4B3" w14:textId="77777777" w:rsidR="005561F7" w:rsidRPr="00122D44" w:rsidRDefault="005561F7" w:rsidP="001B41BD">
            <w:r w:rsidRPr="00122D44">
              <w:t>269.9 - 310.3</w:t>
            </w:r>
          </w:p>
        </w:tc>
      </w:tr>
      <w:tr w:rsidR="005561F7" w14:paraId="02D6CDC4" w14:textId="77777777" w:rsidTr="001B41BD">
        <w:tc>
          <w:tcPr>
            <w:tcW w:w="4675" w:type="dxa"/>
            <w:vAlign w:val="bottom"/>
          </w:tcPr>
          <w:p w14:paraId="03E1E95A" w14:textId="77777777" w:rsidR="005561F7" w:rsidRPr="00122D44" w:rsidRDefault="005561F7" w:rsidP="001B41BD">
            <w:r w:rsidRPr="00122D44">
              <w:lastRenderedPageBreak/>
              <w:t>Richland</w:t>
            </w:r>
          </w:p>
        </w:tc>
        <w:tc>
          <w:tcPr>
            <w:tcW w:w="4675" w:type="dxa"/>
            <w:vAlign w:val="bottom"/>
          </w:tcPr>
          <w:p w14:paraId="0CC1D360" w14:textId="77777777" w:rsidR="005561F7" w:rsidRPr="00122D44" w:rsidRDefault="005561F7" w:rsidP="001B41BD">
            <w:r w:rsidRPr="00122D44">
              <w:t>170.1 - 218.3</w:t>
            </w:r>
          </w:p>
        </w:tc>
      </w:tr>
      <w:tr w:rsidR="005561F7" w14:paraId="43C3F1C3" w14:textId="77777777" w:rsidTr="001B41BD">
        <w:tc>
          <w:tcPr>
            <w:tcW w:w="4675" w:type="dxa"/>
            <w:vAlign w:val="bottom"/>
          </w:tcPr>
          <w:p w14:paraId="05A07B0C" w14:textId="77777777" w:rsidR="005561F7" w:rsidRPr="00122D44" w:rsidRDefault="005561F7" w:rsidP="001B41BD">
            <w:r w:rsidRPr="00122D44">
              <w:t>Saluda</w:t>
            </w:r>
          </w:p>
        </w:tc>
        <w:tc>
          <w:tcPr>
            <w:tcW w:w="4675" w:type="dxa"/>
            <w:vAlign w:val="bottom"/>
          </w:tcPr>
          <w:p w14:paraId="789D4098" w14:textId="77777777" w:rsidR="005561F7" w:rsidRPr="00122D44" w:rsidRDefault="005561F7" w:rsidP="001B41BD">
            <w:r w:rsidRPr="00122D44">
              <w:t>269.9 - 310.3</w:t>
            </w:r>
          </w:p>
        </w:tc>
      </w:tr>
      <w:tr w:rsidR="005561F7" w14:paraId="46C93D3E" w14:textId="77777777" w:rsidTr="001B41BD">
        <w:tc>
          <w:tcPr>
            <w:tcW w:w="4675" w:type="dxa"/>
            <w:vAlign w:val="bottom"/>
          </w:tcPr>
          <w:p w14:paraId="4F1EA346" w14:textId="77777777" w:rsidR="005561F7" w:rsidRPr="00122D44" w:rsidRDefault="005561F7" w:rsidP="001B41BD">
            <w:r w:rsidRPr="00122D44">
              <w:t>Spartanburg</w:t>
            </w:r>
          </w:p>
        </w:tc>
        <w:tc>
          <w:tcPr>
            <w:tcW w:w="4675" w:type="dxa"/>
            <w:vAlign w:val="bottom"/>
          </w:tcPr>
          <w:p w14:paraId="656AA1AC" w14:textId="77777777" w:rsidR="005561F7" w:rsidRPr="00122D44" w:rsidRDefault="005561F7" w:rsidP="001B41BD">
            <w:r w:rsidRPr="00122D44">
              <w:t>170.1 - 218.3</w:t>
            </w:r>
          </w:p>
        </w:tc>
      </w:tr>
      <w:tr w:rsidR="005561F7" w14:paraId="636A1C99" w14:textId="77777777" w:rsidTr="001B41BD">
        <w:tc>
          <w:tcPr>
            <w:tcW w:w="4675" w:type="dxa"/>
            <w:vAlign w:val="bottom"/>
          </w:tcPr>
          <w:p w14:paraId="313F53BC" w14:textId="77777777" w:rsidR="005561F7" w:rsidRPr="00122D44" w:rsidRDefault="005561F7" w:rsidP="001B41BD">
            <w:r w:rsidRPr="00122D44">
              <w:t>Sumter</w:t>
            </w:r>
          </w:p>
        </w:tc>
        <w:tc>
          <w:tcPr>
            <w:tcW w:w="4675" w:type="dxa"/>
            <w:vAlign w:val="bottom"/>
          </w:tcPr>
          <w:p w14:paraId="657C0F76" w14:textId="77777777" w:rsidR="005561F7" w:rsidRPr="00122D44" w:rsidRDefault="005561F7" w:rsidP="001B41BD">
            <w:r w:rsidRPr="00122D44">
              <w:t>310.4 - 365.5</w:t>
            </w:r>
          </w:p>
        </w:tc>
      </w:tr>
      <w:tr w:rsidR="005561F7" w14:paraId="2DF11727" w14:textId="77777777" w:rsidTr="001B41BD">
        <w:tc>
          <w:tcPr>
            <w:tcW w:w="4675" w:type="dxa"/>
            <w:vAlign w:val="bottom"/>
          </w:tcPr>
          <w:p w14:paraId="78D807A6" w14:textId="77777777" w:rsidR="005561F7" w:rsidRPr="00122D44" w:rsidRDefault="005561F7" w:rsidP="001B41BD">
            <w:r w:rsidRPr="00122D44">
              <w:t>Union</w:t>
            </w:r>
          </w:p>
        </w:tc>
        <w:tc>
          <w:tcPr>
            <w:tcW w:w="4675" w:type="dxa"/>
            <w:vAlign w:val="bottom"/>
          </w:tcPr>
          <w:p w14:paraId="12AA64FE" w14:textId="77777777" w:rsidR="005561F7" w:rsidRPr="00122D44" w:rsidRDefault="005561F7" w:rsidP="001B41BD">
            <w:r w:rsidRPr="00122D44">
              <w:t>365.6 - 454.7</w:t>
            </w:r>
          </w:p>
        </w:tc>
      </w:tr>
      <w:tr w:rsidR="005561F7" w14:paraId="0F4E30BB" w14:textId="77777777" w:rsidTr="001B41BD">
        <w:tc>
          <w:tcPr>
            <w:tcW w:w="4675" w:type="dxa"/>
            <w:vAlign w:val="bottom"/>
          </w:tcPr>
          <w:p w14:paraId="1511F376" w14:textId="77777777" w:rsidR="005561F7" w:rsidRPr="00122D44" w:rsidRDefault="005561F7" w:rsidP="001B41BD">
            <w:r w:rsidRPr="00122D44">
              <w:t>Williamsburg</w:t>
            </w:r>
          </w:p>
        </w:tc>
        <w:tc>
          <w:tcPr>
            <w:tcW w:w="4675" w:type="dxa"/>
            <w:vAlign w:val="bottom"/>
          </w:tcPr>
          <w:p w14:paraId="6CB5A37F" w14:textId="77777777" w:rsidR="005561F7" w:rsidRPr="00122D44" w:rsidRDefault="005561F7" w:rsidP="001B41BD">
            <w:r w:rsidRPr="00122D44">
              <w:t>310.4 - 365.5</w:t>
            </w:r>
          </w:p>
        </w:tc>
      </w:tr>
      <w:tr w:rsidR="005561F7" w14:paraId="09C458C3" w14:textId="77777777" w:rsidTr="001B41BD">
        <w:tc>
          <w:tcPr>
            <w:tcW w:w="4675" w:type="dxa"/>
            <w:vAlign w:val="bottom"/>
          </w:tcPr>
          <w:p w14:paraId="45B0377F" w14:textId="77777777" w:rsidR="005561F7" w:rsidRPr="00122D44" w:rsidRDefault="005561F7" w:rsidP="001B41BD">
            <w:r w:rsidRPr="00122D44">
              <w:t>York</w:t>
            </w:r>
          </w:p>
        </w:tc>
        <w:tc>
          <w:tcPr>
            <w:tcW w:w="4675" w:type="dxa"/>
            <w:vAlign w:val="bottom"/>
          </w:tcPr>
          <w:p w14:paraId="144DDA82" w14:textId="77777777" w:rsidR="005561F7" w:rsidRPr="00122D44" w:rsidRDefault="005561F7" w:rsidP="001B41BD">
            <w:r w:rsidRPr="00122D44">
              <w:t>170.1 - 218.3</w:t>
            </w:r>
          </w:p>
        </w:tc>
      </w:tr>
    </w:tbl>
    <w:p w14:paraId="4C8DF8C5" w14:textId="77777777" w:rsidR="005561F7" w:rsidRPr="00122D44" w:rsidRDefault="005561F7" w:rsidP="005561F7">
      <w:r w:rsidRPr="00122D44">
        <w:t xml:space="preserve">Source: SC DHEC ATS and Vital Statistics, 2009-2018. </w:t>
      </w:r>
    </w:p>
    <w:p w14:paraId="7D8D85CA" w14:textId="77777777" w:rsidR="005561F7" w:rsidRPr="00122D44" w:rsidRDefault="005561F7" w:rsidP="005561F7">
      <w:r w:rsidRPr="00122D44">
        <w:t>Notes: Adults 35+, age-adjusted, causes of mortality attributable to various cancers, cardiovascular, and respiratory diseases.</w:t>
      </w:r>
    </w:p>
    <w:p w14:paraId="395289A0" w14:textId="77777777" w:rsidR="005561F7" w:rsidRDefault="005561F7" w:rsidP="005561F7">
      <w:pPr>
        <w:rPr>
          <w:b/>
          <w:bCs/>
        </w:rPr>
      </w:pPr>
    </w:p>
    <w:p w14:paraId="4C214681" w14:textId="77777777" w:rsidR="005561F7" w:rsidRPr="005561F7" w:rsidRDefault="005561F7" w:rsidP="005561F7">
      <w:pPr>
        <w:pStyle w:val="Heading4"/>
      </w:pPr>
      <w:bookmarkStart w:id="750" w:name="_Toc162267507"/>
      <w:r w:rsidRPr="005561F7">
        <w:t>Data Interpretations:</w:t>
      </w:r>
      <w:bookmarkEnd w:id="750"/>
      <w:r w:rsidRPr="005561F7">
        <w:t xml:space="preserve"> </w:t>
      </w:r>
    </w:p>
    <w:p w14:paraId="01A04EE8" w14:textId="41397AF6" w:rsidR="005561F7" w:rsidRDefault="005561F7" w:rsidP="005561F7">
      <w:r w:rsidRPr="005561F7">
        <w:t>Data from the SC DHEC Adult Tobacco Survey and SC DHEC Vital Statistics show specific counties experiencing higher rates of death linked to smoking (</w:t>
      </w:r>
      <w:r w:rsidRPr="005561F7">
        <w:rPr>
          <w:b/>
          <w:bCs/>
        </w:rPr>
        <w:t>Figure 9.22</w:t>
      </w:r>
      <w:r w:rsidRPr="005561F7">
        <w:t xml:space="preserve">). Smoking-attributable deaths are determined by multiplying the relative risk of death for people who currently use cigarettes and people who formerly used cigarettes adjusting for the relative risk of death for those who never smoked cigarettes. Smoking-attributable death is a term that combines deaths from various cancers and cardiovascular and respiratory diseases that have been shown to be highly correlated with smoking. Many of the counties with the highest rates of deaths linked to smoking also experience high rates of other smoking-related health outcomes such as diabetes. Union County had the highest smoking-attributed death rate (454.7 deaths per 100,000 population) while Richland County had the lowest (170.1 deaths per 100,000 population). Understanding everyday stress and pressure related to social and environmental factors and the highly addictive nature of nicotine could help explain the high rates of smoking in these counties.  </w:t>
      </w:r>
    </w:p>
    <w:p w14:paraId="72E2A601" w14:textId="77777777" w:rsidR="005561F7" w:rsidRDefault="005561F7" w:rsidP="005561F7"/>
    <w:p w14:paraId="43D65E72" w14:textId="0FF64521" w:rsidR="005561F7" w:rsidRPr="005561F7" w:rsidRDefault="005561F7" w:rsidP="005561F7">
      <w:pPr>
        <w:pStyle w:val="Heading5"/>
      </w:pPr>
      <w:r>
        <w:t>Key Takeaways:</w:t>
      </w:r>
    </w:p>
    <w:p w14:paraId="279B8118" w14:textId="43F741F1" w:rsidR="005561F7" w:rsidRDefault="005561F7" w:rsidP="00926EB3">
      <w:pPr>
        <w:pStyle w:val="ListParagraph"/>
        <w:numPr>
          <w:ilvl w:val="0"/>
          <w:numId w:val="228"/>
        </w:numPr>
      </w:pPr>
      <w:r w:rsidRPr="005561F7">
        <w:t xml:space="preserve">The counties that struggle most with poverty, unemployment, low educational attainment, and high rates of chronic diseases like lung cancer and diabetes are often the same counties experiencing high rates of tobacco-related deaths. </w:t>
      </w:r>
    </w:p>
    <w:p w14:paraId="4C21A83B" w14:textId="77777777" w:rsidR="005561F7" w:rsidRPr="005561F7" w:rsidRDefault="005561F7" w:rsidP="005561F7"/>
    <w:p w14:paraId="66A6A0AE" w14:textId="66BE4A12" w:rsidR="005561F7" w:rsidRPr="005561F7" w:rsidRDefault="005561F7" w:rsidP="005561F7">
      <w:pPr>
        <w:pStyle w:val="Heading4"/>
        <w:rPr>
          <w:rFonts w:asciiTheme="minorHAnsi" w:hAnsiTheme="minorHAnsi" w:cstheme="minorHAnsi"/>
          <w:color w:val="000000" w:themeColor="text1"/>
        </w:rPr>
      </w:pPr>
      <w:bookmarkStart w:id="751" w:name="_Toc162267508"/>
      <w:r w:rsidRPr="005561F7">
        <w:rPr>
          <w:rFonts w:asciiTheme="minorHAnsi" w:hAnsiTheme="minorHAnsi" w:cstheme="minorHAnsi"/>
          <w:color w:val="000000" w:themeColor="text1"/>
        </w:rPr>
        <w:t>References 9.</w:t>
      </w:r>
      <w:r>
        <w:rPr>
          <w:rFonts w:asciiTheme="minorHAnsi" w:hAnsiTheme="minorHAnsi" w:cstheme="minorHAnsi"/>
          <w:color w:val="000000" w:themeColor="text1"/>
        </w:rPr>
        <w:t>11</w:t>
      </w:r>
      <w:bookmarkEnd w:id="751"/>
      <w:r w:rsidRPr="005561F7">
        <w:rPr>
          <w:rFonts w:asciiTheme="minorHAnsi" w:hAnsiTheme="minorHAnsi" w:cstheme="minorHAnsi"/>
          <w:color w:val="000000" w:themeColor="text1"/>
        </w:rPr>
        <w:t xml:space="preserve"> </w:t>
      </w:r>
    </w:p>
    <w:p w14:paraId="216F184B" w14:textId="77777777" w:rsidR="005561F7" w:rsidRPr="005561F7" w:rsidRDefault="005561F7" w:rsidP="005561F7">
      <w:r w:rsidRPr="005561F7">
        <w:t>Statistics in the preceding section were referenced from the following reports:</w:t>
      </w:r>
    </w:p>
    <w:p w14:paraId="5B0FE21E" w14:textId="4B8CEFAD" w:rsidR="00ED5B1E" w:rsidRPr="00113B57" w:rsidRDefault="00000000" w:rsidP="0060334A">
      <w:pPr>
        <w:pStyle w:val="ListParagraph"/>
        <w:ind w:hanging="360"/>
        <w:rPr>
          <w:u w:val="thick"/>
        </w:rPr>
      </w:pPr>
      <w:hyperlink r:id="rId336" w:history="1">
        <w:r w:rsidR="00ED5B1E">
          <w:t>48.</w:t>
        </w:r>
        <w:r w:rsidR="00ED5B1E" w:rsidRPr="00113B57">
          <w:rPr>
            <w:rStyle w:val="Hyperlink"/>
          </w:rPr>
          <w:t xml:space="preserve">“Discrimination, affect, and cancer risk factors among African Americans” by </w:t>
        </w:r>
        <w:r w:rsidR="00113B57" w:rsidRPr="00113B57">
          <w:rPr>
            <w:rStyle w:val="Hyperlink"/>
            <w:lang w:val="es-ES_tradnl"/>
          </w:rPr>
          <w:t xml:space="preserve">Cuevas </w:t>
        </w:r>
        <w:proofErr w:type="gramStart"/>
        <w:r w:rsidR="00113B57" w:rsidRPr="00113B57">
          <w:rPr>
            <w:rStyle w:val="Hyperlink"/>
            <w:lang w:val="es-ES_tradnl"/>
          </w:rPr>
          <w:t>AG ,</w:t>
        </w:r>
        <w:proofErr w:type="gramEnd"/>
        <w:r w:rsidR="00113B57" w:rsidRPr="00113B57">
          <w:rPr>
            <w:rStyle w:val="Hyperlink"/>
            <w:lang w:val="es-ES_tradnl"/>
          </w:rPr>
          <w:t xml:space="preserve"> </w:t>
        </w:r>
        <w:proofErr w:type="spellStart"/>
        <w:r w:rsidR="00113B57" w:rsidRPr="00113B57">
          <w:rPr>
            <w:rStyle w:val="Hyperlink"/>
            <w:lang w:val="es-ES_tradnl"/>
          </w:rPr>
          <w:t>Reitzel</w:t>
        </w:r>
        <w:proofErr w:type="spellEnd"/>
        <w:r w:rsidR="00113B57" w:rsidRPr="00113B57">
          <w:rPr>
            <w:rStyle w:val="Hyperlink"/>
            <w:lang w:val="es-ES_tradnl"/>
          </w:rPr>
          <w:t xml:space="preserve"> LR, Adams CE, et al</w:t>
        </w:r>
        <w:r w:rsidR="00ED5B1E" w:rsidRPr="00113B57">
          <w:rPr>
            <w:rStyle w:val="Hyperlink"/>
          </w:rPr>
          <w:t xml:space="preserve">. Published in Am J Health </w:t>
        </w:r>
        <w:proofErr w:type="spellStart"/>
        <w:r w:rsidR="00ED5B1E" w:rsidRPr="00113B57">
          <w:rPr>
            <w:rStyle w:val="Hyperlink"/>
          </w:rPr>
          <w:t>Behav</w:t>
        </w:r>
        <w:proofErr w:type="spellEnd"/>
        <w:r w:rsidR="00ED5B1E" w:rsidRPr="00113B57">
          <w:rPr>
            <w:rStyle w:val="Hyperlink"/>
          </w:rPr>
          <w:t>., 2014. Centers for Disease Control and Prevention. Retrieved January 23, 2023</w:t>
        </w:r>
      </w:hyperlink>
      <w:r w:rsidR="00ED5B1E">
        <w:t>.</w:t>
      </w:r>
      <w:r w:rsidR="00ED5B1E" w:rsidRPr="00113B57">
        <w:t xml:space="preserve"> </w:t>
      </w:r>
    </w:p>
    <w:p w14:paraId="4BA19408" w14:textId="2D2C8F59" w:rsidR="00ED5B1E" w:rsidRPr="00ED5B1E" w:rsidRDefault="00ED5B1E" w:rsidP="0060334A">
      <w:pPr>
        <w:pStyle w:val="ListParagraph"/>
        <w:ind w:hanging="360"/>
        <w:rPr>
          <w:u w:val="thick"/>
        </w:rPr>
      </w:pPr>
      <w:r>
        <w:t xml:space="preserve">49. </w:t>
      </w:r>
      <w:hyperlink r:id="rId337" w:history="1">
        <w:r w:rsidRPr="00113B57">
          <w:rPr>
            <w:rStyle w:val="Hyperlink"/>
          </w:rPr>
          <w:t>“Naming Racism, not Race, as a Determinant of Tobacco-Related Health Disparities”</w:t>
        </w:r>
      </w:hyperlink>
      <w:r>
        <w:t xml:space="preserve"> by </w:t>
      </w:r>
      <w:r w:rsidR="00113B57" w:rsidRPr="00113B57">
        <w:t>Jennifer L Pearson, MPH, PhD, Andrew Waa, MPH, Kamran Siddiqi, PhD, Richard Edwards, MPH, MD, Patricia Nez Henderson, MD, MPH, Monica Webb Hooper, PhD</w:t>
      </w:r>
      <w:r>
        <w:t>. Published in</w:t>
      </w:r>
      <w:r w:rsidRPr="00113B57">
        <w:t> </w:t>
      </w:r>
      <w:r w:rsidRPr="00113B57">
        <w:rPr>
          <w:i/>
          <w:iCs/>
        </w:rPr>
        <w:t>Nicotine &amp; Tobacco Research</w:t>
      </w:r>
      <w:r w:rsidRPr="00113B57">
        <w:t>, Volume 23, Issue 6, 2021</w:t>
      </w:r>
      <w:r>
        <w:t>.</w:t>
      </w:r>
      <w:r w:rsidRPr="00113B57">
        <w:t xml:space="preserve"> </w:t>
      </w:r>
    </w:p>
    <w:p w14:paraId="0590836A" w14:textId="090214C8" w:rsidR="00ED5B1E" w:rsidRPr="00ED5B1E" w:rsidRDefault="00000000" w:rsidP="00926EB3">
      <w:pPr>
        <w:pStyle w:val="ListParagraph"/>
        <w:numPr>
          <w:ilvl w:val="0"/>
          <w:numId w:val="192"/>
        </w:numPr>
      </w:pPr>
      <w:hyperlink r:id="rId338" w:history="1">
        <w:r w:rsidR="00ED5B1E" w:rsidRPr="00ED5B1E">
          <w:rPr>
            <w:rStyle w:val="Hyperlink"/>
          </w:rPr>
          <w:t>“Communities in Action: Pathways to Health Equity”</w:t>
        </w:r>
      </w:hyperlink>
      <w:r w:rsidR="00ED5B1E" w:rsidRPr="00ED5B1E">
        <w:t xml:space="preserve"> </w:t>
      </w:r>
      <w:r w:rsidR="00ED5B1E">
        <w:t xml:space="preserve">by </w:t>
      </w:r>
      <w:r w:rsidR="00ED5B1E" w:rsidRPr="00ED5B1E">
        <w:t xml:space="preserve">National Academies of Sciences, Engineering, and Medicine; Health and Medicine Division; Board on Population Health and Public Health Practice; Committee on Community-Based Solutions to Promote Health Equity in the United States; </w:t>
      </w:r>
      <w:proofErr w:type="spellStart"/>
      <w:r w:rsidR="00ED5B1E" w:rsidRPr="00ED5B1E">
        <w:t>Baciu</w:t>
      </w:r>
      <w:proofErr w:type="spellEnd"/>
      <w:r w:rsidR="00ED5B1E" w:rsidRPr="00ED5B1E">
        <w:t xml:space="preserve"> A, </w:t>
      </w:r>
      <w:proofErr w:type="spellStart"/>
      <w:r w:rsidR="00ED5B1E" w:rsidRPr="00ED5B1E">
        <w:t>Negussie</w:t>
      </w:r>
      <w:proofErr w:type="spellEnd"/>
      <w:r w:rsidR="00ED5B1E" w:rsidRPr="00ED5B1E">
        <w:t xml:space="preserve"> Y, Geller A, et al., editors. </w:t>
      </w:r>
      <w:r w:rsidR="00ED5B1E">
        <w:t xml:space="preserve">Published by the </w:t>
      </w:r>
      <w:r w:rsidR="00ED5B1E" w:rsidRPr="00ED5B1E">
        <w:t>National Academies Press</w:t>
      </w:r>
      <w:r w:rsidR="00ED5B1E">
        <w:t xml:space="preserve">, </w:t>
      </w:r>
      <w:r w:rsidR="00ED5B1E" w:rsidRPr="00ED5B1E">
        <w:t>2017</w:t>
      </w:r>
      <w:r w:rsidR="00ED5B1E">
        <w:t>.</w:t>
      </w:r>
    </w:p>
    <w:p w14:paraId="140E2CFD" w14:textId="44EB1381" w:rsidR="00ED5B1E" w:rsidRPr="00ED5B1E" w:rsidRDefault="00ED5B1E" w:rsidP="00926EB3">
      <w:pPr>
        <w:pStyle w:val="ListParagraph"/>
        <w:numPr>
          <w:ilvl w:val="0"/>
          <w:numId w:val="192"/>
        </w:numPr>
      </w:pPr>
      <w:r>
        <w:t>“</w:t>
      </w:r>
      <w:r w:rsidRPr="00ED5B1E">
        <w:t>Health Disparities in Tobacco Use and Exposure: A Structural Competency Approach</w:t>
      </w:r>
      <w:r>
        <w:t xml:space="preserve">” by </w:t>
      </w:r>
      <w:proofErr w:type="spellStart"/>
      <w:r>
        <w:t>Marbin</w:t>
      </w:r>
      <w:proofErr w:type="spellEnd"/>
      <w:r>
        <w:t xml:space="preserve"> et. al. Published in </w:t>
      </w:r>
      <w:r w:rsidRPr="00ED5B1E">
        <w:rPr>
          <w:i/>
          <w:iCs/>
        </w:rPr>
        <w:t>Pediatrics</w:t>
      </w:r>
      <w:r>
        <w:t>,</w:t>
      </w:r>
      <w:r w:rsidRPr="00ED5B1E">
        <w:t xml:space="preserve"> 2021</w:t>
      </w:r>
      <w:r>
        <w:t>. No hyperlink.</w:t>
      </w:r>
    </w:p>
    <w:p w14:paraId="7EE09137" w14:textId="62CE1ED3" w:rsidR="00ED5B1E" w:rsidRPr="00ED5B1E" w:rsidRDefault="00000000" w:rsidP="00926EB3">
      <w:pPr>
        <w:pStyle w:val="ListParagraph"/>
        <w:numPr>
          <w:ilvl w:val="0"/>
          <w:numId w:val="192"/>
        </w:numPr>
      </w:pPr>
      <w:hyperlink r:id="rId339" w:history="1">
        <w:r w:rsidR="00ED5B1E" w:rsidRPr="00ED5B1E">
          <w:rPr>
            <w:rStyle w:val="Hyperlink"/>
          </w:rPr>
          <w:t>“Stress in America: The impact of discrimination; Stress in America™ Survey” by the American Psychological Association, 2016.</w:t>
        </w:r>
      </w:hyperlink>
    </w:p>
    <w:p w14:paraId="082FEABD" w14:textId="194443C4" w:rsidR="00ED5B1E" w:rsidRPr="00ED5B1E" w:rsidRDefault="00000000" w:rsidP="00926EB3">
      <w:pPr>
        <w:pStyle w:val="ListParagraph"/>
        <w:numPr>
          <w:ilvl w:val="0"/>
          <w:numId w:val="192"/>
        </w:numPr>
      </w:pPr>
      <w:hyperlink r:id="rId340" w:history="1">
        <w:r w:rsidR="00ED5B1E" w:rsidRPr="00ED5B1E">
          <w:rPr>
            <w:rStyle w:val="Hyperlink"/>
          </w:rPr>
          <w:t>“Tobacco-related disparities” by Centers for Disease Control and Prevention, 2022. Retrieved March 22, 2023.</w:t>
        </w:r>
      </w:hyperlink>
    </w:p>
    <w:p w14:paraId="314CFC99" w14:textId="20F343C5" w:rsidR="00ED5B1E" w:rsidRPr="00ED5B1E" w:rsidRDefault="00000000" w:rsidP="00926EB3">
      <w:pPr>
        <w:pStyle w:val="ListParagraph"/>
        <w:numPr>
          <w:ilvl w:val="0"/>
          <w:numId w:val="192"/>
        </w:numPr>
      </w:pPr>
      <w:hyperlink r:id="rId341" w:history="1">
        <w:r w:rsidR="00ED5B1E" w:rsidRPr="00ED5B1E">
          <w:rPr>
            <w:rStyle w:val="Hyperlink"/>
          </w:rPr>
          <w:t>“Small area income and Poverty Estimates (SAIPE) program” by U. S. Census Bureau via census.gov, 2022. Retrieved January 24, 2023.</w:t>
        </w:r>
      </w:hyperlink>
      <w:r w:rsidR="00ED5B1E" w:rsidRPr="00ED5B1E">
        <w:t xml:space="preserve"> </w:t>
      </w:r>
    </w:p>
    <w:p w14:paraId="71834C4D" w14:textId="06060529" w:rsidR="00ED5B1E" w:rsidRPr="00ED5B1E" w:rsidRDefault="00ED5B1E" w:rsidP="00926EB3">
      <w:pPr>
        <w:pStyle w:val="ListParagraph"/>
        <w:numPr>
          <w:ilvl w:val="0"/>
          <w:numId w:val="192"/>
        </w:numPr>
      </w:pPr>
      <w:r>
        <w:t>“</w:t>
      </w:r>
      <w:r w:rsidRPr="00ED5B1E">
        <w:t>South Carolina Adult Tobacco Survey, all years</w:t>
      </w:r>
      <w:r>
        <w:t xml:space="preserve">” </w:t>
      </w:r>
      <w:proofErr w:type="gramStart"/>
      <w:r>
        <w:t>by</w:t>
      </w:r>
      <w:r w:rsidRPr="00ED5B1E">
        <w:t xml:space="preserve">  SC</w:t>
      </w:r>
      <w:proofErr w:type="gramEnd"/>
      <w:r w:rsidRPr="00ED5B1E">
        <w:t xml:space="preserve"> Department of Health and Environmental Control</w:t>
      </w:r>
      <w:r>
        <w:t>,</w:t>
      </w:r>
      <w:r w:rsidRPr="00ED5B1E">
        <w:t xml:space="preserve"> Division of Tobacco.</w:t>
      </w:r>
      <w:r>
        <w:t xml:space="preserve"> No hyperlink.</w:t>
      </w:r>
      <w:r w:rsidRPr="00ED5B1E">
        <w:t xml:space="preserve"> </w:t>
      </w:r>
    </w:p>
    <w:p w14:paraId="55131431" w14:textId="2CF953C6" w:rsidR="00ED5B1E" w:rsidRPr="00ED5B1E" w:rsidRDefault="00000000" w:rsidP="00926EB3">
      <w:pPr>
        <w:pStyle w:val="ListParagraph"/>
        <w:numPr>
          <w:ilvl w:val="0"/>
          <w:numId w:val="192"/>
        </w:numPr>
        <w:rPr>
          <w:u w:val="thick"/>
        </w:rPr>
      </w:pPr>
      <w:hyperlink r:id="rId342" w:history="1">
        <w:r w:rsidR="00ED5B1E" w:rsidRPr="00ED5B1E">
          <w:rPr>
            <w:rStyle w:val="Hyperlink"/>
          </w:rPr>
          <w:t>“South Carolina Campaign for Tobacco-Free Kids.” Retrieved January 24, 2023.</w:t>
        </w:r>
      </w:hyperlink>
      <w:r w:rsidR="00ED5B1E" w:rsidRPr="00ED5B1E">
        <w:t xml:space="preserve"> </w:t>
      </w:r>
    </w:p>
    <w:p w14:paraId="57FA7D22" w14:textId="794F9E6A" w:rsidR="00ED5B1E" w:rsidRPr="00ED5B1E" w:rsidRDefault="00000000" w:rsidP="00926EB3">
      <w:pPr>
        <w:pStyle w:val="ListParagraph"/>
        <w:numPr>
          <w:ilvl w:val="0"/>
          <w:numId w:val="192"/>
        </w:numPr>
        <w:rPr>
          <w:u w:val="thick"/>
        </w:rPr>
      </w:pPr>
      <w:hyperlink r:id="rId343" w:history="1">
        <w:r w:rsidR="00ED5B1E" w:rsidRPr="00ED5B1E">
          <w:rPr>
            <w:rStyle w:val="Hyperlink"/>
          </w:rPr>
          <w:t>“Economic Census” by. U.S. Census Bureau QuickFacts, 2023.</w:t>
        </w:r>
      </w:hyperlink>
      <w:r w:rsidR="00ED5B1E" w:rsidRPr="00ED5B1E">
        <w:t xml:space="preserve"> </w:t>
      </w:r>
    </w:p>
    <w:p w14:paraId="3F9F5951" w14:textId="6FF04D45" w:rsidR="00ED5B1E" w:rsidRPr="00ED5B1E" w:rsidRDefault="00000000" w:rsidP="00926EB3">
      <w:pPr>
        <w:pStyle w:val="ListParagraph"/>
        <w:numPr>
          <w:ilvl w:val="0"/>
          <w:numId w:val="192"/>
        </w:numPr>
        <w:rPr>
          <w:u w:val="thick"/>
        </w:rPr>
      </w:pPr>
      <w:hyperlink r:id="rId344" w:history="1">
        <w:r w:rsidR="00ED5B1E" w:rsidRPr="00ED5B1E">
          <w:rPr>
            <w:rStyle w:val="Hyperlink"/>
          </w:rPr>
          <w:t>“Interactive Atlas of Chronic Conditions” by Centers for Medicare &amp; Medicaid Services, 2018. Retrieved March 30, 2023.</w:t>
        </w:r>
      </w:hyperlink>
      <w:r w:rsidR="00ED5B1E" w:rsidRPr="00ED5B1E">
        <w:rPr>
          <w:u w:val="thick"/>
        </w:rPr>
        <w:t xml:space="preserve"> </w:t>
      </w:r>
    </w:p>
    <w:p w14:paraId="5F325BB4" w14:textId="5B3C6E4E" w:rsidR="00ED5B1E" w:rsidRPr="00ED5B1E" w:rsidRDefault="00000000" w:rsidP="00926EB3">
      <w:pPr>
        <w:pStyle w:val="ListParagraph"/>
        <w:numPr>
          <w:ilvl w:val="0"/>
          <w:numId w:val="192"/>
        </w:numPr>
      </w:pPr>
      <w:hyperlink r:id="rId345" w:history="1">
        <w:r w:rsidR="00ED5B1E" w:rsidRPr="00ED5B1E">
          <w:rPr>
            <w:rStyle w:val="Hyperlink"/>
          </w:rPr>
          <w:t>“County Health Rankings &amp; Roadmaps 2023 South Carolina” by University of Wisconsin Population Health Institute, 2023. Retrieved March 30, 2023.</w:t>
        </w:r>
      </w:hyperlink>
    </w:p>
    <w:p w14:paraId="24F4116E" w14:textId="77777777" w:rsidR="005561F7" w:rsidRDefault="005561F7" w:rsidP="005561F7"/>
    <w:p w14:paraId="20869386" w14:textId="77777777" w:rsidR="005561F7" w:rsidRPr="005561F7" w:rsidRDefault="005561F7" w:rsidP="005561F7">
      <w:pPr>
        <w:pStyle w:val="Heading3"/>
      </w:pPr>
      <w:bookmarkStart w:id="752" w:name="_Toc162267509"/>
      <w:r w:rsidRPr="005561F7">
        <w:t>Secondhand Smoke Exposure</w:t>
      </w:r>
      <w:bookmarkEnd w:id="752"/>
    </w:p>
    <w:p w14:paraId="014AAE75" w14:textId="4A0D39B1" w:rsidR="005561F7" w:rsidRDefault="005561F7" w:rsidP="005561F7">
      <w:pPr>
        <w:rPr>
          <w:b/>
          <w:bCs/>
        </w:rPr>
      </w:pPr>
      <w:r w:rsidRPr="005561F7">
        <w:t xml:space="preserve">Exposure to secondhand smoke from burning commercial tobacco products causes disease and premature death among people who do not smoke. E-cigarettes/vapes produce an aerosol (not a water vapor) that can contain harmful </w:t>
      </w:r>
      <w:r w:rsidRPr="005561F7">
        <w:lastRenderedPageBreak/>
        <w:t>and potentially harmful substances such as nicotine, heavy metals like lead, volatile organic compounds, and cancer-causing agents.</w:t>
      </w:r>
      <w:r w:rsidRPr="005561F7">
        <w:rPr>
          <w:b/>
          <w:bCs/>
        </w:rPr>
        <w:t xml:space="preserve"> </w:t>
      </w:r>
    </w:p>
    <w:p w14:paraId="3DFE97DD" w14:textId="77777777" w:rsidR="00353117" w:rsidRPr="005561F7" w:rsidRDefault="00353117" w:rsidP="005561F7"/>
    <w:p w14:paraId="29137F52" w14:textId="4543211C" w:rsidR="005561F7" w:rsidRDefault="005561F7" w:rsidP="005561F7">
      <w:r w:rsidRPr="005561F7">
        <w:t>There is no risk-free level of secondhand smoke exposure, and even brief exposure can cause immediate harm. Secondhand smoke exposure among babies and young children can cause sudden and infant death syndrome (SIDS), lung problems, ear infections, and asthma. Risks for older children include asthma, sinusitis, bacterial respiratory infections, decreased lung growth, and cognitive deficits. Non-smokers exposed to the chemicals and toxins found in secondhand smoke are 25%-30% more likely to develop heart disease and/or lung cancer.</w:t>
      </w:r>
    </w:p>
    <w:p w14:paraId="1A19771C" w14:textId="77777777" w:rsidR="00353117" w:rsidRPr="005561F7" w:rsidRDefault="00353117" w:rsidP="005561F7"/>
    <w:p w14:paraId="2D6A0027" w14:textId="2897E3CB" w:rsidR="005561F7" w:rsidRDefault="005561F7" w:rsidP="005561F7">
      <w:r w:rsidRPr="005561F7">
        <w:t>Uneven protections from secondhand smoke and vaping aerosol create disparities in communities of color, rural communities, and among low-income populations. Recent research shows that Blacks and rural nonsmokers are exposed to more secondhand smoke and vaping aerosol than their White and urban counterparts due to the lack of local laws that provide smoke-free protections to residents living in these areas. Lower-income people living in states without comprehensive smoke-free protections, or who work in service and hospitality jobs</w:t>
      </w:r>
      <w:r w:rsidR="00353117">
        <w:t>,</w:t>
      </w:r>
      <w:r w:rsidRPr="005561F7">
        <w:t xml:space="preserve"> have the greatest disparities in exposure to secondhand smoke. People living in multi-unit rental housing, public or private, where smoking is allowed are more frequently exposed to the toxins in secondhand smoke and vaping aerosol as the smoke and aerosol seep through cracks and crevices and travel through air ducts. The result is that children in lower-income families are three times more likely to be exposed to secondhand smoke, as many people lack the resources to become homeowners and rent housing out of economic necessity. SC data show that residents in more than 467,000 multi-unit housing </w:t>
      </w:r>
      <w:r w:rsidR="00353117">
        <w:t xml:space="preserve">units </w:t>
      </w:r>
      <w:r w:rsidRPr="005561F7">
        <w:t>(which is majority rental properties) experience secondhand smoke infiltration in their homes each year.</w:t>
      </w:r>
    </w:p>
    <w:p w14:paraId="3B91BE16" w14:textId="77777777" w:rsidR="005561F7" w:rsidRDefault="005561F7" w:rsidP="005561F7"/>
    <w:p w14:paraId="1196499F" w14:textId="77777777" w:rsidR="008A08A0" w:rsidRDefault="008A08A0" w:rsidP="008A08A0">
      <w:pPr>
        <w:pStyle w:val="Heading4"/>
      </w:pPr>
      <w:bookmarkStart w:id="753" w:name="_Toc162267510"/>
      <w:r>
        <w:t>Figure 9.22: Deaths Linked to Smoking, by County.</w:t>
      </w:r>
      <w:bookmarkEnd w:id="753"/>
    </w:p>
    <w:p w14:paraId="4D930E43" w14:textId="77777777" w:rsidR="008A08A0" w:rsidRDefault="008A08A0" w:rsidP="008A08A0">
      <w:pPr>
        <w:pStyle w:val="Heading5"/>
      </w:pPr>
      <w:r>
        <w:t>Rate per 100,000 population.</w:t>
      </w:r>
    </w:p>
    <w:tbl>
      <w:tblPr>
        <w:tblStyle w:val="TableGrid"/>
        <w:tblW w:w="0" w:type="auto"/>
        <w:tblLook w:val="04A0" w:firstRow="1" w:lastRow="0" w:firstColumn="1" w:lastColumn="0" w:noHBand="0" w:noVBand="1"/>
      </w:tblPr>
      <w:tblGrid>
        <w:gridCol w:w="4675"/>
        <w:gridCol w:w="4675"/>
      </w:tblGrid>
      <w:tr w:rsidR="008A08A0" w14:paraId="06EF9645" w14:textId="77777777" w:rsidTr="001B41BD">
        <w:tc>
          <w:tcPr>
            <w:tcW w:w="4675" w:type="dxa"/>
            <w:vAlign w:val="bottom"/>
          </w:tcPr>
          <w:p w14:paraId="1D96EE58" w14:textId="77777777" w:rsidR="008A08A0" w:rsidRPr="00122D44" w:rsidRDefault="008A08A0" w:rsidP="001B41BD">
            <w:r w:rsidRPr="00122D44">
              <w:t>County</w:t>
            </w:r>
          </w:p>
        </w:tc>
        <w:tc>
          <w:tcPr>
            <w:tcW w:w="4675" w:type="dxa"/>
            <w:vAlign w:val="bottom"/>
          </w:tcPr>
          <w:p w14:paraId="42425CD1" w14:textId="77777777" w:rsidR="008A08A0" w:rsidRPr="00122D44" w:rsidRDefault="008A08A0" w:rsidP="001B41BD">
            <w:r>
              <w:t>Rate</w:t>
            </w:r>
          </w:p>
        </w:tc>
      </w:tr>
      <w:tr w:rsidR="008A08A0" w14:paraId="2C020E60" w14:textId="77777777" w:rsidTr="001B41BD">
        <w:tc>
          <w:tcPr>
            <w:tcW w:w="4675" w:type="dxa"/>
            <w:vAlign w:val="bottom"/>
          </w:tcPr>
          <w:p w14:paraId="30648E76" w14:textId="77777777" w:rsidR="008A08A0" w:rsidRPr="00122D44" w:rsidRDefault="008A08A0" w:rsidP="001B41BD">
            <w:r w:rsidRPr="00122D44">
              <w:t>Abbeville</w:t>
            </w:r>
          </w:p>
        </w:tc>
        <w:tc>
          <w:tcPr>
            <w:tcW w:w="4675" w:type="dxa"/>
            <w:vAlign w:val="bottom"/>
          </w:tcPr>
          <w:p w14:paraId="1CBA23F4" w14:textId="77777777" w:rsidR="008A08A0" w:rsidRPr="00122D44" w:rsidRDefault="008A08A0" w:rsidP="001B41BD">
            <w:r w:rsidRPr="00122D44">
              <w:t>365.6 - 454.7</w:t>
            </w:r>
          </w:p>
        </w:tc>
      </w:tr>
      <w:tr w:rsidR="008A08A0" w14:paraId="6FBD174B" w14:textId="77777777" w:rsidTr="001B41BD">
        <w:tc>
          <w:tcPr>
            <w:tcW w:w="4675" w:type="dxa"/>
            <w:vAlign w:val="bottom"/>
          </w:tcPr>
          <w:p w14:paraId="65EE3E55" w14:textId="77777777" w:rsidR="008A08A0" w:rsidRPr="00122D44" w:rsidRDefault="008A08A0" w:rsidP="001B41BD">
            <w:r w:rsidRPr="00122D44">
              <w:t>Aiken</w:t>
            </w:r>
          </w:p>
        </w:tc>
        <w:tc>
          <w:tcPr>
            <w:tcW w:w="4675" w:type="dxa"/>
            <w:vAlign w:val="bottom"/>
          </w:tcPr>
          <w:p w14:paraId="7FDA2B53" w14:textId="77777777" w:rsidR="008A08A0" w:rsidRPr="00122D44" w:rsidRDefault="008A08A0" w:rsidP="001B41BD">
            <w:r w:rsidRPr="00122D44">
              <w:t>269.9 - 310.3</w:t>
            </w:r>
          </w:p>
        </w:tc>
      </w:tr>
      <w:tr w:rsidR="008A08A0" w14:paraId="70C11FA1" w14:textId="77777777" w:rsidTr="001B41BD">
        <w:tc>
          <w:tcPr>
            <w:tcW w:w="4675" w:type="dxa"/>
            <w:vAlign w:val="bottom"/>
          </w:tcPr>
          <w:p w14:paraId="44339A19" w14:textId="77777777" w:rsidR="008A08A0" w:rsidRPr="00122D44" w:rsidRDefault="008A08A0" w:rsidP="001B41BD">
            <w:r w:rsidRPr="00122D44">
              <w:t>Allendale</w:t>
            </w:r>
          </w:p>
        </w:tc>
        <w:tc>
          <w:tcPr>
            <w:tcW w:w="4675" w:type="dxa"/>
            <w:vAlign w:val="bottom"/>
          </w:tcPr>
          <w:p w14:paraId="0AAB82AF" w14:textId="77777777" w:rsidR="008A08A0" w:rsidRPr="00122D44" w:rsidRDefault="008A08A0" w:rsidP="001B41BD">
            <w:r w:rsidRPr="00122D44">
              <w:t>269.9 - 310.3</w:t>
            </w:r>
          </w:p>
        </w:tc>
      </w:tr>
      <w:tr w:rsidR="008A08A0" w14:paraId="75AC02A6" w14:textId="77777777" w:rsidTr="001B41BD">
        <w:tc>
          <w:tcPr>
            <w:tcW w:w="4675" w:type="dxa"/>
            <w:vAlign w:val="bottom"/>
          </w:tcPr>
          <w:p w14:paraId="3BE75C33" w14:textId="77777777" w:rsidR="008A08A0" w:rsidRPr="00122D44" w:rsidRDefault="008A08A0" w:rsidP="001B41BD">
            <w:r w:rsidRPr="00122D44">
              <w:t>Anderson</w:t>
            </w:r>
          </w:p>
        </w:tc>
        <w:tc>
          <w:tcPr>
            <w:tcW w:w="4675" w:type="dxa"/>
            <w:vAlign w:val="bottom"/>
          </w:tcPr>
          <w:p w14:paraId="35C8DBFB" w14:textId="77777777" w:rsidR="008A08A0" w:rsidRPr="00122D44" w:rsidRDefault="008A08A0" w:rsidP="001B41BD">
            <w:r w:rsidRPr="00122D44">
              <w:t>269.9 - 310.3</w:t>
            </w:r>
          </w:p>
        </w:tc>
      </w:tr>
      <w:tr w:rsidR="008A08A0" w14:paraId="31C8D077" w14:textId="77777777" w:rsidTr="001B41BD">
        <w:tc>
          <w:tcPr>
            <w:tcW w:w="4675" w:type="dxa"/>
            <w:vAlign w:val="bottom"/>
          </w:tcPr>
          <w:p w14:paraId="62EE8BAB" w14:textId="77777777" w:rsidR="008A08A0" w:rsidRPr="00122D44" w:rsidRDefault="008A08A0" w:rsidP="001B41BD">
            <w:r w:rsidRPr="00122D44">
              <w:t>Bamberg</w:t>
            </w:r>
          </w:p>
        </w:tc>
        <w:tc>
          <w:tcPr>
            <w:tcW w:w="4675" w:type="dxa"/>
            <w:vAlign w:val="bottom"/>
          </w:tcPr>
          <w:p w14:paraId="74711894" w14:textId="77777777" w:rsidR="008A08A0" w:rsidRPr="00122D44" w:rsidRDefault="008A08A0" w:rsidP="001B41BD">
            <w:r w:rsidRPr="00122D44">
              <w:t>269.9 - 310.3</w:t>
            </w:r>
          </w:p>
        </w:tc>
      </w:tr>
      <w:tr w:rsidR="008A08A0" w14:paraId="3B9D8F40" w14:textId="77777777" w:rsidTr="001B41BD">
        <w:tc>
          <w:tcPr>
            <w:tcW w:w="4675" w:type="dxa"/>
            <w:vAlign w:val="bottom"/>
          </w:tcPr>
          <w:p w14:paraId="7FF231E1" w14:textId="77777777" w:rsidR="008A08A0" w:rsidRPr="00122D44" w:rsidRDefault="008A08A0" w:rsidP="001B41BD">
            <w:r w:rsidRPr="00122D44">
              <w:t>Barnwell</w:t>
            </w:r>
          </w:p>
        </w:tc>
        <w:tc>
          <w:tcPr>
            <w:tcW w:w="4675" w:type="dxa"/>
            <w:vAlign w:val="bottom"/>
          </w:tcPr>
          <w:p w14:paraId="09707DFA" w14:textId="77777777" w:rsidR="008A08A0" w:rsidRPr="00122D44" w:rsidRDefault="008A08A0" w:rsidP="001B41BD">
            <w:r w:rsidRPr="00122D44">
              <w:t>365.6 - 454.7</w:t>
            </w:r>
          </w:p>
        </w:tc>
      </w:tr>
      <w:tr w:rsidR="008A08A0" w14:paraId="60DF9122" w14:textId="77777777" w:rsidTr="001B41BD">
        <w:tc>
          <w:tcPr>
            <w:tcW w:w="4675" w:type="dxa"/>
            <w:vAlign w:val="bottom"/>
          </w:tcPr>
          <w:p w14:paraId="268D6344" w14:textId="77777777" w:rsidR="008A08A0" w:rsidRPr="00122D44" w:rsidRDefault="008A08A0" w:rsidP="001B41BD">
            <w:r w:rsidRPr="00122D44">
              <w:lastRenderedPageBreak/>
              <w:t>Beaufort</w:t>
            </w:r>
          </w:p>
        </w:tc>
        <w:tc>
          <w:tcPr>
            <w:tcW w:w="4675" w:type="dxa"/>
            <w:vAlign w:val="bottom"/>
          </w:tcPr>
          <w:p w14:paraId="1925F974" w14:textId="77777777" w:rsidR="008A08A0" w:rsidRPr="00122D44" w:rsidRDefault="008A08A0" w:rsidP="001B41BD">
            <w:r w:rsidRPr="00122D44">
              <w:t>170.1 - 218.3</w:t>
            </w:r>
          </w:p>
        </w:tc>
      </w:tr>
      <w:tr w:rsidR="008A08A0" w14:paraId="25FFA254" w14:textId="77777777" w:rsidTr="001B41BD">
        <w:tc>
          <w:tcPr>
            <w:tcW w:w="4675" w:type="dxa"/>
            <w:vAlign w:val="bottom"/>
          </w:tcPr>
          <w:p w14:paraId="7BCFB5D1" w14:textId="77777777" w:rsidR="008A08A0" w:rsidRPr="00122D44" w:rsidRDefault="008A08A0" w:rsidP="001B41BD">
            <w:r w:rsidRPr="00122D44">
              <w:t>Berkeley</w:t>
            </w:r>
          </w:p>
        </w:tc>
        <w:tc>
          <w:tcPr>
            <w:tcW w:w="4675" w:type="dxa"/>
            <w:vAlign w:val="bottom"/>
          </w:tcPr>
          <w:p w14:paraId="6A7F056A" w14:textId="77777777" w:rsidR="008A08A0" w:rsidRPr="00122D44" w:rsidRDefault="008A08A0" w:rsidP="001B41BD">
            <w:r w:rsidRPr="00122D44">
              <w:t>218.4 - 269.8</w:t>
            </w:r>
          </w:p>
        </w:tc>
      </w:tr>
      <w:tr w:rsidR="008A08A0" w14:paraId="026B3F1E" w14:textId="77777777" w:rsidTr="001B41BD">
        <w:tc>
          <w:tcPr>
            <w:tcW w:w="4675" w:type="dxa"/>
            <w:vAlign w:val="bottom"/>
          </w:tcPr>
          <w:p w14:paraId="5B033CCB" w14:textId="77777777" w:rsidR="008A08A0" w:rsidRPr="00122D44" w:rsidRDefault="008A08A0" w:rsidP="001B41BD">
            <w:r w:rsidRPr="00122D44">
              <w:t>Calhoun</w:t>
            </w:r>
          </w:p>
        </w:tc>
        <w:tc>
          <w:tcPr>
            <w:tcW w:w="4675" w:type="dxa"/>
            <w:vAlign w:val="bottom"/>
          </w:tcPr>
          <w:p w14:paraId="26400E24" w14:textId="77777777" w:rsidR="008A08A0" w:rsidRPr="00122D44" w:rsidRDefault="008A08A0" w:rsidP="001B41BD">
            <w:r w:rsidRPr="00122D44">
              <w:t>269.9 - 310.3</w:t>
            </w:r>
          </w:p>
        </w:tc>
      </w:tr>
      <w:tr w:rsidR="008A08A0" w14:paraId="7E8F682F" w14:textId="77777777" w:rsidTr="001B41BD">
        <w:tc>
          <w:tcPr>
            <w:tcW w:w="4675" w:type="dxa"/>
            <w:vAlign w:val="bottom"/>
          </w:tcPr>
          <w:p w14:paraId="676112AD" w14:textId="77777777" w:rsidR="008A08A0" w:rsidRPr="00122D44" w:rsidRDefault="008A08A0" w:rsidP="001B41BD">
            <w:r w:rsidRPr="00122D44">
              <w:t>Charleston</w:t>
            </w:r>
          </w:p>
        </w:tc>
        <w:tc>
          <w:tcPr>
            <w:tcW w:w="4675" w:type="dxa"/>
            <w:vAlign w:val="bottom"/>
          </w:tcPr>
          <w:p w14:paraId="12165A35" w14:textId="77777777" w:rsidR="008A08A0" w:rsidRPr="00122D44" w:rsidRDefault="008A08A0" w:rsidP="001B41BD">
            <w:r w:rsidRPr="00122D44">
              <w:t>170.1 - 218.3</w:t>
            </w:r>
          </w:p>
        </w:tc>
      </w:tr>
      <w:tr w:rsidR="008A08A0" w14:paraId="0B54E45F" w14:textId="77777777" w:rsidTr="001B41BD">
        <w:tc>
          <w:tcPr>
            <w:tcW w:w="4675" w:type="dxa"/>
            <w:vAlign w:val="bottom"/>
          </w:tcPr>
          <w:p w14:paraId="5E9CD779" w14:textId="77777777" w:rsidR="008A08A0" w:rsidRPr="00122D44" w:rsidRDefault="008A08A0" w:rsidP="001B41BD">
            <w:r w:rsidRPr="00122D44">
              <w:t>Cherokee</w:t>
            </w:r>
          </w:p>
        </w:tc>
        <w:tc>
          <w:tcPr>
            <w:tcW w:w="4675" w:type="dxa"/>
            <w:vAlign w:val="bottom"/>
          </w:tcPr>
          <w:p w14:paraId="4203154C" w14:textId="77777777" w:rsidR="008A08A0" w:rsidRPr="00122D44" w:rsidRDefault="008A08A0" w:rsidP="001B41BD">
            <w:r w:rsidRPr="00122D44">
              <w:t>365.6 - 454.7</w:t>
            </w:r>
          </w:p>
        </w:tc>
      </w:tr>
      <w:tr w:rsidR="008A08A0" w14:paraId="1DF52BDE" w14:textId="77777777" w:rsidTr="001B41BD">
        <w:tc>
          <w:tcPr>
            <w:tcW w:w="4675" w:type="dxa"/>
            <w:vAlign w:val="bottom"/>
          </w:tcPr>
          <w:p w14:paraId="52C9C93B" w14:textId="77777777" w:rsidR="008A08A0" w:rsidRPr="00122D44" w:rsidRDefault="008A08A0" w:rsidP="001B41BD">
            <w:r w:rsidRPr="00122D44">
              <w:t>Chester</w:t>
            </w:r>
          </w:p>
        </w:tc>
        <w:tc>
          <w:tcPr>
            <w:tcW w:w="4675" w:type="dxa"/>
            <w:vAlign w:val="bottom"/>
          </w:tcPr>
          <w:p w14:paraId="2239C988" w14:textId="77777777" w:rsidR="008A08A0" w:rsidRPr="00122D44" w:rsidRDefault="008A08A0" w:rsidP="001B41BD">
            <w:r w:rsidRPr="00122D44">
              <w:t>365.6 - 454.7</w:t>
            </w:r>
          </w:p>
        </w:tc>
      </w:tr>
      <w:tr w:rsidR="008A08A0" w14:paraId="6D007DAD" w14:textId="77777777" w:rsidTr="001B41BD">
        <w:tc>
          <w:tcPr>
            <w:tcW w:w="4675" w:type="dxa"/>
            <w:vAlign w:val="bottom"/>
          </w:tcPr>
          <w:p w14:paraId="61A0A5BC" w14:textId="77777777" w:rsidR="008A08A0" w:rsidRPr="00122D44" w:rsidRDefault="008A08A0" w:rsidP="001B41BD">
            <w:r w:rsidRPr="00122D44">
              <w:t>Chesterfield</w:t>
            </w:r>
          </w:p>
        </w:tc>
        <w:tc>
          <w:tcPr>
            <w:tcW w:w="4675" w:type="dxa"/>
            <w:vAlign w:val="bottom"/>
          </w:tcPr>
          <w:p w14:paraId="6B02FF13" w14:textId="77777777" w:rsidR="008A08A0" w:rsidRPr="00122D44" w:rsidRDefault="008A08A0" w:rsidP="001B41BD">
            <w:r w:rsidRPr="00122D44">
              <w:t>365.6 - 454.7</w:t>
            </w:r>
          </w:p>
        </w:tc>
      </w:tr>
      <w:tr w:rsidR="008A08A0" w14:paraId="2BAB3442" w14:textId="77777777" w:rsidTr="001B41BD">
        <w:tc>
          <w:tcPr>
            <w:tcW w:w="4675" w:type="dxa"/>
            <w:vAlign w:val="bottom"/>
          </w:tcPr>
          <w:p w14:paraId="46E246C4" w14:textId="77777777" w:rsidR="008A08A0" w:rsidRPr="00122D44" w:rsidRDefault="008A08A0" w:rsidP="001B41BD">
            <w:r w:rsidRPr="00122D44">
              <w:t>Clarendon</w:t>
            </w:r>
          </w:p>
        </w:tc>
        <w:tc>
          <w:tcPr>
            <w:tcW w:w="4675" w:type="dxa"/>
            <w:vAlign w:val="bottom"/>
          </w:tcPr>
          <w:p w14:paraId="71C19CD9" w14:textId="77777777" w:rsidR="008A08A0" w:rsidRPr="00122D44" w:rsidRDefault="008A08A0" w:rsidP="001B41BD">
            <w:r w:rsidRPr="00122D44">
              <w:t>310.4 - 365.5</w:t>
            </w:r>
          </w:p>
        </w:tc>
      </w:tr>
      <w:tr w:rsidR="008A08A0" w14:paraId="5310B17E" w14:textId="77777777" w:rsidTr="001B41BD">
        <w:tc>
          <w:tcPr>
            <w:tcW w:w="4675" w:type="dxa"/>
            <w:vAlign w:val="bottom"/>
          </w:tcPr>
          <w:p w14:paraId="62009261" w14:textId="77777777" w:rsidR="008A08A0" w:rsidRPr="00122D44" w:rsidRDefault="008A08A0" w:rsidP="001B41BD">
            <w:r w:rsidRPr="00122D44">
              <w:t>Colleton</w:t>
            </w:r>
          </w:p>
        </w:tc>
        <w:tc>
          <w:tcPr>
            <w:tcW w:w="4675" w:type="dxa"/>
            <w:vAlign w:val="bottom"/>
          </w:tcPr>
          <w:p w14:paraId="4AFC7B3D" w14:textId="77777777" w:rsidR="008A08A0" w:rsidRPr="00122D44" w:rsidRDefault="008A08A0" w:rsidP="001B41BD">
            <w:r w:rsidRPr="00122D44">
              <w:t>310.4 - 365.5</w:t>
            </w:r>
          </w:p>
        </w:tc>
      </w:tr>
      <w:tr w:rsidR="008A08A0" w14:paraId="598B68C4" w14:textId="77777777" w:rsidTr="001B41BD">
        <w:tc>
          <w:tcPr>
            <w:tcW w:w="4675" w:type="dxa"/>
            <w:vAlign w:val="bottom"/>
          </w:tcPr>
          <w:p w14:paraId="427622EA" w14:textId="77777777" w:rsidR="008A08A0" w:rsidRPr="00122D44" w:rsidRDefault="008A08A0" w:rsidP="001B41BD">
            <w:r w:rsidRPr="00122D44">
              <w:t>Darlington</w:t>
            </w:r>
          </w:p>
        </w:tc>
        <w:tc>
          <w:tcPr>
            <w:tcW w:w="4675" w:type="dxa"/>
            <w:vAlign w:val="bottom"/>
          </w:tcPr>
          <w:p w14:paraId="49263350" w14:textId="77777777" w:rsidR="008A08A0" w:rsidRPr="00122D44" w:rsidRDefault="008A08A0" w:rsidP="001B41BD">
            <w:r w:rsidRPr="00122D44">
              <w:t>310.4 - 365.5</w:t>
            </w:r>
          </w:p>
        </w:tc>
      </w:tr>
      <w:tr w:rsidR="008A08A0" w14:paraId="0EE0F684" w14:textId="77777777" w:rsidTr="001B41BD">
        <w:tc>
          <w:tcPr>
            <w:tcW w:w="4675" w:type="dxa"/>
            <w:vAlign w:val="bottom"/>
          </w:tcPr>
          <w:p w14:paraId="543F05D6" w14:textId="77777777" w:rsidR="008A08A0" w:rsidRPr="00122D44" w:rsidRDefault="008A08A0" w:rsidP="001B41BD">
            <w:r w:rsidRPr="00122D44">
              <w:t>Dillon</w:t>
            </w:r>
          </w:p>
        </w:tc>
        <w:tc>
          <w:tcPr>
            <w:tcW w:w="4675" w:type="dxa"/>
            <w:vAlign w:val="bottom"/>
          </w:tcPr>
          <w:p w14:paraId="10CFCC65" w14:textId="77777777" w:rsidR="008A08A0" w:rsidRPr="00122D44" w:rsidRDefault="008A08A0" w:rsidP="001B41BD">
            <w:r w:rsidRPr="00122D44">
              <w:t>365.6 - 454.7</w:t>
            </w:r>
          </w:p>
        </w:tc>
      </w:tr>
      <w:tr w:rsidR="008A08A0" w14:paraId="3A7EBA33" w14:textId="77777777" w:rsidTr="001B41BD">
        <w:tc>
          <w:tcPr>
            <w:tcW w:w="4675" w:type="dxa"/>
            <w:vAlign w:val="bottom"/>
          </w:tcPr>
          <w:p w14:paraId="675DE5CA" w14:textId="77777777" w:rsidR="008A08A0" w:rsidRPr="00122D44" w:rsidRDefault="008A08A0" w:rsidP="001B41BD">
            <w:r w:rsidRPr="00122D44">
              <w:t>Dorchester</w:t>
            </w:r>
          </w:p>
        </w:tc>
        <w:tc>
          <w:tcPr>
            <w:tcW w:w="4675" w:type="dxa"/>
            <w:vAlign w:val="bottom"/>
          </w:tcPr>
          <w:p w14:paraId="18456D4C" w14:textId="77777777" w:rsidR="008A08A0" w:rsidRPr="00122D44" w:rsidRDefault="008A08A0" w:rsidP="001B41BD">
            <w:r w:rsidRPr="00122D44">
              <w:t>218.4 - 269.8</w:t>
            </w:r>
          </w:p>
        </w:tc>
      </w:tr>
      <w:tr w:rsidR="008A08A0" w14:paraId="5B982767" w14:textId="77777777" w:rsidTr="001B41BD">
        <w:tc>
          <w:tcPr>
            <w:tcW w:w="4675" w:type="dxa"/>
            <w:vAlign w:val="bottom"/>
          </w:tcPr>
          <w:p w14:paraId="2ABA1C35" w14:textId="77777777" w:rsidR="008A08A0" w:rsidRPr="00122D44" w:rsidRDefault="008A08A0" w:rsidP="001B41BD">
            <w:r w:rsidRPr="00122D44">
              <w:t>Edgefield</w:t>
            </w:r>
          </w:p>
        </w:tc>
        <w:tc>
          <w:tcPr>
            <w:tcW w:w="4675" w:type="dxa"/>
            <w:vAlign w:val="bottom"/>
          </w:tcPr>
          <w:p w14:paraId="40D8E363" w14:textId="77777777" w:rsidR="008A08A0" w:rsidRPr="00122D44" w:rsidRDefault="008A08A0" w:rsidP="001B41BD">
            <w:r w:rsidRPr="00122D44">
              <w:t>170.1 - 218.3</w:t>
            </w:r>
          </w:p>
        </w:tc>
      </w:tr>
      <w:tr w:rsidR="008A08A0" w14:paraId="3CA36F52" w14:textId="77777777" w:rsidTr="001B41BD">
        <w:tc>
          <w:tcPr>
            <w:tcW w:w="4675" w:type="dxa"/>
            <w:vAlign w:val="bottom"/>
          </w:tcPr>
          <w:p w14:paraId="772C7D78" w14:textId="77777777" w:rsidR="008A08A0" w:rsidRPr="00122D44" w:rsidRDefault="008A08A0" w:rsidP="001B41BD">
            <w:r w:rsidRPr="00122D44">
              <w:t>Fairfield</w:t>
            </w:r>
          </w:p>
        </w:tc>
        <w:tc>
          <w:tcPr>
            <w:tcW w:w="4675" w:type="dxa"/>
            <w:vAlign w:val="bottom"/>
          </w:tcPr>
          <w:p w14:paraId="00D669BF" w14:textId="77777777" w:rsidR="008A08A0" w:rsidRPr="00122D44" w:rsidRDefault="008A08A0" w:rsidP="001B41BD">
            <w:r w:rsidRPr="00122D44">
              <w:t>310.4 - 365.5</w:t>
            </w:r>
          </w:p>
        </w:tc>
      </w:tr>
      <w:tr w:rsidR="008A08A0" w14:paraId="6BE65003" w14:textId="77777777" w:rsidTr="001B41BD">
        <w:tc>
          <w:tcPr>
            <w:tcW w:w="4675" w:type="dxa"/>
            <w:vAlign w:val="bottom"/>
          </w:tcPr>
          <w:p w14:paraId="64F279B3" w14:textId="77777777" w:rsidR="008A08A0" w:rsidRPr="00122D44" w:rsidRDefault="008A08A0" w:rsidP="001B41BD">
            <w:r w:rsidRPr="00122D44">
              <w:t>Florence</w:t>
            </w:r>
          </w:p>
        </w:tc>
        <w:tc>
          <w:tcPr>
            <w:tcW w:w="4675" w:type="dxa"/>
            <w:vAlign w:val="bottom"/>
          </w:tcPr>
          <w:p w14:paraId="4533B652" w14:textId="77777777" w:rsidR="008A08A0" w:rsidRPr="00122D44" w:rsidRDefault="008A08A0" w:rsidP="001B41BD">
            <w:r w:rsidRPr="00122D44">
              <w:t>170.1 - 218.3</w:t>
            </w:r>
          </w:p>
        </w:tc>
      </w:tr>
      <w:tr w:rsidR="008A08A0" w14:paraId="71E172BF" w14:textId="77777777" w:rsidTr="001B41BD">
        <w:tc>
          <w:tcPr>
            <w:tcW w:w="4675" w:type="dxa"/>
            <w:vAlign w:val="bottom"/>
          </w:tcPr>
          <w:p w14:paraId="7D987653" w14:textId="77777777" w:rsidR="008A08A0" w:rsidRPr="00122D44" w:rsidRDefault="008A08A0" w:rsidP="001B41BD">
            <w:r w:rsidRPr="00122D44">
              <w:t>Georgetown</w:t>
            </w:r>
          </w:p>
        </w:tc>
        <w:tc>
          <w:tcPr>
            <w:tcW w:w="4675" w:type="dxa"/>
            <w:vAlign w:val="bottom"/>
          </w:tcPr>
          <w:p w14:paraId="5D005C4A" w14:textId="77777777" w:rsidR="008A08A0" w:rsidRPr="00122D44" w:rsidRDefault="008A08A0" w:rsidP="001B41BD">
            <w:r w:rsidRPr="00122D44">
              <w:t>269.9 - 310.3</w:t>
            </w:r>
          </w:p>
        </w:tc>
      </w:tr>
      <w:tr w:rsidR="008A08A0" w14:paraId="0223AEE8" w14:textId="77777777" w:rsidTr="001B41BD">
        <w:tc>
          <w:tcPr>
            <w:tcW w:w="4675" w:type="dxa"/>
            <w:vAlign w:val="bottom"/>
          </w:tcPr>
          <w:p w14:paraId="70FC10DB" w14:textId="77777777" w:rsidR="008A08A0" w:rsidRPr="00122D44" w:rsidRDefault="008A08A0" w:rsidP="001B41BD">
            <w:r w:rsidRPr="00122D44">
              <w:t>Greenville</w:t>
            </w:r>
          </w:p>
        </w:tc>
        <w:tc>
          <w:tcPr>
            <w:tcW w:w="4675" w:type="dxa"/>
            <w:vAlign w:val="bottom"/>
          </w:tcPr>
          <w:p w14:paraId="111F8AFC" w14:textId="77777777" w:rsidR="008A08A0" w:rsidRPr="00122D44" w:rsidRDefault="008A08A0" w:rsidP="001B41BD">
            <w:r w:rsidRPr="00122D44">
              <w:t>170.1 - 218.3</w:t>
            </w:r>
          </w:p>
        </w:tc>
      </w:tr>
      <w:tr w:rsidR="008A08A0" w14:paraId="5B697AED" w14:textId="77777777" w:rsidTr="001B41BD">
        <w:tc>
          <w:tcPr>
            <w:tcW w:w="4675" w:type="dxa"/>
            <w:vAlign w:val="bottom"/>
          </w:tcPr>
          <w:p w14:paraId="2DF9A717" w14:textId="77777777" w:rsidR="008A08A0" w:rsidRPr="00122D44" w:rsidRDefault="008A08A0" w:rsidP="001B41BD">
            <w:r w:rsidRPr="00122D44">
              <w:t>Greenwood</w:t>
            </w:r>
          </w:p>
        </w:tc>
        <w:tc>
          <w:tcPr>
            <w:tcW w:w="4675" w:type="dxa"/>
            <w:vAlign w:val="bottom"/>
          </w:tcPr>
          <w:p w14:paraId="5D8BE8A9" w14:textId="77777777" w:rsidR="008A08A0" w:rsidRPr="00122D44" w:rsidRDefault="008A08A0" w:rsidP="001B41BD">
            <w:r w:rsidRPr="00122D44">
              <w:t>218.4 - 269.8</w:t>
            </w:r>
          </w:p>
        </w:tc>
      </w:tr>
      <w:tr w:rsidR="008A08A0" w14:paraId="6DEF3541" w14:textId="77777777" w:rsidTr="001B41BD">
        <w:tc>
          <w:tcPr>
            <w:tcW w:w="4675" w:type="dxa"/>
            <w:vAlign w:val="bottom"/>
          </w:tcPr>
          <w:p w14:paraId="789DC6A3" w14:textId="77777777" w:rsidR="008A08A0" w:rsidRPr="00122D44" w:rsidRDefault="008A08A0" w:rsidP="001B41BD">
            <w:r w:rsidRPr="00122D44">
              <w:t>Hampton</w:t>
            </w:r>
          </w:p>
        </w:tc>
        <w:tc>
          <w:tcPr>
            <w:tcW w:w="4675" w:type="dxa"/>
            <w:vAlign w:val="bottom"/>
          </w:tcPr>
          <w:p w14:paraId="57DA54AC" w14:textId="77777777" w:rsidR="008A08A0" w:rsidRPr="00122D44" w:rsidRDefault="008A08A0" w:rsidP="001B41BD">
            <w:r w:rsidRPr="00122D44">
              <w:t>218.4 - 269.8</w:t>
            </w:r>
          </w:p>
        </w:tc>
      </w:tr>
      <w:tr w:rsidR="008A08A0" w14:paraId="0E01970D" w14:textId="77777777" w:rsidTr="001B41BD">
        <w:tc>
          <w:tcPr>
            <w:tcW w:w="4675" w:type="dxa"/>
            <w:vAlign w:val="bottom"/>
          </w:tcPr>
          <w:p w14:paraId="0CDAF89A" w14:textId="77777777" w:rsidR="008A08A0" w:rsidRPr="00122D44" w:rsidRDefault="008A08A0" w:rsidP="001B41BD">
            <w:r w:rsidRPr="00122D44">
              <w:t>Horry</w:t>
            </w:r>
          </w:p>
        </w:tc>
        <w:tc>
          <w:tcPr>
            <w:tcW w:w="4675" w:type="dxa"/>
            <w:vAlign w:val="bottom"/>
          </w:tcPr>
          <w:p w14:paraId="477FD455" w14:textId="77777777" w:rsidR="008A08A0" w:rsidRPr="00122D44" w:rsidRDefault="008A08A0" w:rsidP="001B41BD">
            <w:r w:rsidRPr="00122D44">
              <w:t>310.4 - 365.5</w:t>
            </w:r>
          </w:p>
        </w:tc>
      </w:tr>
      <w:tr w:rsidR="008A08A0" w14:paraId="6121A742" w14:textId="77777777" w:rsidTr="001B41BD">
        <w:tc>
          <w:tcPr>
            <w:tcW w:w="4675" w:type="dxa"/>
            <w:vAlign w:val="bottom"/>
          </w:tcPr>
          <w:p w14:paraId="6E0C7CDA" w14:textId="77777777" w:rsidR="008A08A0" w:rsidRPr="00122D44" w:rsidRDefault="008A08A0" w:rsidP="001B41BD">
            <w:r w:rsidRPr="00122D44">
              <w:t>Jasper</w:t>
            </w:r>
          </w:p>
        </w:tc>
        <w:tc>
          <w:tcPr>
            <w:tcW w:w="4675" w:type="dxa"/>
            <w:vAlign w:val="bottom"/>
          </w:tcPr>
          <w:p w14:paraId="701E9AB3" w14:textId="77777777" w:rsidR="008A08A0" w:rsidRPr="00122D44" w:rsidRDefault="008A08A0" w:rsidP="001B41BD">
            <w:r w:rsidRPr="00122D44">
              <w:t>218.4 - 269.8</w:t>
            </w:r>
          </w:p>
        </w:tc>
      </w:tr>
      <w:tr w:rsidR="008A08A0" w14:paraId="3896468A" w14:textId="77777777" w:rsidTr="001B41BD">
        <w:tc>
          <w:tcPr>
            <w:tcW w:w="4675" w:type="dxa"/>
            <w:vAlign w:val="bottom"/>
          </w:tcPr>
          <w:p w14:paraId="631A6DE9" w14:textId="77777777" w:rsidR="008A08A0" w:rsidRPr="00122D44" w:rsidRDefault="008A08A0" w:rsidP="001B41BD">
            <w:r w:rsidRPr="00122D44">
              <w:t>Kershaw</w:t>
            </w:r>
          </w:p>
        </w:tc>
        <w:tc>
          <w:tcPr>
            <w:tcW w:w="4675" w:type="dxa"/>
            <w:vAlign w:val="bottom"/>
          </w:tcPr>
          <w:p w14:paraId="07F762CF" w14:textId="77777777" w:rsidR="008A08A0" w:rsidRPr="00122D44" w:rsidRDefault="008A08A0" w:rsidP="001B41BD">
            <w:r w:rsidRPr="00122D44">
              <w:t>269.9 - 310.3</w:t>
            </w:r>
          </w:p>
        </w:tc>
      </w:tr>
      <w:tr w:rsidR="008A08A0" w14:paraId="0C004036" w14:textId="77777777" w:rsidTr="001B41BD">
        <w:tc>
          <w:tcPr>
            <w:tcW w:w="4675" w:type="dxa"/>
            <w:vAlign w:val="bottom"/>
          </w:tcPr>
          <w:p w14:paraId="781CDD78" w14:textId="77777777" w:rsidR="008A08A0" w:rsidRPr="00122D44" w:rsidRDefault="008A08A0" w:rsidP="001B41BD">
            <w:r w:rsidRPr="00122D44">
              <w:t>Lancaster</w:t>
            </w:r>
          </w:p>
        </w:tc>
        <w:tc>
          <w:tcPr>
            <w:tcW w:w="4675" w:type="dxa"/>
            <w:vAlign w:val="bottom"/>
          </w:tcPr>
          <w:p w14:paraId="06692D6C" w14:textId="77777777" w:rsidR="008A08A0" w:rsidRPr="00122D44" w:rsidRDefault="008A08A0" w:rsidP="001B41BD">
            <w:r w:rsidRPr="00122D44">
              <w:t>269.9 - 310.3</w:t>
            </w:r>
          </w:p>
        </w:tc>
      </w:tr>
      <w:tr w:rsidR="008A08A0" w14:paraId="45B96252" w14:textId="77777777" w:rsidTr="001B41BD">
        <w:tc>
          <w:tcPr>
            <w:tcW w:w="4675" w:type="dxa"/>
            <w:vAlign w:val="bottom"/>
          </w:tcPr>
          <w:p w14:paraId="00ABFF09" w14:textId="77777777" w:rsidR="008A08A0" w:rsidRPr="00122D44" w:rsidRDefault="008A08A0" w:rsidP="001B41BD">
            <w:r w:rsidRPr="00122D44">
              <w:t>Laurens</w:t>
            </w:r>
          </w:p>
        </w:tc>
        <w:tc>
          <w:tcPr>
            <w:tcW w:w="4675" w:type="dxa"/>
            <w:vAlign w:val="bottom"/>
          </w:tcPr>
          <w:p w14:paraId="61639E36" w14:textId="77777777" w:rsidR="008A08A0" w:rsidRPr="00122D44" w:rsidRDefault="008A08A0" w:rsidP="001B41BD">
            <w:r w:rsidRPr="00122D44">
              <w:t>310.4 - 365.5</w:t>
            </w:r>
          </w:p>
        </w:tc>
      </w:tr>
      <w:tr w:rsidR="008A08A0" w14:paraId="56DD0FA2" w14:textId="77777777" w:rsidTr="001B41BD">
        <w:tc>
          <w:tcPr>
            <w:tcW w:w="4675" w:type="dxa"/>
            <w:vAlign w:val="bottom"/>
          </w:tcPr>
          <w:p w14:paraId="73FDCDE2" w14:textId="77777777" w:rsidR="008A08A0" w:rsidRPr="00122D44" w:rsidRDefault="008A08A0" w:rsidP="001B41BD">
            <w:r w:rsidRPr="00122D44">
              <w:t>Lee</w:t>
            </w:r>
          </w:p>
        </w:tc>
        <w:tc>
          <w:tcPr>
            <w:tcW w:w="4675" w:type="dxa"/>
            <w:vAlign w:val="bottom"/>
          </w:tcPr>
          <w:p w14:paraId="6AD05F18" w14:textId="77777777" w:rsidR="008A08A0" w:rsidRPr="00122D44" w:rsidRDefault="008A08A0" w:rsidP="001B41BD">
            <w:r w:rsidRPr="00122D44">
              <w:t>310.4 - 365.5</w:t>
            </w:r>
          </w:p>
        </w:tc>
      </w:tr>
      <w:tr w:rsidR="008A08A0" w14:paraId="2B362FD9" w14:textId="77777777" w:rsidTr="001B41BD">
        <w:tc>
          <w:tcPr>
            <w:tcW w:w="4675" w:type="dxa"/>
            <w:vAlign w:val="bottom"/>
          </w:tcPr>
          <w:p w14:paraId="79AD93B0" w14:textId="77777777" w:rsidR="008A08A0" w:rsidRPr="00122D44" w:rsidRDefault="008A08A0" w:rsidP="001B41BD">
            <w:r w:rsidRPr="00122D44">
              <w:t>Lexington</w:t>
            </w:r>
          </w:p>
        </w:tc>
        <w:tc>
          <w:tcPr>
            <w:tcW w:w="4675" w:type="dxa"/>
            <w:vAlign w:val="bottom"/>
          </w:tcPr>
          <w:p w14:paraId="1307BEFA" w14:textId="77777777" w:rsidR="008A08A0" w:rsidRPr="00122D44" w:rsidRDefault="008A08A0" w:rsidP="001B41BD">
            <w:r w:rsidRPr="00122D44">
              <w:t>218.4 - 269.8</w:t>
            </w:r>
          </w:p>
        </w:tc>
      </w:tr>
      <w:tr w:rsidR="008A08A0" w14:paraId="4ED1ABDE" w14:textId="77777777" w:rsidTr="001B41BD">
        <w:tc>
          <w:tcPr>
            <w:tcW w:w="4675" w:type="dxa"/>
            <w:vAlign w:val="bottom"/>
          </w:tcPr>
          <w:p w14:paraId="58D6660E" w14:textId="77777777" w:rsidR="008A08A0" w:rsidRPr="00122D44" w:rsidRDefault="008A08A0" w:rsidP="001B41BD">
            <w:r w:rsidRPr="00122D44">
              <w:t>McCormick</w:t>
            </w:r>
          </w:p>
        </w:tc>
        <w:tc>
          <w:tcPr>
            <w:tcW w:w="4675" w:type="dxa"/>
            <w:vAlign w:val="bottom"/>
          </w:tcPr>
          <w:p w14:paraId="34161934" w14:textId="77777777" w:rsidR="008A08A0" w:rsidRPr="00122D44" w:rsidRDefault="008A08A0" w:rsidP="001B41BD">
            <w:r w:rsidRPr="00122D44">
              <w:t>218.4 - 269.8</w:t>
            </w:r>
          </w:p>
        </w:tc>
      </w:tr>
      <w:tr w:rsidR="008A08A0" w14:paraId="305AFEBE" w14:textId="77777777" w:rsidTr="001B41BD">
        <w:tc>
          <w:tcPr>
            <w:tcW w:w="4675" w:type="dxa"/>
            <w:vAlign w:val="bottom"/>
          </w:tcPr>
          <w:p w14:paraId="5CBB4487" w14:textId="77777777" w:rsidR="008A08A0" w:rsidRPr="00122D44" w:rsidRDefault="008A08A0" w:rsidP="001B41BD">
            <w:r w:rsidRPr="00122D44">
              <w:t>Marion</w:t>
            </w:r>
          </w:p>
        </w:tc>
        <w:tc>
          <w:tcPr>
            <w:tcW w:w="4675" w:type="dxa"/>
            <w:vAlign w:val="bottom"/>
          </w:tcPr>
          <w:p w14:paraId="1740E9EE" w14:textId="77777777" w:rsidR="008A08A0" w:rsidRPr="00122D44" w:rsidRDefault="008A08A0" w:rsidP="001B41BD">
            <w:r w:rsidRPr="00122D44">
              <w:t>218.4 - 269.8</w:t>
            </w:r>
          </w:p>
        </w:tc>
      </w:tr>
      <w:tr w:rsidR="008A08A0" w14:paraId="555E3EEF" w14:textId="77777777" w:rsidTr="001B41BD">
        <w:tc>
          <w:tcPr>
            <w:tcW w:w="4675" w:type="dxa"/>
            <w:vAlign w:val="bottom"/>
          </w:tcPr>
          <w:p w14:paraId="2DEB8A1A" w14:textId="77777777" w:rsidR="008A08A0" w:rsidRPr="00122D44" w:rsidRDefault="008A08A0" w:rsidP="001B41BD">
            <w:r w:rsidRPr="00122D44">
              <w:t>Marlboro</w:t>
            </w:r>
          </w:p>
        </w:tc>
        <w:tc>
          <w:tcPr>
            <w:tcW w:w="4675" w:type="dxa"/>
            <w:vAlign w:val="bottom"/>
          </w:tcPr>
          <w:p w14:paraId="401DE16F" w14:textId="77777777" w:rsidR="008A08A0" w:rsidRPr="00122D44" w:rsidRDefault="008A08A0" w:rsidP="001B41BD">
            <w:r w:rsidRPr="00122D44">
              <w:t>269.9 - 310.3</w:t>
            </w:r>
          </w:p>
        </w:tc>
      </w:tr>
      <w:tr w:rsidR="008A08A0" w14:paraId="313F4909" w14:textId="77777777" w:rsidTr="001B41BD">
        <w:tc>
          <w:tcPr>
            <w:tcW w:w="4675" w:type="dxa"/>
            <w:vAlign w:val="bottom"/>
          </w:tcPr>
          <w:p w14:paraId="1BA127F9" w14:textId="77777777" w:rsidR="008A08A0" w:rsidRPr="00122D44" w:rsidRDefault="008A08A0" w:rsidP="001B41BD">
            <w:r w:rsidRPr="00122D44">
              <w:t>Newberry</w:t>
            </w:r>
          </w:p>
        </w:tc>
        <w:tc>
          <w:tcPr>
            <w:tcW w:w="4675" w:type="dxa"/>
            <w:vAlign w:val="bottom"/>
          </w:tcPr>
          <w:p w14:paraId="10874A6F" w14:textId="77777777" w:rsidR="008A08A0" w:rsidRPr="00122D44" w:rsidRDefault="008A08A0" w:rsidP="001B41BD">
            <w:r w:rsidRPr="00122D44">
              <w:t>310.4 - 365.5</w:t>
            </w:r>
          </w:p>
        </w:tc>
      </w:tr>
      <w:tr w:rsidR="008A08A0" w14:paraId="4088893E" w14:textId="77777777" w:rsidTr="001B41BD">
        <w:tc>
          <w:tcPr>
            <w:tcW w:w="4675" w:type="dxa"/>
            <w:vAlign w:val="bottom"/>
          </w:tcPr>
          <w:p w14:paraId="63E1A766" w14:textId="77777777" w:rsidR="008A08A0" w:rsidRPr="00122D44" w:rsidRDefault="008A08A0" w:rsidP="001B41BD">
            <w:r w:rsidRPr="00122D44">
              <w:t>Oconee</w:t>
            </w:r>
          </w:p>
        </w:tc>
        <w:tc>
          <w:tcPr>
            <w:tcW w:w="4675" w:type="dxa"/>
            <w:vAlign w:val="bottom"/>
          </w:tcPr>
          <w:p w14:paraId="62DFD8AE" w14:textId="77777777" w:rsidR="008A08A0" w:rsidRPr="00122D44" w:rsidRDefault="008A08A0" w:rsidP="001B41BD">
            <w:r w:rsidRPr="00122D44">
              <w:t>269.9 - 310.3</w:t>
            </w:r>
          </w:p>
        </w:tc>
      </w:tr>
      <w:tr w:rsidR="008A08A0" w14:paraId="467BAECA" w14:textId="77777777" w:rsidTr="001B41BD">
        <w:tc>
          <w:tcPr>
            <w:tcW w:w="4675" w:type="dxa"/>
            <w:vAlign w:val="bottom"/>
          </w:tcPr>
          <w:p w14:paraId="5105D6EE" w14:textId="77777777" w:rsidR="008A08A0" w:rsidRPr="00122D44" w:rsidRDefault="008A08A0" w:rsidP="001B41BD">
            <w:r w:rsidRPr="00122D44">
              <w:t>Orangeburg</w:t>
            </w:r>
          </w:p>
        </w:tc>
        <w:tc>
          <w:tcPr>
            <w:tcW w:w="4675" w:type="dxa"/>
            <w:vAlign w:val="bottom"/>
          </w:tcPr>
          <w:p w14:paraId="68134645" w14:textId="77777777" w:rsidR="008A08A0" w:rsidRPr="00122D44" w:rsidRDefault="008A08A0" w:rsidP="001B41BD">
            <w:r w:rsidRPr="00122D44">
              <w:t>269.9 - 310.3</w:t>
            </w:r>
          </w:p>
        </w:tc>
      </w:tr>
      <w:tr w:rsidR="008A08A0" w14:paraId="5F27011E" w14:textId="77777777" w:rsidTr="001B41BD">
        <w:tc>
          <w:tcPr>
            <w:tcW w:w="4675" w:type="dxa"/>
            <w:vAlign w:val="bottom"/>
          </w:tcPr>
          <w:p w14:paraId="11ED608A" w14:textId="77777777" w:rsidR="008A08A0" w:rsidRPr="00122D44" w:rsidRDefault="008A08A0" w:rsidP="001B41BD">
            <w:r w:rsidRPr="00122D44">
              <w:t>Pickens</w:t>
            </w:r>
          </w:p>
        </w:tc>
        <w:tc>
          <w:tcPr>
            <w:tcW w:w="4675" w:type="dxa"/>
            <w:vAlign w:val="bottom"/>
          </w:tcPr>
          <w:p w14:paraId="5A9D49D9" w14:textId="77777777" w:rsidR="008A08A0" w:rsidRPr="00122D44" w:rsidRDefault="008A08A0" w:rsidP="001B41BD">
            <w:r w:rsidRPr="00122D44">
              <w:t>269.9 - 310.3</w:t>
            </w:r>
          </w:p>
        </w:tc>
      </w:tr>
      <w:tr w:rsidR="008A08A0" w14:paraId="5AB92DA5" w14:textId="77777777" w:rsidTr="001B41BD">
        <w:tc>
          <w:tcPr>
            <w:tcW w:w="4675" w:type="dxa"/>
            <w:vAlign w:val="bottom"/>
          </w:tcPr>
          <w:p w14:paraId="7662BC54" w14:textId="77777777" w:rsidR="008A08A0" w:rsidRPr="00122D44" w:rsidRDefault="008A08A0" w:rsidP="001B41BD">
            <w:r w:rsidRPr="00122D44">
              <w:t>Richland</w:t>
            </w:r>
          </w:p>
        </w:tc>
        <w:tc>
          <w:tcPr>
            <w:tcW w:w="4675" w:type="dxa"/>
            <w:vAlign w:val="bottom"/>
          </w:tcPr>
          <w:p w14:paraId="44DFD9F4" w14:textId="77777777" w:rsidR="008A08A0" w:rsidRPr="00122D44" w:rsidRDefault="008A08A0" w:rsidP="001B41BD">
            <w:r w:rsidRPr="00122D44">
              <w:t>170.1 - 218.3</w:t>
            </w:r>
          </w:p>
        </w:tc>
      </w:tr>
      <w:tr w:rsidR="008A08A0" w14:paraId="5AD200BE" w14:textId="77777777" w:rsidTr="001B41BD">
        <w:tc>
          <w:tcPr>
            <w:tcW w:w="4675" w:type="dxa"/>
            <w:vAlign w:val="bottom"/>
          </w:tcPr>
          <w:p w14:paraId="0D190223" w14:textId="77777777" w:rsidR="008A08A0" w:rsidRPr="00122D44" w:rsidRDefault="008A08A0" w:rsidP="001B41BD">
            <w:r w:rsidRPr="00122D44">
              <w:t>Saluda</w:t>
            </w:r>
          </w:p>
        </w:tc>
        <w:tc>
          <w:tcPr>
            <w:tcW w:w="4675" w:type="dxa"/>
            <w:vAlign w:val="bottom"/>
          </w:tcPr>
          <w:p w14:paraId="1373C179" w14:textId="77777777" w:rsidR="008A08A0" w:rsidRPr="00122D44" w:rsidRDefault="008A08A0" w:rsidP="001B41BD">
            <w:r w:rsidRPr="00122D44">
              <w:t>269.9 - 310.3</w:t>
            </w:r>
          </w:p>
        </w:tc>
      </w:tr>
      <w:tr w:rsidR="008A08A0" w14:paraId="1D1A8680" w14:textId="77777777" w:rsidTr="001B41BD">
        <w:tc>
          <w:tcPr>
            <w:tcW w:w="4675" w:type="dxa"/>
            <w:vAlign w:val="bottom"/>
          </w:tcPr>
          <w:p w14:paraId="4573654B" w14:textId="77777777" w:rsidR="008A08A0" w:rsidRPr="00122D44" w:rsidRDefault="008A08A0" w:rsidP="001B41BD">
            <w:r w:rsidRPr="00122D44">
              <w:t>Spartanburg</w:t>
            </w:r>
          </w:p>
        </w:tc>
        <w:tc>
          <w:tcPr>
            <w:tcW w:w="4675" w:type="dxa"/>
            <w:vAlign w:val="bottom"/>
          </w:tcPr>
          <w:p w14:paraId="7701DA24" w14:textId="77777777" w:rsidR="008A08A0" w:rsidRPr="00122D44" w:rsidRDefault="008A08A0" w:rsidP="001B41BD">
            <w:r w:rsidRPr="00122D44">
              <w:t>170.1 - 218.3</w:t>
            </w:r>
          </w:p>
        </w:tc>
      </w:tr>
      <w:tr w:rsidR="008A08A0" w14:paraId="49BAAC7A" w14:textId="77777777" w:rsidTr="001B41BD">
        <w:tc>
          <w:tcPr>
            <w:tcW w:w="4675" w:type="dxa"/>
            <w:vAlign w:val="bottom"/>
          </w:tcPr>
          <w:p w14:paraId="1DA693E0" w14:textId="77777777" w:rsidR="008A08A0" w:rsidRPr="00122D44" w:rsidRDefault="008A08A0" w:rsidP="001B41BD">
            <w:r w:rsidRPr="00122D44">
              <w:lastRenderedPageBreak/>
              <w:t>Sumter</w:t>
            </w:r>
          </w:p>
        </w:tc>
        <w:tc>
          <w:tcPr>
            <w:tcW w:w="4675" w:type="dxa"/>
            <w:vAlign w:val="bottom"/>
          </w:tcPr>
          <w:p w14:paraId="1A83B4C5" w14:textId="77777777" w:rsidR="008A08A0" w:rsidRPr="00122D44" w:rsidRDefault="008A08A0" w:rsidP="001B41BD">
            <w:r w:rsidRPr="00122D44">
              <w:t>310.4 - 365.5</w:t>
            </w:r>
          </w:p>
        </w:tc>
      </w:tr>
      <w:tr w:rsidR="008A08A0" w14:paraId="2CFC6E96" w14:textId="77777777" w:rsidTr="001B41BD">
        <w:tc>
          <w:tcPr>
            <w:tcW w:w="4675" w:type="dxa"/>
            <w:vAlign w:val="bottom"/>
          </w:tcPr>
          <w:p w14:paraId="1977A608" w14:textId="77777777" w:rsidR="008A08A0" w:rsidRPr="00122D44" w:rsidRDefault="008A08A0" w:rsidP="001B41BD">
            <w:r w:rsidRPr="00122D44">
              <w:t>Union</w:t>
            </w:r>
          </w:p>
        </w:tc>
        <w:tc>
          <w:tcPr>
            <w:tcW w:w="4675" w:type="dxa"/>
            <w:vAlign w:val="bottom"/>
          </w:tcPr>
          <w:p w14:paraId="1E292EFD" w14:textId="77777777" w:rsidR="008A08A0" w:rsidRPr="00122D44" w:rsidRDefault="008A08A0" w:rsidP="001B41BD">
            <w:r w:rsidRPr="00122D44">
              <w:t>365.6 - 454.7</w:t>
            </w:r>
          </w:p>
        </w:tc>
      </w:tr>
      <w:tr w:rsidR="008A08A0" w14:paraId="640EEE23" w14:textId="77777777" w:rsidTr="001B41BD">
        <w:tc>
          <w:tcPr>
            <w:tcW w:w="4675" w:type="dxa"/>
            <w:vAlign w:val="bottom"/>
          </w:tcPr>
          <w:p w14:paraId="6B2B3FB0" w14:textId="77777777" w:rsidR="008A08A0" w:rsidRPr="00122D44" w:rsidRDefault="008A08A0" w:rsidP="001B41BD">
            <w:r w:rsidRPr="00122D44">
              <w:t>Williamsburg</w:t>
            </w:r>
          </w:p>
        </w:tc>
        <w:tc>
          <w:tcPr>
            <w:tcW w:w="4675" w:type="dxa"/>
            <w:vAlign w:val="bottom"/>
          </w:tcPr>
          <w:p w14:paraId="753742E9" w14:textId="77777777" w:rsidR="008A08A0" w:rsidRPr="00122D44" w:rsidRDefault="008A08A0" w:rsidP="001B41BD">
            <w:r w:rsidRPr="00122D44">
              <w:t>310.4 - 365.5</w:t>
            </w:r>
          </w:p>
        </w:tc>
      </w:tr>
      <w:tr w:rsidR="008A08A0" w14:paraId="3F597EDF" w14:textId="77777777" w:rsidTr="001B41BD">
        <w:tc>
          <w:tcPr>
            <w:tcW w:w="4675" w:type="dxa"/>
            <w:vAlign w:val="bottom"/>
          </w:tcPr>
          <w:p w14:paraId="2BD29A8B" w14:textId="77777777" w:rsidR="008A08A0" w:rsidRPr="00122D44" w:rsidRDefault="008A08A0" w:rsidP="001B41BD">
            <w:r w:rsidRPr="00122D44">
              <w:t>York</w:t>
            </w:r>
          </w:p>
        </w:tc>
        <w:tc>
          <w:tcPr>
            <w:tcW w:w="4675" w:type="dxa"/>
            <w:vAlign w:val="bottom"/>
          </w:tcPr>
          <w:p w14:paraId="497F9A91" w14:textId="77777777" w:rsidR="008A08A0" w:rsidRPr="00122D44" w:rsidRDefault="008A08A0" w:rsidP="001B41BD">
            <w:r w:rsidRPr="00122D44">
              <w:t>170.1 - 218.3</w:t>
            </w:r>
          </w:p>
        </w:tc>
      </w:tr>
    </w:tbl>
    <w:p w14:paraId="676514D0" w14:textId="77777777" w:rsidR="008A08A0" w:rsidRPr="00122D44" w:rsidRDefault="008A08A0" w:rsidP="008A08A0">
      <w:r w:rsidRPr="00122D44">
        <w:t xml:space="preserve">Source: SC DHEC ATS and Vital Statistics, 2009-2018. </w:t>
      </w:r>
    </w:p>
    <w:p w14:paraId="2BDC6DAB" w14:textId="77777777" w:rsidR="008A08A0" w:rsidRDefault="008A08A0" w:rsidP="008A08A0">
      <w:r w:rsidRPr="00122D44">
        <w:t>Notes: Adults 35+, age-adjusted, causes of mortality attributable to various cancers, cardiovascular, and respiratory diseases.</w:t>
      </w:r>
    </w:p>
    <w:p w14:paraId="55C32AB0" w14:textId="77777777" w:rsidR="00823B72" w:rsidRPr="00122D44" w:rsidRDefault="00823B72" w:rsidP="008A08A0"/>
    <w:p w14:paraId="13E9D1A3" w14:textId="77777777" w:rsidR="006A527F" w:rsidRDefault="008A08A0" w:rsidP="006A527F">
      <w:pPr>
        <w:pStyle w:val="Heading4"/>
      </w:pPr>
      <w:bookmarkStart w:id="754" w:name="_Toc162267511"/>
      <w:r w:rsidRPr="00122D44">
        <w:t xml:space="preserve">Figure 9.23 – </w:t>
      </w:r>
      <w:r w:rsidR="00823B72" w:rsidRPr="00823B72">
        <w:t>Smoke-Free Work Ordinances</w:t>
      </w:r>
      <w:r w:rsidR="00823B72">
        <w:t>.</w:t>
      </w:r>
      <w:bookmarkEnd w:id="754"/>
    </w:p>
    <w:tbl>
      <w:tblPr>
        <w:tblStyle w:val="TableGrid"/>
        <w:tblW w:w="0" w:type="auto"/>
        <w:tblLook w:val="04A0" w:firstRow="1" w:lastRow="0" w:firstColumn="1" w:lastColumn="0" w:noHBand="0" w:noVBand="1"/>
      </w:tblPr>
      <w:tblGrid>
        <w:gridCol w:w="3116"/>
        <w:gridCol w:w="3117"/>
        <w:gridCol w:w="3117"/>
      </w:tblGrid>
      <w:tr w:rsidR="006A527F" w14:paraId="003E0718" w14:textId="77777777" w:rsidTr="00A75334">
        <w:tc>
          <w:tcPr>
            <w:tcW w:w="3116" w:type="dxa"/>
            <w:vAlign w:val="bottom"/>
          </w:tcPr>
          <w:p w14:paraId="2D421BF5" w14:textId="441EAAE6" w:rsidR="006A527F" w:rsidRDefault="006A527F" w:rsidP="006A527F">
            <w:r>
              <w:t>County</w:t>
            </w:r>
          </w:p>
        </w:tc>
        <w:tc>
          <w:tcPr>
            <w:tcW w:w="3117" w:type="dxa"/>
            <w:vAlign w:val="bottom"/>
          </w:tcPr>
          <w:p w14:paraId="5C375AD3" w14:textId="678F06E1" w:rsidR="006A527F" w:rsidRDefault="006A527F" w:rsidP="006A527F">
            <w:r>
              <w:t>Number of Smoke Free Municipalities</w:t>
            </w:r>
          </w:p>
        </w:tc>
        <w:tc>
          <w:tcPr>
            <w:tcW w:w="3117" w:type="dxa"/>
            <w:vAlign w:val="bottom"/>
          </w:tcPr>
          <w:p w14:paraId="52A432CF" w14:textId="7507D0F5" w:rsidR="006A527F" w:rsidRDefault="006A527F" w:rsidP="006A527F">
            <w:r>
              <w:t>Smoke Free Work Ordinances</w:t>
            </w:r>
          </w:p>
        </w:tc>
      </w:tr>
      <w:tr w:rsidR="006A527F" w14:paraId="34AEBD70" w14:textId="77777777" w:rsidTr="00A75334">
        <w:tc>
          <w:tcPr>
            <w:tcW w:w="3116" w:type="dxa"/>
            <w:vAlign w:val="bottom"/>
          </w:tcPr>
          <w:p w14:paraId="66A2D9AA" w14:textId="47E8446F" w:rsidR="006A527F" w:rsidRDefault="006A527F" w:rsidP="006A527F">
            <w:r>
              <w:t>Abbeville</w:t>
            </w:r>
          </w:p>
        </w:tc>
        <w:tc>
          <w:tcPr>
            <w:tcW w:w="3117" w:type="dxa"/>
            <w:vAlign w:val="bottom"/>
          </w:tcPr>
          <w:p w14:paraId="10854693" w14:textId="349632B6" w:rsidR="006A527F" w:rsidRDefault="006A527F" w:rsidP="006A527F">
            <w:r>
              <w:t>0</w:t>
            </w:r>
          </w:p>
        </w:tc>
        <w:tc>
          <w:tcPr>
            <w:tcW w:w="3117" w:type="dxa"/>
            <w:vAlign w:val="bottom"/>
          </w:tcPr>
          <w:p w14:paraId="63F121E8" w14:textId="01244889" w:rsidR="006A527F" w:rsidRDefault="006A527F" w:rsidP="006A527F">
            <w:r>
              <w:t>No Smoke Free Ordinance</w:t>
            </w:r>
          </w:p>
        </w:tc>
      </w:tr>
      <w:tr w:rsidR="006A527F" w14:paraId="1A6BBB02" w14:textId="77777777" w:rsidTr="00A75334">
        <w:tc>
          <w:tcPr>
            <w:tcW w:w="3116" w:type="dxa"/>
            <w:vAlign w:val="bottom"/>
          </w:tcPr>
          <w:p w14:paraId="2EA64AB4" w14:textId="67FF7021" w:rsidR="006A527F" w:rsidRDefault="006A527F" w:rsidP="006A527F">
            <w:r>
              <w:t>Aiken</w:t>
            </w:r>
          </w:p>
        </w:tc>
        <w:tc>
          <w:tcPr>
            <w:tcW w:w="3117" w:type="dxa"/>
            <w:vAlign w:val="bottom"/>
          </w:tcPr>
          <w:p w14:paraId="3C8CAD23" w14:textId="4D7DA351" w:rsidR="006A527F" w:rsidRDefault="006A527F" w:rsidP="006A527F">
            <w:r>
              <w:t>2</w:t>
            </w:r>
          </w:p>
        </w:tc>
        <w:tc>
          <w:tcPr>
            <w:tcW w:w="3117" w:type="dxa"/>
            <w:vAlign w:val="bottom"/>
          </w:tcPr>
          <w:p w14:paraId="7BDAF812" w14:textId="67EF2CFF" w:rsidR="006A527F" w:rsidRDefault="006A527F" w:rsidP="006A527F">
            <w:r>
              <w:t>Smoke Free County</w:t>
            </w:r>
          </w:p>
        </w:tc>
      </w:tr>
      <w:tr w:rsidR="006A527F" w14:paraId="2B02EA88" w14:textId="77777777" w:rsidTr="00A75334">
        <w:tc>
          <w:tcPr>
            <w:tcW w:w="3116" w:type="dxa"/>
            <w:vAlign w:val="bottom"/>
          </w:tcPr>
          <w:p w14:paraId="31F207EE" w14:textId="5D9E12EB" w:rsidR="006A527F" w:rsidRDefault="006A527F" w:rsidP="006A527F">
            <w:r>
              <w:t>Allendale</w:t>
            </w:r>
          </w:p>
        </w:tc>
        <w:tc>
          <w:tcPr>
            <w:tcW w:w="3117" w:type="dxa"/>
            <w:vAlign w:val="bottom"/>
          </w:tcPr>
          <w:p w14:paraId="2D2704E3" w14:textId="1448AAE0" w:rsidR="006A527F" w:rsidRDefault="006A527F" w:rsidP="006A527F">
            <w:r>
              <w:t>0</w:t>
            </w:r>
          </w:p>
        </w:tc>
        <w:tc>
          <w:tcPr>
            <w:tcW w:w="3117" w:type="dxa"/>
            <w:vAlign w:val="bottom"/>
          </w:tcPr>
          <w:p w14:paraId="4CF3409F" w14:textId="42CFFD43" w:rsidR="006A527F" w:rsidRDefault="006A527F" w:rsidP="006A527F">
            <w:r>
              <w:t>No Smoke Free Ordinance</w:t>
            </w:r>
          </w:p>
        </w:tc>
      </w:tr>
      <w:tr w:rsidR="006A527F" w14:paraId="4BCEC14C" w14:textId="77777777" w:rsidTr="00A75334">
        <w:tc>
          <w:tcPr>
            <w:tcW w:w="3116" w:type="dxa"/>
            <w:vAlign w:val="bottom"/>
          </w:tcPr>
          <w:p w14:paraId="29EC23EC" w14:textId="4033BB6C" w:rsidR="006A527F" w:rsidRDefault="006A527F" w:rsidP="006A527F">
            <w:r>
              <w:t>Anderson</w:t>
            </w:r>
          </w:p>
        </w:tc>
        <w:tc>
          <w:tcPr>
            <w:tcW w:w="3117" w:type="dxa"/>
            <w:vAlign w:val="bottom"/>
          </w:tcPr>
          <w:p w14:paraId="632AD745" w14:textId="1BA9EE09" w:rsidR="006A527F" w:rsidRDefault="006A527F" w:rsidP="006A527F">
            <w:r>
              <w:t>3</w:t>
            </w:r>
          </w:p>
        </w:tc>
        <w:tc>
          <w:tcPr>
            <w:tcW w:w="3117" w:type="dxa"/>
            <w:vAlign w:val="bottom"/>
          </w:tcPr>
          <w:p w14:paraId="7D91574B" w14:textId="611D93E7" w:rsidR="006A527F" w:rsidRDefault="006A527F" w:rsidP="006A527F">
            <w:r>
              <w:t>No Smoke Free Ordinance</w:t>
            </w:r>
          </w:p>
        </w:tc>
      </w:tr>
      <w:tr w:rsidR="006A527F" w14:paraId="4D055490" w14:textId="77777777" w:rsidTr="00A75334">
        <w:tc>
          <w:tcPr>
            <w:tcW w:w="3116" w:type="dxa"/>
            <w:vAlign w:val="bottom"/>
          </w:tcPr>
          <w:p w14:paraId="55DA4D69" w14:textId="46BFED71" w:rsidR="006A527F" w:rsidRDefault="006A527F" w:rsidP="006A527F">
            <w:r>
              <w:t>Bamberg</w:t>
            </w:r>
          </w:p>
        </w:tc>
        <w:tc>
          <w:tcPr>
            <w:tcW w:w="3117" w:type="dxa"/>
            <w:vAlign w:val="bottom"/>
          </w:tcPr>
          <w:p w14:paraId="32D895F4" w14:textId="4C04F0CD" w:rsidR="006A527F" w:rsidRDefault="006A527F" w:rsidP="006A527F">
            <w:r>
              <w:t>1</w:t>
            </w:r>
          </w:p>
        </w:tc>
        <w:tc>
          <w:tcPr>
            <w:tcW w:w="3117" w:type="dxa"/>
            <w:vAlign w:val="bottom"/>
          </w:tcPr>
          <w:p w14:paraId="39FD7F31" w14:textId="7496BFC3" w:rsidR="006A527F" w:rsidRDefault="006A527F" w:rsidP="006A527F">
            <w:r>
              <w:t>No Smoke Free Ordinance</w:t>
            </w:r>
          </w:p>
        </w:tc>
      </w:tr>
      <w:tr w:rsidR="006A527F" w14:paraId="669B8D38" w14:textId="77777777" w:rsidTr="00A75334">
        <w:tc>
          <w:tcPr>
            <w:tcW w:w="3116" w:type="dxa"/>
            <w:vAlign w:val="bottom"/>
          </w:tcPr>
          <w:p w14:paraId="608A0961" w14:textId="56478D21" w:rsidR="006A527F" w:rsidRDefault="006A527F" w:rsidP="006A527F">
            <w:r>
              <w:t>Barnwell</w:t>
            </w:r>
          </w:p>
        </w:tc>
        <w:tc>
          <w:tcPr>
            <w:tcW w:w="3117" w:type="dxa"/>
            <w:vAlign w:val="bottom"/>
          </w:tcPr>
          <w:p w14:paraId="2A96ABC0" w14:textId="11FE1D68" w:rsidR="006A527F" w:rsidRDefault="006A527F" w:rsidP="006A527F">
            <w:r>
              <w:t>1</w:t>
            </w:r>
          </w:p>
        </w:tc>
        <w:tc>
          <w:tcPr>
            <w:tcW w:w="3117" w:type="dxa"/>
            <w:vAlign w:val="bottom"/>
          </w:tcPr>
          <w:p w14:paraId="7147B299" w14:textId="5CBAE044" w:rsidR="006A527F" w:rsidRDefault="006A527F" w:rsidP="006A527F">
            <w:r>
              <w:t>No Smoke Free Ordinance</w:t>
            </w:r>
          </w:p>
        </w:tc>
      </w:tr>
      <w:tr w:rsidR="006A527F" w14:paraId="0E7679C5" w14:textId="77777777" w:rsidTr="00A75334">
        <w:tc>
          <w:tcPr>
            <w:tcW w:w="3116" w:type="dxa"/>
            <w:vAlign w:val="bottom"/>
          </w:tcPr>
          <w:p w14:paraId="78857DEC" w14:textId="083A8778" w:rsidR="006A527F" w:rsidRDefault="006A527F" w:rsidP="006A527F">
            <w:r>
              <w:t>Beaufort</w:t>
            </w:r>
          </w:p>
        </w:tc>
        <w:tc>
          <w:tcPr>
            <w:tcW w:w="3117" w:type="dxa"/>
            <w:vAlign w:val="bottom"/>
          </w:tcPr>
          <w:p w14:paraId="343CCC1C" w14:textId="486BB63F" w:rsidR="006A527F" w:rsidRDefault="006A527F" w:rsidP="006A527F">
            <w:r>
              <w:t>3</w:t>
            </w:r>
          </w:p>
        </w:tc>
        <w:tc>
          <w:tcPr>
            <w:tcW w:w="3117" w:type="dxa"/>
            <w:vAlign w:val="bottom"/>
          </w:tcPr>
          <w:p w14:paraId="1B6F0DF0" w14:textId="673B7CCE" w:rsidR="006A527F" w:rsidRDefault="006A527F" w:rsidP="006A527F">
            <w:r>
              <w:t>Smoke Free County</w:t>
            </w:r>
          </w:p>
        </w:tc>
      </w:tr>
      <w:tr w:rsidR="006A527F" w14:paraId="6EAD4057" w14:textId="77777777" w:rsidTr="00A75334">
        <w:tc>
          <w:tcPr>
            <w:tcW w:w="3116" w:type="dxa"/>
            <w:vAlign w:val="bottom"/>
          </w:tcPr>
          <w:p w14:paraId="722A3C47" w14:textId="702FD695" w:rsidR="006A527F" w:rsidRDefault="006A527F" w:rsidP="006A527F">
            <w:r>
              <w:t>Berkeley</w:t>
            </w:r>
          </w:p>
        </w:tc>
        <w:tc>
          <w:tcPr>
            <w:tcW w:w="3117" w:type="dxa"/>
            <w:vAlign w:val="bottom"/>
          </w:tcPr>
          <w:p w14:paraId="59575518" w14:textId="7647F39C" w:rsidR="006A527F" w:rsidRDefault="006A527F" w:rsidP="006A527F">
            <w:r>
              <w:t>1</w:t>
            </w:r>
          </w:p>
        </w:tc>
        <w:tc>
          <w:tcPr>
            <w:tcW w:w="3117" w:type="dxa"/>
            <w:vAlign w:val="bottom"/>
          </w:tcPr>
          <w:p w14:paraId="066869BE" w14:textId="41598DA6" w:rsidR="006A527F" w:rsidRDefault="006A527F" w:rsidP="006A527F">
            <w:r>
              <w:t>No Smoke Free Ordinance</w:t>
            </w:r>
          </w:p>
        </w:tc>
      </w:tr>
      <w:tr w:rsidR="006A527F" w14:paraId="28041A97" w14:textId="77777777" w:rsidTr="00A75334">
        <w:tc>
          <w:tcPr>
            <w:tcW w:w="3116" w:type="dxa"/>
            <w:vAlign w:val="bottom"/>
          </w:tcPr>
          <w:p w14:paraId="078A2ACB" w14:textId="239BFB63" w:rsidR="006A527F" w:rsidRDefault="006A527F" w:rsidP="006A527F">
            <w:r>
              <w:t>Calhoun</w:t>
            </w:r>
          </w:p>
        </w:tc>
        <w:tc>
          <w:tcPr>
            <w:tcW w:w="3117" w:type="dxa"/>
            <w:vAlign w:val="bottom"/>
          </w:tcPr>
          <w:p w14:paraId="5A98517C" w14:textId="3207D5E3" w:rsidR="006A527F" w:rsidRDefault="006A527F" w:rsidP="006A527F">
            <w:r>
              <w:t>0</w:t>
            </w:r>
          </w:p>
        </w:tc>
        <w:tc>
          <w:tcPr>
            <w:tcW w:w="3117" w:type="dxa"/>
            <w:vAlign w:val="bottom"/>
          </w:tcPr>
          <w:p w14:paraId="207AF48A" w14:textId="71A545E5" w:rsidR="006A527F" w:rsidRDefault="006A527F" w:rsidP="006A527F">
            <w:r>
              <w:t>No Smoke Free Ordinance</w:t>
            </w:r>
          </w:p>
        </w:tc>
      </w:tr>
      <w:tr w:rsidR="006A527F" w14:paraId="4B4A3660" w14:textId="77777777" w:rsidTr="00A75334">
        <w:tc>
          <w:tcPr>
            <w:tcW w:w="3116" w:type="dxa"/>
            <w:vAlign w:val="bottom"/>
          </w:tcPr>
          <w:p w14:paraId="407CDF22" w14:textId="6C7759A0" w:rsidR="006A527F" w:rsidRDefault="006A527F" w:rsidP="006A527F">
            <w:r>
              <w:t>Charleston</w:t>
            </w:r>
          </w:p>
        </w:tc>
        <w:tc>
          <w:tcPr>
            <w:tcW w:w="3117" w:type="dxa"/>
            <w:vAlign w:val="bottom"/>
          </w:tcPr>
          <w:p w14:paraId="1188F1BF" w14:textId="39B63D7F" w:rsidR="006A527F" w:rsidRDefault="006A527F" w:rsidP="006A527F">
            <w:r>
              <w:t>6</w:t>
            </w:r>
          </w:p>
        </w:tc>
        <w:tc>
          <w:tcPr>
            <w:tcW w:w="3117" w:type="dxa"/>
            <w:vAlign w:val="bottom"/>
          </w:tcPr>
          <w:p w14:paraId="4DAEF06C" w14:textId="1F61FA0B" w:rsidR="006A527F" w:rsidRDefault="006A527F" w:rsidP="006A527F">
            <w:r>
              <w:t>Smoke Free County</w:t>
            </w:r>
          </w:p>
        </w:tc>
      </w:tr>
      <w:tr w:rsidR="006A527F" w14:paraId="7A2822CB" w14:textId="77777777" w:rsidTr="00A75334">
        <w:tc>
          <w:tcPr>
            <w:tcW w:w="3116" w:type="dxa"/>
            <w:vAlign w:val="bottom"/>
          </w:tcPr>
          <w:p w14:paraId="7914E43A" w14:textId="0CC247B9" w:rsidR="006A527F" w:rsidRDefault="006A527F" w:rsidP="006A527F">
            <w:r>
              <w:t>Cherokee</w:t>
            </w:r>
          </w:p>
        </w:tc>
        <w:tc>
          <w:tcPr>
            <w:tcW w:w="3117" w:type="dxa"/>
            <w:vAlign w:val="bottom"/>
          </w:tcPr>
          <w:p w14:paraId="31847FBB" w14:textId="144641E0" w:rsidR="006A527F" w:rsidRDefault="006A527F" w:rsidP="006A527F">
            <w:r>
              <w:t>1</w:t>
            </w:r>
          </w:p>
        </w:tc>
        <w:tc>
          <w:tcPr>
            <w:tcW w:w="3117" w:type="dxa"/>
            <w:vAlign w:val="bottom"/>
          </w:tcPr>
          <w:p w14:paraId="4324E9BF" w14:textId="6659F4A8" w:rsidR="006A527F" w:rsidRDefault="006A527F" w:rsidP="006A527F">
            <w:r>
              <w:t>No Smoke Free Ordinance</w:t>
            </w:r>
          </w:p>
        </w:tc>
      </w:tr>
      <w:tr w:rsidR="006A527F" w14:paraId="561AED52" w14:textId="77777777" w:rsidTr="00A75334">
        <w:tc>
          <w:tcPr>
            <w:tcW w:w="3116" w:type="dxa"/>
            <w:vAlign w:val="bottom"/>
          </w:tcPr>
          <w:p w14:paraId="70CBC0DA" w14:textId="240BB969" w:rsidR="006A527F" w:rsidRDefault="006A527F" w:rsidP="006A527F">
            <w:r>
              <w:t>Chester</w:t>
            </w:r>
          </w:p>
        </w:tc>
        <w:tc>
          <w:tcPr>
            <w:tcW w:w="3117" w:type="dxa"/>
            <w:vAlign w:val="bottom"/>
          </w:tcPr>
          <w:p w14:paraId="53B255D1" w14:textId="70D4A597" w:rsidR="006A527F" w:rsidRDefault="006A527F" w:rsidP="006A527F">
            <w:r>
              <w:t>0</w:t>
            </w:r>
          </w:p>
        </w:tc>
        <w:tc>
          <w:tcPr>
            <w:tcW w:w="3117" w:type="dxa"/>
            <w:vAlign w:val="bottom"/>
          </w:tcPr>
          <w:p w14:paraId="7B931F0B" w14:textId="28E197C1" w:rsidR="006A527F" w:rsidRDefault="006A527F" w:rsidP="006A527F">
            <w:r>
              <w:t>No Smoke Free Ordinance</w:t>
            </w:r>
          </w:p>
        </w:tc>
      </w:tr>
      <w:tr w:rsidR="006A527F" w14:paraId="348E7BB5" w14:textId="77777777" w:rsidTr="00A75334">
        <w:tc>
          <w:tcPr>
            <w:tcW w:w="3116" w:type="dxa"/>
            <w:vAlign w:val="bottom"/>
          </w:tcPr>
          <w:p w14:paraId="620F3416" w14:textId="7187915D" w:rsidR="006A527F" w:rsidRDefault="006A527F" w:rsidP="006A527F">
            <w:r>
              <w:t>Chesterfield</w:t>
            </w:r>
          </w:p>
        </w:tc>
        <w:tc>
          <w:tcPr>
            <w:tcW w:w="3117" w:type="dxa"/>
            <w:vAlign w:val="bottom"/>
          </w:tcPr>
          <w:p w14:paraId="7C4E0CE6" w14:textId="78E09D36" w:rsidR="006A527F" w:rsidRDefault="006A527F" w:rsidP="006A527F">
            <w:r>
              <w:t>0</w:t>
            </w:r>
          </w:p>
        </w:tc>
        <w:tc>
          <w:tcPr>
            <w:tcW w:w="3117" w:type="dxa"/>
            <w:vAlign w:val="bottom"/>
          </w:tcPr>
          <w:p w14:paraId="5951DCBF" w14:textId="5BFC0731" w:rsidR="006A527F" w:rsidRDefault="006A527F" w:rsidP="006A527F">
            <w:r>
              <w:t>No Smoke Free Ordinance</w:t>
            </w:r>
          </w:p>
        </w:tc>
      </w:tr>
      <w:tr w:rsidR="006A527F" w14:paraId="4C0BABBF" w14:textId="77777777" w:rsidTr="00A75334">
        <w:tc>
          <w:tcPr>
            <w:tcW w:w="3116" w:type="dxa"/>
            <w:vAlign w:val="bottom"/>
          </w:tcPr>
          <w:p w14:paraId="592C8CF1" w14:textId="6EACD643" w:rsidR="006A527F" w:rsidRDefault="006A527F" w:rsidP="006A527F">
            <w:r>
              <w:t>Clarendon</w:t>
            </w:r>
          </w:p>
        </w:tc>
        <w:tc>
          <w:tcPr>
            <w:tcW w:w="3117" w:type="dxa"/>
            <w:vAlign w:val="bottom"/>
          </w:tcPr>
          <w:p w14:paraId="1D27F09D" w14:textId="77A4C504" w:rsidR="006A527F" w:rsidRDefault="006A527F" w:rsidP="006A527F">
            <w:r>
              <w:t>0</w:t>
            </w:r>
          </w:p>
        </w:tc>
        <w:tc>
          <w:tcPr>
            <w:tcW w:w="3117" w:type="dxa"/>
            <w:vAlign w:val="bottom"/>
          </w:tcPr>
          <w:p w14:paraId="20468291" w14:textId="07273440" w:rsidR="006A527F" w:rsidRDefault="006A527F" w:rsidP="006A527F">
            <w:r>
              <w:t>No Smoke Free Ordinance</w:t>
            </w:r>
          </w:p>
        </w:tc>
      </w:tr>
      <w:tr w:rsidR="006A527F" w14:paraId="650B891E" w14:textId="77777777" w:rsidTr="00A75334">
        <w:tc>
          <w:tcPr>
            <w:tcW w:w="3116" w:type="dxa"/>
            <w:vAlign w:val="bottom"/>
          </w:tcPr>
          <w:p w14:paraId="76C8ABA1" w14:textId="060C303A" w:rsidR="006A527F" w:rsidRDefault="006A527F" w:rsidP="006A527F">
            <w:r>
              <w:t>Colleton</w:t>
            </w:r>
          </w:p>
        </w:tc>
        <w:tc>
          <w:tcPr>
            <w:tcW w:w="3117" w:type="dxa"/>
            <w:vAlign w:val="bottom"/>
          </w:tcPr>
          <w:p w14:paraId="0B6D3940" w14:textId="1CA2E4A8" w:rsidR="006A527F" w:rsidRDefault="006A527F" w:rsidP="006A527F">
            <w:r>
              <w:t>2</w:t>
            </w:r>
          </w:p>
        </w:tc>
        <w:tc>
          <w:tcPr>
            <w:tcW w:w="3117" w:type="dxa"/>
            <w:vAlign w:val="bottom"/>
          </w:tcPr>
          <w:p w14:paraId="783A062B" w14:textId="302AD4BA" w:rsidR="006A527F" w:rsidRDefault="006A527F" w:rsidP="006A527F">
            <w:r>
              <w:t>Smoke Free County</w:t>
            </w:r>
          </w:p>
        </w:tc>
      </w:tr>
      <w:tr w:rsidR="006A527F" w14:paraId="1FA0C628" w14:textId="77777777" w:rsidTr="00A75334">
        <w:tc>
          <w:tcPr>
            <w:tcW w:w="3116" w:type="dxa"/>
            <w:vAlign w:val="bottom"/>
          </w:tcPr>
          <w:p w14:paraId="06983A84" w14:textId="762FB949" w:rsidR="006A527F" w:rsidRDefault="006A527F" w:rsidP="006A527F">
            <w:r>
              <w:lastRenderedPageBreak/>
              <w:t>Darlington</w:t>
            </w:r>
          </w:p>
        </w:tc>
        <w:tc>
          <w:tcPr>
            <w:tcW w:w="3117" w:type="dxa"/>
            <w:vAlign w:val="bottom"/>
          </w:tcPr>
          <w:p w14:paraId="19097BAC" w14:textId="1FE41DEE" w:rsidR="006A527F" w:rsidRDefault="006A527F" w:rsidP="006A527F">
            <w:r>
              <w:t>1</w:t>
            </w:r>
          </w:p>
        </w:tc>
        <w:tc>
          <w:tcPr>
            <w:tcW w:w="3117" w:type="dxa"/>
            <w:vAlign w:val="bottom"/>
          </w:tcPr>
          <w:p w14:paraId="1BDA4549" w14:textId="0D5D0968" w:rsidR="006A527F" w:rsidRDefault="006A527F" w:rsidP="006A527F">
            <w:r>
              <w:t>No Smoke Free Ordinance</w:t>
            </w:r>
          </w:p>
        </w:tc>
      </w:tr>
      <w:tr w:rsidR="006A527F" w14:paraId="109B5376" w14:textId="77777777" w:rsidTr="00A75334">
        <w:tc>
          <w:tcPr>
            <w:tcW w:w="3116" w:type="dxa"/>
            <w:vAlign w:val="bottom"/>
          </w:tcPr>
          <w:p w14:paraId="75DEAEB1" w14:textId="453E9B5F" w:rsidR="006A527F" w:rsidRDefault="006A527F" w:rsidP="006A527F">
            <w:r>
              <w:t>Dillon</w:t>
            </w:r>
          </w:p>
        </w:tc>
        <w:tc>
          <w:tcPr>
            <w:tcW w:w="3117" w:type="dxa"/>
            <w:vAlign w:val="bottom"/>
          </w:tcPr>
          <w:p w14:paraId="7AE0A50C" w14:textId="0DDB5505" w:rsidR="006A527F" w:rsidRDefault="006A527F" w:rsidP="006A527F">
            <w:r>
              <w:t>0</w:t>
            </w:r>
          </w:p>
        </w:tc>
        <w:tc>
          <w:tcPr>
            <w:tcW w:w="3117" w:type="dxa"/>
            <w:vAlign w:val="bottom"/>
          </w:tcPr>
          <w:p w14:paraId="1728BB04" w14:textId="32595B90" w:rsidR="006A527F" w:rsidRDefault="006A527F" w:rsidP="006A527F">
            <w:r>
              <w:t>No Smoke Free Ordinance</w:t>
            </w:r>
          </w:p>
        </w:tc>
      </w:tr>
      <w:tr w:rsidR="006A527F" w14:paraId="0A3527DF" w14:textId="77777777" w:rsidTr="00A75334">
        <w:tc>
          <w:tcPr>
            <w:tcW w:w="3116" w:type="dxa"/>
            <w:vAlign w:val="bottom"/>
          </w:tcPr>
          <w:p w14:paraId="31DD8287" w14:textId="291A6660" w:rsidR="006A527F" w:rsidRDefault="006A527F" w:rsidP="006A527F">
            <w:r>
              <w:t>Dorchester</w:t>
            </w:r>
          </w:p>
        </w:tc>
        <w:tc>
          <w:tcPr>
            <w:tcW w:w="3117" w:type="dxa"/>
            <w:vAlign w:val="bottom"/>
          </w:tcPr>
          <w:p w14:paraId="19E53269" w14:textId="74D63A27" w:rsidR="006A527F" w:rsidRDefault="006A527F" w:rsidP="006A527F">
            <w:r>
              <w:t>1</w:t>
            </w:r>
          </w:p>
        </w:tc>
        <w:tc>
          <w:tcPr>
            <w:tcW w:w="3117" w:type="dxa"/>
            <w:vAlign w:val="bottom"/>
          </w:tcPr>
          <w:p w14:paraId="08CBB6EC" w14:textId="5981DCBB" w:rsidR="006A527F" w:rsidRDefault="006A527F" w:rsidP="006A527F">
            <w:r>
              <w:t>No Smoke Free Ordinance</w:t>
            </w:r>
          </w:p>
        </w:tc>
      </w:tr>
      <w:tr w:rsidR="006A527F" w14:paraId="63EC219F" w14:textId="77777777" w:rsidTr="00A75334">
        <w:tc>
          <w:tcPr>
            <w:tcW w:w="3116" w:type="dxa"/>
            <w:vAlign w:val="bottom"/>
          </w:tcPr>
          <w:p w14:paraId="344748F7" w14:textId="65FDE7CB" w:rsidR="006A527F" w:rsidRDefault="006A527F" w:rsidP="006A527F">
            <w:r>
              <w:t>Edgefield</w:t>
            </w:r>
          </w:p>
        </w:tc>
        <w:tc>
          <w:tcPr>
            <w:tcW w:w="3117" w:type="dxa"/>
            <w:vAlign w:val="bottom"/>
          </w:tcPr>
          <w:p w14:paraId="2DC6F2FD" w14:textId="58B24C3C" w:rsidR="006A527F" w:rsidRDefault="006A527F" w:rsidP="006A527F">
            <w:r>
              <w:t>0</w:t>
            </w:r>
          </w:p>
        </w:tc>
        <w:tc>
          <w:tcPr>
            <w:tcW w:w="3117" w:type="dxa"/>
            <w:vAlign w:val="bottom"/>
          </w:tcPr>
          <w:p w14:paraId="4464A3C9" w14:textId="4B236C71" w:rsidR="006A527F" w:rsidRDefault="006A527F" w:rsidP="006A527F">
            <w:r>
              <w:t>No Smoke Free Ordinance</w:t>
            </w:r>
          </w:p>
        </w:tc>
      </w:tr>
      <w:tr w:rsidR="006A527F" w14:paraId="598BED11" w14:textId="77777777" w:rsidTr="00A75334">
        <w:tc>
          <w:tcPr>
            <w:tcW w:w="3116" w:type="dxa"/>
            <w:vAlign w:val="bottom"/>
          </w:tcPr>
          <w:p w14:paraId="74D2B52A" w14:textId="2904124E" w:rsidR="006A527F" w:rsidRDefault="006A527F" w:rsidP="006A527F">
            <w:r>
              <w:t>Fairfield</w:t>
            </w:r>
          </w:p>
        </w:tc>
        <w:tc>
          <w:tcPr>
            <w:tcW w:w="3117" w:type="dxa"/>
            <w:vAlign w:val="bottom"/>
          </w:tcPr>
          <w:p w14:paraId="527CF562" w14:textId="1C3EF95A" w:rsidR="006A527F" w:rsidRDefault="006A527F" w:rsidP="006A527F">
            <w:r>
              <w:t>0</w:t>
            </w:r>
          </w:p>
        </w:tc>
        <w:tc>
          <w:tcPr>
            <w:tcW w:w="3117" w:type="dxa"/>
            <w:vAlign w:val="bottom"/>
          </w:tcPr>
          <w:p w14:paraId="1EDE8473" w14:textId="36F0C252" w:rsidR="006A527F" w:rsidRDefault="006A527F" w:rsidP="006A527F">
            <w:r>
              <w:t>No Smoke Free Ordinance</w:t>
            </w:r>
          </w:p>
        </w:tc>
      </w:tr>
      <w:tr w:rsidR="006A527F" w14:paraId="08E6331B" w14:textId="77777777" w:rsidTr="00A75334">
        <w:tc>
          <w:tcPr>
            <w:tcW w:w="3116" w:type="dxa"/>
            <w:vAlign w:val="bottom"/>
          </w:tcPr>
          <w:p w14:paraId="68129557" w14:textId="4D5B8859" w:rsidR="006A527F" w:rsidRDefault="006A527F" w:rsidP="006A527F">
            <w:r>
              <w:t>Florence</w:t>
            </w:r>
          </w:p>
        </w:tc>
        <w:tc>
          <w:tcPr>
            <w:tcW w:w="3117" w:type="dxa"/>
            <w:vAlign w:val="bottom"/>
          </w:tcPr>
          <w:p w14:paraId="2BF82796" w14:textId="4B8A9FE3" w:rsidR="006A527F" w:rsidRDefault="006A527F" w:rsidP="006A527F">
            <w:r>
              <w:t>3</w:t>
            </w:r>
          </w:p>
        </w:tc>
        <w:tc>
          <w:tcPr>
            <w:tcW w:w="3117" w:type="dxa"/>
            <w:vAlign w:val="bottom"/>
          </w:tcPr>
          <w:p w14:paraId="6A137E6E" w14:textId="2024B457" w:rsidR="006A527F" w:rsidRDefault="006A527F" w:rsidP="006A527F">
            <w:r>
              <w:t>No Smoke Free Ordinance</w:t>
            </w:r>
          </w:p>
        </w:tc>
      </w:tr>
      <w:tr w:rsidR="006A527F" w14:paraId="1EE636D3" w14:textId="77777777" w:rsidTr="00A75334">
        <w:tc>
          <w:tcPr>
            <w:tcW w:w="3116" w:type="dxa"/>
            <w:vAlign w:val="bottom"/>
          </w:tcPr>
          <w:p w14:paraId="024350EE" w14:textId="3B271E29" w:rsidR="006A527F" w:rsidRDefault="006A527F" w:rsidP="006A527F">
            <w:r>
              <w:t>Georgetown</w:t>
            </w:r>
          </w:p>
        </w:tc>
        <w:tc>
          <w:tcPr>
            <w:tcW w:w="3117" w:type="dxa"/>
            <w:vAlign w:val="bottom"/>
          </w:tcPr>
          <w:p w14:paraId="6B845DD3" w14:textId="66BCD958" w:rsidR="006A527F" w:rsidRDefault="006A527F" w:rsidP="006A527F">
            <w:r>
              <w:t>0</w:t>
            </w:r>
          </w:p>
        </w:tc>
        <w:tc>
          <w:tcPr>
            <w:tcW w:w="3117" w:type="dxa"/>
            <w:vAlign w:val="bottom"/>
          </w:tcPr>
          <w:p w14:paraId="50105DAB" w14:textId="75EAE5A0" w:rsidR="006A527F" w:rsidRDefault="006A527F" w:rsidP="006A527F">
            <w:r>
              <w:t>No Smoke Free Ordinance</w:t>
            </w:r>
          </w:p>
        </w:tc>
      </w:tr>
      <w:tr w:rsidR="006A527F" w14:paraId="3739B542" w14:textId="77777777" w:rsidTr="00A75334">
        <w:tc>
          <w:tcPr>
            <w:tcW w:w="3116" w:type="dxa"/>
            <w:vAlign w:val="bottom"/>
          </w:tcPr>
          <w:p w14:paraId="00D1FDFE" w14:textId="4F78111A" w:rsidR="006A527F" w:rsidRDefault="006A527F" w:rsidP="006A527F">
            <w:r>
              <w:t>Greenville</w:t>
            </w:r>
          </w:p>
        </w:tc>
        <w:tc>
          <w:tcPr>
            <w:tcW w:w="3117" w:type="dxa"/>
            <w:vAlign w:val="bottom"/>
          </w:tcPr>
          <w:p w14:paraId="1309BBBD" w14:textId="4C34F487" w:rsidR="006A527F" w:rsidRDefault="006A527F" w:rsidP="006A527F">
            <w:r>
              <w:t>2</w:t>
            </w:r>
          </w:p>
        </w:tc>
        <w:tc>
          <w:tcPr>
            <w:tcW w:w="3117" w:type="dxa"/>
            <w:vAlign w:val="bottom"/>
          </w:tcPr>
          <w:p w14:paraId="7773F98E" w14:textId="2695AFF8" w:rsidR="006A527F" w:rsidRDefault="006A527F" w:rsidP="006A527F">
            <w:r>
              <w:t>No Smoke Free Ordinance</w:t>
            </w:r>
          </w:p>
        </w:tc>
      </w:tr>
      <w:tr w:rsidR="006A527F" w14:paraId="03E200EE" w14:textId="77777777" w:rsidTr="00A75334">
        <w:tc>
          <w:tcPr>
            <w:tcW w:w="3116" w:type="dxa"/>
            <w:vAlign w:val="bottom"/>
          </w:tcPr>
          <w:p w14:paraId="3BEB8004" w14:textId="578C7729" w:rsidR="006A527F" w:rsidRDefault="006A527F" w:rsidP="006A527F">
            <w:r>
              <w:t>Greenwood</w:t>
            </w:r>
          </w:p>
        </w:tc>
        <w:tc>
          <w:tcPr>
            <w:tcW w:w="3117" w:type="dxa"/>
            <w:vAlign w:val="bottom"/>
          </w:tcPr>
          <w:p w14:paraId="549AE787" w14:textId="42C45755" w:rsidR="006A527F" w:rsidRDefault="006A527F" w:rsidP="006A527F">
            <w:r>
              <w:t>0</w:t>
            </w:r>
          </w:p>
        </w:tc>
        <w:tc>
          <w:tcPr>
            <w:tcW w:w="3117" w:type="dxa"/>
            <w:vAlign w:val="bottom"/>
          </w:tcPr>
          <w:p w14:paraId="55B10A39" w14:textId="01571FE4" w:rsidR="006A527F" w:rsidRDefault="006A527F" w:rsidP="006A527F">
            <w:r>
              <w:t>No Smoke Free Ordinance</w:t>
            </w:r>
          </w:p>
        </w:tc>
      </w:tr>
      <w:tr w:rsidR="006A527F" w14:paraId="02DEE253" w14:textId="77777777" w:rsidTr="00A75334">
        <w:tc>
          <w:tcPr>
            <w:tcW w:w="3116" w:type="dxa"/>
            <w:vAlign w:val="bottom"/>
          </w:tcPr>
          <w:p w14:paraId="104A643C" w14:textId="066F104D" w:rsidR="006A527F" w:rsidRDefault="006A527F" w:rsidP="006A527F">
            <w:r>
              <w:t>Hampton</w:t>
            </w:r>
          </w:p>
        </w:tc>
        <w:tc>
          <w:tcPr>
            <w:tcW w:w="3117" w:type="dxa"/>
            <w:vAlign w:val="bottom"/>
          </w:tcPr>
          <w:p w14:paraId="10F40700" w14:textId="6DD0FC5D" w:rsidR="006A527F" w:rsidRDefault="006A527F" w:rsidP="006A527F">
            <w:r>
              <w:t>3</w:t>
            </w:r>
          </w:p>
        </w:tc>
        <w:tc>
          <w:tcPr>
            <w:tcW w:w="3117" w:type="dxa"/>
            <w:vAlign w:val="bottom"/>
          </w:tcPr>
          <w:p w14:paraId="7CBD3D20" w14:textId="056E6F71" w:rsidR="006A527F" w:rsidRDefault="006A527F" w:rsidP="006A527F">
            <w:r>
              <w:t>No Smoke Free Ordinance</w:t>
            </w:r>
          </w:p>
        </w:tc>
      </w:tr>
      <w:tr w:rsidR="006A527F" w14:paraId="2F9E27EF" w14:textId="77777777" w:rsidTr="00A75334">
        <w:tc>
          <w:tcPr>
            <w:tcW w:w="3116" w:type="dxa"/>
            <w:vAlign w:val="bottom"/>
          </w:tcPr>
          <w:p w14:paraId="3B9D3AA2" w14:textId="78B5F047" w:rsidR="006A527F" w:rsidRDefault="006A527F" w:rsidP="006A527F">
            <w:r>
              <w:t>Horry</w:t>
            </w:r>
          </w:p>
        </w:tc>
        <w:tc>
          <w:tcPr>
            <w:tcW w:w="3117" w:type="dxa"/>
            <w:vAlign w:val="bottom"/>
          </w:tcPr>
          <w:p w14:paraId="19DF2057" w14:textId="76CFD6C4" w:rsidR="006A527F" w:rsidRDefault="006A527F" w:rsidP="006A527F">
            <w:r>
              <w:t>3</w:t>
            </w:r>
          </w:p>
        </w:tc>
        <w:tc>
          <w:tcPr>
            <w:tcW w:w="3117" w:type="dxa"/>
            <w:vAlign w:val="bottom"/>
          </w:tcPr>
          <w:p w14:paraId="1FE858AA" w14:textId="1E6F0A87" w:rsidR="006A527F" w:rsidRDefault="006A527F" w:rsidP="006A527F">
            <w:r>
              <w:t>No Smoke Free Ordinance</w:t>
            </w:r>
          </w:p>
        </w:tc>
      </w:tr>
      <w:tr w:rsidR="006A527F" w14:paraId="758A21F7" w14:textId="77777777" w:rsidTr="00A75334">
        <w:tc>
          <w:tcPr>
            <w:tcW w:w="3116" w:type="dxa"/>
            <w:vAlign w:val="bottom"/>
          </w:tcPr>
          <w:p w14:paraId="616EBBD0" w14:textId="24F3911F" w:rsidR="006A527F" w:rsidRDefault="006A527F" w:rsidP="006A527F">
            <w:r>
              <w:t>Jasper</w:t>
            </w:r>
          </w:p>
        </w:tc>
        <w:tc>
          <w:tcPr>
            <w:tcW w:w="3117" w:type="dxa"/>
            <w:vAlign w:val="bottom"/>
          </w:tcPr>
          <w:p w14:paraId="7027F90B" w14:textId="2F130EF4" w:rsidR="006A527F" w:rsidRDefault="006A527F" w:rsidP="006A527F">
            <w:r>
              <w:t>0</w:t>
            </w:r>
          </w:p>
        </w:tc>
        <w:tc>
          <w:tcPr>
            <w:tcW w:w="3117" w:type="dxa"/>
            <w:vAlign w:val="bottom"/>
          </w:tcPr>
          <w:p w14:paraId="488A1D12" w14:textId="0931856E" w:rsidR="006A527F" w:rsidRDefault="006A527F" w:rsidP="006A527F">
            <w:r>
              <w:t>No Smoke Free Ordinance</w:t>
            </w:r>
          </w:p>
        </w:tc>
      </w:tr>
      <w:tr w:rsidR="006A527F" w14:paraId="72D71FE1" w14:textId="77777777" w:rsidTr="00A75334">
        <w:tc>
          <w:tcPr>
            <w:tcW w:w="3116" w:type="dxa"/>
            <w:vAlign w:val="bottom"/>
          </w:tcPr>
          <w:p w14:paraId="4F45E62F" w14:textId="4BD877D2" w:rsidR="006A527F" w:rsidRDefault="006A527F" w:rsidP="006A527F">
            <w:r>
              <w:t>Kershaw</w:t>
            </w:r>
          </w:p>
        </w:tc>
        <w:tc>
          <w:tcPr>
            <w:tcW w:w="3117" w:type="dxa"/>
            <w:vAlign w:val="bottom"/>
          </w:tcPr>
          <w:p w14:paraId="479C70AA" w14:textId="4A79893B" w:rsidR="006A527F" w:rsidRDefault="006A527F" w:rsidP="006A527F">
            <w:r>
              <w:t>1</w:t>
            </w:r>
          </w:p>
        </w:tc>
        <w:tc>
          <w:tcPr>
            <w:tcW w:w="3117" w:type="dxa"/>
            <w:vAlign w:val="bottom"/>
          </w:tcPr>
          <w:p w14:paraId="579B108F" w14:textId="33928363" w:rsidR="006A527F" w:rsidRDefault="006A527F" w:rsidP="006A527F">
            <w:r>
              <w:t>No Smoke Free Ordinance</w:t>
            </w:r>
          </w:p>
        </w:tc>
      </w:tr>
      <w:tr w:rsidR="006A527F" w14:paraId="069BDC78" w14:textId="77777777" w:rsidTr="00A75334">
        <w:tc>
          <w:tcPr>
            <w:tcW w:w="3116" w:type="dxa"/>
            <w:vAlign w:val="bottom"/>
          </w:tcPr>
          <w:p w14:paraId="41EEE416" w14:textId="16C73679" w:rsidR="006A527F" w:rsidRDefault="006A527F" w:rsidP="006A527F">
            <w:r>
              <w:t>Lancaster</w:t>
            </w:r>
          </w:p>
        </w:tc>
        <w:tc>
          <w:tcPr>
            <w:tcW w:w="3117" w:type="dxa"/>
            <w:vAlign w:val="bottom"/>
          </w:tcPr>
          <w:p w14:paraId="04B108AC" w14:textId="73817AB3" w:rsidR="006A527F" w:rsidRDefault="006A527F" w:rsidP="006A527F">
            <w:r>
              <w:t>4</w:t>
            </w:r>
          </w:p>
        </w:tc>
        <w:tc>
          <w:tcPr>
            <w:tcW w:w="3117" w:type="dxa"/>
            <w:vAlign w:val="bottom"/>
          </w:tcPr>
          <w:p w14:paraId="16A65872" w14:textId="494D0E74" w:rsidR="006A527F" w:rsidRDefault="006A527F" w:rsidP="006A527F">
            <w:r>
              <w:t>Smoke Free County and All Municipalities</w:t>
            </w:r>
          </w:p>
        </w:tc>
      </w:tr>
      <w:tr w:rsidR="006A527F" w14:paraId="25CE1CA1" w14:textId="77777777" w:rsidTr="00A75334">
        <w:tc>
          <w:tcPr>
            <w:tcW w:w="3116" w:type="dxa"/>
            <w:vAlign w:val="bottom"/>
          </w:tcPr>
          <w:p w14:paraId="24658CE9" w14:textId="2C30417F" w:rsidR="006A527F" w:rsidRDefault="006A527F" w:rsidP="006A527F">
            <w:r>
              <w:t>Laurens</w:t>
            </w:r>
          </w:p>
        </w:tc>
        <w:tc>
          <w:tcPr>
            <w:tcW w:w="3117" w:type="dxa"/>
            <w:vAlign w:val="bottom"/>
          </w:tcPr>
          <w:p w14:paraId="66DB8BA7" w14:textId="524D784E" w:rsidR="006A527F" w:rsidRDefault="006A527F" w:rsidP="006A527F">
            <w:r>
              <w:t>0</w:t>
            </w:r>
          </w:p>
        </w:tc>
        <w:tc>
          <w:tcPr>
            <w:tcW w:w="3117" w:type="dxa"/>
            <w:vAlign w:val="bottom"/>
          </w:tcPr>
          <w:p w14:paraId="0F896AAD" w14:textId="010D3A02" w:rsidR="006A527F" w:rsidRDefault="006A527F" w:rsidP="006A527F">
            <w:r>
              <w:t>No Smoke Free Ordinance</w:t>
            </w:r>
          </w:p>
        </w:tc>
      </w:tr>
      <w:tr w:rsidR="006A527F" w14:paraId="3190A94A" w14:textId="77777777" w:rsidTr="00A75334">
        <w:tc>
          <w:tcPr>
            <w:tcW w:w="3116" w:type="dxa"/>
            <w:vAlign w:val="bottom"/>
          </w:tcPr>
          <w:p w14:paraId="6F2D25A7" w14:textId="737700E4" w:rsidR="006A527F" w:rsidRDefault="006A527F" w:rsidP="006A527F">
            <w:r>
              <w:t>Lee</w:t>
            </w:r>
          </w:p>
        </w:tc>
        <w:tc>
          <w:tcPr>
            <w:tcW w:w="3117" w:type="dxa"/>
            <w:vAlign w:val="bottom"/>
          </w:tcPr>
          <w:p w14:paraId="320A575A" w14:textId="376A2470" w:rsidR="006A527F" w:rsidRDefault="006A527F" w:rsidP="006A527F">
            <w:r>
              <w:t>0</w:t>
            </w:r>
          </w:p>
        </w:tc>
        <w:tc>
          <w:tcPr>
            <w:tcW w:w="3117" w:type="dxa"/>
            <w:vAlign w:val="bottom"/>
          </w:tcPr>
          <w:p w14:paraId="51C5EFE3" w14:textId="7E04BA6B" w:rsidR="006A527F" w:rsidRDefault="006A527F" w:rsidP="006A527F">
            <w:r>
              <w:t>No Smoke Free Ordinance</w:t>
            </w:r>
          </w:p>
        </w:tc>
      </w:tr>
      <w:tr w:rsidR="006A527F" w14:paraId="2A516CE6" w14:textId="77777777" w:rsidTr="00A75334">
        <w:tc>
          <w:tcPr>
            <w:tcW w:w="3116" w:type="dxa"/>
            <w:vAlign w:val="bottom"/>
          </w:tcPr>
          <w:p w14:paraId="15BB3CD9" w14:textId="1670A3FE" w:rsidR="006A527F" w:rsidRDefault="006A527F" w:rsidP="006A527F">
            <w:r>
              <w:t>Lexington</w:t>
            </w:r>
          </w:p>
        </w:tc>
        <w:tc>
          <w:tcPr>
            <w:tcW w:w="3117" w:type="dxa"/>
            <w:vAlign w:val="bottom"/>
          </w:tcPr>
          <w:p w14:paraId="4B1A16D1" w14:textId="7A500A2E" w:rsidR="006A527F" w:rsidRDefault="006A527F" w:rsidP="006A527F">
            <w:r>
              <w:t>8</w:t>
            </w:r>
          </w:p>
        </w:tc>
        <w:tc>
          <w:tcPr>
            <w:tcW w:w="3117" w:type="dxa"/>
            <w:vAlign w:val="bottom"/>
          </w:tcPr>
          <w:p w14:paraId="42EA1C6D" w14:textId="6BA38EC7" w:rsidR="006A527F" w:rsidRDefault="006A527F" w:rsidP="006A527F">
            <w:r>
              <w:t>Smoke Free County</w:t>
            </w:r>
          </w:p>
        </w:tc>
      </w:tr>
      <w:tr w:rsidR="006A527F" w14:paraId="16EE0A1D" w14:textId="77777777" w:rsidTr="00A75334">
        <w:tc>
          <w:tcPr>
            <w:tcW w:w="3116" w:type="dxa"/>
            <w:vAlign w:val="bottom"/>
          </w:tcPr>
          <w:p w14:paraId="10CB6B3B" w14:textId="7CA96319" w:rsidR="006A527F" w:rsidRDefault="006A527F" w:rsidP="006A527F">
            <w:r>
              <w:t>Marion</w:t>
            </w:r>
          </w:p>
        </w:tc>
        <w:tc>
          <w:tcPr>
            <w:tcW w:w="3117" w:type="dxa"/>
            <w:vAlign w:val="bottom"/>
          </w:tcPr>
          <w:p w14:paraId="66DD6855" w14:textId="094BAB33" w:rsidR="006A527F" w:rsidRDefault="006A527F" w:rsidP="006A527F">
            <w:r>
              <w:t>0</w:t>
            </w:r>
          </w:p>
        </w:tc>
        <w:tc>
          <w:tcPr>
            <w:tcW w:w="3117" w:type="dxa"/>
            <w:vAlign w:val="bottom"/>
          </w:tcPr>
          <w:p w14:paraId="56F88408" w14:textId="36F37368" w:rsidR="006A527F" w:rsidRDefault="006A527F" w:rsidP="006A527F">
            <w:r>
              <w:t>No Smoke Free Ordinance</w:t>
            </w:r>
          </w:p>
        </w:tc>
      </w:tr>
      <w:tr w:rsidR="006A527F" w14:paraId="36D8ECC2" w14:textId="77777777" w:rsidTr="00A75334">
        <w:tc>
          <w:tcPr>
            <w:tcW w:w="3116" w:type="dxa"/>
            <w:vAlign w:val="bottom"/>
          </w:tcPr>
          <w:p w14:paraId="4506C0E5" w14:textId="349F393E" w:rsidR="006A527F" w:rsidRDefault="006A527F" w:rsidP="006A527F">
            <w:r>
              <w:t>Marlboro</w:t>
            </w:r>
          </w:p>
        </w:tc>
        <w:tc>
          <w:tcPr>
            <w:tcW w:w="3117" w:type="dxa"/>
            <w:vAlign w:val="bottom"/>
          </w:tcPr>
          <w:p w14:paraId="2F22DA2C" w14:textId="5B63DEE8" w:rsidR="006A527F" w:rsidRDefault="006A527F" w:rsidP="006A527F">
            <w:r>
              <w:t>0</w:t>
            </w:r>
          </w:p>
        </w:tc>
        <w:tc>
          <w:tcPr>
            <w:tcW w:w="3117" w:type="dxa"/>
            <w:vAlign w:val="bottom"/>
          </w:tcPr>
          <w:p w14:paraId="6718A0AD" w14:textId="216B4CE4" w:rsidR="006A527F" w:rsidRDefault="006A527F" w:rsidP="006A527F">
            <w:r>
              <w:t>No Smoke Free Ordinance</w:t>
            </w:r>
          </w:p>
        </w:tc>
      </w:tr>
      <w:tr w:rsidR="006A527F" w14:paraId="731D9959" w14:textId="77777777" w:rsidTr="00A75334">
        <w:tc>
          <w:tcPr>
            <w:tcW w:w="3116" w:type="dxa"/>
            <w:vAlign w:val="bottom"/>
          </w:tcPr>
          <w:p w14:paraId="3AFF9522" w14:textId="2C717BCE" w:rsidR="006A527F" w:rsidRDefault="006A527F" w:rsidP="006A527F">
            <w:r>
              <w:lastRenderedPageBreak/>
              <w:t>McCormick</w:t>
            </w:r>
          </w:p>
        </w:tc>
        <w:tc>
          <w:tcPr>
            <w:tcW w:w="3117" w:type="dxa"/>
            <w:vAlign w:val="bottom"/>
          </w:tcPr>
          <w:p w14:paraId="7A091E34" w14:textId="18A7516D" w:rsidR="006A527F" w:rsidRDefault="006A527F" w:rsidP="006A527F">
            <w:r>
              <w:t>0</w:t>
            </w:r>
          </w:p>
        </w:tc>
        <w:tc>
          <w:tcPr>
            <w:tcW w:w="3117" w:type="dxa"/>
            <w:vAlign w:val="bottom"/>
          </w:tcPr>
          <w:p w14:paraId="4AD89D76" w14:textId="65EB6FED" w:rsidR="006A527F" w:rsidRDefault="006A527F" w:rsidP="006A527F">
            <w:r>
              <w:t>No Smoke Free Ordinance</w:t>
            </w:r>
          </w:p>
        </w:tc>
      </w:tr>
      <w:tr w:rsidR="006A527F" w14:paraId="2E4DE61B" w14:textId="77777777" w:rsidTr="00A75334">
        <w:tc>
          <w:tcPr>
            <w:tcW w:w="3116" w:type="dxa"/>
            <w:vAlign w:val="bottom"/>
          </w:tcPr>
          <w:p w14:paraId="5190D13C" w14:textId="1431D32F" w:rsidR="006A527F" w:rsidRDefault="006A527F" w:rsidP="006A527F">
            <w:r>
              <w:t>Newberry</w:t>
            </w:r>
          </w:p>
        </w:tc>
        <w:tc>
          <w:tcPr>
            <w:tcW w:w="3117" w:type="dxa"/>
            <w:vAlign w:val="bottom"/>
          </w:tcPr>
          <w:p w14:paraId="3BB7C5D6" w14:textId="567F5DC2" w:rsidR="006A527F" w:rsidRDefault="006A527F" w:rsidP="006A527F">
            <w:r>
              <w:t>1</w:t>
            </w:r>
          </w:p>
        </w:tc>
        <w:tc>
          <w:tcPr>
            <w:tcW w:w="3117" w:type="dxa"/>
            <w:vAlign w:val="bottom"/>
          </w:tcPr>
          <w:p w14:paraId="142D70D2" w14:textId="6F3CB158" w:rsidR="006A527F" w:rsidRDefault="006A527F" w:rsidP="006A527F">
            <w:r>
              <w:t>No Smoke Free Ordinance</w:t>
            </w:r>
          </w:p>
        </w:tc>
      </w:tr>
      <w:tr w:rsidR="006A527F" w14:paraId="0E878E82" w14:textId="77777777" w:rsidTr="00A75334">
        <w:tc>
          <w:tcPr>
            <w:tcW w:w="3116" w:type="dxa"/>
            <w:vAlign w:val="bottom"/>
          </w:tcPr>
          <w:p w14:paraId="7D816E06" w14:textId="066C5CF5" w:rsidR="006A527F" w:rsidRDefault="006A527F" w:rsidP="006A527F">
            <w:r>
              <w:t>Oconee</w:t>
            </w:r>
          </w:p>
        </w:tc>
        <w:tc>
          <w:tcPr>
            <w:tcW w:w="3117" w:type="dxa"/>
            <w:vAlign w:val="bottom"/>
          </w:tcPr>
          <w:p w14:paraId="6966E2AC" w14:textId="0636CA58" w:rsidR="006A527F" w:rsidRDefault="006A527F" w:rsidP="006A527F">
            <w:r>
              <w:t>0</w:t>
            </w:r>
          </w:p>
        </w:tc>
        <w:tc>
          <w:tcPr>
            <w:tcW w:w="3117" w:type="dxa"/>
            <w:vAlign w:val="bottom"/>
          </w:tcPr>
          <w:p w14:paraId="2B12E27D" w14:textId="7EFD534D" w:rsidR="006A527F" w:rsidRDefault="006A527F" w:rsidP="006A527F">
            <w:r>
              <w:t>No Smoke Free Ordinance</w:t>
            </w:r>
          </w:p>
        </w:tc>
      </w:tr>
      <w:tr w:rsidR="006A527F" w14:paraId="4C0D8933" w14:textId="77777777" w:rsidTr="00A75334">
        <w:tc>
          <w:tcPr>
            <w:tcW w:w="3116" w:type="dxa"/>
            <w:vAlign w:val="bottom"/>
          </w:tcPr>
          <w:p w14:paraId="0172D471" w14:textId="5771C029" w:rsidR="006A527F" w:rsidRDefault="006A527F" w:rsidP="006A527F">
            <w:r>
              <w:t>Orangeburg</w:t>
            </w:r>
          </w:p>
        </w:tc>
        <w:tc>
          <w:tcPr>
            <w:tcW w:w="3117" w:type="dxa"/>
            <w:vAlign w:val="bottom"/>
          </w:tcPr>
          <w:p w14:paraId="2D4CA3E8" w14:textId="41E5C33B" w:rsidR="006A527F" w:rsidRDefault="006A527F" w:rsidP="006A527F">
            <w:r>
              <w:t>0</w:t>
            </w:r>
          </w:p>
        </w:tc>
        <w:tc>
          <w:tcPr>
            <w:tcW w:w="3117" w:type="dxa"/>
            <w:vAlign w:val="bottom"/>
          </w:tcPr>
          <w:p w14:paraId="7038BF3D" w14:textId="267F7C36" w:rsidR="006A527F" w:rsidRDefault="006A527F" w:rsidP="006A527F">
            <w:r>
              <w:t>No Smoke Free Ordinance</w:t>
            </w:r>
          </w:p>
        </w:tc>
      </w:tr>
      <w:tr w:rsidR="006A527F" w14:paraId="5F010144" w14:textId="77777777" w:rsidTr="00A75334">
        <w:tc>
          <w:tcPr>
            <w:tcW w:w="3116" w:type="dxa"/>
            <w:vAlign w:val="bottom"/>
          </w:tcPr>
          <w:p w14:paraId="3E553954" w14:textId="03CCEBED" w:rsidR="006A527F" w:rsidRDefault="006A527F" w:rsidP="006A527F">
            <w:r>
              <w:t>Pickens</w:t>
            </w:r>
          </w:p>
        </w:tc>
        <w:tc>
          <w:tcPr>
            <w:tcW w:w="3117" w:type="dxa"/>
            <w:vAlign w:val="bottom"/>
          </w:tcPr>
          <w:p w14:paraId="66851026" w14:textId="6783A170" w:rsidR="006A527F" w:rsidRDefault="006A527F" w:rsidP="006A527F">
            <w:r>
              <w:t>4</w:t>
            </w:r>
          </w:p>
        </w:tc>
        <w:tc>
          <w:tcPr>
            <w:tcW w:w="3117" w:type="dxa"/>
            <w:vAlign w:val="bottom"/>
          </w:tcPr>
          <w:p w14:paraId="19C96A55" w14:textId="3FD52453" w:rsidR="006A527F" w:rsidRDefault="006A527F" w:rsidP="006A527F">
            <w:r>
              <w:t>No Smoke Free Ordinance</w:t>
            </w:r>
          </w:p>
        </w:tc>
      </w:tr>
      <w:tr w:rsidR="006A527F" w14:paraId="3984327F" w14:textId="77777777" w:rsidTr="00A75334">
        <w:tc>
          <w:tcPr>
            <w:tcW w:w="3116" w:type="dxa"/>
            <w:vAlign w:val="bottom"/>
          </w:tcPr>
          <w:p w14:paraId="449A64FF" w14:textId="6EDF476F" w:rsidR="006A527F" w:rsidRDefault="006A527F" w:rsidP="006A527F">
            <w:r>
              <w:t>Richland</w:t>
            </w:r>
          </w:p>
        </w:tc>
        <w:tc>
          <w:tcPr>
            <w:tcW w:w="3117" w:type="dxa"/>
            <w:vAlign w:val="bottom"/>
          </w:tcPr>
          <w:p w14:paraId="72215590" w14:textId="06C471E0" w:rsidR="006A527F" w:rsidRDefault="006A527F" w:rsidP="006A527F">
            <w:r>
              <w:t>3</w:t>
            </w:r>
          </w:p>
        </w:tc>
        <w:tc>
          <w:tcPr>
            <w:tcW w:w="3117" w:type="dxa"/>
            <w:vAlign w:val="bottom"/>
          </w:tcPr>
          <w:p w14:paraId="03DC67BB" w14:textId="39515E4A" w:rsidR="006A527F" w:rsidRDefault="006A527F" w:rsidP="006A527F">
            <w:r>
              <w:t>Smoke Free County</w:t>
            </w:r>
          </w:p>
        </w:tc>
      </w:tr>
      <w:tr w:rsidR="006A527F" w14:paraId="379A70CB" w14:textId="77777777" w:rsidTr="00A75334">
        <w:tc>
          <w:tcPr>
            <w:tcW w:w="3116" w:type="dxa"/>
            <w:vAlign w:val="bottom"/>
          </w:tcPr>
          <w:p w14:paraId="1F920981" w14:textId="019B1467" w:rsidR="006A527F" w:rsidRDefault="006A527F" w:rsidP="006A527F">
            <w:r>
              <w:t>Saluda</w:t>
            </w:r>
          </w:p>
        </w:tc>
        <w:tc>
          <w:tcPr>
            <w:tcW w:w="3117" w:type="dxa"/>
            <w:vAlign w:val="bottom"/>
          </w:tcPr>
          <w:p w14:paraId="40836BC3" w14:textId="356A6CE4" w:rsidR="006A527F" w:rsidRDefault="006A527F" w:rsidP="006A527F">
            <w:r>
              <w:t>0</w:t>
            </w:r>
          </w:p>
        </w:tc>
        <w:tc>
          <w:tcPr>
            <w:tcW w:w="3117" w:type="dxa"/>
            <w:vAlign w:val="bottom"/>
          </w:tcPr>
          <w:p w14:paraId="0CC9DFC6" w14:textId="4EE02685" w:rsidR="006A527F" w:rsidRDefault="006A527F" w:rsidP="006A527F">
            <w:r>
              <w:t>No Smoke Free Ordinance</w:t>
            </w:r>
          </w:p>
        </w:tc>
      </w:tr>
      <w:tr w:rsidR="006A527F" w14:paraId="5C980473" w14:textId="77777777" w:rsidTr="00A75334">
        <w:tc>
          <w:tcPr>
            <w:tcW w:w="3116" w:type="dxa"/>
            <w:vAlign w:val="bottom"/>
          </w:tcPr>
          <w:p w14:paraId="3AE5E8A0" w14:textId="08328A65" w:rsidR="006A527F" w:rsidRDefault="006A527F" w:rsidP="006A527F">
            <w:r>
              <w:t>Spartanburg</w:t>
            </w:r>
          </w:p>
        </w:tc>
        <w:tc>
          <w:tcPr>
            <w:tcW w:w="3117" w:type="dxa"/>
            <w:vAlign w:val="bottom"/>
          </w:tcPr>
          <w:p w14:paraId="211A038A" w14:textId="15F40283" w:rsidR="006A527F" w:rsidRDefault="006A527F" w:rsidP="006A527F">
            <w:r>
              <w:t>4</w:t>
            </w:r>
          </w:p>
        </w:tc>
        <w:tc>
          <w:tcPr>
            <w:tcW w:w="3117" w:type="dxa"/>
            <w:vAlign w:val="bottom"/>
          </w:tcPr>
          <w:p w14:paraId="7E068E8F" w14:textId="4D110972" w:rsidR="006A527F" w:rsidRDefault="006A527F" w:rsidP="006A527F">
            <w:r>
              <w:t>No Smoke Free Ordinance</w:t>
            </w:r>
          </w:p>
        </w:tc>
      </w:tr>
      <w:tr w:rsidR="006A527F" w14:paraId="404B1137" w14:textId="77777777" w:rsidTr="00A75334">
        <w:tc>
          <w:tcPr>
            <w:tcW w:w="3116" w:type="dxa"/>
            <w:vAlign w:val="bottom"/>
          </w:tcPr>
          <w:p w14:paraId="4EEF9D66" w14:textId="21A43A8D" w:rsidR="006A527F" w:rsidRDefault="006A527F" w:rsidP="006A527F">
            <w:r>
              <w:t>Sumter</w:t>
            </w:r>
          </w:p>
        </w:tc>
        <w:tc>
          <w:tcPr>
            <w:tcW w:w="3117" w:type="dxa"/>
            <w:vAlign w:val="bottom"/>
          </w:tcPr>
          <w:p w14:paraId="597621ED" w14:textId="3466E86C" w:rsidR="006A527F" w:rsidRDefault="006A527F" w:rsidP="006A527F">
            <w:r>
              <w:t>1</w:t>
            </w:r>
          </w:p>
        </w:tc>
        <w:tc>
          <w:tcPr>
            <w:tcW w:w="3117" w:type="dxa"/>
            <w:vAlign w:val="bottom"/>
          </w:tcPr>
          <w:p w14:paraId="24007311" w14:textId="6AEF4FB9" w:rsidR="006A527F" w:rsidRDefault="006A527F" w:rsidP="006A527F">
            <w:r>
              <w:t>No Smoke Free Ordinance</w:t>
            </w:r>
          </w:p>
        </w:tc>
      </w:tr>
      <w:tr w:rsidR="006A527F" w14:paraId="44388D11" w14:textId="77777777" w:rsidTr="00A75334">
        <w:tc>
          <w:tcPr>
            <w:tcW w:w="3116" w:type="dxa"/>
            <w:vAlign w:val="bottom"/>
          </w:tcPr>
          <w:p w14:paraId="1AE0541C" w14:textId="79D259E6" w:rsidR="006A527F" w:rsidRDefault="006A527F" w:rsidP="006A527F">
            <w:r>
              <w:t>Union</w:t>
            </w:r>
          </w:p>
        </w:tc>
        <w:tc>
          <w:tcPr>
            <w:tcW w:w="3117" w:type="dxa"/>
            <w:vAlign w:val="bottom"/>
          </w:tcPr>
          <w:p w14:paraId="2B076394" w14:textId="15CFC9C3" w:rsidR="006A527F" w:rsidRDefault="006A527F" w:rsidP="006A527F">
            <w:r>
              <w:t>0</w:t>
            </w:r>
          </w:p>
        </w:tc>
        <w:tc>
          <w:tcPr>
            <w:tcW w:w="3117" w:type="dxa"/>
            <w:vAlign w:val="bottom"/>
          </w:tcPr>
          <w:p w14:paraId="55840173" w14:textId="5F7C0565" w:rsidR="006A527F" w:rsidRDefault="006A527F" w:rsidP="006A527F">
            <w:r>
              <w:t>No Smoke Free Ordinance</w:t>
            </w:r>
          </w:p>
        </w:tc>
      </w:tr>
      <w:tr w:rsidR="006A527F" w14:paraId="1F106CF3" w14:textId="77777777" w:rsidTr="00A75334">
        <w:tc>
          <w:tcPr>
            <w:tcW w:w="3116" w:type="dxa"/>
            <w:vAlign w:val="bottom"/>
          </w:tcPr>
          <w:p w14:paraId="48889B6B" w14:textId="33E7DF70" w:rsidR="006A527F" w:rsidRDefault="006A527F" w:rsidP="006A527F">
            <w:r>
              <w:t>Williamsburg</w:t>
            </w:r>
          </w:p>
        </w:tc>
        <w:tc>
          <w:tcPr>
            <w:tcW w:w="3117" w:type="dxa"/>
            <w:vAlign w:val="bottom"/>
          </w:tcPr>
          <w:p w14:paraId="3BBF3455" w14:textId="6173AD2B" w:rsidR="006A527F" w:rsidRDefault="006A527F" w:rsidP="006A527F">
            <w:r>
              <w:t>0</w:t>
            </w:r>
          </w:p>
        </w:tc>
        <w:tc>
          <w:tcPr>
            <w:tcW w:w="3117" w:type="dxa"/>
            <w:vAlign w:val="bottom"/>
          </w:tcPr>
          <w:p w14:paraId="31478044" w14:textId="2DC73086" w:rsidR="006A527F" w:rsidRDefault="006A527F" w:rsidP="006A527F">
            <w:r>
              <w:t>No Smoke Free Ordinance</w:t>
            </w:r>
          </w:p>
        </w:tc>
      </w:tr>
      <w:tr w:rsidR="006A527F" w14:paraId="0947086E" w14:textId="77777777" w:rsidTr="00A75334">
        <w:tc>
          <w:tcPr>
            <w:tcW w:w="3116" w:type="dxa"/>
            <w:vAlign w:val="bottom"/>
          </w:tcPr>
          <w:p w14:paraId="54305B40" w14:textId="4D9D5FB8" w:rsidR="006A527F" w:rsidRDefault="006A527F" w:rsidP="006A527F">
            <w:r>
              <w:t>York</w:t>
            </w:r>
          </w:p>
        </w:tc>
        <w:tc>
          <w:tcPr>
            <w:tcW w:w="3117" w:type="dxa"/>
            <w:vAlign w:val="bottom"/>
          </w:tcPr>
          <w:p w14:paraId="5E299032" w14:textId="296DE3EC" w:rsidR="006A527F" w:rsidRDefault="006A527F" w:rsidP="006A527F">
            <w:r>
              <w:t>2</w:t>
            </w:r>
          </w:p>
        </w:tc>
        <w:tc>
          <w:tcPr>
            <w:tcW w:w="3117" w:type="dxa"/>
            <w:vAlign w:val="bottom"/>
          </w:tcPr>
          <w:p w14:paraId="7B8DC838" w14:textId="77CD928C" w:rsidR="006A527F" w:rsidRDefault="006A527F" w:rsidP="006A527F">
            <w:r>
              <w:t>Smoke Free County</w:t>
            </w:r>
          </w:p>
        </w:tc>
      </w:tr>
    </w:tbl>
    <w:p w14:paraId="5D811837" w14:textId="1D3A3B3F" w:rsidR="00823B72" w:rsidRPr="00823B72" w:rsidRDefault="00823B72" w:rsidP="006A527F">
      <w:r w:rsidRPr="00823B72">
        <w:t>Source: SC DHEC Division Smoke-Free County &amp; All Municipalities</w:t>
      </w:r>
      <w:r>
        <w:t xml:space="preserve"> </w:t>
      </w:r>
      <w:r w:rsidRPr="00823B72">
        <w:t>of Tobacco Prevention and</w:t>
      </w:r>
      <w:r>
        <w:t xml:space="preserve"> </w:t>
      </w:r>
      <w:r w:rsidRPr="00823B72">
        <w:t>Control.</w:t>
      </w:r>
    </w:p>
    <w:p w14:paraId="75B3FF58" w14:textId="3C8AE493" w:rsidR="005561F7" w:rsidRDefault="00823B72" w:rsidP="00823B72">
      <w:pPr>
        <w:rPr>
          <w:i/>
          <w:iCs/>
        </w:rPr>
      </w:pPr>
      <w:r w:rsidRPr="00823B72">
        <w:rPr>
          <w:i/>
          <w:iCs/>
        </w:rPr>
        <w:t>Note: As of December 1, 2022.</w:t>
      </w:r>
    </w:p>
    <w:p w14:paraId="3D9D7523" w14:textId="07D715D6" w:rsidR="00823B72" w:rsidRDefault="00823B72" w:rsidP="00823B72"/>
    <w:p w14:paraId="6203AD5C" w14:textId="77777777" w:rsidR="005561F7" w:rsidRPr="005561F7" w:rsidRDefault="005561F7" w:rsidP="005561F7">
      <w:pPr>
        <w:pStyle w:val="Heading4"/>
      </w:pPr>
      <w:bookmarkStart w:id="755" w:name="_Toc162267512"/>
      <w:r w:rsidRPr="005561F7">
        <w:t>Data Interpretations:</w:t>
      </w:r>
      <w:bookmarkEnd w:id="755"/>
      <w:r w:rsidRPr="005561F7">
        <w:t xml:space="preserve"> </w:t>
      </w:r>
    </w:p>
    <w:p w14:paraId="7F25F57C" w14:textId="61A4203C" w:rsidR="005561F7" w:rsidRPr="005561F7" w:rsidRDefault="005561F7" w:rsidP="005561F7">
      <w:r w:rsidRPr="005561F7">
        <w:t xml:space="preserve">Comprehensive smoke-free policies benefit people from all socioeconomic, educational, and racial/ethnic backgrounds by creating environments where people are protected from secondhand smoke and vaping aerosol. Comprehensive smoke-free policies also reduce the social acceptability of smoking and vaping, which can motivate people to attempt to quit. Smoke-free efforts include cessation resources for this reason, as a best practice.  </w:t>
      </w:r>
    </w:p>
    <w:p w14:paraId="7646C872" w14:textId="77777777" w:rsidR="008A08A0" w:rsidRDefault="008A08A0" w:rsidP="005561F7"/>
    <w:p w14:paraId="6E47889C" w14:textId="13956072" w:rsidR="005561F7" w:rsidRPr="005561F7" w:rsidRDefault="005561F7" w:rsidP="005561F7">
      <w:r w:rsidRPr="005561F7">
        <w:t xml:space="preserve">Unfortunately, clean air is not available for everyone in SC. As of Dec. 1, 2022, only 45% of South Carolinians are protected from secondhand smoke or vaping aerosol at work. Even fewer people live in areas with county-wide or city-wide protections </w:t>
      </w:r>
      <w:r w:rsidRPr="005561F7">
        <w:lastRenderedPageBreak/>
        <w:t>(</w:t>
      </w:r>
      <w:r w:rsidRPr="005561F7">
        <w:rPr>
          <w:b/>
          <w:bCs/>
        </w:rPr>
        <w:t>Figure 9.23</w:t>
      </w:r>
      <w:r w:rsidRPr="005561F7">
        <w:t xml:space="preserve">). Data from the SC DHEC Adult Tobacco Survey and SC DHEC Vital Statistics show that among the 17 counties with the highest rates of deaths linked to smoking, 10 do not have any smoke-free or tobacco-free protections (see </w:t>
      </w:r>
      <w:r w:rsidRPr="005561F7">
        <w:rPr>
          <w:b/>
          <w:bCs/>
        </w:rPr>
        <w:t>Figure 9.2</w:t>
      </w:r>
      <w:r w:rsidR="00C91F90">
        <w:rPr>
          <w:b/>
          <w:bCs/>
        </w:rPr>
        <w:t>3</w:t>
      </w:r>
      <w:r w:rsidRPr="005561F7">
        <w:t xml:space="preserve">). Data show that the counties with no protections also have some of the highest rates of lung cancer, diabetes, unemployment, poverty, uninsured people, </w:t>
      </w:r>
      <w:r w:rsidR="00C91F90">
        <w:t xml:space="preserve">and </w:t>
      </w:r>
      <w:r w:rsidRPr="005561F7">
        <w:t>full-benefit Medicaid recipients, are predominately rural</w:t>
      </w:r>
      <w:r w:rsidR="00C91F90">
        <w:t>,</w:t>
      </w:r>
      <w:r w:rsidRPr="005561F7">
        <w:t xml:space="preserve"> and have some of the largest numbers of residents who identify as Black in the state. </w:t>
      </w:r>
    </w:p>
    <w:p w14:paraId="6164BDBC" w14:textId="77777777" w:rsidR="005561F7" w:rsidRDefault="005561F7" w:rsidP="005561F7"/>
    <w:p w14:paraId="529A415A" w14:textId="7BA0AFAD" w:rsidR="008A08A0" w:rsidRDefault="008A08A0" w:rsidP="008A08A0">
      <w:pPr>
        <w:pStyle w:val="Heading5"/>
      </w:pPr>
      <w:r>
        <w:t xml:space="preserve">Key Takeaways: </w:t>
      </w:r>
    </w:p>
    <w:p w14:paraId="4E73D260" w14:textId="20E61193" w:rsidR="008A08A0" w:rsidRPr="008A08A0" w:rsidRDefault="008A08A0" w:rsidP="00926EB3">
      <w:pPr>
        <w:pStyle w:val="ListParagraph"/>
        <w:numPr>
          <w:ilvl w:val="0"/>
          <w:numId w:val="228"/>
        </w:numPr>
      </w:pPr>
      <w:r w:rsidRPr="008A08A0">
        <w:t xml:space="preserve">Uneven air </w:t>
      </w:r>
      <w:r w:rsidR="0060334A" w:rsidRPr="008A08A0">
        <w:t>protections in</w:t>
      </w:r>
      <w:r w:rsidRPr="008A08A0">
        <w:t xml:space="preserve"> SC create disparities where working-class people, non-White people, and rural residents are more likely to be exposed to secondhand smoke and vaping aerosol which can lead to childhood illnesses, low birth weight babies, heart attacks, and lung cancer.  </w:t>
      </w:r>
    </w:p>
    <w:p w14:paraId="00E8B97B" w14:textId="77777777" w:rsidR="008A08A0" w:rsidRDefault="008A08A0" w:rsidP="005561F7"/>
    <w:p w14:paraId="61362C81" w14:textId="5EFBBEA8" w:rsidR="005561F7" w:rsidRPr="005561F7" w:rsidRDefault="005561F7" w:rsidP="005561F7">
      <w:pPr>
        <w:pStyle w:val="Heading4"/>
        <w:rPr>
          <w:rFonts w:asciiTheme="minorHAnsi" w:hAnsiTheme="minorHAnsi" w:cstheme="minorHAnsi"/>
          <w:color w:val="000000" w:themeColor="text1"/>
        </w:rPr>
      </w:pPr>
      <w:bookmarkStart w:id="756" w:name="_Toc162267513"/>
      <w:r w:rsidRPr="005561F7">
        <w:rPr>
          <w:rFonts w:asciiTheme="minorHAnsi" w:hAnsiTheme="minorHAnsi" w:cstheme="minorHAnsi"/>
          <w:color w:val="000000" w:themeColor="text1"/>
        </w:rPr>
        <w:t>References 9.</w:t>
      </w:r>
      <w:r>
        <w:rPr>
          <w:rFonts w:asciiTheme="minorHAnsi" w:hAnsiTheme="minorHAnsi" w:cstheme="minorHAnsi"/>
          <w:color w:val="000000" w:themeColor="text1"/>
        </w:rPr>
        <w:t>12</w:t>
      </w:r>
      <w:bookmarkEnd w:id="756"/>
    </w:p>
    <w:p w14:paraId="71D722A9" w14:textId="77777777" w:rsidR="00115A6A" w:rsidRDefault="005561F7" w:rsidP="00115A6A">
      <w:r w:rsidRPr="005561F7">
        <w:t>Statistics in the preceding section were referenced from the following reports:</w:t>
      </w:r>
      <w:r w:rsidR="00115A6A">
        <w:t xml:space="preserve"> </w:t>
      </w:r>
    </w:p>
    <w:p w14:paraId="3F095823" w14:textId="5E6F6088" w:rsidR="00115A6A" w:rsidRPr="00113B57" w:rsidRDefault="00115A6A" w:rsidP="00115A6A">
      <w:pPr>
        <w:ind w:left="360"/>
      </w:pPr>
      <w:r>
        <w:t xml:space="preserve">43. </w:t>
      </w:r>
      <w:hyperlink r:id="rId346" w:anchor="page=592" w:history="1">
        <w:r w:rsidRPr="00113B57">
          <w:rPr>
            <w:rStyle w:val="Hyperlink"/>
          </w:rPr>
          <w:t>“The Health Consequences of Smoking—50 Years of Progress: A Report of the Surgeon General” </w:t>
        </w:r>
      </w:hyperlink>
      <w:r w:rsidRPr="00113B57">
        <w:t>by the U.S. Department of Health and Human Services, Centers for Disease Control and Prevention, National Center for Chronic Disease Prevention and Health Promotion, Office on Smoking and Health, 2014. Accessed June 15, 2021.</w:t>
      </w:r>
    </w:p>
    <w:p w14:paraId="05E1B5D5" w14:textId="77777777" w:rsidR="00115A6A" w:rsidRPr="005561F7" w:rsidRDefault="00115A6A" w:rsidP="005561F7"/>
    <w:p w14:paraId="53AD87B5" w14:textId="6EBB9189" w:rsidR="00ED5B1E" w:rsidRPr="00ED5B1E" w:rsidRDefault="00ED5B1E" w:rsidP="00926EB3">
      <w:pPr>
        <w:pStyle w:val="ListParagraph"/>
        <w:numPr>
          <w:ilvl w:val="0"/>
          <w:numId w:val="192"/>
        </w:numPr>
      </w:pPr>
      <w:r>
        <w:t>“</w:t>
      </w:r>
      <w:r w:rsidRPr="00ED5B1E">
        <w:t>The Health Consequences of Involuntary Exposure to Tobacco Smoke: A Report of the Surgeon General</w:t>
      </w:r>
      <w:r>
        <w:t xml:space="preserve">” by the </w:t>
      </w:r>
      <w:r w:rsidRPr="00ED5B1E">
        <w:t>U.S. Department of Health and Human Services, Centers for Disease Control and Prevention, Coordinating Center for Health Promotion, National Center for Chronic Disease Prevention and Health Promotion, Office on Smoking and Health, 2006</w:t>
      </w:r>
      <w:r>
        <w:t>. A</w:t>
      </w:r>
      <w:r w:rsidRPr="00ED5B1E">
        <w:t xml:space="preserve">ccessed </w:t>
      </w:r>
      <w:r>
        <w:t>May 12, 2014. No hyperlink.</w:t>
      </w:r>
    </w:p>
    <w:p w14:paraId="433C136E" w14:textId="3B97199F" w:rsidR="00ED5B1E" w:rsidRPr="00ED5B1E" w:rsidRDefault="00ED5B1E" w:rsidP="00926EB3">
      <w:pPr>
        <w:pStyle w:val="ListParagraph"/>
        <w:numPr>
          <w:ilvl w:val="0"/>
          <w:numId w:val="192"/>
        </w:numPr>
      </w:pPr>
      <w:r>
        <w:t>“</w:t>
      </w:r>
      <w:r w:rsidRPr="00ED5B1E">
        <w:t>E-cigarette use among youth and young adults: a report of the Surgeon General</w:t>
      </w:r>
      <w:r>
        <w:t xml:space="preserve">” by the </w:t>
      </w:r>
      <w:r w:rsidRPr="00ED5B1E">
        <w:t xml:space="preserve">US Department of Health and Human Services, CDC; 2016. </w:t>
      </w:r>
      <w:r>
        <w:t>No hyperlink.</w:t>
      </w:r>
    </w:p>
    <w:p w14:paraId="72C23348" w14:textId="5B854740" w:rsidR="00ED5B1E" w:rsidRPr="00ED5B1E" w:rsidRDefault="00ED5B1E" w:rsidP="00926EB3">
      <w:pPr>
        <w:pStyle w:val="ListParagraph"/>
        <w:numPr>
          <w:ilvl w:val="0"/>
          <w:numId w:val="192"/>
        </w:numPr>
      </w:pPr>
      <w:r w:rsidRPr="00ED5B1E">
        <w:t xml:space="preserve">American Nonsmokers’ Rights Foundation’s 2018 state-by-state review of preemption policies, and US Census Data from 2010. </w:t>
      </w:r>
      <w:r>
        <w:t>No hyperlink.</w:t>
      </w:r>
    </w:p>
    <w:p w14:paraId="1F364692" w14:textId="044A1AB3" w:rsidR="00ED5B1E" w:rsidRPr="00ED5B1E" w:rsidRDefault="00ED5B1E" w:rsidP="00926EB3">
      <w:pPr>
        <w:pStyle w:val="ListParagraph"/>
        <w:numPr>
          <w:ilvl w:val="0"/>
          <w:numId w:val="192"/>
        </w:numPr>
      </w:pPr>
      <w:r>
        <w:t>“</w:t>
      </w:r>
      <w:r w:rsidRPr="00ED5B1E">
        <w:t>Vital Signs: Disparities in Tobacco-Related Cancer Incidence and Mortality—United States, 2004–2013,” by the Centers for Disease Control and Prevention</w:t>
      </w:r>
      <w:r>
        <w:t>, 2015.</w:t>
      </w:r>
      <w:r w:rsidRPr="00ED5B1E">
        <w:t xml:space="preserve"> </w:t>
      </w:r>
      <w:r>
        <w:t>No hyperlink.</w:t>
      </w:r>
    </w:p>
    <w:p w14:paraId="003E1ACC" w14:textId="16771865" w:rsidR="00ED5B1E" w:rsidRPr="00ED5B1E" w:rsidRDefault="00ED5B1E" w:rsidP="00926EB3">
      <w:pPr>
        <w:pStyle w:val="ListParagraph"/>
        <w:numPr>
          <w:ilvl w:val="0"/>
          <w:numId w:val="192"/>
        </w:numPr>
      </w:pPr>
      <w:r>
        <w:lastRenderedPageBreak/>
        <w:t>"</w:t>
      </w:r>
      <w:r w:rsidRPr="00ED5B1E">
        <w:t>National and State Estimates of Secondhand Smoke Infiltration Among U.S. Multiunit Housing Residents</w:t>
      </w:r>
      <w:r>
        <w:t xml:space="preserve">” by </w:t>
      </w:r>
      <w:r w:rsidRPr="00ED5B1E">
        <w:t>Brian A. King, PhD, MPH, Stephen D. Babb, MPH, Michael A. Tynan, BA, </w:t>
      </w:r>
      <w:r>
        <w:t xml:space="preserve">and </w:t>
      </w:r>
      <w:r w:rsidRPr="00ED5B1E">
        <w:t xml:space="preserve">Robert B. </w:t>
      </w:r>
      <w:proofErr w:type="spellStart"/>
      <w:r w:rsidRPr="00ED5B1E">
        <w:t>Gerzoff</w:t>
      </w:r>
      <w:proofErr w:type="spellEnd"/>
      <w:r w:rsidRPr="00ED5B1E">
        <w:t xml:space="preserve">, MS. </w:t>
      </w:r>
      <w:r>
        <w:t>No hyperlink.</w:t>
      </w:r>
    </w:p>
    <w:p w14:paraId="6996A9B9" w14:textId="7D854D27" w:rsidR="00ED5B1E" w:rsidRPr="00ED5B1E" w:rsidRDefault="00ED5B1E" w:rsidP="00926EB3">
      <w:pPr>
        <w:pStyle w:val="ListParagraph"/>
        <w:numPr>
          <w:ilvl w:val="0"/>
          <w:numId w:val="192"/>
        </w:numPr>
      </w:pPr>
      <w:r>
        <w:t>“</w:t>
      </w:r>
      <w:r w:rsidRPr="00ED5B1E">
        <w:t>Sociodemographic Disparities in Local Smoke-Free Law Coverage in 10 States</w:t>
      </w:r>
      <w:r>
        <w:t xml:space="preserve">” by </w:t>
      </w:r>
      <w:r w:rsidRPr="00ED5B1E">
        <w:t xml:space="preserve">Huang J, King BA, Babb SD, Xu X, Hallett C, Hopkins M. </w:t>
      </w:r>
      <w:r>
        <w:t xml:space="preserve">Published in the </w:t>
      </w:r>
      <w:r w:rsidRPr="00ED5B1E">
        <w:t>American Journal of Public Health</w:t>
      </w:r>
      <w:r>
        <w:t>,</w:t>
      </w:r>
      <w:r w:rsidRPr="00ED5B1E">
        <w:t xml:space="preserve"> 2015</w:t>
      </w:r>
      <w:r>
        <w:t>.</w:t>
      </w:r>
      <w:r w:rsidRPr="00ED5B1E">
        <w:t xml:space="preserve"> </w:t>
      </w:r>
      <w:r>
        <w:t>A</w:t>
      </w:r>
      <w:r w:rsidRPr="00ED5B1E">
        <w:t xml:space="preserve">ccessed </w:t>
      </w:r>
      <w:r>
        <w:t>March 22, 2022.</w:t>
      </w:r>
      <w:r w:rsidRPr="00ED5B1E">
        <w:t xml:space="preserve"> </w:t>
      </w:r>
      <w:r>
        <w:t>No hyperlink.</w:t>
      </w:r>
    </w:p>
    <w:p w14:paraId="53F9FF17" w14:textId="5999B1F7" w:rsidR="00ED5B1E" w:rsidRPr="00ED5B1E" w:rsidRDefault="00000000" w:rsidP="00926EB3">
      <w:pPr>
        <w:pStyle w:val="ListParagraph"/>
        <w:numPr>
          <w:ilvl w:val="0"/>
          <w:numId w:val="192"/>
        </w:numPr>
        <w:rPr>
          <w:u w:val="thick"/>
        </w:rPr>
      </w:pPr>
      <w:hyperlink r:id="rId347" w:history="1">
        <w:r w:rsidR="00ED5B1E" w:rsidRPr="00ED5B1E">
          <w:rPr>
            <w:rStyle w:val="Hyperlink"/>
          </w:rPr>
          <w:t xml:space="preserve">“State and Local Comprehensive Smoke-Free Laws for Worksites, Restaurants, and Bars — United States, 2015” by Tynan MA, Holmes CB, </w:t>
        </w:r>
        <w:proofErr w:type="spellStart"/>
        <w:r w:rsidR="00ED5B1E" w:rsidRPr="00ED5B1E">
          <w:rPr>
            <w:rStyle w:val="Hyperlink"/>
          </w:rPr>
          <w:t>Promoff</w:t>
        </w:r>
        <w:proofErr w:type="spellEnd"/>
        <w:r w:rsidR="00ED5B1E" w:rsidRPr="00ED5B1E">
          <w:rPr>
            <w:rStyle w:val="Hyperlink"/>
          </w:rPr>
          <w:t xml:space="preserve"> G, Hallett C, Hopkins M, Frick B. Published in MMWR </w:t>
        </w:r>
        <w:proofErr w:type="spellStart"/>
        <w:r w:rsidR="00ED5B1E" w:rsidRPr="00ED5B1E">
          <w:rPr>
            <w:rStyle w:val="Hyperlink"/>
          </w:rPr>
          <w:t>Morb</w:t>
        </w:r>
        <w:proofErr w:type="spellEnd"/>
        <w:r w:rsidR="00ED5B1E" w:rsidRPr="00ED5B1E">
          <w:rPr>
            <w:rStyle w:val="Hyperlink"/>
          </w:rPr>
          <w:t xml:space="preserve"> Mortal </w:t>
        </w:r>
        <w:proofErr w:type="spellStart"/>
        <w:r w:rsidR="00ED5B1E" w:rsidRPr="00ED5B1E">
          <w:rPr>
            <w:rStyle w:val="Hyperlink"/>
          </w:rPr>
          <w:t>Wkly</w:t>
        </w:r>
        <w:proofErr w:type="spellEnd"/>
        <w:r w:rsidR="00ED5B1E" w:rsidRPr="00ED5B1E">
          <w:rPr>
            <w:rStyle w:val="Hyperlink"/>
          </w:rPr>
          <w:t xml:space="preserve"> Rep, 2016.</w:t>
        </w:r>
      </w:hyperlink>
    </w:p>
    <w:p w14:paraId="38BBF843" w14:textId="02CF6800" w:rsidR="00ED5B1E" w:rsidRPr="00ED5B1E" w:rsidRDefault="00ED5B1E" w:rsidP="00926EB3">
      <w:pPr>
        <w:pStyle w:val="ListParagraph"/>
        <w:numPr>
          <w:ilvl w:val="0"/>
          <w:numId w:val="192"/>
        </w:numPr>
      </w:pPr>
      <w:r w:rsidRPr="00ED5B1E">
        <w:t xml:space="preserve">National Program of Cancer Registries SEER*Stat Database (2001-2019) - United States Department of Health and Human Services, Centers for Disease Control and Prevention (based on the 2021 submission). </w:t>
      </w:r>
      <w:r>
        <w:t>No hyperlink.</w:t>
      </w:r>
    </w:p>
    <w:p w14:paraId="1E2FF331" w14:textId="37914809" w:rsidR="00ED5B1E" w:rsidRPr="00ED5B1E" w:rsidRDefault="00ED5B1E" w:rsidP="00926EB3">
      <w:pPr>
        <w:pStyle w:val="ListParagraph"/>
        <w:numPr>
          <w:ilvl w:val="0"/>
          <w:numId w:val="192"/>
        </w:numPr>
      </w:pPr>
      <w:r w:rsidRPr="00ED5B1E">
        <w:t>CDC DHEC BRFSS, 2016-2020, ADA, AADE, and CDC</w:t>
      </w:r>
      <w:r>
        <w:t>.</w:t>
      </w:r>
      <w:r w:rsidRPr="00ED5B1E">
        <w:t xml:space="preserve"> </w:t>
      </w:r>
      <w:r>
        <w:t>No hyperlink.</w:t>
      </w:r>
    </w:p>
    <w:p w14:paraId="309151E7" w14:textId="04D15E01" w:rsidR="00ED5B1E" w:rsidRPr="00ED5B1E" w:rsidRDefault="00000000" w:rsidP="00926EB3">
      <w:pPr>
        <w:pStyle w:val="ListParagraph"/>
        <w:numPr>
          <w:ilvl w:val="0"/>
          <w:numId w:val="192"/>
        </w:numPr>
        <w:rPr>
          <w:u w:val="thick"/>
        </w:rPr>
      </w:pPr>
      <w:hyperlink r:id="rId348" w:anchor="cntyaa" w:history="1">
        <w:r w:rsidR="00ED5B1E" w:rsidRPr="00ED5B1E">
          <w:rPr>
            <w:rStyle w:val="Hyperlink"/>
          </w:rPr>
          <w:t>Tables and maps created by BLS” by the U.S. Bureau of Labor Statistics. Retrieved January 24, 2023.</w:t>
        </w:r>
      </w:hyperlink>
      <w:r w:rsidR="00ED5B1E" w:rsidRPr="00ED5B1E">
        <w:t xml:space="preserve"> </w:t>
      </w:r>
    </w:p>
    <w:p w14:paraId="51FFE01C" w14:textId="70F19375" w:rsidR="00ED5B1E" w:rsidRPr="00ED5B1E" w:rsidRDefault="00000000" w:rsidP="00926EB3">
      <w:pPr>
        <w:pStyle w:val="ListParagraph"/>
        <w:numPr>
          <w:ilvl w:val="0"/>
          <w:numId w:val="192"/>
        </w:numPr>
        <w:rPr>
          <w:u w:val="thick"/>
        </w:rPr>
      </w:pPr>
      <w:hyperlink r:id="rId349" w:anchor="/?s_statefips=45&amp;s_year=2019&amp;s_agecat=4&amp;map_yearSelector=2019" w:history="1">
        <w:r w:rsidR="00ED5B1E" w:rsidRPr="00ED5B1E">
          <w:rPr>
            <w:rStyle w:val="Hyperlink"/>
          </w:rPr>
          <w:t>“</w:t>
        </w:r>
        <w:proofErr w:type="spellStart"/>
        <w:r w:rsidR="00ED5B1E" w:rsidRPr="00ED5B1E">
          <w:rPr>
            <w:rStyle w:val="Hyperlink"/>
          </w:rPr>
          <w:t>Sahie</w:t>
        </w:r>
        <w:proofErr w:type="spellEnd"/>
        <w:r w:rsidR="00ED5B1E" w:rsidRPr="00ED5B1E">
          <w:rPr>
            <w:rStyle w:val="Hyperlink"/>
          </w:rPr>
          <w:t>” by the United States Census Bureau. (n.d.). Retrieved January 24, 2023.</w:t>
        </w:r>
      </w:hyperlink>
    </w:p>
    <w:p w14:paraId="6045802A" w14:textId="47571A63" w:rsidR="00ED5B1E" w:rsidRPr="00ED5B1E" w:rsidRDefault="00000000" w:rsidP="00926EB3">
      <w:pPr>
        <w:pStyle w:val="ListParagraph"/>
        <w:numPr>
          <w:ilvl w:val="0"/>
          <w:numId w:val="192"/>
        </w:numPr>
        <w:rPr>
          <w:u w:val="thick"/>
        </w:rPr>
      </w:pPr>
      <w:hyperlink r:id="rId350" w:anchor="vintage2020" w:history="1">
        <w:r w:rsidR="00ED5B1E" w:rsidRPr="00ED5B1E">
          <w:rPr>
            <w:rStyle w:val="Hyperlink"/>
          </w:rPr>
          <w:t>“Bridged-race population estimates - data files and documentation” by the. Centers for Disease Control and Prevention, 2021. Retrieved January 24, 2023.</w:t>
        </w:r>
      </w:hyperlink>
    </w:p>
    <w:p w14:paraId="6552BDF9" w14:textId="15CE7C0E" w:rsidR="00ED5B1E" w:rsidRPr="00ED5B1E" w:rsidRDefault="00000000" w:rsidP="00926EB3">
      <w:pPr>
        <w:pStyle w:val="ListParagraph"/>
        <w:numPr>
          <w:ilvl w:val="0"/>
          <w:numId w:val="192"/>
        </w:numPr>
        <w:rPr>
          <w:u w:val="thick"/>
        </w:rPr>
      </w:pPr>
      <w:hyperlink r:id="rId351" w:history="1">
        <w:proofErr w:type="spellStart"/>
        <w:r w:rsidR="00ED5B1E" w:rsidRPr="00ED5B1E">
          <w:rPr>
            <w:rStyle w:val="Hyperlink"/>
          </w:rPr>
          <w:t>Schealthviz</w:t>
        </w:r>
        <w:proofErr w:type="spellEnd"/>
        <w:r w:rsidR="00ED5B1E" w:rsidRPr="00ED5B1E">
          <w:rPr>
            <w:rStyle w:val="Hyperlink"/>
          </w:rPr>
          <w:t xml:space="preserve"> - </w:t>
        </w:r>
        <w:proofErr w:type="spellStart"/>
        <w:r w:rsidR="00ED5B1E" w:rsidRPr="00ED5B1E">
          <w:rPr>
            <w:rStyle w:val="Hyperlink"/>
          </w:rPr>
          <w:t>Geospaital</w:t>
        </w:r>
        <w:proofErr w:type="spellEnd"/>
        <w:r w:rsidR="00ED5B1E" w:rsidRPr="00ED5B1E">
          <w:rPr>
            <w:rStyle w:val="Hyperlink"/>
          </w:rPr>
          <w:t xml:space="preserve"> Health, stats, and Policy Research. Home - SC </w:t>
        </w:r>
        <w:proofErr w:type="spellStart"/>
        <w:r w:rsidR="00ED5B1E" w:rsidRPr="00ED5B1E">
          <w:rPr>
            <w:rStyle w:val="Hyperlink"/>
          </w:rPr>
          <w:t>HealthViz</w:t>
        </w:r>
        <w:proofErr w:type="spellEnd"/>
        <w:r w:rsidR="00ED5B1E" w:rsidRPr="00ED5B1E">
          <w:rPr>
            <w:rStyle w:val="Hyperlink"/>
          </w:rPr>
          <w:t xml:space="preserve"> - Geospatial Health, Stats &amp; Policy Research. Retrieved January 24, 2023.</w:t>
        </w:r>
      </w:hyperlink>
      <w:r w:rsidR="00ED5B1E" w:rsidRPr="00ED5B1E">
        <w:t xml:space="preserve"> </w:t>
      </w:r>
    </w:p>
    <w:p w14:paraId="5A61010D" w14:textId="77777777" w:rsidR="005561F7" w:rsidRDefault="005561F7" w:rsidP="005561F7"/>
    <w:p w14:paraId="306A76E4" w14:textId="77777777" w:rsidR="008A08A0" w:rsidRPr="008A08A0" w:rsidRDefault="008A08A0" w:rsidP="008A08A0">
      <w:pPr>
        <w:pStyle w:val="Heading3"/>
      </w:pPr>
      <w:bookmarkStart w:id="757" w:name="_Toc162267514"/>
      <w:r w:rsidRPr="008A08A0">
        <w:t>All Cancers</w:t>
      </w:r>
      <w:bookmarkEnd w:id="757"/>
    </w:p>
    <w:p w14:paraId="4F6BE808" w14:textId="2FA6B8A6" w:rsidR="008A08A0" w:rsidRPr="008A08A0" w:rsidRDefault="008A08A0" w:rsidP="008A08A0">
      <w:pPr>
        <w:rPr>
          <w:b/>
          <w:bCs/>
        </w:rPr>
      </w:pPr>
      <w:r w:rsidRPr="008A08A0">
        <w:t>Cancer is currently the second-leading cause of death among all ages in both SC and the US. A key indicator for evidence of progress against cancer is a decreased cancer death rate, and from 2016 to 2020 the US saw a 7.9% decrease. SC ranks 37th in the nation for all-cancer incidence rate; however, SC ranks 14th in the nation for death rate due to cancer.</w:t>
      </w:r>
      <w:r w:rsidRPr="008A08A0">
        <w:rPr>
          <w:b/>
          <w:bCs/>
        </w:rPr>
        <w:t xml:space="preserve"> </w:t>
      </w:r>
      <w:r w:rsidRPr="008A08A0">
        <w:t xml:space="preserve">Approximately 42% of cancer cases and 45% of cancer deaths are caused by modifiable risk factors such as smoking, having excess body weight, and drinking alcohol. Nationally, Black males have an 18% higher mortality rate from cancer. In 2021, the average inpatient charges for all </w:t>
      </w:r>
      <w:r w:rsidRPr="008A08A0">
        <w:lastRenderedPageBreak/>
        <w:t>cancers was $84,676 which added up to a total economic impact of at least $1,652,829,471 for the state of SC</w:t>
      </w:r>
      <w:r>
        <w:t>.</w:t>
      </w:r>
    </w:p>
    <w:p w14:paraId="108A6461" w14:textId="77777777" w:rsidR="008A08A0" w:rsidRDefault="008A08A0" w:rsidP="005561F7"/>
    <w:p w14:paraId="4D26BD81" w14:textId="77777777" w:rsidR="008A08A0" w:rsidRDefault="008A08A0" w:rsidP="008A08A0">
      <w:pPr>
        <w:pStyle w:val="Heading4"/>
      </w:pPr>
      <w:bookmarkStart w:id="758" w:name="_Toc154576505"/>
      <w:bookmarkStart w:id="759" w:name="_Toc162267515"/>
      <w:r>
        <w:t>Table 9.2: Leading Number of New Cases of Cancer.</w:t>
      </w:r>
      <w:bookmarkEnd w:id="758"/>
      <w:bookmarkEnd w:id="759"/>
    </w:p>
    <w:p w14:paraId="6240EAE2" w14:textId="77777777" w:rsidR="008A08A0" w:rsidRDefault="008A08A0" w:rsidP="008A08A0">
      <w:pPr>
        <w:pStyle w:val="Heading5"/>
      </w:pPr>
      <w:r>
        <w:t>2019.</w:t>
      </w:r>
    </w:p>
    <w:tbl>
      <w:tblPr>
        <w:tblStyle w:val="TableGrid"/>
        <w:tblW w:w="0" w:type="auto"/>
        <w:tblLook w:val="04A0" w:firstRow="1" w:lastRow="0" w:firstColumn="1" w:lastColumn="0" w:noHBand="0" w:noVBand="1"/>
      </w:tblPr>
      <w:tblGrid>
        <w:gridCol w:w="4675"/>
        <w:gridCol w:w="4675"/>
      </w:tblGrid>
      <w:tr w:rsidR="008A08A0" w14:paraId="6FA24619" w14:textId="77777777" w:rsidTr="001B41BD">
        <w:tc>
          <w:tcPr>
            <w:tcW w:w="4675" w:type="dxa"/>
          </w:tcPr>
          <w:p w14:paraId="6F7FC4F4" w14:textId="77777777" w:rsidR="008A08A0" w:rsidRDefault="008A08A0" w:rsidP="001B41BD">
            <w:r>
              <w:t>Cancer Type</w:t>
            </w:r>
          </w:p>
        </w:tc>
        <w:tc>
          <w:tcPr>
            <w:tcW w:w="4675" w:type="dxa"/>
          </w:tcPr>
          <w:p w14:paraId="13B3B137" w14:textId="77777777" w:rsidR="008A08A0" w:rsidRDefault="008A08A0" w:rsidP="001B41BD">
            <w:r>
              <w:t>Number</w:t>
            </w:r>
          </w:p>
        </w:tc>
      </w:tr>
      <w:tr w:rsidR="008A08A0" w14:paraId="0BFAD092" w14:textId="77777777" w:rsidTr="001B41BD">
        <w:tc>
          <w:tcPr>
            <w:tcW w:w="4675" w:type="dxa"/>
          </w:tcPr>
          <w:p w14:paraId="3F6812FC" w14:textId="77777777" w:rsidR="008A08A0" w:rsidRDefault="008A08A0" w:rsidP="001B41BD">
            <w:r>
              <w:t>Total</w:t>
            </w:r>
          </w:p>
        </w:tc>
        <w:tc>
          <w:tcPr>
            <w:tcW w:w="4675" w:type="dxa"/>
          </w:tcPr>
          <w:p w14:paraId="16AD2896" w14:textId="77777777" w:rsidR="008A08A0" w:rsidRDefault="008A08A0" w:rsidP="001B41BD">
            <w:r>
              <w:t>28,296</w:t>
            </w:r>
          </w:p>
        </w:tc>
      </w:tr>
      <w:tr w:rsidR="008A08A0" w14:paraId="1E77C16E" w14:textId="77777777" w:rsidTr="001B41BD">
        <w:tc>
          <w:tcPr>
            <w:tcW w:w="4675" w:type="dxa"/>
            <w:vAlign w:val="bottom"/>
          </w:tcPr>
          <w:p w14:paraId="30202EDB" w14:textId="77777777" w:rsidR="008A08A0" w:rsidRDefault="008A08A0" w:rsidP="001B41BD">
            <w:r>
              <w:t>Female Breast</w:t>
            </w:r>
          </w:p>
        </w:tc>
        <w:tc>
          <w:tcPr>
            <w:tcW w:w="4675" w:type="dxa"/>
            <w:vAlign w:val="bottom"/>
          </w:tcPr>
          <w:p w14:paraId="5DB25BC7" w14:textId="77777777" w:rsidR="008A08A0" w:rsidRDefault="008A08A0" w:rsidP="001B41BD">
            <w:r>
              <w:t>4,545</w:t>
            </w:r>
          </w:p>
        </w:tc>
      </w:tr>
      <w:tr w:rsidR="008A08A0" w14:paraId="62C6C45F" w14:textId="77777777" w:rsidTr="001B41BD">
        <w:tc>
          <w:tcPr>
            <w:tcW w:w="4675" w:type="dxa"/>
            <w:vAlign w:val="bottom"/>
          </w:tcPr>
          <w:p w14:paraId="73444E28" w14:textId="77777777" w:rsidR="008A08A0" w:rsidRDefault="008A08A0" w:rsidP="001B41BD">
            <w:r>
              <w:t>Lung &amp; Bronchus</w:t>
            </w:r>
          </w:p>
        </w:tc>
        <w:tc>
          <w:tcPr>
            <w:tcW w:w="4675" w:type="dxa"/>
            <w:vAlign w:val="bottom"/>
          </w:tcPr>
          <w:p w14:paraId="1E775363" w14:textId="77777777" w:rsidR="008A08A0" w:rsidRDefault="008A08A0" w:rsidP="001B41BD">
            <w:r>
              <w:t>4,100</w:t>
            </w:r>
          </w:p>
        </w:tc>
      </w:tr>
      <w:tr w:rsidR="008A08A0" w14:paraId="24554BD2" w14:textId="77777777" w:rsidTr="001B41BD">
        <w:tc>
          <w:tcPr>
            <w:tcW w:w="4675" w:type="dxa"/>
            <w:vAlign w:val="bottom"/>
          </w:tcPr>
          <w:p w14:paraId="7E684E52" w14:textId="77777777" w:rsidR="008A08A0" w:rsidRDefault="008A08A0" w:rsidP="001B41BD">
            <w:r>
              <w:t>Prostate</w:t>
            </w:r>
          </w:p>
        </w:tc>
        <w:tc>
          <w:tcPr>
            <w:tcW w:w="4675" w:type="dxa"/>
            <w:vAlign w:val="bottom"/>
          </w:tcPr>
          <w:p w14:paraId="02918984" w14:textId="77777777" w:rsidR="008A08A0" w:rsidRDefault="008A08A0" w:rsidP="001B41BD">
            <w:r>
              <w:t>3,715</w:t>
            </w:r>
          </w:p>
        </w:tc>
      </w:tr>
      <w:tr w:rsidR="008A08A0" w14:paraId="619984DD" w14:textId="77777777" w:rsidTr="001B41BD">
        <w:tc>
          <w:tcPr>
            <w:tcW w:w="4675" w:type="dxa"/>
            <w:vAlign w:val="bottom"/>
          </w:tcPr>
          <w:p w14:paraId="774A79F9" w14:textId="77777777" w:rsidR="008A08A0" w:rsidRDefault="008A08A0" w:rsidP="001B41BD">
            <w:r>
              <w:t>Colon &amp; Rectum</w:t>
            </w:r>
          </w:p>
        </w:tc>
        <w:tc>
          <w:tcPr>
            <w:tcW w:w="4675" w:type="dxa"/>
            <w:vAlign w:val="bottom"/>
          </w:tcPr>
          <w:p w14:paraId="7F364F9F" w14:textId="77777777" w:rsidR="008A08A0" w:rsidRDefault="008A08A0" w:rsidP="001B41BD">
            <w:r>
              <w:t>2,353</w:t>
            </w:r>
          </w:p>
        </w:tc>
      </w:tr>
      <w:tr w:rsidR="008A08A0" w14:paraId="13207AA4" w14:textId="77777777" w:rsidTr="001B41BD">
        <w:tc>
          <w:tcPr>
            <w:tcW w:w="4675" w:type="dxa"/>
            <w:vAlign w:val="bottom"/>
          </w:tcPr>
          <w:p w14:paraId="598B0719" w14:textId="77777777" w:rsidR="008A08A0" w:rsidRDefault="008A08A0" w:rsidP="001B41BD">
            <w:r>
              <w:t>Melanoma</w:t>
            </w:r>
          </w:p>
        </w:tc>
        <w:tc>
          <w:tcPr>
            <w:tcW w:w="4675" w:type="dxa"/>
            <w:vAlign w:val="bottom"/>
          </w:tcPr>
          <w:p w14:paraId="459C2ABD" w14:textId="77777777" w:rsidR="008A08A0" w:rsidRDefault="008A08A0" w:rsidP="001B41BD">
            <w:r>
              <w:t>1,317</w:t>
            </w:r>
          </w:p>
        </w:tc>
      </w:tr>
    </w:tbl>
    <w:p w14:paraId="600DA138" w14:textId="77777777" w:rsidR="008A08A0" w:rsidRDefault="008A08A0" w:rsidP="008A08A0">
      <w:pPr>
        <w:pStyle w:val="Heading5"/>
      </w:pPr>
      <w:r>
        <w:t>2020.</w:t>
      </w:r>
    </w:p>
    <w:tbl>
      <w:tblPr>
        <w:tblStyle w:val="TableGrid"/>
        <w:tblW w:w="0" w:type="auto"/>
        <w:tblLook w:val="04A0" w:firstRow="1" w:lastRow="0" w:firstColumn="1" w:lastColumn="0" w:noHBand="0" w:noVBand="1"/>
      </w:tblPr>
      <w:tblGrid>
        <w:gridCol w:w="4675"/>
        <w:gridCol w:w="4675"/>
      </w:tblGrid>
      <w:tr w:rsidR="008A08A0" w14:paraId="0C0C4EFB" w14:textId="77777777" w:rsidTr="001B41BD">
        <w:tc>
          <w:tcPr>
            <w:tcW w:w="4675" w:type="dxa"/>
          </w:tcPr>
          <w:p w14:paraId="05EED1AA" w14:textId="77777777" w:rsidR="008A08A0" w:rsidRDefault="008A08A0" w:rsidP="001B41BD">
            <w:r>
              <w:t>Cancer Type</w:t>
            </w:r>
          </w:p>
        </w:tc>
        <w:tc>
          <w:tcPr>
            <w:tcW w:w="4675" w:type="dxa"/>
          </w:tcPr>
          <w:p w14:paraId="35EE24F3" w14:textId="77777777" w:rsidR="008A08A0" w:rsidRDefault="008A08A0" w:rsidP="001B41BD">
            <w:r>
              <w:t>Number</w:t>
            </w:r>
          </w:p>
        </w:tc>
      </w:tr>
      <w:tr w:rsidR="008A08A0" w14:paraId="2D9E2B73" w14:textId="77777777" w:rsidTr="001B41BD">
        <w:tc>
          <w:tcPr>
            <w:tcW w:w="4675" w:type="dxa"/>
          </w:tcPr>
          <w:p w14:paraId="4F3E9859" w14:textId="77777777" w:rsidR="008A08A0" w:rsidRDefault="008A08A0" w:rsidP="001B41BD">
            <w:r>
              <w:t>Total</w:t>
            </w:r>
          </w:p>
        </w:tc>
        <w:tc>
          <w:tcPr>
            <w:tcW w:w="4675" w:type="dxa"/>
          </w:tcPr>
          <w:p w14:paraId="2F676BC5" w14:textId="77777777" w:rsidR="008A08A0" w:rsidRDefault="008A08A0" w:rsidP="001B41BD">
            <w:r>
              <w:t>10,793</w:t>
            </w:r>
          </w:p>
        </w:tc>
      </w:tr>
      <w:tr w:rsidR="008A08A0" w14:paraId="68527054" w14:textId="77777777" w:rsidTr="001B41BD">
        <w:tc>
          <w:tcPr>
            <w:tcW w:w="4675" w:type="dxa"/>
            <w:vAlign w:val="bottom"/>
          </w:tcPr>
          <w:p w14:paraId="27F5AE2D" w14:textId="77777777" w:rsidR="008A08A0" w:rsidRDefault="008A08A0" w:rsidP="001B41BD">
            <w:r>
              <w:t>Lung &amp; Bronchus</w:t>
            </w:r>
          </w:p>
        </w:tc>
        <w:tc>
          <w:tcPr>
            <w:tcW w:w="4675" w:type="dxa"/>
            <w:vAlign w:val="bottom"/>
          </w:tcPr>
          <w:p w14:paraId="1727AE32" w14:textId="77777777" w:rsidR="008A08A0" w:rsidRDefault="008A08A0" w:rsidP="001B41BD">
            <w:r>
              <w:t>2,692</w:t>
            </w:r>
          </w:p>
        </w:tc>
      </w:tr>
      <w:tr w:rsidR="008A08A0" w14:paraId="5B81B953" w14:textId="77777777" w:rsidTr="001B41BD">
        <w:tc>
          <w:tcPr>
            <w:tcW w:w="4675" w:type="dxa"/>
            <w:vAlign w:val="bottom"/>
          </w:tcPr>
          <w:p w14:paraId="3DAC4140" w14:textId="77777777" w:rsidR="008A08A0" w:rsidRDefault="008A08A0" w:rsidP="001B41BD">
            <w:r>
              <w:t>Colon &amp; Rectum</w:t>
            </w:r>
          </w:p>
        </w:tc>
        <w:tc>
          <w:tcPr>
            <w:tcW w:w="4675" w:type="dxa"/>
            <w:vAlign w:val="bottom"/>
          </w:tcPr>
          <w:p w14:paraId="144FFBF6" w14:textId="77777777" w:rsidR="008A08A0" w:rsidRDefault="008A08A0" w:rsidP="001B41BD">
            <w:r>
              <w:t>898</w:t>
            </w:r>
          </w:p>
        </w:tc>
      </w:tr>
      <w:tr w:rsidR="008A08A0" w14:paraId="1DAF792E" w14:textId="77777777" w:rsidTr="001B41BD">
        <w:tc>
          <w:tcPr>
            <w:tcW w:w="4675" w:type="dxa"/>
            <w:vAlign w:val="bottom"/>
          </w:tcPr>
          <w:p w14:paraId="1AAF7E65" w14:textId="77777777" w:rsidR="008A08A0" w:rsidRDefault="008A08A0" w:rsidP="001B41BD">
            <w:r>
              <w:t>Pancreas</w:t>
            </w:r>
          </w:p>
        </w:tc>
        <w:tc>
          <w:tcPr>
            <w:tcW w:w="4675" w:type="dxa"/>
            <w:vAlign w:val="bottom"/>
          </w:tcPr>
          <w:p w14:paraId="5990A8FB" w14:textId="77777777" w:rsidR="008A08A0" w:rsidRDefault="008A08A0" w:rsidP="001B41BD">
            <w:r>
              <w:t>799</w:t>
            </w:r>
          </w:p>
        </w:tc>
      </w:tr>
      <w:tr w:rsidR="008A08A0" w14:paraId="7E88F6F9" w14:textId="77777777" w:rsidTr="001B41BD">
        <w:tc>
          <w:tcPr>
            <w:tcW w:w="4675" w:type="dxa"/>
            <w:vAlign w:val="bottom"/>
          </w:tcPr>
          <w:p w14:paraId="6FC8A4F0" w14:textId="77777777" w:rsidR="008A08A0" w:rsidRDefault="008A08A0" w:rsidP="001B41BD">
            <w:r>
              <w:t>Female Breast</w:t>
            </w:r>
          </w:p>
        </w:tc>
        <w:tc>
          <w:tcPr>
            <w:tcW w:w="4675" w:type="dxa"/>
            <w:vAlign w:val="bottom"/>
          </w:tcPr>
          <w:p w14:paraId="7F6C731C" w14:textId="77777777" w:rsidR="008A08A0" w:rsidRDefault="008A08A0" w:rsidP="001B41BD">
            <w:r>
              <w:t>796</w:t>
            </w:r>
          </w:p>
        </w:tc>
      </w:tr>
      <w:tr w:rsidR="008A08A0" w14:paraId="608C5DBF" w14:textId="77777777" w:rsidTr="001B41BD">
        <w:tc>
          <w:tcPr>
            <w:tcW w:w="4675" w:type="dxa"/>
            <w:vAlign w:val="bottom"/>
          </w:tcPr>
          <w:p w14:paraId="6777ADC2" w14:textId="77777777" w:rsidR="008A08A0" w:rsidRDefault="008A08A0" w:rsidP="001B41BD">
            <w:r>
              <w:t>Prostate</w:t>
            </w:r>
          </w:p>
        </w:tc>
        <w:tc>
          <w:tcPr>
            <w:tcW w:w="4675" w:type="dxa"/>
            <w:vAlign w:val="bottom"/>
          </w:tcPr>
          <w:p w14:paraId="7551DCB1" w14:textId="77777777" w:rsidR="008A08A0" w:rsidRDefault="008A08A0" w:rsidP="001B41BD">
            <w:r>
              <w:t>600</w:t>
            </w:r>
          </w:p>
        </w:tc>
      </w:tr>
    </w:tbl>
    <w:p w14:paraId="03F5545D" w14:textId="77777777" w:rsidR="008A08A0" w:rsidRDefault="008A08A0" w:rsidP="008A08A0">
      <w:r w:rsidRPr="00122D44">
        <w:t>Sources: SC DHEC CCR, SC DHEC Vital Statistics.</w:t>
      </w:r>
    </w:p>
    <w:p w14:paraId="74D41614" w14:textId="77777777" w:rsidR="008A08A0" w:rsidRDefault="008A08A0" w:rsidP="008A08A0"/>
    <w:p w14:paraId="75B21D71" w14:textId="77777777" w:rsidR="008A08A0" w:rsidRDefault="008A08A0" w:rsidP="008A08A0">
      <w:pPr>
        <w:pStyle w:val="Heading4"/>
      </w:pPr>
      <w:bookmarkStart w:id="760" w:name="_Toc154576506"/>
      <w:bookmarkStart w:id="761" w:name="_Toc162267516"/>
      <w:r>
        <w:t>Figure 9.24: All Cancer Incidence.</w:t>
      </w:r>
      <w:bookmarkEnd w:id="760"/>
      <w:bookmarkEnd w:id="761"/>
    </w:p>
    <w:p w14:paraId="4D2077F4" w14:textId="77777777" w:rsidR="008A08A0" w:rsidRDefault="008A08A0" w:rsidP="008A08A0">
      <w:pPr>
        <w:pStyle w:val="Heading5"/>
      </w:pPr>
      <w:r>
        <w:t>Rate per 100,000 population.</w:t>
      </w:r>
    </w:p>
    <w:tbl>
      <w:tblPr>
        <w:tblStyle w:val="TableGrid"/>
        <w:tblW w:w="0" w:type="auto"/>
        <w:tblLook w:val="04A0" w:firstRow="1" w:lastRow="0" w:firstColumn="1" w:lastColumn="0" w:noHBand="0" w:noVBand="1"/>
      </w:tblPr>
      <w:tblGrid>
        <w:gridCol w:w="3116"/>
        <w:gridCol w:w="3117"/>
        <w:gridCol w:w="3117"/>
      </w:tblGrid>
      <w:tr w:rsidR="008A08A0" w14:paraId="51A1957E" w14:textId="77777777" w:rsidTr="001B41BD">
        <w:tc>
          <w:tcPr>
            <w:tcW w:w="3116" w:type="dxa"/>
            <w:vAlign w:val="bottom"/>
          </w:tcPr>
          <w:p w14:paraId="71A6A7E0" w14:textId="77777777" w:rsidR="008A08A0" w:rsidRDefault="008A08A0" w:rsidP="001B41BD">
            <w:r>
              <w:t>Years</w:t>
            </w:r>
          </w:p>
        </w:tc>
        <w:tc>
          <w:tcPr>
            <w:tcW w:w="3117" w:type="dxa"/>
            <w:vAlign w:val="bottom"/>
          </w:tcPr>
          <w:p w14:paraId="21832D38" w14:textId="77777777" w:rsidR="008A08A0" w:rsidRDefault="008A08A0" w:rsidP="001B41BD">
            <w:r>
              <w:t>South Carolina</w:t>
            </w:r>
          </w:p>
        </w:tc>
        <w:tc>
          <w:tcPr>
            <w:tcW w:w="3117" w:type="dxa"/>
            <w:vAlign w:val="bottom"/>
          </w:tcPr>
          <w:p w14:paraId="406A85F3" w14:textId="77777777" w:rsidR="008A08A0" w:rsidRDefault="008A08A0" w:rsidP="001B41BD">
            <w:r>
              <w:t>United States</w:t>
            </w:r>
          </w:p>
        </w:tc>
      </w:tr>
      <w:tr w:rsidR="008A08A0" w14:paraId="6C225308" w14:textId="77777777" w:rsidTr="001B41BD">
        <w:tc>
          <w:tcPr>
            <w:tcW w:w="3116" w:type="dxa"/>
            <w:vAlign w:val="bottom"/>
          </w:tcPr>
          <w:p w14:paraId="3EF0D0ED" w14:textId="77777777" w:rsidR="008A08A0" w:rsidRDefault="008A08A0" w:rsidP="001B41BD">
            <w:r>
              <w:t>2011-2015</w:t>
            </w:r>
          </w:p>
        </w:tc>
        <w:tc>
          <w:tcPr>
            <w:tcW w:w="3117" w:type="dxa"/>
            <w:vAlign w:val="bottom"/>
          </w:tcPr>
          <w:p w14:paraId="378BD8E2" w14:textId="77777777" w:rsidR="008A08A0" w:rsidRDefault="008A08A0" w:rsidP="001B41BD">
            <w:r>
              <w:t>466.1</w:t>
            </w:r>
          </w:p>
        </w:tc>
        <w:tc>
          <w:tcPr>
            <w:tcW w:w="3117" w:type="dxa"/>
            <w:vAlign w:val="bottom"/>
          </w:tcPr>
          <w:p w14:paraId="0B0C2634" w14:textId="77777777" w:rsidR="008A08A0" w:rsidRDefault="008A08A0" w:rsidP="001B41BD">
            <w:r>
              <w:t>459.0</w:t>
            </w:r>
          </w:p>
        </w:tc>
      </w:tr>
      <w:tr w:rsidR="008A08A0" w14:paraId="7C02A30A" w14:textId="77777777" w:rsidTr="001B41BD">
        <w:tc>
          <w:tcPr>
            <w:tcW w:w="3116" w:type="dxa"/>
            <w:vAlign w:val="bottom"/>
          </w:tcPr>
          <w:p w14:paraId="7BD8584F" w14:textId="77777777" w:rsidR="008A08A0" w:rsidRDefault="008A08A0" w:rsidP="001B41BD">
            <w:r>
              <w:t>2012-2016</w:t>
            </w:r>
          </w:p>
        </w:tc>
        <w:tc>
          <w:tcPr>
            <w:tcW w:w="3117" w:type="dxa"/>
            <w:vAlign w:val="bottom"/>
          </w:tcPr>
          <w:p w14:paraId="35C0B906" w14:textId="77777777" w:rsidR="008A08A0" w:rsidRDefault="008A08A0" w:rsidP="001B41BD">
            <w:r>
              <w:t>462.7</w:t>
            </w:r>
          </w:p>
        </w:tc>
        <w:tc>
          <w:tcPr>
            <w:tcW w:w="3117" w:type="dxa"/>
            <w:vAlign w:val="bottom"/>
          </w:tcPr>
          <w:p w14:paraId="3D86EB6E" w14:textId="77777777" w:rsidR="008A08A0" w:rsidRDefault="008A08A0" w:rsidP="001B41BD">
            <w:r>
              <w:t>455.9</w:t>
            </w:r>
          </w:p>
        </w:tc>
      </w:tr>
      <w:tr w:rsidR="008A08A0" w14:paraId="78C76C80" w14:textId="77777777" w:rsidTr="001B41BD">
        <w:tc>
          <w:tcPr>
            <w:tcW w:w="3116" w:type="dxa"/>
            <w:vAlign w:val="bottom"/>
          </w:tcPr>
          <w:p w14:paraId="0C35ACCC" w14:textId="77777777" w:rsidR="008A08A0" w:rsidRDefault="008A08A0" w:rsidP="001B41BD">
            <w:r>
              <w:t>2013-2017</w:t>
            </w:r>
          </w:p>
        </w:tc>
        <w:tc>
          <w:tcPr>
            <w:tcW w:w="3117" w:type="dxa"/>
            <w:vAlign w:val="bottom"/>
          </w:tcPr>
          <w:p w14:paraId="0232D2D3" w14:textId="77777777" w:rsidR="008A08A0" w:rsidRDefault="008A08A0" w:rsidP="001B41BD">
            <w:r>
              <w:t>457.7</w:t>
            </w:r>
          </w:p>
        </w:tc>
        <w:tc>
          <w:tcPr>
            <w:tcW w:w="3117" w:type="dxa"/>
            <w:vAlign w:val="bottom"/>
          </w:tcPr>
          <w:p w14:paraId="72CE8B6B" w14:textId="77777777" w:rsidR="008A08A0" w:rsidRDefault="008A08A0" w:rsidP="001B41BD">
            <w:r>
              <w:t>454.6</w:t>
            </w:r>
          </w:p>
        </w:tc>
      </w:tr>
      <w:tr w:rsidR="008A08A0" w14:paraId="326F0B8F" w14:textId="77777777" w:rsidTr="001B41BD">
        <w:tc>
          <w:tcPr>
            <w:tcW w:w="3116" w:type="dxa"/>
            <w:vAlign w:val="bottom"/>
          </w:tcPr>
          <w:p w14:paraId="159A592C" w14:textId="77777777" w:rsidR="008A08A0" w:rsidRDefault="008A08A0" w:rsidP="001B41BD">
            <w:r>
              <w:t>2014-2018</w:t>
            </w:r>
          </w:p>
        </w:tc>
        <w:tc>
          <w:tcPr>
            <w:tcW w:w="3117" w:type="dxa"/>
            <w:vAlign w:val="bottom"/>
          </w:tcPr>
          <w:p w14:paraId="5D5BAB66" w14:textId="77777777" w:rsidR="008A08A0" w:rsidRDefault="008A08A0" w:rsidP="001B41BD">
            <w:r>
              <w:t>452.2</w:t>
            </w:r>
          </w:p>
        </w:tc>
        <w:tc>
          <w:tcPr>
            <w:tcW w:w="3117" w:type="dxa"/>
            <w:vAlign w:val="bottom"/>
          </w:tcPr>
          <w:p w14:paraId="20CB4DA9" w14:textId="77777777" w:rsidR="008A08A0" w:rsidRDefault="008A08A0" w:rsidP="001B41BD">
            <w:r>
              <w:t>452.4</w:t>
            </w:r>
          </w:p>
        </w:tc>
      </w:tr>
      <w:tr w:rsidR="008A08A0" w14:paraId="53492A52" w14:textId="77777777" w:rsidTr="001B41BD">
        <w:tc>
          <w:tcPr>
            <w:tcW w:w="3116" w:type="dxa"/>
            <w:vAlign w:val="bottom"/>
          </w:tcPr>
          <w:p w14:paraId="691B4B82" w14:textId="77777777" w:rsidR="008A08A0" w:rsidRDefault="008A08A0" w:rsidP="001B41BD">
            <w:r>
              <w:t>2015-2019</w:t>
            </w:r>
          </w:p>
        </w:tc>
        <w:tc>
          <w:tcPr>
            <w:tcW w:w="3117" w:type="dxa"/>
            <w:vAlign w:val="bottom"/>
          </w:tcPr>
          <w:p w14:paraId="572C9CE8" w14:textId="77777777" w:rsidR="008A08A0" w:rsidRDefault="008A08A0" w:rsidP="001B41BD">
            <w:r>
              <w:t>443.8</w:t>
            </w:r>
          </w:p>
        </w:tc>
        <w:tc>
          <w:tcPr>
            <w:tcW w:w="3117" w:type="dxa"/>
            <w:vAlign w:val="bottom"/>
          </w:tcPr>
          <w:p w14:paraId="658C5296" w14:textId="77777777" w:rsidR="008A08A0" w:rsidRDefault="008A08A0" w:rsidP="001B41BD">
            <w:r>
              <w:t>449.2</w:t>
            </w:r>
          </w:p>
        </w:tc>
      </w:tr>
    </w:tbl>
    <w:p w14:paraId="38E95FDC" w14:textId="77777777" w:rsidR="008A08A0" w:rsidRPr="00AB39B6" w:rsidRDefault="008A08A0" w:rsidP="008A08A0">
      <w:r w:rsidRPr="00AB39B6">
        <w:t xml:space="preserve">Sources: SC DHEC CCR, SEER*Stat Database: NPCR and SEER Incidence - Public Use Data. </w:t>
      </w:r>
    </w:p>
    <w:p w14:paraId="6C0F4D1E" w14:textId="77777777" w:rsidR="008A08A0" w:rsidRDefault="008A08A0" w:rsidP="008A08A0">
      <w:r w:rsidRPr="00AB39B6">
        <w:t>Note: Age-adjusted.</w:t>
      </w:r>
    </w:p>
    <w:p w14:paraId="5DB435B5" w14:textId="77777777" w:rsidR="008A08A0" w:rsidRPr="00AB39B6" w:rsidRDefault="008A08A0" w:rsidP="008A08A0"/>
    <w:p w14:paraId="220E5BB4" w14:textId="77777777" w:rsidR="008A08A0" w:rsidRDefault="008A08A0" w:rsidP="008A08A0">
      <w:pPr>
        <w:pStyle w:val="Heading4"/>
      </w:pPr>
      <w:bookmarkStart w:id="762" w:name="_Toc154576507"/>
      <w:bookmarkStart w:id="763" w:name="_Toc162267517"/>
      <w:r>
        <w:lastRenderedPageBreak/>
        <w:t>Figure 9.25: All Cancer Incidence, by Race/Ethnicity and Sex.</w:t>
      </w:r>
      <w:bookmarkEnd w:id="762"/>
      <w:bookmarkEnd w:id="763"/>
    </w:p>
    <w:p w14:paraId="1BE0E022" w14:textId="77777777" w:rsidR="008A08A0" w:rsidRDefault="008A08A0" w:rsidP="008A08A0">
      <w:pPr>
        <w:pStyle w:val="Heading5"/>
      </w:pPr>
      <w:r>
        <w:t>Rate per 100,000 population.</w:t>
      </w:r>
    </w:p>
    <w:tbl>
      <w:tblPr>
        <w:tblStyle w:val="TableGrid"/>
        <w:tblW w:w="0" w:type="auto"/>
        <w:tblLook w:val="04A0" w:firstRow="1" w:lastRow="0" w:firstColumn="1" w:lastColumn="0" w:noHBand="0" w:noVBand="1"/>
      </w:tblPr>
      <w:tblGrid>
        <w:gridCol w:w="1870"/>
        <w:gridCol w:w="1870"/>
        <w:gridCol w:w="1870"/>
        <w:gridCol w:w="1870"/>
        <w:gridCol w:w="1870"/>
      </w:tblGrid>
      <w:tr w:rsidR="008A08A0" w14:paraId="32FDEB8E" w14:textId="77777777" w:rsidTr="001B41BD">
        <w:tc>
          <w:tcPr>
            <w:tcW w:w="1870" w:type="dxa"/>
            <w:vAlign w:val="bottom"/>
          </w:tcPr>
          <w:p w14:paraId="1D0346BB" w14:textId="77777777" w:rsidR="008A08A0" w:rsidRPr="00AB39B6" w:rsidRDefault="008A08A0" w:rsidP="001B41BD">
            <w:r>
              <w:t>Years</w:t>
            </w:r>
          </w:p>
        </w:tc>
        <w:tc>
          <w:tcPr>
            <w:tcW w:w="1870" w:type="dxa"/>
            <w:vAlign w:val="bottom"/>
          </w:tcPr>
          <w:p w14:paraId="21BD2743" w14:textId="77777777" w:rsidR="008A08A0" w:rsidRPr="00AB39B6" w:rsidRDefault="008A08A0" w:rsidP="001B41BD">
            <w:r w:rsidRPr="00AB39B6">
              <w:t>Non-Hispanic White Male</w:t>
            </w:r>
          </w:p>
        </w:tc>
        <w:tc>
          <w:tcPr>
            <w:tcW w:w="1870" w:type="dxa"/>
            <w:vAlign w:val="bottom"/>
          </w:tcPr>
          <w:p w14:paraId="7097F913" w14:textId="77777777" w:rsidR="008A08A0" w:rsidRPr="00AB39B6" w:rsidRDefault="008A08A0" w:rsidP="001B41BD">
            <w:r w:rsidRPr="00AB39B6">
              <w:t>Non-Hispanic White Female</w:t>
            </w:r>
          </w:p>
        </w:tc>
        <w:tc>
          <w:tcPr>
            <w:tcW w:w="1870" w:type="dxa"/>
            <w:vAlign w:val="bottom"/>
          </w:tcPr>
          <w:p w14:paraId="113B2F89" w14:textId="77777777" w:rsidR="008A08A0" w:rsidRPr="00AB39B6" w:rsidRDefault="008A08A0" w:rsidP="001B41BD">
            <w:r w:rsidRPr="00AB39B6">
              <w:t>Non-Hispanic Black Male</w:t>
            </w:r>
          </w:p>
        </w:tc>
        <w:tc>
          <w:tcPr>
            <w:tcW w:w="1870" w:type="dxa"/>
            <w:vAlign w:val="bottom"/>
          </w:tcPr>
          <w:p w14:paraId="269B6852" w14:textId="77777777" w:rsidR="008A08A0" w:rsidRPr="00AB39B6" w:rsidRDefault="008A08A0" w:rsidP="001B41BD">
            <w:r w:rsidRPr="00AB39B6">
              <w:t>Non-Hispanic Black Female</w:t>
            </w:r>
          </w:p>
        </w:tc>
      </w:tr>
      <w:tr w:rsidR="008A08A0" w14:paraId="31A21AD1" w14:textId="77777777" w:rsidTr="001B41BD">
        <w:tc>
          <w:tcPr>
            <w:tcW w:w="1870" w:type="dxa"/>
            <w:vAlign w:val="bottom"/>
          </w:tcPr>
          <w:p w14:paraId="5242714A" w14:textId="77777777" w:rsidR="008A08A0" w:rsidRPr="00AB39B6" w:rsidRDefault="008A08A0" w:rsidP="001B41BD">
            <w:r w:rsidRPr="00AB39B6">
              <w:t>2011-2015</w:t>
            </w:r>
          </w:p>
        </w:tc>
        <w:tc>
          <w:tcPr>
            <w:tcW w:w="1870" w:type="dxa"/>
            <w:vAlign w:val="bottom"/>
          </w:tcPr>
          <w:p w14:paraId="5A010164" w14:textId="77777777" w:rsidR="008A08A0" w:rsidRPr="00AB39B6" w:rsidRDefault="008A08A0" w:rsidP="001B41BD">
            <w:r w:rsidRPr="00AB39B6">
              <w:t>526.7</w:t>
            </w:r>
          </w:p>
        </w:tc>
        <w:tc>
          <w:tcPr>
            <w:tcW w:w="1870" w:type="dxa"/>
            <w:vAlign w:val="bottom"/>
          </w:tcPr>
          <w:p w14:paraId="739F4D8A" w14:textId="77777777" w:rsidR="008A08A0" w:rsidRPr="00AB39B6" w:rsidRDefault="008A08A0" w:rsidP="001B41BD">
            <w:r w:rsidRPr="00AB39B6">
              <w:t>433.4</w:t>
            </w:r>
          </w:p>
        </w:tc>
        <w:tc>
          <w:tcPr>
            <w:tcW w:w="1870" w:type="dxa"/>
            <w:vAlign w:val="bottom"/>
          </w:tcPr>
          <w:p w14:paraId="416E9CC5" w14:textId="77777777" w:rsidR="008A08A0" w:rsidRPr="00AB39B6" w:rsidRDefault="008A08A0" w:rsidP="001B41BD">
            <w:r w:rsidRPr="00AB39B6">
              <w:t>574.1</w:t>
            </w:r>
          </w:p>
        </w:tc>
        <w:tc>
          <w:tcPr>
            <w:tcW w:w="1870" w:type="dxa"/>
            <w:vAlign w:val="bottom"/>
          </w:tcPr>
          <w:p w14:paraId="4B811226" w14:textId="77777777" w:rsidR="008A08A0" w:rsidRPr="00AB39B6" w:rsidRDefault="008A08A0" w:rsidP="001B41BD">
            <w:r w:rsidRPr="00AB39B6">
              <w:t>397.4</w:t>
            </w:r>
          </w:p>
        </w:tc>
      </w:tr>
      <w:tr w:rsidR="008A08A0" w14:paraId="1D8E0005" w14:textId="77777777" w:rsidTr="001B41BD">
        <w:tc>
          <w:tcPr>
            <w:tcW w:w="1870" w:type="dxa"/>
            <w:vAlign w:val="bottom"/>
          </w:tcPr>
          <w:p w14:paraId="32EB83B1" w14:textId="77777777" w:rsidR="008A08A0" w:rsidRPr="00AB39B6" w:rsidRDefault="008A08A0" w:rsidP="001B41BD">
            <w:r w:rsidRPr="00AB39B6">
              <w:t>2012-2016</w:t>
            </w:r>
          </w:p>
        </w:tc>
        <w:tc>
          <w:tcPr>
            <w:tcW w:w="1870" w:type="dxa"/>
            <w:vAlign w:val="bottom"/>
          </w:tcPr>
          <w:p w14:paraId="1027E6E2" w14:textId="77777777" w:rsidR="008A08A0" w:rsidRPr="00AB39B6" w:rsidRDefault="008A08A0" w:rsidP="001B41BD">
            <w:r w:rsidRPr="00AB39B6">
              <w:t>520.7</w:t>
            </w:r>
          </w:p>
        </w:tc>
        <w:tc>
          <w:tcPr>
            <w:tcW w:w="1870" w:type="dxa"/>
            <w:vAlign w:val="bottom"/>
          </w:tcPr>
          <w:p w14:paraId="65D12DD0" w14:textId="77777777" w:rsidR="008A08A0" w:rsidRPr="00AB39B6" w:rsidRDefault="008A08A0" w:rsidP="001B41BD">
            <w:r w:rsidRPr="00AB39B6">
              <w:t>434.3</w:t>
            </w:r>
          </w:p>
        </w:tc>
        <w:tc>
          <w:tcPr>
            <w:tcW w:w="1870" w:type="dxa"/>
            <w:vAlign w:val="bottom"/>
          </w:tcPr>
          <w:p w14:paraId="24D769DE" w14:textId="77777777" w:rsidR="008A08A0" w:rsidRPr="00AB39B6" w:rsidRDefault="008A08A0" w:rsidP="001B41BD">
            <w:r w:rsidRPr="00AB39B6">
              <w:t>556.9</w:t>
            </w:r>
          </w:p>
        </w:tc>
        <w:tc>
          <w:tcPr>
            <w:tcW w:w="1870" w:type="dxa"/>
            <w:vAlign w:val="bottom"/>
          </w:tcPr>
          <w:p w14:paraId="7705334D" w14:textId="77777777" w:rsidR="008A08A0" w:rsidRPr="00AB39B6" w:rsidRDefault="008A08A0" w:rsidP="001B41BD">
            <w:r w:rsidRPr="00AB39B6">
              <w:t>396.8</w:t>
            </w:r>
          </w:p>
        </w:tc>
      </w:tr>
      <w:tr w:rsidR="008A08A0" w14:paraId="19BECC2A" w14:textId="77777777" w:rsidTr="001B41BD">
        <w:tc>
          <w:tcPr>
            <w:tcW w:w="1870" w:type="dxa"/>
            <w:vAlign w:val="bottom"/>
          </w:tcPr>
          <w:p w14:paraId="6BA37AA2" w14:textId="77777777" w:rsidR="008A08A0" w:rsidRPr="00AB39B6" w:rsidRDefault="008A08A0" w:rsidP="001B41BD">
            <w:r w:rsidRPr="00AB39B6">
              <w:t>2013-2017</w:t>
            </w:r>
          </w:p>
        </w:tc>
        <w:tc>
          <w:tcPr>
            <w:tcW w:w="1870" w:type="dxa"/>
            <w:vAlign w:val="bottom"/>
          </w:tcPr>
          <w:p w14:paraId="79A4893E" w14:textId="77777777" w:rsidR="008A08A0" w:rsidRPr="00AB39B6" w:rsidRDefault="008A08A0" w:rsidP="001B41BD">
            <w:r w:rsidRPr="00AB39B6">
              <w:t>515.3</w:t>
            </w:r>
          </w:p>
        </w:tc>
        <w:tc>
          <w:tcPr>
            <w:tcW w:w="1870" w:type="dxa"/>
            <w:vAlign w:val="bottom"/>
          </w:tcPr>
          <w:p w14:paraId="3831FB0C" w14:textId="77777777" w:rsidR="008A08A0" w:rsidRPr="00AB39B6" w:rsidRDefault="008A08A0" w:rsidP="001B41BD">
            <w:r w:rsidRPr="00AB39B6">
              <w:t>430.1</w:t>
            </w:r>
          </w:p>
        </w:tc>
        <w:tc>
          <w:tcPr>
            <w:tcW w:w="1870" w:type="dxa"/>
            <w:vAlign w:val="bottom"/>
          </w:tcPr>
          <w:p w14:paraId="7078C802" w14:textId="77777777" w:rsidR="008A08A0" w:rsidRPr="00AB39B6" w:rsidRDefault="008A08A0" w:rsidP="001B41BD">
            <w:r w:rsidRPr="00AB39B6">
              <w:t>544.5</w:t>
            </w:r>
          </w:p>
        </w:tc>
        <w:tc>
          <w:tcPr>
            <w:tcW w:w="1870" w:type="dxa"/>
            <w:vAlign w:val="bottom"/>
          </w:tcPr>
          <w:p w14:paraId="649DEDF5" w14:textId="77777777" w:rsidR="008A08A0" w:rsidRPr="00AB39B6" w:rsidRDefault="008A08A0" w:rsidP="001B41BD">
            <w:r w:rsidRPr="00AB39B6">
              <w:t>393.1</w:t>
            </w:r>
          </w:p>
        </w:tc>
      </w:tr>
      <w:tr w:rsidR="008A08A0" w14:paraId="29C8E515" w14:textId="77777777" w:rsidTr="001B41BD">
        <w:tc>
          <w:tcPr>
            <w:tcW w:w="1870" w:type="dxa"/>
            <w:vAlign w:val="bottom"/>
          </w:tcPr>
          <w:p w14:paraId="47AB19E9" w14:textId="77777777" w:rsidR="008A08A0" w:rsidRPr="00AB39B6" w:rsidRDefault="008A08A0" w:rsidP="001B41BD">
            <w:r w:rsidRPr="00AB39B6">
              <w:t>2014-2018</w:t>
            </w:r>
          </w:p>
        </w:tc>
        <w:tc>
          <w:tcPr>
            <w:tcW w:w="1870" w:type="dxa"/>
            <w:vAlign w:val="bottom"/>
          </w:tcPr>
          <w:p w14:paraId="0A0DD165" w14:textId="77777777" w:rsidR="008A08A0" w:rsidRPr="00AB39B6" w:rsidRDefault="008A08A0" w:rsidP="001B41BD">
            <w:r w:rsidRPr="00AB39B6">
              <w:t>505.7</w:t>
            </w:r>
          </w:p>
        </w:tc>
        <w:tc>
          <w:tcPr>
            <w:tcW w:w="1870" w:type="dxa"/>
            <w:vAlign w:val="bottom"/>
          </w:tcPr>
          <w:p w14:paraId="4F26C9AF" w14:textId="77777777" w:rsidR="008A08A0" w:rsidRPr="00AB39B6" w:rsidRDefault="008A08A0" w:rsidP="001B41BD">
            <w:r w:rsidRPr="00AB39B6">
              <w:t>427.7</w:t>
            </w:r>
          </w:p>
        </w:tc>
        <w:tc>
          <w:tcPr>
            <w:tcW w:w="1870" w:type="dxa"/>
            <w:vAlign w:val="bottom"/>
          </w:tcPr>
          <w:p w14:paraId="1E142F0B" w14:textId="77777777" w:rsidR="008A08A0" w:rsidRPr="00AB39B6" w:rsidRDefault="008A08A0" w:rsidP="001B41BD">
            <w:r w:rsidRPr="00AB39B6">
              <w:t>532.2</w:t>
            </w:r>
          </w:p>
        </w:tc>
        <w:tc>
          <w:tcPr>
            <w:tcW w:w="1870" w:type="dxa"/>
            <w:vAlign w:val="bottom"/>
          </w:tcPr>
          <w:p w14:paraId="075D8521" w14:textId="77777777" w:rsidR="008A08A0" w:rsidRPr="00AB39B6" w:rsidRDefault="008A08A0" w:rsidP="001B41BD">
            <w:r w:rsidRPr="00AB39B6">
              <w:t>387.9</w:t>
            </w:r>
          </w:p>
        </w:tc>
      </w:tr>
      <w:tr w:rsidR="008A08A0" w14:paraId="5DB8A608" w14:textId="77777777" w:rsidTr="001B41BD">
        <w:tc>
          <w:tcPr>
            <w:tcW w:w="1870" w:type="dxa"/>
            <w:vAlign w:val="bottom"/>
          </w:tcPr>
          <w:p w14:paraId="1B0922E9" w14:textId="77777777" w:rsidR="008A08A0" w:rsidRPr="00AB39B6" w:rsidRDefault="008A08A0" w:rsidP="001B41BD">
            <w:r w:rsidRPr="00AB39B6">
              <w:t>2015-2019</w:t>
            </w:r>
          </w:p>
        </w:tc>
        <w:tc>
          <w:tcPr>
            <w:tcW w:w="1870" w:type="dxa"/>
            <w:vAlign w:val="bottom"/>
          </w:tcPr>
          <w:p w14:paraId="488CF4AC" w14:textId="77777777" w:rsidR="008A08A0" w:rsidRPr="00AB39B6" w:rsidRDefault="008A08A0" w:rsidP="001B41BD">
            <w:r w:rsidRPr="00AB39B6">
              <w:t>492.9</w:t>
            </w:r>
          </w:p>
        </w:tc>
        <w:tc>
          <w:tcPr>
            <w:tcW w:w="1870" w:type="dxa"/>
            <w:vAlign w:val="bottom"/>
          </w:tcPr>
          <w:p w14:paraId="629354E1" w14:textId="77777777" w:rsidR="008A08A0" w:rsidRPr="00AB39B6" w:rsidRDefault="008A08A0" w:rsidP="001B41BD">
            <w:r w:rsidRPr="00AB39B6">
              <w:t>420.6</w:t>
            </w:r>
          </w:p>
        </w:tc>
        <w:tc>
          <w:tcPr>
            <w:tcW w:w="1870" w:type="dxa"/>
            <w:vAlign w:val="bottom"/>
          </w:tcPr>
          <w:p w14:paraId="492C393E" w14:textId="77777777" w:rsidR="008A08A0" w:rsidRPr="00AB39B6" w:rsidRDefault="008A08A0" w:rsidP="001B41BD">
            <w:r w:rsidRPr="00AB39B6">
              <w:t>517.9</w:t>
            </w:r>
          </w:p>
        </w:tc>
        <w:tc>
          <w:tcPr>
            <w:tcW w:w="1870" w:type="dxa"/>
            <w:vAlign w:val="bottom"/>
          </w:tcPr>
          <w:p w14:paraId="409CE2E1" w14:textId="77777777" w:rsidR="008A08A0" w:rsidRPr="00AB39B6" w:rsidRDefault="008A08A0" w:rsidP="001B41BD">
            <w:r w:rsidRPr="00AB39B6">
              <w:t>379.4</w:t>
            </w:r>
          </w:p>
        </w:tc>
      </w:tr>
    </w:tbl>
    <w:p w14:paraId="0FC66803" w14:textId="77777777" w:rsidR="008A08A0" w:rsidRPr="00AB39B6" w:rsidRDefault="008A08A0" w:rsidP="008A08A0">
      <w:r w:rsidRPr="00AB39B6">
        <w:t xml:space="preserve">Source: SC DHEC CCR. </w:t>
      </w:r>
    </w:p>
    <w:p w14:paraId="4990EC2B" w14:textId="77777777" w:rsidR="008A08A0" w:rsidRDefault="008A08A0" w:rsidP="008A08A0">
      <w:r w:rsidRPr="00AB39B6">
        <w:t>Note: Age-adjusted.</w:t>
      </w:r>
    </w:p>
    <w:p w14:paraId="349EDAA6" w14:textId="77777777" w:rsidR="008A08A0" w:rsidRPr="00AB39B6" w:rsidRDefault="008A08A0" w:rsidP="008A08A0"/>
    <w:p w14:paraId="57C1067C" w14:textId="77777777" w:rsidR="008A08A0" w:rsidRDefault="008A08A0" w:rsidP="008A08A0">
      <w:pPr>
        <w:pStyle w:val="Heading4"/>
      </w:pPr>
      <w:bookmarkStart w:id="764" w:name="_Toc154576508"/>
      <w:bookmarkStart w:id="765" w:name="_Toc162267518"/>
      <w:r>
        <w:t>Figure 9.26: All Cancer Deaths.</w:t>
      </w:r>
      <w:bookmarkEnd w:id="764"/>
      <w:bookmarkEnd w:id="765"/>
    </w:p>
    <w:p w14:paraId="2322AD39" w14:textId="77777777" w:rsidR="008A08A0" w:rsidRDefault="008A08A0" w:rsidP="008A08A0">
      <w:pPr>
        <w:pStyle w:val="Heading5"/>
      </w:pPr>
      <w:r>
        <w:t>Rate per 100,000 population.</w:t>
      </w:r>
    </w:p>
    <w:tbl>
      <w:tblPr>
        <w:tblStyle w:val="TableGrid"/>
        <w:tblW w:w="0" w:type="auto"/>
        <w:tblLook w:val="04A0" w:firstRow="1" w:lastRow="0" w:firstColumn="1" w:lastColumn="0" w:noHBand="0" w:noVBand="1"/>
      </w:tblPr>
      <w:tblGrid>
        <w:gridCol w:w="2337"/>
        <w:gridCol w:w="2337"/>
        <w:gridCol w:w="2338"/>
        <w:gridCol w:w="2338"/>
      </w:tblGrid>
      <w:tr w:rsidR="008A08A0" w14:paraId="3BFCE0C3" w14:textId="77777777" w:rsidTr="001B41BD">
        <w:tc>
          <w:tcPr>
            <w:tcW w:w="2337" w:type="dxa"/>
            <w:vAlign w:val="bottom"/>
          </w:tcPr>
          <w:p w14:paraId="045C25F3" w14:textId="77777777" w:rsidR="008A08A0" w:rsidRPr="00AB39B6" w:rsidRDefault="008A08A0" w:rsidP="001B41BD">
            <w:r>
              <w:t>Years</w:t>
            </w:r>
          </w:p>
        </w:tc>
        <w:tc>
          <w:tcPr>
            <w:tcW w:w="2337" w:type="dxa"/>
            <w:vAlign w:val="bottom"/>
          </w:tcPr>
          <w:p w14:paraId="5E287E44" w14:textId="77777777" w:rsidR="008A08A0" w:rsidRPr="00AB39B6" w:rsidRDefault="008A08A0" w:rsidP="001B41BD">
            <w:r w:rsidRPr="00AB39B6">
              <w:t>South Carolina</w:t>
            </w:r>
          </w:p>
        </w:tc>
        <w:tc>
          <w:tcPr>
            <w:tcW w:w="2338" w:type="dxa"/>
            <w:vAlign w:val="bottom"/>
          </w:tcPr>
          <w:p w14:paraId="5280F03C" w14:textId="77777777" w:rsidR="008A08A0" w:rsidRPr="00AB39B6" w:rsidRDefault="008A08A0" w:rsidP="001B41BD">
            <w:r w:rsidRPr="00AB39B6">
              <w:t>United States</w:t>
            </w:r>
          </w:p>
        </w:tc>
        <w:tc>
          <w:tcPr>
            <w:tcW w:w="2338" w:type="dxa"/>
            <w:vAlign w:val="bottom"/>
          </w:tcPr>
          <w:p w14:paraId="378D1F77" w14:textId="77777777" w:rsidR="008A08A0" w:rsidRPr="00AB39B6" w:rsidRDefault="008A08A0" w:rsidP="001B41BD">
            <w:r w:rsidRPr="00AB39B6">
              <w:t>Healthy People 2030</w:t>
            </w:r>
            <w:r>
              <w:t xml:space="preserve"> Goal</w:t>
            </w:r>
          </w:p>
        </w:tc>
      </w:tr>
      <w:tr w:rsidR="008A08A0" w14:paraId="6E42E848" w14:textId="77777777" w:rsidTr="001B41BD">
        <w:tc>
          <w:tcPr>
            <w:tcW w:w="2337" w:type="dxa"/>
            <w:vAlign w:val="bottom"/>
          </w:tcPr>
          <w:p w14:paraId="6F476C15" w14:textId="77777777" w:rsidR="008A08A0" w:rsidRPr="00AB39B6" w:rsidRDefault="008A08A0" w:rsidP="001B41BD">
            <w:r w:rsidRPr="00AB39B6">
              <w:t>2011-2015</w:t>
            </w:r>
          </w:p>
        </w:tc>
        <w:tc>
          <w:tcPr>
            <w:tcW w:w="2337" w:type="dxa"/>
            <w:vAlign w:val="bottom"/>
          </w:tcPr>
          <w:p w14:paraId="220A5A44" w14:textId="77777777" w:rsidR="008A08A0" w:rsidRPr="00AB39B6" w:rsidRDefault="008A08A0" w:rsidP="001B41BD">
            <w:r w:rsidRPr="00AB39B6">
              <w:t>173.9</w:t>
            </w:r>
          </w:p>
        </w:tc>
        <w:tc>
          <w:tcPr>
            <w:tcW w:w="2338" w:type="dxa"/>
            <w:vAlign w:val="bottom"/>
          </w:tcPr>
          <w:p w14:paraId="0235A71E" w14:textId="77777777" w:rsidR="008A08A0" w:rsidRPr="00AB39B6" w:rsidRDefault="008A08A0" w:rsidP="001B41BD">
            <w:r w:rsidRPr="00AB39B6">
              <w:t>163.7</w:t>
            </w:r>
          </w:p>
        </w:tc>
        <w:tc>
          <w:tcPr>
            <w:tcW w:w="2338" w:type="dxa"/>
            <w:vAlign w:val="bottom"/>
          </w:tcPr>
          <w:p w14:paraId="5F58D727" w14:textId="77777777" w:rsidR="008A08A0" w:rsidRPr="00AB39B6" w:rsidRDefault="008A08A0" w:rsidP="001B41BD">
            <w:r w:rsidRPr="00AB39B6">
              <w:t>122.7</w:t>
            </w:r>
          </w:p>
        </w:tc>
      </w:tr>
      <w:tr w:rsidR="008A08A0" w14:paraId="40B2F049" w14:textId="77777777" w:rsidTr="001B41BD">
        <w:tc>
          <w:tcPr>
            <w:tcW w:w="2337" w:type="dxa"/>
            <w:vAlign w:val="bottom"/>
          </w:tcPr>
          <w:p w14:paraId="17D5FF54" w14:textId="77777777" w:rsidR="008A08A0" w:rsidRPr="00AB39B6" w:rsidRDefault="008A08A0" w:rsidP="001B41BD">
            <w:r w:rsidRPr="00AB39B6">
              <w:t>2012-2016</w:t>
            </w:r>
          </w:p>
        </w:tc>
        <w:tc>
          <w:tcPr>
            <w:tcW w:w="2337" w:type="dxa"/>
            <w:vAlign w:val="bottom"/>
          </w:tcPr>
          <w:p w14:paraId="07B10605" w14:textId="77777777" w:rsidR="008A08A0" w:rsidRPr="00AB39B6" w:rsidRDefault="008A08A0" w:rsidP="001B41BD">
            <w:r w:rsidRPr="00AB39B6">
              <w:t>171.2</w:t>
            </w:r>
          </w:p>
        </w:tc>
        <w:tc>
          <w:tcPr>
            <w:tcW w:w="2338" w:type="dxa"/>
            <w:vAlign w:val="bottom"/>
          </w:tcPr>
          <w:p w14:paraId="2D40B2C0" w14:textId="77777777" w:rsidR="008A08A0" w:rsidRPr="00AB39B6" w:rsidRDefault="008A08A0" w:rsidP="001B41BD">
            <w:r w:rsidRPr="00AB39B6">
              <w:t>161.2</w:t>
            </w:r>
          </w:p>
        </w:tc>
        <w:tc>
          <w:tcPr>
            <w:tcW w:w="2338" w:type="dxa"/>
            <w:vAlign w:val="bottom"/>
          </w:tcPr>
          <w:p w14:paraId="26164DC9" w14:textId="77777777" w:rsidR="008A08A0" w:rsidRPr="00AB39B6" w:rsidRDefault="008A08A0" w:rsidP="001B41BD">
            <w:r w:rsidRPr="00AB39B6">
              <w:t>122.7</w:t>
            </w:r>
          </w:p>
        </w:tc>
      </w:tr>
      <w:tr w:rsidR="008A08A0" w14:paraId="7BCAD082" w14:textId="77777777" w:rsidTr="001B41BD">
        <w:tc>
          <w:tcPr>
            <w:tcW w:w="2337" w:type="dxa"/>
            <w:vAlign w:val="bottom"/>
          </w:tcPr>
          <w:p w14:paraId="2BB8F950" w14:textId="77777777" w:rsidR="008A08A0" w:rsidRPr="00AB39B6" w:rsidRDefault="008A08A0" w:rsidP="001B41BD">
            <w:r w:rsidRPr="00AB39B6">
              <w:t>2013-2017</w:t>
            </w:r>
          </w:p>
        </w:tc>
        <w:tc>
          <w:tcPr>
            <w:tcW w:w="2337" w:type="dxa"/>
            <w:vAlign w:val="bottom"/>
          </w:tcPr>
          <w:p w14:paraId="72412EE7" w14:textId="77777777" w:rsidR="008A08A0" w:rsidRPr="00AB39B6" w:rsidRDefault="008A08A0" w:rsidP="001B41BD">
            <w:r w:rsidRPr="00AB39B6">
              <w:t>168.1</w:t>
            </w:r>
          </w:p>
        </w:tc>
        <w:tc>
          <w:tcPr>
            <w:tcW w:w="2338" w:type="dxa"/>
            <w:vAlign w:val="bottom"/>
          </w:tcPr>
          <w:p w14:paraId="49B140A3" w14:textId="77777777" w:rsidR="008A08A0" w:rsidRPr="00AB39B6" w:rsidRDefault="008A08A0" w:rsidP="001B41BD">
            <w:r w:rsidRPr="00AB39B6">
              <w:t>158.4</w:t>
            </w:r>
          </w:p>
        </w:tc>
        <w:tc>
          <w:tcPr>
            <w:tcW w:w="2338" w:type="dxa"/>
            <w:vAlign w:val="bottom"/>
          </w:tcPr>
          <w:p w14:paraId="30099CA2" w14:textId="77777777" w:rsidR="008A08A0" w:rsidRPr="00AB39B6" w:rsidRDefault="008A08A0" w:rsidP="001B41BD">
            <w:r w:rsidRPr="00AB39B6">
              <w:t>122.7</w:t>
            </w:r>
          </w:p>
        </w:tc>
      </w:tr>
      <w:tr w:rsidR="008A08A0" w14:paraId="6767154C" w14:textId="77777777" w:rsidTr="001B41BD">
        <w:tc>
          <w:tcPr>
            <w:tcW w:w="2337" w:type="dxa"/>
            <w:vAlign w:val="bottom"/>
          </w:tcPr>
          <w:p w14:paraId="2EAE0D61" w14:textId="77777777" w:rsidR="008A08A0" w:rsidRPr="00AB39B6" w:rsidRDefault="008A08A0" w:rsidP="001B41BD">
            <w:r w:rsidRPr="00AB39B6">
              <w:t>2014-2018</w:t>
            </w:r>
          </w:p>
        </w:tc>
        <w:tc>
          <w:tcPr>
            <w:tcW w:w="2337" w:type="dxa"/>
            <w:vAlign w:val="bottom"/>
          </w:tcPr>
          <w:p w14:paraId="66440958" w14:textId="77777777" w:rsidR="008A08A0" w:rsidRPr="00AB39B6" w:rsidRDefault="008A08A0" w:rsidP="001B41BD">
            <w:r w:rsidRPr="00AB39B6">
              <w:t>164.9</w:t>
            </w:r>
          </w:p>
        </w:tc>
        <w:tc>
          <w:tcPr>
            <w:tcW w:w="2338" w:type="dxa"/>
            <w:vAlign w:val="bottom"/>
          </w:tcPr>
          <w:p w14:paraId="5B275D45" w14:textId="77777777" w:rsidR="008A08A0" w:rsidRPr="00AB39B6" w:rsidRDefault="008A08A0" w:rsidP="001B41BD">
            <w:r w:rsidRPr="00AB39B6">
              <w:t>155.6</w:t>
            </w:r>
          </w:p>
        </w:tc>
        <w:tc>
          <w:tcPr>
            <w:tcW w:w="2338" w:type="dxa"/>
            <w:vAlign w:val="bottom"/>
          </w:tcPr>
          <w:p w14:paraId="1031F3EA" w14:textId="77777777" w:rsidR="008A08A0" w:rsidRPr="00AB39B6" w:rsidRDefault="008A08A0" w:rsidP="001B41BD">
            <w:r w:rsidRPr="00AB39B6">
              <w:t>122.7</w:t>
            </w:r>
          </w:p>
        </w:tc>
      </w:tr>
      <w:tr w:rsidR="008A08A0" w14:paraId="1ACCE38C" w14:textId="77777777" w:rsidTr="001B41BD">
        <w:tc>
          <w:tcPr>
            <w:tcW w:w="2337" w:type="dxa"/>
            <w:vAlign w:val="bottom"/>
          </w:tcPr>
          <w:p w14:paraId="78A8F4C6" w14:textId="77777777" w:rsidR="008A08A0" w:rsidRPr="00AB39B6" w:rsidRDefault="008A08A0" w:rsidP="001B41BD">
            <w:r w:rsidRPr="00AB39B6">
              <w:t>2015-2019</w:t>
            </w:r>
          </w:p>
        </w:tc>
        <w:tc>
          <w:tcPr>
            <w:tcW w:w="2337" w:type="dxa"/>
            <w:vAlign w:val="bottom"/>
          </w:tcPr>
          <w:p w14:paraId="04C34CEA" w14:textId="77777777" w:rsidR="008A08A0" w:rsidRPr="00AB39B6" w:rsidRDefault="008A08A0" w:rsidP="001B41BD">
            <w:r w:rsidRPr="00AB39B6">
              <w:t>161.2</w:t>
            </w:r>
          </w:p>
        </w:tc>
        <w:tc>
          <w:tcPr>
            <w:tcW w:w="2338" w:type="dxa"/>
            <w:vAlign w:val="bottom"/>
          </w:tcPr>
          <w:p w14:paraId="536A5F95" w14:textId="77777777" w:rsidR="008A08A0" w:rsidRPr="00AB39B6" w:rsidRDefault="008A08A0" w:rsidP="001B41BD">
            <w:r w:rsidRPr="00AB39B6">
              <w:t>152.4</w:t>
            </w:r>
          </w:p>
        </w:tc>
        <w:tc>
          <w:tcPr>
            <w:tcW w:w="2338" w:type="dxa"/>
            <w:vAlign w:val="bottom"/>
          </w:tcPr>
          <w:p w14:paraId="32E1C846" w14:textId="77777777" w:rsidR="008A08A0" w:rsidRPr="00AB39B6" w:rsidRDefault="008A08A0" w:rsidP="001B41BD">
            <w:r w:rsidRPr="00AB39B6">
              <w:t>122.7</w:t>
            </w:r>
          </w:p>
        </w:tc>
      </w:tr>
      <w:tr w:rsidR="008A08A0" w14:paraId="1AB44081" w14:textId="77777777" w:rsidTr="001B41BD">
        <w:tc>
          <w:tcPr>
            <w:tcW w:w="2337" w:type="dxa"/>
            <w:vAlign w:val="bottom"/>
          </w:tcPr>
          <w:p w14:paraId="41423B97" w14:textId="77777777" w:rsidR="008A08A0" w:rsidRPr="00AB39B6" w:rsidRDefault="008A08A0" w:rsidP="001B41BD">
            <w:r w:rsidRPr="00AB39B6">
              <w:t>2016-2020</w:t>
            </w:r>
          </w:p>
        </w:tc>
        <w:tc>
          <w:tcPr>
            <w:tcW w:w="2337" w:type="dxa"/>
            <w:vAlign w:val="bottom"/>
          </w:tcPr>
          <w:p w14:paraId="24F4DF82" w14:textId="77777777" w:rsidR="008A08A0" w:rsidRPr="00AB39B6" w:rsidRDefault="008A08A0" w:rsidP="001B41BD">
            <w:r w:rsidRPr="00AB39B6">
              <w:t>158.6</w:t>
            </w:r>
          </w:p>
        </w:tc>
        <w:tc>
          <w:tcPr>
            <w:tcW w:w="2338" w:type="dxa"/>
            <w:vAlign w:val="bottom"/>
          </w:tcPr>
          <w:p w14:paraId="612F34EC" w14:textId="77777777" w:rsidR="008A08A0" w:rsidRPr="00AB39B6" w:rsidRDefault="008A08A0" w:rsidP="001B41BD">
            <w:r w:rsidRPr="00AB39B6">
              <w:t>149.4</w:t>
            </w:r>
          </w:p>
        </w:tc>
        <w:tc>
          <w:tcPr>
            <w:tcW w:w="2338" w:type="dxa"/>
            <w:vAlign w:val="bottom"/>
          </w:tcPr>
          <w:p w14:paraId="6B0E3280" w14:textId="77777777" w:rsidR="008A08A0" w:rsidRPr="00AB39B6" w:rsidRDefault="008A08A0" w:rsidP="001B41BD">
            <w:r w:rsidRPr="00AB39B6">
              <w:t>122.7</w:t>
            </w:r>
          </w:p>
        </w:tc>
      </w:tr>
    </w:tbl>
    <w:p w14:paraId="101B4CD7" w14:textId="77777777" w:rsidR="008A08A0" w:rsidRPr="00AB39B6" w:rsidRDefault="008A08A0" w:rsidP="008A08A0">
      <w:r w:rsidRPr="00AB39B6">
        <w:t xml:space="preserve">Sources: SC DHEC Vital Statistics, CDC NCHS. </w:t>
      </w:r>
    </w:p>
    <w:p w14:paraId="025F7B86" w14:textId="77777777" w:rsidR="008A08A0" w:rsidRDefault="008A08A0" w:rsidP="008A08A0">
      <w:r w:rsidRPr="00AB39B6">
        <w:t>Note: Age-adjusted.</w:t>
      </w:r>
    </w:p>
    <w:p w14:paraId="0CAB1F07" w14:textId="77777777" w:rsidR="008A08A0" w:rsidRPr="00122D44" w:rsidRDefault="008A08A0" w:rsidP="008A08A0"/>
    <w:p w14:paraId="241265A0" w14:textId="77777777" w:rsidR="008A08A0" w:rsidRDefault="008A08A0" w:rsidP="008A08A0">
      <w:pPr>
        <w:pStyle w:val="Heading4"/>
      </w:pPr>
      <w:bookmarkStart w:id="766" w:name="_Toc154576509"/>
      <w:bookmarkStart w:id="767" w:name="_Toc162267519"/>
      <w:r>
        <w:t>Figure 9.27: All Cancer Deaths, by Race/Ethnicity and Sex.</w:t>
      </w:r>
      <w:bookmarkEnd w:id="766"/>
      <w:bookmarkEnd w:id="767"/>
    </w:p>
    <w:p w14:paraId="70D16977" w14:textId="77777777" w:rsidR="008A08A0" w:rsidRDefault="008A08A0" w:rsidP="008A08A0">
      <w:pPr>
        <w:pStyle w:val="Heading5"/>
      </w:pPr>
      <w:r>
        <w:t>Rate per 100,000 population.</w:t>
      </w:r>
    </w:p>
    <w:tbl>
      <w:tblPr>
        <w:tblStyle w:val="TableGrid"/>
        <w:tblW w:w="0" w:type="auto"/>
        <w:tblLook w:val="04A0" w:firstRow="1" w:lastRow="0" w:firstColumn="1" w:lastColumn="0" w:noHBand="0" w:noVBand="1"/>
      </w:tblPr>
      <w:tblGrid>
        <w:gridCol w:w="1870"/>
        <w:gridCol w:w="1870"/>
        <w:gridCol w:w="1870"/>
        <w:gridCol w:w="1870"/>
        <w:gridCol w:w="1870"/>
      </w:tblGrid>
      <w:tr w:rsidR="008A08A0" w14:paraId="348777F6" w14:textId="77777777" w:rsidTr="001B41BD">
        <w:tc>
          <w:tcPr>
            <w:tcW w:w="1870" w:type="dxa"/>
            <w:vAlign w:val="bottom"/>
          </w:tcPr>
          <w:p w14:paraId="2CC7EFDF" w14:textId="77777777" w:rsidR="008A08A0" w:rsidRPr="00AB39B6" w:rsidRDefault="008A08A0" w:rsidP="001B41BD">
            <w:r>
              <w:t>Years</w:t>
            </w:r>
          </w:p>
        </w:tc>
        <w:tc>
          <w:tcPr>
            <w:tcW w:w="1870" w:type="dxa"/>
            <w:vAlign w:val="bottom"/>
          </w:tcPr>
          <w:p w14:paraId="0D49F83C" w14:textId="77777777" w:rsidR="008A08A0" w:rsidRPr="00AB39B6" w:rsidRDefault="008A08A0" w:rsidP="001B41BD">
            <w:r w:rsidRPr="00AB39B6">
              <w:t>Non-Hispanic White Male</w:t>
            </w:r>
          </w:p>
        </w:tc>
        <w:tc>
          <w:tcPr>
            <w:tcW w:w="1870" w:type="dxa"/>
            <w:vAlign w:val="bottom"/>
          </w:tcPr>
          <w:p w14:paraId="69C4CE71" w14:textId="77777777" w:rsidR="008A08A0" w:rsidRPr="00AB39B6" w:rsidRDefault="008A08A0" w:rsidP="001B41BD">
            <w:r w:rsidRPr="00AB39B6">
              <w:t>Non-Hispanic White Female</w:t>
            </w:r>
          </w:p>
        </w:tc>
        <w:tc>
          <w:tcPr>
            <w:tcW w:w="1870" w:type="dxa"/>
            <w:vAlign w:val="bottom"/>
          </w:tcPr>
          <w:p w14:paraId="3E30AB2E" w14:textId="77777777" w:rsidR="008A08A0" w:rsidRPr="00AB39B6" w:rsidRDefault="008A08A0" w:rsidP="001B41BD">
            <w:r w:rsidRPr="00AB39B6">
              <w:t>Non-Hispanic Black Male</w:t>
            </w:r>
          </w:p>
        </w:tc>
        <w:tc>
          <w:tcPr>
            <w:tcW w:w="1870" w:type="dxa"/>
            <w:vAlign w:val="bottom"/>
          </w:tcPr>
          <w:p w14:paraId="6C23CD4A" w14:textId="77777777" w:rsidR="008A08A0" w:rsidRPr="00AB39B6" w:rsidRDefault="008A08A0" w:rsidP="001B41BD">
            <w:r w:rsidRPr="00AB39B6">
              <w:t>Non-Hispanic Black Female</w:t>
            </w:r>
          </w:p>
        </w:tc>
      </w:tr>
      <w:tr w:rsidR="008A08A0" w14:paraId="4DDC8B91" w14:textId="77777777" w:rsidTr="001B41BD">
        <w:tc>
          <w:tcPr>
            <w:tcW w:w="1870" w:type="dxa"/>
            <w:vAlign w:val="bottom"/>
          </w:tcPr>
          <w:p w14:paraId="4C11D762" w14:textId="77777777" w:rsidR="008A08A0" w:rsidRPr="00AB39B6" w:rsidRDefault="008A08A0" w:rsidP="001B41BD">
            <w:r w:rsidRPr="00AB39B6">
              <w:t>2011-2015</w:t>
            </w:r>
          </w:p>
        </w:tc>
        <w:tc>
          <w:tcPr>
            <w:tcW w:w="1870" w:type="dxa"/>
            <w:vAlign w:val="bottom"/>
          </w:tcPr>
          <w:p w14:paraId="63809B39" w14:textId="77777777" w:rsidR="008A08A0" w:rsidRPr="00AB39B6" w:rsidRDefault="008A08A0" w:rsidP="001B41BD">
            <w:r>
              <w:t>208.5</w:t>
            </w:r>
          </w:p>
        </w:tc>
        <w:tc>
          <w:tcPr>
            <w:tcW w:w="1870" w:type="dxa"/>
            <w:vAlign w:val="bottom"/>
          </w:tcPr>
          <w:p w14:paraId="57CFC4A1" w14:textId="77777777" w:rsidR="008A08A0" w:rsidRPr="00AB39B6" w:rsidRDefault="008A08A0" w:rsidP="001B41BD">
            <w:r>
              <w:t>139.5</w:t>
            </w:r>
          </w:p>
        </w:tc>
        <w:tc>
          <w:tcPr>
            <w:tcW w:w="1870" w:type="dxa"/>
            <w:vAlign w:val="bottom"/>
          </w:tcPr>
          <w:p w14:paraId="58B7360B" w14:textId="77777777" w:rsidR="008A08A0" w:rsidRPr="00AB39B6" w:rsidRDefault="008A08A0" w:rsidP="001B41BD">
            <w:r>
              <w:t>265.7</w:t>
            </w:r>
          </w:p>
        </w:tc>
        <w:tc>
          <w:tcPr>
            <w:tcW w:w="1870" w:type="dxa"/>
            <w:vAlign w:val="bottom"/>
          </w:tcPr>
          <w:p w14:paraId="07A130DF" w14:textId="77777777" w:rsidR="008A08A0" w:rsidRPr="00AB39B6" w:rsidRDefault="008A08A0" w:rsidP="001B41BD">
            <w:r>
              <w:t>155.0</w:t>
            </w:r>
          </w:p>
        </w:tc>
      </w:tr>
      <w:tr w:rsidR="008A08A0" w14:paraId="5CEA3C6D" w14:textId="77777777" w:rsidTr="001B41BD">
        <w:tc>
          <w:tcPr>
            <w:tcW w:w="1870" w:type="dxa"/>
            <w:vAlign w:val="bottom"/>
          </w:tcPr>
          <w:p w14:paraId="20E30821" w14:textId="77777777" w:rsidR="008A08A0" w:rsidRPr="00AB39B6" w:rsidRDefault="008A08A0" w:rsidP="001B41BD">
            <w:r w:rsidRPr="00AB39B6">
              <w:t>2012-2016</w:t>
            </w:r>
          </w:p>
        </w:tc>
        <w:tc>
          <w:tcPr>
            <w:tcW w:w="1870" w:type="dxa"/>
            <w:vAlign w:val="bottom"/>
          </w:tcPr>
          <w:p w14:paraId="40BB9448" w14:textId="77777777" w:rsidR="008A08A0" w:rsidRPr="00AB39B6" w:rsidRDefault="008A08A0" w:rsidP="001B41BD">
            <w:r>
              <w:t>205.6</w:t>
            </w:r>
          </w:p>
        </w:tc>
        <w:tc>
          <w:tcPr>
            <w:tcW w:w="1870" w:type="dxa"/>
            <w:vAlign w:val="bottom"/>
          </w:tcPr>
          <w:p w14:paraId="77347421" w14:textId="77777777" w:rsidR="008A08A0" w:rsidRPr="00AB39B6" w:rsidRDefault="008A08A0" w:rsidP="001B41BD">
            <w:r>
              <w:t>139.2</w:t>
            </w:r>
          </w:p>
        </w:tc>
        <w:tc>
          <w:tcPr>
            <w:tcW w:w="1870" w:type="dxa"/>
            <w:vAlign w:val="bottom"/>
          </w:tcPr>
          <w:p w14:paraId="32581E5C" w14:textId="77777777" w:rsidR="008A08A0" w:rsidRPr="00AB39B6" w:rsidRDefault="008A08A0" w:rsidP="001B41BD">
            <w:r>
              <w:t>259.2</w:t>
            </w:r>
          </w:p>
        </w:tc>
        <w:tc>
          <w:tcPr>
            <w:tcW w:w="1870" w:type="dxa"/>
            <w:vAlign w:val="bottom"/>
          </w:tcPr>
          <w:p w14:paraId="7991795F" w14:textId="77777777" w:rsidR="008A08A0" w:rsidRPr="00AB39B6" w:rsidRDefault="008A08A0" w:rsidP="001B41BD">
            <w:r>
              <w:t>152.5</w:t>
            </w:r>
          </w:p>
        </w:tc>
      </w:tr>
      <w:tr w:rsidR="008A08A0" w14:paraId="5E076A19" w14:textId="77777777" w:rsidTr="001B41BD">
        <w:tc>
          <w:tcPr>
            <w:tcW w:w="1870" w:type="dxa"/>
            <w:vAlign w:val="bottom"/>
          </w:tcPr>
          <w:p w14:paraId="211D18A9" w14:textId="77777777" w:rsidR="008A08A0" w:rsidRPr="00AB39B6" w:rsidRDefault="008A08A0" w:rsidP="001B41BD">
            <w:r w:rsidRPr="00AB39B6">
              <w:t>2013-2017</w:t>
            </w:r>
          </w:p>
        </w:tc>
        <w:tc>
          <w:tcPr>
            <w:tcW w:w="1870" w:type="dxa"/>
            <w:vAlign w:val="bottom"/>
          </w:tcPr>
          <w:p w14:paraId="7447D6EB" w14:textId="77777777" w:rsidR="008A08A0" w:rsidRPr="00AB39B6" w:rsidRDefault="008A08A0" w:rsidP="001B41BD">
            <w:r>
              <w:t>201.8</w:t>
            </w:r>
          </w:p>
        </w:tc>
        <w:tc>
          <w:tcPr>
            <w:tcW w:w="1870" w:type="dxa"/>
            <w:vAlign w:val="bottom"/>
          </w:tcPr>
          <w:p w14:paraId="030CF92D" w14:textId="77777777" w:rsidR="008A08A0" w:rsidRPr="00AB39B6" w:rsidRDefault="008A08A0" w:rsidP="001B41BD">
            <w:r>
              <w:t>136.6</w:t>
            </w:r>
          </w:p>
        </w:tc>
        <w:tc>
          <w:tcPr>
            <w:tcW w:w="1870" w:type="dxa"/>
            <w:vAlign w:val="bottom"/>
          </w:tcPr>
          <w:p w14:paraId="23BFD3F2" w14:textId="77777777" w:rsidR="008A08A0" w:rsidRPr="00AB39B6" w:rsidRDefault="008A08A0" w:rsidP="001B41BD">
            <w:r>
              <w:t>252.2</w:t>
            </w:r>
          </w:p>
        </w:tc>
        <w:tc>
          <w:tcPr>
            <w:tcW w:w="1870" w:type="dxa"/>
            <w:vAlign w:val="bottom"/>
          </w:tcPr>
          <w:p w14:paraId="11329EEB" w14:textId="77777777" w:rsidR="008A08A0" w:rsidRPr="00AB39B6" w:rsidRDefault="008A08A0" w:rsidP="001B41BD">
            <w:r>
              <w:t>152.9</w:t>
            </w:r>
          </w:p>
        </w:tc>
      </w:tr>
      <w:tr w:rsidR="008A08A0" w14:paraId="3F483190" w14:textId="77777777" w:rsidTr="001B41BD">
        <w:tc>
          <w:tcPr>
            <w:tcW w:w="1870" w:type="dxa"/>
            <w:vAlign w:val="bottom"/>
          </w:tcPr>
          <w:p w14:paraId="5D7E1AEB" w14:textId="77777777" w:rsidR="008A08A0" w:rsidRPr="00AB39B6" w:rsidRDefault="008A08A0" w:rsidP="001B41BD">
            <w:r w:rsidRPr="00AB39B6">
              <w:t>2014-2018</w:t>
            </w:r>
          </w:p>
        </w:tc>
        <w:tc>
          <w:tcPr>
            <w:tcW w:w="1870" w:type="dxa"/>
            <w:vAlign w:val="bottom"/>
          </w:tcPr>
          <w:p w14:paraId="49DBA168" w14:textId="77777777" w:rsidR="008A08A0" w:rsidRPr="00AB39B6" w:rsidRDefault="008A08A0" w:rsidP="001B41BD">
            <w:r>
              <w:t>197.2</w:t>
            </w:r>
          </w:p>
        </w:tc>
        <w:tc>
          <w:tcPr>
            <w:tcW w:w="1870" w:type="dxa"/>
            <w:vAlign w:val="bottom"/>
          </w:tcPr>
          <w:p w14:paraId="09CBEC2D" w14:textId="77777777" w:rsidR="008A08A0" w:rsidRPr="00AB39B6" w:rsidRDefault="008A08A0" w:rsidP="001B41BD">
            <w:r>
              <w:t>135.2</w:t>
            </w:r>
          </w:p>
        </w:tc>
        <w:tc>
          <w:tcPr>
            <w:tcW w:w="1870" w:type="dxa"/>
            <w:vAlign w:val="bottom"/>
          </w:tcPr>
          <w:p w14:paraId="6F302235" w14:textId="77777777" w:rsidR="008A08A0" w:rsidRPr="00AB39B6" w:rsidRDefault="008A08A0" w:rsidP="001B41BD">
            <w:r>
              <w:t>244.4</w:t>
            </w:r>
          </w:p>
        </w:tc>
        <w:tc>
          <w:tcPr>
            <w:tcW w:w="1870" w:type="dxa"/>
            <w:vAlign w:val="bottom"/>
          </w:tcPr>
          <w:p w14:paraId="249D3D5F" w14:textId="77777777" w:rsidR="008A08A0" w:rsidRPr="00AB39B6" w:rsidRDefault="008A08A0" w:rsidP="001B41BD">
            <w:r>
              <w:t>149.1</w:t>
            </w:r>
          </w:p>
        </w:tc>
      </w:tr>
      <w:tr w:rsidR="008A08A0" w14:paraId="38323B9E" w14:textId="77777777" w:rsidTr="001B41BD">
        <w:tc>
          <w:tcPr>
            <w:tcW w:w="1870" w:type="dxa"/>
            <w:vAlign w:val="bottom"/>
          </w:tcPr>
          <w:p w14:paraId="4FA2492A" w14:textId="77777777" w:rsidR="008A08A0" w:rsidRPr="00AB39B6" w:rsidRDefault="008A08A0" w:rsidP="001B41BD">
            <w:r w:rsidRPr="00AB39B6">
              <w:t>2015-2019</w:t>
            </w:r>
          </w:p>
        </w:tc>
        <w:tc>
          <w:tcPr>
            <w:tcW w:w="1870" w:type="dxa"/>
            <w:vAlign w:val="bottom"/>
          </w:tcPr>
          <w:p w14:paraId="1FDDA0A8" w14:textId="77777777" w:rsidR="008A08A0" w:rsidRPr="00AB39B6" w:rsidRDefault="008A08A0" w:rsidP="001B41BD">
            <w:r>
              <w:t>192.5</w:t>
            </w:r>
          </w:p>
        </w:tc>
        <w:tc>
          <w:tcPr>
            <w:tcW w:w="1870" w:type="dxa"/>
            <w:vAlign w:val="bottom"/>
          </w:tcPr>
          <w:p w14:paraId="1469230D" w14:textId="77777777" w:rsidR="008A08A0" w:rsidRPr="00AB39B6" w:rsidRDefault="008A08A0" w:rsidP="001B41BD">
            <w:r>
              <w:t>132.1</w:t>
            </w:r>
          </w:p>
        </w:tc>
        <w:tc>
          <w:tcPr>
            <w:tcW w:w="1870" w:type="dxa"/>
            <w:vAlign w:val="bottom"/>
          </w:tcPr>
          <w:p w14:paraId="20727148" w14:textId="77777777" w:rsidR="008A08A0" w:rsidRPr="00AB39B6" w:rsidRDefault="008A08A0" w:rsidP="001B41BD">
            <w:r>
              <w:t>236.2</w:t>
            </w:r>
          </w:p>
        </w:tc>
        <w:tc>
          <w:tcPr>
            <w:tcW w:w="1870" w:type="dxa"/>
            <w:vAlign w:val="bottom"/>
          </w:tcPr>
          <w:p w14:paraId="61709C8A" w14:textId="77777777" w:rsidR="008A08A0" w:rsidRPr="00AB39B6" w:rsidRDefault="008A08A0" w:rsidP="001B41BD">
            <w:r>
              <w:t>147.7</w:t>
            </w:r>
          </w:p>
        </w:tc>
      </w:tr>
      <w:tr w:rsidR="008A08A0" w14:paraId="6CE24B84" w14:textId="77777777" w:rsidTr="001B41BD">
        <w:tc>
          <w:tcPr>
            <w:tcW w:w="1870" w:type="dxa"/>
            <w:vAlign w:val="bottom"/>
          </w:tcPr>
          <w:p w14:paraId="7A25DBEF" w14:textId="77777777" w:rsidR="008A08A0" w:rsidRPr="00AB39B6" w:rsidRDefault="008A08A0" w:rsidP="001B41BD">
            <w:r>
              <w:t>2016-2020</w:t>
            </w:r>
          </w:p>
        </w:tc>
        <w:tc>
          <w:tcPr>
            <w:tcW w:w="1870" w:type="dxa"/>
            <w:vAlign w:val="bottom"/>
          </w:tcPr>
          <w:p w14:paraId="1973613A" w14:textId="77777777" w:rsidR="008A08A0" w:rsidRPr="00AB39B6" w:rsidRDefault="008A08A0" w:rsidP="001B41BD">
            <w:r>
              <w:t>188.7</w:t>
            </w:r>
          </w:p>
        </w:tc>
        <w:tc>
          <w:tcPr>
            <w:tcW w:w="1870" w:type="dxa"/>
            <w:vAlign w:val="bottom"/>
          </w:tcPr>
          <w:p w14:paraId="7A65BC38" w14:textId="77777777" w:rsidR="008A08A0" w:rsidRPr="00AB39B6" w:rsidRDefault="008A08A0" w:rsidP="001B41BD">
            <w:r>
              <w:t>130.8</w:t>
            </w:r>
          </w:p>
        </w:tc>
        <w:tc>
          <w:tcPr>
            <w:tcW w:w="1870" w:type="dxa"/>
            <w:vAlign w:val="bottom"/>
          </w:tcPr>
          <w:p w14:paraId="2BF29B7E" w14:textId="77777777" w:rsidR="008A08A0" w:rsidRPr="00AB39B6" w:rsidRDefault="008A08A0" w:rsidP="001B41BD">
            <w:r>
              <w:t>231.7</w:t>
            </w:r>
          </w:p>
        </w:tc>
        <w:tc>
          <w:tcPr>
            <w:tcW w:w="1870" w:type="dxa"/>
            <w:vAlign w:val="bottom"/>
          </w:tcPr>
          <w:p w14:paraId="154400E0" w14:textId="77777777" w:rsidR="008A08A0" w:rsidRPr="00AB39B6" w:rsidRDefault="008A08A0" w:rsidP="001B41BD">
            <w:r>
              <w:t>145.2</w:t>
            </w:r>
          </w:p>
        </w:tc>
      </w:tr>
    </w:tbl>
    <w:p w14:paraId="4078055C" w14:textId="77777777" w:rsidR="008A08A0" w:rsidRPr="009B770E" w:rsidRDefault="008A08A0" w:rsidP="008A08A0">
      <w:r w:rsidRPr="009B770E">
        <w:t xml:space="preserve">Source: SC DHEC Vital Statistics. </w:t>
      </w:r>
    </w:p>
    <w:p w14:paraId="2C568D49" w14:textId="35791F2B" w:rsidR="008A08A0" w:rsidRDefault="008A08A0" w:rsidP="005561F7">
      <w:r w:rsidRPr="009B770E">
        <w:lastRenderedPageBreak/>
        <w:t>Note: Age-adjusted.</w:t>
      </w:r>
    </w:p>
    <w:p w14:paraId="6102B209" w14:textId="77777777" w:rsidR="008A08A0" w:rsidRDefault="008A08A0" w:rsidP="005561F7"/>
    <w:p w14:paraId="73E18F31" w14:textId="77777777" w:rsidR="008A08A0" w:rsidRPr="008A08A0" w:rsidRDefault="008A08A0" w:rsidP="008A08A0">
      <w:pPr>
        <w:pStyle w:val="Heading4"/>
      </w:pPr>
      <w:bookmarkStart w:id="768" w:name="_Toc162267520"/>
      <w:r w:rsidRPr="008A08A0">
        <w:t>Data Interpretations:</w:t>
      </w:r>
      <w:bookmarkEnd w:id="768"/>
      <w:r w:rsidRPr="008A08A0">
        <w:t xml:space="preserve"> </w:t>
      </w:r>
    </w:p>
    <w:p w14:paraId="4F381A84" w14:textId="794C017A" w:rsidR="008A08A0" w:rsidRPr="008A08A0" w:rsidRDefault="008A08A0" w:rsidP="008A08A0">
      <w:r w:rsidRPr="008A08A0">
        <w:t>In 2019, there were 28,296 new cases of cancer in SC (</w:t>
      </w:r>
      <w:r w:rsidRPr="008A08A0">
        <w:rPr>
          <w:b/>
          <w:bCs/>
        </w:rPr>
        <w:t>Table 9.2</w:t>
      </w:r>
      <w:r w:rsidRPr="008A08A0">
        <w:t>). Female breast cancer, cancer of the lung and bronchus, and prostate cancer contributed the greatest number of new cases among SC residents, followed by cancer of the colon and rectum, and melanoma of the skin. In 2020, 10,793 SC residents died from cancer (</w:t>
      </w:r>
      <w:r w:rsidRPr="008A08A0">
        <w:rPr>
          <w:b/>
          <w:bCs/>
        </w:rPr>
        <w:t>Table 9.2</w:t>
      </w:r>
      <w:r w:rsidRPr="008A08A0">
        <w:t>). Cancer of the lung and bronchus contributed to the largest number of deaths for residents of SC, followed by cancer of the colon and rectum, pancreatic cancer, female breast cancer, and prostate cancer (</w:t>
      </w:r>
      <w:r w:rsidRPr="008A08A0">
        <w:rPr>
          <w:b/>
          <w:bCs/>
        </w:rPr>
        <w:t>Table 9.2</w:t>
      </w:r>
      <w:r w:rsidRPr="008A08A0">
        <w:t xml:space="preserve">). </w:t>
      </w:r>
    </w:p>
    <w:p w14:paraId="0CDE09E2" w14:textId="77777777" w:rsidR="008A08A0" w:rsidRDefault="008A08A0" w:rsidP="008A08A0"/>
    <w:p w14:paraId="365E23D4" w14:textId="26079B50" w:rsidR="008A08A0" w:rsidRPr="008A08A0" w:rsidRDefault="008A08A0" w:rsidP="008A08A0">
      <w:r w:rsidRPr="008A08A0">
        <w:t>Between 2011 and 2015, SC had a higher incidence rate of cancers (466.1 cases per 100,000 population) as compared to the US rate (459.0 cases per 100,000 population); however, between 2015 and 2019 SC’s overall cancer incidence fell below the US average (</w:t>
      </w:r>
      <w:r w:rsidRPr="008A08A0">
        <w:rPr>
          <w:b/>
          <w:bCs/>
        </w:rPr>
        <w:t>Figure 9.24</w:t>
      </w:r>
      <w:r w:rsidRPr="008A08A0">
        <w:t>). Non-Hispanic Black males have the highest incidence rate of cancer as compared to any other race/ethnicity and sex combination; however, all race and sex groupings have seen a decrease in overall cancer incidence from 2011-2015 to 2015-2019 (</w:t>
      </w:r>
      <w:r w:rsidRPr="008A08A0">
        <w:rPr>
          <w:b/>
          <w:bCs/>
        </w:rPr>
        <w:t>Figure 9.25</w:t>
      </w:r>
      <w:r w:rsidRPr="008A08A0">
        <w:t xml:space="preserve">). </w:t>
      </w:r>
    </w:p>
    <w:p w14:paraId="5AEF366B" w14:textId="77777777" w:rsidR="008A08A0" w:rsidRDefault="008A08A0" w:rsidP="008A08A0"/>
    <w:p w14:paraId="54F70298" w14:textId="23A70ECB" w:rsidR="008A08A0" w:rsidRDefault="008A08A0" w:rsidP="008A08A0">
      <w:r w:rsidRPr="008A08A0">
        <w:t>The SC cancer mortality rate has decreased from 2012-2016 (171.2 cases per 100,000 population) to 2016-2020 (158.6 cases per 100,000 population); however, the rate has remained above the overall US cancer mortality rate (</w:t>
      </w:r>
      <w:r w:rsidRPr="008A08A0">
        <w:rPr>
          <w:b/>
          <w:bCs/>
        </w:rPr>
        <w:t>Figure 9.26</w:t>
      </w:r>
      <w:r w:rsidRPr="008A08A0">
        <w:t xml:space="preserve">). As of 2020, SC had not met the Healthy People 2030 overall cancer mortality goal of 122.7 cases per 100,000 population. Across the timeline, non-Hispanic Black males have had the highest mortality rates from cancer (231.7 per 100,000 population between 2016 and 2020), followed by non-Hispanic White males, non-Hispanic White females, and non-Hispanic Black females, respectively </w:t>
      </w:r>
      <w:r w:rsidRPr="008A08A0">
        <w:br/>
        <w:t>(</w:t>
      </w:r>
      <w:r w:rsidRPr="008A08A0">
        <w:rPr>
          <w:b/>
          <w:bCs/>
        </w:rPr>
        <w:t>Figure 9.27</w:t>
      </w:r>
      <w:r w:rsidRPr="008A08A0">
        <w:t>).</w:t>
      </w:r>
      <w:r w:rsidRPr="008A08A0">
        <w:rPr>
          <w:b/>
          <w:bCs/>
        </w:rPr>
        <w:t xml:space="preserve">   </w:t>
      </w:r>
      <w:r w:rsidRPr="008A08A0">
        <w:t xml:space="preserve">   </w:t>
      </w:r>
    </w:p>
    <w:p w14:paraId="28399D01" w14:textId="77777777" w:rsidR="008A08A0" w:rsidRDefault="008A08A0" w:rsidP="008A08A0"/>
    <w:p w14:paraId="579272CA" w14:textId="5D6B6088" w:rsidR="008A08A0" w:rsidRDefault="008A08A0" w:rsidP="008A08A0">
      <w:pPr>
        <w:pStyle w:val="Heading5"/>
      </w:pPr>
      <w:r>
        <w:t>Key takeaways:</w:t>
      </w:r>
    </w:p>
    <w:p w14:paraId="21B62724" w14:textId="30201E9A" w:rsidR="008A08A0" w:rsidRDefault="008A08A0" w:rsidP="00926EB3">
      <w:pPr>
        <w:pStyle w:val="ListParagraph"/>
        <w:numPr>
          <w:ilvl w:val="0"/>
          <w:numId w:val="228"/>
        </w:numPr>
      </w:pPr>
      <w:r w:rsidRPr="008A08A0">
        <w:t>Cancer is currently the second-leading cause of death among all ages in both SC and the US and non-Hispanic Black males assume the highest burden for cancer cases and deaths.</w:t>
      </w:r>
    </w:p>
    <w:p w14:paraId="502C154E" w14:textId="77777777" w:rsidR="00ED5B1E" w:rsidRDefault="00ED5B1E" w:rsidP="008A08A0">
      <w:pPr>
        <w:pStyle w:val="Heading4"/>
        <w:rPr>
          <w:rFonts w:asciiTheme="minorHAnsi" w:hAnsiTheme="minorHAnsi" w:cstheme="minorHAnsi"/>
          <w:color w:val="000000" w:themeColor="text1"/>
        </w:rPr>
      </w:pPr>
    </w:p>
    <w:p w14:paraId="4548F8F1" w14:textId="55A2588E" w:rsidR="008A08A0" w:rsidRPr="005561F7" w:rsidRDefault="008A08A0" w:rsidP="008A08A0">
      <w:pPr>
        <w:pStyle w:val="Heading4"/>
        <w:rPr>
          <w:rFonts w:asciiTheme="minorHAnsi" w:hAnsiTheme="minorHAnsi" w:cstheme="minorHAnsi"/>
          <w:color w:val="000000" w:themeColor="text1"/>
        </w:rPr>
      </w:pPr>
      <w:bookmarkStart w:id="769" w:name="_Toc162267521"/>
      <w:r w:rsidRPr="005561F7">
        <w:rPr>
          <w:rFonts w:asciiTheme="minorHAnsi" w:hAnsiTheme="minorHAnsi" w:cstheme="minorHAnsi"/>
          <w:color w:val="000000" w:themeColor="text1"/>
        </w:rPr>
        <w:t>References 9.</w:t>
      </w:r>
      <w:r>
        <w:rPr>
          <w:rFonts w:asciiTheme="minorHAnsi" w:hAnsiTheme="minorHAnsi" w:cstheme="minorHAnsi"/>
          <w:color w:val="000000" w:themeColor="text1"/>
        </w:rPr>
        <w:t>13</w:t>
      </w:r>
      <w:bookmarkEnd w:id="769"/>
      <w:r w:rsidRPr="005561F7">
        <w:rPr>
          <w:rFonts w:asciiTheme="minorHAnsi" w:hAnsiTheme="minorHAnsi" w:cstheme="minorHAnsi"/>
          <w:color w:val="000000" w:themeColor="text1"/>
        </w:rPr>
        <w:t xml:space="preserve"> </w:t>
      </w:r>
    </w:p>
    <w:p w14:paraId="2D666F00" w14:textId="4F556629" w:rsidR="00ED5B1E" w:rsidRPr="005561F7" w:rsidRDefault="008A08A0" w:rsidP="008A08A0">
      <w:r w:rsidRPr="005561F7">
        <w:t>Statistics in the preceding section were referenced from the following reports:</w:t>
      </w:r>
    </w:p>
    <w:p w14:paraId="33A6FFC3" w14:textId="6CE66C27" w:rsidR="00ED5B1E" w:rsidRPr="00ED5B1E" w:rsidRDefault="00000000" w:rsidP="00926EB3">
      <w:pPr>
        <w:pStyle w:val="ListParagraph"/>
        <w:numPr>
          <w:ilvl w:val="0"/>
          <w:numId w:val="192"/>
        </w:numPr>
      </w:pPr>
      <w:hyperlink r:id="rId352" w:anchor="lcod" w:history="1">
        <w:r w:rsidR="00ED5B1E" w:rsidRPr="00ED5B1E">
          <w:rPr>
            <w:rStyle w:val="Hyperlink"/>
          </w:rPr>
          <w:t>National Center for Health Statistics, South Carolina. Centers for Disease Control and Prevention, 2022. Retrieved December 13, 2022.</w:t>
        </w:r>
      </w:hyperlink>
    </w:p>
    <w:p w14:paraId="28AEB588" w14:textId="48C2DC13" w:rsidR="00ED5B1E" w:rsidRPr="00ED5B1E" w:rsidRDefault="00000000" w:rsidP="00926EB3">
      <w:pPr>
        <w:pStyle w:val="ListParagraph"/>
        <w:numPr>
          <w:ilvl w:val="0"/>
          <w:numId w:val="192"/>
        </w:numPr>
        <w:rPr>
          <w:u w:val="thick"/>
        </w:rPr>
      </w:pPr>
      <w:hyperlink r:id="rId353" w:history="1">
        <w:r w:rsidR="00ED5B1E" w:rsidRPr="00C152A8">
          <w:rPr>
            <w:rStyle w:val="Hyperlink"/>
          </w:rPr>
          <w:t xml:space="preserve">“Mortality in the United States, 2020” by </w:t>
        </w:r>
        <w:r w:rsidR="00ED5B1E" w:rsidRPr="00ED5B1E">
          <w:rPr>
            <w:rStyle w:val="Hyperlink"/>
          </w:rPr>
          <w:t xml:space="preserve">Murphy SL, </w:t>
        </w:r>
        <w:proofErr w:type="spellStart"/>
        <w:r w:rsidR="00ED5B1E" w:rsidRPr="00ED5B1E">
          <w:rPr>
            <w:rStyle w:val="Hyperlink"/>
          </w:rPr>
          <w:t>Kochanek</w:t>
        </w:r>
        <w:proofErr w:type="spellEnd"/>
        <w:r w:rsidR="00ED5B1E" w:rsidRPr="00ED5B1E">
          <w:rPr>
            <w:rStyle w:val="Hyperlink"/>
          </w:rPr>
          <w:t xml:space="preserve"> KD, Xu JQ, Arias</w:t>
        </w:r>
        <w:r w:rsidR="00ED5B1E" w:rsidRPr="00C152A8">
          <w:rPr>
            <w:rStyle w:val="Hyperlink"/>
          </w:rPr>
          <w:t>. Published by the National Center for Health Statistics. 2021.</w:t>
        </w:r>
      </w:hyperlink>
      <w:r w:rsidR="00ED5B1E" w:rsidRPr="00ED5B1E">
        <w:t xml:space="preserve"> </w:t>
      </w:r>
    </w:p>
    <w:p w14:paraId="5176E624" w14:textId="742E3789" w:rsidR="00ED5B1E" w:rsidRPr="00ED5B1E" w:rsidRDefault="00000000" w:rsidP="00926EB3">
      <w:pPr>
        <w:pStyle w:val="ListParagraph"/>
        <w:numPr>
          <w:ilvl w:val="0"/>
          <w:numId w:val="192"/>
        </w:numPr>
      </w:pPr>
      <w:hyperlink r:id="rId354" w:history="1">
        <w:r w:rsidR="00C152A8" w:rsidRPr="00C152A8">
          <w:rPr>
            <w:rStyle w:val="Hyperlink"/>
          </w:rPr>
          <w:t>US Mortality: Surveillance, Epidemiology, and End Results (SEER) Program SEER*Stat Database: Mortality - All COD, Aggregated With State, Total U.S. (1969-2020) &lt;Katrina/Rita Population Adjustment&gt;, National Cancer Institute, DCCPS, Surveillance Research P</w:t>
        </w:r>
      </w:hyperlink>
    </w:p>
    <w:p w14:paraId="5967D4B5" w14:textId="669A4F60" w:rsidR="00ED5B1E" w:rsidRPr="00ED5B1E" w:rsidRDefault="00000000" w:rsidP="00926EB3">
      <w:pPr>
        <w:pStyle w:val="ListParagraph"/>
        <w:numPr>
          <w:ilvl w:val="0"/>
          <w:numId w:val="192"/>
        </w:numPr>
        <w:rPr>
          <w:u w:val="thick"/>
        </w:rPr>
      </w:pPr>
      <w:hyperlink r:id="rId355" w:history="1">
        <w:r w:rsidR="00C152A8" w:rsidRPr="00C152A8">
          <w:rPr>
            <w:rStyle w:val="Hyperlink"/>
          </w:rPr>
          <w:t>“</w:t>
        </w:r>
        <w:r w:rsidR="00ED5B1E" w:rsidRPr="00C152A8">
          <w:rPr>
            <w:rStyle w:val="Hyperlink"/>
          </w:rPr>
          <w:t>More than 4 in 10 cancers and cancer deaths linked to modifiable risk factors</w:t>
        </w:r>
        <w:r w:rsidR="00C152A8" w:rsidRPr="00C152A8">
          <w:rPr>
            <w:rStyle w:val="Hyperlink"/>
          </w:rPr>
          <w:t xml:space="preserve">” by Mendes, E. Published by the </w:t>
        </w:r>
        <w:r w:rsidR="00ED5B1E" w:rsidRPr="00C152A8">
          <w:rPr>
            <w:rStyle w:val="Hyperlink"/>
          </w:rPr>
          <w:t>American Cancer Society</w:t>
        </w:r>
        <w:r w:rsidR="00C152A8" w:rsidRPr="00C152A8">
          <w:rPr>
            <w:rStyle w:val="Hyperlink"/>
          </w:rPr>
          <w:t>, 2017</w:t>
        </w:r>
        <w:r w:rsidR="00ED5B1E" w:rsidRPr="00C152A8">
          <w:rPr>
            <w:rStyle w:val="Hyperlink"/>
          </w:rPr>
          <w:t>. Retrieved December 13, 2022</w:t>
        </w:r>
        <w:r w:rsidR="00C152A8" w:rsidRPr="00C152A8">
          <w:rPr>
            <w:rStyle w:val="Hyperlink"/>
          </w:rPr>
          <w:t>.</w:t>
        </w:r>
      </w:hyperlink>
      <w:r w:rsidR="00ED5B1E" w:rsidRPr="00ED5B1E">
        <w:t xml:space="preserve"> </w:t>
      </w:r>
    </w:p>
    <w:p w14:paraId="7F581797" w14:textId="704D4B4F" w:rsidR="00ED5B1E" w:rsidRPr="00ED5B1E" w:rsidRDefault="00ED5B1E" w:rsidP="00926EB3">
      <w:pPr>
        <w:pStyle w:val="ListParagraph"/>
        <w:numPr>
          <w:ilvl w:val="0"/>
          <w:numId w:val="192"/>
        </w:numPr>
      </w:pPr>
      <w:r w:rsidRPr="00ED5B1E">
        <w:t>South Carolina Revenue and Fiscal Affairs Office, Hospital Discharge Patient-Level Dataset</w:t>
      </w:r>
      <w:r w:rsidR="00C152A8">
        <w:t>. No hyperlink.</w:t>
      </w:r>
    </w:p>
    <w:p w14:paraId="0A2442D8" w14:textId="77777777" w:rsidR="008A08A0" w:rsidRDefault="008A08A0" w:rsidP="005561F7"/>
    <w:p w14:paraId="2311A28E" w14:textId="77777777" w:rsidR="008A08A0" w:rsidRPr="008A08A0" w:rsidRDefault="008A08A0" w:rsidP="008A08A0">
      <w:pPr>
        <w:pStyle w:val="Heading3"/>
      </w:pPr>
      <w:bookmarkStart w:id="770" w:name="_Toc162267522"/>
      <w:r w:rsidRPr="008A08A0">
        <w:t>Lung Cancer</w:t>
      </w:r>
      <w:bookmarkEnd w:id="770"/>
    </w:p>
    <w:p w14:paraId="5CFAAF8E" w14:textId="1EF4DD7E" w:rsidR="008A08A0" w:rsidRPr="008A08A0" w:rsidRDefault="008A08A0" w:rsidP="008A08A0">
      <w:r w:rsidRPr="008A08A0">
        <w:t>Lung cancer is the leading cause of cancer death and the third-most common cancer in the US. Cigarette smoking is the leading cause of lung cancer and is estimated to account for 80% of lung cancer cases. Nationally, only 24% of lung cancer cases are diagnosed in the early stage when the five-year survival is 60%. Many lung cancer cases are found during the late stage (46%) when the five-year survival is only 6%. SC early</w:t>
      </w:r>
      <w:r w:rsidR="00FC41EB">
        <w:t>-</w:t>
      </w:r>
      <w:r w:rsidRPr="008A08A0">
        <w:t>stage and late-stage diagnoses and survival times mirror those of the nation. SC ranks 21st in the nation for lung cancer incidence rate and 15th in the nation for lung cancer death rate.</w:t>
      </w:r>
      <w:r w:rsidRPr="008A08A0">
        <w:rPr>
          <w:b/>
          <w:bCs/>
        </w:rPr>
        <w:t xml:space="preserve"> </w:t>
      </w:r>
      <w:r w:rsidRPr="008A08A0">
        <w:t xml:space="preserve">Males have a 47% higher incidence rate and 67% higher mortality rate from lung cancer as compared to their female counterparts. In 2021, the average inpatient charges associated with lung cancer were $84,471, which added up to a total economic impact of $158,953,010 for the state of SC. </w:t>
      </w:r>
    </w:p>
    <w:p w14:paraId="2F6837C6" w14:textId="77777777" w:rsidR="007F56A0" w:rsidRDefault="007F56A0" w:rsidP="007F56A0">
      <w:pPr>
        <w:pStyle w:val="Heading4"/>
      </w:pPr>
    </w:p>
    <w:p w14:paraId="2939F1C5" w14:textId="3A92DE55" w:rsidR="007F56A0" w:rsidRDefault="007F56A0" w:rsidP="007F56A0">
      <w:pPr>
        <w:pStyle w:val="Heading4"/>
      </w:pPr>
      <w:bookmarkStart w:id="771" w:name="_Toc162267523"/>
      <w:r>
        <w:t>Table 9.2: Leading Number of New Cases of Cancer.</w:t>
      </w:r>
      <w:bookmarkEnd w:id="771"/>
    </w:p>
    <w:p w14:paraId="2EFCCCA3" w14:textId="77777777" w:rsidR="007F56A0" w:rsidRDefault="007F56A0" w:rsidP="007F56A0">
      <w:pPr>
        <w:pStyle w:val="Heading5"/>
      </w:pPr>
      <w:r>
        <w:t>2019.</w:t>
      </w:r>
    </w:p>
    <w:tbl>
      <w:tblPr>
        <w:tblStyle w:val="TableGrid"/>
        <w:tblW w:w="0" w:type="auto"/>
        <w:tblLook w:val="04A0" w:firstRow="1" w:lastRow="0" w:firstColumn="1" w:lastColumn="0" w:noHBand="0" w:noVBand="1"/>
      </w:tblPr>
      <w:tblGrid>
        <w:gridCol w:w="4675"/>
        <w:gridCol w:w="4675"/>
      </w:tblGrid>
      <w:tr w:rsidR="007F56A0" w14:paraId="1D2243A9" w14:textId="77777777" w:rsidTr="001B41BD">
        <w:tc>
          <w:tcPr>
            <w:tcW w:w="4675" w:type="dxa"/>
          </w:tcPr>
          <w:p w14:paraId="33435A4A" w14:textId="77777777" w:rsidR="007F56A0" w:rsidRDefault="007F56A0" w:rsidP="001B41BD">
            <w:r>
              <w:t>Cancer Type</w:t>
            </w:r>
          </w:p>
        </w:tc>
        <w:tc>
          <w:tcPr>
            <w:tcW w:w="4675" w:type="dxa"/>
          </w:tcPr>
          <w:p w14:paraId="39EB90E4" w14:textId="77777777" w:rsidR="007F56A0" w:rsidRDefault="007F56A0" w:rsidP="001B41BD">
            <w:r>
              <w:t>Number</w:t>
            </w:r>
          </w:p>
        </w:tc>
      </w:tr>
      <w:tr w:rsidR="007F56A0" w14:paraId="1A445CEA" w14:textId="77777777" w:rsidTr="001B41BD">
        <w:tc>
          <w:tcPr>
            <w:tcW w:w="4675" w:type="dxa"/>
          </w:tcPr>
          <w:p w14:paraId="468A7326" w14:textId="77777777" w:rsidR="007F56A0" w:rsidRDefault="007F56A0" w:rsidP="001B41BD">
            <w:r>
              <w:t>Total</w:t>
            </w:r>
          </w:p>
        </w:tc>
        <w:tc>
          <w:tcPr>
            <w:tcW w:w="4675" w:type="dxa"/>
          </w:tcPr>
          <w:p w14:paraId="487060F4" w14:textId="77777777" w:rsidR="007F56A0" w:rsidRDefault="007F56A0" w:rsidP="001B41BD">
            <w:r>
              <w:t>28,296</w:t>
            </w:r>
          </w:p>
        </w:tc>
      </w:tr>
      <w:tr w:rsidR="007F56A0" w14:paraId="0668D9E3" w14:textId="77777777" w:rsidTr="001B41BD">
        <w:tc>
          <w:tcPr>
            <w:tcW w:w="4675" w:type="dxa"/>
            <w:vAlign w:val="bottom"/>
          </w:tcPr>
          <w:p w14:paraId="4BAD428A" w14:textId="77777777" w:rsidR="007F56A0" w:rsidRDefault="007F56A0" w:rsidP="001B41BD">
            <w:r>
              <w:t>Female Breast</w:t>
            </w:r>
          </w:p>
        </w:tc>
        <w:tc>
          <w:tcPr>
            <w:tcW w:w="4675" w:type="dxa"/>
            <w:vAlign w:val="bottom"/>
          </w:tcPr>
          <w:p w14:paraId="50DE978D" w14:textId="77777777" w:rsidR="007F56A0" w:rsidRDefault="007F56A0" w:rsidP="001B41BD">
            <w:r>
              <w:t>4,545</w:t>
            </w:r>
          </w:p>
        </w:tc>
      </w:tr>
      <w:tr w:rsidR="007F56A0" w14:paraId="34D9E441" w14:textId="77777777" w:rsidTr="001B41BD">
        <w:tc>
          <w:tcPr>
            <w:tcW w:w="4675" w:type="dxa"/>
            <w:vAlign w:val="bottom"/>
          </w:tcPr>
          <w:p w14:paraId="7F7B8EE3" w14:textId="77777777" w:rsidR="007F56A0" w:rsidRDefault="007F56A0" w:rsidP="001B41BD">
            <w:r>
              <w:t>Lung &amp; Bronchus</w:t>
            </w:r>
          </w:p>
        </w:tc>
        <w:tc>
          <w:tcPr>
            <w:tcW w:w="4675" w:type="dxa"/>
            <w:vAlign w:val="bottom"/>
          </w:tcPr>
          <w:p w14:paraId="422587DC" w14:textId="77777777" w:rsidR="007F56A0" w:rsidRDefault="007F56A0" w:rsidP="001B41BD">
            <w:r>
              <w:t>4,100</w:t>
            </w:r>
          </w:p>
        </w:tc>
      </w:tr>
      <w:tr w:rsidR="007F56A0" w14:paraId="756F37AF" w14:textId="77777777" w:rsidTr="001B41BD">
        <w:tc>
          <w:tcPr>
            <w:tcW w:w="4675" w:type="dxa"/>
            <w:vAlign w:val="bottom"/>
          </w:tcPr>
          <w:p w14:paraId="26166995" w14:textId="77777777" w:rsidR="007F56A0" w:rsidRDefault="007F56A0" w:rsidP="001B41BD">
            <w:r>
              <w:t>Prostate</w:t>
            </w:r>
          </w:p>
        </w:tc>
        <w:tc>
          <w:tcPr>
            <w:tcW w:w="4675" w:type="dxa"/>
            <w:vAlign w:val="bottom"/>
          </w:tcPr>
          <w:p w14:paraId="44DD360C" w14:textId="77777777" w:rsidR="007F56A0" w:rsidRDefault="007F56A0" w:rsidP="001B41BD">
            <w:r>
              <w:t>3,715</w:t>
            </w:r>
          </w:p>
        </w:tc>
      </w:tr>
      <w:tr w:rsidR="007F56A0" w14:paraId="01E4F69C" w14:textId="77777777" w:rsidTr="001B41BD">
        <w:tc>
          <w:tcPr>
            <w:tcW w:w="4675" w:type="dxa"/>
            <w:vAlign w:val="bottom"/>
          </w:tcPr>
          <w:p w14:paraId="46B81FCC" w14:textId="77777777" w:rsidR="007F56A0" w:rsidRDefault="007F56A0" w:rsidP="001B41BD">
            <w:r>
              <w:t>Colon &amp; Rectum</w:t>
            </w:r>
          </w:p>
        </w:tc>
        <w:tc>
          <w:tcPr>
            <w:tcW w:w="4675" w:type="dxa"/>
            <w:vAlign w:val="bottom"/>
          </w:tcPr>
          <w:p w14:paraId="20A8AC41" w14:textId="77777777" w:rsidR="007F56A0" w:rsidRDefault="007F56A0" w:rsidP="001B41BD">
            <w:r>
              <w:t>2,353</w:t>
            </w:r>
          </w:p>
        </w:tc>
      </w:tr>
      <w:tr w:rsidR="007F56A0" w14:paraId="59B0B5CD" w14:textId="77777777" w:rsidTr="001B41BD">
        <w:tc>
          <w:tcPr>
            <w:tcW w:w="4675" w:type="dxa"/>
            <w:vAlign w:val="bottom"/>
          </w:tcPr>
          <w:p w14:paraId="47D56C9A" w14:textId="77777777" w:rsidR="007F56A0" w:rsidRDefault="007F56A0" w:rsidP="001B41BD">
            <w:r>
              <w:lastRenderedPageBreak/>
              <w:t>Melanoma</w:t>
            </w:r>
          </w:p>
        </w:tc>
        <w:tc>
          <w:tcPr>
            <w:tcW w:w="4675" w:type="dxa"/>
            <w:vAlign w:val="bottom"/>
          </w:tcPr>
          <w:p w14:paraId="61B4370C" w14:textId="77777777" w:rsidR="007F56A0" w:rsidRDefault="007F56A0" w:rsidP="001B41BD">
            <w:r>
              <w:t>1,317</w:t>
            </w:r>
          </w:p>
        </w:tc>
      </w:tr>
    </w:tbl>
    <w:p w14:paraId="6B3B6FA2" w14:textId="77777777" w:rsidR="007F56A0" w:rsidRDefault="007F56A0" w:rsidP="007F56A0">
      <w:pPr>
        <w:pStyle w:val="Heading5"/>
      </w:pPr>
      <w:r>
        <w:t>2020.</w:t>
      </w:r>
    </w:p>
    <w:tbl>
      <w:tblPr>
        <w:tblStyle w:val="TableGrid"/>
        <w:tblW w:w="0" w:type="auto"/>
        <w:tblLook w:val="04A0" w:firstRow="1" w:lastRow="0" w:firstColumn="1" w:lastColumn="0" w:noHBand="0" w:noVBand="1"/>
      </w:tblPr>
      <w:tblGrid>
        <w:gridCol w:w="4675"/>
        <w:gridCol w:w="4675"/>
      </w:tblGrid>
      <w:tr w:rsidR="007F56A0" w14:paraId="110AC8D0" w14:textId="77777777" w:rsidTr="001B41BD">
        <w:tc>
          <w:tcPr>
            <w:tcW w:w="4675" w:type="dxa"/>
          </w:tcPr>
          <w:p w14:paraId="623684D9" w14:textId="77777777" w:rsidR="007F56A0" w:rsidRDefault="007F56A0" w:rsidP="001B41BD">
            <w:r>
              <w:t>Cancer Type</w:t>
            </w:r>
          </w:p>
        </w:tc>
        <w:tc>
          <w:tcPr>
            <w:tcW w:w="4675" w:type="dxa"/>
          </w:tcPr>
          <w:p w14:paraId="6093615B" w14:textId="77777777" w:rsidR="007F56A0" w:rsidRDefault="007F56A0" w:rsidP="001B41BD">
            <w:r>
              <w:t>Number</w:t>
            </w:r>
          </w:p>
        </w:tc>
      </w:tr>
      <w:tr w:rsidR="007F56A0" w14:paraId="1D82E572" w14:textId="77777777" w:rsidTr="001B41BD">
        <w:tc>
          <w:tcPr>
            <w:tcW w:w="4675" w:type="dxa"/>
          </w:tcPr>
          <w:p w14:paraId="65C6847D" w14:textId="77777777" w:rsidR="007F56A0" w:rsidRDefault="007F56A0" w:rsidP="001B41BD">
            <w:r>
              <w:t>Total</w:t>
            </w:r>
          </w:p>
        </w:tc>
        <w:tc>
          <w:tcPr>
            <w:tcW w:w="4675" w:type="dxa"/>
          </w:tcPr>
          <w:p w14:paraId="0BD5A0B5" w14:textId="77777777" w:rsidR="007F56A0" w:rsidRDefault="007F56A0" w:rsidP="001B41BD">
            <w:r>
              <w:t>10,793</w:t>
            </w:r>
          </w:p>
        </w:tc>
      </w:tr>
      <w:tr w:rsidR="007F56A0" w14:paraId="16896E72" w14:textId="77777777" w:rsidTr="001B41BD">
        <w:tc>
          <w:tcPr>
            <w:tcW w:w="4675" w:type="dxa"/>
            <w:vAlign w:val="bottom"/>
          </w:tcPr>
          <w:p w14:paraId="41A907E7" w14:textId="77777777" w:rsidR="007F56A0" w:rsidRDefault="007F56A0" w:rsidP="001B41BD">
            <w:r>
              <w:t>Lung &amp; Bronchus</w:t>
            </w:r>
          </w:p>
        </w:tc>
        <w:tc>
          <w:tcPr>
            <w:tcW w:w="4675" w:type="dxa"/>
            <w:vAlign w:val="bottom"/>
          </w:tcPr>
          <w:p w14:paraId="0CA0F952" w14:textId="77777777" w:rsidR="007F56A0" w:rsidRDefault="007F56A0" w:rsidP="001B41BD">
            <w:r>
              <w:t>2,692</w:t>
            </w:r>
          </w:p>
        </w:tc>
      </w:tr>
      <w:tr w:rsidR="007F56A0" w14:paraId="5DF99C96" w14:textId="77777777" w:rsidTr="001B41BD">
        <w:tc>
          <w:tcPr>
            <w:tcW w:w="4675" w:type="dxa"/>
            <w:vAlign w:val="bottom"/>
          </w:tcPr>
          <w:p w14:paraId="315ED2F9" w14:textId="77777777" w:rsidR="007F56A0" w:rsidRDefault="007F56A0" w:rsidP="001B41BD">
            <w:r>
              <w:t>Colon &amp; Rectum</w:t>
            </w:r>
          </w:p>
        </w:tc>
        <w:tc>
          <w:tcPr>
            <w:tcW w:w="4675" w:type="dxa"/>
            <w:vAlign w:val="bottom"/>
          </w:tcPr>
          <w:p w14:paraId="1DD05FD8" w14:textId="77777777" w:rsidR="007F56A0" w:rsidRDefault="007F56A0" w:rsidP="001B41BD">
            <w:r>
              <w:t>898</w:t>
            </w:r>
          </w:p>
        </w:tc>
      </w:tr>
      <w:tr w:rsidR="007F56A0" w14:paraId="14482903" w14:textId="77777777" w:rsidTr="001B41BD">
        <w:tc>
          <w:tcPr>
            <w:tcW w:w="4675" w:type="dxa"/>
            <w:vAlign w:val="bottom"/>
          </w:tcPr>
          <w:p w14:paraId="4BF90C65" w14:textId="77777777" w:rsidR="007F56A0" w:rsidRDefault="007F56A0" w:rsidP="001B41BD">
            <w:r>
              <w:t>Pancreas</w:t>
            </w:r>
          </w:p>
        </w:tc>
        <w:tc>
          <w:tcPr>
            <w:tcW w:w="4675" w:type="dxa"/>
            <w:vAlign w:val="bottom"/>
          </w:tcPr>
          <w:p w14:paraId="2C5D59BB" w14:textId="77777777" w:rsidR="007F56A0" w:rsidRDefault="007F56A0" w:rsidP="001B41BD">
            <w:r>
              <w:t>799</w:t>
            </w:r>
          </w:p>
        </w:tc>
      </w:tr>
      <w:tr w:rsidR="007F56A0" w14:paraId="6635C3A2" w14:textId="77777777" w:rsidTr="001B41BD">
        <w:tc>
          <w:tcPr>
            <w:tcW w:w="4675" w:type="dxa"/>
            <w:vAlign w:val="bottom"/>
          </w:tcPr>
          <w:p w14:paraId="2F5A15E8" w14:textId="77777777" w:rsidR="007F56A0" w:rsidRDefault="007F56A0" w:rsidP="001B41BD">
            <w:r>
              <w:t>Female Breast</w:t>
            </w:r>
          </w:p>
        </w:tc>
        <w:tc>
          <w:tcPr>
            <w:tcW w:w="4675" w:type="dxa"/>
            <w:vAlign w:val="bottom"/>
          </w:tcPr>
          <w:p w14:paraId="2E073981" w14:textId="77777777" w:rsidR="007F56A0" w:rsidRDefault="007F56A0" w:rsidP="001B41BD">
            <w:r>
              <w:t>796</w:t>
            </w:r>
          </w:p>
        </w:tc>
      </w:tr>
      <w:tr w:rsidR="007F56A0" w14:paraId="08E53756" w14:textId="77777777" w:rsidTr="001B41BD">
        <w:tc>
          <w:tcPr>
            <w:tcW w:w="4675" w:type="dxa"/>
            <w:vAlign w:val="bottom"/>
          </w:tcPr>
          <w:p w14:paraId="379EF96A" w14:textId="77777777" w:rsidR="007F56A0" w:rsidRDefault="007F56A0" w:rsidP="001B41BD">
            <w:r>
              <w:t>Prostate</w:t>
            </w:r>
          </w:p>
        </w:tc>
        <w:tc>
          <w:tcPr>
            <w:tcW w:w="4675" w:type="dxa"/>
            <w:vAlign w:val="bottom"/>
          </w:tcPr>
          <w:p w14:paraId="68D32FFF" w14:textId="77777777" w:rsidR="007F56A0" w:rsidRDefault="007F56A0" w:rsidP="001B41BD">
            <w:r>
              <w:t>600</w:t>
            </w:r>
          </w:p>
        </w:tc>
      </w:tr>
    </w:tbl>
    <w:p w14:paraId="5C888EB8" w14:textId="77777777" w:rsidR="007F56A0" w:rsidRDefault="007F56A0" w:rsidP="007F56A0">
      <w:r w:rsidRPr="00122D44">
        <w:t>Sources: SC DHEC CCR, SC DHEC Vital Statistics.</w:t>
      </w:r>
    </w:p>
    <w:p w14:paraId="55CE67AA" w14:textId="77777777" w:rsidR="00C152A8" w:rsidRDefault="00C152A8" w:rsidP="007F56A0">
      <w:pPr>
        <w:pStyle w:val="Heading4"/>
      </w:pPr>
      <w:bookmarkStart w:id="772" w:name="_Toc154576510"/>
    </w:p>
    <w:p w14:paraId="60AEF952" w14:textId="604F1B12" w:rsidR="007F56A0" w:rsidRDefault="007F56A0" w:rsidP="007F56A0">
      <w:pPr>
        <w:pStyle w:val="Heading4"/>
      </w:pPr>
      <w:bookmarkStart w:id="773" w:name="_Toc162267524"/>
      <w:r>
        <w:t>Figure 9.28: Lung Cancer Incidence, by Race/Ethnicity and Sex.</w:t>
      </w:r>
      <w:bookmarkEnd w:id="772"/>
      <w:bookmarkEnd w:id="773"/>
    </w:p>
    <w:p w14:paraId="339FB660" w14:textId="77777777" w:rsidR="007F56A0" w:rsidRDefault="007F56A0" w:rsidP="007F56A0">
      <w:pPr>
        <w:pStyle w:val="Heading5"/>
      </w:pPr>
      <w:r>
        <w:t>Rate per 100,000 population.</w:t>
      </w:r>
    </w:p>
    <w:tbl>
      <w:tblPr>
        <w:tblStyle w:val="TableGrid"/>
        <w:tblW w:w="0" w:type="auto"/>
        <w:tblLook w:val="04A0" w:firstRow="1" w:lastRow="0" w:firstColumn="1" w:lastColumn="0" w:noHBand="0" w:noVBand="1"/>
      </w:tblPr>
      <w:tblGrid>
        <w:gridCol w:w="1870"/>
        <w:gridCol w:w="1870"/>
        <w:gridCol w:w="1870"/>
        <w:gridCol w:w="1870"/>
        <w:gridCol w:w="1870"/>
      </w:tblGrid>
      <w:tr w:rsidR="007F56A0" w14:paraId="593EBD49" w14:textId="77777777" w:rsidTr="001B41BD">
        <w:tc>
          <w:tcPr>
            <w:tcW w:w="1870" w:type="dxa"/>
            <w:vAlign w:val="bottom"/>
          </w:tcPr>
          <w:p w14:paraId="112456D2" w14:textId="77777777" w:rsidR="007F56A0" w:rsidRPr="00972687" w:rsidRDefault="007F56A0" w:rsidP="001B41BD">
            <w:r>
              <w:t>Years</w:t>
            </w:r>
          </w:p>
        </w:tc>
        <w:tc>
          <w:tcPr>
            <w:tcW w:w="1870" w:type="dxa"/>
            <w:vAlign w:val="bottom"/>
          </w:tcPr>
          <w:p w14:paraId="3A2376E1" w14:textId="77777777" w:rsidR="007F56A0" w:rsidRPr="00972687" w:rsidRDefault="007F56A0" w:rsidP="001B41BD">
            <w:r w:rsidRPr="00972687">
              <w:t>Non- Hispanic White Male</w:t>
            </w:r>
          </w:p>
        </w:tc>
        <w:tc>
          <w:tcPr>
            <w:tcW w:w="1870" w:type="dxa"/>
            <w:vAlign w:val="bottom"/>
          </w:tcPr>
          <w:p w14:paraId="7D945F3D" w14:textId="77777777" w:rsidR="007F56A0" w:rsidRPr="00972687" w:rsidRDefault="007F56A0" w:rsidP="001B41BD">
            <w:r w:rsidRPr="00972687">
              <w:t>Non-Hispanic White Female</w:t>
            </w:r>
          </w:p>
        </w:tc>
        <w:tc>
          <w:tcPr>
            <w:tcW w:w="1870" w:type="dxa"/>
            <w:vAlign w:val="bottom"/>
          </w:tcPr>
          <w:p w14:paraId="4016AEA1" w14:textId="77777777" w:rsidR="007F56A0" w:rsidRPr="00972687" w:rsidRDefault="007F56A0" w:rsidP="001B41BD">
            <w:r w:rsidRPr="00972687">
              <w:t>Non-Hispanic Black Male</w:t>
            </w:r>
          </w:p>
        </w:tc>
        <w:tc>
          <w:tcPr>
            <w:tcW w:w="1870" w:type="dxa"/>
            <w:vAlign w:val="bottom"/>
          </w:tcPr>
          <w:p w14:paraId="41363FEA" w14:textId="77777777" w:rsidR="007F56A0" w:rsidRPr="00972687" w:rsidRDefault="007F56A0" w:rsidP="001B41BD">
            <w:r w:rsidRPr="00972687">
              <w:t>Non-Hispanic Black Female</w:t>
            </w:r>
          </w:p>
        </w:tc>
      </w:tr>
      <w:tr w:rsidR="007F56A0" w14:paraId="0708904E" w14:textId="77777777" w:rsidTr="001B41BD">
        <w:tc>
          <w:tcPr>
            <w:tcW w:w="1870" w:type="dxa"/>
            <w:vAlign w:val="bottom"/>
          </w:tcPr>
          <w:p w14:paraId="56F08C15" w14:textId="77777777" w:rsidR="007F56A0" w:rsidRPr="00972687" w:rsidRDefault="007F56A0" w:rsidP="001B41BD">
            <w:r w:rsidRPr="00972687">
              <w:t>2011-2015</w:t>
            </w:r>
          </w:p>
        </w:tc>
        <w:tc>
          <w:tcPr>
            <w:tcW w:w="1870" w:type="dxa"/>
            <w:vAlign w:val="bottom"/>
          </w:tcPr>
          <w:p w14:paraId="653AF76A" w14:textId="77777777" w:rsidR="007F56A0" w:rsidRPr="00972687" w:rsidRDefault="007F56A0" w:rsidP="001B41BD">
            <w:r w:rsidRPr="00972687">
              <w:t>85.5</w:t>
            </w:r>
          </w:p>
        </w:tc>
        <w:tc>
          <w:tcPr>
            <w:tcW w:w="1870" w:type="dxa"/>
            <w:vAlign w:val="bottom"/>
          </w:tcPr>
          <w:p w14:paraId="22328C07" w14:textId="77777777" w:rsidR="007F56A0" w:rsidRPr="00972687" w:rsidRDefault="007F56A0" w:rsidP="001B41BD">
            <w:r w:rsidRPr="00972687">
              <w:t>58.9</w:t>
            </w:r>
          </w:p>
        </w:tc>
        <w:tc>
          <w:tcPr>
            <w:tcW w:w="1870" w:type="dxa"/>
            <w:vAlign w:val="bottom"/>
          </w:tcPr>
          <w:p w14:paraId="0832BF50" w14:textId="77777777" w:rsidR="007F56A0" w:rsidRPr="00972687" w:rsidRDefault="007F56A0" w:rsidP="001B41BD">
            <w:r w:rsidRPr="00972687">
              <w:t>90.9</w:t>
            </w:r>
          </w:p>
        </w:tc>
        <w:tc>
          <w:tcPr>
            <w:tcW w:w="1870" w:type="dxa"/>
            <w:vAlign w:val="bottom"/>
          </w:tcPr>
          <w:p w14:paraId="1DE22094" w14:textId="77777777" w:rsidR="007F56A0" w:rsidRPr="00972687" w:rsidRDefault="007F56A0" w:rsidP="001B41BD">
            <w:r w:rsidRPr="00972687">
              <w:t>41.9</w:t>
            </w:r>
          </w:p>
        </w:tc>
      </w:tr>
      <w:tr w:rsidR="007F56A0" w14:paraId="752AE658" w14:textId="77777777" w:rsidTr="001B41BD">
        <w:tc>
          <w:tcPr>
            <w:tcW w:w="1870" w:type="dxa"/>
            <w:vAlign w:val="bottom"/>
          </w:tcPr>
          <w:p w14:paraId="6E94BF33" w14:textId="77777777" w:rsidR="007F56A0" w:rsidRPr="00972687" w:rsidRDefault="007F56A0" w:rsidP="001B41BD">
            <w:r w:rsidRPr="00972687">
              <w:t>2012-2016</w:t>
            </w:r>
          </w:p>
        </w:tc>
        <w:tc>
          <w:tcPr>
            <w:tcW w:w="1870" w:type="dxa"/>
            <w:vAlign w:val="bottom"/>
          </w:tcPr>
          <w:p w14:paraId="5B77F093" w14:textId="77777777" w:rsidR="007F56A0" w:rsidRPr="00972687" w:rsidRDefault="007F56A0" w:rsidP="001B41BD">
            <w:r w:rsidRPr="00972687">
              <w:t>82.4</w:t>
            </w:r>
          </w:p>
        </w:tc>
        <w:tc>
          <w:tcPr>
            <w:tcW w:w="1870" w:type="dxa"/>
            <w:vAlign w:val="bottom"/>
          </w:tcPr>
          <w:p w14:paraId="23552A92" w14:textId="77777777" w:rsidR="007F56A0" w:rsidRPr="00972687" w:rsidRDefault="007F56A0" w:rsidP="001B41BD">
            <w:r w:rsidRPr="00972687">
              <w:t>58.5</w:t>
            </w:r>
          </w:p>
        </w:tc>
        <w:tc>
          <w:tcPr>
            <w:tcW w:w="1870" w:type="dxa"/>
            <w:vAlign w:val="bottom"/>
          </w:tcPr>
          <w:p w14:paraId="154EDD7C" w14:textId="77777777" w:rsidR="007F56A0" w:rsidRPr="00972687" w:rsidRDefault="007F56A0" w:rsidP="001B41BD">
            <w:r w:rsidRPr="00972687">
              <w:t>88.9</w:t>
            </w:r>
          </w:p>
        </w:tc>
        <w:tc>
          <w:tcPr>
            <w:tcW w:w="1870" w:type="dxa"/>
            <w:vAlign w:val="bottom"/>
          </w:tcPr>
          <w:p w14:paraId="0D93AB9A" w14:textId="77777777" w:rsidR="007F56A0" w:rsidRPr="00972687" w:rsidRDefault="007F56A0" w:rsidP="001B41BD">
            <w:r w:rsidRPr="00972687">
              <w:t>40.8</w:t>
            </w:r>
          </w:p>
        </w:tc>
      </w:tr>
      <w:tr w:rsidR="007F56A0" w14:paraId="49E36002" w14:textId="77777777" w:rsidTr="001B41BD">
        <w:tc>
          <w:tcPr>
            <w:tcW w:w="1870" w:type="dxa"/>
            <w:vAlign w:val="bottom"/>
          </w:tcPr>
          <w:p w14:paraId="09D3AF0A" w14:textId="77777777" w:rsidR="007F56A0" w:rsidRPr="00972687" w:rsidRDefault="007F56A0" w:rsidP="001B41BD">
            <w:r w:rsidRPr="00972687">
              <w:t>2013-2017</w:t>
            </w:r>
          </w:p>
        </w:tc>
        <w:tc>
          <w:tcPr>
            <w:tcW w:w="1870" w:type="dxa"/>
            <w:vAlign w:val="bottom"/>
          </w:tcPr>
          <w:p w14:paraId="18EEC9DC" w14:textId="77777777" w:rsidR="007F56A0" w:rsidRPr="00972687" w:rsidRDefault="007F56A0" w:rsidP="001B41BD">
            <w:r w:rsidRPr="00972687">
              <w:t>80.4</w:t>
            </w:r>
          </w:p>
        </w:tc>
        <w:tc>
          <w:tcPr>
            <w:tcW w:w="1870" w:type="dxa"/>
            <w:vAlign w:val="bottom"/>
          </w:tcPr>
          <w:p w14:paraId="1BC2AB61" w14:textId="77777777" w:rsidR="007F56A0" w:rsidRPr="00972687" w:rsidRDefault="007F56A0" w:rsidP="001B41BD">
            <w:r w:rsidRPr="00972687">
              <w:t>57.5</w:t>
            </w:r>
          </w:p>
        </w:tc>
        <w:tc>
          <w:tcPr>
            <w:tcW w:w="1870" w:type="dxa"/>
            <w:vAlign w:val="bottom"/>
          </w:tcPr>
          <w:p w14:paraId="16357365" w14:textId="77777777" w:rsidR="007F56A0" w:rsidRPr="00972687" w:rsidRDefault="007F56A0" w:rsidP="001B41BD">
            <w:r w:rsidRPr="00972687">
              <w:t>87.0</w:t>
            </w:r>
          </w:p>
        </w:tc>
        <w:tc>
          <w:tcPr>
            <w:tcW w:w="1870" w:type="dxa"/>
            <w:vAlign w:val="bottom"/>
          </w:tcPr>
          <w:p w14:paraId="1B98A44A" w14:textId="77777777" w:rsidR="007F56A0" w:rsidRPr="00972687" w:rsidRDefault="007F56A0" w:rsidP="001B41BD">
            <w:r w:rsidRPr="00972687">
              <w:t>40.6</w:t>
            </w:r>
          </w:p>
        </w:tc>
      </w:tr>
      <w:tr w:rsidR="007F56A0" w14:paraId="094682A2" w14:textId="77777777" w:rsidTr="001B41BD">
        <w:tc>
          <w:tcPr>
            <w:tcW w:w="1870" w:type="dxa"/>
            <w:vAlign w:val="bottom"/>
          </w:tcPr>
          <w:p w14:paraId="32E6FE40" w14:textId="77777777" w:rsidR="007F56A0" w:rsidRPr="00972687" w:rsidRDefault="007F56A0" w:rsidP="001B41BD">
            <w:r w:rsidRPr="00972687">
              <w:t>2014-2018</w:t>
            </w:r>
          </w:p>
        </w:tc>
        <w:tc>
          <w:tcPr>
            <w:tcW w:w="1870" w:type="dxa"/>
            <w:vAlign w:val="bottom"/>
          </w:tcPr>
          <w:p w14:paraId="62B4A8B3" w14:textId="77777777" w:rsidR="007F56A0" w:rsidRPr="00972687" w:rsidRDefault="007F56A0" w:rsidP="001B41BD">
            <w:r w:rsidRPr="00972687">
              <w:t>78.1</w:t>
            </w:r>
          </w:p>
        </w:tc>
        <w:tc>
          <w:tcPr>
            <w:tcW w:w="1870" w:type="dxa"/>
            <w:vAlign w:val="bottom"/>
          </w:tcPr>
          <w:p w14:paraId="47B8D7DC" w14:textId="77777777" w:rsidR="007F56A0" w:rsidRPr="00972687" w:rsidRDefault="007F56A0" w:rsidP="001B41BD">
            <w:r w:rsidRPr="00972687">
              <w:t>56.9</w:t>
            </w:r>
          </w:p>
        </w:tc>
        <w:tc>
          <w:tcPr>
            <w:tcW w:w="1870" w:type="dxa"/>
            <w:vAlign w:val="bottom"/>
          </w:tcPr>
          <w:p w14:paraId="193DDDEE" w14:textId="77777777" w:rsidR="007F56A0" w:rsidRPr="00972687" w:rsidRDefault="007F56A0" w:rsidP="001B41BD">
            <w:r w:rsidRPr="00972687">
              <w:t>84.3</w:t>
            </w:r>
          </w:p>
        </w:tc>
        <w:tc>
          <w:tcPr>
            <w:tcW w:w="1870" w:type="dxa"/>
            <w:vAlign w:val="bottom"/>
          </w:tcPr>
          <w:p w14:paraId="7577A01E" w14:textId="77777777" w:rsidR="007F56A0" w:rsidRPr="00972687" w:rsidRDefault="007F56A0" w:rsidP="001B41BD">
            <w:r w:rsidRPr="00972687">
              <w:t>39.2</w:t>
            </w:r>
          </w:p>
        </w:tc>
      </w:tr>
      <w:tr w:rsidR="007F56A0" w14:paraId="6B18B9FF" w14:textId="77777777" w:rsidTr="001B41BD">
        <w:tc>
          <w:tcPr>
            <w:tcW w:w="1870" w:type="dxa"/>
            <w:vAlign w:val="bottom"/>
          </w:tcPr>
          <w:p w14:paraId="710E2B55" w14:textId="77777777" w:rsidR="007F56A0" w:rsidRPr="00972687" w:rsidRDefault="007F56A0" w:rsidP="001B41BD">
            <w:r w:rsidRPr="00972687">
              <w:t>2015-2019</w:t>
            </w:r>
          </w:p>
        </w:tc>
        <w:tc>
          <w:tcPr>
            <w:tcW w:w="1870" w:type="dxa"/>
            <w:vAlign w:val="bottom"/>
          </w:tcPr>
          <w:p w14:paraId="47A15BB5" w14:textId="77777777" w:rsidR="007F56A0" w:rsidRPr="00972687" w:rsidRDefault="007F56A0" w:rsidP="001B41BD">
            <w:r w:rsidRPr="00972687">
              <w:t>74.5</w:t>
            </w:r>
          </w:p>
        </w:tc>
        <w:tc>
          <w:tcPr>
            <w:tcW w:w="1870" w:type="dxa"/>
            <w:vAlign w:val="bottom"/>
          </w:tcPr>
          <w:p w14:paraId="144803F3" w14:textId="77777777" w:rsidR="007F56A0" w:rsidRPr="00972687" w:rsidRDefault="007F56A0" w:rsidP="001B41BD">
            <w:r w:rsidRPr="00972687">
              <w:t>55.5</w:t>
            </w:r>
          </w:p>
        </w:tc>
        <w:tc>
          <w:tcPr>
            <w:tcW w:w="1870" w:type="dxa"/>
            <w:vAlign w:val="bottom"/>
          </w:tcPr>
          <w:p w14:paraId="29CC48E9" w14:textId="77777777" w:rsidR="007F56A0" w:rsidRPr="00972687" w:rsidRDefault="007F56A0" w:rsidP="001B41BD">
            <w:r w:rsidRPr="00972687">
              <w:t>81.3</w:t>
            </w:r>
          </w:p>
        </w:tc>
        <w:tc>
          <w:tcPr>
            <w:tcW w:w="1870" w:type="dxa"/>
            <w:vAlign w:val="bottom"/>
          </w:tcPr>
          <w:p w14:paraId="1D15DF00" w14:textId="77777777" w:rsidR="007F56A0" w:rsidRPr="00972687" w:rsidRDefault="007F56A0" w:rsidP="001B41BD">
            <w:r w:rsidRPr="00972687">
              <w:t>38.5</w:t>
            </w:r>
          </w:p>
        </w:tc>
      </w:tr>
    </w:tbl>
    <w:p w14:paraId="2EA451EA" w14:textId="77777777" w:rsidR="007F56A0" w:rsidRPr="00972687" w:rsidRDefault="007F56A0" w:rsidP="007F56A0">
      <w:r w:rsidRPr="00972687">
        <w:t xml:space="preserve">Source: SC DHEC CCR. </w:t>
      </w:r>
    </w:p>
    <w:p w14:paraId="70E75599" w14:textId="77777777" w:rsidR="007F56A0" w:rsidRDefault="007F56A0" w:rsidP="007F56A0">
      <w:r w:rsidRPr="00972687">
        <w:t>Note: Age-adjusted.</w:t>
      </w:r>
    </w:p>
    <w:p w14:paraId="5C913071" w14:textId="77777777" w:rsidR="007F56A0" w:rsidRDefault="007F56A0" w:rsidP="007F56A0"/>
    <w:p w14:paraId="75CBB561" w14:textId="77777777" w:rsidR="007F56A0" w:rsidRDefault="007F56A0" w:rsidP="007F56A0">
      <w:pPr>
        <w:pStyle w:val="Heading4"/>
      </w:pPr>
      <w:bookmarkStart w:id="774" w:name="_Toc154576511"/>
      <w:bookmarkStart w:id="775" w:name="_Toc162267525"/>
      <w:r>
        <w:t>Figure 9.29: Lung Cancer Deaths, by Race/Ethnicity and Sex.</w:t>
      </w:r>
      <w:bookmarkEnd w:id="774"/>
      <w:bookmarkEnd w:id="775"/>
    </w:p>
    <w:p w14:paraId="22FA5289" w14:textId="77777777" w:rsidR="007F56A0" w:rsidRDefault="007F56A0" w:rsidP="007F56A0">
      <w:pPr>
        <w:pStyle w:val="Heading5"/>
      </w:pPr>
      <w:r>
        <w:t>Rate per 100,000 population.</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7F56A0" w14:paraId="6CA2DB86" w14:textId="77777777" w:rsidTr="001B41BD">
        <w:tc>
          <w:tcPr>
            <w:tcW w:w="1558" w:type="dxa"/>
            <w:vAlign w:val="bottom"/>
          </w:tcPr>
          <w:p w14:paraId="783D14D4" w14:textId="77777777" w:rsidR="007F56A0" w:rsidRPr="00972687" w:rsidRDefault="007F56A0" w:rsidP="001B41BD">
            <w:r>
              <w:t>Years</w:t>
            </w:r>
          </w:p>
        </w:tc>
        <w:tc>
          <w:tcPr>
            <w:tcW w:w="1558" w:type="dxa"/>
            <w:vAlign w:val="bottom"/>
          </w:tcPr>
          <w:p w14:paraId="5A54F8A8" w14:textId="77777777" w:rsidR="007F56A0" w:rsidRPr="00972687" w:rsidRDefault="007F56A0" w:rsidP="001B41BD">
            <w:r w:rsidRPr="00972687">
              <w:t>Non-Hispanic White Male</w:t>
            </w:r>
          </w:p>
        </w:tc>
        <w:tc>
          <w:tcPr>
            <w:tcW w:w="1558" w:type="dxa"/>
            <w:vAlign w:val="bottom"/>
          </w:tcPr>
          <w:p w14:paraId="08D4379A" w14:textId="77777777" w:rsidR="007F56A0" w:rsidRPr="00972687" w:rsidRDefault="007F56A0" w:rsidP="001B41BD">
            <w:r w:rsidRPr="00972687">
              <w:t>Non-Hispanic White Female</w:t>
            </w:r>
          </w:p>
        </w:tc>
        <w:tc>
          <w:tcPr>
            <w:tcW w:w="1558" w:type="dxa"/>
            <w:vAlign w:val="bottom"/>
          </w:tcPr>
          <w:p w14:paraId="5065B801" w14:textId="77777777" w:rsidR="007F56A0" w:rsidRPr="00972687" w:rsidRDefault="007F56A0" w:rsidP="001B41BD">
            <w:r w:rsidRPr="00972687">
              <w:t>Non-Hispanic Black Male</w:t>
            </w:r>
          </w:p>
        </w:tc>
        <w:tc>
          <w:tcPr>
            <w:tcW w:w="1559" w:type="dxa"/>
            <w:vAlign w:val="bottom"/>
          </w:tcPr>
          <w:p w14:paraId="6950ECE1" w14:textId="77777777" w:rsidR="007F56A0" w:rsidRPr="00972687" w:rsidRDefault="007F56A0" w:rsidP="001B41BD">
            <w:r w:rsidRPr="00972687">
              <w:t>Non-Hispanic Black Female</w:t>
            </w:r>
          </w:p>
        </w:tc>
        <w:tc>
          <w:tcPr>
            <w:tcW w:w="1559" w:type="dxa"/>
            <w:vAlign w:val="bottom"/>
          </w:tcPr>
          <w:p w14:paraId="609C70DE" w14:textId="77777777" w:rsidR="007F56A0" w:rsidRPr="00972687" w:rsidRDefault="007F56A0" w:rsidP="001B41BD">
            <w:r w:rsidRPr="00972687">
              <w:t>Healthy People 2030</w:t>
            </w:r>
          </w:p>
        </w:tc>
      </w:tr>
      <w:tr w:rsidR="007F56A0" w14:paraId="3771A32C" w14:textId="77777777" w:rsidTr="001B41BD">
        <w:tc>
          <w:tcPr>
            <w:tcW w:w="1558" w:type="dxa"/>
            <w:vAlign w:val="bottom"/>
          </w:tcPr>
          <w:p w14:paraId="3ECC8C94" w14:textId="77777777" w:rsidR="007F56A0" w:rsidRPr="00972687" w:rsidRDefault="007F56A0" w:rsidP="001B41BD">
            <w:r w:rsidRPr="00972687">
              <w:t>2011-2015</w:t>
            </w:r>
          </w:p>
        </w:tc>
        <w:tc>
          <w:tcPr>
            <w:tcW w:w="1558" w:type="dxa"/>
            <w:vAlign w:val="bottom"/>
          </w:tcPr>
          <w:p w14:paraId="4839EEFE" w14:textId="77777777" w:rsidR="007F56A0" w:rsidRPr="00972687" w:rsidRDefault="007F56A0" w:rsidP="001B41BD">
            <w:r w:rsidRPr="00972687">
              <w:t>64.2</w:t>
            </w:r>
          </w:p>
        </w:tc>
        <w:tc>
          <w:tcPr>
            <w:tcW w:w="1558" w:type="dxa"/>
            <w:vAlign w:val="bottom"/>
          </w:tcPr>
          <w:p w14:paraId="71926F52" w14:textId="77777777" w:rsidR="007F56A0" w:rsidRPr="00972687" w:rsidRDefault="007F56A0" w:rsidP="001B41BD">
            <w:r w:rsidRPr="00972687">
              <w:t>39.6</w:t>
            </w:r>
          </w:p>
        </w:tc>
        <w:tc>
          <w:tcPr>
            <w:tcW w:w="1558" w:type="dxa"/>
            <w:vAlign w:val="bottom"/>
          </w:tcPr>
          <w:p w14:paraId="19C58FF5" w14:textId="77777777" w:rsidR="007F56A0" w:rsidRPr="00972687" w:rsidRDefault="007F56A0" w:rsidP="001B41BD">
            <w:r w:rsidRPr="00972687">
              <w:t>70.6</w:t>
            </w:r>
          </w:p>
        </w:tc>
        <w:tc>
          <w:tcPr>
            <w:tcW w:w="1559" w:type="dxa"/>
            <w:vAlign w:val="bottom"/>
          </w:tcPr>
          <w:p w14:paraId="4B306486" w14:textId="77777777" w:rsidR="007F56A0" w:rsidRPr="00972687" w:rsidRDefault="007F56A0" w:rsidP="001B41BD">
            <w:r w:rsidRPr="00972687">
              <w:t>27.8</w:t>
            </w:r>
          </w:p>
        </w:tc>
        <w:tc>
          <w:tcPr>
            <w:tcW w:w="1559" w:type="dxa"/>
            <w:vAlign w:val="bottom"/>
          </w:tcPr>
          <w:p w14:paraId="1A8D3D34" w14:textId="77777777" w:rsidR="007F56A0" w:rsidRPr="00972687" w:rsidRDefault="007F56A0" w:rsidP="001B41BD">
            <w:r w:rsidRPr="00972687">
              <w:t>25.1</w:t>
            </w:r>
          </w:p>
        </w:tc>
      </w:tr>
      <w:tr w:rsidR="007F56A0" w14:paraId="4A7B167F" w14:textId="77777777" w:rsidTr="001B41BD">
        <w:tc>
          <w:tcPr>
            <w:tcW w:w="1558" w:type="dxa"/>
            <w:vAlign w:val="bottom"/>
          </w:tcPr>
          <w:p w14:paraId="1D8D9A11" w14:textId="77777777" w:rsidR="007F56A0" w:rsidRPr="00972687" w:rsidRDefault="007F56A0" w:rsidP="001B41BD">
            <w:r w:rsidRPr="00972687">
              <w:t>2012-2016</w:t>
            </w:r>
          </w:p>
        </w:tc>
        <w:tc>
          <w:tcPr>
            <w:tcW w:w="1558" w:type="dxa"/>
            <w:vAlign w:val="bottom"/>
          </w:tcPr>
          <w:p w14:paraId="5C5C31CD" w14:textId="77777777" w:rsidR="007F56A0" w:rsidRPr="00972687" w:rsidRDefault="007F56A0" w:rsidP="001B41BD">
            <w:r w:rsidRPr="00972687">
              <w:t>61.3</w:t>
            </w:r>
          </w:p>
        </w:tc>
        <w:tc>
          <w:tcPr>
            <w:tcW w:w="1558" w:type="dxa"/>
            <w:vAlign w:val="bottom"/>
          </w:tcPr>
          <w:p w14:paraId="57EF6514" w14:textId="77777777" w:rsidR="007F56A0" w:rsidRPr="00972687" w:rsidRDefault="007F56A0" w:rsidP="001B41BD">
            <w:r w:rsidRPr="00972687">
              <w:t>38.8</w:t>
            </w:r>
          </w:p>
        </w:tc>
        <w:tc>
          <w:tcPr>
            <w:tcW w:w="1558" w:type="dxa"/>
            <w:vAlign w:val="bottom"/>
          </w:tcPr>
          <w:p w14:paraId="1605A7C7" w14:textId="77777777" w:rsidR="007F56A0" w:rsidRPr="00972687" w:rsidRDefault="007F56A0" w:rsidP="001B41BD">
            <w:r w:rsidRPr="00972687">
              <w:t>68.4</w:t>
            </w:r>
          </w:p>
        </w:tc>
        <w:tc>
          <w:tcPr>
            <w:tcW w:w="1559" w:type="dxa"/>
            <w:vAlign w:val="bottom"/>
          </w:tcPr>
          <w:p w14:paraId="72024C44" w14:textId="77777777" w:rsidR="007F56A0" w:rsidRPr="00972687" w:rsidRDefault="007F56A0" w:rsidP="001B41BD">
            <w:r w:rsidRPr="00972687">
              <w:t>26.8</w:t>
            </w:r>
          </w:p>
        </w:tc>
        <w:tc>
          <w:tcPr>
            <w:tcW w:w="1559" w:type="dxa"/>
            <w:vAlign w:val="bottom"/>
          </w:tcPr>
          <w:p w14:paraId="5D34B7C6" w14:textId="77777777" w:rsidR="007F56A0" w:rsidRPr="00972687" w:rsidRDefault="007F56A0" w:rsidP="001B41BD">
            <w:r w:rsidRPr="00972687">
              <w:t>25.1</w:t>
            </w:r>
          </w:p>
        </w:tc>
      </w:tr>
      <w:tr w:rsidR="007F56A0" w14:paraId="5AB97DBA" w14:textId="77777777" w:rsidTr="001B41BD">
        <w:tc>
          <w:tcPr>
            <w:tcW w:w="1558" w:type="dxa"/>
            <w:vAlign w:val="bottom"/>
          </w:tcPr>
          <w:p w14:paraId="6F1AF1BB" w14:textId="77777777" w:rsidR="007F56A0" w:rsidRPr="00972687" w:rsidRDefault="007F56A0" w:rsidP="001B41BD">
            <w:r w:rsidRPr="00972687">
              <w:t>2013-2017</w:t>
            </w:r>
          </w:p>
        </w:tc>
        <w:tc>
          <w:tcPr>
            <w:tcW w:w="1558" w:type="dxa"/>
            <w:vAlign w:val="bottom"/>
          </w:tcPr>
          <w:p w14:paraId="77B88CD7" w14:textId="77777777" w:rsidR="007F56A0" w:rsidRPr="00972687" w:rsidRDefault="007F56A0" w:rsidP="001B41BD">
            <w:r w:rsidRPr="00972687">
              <w:t>58.6</w:t>
            </w:r>
          </w:p>
        </w:tc>
        <w:tc>
          <w:tcPr>
            <w:tcW w:w="1558" w:type="dxa"/>
            <w:vAlign w:val="bottom"/>
          </w:tcPr>
          <w:p w14:paraId="7E000252" w14:textId="77777777" w:rsidR="007F56A0" w:rsidRPr="00972687" w:rsidRDefault="007F56A0" w:rsidP="001B41BD">
            <w:r w:rsidRPr="00972687">
              <w:t>37.2</w:t>
            </w:r>
          </w:p>
        </w:tc>
        <w:tc>
          <w:tcPr>
            <w:tcW w:w="1558" w:type="dxa"/>
            <w:vAlign w:val="bottom"/>
          </w:tcPr>
          <w:p w14:paraId="61660B7C" w14:textId="77777777" w:rsidR="007F56A0" w:rsidRPr="00972687" w:rsidRDefault="007F56A0" w:rsidP="001B41BD">
            <w:r w:rsidRPr="00972687">
              <w:t>64.9</w:t>
            </w:r>
          </w:p>
        </w:tc>
        <w:tc>
          <w:tcPr>
            <w:tcW w:w="1559" w:type="dxa"/>
            <w:vAlign w:val="bottom"/>
          </w:tcPr>
          <w:p w14:paraId="22D36C17" w14:textId="77777777" w:rsidR="007F56A0" w:rsidRPr="00972687" w:rsidRDefault="007F56A0" w:rsidP="001B41BD">
            <w:r w:rsidRPr="00972687">
              <w:t>26.1</w:t>
            </w:r>
          </w:p>
        </w:tc>
        <w:tc>
          <w:tcPr>
            <w:tcW w:w="1559" w:type="dxa"/>
            <w:vAlign w:val="bottom"/>
          </w:tcPr>
          <w:p w14:paraId="23E6723E" w14:textId="77777777" w:rsidR="007F56A0" w:rsidRPr="00972687" w:rsidRDefault="007F56A0" w:rsidP="001B41BD">
            <w:r w:rsidRPr="00972687">
              <w:t>25.1</w:t>
            </w:r>
          </w:p>
        </w:tc>
      </w:tr>
      <w:tr w:rsidR="007F56A0" w14:paraId="09FF991C" w14:textId="77777777" w:rsidTr="001B41BD">
        <w:tc>
          <w:tcPr>
            <w:tcW w:w="1558" w:type="dxa"/>
            <w:vAlign w:val="bottom"/>
          </w:tcPr>
          <w:p w14:paraId="1919342C" w14:textId="77777777" w:rsidR="007F56A0" w:rsidRPr="00972687" w:rsidRDefault="007F56A0" w:rsidP="001B41BD">
            <w:r w:rsidRPr="00972687">
              <w:t>2014-2018</w:t>
            </w:r>
          </w:p>
        </w:tc>
        <w:tc>
          <w:tcPr>
            <w:tcW w:w="1558" w:type="dxa"/>
            <w:vAlign w:val="bottom"/>
          </w:tcPr>
          <w:p w14:paraId="76F3292A" w14:textId="77777777" w:rsidR="007F56A0" w:rsidRPr="00972687" w:rsidRDefault="007F56A0" w:rsidP="001B41BD">
            <w:r w:rsidRPr="00972687">
              <w:t>55.6</w:t>
            </w:r>
          </w:p>
        </w:tc>
        <w:tc>
          <w:tcPr>
            <w:tcW w:w="1558" w:type="dxa"/>
            <w:vAlign w:val="bottom"/>
          </w:tcPr>
          <w:p w14:paraId="697F1E66" w14:textId="77777777" w:rsidR="007F56A0" w:rsidRPr="00972687" w:rsidRDefault="007F56A0" w:rsidP="001B41BD">
            <w:r w:rsidRPr="00972687">
              <w:t>35.8</w:t>
            </w:r>
          </w:p>
        </w:tc>
        <w:tc>
          <w:tcPr>
            <w:tcW w:w="1558" w:type="dxa"/>
            <w:vAlign w:val="bottom"/>
          </w:tcPr>
          <w:p w14:paraId="4CBE2FB5" w14:textId="77777777" w:rsidR="007F56A0" w:rsidRPr="00972687" w:rsidRDefault="007F56A0" w:rsidP="001B41BD">
            <w:r w:rsidRPr="00972687">
              <w:t>62.2</w:t>
            </w:r>
          </w:p>
        </w:tc>
        <w:tc>
          <w:tcPr>
            <w:tcW w:w="1559" w:type="dxa"/>
            <w:vAlign w:val="bottom"/>
          </w:tcPr>
          <w:p w14:paraId="373907E0" w14:textId="77777777" w:rsidR="007F56A0" w:rsidRPr="00972687" w:rsidRDefault="007F56A0" w:rsidP="001B41BD">
            <w:r w:rsidRPr="00972687">
              <w:t>25.2</w:t>
            </w:r>
          </w:p>
        </w:tc>
        <w:tc>
          <w:tcPr>
            <w:tcW w:w="1559" w:type="dxa"/>
            <w:vAlign w:val="bottom"/>
          </w:tcPr>
          <w:p w14:paraId="21EFDD0A" w14:textId="77777777" w:rsidR="007F56A0" w:rsidRPr="00972687" w:rsidRDefault="007F56A0" w:rsidP="001B41BD">
            <w:r w:rsidRPr="00972687">
              <w:t>25.1</w:t>
            </w:r>
          </w:p>
        </w:tc>
      </w:tr>
      <w:tr w:rsidR="007F56A0" w14:paraId="05E468F3" w14:textId="77777777" w:rsidTr="001B41BD">
        <w:tc>
          <w:tcPr>
            <w:tcW w:w="1558" w:type="dxa"/>
            <w:vAlign w:val="bottom"/>
          </w:tcPr>
          <w:p w14:paraId="2DA17DCC" w14:textId="77777777" w:rsidR="007F56A0" w:rsidRPr="00972687" w:rsidRDefault="007F56A0" w:rsidP="001B41BD">
            <w:r w:rsidRPr="00972687">
              <w:t>2015-2019</w:t>
            </w:r>
          </w:p>
        </w:tc>
        <w:tc>
          <w:tcPr>
            <w:tcW w:w="1558" w:type="dxa"/>
            <w:vAlign w:val="bottom"/>
          </w:tcPr>
          <w:p w14:paraId="2763BE8C" w14:textId="77777777" w:rsidR="007F56A0" w:rsidRPr="00972687" w:rsidRDefault="007F56A0" w:rsidP="001B41BD">
            <w:r w:rsidRPr="00972687">
              <w:t>53.3</w:t>
            </w:r>
          </w:p>
        </w:tc>
        <w:tc>
          <w:tcPr>
            <w:tcW w:w="1558" w:type="dxa"/>
            <w:vAlign w:val="bottom"/>
          </w:tcPr>
          <w:p w14:paraId="3891C69E" w14:textId="77777777" w:rsidR="007F56A0" w:rsidRPr="00972687" w:rsidRDefault="007F56A0" w:rsidP="001B41BD">
            <w:r w:rsidRPr="00972687">
              <w:t>34.4</w:t>
            </w:r>
          </w:p>
        </w:tc>
        <w:tc>
          <w:tcPr>
            <w:tcW w:w="1558" w:type="dxa"/>
            <w:vAlign w:val="bottom"/>
          </w:tcPr>
          <w:p w14:paraId="4B7D795C" w14:textId="77777777" w:rsidR="007F56A0" w:rsidRPr="00972687" w:rsidRDefault="007F56A0" w:rsidP="001B41BD">
            <w:r w:rsidRPr="00972687">
              <w:t>58.0</w:t>
            </w:r>
          </w:p>
        </w:tc>
        <w:tc>
          <w:tcPr>
            <w:tcW w:w="1559" w:type="dxa"/>
            <w:vAlign w:val="bottom"/>
          </w:tcPr>
          <w:p w14:paraId="27A58FB9" w14:textId="77777777" w:rsidR="007F56A0" w:rsidRPr="00972687" w:rsidRDefault="007F56A0" w:rsidP="001B41BD">
            <w:r w:rsidRPr="00972687">
              <w:t>25.0</w:t>
            </w:r>
          </w:p>
        </w:tc>
        <w:tc>
          <w:tcPr>
            <w:tcW w:w="1559" w:type="dxa"/>
            <w:vAlign w:val="bottom"/>
          </w:tcPr>
          <w:p w14:paraId="158762C2" w14:textId="77777777" w:rsidR="007F56A0" w:rsidRPr="00972687" w:rsidRDefault="007F56A0" w:rsidP="001B41BD">
            <w:r w:rsidRPr="00972687">
              <w:t>25.1</w:t>
            </w:r>
          </w:p>
        </w:tc>
      </w:tr>
      <w:tr w:rsidR="007F56A0" w14:paraId="7AE7D115" w14:textId="77777777" w:rsidTr="001B41BD">
        <w:tc>
          <w:tcPr>
            <w:tcW w:w="1558" w:type="dxa"/>
            <w:vAlign w:val="bottom"/>
          </w:tcPr>
          <w:p w14:paraId="269AD5CC" w14:textId="77777777" w:rsidR="007F56A0" w:rsidRPr="00972687" w:rsidRDefault="007F56A0" w:rsidP="001B41BD">
            <w:r w:rsidRPr="00972687">
              <w:t>2016-2020</w:t>
            </w:r>
          </w:p>
        </w:tc>
        <w:tc>
          <w:tcPr>
            <w:tcW w:w="1558" w:type="dxa"/>
            <w:vAlign w:val="bottom"/>
          </w:tcPr>
          <w:p w14:paraId="1D08AA56" w14:textId="77777777" w:rsidR="007F56A0" w:rsidRPr="00972687" w:rsidRDefault="007F56A0" w:rsidP="001B41BD">
            <w:r w:rsidRPr="00972687">
              <w:t>50.5</w:t>
            </w:r>
          </w:p>
        </w:tc>
        <w:tc>
          <w:tcPr>
            <w:tcW w:w="1558" w:type="dxa"/>
            <w:vAlign w:val="bottom"/>
          </w:tcPr>
          <w:p w14:paraId="707B53B2" w14:textId="77777777" w:rsidR="007F56A0" w:rsidRPr="00972687" w:rsidRDefault="007F56A0" w:rsidP="001B41BD">
            <w:r w:rsidRPr="00972687">
              <w:t>33.2</w:t>
            </w:r>
          </w:p>
        </w:tc>
        <w:tc>
          <w:tcPr>
            <w:tcW w:w="1558" w:type="dxa"/>
            <w:vAlign w:val="bottom"/>
          </w:tcPr>
          <w:p w14:paraId="4646C52E" w14:textId="77777777" w:rsidR="007F56A0" w:rsidRPr="00972687" w:rsidRDefault="007F56A0" w:rsidP="001B41BD">
            <w:r w:rsidRPr="00972687">
              <w:t>57.5</w:t>
            </w:r>
          </w:p>
        </w:tc>
        <w:tc>
          <w:tcPr>
            <w:tcW w:w="1559" w:type="dxa"/>
            <w:vAlign w:val="bottom"/>
          </w:tcPr>
          <w:p w14:paraId="240756BF" w14:textId="77777777" w:rsidR="007F56A0" w:rsidRPr="00972687" w:rsidRDefault="007F56A0" w:rsidP="001B41BD">
            <w:r w:rsidRPr="00972687">
              <w:t>23.8</w:t>
            </w:r>
          </w:p>
        </w:tc>
        <w:tc>
          <w:tcPr>
            <w:tcW w:w="1559" w:type="dxa"/>
            <w:vAlign w:val="bottom"/>
          </w:tcPr>
          <w:p w14:paraId="4897997B" w14:textId="77777777" w:rsidR="007F56A0" w:rsidRPr="00972687" w:rsidRDefault="007F56A0" w:rsidP="001B41BD">
            <w:r w:rsidRPr="00972687">
              <w:t>25.1</w:t>
            </w:r>
          </w:p>
        </w:tc>
      </w:tr>
    </w:tbl>
    <w:p w14:paraId="2A4D04D2" w14:textId="77777777" w:rsidR="007F56A0" w:rsidRPr="00972687" w:rsidRDefault="007F56A0" w:rsidP="007F56A0">
      <w:r w:rsidRPr="00972687">
        <w:t xml:space="preserve">Source: SC DHEC CCR. </w:t>
      </w:r>
    </w:p>
    <w:p w14:paraId="26568813" w14:textId="48FC40DF" w:rsidR="007F56A0" w:rsidRDefault="007F56A0" w:rsidP="007F56A0">
      <w:r w:rsidRPr="00972687">
        <w:lastRenderedPageBreak/>
        <w:t>Note: Age-adjusted.</w:t>
      </w:r>
    </w:p>
    <w:p w14:paraId="12B7582B" w14:textId="77777777" w:rsidR="007F56A0" w:rsidRDefault="007F56A0" w:rsidP="005561F7"/>
    <w:p w14:paraId="5D0E9EB3" w14:textId="77777777" w:rsidR="007F56A0" w:rsidRPr="007F56A0" w:rsidRDefault="007F56A0" w:rsidP="007F56A0">
      <w:pPr>
        <w:pStyle w:val="Heading4"/>
      </w:pPr>
      <w:bookmarkStart w:id="776" w:name="_Toc162267526"/>
      <w:r w:rsidRPr="007F56A0">
        <w:t>Data Interpretations:</w:t>
      </w:r>
      <w:bookmarkEnd w:id="776"/>
      <w:r w:rsidRPr="007F56A0">
        <w:t xml:space="preserve"> </w:t>
      </w:r>
    </w:p>
    <w:p w14:paraId="13545233" w14:textId="70F75F44" w:rsidR="007F56A0" w:rsidRPr="007F56A0" w:rsidRDefault="007F56A0" w:rsidP="007F56A0">
      <w:r w:rsidRPr="007F56A0">
        <w:t>Lung cancer was the second-leading cause of new cases of cancer in 2019 with 4,100 cases in SC (</w:t>
      </w:r>
      <w:r w:rsidRPr="007F56A0">
        <w:rPr>
          <w:b/>
          <w:bCs/>
        </w:rPr>
        <w:t>Table 9.2</w:t>
      </w:r>
      <w:r w:rsidRPr="007F56A0">
        <w:t>). From 2015 through 2019, lung cancer incidence rates were larger in the state of SC (61.2 cases per 100,000 population) as compared to the US (56.3 cases per 100,000 population). From 2011 through 2019 non-Hispanic Black males had the highest incidence rate of lung cancer, followed by non-Hispanic White males, non-Hispanic White females, and non-Hispanic Black females, respectively (</w:t>
      </w:r>
      <w:r w:rsidRPr="007F56A0">
        <w:rPr>
          <w:b/>
          <w:bCs/>
        </w:rPr>
        <w:t>Figure 9.28</w:t>
      </w:r>
      <w:r w:rsidRPr="007F56A0">
        <w:t xml:space="preserve">). </w:t>
      </w:r>
    </w:p>
    <w:p w14:paraId="1B7306FA" w14:textId="77777777" w:rsidR="007F56A0" w:rsidRDefault="007F56A0" w:rsidP="007F56A0"/>
    <w:p w14:paraId="3C2E03EB" w14:textId="14EB218E" w:rsidR="007F56A0" w:rsidRDefault="007F56A0" w:rsidP="007F56A0">
      <w:r w:rsidRPr="007F56A0">
        <w:t>Lung cancer was the leading cause of cancer deaths in 2020, claiming the lives of 2,692 SC residents (</w:t>
      </w:r>
      <w:r w:rsidRPr="007F56A0">
        <w:rPr>
          <w:b/>
          <w:bCs/>
        </w:rPr>
        <w:t>Table 9.2</w:t>
      </w:r>
      <w:r w:rsidRPr="007F56A0">
        <w:t>). From 2016 through 2020, the lung cancer mortality rate in SC (39.3 deaths per 100,000 population) was greater than the lung cancer mortality rate in the US (35.0 deaths per 100,000 population). As of 2020, neither SC nor the US had met the Healthy People 2030 goal of 25.1 deaths from lung cancer per 100,000 population. From 2012 through 2020, non-Hispanic Black males had the highest mortality rate associated with lung cancer, followed by non-Hispanic White males, non-Hispanic White females, and non-Hispanic Black females, respectively (</w:t>
      </w:r>
      <w:r w:rsidRPr="007F56A0">
        <w:rPr>
          <w:b/>
          <w:bCs/>
        </w:rPr>
        <w:t>Figure 9.29</w:t>
      </w:r>
      <w:r w:rsidRPr="007F56A0">
        <w:t>).</w:t>
      </w:r>
    </w:p>
    <w:p w14:paraId="2046092F" w14:textId="77777777" w:rsidR="007F56A0" w:rsidRDefault="007F56A0" w:rsidP="007F56A0"/>
    <w:p w14:paraId="23323DBD" w14:textId="440C3CFD" w:rsidR="007F56A0" w:rsidRPr="007F56A0" w:rsidRDefault="007F56A0" w:rsidP="007F56A0">
      <w:pPr>
        <w:pStyle w:val="Heading5"/>
      </w:pPr>
      <w:r w:rsidRPr="007F56A0">
        <w:t xml:space="preserve">Key Takeaways: </w:t>
      </w:r>
    </w:p>
    <w:p w14:paraId="09F12928" w14:textId="77777777" w:rsidR="007F56A0" w:rsidRPr="007F56A0" w:rsidRDefault="007F56A0" w:rsidP="00926EB3">
      <w:pPr>
        <w:pStyle w:val="ListParagraph"/>
        <w:numPr>
          <w:ilvl w:val="0"/>
          <w:numId w:val="228"/>
        </w:numPr>
      </w:pPr>
      <w:r w:rsidRPr="007F56A0">
        <w:t>SC’s male lung cancer mortality rate is the 13th highest in the nation.</w:t>
      </w:r>
    </w:p>
    <w:p w14:paraId="3DAA7EFC" w14:textId="77777777" w:rsidR="007F56A0" w:rsidRDefault="007F56A0" w:rsidP="007F56A0"/>
    <w:p w14:paraId="1EBE1A1A" w14:textId="381D1A31" w:rsidR="007F56A0" w:rsidRPr="005561F7" w:rsidRDefault="007F56A0" w:rsidP="007F56A0">
      <w:pPr>
        <w:pStyle w:val="Heading4"/>
        <w:rPr>
          <w:rFonts w:asciiTheme="minorHAnsi" w:hAnsiTheme="minorHAnsi" w:cstheme="minorHAnsi"/>
          <w:color w:val="000000" w:themeColor="text1"/>
        </w:rPr>
      </w:pPr>
      <w:bookmarkStart w:id="777" w:name="_Toc162267527"/>
      <w:r w:rsidRPr="005561F7">
        <w:rPr>
          <w:rFonts w:asciiTheme="minorHAnsi" w:hAnsiTheme="minorHAnsi" w:cstheme="minorHAnsi"/>
          <w:color w:val="000000" w:themeColor="text1"/>
        </w:rPr>
        <w:t>References 9.</w:t>
      </w:r>
      <w:r>
        <w:rPr>
          <w:rFonts w:asciiTheme="minorHAnsi" w:hAnsiTheme="minorHAnsi" w:cstheme="minorHAnsi"/>
          <w:color w:val="000000" w:themeColor="text1"/>
        </w:rPr>
        <w:t>14</w:t>
      </w:r>
      <w:bookmarkEnd w:id="777"/>
      <w:r w:rsidRPr="005561F7">
        <w:rPr>
          <w:rFonts w:asciiTheme="minorHAnsi" w:hAnsiTheme="minorHAnsi" w:cstheme="minorHAnsi"/>
          <w:color w:val="000000" w:themeColor="text1"/>
        </w:rPr>
        <w:t xml:space="preserve"> </w:t>
      </w:r>
    </w:p>
    <w:p w14:paraId="7DFC1EEC" w14:textId="77777777" w:rsidR="007F56A0" w:rsidRDefault="007F56A0" w:rsidP="007F56A0">
      <w:r w:rsidRPr="005561F7">
        <w:t>Statistics in the preceding section were referenced from the following reports:</w:t>
      </w:r>
    </w:p>
    <w:p w14:paraId="3561A424" w14:textId="1CCE0541" w:rsidR="00C152A8" w:rsidRDefault="00C152A8" w:rsidP="0060334A">
      <w:pPr>
        <w:ind w:left="720" w:hanging="360"/>
      </w:pPr>
      <w:r>
        <w:t>75.</w:t>
      </w:r>
      <w:hyperlink r:id="rId356" w:history="1">
        <w:r w:rsidRPr="00C152A8">
          <w:rPr>
            <w:rStyle w:val="Hyperlink"/>
          </w:rPr>
          <w:t>US Mortality: Surveillance, Epidemiology, and End Results (SEER) Program SEER*Stat Database: Mortality - All COD, Aggregated With State, Total U.S. (1969-2020) &lt;Katrina/Rita Population Adjustment&gt;, National Cancer Institute, DCCPS, Surveillance Research P</w:t>
        </w:r>
      </w:hyperlink>
    </w:p>
    <w:p w14:paraId="54DCCAEC" w14:textId="31368E2F" w:rsidR="00C152A8" w:rsidRPr="005561F7" w:rsidRDefault="00C152A8" w:rsidP="0060334A">
      <w:pPr>
        <w:ind w:left="720" w:hanging="360"/>
      </w:pPr>
      <w:r>
        <w:t>77.</w:t>
      </w:r>
      <w:r w:rsidRPr="00C152A8">
        <w:t>South Carolina Revenue and Fiscal Affairs Office, Hospital Discharge Patient-Level Dataset. No hyperlink.</w:t>
      </w:r>
    </w:p>
    <w:p w14:paraId="6C63E1F6" w14:textId="2C450098" w:rsidR="00C152A8" w:rsidRPr="00C152A8" w:rsidRDefault="00000000" w:rsidP="00926EB3">
      <w:pPr>
        <w:pStyle w:val="ListParagraph"/>
        <w:numPr>
          <w:ilvl w:val="0"/>
          <w:numId w:val="192"/>
        </w:numPr>
        <w:rPr>
          <w:u w:val="thick"/>
        </w:rPr>
      </w:pPr>
      <w:hyperlink r:id="rId357" w:history="1">
        <w:r w:rsidR="00C152A8" w:rsidRPr="00C152A8">
          <w:rPr>
            <w:rStyle w:val="Hyperlink"/>
          </w:rPr>
          <w:t>“Cancer Statistics Data Visualizations Tool” by U.S. Cancer Statistics Working Group</w:t>
        </w:r>
      </w:hyperlink>
      <w:r w:rsidR="00C152A8" w:rsidRPr="00C152A8">
        <w:t>, based on 2021 submission data (1999-2019)</w:t>
      </w:r>
      <w:r w:rsidR="00C152A8">
        <w:t>,</w:t>
      </w:r>
      <w:r w:rsidR="00C152A8" w:rsidRPr="00C152A8">
        <w:t xml:space="preserve"> U.S. Department of Health and Human Services</w:t>
      </w:r>
      <w:r w:rsidR="00C152A8">
        <w:t>.</w:t>
      </w:r>
      <w:r w:rsidR="00C152A8" w:rsidRPr="00C152A8">
        <w:t xml:space="preserve"> </w:t>
      </w:r>
      <w:r w:rsidR="00C152A8">
        <w:t xml:space="preserve">Published by </w:t>
      </w:r>
      <w:r w:rsidR="00C152A8" w:rsidRPr="00C152A8">
        <w:t>Centers for Disease Control and Prevention and National Cancer Institute</w:t>
      </w:r>
      <w:r w:rsidR="00C152A8">
        <w:t>, 2022.</w:t>
      </w:r>
    </w:p>
    <w:p w14:paraId="4EE097DF" w14:textId="1B610B63" w:rsidR="00C152A8" w:rsidRPr="00C152A8" w:rsidRDefault="00000000" w:rsidP="00926EB3">
      <w:pPr>
        <w:pStyle w:val="ListParagraph"/>
        <w:numPr>
          <w:ilvl w:val="0"/>
          <w:numId w:val="192"/>
        </w:numPr>
        <w:rPr>
          <w:u w:val="thick"/>
        </w:rPr>
      </w:pPr>
      <w:hyperlink r:id="rId358" w:history="1">
        <w:r w:rsidR="00C152A8" w:rsidRPr="00C152A8">
          <w:rPr>
            <w:rStyle w:val="Hyperlink"/>
          </w:rPr>
          <w:t>“Information and resources about for cancer: Breast, colon, lung, prostate, skin” by the American Cancer Society via cancer.org. Retrieved August 23, 2022</w:t>
        </w:r>
      </w:hyperlink>
      <w:r w:rsidR="00C152A8">
        <w:t>.</w:t>
      </w:r>
      <w:r w:rsidR="00C152A8" w:rsidRPr="00C152A8">
        <w:rPr>
          <w:u w:val="thick"/>
        </w:rPr>
        <w:t xml:space="preserve"> </w:t>
      </w:r>
    </w:p>
    <w:p w14:paraId="192F2972" w14:textId="756B1760" w:rsidR="00C152A8" w:rsidRPr="00C152A8" w:rsidRDefault="00C152A8" w:rsidP="00926EB3">
      <w:pPr>
        <w:pStyle w:val="ListParagraph"/>
        <w:numPr>
          <w:ilvl w:val="0"/>
          <w:numId w:val="192"/>
        </w:numPr>
      </w:pPr>
      <w:r>
        <w:t>“</w:t>
      </w:r>
      <w:r w:rsidRPr="00C152A8">
        <w:t>SC Incidence: 1996-2020ytd SC Cancer Incidence Data.</w:t>
      </w:r>
      <w:r>
        <w:t>”</w:t>
      </w:r>
      <w:r w:rsidRPr="00C152A8">
        <w:t xml:space="preserve"> Based file run date 11/23/21. SC Central Cancer Registry, Bureau of Chronic Disease &amp; Injury Prevention, SC </w:t>
      </w:r>
      <w:r>
        <w:t>DHEC</w:t>
      </w:r>
      <w:r w:rsidRPr="00C152A8">
        <w:t xml:space="preserve">. </w:t>
      </w:r>
      <w:r>
        <w:t>2022. No hyperlink.</w:t>
      </w:r>
    </w:p>
    <w:p w14:paraId="1F38B8A1" w14:textId="32A75D91" w:rsidR="007F56A0" w:rsidRDefault="00C152A8" w:rsidP="00926EB3">
      <w:pPr>
        <w:pStyle w:val="ListParagraph"/>
        <w:numPr>
          <w:ilvl w:val="0"/>
          <w:numId w:val="192"/>
        </w:numPr>
      </w:pPr>
      <w:r>
        <w:t>“</w:t>
      </w:r>
      <w:r w:rsidRPr="00C152A8">
        <w:t>SC Mortality: 1996-2020 SC Cancer Mortality Data.</w:t>
      </w:r>
      <w:r>
        <w:t>”</w:t>
      </w:r>
      <w:r w:rsidRPr="00C152A8">
        <w:t xml:space="preserve"> Based on SC Vital Records Death Data file run date 8/5/2021. SC Central Cancer Registry, SC DHEC. </w:t>
      </w:r>
      <w:r>
        <w:t>2022. No hyperlink.</w:t>
      </w:r>
    </w:p>
    <w:p w14:paraId="45CBBF1A" w14:textId="77777777" w:rsidR="00C152A8" w:rsidRDefault="00C152A8" w:rsidP="005561F7"/>
    <w:p w14:paraId="19FD17A3" w14:textId="77777777" w:rsidR="007F56A0" w:rsidRPr="007F56A0" w:rsidRDefault="007F56A0" w:rsidP="007F56A0">
      <w:pPr>
        <w:pStyle w:val="Heading3"/>
      </w:pPr>
      <w:bookmarkStart w:id="778" w:name="_Toc162267528"/>
      <w:r w:rsidRPr="007F56A0">
        <w:t>Colorectal Cancer</w:t>
      </w:r>
      <w:bookmarkEnd w:id="778"/>
    </w:p>
    <w:p w14:paraId="69DFC105" w14:textId="0ED7BB1C" w:rsidR="007F56A0" w:rsidRPr="007F56A0" w:rsidRDefault="007F56A0" w:rsidP="007F56A0">
      <w:pPr>
        <w:rPr>
          <w:b/>
          <w:bCs/>
        </w:rPr>
      </w:pPr>
      <w:r w:rsidRPr="007F56A0">
        <w:t>Colorectal cancer is the second-leading cause of cancer death and the third most commonly occurring cancer in both men and women. Some common risk factors for colorectal cancer are having a family history of colorectal cancer, being older in age, being obese, being physically inactive, and eating certain types of diets. The American Cancer Society recommends the average person start screening for colorectal cancer at 45 years of age with either a stool-based test or visual examination. SC ranks 25th in the nation for colorectal cancer incidence rate and 23rd in the nation for colorectal cancer mortality rate. Non-Hispanic Blacks are diagnosed with colorectal cancer at a 17% higher rate and die from colorectal cancer at a 45% higher rate than non-Hispanic Whites. In 2021, the average inpatient charges for colorectal cancer was $86,397, which added up to a minimum total economic impact of $180,531,790 for the state of SC.</w:t>
      </w:r>
    </w:p>
    <w:p w14:paraId="7D252169" w14:textId="77777777" w:rsidR="007F56A0" w:rsidRDefault="007F56A0" w:rsidP="005561F7"/>
    <w:p w14:paraId="35AEC35C" w14:textId="77777777" w:rsidR="007F56A0" w:rsidRDefault="007F56A0" w:rsidP="007F56A0">
      <w:pPr>
        <w:pStyle w:val="Heading4"/>
      </w:pPr>
      <w:bookmarkStart w:id="779" w:name="_Toc154576512"/>
      <w:bookmarkStart w:id="780" w:name="_Toc162267529"/>
      <w:r>
        <w:t>Figure 9.30: Received the Recommended Colorectal Cancer Screenings, by Race/Ethnicity.</w:t>
      </w:r>
      <w:bookmarkEnd w:id="779"/>
      <w:bookmarkEnd w:id="780"/>
    </w:p>
    <w:tbl>
      <w:tblPr>
        <w:tblStyle w:val="TableGrid"/>
        <w:tblW w:w="0" w:type="auto"/>
        <w:tblLook w:val="04A0" w:firstRow="1" w:lastRow="0" w:firstColumn="1" w:lastColumn="0" w:noHBand="0" w:noVBand="1"/>
      </w:tblPr>
      <w:tblGrid>
        <w:gridCol w:w="4675"/>
        <w:gridCol w:w="4675"/>
      </w:tblGrid>
      <w:tr w:rsidR="007F56A0" w14:paraId="790576DA" w14:textId="77777777" w:rsidTr="001B41BD">
        <w:tc>
          <w:tcPr>
            <w:tcW w:w="4675" w:type="dxa"/>
          </w:tcPr>
          <w:p w14:paraId="0C897744" w14:textId="77777777" w:rsidR="007F56A0" w:rsidRDefault="007F56A0" w:rsidP="001B41BD">
            <w:r>
              <w:t>Race/Ethnicity</w:t>
            </w:r>
          </w:p>
        </w:tc>
        <w:tc>
          <w:tcPr>
            <w:tcW w:w="4675" w:type="dxa"/>
          </w:tcPr>
          <w:p w14:paraId="10B13330" w14:textId="77777777" w:rsidR="007F56A0" w:rsidRDefault="007F56A0" w:rsidP="001B41BD">
            <w:r>
              <w:t>Percent</w:t>
            </w:r>
          </w:p>
        </w:tc>
      </w:tr>
      <w:tr w:rsidR="007F56A0" w14:paraId="3AFAE4C6" w14:textId="77777777" w:rsidTr="001B41BD">
        <w:tc>
          <w:tcPr>
            <w:tcW w:w="4675" w:type="dxa"/>
          </w:tcPr>
          <w:p w14:paraId="61AD6ECC" w14:textId="77777777" w:rsidR="007F56A0" w:rsidRDefault="007F56A0" w:rsidP="001B41BD">
            <w:r>
              <w:t>Non-Hispanic White</w:t>
            </w:r>
          </w:p>
        </w:tc>
        <w:tc>
          <w:tcPr>
            <w:tcW w:w="4675" w:type="dxa"/>
          </w:tcPr>
          <w:p w14:paraId="55806DA3" w14:textId="77777777" w:rsidR="007F56A0" w:rsidRDefault="007F56A0" w:rsidP="001B41BD">
            <w:r>
              <w:t>74.5%</w:t>
            </w:r>
          </w:p>
        </w:tc>
      </w:tr>
      <w:tr w:rsidR="007F56A0" w14:paraId="1F7048A6" w14:textId="77777777" w:rsidTr="001B41BD">
        <w:tc>
          <w:tcPr>
            <w:tcW w:w="4675" w:type="dxa"/>
          </w:tcPr>
          <w:p w14:paraId="4627629C" w14:textId="77777777" w:rsidR="007F56A0" w:rsidRDefault="007F56A0" w:rsidP="001B41BD">
            <w:r>
              <w:t>Non-Hispanic Black</w:t>
            </w:r>
          </w:p>
        </w:tc>
        <w:tc>
          <w:tcPr>
            <w:tcW w:w="4675" w:type="dxa"/>
          </w:tcPr>
          <w:p w14:paraId="6FFEDCFA" w14:textId="77777777" w:rsidR="007F56A0" w:rsidRDefault="007F56A0" w:rsidP="001B41BD">
            <w:r>
              <w:t>81.4%</w:t>
            </w:r>
          </w:p>
        </w:tc>
      </w:tr>
      <w:tr w:rsidR="007F56A0" w14:paraId="0C05FD3D" w14:textId="77777777" w:rsidTr="001B41BD">
        <w:tc>
          <w:tcPr>
            <w:tcW w:w="4675" w:type="dxa"/>
          </w:tcPr>
          <w:p w14:paraId="319FDC73" w14:textId="77777777" w:rsidR="007F56A0" w:rsidRDefault="007F56A0" w:rsidP="001B41BD">
            <w:r>
              <w:t>Healthy People 2030 Goal</w:t>
            </w:r>
          </w:p>
        </w:tc>
        <w:tc>
          <w:tcPr>
            <w:tcW w:w="4675" w:type="dxa"/>
          </w:tcPr>
          <w:p w14:paraId="5CD900F1" w14:textId="77777777" w:rsidR="007F56A0" w:rsidRDefault="007F56A0" w:rsidP="001B41BD">
            <w:r>
              <w:t>68.3%</w:t>
            </w:r>
          </w:p>
        </w:tc>
      </w:tr>
    </w:tbl>
    <w:p w14:paraId="5CD0BEE9" w14:textId="77777777" w:rsidR="007F56A0" w:rsidRPr="00972687" w:rsidRDefault="007F56A0" w:rsidP="007F56A0">
      <w:r w:rsidRPr="00972687">
        <w:t xml:space="preserve">Source: SC BRFSS, 2020. </w:t>
      </w:r>
    </w:p>
    <w:p w14:paraId="4F38E1DC" w14:textId="77777777" w:rsidR="007F56A0" w:rsidRPr="00972687" w:rsidRDefault="007F56A0" w:rsidP="007F56A0">
      <w:r w:rsidRPr="00972687">
        <w:t>Notes: Age-adjusted 50-75, had a blood test in the past 5 years and blood stool test in the past 3 years, or a colonoscopy in the past 10 years.</w:t>
      </w:r>
    </w:p>
    <w:p w14:paraId="572D46B2" w14:textId="77777777" w:rsidR="007F56A0" w:rsidRDefault="007F56A0" w:rsidP="007F56A0">
      <w:pPr>
        <w:pStyle w:val="Heading4"/>
      </w:pPr>
      <w:bookmarkStart w:id="781" w:name="_Toc154576513"/>
    </w:p>
    <w:p w14:paraId="543DA05E" w14:textId="0F1296BB" w:rsidR="007F56A0" w:rsidRDefault="007F56A0" w:rsidP="007F56A0">
      <w:pPr>
        <w:pStyle w:val="Heading4"/>
      </w:pPr>
      <w:bookmarkStart w:id="782" w:name="_Toc162267530"/>
      <w:r>
        <w:t>Figure 9.31: Colorectal Cancer Incidence, by Race/Ethnicity and Sex.</w:t>
      </w:r>
      <w:bookmarkEnd w:id="781"/>
      <w:bookmarkEnd w:id="782"/>
    </w:p>
    <w:p w14:paraId="5B3E221E" w14:textId="77777777" w:rsidR="007F56A0" w:rsidRDefault="007F56A0" w:rsidP="007F56A0">
      <w:pPr>
        <w:pStyle w:val="Heading5"/>
      </w:pPr>
      <w:r>
        <w:t>Rate per 100,000 population.</w:t>
      </w:r>
    </w:p>
    <w:tbl>
      <w:tblPr>
        <w:tblStyle w:val="TableGrid"/>
        <w:tblW w:w="0" w:type="auto"/>
        <w:tblLook w:val="04A0" w:firstRow="1" w:lastRow="0" w:firstColumn="1" w:lastColumn="0" w:noHBand="0" w:noVBand="1"/>
      </w:tblPr>
      <w:tblGrid>
        <w:gridCol w:w="1870"/>
        <w:gridCol w:w="1870"/>
        <w:gridCol w:w="1870"/>
        <w:gridCol w:w="1870"/>
        <w:gridCol w:w="1870"/>
      </w:tblGrid>
      <w:tr w:rsidR="007F56A0" w14:paraId="493B1D89" w14:textId="77777777" w:rsidTr="001B41BD">
        <w:tc>
          <w:tcPr>
            <w:tcW w:w="1870" w:type="dxa"/>
            <w:vAlign w:val="bottom"/>
          </w:tcPr>
          <w:p w14:paraId="79AFCF48" w14:textId="77777777" w:rsidR="007F56A0" w:rsidRPr="00972687" w:rsidRDefault="007F56A0" w:rsidP="001B41BD">
            <w:r>
              <w:t>Years</w:t>
            </w:r>
          </w:p>
        </w:tc>
        <w:tc>
          <w:tcPr>
            <w:tcW w:w="1870" w:type="dxa"/>
            <w:vAlign w:val="bottom"/>
          </w:tcPr>
          <w:p w14:paraId="68AFFD0F" w14:textId="77777777" w:rsidR="007F56A0" w:rsidRPr="00972687" w:rsidRDefault="007F56A0" w:rsidP="001B41BD">
            <w:r w:rsidRPr="00972687">
              <w:t>Non-Hispanic White Male</w:t>
            </w:r>
          </w:p>
        </w:tc>
        <w:tc>
          <w:tcPr>
            <w:tcW w:w="1870" w:type="dxa"/>
            <w:vAlign w:val="bottom"/>
          </w:tcPr>
          <w:p w14:paraId="428C04B0" w14:textId="77777777" w:rsidR="007F56A0" w:rsidRPr="00972687" w:rsidRDefault="007F56A0" w:rsidP="001B41BD">
            <w:r w:rsidRPr="00972687">
              <w:t>Non-Hispanic White Female</w:t>
            </w:r>
          </w:p>
        </w:tc>
        <w:tc>
          <w:tcPr>
            <w:tcW w:w="1870" w:type="dxa"/>
            <w:vAlign w:val="bottom"/>
          </w:tcPr>
          <w:p w14:paraId="109C9E6B" w14:textId="77777777" w:rsidR="007F56A0" w:rsidRPr="00972687" w:rsidRDefault="007F56A0" w:rsidP="001B41BD">
            <w:r w:rsidRPr="00972687">
              <w:t>Non-Hispanic Black Male</w:t>
            </w:r>
          </w:p>
        </w:tc>
        <w:tc>
          <w:tcPr>
            <w:tcW w:w="1870" w:type="dxa"/>
            <w:vAlign w:val="bottom"/>
          </w:tcPr>
          <w:p w14:paraId="6376377A" w14:textId="77777777" w:rsidR="007F56A0" w:rsidRPr="00972687" w:rsidRDefault="007F56A0" w:rsidP="001B41BD">
            <w:r w:rsidRPr="00972687">
              <w:t>Non-Hispanic Black Female</w:t>
            </w:r>
          </w:p>
        </w:tc>
      </w:tr>
      <w:tr w:rsidR="007F56A0" w14:paraId="13FEF206" w14:textId="77777777" w:rsidTr="001B41BD">
        <w:tc>
          <w:tcPr>
            <w:tcW w:w="1870" w:type="dxa"/>
            <w:vAlign w:val="bottom"/>
          </w:tcPr>
          <w:p w14:paraId="7BE8DEEB" w14:textId="77777777" w:rsidR="007F56A0" w:rsidRPr="00972687" w:rsidRDefault="007F56A0" w:rsidP="001B41BD">
            <w:r w:rsidRPr="00972687">
              <w:t>2011-2015</w:t>
            </w:r>
          </w:p>
        </w:tc>
        <w:tc>
          <w:tcPr>
            <w:tcW w:w="1870" w:type="dxa"/>
            <w:vAlign w:val="bottom"/>
          </w:tcPr>
          <w:p w14:paraId="2FBCC885" w14:textId="77777777" w:rsidR="007F56A0" w:rsidRPr="00972687" w:rsidRDefault="007F56A0" w:rsidP="001B41BD">
            <w:r w:rsidRPr="00972687">
              <w:t>42.9</w:t>
            </w:r>
          </w:p>
        </w:tc>
        <w:tc>
          <w:tcPr>
            <w:tcW w:w="1870" w:type="dxa"/>
            <w:vAlign w:val="bottom"/>
          </w:tcPr>
          <w:p w14:paraId="78656669" w14:textId="77777777" w:rsidR="007F56A0" w:rsidRPr="00972687" w:rsidRDefault="007F56A0" w:rsidP="001B41BD">
            <w:r w:rsidRPr="00972687">
              <w:t>33.0</w:t>
            </w:r>
          </w:p>
        </w:tc>
        <w:tc>
          <w:tcPr>
            <w:tcW w:w="1870" w:type="dxa"/>
            <w:vAlign w:val="bottom"/>
          </w:tcPr>
          <w:p w14:paraId="6516D103" w14:textId="77777777" w:rsidR="007F56A0" w:rsidRPr="00972687" w:rsidRDefault="007F56A0" w:rsidP="001B41BD">
            <w:r w:rsidRPr="00972687">
              <w:t>55.9</w:t>
            </w:r>
          </w:p>
        </w:tc>
        <w:tc>
          <w:tcPr>
            <w:tcW w:w="1870" w:type="dxa"/>
            <w:vAlign w:val="bottom"/>
          </w:tcPr>
          <w:p w14:paraId="375D5E7F" w14:textId="77777777" w:rsidR="007F56A0" w:rsidRPr="00972687" w:rsidRDefault="007F56A0" w:rsidP="001B41BD">
            <w:r w:rsidRPr="00972687">
              <w:t>37.3</w:t>
            </w:r>
          </w:p>
        </w:tc>
      </w:tr>
      <w:tr w:rsidR="007F56A0" w14:paraId="42A14C2A" w14:textId="77777777" w:rsidTr="001B41BD">
        <w:tc>
          <w:tcPr>
            <w:tcW w:w="1870" w:type="dxa"/>
            <w:vAlign w:val="bottom"/>
          </w:tcPr>
          <w:p w14:paraId="36979963" w14:textId="77777777" w:rsidR="007F56A0" w:rsidRPr="00972687" w:rsidRDefault="007F56A0" w:rsidP="001B41BD">
            <w:r w:rsidRPr="00972687">
              <w:t>2012-2016</w:t>
            </w:r>
          </w:p>
        </w:tc>
        <w:tc>
          <w:tcPr>
            <w:tcW w:w="1870" w:type="dxa"/>
            <w:vAlign w:val="bottom"/>
          </w:tcPr>
          <w:p w14:paraId="70E43032" w14:textId="77777777" w:rsidR="007F56A0" w:rsidRPr="00972687" w:rsidRDefault="007F56A0" w:rsidP="001B41BD">
            <w:r w:rsidRPr="00972687">
              <w:t>42.8</w:t>
            </w:r>
          </w:p>
        </w:tc>
        <w:tc>
          <w:tcPr>
            <w:tcW w:w="1870" w:type="dxa"/>
            <w:vAlign w:val="bottom"/>
          </w:tcPr>
          <w:p w14:paraId="7D19E812" w14:textId="77777777" w:rsidR="007F56A0" w:rsidRPr="00972687" w:rsidRDefault="007F56A0" w:rsidP="001B41BD">
            <w:r w:rsidRPr="00972687">
              <w:t>32.6</w:t>
            </w:r>
          </w:p>
        </w:tc>
        <w:tc>
          <w:tcPr>
            <w:tcW w:w="1870" w:type="dxa"/>
            <w:vAlign w:val="bottom"/>
          </w:tcPr>
          <w:p w14:paraId="65E8E8C2" w14:textId="77777777" w:rsidR="007F56A0" w:rsidRPr="00972687" w:rsidRDefault="007F56A0" w:rsidP="001B41BD">
            <w:r w:rsidRPr="00972687">
              <w:t>55.2</w:t>
            </w:r>
          </w:p>
        </w:tc>
        <w:tc>
          <w:tcPr>
            <w:tcW w:w="1870" w:type="dxa"/>
            <w:vAlign w:val="bottom"/>
          </w:tcPr>
          <w:p w14:paraId="33363BCF" w14:textId="77777777" w:rsidR="007F56A0" w:rsidRPr="00972687" w:rsidRDefault="007F56A0" w:rsidP="001B41BD">
            <w:r w:rsidRPr="00972687">
              <w:t>37.6</w:t>
            </w:r>
          </w:p>
        </w:tc>
      </w:tr>
      <w:tr w:rsidR="007F56A0" w14:paraId="3B270370" w14:textId="77777777" w:rsidTr="001B41BD">
        <w:tc>
          <w:tcPr>
            <w:tcW w:w="1870" w:type="dxa"/>
            <w:vAlign w:val="bottom"/>
          </w:tcPr>
          <w:p w14:paraId="40F3CA8A" w14:textId="77777777" w:rsidR="007F56A0" w:rsidRPr="00972687" w:rsidRDefault="007F56A0" w:rsidP="001B41BD">
            <w:r w:rsidRPr="00972687">
              <w:t>2013-2017</w:t>
            </w:r>
          </w:p>
        </w:tc>
        <w:tc>
          <w:tcPr>
            <w:tcW w:w="1870" w:type="dxa"/>
            <w:vAlign w:val="bottom"/>
          </w:tcPr>
          <w:p w14:paraId="63ADDD75" w14:textId="77777777" w:rsidR="007F56A0" w:rsidRPr="00972687" w:rsidRDefault="007F56A0" w:rsidP="001B41BD">
            <w:r w:rsidRPr="00972687">
              <w:t>42.0</w:t>
            </w:r>
          </w:p>
        </w:tc>
        <w:tc>
          <w:tcPr>
            <w:tcW w:w="1870" w:type="dxa"/>
            <w:vAlign w:val="bottom"/>
          </w:tcPr>
          <w:p w14:paraId="2015BCBB" w14:textId="77777777" w:rsidR="007F56A0" w:rsidRPr="00972687" w:rsidRDefault="007F56A0" w:rsidP="001B41BD">
            <w:r w:rsidRPr="00972687">
              <w:t>31.8</w:t>
            </w:r>
          </w:p>
        </w:tc>
        <w:tc>
          <w:tcPr>
            <w:tcW w:w="1870" w:type="dxa"/>
            <w:vAlign w:val="bottom"/>
          </w:tcPr>
          <w:p w14:paraId="7CF602A2" w14:textId="77777777" w:rsidR="007F56A0" w:rsidRPr="00972687" w:rsidRDefault="007F56A0" w:rsidP="001B41BD">
            <w:r w:rsidRPr="00972687">
              <w:t>53.9</w:t>
            </w:r>
          </w:p>
        </w:tc>
        <w:tc>
          <w:tcPr>
            <w:tcW w:w="1870" w:type="dxa"/>
            <w:vAlign w:val="bottom"/>
          </w:tcPr>
          <w:p w14:paraId="04D0039B" w14:textId="77777777" w:rsidR="007F56A0" w:rsidRPr="00972687" w:rsidRDefault="007F56A0" w:rsidP="001B41BD">
            <w:r w:rsidRPr="00972687">
              <w:t>37.2</w:t>
            </w:r>
          </w:p>
        </w:tc>
      </w:tr>
      <w:tr w:rsidR="007F56A0" w14:paraId="277D4D19" w14:textId="77777777" w:rsidTr="001B41BD">
        <w:tc>
          <w:tcPr>
            <w:tcW w:w="1870" w:type="dxa"/>
            <w:vAlign w:val="bottom"/>
          </w:tcPr>
          <w:p w14:paraId="62BBA704" w14:textId="77777777" w:rsidR="007F56A0" w:rsidRPr="00972687" w:rsidRDefault="007F56A0" w:rsidP="001B41BD">
            <w:r w:rsidRPr="00972687">
              <w:t>2014-2018</w:t>
            </w:r>
          </w:p>
        </w:tc>
        <w:tc>
          <w:tcPr>
            <w:tcW w:w="1870" w:type="dxa"/>
            <w:vAlign w:val="bottom"/>
          </w:tcPr>
          <w:p w14:paraId="540341A8" w14:textId="77777777" w:rsidR="007F56A0" w:rsidRPr="00972687" w:rsidRDefault="007F56A0" w:rsidP="001B41BD">
            <w:r w:rsidRPr="00972687">
              <w:t>41.6</w:t>
            </w:r>
          </w:p>
        </w:tc>
        <w:tc>
          <w:tcPr>
            <w:tcW w:w="1870" w:type="dxa"/>
            <w:vAlign w:val="bottom"/>
          </w:tcPr>
          <w:p w14:paraId="1BFAB7E1" w14:textId="77777777" w:rsidR="007F56A0" w:rsidRPr="00972687" w:rsidRDefault="007F56A0" w:rsidP="001B41BD">
            <w:r w:rsidRPr="00972687">
              <w:t>31.8</w:t>
            </w:r>
          </w:p>
        </w:tc>
        <w:tc>
          <w:tcPr>
            <w:tcW w:w="1870" w:type="dxa"/>
            <w:vAlign w:val="bottom"/>
          </w:tcPr>
          <w:p w14:paraId="7C6CF126" w14:textId="77777777" w:rsidR="007F56A0" w:rsidRPr="00972687" w:rsidRDefault="007F56A0" w:rsidP="001B41BD">
            <w:r w:rsidRPr="00972687">
              <w:t>54.1</w:t>
            </w:r>
          </w:p>
        </w:tc>
        <w:tc>
          <w:tcPr>
            <w:tcW w:w="1870" w:type="dxa"/>
            <w:vAlign w:val="bottom"/>
          </w:tcPr>
          <w:p w14:paraId="7A6C4AC4" w14:textId="77777777" w:rsidR="007F56A0" w:rsidRPr="00972687" w:rsidRDefault="007F56A0" w:rsidP="001B41BD">
            <w:r w:rsidRPr="00972687">
              <w:t>36.0</w:t>
            </w:r>
          </w:p>
        </w:tc>
      </w:tr>
      <w:tr w:rsidR="007F56A0" w14:paraId="7046467A" w14:textId="77777777" w:rsidTr="001B41BD">
        <w:tc>
          <w:tcPr>
            <w:tcW w:w="1870" w:type="dxa"/>
            <w:vAlign w:val="bottom"/>
          </w:tcPr>
          <w:p w14:paraId="0D03705B" w14:textId="77777777" w:rsidR="007F56A0" w:rsidRPr="00972687" w:rsidRDefault="007F56A0" w:rsidP="001B41BD">
            <w:r w:rsidRPr="00972687">
              <w:t>2015-2019</w:t>
            </w:r>
          </w:p>
        </w:tc>
        <w:tc>
          <w:tcPr>
            <w:tcW w:w="1870" w:type="dxa"/>
            <w:vAlign w:val="bottom"/>
          </w:tcPr>
          <w:p w14:paraId="57FA1658" w14:textId="77777777" w:rsidR="007F56A0" w:rsidRPr="00972687" w:rsidRDefault="007F56A0" w:rsidP="001B41BD">
            <w:r w:rsidRPr="00972687">
              <w:t>41.5</w:t>
            </w:r>
          </w:p>
        </w:tc>
        <w:tc>
          <w:tcPr>
            <w:tcW w:w="1870" w:type="dxa"/>
            <w:vAlign w:val="bottom"/>
          </w:tcPr>
          <w:p w14:paraId="30380C28" w14:textId="77777777" w:rsidR="007F56A0" w:rsidRPr="00972687" w:rsidRDefault="007F56A0" w:rsidP="001B41BD">
            <w:r w:rsidRPr="00972687">
              <w:t>31.6</w:t>
            </w:r>
          </w:p>
        </w:tc>
        <w:tc>
          <w:tcPr>
            <w:tcW w:w="1870" w:type="dxa"/>
            <w:vAlign w:val="bottom"/>
          </w:tcPr>
          <w:p w14:paraId="71371A5E" w14:textId="77777777" w:rsidR="007F56A0" w:rsidRPr="00972687" w:rsidRDefault="007F56A0" w:rsidP="001B41BD">
            <w:r w:rsidRPr="00972687">
              <w:t>51.9</w:t>
            </w:r>
          </w:p>
        </w:tc>
        <w:tc>
          <w:tcPr>
            <w:tcW w:w="1870" w:type="dxa"/>
            <w:vAlign w:val="bottom"/>
          </w:tcPr>
          <w:p w14:paraId="69FB7F0F" w14:textId="77777777" w:rsidR="007F56A0" w:rsidRPr="00972687" w:rsidRDefault="007F56A0" w:rsidP="001B41BD">
            <w:r w:rsidRPr="00972687">
              <w:t>35.0</w:t>
            </w:r>
          </w:p>
        </w:tc>
      </w:tr>
    </w:tbl>
    <w:p w14:paraId="530AA2F7" w14:textId="77777777" w:rsidR="007F56A0" w:rsidRPr="00972687" w:rsidRDefault="007F56A0" w:rsidP="007F56A0">
      <w:r w:rsidRPr="00972687">
        <w:t xml:space="preserve">Source: SC DHEC CCR. </w:t>
      </w:r>
    </w:p>
    <w:p w14:paraId="5A1AC61B" w14:textId="77777777" w:rsidR="007F56A0" w:rsidRDefault="007F56A0" w:rsidP="007F56A0">
      <w:r w:rsidRPr="00972687">
        <w:t>Note: Age-adjusted.</w:t>
      </w:r>
    </w:p>
    <w:p w14:paraId="13E64A05" w14:textId="77777777" w:rsidR="0060334A" w:rsidRPr="00D47C63" w:rsidRDefault="0060334A" w:rsidP="007F56A0"/>
    <w:p w14:paraId="502ED49F" w14:textId="77777777" w:rsidR="007F56A0" w:rsidRDefault="007F56A0" w:rsidP="007F56A0">
      <w:pPr>
        <w:pStyle w:val="Heading4"/>
      </w:pPr>
      <w:bookmarkStart w:id="783" w:name="_Toc154576514"/>
      <w:bookmarkStart w:id="784" w:name="_Toc162267531"/>
      <w:r>
        <w:t>Figure 9.32: Colorectal Cancer Deaths, by Race/Ethnicity and Sex.</w:t>
      </w:r>
      <w:bookmarkEnd w:id="783"/>
      <w:bookmarkEnd w:id="784"/>
    </w:p>
    <w:p w14:paraId="2F9FB74C" w14:textId="77777777" w:rsidR="007F56A0" w:rsidRDefault="007F56A0" w:rsidP="007F56A0">
      <w:pPr>
        <w:pStyle w:val="Heading5"/>
      </w:pPr>
      <w:r>
        <w:t>Rate per 100,000 population.</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7F56A0" w14:paraId="497F9B32" w14:textId="77777777" w:rsidTr="001B41BD">
        <w:tc>
          <w:tcPr>
            <w:tcW w:w="1558" w:type="dxa"/>
            <w:vAlign w:val="bottom"/>
          </w:tcPr>
          <w:p w14:paraId="1D47A8CA" w14:textId="77777777" w:rsidR="007F56A0" w:rsidRPr="00972687" w:rsidRDefault="007F56A0" w:rsidP="001B41BD">
            <w:r>
              <w:t>Years</w:t>
            </w:r>
          </w:p>
        </w:tc>
        <w:tc>
          <w:tcPr>
            <w:tcW w:w="1558" w:type="dxa"/>
            <w:vAlign w:val="bottom"/>
          </w:tcPr>
          <w:p w14:paraId="6123207A" w14:textId="77777777" w:rsidR="007F56A0" w:rsidRPr="00972687" w:rsidRDefault="007F56A0" w:rsidP="001B41BD">
            <w:r w:rsidRPr="00972687">
              <w:t>Non-Hispanic White Male</w:t>
            </w:r>
          </w:p>
        </w:tc>
        <w:tc>
          <w:tcPr>
            <w:tcW w:w="1558" w:type="dxa"/>
            <w:vAlign w:val="bottom"/>
          </w:tcPr>
          <w:p w14:paraId="1BA1D305" w14:textId="77777777" w:rsidR="007F56A0" w:rsidRPr="00972687" w:rsidRDefault="007F56A0" w:rsidP="001B41BD">
            <w:r w:rsidRPr="00972687">
              <w:t>Non-Hispanic White Female</w:t>
            </w:r>
          </w:p>
        </w:tc>
        <w:tc>
          <w:tcPr>
            <w:tcW w:w="1558" w:type="dxa"/>
            <w:vAlign w:val="bottom"/>
          </w:tcPr>
          <w:p w14:paraId="2A293378" w14:textId="77777777" w:rsidR="007F56A0" w:rsidRPr="00972687" w:rsidRDefault="007F56A0" w:rsidP="001B41BD">
            <w:r w:rsidRPr="00972687">
              <w:t>Non-Hispanic Black Male</w:t>
            </w:r>
          </w:p>
        </w:tc>
        <w:tc>
          <w:tcPr>
            <w:tcW w:w="1559" w:type="dxa"/>
            <w:vAlign w:val="bottom"/>
          </w:tcPr>
          <w:p w14:paraId="09A85578" w14:textId="77777777" w:rsidR="007F56A0" w:rsidRPr="00972687" w:rsidRDefault="007F56A0" w:rsidP="001B41BD">
            <w:r w:rsidRPr="00972687">
              <w:t>Non-Hispanic Black Female</w:t>
            </w:r>
          </w:p>
        </w:tc>
        <w:tc>
          <w:tcPr>
            <w:tcW w:w="1559" w:type="dxa"/>
            <w:vAlign w:val="bottom"/>
          </w:tcPr>
          <w:p w14:paraId="19E38C07" w14:textId="77777777" w:rsidR="007F56A0" w:rsidRPr="00972687" w:rsidRDefault="007F56A0" w:rsidP="001B41BD">
            <w:r w:rsidRPr="00972687">
              <w:t>Healthy People 2030</w:t>
            </w:r>
            <w:r>
              <w:t xml:space="preserve"> Goal</w:t>
            </w:r>
          </w:p>
        </w:tc>
      </w:tr>
      <w:tr w:rsidR="007F56A0" w14:paraId="586116A9" w14:textId="77777777" w:rsidTr="001B41BD">
        <w:tc>
          <w:tcPr>
            <w:tcW w:w="1558" w:type="dxa"/>
            <w:vAlign w:val="bottom"/>
          </w:tcPr>
          <w:p w14:paraId="3F719EE9" w14:textId="77777777" w:rsidR="007F56A0" w:rsidRPr="00972687" w:rsidRDefault="007F56A0" w:rsidP="001B41BD">
            <w:r w:rsidRPr="00972687">
              <w:t>2011-2015</w:t>
            </w:r>
          </w:p>
        </w:tc>
        <w:tc>
          <w:tcPr>
            <w:tcW w:w="1558" w:type="dxa"/>
            <w:vAlign w:val="bottom"/>
          </w:tcPr>
          <w:p w14:paraId="04EA3102" w14:textId="77777777" w:rsidR="007F56A0" w:rsidRPr="00972687" w:rsidRDefault="007F56A0" w:rsidP="001B41BD">
            <w:r w:rsidRPr="00972687">
              <w:t>16.3</w:t>
            </w:r>
          </w:p>
        </w:tc>
        <w:tc>
          <w:tcPr>
            <w:tcW w:w="1558" w:type="dxa"/>
            <w:vAlign w:val="bottom"/>
          </w:tcPr>
          <w:p w14:paraId="2766BD78" w14:textId="77777777" w:rsidR="007F56A0" w:rsidRPr="00972687" w:rsidRDefault="007F56A0" w:rsidP="001B41BD">
            <w:r w:rsidRPr="00972687">
              <w:t>11.8</w:t>
            </w:r>
          </w:p>
        </w:tc>
        <w:tc>
          <w:tcPr>
            <w:tcW w:w="1558" w:type="dxa"/>
            <w:vAlign w:val="bottom"/>
          </w:tcPr>
          <w:p w14:paraId="2B7F70B9" w14:textId="77777777" w:rsidR="007F56A0" w:rsidRPr="00972687" w:rsidRDefault="007F56A0" w:rsidP="001B41BD">
            <w:r w:rsidRPr="00972687">
              <w:t>25.8</w:t>
            </w:r>
          </w:p>
        </w:tc>
        <w:tc>
          <w:tcPr>
            <w:tcW w:w="1559" w:type="dxa"/>
            <w:vAlign w:val="bottom"/>
          </w:tcPr>
          <w:p w14:paraId="531431A9" w14:textId="77777777" w:rsidR="007F56A0" w:rsidRPr="00972687" w:rsidRDefault="007F56A0" w:rsidP="001B41BD">
            <w:r w:rsidRPr="00972687">
              <w:t>15.0</w:t>
            </w:r>
          </w:p>
        </w:tc>
        <w:tc>
          <w:tcPr>
            <w:tcW w:w="1559" w:type="dxa"/>
            <w:vAlign w:val="bottom"/>
          </w:tcPr>
          <w:p w14:paraId="48C21309" w14:textId="77777777" w:rsidR="007F56A0" w:rsidRPr="00972687" w:rsidRDefault="007F56A0" w:rsidP="001B41BD">
            <w:r w:rsidRPr="00972687">
              <w:t>8.9</w:t>
            </w:r>
          </w:p>
        </w:tc>
      </w:tr>
      <w:tr w:rsidR="007F56A0" w14:paraId="1E24E33E" w14:textId="77777777" w:rsidTr="001B41BD">
        <w:tc>
          <w:tcPr>
            <w:tcW w:w="1558" w:type="dxa"/>
            <w:vAlign w:val="bottom"/>
          </w:tcPr>
          <w:p w14:paraId="1FAF3BCC" w14:textId="77777777" w:rsidR="007F56A0" w:rsidRPr="00972687" w:rsidRDefault="007F56A0" w:rsidP="001B41BD">
            <w:r w:rsidRPr="00972687">
              <w:t>2012-2016</w:t>
            </w:r>
          </w:p>
        </w:tc>
        <w:tc>
          <w:tcPr>
            <w:tcW w:w="1558" w:type="dxa"/>
            <w:vAlign w:val="bottom"/>
          </w:tcPr>
          <w:p w14:paraId="2095B1E4" w14:textId="77777777" w:rsidR="007F56A0" w:rsidRPr="00972687" w:rsidRDefault="007F56A0" w:rsidP="001B41BD">
            <w:r w:rsidRPr="00972687">
              <w:t>16.1</w:t>
            </w:r>
          </w:p>
        </w:tc>
        <w:tc>
          <w:tcPr>
            <w:tcW w:w="1558" w:type="dxa"/>
            <w:vAlign w:val="bottom"/>
          </w:tcPr>
          <w:p w14:paraId="29D634D2" w14:textId="77777777" w:rsidR="007F56A0" w:rsidRPr="00972687" w:rsidRDefault="007F56A0" w:rsidP="001B41BD">
            <w:r w:rsidRPr="00972687">
              <w:t>11.5</w:t>
            </w:r>
          </w:p>
        </w:tc>
        <w:tc>
          <w:tcPr>
            <w:tcW w:w="1558" w:type="dxa"/>
            <w:vAlign w:val="bottom"/>
          </w:tcPr>
          <w:p w14:paraId="19B53096" w14:textId="77777777" w:rsidR="007F56A0" w:rsidRPr="00972687" w:rsidRDefault="007F56A0" w:rsidP="001B41BD">
            <w:r w:rsidRPr="00972687">
              <w:t>25.1</w:t>
            </w:r>
          </w:p>
        </w:tc>
        <w:tc>
          <w:tcPr>
            <w:tcW w:w="1559" w:type="dxa"/>
            <w:vAlign w:val="bottom"/>
          </w:tcPr>
          <w:p w14:paraId="5715AB3B" w14:textId="77777777" w:rsidR="007F56A0" w:rsidRPr="00972687" w:rsidRDefault="007F56A0" w:rsidP="001B41BD">
            <w:r w:rsidRPr="00972687">
              <w:t>14.7</w:t>
            </w:r>
          </w:p>
        </w:tc>
        <w:tc>
          <w:tcPr>
            <w:tcW w:w="1559" w:type="dxa"/>
            <w:vAlign w:val="bottom"/>
          </w:tcPr>
          <w:p w14:paraId="7556CDDF" w14:textId="77777777" w:rsidR="007F56A0" w:rsidRPr="00972687" w:rsidRDefault="007F56A0" w:rsidP="001B41BD">
            <w:r w:rsidRPr="00972687">
              <w:t>8.9</w:t>
            </w:r>
          </w:p>
        </w:tc>
      </w:tr>
      <w:tr w:rsidR="007F56A0" w14:paraId="5364671E" w14:textId="77777777" w:rsidTr="001B41BD">
        <w:tc>
          <w:tcPr>
            <w:tcW w:w="1558" w:type="dxa"/>
            <w:vAlign w:val="bottom"/>
          </w:tcPr>
          <w:p w14:paraId="082E8556" w14:textId="77777777" w:rsidR="007F56A0" w:rsidRPr="00972687" w:rsidRDefault="007F56A0" w:rsidP="001B41BD">
            <w:r w:rsidRPr="00972687">
              <w:t>2013-2017</w:t>
            </w:r>
          </w:p>
        </w:tc>
        <w:tc>
          <w:tcPr>
            <w:tcW w:w="1558" w:type="dxa"/>
            <w:vAlign w:val="bottom"/>
          </w:tcPr>
          <w:p w14:paraId="7BBDF67A" w14:textId="77777777" w:rsidR="007F56A0" w:rsidRPr="00972687" w:rsidRDefault="007F56A0" w:rsidP="001B41BD">
            <w:r w:rsidRPr="00972687">
              <w:t>15.9</w:t>
            </w:r>
          </w:p>
        </w:tc>
        <w:tc>
          <w:tcPr>
            <w:tcW w:w="1558" w:type="dxa"/>
            <w:vAlign w:val="bottom"/>
          </w:tcPr>
          <w:p w14:paraId="41A5960A" w14:textId="77777777" w:rsidR="007F56A0" w:rsidRPr="00972687" w:rsidRDefault="007F56A0" w:rsidP="001B41BD">
            <w:r w:rsidRPr="00972687">
              <w:t>11.1</w:t>
            </w:r>
          </w:p>
        </w:tc>
        <w:tc>
          <w:tcPr>
            <w:tcW w:w="1558" w:type="dxa"/>
            <w:vAlign w:val="bottom"/>
          </w:tcPr>
          <w:p w14:paraId="0879D0E2" w14:textId="77777777" w:rsidR="007F56A0" w:rsidRPr="00972687" w:rsidRDefault="007F56A0" w:rsidP="001B41BD">
            <w:r w:rsidRPr="00972687">
              <w:t>24.9</w:t>
            </w:r>
          </w:p>
        </w:tc>
        <w:tc>
          <w:tcPr>
            <w:tcW w:w="1559" w:type="dxa"/>
            <w:vAlign w:val="bottom"/>
          </w:tcPr>
          <w:p w14:paraId="444F1A02" w14:textId="77777777" w:rsidR="007F56A0" w:rsidRPr="00972687" w:rsidRDefault="007F56A0" w:rsidP="001B41BD">
            <w:r w:rsidRPr="00972687">
              <w:t>14.9</w:t>
            </w:r>
          </w:p>
        </w:tc>
        <w:tc>
          <w:tcPr>
            <w:tcW w:w="1559" w:type="dxa"/>
            <w:vAlign w:val="bottom"/>
          </w:tcPr>
          <w:p w14:paraId="29A5A980" w14:textId="77777777" w:rsidR="007F56A0" w:rsidRPr="00972687" w:rsidRDefault="007F56A0" w:rsidP="001B41BD">
            <w:r w:rsidRPr="00972687">
              <w:t>8.9</w:t>
            </w:r>
          </w:p>
        </w:tc>
      </w:tr>
      <w:tr w:rsidR="007F56A0" w14:paraId="76A23E20" w14:textId="77777777" w:rsidTr="001B41BD">
        <w:tc>
          <w:tcPr>
            <w:tcW w:w="1558" w:type="dxa"/>
            <w:vAlign w:val="bottom"/>
          </w:tcPr>
          <w:p w14:paraId="4DD4DF03" w14:textId="77777777" w:rsidR="007F56A0" w:rsidRPr="00972687" w:rsidRDefault="007F56A0" w:rsidP="001B41BD">
            <w:r w:rsidRPr="00972687">
              <w:t>2014-2018</w:t>
            </w:r>
          </w:p>
        </w:tc>
        <w:tc>
          <w:tcPr>
            <w:tcW w:w="1558" w:type="dxa"/>
            <w:vAlign w:val="bottom"/>
          </w:tcPr>
          <w:p w14:paraId="7A7C4C41" w14:textId="77777777" w:rsidR="007F56A0" w:rsidRPr="00972687" w:rsidRDefault="007F56A0" w:rsidP="001B41BD">
            <w:r w:rsidRPr="00972687">
              <w:t>15.4</w:t>
            </w:r>
          </w:p>
        </w:tc>
        <w:tc>
          <w:tcPr>
            <w:tcW w:w="1558" w:type="dxa"/>
            <w:vAlign w:val="bottom"/>
          </w:tcPr>
          <w:p w14:paraId="0D865579" w14:textId="77777777" w:rsidR="007F56A0" w:rsidRPr="00972687" w:rsidRDefault="007F56A0" w:rsidP="001B41BD">
            <w:r w:rsidRPr="00972687">
              <w:t>10.7</w:t>
            </w:r>
          </w:p>
        </w:tc>
        <w:tc>
          <w:tcPr>
            <w:tcW w:w="1558" w:type="dxa"/>
            <w:vAlign w:val="bottom"/>
          </w:tcPr>
          <w:p w14:paraId="7589C02C" w14:textId="77777777" w:rsidR="007F56A0" w:rsidRPr="00972687" w:rsidRDefault="007F56A0" w:rsidP="001B41BD">
            <w:r w:rsidRPr="00972687">
              <w:t>24.6</w:t>
            </w:r>
          </w:p>
        </w:tc>
        <w:tc>
          <w:tcPr>
            <w:tcW w:w="1559" w:type="dxa"/>
            <w:vAlign w:val="bottom"/>
          </w:tcPr>
          <w:p w14:paraId="409E412F" w14:textId="77777777" w:rsidR="007F56A0" w:rsidRPr="00972687" w:rsidRDefault="007F56A0" w:rsidP="001B41BD">
            <w:r w:rsidRPr="00972687">
              <w:t>14.7</w:t>
            </w:r>
          </w:p>
        </w:tc>
        <w:tc>
          <w:tcPr>
            <w:tcW w:w="1559" w:type="dxa"/>
            <w:vAlign w:val="bottom"/>
          </w:tcPr>
          <w:p w14:paraId="123782D1" w14:textId="77777777" w:rsidR="007F56A0" w:rsidRPr="00972687" w:rsidRDefault="007F56A0" w:rsidP="001B41BD">
            <w:r w:rsidRPr="00972687">
              <w:t>8.9</w:t>
            </w:r>
          </w:p>
        </w:tc>
      </w:tr>
      <w:tr w:rsidR="007F56A0" w14:paraId="25ABF112" w14:textId="77777777" w:rsidTr="001B41BD">
        <w:tc>
          <w:tcPr>
            <w:tcW w:w="1558" w:type="dxa"/>
            <w:vAlign w:val="bottom"/>
          </w:tcPr>
          <w:p w14:paraId="4936464A" w14:textId="77777777" w:rsidR="007F56A0" w:rsidRPr="00972687" w:rsidRDefault="007F56A0" w:rsidP="001B41BD">
            <w:r w:rsidRPr="00972687">
              <w:t>2015-2019</w:t>
            </w:r>
          </w:p>
        </w:tc>
        <w:tc>
          <w:tcPr>
            <w:tcW w:w="1558" w:type="dxa"/>
            <w:vAlign w:val="bottom"/>
          </w:tcPr>
          <w:p w14:paraId="423357AE" w14:textId="77777777" w:rsidR="007F56A0" w:rsidRPr="00972687" w:rsidRDefault="007F56A0" w:rsidP="001B41BD">
            <w:r w:rsidRPr="00972687">
              <w:t>15.3</w:t>
            </w:r>
          </w:p>
        </w:tc>
        <w:tc>
          <w:tcPr>
            <w:tcW w:w="1558" w:type="dxa"/>
            <w:vAlign w:val="bottom"/>
          </w:tcPr>
          <w:p w14:paraId="46B77D09" w14:textId="77777777" w:rsidR="007F56A0" w:rsidRPr="00972687" w:rsidRDefault="007F56A0" w:rsidP="001B41BD">
            <w:r w:rsidRPr="00972687">
              <w:t>10.3</w:t>
            </w:r>
          </w:p>
        </w:tc>
        <w:tc>
          <w:tcPr>
            <w:tcW w:w="1558" w:type="dxa"/>
            <w:vAlign w:val="bottom"/>
          </w:tcPr>
          <w:p w14:paraId="08449F69" w14:textId="77777777" w:rsidR="007F56A0" w:rsidRPr="00972687" w:rsidRDefault="007F56A0" w:rsidP="001B41BD">
            <w:r w:rsidRPr="00972687">
              <w:t>24.8</w:t>
            </w:r>
          </w:p>
        </w:tc>
        <w:tc>
          <w:tcPr>
            <w:tcW w:w="1559" w:type="dxa"/>
            <w:vAlign w:val="bottom"/>
          </w:tcPr>
          <w:p w14:paraId="4BA42A27" w14:textId="77777777" w:rsidR="007F56A0" w:rsidRPr="00972687" w:rsidRDefault="007F56A0" w:rsidP="001B41BD">
            <w:r w:rsidRPr="00972687">
              <w:t>14.3</w:t>
            </w:r>
          </w:p>
        </w:tc>
        <w:tc>
          <w:tcPr>
            <w:tcW w:w="1559" w:type="dxa"/>
            <w:vAlign w:val="bottom"/>
          </w:tcPr>
          <w:p w14:paraId="73F1FE0B" w14:textId="77777777" w:rsidR="007F56A0" w:rsidRPr="00972687" w:rsidRDefault="007F56A0" w:rsidP="001B41BD">
            <w:r w:rsidRPr="00972687">
              <w:t>8.9</w:t>
            </w:r>
          </w:p>
        </w:tc>
      </w:tr>
      <w:tr w:rsidR="007F56A0" w14:paraId="52693297" w14:textId="77777777" w:rsidTr="001B41BD">
        <w:tc>
          <w:tcPr>
            <w:tcW w:w="1558" w:type="dxa"/>
            <w:vAlign w:val="bottom"/>
          </w:tcPr>
          <w:p w14:paraId="504C09CB" w14:textId="77777777" w:rsidR="007F56A0" w:rsidRPr="00972687" w:rsidRDefault="007F56A0" w:rsidP="001B41BD">
            <w:r w:rsidRPr="00972687">
              <w:t>2016-2020</w:t>
            </w:r>
          </w:p>
        </w:tc>
        <w:tc>
          <w:tcPr>
            <w:tcW w:w="1558" w:type="dxa"/>
            <w:vAlign w:val="bottom"/>
          </w:tcPr>
          <w:p w14:paraId="10208AD0" w14:textId="77777777" w:rsidR="007F56A0" w:rsidRPr="00972687" w:rsidRDefault="007F56A0" w:rsidP="001B41BD">
            <w:r w:rsidRPr="00972687">
              <w:t>15.4</w:t>
            </w:r>
          </w:p>
        </w:tc>
        <w:tc>
          <w:tcPr>
            <w:tcW w:w="1558" w:type="dxa"/>
            <w:vAlign w:val="bottom"/>
          </w:tcPr>
          <w:p w14:paraId="4B7A0DC7" w14:textId="77777777" w:rsidR="007F56A0" w:rsidRPr="00972687" w:rsidRDefault="007F56A0" w:rsidP="001B41BD">
            <w:r w:rsidRPr="00972687">
              <w:t>10.1</w:t>
            </w:r>
          </w:p>
        </w:tc>
        <w:tc>
          <w:tcPr>
            <w:tcW w:w="1558" w:type="dxa"/>
            <w:vAlign w:val="bottom"/>
          </w:tcPr>
          <w:p w14:paraId="246F5852" w14:textId="77777777" w:rsidR="007F56A0" w:rsidRPr="00972687" w:rsidRDefault="007F56A0" w:rsidP="001B41BD">
            <w:r w:rsidRPr="00972687">
              <w:t>24.0</w:t>
            </w:r>
          </w:p>
        </w:tc>
        <w:tc>
          <w:tcPr>
            <w:tcW w:w="1559" w:type="dxa"/>
            <w:vAlign w:val="bottom"/>
          </w:tcPr>
          <w:p w14:paraId="5E9C1123" w14:textId="77777777" w:rsidR="007F56A0" w:rsidRPr="00972687" w:rsidRDefault="007F56A0" w:rsidP="001B41BD">
            <w:r w:rsidRPr="00972687">
              <w:t>13.6</w:t>
            </w:r>
          </w:p>
        </w:tc>
        <w:tc>
          <w:tcPr>
            <w:tcW w:w="1559" w:type="dxa"/>
            <w:vAlign w:val="bottom"/>
          </w:tcPr>
          <w:p w14:paraId="244A5345" w14:textId="77777777" w:rsidR="007F56A0" w:rsidRPr="00972687" w:rsidRDefault="007F56A0" w:rsidP="001B41BD">
            <w:r w:rsidRPr="00972687">
              <w:t>8.9</w:t>
            </w:r>
          </w:p>
        </w:tc>
      </w:tr>
    </w:tbl>
    <w:p w14:paraId="28C6B15C" w14:textId="77777777" w:rsidR="007F56A0" w:rsidRPr="00972687" w:rsidRDefault="007F56A0" w:rsidP="007F56A0">
      <w:r w:rsidRPr="00972687">
        <w:t xml:space="preserve">Source: SC DHEC Vital Statistics. </w:t>
      </w:r>
    </w:p>
    <w:p w14:paraId="698EDC7A" w14:textId="77777777" w:rsidR="007F56A0" w:rsidRPr="00D47C63" w:rsidRDefault="007F56A0" w:rsidP="007F56A0">
      <w:r w:rsidRPr="00972687">
        <w:t>Note: Age-adjusted.</w:t>
      </w:r>
    </w:p>
    <w:p w14:paraId="6458AEBB" w14:textId="77777777" w:rsidR="007F56A0" w:rsidRDefault="007F56A0" w:rsidP="005561F7"/>
    <w:p w14:paraId="5C57A8B5" w14:textId="77777777" w:rsidR="007F56A0" w:rsidRDefault="007F56A0" w:rsidP="007F56A0">
      <w:pPr>
        <w:pStyle w:val="Heading4"/>
      </w:pPr>
      <w:bookmarkStart w:id="785" w:name="_Toc162267532"/>
      <w:r w:rsidRPr="007F56A0">
        <w:t>Data Interpretations:</w:t>
      </w:r>
      <w:bookmarkEnd w:id="785"/>
      <w:r w:rsidRPr="007F56A0">
        <w:t xml:space="preserve"> </w:t>
      </w:r>
    </w:p>
    <w:p w14:paraId="29834740" w14:textId="0EBBF94D" w:rsidR="007F56A0" w:rsidRDefault="007F56A0" w:rsidP="007F56A0">
      <w:r w:rsidRPr="007F56A0">
        <w:t>As of 2020, SC exceeded the Healthy People 2030 goal for colorectal screening recommendations for those aged 50-75 (68.3%) with a prevalence of 75.7%. Non-Hispanic Black individuals had a higher prevalence of meeting the US Preventive Services Task Force (USPSTF) recommendation for colorectal cancer screening as compared to non-Hispanic White individuals (</w:t>
      </w:r>
      <w:r w:rsidRPr="007F56A0">
        <w:rPr>
          <w:b/>
          <w:bCs/>
        </w:rPr>
        <w:t>Figure 9.30</w:t>
      </w:r>
      <w:r w:rsidRPr="007F56A0">
        <w:t xml:space="preserve">). The prevalence of colorectal screening was 81.4% among individuals who had a college degree; </w:t>
      </w:r>
      <w:r w:rsidRPr="007F56A0">
        <w:lastRenderedPageBreak/>
        <w:t>whereas the prevalence was 67.4% among individuals who did not graduate high school (69.7%).</w:t>
      </w:r>
    </w:p>
    <w:p w14:paraId="703D86C9" w14:textId="77777777" w:rsidR="007F56A0" w:rsidRPr="007F56A0" w:rsidRDefault="007F56A0" w:rsidP="007F56A0"/>
    <w:p w14:paraId="2C513CD7" w14:textId="77777777" w:rsidR="007F56A0" w:rsidRDefault="007F56A0" w:rsidP="007F56A0">
      <w:r w:rsidRPr="007F56A0">
        <w:t>In 2019, there were 2,353 new cases of invasive colorectal cancer in SC (</w:t>
      </w:r>
      <w:r w:rsidRPr="007F56A0">
        <w:rPr>
          <w:b/>
          <w:bCs/>
        </w:rPr>
        <w:t>Table 9.2</w:t>
      </w:r>
      <w:r w:rsidRPr="007F56A0">
        <w:t>). From 2015 through 2019, the colorectal cancer incidence rate in SC (37.4 cases per 100,000 population) was lower than the US incidence rate (37.6 cases per 100,000 population).  Non-Hispanic Black males had the highest incidence rate of colorectal cancer (51.9 cases per 100,000 population), followed by non-Hispanic White males (41.5 cases per 100,000 population), non-Hispanic Black females (35.0 cases per 100,000), and non-Hispanic White females (31.6 cases per 100,000), respectively (</w:t>
      </w:r>
      <w:r w:rsidRPr="007F56A0">
        <w:rPr>
          <w:b/>
          <w:bCs/>
        </w:rPr>
        <w:t>Figure 9.31</w:t>
      </w:r>
      <w:r w:rsidRPr="007F56A0">
        <w:t>).</w:t>
      </w:r>
    </w:p>
    <w:p w14:paraId="02B7FAB8" w14:textId="77777777" w:rsidR="007F56A0" w:rsidRPr="007F56A0" w:rsidRDefault="007F56A0" w:rsidP="007F56A0"/>
    <w:p w14:paraId="2237BA27" w14:textId="4397CEBC" w:rsidR="007F56A0" w:rsidRDefault="007F56A0" w:rsidP="007F56A0">
      <w:r w:rsidRPr="007F56A0">
        <w:t>In 2020, colorectal cancer killed 898 SC residents, which made colorectal cancer the second-leading cause of cancer deaths in SC (</w:t>
      </w:r>
      <w:r w:rsidRPr="007F56A0">
        <w:rPr>
          <w:b/>
          <w:bCs/>
        </w:rPr>
        <w:t>Table 9.2</w:t>
      </w:r>
      <w:r w:rsidRPr="007F56A0">
        <w:t>). Colorectal cancer mortality rates are slightly worse in SC (13.4 deaths per 100,000 population) as compared to the US (13.1 deaths per 100,000 population). Both SC and the US are far from the Healthy People 2030 colorectal cancer mortality rate goal of 8.9 deaths per 100,000 population. From 2016 through 2020, non-Hispanic Black males had the highest colorectal cancer mortality rate (24.0 deaths per 100,000 population), followed by non-Hispanic White males (15.4 deaths per 100,000 population), non-Hispanic Black females (13.6 deaths per 100,000 population), and non-Hispanic White females (10.1 deaths per 100,000 population respectively) (</w:t>
      </w:r>
      <w:r w:rsidRPr="007F56A0">
        <w:rPr>
          <w:b/>
          <w:bCs/>
        </w:rPr>
        <w:t>Figure 9.32</w:t>
      </w:r>
      <w:r w:rsidRPr="007F56A0">
        <w:t>).</w:t>
      </w:r>
    </w:p>
    <w:p w14:paraId="0314470E" w14:textId="77777777" w:rsidR="007F56A0" w:rsidRDefault="007F56A0" w:rsidP="007F56A0">
      <w:pPr>
        <w:pStyle w:val="Heading5"/>
      </w:pPr>
    </w:p>
    <w:p w14:paraId="6EB0F502" w14:textId="62F599A5" w:rsidR="007F56A0" w:rsidRPr="007F56A0" w:rsidRDefault="007F56A0" w:rsidP="007F56A0">
      <w:pPr>
        <w:pStyle w:val="Heading5"/>
      </w:pPr>
      <w:r w:rsidRPr="007F56A0">
        <w:t>Key Takeaways:</w:t>
      </w:r>
    </w:p>
    <w:p w14:paraId="7628DE85" w14:textId="77777777" w:rsidR="007F56A0" w:rsidRPr="007F56A0" w:rsidRDefault="007F56A0" w:rsidP="00926EB3">
      <w:pPr>
        <w:pStyle w:val="ListParagraph"/>
        <w:numPr>
          <w:ilvl w:val="0"/>
          <w:numId w:val="228"/>
        </w:numPr>
      </w:pPr>
      <w:r w:rsidRPr="007F56A0">
        <w:t>Colorectal cancer is the second-leading cause of cancer death and the third most commonly occurring cancer for both men and women in SC.</w:t>
      </w:r>
    </w:p>
    <w:p w14:paraId="3F5849A4" w14:textId="77777777" w:rsidR="007F56A0" w:rsidRDefault="007F56A0" w:rsidP="007F56A0"/>
    <w:p w14:paraId="147FB262" w14:textId="08FAA74C" w:rsidR="007F56A0" w:rsidRPr="005561F7" w:rsidRDefault="007F56A0" w:rsidP="007F56A0">
      <w:pPr>
        <w:pStyle w:val="Heading4"/>
        <w:rPr>
          <w:rFonts w:asciiTheme="minorHAnsi" w:hAnsiTheme="minorHAnsi" w:cstheme="minorHAnsi"/>
          <w:color w:val="000000" w:themeColor="text1"/>
        </w:rPr>
      </w:pPr>
      <w:bookmarkStart w:id="786" w:name="_Toc162267533"/>
      <w:r w:rsidRPr="005561F7">
        <w:rPr>
          <w:rFonts w:asciiTheme="minorHAnsi" w:hAnsiTheme="minorHAnsi" w:cstheme="minorHAnsi"/>
          <w:color w:val="000000" w:themeColor="text1"/>
        </w:rPr>
        <w:t>References 9.</w:t>
      </w:r>
      <w:r>
        <w:rPr>
          <w:rFonts w:asciiTheme="minorHAnsi" w:hAnsiTheme="minorHAnsi" w:cstheme="minorHAnsi"/>
          <w:color w:val="000000" w:themeColor="text1"/>
        </w:rPr>
        <w:t>15</w:t>
      </w:r>
      <w:bookmarkEnd w:id="786"/>
      <w:r>
        <w:rPr>
          <w:rFonts w:asciiTheme="minorHAnsi" w:hAnsiTheme="minorHAnsi" w:cstheme="minorHAnsi"/>
          <w:color w:val="000000" w:themeColor="text1"/>
        </w:rPr>
        <w:t xml:space="preserve"> </w:t>
      </w:r>
    </w:p>
    <w:p w14:paraId="01EB0909" w14:textId="77777777" w:rsidR="007F56A0" w:rsidRDefault="007F56A0" w:rsidP="007F56A0">
      <w:r w:rsidRPr="005561F7">
        <w:t>Statistics in the preceding section were referenced from the following reports:</w:t>
      </w:r>
    </w:p>
    <w:p w14:paraId="1BB8C434" w14:textId="77777777" w:rsidR="00C152A8" w:rsidRDefault="00C152A8" w:rsidP="0060334A">
      <w:pPr>
        <w:ind w:left="720" w:hanging="360"/>
      </w:pPr>
      <w:r>
        <w:t>75.</w:t>
      </w:r>
      <w:hyperlink r:id="rId359" w:history="1">
        <w:r w:rsidRPr="00C152A8">
          <w:rPr>
            <w:rStyle w:val="Hyperlink"/>
          </w:rPr>
          <w:t>US Mortality: Surveillance, Epidemiology, and End Results (SEER) Program SEER*Stat Database: Mortality - All COD, Aggregated With State, Total U.S. (1969-2020) &lt;Katrina/Rita Population Adjustment&gt;, National Cancer Institute, DCCPS, Surveillance Research P</w:t>
        </w:r>
      </w:hyperlink>
    </w:p>
    <w:p w14:paraId="1A4BB9A3" w14:textId="77777777" w:rsidR="00C152A8" w:rsidRDefault="00C152A8" w:rsidP="0060334A">
      <w:pPr>
        <w:ind w:left="720" w:hanging="360"/>
      </w:pPr>
      <w:r>
        <w:t>77.</w:t>
      </w:r>
      <w:r w:rsidRPr="00C152A8">
        <w:t>South Carolina Revenue and Fiscal Affairs Office, Hospital Discharge Patient-Level Dataset. No hyperlink.</w:t>
      </w:r>
    </w:p>
    <w:p w14:paraId="551077F4" w14:textId="3533979B" w:rsidR="00C152A8" w:rsidRPr="00C152A8" w:rsidRDefault="00C152A8" w:rsidP="0060334A">
      <w:pPr>
        <w:ind w:left="720" w:hanging="360"/>
      </w:pPr>
      <w:r>
        <w:lastRenderedPageBreak/>
        <w:t>80.</w:t>
      </w:r>
      <w:r w:rsidRPr="00C152A8">
        <w:t>“SC Incidence: 1996-2020ytd SC Cancer Incidence Data.” Based file run date 11/23/21. SC Central Cancer Registry, Bureau of Chronic Disease &amp; Injury Prevention, SC DHEC. 2022. No hyperlink.</w:t>
      </w:r>
    </w:p>
    <w:p w14:paraId="73D6A268" w14:textId="7308DC39" w:rsidR="00C152A8" w:rsidRDefault="00C152A8" w:rsidP="0060334A">
      <w:pPr>
        <w:ind w:left="720" w:hanging="360"/>
      </w:pPr>
      <w:r>
        <w:t>81.</w:t>
      </w:r>
      <w:r w:rsidRPr="00C152A8">
        <w:t>“SC Mortality: 1996-2020 SC Cancer Mortality Data.” Based on SC Vital Records Death Data file run date 8/5/2021. SC Central Cancer Registry, SC DHEC. 2022. No hyperlink.</w:t>
      </w:r>
    </w:p>
    <w:p w14:paraId="1CD13470" w14:textId="7986E1EA" w:rsidR="00C152A8" w:rsidRPr="00357E27" w:rsidRDefault="00000000" w:rsidP="00926EB3">
      <w:pPr>
        <w:pStyle w:val="ListParagraph"/>
        <w:numPr>
          <w:ilvl w:val="0"/>
          <w:numId w:val="192"/>
        </w:numPr>
        <w:rPr>
          <w:u w:val="thick"/>
        </w:rPr>
      </w:pPr>
      <w:hyperlink r:id="rId360" w:anchor=":~:text=In%202022%2C%20an%20estimated%20609%2C360,common%20cause%20of%20cancer%20death" w:history="1">
        <w:r w:rsidR="00357E27" w:rsidRPr="00357E27">
          <w:rPr>
            <w:rStyle w:val="Hyperlink"/>
          </w:rPr>
          <w:t>“</w:t>
        </w:r>
        <w:r w:rsidR="00C152A8" w:rsidRPr="00357E27">
          <w:rPr>
            <w:rStyle w:val="Hyperlink"/>
          </w:rPr>
          <w:t>Common cancer sites - cancer stat facts</w:t>
        </w:r>
        <w:r w:rsidR="00357E27" w:rsidRPr="00357E27">
          <w:rPr>
            <w:rStyle w:val="Hyperlink"/>
          </w:rPr>
          <w:t>” by U.S. Department of Health and Human Services</w:t>
        </w:r>
        <w:r w:rsidR="00C152A8" w:rsidRPr="00357E27">
          <w:rPr>
            <w:rStyle w:val="Hyperlink"/>
          </w:rPr>
          <w:t>.</w:t>
        </w:r>
        <w:r w:rsidR="00357E27" w:rsidRPr="00357E27">
          <w:rPr>
            <w:rStyle w:val="Hyperlink"/>
          </w:rPr>
          <w:t xml:space="preserve"> Published via</w:t>
        </w:r>
        <w:r w:rsidR="00C152A8" w:rsidRPr="00357E27">
          <w:rPr>
            <w:rStyle w:val="Hyperlink"/>
          </w:rPr>
          <w:t xml:space="preserve"> SEER</w:t>
        </w:r>
        <w:r w:rsidR="00357E27" w:rsidRPr="00357E27">
          <w:rPr>
            <w:rStyle w:val="Hyperlink"/>
          </w:rPr>
          <w:t>, 2022</w:t>
        </w:r>
        <w:r w:rsidR="00C152A8" w:rsidRPr="00357E27">
          <w:rPr>
            <w:rStyle w:val="Hyperlink"/>
          </w:rPr>
          <w:t>. Retrieved December 15, 2022</w:t>
        </w:r>
        <w:r w:rsidR="00357E27" w:rsidRPr="00357E27">
          <w:rPr>
            <w:rStyle w:val="Hyperlink"/>
          </w:rPr>
          <w:t>.</w:t>
        </w:r>
      </w:hyperlink>
      <w:r w:rsidR="00C152A8" w:rsidRPr="00C152A8">
        <w:t xml:space="preserve"> </w:t>
      </w:r>
    </w:p>
    <w:p w14:paraId="20D57479" w14:textId="09847FB1" w:rsidR="00C152A8" w:rsidRPr="00C152A8" w:rsidRDefault="00000000" w:rsidP="00926EB3">
      <w:pPr>
        <w:pStyle w:val="ListParagraph"/>
        <w:numPr>
          <w:ilvl w:val="0"/>
          <w:numId w:val="192"/>
        </w:numPr>
        <w:rPr>
          <w:u w:val="thick"/>
        </w:rPr>
      </w:pPr>
      <w:hyperlink r:id="rId361" w:history="1">
        <w:r w:rsidR="00357E27" w:rsidRPr="00357E27">
          <w:rPr>
            <w:rStyle w:val="Hyperlink"/>
          </w:rPr>
          <w:t>“</w:t>
        </w:r>
        <w:r w:rsidR="00C152A8" w:rsidRPr="00357E27">
          <w:rPr>
            <w:rStyle w:val="Hyperlink"/>
          </w:rPr>
          <w:t>Colorectal cancer risk factors: Hereditary colorectal risk factors</w:t>
        </w:r>
        <w:r w:rsidR="00357E27" w:rsidRPr="00357E27">
          <w:rPr>
            <w:rStyle w:val="Hyperlink"/>
          </w:rPr>
          <w:t>” by the</w:t>
        </w:r>
        <w:r w:rsidR="00C152A8" w:rsidRPr="00357E27">
          <w:rPr>
            <w:rStyle w:val="Hyperlink"/>
          </w:rPr>
          <w:t xml:space="preserve"> American Cancer Society</w:t>
        </w:r>
        <w:r w:rsidR="00357E27" w:rsidRPr="00357E27">
          <w:rPr>
            <w:rStyle w:val="Hyperlink"/>
          </w:rPr>
          <w:t>, 2020</w:t>
        </w:r>
        <w:r w:rsidR="00C152A8" w:rsidRPr="00357E27">
          <w:rPr>
            <w:rStyle w:val="Hyperlink"/>
          </w:rPr>
          <w:t>. Retrieved December 15, 2022</w:t>
        </w:r>
        <w:r w:rsidR="00357E27" w:rsidRPr="00357E27">
          <w:rPr>
            <w:rStyle w:val="Hyperlink"/>
          </w:rPr>
          <w:t>.</w:t>
        </w:r>
      </w:hyperlink>
    </w:p>
    <w:p w14:paraId="37E1F9E2" w14:textId="4050B382" w:rsidR="00C152A8" w:rsidRPr="00C152A8" w:rsidRDefault="00000000" w:rsidP="00926EB3">
      <w:pPr>
        <w:pStyle w:val="ListParagraph"/>
        <w:numPr>
          <w:ilvl w:val="0"/>
          <w:numId w:val="192"/>
        </w:numPr>
        <w:rPr>
          <w:u w:val="thick"/>
        </w:rPr>
      </w:pPr>
      <w:hyperlink r:id="rId362" w:history="1">
        <w:r w:rsidR="00357E27" w:rsidRPr="00357E27">
          <w:rPr>
            <w:rStyle w:val="Hyperlink"/>
          </w:rPr>
          <w:t>“</w:t>
        </w:r>
        <w:r w:rsidR="00C152A8" w:rsidRPr="00357E27">
          <w:rPr>
            <w:rStyle w:val="Hyperlink"/>
          </w:rPr>
          <w:t>Colorectal cancer guideline</w:t>
        </w:r>
        <w:r w:rsidR="00357E27" w:rsidRPr="00357E27">
          <w:rPr>
            <w:rStyle w:val="Hyperlink"/>
          </w:rPr>
          <w:t>:</w:t>
        </w:r>
        <w:r w:rsidR="00C152A8" w:rsidRPr="00357E27">
          <w:rPr>
            <w:rStyle w:val="Hyperlink"/>
          </w:rPr>
          <w:t xml:space="preserve"> how often to have screening tests</w:t>
        </w:r>
        <w:r w:rsidR="00357E27" w:rsidRPr="00357E27">
          <w:rPr>
            <w:rStyle w:val="Hyperlink"/>
          </w:rPr>
          <w:t>” by the</w:t>
        </w:r>
        <w:r w:rsidR="00C152A8" w:rsidRPr="00357E27">
          <w:rPr>
            <w:rStyle w:val="Hyperlink"/>
          </w:rPr>
          <w:t xml:space="preserve"> American Cancer Society</w:t>
        </w:r>
        <w:r w:rsidR="00357E27" w:rsidRPr="00357E27">
          <w:rPr>
            <w:rStyle w:val="Hyperlink"/>
          </w:rPr>
          <w:t>, 2020</w:t>
        </w:r>
        <w:r w:rsidR="00C152A8" w:rsidRPr="00357E27">
          <w:rPr>
            <w:rStyle w:val="Hyperlink"/>
          </w:rPr>
          <w:t>. Retrieved December 15, 2022</w:t>
        </w:r>
        <w:r w:rsidR="00357E27" w:rsidRPr="00357E27">
          <w:rPr>
            <w:rStyle w:val="Hyperlink"/>
          </w:rPr>
          <w:t>.</w:t>
        </w:r>
      </w:hyperlink>
      <w:r w:rsidR="00C152A8" w:rsidRPr="00C152A8">
        <w:t xml:space="preserve"> </w:t>
      </w:r>
    </w:p>
    <w:p w14:paraId="54B4DCAC" w14:textId="77777777" w:rsidR="007F56A0" w:rsidRPr="007F56A0" w:rsidRDefault="007F56A0" w:rsidP="005561F7"/>
    <w:p w14:paraId="517B2D4A" w14:textId="77777777" w:rsidR="007F56A0" w:rsidRPr="007F56A0" w:rsidRDefault="007F56A0" w:rsidP="007F56A0">
      <w:pPr>
        <w:pStyle w:val="Heading3"/>
      </w:pPr>
      <w:bookmarkStart w:id="787" w:name="_Toc162267534"/>
      <w:r w:rsidRPr="007F56A0">
        <w:t>Female Breast Cancer</w:t>
      </w:r>
      <w:bookmarkEnd w:id="787"/>
    </w:p>
    <w:p w14:paraId="0DA4BD09" w14:textId="4573FF6C" w:rsidR="007F56A0" w:rsidRPr="007F56A0" w:rsidRDefault="007F56A0" w:rsidP="007F56A0">
      <w:pPr>
        <w:rPr>
          <w:b/>
          <w:bCs/>
        </w:rPr>
      </w:pPr>
      <w:r w:rsidRPr="007F56A0">
        <w:t>Breast cancer is the most common cancer diagnosis for women with nearly one-third of female cancer cases being breast cancer. One in 8 women will be diagnosed with breast cancer in their lifetime. In recent years, the national breast cancer incidence rate has been increasing by an average of 0.5% per year.</w:t>
      </w:r>
      <w:r>
        <w:rPr>
          <w:b/>
          <w:bCs/>
        </w:rPr>
        <w:t xml:space="preserve"> </w:t>
      </w:r>
      <w:r w:rsidRPr="007F56A0">
        <w:t>Breast cancer is the second</w:t>
      </w:r>
      <w:r w:rsidR="00FC41EB">
        <w:t xml:space="preserve"> </w:t>
      </w:r>
      <w:r w:rsidRPr="007F56A0">
        <w:t>most common cause of cancer death among women, following lung cancer. Detecting breast cancer at an early stage is essential for survival, as the five-year survival rate for a woman with early-stage breast cancer is 99%. SC ranks 23rd in the nation for female breast cancer incidence rate and 7th in the nation for female breast cancer mortality rate</w:t>
      </w:r>
      <w:r>
        <w:t>.</w:t>
      </w:r>
      <w:r w:rsidRPr="007F56A0">
        <w:t xml:space="preserve"> White women are diagnosed with breast cancer at a slightly higher rate than Black women</w:t>
      </w:r>
      <w:r w:rsidR="00FC41EB">
        <w:t>,</w:t>
      </w:r>
      <w:r w:rsidRPr="007F56A0">
        <w:t xml:space="preserve"> however, Black women die at a 40% higher rate. In 2021, the average inpatient charges associated with breast cancer were $69,831 which added up to a total economic impact of $25,883,071 for the state of SC.</w:t>
      </w:r>
    </w:p>
    <w:p w14:paraId="00B2829A" w14:textId="77777777" w:rsidR="00C4272A" w:rsidRDefault="00C4272A" w:rsidP="00C4272A">
      <w:pPr>
        <w:pStyle w:val="Heading4"/>
      </w:pPr>
    </w:p>
    <w:p w14:paraId="3698E91D" w14:textId="34000AFE" w:rsidR="00C4272A" w:rsidRDefault="00C4272A" w:rsidP="00C4272A">
      <w:pPr>
        <w:pStyle w:val="Heading4"/>
      </w:pPr>
      <w:bookmarkStart w:id="788" w:name="_Toc162267535"/>
      <w:r>
        <w:t>Table 9.2: Leading Number of New Cases of Cancer.</w:t>
      </w:r>
      <w:bookmarkEnd w:id="788"/>
    </w:p>
    <w:p w14:paraId="2333DF9E" w14:textId="77777777" w:rsidR="00C4272A" w:rsidRDefault="00C4272A" w:rsidP="00C4272A">
      <w:pPr>
        <w:pStyle w:val="Heading5"/>
      </w:pPr>
      <w:r>
        <w:t>2019.</w:t>
      </w:r>
    </w:p>
    <w:tbl>
      <w:tblPr>
        <w:tblStyle w:val="TableGrid"/>
        <w:tblW w:w="0" w:type="auto"/>
        <w:tblLook w:val="04A0" w:firstRow="1" w:lastRow="0" w:firstColumn="1" w:lastColumn="0" w:noHBand="0" w:noVBand="1"/>
      </w:tblPr>
      <w:tblGrid>
        <w:gridCol w:w="4675"/>
        <w:gridCol w:w="4675"/>
      </w:tblGrid>
      <w:tr w:rsidR="00C4272A" w14:paraId="755DE6C7" w14:textId="77777777" w:rsidTr="001B41BD">
        <w:tc>
          <w:tcPr>
            <w:tcW w:w="4675" w:type="dxa"/>
          </w:tcPr>
          <w:p w14:paraId="18168153" w14:textId="77777777" w:rsidR="00C4272A" w:rsidRDefault="00C4272A" w:rsidP="001B41BD">
            <w:r>
              <w:t>Cancer Type</w:t>
            </w:r>
          </w:p>
        </w:tc>
        <w:tc>
          <w:tcPr>
            <w:tcW w:w="4675" w:type="dxa"/>
          </w:tcPr>
          <w:p w14:paraId="326C0739" w14:textId="77777777" w:rsidR="00C4272A" w:rsidRDefault="00C4272A" w:rsidP="001B41BD">
            <w:r>
              <w:t>Number</w:t>
            </w:r>
          </w:p>
        </w:tc>
      </w:tr>
      <w:tr w:rsidR="00C4272A" w14:paraId="02AE817C" w14:textId="77777777" w:rsidTr="001B41BD">
        <w:tc>
          <w:tcPr>
            <w:tcW w:w="4675" w:type="dxa"/>
          </w:tcPr>
          <w:p w14:paraId="2E6B4EAA" w14:textId="77777777" w:rsidR="00C4272A" w:rsidRDefault="00C4272A" w:rsidP="001B41BD">
            <w:r>
              <w:t>Total</w:t>
            </w:r>
          </w:p>
        </w:tc>
        <w:tc>
          <w:tcPr>
            <w:tcW w:w="4675" w:type="dxa"/>
          </w:tcPr>
          <w:p w14:paraId="65B598A9" w14:textId="77777777" w:rsidR="00C4272A" w:rsidRDefault="00C4272A" w:rsidP="001B41BD">
            <w:r>
              <w:t>28,296</w:t>
            </w:r>
          </w:p>
        </w:tc>
      </w:tr>
      <w:tr w:rsidR="00C4272A" w14:paraId="3E824925" w14:textId="77777777" w:rsidTr="001B41BD">
        <w:tc>
          <w:tcPr>
            <w:tcW w:w="4675" w:type="dxa"/>
            <w:vAlign w:val="bottom"/>
          </w:tcPr>
          <w:p w14:paraId="7BAA2FB6" w14:textId="77777777" w:rsidR="00C4272A" w:rsidRDefault="00C4272A" w:rsidP="001B41BD">
            <w:r>
              <w:t>Female Breast</w:t>
            </w:r>
          </w:p>
        </w:tc>
        <w:tc>
          <w:tcPr>
            <w:tcW w:w="4675" w:type="dxa"/>
            <w:vAlign w:val="bottom"/>
          </w:tcPr>
          <w:p w14:paraId="4AF545C4" w14:textId="77777777" w:rsidR="00C4272A" w:rsidRDefault="00C4272A" w:rsidP="001B41BD">
            <w:r>
              <w:t>4,545</w:t>
            </w:r>
          </w:p>
        </w:tc>
      </w:tr>
      <w:tr w:rsidR="00C4272A" w14:paraId="3C0E8362" w14:textId="77777777" w:rsidTr="001B41BD">
        <w:tc>
          <w:tcPr>
            <w:tcW w:w="4675" w:type="dxa"/>
            <w:vAlign w:val="bottom"/>
          </w:tcPr>
          <w:p w14:paraId="273CDB39" w14:textId="77777777" w:rsidR="00C4272A" w:rsidRDefault="00C4272A" w:rsidP="001B41BD">
            <w:r>
              <w:t>Lung &amp; Bronchus</w:t>
            </w:r>
          </w:p>
        </w:tc>
        <w:tc>
          <w:tcPr>
            <w:tcW w:w="4675" w:type="dxa"/>
            <w:vAlign w:val="bottom"/>
          </w:tcPr>
          <w:p w14:paraId="64B2D7D2" w14:textId="77777777" w:rsidR="00C4272A" w:rsidRDefault="00C4272A" w:rsidP="001B41BD">
            <w:r>
              <w:t>4,100</w:t>
            </w:r>
          </w:p>
        </w:tc>
      </w:tr>
      <w:tr w:rsidR="00C4272A" w14:paraId="19733178" w14:textId="77777777" w:rsidTr="001B41BD">
        <w:tc>
          <w:tcPr>
            <w:tcW w:w="4675" w:type="dxa"/>
            <w:vAlign w:val="bottom"/>
          </w:tcPr>
          <w:p w14:paraId="13D31641" w14:textId="77777777" w:rsidR="00C4272A" w:rsidRDefault="00C4272A" w:rsidP="001B41BD">
            <w:r>
              <w:t>Prostate</w:t>
            </w:r>
          </w:p>
        </w:tc>
        <w:tc>
          <w:tcPr>
            <w:tcW w:w="4675" w:type="dxa"/>
            <w:vAlign w:val="bottom"/>
          </w:tcPr>
          <w:p w14:paraId="24097250" w14:textId="77777777" w:rsidR="00C4272A" w:rsidRDefault="00C4272A" w:rsidP="001B41BD">
            <w:r>
              <w:t>3,715</w:t>
            </w:r>
          </w:p>
        </w:tc>
      </w:tr>
      <w:tr w:rsidR="00C4272A" w14:paraId="0B1E6E6C" w14:textId="77777777" w:rsidTr="001B41BD">
        <w:tc>
          <w:tcPr>
            <w:tcW w:w="4675" w:type="dxa"/>
            <w:vAlign w:val="bottom"/>
          </w:tcPr>
          <w:p w14:paraId="733D8A3A" w14:textId="77777777" w:rsidR="00C4272A" w:rsidRDefault="00C4272A" w:rsidP="001B41BD">
            <w:r>
              <w:t>Colon &amp; Rectum</w:t>
            </w:r>
          </w:p>
        </w:tc>
        <w:tc>
          <w:tcPr>
            <w:tcW w:w="4675" w:type="dxa"/>
            <w:vAlign w:val="bottom"/>
          </w:tcPr>
          <w:p w14:paraId="1AECD7C5" w14:textId="77777777" w:rsidR="00C4272A" w:rsidRDefault="00C4272A" w:rsidP="001B41BD">
            <w:r>
              <w:t>2,353</w:t>
            </w:r>
          </w:p>
        </w:tc>
      </w:tr>
      <w:tr w:rsidR="00C4272A" w14:paraId="116CBF31" w14:textId="77777777" w:rsidTr="001B41BD">
        <w:tc>
          <w:tcPr>
            <w:tcW w:w="4675" w:type="dxa"/>
            <w:vAlign w:val="bottom"/>
          </w:tcPr>
          <w:p w14:paraId="297ECE26" w14:textId="77777777" w:rsidR="00C4272A" w:rsidRDefault="00C4272A" w:rsidP="001B41BD">
            <w:r>
              <w:lastRenderedPageBreak/>
              <w:t>Melanoma</w:t>
            </w:r>
          </w:p>
        </w:tc>
        <w:tc>
          <w:tcPr>
            <w:tcW w:w="4675" w:type="dxa"/>
            <w:vAlign w:val="bottom"/>
          </w:tcPr>
          <w:p w14:paraId="00B74207" w14:textId="77777777" w:rsidR="00C4272A" w:rsidRDefault="00C4272A" w:rsidP="001B41BD">
            <w:r>
              <w:t>1,317</w:t>
            </w:r>
          </w:p>
        </w:tc>
      </w:tr>
    </w:tbl>
    <w:p w14:paraId="13EF7A92" w14:textId="77777777" w:rsidR="00C4272A" w:rsidRDefault="00C4272A" w:rsidP="00C4272A">
      <w:pPr>
        <w:pStyle w:val="Heading5"/>
      </w:pPr>
      <w:r>
        <w:t>2020.</w:t>
      </w:r>
    </w:p>
    <w:tbl>
      <w:tblPr>
        <w:tblStyle w:val="TableGrid"/>
        <w:tblW w:w="0" w:type="auto"/>
        <w:tblLook w:val="04A0" w:firstRow="1" w:lastRow="0" w:firstColumn="1" w:lastColumn="0" w:noHBand="0" w:noVBand="1"/>
      </w:tblPr>
      <w:tblGrid>
        <w:gridCol w:w="4675"/>
        <w:gridCol w:w="4675"/>
      </w:tblGrid>
      <w:tr w:rsidR="00C4272A" w14:paraId="3CA2BA7F" w14:textId="77777777" w:rsidTr="001B41BD">
        <w:tc>
          <w:tcPr>
            <w:tcW w:w="4675" w:type="dxa"/>
          </w:tcPr>
          <w:p w14:paraId="653DE1C1" w14:textId="77777777" w:rsidR="00C4272A" w:rsidRDefault="00C4272A" w:rsidP="001B41BD">
            <w:r>
              <w:t>Cancer Type</w:t>
            </w:r>
          </w:p>
        </w:tc>
        <w:tc>
          <w:tcPr>
            <w:tcW w:w="4675" w:type="dxa"/>
          </w:tcPr>
          <w:p w14:paraId="120A9FD7" w14:textId="77777777" w:rsidR="00C4272A" w:rsidRDefault="00C4272A" w:rsidP="001B41BD">
            <w:r>
              <w:t>Number</w:t>
            </w:r>
          </w:p>
        </w:tc>
      </w:tr>
      <w:tr w:rsidR="00C4272A" w14:paraId="0AF3DCC1" w14:textId="77777777" w:rsidTr="001B41BD">
        <w:tc>
          <w:tcPr>
            <w:tcW w:w="4675" w:type="dxa"/>
          </w:tcPr>
          <w:p w14:paraId="49D9673D" w14:textId="77777777" w:rsidR="00C4272A" w:rsidRDefault="00C4272A" w:rsidP="001B41BD">
            <w:r>
              <w:t>Total</w:t>
            </w:r>
          </w:p>
        </w:tc>
        <w:tc>
          <w:tcPr>
            <w:tcW w:w="4675" w:type="dxa"/>
          </w:tcPr>
          <w:p w14:paraId="345A657B" w14:textId="77777777" w:rsidR="00C4272A" w:rsidRDefault="00C4272A" w:rsidP="001B41BD">
            <w:r>
              <w:t>10,793</w:t>
            </w:r>
          </w:p>
        </w:tc>
      </w:tr>
      <w:tr w:rsidR="00C4272A" w14:paraId="26DB7D5B" w14:textId="77777777" w:rsidTr="001B41BD">
        <w:tc>
          <w:tcPr>
            <w:tcW w:w="4675" w:type="dxa"/>
            <w:vAlign w:val="bottom"/>
          </w:tcPr>
          <w:p w14:paraId="48688D03" w14:textId="77777777" w:rsidR="00C4272A" w:rsidRDefault="00C4272A" w:rsidP="001B41BD">
            <w:r>
              <w:t>Lung &amp; Bronchus</w:t>
            </w:r>
          </w:p>
        </w:tc>
        <w:tc>
          <w:tcPr>
            <w:tcW w:w="4675" w:type="dxa"/>
            <w:vAlign w:val="bottom"/>
          </w:tcPr>
          <w:p w14:paraId="6DF68F11" w14:textId="77777777" w:rsidR="00C4272A" w:rsidRDefault="00C4272A" w:rsidP="001B41BD">
            <w:r>
              <w:t>2,692</w:t>
            </w:r>
          </w:p>
        </w:tc>
      </w:tr>
      <w:tr w:rsidR="00C4272A" w14:paraId="43E10B05" w14:textId="77777777" w:rsidTr="001B41BD">
        <w:tc>
          <w:tcPr>
            <w:tcW w:w="4675" w:type="dxa"/>
            <w:vAlign w:val="bottom"/>
          </w:tcPr>
          <w:p w14:paraId="4D64E167" w14:textId="77777777" w:rsidR="00C4272A" w:rsidRDefault="00C4272A" w:rsidP="001B41BD">
            <w:r>
              <w:t>Colon &amp; Rectum</w:t>
            </w:r>
          </w:p>
        </w:tc>
        <w:tc>
          <w:tcPr>
            <w:tcW w:w="4675" w:type="dxa"/>
            <w:vAlign w:val="bottom"/>
          </w:tcPr>
          <w:p w14:paraId="322801FD" w14:textId="77777777" w:rsidR="00C4272A" w:rsidRDefault="00C4272A" w:rsidP="001B41BD">
            <w:r>
              <w:t>898</w:t>
            </w:r>
          </w:p>
        </w:tc>
      </w:tr>
      <w:tr w:rsidR="00C4272A" w14:paraId="4CF6048C" w14:textId="77777777" w:rsidTr="001B41BD">
        <w:tc>
          <w:tcPr>
            <w:tcW w:w="4675" w:type="dxa"/>
            <w:vAlign w:val="bottom"/>
          </w:tcPr>
          <w:p w14:paraId="2B709CEE" w14:textId="77777777" w:rsidR="00C4272A" w:rsidRDefault="00C4272A" w:rsidP="001B41BD">
            <w:r>
              <w:t>Pancreas</w:t>
            </w:r>
          </w:p>
        </w:tc>
        <w:tc>
          <w:tcPr>
            <w:tcW w:w="4675" w:type="dxa"/>
            <w:vAlign w:val="bottom"/>
          </w:tcPr>
          <w:p w14:paraId="1A410F56" w14:textId="77777777" w:rsidR="00C4272A" w:rsidRDefault="00C4272A" w:rsidP="001B41BD">
            <w:r>
              <w:t>799</w:t>
            </w:r>
          </w:p>
        </w:tc>
      </w:tr>
      <w:tr w:rsidR="00C4272A" w14:paraId="4DA98E34" w14:textId="77777777" w:rsidTr="001B41BD">
        <w:tc>
          <w:tcPr>
            <w:tcW w:w="4675" w:type="dxa"/>
            <w:vAlign w:val="bottom"/>
          </w:tcPr>
          <w:p w14:paraId="15195271" w14:textId="77777777" w:rsidR="00C4272A" w:rsidRDefault="00C4272A" w:rsidP="001B41BD">
            <w:r>
              <w:t>Female Breast</w:t>
            </w:r>
          </w:p>
        </w:tc>
        <w:tc>
          <w:tcPr>
            <w:tcW w:w="4675" w:type="dxa"/>
            <w:vAlign w:val="bottom"/>
          </w:tcPr>
          <w:p w14:paraId="077C7BE4" w14:textId="77777777" w:rsidR="00C4272A" w:rsidRDefault="00C4272A" w:rsidP="001B41BD">
            <w:r>
              <w:t>796</w:t>
            </w:r>
          </w:p>
        </w:tc>
      </w:tr>
      <w:tr w:rsidR="00C4272A" w14:paraId="17BFB0A2" w14:textId="77777777" w:rsidTr="001B41BD">
        <w:tc>
          <w:tcPr>
            <w:tcW w:w="4675" w:type="dxa"/>
            <w:vAlign w:val="bottom"/>
          </w:tcPr>
          <w:p w14:paraId="7CC13974" w14:textId="77777777" w:rsidR="00C4272A" w:rsidRDefault="00C4272A" w:rsidP="001B41BD">
            <w:r>
              <w:t>Prostate</w:t>
            </w:r>
          </w:p>
        </w:tc>
        <w:tc>
          <w:tcPr>
            <w:tcW w:w="4675" w:type="dxa"/>
            <w:vAlign w:val="bottom"/>
          </w:tcPr>
          <w:p w14:paraId="1BC60BCE" w14:textId="77777777" w:rsidR="00C4272A" w:rsidRDefault="00C4272A" w:rsidP="001B41BD">
            <w:r>
              <w:t>600</w:t>
            </w:r>
          </w:p>
        </w:tc>
      </w:tr>
    </w:tbl>
    <w:p w14:paraId="2FE805AD" w14:textId="77777777" w:rsidR="00C4272A" w:rsidRDefault="00C4272A" w:rsidP="00C4272A">
      <w:r w:rsidRPr="00122D44">
        <w:t>Sources: SC DHEC CCR, SC DHEC Vital Statistics.</w:t>
      </w:r>
    </w:p>
    <w:p w14:paraId="2177694F" w14:textId="77777777" w:rsidR="007F56A0" w:rsidRDefault="007F56A0" w:rsidP="007F56A0"/>
    <w:p w14:paraId="2E52E803" w14:textId="77777777" w:rsidR="00C4272A" w:rsidRDefault="00C4272A" w:rsidP="00C4272A">
      <w:pPr>
        <w:pStyle w:val="Heading4"/>
      </w:pPr>
      <w:bookmarkStart w:id="789" w:name="_Toc154576515"/>
      <w:bookmarkStart w:id="790" w:name="_Toc162267536"/>
      <w:r>
        <w:t>Figure 9.33: Mammogram in the Past Two Years, by Race/Ethnicity.</w:t>
      </w:r>
      <w:bookmarkEnd w:id="789"/>
      <w:bookmarkEnd w:id="790"/>
    </w:p>
    <w:tbl>
      <w:tblPr>
        <w:tblStyle w:val="TableGrid"/>
        <w:tblW w:w="0" w:type="auto"/>
        <w:tblLook w:val="04A0" w:firstRow="1" w:lastRow="0" w:firstColumn="1" w:lastColumn="0" w:noHBand="0" w:noVBand="1"/>
      </w:tblPr>
      <w:tblGrid>
        <w:gridCol w:w="4675"/>
        <w:gridCol w:w="4675"/>
      </w:tblGrid>
      <w:tr w:rsidR="00C4272A" w14:paraId="5436DF36" w14:textId="77777777" w:rsidTr="001B41BD">
        <w:tc>
          <w:tcPr>
            <w:tcW w:w="4675" w:type="dxa"/>
          </w:tcPr>
          <w:p w14:paraId="3D9B79E1" w14:textId="77777777" w:rsidR="00C4272A" w:rsidRDefault="00C4272A" w:rsidP="001B41BD">
            <w:r>
              <w:t>Race/Ethnicity</w:t>
            </w:r>
          </w:p>
        </w:tc>
        <w:tc>
          <w:tcPr>
            <w:tcW w:w="4675" w:type="dxa"/>
          </w:tcPr>
          <w:p w14:paraId="109F8ED3" w14:textId="77777777" w:rsidR="00C4272A" w:rsidRDefault="00C4272A" w:rsidP="001B41BD">
            <w:r>
              <w:t>Percent</w:t>
            </w:r>
          </w:p>
        </w:tc>
      </w:tr>
      <w:tr w:rsidR="00C4272A" w14:paraId="3753441E" w14:textId="77777777" w:rsidTr="001B41BD">
        <w:tc>
          <w:tcPr>
            <w:tcW w:w="4675" w:type="dxa"/>
          </w:tcPr>
          <w:p w14:paraId="581DFB0C" w14:textId="77777777" w:rsidR="00C4272A" w:rsidRDefault="00C4272A" w:rsidP="001B41BD">
            <w:r>
              <w:t>Non-Hispanic White Female</w:t>
            </w:r>
          </w:p>
        </w:tc>
        <w:tc>
          <w:tcPr>
            <w:tcW w:w="4675" w:type="dxa"/>
          </w:tcPr>
          <w:p w14:paraId="1134F2CC" w14:textId="77777777" w:rsidR="00C4272A" w:rsidRDefault="00C4272A" w:rsidP="001B41BD">
            <w:r>
              <w:t>77.8%</w:t>
            </w:r>
          </w:p>
        </w:tc>
      </w:tr>
      <w:tr w:rsidR="00C4272A" w14:paraId="304A3117" w14:textId="77777777" w:rsidTr="001B41BD">
        <w:tc>
          <w:tcPr>
            <w:tcW w:w="4675" w:type="dxa"/>
          </w:tcPr>
          <w:p w14:paraId="1068FBBB" w14:textId="77777777" w:rsidR="00C4272A" w:rsidRDefault="00C4272A" w:rsidP="001B41BD">
            <w:r>
              <w:t>Non-Hispanic Black Female</w:t>
            </w:r>
          </w:p>
        </w:tc>
        <w:tc>
          <w:tcPr>
            <w:tcW w:w="4675" w:type="dxa"/>
          </w:tcPr>
          <w:p w14:paraId="268DFDB1" w14:textId="77777777" w:rsidR="00C4272A" w:rsidRDefault="00C4272A" w:rsidP="001B41BD">
            <w:r>
              <w:t>82.1%</w:t>
            </w:r>
          </w:p>
        </w:tc>
      </w:tr>
      <w:tr w:rsidR="00C4272A" w14:paraId="26C03838" w14:textId="77777777" w:rsidTr="001B41BD">
        <w:tc>
          <w:tcPr>
            <w:tcW w:w="4675" w:type="dxa"/>
          </w:tcPr>
          <w:p w14:paraId="294A0544" w14:textId="77777777" w:rsidR="00C4272A" w:rsidRDefault="00C4272A" w:rsidP="001B41BD">
            <w:r>
              <w:t>Healthy People 2030 Goal</w:t>
            </w:r>
          </w:p>
        </w:tc>
        <w:tc>
          <w:tcPr>
            <w:tcW w:w="4675" w:type="dxa"/>
          </w:tcPr>
          <w:p w14:paraId="17B8C73D" w14:textId="77777777" w:rsidR="00C4272A" w:rsidRDefault="00C4272A" w:rsidP="001B41BD">
            <w:r>
              <w:t>80.3%</w:t>
            </w:r>
          </w:p>
        </w:tc>
      </w:tr>
    </w:tbl>
    <w:p w14:paraId="373973A4" w14:textId="77777777" w:rsidR="00C4272A" w:rsidRPr="00972687" w:rsidRDefault="00C4272A" w:rsidP="00C4272A">
      <w:r w:rsidRPr="00972687">
        <w:t xml:space="preserve">Source: SC BRFSS, 2020. </w:t>
      </w:r>
    </w:p>
    <w:p w14:paraId="3216365E" w14:textId="77777777" w:rsidR="00C4272A" w:rsidRPr="00D47C63" w:rsidRDefault="00C4272A" w:rsidP="00C4272A">
      <w:r w:rsidRPr="00972687">
        <w:t xml:space="preserve">Notes: </w:t>
      </w:r>
      <w:r>
        <w:t>Females ages</w:t>
      </w:r>
      <w:r w:rsidRPr="00972687">
        <w:t xml:space="preserve"> 50-7</w:t>
      </w:r>
      <w:r>
        <w:t xml:space="preserve">4, </w:t>
      </w:r>
      <w:proofErr w:type="gramStart"/>
      <w:r>
        <w:t>age-adjusted</w:t>
      </w:r>
      <w:proofErr w:type="gramEnd"/>
      <w:r>
        <w:t>.</w:t>
      </w:r>
    </w:p>
    <w:p w14:paraId="66641B3C" w14:textId="77777777" w:rsidR="00C4272A" w:rsidRDefault="00C4272A" w:rsidP="00C4272A">
      <w:pPr>
        <w:pStyle w:val="Heading4"/>
      </w:pPr>
      <w:bookmarkStart w:id="791" w:name="_Toc154576516"/>
    </w:p>
    <w:p w14:paraId="19307B2F" w14:textId="4D80EF2B" w:rsidR="00C4272A" w:rsidRDefault="00C4272A" w:rsidP="00C4272A">
      <w:pPr>
        <w:pStyle w:val="Heading4"/>
      </w:pPr>
      <w:bookmarkStart w:id="792" w:name="_Toc162267537"/>
      <w:r>
        <w:t>Figure 9.34: Breast Cancer Incidence, by Race/Ethnicity.</w:t>
      </w:r>
      <w:bookmarkEnd w:id="791"/>
      <w:bookmarkEnd w:id="792"/>
    </w:p>
    <w:p w14:paraId="73F2750A" w14:textId="77777777" w:rsidR="00C4272A" w:rsidRDefault="00C4272A" w:rsidP="00C4272A">
      <w:pPr>
        <w:pStyle w:val="Heading5"/>
      </w:pPr>
      <w:r>
        <w:t>Rate per 100,000 females.</w:t>
      </w:r>
    </w:p>
    <w:tbl>
      <w:tblPr>
        <w:tblStyle w:val="TableGrid"/>
        <w:tblW w:w="0" w:type="auto"/>
        <w:tblLook w:val="04A0" w:firstRow="1" w:lastRow="0" w:firstColumn="1" w:lastColumn="0" w:noHBand="0" w:noVBand="1"/>
      </w:tblPr>
      <w:tblGrid>
        <w:gridCol w:w="3116"/>
        <w:gridCol w:w="3117"/>
        <w:gridCol w:w="3117"/>
      </w:tblGrid>
      <w:tr w:rsidR="00C4272A" w14:paraId="1A479AB7" w14:textId="77777777" w:rsidTr="001B41BD">
        <w:tc>
          <w:tcPr>
            <w:tcW w:w="3116" w:type="dxa"/>
            <w:vAlign w:val="bottom"/>
          </w:tcPr>
          <w:p w14:paraId="3780FEF6" w14:textId="77777777" w:rsidR="00C4272A" w:rsidRPr="00972687" w:rsidRDefault="00C4272A" w:rsidP="001B41BD">
            <w:r>
              <w:t>Years</w:t>
            </w:r>
          </w:p>
        </w:tc>
        <w:tc>
          <w:tcPr>
            <w:tcW w:w="3117" w:type="dxa"/>
            <w:vAlign w:val="bottom"/>
          </w:tcPr>
          <w:p w14:paraId="6AC206A5" w14:textId="77777777" w:rsidR="00C4272A" w:rsidRPr="00972687" w:rsidRDefault="00C4272A" w:rsidP="001B41BD">
            <w:r w:rsidRPr="00972687">
              <w:t>Non-Hispanic White</w:t>
            </w:r>
            <w:r>
              <w:t xml:space="preserve"> Female</w:t>
            </w:r>
          </w:p>
        </w:tc>
        <w:tc>
          <w:tcPr>
            <w:tcW w:w="3117" w:type="dxa"/>
            <w:vAlign w:val="bottom"/>
          </w:tcPr>
          <w:p w14:paraId="3085DBA2" w14:textId="77777777" w:rsidR="00C4272A" w:rsidRPr="00972687" w:rsidRDefault="00C4272A" w:rsidP="001B41BD">
            <w:r w:rsidRPr="00972687">
              <w:t>Non-Hispanic Black</w:t>
            </w:r>
            <w:r>
              <w:t xml:space="preserve"> Female</w:t>
            </w:r>
          </w:p>
        </w:tc>
      </w:tr>
      <w:tr w:rsidR="00C4272A" w14:paraId="133F65E3" w14:textId="77777777" w:rsidTr="001B41BD">
        <w:tc>
          <w:tcPr>
            <w:tcW w:w="3116" w:type="dxa"/>
            <w:vAlign w:val="bottom"/>
          </w:tcPr>
          <w:p w14:paraId="48070F2F" w14:textId="77777777" w:rsidR="00C4272A" w:rsidRPr="00972687" w:rsidRDefault="00C4272A" w:rsidP="001B41BD">
            <w:r w:rsidRPr="00972687">
              <w:t>2011-2015</w:t>
            </w:r>
          </w:p>
        </w:tc>
        <w:tc>
          <w:tcPr>
            <w:tcW w:w="3117" w:type="dxa"/>
            <w:vAlign w:val="bottom"/>
          </w:tcPr>
          <w:p w14:paraId="51DE5A76" w14:textId="77777777" w:rsidR="00C4272A" w:rsidRPr="00972687" w:rsidRDefault="00C4272A" w:rsidP="001B41BD">
            <w:r w:rsidRPr="00972687">
              <w:t>131.2</w:t>
            </w:r>
          </w:p>
        </w:tc>
        <w:tc>
          <w:tcPr>
            <w:tcW w:w="3117" w:type="dxa"/>
            <w:vAlign w:val="bottom"/>
          </w:tcPr>
          <w:p w14:paraId="5A413948" w14:textId="77777777" w:rsidR="00C4272A" w:rsidRPr="00972687" w:rsidRDefault="00C4272A" w:rsidP="001B41BD">
            <w:r w:rsidRPr="00972687">
              <w:t>129.0</w:t>
            </w:r>
          </w:p>
        </w:tc>
      </w:tr>
      <w:tr w:rsidR="00C4272A" w14:paraId="4F4B5A5A" w14:textId="77777777" w:rsidTr="001B41BD">
        <w:tc>
          <w:tcPr>
            <w:tcW w:w="3116" w:type="dxa"/>
            <w:vAlign w:val="bottom"/>
          </w:tcPr>
          <w:p w14:paraId="02346A12" w14:textId="77777777" w:rsidR="00C4272A" w:rsidRPr="00972687" w:rsidRDefault="00C4272A" w:rsidP="001B41BD">
            <w:r w:rsidRPr="00972687">
              <w:t>2012-2016</w:t>
            </w:r>
          </w:p>
        </w:tc>
        <w:tc>
          <w:tcPr>
            <w:tcW w:w="3117" w:type="dxa"/>
            <w:vAlign w:val="bottom"/>
          </w:tcPr>
          <w:p w14:paraId="2FD5D549" w14:textId="77777777" w:rsidR="00C4272A" w:rsidRPr="00972687" w:rsidRDefault="00C4272A" w:rsidP="001B41BD">
            <w:r w:rsidRPr="00972687">
              <w:t>131.8</w:t>
            </w:r>
          </w:p>
        </w:tc>
        <w:tc>
          <w:tcPr>
            <w:tcW w:w="3117" w:type="dxa"/>
            <w:vAlign w:val="bottom"/>
          </w:tcPr>
          <w:p w14:paraId="39641376" w14:textId="77777777" w:rsidR="00C4272A" w:rsidRPr="00972687" w:rsidRDefault="00C4272A" w:rsidP="001B41BD">
            <w:r w:rsidRPr="00972687">
              <w:t>129.6</w:t>
            </w:r>
          </w:p>
        </w:tc>
      </w:tr>
      <w:tr w:rsidR="00C4272A" w14:paraId="1EEC904E" w14:textId="77777777" w:rsidTr="001B41BD">
        <w:tc>
          <w:tcPr>
            <w:tcW w:w="3116" w:type="dxa"/>
            <w:vAlign w:val="bottom"/>
          </w:tcPr>
          <w:p w14:paraId="18D60949" w14:textId="77777777" w:rsidR="00C4272A" w:rsidRPr="00972687" w:rsidRDefault="00C4272A" w:rsidP="001B41BD">
            <w:r w:rsidRPr="00972687">
              <w:t>2013-2017</w:t>
            </w:r>
          </w:p>
        </w:tc>
        <w:tc>
          <w:tcPr>
            <w:tcW w:w="3117" w:type="dxa"/>
            <w:vAlign w:val="bottom"/>
          </w:tcPr>
          <w:p w14:paraId="662F0025" w14:textId="77777777" w:rsidR="00C4272A" w:rsidRPr="00972687" w:rsidRDefault="00C4272A" w:rsidP="001B41BD">
            <w:r w:rsidRPr="00972687">
              <w:t>132.9</w:t>
            </w:r>
          </w:p>
        </w:tc>
        <w:tc>
          <w:tcPr>
            <w:tcW w:w="3117" w:type="dxa"/>
            <w:vAlign w:val="bottom"/>
          </w:tcPr>
          <w:p w14:paraId="34258859" w14:textId="77777777" w:rsidR="00C4272A" w:rsidRPr="00972687" w:rsidRDefault="00C4272A" w:rsidP="001B41BD">
            <w:r w:rsidRPr="00972687">
              <w:t>128.7</w:t>
            </w:r>
          </w:p>
        </w:tc>
      </w:tr>
      <w:tr w:rsidR="00C4272A" w14:paraId="143DE8F4" w14:textId="77777777" w:rsidTr="001B41BD">
        <w:tc>
          <w:tcPr>
            <w:tcW w:w="3116" w:type="dxa"/>
            <w:vAlign w:val="bottom"/>
          </w:tcPr>
          <w:p w14:paraId="7468CF3C" w14:textId="77777777" w:rsidR="00C4272A" w:rsidRPr="00972687" w:rsidRDefault="00C4272A" w:rsidP="001B41BD">
            <w:r w:rsidRPr="00972687">
              <w:t>2014-2018</w:t>
            </w:r>
          </w:p>
        </w:tc>
        <w:tc>
          <w:tcPr>
            <w:tcW w:w="3117" w:type="dxa"/>
            <w:vAlign w:val="bottom"/>
          </w:tcPr>
          <w:p w14:paraId="73E314E6" w14:textId="77777777" w:rsidR="00C4272A" w:rsidRPr="00972687" w:rsidRDefault="00C4272A" w:rsidP="001B41BD">
            <w:r w:rsidRPr="00972687">
              <w:t>132.6</w:t>
            </w:r>
          </w:p>
        </w:tc>
        <w:tc>
          <w:tcPr>
            <w:tcW w:w="3117" w:type="dxa"/>
            <w:vAlign w:val="bottom"/>
          </w:tcPr>
          <w:p w14:paraId="69A5AF2B" w14:textId="77777777" w:rsidR="00C4272A" w:rsidRPr="00972687" w:rsidRDefault="00C4272A" w:rsidP="001B41BD">
            <w:r w:rsidRPr="00972687">
              <w:t>129.3</w:t>
            </w:r>
          </w:p>
        </w:tc>
      </w:tr>
      <w:tr w:rsidR="00C4272A" w14:paraId="450E2EB1" w14:textId="77777777" w:rsidTr="001B41BD">
        <w:tc>
          <w:tcPr>
            <w:tcW w:w="3116" w:type="dxa"/>
            <w:vAlign w:val="bottom"/>
          </w:tcPr>
          <w:p w14:paraId="261E946F" w14:textId="77777777" w:rsidR="00C4272A" w:rsidRPr="00972687" w:rsidRDefault="00C4272A" w:rsidP="001B41BD">
            <w:r w:rsidRPr="00972687">
              <w:t>2015-2019</w:t>
            </w:r>
          </w:p>
        </w:tc>
        <w:tc>
          <w:tcPr>
            <w:tcW w:w="3117" w:type="dxa"/>
            <w:vAlign w:val="bottom"/>
          </w:tcPr>
          <w:p w14:paraId="7E313E36" w14:textId="77777777" w:rsidR="00C4272A" w:rsidRPr="00972687" w:rsidRDefault="00C4272A" w:rsidP="001B41BD">
            <w:r w:rsidRPr="00972687">
              <w:t>132.9</w:t>
            </w:r>
          </w:p>
        </w:tc>
        <w:tc>
          <w:tcPr>
            <w:tcW w:w="3117" w:type="dxa"/>
            <w:vAlign w:val="bottom"/>
          </w:tcPr>
          <w:p w14:paraId="422CA04B" w14:textId="77777777" w:rsidR="00C4272A" w:rsidRPr="00972687" w:rsidRDefault="00C4272A" w:rsidP="001B41BD">
            <w:r w:rsidRPr="00972687">
              <w:t>129.3</w:t>
            </w:r>
          </w:p>
        </w:tc>
      </w:tr>
    </w:tbl>
    <w:p w14:paraId="4C222726" w14:textId="77777777" w:rsidR="00C4272A" w:rsidRPr="00972687" w:rsidRDefault="00C4272A" w:rsidP="00C4272A">
      <w:r w:rsidRPr="00972687">
        <w:t xml:space="preserve">Source: SC DHEC CCR. </w:t>
      </w:r>
    </w:p>
    <w:p w14:paraId="5544B764" w14:textId="77777777" w:rsidR="00C4272A" w:rsidRDefault="00C4272A" w:rsidP="00C4272A">
      <w:r w:rsidRPr="00972687">
        <w:t>Note: Age-adjusted.</w:t>
      </w:r>
    </w:p>
    <w:p w14:paraId="0B260B01" w14:textId="77777777" w:rsidR="00C4272A" w:rsidRDefault="00C4272A" w:rsidP="00C4272A">
      <w:pPr>
        <w:pStyle w:val="Heading4"/>
      </w:pPr>
      <w:bookmarkStart w:id="793" w:name="_Toc154576517"/>
    </w:p>
    <w:p w14:paraId="483C6852" w14:textId="6F437D2D" w:rsidR="00C4272A" w:rsidRDefault="00C4272A" w:rsidP="00C4272A">
      <w:pPr>
        <w:pStyle w:val="Heading4"/>
      </w:pPr>
      <w:bookmarkStart w:id="794" w:name="_Toc162267538"/>
      <w:r>
        <w:t>Figure 9.35: Breast Cancer Deaths, by Race/Ethnicity.</w:t>
      </w:r>
      <w:bookmarkEnd w:id="793"/>
      <w:bookmarkEnd w:id="794"/>
    </w:p>
    <w:p w14:paraId="507AE855" w14:textId="77777777" w:rsidR="00C4272A" w:rsidRDefault="00C4272A" w:rsidP="00C4272A">
      <w:pPr>
        <w:pStyle w:val="Heading5"/>
      </w:pPr>
      <w:r>
        <w:t>Rate per 100,000 females.</w:t>
      </w:r>
    </w:p>
    <w:tbl>
      <w:tblPr>
        <w:tblStyle w:val="TableGrid"/>
        <w:tblW w:w="0" w:type="auto"/>
        <w:tblLook w:val="04A0" w:firstRow="1" w:lastRow="0" w:firstColumn="1" w:lastColumn="0" w:noHBand="0" w:noVBand="1"/>
      </w:tblPr>
      <w:tblGrid>
        <w:gridCol w:w="1870"/>
        <w:gridCol w:w="1870"/>
        <w:gridCol w:w="1870"/>
        <w:gridCol w:w="1870"/>
        <w:gridCol w:w="1870"/>
      </w:tblGrid>
      <w:tr w:rsidR="00C4272A" w14:paraId="765AD42C" w14:textId="77777777" w:rsidTr="001B41BD">
        <w:tc>
          <w:tcPr>
            <w:tcW w:w="1870" w:type="dxa"/>
            <w:vAlign w:val="bottom"/>
          </w:tcPr>
          <w:p w14:paraId="162FD6DA" w14:textId="77777777" w:rsidR="00C4272A" w:rsidRPr="00972687" w:rsidRDefault="00C4272A" w:rsidP="001B41BD">
            <w:r>
              <w:t>Years</w:t>
            </w:r>
          </w:p>
        </w:tc>
        <w:tc>
          <w:tcPr>
            <w:tcW w:w="1870" w:type="dxa"/>
            <w:vAlign w:val="bottom"/>
          </w:tcPr>
          <w:p w14:paraId="44523818" w14:textId="77777777" w:rsidR="00C4272A" w:rsidRPr="00972687" w:rsidRDefault="00C4272A" w:rsidP="001B41BD">
            <w:r w:rsidRPr="00972687">
              <w:t>Non-Hispanic White</w:t>
            </w:r>
            <w:r>
              <w:t xml:space="preserve"> Female</w:t>
            </w:r>
          </w:p>
        </w:tc>
        <w:tc>
          <w:tcPr>
            <w:tcW w:w="1870" w:type="dxa"/>
            <w:vAlign w:val="bottom"/>
          </w:tcPr>
          <w:p w14:paraId="213ED4D3" w14:textId="77777777" w:rsidR="00C4272A" w:rsidRPr="00972687" w:rsidRDefault="00C4272A" w:rsidP="001B41BD">
            <w:r w:rsidRPr="00972687">
              <w:t>Non-Hispanic Black</w:t>
            </w:r>
            <w:r>
              <w:t xml:space="preserve"> Female</w:t>
            </w:r>
          </w:p>
        </w:tc>
        <w:tc>
          <w:tcPr>
            <w:tcW w:w="1870" w:type="dxa"/>
            <w:vAlign w:val="bottom"/>
          </w:tcPr>
          <w:p w14:paraId="02776FE8" w14:textId="77777777" w:rsidR="00C4272A" w:rsidRPr="00972687" w:rsidRDefault="00C4272A" w:rsidP="001B41BD">
            <w:r w:rsidRPr="00972687">
              <w:t>Healthy People 2030</w:t>
            </w:r>
          </w:p>
        </w:tc>
        <w:tc>
          <w:tcPr>
            <w:tcW w:w="1870" w:type="dxa"/>
            <w:vAlign w:val="bottom"/>
          </w:tcPr>
          <w:p w14:paraId="3B0CD52C" w14:textId="77777777" w:rsidR="00C4272A" w:rsidRPr="00972687" w:rsidRDefault="00C4272A" w:rsidP="001B41BD">
            <w:r w:rsidRPr="00972687">
              <w:t>SC</w:t>
            </w:r>
          </w:p>
        </w:tc>
      </w:tr>
      <w:tr w:rsidR="00C4272A" w14:paraId="3254A547" w14:textId="77777777" w:rsidTr="001B41BD">
        <w:tc>
          <w:tcPr>
            <w:tcW w:w="1870" w:type="dxa"/>
            <w:vAlign w:val="bottom"/>
          </w:tcPr>
          <w:p w14:paraId="158A8F01" w14:textId="77777777" w:rsidR="00C4272A" w:rsidRPr="00972687" w:rsidRDefault="00C4272A" w:rsidP="001B41BD">
            <w:r w:rsidRPr="00972687">
              <w:t>2011-2015</w:t>
            </w:r>
          </w:p>
        </w:tc>
        <w:tc>
          <w:tcPr>
            <w:tcW w:w="1870" w:type="dxa"/>
            <w:vAlign w:val="bottom"/>
          </w:tcPr>
          <w:p w14:paraId="7F9CC5F1" w14:textId="77777777" w:rsidR="00C4272A" w:rsidRPr="00972687" w:rsidRDefault="00C4272A" w:rsidP="001B41BD">
            <w:r w:rsidRPr="00972687">
              <w:t>20.3</w:t>
            </w:r>
          </w:p>
        </w:tc>
        <w:tc>
          <w:tcPr>
            <w:tcW w:w="1870" w:type="dxa"/>
            <w:vAlign w:val="bottom"/>
          </w:tcPr>
          <w:p w14:paraId="3C62B1AD" w14:textId="77777777" w:rsidR="00C4272A" w:rsidRPr="00972687" w:rsidRDefault="00C4272A" w:rsidP="001B41BD">
            <w:r w:rsidRPr="00972687">
              <w:t>28.3</w:t>
            </w:r>
          </w:p>
        </w:tc>
        <w:tc>
          <w:tcPr>
            <w:tcW w:w="1870" w:type="dxa"/>
            <w:vAlign w:val="bottom"/>
          </w:tcPr>
          <w:p w14:paraId="31470EBE" w14:textId="77777777" w:rsidR="00C4272A" w:rsidRPr="00972687" w:rsidRDefault="00C4272A" w:rsidP="001B41BD">
            <w:r w:rsidRPr="00972687">
              <w:t>15.3</w:t>
            </w:r>
          </w:p>
        </w:tc>
        <w:tc>
          <w:tcPr>
            <w:tcW w:w="1870" w:type="dxa"/>
            <w:vAlign w:val="bottom"/>
          </w:tcPr>
          <w:p w14:paraId="0E0D6126" w14:textId="77777777" w:rsidR="00C4272A" w:rsidRPr="00972687" w:rsidRDefault="00C4272A" w:rsidP="001B41BD">
            <w:r w:rsidRPr="00972687">
              <w:t>22.2</w:t>
            </w:r>
          </w:p>
        </w:tc>
      </w:tr>
      <w:tr w:rsidR="00C4272A" w14:paraId="47E3B7BC" w14:textId="77777777" w:rsidTr="001B41BD">
        <w:tc>
          <w:tcPr>
            <w:tcW w:w="1870" w:type="dxa"/>
            <w:vAlign w:val="bottom"/>
          </w:tcPr>
          <w:p w14:paraId="745570A7" w14:textId="77777777" w:rsidR="00C4272A" w:rsidRPr="00972687" w:rsidRDefault="00C4272A" w:rsidP="001B41BD">
            <w:r w:rsidRPr="00972687">
              <w:lastRenderedPageBreak/>
              <w:t>2012-2016</w:t>
            </w:r>
          </w:p>
        </w:tc>
        <w:tc>
          <w:tcPr>
            <w:tcW w:w="1870" w:type="dxa"/>
            <w:vAlign w:val="bottom"/>
          </w:tcPr>
          <w:p w14:paraId="0CCFAB09" w14:textId="77777777" w:rsidR="00C4272A" w:rsidRPr="00972687" w:rsidRDefault="00C4272A" w:rsidP="001B41BD">
            <w:r w:rsidRPr="00972687">
              <w:t>20.1</w:t>
            </w:r>
          </w:p>
        </w:tc>
        <w:tc>
          <w:tcPr>
            <w:tcW w:w="1870" w:type="dxa"/>
            <w:vAlign w:val="bottom"/>
          </w:tcPr>
          <w:p w14:paraId="15E12F32" w14:textId="77777777" w:rsidR="00C4272A" w:rsidRPr="00972687" w:rsidRDefault="00C4272A" w:rsidP="001B41BD">
            <w:r w:rsidRPr="00972687">
              <w:t>27.5</w:t>
            </w:r>
          </w:p>
        </w:tc>
        <w:tc>
          <w:tcPr>
            <w:tcW w:w="1870" w:type="dxa"/>
            <w:vAlign w:val="bottom"/>
          </w:tcPr>
          <w:p w14:paraId="7ADC4A1B" w14:textId="77777777" w:rsidR="00C4272A" w:rsidRPr="00972687" w:rsidRDefault="00C4272A" w:rsidP="001B41BD">
            <w:r w:rsidRPr="00972687">
              <w:t>15.3</w:t>
            </w:r>
          </w:p>
        </w:tc>
        <w:tc>
          <w:tcPr>
            <w:tcW w:w="1870" w:type="dxa"/>
            <w:vAlign w:val="bottom"/>
          </w:tcPr>
          <w:p w14:paraId="7013EFCE" w14:textId="77777777" w:rsidR="00C4272A" w:rsidRPr="00972687" w:rsidRDefault="00C4272A" w:rsidP="001B41BD">
            <w:r w:rsidRPr="00972687">
              <w:t>21.8</w:t>
            </w:r>
          </w:p>
        </w:tc>
      </w:tr>
      <w:tr w:rsidR="00C4272A" w14:paraId="7B78D9DD" w14:textId="77777777" w:rsidTr="001B41BD">
        <w:tc>
          <w:tcPr>
            <w:tcW w:w="1870" w:type="dxa"/>
            <w:vAlign w:val="bottom"/>
          </w:tcPr>
          <w:p w14:paraId="060C718E" w14:textId="77777777" w:rsidR="00C4272A" w:rsidRPr="00972687" w:rsidRDefault="00C4272A" w:rsidP="001B41BD">
            <w:r w:rsidRPr="00972687">
              <w:t>2013-2017</w:t>
            </w:r>
          </w:p>
        </w:tc>
        <w:tc>
          <w:tcPr>
            <w:tcW w:w="1870" w:type="dxa"/>
            <w:vAlign w:val="bottom"/>
          </w:tcPr>
          <w:p w14:paraId="266D084A" w14:textId="77777777" w:rsidR="00C4272A" w:rsidRPr="00972687" w:rsidRDefault="00C4272A" w:rsidP="001B41BD">
            <w:r w:rsidRPr="00972687">
              <w:t>19.6</w:t>
            </w:r>
          </w:p>
        </w:tc>
        <w:tc>
          <w:tcPr>
            <w:tcW w:w="1870" w:type="dxa"/>
            <w:vAlign w:val="bottom"/>
          </w:tcPr>
          <w:p w14:paraId="3FE3BF19" w14:textId="77777777" w:rsidR="00C4272A" w:rsidRPr="00972687" w:rsidRDefault="00C4272A" w:rsidP="001B41BD">
            <w:r w:rsidRPr="00972687">
              <w:t>27.9</w:t>
            </w:r>
          </w:p>
        </w:tc>
        <w:tc>
          <w:tcPr>
            <w:tcW w:w="1870" w:type="dxa"/>
            <w:vAlign w:val="bottom"/>
          </w:tcPr>
          <w:p w14:paraId="1F26EF1C" w14:textId="77777777" w:rsidR="00C4272A" w:rsidRPr="00972687" w:rsidRDefault="00C4272A" w:rsidP="001B41BD">
            <w:r w:rsidRPr="00972687">
              <w:t>15.3</w:t>
            </w:r>
          </w:p>
        </w:tc>
        <w:tc>
          <w:tcPr>
            <w:tcW w:w="1870" w:type="dxa"/>
            <w:vAlign w:val="bottom"/>
          </w:tcPr>
          <w:p w14:paraId="33AFD486" w14:textId="77777777" w:rsidR="00C4272A" w:rsidRPr="00972687" w:rsidRDefault="00C4272A" w:rsidP="001B41BD">
            <w:r w:rsidRPr="00972687">
              <w:t>21.5</w:t>
            </w:r>
          </w:p>
        </w:tc>
      </w:tr>
      <w:tr w:rsidR="00C4272A" w14:paraId="53BDABC9" w14:textId="77777777" w:rsidTr="001B41BD">
        <w:tc>
          <w:tcPr>
            <w:tcW w:w="1870" w:type="dxa"/>
            <w:vAlign w:val="bottom"/>
          </w:tcPr>
          <w:p w14:paraId="664AF489" w14:textId="77777777" w:rsidR="00C4272A" w:rsidRPr="00972687" w:rsidRDefault="00C4272A" w:rsidP="001B41BD">
            <w:r w:rsidRPr="00972687">
              <w:t>2014-2018</w:t>
            </w:r>
          </w:p>
        </w:tc>
        <w:tc>
          <w:tcPr>
            <w:tcW w:w="1870" w:type="dxa"/>
            <w:vAlign w:val="bottom"/>
          </w:tcPr>
          <w:p w14:paraId="64941258" w14:textId="77777777" w:rsidR="00C4272A" w:rsidRPr="00972687" w:rsidRDefault="00C4272A" w:rsidP="001B41BD">
            <w:r w:rsidRPr="00972687">
              <w:t>19.9</w:t>
            </w:r>
          </w:p>
        </w:tc>
        <w:tc>
          <w:tcPr>
            <w:tcW w:w="1870" w:type="dxa"/>
            <w:vAlign w:val="bottom"/>
          </w:tcPr>
          <w:p w14:paraId="1F90AD5C" w14:textId="77777777" w:rsidR="00C4272A" w:rsidRPr="00972687" w:rsidRDefault="00C4272A" w:rsidP="001B41BD">
            <w:r w:rsidRPr="00972687">
              <w:t>27.5</w:t>
            </w:r>
          </w:p>
        </w:tc>
        <w:tc>
          <w:tcPr>
            <w:tcW w:w="1870" w:type="dxa"/>
            <w:vAlign w:val="bottom"/>
          </w:tcPr>
          <w:p w14:paraId="0C5771C6" w14:textId="77777777" w:rsidR="00C4272A" w:rsidRPr="00972687" w:rsidRDefault="00C4272A" w:rsidP="001B41BD">
            <w:r w:rsidRPr="00972687">
              <w:t>15.3</w:t>
            </w:r>
          </w:p>
        </w:tc>
        <w:tc>
          <w:tcPr>
            <w:tcW w:w="1870" w:type="dxa"/>
            <w:vAlign w:val="bottom"/>
          </w:tcPr>
          <w:p w14:paraId="11B47A1F" w14:textId="77777777" w:rsidR="00C4272A" w:rsidRPr="00972687" w:rsidRDefault="00C4272A" w:rsidP="001B41BD">
            <w:r w:rsidRPr="00972687">
              <w:t>21.6</w:t>
            </w:r>
          </w:p>
        </w:tc>
      </w:tr>
      <w:tr w:rsidR="00C4272A" w14:paraId="7F65C6DD" w14:textId="77777777" w:rsidTr="001B41BD">
        <w:tc>
          <w:tcPr>
            <w:tcW w:w="1870" w:type="dxa"/>
            <w:vAlign w:val="bottom"/>
          </w:tcPr>
          <w:p w14:paraId="2E742486" w14:textId="77777777" w:rsidR="00C4272A" w:rsidRPr="00972687" w:rsidRDefault="00C4272A" w:rsidP="001B41BD">
            <w:r w:rsidRPr="00972687">
              <w:t>2015-2019</w:t>
            </w:r>
          </w:p>
        </w:tc>
        <w:tc>
          <w:tcPr>
            <w:tcW w:w="1870" w:type="dxa"/>
            <w:vAlign w:val="bottom"/>
          </w:tcPr>
          <w:p w14:paraId="38A9EEBD" w14:textId="77777777" w:rsidR="00C4272A" w:rsidRPr="00972687" w:rsidRDefault="00C4272A" w:rsidP="001B41BD">
            <w:r w:rsidRPr="00972687">
              <w:t>19.4</w:t>
            </w:r>
          </w:p>
        </w:tc>
        <w:tc>
          <w:tcPr>
            <w:tcW w:w="1870" w:type="dxa"/>
            <w:vAlign w:val="bottom"/>
          </w:tcPr>
          <w:p w14:paraId="6A389C21" w14:textId="77777777" w:rsidR="00C4272A" w:rsidRPr="00972687" w:rsidRDefault="00C4272A" w:rsidP="001B41BD">
            <w:r w:rsidRPr="00972687">
              <w:t>27.6</w:t>
            </w:r>
          </w:p>
        </w:tc>
        <w:tc>
          <w:tcPr>
            <w:tcW w:w="1870" w:type="dxa"/>
            <w:vAlign w:val="bottom"/>
          </w:tcPr>
          <w:p w14:paraId="18CA852B" w14:textId="77777777" w:rsidR="00C4272A" w:rsidRPr="00972687" w:rsidRDefault="00C4272A" w:rsidP="001B41BD">
            <w:r w:rsidRPr="00972687">
              <w:t>15.3</w:t>
            </w:r>
          </w:p>
        </w:tc>
        <w:tc>
          <w:tcPr>
            <w:tcW w:w="1870" w:type="dxa"/>
            <w:vAlign w:val="bottom"/>
          </w:tcPr>
          <w:p w14:paraId="2C637AAB" w14:textId="77777777" w:rsidR="00C4272A" w:rsidRPr="00972687" w:rsidRDefault="00C4272A" w:rsidP="001B41BD">
            <w:r w:rsidRPr="00972687">
              <w:t>21.2</w:t>
            </w:r>
          </w:p>
        </w:tc>
      </w:tr>
      <w:tr w:rsidR="00C4272A" w14:paraId="231318F9" w14:textId="77777777" w:rsidTr="001B41BD">
        <w:tc>
          <w:tcPr>
            <w:tcW w:w="1870" w:type="dxa"/>
            <w:vAlign w:val="bottom"/>
          </w:tcPr>
          <w:p w14:paraId="7E8AF6D4" w14:textId="77777777" w:rsidR="00C4272A" w:rsidRPr="00972687" w:rsidRDefault="00C4272A" w:rsidP="001B41BD">
            <w:r w:rsidRPr="00972687">
              <w:t>2016-2020</w:t>
            </w:r>
          </w:p>
        </w:tc>
        <w:tc>
          <w:tcPr>
            <w:tcW w:w="1870" w:type="dxa"/>
            <w:vAlign w:val="bottom"/>
          </w:tcPr>
          <w:p w14:paraId="342C2E75" w14:textId="77777777" w:rsidR="00C4272A" w:rsidRPr="00972687" w:rsidRDefault="00C4272A" w:rsidP="001B41BD">
            <w:r w:rsidRPr="00972687">
              <w:t>19.8</w:t>
            </w:r>
          </w:p>
        </w:tc>
        <w:tc>
          <w:tcPr>
            <w:tcW w:w="1870" w:type="dxa"/>
            <w:vAlign w:val="bottom"/>
          </w:tcPr>
          <w:p w14:paraId="1DFF19B2" w14:textId="77777777" w:rsidR="00C4272A" w:rsidRPr="00972687" w:rsidRDefault="00C4272A" w:rsidP="001B41BD">
            <w:r w:rsidRPr="00972687">
              <w:t>27.6</w:t>
            </w:r>
          </w:p>
        </w:tc>
        <w:tc>
          <w:tcPr>
            <w:tcW w:w="1870" w:type="dxa"/>
            <w:vAlign w:val="bottom"/>
          </w:tcPr>
          <w:p w14:paraId="5E897750" w14:textId="77777777" w:rsidR="00C4272A" w:rsidRPr="00972687" w:rsidRDefault="00C4272A" w:rsidP="001B41BD">
            <w:r w:rsidRPr="00972687">
              <w:t>15.3</w:t>
            </w:r>
          </w:p>
        </w:tc>
        <w:tc>
          <w:tcPr>
            <w:tcW w:w="1870" w:type="dxa"/>
            <w:vAlign w:val="bottom"/>
          </w:tcPr>
          <w:p w14:paraId="5AB31400" w14:textId="77777777" w:rsidR="00C4272A" w:rsidRPr="00972687" w:rsidRDefault="00C4272A" w:rsidP="001B41BD">
            <w:r w:rsidRPr="00972687">
              <w:t>21.5</w:t>
            </w:r>
          </w:p>
        </w:tc>
      </w:tr>
    </w:tbl>
    <w:p w14:paraId="2EB1BB2F" w14:textId="77777777" w:rsidR="00C4272A" w:rsidRPr="00972687" w:rsidRDefault="00C4272A" w:rsidP="00C4272A">
      <w:r w:rsidRPr="00972687">
        <w:t xml:space="preserve">Source: SC DHEC Vital Statistics. </w:t>
      </w:r>
    </w:p>
    <w:p w14:paraId="7366D2C9" w14:textId="77777777" w:rsidR="00C4272A" w:rsidRPr="00D47C63" w:rsidRDefault="00C4272A" w:rsidP="00C4272A">
      <w:r w:rsidRPr="00972687">
        <w:t>Note: Age-adjusted.</w:t>
      </w:r>
    </w:p>
    <w:p w14:paraId="07AA60DE" w14:textId="77777777" w:rsidR="00C4272A" w:rsidRDefault="00C4272A" w:rsidP="007F56A0"/>
    <w:p w14:paraId="632ADE68" w14:textId="77777777" w:rsidR="007F56A0" w:rsidRDefault="007F56A0" w:rsidP="007F56A0">
      <w:pPr>
        <w:rPr>
          <w:b/>
          <w:bCs/>
        </w:rPr>
      </w:pPr>
      <w:bookmarkStart w:id="795" w:name="_Toc162267539"/>
      <w:r w:rsidRPr="007F56A0">
        <w:rPr>
          <w:rStyle w:val="Heading4Char"/>
        </w:rPr>
        <w:t>Data Interpretations:</w:t>
      </w:r>
      <w:bookmarkEnd w:id="795"/>
      <w:r w:rsidRPr="007F56A0">
        <w:rPr>
          <w:b/>
          <w:bCs/>
        </w:rPr>
        <w:t xml:space="preserve"> </w:t>
      </w:r>
    </w:p>
    <w:p w14:paraId="6EA98EC8" w14:textId="26032EE5" w:rsidR="007F56A0" w:rsidRPr="007F56A0" w:rsidRDefault="007F56A0" w:rsidP="007F56A0">
      <w:r w:rsidRPr="007F56A0">
        <w:t>In SC during 2020, 78.7% of women aged 50-74 years old, reported receiving a mammogram in the past two years. As of 2020, SC had not met the Healthy People 2030 goal of 80.3%. Women with a college degree had a higher prevalence (85.9%) of mammogram screening as compared to women with a GED/high school diploma (74.4%).  A lower prevalence of non-Hispanic White women, 77.8%, reported a mammogram screening compared to non-Hispanic Black women, 82.1%, in 2020 (</w:t>
      </w:r>
      <w:r w:rsidRPr="007F56A0">
        <w:rPr>
          <w:b/>
          <w:bCs/>
        </w:rPr>
        <w:t>Figure 9.33</w:t>
      </w:r>
      <w:r w:rsidRPr="007F56A0">
        <w:t>).</w:t>
      </w:r>
    </w:p>
    <w:p w14:paraId="3F3F7C0C" w14:textId="77777777" w:rsidR="007F56A0" w:rsidRDefault="007F56A0" w:rsidP="007F56A0"/>
    <w:p w14:paraId="79D774DB" w14:textId="564BC107" w:rsidR="007F56A0" w:rsidRPr="007F56A0" w:rsidRDefault="007F56A0" w:rsidP="007F56A0">
      <w:r w:rsidRPr="007F56A0">
        <w:t>Female breast cancer was the leading cause of new cases of cancer in 2019 with 4,545 cases diagnosed (</w:t>
      </w:r>
      <w:r w:rsidRPr="007F56A0">
        <w:rPr>
          <w:b/>
          <w:bCs/>
        </w:rPr>
        <w:t>Table 9.2</w:t>
      </w:r>
      <w:r w:rsidRPr="007F56A0">
        <w:t>). Additionally, the female breast cancer incidence rate in SC (130.9 cases per 100,000 females) was greater than the female breast cancer incidence rate in the US (128.0 cases per 100,000 population). In SC between 2015 and 2019, non-Hispanic White women (132.9 cases per 100,000 females) had a slightly higher incidence rate of breast cancer as compared to their non-Hispanic Black counterparts (129.3 cases per females) (</w:t>
      </w:r>
      <w:r w:rsidRPr="007F56A0">
        <w:rPr>
          <w:b/>
          <w:bCs/>
        </w:rPr>
        <w:t>Figure 9.34</w:t>
      </w:r>
      <w:r w:rsidRPr="007F56A0">
        <w:t>). On the contrary, non-Hispanic Black women were more likely to be diagnosed with late-stage breast cancer as compared to non-Hispanic White women.</w:t>
      </w:r>
    </w:p>
    <w:p w14:paraId="2997075F" w14:textId="77777777" w:rsidR="007F56A0" w:rsidRDefault="007F56A0" w:rsidP="007F56A0"/>
    <w:p w14:paraId="59AAEC78" w14:textId="0186C097" w:rsidR="007F56A0" w:rsidRPr="007F56A0" w:rsidRDefault="007F56A0" w:rsidP="007F56A0">
      <w:r w:rsidRPr="007F56A0">
        <w:t>In 2020, 796 women died from breast cancer in SC. From 2016-2020, the female breast cancer mortality rate in SC (21.5 deaths per 100,000 females) was higher than the mortality rate in the US (19.6 deaths per 100,000 females) (</w:t>
      </w:r>
      <w:r w:rsidRPr="007F56A0">
        <w:rPr>
          <w:b/>
          <w:bCs/>
        </w:rPr>
        <w:t>Figure 9.35</w:t>
      </w:r>
      <w:r w:rsidRPr="007F56A0">
        <w:t>). As of 2020, SC had not reached the Healthy People 2030 female breast cancer mortality rate goal of 15.3 deaths per 100,000 females. From 2016 to 2020, non-Hispanic Black women died at a higher rate from breast cancer (27.6 deaths per 100,000 females) as compared to non-Hispanic White women (19.8 deaths per 100,000 females) (</w:t>
      </w:r>
      <w:r w:rsidRPr="007F56A0">
        <w:rPr>
          <w:b/>
          <w:bCs/>
        </w:rPr>
        <w:t>Figure 9.35</w:t>
      </w:r>
      <w:r w:rsidRPr="007F56A0">
        <w:t xml:space="preserve">). </w:t>
      </w:r>
    </w:p>
    <w:p w14:paraId="5AE0A60B" w14:textId="77777777" w:rsidR="007F56A0" w:rsidRDefault="007F56A0" w:rsidP="007F56A0"/>
    <w:p w14:paraId="269A0CA3" w14:textId="5152C3C6" w:rsidR="007F56A0" w:rsidRPr="00C4272A" w:rsidRDefault="00C4272A" w:rsidP="00C4272A">
      <w:pPr>
        <w:pStyle w:val="Heading5"/>
      </w:pPr>
      <w:r w:rsidRPr="00C4272A">
        <w:lastRenderedPageBreak/>
        <w:t>Key Takeaways:</w:t>
      </w:r>
    </w:p>
    <w:p w14:paraId="6DA8B776" w14:textId="77777777" w:rsidR="00C4272A" w:rsidRPr="00C4272A" w:rsidRDefault="00C4272A" w:rsidP="00926EB3">
      <w:pPr>
        <w:pStyle w:val="ListParagraph"/>
        <w:numPr>
          <w:ilvl w:val="0"/>
          <w:numId w:val="228"/>
        </w:numPr>
      </w:pPr>
      <w:r w:rsidRPr="00C4272A">
        <w:t>Data shows that Black women get screened for breast cancer at a higher rate than White women, yet Black women die at higher rates than White women (40% higher).</w:t>
      </w:r>
    </w:p>
    <w:p w14:paraId="3B2CF927" w14:textId="77777777" w:rsidR="00C4272A" w:rsidRDefault="00C4272A" w:rsidP="00C4272A"/>
    <w:p w14:paraId="7D0FB517" w14:textId="6494E168" w:rsidR="007F56A0" w:rsidRPr="005561F7" w:rsidRDefault="007F56A0" w:rsidP="007F56A0">
      <w:pPr>
        <w:pStyle w:val="Heading4"/>
        <w:rPr>
          <w:rFonts w:asciiTheme="minorHAnsi" w:hAnsiTheme="minorHAnsi" w:cstheme="minorHAnsi"/>
          <w:color w:val="000000" w:themeColor="text1"/>
        </w:rPr>
      </w:pPr>
      <w:bookmarkStart w:id="796" w:name="_Toc162267540"/>
      <w:r w:rsidRPr="005561F7">
        <w:rPr>
          <w:rFonts w:asciiTheme="minorHAnsi" w:hAnsiTheme="minorHAnsi" w:cstheme="minorHAnsi"/>
          <w:color w:val="000000" w:themeColor="text1"/>
        </w:rPr>
        <w:t>References 9.</w:t>
      </w:r>
      <w:r>
        <w:rPr>
          <w:rFonts w:asciiTheme="minorHAnsi" w:hAnsiTheme="minorHAnsi" w:cstheme="minorHAnsi"/>
          <w:color w:val="000000" w:themeColor="text1"/>
        </w:rPr>
        <w:t>16</w:t>
      </w:r>
      <w:bookmarkEnd w:id="796"/>
    </w:p>
    <w:p w14:paraId="5EA338CD" w14:textId="77777777" w:rsidR="007F56A0" w:rsidRDefault="007F56A0" w:rsidP="007F56A0">
      <w:r w:rsidRPr="005561F7">
        <w:t>Statistics in the preceding section were referenced from the following reports:</w:t>
      </w:r>
    </w:p>
    <w:p w14:paraId="221A4459" w14:textId="5943DAFA" w:rsidR="00357E27" w:rsidRDefault="00357E27" w:rsidP="0060334A">
      <w:pPr>
        <w:ind w:left="720" w:hanging="360"/>
      </w:pPr>
      <w:r>
        <w:t>75.</w:t>
      </w:r>
      <w:hyperlink r:id="rId363" w:history="1">
        <w:r w:rsidRPr="00C152A8">
          <w:rPr>
            <w:rStyle w:val="Hyperlink"/>
          </w:rPr>
          <w:t>US Mortality: Surveillance, Epidemiology, and End Results (SEER) Program SEER*Stat Database: Mortality - All COD, Aggregated With State, Total U.S. (1969-2020) &lt;Katrina/Rita Population Adjustment&gt;, National Cancer Institute, DCCPS, Surveillance Research</w:t>
        </w:r>
        <w:r>
          <w:rPr>
            <w:rStyle w:val="Hyperlink"/>
          </w:rPr>
          <w:t>.</w:t>
        </w:r>
      </w:hyperlink>
    </w:p>
    <w:p w14:paraId="64BCC2C0" w14:textId="77777777" w:rsidR="00357E27" w:rsidRDefault="00357E27" w:rsidP="0060334A">
      <w:pPr>
        <w:ind w:left="720" w:hanging="360"/>
      </w:pPr>
      <w:r>
        <w:t>77.</w:t>
      </w:r>
      <w:r w:rsidR="00C152A8" w:rsidRPr="00C152A8">
        <w:t>South Carolina Revenue and Fiscal Affairs Office, Hospital Discharge Patient-Level Dataset</w:t>
      </w:r>
      <w:r w:rsidRPr="00C152A8">
        <w:t>. No hyperlink.</w:t>
      </w:r>
    </w:p>
    <w:p w14:paraId="38883756" w14:textId="77777777" w:rsidR="00C152A8" w:rsidRPr="00C152A8" w:rsidRDefault="00357E27" w:rsidP="0060334A">
      <w:pPr>
        <w:ind w:left="720" w:hanging="360"/>
      </w:pPr>
      <w:r>
        <w:t>80.</w:t>
      </w:r>
      <w:r w:rsidRPr="00C152A8">
        <w:t>“</w:t>
      </w:r>
      <w:r w:rsidR="00C152A8" w:rsidRPr="00C152A8">
        <w:t>SC Incidence: 1996-2020ytd SC Cancer Incidence Data.</w:t>
      </w:r>
      <w:r w:rsidRPr="00C152A8">
        <w:t>”</w:t>
      </w:r>
      <w:r w:rsidR="00C152A8" w:rsidRPr="00C152A8">
        <w:t xml:space="preserve"> Based file run date 11/23/21. SC Central Cancer Registry, Bureau of Chronic Disease &amp; Injury Prevention, SC </w:t>
      </w:r>
      <w:r w:rsidRPr="00C152A8">
        <w:t>DHEC</w:t>
      </w:r>
      <w:r w:rsidR="00C152A8" w:rsidRPr="00C152A8">
        <w:t xml:space="preserve">. </w:t>
      </w:r>
      <w:r w:rsidRPr="00C152A8">
        <w:t>2022. No hyperlink.</w:t>
      </w:r>
    </w:p>
    <w:p w14:paraId="5CBFB42F" w14:textId="77777777" w:rsidR="00357E27" w:rsidRDefault="00357E27" w:rsidP="0060334A">
      <w:pPr>
        <w:ind w:left="720" w:hanging="360"/>
      </w:pPr>
      <w:r>
        <w:t>81.</w:t>
      </w:r>
      <w:r w:rsidRPr="00C152A8">
        <w:t>“</w:t>
      </w:r>
      <w:r w:rsidR="00C152A8" w:rsidRPr="00C152A8">
        <w:t>SC Mortality: 1996-2020 SC Cancer Mortality Data.</w:t>
      </w:r>
      <w:r w:rsidRPr="00C152A8">
        <w:t>”</w:t>
      </w:r>
      <w:r w:rsidR="00C152A8" w:rsidRPr="00C152A8">
        <w:t xml:space="preserve"> Based on SC Vital Records Death Data file run date 8/5/2021. SC Central Cancer Registry, SC DHEC. </w:t>
      </w:r>
      <w:r w:rsidRPr="00C152A8">
        <w:t>2022. No hyperlink.</w:t>
      </w:r>
    </w:p>
    <w:p w14:paraId="778AF177" w14:textId="58D1D9BA" w:rsidR="00357E27" w:rsidRPr="00357E27" w:rsidRDefault="00000000" w:rsidP="00926EB3">
      <w:pPr>
        <w:pStyle w:val="ListParagraph"/>
        <w:numPr>
          <w:ilvl w:val="0"/>
          <w:numId w:val="192"/>
        </w:numPr>
        <w:rPr>
          <w:u w:val="thick"/>
        </w:rPr>
      </w:pPr>
      <w:hyperlink r:id="rId364" w:history="1">
        <w:r w:rsidR="00357E27" w:rsidRPr="00357E27">
          <w:rPr>
            <w:rStyle w:val="Hyperlink"/>
          </w:rPr>
          <w:t>“Breast cancer statistics: How common is breast cancer?” by the American Cancer Society via cancer.org. Retrieved December 14, 2022.</w:t>
        </w:r>
      </w:hyperlink>
      <w:r w:rsidR="00357E27" w:rsidRPr="00357E27">
        <w:t xml:space="preserve"> </w:t>
      </w:r>
    </w:p>
    <w:p w14:paraId="285E4BA8" w14:textId="01FACE1D" w:rsidR="00357E27" w:rsidRPr="00357E27" w:rsidRDefault="00000000" w:rsidP="00926EB3">
      <w:pPr>
        <w:pStyle w:val="ListParagraph"/>
        <w:numPr>
          <w:ilvl w:val="0"/>
          <w:numId w:val="192"/>
        </w:numPr>
      </w:pPr>
      <w:hyperlink r:id="rId365" w:history="1">
        <w:r w:rsidR="00357E27" w:rsidRPr="00357E27">
          <w:rPr>
            <w:rStyle w:val="Hyperlink"/>
          </w:rPr>
          <w:t>“Breast cancer statistics” by the American Society of Clinical Oncology via Cancer.Net, 2022. Retrieved December 14, 2022.</w:t>
        </w:r>
      </w:hyperlink>
      <w:r w:rsidR="00357E27" w:rsidRPr="00357E27">
        <w:t xml:space="preserve"> </w:t>
      </w:r>
    </w:p>
    <w:p w14:paraId="192A7088" w14:textId="77777777" w:rsidR="00C4272A" w:rsidRDefault="00C4272A" w:rsidP="007F56A0"/>
    <w:p w14:paraId="1F7BE27D" w14:textId="77777777" w:rsidR="00C4272A" w:rsidRPr="00C4272A" w:rsidRDefault="00C4272A" w:rsidP="00C4272A">
      <w:pPr>
        <w:pStyle w:val="Heading3"/>
      </w:pPr>
      <w:bookmarkStart w:id="797" w:name="_Toc162267541"/>
      <w:r w:rsidRPr="00C4272A">
        <w:t>Cervical Cancer</w:t>
      </w:r>
      <w:bookmarkEnd w:id="797"/>
    </w:p>
    <w:p w14:paraId="08C28FA2" w14:textId="6129B84D" w:rsidR="00C4272A" w:rsidRPr="00C4272A" w:rsidRDefault="00C4272A" w:rsidP="00C4272A">
      <w:pPr>
        <w:rPr>
          <w:b/>
          <w:bCs/>
        </w:rPr>
      </w:pPr>
      <w:r w:rsidRPr="00C4272A">
        <w:t>Approximately 93% of cervical cancer cases could be prevented by screening for the disease and receiving a human papillomavirus (HPV) vaccination. Over the previous few years, HPV vaccination coverage among adolescents in SC has increased substantially, and as of 2021, SC’s HPV vaccination coverage is better than the national average. SC ranks 19th in the nation for cervical cancer incidence and 16th in the nation for cervical cancer mortality rate. Black women are diagnosed with cervical cancer at a 10% higher rate and die at a 62% higher rate than their white counterparts</w:t>
      </w:r>
      <w:r>
        <w:t>.</w:t>
      </w:r>
      <w:r w:rsidRPr="00C4272A">
        <w:t xml:space="preserve"> In 2021, the average inpatient charges for cervical cancer was $56,861, which added up to a minimum total economic impact of $8,215,484 for the state of SC.</w:t>
      </w:r>
    </w:p>
    <w:p w14:paraId="0A8551BA" w14:textId="77777777" w:rsidR="00C4272A" w:rsidRDefault="00C4272A" w:rsidP="007F56A0"/>
    <w:p w14:paraId="5ED2EF0F" w14:textId="77777777" w:rsidR="00C4272A" w:rsidRDefault="00C4272A" w:rsidP="00C4272A">
      <w:pPr>
        <w:pStyle w:val="Heading4"/>
      </w:pPr>
      <w:bookmarkStart w:id="798" w:name="_Toc154576518"/>
      <w:bookmarkStart w:id="799" w:name="_Toc162267542"/>
      <w:r>
        <w:lastRenderedPageBreak/>
        <w:t>Figure 9.36: Pap Test within the Past Two Years, by Race/Ethnicity.</w:t>
      </w:r>
      <w:bookmarkEnd w:id="798"/>
      <w:bookmarkEnd w:id="799"/>
    </w:p>
    <w:tbl>
      <w:tblPr>
        <w:tblStyle w:val="TableGrid"/>
        <w:tblW w:w="0" w:type="auto"/>
        <w:tblLook w:val="04A0" w:firstRow="1" w:lastRow="0" w:firstColumn="1" w:lastColumn="0" w:noHBand="0" w:noVBand="1"/>
      </w:tblPr>
      <w:tblGrid>
        <w:gridCol w:w="4675"/>
        <w:gridCol w:w="4675"/>
      </w:tblGrid>
      <w:tr w:rsidR="00C4272A" w14:paraId="57575457" w14:textId="77777777" w:rsidTr="001B41BD">
        <w:tc>
          <w:tcPr>
            <w:tcW w:w="4675" w:type="dxa"/>
          </w:tcPr>
          <w:p w14:paraId="5D29FBCC" w14:textId="77777777" w:rsidR="00C4272A" w:rsidRDefault="00C4272A" w:rsidP="001B41BD">
            <w:r>
              <w:t>Race/Ethnicity</w:t>
            </w:r>
          </w:p>
        </w:tc>
        <w:tc>
          <w:tcPr>
            <w:tcW w:w="4675" w:type="dxa"/>
          </w:tcPr>
          <w:p w14:paraId="2EADA9C9" w14:textId="77777777" w:rsidR="00C4272A" w:rsidRDefault="00C4272A" w:rsidP="001B41BD">
            <w:r>
              <w:t>Percent</w:t>
            </w:r>
          </w:p>
        </w:tc>
      </w:tr>
      <w:tr w:rsidR="00C4272A" w14:paraId="55AE2725" w14:textId="77777777" w:rsidTr="001B41BD">
        <w:tc>
          <w:tcPr>
            <w:tcW w:w="4675" w:type="dxa"/>
          </w:tcPr>
          <w:p w14:paraId="4C4B8305" w14:textId="77777777" w:rsidR="00C4272A" w:rsidRDefault="00C4272A" w:rsidP="001B41BD">
            <w:r>
              <w:t>Non-Hispanic White Female</w:t>
            </w:r>
          </w:p>
        </w:tc>
        <w:tc>
          <w:tcPr>
            <w:tcW w:w="4675" w:type="dxa"/>
          </w:tcPr>
          <w:p w14:paraId="07EE227F" w14:textId="77777777" w:rsidR="00C4272A" w:rsidRDefault="00C4272A" w:rsidP="001B41BD">
            <w:r>
              <w:t>75.8%</w:t>
            </w:r>
          </w:p>
        </w:tc>
      </w:tr>
      <w:tr w:rsidR="00C4272A" w14:paraId="339E9F1D" w14:textId="77777777" w:rsidTr="001B41BD">
        <w:tc>
          <w:tcPr>
            <w:tcW w:w="4675" w:type="dxa"/>
          </w:tcPr>
          <w:p w14:paraId="15209B73" w14:textId="77777777" w:rsidR="00C4272A" w:rsidRDefault="00C4272A" w:rsidP="001B41BD">
            <w:r>
              <w:t>Non-Hispanic Black Female</w:t>
            </w:r>
          </w:p>
        </w:tc>
        <w:tc>
          <w:tcPr>
            <w:tcW w:w="4675" w:type="dxa"/>
          </w:tcPr>
          <w:p w14:paraId="1EF83890" w14:textId="77777777" w:rsidR="00C4272A" w:rsidRDefault="00C4272A" w:rsidP="001B41BD">
            <w:r>
              <w:t>89.3%</w:t>
            </w:r>
          </w:p>
        </w:tc>
      </w:tr>
      <w:tr w:rsidR="00C4272A" w14:paraId="52EB58B8" w14:textId="77777777" w:rsidTr="001B41BD">
        <w:tc>
          <w:tcPr>
            <w:tcW w:w="4675" w:type="dxa"/>
          </w:tcPr>
          <w:p w14:paraId="674AFB37" w14:textId="77777777" w:rsidR="00C4272A" w:rsidRDefault="00C4272A" w:rsidP="001B41BD">
            <w:r>
              <w:t>Healthy People 2030 Goal</w:t>
            </w:r>
          </w:p>
        </w:tc>
        <w:tc>
          <w:tcPr>
            <w:tcW w:w="4675" w:type="dxa"/>
          </w:tcPr>
          <w:p w14:paraId="42946B76" w14:textId="77777777" w:rsidR="00C4272A" w:rsidRDefault="00C4272A" w:rsidP="001B41BD">
            <w:r>
              <w:t>79.2%</w:t>
            </w:r>
          </w:p>
        </w:tc>
      </w:tr>
    </w:tbl>
    <w:p w14:paraId="29B7764B" w14:textId="77777777" w:rsidR="00C4272A" w:rsidRPr="00972687" w:rsidRDefault="00C4272A" w:rsidP="00C4272A">
      <w:r w:rsidRPr="00972687">
        <w:t xml:space="preserve">Source: SC BRFSS, 2020. </w:t>
      </w:r>
    </w:p>
    <w:p w14:paraId="7E41E0DA" w14:textId="77777777" w:rsidR="00C4272A" w:rsidRDefault="00C4272A" w:rsidP="00C4272A">
      <w:r w:rsidRPr="00972687">
        <w:t xml:space="preserve">Notes: </w:t>
      </w:r>
      <w:r>
        <w:t>Females ages</w:t>
      </w:r>
      <w:r w:rsidRPr="00972687">
        <w:t xml:space="preserve"> </w:t>
      </w:r>
      <w:r>
        <w:t xml:space="preserve">21-65, </w:t>
      </w:r>
      <w:proofErr w:type="gramStart"/>
      <w:r>
        <w:t>age-adjusted</w:t>
      </w:r>
      <w:proofErr w:type="gramEnd"/>
      <w:r>
        <w:t>.</w:t>
      </w:r>
    </w:p>
    <w:p w14:paraId="5EF3702B" w14:textId="77777777" w:rsidR="0060334A" w:rsidRDefault="0060334A" w:rsidP="00C4272A"/>
    <w:p w14:paraId="405C0195" w14:textId="77777777" w:rsidR="00C4272A" w:rsidRDefault="00C4272A" w:rsidP="00C4272A">
      <w:pPr>
        <w:pStyle w:val="Heading4"/>
      </w:pPr>
      <w:bookmarkStart w:id="800" w:name="_Toc154576519"/>
      <w:bookmarkStart w:id="801" w:name="_Toc162267543"/>
      <w:r>
        <w:t>Figure 9.37: Cervical Cancer Incidence, by Race/Ethnicity.</w:t>
      </w:r>
      <w:bookmarkEnd w:id="800"/>
      <w:bookmarkEnd w:id="801"/>
    </w:p>
    <w:p w14:paraId="24B58AAC" w14:textId="77777777" w:rsidR="00C4272A" w:rsidRDefault="00C4272A" w:rsidP="00C4272A">
      <w:pPr>
        <w:pStyle w:val="Heading5"/>
      </w:pPr>
      <w:r>
        <w:t>Rate per 100,000 females.</w:t>
      </w:r>
    </w:p>
    <w:tbl>
      <w:tblPr>
        <w:tblStyle w:val="TableGrid"/>
        <w:tblW w:w="0" w:type="auto"/>
        <w:tblLook w:val="04A0" w:firstRow="1" w:lastRow="0" w:firstColumn="1" w:lastColumn="0" w:noHBand="0" w:noVBand="1"/>
      </w:tblPr>
      <w:tblGrid>
        <w:gridCol w:w="3116"/>
        <w:gridCol w:w="3117"/>
        <w:gridCol w:w="3117"/>
      </w:tblGrid>
      <w:tr w:rsidR="00C4272A" w14:paraId="23F12DB1" w14:textId="77777777" w:rsidTr="001B41BD">
        <w:tc>
          <w:tcPr>
            <w:tcW w:w="3116" w:type="dxa"/>
            <w:vAlign w:val="bottom"/>
          </w:tcPr>
          <w:p w14:paraId="63959E48" w14:textId="77777777" w:rsidR="00C4272A" w:rsidRPr="00972687" w:rsidRDefault="00C4272A" w:rsidP="001B41BD">
            <w:r>
              <w:t>Years</w:t>
            </w:r>
          </w:p>
        </w:tc>
        <w:tc>
          <w:tcPr>
            <w:tcW w:w="3117" w:type="dxa"/>
            <w:vAlign w:val="bottom"/>
          </w:tcPr>
          <w:p w14:paraId="7DE61A07" w14:textId="77777777" w:rsidR="00C4272A" w:rsidRPr="00972687" w:rsidRDefault="00C4272A" w:rsidP="001B41BD">
            <w:r w:rsidRPr="00972687">
              <w:t>Non-Hispanic White</w:t>
            </w:r>
            <w:r>
              <w:t xml:space="preserve"> Female</w:t>
            </w:r>
          </w:p>
        </w:tc>
        <w:tc>
          <w:tcPr>
            <w:tcW w:w="3117" w:type="dxa"/>
            <w:vAlign w:val="bottom"/>
          </w:tcPr>
          <w:p w14:paraId="7F8171A1" w14:textId="77777777" w:rsidR="00C4272A" w:rsidRPr="00972687" w:rsidRDefault="00C4272A" w:rsidP="001B41BD">
            <w:r w:rsidRPr="00972687">
              <w:t>Non-Hispanic Black</w:t>
            </w:r>
            <w:r>
              <w:t xml:space="preserve"> Female</w:t>
            </w:r>
          </w:p>
        </w:tc>
      </w:tr>
      <w:tr w:rsidR="00C4272A" w14:paraId="2B892368" w14:textId="77777777" w:rsidTr="001B41BD">
        <w:tc>
          <w:tcPr>
            <w:tcW w:w="3116" w:type="dxa"/>
            <w:vAlign w:val="bottom"/>
          </w:tcPr>
          <w:p w14:paraId="7672B10B" w14:textId="77777777" w:rsidR="00C4272A" w:rsidRPr="00972687" w:rsidRDefault="00C4272A" w:rsidP="001B41BD">
            <w:r w:rsidRPr="00972687">
              <w:t>2011-2015</w:t>
            </w:r>
          </w:p>
        </w:tc>
        <w:tc>
          <w:tcPr>
            <w:tcW w:w="3117" w:type="dxa"/>
            <w:vAlign w:val="bottom"/>
          </w:tcPr>
          <w:p w14:paraId="28FEF9B8" w14:textId="77777777" w:rsidR="00C4272A" w:rsidRPr="00972687" w:rsidRDefault="00C4272A" w:rsidP="001B41BD">
            <w:r>
              <w:t>7.3</w:t>
            </w:r>
          </w:p>
        </w:tc>
        <w:tc>
          <w:tcPr>
            <w:tcW w:w="3117" w:type="dxa"/>
            <w:vAlign w:val="bottom"/>
          </w:tcPr>
          <w:p w14:paraId="58BED1F2" w14:textId="77777777" w:rsidR="00C4272A" w:rsidRPr="00972687" w:rsidRDefault="00C4272A" w:rsidP="001B41BD">
            <w:r>
              <w:t>9.1</w:t>
            </w:r>
          </w:p>
        </w:tc>
      </w:tr>
      <w:tr w:rsidR="00C4272A" w14:paraId="23DE85AA" w14:textId="77777777" w:rsidTr="001B41BD">
        <w:tc>
          <w:tcPr>
            <w:tcW w:w="3116" w:type="dxa"/>
            <w:vAlign w:val="bottom"/>
          </w:tcPr>
          <w:p w14:paraId="4720153D" w14:textId="77777777" w:rsidR="00C4272A" w:rsidRPr="00972687" w:rsidRDefault="00C4272A" w:rsidP="001B41BD">
            <w:r w:rsidRPr="00972687">
              <w:t>2012-2016</w:t>
            </w:r>
          </w:p>
        </w:tc>
        <w:tc>
          <w:tcPr>
            <w:tcW w:w="3117" w:type="dxa"/>
            <w:vAlign w:val="bottom"/>
          </w:tcPr>
          <w:p w14:paraId="34DB9170" w14:textId="77777777" w:rsidR="00C4272A" w:rsidRPr="00972687" w:rsidRDefault="00C4272A" w:rsidP="001B41BD">
            <w:r>
              <w:t>7.4</w:t>
            </w:r>
          </w:p>
        </w:tc>
        <w:tc>
          <w:tcPr>
            <w:tcW w:w="3117" w:type="dxa"/>
            <w:vAlign w:val="bottom"/>
          </w:tcPr>
          <w:p w14:paraId="66674C14" w14:textId="77777777" w:rsidR="00C4272A" w:rsidRPr="00972687" w:rsidRDefault="00C4272A" w:rsidP="001B41BD">
            <w:r>
              <w:t>9.2</w:t>
            </w:r>
          </w:p>
        </w:tc>
      </w:tr>
      <w:tr w:rsidR="00C4272A" w14:paraId="5BC9B34A" w14:textId="77777777" w:rsidTr="001B41BD">
        <w:tc>
          <w:tcPr>
            <w:tcW w:w="3116" w:type="dxa"/>
            <w:vAlign w:val="bottom"/>
          </w:tcPr>
          <w:p w14:paraId="2ABAA1E7" w14:textId="77777777" w:rsidR="00C4272A" w:rsidRPr="00972687" w:rsidRDefault="00C4272A" w:rsidP="001B41BD">
            <w:r w:rsidRPr="00972687">
              <w:t>2013-2017</w:t>
            </w:r>
          </w:p>
        </w:tc>
        <w:tc>
          <w:tcPr>
            <w:tcW w:w="3117" w:type="dxa"/>
            <w:vAlign w:val="bottom"/>
          </w:tcPr>
          <w:p w14:paraId="54E1D7E9" w14:textId="77777777" w:rsidR="00C4272A" w:rsidRPr="00972687" w:rsidRDefault="00C4272A" w:rsidP="001B41BD">
            <w:r>
              <w:t>7.4</w:t>
            </w:r>
          </w:p>
        </w:tc>
        <w:tc>
          <w:tcPr>
            <w:tcW w:w="3117" w:type="dxa"/>
            <w:vAlign w:val="bottom"/>
          </w:tcPr>
          <w:p w14:paraId="7724D9F0" w14:textId="77777777" w:rsidR="00C4272A" w:rsidRPr="00972687" w:rsidRDefault="00C4272A" w:rsidP="001B41BD">
            <w:r>
              <w:t>9.2</w:t>
            </w:r>
          </w:p>
        </w:tc>
      </w:tr>
      <w:tr w:rsidR="00C4272A" w14:paraId="335693BA" w14:textId="77777777" w:rsidTr="001B41BD">
        <w:tc>
          <w:tcPr>
            <w:tcW w:w="3116" w:type="dxa"/>
            <w:vAlign w:val="bottom"/>
          </w:tcPr>
          <w:p w14:paraId="63EFF552" w14:textId="77777777" w:rsidR="00C4272A" w:rsidRPr="00972687" w:rsidRDefault="00C4272A" w:rsidP="001B41BD">
            <w:r w:rsidRPr="00972687">
              <w:t>2014-2018</w:t>
            </w:r>
          </w:p>
        </w:tc>
        <w:tc>
          <w:tcPr>
            <w:tcW w:w="3117" w:type="dxa"/>
            <w:vAlign w:val="bottom"/>
          </w:tcPr>
          <w:p w14:paraId="07A34A05" w14:textId="77777777" w:rsidR="00C4272A" w:rsidRPr="00972687" w:rsidRDefault="00C4272A" w:rsidP="001B41BD">
            <w:r>
              <w:t>7.5</w:t>
            </w:r>
          </w:p>
        </w:tc>
        <w:tc>
          <w:tcPr>
            <w:tcW w:w="3117" w:type="dxa"/>
            <w:vAlign w:val="bottom"/>
          </w:tcPr>
          <w:p w14:paraId="1E5B65A1" w14:textId="77777777" w:rsidR="00C4272A" w:rsidRPr="00972687" w:rsidRDefault="00C4272A" w:rsidP="001B41BD">
            <w:r>
              <w:t>9.0</w:t>
            </w:r>
          </w:p>
        </w:tc>
      </w:tr>
      <w:tr w:rsidR="00C4272A" w14:paraId="359BF90B" w14:textId="77777777" w:rsidTr="001B41BD">
        <w:tc>
          <w:tcPr>
            <w:tcW w:w="3116" w:type="dxa"/>
            <w:vAlign w:val="bottom"/>
          </w:tcPr>
          <w:p w14:paraId="1B6E0FED" w14:textId="77777777" w:rsidR="00C4272A" w:rsidRPr="00972687" w:rsidRDefault="00C4272A" w:rsidP="001B41BD">
            <w:r w:rsidRPr="00972687">
              <w:t>2015-2019</w:t>
            </w:r>
          </w:p>
        </w:tc>
        <w:tc>
          <w:tcPr>
            <w:tcW w:w="3117" w:type="dxa"/>
            <w:vAlign w:val="bottom"/>
          </w:tcPr>
          <w:p w14:paraId="6865CA44" w14:textId="77777777" w:rsidR="00C4272A" w:rsidRPr="00972687" w:rsidRDefault="00C4272A" w:rsidP="001B41BD">
            <w:r>
              <w:t>7.5</w:t>
            </w:r>
          </w:p>
        </w:tc>
        <w:tc>
          <w:tcPr>
            <w:tcW w:w="3117" w:type="dxa"/>
            <w:vAlign w:val="bottom"/>
          </w:tcPr>
          <w:p w14:paraId="240D845F" w14:textId="77777777" w:rsidR="00C4272A" w:rsidRPr="00972687" w:rsidRDefault="00C4272A" w:rsidP="001B41BD">
            <w:r>
              <w:t>8.6</w:t>
            </w:r>
          </w:p>
        </w:tc>
      </w:tr>
    </w:tbl>
    <w:p w14:paraId="3BADEE3E" w14:textId="77777777" w:rsidR="00C4272A" w:rsidRPr="00972687" w:rsidRDefault="00C4272A" w:rsidP="00C4272A">
      <w:r w:rsidRPr="00972687">
        <w:t xml:space="preserve">Source: SC DHEC CCR. </w:t>
      </w:r>
    </w:p>
    <w:p w14:paraId="1A9992CC" w14:textId="77777777" w:rsidR="00C4272A" w:rsidRDefault="00C4272A" w:rsidP="00C4272A">
      <w:r w:rsidRPr="00972687">
        <w:t>Note: Age-adjusted.</w:t>
      </w:r>
    </w:p>
    <w:p w14:paraId="2EB54DD2" w14:textId="77777777" w:rsidR="00C4272A" w:rsidRDefault="00C4272A" w:rsidP="00C4272A">
      <w:pPr>
        <w:pStyle w:val="Heading4"/>
      </w:pPr>
      <w:bookmarkStart w:id="802" w:name="_Toc154576520"/>
    </w:p>
    <w:p w14:paraId="10A16086" w14:textId="601C09EA" w:rsidR="00C4272A" w:rsidRDefault="00C4272A" w:rsidP="00C4272A">
      <w:pPr>
        <w:pStyle w:val="Heading4"/>
      </w:pPr>
      <w:bookmarkStart w:id="803" w:name="_Toc162267544"/>
      <w:r>
        <w:t>Figure 9.38: Cervical Cancer Deaths, by Race/Ethnicity.</w:t>
      </w:r>
      <w:bookmarkEnd w:id="802"/>
      <w:bookmarkEnd w:id="803"/>
    </w:p>
    <w:p w14:paraId="1A00A1F0" w14:textId="77777777" w:rsidR="00C4272A" w:rsidRDefault="00C4272A" w:rsidP="00C4272A">
      <w:pPr>
        <w:pStyle w:val="Heading5"/>
      </w:pPr>
      <w:r>
        <w:t>Rate per 100,000 females.</w:t>
      </w:r>
    </w:p>
    <w:tbl>
      <w:tblPr>
        <w:tblStyle w:val="TableGrid"/>
        <w:tblW w:w="0" w:type="auto"/>
        <w:tblLook w:val="04A0" w:firstRow="1" w:lastRow="0" w:firstColumn="1" w:lastColumn="0" w:noHBand="0" w:noVBand="1"/>
      </w:tblPr>
      <w:tblGrid>
        <w:gridCol w:w="3116"/>
        <w:gridCol w:w="3117"/>
        <w:gridCol w:w="3117"/>
      </w:tblGrid>
      <w:tr w:rsidR="00C4272A" w14:paraId="515FDBBA" w14:textId="77777777" w:rsidTr="001B41BD">
        <w:tc>
          <w:tcPr>
            <w:tcW w:w="3116" w:type="dxa"/>
            <w:vAlign w:val="bottom"/>
          </w:tcPr>
          <w:p w14:paraId="255142F0" w14:textId="77777777" w:rsidR="00C4272A" w:rsidRPr="00972687" w:rsidRDefault="00C4272A" w:rsidP="001B41BD">
            <w:r>
              <w:t>Years</w:t>
            </w:r>
          </w:p>
        </w:tc>
        <w:tc>
          <w:tcPr>
            <w:tcW w:w="3117" w:type="dxa"/>
            <w:vAlign w:val="bottom"/>
          </w:tcPr>
          <w:p w14:paraId="3981C75B" w14:textId="77777777" w:rsidR="00C4272A" w:rsidRPr="00972687" w:rsidRDefault="00C4272A" w:rsidP="001B41BD">
            <w:r w:rsidRPr="00972687">
              <w:t>Non-Hispanic White</w:t>
            </w:r>
            <w:r>
              <w:t xml:space="preserve"> Female</w:t>
            </w:r>
          </w:p>
        </w:tc>
        <w:tc>
          <w:tcPr>
            <w:tcW w:w="3117" w:type="dxa"/>
            <w:vAlign w:val="bottom"/>
          </w:tcPr>
          <w:p w14:paraId="42C9C38D" w14:textId="77777777" w:rsidR="00C4272A" w:rsidRPr="00972687" w:rsidRDefault="00C4272A" w:rsidP="001B41BD">
            <w:r w:rsidRPr="00972687">
              <w:t>Non-Hispanic Black</w:t>
            </w:r>
            <w:r>
              <w:t xml:space="preserve"> Female</w:t>
            </w:r>
          </w:p>
        </w:tc>
      </w:tr>
      <w:tr w:rsidR="00C4272A" w14:paraId="3E1FC45C" w14:textId="77777777" w:rsidTr="001B41BD">
        <w:tc>
          <w:tcPr>
            <w:tcW w:w="3116" w:type="dxa"/>
            <w:vAlign w:val="bottom"/>
          </w:tcPr>
          <w:p w14:paraId="657D50CD" w14:textId="77777777" w:rsidR="00C4272A" w:rsidRPr="00972687" w:rsidRDefault="00C4272A" w:rsidP="001B41BD">
            <w:r w:rsidRPr="00972687">
              <w:t>2011-2015</w:t>
            </w:r>
          </w:p>
        </w:tc>
        <w:tc>
          <w:tcPr>
            <w:tcW w:w="3117" w:type="dxa"/>
            <w:vAlign w:val="bottom"/>
          </w:tcPr>
          <w:p w14:paraId="1391A756" w14:textId="77777777" w:rsidR="00C4272A" w:rsidRPr="00404C67" w:rsidRDefault="00C4272A" w:rsidP="001B41BD">
            <w:r w:rsidRPr="00404C67">
              <w:t>2.1</w:t>
            </w:r>
          </w:p>
        </w:tc>
        <w:tc>
          <w:tcPr>
            <w:tcW w:w="3117" w:type="dxa"/>
            <w:vAlign w:val="bottom"/>
          </w:tcPr>
          <w:p w14:paraId="55CD4012" w14:textId="77777777" w:rsidR="00C4272A" w:rsidRPr="00404C67" w:rsidRDefault="00C4272A" w:rsidP="001B41BD">
            <w:r w:rsidRPr="00404C67">
              <w:t>3.8</w:t>
            </w:r>
          </w:p>
        </w:tc>
      </w:tr>
      <w:tr w:rsidR="00C4272A" w14:paraId="32EB2C68" w14:textId="77777777" w:rsidTr="001B41BD">
        <w:tc>
          <w:tcPr>
            <w:tcW w:w="3116" w:type="dxa"/>
            <w:vAlign w:val="bottom"/>
          </w:tcPr>
          <w:p w14:paraId="63BCE4BF" w14:textId="77777777" w:rsidR="00C4272A" w:rsidRPr="00972687" w:rsidRDefault="00C4272A" w:rsidP="001B41BD">
            <w:r w:rsidRPr="00972687">
              <w:t>2012-2016</w:t>
            </w:r>
          </w:p>
        </w:tc>
        <w:tc>
          <w:tcPr>
            <w:tcW w:w="3117" w:type="dxa"/>
            <w:vAlign w:val="bottom"/>
          </w:tcPr>
          <w:p w14:paraId="60A05FBB" w14:textId="77777777" w:rsidR="00C4272A" w:rsidRPr="00404C67" w:rsidRDefault="00C4272A" w:rsidP="001B41BD">
            <w:r w:rsidRPr="00404C67">
              <w:t>2.2</w:t>
            </w:r>
          </w:p>
        </w:tc>
        <w:tc>
          <w:tcPr>
            <w:tcW w:w="3117" w:type="dxa"/>
            <w:vAlign w:val="bottom"/>
          </w:tcPr>
          <w:p w14:paraId="03857BCD" w14:textId="77777777" w:rsidR="00C4272A" w:rsidRPr="00404C67" w:rsidRDefault="00C4272A" w:rsidP="001B41BD">
            <w:r w:rsidRPr="00404C67">
              <w:t>4.1</w:t>
            </w:r>
          </w:p>
        </w:tc>
      </w:tr>
      <w:tr w:rsidR="00C4272A" w14:paraId="72613010" w14:textId="77777777" w:rsidTr="001B41BD">
        <w:tc>
          <w:tcPr>
            <w:tcW w:w="3116" w:type="dxa"/>
            <w:vAlign w:val="bottom"/>
          </w:tcPr>
          <w:p w14:paraId="03136FD2" w14:textId="77777777" w:rsidR="00C4272A" w:rsidRPr="00972687" w:rsidRDefault="00C4272A" w:rsidP="001B41BD">
            <w:r w:rsidRPr="00972687">
              <w:t>2013-2017</w:t>
            </w:r>
          </w:p>
        </w:tc>
        <w:tc>
          <w:tcPr>
            <w:tcW w:w="3117" w:type="dxa"/>
            <w:vAlign w:val="bottom"/>
          </w:tcPr>
          <w:p w14:paraId="1BB57D32" w14:textId="77777777" w:rsidR="00C4272A" w:rsidRPr="00404C67" w:rsidRDefault="00C4272A" w:rsidP="001B41BD">
            <w:r w:rsidRPr="00404C67">
              <w:t>2.2</w:t>
            </w:r>
          </w:p>
        </w:tc>
        <w:tc>
          <w:tcPr>
            <w:tcW w:w="3117" w:type="dxa"/>
            <w:vAlign w:val="bottom"/>
          </w:tcPr>
          <w:p w14:paraId="1C909998" w14:textId="77777777" w:rsidR="00C4272A" w:rsidRPr="00404C67" w:rsidRDefault="00C4272A" w:rsidP="001B41BD">
            <w:r w:rsidRPr="00404C67">
              <w:t>4</w:t>
            </w:r>
          </w:p>
        </w:tc>
      </w:tr>
      <w:tr w:rsidR="00C4272A" w14:paraId="3D8E2C6D" w14:textId="77777777" w:rsidTr="001B41BD">
        <w:tc>
          <w:tcPr>
            <w:tcW w:w="3116" w:type="dxa"/>
            <w:vAlign w:val="bottom"/>
          </w:tcPr>
          <w:p w14:paraId="157DB978" w14:textId="77777777" w:rsidR="00C4272A" w:rsidRPr="00972687" w:rsidRDefault="00C4272A" w:rsidP="001B41BD">
            <w:r w:rsidRPr="00972687">
              <w:t>2014-2018</w:t>
            </w:r>
          </w:p>
        </w:tc>
        <w:tc>
          <w:tcPr>
            <w:tcW w:w="3117" w:type="dxa"/>
            <w:vAlign w:val="bottom"/>
          </w:tcPr>
          <w:p w14:paraId="1340FA67" w14:textId="77777777" w:rsidR="00C4272A" w:rsidRPr="00404C67" w:rsidRDefault="00C4272A" w:rsidP="001B41BD">
            <w:r w:rsidRPr="00404C67">
              <w:t>2.3</w:t>
            </w:r>
          </w:p>
        </w:tc>
        <w:tc>
          <w:tcPr>
            <w:tcW w:w="3117" w:type="dxa"/>
            <w:vAlign w:val="bottom"/>
          </w:tcPr>
          <w:p w14:paraId="3ED2F1AC" w14:textId="77777777" w:rsidR="00C4272A" w:rsidRPr="00404C67" w:rsidRDefault="00C4272A" w:rsidP="001B41BD">
            <w:r w:rsidRPr="00404C67">
              <w:t>3.6</w:t>
            </w:r>
          </w:p>
        </w:tc>
      </w:tr>
      <w:tr w:rsidR="00C4272A" w14:paraId="61F99C08" w14:textId="77777777" w:rsidTr="001B41BD">
        <w:tc>
          <w:tcPr>
            <w:tcW w:w="3116" w:type="dxa"/>
            <w:vAlign w:val="bottom"/>
          </w:tcPr>
          <w:p w14:paraId="124B1C61" w14:textId="77777777" w:rsidR="00C4272A" w:rsidRPr="00972687" w:rsidRDefault="00C4272A" w:rsidP="001B41BD">
            <w:r w:rsidRPr="00972687">
              <w:t>2015-2019</w:t>
            </w:r>
          </w:p>
        </w:tc>
        <w:tc>
          <w:tcPr>
            <w:tcW w:w="3117" w:type="dxa"/>
            <w:vAlign w:val="bottom"/>
          </w:tcPr>
          <w:p w14:paraId="668C735A" w14:textId="77777777" w:rsidR="00C4272A" w:rsidRPr="00404C67" w:rsidRDefault="00C4272A" w:rsidP="001B41BD">
            <w:r w:rsidRPr="00404C67">
              <w:t>2.2</w:t>
            </w:r>
          </w:p>
        </w:tc>
        <w:tc>
          <w:tcPr>
            <w:tcW w:w="3117" w:type="dxa"/>
            <w:vAlign w:val="bottom"/>
          </w:tcPr>
          <w:p w14:paraId="353233CA" w14:textId="77777777" w:rsidR="00C4272A" w:rsidRPr="00404C67" w:rsidRDefault="00C4272A" w:rsidP="001B41BD">
            <w:r w:rsidRPr="00404C67">
              <w:t>3.5</w:t>
            </w:r>
          </w:p>
        </w:tc>
      </w:tr>
      <w:tr w:rsidR="00C4272A" w14:paraId="4533880D" w14:textId="77777777" w:rsidTr="001B41BD">
        <w:tc>
          <w:tcPr>
            <w:tcW w:w="3116" w:type="dxa"/>
            <w:vAlign w:val="bottom"/>
          </w:tcPr>
          <w:p w14:paraId="3FE3BBF8" w14:textId="77777777" w:rsidR="00C4272A" w:rsidRPr="00972687" w:rsidRDefault="00C4272A" w:rsidP="001B41BD">
            <w:r>
              <w:t>2016-2020</w:t>
            </w:r>
          </w:p>
        </w:tc>
        <w:tc>
          <w:tcPr>
            <w:tcW w:w="3117" w:type="dxa"/>
            <w:vAlign w:val="bottom"/>
          </w:tcPr>
          <w:p w14:paraId="1EAEE380" w14:textId="77777777" w:rsidR="00C4272A" w:rsidRPr="00404C67" w:rsidRDefault="00C4272A" w:rsidP="001B41BD">
            <w:r w:rsidRPr="00404C67">
              <w:t>2.1</w:t>
            </w:r>
          </w:p>
        </w:tc>
        <w:tc>
          <w:tcPr>
            <w:tcW w:w="3117" w:type="dxa"/>
            <w:vAlign w:val="bottom"/>
          </w:tcPr>
          <w:p w14:paraId="365A6723" w14:textId="77777777" w:rsidR="00C4272A" w:rsidRPr="00404C67" w:rsidRDefault="00C4272A" w:rsidP="001B41BD">
            <w:r w:rsidRPr="00404C67">
              <w:t>3.4</w:t>
            </w:r>
          </w:p>
        </w:tc>
      </w:tr>
    </w:tbl>
    <w:p w14:paraId="64F7287F" w14:textId="77777777" w:rsidR="00C4272A" w:rsidRPr="00404C67" w:rsidRDefault="00C4272A" w:rsidP="00C4272A">
      <w:r w:rsidRPr="00404C67">
        <w:t xml:space="preserve">Source: SC DHEC Vital Statistics. </w:t>
      </w:r>
    </w:p>
    <w:p w14:paraId="78D97ECD" w14:textId="77777777" w:rsidR="00C4272A" w:rsidRPr="00D47C63" w:rsidRDefault="00C4272A" w:rsidP="00C4272A">
      <w:r w:rsidRPr="00404C67">
        <w:t>Note: Age-adjusted.</w:t>
      </w:r>
    </w:p>
    <w:p w14:paraId="6BA467C6" w14:textId="77777777" w:rsidR="00C4272A" w:rsidRDefault="00C4272A" w:rsidP="007F56A0"/>
    <w:p w14:paraId="45AD2E95" w14:textId="77777777" w:rsidR="00C4272A" w:rsidRPr="00C4272A" w:rsidRDefault="00C4272A" w:rsidP="00C4272A">
      <w:pPr>
        <w:pStyle w:val="Heading4"/>
      </w:pPr>
      <w:bookmarkStart w:id="804" w:name="_Toc162267545"/>
      <w:r w:rsidRPr="00C4272A">
        <w:t>Data Interpretations:</w:t>
      </w:r>
      <w:bookmarkEnd w:id="804"/>
      <w:r w:rsidRPr="00C4272A">
        <w:t xml:space="preserve"> </w:t>
      </w:r>
    </w:p>
    <w:p w14:paraId="6BF3E8EF" w14:textId="05E3E446" w:rsidR="00C4272A" w:rsidRPr="00C4272A" w:rsidRDefault="00C4272A" w:rsidP="00C4272A">
      <w:r w:rsidRPr="00C4272A">
        <w:t xml:space="preserve">In 2020, 78.6% of women in SC aged 21-65 had obtained a Pap test within the past three years. As of 2020, SC had not met the Healthy People 2030 goal of 79.2%. </w:t>
      </w:r>
      <w:r w:rsidRPr="00C4272A">
        <w:lastRenderedPageBreak/>
        <w:t xml:space="preserve">Non-Hispanic White women (75.8%) reported a lower prevalence of having had a Pap </w:t>
      </w:r>
      <w:r w:rsidR="00FC41EB">
        <w:t>t</w:t>
      </w:r>
      <w:r w:rsidRPr="00C4272A">
        <w:t>est in the past three years as compared to non-Hispanic Black women (89.3%) (</w:t>
      </w:r>
      <w:r w:rsidRPr="00C4272A">
        <w:rPr>
          <w:b/>
          <w:bCs/>
        </w:rPr>
        <w:t>Figure 9.36</w:t>
      </w:r>
      <w:r w:rsidRPr="00C4272A">
        <w:t xml:space="preserve">). Pap </w:t>
      </w:r>
      <w:r w:rsidR="00FC41EB">
        <w:t>t</w:t>
      </w:r>
      <w:r w:rsidRPr="00C4272A">
        <w:t xml:space="preserve">est adherence varied widely by county with Pickens County having the lowest prevalence of Pap </w:t>
      </w:r>
      <w:r w:rsidR="00FC41EB">
        <w:t>t</w:t>
      </w:r>
      <w:r w:rsidRPr="00C4272A">
        <w:t xml:space="preserve">ests at 62.5% and Fairfield County having the highest prevalence of Pap </w:t>
      </w:r>
      <w:r w:rsidR="00FC41EB">
        <w:t>t</w:t>
      </w:r>
      <w:r w:rsidRPr="00C4272A">
        <w:t>ests at 95.7%.</w:t>
      </w:r>
    </w:p>
    <w:p w14:paraId="4C6A84B7" w14:textId="77777777" w:rsidR="00C4272A" w:rsidRDefault="00C4272A" w:rsidP="00C4272A"/>
    <w:p w14:paraId="073C0B18" w14:textId="4286E776" w:rsidR="00C4272A" w:rsidRPr="00C4272A" w:rsidRDefault="00C4272A" w:rsidP="00C4272A">
      <w:r w:rsidRPr="00C4272A">
        <w:t>In 2019, 217 SC residents were diagnosed with cervical cancer. From 2015 to 2019, the cervical cancer incidence rate in SC (7.9 cases per 100,000 females) was higher than the incidence rate in the US (7.7 cases per 100,000 females). From 2011 through 2019, cervical cancer incidence rates remained relatively consistent with non-Hispanic Black women experiencing slightly higher cervical cancer incidence rates than non-Hispanic White women across the entire period (</w:t>
      </w:r>
      <w:r w:rsidRPr="00C4272A">
        <w:rPr>
          <w:b/>
          <w:bCs/>
        </w:rPr>
        <w:t>Figure 9.37</w:t>
      </w:r>
      <w:r w:rsidRPr="00C4272A">
        <w:t xml:space="preserve">). </w:t>
      </w:r>
    </w:p>
    <w:p w14:paraId="0F9C8988" w14:textId="77777777" w:rsidR="00C4272A" w:rsidRDefault="00C4272A" w:rsidP="00C4272A"/>
    <w:p w14:paraId="7380E7A2" w14:textId="1FE0D6C8" w:rsidR="00C4272A" w:rsidRPr="005561F7" w:rsidRDefault="00C4272A" w:rsidP="00C4272A">
      <w:r w:rsidRPr="00C4272A">
        <w:t xml:space="preserve">In 2020, 65 SC residents died from cervical cancer. Cervical cancer mortality rates have been slightly worse in SC (2.4 deaths per 100,000 females) as compared to the US (2.2 deaths per 100,000 females). From 2012-2020, non-Hispanic Black women had higher cervical cancer mortality rates as compared to non-Hispanic White women; however, non-Hispanic Black women’s cervical cancer mortality rate has been decreasing over the years, whereas non-Hispanic White women’s cervical cancer mortality rate has remained stable </w:t>
      </w:r>
      <w:r w:rsidRPr="00C4272A">
        <w:br/>
        <w:t>(</w:t>
      </w:r>
      <w:r w:rsidRPr="00C4272A">
        <w:rPr>
          <w:b/>
          <w:bCs/>
        </w:rPr>
        <w:t>Figure 9.38</w:t>
      </w:r>
      <w:r w:rsidRPr="00C4272A">
        <w:t>).</w:t>
      </w:r>
    </w:p>
    <w:p w14:paraId="0968A16E" w14:textId="77777777" w:rsidR="00C4272A" w:rsidRDefault="00C4272A" w:rsidP="00C4272A">
      <w:pPr>
        <w:pStyle w:val="Heading4"/>
        <w:rPr>
          <w:rFonts w:asciiTheme="minorHAnsi" w:hAnsiTheme="minorHAnsi" w:cstheme="minorHAnsi"/>
          <w:i w:val="0"/>
          <w:iCs w:val="0"/>
          <w:color w:val="000000" w:themeColor="text1"/>
        </w:rPr>
      </w:pPr>
    </w:p>
    <w:p w14:paraId="689C4BC1" w14:textId="3A4F25C4" w:rsidR="00C4272A" w:rsidRPr="00C4272A" w:rsidRDefault="00C4272A" w:rsidP="00C4272A">
      <w:pPr>
        <w:pStyle w:val="Heading5"/>
      </w:pPr>
      <w:r w:rsidRPr="00C4272A">
        <w:t>Key Takeaways:</w:t>
      </w:r>
    </w:p>
    <w:p w14:paraId="5F044432" w14:textId="77777777" w:rsidR="00C4272A" w:rsidRPr="00C4272A" w:rsidRDefault="00C4272A" w:rsidP="00926EB3">
      <w:pPr>
        <w:pStyle w:val="ListParagraph"/>
        <w:numPr>
          <w:ilvl w:val="0"/>
          <w:numId w:val="228"/>
        </w:numPr>
      </w:pPr>
      <w:r w:rsidRPr="00C4272A">
        <w:t>Data shows that Black women get screened for cervical cancer at a higher rate than White women, yet Black women die at significantly higher rates than White women.</w:t>
      </w:r>
    </w:p>
    <w:p w14:paraId="4DE96ADE" w14:textId="77777777" w:rsidR="00C4272A" w:rsidRPr="00C4272A" w:rsidRDefault="00C4272A" w:rsidP="00C4272A"/>
    <w:p w14:paraId="56832ED1" w14:textId="7E7A4913" w:rsidR="00C4272A" w:rsidRPr="005561F7" w:rsidRDefault="00C4272A" w:rsidP="00C4272A">
      <w:pPr>
        <w:pStyle w:val="Heading4"/>
        <w:rPr>
          <w:rFonts w:asciiTheme="minorHAnsi" w:hAnsiTheme="minorHAnsi" w:cstheme="minorHAnsi"/>
          <w:color w:val="000000" w:themeColor="text1"/>
        </w:rPr>
      </w:pPr>
      <w:bookmarkStart w:id="805" w:name="_Toc162267546"/>
      <w:r w:rsidRPr="005561F7">
        <w:rPr>
          <w:rFonts w:asciiTheme="minorHAnsi" w:hAnsiTheme="minorHAnsi" w:cstheme="minorHAnsi"/>
          <w:color w:val="000000" w:themeColor="text1"/>
        </w:rPr>
        <w:t>References 9.</w:t>
      </w:r>
      <w:r>
        <w:rPr>
          <w:rFonts w:asciiTheme="minorHAnsi" w:hAnsiTheme="minorHAnsi" w:cstheme="minorHAnsi"/>
          <w:color w:val="000000" w:themeColor="text1"/>
        </w:rPr>
        <w:t>17</w:t>
      </w:r>
      <w:bookmarkEnd w:id="805"/>
      <w:r>
        <w:rPr>
          <w:rFonts w:asciiTheme="minorHAnsi" w:hAnsiTheme="minorHAnsi" w:cstheme="minorHAnsi"/>
          <w:color w:val="000000" w:themeColor="text1"/>
        </w:rPr>
        <w:t xml:space="preserve"> </w:t>
      </w:r>
    </w:p>
    <w:p w14:paraId="01A7E3F1" w14:textId="77777777" w:rsidR="00C4272A" w:rsidRDefault="00C4272A" w:rsidP="00C4272A">
      <w:r w:rsidRPr="005561F7">
        <w:t>Statistics in the preceding section were referenced from the following reports:</w:t>
      </w:r>
    </w:p>
    <w:p w14:paraId="4D65042E" w14:textId="77777777" w:rsidR="00357E27" w:rsidRDefault="00357E27" w:rsidP="0060334A">
      <w:pPr>
        <w:ind w:left="720" w:hanging="360"/>
      </w:pPr>
      <w:r>
        <w:t>75.</w:t>
      </w:r>
      <w:hyperlink r:id="rId366" w:history="1">
        <w:r w:rsidRPr="00C152A8">
          <w:rPr>
            <w:rStyle w:val="Hyperlink"/>
          </w:rPr>
          <w:t>US Mortality: Surveillance, Epidemiology, and End Results (SEER) Program SEER*Stat Database: Mortality - All COD, Aggregated With State, Total U.S. (1969-2020) &lt;Katrina/Rita Population Adjustment&gt;, National Cancer Institute, DCCPS, Surveillance Research</w:t>
        </w:r>
        <w:r>
          <w:rPr>
            <w:rStyle w:val="Hyperlink"/>
          </w:rPr>
          <w:t>.</w:t>
        </w:r>
      </w:hyperlink>
    </w:p>
    <w:p w14:paraId="375E327A" w14:textId="77777777" w:rsidR="00357E27" w:rsidRDefault="00357E27" w:rsidP="0060334A">
      <w:pPr>
        <w:ind w:left="720" w:hanging="360"/>
      </w:pPr>
      <w:r>
        <w:t>77.</w:t>
      </w:r>
      <w:r w:rsidR="00C152A8" w:rsidRPr="00C152A8">
        <w:t>South Carolina Revenue and Fiscal Affairs Office, Hospital Discharge Patient-Level Dataset</w:t>
      </w:r>
      <w:r w:rsidRPr="00C152A8">
        <w:t>. No hyperlink.</w:t>
      </w:r>
    </w:p>
    <w:p w14:paraId="33C33D06" w14:textId="77777777" w:rsidR="00C152A8" w:rsidRPr="00C152A8" w:rsidRDefault="00357E27" w:rsidP="0060334A">
      <w:pPr>
        <w:ind w:left="720" w:hanging="360"/>
      </w:pPr>
      <w:r>
        <w:lastRenderedPageBreak/>
        <w:t>80.</w:t>
      </w:r>
      <w:r w:rsidRPr="00C152A8">
        <w:t>“</w:t>
      </w:r>
      <w:r w:rsidR="00C152A8" w:rsidRPr="00C152A8">
        <w:t>SC Incidence: 1996-2020ytd SC Cancer Incidence Data.</w:t>
      </w:r>
      <w:r w:rsidRPr="00C152A8">
        <w:t>”</w:t>
      </w:r>
      <w:r w:rsidR="00C152A8" w:rsidRPr="00C152A8">
        <w:t xml:space="preserve"> Based file run date 11/23/21. SC Central Cancer Registry, Bureau of Chronic Disease &amp; Injury Prevention, SC </w:t>
      </w:r>
      <w:r w:rsidRPr="00C152A8">
        <w:t>DHEC</w:t>
      </w:r>
      <w:r w:rsidR="00C152A8" w:rsidRPr="00C152A8">
        <w:t xml:space="preserve">. </w:t>
      </w:r>
      <w:r w:rsidRPr="00C152A8">
        <w:t>2022. No hyperlink.</w:t>
      </w:r>
    </w:p>
    <w:p w14:paraId="3E454BEE" w14:textId="5AA81D56" w:rsidR="00357E27" w:rsidRDefault="00357E27" w:rsidP="0060334A">
      <w:pPr>
        <w:ind w:left="720" w:hanging="360"/>
      </w:pPr>
      <w:r>
        <w:t>81.</w:t>
      </w:r>
      <w:r w:rsidRPr="00C152A8">
        <w:t>“</w:t>
      </w:r>
      <w:r w:rsidR="00C152A8" w:rsidRPr="00C152A8">
        <w:t>SC Mortality: 1996-2020 SC Cancer Mortality Data.</w:t>
      </w:r>
      <w:r w:rsidRPr="00C152A8">
        <w:t>”</w:t>
      </w:r>
      <w:r w:rsidR="00C152A8" w:rsidRPr="00C152A8">
        <w:t xml:space="preserve"> Based on SC Vital Records Death Data file run date 8/5/2021. SC Central Cancer Registry, SC DHEC. </w:t>
      </w:r>
      <w:r w:rsidRPr="00C152A8">
        <w:t>2022. No hyperlink.</w:t>
      </w:r>
    </w:p>
    <w:p w14:paraId="040FE7DF" w14:textId="15F272D6" w:rsidR="00357E27" w:rsidRPr="00357E27" w:rsidRDefault="00000000" w:rsidP="00926EB3">
      <w:pPr>
        <w:pStyle w:val="ListParagraph"/>
        <w:numPr>
          <w:ilvl w:val="0"/>
          <w:numId w:val="192"/>
        </w:numPr>
      </w:pPr>
      <w:hyperlink r:id="rId367" w:anchor=":~:text=Up%20to%2093%25%20of%20cervical,that%0cause%20most%20cervical%20cancers" w:history="1">
        <w:r w:rsidR="00357E27" w:rsidRPr="00357E27">
          <w:rPr>
            <w:rStyle w:val="Hyperlink"/>
          </w:rPr>
          <w:t>“Cervical cancer is preventable” by the Centers for Disease Control and Prevention, 2020. Retrieved December 14, 2022.</w:t>
        </w:r>
      </w:hyperlink>
      <w:r w:rsidR="00357E27" w:rsidRPr="00357E27">
        <w:t xml:space="preserve"> </w:t>
      </w:r>
    </w:p>
    <w:p w14:paraId="713F13C0" w14:textId="5FE476A2" w:rsidR="00357E27" w:rsidRPr="00357E27" w:rsidRDefault="00000000" w:rsidP="00926EB3">
      <w:pPr>
        <w:pStyle w:val="ListParagraph"/>
        <w:numPr>
          <w:ilvl w:val="0"/>
          <w:numId w:val="192"/>
        </w:numPr>
        <w:rPr>
          <w:u w:val="thick"/>
        </w:rPr>
      </w:pPr>
      <w:hyperlink r:id="rId368" w:history="1">
        <w:r w:rsidR="00357E27" w:rsidRPr="00357E27">
          <w:rPr>
            <w:rStyle w:val="Hyperlink"/>
          </w:rPr>
          <w:t>“America’s Health Rankings” by the Centers for Disease Control and Prevention in National HPV Vaccinations, 2021. Retrieved December 15, 2022.</w:t>
        </w:r>
      </w:hyperlink>
      <w:r w:rsidR="00357E27" w:rsidRPr="00357E27">
        <w:rPr>
          <w:u w:val="thick"/>
        </w:rPr>
        <w:t xml:space="preserve"> </w:t>
      </w:r>
    </w:p>
    <w:p w14:paraId="0456C786" w14:textId="77777777" w:rsidR="00C4272A" w:rsidRDefault="00C4272A" w:rsidP="007F56A0"/>
    <w:p w14:paraId="43741154" w14:textId="77777777" w:rsidR="00C4272A" w:rsidRPr="00C4272A" w:rsidRDefault="00C4272A" w:rsidP="00C4272A">
      <w:pPr>
        <w:pStyle w:val="Heading3"/>
      </w:pPr>
      <w:bookmarkStart w:id="806" w:name="_Toc162267547"/>
      <w:r w:rsidRPr="00C4272A">
        <w:t>Prostate Cancer</w:t>
      </w:r>
      <w:bookmarkEnd w:id="806"/>
    </w:p>
    <w:p w14:paraId="6CDA3194" w14:textId="6C94C079" w:rsidR="00C4272A" w:rsidRDefault="00C4272A" w:rsidP="00C4272A">
      <w:r w:rsidRPr="00C4272A">
        <w:t>Prostate cancer is the most common form of cancer for men in the nation. The main known risk factor for prostate cancer is old age; however, recent studies are looking into the ways diet, obesity, smoking, and chemical exposures affect one’s likelihood of being diagnosed with prostate cancer. SC ranks 26th in the nation for prostate cancer incidence rate and ninth in the nation for prostate cancer mortality rate. Non-Hispanic Black men are 73% more likely to be diagnosed with prostate cancer and are 128% more likely to die from prostate cancer as compared to their non-Hispanic White male counterparts. In 2021, the average inpatient charges associated with prostate cancer were $66,841, which added up to a minimum total economic impact of $41,099,760 SC.</w:t>
      </w:r>
    </w:p>
    <w:p w14:paraId="44F9B300" w14:textId="77777777" w:rsidR="00C4272A" w:rsidRDefault="00C4272A" w:rsidP="00C4272A"/>
    <w:p w14:paraId="438F7BB4" w14:textId="77777777" w:rsidR="00C4272A" w:rsidRDefault="00C4272A" w:rsidP="00C4272A">
      <w:pPr>
        <w:pStyle w:val="Heading4"/>
      </w:pPr>
      <w:bookmarkStart w:id="807" w:name="_Toc154576521"/>
      <w:bookmarkStart w:id="808" w:name="_Toc162267548"/>
      <w:r>
        <w:t>Figure 9.39: Received PSA Test in the Past Two Years, by Race/Ethnicity.</w:t>
      </w:r>
      <w:bookmarkEnd w:id="807"/>
      <w:bookmarkEnd w:id="808"/>
    </w:p>
    <w:tbl>
      <w:tblPr>
        <w:tblStyle w:val="TableGrid"/>
        <w:tblW w:w="0" w:type="auto"/>
        <w:tblLook w:val="04A0" w:firstRow="1" w:lastRow="0" w:firstColumn="1" w:lastColumn="0" w:noHBand="0" w:noVBand="1"/>
      </w:tblPr>
      <w:tblGrid>
        <w:gridCol w:w="4675"/>
        <w:gridCol w:w="4675"/>
      </w:tblGrid>
      <w:tr w:rsidR="00C4272A" w14:paraId="5AE9CE3B" w14:textId="77777777" w:rsidTr="001B41BD">
        <w:tc>
          <w:tcPr>
            <w:tcW w:w="4675" w:type="dxa"/>
          </w:tcPr>
          <w:p w14:paraId="72898393" w14:textId="77777777" w:rsidR="00C4272A" w:rsidRDefault="00C4272A" w:rsidP="001B41BD">
            <w:r>
              <w:t>Race/Ethnicity</w:t>
            </w:r>
          </w:p>
        </w:tc>
        <w:tc>
          <w:tcPr>
            <w:tcW w:w="4675" w:type="dxa"/>
          </w:tcPr>
          <w:p w14:paraId="2089A0C8" w14:textId="77777777" w:rsidR="00C4272A" w:rsidRDefault="00C4272A" w:rsidP="001B41BD">
            <w:r>
              <w:t>Percent</w:t>
            </w:r>
          </w:p>
        </w:tc>
      </w:tr>
      <w:tr w:rsidR="00C4272A" w14:paraId="78978DF0" w14:textId="77777777" w:rsidTr="001B41BD">
        <w:tc>
          <w:tcPr>
            <w:tcW w:w="4675" w:type="dxa"/>
          </w:tcPr>
          <w:p w14:paraId="56998267" w14:textId="77777777" w:rsidR="00C4272A" w:rsidRDefault="00C4272A" w:rsidP="001B41BD">
            <w:r>
              <w:t>Non-Hispanic White Male</w:t>
            </w:r>
          </w:p>
        </w:tc>
        <w:tc>
          <w:tcPr>
            <w:tcW w:w="4675" w:type="dxa"/>
          </w:tcPr>
          <w:p w14:paraId="5A2C8282" w14:textId="77777777" w:rsidR="00C4272A" w:rsidRDefault="00C4272A" w:rsidP="001B41BD">
            <w:r>
              <w:t>35.2%</w:t>
            </w:r>
          </w:p>
        </w:tc>
      </w:tr>
      <w:tr w:rsidR="00C4272A" w14:paraId="1E757BC4" w14:textId="77777777" w:rsidTr="001B41BD">
        <w:tc>
          <w:tcPr>
            <w:tcW w:w="4675" w:type="dxa"/>
          </w:tcPr>
          <w:p w14:paraId="692D32C9" w14:textId="77777777" w:rsidR="00C4272A" w:rsidRDefault="00C4272A" w:rsidP="001B41BD">
            <w:r>
              <w:t>Non-Hispanic Black Male</w:t>
            </w:r>
          </w:p>
        </w:tc>
        <w:tc>
          <w:tcPr>
            <w:tcW w:w="4675" w:type="dxa"/>
          </w:tcPr>
          <w:p w14:paraId="060239F1" w14:textId="77777777" w:rsidR="00C4272A" w:rsidRDefault="00C4272A" w:rsidP="001B41BD">
            <w:r>
              <w:t>26.7%</w:t>
            </w:r>
          </w:p>
        </w:tc>
      </w:tr>
    </w:tbl>
    <w:p w14:paraId="1C19BDEF" w14:textId="77777777" w:rsidR="00C4272A" w:rsidRPr="00C81A1B" w:rsidRDefault="00C4272A" w:rsidP="00C4272A">
      <w:r w:rsidRPr="00C81A1B">
        <w:t xml:space="preserve">Source: SC BRFSS, 2020. </w:t>
      </w:r>
    </w:p>
    <w:p w14:paraId="2298485A" w14:textId="77777777" w:rsidR="00C4272A" w:rsidRPr="005171E4" w:rsidRDefault="00C4272A" w:rsidP="00C4272A">
      <w:r w:rsidRPr="00C81A1B">
        <w:t>Note: Males ages 40+.</w:t>
      </w:r>
    </w:p>
    <w:p w14:paraId="205AFFC2" w14:textId="77777777" w:rsidR="00C4272A" w:rsidRDefault="00C4272A" w:rsidP="00C4272A">
      <w:pPr>
        <w:pStyle w:val="Heading4"/>
      </w:pPr>
      <w:bookmarkStart w:id="809" w:name="_Toc154576522"/>
    </w:p>
    <w:p w14:paraId="471C65F5" w14:textId="64DA28C5" w:rsidR="00C4272A" w:rsidRDefault="00C4272A" w:rsidP="00C4272A">
      <w:pPr>
        <w:pStyle w:val="Heading4"/>
      </w:pPr>
      <w:bookmarkStart w:id="810" w:name="_Toc162267549"/>
      <w:r>
        <w:t>Figure 9.40: Prostate Cancer Incidence, by Race/Ethnicity.</w:t>
      </w:r>
      <w:bookmarkEnd w:id="809"/>
      <w:bookmarkEnd w:id="810"/>
    </w:p>
    <w:p w14:paraId="278049DD" w14:textId="77777777" w:rsidR="00C4272A" w:rsidRDefault="00C4272A" w:rsidP="00C4272A">
      <w:pPr>
        <w:pStyle w:val="Heading5"/>
      </w:pPr>
      <w:r>
        <w:t>Rate per 100,000 males.</w:t>
      </w:r>
    </w:p>
    <w:tbl>
      <w:tblPr>
        <w:tblStyle w:val="TableGrid"/>
        <w:tblW w:w="0" w:type="auto"/>
        <w:tblLook w:val="04A0" w:firstRow="1" w:lastRow="0" w:firstColumn="1" w:lastColumn="0" w:noHBand="0" w:noVBand="1"/>
      </w:tblPr>
      <w:tblGrid>
        <w:gridCol w:w="3116"/>
        <w:gridCol w:w="3117"/>
        <w:gridCol w:w="3117"/>
      </w:tblGrid>
      <w:tr w:rsidR="00C4272A" w14:paraId="26C1FC9A" w14:textId="77777777" w:rsidTr="001B41BD">
        <w:tc>
          <w:tcPr>
            <w:tcW w:w="3116" w:type="dxa"/>
            <w:vAlign w:val="bottom"/>
          </w:tcPr>
          <w:p w14:paraId="7F9E5F4D" w14:textId="77777777" w:rsidR="00C4272A" w:rsidRPr="00972687" w:rsidRDefault="00C4272A" w:rsidP="001B41BD">
            <w:r>
              <w:t>Years</w:t>
            </w:r>
          </w:p>
        </w:tc>
        <w:tc>
          <w:tcPr>
            <w:tcW w:w="3117" w:type="dxa"/>
            <w:vAlign w:val="bottom"/>
          </w:tcPr>
          <w:p w14:paraId="79BAF9C4" w14:textId="77777777" w:rsidR="00C4272A" w:rsidRPr="00972687" w:rsidRDefault="00C4272A" w:rsidP="001B41BD">
            <w:r w:rsidRPr="00972687">
              <w:t>Non-Hispanic White</w:t>
            </w:r>
            <w:r>
              <w:t xml:space="preserve"> Male</w:t>
            </w:r>
          </w:p>
        </w:tc>
        <w:tc>
          <w:tcPr>
            <w:tcW w:w="3117" w:type="dxa"/>
            <w:vAlign w:val="bottom"/>
          </w:tcPr>
          <w:p w14:paraId="150CCA85" w14:textId="77777777" w:rsidR="00C4272A" w:rsidRPr="00972687" w:rsidRDefault="00C4272A" w:rsidP="001B41BD">
            <w:r w:rsidRPr="00972687">
              <w:t>Non-Hispanic Black</w:t>
            </w:r>
            <w:r>
              <w:t xml:space="preserve"> Male</w:t>
            </w:r>
          </w:p>
        </w:tc>
      </w:tr>
      <w:tr w:rsidR="00C4272A" w14:paraId="3ED230F3" w14:textId="77777777" w:rsidTr="001B41BD">
        <w:tc>
          <w:tcPr>
            <w:tcW w:w="3116" w:type="dxa"/>
            <w:vAlign w:val="bottom"/>
          </w:tcPr>
          <w:p w14:paraId="7B0460D4" w14:textId="77777777" w:rsidR="00C4272A" w:rsidRPr="00972687" w:rsidRDefault="00C4272A" w:rsidP="001B41BD">
            <w:r w:rsidRPr="00972687">
              <w:t>2011-2015</w:t>
            </w:r>
          </w:p>
        </w:tc>
        <w:tc>
          <w:tcPr>
            <w:tcW w:w="3117" w:type="dxa"/>
            <w:vAlign w:val="bottom"/>
          </w:tcPr>
          <w:p w14:paraId="7203B0C1" w14:textId="77777777" w:rsidR="00C4272A" w:rsidRPr="00972687" w:rsidRDefault="00C4272A" w:rsidP="001B41BD">
            <w:r>
              <w:t>104.3</w:t>
            </w:r>
          </w:p>
        </w:tc>
        <w:tc>
          <w:tcPr>
            <w:tcW w:w="3117" w:type="dxa"/>
            <w:vAlign w:val="bottom"/>
          </w:tcPr>
          <w:p w14:paraId="12A0D32D" w14:textId="77777777" w:rsidR="00C4272A" w:rsidRPr="00972687" w:rsidRDefault="00C4272A" w:rsidP="001B41BD">
            <w:r>
              <w:t>193.0</w:t>
            </w:r>
          </w:p>
        </w:tc>
      </w:tr>
      <w:tr w:rsidR="00C4272A" w14:paraId="14065CC7" w14:textId="77777777" w:rsidTr="001B41BD">
        <w:tc>
          <w:tcPr>
            <w:tcW w:w="3116" w:type="dxa"/>
            <w:vAlign w:val="bottom"/>
          </w:tcPr>
          <w:p w14:paraId="20ACBEAF" w14:textId="77777777" w:rsidR="00C4272A" w:rsidRPr="00972687" w:rsidRDefault="00C4272A" w:rsidP="001B41BD">
            <w:r w:rsidRPr="00972687">
              <w:lastRenderedPageBreak/>
              <w:t>2012-2016</w:t>
            </w:r>
          </w:p>
        </w:tc>
        <w:tc>
          <w:tcPr>
            <w:tcW w:w="3117" w:type="dxa"/>
            <w:vAlign w:val="bottom"/>
          </w:tcPr>
          <w:p w14:paraId="1E1C0256" w14:textId="77777777" w:rsidR="00C4272A" w:rsidRPr="00972687" w:rsidRDefault="00C4272A" w:rsidP="001B41BD">
            <w:r>
              <w:t>100.6</w:t>
            </w:r>
          </w:p>
        </w:tc>
        <w:tc>
          <w:tcPr>
            <w:tcW w:w="3117" w:type="dxa"/>
            <w:vAlign w:val="bottom"/>
          </w:tcPr>
          <w:p w14:paraId="33927103" w14:textId="77777777" w:rsidR="00C4272A" w:rsidRPr="00972687" w:rsidRDefault="00C4272A" w:rsidP="001B41BD">
            <w:r>
              <w:t>181.4</w:t>
            </w:r>
          </w:p>
        </w:tc>
      </w:tr>
      <w:tr w:rsidR="00C4272A" w14:paraId="08527407" w14:textId="77777777" w:rsidTr="001B41BD">
        <w:tc>
          <w:tcPr>
            <w:tcW w:w="3116" w:type="dxa"/>
            <w:vAlign w:val="bottom"/>
          </w:tcPr>
          <w:p w14:paraId="53220C38" w14:textId="77777777" w:rsidR="00C4272A" w:rsidRPr="00972687" w:rsidRDefault="00C4272A" w:rsidP="001B41BD">
            <w:r w:rsidRPr="00972687">
              <w:t>2013-2017</w:t>
            </w:r>
          </w:p>
        </w:tc>
        <w:tc>
          <w:tcPr>
            <w:tcW w:w="3117" w:type="dxa"/>
            <w:vAlign w:val="bottom"/>
          </w:tcPr>
          <w:p w14:paraId="5C3B9696" w14:textId="77777777" w:rsidR="00C4272A" w:rsidRPr="00972687" w:rsidRDefault="00C4272A" w:rsidP="001B41BD">
            <w:r>
              <w:t>100.1</w:t>
            </w:r>
          </w:p>
        </w:tc>
        <w:tc>
          <w:tcPr>
            <w:tcW w:w="3117" w:type="dxa"/>
            <w:vAlign w:val="bottom"/>
          </w:tcPr>
          <w:p w14:paraId="750CD4F3" w14:textId="77777777" w:rsidR="00C4272A" w:rsidRPr="00972687" w:rsidRDefault="00C4272A" w:rsidP="001B41BD">
            <w:r>
              <w:t>175.5</w:t>
            </w:r>
          </w:p>
        </w:tc>
      </w:tr>
      <w:tr w:rsidR="00C4272A" w14:paraId="18BE8FB4" w14:textId="77777777" w:rsidTr="001B41BD">
        <w:tc>
          <w:tcPr>
            <w:tcW w:w="3116" w:type="dxa"/>
            <w:vAlign w:val="bottom"/>
          </w:tcPr>
          <w:p w14:paraId="5E39ECDC" w14:textId="77777777" w:rsidR="00C4272A" w:rsidRPr="00972687" w:rsidRDefault="00C4272A" w:rsidP="001B41BD">
            <w:r w:rsidRPr="00972687">
              <w:t>2014-2018</w:t>
            </w:r>
          </w:p>
        </w:tc>
        <w:tc>
          <w:tcPr>
            <w:tcW w:w="3117" w:type="dxa"/>
            <w:vAlign w:val="bottom"/>
          </w:tcPr>
          <w:p w14:paraId="6F40963A" w14:textId="77777777" w:rsidR="00C4272A" w:rsidRPr="00972687" w:rsidRDefault="00C4272A" w:rsidP="001B41BD">
            <w:r>
              <w:t>98.1</w:t>
            </w:r>
          </w:p>
        </w:tc>
        <w:tc>
          <w:tcPr>
            <w:tcW w:w="3117" w:type="dxa"/>
            <w:vAlign w:val="bottom"/>
          </w:tcPr>
          <w:p w14:paraId="1BD014E7" w14:textId="77777777" w:rsidR="00C4272A" w:rsidRPr="00972687" w:rsidRDefault="00C4272A" w:rsidP="001B41BD">
            <w:r>
              <w:t>169.3</w:t>
            </w:r>
          </w:p>
        </w:tc>
      </w:tr>
      <w:tr w:rsidR="00C4272A" w14:paraId="6167F91C" w14:textId="77777777" w:rsidTr="001B41BD">
        <w:tc>
          <w:tcPr>
            <w:tcW w:w="3116" w:type="dxa"/>
            <w:vAlign w:val="bottom"/>
          </w:tcPr>
          <w:p w14:paraId="619B9F31" w14:textId="77777777" w:rsidR="00C4272A" w:rsidRPr="00972687" w:rsidRDefault="00C4272A" w:rsidP="001B41BD">
            <w:r w:rsidRPr="00972687">
              <w:t>2015-2019</w:t>
            </w:r>
          </w:p>
        </w:tc>
        <w:tc>
          <w:tcPr>
            <w:tcW w:w="3117" w:type="dxa"/>
            <w:vAlign w:val="bottom"/>
          </w:tcPr>
          <w:p w14:paraId="2A36FA7C" w14:textId="77777777" w:rsidR="00C4272A" w:rsidRPr="00972687" w:rsidRDefault="00C4272A" w:rsidP="001B41BD">
            <w:r>
              <w:t>97.2</w:t>
            </w:r>
          </w:p>
        </w:tc>
        <w:tc>
          <w:tcPr>
            <w:tcW w:w="3117" w:type="dxa"/>
            <w:vAlign w:val="bottom"/>
          </w:tcPr>
          <w:p w14:paraId="1A343F2A" w14:textId="77777777" w:rsidR="00C4272A" w:rsidRPr="00972687" w:rsidRDefault="00C4272A" w:rsidP="001B41BD">
            <w:r>
              <w:t>167.4</w:t>
            </w:r>
          </w:p>
        </w:tc>
      </w:tr>
    </w:tbl>
    <w:p w14:paraId="6CCC929E" w14:textId="77777777" w:rsidR="00C4272A" w:rsidRPr="00972687" w:rsidRDefault="00C4272A" w:rsidP="00C4272A">
      <w:r w:rsidRPr="00972687">
        <w:t xml:space="preserve">Source: SC DHEC CCR. </w:t>
      </w:r>
    </w:p>
    <w:p w14:paraId="7F21A35E" w14:textId="77777777" w:rsidR="00C4272A" w:rsidRDefault="00C4272A" w:rsidP="00C4272A">
      <w:r w:rsidRPr="00972687">
        <w:t>Note: Age-adjusted.</w:t>
      </w:r>
    </w:p>
    <w:p w14:paraId="08087400" w14:textId="77777777" w:rsidR="00C4272A" w:rsidRDefault="00C4272A" w:rsidP="00C4272A">
      <w:pPr>
        <w:pStyle w:val="Heading4"/>
      </w:pPr>
      <w:bookmarkStart w:id="811" w:name="_Toc154576523"/>
    </w:p>
    <w:p w14:paraId="4885439C" w14:textId="5E12886C" w:rsidR="00C4272A" w:rsidRDefault="00C4272A" w:rsidP="00C4272A">
      <w:pPr>
        <w:pStyle w:val="Heading4"/>
      </w:pPr>
      <w:bookmarkStart w:id="812" w:name="_Toc162267550"/>
      <w:r>
        <w:t>Figure 9.41: Prostate Cancer Deaths, by Race/Ethnicity.</w:t>
      </w:r>
      <w:bookmarkEnd w:id="811"/>
      <w:bookmarkEnd w:id="812"/>
    </w:p>
    <w:p w14:paraId="3B7F9841" w14:textId="77777777" w:rsidR="00C4272A" w:rsidRDefault="00C4272A" w:rsidP="00C4272A">
      <w:pPr>
        <w:pStyle w:val="Heading5"/>
      </w:pPr>
      <w:r>
        <w:t>Rate per 100,000 males.</w:t>
      </w:r>
    </w:p>
    <w:tbl>
      <w:tblPr>
        <w:tblStyle w:val="TableGrid"/>
        <w:tblW w:w="0" w:type="auto"/>
        <w:tblLook w:val="04A0" w:firstRow="1" w:lastRow="0" w:firstColumn="1" w:lastColumn="0" w:noHBand="0" w:noVBand="1"/>
      </w:tblPr>
      <w:tblGrid>
        <w:gridCol w:w="2337"/>
        <w:gridCol w:w="2337"/>
        <w:gridCol w:w="2338"/>
        <w:gridCol w:w="2338"/>
      </w:tblGrid>
      <w:tr w:rsidR="00C4272A" w14:paraId="3F4F64DD" w14:textId="77777777" w:rsidTr="001B41BD">
        <w:tc>
          <w:tcPr>
            <w:tcW w:w="2337" w:type="dxa"/>
            <w:vAlign w:val="bottom"/>
          </w:tcPr>
          <w:p w14:paraId="2900D4A0" w14:textId="77777777" w:rsidR="00C4272A" w:rsidRPr="00C81A1B" w:rsidRDefault="00C4272A" w:rsidP="001B41BD">
            <w:r>
              <w:t>Years</w:t>
            </w:r>
          </w:p>
        </w:tc>
        <w:tc>
          <w:tcPr>
            <w:tcW w:w="2337" w:type="dxa"/>
            <w:vAlign w:val="bottom"/>
          </w:tcPr>
          <w:p w14:paraId="1FE9BDE4" w14:textId="77777777" w:rsidR="00C4272A" w:rsidRPr="00C81A1B" w:rsidRDefault="00C4272A" w:rsidP="001B41BD">
            <w:r w:rsidRPr="00C81A1B">
              <w:t>Non-Hispanic White</w:t>
            </w:r>
          </w:p>
        </w:tc>
        <w:tc>
          <w:tcPr>
            <w:tcW w:w="2338" w:type="dxa"/>
            <w:vAlign w:val="bottom"/>
          </w:tcPr>
          <w:p w14:paraId="65269D68" w14:textId="77777777" w:rsidR="00C4272A" w:rsidRPr="00C81A1B" w:rsidRDefault="00C4272A" w:rsidP="001B41BD">
            <w:r w:rsidRPr="00C81A1B">
              <w:t>Non-Hispanic Black</w:t>
            </w:r>
          </w:p>
        </w:tc>
        <w:tc>
          <w:tcPr>
            <w:tcW w:w="2338" w:type="dxa"/>
            <w:vAlign w:val="bottom"/>
          </w:tcPr>
          <w:p w14:paraId="157186DC" w14:textId="77777777" w:rsidR="00C4272A" w:rsidRPr="00C81A1B" w:rsidRDefault="00C4272A" w:rsidP="001B41BD">
            <w:r w:rsidRPr="00C81A1B">
              <w:t>Healthy People 2030</w:t>
            </w:r>
          </w:p>
        </w:tc>
      </w:tr>
      <w:tr w:rsidR="00C4272A" w14:paraId="2DEA9D1F" w14:textId="77777777" w:rsidTr="001B41BD">
        <w:tc>
          <w:tcPr>
            <w:tcW w:w="2337" w:type="dxa"/>
            <w:vAlign w:val="bottom"/>
          </w:tcPr>
          <w:p w14:paraId="63DD3BF0" w14:textId="77777777" w:rsidR="00C4272A" w:rsidRPr="00C81A1B" w:rsidRDefault="00C4272A" w:rsidP="001B41BD">
            <w:r w:rsidRPr="00C81A1B">
              <w:t>2011-2015</w:t>
            </w:r>
          </w:p>
        </w:tc>
        <w:tc>
          <w:tcPr>
            <w:tcW w:w="2337" w:type="dxa"/>
            <w:vAlign w:val="bottom"/>
          </w:tcPr>
          <w:p w14:paraId="3951553B" w14:textId="77777777" w:rsidR="00C4272A" w:rsidRPr="00C81A1B" w:rsidRDefault="00C4272A" w:rsidP="001B41BD">
            <w:r w:rsidRPr="00C81A1B">
              <w:t>17.1</w:t>
            </w:r>
          </w:p>
        </w:tc>
        <w:tc>
          <w:tcPr>
            <w:tcW w:w="2338" w:type="dxa"/>
            <w:vAlign w:val="bottom"/>
          </w:tcPr>
          <w:p w14:paraId="003F999F" w14:textId="77777777" w:rsidR="00C4272A" w:rsidRPr="00C81A1B" w:rsidRDefault="00C4272A" w:rsidP="001B41BD">
            <w:r w:rsidRPr="00C81A1B">
              <w:t>46.9</w:t>
            </w:r>
          </w:p>
        </w:tc>
        <w:tc>
          <w:tcPr>
            <w:tcW w:w="2338" w:type="dxa"/>
            <w:vAlign w:val="bottom"/>
          </w:tcPr>
          <w:p w14:paraId="22F50C6E" w14:textId="77777777" w:rsidR="00C4272A" w:rsidRPr="00C81A1B" w:rsidRDefault="00C4272A" w:rsidP="001B41BD">
            <w:r w:rsidRPr="00C81A1B">
              <w:t>16.9</w:t>
            </w:r>
          </w:p>
        </w:tc>
      </w:tr>
      <w:tr w:rsidR="00C4272A" w14:paraId="0AEC8076" w14:textId="77777777" w:rsidTr="001B41BD">
        <w:tc>
          <w:tcPr>
            <w:tcW w:w="2337" w:type="dxa"/>
            <w:vAlign w:val="bottom"/>
          </w:tcPr>
          <w:p w14:paraId="1C9A893A" w14:textId="77777777" w:rsidR="00C4272A" w:rsidRPr="00C81A1B" w:rsidRDefault="00C4272A" w:rsidP="001B41BD">
            <w:r w:rsidRPr="00C81A1B">
              <w:t>2012-2016</w:t>
            </w:r>
          </w:p>
        </w:tc>
        <w:tc>
          <w:tcPr>
            <w:tcW w:w="2337" w:type="dxa"/>
            <w:vAlign w:val="bottom"/>
          </w:tcPr>
          <w:p w14:paraId="6F8F3D2D" w14:textId="77777777" w:rsidR="00C4272A" w:rsidRPr="00C81A1B" w:rsidRDefault="00C4272A" w:rsidP="001B41BD">
            <w:r w:rsidRPr="00C81A1B">
              <w:t>17.2</w:t>
            </w:r>
          </w:p>
        </w:tc>
        <w:tc>
          <w:tcPr>
            <w:tcW w:w="2338" w:type="dxa"/>
            <w:vAlign w:val="bottom"/>
          </w:tcPr>
          <w:p w14:paraId="652ACFA5" w14:textId="77777777" w:rsidR="00C4272A" w:rsidRPr="00C81A1B" w:rsidRDefault="00C4272A" w:rsidP="001B41BD">
            <w:r w:rsidRPr="00C81A1B">
              <w:t>45.4</w:t>
            </w:r>
          </w:p>
        </w:tc>
        <w:tc>
          <w:tcPr>
            <w:tcW w:w="2338" w:type="dxa"/>
            <w:vAlign w:val="bottom"/>
          </w:tcPr>
          <w:p w14:paraId="366CE726" w14:textId="77777777" w:rsidR="00C4272A" w:rsidRPr="00C81A1B" w:rsidRDefault="00C4272A" w:rsidP="001B41BD">
            <w:r w:rsidRPr="00C81A1B">
              <w:t>16.9</w:t>
            </w:r>
          </w:p>
        </w:tc>
      </w:tr>
      <w:tr w:rsidR="00C4272A" w14:paraId="36E13481" w14:textId="77777777" w:rsidTr="001B41BD">
        <w:tc>
          <w:tcPr>
            <w:tcW w:w="2337" w:type="dxa"/>
            <w:vAlign w:val="bottom"/>
          </w:tcPr>
          <w:p w14:paraId="2E08F8AC" w14:textId="77777777" w:rsidR="00C4272A" w:rsidRPr="00C81A1B" w:rsidRDefault="00C4272A" w:rsidP="001B41BD">
            <w:r w:rsidRPr="00C81A1B">
              <w:t>2013-2017</w:t>
            </w:r>
          </w:p>
        </w:tc>
        <w:tc>
          <w:tcPr>
            <w:tcW w:w="2337" w:type="dxa"/>
            <w:vAlign w:val="bottom"/>
          </w:tcPr>
          <w:p w14:paraId="2938B51A" w14:textId="77777777" w:rsidR="00C4272A" w:rsidRPr="00C81A1B" w:rsidRDefault="00C4272A" w:rsidP="001B41BD">
            <w:r w:rsidRPr="00C81A1B">
              <w:t>16.9</w:t>
            </w:r>
          </w:p>
        </w:tc>
        <w:tc>
          <w:tcPr>
            <w:tcW w:w="2338" w:type="dxa"/>
            <w:vAlign w:val="bottom"/>
          </w:tcPr>
          <w:p w14:paraId="7F887F62" w14:textId="77777777" w:rsidR="00C4272A" w:rsidRPr="00C81A1B" w:rsidRDefault="00C4272A" w:rsidP="001B41BD">
            <w:r w:rsidRPr="00C81A1B">
              <w:t>44.8</w:t>
            </w:r>
          </w:p>
        </w:tc>
        <w:tc>
          <w:tcPr>
            <w:tcW w:w="2338" w:type="dxa"/>
            <w:vAlign w:val="bottom"/>
          </w:tcPr>
          <w:p w14:paraId="328BC3BF" w14:textId="77777777" w:rsidR="00C4272A" w:rsidRPr="00C81A1B" w:rsidRDefault="00C4272A" w:rsidP="001B41BD">
            <w:r w:rsidRPr="00C81A1B">
              <w:t>16.9</w:t>
            </w:r>
          </w:p>
        </w:tc>
      </w:tr>
      <w:tr w:rsidR="00C4272A" w14:paraId="2EC38936" w14:textId="77777777" w:rsidTr="001B41BD">
        <w:tc>
          <w:tcPr>
            <w:tcW w:w="2337" w:type="dxa"/>
            <w:vAlign w:val="bottom"/>
          </w:tcPr>
          <w:p w14:paraId="78A80297" w14:textId="77777777" w:rsidR="00C4272A" w:rsidRPr="00C81A1B" w:rsidRDefault="00C4272A" w:rsidP="001B41BD">
            <w:r w:rsidRPr="00C81A1B">
              <w:t>2014-2018</w:t>
            </w:r>
          </w:p>
        </w:tc>
        <w:tc>
          <w:tcPr>
            <w:tcW w:w="2337" w:type="dxa"/>
            <w:vAlign w:val="bottom"/>
          </w:tcPr>
          <w:p w14:paraId="607850DE" w14:textId="77777777" w:rsidR="00C4272A" w:rsidRPr="00C81A1B" w:rsidRDefault="00C4272A" w:rsidP="001B41BD">
            <w:r w:rsidRPr="00C81A1B">
              <w:t>17.0</w:t>
            </w:r>
          </w:p>
        </w:tc>
        <w:tc>
          <w:tcPr>
            <w:tcW w:w="2338" w:type="dxa"/>
            <w:vAlign w:val="bottom"/>
          </w:tcPr>
          <w:p w14:paraId="02C331CA" w14:textId="77777777" w:rsidR="00C4272A" w:rsidRPr="00C81A1B" w:rsidRDefault="00C4272A" w:rsidP="001B41BD">
            <w:r w:rsidRPr="00C81A1B">
              <w:t>42.8</w:t>
            </w:r>
          </w:p>
        </w:tc>
        <w:tc>
          <w:tcPr>
            <w:tcW w:w="2338" w:type="dxa"/>
            <w:vAlign w:val="bottom"/>
          </w:tcPr>
          <w:p w14:paraId="1559BD65" w14:textId="77777777" w:rsidR="00C4272A" w:rsidRPr="00C81A1B" w:rsidRDefault="00C4272A" w:rsidP="001B41BD">
            <w:r w:rsidRPr="00C81A1B">
              <w:t>16.9</w:t>
            </w:r>
          </w:p>
        </w:tc>
      </w:tr>
      <w:tr w:rsidR="00C4272A" w14:paraId="6C5F8F8E" w14:textId="77777777" w:rsidTr="001B41BD">
        <w:tc>
          <w:tcPr>
            <w:tcW w:w="2337" w:type="dxa"/>
            <w:vAlign w:val="bottom"/>
          </w:tcPr>
          <w:p w14:paraId="1E73ABF8" w14:textId="77777777" w:rsidR="00C4272A" w:rsidRPr="00C81A1B" w:rsidRDefault="00C4272A" w:rsidP="001B41BD">
            <w:r w:rsidRPr="00C81A1B">
              <w:t>2015-2019</w:t>
            </w:r>
          </w:p>
        </w:tc>
        <w:tc>
          <w:tcPr>
            <w:tcW w:w="2337" w:type="dxa"/>
            <w:vAlign w:val="bottom"/>
          </w:tcPr>
          <w:p w14:paraId="56990A48" w14:textId="77777777" w:rsidR="00C4272A" w:rsidRPr="00C81A1B" w:rsidRDefault="00C4272A" w:rsidP="001B41BD">
            <w:r w:rsidRPr="00C81A1B">
              <w:t>16.8</w:t>
            </w:r>
          </w:p>
        </w:tc>
        <w:tc>
          <w:tcPr>
            <w:tcW w:w="2338" w:type="dxa"/>
            <w:vAlign w:val="bottom"/>
          </w:tcPr>
          <w:p w14:paraId="482C470B" w14:textId="77777777" w:rsidR="00C4272A" w:rsidRPr="00C81A1B" w:rsidRDefault="00C4272A" w:rsidP="001B41BD">
            <w:r w:rsidRPr="00C81A1B">
              <w:t>41.0</w:t>
            </w:r>
          </w:p>
        </w:tc>
        <w:tc>
          <w:tcPr>
            <w:tcW w:w="2338" w:type="dxa"/>
            <w:vAlign w:val="bottom"/>
          </w:tcPr>
          <w:p w14:paraId="65AE577F" w14:textId="77777777" w:rsidR="00C4272A" w:rsidRPr="00C81A1B" w:rsidRDefault="00C4272A" w:rsidP="001B41BD">
            <w:r w:rsidRPr="00C81A1B">
              <w:t>16.9</w:t>
            </w:r>
          </w:p>
        </w:tc>
      </w:tr>
      <w:tr w:rsidR="00C4272A" w14:paraId="60871152" w14:textId="77777777" w:rsidTr="001B41BD">
        <w:tc>
          <w:tcPr>
            <w:tcW w:w="2337" w:type="dxa"/>
            <w:vAlign w:val="bottom"/>
          </w:tcPr>
          <w:p w14:paraId="2913346C" w14:textId="77777777" w:rsidR="00C4272A" w:rsidRPr="00C81A1B" w:rsidRDefault="00C4272A" w:rsidP="001B41BD">
            <w:r w:rsidRPr="00C81A1B">
              <w:t>2016-2020</w:t>
            </w:r>
          </w:p>
        </w:tc>
        <w:tc>
          <w:tcPr>
            <w:tcW w:w="2337" w:type="dxa"/>
            <w:vAlign w:val="bottom"/>
          </w:tcPr>
          <w:p w14:paraId="60CED40C" w14:textId="77777777" w:rsidR="00C4272A" w:rsidRPr="00C81A1B" w:rsidRDefault="00C4272A" w:rsidP="001B41BD">
            <w:r w:rsidRPr="00C81A1B">
              <w:t>17.0</w:t>
            </w:r>
          </w:p>
        </w:tc>
        <w:tc>
          <w:tcPr>
            <w:tcW w:w="2338" w:type="dxa"/>
            <w:vAlign w:val="bottom"/>
          </w:tcPr>
          <w:p w14:paraId="79A9AEC4" w14:textId="77777777" w:rsidR="00C4272A" w:rsidRPr="00C81A1B" w:rsidRDefault="00C4272A" w:rsidP="001B41BD">
            <w:r w:rsidRPr="00C81A1B">
              <w:t>39.0</w:t>
            </w:r>
          </w:p>
        </w:tc>
        <w:tc>
          <w:tcPr>
            <w:tcW w:w="2338" w:type="dxa"/>
            <w:vAlign w:val="bottom"/>
          </w:tcPr>
          <w:p w14:paraId="7DA2904F" w14:textId="77777777" w:rsidR="00C4272A" w:rsidRPr="00C81A1B" w:rsidRDefault="00C4272A" w:rsidP="001B41BD">
            <w:r w:rsidRPr="00C81A1B">
              <w:t>16.9</w:t>
            </w:r>
          </w:p>
        </w:tc>
      </w:tr>
    </w:tbl>
    <w:p w14:paraId="38B062E9" w14:textId="77777777" w:rsidR="00C4272A" w:rsidRPr="00C81A1B" w:rsidRDefault="00C4272A" w:rsidP="00C4272A">
      <w:r w:rsidRPr="00C81A1B">
        <w:t xml:space="preserve">Source: SC DHEC Vital Statistics. </w:t>
      </w:r>
    </w:p>
    <w:p w14:paraId="66CC380F" w14:textId="2DF780E1" w:rsidR="00C4272A" w:rsidRPr="00C4272A" w:rsidRDefault="00C4272A" w:rsidP="00C4272A">
      <w:r w:rsidRPr="00C81A1B">
        <w:t>Note: Age-adjusted.</w:t>
      </w:r>
    </w:p>
    <w:p w14:paraId="4D094874" w14:textId="77777777" w:rsidR="00C4272A" w:rsidRDefault="00C4272A" w:rsidP="007F56A0"/>
    <w:p w14:paraId="292432CF" w14:textId="77777777" w:rsidR="00C4272A" w:rsidRPr="00C4272A" w:rsidRDefault="00C4272A" w:rsidP="00C4272A">
      <w:pPr>
        <w:pStyle w:val="Heading4"/>
      </w:pPr>
      <w:bookmarkStart w:id="813" w:name="_Toc162267551"/>
      <w:r w:rsidRPr="00C4272A">
        <w:t>Data Interpretations:</w:t>
      </w:r>
      <w:bookmarkEnd w:id="813"/>
      <w:r w:rsidRPr="00C4272A">
        <w:t xml:space="preserve"> </w:t>
      </w:r>
    </w:p>
    <w:p w14:paraId="68109594" w14:textId="459E9746" w:rsidR="00C4272A" w:rsidRPr="00C4272A" w:rsidRDefault="00C4272A" w:rsidP="00C4272A">
      <w:r w:rsidRPr="00C4272A">
        <w:t>Prostate screening prevalence has been declining over the last decade. The USPSTF recommendation starting on May 8, 2018, is that the decision to be screened for prostate cancer (PSA test)</w:t>
      </w:r>
      <w:r>
        <w:t xml:space="preserve"> </w:t>
      </w:r>
      <w:r w:rsidRPr="00C4272A">
        <w:t xml:space="preserve">should be an individual one and should be a patient-provider shared decision. In 2012, approximately 49.5% of males aged 40 and older in SC had received a prostate-specific antigen (PSA) test within the past two years; however, the PSA test prevalence in 2020 fell to 32.8%. In 2020, non-Hispanic White males aged 40 and above (35.2%) were more likely to have had a PSA test in the previous two years as compared to non- Hispanic Black males of the same age (26.7%; </w:t>
      </w:r>
      <w:r w:rsidRPr="00C4272A">
        <w:rPr>
          <w:b/>
          <w:bCs/>
        </w:rPr>
        <w:t>Figure 9.39</w:t>
      </w:r>
      <w:r w:rsidRPr="00C4272A">
        <w:t>). Prostate screening prevalence also varies widely based on the highest education a person has obtained. Men who did not graduate high school have a 16.2% prevalence of having had a PSA test in SC; whereas 42.2% of men who had graduated college have had a PSA test.</w:t>
      </w:r>
    </w:p>
    <w:p w14:paraId="353B7905" w14:textId="77777777" w:rsidR="00C4272A" w:rsidRDefault="00C4272A" w:rsidP="00C4272A"/>
    <w:p w14:paraId="5F474D05" w14:textId="6429DE21" w:rsidR="00C4272A" w:rsidRPr="00C4272A" w:rsidRDefault="00C4272A" w:rsidP="00C4272A">
      <w:r w:rsidRPr="00C4272A">
        <w:t>In 2019, there were 3,715 new cases of prostate cancer in SC (</w:t>
      </w:r>
      <w:r w:rsidRPr="00C4272A">
        <w:rPr>
          <w:b/>
          <w:bCs/>
        </w:rPr>
        <w:t>Table 9.2</w:t>
      </w:r>
      <w:r w:rsidRPr="00C4272A">
        <w:t xml:space="preserve">). From 2015 through 2019, prostate cancer incidence rates were higher in SC (113.3 cases per 100,000 males) as compared to the US (109.8 cases per 100,000 males). From </w:t>
      </w:r>
      <w:r w:rsidRPr="00C4272A">
        <w:lastRenderedPageBreak/>
        <w:t>2011 to 2019, non-Hispanic Black males had a much larger prostate cancer incidence rate than non-Hispanic White males; however, the disparity has narrowed in recent years (</w:t>
      </w:r>
      <w:r w:rsidRPr="00C4272A">
        <w:rPr>
          <w:b/>
          <w:bCs/>
        </w:rPr>
        <w:t>Figure 9.40</w:t>
      </w:r>
      <w:r w:rsidRPr="00C4272A">
        <w:t>).</w:t>
      </w:r>
    </w:p>
    <w:p w14:paraId="1E7106A7" w14:textId="77777777" w:rsidR="00C4272A" w:rsidRDefault="00C4272A" w:rsidP="00C4272A"/>
    <w:p w14:paraId="215F0944" w14:textId="1C30FD45" w:rsidR="00C4272A" w:rsidRDefault="00C4272A" w:rsidP="00C4272A">
      <w:r w:rsidRPr="00C4272A">
        <w:t>In 2020, prostate cancer took the lives of 600 SC residents (</w:t>
      </w:r>
      <w:r w:rsidRPr="00C4272A">
        <w:rPr>
          <w:b/>
          <w:bCs/>
        </w:rPr>
        <w:t>Table 9.2</w:t>
      </w:r>
      <w:r w:rsidRPr="00C4272A">
        <w:t>). From 2016 through 2020, the prostate cancer incidence rate in SC (20.8 deaths per 100,000 males) was higher than the US (18.8 deaths per 100,000 males). From the five-year period of 2012 through 2016 to the five-year period of 2016 through 2020, the non-Hispanic Black prostate cancer mortality rate fell from 45.4 deaths per 100,000 males to 39.0 deaths per 100,000 males (</w:t>
      </w:r>
      <w:r w:rsidRPr="00C4272A">
        <w:rPr>
          <w:b/>
          <w:bCs/>
        </w:rPr>
        <w:t>Figure 9.41</w:t>
      </w:r>
      <w:r w:rsidRPr="00C4272A">
        <w:t>). Across the same period, the non-Hispanic White male prostate cancer mortality rate remained relatively constant. Despite these changes, non-Hispanic Black males still have a much higher mortality rate (39.0 deaths per 100,000 males) as compared to non-Hispanic White males (17.0 deaths per 100,000 males) (</w:t>
      </w:r>
      <w:r w:rsidRPr="00C4272A">
        <w:rPr>
          <w:b/>
          <w:bCs/>
        </w:rPr>
        <w:t>Figure 9.41</w:t>
      </w:r>
      <w:r w:rsidRPr="00C4272A">
        <w:t>).</w:t>
      </w:r>
    </w:p>
    <w:p w14:paraId="35B4C8F2" w14:textId="29887AC5" w:rsidR="00C4272A" w:rsidRDefault="00C4272A" w:rsidP="00C4272A">
      <w:pPr>
        <w:rPr>
          <w:i/>
          <w:iCs/>
        </w:rPr>
      </w:pPr>
    </w:p>
    <w:p w14:paraId="27089DA3" w14:textId="3622A617" w:rsidR="00C4272A" w:rsidRPr="00C4272A" w:rsidRDefault="00C4272A" w:rsidP="00C4272A">
      <w:pPr>
        <w:pStyle w:val="Heading5"/>
      </w:pPr>
      <w:r w:rsidRPr="00C4272A">
        <w:t>Key Takeaways:</w:t>
      </w:r>
    </w:p>
    <w:p w14:paraId="256D1D4A" w14:textId="07836AE3" w:rsidR="00C4272A" w:rsidRPr="00C4272A" w:rsidRDefault="00C4272A" w:rsidP="00926EB3">
      <w:pPr>
        <w:pStyle w:val="ListParagraph"/>
        <w:numPr>
          <w:ilvl w:val="0"/>
          <w:numId w:val="228"/>
        </w:numPr>
      </w:pPr>
      <w:r w:rsidRPr="00C4272A">
        <w:t>The prostate cancer mortality rate for non-Hispanic Black men is more than twice the prostate cancer mortality rate for non- Hispanic White men.</w:t>
      </w:r>
    </w:p>
    <w:p w14:paraId="61492743" w14:textId="77777777" w:rsidR="00C4272A" w:rsidRPr="00C4272A" w:rsidRDefault="00C4272A" w:rsidP="00C4272A"/>
    <w:p w14:paraId="782D7669" w14:textId="61BC36A8" w:rsidR="00C4272A" w:rsidRPr="005561F7" w:rsidRDefault="00C4272A" w:rsidP="00C4272A">
      <w:pPr>
        <w:pStyle w:val="Heading4"/>
        <w:rPr>
          <w:rFonts w:asciiTheme="minorHAnsi" w:hAnsiTheme="minorHAnsi" w:cstheme="minorHAnsi"/>
          <w:color w:val="000000" w:themeColor="text1"/>
        </w:rPr>
      </w:pPr>
      <w:bookmarkStart w:id="814" w:name="_Toc162267552"/>
      <w:r w:rsidRPr="005561F7">
        <w:rPr>
          <w:rFonts w:asciiTheme="minorHAnsi" w:hAnsiTheme="minorHAnsi" w:cstheme="minorHAnsi"/>
          <w:color w:val="000000" w:themeColor="text1"/>
        </w:rPr>
        <w:t>References 9.</w:t>
      </w:r>
      <w:r>
        <w:rPr>
          <w:rFonts w:asciiTheme="minorHAnsi" w:hAnsiTheme="minorHAnsi" w:cstheme="minorHAnsi"/>
          <w:color w:val="000000" w:themeColor="text1"/>
        </w:rPr>
        <w:t>18</w:t>
      </w:r>
      <w:bookmarkEnd w:id="814"/>
      <w:r>
        <w:rPr>
          <w:rFonts w:asciiTheme="minorHAnsi" w:hAnsiTheme="minorHAnsi" w:cstheme="minorHAnsi"/>
          <w:color w:val="000000" w:themeColor="text1"/>
        </w:rPr>
        <w:t xml:space="preserve"> </w:t>
      </w:r>
    </w:p>
    <w:p w14:paraId="0324860C" w14:textId="77777777" w:rsidR="00C4272A" w:rsidRDefault="00C4272A" w:rsidP="00C4272A">
      <w:r w:rsidRPr="005561F7">
        <w:t>Statistics in the preceding section were referenced from the following reports:</w:t>
      </w:r>
    </w:p>
    <w:p w14:paraId="5AE3778B" w14:textId="77777777" w:rsidR="00357E27" w:rsidRDefault="00357E27" w:rsidP="0060334A">
      <w:pPr>
        <w:ind w:left="720" w:hanging="360"/>
      </w:pPr>
      <w:r>
        <w:t>75.</w:t>
      </w:r>
      <w:hyperlink r:id="rId369" w:history="1">
        <w:r w:rsidRPr="00C152A8">
          <w:rPr>
            <w:rStyle w:val="Hyperlink"/>
          </w:rPr>
          <w:t>US Mortality: Surveillance, Epidemiology, and End Results (SEER) Program SEER*Stat Database: Mortality - All COD, Aggregated With State, Total U.S. (1969-2020) &lt;Katrina/Rita Population Adjustment&gt;, National Cancer Institute, DCCPS, Surveillance Research</w:t>
        </w:r>
        <w:r>
          <w:rPr>
            <w:rStyle w:val="Hyperlink"/>
          </w:rPr>
          <w:t>.</w:t>
        </w:r>
      </w:hyperlink>
    </w:p>
    <w:p w14:paraId="636DF7F2" w14:textId="77777777" w:rsidR="00357E27" w:rsidRDefault="00357E27" w:rsidP="0060334A">
      <w:pPr>
        <w:ind w:left="720" w:hanging="360"/>
      </w:pPr>
      <w:r>
        <w:t>77.</w:t>
      </w:r>
      <w:r w:rsidR="00C152A8" w:rsidRPr="00C152A8">
        <w:t>South Carolina Revenue and Fiscal Affairs Office, Hospital Discharge Patient-Level Dataset</w:t>
      </w:r>
      <w:r w:rsidRPr="00C152A8">
        <w:t>. No hyperlink.</w:t>
      </w:r>
    </w:p>
    <w:p w14:paraId="0CCDE0B3" w14:textId="77777777" w:rsidR="00C152A8" w:rsidRPr="00C152A8" w:rsidRDefault="00357E27" w:rsidP="0060334A">
      <w:pPr>
        <w:ind w:left="720" w:hanging="360"/>
      </w:pPr>
      <w:r>
        <w:t>80.</w:t>
      </w:r>
      <w:r w:rsidRPr="00C152A8">
        <w:t>“</w:t>
      </w:r>
      <w:r w:rsidR="00C152A8" w:rsidRPr="00C152A8">
        <w:t>SC Incidence: 1996-2020ytd SC Cancer Incidence Data.</w:t>
      </w:r>
      <w:r w:rsidRPr="00C152A8">
        <w:t>”</w:t>
      </w:r>
      <w:r w:rsidR="00C152A8" w:rsidRPr="00C152A8">
        <w:t xml:space="preserve"> Based file run date 11/23/21. SC Central Cancer Registry, Bureau of Chronic Disease &amp; Injury Prevention, SC </w:t>
      </w:r>
      <w:r w:rsidRPr="00C152A8">
        <w:t>DHEC</w:t>
      </w:r>
      <w:r w:rsidR="00C152A8" w:rsidRPr="00C152A8">
        <w:t xml:space="preserve">. </w:t>
      </w:r>
      <w:r w:rsidRPr="00C152A8">
        <w:t>2022. No hyperlink.</w:t>
      </w:r>
    </w:p>
    <w:p w14:paraId="0DBF3BC3" w14:textId="77777777" w:rsidR="00357E27" w:rsidRDefault="00357E27" w:rsidP="0060334A">
      <w:pPr>
        <w:ind w:left="720" w:hanging="360"/>
      </w:pPr>
      <w:r>
        <w:t>81.</w:t>
      </w:r>
      <w:r w:rsidRPr="00C152A8">
        <w:t>“</w:t>
      </w:r>
      <w:r w:rsidR="00C152A8" w:rsidRPr="00C152A8">
        <w:t>SC Mortality: 1996-2020 SC Cancer Mortality Data.</w:t>
      </w:r>
      <w:r w:rsidRPr="00C152A8">
        <w:t>”</w:t>
      </w:r>
      <w:r w:rsidR="00C152A8" w:rsidRPr="00C152A8">
        <w:t xml:space="preserve"> Based on SC Vital Records Death Data file run date 8/5/2021. SC Central Cancer Registry, SC DHEC. </w:t>
      </w:r>
      <w:r w:rsidRPr="00C152A8">
        <w:t>2022. No hyperlink.</w:t>
      </w:r>
    </w:p>
    <w:p w14:paraId="31A126C4" w14:textId="1E2EB244" w:rsidR="00357E27" w:rsidRPr="00357E27" w:rsidRDefault="00357E27" w:rsidP="0060334A">
      <w:pPr>
        <w:ind w:left="720" w:hanging="360"/>
      </w:pPr>
      <w:r>
        <w:t xml:space="preserve">82. </w:t>
      </w:r>
      <w:hyperlink r:id="rId370" w:anchor=":~:text=In%202022%2C%20an%20estimated%20609%2C360,common%20cause%20of%20cancer%20death" w:history="1">
        <w:r w:rsidRPr="00357E27">
          <w:rPr>
            <w:rStyle w:val="Hyperlink"/>
          </w:rPr>
          <w:t>“Common cancer sites - cancer stat facts” by U.S. Department of Health and Human Services. Published via SEER, 2022. Retrieved December 15, 2022.</w:t>
        </w:r>
      </w:hyperlink>
      <w:r w:rsidRPr="00C152A8">
        <w:t xml:space="preserve"> </w:t>
      </w:r>
    </w:p>
    <w:p w14:paraId="575DD22F" w14:textId="57A77F4D" w:rsidR="00357E27" w:rsidRPr="00357E27" w:rsidRDefault="00000000" w:rsidP="00926EB3">
      <w:pPr>
        <w:pStyle w:val="ListParagraph"/>
        <w:numPr>
          <w:ilvl w:val="0"/>
          <w:numId w:val="192"/>
        </w:numPr>
        <w:rPr>
          <w:u w:val="thick"/>
        </w:rPr>
      </w:pPr>
      <w:hyperlink r:id="rId371" w:history="1">
        <w:r w:rsidR="00357E27" w:rsidRPr="00357E27">
          <w:rPr>
            <w:rStyle w:val="Hyperlink"/>
          </w:rPr>
          <w:t>“Prostate cancer risk factors” by the American Cancer Society, 2020. Retrieved December 15, 2022.</w:t>
        </w:r>
      </w:hyperlink>
      <w:r w:rsidR="00357E27" w:rsidRPr="00357E27">
        <w:t xml:space="preserve"> </w:t>
      </w:r>
    </w:p>
    <w:p w14:paraId="35D11862" w14:textId="77777777" w:rsidR="00357E27" w:rsidRDefault="00357E27" w:rsidP="00357E27"/>
    <w:p w14:paraId="73F3B82D" w14:textId="77777777" w:rsidR="00C4272A" w:rsidRDefault="00C4272A" w:rsidP="00C4272A"/>
    <w:p w14:paraId="178B6D0E" w14:textId="77777777" w:rsidR="00357E27" w:rsidRDefault="00357E27" w:rsidP="00C4272A"/>
    <w:p w14:paraId="421B110D" w14:textId="77777777" w:rsidR="00C4272A" w:rsidRPr="00C4272A" w:rsidRDefault="00C4272A" w:rsidP="00C4272A">
      <w:pPr>
        <w:pStyle w:val="Heading3"/>
      </w:pPr>
      <w:bookmarkStart w:id="815" w:name="_Toc162267553"/>
      <w:r w:rsidRPr="00C4272A">
        <w:t>Poor Mental Health</w:t>
      </w:r>
      <w:bookmarkEnd w:id="815"/>
    </w:p>
    <w:p w14:paraId="370A5D2B" w14:textId="7EFD7D39" w:rsidR="00C4272A" w:rsidRPr="00C4272A" w:rsidRDefault="00C4272A" w:rsidP="00C4272A">
      <w:pPr>
        <w:rPr>
          <w:b/>
          <w:bCs/>
        </w:rPr>
      </w:pPr>
      <w:r w:rsidRPr="00C4272A">
        <w:t>Poor mental health is the state of experiencing significant emotional distress or problems with one’s psychological or social well-being and may include the presence of a mental illness. Nearly 20% of US adults aged 18 or older had a mental illness in 2019 and nearly 5% were living with a severe mental illness that interfered with their daily functioning at home, work, or in relationships. Poor mental health is associated with other poor health outcomes, including disability and chronic physical or mental health conditions such as diabetes, heart disease, stroke, or depression. According to a recent study, COVID-19 infection rates in 2020 were notably higher in US counties with a higher average of poor mental health days in the past year. Disability, chronic health conditions, and stressful life events, including trauma, abuse, or other early adverse life experiences may also increase risk of experiencing poor mental health as an adult. According to a recent survey, adults with disability were significantly more likely than adults without disability to report poor mental health and increased life stressors during COVID-19</w:t>
      </w:r>
      <w:r w:rsidR="00C8794F">
        <w:t>.</w:t>
      </w:r>
      <w:r w:rsidRPr="00C4272A">
        <w:t xml:space="preserve"> Racial and ethnic minorities and other subpopulations may also experience greater rates of poor mental health days because of stigma, discrimination, or targeted violence. Managing stress by reducing isolation and connecting with others, exercising, and taking time to relax and unwind can help to reduce the number of days poor mental health is experienced.</w:t>
      </w:r>
    </w:p>
    <w:p w14:paraId="7FD70862" w14:textId="77777777" w:rsidR="00C4272A" w:rsidRDefault="00C4272A" w:rsidP="00C4272A">
      <w:pPr>
        <w:pStyle w:val="Heading4"/>
        <w:rPr>
          <w:rFonts w:asciiTheme="minorHAnsi" w:hAnsiTheme="minorHAnsi" w:cstheme="minorHAnsi"/>
          <w:color w:val="000000" w:themeColor="text1"/>
        </w:rPr>
      </w:pPr>
    </w:p>
    <w:p w14:paraId="3EC24799" w14:textId="77777777" w:rsidR="00C8794F" w:rsidRDefault="00C8794F" w:rsidP="00C8794F">
      <w:pPr>
        <w:pStyle w:val="Heading4"/>
      </w:pPr>
      <w:bookmarkStart w:id="816" w:name="_Toc154576524"/>
      <w:bookmarkStart w:id="817" w:name="_Toc162267554"/>
      <w:r>
        <w:t xml:space="preserve">Figure 9.42: </w:t>
      </w:r>
      <w:r w:rsidRPr="000A1B96">
        <w:t>Adults Who Experienced 14 or More Poor Mental Health Days, by Age Group</w:t>
      </w:r>
      <w:r>
        <w:t>.</w:t>
      </w:r>
      <w:bookmarkEnd w:id="816"/>
      <w:bookmarkEnd w:id="817"/>
    </w:p>
    <w:tbl>
      <w:tblPr>
        <w:tblStyle w:val="TableGrid"/>
        <w:tblW w:w="0" w:type="auto"/>
        <w:tblLook w:val="04A0" w:firstRow="1" w:lastRow="0" w:firstColumn="1" w:lastColumn="0" w:noHBand="0" w:noVBand="1"/>
      </w:tblPr>
      <w:tblGrid>
        <w:gridCol w:w="4675"/>
        <w:gridCol w:w="4675"/>
      </w:tblGrid>
      <w:tr w:rsidR="00C8794F" w14:paraId="365C229E" w14:textId="77777777" w:rsidTr="001B41BD">
        <w:tc>
          <w:tcPr>
            <w:tcW w:w="4675" w:type="dxa"/>
            <w:vAlign w:val="bottom"/>
          </w:tcPr>
          <w:p w14:paraId="3E4186CF" w14:textId="77777777" w:rsidR="00C8794F" w:rsidRDefault="00C8794F" w:rsidP="001B41BD">
            <w:r>
              <w:t>Age Group</w:t>
            </w:r>
          </w:p>
        </w:tc>
        <w:tc>
          <w:tcPr>
            <w:tcW w:w="4675" w:type="dxa"/>
            <w:vAlign w:val="bottom"/>
          </w:tcPr>
          <w:p w14:paraId="72DD7EF3" w14:textId="77777777" w:rsidR="00C8794F" w:rsidRDefault="00C8794F" w:rsidP="001B41BD">
            <w:r>
              <w:t>Percent</w:t>
            </w:r>
          </w:p>
        </w:tc>
      </w:tr>
      <w:tr w:rsidR="00C8794F" w14:paraId="4315507E" w14:textId="77777777" w:rsidTr="001B41BD">
        <w:tc>
          <w:tcPr>
            <w:tcW w:w="4675" w:type="dxa"/>
            <w:vAlign w:val="bottom"/>
          </w:tcPr>
          <w:p w14:paraId="07A8E849" w14:textId="77777777" w:rsidR="00C8794F" w:rsidRDefault="00C8794F" w:rsidP="001B41BD">
            <w:r>
              <w:t>18 - 24</w:t>
            </w:r>
          </w:p>
        </w:tc>
        <w:tc>
          <w:tcPr>
            <w:tcW w:w="4675" w:type="dxa"/>
            <w:vAlign w:val="bottom"/>
          </w:tcPr>
          <w:p w14:paraId="75E3E6AC" w14:textId="77777777" w:rsidR="00C8794F" w:rsidRDefault="00C8794F" w:rsidP="001B41BD">
            <w:r>
              <w:t>26.2%</w:t>
            </w:r>
          </w:p>
        </w:tc>
      </w:tr>
      <w:tr w:rsidR="00C8794F" w14:paraId="12664194" w14:textId="77777777" w:rsidTr="001B41BD">
        <w:tc>
          <w:tcPr>
            <w:tcW w:w="4675" w:type="dxa"/>
            <w:vAlign w:val="bottom"/>
          </w:tcPr>
          <w:p w14:paraId="23BDBCEE" w14:textId="77777777" w:rsidR="00C8794F" w:rsidRDefault="00C8794F" w:rsidP="001B41BD">
            <w:r>
              <w:t>25 - 34</w:t>
            </w:r>
          </w:p>
        </w:tc>
        <w:tc>
          <w:tcPr>
            <w:tcW w:w="4675" w:type="dxa"/>
            <w:vAlign w:val="bottom"/>
          </w:tcPr>
          <w:p w14:paraId="4105B10E" w14:textId="77777777" w:rsidR="00C8794F" w:rsidRDefault="00C8794F" w:rsidP="001B41BD">
            <w:r>
              <w:t>19.8%</w:t>
            </w:r>
          </w:p>
        </w:tc>
      </w:tr>
      <w:tr w:rsidR="00C8794F" w14:paraId="290387C4" w14:textId="77777777" w:rsidTr="001B41BD">
        <w:tc>
          <w:tcPr>
            <w:tcW w:w="4675" w:type="dxa"/>
            <w:vAlign w:val="bottom"/>
          </w:tcPr>
          <w:p w14:paraId="77EE75EC" w14:textId="77777777" w:rsidR="00C8794F" w:rsidRDefault="00C8794F" w:rsidP="001B41BD">
            <w:r>
              <w:t>35 - 44</w:t>
            </w:r>
          </w:p>
        </w:tc>
        <w:tc>
          <w:tcPr>
            <w:tcW w:w="4675" w:type="dxa"/>
            <w:vAlign w:val="bottom"/>
          </w:tcPr>
          <w:p w14:paraId="122ED08E" w14:textId="77777777" w:rsidR="00C8794F" w:rsidRDefault="00C8794F" w:rsidP="001B41BD">
            <w:r>
              <w:t>20.5%</w:t>
            </w:r>
          </w:p>
        </w:tc>
      </w:tr>
      <w:tr w:rsidR="00C8794F" w14:paraId="34F5A9FE" w14:textId="77777777" w:rsidTr="001B41BD">
        <w:tc>
          <w:tcPr>
            <w:tcW w:w="4675" w:type="dxa"/>
            <w:vAlign w:val="bottom"/>
          </w:tcPr>
          <w:p w14:paraId="077C3C2E" w14:textId="77777777" w:rsidR="00C8794F" w:rsidRDefault="00C8794F" w:rsidP="001B41BD">
            <w:r>
              <w:t>45 - 54</w:t>
            </w:r>
          </w:p>
        </w:tc>
        <w:tc>
          <w:tcPr>
            <w:tcW w:w="4675" w:type="dxa"/>
            <w:vAlign w:val="bottom"/>
          </w:tcPr>
          <w:p w14:paraId="441D593F" w14:textId="77777777" w:rsidR="00C8794F" w:rsidRDefault="00C8794F" w:rsidP="001B41BD">
            <w:r>
              <w:t>15.1%</w:t>
            </w:r>
          </w:p>
        </w:tc>
      </w:tr>
      <w:tr w:rsidR="00C8794F" w14:paraId="65E79603" w14:textId="77777777" w:rsidTr="001B41BD">
        <w:tc>
          <w:tcPr>
            <w:tcW w:w="4675" w:type="dxa"/>
            <w:vAlign w:val="bottom"/>
          </w:tcPr>
          <w:p w14:paraId="4F874286" w14:textId="77777777" w:rsidR="00C8794F" w:rsidRDefault="00C8794F" w:rsidP="001B41BD">
            <w:r>
              <w:t>55 - 64</w:t>
            </w:r>
          </w:p>
        </w:tc>
        <w:tc>
          <w:tcPr>
            <w:tcW w:w="4675" w:type="dxa"/>
            <w:vAlign w:val="bottom"/>
          </w:tcPr>
          <w:p w14:paraId="130FF2F0" w14:textId="77777777" w:rsidR="00C8794F" w:rsidRDefault="00C8794F" w:rsidP="001B41BD">
            <w:r>
              <w:t>15.2%</w:t>
            </w:r>
          </w:p>
        </w:tc>
      </w:tr>
      <w:tr w:rsidR="00C8794F" w14:paraId="7B539691" w14:textId="77777777" w:rsidTr="001B41BD">
        <w:tc>
          <w:tcPr>
            <w:tcW w:w="4675" w:type="dxa"/>
            <w:vAlign w:val="bottom"/>
          </w:tcPr>
          <w:p w14:paraId="0072CD1B" w14:textId="77777777" w:rsidR="00C8794F" w:rsidRDefault="00C8794F" w:rsidP="001B41BD">
            <w:r>
              <w:t>65 - 74</w:t>
            </w:r>
          </w:p>
        </w:tc>
        <w:tc>
          <w:tcPr>
            <w:tcW w:w="4675" w:type="dxa"/>
            <w:vAlign w:val="bottom"/>
          </w:tcPr>
          <w:p w14:paraId="4F333A62" w14:textId="77777777" w:rsidR="00C8794F" w:rsidRDefault="00C8794F" w:rsidP="001B41BD">
            <w:r>
              <w:t>11.1%</w:t>
            </w:r>
          </w:p>
        </w:tc>
      </w:tr>
      <w:tr w:rsidR="00C8794F" w14:paraId="0C1778E7" w14:textId="77777777" w:rsidTr="001B41BD">
        <w:tc>
          <w:tcPr>
            <w:tcW w:w="4675" w:type="dxa"/>
            <w:vAlign w:val="bottom"/>
          </w:tcPr>
          <w:p w14:paraId="50C44398" w14:textId="77777777" w:rsidR="00C8794F" w:rsidRDefault="00C8794F" w:rsidP="001B41BD">
            <w:r>
              <w:t>75 +</w:t>
            </w:r>
          </w:p>
        </w:tc>
        <w:tc>
          <w:tcPr>
            <w:tcW w:w="4675" w:type="dxa"/>
            <w:vAlign w:val="bottom"/>
          </w:tcPr>
          <w:p w14:paraId="1461EEEB" w14:textId="77777777" w:rsidR="00C8794F" w:rsidRDefault="00C8794F" w:rsidP="001B41BD">
            <w:r>
              <w:t>7.9%</w:t>
            </w:r>
          </w:p>
        </w:tc>
      </w:tr>
    </w:tbl>
    <w:p w14:paraId="7B85ECFD" w14:textId="77777777" w:rsidR="00C8794F" w:rsidRPr="000A1B96" w:rsidRDefault="00C8794F" w:rsidP="00C8794F">
      <w:r w:rsidRPr="000A1B96">
        <w:t xml:space="preserve">Source: SC BRFSS, 2021. </w:t>
      </w:r>
    </w:p>
    <w:p w14:paraId="5BE19327" w14:textId="77777777" w:rsidR="00C8794F" w:rsidRPr="00781446" w:rsidRDefault="00C8794F" w:rsidP="00C8794F">
      <w:r w:rsidRPr="000A1B96">
        <w:lastRenderedPageBreak/>
        <w:t>Note: Adults 18+.</w:t>
      </w:r>
    </w:p>
    <w:p w14:paraId="7DFEA32F" w14:textId="77777777" w:rsidR="00C8794F" w:rsidRDefault="00C8794F" w:rsidP="00C8794F">
      <w:pPr>
        <w:pStyle w:val="Heading4"/>
      </w:pPr>
      <w:bookmarkStart w:id="818" w:name="_Toc154576525"/>
    </w:p>
    <w:p w14:paraId="77D738EC" w14:textId="7C164915" w:rsidR="00C8794F" w:rsidRDefault="00C8794F" w:rsidP="00C8794F">
      <w:pPr>
        <w:pStyle w:val="Heading4"/>
      </w:pPr>
      <w:bookmarkStart w:id="819" w:name="_Toc162267555"/>
      <w:r>
        <w:t xml:space="preserve">Figure 9.43: </w:t>
      </w:r>
      <w:r w:rsidRPr="000A1B96">
        <w:t xml:space="preserve">Adults Who Experienced 14 or More Poor Mental Health Days, by </w:t>
      </w:r>
      <w:r>
        <w:t>Disability Status.</w:t>
      </w:r>
      <w:bookmarkEnd w:id="818"/>
      <w:bookmarkEnd w:id="819"/>
    </w:p>
    <w:tbl>
      <w:tblPr>
        <w:tblStyle w:val="TableGrid"/>
        <w:tblW w:w="0" w:type="auto"/>
        <w:tblLook w:val="04A0" w:firstRow="1" w:lastRow="0" w:firstColumn="1" w:lastColumn="0" w:noHBand="0" w:noVBand="1"/>
      </w:tblPr>
      <w:tblGrid>
        <w:gridCol w:w="4675"/>
        <w:gridCol w:w="4675"/>
      </w:tblGrid>
      <w:tr w:rsidR="00C8794F" w14:paraId="6A8DBF04" w14:textId="77777777" w:rsidTr="001B41BD">
        <w:tc>
          <w:tcPr>
            <w:tcW w:w="4675" w:type="dxa"/>
          </w:tcPr>
          <w:p w14:paraId="16AFBC4F" w14:textId="77777777" w:rsidR="00C8794F" w:rsidRDefault="00C8794F" w:rsidP="001B41BD">
            <w:r>
              <w:t>Disability Status</w:t>
            </w:r>
          </w:p>
        </w:tc>
        <w:tc>
          <w:tcPr>
            <w:tcW w:w="4675" w:type="dxa"/>
          </w:tcPr>
          <w:p w14:paraId="6ED7DEDD" w14:textId="77777777" w:rsidR="00C8794F" w:rsidRDefault="00C8794F" w:rsidP="001B41BD">
            <w:r>
              <w:t>Percent</w:t>
            </w:r>
          </w:p>
        </w:tc>
      </w:tr>
      <w:tr w:rsidR="00C8794F" w14:paraId="0AB7DB3E" w14:textId="77777777" w:rsidTr="001B41BD">
        <w:tc>
          <w:tcPr>
            <w:tcW w:w="4675" w:type="dxa"/>
            <w:vAlign w:val="bottom"/>
          </w:tcPr>
          <w:p w14:paraId="5AE5EA85" w14:textId="77777777" w:rsidR="00C8794F" w:rsidRDefault="00C8794F" w:rsidP="001B41BD">
            <w:r>
              <w:t>With a Disability</w:t>
            </w:r>
          </w:p>
        </w:tc>
        <w:tc>
          <w:tcPr>
            <w:tcW w:w="4675" w:type="dxa"/>
            <w:vAlign w:val="bottom"/>
          </w:tcPr>
          <w:p w14:paraId="4162EA00" w14:textId="77777777" w:rsidR="00C8794F" w:rsidRDefault="00C8794F" w:rsidP="001B41BD">
            <w:r>
              <w:t>31.1%</w:t>
            </w:r>
          </w:p>
        </w:tc>
      </w:tr>
      <w:tr w:rsidR="00C8794F" w14:paraId="5B56FD2D" w14:textId="77777777" w:rsidTr="001B41BD">
        <w:tc>
          <w:tcPr>
            <w:tcW w:w="4675" w:type="dxa"/>
            <w:vAlign w:val="bottom"/>
          </w:tcPr>
          <w:p w14:paraId="4A6299D0" w14:textId="77777777" w:rsidR="00C8794F" w:rsidRDefault="00C8794F" w:rsidP="001B41BD">
            <w:r>
              <w:t>Without a Disability</w:t>
            </w:r>
          </w:p>
        </w:tc>
        <w:tc>
          <w:tcPr>
            <w:tcW w:w="4675" w:type="dxa"/>
            <w:vAlign w:val="bottom"/>
          </w:tcPr>
          <w:p w14:paraId="43B3948F" w14:textId="77777777" w:rsidR="00C8794F" w:rsidRDefault="00C8794F" w:rsidP="001B41BD">
            <w:r>
              <w:t>10.6%</w:t>
            </w:r>
          </w:p>
        </w:tc>
      </w:tr>
    </w:tbl>
    <w:p w14:paraId="333B8F46" w14:textId="77777777" w:rsidR="00C8794F" w:rsidRPr="000A1B96" w:rsidRDefault="00C8794F" w:rsidP="00C8794F">
      <w:r w:rsidRPr="000A1B96">
        <w:t xml:space="preserve">Source: SC BRFSS, 2021. </w:t>
      </w:r>
    </w:p>
    <w:p w14:paraId="0EF447CD" w14:textId="77777777" w:rsidR="00C8794F" w:rsidRPr="00781446" w:rsidRDefault="00C8794F" w:rsidP="00C8794F">
      <w:r w:rsidRPr="000A1B96">
        <w:t>Note: Adults 18+.</w:t>
      </w:r>
    </w:p>
    <w:p w14:paraId="74C79E35" w14:textId="77777777" w:rsidR="00C8794F" w:rsidRDefault="00C8794F" w:rsidP="00C8794F">
      <w:pPr>
        <w:pStyle w:val="Heading4"/>
      </w:pPr>
      <w:bookmarkStart w:id="820" w:name="_Toc154576526"/>
    </w:p>
    <w:p w14:paraId="4C732F01" w14:textId="2CC74C52" w:rsidR="00C8794F" w:rsidRDefault="00C8794F" w:rsidP="00C8794F">
      <w:pPr>
        <w:pStyle w:val="Heading4"/>
      </w:pPr>
      <w:bookmarkStart w:id="821" w:name="_Toc162267556"/>
      <w:r>
        <w:t xml:space="preserve">Figure 9.44: </w:t>
      </w:r>
      <w:r w:rsidRPr="000A1B96">
        <w:t xml:space="preserve">Adults Who Experienced 14 or More Poor Mental Health Days, by </w:t>
      </w:r>
      <w:r>
        <w:t>Income Level.</w:t>
      </w:r>
      <w:bookmarkEnd w:id="820"/>
      <w:bookmarkEnd w:id="821"/>
    </w:p>
    <w:tbl>
      <w:tblPr>
        <w:tblStyle w:val="TableGrid"/>
        <w:tblW w:w="0" w:type="auto"/>
        <w:tblLook w:val="04A0" w:firstRow="1" w:lastRow="0" w:firstColumn="1" w:lastColumn="0" w:noHBand="0" w:noVBand="1"/>
      </w:tblPr>
      <w:tblGrid>
        <w:gridCol w:w="4675"/>
        <w:gridCol w:w="4675"/>
      </w:tblGrid>
      <w:tr w:rsidR="00C8794F" w14:paraId="280AF0EE" w14:textId="77777777" w:rsidTr="001B41BD">
        <w:tc>
          <w:tcPr>
            <w:tcW w:w="4675" w:type="dxa"/>
            <w:vAlign w:val="bottom"/>
          </w:tcPr>
          <w:p w14:paraId="79DF27A8" w14:textId="77777777" w:rsidR="00C8794F" w:rsidRDefault="00C8794F" w:rsidP="001B41BD">
            <w:r>
              <w:t>Income</w:t>
            </w:r>
          </w:p>
        </w:tc>
        <w:tc>
          <w:tcPr>
            <w:tcW w:w="4675" w:type="dxa"/>
            <w:vAlign w:val="bottom"/>
          </w:tcPr>
          <w:p w14:paraId="01014043" w14:textId="77777777" w:rsidR="00C8794F" w:rsidRDefault="00C8794F" w:rsidP="001B41BD">
            <w:r>
              <w:t>Percent</w:t>
            </w:r>
          </w:p>
        </w:tc>
      </w:tr>
      <w:tr w:rsidR="00C8794F" w14:paraId="7E65D1FD" w14:textId="77777777" w:rsidTr="001B41BD">
        <w:tc>
          <w:tcPr>
            <w:tcW w:w="4675" w:type="dxa"/>
            <w:vAlign w:val="bottom"/>
          </w:tcPr>
          <w:p w14:paraId="46C9A2D8" w14:textId="77777777" w:rsidR="00C8794F" w:rsidRDefault="00C8794F" w:rsidP="001B41BD">
            <w:r>
              <w:t>&lt; $15K</w:t>
            </w:r>
          </w:p>
        </w:tc>
        <w:tc>
          <w:tcPr>
            <w:tcW w:w="4675" w:type="dxa"/>
            <w:vAlign w:val="bottom"/>
          </w:tcPr>
          <w:p w14:paraId="40790947" w14:textId="77777777" w:rsidR="00C8794F" w:rsidRDefault="00C8794F" w:rsidP="001B41BD">
            <w:r>
              <w:t>30.3%</w:t>
            </w:r>
          </w:p>
        </w:tc>
      </w:tr>
      <w:tr w:rsidR="00C8794F" w14:paraId="75DDB233" w14:textId="77777777" w:rsidTr="001B41BD">
        <w:tc>
          <w:tcPr>
            <w:tcW w:w="4675" w:type="dxa"/>
            <w:vAlign w:val="bottom"/>
          </w:tcPr>
          <w:p w14:paraId="2335D804" w14:textId="77777777" w:rsidR="00C8794F" w:rsidRDefault="00C8794F" w:rsidP="001B41BD">
            <w:r>
              <w:t>$15K - &lt;$25K</w:t>
            </w:r>
          </w:p>
        </w:tc>
        <w:tc>
          <w:tcPr>
            <w:tcW w:w="4675" w:type="dxa"/>
            <w:vAlign w:val="bottom"/>
          </w:tcPr>
          <w:p w14:paraId="63ACC3BA" w14:textId="77777777" w:rsidR="00C8794F" w:rsidRDefault="00C8794F" w:rsidP="001B41BD">
            <w:r>
              <w:t>24.4%</w:t>
            </w:r>
          </w:p>
        </w:tc>
      </w:tr>
      <w:tr w:rsidR="00C8794F" w14:paraId="7E5240F7" w14:textId="77777777" w:rsidTr="001B41BD">
        <w:tc>
          <w:tcPr>
            <w:tcW w:w="4675" w:type="dxa"/>
            <w:vAlign w:val="bottom"/>
          </w:tcPr>
          <w:p w14:paraId="550A437D" w14:textId="77777777" w:rsidR="00C8794F" w:rsidRDefault="00C8794F" w:rsidP="001B41BD">
            <w:r>
              <w:t>$25K - &lt;$35K</w:t>
            </w:r>
          </w:p>
        </w:tc>
        <w:tc>
          <w:tcPr>
            <w:tcW w:w="4675" w:type="dxa"/>
            <w:vAlign w:val="bottom"/>
          </w:tcPr>
          <w:p w14:paraId="05CC0115" w14:textId="77777777" w:rsidR="00C8794F" w:rsidRDefault="00C8794F" w:rsidP="001B41BD">
            <w:r>
              <w:t>21.7%</w:t>
            </w:r>
          </w:p>
        </w:tc>
      </w:tr>
      <w:tr w:rsidR="00C8794F" w14:paraId="428AAF66" w14:textId="77777777" w:rsidTr="001B41BD">
        <w:tc>
          <w:tcPr>
            <w:tcW w:w="4675" w:type="dxa"/>
            <w:vAlign w:val="bottom"/>
          </w:tcPr>
          <w:p w14:paraId="349348BB" w14:textId="77777777" w:rsidR="00C8794F" w:rsidRDefault="00C8794F" w:rsidP="001B41BD">
            <w:r>
              <w:t>$35K - &lt;$50K</w:t>
            </w:r>
          </w:p>
        </w:tc>
        <w:tc>
          <w:tcPr>
            <w:tcW w:w="4675" w:type="dxa"/>
            <w:vAlign w:val="bottom"/>
          </w:tcPr>
          <w:p w14:paraId="1159F14C" w14:textId="77777777" w:rsidR="00C8794F" w:rsidRDefault="00C8794F" w:rsidP="001B41BD">
            <w:r>
              <w:t>17.7%</w:t>
            </w:r>
          </w:p>
        </w:tc>
      </w:tr>
      <w:tr w:rsidR="00C8794F" w14:paraId="2B38EEA6" w14:textId="77777777" w:rsidTr="001B41BD">
        <w:tc>
          <w:tcPr>
            <w:tcW w:w="4675" w:type="dxa"/>
            <w:vAlign w:val="bottom"/>
          </w:tcPr>
          <w:p w14:paraId="5D77BE22" w14:textId="77777777" w:rsidR="00C8794F" w:rsidRDefault="00C8794F" w:rsidP="001B41BD">
            <w:r>
              <w:t>$50K +</w:t>
            </w:r>
          </w:p>
        </w:tc>
        <w:tc>
          <w:tcPr>
            <w:tcW w:w="4675" w:type="dxa"/>
            <w:vAlign w:val="bottom"/>
          </w:tcPr>
          <w:p w14:paraId="55C615A3" w14:textId="77777777" w:rsidR="00C8794F" w:rsidRDefault="00C8794F" w:rsidP="001B41BD">
            <w:r>
              <w:t>12.7%</w:t>
            </w:r>
          </w:p>
        </w:tc>
      </w:tr>
    </w:tbl>
    <w:p w14:paraId="42282761" w14:textId="77777777" w:rsidR="00C8794F" w:rsidRPr="000A1B96" w:rsidRDefault="00C8794F" w:rsidP="00C8794F">
      <w:r w:rsidRPr="000A1B96">
        <w:t xml:space="preserve">Source: SC BRFSS, 2021. </w:t>
      </w:r>
    </w:p>
    <w:p w14:paraId="197B7C3F" w14:textId="77777777" w:rsidR="00C8794F" w:rsidRPr="00781446" w:rsidRDefault="00C8794F" w:rsidP="00C8794F">
      <w:r w:rsidRPr="000A1B96">
        <w:t>Note: Adults 18+.</w:t>
      </w:r>
    </w:p>
    <w:p w14:paraId="7A81A2A3" w14:textId="77777777" w:rsidR="00C8794F" w:rsidRPr="00C8794F" w:rsidRDefault="00C8794F" w:rsidP="00C8794F"/>
    <w:p w14:paraId="1BEE46BC" w14:textId="77777777" w:rsidR="00C8794F" w:rsidRPr="00C8794F" w:rsidRDefault="00C8794F" w:rsidP="00C8794F">
      <w:pPr>
        <w:pStyle w:val="Heading4"/>
      </w:pPr>
      <w:bookmarkStart w:id="822" w:name="_Toc162267557"/>
      <w:r w:rsidRPr="00C8794F">
        <w:t>Data Interpretations:</w:t>
      </w:r>
      <w:bookmarkEnd w:id="822"/>
      <w:r w:rsidRPr="00C8794F">
        <w:t xml:space="preserve"> </w:t>
      </w:r>
    </w:p>
    <w:p w14:paraId="71156A2C" w14:textId="1F2D7973" w:rsidR="00C8794F" w:rsidRPr="00C8794F" w:rsidRDefault="00C8794F" w:rsidP="00C8794F">
      <w:r w:rsidRPr="00C8794F">
        <w:t xml:space="preserve">In SC, the frequency of poor mental health days in the past month differed by age group, disability status, and income among adults aged 18 and older. Nearly 1 in 5 women reported 14 or more poor mental health days in the past month compared to slightly more than 1 in 10 men. One in </w:t>
      </w:r>
      <w:r w:rsidR="00FC41EB">
        <w:t>4</w:t>
      </w:r>
      <w:r w:rsidRPr="00C8794F">
        <w:t xml:space="preserve"> (26.2%) young adults aged 18-24 experienced 14 or more poor mental health days compared to 7.9% of older adults ages 75+ (</w:t>
      </w:r>
      <w:r w:rsidRPr="00C8794F">
        <w:rPr>
          <w:b/>
          <w:bCs/>
        </w:rPr>
        <w:t>Figure 9.42</w:t>
      </w:r>
      <w:r w:rsidRPr="00C8794F">
        <w:t>). Additionally, adults with a disability were nearly three times as likely to report 14 or more poor mental health days as compared to adults without a disability (</w:t>
      </w:r>
      <w:r w:rsidRPr="00C8794F">
        <w:rPr>
          <w:b/>
          <w:bCs/>
        </w:rPr>
        <w:t>Figure 9.43</w:t>
      </w:r>
      <w:r w:rsidRPr="00C8794F">
        <w:t>). The burden of experiencing more than 14 days of poor mental days in a month increases as incomes decrease (</w:t>
      </w:r>
      <w:r w:rsidRPr="00C8794F">
        <w:rPr>
          <w:b/>
          <w:bCs/>
        </w:rPr>
        <w:t>Figure 9.4</w:t>
      </w:r>
      <w:r>
        <w:rPr>
          <w:b/>
          <w:bCs/>
        </w:rPr>
        <w:t>4</w:t>
      </w:r>
      <w:r w:rsidRPr="00C8794F">
        <w:t xml:space="preserve">). </w:t>
      </w:r>
    </w:p>
    <w:p w14:paraId="49FE32CA" w14:textId="77777777" w:rsidR="00C8794F" w:rsidRPr="00C8794F" w:rsidRDefault="00C8794F" w:rsidP="00C8794F"/>
    <w:p w14:paraId="36D58920" w14:textId="77777777" w:rsidR="00C8794F" w:rsidRPr="00C8794F" w:rsidRDefault="00C8794F" w:rsidP="00C8794F">
      <w:pPr>
        <w:pStyle w:val="Heading5"/>
      </w:pPr>
      <w:r w:rsidRPr="00C8794F">
        <w:t xml:space="preserve">Key Takeaways: </w:t>
      </w:r>
    </w:p>
    <w:p w14:paraId="3E7C29AC" w14:textId="12B91671" w:rsidR="00C8794F" w:rsidRPr="00C8794F" w:rsidRDefault="00C8794F" w:rsidP="00926EB3">
      <w:pPr>
        <w:pStyle w:val="ListParagraph"/>
        <w:numPr>
          <w:ilvl w:val="0"/>
          <w:numId w:val="228"/>
        </w:numPr>
      </w:pPr>
      <w:r w:rsidRPr="00C8794F">
        <w:t xml:space="preserve">Young, disabled, and lower-income adults who experience poor mental health in SC would benefit from increased opportunities for community and social engagement and interventions that address trauma and other </w:t>
      </w:r>
      <w:r w:rsidRPr="00C8794F">
        <w:lastRenderedPageBreak/>
        <w:t>adverse life events; provide tangible financial and other support; and mitigate barriers to care such as stigma, high medical costs, and difficulty navigating healthcare systems.</w:t>
      </w:r>
    </w:p>
    <w:p w14:paraId="75432A04" w14:textId="77777777" w:rsidR="00C8794F" w:rsidRPr="00C8794F" w:rsidRDefault="00C8794F" w:rsidP="00C8794F"/>
    <w:p w14:paraId="67C70884" w14:textId="44573C97" w:rsidR="00C4272A" w:rsidRPr="005561F7" w:rsidRDefault="00C4272A" w:rsidP="00C4272A">
      <w:pPr>
        <w:pStyle w:val="Heading4"/>
        <w:rPr>
          <w:rFonts w:asciiTheme="minorHAnsi" w:hAnsiTheme="minorHAnsi" w:cstheme="minorHAnsi"/>
          <w:color w:val="000000" w:themeColor="text1"/>
        </w:rPr>
      </w:pPr>
      <w:bookmarkStart w:id="823" w:name="_Toc162267558"/>
      <w:r w:rsidRPr="005561F7">
        <w:rPr>
          <w:rFonts w:asciiTheme="minorHAnsi" w:hAnsiTheme="minorHAnsi" w:cstheme="minorHAnsi"/>
          <w:color w:val="000000" w:themeColor="text1"/>
        </w:rPr>
        <w:t>References 9.</w:t>
      </w:r>
      <w:r>
        <w:rPr>
          <w:rFonts w:asciiTheme="minorHAnsi" w:hAnsiTheme="minorHAnsi" w:cstheme="minorHAnsi"/>
          <w:color w:val="000000" w:themeColor="text1"/>
        </w:rPr>
        <w:t>19</w:t>
      </w:r>
      <w:bookmarkEnd w:id="823"/>
      <w:r>
        <w:rPr>
          <w:rFonts w:asciiTheme="minorHAnsi" w:hAnsiTheme="minorHAnsi" w:cstheme="minorHAnsi"/>
          <w:color w:val="000000" w:themeColor="text1"/>
        </w:rPr>
        <w:t xml:space="preserve"> </w:t>
      </w:r>
    </w:p>
    <w:p w14:paraId="599EA67D" w14:textId="77777777" w:rsidR="00C4272A" w:rsidRDefault="00C4272A" w:rsidP="00C4272A">
      <w:r w:rsidRPr="005561F7">
        <w:t>Statistics in the preceding section were referenced from the following reports:</w:t>
      </w:r>
    </w:p>
    <w:p w14:paraId="178B647B" w14:textId="06B72620" w:rsidR="00357E27" w:rsidRPr="00357E27" w:rsidRDefault="00000000" w:rsidP="00926EB3">
      <w:pPr>
        <w:pStyle w:val="ListParagraph"/>
        <w:numPr>
          <w:ilvl w:val="0"/>
          <w:numId w:val="192"/>
        </w:numPr>
      </w:pPr>
      <w:hyperlink r:id="rId372" w:history="1">
        <w:r w:rsidR="00357E27" w:rsidRPr="00357E27">
          <w:rPr>
            <w:rStyle w:val="Hyperlink"/>
          </w:rPr>
          <w:t>“The way forward: Federal action for a system that works for all people living with SMI and SED and their families and caregivers – Full Report” by the Interdepartmental Serious Mental Illness Coordinating Committee (ISMICC), 2017.</w:t>
        </w:r>
      </w:hyperlink>
    </w:p>
    <w:p w14:paraId="599A72C9" w14:textId="7E541EA0" w:rsidR="00357E27" w:rsidRPr="00357E27" w:rsidRDefault="00000000" w:rsidP="00926EB3">
      <w:pPr>
        <w:pStyle w:val="ListParagraph"/>
        <w:numPr>
          <w:ilvl w:val="0"/>
          <w:numId w:val="192"/>
        </w:numPr>
      </w:pPr>
      <w:hyperlink r:id="rId373" w:history="1">
        <w:r w:rsidR="00357E27" w:rsidRPr="00357E27">
          <w:rPr>
            <w:rStyle w:val="Hyperlink"/>
          </w:rPr>
          <w:t xml:space="preserve">“Association of poor mental-health days with COVID-19 infection rates in the U.S.” by Ransome, Y. Luan, H., Song, I., </w:t>
        </w:r>
        <w:proofErr w:type="spellStart"/>
        <w:r w:rsidR="00357E27" w:rsidRPr="00357E27">
          <w:rPr>
            <w:rStyle w:val="Hyperlink"/>
          </w:rPr>
          <w:t>Fiellin</w:t>
        </w:r>
        <w:proofErr w:type="spellEnd"/>
        <w:r w:rsidR="00357E27" w:rsidRPr="00357E27">
          <w:rPr>
            <w:rStyle w:val="Hyperlink"/>
          </w:rPr>
          <w:t>, D. A., and Galea, S. Published in the American Journal of Preventive Medicine, 2021.</w:t>
        </w:r>
      </w:hyperlink>
      <w:r w:rsidR="00357E27" w:rsidRPr="00357E27">
        <w:t xml:space="preserve"> </w:t>
      </w:r>
    </w:p>
    <w:p w14:paraId="15327A64" w14:textId="2478FD99" w:rsidR="00357E27" w:rsidRPr="00357E27" w:rsidRDefault="00000000" w:rsidP="00926EB3">
      <w:pPr>
        <w:pStyle w:val="ListParagraph"/>
        <w:numPr>
          <w:ilvl w:val="0"/>
          <w:numId w:val="192"/>
        </w:numPr>
      </w:pPr>
      <w:hyperlink r:id="rId374" w:history="1">
        <w:r w:rsidR="00357E27" w:rsidRPr="00357E27">
          <w:rPr>
            <w:rStyle w:val="Hyperlink"/>
          </w:rPr>
          <w:t xml:space="preserve">“Prevalence of poor mental health days and adverse childhood experience reporting in U.S. adults before and after COVID-19” by Kapp, J. M., </w:t>
        </w:r>
        <w:proofErr w:type="spellStart"/>
        <w:r w:rsidR="00357E27" w:rsidRPr="00357E27">
          <w:rPr>
            <w:rStyle w:val="Hyperlink"/>
          </w:rPr>
          <w:t>Micheas</w:t>
        </w:r>
        <w:proofErr w:type="spellEnd"/>
        <w:r w:rsidR="00357E27" w:rsidRPr="00357E27">
          <w:rPr>
            <w:rStyle w:val="Hyperlink"/>
          </w:rPr>
          <w:t>, L., Holmes, S., Stormont, M., and Reinke, W. M. Published in Community Health Journal, 2022.</w:t>
        </w:r>
      </w:hyperlink>
      <w:r w:rsidR="00357E27" w:rsidRPr="00357E27">
        <w:t xml:space="preserve"> </w:t>
      </w:r>
    </w:p>
    <w:p w14:paraId="157AC6D9" w14:textId="59FC6FBB" w:rsidR="00474B85" w:rsidRDefault="00000000" w:rsidP="00926EB3">
      <w:pPr>
        <w:pStyle w:val="ListParagraph"/>
        <w:numPr>
          <w:ilvl w:val="0"/>
          <w:numId w:val="192"/>
        </w:numPr>
      </w:pPr>
      <w:hyperlink r:id="rId375" w:history="1">
        <w:r w:rsidR="00357E27" w:rsidRPr="00357E27">
          <w:rPr>
            <w:rStyle w:val="Hyperlink"/>
          </w:rPr>
          <w:t xml:space="preserve">“Indicators of poor mental health and stressors during the COVID-19 pandemic, by disability status: A cross-sectional analysis” by Okoro, C. A., </w:t>
        </w:r>
        <w:proofErr w:type="spellStart"/>
        <w:r w:rsidR="00357E27" w:rsidRPr="00357E27">
          <w:rPr>
            <w:rStyle w:val="Hyperlink"/>
          </w:rPr>
          <w:t>Strine</w:t>
        </w:r>
        <w:proofErr w:type="spellEnd"/>
        <w:r w:rsidR="00357E27" w:rsidRPr="00357E27">
          <w:rPr>
            <w:rStyle w:val="Hyperlink"/>
          </w:rPr>
          <w:t>, T. W., McKnight-</w:t>
        </w:r>
        <w:proofErr w:type="spellStart"/>
        <w:r w:rsidR="00357E27" w:rsidRPr="00357E27">
          <w:rPr>
            <w:rStyle w:val="Hyperlink"/>
          </w:rPr>
          <w:t>Eily</w:t>
        </w:r>
        <w:proofErr w:type="spellEnd"/>
        <w:r w:rsidR="00357E27" w:rsidRPr="00357E27">
          <w:rPr>
            <w:rStyle w:val="Hyperlink"/>
          </w:rPr>
          <w:t xml:space="preserve">, L., </w:t>
        </w:r>
        <w:proofErr w:type="spellStart"/>
        <w:r w:rsidR="00357E27" w:rsidRPr="00357E27">
          <w:rPr>
            <w:rStyle w:val="Hyperlink"/>
          </w:rPr>
          <w:t>Verlenden</w:t>
        </w:r>
        <w:proofErr w:type="spellEnd"/>
        <w:r w:rsidR="00357E27" w:rsidRPr="00357E27">
          <w:rPr>
            <w:rStyle w:val="Hyperlink"/>
          </w:rPr>
          <w:t>, J., Hollis, N.D. Published in the Disability and Health Journal,</w:t>
        </w:r>
      </w:hyperlink>
      <w:r w:rsidR="00357E27">
        <w:t xml:space="preserve"> </w:t>
      </w:r>
    </w:p>
    <w:p w14:paraId="515B2491" w14:textId="77777777" w:rsidR="00357E27" w:rsidRDefault="00357E27" w:rsidP="007F56A0"/>
    <w:p w14:paraId="7099A621" w14:textId="77777777" w:rsidR="00474B85" w:rsidRPr="00474B85" w:rsidRDefault="00474B85" w:rsidP="00474B85">
      <w:pPr>
        <w:pStyle w:val="Heading3"/>
      </w:pPr>
      <w:bookmarkStart w:id="824" w:name="_Toc162267559"/>
      <w:r w:rsidRPr="00474B85">
        <w:t>Depression</w:t>
      </w:r>
      <w:bookmarkEnd w:id="824"/>
    </w:p>
    <w:p w14:paraId="6B9B7608" w14:textId="5B7F226C" w:rsidR="00474B85" w:rsidRPr="00474B85" w:rsidRDefault="00474B85" w:rsidP="00474B85">
      <w:r w:rsidRPr="00474B85">
        <w:t xml:space="preserve">Depression is one of the most common mental health conditions in the US and a leading cause of disability globally. Also called clinical depression or major depressive disorder, depression is a serious mood disorder with episodes that last for at least two weeks. During major depressive episodes, adults may lose interest in daily activities, have low energy, concentration, or self-worth, or have trouble sleeping or eating. Recurring suicidal thoughts may also occur. Different types of depression exist ranging in symptom severity and duration and may include depressive episodes related to seasonal changes, pregnancy, or bipolar disorder. Rates and symptoms differ by age, racial/ethnic group, and sex. </w:t>
      </w:r>
    </w:p>
    <w:p w14:paraId="0A280AAC" w14:textId="77777777" w:rsidR="00474B85" w:rsidRDefault="00474B85" w:rsidP="00474B85"/>
    <w:p w14:paraId="460BEF04" w14:textId="2676402F" w:rsidR="00474B85" w:rsidRPr="00474B85" w:rsidRDefault="00474B85" w:rsidP="00474B85">
      <w:r w:rsidRPr="00474B85">
        <w:t xml:space="preserve">Risks for developing depression result from a complex interplay of environmental, genetic, psychological, and social factors including adverse life experiences. Depression often begins in adulthood and may co-occur with other serious medical conditions that emerge as people age. People with chronic medical </w:t>
      </w:r>
      <w:r w:rsidRPr="00474B85">
        <w:lastRenderedPageBreak/>
        <w:t xml:space="preserve">conditions are also at higher risk of developing depression. They may have more severe symptoms of both their depression and medical illness and experience higher medical costs. </w:t>
      </w:r>
    </w:p>
    <w:p w14:paraId="2F27DB96" w14:textId="77777777" w:rsidR="00474B85" w:rsidRDefault="00474B85" w:rsidP="00474B85"/>
    <w:p w14:paraId="52DD4BB0" w14:textId="2E98E395" w:rsidR="00474B85" w:rsidRPr="00474B85" w:rsidRDefault="00474B85" w:rsidP="00474B85">
      <w:r w:rsidRPr="00474B85">
        <w:t>Treatment and support are available for people experiencing depression. However, access to treatment varies by age, race/ethnicity, and insurance coverage status</w:t>
      </w:r>
      <w:r w:rsidR="00FC41EB">
        <w:t>,</w:t>
      </w:r>
      <w:r w:rsidRPr="00474B85">
        <w:t xml:space="preserve"> and types of available treatment vary by whether someone lives in a rural or metropolitan area. Barriers to receiving treatment include high cost of care, provider shortages, and lack of awareness about how to access available care. Stigma and perceived discrimination may also prevent adults from seeking or receiving treatment for depression.</w:t>
      </w:r>
    </w:p>
    <w:p w14:paraId="6EF4D48C" w14:textId="77777777" w:rsidR="00474B85" w:rsidRDefault="00474B85" w:rsidP="007F56A0"/>
    <w:p w14:paraId="5C4DD823" w14:textId="77777777" w:rsidR="00474B85" w:rsidRDefault="00474B85" w:rsidP="00474B85">
      <w:pPr>
        <w:pStyle w:val="Heading4"/>
      </w:pPr>
      <w:bookmarkStart w:id="825" w:name="_Toc154576527"/>
      <w:bookmarkStart w:id="826" w:name="_Toc162267560"/>
      <w:r>
        <w:t>Figure 9.45: Depression Among Adults, by Sex.</w:t>
      </w:r>
      <w:bookmarkEnd w:id="825"/>
      <w:bookmarkEnd w:id="826"/>
    </w:p>
    <w:tbl>
      <w:tblPr>
        <w:tblStyle w:val="TableGrid"/>
        <w:tblW w:w="0" w:type="auto"/>
        <w:tblLook w:val="04A0" w:firstRow="1" w:lastRow="0" w:firstColumn="1" w:lastColumn="0" w:noHBand="0" w:noVBand="1"/>
      </w:tblPr>
      <w:tblGrid>
        <w:gridCol w:w="4675"/>
        <w:gridCol w:w="4675"/>
      </w:tblGrid>
      <w:tr w:rsidR="00474B85" w14:paraId="6263853E" w14:textId="77777777" w:rsidTr="001B41BD">
        <w:tc>
          <w:tcPr>
            <w:tcW w:w="4675" w:type="dxa"/>
            <w:vAlign w:val="bottom"/>
          </w:tcPr>
          <w:p w14:paraId="3169998C" w14:textId="77777777" w:rsidR="00474B85" w:rsidRDefault="00474B85" w:rsidP="001B41BD">
            <w:r>
              <w:t>Sex</w:t>
            </w:r>
          </w:p>
        </w:tc>
        <w:tc>
          <w:tcPr>
            <w:tcW w:w="4675" w:type="dxa"/>
            <w:vAlign w:val="bottom"/>
          </w:tcPr>
          <w:p w14:paraId="3B3459BD" w14:textId="77777777" w:rsidR="00474B85" w:rsidRDefault="00474B85" w:rsidP="001B41BD">
            <w:r>
              <w:t>Percent</w:t>
            </w:r>
          </w:p>
        </w:tc>
      </w:tr>
      <w:tr w:rsidR="00474B85" w14:paraId="60B26D3D" w14:textId="77777777" w:rsidTr="001B41BD">
        <w:tc>
          <w:tcPr>
            <w:tcW w:w="4675" w:type="dxa"/>
            <w:vAlign w:val="bottom"/>
          </w:tcPr>
          <w:p w14:paraId="1EFB96B5" w14:textId="77777777" w:rsidR="00474B85" w:rsidRDefault="00474B85" w:rsidP="001B41BD">
            <w:r>
              <w:t>Male</w:t>
            </w:r>
          </w:p>
        </w:tc>
        <w:tc>
          <w:tcPr>
            <w:tcW w:w="4675" w:type="dxa"/>
            <w:vAlign w:val="center"/>
          </w:tcPr>
          <w:p w14:paraId="34D168E8" w14:textId="77777777" w:rsidR="00474B85" w:rsidRDefault="00474B85" w:rsidP="001B41BD">
            <w:r>
              <w:t>13.9%</w:t>
            </w:r>
          </w:p>
        </w:tc>
      </w:tr>
      <w:tr w:rsidR="00474B85" w14:paraId="72503577" w14:textId="77777777" w:rsidTr="001B41BD">
        <w:tc>
          <w:tcPr>
            <w:tcW w:w="4675" w:type="dxa"/>
            <w:vAlign w:val="bottom"/>
          </w:tcPr>
          <w:p w14:paraId="381598A6" w14:textId="77777777" w:rsidR="00474B85" w:rsidRDefault="00474B85" w:rsidP="001B41BD">
            <w:r>
              <w:t>Female</w:t>
            </w:r>
          </w:p>
        </w:tc>
        <w:tc>
          <w:tcPr>
            <w:tcW w:w="4675" w:type="dxa"/>
            <w:vAlign w:val="center"/>
          </w:tcPr>
          <w:p w14:paraId="2F8DE9D4" w14:textId="77777777" w:rsidR="00474B85" w:rsidRDefault="00474B85" w:rsidP="001B41BD">
            <w:r>
              <w:t>25.1%</w:t>
            </w:r>
          </w:p>
        </w:tc>
      </w:tr>
    </w:tbl>
    <w:p w14:paraId="0A201311" w14:textId="77777777" w:rsidR="00474B85" w:rsidRPr="000A1B96" w:rsidRDefault="00474B85" w:rsidP="00474B85">
      <w:r w:rsidRPr="000A1B96">
        <w:t xml:space="preserve">Source: SC BRFSS, 2021. </w:t>
      </w:r>
    </w:p>
    <w:p w14:paraId="0B8817D2" w14:textId="77777777" w:rsidR="00474B85" w:rsidRPr="000A1B96" w:rsidRDefault="00474B85" w:rsidP="00474B85">
      <w:r w:rsidRPr="000A1B96">
        <w:t>Note: Adults 18+.</w:t>
      </w:r>
    </w:p>
    <w:p w14:paraId="01044E8D" w14:textId="77777777" w:rsidR="00474B85" w:rsidRDefault="00474B85" w:rsidP="00474B85">
      <w:pPr>
        <w:pStyle w:val="Heading4"/>
      </w:pPr>
      <w:bookmarkStart w:id="827" w:name="_Toc154576528"/>
    </w:p>
    <w:p w14:paraId="7F067FF1" w14:textId="1AA32D0F" w:rsidR="00474B85" w:rsidRDefault="00474B85" w:rsidP="00474B85">
      <w:pPr>
        <w:pStyle w:val="Heading4"/>
      </w:pPr>
      <w:bookmarkStart w:id="828" w:name="_Toc162267561"/>
      <w:r>
        <w:t>Figure 9.46: Depression Among Adults, by Race/Ethnicity.</w:t>
      </w:r>
      <w:bookmarkEnd w:id="827"/>
      <w:bookmarkEnd w:id="828"/>
    </w:p>
    <w:tbl>
      <w:tblPr>
        <w:tblStyle w:val="TableGrid"/>
        <w:tblW w:w="0" w:type="auto"/>
        <w:tblLook w:val="04A0" w:firstRow="1" w:lastRow="0" w:firstColumn="1" w:lastColumn="0" w:noHBand="0" w:noVBand="1"/>
      </w:tblPr>
      <w:tblGrid>
        <w:gridCol w:w="4675"/>
        <w:gridCol w:w="4675"/>
      </w:tblGrid>
      <w:tr w:rsidR="00474B85" w14:paraId="02055ADA" w14:textId="77777777" w:rsidTr="001B41BD">
        <w:tc>
          <w:tcPr>
            <w:tcW w:w="4675" w:type="dxa"/>
            <w:vAlign w:val="bottom"/>
          </w:tcPr>
          <w:p w14:paraId="37674AA5" w14:textId="77777777" w:rsidR="00474B85" w:rsidRDefault="00474B85" w:rsidP="001B41BD">
            <w:r>
              <w:t>Race/Ethnicity</w:t>
            </w:r>
          </w:p>
        </w:tc>
        <w:tc>
          <w:tcPr>
            <w:tcW w:w="4675" w:type="dxa"/>
            <w:vAlign w:val="bottom"/>
          </w:tcPr>
          <w:p w14:paraId="10A76CCB" w14:textId="77777777" w:rsidR="00474B85" w:rsidRDefault="00474B85" w:rsidP="001B41BD">
            <w:r>
              <w:t>Percent</w:t>
            </w:r>
          </w:p>
        </w:tc>
      </w:tr>
      <w:tr w:rsidR="00474B85" w14:paraId="5B0A11B4" w14:textId="77777777" w:rsidTr="001B41BD">
        <w:tc>
          <w:tcPr>
            <w:tcW w:w="4675" w:type="dxa"/>
            <w:vAlign w:val="bottom"/>
          </w:tcPr>
          <w:p w14:paraId="227B0C07" w14:textId="77777777" w:rsidR="00474B85" w:rsidRDefault="00474B85" w:rsidP="001B41BD">
            <w:r>
              <w:t>Non-Hispanic White</w:t>
            </w:r>
          </w:p>
        </w:tc>
        <w:tc>
          <w:tcPr>
            <w:tcW w:w="4675" w:type="dxa"/>
            <w:vAlign w:val="center"/>
          </w:tcPr>
          <w:p w14:paraId="6589302D" w14:textId="77777777" w:rsidR="00474B85" w:rsidRDefault="00474B85" w:rsidP="001B41BD">
            <w:r>
              <w:t>22.7%</w:t>
            </w:r>
          </w:p>
        </w:tc>
      </w:tr>
      <w:tr w:rsidR="00474B85" w14:paraId="1630AE4B" w14:textId="77777777" w:rsidTr="001B41BD">
        <w:tc>
          <w:tcPr>
            <w:tcW w:w="4675" w:type="dxa"/>
            <w:vAlign w:val="bottom"/>
          </w:tcPr>
          <w:p w14:paraId="2C55FAB0" w14:textId="77777777" w:rsidR="00474B85" w:rsidRDefault="00474B85" w:rsidP="001B41BD">
            <w:r>
              <w:t>Non-Hispanic Black</w:t>
            </w:r>
          </w:p>
        </w:tc>
        <w:tc>
          <w:tcPr>
            <w:tcW w:w="4675" w:type="dxa"/>
            <w:vAlign w:val="center"/>
          </w:tcPr>
          <w:p w14:paraId="797EF2AC" w14:textId="77777777" w:rsidR="00474B85" w:rsidRDefault="00474B85" w:rsidP="001B41BD">
            <w:r>
              <w:t>13.8%</w:t>
            </w:r>
          </w:p>
        </w:tc>
      </w:tr>
      <w:tr w:rsidR="00474B85" w14:paraId="34F69271" w14:textId="77777777" w:rsidTr="001B41BD">
        <w:tc>
          <w:tcPr>
            <w:tcW w:w="4675" w:type="dxa"/>
            <w:vAlign w:val="bottom"/>
          </w:tcPr>
          <w:p w14:paraId="649B25D2" w14:textId="77777777" w:rsidR="00474B85" w:rsidRDefault="00474B85" w:rsidP="001B41BD">
            <w:r>
              <w:t>Hispanic</w:t>
            </w:r>
          </w:p>
        </w:tc>
        <w:tc>
          <w:tcPr>
            <w:tcW w:w="4675" w:type="dxa"/>
            <w:vAlign w:val="center"/>
          </w:tcPr>
          <w:p w14:paraId="2F06DA6F" w14:textId="77777777" w:rsidR="00474B85" w:rsidRDefault="00474B85" w:rsidP="001B41BD">
            <w:r>
              <w:t>9.9%</w:t>
            </w:r>
          </w:p>
        </w:tc>
      </w:tr>
    </w:tbl>
    <w:p w14:paraId="725CC2C7" w14:textId="77777777" w:rsidR="00474B85" w:rsidRPr="000A1B96" w:rsidRDefault="00474B85" w:rsidP="00474B85">
      <w:r w:rsidRPr="000A1B96">
        <w:t xml:space="preserve">Source: SC BRFSS, 2021. </w:t>
      </w:r>
    </w:p>
    <w:p w14:paraId="6BA9424D" w14:textId="77777777" w:rsidR="00474B85" w:rsidRPr="000A1B96" w:rsidRDefault="00474B85" w:rsidP="00474B85">
      <w:r w:rsidRPr="000A1B96">
        <w:t>Note: Adults 18+.</w:t>
      </w:r>
    </w:p>
    <w:p w14:paraId="20A2A510" w14:textId="77777777" w:rsidR="00474B85" w:rsidRDefault="00474B85" w:rsidP="00474B85">
      <w:pPr>
        <w:pStyle w:val="Heading4"/>
      </w:pPr>
      <w:bookmarkStart w:id="829" w:name="_Toc154576529"/>
    </w:p>
    <w:p w14:paraId="57618779" w14:textId="21E31B7F" w:rsidR="00474B85" w:rsidRDefault="00474B85" w:rsidP="00474B85">
      <w:pPr>
        <w:pStyle w:val="Heading4"/>
      </w:pPr>
      <w:bookmarkStart w:id="830" w:name="_Toc162267562"/>
      <w:r>
        <w:t xml:space="preserve">Figure 9.47: </w:t>
      </w:r>
      <w:r w:rsidRPr="000A1B96">
        <w:t>Any Mental Illness Compared to Receipt of Mental Health Services among Adults, by Age Group</w:t>
      </w:r>
      <w:r>
        <w:t>.</w:t>
      </w:r>
      <w:bookmarkEnd w:id="829"/>
      <w:bookmarkEnd w:id="830"/>
    </w:p>
    <w:tbl>
      <w:tblPr>
        <w:tblStyle w:val="TableGrid"/>
        <w:tblW w:w="0" w:type="auto"/>
        <w:tblLook w:val="04A0" w:firstRow="1" w:lastRow="0" w:firstColumn="1" w:lastColumn="0" w:noHBand="0" w:noVBand="1"/>
      </w:tblPr>
      <w:tblGrid>
        <w:gridCol w:w="3116"/>
        <w:gridCol w:w="3117"/>
        <w:gridCol w:w="3117"/>
      </w:tblGrid>
      <w:tr w:rsidR="00474B85" w14:paraId="2E30A6E0" w14:textId="77777777" w:rsidTr="001B41BD">
        <w:tc>
          <w:tcPr>
            <w:tcW w:w="3116" w:type="dxa"/>
            <w:vAlign w:val="bottom"/>
          </w:tcPr>
          <w:p w14:paraId="5396FE67" w14:textId="77777777" w:rsidR="00474B85" w:rsidRPr="000A1B96" w:rsidRDefault="00474B85" w:rsidP="001B41BD">
            <w:r>
              <w:t>Status</w:t>
            </w:r>
          </w:p>
        </w:tc>
        <w:tc>
          <w:tcPr>
            <w:tcW w:w="3117" w:type="dxa"/>
            <w:vAlign w:val="bottom"/>
          </w:tcPr>
          <w:p w14:paraId="62AAA044" w14:textId="77777777" w:rsidR="00474B85" w:rsidRPr="000A1B96" w:rsidRDefault="00474B85" w:rsidP="001B41BD">
            <w:r w:rsidRPr="000A1B96">
              <w:t>18-25</w:t>
            </w:r>
          </w:p>
        </w:tc>
        <w:tc>
          <w:tcPr>
            <w:tcW w:w="3117" w:type="dxa"/>
            <w:vAlign w:val="bottom"/>
          </w:tcPr>
          <w:p w14:paraId="46D32B4B" w14:textId="77777777" w:rsidR="00474B85" w:rsidRPr="000A1B96" w:rsidRDefault="00474B85" w:rsidP="001B41BD">
            <w:r w:rsidRPr="000A1B96">
              <w:t>26+</w:t>
            </w:r>
          </w:p>
        </w:tc>
      </w:tr>
      <w:tr w:rsidR="00474B85" w14:paraId="0B9108C2" w14:textId="77777777" w:rsidTr="001B41BD">
        <w:tc>
          <w:tcPr>
            <w:tcW w:w="3116" w:type="dxa"/>
            <w:vAlign w:val="bottom"/>
          </w:tcPr>
          <w:p w14:paraId="1B7EB5EB" w14:textId="77777777" w:rsidR="00474B85" w:rsidRPr="000A1B96" w:rsidRDefault="00474B85" w:rsidP="001B41BD">
            <w:r w:rsidRPr="000A1B96">
              <w:t>Any Mental Illness</w:t>
            </w:r>
          </w:p>
        </w:tc>
        <w:tc>
          <w:tcPr>
            <w:tcW w:w="3117" w:type="dxa"/>
            <w:vAlign w:val="bottom"/>
          </w:tcPr>
          <w:p w14:paraId="6715CA57" w14:textId="77777777" w:rsidR="00474B85" w:rsidRPr="000A1B96" w:rsidRDefault="00474B85" w:rsidP="001B41BD">
            <w:r w:rsidRPr="000A1B96">
              <w:t>24.1%</w:t>
            </w:r>
          </w:p>
        </w:tc>
        <w:tc>
          <w:tcPr>
            <w:tcW w:w="3117" w:type="dxa"/>
            <w:vAlign w:val="bottom"/>
          </w:tcPr>
          <w:p w14:paraId="4A0060DE" w14:textId="77777777" w:rsidR="00474B85" w:rsidRPr="000A1B96" w:rsidRDefault="00474B85" w:rsidP="001B41BD">
            <w:r w:rsidRPr="000A1B96">
              <w:t>18.7%</w:t>
            </w:r>
          </w:p>
        </w:tc>
      </w:tr>
      <w:tr w:rsidR="00474B85" w14:paraId="3A4B9F4D" w14:textId="77777777" w:rsidTr="001B41BD">
        <w:tc>
          <w:tcPr>
            <w:tcW w:w="3116" w:type="dxa"/>
            <w:vAlign w:val="bottom"/>
          </w:tcPr>
          <w:p w14:paraId="5609A15D" w14:textId="77777777" w:rsidR="00474B85" w:rsidRPr="000A1B96" w:rsidRDefault="00474B85" w:rsidP="001B41BD">
            <w:r w:rsidRPr="000A1B96">
              <w:t>Received Mental Health Services</w:t>
            </w:r>
          </w:p>
        </w:tc>
        <w:tc>
          <w:tcPr>
            <w:tcW w:w="3117" w:type="dxa"/>
            <w:vAlign w:val="bottom"/>
          </w:tcPr>
          <w:p w14:paraId="4A80510A" w14:textId="77777777" w:rsidR="00474B85" w:rsidRPr="000A1B96" w:rsidRDefault="00474B85" w:rsidP="001B41BD">
            <w:r w:rsidRPr="000A1B96">
              <w:t>15.5%</w:t>
            </w:r>
          </w:p>
        </w:tc>
        <w:tc>
          <w:tcPr>
            <w:tcW w:w="3117" w:type="dxa"/>
            <w:vAlign w:val="bottom"/>
          </w:tcPr>
          <w:p w14:paraId="37B1C7D2" w14:textId="77777777" w:rsidR="00474B85" w:rsidRPr="000A1B96" w:rsidRDefault="00474B85" w:rsidP="001B41BD">
            <w:r w:rsidRPr="000A1B96">
              <w:t>16.0%</w:t>
            </w:r>
          </w:p>
        </w:tc>
      </w:tr>
    </w:tbl>
    <w:p w14:paraId="022B28EA" w14:textId="77777777" w:rsidR="00474B85" w:rsidRPr="000A1B96" w:rsidRDefault="00474B85" w:rsidP="00474B85">
      <w:r w:rsidRPr="000A1B96">
        <w:t xml:space="preserve">Source: National Survey on Drug Use and Health, 2018-2019. </w:t>
      </w:r>
    </w:p>
    <w:p w14:paraId="4CCD479D" w14:textId="77777777" w:rsidR="00474B85" w:rsidRPr="00781446" w:rsidRDefault="00474B85" w:rsidP="00474B85">
      <w:r w:rsidRPr="000A1B96">
        <w:t>Note: Adults 18+.</w:t>
      </w:r>
    </w:p>
    <w:p w14:paraId="253F6856" w14:textId="77777777" w:rsidR="00474B85" w:rsidRDefault="00474B85" w:rsidP="007F56A0"/>
    <w:p w14:paraId="6339D506" w14:textId="77777777" w:rsidR="00474B85" w:rsidRPr="00474B85" w:rsidRDefault="00474B85" w:rsidP="00474B85">
      <w:pPr>
        <w:pStyle w:val="Heading4"/>
      </w:pPr>
      <w:bookmarkStart w:id="831" w:name="_Toc162267563"/>
      <w:r w:rsidRPr="00474B85">
        <w:lastRenderedPageBreak/>
        <w:t>Data Interpretations:</w:t>
      </w:r>
      <w:bookmarkEnd w:id="831"/>
      <w:r w:rsidRPr="00474B85">
        <w:t xml:space="preserve"> </w:t>
      </w:r>
    </w:p>
    <w:p w14:paraId="1F066A53" w14:textId="561431D0" w:rsidR="00474B85" w:rsidRDefault="00474B85" w:rsidP="007F56A0">
      <w:r w:rsidRPr="00474B85">
        <w:t>1 in 5 SC adult residents aged 18 or older reported a depressive disorder in 2021. Prevalence of depressive disorders in SC varied by county, household income, and demographics.  Females (25.1%) had a higher prevalence of reporting a depressive disorder than males (13.9%) (</w:t>
      </w:r>
      <w:r w:rsidRPr="00474B85">
        <w:rPr>
          <w:b/>
          <w:bCs/>
        </w:rPr>
        <w:t>Figure 9.45</w:t>
      </w:r>
      <w:r w:rsidRPr="00474B85">
        <w:t>). Non-Hispanic Whites had a higher prevalence of reporting a depressive disorder than non-Hispanic Blacks and Hispanics (</w:t>
      </w:r>
      <w:r w:rsidRPr="00474B85">
        <w:rPr>
          <w:b/>
          <w:bCs/>
        </w:rPr>
        <w:t>Figure 9.46</w:t>
      </w:r>
      <w:r w:rsidRPr="00474B85">
        <w:t>). Union County had the highest percentage of adults living with a depressive disorder compared to the state (28.5% vs. 20.3%). Depressive disorders were also more prevalent among residents with lower incomes. Residents with annual household income less than $15,000 (28.3%) had a higher prevalence of reporting a depressive disorder than residents with annual household income exceeding $200,000 (11.1%). According to the National Survey of Drug Use and Health (NSDUH), SC young adults aged 18-25 had a higher prevalence of mental illness compared to SC adults aged 26 or older. Nearly 16% of both age groups received mental health services (</w:t>
      </w:r>
      <w:r w:rsidRPr="00474B85">
        <w:rPr>
          <w:b/>
          <w:bCs/>
        </w:rPr>
        <w:t>Figure 9.47</w:t>
      </w:r>
      <w:r w:rsidRPr="00474B85">
        <w:t xml:space="preserve">). </w:t>
      </w:r>
    </w:p>
    <w:p w14:paraId="5D22BEE4" w14:textId="77777777" w:rsidR="00474B85" w:rsidRDefault="00474B85" w:rsidP="007F56A0"/>
    <w:p w14:paraId="28B59D22" w14:textId="33043A5D" w:rsidR="00474B85" w:rsidRPr="00474B85" w:rsidRDefault="00474B85" w:rsidP="00474B85">
      <w:pPr>
        <w:pStyle w:val="Heading5"/>
      </w:pPr>
      <w:r w:rsidRPr="00474B85">
        <w:t>Key Takeaways:</w:t>
      </w:r>
    </w:p>
    <w:p w14:paraId="27D69F9B" w14:textId="77777777" w:rsidR="00474B85" w:rsidRPr="00474B85" w:rsidRDefault="00474B85" w:rsidP="00926EB3">
      <w:pPr>
        <w:pStyle w:val="ListParagraph"/>
        <w:numPr>
          <w:ilvl w:val="0"/>
          <w:numId w:val="228"/>
        </w:numPr>
      </w:pPr>
      <w:r w:rsidRPr="00474B85">
        <w:t>A collaborative system of care is needed to manage both the physical and mental health needs of all adults with depression, especially those who also have another serious medical condition.</w:t>
      </w:r>
    </w:p>
    <w:p w14:paraId="5EBCF31C" w14:textId="77777777" w:rsidR="00474B85" w:rsidRPr="00474B85" w:rsidRDefault="00474B85" w:rsidP="00474B85"/>
    <w:p w14:paraId="418ADF38" w14:textId="472AB9FB" w:rsidR="00474B85" w:rsidRPr="00474B85" w:rsidRDefault="00474B85" w:rsidP="00474B85">
      <w:pPr>
        <w:pStyle w:val="Heading4"/>
        <w:rPr>
          <w:rFonts w:asciiTheme="minorHAnsi" w:hAnsiTheme="minorHAnsi" w:cstheme="minorHAnsi"/>
          <w:color w:val="000000" w:themeColor="text1"/>
        </w:rPr>
      </w:pPr>
      <w:bookmarkStart w:id="832" w:name="_Toc162267564"/>
      <w:r w:rsidRPr="00474B85">
        <w:rPr>
          <w:rFonts w:asciiTheme="minorHAnsi" w:hAnsiTheme="minorHAnsi" w:cstheme="minorHAnsi"/>
          <w:color w:val="000000" w:themeColor="text1"/>
        </w:rPr>
        <w:t>References 9.20</w:t>
      </w:r>
      <w:bookmarkEnd w:id="832"/>
    </w:p>
    <w:p w14:paraId="07A23174" w14:textId="77777777" w:rsidR="00474B85" w:rsidRPr="00474B85" w:rsidRDefault="00474B85" w:rsidP="00474B85">
      <w:r w:rsidRPr="00474B85">
        <w:t>Statistics in the preceding section were referenced from the following reports:</w:t>
      </w:r>
    </w:p>
    <w:p w14:paraId="3FB32E08" w14:textId="46174FFE" w:rsidR="00357E27" w:rsidRPr="00357E27" w:rsidRDefault="00000000" w:rsidP="00926EB3">
      <w:pPr>
        <w:pStyle w:val="ListParagraph"/>
        <w:numPr>
          <w:ilvl w:val="0"/>
          <w:numId w:val="192"/>
        </w:numPr>
      </w:pPr>
      <w:hyperlink r:id="rId376" w:history="1">
        <w:r w:rsidR="0093795F" w:rsidRPr="0093795F">
          <w:rPr>
            <w:rStyle w:val="Hyperlink"/>
          </w:rPr>
          <w:t>“</w:t>
        </w:r>
        <w:r w:rsidR="00357E27" w:rsidRPr="0093795F">
          <w:rPr>
            <w:rStyle w:val="Hyperlink"/>
          </w:rPr>
          <w:t>Major Depression</w:t>
        </w:r>
        <w:r w:rsidR="0093795F" w:rsidRPr="0093795F">
          <w:rPr>
            <w:rStyle w:val="Hyperlink"/>
          </w:rPr>
          <w:t>” by the National Institute of Mental Health (NIMH)</w:t>
        </w:r>
        <w:r w:rsidR="00357E27" w:rsidRPr="0093795F">
          <w:rPr>
            <w:rStyle w:val="Hyperlink"/>
          </w:rPr>
          <w:t>. Retrieved</w:t>
        </w:r>
        <w:r w:rsidR="0093795F" w:rsidRPr="0093795F">
          <w:rPr>
            <w:rStyle w:val="Hyperlink"/>
          </w:rPr>
          <w:t xml:space="preserve"> </w:t>
        </w:r>
        <w:r w:rsidR="00357E27" w:rsidRPr="0093795F">
          <w:rPr>
            <w:rStyle w:val="Hyperlink"/>
          </w:rPr>
          <w:t>on December 22, 2022</w:t>
        </w:r>
        <w:r w:rsidR="0093795F" w:rsidRPr="0093795F">
          <w:rPr>
            <w:rStyle w:val="Hyperlink"/>
          </w:rPr>
          <w:t>.</w:t>
        </w:r>
      </w:hyperlink>
    </w:p>
    <w:p w14:paraId="57F9AC6A" w14:textId="4123D695" w:rsidR="00357E27" w:rsidRPr="00357E27" w:rsidRDefault="00000000" w:rsidP="00926EB3">
      <w:pPr>
        <w:pStyle w:val="ListParagraph"/>
        <w:numPr>
          <w:ilvl w:val="0"/>
          <w:numId w:val="192"/>
        </w:numPr>
      </w:pPr>
      <w:hyperlink r:id="rId377" w:history="1">
        <w:r w:rsidR="0093795F" w:rsidRPr="0093795F">
          <w:rPr>
            <w:rStyle w:val="Hyperlink"/>
          </w:rPr>
          <w:t>“</w:t>
        </w:r>
        <w:r w:rsidR="00357E27" w:rsidRPr="0093795F">
          <w:rPr>
            <w:rStyle w:val="Hyperlink"/>
          </w:rPr>
          <w:t>Key substance use and mental health indicators in the United States: Results from the 2019 National Survey on Drug Use and Health</w:t>
        </w:r>
        <w:r w:rsidR="0093795F" w:rsidRPr="0093795F">
          <w:rPr>
            <w:rStyle w:val="Hyperlink"/>
          </w:rPr>
          <w:t>”</w:t>
        </w:r>
        <w:r w:rsidR="00357E27" w:rsidRPr="0093795F">
          <w:rPr>
            <w:rStyle w:val="Hyperlink"/>
          </w:rPr>
          <w:t xml:space="preserve"> </w:t>
        </w:r>
        <w:r w:rsidR="0093795F" w:rsidRPr="0093795F">
          <w:rPr>
            <w:rStyle w:val="Hyperlink"/>
          </w:rPr>
          <w:t>by the Substance Abuse and Mental Health Services Administration (SAMHSA) (2020).</w:t>
        </w:r>
      </w:hyperlink>
      <w:r w:rsidR="0093795F" w:rsidRPr="0093795F">
        <w:t xml:space="preserve"> </w:t>
      </w:r>
    </w:p>
    <w:p w14:paraId="2058519A" w14:textId="1F9F866A" w:rsidR="00357E27" w:rsidRPr="00357E27" w:rsidRDefault="00000000" w:rsidP="00926EB3">
      <w:pPr>
        <w:pStyle w:val="ListParagraph"/>
        <w:numPr>
          <w:ilvl w:val="0"/>
          <w:numId w:val="192"/>
        </w:numPr>
      </w:pPr>
      <w:hyperlink r:id="rId378" w:history="1">
        <w:r w:rsidR="0093795F" w:rsidRPr="0093795F">
          <w:rPr>
            <w:rStyle w:val="Hyperlink"/>
          </w:rPr>
          <w:t>“</w:t>
        </w:r>
        <w:r w:rsidR="00357E27" w:rsidRPr="0093795F">
          <w:rPr>
            <w:rStyle w:val="Hyperlink"/>
          </w:rPr>
          <w:t>Chronic Illness and Mental Health: Recognizing and Treating Depression</w:t>
        </w:r>
        <w:r w:rsidR="0093795F" w:rsidRPr="0093795F">
          <w:rPr>
            <w:rStyle w:val="Hyperlink"/>
          </w:rPr>
          <w:t>” by the National Institute of Mental Health (NIMH) via nimh.nig.gov</w:t>
        </w:r>
        <w:r w:rsidR="00357E27" w:rsidRPr="0093795F">
          <w:rPr>
            <w:rStyle w:val="Hyperlink"/>
          </w:rPr>
          <w:t>. Retrieved on January 27, 2023.</w:t>
        </w:r>
      </w:hyperlink>
    </w:p>
    <w:p w14:paraId="773F346B" w14:textId="709EF077" w:rsidR="00357E27" w:rsidRPr="00357E27" w:rsidRDefault="0093795F" w:rsidP="00926EB3">
      <w:pPr>
        <w:pStyle w:val="ListParagraph"/>
        <w:numPr>
          <w:ilvl w:val="0"/>
          <w:numId w:val="192"/>
        </w:numPr>
      </w:pPr>
      <w:r>
        <w:t>“</w:t>
      </w:r>
      <w:r w:rsidR="00357E27" w:rsidRPr="00357E27">
        <w:t>Mental health treatment among adults: United States, 2019 (NCHS Data Brief No. 380)</w:t>
      </w:r>
      <w:r>
        <w:t xml:space="preserve">” by </w:t>
      </w:r>
      <w:proofErr w:type="spellStart"/>
      <w:r w:rsidRPr="00357E27">
        <w:t>Terlizzi</w:t>
      </w:r>
      <w:proofErr w:type="spellEnd"/>
      <w:r w:rsidRPr="00357E27">
        <w:t xml:space="preserve">, E.P. &amp; </w:t>
      </w:r>
      <w:proofErr w:type="spellStart"/>
      <w:r w:rsidRPr="00357E27">
        <w:t>Zablotsky</w:t>
      </w:r>
      <w:proofErr w:type="spellEnd"/>
      <w:r w:rsidRPr="00357E27">
        <w:t>, B.</w:t>
      </w:r>
      <w:r>
        <w:t xml:space="preserve"> Published by the </w:t>
      </w:r>
      <w:r w:rsidR="00357E27" w:rsidRPr="00357E27">
        <w:t>National Center for Health Statistics (NCHS)</w:t>
      </w:r>
      <w:r>
        <w:t xml:space="preserve">, </w:t>
      </w:r>
      <w:r w:rsidRPr="00357E27">
        <w:t>Hyattsville, Maryland</w:t>
      </w:r>
      <w:r>
        <w:t>, 2020.</w:t>
      </w:r>
    </w:p>
    <w:p w14:paraId="4ECAE4E8" w14:textId="5F856C49" w:rsidR="00357E27" w:rsidRPr="00357E27" w:rsidRDefault="00000000" w:rsidP="00926EB3">
      <w:pPr>
        <w:pStyle w:val="ListParagraph"/>
        <w:numPr>
          <w:ilvl w:val="0"/>
          <w:numId w:val="192"/>
        </w:numPr>
        <w:rPr>
          <w:u w:val="thick"/>
        </w:rPr>
      </w:pPr>
      <w:hyperlink r:id="rId379" w:history="1">
        <w:r w:rsidR="0093795F" w:rsidRPr="0093795F">
          <w:rPr>
            <w:rStyle w:val="Hyperlink"/>
          </w:rPr>
          <w:t>“</w:t>
        </w:r>
        <w:r w:rsidR="00357E27" w:rsidRPr="0093795F">
          <w:rPr>
            <w:rStyle w:val="Hyperlink"/>
          </w:rPr>
          <w:t>The state of mental health in America 2022</w:t>
        </w:r>
        <w:r w:rsidR="0093795F" w:rsidRPr="0093795F">
          <w:rPr>
            <w:rStyle w:val="Hyperlink"/>
          </w:rPr>
          <w:t xml:space="preserve">” by Reinert, M. </w:t>
        </w:r>
        <w:proofErr w:type="spellStart"/>
        <w:r w:rsidR="0093795F" w:rsidRPr="0093795F">
          <w:rPr>
            <w:rStyle w:val="Hyperlink"/>
          </w:rPr>
          <w:t>Fritze</w:t>
        </w:r>
        <w:proofErr w:type="spellEnd"/>
        <w:r w:rsidR="0093795F" w:rsidRPr="0093795F">
          <w:rPr>
            <w:rStyle w:val="Hyperlink"/>
          </w:rPr>
          <w:t xml:space="preserve">, D. &amp; Nguyen, T. Published in </w:t>
        </w:r>
        <w:r w:rsidR="00357E27" w:rsidRPr="0093795F">
          <w:rPr>
            <w:rStyle w:val="Hyperlink"/>
          </w:rPr>
          <w:t>The UMB Digital Archive</w:t>
        </w:r>
        <w:r w:rsidR="0093795F" w:rsidRPr="0093795F">
          <w:rPr>
            <w:rStyle w:val="Hyperlink"/>
          </w:rPr>
          <w:t>, 2021</w:t>
        </w:r>
        <w:r w:rsidR="00357E27" w:rsidRPr="0093795F">
          <w:rPr>
            <w:rStyle w:val="Hyperlink"/>
          </w:rPr>
          <w:t>. Retrieved December 20, 2022</w:t>
        </w:r>
        <w:r w:rsidR="0093795F" w:rsidRPr="0093795F">
          <w:rPr>
            <w:rStyle w:val="Hyperlink"/>
          </w:rPr>
          <w:t>.</w:t>
        </w:r>
      </w:hyperlink>
      <w:r w:rsidR="00357E27" w:rsidRPr="00357E27">
        <w:t xml:space="preserve"> </w:t>
      </w:r>
    </w:p>
    <w:p w14:paraId="00479B0F" w14:textId="77777777" w:rsidR="00357E27" w:rsidRDefault="00357E27" w:rsidP="007F56A0"/>
    <w:p w14:paraId="74886051" w14:textId="77777777" w:rsidR="00474B85" w:rsidRPr="00474B85" w:rsidRDefault="00474B85" w:rsidP="00474B85">
      <w:pPr>
        <w:pStyle w:val="Heading3"/>
      </w:pPr>
      <w:bookmarkStart w:id="833" w:name="_Toc162267565"/>
      <w:r w:rsidRPr="00474B85">
        <w:t>Substance Use</w:t>
      </w:r>
      <w:bookmarkEnd w:id="833"/>
    </w:p>
    <w:p w14:paraId="274C9940" w14:textId="3A5F8473" w:rsidR="00474B85" w:rsidRPr="00474B85" w:rsidRDefault="00474B85" w:rsidP="00474B85">
      <w:r w:rsidRPr="00474B85">
        <w:t xml:space="preserve">Use of alcohol and other drugs in adults has increased, particularly during the COVID-19 pandemic. Reasons for alcohol and drug misuse by people may be to help cope with stress or trauma. Furthermore, research has found that co-occurring substance </w:t>
      </w:r>
      <w:proofErr w:type="gramStart"/>
      <w:r w:rsidRPr="00474B85">
        <w:t>use</w:t>
      </w:r>
      <w:proofErr w:type="gramEnd"/>
      <w:r w:rsidRPr="00474B85">
        <w:t xml:space="preserve"> and mental health issues are common. Although </w:t>
      </w:r>
      <w:proofErr w:type="gramStart"/>
      <w:r w:rsidRPr="00474B85">
        <w:t>the majority of</w:t>
      </w:r>
      <w:proofErr w:type="gramEnd"/>
      <w:r w:rsidRPr="00474B85">
        <w:t xml:space="preserve"> overdoses are experienced by people </w:t>
      </w:r>
      <w:r w:rsidR="00FC41EB">
        <w:t>w</w:t>
      </w:r>
      <w:r w:rsidRPr="00474B85">
        <w:t xml:space="preserve">ho are White, the burden has increased among non-Hispanic Black, Hispanic, and non-Hispanic Other racial and ethnic groups. Overall, any person, regardless of age, gender, or race, may be at risk of an overdose if they misuse prescription drugs or use illicit drugs. </w:t>
      </w:r>
    </w:p>
    <w:p w14:paraId="022C5DB1" w14:textId="77777777" w:rsidR="00474B85" w:rsidRDefault="00474B85" w:rsidP="00474B85"/>
    <w:p w14:paraId="409FF109" w14:textId="062ADA23" w:rsidR="00474B85" w:rsidRPr="00474B85" w:rsidRDefault="00474B85" w:rsidP="00474B85">
      <w:r w:rsidRPr="00474B85">
        <w:t xml:space="preserve">Drug use can increase the risk of brain injury, heart attack, stroke, and blood-borne infections, including HIV, hepatitis C, and heart infections called endocarditis. Polysubstance use, or exposure to more than one drug, further increases risks for adverse health outcomes. Finally, excessive alcohol consumption or hepatitis C is associated with increased rates of liver-scarring or cirrhosis.  This condition can lead to morbidity and mortality and most cirrhosis deaths are associated with excessive alcohol use. </w:t>
      </w:r>
    </w:p>
    <w:p w14:paraId="55AF7F19" w14:textId="77777777" w:rsidR="00474B85" w:rsidRDefault="00474B85" w:rsidP="00474B85"/>
    <w:p w14:paraId="60D705CD" w14:textId="54E44AA4" w:rsidR="00474B85" w:rsidRDefault="00474B85" w:rsidP="00474B85">
      <w:r w:rsidRPr="00474B85">
        <w:t>To combat substance misuse, communities and healthcare systems can provide education and awareness of the harms of using substances and support protective factors like positive family/mentoring relationships and financial stability.</w:t>
      </w:r>
      <w:r>
        <w:rPr>
          <w:b/>
          <w:bCs/>
        </w:rPr>
        <w:t xml:space="preserve"> </w:t>
      </w:r>
      <w:r w:rsidRPr="00474B85">
        <w:t>Outpatient care, emergency services, and criminal justice settings can identify and link people to care. Harm reduction, which focuses on meeting people “where they are” to prevent overdose and infectious disease transmission, can also be a pathway to other prevention, treatment, recovery, and health services. Anyone can learn to give naloxone to save a life by reversing an overdose from opioids. Stigma surrounding these conditions is often a barrier to seeking services and support.</w:t>
      </w:r>
      <w:r w:rsidRPr="00474B85">
        <w:rPr>
          <w:b/>
          <w:bCs/>
        </w:rPr>
        <w:t xml:space="preserve"> </w:t>
      </w:r>
      <w:r w:rsidRPr="00474B85">
        <w:t xml:space="preserve">Therefore, communities that also address stigma may find more people receptive to treatment and preventative care. </w:t>
      </w:r>
    </w:p>
    <w:p w14:paraId="6D5EF211" w14:textId="77777777" w:rsidR="00C81CDC" w:rsidRDefault="00C81CDC" w:rsidP="00474B85"/>
    <w:p w14:paraId="32110757" w14:textId="77777777" w:rsidR="00474B85" w:rsidRDefault="00474B85" w:rsidP="00474B85">
      <w:pPr>
        <w:pStyle w:val="Heading4"/>
      </w:pPr>
      <w:bookmarkStart w:id="834" w:name="_Toc154576530"/>
      <w:bookmarkStart w:id="835" w:name="_Toc162267566"/>
      <w:r>
        <w:t>Figure 9.48: Binge Drinking, by Age Group</w:t>
      </w:r>
      <w:bookmarkEnd w:id="834"/>
      <w:bookmarkEnd w:id="835"/>
    </w:p>
    <w:tbl>
      <w:tblPr>
        <w:tblStyle w:val="TableGrid"/>
        <w:tblW w:w="0" w:type="auto"/>
        <w:tblLook w:val="04A0" w:firstRow="1" w:lastRow="0" w:firstColumn="1" w:lastColumn="0" w:noHBand="0" w:noVBand="1"/>
      </w:tblPr>
      <w:tblGrid>
        <w:gridCol w:w="3116"/>
        <w:gridCol w:w="3117"/>
        <w:gridCol w:w="3117"/>
      </w:tblGrid>
      <w:tr w:rsidR="00474B85" w14:paraId="7C96D0E3" w14:textId="77777777" w:rsidTr="001B41BD">
        <w:tc>
          <w:tcPr>
            <w:tcW w:w="3116" w:type="dxa"/>
            <w:vAlign w:val="bottom"/>
          </w:tcPr>
          <w:p w14:paraId="52535665" w14:textId="77777777" w:rsidR="00474B85" w:rsidRPr="00972687" w:rsidRDefault="00474B85" w:rsidP="001B41BD">
            <w:r>
              <w:t>Age Group</w:t>
            </w:r>
          </w:p>
        </w:tc>
        <w:tc>
          <w:tcPr>
            <w:tcW w:w="3117" w:type="dxa"/>
            <w:vAlign w:val="bottom"/>
          </w:tcPr>
          <w:p w14:paraId="62263219" w14:textId="77777777" w:rsidR="00474B85" w:rsidRPr="00972687" w:rsidRDefault="00474B85" w:rsidP="001B41BD">
            <w:r>
              <w:t>Percent</w:t>
            </w:r>
          </w:p>
        </w:tc>
        <w:tc>
          <w:tcPr>
            <w:tcW w:w="3117" w:type="dxa"/>
            <w:vAlign w:val="bottom"/>
          </w:tcPr>
          <w:p w14:paraId="6E5CE3AA" w14:textId="77777777" w:rsidR="00474B85" w:rsidRPr="00972687" w:rsidRDefault="00474B85" w:rsidP="001B41BD">
            <w:r>
              <w:t>Healthy People 2030 Goal</w:t>
            </w:r>
          </w:p>
        </w:tc>
      </w:tr>
      <w:tr w:rsidR="00474B85" w14:paraId="18ECA9B3" w14:textId="77777777" w:rsidTr="001B41BD">
        <w:tc>
          <w:tcPr>
            <w:tcW w:w="3116" w:type="dxa"/>
            <w:vAlign w:val="bottom"/>
          </w:tcPr>
          <w:p w14:paraId="40D89677" w14:textId="77777777" w:rsidR="00474B85" w:rsidRPr="00972687" w:rsidRDefault="00474B85" w:rsidP="001B41BD">
            <w:r>
              <w:lastRenderedPageBreak/>
              <w:t>21-24</w:t>
            </w:r>
          </w:p>
        </w:tc>
        <w:tc>
          <w:tcPr>
            <w:tcW w:w="3117" w:type="dxa"/>
            <w:vAlign w:val="center"/>
          </w:tcPr>
          <w:p w14:paraId="501132C3" w14:textId="77777777" w:rsidR="00474B85" w:rsidRPr="00972687" w:rsidRDefault="00474B85" w:rsidP="001B41BD">
            <w:r>
              <w:t>28.1%</w:t>
            </w:r>
          </w:p>
        </w:tc>
        <w:tc>
          <w:tcPr>
            <w:tcW w:w="3117" w:type="dxa"/>
            <w:vAlign w:val="center"/>
          </w:tcPr>
          <w:p w14:paraId="3ED55362" w14:textId="77777777" w:rsidR="00474B85" w:rsidRPr="00972687" w:rsidRDefault="00474B85" w:rsidP="001B41BD">
            <w:r>
              <w:t>25.4%</w:t>
            </w:r>
          </w:p>
        </w:tc>
      </w:tr>
      <w:tr w:rsidR="00474B85" w14:paraId="3EA21ABE" w14:textId="77777777" w:rsidTr="001B41BD">
        <w:tc>
          <w:tcPr>
            <w:tcW w:w="3116" w:type="dxa"/>
            <w:vAlign w:val="bottom"/>
          </w:tcPr>
          <w:p w14:paraId="4A36FC5D" w14:textId="77777777" w:rsidR="00474B85" w:rsidRPr="00972687" w:rsidRDefault="00474B85" w:rsidP="001B41BD">
            <w:r>
              <w:t>25-34</w:t>
            </w:r>
          </w:p>
        </w:tc>
        <w:tc>
          <w:tcPr>
            <w:tcW w:w="3117" w:type="dxa"/>
            <w:vAlign w:val="center"/>
          </w:tcPr>
          <w:p w14:paraId="3A7C4870" w14:textId="77777777" w:rsidR="00474B85" w:rsidRPr="00972687" w:rsidRDefault="00474B85" w:rsidP="001B41BD">
            <w:r>
              <w:t>24.2%</w:t>
            </w:r>
          </w:p>
        </w:tc>
        <w:tc>
          <w:tcPr>
            <w:tcW w:w="3117" w:type="dxa"/>
            <w:vAlign w:val="center"/>
          </w:tcPr>
          <w:p w14:paraId="4CF3C38F" w14:textId="77777777" w:rsidR="00474B85" w:rsidRPr="00972687" w:rsidRDefault="00474B85" w:rsidP="001B41BD">
            <w:r>
              <w:t>25.4%</w:t>
            </w:r>
          </w:p>
        </w:tc>
      </w:tr>
      <w:tr w:rsidR="00474B85" w14:paraId="4568298F" w14:textId="77777777" w:rsidTr="001B41BD">
        <w:tc>
          <w:tcPr>
            <w:tcW w:w="3116" w:type="dxa"/>
            <w:vAlign w:val="bottom"/>
          </w:tcPr>
          <w:p w14:paraId="6BE8C409" w14:textId="77777777" w:rsidR="00474B85" w:rsidRPr="00972687" w:rsidRDefault="00474B85" w:rsidP="001B41BD">
            <w:r>
              <w:t>35-44</w:t>
            </w:r>
          </w:p>
        </w:tc>
        <w:tc>
          <w:tcPr>
            <w:tcW w:w="3117" w:type="dxa"/>
            <w:vAlign w:val="center"/>
          </w:tcPr>
          <w:p w14:paraId="5BB58561" w14:textId="77777777" w:rsidR="00474B85" w:rsidRPr="00972687" w:rsidRDefault="00474B85" w:rsidP="001B41BD">
            <w:r>
              <w:t>18.5%</w:t>
            </w:r>
          </w:p>
        </w:tc>
        <w:tc>
          <w:tcPr>
            <w:tcW w:w="3117" w:type="dxa"/>
            <w:vAlign w:val="center"/>
          </w:tcPr>
          <w:p w14:paraId="5DCABAAB" w14:textId="77777777" w:rsidR="00474B85" w:rsidRPr="00972687" w:rsidRDefault="00474B85" w:rsidP="001B41BD">
            <w:r>
              <w:t>25.4%</w:t>
            </w:r>
          </w:p>
        </w:tc>
      </w:tr>
      <w:tr w:rsidR="00474B85" w14:paraId="6B025B49" w14:textId="77777777" w:rsidTr="001B41BD">
        <w:tc>
          <w:tcPr>
            <w:tcW w:w="3116" w:type="dxa"/>
            <w:vAlign w:val="bottom"/>
          </w:tcPr>
          <w:p w14:paraId="480F1AF5" w14:textId="77777777" w:rsidR="00474B85" w:rsidRPr="00972687" w:rsidRDefault="00474B85" w:rsidP="001B41BD">
            <w:r>
              <w:t>45-54</w:t>
            </w:r>
          </w:p>
        </w:tc>
        <w:tc>
          <w:tcPr>
            <w:tcW w:w="3117" w:type="dxa"/>
            <w:vAlign w:val="center"/>
          </w:tcPr>
          <w:p w14:paraId="0689F1D7" w14:textId="77777777" w:rsidR="00474B85" w:rsidRPr="00972687" w:rsidRDefault="00474B85" w:rsidP="001B41BD">
            <w:r>
              <w:t>15.8%</w:t>
            </w:r>
          </w:p>
        </w:tc>
        <w:tc>
          <w:tcPr>
            <w:tcW w:w="3117" w:type="dxa"/>
            <w:vAlign w:val="center"/>
          </w:tcPr>
          <w:p w14:paraId="750F677F" w14:textId="77777777" w:rsidR="00474B85" w:rsidRPr="00972687" w:rsidRDefault="00474B85" w:rsidP="001B41BD">
            <w:r>
              <w:t>25.4%</w:t>
            </w:r>
          </w:p>
        </w:tc>
      </w:tr>
      <w:tr w:rsidR="00474B85" w14:paraId="56B4D62B" w14:textId="77777777" w:rsidTr="001B41BD">
        <w:tc>
          <w:tcPr>
            <w:tcW w:w="3116" w:type="dxa"/>
            <w:vAlign w:val="bottom"/>
          </w:tcPr>
          <w:p w14:paraId="5474EBCA" w14:textId="77777777" w:rsidR="00474B85" w:rsidRPr="00972687" w:rsidRDefault="00474B85" w:rsidP="001B41BD">
            <w:r>
              <w:t>55-64</w:t>
            </w:r>
          </w:p>
        </w:tc>
        <w:tc>
          <w:tcPr>
            <w:tcW w:w="3117" w:type="dxa"/>
            <w:vAlign w:val="center"/>
          </w:tcPr>
          <w:p w14:paraId="2486905B" w14:textId="77777777" w:rsidR="00474B85" w:rsidRPr="00972687" w:rsidRDefault="00474B85" w:rsidP="001B41BD">
            <w:r>
              <w:t>12.0%</w:t>
            </w:r>
          </w:p>
        </w:tc>
        <w:tc>
          <w:tcPr>
            <w:tcW w:w="3117" w:type="dxa"/>
            <w:vAlign w:val="center"/>
          </w:tcPr>
          <w:p w14:paraId="595CC315" w14:textId="77777777" w:rsidR="00474B85" w:rsidRPr="00972687" w:rsidRDefault="00474B85" w:rsidP="001B41BD">
            <w:r>
              <w:t>25.4%</w:t>
            </w:r>
          </w:p>
        </w:tc>
      </w:tr>
      <w:tr w:rsidR="00474B85" w14:paraId="5CC1310F" w14:textId="77777777" w:rsidTr="001B41BD">
        <w:tc>
          <w:tcPr>
            <w:tcW w:w="3116" w:type="dxa"/>
            <w:vAlign w:val="bottom"/>
          </w:tcPr>
          <w:p w14:paraId="72890BC8" w14:textId="77777777" w:rsidR="00474B85" w:rsidRPr="00972687" w:rsidRDefault="00474B85" w:rsidP="001B41BD">
            <w:r>
              <w:t>65+</w:t>
            </w:r>
          </w:p>
        </w:tc>
        <w:tc>
          <w:tcPr>
            <w:tcW w:w="3117" w:type="dxa"/>
            <w:vAlign w:val="center"/>
          </w:tcPr>
          <w:p w14:paraId="0E95E189" w14:textId="77777777" w:rsidR="00474B85" w:rsidRDefault="00474B85" w:rsidP="001B41BD">
            <w:r>
              <w:t>5.4%</w:t>
            </w:r>
          </w:p>
        </w:tc>
        <w:tc>
          <w:tcPr>
            <w:tcW w:w="3117" w:type="dxa"/>
            <w:vAlign w:val="center"/>
          </w:tcPr>
          <w:p w14:paraId="26F9EB36" w14:textId="77777777" w:rsidR="00474B85" w:rsidRDefault="00474B85" w:rsidP="001B41BD">
            <w:r>
              <w:t>25.4%</w:t>
            </w:r>
          </w:p>
        </w:tc>
      </w:tr>
    </w:tbl>
    <w:p w14:paraId="7A84005C" w14:textId="77777777" w:rsidR="00474B85" w:rsidRPr="000A1B96" w:rsidRDefault="00474B85" w:rsidP="00474B85">
      <w:r w:rsidRPr="000A1B96">
        <w:t xml:space="preserve">Source: SC BRFSS, 2021. </w:t>
      </w:r>
    </w:p>
    <w:p w14:paraId="350EC98D" w14:textId="77777777" w:rsidR="00474B85" w:rsidRPr="00781446" w:rsidRDefault="00474B85" w:rsidP="00474B85">
      <w:r w:rsidRPr="000A1B96">
        <w:t>Notes: Ages 21+.</w:t>
      </w:r>
    </w:p>
    <w:p w14:paraId="0326CBB9" w14:textId="77777777" w:rsidR="00474B85" w:rsidRDefault="00474B85" w:rsidP="00474B85">
      <w:pPr>
        <w:pStyle w:val="Heading4"/>
      </w:pPr>
      <w:bookmarkStart w:id="836" w:name="_Toc154576531"/>
    </w:p>
    <w:p w14:paraId="2D39199C" w14:textId="350104ED" w:rsidR="00474B85" w:rsidRDefault="00474B85" w:rsidP="00474B85">
      <w:pPr>
        <w:pStyle w:val="Heading4"/>
      </w:pPr>
      <w:bookmarkStart w:id="837" w:name="_Toc162267567"/>
      <w:r>
        <w:t>Figure 9.49: Cirrhosis Deaths</w:t>
      </w:r>
      <w:bookmarkEnd w:id="836"/>
      <w:bookmarkEnd w:id="837"/>
      <w:r>
        <w:t xml:space="preserve"> </w:t>
      </w:r>
    </w:p>
    <w:p w14:paraId="0298337E" w14:textId="77777777" w:rsidR="00474B85" w:rsidRDefault="00474B85" w:rsidP="00474B85">
      <w:pPr>
        <w:pStyle w:val="Heading5"/>
        <w:rPr>
          <w:rStyle w:val="A10"/>
          <w:rFonts w:asciiTheme="majorHAnsi" w:hAnsiTheme="majorHAnsi" w:cstheme="majorBidi"/>
          <w:b/>
          <w:bCs w:val="0"/>
          <w:i w:val="0"/>
          <w:iCs w:val="0"/>
          <w:sz w:val="28"/>
          <w:szCs w:val="24"/>
        </w:rPr>
      </w:pPr>
      <w:r w:rsidRPr="000A1B96">
        <w:rPr>
          <w:rStyle w:val="A10"/>
          <w:rFonts w:asciiTheme="majorHAnsi" w:hAnsiTheme="majorHAnsi" w:cstheme="majorBidi"/>
          <w:bCs w:val="0"/>
          <w:sz w:val="28"/>
          <w:szCs w:val="24"/>
        </w:rPr>
        <w:t xml:space="preserve">Rate per 100,000 </w:t>
      </w:r>
      <w:proofErr w:type="gramStart"/>
      <w:r w:rsidRPr="000A1B96">
        <w:rPr>
          <w:rStyle w:val="A10"/>
          <w:rFonts w:asciiTheme="majorHAnsi" w:hAnsiTheme="majorHAnsi" w:cstheme="majorBidi"/>
          <w:bCs w:val="0"/>
          <w:sz w:val="28"/>
          <w:szCs w:val="24"/>
        </w:rPr>
        <w:t>population</w:t>
      </w:r>
      <w:proofErr w:type="gramEnd"/>
    </w:p>
    <w:tbl>
      <w:tblPr>
        <w:tblStyle w:val="TableGrid"/>
        <w:tblW w:w="0" w:type="auto"/>
        <w:tblLook w:val="04A0" w:firstRow="1" w:lastRow="0" w:firstColumn="1" w:lastColumn="0" w:noHBand="0" w:noVBand="1"/>
      </w:tblPr>
      <w:tblGrid>
        <w:gridCol w:w="3116"/>
        <w:gridCol w:w="3117"/>
        <w:gridCol w:w="3117"/>
      </w:tblGrid>
      <w:tr w:rsidR="00474B85" w14:paraId="5502C1F0" w14:textId="77777777" w:rsidTr="001B41BD">
        <w:tc>
          <w:tcPr>
            <w:tcW w:w="3116" w:type="dxa"/>
          </w:tcPr>
          <w:p w14:paraId="23FC16A2" w14:textId="77777777" w:rsidR="00474B85" w:rsidRDefault="00474B85" w:rsidP="001B41BD">
            <w:r>
              <w:t>Years</w:t>
            </w:r>
          </w:p>
        </w:tc>
        <w:tc>
          <w:tcPr>
            <w:tcW w:w="3117" w:type="dxa"/>
          </w:tcPr>
          <w:p w14:paraId="18FCFEA0" w14:textId="77777777" w:rsidR="00474B85" w:rsidRDefault="00474B85" w:rsidP="001B41BD">
            <w:r>
              <w:t>SC</w:t>
            </w:r>
          </w:p>
        </w:tc>
        <w:tc>
          <w:tcPr>
            <w:tcW w:w="3117" w:type="dxa"/>
          </w:tcPr>
          <w:p w14:paraId="3CC10C54" w14:textId="77777777" w:rsidR="00474B85" w:rsidRDefault="00474B85" w:rsidP="001B41BD">
            <w:r>
              <w:t>Healthy People 2030 Goal</w:t>
            </w:r>
          </w:p>
        </w:tc>
      </w:tr>
      <w:tr w:rsidR="00474B85" w14:paraId="4F60D1B3" w14:textId="77777777" w:rsidTr="001B41BD">
        <w:tc>
          <w:tcPr>
            <w:tcW w:w="3116" w:type="dxa"/>
            <w:vAlign w:val="center"/>
          </w:tcPr>
          <w:p w14:paraId="65D702B4" w14:textId="77777777" w:rsidR="00474B85" w:rsidRDefault="00474B85" w:rsidP="001B41BD">
            <w:r>
              <w:t>2011</w:t>
            </w:r>
          </w:p>
        </w:tc>
        <w:tc>
          <w:tcPr>
            <w:tcW w:w="3117" w:type="dxa"/>
            <w:vAlign w:val="center"/>
          </w:tcPr>
          <w:p w14:paraId="048FB086" w14:textId="77777777" w:rsidR="00474B85" w:rsidRDefault="00474B85" w:rsidP="001B41BD">
            <w:r>
              <w:t>10.6</w:t>
            </w:r>
          </w:p>
        </w:tc>
        <w:tc>
          <w:tcPr>
            <w:tcW w:w="3117" w:type="dxa"/>
            <w:vAlign w:val="bottom"/>
          </w:tcPr>
          <w:p w14:paraId="1773C532" w14:textId="77777777" w:rsidR="00474B85" w:rsidRDefault="00474B85" w:rsidP="001B41BD">
            <w:r>
              <w:t>10.9</w:t>
            </w:r>
          </w:p>
        </w:tc>
      </w:tr>
      <w:tr w:rsidR="00474B85" w14:paraId="176C4BC2" w14:textId="77777777" w:rsidTr="001B41BD">
        <w:tc>
          <w:tcPr>
            <w:tcW w:w="3116" w:type="dxa"/>
            <w:vAlign w:val="center"/>
          </w:tcPr>
          <w:p w14:paraId="5059A541" w14:textId="77777777" w:rsidR="00474B85" w:rsidRDefault="00474B85" w:rsidP="001B41BD">
            <w:r>
              <w:t>2012</w:t>
            </w:r>
          </w:p>
        </w:tc>
        <w:tc>
          <w:tcPr>
            <w:tcW w:w="3117" w:type="dxa"/>
            <w:vAlign w:val="center"/>
          </w:tcPr>
          <w:p w14:paraId="1A2597AA" w14:textId="77777777" w:rsidR="00474B85" w:rsidRDefault="00474B85" w:rsidP="001B41BD">
            <w:r>
              <w:t>10.4</w:t>
            </w:r>
          </w:p>
        </w:tc>
        <w:tc>
          <w:tcPr>
            <w:tcW w:w="3117" w:type="dxa"/>
            <w:vAlign w:val="bottom"/>
          </w:tcPr>
          <w:p w14:paraId="2F382190" w14:textId="77777777" w:rsidR="00474B85" w:rsidRDefault="00474B85" w:rsidP="001B41BD">
            <w:r>
              <w:t>10.9</w:t>
            </w:r>
          </w:p>
        </w:tc>
      </w:tr>
      <w:tr w:rsidR="00474B85" w14:paraId="2613FB01" w14:textId="77777777" w:rsidTr="001B41BD">
        <w:tc>
          <w:tcPr>
            <w:tcW w:w="3116" w:type="dxa"/>
            <w:vAlign w:val="center"/>
          </w:tcPr>
          <w:p w14:paraId="30A31F07" w14:textId="77777777" w:rsidR="00474B85" w:rsidRDefault="00474B85" w:rsidP="001B41BD">
            <w:r>
              <w:t>2013</w:t>
            </w:r>
          </w:p>
        </w:tc>
        <w:tc>
          <w:tcPr>
            <w:tcW w:w="3117" w:type="dxa"/>
            <w:vAlign w:val="center"/>
          </w:tcPr>
          <w:p w14:paraId="7CEA294E" w14:textId="77777777" w:rsidR="00474B85" w:rsidRDefault="00474B85" w:rsidP="001B41BD">
            <w:r>
              <w:t>12.1</w:t>
            </w:r>
          </w:p>
        </w:tc>
        <w:tc>
          <w:tcPr>
            <w:tcW w:w="3117" w:type="dxa"/>
            <w:vAlign w:val="bottom"/>
          </w:tcPr>
          <w:p w14:paraId="3E3F8667" w14:textId="77777777" w:rsidR="00474B85" w:rsidRDefault="00474B85" w:rsidP="001B41BD">
            <w:r>
              <w:t>10.9</w:t>
            </w:r>
          </w:p>
        </w:tc>
      </w:tr>
      <w:tr w:rsidR="00474B85" w14:paraId="43C6CA08" w14:textId="77777777" w:rsidTr="001B41BD">
        <w:tc>
          <w:tcPr>
            <w:tcW w:w="3116" w:type="dxa"/>
            <w:vAlign w:val="center"/>
          </w:tcPr>
          <w:p w14:paraId="67912A2E" w14:textId="77777777" w:rsidR="00474B85" w:rsidRDefault="00474B85" w:rsidP="001B41BD">
            <w:r>
              <w:t>2014</w:t>
            </w:r>
          </w:p>
        </w:tc>
        <w:tc>
          <w:tcPr>
            <w:tcW w:w="3117" w:type="dxa"/>
            <w:vAlign w:val="center"/>
          </w:tcPr>
          <w:p w14:paraId="470C183A" w14:textId="77777777" w:rsidR="00474B85" w:rsidRDefault="00474B85" w:rsidP="001B41BD">
            <w:r>
              <w:t>11.8</w:t>
            </w:r>
          </w:p>
        </w:tc>
        <w:tc>
          <w:tcPr>
            <w:tcW w:w="3117" w:type="dxa"/>
            <w:vAlign w:val="bottom"/>
          </w:tcPr>
          <w:p w14:paraId="360A4A07" w14:textId="77777777" w:rsidR="00474B85" w:rsidRDefault="00474B85" w:rsidP="001B41BD">
            <w:r>
              <w:t>10.9</w:t>
            </w:r>
          </w:p>
        </w:tc>
      </w:tr>
      <w:tr w:rsidR="00474B85" w14:paraId="6F4FD6D2" w14:textId="77777777" w:rsidTr="001B41BD">
        <w:tc>
          <w:tcPr>
            <w:tcW w:w="3116" w:type="dxa"/>
            <w:vAlign w:val="center"/>
          </w:tcPr>
          <w:p w14:paraId="3C41666E" w14:textId="77777777" w:rsidR="00474B85" w:rsidRDefault="00474B85" w:rsidP="001B41BD">
            <w:r>
              <w:t>2015</w:t>
            </w:r>
          </w:p>
        </w:tc>
        <w:tc>
          <w:tcPr>
            <w:tcW w:w="3117" w:type="dxa"/>
            <w:vAlign w:val="center"/>
          </w:tcPr>
          <w:p w14:paraId="3403556A" w14:textId="77777777" w:rsidR="00474B85" w:rsidRDefault="00474B85" w:rsidP="001B41BD">
            <w:r>
              <w:t>12.2</w:t>
            </w:r>
          </w:p>
        </w:tc>
        <w:tc>
          <w:tcPr>
            <w:tcW w:w="3117" w:type="dxa"/>
            <w:vAlign w:val="bottom"/>
          </w:tcPr>
          <w:p w14:paraId="7EF099F9" w14:textId="77777777" w:rsidR="00474B85" w:rsidRDefault="00474B85" w:rsidP="001B41BD">
            <w:r>
              <w:t>10.9</w:t>
            </w:r>
          </w:p>
        </w:tc>
      </w:tr>
      <w:tr w:rsidR="00474B85" w14:paraId="58C1F3B4" w14:textId="77777777" w:rsidTr="001B41BD">
        <w:tc>
          <w:tcPr>
            <w:tcW w:w="3116" w:type="dxa"/>
            <w:vAlign w:val="center"/>
          </w:tcPr>
          <w:p w14:paraId="64F12FBF" w14:textId="77777777" w:rsidR="00474B85" w:rsidRDefault="00474B85" w:rsidP="001B41BD">
            <w:r>
              <w:t>2016</w:t>
            </w:r>
          </w:p>
        </w:tc>
        <w:tc>
          <w:tcPr>
            <w:tcW w:w="3117" w:type="dxa"/>
            <w:vAlign w:val="center"/>
          </w:tcPr>
          <w:p w14:paraId="13C19D2A" w14:textId="77777777" w:rsidR="00474B85" w:rsidRDefault="00474B85" w:rsidP="001B41BD">
            <w:r>
              <w:t>12.4</w:t>
            </w:r>
          </w:p>
        </w:tc>
        <w:tc>
          <w:tcPr>
            <w:tcW w:w="3117" w:type="dxa"/>
            <w:vAlign w:val="bottom"/>
          </w:tcPr>
          <w:p w14:paraId="05B70185" w14:textId="77777777" w:rsidR="00474B85" w:rsidRDefault="00474B85" w:rsidP="001B41BD">
            <w:r>
              <w:t>10.9</w:t>
            </w:r>
          </w:p>
        </w:tc>
      </w:tr>
      <w:tr w:rsidR="00474B85" w14:paraId="161C7CD2" w14:textId="77777777" w:rsidTr="001B41BD">
        <w:tc>
          <w:tcPr>
            <w:tcW w:w="3116" w:type="dxa"/>
            <w:vAlign w:val="center"/>
          </w:tcPr>
          <w:p w14:paraId="23AF168F" w14:textId="77777777" w:rsidR="00474B85" w:rsidRDefault="00474B85" w:rsidP="001B41BD">
            <w:r>
              <w:t>2017</w:t>
            </w:r>
          </w:p>
        </w:tc>
        <w:tc>
          <w:tcPr>
            <w:tcW w:w="3117" w:type="dxa"/>
            <w:vAlign w:val="center"/>
          </w:tcPr>
          <w:p w14:paraId="0F014172" w14:textId="77777777" w:rsidR="00474B85" w:rsidRDefault="00474B85" w:rsidP="001B41BD">
            <w:r>
              <w:t>13</w:t>
            </w:r>
          </w:p>
        </w:tc>
        <w:tc>
          <w:tcPr>
            <w:tcW w:w="3117" w:type="dxa"/>
            <w:vAlign w:val="bottom"/>
          </w:tcPr>
          <w:p w14:paraId="3E386F8E" w14:textId="77777777" w:rsidR="00474B85" w:rsidRDefault="00474B85" w:rsidP="001B41BD">
            <w:r>
              <w:t>10.9</w:t>
            </w:r>
          </w:p>
        </w:tc>
      </w:tr>
      <w:tr w:rsidR="00474B85" w14:paraId="02E57005" w14:textId="77777777" w:rsidTr="001B41BD">
        <w:tc>
          <w:tcPr>
            <w:tcW w:w="3116" w:type="dxa"/>
            <w:vAlign w:val="center"/>
          </w:tcPr>
          <w:p w14:paraId="5DED3CC9" w14:textId="77777777" w:rsidR="00474B85" w:rsidRDefault="00474B85" w:rsidP="001B41BD">
            <w:r>
              <w:t>2018</w:t>
            </w:r>
          </w:p>
        </w:tc>
        <w:tc>
          <w:tcPr>
            <w:tcW w:w="3117" w:type="dxa"/>
            <w:vAlign w:val="center"/>
          </w:tcPr>
          <w:p w14:paraId="7141C335" w14:textId="77777777" w:rsidR="00474B85" w:rsidRDefault="00474B85" w:rsidP="001B41BD">
            <w:r>
              <w:t>12.4</w:t>
            </w:r>
          </w:p>
        </w:tc>
        <w:tc>
          <w:tcPr>
            <w:tcW w:w="3117" w:type="dxa"/>
            <w:vAlign w:val="bottom"/>
          </w:tcPr>
          <w:p w14:paraId="02EAC071" w14:textId="77777777" w:rsidR="00474B85" w:rsidRDefault="00474B85" w:rsidP="001B41BD">
            <w:r>
              <w:t>10.9</w:t>
            </w:r>
          </w:p>
        </w:tc>
      </w:tr>
      <w:tr w:rsidR="00474B85" w14:paraId="65418A2B" w14:textId="77777777" w:rsidTr="001B41BD">
        <w:tc>
          <w:tcPr>
            <w:tcW w:w="3116" w:type="dxa"/>
            <w:vAlign w:val="center"/>
          </w:tcPr>
          <w:p w14:paraId="37070F70" w14:textId="77777777" w:rsidR="00474B85" w:rsidRDefault="00474B85" w:rsidP="001B41BD">
            <w:r>
              <w:t>2019</w:t>
            </w:r>
          </w:p>
        </w:tc>
        <w:tc>
          <w:tcPr>
            <w:tcW w:w="3117" w:type="dxa"/>
            <w:vAlign w:val="center"/>
          </w:tcPr>
          <w:p w14:paraId="24E81F31" w14:textId="77777777" w:rsidR="00474B85" w:rsidRDefault="00474B85" w:rsidP="001B41BD">
            <w:r>
              <w:t>12.8</w:t>
            </w:r>
          </w:p>
        </w:tc>
        <w:tc>
          <w:tcPr>
            <w:tcW w:w="3117" w:type="dxa"/>
            <w:vAlign w:val="bottom"/>
          </w:tcPr>
          <w:p w14:paraId="78014F06" w14:textId="77777777" w:rsidR="00474B85" w:rsidRDefault="00474B85" w:rsidP="001B41BD">
            <w:r>
              <w:t>10.9</w:t>
            </w:r>
          </w:p>
        </w:tc>
      </w:tr>
      <w:tr w:rsidR="00474B85" w14:paraId="7B4E2DCC" w14:textId="77777777" w:rsidTr="001B41BD">
        <w:tc>
          <w:tcPr>
            <w:tcW w:w="3116" w:type="dxa"/>
            <w:vAlign w:val="center"/>
          </w:tcPr>
          <w:p w14:paraId="1E5E9087" w14:textId="77777777" w:rsidR="00474B85" w:rsidRDefault="00474B85" w:rsidP="001B41BD">
            <w:r>
              <w:t>2020</w:t>
            </w:r>
          </w:p>
        </w:tc>
        <w:tc>
          <w:tcPr>
            <w:tcW w:w="3117" w:type="dxa"/>
            <w:vAlign w:val="center"/>
          </w:tcPr>
          <w:p w14:paraId="2CDB5D04" w14:textId="77777777" w:rsidR="00474B85" w:rsidRDefault="00474B85" w:rsidP="001B41BD">
            <w:r>
              <w:t>15.7</w:t>
            </w:r>
          </w:p>
        </w:tc>
        <w:tc>
          <w:tcPr>
            <w:tcW w:w="3117" w:type="dxa"/>
            <w:vAlign w:val="bottom"/>
          </w:tcPr>
          <w:p w14:paraId="768C315A" w14:textId="77777777" w:rsidR="00474B85" w:rsidRDefault="00474B85" w:rsidP="001B41BD">
            <w:r>
              <w:t>10.9</w:t>
            </w:r>
          </w:p>
        </w:tc>
      </w:tr>
      <w:tr w:rsidR="00474B85" w14:paraId="4365277D" w14:textId="77777777" w:rsidTr="001B41BD">
        <w:tc>
          <w:tcPr>
            <w:tcW w:w="3116" w:type="dxa"/>
            <w:vAlign w:val="center"/>
          </w:tcPr>
          <w:p w14:paraId="013FDEBA" w14:textId="77777777" w:rsidR="00474B85" w:rsidRDefault="00474B85" w:rsidP="001B41BD">
            <w:r>
              <w:t>2021</w:t>
            </w:r>
          </w:p>
        </w:tc>
        <w:tc>
          <w:tcPr>
            <w:tcW w:w="3117" w:type="dxa"/>
            <w:vAlign w:val="center"/>
          </w:tcPr>
          <w:p w14:paraId="0A50438A" w14:textId="77777777" w:rsidR="00474B85" w:rsidRDefault="00474B85" w:rsidP="001B41BD">
            <w:r>
              <w:t>17.3</w:t>
            </w:r>
          </w:p>
        </w:tc>
        <w:tc>
          <w:tcPr>
            <w:tcW w:w="3117" w:type="dxa"/>
            <w:vAlign w:val="bottom"/>
          </w:tcPr>
          <w:p w14:paraId="443BC0ED" w14:textId="77777777" w:rsidR="00474B85" w:rsidRDefault="00474B85" w:rsidP="001B41BD">
            <w:r>
              <w:t>10.9</w:t>
            </w:r>
          </w:p>
        </w:tc>
      </w:tr>
    </w:tbl>
    <w:p w14:paraId="09893D64" w14:textId="77777777" w:rsidR="00474B85" w:rsidRDefault="00474B85" w:rsidP="00474B85">
      <w:pPr>
        <w:rPr>
          <w:rStyle w:val="Heading4Char"/>
        </w:rPr>
      </w:pPr>
    </w:p>
    <w:p w14:paraId="2BA52D8E" w14:textId="02622099" w:rsidR="00474B85" w:rsidRDefault="00474B85" w:rsidP="00474B85">
      <w:pPr>
        <w:rPr>
          <w:b/>
          <w:bCs/>
        </w:rPr>
      </w:pPr>
      <w:bookmarkStart w:id="838" w:name="_Toc162267568"/>
      <w:r w:rsidRPr="00474B85">
        <w:rPr>
          <w:rStyle w:val="Heading4Char"/>
        </w:rPr>
        <w:t>Alcohol Use Data Interpretation:</w:t>
      </w:r>
      <w:bookmarkEnd w:id="838"/>
      <w:r w:rsidRPr="00474B85">
        <w:rPr>
          <w:b/>
          <w:bCs/>
        </w:rPr>
        <w:t xml:space="preserve"> </w:t>
      </w:r>
    </w:p>
    <w:p w14:paraId="28A05412" w14:textId="6F8064BA" w:rsidR="00474B85" w:rsidRPr="00474B85" w:rsidRDefault="00474B85" w:rsidP="00474B85">
      <w:r w:rsidRPr="00474B85">
        <w:t>The percentage of SC adults involved in binge drinking (males having five or more drinks on one occasion, females having four or more on one occasion) was highest among younger adults (</w:t>
      </w:r>
      <w:r w:rsidRPr="00474B85">
        <w:rPr>
          <w:b/>
          <w:bCs/>
        </w:rPr>
        <w:t>Figure 9.48</w:t>
      </w:r>
      <w:r w:rsidRPr="00474B85">
        <w:t xml:space="preserve">). In 2021, the percentage of binge drinking among adults ages 21 years and older was 15.2% and met the Healthy People 2030 objective of 25.4%. Binge drinking was nearly two times higher among males (20.1%) than females (10.8%). </w:t>
      </w:r>
    </w:p>
    <w:p w14:paraId="4FA90C69" w14:textId="77777777" w:rsidR="00474B85" w:rsidRDefault="00474B85" w:rsidP="00474B85"/>
    <w:p w14:paraId="45CF192B" w14:textId="7AD16F55" w:rsidR="00474B85" w:rsidRDefault="00474B85" w:rsidP="00474B85">
      <w:r w:rsidRPr="00474B85">
        <w:t xml:space="preserve">The age-adjusted rate of cirrhosis deaths among South Carolinians increased significantly from 12.8 in 2019 to 17.3 per 100,000 in 2021 and is above the </w:t>
      </w:r>
      <w:r w:rsidRPr="00474B85">
        <w:lastRenderedPageBreak/>
        <w:t>Healthy People 2030 goal (</w:t>
      </w:r>
      <w:r w:rsidRPr="00474B85">
        <w:rPr>
          <w:b/>
          <w:bCs/>
        </w:rPr>
        <w:t>Figure 9.49</w:t>
      </w:r>
      <w:r w:rsidRPr="00474B85">
        <w:t>). Cirrhosis deaths were highest among non-Hispanic Whites and among males.</w:t>
      </w:r>
    </w:p>
    <w:p w14:paraId="785B54D9" w14:textId="77777777" w:rsidR="00474B85" w:rsidRDefault="00474B85" w:rsidP="00474B85"/>
    <w:p w14:paraId="572A83E7" w14:textId="77777777" w:rsidR="00474B85" w:rsidRDefault="00474B85" w:rsidP="00474B85">
      <w:pPr>
        <w:pStyle w:val="Heading4"/>
      </w:pPr>
      <w:bookmarkStart w:id="839" w:name="_Toc154576532"/>
      <w:bookmarkStart w:id="840" w:name="_Toc162267569"/>
      <w:r>
        <w:t>Figure 9.50: Prescriptions of Controlled Drugs</w:t>
      </w:r>
      <w:bookmarkEnd w:id="839"/>
      <w:bookmarkEnd w:id="840"/>
      <w:r>
        <w:t xml:space="preserve"> </w:t>
      </w:r>
    </w:p>
    <w:p w14:paraId="15132790" w14:textId="77777777" w:rsidR="00474B85" w:rsidRDefault="00474B85" w:rsidP="00474B85">
      <w:pPr>
        <w:pStyle w:val="Heading5"/>
        <w:rPr>
          <w:rStyle w:val="A10"/>
          <w:rFonts w:asciiTheme="majorHAnsi" w:hAnsiTheme="majorHAnsi" w:cstheme="majorBidi"/>
          <w:b/>
          <w:bCs w:val="0"/>
          <w:i w:val="0"/>
          <w:iCs w:val="0"/>
          <w:sz w:val="28"/>
          <w:szCs w:val="24"/>
        </w:rPr>
      </w:pPr>
      <w:r w:rsidRPr="000A1B96">
        <w:rPr>
          <w:rStyle w:val="A10"/>
          <w:rFonts w:asciiTheme="majorHAnsi" w:hAnsiTheme="majorHAnsi" w:cstheme="majorBidi"/>
          <w:bCs w:val="0"/>
          <w:sz w:val="28"/>
          <w:szCs w:val="24"/>
        </w:rPr>
        <w:t xml:space="preserve">Rate per 1,000 </w:t>
      </w:r>
      <w:proofErr w:type="gramStart"/>
      <w:r w:rsidRPr="000A1B96">
        <w:rPr>
          <w:rStyle w:val="A10"/>
          <w:rFonts w:asciiTheme="majorHAnsi" w:hAnsiTheme="majorHAnsi" w:cstheme="majorBidi"/>
          <w:bCs w:val="0"/>
          <w:sz w:val="28"/>
          <w:szCs w:val="24"/>
        </w:rPr>
        <w:t>population</w:t>
      </w:r>
      <w:proofErr w:type="gramEnd"/>
    </w:p>
    <w:tbl>
      <w:tblPr>
        <w:tblStyle w:val="TableGrid"/>
        <w:tblW w:w="0" w:type="auto"/>
        <w:tblLook w:val="04A0" w:firstRow="1" w:lastRow="0" w:firstColumn="1" w:lastColumn="0" w:noHBand="0" w:noVBand="1"/>
      </w:tblPr>
      <w:tblGrid>
        <w:gridCol w:w="2104"/>
        <w:gridCol w:w="1206"/>
        <w:gridCol w:w="1208"/>
        <w:gridCol w:w="1208"/>
        <w:gridCol w:w="1208"/>
        <w:gridCol w:w="1208"/>
        <w:gridCol w:w="1208"/>
      </w:tblGrid>
      <w:tr w:rsidR="00474B85" w14:paraId="51504567" w14:textId="77777777" w:rsidTr="001B41BD">
        <w:tc>
          <w:tcPr>
            <w:tcW w:w="2104" w:type="dxa"/>
            <w:vAlign w:val="center"/>
          </w:tcPr>
          <w:p w14:paraId="1AE16F58" w14:textId="77777777" w:rsidR="00474B85" w:rsidRPr="00670188" w:rsidRDefault="00474B85" w:rsidP="001B41BD">
            <w:r w:rsidRPr="00670188">
              <w:t>Type of Controlled Drug</w:t>
            </w:r>
          </w:p>
        </w:tc>
        <w:tc>
          <w:tcPr>
            <w:tcW w:w="1206" w:type="dxa"/>
            <w:vAlign w:val="center"/>
          </w:tcPr>
          <w:p w14:paraId="55794701" w14:textId="77777777" w:rsidR="00474B85" w:rsidRPr="00670188" w:rsidRDefault="00474B85" w:rsidP="001B41BD">
            <w:r w:rsidRPr="00670188">
              <w:t>2016</w:t>
            </w:r>
          </w:p>
        </w:tc>
        <w:tc>
          <w:tcPr>
            <w:tcW w:w="1208" w:type="dxa"/>
            <w:vAlign w:val="center"/>
          </w:tcPr>
          <w:p w14:paraId="28A5C882" w14:textId="77777777" w:rsidR="00474B85" w:rsidRPr="00670188" w:rsidRDefault="00474B85" w:rsidP="001B41BD">
            <w:r w:rsidRPr="00670188">
              <w:t>2017</w:t>
            </w:r>
          </w:p>
        </w:tc>
        <w:tc>
          <w:tcPr>
            <w:tcW w:w="1208" w:type="dxa"/>
            <w:vAlign w:val="center"/>
          </w:tcPr>
          <w:p w14:paraId="7B09E037" w14:textId="77777777" w:rsidR="00474B85" w:rsidRPr="00670188" w:rsidRDefault="00474B85" w:rsidP="001B41BD">
            <w:r w:rsidRPr="00670188">
              <w:t>2018</w:t>
            </w:r>
          </w:p>
        </w:tc>
        <w:tc>
          <w:tcPr>
            <w:tcW w:w="1208" w:type="dxa"/>
            <w:vAlign w:val="center"/>
          </w:tcPr>
          <w:p w14:paraId="44EB98A3" w14:textId="77777777" w:rsidR="00474B85" w:rsidRPr="00670188" w:rsidRDefault="00474B85" w:rsidP="001B41BD">
            <w:r w:rsidRPr="00670188">
              <w:t>2019</w:t>
            </w:r>
          </w:p>
        </w:tc>
        <w:tc>
          <w:tcPr>
            <w:tcW w:w="1208" w:type="dxa"/>
            <w:vAlign w:val="center"/>
          </w:tcPr>
          <w:p w14:paraId="1D4B8C65" w14:textId="77777777" w:rsidR="00474B85" w:rsidRPr="00670188" w:rsidRDefault="00474B85" w:rsidP="001B41BD">
            <w:r w:rsidRPr="00670188">
              <w:t>2020</w:t>
            </w:r>
          </w:p>
        </w:tc>
        <w:tc>
          <w:tcPr>
            <w:tcW w:w="1208" w:type="dxa"/>
            <w:vAlign w:val="center"/>
          </w:tcPr>
          <w:p w14:paraId="7655B6BC" w14:textId="77777777" w:rsidR="00474B85" w:rsidRPr="00670188" w:rsidRDefault="00474B85" w:rsidP="001B41BD">
            <w:r w:rsidRPr="00670188">
              <w:t>2021</w:t>
            </w:r>
          </w:p>
        </w:tc>
      </w:tr>
      <w:tr w:rsidR="00474B85" w14:paraId="09484199" w14:textId="77777777" w:rsidTr="001B41BD">
        <w:tc>
          <w:tcPr>
            <w:tcW w:w="2104" w:type="dxa"/>
            <w:vAlign w:val="bottom"/>
          </w:tcPr>
          <w:p w14:paraId="0F836B0B" w14:textId="77777777" w:rsidR="00474B85" w:rsidRDefault="00474B85" w:rsidP="001B41BD">
            <w:r>
              <w:t>Opioids</w:t>
            </w:r>
          </w:p>
        </w:tc>
        <w:tc>
          <w:tcPr>
            <w:tcW w:w="1206" w:type="dxa"/>
            <w:vAlign w:val="bottom"/>
          </w:tcPr>
          <w:p w14:paraId="3FAE4AAE" w14:textId="77777777" w:rsidR="00474B85" w:rsidRDefault="00474B85" w:rsidP="001B41BD">
            <w:r>
              <w:t>996.0</w:t>
            </w:r>
          </w:p>
        </w:tc>
        <w:tc>
          <w:tcPr>
            <w:tcW w:w="1208" w:type="dxa"/>
            <w:vAlign w:val="bottom"/>
          </w:tcPr>
          <w:p w14:paraId="1C73CC35" w14:textId="77777777" w:rsidR="00474B85" w:rsidRDefault="00474B85" w:rsidP="001B41BD">
            <w:r>
              <w:t>911.2</w:t>
            </w:r>
          </w:p>
        </w:tc>
        <w:tc>
          <w:tcPr>
            <w:tcW w:w="1208" w:type="dxa"/>
            <w:vAlign w:val="center"/>
          </w:tcPr>
          <w:p w14:paraId="216DBC50" w14:textId="77777777" w:rsidR="00474B85" w:rsidRDefault="00474B85" w:rsidP="001B41BD">
            <w:r>
              <w:t>800.5</w:t>
            </w:r>
          </w:p>
        </w:tc>
        <w:tc>
          <w:tcPr>
            <w:tcW w:w="1208" w:type="dxa"/>
            <w:vAlign w:val="center"/>
          </w:tcPr>
          <w:p w14:paraId="09DDFF3D" w14:textId="77777777" w:rsidR="00474B85" w:rsidRDefault="00474B85" w:rsidP="001B41BD">
            <w:r>
              <w:t>748.6</w:t>
            </w:r>
          </w:p>
        </w:tc>
        <w:tc>
          <w:tcPr>
            <w:tcW w:w="1208" w:type="dxa"/>
            <w:vAlign w:val="bottom"/>
          </w:tcPr>
          <w:p w14:paraId="24958727" w14:textId="77777777" w:rsidR="00474B85" w:rsidRDefault="00474B85" w:rsidP="001B41BD">
            <w:r>
              <w:t>711.2</w:t>
            </w:r>
          </w:p>
        </w:tc>
        <w:tc>
          <w:tcPr>
            <w:tcW w:w="1208" w:type="dxa"/>
            <w:vAlign w:val="bottom"/>
          </w:tcPr>
          <w:p w14:paraId="176E9B4B" w14:textId="77777777" w:rsidR="00474B85" w:rsidRDefault="00474B85" w:rsidP="001B41BD">
            <w:r>
              <w:t>684.5</w:t>
            </w:r>
          </w:p>
        </w:tc>
      </w:tr>
      <w:tr w:rsidR="00474B85" w14:paraId="29A260B8" w14:textId="77777777" w:rsidTr="001B41BD">
        <w:tc>
          <w:tcPr>
            <w:tcW w:w="2104" w:type="dxa"/>
            <w:vAlign w:val="bottom"/>
          </w:tcPr>
          <w:p w14:paraId="34094AA6" w14:textId="77777777" w:rsidR="00474B85" w:rsidRDefault="00474B85" w:rsidP="001B41BD">
            <w:r>
              <w:t>Stimulants</w:t>
            </w:r>
          </w:p>
        </w:tc>
        <w:tc>
          <w:tcPr>
            <w:tcW w:w="1206" w:type="dxa"/>
            <w:vAlign w:val="center"/>
          </w:tcPr>
          <w:p w14:paraId="63818164" w14:textId="77777777" w:rsidR="00474B85" w:rsidRDefault="00474B85" w:rsidP="001B41BD">
            <w:r>
              <w:t>397.1</w:t>
            </w:r>
          </w:p>
        </w:tc>
        <w:tc>
          <w:tcPr>
            <w:tcW w:w="1208" w:type="dxa"/>
            <w:vAlign w:val="center"/>
          </w:tcPr>
          <w:p w14:paraId="7A4DD748" w14:textId="77777777" w:rsidR="00474B85" w:rsidRDefault="00474B85" w:rsidP="001B41BD">
            <w:r>
              <w:t>397.6</w:t>
            </w:r>
          </w:p>
        </w:tc>
        <w:tc>
          <w:tcPr>
            <w:tcW w:w="1208" w:type="dxa"/>
            <w:vAlign w:val="center"/>
          </w:tcPr>
          <w:p w14:paraId="1748CBF6" w14:textId="77777777" w:rsidR="00474B85" w:rsidRDefault="00474B85" w:rsidP="001B41BD">
            <w:r>
              <w:t>392.6</w:t>
            </w:r>
          </w:p>
        </w:tc>
        <w:tc>
          <w:tcPr>
            <w:tcW w:w="1208" w:type="dxa"/>
            <w:vAlign w:val="center"/>
          </w:tcPr>
          <w:p w14:paraId="5EC557EF" w14:textId="77777777" w:rsidR="00474B85" w:rsidRDefault="00474B85" w:rsidP="001B41BD">
            <w:r>
              <w:t>397.7</w:t>
            </w:r>
          </w:p>
        </w:tc>
        <w:tc>
          <w:tcPr>
            <w:tcW w:w="1208" w:type="dxa"/>
            <w:vAlign w:val="center"/>
          </w:tcPr>
          <w:p w14:paraId="53CB552C" w14:textId="77777777" w:rsidR="00474B85" w:rsidRDefault="00474B85" w:rsidP="001B41BD">
            <w:r>
              <w:t>396.0</w:t>
            </w:r>
          </w:p>
        </w:tc>
        <w:tc>
          <w:tcPr>
            <w:tcW w:w="1208" w:type="dxa"/>
            <w:vAlign w:val="center"/>
          </w:tcPr>
          <w:p w14:paraId="3A8F61A9" w14:textId="77777777" w:rsidR="00474B85" w:rsidRDefault="00474B85" w:rsidP="001B41BD">
            <w:r>
              <w:t>415.6</w:t>
            </w:r>
          </w:p>
        </w:tc>
      </w:tr>
      <w:tr w:rsidR="00474B85" w14:paraId="439833D6" w14:textId="77777777" w:rsidTr="001B41BD">
        <w:tc>
          <w:tcPr>
            <w:tcW w:w="2104" w:type="dxa"/>
            <w:vAlign w:val="bottom"/>
          </w:tcPr>
          <w:p w14:paraId="556541E4" w14:textId="77777777" w:rsidR="00474B85" w:rsidRDefault="00474B85" w:rsidP="001B41BD">
            <w:r>
              <w:t>Muscle Relaxants</w:t>
            </w:r>
          </w:p>
        </w:tc>
        <w:tc>
          <w:tcPr>
            <w:tcW w:w="1206" w:type="dxa"/>
            <w:vAlign w:val="center"/>
          </w:tcPr>
          <w:p w14:paraId="289DB9DF" w14:textId="77777777" w:rsidR="00474B85" w:rsidRDefault="00474B85" w:rsidP="001B41BD">
            <w:r>
              <w:t>19.1</w:t>
            </w:r>
          </w:p>
        </w:tc>
        <w:tc>
          <w:tcPr>
            <w:tcW w:w="1208" w:type="dxa"/>
            <w:vAlign w:val="center"/>
          </w:tcPr>
          <w:p w14:paraId="45F06505" w14:textId="77777777" w:rsidR="00474B85" w:rsidRDefault="00474B85" w:rsidP="001B41BD">
            <w:r>
              <w:t>16.2</w:t>
            </w:r>
          </w:p>
        </w:tc>
        <w:tc>
          <w:tcPr>
            <w:tcW w:w="1208" w:type="dxa"/>
            <w:vAlign w:val="center"/>
          </w:tcPr>
          <w:p w14:paraId="326055D2" w14:textId="77777777" w:rsidR="00474B85" w:rsidRDefault="00474B85" w:rsidP="001B41BD">
            <w:r>
              <w:t>12.1</w:t>
            </w:r>
          </w:p>
        </w:tc>
        <w:tc>
          <w:tcPr>
            <w:tcW w:w="1208" w:type="dxa"/>
            <w:vAlign w:val="center"/>
          </w:tcPr>
          <w:p w14:paraId="34C92D6F" w14:textId="77777777" w:rsidR="00474B85" w:rsidRDefault="00474B85" w:rsidP="001B41BD">
            <w:r>
              <w:t>9.3</w:t>
            </w:r>
          </w:p>
        </w:tc>
        <w:tc>
          <w:tcPr>
            <w:tcW w:w="1208" w:type="dxa"/>
            <w:vAlign w:val="center"/>
          </w:tcPr>
          <w:p w14:paraId="24E0D47E" w14:textId="77777777" w:rsidR="00474B85" w:rsidRDefault="00474B85" w:rsidP="001B41BD">
            <w:r>
              <w:t>8.2</w:t>
            </w:r>
          </w:p>
        </w:tc>
        <w:tc>
          <w:tcPr>
            <w:tcW w:w="1208" w:type="dxa"/>
            <w:vAlign w:val="center"/>
          </w:tcPr>
          <w:p w14:paraId="60449F18" w14:textId="77777777" w:rsidR="00474B85" w:rsidRDefault="00474B85" w:rsidP="001B41BD">
            <w:r>
              <w:t>7.2</w:t>
            </w:r>
          </w:p>
        </w:tc>
      </w:tr>
      <w:tr w:rsidR="00474B85" w14:paraId="1D537603" w14:textId="77777777" w:rsidTr="001B41BD">
        <w:tc>
          <w:tcPr>
            <w:tcW w:w="2104" w:type="dxa"/>
            <w:vAlign w:val="bottom"/>
          </w:tcPr>
          <w:p w14:paraId="41096399" w14:textId="77777777" w:rsidR="00474B85" w:rsidRDefault="00474B85" w:rsidP="001B41BD">
            <w:r>
              <w:t>Benzodiazepines</w:t>
            </w:r>
          </w:p>
        </w:tc>
        <w:tc>
          <w:tcPr>
            <w:tcW w:w="1206" w:type="dxa"/>
            <w:vAlign w:val="center"/>
          </w:tcPr>
          <w:p w14:paraId="203EA9AB" w14:textId="77777777" w:rsidR="00474B85" w:rsidRDefault="00474B85" w:rsidP="001B41BD">
            <w:r>
              <w:t>537.2</w:t>
            </w:r>
          </w:p>
        </w:tc>
        <w:tc>
          <w:tcPr>
            <w:tcW w:w="1208" w:type="dxa"/>
            <w:vAlign w:val="center"/>
          </w:tcPr>
          <w:p w14:paraId="1EFFCABB" w14:textId="77777777" w:rsidR="00474B85" w:rsidRDefault="00474B85" w:rsidP="001B41BD">
            <w:r>
              <w:t>505.3</w:t>
            </w:r>
          </w:p>
        </w:tc>
        <w:tc>
          <w:tcPr>
            <w:tcW w:w="1208" w:type="dxa"/>
            <w:vAlign w:val="center"/>
          </w:tcPr>
          <w:p w14:paraId="561137F5" w14:textId="77777777" w:rsidR="00474B85" w:rsidRDefault="00474B85" w:rsidP="001B41BD">
            <w:r>
              <w:t>463.4</w:t>
            </w:r>
          </w:p>
        </w:tc>
        <w:tc>
          <w:tcPr>
            <w:tcW w:w="1208" w:type="dxa"/>
            <w:vAlign w:val="center"/>
          </w:tcPr>
          <w:p w14:paraId="6D9C8B8A" w14:textId="77777777" w:rsidR="00474B85" w:rsidRDefault="00474B85" w:rsidP="001B41BD">
            <w:r>
              <w:t>447.0</w:t>
            </w:r>
          </w:p>
        </w:tc>
        <w:tc>
          <w:tcPr>
            <w:tcW w:w="1208" w:type="dxa"/>
            <w:vAlign w:val="bottom"/>
          </w:tcPr>
          <w:p w14:paraId="29A22FA9" w14:textId="77777777" w:rsidR="00474B85" w:rsidRDefault="00474B85" w:rsidP="001B41BD">
            <w:r>
              <w:t>444.3</w:t>
            </w:r>
          </w:p>
        </w:tc>
        <w:tc>
          <w:tcPr>
            <w:tcW w:w="1208" w:type="dxa"/>
            <w:vAlign w:val="center"/>
          </w:tcPr>
          <w:p w14:paraId="4E0B29E8" w14:textId="77777777" w:rsidR="00474B85" w:rsidRDefault="00474B85" w:rsidP="001B41BD">
            <w:r>
              <w:t>427.6</w:t>
            </w:r>
          </w:p>
        </w:tc>
      </w:tr>
    </w:tbl>
    <w:p w14:paraId="25E30491" w14:textId="77777777" w:rsidR="00474B85" w:rsidRPr="00670188" w:rsidRDefault="00474B85" w:rsidP="00474B85">
      <w:r w:rsidRPr="00670188">
        <w:t xml:space="preserve">Source: SC DHEC Prescription Drug Monitoring Program. </w:t>
      </w:r>
    </w:p>
    <w:p w14:paraId="1133005A" w14:textId="77777777" w:rsidR="00474B85" w:rsidRDefault="00474B85" w:rsidP="00474B85">
      <w:r w:rsidRPr="00670188">
        <w:t>Note: Population for year 2021 based on single-race estimates and for years prior based on bridge-race estimates.</w:t>
      </w:r>
    </w:p>
    <w:p w14:paraId="3ECA41BB" w14:textId="77777777" w:rsidR="00474B85" w:rsidRDefault="00474B85" w:rsidP="00474B85">
      <w:pPr>
        <w:pStyle w:val="Heading4"/>
      </w:pPr>
      <w:bookmarkStart w:id="841" w:name="_Toc154576533"/>
    </w:p>
    <w:p w14:paraId="6CA12FB8" w14:textId="1B3441BA" w:rsidR="00474B85" w:rsidRDefault="00474B85" w:rsidP="00474B85">
      <w:pPr>
        <w:pStyle w:val="Heading4"/>
      </w:pPr>
      <w:bookmarkStart w:id="842" w:name="_Toc162267570"/>
      <w:r>
        <w:t>Figure 9.51: Drug Overdose Deaths</w:t>
      </w:r>
      <w:bookmarkEnd w:id="841"/>
      <w:bookmarkEnd w:id="842"/>
      <w:r>
        <w:t xml:space="preserve"> </w:t>
      </w:r>
    </w:p>
    <w:p w14:paraId="7EB09A6E" w14:textId="77777777" w:rsidR="00474B85" w:rsidRDefault="00474B85" w:rsidP="00474B85">
      <w:pPr>
        <w:pStyle w:val="Heading5"/>
        <w:rPr>
          <w:rStyle w:val="A10"/>
          <w:rFonts w:asciiTheme="majorHAnsi" w:hAnsiTheme="majorHAnsi" w:cstheme="majorBidi"/>
          <w:b/>
          <w:bCs w:val="0"/>
          <w:i w:val="0"/>
          <w:iCs w:val="0"/>
          <w:sz w:val="28"/>
          <w:szCs w:val="24"/>
        </w:rPr>
      </w:pPr>
      <w:r w:rsidRPr="000A1B96">
        <w:rPr>
          <w:rStyle w:val="A10"/>
          <w:rFonts w:asciiTheme="majorHAnsi" w:hAnsiTheme="majorHAnsi" w:cstheme="majorBidi"/>
          <w:bCs w:val="0"/>
          <w:sz w:val="28"/>
          <w:szCs w:val="24"/>
        </w:rPr>
        <w:t>Rate per 1</w:t>
      </w:r>
      <w:r>
        <w:rPr>
          <w:rStyle w:val="A10"/>
          <w:rFonts w:asciiTheme="majorHAnsi" w:hAnsiTheme="majorHAnsi" w:cstheme="majorBidi"/>
          <w:bCs w:val="0"/>
          <w:sz w:val="28"/>
          <w:szCs w:val="24"/>
        </w:rPr>
        <w:t>00</w:t>
      </w:r>
      <w:r w:rsidRPr="000A1B96">
        <w:rPr>
          <w:rStyle w:val="A10"/>
          <w:rFonts w:asciiTheme="majorHAnsi" w:hAnsiTheme="majorHAnsi" w:cstheme="majorBidi"/>
          <w:bCs w:val="0"/>
          <w:sz w:val="28"/>
          <w:szCs w:val="24"/>
        </w:rPr>
        <w:t xml:space="preserve">,000 </w:t>
      </w:r>
      <w:proofErr w:type="gramStart"/>
      <w:r w:rsidRPr="000A1B96">
        <w:rPr>
          <w:rStyle w:val="A10"/>
          <w:rFonts w:asciiTheme="majorHAnsi" w:hAnsiTheme="majorHAnsi" w:cstheme="majorBidi"/>
          <w:bCs w:val="0"/>
          <w:sz w:val="28"/>
          <w:szCs w:val="24"/>
        </w:rPr>
        <w:t>population</w:t>
      </w:r>
      <w:proofErr w:type="gramEnd"/>
    </w:p>
    <w:tbl>
      <w:tblPr>
        <w:tblStyle w:val="TableGrid"/>
        <w:tblW w:w="0" w:type="auto"/>
        <w:tblLook w:val="04A0" w:firstRow="1" w:lastRow="0" w:firstColumn="1" w:lastColumn="0" w:noHBand="0" w:noVBand="1"/>
      </w:tblPr>
      <w:tblGrid>
        <w:gridCol w:w="3116"/>
        <w:gridCol w:w="3117"/>
        <w:gridCol w:w="3117"/>
      </w:tblGrid>
      <w:tr w:rsidR="00474B85" w14:paraId="73BEB630" w14:textId="77777777" w:rsidTr="001B41BD">
        <w:tc>
          <w:tcPr>
            <w:tcW w:w="3116" w:type="dxa"/>
            <w:vAlign w:val="bottom"/>
          </w:tcPr>
          <w:p w14:paraId="58216013" w14:textId="77777777" w:rsidR="00474B85" w:rsidRPr="00670188" w:rsidRDefault="00474B85" w:rsidP="001B41BD">
            <w:r>
              <w:t>Type of Overdose</w:t>
            </w:r>
          </w:p>
        </w:tc>
        <w:tc>
          <w:tcPr>
            <w:tcW w:w="3117" w:type="dxa"/>
            <w:vAlign w:val="bottom"/>
          </w:tcPr>
          <w:p w14:paraId="136FAB52" w14:textId="77777777" w:rsidR="00474B85" w:rsidRPr="00670188" w:rsidRDefault="00474B85" w:rsidP="001B41BD">
            <w:r w:rsidRPr="00670188">
              <w:t>South Carolina</w:t>
            </w:r>
          </w:p>
        </w:tc>
        <w:tc>
          <w:tcPr>
            <w:tcW w:w="3117" w:type="dxa"/>
            <w:vAlign w:val="bottom"/>
          </w:tcPr>
          <w:p w14:paraId="3E0C2A47" w14:textId="77777777" w:rsidR="00474B85" w:rsidRPr="00670188" w:rsidRDefault="00474B85" w:rsidP="001B41BD">
            <w:r w:rsidRPr="00670188">
              <w:t>Healthy People 2030 Goal</w:t>
            </w:r>
          </w:p>
        </w:tc>
      </w:tr>
      <w:tr w:rsidR="00474B85" w14:paraId="1041CF56" w14:textId="77777777" w:rsidTr="001B41BD">
        <w:tc>
          <w:tcPr>
            <w:tcW w:w="3116" w:type="dxa"/>
            <w:vAlign w:val="bottom"/>
          </w:tcPr>
          <w:p w14:paraId="76604BD1" w14:textId="77777777" w:rsidR="00474B85" w:rsidRPr="00670188" w:rsidRDefault="00474B85" w:rsidP="001B41BD">
            <w:r w:rsidRPr="00670188">
              <w:t>All drug</w:t>
            </w:r>
          </w:p>
        </w:tc>
        <w:tc>
          <w:tcPr>
            <w:tcW w:w="3117" w:type="dxa"/>
            <w:vAlign w:val="bottom"/>
          </w:tcPr>
          <w:p w14:paraId="67497ED8" w14:textId="77777777" w:rsidR="00474B85" w:rsidRPr="00670188" w:rsidRDefault="00474B85" w:rsidP="001B41BD">
            <w:r w:rsidRPr="00670188">
              <w:t>43.4</w:t>
            </w:r>
          </w:p>
        </w:tc>
        <w:tc>
          <w:tcPr>
            <w:tcW w:w="3117" w:type="dxa"/>
            <w:vAlign w:val="bottom"/>
          </w:tcPr>
          <w:p w14:paraId="0994104B" w14:textId="77777777" w:rsidR="00474B85" w:rsidRPr="00670188" w:rsidRDefault="00474B85" w:rsidP="001B41BD">
            <w:r w:rsidRPr="00670188">
              <w:t>20.7</w:t>
            </w:r>
          </w:p>
        </w:tc>
      </w:tr>
      <w:tr w:rsidR="00474B85" w14:paraId="32B121B0" w14:textId="77777777" w:rsidTr="001B41BD">
        <w:tc>
          <w:tcPr>
            <w:tcW w:w="3116" w:type="dxa"/>
            <w:vAlign w:val="bottom"/>
          </w:tcPr>
          <w:p w14:paraId="47BBD1A9" w14:textId="77777777" w:rsidR="00474B85" w:rsidRPr="00670188" w:rsidRDefault="00474B85" w:rsidP="001B41BD">
            <w:r w:rsidRPr="00670188">
              <w:t>Involving opioids</w:t>
            </w:r>
          </w:p>
        </w:tc>
        <w:tc>
          <w:tcPr>
            <w:tcW w:w="3117" w:type="dxa"/>
            <w:vAlign w:val="bottom"/>
          </w:tcPr>
          <w:p w14:paraId="0B671BD0" w14:textId="77777777" w:rsidR="00474B85" w:rsidRPr="00670188" w:rsidRDefault="00474B85" w:rsidP="001B41BD">
            <w:r w:rsidRPr="00670188">
              <w:t>35.5</w:t>
            </w:r>
          </w:p>
        </w:tc>
        <w:tc>
          <w:tcPr>
            <w:tcW w:w="3117" w:type="dxa"/>
            <w:vAlign w:val="bottom"/>
          </w:tcPr>
          <w:p w14:paraId="0DA29EC2" w14:textId="77777777" w:rsidR="00474B85" w:rsidRPr="00670188" w:rsidRDefault="00474B85" w:rsidP="001B41BD">
            <w:r w:rsidRPr="00670188">
              <w:t>13.1</w:t>
            </w:r>
          </w:p>
        </w:tc>
      </w:tr>
      <w:tr w:rsidR="00474B85" w14:paraId="18151B6D" w14:textId="77777777" w:rsidTr="001B41BD">
        <w:tc>
          <w:tcPr>
            <w:tcW w:w="3116" w:type="dxa"/>
            <w:vAlign w:val="bottom"/>
          </w:tcPr>
          <w:p w14:paraId="50663308" w14:textId="77777777" w:rsidR="00474B85" w:rsidRPr="00670188" w:rsidRDefault="00474B85" w:rsidP="001B41BD">
            <w:r w:rsidRPr="00670188">
              <w:t>Involving synthetic opioids except methadone</w:t>
            </w:r>
          </w:p>
        </w:tc>
        <w:tc>
          <w:tcPr>
            <w:tcW w:w="3117" w:type="dxa"/>
            <w:vAlign w:val="bottom"/>
          </w:tcPr>
          <w:p w14:paraId="7BC0886E" w14:textId="77777777" w:rsidR="00474B85" w:rsidRPr="00670188" w:rsidRDefault="00474B85" w:rsidP="001B41BD">
            <w:r w:rsidRPr="00670188">
              <w:t>31.6</w:t>
            </w:r>
          </w:p>
        </w:tc>
        <w:tc>
          <w:tcPr>
            <w:tcW w:w="3117" w:type="dxa"/>
            <w:vAlign w:val="bottom"/>
          </w:tcPr>
          <w:p w14:paraId="243ECB97" w14:textId="77777777" w:rsidR="00474B85" w:rsidRPr="00670188" w:rsidRDefault="00474B85" w:rsidP="001B41BD">
            <w:r w:rsidRPr="00670188">
              <w:t>8.9</w:t>
            </w:r>
          </w:p>
        </w:tc>
      </w:tr>
      <w:tr w:rsidR="00474B85" w14:paraId="1D4E05D1" w14:textId="77777777" w:rsidTr="001B41BD">
        <w:tc>
          <w:tcPr>
            <w:tcW w:w="3116" w:type="dxa"/>
            <w:vAlign w:val="bottom"/>
          </w:tcPr>
          <w:p w14:paraId="7CC9E795" w14:textId="77777777" w:rsidR="00474B85" w:rsidRPr="00670188" w:rsidRDefault="00474B85" w:rsidP="001B41BD">
            <w:r w:rsidRPr="00670188">
              <w:t>Involv</w:t>
            </w:r>
            <w:r>
              <w:t>i</w:t>
            </w:r>
            <w:r w:rsidRPr="00670188">
              <w:t>ng natural and semi-synthetic opioids</w:t>
            </w:r>
          </w:p>
        </w:tc>
        <w:tc>
          <w:tcPr>
            <w:tcW w:w="3117" w:type="dxa"/>
            <w:vAlign w:val="bottom"/>
          </w:tcPr>
          <w:p w14:paraId="68C627CD" w14:textId="77777777" w:rsidR="00474B85" w:rsidRPr="00670188" w:rsidRDefault="00474B85" w:rsidP="001B41BD">
            <w:r w:rsidRPr="00670188">
              <w:t>7.4</w:t>
            </w:r>
          </w:p>
        </w:tc>
        <w:tc>
          <w:tcPr>
            <w:tcW w:w="3117" w:type="dxa"/>
            <w:vAlign w:val="bottom"/>
          </w:tcPr>
          <w:p w14:paraId="14F1DA3D" w14:textId="77777777" w:rsidR="00474B85" w:rsidRPr="00670188" w:rsidRDefault="00474B85" w:rsidP="001B41BD">
            <w:r w:rsidRPr="00670188">
              <w:t>3.4</w:t>
            </w:r>
          </w:p>
        </w:tc>
      </w:tr>
      <w:tr w:rsidR="00474B85" w14:paraId="6EBFD9F3" w14:textId="77777777" w:rsidTr="001B41BD">
        <w:tc>
          <w:tcPr>
            <w:tcW w:w="3116" w:type="dxa"/>
            <w:vAlign w:val="bottom"/>
          </w:tcPr>
          <w:p w14:paraId="5541EA7B" w14:textId="77777777" w:rsidR="00474B85" w:rsidRPr="00670188" w:rsidRDefault="00474B85" w:rsidP="001B41BD">
            <w:r w:rsidRPr="00670188">
              <w:t>Involving heroin</w:t>
            </w:r>
          </w:p>
        </w:tc>
        <w:tc>
          <w:tcPr>
            <w:tcW w:w="3117" w:type="dxa"/>
            <w:vAlign w:val="bottom"/>
          </w:tcPr>
          <w:p w14:paraId="5CCD5C6E" w14:textId="77777777" w:rsidR="00474B85" w:rsidRPr="00670188" w:rsidRDefault="00474B85" w:rsidP="001B41BD">
            <w:r w:rsidRPr="00670188">
              <w:t>2.7</w:t>
            </w:r>
          </w:p>
        </w:tc>
        <w:tc>
          <w:tcPr>
            <w:tcW w:w="3117" w:type="dxa"/>
            <w:vAlign w:val="bottom"/>
          </w:tcPr>
          <w:p w14:paraId="4D5FC971" w14:textId="77777777" w:rsidR="00474B85" w:rsidRPr="00670188" w:rsidRDefault="00474B85" w:rsidP="001B41BD">
            <w:r w:rsidRPr="00670188">
              <w:t>4.2</w:t>
            </w:r>
          </w:p>
        </w:tc>
      </w:tr>
      <w:tr w:rsidR="00474B85" w14:paraId="5EAFFE23" w14:textId="77777777" w:rsidTr="001B41BD">
        <w:tc>
          <w:tcPr>
            <w:tcW w:w="3116" w:type="dxa"/>
            <w:vAlign w:val="bottom"/>
          </w:tcPr>
          <w:p w14:paraId="511940AE" w14:textId="77777777" w:rsidR="00474B85" w:rsidRPr="00670188" w:rsidRDefault="00474B85" w:rsidP="001B41BD">
            <w:r w:rsidRPr="00670188">
              <w:t>Involving methadone</w:t>
            </w:r>
          </w:p>
        </w:tc>
        <w:tc>
          <w:tcPr>
            <w:tcW w:w="3117" w:type="dxa"/>
            <w:vAlign w:val="bottom"/>
          </w:tcPr>
          <w:p w14:paraId="50D3215C" w14:textId="77777777" w:rsidR="00474B85" w:rsidRPr="00670188" w:rsidRDefault="00474B85" w:rsidP="001B41BD">
            <w:r w:rsidRPr="00670188">
              <w:t>1.3</w:t>
            </w:r>
          </w:p>
        </w:tc>
        <w:tc>
          <w:tcPr>
            <w:tcW w:w="3117" w:type="dxa"/>
            <w:vAlign w:val="bottom"/>
          </w:tcPr>
          <w:p w14:paraId="4EB3B192" w14:textId="77777777" w:rsidR="00474B85" w:rsidRPr="00670188" w:rsidRDefault="00474B85" w:rsidP="001B41BD">
            <w:r w:rsidRPr="00670188">
              <w:t>0.8</w:t>
            </w:r>
          </w:p>
        </w:tc>
      </w:tr>
    </w:tbl>
    <w:p w14:paraId="20B5653A" w14:textId="77777777" w:rsidR="00474B85" w:rsidRPr="00670188" w:rsidRDefault="00474B85" w:rsidP="00474B85">
      <w:r w:rsidRPr="00670188">
        <w:t xml:space="preserve">Source: SC DHEC Vital Statistics, 2021. </w:t>
      </w:r>
    </w:p>
    <w:p w14:paraId="69F913BF" w14:textId="77777777" w:rsidR="00474B85" w:rsidRPr="00781446" w:rsidRDefault="00474B85" w:rsidP="00474B85">
      <w:r w:rsidRPr="00670188">
        <w:t>Notes: Age-adjusted, population for year 2021 based on single-race estimates.</w:t>
      </w:r>
    </w:p>
    <w:p w14:paraId="0083C774" w14:textId="77777777" w:rsidR="00474B85" w:rsidRDefault="00474B85" w:rsidP="00474B85">
      <w:pPr>
        <w:pStyle w:val="Heading4"/>
      </w:pPr>
      <w:bookmarkStart w:id="843" w:name="_Toc154576534"/>
    </w:p>
    <w:p w14:paraId="137770A3" w14:textId="39E77BC3" w:rsidR="00474B85" w:rsidRDefault="00474B85" w:rsidP="00474B85">
      <w:pPr>
        <w:pStyle w:val="Heading4"/>
      </w:pPr>
      <w:bookmarkStart w:id="844" w:name="_Toc162267571"/>
      <w:r>
        <w:t xml:space="preserve">Figure 9.52: </w:t>
      </w:r>
      <w:r w:rsidRPr="00670188">
        <w:t>Prevalence of Substance Use Disorder and Treatment</w:t>
      </w:r>
      <w:r>
        <w:t>.</w:t>
      </w:r>
      <w:bookmarkEnd w:id="843"/>
      <w:bookmarkEnd w:id="844"/>
    </w:p>
    <w:tbl>
      <w:tblPr>
        <w:tblStyle w:val="TableGrid"/>
        <w:tblW w:w="0" w:type="auto"/>
        <w:tblLook w:val="04A0" w:firstRow="1" w:lastRow="0" w:firstColumn="1" w:lastColumn="0" w:noHBand="0" w:noVBand="1"/>
      </w:tblPr>
      <w:tblGrid>
        <w:gridCol w:w="4675"/>
        <w:gridCol w:w="4675"/>
      </w:tblGrid>
      <w:tr w:rsidR="00474B85" w14:paraId="54C60923" w14:textId="77777777" w:rsidTr="001B41BD">
        <w:tc>
          <w:tcPr>
            <w:tcW w:w="4675" w:type="dxa"/>
            <w:vAlign w:val="bottom"/>
          </w:tcPr>
          <w:p w14:paraId="6828E66B" w14:textId="77777777" w:rsidR="00474B85" w:rsidRPr="00670188" w:rsidRDefault="00474B85" w:rsidP="001B41BD">
            <w:r>
              <w:t>Status</w:t>
            </w:r>
          </w:p>
        </w:tc>
        <w:tc>
          <w:tcPr>
            <w:tcW w:w="4675" w:type="dxa"/>
            <w:vAlign w:val="bottom"/>
          </w:tcPr>
          <w:p w14:paraId="041C8279" w14:textId="77777777" w:rsidR="00474B85" w:rsidRPr="00670188" w:rsidRDefault="00474B85" w:rsidP="001B41BD">
            <w:r>
              <w:t>Percent</w:t>
            </w:r>
          </w:p>
        </w:tc>
      </w:tr>
      <w:tr w:rsidR="00474B85" w14:paraId="118CEFBD" w14:textId="77777777" w:rsidTr="001B41BD">
        <w:tc>
          <w:tcPr>
            <w:tcW w:w="4675" w:type="dxa"/>
            <w:vAlign w:val="bottom"/>
          </w:tcPr>
          <w:p w14:paraId="4C5971DC" w14:textId="77777777" w:rsidR="00474B85" w:rsidRPr="00670188" w:rsidRDefault="00474B85" w:rsidP="001B41BD">
            <w:r w:rsidRPr="00670188">
              <w:t>Substance Use Disorder in the Past Year</w:t>
            </w:r>
          </w:p>
        </w:tc>
        <w:tc>
          <w:tcPr>
            <w:tcW w:w="4675" w:type="dxa"/>
            <w:vAlign w:val="bottom"/>
          </w:tcPr>
          <w:p w14:paraId="1E71DF36" w14:textId="77777777" w:rsidR="00474B85" w:rsidRPr="00670188" w:rsidRDefault="00474B85" w:rsidP="001B41BD">
            <w:r w:rsidRPr="00670188">
              <w:t>15.5%</w:t>
            </w:r>
          </w:p>
        </w:tc>
      </w:tr>
      <w:tr w:rsidR="00474B85" w14:paraId="7590AD1C" w14:textId="77777777" w:rsidTr="001B41BD">
        <w:tc>
          <w:tcPr>
            <w:tcW w:w="4675" w:type="dxa"/>
            <w:vAlign w:val="bottom"/>
          </w:tcPr>
          <w:p w14:paraId="66D5E652" w14:textId="77777777" w:rsidR="00474B85" w:rsidRPr="00670188" w:rsidRDefault="00474B85" w:rsidP="001B41BD">
            <w:r w:rsidRPr="00670188">
              <w:lastRenderedPageBreak/>
              <w:t>Needing but Not Receiving Treatment for Substance Use in the Past Year</w:t>
            </w:r>
          </w:p>
        </w:tc>
        <w:tc>
          <w:tcPr>
            <w:tcW w:w="4675" w:type="dxa"/>
            <w:vAlign w:val="bottom"/>
          </w:tcPr>
          <w:p w14:paraId="36F1CEA0" w14:textId="77777777" w:rsidR="00474B85" w:rsidRPr="00670188" w:rsidRDefault="00474B85" w:rsidP="001B41BD">
            <w:r w:rsidRPr="00670188">
              <w:t>13.2%</w:t>
            </w:r>
          </w:p>
        </w:tc>
      </w:tr>
    </w:tbl>
    <w:p w14:paraId="4A4DF4F8" w14:textId="77777777" w:rsidR="00474B85" w:rsidRPr="00670188" w:rsidRDefault="00474B85" w:rsidP="00474B85">
      <w:r w:rsidRPr="00670188">
        <w:t xml:space="preserve">Source: National Survey on Drug Use and Health, 2021. </w:t>
      </w:r>
    </w:p>
    <w:p w14:paraId="64C9BA51" w14:textId="5A8757EC" w:rsidR="00474B85" w:rsidRDefault="00474B85" w:rsidP="00474B85">
      <w:r w:rsidRPr="00670188">
        <w:t>Note: Ages 18+.</w:t>
      </w:r>
    </w:p>
    <w:p w14:paraId="365EA8E4" w14:textId="77777777" w:rsidR="00474B85" w:rsidRDefault="00474B85" w:rsidP="00474B85"/>
    <w:p w14:paraId="5692B473" w14:textId="77777777" w:rsidR="00474B85" w:rsidRPr="00474B85" w:rsidRDefault="00474B85" w:rsidP="00474B85">
      <w:pPr>
        <w:pStyle w:val="Heading4"/>
      </w:pPr>
      <w:bookmarkStart w:id="845" w:name="_Toc162267572"/>
      <w:r w:rsidRPr="00474B85">
        <w:t>Drug Use Data Interpretation:</w:t>
      </w:r>
      <w:bookmarkEnd w:id="845"/>
      <w:r w:rsidRPr="00474B85">
        <w:t xml:space="preserve"> </w:t>
      </w:r>
    </w:p>
    <w:p w14:paraId="6537794D" w14:textId="5ED2C314" w:rsidR="00474B85" w:rsidRDefault="00474B85" w:rsidP="00474B85">
      <w:r w:rsidRPr="00474B85">
        <w:t xml:space="preserve">Prescriptions for many controlled drugs, </w:t>
      </w:r>
      <w:proofErr w:type="gramStart"/>
      <w:r w:rsidRPr="00474B85">
        <w:t>with the exception of</w:t>
      </w:r>
      <w:proofErr w:type="gramEnd"/>
      <w:r w:rsidRPr="00474B85">
        <w:t xml:space="preserve"> stimulants, have decreased since 2016 (</w:t>
      </w:r>
      <w:r w:rsidRPr="00474B85">
        <w:rPr>
          <w:b/>
          <w:bCs/>
        </w:rPr>
        <w:t>Figure 9.50</w:t>
      </w:r>
      <w:r w:rsidRPr="00474B85">
        <w:t>). The rate of opioid prescriptions has decreased by 31% from 2016 to 2021 (</w:t>
      </w:r>
      <w:r w:rsidRPr="00474B85">
        <w:rPr>
          <w:b/>
          <w:bCs/>
        </w:rPr>
        <w:t>Figure 9.50</w:t>
      </w:r>
      <w:r w:rsidRPr="00474B85">
        <w:t>).</w:t>
      </w:r>
    </w:p>
    <w:p w14:paraId="1AAD7429" w14:textId="77777777" w:rsidR="00474B85" w:rsidRPr="00474B85" w:rsidRDefault="00474B85" w:rsidP="00474B85"/>
    <w:p w14:paraId="1C355B5D" w14:textId="1FB6E8AB" w:rsidR="00474B85" w:rsidRDefault="00474B85" w:rsidP="00474B85">
      <w:r w:rsidRPr="00474B85">
        <w:t>Opioid overdoses account for 80% of all drug overdose deaths in SC. Drug overdose deaths are rising, especially related to the highly potent synthetic opioid fentanyl. Contamination of look-alike pills or other illicit substances with fentanyl, particularly without the person’s knowledge, is a growing concern. The number of deaths involving synthetic opioids in the last three years has tripled. Drug overdose deaths involving heroin have met the Healthy People 2030 goal, while all drug overdose deaths and deaths involving opioids have not met the goals (</w:t>
      </w:r>
      <w:r w:rsidRPr="00474B85">
        <w:rPr>
          <w:b/>
          <w:bCs/>
        </w:rPr>
        <w:t>Figure 9.51</w:t>
      </w:r>
      <w:r w:rsidRPr="00474B85">
        <w:t>).</w:t>
      </w:r>
    </w:p>
    <w:p w14:paraId="106E1F14" w14:textId="77777777" w:rsidR="00474B85" w:rsidRPr="00474B85" w:rsidRDefault="00474B85" w:rsidP="00474B85"/>
    <w:p w14:paraId="723A07BC" w14:textId="4D972034" w:rsidR="00474B85" w:rsidRDefault="00474B85" w:rsidP="00474B85">
      <w:r w:rsidRPr="00474B85">
        <w:t xml:space="preserve">The percentage of people ages 18 and older with substance use disorder in 2021 was comparable to the national average (15.5% in SC compared with 17.4% nationally; </w:t>
      </w:r>
      <w:r w:rsidRPr="00474B85">
        <w:rPr>
          <w:b/>
          <w:bCs/>
        </w:rPr>
        <w:t>Figure 9.52</w:t>
      </w:r>
      <w:r w:rsidRPr="00474B85">
        <w:t>). However, 13.2% of South Carolinians needed but did not receive treatment for substance use disorder in the past year. Barriers to accessing care include cost, availability, and stigma.</w:t>
      </w:r>
    </w:p>
    <w:p w14:paraId="7FA269B7" w14:textId="77777777" w:rsidR="00474B85" w:rsidRDefault="00474B85" w:rsidP="00474B85"/>
    <w:p w14:paraId="536748BE" w14:textId="6651EED7" w:rsidR="00474B85" w:rsidRPr="00474B85" w:rsidRDefault="00474B85" w:rsidP="00474B85">
      <w:pPr>
        <w:pStyle w:val="Heading5"/>
      </w:pPr>
      <w:r w:rsidRPr="00474B85">
        <w:t xml:space="preserve">Key Takeaways: </w:t>
      </w:r>
    </w:p>
    <w:p w14:paraId="11CF4D31" w14:textId="26E590FC" w:rsidR="00474B85" w:rsidRDefault="00474B85" w:rsidP="00926EB3">
      <w:pPr>
        <w:pStyle w:val="ListParagraph"/>
        <w:numPr>
          <w:ilvl w:val="0"/>
          <w:numId w:val="228"/>
        </w:numPr>
      </w:pPr>
      <w:r w:rsidRPr="00474B85">
        <w:t xml:space="preserve">State and local partners are working to </w:t>
      </w:r>
      <w:r w:rsidR="00FC41EB" w:rsidRPr="00FC41EB">
        <w:t>increase naloxone access and public communications about the risks of fentanyl in the community.</w:t>
      </w:r>
      <w:r w:rsidR="00FC41EB">
        <w:t xml:space="preserve"> </w:t>
      </w:r>
      <w:r w:rsidRPr="00474B85">
        <w:t xml:space="preserve">To prevent negative outcomes of alcohol and drug use, South Carolinians need linkages to services and supports that are offered in many settings, like health care, emergency services, public safety, and community organizations.  </w:t>
      </w:r>
    </w:p>
    <w:p w14:paraId="1CCAF408" w14:textId="77777777" w:rsidR="00357E27" w:rsidRDefault="00357E27" w:rsidP="00474B85">
      <w:pPr>
        <w:pStyle w:val="Heading4"/>
        <w:rPr>
          <w:rFonts w:asciiTheme="minorHAnsi" w:hAnsiTheme="minorHAnsi" w:cstheme="minorHAnsi"/>
          <w:color w:val="000000" w:themeColor="text1"/>
        </w:rPr>
      </w:pPr>
    </w:p>
    <w:p w14:paraId="62D2F15B" w14:textId="5FDCC110" w:rsidR="00474B85" w:rsidRPr="00474B85" w:rsidRDefault="00474B85" w:rsidP="00474B85">
      <w:pPr>
        <w:pStyle w:val="Heading4"/>
        <w:rPr>
          <w:rFonts w:asciiTheme="minorHAnsi" w:hAnsiTheme="minorHAnsi" w:cstheme="minorHAnsi"/>
          <w:color w:val="000000" w:themeColor="text1"/>
        </w:rPr>
      </w:pPr>
      <w:bookmarkStart w:id="846" w:name="_Toc162267573"/>
      <w:r w:rsidRPr="00474B85">
        <w:rPr>
          <w:rFonts w:asciiTheme="minorHAnsi" w:hAnsiTheme="minorHAnsi" w:cstheme="minorHAnsi"/>
          <w:color w:val="000000" w:themeColor="text1"/>
        </w:rPr>
        <w:t>References 9.21</w:t>
      </w:r>
      <w:bookmarkEnd w:id="846"/>
      <w:r w:rsidRPr="00474B85">
        <w:rPr>
          <w:rFonts w:asciiTheme="minorHAnsi" w:hAnsiTheme="minorHAnsi" w:cstheme="minorHAnsi"/>
          <w:color w:val="000000" w:themeColor="text1"/>
        </w:rPr>
        <w:t xml:space="preserve"> </w:t>
      </w:r>
    </w:p>
    <w:p w14:paraId="518218E2" w14:textId="77777777" w:rsidR="00474B85" w:rsidRPr="00474B85" w:rsidRDefault="00474B85" w:rsidP="00474B85">
      <w:r w:rsidRPr="00474B85">
        <w:t>Statistics in the preceding section were referenced from the following reports:</w:t>
      </w:r>
    </w:p>
    <w:p w14:paraId="5CCF2E22" w14:textId="77777777" w:rsidR="0060334A" w:rsidRPr="0060334A" w:rsidRDefault="00000000" w:rsidP="00926EB3">
      <w:pPr>
        <w:pStyle w:val="ListParagraph"/>
        <w:numPr>
          <w:ilvl w:val="0"/>
          <w:numId w:val="192"/>
        </w:numPr>
        <w:tabs>
          <w:tab w:val="left" w:pos="2173"/>
        </w:tabs>
        <w:rPr>
          <w:rStyle w:val="Hyperlink"/>
          <w:color w:val="auto"/>
          <w:u w:val="none"/>
        </w:rPr>
      </w:pPr>
      <w:hyperlink r:id="rId380" w:anchor=":~:text=Drug%20use%20can%20lead%20to,and%20those%20close%20to%20you" w:history="1">
        <w:r w:rsidR="0093795F" w:rsidRPr="0093795F">
          <w:rPr>
            <w:rStyle w:val="Hyperlink"/>
          </w:rPr>
          <w:t>“Know the Risks of Using Drugs” by Substance Abuse and Mental Health Services Administration (SAMHSA), 2022. Retrieved January 7, 2023.</w:t>
        </w:r>
      </w:hyperlink>
    </w:p>
    <w:p w14:paraId="1F3CCFDF" w14:textId="77777777" w:rsidR="0060334A" w:rsidRDefault="00000000" w:rsidP="00926EB3">
      <w:pPr>
        <w:pStyle w:val="ListParagraph"/>
        <w:numPr>
          <w:ilvl w:val="0"/>
          <w:numId w:val="192"/>
        </w:numPr>
        <w:tabs>
          <w:tab w:val="left" w:pos="900"/>
        </w:tabs>
      </w:pPr>
      <w:hyperlink r:id="rId381" w:history="1">
        <w:r w:rsidR="0093795F" w:rsidRPr="0093795F">
          <w:rPr>
            <w:rStyle w:val="Hyperlink"/>
          </w:rPr>
          <w:t>“Stigma Reduction” by Centers for Disease Control and Prevention (CDC), 2022. Retrieved January 7, 2023.</w:t>
        </w:r>
      </w:hyperlink>
      <w:r w:rsidR="0093795F" w:rsidRPr="0093795F">
        <w:t xml:space="preserve"> </w:t>
      </w:r>
    </w:p>
    <w:p w14:paraId="43991187" w14:textId="77777777" w:rsidR="0060334A" w:rsidRPr="0060334A" w:rsidRDefault="00000000" w:rsidP="00926EB3">
      <w:pPr>
        <w:pStyle w:val="ListParagraph"/>
        <w:numPr>
          <w:ilvl w:val="0"/>
          <w:numId w:val="192"/>
        </w:numPr>
        <w:tabs>
          <w:tab w:val="left" w:pos="900"/>
        </w:tabs>
        <w:rPr>
          <w:rStyle w:val="Hyperlink"/>
          <w:color w:val="auto"/>
          <w:u w:val="none"/>
        </w:rPr>
      </w:pPr>
      <w:hyperlink r:id="rId382" w:history="1">
        <w:r w:rsidR="0093795F" w:rsidRPr="0093795F">
          <w:rPr>
            <w:rStyle w:val="Hyperlink"/>
          </w:rPr>
          <w:t xml:space="preserve">“Vital Signs: Drug Overdose Deaths, by Selected Sociodemographic and Social Determinants of Health Characteristics — 25 States and the District of Columbia, 2019–2020” by </w:t>
        </w:r>
        <w:proofErr w:type="spellStart"/>
        <w:r w:rsidR="0093795F" w:rsidRPr="0093795F">
          <w:rPr>
            <w:rStyle w:val="Hyperlink"/>
          </w:rPr>
          <w:t>Kariisa</w:t>
        </w:r>
        <w:proofErr w:type="spellEnd"/>
        <w:r w:rsidR="0093795F" w:rsidRPr="0093795F">
          <w:rPr>
            <w:rStyle w:val="Hyperlink"/>
          </w:rPr>
          <w:t xml:space="preserve"> M, Davis NL, Kumar S, et al. Published in MMWR </w:t>
        </w:r>
        <w:proofErr w:type="spellStart"/>
        <w:r w:rsidR="0093795F" w:rsidRPr="0093795F">
          <w:rPr>
            <w:rStyle w:val="Hyperlink"/>
          </w:rPr>
          <w:t>Morb</w:t>
        </w:r>
        <w:proofErr w:type="spellEnd"/>
        <w:r w:rsidR="0093795F" w:rsidRPr="0093795F">
          <w:rPr>
            <w:rStyle w:val="Hyperlink"/>
          </w:rPr>
          <w:t xml:space="preserve"> Mortal </w:t>
        </w:r>
        <w:proofErr w:type="spellStart"/>
        <w:r w:rsidR="0093795F" w:rsidRPr="0093795F">
          <w:rPr>
            <w:rStyle w:val="Hyperlink"/>
          </w:rPr>
          <w:t>Wkly</w:t>
        </w:r>
        <w:proofErr w:type="spellEnd"/>
        <w:r w:rsidR="0093795F" w:rsidRPr="0093795F">
          <w:rPr>
            <w:rStyle w:val="Hyperlink"/>
          </w:rPr>
          <w:t xml:space="preserve"> Rep.</w:t>
        </w:r>
      </w:hyperlink>
    </w:p>
    <w:p w14:paraId="19D546D9" w14:textId="77777777" w:rsidR="0060334A" w:rsidRDefault="00000000" w:rsidP="00926EB3">
      <w:pPr>
        <w:pStyle w:val="ListParagraph"/>
        <w:numPr>
          <w:ilvl w:val="0"/>
          <w:numId w:val="192"/>
        </w:numPr>
        <w:tabs>
          <w:tab w:val="left" w:pos="900"/>
        </w:tabs>
      </w:pPr>
      <w:hyperlink r:id="rId383" w:history="1">
        <w:r w:rsidR="0093795F" w:rsidRPr="0093795F">
          <w:rPr>
            <w:rStyle w:val="Hyperlink"/>
          </w:rPr>
          <w:t>“Polysubstance Use Facts” by Centers for Disease Control and Prevention (CDC), 2022. Retrieved January 7, 2023.</w:t>
        </w:r>
      </w:hyperlink>
      <w:r w:rsidR="0093795F" w:rsidRPr="0093795F">
        <w:t xml:space="preserve"> </w:t>
      </w:r>
    </w:p>
    <w:p w14:paraId="6CCF43A6" w14:textId="77777777" w:rsidR="0060334A" w:rsidRPr="0060334A" w:rsidRDefault="00000000" w:rsidP="00926EB3">
      <w:pPr>
        <w:pStyle w:val="ListParagraph"/>
        <w:numPr>
          <w:ilvl w:val="0"/>
          <w:numId w:val="192"/>
        </w:numPr>
        <w:tabs>
          <w:tab w:val="left" w:pos="900"/>
        </w:tabs>
        <w:rPr>
          <w:rStyle w:val="Hyperlink"/>
          <w:color w:val="auto"/>
          <w:u w:val="none"/>
        </w:rPr>
      </w:pPr>
      <w:hyperlink r:id="rId384" w:history="1">
        <w:r w:rsidR="0093795F" w:rsidRPr="0093795F">
          <w:rPr>
            <w:rStyle w:val="Hyperlink"/>
          </w:rPr>
          <w:t>“Infectious Diseases, Opioids and Injection Drug Use” by CDC via cdc.gov, 2021. Retrieved January 7, 2023.</w:t>
        </w:r>
      </w:hyperlink>
    </w:p>
    <w:p w14:paraId="7E31F4F7" w14:textId="77777777" w:rsidR="0060334A" w:rsidRDefault="00000000" w:rsidP="00926EB3">
      <w:pPr>
        <w:pStyle w:val="ListParagraph"/>
        <w:numPr>
          <w:ilvl w:val="0"/>
          <w:numId w:val="192"/>
        </w:numPr>
        <w:tabs>
          <w:tab w:val="left" w:pos="900"/>
        </w:tabs>
      </w:pPr>
      <w:hyperlink r:id="rId385" w:history="1">
        <w:r w:rsidR="0093795F" w:rsidRPr="0093795F">
          <w:rPr>
            <w:rStyle w:val="Hyperlink"/>
          </w:rPr>
          <w:t>“Reduce cirrhosis deaths – SU-02” by the U.S. Department of Health and Human Services (USDHHS). Published in Healthy People 2030.</w:t>
        </w:r>
      </w:hyperlink>
      <w:r w:rsidR="0093795F" w:rsidRPr="0093795F">
        <w:t xml:space="preserve"> </w:t>
      </w:r>
    </w:p>
    <w:p w14:paraId="6FB85D76" w14:textId="77777777" w:rsidR="0060334A" w:rsidRDefault="00000000" w:rsidP="00926EB3">
      <w:pPr>
        <w:pStyle w:val="ListParagraph"/>
        <w:numPr>
          <w:ilvl w:val="0"/>
          <w:numId w:val="192"/>
        </w:numPr>
        <w:tabs>
          <w:tab w:val="left" w:pos="900"/>
        </w:tabs>
      </w:pPr>
      <w:hyperlink r:id="rId386" w:history="1">
        <w:r w:rsidR="0093795F" w:rsidRPr="0093795F">
          <w:rPr>
            <w:rStyle w:val="Hyperlink"/>
          </w:rPr>
          <w:t>“Prevention” by the National Institute on Drug Abuse (NIDA) via nida.nih.gov.</w:t>
        </w:r>
      </w:hyperlink>
      <w:r w:rsidR="0093795F" w:rsidRPr="0093795F">
        <w:t xml:space="preserve"> </w:t>
      </w:r>
    </w:p>
    <w:p w14:paraId="5A63C7B3" w14:textId="77777777" w:rsidR="0060334A" w:rsidRDefault="00000000" w:rsidP="00926EB3">
      <w:pPr>
        <w:pStyle w:val="ListParagraph"/>
        <w:numPr>
          <w:ilvl w:val="0"/>
          <w:numId w:val="192"/>
        </w:numPr>
        <w:tabs>
          <w:tab w:val="left" w:pos="900"/>
        </w:tabs>
      </w:pPr>
      <w:hyperlink r:id="rId387" w:history="1">
        <w:r w:rsidR="0093795F" w:rsidRPr="0093795F">
          <w:rPr>
            <w:rStyle w:val="Hyperlink"/>
          </w:rPr>
          <w:t>“Linking People with Opioid Use Disorder to Medication Treatment” by CDC via cdc.gov, 2022.</w:t>
        </w:r>
      </w:hyperlink>
      <w:r w:rsidR="0093795F" w:rsidRPr="0093795F">
        <w:t xml:space="preserve"> </w:t>
      </w:r>
    </w:p>
    <w:p w14:paraId="6CA85A66" w14:textId="77777777" w:rsidR="0060334A" w:rsidRPr="0060334A" w:rsidRDefault="00000000" w:rsidP="00926EB3">
      <w:pPr>
        <w:pStyle w:val="ListParagraph"/>
        <w:numPr>
          <w:ilvl w:val="0"/>
          <w:numId w:val="192"/>
        </w:numPr>
        <w:tabs>
          <w:tab w:val="left" w:pos="900"/>
        </w:tabs>
        <w:rPr>
          <w:rStyle w:val="Hyperlink"/>
          <w:color w:val="auto"/>
          <w:u w:val="none"/>
        </w:rPr>
      </w:pPr>
      <w:hyperlink r:id="rId388" w:history="1">
        <w:r w:rsidR="0093795F" w:rsidRPr="0093795F">
          <w:rPr>
            <w:rStyle w:val="Hyperlink"/>
          </w:rPr>
          <w:t>“Harm reduction” by Substance Abuse and Mental Health Services Administration (SAMHSA), 2022. Retrieved January 7, 2023.</w:t>
        </w:r>
      </w:hyperlink>
    </w:p>
    <w:p w14:paraId="336A2F80" w14:textId="7311B9BA" w:rsidR="0060334A" w:rsidRDefault="00000000" w:rsidP="00926EB3">
      <w:pPr>
        <w:pStyle w:val="ListParagraph"/>
        <w:numPr>
          <w:ilvl w:val="0"/>
          <w:numId w:val="192"/>
        </w:numPr>
        <w:tabs>
          <w:tab w:val="left" w:pos="900"/>
        </w:tabs>
      </w:pPr>
      <w:hyperlink r:id="rId389" w:anchor=":~:text=Naloxone%20quickly%20reverses%20an%20overdose,opioids%20like%20fentanyl%20are%20involved" w:history="1">
        <w:r w:rsidR="0093795F" w:rsidRPr="0093795F">
          <w:rPr>
            <w:rStyle w:val="Hyperlink"/>
          </w:rPr>
          <w:t>“Lifesaving Naloxone” by CDC via cdc.gov, 2022. Retrieved January 7, 2023.</w:t>
        </w:r>
      </w:hyperlink>
      <w:r w:rsidR="0093795F" w:rsidRPr="0093795F">
        <w:t xml:space="preserve"> </w:t>
      </w:r>
    </w:p>
    <w:p w14:paraId="3420F934" w14:textId="77777777" w:rsidR="0060334A" w:rsidRDefault="00000000" w:rsidP="00926EB3">
      <w:pPr>
        <w:pStyle w:val="ListParagraph"/>
        <w:numPr>
          <w:ilvl w:val="0"/>
          <w:numId w:val="192"/>
        </w:numPr>
        <w:tabs>
          <w:tab w:val="left" w:pos="900"/>
        </w:tabs>
      </w:pPr>
      <w:hyperlink r:id="rId390" w:history="1">
        <w:r w:rsidR="0093795F" w:rsidRPr="0093795F">
          <w:rPr>
            <w:rStyle w:val="Hyperlink"/>
          </w:rPr>
          <w:t>“Words Matter: How Language Choice Can Reduce Stigma” by SAMHSA, 2017.</w:t>
        </w:r>
      </w:hyperlink>
      <w:r w:rsidR="0093795F" w:rsidRPr="0093795F">
        <w:t xml:space="preserve"> </w:t>
      </w:r>
    </w:p>
    <w:p w14:paraId="4F3DF7BE" w14:textId="77B16CE9" w:rsidR="0060334A" w:rsidRPr="0060334A" w:rsidRDefault="00000000" w:rsidP="00926EB3">
      <w:pPr>
        <w:pStyle w:val="ListParagraph"/>
        <w:numPr>
          <w:ilvl w:val="0"/>
          <w:numId w:val="192"/>
        </w:numPr>
        <w:tabs>
          <w:tab w:val="left" w:pos="900"/>
        </w:tabs>
        <w:rPr>
          <w:rStyle w:val="Hyperlink"/>
          <w:color w:val="auto"/>
          <w:u w:val="none"/>
        </w:rPr>
      </w:pPr>
      <w:hyperlink r:id="rId391" w:history="1">
        <w:r w:rsidR="0093795F" w:rsidRPr="0093795F">
          <w:rPr>
            <w:rStyle w:val="Hyperlink"/>
          </w:rPr>
          <w:t>“Other Drugs” by CDC via cdc.gov, 2021. Retrieved 2023.</w:t>
        </w:r>
      </w:hyperlink>
    </w:p>
    <w:p w14:paraId="565E65FE" w14:textId="2011357E" w:rsidR="0093795F" w:rsidRPr="0093795F" w:rsidRDefault="00000000" w:rsidP="00926EB3">
      <w:pPr>
        <w:pStyle w:val="ListParagraph"/>
        <w:numPr>
          <w:ilvl w:val="0"/>
          <w:numId w:val="192"/>
        </w:numPr>
        <w:tabs>
          <w:tab w:val="left" w:pos="900"/>
        </w:tabs>
      </w:pPr>
      <w:hyperlink r:id="rId392" w:history="1">
        <w:r w:rsidR="0093795F" w:rsidRPr="0093795F">
          <w:rPr>
            <w:rStyle w:val="Hyperlink"/>
          </w:rPr>
          <w:t>“The National Survey on Drug Use and Health: 2020” by Delphin-Rittman, M. Published by the Substance Abuse and Mental Health Services Administration SAMHSA, 2022. Retrieved January 7, 2023.</w:t>
        </w:r>
      </w:hyperlink>
      <w:r w:rsidR="0093795F" w:rsidRPr="0093795F">
        <w:t xml:space="preserve"> </w:t>
      </w:r>
    </w:p>
    <w:p w14:paraId="63ACA48C" w14:textId="5672C823" w:rsidR="00474B85" w:rsidRDefault="0093795F" w:rsidP="0093795F">
      <w:pPr>
        <w:tabs>
          <w:tab w:val="left" w:pos="2173"/>
        </w:tabs>
      </w:pPr>
      <w:r>
        <w:tab/>
      </w:r>
    </w:p>
    <w:p w14:paraId="752BA358" w14:textId="77777777" w:rsidR="0093795F" w:rsidRDefault="0093795F" w:rsidP="0093795F">
      <w:pPr>
        <w:tabs>
          <w:tab w:val="left" w:pos="2173"/>
        </w:tabs>
      </w:pPr>
    </w:p>
    <w:p w14:paraId="12AF487E" w14:textId="77777777" w:rsidR="00474B85" w:rsidRDefault="00474B85" w:rsidP="00474B85">
      <w:pPr>
        <w:pStyle w:val="Heading3"/>
      </w:pPr>
      <w:bookmarkStart w:id="847" w:name="_Toc162267574"/>
      <w:r w:rsidRPr="00474B85">
        <w:t>Overall Injuries</w:t>
      </w:r>
      <w:bookmarkEnd w:id="847"/>
    </w:p>
    <w:p w14:paraId="28A22F85" w14:textId="6577C581" w:rsidR="00474B85" w:rsidRPr="00474B85" w:rsidRDefault="00474B85" w:rsidP="00474B85">
      <w:r w:rsidRPr="00474B85">
        <w:t xml:space="preserve">Injuries are classified as unintentional and intentional injuries. Common causes of unintentional injuries include falls, drowning, motor vehicle crashes (MVCs), unintentional drug overdose, and suffocation. Intentional injuries include homicide, assault, suicide, and self-inflicted injuries. All injuries are predictable and preventable. Despite this, they are among the top 10 leading causes of death in the US. Each year, more and more people experience nonfatal injuries. These injuries can cause lifelong mental, physical, and financial problems. Each year there are approximately 28 million ED visits for nonfatal injuries. </w:t>
      </w:r>
    </w:p>
    <w:p w14:paraId="5A2B373E" w14:textId="77777777" w:rsidR="00474B85" w:rsidRDefault="00474B85" w:rsidP="00474B85"/>
    <w:p w14:paraId="7105DB87" w14:textId="20AED36F" w:rsidR="00474B85" w:rsidRPr="00474B85" w:rsidRDefault="00474B85" w:rsidP="00474B85">
      <w:r w:rsidRPr="00474B85">
        <w:t>Males and Blacks have higher rates of fatal injuries compared to females and other racial and ethnic groups. However, disparities vary by the type of unintentional or intentional injury</w:t>
      </w:r>
      <w:r>
        <w:t>.</w:t>
      </w:r>
      <w:r w:rsidRPr="00474B85">
        <w:t xml:space="preserve"> Risk factors for injury include but are not limited to sex, racial and ethnic groups, age, socioeconomic status, geographic location, sexual identity, and disability status.</w:t>
      </w:r>
    </w:p>
    <w:p w14:paraId="7A378B3C" w14:textId="77777777" w:rsidR="00474B85" w:rsidRDefault="00474B85" w:rsidP="00474B85"/>
    <w:p w14:paraId="48EBA8F6" w14:textId="71DF149B" w:rsidR="00474B85" w:rsidRPr="00474B85" w:rsidRDefault="00474B85" w:rsidP="00474B85">
      <w:r w:rsidRPr="00474B85">
        <w:t>The economic burden of fatal and nonfatal injuries is high. In 2020, the total cost of injury in the US was $4.6 trillion, which includes spending on health care, lost work productivity, estimates of cost for lost quality of life, and lives lost. Over half of this cost was among adults 18-64 years of age ($3.2 trillion).</w:t>
      </w:r>
    </w:p>
    <w:p w14:paraId="623597F4" w14:textId="77777777" w:rsidR="00474B85" w:rsidRDefault="00474B85" w:rsidP="00474B85"/>
    <w:p w14:paraId="44321237" w14:textId="77777777" w:rsidR="00474B85" w:rsidRDefault="00474B85" w:rsidP="00474B85">
      <w:pPr>
        <w:pStyle w:val="Heading4"/>
      </w:pPr>
      <w:bookmarkStart w:id="848" w:name="_Toc154576535"/>
      <w:bookmarkStart w:id="849" w:name="_Toc162267575"/>
      <w:r>
        <w:t>Figure 9.53: Injuries in South Carolina, 2021.</w:t>
      </w:r>
      <w:bookmarkEnd w:id="848"/>
      <w:bookmarkEnd w:id="849"/>
    </w:p>
    <w:tbl>
      <w:tblPr>
        <w:tblStyle w:val="TableGrid"/>
        <w:tblW w:w="0" w:type="auto"/>
        <w:tblLook w:val="04A0" w:firstRow="1" w:lastRow="0" w:firstColumn="1" w:lastColumn="0" w:noHBand="0" w:noVBand="1"/>
      </w:tblPr>
      <w:tblGrid>
        <w:gridCol w:w="4675"/>
        <w:gridCol w:w="4675"/>
      </w:tblGrid>
      <w:tr w:rsidR="00474B85" w14:paraId="2984CB2D" w14:textId="77777777" w:rsidTr="001B41BD">
        <w:tc>
          <w:tcPr>
            <w:tcW w:w="4675" w:type="dxa"/>
          </w:tcPr>
          <w:p w14:paraId="4FF19C0D" w14:textId="77777777" w:rsidR="00474B85" w:rsidRDefault="00474B85" w:rsidP="001B41BD">
            <w:r>
              <w:t>Type of Injury</w:t>
            </w:r>
          </w:p>
        </w:tc>
        <w:tc>
          <w:tcPr>
            <w:tcW w:w="4675" w:type="dxa"/>
          </w:tcPr>
          <w:p w14:paraId="02FC70EC" w14:textId="77777777" w:rsidR="00474B85" w:rsidRDefault="00474B85" w:rsidP="001B41BD">
            <w:r>
              <w:t>Number</w:t>
            </w:r>
          </w:p>
        </w:tc>
      </w:tr>
      <w:tr w:rsidR="00474B85" w14:paraId="5E5154EB" w14:textId="77777777" w:rsidTr="001B41BD">
        <w:tc>
          <w:tcPr>
            <w:tcW w:w="4675" w:type="dxa"/>
          </w:tcPr>
          <w:p w14:paraId="66735517" w14:textId="77777777" w:rsidR="00474B85" w:rsidRDefault="00474B85" w:rsidP="001B41BD">
            <w:r>
              <w:t>Fatalities</w:t>
            </w:r>
          </w:p>
        </w:tc>
        <w:tc>
          <w:tcPr>
            <w:tcW w:w="4675" w:type="dxa"/>
          </w:tcPr>
          <w:p w14:paraId="719438BB" w14:textId="77777777" w:rsidR="00474B85" w:rsidRDefault="00474B85" w:rsidP="001B41BD">
            <w:r>
              <w:t>6,150</w:t>
            </w:r>
          </w:p>
        </w:tc>
      </w:tr>
      <w:tr w:rsidR="00474B85" w14:paraId="647DE157" w14:textId="77777777" w:rsidTr="001B41BD">
        <w:tc>
          <w:tcPr>
            <w:tcW w:w="4675" w:type="dxa"/>
          </w:tcPr>
          <w:p w14:paraId="7133A64B" w14:textId="77777777" w:rsidR="00474B85" w:rsidRDefault="00474B85" w:rsidP="001B41BD">
            <w:r>
              <w:t>Hospitalizations</w:t>
            </w:r>
          </w:p>
        </w:tc>
        <w:tc>
          <w:tcPr>
            <w:tcW w:w="4675" w:type="dxa"/>
          </w:tcPr>
          <w:p w14:paraId="657F6CCD" w14:textId="77777777" w:rsidR="00474B85" w:rsidRDefault="00474B85" w:rsidP="001B41BD">
            <w:r>
              <w:t>25,535</w:t>
            </w:r>
          </w:p>
        </w:tc>
      </w:tr>
      <w:tr w:rsidR="00474B85" w14:paraId="277856AB" w14:textId="77777777" w:rsidTr="001B41BD">
        <w:tc>
          <w:tcPr>
            <w:tcW w:w="4675" w:type="dxa"/>
          </w:tcPr>
          <w:p w14:paraId="4C3AC3E3" w14:textId="77777777" w:rsidR="00474B85" w:rsidRDefault="00474B85" w:rsidP="001B41BD">
            <w:r>
              <w:t>Emergency Department Visits</w:t>
            </w:r>
          </w:p>
        </w:tc>
        <w:tc>
          <w:tcPr>
            <w:tcW w:w="4675" w:type="dxa"/>
          </w:tcPr>
          <w:p w14:paraId="0579A9EB" w14:textId="77777777" w:rsidR="00474B85" w:rsidRDefault="00474B85" w:rsidP="001B41BD">
            <w:r>
              <w:t>419,961</w:t>
            </w:r>
          </w:p>
        </w:tc>
      </w:tr>
    </w:tbl>
    <w:p w14:paraId="4EA19DBC" w14:textId="77777777" w:rsidR="00474B85" w:rsidRPr="00670188" w:rsidRDefault="00474B85" w:rsidP="00474B85">
      <w:r w:rsidRPr="00670188">
        <w:t>Source: SC DHEC Vital Statistics, 2021; SC RFA, 2021.</w:t>
      </w:r>
    </w:p>
    <w:p w14:paraId="739A4DDE" w14:textId="77777777" w:rsidR="00474B85" w:rsidRDefault="00474B85" w:rsidP="00474B85">
      <w:pPr>
        <w:pStyle w:val="Heading4"/>
      </w:pPr>
      <w:bookmarkStart w:id="850" w:name="_Toc154576536"/>
    </w:p>
    <w:p w14:paraId="292D174E" w14:textId="199B3DB0" w:rsidR="00474B85" w:rsidRDefault="00474B85" w:rsidP="00474B85">
      <w:pPr>
        <w:pStyle w:val="Heading4"/>
      </w:pPr>
      <w:bookmarkStart w:id="851" w:name="_Toc162267576"/>
      <w:r>
        <w:t>Figure 9.54: Fatal Injuries in South Carolina.</w:t>
      </w:r>
      <w:bookmarkEnd w:id="850"/>
      <w:bookmarkEnd w:id="851"/>
    </w:p>
    <w:p w14:paraId="41E3D54A" w14:textId="77777777" w:rsidR="00474B85" w:rsidRPr="00670188" w:rsidRDefault="00474B85" w:rsidP="00474B85">
      <w:pPr>
        <w:pStyle w:val="Heading5"/>
      </w:pPr>
      <w:r>
        <w:t>Rate per 100,000 population.</w:t>
      </w:r>
    </w:p>
    <w:tbl>
      <w:tblPr>
        <w:tblStyle w:val="TableGrid"/>
        <w:tblW w:w="0" w:type="auto"/>
        <w:tblLook w:val="04A0" w:firstRow="1" w:lastRow="0" w:firstColumn="1" w:lastColumn="0" w:noHBand="0" w:noVBand="1"/>
      </w:tblPr>
      <w:tblGrid>
        <w:gridCol w:w="2337"/>
        <w:gridCol w:w="2337"/>
        <w:gridCol w:w="2338"/>
        <w:gridCol w:w="2338"/>
      </w:tblGrid>
      <w:tr w:rsidR="00474B85" w14:paraId="768AC392" w14:textId="77777777" w:rsidTr="001B41BD">
        <w:tc>
          <w:tcPr>
            <w:tcW w:w="2337" w:type="dxa"/>
            <w:vAlign w:val="bottom"/>
          </w:tcPr>
          <w:p w14:paraId="5C7A5C6F" w14:textId="77777777" w:rsidR="00474B85" w:rsidRPr="00670188" w:rsidRDefault="00474B85" w:rsidP="001B41BD">
            <w:r w:rsidRPr="00670188">
              <w:t> </w:t>
            </w:r>
            <w:r>
              <w:t>Year</w:t>
            </w:r>
          </w:p>
        </w:tc>
        <w:tc>
          <w:tcPr>
            <w:tcW w:w="2337" w:type="dxa"/>
            <w:vAlign w:val="bottom"/>
          </w:tcPr>
          <w:p w14:paraId="5D390562" w14:textId="77777777" w:rsidR="00474B85" w:rsidRPr="00670188" w:rsidRDefault="00474B85" w:rsidP="001B41BD">
            <w:r w:rsidRPr="00670188">
              <w:t>SC</w:t>
            </w:r>
          </w:p>
        </w:tc>
        <w:tc>
          <w:tcPr>
            <w:tcW w:w="2338" w:type="dxa"/>
            <w:vAlign w:val="bottom"/>
          </w:tcPr>
          <w:p w14:paraId="6F90727D" w14:textId="77777777" w:rsidR="00474B85" w:rsidRPr="00670188" w:rsidRDefault="00474B85" w:rsidP="001B41BD">
            <w:r w:rsidRPr="00670188">
              <w:t>US</w:t>
            </w:r>
          </w:p>
        </w:tc>
        <w:tc>
          <w:tcPr>
            <w:tcW w:w="2338" w:type="dxa"/>
            <w:vAlign w:val="bottom"/>
          </w:tcPr>
          <w:p w14:paraId="13852936" w14:textId="77777777" w:rsidR="00474B85" w:rsidRPr="00670188" w:rsidRDefault="00474B85" w:rsidP="001B41BD">
            <w:r>
              <w:t xml:space="preserve">Healthy People </w:t>
            </w:r>
            <w:r w:rsidRPr="00670188">
              <w:t>2030 Goal</w:t>
            </w:r>
          </w:p>
        </w:tc>
      </w:tr>
      <w:tr w:rsidR="00474B85" w14:paraId="453E8EE6" w14:textId="77777777" w:rsidTr="001B41BD">
        <w:tc>
          <w:tcPr>
            <w:tcW w:w="2337" w:type="dxa"/>
            <w:vAlign w:val="bottom"/>
          </w:tcPr>
          <w:p w14:paraId="447DB8C4" w14:textId="77777777" w:rsidR="00474B85" w:rsidRPr="00670188" w:rsidRDefault="00474B85" w:rsidP="001B41BD">
            <w:r w:rsidRPr="00670188">
              <w:t>2012</w:t>
            </w:r>
          </w:p>
        </w:tc>
        <w:tc>
          <w:tcPr>
            <w:tcW w:w="2337" w:type="dxa"/>
            <w:vAlign w:val="bottom"/>
          </w:tcPr>
          <w:p w14:paraId="2626134B" w14:textId="77777777" w:rsidR="00474B85" w:rsidRPr="00670188" w:rsidRDefault="00474B85" w:rsidP="001B41BD">
            <w:r w:rsidRPr="00670188">
              <w:t>69.7</w:t>
            </w:r>
          </w:p>
        </w:tc>
        <w:tc>
          <w:tcPr>
            <w:tcW w:w="2338" w:type="dxa"/>
            <w:vAlign w:val="bottom"/>
          </w:tcPr>
          <w:p w14:paraId="1DBEE0CA" w14:textId="77777777" w:rsidR="00474B85" w:rsidRPr="00670188" w:rsidRDefault="00474B85" w:rsidP="001B41BD">
            <w:r w:rsidRPr="00670188">
              <w:t>58.7</w:t>
            </w:r>
          </w:p>
        </w:tc>
        <w:tc>
          <w:tcPr>
            <w:tcW w:w="2338" w:type="dxa"/>
            <w:vAlign w:val="bottom"/>
          </w:tcPr>
          <w:p w14:paraId="3EC2763B" w14:textId="77777777" w:rsidR="00474B85" w:rsidRPr="00670188" w:rsidRDefault="00474B85" w:rsidP="001B41BD">
            <w:r w:rsidRPr="00670188">
              <w:t>63.1</w:t>
            </w:r>
          </w:p>
        </w:tc>
      </w:tr>
      <w:tr w:rsidR="00474B85" w14:paraId="27159226" w14:textId="77777777" w:rsidTr="001B41BD">
        <w:tc>
          <w:tcPr>
            <w:tcW w:w="2337" w:type="dxa"/>
            <w:vAlign w:val="bottom"/>
          </w:tcPr>
          <w:p w14:paraId="0BFCE2C0" w14:textId="77777777" w:rsidR="00474B85" w:rsidRPr="00670188" w:rsidRDefault="00474B85" w:rsidP="001B41BD">
            <w:r w:rsidRPr="00670188">
              <w:t>2013</w:t>
            </w:r>
          </w:p>
        </w:tc>
        <w:tc>
          <w:tcPr>
            <w:tcW w:w="2337" w:type="dxa"/>
            <w:vAlign w:val="bottom"/>
          </w:tcPr>
          <w:p w14:paraId="7F93A761" w14:textId="77777777" w:rsidR="00474B85" w:rsidRPr="00670188" w:rsidRDefault="00474B85" w:rsidP="001B41BD">
            <w:r w:rsidRPr="00670188">
              <w:t>68.1</w:t>
            </w:r>
          </w:p>
        </w:tc>
        <w:tc>
          <w:tcPr>
            <w:tcW w:w="2338" w:type="dxa"/>
            <w:vAlign w:val="bottom"/>
          </w:tcPr>
          <w:p w14:paraId="5E8926F4" w14:textId="77777777" w:rsidR="00474B85" w:rsidRPr="00670188" w:rsidRDefault="00474B85" w:rsidP="001B41BD">
            <w:r w:rsidRPr="00670188">
              <w:t>58.8</w:t>
            </w:r>
          </w:p>
        </w:tc>
        <w:tc>
          <w:tcPr>
            <w:tcW w:w="2338" w:type="dxa"/>
            <w:vAlign w:val="bottom"/>
          </w:tcPr>
          <w:p w14:paraId="4EA83C13" w14:textId="77777777" w:rsidR="00474B85" w:rsidRPr="00670188" w:rsidRDefault="00474B85" w:rsidP="001B41BD">
            <w:r w:rsidRPr="00670188">
              <w:t>63.1</w:t>
            </w:r>
          </w:p>
        </w:tc>
      </w:tr>
      <w:tr w:rsidR="00474B85" w14:paraId="79A74FE2" w14:textId="77777777" w:rsidTr="001B41BD">
        <w:tc>
          <w:tcPr>
            <w:tcW w:w="2337" w:type="dxa"/>
            <w:vAlign w:val="bottom"/>
          </w:tcPr>
          <w:p w14:paraId="01948F34" w14:textId="77777777" w:rsidR="00474B85" w:rsidRPr="00670188" w:rsidRDefault="00474B85" w:rsidP="001B41BD">
            <w:r w:rsidRPr="00670188">
              <w:t>2014</w:t>
            </w:r>
          </w:p>
        </w:tc>
        <w:tc>
          <w:tcPr>
            <w:tcW w:w="2337" w:type="dxa"/>
            <w:vAlign w:val="bottom"/>
          </w:tcPr>
          <w:p w14:paraId="3B4677BC" w14:textId="77777777" w:rsidR="00474B85" w:rsidRPr="00670188" w:rsidRDefault="00474B85" w:rsidP="001B41BD">
            <w:r w:rsidRPr="00670188">
              <w:t>72.7</w:t>
            </w:r>
          </w:p>
        </w:tc>
        <w:tc>
          <w:tcPr>
            <w:tcW w:w="2338" w:type="dxa"/>
            <w:vAlign w:val="bottom"/>
          </w:tcPr>
          <w:p w14:paraId="196C49D5" w14:textId="77777777" w:rsidR="00474B85" w:rsidRPr="00670188" w:rsidRDefault="00474B85" w:rsidP="001B41BD">
            <w:r w:rsidRPr="00670188">
              <w:t>60.1</w:t>
            </w:r>
          </w:p>
        </w:tc>
        <w:tc>
          <w:tcPr>
            <w:tcW w:w="2338" w:type="dxa"/>
            <w:vAlign w:val="bottom"/>
          </w:tcPr>
          <w:p w14:paraId="6A5929D9" w14:textId="77777777" w:rsidR="00474B85" w:rsidRPr="00670188" w:rsidRDefault="00474B85" w:rsidP="001B41BD">
            <w:r w:rsidRPr="00670188">
              <w:t>63.1</w:t>
            </w:r>
          </w:p>
        </w:tc>
      </w:tr>
      <w:tr w:rsidR="00474B85" w14:paraId="1A38D532" w14:textId="77777777" w:rsidTr="001B41BD">
        <w:tc>
          <w:tcPr>
            <w:tcW w:w="2337" w:type="dxa"/>
            <w:vAlign w:val="bottom"/>
          </w:tcPr>
          <w:p w14:paraId="22B07A14" w14:textId="77777777" w:rsidR="00474B85" w:rsidRPr="00670188" w:rsidRDefault="00474B85" w:rsidP="001B41BD">
            <w:r w:rsidRPr="00670188">
              <w:t>2015</w:t>
            </w:r>
          </w:p>
        </w:tc>
        <w:tc>
          <w:tcPr>
            <w:tcW w:w="2337" w:type="dxa"/>
            <w:vAlign w:val="bottom"/>
          </w:tcPr>
          <w:p w14:paraId="6748172C" w14:textId="77777777" w:rsidR="00474B85" w:rsidRPr="00670188" w:rsidRDefault="00474B85" w:rsidP="001B41BD">
            <w:r w:rsidRPr="00670188">
              <w:t>80.5</w:t>
            </w:r>
          </w:p>
        </w:tc>
        <w:tc>
          <w:tcPr>
            <w:tcW w:w="2338" w:type="dxa"/>
            <w:vAlign w:val="bottom"/>
          </w:tcPr>
          <w:p w14:paraId="53ADDEE1" w14:textId="77777777" w:rsidR="00474B85" w:rsidRPr="00670188" w:rsidRDefault="00474B85" w:rsidP="001B41BD">
            <w:r w:rsidRPr="00670188">
              <w:t>63.9</w:t>
            </w:r>
          </w:p>
        </w:tc>
        <w:tc>
          <w:tcPr>
            <w:tcW w:w="2338" w:type="dxa"/>
            <w:vAlign w:val="bottom"/>
          </w:tcPr>
          <w:p w14:paraId="504C4D28" w14:textId="77777777" w:rsidR="00474B85" w:rsidRPr="00670188" w:rsidRDefault="00474B85" w:rsidP="001B41BD">
            <w:r w:rsidRPr="00670188">
              <w:t>63.1</w:t>
            </w:r>
          </w:p>
        </w:tc>
      </w:tr>
      <w:tr w:rsidR="00474B85" w14:paraId="37A8E22F" w14:textId="77777777" w:rsidTr="001B41BD">
        <w:tc>
          <w:tcPr>
            <w:tcW w:w="2337" w:type="dxa"/>
            <w:vAlign w:val="bottom"/>
          </w:tcPr>
          <w:p w14:paraId="11579497" w14:textId="77777777" w:rsidR="00474B85" w:rsidRPr="00670188" w:rsidRDefault="00474B85" w:rsidP="001B41BD">
            <w:r w:rsidRPr="00670188">
              <w:t>2016</w:t>
            </w:r>
          </w:p>
        </w:tc>
        <w:tc>
          <w:tcPr>
            <w:tcW w:w="2337" w:type="dxa"/>
            <w:vAlign w:val="bottom"/>
          </w:tcPr>
          <w:p w14:paraId="67EC2BE3" w14:textId="77777777" w:rsidR="00474B85" w:rsidRPr="00670188" w:rsidRDefault="00474B85" w:rsidP="001B41BD">
            <w:r w:rsidRPr="00670188">
              <w:t>84.2</w:t>
            </w:r>
          </w:p>
        </w:tc>
        <w:tc>
          <w:tcPr>
            <w:tcW w:w="2338" w:type="dxa"/>
            <w:vAlign w:val="bottom"/>
          </w:tcPr>
          <w:p w14:paraId="6A5C84CB" w14:textId="77777777" w:rsidR="00474B85" w:rsidRPr="00670188" w:rsidRDefault="00474B85" w:rsidP="001B41BD">
            <w:r w:rsidRPr="00670188">
              <w:t>69.0</w:t>
            </w:r>
          </w:p>
        </w:tc>
        <w:tc>
          <w:tcPr>
            <w:tcW w:w="2338" w:type="dxa"/>
            <w:vAlign w:val="bottom"/>
          </w:tcPr>
          <w:p w14:paraId="7A5F5E12" w14:textId="77777777" w:rsidR="00474B85" w:rsidRPr="00670188" w:rsidRDefault="00474B85" w:rsidP="001B41BD">
            <w:r w:rsidRPr="00670188">
              <w:t>63.1</w:t>
            </w:r>
          </w:p>
        </w:tc>
      </w:tr>
      <w:tr w:rsidR="00474B85" w14:paraId="1BF1EA7C" w14:textId="77777777" w:rsidTr="001B41BD">
        <w:tc>
          <w:tcPr>
            <w:tcW w:w="2337" w:type="dxa"/>
            <w:vAlign w:val="bottom"/>
          </w:tcPr>
          <w:p w14:paraId="64F9F279" w14:textId="77777777" w:rsidR="00474B85" w:rsidRPr="00670188" w:rsidRDefault="00474B85" w:rsidP="001B41BD">
            <w:r w:rsidRPr="00670188">
              <w:t>2017</w:t>
            </w:r>
          </w:p>
        </w:tc>
        <w:tc>
          <w:tcPr>
            <w:tcW w:w="2337" w:type="dxa"/>
            <w:vAlign w:val="bottom"/>
          </w:tcPr>
          <w:p w14:paraId="63D7FE25" w14:textId="77777777" w:rsidR="00474B85" w:rsidRPr="00670188" w:rsidRDefault="00474B85" w:rsidP="001B41BD">
            <w:r w:rsidRPr="00670188">
              <w:t>86.7</w:t>
            </w:r>
          </w:p>
        </w:tc>
        <w:tc>
          <w:tcPr>
            <w:tcW w:w="2338" w:type="dxa"/>
            <w:vAlign w:val="bottom"/>
          </w:tcPr>
          <w:p w14:paraId="703DCABF" w14:textId="77777777" w:rsidR="00474B85" w:rsidRPr="00670188" w:rsidRDefault="00474B85" w:rsidP="001B41BD">
            <w:r w:rsidRPr="00670188">
              <w:t>71.5</w:t>
            </w:r>
          </w:p>
        </w:tc>
        <w:tc>
          <w:tcPr>
            <w:tcW w:w="2338" w:type="dxa"/>
            <w:vAlign w:val="bottom"/>
          </w:tcPr>
          <w:p w14:paraId="0D980484" w14:textId="77777777" w:rsidR="00474B85" w:rsidRPr="00670188" w:rsidRDefault="00474B85" w:rsidP="001B41BD">
            <w:r w:rsidRPr="00670188">
              <w:t>63.1</w:t>
            </w:r>
          </w:p>
        </w:tc>
      </w:tr>
      <w:tr w:rsidR="00474B85" w14:paraId="68922603" w14:textId="77777777" w:rsidTr="001B41BD">
        <w:tc>
          <w:tcPr>
            <w:tcW w:w="2337" w:type="dxa"/>
            <w:vAlign w:val="bottom"/>
          </w:tcPr>
          <w:p w14:paraId="2ABD692B" w14:textId="77777777" w:rsidR="00474B85" w:rsidRPr="00670188" w:rsidRDefault="00474B85" w:rsidP="001B41BD">
            <w:r w:rsidRPr="00670188">
              <w:t>2018</w:t>
            </w:r>
          </w:p>
        </w:tc>
        <w:tc>
          <w:tcPr>
            <w:tcW w:w="2337" w:type="dxa"/>
            <w:vAlign w:val="bottom"/>
          </w:tcPr>
          <w:p w14:paraId="3F787375" w14:textId="77777777" w:rsidR="00474B85" w:rsidRPr="00670188" w:rsidRDefault="00474B85" w:rsidP="001B41BD">
            <w:r w:rsidRPr="00670188">
              <w:t>89.5</w:t>
            </w:r>
          </w:p>
        </w:tc>
        <w:tc>
          <w:tcPr>
            <w:tcW w:w="2338" w:type="dxa"/>
            <w:vAlign w:val="bottom"/>
          </w:tcPr>
          <w:p w14:paraId="0AF22B5F" w14:textId="77777777" w:rsidR="00474B85" w:rsidRPr="00670188" w:rsidRDefault="00474B85" w:rsidP="001B41BD">
            <w:r w:rsidRPr="00670188">
              <w:t>70.1</w:t>
            </w:r>
          </w:p>
        </w:tc>
        <w:tc>
          <w:tcPr>
            <w:tcW w:w="2338" w:type="dxa"/>
            <w:vAlign w:val="bottom"/>
          </w:tcPr>
          <w:p w14:paraId="07768327" w14:textId="77777777" w:rsidR="00474B85" w:rsidRPr="00670188" w:rsidRDefault="00474B85" w:rsidP="001B41BD">
            <w:r w:rsidRPr="00670188">
              <w:t>63.1</w:t>
            </w:r>
          </w:p>
        </w:tc>
      </w:tr>
      <w:tr w:rsidR="00474B85" w14:paraId="2936F68D" w14:textId="77777777" w:rsidTr="001B41BD">
        <w:tc>
          <w:tcPr>
            <w:tcW w:w="2337" w:type="dxa"/>
            <w:vAlign w:val="bottom"/>
          </w:tcPr>
          <w:p w14:paraId="49C93FCB" w14:textId="77777777" w:rsidR="00474B85" w:rsidRPr="00670188" w:rsidRDefault="00474B85" w:rsidP="001B41BD">
            <w:r w:rsidRPr="00670188">
              <w:t>2019</w:t>
            </w:r>
          </w:p>
        </w:tc>
        <w:tc>
          <w:tcPr>
            <w:tcW w:w="2337" w:type="dxa"/>
            <w:vAlign w:val="bottom"/>
          </w:tcPr>
          <w:p w14:paraId="48A12E81" w14:textId="77777777" w:rsidR="00474B85" w:rsidRPr="00670188" w:rsidRDefault="00474B85" w:rsidP="001B41BD">
            <w:r w:rsidRPr="00670188">
              <w:t>90.1</w:t>
            </w:r>
          </w:p>
        </w:tc>
        <w:tc>
          <w:tcPr>
            <w:tcW w:w="2338" w:type="dxa"/>
            <w:vAlign w:val="bottom"/>
          </w:tcPr>
          <w:p w14:paraId="6A81E9F2" w14:textId="77777777" w:rsidR="00474B85" w:rsidRPr="00670188" w:rsidRDefault="00474B85" w:rsidP="001B41BD">
            <w:r w:rsidRPr="00670188">
              <w:t>71.2</w:t>
            </w:r>
          </w:p>
        </w:tc>
        <w:tc>
          <w:tcPr>
            <w:tcW w:w="2338" w:type="dxa"/>
            <w:vAlign w:val="bottom"/>
          </w:tcPr>
          <w:p w14:paraId="14F8D603" w14:textId="77777777" w:rsidR="00474B85" w:rsidRPr="00670188" w:rsidRDefault="00474B85" w:rsidP="001B41BD">
            <w:r w:rsidRPr="00670188">
              <w:t>63.1</w:t>
            </w:r>
          </w:p>
        </w:tc>
      </w:tr>
      <w:tr w:rsidR="00474B85" w14:paraId="6074C4C9" w14:textId="77777777" w:rsidTr="001B41BD">
        <w:tc>
          <w:tcPr>
            <w:tcW w:w="2337" w:type="dxa"/>
            <w:vAlign w:val="bottom"/>
          </w:tcPr>
          <w:p w14:paraId="3C9D414F" w14:textId="77777777" w:rsidR="00474B85" w:rsidRPr="00670188" w:rsidRDefault="00474B85" w:rsidP="001B41BD">
            <w:r w:rsidRPr="00670188">
              <w:t>2020</w:t>
            </w:r>
          </w:p>
        </w:tc>
        <w:tc>
          <w:tcPr>
            <w:tcW w:w="2337" w:type="dxa"/>
            <w:vAlign w:val="bottom"/>
          </w:tcPr>
          <w:p w14:paraId="77DF557A" w14:textId="77777777" w:rsidR="00474B85" w:rsidRPr="00670188" w:rsidRDefault="00474B85" w:rsidP="001B41BD">
            <w:r w:rsidRPr="00670188">
              <w:t>107.8</w:t>
            </w:r>
          </w:p>
        </w:tc>
        <w:tc>
          <w:tcPr>
            <w:tcW w:w="2338" w:type="dxa"/>
            <w:vAlign w:val="bottom"/>
          </w:tcPr>
          <w:p w14:paraId="4DDF2B18" w14:textId="77777777" w:rsidR="00474B85" w:rsidRPr="00670188" w:rsidRDefault="00474B85" w:rsidP="001B41BD">
            <w:r w:rsidRPr="00670188">
              <w:t>80.9</w:t>
            </w:r>
          </w:p>
        </w:tc>
        <w:tc>
          <w:tcPr>
            <w:tcW w:w="2338" w:type="dxa"/>
            <w:vAlign w:val="bottom"/>
          </w:tcPr>
          <w:p w14:paraId="058528A4" w14:textId="77777777" w:rsidR="00474B85" w:rsidRPr="00670188" w:rsidRDefault="00474B85" w:rsidP="001B41BD">
            <w:r w:rsidRPr="00670188">
              <w:t>63.1</w:t>
            </w:r>
          </w:p>
        </w:tc>
      </w:tr>
      <w:tr w:rsidR="00474B85" w14:paraId="7C581EC8" w14:textId="77777777" w:rsidTr="001B41BD">
        <w:tc>
          <w:tcPr>
            <w:tcW w:w="2337" w:type="dxa"/>
            <w:vAlign w:val="bottom"/>
          </w:tcPr>
          <w:p w14:paraId="7AAE4F79" w14:textId="77777777" w:rsidR="00474B85" w:rsidRPr="00670188" w:rsidRDefault="00474B85" w:rsidP="001B41BD">
            <w:r w:rsidRPr="00670188">
              <w:t>2021</w:t>
            </w:r>
          </w:p>
        </w:tc>
        <w:tc>
          <w:tcPr>
            <w:tcW w:w="2337" w:type="dxa"/>
            <w:vAlign w:val="bottom"/>
          </w:tcPr>
          <w:p w14:paraId="0C2BC9D9" w14:textId="77777777" w:rsidR="00474B85" w:rsidRPr="00670188" w:rsidRDefault="00474B85" w:rsidP="001B41BD">
            <w:r w:rsidRPr="00670188">
              <w:t>116.9</w:t>
            </w:r>
          </w:p>
        </w:tc>
        <w:tc>
          <w:tcPr>
            <w:tcW w:w="2338" w:type="dxa"/>
            <w:vAlign w:val="bottom"/>
          </w:tcPr>
          <w:p w14:paraId="06EB4B19" w14:textId="77777777" w:rsidR="00474B85" w:rsidRPr="00670188" w:rsidRDefault="00474B85" w:rsidP="001B41BD">
            <w:r w:rsidRPr="00670188">
              <w:t>89.0</w:t>
            </w:r>
          </w:p>
        </w:tc>
        <w:tc>
          <w:tcPr>
            <w:tcW w:w="2338" w:type="dxa"/>
            <w:vAlign w:val="bottom"/>
          </w:tcPr>
          <w:p w14:paraId="0BACB994" w14:textId="77777777" w:rsidR="00474B85" w:rsidRPr="00670188" w:rsidRDefault="00474B85" w:rsidP="001B41BD">
            <w:r w:rsidRPr="00670188">
              <w:t>63.1</w:t>
            </w:r>
          </w:p>
        </w:tc>
      </w:tr>
    </w:tbl>
    <w:p w14:paraId="5BA1CB73" w14:textId="77777777" w:rsidR="00474B85" w:rsidRPr="00670188" w:rsidRDefault="00474B85" w:rsidP="00474B85">
      <w:r w:rsidRPr="00670188">
        <w:t xml:space="preserve">Source: SC DHEC Vital Statistics; CDC NCHS. </w:t>
      </w:r>
    </w:p>
    <w:p w14:paraId="6906F116" w14:textId="77777777" w:rsidR="00474B85" w:rsidRPr="00B41BC6" w:rsidRDefault="00474B85" w:rsidP="00474B85">
      <w:r w:rsidRPr="00670188">
        <w:t>Note: Age-adjusted, population for year 2021 based on single-race estimates and for years prior based on bridge-race estimates.</w:t>
      </w:r>
    </w:p>
    <w:p w14:paraId="7BB49EB2" w14:textId="77777777" w:rsidR="00474B85" w:rsidRDefault="00474B85" w:rsidP="00474B85">
      <w:pPr>
        <w:pStyle w:val="Heading4"/>
      </w:pPr>
      <w:bookmarkStart w:id="852" w:name="_Toc154576537"/>
    </w:p>
    <w:p w14:paraId="4A5BD1ED" w14:textId="01AA420D" w:rsidR="00474B85" w:rsidRDefault="00474B85" w:rsidP="00474B85">
      <w:pPr>
        <w:pStyle w:val="Heading4"/>
      </w:pPr>
      <w:bookmarkStart w:id="853" w:name="_Toc162267577"/>
      <w:r>
        <w:t>Figure 9.55: Overall Injury Deaths, by County.</w:t>
      </w:r>
      <w:bookmarkEnd w:id="852"/>
      <w:bookmarkEnd w:id="853"/>
    </w:p>
    <w:p w14:paraId="3F915162" w14:textId="77777777" w:rsidR="00474B85" w:rsidRPr="00670188" w:rsidRDefault="00474B85" w:rsidP="00474B85">
      <w:pPr>
        <w:pStyle w:val="Heading5"/>
      </w:pPr>
      <w:r>
        <w:t>Rate per 100,000 population.</w:t>
      </w:r>
    </w:p>
    <w:tbl>
      <w:tblPr>
        <w:tblStyle w:val="TableGrid"/>
        <w:tblW w:w="0" w:type="auto"/>
        <w:tblLook w:val="04A0" w:firstRow="1" w:lastRow="0" w:firstColumn="1" w:lastColumn="0" w:noHBand="0" w:noVBand="1"/>
      </w:tblPr>
      <w:tblGrid>
        <w:gridCol w:w="4675"/>
        <w:gridCol w:w="4675"/>
      </w:tblGrid>
      <w:tr w:rsidR="00474B85" w14:paraId="360223BA" w14:textId="77777777" w:rsidTr="001B41BD">
        <w:tc>
          <w:tcPr>
            <w:tcW w:w="4675" w:type="dxa"/>
            <w:vAlign w:val="bottom"/>
          </w:tcPr>
          <w:p w14:paraId="44EBDFBD" w14:textId="77777777" w:rsidR="00474B85" w:rsidRPr="00670188" w:rsidRDefault="00474B85" w:rsidP="001B41BD">
            <w:r w:rsidRPr="00670188">
              <w:t>County</w:t>
            </w:r>
          </w:p>
        </w:tc>
        <w:tc>
          <w:tcPr>
            <w:tcW w:w="4675" w:type="dxa"/>
            <w:vAlign w:val="bottom"/>
          </w:tcPr>
          <w:p w14:paraId="27F325E9" w14:textId="77777777" w:rsidR="00474B85" w:rsidRPr="00670188" w:rsidRDefault="00474B85" w:rsidP="001B41BD">
            <w:r w:rsidRPr="00670188">
              <w:t>Total rate</w:t>
            </w:r>
          </w:p>
        </w:tc>
      </w:tr>
      <w:tr w:rsidR="00474B85" w14:paraId="758EE6F7" w14:textId="77777777" w:rsidTr="001B41BD">
        <w:tc>
          <w:tcPr>
            <w:tcW w:w="4675" w:type="dxa"/>
            <w:vAlign w:val="bottom"/>
          </w:tcPr>
          <w:p w14:paraId="0B21665F" w14:textId="77777777" w:rsidR="00474B85" w:rsidRPr="00670188" w:rsidRDefault="00474B85" w:rsidP="001B41BD">
            <w:r w:rsidRPr="00670188">
              <w:t>Abbeville</w:t>
            </w:r>
          </w:p>
        </w:tc>
        <w:tc>
          <w:tcPr>
            <w:tcW w:w="4675" w:type="dxa"/>
            <w:vAlign w:val="bottom"/>
          </w:tcPr>
          <w:p w14:paraId="1B610F26" w14:textId="77777777" w:rsidR="00474B85" w:rsidRPr="00670188" w:rsidRDefault="00474B85" w:rsidP="001B41BD">
            <w:r w:rsidRPr="00670188">
              <w:t>99.5</w:t>
            </w:r>
          </w:p>
        </w:tc>
      </w:tr>
      <w:tr w:rsidR="00474B85" w14:paraId="64B51CBF" w14:textId="77777777" w:rsidTr="001B41BD">
        <w:tc>
          <w:tcPr>
            <w:tcW w:w="4675" w:type="dxa"/>
            <w:vAlign w:val="bottom"/>
          </w:tcPr>
          <w:p w14:paraId="063F7A7C" w14:textId="77777777" w:rsidR="00474B85" w:rsidRPr="00670188" w:rsidRDefault="00474B85" w:rsidP="001B41BD">
            <w:r w:rsidRPr="00670188">
              <w:t>Aiken</w:t>
            </w:r>
          </w:p>
        </w:tc>
        <w:tc>
          <w:tcPr>
            <w:tcW w:w="4675" w:type="dxa"/>
            <w:vAlign w:val="bottom"/>
          </w:tcPr>
          <w:p w14:paraId="4C4A97FA" w14:textId="77777777" w:rsidR="00474B85" w:rsidRPr="00670188" w:rsidRDefault="00474B85" w:rsidP="001B41BD">
            <w:r w:rsidRPr="00670188">
              <w:t>115.3</w:t>
            </w:r>
          </w:p>
        </w:tc>
      </w:tr>
      <w:tr w:rsidR="00474B85" w14:paraId="2FCBC58D" w14:textId="77777777" w:rsidTr="001B41BD">
        <w:tc>
          <w:tcPr>
            <w:tcW w:w="4675" w:type="dxa"/>
            <w:vAlign w:val="bottom"/>
          </w:tcPr>
          <w:p w14:paraId="131CBDCE" w14:textId="77777777" w:rsidR="00474B85" w:rsidRPr="00670188" w:rsidRDefault="00474B85" w:rsidP="001B41BD">
            <w:r w:rsidRPr="00670188">
              <w:t>Allendale</w:t>
            </w:r>
          </w:p>
        </w:tc>
        <w:tc>
          <w:tcPr>
            <w:tcW w:w="4675" w:type="dxa"/>
            <w:vAlign w:val="bottom"/>
          </w:tcPr>
          <w:p w14:paraId="50AA4953" w14:textId="77777777" w:rsidR="00474B85" w:rsidRPr="00670188" w:rsidRDefault="00474B85" w:rsidP="001B41BD">
            <w:r w:rsidRPr="00670188">
              <w:t>145.2</w:t>
            </w:r>
          </w:p>
        </w:tc>
      </w:tr>
      <w:tr w:rsidR="00474B85" w14:paraId="62A93D03" w14:textId="77777777" w:rsidTr="001B41BD">
        <w:tc>
          <w:tcPr>
            <w:tcW w:w="4675" w:type="dxa"/>
            <w:vAlign w:val="bottom"/>
          </w:tcPr>
          <w:p w14:paraId="3766883E" w14:textId="77777777" w:rsidR="00474B85" w:rsidRPr="00670188" w:rsidRDefault="00474B85" w:rsidP="001B41BD">
            <w:r w:rsidRPr="00670188">
              <w:t>Anderson</w:t>
            </w:r>
          </w:p>
        </w:tc>
        <w:tc>
          <w:tcPr>
            <w:tcW w:w="4675" w:type="dxa"/>
            <w:vAlign w:val="bottom"/>
          </w:tcPr>
          <w:p w14:paraId="73857A14" w14:textId="77777777" w:rsidR="00474B85" w:rsidRPr="00670188" w:rsidRDefault="00474B85" w:rsidP="001B41BD">
            <w:r w:rsidRPr="00670188">
              <w:t>110.2</w:t>
            </w:r>
          </w:p>
        </w:tc>
      </w:tr>
      <w:tr w:rsidR="00474B85" w14:paraId="4CA80B97" w14:textId="77777777" w:rsidTr="001B41BD">
        <w:tc>
          <w:tcPr>
            <w:tcW w:w="4675" w:type="dxa"/>
            <w:vAlign w:val="bottom"/>
          </w:tcPr>
          <w:p w14:paraId="11967D93" w14:textId="77777777" w:rsidR="00474B85" w:rsidRPr="00670188" w:rsidRDefault="00474B85" w:rsidP="001B41BD">
            <w:r w:rsidRPr="00670188">
              <w:t>Bamberg</w:t>
            </w:r>
          </w:p>
        </w:tc>
        <w:tc>
          <w:tcPr>
            <w:tcW w:w="4675" w:type="dxa"/>
            <w:vAlign w:val="bottom"/>
          </w:tcPr>
          <w:p w14:paraId="555C2FF1" w14:textId="77777777" w:rsidR="00474B85" w:rsidRPr="00670188" w:rsidRDefault="00474B85" w:rsidP="001B41BD">
            <w:r w:rsidRPr="00670188">
              <w:t>89.5</w:t>
            </w:r>
          </w:p>
        </w:tc>
      </w:tr>
      <w:tr w:rsidR="00474B85" w14:paraId="12C492CD" w14:textId="77777777" w:rsidTr="001B41BD">
        <w:tc>
          <w:tcPr>
            <w:tcW w:w="4675" w:type="dxa"/>
            <w:vAlign w:val="bottom"/>
          </w:tcPr>
          <w:p w14:paraId="65D16DEE" w14:textId="77777777" w:rsidR="00474B85" w:rsidRPr="00670188" w:rsidRDefault="00474B85" w:rsidP="001B41BD">
            <w:r w:rsidRPr="00670188">
              <w:t>Barnwell</w:t>
            </w:r>
          </w:p>
        </w:tc>
        <w:tc>
          <w:tcPr>
            <w:tcW w:w="4675" w:type="dxa"/>
            <w:vAlign w:val="bottom"/>
          </w:tcPr>
          <w:p w14:paraId="2E7327A4" w14:textId="77777777" w:rsidR="00474B85" w:rsidRPr="00670188" w:rsidRDefault="00474B85" w:rsidP="001B41BD">
            <w:r w:rsidRPr="00670188">
              <w:t>127.5</w:t>
            </w:r>
          </w:p>
        </w:tc>
      </w:tr>
      <w:tr w:rsidR="00474B85" w14:paraId="77ED4E7B" w14:textId="77777777" w:rsidTr="001B41BD">
        <w:tc>
          <w:tcPr>
            <w:tcW w:w="4675" w:type="dxa"/>
            <w:vAlign w:val="bottom"/>
          </w:tcPr>
          <w:p w14:paraId="1A407C3F" w14:textId="77777777" w:rsidR="00474B85" w:rsidRPr="00670188" w:rsidRDefault="00474B85" w:rsidP="001B41BD">
            <w:r w:rsidRPr="00670188">
              <w:t>Beaufort</w:t>
            </w:r>
          </w:p>
        </w:tc>
        <w:tc>
          <w:tcPr>
            <w:tcW w:w="4675" w:type="dxa"/>
            <w:vAlign w:val="bottom"/>
          </w:tcPr>
          <w:p w14:paraId="36EB3216" w14:textId="77777777" w:rsidR="00474B85" w:rsidRPr="00670188" w:rsidRDefault="00474B85" w:rsidP="001B41BD">
            <w:r w:rsidRPr="00670188">
              <w:t>76.5</w:t>
            </w:r>
          </w:p>
        </w:tc>
      </w:tr>
      <w:tr w:rsidR="00474B85" w14:paraId="215F8F1D" w14:textId="77777777" w:rsidTr="001B41BD">
        <w:tc>
          <w:tcPr>
            <w:tcW w:w="4675" w:type="dxa"/>
            <w:vAlign w:val="bottom"/>
          </w:tcPr>
          <w:p w14:paraId="65E8B260" w14:textId="77777777" w:rsidR="00474B85" w:rsidRPr="00670188" w:rsidRDefault="00474B85" w:rsidP="001B41BD">
            <w:r w:rsidRPr="00670188">
              <w:t>Berkeley</w:t>
            </w:r>
          </w:p>
        </w:tc>
        <w:tc>
          <w:tcPr>
            <w:tcW w:w="4675" w:type="dxa"/>
            <w:vAlign w:val="bottom"/>
          </w:tcPr>
          <w:p w14:paraId="2B100A15" w14:textId="77777777" w:rsidR="00474B85" w:rsidRPr="00670188" w:rsidRDefault="00474B85" w:rsidP="001B41BD">
            <w:r w:rsidRPr="00670188">
              <w:t>90.2</w:t>
            </w:r>
          </w:p>
        </w:tc>
      </w:tr>
      <w:tr w:rsidR="00474B85" w14:paraId="41106144" w14:textId="77777777" w:rsidTr="001B41BD">
        <w:tc>
          <w:tcPr>
            <w:tcW w:w="4675" w:type="dxa"/>
            <w:vAlign w:val="bottom"/>
          </w:tcPr>
          <w:p w14:paraId="6A0209F3" w14:textId="77777777" w:rsidR="00474B85" w:rsidRPr="00670188" w:rsidRDefault="00474B85" w:rsidP="001B41BD">
            <w:r w:rsidRPr="00670188">
              <w:t>Calhoun</w:t>
            </w:r>
          </w:p>
        </w:tc>
        <w:tc>
          <w:tcPr>
            <w:tcW w:w="4675" w:type="dxa"/>
            <w:vAlign w:val="bottom"/>
          </w:tcPr>
          <w:p w14:paraId="6B4494E1" w14:textId="77777777" w:rsidR="00474B85" w:rsidRPr="00670188" w:rsidRDefault="00474B85" w:rsidP="001B41BD">
            <w:r w:rsidRPr="00670188">
              <w:t>128.2</w:t>
            </w:r>
          </w:p>
        </w:tc>
      </w:tr>
      <w:tr w:rsidR="00474B85" w14:paraId="481DD103" w14:textId="77777777" w:rsidTr="001B41BD">
        <w:tc>
          <w:tcPr>
            <w:tcW w:w="4675" w:type="dxa"/>
            <w:vAlign w:val="bottom"/>
          </w:tcPr>
          <w:p w14:paraId="2C704C57" w14:textId="77777777" w:rsidR="00474B85" w:rsidRPr="00670188" w:rsidRDefault="00474B85" w:rsidP="001B41BD">
            <w:r w:rsidRPr="00670188">
              <w:t>Charleston</w:t>
            </w:r>
          </w:p>
        </w:tc>
        <w:tc>
          <w:tcPr>
            <w:tcW w:w="4675" w:type="dxa"/>
            <w:vAlign w:val="bottom"/>
          </w:tcPr>
          <w:p w14:paraId="6B2D68E4" w14:textId="77777777" w:rsidR="00474B85" w:rsidRPr="00670188" w:rsidRDefault="00474B85" w:rsidP="001B41BD">
            <w:r w:rsidRPr="00670188">
              <w:t>95.0</w:t>
            </w:r>
          </w:p>
        </w:tc>
      </w:tr>
      <w:tr w:rsidR="00474B85" w14:paraId="69296897" w14:textId="77777777" w:rsidTr="001B41BD">
        <w:tc>
          <w:tcPr>
            <w:tcW w:w="4675" w:type="dxa"/>
            <w:vAlign w:val="bottom"/>
          </w:tcPr>
          <w:p w14:paraId="3AE8465E" w14:textId="77777777" w:rsidR="00474B85" w:rsidRPr="00670188" w:rsidRDefault="00474B85" w:rsidP="001B41BD">
            <w:r w:rsidRPr="00670188">
              <w:t>Cherokee</w:t>
            </w:r>
          </w:p>
        </w:tc>
        <w:tc>
          <w:tcPr>
            <w:tcW w:w="4675" w:type="dxa"/>
            <w:vAlign w:val="bottom"/>
          </w:tcPr>
          <w:p w14:paraId="7BE05BA9" w14:textId="77777777" w:rsidR="00474B85" w:rsidRPr="00670188" w:rsidRDefault="00474B85" w:rsidP="001B41BD">
            <w:r w:rsidRPr="00670188">
              <w:t>104.3</w:t>
            </w:r>
          </w:p>
        </w:tc>
      </w:tr>
      <w:tr w:rsidR="00474B85" w14:paraId="1F3E2AB4" w14:textId="77777777" w:rsidTr="001B41BD">
        <w:tc>
          <w:tcPr>
            <w:tcW w:w="4675" w:type="dxa"/>
            <w:vAlign w:val="bottom"/>
          </w:tcPr>
          <w:p w14:paraId="749E4EFB" w14:textId="77777777" w:rsidR="00474B85" w:rsidRPr="00670188" w:rsidRDefault="00474B85" w:rsidP="001B41BD">
            <w:r w:rsidRPr="00670188">
              <w:t>Chester</w:t>
            </w:r>
          </w:p>
        </w:tc>
        <w:tc>
          <w:tcPr>
            <w:tcW w:w="4675" w:type="dxa"/>
            <w:vAlign w:val="bottom"/>
          </w:tcPr>
          <w:p w14:paraId="7848E320" w14:textId="77777777" w:rsidR="00474B85" w:rsidRPr="00670188" w:rsidRDefault="00474B85" w:rsidP="001B41BD">
            <w:r w:rsidRPr="00670188">
              <w:t>153.3</w:t>
            </w:r>
          </w:p>
        </w:tc>
      </w:tr>
      <w:tr w:rsidR="00474B85" w14:paraId="639FB257" w14:textId="77777777" w:rsidTr="001B41BD">
        <w:tc>
          <w:tcPr>
            <w:tcW w:w="4675" w:type="dxa"/>
            <w:vAlign w:val="bottom"/>
          </w:tcPr>
          <w:p w14:paraId="2EF8FA68" w14:textId="77777777" w:rsidR="00474B85" w:rsidRPr="00670188" w:rsidRDefault="00474B85" w:rsidP="001B41BD">
            <w:r w:rsidRPr="00670188">
              <w:t>Chesterfield</w:t>
            </w:r>
          </w:p>
        </w:tc>
        <w:tc>
          <w:tcPr>
            <w:tcW w:w="4675" w:type="dxa"/>
            <w:vAlign w:val="bottom"/>
          </w:tcPr>
          <w:p w14:paraId="20AB3868" w14:textId="77777777" w:rsidR="00474B85" w:rsidRPr="00670188" w:rsidRDefault="00474B85" w:rsidP="001B41BD">
            <w:r w:rsidRPr="00670188">
              <w:t>109.6</w:t>
            </w:r>
          </w:p>
        </w:tc>
      </w:tr>
      <w:tr w:rsidR="00474B85" w14:paraId="6FA4601E" w14:textId="77777777" w:rsidTr="001B41BD">
        <w:tc>
          <w:tcPr>
            <w:tcW w:w="4675" w:type="dxa"/>
            <w:vAlign w:val="bottom"/>
          </w:tcPr>
          <w:p w14:paraId="0089952B" w14:textId="77777777" w:rsidR="00474B85" w:rsidRPr="00670188" w:rsidRDefault="00474B85" w:rsidP="001B41BD">
            <w:r w:rsidRPr="00670188">
              <w:t>Clarendon</w:t>
            </w:r>
          </w:p>
        </w:tc>
        <w:tc>
          <w:tcPr>
            <w:tcW w:w="4675" w:type="dxa"/>
            <w:vAlign w:val="bottom"/>
          </w:tcPr>
          <w:p w14:paraId="392C32C4" w14:textId="77777777" w:rsidR="00474B85" w:rsidRPr="00670188" w:rsidRDefault="00474B85" w:rsidP="001B41BD">
            <w:r w:rsidRPr="00670188">
              <w:t>118.8</w:t>
            </w:r>
          </w:p>
        </w:tc>
      </w:tr>
      <w:tr w:rsidR="00474B85" w14:paraId="7F49D42D" w14:textId="77777777" w:rsidTr="001B41BD">
        <w:tc>
          <w:tcPr>
            <w:tcW w:w="4675" w:type="dxa"/>
            <w:vAlign w:val="bottom"/>
          </w:tcPr>
          <w:p w14:paraId="10085F2E" w14:textId="77777777" w:rsidR="00474B85" w:rsidRPr="00670188" w:rsidRDefault="00474B85" w:rsidP="001B41BD">
            <w:r w:rsidRPr="00670188">
              <w:t>Colleton</w:t>
            </w:r>
          </w:p>
        </w:tc>
        <w:tc>
          <w:tcPr>
            <w:tcW w:w="4675" w:type="dxa"/>
            <w:vAlign w:val="bottom"/>
          </w:tcPr>
          <w:p w14:paraId="2C3819FD" w14:textId="77777777" w:rsidR="00474B85" w:rsidRPr="00670188" w:rsidRDefault="00474B85" w:rsidP="001B41BD">
            <w:r w:rsidRPr="00670188">
              <w:t>167.2</w:t>
            </w:r>
          </w:p>
        </w:tc>
      </w:tr>
      <w:tr w:rsidR="00474B85" w14:paraId="61083ADA" w14:textId="77777777" w:rsidTr="001B41BD">
        <w:tc>
          <w:tcPr>
            <w:tcW w:w="4675" w:type="dxa"/>
            <w:vAlign w:val="bottom"/>
          </w:tcPr>
          <w:p w14:paraId="4E5DB74F" w14:textId="77777777" w:rsidR="00474B85" w:rsidRPr="00670188" w:rsidRDefault="00474B85" w:rsidP="001B41BD">
            <w:r w:rsidRPr="00670188">
              <w:t>Darlington</w:t>
            </w:r>
          </w:p>
        </w:tc>
        <w:tc>
          <w:tcPr>
            <w:tcW w:w="4675" w:type="dxa"/>
            <w:vAlign w:val="bottom"/>
          </w:tcPr>
          <w:p w14:paraId="7C4E405D" w14:textId="77777777" w:rsidR="00474B85" w:rsidRPr="00670188" w:rsidRDefault="00474B85" w:rsidP="001B41BD">
            <w:r w:rsidRPr="00670188">
              <w:t>123.0</w:t>
            </w:r>
          </w:p>
        </w:tc>
      </w:tr>
      <w:tr w:rsidR="00474B85" w14:paraId="689440F1" w14:textId="77777777" w:rsidTr="001B41BD">
        <w:tc>
          <w:tcPr>
            <w:tcW w:w="4675" w:type="dxa"/>
            <w:vAlign w:val="bottom"/>
          </w:tcPr>
          <w:p w14:paraId="13C69BD5" w14:textId="77777777" w:rsidR="00474B85" w:rsidRPr="00670188" w:rsidRDefault="00474B85" w:rsidP="001B41BD">
            <w:r w:rsidRPr="00670188">
              <w:t>Dillon</w:t>
            </w:r>
          </w:p>
        </w:tc>
        <w:tc>
          <w:tcPr>
            <w:tcW w:w="4675" w:type="dxa"/>
            <w:vAlign w:val="bottom"/>
          </w:tcPr>
          <w:p w14:paraId="4554FDAA" w14:textId="77777777" w:rsidR="00474B85" w:rsidRPr="00670188" w:rsidRDefault="00474B85" w:rsidP="001B41BD">
            <w:r w:rsidRPr="00670188">
              <w:t>169.0</w:t>
            </w:r>
          </w:p>
        </w:tc>
      </w:tr>
      <w:tr w:rsidR="00474B85" w14:paraId="0DCF1E5A" w14:textId="77777777" w:rsidTr="001B41BD">
        <w:tc>
          <w:tcPr>
            <w:tcW w:w="4675" w:type="dxa"/>
            <w:vAlign w:val="bottom"/>
          </w:tcPr>
          <w:p w14:paraId="1A8C43C1" w14:textId="77777777" w:rsidR="00474B85" w:rsidRPr="00670188" w:rsidRDefault="00474B85" w:rsidP="001B41BD">
            <w:r w:rsidRPr="00670188">
              <w:t>Dorchester</w:t>
            </w:r>
          </w:p>
        </w:tc>
        <w:tc>
          <w:tcPr>
            <w:tcW w:w="4675" w:type="dxa"/>
            <w:vAlign w:val="bottom"/>
          </w:tcPr>
          <w:p w14:paraId="121013AA" w14:textId="77777777" w:rsidR="00474B85" w:rsidRPr="00670188" w:rsidRDefault="00474B85" w:rsidP="001B41BD">
            <w:r w:rsidRPr="00670188">
              <w:t>84.4</w:t>
            </w:r>
          </w:p>
        </w:tc>
      </w:tr>
      <w:tr w:rsidR="00474B85" w14:paraId="1DB9CC26" w14:textId="77777777" w:rsidTr="001B41BD">
        <w:tc>
          <w:tcPr>
            <w:tcW w:w="4675" w:type="dxa"/>
            <w:vAlign w:val="bottom"/>
          </w:tcPr>
          <w:p w14:paraId="5DCC2202" w14:textId="77777777" w:rsidR="00474B85" w:rsidRPr="00670188" w:rsidRDefault="00474B85" w:rsidP="001B41BD">
            <w:r w:rsidRPr="00670188">
              <w:t>Edgefield</w:t>
            </w:r>
          </w:p>
        </w:tc>
        <w:tc>
          <w:tcPr>
            <w:tcW w:w="4675" w:type="dxa"/>
            <w:vAlign w:val="bottom"/>
          </w:tcPr>
          <w:p w14:paraId="7B419338" w14:textId="77777777" w:rsidR="00474B85" w:rsidRPr="00670188" w:rsidRDefault="00474B85" w:rsidP="001B41BD">
            <w:r w:rsidRPr="00670188">
              <w:t>80.7</w:t>
            </w:r>
          </w:p>
        </w:tc>
      </w:tr>
      <w:tr w:rsidR="00474B85" w14:paraId="6EE080D8" w14:textId="77777777" w:rsidTr="001B41BD">
        <w:tc>
          <w:tcPr>
            <w:tcW w:w="4675" w:type="dxa"/>
            <w:vAlign w:val="bottom"/>
          </w:tcPr>
          <w:p w14:paraId="7BD98A91" w14:textId="77777777" w:rsidR="00474B85" w:rsidRPr="00670188" w:rsidRDefault="00474B85" w:rsidP="001B41BD">
            <w:r w:rsidRPr="00670188">
              <w:t>Fairfield</w:t>
            </w:r>
          </w:p>
        </w:tc>
        <w:tc>
          <w:tcPr>
            <w:tcW w:w="4675" w:type="dxa"/>
            <w:vAlign w:val="bottom"/>
          </w:tcPr>
          <w:p w14:paraId="63A5E8CA" w14:textId="77777777" w:rsidR="00474B85" w:rsidRPr="00670188" w:rsidRDefault="00474B85" w:rsidP="001B41BD">
            <w:r w:rsidRPr="00670188">
              <w:t>148.6</w:t>
            </w:r>
          </w:p>
        </w:tc>
      </w:tr>
      <w:tr w:rsidR="00474B85" w14:paraId="7921ED0E" w14:textId="77777777" w:rsidTr="001B41BD">
        <w:tc>
          <w:tcPr>
            <w:tcW w:w="4675" w:type="dxa"/>
            <w:vAlign w:val="bottom"/>
          </w:tcPr>
          <w:p w14:paraId="35BBDB26" w14:textId="77777777" w:rsidR="00474B85" w:rsidRPr="00670188" w:rsidRDefault="00474B85" w:rsidP="001B41BD">
            <w:r w:rsidRPr="00670188">
              <w:t>Florence</w:t>
            </w:r>
          </w:p>
        </w:tc>
        <w:tc>
          <w:tcPr>
            <w:tcW w:w="4675" w:type="dxa"/>
            <w:vAlign w:val="bottom"/>
          </w:tcPr>
          <w:p w14:paraId="02D3243D" w14:textId="77777777" w:rsidR="00474B85" w:rsidRPr="00670188" w:rsidRDefault="00474B85" w:rsidP="001B41BD">
            <w:r w:rsidRPr="00670188">
              <w:t>111.6</w:t>
            </w:r>
          </w:p>
        </w:tc>
      </w:tr>
      <w:tr w:rsidR="00474B85" w14:paraId="516399EF" w14:textId="77777777" w:rsidTr="001B41BD">
        <w:tc>
          <w:tcPr>
            <w:tcW w:w="4675" w:type="dxa"/>
            <w:vAlign w:val="bottom"/>
          </w:tcPr>
          <w:p w14:paraId="25903B6F" w14:textId="77777777" w:rsidR="00474B85" w:rsidRPr="00670188" w:rsidRDefault="00474B85" w:rsidP="001B41BD">
            <w:r w:rsidRPr="00670188">
              <w:t>Georgetown</w:t>
            </w:r>
          </w:p>
        </w:tc>
        <w:tc>
          <w:tcPr>
            <w:tcW w:w="4675" w:type="dxa"/>
            <w:vAlign w:val="bottom"/>
          </w:tcPr>
          <w:p w14:paraId="2944D9C8" w14:textId="77777777" w:rsidR="00474B85" w:rsidRPr="00670188" w:rsidRDefault="00474B85" w:rsidP="001B41BD">
            <w:r w:rsidRPr="00670188">
              <w:t>139.6</w:t>
            </w:r>
          </w:p>
        </w:tc>
      </w:tr>
      <w:tr w:rsidR="00474B85" w14:paraId="74B30461" w14:textId="77777777" w:rsidTr="001B41BD">
        <w:tc>
          <w:tcPr>
            <w:tcW w:w="4675" w:type="dxa"/>
            <w:vAlign w:val="bottom"/>
          </w:tcPr>
          <w:p w14:paraId="75153C37" w14:textId="77777777" w:rsidR="00474B85" w:rsidRPr="00670188" w:rsidRDefault="00474B85" w:rsidP="001B41BD">
            <w:r w:rsidRPr="00670188">
              <w:t>Greenville</w:t>
            </w:r>
          </w:p>
        </w:tc>
        <w:tc>
          <w:tcPr>
            <w:tcW w:w="4675" w:type="dxa"/>
            <w:vAlign w:val="bottom"/>
          </w:tcPr>
          <w:p w14:paraId="4AB3F461" w14:textId="77777777" w:rsidR="00474B85" w:rsidRPr="00670188" w:rsidRDefault="00474B85" w:rsidP="001B41BD">
            <w:r w:rsidRPr="00670188">
              <w:t>99.3</w:t>
            </w:r>
          </w:p>
        </w:tc>
      </w:tr>
      <w:tr w:rsidR="00474B85" w14:paraId="49F4B7B1" w14:textId="77777777" w:rsidTr="001B41BD">
        <w:tc>
          <w:tcPr>
            <w:tcW w:w="4675" w:type="dxa"/>
            <w:vAlign w:val="bottom"/>
          </w:tcPr>
          <w:p w14:paraId="12BBE099" w14:textId="77777777" w:rsidR="00474B85" w:rsidRPr="00670188" w:rsidRDefault="00474B85" w:rsidP="001B41BD">
            <w:r w:rsidRPr="00670188">
              <w:t>Greenwood</w:t>
            </w:r>
          </w:p>
        </w:tc>
        <w:tc>
          <w:tcPr>
            <w:tcW w:w="4675" w:type="dxa"/>
            <w:vAlign w:val="bottom"/>
          </w:tcPr>
          <w:p w14:paraId="4CA3FB83" w14:textId="77777777" w:rsidR="00474B85" w:rsidRPr="00670188" w:rsidRDefault="00474B85" w:rsidP="001B41BD">
            <w:r w:rsidRPr="00670188">
              <w:t>119.2</w:t>
            </w:r>
          </w:p>
        </w:tc>
      </w:tr>
      <w:tr w:rsidR="00474B85" w14:paraId="5587F3A3" w14:textId="77777777" w:rsidTr="001B41BD">
        <w:tc>
          <w:tcPr>
            <w:tcW w:w="4675" w:type="dxa"/>
            <w:vAlign w:val="bottom"/>
          </w:tcPr>
          <w:p w14:paraId="4C37D8BE" w14:textId="77777777" w:rsidR="00474B85" w:rsidRPr="00670188" w:rsidRDefault="00474B85" w:rsidP="001B41BD">
            <w:r w:rsidRPr="00670188">
              <w:t>Hampton</w:t>
            </w:r>
          </w:p>
        </w:tc>
        <w:tc>
          <w:tcPr>
            <w:tcW w:w="4675" w:type="dxa"/>
            <w:vAlign w:val="bottom"/>
          </w:tcPr>
          <w:p w14:paraId="1582C9E4" w14:textId="77777777" w:rsidR="00474B85" w:rsidRPr="00670188" w:rsidRDefault="00474B85" w:rsidP="001B41BD">
            <w:r w:rsidRPr="00670188">
              <w:t>126.5</w:t>
            </w:r>
          </w:p>
        </w:tc>
      </w:tr>
      <w:tr w:rsidR="00474B85" w14:paraId="7BAFE853" w14:textId="77777777" w:rsidTr="001B41BD">
        <w:tc>
          <w:tcPr>
            <w:tcW w:w="4675" w:type="dxa"/>
            <w:vAlign w:val="bottom"/>
          </w:tcPr>
          <w:p w14:paraId="5B9A9CD0" w14:textId="77777777" w:rsidR="00474B85" w:rsidRPr="00670188" w:rsidRDefault="00474B85" w:rsidP="001B41BD">
            <w:r w:rsidRPr="00670188">
              <w:t>Horry</w:t>
            </w:r>
          </w:p>
        </w:tc>
        <w:tc>
          <w:tcPr>
            <w:tcW w:w="4675" w:type="dxa"/>
            <w:vAlign w:val="bottom"/>
          </w:tcPr>
          <w:p w14:paraId="557EC748" w14:textId="77777777" w:rsidR="00474B85" w:rsidRPr="00670188" w:rsidRDefault="00474B85" w:rsidP="001B41BD">
            <w:r w:rsidRPr="00670188">
              <w:t>122.9</w:t>
            </w:r>
          </w:p>
        </w:tc>
      </w:tr>
      <w:tr w:rsidR="00474B85" w14:paraId="7DFC1C67" w14:textId="77777777" w:rsidTr="001B41BD">
        <w:tc>
          <w:tcPr>
            <w:tcW w:w="4675" w:type="dxa"/>
            <w:vAlign w:val="bottom"/>
          </w:tcPr>
          <w:p w14:paraId="2670A9D2" w14:textId="77777777" w:rsidR="00474B85" w:rsidRPr="00670188" w:rsidRDefault="00474B85" w:rsidP="001B41BD">
            <w:r w:rsidRPr="00670188">
              <w:t>Jasper</w:t>
            </w:r>
          </w:p>
        </w:tc>
        <w:tc>
          <w:tcPr>
            <w:tcW w:w="4675" w:type="dxa"/>
            <w:vAlign w:val="bottom"/>
          </w:tcPr>
          <w:p w14:paraId="4B2FA5E5" w14:textId="77777777" w:rsidR="00474B85" w:rsidRPr="00670188" w:rsidRDefault="00474B85" w:rsidP="001B41BD">
            <w:r w:rsidRPr="00670188">
              <w:t>138.9</w:t>
            </w:r>
          </w:p>
        </w:tc>
      </w:tr>
      <w:tr w:rsidR="00474B85" w14:paraId="4D1878A4" w14:textId="77777777" w:rsidTr="001B41BD">
        <w:tc>
          <w:tcPr>
            <w:tcW w:w="4675" w:type="dxa"/>
            <w:vAlign w:val="bottom"/>
          </w:tcPr>
          <w:p w14:paraId="4BDA8FEE" w14:textId="77777777" w:rsidR="00474B85" w:rsidRPr="00670188" w:rsidRDefault="00474B85" w:rsidP="001B41BD">
            <w:r w:rsidRPr="00670188">
              <w:t>Kershaw</w:t>
            </w:r>
          </w:p>
        </w:tc>
        <w:tc>
          <w:tcPr>
            <w:tcW w:w="4675" w:type="dxa"/>
            <w:vAlign w:val="bottom"/>
          </w:tcPr>
          <w:p w14:paraId="1AD088B0" w14:textId="77777777" w:rsidR="00474B85" w:rsidRPr="00670188" w:rsidRDefault="00474B85" w:rsidP="001B41BD">
            <w:r w:rsidRPr="00670188">
              <w:t>121.0</w:t>
            </w:r>
          </w:p>
        </w:tc>
      </w:tr>
      <w:tr w:rsidR="00474B85" w14:paraId="2E68DD2B" w14:textId="77777777" w:rsidTr="001B41BD">
        <w:tc>
          <w:tcPr>
            <w:tcW w:w="4675" w:type="dxa"/>
            <w:vAlign w:val="bottom"/>
          </w:tcPr>
          <w:p w14:paraId="3ED907F7" w14:textId="77777777" w:rsidR="00474B85" w:rsidRPr="00670188" w:rsidRDefault="00474B85" w:rsidP="001B41BD">
            <w:r w:rsidRPr="00670188">
              <w:t>Lancaster</w:t>
            </w:r>
          </w:p>
        </w:tc>
        <w:tc>
          <w:tcPr>
            <w:tcW w:w="4675" w:type="dxa"/>
            <w:vAlign w:val="bottom"/>
          </w:tcPr>
          <w:p w14:paraId="27136726" w14:textId="77777777" w:rsidR="00474B85" w:rsidRPr="00670188" w:rsidRDefault="00474B85" w:rsidP="001B41BD">
            <w:r w:rsidRPr="00670188">
              <w:t>128.1</w:t>
            </w:r>
          </w:p>
        </w:tc>
      </w:tr>
      <w:tr w:rsidR="00474B85" w14:paraId="638F6FE1" w14:textId="77777777" w:rsidTr="001B41BD">
        <w:tc>
          <w:tcPr>
            <w:tcW w:w="4675" w:type="dxa"/>
            <w:vAlign w:val="bottom"/>
          </w:tcPr>
          <w:p w14:paraId="07F99596" w14:textId="77777777" w:rsidR="00474B85" w:rsidRPr="00670188" w:rsidRDefault="00474B85" w:rsidP="001B41BD">
            <w:r w:rsidRPr="00670188">
              <w:t>Laurens</w:t>
            </w:r>
          </w:p>
        </w:tc>
        <w:tc>
          <w:tcPr>
            <w:tcW w:w="4675" w:type="dxa"/>
            <w:vAlign w:val="bottom"/>
          </w:tcPr>
          <w:p w14:paraId="0CEC629A" w14:textId="77777777" w:rsidR="00474B85" w:rsidRPr="00670188" w:rsidRDefault="00474B85" w:rsidP="001B41BD">
            <w:r w:rsidRPr="00670188">
              <w:t>132.6</w:t>
            </w:r>
          </w:p>
        </w:tc>
      </w:tr>
      <w:tr w:rsidR="00474B85" w14:paraId="24A2F9D8" w14:textId="77777777" w:rsidTr="001B41BD">
        <w:tc>
          <w:tcPr>
            <w:tcW w:w="4675" w:type="dxa"/>
            <w:vAlign w:val="bottom"/>
          </w:tcPr>
          <w:p w14:paraId="10C404F3" w14:textId="77777777" w:rsidR="00474B85" w:rsidRPr="00670188" w:rsidRDefault="00474B85" w:rsidP="001B41BD">
            <w:r w:rsidRPr="00670188">
              <w:t>Lee</w:t>
            </w:r>
          </w:p>
        </w:tc>
        <w:tc>
          <w:tcPr>
            <w:tcW w:w="4675" w:type="dxa"/>
            <w:vAlign w:val="bottom"/>
          </w:tcPr>
          <w:p w14:paraId="4AFE9B91" w14:textId="77777777" w:rsidR="00474B85" w:rsidRPr="00670188" w:rsidRDefault="00474B85" w:rsidP="001B41BD">
            <w:r w:rsidRPr="00670188">
              <w:t>127.2</w:t>
            </w:r>
          </w:p>
        </w:tc>
      </w:tr>
      <w:tr w:rsidR="00474B85" w14:paraId="5BBC299A" w14:textId="77777777" w:rsidTr="001B41BD">
        <w:tc>
          <w:tcPr>
            <w:tcW w:w="4675" w:type="dxa"/>
            <w:vAlign w:val="bottom"/>
          </w:tcPr>
          <w:p w14:paraId="1B57AA17" w14:textId="77777777" w:rsidR="00474B85" w:rsidRPr="00670188" w:rsidRDefault="00474B85" w:rsidP="001B41BD">
            <w:r w:rsidRPr="00670188">
              <w:t>Lexington</w:t>
            </w:r>
          </w:p>
        </w:tc>
        <w:tc>
          <w:tcPr>
            <w:tcW w:w="4675" w:type="dxa"/>
            <w:vAlign w:val="bottom"/>
          </w:tcPr>
          <w:p w14:paraId="0D24E6EF" w14:textId="77777777" w:rsidR="00474B85" w:rsidRPr="00670188" w:rsidRDefault="00474B85" w:rsidP="001B41BD">
            <w:r w:rsidRPr="00670188">
              <w:t>98.3</w:t>
            </w:r>
          </w:p>
        </w:tc>
      </w:tr>
      <w:tr w:rsidR="00474B85" w14:paraId="42522E2A" w14:textId="77777777" w:rsidTr="001B41BD">
        <w:tc>
          <w:tcPr>
            <w:tcW w:w="4675" w:type="dxa"/>
            <w:vAlign w:val="bottom"/>
          </w:tcPr>
          <w:p w14:paraId="5C94DD6C" w14:textId="77777777" w:rsidR="00474B85" w:rsidRPr="00670188" w:rsidRDefault="00474B85" w:rsidP="001B41BD">
            <w:r w:rsidRPr="00670188">
              <w:lastRenderedPageBreak/>
              <w:t>Marion</w:t>
            </w:r>
          </w:p>
        </w:tc>
        <w:tc>
          <w:tcPr>
            <w:tcW w:w="4675" w:type="dxa"/>
            <w:vAlign w:val="bottom"/>
          </w:tcPr>
          <w:p w14:paraId="55FF6853" w14:textId="77777777" w:rsidR="00474B85" w:rsidRPr="00670188" w:rsidRDefault="00474B85" w:rsidP="001B41BD">
            <w:r w:rsidRPr="00670188">
              <w:t>119.3</w:t>
            </w:r>
          </w:p>
        </w:tc>
      </w:tr>
      <w:tr w:rsidR="00474B85" w14:paraId="5445D1CD" w14:textId="77777777" w:rsidTr="001B41BD">
        <w:tc>
          <w:tcPr>
            <w:tcW w:w="4675" w:type="dxa"/>
            <w:vAlign w:val="bottom"/>
          </w:tcPr>
          <w:p w14:paraId="65C1DE51" w14:textId="77777777" w:rsidR="00474B85" w:rsidRPr="00670188" w:rsidRDefault="00474B85" w:rsidP="001B41BD">
            <w:r w:rsidRPr="00670188">
              <w:t>Marlboro</w:t>
            </w:r>
          </w:p>
        </w:tc>
        <w:tc>
          <w:tcPr>
            <w:tcW w:w="4675" w:type="dxa"/>
            <w:vAlign w:val="bottom"/>
          </w:tcPr>
          <w:p w14:paraId="597ABA31" w14:textId="77777777" w:rsidR="00474B85" w:rsidRPr="00670188" w:rsidRDefault="00474B85" w:rsidP="001B41BD">
            <w:r w:rsidRPr="00670188">
              <w:t>123.2</w:t>
            </w:r>
          </w:p>
        </w:tc>
      </w:tr>
      <w:tr w:rsidR="00474B85" w14:paraId="5BE56420" w14:textId="77777777" w:rsidTr="001B41BD">
        <w:tc>
          <w:tcPr>
            <w:tcW w:w="4675" w:type="dxa"/>
            <w:vAlign w:val="bottom"/>
          </w:tcPr>
          <w:p w14:paraId="158E83CF" w14:textId="77777777" w:rsidR="00474B85" w:rsidRPr="00670188" w:rsidRDefault="00474B85" w:rsidP="001B41BD">
            <w:r w:rsidRPr="00670188">
              <w:t>McCormick</w:t>
            </w:r>
          </w:p>
        </w:tc>
        <w:tc>
          <w:tcPr>
            <w:tcW w:w="4675" w:type="dxa"/>
            <w:vAlign w:val="bottom"/>
          </w:tcPr>
          <w:p w14:paraId="176369FA" w14:textId="77777777" w:rsidR="00474B85" w:rsidRPr="00670188" w:rsidRDefault="00474B85" w:rsidP="001B41BD">
            <w:r w:rsidRPr="00670188">
              <w:t>96.3</w:t>
            </w:r>
          </w:p>
        </w:tc>
      </w:tr>
      <w:tr w:rsidR="00474B85" w14:paraId="481E4074" w14:textId="77777777" w:rsidTr="001B41BD">
        <w:tc>
          <w:tcPr>
            <w:tcW w:w="4675" w:type="dxa"/>
            <w:vAlign w:val="bottom"/>
          </w:tcPr>
          <w:p w14:paraId="0A3F0455" w14:textId="77777777" w:rsidR="00474B85" w:rsidRPr="00670188" w:rsidRDefault="00474B85" w:rsidP="001B41BD">
            <w:r w:rsidRPr="00670188">
              <w:t>Newberry</w:t>
            </w:r>
          </w:p>
        </w:tc>
        <w:tc>
          <w:tcPr>
            <w:tcW w:w="4675" w:type="dxa"/>
            <w:vAlign w:val="bottom"/>
          </w:tcPr>
          <w:p w14:paraId="2E95E927" w14:textId="77777777" w:rsidR="00474B85" w:rsidRPr="00670188" w:rsidRDefault="00474B85" w:rsidP="001B41BD">
            <w:r w:rsidRPr="00670188">
              <w:t>107.8</w:t>
            </w:r>
          </w:p>
        </w:tc>
      </w:tr>
      <w:tr w:rsidR="00474B85" w14:paraId="60AA319B" w14:textId="77777777" w:rsidTr="001B41BD">
        <w:tc>
          <w:tcPr>
            <w:tcW w:w="4675" w:type="dxa"/>
            <w:vAlign w:val="bottom"/>
          </w:tcPr>
          <w:p w14:paraId="4B9B8053" w14:textId="77777777" w:rsidR="00474B85" w:rsidRPr="00670188" w:rsidRDefault="00474B85" w:rsidP="001B41BD">
            <w:r w:rsidRPr="00670188">
              <w:t>Oconee</w:t>
            </w:r>
          </w:p>
        </w:tc>
        <w:tc>
          <w:tcPr>
            <w:tcW w:w="4675" w:type="dxa"/>
            <w:vAlign w:val="bottom"/>
          </w:tcPr>
          <w:p w14:paraId="2796D65B" w14:textId="77777777" w:rsidR="00474B85" w:rsidRPr="00670188" w:rsidRDefault="00474B85" w:rsidP="001B41BD">
            <w:r w:rsidRPr="00670188">
              <w:t>109.0</w:t>
            </w:r>
          </w:p>
        </w:tc>
      </w:tr>
      <w:tr w:rsidR="00474B85" w14:paraId="721F3906" w14:textId="77777777" w:rsidTr="001B41BD">
        <w:tc>
          <w:tcPr>
            <w:tcW w:w="4675" w:type="dxa"/>
            <w:vAlign w:val="bottom"/>
          </w:tcPr>
          <w:p w14:paraId="7C3DEB42" w14:textId="77777777" w:rsidR="00474B85" w:rsidRPr="00670188" w:rsidRDefault="00474B85" w:rsidP="001B41BD">
            <w:r w:rsidRPr="00670188">
              <w:t>Orangeburg</w:t>
            </w:r>
          </w:p>
        </w:tc>
        <w:tc>
          <w:tcPr>
            <w:tcW w:w="4675" w:type="dxa"/>
            <w:vAlign w:val="bottom"/>
          </w:tcPr>
          <w:p w14:paraId="6E774F04" w14:textId="77777777" w:rsidR="00474B85" w:rsidRPr="00670188" w:rsidRDefault="00474B85" w:rsidP="001B41BD">
            <w:r w:rsidRPr="00670188">
              <w:t>138.7</w:t>
            </w:r>
          </w:p>
        </w:tc>
      </w:tr>
      <w:tr w:rsidR="00474B85" w14:paraId="21542F85" w14:textId="77777777" w:rsidTr="001B41BD">
        <w:tc>
          <w:tcPr>
            <w:tcW w:w="4675" w:type="dxa"/>
            <w:vAlign w:val="bottom"/>
          </w:tcPr>
          <w:p w14:paraId="32DB7CAA" w14:textId="77777777" w:rsidR="00474B85" w:rsidRPr="00670188" w:rsidRDefault="00474B85" w:rsidP="001B41BD">
            <w:r w:rsidRPr="00670188">
              <w:t>Pickens</w:t>
            </w:r>
          </w:p>
        </w:tc>
        <w:tc>
          <w:tcPr>
            <w:tcW w:w="4675" w:type="dxa"/>
            <w:vAlign w:val="bottom"/>
          </w:tcPr>
          <w:p w14:paraId="294A4560" w14:textId="77777777" w:rsidR="00474B85" w:rsidRPr="00670188" w:rsidRDefault="00474B85" w:rsidP="001B41BD">
            <w:r w:rsidRPr="00670188">
              <w:t>116.4</w:t>
            </w:r>
          </w:p>
        </w:tc>
      </w:tr>
      <w:tr w:rsidR="00474B85" w14:paraId="4A3C7676" w14:textId="77777777" w:rsidTr="001B41BD">
        <w:tc>
          <w:tcPr>
            <w:tcW w:w="4675" w:type="dxa"/>
            <w:vAlign w:val="bottom"/>
          </w:tcPr>
          <w:p w14:paraId="35AFCB46" w14:textId="77777777" w:rsidR="00474B85" w:rsidRPr="00670188" w:rsidRDefault="00474B85" w:rsidP="001B41BD">
            <w:r w:rsidRPr="00670188">
              <w:t>Richland</w:t>
            </w:r>
          </w:p>
        </w:tc>
        <w:tc>
          <w:tcPr>
            <w:tcW w:w="4675" w:type="dxa"/>
            <w:vAlign w:val="bottom"/>
          </w:tcPr>
          <w:p w14:paraId="3415FA9F" w14:textId="77777777" w:rsidR="00474B85" w:rsidRPr="00670188" w:rsidRDefault="00474B85" w:rsidP="001B41BD">
            <w:r w:rsidRPr="00670188">
              <w:t>84.1</w:t>
            </w:r>
          </w:p>
        </w:tc>
      </w:tr>
      <w:tr w:rsidR="00474B85" w14:paraId="5E9BD0DE" w14:textId="77777777" w:rsidTr="001B41BD">
        <w:tc>
          <w:tcPr>
            <w:tcW w:w="4675" w:type="dxa"/>
            <w:vAlign w:val="bottom"/>
          </w:tcPr>
          <w:p w14:paraId="0C995866" w14:textId="77777777" w:rsidR="00474B85" w:rsidRPr="00670188" w:rsidRDefault="00474B85" w:rsidP="001B41BD">
            <w:r w:rsidRPr="00670188">
              <w:t>Saluda</w:t>
            </w:r>
          </w:p>
        </w:tc>
        <w:tc>
          <w:tcPr>
            <w:tcW w:w="4675" w:type="dxa"/>
            <w:vAlign w:val="bottom"/>
          </w:tcPr>
          <w:p w14:paraId="71E0F820" w14:textId="77777777" w:rsidR="00474B85" w:rsidRPr="00670188" w:rsidRDefault="00474B85" w:rsidP="001B41BD">
            <w:r w:rsidRPr="00670188">
              <w:t>82.2</w:t>
            </w:r>
          </w:p>
        </w:tc>
      </w:tr>
      <w:tr w:rsidR="00474B85" w14:paraId="6E870B70" w14:textId="77777777" w:rsidTr="001B41BD">
        <w:tc>
          <w:tcPr>
            <w:tcW w:w="4675" w:type="dxa"/>
            <w:vAlign w:val="bottom"/>
          </w:tcPr>
          <w:p w14:paraId="1AA8CE69" w14:textId="77777777" w:rsidR="00474B85" w:rsidRPr="00670188" w:rsidRDefault="00474B85" w:rsidP="001B41BD">
            <w:r w:rsidRPr="00670188">
              <w:t>Spartanburg</w:t>
            </w:r>
          </w:p>
        </w:tc>
        <w:tc>
          <w:tcPr>
            <w:tcW w:w="4675" w:type="dxa"/>
            <w:vAlign w:val="bottom"/>
          </w:tcPr>
          <w:p w14:paraId="59034BFD" w14:textId="77777777" w:rsidR="00474B85" w:rsidRPr="00670188" w:rsidRDefault="00474B85" w:rsidP="001B41BD">
            <w:r w:rsidRPr="00670188">
              <w:t>104.2</w:t>
            </w:r>
          </w:p>
        </w:tc>
      </w:tr>
      <w:tr w:rsidR="00474B85" w14:paraId="3BCAA0DF" w14:textId="77777777" w:rsidTr="001B41BD">
        <w:tc>
          <w:tcPr>
            <w:tcW w:w="4675" w:type="dxa"/>
            <w:vAlign w:val="bottom"/>
          </w:tcPr>
          <w:p w14:paraId="4DCEC26B" w14:textId="77777777" w:rsidR="00474B85" w:rsidRPr="00670188" w:rsidRDefault="00474B85" w:rsidP="001B41BD">
            <w:r w:rsidRPr="00670188">
              <w:t>Sumter</w:t>
            </w:r>
          </w:p>
        </w:tc>
        <w:tc>
          <w:tcPr>
            <w:tcW w:w="4675" w:type="dxa"/>
            <w:vAlign w:val="bottom"/>
          </w:tcPr>
          <w:p w14:paraId="100570F2" w14:textId="77777777" w:rsidR="00474B85" w:rsidRPr="00670188" w:rsidRDefault="00474B85" w:rsidP="001B41BD">
            <w:r w:rsidRPr="00670188">
              <w:t>109.4</w:t>
            </w:r>
          </w:p>
        </w:tc>
      </w:tr>
      <w:tr w:rsidR="00474B85" w14:paraId="5C655EE9" w14:textId="77777777" w:rsidTr="001B41BD">
        <w:tc>
          <w:tcPr>
            <w:tcW w:w="4675" w:type="dxa"/>
            <w:vAlign w:val="bottom"/>
          </w:tcPr>
          <w:p w14:paraId="678A6440" w14:textId="77777777" w:rsidR="00474B85" w:rsidRPr="00670188" w:rsidRDefault="00474B85" w:rsidP="001B41BD">
            <w:r w:rsidRPr="00670188">
              <w:t>Union</w:t>
            </w:r>
          </w:p>
        </w:tc>
        <w:tc>
          <w:tcPr>
            <w:tcW w:w="4675" w:type="dxa"/>
            <w:vAlign w:val="bottom"/>
          </w:tcPr>
          <w:p w14:paraId="4334D1E7" w14:textId="77777777" w:rsidR="00474B85" w:rsidRPr="00670188" w:rsidRDefault="00474B85" w:rsidP="001B41BD">
            <w:r w:rsidRPr="00670188">
              <w:t>146.9</w:t>
            </w:r>
          </w:p>
        </w:tc>
      </w:tr>
      <w:tr w:rsidR="00474B85" w14:paraId="7D855392" w14:textId="77777777" w:rsidTr="001B41BD">
        <w:tc>
          <w:tcPr>
            <w:tcW w:w="4675" w:type="dxa"/>
            <w:vAlign w:val="bottom"/>
          </w:tcPr>
          <w:p w14:paraId="37F7023D" w14:textId="77777777" w:rsidR="00474B85" w:rsidRPr="00670188" w:rsidRDefault="00474B85" w:rsidP="001B41BD">
            <w:r w:rsidRPr="00670188">
              <w:t>Williamsburg</w:t>
            </w:r>
          </w:p>
        </w:tc>
        <w:tc>
          <w:tcPr>
            <w:tcW w:w="4675" w:type="dxa"/>
            <w:vAlign w:val="bottom"/>
          </w:tcPr>
          <w:p w14:paraId="1A1D9FBA" w14:textId="77777777" w:rsidR="00474B85" w:rsidRPr="00670188" w:rsidRDefault="00474B85" w:rsidP="001B41BD">
            <w:r w:rsidRPr="00670188">
              <w:t>144.2</w:t>
            </w:r>
          </w:p>
        </w:tc>
      </w:tr>
      <w:tr w:rsidR="00474B85" w14:paraId="0411D318" w14:textId="77777777" w:rsidTr="001B41BD">
        <w:tc>
          <w:tcPr>
            <w:tcW w:w="4675" w:type="dxa"/>
            <w:vAlign w:val="bottom"/>
          </w:tcPr>
          <w:p w14:paraId="7EE4004C" w14:textId="77777777" w:rsidR="00474B85" w:rsidRPr="00670188" w:rsidRDefault="00474B85" w:rsidP="001B41BD">
            <w:r w:rsidRPr="00670188">
              <w:t>York</w:t>
            </w:r>
          </w:p>
        </w:tc>
        <w:tc>
          <w:tcPr>
            <w:tcW w:w="4675" w:type="dxa"/>
            <w:vAlign w:val="bottom"/>
          </w:tcPr>
          <w:p w14:paraId="0BEC51FB" w14:textId="77777777" w:rsidR="00474B85" w:rsidRPr="00670188" w:rsidRDefault="00474B85" w:rsidP="001B41BD">
            <w:r w:rsidRPr="00670188">
              <w:t>112.8</w:t>
            </w:r>
          </w:p>
        </w:tc>
      </w:tr>
    </w:tbl>
    <w:p w14:paraId="3ADBE914" w14:textId="77777777" w:rsidR="00474B85" w:rsidRPr="00670188" w:rsidRDefault="00474B85" w:rsidP="00474B85">
      <w:r w:rsidRPr="00670188">
        <w:t xml:space="preserve">Source: SC DHEC Vital Statistics, 2019-2021. </w:t>
      </w:r>
    </w:p>
    <w:p w14:paraId="2189884C" w14:textId="77777777" w:rsidR="00474B85" w:rsidRPr="00B41BC6" w:rsidRDefault="00474B85" w:rsidP="00474B85">
      <w:r w:rsidRPr="00670188">
        <w:t>Notes: Age-adjusted, population for year 2021 based on single-race estimates and for years prior based on bridge-race estimates.</w:t>
      </w:r>
    </w:p>
    <w:p w14:paraId="2F1DA52E" w14:textId="77777777" w:rsidR="00474B85" w:rsidRDefault="00474B85" w:rsidP="00474B85"/>
    <w:p w14:paraId="401946C2" w14:textId="77777777" w:rsidR="00474B85" w:rsidRPr="00474B85" w:rsidRDefault="00474B85" w:rsidP="00474B85">
      <w:pPr>
        <w:pStyle w:val="Heading4"/>
      </w:pPr>
      <w:bookmarkStart w:id="854" w:name="_Toc162267578"/>
      <w:r w:rsidRPr="00474B85">
        <w:t>Data Interpretations:</w:t>
      </w:r>
      <w:bookmarkEnd w:id="854"/>
      <w:r w:rsidRPr="00474B85">
        <w:t xml:space="preserve"> </w:t>
      </w:r>
    </w:p>
    <w:p w14:paraId="3799A911" w14:textId="21CAD33F" w:rsidR="00474B85" w:rsidRDefault="00474B85" w:rsidP="00474B85">
      <w:r w:rsidRPr="00474B85">
        <w:t>In 2021, there were 6,150 fatalities, 25,535 hospitalizations, and 419,961 ED visits due to injury in SC (</w:t>
      </w:r>
      <w:r w:rsidRPr="00474B85">
        <w:rPr>
          <w:b/>
          <w:bCs/>
        </w:rPr>
        <w:t>Figure 9.53</w:t>
      </w:r>
      <w:r w:rsidRPr="00474B85">
        <w:t>). The number of nonfatal injury ED visits in SC has gone down over time. However, the decrease in nonfatal injuries seen in the ED does not necessarily mean a decrease in injuries. Studies have shown that the availability of free-standing clinics, such as urgent cares, has decreased ED visits for low-severity and non-urgent injuries and illnesses, whereas these clinics have seen an increase over time. In addition, COVID-19 also contributed to the decline in injury ED visits in 2020. The rate of injury deaths in SC has increased by 68% since 2012 (</w:t>
      </w:r>
      <w:r w:rsidRPr="00474B85">
        <w:rPr>
          <w:b/>
          <w:bCs/>
        </w:rPr>
        <w:t>Figure 9.54</w:t>
      </w:r>
      <w:r w:rsidRPr="00474B85">
        <w:t>). In 2012, the rate of injury deaths in SC was 69.7 deaths per 100,000 population and in 2021 it was 116.9 deaths per 100,000 population (</w:t>
      </w:r>
      <w:r w:rsidRPr="00474B85">
        <w:rPr>
          <w:b/>
          <w:bCs/>
        </w:rPr>
        <w:t>Figure 9.54</w:t>
      </w:r>
      <w:r w:rsidRPr="00474B85">
        <w:t>). The rate of fatal injuries in the US has also increased since 2012, and SC’s 2021 rate was 30% greater than that of the US (116.9 vs 89.0 deaths per 100,000 population).</w:t>
      </w:r>
    </w:p>
    <w:p w14:paraId="6F9B53E9" w14:textId="77777777" w:rsidR="00474B85" w:rsidRPr="00474B85" w:rsidRDefault="00474B85" w:rsidP="00474B85"/>
    <w:p w14:paraId="5DE1788F" w14:textId="34EF015D" w:rsidR="00474B85" w:rsidRDefault="00474B85" w:rsidP="00474B85">
      <w:r w:rsidRPr="00474B85">
        <w:t xml:space="preserve">Overall injury deaths in SC vary by county. From 2019-2021, Dillon County had the highest rate of injury deaths at 169.0 per 100,000 population, followed by Colleton County (167.2 deaths per 100,000 population) and Chester County (153.3 </w:t>
      </w:r>
      <w:r w:rsidRPr="00474B85">
        <w:lastRenderedPageBreak/>
        <w:t xml:space="preserve">deaths per 100,000 population; </w:t>
      </w:r>
      <w:r w:rsidRPr="00474B85">
        <w:rPr>
          <w:b/>
          <w:bCs/>
        </w:rPr>
        <w:t>Figure 9.55</w:t>
      </w:r>
      <w:r w:rsidRPr="00474B85">
        <w:t>). Beaufort County had the lowest rate of injury deaths at 76.5 deaths per 100,000 population (</w:t>
      </w:r>
      <w:r w:rsidRPr="00474B85">
        <w:rPr>
          <w:b/>
          <w:bCs/>
        </w:rPr>
        <w:t>Figure 9.55</w:t>
      </w:r>
      <w:r w:rsidRPr="00474B85">
        <w:t>).</w:t>
      </w:r>
    </w:p>
    <w:p w14:paraId="5F8792B2" w14:textId="77777777" w:rsidR="00474B85" w:rsidRDefault="00474B85" w:rsidP="00474B85">
      <w:pPr>
        <w:rPr>
          <w:b/>
          <w:bCs/>
        </w:rPr>
      </w:pPr>
    </w:p>
    <w:p w14:paraId="61E17B25" w14:textId="77777777" w:rsidR="00474B85" w:rsidRPr="00474B85" w:rsidRDefault="00474B85" w:rsidP="00474B85">
      <w:pPr>
        <w:pStyle w:val="Heading5"/>
      </w:pPr>
      <w:r w:rsidRPr="00474B85">
        <w:t xml:space="preserve">Key Takeaways: </w:t>
      </w:r>
    </w:p>
    <w:p w14:paraId="2B9340DC" w14:textId="313F3BAF" w:rsidR="00474B85" w:rsidRPr="00474B85" w:rsidRDefault="00474B85" w:rsidP="00926EB3">
      <w:pPr>
        <w:pStyle w:val="ListParagraph"/>
        <w:numPr>
          <w:ilvl w:val="0"/>
          <w:numId w:val="228"/>
        </w:numPr>
      </w:pPr>
      <w:r w:rsidRPr="00474B85">
        <w:t>Deaths due to injuries have increased by 68% since 2012.</w:t>
      </w:r>
    </w:p>
    <w:p w14:paraId="07CBF648" w14:textId="77777777" w:rsidR="00474B85" w:rsidRDefault="00474B85" w:rsidP="00474B85">
      <w:pPr>
        <w:pStyle w:val="Heading4"/>
        <w:rPr>
          <w:rFonts w:asciiTheme="minorHAnsi" w:hAnsiTheme="minorHAnsi" w:cstheme="minorHAnsi"/>
          <w:color w:val="000000" w:themeColor="text1"/>
        </w:rPr>
      </w:pPr>
    </w:p>
    <w:p w14:paraId="53F8D507" w14:textId="57E06975" w:rsidR="00474B85" w:rsidRPr="00474B85" w:rsidRDefault="00474B85" w:rsidP="00474B85">
      <w:pPr>
        <w:pStyle w:val="Heading4"/>
        <w:rPr>
          <w:rFonts w:asciiTheme="minorHAnsi" w:hAnsiTheme="minorHAnsi" w:cstheme="minorHAnsi"/>
          <w:color w:val="000000" w:themeColor="text1"/>
        </w:rPr>
      </w:pPr>
      <w:bookmarkStart w:id="855" w:name="_Toc162267579"/>
      <w:r w:rsidRPr="00474B85">
        <w:rPr>
          <w:rFonts w:asciiTheme="minorHAnsi" w:hAnsiTheme="minorHAnsi" w:cstheme="minorHAnsi"/>
          <w:color w:val="000000" w:themeColor="text1"/>
        </w:rPr>
        <w:t>References 9.2</w:t>
      </w:r>
      <w:r>
        <w:rPr>
          <w:rFonts w:asciiTheme="minorHAnsi" w:hAnsiTheme="minorHAnsi" w:cstheme="minorHAnsi"/>
          <w:color w:val="000000" w:themeColor="text1"/>
        </w:rPr>
        <w:t>2</w:t>
      </w:r>
      <w:bookmarkEnd w:id="855"/>
      <w:r w:rsidRPr="00474B85">
        <w:rPr>
          <w:rFonts w:asciiTheme="minorHAnsi" w:hAnsiTheme="minorHAnsi" w:cstheme="minorHAnsi"/>
          <w:color w:val="000000" w:themeColor="text1"/>
        </w:rPr>
        <w:t xml:space="preserve"> </w:t>
      </w:r>
    </w:p>
    <w:p w14:paraId="0C11515A" w14:textId="77777777" w:rsidR="00474B85" w:rsidRPr="00474B85" w:rsidRDefault="00474B85" w:rsidP="00FA4A1D">
      <w:r w:rsidRPr="00474B85">
        <w:t>Statistics in the preceding section were referenced from the following reports:</w:t>
      </w:r>
    </w:p>
    <w:p w14:paraId="07C034A1" w14:textId="0031D1D3" w:rsidR="0093795F" w:rsidRPr="0093795F" w:rsidRDefault="00000000" w:rsidP="00926EB3">
      <w:pPr>
        <w:pStyle w:val="ListParagraph"/>
        <w:numPr>
          <w:ilvl w:val="0"/>
          <w:numId w:val="192"/>
        </w:numPr>
        <w:tabs>
          <w:tab w:val="left" w:pos="900"/>
        </w:tabs>
      </w:pPr>
      <w:hyperlink r:id="rId393" w:history="1">
        <w:r w:rsidR="00FA4A1D" w:rsidRPr="00FA4A1D">
          <w:rPr>
            <w:rStyle w:val="Hyperlink"/>
          </w:rPr>
          <w:t>“</w:t>
        </w:r>
        <w:r w:rsidR="0093795F" w:rsidRPr="00FA4A1D">
          <w:rPr>
            <w:rStyle w:val="Hyperlink"/>
          </w:rPr>
          <w:t>CDC Injury Center research priorities</w:t>
        </w:r>
        <w:r w:rsidR="00FA4A1D" w:rsidRPr="00FA4A1D">
          <w:rPr>
            <w:rStyle w:val="Hyperlink"/>
          </w:rPr>
          <w:t>”</w:t>
        </w:r>
        <w:r w:rsidR="0093795F" w:rsidRPr="00FA4A1D">
          <w:rPr>
            <w:rStyle w:val="Hyperlink"/>
          </w:rPr>
          <w:t xml:space="preserve"> </w:t>
        </w:r>
        <w:r w:rsidR="00FA4A1D" w:rsidRPr="00FA4A1D">
          <w:rPr>
            <w:rStyle w:val="Hyperlink"/>
          </w:rPr>
          <w:t xml:space="preserve">by the Centers for Disease Control and Prevention, National Center for Injury Prevention and Control. </w:t>
        </w:r>
        <w:r w:rsidR="0093795F" w:rsidRPr="00FA4A1D">
          <w:rPr>
            <w:rStyle w:val="Hyperlink"/>
          </w:rPr>
          <w:t xml:space="preserve"> Retrieved February 10, 2023</w:t>
        </w:r>
        <w:r w:rsidR="00FA4A1D" w:rsidRPr="00FA4A1D">
          <w:rPr>
            <w:rStyle w:val="Hyperlink"/>
          </w:rPr>
          <w:t>.</w:t>
        </w:r>
      </w:hyperlink>
      <w:r w:rsidR="00FA4A1D">
        <w:t xml:space="preserve"> </w:t>
      </w:r>
    </w:p>
    <w:p w14:paraId="73AFC393" w14:textId="007079BB" w:rsidR="0093795F" w:rsidRPr="0093795F" w:rsidRDefault="00000000" w:rsidP="00926EB3">
      <w:pPr>
        <w:pStyle w:val="ListParagraph"/>
        <w:numPr>
          <w:ilvl w:val="0"/>
          <w:numId w:val="192"/>
        </w:numPr>
        <w:tabs>
          <w:tab w:val="left" w:pos="900"/>
        </w:tabs>
        <w:rPr>
          <w:u w:val="thick"/>
        </w:rPr>
      </w:pPr>
      <w:hyperlink r:id="rId394" w:history="1">
        <w:r w:rsidR="00FA4A1D" w:rsidRPr="00FA4A1D">
          <w:rPr>
            <w:rStyle w:val="Hyperlink"/>
          </w:rPr>
          <w:t>“</w:t>
        </w:r>
        <w:r w:rsidR="0093795F" w:rsidRPr="00FA4A1D">
          <w:rPr>
            <w:rStyle w:val="Hyperlink"/>
          </w:rPr>
          <w:t>The economics of injury and violence prevention</w:t>
        </w:r>
        <w:r w:rsidR="00FA4A1D" w:rsidRPr="00FA4A1D">
          <w:rPr>
            <w:rStyle w:val="Hyperlink"/>
          </w:rPr>
          <w:t>”</w:t>
        </w:r>
        <w:r w:rsidR="0093795F" w:rsidRPr="00FA4A1D">
          <w:rPr>
            <w:rStyle w:val="Hyperlink"/>
          </w:rPr>
          <w:t xml:space="preserve"> </w:t>
        </w:r>
        <w:r w:rsidR="00FA4A1D" w:rsidRPr="00FA4A1D">
          <w:rPr>
            <w:rStyle w:val="Hyperlink"/>
          </w:rPr>
          <w:t xml:space="preserve">by the </w:t>
        </w:r>
        <w:r w:rsidR="0093795F" w:rsidRPr="00FA4A1D">
          <w:rPr>
            <w:rStyle w:val="Hyperlink"/>
          </w:rPr>
          <w:t>Centers for Disease Control and Prevention</w:t>
        </w:r>
        <w:r w:rsidR="00FA4A1D" w:rsidRPr="00FA4A1D">
          <w:rPr>
            <w:rStyle w:val="Hyperlink"/>
          </w:rPr>
          <w:t>, 2021</w:t>
        </w:r>
        <w:r w:rsidR="0093795F" w:rsidRPr="00FA4A1D">
          <w:rPr>
            <w:rStyle w:val="Hyperlink"/>
          </w:rPr>
          <w:t>. Retrieved December 15, 2022</w:t>
        </w:r>
        <w:r w:rsidR="00FA4A1D" w:rsidRPr="00FA4A1D">
          <w:rPr>
            <w:rStyle w:val="Hyperlink"/>
          </w:rPr>
          <w:t>.</w:t>
        </w:r>
      </w:hyperlink>
      <w:r w:rsidR="0093795F" w:rsidRPr="0093795F">
        <w:t xml:space="preserve"> </w:t>
      </w:r>
    </w:p>
    <w:p w14:paraId="38EEDC5C" w14:textId="38EC9ED5" w:rsidR="0093795F" w:rsidRPr="0093795F" w:rsidRDefault="00000000" w:rsidP="00926EB3">
      <w:pPr>
        <w:pStyle w:val="ListParagraph"/>
        <w:numPr>
          <w:ilvl w:val="0"/>
          <w:numId w:val="192"/>
        </w:numPr>
        <w:tabs>
          <w:tab w:val="left" w:pos="900"/>
        </w:tabs>
      </w:pPr>
      <w:hyperlink r:id="rId395" w:history="1">
        <w:r w:rsidR="00FA4A1D" w:rsidRPr="00FA4A1D">
          <w:rPr>
            <w:rStyle w:val="Hyperlink"/>
          </w:rPr>
          <w:t>“</w:t>
        </w:r>
        <w:r w:rsidR="0093795F" w:rsidRPr="00FA4A1D">
          <w:rPr>
            <w:rStyle w:val="Hyperlink"/>
          </w:rPr>
          <w:t>Web-based Injury Statistics Query and Reporting System (WISQARS)</w:t>
        </w:r>
        <w:r w:rsidR="00FA4A1D" w:rsidRPr="00FA4A1D">
          <w:rPr>
            <w:rStyle w:val="Hyperlink"/>
          </w:rPr>
          <w:t xml:space="preserve">” by the Centers for Disease Control and Prevention, National Center for Injury Prevention and Control. </w:t>
        </w:r>
        <w:r w:rsidR="0093795F" w:rsidRPr="00FA4A1D">
          <w:rPr>
            <w:rStyle w:val="Hyperlink"/>
          </w:rPr>
          <w:t>Retrieved on June 9,</w:t>
        </w:r>
        <w:r w:rsidR="00FA4A1D" w:rsidRPr="00FA4A1D">
          <w:rPr>
            <w:rStyle w:val="Hyperlink"/>
          </w:rPr>
          <w:t xml:space="preserve"> </w:t>
        </w:r>
        <w:r w:rsidR="0093795F" w:rsidRPr="00FA4A1D">
          <w:rPr>
            <w:rStyle w:val="Hyperlink"/>
          </w:rPr>
          <w:t>2023</w:t>
        </w:r>
        <w:r w:rsidR="00FA4A1D" w:rsidRPr="00FA4A1D">
          <w:rPr>
            <w:rStyle w:val="Hyperlink"/>
          </w:rPr>
          <w:t>.</w:t>
        </w:r>
      </w:hyperlink>
      <w:r w:rsidR="0093795F" w:rsidRPr="0093795F">
        <w:t xml:space="preserve"> </w:t>
      </w:r>
    </w:p>
    <w:p w14:paraId="50731311" w14:textId="27D95072" w:rsidR="0093795F" w:rsidRPr="0093795F" w:rsidRDefault="00FA4A1D" w:rsidP="00926EB3">
      <w:pPr>
        <w:pStyle w:val="ListParagraph"/>
        <w:numPr>
          <w:ilvl w:val="0"/>
          <w:numId w:val="192"/>
        </w:numPr>
        <w:tabs>
          <w:tab w:val="left" w:pos="900"/>
        </w:tabs>
      </w:pPr>
      <w:r>
        <w:t>“</w:t>
      </w:r>
      <w:r w:rsidR="0093795F" w:rsidRPr="0093795F">
        <w:t>Outpatient Emergency Department Visits and Inpatient Discharges among South Carolina residents, 2016-2021</w:t>
      </w:r>
      <w:r>
        <w:t xml:space="preserve">” reported by </w:t>
      </w:r>
      <w:r w:rsidRPr="0093795F">
        <w:t>South Carolina Revenue and Fiscal Affairs Office</w:t>
      </w:r>
      <w:r w:rsidR="0093795F" w:rsidRPr="0093795F">
        <w:t>. Initial encounter for injury only.</w:t>
      </w:r>
      <w:r>
        <w:t xml:space="preserve"> No hyperlink.</w:t>
      </w:r>
    </w:p>
    <w:p w14:paraId="69AF588D" w14:textId="2CDC4900" w:rsidR="0093795F" w:rsidRPr="00FA4A1D" w:rsidRDefault="00000000" w:rsidP="00926EB3">
      <w:pPr>
        <w:pStyle w:val="ListParagraph"/>
        <w:numPr>
          <w:ilvl w:val="0"/>
          <w:numId w:val="192"/>
        </w:numPr>
        <w:tabs>
          <w:tab w:val="left" w:pos="900"/>
        </w:tabs>
      </w:pPr>
      <w:hyperlink r:id="rId396" w:history="1">
        <w:r w:rsidR="00FA4A1D" w:rsidRPr="00FA4A1D">
          <w:rPr>
            <w:rStyle w:val="Hyperlink"/>
          </w:rPr>
          <w:t>“</w:t>
        </w:r>
        <w:r w:rsidR="0093795F" w:rsidRPr="00FA4A1D">
          <w:rPr>
            <w:rStyle w:val="Hyperlink"/>
          </w:rPr>
          <w:t>The impact of urgent care centers on nonemergent emergency department visits</w:t>
        </w:r>
        <w:r w:rsidR="00FA4A1D" w:rsidRPr="00FA4A1D">
          <w:rPr>
            <w:rStyle w:val="Hyperlink"/>
          </w:rPr>
          <w:t>” by Allen, L., Cummings, J. R., Hockenberry, J. M</w:t>
        </w:r>
        <w:r w:rsidR="0093795F" w:rsidRPr="00FA4A1D">
          <w:rPr>
            <w:rStyle w:val="Hyperlink"/>
          </w:rPr>
          <w:t>.</w:t>
        </w:r>
        <w:r w:rsidR="00FA4A1D" w:rsidRPr="00FA4A1D">
          <w:rPr>
            <w:rStyle w:val="Hyperlink"/>
          </w:rPr>
          <w:t xml:space="preserve"> Published in</w:t>
        </w:r>
        <w:r w:rsidR="0093795F" w:rsidRPr="00FA4A1D">
          <w:rPr>
            <w:rStyle w:val="Hyperlink"/>
          </w:rPr>
          <w:t xml:space="preserve"> Health Services Research, </w:t>
        </w:r>
        <w:r w:rsidR="00FA4A1D" w:rsidRPr="00FA4A1D">
          <w:rPr>
            <w:rStyle w:val="Hyperlink"/>
          </w:rPr>
          <w:t>2021.</w:t>
        </w:r>
      </w:hyperlink>
      <w:r w:rsidR="0093795F" w:rsidRPr="00FA4A1D">
        <w:t xml:space="preserve"> </w:t>
      </w:r>
    </w:p>
    <w:p w14:paraId="06E51036" w14:textId="0CC708E9" w:rsidR="0093795F" w:rsidRPr="00FA4A1D" w:rsidRDefault="00000000" w:rsidP="00926EB3">
      <w:pPr>
        <w:pStyle w:val="ListParagraph"/>
        <w:numPr>
          <w:ilvl w:val="0"/>
          <w:numId w:val="192"/>
        </w:numPr>
        <w:tabs>
          <w:tab w:val="left" w:pos="900"/>
        </w:tabs>
      </w:pPr>
      <w:hyperlink r:id="rId397" w:history="1">
        <w:r w:rsidR="00FA4A1D" w:rsidRPr="00FA4A1D">
          <w:rPr>
            <w:rStyle w:val="Hyperlink"/>
          </w:rPr>
          <w:t>“</w:t>
        </w:r>
        <w:proofErr w:type="spellStart"/>
        <w:r w:rsidR="0093795F" w:rsidRPr="00FA4A1D">
          <w:rPr>
            <w:rStyle w:val="Hyperlink"/>
          </w:rPr>
          <w:t>Check up</w:t>
        </w:r>
        <w:proofErr w:type="spellEnd"/>
        <w:r w:rsidR="0093795F" w:rsidRPr="00FA4A1D">
          <w:rPr>
            <w:rStyle w:val="Hyperlink"/>
          </w:rPr>
          <w:t xml:space="preserve"> before you check out: retail clinics and emergency room use</w:t>
        </w:r>
        <w:r w:rsidR="00FA4A1D" w:rsidRPr="00FA4A1D">
          <w:rPr>
            <w:rStyle w:val="Hyperlink"/>
          </w:rPr>
          <w:t xml:space="preserve">” by Alexander, D., Currie, J., &amp; Schnell, M. Published in the </w:t>
        </w:r>
        <w:r w:rsidR="0093795F" w:rsidRPr="00FA4A1D">
          <w:rPr>
            <w:rStyle w:val="Hyperlink"/>
          </w:rPr>
          <w:t xml:space="preserve">Journal of Public Economics, </w:t>
        </w:r>
        <w:r w:rsidR="00FA4A1D" w:rsidRPr="00FA4A1D">
          <w:rPr>
            <w:rStyle w:val="Hyperlink"/>
          </w:rPr>
          <w:t>2019.</w:t>
        </w:r>
      </w:hyperlink>
      <w:r w:rsidR="0093795F" w:rsidRPr="00FA4A1D">
        <w:t xml:space="preserve"> </w:t>
      </w:r>
    </w:p>
    <w:p w14:paraId="3878C1A5" w14:textId="376AF245" w:rsidR="00474B85" w:rsidRDefault="00000000" w:rsidP="00926EB3">
      <w:pPr>
        <w:pStyle w:val="ListParagraph"/>
        <w:numPr>
          <w:ilvl w:val="0"/>
          <w:numId w:val="192"/>
        </w:numPr>
        <w:tabs>
          <w:tab w:val="left" w:pos="900"/>
        </w:tabs>
      </w:pPr>
      <w:hyperlink r:id="rId398" w:history="1">
        <w:r w:rsidR="00FA4A1D" w:rsidRPr="00FA4A1D">
          <w:rPr>
            <w:rStyle w:val="Hyperlink"/>
          </w:rPr>
          <w:t>“</w:t>
        </w:r>
        <w:r w:rsidR="0093795F" w:rsidRPr="00FA4A1D">
          <w:rPr>
            <w:rStyle w:val="Hyperlink"/>
          </w:rPr>
          <w:t>Injury-related emergency department visits during the COVID-19 pandemic</w:t>
        </w:r>
        <w:r w:rsidR="00FA4A1D" w:rsidRPr="00FA4A1D">
          <w:rPr>
            <w:rStyle w:val="Hyperlink"/>
          </w:rPr>
          <w:t xml:space="preserve">” by Law, R. K., </w:t>
        </w:r>
        <w:proofErr w:type="spellStart"/>
        <w:r w:rsidR="00FA4A1D" w:rsidRPr="00FA4A1D">
          <w:rPr>
            <w:rStyle w:val="Hyperlink"/>
          </w:rPr>
          <w:t>Wolkin</w:t>
        </w:r>
        <w:proofErr w:type="spellEnd"/>
        <w:r w:rsidR="00FA4A1D" w:rsidRPr="00FA4A1D">
          <w:rPr>
            <w:rStyle w:val="Hyperlink"/>
          </w:rPr>
          <w:t xml:space="preserve">, A. F., Patel N., </w:t>
        </w:r>
        <w:proofErr w:type="spellStart"/>
        <w:r w:rsidR="00FA4A1D" w:rsidRPr="00FA4A1D">
          <w:rPr>
            <w:rStyle w:val="Hyperlink"/>
          </w:rPr>
          <w:t>Alic</w:t>
        </w:r>
        <w:proofErr w:type="spellEnd"/>
        <w:r w:rsidR="00FA4A1D" w:rsidRPr="00FA4A1D">
          <w:rPr>
            <w:rStyle w:val="Hyperlink"/>
          </w:rPr>
          <w:t xml:space="preserve">, A., Yuan, K., Ahmed, K., </w:t>
        </w:r>
        <w:proofErr w:type="spellStart"/>
        <w:r w:rsidR="00FA4A1D" w:rsidRPr="00FA4A1D">
          <w:rPr>
            <w:rStyle w:val="Hyperlink"/>
          </w:rPr>
          <w:t>Idaikkadar</w:t>
        </w:r>
        <w:proofErr w:type="spellEnd"/>
        <w:r w:rsidR="00FA4A1D" w:rsidRPr="00FA4A1D">
          <w:rPr>
            <w:rStyle w:val="Hyperlink"/>
          </w:rPr>
          <w:t xml:space="preserve">, N., &amp; </w:t>
        </w:r>
        <w:proofErr w:type="spellStart"/>
        <w:r w:rsidR="00FA4A1D" w:rsidRPr="00FA4A1D">
          <w:rPr>
            <w:rStyle w:val="Hyperlink"/>
          </w:rPr>
          <w:t>Haileyesus</w:t>
        </w:r>
        <w:proofErr w:type="spellEnd"/>
        <w:r w:rsidR="00FA4A1D" w:rsidRPr="00FA4A1D">
          <w:rPr>
            <w:rStyle w:val="Hyperlink"/>
          </w:rPr>
          <w:t>, T</w:t>
        </w:r>
        <w:r w:rsidR="0093795F" w:rsidRPr="00FA4A1D">
          <w:rPr>
            <w:rStyle w:val="Hyperlink"/>
          </w:rPr>
          <w:t xml:space="preserve">. </w:t>
        </w:r>
        <w:r w:rsidR="00FA4A1D" w:rsidRPr="00FA4A1D">
          <w:rPr>
            <w:rStyle w:val="Hyperlink"/>
          </w:rPr>
          <w:t xml:space="preserve">Published in the </w:t>
        </w:r>
        <w:r w:rsidR="0093795F" w:rsidRPr="00FA4A1D">
          <w:rPr>
            <w:rStyle w:val="Hyperlink"/>
          </w:rPr>
          <w:t>American Journal of Preventative Medicine,</w:t>
        </w:r>
        <w:r w:rsidR="00FA4A1D" w:rsidRPr="00FA4A1D">
          <w:rPr>
            <w:rStyle w:val="Hyperlink"/>
          </w:rPr>
          <w:t xml:space="preserve"> 2020.</w:t>
        </w:r>
      </w:hyperlink>
      <w:r w:rsidR="00FA4A1D">
        <w:t xml:space="preserve"> </w:t>
      </w:r>
    </w:p>
    <w:p w14:paraId="6672A993" w14:textId="77777777" w:rsidR="00FA4A1D" w:rsidRDefault="00FA4A1D" w:rsidP="00FA4A1D">
      <w:pPr>
        <w:pStyle w:val="ListParagraph"/>
      </w:pPr>
    </w:p>
    <w:p w14:paraId="04EA7D1F" w14:textId="77777777" w:rsidR="00474B85" w:rsidRDefault="00474B85" w:rsidP="00474B85">
      <w:pPr>
        <w:pStyle w:val="Heading3"/>
      </w:pPr>
      <w:bookmarkStart w:id="856" w:name="_Toc162267580"/>
      <w:r>
        <w:t>Homicide</w:t>
      </w:r>
      <w:bookmarkEnd w:id="856"/>
    </w:p>
    <w:p w14:paraId="0BF98618" w14:textId="1937BA20" w:rsidR="00474B85" w:rsidRDefault="00474B85" w:rsidP="00474B85">
      <w:r w:rsidRPr="00474B85">
        <w:t xml:space="preserve">Homicide rates are increasing across the nation. There was a 30% increase in the US homicide rate from 2019 to 2020, which was the biggest one-year increase in a century. There were 26,031 homicide deaths in 2021. Over half of US homicides in 2020 occurred among people ages 15-34 Increases in homicides and assaults can be attributed to community violence. Community violence affects millions of </w:t>
      </w:r>
      <w:r w:rsidRPr="00474B85">
        <w:lastRenderedPageBreak/>
        <w:t>people, and their families, schools, and communities every year, especially in racially segregated and high-poverty neighborhoods. Communities of color are more likely to experience health inequities and disparities such as violence. Black, American Indian or Alaskan Native, and Hispanic or Latino persons experience higher homicide rates than other racial and ethnic demographic groups.</w:t>
      </w:r>
      <w:r w:rsidRPr="00474B85">
        <w:rPr>
          <w:b/>
          <w:bCs/>
        </w:rPr>
        <w:t xml:space="preserve"> </w:t>
      </w:r>
      <w:r w:rsidRPr="00474B85">
        <w:t>Community violence can cause significant physical injuries and mental health conditions such as depression, anxiety, and post-traumatic stress disorder (PTSD), and is also associated with increased risk of developing chronic diseases. Violence can prevent some people from engaging in healthy behaviors such as walking, biking, and being outside, and can also negatively affect neighborhood activities, business growth, and community progress.</w:t>
      </w:r>
    </w:p>
    <w:p w14:paraId="7B85947F" w14:textId="77777777" w:rsidR="0030357E" w:rsidRPr="00670188" w:rsidRDefault="0030357E" w:rsidP="0030357E">
      <w:pPr>
        <w:pStyle w:val="Heading4"/>
      </w:pPr>
      <w:bookmarkStart w:id="857" w:name="_Toc154576538"/>
      <w:bookmarkStart w:id="858" w:name="_Toc162267581"/>
      <w:r w:rsidRPr="00670188">
        <w:t>Figure 9.56: Homicide Deaths, by County.</w:t>
      </w:r>
      <w:bookmarkEnd w:id="857"/>
      <w:bookmarkEnd w:id="858"/>
    </w:p>
    <w:p w14:paraId="4E9EC1B3" w14:textId="77777777" w:rsidR="0030357E" w:rsidRPr="00670188" w:rsidRDefault="0030357E" w:rsidP="0030357E">
      <w:pPr>
        <w:pStyle w:val="Heading5"/>
      </w:pPr>
      <w:r>
        <w:t>Rate per 100,000 population.</w:t>
      </w:r>
    </w:p>
    <w:tbl>
      <w:tblPr>
        <w:tblStyle w:val="TableGrid"/>
        <w:tblW w:w="0" w:type="auto"/>
        <w:tblLook w:val="04A0" w:firstRow="1" w:lastRow="0" w:firstColumn="1" w:lastColumn="0" w:noHBand="0" w:noVBand="1"/>
      </w:tblPr>
      <w:tblGrid>
        <w:gridCol w:w="4675"/>
        <w:gridCol w:w="4675"/>
      </w:tblGrid>
      <w:tr w:rsidR="0030357E" w14:paraId="08921E67" w14:textId="77777777" w:rsidTr="001B41BD">
        <w:tc>
          <w:tcPr>
            <w:tcW w:w="4675" w:type="dxa"/>
            <w:vAlign w:val="bottom"/>
          </w:tcPr>
          <w:p w14:paraId="3B79C9B8" w14:textId="77777777" w:rsidR="0030357E" w:rsidRPr="00670188" w:rsidRDefault="0030357E" w:rsidP="001B41BD">
            <w:r w:rsidRPr="00670188">
              <w:t>County</w:t>
            </w:r>
          </w:p>
        </w:tc>
        <w:tc>
          <w:tcPr>
            <w:tcW w:w="4675" w:type="dxa"/>
            <w:vAlign w:val="bottom"/>
          </w:tcPr>
          <w:p w14:paraId="4A3C5B94" w14:textId="77777777" w:rsidR="0030357E" w:rsidRPr="00670188" w:rsidRDefault="0030357E" w:rsidP="001B41BD">
            <w:r>
              <w:t>Rate</w:t>
            </w:r>
          </w:p>
        </w:tc>
      </w:tr>
      <w:tr w:rsidR="0030357E" w14:paraId="5F7259B7" w14:textId="77777777" w:rsidTr="001B41BD">
        <w:tc>
          <w:tcPr>
            <w:tcW w:w="4675" w:type="dxa"/>
            <w:vAlign w:val="bottom"/>
          </w:tcPr>
          <w:p w14:paraId="68A4FC87" w14:textId="77777777" w:rsidR="0030357E" w:rsidRPr="00670188" w:rsidRDefault="0030357E" w:rsidP="001B41BD">
            <w:r w:rsidRPr="00670188">
              <w:t>Abbeville</w:t>
            </w:r>
          </w:p>
        </w:tc>
        <w:tc>
          <w:tcPr>
            <w:tcW w:w="4675" w:type="dxa"/>
            <w:vAlign w:val="bottom"/>
          </w:tcPr>
          <w:p w14:paraId="1C78C034" w14:textId="77777777" w:rsidR="0030357E" w:rsidRPr="00670188" w:rsidRDefault="0030357E" w:rsidP="001B41BD">
            <w:r w:rsidRPr="00670188">
              <w:t>10.4</w:t>
            </w:r>
          </w:p>
        </w:tc>
      </w:tr>
      <w:tr w:rsidR="0030357E" w14:paraId="776A3D71" w14:textId="77777777" w:rsidTr="001B41BD">
        <w:tc>
          <w:tcPr>
            <w:tcW w:w="4675" w:type="dxa"/>
            <w:vAlign w:val="bottom"/>
          </w:tcPr>
          <w:p w14:paraId="40E89E9E" w14:textId="77777777" w:rsidR="0030357E" w:rsidRPr="00670188" w:rsidRDefault="0030357E" w:rsidP="001B41BD">
            <w:r w:rsidRPr="00670188">
              <w:t>Aiken</w:t>
            </w:r>
          </w:p>
        </w:tc>
        <w:tc>
          <w:tcPr>
            <w:tcW w:w="4675" w:type="dxa"/>
            <w:vAlign w:val="bottom"/>
          </w:tcPr>
          <w:p w14:paraId="3719E4C5" w14:textId="77777777" w:rsidR="0030357E" w:rsidRPr="00670188" w:rsidRDefault="0030357E" w:rsidP="001B41BD">
            <w:r w:rsidRPr="00670188">
              <w:t>16.1</w:t>
            </w:r>
          </w:p>
        </w:tc>
      </w:tr>
      <w:tr w:rsidR="0030357E" w14:paraId="1C1377CE" w14:textId="77777777" w:rsidTr="001B41BD">
        <w:tc>
          <w:tcPr>
            <w:tcW w:w="4675" w:type="dxa"/>
            <w:vAlign w:val="bottom"/>
          </w:tcPr>
          <w:p w14:paraId="41C41D20" w14:textId="77777777" w:rsidR="0030357E" w:rsidRPr="00670188" w:rsidRDefault="0030357E" w:rsidP="001B41BD">
            <w:r w:rsidRPr="00670188">
              <w:t>Allendale</w:t>
            </w:r>
          </w:p>
        </w:tc>
        <w:tc>
          <w:tcPr>
            <w:tcW w:w="4675" w:type="dxa"/>
            <w:vAlign w:val="bottom"/>
          </w:tcPr>
          <w:p w14:paraId="1B9E1EE2" w14:textId="77777777" w:rsidR="0030357E" w:rsidRPr="00670188" w:rsidRDefault="0030357E" w:rsidP="001B41BD">
            <w:r w:rsidRPr="00670188">
              <w:t>46.2</w:t>
            </w:r>
          </w:p>
        </w:tc>
      </w:tr>
      <w:tr w:rsidR="0030357E" w14:paraId="20DB221A" w14:textId="77777777" w:rsidTr="001B41BD">
        <w:tc>
          <w:tcPr>
            <w:tcW w:w="4675" w:type="dxa"/>
            <w:vAlign w:val="bottom"/>
          </w:tcPr>
          <w:p w14:paraId="31E7DA0D" w14:textId="77777777" w:rsidR="0030357E" w:rsidRPr="00670188" w:rsidRDefault="0030357E" w:rsidP="001B41BD">
            <w:r w:rsidRPr="00670188">
              <w:t>Anderson</w:t>
            </w:r>
          </w:p>
        </w:tc>
        <w:tc>
          <w:tcPr>
            <w:tcW w:w="4675" w:type="dxa"/>
            <w:vAlign w:val="bottom"/>
          </w:tcPr>
          <w:p w14:paraId="26A4F1C0" w14:textId="77777777" w:rsidR="0030357E" w:rsidRPr="00670188" w:rsidRDefault="0030357E" w:rsidP="001B41BD">
            <w:r w:rsidRPr="00670188">
              <w:t>12.0</w:t>
            </w:r>
          </w:p>
        </w:tc>
      </w:tr>
      <w:tr w:rsidR="0030357E" w14:paraId="3C04362A" w14:textId="77777777" w:rsidTr="001B41BD">
        <w:tc>
          <w:tcPr>
            <w:tcW w:w="4675" w:type="dxa"/>
            <w:vAlign w:val="bottom"/>
          </w:tcPr>
          <w:p w14:paraId="11B800A3" w14:textId="77777777" w:rsidR="0030357E" w:rsidRPr="00670188" w:rsidRDefault="0030357E" w:rsidP="001B41BD">
            <w:r w:rsidRPr="00670188">
              <w:t>Bamberg</w:t>
            </w:r>
          </w:p>
        </w:tc>
        <w:tc>
          <w:tcPr>
            <w:tcW w:w="4675" w:type="dxa"/>
            <w:vAlign w:val="bottom"/>
          </w:tcPr>
          <w:p w14:paraId="5AFD21BD" w14:textId="77777777" w:rsidR="0030357E" w:rsidRPr="00670188" w:rsidRDefault="0030357E" w:rsidP="001B41BD">
            <w:r w:rsidRPr="00670188">
              <w:t>22.8</w:t>
            </w:r>
          </w:p>
        </w:tc>
      </w:tr>
      <w:tr w:rsidR="0030357E" w14:paraId="248EFD5F" w14:textId="77777777" w:rsidTr="001B41BD">
        <w:tc>
          <w:tcPr>
            <w:tcW w:w="4675" w:type="dxa"/>
            <w:vAlign w:val="bottom"/>
          </w:tcPr>
          <w:p w14:paraId="089EAF52" w14:textId="77777777" w:rsidR="0030357E" w:rsidRPr="00670188" w:rsidRDefault="0030357E" w:rsidP="001B41BD">
            <w:r w:rsidRPr="00670188">
              <w:t>Barnwell</w:t>
            </w:r>
          </w:p>
        </w:tc>
        <w:tc>
          <w:tcPr>
            <w:tcW w:w="4675" w:type="dxa"/>
            <w:vAlign w:val="bottom"/>
          </w:tcPr>
          <w:p w14:paraId="4AB889E5" w14:textId="77777777" w:rsidR="0030357E" w:rsidRPr="00670188" w:rsidRDefault="0030357E" w:rsidP="001B41BD">
            <w:r w:rsidRPr="00670188">
              <w:t>32.6</w:t>
            </w:r>
          </w:p>
        </w:tc>
      </w:tr>
      <w:tr w:rsidR="0030357E" w14:paraId="3A25EFD9" w14:textId="77777777" w:rsidTr="001B41BD">
        <w:tc>
          <w:tcPr>
            <w:tcW w:w="4675" w:type="dxa"/>
            <w:vAlign w:val="bottom"/>
          </w:tcPr>
          <w:p w14:paraId="1C9ADD90" w14:textId="77777777" w:rsidR="0030357E" w:rsidRPr="00670188" w:rsidRDefault="0030357E" w:rsidP="001B41BD">
            <w:r w:rsidRPr="00670188">
              <w:t>Beaufort</w:t>
            </w:r>
          </w:p>
        </w:tc>
        <w:tc>
          <w:tcPr>
            <w:tcW w:w="4675" w:type="dxa"/>
            <w:vAlign w:val="bottom"/>
          </w:tcPr>
          <w:p w14:paraId="7C328BB1" w14:textId="77777777" w:rsidR="0030357E" w:rsidRPr="00670188" w:rsidRDefault="0030357E" w:rsidP="001B41BD">
            <w:r w:rsidRPr="00670188">
              <w:t>9.1</w:t>
            </w:r>
          </w:p>
        </w:tc>
      </w:tr>
      <w:tr w:rsidR="0030357E" w14:paraId="09649486" w14:textId="77777777" w:rsidTr="001B41BD">
        <w:tc>
          <w:tcPr>
            <w:tcW w:w="4675" w:type="dxa"/>
            <w:vAlign w:val="bottom"/>
          </w:tcPr>
          <w:p w14:paraId="5C6F3CE9" w14:textId="77777777" w:rsidR="0030357E" w:rsidRPr="00670188" w:rsidRDefault="0030357E" w:rsidP="001B41BD">
            <w:r w:rsidRPr="00670188">
              <w:t>Berkeley</w:t>
            </w:r>
          </w:p>
        </w:tc>
        <w:tc>
          <w:tcPr>
            <w:tcW w:w="4675" w:type="dxa"/>
            <w:vAlign w:val="bottom"/>
          </w:tcPr>
          <w:p w14:paraId="328091C2" w14:textId="77777777" w:rsidR="0030357E" w:rsidRPr="00670188" w:rsidRDefault="0030357E" w:rsidP="001B41BD">
            <w:r w:rsidRPr="00670188">
              <w:t>10.2</w:t>
            </w:r>
          </w:p>
        </w:tc>
      </w:tr>
      <w:tr w:rsidR="0030357E" w14:paraId="739A7547" w14:textId="77777777" w:rsidTr="001B41BD">
        <w:tc>
          <w:tcPr>
            <w:tcW w:w="4675" w:type="dxa"/>
            <w:vAlign w:val="bottom"/>
          </w:tcPr>
          <w:p w14:paraId="72A2925F" w14:textId="77777777" w:rsidR="0030357E" w:rsidRPr="00670188" w:rsidRDefault="0030357E" w:rsidP="001B41BD">
            <w:r w:rsidRPr="00670188">
              <w:t>Calhoun</w:t>
            </w:r>
          </w:p>
        </w:tc>
        <w:tc>
          <w:tcPr>
            <w:tcW w:w="4675" w:type="dxa"/>
            <w:vAlign w:val="bottom"/>
          </w:tcPr>
          <w:p w14:paraId="61D64178" w14:textId="77777777" w:rsidR="0030357E" w:rsidRPr="00670188" w:rsidRDefault="0030357E" w:rsidP="001B41BD">
            <w:r w:rsidRPr="00670188">
              <w:t>26.6</w:t>
            </w:r>
          </w:p>
        </w:tc>
      </w:tr>
      <w:tr w:rsidR="0030357E" w14:paraId="44691779" w14:textId="77777777" w:rsidTr="001B41BD">
        <w:tc>
          <w:tcPr>
            <w:tcW w:w="4675" w:type="dxa"/>
            <w:vAlign w:val="bottom"/>
          </w:tcPr>
          <w:p w14:paraId="07921916" w14:textId="77777777" w:rsidR="0030357E" w:rsidRPr="00670188" w:rsidRDefault="0030357E" w:rsidP="001B41BD">
            <w:r w:rsidRPr="00670188">
              <w:t>Charleston</w:t>
            </w:r>
          </w:p>
        </w:tc>
        <w:tc>
          <w:tcPr>
            <w:tcW w:w="4675" w:type="dxa"/>
            <w:vAlign w:val="bottom"/>
          </w:tcPr>
          <w:p w14:paraId="0AD910E0" w14:textId="77777777" w:rsidR="0030357E" w:rsidRPr="00670188" w:rsidRDefault="0030357E" w:rsidP="001B41BD">
            <w:r w:rsidRPr="00670188">
              <w:t>15.0</w:t>
            </w:r>
          </w:p>
        </w:tc>
      </w:tr>
      <w:tr w:rsidR="0030357E" w14:paraId="1FA1EAF5" w14:textId="77777777" w:rsidTr="001B41BD">
        <w:tc>
          <w:tcPr>
            <w:tcW w:w="4675" w:type="dxa"/>
            <w:vAlign w:val="bottom"/>
          </w:tcPr>
          <w:p w14:paraId="0EB65C58" w14:textId="77777777" w:rsidR="0030357E" w:rsidRPr="00670188" w:rsidRDefault="0030357E" w:rsidP="001B41BD">
            <w:r w:rsidRPr="00670188">
              <w:t>Cherokee</w:t>
            </w:r>
          </w:p>
        </w:tc>
        <w:tc>
          <w:tcPr>
            <w:tcW w:w="4675" w:type="dxa"/>
            <w:vAlign w:val="bottom"/>
          </w:tcPr>
          <w:p w14:paraId="05015837" w14:textId="77777777" w:rsidR="0030357E" w:rsidRPr="00670188" w:rsidRDefault="0030357E" w:rsidP="001B41BD">
            <w:r w:rsidRPr="00670188">
              <w:t>10.3</w:t>
            </w:r>
          </w:p>
        </w:tc>
      </w:tr>
      <w:tr w:rsidR="0030357E" w14:paraId="1C1F76F1" w14:textId="77777777" w:rsidTr="001B41BD">
        <w:tc>
          <w:tcPr>
            <w:tcW w:w="4675" w:type="dxa"/>
            <w:vAlign w:val="bottom"/>
          </w:tcPr>
          <w:p w14:paraId="21BF7C97" w14:textId="77777777" w:rsidR="0030357E" w:rsidRPr="00670188" w:rsidRDefault="0030357E" w:rsidP="001B41BD">
            <w:r w:rsidRPr="00670188">
              <w:t>Chester</w:t>
            </w:r>
          </w:p>
        </w:tc>
        <w:tc>
          <w:tcPr>
            <w:tcW w:w="4675" w:type="dxa"/>
            <w:vAlign w:val="bottom"/>
          </w:tcPr>
          <w:p w14:paraId="4A1B808D" w14:textId="77777777" w:rsidR="0030357E" w:rsidRPr="00670188" w:rsidRDefault="0030357E" w:rsidP="001B41BD">
            <w:r w:rsidRPr="00670188">
              <w:t>23.8</w:t>
            </w:r>
          </w:p>
        </w:tc>
      </w:tr>
      <w:tr w:rsidR="0030357E" w14:paraId="73B9E7C2" w14:textId="77777777" w:rsidTr="001B41BD">
        <w:tc>
          <w:tcPr>
            <w:tcW w:w="4675" w:type="dxa"/>
            <w:vAlign w:val="bottom"/>
          </w:tcPr>
          <w:p w14:paraId="7E22CD98" w14:textId="77777777" w:rsidR="0030357E" w:rsidRPr="00670188" w:rsidRDefault="0030357E" w:rsidP="001B41BD">
            <w:r w:rsidRPr="00670188">
              <w:t>Chesterfield</w:t>
            </w:r>
          </w:p>
        </w:tc>
        <w:tc>
          <w:tcPr>
            <w:tcW w:w="4675" w:type="dxa"/>
            <w:vAlign w:val="bottom"/>
          </w:tcPr>
          <w:p w14:paraId="18363C74" w14:textId="77777777" w:rsidR="0030357E" w:rsidRPr="00670188" w:rsidRDefault="0030357E" w:rsidP="001B41BD">
            <w:r w:rsidRPr="00670188">
              <w:t>17.6</w:t>
            </w:r>
          </w:p>
        </w:tc>
      </w:tr>
      <w:tr w:rsidR="0030357E" w14:paraId="3CBDC450" w14:textId="77777777" w:rsidTr="001B41BD">
        <w:tc>
          <w:tcPr>
            <w:tcW w:w="4675" w:type="dxa"/>
            <w:vAlign w:val="bottom"/>
          </w:tcPr>
          <w:p w14:paraId="3DFCF177" w14:textId="77777777" w:rsidR="0030357E" w:rsidRPr="00670188" w:rsidRDefault="0030357E" w:rsidP="001B41BD">
            <w:r w:rsidRPr="00670188">
              <w:t>Clarendon</w:t>
            </w:r>
          </w:p>
        </w:tc>
        <w:tc>
          <w:tcPr>
            <w:tcW w:w="4675" w:type="dxa"/>
            <w:vAlign w:val="bottom"/>
          </w:tcPr>
          <w:p w14:paraId="2BC842F7" w14:textId="77777777" w:rsidR="0030357E" w:rsidRPr="00670188" w:rsidRDefault="0030357E" w:rsidP="001B41BD">
            <w:r w:rsidRPr="00670188">
              <w:t>19.6</w:t>
            </w:r>
          </w:p>
        </w:tc>
      </w:tr>
      <w:tr w:rsidR="0030357E" w14:paraId="0C05FD58" w14:textId="77777777" w:rsidTr="001B41BD">
        <w:tc>
          <w:tcPr>
            <w:tcW w:w="4675" w:type="dxa"/>
            <w:vAlign w:val="bottom"/>
          </w:tcPr>
          <w:p w14:paraId="57210EF2" w14:textId="77777777" w:rsidR="0030357E" w:rsidRPr="00670188" w:rsidRDefault="0030357E" w:rsidP="001B41BD">
            <w:r w:rsidRPr="00670188">
              <w:t>Colleton</w:t>
            </w:r>
          </w:p>
        </w:tc>
        <w:tc>
          <w:tcPr>
            <w:tcW w:w="4675" w:type="dxa"/>
            <w:vAlign w:val="bottom"/>
          </w:tcPr>
          <w:p w14:paraId="2A474A9C" w14:textId="77777777" w:rsidR="0030357E" w:rsidRPr="00670188" w:rsidRDefault="0030357E" w:rsidP="001B41BD">
            <w:r w:rsidRPr="00670188">
              <w:t>31.0</w:t>
            </w:r>
          </w:p>
        </w:tc>
      </w:tr>
      <w:tr w:rsidR="0030357E" w14:paraId="2088CDCF" w14:textId="77777777" w:rsidTr="001B41BD">
        <w:tc>
          <w:tcPr>
            <w:tcW w:w="4675" w:type="dxa"/>
            <w:vAlign w:val="bottom"/>
          </w:tcPr>
          <w:p w14:paraId="5CD4D50F" w14:textId="77777777" w:rsidR="0030357E" w:rsidRPr="00670188" w:rsidRDefault="0030357E" w:rsidP="001B41BD">
            <w:r w:rsidRPr="00670188">
              <w:t>Darlington</w:t>
            </w:r>
          </w:p>
        </w:tc>
        <w:tc>
          <w:tcPr>
            <w:tcW w:w="4675" w:type="dxa"/>
            <w:vAlign w:val="bottom"/>
          </w:tcPr>
          <w:p w14:paraId="6BFE9436" w14:textId="77777777" w:rsidR="0030357E" w:rsidRPr="00670188" w:rsidRDefault="0030357E" w:rsidP="001B41BD">
            <w:r w:rsidRPr="00670188">
              <w:t>28.5</w:t>
            </w:r>
          </w:p>
        </w:tc>
      </w:tr>
      <w:tr w:rsidR="0030357E" w14:paraId="01ED00CA" w14:textId="77777777" w:rsidTr="001B41BD">
        <w:tc>
          <w:tcPr>
            <w:tcW w:w="4675" w:type="dxa"/>
            <w:vAlign w:val="bottom"/>
          </w:tcPr>
          <w:p w14:paraId="3B4C5125" w14:textId="77777777" w:rsidR="0030357E" w:rsidRPr="00670188" w:rsidRDefault="0030357E" w:rsidP="001B41BD">
            <w:r w:rsidRPr="00670188">
              <w:t>Dillon</w:t>
            </w:r>
          </w:p>
        </w:tc>
        <w:tc>
          <w:tcPr>
            <w:tcW w:w="4675" w:type="dxa"/>
            <w:vAlign w:val="bottom"/>
          </w:tcPr>
          <w:p w14:paraId="79D1D533" w14:textId="77777777" w:rsidR="0030357E" w:rsidRPr="00670188" w:rsidRDefault="0030357E" w:rsidP="001B41BD">
            <w:r w:rsidRPr="00670188">
              <w:t>53.2</w:t>
            </w:r>
          </w:p>
        </w:tc>
      </w:tr>
      <w:tr w:rsidR="0030357E" w14:paraId="1E0343B1" w14:textId="77777777" w:rsidTr="001B41BD">
        <w:tc>
          <w:tcPr>
            <w:tcW w:w="4675" w:type="dxa"/>
            <w:vAlign w:val="bottom"/>
          </w:tcPr>
          <w:p w14:paraId="7C43F136" w14:textId="77777777" w:rsidR="0030357E" w:rsidRPr="00670188" w:rsidRDefault="0030357E" w:rsidP="001B41BD">
            <w:r w:rsidRPr="00670188">
              <w:t>Dorchester</w:t>
            </w:r>
          </w:p>
        </w:tc>
        <w:tc>
          <w:tcPr>
            <w:tcW w:w="4675" w:type="dxa"/>
            <w:vAlign w:val="bottom"/>
          </w:tcPr>
          <w:p w14:paraId="5589AEC9" w14:textId="77777777" w:rsidR="0030357E" w:rsidRPr="00670188" w:rsidRDefault="0030357E" w:rsidP="001B41BD">
            <w:r w:rsidRPr="00670188">
              <w:t>8.3</w:t>
            </w:r>
          </w:p>
        </w:tc>
      </w:tr>
      <w:tr w:rsidR="0030357E" w14:paraId="6D0C1E57" w14:textId="77777777" w:rsidTr="001B41BD">
        <w:tc>
          <w:tcPr>
            <w:tcW w:w="4675" w:type="dxa"/>
            <w:vAlign w:val="bottom"/>
          </w:tcPr>
          <w:p w14:paraId="7E489BA3" w14:textId="77777777" w:rsidR="0030357E" w:rsidRPr="00670188" w:rsidRDefault="0030357E" w:rsidP="001B41BD">
            <w:r w:rsidRPr="00670188">
              <w:t>Edgefield</w:t>
            </w:r>
          </w:p>
        </w:tc>
        <w:tc>
          <w:tcPr>
            <w:tcW w:w="4675" w:type="dxa"/>
            <w:vAlign w:val="bottom"/>
          </w:tcPr>
          <w:p w14:paraId="4287C136" w14:textId="77777777" w:rsidR="0030357E" w:rsidRPr="00670188" w:rsidRDefault="0030357E" w:rsidP="001B41BD">
            <w:r w:rsidRPr="00670188">
              <w:t>7.5</w:t>
            </w:r>
          </w:p>
        </w:tc>
      </w:tr>
      <w:tr w:rsidR="0030357E" w14:paraId="045656E0" w14:textId="77777777" w:rsidTr="001B41BD">
        <w:tc>
          <w:tcPr>
            <w:tcW w:w="4675" w:type="dxa"/>
            <w:vAlign w:val="bottom"/>
          </w:tcPr>
          <w:p w14:paraId="04F4D4C3" w14:textId="77777777" w:rsidR="0030357E" w:rsidRPr="00670188" w:rsidRDefault="0030357E" w:rsidP="001B41BD">
            <w:r w:rsidRPr="00670188">
              <w:t>Fairfield</w:t>
            </w:r>
          </w:p>
        </w:tc>
        <w:tc>
          <w:tcPr>
            <w:tcW w:w="4675" w:type="dxa"/>
            <w:vAlign w:val="bottom"/>
          </w:tcPr>
          <w:p w14:paraId="3F92F88F" w14:textId="77777777" w:rsidR="0030357E" w:rsidRPr="00670188" w:rsidRDefault="0030357E" w:rsidP="001B41BD">
            <w:r w:rsidRPr="00670188">
              <w:t>29.4</w:t>
            </w:r>
          </w:p>
        </w:tc>
      </w:tr>
      <w:tr w:rsidR="0030357E" w14:paraId="49B7A26A" w14:textId="77777777" w:rsidTr="001B41BD">
        <w:tc>
          <w:tcPr>
            <w:tcW w:w="4675" w:type="dxa"/>
            <w:vAlign w:val="bottom"/>
          </w:tcPr>
          <w:p w14:paraId="7F4F8971" w14:textId="77777777" w:rsidR="0030357E" w:rsidRPr="00670188" w:rsidRDefault="0030357E" w:rsidP="001B41BD">
            <w:r w:rsidRPr="00670188">
              <w:t>Florence</w:t>
            </w:r>
          </w:p>
        </w:tc>
        <w:tc>
          <w:tcPr>
            <w:tcW w:w="4675" w:type="dxa"/>
            <w:vAlign w:val="bottom"/>
          </w:tcPr>
          <w:p w14:paraId="2958AB7D" w14:textId="77777777" w:rsidR="0030357E" w:rsidRPr="00670188" w:rsidRDefault="0030357E" w:rsidP="001B41BD">
            <w:r w:rsidRPr="00670188">
              <w:t>18.3</w:t>
            </w:r>
          </w:p>
        </w:tc>
      </w:tr>
      <w:tr w:rsidR="0030357E" w14:paraId="4B633097" w14:textId="77777777" w:rsidTr="001B41BD">
        <w:tc>
          <w:tcPr>
            <w:tcW w:w="4675" w:type="dxa"/>
            <w:vAlign w:val="bottom"/>
          </w:tcPr>
          <w:p w14:paraId="24DEABB4" w14:textId="77777777" w:rsidR="0030357E" w:rsidRPr="00670188" w:rsidRDefault="0030357E" w:rsidP="001B41BD">
            <w:r w:rsidRPr="00670188">
              <w:t>Georgetown</w:t>
            </w:r>
          </w:p>
        </w:tc>
        <w:tc>
          <w:tcPr>
            <w:tcW w:w="4675" w:type="dxa"/>
            <w:vAlign w:val="bottom"/>
          </w:tcPr>
          <w:p w14:paraId="0D6DE126" w14:textId="77777777" w:rsidR="0030357E" w:rsidRPr="00670188" w:rsidRDefault="0030357E" w:rsidP="001B41BD">
            <w:r w:rsidRPr="00670188">
              <w:t>19.1</w:t>
            </w:r>
          </w:p>
        </w:tc>
      </w:tr>
      <w:tr w:rsidR="0030357E" w14:paraId="592CFDBC" w14:textId="77777777" w:rsidTr="001B41BD">
        <w:tc>
          <w:tcPr>
            <w:tcW w:w="4675" w:type="dxa"/>
            <w:vAlign w:val="bottom"/>
          </w:tcPr>
          <w:p w14:paraId="374BFD21" w14:textId="77777777" w:rsidR="0030357E" w:rsidRPr="00670188" w:rsidRDefault="0030357E" w:rsidP="001B41BD">
            <w:r w:rsidRPr="00670188">
              <w:lastRenderedPageBreak/>
              <w:t>Greenville</w:t>
            </w:r>
          </w:p>
        </w:tc>
        <w:tc>
          <w:tcPr>
            <w:tcW w:w="4675" w:type="dxa"/>
            <w:vAlign w:val="bottom"/>
          </w:tcPr>
          <w:p w14:paraId="793AA085" w14:textId="77777777" w:rsidR="0030357E" w:rsidRPr="00670188" w:rsidRDefault="0030357E" w:rsidP="001B41BD">
            <w:r w:rsidRPr="00670188">
              <w:t>7.9</w:t>
            </w:r>
          </w:p>
        </w:tc>
      </w:tr>
      <w:tr w:rsidR="0030357E" w14:paraId="0685A8AC" w14:textId="77777777" w:rsidTr="001B41BD">
        <w:tc>
          <w:tcPr>
            <w:tcW w:w="4675" w:type="dxa"/>
            <w:vAlign w:val="bottom"/>
          </w:tcPr>
          <w:p w14:paraId="2E0EF309" w14:textId="77777777" w:rsidR="0030357E" w:rsidRPr="00670188" w:rsidRDefault="0030357E" w:rsidP="001B41BD">
            <w:r w:rsidRPr="00670188">
              <w:t>Greenwood</w:t>
            </w:r>
          </w:p>
        </w:tc>
        <w:tc>
          <w:tcPr>
            <w:tcW w:w="4675" w:type="dxa"/>
            <w:vAlign w:val="bottom"/>
          </w:tcPr>
          <w:p w14:paraId="0E8E5CAA" w14:textId="77777777" w:rsidR="0030357E" w:rsidRPr="00670188" w:rsidRDefault="0030357E" w:rsidP="001B41BD">
            <w:r w:rsidRPr="00670188">
              <w:t>10.7</w:t>
            </w:r>
          </w:p>
        </w:tc>
      </w:tr>
      <w:tr w:rsidR="0030357E" w14:paraId="1A5CA38B" w14:textId="77777777" w:rsidTr="001B41BD">
        <w:tc>
          <w:tcPr>
            <w:tcW w:w="4675" w:type="dxa"/>
            <w:vAlign w:val="bottom"/>
          </w:tcPr>
          <w:p w14:paraId="50A489D4" w14:textId="77777777" w:rsidR="0030357E" w:rsidRPr="00670188" w:rsidRDefault="0030357E" w:rsidP="001B41BD">
            <w:r w:rsidRPr="00670188">
              <w:t>Hampton</w:t>
            </w:r>
          </w:p>
        </w:tc>
        <w:tc>
          <w:tcPr>
            <w:tcW w:w="4675" w:type="dxa"/>
            <w:vAlign w:val="bottom"/>
          </w:tcPr>
          <w:p w14:paraId="53485E75" w14:textId="77777777" w:rsidR="0030357E" w:rsidRPr="00670188" w:rsidRDefault="0030357E" w:rsidP="001B41BD">
            <w:r w:rsidRPr="00670188">
              <w:t>21.0</w:t>
            </w:r>
          </w:p>
        </w:tc>
      </w:tr>
      <w:tr w:rsidR="0030357E" w14:paraId="523E5EEC" w14:textId="77777777" w:rsidTr="001B41BD">
        <w:tc>
          <w:tcPr>
            <w:tcW w:w="4675" w:type="dxa"/>
            <w:vAlign w:val="bottom"/>
          </w:tcPr>
          <w:p w14:paraId="6EFADAB1" w14:textId="77777777" w:rsidR="0030357E" w:rsidRPr="00670188" w:rsidRDefault="0030357E" w:rsidP="001B41BD">
            <w:r w:rsidRPr="00670188">
              <w:t>Horry</w:t>
            </w:r>
          </w:p>
        </w:tc>
        <w:tc>
          <w:tcPr>
            <w:tcW w:w="4675" w:type="dxa"/>
            <w:vAlign w:val="bottom"/>
          </w:tcPr>
          <w:p w14:paraId="28A4B848" w14:textId="77777777" w:rsidR="0030357E" w:rsidRPr="00670188" w:rsidRDefault="0030357E" w:rsidP="001B41BD">
            <w:r w:rsidRPr="00670188">
              <w:t>8.3</w:t>
            </w:r>
          </w:p>
        </w:tc>
      </w:tr>
      <w:tr w:rsidR="0030357E" w14:paraId="69C850E8" w14:textId="77777777" w:rsidTr="001B41BD">
        <w:tc>
          <w:tcPr>
            <w:tcW w:w="4675" w:type="dxa"/>
            <w:vAlign w:val="bottom"/>
          </w:tcPr>
          <w:p w14:paraId="3DCC697D" w14:textId="77777777" w:rsidR="0030357E" w:rsidRPr="00670188" w:rsidRDefault="0030357E" w:rsidP="001B41BD">
            <w:r w:rsidRPr="00670188">
              <w:t>Jasper</w:t>
            </w:r>
          </w:p>
        </w:tc>
        <w:tc>
          <w:tcPr>
            <w:tcW w:w="4675" w:type="dxa"/>
            <w:vAlign w:val="bottom"/>
          </w:tcPr>
          <w:p w14:paraId="65F7AD82" w14:textId="77777777" w:rsidR="0030357E" w:rsidRPr="00670188" w:rsidRDefault="0030357E" w:rsidP="001B41BD">
            <w:r w:rsidRPr="00670188">
              <w:t>21.3</w:t>
            </w:r>
          </w:p>
        </w:tc>
      </w:tr>
      <w:tr w:rsidR="0030357E" w14:paraId="0CB41839" w14:textId="77777777" w:rsidTr="001B41BD">
        <w:tc>
          <w:tcPr>
            <w:tcW w:w="4675" w:type="dxa"/>
            <w:vAlign w:val="bottom"/>
          </w:tcPr>
          <w:p w14:paraId="44D4B7B6" w14:textId="77777777" w:rsidR="0030357E" w:rsidRPr="00670188" w:rsidRDefault="0030357E" w:rsidP="001B41BD">
            <w:r w:rsidRPr="00670188">
              <w:t>Kershaw</w:t>
            </w:r>
          </w:p>
        </w:tc>
        <w:tc>
          <w:tcPr>
            <w:tcW w:w="4675" w:type="dxa"/>
            <w:vAlign w:val="bottom"/>
          </w:tcPr>
          <w:p w14:paraId="2F989C62" w14:textId="77777777" w:rsidR="0030357E" w:rsidRPr="00670188" w:rsidRDefault="0030357E" w:rsidP="001B41BD">
            <w:r w:rsidRPr="00670188">
              <w:t>9.2</w:t>
            </w:r>
          </w:p>
        </w:tc>
      </w:tr>
      <w:tr w:rsidR="0030357E" w14:paraId="31535FCE" w14:textId="77777777" w:rsidTr="001B41BD">
        <w:tc>
          <w:tcPr>
            <w:tcW w:w="4675" w:type="dxa"/>
            <w:vAlign w:val="bottom"/>
          </w:tcPr>
          <w:p w14:paraId="7411F428" w14:textId="77777777" w:rsidR="0030357E" w:rsidRPr="00670188" w:rsidRDefault="0030357E" w:rsidP="001B41BD">
            <w:r w:rsidRPr="00670188">
              <w:t>Lancaster</w:t>
            </w:r>
          </w:p>
        </w:tc>
        <w:tc>
          <w:tcPr>
            <w:tcW w:w="4675" w:type="dxa"/>
            <w:vAlign w:val="bottom"/>
          </w:tcPr>
          <w:p w14:paraId="6FD09E3C" w14:textId="77777777" w:rsidR="0030357E" w:rsidRPr="00670188" w:rsidRDefault="0030357E" w:rsidP="001B41BD">
            <w:r w:rsidRPr="00670188">
              <w:t>13.5</w:t>
            </w:r>
          </w:p>
        </w:tc>
      </w:tr>
      <w:tr w:rsidR="0030357E" w14:paraId="14830E24" w14:textId="77777777" w:rsidTr="001B41BD">
        <w:tc>
          <w:tcPr>
            <w:tcW w:w="4675" w:type="dxa"/>
            <w:vAlign w:val="bottom"/>
          </w:tcPr>
          <w:p w14:paraId="668F2CFD" w14:textId="77777777" w:rsidR="0030357E" w:rsidRPr="00670188" w:rsidRDefault="0030357E" w:rsidP="001B41BD">
            <w:r w:rsidRPr="00670188">
              <w:t>Laurens</w:t>
            </w:r>
          </w:p>
        </w:tc>
        <w:tc>
          <w:tcPr>
            <w:tcW w:w="4675" w:type="dxa"/>
            <w:vAlign w:val="bottom"/>
          </w:tcPr>
          <w:p w14:paraId="1DBDC6DF" w14:textId="77777777" w:rsidR="0030357E" w:rsidRPr="00670188" w:rsidRDefault="0030357E" w:rsidP="001B41BD">
            <w:r w:rsidRPr="00670188">
              <w:t>8.5</w:t>
            </w:r>
          </w:p>
        </w:tc>
      </w:tr>
      <w:tr w:rsidR="0030357E" w14:paraId="0E140682" w14:textId="77777777" w:rsidTr="001B41BD">
        <w:tc>
          <w:tcPr>
            <w:tcW w:w="4675" w:type="dxa"/>
            <w:vAlign w:val="bottom"/>
          </w:tcPr>
          <w:p w14:paraId="02C2263E" w14:textId="77777777" w:rsidR="0030357E" w:rsidRPr="00670188" w:rsidRDefault="0030357E" w:rsidP="001B41BD">
            <w:r w:rsidRPr="00670188">
              <w:t>Lee</w:t>
            </w:r>
          </w:p>
        </w:tc>
        <w:tc>
          <w:tcPr>
            <w:tcW w:w="4675" w:type="dxa"/>
            <w:vAlign w:val="bottom"/>
          </w:tcPr>
          <w:p w14:paraId="6D41BD9C" w14:textId="77777777" w:rsidR="0030357E" w:rsidRPr="00670188" w:rsidRDefault="0030357E" w:rsidP="001B41BD">
            <w:r w:rsidRPr="00670188">
              <w:t>33.0</w:t>
            </w:r>
          </w:p>
        </w:tc>
      </w:tr>
      <w:tr w:rsidR="0030357E" w14:paraId="23A8E665" w14:textId="77777777" w:rsidTr="001B41BD">
        <w:tc>
          <w:tcPr>
            <w:tcW w:w="4675" w:type="dxa"/>
            <w:vAlign w:val="bottom"/>
          </w:tcPr>
          <w:p w14:paraId="314A64CC" w14:textId="77777777" w:rsidR="0030357E" w:rsidRPr="00670188" w:rsidRDefault="0030357E" w:rsidP="001B41BD">
            <w:r w:rsidRPr="00670188">
              <w:t>Lexington</w:t>
            </w:r>
          </w:p>
        </w:tc>
        <w:tc>
          <w:tcPr>
            <w:tcW w:w="4675" w:type="dxa"/>
            <w:vAlign w:val="bottom"/>
          </w:tcPr>
          <w:p w14:paraId="0E09A919" w14:textId="77777777" w:rsidR="0030357E" w:rsidRPr="00670188" w:rsidRDefault="0030357E" w:rsidP="001B41BD">
            <w:r w:rsidRPr="00670188">
              <w:t>6.6</w:t>
            </w:r>
          </w:p>
        </w:tc>
      </w:tr>
      <w:tr w:rsidR="0030357E" w14:paraId="5CC4318A" w14:textId="77777777" w:rsidTr="001B41BD">
        <w:tc>
          <w:tcPr>
            <w:tcW w:w="4675" w:type="dxa"/>
            <w:vAlign w:val="bottom"/>
          </w:tcPr>
          <w:p w14:paraId="219B8104" w14:textId="77777777" w:rsidR="0030357E" w:rsidRPr="00670188" w:rsidRDefault="0030357E" w:rsidP="001B41BD">
            <w:r w:rsidRPr="00670188">
              <w:t>Marion</w:t>
            </w:r>
          </w:p>
        </w:tc>
        <w:tc>
          <w:tcPr>
            <w:tcW w:w="4675" w:type="dxa"/>
            <w:vAlign w:val="bottom"/>
          </w:tcPr>
          <w:p w14:paraId="65B14580" w14:textId="77777777" w:rsidR="0030357E" w:rsidRPr="00670188" w:rsidRDefault="0030357E" w:rsidP="001B41BD">
            <w:r w:rsidRPr="00670188">
              <w:t>25.2</w:t>
            </w:r>
          </w:p>
        </w:tc>
      </w:tr>
      <w:tr w:rsidR="0030357E" w14:paraId="79CBE3CA" w14:textId="77777777" w:rsidTr="001B41BD">
        <w:tc>
          <w:tcPr>
            <w:tcW w:w="4675" w:type="dxa"/>
            <w:vAlign w:val="bottom"/>
          </w:tcPr>
          <w:p w14:paraId="6DAD6681" w14:textId="77777777" w:rsidR="0030357E" w:rsidRPr="00670188" w:rsidRDefault="0030357E" w:rsidP="001B41BD">
            <w:r w:rsidRPr="00670188">
              <w:t>Marlboro</w:t>
            </w:r>
          </w:p>
        </w:tc>
        <w:tc>
          <w:tcPr>
            <w:tcW w:w="4675" w:type="dxa"/>
            <w:vAlign w:val="bottom"/>
          </w:tcPr>
          <w:p w14:paraId="304247DE" w14:textId="77777777" w:rsidR="0030357E" w:rsidRPr="00670188" w:rsidRDefault="0030357E" w:rsidP="001B41BD">
            <w:r w:rsidRPr="00670188">
              <w:t>25.3</w:t>
            </w:r>
          </w:p>
        </w:tc>
      </w:tr>
      <w:tr w:rsidR="0030357E" w14:paraId="58F1A3A1" w14:textId="77777777" w:rsidTr="001B41BD">
        <w:tc>
          <w:tcPr>
            <w:tcW w:w="4675" w:type="dxa"/>
            <w:vAlign w:val="bottom"/>
          </w:tcPr>
          <w:p w14:paraId="1DEEBBEA" w14:textId="77777777" w:rsidR="0030357E" w:rsidRPr="00670188" w:rsidRDefault="0030357E" w:rsidP="001B41BD">
            <w:r w:rsidRPr="00670188">
              <w:t>McCormick</w:t>
            </w:r>
          </w:p>
        </w:tc>
        <w:tc>
          <w:tcPr>
            <w:tcW w:w="4675" w:type="dxa"/>
            <w:vAlign w:val="bottom"/>
          </w:tcPr>
          <w:p w14:paraId="6AABB953" w14:textId="77777777" w:rsidR="0030357E" w:rsidRPr="00670188" w:rsidRDefault="0030357E" w:rsidP="001B41BD">
            <w:r w:rsidRPr="00670188">
              <w:t>*</w:t>
            </w:r>
          </w:p>
        </w:tc>
      </w:tr>
      <w:tr w:rsidR="0030357E" w14:paraId="1E3A59B7" w14:textId="77777777" w:rsidTr="001B41BD">
        <w:tc>
          <w:tcPr>
            <w:tcW w:w="4675" w:type="dxa"/>
            <w:vAlign w:val="bottom"/>
          </w:tcPr>
          <w:p w14:paraId="491F48B4" w14:textId="77777777" w:rsidR="0030357E" w:rsidRPr="00670188" w:rsidRDefault="0030357E" w:rsidP="001B41BD">
            <w:r w:rsidRPr="00670188">
              <w:t>Newberry</w:t>
            </w:r>
          </w:p>
        </w:tc>
        <w:tc>
          <w:tcPr>
            <w:tcW w:w="4675" w:type="dxa"/>
            <w:vAlign w:val="bottom"/>
          </w:tcPr>
          <w:p w14:paraId="50350CD6" w14:textId="77777777" w:rsidR="0030357E" w:rsidRPr="00670188" w:rsidRDefault="0030357E" w:rsidP="001B41BD">
            <w:r w:rsidRPr="00670188">
              <w:t>17.4</w:t>
            </w:r>
          </w:p>
        </w:tc>
      </w:tr>
      <w:tr w:rsidR="0030357E" w14:paraId="0F2FDA95" w14:textId="77777777" w:rsidTr="001B41BD">
        <w:tc>
          <w:tcPr>
            <w:tcW w:w="4675" w:type="dxa"/>
            <w:vAlign w:val="bottom"/>
          </w:tcPr>
          <w:p w14:paraId="3F909181" w14:textId="77777777" w:rsidR="0030357E" w:rsidRPr="00670188" w:rsidRDefault="0030357E" w:rsidP="001B41BD">
            <w:r w:rsidRPr="00670188">
              <w:t>Oconee</w:t>
            </w:r>
          </w:p>
        </w:tc>
        <w:tc>
          <w:tcPr>
            <w:tcW w:w="4675" w:type="dxa"/>
            <w:vAlign w:val="bottom"/>
          </w:tcPr>
          <w:p w14:paraId="282ADB68" w14:textId="77777777" w:rsidR="0030357E" w:rsidRPr="00670188" w:rsidRDefault="0030357E" w:rsidP="001B41BD">
            <w:r w:rsidRPr="00670188">
              <w:t>9.5</w:t>
            </w:r>
          </w:p>
        </w:tc>
      </w:tr>
      <w:tr w:rsidR="0030357E" w14:paraId="3FB3BB2D" w14:textId="77777777" w:rsidTr="001B41BD">
        <w:tc>
          <w:tcPr>
            <w:tcW w:w="4675" w:type="dxa"/>
            <w:vAlign w:val="bottom"/>
          </w:tcPr>
          <w:p w14:paraId="39E149A4" w14:textId="77777777" w:rsidR="0030357E" w:rsidRPr="00670188" w:rsidRDefault="0030357E" w:rsidP="001B41BD">
            <w:r w:rsidRPr="00670188">
              <w:t>Orangeburg</w:t>
            </w:r>
          </w:p>
        </w:tc>
        <w:tc>
          <w:tcPr>
            <w:tcW w:w="4675" w:type="dxa"/>
            <w:vAlign w:val="bottom"/>
          </w:tcPr>
          <w:p w14:paraId="12D2E54F" w14:textId="77777777" w:rsidR="0030357E" w:rsidRPr="00670188" w:rsidRDefault="0030357E" w:rsidP="001B41BD">
            <w:r w:rsidRPr="00670188">
              <w:t>25.2</w:t>
            </w:r>
          </w:p>
        </w:tc>
      </w:tr>
      <w:tr w:rsidR="0030357E" w14:paraId="61020B8D" w14:textId="77777777" w:rsidTr="001B41BD">
        <w:tc>
          <w:tcPr>
            <w:tcW w:w="4675" w:type="dxa"/>
            <w:vAlign w:val="bottom"/>
          </w:tcPr>
          <w:p w14:paraId="6D207F04" w14:textId="77777777" w:rsidR="0030357E" w:rsidRPr="00670188" w:rsidRDefault="0030357E" w:rsidP="001B41BD">
            <w:r w:rsidRPr="00670188">
              <w:t>Pickens</w:t>
            </w:r>
          </w:p>
        </w:tc>
        <w:tc>
          <w:tcPr>
            <w:tcW w:w="4675" w:type="dxa"/>
            <w:vAlign w:val="bottom"/>
          </w:tcPr>
          <w:p w14:paraId="12B5BC35" w14:textId="77777777" w:rsidR="0030357E" w:rsidRPr="00670188" w:rsidRDefault="0030357E" w:rsidP="001B41BD">
            <w:r w:rsidRPr="00670188">
              <w:t>4.5</w:t>
            </w:r>
          </w:p>
        </w:tc>
      </w:tr>
      <w:tr w:rsidR="0030357E" w14:paraId="0A222FD9" w14:textId="77777777" w:rsidTr="001B41BD">
        <w:tc>
          <w:tcPr>
            <w:tcW w:w="4675" w:type="dxa"/>
            <w:vAlign w:val="bottom"/>
          </w:tcPr>
          <w:p w14:paraId="2682194F" w14:textId="77777777" w:rsidR="0030357E" w:rsidRPr="00670188" w:rsidRDefault="0030357E" w:rsidP="001B41BD">
            <w:r w:rsidRPr="00670188">
              <w:t>Richland</w:t>
            </w:r>
          </w:p>
        </w:tc>
        <w:tc>
          <w:tcPr>
            <w:tcW w:w="4675" w:type="dxa"/>
            <w:vAlign w:val="bottom"/>
          </w:tcPr>
          <w:p w14:paraId="6811B38E" w14:textId="77777777" w:rsidR="0030357E" w:rsidRPr="00670188" w:rsidRDefault="0030357E" w:rsidP="001B41BD">
            <w:r w:rsidRPr="00670188">
              <w:t>13.2</w:t>
            </w:r>
          </w:p>
        </w:tc>
      </w:tr>
      <w:tr w:rsidR="0030357E" w14:paraId="6CC731CD" w14:textId="77777777" w:rsidTr="001B41BD">
        <w:tc>
          <w:tcPr>
            <w:tcW w:w="4675" w:type="dxa"/>
            <w:vAlign w:val="bottom"/>
          </w:tcPr>
          <w:p w14:paraId="5C924277" w14:textId="77777777" w:rsidR="0030357E" w:rsidRPr="00670188" w:rsidRDefault="0030357E" w:rsidP="001B41BD">
            <w:r w:rsidRPr="00670188">
              <w:t>Saluda</w:t>
            </w:r>
          </w:p>
        </w:tc>
        <w:tc>
          <w:tcPr>
            <w:tcW w:w="4675" w:type="dxa"/>
            <w:vAlign w:val="bottom"/>
          </w:tcPr>
          <w:p w14:paraId="720CB6A1" w14:textId="77777777" w:rsidR="0030357E" w:rsidRPr="00670188" w:rsidRDefault="0030357E" w:rsidP="001B41BD">
            <w:r w:rsidRPr="00670188">
              <w:t>9.5</w:t>
            </w:r>
          </w:p>
        </w:tc>
      </w:tr>
      <w:tr w:rsidR="0030357E" w14:paraId="4DF223F1" w14:textId="77777777" w:rsidTr="001B41BD">
        <w:tc>
          <w:tcPr>
            <w:tcW w:w="4675" w:type="dxa"/>
            <w:vAlign w:val="bottom"/>
          </w:tcPr>
          <w:p w14:paraId="30CE744B" w14:textId="77777777" w:rsidR="0030357E" w:rsidRPr="00670188" w:rsidRDefault="0030357E" w:rsidP="001B41BD">
            <w:r w:rsidRPr="00670188">
              <w:t>Spartanburg</w:t>
            </w:r>
          </w:p>
        </w:tc>
        <w:tc>
          <w:tcPr>
            <w:tcW w:w="4675" w:type="dxa"/>
            <w:vAlign w:val="bottom"/>
          </w:tcPr>
          <w:p w14:paraId="7B502D98" w14:textId="77777777" w:rsidR="0030357E" w:rsidRPr="00670188" w:rsidRDefault="0030357E" w:rsidP="001B41BD">
            <w:r w:rsidRPr="00670188">
              <w:t>10.0</w:t>
            </w:r>
          </w:p>
        </w:tc>
      </w:tr>
      <w:tr w:rsidR="0030357E" w14:paraId="6942F73D" w14:textId="77777777" w:rsidTr="001B41BD">
        <w:tc>
          <w:tcPr>
            <w:tcW w:w="4675" w:type="dxa"/>
            <w:vAlign w:val="bottom"/>
          </w:tcPr>
          <w:p w14:paraId="5D59BAD4" w14:textId="77777777" w:rsidR="0030357E" w:rsidRPr="00670188" w:rsidRDefault="0030357E" w:rsidP="001B41BD">
            <w:r w:rsidRPr="00670188">
              <w:t>Sumter</w:t>
            </w:r>
          </w:p>
        </w:tc>
        <w:tc>
          <w:tcPr>
            <w:tcW w:w="4675" w:type="dxa"/>
            <w:vAlign w:val="bottom"/>
          </w:tcPr>
          <w:p w14:paraId="56612E88" w14:textId="77777777" w:rsidR="0030357E" w:rsidRPr="00670188" w:rsidRDefault="0030357E" w:rsidP="001B41BD">
            <w:r w:rsidRPr="00670188">
              <w:t>17.3</w:t>
            </w:r>
          </w:p>
        </w:tc>
      </w:tr>
      <w:tr w:rsidR="0030357E" w14:paraId="03BB3A0E" w14:textId="77777777" w:rsidTr="001B41BD">
        <w:tc>
          <w:tcPr>
            <w:tcW w:w="4675" w:type="dxa"/>
            <w:vAlign w:val="bottom"/>
          </w:tcPr>
          <w:p w14:paraId="4913C536" w14:textId="77777777" w:rsidR="0030357E" w:rsidRPr="00670188" w:rsidRDefault="0030357E" w:rsidP="001B41BD">
            <w:r w:rsidRPr="00670188">
              <w:t>Union</w:t>
            </w:r>
          </w:p>
        </w:tc>
        <w:tc>
          <w:tcPr>
            <w:tcW w:w="4675" w:type="dxa"/>
            <w:vAlign w:val="bottom"/>
          </w:tcPr>
          <w:p w14:paraId="16819198" w14:textId="77777777" w:rsidR="0030357E" w:rsidRPr="00670188" w:rsidRDefault="0030357E" w:rsidP="001B41BD">
            <w:r w:rsidRPr="00670188">
              <w:t>15.6</w:t>
            </w:r>
          </w:p>
        </w:tc>
      </w:tr>
      <w:tr w:rsidR="0030357E" w14:paraId="5796D3C1" w14:textId="77777777" w:rsidTr="001B41BD">
        <w:tc>
          <w:tcPr>
            <w:tcW w:w="4675" w:type="dxa"/>
            <w:vAlign w:val="bottom"/>
          </w:tcPr>
          <w:p w14:paraId="40AEE9A7" w14:textId="77777777" w:rsidR="0030357E" w:rsidRPr="00670188" w:rsidRDefault="0030357E" w:rsidP="001B41BD">
            <w:r w:rsidRPr="00670188">
              <w:t>Williamsburg</w:t>
            </w:r>
          </w:p>
        </w:tc>
        <w:tc>
          <w:tcPr>
            <w:tcW w:w="4675" w:type="dxa"/>
            <w:vAlign w:val="bottom"/>
          </w:tcPr>
          <w:p w14:paraId="114678D9" w14:textId="77777777" w:rsidR="0030357E" w:rsidRPr="00670188" w:rsidRDefault="0030357E" w:rsidP="001B41BD">
            <w:r w:rsidRPr="00670188">
              <w:t>27.6</w:t>
            </w:r>
          </w:p>
        </w:tc>
      </w:tr>
      <w:tr w:rsidR="0030357E" w14:paraId="5BB06E78" w14:textId="77777777" w:rsidTr="001B41BD">
        <w:tc>
          <w:tcPr>
            <w:tcW w:w="4675" w:type="dxa"/>
            <w:vAlign w:val="bottom"/>
          </w:tcPr>
          <w:p w14:paraId="5046726C" w14:textId="77777777" w:rsidR="0030357E" w:rsidRPr="00670188" w:rsidRDefault="0030357E" w:rsidP="001B41BD">
            <w:r w:rsidRPr="00670188">
              <w:t>York</w:t>
            </w:r>
          </w:p>
        </w:tc>
        <w:tc>
          <w:tcPr>
            <w:tcW w:w="4675" w:type="dxa"/>
            <w:vAlign w:val="bottom"/>
          </w:tcPr>
          <w:p w14:paraId="39A074DF" w14:textId="77777777" w:rsidR="0030357E" w:rsidRPr="00670188" w:rsidRDefault="0030357E" w:rsidP="001B41BD">
            <w:r w:rsidRPr="00670188">
              <w:t>6.7</w:t>
            </w:r>
          </w:p>
        </w:tc>
      </w:tr>
    </w:tbl>
    <w:p w14:paraId="1A8ADB2C" w14:textId="77777777" w:rsidR="0030357E" w:rsidRPr="00670188" w:rsidRDefault="0030357E" w:rsidP="0030357E">
      <w:r w:rsidRPr="00670188">
        <w:t xml:space="preserve">Source: SC DHEC Vital Statistics, 2019-2021. </w:t>
      </w:r>
    </w:p>
    <w:p w14:paraId="5C06D7D6" w14:textId="77777777" w:rsidR="0030357E" w:rsidRDefault="0030357E" w:rsidP="0030357E">
      <w:r w:rsidRPr="00670188">
        <w:t>Notes: Age-adjusted, population for year 2021 based on single-race estimates and for years prior based on bridge-race estimates.</w:t>
      </w:r>
    </w:p>
    <w:p w14:paraId="70E35FB0" w14:textId="77777777" w:rsidR="0030357E" w:rsidRDefault="0030357E" w:rsidP="0030357E">
      <w:pPr>
        <w:pStyle w:val="Heading4"/>
      </w:pPr>
      <w:bookmarkStart w:id="859" w:name="_Toc154576539"/>
    </w:p>
    <w:p w14:paraId="0D931712" w14:textId="22534DFB" w:rsidR="0030357E" w:rsidRDefault="0030357E" w:rsidP="0030357E">
      <w:pPr>
        <w:pStyle w:val="Heading4"/>
      </w:pPr>
      <w:bookmarkStart w:id="860" w:name="_Toc162267582"/>
      <w:r>
        <w:t>Figure 9.57: Homicide, All Ages.</w:t>
      </w:r>
      <w:bookmarkEnd w:id="859"/>
      <w:bookmarkEnd w:id="860"/>
    </w:p>
    <w:p w14:paraId="5EE8B759" w14:textId="77777777" w:rsidR="0030357E" w:rsidRPr="00670188" w:rsidRDefault="0030357E" w:rsidP="0030357E">
      <w:pPr>
        <w:pStyle w:val="Heading5"/>
      </w:pPr>
      <w:r>
        <w:t>Rate per 100,000 population.</w:t>
      </w:r>
    </w:p>
    <w:tbl>
      <w:tblPr>
        <w:tblStyle w:val="TableGrid"/>
        <w:tblW w:w="0" w:type="auto"/>
        <w:tblLook w:val="04A0" w:firstRow="1" w:lastRow="0" w:firstColumn="1" w:lastColumn="0" w:noHBand="0" w:noVBand="1"/>
      </w:tblPr>
      <w:tblGrid>
        <w:gridCol w:w="2337"/>
        <w:gridCol w:w="2337"/>
        <w:gridCol w:w="2338"/>
        <w:gridCol w:w="2338"/>
      </w:tblGrid>
      <w:tr w:rsidR="0030357E" w14:paraId="61C5DEC6" w14:textId="77777777" w:rsidTr="001B41BD">
        <w:tc>
          <w:tcPr>
            <w:tcW w:w="2337" w:type="dxa"/>
            <w:vAlign w:val="bottom"/>
          </w:tcPr>
          <w:p w14:paraId="20CEB8CF" w14:textId="77777777" w:rsidR="0030357E" w:rsidRPr="00670188" w:rsidRDefault="0030357E" w:rsidP="001B41BD">
            <w:r>
              <w:t>Years</w:t>
            </w:r>
          </w:p>
        </w:tc>
        <w:tc>
          <w:tcPr>
            <w:tcW w:w="2337" w:type="dxa"/>
            <w:vAlign w:val="bottom"/>
          </w:tcPr>
          <w:p w14:paraId="3594B11F" w14:textId="77777777" w:rsidR="0030357E" w:rsidRPr="00670188" w:rsidRDefault="0030357E" w:rsidP="001B41BD">
            <w:r w:rsidRPr="00670188">
              <w:t>South Carolina</w:t>
            </w:r>
          </w:p>
        </w:tc>
        <w:tc>
          <w:tcPr>
            <w:tcW w:w="2338" w:type="dxa"/>
            <w:vAlign w:val="bottom"/>
          </w:tcPr>
          <w:p w14:paraId="245BB686" w14:textId="77777777" w:rsidR="0030357E" w:rsidRPr="00670188" w:rsidRDefault="0030357E" w:rsidP="001B41BD">
            <w:r w:rsidRPr="00670188">
              <w:t>United States</w:t>
            </w:r>
          </w:p>
        </w:tc>
        <w:tc>
          <w:tcPr>
            <w:tcW w:w="2338" w:type="dxa"/>
            <w:vAlign w:val="bottom"/>
          </w:tcPr>
          <w:p w14:paraId="6D75F85C" w14:textId="77777777" w:rsidR="0030357E" w:rsidRPr="00670188" w:rsidRDefault="0030357E" w:rsidP="001B41BD">
            <w:r w:rsidRPr="00670188">
              <w:t>Healthy People</w:t>
            </w:r>
            <w:r>
              <w:t xml:space="preserve"> 2030 Goal</w:t>
            </w:r>
          </w:p>
        </w:tc>
      </w:tr>
      <w:tr w:rsidR="0030357E" w14:paraId="75723F0D" w14:textId="77777777" w:rsidTr="001B41BD">
        <w:tc>
          <w:tcPr>
            <w:tcW w:w="2337" w:type="dxa"/>
            <w:vAlign w:val="center"/>
          </w:tcPr>
          <w:p w14:paraId="7F004DC8" w14:textId="77777777" w:rsidR="0030357E" w:rsidRPr="00670188" w:rsidRDefault="0030357E" w:rsidP="001B41BD">
            <w:r w:rsidRPr="00670188">
              <w:t>2012</w:t>
            </w:r>
          </w:p>
        </w:tc>
        <w:tc>
          <w:tcPr>
            <w:tcW w:w="2337" w:type="dxa"/>
            <w:vAlign w:val="center"/>
          </w:tcPr>
          <w:p w14:paraId="49B4FB86" w14:textId="77777777" w:rsidR="0030357E" w:rsidRPr="00670188" w:rsidRDefault="0030357E" w:rsidP="001B41BD">
            <w:r w:rsidRPr="00670188">
              <w:t>8.2</w:t>
            </w:r>
          </w:p>
        </w:tc>
        <w:tc>
          <w:tcPr>
            <w:tcW w:w="2338" w:type="dxa"/>
            <w:vAlign w:val="bottom"/>
          </w:tcPr>
          <w:p w14:paraId="3F2225E9" w14:textId="77777777" w:rsidR="0030357E" w:rsidRPr="00670188" w:rsidRDefault="0030357E" w:rsidP="001B41BD">
            <w:r w:rsidRPr="00670188">
              <w:t>5.4</w:t>
            </w:r>
          </w:p>
        </w:tc>
        <w:tc>
          <w:tcPr>
            <w:tcW w:w="2338" w:type="dxa"/>
            <w:vAlign w:val="bottom"/>
          </w:tcPr>
          <w:p w14:paraId="1C153A82" w14:textId="77777777" w:rsidR="0030357E" w:rsidRPr="00670188" w:rsidRDefault="0030357E" w:rsidP="001B41BD">
            <w:r w:rsidRPr="00670188">
              <w:t>5.5</w:t>
            </w:r>
          </w:p>
        </w:tc>
      </w:tr>
      <w:tr w:rsidR="0030357E" w14:paraId="75344BB3" w14:textId="77777777" w:rsidTr="001B41BD">
        <w:tc>
          <w:tcPr>
            <w:tcW w:w="2337" w:type="dxa"/>
            <w:vAlign w:val="center"/>
          </w:tcPr>
          <w:p w14:paraId="3AE9CDE9" w14:textId="77777777" w:rsidR="0030357E" w:rsidRPr="00670188" w:rsidRDefault="0030357E" w:rsidP="001B41BD">
            <w:r w:rsidRPr="00670188">
              <w:t>2013</w:t>
            </w:r>
          </w:p>
        </w:tc>
        <w:tc>
          <w:tcPr>
            <w:tcW w:w="2337" w:type="dxa"/>
            <w:vAlign w:val="center"/>
          </w:tcPr>
          <w:p w14:paraId="368D249C" w14:textId="77777777" w:rsidR="0030357E" w:rsidRPr="00670188" w:rsidRDefault="0030357E" w:rsidP="001B41BD">
            <w:r w:rsidRPr="00670188">
              <w:t>6.8</w:t>
            </w:r>
          </w:p>
        </w:tc>
        <w:tc>
          <w:tcPr>
            <w:tcW w:w="2338" w:type="dxa"/>
            <w:vAlign w:val="bottom"/>
          </w:tcPr>
          <w:p w14:paraId="5FC23AA7" w14:textId="77777777" w:rsidR="0030357E" w:rsidRPr="00670188" w:rsidRDefault="0030357E" w:rsidP="001B41BD">
            <w:r w:rsidRPr="00670188">
              <w:t>5.2</w:t>
            </w:r>
          </w:p>
        </w:tc>
        <w:tc>
          <w:tcPr>
            <w:tcW w:w="2338" w:type="dxa"/>
            <w:vAlign w:val="bottom"/>
          </w:tcPr>
          <w:p w14:paraId="39510B89" w14:textId="77777777" w:rsidR="0030357E" w:rsidRPr="00670188" w:rsidRDefault="0030357E" w:rsidP="001B41BD">
            <w:r w:rsidRPr="00670188">
              <w:t>5.5</w:t>
            </w:r>
          </w:p>
        </w:tc>
      </w:tr>
      <w:tr w:rsidR="0030357E" w14:paraId="25F6A47F" w14:textId="77777777" w:rsidTr="001B41BD">
        <w:tc>
          <w:tcPr>
            <w:tcW w:w="2337" w:type="dxa"/>
            <w:vAlign w:val="center"/>
          </w:tcPr>
          <w:p w14:paraId="7249166C" w14:textId="77777777" w:rsidR="0030357E" w:rsidRPr="00670188" w:rsidRDefault="0030357E" w:rsidP="001B41BD">
            <w:r w:rsidRPr="00670188">
              <w:t>2014</w:t>
            </w:r>
          </w:p>
        </w:tc>
        <w:tc>
          <w:tcPr>
            <w:tcW w:w="2337" w:type="dxa"/>
            <w:vAlign w:val="center"/>
          </w:tcPr>
          <w:p w14:paraId="78EE2BEF" w14:textId="77777777" w:rsidR="0030357E" w:rsidRPr="00670188" w:rsidRDefault="0030357E" w:rsidP="001B41BD">
            <w:r w:rsidRPr="00670188">
              <w:t>7.7</w:t>
            </w:r>
          </w:p>
        </w:tc>
        <w:tc>
          <w:tcPr>
            <w:tcW w:w="2338" w:type="dxa"/>
            <w:vAlign w:val="bottom"/>
          </w:tcPr>
          <w:p w14:paraId="64187605" w14:textId="77777777" w:rsidR="0030357E" w:rsidRPr="00670188" w:rsidRDefault="0030357E" w:rsidP="001B41BD">
            <w:r w:rsidRPr="00670188">
              <w:t>5.1</w:t>
            </w:r>
          </w:p>
        </w:tc>
        <w:tc>
          <w:tcPr>
            <w:tcW w:w="2338" w:type="dxa"/>
            <w:vAlign w:val="bottom"/>
          </w:tcPr>
          <w:p w14:paraId="197483F2" w14:textId="77777777" w:rsidR="0030357E" w:rsidRPr="00670188" w:rsidRDefault="0030357E" w:rsidP="001B41BD">
            <w:r w:rsidRPr="00670188">
              <w:t>5.5</w:t>
            </w:r>
          </w:p>
        </w:tc>
      </w:tr>
      <w:tr w:rsidR="0030357E" w14:paraId="3070C948" w14:textId="77777777" w:rsidTr="001B41BD">
        <w:tc>
          <w:tcPr>
            <w:tcW w:w="2337" w:type="dxa"/>
            <w:vAlign w:val="center"/>
          </w:tcPr>
          <w:p w14:paraId="02115DDA" w14:textId="77777777" w:rsidR="0030357E" w:rsidRPr="00670188" w:rsidRDefault="0030357E" w:rsidP="001B41BD">
            <w:r w:rsidRPr="00670188">
              <w:t>2015</w:t>
            </w:r>
          </w:p>
        </w:tc>
        <w:tc>
          <w:tcPr>
            <w:tcW w:w="2337" w:type="dxa"/>
            <w:vAlign w:val="center"/>
          </w:tcPr>
          <w:p w14:paraId="6F4A3322" w14:textId="77777777" w:rsidR="0030357E" w:rsidRPr="00670188" w:rsidRDefault="0030357E" w:rsidP="001B41BD">
            <w:r w:rsidRPr="00670188">
              <w:t>9.5</w:t>
            </w:r>
          </w:p>
        </w:tc>
        <w:tc>
          <w:tcPr>
            <w:tcW w:w="2338" w:type="dxa"/>
            <w:vAlign w:val="bottom"/>
          </w:tcPr>
          <w:p w14:paraId="0C988F60" w14:textId="77777777" w:rsidR="0030357E" w:rsidRPr="00670188" w:rsidRDefault="0030357E" w:rsidP="001B41BD">
            <w:r w:rsidRPr="00670188">
              <w:t>5.7</w:t>
            </w:r>
          </w:p>
        </w:tc>
        <w:tc>
          <w:tcPr>
            <w:tcW w:w="2338" w:type="dxa"/>
            <w:vAlign w:val="bottom"/>
          </w:tcPr>
          <w:p w14:paraId="53C10F32" w14:textId="77777777" w:rsidR="0030357E" w:rsidRPr="00670188" w:rsidRDefault="0030357E" w:rsidP="001B41BD">
            <w:r w:rsidRPr="00670188">
              <w:t>5.5</w:t>
            </w:r>
          </w:p>
        </w:tc>
      </w:tr>
      <w:tr w:rsidR="0030357E" w14:paraId="455A9E15" w14:textId="77777777" w:rsidTr="001B41BD">
        <w:tc>
          <w:tcPr>
            <w:tcW w:w="2337" w:type="dxa"/>
            <w:vAlign w:val="center"/>
          </w:tcPr>
          <w:p w14:paraId="71E69A02" w14:textId="77777777" w:rsidR="0030357E" w:rsidRPr="00670188" w:rsidRDefault="0030357E" w:rsidP="001B41BD">
            <w:r w:rsidRPr="00670188">
              <w:lastRenderedPageBreak/>
              <w:t>2016</w:t>
            </w:r>
          </w:p>
        </w:tc>
        <w:tc>
          <w:tcPr>
            <w:tcW w:w="2337" w:type="dxa"/>
            <w:vAlign w:val="center"/>
          </w:tcPr>
          <w:p w14:paraId="36AF2A2D" w14:textId="77777777" w:rsidR="0030357E" w:rsidRPr="00670188" w:rsidRDefault="0030357E" w:rsidP="001B41BD">
            <w:r w:rsidRPr="00670188">
              <w:t>9.0</w:t>
            </w:r>
          </w:p>
        </w:tc>
        <w:tc>
          <w:tcPr>
            <w:tcW w:w="2338" w:type="dxa"/>
            <w:vAlign w:val="bottom"/>
          </w:tcPr>
          <w:p w14:paraId="78F1C5F4" w14:textId="77777777" w:rsidR="0030357E" w:rsidRPr="00670188" w:rsidRDefault="0030357E" w:rsidP="001B41BD">
            <w:r w:rsidRPr="00670188">
              <w:t>6.2</w:t>
            </w:r>
          </w:p>
        </w:tc>
        <w:tc>
          <w:tcPr>
            <w:tcW w:w="2338" w:type="dxa"/>
            <w:vAlign w:val="bottom"/>
          </w:tcPr>
          <w:p w14:paraId="6E441806" w14:textId="77777777" w:rsidR="0030357E" w:rsidRPr="00670188" w:rsidRDefault="0030357E" w:rsidP="001B41BD">
            <w:r w:rsidRPr="00670188">
              <w:t>5.5</w:t>
            </w:r>
          </w:p>
        </w:tc>
      </w:tr>
      <w:tr w:rsidR="0030357E" w14:paraId="0C34597B" w14:textId="77777777" w:rsidTr="001B41BD">
        <w:tc>
          <w:tcPr>
            <w:tcW w:w="2337" w:type="dxa"/>
            <w:vAlign w:val="center"/>
          </w:tcPr>
          <w:p w14:paraId="406F67DE" w14:textId="77777777" w:rsidR="0030357E" w:rsidRPr="00670188" w:rsidRDefault="0030357E" w:rsidP="001B41BD">
            <w:r w:rsidRPr="00670188">
              <w:t>2017</w:t>
            </w:r>
          </w:p>
        </w:tc>
        <w:tc>
          <w:tcPr>
            <w:tcW w:w="2337" w:type="dxa"/>
            <w:vAlign w:val="center"/>
          </w:tcPr>
          <w:p w14:paraId="0CF07A21" w14:textId="77777777" w:rsidR="0030357E" w:rsidRPr="00670188" w:rsidRDefault="0030357E" w:rsidP="001B41BD">
            <w:r w:rsidRPr="00670188">
              <w:t>9.3</w:t>
            </w:r>
          </w:p>
        </w:tc>
        <w:tc>
          <w:tcPr>
            <w:tcW w:w="2338" w:type="dxa"/>
            <w:vAlign w:val="bottom"/>
          </w:tcPr>
          <w:p w14:paraId="008A0C99" w14:textId="77777777" w:rsidR="0030357E" w:rsidRPr="00670188" w:rsidRDefault="0030357E" w:rsidP="001B41BD">
            <w:r w:rsidRPr="00670188">
              <w:t>6.2</w:t>
            </w:r>
          </w:p>
        </w:tc>
        <w:tc>
          <w:tcPr>
            <w:tcW w:w="2338" w:type="dxa"/>
            <w:vAlign w:val="bottom"/>
          </w:tcPr>
          <w:p w14:paraId="4B11FD6F" w14:textId="77777777" w:rsidR="0030357E" w:rsidRPr="00670188" w:rsidRDefault="0030357E" w:rsidP="001B41BD">
            <w:r w:rsidRPr="00670188">
              <w:t>5.5</w:t>
            </w:r>
          </w:p>
        </w:tc>
      </w:tr>
      <w:tr w:rsidR="0030357E" w14:paraId="688466F0" w14:textId="77777777" w:rsidTr="001B41BD">
        <w:tc>
          <w:tcPr>
            <w:tcW w:w="2337" w:type="dxa"/>
            <w:vAlign w:val="center"/>
          </w:tcPr>
          <w:p w14:paraId="4F596D91" w14:textId="77777777" w:rsidR="0030357E" w:rsidRPr="00670188" w:rsidRDefault="0030357E" w:rsidP="001B41BD">
            <w:r w:rsidRPr="00670188">
              <w:t>2018</w:t>
            </w:r>
          </w:p>
        </w:tc>
        <w:tc>
          <w:tcPr>
            <w:tcW w:w="2337" w:type="dxa"/>
            <w:vAlign w:val="center"/>
          </w:tcPr>
          <w:p w14:paraId="34CD421F" w14:textId="77777777" w:rsidR="0030357E" w:rsidRPr="00670188" w:rsidRDefault="0030357E" w:rsidP="001B41BD">
            <w:r w:rsidRPr="00670188">
              <w:t>10.2</w:t>
            </w:r>
          </w:p>
        </w:tc>
        <w:tc>
          <w:tcPr>
            <w:tcW w:w="2338" w:type="dxa"/>
            <w:vAlign w:val="bottom"/>
          </w:tcPr>
          <w:p w14:paraId="416E6F10" w14:textId="77777777" w:rsidR="0030357E" w:rsidRPr="00670188" w:rsidRDefault="0030357E" w:rsidP="001B41BD">
            <w:r w:rsidRPr="00670188">
              <w:t>5.9</w:t>
            </w:r>
          </w:p>
        </w:tc>
        <w:tc>
          <w:tcPr>
            <w:tcW w:w="2338" w:type="dxa"/>
            <w:vAlign w:val="bottom"/>
          </w:tcPr>
          <w:p w14:paraId="44A77D72" w14:textId="77777777" w:rsidR="0030357E" w:rsidRPr="00670188" w:rsidRDefault="0030357E" w:rsidP="001B41BD">
            <w:r w:rsidRPr="00670188">
              <w:t>5.5</w:t>
            </w:r>
          </w:p>
        </w:tc>
      </w:tr>
      <w:tr w:rsidR="0030357E" w14:paraId="3C2A9ED8" w14:textId="77777777" w:rsidTr="001B41BD">
        <w:tc>
          <w:tcPr>
            <w:tcW w:w="2337" w:type="dxa"/>
            <w:vAlign w:val="center"/>
          </w:tcPr>
          <w:p w14:paraId="3A6DEDF0" w14:textId="77777777" w:rsidR="0030357E" w:rsidRPr="00670188" w:rsidRDefault="0030357E" w:rsidP="001B41BD">
            <w:r w:rsidRPr="00670188">
              <w:t>2019</w:t>
            </w:r>
          </w:p>
        </w:tc>
        <w:tc>
          <w:tcPr>
            <w:tcW w:w="2337" w:type="dxa"/>
            <w:vAlign w:val="center"/>
          </w:tcPr>
          <w:p w14:paraId="264DE77B" w14:textId="77777777" w:rsidR="0030357E" w:rsidRPr="00670188" w:rsidRDefault="0030357E" w:rsidP="001B41BD">
            <w:r w:rsidRPr="00670188">
              <w:t>11.0</w:t>
            </w:r>
          </w:p>
        </w:tc>
        <w:tc>
          <w:tcPr>
            <w:tcW w:w="2338" w:type="dxa"/>
            <w:vAlign w:val="bottom"/>
          </w:tcPr>
          <w:p w14:paraId="15B6249D" w14:textId="77777777" w:rsidR="0030357E" w:rsidRPr="00670188" w:rsidRDefault="0030357E" w:rsidP="001B41BD">
            <w:r w:rsidRPr="00670188">
              <w:t>6.0</w:t>
            </w:r>
          </w:p>
        </w:tc>
        <w:tc>
          <w:tcPr>
            <w:tcW w:w="2338" w:type="dxa"/>
            <w:vAlign w:val="bottom"/>
          </w:tcPr>
          <w:p w14:paraId="07A76717" w14:textId="77777777" w:rsidR="0030357E" w:rsidRPr="00670188" w:rsidRDefault="0030357E" w:rsidP="001B41BD">
            <w:r w:rsidRPr="00670188">
              <w:t>5.5</w:t>
            </w:r>
          </w:p>
        </w:tc>
      </w:tr>
      <w:tr w:rsidR="0030357E" w14:paraId="3B9955B3" w14:textId="77777777" w:rsidTr="001B41BD">
        <w:tc>
          <w:tcPr>
            <w:tcW w:w="2337" w:type="dxa"/>
            <w:vAlign w:val="center"/>
          </w:tcPr>
          <w:p w14:paraId="4A1C94DE" w14:textId="77777777" w:rsidR="0030357E" w:rsidRPr="00670188" w:rsidRDefault="0030357E" w:rsidP="001B41BD">
            <w:r w:rsidRPr="00670188">
              <w:t>2020</w:t>
            </w:r>
          </w:p>
        </w:tc>
        <w:tc>
          <w:tcPr>
            <w:tcW w:w="2337" w:type="dxa"/>
            <w:vAlign w:val="center"/>
          </w:tcPr>
          <w:p w14:paraId="4587DEAB" w14:textId="77777777" w:rsidR="0030357E" w:rsidRPr="00670188" w:rsidRDefault="0030357E" w:rsidP="001B41BD">
            <w:r w:rsidRPr="00670188">
              <w:t>12.7</w:t>
            </w:r>
          </w:p>
        </w:tc>
        <w:tc>
          <w:tcPr>
            <w:tcW w:w="2338" w:type="dxa"/>
            <w:vAlign w:val="bottom"/>
          </w:tcPr>
          <w:p w14:paraId="08760DAE" w14:textId="77777777" w:rsidR="0030357E" w:rsidRPr="00670188" w:rsidRDefault="0030357E" w:rsidP="001B41BD">
            <w:r w:rsidRPr="00670188">
              <w:t>7.8</w:t>
            </w:r>
          </w:p>
        </w:tc>
        <w:tc>
          <w:tcPr>
            <w:tcW w:w="2338" w:type="dxa"/>
            <w:vAlign w:val="bottom"/>
          </w:tcPr>
          <w:p w14:paraId="33F79198" w14:textId="77777777" w:rsidR="0030357E" w:rsidRPr="00670188" w:rsidRDefault="0030357E" w:rsidP="001B41BD">
            <w:r w:rsidRPr="00670188">
              <w:t>5.5</w:t>
            </w:r>
          </w:p>
        </w:tc>
      </w:tr>
      <w:tr w:rsidR="0030357E" w14:paraId="558CE559" w14:textId="77777777" w:rsidTr="001B41BD">
        <w:tc>
          <w:tcPr>
            <w:tcW w:w="2337" w:type="dxa"/>
            <w:vAlign w:val="center"/>
          </w:tcPr>
          <w:p w14:paraId="047999EF" w14:textId="77777777" w:rsidR="0030357E" w:rsidRPr="00670188" w:rsidRDefault="0030357E" w:rsidP="001B41BD">
            <w:r w:rsidRPr="00670188">
              <w:t>2021</w:t>
            </w:r>
          </w:p>
        </w:tc>
        <w:tc>
          <w:tcPr>
            <w:tcW w:w="2337" w:type="dxa"/>
            <w:vAlign w:val="center"/>
          </w:tcPr>
          <w:p w14:paraId="48131A80" w14:textId="77777777" w:rsidR="0030357E" w:rsidRPr="00670188" w:rsidRDefault="0030357E" w:rsidP="001B41BD">
            <w:r w:rsidRPr="00670188">
              <w:t>13.2</w:t>
            </w:r>
          </w:p>
        </w:tc>
        <w:tc>
          <w:tcPr>
            <w:tcW w:w="2338" w:type="dxa"/>
            <w:vAlign w:val="bottom"/>
          </w:tcPr>
          <w:p w14:paraId="1FEC6E94" w14:textId="77777777" w:rsidR="0030357E" w:rsidRPr="00670188" w:rsidRDefault="0030357E" w:rsidP="001B41BD">
            <w:r w:rsidRPr="00670188">
              <w:t>8.2</w:t>
            </w:r>
          </w:p>
        </w:tc>
        <w:tc>
          <w:tcPr>
            <w:tcW w:w="2338" w:type="dxa"/>
            <w:vAlign w:val="bottom"/>
          </w:tcPr>
          <w:p w14:paraId="4C5AE195" w14:textId="77777777" w:rsidR="0030357E" w:rsidRPr="00670188" w:rsidRDefault="0030357E" w:rsidP="001B41BD">
            <w:r w:rsidRPr="00670188">
              <w:t>5.5</w:t>
            </w:r>
          </w:p>
        </w:tc>
      </w:tr>
    </w:tbl>
    <w:p w14:paraId="19476778" w14:textId="77777777" w:rsidR="0030357E" w:rsidRPr="00670188" w:rsidRDefault="0030357E" w:rsidP="0030357E">
      <w:r w:rsidRPr="00670188">
        <w:t xml:space="preserve">Source: SC DHEC Vital Statistics; CDC NCHS. </w:t>
      </w:r>
    </w:p>
    <w:p w14:paraId="63591BCA" w14:textId="77777777" w:rsidR="0030357E" w:rsidRDefault="0030357E" w:rsidP="0030357E">
      <w:r w:rsidRPr="00670188">
        <w:t>Note: Age-adjusted, population for year 2021 based on single-race estimates and for years prior based on bridge-race estimates.</w:t>
      </w:r>
    </w:p>
    <w:p w14:paraId="79506535" w14:textId="77777777" w:rsidR="0060334A" w:rsidRDefault="0060334A" w:rsidP="0030357E"/>
    <w:p w14:paraId="6C8C133C" w14:textId="77777777" w:rsidR="0030357E" w:rsidRDefault="0030357E" w:rsidP="0030357E">
      <w:pPr>
        <w:pStyle w:val="Heading4"/>
      </w:pPr>
      <w:bookmarkStart w:id="861" w:name="_Toc154576540"/>
      <w:bookmarkStart w:id="862" w:name="_Toc162267583"/>
      <w:r>
        <w:t>Figure 9.58: Homicide Among Adults Aged 18-64, by Race/Ethnicity and Sex.</w:t>
      </w:r>
      <w:bookmarkEnd w:id="861"/>
      <w:bookmarkEnd w:id="862"/>
    </w:p>
    <w:p w14:paraId="54CAD27E" w14:textId="77777777" w:rsidR="0030357E" w:rsidRPr="00670188" w:rsidRDefault="0030357E" w:rsidP="0030357E">
      <w:pPr>
        <w:pStyle w:val="Heading5"/>
      </w:pPr>
      <w:r>
        <w:t>Rate per 100,000 population.</w:t>
      </w:r>
    </w:p>
    <w:tbl>
      <w:tblPr>
        <w:tblStyle w:val="TableGrid"/>
        <w:tblW w:w="0" w:type="auto"/>
        <w:tblLook w:val="04A0" w:firstRow="1" w:lastRow="0" w:firstColumn="1" w:lastColumn="0" w:noHBand="0" w:noVBand="1"/>
      </w:tblPr>
      <w:tblGrid>
        <w:gridCol w:w="4675"/>
        <w:gridCol w:w="4675"/>
      </w:tblGrid>
      <w:tr w:rsidR="0030357E" w14:paraId="116A5285" w14:textId="77777777" w:rsidTr="001B41BD">
        <w:tc>
          <w:tcPr>
            <w:tcW w:w="4675" w:type="dxa"/>
            <w:vAlign w:val="bottom"/>
          </w:tcPr>
          <w:p w14:paraId="03FA029F" w14:textId="77777777" w:rsidR="0030357E" w:rsidRPr="00670188" w:rsidRDefault="0030357E" w:rsidP="001B41BD">
            <w:r>
              <w:t>Race/Ethnicity and Sex</w:t>
            </w:r>
          </w:p>
        </w:tc>
        <w:tc>
          <w:tcPr>
            <w:tcW w:w="4675" w:type="dxa"/>
            <w:vAlign w:val="bottom"/>
          </w:tcPr>
          <w:p w14:paraId="29432EE2" w14:textId="77777777" w:rsidR="0030357E" w:rsidRPr="00670188" w:rsidRDefault="0030357E" w:rsidP="001B41BD">
            <w:r w:rsidRPr="00670188">
              <w:t>Rate</w:t>
            </w:r>
          </w:p>
        </w:tc>
      </w:tr>
      <w:tr w:rsidR="0030357E" w14:paraId="05ADFF19" w14:textId="77777777" w:rsidTr="001B41BD">
        <w:tc>
          <w:tcPr>
            <w:tcW w:w="4675" w:type="dxa"/>
            <w:vAlign w:val="bottom"/>
          </w:tcPr>
          <w:p w14:paraId="36EC778F" w14:textId="77777777" w:rsidR="0030357E" w:rsidRPr="00670188" w:rsidRDefault="0030357E" w:rsidP="001B41BD">
            <w:r w:rsidRPr="00670188">
              <w:t>Non-Hispanic White Male</w:t>
            </w:r>
          </w:p>
        </w:tc>
        <w:tc>
          <w:tcPr>
            <w:tcW w:w="4675" w:type="dxa"/>
            <w:vAlign w:val="bottom"/>
          </w:tcPr>
          <w:p w14:paraId="28B3681E" w14:textId="77777777" w:rsidR="0030357E" w:rsidRPr="00670188" w:rsidRDefault="0030357E" w:rsidP="001B41BD">
            <w:r w:rsidRPr="00670188">
              <w:t>9.3</w:t>
            </w:r>
          </w:p>
        </w:tc>
      </w:tr>
      <w:tr w:rsidR="0030357E" w14:paraId="0B15DC41" w14:textId="77777777" w:rsidTr="001B41BD">
        <w:tc>
          <w:tcPr>
            <w:tcW w:w="4675" w:type="dxa"/>
            <w:vAlign w:val="bottom"/>
          </w:tcPr>
          <w:p w14:paraId="7F201E65" w14:textId="77777777" w:rsidR="0030357E" w:rsidRPr="00670188" w:rsidRDefault="0030357E" w:rsidP="001B41BD">
            <w:r w:rsidRPr="00670188">
              <w:t>Non-Hispanic Black Male</w:t>
            </w:r>
          </w:p>
        </w:tc>
        <w:tc>
          <w:tcPr>
            <w:tcW w:w="4675" w:type="dxa"/>
            <w:vAlign w:val="bottom"/>
          </w:tcPr>
          <w:p w14:paraId="0E3B115D" w14:textId="77777777" w:rsidR="0030357E" w:rsidRPr="00670188" w:rsidRDefault="0030357E" w:rsidP="001B41BD">
            <w:r w:rsidRPr="00670188">
              <w:t>71.9</w:t>
            </w:r>
          </w:p>
        </w:tc>
      </w:tr>
      <w:tr w:rsidR="0030357E" w14:paraId="7339C559" w14:textId="77777777" w:rsidTr="001B41BD">
        <w:tc>
          <w:tcPr>
            <w:tcW w:w="4675" w:type="dxa"/>
            <w:vAlign w:val="bottom"/>
          </w:tcPr>
          <w:p w14:paraId="60AF5751" w14:textId="77777777" w:rsidR="0030357E" w:rsidRPr="00670188" w:rsidRDefault="0030357E" w:rsidP="001B41BD">
            <w:r w:rsidRPr="00670188">
              <w:t>Non-Hispanic White Female</w:t>
            </w:r>
          </w:p>
        </w:tc>
        <w:tc>
          <w:tcPr>
            <w:tcW w:w="4675" w:type="dxa"/>
            <w:vAlign w:val="bottom"/>
          </w:tcPr>
          <w:p w14:paraId="41B5B6FC" w14:textId="77777777" w:rsidR="0030357E" w:rsidRPr="00670188" w:rsidRDefault="0030357E" w:rsidP="001B41BD">
            <w:r w:rsidRPr="00670188">
              <w:t>3.4</w:t>
            </w:r>
          </w:p>
        </w:tc>
      </w:tr>
      <w:tr w:rsidR="0030357E" w14:paraId="7DF4C75E" w14:textId="77777777" w:rsidTr="001B41BD">
        <w:tc>
          <w:tcPr>
            <w:tcW w:w="4675" w:type="dxa"/>
            <w:vAlign w:val="bottom"/>
          </w:tcPr>
          <w:p w14:paraId="0A54E571" w14:textId="77777777" w:rsidR="0030357E" w:rsidRPr="00670188" w:rsidRDefault="0030357E" w:rsidP="001B41BD">
            <w:r w:rsidRPr="00670188">
              <w:t>Non-Hispanic Black Female</w:t>
            </w:r>
          </w:p>
        </w:tc>
        <w:tc>
          <w:tcPr>
            <w:tcW w:w="4675" w:type="dxa"/>
            <w:vAlign w:val="bottom"/>
          </w:tcPr>
          <w:p w14:paraId="75F2C822" w14:textId="77777777" w:rsidR="0030357E" w:rsidRPr="00670188" w:rsidRDefault="0030357E" w:rsidP="001B41BD">
            <w:r w:rsidRPr="00670188">
              <w:t>8.8</w:t>
            </w:r>
          </w:p>
        </w:tc>
      </w:tr>
    </w:tbl>
    <w:p w14:paraId="32916D7E" w14:textId="77777777" w:rsidR="0030357E" w:rsidRPr="00670188" w:rsidRDefault="0030357E" w:rsidP="0030357E">
      <w:r w:rsidRPr="00670188">
        <w:t xml:space="preserve">Source: SC DHEC Vital Statistics, 2017- 2021. </w:t>
      </w:r>
    </w:p>
    <w:p w14:paraId="1022367F" w14:textId="77777777" w:rsidR="0030357E" w:rsidRDefault="0030357E" w:rsidP="0030357E">
      <w:r w:rsidRPr="00670188">
        <w:t>Note: Population for year 2021 based on single-race estimates and for years prior based on bridge-race estimates.</w:t>
      </w:r>
    </w:p>
    <w:p w14:paraId="2C9FC36C" w14:textId="77777777" w:rsidR="0030357E" w:rsidRDefault="0030357E" w:rsidP="0030357E">
      <w:pPr>
        <w:pStyle w:val="Heading4"/>
      </w:pPr>
      <w:bookmarkStart w:id="863" w:name="_Toc154576541"/>
    </w:p>
    <w:p w14:paraId="0B9150B3" w14:textId="5DDAC40B" w:rsidR="0030357E" w:rsidRDefault="0030357E" w:rsidP="0030357E">
      <w:pPr>
        <w:pStyle w:val="Heading4"/>
      </w:pPr>
      <w:bookmarkStart w:id="864" w:name="_Toc162267584"/>
      <w:r>
        <w:t>Figure 9.59: Homicide, by Age Group.</w:t>
      </w:r>
      <w:bookmarkEnd w:id="863"/>
      <w:bookmarkEnd w:id="864"/>
    </w:p>
    <w:p w14:paraId="60D19D18" w14:textId="77777777" w:rsidR="0030357E" w:rsidRPr="00670188" w:rsidRDefault="0030357E" w:rsidP="0030357E">
      <w:pPr>
        <w:pStyle w:val="Heading5"/>
      </w:pPr>
      <w:r>
        <w:t>Rate per 100,000 population.</w:t>
      </w:r>
    </w:p>
    <w:tbl>
      <w:tblPr>
        <w:tblStyle w:val="TableGrid"/>
        <w:tblW w:w="0" w:type="auto"/>
        <w:tblLook w:val="04A0" w:firstRow="1" w:lastRow="0" w:firstColumn="1" w:lastColumn="0" w:noHBand="0" w:noVBand="1"/>
      </w:tblPr>
      <w:tblGrid>
        <w:gridCol w:w="3116"/>
        <w:gridCol w:w="3117"/>
        <w:gridCol w:w="3117"/>
      </w:tblGrid>
      <w:tr w:rsidR="0030357E" w14:paraId="6EE81D7C" w14:textId="77777777" w:rsidTr="001B41BD">
        <w:tc>
          <w:tcPr>
            <w:tcW w:w="3116" w:type="dxa"/>
            <w:vAlign w:val="bottom"/>
          </w:tcPr>
          <w:p w14:paraId="64849927" w14:textId="77777777" w:rsidR="0030357E" w:rsidRPr="00670188" w:rsidRDefault="0030357E" w:rsidP="001B41BD">
            <w:r>
              <w:t>Age Group</w:t>
            </w:r>
          </w:p>
        </w:tc>
        <w:tc>
          <w:tcPr>
            <w:tcW w:w="3117" w:type="dxa"/>
            <w:vAlign w:val="bottom"/>
          </w:tcPr>
          <w:p w14:paraId="4DF45B89" w14:textId="77777777" w:rsidR="0030357E" w:rsidRPr="00670188" w:rsidRDefault="0030357E" w:rsidP="001B41BD">
            <w:r w:rsidRPr="00670188">
              <w:t>South Carolina</w:t>
            </w:r>
          </w:p>
        </w:tc>
        <w:tc>
          <w:tcPr>
            <w:tcW w:w="3117" w:type="dxa"/>
            <w:vAlign w:val="bottom"/>
          </w:tcPr>
          <w:p w14:paraId="326885F7" w14:textId="77777777" w:rsidR="0030357E" w:rsidRPr="00670188" w:rsidRDefault="0030357E" w:rsidP="001B41BD">
            <w:r w:rsidRPr="00670188">
              <w:t>United States</w:t>
            </w:r>
          </w:p>
        </w:tc>
      </w:tr>
      <w:tr w:rsidR="0030357E" w14:paraId="7A9F41C2" w14:textId="77777777" w:rsidTr="001B41BD">
        <w:tc>
          <w:tcPr>
            <w:tcW w:w="3116" w:type="dxa"/>
            <w:vAlign w:val="bottom"/>
          </w:tcPr>
          <w:p w14:paraId="59C00632" w14:textId="77777777" w:rsidR="0030357E" w:rsidRPr="00670188" w:rsidRDefault="0030357E" w:rsidP="001B41BD">
            <w:r w:rsidRPr="00670188">
              <w:t>&lt; 10</w:t>
            </w:r>
          </w:p>
        </w:tc>
        <w:tc>
          <w:tcPr>
            <w:tcW w:w="3117" w:type="dxa"/>
            <w:vAlign w:val="bottom"/>
          </w:tcPr>
          <w:p w14:paraId="36BA9870" w14:textId="77777777" w:rsidR="0030357E" w:rsidRPr="00670188" w:rsidRDefault="0030357E" w:rsidP="001B41BD">
            <w:r w:rsidRPr="00670188">
              <w:t>3.4</w:t>
            </w:r>
          </w:p>
        </w:tc>
        <w:tc>
          <w:tcPr>
            <w:tcW w:w="3117" w:type="dxa"/>
            <w:vAlign w:val="bottom"/>
          </w:tcPr>
          <w:p w14:paraId="2F76C639" w14:textId="77777777" w:rsidR="0030357E" w:rsidRPr="00670188" w:rsidRDefault="0030357E" w:rsidP="001B41BD">
            <w:r w:rsidRPr="00670188">
              <w:t>1.9</w:t>
            </w:r>
          </w:p>
        </w:tc>
      </w:tr>
      <w:tr w:rsidR="0030357E" w14:paraId="41609457" w14:textId="77777777" w:rsidTr="001B41BD">
        <w:tc>
          <w:tcPr>
            <w:tcW w:w="3116" w:type="dxa"/>
            <w:vAlign w:val="bottom"/>
          </w:tcPr>
          <w:p w14:paraId="4AAAB380" w14:textId="77777777" w:rsidR="0030357E" w:rsidRPr="00670188" w:rsidRDefault="0030357E" w:rsidP="001B41BD">
            <w:r w:rsidRPr="00670188">
              <w:t>10 - 17</w:t>
            </w:r>
          </w:p>
        </w:tc>
        <w:tc>
          <w:tcPr>
            <w:tcW w:w="3117" w:type="dxa"/>
            <w:vAlign w:val="bottom"/>
          </w:tcPr>
          <w:p w14:paraId="11B5114A" w14:textId="77777777" w:rsidR="0030357E" w:rsidRPr="00670188" w:rsidRDefault="0030357E" w:rsidP="001B41BD">
            <w:r w:rsidRPr="00670188">
              <w:t>5.2</w:t>
            </w:r>
          </w:p>
        </w:tc>
        <w:tc>
          <w:tcPr>
            <w:tcW w:w="3117" w:type="dxa"/>
            <w:vAlign w:val="bottom"/>
          </w:tcPr>
          <w:p w14:paraId="6A650AEA" w14:textId="77777777" w:rsidR="0030357E" w:rsidRPr="00670188" w:rsidRDefault="0030357E" w:rsidP="001B41BD">
            <w:r w:rsidRPr="00670188">
              <w:t>3.3</w:t>
            </w:r>
          </w:p>
        </w:tc>
      </w:tr>
      <w:tr w:rsidR="0030357E" w14:paraId="4F46BBC2" w14:textId="77777777" w:rsidTr="001B41BD">
        <w:tc>
          <w:tcPr>
            <w:tcW w:w="3116" w:type="dxa"/>
            <w:vAlign w:val="bottom"/>
          </w:tcPr>
          <w:p w14:paraId="3127A593" w14:textId="77777777" w:rsidR="0030357E" w:rsidRPr="00670188" w:rsidRDefault="0030357E" w:rsidP="001B41BD">
            <w:r w:rsidRPr="00670188">
              <w:t>18 - 24</w:t>
            </w:r>
          </w:p>
        </w:tc>
        <w:tc>
          <w:tcPr>
            <w:tcW w:w="3117" w:type="dxa"/>
            <w:vAlign w:val="bottom"/>
          </w:tcPr>
          <w:p w14:paraId="5907B551" w14:textId="77777777" w:rsidR="0030357E" w:rsidRPr="00670188" w:rsidRDefault="0030357E" w:rsidP="001B41BD">
            <w:r w:rsidRPr="00670188">
              <w:t>26.5</w:t>
            </w:r>
          </w:p>
        </w:tc>
        <w:tc>
          <w:tcPr>
            <w:tcW w:w="3117" w:type="dxa"/>
            <w:vAlign w:val="bottom"/>
          </w:tcPr>
          <w:p w14:paraId="17C3D81E" w14:textId="77777777" w:rsidR="0030357E" w:rsidRPr="00670188" w:rsidRDefault="0030357E" w:rsidP="001B41BD">
            <w:r w:rsidRPr="00670188">
              <w:t>15.2</w:t>
            </w:r>
          </w:p>
        </w:tc>
      </w:tr>
      <w:tr w:rsidR="0030357E" w14:paraId="455534AE" w14:textId="77777777" w:rsidTr="001B41BD">
        <w:tc>
          <w:tcPr>
            <w:tcW w:w="3116" w:type="dxa"/>
            <w:vAlign w:val="bottom"/>
          </w:tcPr>
          <w:p w14:paraId="679DD88B" w14:textId="77777777" w:rsidR="0030357E" w:rsidRPr="00670188" w:rsidRDefault="0030357E" w:rsidP="001B41BD">
            <w:r w:rsidRPr="00670188">
              <w:t>25 - 34</w:t>
            </w:r>
          </w:p>
        </w:tc>
        <w:tc>
          <w:tcPr>
            <w:tcW w:w="3117" w:type="dxa"/>
            <w:vAlign w:val="bottom"/>
          </w:tcPr>
          <w:p w14:paraId="2D8928E2" w14:textId="77777777" w:rsidR="0030357E" w:rsidRPr="00670188" w:rsidRDefault="0030357E" w:rsidP="001B41BD">
            <w:r w:rsidRPr="00670188">
              <w:t>24.0</w:t>
            </w:r>
          </w:p>
        </w:tc>
        <w:tc>
          <w:tcPr>
            <w:tcW w:w="3117" w:type="dxa"/>
            <w:vAlign w:val="bottom"/>
          </w:tcPr>
          <w:p w14:paraId="01F23E85" w14:textId="77777777" w:rsidR="0030357E" w:rsidRPr="00670188" w:rsidRDefault="0030357E" w:rsidP="001B41BD">
            <w:r w:rsidRPr="00670188">
              <w:t>13.5</w:t>
            </w:r>
          </w:p>
        </w:tc>
      </w:tr>
      <w:tr w:rsidR="0030357E" w14:paraId="173E2855" w14:textId="77777777" w:rsidTr="001B41BD">
        <w:tc>
          <w:tcPr>
            <w:tcW w:w="3116" w:type="dxa"/>
            <w:vAlign w:val="bottom"/>
          </w:tcPr>
          <w:p w14:paraId="70D2D22C" w14:textId="77777777" w:rsidR="0030357E" w:rsidRPr="00670188" w:rsidRDefault="0030357E" w:rsidP="001B41BD">
            <w:r w:rsidRPr="00670188">
              <w:t>35 - 44</w:t>
            </w:r>
          </w:p>
        </w:tc>
        <w:tc>
          <w:tcPr>
            <w:tcW w:w="3117" w:type="dxa"/>
            <w:vAlign w:val="bottom"/>
          </w:tcPr>
          <w:p w14:paraId="62D5E675" w14:textId="77777777" w:rsidR="0030357E" w:rsidRPr="00670188" w:rsidRDefault="0030357E" w:rsidP="001B41BD">
            <w:r w:rsidRPr="00670188">
              <w:t>14.3</w:t>
            </w:r>
          </w:p>
        </w:tc>
        <w:tc>
          <w:tcPr>
            <w:tcW w:w="3117" w:type="dxa"/>
            <w:vAlign w:val="bottom"/>
          </w:tcPr>
          <w:p w14:paraId="42F6F5BD" w14:textId="77777777" w:rsidR="0030357E" w:rsidRPr="00670188" w:rsidRDefault="0030357E" w:rsidP="001B41BD">
            <w:r w:rsidRPr="00670188">
              <w:t>9.3</w:t>
            </w:r>
          </w:p>
        </w:tc>
      </w:tr>
      <w:tr w:rsidR="0030357E" w14:paraId="450BE7BD" w14:textId="77777777" w:rsidTr="001B41BD">
        <w:tc>
          <w:tcPr>
            <w:tcW w:w="3116" w:type="dxa"/>
            <w:vAlign w:val="bottom"/>
          </w:tcPr>
          <w:p w14:paraId="469E0218" w14:textId="77777777" w:rsidR="0030357E" w:rsidRPr="00670188" w:rsidRDefault="0030357E" w:rsidP="001B41BD">
            <w:r w:rsidRPr="00670188">
              <w:t>45 - 54</w:t>
            </w:r>
          </w:p>
        </w:tc>
        <w:tc>
          <w:tcPr>
            <w:tcW w:w="3117" w:type="dxa"/>
            <w:vAlign w:val="bottom"/>
          </w:tcPr>
          <w:p w14:paraId="36C33BEB" w14:textId="77777777" w:rsidR="0030357E" w:rsidRPr="00670188" w:rsidRDefault="0030357E" w:rsidP="001B41BD">
            <w:r w:rsidRPr="00670188">
              <w:t>8.9</w:t>
            </w:r>
          </w:p>
        </w:tc>
        <w:tc>
          <w:tcPr>
            <w:tcW w:w="3117" w:type="dxa"/>
            <w:vAlign w:val="bottom"/>
          </w:tcPr>
          <w:p w14:paraId="7ADE811B" w14:textId="77777777" w:rsidR="0030357E" w:rsidRPr="00670188" w:rsidRDefault="0030357E" w:rsidP="001B41BD">
            <w:r w:rsidRPr="00670188">
              <w:t>5.7</w:t>
            </w:r>
          </w:p>
        </w:tc>
      </w:tr>
      <w:tr w:rsidR="0030357E" w14:paraId="42FF71F3" w14:textId="77777777" w:rsidTr="001B41BD">
        <w:tc>
          <w:tcPr>
            <w:tcW w:w="3116" w:type="dxa"/>
            <w:vAlign w:val="bottom"/>
          </w:tcPr>
          <w:p w14:paraId="74C60BF5" w14:textId="77777777" w:rsidR="0030357E" w:rsidRPr="00670188" w:rsidRDefault="0030357E" w:rsidP="001B41BD">
            <w:r w:rsidRPr="00670188">
              <w:t>55 - 64</w:t>
            </w:r>
          </w:p>
        </w:tc>
        <w:tc>
          <w:tcPr>
            <w:tcW w:w="3117" w:type="dxa"/>
            <w:vAlign w:val="bottom"/>
          </w:tcPr>
          <w:p w14:paraId="6CC5AF16" w14:textId="77777777" w:rsidR="0030357E" w:rsidRPr="00670188" w:rsidRDefault="0030357E" w:rsidP="001B41BD">
            <w:r w:rsidRPr="00670188">
              <w:t>5.7</w:t>
            </w:r>
          </w:p>
        </w:tc>
        <w:tc>
          <w:tcPr>
            <w:tcW w:w="3117" w:type="dxa"/>
            <w:vAlign w:val="bottom"/>
          </w:tcPr>
          <w:p w14:paraId="76DACD35" w14:textId="77777777" w:rsidR="0030357E" w:rsidRPr="00670188" w:rsidRDefault="0030357E" w:rsidP="001B41BD">
            <w:r w:rsidRPr="00670188">
              <w:t>3.9</w:t>
            </w:r>
          </w:p>
        </w:tc>
      </w:tr>
      <w:tr w:rsidR="0030357E" w14:paraId="31EFBC52" w14:textId="77777777" w:rsidTr="001B41BD">
        <w:tc>
          <w:tcPr>
            <w:tcW w:w="3116" w:type="dxa"/>
            <w:vAlign w:val="bottom"/>
          </w:tcPr>
          <w:p w14:paraId="5CC34F51" w14:textId="77777777" w:rsidR="0030357E" w:rsidRPr="00670188" w:rsidRDefault="0030357E" w:rsidP="001B41BD">
            <w:r w:rsidRPr="00670188">
              <w:t>65 +</w:t>
            </w:r>
          </w:p>
        </w:tc>
        <w:tc>
          <w:tcPr>
            <w:tcW w:w="3117" w:type="dxa"/>
            <w:vAlign w:val="bottom"/>
          </w:tcPr>
          <w:p w14:paraId="4BC6C0AC" w14:textId="77777777" w:rsidR="0030357E" w:rsidRPr="00670188" w:rsidRDefault="0030357E" w:rsidP="001B41BD">
            <w:r w:rsidRPr="00670188">
              <w:t>3.0</w:t>
            </w:r>
          </w:p>
        </w:tc>
        <w:tc>
          <w:tcPr>
            <w:tcW w:w="3117" w:type="dxa"/>
            <w:vAlign w:val="bottom"/>
          </w:tcPr>
          <w:p w14:paraId="22DA760E" w14:textId="77777777" w:rsidR="0030357E" w:rsidRPr="00670188" w:rsidRDefault="0030357E" w:rsidP="001B41BD">
            <w:r w:rsidRPr="00670188">
              <w:t>2.1</w:t>
            </w:r>
          </w:p>
        </w:tc>
      </w:tr>
    </w:tbl>
    <w:p w14:paraId="55186955" w14:textId="77777777" w:rsidR="0030357E" w:rsidRPr="00670188" w:rsidRDefault="0030357E" w:rsidP="0030357E">
      <w:r w:rsidRPr="00670188">
        <w:t xml:space="preserve">Source: SC DHEC Vital Statistics, 2017- 2021; CDC NCHS, 2017-2021. </w:t>
      </w:r>
    </w:p>
    <w:p w14:paraId="248DD007" w14:textId="77777777" w:rsidR="0030357E" w:rsidRDefault="0030357E" w:rsidP="0030357E">
      <w:r w:rsidRPr="00670188">
        <w:t>Note: Population for year 2021 based on single-race estimates and for years prior based on bridge-race estimates.</w:t>
      </w:r>
    </w:p>
    <w:p w14:paraId="5DCF79EE" w14:textId="77777777" w:rsidR="0030357E" w:rsidRDefault="0030357E" w:rsidP="0030357E">
      <w:pPr>
        <w:pStyle w:val="Heading4"/>
      </w:pPr>
    </w:p>
    <w:p w14:paraId="3ED4969C" w14:textId="670249A0" w:rsidR="0030357E" w:rsidRPr="0030357E" w:rsidRDefault="0030357E" w:rsidP="0030357E">
      <w:pPr>
        <w:pStyle w:val="Heading4"/>
      </w:pPr>
      <w:bookmarkStart w:id="865" w:name="_Toc162267585"/>
      <w:r w:rsidRPr="0030357E">
        <w:t>Data Interpretations:</w:t>
      </w:r>
      <w:bookmarkEnd w:id="865"/>
      <w:r w:rsidRPr="0030357E">
        <w:t xml:space="preserve"> </w:t>
      </w:r>
    </w:p>
    <w:p w14:paraId="7329EBBF" w14:textId="6A685011" w:rsidR="0030357E" w:rsidRDefault="0030357E" w:rsidP="0030357E">
      <w:r w:rsidRPr="0030357E">
        <w:t>From 2019-2021 Dillion County had the highest homicide rate in SC (53.2 deaths per 100,000 population) while Pickens County had the lowest homicide rate (</w:t>
      </w:r>
      <w:proofErr w:type="gramStart"/>
      <w:r w:rsidRPr="0030357E">
        <w:t>4.5)(</w:t>
      </w:r>
      <w:proofErr w:type="gramEnd"/>
      <w:r w:rsidRPr="0030357E">
        <w:rPr>
          <w:b/>
          <w:bCs/>
        </w:rPr>
        <w:t>Figure 9.56</w:t>
      </w:r>
      <w:r w:rsidRPr="0030357E">
        <w:t>). The rate of homicide in SC has increased over 60%, going from a rate of 8.2 deaths per 100,000 population in 2012 to 13.2 deaths per 100,000 population in 2021 (</w:t>
      </w:r>
      <w:r w:rsidRPr="0030357E">
        <w:rPr>
          <w:b/>
          <w:bCs/>
        </w:rPr>
        <w:t>Figure 9.57</w:t>
      </w:r>
      <w:r w:rsidRPr="0030357E">
        <w:t>). SC’s homicide rate in 2021 was higher than the US rate of 8.2 deaths per 100,000 population (</w:t>
      </w:r>
      <w:r w:rsidRPr="0030357E">
        <w:rPr>
          <w:b/>
          <w:bCs/>
        </w:rPr>
        <w:t>Figure 9.57</w:t>
      </w:r>
      <w:r w:rsidRPr="0030357E">
        <w:t>). Among SC adults aged 18-64, the rate of homicides in 2021 was 18.6 deaths per 100,000 population. As of 2021, SC has not reached the Healthy People 2030 goal to reduce the rate of homicides to 5.5 deaths per 100,000 population (</w:t>
      </w:r>
      <w:r w:rsidRPr="0030357E">
        <w:rPr>
          <w:b/>
          <w:bCs/>
        </w:rPr>
        <w:t>Figure 9.57</w:t>
      </w:r>
      <w:r w:rsidRPr="0030357E">
        <w:t>).</w:t>
      </w:r>
    </w:p>
    <w:p w14:paraId="5BB38642" w14:textId="77777777" w:rsidR="0030357E" w:rsidRPr="0030357E" w:rsidRDefault="0030357E" w:rsidP="0030357E"/>
    <w:p w14:paraId="2A45E830" w14:textId="77777777" w:rsidR="0030357E" w:rsidRDefault="0030357E" w:rsidP="0030357E">
      <w:r w:rsidRPr="0030357E">
        <w:t>Non-Hispanic Black males in SC are disproportionately affected by homicide compared to other sexes and races/ethnicities. From 2017-2021 among people aged 18 to 64, SC non-Hispanic Black males had a homicide rate of 71.9 deaths per 100,000 population, which was over seven times higher than the homicide rate in non-Hispanic White males (9.3 deaths per 100,000 population) (</w:t>
      </w:r>
      <w:r w:rsidRPr="0030357E">
        <w:rPr>
          <w:b/>
          <w:bCs/>
        </w:rPr>
        <w:t>Figure 9.58</w:t>
      </w:r>
      <w:r w:rsidRPr="0030357E">
        <w:t xml:space="preserve">). Both non-Hispanic Black females (8.8 deaths per 100,000 population) and non-Hispanic White females (3.4 deaths per 100,000 population) in SC had much lower rates of homicide. Data from the SC Violent Death Reporting System (SCVDRS) from 2016-2019 shows that among adults 18-64 with known circumstances, female homicides were more likely due to intimate partner violence (57.7% of female homicides), whereas male homicides were more likely due to an argument (40.0% of male homicides). </w:t>
      </w:r>
    </w:p>
    <w:p w14:paraId="57B23356" w14:textId="77777777" w:rsidR="0030357E" w:rsidRPr="0030357E" w:rsidRDefault="0030357E" w:rsidP="0030357E"/>
    <w:p w14:paraId="56E93F32" w14:textId="77777777" w:rsidR="0030357E" w:rsidRPr="0030357E" w:rsidRDefault="0030357E" w:rsidP="0030357E">
      <w:r w:rsidRPr="0030357E">
        <w:t>When comparing rates of homicide by age group, SC had higher rates of homicide than the US across all age groups (</w:t>
      </w:r>
      <w:r w:rsidRPr="0030357E">
        <w:rPr>
          <w:b/>
          <w:bCs/>
        </w:rPr>
        <w:t>Figure 9.59</w:t>
      </w:r>
      <w:r w:rsidRPr="0030357E">
        <w:t>). In SC, the age groups with the highest homicide rates from 2017-2021 were 18-24 (26.5 deaths per 100,000 population) and 25-34 (24.0 deaths per 100,000 population) (</w:t>
      </w:r>
      <w:r w:rsidRPr="0030357E">
        <w:rPr>
          <w:b/>
          <w:bCs/>
        </w:rPr>
        <w:t>Figure 9.59</w:t>
      </w:r>
      <w:r w:rsidRPr="0030357E">
        <w:t>). These rates are almost double the US homicide rates for the same age groups (</w:t>
      </w:r>
      <w:r w:rsidRPr="0030357E">
        <w:rPr>
          <w:b/>
          <w:bCs/>
        </w:rPr>
        <w:t>Figure 9.59</w:t>
      </w:r>
      <w:r w:rsidRPr="0030357E">
        <w:t>). The age groups with the lowest homicide rates from 2017-2021 were 65 and older (3.0 deaths per 100,000 population) and &lt;10 (3.4 deaths per 100,000 population) (</w:t>
      </w:r>
      <w:r w:rsidRPr="0030357E">
        <w:rPr>
          <w:b/>
          <w:bCs/>
        </w:rPr>
        <w:t>Figure 9.59</w:t>
      </w:r>
      <w:r w:rsidRPr="0030357E">
        <w:t xml:space="preserve">). </w:t>
      </w:r>
    </w:p>
    <w:p w14:paraId="229D3700" w14:textId="77777777" w:rsidR="0030357E" w:rsidRPr="0030357E" w:rsidRDefault="0030357E" w:rsidP="00474B85"/>
    <w:p w14:paraId="4248DB0C" w14:textId="35DA851A" w:rsidR="0030357E" w:rsidRPr="0030357E" w:rsidRDefault="0030357E" w:rsidP="0030357E">
      <w:pPr>
        <w:pStyle w:val="Heading5"/>
      </w:pPr>
      <w:r w:rsidRPr="0030357E">
        <w:lastRenderedPageBreak/>
        <w:t>Key Takeaways:</w:t>
      </w:r>
    </w:p>
    <w:p w14:paraId="2D870675" w14:textId="0818CF85" w:rsidR="0030357E" w:rsidRPr="00474B85" w:rsidRDefault="0030357E" w:rsidP="00926EB3">
      <w:pPr>
        <w:pStyle w:val="ListParagraph"/>
        <w:numPr>
          <w:ilvl w:val="0"/>
          <w:numId w:val="228"/>
        </w:numPr>
      </w:pPr>
      <w:r w:rsidRPr="0030357E">
        <w:t>For many groups, SC has higher homicide rates when compared to national averages. Non-Hispanic Black males are disproportionately affected by homicide in SC.</w:t>
      </w:r>
    </w:p>
    <w:p w14:paraId="7D19ED0A" w14:textId="77777777" w:rsidR="00474B85" w:rsidRDefault="00474B85" w:rsidP="00474B85"/>
    <w:p w14:paraId="66A7A13A" w14:textId="7846B604" w:rsidR="00474B85" w:rsidRPr="00474B85" w:rsidRDefault="00474B85" w:rsidP="00474B85">
      <w:pPr>
        <w:pStyle w:val="Heading4"/>
        <w:rPr>
          <w:rFonts w:asciiTheme="minorHAnsi" w:hAnsiTheme="minorHAnsi" w:cstheme="minorHAnsi"/>
          <w:color w:val="000000" w:themeColor="text1"/>
        </w:rPr>
      </w:pPr>
      <w:bookmarkStart w:id="866" w:name="_Toc162267586"/>
      <w:r w:rsidRPr="00474B85">
        <w:rPr>
          <w:rFonts w:asciiTheme="minorHAnsi" w:hAnsiTheme="minorHAnsi" w:cstheme="minorHAnsi"/>
          <w:color w:val="000000" w:themeColor="text1"/>
        </w:rPr>
        <w:t>References 9.2</w:t>
      </w:r>
      <w:r>
        <w:rPr>
          <w:rFonts w:asciiTheme="minorHAnsi" w:hAnsiTheme="minorHAnsi" w:cstheme="minorHAnsi"/>
          <w:color w:val="000000" w:themeColor="text1"/>
        </w:rPr>
        <w:t>3</w:t>
      </w:r>
      <w:bookmarkEnd w:id="866"/>
      <w:r w:rsidRPr="00474B85">
        <w:rPr>
          <w:rFonts w:asciiTheme="minorHAnsi" w:hAnsiTheme="minorHAnsi" w:cstheme="minorHAnsi"/>
          <w:color w:val="000000" w:themeColor="text1"/>
        </w:rPr>
        <w:t xml:space="preserve"> </w:t>
      </w:r>
    </w:p>
    <w:p w14:paraId="47E10D01" w14:textId="77777777" w:rsidR="00474B85" w:rsidRPr="00474B85" w:rsidRDefault="00474B85" w:rsidP="00474B85">
      <w:r w:rsidRPr="00474B85">
        <w:t>Statistics in the preceding section were referenced from the following reports:</w:t>
      </w:r>
    </w:p>
    <w:p w14:paraId="7CBC00BD" w14:textId="58B09F20" w:rsidR="00FA4A1D" w:rsidRPr="00FA4A1D" w:rsidRDefault="00000000" w:rsidP="00926EB3">
      <w:pPr>
        <w:pStyle w:val="ListParagraph"/>
        <w:numPr>
          <w:ilvl w:val="0"/>
          <w:numId w:val="192"/>
        </w:numPr>
        <w:tabs>
          <w:tab w:val="left" w:pos="810"/>
          <w:tab w:val="left" w:pos="900"/>
          <w:tab w:val="left" w:pos="1260"/>
        </w:tabs>
        <w:rPr>
          <w:u w:val="thick"/>
        </w:rPr>
      </w:pPr>
      <w:hyperlink r:id="rId399" w:history="1">
        <w:r w:rsidR="00FA4A1D" w:rsidRPr="00FA4A1D">
          <w:rPr>
            <w:rStyle w:val="Hyperlink"/>
          </w:rPr>
          <w:t>“The record increase in homicide during 2020” by the Centers for Disease Control and Prevention, 2021. Retrieved December 1, 2022.</w:t>
        </w:r>
      </w:hyperlink>
      <w:r w:rsidR="00FA4A1D" w:rsidRPr="00FA4A1D">
        <w:t xml:space="preserve"> </w:t>
      </w:r>
    </w:p>
    <w:p w14:paraId="53755A6E" w14:textId="11BC6863" w:rsidR="00FA4A1D" w:rsidRPr="00FA4A1D" w:rsidRDefault="00000000" w:rsidP="00926EB3">
      <w:pPr>
        <w:pStyle w:val="ListParagraph"/>
        <w:numPr>
          <w:ilvl w:val="0"/>
          <w:numId w:val="192"/>
        </w:numPr>
        <w:tabs>
          <w:tab w:val="left" w:pos="810"/>
          <w:tab w:val="left" w:pos="900"/>
          <w:tab w:val="left" w:pos="1260"/>
        </w:tabs>
        <w:rPr>
          <w:u w:val="thick"/>
        </w:rPr>
      </w:pPr>
      <w:hyperlink r:id="rId400" w:history="1">
        <w:r w:rsidR="00FA4A1D" w:rsidRPr="00FA4A1D">
          <w:rPr>
            <w:rStyle w:val="Hyperlink"/>
          </w:rPr>
          <w:t>“Community violence prevention” by the Centers for Disease Control and Prevention, 2022. Retrieved December 1, 2022.</w:t>
        </w:r>
      </w:hyperlink>
      <w:r w:rsidR="00FA4A1D" w:rsidRPr="00FA4A1D">
        <w:t xml:space="preserve"> </w:t>
      </w:r>
    </w:p>
    <w:p w14:paraId="692E18F4" w14:textId="77777777" w:rsidR="0030357E" w:rsidRDefault="0030357E" w:rsidP="00474B85"/>
    <w:p w14:paraId="59D0F6A9" w14:textId="77777777" w:rsidR="0030357E" w:rsidRPr="0030357E" w:rsidRDefault="0030357E" w:rsidP="0030357E">
      <w:pPr>
        <w:pStyle w:val="Heading3"/>
      </w:pPr>
      <w:bookmarkStart w:id="867" w:name="_Toc162267587"/>
      <w:r w:rsidRPr="0030357E">
        <w:t>Suicide</w:t>
      </w:r>
      <w:bookmarkEnd w:id="867"/>
    </w:p>
    <w:p w14:paraId="4E214C4E" w14:textId="5E03083C" w:rsidR="0030357E" w:rsidRPr="0030357E" w:rsidRDefault="0030357E" w:rsidP="0030357E">
      <w:r w:rsidRPr="0030357E">
        <w:t>Suicide is a serious public health problem that has lasting harmful effects on individuals, families, and communities. In 2021, suicide was among the top nine leading causes of death for ages 10-64. In 2021, there were 597 adults aged 18-64 who died by suicide in SC, and over 48,000 people nationally.</w:t>
      </w:r>
    </w:p>
    <w:p w14:paraId="78F0E061" w14:textId="3C220426" w:rsidR="0030357E" w:rsidRDefault="0030357E" w:rsidP="0030357E">
      <w:pPr>
        <w:rPr>
          <w:b/>
          <w:bCs/>
        </w:rPr>
      </w:pPr>
      <w:r w:rsidRPr="0030357E">
        <w:t xml:space="preserve">Suicide is defined as a death caused by someone injuring themselves with the intent to end their life. A suicide attempt is when someone harms themselves with any intent to end their life, but they do not die </w:t>
      </w:r>
      <w:proofErr w:type="gramStart"/>
      <w:r w:rsidRPr="0030357E">
        <w:t>as a result of</w:t>
      </w:r>
      <w:proofErr w:type="gramEnd"/>
      <w:r w:rsidRPr="0030357E">
        <w:t xml:space="preserve"> their actions.</w:t>
      </w:r>
      <w:r>
        <w:rPr>
          <w:b/>
          <w:bCs/>
        </w:rPr>
        <w:t xml:space="preserve"> </w:t>
      </w:r>
      <w:r w:rsidRPr="0030357E">
        <w:t>There are many risks and protective factors for suicide. People who have experienced other injuries and violence, such as child abuse, bullying, or sexual violence have a higher risk of dying by suicide. Family and community support as well as access to health care have been shown to decrease suicidal thoughts and behaviors.</w:t>
      </w:r>
    </w:p>
    <w:p w14:paraId="73A6F4CC" w14:textId="77777777" w:rsidR="0030357E" w:rsidRDefault="0030357E" w:rsidP="0030357E">
      <w:pPr>
        <w:rPr>
          <w:b/>
          <w:bCs/>
        </w:rPr>
      </w:pPr>
    </w:p>
    <w:p w14:paraId="3A7D3B29" w14:textId="77777777" w:rsidR="0030357E" w:rsidRPr="00670188" w:rsidRDefault="0030357E" w:rsidP="0030357E">
      <w:pPr>
        <w:pStyle w:val="Heading4"/>
      </w:pPr>
      <w:bookmarkStart w:id="868" w:name="_Toc154576542"/>
      <w:bookmarkStart w:id="869" w:name="_Toc162267588"/>
      <w:r w:rsidRPr="00670188">
        <w:t>Figure 9.</w:t>
      </w:r>
      <w:r>
        <w:t>60</w:t>
      </w:r>
      <w:r w:rsidRPr="00670188">
        <w:t xml:space="preserve">: </w:t>
      </w:r>
      <w:r>
        <w:t>Suicide Deaths</w:t>
      </w:r>
      <w:r w:rsidRPr="00670188">
        <w:t>, by County.</w:t>
      </w:r>
      <w:bookmarkEnd w:id="868"/>
      <w:bookmarkEnd w:id="869"/>
    </w:p>
    <w:p w14:paraId="71536DBB" w14:textId="77777777" w:rsidR="0030357E" w:rsidRPr="00670188" w:rsidRDefault="0030357E" w:rsidP="0030357E">
      <w:pPr>
        <w:pStyle w:val="Heading5"/>
      </w:pPr>
      <w:r>
        <w:t>Rate per 100,000 population.</w:t>
      </w:r>
    </w:p>
    <w:tbl>
      <w:tblPr>
        <w:tblStyle w:val="TableGrid"/>
        <w:tblW w:w="0" w:type="auto"/>
        <w:tblLook w:val="04A0" w:firstRow="1" w:lastRow="0" w:firstColumn="1" w:lastColumn="0" w:noHBand="0" w:noVBand="1"/>
      </w:tblPr>
      <w:tblGrid>
        <w:gridCol w:w="4675"/>
        <w:gridCol w:w="4675"/>
      </w:tblGrid>
      <w:tr w:rsidR="0030357E" w14:paraId="7C7D4045" w14:textId="77777777" w:rsidTr="001B41BD">
        <w:tc>
          <w:tcPr>
            <w:tcW w:w="4675" w:type="dxa"/>
            <w:vAlign w:val="bottom"/>
          </w:tcPr>
          <w:p w14:paraId="28A596F8" w14:textId="77777777" w:rsidR="0030357E" w:rsidRPr="00670188" w:rsidRDefault="0030357E" w:rsidP="001B41BD">
            <w:r w:rsidRPr="00670188">
              <w:t>County</w:t>
            </w:r>
          </w:p>
        </w:tc>
        <w:tc>
          <w:tcPr>
            <w:tcW w:w="4675" w:type="dxa"/>
            <w:vAlign w:val="bottom"/>
          </w:tcPr>
          <w:p w14:paraId="739D817B" w14:textId="77777777" w:rsidR="0030357E" w:rsidRPr="00670188" w:rsidRDefault="0030357E" w:rsidP="001B41BD">
            <w:r>
              <w:t>Rate</w:t>
            </w:r>
          </w:p>
        </w:tc>
      </w:tr>
      <w:tr w:rsidR="0030357E" w14:paraId="58D05F8D" w14:textId="77777777" w:rsidTr="001B41BD">
        <w:tc>
          <w:tcPr>
            <w:tcW w:w="4675" w:type="dxa"/>
            <w:vAlign w:val="bottom"/>
          </w:tcPr>
          <w:p w14:paraId="6C17892E" w14:textId="77777777" w:rsidR="0030357E" w:rsidRPr="00670188" w:rsidRDefault="0030357E" w:rsidP="001B41BD">
            <w:r w:rsidRPr="00670188">
              <w:t>Abbeville</w:t>
            </w:r>
          </w:p>
        </w:tc>
        <w:tc>
          <w:tcPr>
            <w:tcW w:w="4675" w:type="dxa"/>
            <w:vAlign w:val="bottom"/>
          </w:tcPr>
          <w:p w14:paraId="5DF69C20" w14:textId="77777777" w:rsidR="0030357E" w:rsidRPr="00670188" w:rsidRDefault="0030357E" w:rsidP="001B41BD">
            <w:r>
              <w:t>20.0</w:t>
            </w:r>
          </w:p>
        </w:tc>
      </w:tr>
      <w:tr w:rsidR="0030357E" w14:paraId="7703B10B" w14:textId="77777777" w:rsidTr="001B41BD">
        <w:tc>
          <w:tcPr>
            <w:tcW w:w="4675" w:type="dxa"/>
            <w:vAlign w:val="bottom"/>
          </w:tcPr>
          <w:p w14:paraId="4CEE7B97" w14:textId="77777777" w:rsidR="0030357E" w:rsidRPr="00670188" w:rsidRDefault="0030357E" w:rsidP="001B41BD">
            <w:r w:rsidRPr="00670188">
              <w:t>Aiken</w:t>
            </w:r>
          </w:p>
        </w:tc>
        <w:tc>
          <w:tcPr>
            <w:tcW w:w="4675" w:type="dxa"/>
            <w:vAlign w:val="bottom"/>
          </w:tcPr>
          <w:p w14:paraId="740821C0" w14:textId="77777777" w:rsidR="0030357E" w:rsidRPr="00670188" w:rsidRDefault="0030357E" w:rsidP="001B41BD">
            <w:r>
              <w:t>20.6</w:t>
            </w:r>
          </w:p>
        </w:tc>
      </w:tr>
      <w:tr w:rsidR="0030357E" w14:paraId="246EA9C7" w14:textId="77777777" w:rsidTr="001B41BD">
        <w:tc>
          <w:tcPr>
            <w:tcW w:w="4675" w:type="dxa"/>
            <w:vAlign w:val="bottom"/>
          </w:tcPr>
          <w:p w14:paraId="63ABDB38" w14:textId="77777777" w:rsidR="0030357E" w:rsidRPr="00670188" w:rsidRDefault="0030357E" w:rsidP="001B41BD">
            <w:r w:rsidRPr="00670188">
              <w:t>Allendale</w:t>
            </w:r>
          </w:p>
        </w:tc>
        <w:tc>
          <w:tcPr>
            <w:tcW w:w="4675" w:type="dxa"/>
            <w:vAlign w:val="bottom"/>
          </w:tcPr>
          <w:p w14:paraId="5305E6A8" w14:textId="77777777" w:rsidR="0030357E" w:rsidRPr="00670188" w:rsidRDefault="0030357E" w:rsidP="001B41BD">
            <w:r>
              <w:t>*</w:t>
            </w:r>
          </w:p>
        </w:tc>
      </w:tr>
      <w:tr w:rsidR="0030357E" w14:paraId="309CC487" w14:textId="77777777" w:rsidTr="001B41BD">
        <w:tc>
          <w:tcPr>
            <w:tcW w:w="4675" w:type="dxa"/>
            <w:vAlign w:val="bottom"/>
          </w:tcPr>
          <w:p w14:paraId="4473FC9A" w14:textId="77777777" w:rsidR="0030357E" w:rsidRPr="00670188" w:rsidRDefault="0030357E" w:rsidP="001B41BD">
            <w:r w:rsidRPr="00670188">
              <w:t>Anderson</w:t>
            </w:r>
          </w:p>
        </w:tc>
        <w:tc>
          <w:tcPr>
            <w:tcW w:w="4675" w:type="dxa"/>
            <w:vAlign w:val="bottom"/>
          </w:tcPr>
          <w:p w14:paraId="30AE7A76" w14:textId="77777777" w:rsidR="0030357E" w:rsidRPr="00670188" w:rsidRDefault="0030357E" w:rsidP="001B41BD">
            <w:r>
              <w:t>20.7</w:t>
            </w:r>
          </w:p>
        </w:tc>
      </w:tr>
      <w:tr w:rsidR="0030357E" w14:paraId="430D2D1E" w14:textId="77777777" w:rsidTr="001B41BD">
        <w:tc>
          <w:tcPr>
            <w:tcW w:w="4675" w:type="dxa"/>
            <w:vAlign w:val="bottom"/>
          </w:tcPr>
          <w:p w14:paraId="092C49B6" w14:textId="77777777" w:rsidR="0030357E" w:rsidRPr="00670188" w:rsidRDefault="0030357E" w:rsidP="001B41BD">
            <w:r w:rsidRPr="00670188">
              <w:t>Bamberg</w:t>
            </w:r>
          </w:p>
        </w:tc>
        <w:tc>
          <w:tcPr>
            <w:tcW w:w="4675" w:type="dxa"/>
            <w:vAlign w:val="bottom"/>
          </w:tcPr>
          <w:p w14:paraId="0314765B" w14:textId="77777777" w:rsidR="0030357E" w:rsidRPr="00670188" w:rsidRDefault="0030357E" w:rsidP="001B41BD">
            <w:r>
              <w:t>10.2</w:t>
            </w:r>
          </w:p>
        </w:tc>
      </w:tr>
      <w:tr w:rsidR="0030357E" w14:paraId="6C54BE92" w14:textId="77777777" w:rsidTr="001B41BD">
        <w:tc>
          <w:tcPr>
            <w:tcW w:w="4675" w:type="dxa"/>
            <w:vAlign w:val="bottom"/>
          </w:tcPr>
          <w:p w14:paraId="6B88AA3F" w14:textId="77777777" w:rsidR="0030357E" w:rsidRPr="00670188" w:rsidRDefault="0030357E" w:rsidP="001B41BD">
            <w:r w:rsidRPr="00670188">
              <w:t>Barnwell</w:t>
            </w:r>
          </w:p>
        </w:tc>
        <w:tc>
          <w:tcPr>
            <w:tcW w:w="4675" w:type="dxa"/>
            <w:vAlign w:val="bottom"/>
          </w:tcPr>
          <w:p w14:paraId="74F81544" w14:textId="77777777" w:rsidR="0030357E" w:rsidRPr="00670188" w:rsidRDefault="0030357E" w:rsidP="001B41BD">
            <w:r>
              <w:t>11.8</w:t>
            </w:r>
          </w:p>
        </w:tc>
      </w:tr>
      <w:tr w:rsidR="0030357E" w14:paraId="356B0A94" w14:textId="77777777" w:rsidTr="001B41BD">
        <w:tc>
          <w:tcPr>
            <w:tcW w:w="4675" w:type="dxa"/>
            <w:vAlign w:val="bottom"/>
          </w:tcPr>
          <w:p w14:paraId="0A1FE466" w14:textId="77777777" w:rsidR="0030357E" w:rsidRPr="00670188" w:rsidRDefault="0030357E" w:rsidP="001B41BD">
            <w:r w:rsidRPr="00670188">
              <w:t>Beaufort</w:t>
            </w:r>
          </w:p>
        </w:tc>
        <w:tc>
          <w:tcPr>
            <w:tcW w:w="4675" w:type="dxa"/>
            <w:vAlign w:val="bottom"/>
          </w:tcPr>
          <w:p w14:paraId="0489CC30" w14:textId="77777777" w:rsidR="0030357E" w:rsidRPr="00670188" w:rsidRDefault="0030357E" w:rsidP="001B41BD">
            <w:r>
              <w:t>13.5</w:t>
            </w:r>
          </w:p>
        </w:tc>
      </w:tr>
      <w:tr w:rsidR="0030357E" w14:paraId="5C4D7A53" w14:textId="77777777" w:rsidTr="001B41BD">
        <w:tc>
          <w:tcPr>
            <w:tcW w:w="4675" w:type="dxa"/>
            <w:vAlign w:val="bottom"/>
          </w:tcPr>
          <w:p w14:paraId="6681B1FF" w14:textId="77777777" w:rsidR="0030357E" w:rsidRPr="00670188" w:rsidRDefault="0030357E" w:rsidP="001B41BD">
            <w:r w:rsidRPr="00670188">
              <w:lastRenderedPageBreak/>
              <w:t>Berkeley</w:t>
            </w:r>
          </w:p>
        </w:tc>
        <w:tc>
          <w:tcPr>
            <w:tcW w:w="4675" w:type="dxa"/>
            <w:vAlign w:val="bottom"/>
          </w:tcPr>
          <w:p w14:paraId="18966280" w14:textId="77777777" w:rsidR="0030357E" w:rsidRPr="00670188" w:rsidRDefault="0030357E" w:rsidP="001B41BD">
            <w:r>
              <w:t>15.2</w:t>
            </w:r>
          </w:p>
        </w:tc>
      </w:tr>
      <w:tr w:rsidR="0030357E" w14:paraId="4B0B1306" w14:textId="77777777" w:rsidTr="001B41BD">
        <w:tc>
          <w:tcPr>
            <w:tcW w:w="4675" w:type="dxa"/>
            <w:vAlign w:val="bottom"/>
          </w:tcPr>
          <w:p w14:paraId="235ABA57" w14:textId="77777777" w:rsidR="0030357E" w:rsidRPr="00670188" w:rsidRDefault="0030357E" w:rsidP="001B41BD">
            <w:r w:rsidRPr="00670188">
              <w:t>Calhoun</w:t>
            </w:r>
          </w:p>
        </w:tc>
        <w:tc>
          <w:tcPr>
            <w:tcW w:w="4675" w:type="dxa"/>
            <w:vAlign w:val="bottom"/>
          </w:tcPr>
          <w:p w14:paraId="6AAB5C91" w14:textId="77777777" w:rsidR="0030357E" w:rsidRPr="00670188" w:rsidRDefault="0030357E" w:rsidP="001B41BD">
            <w:r>
              <w:t>23.8</w:t>
            </w:r>
          </w:p>
        </w:tc>
      </w:tr>
      <w:tr w:rsidR="0030357E" w14:paraId="3138C044" w14:textId="77777777" w:rsidTr="001B41BD">
        <w:tc>
          <w:tcPr>
            <w:tcW w:w="4675" w:type="dxa"/>
            <w:vAlign w:val="bottom"/>
          </w:tcPr>
          <w:p w14:paraId="02E599AF" w14:textId="77777777" w:rsidR="0030357E" w:rsidRPr="00670188" w:rsidRDefault="0030357E" w:rsidP="001B41BD">
            <w:r w:rsidRPr="00670188">
              <w:t>Charleston</w:t>
            </w:r>
          </w:p>
        </w:tc>
        <w:tc>
          <w:tcPr>
            <w:tcW w:w="4675" w:type="dxa"/>
            <w:vAlign w:val="bottom"/>
          </w:tcPr>
          <w:p w14:paraId="3D459382" w14:textId="77777777" w:rsidR="0030357E" w:rsidRPr="00670188" w:rsidRDefault="0030357E" w:rsidP="001B41BD">
            <w:r>
              <w:t>15.8</w:t>
            </w:r>
          </w:p>
        </w:tc>
      </w:tr>
      <w:tr w:rsidR="0030357E" w14:paraId="645BB7B8" w14:textId="77777777" w:rsidTr="001B41BD">
        <w:tc>
          <w:tcPr>
            <w:tcW w:w="4675" w:type="dxa"/>
            <w:vAlign w:val="bottom"/>
          </w:tcPr>
          <w:p w14:paraId="6934B99B" w14:textId="77777777" w:rsidR="0030357E" w:rsidRPr="00670188" w:rsidRDefault="0030357E" w:rsidP="001B41BD">
            <w:r w:rsidRPr="00670188">
              <w:t>Cherokee</w:t>
            </w:r>
          </w:p>
        </w:tc>
        <w:tc>
          <w:tcPr>
            <w:tcW w:w="4675" w:type="dxa"/>
            <w:vAlign w:val="bottom"/>
          </w:tcPr>
          <w:p w14:paraId="26C16566" w14:textId="77777777" w:rsidR="0030357E" w:rsidRPr="00670188" w:rsidRDefault="0030357E" w:rsidP="001B41BD">
            <w:r>
              <w:t>21.3</w:t>
            </w:r>
          </w:p>
        </w:tc>
      </w:tr>
      <w:tr w:rsidR="0030357E" w14:paraId="132C7AD6" w14:textId="77777777" w:rsidTr="001B41BD">
        <w:tc>
          <w:tcPr>
            <w:tcW w:w="4675" w:type="dxa"/>
            <w:vAlign w:val="bottom"/>
          </w:tcPr>
          <w:p w14:paraId="2DA3FA7E" w14:textId="77777777" w:rsidR="0030357E" w:rsidRPr="00670188" w:rsidRDefault="0030357E" w:rsidP="001B41BD">
            <w:r w:rsidRPr="00670188">
              <w:t>Chester</w:t>
            </w:r>
          </w:p>
        </w:tc>
        <w:tc>
          <w:tcPr>
            <w:tcW w:w="4675" w:type="dxa"/>
            <w:vAlign w:val="bottom"/>
          </w:tcPr>
          <w:p w14:paraId="06CD75CA" w14:textId="77777777" w:rsidR="0030357E" w:rsidRPr="00670188" w:rsidRDefault="0030357E" w:rsidP="001B41BD">
            <w:r>
              <w:t>24.3</w:t>
            </w:r>
          </w:p>
        </w:tc>
      </w:tr>
      <w:tr w:rsidR="0030357E" w14:paraId="60738F88" w14:textId="77777777" w:rsidTr="001B41BD">
        <w:tc>
          <w:tcPr>
            <w:tcW w:w="4675" w:type="dxa"/>
            <w:vAlign w:val="bottom"/>
          </w:tcPr>
          <w:p w14:paraId="2C711CEA" w14:textId="77777777" w:rsidR="0030357E" w:rsidRPr="00670188" w:rsidRDefault="0030357E" w:rsidP="001B41BD">
            <w:r w:rsidRPr="00670188">
              <w:t>Chesterfield</w:t>
            </w:r>
          </w:p>
        </w:tc>
        <w:tc>
          <w:tcPr>
            <w:tcW w:w="4675" w:type="dxa"/>
            <w:vAlign w:val="bottom"/>
          </w:tcPr>
          <w:p w14:paraId="0A6F0731" w14:textId="77777777" w:rsidR="0030357E" w:rsidRPr="00670188" w:rsidRDefault="0030357E" w:rsidP="001B41BD">
            <w:r>
              <w:t>19.2</w:t>
            </w:r>
          </w:p>
        </w:tc>
      </w:tr>
      <w:tr w:rsidR="0030357E" w14:paraId="0D8770BE" w14:textId="77777777" w:rsidTr="001B41BD">
        <w:tc>
          <w:tcPr>
            <w:tcW w:w="4675" w:type="dxa"/>
            <w:vAlign w:val="bottom"/>
          </w:tcPr>
          <w:p w14:paraId="4C563F1B" w14:textId="77777777" w:rsidR="0030357E" w:rsidRPr="00670188" w:rsidRDefault="0030357E" w:rsidP="001B41BD">
            <w:r w:rsidRPr="00670188">
              <w:t>Clarendon</w:t>
            </w:r>
          </w:p>
        </w:tc>
        <w:tc>
          <w:tcPr>
            <w:tcW w:w="4675" w:type="dxa"/>
            <w:vAlign w:val="bottom"/>
          </w:tcPr>
          <w:p w14:paraId="23BFBB76" w14:textId="77777777" w:rsidR="0030357E" w:rsidRPr="00670188" w:rsidRDefault="0030357E" w:rsidP="001B41BD">
            <w:r>
              <w:t>21.3</w:t>
            </w:r>
          </w:p>
        </w:tc>
      </w:tr>
      <w:tr w:rsidR="0030357E" w14:paraId="62CDD747" w14:textId="77777777" w:rsidTr="001B41BD">
        <w:tc>
          <w:tcPr>
            <w:tcW w:w="4675" w:type="dxa"/>
            <w:vAlign w:val="bottom"/>
          </w:tcPr>
          <w:p w14:paraId="1FFCD875" w14:textId="77777777" w:rsidR="0030357E" w:rsidRPr="00670188" w:rsidRDefault="0030357E" w:rsidP="001B41BD">
            <w:r w:rsidRPr="00670188">
              <w:t>Colleton</w:t>
            </w:r>
          </w:p>
        </w:tc>
        <w:tc>
          <w:tcPr>
            <w:tcW w:w="4675" w:type="dxa"/>
            <w:vAlign w:val="bottom"/>
          </w:tcPr>
          <w:p w14:paraId="4208B328" w14:textId="77777777" w:rsidR="0030357E" w:rsidRPr="00670188" w:rsidRDefault="0030357E" w:rsidP="001B41BD">
            <w:r>
              <w:t>16.0</w:t>
            </w:r>
          </w:p>
        </w:tc>
      </w:tr>
      <w:tr w:rsidR="0030357E" w14:paraId="45CFFA8F" w14:textId="77777777" w:rsidTr="001B41BD">
        <w:tc>
          <w:tcPr>
            <w:tcW w:w="4675" w:type="dxa"/>
            <w:vAlign w:val="bottom"/>
          </w:tcPr>
          <w:p w14:paraId="0DC89F27" w14:textId="77777777" w:rsidR="0030357E" w:rsidRPr="00670188" w:rsidRDefault="0030357E" w:rsidP="001B41BD">
            <w:r w:rsidRPr="00670188">
              <w:t>Darlington</w:t>
            </w:r>
          </w:p>
        </w:tc>
        <w:tc>
          <w:tcPr>
            <w:tcW w:w="4675" w:type="dxa"/>
            <w:vAlign w:val="bottom"/>
          </w:tcPr>
          <w:p w14:paraId="648E6545" w14:textId="77777777" w:rsidR="0030357E" w:rsidRPr="00670188" w:rsidRDefault="0030357E" w:rsidP="001B41BD">
            <w:r>
              <w:t>17.3</w:t>
            </w:r>
          </w:p>
        </w:tc>
      </w:tr>
      <w:tr w:rsidR="0030357E" w14:paraId="6B04F7D7" w14:textId="77777777" w:rsidTr="001B41BD">
        <w:tc>
          <w:tcPr>
            <w:tcW w:w="4675" w:type="dxa"/>
            <w:vAlign w:val="bottom"/>
          </w:tcPr>
          <w:p w14:paraId="56CC0867" w14:textId="77777777" w:rsidR="0030357E" w:rsidRPr="00670188" w:rsidRDefault="0030357E" w:rsidP="001B41BD">
            <w:r w:rsidRPr="00670188">
              <w:t>Dillon</w:t>
            </w:r>
          </w:p>
        </w:tc>
        <w:tc>
          <w:tcPr>
            <w:tcW w:w="4675" w:type="dxa"/>
            <w:vAlign w:val="bottom"/>
          </w:tcPr>
          <w:p w14:paraId="6C6B4A0E" w14:textId="77777777" w:rsidR="0030357E" w:rsidRPr="00670188" w:rsidRDefault="0030357E" w:rsidP="001B41BD">
            <w:r>
              <w:t>8.2</w:t>
            </w:r>
          </w:p>
        </w:tc>
      </w:tr>
      <w:tr w:rsidR="0030357E" w14:paraId="3E28D47B" w14:textId="77777777" w:rsidTr="001B41BD">
        <w:tc>
          <w:tcPr>
            <w:tcW w:w="4675" w:type="dxa"/>
            <w:vAlign w:val="bottom"/>
          </w:tcPr>
          <w:p w14:paraId="38A4DD94" w14:textId="77777777" w:rsidR="0030357E" w:rsidRPr="00670188" w:rsidRDefault="0030357E" w:rsidP="001B41BD">
            <w:r w:rsidRPr="00670188">
              <w:t>Dorchester</w:t>
            </w:r>
          </w:p>
        </w:tc>
        <w:tc>
          <w:tcPr>
            <w:tcW w:w="4675" w:type="dxa"/>
            <w:vAlign w:val="bottom"/>
          </w:tcPr>
          <w:p w14:paraId="27D554F4" w14:textId="77777777" w:rsidR="0030357E" w:rsidRPr="00670188" w:rsidRDefault="0030357E" w:rsidP="001B41BD">
            <w:r>
              <w:t>15.9</w:t>
            </w:r>
          </w:p>
        </w:tc>
      </w:tr>
      <w:tr w:rsidR="0030357E" w14:paraId="623A45A4" w14:textId="77777777" w:rsidTr="001B41BD">
        <w:tc>
          <w:tcPr>
            <w:tcW w:w="4675" w:type="dxa"/>
            <w:vAlign w:val="bottom"/>
          </w:tcPr>
          <w:p w14:paraId="3F6C433B" w14:textId="77777777" w:rsidR="0030357E" w:rsidRPr="00670188" w:rsidRDefault="0030357E" w:rsidP="001B41BD">
            <w:r w:rsidRPr="00670188">
              <w:t>Edgefield</w:t>
            </w:r>
          </w:p>
        </w:tc>
        <w:tc>
          <w:tcPr>
            <w:tcW w:w="4675" w:type="dxa"/>
            <w:vAlign w:val="bottom"/>
          </w:tcPr>
          <w:p w14:paraId="375C1264" w14:textId="77777777" w:rsidR="0030357E" w:rsidRPr="00670188" w:rsidRDefault="0030357E" w:rsidP="001B41BD">
            <w:r>
              <w:t>18.2</w:t>
            </w:r>
          </w:p>
        </w:tc>
      </w:tr>
      <w:tr w:rsidR="0030357E" w14:paraId="145CCCBD" w14:textId="77777777" w:rsidTr="001B41BD">
        <w:tc>
          <w:tcPr>
            <w:tcW w:w="4675" w:type="dxa"/>
            <w:vAlign w:val="bottom"/>
          </w:tcPr>
          <w:p w14:paraId="708E9112" w14:textId="77777777" w:rsidR="0030357E" w:rsidRPr="00670188" w:rsidRDefault="0030357E" w:rsidP="001B41BD">
            <w:r w:rsidRPr="00670188">
              <w:t>Fairfield</w:t>
            </w:r>
          </w:p>
        </w:tc>
        <w:tc>
          <w:tcPr>
            <w:tcW w:w="4675" w:type="dxa"/>
            <w:vAlign w:val="bottom"/>
          </w:tcPr>
          <w:p w14:paraId="28606058" w14:textId="77777777" w:rsidR="0030357E" w:rsidRPr="00670188" w:rsidRDefault="0030357E" w:rsidP="001B41BD">
            <w:r>
              <w:t>12.1</w:t>
            </w:r>
          </w:p>
        </w:tc>
      </w:tr>
      <w:tr w:rsidR="0030357E" w14:paraId="3C9AF5F8" w14:textId="77777777" w:rsidTr="001B41BD">
        <w:tc>
          <w:tcPr>
            <w:tcW w:w="4675" w:type="dxa"/>
            <w:vAlign w:val="bottom"/>
          </w:tcPr>
          <w:p w14:paraId="47272E0D" w14:textId="77777777" w:rsidR="0030357E" w:rsidRPr="00670188" w:rsidRDefault="0030357E" w:rsidP="001B41BD">
            <w:r w:rsidRPr="00670188">
              <w:t>Florence</w:t>
            </w:r>
          </w:p>
        </w:tc>
        <w:tc>
          <w:tcPr>
            <w:tcW w:w="4675" w:type="dxa"/>
            <w:vAlign w:val="bottom"/>
          </w:tcPr>
          <w:p w14:paraId="451E75D3" w14:textId="77777777" w:rsidR="0030357E" w:rsidRPr="00670188" w:rsidRDefault="0030357E" w:rsidP="001B41BD">
            <w:r>
              <w:t>11.8</w:t>
            </w:r>
          </w:p>
        </w:tc>
      </w:tr>
      <w:tr w:rsidR="0030357E" w14:paraId="07F5D189" w14:textId="77777777" w:rsidTr="001B41BD">
        <w:tc>
          <w:tcPr>
            <w:tcW w:w="4675" w:type="dxa"/>
            <w:vAlign w:val="bottom"/>
          </w:tcPr>
          <w:p w14:paraId="1FDB0E87" w14:textId="77777777" w:rsidR="0030357E" w:rsidRPr="00670188" w:rsidRDefault="0030357E" w:rsidP="001B41BD">
            <w:r w:rsidRPr="00670188">
              <w:t>Georgetown</w:t>
            </w:r>
          </w:p>
        </w:tc>
        <w:tc>
          <w:tcPr>
            <w:tcW w:w="4675" w:type="dxa"/>
            <w:vAlign w:val="bottom"/>
          </w:tcPr>
          <w:p w14:paraId="31C905F2" w14:textId="77777777" w:rsidR="0030357E" w:rsidRPr="00670188" w:rsidRDefault="0030357E" w:rsidP="001B41BD">
            <w:r>
              <w:t>16.1</w:t>
            </w:r>
          </w:p>
        </w:tc>
      </w:tr>
      <w:tr w:rsidR="0030357E" w14:paraId="6F527E5D" w14:textId="77777777" w:rsidTr="001B41BD">
        <w:tc>
          <w:tcPr>
            <w:tcW w:w="4675" w:type="dxa"/>
            <w:vAlign w:val="bottom"/>
          </w:tcPr>
          <w:p w14:paraId="7C742638" w14:textId="77777777" w:rsidR="0030357E" w:rsidRPr="00670188" w:rsidRDefault="0030357E" w:rsidP="001B41BD">
            <w:r w:rsidRPr="00670188">
              <w:t>Greenville</w:t>
            </w:r>
          </w:p>
        </w:tc>
        <w:tc>
          <w:tcPr>
            <w:tcW w:w="4675" w:type="dxa"/>
            <w:vAlign w:val="bottom"/>
          </w:tcPr>
          <w:p w14:paraId="0EEB2E0E" w14:textId="77777777" w:rsidR="0030357E" w:rsidRPr="00670188" w:rsidRDefault="0030357E" w:rsidP="001B41BD">
            <w:r>
              <w:t>16.0</w:t>
            </w:r>
          </w:p>
        </w:tc>
      </w:tr>
      <w:tr w:rsidR="0030357E" w14:paraId="1CC8BD0F" w14:textId="77777777" w:rsidTr="001B41BD">
        <w:tc>
          <w:tcPr>
            <w:tcW w:w="4675" w:type="dxa"/>
            <w:vAlign w:val="bottom"/>
          </w:tcPr>
          <w:p w14:paraId="4AC6A73A" w14:textId="77777777" w:rsidR="0030357E" w:rsidRPr="00670188" w:rsidRDefault="0030357E" w:rsidP="001B41BD">
            <w:r w:rsidRPr="00670188">
              <w:t>Greenwood</w:t>
            </w:r>
          </w:p>
        </w:tc>
        <w:tc>
          <w:tcPr>
            <w:tcW w:w="4675" w:type="dxa"/>
            <w:vAlign w:val="bottom"/>
          </w:tcPr>
          <w:p w14:paraId="420A360F" w14:textId="77777777" w:rsidR="0030357E" w:rsidRPr="00670188" w:rsidRDefault="0030357E" w:rsidP="001B41BD">
            <w:r>
              <w:t>17.7</w:t>
            </w:r>
          </w:p>
        </w:tc>
      </w:tr>
      <w:tr w:rsidR="0030357E" w14:paraId="3D3CBFA9" w14:textId="77777777" w:rsidTr="001B41BD">
        <w:tc>
          <w:tcPr>
            <w:tcW w:w="4675" w:type="dxa"/>
            <w:vAlign w:val="bottom"/>
          </w:tcPr>
          <w:p w14:paraId="5C09B998" w14:textId="77777777" w:rsidR="0030357E" w:rsidRPr="00670188" w:rsidRDefault="0030357E" w:rsidP="001B41BD">
            <w:r w:rsidRPr="00670188">
              <w:t>Hampton</w:t>
            </w:r>
          </w:p>
        </w:tc>
        <w:tc>
          <w:tcPr>
            <w:tcW w:w="4675" w:type="dxa"/>
            <w:vAlign w:val="bottom"/>
          </w:tcPr>
          <w:p w14:paraId="7C21F18E" w14:textId="77777777" w:rsidR="0030357E" w:rsidRPr="00670188" w:rsidRDefault="0030357E" w:rsidP="001B41BD">
            <w:r>
              <w:t>8.7</w:t>
            </w:r>
          </w:p>
        </w:tc>
      </w:tr>
      <w:tr w:rsidR="0030357E" w14:paraId="354F4442" w14:textId="77777777" w:rsidTr="001B41BD">
        <w:tc>
          <w:tcPr>
            <w:tcW w:w="4675" w:type="dxa"/>
            <w:vAlign w:val="bottom"/>
          </w:tcPr>
          <w:p w14:paraId="5E917F99" w14:textId="77777777" w:rsidR="0030357E" w:rsidRPr="00670188" w:rsidRDefault="0030357E" w:rsidP="001B41BD">
            <w:r w:rsidRPr="00670188">
              <w:t>Horry</w:t>
            </w:r>
          </w:p>
        </w:tc>
        <w:tc>
          <w:tcPr>
            <w:tcW w:w="4675" w:type="dxa"/>
            <w:vAlign w:val="bottom"/>
          </w:tcPr>
          <w:p w14:paraId="0ED8FC2F" w14:textId="77777777" w:rsidR="0030357E" w:rsidRPr="00670188" w:rsidRDefault="0030357E" w:rsidP="001B41BD">
            <w:r>
              <w:t>16.5</w:t>
            </w:r>
          </w:p>
        </w:tc>
      </w:tr>
      <w:tr w:rsidR="0030357E" w14:paraId="4C248752" w14:textId="77777777" w:rsidTr="001B41BD">
        <w:tc>
          <w:tcPr>
            <w:tcW w:w="4675" w:type="dxa"/>
            <w:vAlign w:val="bottom"/>
          </w:tcPr>
          <w:p w14:paraId="3CFA5FC2" w14:textId="77777777" w:rsidR="0030357E" w:rsidRPr="00670188" w:rsidRDefault="0030357E" w:rsidP="001B41BD">
            <w:r w:rsidRPr="00670188">
              <w:t>Jasper</w:t>
            </w:r>
          </w:p>
        </w:tc>
        <w:tc>
          <w:tcPr>
            <w:tcW w:w="4675" w:type="dxa"/>
            <w:vAlign w:val="bottom"/>
          </w:tcPr>
          <w:p w14:paraId="6C386FC3" w14:textId="77777777" w:rsidR="0030357E" w:rsidRPr="00670188" w:rsidRDefault="0030357E" w:rsidP="001B41BD">
            <w:r>
              <w:t>9.9</w:t>
            </w:r>
          </w:p>
        </w:tc>
      </w:tr>
      <w:tr w:rsidR="0030357E" w14:paraId="0195D30B" w14:textId="77777777" w:rsidTr="001B41BD">
        <w:tc>
          <w:tcPr>
            <w:tcW w:w="4675" w:type="dxa"/>
            <w:vAlign w:val="bottom"/>
          </w:tcPr>
          <w:p w14:paraId="30683BD1" w14:textId="77777777" w:rsidR="0030357E" w:rsidRPr="00670188" w:rsidRDefault="0030357E" w:rsidP="001B41BD">
            <w:r w:rsidRPr="00670188">
              <w:t>Kershaw</w:t>
            </w:r>
          </w:p>
        </w:tc>
        <w:tc>
          <w:tcPr>
            <w:tcW w:w="4675" w:type="dxa"/>
            <w:vAlign w:val="bottom"/>
          </w:tcPr>
          <w:p w14:paraId="29CB9167" w14:textId="77777777" w:rsidR="0030357E" w:rsidRPr="00670188" w:rsidRDefault="0030357E" w:rsidP="001B41BD">
            <w:r>
              <w:t>18.2</w:t>
            </w:r>
          </w:p>
        </w:tc>
      </w:tr>
      <w:tr w:rsidR="0030357E" w14:paraId="08C9670F" w14:textId="77777777" w:rsidTr="001B41BD">
        <w:tc>
          <w:tcPr>
            <w:tcW w:w="4675" w:type="dxa"/>
            <w:vAlign w:val="bottom"/>
          </w:tcPr>
          <w:p w14:paraId="6BCE106E" w14:textId="77777777" w:rsidR="0030357E" w:rsidRPr="00670188" w:rsidRDefault="0030357E" w:rsidP="001B41BD">
            <w:r w:rsidRPr="00670188">
              <w:t>Lancaster</w:t>
            </w:r>
          </w:p>
        </w:tc>
        <w:tc>
          <w:tcPr>
            <w:tcW w:w="4675" w:type="dxa"/>
            <w:vAlign w:val="bottom"/>
          </w:tcPr>
          <w:p w14:paraId="5B593815" w14:textId="77777777" w:rsidR="0030357E" w:rsidRPr="00670188" w:rsidRDefault="0030357E" w:rsidP="001B41BD">
            <w:r>
              <w:t>15.5</w:t>
            </w:r>
          </w:p>
        </w:tc>
      </w:tr>
      <w:tr w:rsidR="0030357E" w14:paraId="345ADB1F" w14:textId="77777777" w:rsidTr="001B41BD">
        <w:tc>
          <w:tcPr>
            <w:tcW w:w="4675" w:type="dxa"/>
            <w:vAlign w:val="bottom"/>
          </w:tcPr>
          <w:p w14:paraId="31834D5E" w14:textId="77777777" w:rsidR="0030357E" w:rsidRPr="00670188" w:rsidRDefault="0030357E" w:rsidP="001B41BD">
            <w:r w:rsidRPr="00670188">
              <w:t>Laurens</w:t>
            </w:r>
          </w:p>
        </w:tc>
        <w:tc>
          <w:tcPr>
            <w:tcW w:w="4675" w:type="dxa"/>
            <w:vAlign w:val="bottom"/>
          </w:tcPr>
          <w:p w14:paraId="153BDB5A" w14:textId="77777777" w:rsidR="0030357E" w:rsidRPr="00670188" w:rsidRDefault="0030357E" w:rsidP="001B41BD">
            <w:r>
              <w:t>19.8</w:t>
            </w:r>
          </w:p>
        </w:tc>
      </w:tr>
      <w:tr w:rsidR="0030357E" w14:paraId="30C23318" w14:textId="77777777" w:rsidTr="001B41BD">
        <w:tc>
          <w:tcPr>
            <w:tcW w:w="4675" w:type="dxa"/>
            <w:vAlign w:val="bottom"/>
          </w:tcPr>
          <w:p w14:paraId="1C94FC6C" w14:textId="77777777" w:rsidR="0030357E" w:rsidRPr="00670188" w:rsidRDefault="0030357E" w:rsidP="001B41BD">
            <w:r w:rsidRPr="00670188">
              <w:t>Lee</w:t>
            </w:r>
          </w:p>
        </w:tc>
        <w:tc>
          <w:tcPr>
            <w:tcW w:w="4675" w:type="dxa"/>
            <w:vAlign w:val="bottom"/>
          </w:tcPr>
          <w:p w14:paraId="1AA46BA4" w14:textId="77777777" w:rsidR="0030357E" w:rsidRPr="00670188" w:rsidRDefault="0030357E" w:rsidP="001B41BD">
            <w:r>
              <w:t>20.3</w:t>
            </w:r>
          </w:p>
        </w:tc>
      </w:tr>
      <w:tr w:rsidR="0030357E" w14:paraId="3B1B6D28" w14:textId="77777777" w:rsidTr="001B41BD">
        <w:tc>
          <w:tcPr>
            <w:tcW w:w="4675" w:type="dxa"/>
            <w:vAlign w:val="bottom"/>
          </w:tcPr>
          <w:p w14:paraId="252EE242" w14:textId="77777777" w:rsidR="0030357E" w:rsidRPr="00670188" w:rsidRDefault="0030357E" w:rsidP="001B41BD">
            <w:r w:rsidRPr="00670188">
              <w:t>Lexington</w:t>
            </w:r>
          </w:p>
        </w:tc>
        <w:tc>
          <w:tcPr>
            <w:tcW w:w="4675" w:type="dxa"/>
            <w:vAlign w:val="bottom"/>
          </w:tcPr>
          <w:p w14:paraId="12AABCD8" w14:textId="77777777" w:rsidR="0030357E" w:rsidRPr="00670188" w:rsidRDefault="0030357E" w:rsidP="001B41BD">
            <w:r>
              <w:t>16.2</w:t>
            </w:r>
          </w:p>
        </w:tc>
      </w:tr>
      <w:tr w:rsidR="0030357E" w14:paraId="4314BA7D" w14:textId="77777777" w:rsidTr="001B41BD">
        <w:tc>
          <w:tcPr>
            <w:tcW w:w="4675" w:type="dxa"/>
            <w:vAlign w:val="bottom"/>
          </w:tcPr>
          <w:p w14:paraId="26376456" w14:textId="77777777" w:rsidR="0030357E" w:rsidRPr="00670188" w:rsidRDefault="0030357E" w:rsidP="001B41BD">
            <w:r w:rsidRPr="00670188">
              <w:t>Marion</w:t>
            </w:r>
          </w:p>
        </w:tc>
        <w:tc>
          <w:tcPr>
            <w:tcW w:w="4675" w:type="dxa"/>
            <w:vAlign w:val="bottom"/>
          </w:tcPr>
          <w:p w14:paraId="3610F1B0" w14:textId="77777777" w:rsidR="0030357E" w:rsidRPr="00670188" w:rsidRDefault="0030357E" w:rsidP="001B41BD">
            <w:r>
              <w:t>9.1</w:t>
            </w:r>
          </w:p>
        </w:tc>
      </w:tr>
      <w:tr w:rsidR="0030357E" w14:paraId="6E02343B" w14:textId="77777777" w:rsidTr="001B41BD">
        <w:tc>
          <w:tcPr>
            <w:tcW w:w="4675" w:type="dxa"/>
            <w:vAlign w:val="bottom"/>
          </w:tcPr>
          <w:p w14:paraId="0D43272D" w14:textId="77777777" w:rsidR="0030357E" w:rsidRPr="00670188" w:rsidRDefault="0030357E" w:rsidP="001B41BD">
            <w:r w:rsidRPr="00670188">
              <w:t>Marlboro</w:t>
            </w:r>
          </w:p>
        </w:tc>
        <w:tc>
          <w:tcPr>
            <w:tcW w:w="4675" w:type="dxa"/>
            <w:vAlign w:val="bottom"/>
          </w:tcPr>
          <w:p w14:paraId="6442B40D" w14:textId="77777777" w:rsidR="0030357E" w:rsidRPr="00670188" w:rsidRDefault="0030357E" w:rsidP="001B41BD">
            <w:r>
              <w:t>14.7</w:t>
            </w:r>
          </w:p>
        </w:tc>
      </w:tr>
      <w:tr w:rsidR="0030357E" w14:paraId="1A76E839" w14:textId="77777777" w:rsidTr="001B41BD">
        <w:tc>
          <w:tcPr>
            <w:tcW w:w="4675" w:type="dxa"/>
            <w:vAlign w:val="bottom"/>
          </w:tcPr>
          <w:p w14:paraId="659AAFA5" w14:textId="77777777" w:rsidR="0030357E" w:rsidRPr="00670188" w:rsidRDefault="0030357E" w:rsidP="001B41BD">
            <w:r w:rsidRPr="00670188">
              <w:t>McCormick</w:t>
            </w:r>
          </w:p>
        </w:tc>
        <w:tc>
          <w:tcPr>
            <w:tcW w:w="4675" w:type="dxa"/>
            <w:vAlign w:val="bottom"/>
          </w:tcPr>
          <w:p w14:paraId="7A5142A7" w14:textId="77777777" w:rsidR="0030357E" w:rsidRPr="00670188" w:rsidRDefault="0030357E" w:rsidP="001B41BD">
            <w:r>
              <w:t>*</w:t>
            </w:r>
          </w:p>
        </w:tc>
      </w:tr>
      <w:tr w:rsidR="0030357E" w14:paraId="41E8653F" w14:textId="77777777" w:rsidTr="001B41BD">
        <w:tc>
          <w:tcPr>
            <w:tcW w:w="4675" w:type="dxa"/>
            <w:vAlign w:val="bottom"/>
          </w:tcPr>
          <w:p w14:paraId="5EB7873B" w14:textId="77777777" w:rsidR="0030357E" w:rsidRPr="00670188" w:rsidRDefault="0030357E" w:rsidP="001B41BD">
            <w:r w:rsidRPr="00670188">
              <w:t>Newberry</w:t>
            </w:r>
          </w:p>
        </w:tc>
        <w:tc>
          <w:tcPr>
            <w:tcW w:w="4675" w:type="dxa"/>
            <w:vAlign w:val="bottom"/>
          </w:tcPr>
          <w:p w14:paraId="41CBC8F0" w14:textId="77777777" w:rsidR="0030357E" w:rsidRPr="00670188" w:rsidRDefault="0030357E" w:rsidP="001B41BD">
            <w:r>
              <w:t>18.2</w:t>
            </w:r>
          </w:p>
        </w:tc>
      </w:tr>
      <w:tr w:rsidR="0030357E" w14:paraId="6C575B34" w14:textId="77777777" w:rsidTr="001B41BD">
        <w:tc>
          <w:tcPr>
            <w:tcW w:w="4675" w:type="dxa"/>
            <w:vAlign w:val="bottom"/>
          </w:tcPr>
          <w:p w14:paraId="0B80F55C" w14:textId="77777777" w:rsidR="0030357E" w:rsidRPr="00670188" w:rsidRDefault="0030357E" w:rsidP="001B41BD">
            <w:r w:rsidRPr="00670188">
              <w:t>Oconee</w:t>
            </w:r>
          </w:p>
        </w:tc>
        <w:tc>
          <w:tcPr>
            <w:tcW w:w="4675" w:type="dxa"/>
            <w:vAlign w:val="bottom"/>
          </w:tcPr>
          <w:p w14:paraId="6D518B3B" w14:textId="77777777" w:rsidR="0030357E" w:rsidRPr="00670188" w:rsidRDefault="0030357E" w:rsidP="001B41BD">
            <w:r>
              <w:t>19.3</w:t>
            </w:r>
          </w:p>
        </w:tc>
      </w:tr>
      <w:tr w:rsidR="0030357E" w14:paraId="051C411A" w14:textId="77777777" w:rsidTr="001B41BD">
        <w:tc>
          <w:tcPr>
            <w:tcW w:w="4675" w:type="dxa"/>
            <w:vAlign w:val="bottom"/>
          </w:tcPr>
          <w:p w14:paraId="6E52D4FF" w14:textId="77777777" w:rsidR="0030357E" w:rsidRPr="00670188" w:rsidRDefault="0030357E" w:rsidP="001B41BD">
            <w:r w:rsidRPr="00670188">
              <w:t>Orangeburg</w:t>
            </w:r>
          </w:p>
        </w:tc>
        <w:tc>
          <w:tcPr>
            <w:tcW w:w="4675" w:type="dxa"/>
            <w:vAlign w:val="bottom"/>
          </w:tcPr>
          <w:p w14:paraId="7AC22542" w14:textId="77777777" w:rsidR="0030357E" w:rsidRPr="00670188" w:rsidRDefault="0030357E" w:rsidP="001B41BD">
            <w:r>
              <w:t>10.7</w:t>
            </w:r>
          </w:p>
        </w:tc>
      </w:tr>
      <w:tr w:rsidR="0030357E" w14:paraId="6993490C" w14:textId="77777777" w:rsidTr="001B41BD">
        <w:tc>
          <w:tcPr>
            <w:tcW w:w="4675" w:type="dxa"/>
            <w:vAlign w:val="bottom"/>
          </w:tcPr>
          <w:p w14:paraId="27FA3A1E" w14:textId="77777777" w:rsidR="0030357E" w:rsidRPr="00670188" w:rsidRDefault="0030357E" w:rsidP="001B41BD">
            <w:r w:rsidRPr="00670188">
              <w:t>Pickens</w:t>
            </w:r>
          </w:p>
        </w:tc>
        <w:tc>
          <w:tcPr>
            <w:tcW w:w="4675" w:type="dxa"/>
            <w:vAlign w:val="bottom"/>
          </w:tcPr>
          <w:p w14:paraId="4594692A" w14:textId="77777777" w:rsidR="0030357E" w:rsidRPr="00670188" w:rsidRDefault="0030357E" w:rsidP="001B41BD">
            <w:r>
              <w:t>17.9</w:t>
            </w:r>
          </w:p>
        </w:tc>
      </w:tr>
      <w:tr w:rsidR="0030357E" w14:paraId="085FD341" w14:textId="77777777" w:rsidTr="001B41BD">
        <w:tc>
          <w:tcPr>
            <w:tcW w:w="4675" w:type="dxa"/>
            <w:vAlign w:val="bottom"/>
          </w:tcPr>
          <w:p w14:paraId="52663490" w14:textId="77777777" w:rsidR="0030357E" w:rsidRPr="00670188" w:rsidRDefault="0030357E" w:rsidP="001B41BD">
            <w:r w:rsidRPr="00670188">
              <w:t>Richland</w:t>
            </w:r>
          </w:p>
        </w:tc>
        <w:tc>
          <w:tcPr>
            <w:tcW w:w="4675" w:type="dxa"/>
            <w:vAlign w:val="bottom"/>
          </w:tcPr>
          <w:p w14:paraId="35FB6509" w14:textId="77777777" w:rsidR="0030357E" w:rsidRPr="00670188" w:rsidRDefault="0030357E" w:rsidP="001B41BD">
            <w:r>
              <w:t>11.7</w:t>
            </w:r>
          </w:p>
        </w:tc>
      </w:tr>
      <w:tr w:rsidR="0030357E" w14:paraId="57441286" w14:textId="77777777" w:rsidTr="001B41BD">
        <w:tc>
          <w:tcPr>
            <w:tcW w:w="4675" w:type="dxa"/>
            <w:vAlign w:val="bottom"/>
          </w:tcPr>
          <w:p w14:paraId="5F3814F1" w14:textId="77777777" w:rsidR="0030357E" w:rsidRPr="00670188" w:rsidRDefault="0030357E" w:rsidP="001B41BD">
            <w:r w:rsidRPr="00670188">
              <w:t>Saluda</w:t>
            </w:r>
          </w:p>
        </w:tc>
        <w:tc>
          <w:tcPr>
            <w:tcW w:w="4675" w:type="dxa"/>
            <w:vAlign w:val="bottom"/>
          </w:tcPr>
          <w:p w14:paraId="05884176" w14:textId="77777777" w:rsidR="0030357E" w:rsidRPr="00670188" w:rsidRDefault="0030357E" w:rsidP="001B41BD">
            <w:r>
              <w:t>8.3</w:t>
            </w:r>
          </w:p>
        </w:tc>
      </w:tr>
      <w:tr w:rsidR="0030357E" w14:paraId="0BD62C3B" w14:textId="77777777" w:rsidTr="001B41BD">
        <w:tc>
          <w:tcPr>
            <w:tcW w:w="4675" w:type="dxa"/>
            <w:vAlign w:val="bottom"/>
          </w:tcPr>
          <w:p w14:paraId="69878388" w14:textId="77777777" w:rsidR="0030357E" w:rsidRPr="00670188" w:rsidRDefault="0030357E" w:rsidP="001B41BD">
            <w:r w:rsidRPr="00670188">
              <w:t>Spartanburg</w:t>
            </w:r>
          </w:p>
        </w:tc>
        <w:tc>
          <w:tcPr>
            <w:tcW w:w="4675" w:type="dxa"/>
            <w:vAlign w:val="bottom"/>
          </w:tcPr>
          <w:p w14:paraId="0ECDE4FB" w14:textId="77777777" w:rsidR="0030357E" w:rsidRPr="00670188" w:rsidRDefault="0030357E" w:rsidP="001B41BD">
            <w:r>
              <w:t>17.0</w:t>
            </w:r>
          </w:p>
        </w:tc>
      </w:tr>
      <w:tr w:rsidR="0030357E" w14:paraId="4E669F61" w14:textId="77777777" w:rsidTr="001B41BD">
        <w:tc>
          <w:tcPr>
            <w:tcW w:w="4675" w:type="dxa"/>
            <w:vAlign w:val="bottom"/>
          </w:tcPr>
          <w:p w14:paraId="326B8C01" w14:textId="77777777" w:rsidR="0030357E" w:rsidRPr="00670188" w:rsidRDefault="0030357E" w:rsidP="001B41BD">
            <w:r w:rsidRPr="00670188">
              <w:t>Sumter</w:t>
            </w:r>
          </w:p>
        </w:tc>
        <w:tc>
          <w:tcPr>
            <w:tcW w:w="4675" w:type="dxa"/>
            <w:vAlign w:val="bottom"/>
          </w:tcPr>
          <w:p w14:paraId="62E6E185" w14:textId="77777777" w:rsidR="0030357E" w:rsidRPr="00670188" w:rsidRDefault="0030357E" w:rsidP="001B41BD">
            <w:r>
              <w:t>15.0</w:t>
            </w:r>
          </w:p>
        </w:tc>
      </w:tr>
      <w:tr w:rsidR="0030357E" w14:paraId="1882BC5A" w14:textId="77777777" w:rsidTr="001B41BD">
        <w:tc>
          <w:tcPr>
            <w:tcW w:w="4675" w:type="dxa"/>
            <w:vAlign w:val="bottom"/>
          </w:tcPr>
          <w:p w14:paraId="51FD33F0" w14:textId="77777777" w:rsidR="0030357E" w:rsidRPr="00670188" w:rsidRDefault="0030357E" w:rsidP="001B41BD">
            <w:r w:rsidRPr="00670188">
              <w:lastRenderedPageBreak/>
              <w:t>Union</w:t>
            </w:r>
          </w:p>
        </w:tc>
        <w:tc>
          <w:tcPr>
            <w:tcW w:w="4675" w:type="dxa"/>
            <w:vAlign w:val="bottom"/>
          </w:tcPr>
          <w:p w14:paraId="79BE6702" w14:textId="77777777" w:rsidR="0030357E" w:rsidRPr="00670188" w:rsidRDefault="0030357E" w:rsidP="001B41BD">
            <w:r>
              <w:t>19.9</w:t>
            </w:r>
          </w:p>
        </w:tc>
      </w:tr>
      <w:tr w:rsidR="0030357E" w14:paraId="742D3F35" w14:textId="77777777" w:rsidTr="001B41BD">
        <w:tc>
          <w:tcPr>
            <w:tcW w:w="4675" w:type="dxa"/>
            <w:vAlign w:val="bottom"/>
          </w:tcPr>
          <w:p w14:paraId="6A808F80" w14:textId="77777777" w:rsidR="0030357E" w:rsidRPr="00670188" w:rsidRDefault="0030357E" w:rsidP="001B41BD">
            <w:r w:rsidRPr="00670188">
              <w:t>Williamsburg</w:t>
            </w:r>
          </w:p>
        </w:tc>
        <w:tc>
          <w:tcPr>
            <w:tcW w:w="4675" w:type="dxa"/>
            <w:vAlign w:val="bottom"/>
          </w:tcPr>
          <w:p w14:paraId="610E144A" w14:textId="77777777" w:rsidR="0030357E" w:rsidRPr="00670188" w:rsidRDefault="0030357E" w:rsidP="001B41BD">
            <w:r>
              <w:t>8.4</w:t>
            </w:r>
          </w:p>
        </w:tc>
      </w:tr>
      <w:tr w:rsidR="0030357E" w14:paraId="5A76A799" w14:textId="77777777" w:rsidTr="001B41BD">
        <w:tc>
          <w:tcPr>
            <w:tcW w:w="4675" w:type="dxa"/>
            <w:vAlign w:val="bottom"/>
          </w:tcPr>
          <w:p w14:paraId="06DEDCC7" w14:textId="77777777" w:rsidR="0030357E" w:rsidRPr="00670188" w:rsidRDefault="0030357E" w:rsidP="001B41BD">
            <w:r w:rsidRPr="00670188">
              <w:t>York</w:t>
            </w:r>
          </w:p>
        </w:tc>
        <w:tc>
          <w:tcPr>
            <w:tcW w:w="4675" w:type="dxa"/>
            <w:vAlign w:val="bottom"/>
          </w:tcPr>
          <w:p w14:paraId="2EC86FD2" w14:textId="77777777" w:rsidR="0030357E" w:rsidRPr="00670188" w:rsidRDefault="0030357E" w:rsidP="001B41BD">
            <w:r>
              <w:t>15.2</w:t>
            </w:r>
          </w:p>
        </w:tc>
      </w:tr>
    </w:tbl>
    <w:p w14:paraId="15089065" w14:textId="77777777" w:rsidR="0030357E" w:rsidRPr="00670188" w:rsidRDefault="0030357E" w:rsidP="0030357E">
      <w:r w:rsidRPr="00670188">
        <w:t xml:space="preserve">Source: SC DHEC Vital Statistics, 2019-2021. </w:t>
      </w:r>
    </w:p>
    <w:p w14:paraId="0498372E" w14:textId="77777777" w:rsidR="0030357E" w:rsidRDefault="0030357E" w:rsidP="0030357E">
      <w:r w:rsidRPr="00670188">
        <w:t>Notes: Age-adjusted, population for year 2021 based on single-race estimates and for years prior based on bridge-race estimates.</w:t>
      </w:r>
    </w:p>
    <w:p w14:paraId="21D660FC" w14:textId="77777777" w:rsidR="0030357E" w:rsidRDefault="0030357E" w:rsidP="0030357E">
      <w:pPr>
        <w:pStyle w:val="Heading4"/>
      </w:pPr>
      <w:bookmarkStart w:id="870" w:name="_Toc154576543"/>
    </w:p>
    <w:p w14:paraId="5E8993EF" w14:textId="7B9F1ADC" w:rsidR="0030357E" w:rsidRPr="00670188" w:rsidRDefault="0030357E" w:rsidP="0030357E">
      <w:pPr>
        <w:pStyle w:val="Heading4"/>
      </w:pPr>
      <w:bookmarkStart w:id="871" w:name="_Toc162267589"/>
      <w:r w:rsidRPr="00670188">
        <w:t>Figure 9.</w:t>
      </w:r>
      <w:r>
        <w:t>61</w:t>
      </w:r>
      <w:r w:rsidRPr="00670188">
        <w:t xml:space="preserve">: </w:t>
      </w:r>
      <w:r>
        <w:t>All Ages</w:t>
      </w:r>
      <w:r w:rsidRPr="00670188">
        <w:t>.</w:t>
      </w:r>
      <w:bookmarkEnd w:id="870"/>
      <w:bookmarkEnd w:id="871"/>
    </w:p>
    <w:p w14:paraId="5EFD28D1" w14:textId="77777777" w:rsidR="0030357E" w:rsidRPr="00670188" w:rsidRDefault="0030357E" w:rsidP="0030357E">
      <w:pPr>
        <w:pStyle w:val="Heading5"/>
      </w:pPr>
      <w:r>
        <w:t>Rate per 100,000 population.</w:t>
      </w:r>
    </w:p>
    <w:tbl>
      <w:tblPr>
        <w:tblStyle w:val="TableGrid"/>
        <w:tblW w:w="0" w:type="auto"/>
        <w:tblLook w:val="04A0" w:firstRow="1" w:lastRow="0" w:firstColumn="1" w:lastColumn="0" w:noHBand="0" w:noVBand="1"/>
      </w:tblPr>
      <w:tblGrid>
        <w:gridCol w:w="2337"/>
        <w:gridCol w:w="2337"/>
        <w:gridCol w:w="2338"/>
        <w:gridCol w:w="2338"/>
      </w:tblGrid>
      <w:tr w:rsidR="0030357E" w14:paraId="3598E97B" w14:textId="77777777" w:rsidTr="001B41BD">
        <w:tc>
          <w:tcPr>
            <w:tcW w:w="2337" w:type="dxa"/>
            <w:vAlign w:val="bottom"/>
          </w:tcPr>
          <w:p w14:paraId="3113B078" w14:textId="77777777" w:rsidR="0030357E" w:rsidRPr="00670188" w:rsidRDefault="0030357E" w:rsidP="001B41BD">
            <w:r w:rsidRPr="00670188">
              <w:t xml:space="preserve"> </w:t>
            </w:r>
            <w:r>
              <w:t>Year</w:t>
            </w:r>
          </w:p>
        </w:tc>
        <w:tc>
          <w:tcPr>
            <w:tcW w:w="2337" w:type="dxa"/>
            <w:vAlign w:val="bottom"/>
          </w:tcPr>
          <w:p w14:paraId="5B65BD90" w14:textId="77777777" w:rsidR="0030357E" w:rsidRPr="00670188" w:rsidRDefault="0030357E" w:rsidP="001B41BD">
            <w:r w:rsidRPr="00670188">
              <w:t>South Carolina</w:t>
            </w:r>
          </w:p>
        </w:tc>
        <w:tc>
          <w:tcPr>
            <w:tcW w:w="2338" w:type="dxa"/>
            <w:vAlign w:val="bottom"/>
          </w:tcPr>
          <w:p w14:paraId="69263293" w14:textId="77777777" w:rsidR="0030357E" w:rsidRPr="00670188" w:rsidRDefault="0030357E" w:rsidP="001B41BD">
            <w:r w:rsidRPr="00670188">
              <w:t>United States</w:t>
            </w:r>
          </w:p>
        </w:tc>
        <w:tc>
          <w:tcPr>
            <w:tcW w:w="2338" w:type="dxa"/>
            <w:vAlign w:val="bottom"/>
          </w:tcPr>
          <w:p w14:paraId="796F1581" w14:textId="77777777" w:rsidR="0030357E" w:rsidRPr="00670188" w:rsidRDefault="0030357E" w:rsidP="001B41BD">
            <w:r w:rsidRPr="00670188">
              <w:t>Healthy People</w:t>
            </w:r>
          </w:p>
        </w:tc>
      </w:tr>
      <w:tr w:rsidR="0030357E" w14:paraId="64BF2DD4" w14:textId="77777777" w:rsidTr="001B41BD">
        <w:tc>
          <w:tcPr>
            <w:tcW w:w="2337" w:type="dxa"/>
            <w:vAlign w:val="center"/>
          </w:tcPr>
          <w:p w14:paraId="4641D1A6" w14:textId="77777777" w:rsidR="0030357E" w:rsidRPr="00670188" w:rsidRDefault="0030357E" w:rsidP="001B41BD">
            <w:r w:rsidRPr="00670188">
              <w:t>2012</w:t>
            </w:r>
          </w:p>
        </w:tc>
        <w:tc>
          <w:tcPr>
            <w:tcW w:w="2337" w:type="dxa"/>
            <w:vAlign w:val="center"/>
          </w:tcPr>
          <w:p w14:paraId="6614AF75" w14:textId="77777777" w:rsidR="0030357E" w:rsidRPr="00670188" w:rsidRDefault="0030357E" w:rsidP="001B41BD">
            <w:r w:rsidRPr="00670188">
              <w:t>13.5</w:t>
            </w:r>
          </w:p>
        </w:tc>
        <w:tc>
          <w:tcPr>
            <w:tcW w:w="2338" w:type="dxa"/>
            <w:vAlign w:val="bottom"/>
          </w:tcPr>
          <w:p w14:paraId="429C19C2" w14:textId="77777777" w:rsidR="0030357E" w:rsidRPr="00670188" w:rsidRDefault="0030357E" w:rsidP="001B41BD">
            <w:r w:rsidRPr="00670188">
              <w:t>12.6</w:t>
            </w:r>
          </w:p>
        </w:tc>
        <w:tc>
          <w:tcPr>
            <w:tcW w:w="2338" w:type="dxa"/>
            <w:vAlign w:val="bottom"/>
          </w:tcPr>
          <w:p w14:paraId="799503C9" w14:textId="77777777" w:rsidR="0030357E" w:rsidRPr="00670188" w:rsidRDefault="0030357E" w:rsidP="001B41BD">
            <w:r w:rsidRPr="00670188">
              <w:t>12.8</w:t>
            </w:r>
          </w:p>
        </w:tc>
      </w:tr>
      <w:tr w:rsidR="0030357E" w14:paraId="3BD7757E" w14:textId="77777777" w:rsidTr="001B41BD">
        <w:tc>
          <w:tcPr>
            <w:tcW w:w="2337" w:type="dxa"/>
            <w:vAlign w:val="center"/>
          </w:tcPr>
          <w:p w14:paraId="154E08F1" w14:textId="77777777" w:rsidR="0030357E" w:rsidRPr="00670188" w:rsidRDefault="0030357E" w:rsidP="001B41BD">
            <w:r w:rsidRPr="00670188">
              <w:t>2013</w:t>
            </w:r>
          </w:p>
        </w:tc>
        <w:tc>
          <w:tcPr>
            <w:tcW w:w="2337" w:type="dxa"/>
            <w:vAlign w:val="center"/>
          </w:tcPr>
          <w:p w14:paraId="6DB9C0BE" w14:textId="77777777" w:rsidR="0030357E" w:rsidRPr="00670188" w:rsidRDefault="0030357E" w:rsidP="001B41BD">
            <w:r w:rsidRPr="00670188">
              <w:t>14.0</w:t>
            </w:r>
          </w:p>
        </w:tc>
        <w:tc>
          <w:tcPr>
            <w:tcW w:w="2338" w:type="dxa"/>
            <w:vAlign w:val="bottom"/>
          </w:tcPr>
          <w:p w14:paraId="0A2425E6" w14:textId="77777777" w:rsidR="0030357E" w:rsidRPr="00670188" w:rsidRDefault="0030357E" w:rsidP="001B41BD">
            <w:r w:rsidRPr="00670188">
              <w:t>12.6</w:t>
            </w:r>
          </w:p>
        </w:tc>
        <w:tc>
          <w:tcPr>
            <w:tcW w:w="2338" w:type="dxa"/>
            <w:vAlign w:val="bottom"/>
          </w:tcPr>
          <w:p w14:paraId="27CE992F" w14:textId="77777777" w:rsidR="0030357E" w:rsidRPr="00670188" w:rsidRDefault="0030357E" w:rsidP="001B41BD">
            <w:r w:rsidRPr="00670188">
              <w:t>12.8</w:t>
            </w:r>
          </w:p>
        </w:tc>
      </w:tr>
      <w:tr w:rsidR="0030357E" w14:paraId="18DA3F29" w14:textId="77777777" w:rsidTr="001B41BD">
        <w:tc>
          <w:tcPr>
            <w:tcW w:w="2337" w:type="dxa"/>
            <w:vAlign w:val="center"/>
          </w:tcPr>
          <w:p w14:paraId="53C33F4F" w14:textId="77777777" w:rsidR="0030357E" w:rsidRPr="00670188" w:rsidRDefault="0030357E" w:rsidP="001B41BD">
            <w:r w:rsidRPr="00670188">
              <w:t>2014</w:t>
            </w:r>
          </w:p>
        </w:tc>
        <w:tc>
          <w:tcPr>
            <w:tcW w:w="2337" w:type="dxa"/>
            <w:vAlign w:val="center"/>
          </w:tcPr>
          <w:p w14:paraId="0460A00E" w14:textId="77777777" w:rsidR="0030357E" w:rsidRPr="00670188" w:rsidRDefault="0030357E" w:rsidP="001B41BD">
            <w:r w:rsidRPr="00670188">
              <w:t>15.3</w:t>
            </w:r>
          </w:p>
        </w:tc>
        <w:tc>
          <w:tcPr>
            <w:tcW w:w="2338" w:type="dxa"/>
            <w:vAlign w:val="bottom"/>
          </w:tcPr>
          <w:p w14:paraId="09E8F136" w14:textId="77777777" w:rsidR="0030357E" w:rsidRPr="00670188" w:rsidRDefault="0030357E" w:rsidP="001B41BD">
            <w:r w:rsidRPr="00670188">
              <w:t>13.0</w:t>
            </w:r>
          </w:p>
        </w:tc>
        <w:tc>
          <w:tcPr>
            <w:tcW w:w="2338" w:type="dxa"/>
            <w:vAlign w:val="bottom"/>
          </w:tcPr>
          <w:p w14:paraId="487A59F7" w14:textId="77777777" w:rsidR="0030357E" w:rsidRPr="00670188" w:rsidRDefault="0030357E" w:rsidP="001B41BD">
            <w:r w:rsidRPr="00670188">
              <w:t>12.8</w:t>
            </w:r>
          </w:p>
        </w:tc>
      </w:tr>
      <w:tr w:rsidR="0030357E" w14:paraId="10D7E687" w14:textId="77777777" w:rsidTr="001B41BD">
        <w:tc>
          <w:tcPr>
            <w:tcW w:w="2337" w:type="dxa"/>
            <w:vAlign w:val="center"/>
          </w:tcPr>
          <w:p w14:paraId="07B5C6FD" w14:textId="77777777" w:rsidR="0030357E" w:rsidRPr="00670188" w:rsidRDefault="0030357E" w:rsidP="001B41BD">
            <w:r w:rsidRPr="00670188">
              <w:t>2015</w:t>
            </w:r>
          </w:p>
        </w:tc>
        <w:tc>
          <w:tcPr>
            <w:tcW w:w="2337" w:type="dxa"/>
            <w:vAlign w:val="center"/>
          </w:tcPr>
          <w:p w14:paraId="639F8923" w14:textId="77777777" w:rsidR="0030357E" w:rsidRPr="00670188" w:rsidRDefault="0030357E" w:rsidP="001B41BD">
            <w:r w:rsidRPr="00670188">
              <w:t>14.8</w:t>
            </w:r>
          </w:p>
        </w:tc>
        <w:tc>
          <w:tcPr>
            <w:tcW w:w="2338" w:type="dxa"/>
            <w:vAlign w:val="bottom"/>
          </w:tcPr>
          <w:p w14:paraId="7A5CEA83" w14:textId="77777777" w:rsidR="0030357E" w:rsidRPr="00670188" w:rsidRDefault="0030357E" w:rsidP="001B41BD">
            <w:r w:rsidRPr="00670188">
              <w:t>13.3</w:t>
            </w:r>
          </w:p>
        </w:tc>
        <w:tc>
          <w:tcPr>
            <w:tcW w:w="2338" w:type="dxa"/>
            <w:vAlign w:val="bottom"/>
          </w:tcPr>
          <w:p w14:paraId="599DABE2" w14:textId="77777777" w:rsidR="0030357E" w:rsidRPr="00670188" w:rsidRDefault="0030357E" w:rsidP="001B41BD">
            <w:r w:rsidRPr="00670188">
              <w:t>12.8</w:t>
            </w:r>
          </w:p>
        </w:tc>
      </w:tr>
      <w:tr w:rsidR="0030357E" w14:paraId="12EB4ABC" w14:textId="77777777" w:rsidTr="001B41BD">
        <w:tc>
          <w:tcPr>
            <w:tcW w:w="2337" w:type="dxa"/>
            <w:vAlign w:val="center"/>
          </w:tcPr>
          <w:p w14:paraId="45B39253" w14:textId="77777777" w:rsidR="0030357E" w:rsidRPr="00670188" w:rsidRDefault="0030357E" w:rsidP="001B41BD">
            <w:r w:rsidRPr="00670188">
              <w:t>2016</w:t>
            </w:r>
          </w:p>
        </w:tc>
        <w:tc>
          <w:tcPr>
            <w:tcW w:w="2337" w:type="dxa"/>
            <w:vAlign w:val="center"/>
          </w:tcPr>
          <w:p w14:paraId="1501465B" w14:textId="77777777" w:rsidR="0030357E" w:rsidRPr="00670188" w:rsidRDefault="0030357E" w:rsidP="001B41BD">
            <w:r w:rsidRPr="00670188">
              <w:t>15.7</w:t>
            </w:r>
          </w:p>
        </w:tc>
        <w:tc>
          <w:tcPr>
            <w:tcW w:w="2338" w:type="dxa"/>
            <w:vAlign w:val="bottom"/>
          </w:tcPr>
          <w:p w14:paraId="6CF4E07B" w14:textId="77777777" w:rsidR="0030357E" w:rsidRPr="00670188" w:rsidRDefault="0030357E" w:rsidP="001B41BD">
            <w:r w:rsidRPr="00670188">
              <w:t>13.5</w:t>
            </w:r>
          </w:p>
        </w:tc>
        <w:tc>
          <w:tcPr>
            <w:tcW w:w="2338" w:type="dxa"/>
            <w:vAlign w:val="bottom"/>
          </w:tcPr>
          <w:p w14:paraId="0954BD35" w14:textId="77777777" w:rsidR="0030357E" w:rsidRPr="00670188" w:rsidRDefault="0030357E" w:rsidP="001B41BD">
            <w:r w:rsidRPr="00670188">
              <w:t>12.8</w:t>
            </w:r>
          </w:p>
        </w:tc>
      </w:tr>
      <w:tr w:rsidR="0030357E" w14:paraId="2E67CADF" w14:textId="77777777" w:rsidTr="001B41BD">
        <w:tc>
          <w:tcPr>
            <w:tcW w:w="2337" w:type="dxa"/>
            <w:vAlign w:val="center"/>
          </w:tcPr>
          <w:p w14:paraId="679ED5C7" w14:textId="77777777" w:rsidR="0030357E" w:rsidRPr="00670188" w:rsidRDefault="0030357E" w:rsidP="001B41BD">
            <w:r w:rsidRPr="00670188">
              <w:t>2017</w:t>
            </w:r>
          </w:p>
        </w:tc>
        <w:tc>
          <w:tcPr>
            <w:tcW w:w="2337" w:type="dxa"/>
            <w:vAlign w:val="center"/>
          </w:tcPr>
          <w:p w14:paraId="537C1812" w14:textId="77777777" w:rsidR="0030357E" w:rsidRPr="00670188" w:rsidRDefault="0030357E" w:rsidP="001B41BD">
            <w:r w:rsidRPr="00670188">
              <w:t>16.3</w:t>
            </w:r>
          </w:p>
        </w:tc>
        <w:tc>
          <w:tcPr>
            <w:tcW w:w="2338" w:type="dxa"/>
            <w:vAlign w:val="bottom"/>
          </w:tcPr>
          <w:p w14:paraId="5AB45024" w14:textId="77777777" w:rsidR="0030357E" w:rsidRPr="00670188" w:rsidRDefault="0030357E" w:rsidP="001B41BD">
            <w:r w:rsidRPr="00670188">
              <w:t>14.0</w:t>
            </w:r>
          </w:p>
        </w:tc>
        <w:tc>
          <w:tcPr>
            <w:tcW w:w="2338" w:type="dxa"/>
            <w:vAlign w:val="bottom"/>
          </w:tcPr>
          <w:p w14:paraId="52735A9B" w14:textId="77777777" w:rsidR="0030357E" w:rsidRPr="00670188" w:rsidRDefault="0030357E" w:rsidP="001B41BD">
            <w:r w:rsidRPr="00670188">
              <w:t>12.8</w:t>
            </w:r>
          </w:p>
        </w:tc>
      </w:tr>
      <w:tr w:rsidR="0030357E" w14:paraId="2DF0C54B" w14:textId="77777777" w:rsidTr="001B41BD">
        <w:tc>
          <w:tcPr>
            <w:tcW w:w="2337" w:type="dxa"/>
            <w:vAlign w:val="center"/>
          </w:tcPr>
          <w:p w14:paraId="5EDE8954" w14:textId="77777777" w:rsidR="0030357E" w:rsidRPr="00670188" w:rsidRDefault="0030357E" w:rsidP="001B41BD">
            <w:r w:rsidRPr="00670188">
              <w:t>2018</w:t>
            </w:r>
          </w:p>
        </w:tc>
        <w:tc>
          <w:tcPr>
            <w:tcW w:w="2337" w:type="dxa"/>
            <w:vAlign w:val="center"/>
          </w:tcPr>
          <w:p w14:paraId="1A473DD3" w14:textId="77777777" w:rsidR="0030357E" w:rsidRPr="00670188" w:rsidRDefault="0030357E" w:rsidP="001B41BD">
            <w:r w:rsidRPr="00670188">
              <w:t>15.4</w:t>
            </w:r>
          </w:p>
        </w:tc>
        <w:tc>
          <w:tcPr>
            <w:tcW w:w="2338" w:type="dxa"/>
            <w:vAlign w:val="bottom"/>
          </w:tcPr>
          <w:p w14:paraId="3A1B871E" w14:textId="77777777" w:rsidR="0030357E" w:rsidRPr="00670188" w:rsidRDefault="0030357E" w:rsidP="001B41BD">
            <w:r w:rsidRPr="00670188">
              <w:t>14.2</w:t>
            </w:r>
          </w:p>
        </w:tc>
        <w:tc>
          <w:tcPr>
            <w:tcW w:w="2338" w:type="dxa"/>
            <w:vAlign w:val="bottom"/>
          </w:tcPr>
          <w:p w14:paraId="4D1B5DF8" w14:textId="77777777" w:rsidR="0030357E" w:rsidRPr="00670188" w:rsidRDefault="0030357E" w:rsidP="001B41BD">
            <w:r w:rsidRPr="00670188">
              <w:t>12.8</w:t>
            </w:r>
          </w:p>
        </w:tc>
      </w:tr>
      <w:tr w:rsidR="0030357E" w14:paraId="5C7C89CF" w14:textId="77777777" w:rsidTr="001B41BD">
        <w:tc>
          <w:tcPr>
            <w:tcW w:w="2337" w:type="dxa"/>
            <w:vAlign w:val="center"/>
          </w:tcPr>
          <w:p w14:paraId="08CD8BB1" w14:textId="77777777" w:rsidR="0030357E" w:rsidRPr="00670188" w:rsidRDefault="0030357E" w:rsidP="001B41BD">
            <w:r w:rsidRPr="00670188">
              <w:t>2019</w:t>
            </w:r>
          </w:p>
        </w:tc>
        <w:tc>
          <w:tcPr>
            <w:tcW w:w="2337" w:type="dxa"/>
            <w:vAlign w:val="center"/>
          </w:tcPr>
          <w:p w14:paraId="5074B6AE" w14:textId="77777777" w:rsidR="0030357E" w:rsidRPr="00670188" w:rsidRDefault="0030357E" w:rsidP="001B41BD">
            <w:r w:rsidRPr="00670188">
              <w:t>16.2</w:t>
            </w:r>
          </w:p>
        </w:tc>
        <w:tc>
          <w:tcPr>
            <w:tcW w:w="2338" w:type="dxa"/>
            <w:vAlign w:val="bottom"/>
          </w:tcPr>
          <w:p w14:paraId="2890FF96" w14:textId="77777777" w:rsidR="0030357E" w:rsidRPr="00670188" w:rsidRDefault="0030357E" w:rsidP="001B41BD">
            <w:r w:rsidRPr="00670188">
              <w:t>13.9</w:t>
            </w:r>
          </w:p>
        </w:tc>
        <w:tc>
          <w:tcPr>
            <w:tcW w:w="2338" w:type="dxa"/>
            <w:vAlign w:val="bottom"/>
          </w:tcPr>
          <w:p w14:paraId="5DA9F72E" w14:textId="77777777" w:rsidR="0030357E" w:rsidRPr="00670188" w:rsidRDefault="0030357E" w:rsidP="001B41BD">
            <w:r w:rsidRPr="00670188">
              <w:t>12.8</w:t>
            </w:r>
          </w:p>
        </w:tc>
      </w:tr>
      <w:tr w:rsidR="0030357E" w14:paraId="2F60BF3D" w14:textId="77777777" w:rsidTr="001B41BD">
        <w:tc>
          <w:tcPr>
            <w:tcW w:w="2337" w:type="dxa"/>
            <w:vAlign w:val="center"/>
          </w:tcPr>
          <w:p w14:paraId="30BFABD5" w14:textId="77777777" w:rsidR="0030357E" w:rsidRPr="00670188" w:rsidRDefault="0030357E" w:rsidP="001B41BD">
            <w:r w:rsidRPr="00670188">
              <w:t>2020</w:t>
            </w:r>
          </w:p>
        </w:tc>
        <w:tc>
          <w:tcPr>
            <w:tcW w:w="2337" w:type="dxa"/>
            <w:vAlign w:val="center"/>
          </w:tcPr>
          <w:p w14:paraId="442FD7DB" w14:textId="77777777" w:rsidR="0030357E" w:rsidRPr="00670188" w:rsidRDefault="0030357E" w:rsidP="001B41BD">
            <w:r w:rsidRPr="00670188">
              <w:t>16.2</w:t>
            </w:r>
          </w:p>
        </w:tc>
        <w:tc>
          <w:tcPr>
            <w:tcW w:w="2338" w:type="dxa"/>
            <w:vAlign w:val="bottom"/>
          </w:tcPr>
          <w:p w14:paraId="7A78BF5A" w14:textId="77777777" w:rsidR="0030357E" w:rsidRPr="00670188" w:rsidRDefault="0030357E" w:rsidP="001B41BD">
            <w:r w:rsidRPr="00670188">
              <w:t>13.5</w:t>
            </w:r>
          </w:p>
        </w:tc>
        <w:tc>
          <w:tcPr>
            <w:tcW w:w="2338" w:type="dxa"/>
            <w:vAlign w:val="bottom"/>
          </w:tcPr>
          <w:p w14:paraId="0551D4E3" w14:textId="77777777" w:rsidR="0030357E" w:rsidRPr="00670188" w:rsidRDefault="0030357E" w:rsidP="001B41BD">
            <w:r w:rsidRPr="00670188">
              <w:t>12.8</w:t>
            </w:r>
          </w:p>
        </w:tc>
      </w:tr>
      <w:tr w:rsidR="0030357E" w14:paraId="24506F01" w14:textId="77777777" w:rsidTr="001B41BD">
        <w:tc>
          <w:tcPr>
            <w:tcW w:w="2337" w:type="dxa"/>
            <w:vAlign w:val="center"/>
          </w:tcPr>
          <w:p w14:paraId="2D955889" w14:textId="77777777" w:rsidR="0030357E" w:rsidRPr="00670188" w:rsidRDefault="0030357E" w:rsidP="001B41BD">
            <w:r w:rsidRPr="00670188">
              <w:t>2021</w:t>
            </w:r>
          </w:p>
        </w:tc>
        <w:tc>
          <w:tcPr>
            <w:tcW w:w="2337" w:type="dxa"/>
            <w:vAlign w:val="center"/>
          </w:tcPr>
          <w:p w14:paraId="55723D49" w14:textId="77777777" w:rsidR="0030357E" w:rsidRPr="00670188" w:rsidRDefault="0030357E" w:rsidP="001B41BD">
            <w:r w:rsidRPr="00670188">
              <w:t>15.0</w:t>
            </w:r>
          </w:p>
        </w:tc>
        <w:tc>
          <w:tcPr>
            <w:tcW w:w="2338" w:type="dxa"/>
            <w:vAlign w:val="bottom"/>
          </w:tcPr>
          <w:p w14:paraId="1AA5F83B" w14:textId="77777777" w:rsidR="0030357E" w:rsidRPr="00670188" w:rsidRDefault="0030357E" w:rsidP="001B41BD">
            <w:r w:rsidRPr="00670188">
              <w:t>14.1</w:t>
            </w:r>
          </w:p>
        </w:tc>
        <w:tc>
          <w:tcPr>
            <w:tcW w:w="2338" w:type="dxa"/>
            <w:vAlign w:val="bottom"/>
          </w:tcPr>
          <w:p w14:paraId="6C30B9AF" w14:textId="77777777" w:rsidR="0030357E" w:rsidRPr="00670188" w:rsidRDefault="0030357E" w:rsidP="001B41BD">
            <w:r w:rsidRPr="00670188">
              <w:t>12.8</w:t>
            </w:r>
          </w:p>
        </w:tc>
      </w:tr>
    </w:tbl>
    <w:p w14:paraId="3CBF3994" w14:textId="77777777" w:rsidR="0030357E" w:rsidRPr="002B50C5" w:rsidRDefault="0030357E" w:rsidP="0030357E">
      <w:r w:rsidRPr="002B50C5">
        <w:t xml:space="preserve">Source: SC DHEC Vital Statistics; CDC NCHS. </w:t>
      </w:r>
    </w:p>
    <w:p w14:paraId="0F10AFCC" w14:textId="77777777" w:rsidR="0030357E" w:rsidRDefault="0030357E" w:rsidP="0030357E">
      <w:r w:rsidRPr="002B50C5">
        <w:t>Note: Age-adjusted, population for year 2021 based on single-race estimates and for years prior based on bridge-race estimates.</w:t>
      </w:r>
    </w:p>
    <w:p w14:paraId="73DBE935" w14:textId="77777777" w:rsidR="0030357E" w:rsidRDefault="0030357E" w:rsidP="0030357E">
      <w:pPr>
        <w:pStyle w:val="Heading4"/>
      </w:pPr>
      <w:bookmarkStart w:id="872" w:name="_Toc154576544"/>
    </w:p>
    <w:p w14:paraId="0E34CE19" w14:textId="38536F26" w:rsidR="0030357E" w:rsidRDefault="0030357E" w:rsidP="0030357E">
      <w:pPr>
        <w:pStyle w:val="Heading4"/>
      </w:pPr>
      <w:bookmarkStart w:id="873" w:name="_Toc162267590"/>
      <w:r>
        <w:t>Figure 9.62: Suicide, by Age Group.</w:t>
      </w:r>
      <w:bookmarkEnd w:id="872"/>
      <w:bookmarkEnd w:id="873"/>
    </w:p>
    <w:p w14:paraId="1AD35646" w14:textId="77777777" w:rsidR="0030357E" w:rsidRPr="00670188" w:rsidRDefault="0030357E" w:rsidP="0030357E">
      <w:pPr>
        <w:pStyle w:val="Heading5"/>
      </w:pPr>
      <w:r>
        <w:t>Rate per 100,000 population.</w:t>
      </w:r>
    </w:p>
    <w:tbl>
      <w:tblPr>
        <w:tblStyle w:val="TableGrid"/>
        <w:tblW w:w="0" w:type="auto"/>
        <w:tblLook w:val="04A0" w:firstRow="1" w:lastRow="0" w:firstColumn="1" w:lastColumn="0" w:noHBand="0" w:noVBand="1"/>
      </w:tblPr>
      <w:tblGrid>
        <w:gridCol w:w="3116"/>
        <w:gridCol w:w="3117"/>
        <w:gridCol w:w="3117"/>
      </w:tblGrid>
      <w:tr w:rsidR="0030357E" w14:paraId="075E08F9" w14:textId="77777777" w:rsidTr="001B41BD">
        <w:tc>
          <w:tcPr>
            <w:tcW w:w="3116" w:type="dxa"/>
            <w:vAlign w:val="bottom"/>
          </w:tcPr>
          <w:p w14:paraId="38A16FF5" w14:textId="77777777" w:rsidR="0030357E" w:rsidRPr="00670188" w:rsidRDefault="0030357E" w:rsidP="001B41BD">
            <w:r>
              <w:t>Age Group</w:t>
            </w:r>
          </w:p>
        </w:tc>
        <w:tc>
          <w:tcPr>
            <w:tcW w:w="3117" w:type="dxa"/>
            <w:vAlign w:val="bottom"/>
          </w:tcPr>
          <w:p w14:paraId="2450CA25" w14:textId="77777777" w:rsidR="0030357E" w:rsidRPr="00670188" w:rsidRDefault="0030357E" w:rsidP="001B41BD">
            <w:r w:rsidRPr="00670188">
              <w:t>South Carolina</w:t>
            </w:r>
          </w:p>
        </w:tc>
        <w:tc>
          <w:tcPr>
            <w:tcW w:w="3117" w:type="dxa"/>
            <w:vAlign w:val="bottom"/>
          </w:tcPr>
          <w:p w14:paraId="4A67B380" w14:textId="77777777" w:rsidR="0030357E" w:rsidRPr="00670188" w:rsidRDefault="0030357E" w:rsidP="001B41BD">
            <w:r w:rsidRPr="00670188">
              <w:t>United States</w:t>
            </w:r>
          </w:p>
        </w:tc>
      </w:tr>
      <w:tr w:rsidR="0030357E" w14:paraId="0743535D" w14:textId="77777777" w:rsidTr="001B41BD">
        <w:tc>
          <w:tcPr>
            <w:tcW w:w="3116" w:type="dxa"/>
            <w:vAlign w:val="bottom"/>
          </w:tcPr>
          <w:p w14:paraId="3D8AF945" w14:textId="77777777" w:rsidR="0030357E" w:rsidRPr="00670188" w:rsidRDefault="0030357E" w:rsidP="001B41BD">
            <w:r w:rsidRPr="00670188">
              <w:t>&lt; 10</w:t>
            </w:r>
          </w:p>
        </w:tc>
        <w:tc>
          <w:tcPr>
            <w:tcW w:w="3117" w:type="dxa"/>
            <w:vAlign w:val="bottom"/>
          </w:tcPr>
          <w:p w14:paraId="1789AA7B" w14:textId="77777777" w:rsidR="0030357E" w:rsidRPr="00670188" w:rsidRDefault="0030357E" w:rsidP="001B41BD">
            <w:r>
              <w:t>5.3</w:t>
            </w:r>
          </w:p>
        </w:tc>
        <w:tc>
          <w:tcPr>
            <w:tcW w:w="3117" w:type="dxa"/>
            <w:vAlign w:val="bottom"/>
          </w:tcPr>
          <w:p w14:paraId="175DDF11" w14:textId="77777777" w:rsidR="0030357E" w:rsidRPr="00670188" w:rsidRDefault="0030357E" w:rsidP="001B41BD">
            <w:r>
              <w:t>5.2</w:t>
            </w:r>
          </w:p>
        </w:tc>
      </w:tr>
      <w:tr w:rsidR="0030357E" w14:paraId="348A8553" w14:textId="77777777" w:rsidTr="001B41BD">
        <w:tc>
          <w:tcPr>
            <w:tcW w:w="3116" w:type="dxa"/>
            <w:vAlign w:val="bottom"/>
          </w:tcPr>
          <w:p w14:paraId="3CE1D580" w14:textId="77777777" w:rsidR="0030357E" w:rsidRPr="00670188" w:rsidRDefault="0030357E" w:rsidP="001B41BD">
            <w:r w:rsidRPr="00670188">
              <w:t>10 - 17</w:t>
            </w:r>
          </w:p>
        </w:tc>
        <w:tc>
          <w:tcPr>
            <w:tcW w:w="3117" w:type="dxa"/>
            <w:vAlign w:val="bottom"/>
          </w:tcPr>
          <w:p w14:paraId="3EC86A9D" w14:textId="77777777" w:rsidR="0030357E" w:rsidRPr="00670188" w:rsidRDefault="0030357E" w:rsidP="001B41BD">
            <w:r>
              <w:t>22.0</w:t>
            </w:r>
          </w:p>
        </w:tc>
        <w:tc>
          <w:tcPr>
            <w:tcW w:w="3117" w:type="dxa"/>
            <w:vAlign w:val="bottom"/>
          </w:tcPr>
          <w:p w14:paraId="29AEDE15" w14:textId="77777777" w:rsidR="0030357E" w:rsidRPr="00670188" w:rsidRDefault="0030357E" w:rsidP="001B41BD">
            <w:r>
              <w:t>16.6</w:t>
            </w:r>
          </w:p>
        </w:tc>
      </w:tr>
      <w:tr w:rsidR="0030357E" w14:paraId="5D8FC471" w14:textId="77777777" w:rsidTr="001B41BD">
        <w:tc>
          <w:tcPr>
            <w:tcW w:w="3116" w:type="dxa"/>
            <w:vAlign w:val="bottom"/>
          </w:tcPr>
          <w:p w14:paraId="412995BF" w14:textId="77777777" w:rsidR="0030357E" w:rsidRPr="00670188" w:rsidRDefault="0030357E" w:rsidP="001B41BD">
            <w:r w:rsidRPr="00670188">
              <w:t>18 - 24</w:t>
            </w:r>
          </w:p>
        </w:tc>
        <w:tc>
          <w:tcPr>
            <w:tcW w:w="3117" w:type="dxa"/>
            <w:vAlign w:val="bottom"/>
          </w:tcPr>
          <w:p w14:paraId="73629CFF" w14:textId="77777777" w:rsidR="0030357E" w:rsidRPr="00670188" w:rsidRDefault="0030357E" w:rsidP="001B41BD">
            <w:r>
              <w:t>19.9</w:t>
            </w:r>
          </w:p>
        </w:tc>
        <w:tc>
          <w:tcPr>
            <w:tcW w:w="3117" w:type="dxa"/>
            <w:vAlign w:val="bottom"/>
          </w:tcPr>
          <w:p w14:paraId="292DCFF5" w14:textId="77777777" w:rsidR="0030357E" w:rsidRPr="00670188" w:rsidRDefault="0030357E" w:rsidP="001B41BD">
            <w:r>
              <w:t>18.1</w:t>
            </w:r>
          </w:p>
        </w:tc>
      </w:tr>
      <w:tr w:rsidR="0030357E" w14:paraId="3688B4DD" w14:textId="77777777" w:rsidTr="001B41BD">
        <w:tc>
          <w:tcPr>
            <w:tcW w:w="3116" w:type="dxa"/>
            <w:vAlign w:val="bottom"/>
          </w:tcPr>
          <w:p w14:paraId="6F70061A" w14:textId="77777777" w:rsidR="0030357E" w:rsidRPr="00670188" w:rsidRDefault="0030357E" w:rsidP="001B41BD">
            <w:r w:rsidRPr="00670188">
              <w:t>25 - 34</w:t>
            </w:r>
          </w:p>
        </w:tc>
        <w:tc>
          <w:tcPr>
            <w:tcW w:w="3117" w:type="dxa"/>
            <w:vAlign w:val="bottom"/>
          </w:tcPr>
          <w:p w14:paraId="37A71898" w14:textId="77777777" w:rsidR="0030357E" w:rsidRPr="00670188" w:rsidRDefault="0030357E" w:rsidP="001B41BD">
            <w:r>
              <w:t>19.1</w:t>
            </w:r>
          </w:p>
        </w:tc>
        <w:tc>
          <w:tcPr>
            <w:tcW w:w="3117" w:type="dxa"/>
            <w:vAlign w:val="bottom"/>
          </w:tcPr>
          <w:p w14:paraId="20675085" w14:textId="77777777" w:rsidR="0030357E" w:rsidRPr="00670188" w:rsidRDefault="0030357E" w:rsidP="001B41BD">
            <w:r>
              <w:t>17.9</w:t>
            </w:r>
          </w:p>
        </w:tc>
      </w:tr>
      <w:tr w:rsidR="0030357E" w14:paraId="5C18A08E" w14:textId="77777777" w:rsidTr="001B41BD">
        <w:tc>
          <w:tcPr>
            <w:tcW w:w="3116" w:type="dxa"/>
            <w:vAlign w:val="bottom"/>
          </w:tcPr>
          <w:p w14:paraId="358F651E" w14:textId="77777777" w:rsidR="0030357E" w:rsidRPr="00670188" w:rsidRDefault="0030357E" w:rsidP="001B41BD">
            <w:r w:rsidRPr="00670188">
              <w:t>35 - 44</w:t>
            </w:r>
          </w:p>
        </w:tc>
        <w:tc>
          <w:tcPr>
            <w:tcW w:w="3117" w:type="dxa"/>
            <w:vAlign w:val="bottom"/>
          </w:tcPr>
          <w:p w14:paraId="5926F9C7" w14:textId="77777777" w:rsidR="0030357E" w:rsidRPr="00670188" w:rsidRDefault="0030357E" w:rsidP="001B41BD">
            <w:r>
              <w:t>21.5</w:t>
            </w:r>
          </w:p>
        </w:tc>
        <w:tc>
          <w:tcPr>
            <w:tcW w:w="3117" w:type="dxa"/>
            <w:vAlign w:val="bottom"/>
          </w:tcPr>
          <w:p w14:paraId="474924E1" w14:textId="77777777" w:rsidR="0030357E" w:rsidRPr="00670188" w:rsidRDefault="0030357E" w:rsidP="001B41BD">
            <w:r>
              <w:t>19.2</w:t>
            </w:r>
          </w:p>
        </w:tc>
      </w:tr>
      <w:tr w:rsidR="0030357E" w14:paraId="5B79AACD" w14:textId="77777777" w:rsidTr="001B41BD">
        <w:tc>
          <w:tcPr>
            <w:tcW w:w="3116" w:type="dxa"/>
            <w:vAlign w:val="bottom"/>
          </w:tcPr>
          <w:p w14:paraId="37D4591A" w14:textId="77777777" w:rsidR="0030357E" w:rsidRPr="00670188" w:rsidRDefault="0030357E" w:rsidP="001B41BD">
            <w:r w:rsidRPr="00670188">
              <w:t>45 - 54</w:t>
            </w:r>
          </w:p>
        </w:tc>
        <w:tc>
          <w:tcPr>
            <w:tcW w:w="3117" w:type="dxa"/>
            <w:vAlign w:val="bottom"/>
          </w:tcPr>
          <w:p w14:paraId="686B1B66" w14:textId="77777777" w:rsidR="0030357E" w:rsidRPr="00670188" w:rsidRDefault="0030357E" w:rsidP="001B41BD">
            <w:r>
              <w:t>14.8</w:t>
            </w:r>
          </w:p>
        </w:tc>
        <w:tc>
          <w:tcPr>
            <w:tcW w:w="3117" w:type="dxa"/>
            <w:vAlign w:val="bottom"/>
          </w:tcPr>
          <w:p w14:paraId="700719E7" w14:textId="77777777" w:rsidR="0030357E" w:rsidRPr="00670188" w:rsidRDefault="0030357E" w:rsidP="001B41BD">
            <w:r>
              <w:t>18.5</w:t>
            </w:r>
          </w:p>
        </w:tc>
      </w:tr>
      <w:tr w:rsidR="0030357E" w14:paraId="4163A220" w14:textId="77777777" w:rsidTr="001B41BD">
        <w:tc>
          <w:tcPr>
            <w:tcW w:w="3116" w:type="dxa"/>
            <w:vAlign w:val="bottom"/>
          </w:tcPr>
          <w:p w14:paraId="659A6C49" w14:textId="77777777" w:rsidR="0030357E" w:rsidRPr="00670188" w:rsidRDefault="0030357E" w:rsidP="001B41BD">
            <w:r w:rsidRPr="00670188">
              <w:t>55 - 64</w:t>
            </w:r>
          </w:p>
        </w:tc>
        <w:tc>
          <w:tcPr>
            <w:tcW w:w="3117" w:type="dxa"/>
            <w:vAlign w:val="bottom"/>
          </w:tcPr>
          <w:p w14:paraId="70392959" w14:textId="77777777" w:rsidR="0030357E" w:rsidRPr="00670188" w:rsidRDefault="0030357E" w:rsidP="001B41BD">
            <w:r>
              <w:t>17.8</w:t>
            </w:r>
          </w:p>
        </w:tc>
        <w:tc>
          <w:tcPr>
            <w:tcW w:w="3117" w:type="dxa"/>
            <w:vAlign w:val="bottom"/>
          </w:tcPr>
          <w:p w14:paraId="5BF42CB2" w14:textId="77777777" w:rsidR="0030357E" w:rsidRPr="00670188" w:rsidRDefault="0030357E" w:rsidP="001B41BD">
            <w:r>
              <w:t>17.0</w:t>
            </w:r>
          </w:p>
        </w:tc>
      </w:tr>
      <w:tr w:rsidR="0030357E" w14:paraId="21D6C6BC" w14:textId="77777777" w:rsidTr="001B41BD">
        <w:tc>
          <w:tcPr>
            <w:tcW w:w="3116" w:type="dxa"/>
            <w:vAlign w:val="bottom"/>
          </w:tcPr>
          <w:p w14:paraId="264F69F6" w14:textId="77777777" w:rsidR="0030357E" w:rsidRPr="00670188" w:rsidRDefault="0030357E" w:rsidP="001B41BD">
            <w:r w:rsidRPr="00670188">
              <w:t>65 +</w:t>
            </w:r>
          </w:p>
        </w:tc>
        <w:tc>
          <w:tcPr>
            <w:tcW w:w="3117" w:type="dxa"/>
            <w:vAlign w:val="bottom"/>
          </w:tcPr>
          <w:p w14:paraId="4FA0CF05" w14:textId="77777777" w:rsidR="0030357E" w:rsidRPr="00670188" w:rsidRDefault="0030357E" w:rsidP="001B41BD">
            <w:r>
              <w:t>5.3</w:t>
            </w:r>
          </w:p>
        </w:tc>
        <w:tc>
          <w:tcPr>
            <w:tcW w:w="3117" w:type="dxa"/>
            <w:vAlign w:val="bottom"/>
          </w:tcPr>
          <w:p w14:paraId="6732C5AF" w14:textId="77777777" w:rsidR="0030357E" w:rsidRPr="00670188" w:rsidRDefault="0030357E" w:rsidP="001B41BD">
            <w:r>
              <w:t>5.2</w:t>
            </w:r>
          </w:p>
        </w:tc>
      </w:tr>
    </w:tbl>
    <w:p w14:paraId="4792CCF3" w14:textId="77777777" w:rsidR="0030357E" w:rsidRPr="002B50C5" w:rsidRDefault="0030357E" w:rsidP="0030357E">
      <w:r w:rsidRPr="002B50C5">
        <w:t xml:space="preserve">Source: SC DHEC Vital Statistics, 2017- 2021; CDC NCHS, 2017-2021. </w:t>
      </w:r>
    </w:p>
    <w:p w14:paraId="65CD5806" w14:textId="77777777" w:rsidR="0030357E" w:rsidRDefault="0030357E" w:rsidP="0030357E">
      <w:r w:rsidRPr="002B50C5">
        <w:lastRenderedPageBreak/>
        <w:t>Note: Population for year 2021 based on single-race estimates and for years prior based on bridge-race estimates.</w:t>
      </w:r>
    </w:p>
    <w:p w14:paraId="33B98016" w14:textId="77777777" w:rsidR="0030357E" w:rsidRDefault="0030357E" w:rsidP="0030357E">
      <w:pPr>
        <w:pStyle w:val="Heading4"/>
      </w:pPr>
      <w:bookmarkStart w:id="874" w:name="_Toc154576545"/>
    </w:p>
    <w:p w14:paraId="11B6BE8A" w14:textId="568E7F61" w:rsidR="0030357E" w:rsidRDefault="0030357E" w:rsidP="0030357E">
      <w:pPr>
        <w:pStyle w:val="Heading4"/>
      </w:pPr>
      <w:bookmarkStart w:id="875" w:name="_Toc162267591"/>
      <w:r>
        <w:t>Figure 9.63: Suicide Among Adults Aged 18-64, by Race/Ethnicity and Sex.</w:t>
      </w:r>
      <w:bookmarkEnd w:id="874"/>
      <w:bookmarkEnd w:id="875"/>
    </w:p>
    <w:p w14:paraId="2AB87E3D" w14:textId="77777777" w:rsidR="0030357E" w:rsidRPr="00670188" w:rsidRDefault="0030357E" w:rsidP="0030357E">
      <w:pPr>
        <w:pStyle w:val="Heading5"/>
      </w:pPr>
      <w:r>
        <w:t>Rate per 100,000 population.</w:t>
      </w:r>
    </w:p>
    <w:tbl>
      <w:tblPr>
        <w:tblStyle w:val="TableGrid"/>
        <w:tblW w:w="0" w:type="auto"/>
        <w:tblLook w:val="04A0" w:firstRow="1" w:lastRow="0" w:firstColumn="1" w:lastColumn="0" w:noHBand="0" w:noVBand="1"/>
      </w:tblPr>
      <w:tblGrid>
        <w:gridCol w:w="4675"/>
        <w:gridCol w:w="4675"/>
      </w:tblGrid>
      <w:tr w:rsidR="0030357E" w14:paraId="5653BEE2" w14:textId="77777777" w:rsidTr="001B41BD">
        <w:tc>
          <w:tcPr>
            <w:tcW w:w="4675" w:type="dxa"/>
            <w:vAlign w:val="bottom"/>
          </w:tcPr>
          <w:p w14:paraId="02CFB64B" w14:textId="77777777" w:rsidR="0030357E" w:rsidRPr="00670188" w:rsidRDefault="0030357E" w:rsidP="001B41BD">
            <w:r>
              <w:t>Race/Ethnicity and Sex</w:t>
            </w:r>
          </w:p>
        </w:tc>
        <w:tc>
          <w:tcPr>
            <w:tcW w:w="4675" w:type="dxa"/>
            <w:vAlign w:val="bottom"/>
          </w:tcPr>
          <w:p w14:paraId="7590FD56" w14:textId="77777777" w:rsidR="0030357E" w:rsidRPr="00670188" w:rsidRDefault="0030357E" w:rsidP="001B41BD">
            <w:r w:rsidRPr="00670188">
              <w:t>Rate</w:t>
            </w:r>
          </w:p>
        </w:tc>
      </w:tr>
      <w:tr w:rsidR="0030357E" w14:paraId="52B527AB" w14:textId="77777777" w:rsidTr="001B41BD">
        <w:tc>
          <w:tcPr>
            <w:tcW w:w="4675" w:type="dxa"/>
            <w:vAlign w:val="bottom"/>
          </w:tcPr>
          <w:p w14:paraId="65CED16C" w14:textId="77777777" w:rsidR="0030357E" w:rsidRPr="00670188" w:rsidRDefault="0030357E" w:rsidP="001B41BD">
            <w:r w:rsidRPr="00670188">
              <w:t>Non-Hispanic White Male</w:t>
            </w:r>
          </w:p>
        </w:tc>
        <w:tc>
          <w:tcPr>
            <w:tcW w:w="4675" w:type="dxa"/>
            <w:vAlign w:val="bottom"/>
          </w:tcPr>
          <w:p w14:paraId="4A44F699" w14:textId="77777777" w:rsidR="0030357E" w:rsidRPr="00670188" w:rsidRDefault="0030357E" w:rsidP="001B41BD">
            <w:r>
              <w:t>42.4</w:t>
            </w:r>
          </w:p>
        </w:tc>
      </w:tr>
      <w:tr w:rsidR="0030357E" w14:paraId="43E8BCCB" w14:textId="77777777" w:rsidTr="001B41BD">
        <w:tc>
          <w:tcPr>
            <w:tcW w:w="4675" w:type="dxa"/>
            <w:vAlign w:val="bottom"/>
          </w:tcPr>
          <w:p w14:paraId="0ABFAE08" w14:textId="77777777" w:rsidR="0030357E" w:rsidRPr="00670188" w:rsidRDefault="0030357E" w:rsidP="001B41BD">
            <w:r w:rsidRPr="00670188">
              <w:t>Non-Hispanic Black Male</w:t>
            </w:r>
          </w:p>
        </w:tc>
        <w:tc>
          <w:tcPr>
            <w:tcW w:w="4675" w:type="dxa"/>
            <w:vAlign w:val="bottom"/>
          </w:tcPr>
          <w:p w14:paraId="76841363" w14:textId="77777777" w:rsidR="0030357E" w:rsidRPr="00670188" w:rsidRDefault="0030357E" w:rsidP="001B41BD">
            <w:r>
              <w:t>19.0</w:t>
            </w:r>
          </w:p>
        </w:tc>
      </w:tr>
      <w:tr w:rsidR="0030357E" w14:paraId="5B75F46D" w14:textId="77777777" w:rsidTr="001B41BD">
        <w:tc>
          <w:tcPr>
            <w:tcW w:w="4675" w:type="dxa"/>
            <w:vAlign w:val="bottom"/>
          </w:tcPr>
          <w:p w14:paraId="529F8CF0" w14:textId="77777777" w:rsidR="0030357E" w:rsidRPr="00670188" w:rsidRDefault="0030357E" w:rsidP="001B41BD">
            <w:r w:rsidRPr="00670188">
              <w:t>Non-Hispanic White Female</w:t>
            </w:r>
          </w:p>
        </w:tc>
        <w:tc>
          <w:tcPr>
            <w:tcW w:w="4675" w:type="dxa"/>
            <w:vAlign w:val="bottom"/>
          </w:tcPr>
          <w:p w14:paraId="4DEEC12F" w14:textId="77777777" w:rsidR="0030357E" w:rsidRPr="00670188" w:rsidRDefault="0030357E" w:rsidP="001B41BD">
            <w:r>
              <w:t>11.8</w:t>
            </w:r>
          </w:p>
        </w:tc>
      </w:tr>
      <w:tr w:rsidR="0030357E" w14:paraId="0B2FB0AD" w14:textId="77777777" w:rsidTr="001B41BD">
        <w:tc>
          <w:tcPr>
            <w:tcW w:w="4675" w:type="dxa"/>
            <w:vAlign w:val="bottom"/>
          </w:tcPr>
          <w:p w14:paraId="572ED6F5" w14:textId="77777777" w:rsidR="0030357E" w:rsidRPr="00670188" w:rsidRDefault="0030357E" w:rsidP="001B41BD">
            <w:r w:rsidRPr="00670188">
              <w:t>Non-Hispanic Black Female</w:t>
            </w:r>
          </w:p>
        </w:tc>
        <w:tc>
          <w:tcPr>
            <w:tcW w:w="4675" w:type="dxa"/>
            <w:vAlign w:val="bottom"/>
          </w:tcPr>
          <w:p w14:paraId="3AF95B48" w14:textId="77777777" w:rsidR="0030357E" w:rsidRPr="00670188" w:rsidRDefault="0030357E" w:rsidP="001B41BD">
            <w:r>
              <w:t>2.6</w:t>
            </w:r>
          </w:p>
        </w:tc>
      </w:tr>
    </w:tbl>
    <w:p w14:paraId="3F999651" w14:textId="77777777" w:rsidR="0030357E" w:rsidRPr="00670188" w:rsidRDefault="0030357E" w:rsidP="0030357E">
      <w:r w:rsidRPr="00670188">
        <w:t xml:space="preserve">Source: SC DHEC Vital Statistics, 2017- 2021. </w:t>
      </w:r>
    </w:p>
    <w:p w14:paraId="0228877B" w14:textId="77777777" w:rsidR="0030357E" w:rsidRDefault="0030357E" w:rsidP="0030357E">
      <w:r w:rsidRPr="00670188">
        <w:t>Note: Population for year 2021 based on single-race estimates and for years prior based on bridge-race estimates.</w:t>
      </w:r>
    </w:p>
    <w:p w14:paraId="684774B9" w14:textId="77777777" w:rsidR="0030357E" w:rsidRDefault="0030357E" w:rsidP="0030357E">
      <w:pPr>
        <w:pStyle w:val="Heading4"/>
      </w:pPr>
      <w:bookmarkStart w:id="876" w:name="_Toc154576546"/>
    </w:p>
    <w:p w14:paraId="78870896" w14:textId="1B09F6A2" w:rsidR="0030357E" w:rsidRDefault="0030357E" w:rsidP="0030357E">
      <w:pPr>
        <w:pStyle w:val="Heading4"/>
      </w:pPr>
      <w:bookmarkStart w:id="877" w:name="_Toc162267592"/>
      <w:r>
        <w:t xml:space="preserve">Figure 9.64: </w:t>
      </w:r>
      <w:r w:rsidRPr="002B50C5">
        <w:t>Nonfatal Self-Harm Emergency Department Visits Among Adults 18-64, by Sex</w:t>
      </w:r>
      <w:r>
        <w:t>.</w:t>
      </w:r>
      <w:bookmarkEnd w:id="876"/>
      <w:bookmarkEnd w:id="877"/>
    </w:p>
    <w:tbl>
      <w:tblPr>
        <w:tblStyle w:val="TableGrid"/>
        <w:tblW w:w="0" w:type="auto"/>
        <w:tblLook w:val="04A0" w:firstRow="1" w:lastRow="0" w:firstColumn="1" w:lastColumn="0" w:noHBand="0" w:noVBand="1"/>
      </w:tblPr>
      <w:tblGrid>
        <w:gridCol w:w="4675"/>
        <w:gridCol w:w="4675"/>
      </w:tblGrid>
      <w:tr w:rsidR="0030357E" w14:paraId="079291DF" w14:textId="77777777" w:rsidTr="001B41BD">
        <w:tc>
          <w:tcPr>
            <w:tcW w:w="4675" w:type="dxa"/>
          </w:tcPr>
          <w:p w14:paraId="6F614D56" w14:textId="77777777" w:rsidR="0030357E" w:rsidRDefault="0030357E" w:rsidP="001B41BD">
            <w:r>
              <w:t>Sex</w:t>
            </w:r>
          </w:p>
        </w:tc>
        <w:tc>
          <w:tcPr>
            <w:tcW w:w="4675" w:type="dxa"/>
          </w:tcPr>
          <w:p w14:paraId="02E0DD33" w14:textId="77777777" w:rsidR="0030357E" w:rsidRDefault="0030357E" w:rsidP="001B41BD">
            <w:r>
              <w:t>Rate</w:t>
            </w:r>
          </w:p>
        </w:tc>
      </w:tr>
      <w:tr w:rsidR="0030357E" w14:paraId="32E0FBFC" w14:textId="77777777" w:rsidTr="001B41BD">
        <w:tc>
          <w:tcPr>
            <w:tcW w:w="4675" w:type="dxa"/>
          </w:tcPr>
          <w:p w14:paraId="1CF2CF2A" w14:textId="77777777" w:rsidR="0030357E" w:rsidRDefault="0030357E" w:rsidP="001B41BD">
            <w:r>
              <w:t>Male</w:t>
            </w:r>
          </w:p>
        </w:tc>
        <w:tc>
          <w:tcPr>
            <w:tcW w:w="4675" w:type="dxa"/>
          </w:tcPr>
          <w:p w14:paraId="2A023CBE" w14:textId="77777777" w:rsidR="0030357E" w:rsidRDefault="0030357E" w:rsidP="001B41BD">
            <w:r>
              <w:t>122.5</w:t>
            </w:r>
          </w:p>
        </w:tc>
      </w:tr>
      <w:tr w:rsidR="0030357E" w14:paraId="4192A791" w14:textId="77777777" w:rsidTr="001B41BD">
        <w:tc>
          <w:tcPr>
            <w:tcW w:w="4675" w:type="dxa"/>
          </w:tcPr>
          <w:p w14:paraId="7C2FC228" w14:textId="77777777" w:rsidR="0030357E" w:rsidRDefault="0030357E" w:rsidP="001B41BD">
            <w:r>
              <w:t>Female</w:t>
            </w:r>
          </w:p>
        </w:tc>
        <w:tc>
          <w:tcPr>
            <w:tcW w:w="4675" w:type="dxa"/>
          </w:tcPr>
          <w:p w14:paraId="4F38654A" w14:textId="77777777" w:rsidR="0030357E" w:rsidRDefault="0030357E" w:rsidP="001B41BD">
            <w:r>
              <w:t>140.0</w:t>
            </w:r>
          </w:p>
        </w:tc>
      </w:tr>
    </w:tbl>
    <w:p w14:paraId="32333DCB" w14:textId="77777777" w:rsidR="0030357E" w:rsidRPr="002B50C5" w:rsidRDefault="0030357E" w:rsidP="0030357E">
      <w:r w:rsidRPr="002B50C5">
        <w:t xml:space="preserve">Source: SC RFA, 2019-2021. </w:t>
      </w:r>
    </w:p>
    <w:p w14:paraId="72D65F99" w14:textId="77777777" w:rsidR="0030357E" w:rsidRPr="00670188" w:rsidRDefault="0030357E" w:rsidP="0030357E">
      <w:r w:rsidRPr="002B50C5">
        <w:t>Note: Includes cases subsequently admitted as an inpatient to the same hospital from the ED, initial encounter for injury only. Population for year 2021 based on single-race estimates and for years prior based on bridge-race estimates.</w:t>
      </w:r>
    </w:p>
    <w:p w14:paraId="1CC615F7" w14:textId="77777777" w:rsidR="0030357E" w:rsidRDefault="0030357E" w:rsidP="0030357E">
      <w:pPr>
        <w:rPr>
          <w:b/>
          <w:bCs/>
        </w:rPr>
      </w:pPr>
    </w:p>
    <w:p w14:paraId="1E4704C9" w14:textId="77777777" w:rsidR="0030357E" w:rsidRPr="0030357E" w:rsidRDefault="0030357E" w:rsidP="0030357E">
      <w:pPr>
        <w:pStyle w:val="Heading4"/>
      </w:pPr>
      <w:bookmarkStart w:id="878" w:name="_Toc162267593"/>
      <w:r w:rsidRPr="0030357E">
        <w:t>Data Interpretations:</w:t>
      </w:r>
      <w:bookmarkEnd w:id="878"/>
      <w:r w:rsidRPr="0030357E">
        <w:t xml:space="preserve"> </w:t>
      </w:r>
    </w:p>
    <w:p w14:paraId="1EF988C7" w14:textId="7FE8BA7B" w:rsidR="0030357E" w:rsidRDefault="0030357E" w:rsidP="0030357E">
      <w:r w:rsidRPr="0030357E">
        <w:t>From 2019-2021 in SC, Chester County had the highest suicide rate (24.3 deaths per 100,000 population) while Dillon County had the lowest suicide rate (8.2 deaths per 100,000 population) (</w:t>
      </w:r>
      <w:r w:rsidRPr="0030357E">
        <w:rPr>
          <w:b/>
          <w:bCs/>
        </w:rPr>
        <w:t>Figure 9.60</w:t>
      </w:r>
      <w:r w:rsidRPr="0030357E">
        <w:t>). Suicide has increased in SC from a rate of 13.5 deaths per 100,000 population in 2012, to 15.0 deaths per 100,000 population in 2021 (</w:t>
      </w:r>
      <w:r w:rsidRPr="0030357E">
        <w:rPr>
          <w:b/>
          <w:bCs/>
        </w:rPr>
        <w:t>Figure 9.61</w:t>
      </w:r>
      <w:r w:rsidRPr="0030357E">
        <w:t>). This rate is higher than the US’s 2021 suicide rate of 14.1 deaths per 100,000 population (</w:t>
      </w:r>
      <w:r w:rsidRPr="0030357E">
        <w:rPr>
          <w:b/>
          <w:bCs/>
        </w:rPr>
        <w:t>Figure 9.61</w:t>
      </w:r>
      <w:r w:rsidRPr="0030357E">
        <w:t xml:space="preserve">). The rate of suicide for SC adults ages 18-64 was 19.5 deaths per 100,000 population in 2021. As of 2021, SC did not reach the Healthy People 2030 goal to reduce the rate of suicide deaths to 12.8 suicides per 100,000 population. SC had higher rates of suicide than the US in every age group, </w:t>
      </w:r>
      <w:proofErr w:type="gramStart"/>
      <w:r w:rsidRPr="0030357E">
        <w:t>with the exception of</w:t>
      </w:r>
      <w:proofErr w:type="gramEnd"/>
      <w:r w:rsidRPr="0030357E">
        <w:t xml:space="preserve"> the 55-64 age group (</w:t>
      </w:r>
      <w:r w:rsidRPr="0030357E">
        <w:rPr>
          <w:b/>
          <w:bCs/>
        </w:rPr>
        <w:t>Figure 9.62</w:t>
      </w:r>
      <w:r w:rsidRPr="0030357E">
        <w:t xml:space="preserve">). The highest rates of suicide in SC from 2017-2021 were in the 18-24 age group with a </w:t>
      </w:r>
      <w:r w:rsidRPr="0030357E">
        <w:lastRenderedPageBreak/>
        <w:t>rate of 22.0 deaths per 100,000 (</w:t>
      </w:r>
      <w:r w:rsidRPr="0030357E">
        <w:rPr>
          <w:b/>
          <w:bCs/>
        </w:rPr>
        <w:t>Figure 9.62</w:t>
      </w:r>
      <w:r w:rsidRPr="0030357E">
        <w:t>). The lowest rates of suicide were among the 10-17 age group with a rate of 5.3 deaths per 100,000 population (</w:t>
      </w:r>
      <w:r w:rsidRPr="0030357E">
        <w:rPr>
          <w:b/>
          <w:bCs/>
        </w:rPr>
        <w:t>Figure 9.62</w:t>
      </w:r>
      <w:r w:rsidRPr="0030357E">
        <w:t xml:space="preserve">). </w:t>
      </w:r>
    </w:p>
    <w:p w14:paraId="6BEEBD04" w14:textId="77777777" w:rsidR="0030357E" w:rsidRPr="0030357E" w:rsidRDefault="0030357E" w:rsidP="0030357E"/>
    <w:p w14:paraId="6601072B" w14:textId="77777777" w:rsidR="0030357E" w:rsidRPr="0030357E" w:rsidRDefault="0030357E" w:rsidP="0030357E">
      <w:r w:rsidRPr="0030357E">
        <w:t>Males in SC are more likely to die by suicide than females. Among the SC adult (ages 18-64) population, non-Hispanic White males have the highest rate of suicide with a rate of 42.4 deaths per 100,000 population from 2017-2021 (</w:t>
      </w:r>
      <w:r w:rsidRPr="0030357E">
        <w:rPr>
          <w:b/>
          <w:bCs/>
        </w:rPr>
        <w:t>Figure 9.63</w:t>
      </w:r>
      <w:r w:rsidRPr="0030357E">
        <w:t>). Non-Hispanic Black males also have a higher rate of suicide compared to females, with a rate of 19.0 deaths per 100,000 population (</w:t>
      </w:r>
      <w:r w:rsidRPr="0030357E">
        <w:rPr>
          <w:b/>
          <w:bCs/>
        </w:rPr>
        <w:t>Figure 9.63</w:t>
      </w:r>
      <w:r w:rsidRPr="0030357E">
        <w:t>). The suicide rate for non-Hispanic White females is 11.8 deaths per 100,000 population and 2.6 deaths per 100,000 population for non-Hispanic Black females (</w:t>
      </w:r>
      <w:r w:rsidRPr="0030357E">
        <w:rPr>
          <w:b/>
          <w:bCs/>
        </w:rPr>
        <w:t>Figure 9.63</w:t>
      </w:r>
      <w:r w:rsidRPr="0030357E">
        <w:t>). Although suicide rates were higher for males, data from SCVDRS from 2016-2019 shows that among those with known circumstances, females who died by suicide were more likely to have a diagnosed mental health problem compared to males. In addition, females aged 18-64 in SC had a higher rate of nonfatal self-harm ED visits compared to males of the same age from 2019-2021 (</w:t>
      </w:r>
      <w:r w:rsidRPr="0030357E">
        <w:rPr>
          <w:b/>
          <w:bCs/>
        </w:rPr>
        <w:t>Figure 9.64</w:t>
      </w:r>
      <w:r w:rsidRPr="0030357E">
        <w:t xml:space="preserve">). </w:t>
      </w:r>
    </w:p>
    <w:p w14:paraId="2F7E59CA" w14:textId="77777777" w:rsidR="0030357E" w:rsidRDefault="0030357E" w:rsidP="0030357E">
      <w:pPr>
        <w:rPr>
          <w:b/>
          <w:bCs/>
        </w:rPr>
      </w:pPr>
    </w:p>
    <w:p w14:paraId="0E41A24B" w14:textId="77777777" w:rsidR="0030357E" w:rsidRPr="0030357E" w:rsidRDefault="0030357E" w:rsidP="0030357E">
      <w:pPr>
        <w:pStyle w:val="Heading5"/>
      </w:pPr>
      <w:r w:rsidRPr="0030357E">
        <w:t xml:space="preserve">Key Takeaways: </w:t>
      </w:r>
    </w:p>
    <w:p w14:paraId="7F077891" w14:textId="3774933F" w:rsidR="0030357E" w:rsidRPr="0030357E" w:rsidRDefault="0030357E" w:rsidP="00926EB3">
      <w:pPr>
        <w:pStyle w:val="ListParagraph"/>
        <w:numPr>
          <w:ilvl w:val="0"/>
          <w:numId w:val="228"/>
        </w:numPr>
      </w:pPr>
      <w:r w:rsidRPr="0030357E">
        <w:t>Non-Hispanic White males have the highest rates of suicide in SC.</w:t>
      </w:r>
    </w:p>
    <w:p w14:paraId="7FE57D5A" w14:textId="77777777" w:rsidR="0030357E" w:rsidRDefault="0030357E" w:rsidP="0030357E">
      <w:pPr>
        <w:rPr>
          <w:b/>
          <w:bCs/>
        </w:rPr>
      </w:pPr>
    </w:p>
    <w:p w14:paraId="670A2826" w14:textId="0EDABB0E" w:rsidR="0030357E" w:rsidRPr="00474B85" w:rsidRDefault="0030357E" w:rsidP="0030357E">
      <w:pPr>
        <w:pStyle w:val="Heading4"/>
        <w:rPr>
          <w:rFonts w:asciiTheme="minorHAnsi" w:hAnsiTheme="minorHAnsi" w:cstheme="minorHAnsi"/>
          <w:color w:val="000000" w:themeColor="text1"/>
        </w:rPr>
      </w:pPr>
      <w:bookmarkStart w:id="879" w:name="_Toc162267594"/>
      <w:r w:rsidRPr="00474B85">
        <w:rPr>
          <w:rFonts w:asciiTheme="minorHAnsi" w:hAnsiTheme="minorHAnsi" w:cstheme="minorHAnsi"/>
          <w:color w:val="000000" w:themeColor="text1"/>
        </w:rPr>
        <w:t>References 9.2</w:t>
      </w:r>
      <w:r>
        <w:rPr>
          <w:rFonts w:asciiTheme="minorHAnsi" w:hAnsiTheme="minorHAnsi" w:cstheme="minorHAnsi"/>
          <w:color w:val="000000" w:themeColor="text1"/>
        </w:rPr>
        <w:t>4</w:t>
      </w:r>
      <w:bookmarkEnd w:id="879"/>
      <w:r w:rsidRPr="00474B85">
        <w:rPr>
          <w:rFonts w:asciiTheme="minorHAnsi" w:hAnsiTheme="minorHAnsi" w:cstheme="minorHAnsi"/>
          <w:color w:val="000000" w:themeColor="text1"/>
        </w:rPr>
        <w:t xml:space="preserve"> </w:t>
      </w:r>
    </w:p>
    <w:p w14:paraId="0BB3252E" w14:textId="77777777" w:rsidR="0030357E" w:rsidRPr="00474B85" w:rsidRDefault="0030357E" w:rsidP="0030357E">
      <w:r w:rsidRPr="00474B85">
        <w:t>Statistics in the preceding section were referenced from the following reports:</w:t>
      </w:r>
    </w:p>
    <w:p w14:paraId="35A5DA81" w14:textId="68136F41" w:rsidR="00FA4A1D" w:rsidRPr="00FA4A1D" w:rsidRDefault="00000000" w:rsidP="00926EB3">
      <w:pPr>
        <w:pStyle w:val="ListParagraph"/>
        <w:numPr>
          <w:ilvl w:val="0"/>
          <w:numId w:val="192"/>
        </w:numPr>
        <w:tabs>
          <w:tab w:val="left" w:pos="900"/>
        </w:tabs>
        <w:rPr>
          <w:u w:val="thick"/>
        </w:rPr>
      </w:pPr>
      <w:hyperlink r:id="rId401" w:history="1">
        <w:r w:rsidR="006449E8" w:rsidRPr="006449E8">
          <w:rPr>
            <w:rStyle w:val="Hyperlink"/>
          </w:rPr>
          <w:t>“</w:t>
        </w:r>
        <w:r w:rsidR="00FA4A1D" w:rsidRPr="006449E8">
          <w:rPr>
            <w:rStyle w:val="Hyperlink"/>
          </w:rPr>
          <w:t>Facts about suicide</w:t>
        </w:r>
        <w:r w:rsidR="006449E8" w:rsidRPr="006449E8">
          <w:rPr>
            <w:rStyle w:val="Hyperlink"/>
          </w:rPr>
          <w:t xml:space="preserve">” by the Centers for Disease Control and Prevention, 2022. </w:t>
        </w:r>
        <w:r w:rsidR="00FA4A1D" w:rsidRPr="006449E8">
          <w:rPr>
            <w:rStyle w:val="Hyperlink"/>
          </w:rPr>
          <w:t>Retrieved June 09, 2023</w:t>
        </w:r>
        <w:r w:rsidR="006449E8" w:rsidRPr="006449E8">
          <w:rPr>
            <w:rStyle w:val="Hyperlink"/>
          </w:rPr>
          <w:t>.</w:t>
        </w:r>
      </w:hyperlink>
      <w:r w:rsidR="00FA4A1D" w:rsidRPr="00FA4A1D">
        <w:t xml:space="preserve"> </w:t>
      </w:r>
    </w:p>
    <w:p w14:paraId="36BC5D42" w14:textId="50A6175A" w:rsidR="00FA4A1D" w:rsidRPr="00FA4A1D" w:rsidRDefault="00000000" w:rsidP="00926EB3">
      <w:pPr>
        <w:pStyle w:val="ListParagraph"/>
        <w:numPr>
          <w:ilvl w:val="0"/>
          <w:numId w:val="192"/>
        </w:numPr>
        <w:tabs>
          <w:tab w:val="left" w:pos="900"/>
        </w:tabs>
        <w:rPr>
          <w:u w:val="thick"/>
        </w:rPr>
      </w:pPr>
      <w:hyperlink r:id="rId402" w:history="1">
        <w:r w:rsidR="00FA4A1D" w:rsidRPr="006449E8">
          <w:rPr>
            <w:rStyle w:val="Hyperlink"/>
          </w:rPr>
          <w:t>SCDHEC Vital Statistics</w:t>
        </w:r>
        <w:r w:rsidR="006449E8" w:rsidRPr="006449E8">
          <w:rPr>
            <w:rStyle w:val="Hyperlink"/>
          </w:rPr>
          <w:t xml:space="preserve">, </w:t>
        </w:r>
        <w:r w:rsidR="00FA4A1D" w:rsidRPr="006449E8">
          <w:rPr>
            <w:rStyle w:val="Hyperlink"/>
          </w:rPr>
          <w:t>2020. Retrieved November 30, 2022</w:t>
        </w:r>
        <w:r w:rsidR="006449E8" w:rsidRPr="006449E8">
          <w:rPr>
            <w:rStyle w:val="Hyperlink"/>
          </w:rPr>
          <w:t>.</w:t>
        </w:r>
      </w:hyperlink>
    </w:p>
    <w:p w14:paraId="2EF9AF64" w14:textId="77777777" w:rsidR="0030357E" w:rsidRDefault="0030357E" w:rsidP="0030357E"/>
    <w:p w14:paraId="5BBC1020" w14:textId="77777777" w:rsidR="0030357E" w:rsidRPr="0030357E" w:rsidRDefault="0030357E" w:rsidP="0030357E">
      <w:pPr>
        <w:pStyle w:val="Heading3"/>
      </w:pPr>
      <w:bookmarkStart w:id="880" w:name="_Toc162267595"/>
      <w:r w:rsidRPr="0030357E">
        <w:t>Firearm-Related Injuries</w:t>
      </w:r>
      <w:bookmarkEnd w:id="880"/>
    </w:p>
    <w:p w14:paraId="0FE514B3" w14:textId="6E796CB6" w:rsidR="0030357E" w:rsidRPr="0030357E" w:rsidRDefault="0030357E" w:rsidP="0030357E">
      <w:pPr>
        <w:rPr>
          <w:b/>
          <w:bCs/>
        </w:rPr>
      </w:pPr>
      <w:r w:rsidRPr="0030357E">
        <w:t>There are many types of firearm injuries, which can be either fatal or nonfatal. These can include categories of intentionally self-inflicted, unintentional, and interpersonal violence. In 2021, more than half of firearm-related deaths in the US were suicides, while more than 40% were homicides.</w:t>
      </w:r>
      <w:r>
        <w:rPr>
          <w:b/>
          <w:bCs/>
        </w:rPr>
        <w:t xml:space="preserve"> </w:t>
      </w:r>
      <w:r w:rsidRPr="0030357E">
        <w:t xml:space="preserve">Firearm injuries affect people of all ages; however, adults ages 20-34 are most affected by firearm-related deaths. Firearm-related injuries were among the top five leading causes of death for people 1-44 in 2020. Males account for 86% of all victims of firearm deaths and 87% of nonfatal firearm injuries. People who survive a firearm-related injury may experience long-term consequences, but the effects of firearm violence extend beyond victims and their families. Shooting incidents can affect the sense </w:t>
      </w:r>
      <w:r w:rsidRPr="0030357E">
        <w:lastRenderedPageBreak/>
        <w:t>of safety and security of entire communities and are also costly. Firearm violence costs the US tens of billions of dollars each year in medical and lost productivity costs.</w:t>
      </w:r>
    </w:p>
    <w:p w14:paraId="294F07ED" w14:textId="77777777" w:rsidR="0030357E" w:rsidRDefault="0030357E" w:rsidP="0030357E">
      <w:pPr>
        <w:pStyle w:val="Heading4"/>
      </w:pPr>
      <w:bookmarkStart w:id="881" w:name="_Toc154576547"/>
    </w:p>
    <w:p w14:paraId="08B061B6" w14:textId="744F8284" w:rsidR="0030357E" w:rsidRDefault="0030357E" w:rsidP="0030357E">
      <w:pPr>
        <w:pStyle w:val="Heading4"/>
      </w:pPr>
      <w:bookmarkStart w:id="882" w:name="_Toc162267596"/>
      <w:r>
        <w:t>Figure 9.65: Firearm-Related Deaths, All Ages.</w:t>
      </w:r>
      <w:bookmarkEnd w:id="881"/>
      <w:bookmarkEnd w:id="882"/>
    </w:p>
    <w:p w14:paraId="71A12761" w14:textId="77777777" w:rsidR="0030357E" w:rsidRPr="002B50C5" w:rsidRDefault="0030357E" w:rsidP="0030357E">
      <w:pPr>
        <w:pStyle w:val="Heading5"/>
      </w:pPr>
      <w:r>
        <w:t>Rate per 100,000 population.</w:t>
      </w:r>
    </w:p>
    <w:tbl>
      <w:tblPr>
        <w:tblStyle w:val="TableGrid"/>
        <w:tblW w:w="0" w:type="auto"/>
        <w:tblLook w:val="04A0" w:firstRow="1" w:lastRow="0" w:firstColumn="1" w:lastColumn="0" w:noHBand="0" w:noVBand="1"/>
      </w:tblPr>
      <w:tblGrid>
        <w:gridCol w:w="1870"/>
        <w:gridCol w:w="1870"/>
        <w:gridCol w:w="1870"/>
        <w:gridCol w:w="1870"/>
        <w:gridCol w:w="1870"/>
      </w:tblGrid>
      <w:tr w:rsidR="0030357E" w14:paraId="2B116C1C" w14:textId="77777777" w:rsidTr="001B41BD">
        <w:tc>
          <w:tcPr>
            <w:tcW w:w="1870" w:type="dxa"/>
            <w:vAlign w:val="bottom"/>
          </w:tcPr>
          <w:p w14:paraId="4E70B125" w14:textId="77777777" w:rsidR="0030357E" w:rsidRPr="002B50C5" w:rsidRDefault="0030357E" w:rsidP="001B41BD">
            <w:r w:rsidRPr="002B50C5">
              <w:t xml:space="preserve"> </w:t>
            </w:r>
            <w:r>
              <w:t>Year</w:t>
            </w:r>
          </w:p>
        </w:tc>
        <w:tc>
          <w:tcPr>
            <w:tcW w:w="1870" w:type="dxa"/>
            <w:vAlign w:val="bottom"/>
          </w:tcPr>
          <w:p w14:paraId="5448AA7D" w14:textId="77777777" w:rsidR="0030357E" w:rsidRPr="002B50C5" w:rsidRDefault="0030357E" w:rsidP="001B41BD">
            <w:r w:rsidRPr="002B50C5">
              <w:t>Overall deaths by firearms</w:t>
            </w:r>
          </w:p>
        </w:tc>
        <w:tc>
          <w:tcPr>
            <w:tcW w:w="1870" w:type="dxa"/>
            <w:vAlign w:val="bottom"/>
          </w:tcPr>
          <w:p w14:paraId="02C15348" w14:textId="77777777" w:rsidR="0030357E" w:rsidRPr="002B50C5" w:rsidRDefault="0030357E" w:rsidP="001B41BD">
            <w:r w:rsidRPr="002B50C5">
              <w:t>Homicide by firearm</w:t>
            </w:r>
          </w:p>
        </w:tc>
        <w:tc>
          <w:tcPr>
            <w:tcW w:w="1870" w:type="dxa"/>
            <w:vAlign w:val="bottom"/>
          </w:tcPr>
          <w:p w14:paraId="4DA4AAC7" w14:textId="77777777" w:rsidR="0030357E" w:rsidRPr="002B50C5" w:rsidRDefault="0030357E" w:rsidP="001B41BD">
            <w:r w:rsidRPr="002B50C5">
              <w:t>Suicide by firearm</w:t>
            </w:r>
          </w:p>
        </w:tc>
        <w:tc>
          <w:tcPr>
            <w:tcW w:w="1870" w:type="dxa"/>
            <w:vAlign w:val="bottom"/>
          </w:tcPr>
          <w:p w14:paraId="413861EC" w14:textId="77777777" w:rsidR="0030357E" w:rsidRPr="002B50C5" w:rsidRDefault="0030357E" w:rsidP="001B41BD">
            <w:r w:rsidRPr="002B50C5">
              <w:t>Healthy People 2030</w:t>
            </w:r>
            <w:r>
              <w:t xml:space="preserve"> Goal</w:t>
            </w:r>
          </w:p>
        </w:tc>
      </w:tr>
      <w:tr w:rsidR="0030357E" w14:paraId="6F750925" w14:textId="77777777" w:rsidTr="001B41BD">
        <w:tc>
          <w:tcPr>
            <w:tcW w:w="1870" w:type="dxa"/>
            <w:vAlign w:val="center"/>
          </w:tcPr>
          <w:p w14:paraId="566D2BB0" w14:textId="77777777" w:rsidR="0030357E" w:rsidRPr="002B50C5" w:rsidRDefault="0030357E" w:rsidP="001B41BD">
            <w:r w:rsidRPr="002B50C5">
              <w:t>2012</w:t>
            </w:r>
          </w:p>
        </w:tc>
        <w:tc>
          <w:tcPr>
            <w:tcW w:w="1870" w:type="dxa"/>
            <w:vAlign w:val="center"/>
          </w:tcPr>
          <w:p w14:paraId="3531DDA6" w14:textId="77777777" w:rsidR="0030357E" w:rsidRPr="002B50C5" w:rsidRDefault="0030357E" w:rsidP="001B41BD">
            <w:r w:rsidRPr="002B50C5">
              <w:t>15.2</w:t>
            </w:r>
          </w:p>
        </w:tc>
        <w:tc>
          <w:tcPr>
            <w:tcW w:w="1870" w:type="dxa"/>
            <w:vAlign w:val="bottom"/>
          </w:tcPr>
          <w:p w14:paraId="5510F38F" w14:textId="77777777" w:rsidR="0030357E" w:rsidRPr="002B50C5" w:rsidRDefault="0030357E" w:rsidP="001B41BD">
            <w:r w:rsidRPr="002B50C5">
              <w:t>6.1</w:t>
            </w:r>
          </w:p>
        </w:tc>
        <w:tc>
          <w:tcPr>
            <w:tcW w:w="1870" w:type="dxa"/>
            <w:vAlign w:val="bottom"/>
          </w:tcPr>
          <w:p w14:paraId="065C8F04" w14:textId="77777777" w:rsidR="0030357E" w:rsidRPr="002B50C5" w:rsidRDefault="0030357E" w:rsidP="001B41BD">
            <w:r w:rsidRPr="002B50C5">
              <w:t>8.5</w:t>
            </w:r>
          </w:p>
        </w:tc>
        <w:tc>
          <w:tcPr>
            <w:tcW w:w="1870" w:type="dxa"/>
            <w:vAlign w:val="bottom"/>
          </w:tcPr>
          <w:p w14:paraId="27E74CAB" w14:textId="77777777" w:rsidR="0030357E" w:rsidRPr="002B50C5" w:rsidRDefault="0030357E" w:rsidP="001B41BD">
            <w:r w:rsidRPr="002B50C5">
              <w:t>10.7</w:t>
            </w:r>
          </w:p>
        </w:tc>
      </w:tr>
      <w:tr w:rsidR="0030357E" w14:paraId="73F8DA6D" w14:textId="77777777" w:rsidTr="001B41BD">
        <w:tc>
          <w:tcPr>
            <w:tcW w:w="1870" w:type="dxa"/>
            <w:vAlign w:val="center"/>
          </w:tcPr>
          <w:p w14:paraId="77ECC627" w14:textId="77777777" w:rsidR="0030357E" w:rsidRPr="002B50C5" w:rsidRDefault="0030357E" w:rsidP="001B41BD">
            <w:r w:rsidRPr="002B50C5">
              <w:t>2013</w:t>
            </w:r>
          </w:p>
        </w:tc>
        <w:tc>
          <w:tcPr>
            <w:tcW w:w="1870" w:type="dxa"/>
            <w:vAlign w:val="center"/>
          </w:tcPr>
          <w:p w14:paraId="517AADCB" w14:textId="77777777" w:rsidR="0030357E" w:rsidRPr="002B50C5" w:rsidRDefault="0030357E" w:rsidP="001B41BD">
            <w:r w:rsidRPr="002B50C5">
              <w:t>15.1</w:t>
            </w:r>
          </w:p>
        </w:tc>
        <w:tc>
          <w:tcPr>
            <w:tcW w:w="1870" w:type="dxa"/>
            <w:vAlign w:val="bottom"/>
          </w:tcPr>
          <w:p w14:paraId="6A6A26AD" w14:textId="77777777" w:rsidR="0030357E" w:rsidRPr="002B50C5" w:rsidRDefault="0030357E" w:rsidP="001B41BD">
            <w:r w:rsidRPr="002B50C5">
              <w:t>5.3</w:t>
            </w:r>
          </w:p>
        </w:tc>
        <w:tc>
          <w:tcPr>
            <w:tcW w:w="1870" w:type="dxa"/>
            <w:vAlign w:val="bottom"/>
          </w:tcPr>
          <w:p w14:paraId="055AA433" w14:textId="77777777" w:rsidR="0030357E" w:rsidRPr="002B50C5" w:rsidRDefault="0030357E" w:rsidP="001B41BD">
            <w:r w:rsidRPr="002B50C5">
              <w:t>9.2</w:t>
            </w:r>
          </w:p>
        </w:tc>
        <w:tc>
          <w:tcPr>
            <w:tcW w:w="1870" w:type="dxa"/>
            <w:vAlign w:val="bottom"/>
          </w:tcPr>
          <w:p w14:paraId="0159FAD8" w14:textId="77777777" w:rsidR="0030357E" w:rsidRPr="002B50C5" w:rsidRDefault="0030357E" w:rsidP="001B41BD">
            <w:r w:rsidRPr="002B50C5">
              <w:t>10.7</w:t>
            </w:r>
          </w:p>
        </w:tc>
      </w:tr>
      <w:tr w:rsidR="0030357E" w14:paraId="63E54EB8" w14:textId="77777777" w:rsidTr="001B41BD">
        <w:tc>
          <w:tcPr>
            <w:tcW w:w="1870" w:type="dxa"/>
            <w:vAlign w:val="center"/>
          </w:tcPr>
          <w:p w14:paraId="2CE07D03" w14:textId="77777777" w:rsidR="0030357E" w:rsidRPr="002B50C5" w:rsidRDefault="0030357E" w:rsidP="001B41BD">
            <w:r w:rsidRPr="002B50C5">
              <w:t>2014</w:t>
            </w:r>
          </w:p>
        </w:tc>
        <w:tc>
          <w:tcPr>
            <w:tcW w:w="1870" w:type="dxa"/>
            <w:vAlign w:val="center"/>
          </w:tcPr>
          <w:p w14:paraId="3B28B33B" w14:textId="77777777" w:rsidR="0030357E" w:rsidRPr="002B50C5" w:rsidRDefault="0030357E" w:rsidP="001B41BD">
            <w:r w:rsidRPr="002B50C5">
              <w:t>15.6</w:t>
            </w:r>
          </w:p>
        </w:tc>
        <w:tc>
          <w:tcPr>
            <w:tcW w:w="1870" w:type="dxa"/>
            <w:vAlign w:val="bottom"/>
          </w:tcPr>
          <w:p w14:paraId="2370C1CA" w14:textId="77777777" w:rsidR="0030357E" w:rsidRPr="002B50C5" w:rsidRDefault="0030357E" w:rsidP="001B41BD">
            <w:r w:rsidRPr="002B50C5">
              <w:t>5.7</w:t>
            </w:r>
          </w:p>
        </w:tc>
        <w:tc>
          <w:tcPr>
            <w:tcW w:w="1870" w:type="dxa"/>
            <w:vAlign w:val="bottom"/>
          </w:tcPr>
          <w:p w14:paraId="37C736AE" w14:textId="77777777" w:rsidR="0030357E" w:rsidRPr="002B50C5" w:rsidRDefault="0030357E" w:rsidP="001B41BD">
            <w:r w:rsidRPr="002B50C5">
              <w:t>9.5</w:t>
            </w:r>
          </w:p>
        </w:tc>
        <w:tc>
          <w:tcPr>
            <w:tcW w:w="1870" w:type="dxa"/>
            <w:vAlign w:val="bottom"/>
          </w:tcPr>
          <w:p w14:paraId="708971F2" w14:textId="77777777" w:rsidR="0030357E" w:rsidRPr="002B50C5" w:rsidRDefault="0030357E" w:rsidP="001B41BD">
            <w:r w:rsidRPr="002B50C5">
              <w:t>10.7</w:t>
            </w:r>
          </w:p>
        </w:tc>
      </w:tr>
      <w:tr w:rsidR="0030357E" w14:paraId="31849224" w14:textId="77777777" w:rsidTr="001B41BD">
        <w:tc>
          <w:tcPr>
            <w:tcW w:w="1870" w:type="dxa"/>
            <w:vAlign w:val="center"/>
          </w:tcPr>
          <w:p w14:paraId="6F09C1C8" w14:textId="77777777" w:rsidR="0030357E" w:rsidRPr="002B50C5" w:rsidRDefault="0030357E" w:rsidP="001B41BD">
            <w:r w:rsidRPr="002B50C5">
              <w:t>2015</w:t>
            </w:r>
          </w:p>
        </w:tc>
        <w:tc>
          <w:tcPr>
            <w:tcW w:w="1870" w:type="dxa"/>
            <w:vAlign w:val="center"/>
          </w:tcPr>
          <w:p w14:paraId="645C06CC" w14:textId="77777777" w:rsidR="0030357E" w:rsidRPr="002B50C5" w:rsidRDefault="0030357E" w:rsidP="001B41BD">
            <w:r w:rsidRPr="002B50C5">
              <w:t>17.3</w:t>
            </w:r>
          </w:p>
        </w:tc>
        <w:tc>
          <w:tcPr>
            <w:tcW w:w="1870" w:type="dxa"/>
            <w:vAlign w:val="bottom"/>
          </w:tcPr>
          <w:p w14:paraId="397DA497" w14:textId="77777777" w:rsidR="0030357E" w:rsidRPr="002B50C5" w:rsidRDefault="0030357E" w:rsidP="001B41BD">
            <w:r w:rsidRPr="002B50C5">
              <w:t>7.6</w:t>
            </w:r>
          </w:p>
        </w:tc>
        <w:tc>
          <w:tcPr>
            <w:tcW w:w="1870" w:type="dxa"/>
            <w:vAlign w:val="bottom"/>
          </w:tcPr>
          <w:p w14:paraId="241FFE96" w14:textId="77777777" w:rsidR="0030357E" w:rsidRPr="002B50C5" w:rsidRDefault="0030357E" w:rsidP="001B41BD">
            <w:r w:rsidRPr="002B50C5">
              <w:t>9.2</w:t>
            </w:r>
          </w:p>
        </w:tc>
        <w:tc>
          <w:tcPr>
            <w:tcW w:w="1870" w:type="dxa"/>
            <w:vAlign w:val="bottom"/>
          </w:tcPr>
          <w:p w14:paraId="7A769023" w14:textId="77777777" w:rsidR="0030357E" w:rsidRPr="002B50C5" w:rsidRDefault="0030357E" w:rsidP="001B41BD">
            <w:r w:rsidRPr="002B50C5">
              <w:t>10.7</w:t>
            </w:r>
          </w:p>
        </w:tc>
      </w:tr>
      <w:tr w:rsidR="0030357E" w14:paraId="667733D6" w14:textId="77777777" w:rsidTr="001B41BD">
        <w:tc>
          <w:tcPr>
            <w:tcW w:w="1870" w:type="dxa"/>
            <w:vAlign w:val="center"/>
          </w:tcPr>
          <w:p w14:paraId="45E7397B" w14:textId="77777777" w:rsidR="0030357E" w:rsidRPr="002B50C5" w:rsidRDefault="0030357E" w:rsidP="001B41BD">
            <w:r w:rsidRPr="002B50C5">
              <w:t>2016</w:t>
            </w:r>
          </w:p>
        </w:tc>
        <w:tc>
          <w:tcPr>
            <w:tcW w:w="1870" w:type="dxa"/>
            <w:vAlign w:val="center"/>
          </w:tcPr>
          <w:p w14:paraId="52950BAF" w14:textId="77777777" w:rsidR="0030357E" w:rsidRPr="002B50C5" w:rsidRDefault="0030357E" w:rsidP="001B41BD">
            <w:r w:rsidRPr="002B50C5">
              <w:t>17.6</w:t>
            </w:r>
          </w:p>
        </w:tc>
        <w:tc>
          <w:tcPr>
            <w:tcW w:w="1870" w:type="dxa"/>
            <w:vAlign w:val="bottom"/>
          </w:tcPr>
          <w:p w14:paraId="3AEE16E9" w14:textId="77777777" w:rsidR="0030357E" w:rsidRPr="002B50C5" w:rsidRDefault="0030357E" w:rsidP="001B41BD">
            <w:r w:rsidRPr="002B50C5">
              <w:t>7.1</w:t>
            </w:r>
          </w:p>
        </w:tc>
        <w:tc>
          <w:tcPr>
            <w:tcW w:w="1870" w:type="dxa"/>
            <w:vAlign w:val="bottom"/>
          </w:tcPr>
          <w:p w14:paraId="5AF1B66B" w14:textId="77777777" w:rsidR="0030357E" w:rsidRPr="002B50C5" w:rsidRDefault="0030357E" w:rsidP="001B41BD">
            <w:r w:rsidRPr="002B50C5">
              <w:t>9.9</w:t>
            </w:r>
          </w:p>
        </w:tc>
        <w:tc>
          <w:tcPr>
            <w:tcW w:w="1870" w:type="dxa"/>
            <w:vAlign w:val="bottom"/>
          </w:tcPr>
          <w:p w14:paraId="05F0158B" w14:textId="77777777" w:rsidR="0030357E" w:rsidRPr="002B50C5" w:rsidRDefault="0030357E" w:rsidP="001B41BD">
            <w:r w:rsidRPr="002B50C5">
              <w:t>10.7</w:t>
            </w:r>
          </w:p>
        </w:tc>
      </w:tr>
      <w:tr w:rsidR="0030357E" w14:paraId="6ADE2F08" w14:textId="77777777" w:rsidTr="001B41BD">
        <w:tc>
          <w:tcPr>
            <w:tcW w:w="1870" w:type="dxa"/>
            <w:vAlign w:val="center"/>
          </w:tcPr>
          <w:p w14:paraId="060C7761" w14:textId="77777777" w:rsidR="0030357E" w:rsidRPr="002B50C5" w:rsidRDefault="0030357E" w:rsidP="001B41BD">
            <w:r w:rsidRPr="002B50C5">
              <w:t>2017</w:t>
            </w:r>
          </w:p>
        </w:tc>
        <w:tc>
          <w:tcPr>
            <w:tcW w:w="1870" w:type="dxa"/>
            <w:vAlign w:val="center"/>
          </w:tcPr>
          <w:p w14:paraId="274C8787" w14:textId="77777777" w:rsidR="0030357E" w:rsidRPr="002B50C5" w:rsidRDefault="0030357E" w:rsidP="001B41BD">
            <w:r w:rsidRPr="002B50C5">
              <w:t>17.7</w:t>
            </w:r>
          </w:p>
        </w:tc>
        <w:tc>
          <w:tcPr>
            <w:tcW w:w="1870" w:type="dxa"/>
            <w:vAlign w:val="bottom"/>
          </w:tcPr>
          <w:p w14:paraId="3DF7FDDD" w14:textId="77777777" w:rsidR="0030357E" w:rsidRPr="002B50C5" w:rsidRDefault="0030357E" w:rsidP="001B41BD">
            <w:r w:rsidRPr="002B50C5">
              <w:t>7.1</w:t>
            </w:r>
          </w:p>
        </w:tc>
        <w:tc>
          <w:tcPr>
            <w:tcW w:w="1870" w:type="dxa"/>
            <w:vAlign w:val="bottom"/>
          </w:tcPr>
          <w:p w14:paraId="6DD2ED7C" w14:textId="77777777" w:rsidR="0030357E" w:rsidRPr="002B50C5" w:rsidRDefault="0030357E" w:rsidP="001B41BD">
            <w:r w:rsidRPr="002B50C5">
              <w:t>10.0</w:t>
            </w:r>
          </w:p>
        </w:tc>
        <w:tc>
          <w:tcPr>
            <w:tcW w:w="1870" w:type="dxa"/>
            <w:vAlign w:val="bottom"/>
          </w:tcPr>
          <w:p w14:paraId="4FEDA4F5" w14:textId="77777777" w:rsidR="0030357E" w:rsidRPr="002B50C5" w:rsidRDefault="0030357E" w:rsidP="001B41BD">
            <w:r w:rsidRPr="002B50C5">
              <w:t>10.7</w:t>
            </w:r>
          </w:p>
        </w:tc>
      </w:tr>
      <w:tr w:rsidR="0030357E" w14:paraId="40B23659" w14:textId="77777777" w:rsidTr="001B41BD">
        <w:tc>
          <w:tcPr>
            <w:tcW w:w="1870" w:type="dxa"/>
            <w:vAlign w:val="center"/>
          </w:tcPr>
          <w:p w14:paraId="68BF328D" w14:textId="77777777" w:rsidR="0030357E" w:rsidRPr="002B50C5" w:rsidRDefault="0030357E" w:rsidP="001B41BD">
            <w:r w:rsidRPr="002B50C5">
              <w:t>2018</w:t>
            </w:r>
          </w:p>
        </w:tc>
        <w:tc>
          <w:tcPr>
            <w:tcW w:w="1870" w:type="dxa"/>
            <w:vAlign w:val="center"/>
          </w:tcPr>
          <w:p w14:paraId="0A03339A" w14:textId="77777777" w:rsidR="0030357E" w:rsidRPr="002B50C5" w:rsidRDefault="0030357E" w:rsidP="001B41BD">
            <w:r w:rsidRPr="002B50C5">
              <w:t>17.6</w:t>
            </w:r>
          </w:p>
        </w:tc>
        <w:tc>
          <w:tcPr>
            <w:tcW w:w="1870" w:type="dxa"/>
            <w:vAlign w:val="bottom"/>
          </w:tcPr>
          <w:p w14:paraId="37DF4F65" w14:textId="77777777" w:rsidR="0030357E" w:rsidRPr="002B50C5" w:rsidRDefault="0030357E" w:rsidP="001B41BD">
            <w:r w:rsidRPr="002B50C5">
              <w:t>8.0</w:t>
            </w:r>
          </w:p>
        </w:tc>
        <w:tc>
          <w:tcPr>
            <w:tcW w:w="1870" w:type="dxa"/>
            <w:vAlign w:val="bottom"/>
          </w:tcPr>
          <w:p w14:paraId="0CF5B53A" w14:textId="77777777" w:rsidR="0030357E" w:rsidRPr="002B50C5" w:rsidRDefault="0030357E" w:rsidP="001B41BD">
            <w:r w:rsidRPr="002B50C5">
              <w:t>9.1</w:t>
            </w:r>
          </w:p>
        </w:tc>
        <w:tc>
          <w:tcPr>
            <w:tcW w:w="1870" w:type="dxa"/>
            <w:vAlign w:val="bottom"/>
          </w:tcPr>
          <w:p w14:paraId="49363C40" w14:textId="77777777" w:rsidR="0030357E" w:rsidRPr="002B50C5" w:rsidRDefault="0030357E" w:rsidP="001B41BD">
            <w:r w:rsidRPr="002B50C5">
              <w:t>10.7</w:t>
            </w:r>
          </w:p>
        </w:tc>
      </w:tr>
      <w:tr w:rsidR="0030357E" w14:paraId="1A852198" w14:textId="77777777" w:rsidTr="001B41BD">
        <w:tc>
          <w:tcPr>
            <w:tcW w:w="1870" w:type="dxa"/>
            <w:vAlign w:val="center"/>
          </w:tcPr>
          <w:p w14:paraId="0FDBB8AB" w14:textId="77777777" w:rsidR="0030357E" w:rsidRPr="002B50C5" w:rsidRDefault="0030357E" w:rsidP="001B41BD">
            <w:r w:rsidRPr="002B50C5">
              <w:t>2019</w:t>
            </w:r>
          </w:p>
        </w:tc>
        <w:tc>
          <w:tcPr>
            <w:tcW w:w="1870" w:type="dxa"/>
            <w:vAlign w:val="center"/>
          </w:tcPr>
          <w:p w14:paraId="7B4844C5" w14:textId="77777777" w:rsidR="0030357E" w:rsidRPr="002B50C5" w:rsidRDefault="0030357E" w:rsidP="001B41BD">
            <w:r w:rsidRPr="002B50C5">
              <w:t>19.9</w:t>
            </w:r>
          </w:p>
        </w:tc>
        <w:tc>
          <w:tcPr>
            <w:tcW w:w="1870" w:type="dxa"/>
            <w:vAlign w:val="bottom"/>
          </w:tcPr>
          <w:p w14:paraId="1E8332CE" w14:textId="77777777" w:rsidR="0030357E" w:rsidRPr="002B50C5" w:rsidRDefault="0030357E" w:rsidP="001B41BD">
            <w:r w:rsidRPr="002B50C5">
              <w:t>9.5</w:t>
            </w:r>
          </w:p>
        </w:tc>
        <w:tc>
          <w:tcPr>
            <w:tcW w:w="1870" w:type="dxa"/>
            <w:vAlign w:val="bottom"/>
          </w:tcPr>
          <w:p w14:paraId="2A40B844" w14:textId="77777777" w:rsidR="0030357E" w:rsidRPr="002B50C5" w:rsidRDefault="0030357E" w:rsidP="001B41BD">
            <w:r w:rsidRPr="002B50C5">
              <w:t>9.8</w:t>
            </w:r>
          </w:p>
        </w:tc>
        <w:tc>
          <w:tcPr>
            <w:tcW w:w="1870" w:type="dxa"/>
            <w:vAlign w:val="bottom"/>
          </w:tcPr>
          <w:p w14:paraId="0FE9E1B9" w14:textId="77777777" w:rsidR="0030357E" w:rsidRPr="002B50C5" w:rsidRDefault="0030357E" w:rsidP="001B41BD">
            <w:r w:rsidRPr="002B50C5">
              <w:t>10.7</w:t>
            </w:r>
          </w:p>
        </w:tc>
      </w:tr>
      <w:tr w:rsidR="0030357E" w14:paraId="58ABA4A9" w14:textId="77777777" w:rsidTr="001B41BD">
        <w:tc>
          <w:tcPr>
            <w:tcW w:w="1870" w:type="dxa"/>
            <w:vAlign w:val="center"/>
          </w:tcPr>
          <w:p w14:paraId="00667E38" w14:textId="77777777" w:rsidR="0030357E" w:rsidRPr="002B50C5" w:rsidRDefault="0030357E" w:rsidP="001B41BD">
            <w:r w:rsidRPr="002B50C5">
              <w:t>2020</w:t>
            </w:r>
          </w:p>
        </w:tc>
        <w:tc>
          <w:tcPr>
            <w:tcW w:w="1870" w:type="dxa"/>
            <w:vAlign w:val="center"/>
          </w:tcPr>
          <w:p w14:paraId="7704CE15" w14:textId="77777777" w:rsidR="0030357E" w:rsidRPr="002B50C5" w:rsidRDefault="0030357E" w:rsidP="001B41BD">
            <w:r w:rsidRPr="002B50C5">
              <w:t>22.0</w:t>
            </w:r>
          </w:p>
        </w:tc>
        <w:tc>
          <w:tcPr>
            <w:tcW w:w="1870" w:type="dxa"/>
            <w:vAlign w:val="bottom"/>
          </w:tcPr>
          <w:p w14:paraId="0E62EE20" w14:textId="77777777" w:rsidR="0030357E" w:rsidRPr="002B50C5" w:rsidRDefault="0030357E" w:rsidP="001B41BD">
            <w:r w:rsidRPr="002B50C5">
              <w:t>10.9</w:t>
            </w:r>
          </w:p>
        </w:tc>
        <w:tc>
          <w:tcPr>
            <w:tcW w:w="1870" w:type="dxa"/>
            <w:vAlign w:val="bottom"/>
          </w:tcPr>
          <w:p w14:paraId="0455F21C" w14:textId="77777777" w:rsidR="0030357E" w:rsidRPr="002B50C5" w:rsidRDefault="0030357E" w:rsidP="001B41BD">
            <w:r w:rsidRPr="002B50C5">
              <w:t>10.3</w:t>
            </w:r>
          </w:p>
        </w:tc>
        <w:tc>
          <w:tcPr>
            <w:tcW w:w="1870" w:type="dxa"/>
            <w:vAlign w:val="bottom"/>
          </w:tcPr>
          <w:p w14:paraId="7035BD4A" w14:textId="77777777" w:rsidR="0030357E" w:rsidRPr="002B50C5" w:rsidRDefault="0030357E" w:rsidP="001B41BD">
            <w:r w:rsidRPr="002B50C5">
              <w:t>10.7</w:t>
            </w:r>
          </w:p>
        </w:tc>
      </w:tr>
      <w:tr w:rsidR="0030357E" w14:paraId="04D434C6" w14:textId="77777777" w:rsidTr="001B41BD">
        <w:tc>
          <w:tcPr>
            <w:tcW w:w="1870" w:type="dxa"/>
            <w:vAlign w:val="center"/>
          </w:tcPr>
          <w:p w14:paraId="4BD8CD12" w14:textId="77777777" w:rsidR="0030357E" w:rsidRPr="002B50C5" w:rsidRDefault="0030357E" w:rsidP="001B41BD">
            <w:r w:rsidRPr="002B50C5">
              <w:t>2021</w:t>
            </w:r>
          </w:p>
        </w:tc>
        <w:tc>
          <w:tcPr>
            <w:tcW w:w="1870" w:type="dxa"/>
            <w:vAlign w:val="center"/>
          </w:tcPr>
          <w:p w14:paraId="57401809" w14:textId="77777777" w:rsidR="0030357E" w:rsidRPr="002B50C5" w:rsidRDefault="0030357E" w:rsidP="001B41BD">
            <w:r w:rsidRPr="002B50C5">
              <w:t>22.2</w:t>
            </w:r>
          </w:p>
        </w:tc>
        <w:tc>
          <w:tcPr>
            <w:tcW w:w="1870" w:type="dxa"/>
            <w:vAlign w:val="bottom"/>
          </w:tcPr>
          <w:p w14:paraId="50E6EBB5" w14:textId="77777777" w:rsidR="0030357E" w:rsidRPr="002B50C5" w:rsidRDefault="0030357E" w:rsidP="001B41BD">
            <w:r w:rsidRPr="002B50C5">
              <w:t>11.5</w:t>
            </w:r>
          </w:p>
        </w:tc>
        <w:tc>
          <w:tcPr>
            <w:tcW w:w="1870" w:type="dxa"/>
            <w:vAlign w:val="bottom"/>
          </w:tcPr>
          <w:p w14:paraId="45ED61CF" w14:textId="77777777" w:rsidR="0030357E" w:rsidRPr="002B50C5" w:rsidRDefault="0030357E" w:rsidP="001B41BD">
            <w:r w:rsidRPr="002B50C5">
              <w:t>10.1</w:t>
            </w:r>
          </w:p>
        </w:tc>
        <w:tc>
          <w:tcPr>
            <w:tcW w:w="1870" w:type="dxa"/>
            <w:vAlign w:val="bottom"/>
          </w:tcPr>
          <w:p w14:paraId="3ECE20FC" w14:textId="77777777" w:rsidR="0030357E" w:rsidRPr="002B50C5" w:rsidRDefault="0030357E" w:rsidP="001B41BD">
            <w:r w:rsidRPr="002B50C5">
              <w:t>10.7</w:t>
            </w:r>
          </w:p>
        </w:tc>
      </w:tr>
    </w:tbl>
    <w:p w14:paraId="5BF93F82" w14:textId="77777777" w:rsidR="0030357E" w:rsidRPr="002B50C5" w:rsidRDefault="0030357E" w:rsidP="0030357E">
      <w:r w:rsidRPr="002B50C5">
        <w:t xml:space="preserve">Source: SC DHEC Vital Statistics, 2012- 2021. </w:t>
      </w:r>
    </w:p>
    <w:p w14:paraId="0406452F" w14:textId="77777777" w:rsidR="0030357E" w:rsidRDefault="0030357E" w:rsidP="0030357E">
      <w:r w:rsidRPr="002B50C5">
        <w:t>Notes: Age-adjusted rate, the Healthy People 2030 Goal is for all deaths by firearm, population for year 2021 based on single-race estimates and for years prior based on bridge-race estimates.</w:t>
      </w:r>
    </w:p>
    <w:p w14:paraId="287A9FDD" w14:textId="77777777" w:rsidR="0030357E" w:rsidRDefault="0030357E" w:rsidP="0030357E">
      <w:pPr>
        <w:pStyle w:val="Heading4"/>
      </w:pPr>
      <w:bookmarkStart w:id="883" w:name="_Toc154576548"/>
    </w:p>
    <w:p w14:paraId="7F98BF36" w14:textId="57EFE03E" w:rsidR="0030357E" w:rsidRDefault="0030357E" w:rsidP="0030357E">
      <w:pPr>
        <w:pStyle w:val="Heading4"/>
      </w:pPr>
      <w:bookmarkStart w:id="884" w:name="_Toc162267597"/>
      <w:r>
        <w:t>Figure 9.66: Firearm-Related Deaths, by Sex and Race/Ethnicity.</w:t>
      </w:r>
      <w:bookmarkEnd w:id="883"/>
      <w:bookmarkEnd w:id="884"/>
    </w:p>
    <w:p w14:paraId="21EC8217" w14:textId="77777777" w:rsidR="0030357E" w:rsidRPr="002B50C5" w:rsidRDefault="0030357E" w:rsidP="0030357E">
      <w:pPr>
        <w:pStyle w:val="Heading5"/>
      </w:pPr>
      <w:r>
        <w:t>Rate per 100,000 population.</w:t>
      </w:r>
    </w:p>
    <w:tbl>
      <w:tblPr>
        <w:tblStyle w:val="TableGrid"/>
        <w:tblW w:w="0" w:type="auto"/>
        <w:tblLook w:val="04A0" w:firstRow="1" w:lastRow="0" w:firstColumn="1" w:lastColumn="0" w:noHBand="0" w:noVBand="1"/>
      </w:tblPr>
      <w:tblGrid>
        <w:gridCol w:w="3116"/>
        <w:gridCol w:w="3117"/>
        <w:gridCol w:w="3117"/>
      </w:tblGrid>
      <w:tr w:rsidR="0030357E" w14:paraId="6E00ACEF" w14:textId="77777777" w:rsidTr="001B41BD">
        <w:tc>
          <w:tcPr>
            <w:tcW w:w="3116" w:type="dxa"/>
            <w:vAlign w:val="bottom"/>
          </w:tcPr>
          <w:p w14:paraId="09476F6C" w14:textId="77777777" w:rsidR="0030357E" w:rsidRPr="00E85F02" w:rsidRDefault="0030357E" w:rsidP="001B41BD">
            <w:r>
              <w:t xml:space="preserve">Sex and Race/Ethnicity </w:t>
            </w:r>
          </w:p>
        </w:tc>
        <w:tc>
          <w:tcPr>
            <w:tcW w:w="3117" w:type="dxa"/>
            <w:vAlign w:val="bottom"/>
          </w:tcPr>
          <w:p w14:paraId="148A2527" w14:textId="77777777" w:rsidR="0030357E" w:rsidRPr="00E85F02" w:rsidRDefault="0030357E" w:rsidP="001B41BD">
            <w:r w:rsidRPr="00E85F02">
              <w:t>Male</w:t>
            </w:r>
          </w:p>
        </w:tc>
        <w:tc>
          <w:tcPr>
            <w:tcW w:w="3117" w:type="dxa"/>
            <w:vAlign w:val="bottom"/>
          </w:tcPr>
          <w:p w14:paraId="12C01560" w14:textId="77777777" w:rsidR="0030357E" w:rsidRPr="00E85F02" w:rsidRDefault="0030357E" w:rsidP="001B41BD">
            <w:r w:rsidRPr="00E85F02">
              <w:t>Female</w:t>
            </w:r>
          </w:p>
        </w:tc>
      </w:tr>
      <w:tr w:rsidR="0030357E" w14:paraId="15E0AEC7" w14:textId="77777777" w:rsidTr="001B41BD">
        <w:tc>
          <w:tcPr>
            <w:tcW w:w="3116" w:type="dxa"/>
            <w:vAlign w:val="bottom"/>
          </w:tcPr>
          <w:p w14:paraId="2AF73B58" w14:textId="77777777" w:rsidR="0030357E" w:rsidRPr="00E85F02" w:rsidRDefault="0030357E" w:rsidP="001B41BD">
            <w:r w:rsidRPr="00E85F02">
              <w:t>Non-Hispanic White</w:t>
            </w:r>
          </w:p>
        </w:tc>
        <w:tc>
          <w:tcPr>
            <w:tcW w:w="3117" w:type="dxa"/>
            <w:vAlign w:val="bottom"/>
          </w:tcPr>
          <w:p w14:paraId="69AC75CF" w14:textId="77777777" w:rsidR="0030357E" w:rsidRPr="00E85F02" w:rsidRDefault="0030357E" w:rsidP="001B41BD">
            <w:r w:rsidRPr="00E85F02">
              <w:t>29.3</w:t>
            </w:r>
          </w:p>
        </w:tc>
        <w:tc>
          <w:tcPr>
            <w:tcW w:w="3117" w:type="dxa"/>
            <w:vAlign w:val="bottom"/>
          </w:tcPr>
          <w:p w14:paraId="1830740C" w14:textId="77777777" w:rsidR="0030357E" w:rsidRPr="00E85F02" w:rsidRDefault="0030357E" w:rsidP="001B41BD">
            <w:r w:rsidRPr="00E85F02">
              <w:t>5.6</w:t>
            </w:r>
          </w:p>
        </w:tc>
      </w:tr>
      <w:tr w:rsidR="0030357E" w14:paraId="1C1FFE49" w14:textId="77777777" w:rsidTr="001B41BD">
        <w:tc>
          <w:tcPr>
            <w:tcW w:w="3116" w:type="dxa"/>
            <w:vAlign w:val="bottom"/>
          </w:tcPr>
          <w:p w14:paraId="679DC788" w14:textId="77777777" w:rsidR="0030357E" w:rsidRPr="00E85F02" w:rsidRDefault="0030357E" w:rsidP="001B41BD">
            <w:r w:rsidRPr="00E85F02">
              <w:t>Non-Hispanic Black</w:t>
            </w:r>
          </w:p>
        </w:tc>
        <w:tc>
          <w:tcPr>
            <w:tcW w:w="3117" w:type="dxa"/>
            <w:vAlign w:val="bottom"/>
          </w:tcPr>
          <w:p w14:paraId="2AFC91F0" w14:textId="77777777" w:rsidR="0030357E" w:rsidRPr="00E85F02" w:rsidRDefault="0030357E" w:rsidP="001B41BD">
            <w:r w:rsidRPr="00E85F02">
              <w:t>65.9</w:t>
            </w:r>
          </w:p>
        </w:tc>
        <w:tc>
          <w:tcPr>
            <w:tcW w:w="3117" w:type="dxa"/>
            <w:vAlign w:val="bottom"/>
          </w:tcPr>
          <w:p w14:paraId="36775C62" w14:textId="77777777" w:rsidR="0030357E" w:rsidRPr="00E85F02" w:rsidRDefault="0030357E" w:rsidP="001B41BD">
            <w:r w:rsidRPr="00E85F02">
              <w:t>9.5</w:t>
            </w:r>
          </w:p>
        </w:tc>
      </w:tr>
      <w:tr w:rsidR="0030357E" w14:paraId="7EEF6C7D" w14:textId="77777777" w:rsidTr="001B41BD">
        <w:tc>
          <w:tcPr>
            <w:tcW w:w="3116" w:type="dxa"/>
            <w:vAlign w:val="bottom"/>
          </w:tcPr>
          <w:p w14:paraId="126AF277" w14:textId="77777777" w:rsidR="0030357E" w:rsidRPr="00E85F02" w:rsidRDefault="0030357E" w:rsidP="001B41BD">
            <w:r w:rsidRPr="00E85F02">
              <w:t xml:space="preserve">Hispanic </w:t>
            </w:r>
          </w:p>
        </w:tc>
        <w:tc>
          <w:tcPr>
            <w:tcW w:w="3117" w:type="dxa"/>
            <w:vAlign w:val="bottom"/>
          </w:tcPr>
          <w:p w14:paraId="2BE47EB2" w14:textId="77777777" w:rsidR="0030357E" w:rsidRPr="00E85F02" w:rsidRDefault="0030357E" w:rsidP="001B41BD">
            <w:r w:rsidRPr="00E85F02">
              <w:t>14.8</w:t>
            </w:r>
          </w:p>
        </w:tc>
        <w:tc>
          <w:tcPr>
            <w:tcW w:w="3117" w:type="dxa"/>
            <w:vAlign w:val="bottom"/>
          </w:tcPr>
          <w:p w14:paraId="77DD46BB" w14:textId="77777777" w:rsidR="0030357E" w:rsidRPr="00E85F02" w:rsidRDefault="0030357E" w:rsidP="001B41BD">
            <w:r w:rsidRPr="00E85F02">
              <w:t>5.6</w:t>
            </w:r>
          </w:p>
        </w:tc>
      </w:tr>
    </w:tbl>
    <w:p w14:paraId="422201A7" w14:textId="77777777" w:rsidR="0030357E" w:rsidRPr="00E85F02" w:rsidRDefault="0030357E" w:rsidP="0030357E">
      <w:r w:rsidRPr="00E85F02">
        <w:t xml:space="preserve">Source: SC DHEC Vital Statistics, 2021. </w:t>
      </w:r>
    </w:p>
    <w:p w14:paraId="2DA64274" w14:textId="77777777" w:rsidR="0030357E" w:rsidRDefault="0030357E" w:rsidP="0030357E">
      <w:r w:rsidRPr="00E85F02">
        <w:t>Notes: Age-adjusted rate, population for year 2021 based on single-race estimates.</w:t>
      </w:r>
    </w:p>
    <w:p w14:paraId="7CBDEDFB" w14:textId="77777777" w:rsidR="0030357E" w:rsidRDefault="0030357E" w:rsidP="0030357E"/>
    <w:p w14:paraId="1BADA48D" w14:textId="77777777" w:rsidR="0030357E" w:rsidRPr="0030357E" w:rsidRDefault="0030357E" w:rsidP="0030357E">
      <w:pPr>
        <w:pStyle w:val="Heading4"/>
      </w:pPr>
      <w:bookmarkStart w:id="885" w:name="_Toc162267598"/>
      <w:r w:rsidRPr="0030357E">
        <w:lastRenderedPageBreak/>
        <w:t>Data Interpretations:</w:t>
      </w:r>
      <w:bookmarkEnd w:id="885"/>
      <w:r w:rsidRPr="0030357E">
        <w:t xml:space="preserve"> </w:t>
      </w:r>
    </w:p>
    <w:p w14:paraId="5F0F9D10" w14:textId="6AB77919" w:rsidR="0030357E" w:rsidRDefault="0030357E" w:rsidP="0030357E">
      <w:r w:rsidRPr="0030357E">
        <w:t>Death by firearms has been on the rise in SC, with a nearly 50% increase from 15.2 deaths per 100,000 population in 2012 to 22.2 per 100,000 population in 2021 (</w:t>
      </w:r>
      <w:r w:rsidRPr="0030357E">
        <w:rPr>
          <w:b/>
          <w:bCs/>
        </w:rPr>
        <w:t>Figure 9.65</w:t>
      </w:r>
      <w:r w:rsidRPr="0030357E">
        <w:t>). As of 2021, SC has not reached the Healthy People 2030 goal to reduce the rate of all deaths by firearms to 10.7 deaths per 100,000 population (</w:t>
      </w:r>
      <w:r w:rsidRPr="0030357E">
        <w:rPr>
          <w:b/>
          <w:bCs/>
        </w:rPr>
        <w:t>Figure 9.65</w:t>
      </w:r>
      <w:r w:rsidRPr="0030357E">
        <w:t>). Suicide by firearms remained relatively stable, with a slight increase from 8.5 deaths per 100,000 population in 2012 to 10.1 deaths per 100,000 population in 2021 (</w:t>
      </w:r>
      <w:r w:rsidRPr="0030357E">
        <w:rPr>
          <w:b/>
          <w:bCs/>
        </w:rPr>
        <w:t>Figure 9.65</w:t>
      </w:r>
      <w:r w:rsidRPr="0030357E">
        <w:t>). Homicide by firearms nearly doubled since 2012 (6.1 deaths per 100,000 population), with a rate of 11.5 deaths per 100,000 population in 2021 (</w:t>
      </w:r>
      <w:r w:rsidRPr="0030357E">
        <w:rPr>
          <w:b/>
          <w:bCs/>
        </w:rPr>
        <w:t>Figure 9.65</w:t>
      </w:r>
      <w:r w:rsidRPr="0030357E">
        <w:t>). Unintentional firearm deaths remained low and stable since 2012 and had a rate of 0.4 deaths per 100,000 population in 2021 (</w:t>
      </w:r>
      <w:r w:rsidRPr="0030357E">
        <w:rPr>
          <w:b/>
          <w:bCs/>
        </w:rPr>
        <w:t>Figure 9.65</w:t>
      </w:r>
      <w:r w:rsidRPr="0030357E">
        <w:t xml:space="preserve">). </w:t>
      </w:r>
    </w:p>
    <w:p w14:paraId="6F5D15B7" w14:textId="77777777" w:rsidR="0030357E" w:rsidRPr="0030357E" w:rsidRDefault="0030357E" w:rsidP="0030357E"/>
    <w:p w14:paraId="491F0AA8" w14:textId="0353A600" w:rsidR="0030357E" w:rsidRDefault="0030357E" w:rsidP="0030357E">
      <w:r w:rsidRPr="0030357E">
        <w:t>Like homicide, non-Hispanic Black males are disproportionately affected by firearm deaths. SC non-Hispanic Black males experienced firearm-related deaths (65.9 deaths per 100,000 population) over 2 times more than non-Hispanic White males (29.3 deaths per 100,000 population) in 2021 (</w:t>
      </w:r>
      <w:r w:rsidRPr="0030357E">
        <w:rPr>
          <w:b/>
          <w:bCs/>
        </w:rPr>
        <w:t>Figure 9.66</w:t>
      </w:r>
      <w:r w:rsidRPr="0030357E">
        <w:t>). Non-Hispanic White females (5.6 deaths per 100,000 population), non-Hispanic Black females (9.5 deaths per 100,000 population), Hispanic males (14.8 deaths per 100,000 population), and Hispanic females (5.6 deaths per 100,000 population) had much lower firearm-related death rates (</w:t>
      </w:r>
      <w:r w:rsidRPr="0030357E">
        <w:rPr>
          <w:b/>
          <w:bCs/>
        </w:rPr>
        <w:t>Figure 9.66</w:t>
      </w:r>
      <w:r w:rsidRPr="0030357E">
        <w:t>).</w:t>
      </w:r>
    </w:p>
    <w:p w14:paraId="039A39EF" w14:textId="64DB4365" w:rsidR="0060334A" w:rsidRDefault="0060334A" w:rsidP="0030357E"/>
    <w:p w14:paraId="2B472F37" w14:textId="6116F76D" w:rsidR="0030357E" w:rsidRPr="0030357E" w:rsidRDefault="0030357E" w:rsidP="0030357E">
      <w:pPr>
        <w:pStyle w:val="Heading5"/>
      </w:pPr>
      <w:r w:rsidRPr="0030357E">
        <w:t xml:space="preserve">Key Takeaways: </w:t>
      </w:r>
    </w:p>
    <w:p w14:paraId="3E5A5A4E" w14:textId="46E8A4C0" w:rsidR="0030357E" w:rsidRDefault="0030357E" w:rsidP="00926EB3">
      <w:pPr>
        <w:pStyle w:val="ListParagraph"/>
        <w:numPr>
          <w:ilvl w:val="0"/>
          <w:numId w:val="228"/>
        </w:numPr>
      </w:pPr>
      <w:r w:rsidRPr="0030357E">
        <w:t>The rate of deaths by firearm in SC has increased by nearly 50% from 2012-2021.</w:t>
      </w:r>
    </w:p>
    <w:p w14:paraId="544B5368" w14:textId="77777777" w:rsidR="0030357E" w:rsidRDefault="0030357E" w:rsidP="0030357E"/>
    <w:p w14:paraId="1D5FA9BA" w14:textId="441C9108" w:rsidR="0030357E" w:rsidRPr="00474B85" w:rsidRDefault="0030357E" w:rsidP="0030357E">
      <w:pPr>
        <w:pStyle w:val="Heading4"/>
        <w:rPr>
          <w:rFonts w:asciiTheme="minorHAnsi" w:hAnsiTheme="minorHAnsi" w:cstheme="minorHAnsi"/>
          <w:color w:val="000000" w:themeColor="text1"/>
        </w:rPr>
      </w:pPr>
      <w:bookmarkStart w:id="886" w:name="_Toc162267599"/>
      <w:r w:rsidRPr="00474B85">
        <w:rPr>
          <w:rFonts w:asciiTheme="minorHAnsi" w:hAnsiTheme="minorHAnsi" w:cstheme="minorHAnsi"/>
          <w:color w:val="000000" w:themeColor="text1"/>
        </w:rPr>
        <w:t>References 9.2</w:t>
      </w:r>
      <w:r>
        <w:rPr>
          <w:rFonts w:asciiTheme="minorHAnsi" w:hAnsiTheme="minorHAnsi" w:cstheme="minorHAnsi"/>
          <w:color w:val="000000" w:themeColor="text1"/>
        </w:rPr>
        <w:t>5</w:t>
      </w:r>
      <w:bookmarkEnd w:id="886"/>
      <w:r w:rsidRPr="00474B85">
        <w:rPr>
          <w:rFonts w:asciiTheme="minorHAnsi" w:hAnsiTheme="minorHAnsi" w:cstheme="minorHAnsi"/>
          <w:color w:val="000000" w:themeColor="text1"/>
        </w:rPr>
        <w:t xml:space="preserve"> </w:t>
      </w:r>
    </w:p>
    <w:p w14:paraId="79FEFB7D" w14:textId="16F4B840" w:rsidR="0030357E" w:rsidRPr="00474B85" w:rsidRDefault="0030357E" w:rsidP="0030357E">
      <w:r w:rsidRPr="00474B85">
        <w:t>Statistics in the preceding section were referenced from the following report:</w:t>
      </w:r>
    </w:p>
    <w:p w14:paraId="55B83668" w14:textId="44148855" w:rsidR="006449E8" w:rsidRPr="006449E8" w:rsidRDefault="00000000" w:rsidP="00926EB3">
      <w:pPr>
        <w:pStyle w:val="ListParagraph"/>
        <w:numPr>
          <w:ilvl w:val="0"/>
          <w:numId w:val="192"/>
        </w:numPr>
        <w:tabs>
          <w:tab w:val="left" w:pos="810"/>
          <w:tab w:val="left" w:pos="900"/>
        </w:tabs>
        <w:rPr>
          <w:u w:val="thick"/>
        </w:rPr>
      </w:pPr>
      <w:hyperlink r:id="rId403" w:history="1">
        <w:r w:rsidR="006449E8" w:rsidRPr="006449E8">
          <w:rPr>
            <w:rStyle w:val="Hyperlink"/>
          </w:rPr>
          <w:t>“Fast facts: firearm violence prevention” by the Centers for Disease Control and Prevention, 2022. Retrieved December 1, 2022.</w:t>
        </w:r>
      </w:hyperlink>
      <w:r w:rsidR="006449E8" w:rsidRPr="006449E8">
        <w:t xml:space="preserve"> </w:t>
      </w:r>
    </w:p>
    <w:p w14:paraId="4602F015" w14:textId="77777777" w:rsidR="0030357E" w:rsidRDefault="0030357E" w:rsidP="0030357E"/>
    <w:p w14:paraId="070873D7" w14:textId="77777777" w:rsidR="0030357E" w:rsidRPr="0030357E" w:rsidRDefault="0030357E" w:rsidP="0030357E">
      <w:pPr>
        <w:pStyle w:val="Heading3"/>
      </w:pPr>
      <w:bookmarkStart w:id="887" w:name="_Toc162267600"/>
      <w:r w:rsidRPr="0030357E">
        <w:t>Unintentional Injuries</w:t>
      </w:r>
      <w:bookmarkEnd w:id="887"/>
    </w:p>
    <w:p w14:paraId="4D7BE5B6" w14:textId="5D38A765" w:rsidR="0030357E" w:rsidRDefault="0030357E" w:rsidP="0030357E">
      <w:r w:rsidRPr="0030357E">
        <w:t>Unintentional injuries can affect everyone, regardless of age, race, or economic status. In the US, unintentional injury is the leading cause of death for people</w:t>
      </w:r>
      <w:r w:rsidR="00C81CDC">
        <w:t xml:space="preserve"> ages</w:t>
      </w:r>
      <w:r w:rsidRPr="0030357E">
        <w:t xml:space="preserve"> 1-44 and contributed to 3.8 million years of potential life lost, more than any other cause of death in 2021. In 2021, SC had the 6th-highest rate of unintentional injury deaths among adults 18-64 in the US. </w:t>
      </w:r>
    </w:p>
    <w:p w14:paraId="60AF140B" w14:textId="77777777" w:rsidR="0030357E" w:rsidRPr="0030357E" w:rsidRDefault="0030357E" w:rsidP="0030357E"/>
    <w:p w14:paraId="490B50E5" w14:textId="2A60A7CA" w:rsidR="0030357E" w:rsidRDefault="0030357E" w:rsidP="0030357E">
      <w:pPr>
        <w:rPr>
          <w:b/>
          <w:bCs/>
        </w:rPr>
      </w:pPr>
      <w:r w:rsidRPr="0030357E">
        <w:t>People who experience injuries can suffer from short-term effects, such as missing work or school, and long-term effects, such as chronic illness and death. Examples of unintentional injuries include MVCs, poisonings, traumatic brain injuries (TBI), falls, suffocation, and drowning. Most injuries or deaths caused by injuries can be prevented by evidence-based public health strategies and practices.</w:t>
      </w:r>
    </w:p>
    <w:p w14:paraId="6EF408FF" w14:textId="77777777" w:rsidR="0030357E" w:rsidRDefault="0030357E" w:rsidP="0030357E">
      <w:pPr>
        <w:pStyle w:val="Heading4"/>
        <w:rPr>
          <w:rFonts w:asciiTheme="minorHAnsi" w:hAnsiTheme="minorHAnsi" w:cstheme="minorHAnsi"/>
          <w:color w:val="000000" w:themeColor="text1"/>
        </w:rPr>
      </w:pPr>
    </w:p>
    <w:p w14:paraId="7E213DAD" w14:textId="77777777" w:rsidR="0030357E" w:rsidRDefault="0030357E" w:rsidP="0030357E">
      <w:pPr>
        <w:pStyle w:val="Heading4"/>
      </w:pPr>
      <w:bookmarkStart w:id="888" w:name="_Toc154576549"/>
      <w:bookmarkStart w:id="889" w:name="_Toc162267601"/>
      <w:r>
        <w:t>Figure 9.67: Unintentional Injury Deaths, All Ages.</w:t>
      </w:r>
      <w:bookmarkEnd w:id="888"/>
      <w:bookmarkEnd w:id="889"/>
    </w:p>
    <w:p w14:paraId="5C48233C" w14:textId="77777777" w:rsidR="0030357E" w:rsidRPr="002B50C5" w:rsidRDefault="0030357E" w:rsidP="0030357E">
      <w:pPr>
        <w:pStyle w:val="Heading5"/>
      </w:pPr>
      <w:r>
        <w:t>Rate per 100,000 population.</w:t>
      </w:r>
    </w:p>
    <w:tbl>
      <w:tblPr>
        <w:tblStyle w:val="TableGrid"/>
        <w:tblW w:w="0" w:type="auto"/>
        <w:tblLook w:val="04A0" w:firstRow="1" w:lastRow="0" w:firstColumn="1" w:lastColumn="0" w:noHBand="0" w:noVBand="1"/>
      </w:tblPr>
      <w:tblGrid>
        <w:gridCol w:w="2337"/>
        <w:gridCol w:w="2337"/>
        <w:gridCol w:w="2338"/>
        <w:gridCol w:w="2338"/>
      </w:tblGrid>
      <w:tr w:rsidR="0030357E" w14:paraId="530EC1F1" w14:textId="77777777" w:rsidTr="001B41BD">
        <w:tc>
          <w:tcPr>
            <w:tcW w:w="2337" w:type="dxa"/>
            <w:vAlign w:val="bottom"/>
          </w:tcPr>
          <w:p w14:paraId="567CABB5" w14:textId="77777777" w:rsidR="0030357E" w:rsidRPr="00E85F02" w:rsidRDefault="0030357E" w:rsidP="001B41BD">
            <w:r>
              <w:t>Years</w:t>
            </w:r>
          </w:p>
        </w:tc>
        <w:tc>
          <w:tcPr>
            <w:tcW w:w="2337" w:type="dxa"/>
            <w:vAlign w:val="bottom"/>
          </w:tcPr>
          <w:p w14:paraId="07D422B6" w14:textId="77777777" w:rsidR="0030357E" w:rsidRPr="00E85F02" w:rsidRDefault="0030357E" w:rsidP="001B41BD">
            <w:r w:rsidRPr="00E85F02">
              <w:t>South Carolina</w:t>
            </w:r>
          </w:p>
        </w:tc>
        <w:tc>
          <w:tcPr>
            <w:tcW w:w="2338" w:type="dxa"/>
            <w:vAlign w:val="bottom"/>
          </w:tcPr>
          <w:p w14:paraId="70445F6E" w14:textId="77777777" w:rsidR="0030357E" w:rsidRPr="00E85F02" w:rsidRDefault="0030357E" w:rsidP="001B41BD">
            <w:r w:rsidRPr="00E85F02">
              <w:t>United States</w:t>
            </w:r>
          </w:p>
        </w:tc>
        <w:tc>
          <w:tcPr>
            <w:tcW w:w="2338" w:type="dxa"/>
            <w:vAlign w:val="bottom"/>
          </w:tcPr>
          <w:p w14:paraId="0A0DEB76" w14:textId="77777777" w:rsidR="0030357E" w:rsidRPr="00E85F02" w:rsidRDefault="0030357E" w:rsidP="001B41BD">
            <w:r w:rsidRPr="00E85F02">
              <w:t>Healthy People</w:t>
            </w:r>
          </w:p>
        </w:tc>
      </w:tr>
      <w:tr w:rsidR="0030357E" w14:paraId="0B4A149E" w14:textId="77777777" w:rsidTr="001B41BD">
        <w:tc>
          <w:tcPr>
            <w:tcW w:w="2337" w:type="dxa"/>
            <w:vAlign w:val="center"/>
          </w:tcPr>
          <w:p w14:paraId="78331D9A" w14:textId="77777777" w:rsidR="0030357E" w:rsidRPr="00E85F02" w:rsidRDefault="0030357E" w:rsidP="001B41BD">
            <w:r w:rsidRPr="00E85F02">
              <w:t>2012</w:t>
            </w:r>
          </w:p>
        </w:tc>
        <w:tc>
          <w:tcPr>
            <w:tcW w:w="2337" w:type="dxa"/>
            <w:vAlign w:val="center"/>
          </w:tcPr>
          <w:p w14:paraId="5C03A217" w14:textId="77777777" w:rsidR="0030357E" w:rsidRPr="00E85F02" w:rsidRDefault="0030357E" w:rsidP="001B41BD">
            <w:r w:rsidRPr="00E85F02">
              <w:t>47.1</w:t>
            </w:r>
          </w:p>
        </w:tc>
        <w:tc>
          <w:tcPr>
            <w:tcW w:w="2338" w:type="dxa"/>
            <w:vAlign w:val="bottom"/>
          </w:tcPr>
          <w:p w14:paraId="126E4405" w14:textId="77777777" w:rsidR="0030357E" w:rsidRPr="00E85F02" w:rsidRDefault="0030357E" w:rsidP="001B41BD">
            <w:r w:rsidRPr="00E85F02">
              <w:t>39.1</w:t>
            </w:r>
          </w:p>
        </w:tc>
        <w:tc>
          <w:tcPr>
            <w:tcW w:w="2338" w:type="dxa"/>
            <w:vAlign w:val="bottom"/>
          </w:tcPr>
          <w:p w14:paraId="2B342A5E" w14:textId="77777777" w:rsidR="0030357E" w:rsidRPr="00E85F02" w:rsidRDefault="0030357E" w:rsidP="001B41BD">
            <w:r w:rsidRPr="00E85F02">
              <w:t>43.2</w:t>
            </w:r>
          </w:p>
        </w:tc>
      </w:tr>
      <w:tr w:rsidR="0030357E" w14:paraId="282194E8" w14:textId="77777777" w:rsidTr="001B41BD">
        <w:tc>
          <w:tcPr>
            <w:tcW w:w="2337" w:type="dxa"/>
            <w:vAlign w:val="center"/>
          </w:tcPr>
          <w:p w14:paraId="3405BB47" w14:textId="77777777" w:rsidR="0030357E" w:rsidRPr="00E85F02" w:rsidRDefault="0030357E" w:rsidP="001B41BD">
            <w:r w:rsidRPr="00E85F02">
              <w:t>2013</w:t>
            </w:r>
          </w:p>
        </w:tc>
        <w:tc>
          <w:tcPr>
            <w:tcW w:w="2337" w:type="dxa"/>
            <w:vAlign w:val="center"/>
          </w:tcPr>
          <w:p w14:paraId="5AEE7061" w14:textId="77777777" w:rsidR="0030357E" w:rsidRPr="00E85F02" w:rsidRDefault="0030357E" w:rsidP="001B41BD">
            <w:r w:rsidRPr="00E85F02">
              <w:t>46.1</w:t>
            </w:r>
          </w:p>
        </w:tc>
        <w:tc>
          <w:tcPr>
            <w:tcW w:w="2338" w:type="dxa"/>
            <w:vAlign w:val="bottom"/>
          </w:tcPr>
          <w:p w14:paraId="085A0E10" w14:textId="77777777" w:rsidR="0030357E" w:rsidRPr="00E85F02" w:rsidRDefault="0030357E" w:rsidP="001B41BD">
            <w:r w:rsidRPr="00E85F02">
              <w:t>39.4</w:t>
            </w:r>
          </w:p>
        </w:tc>
        <w:tc>
          <w:tcPr>
            <w:tcW w:w="2338" w:type="dxa"/>
            <w:vAlign w:val="bottom"/>
          </w:tcPr>
          <w:p w14:paraId="01DA209B" w14:textId="77777777" w:rsidR="0030357E" w:rsidRPr="00E85F02" w:rsidRDefault="0030357E" w:rsidP="001B41BD">
            <w:r w:rsidRPr="00E85F02">
              <w:t>43.2</w:t>
            </w:r>
          </w:p>
        </w:tc>
      </w:tr>
      <w:tr w:rsidR="0030357E" w14:paraId="62A0D672" w14:textId="77777777" w:rsidTr="001B41BD">
        <w:tc>
          <w:tcPr>
            <w:tcW w:w="2337" w:type="dxa"/>
            <w:vAlign w:val="center"/>
          </w:tcPr>
          <w:p w14:paraId="2B5A3D69" w14:textId="77777777" w:rsidR="0030357E" w:rsidRPr="00E85F02" w:rsidRDefault="0030357E" w:rsidP="001B41BD">
            <w:r w:rsidRPr="00E85F02">
              <w:t>2014</w:t>
            </w:r>
          </w:p>
        </w:tc>
        <w:tc>
          <w:tcPr>
            <w:tcW w:w="2337" w:type="dxa"/>
            <w:vAlign w:val="center"/>
          </w:tcPr>
          <w:p w14:paraId="3FF2A74E" w14:textId="77777777" w:rsidR="0030357E" w:rsidRPr="00E85F02" w:rsidRDefault="0030357E" w:rsidP="001B41BD">
            <w:r w:rsidRPr="00E85F02">
              <w:t>48.6</w:t>
            </w:r>
          </w:p>
        </w:tc>
        <w:tc>
          <w:tcPr>
            <w:tcW w:w="2338" w:type="dxa"/>
            <w:vAlign w:val="bottom"/>
          </w:tcPr>
          <w:p w14:paraId="5B094416" w14:textId="77777777" w:rsidR="0030357E" w:rsidRPr="00E85F02" w:rsidRDefault="0030357E" w:rsidP="001B41BD">
            <w:r w:rsidRPr="00E85F02">
              <w:t>40.5</w:t>
            </w:r>
          </w:p>
        </w:tc>
        <w:tc>
          <w:tcPr>
            <w:tcW w:w="2338" w:type="dxa"/>
            <w:vAlign w:val="bottom"/>
          </w:tcPr>
          <w:p w14:paraId="0D85D749" w14:textId="77777777" w:rsidR="0030357E" w:rsidRPr="00E85F02" w:rsidRDefault="0030357E" w:rsidP="001B41BD">
            <w:r w:rsidRPr="00E85F02">
              <w:t>43.2</w:t>
            </w:r>
          </w:p>
        </w:tc>
      </w:tr>
      <w:tr w:rsidR="0030357E" w14:paraId="4DC9D8CB" w14:textId="77777777" w:rsidTr="001B41BD">
        <w:tc>
          <w:tcPr>
            <w:tcW w:w="2337" w:type="dxa"/>
            <w:vAlign w:val="center"/>
          </w:tcPr>
          <w:p w14:paraId="4F4FC5D4" w14:textId="77777777" w:rsidR="0030357E" w:rsidRPr="00E85F02" w:rsidRDefault="0030357E" w:rsidP="001B41BD">
            <w:r w:rsidRPr="00E85F02">
              <w:t>2015</w:t>
            </w:r>
          </w:p>
        </w:tc>
        <w:tc>
          <w:tcPr>
            <w:tcW w:w="2337" w:type="dxa"/>
            <w:vAlign w:val="center"/>
          </w:tcPr>
          <w:p w14:paraId="42653DDE" w14:textId="77777777" w:rsidR="0030357E" w:rsidRPr="00E85F02" w:rsidRDefault="0030357E" w:rsidP="001B41BD">
            <w:r w:rsidRPr="00E85F02">
              <w:t>55.1</w:t>
            </w:r>
          </w:p>
        </w:tc>
        <w:tc>
          <w:tcPr>
            <w:tcW w:w="2338" w:type="dxa"/>
            <w:vAlign w:val="bottom"/>
          </w:tcPr>
          <w:p w14:paraId="41033E0C" w14:textId="77777777" w:rsidR="0030357E" w:rsidRPr="00E85F02" w:rsidRDefault="0030357E" w:rsidP="001B41BD">
            <w:r w:rsidRPr="00E85F02">
              <w:t>43.2</w:t>
            </w:r>
          </w:p>
        </w:tc>
        <w:tc>
          <w:tcPr>
            <w:tcW w:w="2338" w:type="dxa"/>
            <w:vAlign w:val="bottom"/>
          </w:tcPr>
          <w:p w14:paraId="34702861" w14:textId="77777777" w:rsidR="0030357E" w:rsidRPr="00E85F02" w:rsidRDefault="0030357E" w:rsidP="001B41BD">
            <w:r w:rsidRPr="00E85F02">
              <w:t>43.2</w:t>
            </w:r>
          </w:p>
        </w:tc>
      </w:tr>
      <w:tr w:rsidR="0030357E" w14:paraId="040D815A" w14:textId="77777777" w:rsidTr="001B41BD">
        <w:tc>
          <w:tcPr>
            <w:tcW w:w="2337" w:type="dxa"/>
            <w:vAlign w:val="center"/>
          </w:tcPr>
          <w:p w14:paraId="538ECF7E" w14:textId="77777777" w:rsidR="0030357E" w:rsidRPr="00E85F02" w:rsidRDefault="0030357E" w:rsidP="001B41BD">
            <w:r w:rsidRPr="00E85F02">
              <w:t>2016</w:t>
            </w:r>
          </w:p>
        </w:tc>
        <w:tc>
          <w:tcPr>
            <w:tcW w:w="2337" w:type="dxa"/>
            <w:vAlign w:val="center"/>
          </w:tcPr>
          <w:p w14:paraId="28BAF642" w14:textId="77777777" w:rsidR="0030357E" w:rsidRPr="00E85F02" w:rsidRDefault="0030357E" w:rsidP="001B41BD">
            <w:r w:rsidRPr="00E85F02">
              <w:t>58.6</w:t>
            </w:r>
          </w:p>
        </w:tc>
        <w:tc>
          <w:tcPr>
            <w:tcW w:w="2338" w:type="dxa"/>
            <w:vAlign w:val="bottom"/>
          </w:tcPr>
          <w:p w14:paraId="27860184" w14:textId="77777777" w:rsidR="0030357E" w:rsidRPr="00E85F02" w:rsidRDefault="0030357E" w:rsidP="001B41BD">
            <w:r w:rsidRPr="00E85F02">
              <w:t>47.4</w:t>
            </w:r>
          </w:p>
        </w:tc>
        <w:tc>
          <w:tcPr>
            <w:tcW w:w="2338" w:type="dxa"/>
            <w:vAlign w:val="bottom"/>
          </w:tcPr>
          <w:p w14:paraId="5AF4FFFD" w14:textId="77777777" w:rsidR="0030357E" w:rsidRPr="00E85F02" w:rsidRDefault="0030357E" w:rsidP="001B41BD">
            <w:r w:rsidRPr="00E85F02">
              <w:t>43.2</w:t>
            </w:r>
          </w:p>
        </w:tc>
      </w:tr>
      <w:tr w:rsidR="0030357E" w14:paraId="7187DC8A" w14:textId="77777777" w:rsidTr="001B41BD">
        <w:tc>
          <w:tcPr>
            <w:tcW w:w="2337" w:type="dxa"/>
            <w:vAlign w:val="center"/>
          </w:tcPr>
          <w:p w14:paraId="15281784" w14:textId="77777777" w:rsidR="0030357E" w:rsidRPr="00E85F02" w:rsidRDefault="0030357E" w:rsidP="001B41BD">
            <w:r w:rsidRPr="00E85F02">
              <w:t>2017</w:t>
            </w:r>
          </w:p>
        </w:tc>
        <w:tc>
          <w:tcPr>
            <w:tcW w:w="2337" w:type="dxa"/>
            <w:vAlign w:val="center"/>
          </w:tcPr>
          <w:p w14:paraId="3E1AD0CF" w14:textId="77777777" w:rsidR="0030357E" w:rsidRPr="00E85F02" w:rsidRDefault="0030357E" w:rsidP="001B41BD">
            <w:r w:rsidRPr="00E85F02">
              <w:t>60.2</w:t>
            </w:r>
          </w:p>
        </w:tc>
        <w:tc>
          <w:tcPr>
            <w:tcW w:w="2338" w:type="dxa"/>
            <w:vAlign w:val="bottom"/>
          </w:tcPr>
          <w:p w14:paraId="25C97556" w14:textId="77777777" w:rsidR="0030357E" w:rsidRPr="00E85F02" w:rsidRDefault="0030357E" w:rsidP="001B41BD">
            <w:r w:rsidRPr="00E85F02">
              <w:t>49.4</w:t>
            </w:r>
          </w:p>
        </w:tc>
        <w:tc>
          <w:tcPr>
            <w:tcW w:w="2338" w:type="dxa"/>
            <w:vAlign w:val="bottom"/>
          </w:tcPr>
          <w:p w14:paraId="3CA71971" w14:textId="77777777" w:rsidR="0030357E" w:rsidRPr="00E85F02" w:rsidRDefault="0030357E" w:rsidP="001B41BD">
            <w:r w:rsidRPr="00E85F02">
              <w:t>43.2</w:t>
            </w:r>
          </w:p>
        </w:tc>
      </w:tr>
      <w:tr w:rsidR="0030357E" w14:paraId="5CDF1CC4" w14:textId="77777777" w:rsidTr="001B41BD">
        <w:tc>
          <w:tcPr>
            <w:tcW w:w="2337" w:type="dxa"/>
            <w:vAlign w:val="center"/>
          </w:tcPr>
          <w:p w14:paraId="042487D5" w14:textId="77777777" w:rsidR="0030357E" w:rsidRPr="00E85F02" w:rsidRDefault="0030357E" w:rsidP="001B41BD">
            <w:r w:rsidRPr="00E85F02">
              <w:t>2018</w:t>
            </w:r>
          </w:p>
        </w:tc>
        <w:tc>
          <w:tcPr>
            <w:tcW w:w="2337" w:type="dxa"/>
            <w:vAlign w:val="center"/>
          </w:tcPr>
          <w:p w14:paraId="087BA6DC" w14:textId="77777777" w:rsidR="0030357E" w:rsidRPr="00E85F02" w:rsidRDefault="0030357E" w:rsidP="001B41BD">
            <w:r w:rsidRPr="00E85F02">
              <w:t>63.2</w:t>
            </w:r>
          </w:p>
        </w:tc>
        <w:tc>
          <w:tcPr>
            <w:tcW w:w="2338" w:type="dxa"/>
            <w:vAlign w:val="bottom"/>
          </w:tcPr>
          <w:p w14:paraId="0ABD0D68" w14:textId="77777777" w:rsidR="0030357E" w:rsidRPr="00E85F02" w:rsidRDefault="0030357E" w:rsidP="001B41BD">
            <w:r w:rsidRPr="00E85F02">
              <w:t>48.0</w:t>
            </w:r>
          </w:p>
        </w:tc>
        <w:tc>
          <w:tcPr>
            <w:tcW w:w="2338" w:type="dxa"/>
            <w:vAlign w:val="bottom"/>
          </w:tcPr>
          <w:p w14:paraId="11B80D33" w14:textId="77777777" w:rsidR="0030357E" w:rsidRPr="00E85F02" w:rsidRDefault="0030357E" w:rsidP="001B41BD">
            <w:r w:rsidRPr="00E85F02">
              <w:t>43.2</w:t>
            </w:r>
          </w:p>
        </w:tc>
      </w:tr>
      <w:tr w:rsidR="0030357E" w14:paraId="5EC0773E" w14:textId="77777777" w:rsidTr="001B41BD">
        <w:tc>
          <w:tcPr>
            <w:tcW w:w="2337" w:type="dxa"/>
            <w:vAlign w:val="center"/>
          </w:tcPr>
          <w:p w14:paraId="765F70BA" w14:textId="77777777" w:rsidR="0030357E" w:rsidRPr="00E85F02" w:rsidRDefault="0030357E" w:rsidP="001B41BD">
            <w:r w:rsidRPr="00E85F02">
              <w:t>2019</w:t>
            </w:r>
          </w:p>
        </w:tc>
        <w:tc>
          <w:tcPr>
            <w:tcW w:w="2337" w:type="dxa"/>
            <w:vAlign w:val="center"/>
          </w:tcPr>
          <w:p w14:paraId="4674947E" w14:textId="77777777" w:rsidR="0030357E" w:rsidRPr="00E85F02" w:rsidRDefault="0030357E" w:rsidP="001B41BD">
            <w:r w:rsidRPr="00E85F02">
              <w:t>62.1</w:t>
            </w:r>
          </w:p>
        </w:tc>
        <w:tc>
          <w:tcPr>
            <w:tcW w:w="2338" w:type="dxa"/>
            <w:vAlign w:val="bottom"/>
          </w:tcPr>
          <w:p w14:paraId="01718875" w14:textId="77777777" w:rsidR="0030357E" w:rsidRPr="00E85F02" w:rsidRDefault="0030357E" w:rsidP="001B41BD">
            <w:r w:rsidRPr="00E85F02">
              <w:t>49.3</w:t>
            </w:r>
          </w:p>
        </w:tc>
        <w:tc>
          <w:tcPr>
            <w:tcW w:w="2338" w:type="dxa"/>
            <w:vAlign w:val="bottom"/>
          </w:tcPr>
          <w:p w14:paraId="7B8CAC71" w14:textId="77777777" w:rsidR="0030357E" w:rsidRPr="00E85F02" w:rsidRDefault="0030357E" w:rsidP="001B41BD">
            <w:r w:rsidRPr="00E85F02">
              <w:t>43.2</w:t>
            </w:r>
          </w:p>
        </w:tc>
      </w:tr>
      <w:tr w:rsidR="0030357E" w14:paraId="017B9B99" w14:textId="77777777" w:rsidTr="001B41BD">
        <w:tc>
          <w:tcPr>
            <w:tcW w:w="2337" w:type="dxa"/>
            <w:vAlign w:val="center"/>
          </w:tcPr>
          <w:p w14:paraId="18AB650F" w14:textId="77777777" w:rsidR="0030357E" w:rsidRPr="00E85F02" w:rsidRDefault="0030357E" w:rsidP="001B41BD">
            <w:r w:rsidRPr="00E85F02">
              <w:t>2020</w:t>
            </w:r>
          </w:p>
        </w:tc>
        <w:tc>
          <w:tcPr>
            <w:tcW w:w="2337" w:type="dxa"/>
            <w:vAlign w:val="center"/>
          </w:tcPr>
          <w:p w14:paraId="0250BAA2" w14:textId="77777777" w:rsidR="0030357E" w:rsidRPr="00E85F02" w:rsidRDefault="0030357E" w:rsidP="001B41BD">
            <w:r w:rsidRPr="00E85F02">
              <w:t>78.0</w:t>
            </w:r>
          </w:p>
        </w:tc>
        <w:tc>
          <w:tcPr>
            <w:tcW w:w="2338" w:type="dxa"/>
            <w:vAlign w:val="bottom"/>
          </w:tcPr>
          <w:p w14:paraId="6E148595" w14:textId="77777777" w:rsidR="0030357E" w:rsidRPr="00E85F02" w:rsidRDefault="0030357E" w:rsidP="001B41BD">
            <w:r w:rsidRPr="00E85F02">
              <w:t>57.6</w:t>
            </w:r>
          </w:p>
        </w:tc>
        <w:tc>
          <w:tcPr>
            <w:tcW w:w="2338" w:type="dxa"/>
            <w:vAlign w:val="bottom"/>
          </w:tcPr>
          <w:p w14:paraId="24558FD5" w14:textId="77777777" w:rsidR="0030357E" w:rsidRPr="00E85F02" w:rsidRDefault="0030357E" w:rsidP="001B41BD">
            <w:r w:rsidRPr="00E85F02">
              <w:t>43.2</w:t>
            </w:r>
          </w:p>
        </w:tc>
      </w:tr>
      <w:tr w:rsidR="0030357E" w14:paraId="65BC13DC" w14:textId="77777777" w:rsidTr="001B41BD">
        <w:tc>
          <w:tcPr>
            <w:tcW w:w="2337" w:type="dxa"/>
            <w:vAlign w:val="center"/>
          </w:tcPr>
          <w:p w14:paraId="7E0CFF6A" w14:textId="77777777" w:rsidR="0030357E" w:rsidRPr="00E85F02" w:rsidRDefault="0030357E" w:rsidP="001B41BD">
            <w:r w:rsidRPr="00E85F02">
              <w:t>2021</w:t>
            </w:r>
          </w:p>
        </w:tc>
        <w:tc>
          <w:tcPr>
            <w:tcW w:w="2337" w:type="dxa"/>
            <w:vAlign w:val="center"/>
          </w:tcPr>
          <w:p w14:paraId="53AF869C" w14:textId="77777777" w:rsidR="0030357E" w:rsidRPr="00E85F02" w:rsidRDefault="0030357E" w:rsidP="001B41BD">
            <w:r w:rsidRPr="00E85F02">
              <w:t>87.6</w:t>
            </w:r>
          </w:p>
        </w:tc>
        <w:tc>
          <w:tcPr>
            <w:tcW w:w="2338" w:type="dxa"/>
            <w:vAlign w:val="bottom"/>
          </w:tcPr>
          <w:p w14:paraId="0FCBF2B4" w14:textId="77777777" w:rsidR="0030357E" w:rsidRPr="00E85F02" w:rsidRDefault="0030357E" w:rsidP="001B41BD">
            <w:r w:rsidRPr="00E85F02">
              <w:t>64.7</w:t>
            </w:r>
          </w:p>
        </w:tc>
        <w:tc>
          <w:tcPr>
            <w:tcW w:w="2338" w:type="dxa"/>
            <w:vAlign w:val="bottom"/>
          </w:tcPr>
          <w:p w14:paraId="1E2AA9AD" w14:textId="77777777" w:rsidR="0030357E" w:rsidRPr="00E85F02" w:rsidRDefault="0030357E" w:rsidP="001B41BD">
            <w:r w:rsidRPr="00E85F02">
              <w:t>43.2</w:t>
            </w:r>
          </w:p>
        </w:tc>
      </w:tr>
    </w:tbl>
    <w:p w14:paraId="7B52B9BB" w14:textId="77777777" w:rsidR="0030357E" w:rsidRPr="00E85F02" w:rsidRDefault="0030357E" w:rsidP="0030357E">
      <w:r w:rsidRPr="00E85F02">
        <w:t xml:space="preserve">Source: SC DHEC Vital Statistics; CDC NCHS. </w:t>
      </w:r>
    </w:p>
    <w:p w14:paraId="2FAC40D5" w14:textId="77777777" w:rsidR="0030357E" w:rsidRDefault="0030357E" w:rsidP="0030357E">
      <w:r w:rsidRPr="00E85F02">
        <w:t>Note: Age-adjusted. Population for year 2021 based on single-race estimates and for years prior based on bridge-race estimates.</w:t>
      </w:r>
    </w:p>
    <w:p w14:paraId="3C1D2107" w14:textId="77777777" w:rsidR="006449E8" w:rsidRDefault="006449E8" w:rsidP="0030357E">
      <w:pPr>
        <w:pStyle w:val="Heading4"/>
      </w:pPr>
      <w:bookmarkStart w:id="890" w:name="_Toc154576550"/>
    </w:p>
    <w:p w14:paraId="7E3FF5A1" w14:textId="454D28A5" w:rsidR="0030357E" w:rsidRDefault="0030357E" w:rsidP="0030357E">
      <w:pPr>
        <w:pStyle w:val="Heading4"/>
      </w:pPr>
      <w:bookmarkStart w:id="891" w:name="_Toc162267602"/>
      <w:r>
        <w:t xml:space="preserve">Table 9.3: </w:t>
      </w:r>
      <w:r w:rsidRPr="00E85F02">
        <w:t>Leading Causes of Unintentional Injury Deaths Among Adults Ages 18-64.</w:t>
      </w:r>
      <w:bookmarkEnd w:id="890"/>
      <w:bookmarkEnd w:id="891"/>
    </w:p>
    <w:tbl>
      <w:tblPr>
        <w:tblStyle w:val="TableGrid"/>
        <w:tblW w:w="0" w:type="auto"/>
        <w:tblLook w:val="04A0" w:firstRow="1" w:lastRow="0" w:firstColumn="1" w:lastColumn="0" w:noHBand="0" w:noVBand="1"/>
      </w:tblPr>
      <w:tblGrid>
        <w:gridCol w:w="3116"/>
        <w:gridCol w:w="3117"/>
        <w:gridCol w:w="3117"/>
      </w:tblGrid>
      <w:tr w:rsidR="0030357E" w14:paraId="1505FC8A" w14:textId="77777777" w:rsidTr="001B41BD">
        <w:tc>
          <w:tcPr>
            <w:tcW w:w="3116" w:type="dxa"/>
            <w:vAlign w:val="bottom"/>
          </w:tcPr>
          <w:p w14:paraId="76BF21EA" w14:textId="77777777" w:rsidR="0030357E" w:rsidRPr="00E85F02" w:rsidRDefault="0030357E" w:rsidP="001B41BD">
            <w:r w:rsidRPr="00E85F02">
              <w:t>Age Group</w:t>
            </w:r>
          </w:p>
        </w:tc>
        <w:tc>
          <w:tcPr>
            <w:tcW w:w="3117" w:type="dxa"/>
            <w:vAlign w:val="bottom"/>
          </w:tcPr>
          <w:p w14:paraId="1D84F496" w14:textId="77777777" w:rsidR="0030357E" w:rsidRPr="00E85F02" w:rsidRDefault="0030357E" w:rsidP="001B41BD">
            <w:r w:rsidRPr="00E85F02">
              <w:t>Leading Cause of Injury Death</w:t>
            </w:r>
          </w:p>
        </w:tc>
        <w:tc>
          <w:tcPr>
            <w:tcW w:w="3117" w:type="dxa"/>
            <w:vAlign w:val="bottom"/>
          </w:tcPr>
          <w:p w14:paraId="10A7EB99" w14:textId="77777777" w:rsidR="0030357E" w:rsidRPr="00E85F02" w:rsidRDefault="0030357E" w:rsidP="001B41BD">
            <w:r w:rsidRPr="00E85F02">
              <w:t>Number of Total Deaths due to Injury</w:t>
            </w:r>
          </w:p>
        </w:tc>
      </w:tr>
      <w:tr w:rsidR="0030357E" w14:paraId="6E18D999" w14:textId="77777777" w:rsidTr="001B41BD">
        <w:tc>
          <w:tcPr>
            <w:tcW w:w="3116" w:type="dxa"/>
            <w:vAlign w:val="center"/>
          </w:tcPr>
          <w:p w14:paraId="21B5F734" w14:textId="77777777" w:rsidR="0030357E" w:rsidRPr="00E85F02" w:rsidRDefault="0030357E" w:rsidP="001B41BD">
            <w:r w:rsidRPr="00E85F02">
              <w:t>18 – 24 Years</w:t>
            </w:r>
          </w:p>
        </w:tc>
        <w:tc>
          <w:tcPr>
            <w:tcW w:w="3117" w:type="dxa"/>
            <w:vAlign w:val="center"/>
          </w:tcPr>
          <w:p w14:paraId="5CD93ACA" w14:textId="77777777" w:rsidR="0030357E" w:rsidRPr="00E85F02" w:rsidRDefault="0030357E" w:rsidP="001B41BD">
            <w:r w:rsidRPr="00E85F02">
              <w:t>Motor vehicle crashes</w:t>
            </w:r>
          </w:p>
        </w:tc>
        <w:tc>
          <w:tcPr>
            <w:tcW w:w="3117" w:type="dxa"/>
            <w:vAlign w:val="center"/>
          </w:tcPr>
          <w:p w14:paraId="14B13A5E" w14:textId="77777777" w:rsidR="0030357E" w:rsidRPr="00E85F02" w:rsidRDefault="0030357E" w:rsidP="001B41BD">
            <w:r w:rsidRPr="00E85F02">
              <w:t>689</w:t>
            </w:r>
          </w:p>
        </w:tc>
      </w:tr>
      <w:tr w:rsidR="0030357E" w14:paraId="024CAF41" w14:textId="77777777" w:rsidTr="001B41BD">
        <w:tc>
          <w:tcPr>
            <w:tcW w:w="3116" w:type="dxa"/>
            <w:vAlign w:val="center"/>
          </w:tcPr>
          <w:p w14:paraId="4A60BE4A" w14:textId="77777777" w:rsidR="0030357E" w:rsidRPr="00E85F02" w:rsidRDefault="0030357E" w:rsidP="001B41BD">
            <w:r w:rsidRPr="00E85F02">
              <w:t>25 – 34 Years</w:t>
            </w:r>
          </w:p>
        </w:tc>
        <w:tc>
          <w:tcPr>
            <w:tcW w:w="3117" w:type="dxa"/>
            <w:vAlign w:val="center"/>
          </w:tcPr>
          <w:p w14:paraId="7C70F286" w14:textId="77777777" w:rsidR="0030357E" w:rsidRPr="00E85F02" w:rsidRDefault="0030357E" w:rsidP="001B41BD">
            <w:r w:rsidRPr="00E85F02">
              <w:t>Unintentional Overdoses</w:t>
            </w:r>
          </w:p>
        </w:tc>
        <w:tc>
          <w:tcPr>
            <w:tcW w:w="3117" w:type="dxa"/>
            <w:vAlign w:val="center"/>
          </w:tcPr>
          <w:p w14:paraId="1414F020" w14:textId="77777777" w:rsidR="0030357E" w:rsidRPr="00E85F02" w:rsidRDefault="0030357E" w:rsidP="001B41BD">
            <w:r w:rsidRPr="00E85F02">
              <w:t>1,588</w:t>
            </w:r>
          </w:p>
        </w:tc>
      </w:tr>
      <w:tr w:rsidR="0030357E" w14:paraId="4C56DFF5" w14:textId="77777777" w:rsidTr="001B41BD">
        <w:tc>
          <w:tcPr>
            <w:tcW w:w="3116" w:type="dxa"/>
            <w:vAlign w:val="center"/>
          </w:tcPr>
          <w:p w14:paraId="52EC09DC" w14:textId="77777777" w:rsidR="0030357E" w:rsidRPr="00E85F02" w:rsidRDefault="0030357E" w:rsidP="001B41BD">
            <w:r w:rsidRPr="00E85F02">
              <w:t>35 – 44 Years</w:t>
            </w:r>
          </w:p>
        </w:tc>
        <w:tc>
          <w:tcPr>
            <w:tcW w:w="3117" w:type="dxa"/>
            <w:vAlign w:val="center"/>
          </w:tcPr>
          <w:p w14:paraId="44430E12" w14:textId="77777777" w:rsidR="0030357E" w:rsidRPr="00E85F02" w:rsidRDefault="0030357E" w:rsidP="001B41BD">
            <w:r w:rsidRPr="00E85F02">
              <w:t>Unintentional Overdoses</w:t>
            </w:r>
          </w:p>
        </w:tc>
        <w:tc>
          <w:tcPr>
            <w:tcW w:w="3117" w:type="dxa"/>
            <w:vAlign w:val="center"/>
          </w:tcPr>
          <w:p w14:paraId="5B7FAE84" w14:textId="77777777" w:rsidR="0030357E" w:rsidRPr="00E85F02" w:rsidRDefault="0030357E" w:rsidP="001B41BD">
            <w:r w:rsidRPr="00E85F02">
              <w:t>1,673</w:t>
            </w:r>
          </w:p>
        </w:tc>
      </w:tr>
      <w:tr w:rsidR="0030357E" w14:paraId="1D68DBA7" w14:textId="77777777" w:rsidTr="001B41BD">
        <w:tc>
          <w:tcPr>
            <w:tcW w:w="3116" w:type="dxa"/>
            <w:vAlign w:val="center"/>
          </w:tcPr>
          <w:p w14:paraId="3BDAAA52" w14:textId="77777777" w:rsidR="0030357E" w:rsidRPr="00E85F02" w:rsidRDefault="0030357E" w:rsidP="001B41BD">
            <w:r w:rsidRPr="00E85F02">
              <w:t>45 – 54 Years</w:t>
            </w:r>
          </w:p>
        </w:tc>
        <w:tc>
          <w:tcPr>
            <w:tcW w:w="3117" w:type="dxa"/>
            <w:vAlign w:val="center"/>
          </w:tcPr>
          <w:p w14:paraId="4EC4F058" w14:textId="77777777" w:rsidR="0030357E" w:rsidRPr="00E85F02" w:rsidRDefault="0030357E" w:rsidP="001B41BD">
            <w:r w:rsidRPr="00E85F02">
              <w:t>Unintentional Overdoses</w:t>
            </w:r>
          </w:p>
        </w:tc>
        <w:tc>
          <w:tcPr>
            <w:tcW w:w="3117" w:type="dxa"/>
            <w:vAlign w:val="center"/>
          </w:tcPr>
          <w:p w14:paraId="744530AA" w14:textId="77777777" w:rsidR="0030357E" w:rsidRPr="00E85F02" w:rsidRDefault="0030357E" w:rsidP="001B41BD">
            <w:r w:rsidRPr="00E85F02">
              <w:t>1,479</w:t>
            </w:r>
          </w:p>
        </w:tc>
      </w:tr>
      <w:tr w:rsidR="0030357E" w14:paraId="30DC9B22" w14:textId="77777777" w:rsidTr="001B41BD">
        <w:tc>
          <w:tcPr>
            <w:tcW w:w="3116" w:type="dxa"/>
            <w:vAlign w:val="center"/>
          </w:tcPr>
          <w:p w14:paraId="5ABF4CBD" w14:textId="77777777" w:rsidR="0030357E" w:rsidRPr="00E85F02" w:rsidRDefault="0030357E" w:rsidP="001B41BD">
            <w:r w:rsidRPr="00E85F02">
              <w:t xml:space="preserve">55 – 64 Years </w:t>
            </w:r>
          </w:p>
        </w:tc>
        <w:tc>
          <w:tcPr>
            <w:tcW w:w="3117" w:type="dxa"/>
            <w:vAlign w:val="center"/>
          </w:tcPr>
          <w:p w14:paraId="77EFDBE7" w14:textId="77777777" w:rsidR="0030357E" w:rsidRPr="00E85F02" w:rsidRDefault="0030357E" w:rsidP="001B41BD">
            <w:r w:rsidRPr="00E85F02">
              <w:t>Unintentional Overdoses</w:t>
            </w:r>
          </w:p>
        </w:tc>
        <w:tc>
          <w:tcPr>
            <w:tcW w:w="3117" w:type="dxa"/>
            <w:vAlign w:val="center"/>
          </w:tcPr>
          <w:p w14:paraId="47D426AD" w14:textId="77777777" w:rsidR="0030357E" w:rsidRPr="00E85F02" w:rsidRDefault="0030357E" w:rsidP="001B41BD">
            <w:r w:rsidRPr="00E85F02">
              <w:t>1,137</w:t>
            </w:r>
          </w:p>
        </w:tc>
      </w:tr>
      <w:tr w:rsidR="0030357E" w14:paraId="6C44DC1E" w14:textId="77777777" w:rsidTr="001B41BD">
        <w:tc>
          <w:tcPr>
            <w:tcW w:w="3116" w:type="dxa"/>
            <w:vAlign w:val="center"/>
          </w:tcPr>
          <w:p w14:paraId="1A382A7D" w14:textId="77777777" w:rsidR="0030357E" w:rsidRPr="00E85F02" w:rsidRDefault="0030357E" w:rsidP="001B41BD">
            <w:r w:rsidRPr="00E85F02">
              <w:t>18 – 64 Years</w:t>
            </w:r>
          </w:p>
        </w:tc>
        <w:tc>
          <w:tcPr>
            <w:tcW w:w="3117" w:type="dxa"/>
            <w:vAlign w:val="center"/>
          </w:tcPr>
          <w:p w14:paraId="77C2CDA8" w14:textId="77777777" w:rsidR="0030357E" w:rsidRPr="00E85F02" w:rsidRDefault="0030357E" w:rsidP="001B41BD">
            <w:r w:rsidRPr="00E85F02">
              <w:t>Unintentional Overdoses</w:t>
            </w:r>
          </w:p>
        </w:tc>
        <w:tc>
          <w:tcPr>
            <w:tcW w:w="3117" w:type="dxa"/>
            <w:vAlign w:val="center"/>
          </w:tcPr>
          <w:p w14:paraId="0758947B" w14:textId="77777777" w:rsidR="0030357E" w:rsidRPr="00E85F02" w:rsidRDefault="0030357E" w:rsidP="001B41BD">
            <w:r w:rsidRPr="00E85F02">
              <w:t>6,365</w:t>
            </w:r>
          </w:p>
        </w:tc>
      </w:tr>
    </w:tbl>
    <w:p w14:paraId="28BD55E6" w14:textId="77777777" w:rsidR="0030357E" w:rsidRDefault="0030357E" w:rsidP="0030357E">
      <w:r w:rsidRPr="00E85F02">
        <w:t>Source: SC DHEC Vital Statistics, 2017- 2021.</w:t>
      </w:r>
    </w:p>
    <w:p w14:paraId="10FB6EE0" w14:textId="77777777" w:rsidR="0030357E" w:rsidRDefault="0030357E" w:rsidP="0030357E">
      <w:pPr>
        <w:pStyle w:val="Heading4"/>
      </w:pPr>
      <w:bookmarkStart w:id="892" w:name="_Toc154576551"/>
    </w:p>
    <w:p w14:paraId="02951AB8" w14:textId="3AD17828" w:rsidR="0030357E" w:rsidRDefault="0030357E" w:rsidP="0030357E">
      <w:pPr>
        <w:pStyle w:val="Heading4"/>
      </w:pPr>
      <w:bookmarkStart w:id="893" w:name="_Toc162267603"/>
      <w:r>
        <w:t>Figure 9.68: Nonfatal Unintentional Injury Emergency Department Visits.</w:t>
      </w:r>
      <w:bookmarkEnd w:id="892"/>
      <w:bookmarkEnd w:id="893"/>
    </w:p>
    <w:p w14:paraId="2D2EC73B" w14:textId="77777777" w:rsidR="0030357E" w:rsidRPr="00E85F02" w:rsidRDefault="0030357E" w:rsidP="0030357E">
      <w:pPr>
        <w:pStyle w:val="Heading5"/>
      </w:pPr>
      <w:r>
        <w:t>Rate per 100,000 population.</w:t>
      </w:r>
    </w:p>
    <w:tbl>
      <w:tblPr>
        <w:tblStyle w:val="TableGrid"/>
        <w:tblW w:w="0" w:type="auto"/>
        <w:tblLook w:val="04A0" w:firstRow="1" w:lastRow="0" w:firstColumn="1" w:lastColumn="0" w:noHBand="0" w:noVBand="1"/>
      </w:tblPr>
      <w:tblGrid>
        <w:gridCol w:w="4675"/>
        <w:gridCol w:w="4675"/>
      </w:tblGrid>
      <w:tr w:rsidR="0030357E" w14:paraId="0F71B5ED" w14:textId="77777777" w:rsidTr="001B41BD">
        <w:tc>
          <w:tcPr>
            <w:tcW w:w="4675" w:type="dxa"/>
            <w:vAlign w:val="bottom"/>
          </w:tcPr>
          <w:p w14:paraId="769DF9B9" w14:textId="77777777" w:rsidR="0030357E" w:rsidRPr="00E85F02" w:rsidRDefault="0030357E" w:rsidP="001B41BD">
            <w:r w:rsidRPr="00E85F02">
              <w:t xml:space="preserve"> </w:t>
            </w:r>
            <w:r>
              <w:t>Year</w:t>
            </w:r>
          </w:p>
        </w:tc>
        <w:tc>
          <w:tcPr>
            <w:tcW w:w="4675" w:type="dxa"/>
            <w:vAlign w:val="bottom"/>
          </w:tcPr>
          <w:p w14:paraId="25823681" w14:textId="77777777" w:rsidR="0030357E" w:rsidRPr="00E85F02" w:rsidRDefault="0030357E" w:rsidP="001B41BD">
            <w:r>
              <w:t>Rate</w:t>
            </w:r>
          </w:p>
        </w:tc>
      </w:tr>
      <w:tr w:rsidR="0030357E" w14:paraId="490F9D79" w14:textId="77777777" w:rsidTr="001B41BD">
        <w:tc>
          <w:tcPr>
            <w:tcW w:w="4675" w:type="dxa"/>
            <w:vAlign w:val="bottom"/>
          </w:tcPr>
          <w:p w14:paraId="185D0E61" w14:textId="77777777" w:rsidR="0030357E" w:rsidRPr="00E85F02" w:rsidRDefault="0030357E" w:rsidP="001B41BD">
            <w:r w:rsidRPr="00E85F02">
              <w:t>2017</w:t>
            </w:r>
          </w:p>
        </w:tc>
        <w:tc>
          <w:tcPr>
            <w:tcW w:w="4675" w:type="dxa"/>
            <w:vAlign w:val="bottom"/>
          </w:tcPr>
          <w:p w14:paraId="44FD6B71" w14:textId="77777777" w:rsidR="0030357E" w:rsidRPr="00E85F02" w:rsidRDefault="0030357E" w:rsidP="001B41BD">
            <w:r w:rsidRPr="00E85F02">
              <w:t>9,787.9</w:t>
            </w:r>
          </w:p>
        </w:tc>
      </w:tr>
      <w:tr w:rsidR="0030357E" w14:paraId="452216DE" w14:textId="77777777" w:rsidTr="001B41BD">
        <w:tc>
          <w:tcPr>
            <w:tcW w:w="4675" w:type="dxa"/>
            <w:vAlign w:val="bottom"/>
          </w:tcPr>
          <w:p w14:paraId="77191979" w14:textId="77777777" w:rsidR="0030357E" w:rsidRPr="00E85F02" w:rsidRDefault="0030357E" w:rsidP="001B41BD">
            <w:r w:rsidRPr="00E85F02">
              <w:t>2018</w:t>
            </w:r>
          </w:p>
        </w:tc>
        <w:tc>
          <w:tcPr>
            <w:tcW w:w="4675" w:type="dxa"/>
            <w:vAlign w:val="bottom"/>
          </w:tcPr>
          <w:p w14:paraId="18F33417" w14:textId="77777777" w:rsidR="0030357E" w:rsidRPr="00E85F02" w:rsidRDefault="0030357E" w:rsidP="001B41BD">
            <w:r w:rsidRPr="00E85F02">
              <w:t>9,311.7</w:t>
            </w:r>
          </w:p>
        </w:tc>
      </w:tr>
      <w:tr w:rsidR="0030357E" w14:paraId="1BF3580B" w14:textId="77777777" w:rsidTr="001B41BD">
        <w:tc>
          <w:tcPr>
            <w:tcW w:w="4675" w:type="dxa"/>
            <w:vAlign w:val="bottom"/>
          </w:tcPr>
          <w:p w14:paraId="47D42B8C" w14:textId="77777777" w:rsidR="0030357E" w:rsidRPr="00E85F02" w:rsidRDefault="0030357E" w:rsidP="001B41BD">
            <w:r w:rsidRPr="00E85F02">
              <w:t>2019</w:t>
            </w:r>
          </w:p>
        </w:tc>
        <w:tc>
          <w:tcPr>
            <w:tcW w:w="4675" w:type="dxa"/>
            <w:vAlign w:val="bottom"/>
          </w:tcPr>
          <w:p w14:paraId="31977F17" w14:textId="77777777" w:rsidR="0030357E" w:rsidRPr="00E85F02" w:rsidRDefault="0030357E" w:rsidP="001B41BD">
            <w:r w:rsidRPr="00E85F02">
              <w:t>9,182.1</w:t>
            </w:r>
          </w:p>
        </w:tc>
      </w:tr>
      <w:tr w:rsidR="0030357E" w14:paraId="13E6A8ED" w14:textId="77777777" w:rsidTr="001B41BD">
        <w:tc>
          <w:tcPr>
            <w:tcW w:w="4675" w:type="dxa"/>
            <w:vAlign w:val="bottom"/>
          </w:tcPr>
          <w:p w14:paraId="61856ACC" w14:textId="77777777" w:rsidR="0030357E" w:rsidRPr="00E85F02" w:rsidRDefault="0030357E" w:rsidP="001B41BD">
            <w:r w:rsidRPr="00E85F02">
              <w:t>2020</w:t>
            </w:r>
          </w:p>
        </w:tc>
        <w:tc>
          <w:tcPr>
            <w:tcW w:w="4675" w:type="dxa"/>
            <w:vAlign w:val="bottom"/>
          </w:tcPr>
          <w:p w14:paraId="565EF4EA" w14:textId="77777777" w:rsidR="0030357E" w:rsidRPr="00E85F02" w:rsidRDefault="0030357E" w:rsidP="001B41BD">
            <w:r w:rsidRPr="00E85F02">
              <w:t>7,562.3</w:t>
            </w:r>
          </w:p>
        </w:tc>
      </w:tr>
      <w:tr w:rsidR="0030357E" w14:paraId="3DDF9467" w14:textId="77777777" w:rsidTr="001B41BD">
        <w:tc>
          <w:tcPr>
            <w:tcW w:w="4675" w:type="dxa"/>
            <w:vAlign w:val="bottom"/>
          </w:tcPr>
          <w:p w14:paraId="12EB3F80" w14:textId="77777777" w:rsidR="0030357E" w:rsidRPr="00E85F02" w:rsidRDefault="0030357E" w:rsidP="001B41BD">
            <w:r>
              <w:t>2021</w:t>
            </w:r>
          </w:p>
        </w:tc>
        <w:tc>
          <w:tcPr>
            <w:tcW w:w="4675" w:type="dxa"/>
            <w:vAlign w:val="bottom"/>
          </w:tcPr>
          <w:p w14:paraId="65EFDC34" w14:textId="77777777" w:rsidR="0030357E" w:rsidRPr="00E85F02" w:rsidRDefault="0030357E" w:rsidP="001B41BD">
            <w:r>
              <w:t>7,997.7</w:t>
            </w:r>
          </w:p>
        </w:tc>
      </w:tr>
    </w:tbl>
    <w:p w14:paraId="454D0145" w14:textId="77777777" w:rsidR="0030357E" w:rsidRPr="00E85F02" w:rsidRDefault="0030357E" w:rsidP="0030357E">
      <w:r w:rsidRPr="00E85F02">
        <w:t xml:space="preserve">Source: SC RFA. </w:t>
      </w:r>
    </w:p>
    <w:p w14:paraId="36368357" w14:textId="77777777" w:rsidR="0030357E" w:rsidRDefault="0030357E" w:rsidP="0030357E">
      <w:r w:rsidRPr="00E85F02">
        <w:t>Note: Includes cases subsequently admitted as an inpatient to the same hospital from the ED, initial encounter for injury only. Population for year 2021 based on single-race estimates and for years prior based on bridge-race estimates.</w:t>
      </w:r>
    </w:p>
    <w:p w14:paraId="075C61D1" w14:textId="77777777" w:rsidR="0030357E" w:rsidRPr="0030357E" w:rsidRDefault="0030357E" w:rsidP="0030357E"/>
    <w:p w14:paraId="435906CA" w14:textId="77777777" w:rsidR="0030357E" w:rsidRDefault="0030357E" w:rsidP="0030357E">
      <w:pPr>
        <w:pStyle w:val="Heading4"/>
      </w:pPr>
      <w:bookmarkStart w:id="894" w:name="_Toc162267604"/>
      <w:r w:rsidRPr="0030357E">
        <w:t>Data Interpretations:</w:t>
      </w:r>
      <w:bookmarkEnd w:id="894"/>
      <w:r w:rsidRPr="0030357E">
        <w:t xml:space="preserve"> </w:t>
      </w:r>
    </w:p>
    <w:p w14:paraId="73B13A29" w14:textId="14ADE52D" w:rsidR="0030357E" w:rsidRPr="0030357E" w:rsidRDefault="0030357E" w:rsidP="0030357E">
      <w:r w:rsidRPr="0030357E">
        <w:t>Unintentional injury deaths have increased for all ages in SC from a rate of 47.1 deaths per 100,000 population in 2012, to 87.6 deaths per 100,000 population in 2021 (</w:t>
      </w:r>
      <w:r w:rsidRPr="0030357E">
        <w:rPr>
          <w:b/>
          <w:bCs/>
        </w:rPr>
        <w:t>Figure 9.67</w:t>
      </w:r>
      <w:r w:rsidRPr="0030357E">
        <w:t>). The unintentional injury death rate has also increased for the US, but the US still had a lower death rate compared to SC in 2021, with 64.7 deaths per 100,000 population (</w:t>
      </w:r>
      <w:r w:rsidRPr="0030357E">
        <w:rPr>
          <w:b/>
          <w:bCs/>
        </w:rPr>
        <w:t>Figure 9.67</w:t>
      </w:r>
      <w:r w:rsidRPr="0030357E">
        <w:t>). As of 2021, SC has not reached the Healthy People 2030 goal of 43.2 unintentional injury deaths per 100,000 population. The leading cause of unintentional injury deaths among SC adults ages 18-24 was MVCs (</w:t>
      </w:r>
      <w:r w:rsidRPr="0030357E">
        <w:rPr>
          <w:b/>
          <w:bCs/>
        </w:rPr>
        <w:t>Table 9.3</w:t>
      </w:r>
      <w:r w:rsidRPr="0030357E">
        <w:t>). The leading cause of unintentional injury deaths among adults ages 25-64 in SC was unintentional drug overdoses (</w:t>
      </w:r>
      <w:r w:rsidRPr="0030357E">
        <w:rPr>
          <w:b/>
          <w:bCs/>
        </w:rPr>
        <w:t>Table 9.3</w:t>
      </w:r>
      <w:r w:rsidRPr="0030357E">
        <w:t>). Unintentional overdoses have been on the rise in SC and nationally due to an increase in illicit fentanyl.</w:t>
      </w:r>
    </w:p>
    <w:p w14:paraId="4E851FD9" w14:textId="77777777" w:rsidR="0030357E" w:rsidRDefault="0030357E" w:rsidP="0030357E"/>
    <w:p w14:paraId="7C756FD8" w14:textId="6E3DA8E4" w:rsidR="0030357E" w:rsidRPr="0030357E" w:rsidRDefault="0030357E" w:rsidP="0030357E">
      <w:r w:rsidRPr="0030357E">
        <w:t>Nonfatal unintentional injury ED visits have decreased since 2017. In 2017, the rate of nonfatal unintentional injury ED visits was 9,787.9 per 100,000 population, and in 2021 the rate was 7,997.7 visits per 100,000 population (</w:t>
      </w:r>
      <w:r w:rsidRPr="0030357E">
        <w:rPr>
          <w:b/>
          <w:bCs/>
        </w:rPr>
        <w:t>Figure 9.68</w:t>
      </w:r>
      <w:r w:rsidRPr="0030357E">
        <w:t>). In 2021, the leading cause of nonfatal unintentional injury ED visits in SC adults ages 18-64 was MVCs.</w:t>
      </w:r>
    </w:p>
    <w:p w14:paraId="6196A4A6" w14:textId="77777777" w:rsidR="0030357E" w:rsidRDefault="0030357E" w:rsidP="0030357E">
      <w:pPr>
        <w:pStyle w:val="Heading5"/>
      </w:pPr>
    </w:p>
    <w:p w14:paraId="22C223E3" w14:textId="18D940C6" w:rsidR="0030357E" w:rsidRDefault="0030357E" w:rsidP="0030357E">
      <w:pPr>
        <w:pStyle w:val="Heading5"/>
      </w:pPr>
      <w:r w:rsidRPr="0030357E">
        <w:t xml:space="preserve">Key Takeaways: </w:t>
      </w:r>
    </w:p>
    <w:p w14:paraId="0CE7728A" w14:textId="77777777" w:rsidR="0030357E" w:rsidRPr="0030357E" w:rsidRDefault="0030357E" w:rsidP="00926EB3">
      <w:pPr>
        <w:pStyle w:val="ListParagraph"/>
        <w:numPr>
          <w:ilvl w:val="0"/>
          <w:numId w:val="228"/>
        </w:numPr>
      </w:pPr>
      <w:r w:rsidRPr="0030357E">
        <w:t>In 2021, SC ranked sixth in the country for the highest rate of unintentional injury deaths among adults aged 18-64.</w:t>
      </w:r>
    </w:p>
    <w:p w14:paraId="73A52D27" w14:textId="77777777" w:rsidR="0030357E" w:rsidRPr="0030357E" w:rsidRDefault="0030357E" w:rsidP="0030357E"/>
    <w:p w14:paraId="522B3170" w14:textId="7BE4190A" w:rsidR="0030357E" w:rsidRPr="00474B85" w:rsidRDefault="0030357E" w:rsidP="0030357E">
      <w:pPr>
        <w:pStyle w:val="Heading4"/>
        <w:rPr>
          <w:rFonts w:asciiTheme="minorHAnsi" w:hAnsiTheme="minorHAnsi" w:cstheme="minorHAnsi"/>
          <w:color w:val="000000" w:themeColor="text1"/>
        </w:rPr>
      </w:pPr>
      <w:bookmarkStart w:id="895" w:name="_Toc162267605"/>
      <w:r w:rsidRPr="00474B85">
        <w:rPr>
          <w:rFonts w:asciiTheme="minorHAnsi" w:hAnsiTheme="minorHAnsi" w:cstheme="minorHAnsi"/>
          <w:color w:val="000000" w:themeColor="text1"/>
        </w:rPr>
        <w:lastRenderedPageBreak/>
        <w:t>References 9.</w:t>
      </w:r>
      <w:r>
        <w:rPr>
          <w:rFonts w:asciiTheme="minorHAnsi" w:hAnsiTheme="minorHAnsi" w:cstheme="minorHAnsi"/>
          <w:color w:val="000000" w:themeColor="text1"/>
        </w:rPr>
        <w:t>26</w:t>
      </w:r>
      <w:bookmarkEnd w:id="895"/>
    </w:p>
    <w:p w14:paraId="5E148421" w14:textId="77777777" w:rsidR="0030357E" w:rsidRPr="00474B85" w:rsidRDefault="0030357E" w:rsidP="0030357E">
      <w:r w:rsidRPr="00474B85">
        <w:t>Statistics in the preceding section were referenced from the following reports:</w:t>
      </w:r>
    </w:p>
    <w:p w14:paraId="27D4A976" w14:textId="33603940" w:rsidR="006449E8" w:rsidRPr="006449E8" w:rsidRDefault="006449E8" w:rsidP="00926EB3">
      <w:pPr>
        <w:pStyle w:val="ListParagraph"/>
        <w:numPr>
          <w:ilvl w:val="0"/>
          <w:numId w:val="192"/>
        </w:numPr>
        <w:tabs>
          <w:tab w:val="left" w:pos="810"/>
          <w:tab w:val="left" w:pos="900"/>
        </w:tabs>
      </w:pPr>
      <w:r w:rsidRPr="006449E8">
        <w:t>South Carolina Revenue and Fiscal Affairs Office. Emergency Department Visits among South Carolina Residents, 2019-2021. Includes cases subsequently admitted as an inpatient to the same hospital from the ED, initial encounter for injury only.</w:t>
      </w:r>
      <w:r>
        <w:t xml:space="preserve"> No hyperlink.</w:t>
      </w:r>
    </w:p>
    <w:p w14:paraId="2475DF52" w14:textId="13C78C5F" w:rsidR="006449E8" w:rsidRPr="006449E8" w:rsidRDefault="00000000" w:rsidP="00926EB3">
      <w:pPr>
        <w:pStyle w:val="ListParagraph"/>
        <w:numPr>
          <w:ilvl w:val="0"/>
          <w:numId w:val="192"/>
        </w:numPr>
        <w:tabs>
          <w:tab w:val="left" w:pos="810"/>
          <w:tab w:val="left" w:pos="900"/>
        </w:tabs>
        <w:rPr>
          <w:u w:val="thick"/>
        </w:rPr>
      </w:pPr>
      <w:hyperlink r:id="rId404" w:history="1">
        <w:r w:rsidR="006449E8" w:rsidRPr="006449E8">
          <w:rPr>
            <w:rStyle w:val="Hyperlink"/>
          </w:rPr>
          <w:t>“Why injury and violence prevention matter” by the Centers for Disease Control and Prevention, 2022. Retrieved November 30, 2022.</w:t>
        </w:r>
      </w:hyperlink>
      <w:r w:rsidR="006449E8" w:rsidRPr="006449E8">
        <w:t xml:space="preserve"> </w:t>
      </w:r>
    </w:p>
    <w:p w14:paraId="59052341" w14:textId="7EF34BC2" w:rsidR="006449E8" w:rsidRPr="006449E8" w:rsidRDefault="00000000" w:rsidP="00926EB3">
      <w:pPr>
        <w:pStyle w:val="ListParagraph"/>
        <w:numPr>
          <w:ilvl w:val="0"/>
          <w:numId w:val="192"/>
        </w:numPr>
        <w:tabs>
          <w:tab w:val="left" w:pos="810"/>
          <w:tab w:val="left" w:pos="900"/>
        </w:tabs>
        <w:rPr>
          <w:u w:val="thick"/>
        </w:rPr>
      </w:pPr>
      <w:hyperlink r:id="rId405" w:history="1">
        <w:r w:rsidR="006449E8" w:rsidRPr="006449E8">
          <w:rPr>
            <w:rStyle w:val="Hyperlink"/>
          </w:rPr>
          <w:t>“Core State Injury Prevention Program (Core SIPP)” by the Centers for Disease Control and Prevention, 2022. Retrieved November 30, 2022.</w:t>
        </w:r>
      </w:hyperlink>
      <w:r w:rsidR="006449E8" w:rsidRPr="006449E8">
        <w:t xml:space="preserve"> </w:t>
      </w:r>
    </w:p>
    <w:p w14:paraId="352665FB" w14:textId="4CA739B1" w:rsidR="006449E8" w:rsidRPr="006449E8" w:rsidRDefault="00000000" w:rsidP="00926EB3">
      <w:pPr>
        <w:pStyle w:val="ListParagraph"/>
        <w:numPr>
          <w:ilvl w:val="0"/>
          <w:numId w:val="192"/>
        </w:numPr>
        <w:tabs>
          <w:tab w:val="left" w:pos="810"/>
          <w:tab w:val="left" w:pos="900"/>
        </w:tabs>
        <w:rPr>
          <w:u w:val="thick"/>
        </w:rPr>
      </w:pPr>
      <w:hyperlink r:id="rId406" w:history="1">
        <w:r w:rsidR="006449E8" w:rsidRPr="006449E8">
          <w:rPr>
            <w:rStyle w:val="Hyperlink"/>
          </w:rPr>
          <w:t>“Fentanyl” by the Centers for Disease Control and Prevention via cdc.gov, 2022. Retrieved February 13, 2023.</w:t>
        </w:r>
      </w:hyperlink>
      <w:r w:rsidR="006449E8" w:rsidRPr="006449E8">
        <w:t xml:space="preserve"> </w:t>
      </w:r>
    </w:p>
    <w:p w14:paraId="541DDC26" w14:textId="77777777" w:rsidR="0030357E" w:rsidRDefault="0030357E" w:rsidP="0030357E"/>
    <w:p w14:paraId="46A071E0" w14:textId="77777777" w:rsidR="0030357E" w:rsidRPr="0030357E" w:rsidRDefault="0030357E" w:rsidP="0030357E">
      <w:pPr>
        <w:pStyle w:val="Heading3"/>
      </w:pPr>
      <w:bookmarkStart w:id="896" w:name="_Toc162267606"/>
      <w:r w:rsidRPr="0030357E">
        <w:t>Motor Vehicle Crashes</w:t>
      </w:r>
      <w:bookmarkEnd w:id="896"/>
    </w:p>
    <w:p w14:paraId="4D26D73F" w14:textId="33AC14CE" w:rsidR="0030357E" w:rsidRDefault="0030357E" w:rsidP="0030357E">
      <w:pPr>
        <w:rPr>
          <w:b/>
          <w:bCs/>
        </w:rPr>
      </w:pPr>
      <w:r w:rsidRPr="0030357E">
        <w:t>MVCs are one of the most common types of injuries that Americans face. In 2020, almost 41,000 people died from MVCs and there were over 2.1 million ED visits from MVCs in the US. In 2021, SC had 147,724 collisions, 1,198 fatalities, and 53,596 nonfatal injuries due to MVCs. It is estimated that the economic loss due to MVCs was around $5.20 billion in SC in 2021.</w:t>
      </w:r>
    </w:p>
    <w:p w14:paraId="22F5B2C8" w14:textId="77777777" w:rsidR="0030357E" w:rsidRPr="0030357E" w:rsidRDefault="0030357E" w:rsidP="0030357E"/>
    <w:p w14:paraId="33F86DEA" w14:textId="14BF00A6" w:rsidR="0030357E" w:rsidRDefault="0030357E" w:rsidP="0030357E">
      <w:pPr>
        <w:rPr>
          <w:b/>
          <w:bCs/>
        </w:rPr>
      </w:pPr>
      <w:r w:rsidRPr="0030357E">
        <w:t>Major risk factors for MVC deaths in the US are not using or improper use of seat belts; car seats and booster seats; drunk driving; and speeding. Reducing risk factors and promoting education around transportation safety such as child passenger safety and distracted driving can save lives and costs.</w:t>
      </w:r>
    </w:p>
    <w:p w14:paraId="22002BB2" w14:textId="77777777" w:rsidR="0030357E" w:rsidRDefault="0030357E" w:rsidP="0030357E">
      <w:pPr>
        <w:rPr>
          <w:b/>
          <w:bCs/>
        </w:rPr>
      </w:pPr>
    </w:p>
    <w:p w14:paraId="0C55204F" w14:textId="77777777" w:rsidR="0030357E" w:rsidRDefault="0030357E" w:rsidP="0030357E">
      <w:pPr>
        <w:pStyle w:val="Heading4"/>
      </w:pPr>
      <w:bookmarkStart w:id="897" w:name="_Toc154576552"/>
      <w:bookmarkStart w:id="898" w:name="_Toc162267607"/>
      <w:r>
        <w:t>Figure 9.69: Motor Vehicle Crash Deaths.</w:t>
      </w:r>
      <w:bookmarkEnd w:id="897"/>
      <w:bookmarkEnd w:id="898"/>
    </w:p>
    <w:p w14:paraId="38C51B7D" w14:textId="77777777" w:rsidR="0030357E" w:rsidRPr="00E85F02" w:rsidRDefault="0030357E" w:rsidP="0030357E">
      <w:pPr>
        <w:pStyle w:val="Heading5"/>
      </w:pPr>
      <w:r>
        <w:t>Rate per 100,000 population.</w:t>
      </w:r>
    </w:p>
    <w:tbl>
      <w:tblPr>
        <w:tblStyle w:val="TableGrid"/>
        <w:tblW w:w="0" w:type="auto"/>
        <w:tblLook w:val="04A0" w:firstRow="1" w:lastRow="0" w:firstColumn="1" w:lastColumn="0" w:noHBand="0" w:noVBand="1"/>
      </w:tblPr>
      <w:tblGrid>
        <w:gridCol w:w="2337"/>
        <w:gridCol w:w="2337"/>
        <w:gridCol w:w="2338"/>
        <w:gridCol w:w="2338"/>
      </w:tblGrid>
      <w:tr w:rsidR="0030357E" w14:paraId="4E6E3CE4" w14:textId="77777777" w:rsidTr="001B41BD">
        <w:tc>
          <w:tcPr>
            <w:tcW w:w="2337" w:type="dxa"/>
            <w:vAlign w:val="bottom"/>
          </w:tcPr>
          <w:p w14:paraId="7CBC6B5D" w14:textId="77777777" w:rsidR="0030357E" w:rsidRPr="00E85F02" w:rsidRDefault="0030357E" w:rsidP="001B41BD">
            <w:r>
              <w:t>Years</w:t>
            </w:r>
          </w:p>
        </w:tc>
        <w:tc>
          <w:tcPr>
            <w:tcW w:w="2337" w:type="dxa"/>
            <w:vAlign w:val="bottom"/>
          </w:tcPr>
          <w:p w14:paraId="636FD0A2" w14:textId="77777777" w:rsidR="0030357E" w:rsidRPr="00E85F02" w:rsidRDefault="0030357E" w:rsidP="001B41BD">
            <w:r w:rsidRPr="00E85F02">
              <w:t>South Carolina</w:t>
            </w:r>
          </w:p>
        </w:tc>
        <w:tc>
          <w:tcPr>
            <w:tcW w:w="2338" w:type="dxa"/>
            <w:vAlign w:val="bottom"/>
          </w:tcPr>
          <w:p w14:paraId="53A3CED0" w14:textId="77777777" w:rsidR="0030357E" w:rsidRPr="00E85F02" w:rsidRDefault="0030357E" w:rsidP="001B41BD">
            <w:r w:rsidRPr="00E85F02">
              <w:t>United States</w:t>
            </w:r>
          </w:p>
        </w:tc>
        <w:tc>
          <w:tcPr>
            <w:tcW w:w="2338" w:type="dxa"/>
            <w:vAlign w:val="bottom"/>
          </w:tcPr>
          <w:p w14:paraId="4E41D3FC" w14:textId="77777777" w:rsidR="0030357E" w:rsidRPr="00E85F02" w:rsidRDefault="0030357E" w:rsidP="001B41BD">
            <w:r w:rsidRPr="00E85F02">
              <w:t>Healthy People</w:t>
            </w:r>
            <w:r>
              <w:t xml:space="preserve"> 2030 Goal</w:t>
            </w:r>
          </w:p>
        </w:tc>
      </w:tr>
      <w:tr w:rsidR="0030357E" w14:paraId="38483FE8" w14:textId="77777777" w:rsidTr="001B41BD">
        <w:tc>
          <w:tcPr>
            <w:tcW w:w="2337" w:type="dxa"/>
            <w:vAlign w:val="bottom"/>
          </w:tcPr>
          <w:p w14:paraId="7622E891" w14:textId="77777777" w:rsidR="0030357E" w:rsidRPr="00E85F02" w:rsidRDefault="0030357E" w:rsidP="001B41BD">
            <w:r w:rsidRPr="00E85F02">
              <w:t>2012</w:t>
            </w:r>
          </w:p>
        </w:tc>
        <w:tc>
          <w:tcPr>
            <w:tcW w:w="2337" w:type="dxa"/>
            <w:vAlign w:val="bottom"/>
          </w:tcPr>
          <w:p w14:paraId="3440F88A" w14:textId="77777777" w:rsidR="0030357E" w:rsidRPr="00E85F02" w:rsidRDefault="0030357E" w:rsidP="001B41BD">
            <w:r w:rsidRPr="00E85F02">
              <w:t>17.1</w:t>
            </w:r>
          </w:p>
        </w:tc>
        <w:tc>
          <w:tcPr>
            <w:tcW w:w="2338" w:type="dxa"/>
            <w:vAlign w:val="bottom"/>
          </w:tcPr>
          <w:p w14:paraId="3B8B9555" w14:textId="77777777" w:rsidR="0030357E" w:rsidRPr="00E85F02" w:rsidRDefault="0030357E" w:rsidP="001B41BD">
            <w:r w:rsidRPr="00E85F02">
              <w:t>10.9</w:t>
            </w:r>
          </w:p>
        </w:tc>
        <w:tc>
          <w:tcPr>
            <w:tcW w:w="2338" w:type="dxa"/>
            <w:vAlign w:val="bottom"/>
          </w:tcPr>
          <w:p w14:paraId="74ECB77E" w14:textId="77777777" w:rsidR="0030357E" w:rsidRPr="00E85F02" w:rsidRDefault="0030357E" w:rsidP="001B41BD">
            <w:r w:rsidRPr="00E85F02">
              <w:t>10.1</w:t>
            </w:r>
          </w:p>
        </w:tc>
      </w:tr>
      <w:tr w:rsidR="0030357E" w14:paraId="1431101F" w14:textId="77777777" w:rsidTr="001B41BD">
        <w:tc>
          <w:tcPr>
            <w:tcW w:w="2337" w:type="dxa"/>
            <w:vAlign w:val="bottom"/>
          </w:tcPr>
          <w:p w14:paraId="46C866BF" w14:textId="77777777" w:rsidR="0030357E" w:rsidRPr="00E85F02" w:rsidRDefault="0030357E" w:rsidP="001B41BD">
            <w:r w:rsidRPr="00E85F02">
              <w:t>2013</w:t>
            </w:r>
          </w:p>
        </w:tc>
        <w:tc>
          <w:tcPr>
            <w:tcW w:w="2337" w:type="dxa"/>
            <w:vAlign w:val="bottom"/>
          </w:tcPr>
          <w:p w14:paraId="111A8176" w14:textId="77777777" w:rsidR="0030357E" w:rsidRPr="00E85F02" w:rsidRDefault="0030357E" w:rsidP="001B41BD">
            <w:r w:rsidRPr="00E85F02">
              <w:t>15.6</w:t>
            </w:r>
          </w:p>
        </w:tc>
        <w:tc>
          <w:tcPr>
            <w:tcW w:w="2338" w:type="dxa"/>
            <w:vAlign w:val="bottom"/>
          </w:tcPr>
          <w:p w14:paraId="40E537B3" w14:textId="77777777" w:rsidR="0030357E" w:rsidRPr="00E85F02" w:rsidRDefault="0030357E" w:rsidP="001B41BD">
            <w:r w:rsidRPr="00E85F02">
              <w:t>10.4</w:t>
            </w:r>
          </w:p>
        </w:tc>
        <w:tc>
          <w:tcPr>
            <w:tcW w:w="2338" w:type="dxa"/>
            <w:vAlign w:val="bottom"/>
          </w:tcPr>
          <w:p w14:paraId="3496B1D5" w14:textId="77777777" w:rsidR="0030357E" w:rsidRPr="00E85F02" w:rsidRDefault="0030357E" w:rsidP="001B41BD">
            <w:r w:rsidRPr="00E85F02">
              <w:t>10.1</w:t>
            </w:r>
          </w:p>
        </w:tc>
      </w:tr>
      <w:tr w:rsidR="0030357E" w14:paraId="470BA178" w14:textId="77777777" w:rsidTr="001B41BD">
        <w:tc>
          <w:tcPr>
            <w:tcW w:w="2337" w:type="dxa"/>
            <w:vAlign w:val="bottom"/>
          </w:tcPr>
          <w:p w14:paraId="394443A3" w14:textId="77777777" w:rsidR="0030357E" w:rsidRPr="00E85F02" w:rsidRDefault="0030357E" w:rsidP="001B41BD">
            <w:r w:rsidRPr="00E85F02">
              <w:t>2014</w:t>
            </w:r>
          </w:p>
        </w:tc>
        <w:tc>
          <w:tcPr>
            <w:tcW w:w="2337" w:type="dxa"/>
            <w:vAlign w:val="bottom"/>
          </w:tcPr>
          <w:p w14:paraId="0AE39DE8" w14:textId="77777777" w:rsidR="0030357E" w:rsidRPr="00E85F02" w:rsidRDefault="0030357E" w:rsidP="001B41BD">
            <w:r w:rsidRPr="00E85F02">
              <w:t>15.9</w:t>
            </w:r>
          </w:p>
        </w:tc>
        <w:tc>
          <w:tcPr>
            <w:tcW w:w="2338" w:type="dxa"/>
            <w:vAlign w:val="bottom"/>
          </w:tcPr>
          <w:p w14:paraId="592D9104" w14:textId="77777777" w:rsidR="0030357E" w:rsidRPr="00E85F02" w:rsidRDefault="0030357E" w:rsidP="001B41BD">
            <w:r w:rsidRPr="00E85F02">
              <w:t>10.3</w:t>
            </w:r>
          </w:p>
        </w:tc>
        <w:tc>
          <w:tcPr>
            <w:tcW w:w="2338" w:type="dxa"/>
            <w:vAlign w:val="bottom"/>
          </w:tcPr>
          <w:p w14:paraId="44212816" w14:textId="77777777" w:rsidR="0030357E" w:rsidRPr="00E85F02" w:rsidRDefault="0030357E" w:rsidP="001B41BD">
            <w:r w:rsidRPr="00E85F02">
              <w:t>10.1</w:t>
            </w:r>
          </w:p>
        </w:tc>
      </w:tr>
      <w:tr w:rsidR="0030357E" w14:paraId="48B12FA2" w14:textId="77777777" w:rsidTr="001B41BD">
        <w:tc>
          <w:tcPr>
            <w:tcW w:w="2337" w:type="dxa"/>
            <w:vAlign w:val="bottom"/>
          </w:tcPr>
          <w:p w14:paraId="243E4B64" w14:textId="77777777" w:rsidR="0030357E" w:rsidRPr="00E85F02" w:rsidRDefault="0030357E" w:rsidP="001B41BD">
            <w:r w:rsidRPr="00E85F02">
              <w:t>2015</w:t>
            </w:r>
          </w:p>
        </w:tc>
        <w:tc>
          <w:tcPr>
            <w:tcW w:w="2337" w:type="dxa"/>
            <w:vAlign w:val="bottom"/>
          </w:tcPr>
          <w:p w14:paraId="04DF0A28" w14:textId="77777777" w:rsidR="0030357E" w:rsidRPr="00E85F02" w:rsidRDefault="0030357E" w:rsidP="001B41BD">
            <w:r w:rsidRPr="00E85F02">
              <w:t>19.3</w:t>
            </w:r>
          </w:p>
        </w:tc>
        <w:tc>
          <w:tcPr>
            <w:tcW w:w="2338" w:type="dxa"/>
            <w:vAlign w:val="bottom"/>
          </w:tcPr>
          <w:p w14:paraId="7B95574D" w14:textId="77777777" w:rsidR="0030357E" w:rsidRPr="00E85F02" w:rsidRDefault="0030357E" w:rsidP="001B41BD">
            <w:r w:rsidRPr="00E85F02">
              <w:t>10.9</w:t>
            </w:r>
          </w:p>
        </w:tc>
        <w:tc>
          <w:tcPr>
            <w:tcW w:w="2338" w:type="dxa"/>
            <w:vAlign w:val="bottom"/>
          </w:tcPr>
          <w:p w14:paraId="2B431CB6" w14:textId="77777777" w:rsidR="0030357E" w:rsidRPr="00E85F02" w:rsidRDefault="0030357E" w:rsidP="001B41BD">
            <w:r w:rsidRPr="00E85F02">
              <w:t>10.1</w:t>
            </w:r>
          </w:p>
        </w:tc>
      </w:tr>
      <w:tr w:rsidR="0030357E" w14:paraId="4BCE6843" w14:textId="77777777" w:rsidTr="001B41BD">
        <w:tc>
          <w:tcPr>
            <w:tcW w:w="2337" w:type="dxa"/>
            <w:vAlign w:val="bottom"/>
          </w:tcPr>
          <w:p w14:paraId="507D388F" w14:textId="77777777" w:rsidR="0030357E" w:rsidRPr="00E85F02" w:rsidRDefault="0030357E" w:rsidP="001B41BD">
            <w:r w:rsidRPr="00E85F02">
              <w:t>2016</w:t>
            </w:r>
          </w:p>
        </w:tc>
        <w:tc>
          <w:tcPr>
            <w:tcW w:w="2337" w:type="dxa"/>
            <w:vAlign w:val="bottom"/>
          </w:tcPr>
          <w:p w14:paraId="6EEFB690" w14:textId="77777777" w:rsidR="0030357E" w:rsidRPr="00E85F02" w:rsidRDefault="0030357E" w:rsidP="001B41BD">
            <w:r w:rsidRPr="00E85F02">
              <w:t>20.5</w:t>
            </w:r>
          </w:p>
        </w:tc>
        <w:tc>
          <w:tcPr>
            <w:tcW w:w="2338" w:type="dxa"/>
            <w:vAlign w:val="bottom"/>
          </w:tcPr>
          <w:p w14:paraId="7D3BB2BC" w14:textId="77777777" w:rsidR="0030357E" w:rsidRPr="00E85F02" w:rsidRDefault="0030357E" w:rsidP="001B41BD">
            <w:r w:rsidRPr="00E85F02">
              <w:t>11.6</w:t>
            </w:r>
          </w:p>
        </w:tc>
        <w:tc>
          <w:tcPr>
            <w:tcW w:w="2338" w:type="dxa"/>
            <w:vAlign w:val="bottom"/>
          </w:tcPr>
          <w:p w14:paraId="7644E33C" w14:textId="77777777" w:rsidR="0030357E" w:rsidRPr="00E85F02" w:rsidRDefault="0030357E" w:rsidP="001B41BD">
            <w:r w:rsidRPr="00E85F02">
              <w:t>10.1</w:t>
            </w:r>
          </w:p>
        </w:tc>
      </w:tr>
      <w:tr w:rsidR="0030357E" w14:paraId="2222AF48" w14:textId="77777777" w:rsidTr="001B41BD">
        <w:tc>
          <w:tcPr>
            <w:tcW w:w="2337" w:type="dxa"/>
            <w:vAlign w:val="bottom"/>
          </w:tcPr>
          <w:p w14:paraId="4882A8BB" w14:textId="77777777" w:rsidR="0030357E" w:rsidRPr="00E85F02" w:rsidRDefault="0030357E" w:rsidP="001B41BD">
            <w:r w:rsidRPr="00E85F02">
              <w:t>2017</w:t>
            </w:r>
          </w:p>
        </w:tc>
        <w:tc>
          <w:tcPr>
            <w:tcW w:w="2337" w:type="dxa"/>
            <w:vAlign w:val="bottom"/>
          </w:tcPr>
          <w:p w14:paraId="578FF855" w14:textId="77777777" w:rsidR="0030357E" w:rsidRPr="00E85F02" w:rsidRDefault="0030357E" w:rsidP="001B41BD">
            <w:r w:rsidRPr="00E85F02">
              <w:t>20.1</w:t>
            </w:r>
          </w:p>
        </w:tc>
        <w:tc>
          <w:tcPr>
            <w:tcW w:w="2338" w:type="dxa"/>
            <w:vAlign w:val="bottom"/>
          </w:tcPr>
          <w:p w14:paraId="4936AC05" w14:textId="77777777" w:rsidR="0030357E" w:rsidRPr="00E85F02" w:rsidRDefault="0030357E" w:rsidP="001B41BD">
            <w:r w:rsidRPr="00E85F02">
              <w:t>11.5</w:t>
            </w:r>
          </w:p>
        </w:tc>
        <w:tc>
          <w:tcPr>
            <w:tcW w:w="2338" w:type="dxa"/>
            <w:vAlign w:val="bottom"/>
          </w:tcPr>
          <w:p w14:paraId="51721F2C" w14:textId="77777777" w:rsidR="0030357E" w:rsidRPr="00E85F02" w:rsidRDefault="0030357E" w:rsidP="001B41BD">
            <w:r w:rsidRPr="00E85F02">
              <w:t>10.1</w:t>
            </w:r>
          </w:p>
        </w:tc>
      </w:tr>
      <w:tr w:rsidR="0030357E" w14:paraId="0122F946" w14:textId="77777777" w:rsidTr="001B41BD">
        <w:tc>
          <w:tcPr>
            <w:tcW w:w="2337" w:type="dxa"/>
            <w:vAlign w:val="bottom"/>
          </w:tcPr>
          <w:p w14:paraId="27AB1DE5" w14:textId="77777777" w:rsidR="0030357E" w:rsidRPr="00E85F02" w:rsidRDefault="0030357E" w:rsidP="001B41BD">
            <w:r w:rsidRPr="00E85F02">
              <w:t>2018</w:t>
            </w:r>
          </w:p>
        </w:tc>
        <w:tc>
          <w:tcPr>
            <w:tcW w:w="2337" w:type="dxa"/>
            <w:vAlign w:val="bottom"/>
          </w:tcPr>
          <w:p w14:paraId="6AA6B1A1" w14:textId="77777777" w:rsidR="0030357E" w:rsidRPr="00E85F02" w:rsidRDefault="0030357E" w:rsidP="001B41BD">
            <w:r w:rsidRPr="00E85F02">
              <w:t>19.7</w:t>
            </w:r>
          </w:p>
        </w:tc>
        <w:tc>
          <w:tcPr>
            <w:tcW w:w="2338" w:type="dxa"/>
            <w:vAlign w:val="bottom"/>
          </w:tcPr>
          <w:p w14:paraId="17F96CB8" w14:textId="77777777" w:rsidR="0030357E" w:rsidRPr="00E85F02" w:rsidRDefault="0030357E" w:rsidP="001B41BD">
            <w:r w:rsidRPr="00E85F02">
              <w:t>11.2</w:t>
            </w:r>
          </w:p>
        </w:tc>
        <w:tc>
          <w:tcPr>
            <w:tcW w:w="2338" w:type="dxa"/>
            <w:vAlign w:val="bottom"/>
          </w:tcPr>
          <w:p w14:paraId="56CC92A7" w14:textId="77777777" w:rsidR="0030357E" w:rsidRPr="00E85F02" w:rsidRDefault="0030357E" w:rsidP="001B41BD">
            <w:r w:rsidRPr="00E85F02">
              <w:t>10.1</w:t>
            </w:r>
          </w:p>
        </w:tc>
      </w:tr>
      <w:tr w:rsidR="0030357E" w14:paraId="14094D33" w14:textId="77777777" w:rsidTr="001B41BD">
        <w:tc>
          <w:tcPr>
            <w:tcW w:w="2337" w:type="dxa"/>
            <w:vAlign w:val="bottom"/>
          </w:tcPr>
          <w:p w14:paraId="35C1956C" w14:textId="77777777" w:rsidR="0030357E" w:rsidRPr="00E85F02" w:rsidRDefault="0030357E" w:rsidP="001B41BD">
            <w:r w:rsidRPr="00E85F02">
              <w:lastRenderedPageBreak/>
              <w:t>2019</w:t>
            </w:r>
          </w:p>
        </w:tc>
        <w:tc>
          <w:tcPr>
            <w:tcW w:w="2337" w:type="dxa"/>
            <w:vAlign w:val="bottom"/>
          </w:tcPr>
          <w:p w14:paraId="5E8E2368" w14:textId="77777777" w:rsidR="0030357E" w:rsidRPr="00E85F02" w:rsidRDefault="0030357E" w:rsidP="001B41BD">
            <w:r w:rsidRPr="00E85F02">
              <w:t>18.9</w:t>
            </w:r>
          </w:p>
        </w:tc>
        <w:tc>
          <w:tcPr>
            <w:tcW w:w="2338" w:type="dxa"/>
            <w:vAlign w:val="bottom"/>
          </w:tcPr>
          <w:p w14:paraId="0DF1238D" w14:textId="77777777" w:rsidR="0030357E" w:rsidRPr="00E85F02" w:rsidRDefault="0030357E" w:rsidP="001B41BD">
            <w:r w:rsidRPr="00E85F02">
              <w:t>11.1</w:t>
            </w:r>
          </w:p>
        </w:tc>
        <w:tc>
          <w:tcPr>
            <w:tcW w:w="2338" w:type="dxa"/>
            <w:vAlign w:val="bottom"/>
          </w:tcPr>
          <w:p w14:paraId="76ED98BC" w14:textId="77777777" w:rsidR="0030357E" w:rsidRPr="00E85F02" w:rsidRDefault="0030357E" w:rsidP="001B41BD">
            <w:r w:rsidRPr="00E85F02">
              <w:t>10.1</w:t>
            </w:r>
          </w:p>
        </w:tc>
      </w:tr>
      <w:tr w:rsidR="0030357E" w14:paraId="2AA0B79A" w14:textId="77777777" w:rsidTr="001B41BD">
        <w:tc>
          <w:tcPr>
            <w:tcW w:w="2337" w:type="dxa"/>
            <w:vAlign w:val="bottom"/>
          </w:tcPr>
          <w:p w14:paraId="43E35C64" w14:textId="77777777" w:rsidR="0030357E" w:rsidRPr="00E85F02" w:rsidRDefault="0030357E" w:rsidP="001B41BD">
            <w:r w:rsidRPr="00E85F02">
              <w:t>2020</w:t>
            </w:r>
          </w:p>
        </w:tc>
        <w:tc>
          <w:tcPr>
            <w:tcW w:w="2337" w:type="dxa"/>
            <w:vAlign w:val="bottom"/>
          </w:tcPr>
          <w:p w14:paraId="045C5162" w14:textId="77777777" w:rsidR="0030357E" w:rsidRPr="00E85F02" w:rsidRDefault="0030357E" w:rsidP="001B41BD">
            <w:r w:rsidRPr="00E85F02">
              <w:t>20.9</w:t>
            </w:r>
          </w:p>
        </w:tc>
        <w:tc>
          <w:tcPr>
            <w:tcW w:w="2338" w:type="dxa"/>
            <w:vAlign w:val="bottom"/>
          </w:tcPr>
          <w:p w14:paraId="64AAC30A" w14:textId="77777777" w:rsidR="0030357E" w:rsidRPr="00E85F02" w:rsidRDefault="0030357E" w:rsidP="001B41BD">
            <w:r w:rsidRPr="00E85F02">
              <w:t>12.0</w:t>
            </w:r>
          </w:p>
        </w:tc>
        <w:tc>
          <w:tcPr>
            <w:tcW w:w="2338" w:type="dxa"/>
            <w:vAlign w:val="bottom"/>
          </w:tcPr>
          <w:p w14:paraId="06093772" w14:textId="77777777" w:rsidR="0030357E" w:rsidRPr="00E85F02" w:rsidRDefault="0030357E" w:rsidP="001B41BD">
            <w:r w:rsidRPr="00E85F02">
              <w:t>10.1</w:t>
            </w:r>
          </w:p>
        </w:tc>
      </w:tr>
      <w:tr w:rsidR="0030357E" w14:paraId="79CB2C2F" w14:textId="77777777" w:rsidTr="001B41BD">
        <w:tc>
          <w:tcPr>
            <w:tcW w:w="2337" w:type="dxa"/>
            <w:vAlign w:val="bottom"/>
          </w:tcPr>
          <w:p w14:paraId="72B068B5" w14:textId="77777777" w:rsidR="0030357E" w:rsidRPr="00E85F02" w:rsidRDefault="0030357E" w:rsidP="001B41BD">
            <w:r w:rsidRPr="00E85F02">
              <w:t>2021</w:t>
            </w:r>
          </w:p>
        </w:tc>
        <w:tc>
          <w:tcPr>
            <w:tcW w:w="2337" w:type="dxa"/>
            <w:vAlign w:val="bottom"/>
          </w:tcPr>
          <w:p w14:paraId="74ADD8D1" w14:textId="77777777" w:rsidR="0030357E" w:rsidRPr="00E85F02" w:rsidRDefault="0030357E" w:rsidP="001B41BD">
            <w:r w:rsidRPr="00E85F02">
              <w:t>22.9</w:t>
            </w:r>
          </w:p>
        </w:tc>
        <w:tc>
          <w:tcPr>
            <w:tcW w:w="2338" w:type="dxa"/>
            <w:vAlign w:val="bottom"/>
          </w:tcPr>
          <w:p w14:paraId="4C63CDE0" w14:textId="77777777" w:rsidR="0030357E" w:rsidRPr="00E85F02" w:rsidRDefault="0030357E" w:rsidP="001B41BD">
            <w:r w:rsidRPr="00E85F02">
              <w:t>13.3</w:t>
            </w:r>
          </w:p>
        </w:tc>
        <w:tc>
          <w:tcPr>
            <w:tcW w:w="2338" w:type="dxa"/>
            <w:vAlign w:val="bottom"/>
          </w:tcPr>
          <w:p w14:paraId="2BDDDF45" w14:textId="77777777" w:rsidR="0030357E" w:rsidRPr="00E85F02" w:rsidRDefault="0030357E" w:rsidP="001B41BD">
            <w:r w:rsidRPr="00E85F02">
              <w:t>10.1</w:t>
            </w:r>
          </w:p>
        </w:tc>
      </w:tr>
    </w:tbl>
    <w:p w14:paraId="026B0A47" w14:textId="77777777" w:rsidR="0030357E" w:rsidRPr="00E85F02" w:rsidRDefault="0030357E" w:rsidP="0030357E">
      <w:r w:rsidRPr="00E85F02">
        <w:t xml:space="preserve">Source: SC DHEC Vital Statistics; CDC NCHS. </w:t>
      </w:r>
    </w:p>
    <w:p w14:paraId="5F75FB5D" w14:textId="77777777" w:rsidR="0030357E" w:rsidRDefault="0030357E" w:rsidP="0030357E">
      <w:r w:rsidRPr="00E85F02">
        <w:t>Note: Age-adjusted, population for year 2021 based on single-race estimates and for years prior based on bridge-race estimates.</w:t>
      </w:r>
    </w:p>
    <w:p w14:paraId="23E7C62B" w14:textId="77777777" w:rsidR="0030357E" w:rsidRDefault="0030357E" w:rsidP="0030357E">
      <w:pPr>
        <w:pStyle w:val="Heading4"/>
      </w:pPr>
      <w:bookmarkStart w:id="899" w:name="_Toc154576553"/>
    </w:p>
    <w:p w14:paraId="4C391A1E" w14:textId="05A8483B" w:rsidR="0030357E" w:rsidRPr="00E85F02" w:rsidRDefault="0030357E" w:rsidP="0030357E">
      <w:pPr>
        <w:pStyle w:val="Heading4"/>
      </w:pPr>
      <w:bookmarkStart w:id="900" w:name="_Toc162267608"/>
      <w:r w:rsidRPr="00E85F02">
        <w:t>Figure 9.70: Motor Vehicle Crash Deaths Among Adults Aged 18-64, by Sex and Race</w:t>
      </w:r>
      <w:r>
        <w:t>/Ethnicity</w:t>
      </w:r>
      <w:r w:rsidRPr="00E85F02">
        <w:t>.</w:t>
      </w:r>
      <w:bookmarkEnd w:id="899"/>
      <w:bookmarkEnd w:id="900"/>
    </w:p>
    <w:p w14:paraId="45ABE0FE" w14:textId="77777777" w:rsidR="0030357E" w:rsidRPr="002B50C5" w:rsidRDefault="0030357E" w:rsidP="0030357E">
      <w:pPr>
        <w:pStyle w:val="Heading5"/>
      </w:pPr>
      <w:r>
        <w:t>Rate per 100,000 population.</w:t>
      </w:r>
    </w:p>
    <w:tbl>
      <w:tblPr>
        <w:tblStyle w:val="TableGrid"/>
        <w:tblW w:w="0" w:type="auto"/>
        <w:tblLook w:val="04A0" w:firstRow="1" w:lastRow="0" w:firstColumn="1" w:lastColumn="0" w:noHBand="0" w:noVBand="1"/>
      </w:tblPr>
      <w:tblGrid>
        <w:gridCol w:w="3116"/>
        <w:gridCol w:w="3117"/>
        <w:gridCol w:w="3117"/>
      </w:tblGrid>
      <w:tr w:rsidR="0030357E" w14:paraId="3EE0BA97" w14:textId="77777777" w:rsidTr="001B41BD">
        <w:tc>
          <w:tcPr>
            <w:tcW w:w="3116" w:type="dxa"/>
            <w:vAlign w:val="bottom"/>
          </w:tcPr>
          <w:p w14:paraId="6DE33FEB" w14:textId="77777777" w:rsidR="0030357E" w:rsidRPr="00E85F02" w:rsidRDefault="0030357E" w:rsidP="001B41BD">
            <w:r>
              <w:t xml:space="preserve">Sex and Race/Ethnicity </w:t>
            </w:r>
          </w:p>
        </w:tc>
        <w:tc>
          <w:tcPr>
            <w:tcW w:w="3117" w:type="dxa"/>
            <w:vAlign w:val="bottom"/>
          </w:tcPr>
          <w:p w14:paraId="42181DCC" w14:textId="77777777" w:rsidR="0030357E" w:rsidRPr="00E85F02" w:rsidRDefault="0030357E" w:rsidP="001B41BD">
            <w:r w:rsidRPr="00E85F02">
              <w:t>Male</w:t>
            </w:r>
          </w:p>
        </w:tc>
        <w:tc>
          <w:tcPr>
            <w:tcW w:w="3117" w:type="dxa"/>
            <w:vAlign w:val="bottom"/>
          </w:tcPr>
          <w:p w14:paraId="323BE584" w14:textId="77777777" w:rsidR="0030357E" w:rsidRPr="00E85F02" w:rsidRDefault="0030357E" w:rsidP="001B41BD">
            <w:r w:rsidRPr="00E85F02">
              <w:t>Female</w:t>
            </w:r>
          </w:p>
        </w:tc>
      </w:tr>
      <w:tr w:rsidR="0030357E" w14:paraId="54A0573E" w14:textId="77777777" w:rsidTr="001B41BD">
        <w:tc>
          <w:tcPr>
            <w:tcW w:w="3116" w:type="dxa"/>
            <w:vAlign w:val="bottom"/>
          </w:tcPr>
          <w:p w14:paraId="4E631131" w14:textId="77777777" w:rsidR="0030357E" w:rsidRPr="00E85F02" w:rsidRDefault="0030357E" w:rsidP="001B41BD">
            <w:r w:rsidRPr="00E85F02">
              <w:t>Non-Hispanic White</w:t>
            </w:r>
          </w:p>
        </w:tc>
        <w:tc>
          <w:tcPr>
            <w:tcW w:w="3117" w:type="dxa"/>
            <w:vAlign w:val="bottom"/>
          </w:tcPr>
          <w:p w14:paraId="49975293" w14:textId="77777777" w:rsidR="0030357E" w:rsidRPr="00E85F02" w:rsidRDefault="0030357E" w:rsidP="001B41BD">
            <w:r>
              <w:t>34.9</w:t>
            </w:r>
          </w:p>
        </w:tc>
        <w:tc>
          <w:tcPr>
            <w:tcW w:w="3117" w:type="dxa"/>
            <w:vAlign w:val="bottom"/>
          </w:tcPr>
          <w:p w14:paraId="4D47C012" w14:textId="77777777" w:rsidR="0030357E" w:rsidRPr="00E85F02" w:rsidRDefault="0030357E" w:rsidP="001B41BD">
            <w:r>
              <w:t>13.2</w:t>
            </w:r>
          </w:p>
        </w:tc>
      </w:tr>
      <w:tr w:rsidR="0030357E" w14:paraId="4BA7AD78" w14:textId="77777777" w:rsidTr="001B41BD">
        <w:tc>
          <w:tcPr>
            <w:tcW w:w="3116" w:type="dxa"/>
            <w:vAlign w:val="bottom"/>
          </w:tcPr>
          <w:p w14:paraId="263FC429" w14:textId="77777777" w:rsidR="0030357E" w:rsidRPr="00E85F02" w:rsidRDefault="0030357E" w:rsidP="001B41BD">
            <w:r w:rsidRPr="00E85F02">
              <w:t>Non-Hispanic Black</w:t>
            </w:r>
          </w:p>
        </w:tc>
        <w:tc>
          <w:tcPr>
            <w:tcW w:w="3117" w:type="dxa"/>
            <w:vAlign w:val="bottom"/>
          </w:tcPr>
          <w:p w14:paraId="77551C2D" w14:textId="77777777" w:rsidR="0030357E" w:rsidRPr="00E85F02" w:rsidRDefault="0030357E" w:rsidP="001B41BD">
            <w:r>
              <w:t>58.3</w:t>
            </w:r>
          </w:p>
        </w:tc>
        <w:tc>
          <w:tcPr>
            <w:tcW w:w="3117" w:type="dxa"/>
            <w:vAlign w:val="bottom"/>
          </w:tcPr>
          <w:p w14:paraId="1726EEE6" w14:textId="77777777" w:rsidR="0030357E" w:rsidRPr="00E85F02" w:rsidRDefault="0030357E" w:rsidP="001B41BD">
            <w:r>
              <w:t>15.7</w:t>
            </w:r>
          </w:p>
        </w:tc>
      </w:tr>
    </w:tbl>
    <w:p w14:paraId="7AB6AC1B" w14:textId="77777777" w:rsidR="0030357E" w:rsidRPr="00E85F02" w:rsidRDefault="0030357E" w:rsidP="0030357E">
      <w:r w:rsidRPr="00E85F02">
        <w:t xml:space="preserve">Source: SC DHEC Vital Statistics, 2021. </w:t>
      </w:r>
    </w:p>
    <w:p w14:paraId="4CF58E01" w14:textId="77777777" w:rsidR="0030357E" w:rsidRDefault="0030357E" w:rsidP="0030357E">
      <w:r w:rsidRPr="00E85F02">
        <w:t>Notes: Age-adjusted rate, population for year 2021 based on single-race estimates.</w:t>
      </w:r>
    </w:p>
    <w:p w14:paraId="535D58B7" w14:textId="77777777" w:rsidR="0030357E" w:rsidRDefault="0030357E" w:rsidP="0030357E">
      <w:pPr>
        <w:pStyle w:val="Heading4"/>
      </w:pPr>
      <w:bookmarkStart w:id="901" w:name="_Toc154576554"/>
    </w:p>
    <w:p w14:paraId="0355A27F" w14:textId="0DAA2515" w:rsidR="0030357E" w:rsidRPr="00E85F02" w:rsidRDefault="0030357E" w:rsidP="0030357E">
      <w:pPr>
        <w:pStyle w:val="Heading4"/>
      </w:pPr>
      <w:bookmarkStart w:id="902" w:name="_Toc162267609"/>
      <w:r w:rsidRPr="00E85F02">
        <w:t>Figure 9.7</w:t>
      </w:r>
      <w:r>
        <w:t>1</w:t>
      </w:r>
      <w:r w:rsidRPr="00E85F02">
        <w:t xml:space="preserve">: </w:t>
      </w:r>
      <w:r>
        <w:t>Car Passenger Deaths, by Restraint Status</w:t>
      </w:r>
      <w:r w:rsidRPr="00E85F02">
        <w:t>.</w:t>
      </w:r>
      <w:bookmarkEnd w:id="901"/>
      <w:bookmarkEnd w:id="902"/>
    </w:p>
    <w:tbl>
      <w:tblPr>
        <w:tblStyle w:val="TableGrid"/>
        <w:tblW w:w="0" w:type="auto"/>
        <w:tblLook w:val="04A0" w:firstRow="1" w:lastRow="0" w:firstColumn="1" w:lastColumn="0" w:noHBand="0" w:noVBand="1"/>
      </w:tblPr>
      <w:tblGrid>
        <w:gridCol w:w="2337"/>
        <w:gridCol w:w="2337"/>
        <w:gridCol w:w="2338"/>
        <w:gridCol w:w="2338"/>
      </w:tblGrid>
      <w:tr w:rsidR="0030357E" w14:paraId="7AC10FCC" w14:textId="77777777" w:rsidTr="001B41BD">
        <w:tc>
          <w:tcPr>
            <w:tcW w:w="2337" w:type="dxa"/>
          </w:tcPr>
          <w:p w14:paraId="0747855B" w14:textId="77777777" w:rsidR="0030357E" w:rsidRDefault="0030357E" w:rsidP="001B41BD">
            <w:r>
              <w:t>Status</w:t>
            </w:r>
          </w:p>
        </w:tc>
        <w:tc>
          <w:tcPr>
            <w:tcW w:w="2337" w:type="dxa"/>
          </w:tcPr>
          <w:p w14:paraId="5DD3B5C5" w14:textId="77777777" w:rsidR="0030357E" w:rsidRDefault="0030357E" w:rsidP="001B41BD">
            <w:r>
              <w:t>South Carolina</w:t>
            </w:r>
          </w:p>
        </w:tc>
        <w:tc>
          <w:tcPr>
            <w:tcW w:w="2338" w:type="dxa"/>
          </w:tcPr>
          <w:p w14:paraId="1DF12BDF" w14:textId="77777777" w:rsidR="0030357E" w:rsidRDefault="0030357E" w:rsidP="001B41BD">
            <w:r>
              <w:t>United States</w:t>
            </w:r>
          </w:p>
        </w:tc>
        <w:tc>
          <w:tcPr>
            <w:tcW w:w="2338" w:type="dxa"/>
          </w:tcPr>
          <w:p w14:paraId="482CD3AB" w14:textId="77777777" w:rsidR="0030357E" w:rsidRDefault="0030357E" w:rsidP="001B41BD">
            <w:r>
              <w:t>Healthy People 2030 Goal</w:t>
            </w:r>
          </w:p>
        </w:tc>
      </w:tr>
      <w:tr w:rsidR="0030357E" w14:paraId="7362975F" w14:textId="77777777" w:rsidTr="001B41BD">
        <w:tc>
          <w:tcPr>
            <w:tcW w:w="2337" w:type="dxa"/>
          </w:tcPr>
          <w:p w14:paraId="5B880CA7" w14:textId="77777777" w:rsidR="0030357E" w:rsidRDefault="0030357E" w:rsidP="001B41BD">
            <w:r>
              <w:t>Restrained</w:t>
            </w:r>
          </w:p>
        </w:tc>
        <w:tc>
          <w:tcPr>
            <w:tcW w:w="2337" w:type="dxa"/>
          </w:tcPr>
          <w:p w14:paraId="0D5A5324" w14:textId="77777777" w:rsidR="0030357E" w:rsidRDefault="0030357E" w:rsidP="001B41BD">
            <w:r>
              <w:t>44.3%</w:t>
            </w:r>
          </w:p>
        </w:tc>
        <w:tc>
          <w:tcPr>
            <w:tcW w:w="2338" w:type="dxa"/>
          </w:tcPr>
          <w:p w14:paraId="5D3431D7" w14:textId="77777777" w:rsidR="0030357E" w:rsidRDefault="0030357E" w:rsidP="001B41BD">
            <w:r>
              <w:t>49.0%</w:t>
            </w:r>
          </w:p>
        </w:tc>
        <w:tc>
          <w:tcPr>
            <w:tcW w:w="2338" w:type="dxa"/>
          </w:tcPr>
          <w:p w14:paraId="3668F3ED" w14:textId="77777777" w:rsidR="0030357E" w:rsidRDefault="0030357E" w:rsidP="001B41BD">
            <w:r>
              <w:t>41.9%</w:t>
            </w:r>
          </w:p>
        </w:tc>
      </w:tr>
      <w:tr w:rsidR="0030357E" w14:paraId="7EEDE953" w14:textId="77777777" w:rsidTr="001B41BD">
        <w:tc>
          <w:tcPr>
            <w:tcW w:w="2337" w:type="dxa"/>
          </w:tcPr>
          <w:p w14:paraId="28561445" w14:textId="77777777" w:rsidR="0030357E" w:rsidRDefault="0030357E" w:rsidP="001B41BD">
            <w:r>
              <w:t>Unrestrained</w:t>
            </w:r>
          </w:p>
        </w:tc>
        <w:tc>
          <w:tcPr>
            <w:tcW w:w="2337" w:type="dxa"/>
          </w:tcPr>
          <w:p w14:paraId="09545F2E" w14:textId="77777777" w:rsidR="0030357E" w:rsidRDefault="0030357E" w:rsidP="001B41BD">
            <w:r>
              <w:t>55.7%</w:t>
            </w:r>
          </w:p>
        </w:tc>
        <w:tc>
          <w:tcPr>
            <w:tcW w:w="2338" w:type="dxa"/>
          </w:tcPr>
          <w:p w14:paraId="04D41F76" w14:textId="77777777" w:rsidR="0030357E" w:rsidRDefault="0030357E" w:rsidP="001B41BD">
            <w:r>
              <w:t>51.0%</w:t>
            </w:r>
          </w:p>
        </w:tc>
        <w:tc>
          <w:tcPr>
            <w:tcW w:w="2338" w:type="dxa"/>
          </w:tcPr>
          <w:p w14:paraId="58C7AABD" w14:textId="77777777" w:rsidR="0030357E" w:rsidRDefault="0030357E" w:rsidP="001B41BD">
            <w:r>
              <w:t>41.9%</w:t>
            </w:r>
          </w:p>
        </w:tc>
      </w:tr>
    </w:tbl>
    <w:p w14:paraId="081D1F19" w14:textId="77777777" w:rsidR="0030357E" w:rsidRPr="00E85F02" w:rsidRDefault="0030357E" w:rsidP="0030357E">
      <w:r w:rsidRPr="00E85F02">
        <w:t xml:space="preserve">Source: FARS ARF, 2020. </w:t>
      </w:r>
    </w:p>
    <w:p w14:paraId="603EC4FE" w14:textId="77777777" w:rsidR="0030357E" w:rsidRDefault="0030357E" w:rsidP="0030357E">
      <w:r w:rsidRPr="00E85F02">
        <w:t>Note: Among those with known restraint status.</w:t>
      </w:r>
    </w:p>
    <w:p w14:paraId="5F5649AB" w14:textId="77777777" w:rsidR="0030357E" w:rsidRDefault="0030357E" w:rsidP="0030357E">
      <w:pPr>
        <w:rPr>
          <w:b/>
          <w:bCs/>
        </w:rPr>
      </w:pPr>
    </w:p>
    <w:p w14:paraId="3103316C" w14:textId="77777777" w:rsidR="0030357E" w:rsidRDefault="0030357E" w:rsidP="0030357E">
      <w:pPr>
        <w:pStyle w:val="Heading4"/>
      </w:pPr>
      <w:bookmarkStart w:id="903" w:name="_Toc162267610"/>
      <w:r w:rsidRPr="0030357E">
        <w:t>Data Interpretations:</w:t>
      </w:r>
      <w:bookmarkEnd w:id="903"/>
      <w:r w:rsidRPr="0030357E">
        <w:t xml:space="preserve"> </w:t>
      </w:r>
    </w:p>
    <w:p w14:paraId="35F3085C" w14:textId="095136EB" w:rsidR="0030357E" w:rsidRPr="0030357E" w:rsidRDefault="0030357E" w:rsidP="0030357E">
      <w:r w:rsidRPr="0030357E">
        <w:t xml:space="preserve">MVCs are the leading cause of injury death for SC adults 18-24, and the </w:t>
      </w:r>
      <w:r w:rsidR="00C81CDC">
        <w:t>seco</w:t>
      </w:r>
      <w:r w:rsidRPr="0030357E">
        <w:t>nd-leading cause of injury death for adults 25 and older. SC’s MVC death rates have been consistently higher than the US’s rates and have been on the rise since 2012 (</w:t>
      </w:r>
      <w:r w:rsidRPr="0030357E">
        <w:rPr>
          <w:b/>
          <w:bCs/>
        </w:rPr>
        <w:t>Figure 9.69</w:t>
      </w:r>
      <w:r w:rsidRPr="0030357E">
        <w:t>). MVC deaths in SC have increased from 17.1 deaths per 100,000 population in 2012 to 22.9 deaths per 100,000 population in 2021 (</w:t>
      </w:r>
      <w:r w:rsidRPr="0030357E">
        <w:rPr>
          <w:b/>
          <w:bCs/>
        </w:rPr>
        <w:t>Figure 9.69</w:t>
      </w:r>
      <w:r w:rsidRPr="0030357E">
        <w:t>). The US MVC death rate in 2021 was 13.3 deaths per 100,000 population (</w:t>
      </w:r>
      <w:r w:rsidRPr="0030357E">
        <w:rPr>
          <w:b/>
          <w:bCs/>
        </w:rPr>
        <w:t>Figure 9.69</w:t>
      </w:r>
      <w:r w:rsidRPr="0030357E">
        <w:t>). As of 2021, SC has not reached the Healthy People 2030 goal to reduce the MVC death rate to 10.1 deaths per 100,000 population (</w:t>
      </w:r>
      <w:r w:rsidRPr="0030357E">
        <w:rPr>
          <w:b/>
          <w:bCs/>
        </w:rPr>
        <w:t>Figure 9.69</w:t>
      </w:r>
      <w:r w:rsidRPr="0030357E">
        <w:t xml:space="preserve">). Males die from MVCs more than females, but non-Hispanic Black males in SC had the highest MVC death rate of 58.3 deaths per 100,000 population from 2017-2021, </w:t>
      </w:r>
      <w:r w:rsidRPr="0030357E">
        <w:lastRenderedPageBreak/>
        <w:t>compared to non-Hispanic White males with 34.9 deaths per 100,000 population (</w:t>
      </w:r>
      <w:r w:rsidRPr="0030357E">
        <w:rPr>
          <w:b/>
          <w:bCs/>
        </w:rPr>
        <w:t>Figure 9.70</w:t>
      </w:r>
      <w:r w:rsidRPr="0030357E">
        <w:t>). Non-Hispanic Black females had a slightly higher MVC death rate of 15.7 deaths per 100,000 population compared to non-Hispanic White females with 13.2 deaths per 100,000 population (</w:t>
      </w:r>
      <w:r w:rsidRPr="0030357E">
        <w:rPr>
          <w:b/>
          <w:bCs/>
        </w:rPr>
        <w:t>Figure 9.70</w:t>
      </w:r>
      <w:r w:rsidRPr="0030357E">
        <w:t>). In 2020, 55.7% of car passenger deaths in SC were among those who were unrestrained (not wearing a seat belt), compared to 44.3% who were restrained. SC’s unrestrained MVC deaths were higher than the US’s (51.0%) (</w:t>
      </w:r>
      <w:r w:rsidRPr="0030357E">
        <w:rPr>
          <w:b/>
          <w:bCs/>
        </w:rPr>
        <w:t>Figure 9.71</w:t>
      </w:r>
      <w:r w:rsidRPr="0030357E">
        <w:t>).</w:t>
      </w:r>
    </w:p>
    <w:p w14:paraId="29D898D6" w14:textId="77777777" w:rsidR="0030357E" w:rsidRPr="0030357E" w:rsidRDefault="0030357E" w:rsidP="0030357E"/>
    <w:p w14:paraId="7DE03AE4" w14:textId="77777777" w:rsidR="0030357E" w:rsidRDefault="0030357E" w:rsidP="0030357E">
      <w:pPr>
        <w:pStyle w:val="Heading5"/>
      </w:pPr>
      <w:r w:rsidRPr="0030357E">
        <w:t xml:space="preserve">Key Takeaways: </w:t>
      </w:r>
    </w:p>
    <w:p w14:paraId="20303C24" w14:textId="77777777" w:rsidR="0030357E" w:rsidRPr="0030357E" w:rsidRDefault="0030357E" w:rsidP="00926EB3">
      <w:pPr>
        <w:pStyle w:val="ListParagraph"/>
        <w:numPr>
          <w:ilvl w:val="0"/>
          <w:numId w:val="228"/>
        </w:numPr>
      </w:pPr>
      <w:r w:rsidRPr="0030357E">
        <w:t xml:space="preserve">MVCs are the leading cause of injury death for SC adults ages 18-24, and the second-leading cause of injury death for adults 25 and older. </w:t>
      </w:r>
    </w:p>
    <w:p w14:paraId="7CE52598" w14:textId="77777777" w:rsidR="0030357E" w:rsidRPr="0030357E" w:rsidRDefault="0030357E" w:rsidP="0030357E"/>
    <w:p w14:paraId="7B9911B8" w14:textId="5E276247" w:rsidR="0030357E" w:rsidRPr="00474B85" w:rsidRDefault="0030357E" w:rsidP="0030357E">
      <w:pPr>
        <w:pStyle w:val="Heading4"/>
        <w:rPr>
          <w:rFonts w:asciiTheme="minorHAnsi" w:hAnsiTheme="minorHAnsi" w:cstheme="minorHAnsi"/>
          <w:color w:val="000000" w:themeColor="text1"/>
        </w:rPr>
      </w:pPr>
      <w:bookmarkStart w:id="904" w:name="_Toc162267611"/>
      <w:r w:rsidRPr="00474B85">
        <w:rPr>
          <w:rFonts w:asciiTheme="minorHAnsi" w:hAnsiTheme="minorHAnsi" w:cstheme="minorHAnsi"/>
          <w:color w:val="000000" w:themeColor="text1"/>
        </w:rPr>
        <w:t>References 9.</w:t>
      </w:r>
      <w:r>
        <w:rPr>
          <w:rFonts w:asciiTheme="minorHAnsi" w:hAnsiTheme="minorHAnsi" w:cstheme="minorHAnsi"/>
          <w:color w:val="000000" w:themeColor="text1"/>
        </w:rPr>
        <w:t>27</w:t>
      </w:r>
      <w:bookmarkEnd w:id="904"/>
      <w:r>
        <w:rPr>
          <w:rFonts w:asciiTheme="minorHAnsi" w:hAnsiTheme="minorHAnsi" w:cstheme="minorHAnsi"/>
          <w:color w:val="000000" w:themeColor="text1"/>
        </w:rPr>
        <w:t xml:space="preserve"> </w:t>
      </w:r>
    </w:p>
    <w:p w14:paraId="3A49B9AE" w14:textId="77777777" w:rsidR="0030357E" w:rsidRPr="00474B85" w:rsidRDefault="0030357E" w:rsidP="0030357E">
      <w:r w:rsidRPr="00474B85">
        <w:t>Statistics in the preceding section were referenced from the following reports:</w:t>
      </w:r>
    </w:p>
    <w:p w14:paraId="7A8E914F" w14:textId="5D562800" w:rsidR="006449E8" w:rsidRPr="006449E8" w:rsidRDefault="00000000" w:rsidP="00926EB3">
      <w:pPr>
        <w:pStyle w:val="ListParagraph"/>
        <w:numPr>
          <w:ilvl w:val="0"/>
          <w:numId w:val="192"/>
        </w:numPr>
        <w:tabs>
          <w:tab w:val="left" w:pos="810"/>
          <w:tab w:val="left" w:pos="900"/>
        </w:tabs>
        <w:rPr>
          <w:u w:val="thick"/>
        </w:rPr>
      </w:pPr>
      <w:hyperlink r:id="rId407" w:history="1">
        <w:r w:rsidR="006449E8" w:rsidRPr="006449E8">
          <w:rPr>
            <w:rStyle w:val="Hyperlink"/>
          </w:rPr>
          <w:t>“Transportation safety” by Centers for Disease Control and Prevention via cdc.gov, 2022. Retrieved November 30, 2022.</w:t>
        </w:r>
      </w:hyperlink>
    </w:p>
    <w:p w14:paraId="4A696BC6" w14:textId="1788F345" w:rsidR="006449E8" w:rsidRPr="006449E8" w:rsidRDefault="00000000" w:rsidP="00926EB3">
      <w:pPr>
        <w:pStyle w:val="ListParagraph"/>
        <w:numPr>
          <w:ilvl w:val="0"/>
          <w:numId w:val="192"/>
        </w:numPr>
        <w:tabs>
          <w:tab w:val="left" w:pos="810"/>
          <w:tab w:val="left" w:pos="900"/>
        </w:tabs>
      </w:pPr>
      <w:hyperlink r:id="rId408" w:history="1">
        <w:r w:rsidR="006449E8" w:rsidRPr="006449E8">
          <w:rPr>
            <w:rStyle w:val="Hyperlink"/>
          </w:rPr>
          <w:t>“South Carolina Traffic Collision Fact Book” by SC Department of Public Safety, 2021.</w:t>
        </w:r>
        <w:r w:rsidR="006449E8" w:rsidRPr="006449E8">
          <w:rPr>
            <w:rStyle w:val="Hyperlink"/>
            <w:i/>
            <w:iCs/>
          </w:rPr>
          <w:t xml:space="preserve"> </w:t>
        </w:r>
        <w:r w:rsidR="006449E8" w:rsidRPr="006449E8">
          <w:rPr>
            <w:rStyle w:val="Hyperlink"/>
          </w:rPr>
          <w:t>Retrieved June 09, 2023.</w:t>
        </w:r>
      </w:hyperlink>
    </w:p>
    <w:p w14:paraId="7A9153C0" w14:textId="19D4AD4B" w:rsidR="0030357E" w:rsidRDefault="00000000" w:rsidP="00926EB3">
      <w:pPr>
        <w:pStyle w:val="ListParagraph"/>
        <w:numPr>
          <w:ilvl w:val="0"/>
          <w:numId w:val="192"/>
        </w:numPr>
        <w:tabs>
          <w:tab w:val="left" w:pos="810"/>
          <w:tab w:val="left" w:pos="900"/>
        </w:tabs>
      </w:pPr>
      <w:hyperlink r:id="rId409" w:history="1">
        <w:r w:rsidR="006449E8" w:rsidRPr="006449E8">
          <w:rPr>
            <w:rStyle w:val="Hyperlink"/>
          </w:rPr>
          <w:t>“Motor vehicle crash deaths” by Centers for Disease Control and Prevention via cdc.gov, 2016. Retrieved December 7, 2022.</w:t>
        </w:r>
      </w:hyperlink>
      <w:r w:rsidR="006449E8" w:rsidRPr="006449E8">
        <w:t xml:space="preserve"> </w:t>
      </w:r>
    </w:p>
    <w:p w14:paraId="6402E566" w14:textId="77777777" w:rsidR="006449E8" w:rsidRDefault="006449E8" w:rsidP="0006142D">
      <w:pPr>
        <w:pStyle w:val="Heading3"/>
      </w:pPr>
    </w:p>
    <w:p w14:paraId="42C42D77" w14:textId="7648DAE8" w:rsidR="0006142D" w:rsidRPr="0006142D" w:rsidRDefault="0006142D" w:rsidP="0006142D">
      <w:pPr>
        <w:pStyle w:val="Heading3"/>
      </w:pPr>
      <w:bookmarkStart w:id="905" w:name="_Toc162267612"/>
      <w:r w:rsidRPr="0006142D">
        <w:t>Sexually Transmitted Infections</w:t>
      </w:r>
      <w:bookmarkEnd w:id="905"/>
    </w:p>
    <w:p w14:paraId="674F30A2" w14:textId="5E88C6D5" w:rsidR="0006142D" w:rsidRPr="0006142D" w:rsidRDefault="0006142D" w:rsidP="0006142D">
      <w:r w:rsidRPr="0006142D">
        <w:t xml:space="preserve">Chlamydia, gonorrhea, and syphilis are sexually transmitted infections (STIs) that are passed from one person to another through intimate physical contact. Unprotected sex and multiple sexual partners increase the risk of acquiring an STI. STIs most frequently appear in younger people. However, it is important to note that STIs can affect sexually active persons of all ages. </w:t>
      </w:r>
    </w:p>
    <w:p w14:paraId="5421671D" w14:textId="77777777" w:rsidR="0006142D" w:rsidRDefault="0006142D" w:rsidP="0006142D"/>
    <w:p w14:paraId="6409A897" w14:textId="0A962073" w:rsidR="0006142D" w:rsidRPr="0006142D" w:rsidRDefault="0006142D" w:rsidP="0006142D">
      <w:r w:rsidRPr="0006142D">
        <w:t xml:space="preserve">Chlamydia, gonorrhea, and syphilis are treatable STIs, but if left untreated they can lead to serious consequences such as blindness and other neurologic manifestations, infertility, and birth defects. Sexually transmitted infections do not always have signs or symptoms. Therefore, it is important for people who are sexually active to engage in routine testing to detect and treat the infection and prevent further infections. </w:t>
      </w:r>
    </w:p>
    <w:p w14:paraId="0D16E88B" w14:textId="77777777" w:rsidR="0006142D" w:rsidRDefault="0006142D" w:rsidP="0006142D"/>
    <w:p w14:paraId="395DAD3E" w14:textId="77777777" w:rsidR="0006142D" w:rsidRDefault="0006142D" w:rsidP="0006142D">
      <w:r w:rsidRPr="0006142D">
        <w:lastRenderedPageBreak/>
        <w:t>Reported cases of STIs decreased after COVID-19 preventive measures were put in place. The decreases in cases may not be due to decreases in infection acquisition, but rather due to decreased STI testing as STI services were scaled down in response to COVID-19. The reported number of cases may not reflect the true incidence of infection. It is likely that the effects of decreased testing and subsequent infection underreporting will persist for several more years, thereby hindering the knowledge of the full impact of the COVID-19 pandemic on STIs.</w:t>
      </w:r>
    </w:p>
    <w:p w14:paraId="4DDF8E08" w14:textId="77777777" w:rsidR="0006142D" w:rsidRDefault="0006142D" w:rsidP="0006142D">
      <w:pPr>
        <w:pStyle w:val="Heading4"/>
        <w:rPr>
          <w:rStyle w:val="A10"/>
          <w:rFonts w:asciiTheme="majorHAnsi" w:hAnsiTheme="majorHAnsi" w:cstheme="majorBidi"/>
          <w:b w:val="0"/>
          <w:bCs w:val="0"/>
          <w:i/>
          <w:iCs/>
          <w:sz w:val="28"/>
          <w:szCs w:val="24"/>
        </w:rPr>
      </w:pPr>
      <w:bookmarkStart w:id="906" w:name="_Toc154576555"/>
      <w:bookmarkStart w:id="907" w:name="_Toc162267613"/>
      <w:r w:rsidRPr="00E85F02">
        <w:t>Figure 9.72: Chlamydia and Gonorrhea Cases</w:t>
      </w:r>
      <w:r>
        <w:t>.</w:t>
      </w:r>
      <w:bookmarkEnd w:id="906"/>
      <w:bookmarkEnd w:id="907"/>
    </w:p>
    <w:tbl>
      <w:tblPr>
        <w:tblStyle w:val="TableGrid"/>
        <w:tblW w:w="0" w:type="auto"/>
        <w:tblLook w:val="04A0" w:firstRow="1" w:lastRow="0" w:firstColumn="1" w:lastColumn="0" w:noHBand="0" w:noVBand="1"/>
      </w:tblPr>
      <w:tblGrid>
        <w:gridCol w:w="3116"/>
        <w:gridCol w:w="3117"/>
        <w:gridCol w:w="3117"/>
      </w:tblGrid>
      <w:tr w:rsidR="0006142D" w14:paraId="0F2E5122" w14:textId="77777777" w:rsidTr="001B41BD">
        <w:tc>
          <w:tcPr>
            <w:tcW w:w="3116" w:type="dxa"/>
          </w:tcPr>
          <w:p w14:paraId="1458A2AC" w14:textId="77777777" w:rsidR="0006142D" w:rsidRDefault="0006142D" w:rsidP="001B41BD">
            <w:r>
              <w:t>Years</w:t>
            </w:r>
          </w:p>
        </w:tc>
        <w:tc>
          <w:tcPr>
            <w:tcW w:w="3117" w:type="dxa"/>
          </w:tcPr>
          <w:p w14:paraId="27656B31" w14:textId="77777777" w:rsidR="0006142D" w:rsidRDefault="0006142D" w:rsidP="001B41BD">
            <w:r>
              <w:t>Chlamydia Cases</w:t>
            </w:r>
          </w:p>
        </w:tc>
        <w:tc>
          <w:tcPr>
            <w:tcW w:w="3117" w:type="dxa"/>
          </w:tcPr>
          <w:p w14:paraId="78CDEDF2" w14:textId="77777777" w:rsidR="0006142D" w:rsidRDefault="0006142D" w:rsidP="001B41BD">
            <w:r>
              <w:t>Gonorrhea Cases</w:t>
            </w:r>
          </w:p>
        </w:tc>
      </w:tr>
      <w:tr w:rsidR="0006142D" w14:paraId="0E2B1B5B" w14:textId="77777777" w:rsidTr="001B41BD">
        <w:tc>
          <w:tcPr>
            <w:tcW w:w="3116" w:type="dxa"/>
            <w:vAlign w:val="center"/>
          </w:tcPr>
          <w:p w14:paraId="7EEB2E55" w14:textId="77777777" w:rsidR="0006142D" w:rsidRDefault="0006142D" w:rsidP="001B41BD">
            <w:r>
              <w:t>2012</w:t>
            </w:r>
          </w:p>
        </w:tc>
        <w:tc>
          <w:tcPr>
            <w:tcW w:w="3117" w:type="dxa"/>
            <w:vAlign w:val="bottom"/>
          </w:tcPr>
          <w:p w14:paraId="1F5D80CC" w14:textId="77777777" w:rsidR="0006142D" w:rsidRDefault="0006142D" w:rsidP="001B41BD">
            <w:r>
              <w:t>27,526</w:t>
            </w:r>
          </w:p>
        </w:tc>
        <w:tc>
          <w:tcPr>
            <w:tcW w:w="3117" w:type="dxa"/>
            <w:vAlign w:val="bottom"/>
          </w:tcPr>
          <w:p w14:paraId="6122C6A2" w14:textId="77777777" w:rsidR="0006142D" w:rsidRDefault="0006142D" w:rsidP="001B41BD">
            <w:r>
              <w:t>7,663</w:t>
            </w:r>
          </w:p>
        </w:tc>
      </w:tr>
      <w:tr w:rsidR="0006142D" w14:paraId="2B32B1A3" w14:textId="77777777" w:rsidTr="001B41BD">
        <w:tc>
          <w:tcPr>
            <w:tcW w:w="3116" w:type="dxa"/>
            <w:vAlign w:val="center"/>
          </w:tcPr>
          <w:p w14:paraId="26C5381E" w14:textId="77777777" w:rsidR="0006142D" w:rsidRDefault="0006142D" w:rsidP="001B41BD">
            <w:r>
              <w:t>2013</w:t>
            </w:r>
          </w:p>
        </w:tc>
        <w:tc>
          <w:tcPr>
            <w:tcW w:w="3117" w:type="dxa"/>
            <w:vAlign w:val="bottom"/>
          </w:tcPr>
          <w:p w14:paraId="7706AA5E" w14:textId="77777777" w:rsidR="0006142D" w:rsidRDefault="0006142D" w:rsidP="001B41BD">
            <w:r>
              <w:t>26,452</w:t>
            </w:r>
          </w:p>
        </w:tc>
        <w:tc>
          <w:tcPr>
            <w:tcW w:w="3117" w:type="dxa"/>
            <w:vAlign w:val="bottom"/>
          </w:tcPr>
          <w:p w14:paraId="55C2BF53" w14:textId="77777777" w:rsidR="0006142D" w:rsidRDefault="0006142D" w:rsidP="001B41BD">
            <w:r>
              <w:t>7,346</w:t>
            </w:r>
          </w:p>
        </w:tc>
      </w:tr>
      <w:tr w:rsidR="0006142D" w14:paraId="5201E4F1" w14:textId="77777777" w:rsidTr="001B41BD">
        <w:tc>
          <w:tcPr>
            <w:tcW w:w="3116" w:type="dxa"/>
            <w:vAlign w:val="center"/>
          </w:tcPr>
          <w:p w14:paraId="52D595ED" w14:textId="77777777" w:rsidR="0006142D" w:rsidRDefault="0006142D" w:rsidP="001B41BD">
            <w:r>
              <w:t>2014</w:t>
            </w:r>
          </w:p>
        </w:tc>
        <w:tc>
          <w:tcPr>
            <w:tcW w:w="3117" w:type="dxa"/>
            <w:vAlign w:val="bottom"/>
          </w:tcPr>
          <w:p w14:paraId="66E58B86" w14:textId="77777777" w:rsidR="0006142D" w:rsidRDefault="0006142D" w:rsidP="001B41BD">
            <w:r>
              <w:t>27,521</w:t>
            </w:r>
          </w:p>
        </w:tc>
        <w:tc>
          <w:tcPr>
            <w:tcW w:w="3117" w:type="dxa"/>
            <w:vAlign w:val="bottom"/>
          </w:tcPr>
          <w:p w14:paraId="0F267923" w14:textId="77777777" w:rsidR="0006142D" w:rsidRDefault="0006142D" w:rsidP="001B41BD">
            <w:r>
              <w:t>7,996</w:t>
            </w:r>
          </w:p>
        </w:tc>
      </w:tr>
      <w:tr w:rsidR="0006142D" w14:paraId="27AD87A2" w14:textId="77777777" w:rsidTr="001B41BD">
        <w:tc>
          <w:tcPr>
            <w:tcW w:w="3116" w:type="dxa"/>
            <w:vAlign w:val="center"/>
          </w:tcPr>
          <w:p w14:paraId="2DB8D85B" w14:textId="77777777" w:rsidR="0006142D" w:rsidRDefault="0006142D" w:rsidP="001B41BD">
            <w:r>
              <w:t>2015</w:t>
            </w:r>
          </w:p>
        </w:tc>
        <w:tc>
          <w:tcPr>
            <w:tcW w:w="3117" w:type="dxa"/>
            <w:vAlign w:val="bottom"/>
          </w:tcPr>
          <w:p w14:paraId="2750D6A1" w14:textId="77777777" w:rsidR="0006142D" w:rsidRDefault="0006142D" w:rsidP="001B41BD">
            <w:r>
              <w:t>27,670</w:t>
            </w:r>
          </w:p>
        </w:tc>
        <w:tc>
          <w:tcPr>
            <w:tcW w:w="3117" w:type="dxa"/>
            <w:vAlign w:val="bottom"/>
          </w:tcPr>
          <w:p w14:paraId="6346A179" w14:textId="77777777" w:rsidR="0006142D" w:rsidRDefault="0006142D" w:rsidP="001B41BD">
            <w:r>
              <w:t>8,276</w:t>
            </w:r>
          </w:p>
        </w:tc>
      </w:tr>
      <w:tr w:rsidR="0006142D" w14:paraId="1074944F" w14:textId="77777777" w:rsidTr="001B41BD">
        <w:tc>
          <w:tcPr>
            <w:tcW w:w="3116" w:type="dxa"/>
            <w:vAlign w:val="center"/>
          </w:tcPr>
          <w:p w14:paraId="4739222D" w14:textId="77777777" w:rsidR="0006142D" w:rsidRDefault="0006142D" w:rsidP="001B41BD">
            <w:r>
              <w:t>2016</w:t>
            </w:r>
          </w:p>
        </w:tc>
        <w:tc>
          <w:tcPr>
            <w:tcW w:w="3117" w:type="dxa"/>
            <w:vAlign w:val="bottom"/>
          </w:tcPr>
          <w:p w14:paraId="75E0E765" w14:textId="77777777" w:rsidR="0006142D" w:rsidRDefault="0006142D" w:rsidP="001B41BD">
            <w:r>
              <w:t>29,088</w:t>
            </w:r>
          </w:p>
        </w:tc>
        <w:tc>
          <w:tcPr>
            <w:tcW w:w="3117" w:type="dxa"/>
            <w:vAlign w:val="bottom"/>
          </w:tcPr>
          <w:p w14:paraId="5019FFBB" w14:textId="77777777" w:rsidR="0006142D" w:rsidRDefault="0006142D" w:rsidP="001B41BD">
            <w:r>
              <w:t>9,595</w:t>
            </w:r>
          </w:p>
        </w:tc>
      </w:tr>
      <w:tr w:rsidR="0006142D" w14:paraId="4AD598B1" w14:textId="77777777" w:rsidTr="001B41BD">
        <w:tc>
          <w:tcPr>
            <w:tcW w:w="3116" w:type="dxa"/>
            <w:vAlign w:val="center"/>
          </w:tcPr>
          <w:p w14:paraId="636A5956" w14:textId="77777777" w:rsidR="0006142D" w:rsidRDefault="0006142D" w:rsidP="001B41BD">
            <w:r>
              <w:t>2017</w:t>
            </w:r>
          </w:p>
        </w:tc>
        <w:tc>
          <w:tcPr>
            <w:tcW w:w="3117" w:type="dxa"/>
            <w:vAlign w:val="bottom"/>
          </w:tcPr>
          <w:p w14:paraId="01F232C1" w14:textId="77777777" w:rsidR="0006142D" w:rsidRDefault="0006142D" w:rsidP="001B41BD">
            <w:r>
              <w:t>31,183</w:t>
            </w:r>
          </w:p>
        </w:tc>
        <w:tc>
          <w:tcPr>
            <w:tcW w:w="3117" w:type="dxa"/>
            <w:vAlign w:val="bottom"/>
          </w:tcPr>
          <w:p w14:paraId="4391C8EA" w14:textId="77777777" w:rsidR="0006142D" w:rsidRDefault="0006142D" w:rsidP="001B41BD">
            <w:r>
              <w:t>12,256</w:t>
            </w:r>
          </w:p>
        </w:tc>
      </w:tr>
      <w:tr w:rsidR="0006142D" w14:paraId="3FEC4DE4" w14:textId="77777777" w:rsidTr="001B41BD">
        <w:tc>
          <w:tcPr>
            <w:tcW w:w="3116" w:type="dxa"/>
            <w:vAlign w:val="center"/>
          </w:tcPr>
          <w:p w14:paraId="7F4FAD6A" w14:textId="77777777" w:rsidR="0006142D" w:rsidRDefault="0006142D" w:rsidP="001B41BD">
            <w:r>
              <w:t>2018</w:t>
            </w:r>
          </w:p>
        </w:tc>
        <w:tc>
          <w:tcPr>
            <w:tcW w:w="3117" w:type="dxa"/>
            <w:vAlign w:val="bottom"/>
          </w:tcPr>
          <w:p w14:paraId="2EBCCA06" w14:textId="77777777" w:rsidR="0006142D" w:rsidRDefault="0006142D" w:rsidP="001B41BD">
            <w:r>
              <w:t>34,223</w:t>
            </w:r>
          </w:p>
        </w:tc>
        <w:tc>
          <w:tcPr>
            <w:tcW w:w="3117" w:type="dxa"/>
            <w:vAlign w:val="bottom"/>
          </w:tcPr>
          <w:p w14:paraId="1B9F0E17" w14:textId="77777777" w:rsidR="0006142D" w:rsidRDefault="0006142D" w:rsidP="001B41BD">
            <w:r>
              <w:t>13,944</w:t>
            </w:r>
          </w:p>
        </w:tc>
      </w:tr>
      <w:tr w:rsidR="0006142D" w14:paraId="76CE9A84" w14:textId="77777777" w:rsidTr="001B41BD">
        <w:tc>
          <w:tcPr>
            <w:tcW w:w="3116" w:type="dxa"/>
            <w:vAlign w:val="center"/>
          </w:tcPr>
          <w:p w14:paraId="6774ECE2" w14:textId="77777777" w:rsidR="0006142D" w:rsidRDefault="0006142D" w:rsidP="001B41BD">
            <w:r>
              <w:t>2019</w:t>
            </w:r>
          </w:p>
        </w:tc>
        <w:tc>
          <w:tcPr>
            <w:tcW w:w="3117" w:type="dxa"/>
            <w:vAlign w:val="bottom"/>
          </w:tcPr>
          <w:p w14:paraId="0BB077C4" w14:textId="77777777" w:rsidR="0006142D" w:rsidRDefault="0006142D" w:rsidP="001B41BD">
            <w:r>
              <w:t>36,277</w:t>
            </w:r>
          </w:p>
        </w:tc>
        <w:tc>
          <w:tcPr>
            <w:tcW w:w="3117" w:type="dxa"/>
            <w:vAlign w:val="bottom"/>
          </w:tcPr>
          <w:p w14:paraId="0BEF4FA1" w14:textId="77777777" w:rsidR="0006142D" w:rsidRDefault="0006142D" w:rsidP="001B41BD">
            <w:r>
              <w:t>14,345</w:t>
            </w:r>
          </w:p>
        </w:tc>
      </w:tr>
      <w:tr w:rsidR="0006142D" w14:paraId="69E2BC6B" w14:textId="77777777" w:rsidTr="001B41BD">
        <w:tc>
          <w:tcPr>
            <w:tcW w:w="3116" w:type="dxa"/>
            <w:vAlign w:val="center"/>
          </w:tcPr>
          <w:p w14:paraId="6F0AC1A5" w14:textId="77777777" w:rsidR="0006142D" w:rsidRDefault="0006142D" w:rsidP="001B41BD">
            <w:r>
              <w:t>2020</w:t>
            </w:r>
          </w:p>
        </w:tc>
        <w:tc>
          <w:tcPr>
            <w:tcW w:w="3117" w:type="dxa"/>
            <w:vAlign w:val="bottom"/>
          </w:tcPr>
          <w:p w14:paraId="0AB3D559" w14:textId="77777777" w:rsidR="0006142D" w:rsidRDefault="0006142D" w:rsidP="001B41BD">
            <w:r>
              <w:t>33,728</w:t>
            </w:r>
          </w:p>
        </w:tc>
        <w:tc>
          <w:tcPr>
            <w:tcW w:w="3117" w:type="dxa"/>
            <w:vAlign w:val="bottom"/>
          </w:tcPr>
          <w:p w14:paraId="300C7B4B" w14:textId="77777777" w:rsidR="0006142D" w:rsidRDefault="0006142D" w:rsidP="001B41BD">
            <w:r>
              <w:t>16,529</w:t>
            </w:r>
          </w:p>
        </w:tc>
      </w:tr>
      <w:tr w:rsidR="0006142D" w14:paraId="56DE5A0F" w14:textId="77777777" w:rsidTr="001B41BD">
        <w:tc>
          <w:tcPr>
            <w:tcW w:w="3116" w:type="dxa"/>
            <w:vAlign w:val="center"/>
          </w:tcPr>
          <w:p w14:paraId="3A633C59" w14:textId="77777777" w:rsidR="0006142D" w:rsidRDefault="0006142D" w:rsidP="001B41BD">
            <w:r>
              <w:t>2021</w:t>
            </w:r>
          </w:p>
        </w:tc>
        <w:tc>
          <w:tcPr>
            <w:tcW w:w="3117" w:type="dxa"/>
            <w:vAlign w:val="bottom"/>
          </w:tcPr>
          <w:p w14:paraId="0C0EF641" w14:textId="77777777" w:rsidR="0006142D" w:rsidRDefault="0006142D" w:rsidP="001B41BD">
            <w:r>
              <w:t>35,950</w:t>
            </w:r>
          </w:p>
        </w:tc>
        <w:tc>
          <w:tcPr>
            <w:tcW w:w="3117" w:type="dxa"/>
            <w:vAlign w:val="bottom"/>
          </w:tcPr>
          <w:p w14:paraId="3509DFE0" w14:textId="77777777" w:rsidR="0006142D" w:rsidRDefault="0006142D" w:rsidP="001B41BD">
            <w:r>
              <w:t>15,804</w:t>
            </w:r>
          </w:p>
        </w:tc>
      </w:tr>
    </w:tbl>
    <w:p w14:paraId="2B31C871" w14:textId="77777777" w:rsidR="0006142D" w:rsidRPr="00E85F02" w:rsidRDefault="0006142D" w:rsidP="0006142D">
      <w:r w:rsidRPr="00E85F02">
        <w:t xml:space="preserve">Source: SC DHEC SCION. </w:t>
      </w:r>
    </w:p>
    <w:p w14:paraId="2FE36C78" w14:textId="77777777" w:rsidR="0006142D" w:rsidRDefault="0006142D" w:rsidP="0006142D">
      <w:r w:rsidRPr="00E85F02">
        <w:t>Note: Cases reported by year of diagnosis.</w:t>
      </w:r>
    </w:p>
    <w:p w14:paraId="7E049F77" w14:textId="77777777" w:rsidR="0006142D" w:rsidRDefault="0006142D" w:rsidP="0006142D">
      <w:pPr>
        <w:pStyle w:val="Heading4"/>
      </w:pPr>
      <w:bookmarkStart w:id="908" w:name="_Toc154576556"/>
    </w:p>
    <w:p w14:paraId="42C51421" w14:textId="29A6C5F2" w:rsidR="0006142D" w:rsidRDefault="0006142D" w:rsidP="0006142D">
      <w:pPr>
        <w:pStyle w:val="Heading4"/>
        <w:rPr>
          <w:rStyle w:val="A10"/>
          <w:rFonts w:asciiTheme="majorHAnsi" w:hAnsiTheme="majorHAnsi" w:cstheme="majorBidi"/>
          <w:b w:val="0"/>
          <w:bCs w:val="0"/>
          <w:i/>
          <w:iCs/>
          <w:sz w:val="28"/>
          <w:szCs w:val="24"/>
        </w:rPr>
      </w:pPr>
      <w:bookmarkStart w:id="909" w:name="_Toc162267614"/>
      <w:r w:rsidRPr="00E85F02">
        <w:t>Figure 9.7</w:t>
      </w:r>
      <w:r>
        <w:t>3</w:t>
      </w:r>
      <w:r w:rsidRPr="00E85F02">
        <w:t>: Syphilis Cases</w:t>
      </w:r>
      <w:r>
        <w:t>.</w:t>
      </w:r>
      <w:bookmarkEnd w:id="908"/>
      <w:bookmarkEnd w:id="909"/>
    </w:p>
    <w:tbl>
      <w:tblPr>
        <w:tblStyle w:val="TableGrid"/>
        <w:tblW w:w="0" w:type="auto"/>
        <w:tblLook w:val="04A0" w:firstRow="1" w:lastRow="0" w:firstColumn="1" w:lastColumn="0" w:noHBand="0" w:noVBand="1"/>
      </w:tblPr>
      <w:tblGrid>
        <w:gridCol w:w="4675"/>
        <w:gridCol w:w="4675"/>
      </w:tblGrid>
      <w:tr w:rsidR="0006142D" w14:paraId="22DD9212" w14:textId="77777777" w:rsidTr="001B41BD">
        <w:tc>
          <w:tcPr>
            <w:tcW w:w="4675" w:type="dxa"/>
          </w:tcPr>
          <w:p w14:paraId="1DA21C58" w14:textId="77777777" w:rsidR="0006142D" w:rsidRDefault="0006142D" w:rsidP="001B41BD">
            <w:r>
              <w:t>Years</w:t>
            </w:r>
          </w:p>
        </w:tc>
        <w:tc>
          <w:tcPr>
            <w:tcW w:w="4675" w:type="dxa"/>
          </w:tcPr>
          <w:p w14:paraId="6F261416" w14:textId="77777777" w:rsidR="0006142D" w:rsidRDefault="0006142D" w:rsidP="001B41BD">
            <w:r>
              <w:t>Syphilis Cases</w:t>
            </w:r>
          </w:p>
        </w:tc>
      </w:tr>
      <w:tr w:rsidR="0006142D" w14:paraId="20D1F1A6" w14:textId="77777777" w:rsidTr="001B41BD">
        <w:tc>
          <w:tcPr>
            <w:tcW w:w="4675" w:type="dxa"/>
          </w:tcPr>
          <w:p w14:paraId="29397C9B" w14:textId="77777777" w:rsidR="0006142D" w:rsidRDefault="0006142D" w:rsidP="001B41BD">
            <w:r>
              <w:t>2012</w:t>
            </w:r>
          </w:p>
        </w:tc>
        <w:tc>
          <w:tcPr>
            <w:tcW w:w="4675" w:type="dxa"/>
          </w:tcPr>
          <w:p w14:paraId="1D6E0567" w14:textId="77777777" w:rsidR="0006142D" w:rsidRDefault="0006142D" w:rsidP="001B41BD">
            <w:r>
              <w:t>610</w:t>
            </w:r>
          </w:p>
        </w:tc>
      </w:tr>
      <w:tr w:rsidR="0006142D" w14:paraId="5F9F80FD" w14:textId="77777777" w:rsidTr="001B41BD">
        <w:tc>
          <w:tcPr>
            <w:tcW w:w="4675" w:type="dxa"/>
          </w:tcPr>
          <w:p w14:paraId="31302DBF" w14:textId="77777777" w:rsidR="0006142D" w:rsidRDefault="0006142D" w:rsidP="001B41BD">
            <w:r>
              <w:t>2013</w:t>
            </w:r>
          </w:p>
        </w:tc>
        <w:tc>
          <w:tcPr>
            <w:tcW w:w="4675" w:type="dxa"/>
          </w:tcPr>
          <w:p w14:paraId="2057B3F5" w14:textId="77777777" w:rsidR="0006142D" w:rsidRDefault="0006142D" w:rsidP="001B41BD">
            <w:r>
              <w:t>758</w:t>
            </w:r>
          </w:p>
        </w:tc>
      </w:tr>
      <w:tr w:rsidR="0006142D" w14:paraId="3C0864FA" w14:textId="77777777" w:rsidTr="001B41BD">
        <w:tc>
          <w:tcPr>
            <w:tcW w:w="4675" w:type="dxa"/>
          </w:tcPr>
          <w:p w14:paraId="05245297" w14:textId="77777777" w:rsidR="0006142D" w:rsidRDefault="0006142D" w:rsidP="001B41BD">
            <w:r>
              <w:t>2014</w:t>
            </w:r>
          </w:p>
        </w:tc>
        <w:tc>
          <w:tcPr>
            <w:tcW w:w="4675" w:type="dxa"/>
          </w:tcPr>
          <w:p w14:paraId="5D8114D0" w14:textId="77777777" w:rsidR="0006142D" w:rsidRDefault="0006142D" w:rsidP="001B41BD">
            <w:r>
              <w:t>789</w:t>
            </w:r>
          </w:p>
        </w:tc>
      </w:tr>
      <w:tr w:rsidR="0006142D" w14:paraId="0D476D3C" w14:textId="77777777" w:rsidTr="001B41BD">
        <w:tc>
          <w:tcPr>
            <w:tcW w:w="4675" w:type="dxa"/>
          </w:tcPr>
          <w:p w14:paraId="29169680" w14:textId="77777777" w:rsidR="0006142D" w:rsidRDefault="0006142D" w:rsidP="001B41BD">
            <w:r>
              <w:t>2015</w:t>
            </w:r>
          </w:p>
        </w:tc>
        <w:tc>
          <w:tcPr>
            <w:tcW w:w="4675" w:type="dxa"/>
          </w:tcPr>
          <w:p w14:paraId="62987182" w14:textId="77777777" w:rsidR="0006142D" w:rsidRDefault="0006142D" w:rsidP="001B41BD">
            <w:r>
              <w:t>986</w:t>
            </w:r>
          </w:p>
        </w:tc>
      </w:tr>
      <w:tr w:rsidR="0006142D" w14:paraId="689D1C24" w14:textId="77777777" w:rsidTr="001B41BD">
        <w:tc>
          <w:tcPr>
            <w:tcW w:w="4675" w:type="dxa"/>
          </w:tcPr>
          <w:p w14:paraId="08364495" w14:textId="77777777" w:rsidR="0006142D" w:rsidRDefault="0006142D" w:rsidP="001B41BD">
            <w:r>
              <w:t>2016</w:t>
            </w:r>
          </w:p>
        </w:tc>
        <w:tc>
          <w:tcPr>
            <w:tcW w:w="4675" w:type="dxa"/>
          </w:tcPr>
          <w:p w14:paraId="24F1BAEF" w14:textId="77777777" w:rsidR="0006142D" w:rsidRDefault="0006142D" w:rsidP="001B41BD">
            <w:r>
              <w:t>1,000</w:t>
            </w:r>
          </w:p>
        </w:tc>
      </w:tr>
      <w:tr w:rsidR="0006142D" w14:paraId="196242FF" w14:textId="77777777" w:rsidTr="001B41BD">
        <w:tc>
          <w:tcPr>
            <w:tcW w:w="4675" w:type="dxa"/>
          </w:tcPr>
          <w:p w14:paraId="6E4D8F8E" w14:textId="77777777" w:rsidR="0006142D" w:rsidRDefault="0006142D" w:rsidP="001B41BD">
            <w:r>
              <w:t>2017</w:t>
            </w:r>
          </w:p>
        </w:tc>
        <w:tc>
          <w:tcPr>
            <w:tcW w:w="4675" w:type="dxa"/>
          </w:tcPr>
          <w:p w14:paraId="30892BCE" w14:textId="77777777" w:rsidR="0006142D" w:rsidRDefault="0006142D" w:rsidP="001B41BD">
            <w:r>
              <w:t>1,076</w:t>
            </w:r>
          </w:p>
        </w:tc>
      </w:tr>
      <w:tr w:rsidR="0006142D" w14:paraId="7AE8A203" w14:textId="77777777" w:rsidTr="001B41BD">
        <w:tc>
          <w:tcPr>
            <w:tcW w:w="4675" w:type="dxa"/>
          </w:tcPr>
          <w:p w14:paraId="69B0FD36" w14:textId="77777777" w:rsidR="0006142D" w:rsidRDefault="0006142D" w:rsidP="001B41BD">
            <w:r>
              <w:t>2018</w:t>
            </w:r>
          </w:p>
        </w:tc>
        <w:tc>
          <w:tcPr>
            <w:tcW w:w="4675" w:type="dxa"/>
          </w:tcPr>
          <w:p w14:paraId="45EEF2E2" w14:textId="77777777" w:rsidR="0006142D" w:rsidRDefault="0006142D" w:rsidP="001B41BD">
            <w:r>
              <w:t>1,261</w:t>
            </w:r>
          </w:p>
        </w:tc>
      </w:tr>
      <w:tr w:rsidR="0006142D" w14:paraId="442EDD61" w14:textId="77777777" w:rsidTr="001B41BD">
        <w:tc>
          <w:tcPr>
            <w:tcW w:w="4675" w:type="dxa"/>
          </w:tcPr>
          <w:p w14:paraId="499C4C18" w14:textId="77777777" w:rsidR="0006142D" w:rsidRDefault="0006142D" w:rsidP="001B41BD">
            <w:r>
              <w:t>2019</w:t>
            </w:r>
          </w:p>
        </w:tc>
        <w:tc>
          <w:tcPr>
            <w:tcW w:w="4675" w:type="dxa"/>
          </w:tcPr>
          <w:p w14:paraId="0C200A11" w14:textId="77777777" w:rsidR="0006142D" w:rsidRDefault="0006142D" w:rsidP="001B41BD">
            <w:r>
              <w:t>1332</w:t>
            </w:r>
          </w:p>
        </w:tc>
      </w:tr>
      <w:tr w:rsidR="0006142D" w14:paraId="6009404D" w14:textId="77777777" w:rsidTr="001B41BD">
        <w:tc>
          <w:tcPr>
            <w:tcW w:w="4675" w:type="dxa"/>
          </w:tcPr>
          <w:p w14:paraId="54EFBCB6" w14:textId="77777777" w:rsidR="0006142D" w:rsidRDefault="0006142D" w:rsidP="001B41BD">
            <w:r>
              <w:t>2020</w:t>
            </w:r>
          </w:p>
        </w:tc>
        <w:tc>
          <w:tcPr>
            <w:tcW w:w="4675" w:type="dxa"/>
          </w:tcPr>
          <w:p w14:paraId="0C27703B" w14:textId="77777777" w:rsidR="0006142D" w:rsidRDefault="0006142D" w:rsidP="001B41BD">
            <w:r>
              <w:t>1,814</w:t>
            </w:r>
          </w:p>
        </w:tc>
      </w:tr>
      <w:tr w:rsidR="0006142D" w14:paraId="53E2F8C0" w14:textId="77777777" w:rsidTr="001B41BD">
        <w:tc>
          <w:tcPr>
            <w:tcW w:w="4675" w:type="dxa"/>
          </w:tcPr>
          <w:p w14:paraId="5DF4C501" w14:textId="77777777" w:rsidR="0006142D" w:rsidRDefault="0006142D" w:rsidP="001B41BD">
            <w:r>
              <w:t>2021</w:t>
            </w:r>
          </w:p>
        </w:tc>
        <w:tc>
          <w:tcPr>
            <w:tcW w:w="4675" w:type="dxa"/>
          </w:tcPr>
          <w:p w14:paraId="12369AF2" w14:textId="77777777" w:rsidR="0006142D" w:rsidRDefault="0006142D" w:rsidP="001B41BD">
            <w:r>
              <w:t>2,244</w:t>
            </w:r>
          </w:p>
        </w:tc>
      </w:tr>
    </w:tbl>
    <w:p w14:paraId="456DB87D" w14:textId="77777777" w:rsidR="0006142D" w:rsidRPr="00E25909" w:rsidRDefault="0006142D" w:rsidP="0006142D">
      <w:r w:rsidRPr="00E25909">
        <w:t xml:space="preserve">Source: SC DHEC SCION. </w:t>
      </w:r>
    </w:p>
    <w:p w14:paraId="1D4B6BFA" w14:textId="77777777" w:rsidR="0006142D" w:rsidRDefault="0006142D" w:rsidP="0006142D">
      <w:r w:rsidRPr="00E25909">
        <w:t>Note: Cases reported by year of diagnosis.</w:t>
      </w:r>
    </w:p>
    <w:p w14:paraId="58DC44AD" w14:textId="77777777" w:rsidR="0006142D" w:rsidRDefault="0006142D" w:rsidP="0006142D"/>
    <w:p w14:paraId="4B691B98" w14:textId="77777777" w:rsidR="0006142D" w:rsidRPr="0006142D" w:rsidRDefault="0006142D" w:rsidP="0006142D">
      <w:pPr>
        <w:pStyle w:val="Heading4"/>
      </w:pPr>
      <w:bookmarkStart w:id="910" w:name="_Toc162267615"/>
      <w:r w:rsidRPr="0006142D">
        <w:t>Data Interpretations:</w:t>
      </w:r>
      <w:bookmarkEnd w:id="910"/>
      <w:r w:rsidRPr="0006142D">
        <w:t xml:space="preserve"> </w:t>
      </w:r>
    </w:p>
    <w:p w14:paraId="554AFD41" w14:textId="4D1F78C6" w:rsidR="0006142D" w:rsidRDefault="0006142D" w:rsidP="0006142D">
      <w:r w:rsidRPr="0006142D">
        <w:t>Reported cases of chlamydia have increased annually in SC since 2012. In 2021, there were 35,950 cases of chlamydia diagnosed in SC (</w:t>
      </w:r>
      <w:r w:rsidRPr="0006142D">
        <w:rPr>
          <w:b/>
          <w:bCs/>
        </w:rPr>
        <w:t>Figure 9.72</w:t>
      </w:r>
      <w:r w:rsidRPr="0006142D">
        <w:t xml:space="preserve">). Among chlamydia cases in 2021 with a reported race, 39% were Black women and 23% were White women. Black men comprised 24% of chlamydia cases, and White men accounted for 7%.  Additionally, of the reported cases diagnosed in 2021, 82% were adolescents and adults under the age of 30. </w:t>
      </w:r>
    </w:p>
    <w:p w14:paraId="1018B650" w14:textId="77777777" w:rsidR="0006142D" w:rsidRPr="0006142D" w:rsidRDefault="0006142D" w:rsidP="0006142D"/>
    <w:p w14:paraId="38E288EC" w14:textId="77777777" w:rsidR="0006142D" w:rsidRDefault="0006142D" w:rsidP="0006142D">
      <w:r w:rsidRPr="0006142D">
        <w:t>From 2012 to 2020 in SC the number of gonorrhea cases increased steadily. From 2020 to 2021 the number of cases decreased.  In 2021, 15,804 gonorrhea cases were diagnosed in SC (</w:t>
      </w:r>
      <w:r w:rsidRPr="0006142D">
        <w:rPr>
          <w:b/>
          <w:bCs/>
        </w:rPr>
        <w:t>Figure 9.72</w:t>
      </w:r>
      <w:r w:rsidRPr="0006142D">
        <w:t>). Of cases with a reported race, Black men and women accounted for 70% of reported cases, with Black men and women accounting for 40% and 30% of cases, respectively. As with chlamydia, 69% of gonorrhea cases diagnosed in 2021 were in people ages 15-29, 18% were aged 15-19, 30% were aged 20-24, 21% were aged 25-29, with the majority in those ages 30+.</w:t>
      </w:r>
    </w:p>
    <w:p w14:paraId="495A51AA" w14:textId="77777777" w:rsidR="0006142D" w:rsidRPr="0006142D" w:rsidRDefault="0006142D" w:rsidP="0006142D"/>
    <w:p w14:paraId="65AB8532" w14:textId="77777777" w:rsidR="0006142D" w:rsidRPr="0006142D" w:rsidRDefault="0006142D" w:rsidP="0006142D">
      <w:r w:rsidRPr="0006142D">
        <w:t>The number of syphilis cases diagnosed each year in SC has increased over the past 10 years. In 2021, 2,244 cases of syphilis were diagnosed, which is a 268% increase from 2012 (</w:t>
      </w:r>
      <w:r w:rsidRPr="0006142D">
        <w:rPr>
          <w:b/>
          <w:bCs/>
        </w:rPr>
        <w:t>Figure 9.73</w:t>
      </w:r>
      <w:r w:rsidRPr="0006142D">
        <w:t>). On average, primary and secondary (P&amp;S) syphilis diagnoses have increased by 16% per year over the last decade.</w:t>
      </w:r>
    </w:p>
    <w:p w14:paraId="0021C99A" w14:textId="77777777" w:rsidR="0006142D" w:rsidRPr="0006142D" w:rsidRDefault="0006142D" w:rsidP="0006142D">
      <w:r w:rsidRPr="0006142D">
        <w:t xml:space="preserve">In 2021, </w:t>
      </w:r>
      <w:proofErr w:type="gramStart"/>
      <w:r w:rsidRPr="0006142D">
        <w:t>a majority of</w:t>
      </w:r>
      <w:proofErr w:type="gramEnd"/>
      <w:r w:rsidRPr="0006142D">
        <w:t xml:space="preserve"> syphilis cases (70%) were among men. Black men comprised 44%, White men 20%, and Hispanic and other races accounted for 3% of cases. Women accounted for 29% of syphilis cases. Black women comprised 14%, White women 13%, and Hispanic and other races less than 1%. Only 1.5% of syphilis cases had an unknown race, and this is mainly attributable to the active surveillance and case investigation efforts performed by disease intervention staff. Forty-three percent of syphilis cases diagnosed in 2021 were under the age of 30.</w:t>
      </w:r>
    </w:p>
    <w:p w14:paraId="585388C8" w14:textId="77777777" w:rsidR="0006142D" w:rsidRDefault="0006142D" w:rsidP="0006142D"/>
    <w:p w14:paraId="1915DC58" w14:textId="725D55CE" w:rsidR="0006142D" w:rsidRDefault="0006142D" w:rsidP="0006142D">
      <w:pPr>
        <w:pStyle w:val="Heading5"/>
      </w:pPr>
      <w:r w:rsidRPr="0030357E">
        <w:t xml:space="preserve">Key Takeaways: </w:t>
      </w:r>
    </w:p>
    <w:p w14:paraId="44D2D9D4" w14:textId="77777777" w:rsidR="0006142D" w:rsidRPr="0006142D" w:rsidRDefault="0006142D" w:rsidP="00926EB3">
      <w:pPr>
        <w:pStyle w:val="ListParagraph"/>
        <w:numPr>
          <w:ilvl w:val="0"/>
          <w:numId w:val="228"/>
        </w:numPr>
      </w:pPr>
      <w:r w:rsidRPr="0006142D">
        <w:t>Sexually transmitted infections continue to rise in SC. Early identification, treatment, and reporting, along with other individualized intervention activities are ways to prevent or reduce new cases.</w:t>
      </w:r>
    </w:p>
    <w:p w14:paraId="6AB63061" w14:textId="77777777" w:rsidR="0006142D" w:rsidRPr="0006142D" w:rsidRDefault="0006142D" w:rsidP="0006142D">
      <w:pPr>
        <w:pStyle w:val="Heading4"/>
        <w:rPr>
          <w:rFonts w:asciiTheme="minorHAnsi" w:hAnsiTheme="minorHAnsi" w:cstheme="minorHAnsi"/>
          <w:i w:val="0"/>
          <w:iCs w:val="0"/>
          <w:color w:val="000000" w:themeColor="text1"/>
        </w:rPr>
      </w:pPr>
    </w:p>
    <w:p w14:paraId="640A4824" w14:textId="27F23109" w:rsidR="0006142D" w:rsidRPr="00474B85" w:rsidRDefault="0006142D" w:rsidP="0006142D">
      <w:pPr>
        <w:pStyle w:val="Heading4"/>
        <w:rPr>
          <w:rFonts w:asciiTheme="minorHAnsi" w:hAnsiTheme="minorHAnsi" w:cstheme="minorHAnsi"/>
          <w:color w:val="000000" w:themeColor="text1"/>
        </w:rPr>
      </w:pPr>
      <w:bookmarkStart w:id="911" w:name="_Toc162267616"/>
      <w:r w:rsidRPr="00474B85">
        <w:rPr>
          <w:rFonts w:asciiTheme="minorHAnsi" w:hAnsiTheme="minorHAnsi" w:cstheme="minorHAnsi"/>
          <w:color w:val="000000" w:themeColor="text1"/>
        </w:rPr>
        <w:t>References 9.</w:t>
      </w:r>
      <w:r>
        <w:rPr>
          <w:rFonts w:asciiTheme="minorHAnsi" w:hAnsiTheme="minorHAnsi" w:cstheme="minorHAnsi"/>
          <w:color w:val="000000" w:themeColor="text1"/>
        </w:rPr>
        <w:t>28</w:t>
      </w:r>
      <w:bookmarkEnd w:id="911"/>
      <w:r>
        <w:rPr>
          <w:rFonts w:asciiTheme="minorHAnsi" w:hAnsiTheme="minorHAnsi" w:cstheme="minorHAnsi"/>
          <w:color w:val="000000" w:themeColor="text1"/>
        </w:rPr>
        <w:t xml:space="preserve"> </w:t>
      </w:r>
    </w:p>
    <w:p w14:paraId="797E69B0" w14:textId="77777777" w:rsidR="0006142D" w:rsidRDefault="0006142D" w:rsidP="0006142D">
      <w:r w:rsidRPr="00474B85">
        <w:t>Statistics in the preceding section were referenced from the following reports:</w:t>
      </w:r>
    </w:p>
    <w:p w14:paraId="6E418204" w14:textId="39105908" w:rsidR="006449E8" w:rsidRPr="006449E8" w:rsidRDefault="00000000" w:rsidP="00926EB3">
      <w:pPr>
        <w:pStyle w:val="ListParagraph"/>
        <w:numPr>
          <w:ilvl w:val="0"/>
          <w:numId w:val="192"/>
        </w:numPr>
      </w:pPr>
      <w:hyperlink r:id="rId410" w:history="1">
        <w:r w:rsidR="006449E8" w:rsidRPr="006449E8">
          <w:rPr>
            <w:rStyle w:val="Hyperlink"/>
          </w:rPr>
          <w:t>“CDC Fact Sheet: Information for Teens and Young Adults: Staying Healthy and Preventing STDs” by Centers for Disease Control and Prevention via cdc.gov, 2022.</w:t>
        </w:r>
        <w:r w:rsidR="006449E8" w:rsidRPr="006449E8">
          <w:rPr>
            <w:rStyle w:val="Hyperlink"/>
            <w:i/>
            <w:iCs/>
          </w:rPr>
          <w:t xml:space="preserve"> </w:t>
        </w:r>
        <w:r w:rsidR="006449E8" w:rsidRPr="006449E8">
          <w:rPr>
            <w:rStyle w:val="Hyperlink"/>
          </w:rPr>
          <w:t>Retrieved February 21, 2023.</w:t>
        </w:r>
      </w:hyperlink>
      <w:r w:rsidR="006449E8" w:rsidRPr="006449E8">
        <w:t xml:space="preserve"> </w:t>
      </w:r>
    </w:p>
    <w:p w14:paraId="6225CF9C" w14:textId="2D485967" w:rsidR="006449E8" w:rsidRPr="006449E8" w:rsidRDefault="00000000" w:rsidP="00926EB3">
      <w:pPr>
        <w:pStyle w:val="ListParagraph"/>
        <w:numPr>
          <w:ilvl w:val="0"/>
          <w:numId w:val="192"/>
        </w:numPr>
      </w:pPr>
      <w:hyperlink r:id="rId411" w:history="1">
        <w:r w:rsidR="006449E8" w:rsidRPr="006449E8">
          <w:rPr>
            <w:rStyle w:val="Hyperlink"/>
          </w:rPr>
          <w:t xml:space="preserve">“Sexually transmitted infections treatment guidelines, 2021” by </w:t>
        </w:r>
        <w:proofErr w:type="spellStart"/>
        <w:r w:rsidR="006449E8" w:rsidRPr="006449E8">
          <w:rPr>
            <w:rStyle w:val="Hyperlink"/>
          </w:rPr>
          <w:t>Workowski</w:t>
        </w:r>
        <w:proofErr w:type="spellEnd"/>
        <w:r w:rsidR="006449E8" w:rsidRPr="006449E8">
          <w:rPr>
            <w:rStyle w:val="Hyperlink"/>
          </w:rPr>
          <w:t xml:space="preserve">, K. A., Bachmann, L. H., Chan, P. A., et al. Published MMWR </w:t>
        </w:r>
        <w:proofErr w:type="spellStart"/>
        <w:r w:rsidR="006449E8" w:rsidRPr="006449E8">
          <w:rPr>
            <w:rStyle w:val="Hyperlink"/>
          </w:rPr>
          <w:t>Recomm</w:t>
        </w:r>
        <w:proofErr w:type="spellEnd"/>
        <w:r w:rsidR="006449E8" w:rsidRPr="006449E8">
          <w:rPr>
            <w:rStyle w:val="Hyperlink"/>
          </w:rPr>
          <w:t xml:space="preserve"> Rep., 2021</w:t>
        </w:r>
        <w:r w:rsidR="006449E8" w:rsidRPr="006449E8">
          <w:rPr>
            <w:rStyle w:val="Hyperlink"/>
            <w:i/>
            <w:iCs/>
          </w:rPr>
          <w:t>.</w:t>
        </w:r>
      </w:hyperlink>
    </w:p>
    <w:p w14:paraId="4177EE01" w14:textId="77777777" w:rsidR="006449E8" w:rsidRDefault="006449E8" w:rsidP="0006142D"/>
    <w:p w14:paraId="0368DDB8" w14:textId="77777777" w:rsidR="0006142D" w:rsidRDefault="0006142D" w:rsidP="0006142D"/>
    <w:p w14:paraId="5881650C" w14:textId="77777777" w:rsidR="0006142D" w:rsidRPr="0006142D" w:rsidRDefault="0006142D" w:rsidP="0006142D">
      <w:pPr>
        <w:pStyle w:val="Heading3"/>
      </w:pPr>
      <w:bookmarkStart w:id="912" w:name="_Toc162267617"/>
      <w:r w:rsidRPr="0006142D">
        <w:t>Hepatitis</w:t>
      </w:r>
      <w:bookmarkEnd w:id="912"/>
    </w:p>
    <w:p w14:paraId="596FFCFE" w14:textId="79E6D197" w:rsidR="0006142D" w:rsidRDefault="0006142D" w:rsidP="0006142D">
      <w:pPr>
        <w:rPr>
          <w:b/>
          <w:bCs/>
        </w:rPr>
      </w:pPr>
      <w:r w:rsidRPr="0006142D">
        <w:t>Hepatitis C is a liver disease that results from infection with the hepatitis C virus. Most people who are infected develop a chronic, or long-term, infection. Hepatitis C is primarily spread through contact with blood from an infected person. People born from 1946 to 1964, sometimes referred to as baby boomers, are five times more likely to have hepatitis C than other adults. However, in the past five years, acute (new) infection rates among young adults (aged 20-39 years) have increased rapidly. This has been largely driven by the opioid and injection drug use epidemic.</w:t>
      </w:r>
    </w:p>
    <w:p w14:paraId="4DF570EC" w14:textId="77777777" w:rsidR="0006142D" w:rsidRPr="0006142D" w:rsidRDefault="0006142D" w:rsidP="0006142D"/>
    <w:p w14:paraId="384976CA" w14:textId="2CE7BFD1" w:rsidR="0006142D" w:rsidRDefault="0006142D" w:rsidP="0006142D">
      <w:pPr>
        <w:rPr>
          <w:b/>
          <w:bCs/>
        </w:rPr>
      </w:pPr>
      <w:r w:rsidRPr="0006142D">
        <w:t>Hepatitis C can lead to liver damage, cirrhosis, and liver cancer. Hepatitis C is the leading cause of liver transplants. In the US, hepatitis C is responsible for more deaths than all other reportable infectious diseases. Most people with hepatitis C do not know they are infected. Since many people can live with hepatitis C for decades without symptoms or feeling sick, testing is crucial so those who are infected can get treated and cured. Current treatments usually involve just eight to 12 weeks of oral therapy (pills</w:t>
      </w:r>
      <w:proofErr w:type="gramStart"/>
      <w:r w:rsidRPr="0006142D">
        <w:t>)</w:t>
      </w:r>
      <w:proofErr w:type="gramEnd"/>
      <w:r w:rsidRPr="0006142D">
        <w:t xml:space="preserve"> and cure rates are over 90% with few side effects.</w:t>
      </w:r>
    </w:p>
    <w:p w14:paraId="1F2FAD51" w14:textId="77777777" w:rsidR="0006142D" w:rsidRPr="0006142D" w:rsidRDefault="0006142D" w:rsidP="0006142D"/>
    <w:p w14:paraId="755EE70A" w14:textId="2E4B49BF" w:rsidR="0006142D" w:rsidRDefault="0006142D" w:rsidP="0006142D">
      <w:pPr>
        <w:rPr>
          <w:b/>
          <w:bCs/>
        </w:rPr>
      </w:pPr>
      <w:r w:rsidRPr="0006142D">
        <w:t>During 2020, the COVID-19 pandemic caused major disruptions in access to medical care and routine public health activities. Stay-at-home orders suspended or delayed many routine health care visits, patients avoided seeking medical and preventive services in a healthcare setting, and many health department staff routinely assigned to viral hepatitis case investigation and surveillance activities were reassigned to respond to the COVID-19 pandemic.</w:t>
      </w:r>
    </w:p>
    <w:p w14:paraId="6599BD28" w14:textId="77777777" w:rsidR="0006142D" w:rsidRPr="0006142D" w:rsidRDefault="0006142D" w:rsidP="0006142D"/>
    <w:p w14:paraId="25169A8B" w14:textId="42D01567" w:rsidR="0006142D" w:rsidRDefault="0006142D" w:rsidP="0006142D">
      <w:r w:rsidRPr="0006142D">
        <w:t xml:space="preserve">To illustrate the potential magnitude of the impact of the COVID-19 pandemic on viral hepatitis testing and subsequently on surveillance data, a study examining national reference clinical laboratory data reported an approximate 60% decline in </w:t>
      </w:r>
      <w:r w:rsidRPr="0006142D">
        <w:lastRenderedPageBreak/>
        <w:t>positive hepatitis C test results during the first months of the pandemic in 2020, relative to the prior non-pandemic months.</w:t>
      </w:r>
    </w:p>
    <w:p w14:paraId="511750CE" w14:textId="77777777" w:rsidR="0006142D" w:rsidRDefault="0006142D" w:rsidP="0006142D">
      <w:pPr>
        <w:rPr>
          <w:b/>
          <w:bCs/>
        </w:rPr>
      </w:pPr>
    </w:p>
    <w:p w14:paraId="30C7E4B1" w14:textId="77777777" w:rsidR="0006142D" w:rsidRDefault="0006142D" w:rsidP="0006142D">
      <w:pPr>
        <w:pStyle w:val="Heading4"/>
      </w:pPr>
      <w:bookmarkStart w:id="913" w:name="_Toc154576557"/>
      <w:bookmarkStart w:id="914" w:name="_Toc162267618"/>
      <w:r w:rsidRPr="00E85F02">
        <w:t>Figure 9.</w:t>
      </w:r>
      <w:r>
        <w:t>74</w:t>
      </w:r>
      <w:r w:rsidRPr="00E85F02">
        <w:t xml:space="preserve">: </w:t>
      </w:r>
      <w:r>
        <w:t>New Cases of Acute Hepatitis C.</w:t>
      </w:r>
      <w:bookmarkEnd w:id="913"/>
      <w:bookmarkEnd w:id="914"/>
    </w:p>
    <w:p w14:paraId="7F9D308A" w14:textId="77777777" w:rsidR="0006142D" w:rsidRPr="00E25909" w:rsidRDefault="0006142D" w:rsidP="0006142D">
      <w:pPr>
        <w:pStyle w:val="Heading5"/>
      </w:pPr>
      <w:r>
        <w:t>Rate per 100,000 population.</w:t>
      </w:r>
    </w:p>
    <w:tbl>
      <w:tblPr>
        <w:tblStyle w:val="TableGrid"/>
        <w:tblW w:w="0" w:type="auto"/>
        <w:tblLook w:val="04A0" w:firstRow="1" w:lastRow="0" w:firstColumn="1" w:lastColumn="0" w:noHBand="0" w:noVBand="1"/>
      </w:tblPr>
      <w:tblGrid>
        <w:gridCol w:w="3116"/>
        <w:gridCol w:w="3117"/>
        <w:gridCol w:w="3117"/>
      </w:tblGrid>
      <w:tr w:rsidR="0006142D" w14:paraId="47FDFA60" w14:textId="77777777" w:rsidTr="001B41BD">
        <w:tc>
          <w:tcPr>
            <w:tcW w:w="3116" w:type="dxa"/>
          </w:tcPr>
          <w:p w14:paraId="4C5C20F5" w14:textId="77777777" w:rsidR="0006142D" w:rsidRDefault="0006142D" w:rsidP="001B41BD">
            <w:r>
              <w:t>Years</w:t>
            </w:r>
          </w:p>
        </w:tc>
        <w:tc>
          <w:tcPr>
            <w:tcW w:w="3117" w:type="dxa"/>
          </w:tcPr>
          <w:p w14:paraId="05693664" w14:textId="77777777" w:rsidR="0006142D" w:rsidRDefault="0006142D" w:rsidP="001B41BD">
            <w:r>
              <w:t>SC</w:t>
            </w:r>
          </w:p>
        </w:tc>
        <w:tc>
          <w:tcPr>
            <w:tcW w:w="3117" w:type="dxa"/>
          </w:tcPr>
          <w:p w14:paraId="30585692" w14:textId="77777777" w:rsidR="0006142D" w:rsidRDefault="0006142D" w:rsidP="001B41BD">
            <w:r>
              <w:t>Healthy People 2030 Goal</w:t>
            </w:r>
          </w:p>
        </w:tc>
      </w:tr>
      <w:tr w:rsidR="0006142D" w14:paraId="3F02B8A4" w14:textId="77777777" w:rsidTr="001B41BD">
        <w:tc>
          <w:tcPr>
            <w:tcW w:w="3116" w:type="dxa"/>
            <w:vAlign w:val="bottom"/>
          </w:tcPr>
          <w:p w14:paraId="757B1ED2" w14:textId="77777777" w:rsidR="0006142D" w:rsidRPr="00E25909" w:rsidRDefault="0006142D" w:rsidP="001B41BD">
            <w:r w:rsidRPr="00E25909">
              <w:t>2011</w:t>
            </w:r>
          </w:p>
        </w:tc>
        <w:tc>
          <w:tcPr>
            <w:tcW w:w="3117" w:type="dxa"/>
            <w:vAlign w:val="bottom"/>
          </w:tcPr>
          <w:p w14:paraId="0F5A585A" w14:textId="77777777" w:rsidR="0006142D" w:rsidRPr="00E25909" w:rsidRDefault="0006142D" w:rsidP="001B41BD">
            <w:r w:rsidRPr="00E25909">
              <w:t>0.02</w:t>
            </w:r>
          </w:p>
        </w:tc>
        <w:tc>
          <w:tcPr>
            <w:tcW w:w="3117" w:type="dxa"/>
            <w:vAlign w:val="bottom"/>
          </w:tcPr>
          <w:p w14:paraId="17FC2421" w14:textId="77777777" w:rsidR="0006142D" w:rsidRPr="00E25909" w:rsidRDefault="0006142D" w:rsidP="001B41BD">
            <w:r w:rsidRPr="00E25909">
              <w:t>0.1</w:t>
            </w:r>
          </w:p>
        </w:tc>
      </w:tr>
      <w:tr w:rsidR="0006142D" w14:paraId="73A358CA" w14:textId="77777777" w:rsidTr="001B41BD">
        <w:tc>
          <w:tcPr>
            <w:tcW w:w="3116" w:type="dxa"/>
            <w:vAlign w:val="bottom"/>
          </w:tcPr>
          <w:p w14:paraId="66723D53" w14:textId="77777777" w:rsidR="0006142D" w:rsidRPr="00E25909" w:rsidRDefault="0006142D" w:rsidP="001B41BD">
            <w:r w:rsidRPr="00E25909">
              <w:t>2012</w:t>
            </w:r>
          </w:p>
        </w:tc>
        <w:tc>
          <w:tcPr>
            <w:tcW w:w="3117" w:type="dxa"/>
            <w:vAlign w:val="bottom"/>
          </w:tcPr>
          <w:p w14:paraId="47A77983" w14:textId="77777777" w:rsidR="0006142D" w:rsidRPr="00E25909" w:rsidRDefault="0006142D" w:rsidP="001B41BD">
            <w:r w:rsidRPr="00E25909">
              <w:t>0.02</w:t>
            </w:r>
          </w:p>
        </w:tc>
        <w:tc>
          <w:tcPr>
            <w:tcW w:w="3117" w:type="dxa"/>
            <w:vAlign w:val="bottom"/>
          </w:tcPr>
          <w:p w14:paraId="7EED60B1" w14:textId="77777777" w:rsidR="0006142D" w:rsidRPr="00E25909" w:rsidRDefault="0006142D" w:rsidP="001B41BD">
            <w:r w:rsidRPr="00E25909">
              <w:t>0.1</w:t>
            </w:r>
          </w:p>
        </w:tc>
      </w:tr>
      <w:tr w:rsidR="0006142D" w14:paraId="20E55A62" w14:textId="77777777" w:rsidTr="001B41BD">
        <w:tc>
          <w:tcPr>
            <w:tcW w:w="3116" w:type="dxa"/>
            <w:vAlign w:val="bottom"/>
          </w:tcPr>
          <w:p w14:paraId="5C922C33" w14:textId="77777777" w:rsidR="0006142D" w:rsidRPr="00E25909" w:rsidRDefault="0006142D" w:rsidP="001B41BD">
            <w:r w:rsidRPr="00E25909">
              <w:t>2013</w:t>
            </w:r>
          </w:p>
        </w:tc>
        <w:tc>
          <w:tcPr>
            <w:tcW w:w="3117" w:type="dxa"/>
            <w:vAlign w:val="bottom"/>
          </w:tcPr>
          <w:p w14:paraId="6EB6933D" w14:textId="77777777" w:rsidR="0006142D" w:rsidRPr="00E25909" w:rsidRDefault="0006142D" w:rsidP="001B41BD">
            <w:r w:rsidRPr="00E25909">
              <w:t>0.04</w:t>
            </w:r>
          </w:p>
        </w:tc>
        <w:tc>
          <w:tcPr>
            <w:tcW w:w="3117" w:type="dxa"/>
            <w:vAlign w:val="bottom"/>
          </w:tcPr>
          <w:p w14:paraId="6D3B8EE2" w14:textId="77777777" w:rsidR="0006142D" w:rsidRPr="00E25909" w:rsidRDefault="0006142D" w:rsidP="001B41BD">
            <w:r w:rsidRPr="00E25909">
              <w:t>0.1</w:t>
            </w:r>
          </w:p>
        </w:tc>
      </w:tr>
      <w:tr w:rsidR="0006142D" w14:paraId="5C1CDEE8" w14:textId="77777777" w:rsidTr="001B41BD">
        <w:tc>
          <w:tcPr>
            <w:tcW w:w="3116" w:type="dxa"/>
            <w:vAlign w:val="bottom"/>
          </w:tcPr>
          <w:p w14:paraId="19C912D5" w14:textId="77777777" w:rsidR="0006142D" w:rsidRPr="00E25909" w:rsidRDefault="0006142D" w:rsidP="001B41BD">
            <w:r w:rsidRPr="00E25909">
              <w:t>2014</w:t>
            </w:r>
          </w:p>
        </w:tc>
        <w:tc>
          <w:tcPr>
            <w:tcW w:w="3117" w:type="dxa"/>
            <w:vAlign w:val="bottom"/>
          </w:tcPr>
          <w:p w14:paraId="51E435D1" w14:textId="77777777" w:rsidR="0006142D" w:rsidRPr="00E25909" w:rsidRDefault="0006142D" w:rsidP="001B41BD">
            <w:r w:rsidRPr="00E25909">
              <w:t>0.08</w:t>
            </w:r>
          </w:p>
        </w:tc>
        <w:tc>
          <w:tcPr>
            <w:tcW w:w="3117" w:type="dxa"/>
            <w:vAlign w:val="bottom"/>
          </w:tcPr>
          <w:p w14:paraId="3AF174DC" w14:textId="77777777" w:rsidR="0006142D" w:rsidRPr="00E25909" w:rsidRDefault="0006142D" w:rsidP="001B41BD">
            <w:r w:rsidRPr="00E25909">
              <w:t>0.1</w:t>
            </w:r>
          </w:p>
        </w:tc>
      </w:tr>
      <w:tr w:rsidR="0006142D" w14:paraId="7719D05A" w14:textId="77777777" w:rsidTr="001B41BD">
        <w:tc>
          <w:tcPr>
            <w:tcW w:w="3116" w:type="dxa"/>
            <w:vAlign w:val="bottom"/>
          </w:tcPr>
          <w:p w14:paraId="5AA052F4" w14:textId="77777777" w:rsidR="0006142D" w:rsidRPr="00E25909" w:rsidRDefault="0006142D" w:rsidP="001B41BD">
            <w:r w:rsidRPr="00E25909">
              <w:t>2015</w:t>
            </w:r>
          </w:p>
        </w:tc>
        <w:tc>
          <w:tcPr>
            <w:tcW w:w="3117" w:type="dxa"/>
            <w:vAlign w:val="bottom"/>
          </w:tcPr>
          <w:p w14:paraId="539B5153" w14:textId="77777777" w:rsidR="0006142D" w:rsidRPr="00E25909" w:rsidRDefault="0006142D" w:rsidP="001B41BD">
            <w:r w:rsidRPr="00E25909">
              <w:t>0.10</w:t>
            </w:r>
          </w:p>
        </w:tc>
        <w:tc>
          <w:tcPr>
            <w:tcW w:w="3117" w:type="dxa"/>
            <w:vAlign w:val="bottom"/>
          </w:tcPr>
          <w:p w14:paraId="088BD292" w14:textId="77777777" w:rsidR="0006142D" w:rsidRPr="00E25909" w:rsidRDefault="0006142D" w:rsidP="001B41BD">
            <w:r w:rsidRPr="00E25909">
              <w:t>0.1</w:t>
            </w:r>
          </w:p>
        </w:tc>
      </w:tr>
      <w:tr w:rsidR="0006142D" w14:paraId="41017D9D" w14:textId="77777777" w:rsidTr="001B41BD">
        <w:tc>
          <w:tcPr>
            <w:tcW w:w="3116" w:type="dxa"/>
            <w:vAlign w:val="bottom"/>
          </w:tcPr>
          <w:p w14:paraId="345AF812" w14:textId="77777777" w:rsidR="0006142D" w:rsidRPr="00E25909" w:rsidRDefault="0006142D" w:rsidP="001B41BD">
            <w:r w:rsidRPr="00E25909">
              <w:t>2016</w:t>
            </w:r>
          </w:p>
        </w:tc>
        <w:tc>
          <w:tcPr>
            <w:tcW w:w="3117" w:type="dxa"/>
            <w:vAlign w:val="bottom"/>
          </w:tcPr>
          <w:p w14:paraId="20EB8942" w14:textId="77777777" w:rsidR="0006142D" w:rsidRPr="00E25909" w:rsidRDefault="0006142D" w:rsidP="001B41BD">
            <w:r w:rsidRPr="00E25909">
              <w:t>0.20</w:t>
            </w:r>
          </w:p>
        </w:tc>
        <w:tc>
          <w:tcPr>
            <w:tcW w:w="3117" w:type="dxa"/>
            <w:vAlign w:val="bottom"/>
          </w:tcPr>
          <w:p w14:paraId="06FD5DBB" w14:textId="77777777" w:rsidR="0006142D" w:rsidRPr="00E25909" w:rsidRDefault="0006142D" w:rsidP="001B41BD">
            <w:r w:rsidRPr="00E25909">
              <w:t>0.1</w:t>
            </w:r>
          </w:p>
        </w:tc>
      </w:tr>
      <w:tr w:rsidR="0006142D" w14:paraId="7F750DAC" w14:textId="77777777" w:rsidTr="001B41BD">
        <w:tc>
          <w:tcPr>
            <w:tcW w:w="3116" w:type="dxa"/>
            <w:vAlign w:val="bottom"/>
          </w:tcPr>
          <w:p w14:paraId="713CD017" w14:textId="77777777" w:rsidR="0006142D" w:rsidRPr="00E25909" w:rsidRDefault="0006142D" w:rsidP="001B41BD">
            <w:r w:rsidRPr="00E25909">
              <w:t>2017</w:t>
            </w:r>
          </w:p>
        </w:tc>
        <w:tc>
          <w:tcPr>
            <w:tcW w:w="3117" w:type="dxa"/>
            <w:vAlign w:val="bottom"/>
          </w:tcPr>
          <w:p w14:paraId="4507FD50" w14:textId="77777777" w:rsidR="0006142D" w:rsidRPr="00E25909" w:rsidRDefault="0006142D" w:rsidP="001B41BD">
            <w:r w:rsidRPr="00E25909">
              <w:t>0.26</w:t>
            </w:r>
          </w:p>
        </w:tc>
        <w:tc>
          <w:tcPr>
            <w:tcW w:w="3117" w:type="dxa"/>
            <w:vAlign w:val="bottom"/>
          </w:tcPr>
          <w:p w14:paraId="5E8DC2BF" w14:textId="77777777" w:rsidR="0006142D" w:rsidRPr="00E25909" w:rsidRDefault="0006142D" w:rsidP="001B41BD">
            <w:r w:rsidRPr="00E25909">
              <w:t>0.1</w:t>
            </w:r>
          </w:p>
        </w:tc>
      </w:tr>
      <w:tr w:rsidR="0006142D" w14:paraId="42FA9A32" w14:textId="77777777" w:rsidTr="001B41BD">
        <w:tc>
          <w:tcPr>
            <w:tcW w:w="3116" w:type="dxa"/>
            <w:vAlign w:val="bottom"/>
          </w:tcPr>
          <w:p w14:paraId="489A7C17" w14:textId="77777777" w:rsidR="0006142D" w:rsidRPr="00E25909" w:rsidRDefault="0006142D" w:rsidP="001B41BD">
            <w:r w:rsidRPr="00E25909">
              <w:t>2018</w:t>
            </w:r>
          </w:p>
        </w:tc>
        <w:tc>
          <w:tcPr>
            <w:tcW w:w="3117" w:type="dxa"/>
            <w:vAlign w:val="bottom"/>
          </w:tcPr>
          <w:p w14:paraId="69975AE4" w14:textId="77777777" w:rsidR="0006142D" w:rsidRPr="00E25909" w:rsidRDefault="0006142D" w:rsidP="001B41BD">
            <w:r w:rsidRPr="00E25909">
              <w:t>0.28</w:t>
            </w:r>
          </w:p>
        </w:tc>
        <w:tc>
          <w:tcPr>
            <w:tcW w:w="3117" w:type="dxa"/>
            <w:vAlign w:val="bottom"/>
          </w:tcPr>
          <w:p w14:paraId="6E86C32D" w14:textId="77777777" w:rsidR="0006142D" w:rsidRPr="00E25909" w:rsidRDefault="0006142D" w:rsidP="001B41BD">
            <w:r w:rsidRPr="00E25909">
              <w:t>0.1</w:t>
            </w:r>
          </w:p>
        </w:tc>
      </w:tr>
      <w:tr w:rsidR="0006142D" w14:paraId="6F749AF7" w14:textId="77777777" w:rsidTr="001B41BD">
        <w:tc>
          <w:tcPr>
            <w:tcW w:w="3116" w:type="dxa"/>
            <w:vAlign w:val="bottom"/>
          </w:tcPr>
          <w:p w14:paraId="22FA4BF4" w14:textId="77777777" w:rsidR="0006142D" w:rsidRPr="00E25909" w:rsidRDefault="0006142D" w:rsidP="001B41BD">
            <w:r w:rsidRPr="00E25909">
              <w:t>2019</w:t>
            </w:r>
          </w:p>
        </w:tc>
        <w:tc>
          <w:tcPr>
            <w:tcW w:w="3117" w:type="dxa"/>
            <w:vAlign w:val="bottom"/>
          </w:tcPr>
          <w:p w14:paraId="774096AB" w14:textId="77777777" w:rsidR="0006142D" w:rsidRPr="00E25909" w:rsidRDefault="0006142D" w:rsidP="001B41BD">
            <w:r w:rsidRPr="00E25909">
              <w:t>0.17</w:t>
            </w:r>
          </w:p>
        </w:tc>
        <w:tc>
          <w:tcPr>
            <w:tcW w:w="3117" w:type="dxa"/>
            <w:vAlign w:val="bottom"/>
          </w:tcPr>
          <w:p w14:paraId="03E125D2" w14:textId="77777777" w:rsidR="0006142D" w:rsidRPr="00E25909" w:rsidRDefault="0006142D" w:rsidP="001B41BD">
            <w:r w:rsidRPr="00E25909">
              <w:t>0.1</w:t>
            </w:r>
          </w:p>
        </w:tc>
      </w:tr>
      <w:tr w:rsidR="0006142D" w14:paraId="4506F5DC" w14:textId="77777777" w:rsidTr="001B41BD">
        <w:tc>
          <w:tcPr>
            <w:tcW w:w="3116" w:type="dxa"/>
            <w:vAlign w:val="bottom"/>
          </w:tcPr>
          <w:p w14:paraId="6769DFFA" w14:textId="77777777" w:rsidR="0006142D" w:rsidRPr="00E25909" w:rsidRDefault="0006142D" w:rsidP="001B41BD">
            <w:r w:rsidRPr="00E25909">
              <w:t>2020</w:t>
            </w:r>
          </w:p>
        </w:tc>
        <w:tc>
          <w:tcPr>
            <w:tcW w:w="3117" w:type="dxa"/>
            <w:vAlign w:val="bottom"/>
          </w:tcPr>
          <w:p w14:paraId="63C26963" w14:textId="77777777" w:rsidR="0006142D" w:rsidRPr="00E25909" w:rsidRDefault="0006142D" w:rsidP="001B41BD">
            <w:r w:rsidRPr="00E25909">
              <w:t>0.13</w:t>
            </w:r>
          </w:p>
        </w:tc>
        <w:tc>
          <w:tcPr>
            <w:tcW w:w="3117" w:type="dxa"/>
            <w:vAlign w:val="bottom"/>
          </w:tcPr>
          <w:p w14:paraId="3451E690" w14:textId="77777777" w:rsidR="0006142D" w:rsidRPr="00E25909" w:rsidRDefault="0006142D" w:rsidP="001B41BD">
            <w:r w:rsidRPr="00E25909">
              <w:t>0.1</w:t>
            </w:r>
          </w:p>
        </w:tc>
      </w:tr>
    </w:tbl>
    <w:p w14:paraId="3712C0B4" w14:textId="77777777" w:rsidR="0006142D" w:rsidRPr="00E25909" w:rsidRDefault="0006142D" w:rsidP="0006142D">
      <w:r w:rsidRPr="00E25909">
        <w:t xml:space="preserve">Source: SC DHEC SCION, January 18, 2023. </w:t>
      </w:r>
    </w:p>
    <w:p w14:paraId="657793AD" w14:textId="77777777" w:rsidR="0006142D" w:rsidRDefault="0006142D" w:rsidP="0006142D">
      <w:r w:rsidRPr="00E25909">
        <w:t>Note: All data provisional.</w:t>
      </w:r>
    </w:p>
    <w:p w14:paraId="04A8A0FB" w14:textId="77777777" w:rsidR="0006142D" w:rsidRDefault="0006142D" w:rsidP="0006142D">
      <w:pPr>
        <w:pStyle w:val="Heading4"/>
      </w:pPr>
      <w:bookmarkStart w:id="915" w:name="_Toc154576558"/>
    </w:p>
    <w:p w14:paraId="37694F55" w14:textId="090AF6BF" w:rsidR="0006142D" w:rsidRDefault="0006142D" w:rsidP="0006142D">
      <w:pPr>
        <w:pStyle w:val="Heading4"/>
      </w:pPr>
      <w:bookmarkStart w:id="916" w:name="_Toc162267619"/>
      <w:r w:rsidRPr="00E85F02">
        <w:t>Figure 9.</w:t>
      </w:r>
      <w:r>
        <w:t>75</w:t>
      </w:r>
      <w:r w:rsidRPr="00E85F02">
        <w:t xml:space="preserve">: </w:t>
      </w:r>
      <w:r>
        <w:t>New Cases of Chronic Hepatitis C.</w:t>
      </w:r>
      <w:bookmarkEnd w:id="915"/>
      <w:bookmarkEnd w:id="916"/>
    </w:p>
    <w:p w14:paraId="5E15308A" w14:textId="77777777" w:rsidR="0006142D" w:rsidRDefault="0006142D" w:rsidP="0006142D">
      <w:pPr>
        <w:pStyle w:val="Heading5"/>
      </w:pPr>
      <w:r>
        <w:t>Rate per 100,000 population.</w:t>
      </w:r>
    </w:p>
    <w:tbl>
      <w:tblPr>
        <w:tblStyle w:val="TableGrid"/>
        <w:tblW w:w="0" w:type="auto"/>
        <w:tblLook w:val="04A0" w:firstRow="1" w:lastRow="0" w:firstColumn="1" w:lastColumn="0" w:noHBand="0" w:noVBand="1"/>
      </w:tblPr>
      <w:tblGrid>
        <w:gridCol w:w="4675"/>
        <w:gridCol w:w="4675"/>
      </w:tblGrid>
      <w:tr w:rsidR="0006142D" w14:paraId="5CAE2823" w14:textId="77777777" w:rsidTr="001B41BD">
        <w:tc>
          <w:tcPr>
            <w:tcW w:w="4675" w:type="dxa"/>
            <w:vAlign w:val="bottom"/>
          </w:tcPr>
          <w:p w14:paraId="6DF414F7" w14:textId="77777777" w:rsidR="0006142D" w:rsidRPr="00E25909" w:rsidRDefault="0006142D" w:rsidP="001B41BD">
            <w:r w:rsidRPr="00E25909">
              <w:t>Year</w:t>
            </w:r>
          </w:p>
        </w:tc>
        <w:tc>
          <w:tcPr>
            <w:tcW w:w="4675" w:type="dxa"/>
            <w:vAlign w:val="bottom"/>
          </w:tcPr>
          <w:p w14:paraId="47D54B14" w14:textId="77777777" w:rsidR="0006142D" w:rsidRPr="00E25909" w:rsidRDefault="0006142D" w:rsidP="001B41BD">
            <w:r>
              <w:t>Rate</w:t>
            </w:r>
          </w:p>
        </w:tc>
      </w:tr>
      <w:tr w:rsidR="0006142D" w14:paraId="0C74D786" w14:textId="77777777" w:rsidTr="001B41BD">
        <w:tc>
          <w:tcPr>
            <w:tcW w:w="4675" w:type="dxa"/>
            <w:vAlign w:val="bottom"/>
          </w:tcPr>
          <w:p w14:paraId="2046B9CF" w14:textId="77777777" w:rsidR="0006142D" w:rsidRPr="00E25909" w:rsidRDefault="0006142D" w:rsidP="001B41BD">
            <w:r w:rsidRPr="00E25909">
              <w:rPr>
                <w:color w:val="000000"/>
              </w:rPr>
              <w:t>2011</w:t>
            </w:r>
          </w:p>
        </w:tc>
        <w:tc>
          <w:tcPr>
            <w:tcW w:w="4675" w:type="dxa"/>
            <w:vAlign w:val="bottom"/>
          </w:tcPr>
          <w:p w14:paraId="5452EDAD" w14:textId="77777777" w:rsidR="0006142D" w:rsidRPr="00E25909" w:rsidRDefault="0006142D" w:rsidP="001B41BD">
            <w:r w:rsidRPr="00E25909">
              <w:rPr>
                <w:color w:val="000000"/>
              </w:rPr>
              <w:t>71.1</w:t>
            </w:r>
          </w:p>
        </w:tc>
      </w:tr>
      <w:tr w:rsidR="0006142D" w14:paraId="19C8F3F0" w14:textId="77777777" w:rsidTr="001B41BD">
        <w:tc>
          <w:tcPr>
            <w:tcW w:w="4675" w:type="dxa"/>
            <w:vAlign w:val="bottom"/>
          </w:tcPr>
          <w:p w14:paraId="797CE2B4" w14:textId="77777777" w:rsidR="0006142D" w:rsidRPr="00E25909" w:rsidRDefault="0006142D" w:rsidP="001B41BD">
            <w:r w:rsidRPr="00E25909">
              <w:rPr>
                <w:color w:val="000000"/>
              </w:rPr>
              <w:t>2012</w:t>
            </w:r>
          </w:p>
        </w:tc>
        <w:tc>
          <w:tcPr>
            <w:tcW w:w="4675" w:type="dxa"/>
            <w:vAlign w:val="bottom"/>
          </w:tcPr>
          <w:p w14:paraId="471207FB" w14:textId="77777777" w:rsidR="0006142D" w:rsidRPr="00E25909" w:rsidRDefault="0006142D" w:rsidP="001B41BD">
            <w:r w:rsidRPr="00E25909">
              <w:rPr>
                <w:color w:val="000000"/>
              </w:rPr>
              <w:t>71.0</w:t>
            </w:r>
          </w:p>
        </w:tc>
      </w:tr>
      <w:tr w:rsidR="0006142D" w14:paraId="67960F98" w14:textId="77777777" w:rsidTr="001B41BD">
        <w:tc>
          <w:tcPr>
            <w:tcW w:w="4675" w:type="dxa"/>
            <w:vAlign w:val="bottom"/>
          </w:tcPr>
          <w:p w14:paraId="4D430A2A" w14:textId="77777777" w:rsidR="0006142D" w:rsidRPr="00E25909" w:rsidRDefault="0006142D" w:rsidP="001B41BD">
            <w:r w:rsidRPr="00E25909">
              <w:rPr>
                <w:color w:val="000000"/>
              </w:rPr>
              <w:t>2013</w:t>
            </w:r>
          </w:p>
        </w:tc>
        <w:tc>
          <w:tcPr>
            <w:tcW w:w="4675" w:type="dxa"/>
            <w:vAlign w:val="bottom"/>
          </w:tcPr>
          <w:p w14:paraId="1FE9CE24" w14:textId="77777777" w:rsidR="0006142D" w:rsidRPr="00E25909" w:rsidRDefault="0006142D" w:rsidP="001B41BD">
            <w:r w:rsidRPr="00E25909">
              <w:rPr>
                <w:color w:val="000000"/>
              </w:rPr>
              <w:t>68.5</w:t>
            </w:r>
          </w:p>
        </w:tc>
      </w:tr>
      <w:tr w:rsidR="0006142D" w14:paraId="73F9FDCB" w14:textId="77777777" w:rsidTr="001B41BD">
        <w:tc>
          <w:tcPr>
            <w:tcW w:w="4675" w:type="dxa"/>
            <w:vAlign w:val="bottom"/>
          </w:tcPr>
          <w:p w14:paraId="02E1363B" w14:textId="77777777" w:rsidR="0006142D" w:rsidRPr="00E25909" w:rsidRDefault="0006142D" w:rsidP="001B41BD">
            <w:r w:rsidRPr="00E25909">
              <w:rPr>
                <w:color w:val="000000"/>
              </w:rPr>
              <w:t>2014</w:t>
            </w:r>
          </w:p>
        </w:tc>
        <w:tc>
          <w:tcPr>
            <w:tcW w:w="4675" w:type="dxa"/>
            <w:vAlign w:val="bottom"/>
          </w:tcPr>
          <w:p w14:paraId="14EA1A27" w14:textId="77777777" w:rsidR="0006142D" w:rsidRPr="00E25909" w:rsidRDefault="0006142D" w:rsidP="001B41BD">
            <w:r w:rsidRPr="00E25909">
              <w:rPr>
                <w:color w:val="000000"/>
              </w:rPr>
              <w:t>72.3</w:t>
            </w:r>
          </w:p>
        </w:tc>
      </w:tr>
      <w:tr w:rsidR="0006142D" w14:paraId="78439488" w14:textId="77777777" w:rsidTr="001B41BD">
        <w:tc>
          <w:tcPr>
            <w:tcW w:w="4675" w:type="dxa"/>
            <w:vAlign w:val="bottom"/>
          </w:tcPr>
          <w:p w14:paraId="588A4B5B" w14:textId="77777777" w:rsidR="0006142D" w:rsidRPr="00E25909" w:rsidRDefault="0006142D" w:rsidP="001B41BD">
            <w:r w:rsidRPr="00E25909">
              <w:rPr>
                <w:color w:val="000000"/>
              </w:rPr>
              <w:t>2015</w:t>
            </w:r>
          </w:p>
        </w:tc>
        <w:tc>
          <w:tcPr>
            <w:tcW w:w="4675" w:type="dxa"/>
            <w:vAlign w:val="bottom"/>
          </w:tcPr>
          <w:p w14:paraId="4C79D094" w14:textId="77777777" w:rsidR="0006142D" w:rsidRPr="00E25909" w:rsidRDefault="0006142D" w:rsidP="001B41BD">
            <w:r w:rsidRPr="00E25909">
              <w:rPr>
                <w:color w:val="000000"/>
              </w:rPr>
              <w:t>87.2</w:t>
            </w:r>
          </w:p>
        </w:tc>
      </w:tr>
      <w:tr w:rsidR="0006142D" w14:paraId="2F7B5130" w14:textId="77777777" w:rsidTr="001B41BD">
        <w:tc>
          <w:tcPr>
            <w:tcW w:w="4675" w:type="dxa"/>
            <w:vAlign w:val="bottom"/>
          </w:tcPr>
          <w:p w14:paraId="53A60C48" w14:textId="77777777" w:rsidR="0006142D" w:rsidRPr="00E25909" w:rsidRDefault="0006142D" w:rsidP="001B41BD">
            <w:r w:rsidRPr="00E25909">
              <w:rPr>
                <w:color w:val="000000"/>
              </w:rPr>
              <w:t>2016</w:t>
            </w:r>
          </w:p>
        </w:tc>
        <w:tc>
          <w:tcPr>
            <w:tcW w:w="4675" w:type="dxa"/>
            <w:vAlign w:val="bottom"/>
          </w:tcPr>
          <w:p w14:paraId="24320F22" w14:textId="77777777" w:rsidR="0006142D" w:rsidRPr="00E25909" w:rsidRDefault="0006142D" w:rsidP="001B41BD">
            <w:r w:rsidRPr="00E25909">
              <w:rPr>
                <w:color w:val="000000"/>
              </w:rPr>
              <w:t>71.7</w:t>
            </w:r>
          </w:p>
        </w:tc>
      </w:tr>
      <w:tr w:rsidR="0006142D" w14:paraId="6D6FD76B" w14:textId="77777777" w:rsidTr="001B41BD">
        <w:tc>
          <w:tcPr>
            <w:tcW w:w="4675" w:type="dxa"/>
            <w:vAlign w:val="bottom"/>
          </w:tcPr>
          <w:p w14:paraId="28E65D01" w14:textId="77777777" w:rsidR="0006142D" w:rsidRPr="00E25909" w:rsidRDefault="0006142D" w:rsidP="001B41BD">
            <w:r w:rsidRPr="00E25909">
              <w:rPr>
                <w:color w:val="000000"/>
              </w:rPr>
              <w:t>2017</w:t>
            </w:r>
          </w:p>
        </w:tc>
        <w:tc>
          <w:tcPr>
            <w:tcW w:w="4675" w:type="dxa"/>
            <w:vAlign w:val="bottom"/>
          </w:tcPr>
          <w:p w14:paraId="288ABC8B" w14:textId="77777777" w:rsidR="0006142D" w:rsidRPr="00E25909" w:rsidRDefault="0006142D" w:rsidP="001B41BD">
            <w:r w:rsidRPr="00E25909">
              <w:rPr>
                <w:color w:val="000000"/>
              </w:rPr>
              <w:t>75.2</w:t>
            </w:r>
          </w:p>
        </w:tc>
      </w:tr>
      <w:tr w:rsidR="0006142D" w14:paraId="50E850DD" w14:textId="77777777" w:rsidTr="001B41BD">
        <w:tc>
          <w:tcPr>
            <w:tcW w:w="4675" w:type="dxa"/>
            <w:vAlign w:val="bottom"/>
          </w:tcPr>
          <w:p w14:paraId="76A8032D" w14:textId="77777777" w:rsidR="0006142D" w:rsidRPr="00E25909" w:rsidRDefault="0006142D" w:rsidP="001B41BD">
            <w:r w:rsidRPr="00E25909">
              <w:rPr>
                <w:color w:val="000000"/>
              </w:rPr>
              <w:t>2018</w:t>
            </w:r>
          </w:p>
        </w:tc>
        <w:tc>
          <w:tcPr>
            <w:tcW w:w="4675" w:type="dxa"/>
            <w:vAlign w:val="bottom"/>
          </w:tcPr>
          <w:p w14:paraId="268ED75A" w14:textId="77777777" w:rsidR="0006142D" w:rsidRPr="00E25909" w:rsidRDefault="0006142D" w:rsidP="001B41BD">
            <w:r w:rsidRPr="00E25909">
              <w:rPr>
                <w:color w:val="000000"/>
              </w:rPr>
              <w:t>67.5</w:t>
            </w:r>
          </w:p>
        </w:tc>
      </w:tr>
      <w:tr w:rsidR="0006142D" w14:paraId="655CE2F1" w14:textId="77777777" w:rsidTr="001B41BD">
        <w:tc>
          <w:tcPr>
            <w:tcW w:w="4675" w:type="dxa"/>
            <w:vAlign w:val="bottom"/>
          </w:tcPr>
          <w:p w14:paraId="7B731ED3" w14:textId="77777777" w:rsidR="0006142D" w:rsidRPr="00E25909" w:rsidRDefault="0006142D" w:rsidP="001B41BD">
            <w:r w:rsidRPr="00E25909">
              <w:rPr>
                <w:color w:val="000000"/>
              </w:rPr>
              <w:t>2019</w:t>
            </w:r>
          </w:p>
        </w:tc>
        <w:tc>
          <w:tcPr>
            <w:tcW w:w="4675" w:type="dxa"/>
            <w:vAlign w:val="bottom"/>
          </w:tcPr>
          <w:p w14:paraId="0A727E1D" w14:textId="77777777" w:rsidR="0006142D" w:rsidRPr="00E25909" w:rsidRDefault="0006142D" w:rsidP="001B41BD">
            <w:r w:rsidRPr="00E25909">
              <w:rPr>
                <w:color w:val="000000"/>
              </w:rPr>
              <w:t>75.9</w:t>
            </w:r>
          </w:p>
        </w:tc>
      </w:tr>
      <w:tr w:rsidR="0006142D" w14:paraId="7AE77B7B" w14:textId="77777777" w:rsidTr="001B41BD">
        <w:tc>
          <w:tcPr>
            <w:tcW w:w="4675" w:type="dxa"/>
            <w:vAlign w:val="bottom"/>
          </w:tcPr>
          <w:p w14:paraId="377B3189" w14:textId="77777777" w:rsidR="0006142D" w:rsidRPr="00E25909" w:rsidRDefault="0006142D" w:rsidP="001B41BD">
            <w:r w:rsidRPr="00E25909">
              <w:rPr>
                <w:color w:val="000000"/>
              </w:rPr>
              <w:t>2020</w:t>
            </w:r>
          </w:p>
        </w:tc>
        <w:tc>
          <w:tcPr>
            <w:tcW w:w="4675" w:type="dxa"/>
            <w:vAlign w:val="bottom"/>
          </w:tcPr>
          <w:p w14:paraId="0C282386" w14:textId="77777777" w:rsidR="0006142D" w:rsidRPr="00E25909" w:rsidRDefault="0006142D" w:rsidP="001B41BD">
            <w:r w:rsidRPr="00E25909">
              <w:rPr>
                <w:color w:val="000000"/>
              </w:rPr>
              <w:t>53.7</w:t>
            </w:r>
          </w:p>
        </w:tc>
      </w:tr>
    </w:tbl>
    <w:p w14:paraId="1D79198B" w14:textId="77777777" w:rsidR="0006142D" w:rsidRPr="00E25909" w:rsidRDefault="0006142D" w:rsidP="0006142D">
      <w:r w:rsidRPr="00E25909">
        <w:t xml:space="preserve">Source: SC DHEC SCION, January 18, 2023. </w:t>
      </w:r>
    </w:p>
    <w:p w14:paraId="49D5A6B6" w14:textId="77777777" w:rsidR="0006142D" w:rsidRDefault="0006142D" w:rsidP="0006142D">
      <w:r w:rsidRPr="00E25909">
        <w:t>Note: All data provisional.</w:t>
      </w:r>
    </w:p>
    <w:p w14:paraId="5E225650" w14:textId="77777777" w:rsidR="0006142D" w:rsidRDefault="0006142D" w:rsidP="0006142D">
      <w:pPr>
        <w:rPr>
          <w:b/>
          <w:bCs/>
        </w:rPr>
      </w:pPr>
    </w:p>
    <w:p w14:paraId="098DFCD3" w14:textId="77777777" w:rsidR="0006142D" w:rsidRDefault="0006142D" w:rsidP="0006142D">
      <w:pPr>
        <w:pStyle w:val="Heading4"/>
      </w:pPr>
      <w:bookmarkStart w:id="917" w:name="_Toc162267620"/>
      <w:r w:rsidRPr="0006142D">
        <w:lastRenderedPageBreak/>
        <w:t>Data Interpretations:</w:t>
      </w:r>
      <w:bookmarkEnd w:id="917"/>
      <w:r w:rsidRPr="0006142D">
        <w:t xml:space="preserve"> </w:t>
      </w:r>
    </w:p>
    <w:p w14:paraId="28C0B862" w14:textId="78F515CD" w:rsidR="0006142D" w:rsidRPr="0006142D" w:rsidRDefault="0006142D" w:rsidP="0006142D">
      <w:r w:rsidRPr="0006142D">
        <w:t>In SC in 2020, 0.13 cases per 100,000 individuals were diagnosed with acute hepatitis C, compared to 0.28 reported in 2018 (</w:t>
      </w:r>
      <w:r w:rsidRPr="0006142D">
        <w:rPr>
          <w:b/>
          <w:bCs/>
        </w:rPr>
        <w:t>Figure 9.74</w:t>
      </w:r>
      <w:r w:rsidRPr="0006142D">
        <w:t>). SC has not achieved the Healthy People 2030 goal of 0.1 cases per 100,000 population new cases of acute hepatitis C. In 2020, newly reported chronic hepatitis C infections were most common in the 20-39 and 55-70 age, trend consistent with national reports.</w:t>
      </w:r>
      <w:r>
        <w:rPr>
          <w:b/>
          <w:bCs/>
        </w:rPr>
        <w:t xml:space="preserve"> </w:t>
      </w:r>
      <w:r w:rsidRPr="0006142D">
        <w:t>SC reported a case rate of 54 cases per 100,000 individuals in 2020 (</w:t>
      </w:r>
      <w:r w:rsidRPr="0006142D">
        <w:rPr>
          <w:b/>
          <w:bCs/>
        </w:rPr>
        <w:t>Figure 9.75</w:t>
      </w:r>
      <w:r w:rsidRPr="0006142D">
        <w:t>).</w:t>
      </w:r>
    </w:p>
    <w:p w14:paraId="0BEDCC19" w14:textId="77777777" w:rsidR="0006142D" w:rsidRDefault="0006142D" w:rsidP="0006142D"/>
    <w:p w14:paraId="6714B7A5" w14:textId="6D525E05" w:rsidR="0006142D" w:rsidRDefault="0006142D" w:rsidP="0006142D">
      <w:r w:rsidRPr="0006142D">
        <w:t>During 2019, national rates of acute hepatitis C were highest among persons aged 20-49 years, males, American Indian/Alaskan Native persons, and those living in the southern and midwestern US. The national geographic distribution of hepatitis C correlates with the geographic distribution of fatal overdose.</w:t>
      </w:r>
    </w:p>
    <w:p w14:paraId="02029981" w14:textId="77777777" w:rsidR="0006142D" w:rsidRDefault="0006142D" w:rsidP="0006142D"/>
    <w:p w14:paraId="7545B936" w14:textId="77777777" w:rsidR="0006142D" w:rsidRDefault="0006142D" w:rsidP="0006142D">
      <w:pPr>
        <w:pStyle w:val="Heading5"/>
      </w:pPr>
      <w:r w:rsidRPr="0030357E">
        <w:t xml:space="preserve">Key Takeaways: </w:t>
      </w:r>
    </w:p>
    <w:p w14:paraId="49964C1B" w14:textId="77777777" w:rsidR="0006142D" w:rsidRPr="0006142D" w:rsidRDefault="0006142D" w:rsidP="00926EB3">
      <w:pPr>
        <w:pStyle w:val="ListParagraph"/>
        <w:numPr>
          <w:ilvl w:val="0"/>
          <w:numId w:val="228"/>
        </w:numPr>
      </w:pPr>
      <w:r w:rsidRPr="0006142D">
        <w:t>Most people with hepatitis C do not know they are infected. Since many people can live with hepatitis C for decades without symptoms or feeling sick; testing is critical so those who are infected can get treated and cured. Current treatments usually involve just eight to 12 weeks of oral therapy (pills</w:t>
      </w:r>
      <w:proofErr w:type="gramStart"/>
      <w:r w:rsidRPr="0006142D">
        <w:t>)</w:t>
      </w:r>
      <w:proofErr w:type="gramEnd"/>
      <w:r w:rsidRPr="0006142D">
        <w:t xml:space="preserve"> and cure rates are over 90% with few side effects.</w:t>
      </w:r>
    </w:p>
    <w:p w14:paraId="54B05EE3" w14:textId="77777777" w:rsidR="0006142D" w:rsidRDefault="0006142D" w:rsidP="0006142D"/>
    <w:p w14:paraId="6F338968" w14:textId="1769D431" w:rsidR="0006142D" w:rsidRPr="00474B85" w:rsidRDefault="0006142D" w:rsidP="0006142D">
      <w:pPr>
        <w:pStyle w:val="Heading4"/>
        <w:rPr>
          <w:rFonts w:asciiTheme="minorHAnsi" w:hAnsiTheme="minorHAnsi" w:cstheme="minorHAnsi"/>
          <w:color w:val="000000" w:themeColor="text1"/>
        </w:rPr>
      </w:pPr>
      <w:bookmarkStart w:id="918" w:name="_Toc162267621"/>
      <w:r w:rsidRPr="00474B85">
        <w:rPr>
          <w:rFonts w:asciiTheme="minorHAnsi" w:hAnsiTheme="minorHAnsi" w:cstheme="minorHAnsi"/>
          <w:color w:val="000000" w:themeColor="text1"/>
        </w:rPr>
        <w:t>References 9.</w:t>
      </w:r>
      <w:r>
        <w:rPr>
          <w:rFonts w:asciiTheme="minorHAnsi" w:hAnsiTheme="minorHAnsi" w:cstheme="minorHAnsi"/>
          <w:color w:val="000000" w:themeColor="text1"/>
        </w:rPr>
        <w:t>29</w:t>
      </w:r>
      <w:bookmarkEnd w:id="918"/>
      <w:r>
        <w:rPr>
          <w:rFonts w:asciiTheme="minorHAnsi" w:hAnsiTheme="minorHAnsi" w:cstheme="minorHAnsi"/>
          <w:color w:val="000000" w:themeColor="text1"/>
        </w:rPr>
        <w:t xml:space="preserve"> </w:t>
      </w:r>
    </w:p>
    <w:p w14:paraId="272B3C7D" w14:textId="77777777" w:rsidR="0006142D" w:rsidRDefault="0006142D" w:rsidP="0006142D">
      <w:r w:rsidRPr="00474B85">
        <w:t>Statistics in the preceding section were referenced from the following reports:</w:t>
      </w:r>
    </w:p>
    <w:p w14:paraId="6891062A" w14:textId="69FA4263" w:rsidR="006449E8" w:rsidRPr="006449E8" w:rsidRDefault="00000000" w:rsidP="00926EB3">
      <w:pPr>
        <w:pStyle w:val="ListParagraph"/>
        <w:numPr>
          <w:ilvl w:val="0"/>
          <w:numId w:val="192"/>
        </w:numPr>
      </w:pPr>
      <w:hyperlink r:id="rId412" w:history="1">
        <w:r w:rsidR="006449E8" w:rsidRPr="006449E8">
          <w:rPr>
            <w:rStyle w:val="Hyperlink"/>
          </w:rPr>
          <w:t>“Hepatitis C Questions and Answers for Health Professionals” by the Centers for Disease Control and Prevention via cdc.gov, 2022. Retrieved January 17, 2023.</w:t>
        </w:r>
      </w:hyperlink>
    </w:p>
    <w:p w14:paraId="1EA671E5" w14:textId="76A0F1D1" w:rsidR="006449E8" w:rsidRPr="006449E8" w:rsidRDefault="00000000" w:rsidP="00926EB3">
      <w:pPr>
        <w:pStyle w:val="ListParagraph"/>
        <w:numPr>
          <w:ilvl w:val="0"/>
          <w:numId w:val="192"/>
        </w:numPr>
      </w:pPr>
      <w:hyperlink r:id="rId413" w:history="1">
        <w:r w:rsidR="006449E8" w:rsidRPr="006449E8">
          <w:rPr>
            <w:rStyle w:val="Hyperlink"/>
          </w:rPr>
          <w:t>“2020 viral hepatitis surveillance report” by the. Centers for Disease Control and Prevention via cdc.gov, 2022. Retrieved January 17, 2023.</w:t>
        </w:r>
      </w:hyperlink>
    </w:p>
    <w:p w14:paraId="7C6DE292" w14:textId="77777777" w:rsidR="0006142D" w:rsidRDefault="0006142D" w:rsidP="0006142D"/>
    <w:p w14:paraId="02DBFC80" w14:textId="77777777" w:rsidR="006449E8" w:rsidRDefault="006449E8" w:rsidP="0006142D"/>
    <w:p w14:paraId="122343E6" w14:textId="77777777" w:rsidR="0006142D" w:rsidRPr="0006142D" w:rsidRDefault="0006142D" w:rsidP="0006142D">
      <w:pPr>
        <w:pStyle w:val="Heading3"/>
      </w:pPr>
      <w:bookmarkStart w:id="919" w:name="_Toc162267622"/>
      <w:r w:rsidRPr="0006142D">
        <w:t>HIV/AIDS</w:t>
      </w:r>
      <w:bookmarkEnd w:id="919"/>
    </w:p>
    <w:p w14:paraId="0A59FFA3" w14:textId="1958E61A" w:rsidR="0006142D" w:rsidRDefault="0006142D" w:rsidP="0006142D">
      <w:r w:rsidRPr="0006142D">
        <w:t>According to CDC HIV surveillance data, there are approximately 1.2 million people living with HIV (PWH) in the US. Thirteen percent of those living with HIV are not aware of their HIV status, and therefore not taking advantage of available treatment and prevention interventions. As a result, in 2019, an estimated 32,100 new HIV diagnoses occurred. The majority of those (70%) were in men who have sex with men (MSM). HIV can also be transmitted through heterosexual sex, sharing needles, syringes, or other drug injection equipment, as well as a mother-</w:t>
      </w:r>
      <w:r w:rsidRPr="0006142D">
        <w:lastRenderedPageBreak/>
        <w:t>to-child transmission through breast milk. Due to advances in HIV/AIDS medical research, there has been a 12% decline in new HIV diagnoses from 2017 (36,500 cases) to 2021 (32,100), and an overall 52% decrease in HIV deaths for PWH from 2010 to 2021</w:t>
      </w:r>
      <w:r>
        <w:t xml:space="preserve">. </w:t>
      </w:r>
      <w:r w:rsidRPr="0006142D">
        <w:t>The drivers of HIV transmission in SC mimic US national transmission patterns, predominantly influenced by sexual exposure among MSM, heterosexuals, and people who inject drugs (PWID).</w:t>
      </w:r>
    </w:p>
    <w:p w14:paraId="447E726E" w14:textId="77777777" w:rsidR="0006142D" w:rsidRDefault="0006142D" w:rsidP="0006142D">
      <w:pPr>
        <w:pStyle w:val="Heading4"/>
      </w:pPr>
      <w:bookmarkStart w:id="920" w:name="_Toc154576559"/>
    </w:p>
    <w:p w14:paraId="56535C60" w14:textId="451B5451" w:rsidR="0006142D" w:rsidRDefault="0006142D" w:rsidP="0006142D">
      <w:pPr>
        <w:pStyle w:val="Heading4"/>
      </w:pPr>
      <w:bookmarkStart w:id="921" w:name="_Toc162267623"/>
      <w:r w:rsidRPr="00E85F02">
        <w:t>Figure 9.</w:t>
      </w:r>
      <w:r>
        <w:t>76</w:t>
      </w:r>
      <w:r w:rsidRPr="00E85F02">
        <w:t xml:space="preserve">: </w:t>
      </w:r>
      <w:r>
        <w:t>HIV/AIDS Incidence, Prevalence and Deaths.</w:t>
      </w:r>
      <w:bookmarkEnd w:id="920"/>
      <w:bookmarkEnd w:id="921"/>
    </w:p>
    <w:tbl>
      <w:tblPr>
        <w:tblStyle w:val="TableGrid"/>
        <w:tblW w:w="0" w:type="auto"/>
        <w:tblLook w:val="04A0" w:firstRow="1" w:lastRow="0" w:firstColumn="1" w:lastColumn="0" w:noHBand="0" w:noVBand="1"/>
      </w:tblPr>
      <w:tblGrid>
        <w:gridCol w:w="2337"/>
        <w:gridCol w:w="2337"/>
        <w:gridCol w:w="2338"/>
        <w:gridCol w:w="2338"/>
      </w:tblGrid>
      <w:tr w:rsidR="0006142D" w14:paraId="5A85ACDA" w14:textId="77777777" w:rsidTr="001B41BD">
        <w:tc>
          <w:tcPr>
            <w:tcW w:w="2337" w:type="dxa"/>
          </w:tcPr>
          <w:p w14:paraId="570BA3FE" w14:textId="77777777" w:rsidR="0006142D" w:rsidRDefault="0006142D" w:rsidP="001B41BD">
            <w:r>
              <w:t>Year</w:t>
            </w:r>
          </w:p>
        </w:tc>
        <w:tc>
          <w:tcPr>
            <w:tcW w:w="2337" w:type="dxa"/>
          </w:tcPr>
          <w:p w14:paraId="749F2E4C" w14:textId="77777777" w:rsidR="0006142D" w:rsidRDefault="0006142D" w:rsidP="001B41BD">
            <w:r>
              <w:t>Incidence</w:t>
            </w:r>
          </w:p>
        </w:tc>
        <w:tc>
          <w:tcPr>
            <w:tcW w:w="2338" w:type="dxa"/>
          </w:tcPr>
          <w:p w14:paraId="19C01073" w14:textId="77777777" w:rsidR="0006142D" w:rsidRDefault="0006142D" w:rsidP="001B41BD">
            <w:r>
              <w:t>Prevalence</w:t>
            </w:r>
          </w:p>
        </w:tc>
        <w:tc>
          <w:tcPr>
            <w:tcW w:w="2338" w:type="dxa"/>
          </w:tcPr>
          <w:p w14:paraId="7843C266" w14:textId="77777777" w:rsidR="0006142D" w:rsidRDefault="0006142D" w:rsidP="001B41BD">
            <w:r>
              <w:t>Deaths</w:t>
            </w:r>
          </w:p>
        </w:tc>
      </w:tr>
      <w:tr w:rsidR="0006142D" w14:paraId="50020C14" w14:textId="77777777" w:rsidTr="001B41BD">
        <w:tc>
          <w:tcPr>
            <w:tcW w:w="2337" w:type="dxa"/>
          </w:tcPr>
          <w:p w14:paraId="55451351" w14:textId="77777777" w:rsidR="0006142D" w:rsidRDefault="0006142D" w:rsidP="001B41BD">
            <w:r>
              <w:t>2002</w:t>
            </w:r>
          </w:p>
        </w:tc>
        <w:tc>
          <w:tcPr>
            <w:tcW w:w="2337" w:type="dxa"/>
          </w:tcPr>
          <w:p w14:paraId="5602E863" w14:textId="77777777" w:rsidR="0006142D" w:rsidRDefault="0006142D" w:rsidP="001B41BD">
            <w:r>
              <w:t>850</w:t>
            </w:r>
          </w:p>
        </w:tc>
        <w:tc>
          <w:tcPr>
            <w:tcW w:w="2338" w:type="dxa"/>
          </w:tcPr>
          <w:p w14:paraId="4899EF43" w14:textId="77777777" w:rsidR="0006142D" w:rsidRDefault="0006142D" w:rsidP="001B41BD">
            <w:r>
              <w:t>11,200</w:t>
            </w:r>
          </w:p>
        </w:tc>
        <w:tc>
          <w:tcPr>
            <w:tcW w:w="2338" w:type="dxa"/>
          </w:tcPr>
          <w:p w14:paraId="547CBA40" w14:textId="77777777" w:rsidR="0006142D" w:rsidRDefault="0006142D" w:rsidP="001B41BD">
            <w:r>
              <w:t>302</w:t>
            </w:r>
          </w:p>
        </w:tc>
      </w:tr>
      <w:tr w:rsidR="0006142D" w14:paraId="38557BF6" w14:textId="77777777" w:rsidTr="001B41BD">
        <w:tc>
          <w:tcPr>
            <w:tcW w:w="2337" w:type="dxa"/>
          </w:tcPr>
          <w:p w14:paraId="79964B81" w14:textId="77777777" w:rsidR="0006142D" w:rsidRDefault="0006142D" w:rsidP="001B41BD">
            <w:r>
              <w:t>2003</w:t>
            </w:r>
          </w:p>
        </w:tc>
        <w:tc>
          <w:tcPr>
            <w:tcW w:w="2337" w:type="dxa"/>
          </w:tcPr>
          <w:p w14:paraId="15DB97D1" w14:textId="77777777" w:rsidR="0006142D" w:rsidRDefault="0006142D" w:rsidP="001B41BD">
            <w:r>
              <w:t>805</w:t>
            </w:r>
          </w:p>
        </w:tc>
        <w:tc>
          <w:tcPr>
            <w:tcW w:w="2338" w:type="dxa"/>
          </w:tcPr>
          <w:p w14:paraId="245BDB75" w14:textId="77777777" w:rsidR="0006142D" w:rsidRDefault="0006142D" w:rsidP="001B41BD">
            <w:r>
              <w:t>11,719</w:t>
            </w:r>
          </w:p>
        </w:tc>
        <w:tc>
          <w:tcPr>
            <w:tcW w:w="2338" w:type="dxa"/>
          </w:tcPr>
          <w:p w14:paraId="72FEE99F" w14:textId="77777777" w:rsidR="0006142D" w:rsidRDefault="0006142D" w:rsidP="001B41BD">
            <w:r>
              <w:t>280</w:t>
            </w:r>
          </w:p>
        </w:tc>
      </w:tr>
      <w:tr w:rsidR="0006142D" w14:paraId="0ED28140" w14:textId="77777777" w:rsidTr="001B41BD">
        <w:tc>
          <w:tcPr>
            <w:tcW w:w="2337" w:type="dxa"/>
          </w:tcPr>
          <w:p w14:paraId="4281684E" w14:textId="77777777" w:rsidR="0006142D" w:rsidRDefault="0006142D" w:rsidP="001B41BD">
            <w:r>
              <w:t>2004</w:t>
            </w:r>
          </w:p>
        </w:tc>
        <w:tc>
          <w:tcPr>
            <w:tcW w:w="2337" w:type="dxa"/>
          </w:tcPr>
          <w:p w14:paraId="798B4D4D" w14:textId="77777777" w:rsidR="0006142D" w:rsidRDefault="0006142D" w:rsidP="001B41BD">
            <w:r>
              <w:t>836</w:t>
            </w:r>
          </w:p>
        </w:tc>
        <w:tc>
          <w:tcPr>
            <w:tcW w:w="2338" w:type="dxa"/>
          </w:tcPr>
          <w:p w14:paraId="7021826C" w14:textId="77777777" w:rsidR="0006142D" w:rsidRDefault="0006142D" w:rsidP="001B41BD">
            <w:r>
              <w:t>12,223</w:t>
            </w:r>
          </w:p>
        </w:tc>
        <w:tc>
          <w:tcPr>
            <w:tcW w:w="2338" w:type="dxa"/>
          </w:tcPr>
          <w:p w14:paraId="50956863" w14:textId="77777777" w:rsidR="0006142D" w:rsidRDefault="0006142D" w:rsidP="001B41BD">
            <w:r>
              <w:t>266</w:t>
            </w:r>
          </w:p>
        </w:tc>
      </w:tr>
      <w:tr w:rsidR="0006142D" w14:paraId="048914EE" w14:textId="77777777" w:rsidTr="001B41BD">
        <w:tc>
          <w:tcPr>
            <w:tcW w:w="2337" w:type="dxa"/>
          </w:tcPr>
          <w:p w14:paraId="3CB51B37" w14:textId="77777777" w:rsidR="0006142D" w:rsidRDefault="0006142D" w:rsidP="001B41BD">
            <w:r>
              <w:t>2005</w:t>
            </w:r>
          </w:p>
        </w:tc>
        <w:tc>
          <w:tcPr>
            <w:tcW w:w="2337" w:type="dxa"/>
          </w:tcPr>
          <w:p w14:paraId="0AE1D1D8" w14:textId="77777777" w:rsidR="0006142D" w:rsidRDefault="0006142D" w:rsidP="001B41BD">
            <w:r>
              <w:t>800</w:t>
            </w:r>
          </w:p>
        </w:tc>
        <w:tc>
          <w:tcPr>
            <w:tcW w:w="2338" w:type="dxa"/>
          </w:tcPr>
          <w:p w14:paraId="143BFC2D" w14:textId="77777777" w:rsidR="0006142D" w:rsidRDefault="0006142D" w:rsidP="001B41BD">
            <w:r>
              <w:t>12,653</w:t>
            </w:r>
          </w:p>
        </w:tc>
        <w:tc>
          <w:tcPr>
            <w:tcW w:w="2338" w:type="dxa"/>
          </w:tcPr>
          <w:p w14:paraId="5C46005F" w14:textId="77777777" w:rsidR="0006142D" w:rsidRDefault="0006142D" w:rsidP="001B41BD">
            <w:r>
              <w:t>249</w:t>
            </w:r>
          </w:p>
        </w:tc>
      </w:tr>
      <w:tr w:rsidR="0006142D" w14:paraId="6844C71A" w14:textId="77777777" w:rsidTr="001B41BD">
        <w:tc>
          <w:tcPr>
            <w:tcW w:w="2337" w:type="dxa"/>
          </w:tcPr>
          <w:p w14:paraId="19F4AED4" w14:textId="77777777" w:rsidR="0006142D" w:rsidRDefault="0006142D" w:rsidP="001B41BD">
            <w:r>
              <w:t>2006</w:t>
            </w:r>
          </w:p>
        </w:tc>
        <w:tc>
          <w:tcPr>
            <w:tcW w:w="2337" w:type="dxa"/>
          </w:tcPr>
          <w:p w14:paraId="5AE3AF9D" w14:textId="77777777" w:rsidR="0006142D" w:rsidRDefault="0006142D" w:rsidP="001B41BD">
            <w:r>
              <w:t>793</w:t>
            </w:r>
          </w:p>
        </w:tc>
        <w:tc>
          <w:tcPr>
            <w:tcW w:w="2338" w:type="dxa"/>
          </w:tcPr>
          <w:p w14:paraId="6BD50781" w14:textId="77777777" w:rsidR="0006142D" w:rsidRDefault="0006142D" w:rsidP="001B41BD">
            <w:r>
              <w:t>13,095</w:t>
            </w:r>
          </w:p>
        </w:tc>
        <w:tc>
          <w:tcPr>
            <w:tcW w:w="2338" w:type="dxa"/>
          </w:tcPr>
          <w:p w14:paraId="668DC829" w14:textId="77777777" w:rsidR="0006142D" w:rsidRDefault="0006142D" w:rsidP="001B41BD">
            <w:r>
              <w:t>259</w:t>
            </w:r>
          </w:p>
        </w:tc>
      </w:tr>
      <w:tr w:rsidR="0006142D" w14:paraId="0BB548A3" w14:textId="77777777" w:rsidTr="001B41BD">
        <w:tc>
          <w:tcPr>
            <w:tcW w:w="2337" w:type="dxa"/>
          </w:tcPr>
          <w:p w14:paraId="3197141A" w14:textId="77777777" w:rsidR="0006142D" w:rsidRDefault="0006142D" w:rsidP="001B41BD">
            <w:r>
              <w:t>2007</w:t>
            </w:r>
          </w:p>
        </w:tc>
        <w:tc>
          <w:tcPr>
            <w:tcW w:w="2337" w:type="dxa"/>
          </w:tcPr>
          <w:p w14:paraId="0BEAF341" w14:textId="77777777" w:rsidR="0006142D" w:rsidRDefault="0006142D" w:rsidP="001B41BD">
            <w:r>
              <w:t>780</w:t>
            </w:r>
          </w:p>
        </w:tc>
        <w:tc>
          <w:tcPr>
            <w:tcW w:w="2338" w:type="dxa"/>
          </w:tcPr>
          <w:p w14:paraId="4F82B4DE" w14:textId="77777777" w:rsidR="0006142D" w:rsidRDefault="0006142D" w:rsidP="001B41BD">
            <w:r>
              <w:t>13,486</w:t>
            </w:r>
          </w:p>
        </w:tc>
        <w:tc>
          <w:tcPr>
            <w:tcW w:w="2338" w:type="dxa"/>
          </w:tcPr>
          <w:p w14:paraId="64618196" w14:textId="77777777" w:rsidR="0006142D" w:rsidRDefault="0006142D" w:rsidP="001B41BD">
            <w:r>
              <w:t>315</w:t>
            </w:r>
          </w:p>
        </w:tc>
      </w:tr>
      <w:tr w:rsidR="0006142D" w14:paraId="55565499" w14:textId="77777777" w:rsidTr="001B41BD">
        <w:tc>
          <w:tcPr>
            <w:tcW w:w="2337" w:type="dxa"/>
          </w:tcPr>
          <w:p w14:paraId="44B05355" w14:textId="77777777" w:rsidR="0006142D" w:rsidRDefault="0006142D" w:rsidP="001B41BD">
            <w:r>
              <w:t>2008</w:t>
            </w:r>
          </w:p>
        </w:tc>
        <w:tc>
          <w:tcPr>
            <w:tcW w:w="2337" w:type="dxa"/>
          </w:tcPr>
          <w:p w14:paraId="3B79AD9C" w14:textId="77777777" w:rsidR="0006142D" w:rsidRDefault="0006142D" w:rsidP="001B41BD">
            <w:r>
              <w:t>726</w:t>
            </w:r>
          </w:p>
        </w:tc>
        <w:tc>
          <w:tcPr>
            <w:tcW w:w="2338" w:type="dxa"/>
          </w:tcPr>
          <w:p w14:paraId="46060952" w14:textId="77777777" w:rsidR="0006142D" w:rsidRDefault="0006142D" w:rsidP="001B41BD">
            <w:r>
              <w:t>13,910</w:t>
            </w:r>
          </w:p>
        </w:tc>
        <w:tc>
          <w:tcPr>
            <w:tcW w:w="2338" w:type="dxa"/>
          </w:tcPr>
          <w:p w14:paraId="70A06BD9" w14:textId="77777777" w:rsidR="0006142D" w:rsidRDefault="0006142D" w:rsidP="001B41BD">
            <w:r>
              <w:t>228</w:t>
            </w:r>
          </w:p>
        </w:tc>
      </w:tr>
      <w:tr w:rsidR="0006142D" w14:paraId="5B422DFA" w14:textId="77777777" w:rsidTr="001B41BD">
        <w:tc>
          <w:tcPr>
            <w:tcW w:w="2337" w:type="dxa"/>
          </w:tcPr>
          <w:p w14:paraId="6BF859A8" w14:textId="77777777" w:rsidR="0006142D" w:rsidRDefault="0006142D" w:rsidP="001B41BD">
            <w:r>
              <w:t>2009</w:t>
            </w:r>
          </w:p>
        </w:tc>
        <w:tc>
          <w:tcPr>
            <w:tcW w:w="2337" w:type="dxa"/>
          </w:tcPr>
          <w:p w14:paraId="31946756" w14:textId="77777777" w:rsidR="0006142D" w:rsidRDefault="0006142D" w:rsidP="001B41BD">
            <w:r>
              <w:t>764</w:t>
            </w:r>
          </w:p>
        </w:tc>
        <w:tc>
          <w:tcPr>
            <w:tcW w:w="2338" w:type="dxa"/>
          </w:tcPr>
          <w:p w14:paraId="254D17E6" w14:textId="77777777" w:rsidR="0006142D" w:rsidRDefault="0006142D" w:rsidP="001B41BD">
            <w:r>
              <w:t>14,366</w:t>
            </w:r>
          </w:p>
        </w:tc>
        <w:tc>
          <w:tcPr>
            <w:tcW w:w="2338" w:type="dxa"/>
          </w:tcPr>
          <w:p w14:paraId="199A9B3D" w14:textId="77777777" w:rsidR="0006142D" w:rsidRDefault="0006142D" w:rsidP="001B41BD">
            <w:r>
              <w:t>229</w:t>
            </w:r>
          </w:p>
        </w:tc>
      </w:tr>
      <w:tr w:rsidR="0006142D" w14:paraId="4AE90ABD" w14:textId="77777777" w:rsidTr="001B41BD">
        <w:tc>
          <w:tcPr>
            <w:tcW w:w="2337" w:type="dxa"/>
          </w:tcPr>
          <w:p w14:paraId="14EAC037" w14:textId="77777777" w:rsidR="0006142D" w:rsidRDefault="0006142D" w:rsidP="001B41BD">
            <w:r>
              <w:t>2010</w:t>
            </w:r>
          </w:p>
        </w:tc>
        <w:tc>
          <w:tcPr>
            <w:tcW w:w="2337" w:type="dxa"/>
          </w:tcPr>
          <w:p w14:paraId="0CDCC325" w14:textId="77777777" w:rsidR="0006142D" w:rsidRDefault="0006142D" w:rsidP="001B41BD">
            <w:r>
              <w:t>763</w:t>
            </w:r>
          </w:p>
        </w:tc>
        <w:tc>
          <w:tcPr>
            <w:tcW w:w="2338" w:type="dxa"/>
          </w:tcPr>
          <w:p w14:paraId="0C3708A9" w14:textId="77777777" w:rsidR="0006142D" w:rsidRDefault="0006142D" w:rsidP="001B41BD">
            <w:r>
              <w:t>14,839</w:t>
            </w:r>
          </w:p>
        </w:tc>
        <w:tc>
          <w:tcPr>
            <w:tcW w:w="2338" w:type="dxa"/>
          </w:tcPr>
          <w:p w14:paraId="3653E0EF" w14:textId="77777777" w:rsidR="0006142D" w:rsidRDefault="0006142D" w:rsidP="001B41BD">
            <w:r>
              <w:t>184</w:t>
            </w:r>
          </w:p>
        </w:tc>
      </w:tr>
      <w:tr w:rsidR="0006142D" w14:paraId="0CE1EF4C" w14:textId="77777777" w:rsidTr="001B41BD">
        <w:tc>
          <w:tcPr>
            <w:tcW w:w="2337" w:type="dxa"/>
          </w:tcPr>
          <w:p w14:paraId="694DCD4C" w14:textId="77777777" w:rsidR="0006142D" w:rsidRDefault="0006142D" w:rsidP="001B41BD">
            <w:r>
              <w:t>2011</w:t>
            </w:r>
          </w:p>
        </w:tc>
        <w:tc>
          <w:tcPr>
            <w:tcW w:w="2337" w:type="dxa"/>
          </w:tcPr>
          <w:p w14:paraId="68C9D83D" w14:textId="77777777" w:rsidR="0006142D" w:rsidRDefault="0006142D" w:rsidP="001B41BD">
            <w:r>
              <w:t>742</w:t>
            </w:r>
          </w:p>
        </w:tc>
        <w:tc>
          <w:tcPr>
            <w:tcW w:w="2338" w:type="dxa"/>
          </w:tcPr>
          <w:p w14:paraId="22799120" w14:textId="77777777" w:rsidR="0006142D" w:rsidRDefault="0006142D" w:rsidP="001B41BD">
            <w:r>
              <w:t>15,338</w:t>
            </w:r>
          </w:p>
        </w:tc>
        <w:tc>
          <w:tcPr>
            <w:tcW w:w="2338" w:type="dxa"/>
          </w:tcPr>
          <w:p w14:paraId="2CC140DB" w14:textId="77777777" w:rsidR="0006142D" w:rsidRDefault="0006142D" w:rsidP="001B41BD">
            <w:r>
              <w:t>185</w:t>
            </w:r>
          </w:p>
        </w:tc>
      </w:tr>
      <w:tr w:rsidR="0006142D" w14:paraId="4D7B6192" w14:textId="77777777" w:rsidTr="001B41BD">
        <w:tc>
          <w:tcPr>
            <w:tcW w:w="2337" w:type="dxa"/>
          </w:tcPr>
          <w:p w14:paraId="52A5F300" w14:textId="77777777" w:rsidR="0006142D" w:rsidRDefault="0006142D" w:rsidP="001B41BD">
            <w:r>
              <w:t>2012</w:t>
            </w:r>
          </w:p>
        </w:tc>
        <w:tc>
          <w:tcPr>
            <w:tcW w:w="2337" w:type="dxa"/>
          </w:tcPr>
          <w:p w14:paraId="43683046" w14:textId="77777777" w:rsidR="0006142D" w:rsidRDefault="0006142D" w:rsidP="001B41BD">
            <w:r>
              <w:t>693</w:t>
            </w:r>
          </w:p>
        </w:tc>
        <w:tc>
          <w:tcPr>
            <w:tcW w:w="2338" w:type="dxa"/>
          </w:tcPr>
          <w:p w14:paraId="0F10CF24" w14:textId="77777777" w:rsidR="0006142D" w:rsidRDefault="0006142D" w:rsidP="001B41BD">
            <w:r>
              <w:t>15,780</w:t>
            </w:r>
          </w:p>
        </w:tc>
        <w:tc>
          <w:tcPr>
            <w:tcW w:w="2338" w:type="dxa"/>
          </w:tcPr>
          <w:p w14:paraId="12E74629" w14:textId="77777777" w:rsidR="0006142D" w:rsidRDefault="0006142D" w:rsidP="001B41BD">
            <w:r>
              <w:t>149</w:t>
            </w:r>
          </w:p>
        </w:tc>
      </w:tr>
      <w:tr w:rsidR="0006142D" w14:paraId="3CBCBDFE" w14:textId="77777777" w:rsidTr="001B41BD">
        <w:tc>
          <w:tcPr>
            <w:tcW w:w="2337" w:type="dxa"/>
          </w:tcPr>
          <w:p w14:paraId="115AED3E" w14:textId="77777777" w:rsidR="0006142D" w:rsidRDefault="0006142D" w:rsidP="001B41BD">
            <w:r>
              <w:t>2013</w:t>
            </w:r>
          </w:p>
        </w:tc>
        <w:tc>
          <w:tcPr>
            <w:tcW w:w="2337" w:type="dxa"/>
          </w:tcPr>
          <w:p w14:paraId="684C16C6" w14:textId="77777777" w:rsidR="0006142D" w:rsidRDefault="0006142D" w:rsidP="001B41BD">
            <w:r>
              <w:t>719</w:t>
            </w:r>
          </w:p>
        </w:tc>
        <w:tc>
          <w:tcPr>
            <w:tcW w:w="2338" w:type="dxa"/>
          </w:tcPr>
          <w:p w14:paraId="4A128D0F" w14:textId="77777777" w:rsidR="0006142D" w:rsidRDefault="0006142D" w:rsidP="001B41BD">
            <w:r>
              <w:t>16,256</w:t>
            </w:r>
          </w:p>
        </w:tc>
        <w:tc>
          <w:tcPr>
            <w:tcW w:w="2338" w:type="dxa"/>
          </w:tcPr>
          <w:p w14:paraId="44BA5E34" w14:textId="77777777" w:rsidR="0006142D" w:rsidRDefault="0006142D" w:rsidP="001B41BD">
            <w:r>
              <w:t>145</w:t>
            </w:r>
          </w:p>
        </w:tc>
      </w:tr>
      <w:tr w:rsidR="0006142D" w14:paraId="6F368A07" w14:textId="77777777" w:rsidTr="001B41BD">
        <w:tc>
          <w:tcPr>
            <w:tcW w:w="2337" w:type="dxa"/>
          </w:tcPr>
          <w:p w14:paraId="2FD18F98" w14:textId="77777777" w:rsidR="0006142D" w:rsidRDefault="0006142D" w:rsidP="001B41BD">
            <w:r>
              <w:t>2014</w:t>
            </w:r>
          </w:p>
        </w:tc>
        <w:tc>
          <w:tcPr>
            <w:tcW w:w="2337" w:type="dxa"/>
          </w:tcPr>
          <w:p w14:paraId="157E774A" w14:textId="77777777" w:rsidR="0006142D" w:rsidRDefault="0006142D" w:rsidP="001B41BD">
            <w:r>
              <w:t>770</w:t>
            </w:r>
          </w:p>
        </w:tc>
        <w:tc>
          <w:tcPr>
            <w:tcW w:w="2338" w:type="dxa"/>
          </w:tcPr>
          <w:p w14:paraId="2FB306C9" w14:textId="77777777" w:rsidR="0006142D" w:rsidRDefault="0006142D" w:rsidP="001B41BD">
            <w:r>
              <w:t>16,730</w:t>
            </w:r>
          </w:p>
        </w:tc>
        <w:tc>
          <w:tcPr>
            <w:tcW w:w="2338" w:type="dxa"/>
          </w:tcPr>
          <w:p w14:paraId="021809A4" w14:textId="77777777" w:rsidR="0006142D" w:rsidRDefault="0006142D" w:rsidP="001B41BD">
            <w:r>
              <w:t>175</w:t>
            </w:r>
          </w:p>
        </w:tc>
      </w:tr>
      <w:tr w:rsidR="0006142D" w14:paraId="72F505BD" w14:textId="77777777" w:rsidTr="001B41BD">
        <w:tc>
          <w:tcPr>
            <w:tcW w:w="2337" w:type="dxa"/>
          </w:tcPr>
          <w:p w14:paraId="1A5A2A41" w14:textId="77777777" w:rsidR="0006142D" w:rsidRDefault="0006142D" w:rsidP="001B41BD">
            <w:r>
              <w:t>2015</w:t>
            </w:r>
          </w:p>
        </w:tc>
        <w:tc>
          <w:tcPr>
            <w:tcW w:w="2337" w:type="dxa"/>
          </w:tcPr>
          <w:p w14:paraId="1013C5D3" w14:textId="77777777" w:rsidR="0006142D" w:rsidRDefault="0006142D" w:rsidP="001B41BD">
            <w:r>
              <w:t>704</w:t>
            </w:r>
          </w:p>
        </w:tc>
        <w:tc>
          <w:tcPr>
            <w:tcW w:w="2338" w:type="dxa"/>
          </w:tcPr>
          <w:p w14:paraId="6198EAB2" w14:textId="77777777" w:rsidR="0006142D" w:rsidRDefault="0006142D" w:rsidP="001B41BD">
            <w:r>
              <w:t>17,193</w:t>
            </w:r>
          </w:p>
        </w:tc>
        <w:tc>
          <w:tcPr>
            <w:tcW w:w="2338" w:type="dxa"/>
          </w:tcPr>
          <w:p w14:paraId="42708D99" w14:textId="77777777" w:rsidR="0006142D" w:rsidRDefault="0006142D" w:rsidP="001B41BD">
            <w:r>
              <w:t>136</w:t>
            </w:r>
          </w:p>
        </w:tc>
      </w:tr>
      <w:tr w:rsidR="0006142D" w14:paraId="038D878E" w14:textId="77777777" w:rsidTr="001B41BD">
        <w:tc>
          <w:tcPr>
            <w:tcW w:w="2337" w:type="dxa"/>
          </w:tcPr>
          <w:p w14:paraId="3CEA17B9" w14:textId="77777777" w:rsidR="0006142D" w:rsidRDefault="0006142D" w:rsidP="001B41BD">
            <w:r>
              <w:t>2016</w:t>
            </w:r>
          </w:p>
        </w:tc>
        <w:tc>
          <w:tcPr>
            <w:tcW w:w="2337" w:type="dxa"/>
          </w:tcPr>
          <w:p w14:paraId="7B9CFBFB" w14:textId="77777777" w:rsidR="0006142D" w:rsidRDefault="0006142D" w:rsidP="001B41BD">
            <w:r>
              <w:t>775</w:t>
            </w:r>
          </w:p>
        </w:tc>
        <w:tc>
          <w:tcPr>
            <w:tcW w:w="2338" w:type="dxa"/>
          </w:tcPr>
          <w:p w14:paraId="507BBBFA" w14:textId="77777777" w:rsidR="0006142D" w:rsidRDefault="0006142D" w:rsidP="001B41BD">
            <w:r>
              <w:t>17,674</w:t>
            </w:r>
          </w:p>
        </w:tc>
        <w:tc>
          <w:tcPr>
            <w:tcW w:w="2338" w:type="dxa"/>
          </w:tcPr>
          <w:p w14:paraId="35E73FF6" w14:textId="77777777" w:rsidR="0006142D" w:rsidRDefault="0006142D" w:rsidP="001B41BD">
            <w:r>
              <w:t>152</w:t>
            </w:r>
          </w:p>
        </w:tc>
      </w:tr>
      <w:tr w:rsidR="0006142D" w14:paraId="7E44703C" w14:textId="77777777" w:rsidTr="001B41BD">
        <w:tc>
          <w:tcPr>
            <w:tcW w:w="2337" w:type="dxa"/>
          </w:tcPr>
          <w:p w14:paraId="6795F520" w14:textId="77777777" w:rsidR="0006142D" w:rsidRDefault="0006142D" w:rsidP="001B41BD">
            <w:r>
              <w:t>2017</w:t>
            </w:r>
          </w:p>
        </w:tc>
        <w:tc>
          <w:tcPr>
            <w:tcW w:w="2337" w:type="dxa"/>
          </w:tcPr>
          <w:p w14:paraId="7EE9C2B5" w14:textId="77777777" w:rsidR="0006142D" w:rsidRDefault="0006142D" w:rsidP="001B41BD">
            <w:r>
              <w:t>760</w:t>
            </w:r>
          </w:p>
        </w:tc>
        <w:tc>
          <w:tcPr>
            <w:tcW w:w="2338" w:type="dxa"/>
          </w:tcPr>
          <w:p w14:paraId="68DFA425" w14:textId="77777777" w:rsidR="0006142D" w:rsidRDefault="0006142D" w:rsidP="001B41BD">
            <w:r>
              <w:t>18,088</w:t>
            </w:r>
          </w:p>
        </w:tc>
        <w:tc>
          <w:tcPr>
            <w:tcW w:w="2338" w:type="dxa"/>
          </w:tcPr>
          <w:p w14:paraId="66A90C29" w14:textId="77777777" w:rsidR="0006142D" w:rsidRDefault="0006142D" w:rsidP="001B41BD">
            <w:r>
              <w:t>151</w:t>
            </w:r>
          </w:p>
        </w:tc>
      </w:tr>
      <w:tr w:rsidR="0006142D" w14:paraId="0AFF577B" w14:textId="77777777" w:rsidTr="001B41BD">
        <w:tc>
          <w:tcPr>
            <w:tcW w:w="2337" w:type="dxa"/>
          </w:tcPr>
          <w:p w14:paraId="2292AADB" w14:textId="77777777" w:rsidR="0006142D" w:rsidRDefault="0006142D" w:rsidP="001B41BD">
            <w:r>
              <w:t>2018</w:t>
            </w:r>
          </w:p>
        </w:tc>
        <w:tc>
          <w:tcPr>
            <w:tcW w:w="2337" w:type="dxa"/>
          </w:tcPr>
          <w:p w14:paraId="6FB14D2D" w14:textId="77777777" w:rsidR="0006142D" w:rsidRDefault="0006142D" w:rsidP="001B41BD">
            <w:r>
              <w:t>751</w:t>
            </w:r>
          </w:p>
        </w:tc>
        <w:tc>
          <w:tcPr>
            <w:tcW w:w="2338" w:type="dxa"/>
          </w:tcPr>
          <w:p w14:paraId="7FEAAB55" w14:textId="77777777" w:rsidR="0006142D" w:rsidRDefault="0006142D" w:rsidP="001B41BD">
            <w:r>
              <w:t>18,572</w:t>
            </w:r>
          </w:p>
        </w:tc>
        <w:tc>
          <w:tcPr>
            <w:tcW w:w="2338" w:type="dxa"/>
          </w:tcPr>
          <w:p w14:paraId="68BBE2F9" w14:textId="77777777" w:rsidR="0006142D" w:rsidRDefault="0006142D" w:rsidP="001B41BD">
            <w:r>
              <w:t>123</w:t>
            </w:r>
          </w:p>
        </w:tc>
      </w:tr>
      <w:tr w:rsidR="0006142D" w14:paraId="217A2390" w14:textId="77777777" w:rsidTr="001B41BD">
        <w:tc>
          <w:tcPr>
            <w:tcW w:w="2337" w:type="dxa"/>
          </w:tcPr>
          <w:p w14:paraId="00CBC82E" w14:textId="77777777" w:rsidR="0006142D" w:rsidRDefault="0006142D" w:rsidP="001B41BD">
            <w:r>
              <w:t>2019</w:t>
            </w:r>
          </w:p>
        </w:tc>
        <w:tc>
          <w:tcPr>
            <w:tcW w:w="2337" w:type="dxa"/>
          </w:tcPr>
          <w:p w14:paraId="24CB2C8F" w14:textId="77777777" w:rsidR="0006142D" w:rsidRDefault="0006142D" w:rsidP="001B41BD">
            <w:r>
              <w:t>759</w:t>
            </w:r>
          </w:p>
        </w:tc>
        <w:tc>
          <w:tcPr>
            <w:tcW w:w="2338" w:type="dxa"/>
          </w:tcPr>
          <w:p w14:paraId="217924FF" w14:textId="77777777" w:rsidR="0006142D" w:rsidRDefault="0006142D" w:rsidP="001B41BD">
            <w:r>
              <w:t>19,076</w:t>
            </w:r>
          </w:p>
        </w:tc>
        <w:tc>
          <w:tcPr>
            <w:tcW w:w="2338" w:type="dxa"/>
          </w:tcPr>
          <w:p w14:paraId="3F8D0EB6" w14:textId="77777777" w:rsidR="0006142D" w:rsidRDefault="0006142D" w:rsidP="001B41BD">
            <w:r>
              <w:t>121</w:t>
            </w:r>
          </w:p>
        </w:tc>
      </w:tr>
      <w:tr w:rsidR="0006142D" w14:paraId="11E516FA" w14:textId="77777777" w:rsidTr="001B41BD">
        <w:tc>
          <w:tcPr>
            <w:tcW w:w="2337" w:type="dxa"/>
          </w:tcPr>
          <w:p w14:paraId="65B31976" w14:textId="77777777" w:rsidR="0006142D" w:rsidRDefault="0006142D" w:rsidP="001B41BD">
            <w:r>
              <w:t>2020</w:t>
            </w:r>
          </w:p>
        </w:tc>
        <w:tc>
          <w:tcPr>
            <w:tcW w:w="2337" w:type="dxa"/>
          </w:tcPr>
          <w:p w14:paraId="22E4AF04" w14:textId="77777777" w:rsidR="0006142D" w:rsidRDefault="0006142D" w:rsidP="001B41BD">
            <w:r>
              <w:t>732</w:t>
            </w:r>
          </w:p>
        </w:tc>
        <w:tc>
          <w:tcPr>
            <w:tcW w:w="2338" w:type="dxa"/>
          </w:tcPr>
          <w:p w14:paraId="3A1AFC8D" w14:textId="77777777" w:rsidR="0006142D" w:rsidRDefault="0006142D" w:rsidP="001B41BD">
            <w:r>
              <w:t>19,477</w:t>
            </w:r>
          </w:p>
        </w:tc>
        <w:tc>
          <w:tcPr>
            <w:tcW w:w="2338" w:type="dxa"/>
          </w:tcPr>
          <w:p w14:paraId="38578DBB" w14:textId="77777777" w:rsidR="0006142D" w:rsidRDefault="0006142D" w:rsidP="001B41BD">
            <w:r>
              <w:t>122</w:t>
            </w:r>
          </w:p>
        </w:tc>
      </w:tr>
      <w:tr w:rsidR="0006142D" w14:paraId="7FA3068D" w14:textId="77777777" w:rsidTr="001B41BD">
        <w:tc>
          <w:tcPr>
            <w:tcW w:w="2337" w:type="dxa"/>
          </w:tcPr>
          <w:p w14:paraId="1CAF38B5" w14:textId="77777777" w:rsidR="0006142D" w:rsidRDefault="0006142D" w:rsidP="001B41BD">
            <w:r>
              <w:t>2021</w:t>
            </w:r>
          </w:p>
        </w:tc>
        <w:tc>
          <w:tcPr>
            <w:tcW w:w="2337" w:type="dxa"/>
          </w:tcPr>
          <w:p w14:paraId="091F40F6" w14:textId="77777777" w:rsidR="0006142D" w:rsidRDefault="0006142D" w:rsidP="001B41BD">
            <w:r>
              <w:t>729</w:t>
            </w:r>
          </w:p>
        </w:tc>
        <w:tc>
          <w:tcPr>
            <w:tcW w:w="2338" w:type="dxa"/>
          </w:tcPr>
          <w:p w14:paraId="0F0BE29B" w14:textId="77777777" w:rsidR="0006142D" w:rsidRDefault="0006142D" w:rsidP="001B41BD">
            <w:r>
              <w:t>19,872</w:t>
            </w:r>
          </w:p>
        </w:tc>
        <w:tc>
          <w:tcPr>
            <w:tcW w:w="2338" w:type="dxa"/>
          </w:tcPr>
          <w:p w14:paraId="5601017D" w14:textId="77777777" w:rsidR="0006142D" w:rsidRDefault="0006142D" w:rsidP="001B41BD"/>
        </w:tc>
      </w:tr>
    </w:tbl>
    <w:p w14:paraId="2C3F4FE0" w14:textId="77777777" w:rsidR="0006142D" w:rsidRPr="00F55568" w:rsidRDefault="0006142D" w:rsidP="0006142D">
      <w:r w:rsidRPr="00F55568">
        <w:t xml:space="preserve">Sources: SC DHEC Vital Statistics, SC DHEC Enhanced HIV/AIDS Reporting Surveillance System. </w:t>
      </w:r>
    </w:p>
    <w:p w14:paraId="13E81992" w14:textId="77777777" w:rsidR="0006142D" w:rsidRPr="00E25909" w:rsidRDefault="0006142D" w:rsidP="0006142D">
      <w:r w:rsidRPr="00F55568">
        <w:t>Notes: Number of cases diagnosed in SC only; excludes out of state cases returning to SC.</w:t>
      </w:r>
    </w:p>
    <w:p w14:paraId="7DDD58E9" w14:textId="77777777" w:rsidR="0006142D" w:rsidRDefault="0006142D" w:rsidP="0006142D">
      <w:pPr>
        <w:pStyle w:val="Heading4"/>
      </w:pPr>
      <w:bookmarkStart w:id="922" w:name="_Toc154576560"/>
    </w:p>
    <w:p w14:paraId="4A29BDAC" w14:textId="41F8B8FB" w:rsidR="0006142D" w:rsidRDefault="0006142D" w:rsidP="0006142D">
      <w:pPr>
        <w:pStyle w:val="Heading4"/>
      </w:pPr>
      <w:bookmarkStart w:id="923" w:name="_Toc162267624"/>
      <w:r w:rsidRPr="00E85F02">
        <w:t>Figure 9.</w:t>
      </w:r>
      <w:r>
        <w:t>77</w:t>
      </w:r>
      <w:r w:rsidRPr="00E85F02">
        <w:t xml:space="preserve">: </w:t>
      </w:r>
      <w:r>
        <w:t>HIV/AIDS Cases, by Sex.</w:t>
      </w:r>
      <w:bookmarkEnd w:id="922"/>
      <w:bookmarkEnd w:id="923"/>
    </w:p>
    <w:p w14:paraId="3E5E3BD6" w14:textId="77777777" w:rsidR="0006142D" w:rsidRPr="00E25909" w:rsidRDefault="0006142D" w:rsidP="0006142D">
      <w:pPr>
        <w:pStyle w:val="Heading5"/>
      </w:pPr>
      <w:r>
        <w:t>Rate per 100,000 population.</w:t>
      </w:r>
    </w:p>
    <w:tbl>
      <w:tblPr>
        <w:tblStyle w:val="TableGrid"/>
        <w:tblW w:w="0" w:type="auto"/>
        <w:tblLook w:val="04A0" w:firstRow="1" w:lastRow="0" w:firstColumn="1" w:lastColumn="0" w:noHBand="0" w:noVBand="1"/>
      </w:tblPr>
      <w:tblGrid>
        <w:gridCol w:w="3116"/>
        <w:gridCol w:w="3117"/>
        <w:gridCol w:w="3117"/>
      </w:tblGrid>
      <w:tr w:rsidR="0006142D" w14:paraId="6D97220A" w14:textId="77777777" w:rsidTr="001B41BD">
        <w:tc>
          <w:tcPr>
            <w:tcW w:w="3116" w:type="dxa"/>
          </w:tcPr>
          <w:p w14:paraId="402A5E1A" w14:textId="77777777" w:rsidR="0006142D" w:rsidRDefault="0006142D" w:rsidP="001B41BD">
            <w:r>
              <w:t>Year</w:t>
            </w:r>
          </w:p>
        </w:tc>
        <w:tc>
          <w:tcPr>
            <w:tcW w:w="3117" w:type="dxa"/>
          </w:tcPr>
          <w:p w14:paraId="3468F1B9" w14:textId="77777777" w:rsidR="0006142D" w:rsidRDefault="0006142D" w:rsidP="001B41BD">
            <w:r>
              <w:t>Male</w:t>
            </w:r>
          </w:p>
        </w:tc>
        <w:tc>
          <w:tcPr>
            <w:tcW w:w="3117" w:type="dxa"/>
          </w:tcPr>
          <w:p w14:paraId="390E1DB9" w14:textId="77777777" w:rsidR="0006142D" w:rsidRDefault="0006142D" w:rsidP="001B41BD">
            <w:r>
              <w:t>Female</w:t>
            </w:r>
          </w:p>
        </w:tc>
      </w:tr>
      <w:tr w:rsidR="0006142D" w14:paraId="1EBE5604" w14:textId="77777777" w:rsidTr="001B41BD">
        <w:tc>
          <w:tcPr>
            <w:tcW w:w="3116" w:type="dxa"/>
            <w:vAlign w:val="bottom"/>
          </w:tcPr>
          <w:p w14:paraId="5A01BFAF" w14:textId="77777777" w:rsidR="0006142D" w:rsidRPr="00E25909" w:rsidRDefault="0006142D" w:rsidP="001B41BD">
            <w:r>
              <w:t>2012</w:t>
            </w:r>
          </w:p>
        </w:tc>
        <w:tc>
          <w:tcPr>
            <w:tcW w:w="3117" w:type="dxa"/>
            <w:vAlign w:val="bottom"/>
          </w:tcPr>
          <w:p w14:paraId="1023858D" w14:textId="77777777" w:rsidR="0006142D" w:rsidRPr="00E25909" w:rsidRDefault="0006142D" w:rsidP="001B41BD">
            <w:r>
              <w:t>23.4</w:t>
            </w:r>
          </w:p>
        </w:tc>
        <w:tc>
          <w:tcPr>
            <w:tcW w:w="3117" w:type="dxa"/>
            <w:vAlign w:val="bottom"/>
          </w:tcPr>
          <w:p w14:paraId="3DC7380E" w14:textId="77777777" w:rsidR="0006142D" w:rsidRPr="00E25909" w:rsidRDefault="0006142D" w:rsidP="001B41BD">
            <w:r>
              <w:t>6.4</w:t>
            </w:r>
          </w:p>
        </w:tc>
      </w:tr>
      <w:tr w:rsidR="0006142D" w14:paraId="2AF157CD" w14:textId="77777777" w:rsidTr="001B41BD">
        <w:tc>
          <w:tcPr>
            <w:tcW w:w="3116" w:type="dxa"/>
            <w:vAlign w:val="bottom"/>
          </w:tcPr>
          <w:p w14:paraId="06F6A4A2" w14:textId="77777777" w:rsidR="0006142D" w:rsidRPr="00E25909" w:rsidRDefault="0006142D" w:rsidP="001B41BD">
            <w:r>
              <w:t>2013</w:t>
            </w:r>
          </w:p>
        </w:tc>
        <w:tc>
          <w:tcPr>
            <w:tcW w:w="3117" w:type="dxa"/>
            <w:vAlign w:val="bottom"/>
          </w:tcPr>
          <w:p w14:paraId="3F1691C6" w14:textId="77777777" w:rsidR="0006142D" w:rsidRPr="00E25909" w:rsidRDefault="0006142D" w:rsidP="001B41BD">
            <w:r>
              <w:t>23.4</w:t>
            </w:r>
          </w:p>
        </w:tc>
        <w:tc>
          <w:tcPr>
            <w:tcW w:w="3117" w:type="dxa"/>
            <w:vAlign w:val="bottom"/>
          </w:tcPr>
          <w:p w14:paraId="5FE3383D" w14:textId="77777777" w:rsidR="0006142D" w:rsidRPr="00E25909" w:rsidRDefault="0006142D" w:rsidP="001B41BD">
            <w:r>
              <w:t>7.2</w:t>
            </w:r>
          </w:p>
        </w:tc>
      </w:tr>
      <w:tr w:rsidR="0006142D" w14:paraId="2809B58E" w14:textId="77777777" w:rsidTr="001B41BD">
        <w:tc>
          <w:tcPr>
            <w:tcW w:w="3116" w:type="dxa"/>
            <w:vAlign w:val="bottom"/>
          </w:tcPr>
          <w:p w14:paraId="07C20C92" w14:textId="77777777" w:rsidR="0006142D" w:rsidRPr="00E25909" w:rsidRDefault="0006142D" w:rsidP="001B41BD">
            <w:r>
              <w:t>2014</w:t>
            </w:r>
          </w:p>
        </w:tc>
        <w:tc>
          <w:tcPr>
            <w:tcW w:w="3117" w:type="dxa"/>
            <w:vAlign w:val="bottom"/>
          </w:tcPr>
          <w:p w14:paraId="3A690040" w14:textId="77777777" w:rsidR="0006142D" w:rsidRPr="00E25909" w:rsidRDefault="0006142D" w:rsidP="001B41BD">
            <w:r>
              <w:t>26.7</w:t>
            </w:r>
          </w:p>
        </w:tc>
        <w:tc>
          <w:tcPr>
            <w:tcW w:w="3117" w:type="dxa"/>
            <w:vAlign w:val="bottom"/>
          </w:tcPr>
          <w:p w14:paraId="693B6E77" w14:textId="77777777" w:rsidR="0006142D" w:rsidRPr="00E25909" w:rsidRDefault="0006142D" w:rsidP="001B41BD">
            <w:r>
              <w:t>5.7</w:t>
            </w:r>
          </w:p>
        </w:tc>
      </w:tr>
      <w:tr w:rsidR="0006142D" w14:paraId="3F176593" w14:textId="77777777" w:rsidTr="001B41BD">
        <w:tc>
          <w:tcPr>
            <w:tcW w:w="3116" w:type="dxa"/>
            <w:vAlign w:val="bottom"/>
          </w:tcPr>
          <w:p w14:paraId="1786D8C3" w14:textId="77777777" w:rsidR="0006142D" w:rsidRPr="00E25909" w:rsidRDefault="0006142D" w:rsidP="001B41BD">
            <w:r>
              <w:t>2015</w:t>
            </w:r>
          </w:p>
        </w:tc>
        <w:tc>
          <w:tcPr>
            <w:tcW w:w="3117" w:type="dxa"/>
            <w:vAlign w:val="bottom"/>
          </w:tcPr>
          <w:p w14:paraId="2B3671F4" w14:textId="77777777" w:rsidR="0006142D" w:rsidRPr="00E25909" w:rsidRDefault="0006142D" w:rsidP="001B41BD">
            <w:r>
              <w:t>23.7</w:t>
            </w:r>
          </w:p>
        </w:tc>
        <w:tc>
          <w:tcPr>
            <w:tcW w:w="3117" w:type="dxa"/>
            <w:vAlign w:val="bottom"/>
          </w:tcPr>
          <w:p w14:paraId="62BE718F" w14:textId="77777777" w:rsidR="0006142D" w:rsidRPr="00E25909" w:rsidRDefault="0006142D" w:rsidP="001B41BD">
            <w:r>
              <w:t>5.6</w:t>
            </w:r>
          </w:p>
        </w:tc>
      </w:tr>
      <w:tr w:rsidR="0006142D" w14:paraId="407D2023" w14:textId="77777777" w:rsidTr="001B41BD">
        <w:tc>
          <w:tcPr>
            <w:tcW w:w="3116" w:type="dxa"/>
            <w:vAlign w:val="bottom"/>
          </w:tcPr>
          <w:p w14:paraId="7FA07E15" w14:textId="77777777" w:rsidR="0006142D" w:rsidRPr="00E25909" w:rsidRDefault="0006142D" w:rsidP="001B41BD">
            <w:r>
              <w:t>2016</w:t>
            </w:r>
          </w:p>
        </w:tc>
        <w:tc>
          <w:tcPr>
            <w:tcW w:w="3117" w:type="dxa"/>
            <w:vAlign w:val="bottom"/>
          </w:tcPr>
          <w:p w14:paraId="4B11E8FC" w14:textId="77777777" w:rsidR="0006142D" w:rsidRPr="00E25909" w:rsidRDefault="0006142D" w:rsidP="001B41BD">
            <w:r>
              <w:t>25.4</w:t>
            </w:r>
          </w:p>
        </w:tc>
        <w:tc>
          <w:tcPr>
            <w:tcW w:w="3117" w:type="dxa"/>
            <w:vAlign w:val="bottom"/>
          </w:tcPr>
          <w:p w14:paraId="0923E10B" w14:textId="77777777" w:rsidR="0006142D" w:rsidRPr="00E25909" w:rsidRDefault="0006142D" w:rsidP="001B41BD">
            <w:r>
              <w:t>6.4</w:t>
            </w:r>
          </w:p>
        </w:tc>
      </w:tr>
      <w:tr w:rsidR="0006142D" w14:paraId="552ADD15" w14:textId="77777777" w:rsidTr="001B41BD">
        <w:tc>
          <w:tcPr>
            <w:tcW w:w="3116" w:type="dxa"/>
            <w:vAlign w:val="bottom"/>
          </w:tcPr>
          <w:p w14:paraId="1B46C0F3" w14:textId="77777777" w:rsidR="0006142D" w:rsidRPr="00E25909" w:rsidRDefault="0006142D" w:rsidP="001B41BD">
            <w:r>
              <w:t>2017</w:t>
            </w:r>
          </w:p>
        </w:tc>
        <w:tc>
          <w:tcPr>
            <w:tcW w:w="3117" w:type="dxa"/>
            <w:vAlign w:val="bottom"/>
          </w:tcPr>
          <w:p w14:paraId="0464E2C7" w14:textId="77777777" w:rsidR="0006142D" w:rsidRPr="00E25909" w:rsidRDefault="0006142D" w:rsidP="001B41BD">
            <w:r>
              <w:t>24.0</w:t>
            </w:r>
          </w:p>
        </w:tc>
        <w:tc>
          <w:tcPr>
            <w:tcW w:w="3117" w:type="dxa"/>
            <w:vAlign w:val="bottom"/>
          </w:tcPr>
          <w:p w14:paraId="2D5C9E1F" w14:textId="77777777" w:rsidR="0006142D" w:rsidRPr="00E25909" w:rsidRDefault="0006142D" w:rsidP="001B41BD">
            <w:r>
              <w:t>6.8</w:t>
            </w:r>
          </w:p>
        </w:tc>
      </w:tr>
      <w:tr w:rsidR="0006142D" w14:paraId="458CCA71" w14:textId="77777777" w:rsidTr="001B41BD">
        <w:tc>
          <w:tcPr>
            <w:tcW w:w="3116" w:type="dxa"/>
            <w:vAlign w:val="bottom"/>
          </w:tcPr>
          <w:p w14:paraId="687055F4" w14:textId="77777777" w:rsidR="0006142D" w:rsidRPr="00E25909" w:rsidRDefault="0006142D" w:rsidP="001B41BD">
            <w:r>
              <w:t>2018</w:t>
            </w:r>
          </w:p>
        </w:tc>
        <w:tc>
          <w:tcPr>
            <w:tcW w:w="3117" w:type="dxa"/>
            <w:vAlign w:val="bottom"/>
          </w:tcPr>
          <w:p w14:paraId="389E5DFD" w14:textId="77777777" w:rsidR="0006142D" w:rsidRPr="00E25909" w:rsidRDefault="0006142D" w:rsidP="001B41BD">
            <w:r>
              <w:t>23.8</w:t>
            </w:r>
          </w:p>
        </w:tc>
        <w:tc>
          <w:tcPr>
            <w:tcW w:w="3117" w:type="dxa"/>
            <w:vAlign w:val="bottom"/>
          </w:tcPr>
          <w:p w14:paraId="2E887F6A" w14:textId="77777777" w:rsidR="0006142D" w:rsidRPr="00E25909" w:rsidRDefault="0006142D" w:rsidP="001B41BD">
            <w:r>
              <w:t>6.4</w:t>
            </w:r>
          </w:p>
        </w:tc>
      </w:tr>
      <w:tr w:rsidR="0006142D" w14:paraId="4C88BD68" w14:textId="77777777" w:rsidTr="001B41BD">
        <w:tc>
          <w:tcPr>
            <w:tcW w:w="3116" w:type="dxa"/>
            <w:vAlign w:val="bottom"/>
          </w:tcPr>
          <w:p w14:paraId="453F2F16" w14:textId="77777777" w:rsidR="0006142D" w:rsidRPr="00E25909" w:rsidRDefault="0006142D" w:rsidP="001B41BD">
            <w:r>
              <w:t>2019</w:t>
            </w:r>
          </w:p>
        </w:tc>
        <w:tc>
          <w:tcPr>
            <w:tcW w:w="3117" w:type="dxa"/>
            <w:vAlign w:val="bottom"/>
          </w:tcPr>
          <w:p w14:paraId="23FE3742" w14:textId="77777777" w:rsidR="0006142D" w:rsidRPr="00E25909" w:rsidRDefault="0006142D" w:rsidP="001B41BD">
            <w:r>
              <w:t>24.9</w:t>
            </w:r>
          </w:p>
        </w:tc>
        <w:tc>
          <w:tcPr>
            <w:tcW w:w="3117" w:type="dxa"/>
            <w:vAlign w:val="bottom"/>
          </w:tcPr>
          <w:p w14:paraId="6A9AB7C4" w14:textId="77777777" w:rsidR="0006142D" w:rsidRPr="00E25909" w:rsidRDefault="0006142D" w:rsidP="001B41BD">
            <w:r>
              <w:t>5.3</w:t>
            </w:r>
          </w:p>
        </w:tc>
      </w:tr>
      <w:tr w:rsidR="0006142D" w14:paraId="67C8E1CD" w14:textId="77777777" w:rsidTr="001B41BD">
        <w:tc>
          <w:tcPr>
            <w:tcW w:w="3116" w:type="dxa"/>
            <w:vAlign w:val="bottom"/>
          </w:tcPr>
          <w:p w14:paraId="34D72B81" w14:textId="77777777" w:rsidR="0006142D" w:rsidRPr="00E25909" w:rsidRDefault="0006142D" w:rsidP="001B41BD">
            <w:r>
              <w:t>2020</w:t>
            </w:r>
          </w:p>
        </w:tc>
        <w:tc>
          <w:tcPr>
            <w:tcW w:w="3117" w:type="dxa"/>
            <w:vAlign w:val="bottom"/>
          </w:tcPr>
          <w:p w14:paraId="3DACBCD8" w14:textId="77777777" w:rsidR="0006142D" w:rsidRPr="00E25909" w:rsidRDefault="0006142D" w:rsidP="001B41BD">
            <w:r>
              <w:t>22.9</w:t>
            </w:r>
          </w:p>
        </w:tc>
        <w:tc>
          <w:tcPr>
            <w:tcW w:w="3117" w:type="dxa"/>
            <w:vAlign w:val="bottom"/>
          </w:tcPr>
          <w:p w14:paraId="26D5812A" w14:textId="77777777" w:rsidR="0006142D" w:rsidRPr="00E25909" w:rsidRDefault="0006142D" w:rsidP="001B41BD">
            <w:r>
              <w:t>5.7</w:t>
            </w:r>
          </w:p>
        </w:tc>
      </w:tr>
      <w:tr w:rsidR="0006142D" w14:paraId="3A1C7C12" w14:textId="77777777" w:rsidTr="001B41BD">
        <w:tc>
          <w:tcPr>
            <w:tcW w:w="3116" w:type="dxa"/>
            <w:vAlign w:val="bottom"/>
          </w:tcPr>
          <w:p w14:paraId="208B627F" w14:textId="77777777" w:rsidR="0006142D" w:rsidRPr="00E25909" w:rsidRDefault="0006142D" w:rsidP="001B41BD">
            <w:r>
              <w:t>2021</w:t>
            </w:r>
          </w:p>
        </w:tc>
        <w:tc>
          <w:tcPr>
            <w:tcW w:w="3117" w:type="dxa"/>
            <w:vAlign w:val="bottom"/>
          </w:tcPr>
          <w:p w14:paraId="1E4E60A1" w14:textId="77777777" w:rsidR="0006142D" w:rsidRPr="00E25909" w:rsidRDefault="0006142D" w:rsidP="001B41BD">
            <w:r>
              <w:t>22.9</w:t>
            </w:r>
          </w:p>
        </w:tc>
        <w:tc>
          <w:tcPr>
            <w:tcW w:w="3117" w:type="dxa"/>
            <w:vAlign w:val="bottom"/>
          </w:tcPr>
          <w:p w14:paraId="3FDDC6B2" w14:textId="77777777" w:rsidR="0006142D" w:rsidRPr="00E25909" w:rsidRDefault="0006142D" w:rsidP="001B41BD">
            <w:r>
              <w:t>5.7</w:t>
            </w:r>
          </w:p>
        </w:tc>
      </w:tr>
    </w:tbl>
    <w:p w14:paraId="71D09D78" w14:textId="77777777" w:rsidR="0006142D" w:rsidRDefault="0006142D" w:rsidP="0006142D">
      <w:r w:rsidRPr="00F55568">
        <w:t>Source: SC DHEC Enhanced HIV/AIDS Reporting Surveillance Syste</w:t>
      </w:r>
      <w:r>
        <w:t>m.</w:t>
      </w:r>
    </w:p>
    <w:p w14:paraId="7BB7A026" w14:textId="77777777" w:rsidR="0006142D" w:rsidRDefault="0006142D" w:rsidP="0006142D">
      <w:pPr>
        <w:pStyle w:val="Heading4"/>
      </w:pPr>
      <w:bookmarkStart w:id="924" w:name="_Toc154576561"/>
    </w:p>
    <w:p w14:paraId="6B360A1D" w14:textId="2FA8D9C8" w:rsidR="0006142D" w:rsidRDefault="0006142D" w:rsidP="0006142D">
      <w:pPr>
        <w:pStyle w:val="Heading4"/>
      </w:pPr>
      <w:bookmarkStart w:id="925" w:name="_Toc162267625"/>
      <w:r w:rsidRPr="00E85F02">
        <w:t>Figure 9.</w:t>
      </w:r>
      <w:r>
        <w:t>78</w:t>
      </w:r>
      <w:r w:rsidRPr="00E85F02">
        <w:t xml:space="preserve">: </w:t>
      </w:r>
      <w:r>
        <w:t>HIV/AIDS Cases, by Age Group.</w:t>
      </w:r>
      <w:bookmarkEnd w:id="924"/>
      <w:bookmarkEnd w:id="925"/>
    </w:p>
    <w:p w14:paraId="132EEE9A" w14:textId="77777777" w:rsidR="0006142D" w:rsidRDefault="0006142D" w:rsidP="0006142D">
      <w:pPr>
        <w:pStyle w:val="Heading5"/>
      </w:pPr>
      <w:r>
        <w:t>Rate per 100,000 population.</w:t>
      </w:r>
    </w:p>
    <w:tbl>
      <w:tblPr>
        <w:tblStyle w:val="TableGrid"/>
        <w:tblW w:w="9535" w:type="dxa"/>
        <w:tblLook w:val="04A0" w:firstRow="1" w:lastRow="0" w:firstColumn="1" w:lastColumn="0" w:noHBand="0" w:noVBand="1"/>
      </w:tblPr>
      <w:tblGrid>
        <w:gridCol w:w="1525"/>
        <w:gridCol w:w="1468"/>
        <w:gridCol w:w="1313"/>
        <w:gridCol w:w="1539"/>
        <w:gridCol w:w="1710"/>
        <w:gridCol w:w="1980"/>
      </w:tblGrid>
      <w:tr w:rsidR="00F678C8" w14:paraId="7C98BEA9" w14:textId="75100E41" w:rsidTr="006F0EE7">
        <w:tc>
          <w:tcPr>
            <w:tcW w:w="1525" w:type="dxa"/>
            <w:vAlign w:val="bottom"/>
          </w:tcPr>
          <w:p w14:paraId="0A844B5C" w14:textId="77777777" w:rsidR="00F678C8" w:rsidRPr="00F55568" w:rsidRDefault="00F678C8" w:rsidP="001B41BD">
            <w:r>
              <w:t>Age Group</w:t>
            </w:r>
          </w:p>
        </w:tc>
        <w:tc>
          <w:tcPr>
            <w:tcW w:w="1468" w:type="dxa"/>
            <w:vAlign w:val="bottom"/>
          </w:tcPr>
          <w:p w14:paraId="104BD1DB" w14:textId="77777777" w:rsidR="00F678C8" w:rsidRPr="00F55568" w:rsidRDefault="00F678C8" w:rsidP="001B41BD">
            <w:r w:rsidRPr="00F55568">
              <w:t>2017</w:t>
            </w:r>
          </w:p>
        </w:tc>
        <w:tc>
          <w:tcPr>
            <w:tcW w:w="1313" w:type="dxa"/>
            <w:vAlign w:val="bottom"/>
          </w:tcPr>
          <w:p w14:paraId="47BE7255" w14:textId="77777777" w:rsidR="00F678C8" w:rsidRPr="00F55568" w:rsidRDefault="00F678C8" w:rsidP="001B41BD">
            <w:r w:rsidRPr="00F55568">
              <w:t>2018</w:t>
            </w:r>
          </w:p>
        </w:tc>
        <w:tc>
          <w:tcPr>
            <w:tcW w:w="1539" w:type="dxa"/>
            <w:vAlign w:val="bottom"/>
          </w:tcPr>
          <w:p w14:paraId="7035146C" w14:textId="77777777" w:rsidR="00F678C8" w:rsidRPr="00F55568" w:rsidRDefault="00F678C8" w:rsidP="001B41BD">
            <w:r w:rsidRPr="00F55568">
              <w:t>2019</w:t>
            </w:r>
          </w:p>
        </w:tc>
        <w:tc>
          <w:tcPr>
            <w:tcW w:w="1710" w:type="dxa"/>
            <w:vAlign w:val="bottom"/>
          </w:tcPr>
          <w:p w14:paraId="3F5D6281" w14:textId="77777777" w:rsidR="00F678C8" w:rsidRPr="00F55568" w:rsidRDefault="00F678C8" w:rsidP="001B41BD">
            <w:r w:rsidRPr="00F55568">
              <w:t>2020</w:t>
            </w:r>
          </w:p>
        </w:tc>
        <w:tc>
          <w:tcPr>
            <w:tcW w:w="1980" w:type="dxa"/>
            <w:vAlign w:val="bottom"/>
          </w:tcPr>
          <w:p w14:paraId="03FFDA6A" w14:textId="7D0B3D5D" w:rsidR="00F678C8" w:rsidRPr="00F55568" w:rsidRDefault="00F678C8" w:rsidP="006F0EE7">
            <w:r>
              <w:t>2021</w:t>
            </w:r>
          </w:p>
        </w:tc>
      </w:tr>
      <w:tr w:rsidR="00F678C8" w14:paraId="42784D20" w14:textId="639660A0" w:rsidTr="006F0EE7">
        <w:tc>
          <w:tcPr>
            <w:tcW w:w="1525" w:type="dxa"/>
            <w:vAlign w:val="bottom"/>
          </w:tcPr>
          <w:p w14:paraId="0AD74465" w14:textId="77777777" w:rsidR="00F678C8" w:rsidRPr="00F55568" w:rsidRDefault="00F678C8" w:rsidP="001B41BD">
            <w:r w:rsidRPr="00F55568">
              <w:t>15-19 Years</w:t>
            </w:r>
          </w:p>
        </w:tc>
        <w:tc>
          <w:tcPr>
            <w:tcW w:w="1468" w:type="dxa"/>
            <w:vAlign w:val="bottom"/>
          </w:tcPr>
          <w:p w14:paraId="7F6798D9" w14:textId="77777777" w:rsidR="00F678C8" w:rsidRPr="00F55568" w:rsidRDefault="00F678C8" w:rsidP="001B41BD">
            <w:r w:rsidRPr="00F55568">
              <w:t>9.6</w:t>
            </w:r>
          </w:p>
        </w:tc>
        <w:tc>
          <w:tcPr>
            <w:tcW w:w="1313" w:type="dxa"/>
            <w:vAlign w:val="bottom"/>
          </w:tcPr>
          <w:p w14:paraId="445FCBF2" w14:textId="77777777" w:rsidR="00F678C8" w:rsidRPr="00F55568" w:rsidRDefault="00F678C8" w:rsidP="001B41BD">
            <w:r w:rsidRPr="00F55568">
              <w:t>11.4</w:t>
            </w:r>
          </w:p>
        </w:tc>
        <w:tc>
          <w:tcPr>
            <w:tcW w:w="1539" w:type="dxa"/>
            <w:vAlign w:val="bottom"/>
          </w:tcPr>
          <w:p w14:paraId="2A1FDA35" w14:textId="77777777" w:rsidR="00F678C8" w:rsidRPr="00F55568" w:rsidRDefault="00F678C8" w:rsidP="001B41BD">
            <w:r w:rsidRPr="00F55568">
              <w:t>14.7</w:t>
            </w:r>
          </w:p>
        </w:tc>
        <w:tc>
          <w:tcPr>
            <w:tcW w:w="1710" w:type="dxa"/>
            <w:vAlign w:val="bottom"/>
          </w:tcPr>
          <w:p w14:paraId="2302EE2F" w14:textId="77777777" w:rsidR="00F678C8" w:rsidRPr="00F55568" w:rsidRDefault="00F678C8" w:rsidP="001B41BD">
            <w:r w:rsidRPr="00F55568">
              <w:t>8.6</w:t>
            </w:r>
          </w:p>
        </w:tc>
        <w:tc>
          <w:tcPr>
            <w:tcW w:w="1980" w:type="dxa"/>
            <w:vAlign w:val="bottom"/>
          </w:tcPr>
          <w:p w14:paraId="1B05D828" w14:textId="6FE54B5E" w:rsidR="00F678C8" w:rsidRPr="00F55568" w:rsidRDefault="006F0EE7" w:rsidP="006F0EE7">
            <w:r>
              <w:t>13.2</w:t>
            </w:r>
          </w:p>
        </w:tc>
      </w:tr>
      <w:tr w:rsidR="00F678C8" w14:paraId="3019ECAE" w14:textId="339F307C" w:rsidTr="006F0EE7">
        <w:tc>
          <w:tcPr>
            <w:tcW w:w="1525" w:type="dxa"/>
            <w:vAlign w:val="bottom"/>
          </w:tcPr>
          <w:p w14:paraId="1C33AC7A" w14:textId="77777777" w:rsidR="00F678C8" w:rsidRPr="00F55568" w:rsidRDefault="00F678C8" w:rsidP="001B41BD">
            <w:r w:rsidRPr="00F55568">
              <w:t>20-24 Years</w:t>
            </w:r>
          </w:p>
        </w:tc>
        <w:tc>
          <w:tcPr>
            <w:tcW w:w="1468" w:type="dxa"/>
            <w:vAlign w:val="bottom"/>
          </w:tcPr>
          <w:p w14:paraId="056C94B9" w14:textId="77777777" w:rsidR="00F678C8" w:rsidRPr="00F55568" w:rsidRDefault="00F678C8" w:rsidP="001B41BD">
            <w:r w:rsidRPr="00F55568">
              <w:t>42.1</w:t>
            </w:r>
          </w:p>
        </w:tc>
        <w:tc>
          <w:tcPr>
            <w:tcW w:w="1313" w:type="dxa"/>
            <w:vAlign w:val="bottom"/>
          </w:tcPr>
          <w:p w14:paraId="31922CDD" w14:textId="77777777" w:rsidR="00F678C8" w:rsidRPr="00F55568" w:rsidRDefault="00F678C8" w:rsidP="001B41BD">
            <w:r w:rsidRPr="00F55568">
              <w:t>38.0</w:t>
            </w:r>
          </w:p>
        </w:tc>
        <w:tc>
          <w:tcPr>
            <w:tcW w:w="1539" w:type="dxa"/>
            <w:vAlign w:val="bottom"/>
          </w:tcPr>
          <w:p w14:paraId="4FCFE1D7" w14:textId="77777777" w:rsidR="00F678C8" w:rsidRPr="00F55568" w:rsidRDefault="00F678C8" w:rsidP="001B41BD">
            <w:r w:rsidRPr="00F55568">
              <w:t>47.2</w:t>
            </w:r>
          </w:p>
        </w:tc>
        <w:tc>
          <w:tcPr>
            <w:tcW w:w="1710" w:type="dxa"/>
            <w:vAlign w:val="bottom"/>
          </w:tcPr>
          <w:p w14:paraId="7517E0D9" w14:textId="77777777" w:rsidR="00F678C8" w:rsidRPr="00F55568" w:rsidRDefault="00F678C8" w:rsidP="001B41BD">
            <w:r w:rsidRPr="00F55568">
              <w:t>37.2</w:t>
            </w:r>
          </w:p>
        </w:tc>
        <w:tc>
          <w:tcPr>
            <w:tcW w:w="1980" w:type="dxa"/>
            <w:vAlign w:val="bottom"/>
          </w:tcPr>
          <w:p w14:paraId="7D13D5F7" w14:textId="001F87E2" w:rsidR="00F678C8" w:rsidRPr="00F55568" w:rsidRDefault="006F0EE7" w:rsidP="006F0EE7">
            <w:r>
              <w:t>38.6</w:t>
            </w:r>
          </w:p>
        </w:tc>
      </w:tr>
      <w:tr w:rsidR="00F678C8" w14:paraId="64C988DC" w14:textId="2BC3A163" w:rsidTr="006F0EE7">
        <w:tc>
          <w:tcPr>
            <w:tcW w:w="1525" w:type="dxa"/>
            <w:vAlign w:val="bottom"/>
          </w:tcPr>
          <w:p w14:paraId="6D998ED3" w14:textId="77777777" w:rsidR="00F678C8" w:rsidRPr="00F55568" w:rsidRDefault="00F678C8" w:rsidP="001B41BD">
            <w:r w:rsidRPr="00F55568">
              <w:t>25-29 Years</w:t>
            </w:r>
          </w:p>
        </w:tc>
        <w:tc>
          <w:tcPr>
            <w:tcW w:w="1468" w:type="dxa"/>
            <w:vAlign w:val="bottom"/>
          </w:tcPr>
          <w:p w14:paraId="370916A9" w14:textId="77777777" w:rsidR="00F678C8" w:rsidRPr="00F55568" w:rsidRDefault="00F678C8" w:rsidP="001B41BD">
            <w:r w:rsidRPr="00F55568">
              <w:t>40.4</w:t>
            </w:r>
          </w:p>
        </w:tc>
        <w:tc>
          <w:tcPr>
            <w:tcW w:w="1313" w:type="dxa"/>
            <w:vAlign w:val="bottom"/>
          </w:tcPr>
          <w:p w14:paraId="72B71B59" w14:textId="77777777" w:rsidR="00F678C8" w:rsidRPr="00F55568" w:rsidRDefault="00F678C8" w:rsidP="001B41BD">
            <w:r w:rsidRPr="00F55568">
              <w:t>49.9</w:t>
            </w:r>
          </w:p>
        </w:tc>
        <w:tc>
          <w:tcPr>
            <w:tcW w:w="1539" w:type="dxa"/>
            <w:vAlign w:val="bottom"/>
          </w:tcPr>
          <w:p w14:paraId="75A109E2" w14:textId="77777777" w:rsidR="00F678C8" w:rsidRPr="00F55568" w:rsidRDefault="00F678C8" w:rsidP="001B41BD">
            <w:r w:rsidRPr="00F55568">
              <w:t>44.1</w:t>
            </w:r>
          </w:p>
        </w:tc>
        <w:tc>
          <w:tcPr>
            <w:tcW w:w="1710" w:type="dxa"/>
            <w:vAlign w:val="bottom"/>
          </w:tcPr>
          <w:p w14:paraId="3E051A2A" w14:textId="77777777" w:rsidR="00F678C8" w:rsidRPr="00F55568" w:rsidRDefault="00F678C8" w:rsidP="001B41BD">
            <w:r w:rsidRPr="00F55568">
              <w:t>40.5</w:t>
            </w:r>
          </w:p>
        </w:tc>
        <w:tc>
          <w:tcPr>
            <w:tcW w:w="1980" w:type="dxa"/>
            <w:vAlign w:val="bottom"/>
          </w:tcPr>
          <w:p w14:paraId="0B13119C" w14:textId="6D0E22C4" w:rsidR="00F678C8" w:rsidRPr="00F55568" w:rsidRDefault="006F0EE7" w:rsidP="006F0EE7">
            <w:r>
              <w:t>39.1</w:t>
            </w:r>
          </w:p>
        </w:tc>
      </w:tr>
      <w:tr w:rsidR="00F678C8" w14:paraId="60DD7C57" w14:textId="4C06D8AD" w:rsidTr="006F0EE7">
        <w:tc>
          <w:tcPr>
            <w:tcW w:w="1525" w:type="dxa"/>
            <w:vAlign w:val="bottom"/>
          </w:tcPr>
          <w:p w14:paraId="22944454" w14:textId="77777777" w:rsidR="00F678C8" w:rsidRPr="00F55568" w:rsidRDefault="00F678C8" w:rsidP="001B41BD">
            <w:r w:rsidRPr="00F55568">
              <w:t>30-39 Years</w:t>
            </w:r>
          </w:p>
        </w:tc>
        <w:tc>
          <w:tcPr>
            <w:tcW w:w="1468" w:type="dxa"/>
            <w:vAlign w:val="bottom"/>
          </w:tcPr>
          <w:p w14:paraId="2D0E0D47" w14:textId="77777777" w:rsidR="00F678C8" w:rsidRPr="00F55568" w:rsidRDefault="00F678C8" w:rsidP="001B41BD">
            <w:r w:rsidRPr="00F55568">
              <w:t>27.0</w:t>
            </w:r>
          </w:p>
        </w:tc>
        <w:tc>
          <w:tcPr>
            <w:tcW w:w="1313" w:type="dxa"/>
            <w:vAlign w:val="bottom"/>
          </w:tcPr>
          <w:p w14:paraId="0F203091" w14:textId="77777777" w:rsidR="00F678C8" w:rsidRPr="00F55568" w:rsidRDefault="00F678C8" w:rsidP="001B41BD">
            <w:r w:rsidRPr="00F55568">
              <w:t>25.2</w:t>
            </w:r>
          </w:p>
        </w:tc>
        <w:tc>
          <w:tcPr>
            <w:tcW w:w="1539" w:type="dxa"/>
            <w:vAlign w:val="bottom"/>
          </w:tcPr>
          <w:p w14:paraId="60F3E0FF" w14:textId="77777777" w:rsidR="00F678C8" w:rsidRPr="00F55568" w:rsidRDefault="00F678C8" w:rsidP="001B41BD">
            <w:r w:rsidRPr="00F55568">
              <w:t>27.1</w:t>
            </w:r>
          </w:p>
        </w:tc>
        <w:tc>
          <w:tcPr>
            <w:tcW w:w="1710" w:type="dxa"/>
            <w:vAlign w:val="bottom"/>
          </w:tcPr>
          <w:p w14:paraId="070B8AEE" w14:textId="77777777" w:rsidR="00F678C8" w:rsidRPr="00F55568" w:rsidRDefault="00F678C8" w:rsidP="001B41BD">
            <w:r w:rsidRPr="00F55568">
              <w:t>29.9</w:t>
            </w:r>
          </w:p>
        </w:tc>
        <w:tc>
          <w:tcPr>
            <w:tcW w:w="1980" w:type="dxa"/>
            <w:vAlign w:val="bottom"/>
          </w:tcPr>
          <w:p w14:paraId="3DB3504C" w14:textId="02E2747F" w:rsidR="00F678C8" w:rsidRPr="00F55568" w:rsidRDefault="006F0EE7" w:rsidP="006F0EE7">
            <w:r>
              <w:t>28.7</w:t>
            </w:r>
          </w:p>
        </w:tc>
      </w:tr>
      <w:tr w:rsidR="00F678C8" w14:paraId="3D337F45" w14:textId="5FD5A8F4" w:rsidTr="006F0EE7">
        <w:tc>
          <w:tcPr>
            <w:tcW w:w="1525" w:type="dxa"/>
            <w:vAlign w:val="bottom"/>
          </w:tcPr>
          <w:p w14:paraId="2BF7F212" w14:textId="77777777" w:rsidR="00F678C8" w:rsidRPr="00F55568" w:rsidRDefault="00F678C8" w:rsidP="001B41BD">
            <w:r w:rsidRPr="00F55568">
              <w:t>40-49 Years</w:t>
            </w:r>
          </w:p>
        </w:tc>
        <w:tc>
          <w:tcPr>
            <w:tcW w:w="1468" w:type="dxa"/>
            <w:vAlign w:val="bottom"/>
          </w:tcPr>
          <w:p w14:paraId="620E558F" w14:textId="77777777" w:rsidR="00F678C8" w:rsidRPr="00F55568" w:rsidRDefault="00F678C8" w:rsidP="001B41BD">
            <w:r w:rsidRPr="00F55568">
              <w:t>21.2</w:t>
            </w:r>
          </w:p>
        </w:tc>
        <w:tc>
          <w:tcPr>
            <w:tcW w:w="1313" w:type="dxa"/>
            <w:vAlign w:val="bottom"/>
          </w:tcPr>
          <w:p w14:paraId="5AF5318E" w14:textId="77777777" w:rsidR="00F678C8" w:rsidRPr="00F55568" w:rsidRDefault="00F678C8" w:rsidP="001B41BD">
            <w:r w:rsidRPr="00F55568">
              <w:t>21.9</w:t>
            </w:r>
          </w:p>
        </w:tc>
        <w:tc>
          <w:tcPr>
            <w:tcW w:w="1539" w:type="dxa"/>
            <w:vAlign w:val="bottom"/>
          </w:tcPr>
          <w:p w14:paraId="0B7AEFED" w14:textId="77777777" w:rsidR="00F678C8" w:rsidRPr="00F55568" w:rsidRDefault="00F678C8" w:rsidP="001B41BD">
            <w:r w:rsidRPr="00F55568">
              <w:t>14.2</w:t>
            </w:r>
          </w:p>
        </w:tc>
        <w:tc>
          <w:tcPr>
            <w:tcW w:w="1710" w:type="dxa"/>
            <w:vAlign w:val="bottom"/>
          </w:tcPr>
          <w:p w14:paraId="06531AB0" w14:textId="77777777" w:rsidR="00F678C8" w:rsidRPr="00F55568" w:rsidRDefault="00F678C8" w:rsidP="001B41BD">
            <w:r w:rsidRPr="00F55568">
              <w:t>17.1</w:t>
            </w:r>
          </w:p>
        </w:tc>
        <w:tc>
          <w:tcPr>
            <w:tcW w:w="1980" w:type="dxa"/>
            <w:vAlign w:val="bottom"/>
          </w:tcPr>
          <w:p w14:paraId="22BF8BBC" w14:textId="128798C5" w:rsidR="00F678C8" w:rsidRPr="00F55568" w:rsidRDefault="006F0EE7" w:rsidP="006F0EE7">
            <w:r>
              <w:t>17.7</w:t>
            </w:r>
          </w:p>
        </w:tc>
      </w:tr>
      <w:tr w:rsidR="00F678C8" w14:paraId="60F9F322" w14:textId="79E63837" w:rsidTr="006F0EE7">
        <w:tc>
          <w:tcPr>
            <w:tcW w:w="1525" w:type="dxa"/>
            <w:vAlign w:val="bottom"/>
          </w:tcPr>
          <w:p w14:paraId="7BA64FC8" w14:textId="77777777" w:rsidR="00F678C8" w:rsidRPr="00F55568" w:rsidRDefault="00F678C8" w:rsidP="001B41BD">
            <w:r w:rsidRPr="00F55568">
              <w:t>50-59 Years</w:t>
            </w:r>
          </w:p>
        </w:tc>
        <w:tc>
          <w:tcPr>
            <w:tcW w:w="1468" w:type="dxa"/>
            <w:vAlign w:val="bottom"/>
          </w:tcPr>
          <w:p w14:paraId="364FA411" w14:textId="77777777" w:rsidR="00F678C8" w:rsidRPr="00F55568" w:rsidRDefault="00F678C8" w:rsidP="001B41BD">
            <w:r w:rsidRPr="00F55568">
              <w:t>15.2</w:t>
            </w:r>
          </w:p>
        </w:tc>
        <w:tc>
          <w:tcPr>
            <w:tcW w:w="1313" w:type="dxa"/>
            <w:vAlign w:val="bottom"/>
          </w:tcPr>
          <w:p w14:paraId="2855F61F" w14:textId="77777777" w:rsidR="00F678C8" w:rsidRPr="00F55568" w:rsidRDefault="00F678C8" w:rsidP="001B41BD">
            <w:r w:rsidRPr="00F55568">
              <w:t>12.2</w:t>
            </w:r>
          </w:p>
        </w:tc>
        <w:tc>
          <w:tcPr>
            <w:tcW w:w="1539" w:type="dxa"/>
            <w:vAlign w:val="bottom"/>
          </w:tcPr>
          <w:p w14:paraId="04CFC3DB" w14:textId="77777777" w:rsidR="00F678C8" w:rsidRPr="00F55568" w:rsidRDefault="00F678C8" w:rsidP="001B41BD">
            <w:r w:rsidRPr="00F55568">
              <w:t>12.3</w:t>
            </w:r>
          </w:p>
        </w:tc>
        <w:tc>
          <w:tcPr>
            <w:tcW w:w="1710" w:type="dxa"/>
            <w:vAlign w:val="bottom"/>
          </w:tcPr>
          <w:p w14:paraId="31994BB4" w14:textId="77777777" w:rsidR="00F678C8" w:rsidRPr="00F55568" w:rsidRDefault="00F678C8" w:rsidP="001B41BD">
            <w:r w:rsidRPr="00F55568">
              <w:t>12.3</w:t>
            </w:r>
          </w:p>
        </w:tc>
        <w:tc>
          <w:tcPr>
            <w:tcW w:w="1980" w:type="dxa"/>
            <w:vAlign w:val="bottom"/>
          </w:tcPr>
          <w:p w14:paraId="10078434" w14:textId="425583F3" w:rsidR="00F678C8" w:rsidRPr="00F55568" w:rsidRDefault="006F0EE7" w:rsidP="006F0EE7">
            <w:r>
              <w:t>11.7</w:t>
            </w:r>
          </w:p>
        </w:tc>
      </w:tr>
      <w:tr w:rsidR="00F678C8" w14:paraId="49123FE8" w14:textId="7060A056" w:rsidTr="006F0EE7">
        <w:tc>
          <w:tcPr>
            <w:tcW w:w="1525" w:type="dxa"/>
            <w:vAlign w:val="bottom"/>
          </w:tcPr>
          <w:p w14:paraId="6FF148C6" w14:textId="77777777" w:rsidR="00F678C8" w:rsidRPr="00F55568" w:rsidRDefault="00F678C8" w:rsidP="001B41BD">
            <w:r w:rsidRPr="00F55568">
              <w:t>60+ Years</w:t>
            </w:r>
          </w:p>
        </w:tc>
        <w:tc>
          <w:tcPr>
            <w:tcW w:w="1468" w:type="dxa"/>
            <w:vAlign w:val="bottom"/>
          </w:tcPr>
          <w:p w14:paraId="1681C393" w14:textId="77777777" w:rsidR="00F678C8" w:rsidRPr="00F55568" w:rsidRDefault="00F678C8" w:rsidP="001B41BD">
            <w:r w:rsidRPr="00F55568">
              <w:t>3.4</w:t>
            </w:r>
          </w:p>
        </w:tc>
        <w:tc>
          <w:tcPr>
            <w:tcW w:w="1313" w:type="dxa"/>
            <w:vAlign w:val="bottom"/>
          </w:tcPr>
          <w:p w14:paraId="0B38AA9C" w14:textId="77777777" w:rsidR="00F678C8" w:rsidRPr="00F55568" w:rsidRDefault="00F678C8" w:rsidP="001B41BD">
            <w:r w:rsidRPr="00F55568">
              <w:t>2.8</w:t>
            </w:r>
          </w:p>
        </w:tc>
        <w:tc>
          <w:tcPr>
            <w:tcW w:w="1539" w:type="dxa"/>
            <w:vAlign w:val="bottom"/>
          </w:tcPr>
          <w:p w14:paraId="17F5CBBC" w14:textId="77777777" w:rsidR="00F678C8" w:rsidRPr="00F55568" w:rsidRDefault="00F678C8" w:rsidP="001B41BD">
            <w:r w:rsidRPr="00F55568">
              <w:t>4.0</w:t>
            </w:r>
          </w:p>
        </w:tc>
        <w:tc>
          <w:tcPr>
            <w:tcW w:w="1710" w:type="dxa"/>
            <w:vAlign w:val="bottom"/>
          </w:tcPr>
          <w:p w14:paraId="4B95B374" w14:textId="77777777" w:rsidR="00F678C8" w:rsidRPr="00F55568" w:rsidRDefault="00F678C8" w:rsidP="001B41BD">
            <w:r w:rsidRPr="00F55568">
              <w:t>3.6</w:t>
            </w:r>
          </w:p>
        </w:tc>
        <w:tc>
          <w:tcPr>
            <w:tcW w:w="1980" w:type="dxa"/>
            <w:vAlign w:val="bottom"/>
          </w:tcPr>
          <w:p w14:paraId="45F400AC" w14:textId="5B17FE9D" w:rsidR="00F678C8" w:rsidRPr="00F55568" w:rsidRDefault="006F0EE7" w:rsidP="006F0EE7">
            <w:r>
              <w:t>2.9</w:t>
            </w:r>
          </w:p>
        </w:tc>
      </w:tr>
    </w:tbl>
    <w:p w14:paraId="5C2A8E28" w14:textId="77777777" w:rsidR="0006142D" w:rsidRDefault="0006142D" w:rsidP="0006142D">
      <w:r w:rsidRPr="00F55568">
        <w:t>Source: SC DHEC Enhanced HIV/AIDS Reporting Surveillance System.</w:t>
      </w:r>
    </w:p>
    <w:p w14:paraId="4E69E24C" w14:textId="77777777" w:rsidR="0006142D" w:rsidRDefault="0006142D" w:rsidP="0006142D"/>
    <w:p w14:paraId="66EF2363" w14:textId="77777777" w:rsidR="0006142D" w:rsidRPr="0006142D" w:rsidRDefault="0006142D" w:rsidP="0006142D">
      <w:pPr>
        <w:pStyle w:val="Heading4"/>
      </w:pPr>
      <w:bookmarkStart w:id="926" w:name="_Toc162267626"/>
      <w:r w:rsidRPr="0006142D">
        <w:t>Data Interpretations:</w:t>
      </w:r>
      <w:bookmarkEnd w:id="926"/>
      <w:r w:rsidRPr="0006142D">
        <w:t xml:space="preserve"> </w:t>
      </w:r>
    </w:p>
    <w:p w14:paraId="2C129734" w14:textId="27AFDD1D" w:rsidR="0006142D" w:rsidRDefault="0006142D" w:rsidP="0006142D">
      <w:r w:rsidRPr="0006142D">
        <w:t xml:space="preserve">From 2002 to 2021 there was a steady increase in the number of people living with HIV/AIDS (or HIV/AIDS prevalence) in SC, while the number of new diagnoses (incidence) and deaths remained approximately </w:t>
      </w:r>
      <w:proofErr w:type="gramStart"/>
      <w:r w:rsidRPr="0006142D">
        <w:t>stable  (</w:t>
      </w:r>
      <w:proofErr w:type="gramEnd"/>
      <w:r w:rsidRPr="0006142D">
        <w:rPr>
          <w:b/>
          <w:bCs/>
        </w:rPr>
        <w:t>Figure 9.76</w:t>
      </w:r>
      <w:r w:rsidRPr="0006142D">
        <w:t xml:space="preserve">). As more people are diagnosed, start antiretroviral treatment, and remain in care, PWH will continue to live longer and healthier lives while HIV/AIDS mortality will continue to decline in the state. Within the same population, men are disproportionately affected by HIV/AIDS more than women. Men make up 48% of SC’s total </w:t>
      </w:r>
      <w:r w:rsidRPr="0006142D">
        <w:lastRenderedPageBreak/>
        <w:t>population but comprise 79% of the total HIV/AIDS burden in the state.136 Between 2012 and 2021, the rate of newly diagnosed HIV cases decreased in women by up to 10% from 2012 (6.38) to 2021 (5.72), with only a slight decrease reported in men during th</w:t>
      </w:r>
      <w:r w:rsidR="00F0225E">
        <w:t>e</w:t>
      </w:r>
      <w:r w:rsidRPr="0006142D">
        <w:t xml:space="preserve"> same reporting period (</w:t>
      </w:r>
      <w:r w:rsidRPr="0006142D">
        <w:rPr>
          <w:b/>
          <w:bCs/>
        </w:rPr>
        <w:t>Figure 9.77</w:t>
      </w:r>
      <w:r w:rsidRPr="0006142D">
        <w:t xml:space="preserve">). </w:t>
      </w:r>
    </w:p>
    <w:p w14:paraId="0B19C99F" w14:textId="77777777" w:rsidR="00F0225E" w:rsidRPr="0006142D" w:rsidRDefault="00F0225E" w:rsidP="0006142D"/>
    <w:p w14:paraId="603F7EAE" w14:textId="2DAEA6DF" w:rsidR="0006142D" w:rsidRPr="0006142D" w:rsidRDefault="0006142D" w:rsidP="0006142D">
      <w:r w:rsidRPr="0006142D">
        <w:t>Blacks were disproportionately impacted more than other populations. Blacks make up 27% of the population of SC yet contribute up to 65% of the total HIV burden in the state. MSM contributed up to 83% of newly diagnosed HIV cases in SC in 2021, the majority of whom were Black men.</w:t>
      </w:r>
    </w:p>
    <w:p w14:paraId="1A483398" w14:textId="77777777" w:rsidR="0006142D" w:rsidRDefault="0006142D" w:rsidP="0006142D"/>
    <w:p w14:paraId="7EEBBC6A" w14:textId="5EF00F8E" w:rsidR="0006142D" w:rsidRPr="0006142D" w:rsidRDefault="0006142D" w:rsidP="0006142D">
      <w:r w:rsidRPr="0006142D">
        <w:t xml:space="preserve">In SC from 2017-2021, adolescents and young adults experienced a disproportionate burden of HIV/AIDS when compared to other age groups in the state. Between 2020-2021, 68% of new cases diagnosed were under age 40, with the largest proportion in ages 20-29 (46%; </w:t>
      </w:r>
      <w:r w:rsidRPr="0006142D">
        <w:rPr>
          <w:b/>
          <w:bCs/>
        </w:rPr>
        <w:t>Figure 9.78</w:t>
      </w:r>
      <w:r w:rsidRPr="0006142D">
        <w:t>)</w:t>
      </w:r>
      <w:r>
        <w:t>.</w:t>
      </w:r>
    </w:p>
    <w:p w14:paraId="0036D169" w14:textId="77777777" w:rsidR="0006142D" w:rsidRDefault="0006142D" w:rsidP="0006142D"/>
    <w:p w14:paraId="34A81B3B" w14:textId="3A91A369" w:rsidR="0006142D" w:rsidRPr="0006142D" w:rsidRDefault="0006142D" w:rsidP="0006142D">
      <w:r w:rsidRPr="0006142D">
        <w:t xml:space="preserve">HIV/AIDS transmission is more prevalent among populations that experience disparities in social determinants of health, including poverty, health insurance, income inequality, education, and unemployment. These are predictors of whether a person would access HIV treatment or prevention services or not, and may lead to disproportionately high burden of HIV within a given community. </w:t>
      </w:r>
    </w:p>
    <w:p w14:paraId="6604296E" w14:textId="42317644" w:rsidR="0006142D" w:rsidRDefault="0006142D" w:rsidP="0006142D">
      <w:r w:rsidRPr="0006142D">
        <w:t xml:space="preserve">Eighty-seven percent of new HIV diagnoses in SC are linked to people who are not in care or those who do not know their HIV status. Ending the HIV </w:t>
      </w:r>
      <w:r w:rsidR="00F0225E">
        <w:t>E</w:t>
      </w:r>
      <w:r w:rsidRPr="0006142D">
        <w:t xml:space="preserve">pidemic </w:t>
      </w:r>
      <w:r w:rsidR="00F0225E">
        <w:t xml:space="preserve">(EHE) </w:t>
      </w:r>
      <w:r w:rsidRPr="0006142D">
        <w:t>will require building and strengthening partnerships, addressing stigma and disparities, expanding HIV testing, treatment, rapid linkage to care services, and ensuring people are retained in care to achieve viral suppression. PWH who achieve viral suppression and remain virally undetectable cannot transmit HIV to sexual partners. Of the 19,872 PWH in SC in 2021, 15,077 (76%) received any form of care, and 13,199 (67%) attained viral suppression.</w:t>
      </w:r>
    </w:p>
    <w:p w14:paraId="0C286188" w14:textId="77777777" w:rsidR="0006142D" w:rsidRDefault="0006142D" w:rsidP="0006142D">
      <w:pPr>
        <w:pStyle w:val="Heading5"/>
      </w:pPr>
    </w:p>
    <w:p w14:paraId="255F7CD4" w14:textId="0EA93379" w:rsidR="0006142D" w:rsidRDefault="0006142D" w:rsidP="0006142D">
      <w:pPr>
        <w:pStyle w:val="Heading5"/>
      </w:pPr>
      <w:r w:rsidRPr="0030357E">
        <w:t xml:space="preserve">Key Takeaways: </w:t>
      </w:r>
    </w:p>
    <w:p w14:paraId="741C2813" w14:textId="2A236758" w:rsidR="0006142D" w:rsidRPr="0006142D" w:rsidRDefault="0006142D" w:rsidP="00926EB3">
      <w:pPr>
        <w:pStyle w:val="ListParagraph"/>
        <w:numPr>
          <w:ilvl w:val="0"/>
          <w:numId w:val="228"/>
        </w:numPr>
      </w:pPr>
      <w:r w:rsidRPr="0006142D">
        <w:t>There is no cure for HIV. However, there are effective antiretroviral medications which, if taken as prescribed, can treat or prevent HIV. Early diagnosis is key to successful treatment, a reduction in new HIV transmissions, and an overall increase in quality and longevity of life.</w:t>
      </w:r>
    </w:p>
    <w:p w14:paraId="6460D8C1" w14:textId="77777777" w:rsidR="0006142D" w:rsidRDefault="0006142D" w:rsidP="0006142D"/>
    <w:p w14:paraId="4F1B6922" w14:textId="30AA2876" w:rsidR="0006142D" w:rsidRPr="00474B85" w:rsidRDefault="0006142D" w:rsidP="0006142D">
      <w:pPr>
        <w:pStyle w:val="Heading4"/>
        <w:rPr>
          <w:rFonts w:asciiTheme="minorHAnsi" w:hAnsiTheme="minorHAnsi" w:cstheme="minorHAnsi"/>
          <w:color w:val="000000" w:themeColor="text1"/>
        </w:rPr>
      </w:pPr>
      <w:bookmarkStart w:id="927" w:name="_Toc162267627"/>
      <w:r w:rsidRPr="00474B85">
        <w:rPr>
          <w:rFonts w:asciiTheme="minorHAnsi" w:hAnsiTheme="minorHAnsi" w:cstheme="minorHAnsi"/>
          <w:color w:val="000000" w:themeColor="text1"/>
        </w:rPr>
        <w:t>References 9.</w:t>
      </w:r>
      <w:r>
        <w:rPr>
          <w:rFonts w:asciiTheme="minorHAnsi" w:hAnsiTheme="minorHAnsi" w:cstheme="minorHAnsi"/>
          <w:color w:val="000000" w:themeColor="text1"/>
        </w:rPr>
        <w:t>30</w:t>
      </w:r>
      <w:bookmarkEnd w:id="927"/>
    </w:p>
    <w:p w14:paraId="699D09ED" w14:textId="77777777" w:rsidR="0006142D" w:rsidRDefault="0006142D" w:rsidP="0006142D">
      <w:r w:rsidRPr="00474B85">
        <w:t>Statistics in the preceding section were referenced from the following reports:</w:t>
      </w:r>
    </w:p>
    <w:p w14:paraId="02840B89" w14:textId="088E78C1" w:rsidR="006449E8" w:rsidRPr="006449E8" w:rsidRDefault="00000000" w:rsidP="00926EB3">
      <w:pPr>
        <w:pStyle w:val="ListParagraph"/>
        <w:numPr>
          <w:ilvl w:val="0"/>
          <w:numId w:val="192"/>
        </w:numPr>
        <w:rPr>
          <w:u w:val="thick"/>
        </w:rPr>
      </w:pPr>
      <w:hyperlink r:id="rId414" w:history="1">
        <w:r w:rsidR="006449E8" w:rsidRPr="006449E8">
          <w:rPr>
            <w:rStyle w:val="Hyperlink"/>
          </w:rPr>
          <w:t>“Division of Prevention, National Center for HIV, Viral Hepatitis, STD, and TB Prevention” by the Centers for Disease Control and Prevention, 2022. Retrieved December 14, 2022.</w:t>
        </w:r>
      </w:hyperlink>
      <w:r w:rsidR="006449E8" w:rsidRPr="006449E8">
        <w:rPr>
          <w:u w:val="thick"/>
        </w:rPr>
        <w:t xml:space="preserve"> </w:t>
      </w:r>
    </w:p>
    <w:p w14:paraId="4B7C494E" w14:textId="5A8C3611" w:rsidR="00882C15" w:rsidRDefault="00000000" w:rsidP="00926EB3">
      <w:pPr>
        <w:pStyle w:val="ListParagraph"/>
        <w:numPr>
          <w:ilvl w:val="0"/>
          <w:numId w:val="192"/>
        </w:numPr>
      </w:pPr>
      <w:hyperlink r:id="rId415" w:history="1">
        <w:r w:rsidR="006449E8" w:rsidRPr="006449E8">
          <w:rPr>
            <w:rStyle w:val="Hyperlink"/>
          </w:rPr>
          <w:t>“South Carolina Epidemiologic Profile of HIV, AIDS, and Sexually Transmitted Infections” by SC DHEC, 2022. Retrieved December 31, 2022.</w:t>
        </w:r>
      </w:hyperlink>
    </w:p>
    <w:p w14:paraId="2CC23F79" w14:textId="0C4E9BE1" w:rsidR="0006142D" w:rsidRDefault="00882C15" w:rsidP="00882C15">
      <w:r>
        <w:br w:type="page"/>
      </w:r>
    </w:p>
    <w:p w14:paraId="3805CA1E" w14:textId="77777777" w:rsidR="00882C15" w:rsidRDefault="00882C15" w:rsidP="00882C15"/>
    <w:p w14:paraId="13E5E463" w14:textId="4049C1F8" w:rsidR="0006142D" w:rsidRDefault="00882C15" w:rsidP="00882C15">
      <w:pPr>
        <w:pStyle w:val="Heading2"/>
      </w:pPr>
      <w:bookmarkStart w:id="928" w:name="_Toc162267628"/>
      <w:r>
        <w:t>Chapter 10: Healthy Aging</w:t>
      </w:r>
      <w:bookmarkEnd w:id="928"/>
    </w:p>
    <w:p w14:paraId="11F27B50" w14:textId="77777777" w:rsidR="00882C15" w:rsidRDefault="00882C15" w:rsidP="00882C15">
      <w:pPr>
        <w:pStyle w:val="Heading3"/>
      </w:pPr>
    </w:p>
    <w:p w14:paraId="46D1AC50" w14:textId="1EADF090" w:rsidR="00882C15" w:rsidRPr="00882C15" w:rsidRDefault="00882C15" w:rsidP="00882C15">
      <w:pPr>
        <w:pStyle w:val="Heading3"/>
      </w:pPr>
      <w:bookmarkStart w:id="929" w:name="_Toc162267629"/>
      <w:r w:rsidRPr="00882C15">
        <w:t>Leading Causes of Death and Hospitalizations</w:t>
      </w:r>
      <w:bookmarkEnd w:id="929"/>
    </w:p>
    <w:p w14:paraId="49A8B45A" w14:textId="5476FA41" w:rsidR="00882C15" w:rsidRPr="00882C15" w:rsidRDefault="00882C15" w:rsidP="00882C15">
      <w:pPr>
        <w:rPr>
          <w:b/>
          <w:bCs/>
        </w:rPr>
      </w:pPr>
      <w:r w:rsidRPr="00882C15">
        <w:t>In 2019, 54.1 million United States (US) adults were 65 and older, representing 16% of the American population. By 2060, it is estimated that there will be 94.7 million adults 65 and older, or nearly one quarter of the population. On average, a 65-year-old American can expect to live another 19 years. Aging increases the risk for a variety of chronic diseases, including dementias, heart disease, type 2 diabetes, arthritis, cancer, injuries such as falls, and infectious diseases such as pneumonia.</w:t>
      </w:r>
      <w:r w:rsidRPr="00882C15">
        <w:rPr>
          <w:b/>
          <w:bCs/>
        </w:rPr>
        <w:t xml:space="preserve"> </w:t>
      </w:r>
      <w:r w:rsidRPr="00882C15">
        <w:t>The leading causes of death among older adults in the US are chronic diseases and roughly 80% of this population have at least one chronic condition. People with multiple chronic diseases account for 2/3 of all health care costs and 93% of Medicare spending.</w:t>
      </w:r>
      <w:r w:rsidRPr="00882C15">
        <w:rPr>
          <w:b/>
          <w:bCs/>
        </w:rPr>
        <w:t xml:space="preserve"> </w:t>
      </w:r>
      <w:r w:rsidRPr="00882C15">
        <w:t>Falls are a leading injury in the older adult population, with an older adult being treated for a fall in the emergency room every 11 seconds and one dying every 19 minutes.</w:t>
      </w:r>
      <w:r w:rsidRPr="00882C15">
        <w:rPr>
          <w:b/>
          <w:bCs/>
        </w:rPr>
        <w:t xml:space="preserve"> </w:t>
      </w:r>
      <w:r w:rsidRPr="00882C15">
        <w:t>Nationally, $50 billion a year is spent treating older adults for the effects of falls. Some protective factors that influence healthy aging include frequent physical activity, a healthy diet, going to the doctor regularly, and taking care of one’s mental health. These actions will help manage chronic conditions, increase the ability to live independently, and maintain a good quality of life.</w:t>
      </w:r>
    </w:p>
    <w:p w14:paraId="528FC0E3" w14:textId="77777777" w:rsidR="00882C15" w:rsidRDefault="00882C15" w:rsidP="00882C15"/>
    <w:p w14:paraId="3C4F4F3D" w14:textId="77777777" w:rsidR="00882C15" w:rsidRPr="00C153EA" w:rsidRDefault="00882C15" w:rsidP="00882C15">
      <w:pPr>
        <w:pStyle w:val="Heading4"/>
      </w:pPr>
      <w:bookmarkStart w:id="930" w:name="_Toc142999513"/>
      <w:bookmarkStart w:id="931" w:name="_Toc154576562"/>
      <w:bookmarkStart w:id="932" w:name="_Toc162267630"/>
      <w:r>
        <w:t>Figur</w:t>
      </w:r>
      <w:r w:rsidRPr="00C153EA">
        <w:t>e 10.1: Leading Causes of Hospitalizations Among Those 65+</w:t>
      </w:r>
      <w:bookmarkEnd w:id="930"/>
      <w:r>
        <w:t>.</w:t>
      </w:r>
      <w:bookmarkEnd w:id="931"/>
      <w:bookmarkEnd w:id="932"/>
      <w:r w:rsidRPr="00C153EA">
        <w:t xml:space="preserve"> </w:t>
      </w:r>
    </w:p>
    <w:tbl>
      <w:tblPr>
        <w:tblStyle w:val="TableGrid"/>
        <w:tblW w:w="0" w:type="auto"/>
        <w:tblLook w:val="04A0" w:firstRow="1" w:lastRow="0" w:firstColumn="1" w:lastColumn="0" w:noHBand="0" w:noVBand="1"/>
      </w:tblPr>
      <w:tblGrid>
        <w:gridCol w:w="4675"/>
        <w:gridCol w:w="4675"/>
      </w:tblGrid>
      <w:tr w:rsidR="00882C15" w:rsidRPr="00C153EA" w14:paraId="734B3B60" w14:textId="77777777" w:rsidTr="001B41BD">
        <w:tc>
          <w:tcPr>
            <w:tcW w:w="4675" w:type="dxa"/>
          </w:tcPr>
          <w:p w14:paraId="499FB831" w14:textId="77777777" w:rsidR="00882C15" w:rsidRPr="00C153EA" w:rsidRDefault="00882C15" w:rsidP="001B41BD">
            <w:r w:rsidRPr="00C153EA">
              <w:t>Cause of Death</w:t>
            </w:r>
          </w:p>
        </w:tc>
        <w:tc>
          <w:tcPr>
            <w:tcW w:w="4675" w:type="dxa"/>
          </w:tcPr>
          <w:p w14:paraId="0F6A1243" w14:textId="77777777" w:rsidR="00882C15" w:rsidRPr="00C153EA" w:rsidRDefault="00882C15" w:rsidP="001B41BD">
            <w:r w:rsidRPr="00C153EA">
              <w:t>Total Deaths</w:t>
            </w:r>
          </w:p>
        </w:tc>
      </w:tr>
      <w:tr w:rsidR="00882C15" w:rsidRPr="00C153EA" w14:paraId="4087E906" w14:textId="77777777" w:rsidTr="001B41BD">
        <w:tc>
          <w:tcPr>
            <w:tcW w:w="4675" w:type="dxa"/>
          </w:tcPr>
          <w:p w14:paraId="2831C411" w14:textId="77777777" w:rsidR="00882C15" w:rsidRPr="00C153EA" w:rsidRDefault="00882C15" w:rsidP="001B41BD">
            <w:r w:rsidRPr="00C153EA">
              <w:t>Sepsis</w:t>
            </w:r>
          </w:p>
        </w:tc>
        <w:tc>
          <w:tcPr>
            <w:tcW w:w="4675" w:type="dxa"/>
          </w:tcPr>
          <w:p w14:paraId="183B9320" w14:textId="77777777" w:rsidR="00882C15" w:rsidRPr="00C153EA" w:rsidRDefault="00882C15" w:rsidP="001B41BD">
            <w:r w:rsidRPr="00C153EA">
              <w:t>18,998</w:t>
            </w:r>
          </w:p>
        </w:tc>
      </w:tr>
      <w:tr w:rsidR="00882C15" w:rsidRPr="00C153EA" w14:paraId="24A74205" w14:textId="77777777" w:rsidTr="001B41BD">
        <w:tc>
          <w:tcPr>
            <w:tcW w:w="4675" w:type="dxa"/>
          </w:tcPr>
          <w:p w14:paraId="39036013" w14:textId="77777777" w:rsidR="00882C15" w:rsidRPr="00C153EA" w:rsidRDefault="00882C15" w:rsidP="001B41BD">
            <w:r w:rsidRPr="00C153EA">
              <w:t>COVID-19</w:t>
            </w:r>
          </w:p>
        </w:tc>
        <w:tc>
          <w:tcPr>
            <w:tcW w:w="4675" w:type="dxa"/>
          </w:tcPr>
          <w:p w14:paraId="51898B06" w14:textId="77777777" w:rsidR="00882C15" w:rsidRPr="00C153EA" w:rsidRDefault="00882C15" w:rsidP="001B41BD">
            <w:r w:rsidRPr="00C153EA">
              <w:t>16,254</w:t>
            </w:r>
          </w:p>
        </w:tc>
      </w:tr>
      <w:tr w:rsidR="00882C15" w:rsidRPr="00C153EA" w14:paraId="67B8E6CE" w14:textId="77777777" w:rsidTr="001B41BD">
        <w:tc>
          <w:tcPr>
            <w:tcW w:w="4675" w:type="dxa"/>
          </w:tcPr>
          <w:p w14:paraId="3F9C6F51" w14:textId="77777777" w:rsidR="00882C15" w:rsidRPr="00C153EA" w:rsidRDefault="00882C15" w:rsidP="001B41BD">
            <w:r w:rsidRPr="00C153EA">
              <w:t>Hypertensive Heart and Chronic Kidney Disease</w:t>
            </w:r>
          </w:p>
        </w:tc>
        <w:tc>
          <w:tcPr>
            <w:tcW w:w="4675" w:type="dxa"/>
          </w:tcPr>
          <w:p w14:paraId="6F67446C" w14:textId="77777777" w:rsidR="00882C15" w:rsidRPr="00C153EA" w:rsidRDefault="00882C15" w:rsidP="001B41BD">
            <w:r w:rsidRPr="00C153EA">
              <w:t>7,327</w:t>
            </w:r>
          </w:p>
        </w:tc>
      </w:tr>
      <w:tr w:rsidR="00882C15" w:rsidRPr="00C153EA" w14:paraId="183345EA" w14:textId="77777777" w:rsidTr="001B41BD">
        <w:tc>
          <w:tcPr>
            <w:tcW w:w="4675" w:type="dxa"/>
          </w:tcPr>
          <w:p w14:paraId="3B7B6B8A" w14:textId="77777777" w:rsidR="00882C15" w:rsidRPr="00C153EA" w:rsidRDefault="00882C15" w:rsidP="001B41BD">
            <w:r w:rsidRPr="00C153EA">
              <w:t>Stroke</w:t>
            </w:r>
          </w:p>
        </w:tc>
        <w:tc>
          <w:tcPr>
            <w:tcW w:w="4675" w:type="dxa"/>
          </w:tcPr>
          <w:p w14:paraId="08D96CE5" w14:textId="77777777" w:rsidR="00882C15" w:rsidRPr="00C153EA" w:rsidRDefault="00882C15" w:rsidP="001B41BD">
            <w:r w:rsidRPr="00C153EA">
              <w:t>6,678</w:t>
            </w:r>
          </w:p>
        </w:tc>
      </w:tr>
      <w:tr w:rsidR="00882C15" w:rsidRPr="00C153EA" w14:paraId="11820524" w14:textId="77777777" w:rsidTr="001B41BD">
        <w:tc>
          <w:tcPr>
            <w:tcW w:w="4675" w:type="dxa"/>
          </w:tcPr>
          <w:p w14:paraId="020DE8BF" w14:textId="77777777" w:rsidR="00882C15" w:rsidRPr="00C153EA" w:rsidRDefault="00882C15" w:rsidP="001B41BD">
            <w:r w:rsidRPr="00C153EA">
              <w:t>Acute Kidney Failure</w:t>
            </w:r>
          </w:p>
        </w:tc>
        <w:tc>
          <w:tcPr>
            <w:tcW w:w="4675" w:type="dxa"/>
          </w:tcPr>
          <w:p w14:paraId="6AA6867B" w14:textId="77777777" w:rsidR="00882C15" w:rsidRPr="00C153EA" w:rsidRDefault="00882C15" w:rsidP="001B41BD">
            <w:r w:rsidRPr="00C153EA">
              <w:t>6,205</w:t>
            </w:r>
          </w:p>
        </w:tc>
      </w:tr>
      <w:tr w:rsidR="00882C15" w:rsidRPr="00C153EA" w14:paraId="7053D030" w14:textId="77777777" w:rsidTr="001B41BD">
        <w:tc>
          <w:tcPr>
            <w:tcW w:w="4675" w:type="dxa"/>
          </w:tcPr>
          <w:p w14:paraId="440BE223" w14:textId="77777777" w:rsidR="00882C15" w:rsidRPr="00C153EA" w:rsidRDefault="00882C15" w:rsidP="001B41BD">
            <w:r w:rsidRPr="00C153EA">
              <w:t>Atrial Fibrillation and Flutter</w:t>
            </w:r>
          </w:p>
        </w:tc>
        <w:tc>
          <w:tcPr>
            <w:tcW w:w="4675" w:type="dxa"/>
          </w:tcPr>
          <w:p w14:paraId="16EF2B10" w14:textId="77777777" w:rsidR="00882C15" w:rsidRPr="00C153EA" w:rsidRDefault="00882C15" w:rsidP="001B41BD">
            <w:r w:rsidRPr="00C153EA">
              <w:t>6,167</w:t>
            </w:r>
          </w:p>
        </w:tc>
      </w:tr>
      <w:tr w:rsidR="00882C15" w:rsidRPr="00C153EA" w14:paraId="68E27599" w14:textId="77777777" w:rsidTr="001B41BD">
        <w:tc>
          <w:tcPr>
            <w:tcW w:w="4675" w:type="dxa"/>
          </w:tcPr>
          <w:p w14:paraId="5A66B74C" w14:textId="77777777" w:rsidR="00882C15" w:rsidRPr="00C153EA" w:rsidRDefault="00882C15" w:rsidP="001B41BD">
            <w:r w:rsidRPr="00C153EA">
              <w:t>Fracture of Femur</w:t>
            </w:r>
          </w:p>
        </w:tc>
        <w:tc>
          <w:tcPr>
            <w:tcW w:w="4675" w:type="dxa"/>
          </w:tcPr>
          <w:p w14:paraId="3192D42C" w14:textId="77777777" w:rsidR="00882C15" w:rsidRPr="00C153EA" w:rsidRDefault="00882C15" w:rsidP="001B41BD">
            <w:r w:rsidRPr="00C153EA">
              <w:t>5,561</w:t>
            </w:r>
          </w:p>
        </w:tc>
      </w:tr>
      <w:tr w:rsidR="00882C15" w:rsidRPr="00C153EA" w14:paraId="45AA701D" w14:textId="77777777" w:rsidTr="001B41BD">
        <w:tc>
          <w:tcPr>
            <w:tcW w:w="4675" w:type="dxa"/>
          </w:tcPr>
          <w:p w14:paraId="52C651B6" w14:textId="77777777" w:rsidR="00882C15" w:rsidRPr="00C153EA" w:rsidRDefault="00882C15" w:rsidP="001B41BD">
            <w:r w:rsidRPr="00C153EA">
              <w:t>Heart Attach</w:t>
            </w:r>
          </w:p>
        </w:tc>
        <w:tc>
          <w:tcPr>
            <w:tcW w:w="4675" w:type="dxa"/>
          </w:tcPr>
          <w:p w14:paraId="1D3998DF" w14:textId="77777777" w:rsidR="00882C15" w:rsidRPr="00C153EA" w:rsidRDefault="00882C15" w:rsidP="001B41BD">
            <w:r w:rsidRPr="00C153EA">
              <w:t>5,288</w:t>
            </w:r>
          </w:p>
        </w:tc>
      </w:tr>
      <w:tr w:rsidR="00882C15" w:rsidRPr="00C153EA" w14:paraId="530CB963" w14:textId="77777777" w:rsidTr="001B41BD">
        <w:tc>
          <w:tcPr>
            <w:tcW w:w="4675" w:type="dxa"/>
          </w:tcPr>
          <w:p w14:paraId="369BDEDA" w14:textId="77777777" w:rsidR="00882C15" w:rsidRPr="00C153EA" w:rsidRDefault="00882C15" w:rsidP="001B41BD">
            <w:r w:rsidRPr="00C153EA">
              <w:t>Hypertensive Heart Disease</w:t>
            </w:r>
          </w:p>
        </w:tc>
        <w:tc>
          <w:tcPr>
            <w:tcW w:w="4675" w:type="dxa"/>
          </w:tcPr>
          <w:p w14:paraId="14C134A1" w14:textId="77777777" w:rsidR="00882C15" w:rsidRPr="00C153EA" w:rsidRDefault="00882C15" w:rsidP="001B41BD">
            <w:r w:rsidRPr="00C153EA">
              <w:t>4,954</w:t>
            </w:r>
          </w:p>
        </w:tc>
      </w:tr>
      <w:tr w:rsidR="00882C15" w:rsidRPr="00C153EA" w14:paraId="5864BF47" w14:textId="77777777" w:rsidTr="001B41BD">
        <w:tc>
          <w:tcPr>
            <w:tcW w:w="4675" w:type="dxa"/>
          </w:tcPr>
          <w:p w14:paraId="2A30EDF2" w14:textId="77777777" w:rsidR="00882C15" w:rsidRPr="00C153EA" w:rsidRDefault="00882C15" w:rsidP="001B41BD">
            <w:r w:rsidRPr="00C153EA">
              <w:t>Respiratory Failure</w:t>
            </w:r>
          </w:p>
        </w:tc>
        <w:tc>
          <w:tcPr>
            <w:tcW w:w="4675" w:type="dxa"/>
          </w:tcPr>
          <w:p w14:paraId="322534BB" w14:textId="77777777" w:rsidR="00882C15" w:rsidRPr="00C153EA" w:rsidRDefault="00882C15" w:rsidP="001B41BD">
            <w:r w:rsidRPr="00C153EA">
              <w:t>4,101</w:t>
            </w:r>
          </w:p>
        </w:tc>
      </w:tr>
    </w:tbl>
    <w:p w14:paraId="2C0ADC5D" w14:textId="77777777" w:rsidR="00882C15" w:rsidRPr="00C153EA" w:rsidRDefault="00882C15" w:rsidP="00882C15">
      <w:r w:rsidRPr="00C153EA">
        <w:t>Source: SC RFA, 2021. Note: Federal fiscal year.</w:t>
      </w:r>
    </w:p>
    <w:p w14:paraId="37B49FE5" w14:textId="77777777" w:rsidR="00882C15" w:rsidRPr="00C153EA" w:rsidRDefault="00882C15" w:rsidP="00882C15">
      <w:pPr>
        <w:pStyle w:val="Heading4"/>
      </w:pPr>
      <w:bookmarkStart w:id="933" w:name="_Toc142999514"/>
      <w:bookmarkStart w:id="934" w:name="_Toc154576563"/>
      <w:bookmarkStart w:id="935" w:name="_Toc162267631"/>
      <w:r w:rsidRPr="00C153EA">
        <w:lastRenderedPageBreak/>
        <w:t>Table 10.</w:t>
      </w:r>
      <w:r>
        <w:t>1</w:t>
      </w:r>
      <w:r w:rsidRPr="00C153EA">
        <w:t>: Leading Causes of Death, by Age Group</w:t>
      </w:r>
      <w:bookmarkEnd w:id="933"/>
      <w:r>
        <w:t>.</w:t>
      </w:r>
      <w:bookmarkEnd w:id="934"/>
      <w:bookmarkEnd w:id="935"/>
    </w:p>
    <w:p w14:paraId="2766F24E" w14:textId="77777777" w:rsidR="00882C15" w:rsidRPr="00C153EA" w:rsidRDefault="00882C15" w:rsidP="00882C15">
      <w:pPr>
        <w:pStyle w:val="Heading5"/>
      </w:pPr>
      <w:r w:rsidRPr="00C153EA">
        <w:t>Age Group: 65-74</w:t>
      </w:r>
      <w:r>
        <w:t>.</w:t>
      </w:r>
    </w:p>
    <w:tbl>
      <w:tblPr>
        <w:tblStyle w:val="TableGrid"/>
        <w:tblW w:w="0" w:type="auto"/>
        <w:tblLook w:val="04E0" w:firstRow="1" w:lastRow="1" w:firstColumn="1" w:lastColumn="0" w:noHBand="0" w:noVBand="1"/>
      </w:tblPr>
      <w:tblGrid>
        <w:gridCol w:w="3116"/>
        <w:gridCol w:w="3117"/>
        <w:gridCol w:w="3117"/>
      </w:tblGrid>
      <w:tr w:rsidR="00882C15" w:rsidRPr="00C153EA" w14:paraId="33F1CF43" w14:textId="77777777" w:rsidTr="001B41BD">
        <w:tc>
          <w:tcPr>
            <w:tcW w:w="3116" w:type="dxa"/>
          </w:tcPr>
          <w:p w14:paraId="336A5335" w14:textId="77777777" w:rsidR="00882C15" w:rsidRPr="00C153EA" w:rsidRDefault="00882C15" w:rsidP="001B41BD">
            <w:r w:rsidRPr="00C153EA">
              <w:t>Rank</w:t>
            </w:r>
          </w:p>
        </w:tc>
        <w:tc>
          <w:tcPr>
            <w:tcW w:w="3117" w:type="dxa"/>
          </w:tcPr>
          <w:p w14:paraId="1106ECED" w14:textId="77777777" w:rsidR="00882C15" w:rsidRPr="00C153EA" w:rsidRDefault="00882C15" w:rsidP="001B41BD">
            <w:r w:rsidRPr="00C153EA">
              <w:t>Cause of Death</w:t>
            </w:r>
          </w:p>
        </w:tc>
        <w:tc>
          <w:tcPr>
            <w:tcW w:w="3117" w:type="dxa"/>
          </w:tcPr>
          <w:p w14:paraId="51BBFD50" w14:textId="77777777" w:rsidR="00882C15" w:rsidRPr="00C153EA" w:rsidRDefault="00882C15" w:rsidP="001B41BD">
            <w:r w:rsidRPr="00C153EA">
              <w:t>Number</w:t>
            </w:r>
          </w:p>
        </w:tc>
      </w:tr>
      <w:tr w:rsidR="00882C15" w:rsidRPr="00C153EA" w14:paraId="341461EF" w14:textId="77777777" w:rsidTr="001B41BD">
        <w:tc>
          <w:tcPr>
            <w:tcW w:w="3116" w:type="dxa"/>
          </w:tcPr>
          <w:p w14:paraId="5EA91814" w14:textId="77777777" w:rsidR="00882C15" w:rsidRPr="00C153EA" w:rsidRDefault="00882C15" w:rsidP="001B41BD">
            <w:r w:rsidRPr="00C153EA">
              <w:t>1</w:t>
            </w:r>
          </w:p>
        </w:tc>
        <w:tc>
          <w:tcPr>
            <w:tcW w:w="3117" w:type="dxa"/>
          </w:tcPr>
          <w:p w14:paraId="180D8FD5" w14:textId="77777777" w:rsidR="00882C15" w:rsidRPr="00C153EA" w:rsidRDefault="00882C15" w:rsidP="001B41BD">
            <w:r w:rsidRPr="00C153EA">
              <w:t>Cancer</w:t>
            </w:r>
          </w:p>
        </w:tc>
        <w:tc>
          <w:tcPr>
            <w:tcW w:w="3117" w:type="dxa"/>
          </w:tcPr>
          <w:p w14:paraId="5B53ACAD" w14:textId="77777777" w:rsidR="00882C15" w:rsidRPr="00C153EA" w:rsidRDefault="00882C15" w:rsidP="001B41BD">
            <w:r w:rsidRPr="00C153EA">
              <w:t>3,256</w:t>
            </w:r>
          </w:p>
        </w:tc>
      </w:tr>
      <w:tr w:rsidR="00882C15" w:rsidRPr="00C153EA" w14:paraId="45B26142" w14:textId="77777777" w:rsidTr="001B41BD">
        <w:tc>
          <w:tcPr>
            <w:tcW w:w="3116" w:type="dxa"/>
          </w:tcPr>
          <w:p w14:paraId="0CFDD5AF" w14:textId="77777777" w:rsidR="00882C15" w:rsidRPr="00C153EA" w:rsidRDefault="00882C15" w:rsidP="001B41BD">
            <w:r w:rsidRPr="00C153EA">
              <w:t>2</w:t>
            </w:r>
          </w:p>
        </w:tc>
        <w:tc>
          <w:tcPr>
            <w:tcW w:w="3117" w:type="dxa"/>
          </w:tcPr>
          <w:p w14:paraId="00FB5579" w14:textId="77777777" w:rsidR="00882C15" w:rsidRPr="00C153EA" w:rsidRDefault="00882C15" w:rsidP="001B41BD">
            <w:r w:rsidRPr="00C153EA">
              <w:t>Heart Disease</w:t>
            </w:r>
          </w:p>
        </w:tc>
        <w:tc>
          <w:tcPr>
            <w:tcW w:w="3117" w:type="dxa"/>
          </w:tcPr>
          <w:p w14:paraId="450AAD97" w14:textId="77777777" w:rsidR="00882C15" w:rsidRPr="00C153EA" w:rsidRDefault="00882C15" w:rsidP="001B41BD">
            <w:r w:rsidRPr="00C153EA">
              <w:t>2,767</w:t>
            </w:r>
          </w:p>
        </w:tc>
      </w:tr>
      <w:tr w:rsidR="00882C15" w:rsidRPr="00C153EA" w14:paraId="6E2B75D4" w14:textId="77777777" w:rsidTr="001B41BD">
        <w:tc>
          <w:tcPr>
            <w:tcW w:w="3116" w:type="dxa"/>
          </w:tcPr>
          <w:p w14:paraId="6749F964" w14:textId="77777777" w:rsidR="00882C15" w:rsidRPr="00C153EA" w:rsidRDefault="00882C15" w:rsidP="001B41BD">
            <w:r w:rsidRPr="00C153EA">
              <w:t>3</w:t>
            </w:r>
          </w:p>
        </w:tc>
        <w:tc>
          <w:tcPr>
            <w:tcW w:w="3117" w:type="dxa"/>
          </w:tcPr>
          <w:p w14:paraId="1BF1580F" w14:textId="77777777" w:rsidR="00882C15" w:rsidRPr="00C153EA" w:rsidRDefault="00882C15" w:rsidP="001B41BD">
            <w:r w:rsidRPr="00C153EA">
              <w:t>COVID-19</w:t>
            </w:r>
          </w:p>
        </w:tc>
        <w:tc>
          <w:tcPr>
            <w:tcW w:w="3117" w:type="dxa"/>
          </w:tcPr>
          <w:p w14:paraId="14CBEC0D" w14:textId="77777777" w:rsidR="00882C15" w:rsidRPr="00C153EA" w:rsidRDefault="00882C15" w:rsidP="001B41BD">
            <w:r w:rsidRPr="00C153EA">
              <w:t>2,501</w:t>
            </w:r>
          </w:p>
        </w:tc>
      </w:tr>
      <w:tr w:rsidR="00882C15" w:rsidRPr="00C153EA" w14:paraId="76BE6A02" w14:textId="77777777" w:rsidTr="001B41BD">
        <w:tc>
          <w:tcPr>
            <w:tcW w:w="3116" w:type="dxa"/>
          </w:tcPr>
          <w:p w14:paraId="14542E52" w14:textId="77777777" w:rsidR="00882C15" w:rsidRPr="00C153EA" w:rsidRDefault="00882C15" w:rsidP="001B41BD">
            <w:r w:rsidRPr="00C153EA">
              <w:t>4</w:t>
            </w:r>
          </w:p>
        </w:tc>
        <w:tc>
          <w:tcPr>
            <w:tcW w:w="3117" w:type="dxa"/>
          </w:tcPr>
          <w:p w14:paraId="7C81AD44" w14:textId="77777777" w:rsidR="00882C15" w:rsidRPr="00C153EA" w:rsidRDefault="00882C15" w:rsidP="001B41BD">
            <w:r w:rsidRPr="00C153EA">
              <w:t>Chronic Lower Respiratory Disease</w:t>
            </w:r>
          </w:p>
        </w:tc>
        <w:tc>
          <w:tcPr>
            <w:tcW w:w="3117" w:type="dxa"/>
          </w:tcPr>
          <w:p w14:paraId="15E113B9" w14:textId="77777777" w:rsidR="00882C15" w:rsidRPr="00C153EA" w:rsidRDefault="00882C15" w:rsidP="001B41BD">
            <w:r w:rsidRPr="00C153EA">
              <w:t>806</w:t>
            </w:r>
          </w:p>
        </w:tc>
      </w:tr>
      <w:tr w:rsidR="00882C15" w:rsidRPr="00C153EA" w14:paraId="11FCD489" w14:textId="77777777" w:rsidTr="001B41BD">
        <w:tc>
          <w:tcPr>
            <w:tcW w:w="3116" w:type="dxa"/>
          </w:tcPr>
          <w:p w14:paraId="01F5CBB6" w14:textId="77777777" w:rsidR="00882C15" w:rsidRPr="00C153EA" w:rsidRDefault="00882C15" w:rsidP="001B41BD">
            <w:r w:rsidRPr="00C153EA">
              <w:t>5</w:t>
            </w:r>
          </w:p>
        </w:tc>
        <w:tc>
          <w:tcPr>
            <w:tcW w:w="3117" w:type="dxa"/>
          </w:tcPr>
          <w:p w14:paraId="4D94B7B1" w14:textId="77777777" w:rsidR="00882C15" w:rsidRPr="00C153EA" w:rsidRDefault="00882C15" w:rsidP="001B41BD">
            <w:r w:rsidRPr="00C153EA">
              <w:t>Stroke</w:t>
            </w:r>
          </w:p>
        </w:tc>
        <w:tc>
          <w:tcPr>
            <w:tcW w:w="3117" w:type="dxa"/>
          </w:tcPr>
          <w:p w14:paraId="5D57F272" w14:textId="77777777" w:rsidR="00882C15" w:rsidRPr="00C153EA" w:rsidRDefault="00882C15" w:rsidP="001B41BD">
            <w:r w:rsidRPr="00C153EA">
              <w:t>697</w:t>
            </w:r>
          </w:p>
        </w:tc>
      </w:tr>
      <w:tr w:rsidR="00882C15" w:rsidRPr="00C153EA" w14:paraId="4A35D384" w14:textId="77777777" w:rsidTr="001B41BD">
        <w:tc>
          <w:tcPr>
            <w:tcW w:w="3116" w:type="dxa"/>
          </w:tcPr>
          <w:p w14:paraId="2B724C6F" w14:textId="77777777" w:rsidR="00882C15" w:rsidRPr="00C153EA" w:rsidRDefault="00882C15" w:rsidP="001B41BD">
            <w:r w:rsidRPr="00C153EA">
              <w:t>6</w:t>
            </w:r>
          </w:p>
        </w:tc>
        <w:tc>
          <w:tcPr>
            <w:tcW w:w="3117" w:type="dxa"/>
          </w:tcPr>
          <w:p w14:paraId="5AEB0ECC" w14:textId="77777777" w:rsidR="00882C15" w:rsidRPr="00C153EA" w:rsidRDefault="00882C15" w:rsidP="001B41BD">
            <w:r w:rsidRPr="00C153EA">
              <w:t>Diabetes</w:t>
            </w:r>
          </w:p>
        </w:tc>
        <w:tc>
          <w:tcPr>
            <w:tcW w:w="3117" w:type="dxa"/>
          </w:tcPr>
          <w:p w14:paraId="06A38519" w14:textId="77777777" w:rsidR="00882C15" w:rsidRPr="00C153EA" w:rsidRDefault="00882C15" w:rsidP="001B41BD">
            <w:r w:rsidRPr="00C153EA">
              <w:t>506</w:t>
            </w:r>
          </w:p>
        </w:tc>
      </w:tr>
      <w:tr w:rsidR="00882C15" w:rsidRPr="00C153EA" w14:paraId="7D1AB109" w14:textId="77777777" w:rsidTr="001B41BD">
        <w:tc>
          <w:tcPr>
            <w:tcW w:w="3116" w:type="dxa"/>
          </w:tcPr>
          <w:p w14:paraId="0E005B14" w14:textId="77777777" w:rsidR="00882C15" w:rsidRPr="00C153EA" w:rsidRDefault="00882C15" w:rsidP="001B41BD">
            <w:r w:rsidRPr="00C153EA">
              <w:t>7</w:t>
            </w:r>
          </w:p>
        </w:tc>
        <w:tc>
          <w:tcPr>
            <w:tcW w:w="3117" w:type="dxa"/>
          </w:tcPr>
          <w:p w14:paraId="3EB2C5DD" w14:textId="77777777" w:rsidR="00882C15" w:rsidRPr="00C153EA" w:rsidRDefault="00882C15" w:rsidP="001B41BD">
            <w:r w:rsidRPr="00C153EA">
              <w:t>Unintentional Injuries</w:t>
            </w:r>
          </w:p>
        </w:tc>
        <w:tc>
          <w:tcPr>
            <w:tcW w:w="3117" w:type="dxa"/>
          </w:tcPr>
          <w:p w14:paraId="6B5D8094" w14:textId="77777777" w:rsidR="00882C15" w:rsidRPr="00C153EA" w:rsidRDefault="00882C15" w:rsidP="001B41BD">
            <w:r w:rsidRPr="00C153EA">
              <w:t>454</w:t>
            </w:r>
          </w:p>
        </w:tc>
      </w:tr>
      <w:tr w:rsidR="00882C15" w:rsidRPr="00C153EA" w14:paraId="7824062F" w14:textId="77777777" w:rsidTr="001B41BD">
        <w:tc>
          <w:tcPr>
            <w:tcW w:w="3116" w:type="dxa"/>
          </w:tcPr>
          <w:p w14:paraId="0406AF78" w14:textId="77777777" w:rsidR="00882C15" w:rsidRPr="00C153EA" w:rsidRDefault="00882C15" w:rsidP="001B41BD">
            <w:r w:rsidRPr="00C153EA">
              <w:t>8</w:t>
            </w:r>
          </w:p>
        </w:tc>
        <w:tc>
          <w:tcPr>
            <w:tcW w:w="3117" w:type="dxa"/>
          </w:tcPr>
          <w:p w14:paraId="0F863230" w14:textId="77777777" w:rsidR="00882C15" w:rsidRPr="00C153EA" w:rsidRDefault="00882C15" w:rsidP="001B41BD">
            <w:r w:rsidRPr="00C153EA">
              <w:t>Kidney Diseases</w:t>
            </w:r>
          </w:p>
        </w:tc>
        <w:tc>
          <w:tcPr>
            <w:tcW w:w="3117" w:type="dxa"/>
          </w:tcPr>
          <w:p w14:paraId="2A4019A1" w14:textId="77777777" w:rsidR="00882C15" w:rsidRPr="00C153EA" w:rsidRDefault="00882C15" w:rsidP="001B41BD">
            <w:r w:rsidRPr="00C153EA">
              <w:t>269</w:t>
            </w:r>
          </w:p>
        </w:tc>
      </w:tr>
      <w:tr w:rsidR="00882C15" w:rsidRPr="00C153EA" w14:paraId="03C8FB43" w14:textId="77777777" w:rsidTr="001B41BD">
        <w:tc>
          <w:tcPr>
            <w:tcW w:w="3116" w:type="dxa"/>
          </w:tcPr>
          <w:p w14:paraId="190E2AF8" w14:textId="77777777" w:rsidR="00882C15" w:rsidRPr="00C153EA" w:rsidRDefault="00882C15" w:rsidP="001B41BD">
            <w:r w:rsidRPr="00C153EA">
              <w:t>9</w:t>
            </w:r>
          </w:p>
        </w:tc>
        <w:tc>
          <w:tcPr>
            <w:tcW w:w="3117" w:type="dxa"/>
          </w:tcPr>
          <w:p w14:paraId="4F93232A" w14:textId="77777777" w:rsidR="00882C15" w:rsidRPr="00C153EA" w:rsidRDefault="00882C15" w:rsidP="001B41BD">
            <w:r w:rsidRPr="00C153EA">
              <w:t>Chronic Liver Disease and Cirrhosis</w:t>
            </w:r>
          </w:p>
        </w:tc>
        <w:tc>
          <w:tcPr>
            <w:tcW w:w="3117" w:type="dxa"/>
          </w:tcPr>
          <w:p w14:paraId="5AB8EF81" w14:textId="77777777" w:rsidR="00882C15" w:rsidRPr="00C153EA" w:rsidRDefault="00882C15" w:rsidP="001B41BD">
            <w:r w:rsidRPr="00C153EA">
              <w:t>267</w:t>
            </w:r>
          </w:p>
        </w:tc>
      </w:tr>
      <w:tr w:rsidR="00882C15" w:rsidRPr="00C153EA" w14:paraId="4D95C4EB" w14:textId="77777777" w:rsidTr="001B41BD">
        <w:tc>
          <w:tcPr>
            <w:tcW w:w="3116" w:type="dxa"/>
          </w:tcPr>
          <w:p w14:paraId="505BF32F" w14:textId="77777777" w:rsidR="00882C15" w:rsidRPr="00C153EA" w:rsidRDefault="00882C15" w:rsidP="001B41BD">
            <w:r w:rsidRPr="00C153EA">
              <w:t>10</w:t>
            </w:r>
          </w:p>
        </w:tc>
        <w:tc>
          <w:tcPr>
            <w:tcW w:w="3117" w:type="dxa"/>
          </w:tcPr>
          <w:p w14:paraId="728D349A" w14:textId="77777777" w:rsidR="00882C15" w:rsidRPr="00C153EA" w:rsidRDefault="00882C15" w:rsidP="001B41BD">
            <w:r w:rsidRPr="00C153EA">
              <w:t>Alzheimer’s Disease</w:t>
            </w:r>
          </w:p>
        </w:tc>
        <w:tc>
          <w:tcPr>
            <w:tcW w:w="3117" w:type="dxa"/>
          </w:tcPr>
          <w:p w14:paraId="2E27F2AE" w14:textId="77777777" w:rsidR="00882C15" w:rsidRPr="00C153EA" w:rsidRDefault="00882C15" w:rsidP="001B41BD">
            <w:r w:rsidRPr="00C153EA">
              <w:t>219</w:t>
            </w:r>
          </w:p>
        </w:tc>
      </w:tr>
      <w:tr w:rsidR="00882C15" w:rsidRPr="00C153EA" w14:paraId="1D438404" w14:textId="77777777" w:rsidTr="001B41BD">
        <w:tc>
          <w:tcPr>
            <w:tcW w:w="3116" w:type="dxa"/>
          </w:tcPr>
          <w:p w14:paraId="05B03EB2" w14:textId="77777777" w:rsidR="00882C15" w:rsidRPr="00C153EA" w:rsidRDefault="00882C15" w:rsidP="001B41BD">
            <w:r w:rsidRPr="00C153EA">
              <w:t>Total</w:t>
            </w:r>
          </w:p>
        </w:tc>
        <w:tc>
          <w:tcPr>
            <w:tcW w:w="3117" w:type="dxa"/>
          </w:tcPr>
          <w:p w14:paraId="5561E58A" w14:textId="77777777" w:rsidR="00882C15" w:rsidRPr="00C153EA" w:rsidRDefault="00882C15" w:rsidP="001B41BD">
            <w:r w:rsidRPr="00C153EA">
              <w:t>All Deaths</w:t>
            </w:r>
          </w:p>
        </w:tc>
        <w:tc>
          <w:tcPr>
            <w:tcW w:w="3117" w:type="dxa"/>
          </w:tcPr>
          <w:p w14:paraId="27AFC5C9" w14:textId="77777777" w:rsidR="00882C15" w:rsidRPr="00C153EA" w:rsidRDefault="00882C15" w:rsidP="001B41BD">
            <w:r w:rsidRPr="00C153EA">
              <w:t>14,953</w:t>
            </w:r>
          </w:p>
        </w:tc>
      </w:tr>
    </w:tbl>
    <w:p w14:paraId="422C58AE" w14:textId="77777777" w:rsidR="00882C15" w:rsidRPr="00C153EA" w:rsidRDefault="00882C15" w:rsidP="00882C15">
      <w:pPr>
        <w:pStyle w:val="Heading5"/>
      </w:pPr>
      <w:r w:rsidRPr="00C153EA">
        <w:t>Age Group: 75-84</w:t>
      </w:r>
      <w:r>
        <w:t>.</w:t>
      </w:r>
    </w:p>
    <w:tbl>
      <w:tblPr>
        <w:tblStyle w:val="TableGrid"/>
        <w:tblW w:w="0" w:type="auto"/>
        <w:tblLook w:val="04E0" w:firstRow="1" w:lastRow="1" w:firstColumn="1" w:lastColumn="0" w:noHBand="0" w:noVBand="1"/>
      </w:tblPr>
      <w:tblGrid>
        <w:gridCol w:w="3116"/>
        <w:gridCol w:w="3117"/>
        <w:gridCol w:w="3117"/>
      </w:tblGrid>
      <w:tr w:rsidR="00882C15" w:rsidRPr="00C153EA" w14:paraId="0E7FC2FA" w14:textId="77777777" w:rsidTr="001B41BD">
        <w:tc>
          <w:tcPr>
            <w:tcW w:w="3116" w:type="dxa"/>
          </w:tcPr>
          <w:p w14:paraId="3A52F323" w14:textId="77777777" w:rsidR="00882C15" w:rsidRPr="00C153EA" w:rsidRDefault="00882C15" w:rsidP="001B41BD">
            <w:r w:rsidRPr="00C153EA">
              <w:t>Rank</w:t>
            </w:r>
          </w:p>
        </w:tc>
        <w:tc>
          <w:tcPr>
            <w:tcW w:w="3117" w:type="dxa"/>
          </w:tcPr>
          <w:p w14:paraId="1B465D15" w14:textId="77777777" w:rsidR="00882C15" w:rsidRPr="00C153EA" w:rsidRDefault="00882C15" w:rsidP="001B41BD">
            <w:r w:rsidRPr="00C153EA">
              <w:t>Cause of Death</w:t>
            </w:r>
          </w:p>
        </w:tc>
        <w:tc>
          <w:tcPr>
            <w:tcW w:w="3117" w:type="dxa"/>
          </w:tcPr>
          <w:p w14:paraId="756DC086" w14:textId="77777777" w:rsidR="00882C15" w:rsidRPr="00C153EA" w:rsidRDefault="00882C15" w:rsidP="001B41BD">
            <w:r w:rsidRPr="00C153EA">
              <w:t>Number</w:t>
            </w:r>
          </w:p>
        </w:tc>
      </w:tr>
      <w:tr w:rsidR="00882C15" w:rsidRPr="00C153EA" w14:paraId="726EF803" w14:textId="77777777" w:rsidTr="001B41BD">
        <w:tc>
          <w:tcPr>
            <w:tcW w:w="3116" w:type="dxa"/>
          </w:tcPr>
          <w:p w14:paraId="5667B2AE" w14:textId="77777777" w:rsidR="00882C15" w:rsidRPr="00C153EA" w:rsidRDefault="00882C15" w:rsidP="001B41BD">
            <w:r w:rsidRPr="00C153EA">
              <w:t>1</w:t>
            </w:r>
          </w:p>
        </w:tc>
        <w:tc>
          <w:tcPr>
            <w:tcW w:w="3117" w:type="dxa"/>
          </w:tcPr>
          <w:p w14:paraId="633EB073" w14:textId="77777777" w:rsidR="00882C15" w:rsidRPr="00C153EA" w:rsidRDefault="00882C15" w:rsidP="001B41BD">
            <w:r w:rsidRPr="00C153EA">
              <w:t>Heart Disease</w:t>
            </w:r>
          </w:p>
        </w:tc>
        <w:tc>
          <w:tcPr>
            <w:tcW w:w="3117" w:type="dxa"/>
          </w:tcPr>
          <w:p w14:paraId="7704138D" w14:textId="77777777" w:rsidR="00882C15" w:rsidRPr="00C153EA" w:rsidRDefault="00882C15" w:rsidP="001B41BD">
            <w:r w:rsidRPr="00C153EA">
              <w:t>2,999</w:t>
            </w:r>
          </w:p>
        </w:tc>
      </w:tr>
      <w:tr w:rsidR="00882C15" w:rsidRPr="00C153EA" w14:paraId="782C36C3" w14:textId="77777777" w:rsidTr="001B41BD">
        <w:tc>
          <w:tcPr>
            <w:tcW w:w="3116" w:type="dxa"/>
          </w:tcPr>
          <w:p w14:paraId="262D8B98" w14:textId="77777777" w:rsidR="00882C15" w:rsidRPr="00C153EA" w:rsidRDefault="00882C15" w:rsidP="001B41BD">
            <w:r w:rsidRPr="00C153EA">
              <w:t>2</w:t>
            </w:r>
          </w:p>
        </w:tc>
        <w:tc>
          <w:tcPr>
            <w:tcW w:w="3117" w:type="dxa"/>
          </w:tcPr>
          <w:p w14:paraId="3C510D7A" w14:textId="77777777" w:rsidR="00882C15" w:rsidRPr="00C153EA" w:rsidRDefault="00882C15" w:rsidP="001B41BD">
            <w:r w:rsidRPr="00C153EA">
              <w:t>Cancer</w:t>
            </w:r>
          </w:p>
        </w:tc>
        <w:tc>
          <w:tcPr>
            <w:tcW w:w="3117" w:type="dxa"/>
          </w:tcPr>
          <w:p w14:paraId="0C7ED133" w14:textId="77777777" w:rsidR="00882C15" w:rsidRPr="00C153EA" w:rsidRDefault="00882C15" w:rsidP="001B41BD">
            <w:r w:rsidRPr="00C153EA">
              <w:t>2,922</w:t>
            </w:r>
          </w:p>
        </w:tc>
      </w:tr>
      <w:tr w:rsidR="00882C15" w:rsidRPr="00C153EA" w14:paraId="597C3367" w14:textId="77777777" w:rsidTr="001B41BD">
        <w:tc>
          <w:tcPr>
            <w:tcW w:w="3116" w:type="dxa"/>
          </w:tcPr>
          <w:p w14:paraId="533DE19B" w14:textId="77777777" w:rsidR="00882C15" w:rsidRPr="00C153EA" w:rsidRDefault="00882C15" w:rsidP="001B41BD">
            <w:r w:rsidRPr="00C153EA">
              <w:t>3</w:t>
            </w:r>
          </w:p>
        </w:tc>
        <w:tc>
          <w:tcPr>
            <w:tcW w:w="3117" w:type="dxa"/>
          </w:tcPr>
          <w:p w14:paraId="0804E070" w14:textId="77777777" w:rsidR="00882C15" w:rsidRPr="00C153EA" w:rsidRDefault="00882C15" w:rsidP="001B41BD">
            <w:r w:rsidRPr="00C153EA">
              <w:t>COVID-19</w:t>
            </w:r>
          </w:p>
        </w:tc>
        <w:tc>
          <w:tcPr>
            <w:tcW w:w="3117" w:type="dxa"/>
          </w:tcPr>
          <w:p w14:paraId="3E22D618" w14:textId="77777777" w:rsidR="00882C15" w:rsidRPr="00C153EA" w:rsidRDefault="00882C15" w:rsidP="001B41BD">
            <w:r w:rsidRPr="00C153EA">
              <w:t>2,177</w:t>
            </w:r>
          </w:p>
        </w:tc>
      </w:tr>
      <w:tr w:rsidR="00882C15" w:rsidRPr="00C153EA" w14:paraId="63817477" w14:textId="77777777" w:rsidTr="001B41BD">
        <w:tc>
          <w:tcPr>
            <w:tcW w:w="3116" w:type="dxa"/>
          </w:tcPr>
          <w:p w14:paraId="0CCCEAB6" w14:textId="77777777" w:rsidR="00882C15" w:rsidRPr="00C153EA" w:rsidRDefault="00882C15" w:rsidP="001B41BD">
            <w:r w:rsidRPr="00C153EA">
              <w:t>4</w:t>
            </w:r>
          </w:p>
        </w:tc>
        <w:tc>
          <w:tcPr>
            <w:tcW w:w="3117" w:type="dxa"/>
          </w:tcPr>
          <w:p w14:paraId="2C54F7FF" w14:textId="77777777" w:rsidR="00882C15" w:rsidRPr="00C153EA" w:rsidRDefault="00882C15" w:rsidP="001B41BD">
            <w:r w:rsidRPr="00C153EA">
              <w:t>Chronic Lower Respiratory Disease</w:t>
            </w:r>
          </w:p>
        </w:tc>
        <w:tc>
          <w:tcPr>
            <w:tcW w:w="3117" w:type="dxa"/>
          </w:tcPr>
          <w:p w14:paraId="52BACE19" w14:textId="77777777" w:rsidR="00882C15" w:rsidRPr="00C153EA" w:rsidRDefault="00882C15" w:rsidP="001B41BD">
            <w:r w:rsidRPr="00C153EA">
              <w:t>962</w:t>
            </w:r>
          </w:p>
        </w:tc>
      </w:tr>
      <w:tr w:rsidR="00882C15" w:rsidRPr="00C153EA" w14:paraId="4EA1F28C" w14:textId="77777777" w:rsidTr="001B41BD">
        <w:tc>
          <w:tcPr>
            <w:tcW w:w="3116" w:type="dxa"/>
          </w:tcPr>
          <w:p w14:paraId="785DDBD5" w14:textId="77777777" w:rsidR="00882C15" w:rsidRPr="00C153EA" w:rsidRDefault="00882C15" w:rsidP="001B41BD">
            <w:r w:rsidRPr="00C153EA">
              <w:t>5</w:t>
            </w:r>
          </w:p>
        </w:tc>
        <w:tc>
          <w:tcPr>
            <w:tcW w:w="3117" w:type="dxa"/>
          </w:tcPr>
          <w:p w14:paraId="43C77C14" w14:textId="77777777" w:rsidR="00882C15" w:rsidRPr="00C153EA" w:rsidRDefault="00882C15" w:rsidP="001B41BD">
            <w:r w:rsidRPr="00C153EA">
              <w:t>Stroke</w:t>
            </w:r>
          </w:p>
        </w:tc>
        <w:tc>
          <w:tcPr>
            <w:tcW w:w="3117" w:type="dxa"/>
          </w:tcPr>
          <w:p w14:paraId="56EFF54A" w14:textId="77777777" w:rsidR="00882C15" w:rsidRPr="00C153EA" w:rsidRDefault="00882C15" w:rsidP="001B41BD">
            <w:r w:rsidRPr="00C153EA">
              <w:t>903</w:t>
            </w:r>
          </w:p>
        </w:tc>
      </w:tr>
      <w:tr w:rsidR="00882C15" w:rsidRPr="00C153EA" w14:paraId="2F5556CB" w14:textId="77777777" w:rsidTr="001B41BD">
        <w:tc>
          <w:tcPr>
            <w:tcW w:w="3116" w:type="dxa"/>
          </w:tcPr>
          <w:p w14:paraId="35E2B675" w14:textId="77777777" w:rsidR="00882C15" w:rsidRPr="00C153EA" w:rsidRDefault="00882C15" w:rsidP="001B41BD">
            <w:r w:rsidRPr="00C153EA">
              <w:t>6</w:t>
            </w:r>
          </w:p>
        </w:tc>
        <w:tc>
          <w:tcPr>
            <w:tcW w:w="3117" w:type="dxa"/>
          </w:tcPr>
          <w:p w14:paraId="557E78ED" w14:textId="77777777" w:rsidR="00882C15" w:rsidRPr="00C153EA" w:rsidRDefault="00882C15" w:rsidP="001B41BD">
            <w:r w:rsidRPr="00C153EA">
              <w:t>Alzheimer’s Disease</w:t>
            </w:r>
          </w:p>
        </w:tc>
        <w:tc>
          <w:tcPr>
            <w:tcW w:w="3117" w:type="dxa"/>
          </w:tcPr>
          <w:p w14:paraId="6FF1EE71" w14:textId="77777777" w:rsidR="00882C15" w:rsidRPr="00C153EA" w:rsidRDefault="00882C15" w:rsidP="001B41BD">
            <w:r w:rsidRPr="00C153EA">
              <w:t>799</w:t>
            </w:r>
          </w:p>
        </w:tc>
      </w:tr>
      <w:tr w:rsidR="00882C15" w:rsidRPr="00C153EA" w14:paraId="0226C18D" w14:textId="77777777" w:rsidTr="001B41BD">
        <w:tc>
          <w:tcPr>
            <w:tcW w:w="3116" w:type="dxa"/>
          </w:tcPr>
          <w:p w14:paraId="77EF793E" w14:textId="77777777" w:rsidR="00882C15" w:rsidRPr="00C153EA" w:rsidRDefault="00882C15" w:rsidP="001B41BD">
            <w:r w:rsidRPr="00C153EA">
              <w:t>7</w:t>
            </w:r>
          </w:p>
        </w:tc>
        <w:tc>
          <w:tcPr>
            <w:tcW w:w="3117" w:type="dxa"/>
          </w:tcPr>
          <w:p w14:paraId="390B3503" w14:textId="77777777" w:rsidR="00882C15" w:rsidRPr="00C153EA" w:rsidRDefault="00882C15" w:rsidP="001B41BD">
            <w:r w:rsidRPr="00C153EA">
              <w:t>Diabetes</w:t>
            </w:r>
          </w:p>
        </w:tc>
        <w:tc>
          <w:tcPr>
            <w:tcW w:w="3117" w:type="dxa"/>
          </w:tcPr>
          <w:p w14:paraId="7DFD86BB" w14:textId="77777777" w:rsidR="00882C15" w:rsidRPr="00C153EA" w:rsidRDefault="00882C15" w:rsidP="001B41BD">
            <w:r w:rsidRPr="00C153EA">
              <w:t>440</w:t>
            </w:r>
          </w:p>
        </w:tc>
      </w:tr>
      <w:tr w:rsidR="00882C15" w:rsidRPr="00C153EA" w14:paraId="7830839E" w14:textId="77777777" w:rsidTr="001B41BD">
        <w:tc>
          <w:tcPr>
            <w:tcW w:w="3116" w:type="dxa"/>
          </w:tcPr>
          <w:p w14:paraId="23DBFD3D" w14:textId="77777777" w:rsidR="00882C15" w:rsidRPr="00C153EA" w:rsidRDefault="00882C15" w:rsidP="001B41BD">
            <w:r w:rsidRPr="00C153EA">
              <w:t>8</w:t>
            </w:r>
          </w:p>
        </w:tc>
        <w:tc>
          <w:tcPr>
            <w:tcW w:w="3117" w:type="dxa"/>
          </w:tcPr>
          <w:p w14:paraId="498EDDC9" w14:textId="77777777" w:rsidR="00882C15" w:rsidRPr="00C153EA" w:rsidRDefault="00882C15" w:rsidP="001B41BD">
            <w:r w:rsidRPr="00C153EA">
              <w:t>Unintentional Injuries</w:t>
            </w:r>
          </w:p>
        </w:tc>
        <w:tc>
          <w:tcPr>
            <w:tcW w:w="3117" w:type="dxa"/>
          </w:tcPr>
          <w:p w14:paraId="08DF4396" w14:textId="77777777" w:rsidR="00882C15" w:rsidRPr="00C153EA" w:rsidRDefault="00882C15" w:rsidP="001B41BD">
            <w:r w:rsidRPr="00C153EA">
              <w:t>392</w:t>
            </w:r>
          </w:p>
        </w:tc>
      </w:tr>
      <w:tr w:rsidR="00882C15" w:rsidRPr="00C153EA" w14:paraId="29246066" w14:textId="77777777" w:rsidTr="001B41BD">
        <w:tc>
          <w:tcPr>
            <w:tcW w:w="3116" w:type="dxa"/>
          </w:tcPr>
          <w:p w14:paraId="78363217" w14:textId="77777777" w:rsidR="00882C15" w:rsidRPr="00C153EA" w:rsidRDefault="00882C15" w:rsidP="001B41BD">
            <w:r w:rsidRPr="00C153EA">
              <w:t>9</w:t>
            </w:r>
          </w:p>
        </w:tc>
        <w:tc>
          <w:tcPr>
            <w:tcW w:w="3117" w:type="dxa"/>
          </w:tcPr>
          <w:p w14:paraId="522C998F" w14:textId="77777777" w:rsidR="00882C15" w:rsidRPr="00C153EA" w:rsidRDefault="00882C15" w:rsidP="001B41BD">
            <w:r w:rsidRPr="00C153EA">
              <w:t>Parkinson’s Disease</w:t>
            </w:r>
          </w:p>
        </w:tc>
        <w:tc>
          <w:tcPr>
            <w:tcW w:w="3117" w:type="dxa"/>
          </w:tcPr>
          <w:p w14:paraId="140BF0DF" w14:textId="77777777" w:rsidR="00882C15" w:rsidRPr="00C153EA" w:rsidRDefault="00882C15" w:rsidP="001B41BD">
            <w:r w:rsidRPr="00C153EA">
              <w:t>298</w:t>
            </w:r>
          </w:p>
        </w:tc>
      </w:tr>
      <w:tr w:rsidR="00882C15" w:rsidRPr="00C153EA" w14:paraId="48D5BEF0" w14:textId="77777777" w:rsidTr="001B41BD">
        <w:tc>
          <w:tcPr>
            <w:tcW w:w="3116" w:type="dxa"/>
          </w:tcPr>
          <w:p w14:paraId="7392E42C" w14:textId="77777777" w:rsidR="00882C15" w:rsidRPr="00C153EA" w:rsidRDefault="00882C15" w:rsidP="001B41BD">
            <w:r w:rsidRPr="00C153EA">
              <w:t>10</w:t>
            </w:r>
          </w:p>
        </w:tc>
        <w:tc>
          <w:tcPr>
            <w:tcW w:w="3117" w:type="dxa"/>
          </w:tcPr>
          <w:p w14:paraId="654851E3" w14:textId="77777777" w:rsidR="00882C15" w:rsidRPr="00C153EA" w:rsidRDefault="00882C15" w:rsidP="001B41BD">
            <w:r w:rsidRPr="00C153EA">
              <w:t>Kidney Diseases</w:t>
            </w:r>
          </w:p>
        </w:tc>
        <w:tc>
          <w:tcPr>
            <w:tcW w:w="3117" w:type="dxa"/>
          </w:tcPr>
          <w:p w14:paraId="227A4C81" w14:textId="77777777" w:rsidR="00882C15" w:rsidRPr="00C153EA" w:rsidRDefault="00882C15" w:rsidP="001B41BD">
            <w:r w:rsidRPr="00C153EA">
              <w:t>268</w:t>
            </w:r>
          </w:p>
        </w:tc>
      </w:tr>
      <w:tr w:rsidR="00882C15" w:rsidRPr="00C153EA" w14:paraId="1B4922CC" w14:textId="77777777" w:rsidTr="001B41BD">
        <w:tc>
          <w:tcPr>
            <w:tcW w:w="3116" w:type="dxa"/>
          </w:tcPr>
          <w:p w14:paraId="4B0AE15E" w14:textId="77777777" w:rsidR="00882C15" w:rsidRPr="00C153EA" w:rsidRDefault="00882C15" w:rsidP="001B41BD">
            <w:r w:rsidRPr="00C153EA">
              <w:t>Total</w:t>
            </w:r>
          </w:p>
        </w:tc>
        <w:tc>
          <w:tcPr>
            <w:tcW w:w="3117" w:type="dxa"/>
          </w:tcPr>
          <w:p w14:paraId="7B74A75D" w14:textId="77777777" w:rsidR="00882C15" w:rsidRPr="00C153EA" w:rsidRDefault="00882C15" w:rsidP="001B41BD">
            <w:r w:rsidRPr="00C153EA">
              <w:t>All Deaths</w:t>
            </w:r>
          </w:p>
        </w:tc>
        <w:tc>
          <w:tcPr>
            <w:tcW w:w="3117" w:type="dxa"/>
          </w:tcPr>
          <w:p w14:paraId="4545A148" w14:textId="77777777" w:rsidR="00882C15" w:rsidRPr="00C153EA" w:rsidRDefault="00882C15" w:rsidP="001B41BD">
            <w:r w:rsidRPr="00C153EA">
              <w:t>16,068</w:t>
            </w:r>
          </w:p>
        </w:tc>
      </w:tr>
    </w:tbl>
    <w:p w14:paraId="5FC8A534" w14:textId="77777777" w:rsidR="00882C15" w:rsidRPr="00C153EA" w:rsidRDefault="00882C15" w:rsidP="00882C15">
      <w:pPr>
        <w:pStyle w:val="Heading5"/>
      </w:pPr>
      <w:r w:rsidRPr="00C153EA">
        <w:t>Age Group: 85+</w:t>
      </w:r>
      <w:r>
        <w:t>.</w:t>
      </w:r>
    </w:p>
    <w:tbl>
      <w:tblPr>
        <w:tblStyle w:val="TableGrid"/>
        <w:tblW w:w="0" w:type="auto"/>
        <w:tblLook w:val="04E0" w:firstRow="1" w:lastRow="1" w:firstColumn="1" w:lastColumn="0" w:noHBand="0" w:noVBand="1"/>
      </w:tblPr>
      <w:tblGrid>
        <w:gridCol w:w="3116"/>
        <w:gridCol w:w="3117"/>
        <w:gridCol w:w="3117"/>
      </w:tblGrid>
      <w:tr w:rsidR="00882C15" w:rsidRPr="00C153EA" w14:paraId="4A330AE8" w14:textId="77777777" w:rsidTr="001B41BD">
        <w:tc>
          <w:tcPr>
            <w:tcW w:w="3116" w:type="dxa"/>
          </w:tcPr>
          <w:p w14:paraId="2F76A577" w14:textId="77777777" w:rsidR="00882C15" w:rsidRPr="00C153EA" w:rsidRDefault="00882C15" w:rsidP="001B41BD">
            <w:r w:rsidRPr="00C153EA">
              <w:t>Rank</w:t>
            </w:r>
          </w:p>
        </w:tc>
        <w:tc>
          <w:tcPr>
            <w:tcW w:w="3117" w:type="dxa"/>
          </w:tcPr>
          <w:p w14:paraId="75B69D72" w14:textId="77777777" w:rsidR="00882C15" w:rsidRPr="00C153EA" w:rsidRDefault="00882C15" w:rsidP="001B41BD">
            <w:r w:rsidRPr="00C153EA">
              <w:t>Cause of Death</w:t>
            </w:r>
          </w:p>
        </w:tc>
        <w:tc>
          <w:tcPr>
            <w:tcW w:w="3117" w:type="dxa"/>
          </w:tcPr>
          <w:p w14:paraId="79C308BC" w14:textId="77777777" w:rsidR="00882C15" w:rsidRPr="00C153EA" w:rsidRDefault="00882C15" w:rsidP="001B41BD">
            <w:r w:rsidRPr="00C153EA">
              <w:t>Number</w:t>
            </w:r>
          </w:p>
        </w:tc>
      </w:tr>
      <w:tr w:rsidR="00882C15" w:rsidRPr="00C153EA" w14:paraId="44282C3E" w14:textId="77777777" w:rsidTr="001B41BD">
        <w:tc>
          <w:tcPr>
            <w:tcW w:w="3116" w:type="dxa"/>
          </w:tcPr>
          <w:p w14:paraId="233654CD" w14:textId="77777777" w:rsidR="00882C15" w:rsidRPr="00C153EA" w:rsidRDefault="00882C15" w:rsidP="001B41BD">
            <w:r w:rsidRPr="00C153EA">
              <w:t>1</w:t>
            </w:r>
          </w:p>
        </w:tc>
        <w:tc>
          <w:tcPr>
            <w:tcW w:w="3117" w:type="dxa"/>
          </w:tcPr>
          <w:p w14:paraId="7660133D" w14:textId="77777777" w:rsidR="00882C15" w:rsidRPr="00C153EA" w:rsidRDefault="00882C15" w:rsidP="001B41BD">
            <w:r w:rsidRPr="00C153EA">
              <w:t>Heart Disease</w:t>
            </w:r>
          </w:p>
        </w:tc>
        <w:tc>
          <w:tcPr>
            <w:tcW w:w="3117" w:type="dxa"/>
          </w:tcPr>
          <w:p w14:paraId="5ECEF209" w14:textId="77777777" w:rsidR="00882C15" w:rsidRPr="00C153EA" w:rsidRDefault="00882C15" w:rsidP="001B41BD">
            <w:r w:rsidRPr="00C153EA">
              <w:t>3,393</w:t>
            </w:r>
          </w:p>
        </w:tc>
      </w:tr>
      <w:tr w:rsidR="00882C15" w:rsidRPr="00C153EA" w14:paraId="75344717" w14:textId="77777777" w:rsidTr="001B41BD">
        <w:tc>
          <w:tcPr>
            <w:tcW w:w="3116" w:type="dxa"/>
          </w:tcPr>
          <w:p w14:paraId="543632B8" w14:textId="77777777" w:rsidR="00882C15" w:rsidRPr="00C153EA" w:rsidRDefault="00882C15" w:rsidP="001B41BD">
            <w:r w:rsidRPr="00C153EA">
              <w:t>2</w:t>
            </w:r>
          </w:p>
        </w:tc>
        <w:tc>
          <w:tcPr>
            <w:tcW w:w="3117" w:type="dxa"/>
          </w:tcPr>
          <w:p w14:paraId="3E44A1C6" w14:textId="77777777" w:rsidR="00882C15" w:rsidRPr="00C153EA" w:rsidRDefault="00882C15" w:rsidP="001B41BD">
            <w:r w:rsidRPr="00C153EA">
              <w:t>Cancer</w:t>
            </w:r>
          </w:p>
        </w:tc>
        <w:tc>
          <w:tcPr>
            <w:tcW w:w="3117" w:type="dxa"/>
          </w:tcPr>
          <w:p w14:paraId="69FEF61B" w14:textId="77777777" w:rsidR="00882C15" w:rsidRPr="00C153EA" w:rsidRDefault="00882C15" w:rsidP="001B41BD">
            <w:r w:rsidRPr="00C153EA">
              <w:t>1,499</w:t>
            </w:r>
          </w:p>
        </w:tc>
      </w:tr>
      <w:tr w:rsidR="00882C15" w:rsidRPr="00C153EA" w14:paraId="5FE0E624" w14:textId="77777777" w:rsidTr="001B41BD">
        <w:tc>
          <w:tcPr>
            <w:tcW w:w="3116" w:type="dxa"/>
          </w:tcPr>
          <w:p w14:paraId="71984306" w14:textId="77777777" w:rsidR="00882C15" w:rsidRPr="00C153EA" w:rsidRDefault="00882C15" w:rsidP="001B41BD">
            <w:r w:rsidRPr="00C153EA">
              <w:t>3</w:t>
            </w:r>
          </w:p>
        </w:tc>
        <w:tc>
          <w:tcPr>
            <w:tcW w:w="3117" w:type="dxa"/>
          </w:tcPr>
          <w:p w14:paraId="79503F2D" w14:textId="77777777" w:rsidR="00882C15" w:rsidRPr="00C153EA" w:rsidRDefault="00882C15" w:rsidP="001B41BD">
            <w:r w:rsidRPr="00C153EA">
              <w:t>COVID-19</w:t>
            </w:r>
          </w:p>
        </w:tc>
        <w:tc>
          <w:tcPr>
            <w:tcW w:w="3117" w:type="dxa"/>
          </w:tcPr>
          <w:p w14:paraId="1694A73F" w14:textId="77777777" w:rsidR="00882C15" w:rsidRPr="00C153EA" w:rsidRDefault="00882C15" w:rsidP="001B41BD">
            <w:r w:rsidRPr="00C153EA">
              <w:t>1,398</w:t>
            </w:r>
          </w:p>
        </w:tc>
      </w:tr>
      <w:tr w:rsidR="00882C15" w:rsidRPr="00C153EA" w14:paraId="0B6BC4CD" w14:textId="77777777" w:rsidTr="001B41BD">
        <w:tc>
          <w:tcPr>
            <w:tcW w:w="3116" w:type="dxa"/>
          </w:tcPr>
          <w:p w14:paraId="51E9CD24" w14:textId="77777777" w:rsidR="00882C15" w:rsidRPr="00C153EA" w:rsidRDefault="00882C15" w:rsidP="001B41BD">
            <w:r w:rsidRPr="00C153EA">
              <w:t>4</w:t>
            </w:r>
          </w:p>
        </w:tc>
        <w:tc>
          <w:tcPr>
            <w:tcW w:w="3117" w:type="dxa"/>
          </w:tcPr>
          <w:p w14:paraId="116FC4A8" w14:textId="77777777" w:rsidR="00882C15" w:rsidRPr="00C153EA" w:rsidRDefault="00882C15" w:rsidP="001B41BD">
            <w:r w:rsidRPr="00C153EA">
              <w:t>Alzheimer’s Disease</w:t>
            </w:r>
          </w:p>
        </w:tc>
        <w:tc>
          <w:tcPr>
            <w:tcW w:w="3117" w:type="dxa"/>
          </w:tcPr>
          <w:p w14:paraId="07D82E10" w14:textId="77777777" w:rsidR="00882C15" w:rsidRPr="00C153EA" w:rsidRDefault="00882C15" w:rsidP="001B41BD">
            <w:r w:rsidRPr="00C153EA">
              <w:t>1,369</w:t>
            </w:r>
          </w:p>
        </w:tc>
      </w:tr>
      <w:tr w:rsidR="00882C15" w:rsidRPr="00C153EA" w14:paraId="32098874" w14:textId="77777777" w:rsidTr="001B41BD">
        <w:tc>
          <w:tcPr>
            <w:tcW w:w="3116" w:type="dxa"/>
          </w:tcPr>
          <w:p w14:paraId="4069ADA9" w14:textId="77777777" w:rsidR="00882C15" w:rsidRPr="00C153EA" w:rsidRDefault="00882C15" w:rsidP="001B41BD">
            <w:r w:rsidRPr="00C153EA">
              <w:lastRenderedPageBreak/>
              <w:t>5</w:t>
            </w:r>
          </w:p>
        </w:tc>
        <w:tc>
          <w:tcPr>
            <w:tcW w:w="3117" w:type="dxa"/>
          </w:tcPr>
          <w:p w14:paraId="31380749" w14:textId="77777777" w:rsidR="00882C15" w:rsidRPr="00C153EA" w:rsidRDefault="00882C15" w:rsidP="001B41BD">
            <w:r w:rsidRPr="00C153EA">
              <w:t>Stroke</w:t>
            </w:r>
          </w:p>
        </w:tc>
        <w:tc>
          <w:tcPr>
            <w:tcW w:w="3117" w:type="dxa"/>
          </w:tcPr>
          <w:p w14:paraId="4D7C3BA8" w14:textId="77777777" w:rsidR="00882C15" w:rsidRPr="00C153EA" w:rsidRDefault="00882C15" w:rsidP="001B41BD">
            <w:r w:rsidRPr="00C153EA">
              <w:t>969</w:t>
            </w:r>
          </w:p>
        </w:tc>
      </w:tr>
      <w:tr w:rsidR="00882C15" w:rsidRPr="00C153EA" w14:paraId="47AAE644" w14:textId="77777777" w:rsidTr="001B41BD">
        <w:tc>
          <w:tcPr>
            <w:tcW w:w="3116" w:type="dxa"/>
          </w:tcPr>
          <w:p w14:paraId="32C49D9D" w14:textId="77777777" w:rsidR="00882C15" w:rsidRPr="00C153EA" w:rsidRDefault="00882C15" w:rsidP="001B41BD">
            <w:r w:rsidRPr="00C153EA">
              <w:t>6</w:t>
            </w:r>
          </w:p>
        </w:tc>
        <w:tc>
          <w:tcPr>
            <w:tcW w:w="3117" w:type="dxa"/>
          </w:tcPr>
          <w:p w14:paraId="3BDF50D9" w14:textId="77777777" w:rsidR="00882C15" w:rsidRPr="00C153EA" w:rsidRDefault="00882C15" w:rsidP="001B41BD">
            <w:r w:rsidRPr="00C153EA">
              <w:t>Chronic Lower Respiratory Disease</w:t>
            </w:r>
          </w:p>
        </w:tc>
        <w:tc>
          <w:tcPr>
            <w:tcW w:w="3117" w:type="dxa"/>
          </w:tcPr>
          <w:p w14:paraId="012D733F" w14:textId="77777777" w:rsidR="00882C15" w:rsidRPr="00C153EA" w:rsidRDefault="00882C15" w:rsidP="001B41BD">
            <w:r w:rsidRPr="00C153EA">
              <w:t>579</w:t>
            </w:r>
          </w:p>
        </w:tc>
      </w:tr>
      <w:tr w:rsidR="00882C15" w:rsidRPr="00C153EA" w14:paraId="5F0D0BCE" w14:textId="77777777" w:rsidTr="001B41BD">
        <w:tc>
          <w:tcPr>
            <w:tcW w:w="3116" w:type="dxa"/>
          </w:tcPr>
          <w:p w14:paraId="0250A942" w14:textId="77777777" w:rsidR="00882C15" w:rsidRPr="00C153EA" w:rsidRDefault="00882C15" w:rsidP="001B41BD">
            <w:r w:rsidRPr="00C153EA">
              <w:t>7</w:t>
            </w:r>
          </w:p>
        </w:tc>
        <w:tc>
          <w:tcPr>
            <w:tcW w:w="3117" w:type="dxa"/>
          </w:tcPr>
          <w:p w14:paraId="6B79ECCA" w14:textId="77777777" w:rsidR="00882C15" w:rsidRPr="00C153EA" w:rsidRDefault="00882C15" w:rsidP="001B41BD">
            <w:r w:rsidRPr="00C153EA">
              <w:t>Unintentional Injuries</w:t>
            </w:r>
          </w:p>
        </w:tc>
        <w:tc>
          <w:tcPr>
            <w:tcW w:w="3117" w:type="dxa"/>
          </w:tcPr>
          <w:p w14:paraId="3F7DFAD8" w14:textId="77777777" w:rsidR="00882C15" w:rsidRPr="00C153EA" w:rsidRDefault="00882C15" w:rsidP="001B41BD">
            <w:r w:rsidRPr="00C153EA">
              <w:t>418</w:t>
            </w:r>
          </w:p>
        </w:tc>
      </w:tr>
      <w:tr w:rsidR="00882C15" w:rsidRPr="00C153EA" w14:paraId="57105593" w14:textId="77777777" w:rsidTr="001B41BD">
        <w:tc>
          <w:tcPr>
            <w:tcW w:w="3116" w:type="dxa"/>
          </w:tcPr>
          <w:p w14:paraId="128AC7CA" w14:textId="77777777" w:rsidR="00882C15" w:rsidRPr="00C153EA" w:rsidRDefault="00882C15" w:rsidP="001B41BD">
            <w:r w:rsidRPr="00C153EA">
              <w:t>8</w:t>
            </w:r>
          </w:p>
        </w:tc>
        <w:tc>
          <w:tcPr>
            <w:tcW w:w="3117" w:type="dxa"/>
          </w:tcPr>
          <w:p w14:paraId="711F3DB6" w14:textId="77777777" w:rsidR="00882C15" w:rsidRPr="00C153EA" w:rsidRDefault="00882C15" w:rsidP="001B41BD">
            <w:r w:rsidRPr="00C153EA">
              <w:t>Nutrition Deficiency</w:t>
            </w:r>
          </w:p>
        </w:tc>
        <w:tc>
          <w:tcPr>
            <w:tcW w:w="3117" w:type="dxa"/>
          </w:tcPr>
          <w:p w14:paraId="568F6B33" w14:textId="77777777" w:rsidR="00882C15" w:rsidRPr="00C153EA" w:rsidRDefault="00882C15" w:rsidP="001B41BD">
            <w:r w:rsidRPr="00C153EA">
              <w:t>313</w:t>
            </w:r>
          </w:p>
        </w:tc>
      </w:tr>
      <w:tr w:rsidR="00882C15" w:rsidRPr="00C153EA" w14:paraId="43A9DC11" w14:textId="77777777" w:rsidTr="001B41BD">
        <w:tc>
          <w:tcPr>
            <w:tcW w:w="3116" w:type="dxa"/>
          </w:tcPr>
          <w:p w14:paraId="28AFBE46" w14:textId="77777777" w:rsidR="00882C15" w:rsidRPr="00C153EA" w:rsidRDefault="00882C15" w:rsidP="001B41BD">
            <w:r w:rsidRPr="00C153EA">
              <w:t>9</w:t>
            </w:r>
          </w:p>
        </w:tc>
        <w:tc>
          <w:tcPr>
            <w:tcW w:w="3117" w:type="dxa"/>
          </w:tcPr>
          <w:p w14:paraId="79233D0C" w14:textId="77777777" w:rsidR="00882C15" w:rsidRPr="00C153EA" w:rsidRDefault="00882C15" w:rsidP="001B41BD">
            <w:r w:rsidRPr="00C153EA">
              <w:t>Diabetes</w:t>
            </w:r>
          </w:p>
        </w:tc>
        <w:tc>
          <w:tcPr>
            <w:tcW w:w="3117" w:type="dxa"/>
          </w:tcPr>
          <w:p w14:paraId="57E9E959" w14:textId="77777777" w:rsidR="00882C15" w:rsidRPr="00C153EA" w:rsidRDefault="00882C15" w:rsidP="001B41BD">
            <w:r w:rsidRPr="00C153EA">
              <w:t>239</w:t>
            </w:r>
          </w:p>
        </w:tc>
      </w:tr>
      <w:tr w:rsidR="00882C15" w:rsidRPr="00C153EA" w14:paraId="700D7191" w14:textId="77777777" w:rsidTr="001B41BD">
        <w:tc>
          <w:tcPr>
            <w:tcW w:w="3116" w:type="dxa"/>
          </w:tcPr>
          <w:p w14:paraId="666C3EC2" w14:textId="77777777" w:rsidR="00882C15" w:rsidRPr="00C153EA" w:rsidRDefault="00882C15" w:rsidP="001B41BD">
            <w:r w:rsidRPr="00C153EA">
              <w:t>10</w:t>
            </w:r>
          </w:p>
        </w:tc>
        <w:tc>
          <w:tcPr>
            <w:tcW w:w="3117" w:type="dxa"/>
          </w:tcPr>
          <w:p w14:paraId="61B0765C" w14:textId="77777777" w:rsidR="00882C15" w:rsidRPr="00C153EA" w:rsidRDefault="00882C15" w:rsidP="001B41BD">
            <w:r w:rsidRPr="00C153EA">
              <w:t>Parkinson’s Disease</w:t>
            </w:r>
          </w:p>
        </w:tc>
        <w:tc>
          <w:tcPr>
            <w:tcW w:w="3117" w:type="dxa"/>
          </w:tcPr>
          <w:p w14:paraId="49B9981D" w14:textId="77777777" w:rsidR="00882C15" w:rsidRPr="00C153EA" w:rsidRDefault="00882C15" w:rsidP="001B41BD">
            <w:r w:rsidRPr="00C153EA">
              <w:t>220</w:t>
            </w:r>
          </w:p>
        </w:tc>
      </w:tr>
      <w:tr w:rsidR="00882C15" w:rsidRPr="00C153EA" w14:paraId="79658A7E" w14:textId="77777777" w:rsidTr="001B41BD">
        <w:tc>
          <w:tcPr>
            <w:tcW w:w="3116" w:type="dxa"/>
          </w:tcPr>
          <w:p w14:paraId="4ECAAA22" w14:textId="77777777" w:rsidR="00882C15" w:rsidRPr="00C153EA" w:rsidRDefault="00882C15" w:rsidP="001B41BD">
            <w:r w:rsidRPr="00C153EA">
              <w:t>Total</w:t>
            </w:r>
          </w:p>
        </w:tc>
        <w:tc>
          <w:tcPr>
            <w:tcW w:w="3117" w:type="dxa"/>
          </w:tcPr>
          <w:p w14:paraId="4FEDA7C0" w14:textId="77777777" w:rsidR="00882C15" w:rsidRPr="00C153EA" w:rsidRDefault="00882C15" w:rsidP="001B41BD">
            <w:r w:rsidRPr="00C153EA">
              <w:t>All Deaths</w:t>
            </w:r>
          </w:p>
        </w:tc>
        <w:tc>
          <w:tcPr>
            <w:tcW w:w="3117" w:type="dxa"/>
          </w:tcPr>
          <w:p w14:paraId="6B4962F0" w14:textId="77777777" w:rsidR="00882C15" w:rsidRPr="00C153EA" w:rsidRDefault="00882C15" w:rsidP="001B41BD">
            <w:r w:rsidRPr="00C153EA">
              <w:t>14,449</w:t>
            </w:r>
          </w:p>
        </w:tc>
      </w:tr>
    </w:tbl>
    <w:p w14:paraId="477F06F9" w14:textId="77777777" w:rsidR="00882C15" w:rsidRPr="00C153EA" w:rsidRDefault="00882C15" w:rsidP="00882C15">
      <w:pPr>
        <w:pStyle w:val="Heading5"/>
      </w:pPr>
      <w:r w:rsidRPr="00C153EA">
        <w:t>Age Group: 65+</w:t>
      </w:r>
      <w:r>
        <w:t>.</w:t>
      </w:r>
    </w:p>
    <w:tbl>
      <w:tblPr>
        <w:tblStyle w:val="TableGrid"/>
        <w:tblW w:w="0" w:type="auto"/>
        <w:tblLook w:val="04E0" w:firstRow="1" w:lastRow="1" w:firstColumn="1" w:lastColumn="0" w:noHBand="0" w:noVBand="1"/>
      </w:tblPr>
      <w:tblGrid>
        <w:gridCol w:w="3116"/>
        <w:gridCol w:w="3117"/>
        <w:gridCol w:w="3117"/>
      </w:tblGrid>
      <w:tr w:rsidR="00882C15" w:rsidRPr="00C153EA" w14:paraId="124E1AC4" w14:textId="77777777" w:rsidTr="001B41BD">
        <w:tc>
          <w:tcPr>
            <w:tcW w:w="3116" w:type="dxa"/>
          </w:tcPr>
          <w:p w14:paraId="6F3B5A64" w14:textId="77777777" w:rsidR="00882C15" w:rsidRPr="00C153EA" w:rsidRDefault="00882C15" w:rsidP="001B41BD">
            <w:r w:rsidRPr="00C153EA">
              <w:t>Rank</w:t>
            </w:r>
          </w:p>
        </w:tc>
        <w:tc>
          <w:tcPr>
            <w:tcW w:w="3117" w:type="dxa"/>
          </w:tcPr>
          <w:p w14:paraId="5307A9A9" w14:textId="77777777" w:rsidR="00882C15" w:rsidRPr="00C153EA" w:rsidRDefault="00882C15" w:rsidP="001B41BD">
            <w:r w:rsidRPr="00C153EA">
              <w:t>Cause of Death</w:t>
            </w:r>
          </w:p>
        </w:tc>
        <w:tc>
          <w:tcPr>
            <w:tcW w:w="3117" w:type="dxa"/>
          </w:tcPr>
          <w:p w14:paraId="6804917B" w14:textId="77777777" w:rsidR="00882C15" w:rsidRPr="00C153EA" w:rsidRDefault="00882C15" w:rsidP="001B41BD">
            <w:r w:rsidRPr="00C153EA">
              <w:t>Number</w:t>
            </w:r>
          </w:p>
        </w:tc>
      </w:tr>
      <w:tr w:rsidR="00882C15" w:rsidRPr="00C153EA" w14:paraId="51C4C97D" w14:textId="77777777" w:rsidTr="001B41BD">
        <w:tc>
          <w:tcPr>
            <w:tcW w:w="3116" w:type="dxa"/>
          </w:tcPr>
          <w:p w14:paraId="59658713" w14:textId="77777777" w:rsidR="00882C15" w:rsidRPr="00C153EA" w:rsidRDefault="00882C15" w:rsidP="001B41BD">
            <w:r w:rsidRPr="00C153EA">
              <w:t>1</w:t>
            </w:r>
          </w:p>
        </w:tc>
        <w:tc>
          <w:tcPr>
            <w:tcW w:w="3117" w:type="dxa"/>
          </w:tcPr>
          <w:p w14:paraId="26FBD4BF" w14:textId="77777777" w:rsidR="00882C15" w:rsidRPr="00C153EA" w:rsidRDefault="00882C15" w:rsidP="001B41BD">
            <w:r w:rsidRPr="00C153EA">
              <w:t>Heart Disease</w:t>
            </w:r>
          </w:p>
        </w:tc>
        <w:tc>
          <w:tcPr>
            <w:tcW w:w="3117" w:type="dxa"/>
          </w:tcPr>
          <w:p w14:paraId="261D6BFF" w14:textId="77777777" w:rsidR="00882C15" w:rsidRPr="00C153EA" w:rsidRDefault="00882C15" w:rsidP="001B41BD">
            <w:r w:rsidRPr="00C153EA">
              <w:t>9,159</w:t>
            </w:r>
          </w:p>
        </w:tc>
      </w:tr>
      <w:tr w:rsidR="00882C15" w:rsidRPr="00C153EA" w14:paraId="1A2B5F39" w14:textId="77777777" w:rsidTr="001B41BD">
        <w:tc>
          <w:tcPr>
            <w:tcW w:w="3116" w:type="dxa"/>
          </w:tcPr>
          <w:p w14:paraId="05728E90" w14:textId="77777777" w:rsidR="00882C15" w:rsidRPr="00C153EA" w:rsidRDefault="00882C15" w:rsidP="001B41BD">
            <w:r w:rsidRPr="00C153EA">
              <w:t>2</w:t>
            </w:r>
          </w:p>
        </w:tc>
        <w:tc>
          <w:tcPr>
            <w:tcW w:w="3117" w:type="dxa"/>
          </w:tcPr>
          <w:p w14:paraId="16D3EF19" w14:textId="77777777" w:rsidR="00882C15" w:rsidRPr="00C153EA" w:rsidRDefault="00882C15" w:rsidP="001B41BD">
            <w:r w:rsidRPr="00C153EA">
              <w:t>Cancer</w:t>
            </w:r>
          </w:p>
        </w:tc>
        <w:tc>
          <w:tcPr>
            <w:tcW w:w="3117" w:type="dxa"/>
          </w:tcPr>
          <w:p w14:paraId="5B88622E" w14:textId="77777777" w:rsidR="00882C15" w:rsidRPr="00C153EA" w:rsidRDefault="00882C15" w:rsidP="001B41BD">
            <w:r w:rsidRPr="00C153EA">
              <w:t>7,677</w:t>
            </w:r>
          </w:p>
        </w:tc>
      </w:tr>
      <w:tr w:rsidR="00882C15" w:rsidRPr="00C153EA" w14:paraId="4C6334A7" w14:textId="77777777" w:rsidTr="001B41BD">
        <w:tc>
          <w:tcPr>
            <w:tcW w:w="3116" w:type="dxa"/>
          </w:tcPr>
          <w:p w14:paraId="0CF0BF63" w14:textId="77777777" w:rsidR="00882C15" w:rsidRPr="00C153EA" w:rsidRDefault="00882C15" w:rsidP="001B41BD">
            <w:r w:rsidRPr="00C153EA">
              <w:t>3</w:t>
            </w:r>
          </w:p>
        </w:tc>
        <w:tc>
          <w:tcPr>
            <w:tcW w:w="3117" w:type="dxa"/>
          </w:tcPr>
          <w:p w14:paraId="0AEAFCDA" w14:textId="77777777" w:rsidR="00882C15" w:rsidRPr="00C153EA" w:rsidRDefault="00882C15" w:rsidP="001B41BD">
            <w:r w:rsidRPr="00C153EA">
              <w:t>COVID-19</w:t>
            </w:r>
          </w:p>
        </w:tc>
        <w:tc>
          <w:tcPr>
            <w:tcW w:w="3117" w:type="dxa"/>
          </w:tcPr>
          <w:p w14:paraId="73F30066" w14:textId="77777777" w:rsidR="00882C15" w:rsidRPr="00C153EA" w:rsidRDefault="00882C15" w:rsidP="001B41BD">
            <w:r w:rsidRPr="00C153EA">
              <w:t>6,076</w:t>
            </w:r>
          </w:p>
        </w:tc>
      </w:tr>
      <w:tr w:rsidR="00882C15" w:rsidRPr="00C153EA" w14:paraId="4A55511B" w14:textId="77777777" w:rsidTr="001B41BD">
        <w:tc>
          <w:tcPr>
            <w:tcW w:w="3116" w:type="dxa"/>
          </w:tcPr>
          <w:p w14:paraId="14E7BE37" w14:textId="77777777" w:rsidR="00882C15" w:rsidRPr="00C153EA" w:rsidRDefault="00882C15" w:rsidP="001B41BD">
            <w:r w:rsidRPr="00C153EA">
              <w:t>4</w:t>
            </w:r>
          </w:p>
        </w:tc>
        <w:tc>
          <w:tcPr>
            <w:tcW w:w="3117" w:type="dxa"/>
          </w:tcPr>
          <w:p w14:paraId="19790BC4" w14:textId="77777777" w:rsidR="00882C15" w:rsidRPr="00C153EA" w:rsidRDefault="00882C15" w:rsidP="001B41BD">
            <w:r w:rsidRPr="00C153EA">
              <w:t>Stroke</w:t>
            </w:r>
          </w:p>
        </w:tc>
        <w:tc>
          <w:tcPr>
            <w:tcW w:w="3117" w:type="dxa"/>
          </w:tcPr>
          <w:p w14:paraId="53C51221" w14:textId="77777777" w:rsidR="00882C15" w:rsidRPr="00C153EA" w:rsidRDefault="00882C15" w:rsidP="001B41BD">
            <w:r w:rsidRPr="00C153EA">
              <w:t>2,569</w:t>
            </w:r>
          </w:p>
        </w:tc>
      </w:tr>
      <w:tr w:rsidR="00882C15" w:rsidRPr="00C153EA" w14:paraId="0872AC88" w14:textId="77777777" w:rsidTr="001B41BD">
        <w:tc>
          <w:tcPr>
            <w:tcW w:w="3116" w:type="dxa"/>
          </w:tcPr>
          <w:p w14:paraId="46155FD6" w14:textId="77777777" w:rsidR="00882C15" w:rsidRPr="00C153EA" w:rsidRDefault="00882C15" w:rsidP="001B41BD">
            <w:r w:rsidRPr="00C153EA">
              <w:t>5</w:t>
            </w:r>
          </w:p>
        </w:tc>
        <w:tc>
          <w:tcPr>
            <w:tcW w:w="3117" w:type="dxa"/>
          </w:tcPr>
          <w:p w14:paraId="3D0A6537" w14:textId="77777777" w:rsidR="00882C15" w:rsidRPr="00C153EA" w:rsidRDefault="00882C15" w:rsidP="001B41BD">
            <w:r w:rsidRPr="00C153EA">
              <w:t>Alzheimer’s Disease</w:t>
            </w:r>
          </w:p>
        </w:tc>
        <w:tc>
          <w:tcPr>
            <w:tcW w:w="3117" w:type="dxa"/>
          </w:tcPr>
          <w:p w14:paraId="52D9CBF7" w14:textId="77777777" w:rsidR="00882C15" w:rsidRPr="00C153EA" w:rsidRDefault="00882C15" w:rsidP="001B41BD">
            <w:r w:rsidRPr="00C153EA">
              <w:t>2,387</w:t>
            </w:r>
          </w:p>
        </w:tc>
      </w:tr>
      <w:tr w:rsidR="00882C15" w:rsidRPr="00C153EA" w14:paraId="31F8117E" w14:textId="77777777" w:rsidTr="001B41BD">
        <w:tc>
          <w:tcPr>
            <w:tcW w:w="3116" w:type="dxa"/>
          </w:tcPr>
          <w:p w14:paraId="3251A32A" w14:textId="77777777" w:rsidR="00882C15" w:rsidRPr="00C153EA" w:rsidRDefault="00882C15" w:rsidP="001B41BD">
            <w:r w:rsidRPr="00C153EA">
              <w:t>6</w:t>
            </w:r>
          </w:p>
        </w:tc>
        <w:tc>
          <w:tcPr>
            <w:tcW w:w="3117" w:type="dxa"/>
          </w:tcPr>
          <w:p w14:paraId="00ED6039" w14:textId="77777777" w:rsidR="00882C15" w:rsidRPr="00C153EA" w:rsidRDefault="00882C15" w:rsidP="001B41BD">
            <w:r w:rsidRPr="00C153EA">
              <w:t>Chronic Lower Respiratory Disease</w:t>
            </w:r>
          </w:p>
        </w:tc>
        <w:tc>
          <w:tcPr>
            <w:tcW w:w="3117" w:type="dxa"/>
          </w:tcPr>
          <w:p w14:paraId="2D9115A4" w14:textId="77777777" w:rsidR="00882C15" w:rsidRPr="00C153EA" w:rsidRDefault="00882C15" w:rsidP="001B41BD">
            <w:r w:rsidRPr="00C153EA">
              <w:t>2,347</w:t>
            </w:r>
          </w:p>
        </w:tc>
      </w:tr>
      <w:tr w:rsidR="00882C15" w:rsidRPr="00C153EA" w14:paraId="0E89B659" w14:textId="77777777" w:rsidTr="001B41BD">
        <w:tc>
          <w:tcPr>
            <w:tcW w:w="3116" w:type="dxa"/>
          </w:tcPr>
          <w:p w14:paraId="14C3D6BF" w14:textId="77777777" w:rsidR="00882C15" w:rsidRPr="00C153EA" w:rsidRDefault="00882C15" w:rsidP="001B41BD">
            <w:r w:rsidRPr="00C153EA">
              <w:t>7</w:t>
            </w:r>
          </w:p>
        </w:tc>
        <w:tc>
          <w:tcPr>
            <w:tcW w:w="3117" w:type="dxa"/>
          </w:tcPr>
          <w:p w14:paraId="38120F8D" w14:textId="77777777" w:rsidR="00882C15" w:rsidRPr="00C153EA" w:rsidRDefault="00882C15" w:rsidP="001B41BD">
            <w:r w:rsidRPr="00C153EA">
              <w:t>Unintentional Injuries</w:t>
            </w:r>
          </w:p>
        </w:tc>
        <w:tc>
          <w:tcPr>
            <w:tcW w:w="3117" w:type="dxa"/>
          </w:tcPr>
          <w:p w14:paraId="27EB7239" w14:textId="77777777" w:rsidR="00882C15" w:rsidRPr="00C153EA" w:rsidRDefault="00882C15" w:rsidP="001B41BD">
            <w:r w:rsidRPr="00C153EA">
              <w:t>1,264</w:t>
            </w:r>
          </w:p>
        </w:tc>
      </w:tr>
      <w:tr w:rsidR="00882C15" w:rsidRPr="00C153EA" w14:paraId="4B8086CF" w14:textId="77777777" w:rsidTr="001B41BD">
        <w:tc>
          <w:tcPr>
            <w:tcW w:w="3116" w:type="dxa"/>
          </w:tcPr>
          <w:p w14:paraId="54252C4D" w14:textId="77777777" w:rsidR="00882C15" w:rsidRPr="00C153EA" w:rsidRDefault="00882C15" w:rsidP="001B41BD">
            <w:r w:rsidRPr="00C153EA">
              <w:t>8</w:t>
            </w:r>
          </w:p>
        </w:tc>
        <w:tc>
          <w:tcPr>
            <w:tcW w:w="3117" w:type="dxa"/>
          </w:tcPr>
          <w:p w14:paraId="31217A1D" w14:textId="77777777" w:rsidR="00882C15" w:rsidRPr="00C153EA" w:rsidRDefault="00882C15" w:rsidP="001B41BD">
            <w:r w:rsidRPr="00C153EA">
              <w:t>Diabetes</w:t>
            </w:r>
          </w:p>
        </w:tc>
        <w:tc>
          <w:tcPr>
            <w:tcW w:w="3117" w:type="dxa"/>
          </w:tcPr>
          <w:p w14:paraId="6C5672D7" w14:textId="77777777" w:rsidR="00882C15" w:rsidRPr="00C153EA" w:rsidRDefault="00882C15" w:rsidP="001B41BD">
            <w:r w:rsidRPr="00C153EA">
              <w:t>1,185</w:t>
            </w:r>
          </w:p>
        </w:tc>
      </w:tr>
      <w:tr w:rsidR="00882C15" w:rsidRPr="00C153EA" w14:paraId="5E71D9C5" w14:textId="77777777" w:rsidTr="001B41BD">
        <w:tc>
          <w:tcPr>
            <w:tcW w:w="3116" w:type="dxa"/>
          </w:tcPr>
          <w:p w14:paraId="1CC091D6" w14:textId="77777777" w:rsidR="00882C15" w:rsidRPr="00C153EA" w:rsidRDefault="00882C15" w:rsidP="001B41BD">
            <w:r w:rsidRPr="00C153EA">
              <w:t>9</w:t>
            </w:r>
          </w:p>
        </w:tc>
        <w:tc>
          <w:tcPr>
            <w:tcW w:w="3117" w:type="dxa"/>
          </w:tcPr>
          <w:p w14:paraId="22A78208" w14:textId="77777777" w:rsidR="00882C15" w:rsidRPr="00C153EA" w:rsidRDefault="00882C15" w:rsidP="001B41BD">
            <w:r w:rsidRPr="00C153EA">
              <w:t>Kidney Diseases</w:t>
            </w:r>
          </w:p>
        </w:tc>
        <w:tc>
          <w:tcPr>
            <w:tcW w:w="3117" w:type="dxa"/>
          </w:tcPr>
          <w:p w14:paraId="0F3424BB" w14:textId="77777777" w:rsidR="00882C15" w:rsidRPr="00C153EA" w:rsidRDefault="00882C15" w:rsidP="001B41BD">
            <w:r w:rsidRPr="00C153EA">
              <w:t>697</w:t>
            </w:r>
          </w:p>
        </w:tc>
      </w:tr>
      <w:tr w:rsidR="00882C15" w:rsidRPr="00C153EA" w14:paraId="042D104F" w14:textId="77777777" w:rsidTr="001B41BD">
        <w:tc>
          <w:tcPr>
            <w:tcW w:w="3116" w:type="dxa"/>
          </w:tcPr>
          <w:p w14:paraId="50BC517A" w14:textId="77777777" w:rsidR="00882C15" w:rsidRPr="00C153EA" w:rsidRDefault="00882C15" w:rsidP="001B41BD">
            <w:r w:rsidRPr="00C153EA">
              <w:t>10</w:t>
            </w:r>
          </w:p>
        </w:tc>
        <w:tc>
          <w:tcPr>
            <w:tcW w:w="3117" w:type="dxa"/>
          </w:tcPr>
          <w:p w14:paraId="638E9946" w14:textId="77777777" w:rsidR="00882C15" w:rsidRPr="00C153EA" w:rsidRDefault="00882C15" w:rsidP="001B41BD">
            <w:r w:rsidRPr="00C153EA">
              <w:t>Parkinson’s Disease</w:t>
            </w:r>
          </w:p>
        </w:tc>
        <w:tc>
          <w:tcPr>
            <w:tcW w:w="3117" w:type="dxa"/>
          </w:tcPr>
          <w:p w14:paraId="709AF81B" w14:textId="77777777" w:rsidR="00882C15" w:rsidRPr="00C153EA" w:rsidRDefault="00882C15" w:rsidP="001B41BD">
            <w:r w:rsidRPr="00C153EA">
              <w:t>666</w:t>
            </w:r>
          </w:p>
        </w:tc>
      </w:tr>
      <w:tr w:rsidR="00882C15" w:rsidRPr="00C153EA" w14:paraId="2D4EA81A" w14:textId="77777777" w:rsidTr="001B41BD">
        <w:tc>
          <w:tcPr>
            <w:tcW w:w="3116" w:type="dxa"/>
          </w:tcPr>
          <w:p w14:paraId="4FD75AC6" w14:textId="77777777" w:rsidR="00882C15" w:rsidRPr="00C153EA" w:rsidRDefault="00882C15" w:rsidP="001B41BD">
            <w:r w:rsidRPr="00C153EA">
              <w:t>Total</w:t>
            </w:r>
          </w:p>
        </w:tc>
        <w:tc>
          <w:tcPr>
            <w:tcW w:w="3117" w:type="dxa"/>
          </w:tcPr>
          <w:p w14:paraId="13C240FD" w14:textId="77777777" w:rsidR="00882C15" w:rsidRPr="00C153EA" w:rsidRDefault="00882C15" w:rsidP="001B41BD">
            <w:r w:rsidRPr="00C153EA">
              <w:t>All Deaths</w:t>
            </w:r>
          </w:p>
        </w:tc>
        <w:tc>
          <w:tcPr>
            <w:tcW w:w="3117" w:type="dxa"/>
          </w:tcPr>
          <w:p w14:paraId="1E43E255" w14:textId="77777777" w:rsidR="00882C15" w:rsidRPr="00C153EA" w:rsidRDefault="00882C15" w:rsidP="001B41BD">
            <w:r w:rsidRPr="00C153EA">
              <w:t>45,470</w:t>
            </w:r>
          </w:p>
        </w:tc>
      </w:tr>
    </w:tbl>
    <w:p w14:paraId="3D93C363" w14:textId="77777777" w:rsidR="00882C15" w:rsidRDefault="00882C15" w:rsidP="00882C15">
      <w:r w:rsidRPr="00C153EA">
        <w:t>Source: SC DHEC Vital Statistics, 2021.</w:t>
      </w:r>
    </w:p>
    <w:p w14:paraId="7A05670D" w14:textId="77777777" w:rsidR="00882C15" w:rsidRDefault="00882C15" w:rsidP="00882C15"/>
    <w:p w14:paraId="33F45098" w14:textId="77777777" w:rsidR="00882C15" w:rsidRPr="00882C15" w:rsidRDefault="00882C15" w:rsidP="00882C15">
      <w:pPr>
        <w:pStyle w:val="Heading4"/>
      </w:pPr>
      <w:bookmarkStart w:id="936" w:name="_Toc162267632"/>
      <w:r w:rsidRPr="00882C15">
        <w:t>Data Interpretations:</w:t>
      </w:r>
      <w:bookmarkEnd w:id="936"/>
      <w:r w:rsidRPr="00882C15">
        <w:t xml:space="preserve"> </w:t>
      </w:r>
    </w:p>
    <w:p w14:paraId="6A8B62E7" w14:textId="24C4666F" w:rsidR="00882C15" w:rsidRPr="00882C15" w:rsidRDefault="00882C15" w:rsidP="00882C15">
      <w:r w:rsidRPr="00882C15">
        <w:t>In South Carolina (SC), during federal fiscal year 2021 there were over 200,000 hospitalizations for people aged 65 and older. The leading cause of hospitalization among South Carolinians 65 and older was sepsis, with nearly 19,000 visits (</w:t>
      </w:r>
      <w:r w:rsidRPr="00882C15">
        <w:rPr>
          <w:b/>
          <w:bCs/>
        </w:rPr>
        <w:t>Figure 10.1</w:t>
      </w:r>
      <w:r w:rsidRPr="00882C15">
        <w:t>). The second leading cause for hospitalization among people 65 and older was COVID-19, seeing 16,254 visits. The majority of the 10 leading causes of hospitalizations were chronic diseases and injuries. Over $15 billion dollars in medical spending was charged due to hospitalizations from adults 65 and older with those spending on average 5.2 days in the hospital. In 2021, 45,470 South Carolinians aged 65 and older died with heart disease being the leading cause of death (</w:t>
      </w:r>
      <w:r w:rsidRPr="00882C15">
        <w:rPr>
          <w:b/>
          <w:bCs/>
        </w:rPr>
        <w:t>Table 10.1</w:t>
      </w:r>
      <w:r w:rsidRPr="00882C15">
        <w:t>). Regardless of age group, heart disease, cancer and COVID-19 were the three leading causes of death for people 65 and older (</w:t>
      </w:r>
      <w:r w:rsidRPr="00882C15">
        <w:rPr>
          <w:b/>
          <w:bCs/>
        </w:rPr>
        <w:t>Table 10.1</w:t>
      </w:r>
      <w:r w:rsidRPr="00882C15">
        <w:t xml:space="preserve">). Conditions primarily affecting older adults such as Alzheimer’s Disease and </w:t>
      </w:r>
      <w:r w:rsidRPr="00882C15">
        <w:lastRenderedPageBreak/>
        <w:t>Parkinson’s Disease are also among the top causes of death for individuals 65 and older</w:t>
      </w:r>
      <w:r>
        <w:t xml:space="preserve"> </w:t>
      </w:r>
      <w:r w:rsidRPr="00882C15">
        <w:t>(</w:t>
      </w:r>
      <w:r w:rsidRPr="00882C15">
        <w:rPr>
          <w:b/>
          <w:bCs/>
        </w:rPr>
        <w:t>Table 10.1</w:t>
      </w:r>
      <w:r w:rsidRPr="00882C15">
        <w:t xml:space="preserve">).   </w:t>
      </w:r>
    </w:p>
    <w:p w14:paraId="7DD2B51D" w14:textId="77777777" w:rsidR="00882C15" w:rsidRPr="00882C15" w:rsidRDefault="00882C15" w:rsidP="00882C15"/>
    <w:p w14:paraId="4892BB5D" w14:textId="16226EE8" w:rsidR="0006142D" w:rsidRPr="00882C15" w:rsidRDefault="00882C15" w:rsidP="00882C15">
      <w:pPr>
        <w:pStyle w:val="Heading5"/>
      </w:pPr>
      <w:r w:rsidRPr="00882C15">
        <w:t xml:space="preserve">Key Interpretations: </w:t>
      </w:r>
    </w:p>
    <w:p w14:paraId="58CD9DD8" w14:textId="77777777" w:rsidR="00882C15" w:rsidRPr="00882C15" w:rsidRDefault="00882C15" w:rsidP="00926EB3">
      <w:pPr>
        <w:pStyle w:val="ListParagraph"/>
        <w:numPr>
          <w:ilvl w:val="0"/>
          <w:numId w:val="228"/>
        </w:numPr>
      </w:pPr>
      <w:r w:rsidRPr="00882C15">
        <w:t xml:space="preserve">Chronic diseases, such as heart disease, </w:t>
      </w:r>
      <w:proofErr w:type="gramStart"/>
      <w:r w:rsidRPr="00882C15">
        <w:t>cancer</w:t>
      </w:r>
      <w:proofErr w:type="gramEnd"/>
      <w:r w:rsidRPr="00882C15">
        <w:t xml:space="preserve"> and stroke, are common causes of hospitalization and death among individuals 65+.</w:t>
      </w:r>
    </w:p>
    <w:p w14:paraId="699A8BBE" w14:textId="77777777" w:rsidR="00882C15" w:rsidRDefault="00882C15" w:rsidP="0006142D"/>
    <w:p w14:paraId="6C001C13" w14:textId="6DCCD37F" w:rsidR="00882C15" w:rsidRPr="00474B85" w:rsidRDefault="00882C15" w:rsidP="00882C15">
      <w:pPr>
        <w:pStyle w:val="Heading4"/>
        <w:rPr>
          <w:rFonts w:asciiTheme="minorHAnsi" w:hAnsiTheme="minorHAnsi" w:cstheme="minorHAnsi"/>
          <w:color w:val="000000" w:themeColor="text1"/>
        </w:rPr>
      </w:pPr>
      <w:bookmarkStart w:id="937" w:name="_Toc162267633"/>
      <w:r w:rsidRPr="00474B85">
        <w:rPr>
          <w:rFonts w:asciiTheme="minorHAnsi" w:hAnsiTheme="minorHAnsi" w:cstheme="minorHAnsi"/>
          <w:color w:val="000000" w:themeColor="text1"/>
        </w:rPr>
        <w:t xml:space="preserve">References </w:t>
      </w:r>
      <w:r>
        <w:rPr>
          <w:rFonts w:asciiTheme="minorHAnsi" w:hAnsiTheme="minorHAnsi" w:cstheme="minorHAnsi"/>
          <w:color w:val="000000" w:themeColor="text1"/>
        </w:rPr>
        <w:t>10.1</w:t>
      </w:r>
      <w:bookmarkEnd w:id="937"/>
    </w:p>
    <w:p w14:paraId="5B41EAF4" w14:textId="77777777" w:rsidR="00882C15" w:rsidRDefault="00882C15" w:rsidP="00882C15">
      <w:r w:rsidRPr="00474B85">
        <w:t>Statistics in the preceding section were referenced from the following reports:</w:t>
      </w:r>
    </w:p>
    <w:p w14:paraId="7416B502" w14:textId="59CFCC39" w:rsidR="005A01D1" w:rsidRPr="005A01D1" w:rsidRDefault="005A01D1" w:rsidP="00926EB3">
      <w:pPr>
        <w:pStyle w:val="ListParagraph"/>
        <w:numPr>
          <w:ilvl w:val="0"/>
          <w:numId w:val="199"/>
        </w:numPr>
      </w:pPr>
      <w:r w:rsidRPr="005A01D1">
        <w:t xml:space="preserve"> </w:t>
      </w:r>
      <w:hyperlink r:id="rId416" w:history="1">
        <w:r w:rsidRPr="005A01D1">
          <w:rPr>
            <w:rStyle w:val="Hyperlink"/>
          </w:rPr>
          <w:t>“Promoting health for older adults” by the National Center for Chronic Disease Prevention and Health Promotion (NCCDPHP) via cdc.gov, 2022. Retrieved December 20, 2022.</w:t>
        </w:r>
      </w:hyperlink>
      <w:r w:rsidRPr="005A01D1">
        <w:t xml:space="preserve"> </w:t>
      </w:r>
    </w:p>
    <w:p w14:paraId="262B13A0" w14:textId="181604E5" w:rsidR="005A01D1" w:rsidRPr="005A01D1" w:rsidRDefault="00000000" w:rsidP="00926EB3">
      <w:pPr>
        <w:pStyle w:val="ListParagraph"/>
        <w:numPr>
          <w:ilvl w:val="0"/>
          <w:numId w:val="199"/>
        </w:numPr>
      </w:pPr>
      <w:hyperlink r:id="rId417" w:history="1">
        <w:r w:rsidR="005A01D1" w:rsidRPr="005A01D1">
          <w:rPr>
            <w:rStyle w:val="Hyperlink"/>
          </w:rPr>
          <w:t>“</w:t>
        </w:r>
        <w:r w:rsidR="005A01D1" w:rsidRPr="005A01D1">
          <w:rPr>
            <w:rStyle w:val="Hyperlink"/>
            <w:i/>
            <w:iCs/>
          </w:rPr>
          <w:t>Get the Facts on Healthy Aging</w:t>
        </w:r>
        <w:r w:rsidR="005A01D1" w:rsidRPr="005A01D1">
          <w:rPr>
            <w:rStyle w:val="Hyperlink"/>
          </w:rPr>
          <w:t>” by The National Council on Aging. Published by the Center for Healthy Aging for Professionals. Retrieved December 20, 2022.</w:t>
        </w:r>
      </w:hyperlink>
      <w:r w:rsidR="005A01D1" w:rsidRPr="005A01D1">
        <w:t xml:space="preserve"> </w:t>
      </w:r>
    </w:p>
    <w:p w14:paraId="5D9CAB61" w14:textId="68432B83" w:rsidR="005A01D1" w:rsidRPr="005A01D1" w:rsidRDefault="00000000" w:rsidP="00926EB3">
      <w:pPr>
        <w:pStyle w:val="ListParagraph"/>
        <w:numPr>
          <w:ilvl w:val="0"/>
          <w:numId w:val="199"/>
        </w:numPr>
      </w:pPr>
      <w:hyperlink r:id="rId418" w:history="1">
        <w:r w:rsidR="005A01D1" w:rsidRPr="005A01D1">
          <w:rPr>
            <w:rStyle w:val="Hyperlink"/>
          </w:rPr>
          <w:t>“Older adults” by the US Department of Health and Human Services. Published in Healthy People 2030. Retrieved December 20, 2022.</w:t>
        </w:r>
      </w:hyperlink>
      <w:r w:rsidR="005A01D1" w:rsidRPr="005A01D1">
        <w:t xml:space="preserve"> </w:t>
      </w:r>
    </w:p>
    <w:p w14:paraId="5E67824D" w14:textId="4CAF76F0" w:rsidR="005A01D1" w:rsidRPr="005A01D1" w:rsidRDefault="00000000" w:rsidP="00926EB3">
      <w:pPr>
        <w:pStyle w:val="ListParagraph"/>
        <w:numPr>
          <w:ilvl w:val="0"/>
          <w:numId w:val="199"/>
        </w:numPr>
      </w:pPr>
      <w:hyperlink r:id="rId419" w:history="1">
        <w:r w:rsidR="005A01D1" w:rsidRPr="005A01D1">
          <w:rPr>
            <w:rStyle w:val="Hyperlink"/>
          </w:rPr>
          <w:t>“</w:t>
        </w:r>
        <w:r w:rsidR="005A01D1" w:rsidRPr="005A01D1">
          <w:rPr>
            <w:rStyle w:val="Hyperlink"/>
            <w:i/>
            <w:iCs/>
          </w:rPr>
          <w:t>What do we know about healthy aging?”</w:t>
        </w:r>
        <w:r w:rsidR="005A01D1" w:rsidRPr="005A01D1">
          <w:rPr>
            <w:rStyle w:val="Hyperlink"/>
          </w:rPr>
          <w:t xml:space="preserve"> by the U.S. Department of Health and Human Services. Published by the National Institute on Aging, 2022. Retrieved December 20, 2022.</w:t>
        </w:r>
      </w:hyperlink>
      <w:r w:rsidR="005A01D1" w:rsidRPr="005A01D1">
        <w:t xml:space="preserve"> </w:t>
      </w:r>
    </w:p>
    <w:p w14:paraId="63BD4A40" w14:textId="77777777" w:rsidR="00882C15" w:rsidRDefault="00882C15" w:rsidP="0006142D"/>
    <w:p w14:paraId="0D8BDC07" w14:textId="77777777" w:rsidR="00882C15" w:rsidRPr="00882C15" w:rsidRDefault="00882C15" w:rsidP="00882C15">
      <w:pPr>
        <w:pStyle w:val="Heading3"/>
      </w:pPr>
      <w:bookmarkStart w:id="938" w:name="_Toc162267634"/>
      <w:r w:rsidRPr="00882C15">
        <w:t>Multiple Chronic Conditions</w:t>
      </w:r>
      <w:bookmarkEnd w:id="938"/>
    </w:p>
    <w:p w14:paraId="46445309" w14:textId="147EC168" w:rsidR="00882C15" w:rsidRDefault="00882C15" w:rsidP="00882C15">
      <w:pPr>
        <w:rPr>
          <w:b/>
          <w:bCs/>
        </w:rPr>
      </w:pPr>
      <w:r w:rsidRPr="00882C15">
        <w:t xml:space="preserve">National estimates show that 6 in 10 adults live with a chronic disease and 1 in 3 have two or more. For older adults living with multiple chronic conditions (MCC) </w:t>
      </w:r>
      <w:r w:rsidRPr="00882C15">
        <w:br/>
        <w:t>— having two or more chronic conditions simultaneously ­­— can be challenging and costly. More than 90% of the nation’s health care costs relate to chronic diseases and most of these costs are preventable. The prevalence of MCC is highest among older adults with over 80% of those ages 65 years and older experiencing MCC. The prevalence of MCC is also higher among women, as many women live longer than men.</w:t>
      </w:r>
    </w:p>
    <w:p w14:paraId="231E9EC7" w14:textId="77777777" w:rsidR="00882C15" w:rsidRPr="00882C15" w:rsidRDefault="00882C15" w:rsidP="00882C15"/>
    <w:p w14:paraId="7F768A6F" w14:textId="5DCE76AA" w:rsidR="00882C15" w:rsidRDefault="00882C15" w:rsidP="00882C15">
      <w:r w:rsidRPr="00882C15">
        <w:t>The prevalence of MCC will grow with our aging population. The projected prevalence of any cardiovascular disease in the US will increase by up to 45% by 2023. This will require a level of care coordination among clinicians and care settings, especially among the older population.</w:t>
      </w:r>
    </w:p>
    <w:p w14:paraId="1E4179A9" w14:textId="77777777" w:rsidR="00882C15" w:rsidRDefault="00882C15" w:rsidP="00882C15">
      <w:pPr>
        <w:pStyle w:val="Heading4"/>
      </w:pPr>
      <w:bookmarkStart w:id="939" w:name="_Toc154576564"/>
    </w:p>
    <w:p w14:paraId="5516FC01" w14:textId="0E09850A" w:rsidR="00882C15" w:rsidRDefault="00882C15" w:rsidP="00882C15">
      <w:pPr>
        <w:pStyle w:val="Heading4"/>
      </w:pPr>
      <w:bookmarkStart w:id="940" w:name="_Toc162267635"/>
      <w:r w:rsidRPr="00A67916">
        <w:t>Figure 10.2: Adults 65+ Diagnosed with Multiple Chronic Conditions, by Race/Ethnicity</w:t>
      </w:r>
      <w:r>
        <w:t>.</w:t>
      </w:r>
      <w:bookmarkEnd w:id="939"/>
      <w:bookmarkEnd w:id="940"/>
    </w:p>
    <w:tbl>
      <w:tblPr>
        <w:tblStyle w:val="TableGrid"/>
        <w:tblW w:w="0" w:type="auto"/>
        <w:tblLook w:val="04A0" w:firstRow="1" w:lastRow="0" w:firstColumn="1" w:lastColumn="0" w:noHBand="0" w:noVBand="1"/>
      </w:tblPr>
      <w:tblGrid>
        <w:gridCol w:w="4675"/>
        <w:gridCol w:w="4675"/>
      </w:tblGrid>
      <w:tr w:rsidR="00882C15" w14:paraId="5C94E40A" w14:textId="77777777" w:rsidTr="001B41BD">
        <w:tc>
          <w:tcPr>
            <w:tcW w:w="4675" w:type="dxa"/>
          </w:tcPr>
          <w:p w14:paraId="6DCE8947" w14:textId="77777777" w:rsidR="00882C15" w:rsidRDefault="00882C15" w:rsidP="001B41BD">
            <w:r>
              <w:t>Race/Ethnicity</w:t>
            </w:r>
          </w:p>
        </w:tc>
        <w:tc>
          <w:tcPr>
            <w:tcW w:w="4675" w:type="dxa"/>
          </w:tcPr>
          <w:p w14:paraId="27755D9C" w14:textId="77777777" w:rsidR="00882C15" w:rsidRDefault="00882C15" w:rsidP="001B41BD">
            <w:r>
              <w:t>Percent</w:t>
            </w:r>
          </w:p>
        </w:tc>
      </w:tr>
      <w:tr w:rsidR="00882C15" w14:paraId="2F9A1000" w14:textId="77777777" w:rsidTr="001B41BD">
        <w:tc>
          <w:tcPr>
            <w:tcW w:w="4675" w:type="dxa"/>
          </w:tcPr>
          <w:p w14:paraId="56FD4094" w14:textId="77777777" w:rsidR="00882C15" w:rsidRDefault="00882C15" w:rsidP="001B41BD">
            <w:r>
              <w:t>Non-Hispanic White</w:t>
            </w:r>
          </w:p>
        </w:tc>
        <w:tc>
          <w:tcPr>
            <w:tcW w:w="4675" w:type="dxa"/>
          </w:tcPr>
          <w:p w14:paraId="4CA34BA6" w14:textId="77777777" w:rsidR="00882C15" w:rsidRDefault="00882C15" w:rsidP="001B41BD">
            <w:r>
              <w:t>59.2%</w:t>
            </w:r>
          </w:p>
        </w:tc>
      </w:tr>
      <w:tr w:rsidR="00882C15" w14:paraId="123E8F2B" w14:textId="77777777" w:rsidTr="001B41BD">
        <w:tc>
          <w:tcPr>
            <w:tcW w:w="4675" w:type="dxa"/>
          </w:tcPr>
          <w:p w14:paraId="44648AAB" w14:textId="77777777" w:rsidR="00882C15" w:rsidRDefault="00882C15" w:rsidP="001B41BD">
            <w:r>
              <w:t>Non-Hispanic Black</w:t>
            </w:r>
          </w:p>
        </w:tc>
        <w:tc>
          <w:tcPr>
            <w:tcW w:w="4675" w:type="dxa"/>
          </w:tcPr>
          <w:p w14:paraId="6028A493" w14:textId="77777777" w:rsidR="00882C15" w:rsidRDefault="00882C15" w:rsidP="001B41BD">
            <w:r>
              <w:t xml:space="preserve">68.8% </w:t>
            </w:r>
          </w:p>
        </w:tc>
      </w:tr>
    </w:tbl>
    <w:p w14:paraId="05073074" w14:textId="77777777" w:rsidR="00882C15" w:rsidRPr="00A67916" w:rsidRDefault="00882C15" w:rsidP="00882C15">
      <w:r w:rsidRPr="00A67916">
        <w:t xml:space="preserve">Source: SC BRFSS, 2021. </w:t>
      </w:r>
    </w:p>
    <w:p w14:paraId="7FDA7EB8" w14:textId="77777777" w:rsidR="00882C15" w:rsidRDefault="00882C15" w:rsidP="00882C15">
      <w:r w:rsidRPr="00A67916">
        <w:t>Notes: Adults 65+ diagnosed with two or more chronic conditions (asthma, coronary heart disease, diabetes, arthritis, COPD, depression, stroke, heart attack, hypertension).</w:t>
      </w:r>
    </w:p>
    <w:p w14:paraId="79239756" w14:textId="77777777" w:rsidR="003E3A63" w:rsidRPr="00A67916" w:rsidRDefault="003E3A63" w:rsidP="00882C15"/>
    <w:p w14:paraId="7C3C5BF7" w14:textId="77777777" w:rsidR="00882C15" w:rsidRDefault="00882C15" w:rsidP="00882C15">
      <w:pPr>
        <w:pStyle w:val="Heading4"/>
      </w:pPr>
      <w:bookmarkStart w:id="941" w:name="_Toc154576565"/>
      <w:bookmarkStart w:id="942" w:name="_Toc162267636"/>
      <w:r w:rsidRPr="00A67916">
        <w:t>Figure 10.</w:t>
      </w:r>
      <w:r>
        <w:t>3</w:t>
      </w:r>
      <w:r w:rsidRPr="00A67916">
        <w:t xml:space="preserve">: Adults 65+ Diagnosed with Multiple Chronic Conditions, by </w:t>
      </w:r>
      <w:r>
        <w:t>Disability Status.</w:t>
      </w:r>
      <w:bookmarkEnd w:id="941"/>
      <w:bookmarkEnd w:id="942"/>
    </w:p>
    <w:tbl>
      <w:tblPr>
        <w:tblStyle w:val="TableGrid"/>
        <w:tblW w:w="0" w:type="auto"/>
        <w:tblLook w:val="04A0" w:firstRow="1" w:lastRow="0" w:firstColumn="1" w:lastColumn="0" w:noHBand="0" w:noVBand="1"/>
      </w:tblPr>
      <w:tblGrid>
        <w:gridCol w:w="4675"/>
        <w:gridCol w:w="4675"/>
      </w:tblGrid>
      <w:tr w:rsidR="00882C15" w14:paraId="5E73709D" w14:textId="77777777" w:rsidTr="001B41BD">
        <w:tc>
          <w:tcPr>
            <w:tcW w:w="4675" w:type="dxa"/>
          </w:tcPr>
          <w:p w14:paraId="32A10DFD" w14:textId="77777777" w:rsidR="00882C15" w:rsidRDefault="00882C15" w:rsidP="001B41BD">
            <w:r>
              <w:t>Disability Status</w:t>
            </w:r>
          </w:p>
        </w:tc>
        <w:tc>
          <w:tcPr>
            <w:tcW w:w="4675" w:type="dxa"/>
          </w:tcPr>
          <w:p w14:paraId="67A2751B" w14:textId="77777777" w:rsidR="00882C15" w:rsidRDefault="00882C15" w:rsidP="001B41BD">
            <w:r>
              <w:t>Percent</w:t>
            </w:r>
          </w:p>
        </w:tc>
      </w:tr>
      <w:tr w:rsidR="00882C15" w14:paraId="701797CF" w14:textId="77777777" w:rsidTr="001B41BD">
        <w:tc>
          <w:tcPr>
            <w:tcW w:w="4675" w:type="dxa"/>
          </w:tcPr>
          <w:p w14:paraId="0DB40EC8" w14:textId="77777777" w:rsidR="00882C15" w:rsidRDefault="00882C15" w:rsidP="001B41BD">
            <w:r>
              <w:t>With a Disability</w:t>
            </w:r>
          </w:p>
        </w:tc>
        <w:tc>
          <w:tcPr>
            <w:tcW w:w="4675" w:type="dxa"/>
          </w:tcPr>
          <w:p w14:paraId="4FA7B6AB" w14:textId="77777777" w:rsidR="00882C15" w:rsidRDefault="00882C15" w:rsidP="001B41BD">
            <w:r>
              <w:t>77.8%</w:t>
            </w:r>
          </w:p>
        </w:tc>
      </w:tr>
      <w:tr w:rsidR="00882C15" w14:paraId="3684C300" w14:textId="77777777" w:rsidTr="001B41BD">
        <w:tc>
          <w:tcPr>
            <w:tcW w:w="4675" w:type="dxa"/>
          </w:tcPr>
          <w:p w14:paraId="5427CA4C" w14:textId="77777777" w:rsidR="00882C15" w:rsidRDefault="00882C15" w:rsidP="001B41BD">
            <w:r>
              <w:t>Without a Disability</w:t>
            </w:r>
          </w:p>
        </w:tc>
        <w:tc>
          <w:tcPr>
            <w:tcW w:w="4675" w:type="dxa"/>
          </w:tcPr>
          <w:p w14:paraId="1588A73E" w14:textId="77777777" w:rsidR="00882C15" w:rsidRDefault="00882C15" w:rsidP="001B41BD">
            <w:r>
              <w:t>49.6%</w:t>
            </w:r>
          </w:p>
        </w:tc>
      </w:tr>
    </w:tbl>
    <w:p w14:paraId="1E39A9CC" w14:textId="77777777" w:rsidR="00882C15" w:rsidRPr="00A67916" w:rsidRDefault="00882C15" w:rsidP="00882C15">
      <w:r w:rsidRPr="00A67916">
        <w:t xml:space="preserve">Source: SC BRFSS, 2021. </w:t>
      </w:r>
    </w:p>
    <w:p w14:paraId="2533C5F0" w14:textId="77777777" w:rsidR="00882C15" w:rsidRDefault="00882C15" w:rsidP="00882C15">
      <w:r w:rsidRPr="00A67916">
        <w:t>Notes: Adults 65+ diagnosed with two or more chronic conditions (asthma, coronary heart disease, diabetes, arthritis, COPD, depression, stroke, heart attack, hypertension).</w:t>
      </w:r>
    </w:p>
    <w:p w14:paraId="67D42D00" w14:textId="77777777" w:rsidR="00882C15" w:rsidRDefault="00882C15" w:rsidP="00882C15"/>
    <w:p w14:paraId="00F80409" w14:textId="77777777" w:rsidR="00882C15" w:rsidRDefault="00882C15" w:rsidP="00882C15">
      <w:pPr>
        <w:pStyle w:val="Heading4"/>
      </w:pPr>
      <w:bookmarkStart w:id="943" w:name="_Toc162267637"/>
      <w:r w:rsidRPr="00882C15">
        <w:t>Data Interpretations:</w:t>
      </w:r>
      <w:bookmarkEnd w:id="943"/>
      <w:r w:rsidRPr="00882C15">
        <w:t xml:space="preserve"> </w:t>
      </w:r>
    </w:p>
    <w:p w14:paraId="05D29665" w14:textId="05469CBF" w:rsidR="00882C15" w:rsidRPr="00882C15" w:rsidRDefault="00882C15" w:rsidP="00882C15">
      <w:r w:rsidRPr="00882C15">
        <w:t>In SC in 2021, 61% of adults ages 65 and older were diagnosed with two or more chronic conditions. Nearly 7 out of 10 non-Hispanic Black SC adults 65 and older were diagnosed with MCC, higher than their non-Hispanic White counterparts who saw 6 out of 10 being diagnosed with MCC (</w:t>
      </w:r>
      <w:r w:rsidRPr="00882C15">
        <w:rPr>
          <w:b/>
          <w:bCs/>
        </w:rPr>
        <w:t>Figure 10.2</w:t>
      </w:r>
      <w:r w:rsidRPr="00882C15">
        <w:t>). Non-Hispanic Black adults 65 and older saw a 16.2% higher percentage of being diagnosed with MCC when compared to their non-Hispanic White counterparts (</w:t>
      </w:r>
      <w:r w:rsidRPr="00882C15">
        <w:rPr>
          <w:b/>
          <w:bCs/>
        </w:rPr>
        <w:t>Figure 10.2</w:t>
      </w:r>
      <w:r w:rsidRPr="00882C15">
        <w:t>). More females had MCC (62.3%) than males (59.5%). More than 3 out of 4 adults 65 and older living with a disability report being diagnosed with MCC, 56.9% higher than those South Carolinians 65 and older living without a disability (</w:t>
      </w:r>
      <w:r w:rsidRPr="00882C15">
        <w:rPr>
          <w:b/>
          <w:bCs/>
        </w:rPr>
        <w:t>Figure 10.3</w:t>
      </w:r>
      <w:r w:rsidRPr="00882C15">
        <w:t xml:space="preserve">). Half of adults 65 and older in SC without a disability report being diagnosed with MCC.   </w:t>
      </w:r>
    </w:p>
    <w:p w14:paraId="7B533F1B" w14:textId="77777777" w:rsidR="00882C15" w:rsidRDefault="00882C15" w:rsidP="00882C15">
      <w:pPr>
        <w:pStyle w:val="Heading5"/>
      </w:pPr>
    </w:p>
    <w:p w14:paraId="26B5C678" w14:textId="50E4F9E2" w:rsidR="00882C15" w:rsidRPr="00882C15" w:rsidRDefault="00882C15" w:rsidP="00882C15">
      <w:pPr>
        <w:pStyle w:val="Heading5"/>
      </w:pPr>
      <w:r w:rsidRPr="00882C15">
        <w:t xml:space="preserve">Key Interpretations: </w:t>
      </w:r>
    </w:p>
    <w:p w14:paraId="59095FB0" w14:textId="77777777" w:rsidR="00882C15" w:rsidRPr="00882C15" w:rsidRDefault="00882C15" w:rsidP="00926EB3">
      <w:pPr>
        <w:pStyle w:val="ListParagraph"/>
        <w:numPr>
          <w:ilvl w:val="0"/>
          <w:numId w:val="228"/>
        </w:numPr>
      </w:pPr>
      <w:r w:rsidRPr="00882C15">
        <w:t>More than 3 out of 4 adults 65 and older living with a disability report being diagnosed with MCC.</w:t>
      </w:r>
    </w:p>
    <w:p w14:paraId="49DC26C0" w14:textId="77777777" w:rsidR="00882C15" w:rsidRDefault="00882C15" w:rsidP="00882C15"/>
    <w:p w14:paraId="51CF3A42" w14:textId="294F2FCC" w:rsidR="00882C15" w:rsidRPr="00474B85" w:rsidRDefault="00882C15" w:rsidP="00882C15">
      <w:pPr>
        <w:pStyle w:val="Heading4"/>
        <w:rPr>
          <w:rFonts w:asciiTheme="minorHAnsi" w:hAnsiTheme="minorHAnsi" w:cstheme="minorHAnsi"/>
          <w:color w:val="000000" w:themeColor="text1"/>
        </w:rPr>
      </w:pPr>
      <w:bookmarkStart w:id="944" w:name="_Toc162267638"/>
      <w:r w:rsidRPr="00474B85">
        <w:rPr>
          <w:rFonts w:asciiTheme="minorHAnsi" w:hAnsiTheme="minorHAnsi" w:cstheme="minorHAnsi"/>
          <w:color w:val="000000" w:themeColor="text1"/>
        </w:rPr>
        <w:lastRenderedPageBreak/>
        <w:t xml:space="preserve">References </w:t>
      </w:r>
      <w:r>
        <w:rPr>
          <w:rFonts w:asciiTheme="minorHAnsi" w:hAnsiTheme="minorHAnsi" w:cstheme="minorHAnsi"/>
          <w:color w:val="000000" w:themeColor="text1"/>
        </w:rPr>
        <w:t>10.2</w:t>
      </w:r>
      <w:bookmarkEnd w:id="944"/>
    </w:p>
    <w:p w14:paraId="15FAD271" w14:textId="77777777" w:rsidR="00882C15" w:rsidRDefault="00882C15" w:rsidP="00882C15">
      <w:r w:rsidRPr="00474B85">
        <w:t>Statistics in the preceding section were referenced from the following reports:</w:t>
      </w:r>
    </w:p>
    <w:p w14:paraId="6EE026A8" w14:textId="66D98DB9" w:rsidR="005A01D1" w:rsidRPr="005A01D1" w:rsidRDefault="005A01D1" w:rsidP="00926EB3">
      <w:pPr>
        <w:pStyle w:val="ListParagraph"/>
        <w:numPr>
          <w:ilvl w:val="0"/>
          <w:numId w:val="199"/>
        </w:numPr>
      </w:pPr>
      <w:r>
        <w:t>“</w:t>
      </w:r>
      <w:r w:rsidRPr="005A01D1">
        <w:t>Chronic Disease Prevention: The Key to Improving Life and Health care</w:t>
      </w:r>
      <w:r>
        <w:t>”</w:t>
      </w:r>
      <w:r w:rsidRPr="005A01D1">
        <w:t>, a white paper prepared by NACDD, 2020.</w:t>
      </w:r>
      <w:r>
        <w:t xml:space="preserve"> No hyperlink.</w:t>
      </w:r>
    </w:p>
    <w:p w14:paraId="492EF7EF" w14:textId="7B284B89" w:rsidR="00882C15" w:rsidRPr="005A01D1" w:rsidRDefault="00000000" w:rsidP="00926EB3">
      <w:pPr>
        <w:pStyle w:val="ListParagraph"/>
        <w:numPr>
          <w:ilvl w:val="0"/>
          <w:numId w:val="199"/>
        </w:numPr>
      </w:pPr>
      <w:hyperlink r:id="rId420" w:history="1">
        <w:r w:rsidR="005A01D1" w:rsidRPr="005A01D1">
          <w:rPr>
            <w:rStyle w:val="Hyperlink"/>
          </w:rPr>
          <w:t xml:space="preserve">“Multiple Chronic Conditions in the United States” by </w:t>
        </w:r>
        <w:proofErr w:type="spellStart"/>
        <w:r w:rsidR="005A01D1" w:rsidRPr="005A01D1">
          <w:rPr>
            <w:rStyle w:val="Hyperlink"/>
          </w:rPr>
          <w:t>Buttorff</w:t>
        </w:r>
        <w:proofErr w:type="spellEnd"/>
        <w:r w:rsidR="005A01D1" w:rsidRPr="005A01D1">
          <w:rPr>
            <w:rStyle w:val="Hyperlink"/>
          </w:rPr>
          <w:t>, Christine, Teague Ruder, and Melissa Bauman. Published by RAND Corporation, Santa Monica, CA, 2017.</w:t>
        </w:r>
      </w:hyperlink>
      <w:r w:rsidR="005A01D1" w:rsidRPr="005A01D1">
        <w:t xml:space="preserve"> </w:t>
      </w:r>
    </w:p>
    <w:p w14:paraId="0AF98C5D" w14:textId="77777777" w:rsidR="005A01D1" w:rsidRDefault="005A01D1" w:rsidP="00882C15">
      <w:pPr>
        <w:pStyle w:val="Heading3"/>
      </w:pPr>
    </w:p>
    <w:p w14:paraId="44D48198" w14:textId="568D6F74" w:rsidR="00882C15" w:rsidRPr="00882C15" w:rsidRDefault="00882C15" w:rsidP="00882C15">
      <w:pPr>
        <w:pStyle w:val="Heading3"/>
      </w:pPr>
      <w:bookmarkStart w:id="945" w:name="_Toc162267639"/>
      <w:r w:rsidRPr="00882C15">
        <w:t>Stroke</w:t>
      </w:r>
      <w:bookmarkEnd w:id="945"/>
    </w:p>
    <w:p w14:paraId="286864E5" w14:textId="630E9765" w:rsidR="00882C15" w:rsidRPr="00882C15" w:rsidRDefault="00882C15" w:rsidP="00882C15">
      <w:r w:rsidRPr="00882C15">
        <w:t>A stroke occurs when something blocks the blood supply to part of the brain, or when a blood vessel in the brain bursts. Stroke was the fifth-leading cause of death in the US in 2021, and is a leading cause of serious, long-term disability. About 795,000 people in the US have a stroke each year. Stroke risk increases with age and reduces mobility in more than half of stroke survivors aged 65 and older.</w:t>
      </w:r>
    </w:p>
    <w:p w14:paraId="47F373F1" w14:textId="77777777" w:rsidR="00882C15" w:rsidRDefault="00882C15" w:rsidP="00882C15">
      <w:r w:rsidRPr="00882C15">
        <w:t>According to the most recent national data available (2021), SC had the seventh highest stroke death rate in the nation and is part of the “Stroke Belt,” a group of Southeastern states with high stroke death rates. Stroke was the fourth-leading cause of death in SC among residents aged 65 years and older, resulting in 2,569 deaths in 2021 (see</w:t>
      </w:r>
      <w:r w:rsidRPr="00882C15">
        <w:rPr>
          <w:b/>
          <w:bCs/>
        </w:rPr>
        <w:t xml:space="preserve"> Table 10.1</w:t>
      </w:r>
      <w:r w:rsidRPr="00882C15">
        <w:t>).</w:t>
      </w:r>
    </w:p>
    <w:p w14:paraId="55187ABC" w14:textId="77777777" w:rsidR="00882C15" w:rsidRDefault="00882C15" w:rsidP="00882C15"/>
    <w:p w14:paraId="4ABE3B79" w14:textId="77777777" w:rsidR="00882C15" w:rsidRDefault="00882C15" w:rsidP="00882C15">
      <w:pPr>
        <w:pStyle w:val="Heading4"/>
      </w:pPr>
      <w:bookmarkStart w:id="946" w:name="_Toc154576566"/>
      <w:bookmarkStart w:id="947" w:name="_Toc162267640"/>
      <w:r w:rsidRPr="00A67916">
        <w:t>Figure 10.</w:t>
      </w:r>
      <w:r>
        <w:t>4</w:t>
      </w:r>
      <w:r w:rsidRPr="00A67916">
        <w:t xml:space="preserve">: </w:t>
      </w:r>
      <w:r>
        <w:t>Stroke Deaths.</w:t>
      </w:r>
      <w:bookmarkEnd w:id="946"/>
      <w:bookmarkEnd w:id="947"/>
    </w:p>
    <w:p w14:paraId="7EFC6087" w14:textId="77777777" w:rsidR="00882C15" w:rsidRDefault="00882C15" w:rsidP="00882C15">
      <w:pPr>
        <w:pStyle w:val="Heading5"/>
      </w:pPr>
      <w:r>
        <w:t>Rate per 100,000 population.</w:t>
      </w:r>
    </w:p>
    <w:tbl>
      <w:tblPr>
        <w:tblStyle w:val="TableGrid"/>
        <w:tblW w:w="0" w:type="auto"/>
        <w:tblLook w:val="04A0" w:firstRow="1" w:lastRow="0" w:firstColumn="1" w:lastColumn="0" w:noHBand="0" w:noVBand="1"/>
      </w:tblPr>
      <w:tblGrid>
        <w:gridCol w:w="2337"/>
        <w:gridCol w:w="2337"/>
        <w:gridCol w:w="2338"/>
        <w:gridCol w:w="2338"/>
      </w:tblGrid>
      <w:tr w:rsidR="00882C15" w14:paraId="72B325E2" w14:textId="77777777" w:rsidTr="001B41BD">
        <w:tc>
          <w:tcPr>
            <w:tcW w:w="2337" w:type="dxa"/>
            <w:vAlign w:val="bottom"/>
          </w:tcPr>
          <w:p w14:paraId="33101780" w14:textId="77777777" w:rsidR="00882C15" w:rsidRDefault="00882C15" w:rsidP="001B41BD">
            <w:r>
              <w:t>Year</w:t>
            </w:r>
          </w:p>
        </w:tc>
        <w:tc>
          <w:tcPr>
            <w:tcW w:w="2337" w:type="dxa"/>
            <w:vAlign w:val="bottom"/>
          </w:tcPr>
          <w:p w14:paraId="0B62581A" w14:textId="77777777" w:rsidR="00882C15" w:rsidRDefault="00882C15" w:rsidP="001B41BD">
            <w:r>
              <w:t>South Carolina</w:t>
            </w:r>
          </w:p>
        </w:tc>
        <w:tc>
          <w:tcPr>
            <w:tcW w:w="2338" w:type="dxa"/>
            <w:vAlign w:val="bottom"/>
          </w:tcPr>
          <w:p w14:paraId="56DAA5AD" w14:textId="77777777" w:rsidR="00882C15" w:rsidRDefault="00882C15" w:rsidP="001B41BD">
            <w:r>
              <w:t>United States</w:t>
            </w:r>
          </w:p>
        </w:tc>
        <w:tc>
          <w:tcPr>
            <w:tcW w:w="2338" w:type="dxa"/>
            <w:vAlign w:val="bottom"/>
          </w:tcPr>
          <w:p w14:paraId="1D12BB96" w14:textId="77777777" w:rsidR="00882C15" w:rsidRDefault="00882C15" w:rsidP="001B41BD">
            <w:r>
              <w:t>Healthy People 2030 Goal</w:t>
            </w:r>
          </w:p>
        </w:tc>
      </w:tr>
      <w:tr w:rsidR="00882C15" w14:paraId="69D950AA" w14:textId="77777777" w:rsidTr="001B41BD">
        <w:tc>
          <w:tcPr>
            <w:tcW w:w="2337" w:type="dxa"/>
            <w:vAlign w:val="bottom"/>
          </w:tcPr>
          <w:p w14:paraId="5DC13860" w14:textId="77777777" w:rsidR="00882C15" w:rsidRDefault="00882C15" w:rsidP="001B41BD">
            <w:r>
              <w:t>2012</w:t>
            </w:r>
          </w:p>
        </w:tc>
        <w:tc>
          <w:tcPr>
            <w:tcW w:w="2337" w:type="dxa"/>
            <w:vAlign w:val="bottom"/>
          </w:tcPr>
          <w:p w14:paraId="589C9CA8" w14:textId="77777777" w:rsidR="00882C15" w:rsidRDefault="00882C15" w:rsidP="001B41BD">
            <w:r>
              <w:t>45.5</w:t>
            </w:r>
          </w:p>
        </w:tc>
        <w:tc>
          <w:tcPr>
            <w:tcW w:w="2338" w:type="dxa"/>
            <w:vAlign w:val="bottom"/>
          </w:tcPr>
          <w:p w14:paraId="0B32B473" w14:textId="77777777" w:rsidR="00882C15" w:rsidRDefault="00882C15" w:rsidP="001B41BD">
            <w:r>
              <w:t>36.9</w:t>
            </w:r>
          </w:p>
        </w:tc>
        <w:tc>
          <w:tcPr>
            <w:tcW w:w="2338" w:type="dxa"/>
            <w:vAlign w:val="bottom"/>
          </w:tcPr>
          <w:p w14:paraId="334143F8" w14:textId="77777777" w:rsidR="00882C15" w:rsidRDefault="00882C15" w:rsidP="001B41BD">
            <w:r>
              <w:t>33.4</w:t>
            </w:r>
          </w:p>
        </w:tc>
      </w:tr>
      <w:tr w:rsidR="00882C15" w14:paraId="3914DA16" w14:textId="77777777" w:rsidTr="001B41BD">
        <w:tc>
          <w:tcPr>
            <w:tcW w:w="2337" w:type="dxa"/>
            <w:vAlign w:val="bottom"/>
          </w:tcPr>
          <w:p w14:paraId="50F88637" w14:textId="77777777" w:rsidR="00882C15" w:rsidRDefault="00882C15" w:rsidP="001B41BD">
            <w:r>
              <w:t>2013</w:t>
            </w:r>
          </w:p>
        </w:tc>
        <w:tc>
          <w:tcPr>
            <w:tcW w:w="2337" w:type="dxa"/>
            <w:vAlign w:val="bottom"/>
          </w:tcPr>
          <w:p w14:paraId="6941BA81" w14:textId="77777777" w:rsidR="00882C15" w:rsidRDefault="00882C15" w:rsidP="001B41BD">
            <w:r>
              <w:t>47.2</w:t>
            </w:r>
          </w:p>
        </w:tc>
        <w:tc>
          <w:tcPr>
            <w:tcW w:w="2338" w:type="dxa"/>
            <w:vAlign w:val="bottom"/>
          </w:tcPr>
          <w:p w14:paraId="199CCE7E" w14:textId="77777777" w:rsidR="00882C15" w:rsidRDefault="00882C15" w:rsidP="001B41BD">
            <w:r>
              <w:t>36.2</w:t>
            </w:r>
          </w:p>
        </w:tc>
        <w:tc>
          <w:tcPr>
            <w:tcW w:w="2338" w:type="dxa"/>
            <w:vAlign w:val="bottom"/>
          </w:tcPr>
          <w:p w14:paraId="2FAA7345" w14:textId="77777777" w:rsidR="00882C15" w:rsidRDefault="00882C15" w:rsidP="001B41BD">
            <w:r>
              <w:t>33.4</w:t>
            </w:r>
          </w:p>
        </w:tc>
      </w:tr>
      <w:tr w:rsidR="00882C15" w14:paraId="62CE3BE9" w14:textId="77777777" w:rsidTr="001B41BD">
        <w:tc>
          <w:tcPr>
            <w:tcW w:w="2337" w:type="dxa"/>
            <w:vAlign w:val="bottom"/>
          </w:tcPr>
          <w:p w14:paraId="6FFF446C" w14:textId="77777777" w:rsidR="00882C15" w:rsidRDefault="00882C15" w:rsidP="001B41BD">
            <w:r>
              <w:t>2014</w:t>
            </w:r>
          </w:p>
        </w:tc>
        <w:tc>
          <w:tcPr>
            <w:tcW w:w="2337" w:type="dxa"/>
            <w:vAlign w:val="bottom"/>
          </w:tcPr>
          <w:p w14:paraId="2EF0D98C" w14:textId="77777777" w:rsidR="00882C15" w:rsidRDefault="00882C15" w:rsidP="001B41BD">
            <w:r>
              <w:t>44</w:t>
            </w:r>
          </w:p>
        </w:tc>
        <w:tc>
          <w:tcPr>
            <w:tcW w:w="2338" w:type="dxa"/>
            <w:vAlign w:val="bottom"/>
          </w:tcPr>
          <w:p w14:paraId="68D6A281" w14:textId="77777777" w:rsidR="00882C15" w:rsidRDefault="00882C15" w:rsidP="001B41BD">
            <w:r>
              <w:t>36.5</w:t>
            </w:r>
          </w:p>
        </w:tc>
        <w:tc>
          <w:tcPr>
            <w:tcW w:w="2338" w:type="dxa"/>
            <w:vAlign w:val="bottom"/>
          </w:tcPr>
          <w:p w14:paraId="0D25161E" w14:textId="77777777" w:rsidR="00882C15" w:rsidRDefault="00882C15" w:rsidP="001B41BD">
            <w:r>
              <w:t>33.4</w:t>
            </w:r>
          </w:p>
        </w:tc>
      </w:tr>
      <w:tr w:rsidR="00882C15" w14:paraId="10897D7A" w14:textId="77777777" w:rsidTr="001B41BD">
        <w:tc>
          <w:tcPr>
            <w:tcW w:w="2337" w:type="dxa"/>
            <w:vAlign w:val="bottom"/>
          </w:tcPr>
          <w:p w14:paraId="1CDD50A2" w14:textId="77777777" w:rsidR="00882C15" w:rsidRDefault="00882C15" w:rsidP="001B41BD">
            <w:r>
              <w:t>2015</w:t>
            </w:r>
          </w:p>
        </w:tc>
        <w:tc>
          <w:tcPr>
            <w:tcW w:w="2337" w:type="dxa"/>
            <w:vAlign w:val="bottom"/>
          </w:tcPr>
          <w:p w14:paraId="716B1B69" w14:textId="77777777" w:rsidR="00882C15" w:rsidRDefault="00882C15" w:rsidP="001B41BD">
            <w:r>
              <w:t>46.7</w:t>
            </w:r>
          </w:p>
        </w:tc>
        <w:tc>
          <w:tcPr>
            <w:tcW w:w="2338" w:type="dxa"/>
            <w:vAlign w:val="bottom"/>
          </w:tcPr>
          <w:p w14:paraId="35076CB4" w14:textId="77777777" w:rsidR="00882C15" w:rsidRDefault="00882C15" w:rsidP="001B41BD">
            <w:r>
              <w:t>37.6</w:t>
            </w:r>
          </w:p>
        </w:tc>
        <w:tc>
          <w:tcPr>
            <w:tcW w:w="2338" w:type="dxa"/>
            <w:vAlign w:val="bottom"/>
          </w:tcPr>
          <w:p w14:paraId="78E1FBE5" w14:textId="77777777" w:rsidR="00882C15" w:rsidRDefault="00882C15" w:rsidP="001B41BD">
            <w:r>
              <w:t>33.4</w:t>
            </w:r>
          </w:p>
        </w:tc>
      </w:tr>
      <w:tr w:rsidR="00882C15" w14:paraId="0903CD29" w14:textId="77777777" w:rsidTr="001B41BD">
        <w:tc>
          <w:tcPr>
            <w:tcW w:w="2337" w:type="dxa"/>
            <w:vAlign w:val="bottom"/>
          </w:tcPr>
          <w:p w14:paraId="059F5969" w14:textId="77777777" w:rsidR="00882C15" w:rsidRDefault="00882C15" w:rsidP="001B41BD">
            <w:r>
              <w:t>2016</w:t>
            </w:r>
          </w:p>
        </w:tc>
        <w:tc>
          <w:tcPr>
            <w:tcW w:w="2337" w:type="dxa"/>
            <w:vAlign w:val="bottom"/>
          </w:tcPr>
          <w:p w14:paraId="4D35CB70" w14:textId="77777777" w:rsidR="00882C15" w:rsidRDefault="00882C15" w:rsidP="001B41BD">
            <w:r>
              <w:t>45.5</w:t>
            </w:r>
          </w:p>
        </w:tc>
        <w:tc>
          <w:tcPr>
            <w:tcW w:w="2338" w:type="dxa"/>
            <w:vAlign w:val="bottom"/>
          </w:tcPr>
          <w:p w14:paraId="23CA6DAB" w14:textId="77777777" w:rsidR="00882C15" w:rsidRDefault="00882C15" w:rsidP="001B41BD">
            <w:r>
              <w:t>37.3</w:t>
            </w:r>
          </w:p>
        </w:tc>
        <w:tc>
          <w:tcPr>
            <w:tcW w:w="2338" w:type="dxa"/>
            <w:vAlign w:val="bottom"/>
          </w:tcPr>
          <w:p w14:paraId="27DDF4C4" w14:textId="77777777" w:rsidR="00882C15" w:rsidRDefault="00882C15" w:rsidP="001B41BD">
            <w:r>
              <w:t>33.4</w:t>
            </w:r>
          </w:p>
        </w:tc>
      </w:tr>
      <w:tr w:rsidR="00882C15" w14:paraId="0E54ADEB" w14:textId="77777777" w:rsidTr="001B41BD">
        <w:tc>
          <w:tcPr>
            <w:tcW w:w="2337" w:type="dxa"/>
            <w:vAlign w:val="bottom"/>
          </w:tcPr>
          <w:p w14:paraId="71E25C15" w14:textId="77777777" w:rsidR="00882C15" w:rsidRDefault="00882C15" w:rsidP="001B41BD">
            <w:r>
              <w:t>2017</w:t>
            </w:r>
          </w:p>
        </w:tc>
        <w:tc>
          <w:tcPr>
            <w:tcW w:w="2337" w:type="dxa"/>
            <w:vAlign w:val="bottom"/>
          </w:tcPr>
          <w:p w14:paraId="13F388B1" w14:textId="77777777" w:rsidR="00882C15" w:rsidRDefault="00882C15" w:rsidP="001B41BD">
            <w:r>
              <w:t>44.8</w:t>
            </w:r>
          </w:p>
        </w:tc>
        <w:tc>
          <w:tcPr>
            <w:tcW w:w="2338" w:type="dxa"/>
            <w:vAlign w:val="bottom"/>
          </w:tcPr>
          <w:p w14:paraId="00CFB9E8" w14:textId="77777777" w:rsidR="00882C15" w:rsidRDefault="00882C15" w:rsidP="001B41BD">
            <w:r>
              <w:t>37.6</w:t>
            </w:r>
          </w:p>
        </w:tc>
        <w:tc>
          <w:tcPr>
            <w:tcW w:w="2338" w:type="dxa"/>
            <w:vAlign w:val="bottom"/>
          </w:tcPr>
          <w:p w14:paraId="3C1BB753" w14:textId="77777777" w:rsidR="00882C15" w:rsidRDefault="00882C15" w:rsidP="001B41BD">
            <w:r>
              <w:t>33.4</w:t>
            </w:r>
          </w:p>
        </w:tc>
      </w:tr>
      <w:tr w:rsidR="00882C15" w14:paraId="203FF44C" w14:textId="77777777" w:rsidTr="001B41BD">
        <w:tc>
          <w:tcPr>
            <w:tcW w:w="2337" w:type="dxa"/>
            <w:vAlign w:val="bottom"/>
          </w:tcPr>
          <w:p w14:paraId="61A0C93D" w14:textId="77777777" w:rsidR="00882C15" w:rsidRDefault="00882C15" w:rsidP="001B41BD">
            <w:r>
              <w:t>2018</w:t>
            </w:r>
          </w:p>
        </w:tc>
        <w:tc>
          <w:tcPr>
            <w:tcW w:w="2337" w:type="dxa"/>
            <w:vAlign w:val="bottom"/>
          </w:tcPr>
          <w:p w14:paraId="70552431" w14:textId="77777777" w:rsidR="00882C15" w:rsidRDefault="00882C15" w:rsidP="001B41BD">
            <w:r>
              <w:t>45.5</w:t>
            </w:r>
          </w:p>
        </w:tc>
        <w:tc>
          <w:tcPr>
            <w:tcW w:w="2338" w:type="dxa"/>
            <w:vAlign w:val="bottom"/>
          </w:tcPr>
          <w:p w14:paraId="0D5A4F62" w14:textId="77777777" w:rsidR="00882C15" w:rsidRDefault="00882C15" w:rsidP="001B41BD">
            <w:r>
              <w:t>37.1</w:t>
            </w:r>
          </w:p>
        </w:tc>
        <w:tc>
          <w:tcPr>
            <w:tcW w:w="2338" w:type="dxa"/>
            <w:vAlign w:val="bottom"/>
          </w:tcPr>
          <w:p w14:paraId="5CA42583" w14:textId="77777777" w:rsidR="00882C15" w:rsidRDefault="00882C15" w:rsidP="001B41BD">
            <w:r>
              <w:t>33.4</w:t>
            </w:r>
          </w:p>
        </w:tc>
      </w:tr>
      <w:tr w:rsidR="00882C15" w14:paraId="7CE01003" w14:textId="77777777" w:rsidTr="001B41BD">
        <w:tc>
          <w:tcPr>
            <w:tcW w:w="2337" w:type="dxa"/>
            <w:vAlign w:val="bottom"/>
          </w:tcPr>
          <w:p w14:paraId="508BDC0E" w14:textId="77777777" w:rsidR="00882C15" w:rsidRDefault="00882C15" w:rsidP="001B41BD">
            <w:r>
              <w:t>2019</w:t>
            </w:r>
          </w:p>
        </w:tc>
        <w:tc>
          <w:tcPr>
            <w:tcW w:w="2337" w:type="dxa"/>
            <w:vAlign w:val="bottom"/>
          </w:tcPr>
          <w:p w14:paraId="2085D3C3" w14:textId="77777777" w:rsidR="00882C15" w:rsidRDefault="00882C15" w:rsidP="001B41BD">
            <w:r>
              <w:t>42.2</w:t>
            </w:r>
          </w:p>
        </w:tc>
        <w:tc>
          <w:tcPr>
            <w:tcW w:w="2338" w:type="dxa"/>
            <w:vAlign w:val="bottom"/>
          </w:tcPr>
          <w:p w14:paraId="4919AF0A" w14:textId="77777777" w:rsidR="00882C15" w:rsidRDefault="00882C15" w:rsidP="001B41BD">
            <w:r>
              <w:t>37</w:t>
            </w:r>
          </w:p>
        </w:tc>
        <w:tc>
          <w:tcPr>
            <w:tcW w:w="2338" w:type="dxa"/>
            <w:vAlign w:val="bottom"/>
          </w:tcPr>
          <w:p w14:paraId="795CEC3E" w14:textId="77777777" w:rsidR="00882C15" w:rsidRDefault="00882C15" w:rsidP="001B41BD">
            <w:r>
              <w:t>33.4</w:t>
            </w:r>
          </w:p>
        </w:tc>
      </w:tr>
      <w:tr w:rsidR="00882C15" w14:paraId="6594572B" w14:textId="77777777" w:rsidTr="001B41BD">
        <w:tc>
          <w:tcPr>
            <w:tcW w:w="2337" w:type="dxa"/>
            <w:vAlign w:val="bottom"/>
          </w:tcPr>
          <w:p w14:paraId="3AD34F48" w14:textId="77777777" w:rsidR="00882C15" w:rsidRDefault="00882C15" w:rsidP="001B41BD">
            <w:r>
              <w:t>2020</w:t>
            </w:r>
          </w:p>
        </w:tc>
        <w:tc>
          <w:tcPr>
            <w:tcW w:w="2337" w:type="dxa"/>
            <w:vAlign w:val="bottom"/>
          </w:tcPr>
          <w:p w14:paraId="5795514D" w14:textId="77777777" w:rsidR="00882C15" w:rsidRDefault="00882C15" w:rsidP="001B41BD">
            <w:r>
              <w:t>43.5</w:t>
            </w:r>
          </w:p>
        </w:tc>
        <w:tc>
          <w:tcPr>
            <w:tcW w:w="2338" w:type="dxa"/>
            <w:vAlign w:val="bottom"/>
          </w:tcPr>
          <w:p w14:paraId="165CD024" w14:textId="77777777" w:rsidR="00882C15" w:rsidRDefault="00882C15" w:rsidP="001B41BD">
            <w:r>
              <w:t>38.8</w:t>
            </w:r>
          </w:p>
        </w:tc>
        <w:tc>
          <w:tcPr>
            <w:tcW w:w="2338" w:type="dxa"/>
            <w:vAlign w:val="bottom"/>
          </w:tcPr>
          <w:p w14:paraId="01A9AE67" w14:textId="77777777" w:rsidR="00882C15" w:rsidRDefault="00882C15" w:rsidP="001B41BD">
            <w:r>
              <w:t>33.4</w:t>
            </w:r>
          </w:p>
        </w:tc>
      </w:tr>
      <w:tr w:rsidR="00882C15" w14:paraId="610C64A5" w14:textId="77777777" w:rsidTr="001B41BD">
        <w:tc>
          <w:tcPr>
            <w:tcW w:w="2337" w:type="dxa"/>
            <w:vAlign w:val="bottom"/>
          </w:tcPr>
          <w:p w14:paraId="06E0FDD8" w14:textId="77777777" w:rsidR="00882C15" w:rsidRDefault="00882C15" w:rsidP="001B41BD">
            <w:r>
              <w:t>2021</w:t>
            </w:r>
          </w:p>
        </w:tc>
        <w:tc>
          <w:tcPr>
            <w:tcW w:w="2337" w:type="dxa"/>
            <w:vAlign w:val="bottom"/>
          </w:tcPr>
          <w:p w14:paraId="0076F1A8" w14:textId="77777777" w:rsidR="00882C15" w:rsidRDefault="00882C15" w:rsidP="001B41BD">
            <w:r>
              <w:t>48.4</w:t>
            </w:r>
          </w:p>
        </w:tc>
        <w:tc>
          <w:tcPr>
            <w:tcW w:w="2338" w:type="dxa"/>
            <w:vAlign w:val="bottom"/>
          </w:tcPr>
          <w:p w14:paraId="6E21779F" w14:textId="77777777" w:rsidR="00882C15" w:rsidRDefault="00882C15" w:rsidP="001B41BD">
            <w:r>
              <w:t>41.1</w:t>
            </w:r>
          </w:p>
        </w:tc>
        <w:tc>
          <w:tcPr>
            <w:tcW w:w="2338" w:type="dxa"/>
            <w:vAlign w:val="bottom"/>
          </w:tcPr>
          <w:p w14:paraId="14F6F472" w14:textId="77777777" w:rsidR="00882C15" w:rsidRDefault="00882C15" w:rsidP="001B41BD">
            <w:r>
              <w:t>33.4</w:t>
            </w:r>
          </w:p>
        </w:tc>
      </w:tr>
    </w:tbl>
    <w:p w14:paraId="337E06BA" w14:textId="77777777" w:rsidR="00882C15" w:rsidRPr="00A67916" w:rsidRDefault="00882C15" w:rsidP="00882C15">
      <w:r w:rsidRPr="00A67916">
        <w:t xml:space="preserve">Data Source: SC DHEC Vital Statistics. </w:t>
      </w:r>
    </w:p>
    <w:p w14:paraId="04D4DFEC" w14:textId="77777777" w:rsidR="00882C15" w:rsidRPr="00A67916" w:rsidRDefault="00882C15" w:rsidP="00882C15">
      <w:r w:rsidRPr="00A67916">
        <w:lastRenderedPageBreak/>
        <w:t>Notes: Age-adjusted, population for year 2021 based on single-race estimates and for years prior based on bridge-race estimates.</w:t>
      </w:r>
    </w:p>
    <w:p w14:paraId="080AADFD" w14:textId="77777777" w:rsidR="00882C15" w:rsidRDefault="00882C15" w:rsidP="00882C15">
      <w:pPr>
        <w:pStyle w:val="Heading4"/>
      </w:pPr>
      <w:bookmarkStart w:id="948" w:name="_Toc154576567"/>
    </w:p>
    <w:p w14:paraId="759F05BF" w14:textId="47EA7155" w:rsidR="00882C15" w:rsidRDefault="00882C15" w:rsidP="00882C15">
      <w:pPr>
        <w:pStyle w:val="Heading4"/>
      </w:pPr>
      <w:bookmarkStart w:id="949" w:name="_Toc162267641"/>
      <w:r w:rsidRPr="00A67916">
        <w:t>Figure 10.</w:t>
      </w:r>
      <w:r>
        <w:t>5</w:t>
      </w:r>
      <w:r w:rsidRPr="00A67916">
        <w:t xml:space="preserve">: </w:t>
      </w:r>
      <w:r>
        <w:t>Stroke Deaths, by Race/Ethnicity and Sex.</w:t>
      </w:r>
      <w:bookmarkEnd w:id="948"/>
      <w:bookmarkEnd w:id="949"/>
    </w:p>
    <w:p w14:paraId="70AC663F" w14:textId="77777777" w:rsidR="00882C15" w:rsidRDefault="00882C15" w:rsidP="00882C15">
      <w:pPr>
        <w:pStyle w:val="Heading5"/>
      </w:pPr>
      <w:r>
        <w:t>Rate per 100,000 population.</w:t>
      </w:r>
    </w:p>
    <w:tbl>
      <w:tblPr>
        <w:tblStyle w:val="TableGrid"/>
        <w:tblW w:w="0" w:type="auto"/>
        <w:tblLook w:val="04A0" w:firstRow="1" w:lastRow="0" w:firstColumn="1" w:lastColumn="0" w:noHBand="0" w:noVBand="1"/>
      </w:tblPr>
      <w:tblGrid>
        <w:gridCol w:w="3116"/>
        <w:gridCol w:w="3117"/>
        <w:gridCol w:w="3117"/>
      </w:tblGrid>
      <w:tr w:rsidR="00882C15" w14:paraId="63A79C25" w14:textId="77777777" w:rsidTr="001B41BD">
        <w:tc>
          <w:tcPr>
            <w:tcW w:w="3116" w:type="dxa"/>
            <w:vAlign w:val="bottom"/>
          </w:tcPr>
          <w:p w14:paraId="20DB7474" w14:textId="77777777" w:rsidR="00882C15" w:rsidRPr="00A67916" w:rsidRDefault="00882C15" w:rsidP="001B41BD">
            <w:r>
              <w:t>Race/Ethnicity</w:t>
            </w:r>
          </w:p>
        </w:tc>
        <w:tc>
          <w:tcPr>
            <w:tcW w:w="3117" w:type="dxa"/>
            <w:vAlign w:val="bottom"/>
          </w:tcPr>
          <w:p w14:paraId="1E0F3978" w14:textId="77777777" w:rsidR="00882C15" w:rsidRPr="00A67916" w:rsidRDefault="00882C15" w:rsidP="001B41BD">
            <w:r w:rsidRPr="00A67916">
              <w:t>Male</w:t>
            </w:r>
          </w:p>
        </w:tc>
        <w:tc>
          <w:tcPr>
            <w:tcW w:w="3117" w:type="dxa"/>
            <w:vAlign w:val="bottom"/>
          </w:tcPr>
          <w:p w14:paraId="491C7454" w14:textId="77777777" w:rsidR="00882C15" w:rsidRPr="00A67916" w:rsidRDefault="00882C15" w:rsidP="001B41BD">
            <w:r w:rsidRPr="00A67916">
              <w:t>Female</w:t>
            </w:r>
          </w:p>
        </w:tc>
      </w:tr>
      <w:tr w:rsidR="00882C15" w14:paraId="5B0C885D" w14:textId="77777777" w:rsidTr="001B41BD">
        <w:tc>
          <w:tcPr>
            <w:tcW w:w="3116" w:type="dxa"/>
            <w:vAlign w:val="bottom"/>
          </w:tcPr>
          <w:p w14:paraId="301E2B48" w14:textId="77777777" w:rsidR="00882C15" w:rsidRPr="00A67916" w:rsidRDefault="00882C15" w:rsidP="001B41BD">
            <w:r w:rsidRPr="00A67916">
              <w:t>Non-Hispanic White</w:t>
            </w:r>
          </w:p>
        </w:tc>
        <w:tc>
          <w:tcPr>
            <w:tcW w:w="3117" w:type="dxa"/>
            <w:vAlign w:val="bottom"/>
          </w:tcPr>
          <w:p w14:paraId="106F3BF5" w14:textId="77777777" w:rsidR="00882C15" w:rsidRPr="00A67916" w:rsidRDefault="00882C15" w:rsidP="001B41BD">
            <w:r w:rsidRPr="00A67916">
              <w:t>43.8</w:t>
            </w:r>
          </w:p>
        </w:tc>
        <w:tc>
          <w:tcPr>
            <w:tcW w:w="3117" w:type="dxa"/>
            <w:vAlign w:val="bottom"/>
          </w:tcPr>
          <w:p w14:paraId="165BCE78" w14:textId="77777777" w:rsidR="00882C15" w:rsidRPr="00A67916" w:rsidRDefault="00882C15" w:rsidP="001B41BD">
            <w:r w:rsidRPr="00A67916">
              <w:t>43.5</w:t>
            </w:r>
          </w:p>
        </w:tc>
      </w:tr>
      <w:tr w:rsidR="00882C15" w14:paraId="7DFC34A0" w14:textId="77777777" w:rsidTr="001B41BD">
        <w:tc>
          <w:tcPr>
            <w:tcW w:w="3116" w:type="dxa"/>
            <w:vAlign w:val="bottom"/>
          </w:tcPr>
          <w:p w14:paraId="0AD84F86" w14:textId="77777777" w:rsidR="00882C15" w:rsidRPr="00A67916" w:rsidRDefault="00882C15" w:rsidP="001B41BD">
            <w:r w:rsidRPr="00A67916">
              <w:t>Non-Hispanic Black</w:t>
            </w:r>
          </w:p>
        </w:tc>
        <w:tc>
          <w:tcPr>
            <w:tcW w:w="3117" w:type="dxa"/>
            <w:vAlign w:val="bottom"/>
          </w:tcPr>
          <w:p w14:paraId="276F8533" w14:textId="77777777" w:rsidR="00882C15" w:rsidRPr="00A67916" w:rsidRDefault="00882C15" w:rsidP="001B41BD">
            <w:r w:rsidRPr="00A67916">
              <w:t>82.7</w:t>
            </w:r>
          </w:p>
        </w:tc>
        <w:tc>
          <w:tcPr>
            <w:tcW w:w="3117" w:type="dxa"/>
            <w:vAlign w:val="bottom"/>
          </w:tcPr>
          <w:p w14:paraId="7C55ADDF" w14:textId="77777777" w:rsidR="00882C15" w:rsidRPr="00A67916" w:rsidRDefault="00882C15" w:rsidP="001B41BD">
            <w:r w:rsidRPr="00A67916">
              <w:t>55.1</w:t>
            </w:r>
          </w:p>
        </w:tc>
      </w:tr>
      <w:tr w:rsidR="00882C15" w14:paraId="53FDDDF1" w14:textId="77777777" w:rsidTr="001B41BD">
        <w:tc>
          <w:tcPr>
            <w:tcW w:w="3116" w:type="dxa"/>
            <w:vAlign w:val="bottom"/>
          </w:tcPr>
          <w:p w14:paraId="4F7BDEA0" w14:textId="77777777" w:rsidR="00882C15" w:rsidRPr="00A67916" w:rsidRDefault="00882C15" w:rsidP="001B41BD">
            <w:r w:rsidRPr="00A67916">
              <w:t>Hispanic</w:t>
            </w:r>
          </w:p>
        </w:tc>
        <w:tc>
          <w:tcPr>
            <w:tcW w:w="3117" w:type="dxa"/>
            <w:vAlign w:val="bottom"/>
          </w:tcPr>
          <w:p w14:paraId="5E188DBE" w14:textId="77777777" w:rsidR="00882C15" w:rsidRPr="00A67916" w:rsidRDefault="00882C15" w:rsidP="001B41BD">
            <w:r w:rsidRPr="00A67916">
              <w:t>24.6</w:t>
            </w:r>
          </w:p>
        </w:tc>
        <w:tc>
          <w:tcPr>
            <w:tcW w:w="3117" w:type="dxa"/>
            <w:vAlign w:val="bottom"/>
          </w:tcPr>
          <w:p w14:paraId="6F02A842" w14:textId="77777777" w:rsidR="00882C15" w:rsidRPr="00A67916" w:rsidRDefault="00882C15" w:rsidP="001B41BD">
            <w:r w:rsidRPr="00A67916">
              <w:t>39.2</w:t>
            </w:r>
          </w:p>
        </w:tc>
      </w:tr>
    </w:tbl>
    <w:p w14:paraId="4D384B07" w14:textId="77777777" w:rsidR="00882C15" w:rsidRPr="00A67916" w:rsidRDefault="00882C15" w:rsidP="00882C15">
      <w:r w:rsidRPr="00A67916">
        <w:t xml:space="preserve">Source: SC DHEC Vital Statistics, 2021. </w:t>
      </w:r>
    </w:p>
    <w:p w14:paraId="03A33BA4" w14:textId="77777777" w:rsidR="00882C15" w:rsidRPr="00A67916" w:rsidRDefault="00882C15" w:rsidP="00882C15">
      <w:r w:rsidRPr="00A67916">
        <w:t>Notes: Age-adjusted, population for year 2021 based on single-race estimates.</w:t>
      </w:r>
    </w:p>
    <w:p w14:paraId="42D6EFE7" w14:textId="77777777" w:rsidR="00882C15" w:rsidRDefault="00882C15" w:rsidP="00882C15"/>
    <w:p w14:paraId="550A0F19" w14:textId="77777777" w:rsidR="00882C15" w:rsidRDefault="00882C15" w:rsidP="00882C15">
      <w:pPr>
        <w:pStyle w:val="Heading4"/>
      </w:pPr>
      <w:bookmarkStart w:id="950" w:name="_Toc154576568"/>
      <w:bookmarkStart w:id="951" w:name="_Toc162267642"/>
      <w:r w:rsidRPr="00A67916">
        <w:t>Figure 10.</w:t>
      </w:r>
      <w:r>
        <w:t>6</w:t>
      </w:r>
      <w:r w:rsidRPr="00A67916">
        <w:t xml:space="preserve">: </w:t>
      </w:r>
      <w:r>
        <w:t>Stroke Deaths, by County.</w:t>
      </w:r>
      <w:bookmarkEnd w:id="950"/>
      <w:bookmarkEnd w:id="951"/>
    </w:p>
    <w:p w14:paraId="7DF20553" w14:textId="77777777" w:rsidR="00882C15" w:rsidRDefault="00882C15" w:rsidP="00882C15">
      <w:pPr>
        <w:pStyle w:val="Heading5"/>
      </w:pPr>
      <w:r>
        <w:t>Rate per 100,000 population.</w:t>
      </w:r>
    </w:p>
    <w:tbl>
      <w:tblPr>
        <w:tblStyle w:val="TableGrid"/>
        <w:tblW w:w="0" w:type="auto"/>
        <w:tblLook w:val="04A0" w:firstRow="1" w:lastRow="0" w:firstColumn="1" w:lastColumn="0" w:noHBand="0" w:noVBand="1"/>
      </w:tblPr>
      <w:tblGrid>
        <w:gridCol w:w="4675"/>
        <w:gridCol w:w="4675"/>
      </w:tblGrid>
      <w:tr w:rsidR="00882C15" w14:paraId="2680455E" w14:textId="77777777" w:rsidTr="001B41BD">
        <w:tc>
          <w:tcPr>
            <w:tcW w:w="4675" w:type="dxa"/>
            <w:vAlign w:val="bottom"/>
          </w:tcPr>
          <w:p w14:paraId="48C339C9" w14:textId="77777777" w:rsidR="00882C15" w:rsidRPr="00A67916" w:rsidRDefault="00882C15" w:rsidP="001B41BD">
            <w:r w:rsidRPr="00A67916">
              <w:t>County</w:t>
            </w:r>
          </w:p>
        </w:tc>
        <w:tc>
          <w:tcPr>
            <w:tcW w:w="4675" w:type="dxa"/>
            <w:vAlign w:val="bottom"/>
          </w:tcPr>
          <w:p w14:paraId="048CBECC" w14:textId="77777777" w:rsidR="00882C15" w:rsidRPr="00A67916" w:rsidRDefault="00882C15" w:rsidP="001B41BD">
            <w:r>
              <w:t>Rate</w:t>
            </w:r>
          </w:p>
        </w:tc>
      </w:tr>
      <w:tr w:rsidR="00882C15" w14:paraId="149FE4B4" w14:textId="77777777" w:rsidTr="001B41BD">
        <w:tc>
          <w:tcPr>
            <w:tcW w:w="4675" w:type="dxa"/>
            <w:vAlign w:val="bottom"/>
          </w:tcPr>
          <w:p w14:paraId="21F1F5E6" w14:textId="77777777" w:rsidR="00882C15" w:rsidRPr="00A67916" w:rsidRDefault="00882C15" w:rsidP="001B41BD">
            <w:r w:rsidRPr="00A67916">
              <w:t>Abbeville</w:t>
            </w:r>
          </w:p>
        </w:tc>
        <w:tc>
          <w:tcPr>
            <w:tcW w:w="4675" w:type="dxa"/>
            <w:vAlign w:val="bottom"/>
          </w:tcPr>
          <w:p w14:paraId="5A734EB9" w14:textId="77777777" w:rsidR="00882C15" w:rsidRPr="00A67916" w:rsidRDefault="00882C15" w:rsidP="001B41BD">
            <w:r w:rsidRPr="00A67916">
              <w:t>53.5</w:t>
            </w:r>
          </w:p>
        </w:tc>
      </w:tr>
      <w:tr w:rsidR="00882C15" w14:paraId="10F7FD14" w14:textId="77777777" w:rsidTr="001B41BD">
        <w:tc>
          <w:tcPr>
            <w:tcW w:w="4675" w:type="dxa"/>
            <w:vAlign w:val="bottom"/>
          </w:tcPr>
          <w:p w14:paraId="55158A88" w14:textId="77777777" w:rsidR="00882C15" w:rsidRPr="00A67916" w:rsidRDefault="00882C15" w:rsidP="001B41BD">
            <w:r w:rsidRPr="00A67916">
              <w:t>Aiken</w:t>
            </w:r>
          </w:p>
        </w:tc>
        <w:tc>
          <w:tcPr>
            <w:tcW w:w="4675" w:type="dxa"/>
            <w:vAlign w:val="bottom"/>
          </w:tcPr>
          <w:p w14:paraId="367065A3" w14:textId="77777777" w:rsidR="00882C15" w:rsidRPr="00A67916" w:rsidRDefault="00882C15" w:rsidP="001B41BD">
            <w:r w:rsidRPr="00A67916">
              <w:t>41.0</w:t>
            </w:r>
          </w:p>
        </w:tc>
      </w:tr>
      <w:tr w:rsidR="00882C15" w14:paraId="5D530175" w14:textId="77777777" w:rsidTr="001B41BD">
        <w:tc>
          <w:tcPr>
            <w:tcW w:w="4675" w:type="dxa"/>
            <w:vAlign w:val="bottom"/>
          </w:tcPr>
          <w:p w14:paraId="14B49A19" w14:textId="77777777" w:rsidR="00882C15" w:rsidRPr="00A67916" w:rsidRDefault="00882C15" w:rsidP="001B41BD">
            <w:r w:rsidRPr="00A67916">
              <w:t>Allendale</w:t>
            </w:r>
          </w:p>
        </w:tc>
        <w:tc>
          <w:tcPr>
            <w:tcW w:w="4675" w:type="dxa"/>
            <w:vAlign w:val="bottom"/>
          </w:tcPr>
          <w:p w14:paraId="6F885C8A" w14:textId="77777777" w:rsidR="00882C15" w:rsidRPr="00A67916" w:rsidRDefault="00882C15" w:rsidP="001B41BD">
            <w:r w:rsidRPr="00A67916">
              <w:t>51.2</w:t>
            </w:r>
          </w:p>
        </w:tc>
      </w:tr>
      <w:tr w:rsidR="00882C15" w14:paraId="799055D9" w14:textId="77777777" w:rsidTr="001B41BD">
        <w:tc>
          <w:tcPr>
            <w:tcW w:w="4675" w:type="dxa"/>
            <w:vAlign w:val="bottom"/>
          </w:tcPr>
          <w:p w14:paraId="546BD1ED" w14:textId="77777777" w:rsidR="00882C15" w:rsidRPr="00A67916" w:rsidRDefault="00882C15" w:rsidP="001B41BD">
            <w:r w:rsidRPr="00A67916">
              <w:t>Anderson</w:t>
            </w:r>
          </w:p>
        </w:tc>
        <w:tc>
          <w:tcPr>
            <w:tcW w:w="4675" w:type="dxa"/>
            <w:vAlign w:val="bottom"/>
          </w:tcPr>
          <w:p w14:paraId="47614491" w14:textId="77777777" w:rsidR="00882C15" w:rsidRPr="00A67916" w:rsidRDefault="00882C15" w:rsidP="001B41BD">
            <w:r w:rsidRPr="00A67916">
              <w:t>40.0</w:t>
            </w:r>
          </w:p>
        </w:tc>
      </w:tr>
      <w:tr w:rsidR="00882C15" w14:paraId="2E818A46" w14:textId="77777777" w:rsidTr="001B41BD">
        <w:tc>
          <w:tcPr>
            <w:tcW w:w="4675" w:type="dxa"/>
            <w:vAlign w:val="bottom"/>
          </w:tcPr>
          <w:p w14:paraId="313A6A9B" w14:textId="77777777" w:rsidR="00882C15" w:rsidRPr="00A67916" w:rsidRDefault="00882C15" w:rsidP="001B41BD">
            <w:r w:rsidRPr="00A67916">
              <w:t>Bamberg</w:t>
            </w:r>
          </w:p>
        </w:tc>
        <w:tc>
          <w:tcPr>
            <w:tcW w:w="4675" w:type="dxa"/>
            <w:vAlign w:val="bottom"/>
          </w:tcPr>
          <w:p w14:paraId="2918910E" w14:textId="77777777" w:rsidR="00882C15" w:rsidRPr="00A67916" w:rsidRDefault="00882C15" w:rsidP="001B41BD">
            <w:r w:rsidRPr="00A67916">
              <w:t>49.0</w:t>
            </w:r>
          </w:p>
        </w:tc>
      </w:tr>
      <w:tr w:rsidR="00882C15" w14:paraId="36D6F8A1" w14:textId="77777777" w:rsidTr="001B41BD">
        <w:tc>
          <w:tcPr>
            <w:tcW w:w="4675" w:type="dxa"/>
            <w:vAlign w:val="bottom"/>
          </w:tcPr>
          <w:p w14:paraId="3AA25E25" w14:textId="77777777" w:rsidR="00882C15" w:rsidRPr="00A67916" w:rsidRDefault="00882C15" w:rsidP="001B41BD">
            <w:r w:rsidRPr="00A67916">
              <w:t>Barnwell</w:t>
            </w:r>
          </w:p>
        </w:tc>
        <w:tc>
          <w:tcPr>
            <w:tcW w:w="4675" w:type="dxa"/>
            <w:vAlign w:val="bottom"/>
          </w:tcPr>
          <w:p w14:paraId="02028C8F" w14:textId="77777777" w:rsidR="00882C15" w:rsidRPr="00A67916" w:rsidRDefault="00882C15" w:rsidP="001B41BD">
            <w:r w:rsidRPr="00A67916">
              <w:t>49.5</w:t>
            </w:r>
          </w:p>
        </w:tc>
      </w:tr>
      <w:tr w:rsidR="00882C15" w14:paraId="0B92C20D" w14:textId="77777777" w:rsidTr="001B41BD">
        <w:tc>
          <w:tcPr>
            <w:tcW w:w="4675" w:type="dxa"/>
            <w:vAlign w:val="bottom"/>
          </w:tcPr>
          <w:p w14:paraId="700D188C" w14:textId="77777777" w:rsidR="00882C15" w:rsidRPr="00A67916" w:rsidRDefault="00882C15" w:rsidP="001B41BD">
            <w:r w:rsidRPr="00A67916">
              <w:t>Beaufort</w:t>
            </w:r>
          </w:p>
        </w:tc>
        <w:tc>
          <w:tcPr>
            <w:tcW w:w="4675" w:type="dxa"/>
            <w:vAlign w:val="bottom"/>
          </w:tcPr>
          <w:p w14:paraId="41739E75" w14:textId="77777777" w:rsidR="00882C15" w:rsidRPr="00A67916" w:rsidRDefault="00882C15" w:rsidP="001B41BD">
            <w:r w:rsidRPr="00A67916">
              <w:t>31.7</w:t>
            </w:r>
          </w:p>
        </w:tc>
      </w:tr>
      <w:tr w:rsidR="00882C15" w14:paraId="680D9449" w14:textId="77777777" w:rsidTr="001B41BD">
        <w:tc>
          <w:tcPr>
            <w:tcW w:w="4675" w:type="dxa"/>
            <w:vAlign w:val="bottom"/>
          </w:tcPr>
          <w:p w14:paraId="182B3482" w14:textId="77777777" w:rsidR="00882C15" w:rsidRPr="00A67916" w:rsidRDefault="00882C15" w:rsidP="001B41BD">
            <w:r w:rsidRPr="00A67916">
              <w:t>Berkeley</w:t>
            </w:r>
          </w:p>
        </w:tc>
        <w:tc>
          <w:tcPr>
            <w:tcW w:w="4675" w:type="dxa"/>
            <w:vAlign w:val="bottom"/>
          </w:tcPr>
          <w:p w14:paraId="4C8A1327" w14:textId="77777777" w:rsidR="00882C15" w:rsidRPr="00A67916" w:rsidRDefault="00882C15" w:rsidP="001B41BD">
            <w:r w:rsidRPr="00A67916">
              <w:t>41.0</w:t>
            </w:r>
          </w:p>
        </w:tc>
      </w:tr>
      <w:tr w:rsidR="00882C15" w14:paraId="62D90BDD" w14:textId="77777777" w:rsidTr="001B41BD">
        <w:tc>
          <w:tcPr>
            <w:tcW w:w="4675" w:type="dxa"/>
            <w:vAlign w:val="bottom"/>
          </w:tcPr>
          <w:p w14:paraId="6BFE9B8B" w14:textId="77777777" w:rsidR="00882C15" w:rsidRPr="00A67916" w:rsidRDefault="00882C15" w:rsidP="001B41BD">
            <w:r w:rsidRPr="00A67916">
              <w:t>Calhoun</w:t>
            </w:r>
          </w:p>
        </w:tc>
        <w:tc>
          <w:tcPr>
            <w:tcW w:w="4675" w:type="dxa"/>
            <w:vAlign w:val="bottom"/>
          </w:tcPr>
          <w:p w14:paraId="21A21A56" w14:textId="77777777" w:rsidR="00882C15" w:rsidRPr="00A67916" w:rsidRDefault="00882C15" w:rsidP="001B41BD">
            <w:r w:rsidRPr="00A67916">
              <w:t>40.1</w:t>
            </w:r>
          </w:p>
        </w:tc>
      </w:tr>
      <w:tr w:rsidR="00882C15" w14:paraId="2D674FB6" w14:textId="77777777" w:rsidTr="001B41BD">
        <w:tc>
          <w:tcPr>
            <w:tcW w:w="4675" w:type="dxa"/>
            <w:vAlign w:val="bottom"/>
          </w:tcPr>
          <w:p w14:paraId="3BA90716" w14:textId="77777777" w:rsidR="00882C15" w:rsidRPr="00A67916" w:rsidRDefault="00882C15" w:rsidP="001B41BD">
            <w:r w:rsidRPr="00A67916">
              <w:t>Charleston</w:t>
            </w:r>
          </w:p>
        </w:tc>
        <w:tc>
          <w:tcPr>
            <w:tcW w:w="4675" w:type="dxa"/>
            <w:vAlign w:val="bottom"/>
          </w:tcPr>
          <w:p w14:paraId="5E819CC0" w14:textId="77777777" w:rsidR="00882C15" w:rsidRPr="00A67916" w:rsidRDefault="00882C15" w:rsidP="001B41BD">
            <w:r w:rsidRPr="00A67916">
              <w:t>38.1</w:t>
            </w:r>
          </w:p>
        </w:tc>
      </w:tr>
      <w:tr w:rsidR="00882C15" w14:paraId="0319E8B5" w14:textId="77777777" w:rsidTr="001B41BD">
        <w:tc>
          <w:tcPr>
            <w:tcW w:w="4675" w:type="dxa"/>
            <w:vAlign w:val="bottom"/>
          </w:tcPr>
          <w:p w14:paraId="6F69CA69" w14:textId="77777777" w:rsidR="00882C15" w:rsidRPr="00A67916" w:rsidRDefault="00882C15" w:rsidP="001B41BD">
            <w:r w:rsidRPr="00A67916">
              <w:t>Cherokee</w:t>
            </w:r>
          </w:p>
        </w:tc>
        <w:tc>
          <w:tcPr>
            <w:tcW w:w="4675" w:type="dxa"/>
            <w:vAlign w:val="bottom"/>
          </w:tcPr>
          <w:p w14:paraId="4887216B" w14:textId="77777777" w:rsidR="00882C15" w:rsidRPr="00A67916" w:rsidRDefault="00882C15" w:rsidP="001B41BD">
            <w:r w:rsidRPr="00A67916">
              <w:t>40.9</w:t>
            </w:r>
          </w:p>
        </w:tc>
      </w:tr>
      <w:tr w:rsidR="00882C15" w14:paraId="133C797E" w14:textId="77777777" w:rsidTr="001B41BD">
        <w:tc>
          <w:tcPr>
            <w:tcW w:w="4675" w:type="dxa"/>
            <w:vAlign w:val="bottom"/>
          </w:tcPr>
          <w:p w14:paraId="14010B46" w14:textId="77777777" w:rsidR="00882C15" w:rsidRPr="00A67916" w:rsidRDefault="00882C15" w:rsidP="001B41BD">
            <w:r w:rsidRPr="00A67916">
              <w:t>Chester</w:t>
            </w:r>
          </w:p>
        </w:tc>
        <w:tc>
          <w:tcPr>
            <w:tcW w:w="4675" w:type="dxa"/>
            <w:vAlign w:val="bottom"/>
          </w:tcPr>
          <w:p w14:paraId="071A33A8" w14:textId="77777777" w:rsidR="00882C15" w:rsidRPr="00A67916" w:rsidRDefault="00882C15" w:rsidP="001B41BD">
            <w:r w:rsidRPr="00A67916">
              <w:t>58.4</w:t>
            </w:r>
          </w:p>
        </w:tc>
      </w:tr>
      <w:tr w:rsidR="00882C15" w14:paraId="66EA01CD" w14:textId="77777777" w:rsidTr="001B41BD">
        <w:tc>
          <w:tcPr>
            <w:tcW w:w="4675" w:type="dxa"/>
            <w:vAlign w:val="bottom"/>
          </w:tcPr>
          <w:p w14:paraId="120D98DD" w14:textId="77777777" w:rsidR="00882C15" w:rsidRPr="00A67916" w:rsidRDefault="00882C15" w:rsidP="001B41BD">
            <w:r w:rsidRPr="00A67916">
              <w:t>Chesterfield</w:t>
            </w:r>
          </w:p>
        </w:tc>
        <w:tc>
          <w:tcPr>
            <w:tcW w:w="4675" w:type="dxa"/>
            <w:vAlign w:val="bottom"/>
          </w:tcPr>
          <w:p w14:paraId="2EAE11B4" w14:textId="77777777" w:rsidR="00882C15" w:rsidRPr="00A67916" w:rsidRDefault="00882C15" w:rsidP="001B41BD">
            <w:r w:rsidRPr="00A67916">
              <w:t>61.0</w:t>
            </w:r>
          </w:p>
        </w:tc>
      </w:tr>
      <w:tr w:rsidR="00882C15" w14:paraId="62D0E902" w14:textId="77777777" w:rsidTr="001B41BD">
        <w:tc>
          <w:tcPr>
            <w:tcW w:w="4675" w:type="dxa"/>
            <w:vAlign w:val="bottom"/>
          </w:tcPr>
          <w:p w14:paraId="3A540664" w14:textId="77777777" w:rsidR="00882C15" w:rsidRPr="00A67916" w:rsidRDefault="00882C15" w:rsidP="001B41BD">
            <w:r w:rsidRPr="00A67916">
              <w:t>Clarendon</w:t>
            </w:r>
          </w:p>
        </w:tc>
        <w:tc>
          <w:tcPr>
            <w:tcW w:w="4675" w:type="dxa"/>
            <w:vAlign w:val="bottom"/>
          </w:tcPr>
          <w:p w14:paraId="4485F9E7" w14:textId="77777777" w:rsidR="00882C15" w:rsidRPr="00A67916" w:rsidRDefault="00882C15" w:rsidP="001B41BD">
            <w:r w:rsidRPr="00A67916">
              <w:t>45.3</w:t>
            </w:r>
          </w:p>
        </w:tc>
      </w:tr>
      <w:tr w:rsidR="00882C15" w14:paraId="1437C141" w14:textId="77777777" w:rsidTr="001B41BD">
        <w:tc>
          <w:tcPr>
            <w:tcW w:w="4675" w:type="dxa"/>
            <w:vAlign w:val="bottom"/>
          </w:tcPr>
          <w:p w14:paraId="0387E69E" w14:textId="77777777" w:rsidR="00882C15" w:rsidRPr="00A67916" w:rsidRDefault="00882C15" w:rsidP="001B41BD">
            <w:r w:rsidRPr="00A67916">
              <w:t>Colleton</w:t>
            </w:r>
          </w:p>
        </w:tc>
        <w:tc>
          <w:tcPr>
            <w:tcW w:w="4675" w:type="dxa"/>
            <w:vAlign w:val="bottom"/>
          </w:tcPr>
          <w:p w14:paraId="0FA6FCAA" w14:textId="77777777" w:rsidR="00882C15" w:rsidRPr="00A67916" w:rsidRDefault="00882C15" w:rsidP="001B41BD">
            <w:r w:rsidRPr="00A67916">
              <w:t>61.6</w:t>
            </w:r>
          </w:p>
        </w:tc>
      </w:tr>
      <w:tr w:rsidR="00882C15" w14:paraId="21543F78" w14:textId="77777777" w:rsidTr="001B41BD">
        <w:tc>
          <w:tcPr>
            <w:tcW w:w="4675" w:type="dxa"/>
            <w:vAlign w:val="bottom"/>
          </w:tcPr>
          <w:p w14:paraId="39FD96A2" w14:textId="77777777" w:rsidR="00882C15" w:rsidRPr="00A67916" w:rsidRDefault="00882C15" w:rsidP="001B41BD">
            <w:r w:rsidRPr="00A67916">
              <w:t>Darlington</w:t>
            </w:r>
          </w:p>
        </w:tc>
        <w:tc>
          <w:tcPr>
            <w:tcW w:w="4675" w:type="dxa"/>
            <w:vAlign w:val="bottom"/>
          </w:tcPr>
          <w:p w14:paraId="50888B49" w14:textId="77777777" w:rsidR="00882C15" w:rsidRPr="00A67916" w:rsidRDefault="00882C15" w:rsidP="001B41BD">
            <w:r w:rsidRPr="00A67916">
              <w:t>98.8</w:t>
            </w:r>
          </w:p>
        </w:tc>
      </w:tr>
      <w:tr w:rsidR="00882C15" w14:paraId="699D2FA1" w14:textId="77777777" w:rsidTr="001B41BD">
        <w:tc>
          <w:tcPr>
            <w:tcW w:w="4675" w:type="dxa"/>
            <w:vAlign w:val="bottom"/>
          </w:tcPr>
          <w:p w14:paraId="3813B12A" w14:textId="77777777" w:rsidR="00882C15" w:rsidRPr="00A67916" w:rsidRDefault="00882C15" w:rsidP="001B41BD">
            <w:r w:rsidRPr="00A67916">
              <w:t>Dillon</w:t>
            </w:r>
          </w:p>
        </w:tc>
        <w:tc>
          <w:tcPr>
            <w:tcW w:w="4675" w:type="dxa"/>
            <w:vAlign w:val="bottom"/>
          </w:tcPr>
          <w:p w14:paraId="6680788A" w14:textId="77777777" w:rsidR="00882C15" w:rsidRPr="00A67916" w:rsidRDefault="00882C15" w:rsidP="001B41BD">
            <w:r w:rsidRPr="00A67916">
              <w:t>80.8</w:t>
            </w:r>
          </w:p>
        </w:tc>
      </w:tr>
      <w:tr w:rsidR="00882C15" w14:paraId="5EC1DDD7" w14:textId="77777777" w:rsidTr="001B41BD">
        <w:tc>
          <w:tcPr>
            <w:tcW w:w="4675" w:type="dxa"/>
            <w:vAlign w:val="bottom"/>
          </w:tcPr>
          <w:p w14:paraId="4E392A19" w14:textId="77777777" w:rsidR="00882C15" w:rsidRPr="00A67916" w:rsidRDefault="00882C15" w:rsidP="001B41BD">
            <w:r w:rsidRPr="00A67916">
              <w:t>Dorchester</w:t>
            </w:r>
          </w:p>
        </w:tc>
        <w:tc>
          <w:tcPr>
            <w:tcW w:w="4675" w:type="dxa"/>
            <w:vAlign w:val="bottom"/>
          </w:tcPr>
          <w:p w14:paraId="0210EF88" w14:textId="77777777" w:rsidR="00882C15" w:rsidRPr="00A67916" w:rsidRDefault="00882C15" w:rsidP="001B41BD">
            <w:r w:rsidRPr="00A67916">
              <w:t>43.8</w:t>
            </w:r>
          </w:p>
        </w:tc>
      </w:tr>
      <w:tr w:rsidR="00882C15" w14:paraId="2DE5D024" w14:textId="77777777" w:rsidTr="001B41BD">
        <w:tc>
          <w:tcPr>
            <w:tcW w:w="4675" w:type="dxa"/>
            <w:vAlign w:val="bottom"/>
          </w:tcPr>
          <w:p w14:paraId="4E686C1B" w14:textId="77777777" w:rsidR="00882C15" w:rsidRPr="00A67916" w:rsidRDefault="00882C15" w:rsidP="001B41BD">
            <w:r w:rsidRPr="00A67916">
              <w:t>Edgefield</w:t>
            </w:r>
          </w:p>
        </w:tc>
        <w:tc>
          <w:tcPr>
            <w:tcW w:w="4675" w:type="dxa"/>
            <w:vAlign w:val="bottom"/>
          </w:tcPr>
          <w:p w14:paraId="170820FA" w14:textId="77777777" w:rsidR="00882C15" w:rsidRPr="00A67916" w:rsidRDefault="00882C15" w:rsidP="001B41BD">
            <w:r w:rsidRPr="00A67916">
              <w:t>35.0</w:t>
            </w:r>
          </w:p>
        </w:tc>
      </w:tr>
      <w:tr w:rsidR="00882C15" w14:paraId="0F99FEE7" w14:textId="77777777" w:rsidTr="001B41BD">
        <w:tc>
          <w:tcPr>
            <w:tcW w:w="4675" w:type="dxa"/>
            <w:vAlign w:val="bottom"/>
          </w:tcPr>
          <w:p w14:paraId="646ECD31" w14:textId="77777777" w:rsidR="00882C15" w:rsidRPr="00A67916" w:rsidRDefault="00882C15" w:rsidP="001B41BD">
            <w:r w:rsidRPr="00A67916">
              <w:t>Fairfield</w:t>
            </w:r>
          </w:p>
        </w:tc>
        <w:tc>
          <w:tcPr>
            <w:tcW w:w="4675" w:type="dxa"/>
            <w:vAlign w:val="bottom"/>
          </w:tcPr>
          <w:p w14:paraId="09C2C205" w14:textId="77777777" w:rsidR="00882C15" w:rsidRPr="00A67916" w:rsidRDefault="00882C15" w:rsidP="001B41BD">
            <w:r w:rsidRPr="00A67916">
              <w:t>41.9</w:t>
            </w:r>
          </w:p>
        </w:tc>
      </w:tr>
      <w:tr w:rsidR="00882C15" w14:paraId="057015B8" w14:textId="77777777" w:rsidTr="001B41BD">
        <w:tc>
          <w:tcPr>
            <w:tcW w:w="4675" w:type="dxa"/>
            <w:vAlign w:val="bottom"/>
          </w:tcPr>
          <w:p w14:paraId="21D4A987" w14:textId="77777777" w:rsidR="00882C15" w:rsidRPr="00A67916" w:rsidRDefault="00882C15" w:rsidP="001B41BD">
            <w:r w:rsidRPr="00A67916">
              <w:t>Florence</w:t>
            </w:r>
          </w:p>
        </w:tc>
        <w:tc>
          <w:tcPr>
            <w:tcW w:w="4675" w:type="dxa"/>
            <w:vAlign w:val="bottom"/>
          </w:tcPr>
          <w:p w14:paraId="76787010" w14:textId="77777777" w:rsidR="00882C15" w:rsidRPr="00A67916" w:rsidRDefault="00882C15" w:rsidP="001B41BD">
            <w:r w:rsidRPr="00A67916">
              <w:t>84.5</w:t>
            </w:r>
          </w:p>
        </w:tc>
      </w:tr>
      <w:tr w:rsidR="00882C15" w14:paraId="38F1F2C2" w14:textId="77777777" w:rsidTr="001B41BD">
        <w:tc>
          <w:tcPr>
            <w:tcW w:w="4675" w:type="dxa"/>
            <w:vAlign w:val="bottom"/>
          </w:tcPr>
          <w:p w14:paraId="37FDE9B8" w14:textId="77777777" w:rsidR="00882C15" w:rsidRPr="00A67916" w:rsidRDefault="00882C15" w:rsidP="001B41BD">
            <w:r w:rsidRPr="00A67916">
              <w:lastRenderedPageBreak/>
              <w:t>Georgetown</w:t>
            </w:r>
          </w:p>
        </w:tc>
        <w:tc>
          <w:tcPr>
            <w:tcW w:w="4675" w:type="dxa"/>
            <w:vAlign w:val="bottom"/>
          </w:tcPr>
          <w:p w14:paraId="22FC0253" w14:textId="77777777" w:rsidR="00882C15" w:rsidRPr="00A67916" w:rsidRDefault="00882C15" w:rsidP="001B41BD">
            <w:r w:rsidRPr="00A67916">
              <w:t>50.6</w:t>
            </w:r>
          </w:p>
        </w:tc>
      </w:tr>
      <w:tr w:rsidR="00882C15" w14:paraId="41CFB0ED" w14:textId="77777777" w:rsidTr="001B41BD">
        <w:tc>
          <w:tcPr>
            <w:tcW w:w="4675" w:type="dxa"/>
            <w:vAlign w:val="bottom"/>
          </w:tcPr>
          <w:p w14:paraId="34FAD6B1" w14:textId="77777777" w:rsidR="00882C15" w:rsidRPr="00A67916" w:rsidRDefault="00882C15" w:rsidP="001B41BD">
            <w:r w:rsidRPr="00A67916">
              <w:t>Greenville</w:t>
            </w:r>
          </w:p>
        </w:tc>
        <w:tc>
          <w:tcPr>
            <w:tcW w:w="4675" w:type="dxa"/>
            <w:vAlign w:val="bottom"/>
          </w:tcPr>
          <w:p w14:paraId="160B1274" w14:textId="77777777" w:rsidR="00882C15" w:rsidRPr="00A67916" w:rsidRDefault="00882C15" w:rsidP="001B41BD">
            <w:r w:rsidRPr="00A67916">
              <w:t>38.4</w:t>
            </w:r>
          </w:p>
        </w:tc>
      </w:tr>
      <w:tr w:rsidR="00882C15" w14:paraId="45052886" w14:textId="77777777" w:rsidTr="001B41BD">
        <w:tc>
          <w:tcPr>
            <w:tcW w:w="4675" w:type="dxa"/>
            <w:vAlign w:val="bottom"/>
          </w:tcPr>
          <w:p w14:paraId="57C34432" w14:textId="77777777" w:rsidR="00882C15" w:rsidRPr="00A67916" w:rsidRDefault="00882C15" w:rsidP="001B41BD">
            <w:r w:rsidRPr="00A67916">
              <w:t>Greenwood</w:t>
            </w:r>
          </w:p>
        </w:tc>
        <w:tc>
          <w:tcPr>
            <w:tcW w:w="4675" w:type="dxa"/>
            <w:vAlign w:val="bottom"/>
          </w:tcPr>
          <w:p w14:paraId="791C12AB" w14:textId="77777777" w:rsidR="00882C15" w:rsidRPr="00A67916" w:rsidRDefault="00882C15" w:rsidP="001B41BD">
            <w:r w:rsidRPr="00A67916">
              <w:t>49.8</w:t>
            </w:r>
          </w:p>
        </w:tc>
      </w:tr>
      <w:tr w:rsidR="00882C15" w14:paraId="1DDFCC3F" w14:textId="77777777" w:rsidTr="001B41BD">
        <w:tc>
          <w:tcPr>
            <w:tcW w:w="4675" w:type="dxa"/>
            <w:vAlign w:val="bottom"/>
          </w:tcPr>
          <w:p w14:paraId="71F08700" w14:textId="77777777" w:rsidR="00882C15" w:rsidRPr="00A67916" w:rsidRDefault="00882C15" w:rsidP="001B41BD">
            <w:r w:rsidRPr="00A67916">
              <w:t>Hampton</w:t>
            </w:r>
          </w:p>
        </w:tc>
        <w:tc>
          <w:tcPr>
            <w:tcW w:w="4675" w:type="dxa"/>
            <w:vAlign w:val="bottom"/>
          </w:tcPr>
          <w:p w14:paraId="3378018A" w14:textId="77777777" w:rsidR="00882C15" w:rsidRPr="00A67916" w:rsidRDefault="00882C15" w:rsidP="001B41BD">
            <w:r w:rsidRPr="00A67916">
              <w:t>51.6</w:t>
            </w:r>
          </w:p>
        </w:tc>
      </w:tr>
      <w:tr w:rsidR="00882C15" w14:paraId="7B4AD98C" w14:textId="77777777" w:rsidTr="001B41BD">
        <w:tc>
          <w:tcPr>
            <w:tcW w:w="4675" w:type="dxa"/>
            <w:vAlign w:val="bottom"/>
          </w:tcPr>
          <w:p w14:paraId="2DAB60CF" w14:textId="77777777" w:rsidR="00882C15" w:rsidRPr="00A67916" w:rsidRDefault="00882C15" w:rsidP="001B41BD">
            <w:r w:rsidRPr="00A67916">
              <w:t>Horry</w:t>
            </w:r>
          </w:p>
        </w:tc>
        <w:tc>
          <w:tcPr>
            <w:tcW w:w="4675" w:type="dxa"/>
            <w:vAlign w:val="bottom"/>
          </w:tcPr>
          <w:p w14:paraId="22ADA976" w14:textId="77777777" w:rsidR="00882C15" w:rsidRPr="00A67916" w:rsidRDefault="00882C15" w:rsidP="001B41BD">
            <w:r w:rsidRPr="00A67916">
              <w:t>46.0</w:t>
            </w:r>
          </w:p>
        </w:tc>
      </w:tr>
      <w:tr w:rsidR="00882C15" w14:paraId="395AE177" w14:textId="77777777" w:rsidTr="001B41BD">
        <w:tc>
          <w:tcPr>
            <w:tcW w:w="4675" w:type="dxa"/>
            <w:vAlign w:val="bottom"/>
          </w:tcPr>
          <w:p w14:paraId="0188CD38" w14:textId="77777777" w:rsidR="00882C15" w:rsidRPr="00A67916" w:rsidRDefault="00882C15" w:rsidP="001B41BD">
            <w:r w:rsidRPr="00A67916">
              <w:t>Jasper</w:t>
            </w:r>
          </w:p>
        </w:tc>
        <w:tc>
          <w:tcPr>
            <w:tcW w:w="4675" w:type="dxa"/>
            <w:vAlign w:val="bottom"/>
          </w:tcPr>
          <w:p w14:paraId="78358C78" w14:textId="77777777" w:rsidR="00882C15" w:rsidRPr="00A67916" w:rsidRDefault="00882C15" w:rsidP="001B41BD">
            <w:r w:rsidRPr="00A67916">
              <w:t>32.3</w:t>
            </w:r>
          </w:p>
        </w:tc>
      </w:tr>
      <w:tr w:rsidR="00882C15" w14:paraId="5A7EEFE7" w14:textId="77777777" w:rsidTr="001B41BD">
        <w:tc>
          <w:tcPr>
            <w:tcW w:w="4675" w:type="dxa"/>
            <w:vAlign w:val="bottom"/>
          </w:tcPr>
          <w:p w14:paraId="6E8859A2" w14:textId="77777777" w:rsidR="00882C15" w:rsidRPr="00A67916" w:rsidRDefault="00882C15" w:rsidP="001B41BD">
            <w:r w:rsidRPr="00A67916">
              <w:t>Kershaw</w:t>
            </w:r>
          </w:p>
        </w:tc>
        <w:tc>
          <w:tcPr>
            <w:tcW w:w="4675" w:type="dxa"/>
            <w:vAlign w:val="bottom"/>
          </w:tcPr>
          <w:p w14:paraId="7FE3A006" w14:textId="77777777" w:rsidR="00882C15" w:rsidRPr="00A67916" w:rsidRDefault="00882C15" w:rsidP="001B41BD">
            <w:r w:rsidRPr="00A67916">
              <w:t>30.0</w:t>
            </w:r>
          </w:p>
        </w:tc>
      </w:tr>
      <w:tr w:rsidR="00882C15" w14:paraId="43435893" w14:textId="77777777" w:rsidTr="001B41BD">
        <w:tc>
          <w:tcPr>
            <w:tcW w:w="4675" w:type="dxa"/>
            <w:vAlign w:val="bottom"/>
          </w:tcPr>
          <w:p w14:paraId="52C65625" w14:textId="77777777" w:rsidR="00882C15" w:rsidRPr="00A67916" w:rsidRDefault="00882C15" w:rsidP="001B41BD">
            <w:r w:rsidRPr="00A67916">
              <w:t>Lancaster</w:t>
            </w:r>
          </w:p>
        </w:tc>
        <w:tc>
          <w:tcPr>
            <w:tcW w:w="4675" w:type="dxa"/>
            <w:vAlign w:val="bottom"/>
          </w:tcPr>
          <w:p w14:paraId="1DE3B27E" w14:textId="77777777" w:rsidR="00882C15" w:rsidRPr="00A67916" w:rsidRDefault="00882C15" w:rsidP="001B41BD">
            <w:r w:rsidRPr="00A67916">
              <w:t>39.0</w:t>
            </w:r>
          </w:p>
        </w:tc>
      </w:tr>
      <w:tr w:rsidR="00882C15" w14:paraId="2C695C63" w14:textId="77777777" w:rsidTr="001B41BD">
        <w:tc>
          <w:tcPr>
            <w:tcW w:w="4675" w:type="dxa"/>
            <w:vAlign w:val="bottom"/>
          </w:tcPr>
          <w:p w14:paraId="09A9E037" w14:textId="77777777" w:rsidR="00882C15" w:rsidRPr="00A67916" w:rsidRDefault="00882C15" w:rsidP="001B41BD">
            <w:r w:rsidRPr="00A67916">
              <w:t>Laurens</w:t>
            </w:r>
          </w:p>
        </w:tc>
        <w:tc>
          <w:tcPr>
            <w:tcW w:w="4675" w:type="dxa"/>
            <w:vAlign w:val="bottom"/>
          </w:tcPr>
          <w:p w14:paraId="550B452B" w14:textId="77777777" w:rsidR="00882C15" w:rsidRPr="00A67916" w:rsidRDefault="00882C15" w:rsidP="001B41BD">
            <w:r w:rsidRPr="00A67916">
              <w:t>53.1</w:t>
            </w:r>
          </w:p>
        </w:tc>
      </w:tr>
      <w:tr w:rsidR="00882C15" w14:paraId="3E6DE9B4" w14:textId="77777777" w:rsidTr="001B41BD">
        <w:tc>
          <w:tcPr>
            <w:tcW w:w="4675" w:type="dxa"/>
            <w:vAlign w:val="bottom"/>
          </w:tcPr>
          <w:p w14:paraId="610A0CAB" w14:textId="77777777" w:rsidR="00882C15" w:rsidRPr="00A67916" w:rsidRDefault="00882C15" w:rsidP="001B41BD">
            <w:r w:rsidRPr="00A67916">
              <w:t>Lee</w:t>
            </w:r>
          </w:p>
        </w:tc>
        <w:tc>
          <w:tcPr>
            <w:tcW w:w="4675" w:type="dxa"/>
            <w:vAlign w:val="bottom"/>
          </w:tcPr>
          <w:p w14:paraId="5994D9A1" w14:textId="77777777" w:rsidR="00882C15" w:rsidRPr="00A67916" w:rsidRDefault="00882C15" w:rsidP="001B41BD">
            <w:r w:rsidRPr="00A67916">
              <w:t>62.0</w:t>
            </w:r>
          </w:p>
        </w:tc>
      </w:tr>
      <w:tr w:rsidR="00882C15" w14:paraId="33762F9E" w14:textId="77777777" w:rsidTr="001B41BD">
        <w:tc>
          <w:tcPr>
            <w:tcW w:w="4675" w:type="dxa"/>
            <w:vAlign w:val="bottom"/>
          </w:tcPr>
          <w:p w14:paraId="19AB6DAB" w14:textId="77777777" w:rsidR="00882C15" w:rsidRPr="00A67916" w:rsidRDefault="00882C15" w:rsidP="001B41BD">
            <w:r w:rsidRPr="00A67916">
              <w:t>Lexington</w:t>
            </w:r>
          </w:p>
        </w:tc>
        <w:tc>
          <w:tcPr>
            <w:tcW w:w="4675" w:type="dxa"/>
            <w:vAlign w:val="bottom"/>
          </w:tcPr>
          <w:p w14:paraId="609AF357" w14:textId="77777777" w:rsidR="00882C15" w:rsidRPr="00A67916" w:rsidRDefault="00882C15" w:rsidP="001B41BD">
            <w:r w:rsidRPr="00A67916">
              <w:t>42.3</w:t>
            </w:r>
          </w:p>
        </w:tc>
      </w:tr>
      <w:tr w:rsidR="00882C15" w14:paraId="602CBDD1" w14:textId="77777777" w:rsidTr="001B41BD">
        <w:tc>
          <w:tcPr>
            <w:tcW w:w="4675" w:type="dxa"/>
            <w:vAlign w:val="bottom"/>
          </w:tcPr>
          <w:p w14:paraId="580D8029" w14:textId="77777777" w:rsidR="00882C15" w:rsidRPr="00A67916" w:rsidRDefault="00882C15" w:rsidP="001B41BD">
            <w:r w:rsidRPr="00A67916">
              <w:t>Marion</w:t>
            </w:r>
          </w:p>
        </w:tc>
        <w:tc>
          <w:tcPr>
            <w:tcW w:w="4675" w:type="dxa"/>
            <w:vAlign w:val="bottom"/>
          </w:tcPr>
          <w:p w14:paraId="18FA94D7" w14:textId="77777777" w:rsidR="00882C15" w:rsidRPr="00A67916" w:rsidRDefault="00882C15" w:rsidP="001B41BD">
            <w:r w:rsidRPr="00A67916">
              <w:t>72.1</w:t>
            </w:r>
          </w:p>
        </w:tc>
      </w:tr>
      <w:tr w:rsidR="00882C15" w14:paraId="46AB9809" w14:textId="77777777" w:rsidTr="001B41BD">
        <w:tc>
          <w:tcPr>
            <w:tcW w:w="4675" w:type="dxa"/>
            <w:vAlign w:val="bottom"/>
          </w:tcPr>
          <w:p w14:paraId="2F7AE03B" w14:textId="77777777" w:rsidR="00882C15" w:rsidRPr="00A67916" w:rsidRDefault="00882C15" w:rsidP="001B41BD">
            <w:r w:rsidRPr="00A67916">
              <w:t>Marlboro</w:t>
            </w:r>
          </w:p>
        </w:tc>
        <w:tc>
          <w:tcPr>
            <w:tcW w:w="4675" w:type="dxa"/>
            <w:vAlign w:val="bottom"/>
          </w:tcPr>
          <w:p w14:paraId="17F90117" w14:textId="77777777" w:rsidR="00882C15" w:rsidRPr="00A67916" w:rsidRDefault="00882C15" w:rsidP="001B41BD">
            <w:r w:rsidRPr="00A67916">
              <w:t>54.6</w:t>
            </w:r>
          </w:p>
        </w:tc>
      </w:tr>
      <w:tr w:rsidR="00882C15" w14:paraId="2CA8DB25" w14:textId="77777777" w:rsidTr="001B41BD">
        <w:tc>
          <w:tcPr>
            <w:tcW w:w="4675" w:type="dxa"/>
            <w:vAlign w:val="bottom"/>
          </w:tcPr>
          <w:p w14:paraId="3FF47274" w14:textId="77777777" w:rsidR="00882C15" w:rsidRPr="00A67916" w:rsidRDefault="00882C15" w:rsidP="001B41BD">
            <w:r w:rsidRPr="00A67916">
              <w:t>McCormick</w:t>
            </w:r>
          </w:p>
        </w:tc>
        <w:tc>
          <w:tcPr>
            <w:tcW w:w="4675" w:type="dxa"/>
            <w:vAlign w:val="bottom"/>
          </w:tcPr>
          <w:p w14:paraId="1FD7962C" w14:textId="77777777" w:rsidR="00882C15" w:rsidRPr="00A67916" w:rsidRDefault="00882C15" w:rsidP="001B41BD">
            <w:r w:rsidRPr="00A67916">
              <w:t>30.9</w:t>
            </w:r>
          </w:p>
        </w:tc>
      </w:tr>
      <w:tr w:rsidR="00882C15" w14:paraId="31794AC2" w14:textId="77777777" w:rsidTr="001B41BD">
        <w:tc>
          <w:tcPr>
            <w:tcW w:w="4675" w:type="dxa"/>
            <w:vAlign w:val="bottom"/>
          </w:tcPr>
          <w:p w14:paraId="64EBE704" w14:textId="77777777" w:rsidR="00882C15" w:rsidRPr="00A67916" w:rsidRDefault="00882C15" w:rsidP="001B41BD">
            <w:r w:rsidRPr="00A67916">
              <w:t>Newberry</w:t>
            </w:r>
          </w:p>
        </w:tc>
        <w:tc>
          <w:tcPr>
            <w:tcW w:w="4675" w:type="dxa"/>
            <w:vAlign w:val="bottom"/>
          </w:tcPr>
          <w:p w14:paraId="490A76B8" w14:textId="77777777" w:rsidR="00882C15" w:rsidRPr="00A67916" w:rsidRDefault="00882C15" w:rsidP="001B41BD">
            <w:r w:rsidRPr="00A67916">
              <w:t>44.6</w:t>
            </w:r>
          </w:p>
        </w:tc>
      </w:tr>
      <w:tr w:rsidR="00882C15" w14:paraId="556DB938" w14:textId="77777777" w:rsidTr="001B41BD">
        <w:tc>
          <w:tcPr>
            <w:tcW w:w="4675" w:type="dxa"/>
            <w:vAlign w:val="bottom"/>
          </w:tcPr>
          <w:p w14:paraId="1535CD1F" w14:textId="77777777" w:rsidR="00882C15" w:rsidRPr="00A67916" w:rsidRDefault="00882C15" w:rsidP="001B41BD">
            <w:r w:rsidRPr="00A67916">
              <w:t>Oconee</w:t>
            </w:r>
          </w:p>
        </w:tc>
        <w:tc>
          <w:tcPr>
            <w:tcW w:w="4675" w:type="dxa"/>
            <w:vAlign w:val="bottom"/>
          </w:tcPr>
          <w:p w14:paraId="4C0ACD2B" w14:textId="77777777" w:rsidR="00882C15" w:rsidRPr="00A67916" w:rsidRDefault="00882C15" w:rsidP="001B41BD">
            <w:r w:rsidRPr="00A67916">
              <w:t>45.2</w:t>
            </w:r>
          </w:p>
        </w:tc>
      </w:tr>
      <w:tr w:rsidR="00882C15" w14:paraId="49594391" w14:textId="77777777" w:rsidTr="001B41BD">
        <w:tc>
          <w:tcPr>
            <w:tcW w:w="4675" w:type="dxa"/>
            <w:vAlign w:val="bottom"/>
          </w:tcPr>
          <w:p w14:paraId="6D6787EF" w14:textId="77777777" w:rsidR="00882C15" w:rsidRPr="00A67916" w:rsidRDefault="00882C15" w:rsidP="001B41BD">
            <w:r w:rsidRPr="00A67916">
              <w:t>Orangeburg</w:t>
            </w:r>
          </w:p>
        </w:tc>
        <w:tc>
          <w:tcPr>
            <w:tcW w:w="4675" w:type="dxa"/>
            <w:vAlign w:val="bottom"/>
          </w:tcPr>
          <w:p w14:paraId="37D6DFEC" w14:textId="77777777" w:rsidR="00882C15" w:rsidRPr="00A67916" w:rsidRDefault="00882C15" w:rsidP="001B41BD">
            <w:r w:rsidRPr="00A67916">
              <w:t>53.4</w:t>
            </w:r>
          </w:p>
        </w:tc>
      </w:tr>
      <w:tr w:rsidR="00882C15" w14:paraId="319CD0CE" w14:textId="77777777" w:rsidTr="001B41BD">
        <w:tc>
          <w:tcPr>
            <w:tcW w:w="4675" w:type="dxa"/>
            <w:vAlign w:val="bottom"/>
          </w:tcPr>
          <w:p w14:paraId="0081DB8F" w14:textId="77777777" w:rsidR="00882C15" w:rsidRPr="00A67916" w:rsidRDefault="00882C15" w:rsidP="001B41BD">
            <w:r w:rsidRPr="00A67916">
              <w:t>Pickens</w:t>
            </w:r>
          </w:p>
        </w:tc>
        <w:tc>
          <w:tcPr>
            <w:tcW w:w="4675" w:type="dxa"/>
            <w:vAlign w:val="bottom"/>
          </w:tcPr>
          <w:p w14:paraId="10D0B42D" w14:textId="77777777" w:rsidR="00882C15" w:rsidRPr="00A67916" w:rsidRDefault="00882C15" w:rsidP="001B41BD">
            <w:r w:rsidRPr="00A67916">
              <w:t>45.2</w:t>
            </w:r>
          </w:p>
        </w:tc>
      </w:tr>
      <w:tr w:rsidR="00882C15" w14:paraId="3872C164" w14:textId="77777777" w:rsidTr="001B41BD">
        <w:tc>
          <w:tcPr>
            <w:tcW w:w="4675" w:type="dxa"/>
            <w:vAlign w:val="bottom"/>
          </w:tcPr>
          <w:p w14:paraId="6803457D" w14:textId="77777777" w:rsidR="00882C15" w:rsidRPr="00A67916" w:rsidRDefault="00882C15" w:rsidP="001B41BD">
            <w:r w:rsidRPr="00A67916">
              <w:t>Richland</w:t>
            </w:r>
          </w:p>
        </w:tc>
        <w:tc>
          <w:tcPr>
            <w:tcW w:w="4675" w:type="dxa"/>
            <w:vAlign w:val="bottom"/>
          </w:tcPr>
          <w:p w14:paraId="608DBC04" w14:textId="77777777" w:rsidR="00882C15" w:rsidRPr="00A67916" w:rsidRDefault="00882C15" w:rsidP="001B41BD">
            <w:r w:rsidRPr="00A67916">
              <w:t>36.8</w:t>
            </w:r>
          </w:p>
        </w:tc>
      </w:tr>
      <w:tr w:rsidR="00882C15" w14:paraId="210755BF" w14:textId="77777777" w:rsidTr="001B41BD">
        <w:tc>
          <w:tcPr>
            <w:tcW w:w="4675" w:type="dxa"/>
            <w:vAlign w:val="bottom"/>
          </w:tcPr>
          <w:p w14:paraId="2571EE4C" w14:textId="77777777" w:rsidR="00882C15" w:rsidRPr="00A67916" w:rsidRDefault="00882C15" w:rsidP="001B41BD">
            <w:r w:rsidRPr="00A67916">
              <w:t>Saluda</w:t>
            </w:r>
          </w:p>
        </w:tc>
        <w:tc>
          <w:tcPr>
            <w:tcW w:w="4675" w:type="dxa"/>
            <w:vAlign w:val="bottom"/>
          </w:tcPr>
          <w:p w14:paraId="1ECFB2B4" w14:textId="77777777" w:rsidR="00882C15" w:rsidRPr="00A67916" w:rsidRDefault="00882C15" w:rsidP="001B41BD">
            <w:r w:rsidRPr="00A67916">
              <w:t>38.2</w:t>
            </w:r>
          </w:p>
        </w:tc>
      </w:tr>
      <w:tr w:rsidR="00882C15" w14:paraId="06B0AAE6" w14:textId="77777777" w:rsidTr="001B41BD">
        <w:tc>
          <w:tcPr>
            <w:tcW w:w="4675" w:type="dxa"/>
            <w:vAlign w:val="bottom"/>
          </w:tcPr>
          <w:p w14:paraId="31713643" w14:textId="77777777" w:rsidR="00882C15" w:rsidRPr="00A67916" w:rsidRDefault="00882C15" w:rsidP="001B41BD">
            <w:r w:rsidRPr="00A67916">
              <w:t>Spartanburg</w:t>
            </w:r>
          </w:p>
        </w:tc>
        <w:tc>
          <w:tcPr>
            <w:tcW w:w="4675" w:type="dxa"/>
            <w:vAlign w:val="bottom"/>
          </w:tcPr>
          <w:p w14:paraId="5F3B72D1" w14:textId="77777777" w:rsidR="00882C15" w:rsidRPr="00A67916" w:rsidRDefault="00882C15" w:rsidP="001B41BD">
            <w:r w:rsidRPr="00A67916">
              <w:t>45.9</w:t>
            </w:r>
          </w:p>
        </w:tc>
      </w:tr>
      <w:tr w:rsidR="00882C15" w14:paraId="2F3DA19C" w14:textId="77777777" w:rsidTr="001B41BD">
        <w:tc>
          <w:tcPr>
            <w:tcW w:w="4675" w:type="dxa"/>
            <w:vAlign w:val="bottom"/>
          </w:tcPr>
          <w:p w14:paraId="4298ED68" w14:textId="77777777" w:rsidR="00882C15" w:rsidRPr="00A67916" w:rsidRDefault="00882C15" w:rsidP="001B41BD">
            <w:r w:rsidRPr="00A67916">
              <w:t>Sumter</w:t>
            </w:r>
          </w:p>
        </w:tc>
        <w:tc>
          <w:tcPr>
            <w:tcW w:w="4675" w:type="dxa"/>
            <w:vAlign w:val="bottom"/>
          </w:tcPr>
          <w:p w14:paraId="7FD87CEE" w14:textId="77777777" w:rsidR="00882C15" w:rsidRPr="00A67916" w:rsidRDefault="00882C15" w:rsidP="001B41BD">
            <w:r w:rsidRPr="00A67916">
              <w:t>54.9</w:t>
            </w:r>
          </w:p>
        </w:tc>
      </w:tr>
      <w:tr w:rsidR="00882C15" w14:paraId="607093F1" w14:textId="77777777" w:rsidTr="001B41BD">
        <w:tc>
          <w:tcPr>
            <w:tcW w:w="4675" w:type="dxa"/>
            <w:vAlign w:val="bottom"/>
          </w:tcPr>
          <w:p w14:paraId="6A6DADC5" w14:textId="77777777" w:rsidR="00882C15" w:rsidRPr="00A67916" w:rsidRDefault="00882C15" w:rsidP="001B41BD">
            <w:r w:rsidRPr="00A67916">
              <w:t>Union</w:t>
            </w:r>
          </w:p>
        </w:tc>
        <w:tc>
          <w:tcPr>
            <w:tcW w:w="4675" w:type="dxa"/>
            <w:vAlign w:val="bottom"/>
          </w:tcPr>
          <w:p w14:paraId="0CB03F14" w14:textId="77777777" w:rsidR="00882C15" w:rsidRPr="00A67916" w:rsidRDefault="00882C15" w:rsidP="001B41BD">
            <w:r w:rsidRPr="00A67916">
              <w:t>53.5</w:t>
            </w:r>
          </w:p>
        </w:tc>
      </w:tr>
      <w:tr w:rsidR="00882C15" w14:paraId="31CF1372" w14:textId="77777777" w:rsidTr="001B41BD">
        <w:tc>
          <w:tcPr>
            <w:tcW w:w="4675" w:type="dxa"/>
            <w:vAlign w:val="bottom"/>
          </w:tcPr>
          <w:p w14:paraId="59E86ECC" w14:textId="77777777" w:rsidR="00882C15" w:rsidRPr="00A67916" w:rsidRDefault="00882C15" w:rsidP="001B41BD">
            <w:r w:rsidRPr="00A67916">
              <w:t>Williamsburg</w:t>
            </w:r>
          </w:p>
        </w:tc>
        <w:tc>
          <w:tcPr>
            <w:tcW w:w="4675" w:type="dxa"/>
            <w:vAlign w:val="bottom"/>
          </w:tcPr>
          <w:p w14:paraId="44EF77AD" w14:textId="77777777" w:rsidR="00882C15" w:rsidRPr="00A67916" w:rsidRDefault="00882C15" w:rsidP="001B41BD">
            <w:r w:rsidRPr="00A67916">
              <w:t>59.6</w:t>
            </w:r>
          </w:p>
        </w:tc>
      </w:tr>
      <w:tr w:rsidR="00882C15" w14:paraId="3A400418" w14:textId="77777777" w:rsidTr="001B41BD">
        <w:tc>
          <w:tcPr>
            <w:tcW w:w="4675" w:type="dxa"/>
            <w:vAlign w:val="bottom"/>
          </w:tcPr>
          <w:p w14:paraId="7029CFF5" w14:textId="77777777" w:rsidR="00882C15" w:rsidRPr="00A67916" w:rsidRDefault="00882C15" w:rsidP="001B41BD">
            <w:r w:rsidRPr="00A67916">
              <w:t>York</w:t>
            </w:r>
          </w:p>
        </w:tc>
        <w:tc>
          <w:tcPr>
            <w:tcW w:w="4675" w:type="dxa"/>
            <w:vAlign w:val="bottom"/>
          </w:tcPr>
          <w:p w14:paraId="0F1BD827" w14:textId="77777777" w:rsidR="00882C15" w:rsidRPr="00A67916" w:rsidRDefault="00882C15" w:rsidP="001B41BD">
            <w:r w:rsidRPr="00A67916">
              <w:t>44.6</w:t>
            </w:r>
          </w:p>
        </w:tc>
      </w:tr>
    </w:tbl>
    <w:p w14:paraId="44E9E1D6" w14:textId="77777777" w:rsidR="00882C15" w:rsidRPr="00A67916" w:rsidRDefault="00882C15" w:rsidP="00882C15">
      <w:r w:rsidRPr="00A67916">
        <w:t xml:space="preserve">Source: SC DHEC Vital Statistics, 2019-2021. </w:t>
      </w:r>
    </w:p>
    <w:p w14:paraId="5B89B5C4" w14:textId="77777777" w:rsidR="00882C15" w:rsidRDefault="00882C15" w:rsidP="00882C15">
      <w:r w:rsidRPr="00A67916">
        <w:t>Notes: Age-adjusted, population for year 2021 based on single-race estimates and for years prior based on bridge-race estimates.</w:t>
      </w:r>
    </w:p>
    <w:p w14:paraId="2DC0B5C5" w14:textId="77777777" w:rsidR="00882C15" w:rsidRDefault="00882C15" w:rsidP="00882C15"/>
    <w:p w14:paraId="1378AE6C" w14:textId="77777777" w:rsidR="00882C15" w:rsidRDefault="00882C15" w:rsidP="00882C15">
      <w:pPr>
        <w:rPr>
          <w:b/>
          <w:bCs/>
        </w:rPr>
      </w:pPr>
      <w:bookmarkStart w:id="952" w:name="_Toc162267643"/>
      <w:r w:rsidRPr="00882C15">
        <w:rPr>
          <w:rStyle w:val="Heading4Char"/>
        </w:rPr>
        <w:t>Data Interpretations:</w:t>
      </w:r>
      <w:bookmarkEnd w:id="952"/>
      <w:r w:rsidRPr="00882C15">
        <w:rPr>
          <w:b/>
          <w:bCs/>
        </w:rPr>
        <w:t xml:space="preserve"> </w:t>
      </w:r>
    </w:p>
    <w:p w14:paraId="70DB1FC4" w14:textId="6711084F" w:rsidR="00882C15" w:rsidRPr="00882C15" w:rsidRDefault="00882C15" w:rsidP="00882C15">
      <w:r w:rsidRPr="00882C15">
        <w:t>Stroke deaths in SC have increased from 45.5 deaths per 100,000 population in 2012 to 48.4 deaths per 100,000 population in 2021 (</w:t>
      </w:r>
      <w:r w:rsidRPr="00882C15">
        <w:rPr>
          <w:b/>
          <w:bCs/>
        </w:rPr>
        <w:t>Figure 10.4</w:t>
      </w:r>
      <w:r w:rsidRPr="00882C15">
        <w:t>). SC sees a 17.8% higher rate of stroke deaths when compared to the US in 2021 and did not meet the Healthy People 2030 goal of 33.4 deaths per 100,000 population. Regardless of sex, non-Hispanic Blacks see the highest rate of stroke deaths in SC when compared to their non-Hispanic White and Hispanic counterparts (</w:t>
      </w:r>
      <w:r w:rsidRPr="00882C15">
        <w:rPr>
          <w:b/>
          <w:bCs/>
        </w:rPr>
        <w:t>Figure 10.5</w:t>
      </w:r>
      <w:r w:rsidRPr="00882C15">
        <w:t xml:space="preserve">). Non-Hispanic Black males see the highest rate of stroke deaths in the state, with a </w:t>
      </w:r>
      <w:r w:rsidRPr="00882C15">
        <w:lastRenderedPageBreak/>
        <w:t>rate of 82.7 stroke deaths per 100,000. Non-Hispanic Black males had a stroke death rate 1.9 times higher than non-Hispanic White males and 3.4 times higher than Hispanic males. Counties located along the I-95 corridor have the highest stroke death rates in the state (</w:t>
      </w:r>
      <w:r w:rsidRPr="00882C15">
        <w:rPr>
          <w:b/>
          <w:bCs/>
        </w:rPr>
        <w:t>Figure 10.6</w:t>
      </w:r>
      <w:r w:rsidRPr="00882C15">
        <w:t xml:space="preserve">). Darlington County sees the highest rate of stroke death with a rate of 98.8 stroke deaths per 100,000. This is more than three times higher than the rate seen in Kershaw County (30.0 stroke deaths per 100,000). In SC, adults ages 65 and over comprised over 83% of all stroke deaths in 2021. Those residents ages 85 and older saw the highest rate of dying from a stroke. </w:t>
      </w:r>
    </w:p>
    <w:p w14:paraId="7A1E11C0" w14:textId="77777777" w:rsidR="00882C15" w:rsidRDefault="00882C15" w:rsidP="00882C15"/>
    <w:p w14:paraId="0A218B55" w14:textId="77777777" w:rsidR="00882C15" w:rsidRPr="00882C15" w:rsidRDefault="00882C15" w:rsidP="00882C15">
      <w:pPr>
        <w:pStyle w:val="Heading5"/>
      </w:pPr>
      <w:r w:rsidRPr="00882C15">
        <w:t xml:space="preserve">Key Interpretations: </w:t>
      </w:r>
    </w:p>
    <w:p w14:paraId="2543DADF" w14:textId="77777777" w:rsidR="00882C15" w:rsidRPr="00882C15" w:rsidRDefault="00882C15" w:rsidP="00926EB3">
      <w:pPr>
        <w:pStyle w:val="ListParagraph"/>
        <w:numPr>
          <w:ilvl w:val="0"/>
          <w:numId w:val="228"/>
        </w:numPr>
      </w:pPr>
      <w:r w:rsidRPr="00882C15">
        <w:t xml:space="preserve">Adults aged 65 and more than comprised over 83% of all stroke deaths in 2021. </w:t>
      </w:r>
    </w:p>
    <w:p w14:paraId="5A4FC203" w14:textId="77777777" w:rsidR="00882C15" w:rsidRDefault="00882C15" w:rsidP="00882C15">
      <w:pPr>
        <w:pStyle w:val="Heading4"/>
        <w:rPr>
          <w:rFonts w:asciiTheme="minorHAnsi" w:hAnsiTheme="minorHAnsi" w:cstheme="minorHAnsi"/>
          <w:color w:val="000000" w:themeColor="text1"/>
        </w:rPr>
      </w:pPr>
    </w:p>
    <w:p w14:paraId="3C53C8DB" w14:textId="3A3F4B89" w:rsidR="00882C15" w:rsidRPr="00474B85" w:rsidRDefault="00882C15" w:rsidP="00882C15">
      <w:pPr>
        <w:pStyle w:val="Heading4"/>
        <w:rPr>
          <w:rFonts w:asciiTheme="minorHAnsi" w:hAnsiTheme="minorHAnsi" w:cstheme="minorHAnsi"/>
          <w:color w:val="000000" w:themeColor="text1"/>
        </w:rPr>
      </w:pPr>
      <w:bookmarkStart w:id="953" w:name="_Toc162267644"/>
      <w:r w:rsidRPr="00474B85">
        <w:rPr>
          <w:rFonts w:asciiTheme="minorHAnsi" w:hAnsiTheme="minorHAnsi" w:cstheme="minorHAnsi"/>
          <w:color w:val="000000" w:themeColor="text1"/>
        </w:rPr>
        <w:t xml:space="preserve">References </w:t>
      </w:r>
      <w:r>
        <w:rPr>
          <w:rFonts w:asciiTheme="minorHAnsi" w:hAnsiTheme="minorHAnsi" w:cstheme="minorHAnsi"/>
          <w:color w:val="000000" w:themeColor="text1"/>
        </w:rPr>
        <w:t>10.3</w:t>
      </w:r>
      <w:bookmarkEnd w:id="953"/>
    </w:p>
    <w:p w14:paraId="754D43A9" w14:textId="77777777" w:rsidR="00882C15" w:rsidRDefault="00882C15" w:rsidP="00882C15">
      <w:r w:rsidRPr="00474B85">
        <w:t>Statistics in the preceding section were referenced from the following reports:</w:t>
      </w:r>
    </w:p>
    <w:p w14:paraId="7FB7B680" w14:textId="77777777" w:rsidR="005A01D1" w:rsidRDefault="00000000" w:rsidP="00926EB3">
      <w:pPr>
        <w:pStyle w:val="ListParagraph"/>
        <w:numPr>
          <w:ilvl w:val="0"/>
          <w:numId w:val="199"/>
        </w:numPr>
      </w:pPr>
      <w:hyperlink r:id="rId421" w:history="1">
        <w:r w:rsidR="005A01D1" w:rsidRPr="005A01D1">
          <w:rPr>
            <w:rStyle w:val="Hyperlink"/>
          </w:rPr>
          <w:t xml:space="preserve"> “About stroke” by Centers for Disease Control and Prevention via cdc.gov, 2022. Retrieved December 21, 2022.</w:t>
        </w:r>
      </w:hyperlink>
      <w:r w:rsidR="005A01D1" w:rsidRPr="005A01D1">
        <w:t xml:space="preserve"> </w:t>
      </w:r>
    </w:p>
    <w:p w14:paraId="6BE94D3E" w14:textId="062068A5" w:rsidR="005A01D1" w:rsidRPr="005A01D1" w:rsidRDefault="00000000" w:rsidP="00926EB3">
      <w:pPr>
        <w:pStyle w:val="ListParagraph"/>
        <w:numPr>
          <w:ilvl w:val="0"/>
          <w:numId w:val="199"/>
        </w:numPr>
      </w:pPr>
      <w:hyperlink r:id="rId422" w:history="1">
        <w:r w:rsidR="005A01D1" w:rsidRPr="005A01D1">
          <w:rPr>
            <w:rStyle w:val="Hyperlink"/>
          </w:rPr>
          <w:t>“FASTSTATS - deaths and mortality” by Centers for Disease Control and Prevention via cdc.gov, 2022. Retrieved December 21, 2022.</w:t>
        </w:r>
      </w:hyperlink>
      <w:r w:rsidR="005A01D1" w:rsidRPr="005A01D1">
        <w:t xml:space="preserve"> </w:t>
      </w:r>
    </w:p>
    <w:p w14:paraId="4775C72D" w14:textId="77777777" w:rsidR="00882C15" w:rsidRDefault="00882C15" w:rsidP="00882C15"/>
    <w:p w14:paraId="4A751068" w14:textId="77777777" w:rsidR="00882C15" w:rsidRPr="00882C15" w:rsidRDefault="00882C15" w:rsidP="00882C15">
      <w:pPr>
        <w:rPr>
          <w:rFonts w:asciiTheme="majorHAnsi" w:eastAsiaTheme="majorEastAsia" w:hAnsiTheme="majorHAnsi" w:cstheme="majorBidi"/>
          <w:color w:val="2F5496" w:themeColor="accent1" w:themeShade="BF"/>
          <w:sz w:val="36"/>
        </w:rPr>
      </w:pPr>
      <w:r w:rsidRPr="00882C15">
        <w:rPr>
          <w:rFonts w:asciiTheme="majorHAnsi" w:eastAsiaTheme="majorEastAsia" w:hAnsiTheme="majorHAnsi" w:cstheme="majorBidi"/>
          <w:color w:val="2F5496" w:themeColor="accent1" w:themeShade="BF"/>
          <w:sz w:val="36"/>
        </w:rPr>
        <w:t>Chronic Lower Respiratory Diseases</w:t>
      </w:r>
    </w:p>
    <w:p w14:paraId="3AFF1A94" w14:textId="0163D4F6" w:rsidR="00882C15" w:rsidRPr="00882C15" w:rsidRDefault="00882C15" w:rsidP="00882C15">
      <w:r w:rsidRPr="00882C15">
        <w:t>Chronic lower respiratory disease (CLRD) refers to a group of lung diseases that make it hard to breathe and can worsen over time. CLRD includes many conditions, including emphysema and chronic bronchitis. Smoking tobacco is a key cause of CLRD as well as long-term exposure to air pollutants.</w:t>
      </w:r>
      <w:r w:rsidRPr="00882C15">
        <w:rPr>
          <w:b/>
          <w:bCs/>
        </w:rPr>
        <w:t xml:space="preserve"> </w:t>
      </w:r>
      <w:r w:rsidRPr="00882C15">
        <w:t>Adults who have been diagnosed with CLRD are more likely to have activity limitations, be unable to work, need the use of oxygen tanks, not engage in social activities, have increased confusion or memory loss, have more emergency room visits, and report worse health than when compared to those without CLRD</w:t>
      </w:r>
      <w:r>
        <w:t>.</w:t>
      </w:r>
      <w:r w:rsidRPr="00882C15">
        <w:t xml:space="preserve"> Additionally, people with CLRD are at increased risk for developing heart disease, lung disease, and other chronic conditions. CLRD has a large economic impact, with total costs reaching upwards of $50 billion each year, including nearly $30 billion for direct health costs. Although there is no cure for CLRD, early diagnosis and treatment plans, including smoking cessation support, are necessary to slow the progression of associated symptoms and reduce harmful flare-ups. </w:t>
      </w:r>
    </w:p>
    <w:p w14:paraId="7BA47383" w14:textId="77777777" w:rsidR="00882C15" w:rsidRDefault="00882C15" w:rsidP="00882C15"/>
    <w:p w14:paraId="1D3CD5C7" w14:textId="77777777" w:rsidR="00882C15" w:rsidRDefault="00882C15" w:rsidP="00882C15">
      <w:pPr>
        <w:pStyle w:val="Heading4"/>
      </w:pPr>
      <w:bookmarkStart w:id="954" w:name="_Toc154576569"/>
      <w:bookmarkStart w:id="955" w:name="_Toc162267645"/>
      <w:r w:rsidRPr="00A67916">
        <w:lastRenderedPageBreak/>
        <w:t>Figure 10.</w:t>
      </w:r>
      <w:r>
        <w:t>7</w:t>
      </w:r>
      <w:r w:rsidRPr="00A67916">
        <w:t xml:space="preserve">: </w:t>
      </w:r>
      <w:r>
        <w:t>CLRD Deaths, by Age Group.</w:t>
      </w:r>
      <w:bookmarkEnd w:id="954"/>
      <w:bookmarkEnd w:id="955"/>
    </w:p>
    <w:p w14:paraId="41E1EC17" w14:textId="77777777" w:rsidR="00882C15" w:rsidRDefault="00882C15" w:rsidP="00882C15">
      <w:pPr>
        <w:pStyle w:val="Heading5"/>
      </w:pPr>
      <w:r>
        <w:t>Rate per 100,000 population.</w:t>
      </w:r>
    </w:p>
    <w:tbl>
      <w:tblPr>
        <w:tblStyle w:val="TableGrid"/>
        <w:tblW w:w="0" w:type="auto"/>
        <w:tblLook w:val="04A0" w:firstRow="1" w:lastRow="0" w:firstColumn="1" w:lastColumn="0" w:noHBand="0" w:noVBand="1"/>
      </w:tblPr>
      <w:tblGrid>
        <w:gridCol w:w="4675"/>
        <w:gridCol w:w="4675"/>
      </w:tblGrid>
      <w:tr w:rsidR="00882C15" w14:paraId="7669E3D7" w14:textId="77777777" w:rsidTr="001B41BD">
        <w:tc>
          <w:tcPr>
            <w:tcW w:w="4675" w:type="dxa"/>
            <w:vAlign w:val="bottom"/>
          </w:tcPr>
          <w:p w14:paraId="132AFC0F" w14:textId="77777777" w:rsidR="00882C15" w:rsidRPr="00A67916" w:rsidRDefault="00882C15" w:rsidP="001B41BD">
            <w:r w:rsidRPr="00A67916">
              <w:t>Age Group</w:t>
            </w:r>
          </w:p>
        </w:tc>
        <w:tc>
          <w:tcPr>
            <w:tcW w:w="4675" w:type="dxa"/>
            <w:vAlign w:val="bottom"/>
          </w:tcPr>
          <w:p w14:paraId="73148CC9" w14:textId="77777777" w:rsidR="00882C15" w:rsidRPr="00A67916" w:rsidRDefault="00882C15" w:rsidP="001B41BD">
            <w:r>
              <w:t>Rate</w:t>
            </w:r>
          </w:p>
        </w:tc>
      </w:tr>
      <w:tr w:rsidR="00882C15" w14:paraId="17C63637" w14:textId="77777777" w:rsidTr="001B41BD">
        <w:tc>
          <w:tcPr>
            <w:tcW w:w="4675" w:type="dxa"/>
            <w:vAlign w:val="bottom"/>
          </w:tcPr>
          <w:p w14:paraId="5756B3CD" w14:textId="77777777" w:rsidR="00882C15" w:rsidRPr="00A67916" w:rsidRDefault="00882C15" w:rsidP="001B41BD">
            <w:r w:rsidRPr="00A67916">
              <w:t>&lt; 35</w:t>
            </w:r>
          </w:p>
        </w:tc>
        <w:tc>
          <w:tcPr>
            <w:tcW w:w="4675" w:type="dxa"/>
            <w:vAlign w:val="bottom"/>
          </w:tcPr>
          <w:p w14:paraId="343CB3B0" w14:textId="77777777" w:rsidR="00882C15" w:rsidRPr="00A67916" w:rsidRDefault="00882C15" w:rsidP="001B41BD">
            <w:r w:rsidRPr="00A67916">
              <w:t>0.5</w:t>
            </w:r>
          </w:p>
        </w:tc>
      </w:tr>
      <w:tr w:rsidR="00882C15" w14:paraId="16A4CAE6" w14:textId="77777777" w:rsidTr="001B41BD">
        <w:tc>
          <w:tcPr>
            <w:tcW w:w="4675" w:type="dxa"/>
            <w:vAlign w:val="bottom"/>
          </w:tcPr>
          <w:p w14:paraId="2A1A9634" w14:textId="77777777" w:rsidR="00882C15" w:rsidRPr="00A67916" w:rsidRDefault="00882C15" w:rsidP="001B41BD">
            <w:r w:rsidRPr="00A67916">
              <w:t>35 - 44</w:t>
            </w:r>
          </w:p>
        </w:tc>
        <w:tc>
          <w:tcPr>
            <w:tcW w:w="4675" w:type="dxa"/>
            <w:vAlign w:val="bottom"/>
          </w:tcPr>
          <w:p w14:paraId="59010189" w14:textId="77777777" w:rsidR="00882C15" w:rsidRPr="00A67916" w:rsidRDefault="00882C15" w:rsidP="001B41BD">
            <w:r w:rsidRPr="00A67916">
              <w:t>3.4</w:t>
            </w:r>
          </w:p>
        </w:tc>
      </w:tr>
      <w:tr w:rsidR="00882C15" w14:paraId="03C635E8" w14:textId="77777777" w:rsidTr="001B41BD">
        <w:tc>
          <w:tcPr>
            <w:tcW w:w="4675" w:type="dxa"/>
            <w:vAlign w:val="bottom"/>
          </w:tcPr>
          <w:p w14:paraId="4B08A322" w14:textId="77777777" w:rsidR="00882C15" w:rsidRPr="00A67916" w:rsidRDefault="00882C15" w:rsidP="001B41BD">
            <w:r w:rsidRPr="00A67916">
              <w:t>45 - 54</w:t>
            </w:r>
          </w:p>
        </w:tc>
        <w:tc>
          <w:tcPr>
            <w:tcW w:w="4675" w:type="dxa"/>
            <w:vAlign w:val="bottom"/>
          </w:tcPr>
          <w:p w14:paraId="2567376E" w14:textId="77777777" w:rsidR="00882C15" w:rsidRPr="00A67916" w:rsidRDefault="00882C15" w:rsidP="001B41BD">
            <w:r w:rsidRPr="00A67916">
              <w:t>11.4</w:t>
            </w:r>
          </w:p>
        </w:tc>
      </w:tr>
      <w:tr w:rsidR="00882C15" w14:paraId="6D1F7ECF" w14:textId="77777777" w:rsidTr="001B41BD">
        <w:tc>
          <w:tcPr>
            <w:tcW w:w="4675" w:type="dxa"/>
            <w:vAlign w:val="bottom"/>
          </w:tcPr>
          <w:p w14:paraId="660EA892" w14:textId="77777777" w:rsidR="00882C15" w:rsidRPr="00A67916" w:rsidRDefault="00882C15" w:rsidP="001B41BD">
            <w:r w:rsidRPr="00A67916">
              <w:t>55 - 64</w:t>
            </w:r>
          </w:p>
        </w:tc>
        <w:tc>
          <w:tcPr>
            <w:tcW w:w="4675" w:type="dxa"/>
            <w:vAlign w:val="bottom"/>
          </w:tcPr>
          <w:p w14:paraId="5B65D815" w14:textId="77777777" w:rsidR="00882C15" w:rsidRPr="00A67916" w:rsidRDefault="00882C15" w:rsidP="001B41BD">
            <w:r w:rsidRPr="00A67916">
              <w:t>60.6</w:t>
            </w:r>
          </w:p>
        </w:tc>
      </w:tr>
      <w:tr w:rsidR="00882C15" w14:paraId="683F04E3" w14:textId="77777777" w:rsidTr="001B41BD">
        <w:tc>
          <w:tcPr>
            <w:tcW w:w="4675" w:type="dxa"/>
            <w:vAlign w:val="bottom"/>
          </w:tcPr>
          <w:p w14:paraId="6C50BB97" w14:textId="77777777" w:rsidR="00882C15" w:rsidRPr="00A67916" w:rsidRDefault="00882C15" w:rsidP="001B41BD">
            <w:r w:rsidRPr="00A67916">
              <w:t>65 - 74</w:t>
            </w:r>
          </w:p>
        </w:tc>
        <w:tc>
          <w:tcPr>
            <w:tcW w:w="4675" w:type="dxa"/>
            <w:vAlign w:val="bottom"/>
          </w:tcPr>
          <w:p w14:paraId="70397B60" w14:textId="77777777" w:rsidR="00882C15" w:rsidRPr="00A67916" w:rsidRDefault="00882C15" w:rsidP="001B41BD">
            <w:r w:rsidRPr="00A67916">
              <w:t>134.1</w:t>
            </w:r>
          </w:p>
        </w:tc>
      </w:tr>
      <w:tr w:rsidR="00882C15" w14:paraId="25D37C32" w14:textId="77777777" w:rsidTr="001B41BD">
        <w:tc>
          <w:tcPr>
            <w:tcW w:w="4675" w:type="dxa"/>
            <w:vAlign w:val="bottom"/>
          </w:tcPr>
          <w:p w14:paraId="54AB71C6" w14:textId="77777777" w:rsidR="00882C15" w:rsidRPr="00A67916" w:rsidRDefault="00882C15" w:rsidP="001B41BD">
            <w:r w:rsidRPr="00A67916">
              <w:t>75 - 84</w:t>
            </w:r>
          </w:p>
        </w:tc>
        <w:tc>
          <w:tcPr>
            <w:tcW w:w="4675" w:type="dxa"/>
            <w:vAlign w:val="bottom"/>
          </w:tcPr>
          <w:p w14:paraId="503895B1" w14:textId="77777777" w:rsidR="00882C15" w:rsidRPr="00A67916" w:rsidRDefault="00882C15" w:rsidP="001B41BD">
            <w:r w:rsidRPr="00A67916">
              <w:t>341.3</w:t>
            </w:r>
          </w:p>
        </w:tc>
      </w:tr>
      <w:tr w:rsidR="00882C15" w14:paraId="173233EC" w14:textId="77777777" w:rsidTr="001B41BD">
        <w:tc>
          <w:tcPr>
            <w:tcW w:w="4675" w:type="dxa"/>
            <w:vAlign w:val="bottom"/>
          </w:tcPr>
          <w:p w14:paraId="3D505C49" w14:textId="77777777" w:rsidR="00882C15" w:rsidRPr="00A67916" w:rsidRDefault="00882C15" w:rsidP="001B41BD">
            <w:r w:rsidRPr="00A67916">
              <w:t>85+</w:t>
            </w:r>
          </w:p>
        </w:tc>
        <w:tc>
          <w:tcPr>
            <w:tcW w:w="4675" w:type="dxa"/>
            <w:vAlign w:val="bottom"/>
          </w:tcPr>
          <w:p w14:paraId="4EF1395B" w14:textId="77777777" w:rsidR="00882C15" w:rsidRPr="00A67916" w:rsidRDefault="00882C15" w:rsidP="001B41BD">
            <w:r w:rsidRPr="00A67916">
              <w:t>692.0</w:t>
            </w:r>
          </w:p>
        </w:tc>
      </w:tr>
    </w:tbl>
    <w:p w14:paraId="7BFEB2BB" w14:textId="77777777" w:rsidR="00882C15" w:rsidRPr="00A67916" w:rsidRDefault="00882C15" w:rsidP="00882C15">
      <w:r w:rsidRPr="00A67916">
        <w:t xml:space="preserve">Source: SC DHEC Vital Statistics, 2021. </w:t>
      </w:r>
    </w:p>
    <w:p w14:paraId="751BB381" w14:textId="77777777" w:rsidR="00882C15" w:rsidRDefault="00882C15" w:rsidP="00882C15">
      <w:r w:rsidRPr="00A67916">
        <w:t>Note: Population for year 2021 based on single-race estimates.</w:t>
      </w:r>
    </w:p>
    <w:p w14:paraId="4CFB9E0B" w14:textId="77777777" w:rsidR="00882C15" w:rsidRDefault="00882C15" w:rsidP="00882C15">
      <w:pPr>
        <w:pStyle w:val="Heading4"/>
      </w:pPr>
      <w:bookmarkStart w:id="956" w:name="_Toc154576570"/>
    </w:p>
    <w:p w14:paraId="42C25A91" w14:textId="78AAD6B4" w:rsidR="00882C15" w:rsidRDefault="00882C15" w:rsidP="00882C15">
      <w:pPr>
        <w:pStyle w:val="Heading4"/>
      </w:pPr>
      <w:bookmarkStart w:id="957" w:name="_Toc162267646"/>
      <w:r w:rsidRPr="00A67916">
        <w:t>Figure 10.</w:t>
      </w:r>
      <w:r>
        <w:t>8</w:t>
      </w:r>
      <w:r w:rsidRPr="00A67916">
        <w:t xml:space="preserve">: </w:t>
      </w:r>
      <w:r>
        <w:t>CLRD Deaths, by Race/Ethnicity and Sex.</w:t>
      </w:r>
      <w:bookmarkEnd w:id="956"/>
      <w:bookmarkEnd w:id="957"/>
    </w:p>
    <w:p w14:paraId="35194C83" w14:textId="77777777" w:rsidR="00882C15" w:rsidRDefault="00882C15" w:rsidP="00882C15">
      <w:pPr>
        <w:pStyle w:val="Heading5"/>
      </w:pPr>
      <w:r>
        <w:t>Rate per 100,000 population.</w:t>
      </w:r>
    </w:p>
    <w:tbl>
      <w:tblPr>
        <w:tblStyle w:val="TableGrid"/>
        <w:tblW w:w="0" w:type="auto"/>
        <w:tblLook w:val="04A0" w:firstRow="1" w:lastRow="0" w:firstColumn="1" w:lastColumn="0" w:noHBand="0" w:noVBand="1"/>
      </w:tblPr>
      <w:tblGrid>
        <w:gridCol w:w="3116"/>
        <w:gridCol w:w="3117"/>
        <w:gridCol w:w="3117"/>
      </w:tblGrid>
      <w:tr w:rsidR="00882C15" w14:paraId="2A1949FC" w14:textId="77777777" w:rsidTr="001B41BD">
        <w:tc>
          <w:tcPr>
            <w:tcW w:w="3116" w:type="dxa"/>
            <w:vAlign w:val="bottom"/>
          </w:tcPr>
          <w:p w14:paraId="2698FD48" w14:textId="77777777" w:rsidR="00882C15" w:rsidRPr="00A67916" w:rsidRDefault="00882C15" w:rsidP="001B41BD">
            <w:r>
              <w:t>Race/Ethnicity</w:t>
            </w:r>
          </w:p>
        </w:tc>
        <w:tc>
          <w:tcPr>
            <w:tcW w:w="3117" w:type="dxa"/>
            <w:vAlign w:val="bottom"/>
          </w:tcPr>
          <w:p w14:paraId="563975C4" w14:textId="77777777" w:rsidR="00882C15" w:rsidRPr="00A67916" w:rsidRDefault="00882C15" w:rsidP="001B41BD">
            <w:r w:rsidRPr="00A67916">
              <w:t>Male</w:t>
            </w:r>
          </w:p>
        </w:tc>
        <w:tc>
          <w:tcPr>
            <w:tcW w:w="3117" w:type="dxa"/>
            <w:vAlign w:val="bottom"/>
          </w:tcPr>
          <w:p w14:paraId="7567CC66" w14:textId="77777777" w:rsidR="00882C15" w:rsidRPr="00A67916" w:rsidRDefault="00882C15" w:rsidP="001B41BD">
            <w:r w:rsidRPr="00A67916">
              <w:t>Female</w:t>
            </w:r>
          </w:p>
        </w:tc>
      </w:tr>
      <w:tr w:rsidR="00882C15" w14:paraId="46A79D78" w14:textId="77777777" w:rsidTr="001B41BD">
        <w:tc>
          <w:tcPr>
            <w:tcW w:w="3116" w:type="dxa"/>
            <w:vAlign w:val="bottom"/>
          </w:tcPr>
          <w:p w14:paraId="273815CD" w14:textId="77777777" w:rsidR="00882C15" w:rsidRPr="00A67916" w:rsidRDefault="00882C15" w:rsidP="001B41BD">
            <w:r w:rsidRPr="00A67916">
              <w:t>Non-Hispanic White</w:t>
            </w:r>
          </w:p>
        </w:tc>
        <w:tc>
          <w:tcPr>
            <w:tcW w:w="3117" w:type="dxa"/>
            <w:vAlign w:val="bottom"/>
          </w:tcPr>
          <w:p w14:paraId="2DA9175D" w14:textId="77777777" w:rsidR="00882C15" w:rsidRPr="00A67916" w:rsidRDefault="00882C15" w:rsidP="001B41BD">
            <w:r w:rsidRPr="00A67916">
              <w:t>50.2</w:t>
            </w:r>
          </w:p>
        </w:tc>
        <w:tc>
          <w:tcPr>
            <w:tcW w:w="3117" w:type="dxa"/>
            <w:vAlign w:val="bottom"/>
          </w:tcPr>
          <w:p w14:paraId="4AF225F9" w14:textId="77777777" w:rsidR="00882C15" w:rsidRPr="00A67916" w:rsidRDefault="00882C15" w:rsidP="001B41BD">
            <w:r w:rsidRPr="00A67916">
              <w:t>44.6</w:t>
            </w:r>
          </w:p>
        </w:tc>
      </w:tr>
      <w:tr w:rsidR="00882C15" w14:paraId="2E5E1172" w14:textId="77777777" w:rsidTr="001B41BD">
        <w:tc>
          <w:tcPr>
            <w:tcW w:w="3116" w:type="dxa"/>
            <w:vAlign w:val="bottom"/>
          </w:tcPr>
          <w:p w14:paraId="2750E088" w14:textId="77777777" w:rsidR="00882C15" w:rsidRPr="00A67916" w:rsidRDefault="00882C15" w:rsidP="001B41BD">
            <w:r w:rsidRPr="00A67916">
              <w:t>Non-Hispanic Black</w:t>
            </w:r>
          </w:p>
        </w:tc>
        <w:tc>
          <w:tcPr>
            <w:tcW w:w="3117" w:type="dxa"/>
            <w:vAlign w:val="bottom"/>
          </w:tcPr>
          <w:p w14:paraId="64C2965F" w14:textId="77777777" w:rsidR="00882C15" w:rsidRPr="00A67916" w:rsidRDefault="00882C15" w:rsidP="001B41BD">
            <w:r w:rsidRPr="00A67916">
              <w:t>42.7</w:t>
            </w:r>
          </w:p>
        </w:tc>
        <w:tc>
          <w:tcPr>
            <w:tcW w:w="3117" w:type="dxa"/>
            <w:vAlign w:val="bottom"/>
          </w:tcPr>
          <w:p w14:paraId="180FB9F8" w14:textId="77777777" w:rsidR="00882C15" w:rsidRPr="00A67916" w:rsidRDefault="00882C15" w:rsidP="001B41BD">
            <w:r w:rsidRPr="00A67916">
              <w:t>24.5</w:t>
            </w:r>
          </w:p>
        </w:tc>
      </w:tr>
      <w:tr w:rsidR="00882C15" w14:paraId="3C6D976F" w14:textId="77777777" w:rsidTr="001B41BD">
        <w:tc>
          <w:tcPr>
            <w:tcW w:w="3116" w:type="dxa"/>
            <w:vAlign w:val="bottom"/>
          </w:tcPr>
          <w:p w14:paraId="69D01EA6" w14:textId="77777777" w:rsidR="00882C15" w:rsidRPr="00A67916" w:rsidRDefault="00882C15" w:rsidP="001B41BD">
            <w:r w:rsidRPr="00A67916">
              <w:t>Hispanic</w:t>
            </w:r>
          </w:p>
        </w:tc>
        <w:tc>
          <w:tcPr>
            <w:tcW w:w="3117" w:type="dxa"/>
            <w:vAlign w:val="bottom"/>
          </w:tcPr>
          <w:p w14:paraId="7034B725" w14:textId="77777777" w:rsidR="00882C15" w:rsidRPr="00A67916" w:rsidRDefault="00882C15" w:rsidP="001B41BD">
            <w:r w:rsidRPr="00A67916">
              <w:t>11.4</w:t>
            </w:r>
          </w:p>
        </w:tc>
        <w:tc>
          <w:tcPr>
            <w:tcW w:w="3117" w:type="dxa"/>
            <w:vAlign w:val="bottom"/>
          </w:tcPr>
          <w:p w14:paraId="3162F569" w14:textId="77777777" w:rsidR="00882C15" w:rsidRPr="00A67916" w:rsidRDefault="00882C15" w:rsidP="001B41BD">
            <w:r w:rsidRPr="00A67916">
              <w:t>13.0</w:t>
            </w:r>
          </w:p>
        </w:tc>
      </w:tr>
    </w:tbl>
    <w:p w14:paraId="53575271" w14:textId="77777777" w:rsidR="00882C15" w:rsidRPr="00A67916" w:rsidRDefault="00882C15" w:rsidP="00882C15">
      <w:r w:rsidRPr="00A67916">
        <w:t xml:space="preserve">Source: SC DHEC Vital Statistics, 2021. </w:t>
      </w:r>
    </w:p>
    <w:p w14:paraId="5802A013" w14:textId="4C37D14F" w:rsidR="00882C15" w:rsidRDefault="00882C15" w:rsidP="00882C15">
      <w:r w:rsidRPr="00A67916">
        <w:t xml:space="preserve">Notes: Age-adjusted, population for year 2021 based on single-race estimates. </w:t>
      </w:r>
    </w:p>
    <w:p w14:paraId="207B846B" w14:textId="77777777" w:rsidR="00882C15" w:rsidRDefault="00882C15" w:rsidP="00882C15"/>
    <w:p w14:paraId="592AEC6D" w14:textId="77777777" w:rsidR="00882C15" w:rsidRPr="00882C15" w:rsidRDefault="00882C15" w:rsidP="00882C15">
      <w:pPr>
        <w:pStyle w:val="Heading4"/>
      </w:pPr>
      <w:bookmarkStart w:id="958" w:name="_Toc162267647"/>
      <w:r w:rsidRPr="00882C15">
        <w:t>Data Interpretations:</w:t>
      </w:r>
      <w:bookmarkEnd w:id="958"/>
      <w:r w:rsidRPr="00882C15">
        <w:t xml:space="preserve"> </w:t>
      </w:r>
    </w:p>
    <w:p w14:paraId="2D1C444B" w14:textId="6EAC0AE5" w:rsidR="00882C15" w:rsidRPr="00882C15" w:rsidRDefault="00882C15" w:rsidP="00882C15">
      <w:r w:rsidRPr="00882C15">
        <w:t>In 2021, 2,875 South Carolinians died from CLRD. From 2012-2021 there has been an 8.6% decrease in the rate of people dying from CLRD. The rate of dying from CLRD increases with age, with those aged 85 and older seeing the highest rates of death (</w:t>
      </w:r>
      <w:r w:rsidRPr="00882C15">
        <w:rPr>
          <w:b/>
          <w:bCs/>
        </w:rPr>
        <w:t>Figure 10.7</w:t>
      </w:r>
      <w:r w:rsidRPr="00882C15">
        <w:t>). Adults aged 85 and older see a rate of death due to CLRD of 692 deaths per 100,000, 5.2 times higher than the rate seen in those aged 65 - 74 and 1,384 times the rate seen in those aged less than 35 years. Non-Hispanic Whites see the highest rates of CLRD, regardless of sex (</w:t>
      </w:r>
      <w:r w:rsidRPr="00882C15">
        <w:rPr>
          <w:b/>
          <w:bCs/>
        </w:rPr>
        <w:t>Figure 10.8</w:t>
      </w:r>
      <w:r w:rsidRPr="00882C15">
        <w:t xml:space="preserve">). Non-Hispanic White and non-Hispanic Black males see higher rates of dying from CLRD whereas Hispanic females see higher rates when compared to Hispanic males. In SC there is a range in CLRD deaths from a low of 19.9 deaths per 100,000 population in Beaufort County to a high of 85.2 deaths per 100,000 population in Chester County. Higher rates of CLRD deaths are seen in rural counties when compared to urban counties. </w:t>
      </w:r>
    </w:p>
    <w:p w14:paraId="4EB0516D" w14:textId="77777777" w:rsidR="00882C15" w:rsidRDefault="00882C15" w:rsidP="00882C15"/>
    <w:p w14:paraId="0C27BC6E" w14:textId="65FD5E4C" w:rsidR="00882C15" w:rsidRPr="00882C15" w:rsidRDefault="00882C15" w:rsidP="00882C15">
      <w:pPr>
        <w:pStyle w:val="Heading5"/>
      </w:pPr>
      <w:r w:rsidRPr="00882C15">
        <w:t>Key Takeaways:</w:t>
      </w:r>
    </w:p>
    <w:p w14:paraId="76E2778C" w14:textId="77777777" w:rsidR="00882C15" w:rsidRPr="00882C15" w:rsidRDefault="00882C15" w:rsidP="00926EB3">
      <w:pPr>
        <w:pStyle w:val="ListParagraph"/>
        <w:numPr>
          <w:ilvl w:val="0"/>
          <w:numId w:val="228"/>
        </w:numPr>
      </w:pPr>
      <w:r w:rsidRPr="00882C15">
        <w:t>Racial disparities are present in the rates of CLRD deaths, with non-Hispanic Whites seeing the highest rates of death.</w:t>
      </w:r>
    </w:p>
    <w:p w14:paraId="555C8A40" w14:textId="77777777" w:rsidR="00882C15" w:rsidRDefault="00882C15" w:rsidP="00882C15"/>
    <w:p w14:paraId="6EF0608C" w14:textId="1AA6A65D" w:rsidR="00882C15" w:rsidRPr="00474B85" w:rsidRDefault="00882C15" w:rsidP="00882C15">
      <w:pPr>
        <w:pStyle w:val="Heading4"/>
        <w:rPr>
          <w:rFonts w:asciiTheme="minorHAnsi" w:hAnsiTheme="minorHAnsi" w:cstheme="minorHAnsi"/>
          <w:color w:val="000000" w:themeColor="text1"/>
        </w:rPr>
      </w:pPr>
      <w:bookmarkStart w:id="959" w:name="_Toc162267648"/>
      <w:r w:rsidRPr="00474B85">
        <w:rPr>
          <w:rFonts w:asciiTheme="minorHAnsi" w:hAnsiTheme="minorHAnsi" w:cstheme="minorHAnsi"/>
          <w:color w:val="000000" w:themeColor="text1"/>
        </w:rPr>
        <w:t xml:space="preserve">References </w:t>
      </w:r>
      <w:r>
        <w:rPr>
          <w:rFonts w:asciiTheme="minorHAnsi" w:hAnsiTheme="minorHAnsi" w:cstheme="minorHAnsi"/>
          <w:color w:val="000000" w:themeColor="text1"/>
        </w:rPr>
        <w:t>10.4</w:t>
      </w:r>
      <w:bookmarkEnd w:id="959"/>
      <w:r>
        <w:rPr>
          <w:rFonts w:asciiTheme="minorHAnsi" w:hAnsiTheme="minorHAnsi" w:cstheme="minorHAnsi"/>
          <w:color w:val="000000" w:themeColor="text1"/>
        </w:rPr>
        <w:t xml:space="preserve"> </w:t>
      </w:r>
    </w:p>
    <w:p w14:paraId="16B4D3B9" w14:textId="77777777" w:rsidR="00882C15" w:rsidRDefault="00882C15" w:rsidP="00882C15">
      <w:r w:rsidRPr="00474B85">
        <w:t>Statistics in the preceding section were referenced from the following reports:</w:t>
      </w:r>
    </w:p>
    <w:p w14:paraId="38FF2DAB" w14:textId="48D01FF8" w:rsidR="005A01D1" w:rsidRPr="005A01D1" w:rsidRDefault="00000000" w:rsidP="00926EB3">
      <w:pPr>
        <w:pStyle w:val="ListParagraph"/>
        <w:numPr>
          <w:ilvl w:val="0"/>
          <w:numId w:val="199"/>
        </w:numPr>
        <w:rPr>
          <w:u w:val="thick"/>
        </w:rPr>
      </w:pPr>
      <w:hyperlink r:id="rId423" w:history="1">
        <w:r w:rsidR="005A01D1" w:rsidRPr="005A01D1">
          <w:rPr>
            <w:rStyle w:val="Hyperlink"/>
          </w:rPr>
          <w:t>“COPD | chronic obstructive pulmonary disease” by U.S. National Library of Medicine. Published by MedlinePlus, 2021. Retrieved December 21, 2022.</w:t>
        </w:r>
      </w:hyperlink>
    </w:p>
    <w:p w14:paraId="3087CCAB" w14:textId="41345CA9" w:rsidR="005A01D1" w:rsidRPr="00D71D29" w:rsidRDefault="00000000" w:rsidP="00926EB3">
      <w:pPr>
        <w:pStyle w:val="ListParagraph"/>
        <w:numPr>
          <w:ilvl w:val="0"/>
          <w:numId w:val="199"/>
        </w:numPr>
      </w:pPr>
      <w:hyperlink r:id="rId424" w:history="1">
        <w:r w:rsidR="005A01D1" w:rsidRPr="00D71D29">
          <w:rPr>
            <w:rStyle w:val="Hyperlink"/>
          </w:rPr>
          <w:t xml:space="preserve">“Basics about COPD” by </w:t>
        </w:r>
        <w:r w:rsidR="005A01D1" w:rsidRPr="005A01D1">
          <w:rPr>
            <w:rStyle w:val="Hyperlink"/>
          </w:rPr>
          <w:t>Centers for Disease Control and Prevention</w:t>
        </w:r>
        <w:r w:rsidR="005A01D1" w:rsidRPr="00D71D29">
          <w:rPr>
            <w:rStyle w:val="Hyperlink"/>
          </w:rPr>
          <w:t xml:space="preserve"> via cdc.gov, </w:t>
        </w:r>
        <w:r w:rsidR="005A01D1" w:rsidRPr="005A01D1">
          <w:rPr>
            <w:rStyle w:val="Hyperlink"/>
          </w:rPr>
          <w:t>2021</w:t>
        </w:r>
        <w:r w:rsidR="005A01D1" w:rsidRPr="00D71D29">
          <w:rPr>
            <w:rStyle w:val="Hyperlink"/>
          </w:rPr>
          <w:t>. Retrieved December 21, 2022</w:t>
        </w:r>
        <w:r w:rsidR="00D71D29" w:rsidRPr="00D71D29">
          <w:rPr>
            <w:rStyle w:val="Hyperlink"/>
          </w:rPr>
          <w:t>.</w:t>
        </w:r>
      </w:hyperlink>
      <w:r w:rsidR="005A01D1" w:rsidRPr="00D71D29">
        <w:t xml:space="preserve"> </w:t>
      </w:r>
    </w:p>
    <w:p w14:paraId="64C383E7" w14:textId="2B630531" w:rsidR="005A01D1" w:rsidRPr="005A01D1" w:rsidRDefault="00000000" w:rsidP="00926EB3">
      <w:pPr>
        <w:pStyle w:val="ListParagraph"/>
        <w:numPr>
          <w:ilvl w:val="0"/>
          <w:numId w:val="199"/>
        </w:numPr>
      </w:pPr>
      <w:hyperlink r:id="rId425" w:history="1">
        <w:r w:rsidR="00D71D29" w:rsidRPr="00D71D29">
          <w:rPr>
            <w:rStyle w:val="Hyperlink"/>
          </w:rPr>
          <w:t>“</w:t>
        </w:r>
        <w:r w:rsidR="005A01D1" w:rsidRPr="00D71D29">
          <w:rPr>
            <w:rStyle w:val="Hyperlink"/>
          </w:rPr>
          <w:t>COPD</w:t>
        </w:r>
        <w:r w:rsidR="00D71D29" w:rsidRPr="00D71D29">
          <w:rPr>
            <w:rStyle w:val="Hyperlink"/>
          </w:rPr>
          <w:t>” by Mayo Foundation for Medical Education and Research</w:t>
        </w:r>
        <w:r w:rsidR="005A01D1" w:rsidRPr="00D71D29">
          <w:rPr>
            <w:rStyle w:val="Hyperlink"/>
          </w:rPr>
          <w:t xml:space="preserve">. </w:t>
        </w:r>
        <w:r w:rsidR="00D71D29" w:rsidRPr="00D71D29">
          <w:rPr>
            <w:rStyle w:val="Hyperlink"/>
          </w:rPr>
          <w:t xml:space="preserve">Published by the </w:t>
        </w:r>
        <w:r w:rsidR="005A01D1" w:rsidRPr="00D71D29">
          <w:rPr>
            <w:rStyle w:val="Hyperlink"/>
          </w:rPr>
          <w:t>Mayo Clinic</w:t>
        </w:r>
        <w:r w:rsidR="00D71D29" w:rsidRPr="00D71D29">
          <w:rPr>
            <w:rStyle w:val="Hyperlink"/>
          </w:rPr>
          <w:t>, 2020</w:t>
        </w:r>
        <w:r w:rsidR="005A01D1" w:rsidRPr="00D71D29">
          <w:rPr>
            <w:rStyle w:val="Hyperlink"/>
          </w:rPr>
          <w:t>. Retrieved December 21, 2022</w:t>
        </w:r>
        <w:r w:rsidR="00D71D29" w:rsidRPr="00D71D29">
          <w:rPr>
            <w:rStyle w:val="Hyperlink"/>
          </w:rPr>
          <w:t>.</w:t>
        </w:r>
      </w:hyperlink>
      <w:r w:rsidR="005A01D1" w:rsidRPr="005A01D1">
        <w:t xml:space="preserve"> </w:t>
      </w:r>
    </w:p>
    <w:p w14:paraId="3BA80F35" w14:textId="49026457" w:rsidR="005A01D1" w:rsidRPr="005A01D1" w:rsidRDefault="00000000" w:rsidP="00926EB3">
      <w:pPr>
        <w:pStyle w:val="ListParagraph"/>
        <w:numPr>
          <w:ilvl w:val="0"/>
          <w:numId w:val="199"/>
        </w:numPr>
      </w:pPr>
      <w:hyperlink r:id="rId426" w:history="1">
        <w:r w:rsidR="00D71D29" w:rsidRPr="00D71D29">
          <w:rPr>
            <w:rStyle w:val="Hyperlink"/>
          </w:rPr>
          <w:t>“</w:t>
        </w:r>
        <w:r w:rsidR="005A01D1" w:rsidRPr="00D71D29">
          <w:rPr>
            <w:rStyle w:val="Hyperlink"/>
          </w:rPr>
          <w:t xml:space="preserve">COPD trends brief </w:t>
        </w:r>
        <w:r w:rsidR="00D71D29" w:rsidRPr="00D71D29">
          <w:rPr>
            <w:rStyle w:val="Hyperlink"/>
          </w:rPr>
          <w:t>–</w:t>
        </w:r>
        <w:r w:rsidR="005A01D1" w:rsidRPr="00D71D29">
          <w:rPr>
            <w:rStyle w:val="Hyperlink"/>
          </w:rPr>
          <w:t xml:space="preserve"> burden</w:t>
        </w:r>
        <w:r w:rsidR="00D71D29" w:rsidRPr="00D71D29">
          <w:rPr>
            <w:rStyle w:val="Hyperlink"/>
          </w:rPr>
          <w:t>” by the American Lung Association via lung.org</w:t>
        </w:r>
        <w:r w:rsidR="005A01D1" w:rsidRPr="00D71D29">
          <w:rPr>
            <w:rStyle w:val="Hyperlink"/>
          </w:rPr>
          <w:t>. Retrieved December 21, 2022</w:t>
        </w:r>
        <w:r w:rsidR="00D71D29" w:rsidRPr="00D71D29">
          <w:rPr>
            <w:rStyle w:val="Hyperlink"/>
          </w:rPr>
          <w:t>.</w:t>
        </w:r>
      </w:hyperlink>
      <w:r w:rsidR="005A01D1" w:rsidRPr="005A01D1">
        <w:rPr>
          <w:u w:val="thick"/>
        </w:rPr>
        <w:t xml:space="preserve"> </w:t>
      </w:r>
    </w:p>
    <w:p w14:paraId="395C3960" w14:textId="76347CD3" w:rsidR="005A01D1" w:rsidRPr="005A01D1" w:rsidRDefault="00000000" w:rsidP="00926EB3">
      <w:pPr>
        <w:pStyle w:val="ListParagraph"/>
        <w:numPr>
          <w:ilvl w:val="0"/>
          <w:numId w:val="199"/>
        </w:numPr>
      </w:pPr>
      <w:hyperlink r:id="rId427" w:history="1">
        <w:r w:rsidR="00D71D29" w:rsidRPr="00D71D29">
          <w:rPr>
            <w:rStyle w:val="Hyperlink"/>
          </w:rPr>
          <w:t>“</w:t>
        </w:r>
        <w:r w:rsidR="005A01D1" w:rsidRPr="00D71D29">
          <w:rPr>
            <w:rStyle w:val="Hyperlink"/>
            <w:i/>
            <w:iCs/>
          </w:rPr>
          <w:t>Chronic obstructive pulmonary disease (COPD)</w:t>
        </w:r>
        <w:r w:rsidR="00D71D29" w:rsidRPr="00D71D29">
          <w:rPr>
            <w:rStyle w:val="Hyperlink"/>
            <w:i/>
            <w:iCs/>
          </w:rPr>
          <w:t>”</w:t>
        </w:r>
        <w:r w:rsidR="00D71D29" w:rsidRPr="00D71D29">
          <w:rPr>
            <w:rStyle w:val="Hyperlink"/>
          </w:rPr>
          <w:t xml:space="preserve"> by the </w:t>
        </w:r>
        <w:r w:rsidR="005A01D1" w:rsidRPr="00D71D29">
          <w:rPr>
            <w:rStyle w:val="Hyperlink"/>
          </w:rPr>
          <w:t>World Health Organization</w:t>
        </w:r>
        <w:r w:rsidR="00D71D29" w:rsidRPr="00D71D29">
          <w:rPr>
            <w:rStyle w:val="Hyperlink"/>
          </w:rPr>
          <w:t>, 2022</w:t>
        </w:r>
        <w:r w:rsidR="005A01D1" w:rsidRPr="00D71D29">
          <w:rPr>
            <w:rStyle w:val="Hyperlink"/>
          </w:rPr>
          <w:t>. Retrieved December 21, 2022</w:t>
        </w:r>
        <w:r w:rsidR="00D71D29" w:rsidRPr="00D71D29">
          <w:rPr>
            <w:rStyle w:val="Hyperlink"/>
          </w:rPr>
          <w:t>.</w:t>
        </w:r>
      </w:hyperlink>
    </w:p>
    <w:p w14:paraId="0E3E72B7" w14:textId="77777777" w:rsidR="00882C15" w:rsidRDefault="00882C15" w:rsidP="00882C15"/>
    <w:p w14:paraId="4EB779D4" w14:textId="77777777" w:rsidR="00882C15" w:rsidRPr="00882C15" w:rsidRDefault="00882C15" w:rsidP="00882C15">
      <w:pPr>
        <w:pStyle w:val="Heading3"/>
      </w:pPr>
      <w:bookmarkStart w:id="960" w:name="_Toc162267649"/>
      <w:r w:rsidRPr="00882C15">
        <w:t>Alzheimer’s Disease</w:t>
      </w:r>
      <w:bookmarkEnd w:id="960"/>
    </w:p>
    <w:p w14:paraId="5DD995FC" w14:textId="1DE523EE" w:rsidR="00882C15" w:rsidRPr="00882C15" w:rsidRDefault="00882C15" w:rsidP="00882C15">
      <w:pPr>
        <w:rPr>
          <w:b/>
          <w:bCs/>
        </w:rPr>
      </w:pPr>
      <w:r w:rsidRPr="00882C15">
        <w:t>In 2021, SC ranked ninth in the nation for the age-adjusted rate of deaths due to Alzheimer’s disease. It was estimated that 95,000 adults aged 65 and older were living with Alzheimer’s Disease and other dementias in 2020, which is expected to increase to 120,000 by 2025. Older non-Hispanic Blacks and Hispanic adults are disproportionately more likely than older Whites to have Alzheimer’s or other dementias. Almost two-thirds of Americans with Alzheimer’s are women. Women live longer than men on average, and older age is the greatest risk factor for Alzheimer’s. This survival difference contributes to a higher prevalence of Alzheimer’s and other dementias in women compared to men. While age, genetics, and family history cannot be changed, other risk factors can be changed or modified to reduce the risk of cognitive decline and dementia. Examples of modifiable risk factors are physical activity, smoking, education, staying socially and mentally active, blood pressure, and diet.</w:t>
      </w:r>
    </w:p>
    <w:p w14:paraId="41A1B554" w14:textId="77777777" w:rsidR="00882C15" w:rsidRDefault="00882C15" w:rsidP="00882C15">
      <w:pPr>
        <w:pStyle w:val="Heading4"/>
      </w:pPr>
      <w:bookmarkStart w:id="961" w:name="_Toc154576571"/>
      <w:bookmarkStart w:id="962" w:name="_Toc162267650"/>
      <w:r w:rsidRPr="00A67916">
        <w:t>Figure 10.</w:t>
      </w:r>
      <w:r>
        <w:t>9</w:t>
      </w:r>
      <w:r w:rsidRPr="00A67916">
        <w:t xml:space="preserve">: </w:t>
      </w:r>
      <w:r w:rsidRPr="00375B36">
        <w:t>Alzheimer’s Disease Deaths Among Adults Aged 65+</w:t>
      </w:r>
      <w:r>
        <w:t>.</w:t>
      </w:r>
      <w:bookmarkEnd w:id="961"/>
      <w:bookmarkEnd w:id="962"/>
    </w:p>
    <w:p w14:paraId="73B62237" w14:textId="77777777" w:rsidR="00882C15" w:rsidRDefault="00882C15" w:rsidP="00882C15">
      <w:pPr>
        <w:pStyle w:val="Heading5"/>
      </w:pPr>
      <w:r>
        <w:t>Rate per 100,000 population.</w:t>
      </w:r>
    </w:p>
    <w:tbl>
      <w:tblPr>
        <w:tblStyle w:val="TableGrid"/>
        <w:tblW w:w="0" w:type="auto"/>
        <w:tblLook w:val="04A0" w:firstRow="1" w:lastRow="0" w:firstColumn="1" w:lastColumn="0" w:noHBand="0" w:noVBand="1"/>
      </w:tblPr>
      <w:tblGrid>
        <w:gridCol w:w="3116"/>
        <w:gridCol w:w="3117"/>
        <w:gridCol w:w="3117"/>
      </w:tblGrid>
      <w:tr w:rsidR="00882C15" w14:paraId="0BE44675" w14:textId="77777777" w:rsidTr="001B41BD">
        <w:tc>
          <w:tcPr>
            <w:tcW w:w="3116" w:type="dxa"/>
            <w:vAlign w:val="bottom"/>
          </w:tcPr>
          <w:p w14:paraId="2D4B9BDB" w14:textId="77777777" w:rsidR="00882C15" w:rsidRPr="00375B36" w:rsidRDefault="00882C15" w:rsidP="001B41BD">
            <w:r w:rsidRPr="00375B36">
              <w:t xml:space="preserve">Year </w:t>
            </w:r>
          </w:p>
        </w:tc>
        <w:tc>
          <w:tcPr>
            <w:tcW w:w="3117" w:type="dxa"/>
            <w:vAlign w:val="bottom"/>
          </w:tcPr>
          <w:p w14:paraId="48A6EE69" w14:textId="77777777" w:rsidR="00882C15" w:rsidRPr="00375B36" w:rsidRDefault="00882C15" w:rsidP="001B41BD">
            <w:r w:rsidRPr="00375B36">
              <w:t>South Carolina</w:t>
            </w:r>
          </w:p>
        </w:tc>
        <w:tc>
          <w:tcPr>
            <w:tcW w:w="3117" w:type="dxa"/>
            <w:vAlign w:val="bottom"/>
          </w:tcPr>
          <w:p w14:paraId="4715016B" w14:textId="77777777" w:rsidR="00882C15" w:rsidRPr="00375B36" w:rsidRDefault="00882C15" w:rsidP="001B41BD">
            <w:r w:rsidRPr="00375B36">
              <w:t>United States</w:t>
            </w:r>
          </w:p>
        </w:tc>
      </w:tr>
      <w:tr w:rsidR="00882C15" w14:paraId="619A437E" w14:textId="77777777" w:rsidTr="001B41BD">
        <w:tc>
          <w:tcPr>
            <w:tcW w:w="3116" w:type="dxa"/>
            <w:vAlign w:val="bottom"/>
          </w:tcPr>
          <w:p w14:paraId="4F6FAF26" w14:textId="77777777" w:rsidR="00882C15" w:rsidRPr="00375B36" w:rsidRDefault="00882C15" w:rsidP="001B41BD">
            <w:r w:rsidRPr="00375B36">
              <w:t>2012</w:t>
            </w:r>
          </w:p>
        </w:tc>
        <w:tc>
          <w:tcPr>
            <w:tcW w:w="3117" w:type="dxa"/>
            <w:vAlign w:val="bottom"/>
          </w:tcPr>
          <w:p w14:paraId="0A9F2AEF" w14:textId="77777777" w:rsidR="00882C15" w:rsidRPr="00375B36" w:rsidRDefault="00882C15" w:rsidP="001B41BD">
            <w:r w:rsidRPr="00375B36">
              <w:t>231.9</w:t>
            </w:r>
          </w:p>
        </w:tc>
        <w:tc>
          <w:tcPr>
            <w:tcW w:w="3117" w:type="dxa"/>
            <w:vAlign w:val="bottom"/>
          </w:tcPr>
          <w:p w14:paraId="173EDC68" w14:textId="77777777" w:rsidR="00882C15" w:rsidRPr="00375B36" w:rsidRDefault="00882C15" w:rsidP="001B41BD">
            <w:r w:rsidRPr="00375B36">
              <w:t>191.7</w:t>
            </w:r>
          </w:p>
        </w:tc>
      </w:tr>
      <w:tr w:rsidR="00882C15" w14:paraId="3F4A0F90" w14:textId="77777777" w:rsidTr="001B41BD">
        <w:tc>
          <w:tcPr>
            <w:tcW w:w="3116" w:type="dxa"/>
            <w:vAlign w:val="bottom"/>
          </w:tcPr>
          <w:p w14:paraId="761C1E13" w14:textId="77777777" w:rsidR="00882C15" w:rsidRPr="00375B36" w:rsidRDefault="00882C15" w:rsidP="001B41BD">
            <w:r w:rsidRPr="00375B36">
              <w:lastRenderedPageBreak/>
              <w:t>2013</w:t>
            </w:r>
          </w:p>
        </w:tc>
        <w:tc>
          <w:tcPr>
            <w:tcW w:w="3117" w:type="dxa"/>
            <w:vAlign w:val="bottom"/>
          </w:tcPr>
          <w:p w14:paraId="2FBAAEEC" w14:textId="77777777" w:rsidR="00882C15" w:rsidRPr="00375B36" w:rsidRDefault="00882C15" w:rsidP="001B41BD">
            <w:r w:rsidRPr="00375B36">
              <w:t>220.0</w:t>
            </w:r>
          </w:p>
        </w:tc>
        <w:tc>
          <w:tcPr>
            <w:tcW w:w="3117" w:type="dxa"/>
            <w:vAlign w:val="bottom"/>
          </w:tcPr>
          <w:p w14:paraId="27D55C7E" w14:textId="77777777" w:rsidR="00882C15" w:rsidRPr="00375B36" w:rsidRDefault="00882C15" w:rsidP="001B41BD">
            <w:r w:rsidRPr="00375B36">
              <w:t>187.4</w:t>
            </w:r>
          </w:p>
        </w:tc>
      </w:tr>
      <w:tr w:rsidR="00882C15" w14:paraId="4C40C36D" w14:textId="77777777" w:rsidTr="001B41BD">
        <w:tc>
          <w:tcPr>
            <w:tcW w:w="3116" w:type="dxa"/>
            <w:vAlign w:val="bottom"/>
          </w:tcPr>
          <w:p w14:paraId="1743CD39" w14:textId="77777777" w:rsidR="00882C15" w:rsidRPr="00375B36" w:rsidRDefault="00882C15" w:rsidP="001B41BD">
            <w:r w:rsidRPr="00375B36">
              <w:t>2014</w:t>
            </w:r>
          </w:p>
        </w:tc>
        <w:tc>
          <w:tcPr>
            <w:tcW w:w="3117" w:type="dxa"/>
            <w:vAlign w:val="bottom"/>
          </w:tcPr>
          <w:p w14:paraId="1F24C93E" w14:textId="77777777" w:rsidR="00882C15" w:rsidRPr="00375B36" w:rsidRDefault="00882C15" w:rsidP="001B41BD">
            <w:r w:rsidRPr="00375B36">
              <w:t>251.4</w:t>
            </w:r>
          </w:p>
        </w:tc>
        <w:tc>
          <w:tcPr>
            <w:tcW w:w="3117" w:type="dxa"/>
            <w:vAlign w:val="bottom"/>
          </w:tcPr>
          <w:p w14:paraId="61491894" w14:textId="77777777" w:rsidR="00882C15" w:rsidRPr="00375B36" w:rsidRDefault="00882C15" w:rsidP="001B41BD">
            <w:r w:rsidRPr="00375B36">
              <w:t>200.3</w:t>
            </w:r>
          </w:p>
        </w:tc>
      </w:tr>
      <w:tr w:rsidR="00882C15" w14:paraId="09330123" w14:textId="77777777" w:rsidTr="001B41BD">
        <w:tc>
          <w:tcPr>
            <w:tcW w:w="3116" w:type="dxa"/>
            <w:vAlign w:val="bottom"/>
          </w:tcPr>
          <w:p w14:paraId="6B960862" w14:textId="77777777" w:rsidR="00882C15" w:rsidRPr="00375B36" w:rsidRDefault="00882C15" w:rsidP="001B41BD">
            <w:r w:rsidRPr="00375B36">
              <w:t>2015</w:t>
            </w:r>
          </w:p>
        </w:tc>
        <w:tc>
          <w:tcPr>
            <w:tcW w:w="3117" w:type="dxa"/>
            <w:vAlign w:val="bottom"/>
          </w:tcPr>
          <w:p w14:paraId="75CC84FE" w14:textId="77777777" w:rsidR="00882C15" w:rsidRPr="00375B36" w:rsidRDefault="00882C15" w:rsidP="001B41BD">
            <w:r w:rsidRPr="00375B36">
              <w:t>305.7</w:t>
            </w:r>
          </w:p>
        </w:tc>
        <w:tc>
          <w:tcPr>
            <w:tcW w:w="3117" w:type="dxa"/>
            <w:vAlign w:val="bottom"/>
          </w:tcPr>
          <w:p w14:paraId="42170BF8" w14:textId="77777777" w:rsidR="00882C15" w:rsidRPr="00375B36" w:rsidRDefault="00882C15" w:rsidP="001B41BD">
            <w:r w:rsidRPr="00375B36">
              <w:t>229.3</w:t>
            </w:r>
          </w:p>
        </w:tc>
      </w:tr>
      <w:tr w:rsidR="00882C15" w14:paraId="4773ABF6" w14:textId="77777777" w:rsidTr="001B41BD">
        <w:tc>
          <w:tcPr>
            <w:tcW w:w="3116" w:type="dxa"/>
            <w:vAlign w:val="bottom"/>
          </w:tcPr>
          <w:p w14:paraId="04BF5F9B" w14:textId="77777777" w:rsidR="00882C15" w:rsidRPr="00375B36" w:rsidRDefault="00882C15" w:rsidP="001B41BD">
            <w:r w:rsidRPr="00375B36">
              <w:t>2016</w:t>
            </w:r>
          </w:p>
        </w:tc>
        <w:tc>
          <w:tcPr>
            <w:tcW w:w="3117" w:type="dxa"/>
            <w:vAlign w:val="bottom"/>
          </w:tcPr>
          <w:p w14:paraId="3CC36027" w14:textId="77777777" w:rsidR="00882C15" w:rsidRPr="00375B36" w:rsidRDefault="00882C15" w:rsidP="001B41BD">
            <w:r w:rsidRPr="00375B36">
              <w:t>295.8</w:t>
            </w:r>
          </w:p>
        </w:tc>
        <w:tc>
          <w:tcPr>
            <w:tcW w:w="3117" w:type="dxa"/>
            <w:vAlign w:val="bottom"/>
          </w:tcPr>
          <w:p w14:paraId="2E4C7D67" w14:textId="77777777" w:rsidR="00882C15" w:rsidRPr="00375B36" w:rsidRDefault="00882C15" w:rsidP="001B41BD">
            <w:r w:rsidRPr="00375B36">
              <w:t>233.3</w:t>
            </w:r>
          </w:p>
        </w:tc>
      </w:tr>
      <w:tr w:rsidR="00882C15" w14:paraId="6EFAB995" w14:textId="77777777" w:rsidTr="001B41BD">
        <w:tc>
          <w:tcPr>
            <w:tcW w:w="3116" w:type="dxa"/>
            <w:vAlign w:val="bottom"/>
          </w:tcPr>
          <w:p w14:paraId="3B98EA83" w14:textId="77777777" w:rsidR="00882C15" w:rsidRPr="00375B36" w:rsidRDefault="00882C15" w:rsidP="001B41BD">
            <w:r w:rsidRPr="00375B36">
              <w:t>2017</w:t>
            </w:r>
          </w:p>
        </w:tc>
        <w:tc>
          <w:tcPr>
            <w:tcW w:w="3117" w:type="dxa"/>
            <w:vAlign w:val="bottom"/>
          </w:tcPr>
          <w:p w14:paraId="74697DE0" w14:textId="77777777" w:rsidR="00882C15" w:rsidRPr="00375B36" w:rsidRDefault="00882C15" w:rsidP="001B41BD">
            <w:r w:rsidRPr="00375B36">
              <w:t>291.4</w:t>
            </w:r>
          </w:p>
        </w:tc>
        <w:tc>
          <w:tcPr>
            <w:tcW w:w="3117" w:type="dxa"/>
            <w:vAlign w:val="bottom"/>
          </w:tcPr>
          <w:p w14:paraId="0E0EF5DC" w14:textId="77777777" w:rsidR="00882C15" w:rsidRPr="00375B36" w:rsidRDefault="00882C15" w:rsidP="001B41BD">
            <w:r w:rsidRPr="00375B36">
              <w:t>236.2</w:t>
            </w:r>
          </w:p>
        </w:tc>
      </w:tr>
      <w:tr w:rsidR="00882C15" w14:paraId="74AC28E9" w14:textId="77777777" w:rsidTr="001B41BD">
        <w:tc>
          <w:tcPr>
            <w:tcW w:w="3116" w:type="dxa"/>
            <w:vAlign w:val="bottom"/>
          </w:tcPr>
          <w:p w14:paraId="23AE7FF8" w14:textId="77777777" w:rsidR="00882C15" w:rsidRPr="00375B36" w:rsidRDefault="00882C15" w:rsidP="001B41BD">
            <w:r w:rsidRPr="00375B36">
              <w:t>2018</w:t>
            </w:r>
          </w:p>
        </w:tc>
        <w:tc>
          <w:tcPr>
            <w:tcW w:w="3117" w:type="dxa"/>
            <w:vAlign w:val="bottom"/>
          </w:tcPr>
          <w:p w14:paraId="787003B7" w14:textId="77777777" w:rsidR="00882C15" w:rsidRPr="00375B36" w:rsidRDefault="00882C15" w:rsidP="001B41BD">
            <w:r w:rsidRPr="00375B36">
              <w:t>287.7</w:t>
            </w:r>
          </w:p>
        </w:tc>
        <w:tc>
          <w:tcPr>
            <w:tcW w:w="3117" w:type="dxa"/>
            <w:vAlign w:val="bottom"/>
          </w:tcPr>
          <w:p w14:paraId="7C4B6D47" w14:textId="77777777" w:rsidR="00882C15" w:rsidRPr="00375B36" w:rsidRDefault="00882C15" w:rsidP="001B41BD">
            <w:r w:rsidRPr="00375B36">
              <w:t>230.1</w:t>
            </w:r>
          </w:p>
        </w:tc>
      </w:tr>
      <w:tr w:rsidR="00882C15" w14:paraId="360DF716" w14:textId="77777777" w:rsidTr="001B41BD">
        <w:tc>
          <w:tcPr>
            <w:tcW w:w="3116" w:type="dxa"/>
            <w:vAlign w:val="bottom"/>
          </w:tcPr>
          <w:p w14:paraId="0BAA770C" w14:textId="77777777" w:rsidR="00882C15" w:rsidRPr="00375B36" w:rsidRDefault="00882C15" w:rsidP="001B41BD">
            <w:r w:rsidRPr="00375B36">
              <w:t>2019</w:t>
            </w:r>
          </w:p>
        </w:tc>
        <w:tc>
          <w:tcPr>
            <w:tcW w:w="3117" w:type="dxa"/>
            <w:vAlign w:val="bottom"/>
          </w:tcPr>
          <w:p w14:paraId="25A5B957" w14:textId="77777777" w:rsidR="00882C15" w:rsidRPr="00375B36" w:rsidRDefault="00882C15" w:rsidP="001B41BD">
            <w:r w:rsidRPr="00375B36">
              <w:t>245.4</w:t>
            </w:r>
          </w:p>
        </w:tc>
        <w:tc>
          <w:tcPr>
            <w:tcW w:w="3117" w:type="dxa"/>
            <w:vAlign w:val="bottom"/>
          </w:tcPr>
          <w:p w14:paraId="61C3F800" w14:textId="77777777" w:rsidR="00882C15" w:rsidRPr="00375B36" w:rsidRDefault="00882C15" w:rsidP="001B41BD">
            <w:r w:rsidRPr="00375B36">
              <w:t>222.1</w:t>
            </w:r>
          </w:p>
        </w:tc>
      </w:tr>
      <w:tr w:rsidR="00882C15" w14:paraId="7C5F240D" w14:textId="77777777" w:rsidTr="001B41BD">
        <w:tc>
          <w:tcPr>
            <w:tcW w:w="3116" w:type="dxa"/>
            <w:vAlign w:val="bottom"/>
          </w:tcPr>
          <w:p w14:paraId="50CCCDB9" w14:textId="77777777" w:rsidR="00882C15" w:rsidRPr="00375B36" w:rsidRDefault="00882C15" w:rsidP="001B41BD">
            <w:r w:rsidRPr="00375B36">
              <w:t>2020</w:t>
            </w:r>
          </w:p>
        </w:tc>
        <w:tc>
          <w:tcPr>
            <w:tcW w:w="3117" w:type="dxa"/>
            <w:vAlign w:val="bottom"/>
          </w:tcPr>
          <w:p w14:paraId="5BFD1E07" w14:textId="77777777" w:rsidR="00882C15" w:rsidRPr="00375B36" w:rsidRDefault="00882C15" w:rsidP="001B41BD">
            <w:r w:rsidRPr="00375B36">
              <w:t>260.1</w:t>
            </w:r>
          </w:p>
        </w:tc>
        <w:tc>
          <w:tcPr>
            <w:tcW w:w="3117" w:type="dxa"/>
            <w:vAlign w:val="bottom"/>
          </w:tcPr>
          <w:p w14:paraId="1875DAFF" w14:textId="77777777" w:rsidR="00882C15" w:rsidRPr="00375B36" w:rsidRDefault="00882C15" w:rsidP="001B41BD">
            <w:r w:rsidRPr="00375B36">
              <w:t>238.5</w:t>
            </w:r>
          </w:p>
        </w:tc>
      </w:tr>
      <w:tr w:rsidR="00882C15" w14:paraId="77031A7C" w14:textId="77777777" w:rsidTr="001B41BD">
        <w:tc>
          <w:tcPr>
            <w:tcW w:w="3116" w:type="dxa"/>
            <w:vAlign w:val="bottom"/>
          </w:tcPr>
          <w:p w14:paraId="68F7087F" w14:textId="77777777" w:rsidR="00882C15" w:rsidRPr="00375B36" w:rsidRDefault="00882C15" w:rsidP="001B41BD">
            <w:r w:rsidRPr="00375B36">
              <w:t>2021</w:t>
            </w:r>
          </w:p>
        </w:tc>
        <w:tc>
          <w:tcPr>
            <w:tcW w:w="3117" w:type="dxa"/>
            <w:vAlign w:val="bottom"/>
          </w:tcPr>
          <w:p w14:paraId="680DE10D" w14:textId="77777777" w:rsidR="00882C15" w:rsidRPr="00375B36" w:rsidRDefault="00882C15" w:rsidP="001B41BD">
            <w:r w:rsidRPr="00375B36">
              <w:t>247.0</w:t>
            </w:r>
          </w:p>
        </w:tc>
        <w:tc>
          <w:tcPr>
            <w:tcW w:w="3117" w:type="dxa"/>
            <w:vAlign w:val="bottom"/>
          </w:tcPr>
          <w:p w14:paraId="777FA5A8" w14:textId="77777777" w:rsidR="00882C15" w:rsidRPr="00375B36" w:rsidRDefault="00882C15" w:rsidP="001B41BD">
            <w:r w:rsidRPr="00375B36">
              <w:t>211.1</w:t>
            </w:r>
          </w:p>
        </w:tc>
      </w:tr>
    </w:tbl>
    <w:p w14:paraId="4D1BFC02" w14:textId="77777777" w:rsidR="00882C15" w:rsidRPr="00375B36" w:rsidRDefault="00882C15" w:rsidP="00882C15">
      <w:r w:rsidRPr="00375B36">
        <w:t xml:space="preserve">Source: SC DHEC Vital Statistics, CDC NCHS. </w:t>
      </w:r>
    </w:p>
    <w:p w14:paraId="459FC765" w14:textId="77777777" w:rsidR="00882C15" w:rsidRPr="00375B36" w:rsidRDefault="00882C15" w:rsidP="00882C15">
      <w:r w:rsidRPr="00375B36">
        <w:t>Note: Population for year 2021 based on single-race estimates and for years prior based on bridge-race estimates.</w:t>
      </w:r>
    </w:p>
    <w:p w14:paraId="562FA020" w14:textId="77777777" w:rsidR="00882C15" w:rsidRDefault="00882C15" w:rsidP="00882C15">
      <w:pPr>
        <w:pStyle w:val="Heading4"/>
      </w:pPr>
      <w:bookmarkStart w:id="963" w:name="_Toc154576572"/>
    </w:p>
    <w:p w14:paraId="1DB15266" w14:textId="05D84DDC" w:rsidR="00882C15" w:rsidRDefault="00882C15" w:rsidP="00882C15">
      <w:pPr>
        <w:pStyle w:val="Heading4"/>
      </w:pPr>
      <w:bookmarkStart w:id="964" w:name="_Toc162267651"/>
      <w:r w:rsidRPr="00A67916">
        <w:t>Figure 10.</w:t>
      </w:r>
      <w:r>
        <w:t>10</w:t>
      </w:r>
      <w:r w:rsidRPr="00A67916">
        <w:t xml:space="preserve">: </w:t>
      </w:r>
      <w:r>
        <w:t>Alzheimer’s Disease Deaths Among Adults Aged 65+, by Race/Ethnicity and Sex.</w:t>
      </w:r>
      <w:bookmarkEnd w:id="963"/>
      <w:bookmarkEnd w:id="964"/>
    </w:p>
    <w:p w14:paraId="36B2CB54" w14:textId="77777777" w:rsidR="00882C15" w:rsidRDefault="00882C15" w:rsidP="00882C15">
      <w:pPr>
        <w:pStyle w:val="Heading5"/>
      </w:pPr>
      <w:r>
        <w:t>Rate per 100,000 population.</w:t>
      </w:r>
    </w:p>
    <w:tbl>
      <w:tblPr>
        <w:tblStyle w:val="TableGrid"/>
        <w:tblW w:w="0" w:type="auto"/>
        <w:tblLook w:val="04A0" w:firstRow="1" w:lastRow="0" w:firstColumn="1" w:lastColumn="0" w:noHBand="0" w:noVBand="1"/>
      </w:tblPr>
      <w:tblGrid>
        <w:gridCol w:w="3116"/>
        <w:gridCol w:w="3117"/>
        <w:gridCol w:w="3117"/>
      </w:tblGrid>
      <w:tr w:rsidR="00882C15" w14:paraId="335EF359" w14:textId="77777777" w:rsidTr="001B41BD">
        <w:tc>
          <w:tcPr>
            <w:tcW w:w="3116" w:type="dxa"/>
            <w:vAlign w:val="bottom"/>
          </w:tcPr>
          <w:p w14:paraId="042F18CE" w14:textId="77777777" w:rsidR="00882C15" w:rsidRPr="00A67916" w:rsidRDefault="00882C15" w:rsidP="001B41BD">
            <w:r>
              <w:t>Race/Ethnicity</w:t>
            </w:r>
          </w:p>
        </w:tc>
        <w:tc>
          <w:tcPr>
            <w:tcW w:w="3117" w:type="dxa"/>
            <w:vAlign w:val="bottom"/>
          </w:tcPr>
          <w:p w14:paraId="1DD74EA9" w14:textId="77777777" w:rsidR="00882C15" w:rsidRPr="00A67916" w:rsidRDefault="00882C15" w:rsidP="001B41BD">
            <w:r w:rsidRPr="00A67916">
              <w:t>Male</w:t>
            </w:r>
          </w:p>
        </w:tc>
        <w:tc>
          <w:tcPr>
            <w:tcW w:w="3117" w:type="dxa"/>
            <w:vAlign w:val="bottom"/>
          </w:tcPr>
          <w:p w14:paraId="67F1693B" w14:textId="77777777" w:rsidR="00882C15" w:rsidRPr="00A67916" w:rsidRDefault="00882C15" w:rsidP="001B41BD">
            <w:r w:rsidRPr="00A67916">
              <w:t>Female</w:t>
            </w:r>
          </w:p>
        </w:tc>
      </w:tr>
      <w:tr w:rsidR="00882C15" w14:paraId="407DD304" w14:textId="77777777" w:rsidTr="001B41BD">
        <w:tc>
          <w:tcPr>
            <w:tcW w:w="3116" w:type="dxa"/>
            <w:vAlign w:val="bottom"/>
          </w:tcPr>
          <w:p w14:paraId="5CAA5AEC" w14:textId="77777777" w:rsidR="00882C15" w:rsidRPr="00A67916" w:rsidRDefault="00882C15" w:rsidP="001B41BD">
            <w:r w:rsidRPr="00A67916">
              <w:t>Non-Hispanic White</w:t>
            </w:r>
          </w:p>
        </w:tc>
        <w:tc>
          <w:tcPr>
            <w:tcW w:w="3117" w:type="dxa"/>
            <w:vAlign w:val="bottom"/>
          </w:tcPr>
          <w:p w14:paraId="0E6EF56A" w14:textId="77777777" w:rsidR="00882C15" w:rsidRPr="00A67916" w:rsidRDefault="00882C15" w:rsidP="001B41BD">
            <w:r>
              <w:t>175.1</w:t>
            </w:r>
          </w:p>
        </w:tc>
        <w:tc>
          <w:tcPr>
            <w:tcW w:w="3117" w:type="dxa"/>
            <w:vAlign w:val="bottom"/>
          </w:tcPr>
          <w:p w14:paraId="51C9A9A4" w14:textId="77777777" w:rsidR="00882C15" w:rsidRPr="00A67916" w:rsidRDefault="00882C15" w:rsidP="001B41BD">
            <w:r>
              <w:t>342.6</w:t>
            </w:r>
          </w:p>
        </w:tc>
      </w:tr>
      <w:tr w:rsidR="00882C15" w14:paraId="269CE002" w14:textId="77777777" w:rsidTr="001B41BD">
        <w:tc>
          <w:tcPr>
            <w:tcW w:w="3116" w:type="dxa"/>
            <w:vAlign w:val="bottom"/>
          </w:tcPr>
          <w:p w14:paraId="36152382" w14:textId="77777777" w:rsidR="00882C15" w:rsidRPr="00A67916" w:rsidRDefault="00882C15" w:rsidP="001B41BD">
            <w:r w:rsidRPr="00A67916">
              <w:t>Non-Hispanic Black</w:t>
            </w:r>
          </w:p>
        </w:tc>
        <w:tc>
          <w:tcPr>
            <w:tcW w:w="3117" w:type="dxa"/>
            <w:vAlign w:val="bottom"/>
          </w:tcPr>
          <w:p w14:paraId="64001102" w14:textId="77777777" w:rsidR="00882C15" w:rsidRPr="00A67916" w:rsidRDefault="00882C15" w:rsidP="001B41BD">
            <w:r>
              <w:t>138.6</w:t>
            </w:r>
          </w:p>
        </w:tc>
        <w:tc>
          <w:tcPr>
            <w:tcW w:w="3117" w:type="dxa"/>
            <w:vAlign w:val="bottom"/>
          </w:tcPr>
          <w:p w14:paraId="7199714F" w14:textId="77777777" w:rsidR="00882C15" w:rsidRPr="00A67916" w:rsidRDefault="00882C15" w:rsidP="001B41BD">
            <w:r>
              <w:t>272.0</w:t>
            </w:r>
          </w:p>
        </w:tc>
      </w:tr>
      <w:tr w:rsidR="00882C15" w14:paraId="091CE04E" w14:textId="77777777" w:rsidTr="001B41BD">
        <w:tc>
          <w:tcPr>
            <w:tcW w:w="3116" w:type="dxa"/>
            <w:vAlign w:val="bottom"/>
          </w:tcPr>
          <w:p w14:paraId="6B4A6D63" w14:textId="77777777" w:rsidR="00882C15" w:rsidRPr="00A67916" w:rsidRDefault="00882C15" w:rsidP="001B41BD">
            <w:r w:rsidRPr="00A67916">
              <w:t>Hispanic</w:t>
            </w:r>
          </w:p>
        </w:tc>
        <w:tc>
          <w:tcPr>
            <w:tcW w:w="3117" w:type="dxa"/>
            <w:vAlign w:val="bottom"/>
          </w:tcPr>
          <w:p w14:paraId="215365CE" w14:textId="77777777" w:rsidR="00882C15" w:rsidRPr="00A67916" w:rsidRDefault="00882C15" w:rsidP="001B41BD">
            <w:r>
              <w:t>88.8</w:t>
            </w:r>
          </w:p>
        </w:tc>
        <w:tc>
          <w:tcPr>
            <w:tcW w:w="3117" w:type="dxa"/>
            <w:vAlign w:val="bottom"/>
          </w:tcPr>
          <w:p w14:paraId="17754676" w14:textId="77777777" w:rsidR="00882C15" w:rsidRPr="00A67916" w:rsidRDefault="00882C15" w:rsidP="001B41BD">
            <w:r>
              <w:t>200.0</w:t>
            </w:r>
          </w:p>
        </w:tc>
      </w:tr>
    </w:tbl>
    <w:p w14:paraId="33D5D618" w14:textId="77777777" w:rsidR="00882C15" w:rsidRPr="008C6CF4" w:rsidRDefault="00882C15" w:rsidP="00882C15">
      <w:r w:rsidRPr="008C6CF4">
        <w:t xml:space="preserve">Source: SC DHEC Vital Statistics, 2019- 2021. </w:t>
      </w:r>
    </w:p>
    <w:p w14:paraId="2D8334AE" w14:textId="77777777" w:rsidR="00882C15" w:rsidRDefault="00882C15" w:rsidP="00882C15">
      <w:r w:rsidRPr="008C6CF4">
        <w:t>Note: Population for year 2021 based on single-race estimates and for years prior based on bridge-race estimates.</w:t>
      </w:r>
    </w:p>
    <w:p w14:paraId="46085B31" w14:textId="77777777" w:rsidR="00882C15" w:rsidRDefault="00882C15" w:rsidP="00882C15">
      <w:pPr>
        <w:pStyle w:val="Heading4"/>
      </w:pPr>
      <w:bookmarkStart w:id="965" w:name="_Toc154576573"/>
    </w:p>
    <w:p w14:paraId="1D88C883" w14:textId="7C1ED618" w:rsidR="00882C15" w:rsidRDefault="00882C15" w:rsidP="00882C15">
      <w:pPr>
        <w:pStyle w:val="Heading4"/>
      </w:pPr>
      <w:bookmarkStart w:id="966" w:name="_Toc162267652"/>
      <w:r w:rsidRPr="00A67916">
        <w:t>Figure 10.</w:t>
      </w:r>
      <w:r>
        <w:t>11</w:t>
      </w:r>
      <w:r w:rsidRPr="00A67916">
        <w:t xml:space="preserve">: </w:t>
      </w:r>
      <w:r w:rsidRPr="008C6CF4">
        <w:t>Adults With Subjective Cognitive Decline Who Have Discussed Their Symptoms With a Provider</w:t>
      </w:r>
      <w:r>
        <w:t>.</w:t>
      </w:r>
      <w:bookmarkEnd w:id="965"/>
      <w:bookmarkEnd w:id="966"/>
    </w:p>
    <w:tbl>
      <w:tblPr>
        <w:tblStyle w:val="TableGrid"/>
        <w:tblW w:w="0" w:type="auto"/>
        <w:tblLook w:val="04A0" w:firstRow="1" w:lastRow="0" w:firstColumn="1" w:lastColumn="0" w:noHBand="0" w:noVBand="1"/>
      </w:tblPr>
      <w:tblGrid>
        <w:gridCol w:w="3116"/>
        <w:gridCol w:w="3117"/>
        <w:gridCol w:w="3117"/>
      </w:tblGrid>
      <w:tr w:rsidR="00882C15" w14:paraId="35A34D3F" w14:textId="77777777" w:rsidTr="001B41BD">
        <w:tc>
          <w:tcPr>
            <w:tcW w:w="3116" w:type="dxa"/>
            <w:vAlign w:val="bottom"/>
          </w:tcPr>
          <w:p w14:paraId="23810024" w14:textId="77777777" w:rsidR="00882C15" w:rsidRPr="008C6CF4" w:rsidRDefault="00882C15" w:rsidP="001B41BD">
            <w:r>
              <w:t>Year</w:t>
            </w:r>
          </w:p>
        </w:tc>
        <w:tc>
          <w:tcPr>
            <w:tcW w:w="3117" w:type="dxa"/>
            <w:vAlign w:val="bottom"/>
          </w:tcPr>
          <w:p w14:paraId="26EF218C" w14:textId="77777777" w:rsidR="00882C15" w:rsidRPr="008C6CF4" w:rsidRDefault="00882C15" w:rsidP="001B41BD">
            <w:r w:rsidRPr="008C6CF4">
              <w:t>South Carolina</w:t>
            </w:r>
          </w:p>
        </w:tc>
        <w:tc>
          <w:tcPr>
            <w:tcW w:w="3117" w:type="dxa"/>
            <w:vAlign w:val="bottom"/>
          </w:tcPr>
          <w:p w14:paraId="3EE6C1BD" w14:textId="77777777" w:rsidR="00882C15" w:rsidRPr="008C6CF4" w:rsidRDefault="00882C15" w:rsidP="001B41BD">
            <w:r w:rsidRPr="008C6CF4">
              <w:t>Healthy People 2030</w:t>
            </w:r>
            <w:r>
              <w:t xml:space="preserve"> Goal</w:t>
            </w:r>
          </w:p>
        </w:tc>
      </w:tr>
      <w:tr w:rsidR="00882C15" w14:paraId="589FE0A5" w14:textId="77777777" w:rsidTr="001B41BD">
        <w:tc>
          <w:tcPr>
            <w:tcW w:w="3116" w:type="dxa"/>
            <w:vAlign w:val="bottom"/>
          </w:tcPr>
          <w:p w14:paraId="54D73EB4" w14:textId="77777777" w:rsidR="00882C15" w:rsidRPr="008C6CF4" w:rsidRDefault="00882C15" w:rsidP="001B41BD">
            <w:r w:rsidRPr="008C6CF4">
              <w:t>2015</w:t>
            </w:r>
          </w:p>
        </w:tc>
        <w:tc>
          <w:tcPr>
            <w:tcW w:w="3117" w:type="dxa"/>
            <w:vAlign w:val="bottom"/>
          </w:tcPr>
          <w:p w14:paraId="608D70E8" w14:textId="77777777" w:rsidR="00882C15" w:rsidRPr="008C6CF4" w:rsidRDefault="00882C15" w:rsidP="001B41BD">
            <w:r w:rsidRPr="008C6CF4">
              <w:t>43.80%</w:t>
            </w:r>
          </w:p>
        </w:tc>
        <w:tc>
          <w:tcPr>
            <w:tcW w:w="3117" w:type="dxa"/>
            <w:vAlign w:val="bottom"/>
          </w:tcPr>
          <w:p w14:paraId="2D31553D" w14:textId="77777777" w:rsidR="00882C15" w:rsidRPr="008C6CF4" w:rsidRDefault="00882C15" w:rsidP="001B41BD">
            <w:r w:rsidRPr="008C6CF4">
              <w:t>50.40%</w:t>
            </w:r>
          </w:p>
        </w:tc>
      </w:tr>
      <w:tr w:rsidR="00882C15" w14:paraId="3F64DFD1" w14:textId="77777777" w:rsidTr="001B41BD">
        <w:tc>
          <w:tcPr>
            <w:tcW w:w="3116" w:type="dxa"/>
            <w:vAlign w:val="bottom"/>
          </w:tcPr>
          <w:p w14:paraId="087A11D5" w14:textId="77777777" w:rsidR="00882C15" w:rsidRPr="008C6CF4" w:rsidRDefault="00882C15" w:rsidP="001B41BD">
            <w:r w:rsidRPr="008C6CF4">
              <w:t>2019</w:t>
            </w:r>
          </w:p>
        </w:tc>
        <w:tc>
          <w:tcPr>
            <w:tcW w:w="3117" w:type="dxa"/>
            <w:vAlign w:val="bottom"/>
          </w:tcPr>
          <w:p w14:paraId="4E0ABD78" w14:textId="77777777" w:rsidR="00882C15" w:rsidRPr="008C6CF4" w:rsidRDefault="00882C15" w:rsidP="001B41BD">
            <w:r w:rsidRPr="008C6CF4">
              <w:t>45.70%</w:t>
            </w:r>
          </w:p>
        </w:tc>
        <w:tc>
          <w:tcPr>
            <w:tcW w:w="3117" w:type="dxa"/>
            <w:vAlign w:val="bottom"/>
          </w:tcPr>
          <w:p w14:paraId="0D137B10" w14:textId="77777777" w:rsidR="00882C15" w:rsidRPr="008C6CF4" w:rsidRDefault="00882C15" w:rsidP="001B41BD">
            <w:r w:rsidRPr="008C6CF4">
              <w:t>50.40%</w:t>
            </w:r>
          </w:p>
        </w:tc>
      </w:tr>
    </w:tbl>
    <w:p w14:paraId="1BEB27F3" w14:textId="77777777" w:rsidR="00882C15" w:rsidRPr="008C6CF4" w:rsidRDefault="00882C15" w:rsidP="00882C15">
      <w:r w:rsidRPr="008C6CF4">
        <w:t xml:space="preserve">Source: SC BRFSS. </w:t>
      </w:r>
    </w:p>
    <w:p w14:paraId="276852A5" w14:textId="77777777" w:rsidR="00882C15" w:rsidRDefault="00882C15" w:rsidP="00882C15">
      <w:r w:rsidRPr="008C6CF4">
        <w:t>Note: Adults aged 45+.</w:t>
      </w:r>
    </w:p>
    <w:p w14:paraId="43EC750C" w14:textId="77777777" w:rsidR="00882C15" w:rsidRDefault="00882C15" w:rsidP="00882C15"/>
    <w:p w14:paraId="36565DAE" w14:textId="77777777" w:rsidR="00882C15" w:rsidRPr="00882C15" w:rsidRDefault="00882C15" w:rsidP="00882C15">
      <w:pPr>
        <w:pStyle w:val="Heading4"/>
      </w:pPr>
      <w:bookmarkStart w:id="967" w:name="_Toc162267653"/>
      <w:r w:rsidRPr="00882C15">
        <w:t>Data Interpretations:</w:t>
      </w:r>
      <w:bookmarkEnd w:id="967"/>
      <w:r w:rsidRPr="00882C15">
        <w:t xml:space="preserve"> </w:t>
      </w:r>
    </w:p>
    <w:p w14:paraId="47839BA9" w14:textId="57179C07" w:rsidR="00882C15" w:rsidRPr="00882C15" w:rsidRDefault="00882C15" w:rsidP="00882C15">
      <w:r w:rsidRPr="00882C15">
        <w:t>Over the past 10 years, there has been an increase in deaths due to Alzheimer’s Disease in adults 65 and older (</w:t>
      </w:r>
      <w:r w:rsidRPr="00882C15">
        <w:rPr>
          <w:b/>
          <w:bCs/>
        </w:rPr>
        <w:t>Figure 10.9</w:t>
      </w:r>
      <w:r w:rsidRPr="00882C15">
        <w:t xml:space="preserve">). SC has consistently trended at a </w:t>
      </w:r>
      <w:r w:rsidRPr="00882C15">
        <w:lastRenderedPageBreak/>
        <w:t>higher rate than the US over the past 10 years with a rate of 247.0 deaths per 100,000 population versus the national rate of 211.1 deaths per 100,000 population in 2021 (</w:t>
      </w:r>
      <w:r w:rsidRPr="00882C15">
        <w:rPr>
          <w:b/>
          <w:bCs/>
        </w:rPr>
        <w:t>Figure 10.9</w:t>
      </w:r>
      <w:r w:rsidRPr="00882C15">
        <w:t>). From 2019 to 2021, women aged 65 and older have died at a higher rate than their male counterparts with non-Hispanic White women having the highest death rate of 342.6 deaths per 100,000 population (</w:t>
      </w:r>
      <w:r w:rsidRPr="00882C15">
        <w:rPr>
          <w:b/>
          <w:bCs/>
        </w:rPr>
        <w:t>Figure 10.10</w:t>
      </w:r>
      <w:r w:rsidRPr="00882C15">
        <w:t>). Historically, minorities are less likely to receive an accurate Alzheimer’s diagnosis, thus potentially leading to an inaccurate record of causes of death for these populations. When surveyed in 2019, only 45.7% of South Carolinians 45 and older who experienced subjective cognitive decline discussed their symptoms with their healthcare provider (</w:t>
      </w:r>
      <w:r w:rsidRPr="00882C15">
        <w:rPr>
          <w:b/>
          <w:bCs/>
        </w:rPr>
        <w:t>Figure 10.11</w:t>
      </w:r>
      <w:r w:rsidRPr="00882C15">
        <w:t>). This is only 4.7% less than the Healthy People 2023 goal of 50.4%.</w:t>
      </w:r>
    </w:p>
    <w:p w14:paraId="6ABA6812" w14:textId="77777777" w:rsidR="00882C15" w:rsidRDefault="00882C15" w:rsidP="00882C15"/>
    <w:p w14:paraId="57C477FC" w14:textId="77777777" w:rsidR="00882C15" w:rsidRPr="00882C15" w:rsidRDefault="00882C15" w:rsidP="00882C15">
      <w:pPr>
        <w:pStyle w:val="Heading5"/>
      </w:pPr>
      <w:r w:rsidRPr="00882C15">
        <w:t>Key Takeaways:</w:t>
      </w:r>
    </w:p>
    <w:p w14:paraId="41FF7090" w14:textId="77777777" w:rsidR="00882C15" w:rsidRPr="00882C15" w:rsidRDefault="00882C15" w:rsidP="00926EB3">
      <w:pPr>
        <w:pStyle w:val="ListParagraph"/>
        <w:numPr>
          <w:ilvl w:val="0"/>
          <w:numId w:val="228"/>
        </w:numPr>
      </w:pPr>
      <w:r w:rsidRPr="00882C15">
        <w:t>Women aged 65 and older die from Alzheimer’s disease at twice the rate of their male counterparts.</w:t>
      </w:r>
    </w:p>
    <w:p w14:paraId="7E4E9BEF" w14:textId="77777777" w:rsidR="00882C15" w:rsidRDefault="00882C15" w:rsidP="00882C15"/>
    <w:p w14:paraId="1FB2645B" w14:textId="358A6DE4" w:rsidR="00882C15" w:rsidRPr="00474B85" w:rsidRDefault="00882C15" w:rsidP="00882C15">
      <w:pPr>
        <w:pStyle w:val="Heading4"/>
        <w:rPr>
          <w:rFonts w:asciiTheme="minorHAnsi" w:hAnsiTheme="minorHAnsi" w:cstheme="minorHAnsi"/>
          <w:color w:val="000000" w:themeColor="text1"/>
        </w:rPr>
      </w:pPr>
      <w:bookmarkStart w:id="968" w:name="_Toc162267654"/>
      <w:r w:rsidRPr="00474B85">
        <w:rPr>
          <w:rFonts w:asciiTheme="minorHAnsi" w:hAnsiTheme="minorHAnsi" w:cstheme="minorHAnsi"/>
          <w:color w:val="000000" w:themeColor="text1"/>
        </w:rPr>
        <w:t xml:space="preserve">References </w:t>
      </w:r>
      <w:r>
        <w:rPr>
          <w:rFonts w:asciiTheme="minorHAnsi" w:hAnsiTheme="minorHAnsi" w:cstheme="minorHAnsi"/>
          <w:color w:val="000000" w:themeColor="text1"/>
        </w:rPr>
        <w:t>10.5</w:t>
      </w:r>
      <w:bookmarkEnd w:id="968"/>
      <w:r>
        <w:rPr>
          <w:rFonts w:asciiTheme="minorHAnsi" w:hAnsiTheme="minorHAnsi" w:cstheme="minorHAnsi"/>
          <w:color w:val="000000" w:themeColor="text1"/>
        </w:rPr>
        <w:t xml:space="preserve"> </w:t>
      </w:r>
    </w:p>
    <w:p w14:paraId="19C0C1EA" w14:textId="77777777" w:rsidR="00882C15" w:rsidRDefault="00882C15" w:rsidP="00882C15">
      <w:r w:rsidRPr="00474B85">
        <w:t>Statistics in the preceding section were referenced from the following reports:</w:t>
      </w:r>
    </w:p>
    <w:p w14:paraId="2C47C24C" w14:textId="1A43932F" w:rsidR="00D71D29" w:rsidRPr="00D71D29" w:rsidRDefault="00000000" w:rsidP="00926EB3">
      <w:pPr>
        <w:pStyle w:val="ListParagraph"/>
        <w:numPr>
          <w:ilvl w:val="0"/>
          <w:numId w:val="199"/>
        </w:numPr>
      </w:pPr>
      <w:hyperlink r:id="rId428" w:history="1">
        <w:r w:rsidR="00D71D29" w:rsidRPr="00D71D29">
          <w:rPr>
            <w:rStyle w:val="Hyperlink"/>
          </w:rPr>
          <w:t>“National Vital Statistics System, Mortality 2018-2021” by on Centers for Disease Control and Prevention, National Center for Health Statistics via CDC WONDER Online Database, released in 2021.</w:t>
        </w:r>
      </w:hyperlink>
      <w:r w:rsidR="00D71D29" w:rsidRPr="00D71D29">
        <w:t xml:space="preserve"> </w:t>
      </w:r>
    </w:p>
    <w:p w14:paraId="57F5B067" w14:textId="056FF00C" w:rsidR="00D71D29" w:rsidRPr="00D71D29" w:rsidRDefault="00000000" w:rsidP="00926EB3">
      <w:pPr>
        <w:pStyle w:val="ListParagraph"/>
        <w:numPr>
          <w:ilvl w:val="0"/>
          <w:numId w:val="199"/>
        </w:numPr>
      </w:pPr>
      <w:hyperlink r:id="rId429" w:history="1">
        <w:r w:rsidR="00D71D29" w:rsidRPr="00D71D29">
          <w:rPr>
            <w:rStyle w:val="Hyperlink"/>
          </w:rPr>
          <w:t>“2022 Alzheimer’s Disease Facts and Figures Report: SC Infographic” by the Alzheimer’s Association via alz.org, 2022. Retrieved December 20, 2022.</w:t>
        </w:r>
      </w:hyperlink>
    </w:p>
    <w:p w14:paraId="077D549C" w14:textId="385A431C" w:rsidR="00D71D29" w:rsidRPr="00D71D29" w:rsidRDefault="00000000" w:rsidP="00926EB3">
      <w:pPr>
        <w:pStyle w:val="ListParagraph"/>
        <w:numPr>
          <w:ilvl w:val="0"/>
          <w:numId w:val="199"/>
        </w:numPr>
      </w:pPr>
      <w:hyperlink r:id="rId430" w:history="1">
        <w:r w:rsidR="00D71D29" w:rsidRPr="00D71D29">
          <w:rPr>
            <w:rStyle w:val="Hyperlink"/>
          </w:rPr>
          <w:t>“2022 Alzheimer’s Disease Facts and Figures Report” by the Alzheimer’s Association via alz.org, page 14. 2022. Retrieved January 22, 2023.</w:t>
        </w:r>
      </w:hyperlink>
      <w:r w:rsidR="00D71D29" w:rsidRPr="00D71D29">
        <w:t xml:space="preserve"> </w:t>
      </w:r>
    </w:p>
    <w:p w14:paraId="4182DA2A" w14:textId="77777777" w:rsidR="00882C15" w:rsidRDefault="00882C15" w:rsidP="00882C15"/>
    <w:p w14:paraId="7B31D4BB" w14:textId="20317050" w:rsidR="00882C15" w:rsidRDefault="00882C15" w:rsidP="00882C15">
      <w:pPr>
        <w:pStyle w:val="Heading3"/>
      </w:pPr>
      <w:bookmarkStart w:id="969" w:name="_Toc162267655"/>
      <w:r>
        <w:t>Arthritis</w:t>
      </w:r>
      <w:bookmarkEnd w:id="969"/>
    </w:p>
    <w:p w14:paraId="7DA0C031" w14:textId="695D5AB8" w:rsidR="00882C15" w:rsidRDefault="00882C15" w:rsidP="00882C15">
      <w:r w:rsidRPr="00882C15">
        <w:t xml:space="preserve">Arthritis is the pain and swelling in the joints, the location where two bones meet such as an elbow or knee. This common condition impacts millions each year, with 1 in 4 adults in the US being diagnosed with arthritis and 50% of adults 65 and older being diagnosed. Osteoarthritis is the most common form of arthritis among older adults and one that can cause severe physical disability. The swelling and severe pain that arthritis can cause can limit the daily activities that one participates in, potentially impacting one’s mental health. Aging as well as being overweight or obese, smoking, infections, and joint overuse can increase the risk of being diagnosed with arthritis. Although there is no cure for arthritis, joint-friendly physical activity and self-management plans are two ways to reduce pain, </w:t>
      </w:r>
      <w:r w:rsidRPr="00882C15">
        <w:lastRenderedPageBreak/>
        <w:t xml:space="preserve">improve one’s mood, reduce stress, and improve range of motion and function. Decreasing arthritis rates will have a big economic impact as over $300 billion in arthritis-attributable medical care costs and earnings losses were seen in 2013. </w:t>
      </w:r>
    </w:p>
    <w:p w14:paraId="7F7F35AA" w14:textId="77777777" w:rsidR="00882C15" w:rsidRDefault="00882C15" w:rsidP="00882C15"/>
    <w:p w14:paraId="60E39601" w14:textId="77777777" w:rsidR="00882C15" w:rsidRDefault="00882C15" w:rsidP="00882C15">
      <w:pPr>
        <w:pStyle w:val="Heading4"/>
      </w:pPr>
      <w:bookmarkStart w:id="970" w:name="_Toc154576574"/>
      <w:bookmarkStart w:id="971" w:name="_Toc162267656"/>
      <w:r w:rsidRPr="00A67916">
        <w:t>Figure 10.</w:t>
      </w:r>
      <w:r>
        <w:t>12</w:t>
      </w:r>
      <w:r w:rsidRPr="00A67916">
        <w:t xml:space="preserve">: </w:t>
      </w:r>
      <w:r w:rsidRPr="008C6CF4">
        <w:t xml:space="preserve">Adults </w:t>
      </w:r>
      <w:r>
        <w:t>Who Have Been Told They Have Arthritis, by Age Group.</w:t>
      </w:r>
      <w:bookmarkEnd w:id="970"/>
      <w:bookmarkEnd w:id="971"/>
    </w:p>
    <w:tbl>
      <w:tblPr>
        <w:tblStyle w:val="TableGrid"/>
        <w:tblW w:w="0" w:type="auto"/>
        <w:tblLook w:val="04A0" w:firstRow="1" w:lastRow="0" w:firstColumn="1" w:lastColumn="0" w:noHBand="0" w:noVBand="1"/>
      </w:tblPr>
      <w:tblGrid>
        <w:gridCol w:w="4675"/>
        <w:gridCol w:w="4675"/>
      </w:tblGrid>
      <w:tr w:rsidR="00882C15" w14:paraId="3B7DD210" w14:textId="77777777" w:rsidTr="001B41BD">
        <w:tc>
          <w:tcPr>
            <w:tcW w:w="4675" w:type="dxa"/>
            <w:vAlign w:val="bottom"/>
          </w:tcPr>
          <w:p w14:paraId="15FEA039" w14:textId="77777777" w:rsidR="00882C15" w:rsidRPr="008C6CF4" w:rsidRDefault="00882C15" w:rsidP="001B41BD">
            <w:r w:rsidRPr="008C6CF4">
              <w:t>Age Group</w:t>
            </w:r>
          </w:p>
        </w:tc>
        <w:tc>
          <w:tcPr>
            <w:tcW w:w="4675" w:type="dxa"/>
            <w:vAlign w:val="bottom"/>
          </w:tcPr>
          <w:p w14:paraId="645567D9" w14:textId="77777777" w:rsidR="00882C15" w:rsidRPr="008C6CF4" w:rsidRDefault="00882C15" w:rsidP="001B41BD">
            <w:r w:rsidRPr="008C6CF4">
              <w:t>Percent</w:t>
            </w:r>
          </w:p>
        </w:tc>
      </w:tr>
      <w:tr w:rsidR="00882C15" w14:paraId="7F57A2AA" w14:textId="77777777" w:rsidTr="001B41BD">
        <w:tc>
          <w:tcPr>
            <w:tcW w:w="4675" w:type="dxa"/>
            <w:vAlign w:val="bottom"/>
          </w:tcPr>
          <w:p w14:paraId="64F08EAB" w14:textId="77777777" w:rsidR="00882C15" w:rsidRPr="008C6CF4" w:rsidRDefault="00882C15" w:rsidP="001B41BD">
            <w:r w:rsidRPr="008C6CF4">
              <w:t>18 - 24</w:t>
            </w:r>
          </w:p>
        </w:tc>
        <w:tc>
          <w:tcPr>
            <w:tcW w:w="4675" w:type="dxa"/>
            <w:vAlign w:val="bottom"/>
          </w:tcPr>
          <w:p w14:paraId="7B9E34AC" w14:textId="77777777" w:rsidR="00882C15" w:rsidRPr="008C6CF4" w:rsidRDefault="00882C15" w:rsidP="001B41BD">
            <w:r w:rsidRPr="008C6CF4">
              <w:t>5.60%</w:t>
            </w:r>
          </w:p>
        </w:tc>
      </w:tr>
      <w:tr w:rsidR="00882C15" w14:paraId="5E6A6B36" w14:textId="77777777" w:rsidTr="001B41BD">
        <w:tc>
          <w:tcPr>
            <w:tcW w:w="4675" w:type="dxa"/>
            <w:vAlign w:val="bottom"/>
          </w:tcPr>
          <w:p w14:paraId="60086172" w14:textId="77777777" w:rsidR="00882C15" w:rsidRPr="008C6CF4" w:rsidRDefault="00882C15" w:rsidP="001B41BD">
            <w:r w:rsidRPr="008C6CF4">
              <w:t>25 - 34</w:t>
            </w:r>
          </w:p>
        </w:tc>
        <w:tc>
          <w:tcPr>
            <w:tcW w:w="4675" w:type="dxa"/>
            <w:vAlign w:val="bottom"/>
          </w:tcPr>
          <w:p w14:paraId="3C8F3ED6" w14:textId="77777777" w:rsidR="00882C15" w:rsidRPr="008C6CF4" w:rsidRDefault="00882C15" w:rsidP="001B41BD">
            <w:r w:rsidRPr="008C6CF4">
              <w:t>9.50%</w:t>
            </w:r>
          </w:p>
        </w:tc>
      </w:tr>
      <w:tr w:rsidR="00882C15" w14:paraId="58763A46" w14:textId="77777777" w:rsidTr="001B41BD">
        <w:tc>
          <w:tcPr>
            <w:tcW w:w="4675" w:type="dxa"/>
            <w:vAlign w:val="bottom"/>
          </w:tcPr>
          <w:p w14:paraId="339FDDCB" w14:textId="77777777" w:rsidR="00882C15" w:rsidRPr="008C6CF4" w:rsidRDefault="00882C15" w:rsidP="001B41BD">
            <w:r w:rsidRPr="008C6CF4">
              <w:t>35 - 44</w:t>
            </w:r>
          </w:p>
        </w:tc>
        <w:tc>
          <w:tcPr>
            <w:tcW w:w="4675" w:type="dxa"/>
            <w:vAlign w:val="bottom"/>
          </w:tcPr>
          <w:p w14:paraId="170C9329" w14:textId="77777777" w:rsidR="00882C15" w:rsidRPr="008C6CF4" w:rsidRDefault="00882C15" w:rsidP="001B41BD">
            <w:r w:rsidRPr="008C6CF4">
              <w:t>16.90%</w:t>
            </w:r>
          </w:p>
        </w:tc>
      </w:tr>
      <w:tr w:rsidR="00882C15" w14:paraId="410662AB" w14:textId="77777777" w:rsidTr="001B41BD">
        <w:tc>
          <w:tcPr>
            <w:tcW w:w="4675" w:type="dxa"/>
            <w:vAlign w:val="bottom"/>
          </w:tcPr>
          <w:p w14:paraId="4AA679FA" w14:textId="77777777" w:rsidR="00882C15" w:rsidRPr="008C6CF4" w:rsidRDefault="00882C15" w:rsidP="001B41BD">
            <w:r w:rsidRPr="008C6CF4">
              <w:t>45 - 54</w:t>
            </w:r>
          </w:p>
        </w:tc>
        <w:tc>
          <w:tcPr>
            <w:tcW w:w="4675" w:type="dxa"/>
            <w:vAlign w:val="bottom"/>
          </w:tcPr>
          <w:p w14:paraId="6FA250E5" w14:textId="77777777" w:rsidR="00882C15" w:rsidRPr="008C6CF4" w:rsidRDefault="00882C15" w:rsidP="001B41BD">
            <w:r w:rsidRPr="008C6CF4">
              <w:t>30.00%</w:t>
            </w:r>
          </w:p>
        </w:tc>
      </w:tr>
      <w:tr w:rsidR="00882C15" w14:paraId="51B45E05" w14:textId="77777777" w:rsidTr="001B41BD">
        <w:tc>
          <w:tcPr>
            <w:tcW w:w="4675" w:type="dxa"/>
            <w:vAlign w:val="bottom"/>
          </w:tcPr>
          <w:p w14:paraId="2D040F2B" w14:textId="77777777" w:rsidR="00882C15" w:rsidRPr="008C6CF4" w:rsidRDefault="00882C15" w:rsidP="001B41BD">
            <w:r w:rsidRPr="008C6CF4">
              <w:t>55 - 64</w:t>
            </w:r>
          </w:p>
        </w:tc>
        <w:tc>
          <w:tcPr>
            <w:tcW w:w="4675" w:type="dxa"/>
            <w:vAlign w:val="bottom"/>
          </w:tcPr>
          <w:p w14:paraId="0FC69E52" w14:textId="77777777" w:rsidR="00882C15" w:rsidRPr="008C6CF4" w:rsidRDefault="00882C15" w:rsidP="001B41BD">
            <w:r w:rsidRPr="008C6CF4">
              <w:t>44.60%</w:t>
            </w:r>
          </w:p>
        </w:tc>
      </w:tr>
      <w:tr w:rsidR="00882C15" w14:paraId="766E5DBB" w14:textId="77777777" w:rsidTr="001B41BD">
        <w:tc>
          <w:tcPr>
            <w:tcW w:w="4675" w:type="dxa"/>
            <w:vAlign w:val="bottom"/>
          </w:tcPr>
          <w:p w14:paraId="0F87C26E" w14:textId="77777777" w:rsidR="00882C15" w:rsidRPr="008C6CF4" w:rsidRDefault="00882C15" w:rsidP="001B41BD">
            <w:r w:rsidRPr="008C6CF4">
              <w:t>65+</w:t>
            </w:r>
          </w:p>
        </w:tc>
        <w:tc>
          <w:tcPr>
            <w:tcW w:w="4675" w:type="dxa"/>
            <w:vAlign w:val="bottom"/>
          </w:tcPr>
          <w:p w14:paraId="663ABCEB" w14:textId="77777777" w:rsidR="00882C15" w:rsidRPr="008C6CF4" w:rsidRDefault="00882C15" w:rsidP="001B41BD">
            <w:r w:rsidRPr="008C6CF4">
              <w:t>52.80%</w:t>
            </w:r>
          </w:p>
        </w:tc>
      </w:tr>
    </w:tbl>
    <w:p w14:paraId="030ED163" w14:textId="77777777" w:rsidR="00882C15" w:rsidRPr="008C6CF4" w:rsidRDefault="00882C15" w:rsidP="00882C15">
      <w:r w:rsidRPr="008C6CF4">
        <w:t xml:space="preserve">Source: SC BRFSS, 2021. </w:t>
      </w:r>
    </w:p>
    <w:p w14:paraId="6A837F94" w14:textId="77777777" w:rsidR="00882C15" w:rsidRDefault="00882C15" w:rsidP="00882C15">
      <w:r w:rsidRPr="008C6CF4">
        <w:t>Notes: Adults 18+.</w:t>
      </w:r>
    </w:p>
    <w:p w14:paraId="4C80B8DE" w14:textId="77777777" w:rsidR="00882C15" w:rsidRDefault="00882C15" w:rsidP="00882C15">
      <w:pPr>
        <w:pStyle w:val="Heading4"/>
      </w:pPr>
      <w:bookmarkStart w:id="972" w:name="_Toc154576575"/>
    </w:p>
    <w:p w14:paraId="51C24EF2" w14:textId="6BFFB99D" w:rsidR="00882C15" w:rsidRDefault="00882C15" w:rsidP="00882C15">
      <w:pPr>
        <w:pStyle w:val="Heading4"/>
      </w:pPr>
      <w:bookmarkStart w:id="973" w:name="_Toc162267657"/>
      <w:r w:rsidRPr="00A67916">
        <w:t>Figure 10.</w:t>
      </w:r>
      <w:r>
        <w:t>13</w:t>
      </w:r>
      <w:r w:rsidRPr="00A67916">
        <w:t xml:space="preserve">: </w:t>
      </w:r>
      <w:r w:rsidRPr="008C6CF4">
        <w:t>Any Activities Limited in Any Way due to Arthritis.</w:t>
      </w:r>
      <w:bookmarkEnd w:id="972"/>
      <w:bookmarkEnd w:id="973"/>
    </w:p>
    <w:tbl>
      <w:tblPr>
        <w:tblStyle w:val="TableGrid"/>
        <w:tblW w:w="0" w:type="auto"/>
        <w:tblLook w:val="04A0" w:firstRow="1" w:lastRow="0" w:firstColumn="1" w:lastColumn="0" w:noHBand="0" w:noVBand="1"/>
      </w:tblPr>
      <w:tblGrid>
        <w:gridCol w:w="4675"/>
        <w:gridCol w:w="4675"/>
      </w:tblGrid>
      <w:tr w:rsidR="00882C15" w14:paraId="00071768" w14:textId="77777777" w:rsidTr="001B41BD">
        <w:tc>
          <w:tcPr>
            <w:tcW w:w="4675" w:type="dxa"/>
            <w:vAlign w:val="bottom"/>
          </w:tcPr>
          <w:p w14:paraId="265B8643" w14:textId="77777777" w:rsidR="00882C15" w:rsidRPr="008C6CF4" w:rsidRDefault="00882C15" w:rsidP="001B41BD">
            <w:r w:rsidRPr="008C6CF4">
              <w:t>Year</w:t>
            </w:r>
          </w:p>
        </w:tc>
        <w:tc>
          <w:tcPr>
            <w:tcW w:w="4675" w:type="dxa"/>
            <w:vAlign w:val="bottom"/>
          </w:tcPr>
          <w:p w14:paraId="203A84D8" w14:textId="77777777" w:rsidR="00882C15" w:rsidRPr="008C6CF4" w:rsidRDefault="00882C15" w:rsidP="001B41BD">
            <w:r w:rsidRPr="008C6CF4">
              <w:t>Percent</w:t>
            </w:r>
          </w:p>
        </w:tc>
      </w:tr>
      <w:tr w:rsidR="00882C15" w14:paraId="11E07636" w14:textId="77777777" w:rsidTr="001B41BD">
        <w:tc>
          <w:tcPr>
            <w:tcW w:w="4675" w:type="dxa"/>
            <w:vAlign w:val="bottom"/>
          </w:tcPr>
          <w:p w14:paraId="2B19A874" w14:textId="77777777" w:rsidR="00882C15" w:rsidRPr="008C6CF4" w:rsidRDefault="00882C15" w:rsidP="001B41BD">
            <w:r w:rsidRPr="008C6CF4">
              <w:t>2011</w:t>
            </w:r>
          </w:p>
        </w:tc>
        <w:tc>
          <w:tcPr>
            <w:tcW w:w="4675" w:type="dxa"/>
            <w:vAlign w:val="bottom"/>
          </w:tcPr>
          <w:p w14:paraId="12604269" w14:textId="77777777" w:rsidR="00882C15" w:rsidRPr="008C6CF4" w:rsidRDefault="00882C15" w:rsidP="001B41BD">
            <w:r w:rsidRPr="008C6CF4">
              <w:t>51.50%</w:t>
            </w:r>
          </w:p>
        </w:tc>
      </w:tr>
      <w:tr w:rsidR="00882C15" w14:paraId="2E3525D9" w14:textId="77777777" w:rsidTr="001B41BD">
        <w:tc>
          <w:tcPr>
            <w:tcW w:w="4675" w:type="dxa"/>
            <w:vAlign w:val="bottom"/>
          </w:tcPr>
          <w:p w14:paraId="6B23B4B4" w14:textId="77777777" w:rsidR="00882C15" w:rsidRPr="008C6CF4" w:rsidRDefault="00882C15" w:rsidP="001B41BD">
            <w:r w:rsidRPr="008C6CF4">
              <w:t>2013</w:t>
            </w:r>
          </w:p>
        </w:tc>
        <w:tc>
          <w:tcPr>
            <w:tcW w:w="4675" w:type="dxa"/>
            <w:vAlign w:val="bottom"/>
          </w:tcPr>
          <w:p w14:paraId="53D85B58" w14:textId="77777777" w:rsidR="00882C15" w:rsidRPr="008C6CF4" w:rsidRDefault="00882C15" w:rsidP="001B41BD">
            <w:r w:rsidRPr="008C6CF4">
              <w:t>54.20%</w:t>
            </w:r>
          </w:p>
        </w:tc>
      </w:tr>
      <w:tr w:rsidR="00882C15" w14:paraId="1D13F2ED" w14:textId="77777777" w:rsidTr="001B41BD">
        <w:tc>
          <w:tcPr>
            <w:tcW w:w="4675" w:type="dxa"/>
            <w:vAlign w:val="bottom"/>
          </w:tcPr>
          <w:p w14:paraId="47F9B85E" w14:textId="77777777" w:rsidR="00882C15" w:rsidRPr="008C6CF4" w:rsidRDefault="00882C15" w:rsidP="001B41BD">
            <w:r w:rsidRPr="008C6CF4">
              <w:t>2015</w:t>
            </w:r>
          </w:p>
        </w:tc>
        <w:tc>
          <w:tcPr>
            <w:tcW w:w="4675" w:type="dxa"/>
            <w:vAlign w:val="bottom"/>
          </w:tcPr>
          <w:p w14:paraId="5222D360" w14:textId="77777777" w:rsidR="00882C15" w:rsidRPr="008C6CF4" w:rsidRDefault="00882C15" w:rsidP="001B41BD">
            <w:r w:rsidRPr="008C6CF4">
              <w:t>54.20%</w:t>
            </w:r>
          </w:p>
        </w:tc>
      </w:tr>
      <w:tr w:rsidR="00882C15" w14:paraId="52D03F56" w14:textId="77777777" w:rsidTr="001B41BD">
        <w:tc>
          <w:tcPr>
            <w:tcW w:w="4675" w:type="dxa"/>
            <w:vAlign w:val="bottom"/>
          </w:tcPr>
          <w:p w14:paraId="215B3AE7" w14:textId="77777777" w:rsidR="00882C15" w:rsidRPr="008C6CF4" w:rsidRDefault="00882C15" w:rsidP="001B41BD">
            <w:r w:rsidRPr="008C6CF4">
              <w:t>2017</w:t>
            </w:r>
          </w:p>
        </w:tc>
        <w:tc>
          <w:tcPr>
            <w:tcW w:w="4675" w:type="dxa"/>
            <w:vAlign w:val="bottom"/>
          </w:tcPr>
          <w:p w14:paraId="43EF6A5D" w14:textId="77777777" w:rsidR="00882C15" w:rsidRPr="008C6CF4" w:rsidRDefault="00882C15" w:rsidP="001B41BD">
            <w:r w:rsidRPr="008C6CF4">
              <w:t>54.00%</w:t>
            </w:r>
          </w:p>
        </w:tc>
      </w:tr>
      <w:tr w:rsidR="00882C15" w14:paraId="67505478" w14:textId="77777777" w:rsidTr="001B41BD">
        <w:tc>
          <w:tcPr>
            <w:tcW w:w="4675" w:type="dxa"/>
            <w:vAlign w:val="bottom"/>
          </w:tcPr>
          <w:p w14:paraId="1A1AA002" w14:textId="77777777" w:rsidR="00882C15" w:rsidRPr="008C6CF4" w:rsidRDefault="00882C15" w:rsidP="001B41BD">
            <w:r w:rsidRPr="008C6CF4">
              <w:t>2019</w:t>
            </w:r>
          </w:p>
        </w:tc>
        <w:tc>
          <w:tcPr>
            <w:tcW w:w="4675" w:type="dxa"/>
            <w:vAlign w:val="bottom"/>
          </w:tcPr>
          <w:p w14:paraId="0A79376F" w14:textId="77777777" w:rsidR="00882C15" w:rsidRPr="008C6CF4" w:rsidRDefault="00882C15" w:rsidP="001B41BD">
            <w:r w:rsidRPr="008C6CF4">
              <w:t>42.70%</w:t>
            </w:r>
          </w:p>
        </w:tc>
      </w:tr>
      <w:tr w:rsidR="00882C15" w14:paraId="70715189" w14:textId="77777777" w:rsidTr="001B41BD">
        <w:tc>
          <w:tcPr>
            <w:tcW w:w="4675" w:type="dxa"/>
            <w:vAlign w:val="bottom"/>
          </w:tcPr>
          <w:p w14:paraId="0FC573D0" w14:textId="77777777" w:rsidR="00882C15" w:rsidRPr="008C6CF4" w:rsidRDefault="00882C15" w:rsidP="001B41BD">
            <w:r w:rsidRPr="008C6CF4">
              <w:t>2021</w:t>
            </w:r>
          </w:p>
        </w:tc>
        <w:tc>
          <w:tcPr>
            <w:tcW w:w="4675" w:type="dxa"/>
            <w:vAlign w:val="bottom"/>
          </w:tcPr>
          <w:p w14:paraId="24F89B7A" w14:textId="77777777" w:rsidR="00882C15" w:rsidRPr="008C6CF4" w:rsidRDefault="00882C15" w:rsidP="001B41BD">
            <w:r w:rsidRPr="008C6CF4">
              <w:t>40.70%</w:t>
            </w:r>
          </w:p>
        </w:tc>
      </w:tr>
    </w:tbl>
    <w:p w14:paraId="4651FA24" w14:textId="77777777" w:rsidR="00882C15" w:rsidRPr="008C6CF4" w:rsidRDefault="00882C15" w:rsidP="00882C15">
      <w:r w:rsidRPr="008C6CF4">
        <w:t xml:space="preserve">Source: SC BRFSS. </w:t>
      </w:r>
    </w:p>
    <w:p w14:paraId="51F61D34" w14:textId="77777777" w:rsidR="00882C15" w:rsidRDefault="00882C15" w:rsidP="00882C15">
      <w:r w:rsidRPr="008C6CF4">
        <w:t>Notes: Adults 18+.</w:t>
      </w:r>
    </w:p>
    <w:p w14:paraId="21023032" w14:textId="77777777" w:rsidR="00882C15" w:rsidRDefault="00882C15" w:rsidP="00882C15">
      <w:pPr>
        <w:pStyle w:val="Heading4"/>
      </w:pPr>
      <w:bookmarkStart w:id="974" w:name="_Toc154576576"/>
    </w:p>
    <w:p w14:paraId="69CB43D5" w14:textId="7FBA169B" w:rsidR="00882C15" w:rsidRDefault="00882C15" w:rsidP="00882C15">
      <w:pPr>
        <w:pStyle w:val="Heading4"/>
      </w:pPr>
      <w:bookmarkStart w:id="975" w:name="_Toc162267658"/>
      <w:r w:rsidRPr="00A67916">
        <w:t>Figure 10.</w:t>
      </w:r>
      <w:r>
        <w:t>14</w:t>
      </w:r>
      <w:r w:rsidRPr="00A67916">
        <w:t xml:space="preserve">: </w:t>
      </w:r>
      <w:r w:rsidRPr="008C6CF4">
        <w:t>Any Activities Limited in Any Way due to Arthritis</w:t>
      </w:r>
      <w:r>
        <w:t>, by Sex</w:t>
      </w:r>
      <w:r w:rsidRPr="008C6CF4">
        <w:t>.</w:t>
      </w:r>
      <w:bookmarkEnd w:id="974"/>
      <w:bookmarkEnd w:id="975"/>
    </w:p>
    <w:tbl>
      <w:tblPr>
        <w:tblStyle w:val="TableGrid"/>
        <w:tblW w:w="0" w:type="auto"/>
        <w:tblLook w:val="04A0" w:firstRow="1" w:lastRow="0" w:firstColumn="1" w:lastColumn="0" w:noHBand="0" w:noVBand="1"/>
      </w:tblPr>
      <w:tblGrid>
        <w:gridCol w:w="4675"/>
        <w:gridCol w:w="4675"/>
      </w:tblGrid>
      <w:tr w:rsidR="00882C15" w14:paraId="64F0A411" w14:textId="77777777" w:rsidTr="001B41BD">
        <w:tc>
          <w:tcPr>
            <w:tcW w:w="4675" w:type="dxa"/>
            <w:vAlign w:val="bottom"/>
          </w:tcPr>
          <w:p w14:paraId="35F62A75" w14:textId="77777777" w:rsidR="00882C15" w:rsidRPr="008C6CF4" w:rsidRDefault="00882C15" w:rsidP="001B41BD">
            <w:r w:rsidRPr="008C6CF4">
              <w:t>Sex</w:t>
            </w:r>
          </w:p>
        </w:tc>
        <w:tc>
          <w:tcPr>
            <w:tcW w:w="4675" w:type="dxa"/>
            <w:vAlign w:val="bottom"/>
          </w:tcPr>
          <w:p w14:paraId="3FC78972" w14:textId="77777777" w:rsidR="00882C15" w:rsidRPr="008C6CF4" w:rsidRDefault="00882C15" w:rsidP="001B41BD">
            <w:r w:rsidRPr="008C6CF4">
              <w:t>Percent</w:t>
            </w:r>
          </w:p>
        </w:tc>
      </w:tr>
      <w:tr w:rsidR="00882C15" w14:paraId="30E2DD26" w14:textId="77777777" w:rsidTr="001B41BD">
        <w:tc>
          <w:tcPr>
            <w:tcW w:w="4675" w:type="dxa"/>
            <w:vAlign w:val="bottom"/>
          </w:tcPr>
          <w:p w14:paraId="7ED30F37" w14:textId="77777777" w:rsidR="00882C15" w:rsidRPr="008C6CF4" w:rsidRDefault="00882C15" w:rsidP="001B41BD">
            <w:r w:rsidRPr="008C6CF4">
              <w:t>Male</w:t>
            </w:r>
          </w:p>
        </w:tc>
        <w:tc>
          <w:tcPr>
            <w:tcW w:w="4675" w:type="dxa"/>
            <w:vAlign w:val="bottom"/>
          </w:tcPr>
          <w:p w14:paraId="01FBB888" w14:textId="77777777" w:rsidR="00882C15" w:rsidRPr="008C6CF4" w:rsidRDefault="00882C15" w:rsidP="001B41BD">
            <w:r w:rsidRPr="008C6CF4">
              <w:t>33.50%</w:t>
            </w:r>
          </w:p>
        </w:tc>
      </w:tr>
      <w:tr w:rsidR="00882C15" w14:paraId="38CB19BB" w14:textId="77777777" w:rsidTr="001B41BD">
        <w:tc>
          <w:tcPr>
            <w:tcW w:w="4675" w:type="dxa"/>
            <w:vAlign w:val="bottom"/>
          </w:tcPr>
          <w:p w14:paraId="0A4AC6F0" w14:textId="77777777" w:rsidR="00882C15" w:rsidRPr="008C6CF4" w:rsidRDefault="00882C15" w:rsidP="001B41BD">
            <w:r w:rsidRPr="008C6CF4">
              <w:t>Female</w:t>
            </w:r>
          </w:p>
        </w:tc>
        <w:tc>
          <w:tcPr>
            <w:tcW w:w="4675" w:type="dxa"/>
            <w:vAlign w:val="bottom"/>
          </w:tcPr>
          <w:p w14:paraId="71BE9E48" w14:textId="77777777" w:rsidR="00882C15" w:rsidRPr="008C6CF4" w:rsidRDefault="00882C15" w:rsidP="001B41BD">
            <w:r w:rsidRPr="008C6CF4">
              <w:t>45.80%</w:t>
            </w:r>
          </w:p>
        </w:tc>
      </w:tr>
    </w:tbl>
    <w:p w14:paraId="62A6F239" w14:textId="77777777" w:rsidR="00882C15" w:rsidRPr="008C6CF4" w:rsidRDefault="00882C15" w:rsidP="00882C15">
      <w:r w:rsidRPr="008C6CF4">
        <w:t xml:space="preserve">Source: SC BRFSS, 2021. </w:t>
      </w:r>
    </w:p>
    <w:p w14:paraId="39A76600" w14:textId="77777777" w:rsidR="00882C15" w:rsidRDefault="00882C15" w:rsidP="00882C15">
      <w:r w:rsidRPr="008C6CF4">
        <w:t>Notes: Adults 18+.</w:t>
      </w:r>
    </w:p>
    <w:p w14:paraId="0B1933C4" w14:textId="77777777" w:rsidR="00882C15" w:rsidRDefault="00882C15" w:rsidP="00882C15"/>
    <w:p w14:paraId="50E9A070" w14:textId="77777777" w:rsidR="00882C15" w:rsidRPr="00882C15" w:rsidRDefault="00882C15" w:rsidP="00882C15">
      <w:pPr>
        <w:pStyle w:val="Heading4"/>
      </w:pPr>
      <w:bookmarkStart w:id="976" w:name="_Toc162267659"/>
      <w:r w:rsidRPr="00882C15">
        <w:t>Data Interpretations:</w:t>
      </w:r>
      <w:bookmarkEnd w:id="976"/>
      <w:r w:rsidRPr="00882C15">
        <w:t xml:space="preserve"> </w:t>
      </w:r>
    </w:p>
    <w:p w14:paraId="155DF169" w14:textId="365464FE" w:rsidR="00882C15" w:rsidRPr="00882C15" w:rsidRDefault="00882C15" w:rsidP="00882C15">
      <w:r w:rsidRPr="00882C15">
        <w:t xml:space="preserve">According to the Behavioral Risk Factors Surveillance Survey (BRFSS), in 2021, it was estimated that 26.1% of the SC adult population had been diagnosed with </w:t>
      </w:r>
      <w:r w:rsidRPr="00882C15">
        <w:lastRenderedPageBreak/>
        <w:t>some form of arthritis, the 10th-highest percent in the nation. The percentage of adults diagnosed with arthritis increases as one ages, with those 65 and older seeing the highest percentage (52.8%) (</w:t>
      </w:r>
      <w:r w:rsidRPr="00882C15">
        <w:rPr>
          <w:b/>
          <w:bCs/>
        </w:rPr>
        <w:t>Figure 10.12</w:t>
      </w:r>
      <w:r w:rsidRPr="00882C15">
        <w:t>). Adults 65 and older have a 9.4 times higher rate of being diagnosed with arthritis when compared to those aged 18-24. Despite the percentage of adults being diagnosed with arthritis being relatively stable over the past 10 years, there has been a 21.0% decrease in the percentage of adults saying arthritis has limited activities in any way (</w:t>
      </w:r>
      <w:r w:rsidRPr="00882C15">
        <w:rPr>
          <w:b/>
          <w:bCs/>
        </w:rPr>
        <w:t>Figure 10.13</w:t>
      </w:r>
      <w:r w:rsidRPr="00882C15">
        <w:t>). In 2021, 2 in 5 adults with arthritis had activities limited in any way (</w:t>
      </w:r>
      <w:r w:rsidRPr="00882C15">
        <w:rPr>
          <w:b/>
          <w:bCs/>
        </w:rPr>
        <w:t>Figure 10.13</w:t>
      </w:r>
      <w:r w:rsidRPr="00882C15">
        <w:t>). Females with arthritis report having activities limited 36.7% more than their male counterparts (</w:t>
      </w:r>
      <w:r w:rsidRPr="00882C15">
        <w:rPr>
          <w:b/>
          <w:bCs/>
        </w:rPr>
        <w:t>Figure 10.14</w:t>
      </w:r>
      <w:r w:rsidRPr="00882C15">
        <w:t xml:space="preserve">). </w:t>
      </w:r>
    </w:p>
    <w:p w14:paraId="3D5F7E88" w14:textId="77777777" w:rsidR="00882C15" w:rsidRDefault="00882C15" w:rsidP="00882C15"/>
    <w:p w14:paraId="2C5E9C2F" w14:textId="6F0AD109" w:rsidR="00882C15" w:rsidRPr="00882C15" w:rsidRDefault="00882C15" w:rsidP="00882C15">
      <w:pPr>
        <w:pStyle w:val="Heading5"/>
      </w:pPr>
      <w:r w:rsidRPr="00882C15">
        <w:t>Key Takeaways:</w:t>
      </w:r>
    </w:p>
    <w:p w14:paraId="69314054" w14:textId="77777777" w:rsidR="00882C15" w:rsidRPr="00882C15" w:rsidRDefault="00882C15" w:rsidP="00926EB3">
      <w:pPr>
        <w:pStyle w:val="ListParagraph"/>
        <w:numPr>
          <w:ilvl w:val="0"/>
          <w:numId w:val="228"/>
        </w:numPr>
      </w:pPr>
      <w:r w:rsidRPr="00882C15">
        <w:t>More than half of adults 65 and older in SC reported being diagnosed with arthritis.</w:t>
      </w:r>
    </w:p>
    <w:p w14:paraId="2C05B9BE" w14:textId="77777777" w:rsidR="00882C15" w:rsidRDefault="00882C15" w:rsidP="00882C15"/>
    <w:p w14:paraId="48923F67" w14:textId="0147AB7C" w:rsidR="00882C15" w:rsidRPr="00474B85" w:rsidRDefault="00882C15" w:rsidP="00882C15">
      <w:pPr>
        <w:pStyle w:val="Heading4"/>
        <w:rPr>
          <w:rFonts w:asciiTheme="minorHAnsi" w:hAnsiTheme="minorHAnsi" w:cstheme="minorHAnsi"/>
          <w:color w:val="000000" w:themeColor="text1"/>
        </w:rPr>
      </w:pPr>
      <w:bookmarkStart w:id="977" w:name="_Toc162267660"/>
      <w:r w:rsidRPr="00474B85">
        <w:rPr>
          <w:rFonts w:asciiTheme="minorHAnsi" w:hAnsiTheme="minorHAnsi" w:cstheme="minorHAnsi"/>
          <w:color w:val="000000" w:themeColor="text1"/>
        </w:rPr>
        <w:t xml:space="preserve">References </w:t>
      </w:r>
      <w:r>
        <w:rPr>
          <w:rFonts w:asciiTheme="minorHAnsi" w:hAnsiTheme="minorHAnsi" w:cstheme="minorHAnsi"/>
          <w:color w:val="000000" w:themeColor="text1"/>
        </w:rPr>
        <w:t>10.6</w:t>
      </w:r>
      <w:bookmarkEnd w:id="977"/>
      <w:r>
        <w:rPr>
          <w:rFonts w:asciiTheme="minorHAnsi" w:hAnsiTheme="minorHAnsi" w:cstheme="minorHAnsi"/>
          <w:color w:val="000000" w:themeColor="text1"/>
        </w:rPr>
        <w:t xml:space="preserve"> </w:t>
      </w:r>
    </w:p>
    <w:p w14:paraId="2D972836" w14:textId="77777777" w:rsidR="00882C15" w:rsidRDefault="00882C15" w:rsidP="00882C15">
      <w:r w:rsidRPr="00474B85">
        <w:t>Statistics in the preceding section were referenced from the following reports:</w:t>
      </w:r>
    </w:p>
    <w:p w14:paraId="764C7CE8" w14:textId="6AD2B194" w:rsidR="00D71D29" w:rsidRPr="00D71D29" w:rsidRDefault="00000000" w:rsidP="00926EB3">
      <w:pPr>
        <w:pStyle w:val="ListParagraph"/>
        <w:numPr>
          <w:ilvl w:val="0"/>
          <w:numId w:val="199"/>
        </w:numPr>
      </w:pPr>
      <w:hyperlink r:id="rId431" w:history="1">
        <w:r w:rsidR="00D71D29" w:rsidRPr="00D71D29">
          <w:rPr>
            <w:rStyle w:val="Hyperlink"/>
          </w:rPr>
          <w:t>“Arthritis” by the U.S. National Library of Medicine. Published by MedlinePlus, 2016. Retrieved December 20, 2022.</w:t>
        </w:r>
      </w:hyperlink>
      <w:r w:rsidR="00D71D29" w:rsidRPr="00D71D29">
        <w:t xml:space="preserve"> </w:t>
      </w:r>
    </w:p>
    <w:p w14:paraId="6F60C9E3" w14:textId="417513E1" w:rsidR="00D71D29" w:rsidRPr="00D71D29" w:rsidRDefault="00000000" w:rsidP="00926EB3">
      <w:pPr>
        <w:pStyle w:val="ListParagraph"/>
        <w:numPr>
          <w:ilvl w:val="0"/>
          <w:numId w:val="199"/>
        </w:numPr>
      </w:pPr>
      <w:hyperlink r:id="rId432" w:history="1">
        <w:r w:rsidR="00D71D29" w:rsidRPr="00D71D29">
          <w:rPr>
            <w:rStyle w:val="Hyperlink"/>
          </w:rPr>
          <w:t>“Four things you should know about arthritis” by Centers for Disease Control and Prevention via cdc.gov, 2021. Retrieved December 20, 2022.</w:t>
        </w:r>
      </w:hyperlink>
    </w:p>
    <w:p w14:paraId="6F2E022C" w14:textId="583840E6" w:rsidR="00D71D29" w:rsidRPr="00D71D29" w:rsidRDefault="00000000" w:rsidP="00926EB3">
      <w:pPr>
        <w:pStyle w:val="ListParagraph"/>
        <w:numPr>
          <w:ilvl w:val="0"/>
          <w:numId w:val="199"/>
        </w:numPr>
      </w:pPr>
      <w:hyperlink r:id="rId433" w:history="1">
        <w:r w:rsidR="00D71D29" w:rsidRPr="00D71D29">
          <w:rPr>
            <w:rStyle w:val="Hyperlink"/>
          </w:rPr>
          <w:t>“Osteoarthritis” by the U.S. Department of Health and Human Services. Published by the National Institute on Aging, 2022. Retrieved December 20, 2022.</w:t>
        </w:r>
      </w:hyperlink>
      <w:r w:rsidR="00D71D29" w:rsidRPr="00D71D29">
        <w:t xml:space="preserve"> </w:t>
      </w:r>
    </w:p>
    <w:p w14:paraId="531643CD" w14:textId="3031CB0E" w:rsidR="00D71D29" w:rsidRPr="00D71D29" w:rsidRDefault="00000000" w:rsidP="00926EB3">
      <w:pPr>
        <w:pStyle w:val="ListParagraph"/>
        <w:numPr>
          <w:ilvl w:val="0"/>
          <w:numId w:val="199"/>
        </w:numPr>
      </w:pPr>
      <w:hyperlink r:id="rId434" w:anchor=":~:text=Arthritis%20has%20a%20profound%20economic,Gross%20Domestic%20Product%20(GDP)" w:history="1">
        <w:r w:rsidR="00D71D29" w:rsidRPr="00D71D29">
          <w:rPr>
            <w:rStyle w:val="Hyperlink"/>
          </w:rPr>
          <w:t>“Arthritis cost statistics” by Centers for Disease Control and Prevention via cdc.gov, 2020. Retrieved December 20, 2022.</w:t>
        </w:r>
      </w:hyperlink>
    </w:p>
    <w:p w14:paraId="3203C4B1" w14:textId="77777777" w:rsidR="00882C15" w:rsidRDefault="00882C15" w:rsidP="00882C15"/>
    <w:p w14:paraId="70CC8520" w14:textId="77777777" w:rsidR="00882C15" w:rsidRPr="00882C15" w:rsidRDefault="00882C15" w:rsidP="00882C15">
      <w:pPr>
        <w:pStyle w:val="Heading3"/>
      </w:pPr>
      <w:bookmarkStart w:id="978" w:name="_Toc162267661"/>
      <w:r w:rsidRPr="00882C15">
        <w:t>Unintentional Injury</w:t>
      </w:r>
      <w:bookmarkEnd w:id="978"/>
    </w:p>
    <w:p w14:paraId="48591514" w14:textId="498B0B7A" w:rsidR="00882C15" w:rsidRDefault="00882C15" w:rsidP="00882C15">
      <w:r w:rsidRPr="00882C15">
        <w:t>Over 10,000 people in the US turn 65 every day</w:t>
      </w:r>
      <w:r>
        <w:t>.</w:t>
      </w:r>
      <w:r w:rsidRPr="00882C15">
        <w:t xml:space="preserve"> With this increase in the population of older adults, injuries to these people and associated health care costs will also increase. Unintentional injuries have traditionally been the 7th-leading cause of death among adults aged 65 and over. Falls and motor vehicle crashes (MVCs) result in most of the traumatic brain injury (TBI) related hospitalizations and deaths among older adults. Nonfatal injuries in this age group can lead to long-term health consequences, such as brain injury and loss of independence.</w:t>
      </w:r>
    </w:p>
    <w:p w14:paraId="33FD5679" w14:textId="77777777" w:rsidR="003E3A63" w:rsidRPr="00882C15" w:rsidRDefault="003E3A63" w:rsidP="00882C15"/>
    <w:p w14:paraId="1C8A77C9" w14:textId="766D0AD0" w:rsidR="00882C15" w:rsidRPr="00882C15" w:rsidRDefault="00882C15" w:rsidP="00882C15">
      <w:r w:rsidRPr="00882C15">
        <w:lastRenderedPageBreak/>
        <w:t>In 2021, there were over 1,200 deaths in adults aged 65 and older due to unintentional injuries in SC.</w:t>
      </w:r>
      <w:r w:rsidRPr="00882C15">
        <w:rPr>
          <w:b/>
          <w:bCs/>
        </w:rPr>
        <w:t xml:space="preserve"> </w:t>
      </w:r>
      <w:r w:rsidRPr="00882C15">
        <w:t xml:space="preserve">Nationally, approximately 70,000 older adults over the age of 65 die from unintentional injuries each year. In 2020, an estimated 4.2 million emergency department (ED) visits among adults aged 65 and over were associated with unintentional injuries such as falls, MVC, and overdoses. </w:t>
      </w:r>
    </w:p>
    <w:p w14:paraId="65506BB2" w14:textId="77777777" w:rsidR="00882C15" w:rsidRDefault="00882C15" w:rsidP="00882C15">
      <w:pPr>
        <w:pStyle w:val="Heading4"/>
      </w:pPr>
      <w:bookmarkStart w:id="979" w:name="_Toc154576577"/>
    </w:p>
    <w:p w14:paraId="269A3484" w14:textId="1F92FF14" w:rsidR="00882C15" w:rsidRDefault="00882C15" w:rsidP="00882C15">
      <w:pPr>
        <w:pStyle w:val="Heading4"/>
      </w:pPr>
      <w:bookmarkStart w:id="980" w:name="_Toc162267662"/>
      <w:r>
        <w:t>Table 10.2</w:t>
      </w:r>
      <w:r w:rsidRPr="00A67916">
        <w:t xml:space="preserve">: </w:t>
      </w:r>
      <w:r w:rsidRPr="008C6CF4">
        <w:t>Top Two Leading Causes of Unintentional Injury Deaths, Ages 65+</w:t>
      </w:r>
      <w:r>
        <w:t>.</w:t>
      </w:r>
      <w:bookmarkEnd w:id="979"/>
      <w:bookmarkEnd w:id="980"/>
    </w:p>
    <w:tbl>
      <w:tblPr>
        <w:tblStyle w:val="TableGrid"/>
        <w:tblW w:w="0" w:type="auto"/>
        <w:tblLook w:val="04A0" w:firstRow="1" w:lastRow="0" w:firstColumn="1" w:lastColumn="0" w:noHBand="0" w:noVBand="1"/>
      </w:tblPr>
      <w:tblGrid>
        <w:gridCol w:w="3116"/>
        <w:gridCol w:w="3117"/>
        <w:gridCol w:w="3117"/>
      </w:tblGrid>
      <w:tr w:rsidR="00882C15" w14:paraId="481800C0" w14:textId="77777777" w:rsidTr="001B41BD">
        <w:tc>
          <w:tcPr>
            <w:tcW w:w="3116" w:type="dxa"/>
            <w:vAlign w:val="bottom"/>
          </w:tcPr>
          <w:p w14:paraId="04DD7FF4" w14:textId="77777777" w:rsidR="00882C15" w:rsidRPr="008C6CF4" w:rsidRDefault="00882C15" w:rsidP="001B41BD">
            <w:r w:rsidRPr="008C6CF4">
              <w:t>Age Group</w:t>
            </w:r>
          </w:p>
        </w:tc>
        <w:tc>
          <w:tcPr>
            <w:tcW w:w="3117" w:type="dxa"/>
            <w:vAlign w:val="bottom"/>
          </w:tcPr>
          <w:p w14:paraId="40825881" w14:textId="77777777" w:rsidR="00882C15" w:rsidRPr="008C6CF4" w:rsidRDefault="00882C15" w:rsidP="001B41BD">
            <w:r w:rsidRPr="008C6CF4">
              <w:t>Top 2 Leading Cause of Injury Death</w:t>
            </w:r>
          </w:p>
        </w:tc>
        <w:tc>
          <w:tcPr>
            <w:tcW w:w="3117" w:type="dxa"/>
            <w:vAlign w:val="bottom"/>
          </w:tcPr>
          <w:p w14:paraId="638A34C9" w14:textId="77777777" w:rsidR="00882C15" w:rsidRPr="008C6CF4" w:rsidRDefault="00882C15" w:rsidP="001B41BD">
            <w:r w:rsidRPr="008C6CF4">
              <w:t>Number of Total Deaths due to Injury</w:t>
            </w:r>
          </w:p>
        </w:tc>
      </w:tr>
      <w:tr w:rsidR="00882C15" w14:paraId="261F1C22" w14:textId="77777777" w:rsidTr="001B41BD">
        <w:tc>
          <w:tcPr>
            <w:tcW w:w="3116" w:type="dxa"/>
            <w:vAlign w:val="bottom"/>
          </w:tcPr>
          <w:p w14:paraId="5BE197A5" w14:textId="77777777" w:rsidR="00882C15" w:rsidRPr="008C6CF4" w:rsidRDefault="00882C15" w:rsidP="001B41BD">
            <w:r w:rsidRPr="008C6CF4">
              <w:t>65-74 Years</w:t>
            </w:r>
          </w:p>
        </w:tc>
        <w:tc>
          <w:tcPr>
            <w:tcW w:w="3117" w:type="dxa"/>
            <w:vAlign w:val="bottom"/>
          </w:tcPr>
          <w:p w14:paraId="7883833C" w14:textId="77777777" w:rsidR="00882C15" w:rsidRPr="008C6CF4" w:rsidRDefault="00882C15" w:rsidP="001B41BD">
            <w:r w:rsidRPr="008C6CF4">
              <w:t>1. Motor vehicle crashes</w:t>
            </w:r>
          </w:p>
        </w:tc>
        <w:tc>
          <w:tcPr>
            <w:tcW w:w="3117" w:type="dxa"/>
            <w:vAlign w:val="bottom"/>
          </w:tcPr>
          <w:p w14:paraId="684E7D05" w14:textId="77777777" w:rsidR="00882C15" w:rsidRPr="008C6CF4" w:rsidRDefault="00882C15" w:rsidP="001B41BD">
            <w:r w:rsidRPr="008C6CF4">
              <w:t>513</w:t>
            </w:r>
          </w:p>
        </w:tc>
      </w:tr>
      <w:tr w:rsidR="00882C15" w14:paraId="70551B4F" w14:textId="77777777" w:rsidTr="001B41BD">
        <w:tc>
          <w:tcPr>
            <w:tcW w:w="3116" w:type="dxa"/>
            <w:vAlign w:val="bottom"/>
          </w:tcPr>
          <w:p w14:paraId="12870CBC" w14:textId="77777777" w:rsidR="00882C15" w:rsidRPr="008C6CF4" w:rsidRDefault="00882C15" w:rsidP="001B41BD">
            <w:r w:rsidRPr="008C6CF4">
              <w:t>65-74 Years</w:t>
            </w:r>
          </w:p>
        </w:tc>
        <w:tc>
          <w:tcPr>
            <w:tcW w:w="3117" w:type="dxa"/>
            <w:vAlign w:val="bottom"/>
          </w:tcPr>
          <w:p w14:paraId="62004D9B" w14:textId="77777777" w:rsidR="00882C15" w:rsidRPr="008C6CF4" w:rsidRDefault="00882C15" w:rsidP="001B41BD">
            <w:r w:rsidRPr="008C6CF4">
              <w:t xml:space="preserve">2. Falls </w:t>
            </w:r>
          </w:p>
        </w:tc>
        <w:tc>
          <w:tcPr>
            <w:tcW w:w="3117" w:type="dxa"/>
            <w:vAlign w:val="bottom"/>
          </w:tcPr>
          <w:p w14:paraId="40AE0DD2" w14:textId="77777777" w:rsidR="00882C15" w:rsidRPr="008C6CF4" w:rsidRDefault="00882C15" w:rsidP="001B41BD">
            <w:r w:rsidRPr="008C6CF4">
              <w:t>488</w:t>
            </w:r>
          </w:p>
        </w:tc>
      </w:tr>
      <w:tr w:rsidR="00882C15" w14:paraId="31926358" w14:textId="77777777" w:rsidTr="001B41BD">
        <w:tc>
          <w:tcPr>
            <w:tcW w:w="3116" w:type="dxa"/>
            <w:vAlign w:val="bottom"/>
          </w:tcPr>
          <w:p w14:paraId="0C05A6BB" w14:textId="77777777" w:rsidR="00882C15" w:rsidRPr="008C6CF4" w:rsidRDefault="00882C15" w:rsidP="001B41BD">
            <w:r w:rsidRPr="008C6CF4">
              <w:t>75-84 Years</w:t>
            </w:r>
          </w:p>
        </w:tc>
        <w:tc>
          <w:tcPr>
            <w:tcW w:w="3117" w:type="dxa"/>
            <w:vAlign w:val="bottom"/>
          </w:tcPr>
          <w:p w14:paraId="4FD9FF2B" w14:textId="77777777" w:rsidR="00882C15" w:rsidRPr="008C6CF4" w:rsidRDefault="00882C15" w:rsidP="001B41BD">
            <w:r w:rsidRPr="008C6CF4">
              <w:t>1. Falls</w:t>
            </w:r>
          </w:p>
        </w:tc>
        <w:tc>
          <w:tcPr>
            <w:tcW w:w="3117" w:type="dxa"/>
            <w:vAlign w:val="bottom"/>
          </w:tcPr>
          <w:p w14:paraId="791EE70A" w14:textId="77777777" w:rsidR="00882C15" w:rsidRPr="008C6CF4" w:rsidRDefault="00882C15" w:rsidP="001B41BD">
            <w:r w:rsidRPr="008C6CF4">
              <w:t>870</w:t>
            </w:r>
          </w:p>
        </w:tc>
      </w:tr>
      <w:tr w:rsidR="00882C15" w14:paraId="4411D0B6" w14:textId="77777777" w:rsidTr="001B41BD">
        <w:tc>
          <w:tcPr>
            <w:tcW w:w="3116" w:type="dxa"/>
            <w:vAlign w:val="bottom"/>
          </w:tcPr>
          <w:p w14:paraId="57F9F26C" w14:textId="77777777" w:rsidR="00882C15" w:rsidRPr="008C6CF4" w:rsidRDefault="00882C15" w:rsidP="001B41BD">
            <w:r w:rsidRPr="008C6CF4">
              <w:t>75-84 Years</w:t>
            </w:r>
          </w:p>
        </w:tc>
        <w:tc>
          <w:tcPr>
            <w:tcW w:w="3117" w:type="dxa"/>
            <w:vAlign w:val="bottom"/>
          </w:tcPr>
          <w:p w14:paraId="2AD5EFB4" w14:textId="77777777" w:rsidR="00882C15" w:rsidRPr="008C6CF4" w:rsidRDefault="00882C15" w:rsidP="001B41BD">
            <w:r w:rsidRPr="008C6CF4">
              <w:t>2. Motor vehicle crashes</w:t>
            </w:r>
          </w:p>
        </w:tc>
        <w:tc>
          <w:tcPr>
            <w:tcW w:w="3117" w:type="dxa"/>
            <w:vAlign w:val="bottom"/>
          </w:tcPr>
          <w:p w14:paraId="6C599764" w14:textId="77777777" w:rsidR="00882C15" w:rsidRPr="008C6CF4" w:rsidRDefault="00882C15" w:rsidP="001B41BD">
            <w:r w:rsidRPr="008C6CF4">
              <w:t>288</w:t>
            </w:r>
          </w:p>
        </w:tc>
      </w:tr>
      <w:tr w:rsidR="00882C15" w14:paraId="7A706E26" w14:textId="77777777" w:rsidTr="001B41BD">
        <w:tc>
          <w:tcPr>
            <w:tcW w:w="3116" w:type="dxa"/>
            <w:vAlign w:val="bottom"/>
          </w:tcPr>
          <w:p w14:paraId="7A80B9D8" w14:textId="77777777" w:rsidR="00882C15" w:rsidRPr="008C6CF4" w:rsidRDefault="00882C15" w:rsidP="001B41BD">
            <w:r w:rsidRPr="008C6CF4">
              <w:t>85+ Years</w:t>
            </w:r>
          </w:p>
        </w:tc>
        <w:tc>
          <w:tcPr>
            <w:tcW w:w="3117" w:type="dxa"/>
            <w:vAlign w:val="bottom"/>
          </w:tcPr>
          <w:p w14:paraId="37668A9B" w14:textId="77777777" w:rsidR="00882C15" w:rsidRPr="008C6CF4" w:rsidRDefault="00882C15" w:rsidP="001B41BD">
            <w:r w:rsidRPr="008C6CF4">
              <w:t>1. Falls</w:t>
            </w:r>
          </w:p>
        </w:tc>
        <w:tc>
          <w:tcPr>
            <w:tcW w:w="3117" w:type="dxa"/>
            <w:vAlign w:val="bottom"/>
          </w:tcPr>
          <w:p w14:paraId="73E02ECD" w14:textId="77777777" w:rsidR="00882C15" w:rsidRPr="008C6CF4" w:rsidRDefault="00882C15" w:rsidP="001B41BD">
            <w:r w:rsidRPr="008C6CF4">
              <w:t>1</w:t>
            </w:r>
            <w:r>
              <w:t>,</w:t>
            </w:r>
            <w:r w:rsidRPr="008C6CF4">
              <w:t>274</w:t>
            </w:r>
          </w:p>
        </w:tc>
      </w:tr>
      <w:tr w:rsidR="00882C15" w14:paraId="76A6CB3E" w14:textId="77777777" w:rsidTr="001B41BD">
        <w:tc>
          <w:tcPr>
            <w:tcW w:w="3116" w:type="dxa"/>
            <w:vAlign w:val="bottom"/>
          </w:tcPr>
          <w:p w14:paraId="463E956D" w14:textId="77777777" w:rsidR="00882C15" w:rsidRPr="008C6CF4" w:rsidRDefault="00882C15" w:rsidP="001B41BD">
            <w:r w:rsidRPr="008C6CF4">
              <w:t>85+ Years</w:t>
            </w:r>
          </w:p>
        </w:tc>
        <w:tc>
          <w:tcPr>
            <w:tcW w:w="3117" w:type="dxa"/>
            <w:vAlign w:val="bottom"/>
          </w:tcPr>
          <w:p w14:paraId="69F7468B" w14:textId="77777777" w:rsidR="00882C15" w:rsidRPr="008C6CF4" w:rsidRDefault="00882C15" w:rsidP="001B41BD">
            <w:r w:rsidRPr="008C6CF4">
              <w:t>2. Unspecified Injury</w:t>
            </w:r>
          </w:p>
        </w:tc>
        <w:tc>
          <w:tcPr>
            <w:tcW w:w="3117" w:type="dxa"/>
            <w:vAlign w:val="bottom"/>
          </w:tcPr>
          <w:p w14:paraId="4E5A3B6E" w14:textId="77777777" w:rsidR="00882C15" w:rsidRPr="008C6CF4" w:rsidRDefault="00882C15" w:rsidP="001B41BD">
            <w:r w:rsidRPr="008C6CF4">
              <w:t>315</w:t>
            </w:r>
          </w:p>
        </w:tc>
      </w:tr>
    </w:tbl>
    <w:p w14:paraId="77CFF305" w14:textId="77777777" w:rsidR="00882C15" w:rsidRDefault="00882C15" w:rsidP="00882C15">
      <w:r>
        <w:t>Source: SC DHEC Vital Statistics, 2017-2021.</w:t>
      </w:r>
    </w:p>
    <w:p w14:paraId="168E5705" w14:textId="77777777" w:rsidR="00882C15" w:rsidRDefault="00882C15" w:rsidP="00882C15">
      <w:pPr>
        <w:pStyle w:val="Heading4"/>
      </w:pPr>
      <w:bookmarkStart w:id="981" w:name="_Toc154576578"/>
    </w:p>
    <w:p w14:paraId="7FAAFD6D" w14:textId="594065CD" w:rsidR="00882C15" w:rsidRDefault="00882C15" w:rsidP="00882C15">
      <w:pPr>
        <w:pStyle w:val="Heading4"/>
      </w:pPr>
      <w:bookmarkStart w:id="982" w:name="_Toc162267663"/>
      <w:r>
        <w:t>Figure 10.15</w:t>
      </w:r>
      <w:r w:rsidRPr="00A67916">
        <w:t xml:space="preserve">: </w:t>
      </w:r>
      <w:r w:rsidRPr="008C6CF4">
        <w:t>Unintentional Injury Deaths, Age</w:t>
      </w:r>
      <w:r>
        <w:t>s</w:t>
      </w:r>
      <w:r w:rsidRPr="008C6CF4">
        <w:t xml:space="preserve"> 65+</w:t>
      </w:r>
      <w:r>
        <w:t>.</w:t>
      </w:r>
      <w:bookmarkEnd w:id="981"/>
      <w:bookmarkEnd w:id="982"/>
    </w:p>
    <w:p w14:paraId="5DC92D1E" w14:textId="77777777" w:rsidR="00882C15" w:rsidRPr="008C6CF4" w:rsidRDefault="00882C15" w:rsidP="00882C15">
      <w:pPr>
        <w:pStyle w:val="Heading5"/>
      </w:pPr>
      <w:r>
        <w:t>Rate per 100,000 population.</w:t>
      </w:r>
    </w:p>
    <w:tbl>
      <w:tblPr>
        <w:tblStyle w:val="TableGrid"/>
        <w:tblW w:w="0" w:type="auto"/>
        <w:tblLook w:val="04A0" w:firstRow="1" w:lastRow="0" w:firstColumn="1" w:lastColumn="0" w:noHBand="0" w:noVBand="1"/>
      </w:tblPr>
      <w:tblGrid>
        <w:gridCol w:w="3116"/>
        <w:gridCol w:w="3117"/>
        <w:gridCol w:w="3117"/>
      </w:tblGrid>
      <w:tr w:rsidR="00882C15" w14:paraId="090AD42F" w14:textId="77777777" w:rsidTr="001B41BD">
        <w:tc>
          <w:tcPr>
            <w:tcW w:w="3116" w:type="dxa"/>
            <w:vAlign w:val="bottom"/>
          </w:tcPr>
          <w:p w14:paraId="09D4AEBE" w14:textId="77777777" w:rsidR="00882C15" w:rsidRPr="008C6CF4" w:rsidRDefault="00882C15" w:rsidP="001B41BD">
            <w:r w:rsidRPr="008C6CF4">
              <w:t>Year</w:t>
            </w:r>
          </w:p>
        </w:tc>
        <w:tc>
          <w:tcPr>
            <w:tcW w:w="3117" w:type="dxa"/>
            <w:vAlign w:val="bottom"/>
          </w:tcPr>
          <w:p w14:paraId="3F407681" w14:textId="77777777" w:rsidR="00882C15" w:rsidRPr="008C6CF4" w:rsidRDefault="00882C15" w:rsidP="001B41BD">
            <w:r w:rsidRPr="008C6CF4">
              <w:t>South Carolina</w:t>
            </w:r>
          </w:p>
        </w:tc>
        <w:tc>
          <w:tcPr>
            <w:tcW w:w="3117" w:type="dxa"/>
            <w:vAlign w:val="bottom"/>
          </w:tcPr>
          <w:p w14:paraId="270F17A5" w14:textId="77777777" w:rsidR="00882C15" w:rsidRPr="008C6CF4" w:rsidRDefault="00882C15" w:rsidP="001B41BD">
            <w:r w:rsidRPr="008C6CF4">
              <w:t>United States</w:t>
            </w:r>
          </w:p>
        </w:tc>
      </w:tr>
      <w:tr w:rsidR="00882C15" w14:paraId="34490FFD" w14:textId="77777777" w:rsidTr="001B41BD">
        <w:tc>
          <w:tcPr>
            <w:tcW w:w="3116" w:type="dxa"/>
            <w:vAlign w:val="bottom"/>
          </w:tcPr>
          <w:p w14:paraId="7F7ACE3C" w14:textId="77777777" w:rsidR="00882C15" w:rsidRPr="008C6CF4" w:rsidRDefault="00882C15" w:rsidP="001B41BD">
            <w:r w:rsidRPr="008C6CF4">
              <w:t>2012</w:t>
            </w:r>
          </w:p>
        </w:tc>
        <w:tc>
          <w:tcPr>
            <w:tcW w:w="3117" w:type="dxa"/>
            <w:vAlign w:val="bottom"/>
          </w:tcPr>
          <w:p w14:paraId="2546D8B9" w14:textId="77777777" w:rsidR="00882C15" w:rsidRPr="008C6CF4" w:rsidRDefault="00882C15" w:rsidP="001B41BD">
            <w:r w:rsidRPr="008C6CF4">
              <w:t>96.2</w:t>
            </w:r>
          </w:p>
        </w:tc>
        <w:tc>
          <w:tcPr>
            <w:tcW w:w="3117" w:type="dxa"/>
            <w:vAlign w:val="bottom"/>
          </w:tcPr>
          <w:p w14:paraId="29F4ED87" w14:textId="77777777" w:rsidR="00882C15" w:rsidRPr="008C6CF4" w:rsidRDefault="00882C15" w:rsidP="001B41BD">
            <w:r w:rsidRPr="008C6CF4">
              <w:t>103.6</w:t>
            </w:r>
          </w:p>
        </w:tc>
      </w:tr>
      <w:tr w:rsidR="00882C15" w14:paraId="4A1905FA" w14:textId="77777777" w:rsidTr="001B41BD">
        <w:tc>
          <w:tcPr>
            <w:tcW w:w="3116" w:type="dxa"/>
            <w:vAlign w:val="bottom"/>
          </w:tcPr>
          <w:p w14:paraId="71F71C5F" w14:textId="77777777" w:rsidR="00882C15" w:rsidRPr="008C6CF4" w:rsidRDefault="00882C15" w:rsidP="001B41BD">
            <w:r w:rsidRPr="008C6CF4">
              <w:t>2013</w:t>
            </w:r>
          </w:p>
        </w:tc>
        <w:tc>
          <w:tcPr>
            <w:tcW w:w="3117" w:type="dxa"/>
            <w:vAlign w:val="bottom"/>
          </w:tcPr>
          <w:p w14:paraId="300862F2" w14:textId="77777777" w:rsidR="00882C15" w:rsidRPr="008C6CF4" w:rsidRDefault="00882C15" w:rsidP="001B41BD">
            <w:r w:rsidRPr="008C6CF4">
              <w:t>98.7</w:t>
            </w:r>
          </w:p>
        </w:tc>
        <w:tc>
          <w:tcPr>
            <w:tcW w:w="3117" w:type="dxa"/>
            <w:vAlign w:val="bottom"/>
          </w:tcPr>
          <w:p w14:paraId="4CC8B01C" w14:textId="77777777" w:rsidR="00882C15" w:rsidRPr="008C6CF4" w:rsidRDefault="00882C15" w:rsidP="001B41BD">
            <w:r w:rsidRPr="008C6CF4">
              <w:t>102.9</w:t>
            </w:r>
          </w:p>
        </w:tc>
      </w:tr>
      <w:tr w:rsidR="00882C15" w14:paraId="678F2639" w14:textId="77777777" w:rsidTr="001B41BD">
        <w:tc>
          <w:tcPr>
            <w:tcW w:w="3116" w:type="dxa"/>
            <w:vAlign w:val="bottom"/>
          </w:tcPr>
          <w:p w14:paraId="3D071F90" w14:textId="77777777" w:rsidR="00882C15" w:rsidRPr="008C6CF4" w:rsidRDefault="00882C15" w:rsidP="001B41BD">
            <w:r w:rsidRPr="008C6CF4">
              <w:t>2014</w:t>
            </w:r>
          </w:p>
        </w:tc>
        <w:tc>
          <w:tcPr>
            <w:tcW w:w="3117" w:type="dxa"/>
            <w:vAlign w:val="bottom"/>
          </w:tcPr>
          <w:p w14:paraId="5552A5B0" w14:textId="77777777" w:rsidR="00882C15" w:rsidRPr="008C6CF4" w:rsidRDefault="00882C15" w:rsidP="001B41BD">
            <w:r w:rsidRPr="008C6CF4">
              <w:t>101.3</w:t>
            </w:r>
          </w:p>
        </w:tc>
        <w:tc>
          <w:tcPr>
            <w:tcW w:w="3117" w:type="dxa"/>
            <w:vAlign w:val="bottom"/>
          </w:tcPr>
          <w:p w14:paraId="5EAB2AA0" w14:textId="77777777" w:rsidR="00882C15" w:rsidRPr="008C6CF4" w:rsidRDefault="00882C15" w:rsidP="001B41BD">
            <w:r w:rsidRPr="008C6CF4">
              <w:t>104.6</w:t>
            </w:r>
          </w:p>
        </w:tc>
      </w:tr>
      <w:tr w:rsidR="00882C15" w14:paraId="3EB22D7F" w14:textId="77777777" w:rsidTr="001B41BD">
        <w:tc>
          <w:tcPr>
            <w:tcW w:w="3116" w:type="dxa"/>
            <w:vAlign w:val="bottom"/>
          </w:tcPr>
          <w:p w14:paraId="79BA3A56" w14:textId="77777777" w:rsidR="00882C15" w:rsidRPr="008C6CF4" w:rsidRDefault="00882C15" w:rsidP="001B41BD">
            <w:r w:rsidRPr="008C6CF4">
              <w:t>2015</w:t>
            </w:r>
          </w:p>
        </w:tc>
        <w:tc>
          <w:tcPr>
            <w:tcW w:w="3117" w:type="dxa"/>
            <w:vAlign w:val="bottom"/>
          </w:tcPr>
          <w:p w14:paraId="785CE914" w14:textId="77777777" w:rsidR="00882C15" w:rsidRPr="008C6CF4" w:rsidRDefault="00882C15" w:rsidP="001B41BD">
            <w:r w:rsidRPr="008C6CF4">
              <w:t>105.2</w:t>
            </w:r>
          </w:p>
        </w:tc>
        <w:tc>
          <w:tcPr>
            <w:tcW w:w="3117" w:type="dxa"/>
            <w:vAlign w:val="bottom"/>
          </w:tcPr>
          <w:p w14:paraId="1F669D6D" w14:textId="77777777" w:rsidR="00882C15" w:rsidRPr="008C6CF4" w:rsidRDefault="00882C15" w:rsidP="001B41BD">
            <w:r w:rsidRPr="008C6CF4">
              <w:t>107.9</w:t>
            </w:r>
          </w:p>
        </w:tc>
      </w:tr>
      <w:tr w:rsidR="00882C15" w14:paraId="02CE9E44" w14:textId="77777777" w:rsidTr="001B41BD">
        <w:tc>
          <w:tcPr>
            <w:tcW w:w="3116" w:type="dxa"/>
            <w:vAlign w:val="bottom"/>
          </w:tcPr>
          <w:p w14:paraId="5488453D" w14:textId="77777777" w:rsidR="00882C15" w:rsidRPr="008C6CF4" w:rsidRDefault="00882C15" w:rsidP="001B41BD">
            <w:r w:rsidRPr="008C6CF4">
              <w:t>2016</w:t>
            </w:r>
          </w:p>
        </w:tc>
        <w:tc>
          <w:tcPr>
            <w:tcW w:w="3117" w:type="dxa"/>
            <w:vAlign w:val="bottom"/>
          </w:tcPr>
          <w:p w14:paraId="0AD528C7" w14:textId="77777777" w:rsidR="00882C15" w:rsidRPr="008C6CF4" w:rsidRDefault="00882C15" w:rsidP="001B41BD">
            <w:r w:rsidRPr="008C6CF4">
              <w:t>110.7</w:t>
            </w:r>
          </w:p>
        </w:tc>
        <w:tc>
          <w:tcPr>
            <w:tcW w:w="3117" w:type="dxa"/>
            <w:vAlign w:val="bottom"/>
          </w:tcPr>
          <w:p w14:paraId="2E8A182F" w14:textId="77777777" w:rsidR="00882C15" w:rsidRPr="008C6CF4" w:rsidRDefault="00882C15" w:rsidP="001B41BD">
            <w:r w:rsidRPr="008C6CF4">
              <w:t>108.0</w:t>
            </w:r>
          </w:p>
        </w:tc>
      </w:tr>
      <w:tr w:rsidR="00882C15" w14:paraId="09262CC1" w14:textId="77777777" w:rsidTr="001B41BD">
        <w:tc>
          <w:tcPr>
            <w:tcW w:w="3116" w:type="dxa"/>
            <w:vAlign w:val="bottom"/>
          </w:tcPr>
          <w:p w14:paraId="4B9A4C5A" w14:textId="77777777" w:rsidR="00882C15" w:rsidRPr="008C6CF4" w:rsidRDefault="00882C15" w:rsidP="001B41BD">
            <w:r w:rsidRPr="008C6CF4">
              <w:t>2017</w:t>
            </w:r>
          </w:p>
        </w:tc>
        <w:tc>
          <w:tcPr>
            <w:tcW w:w="3117" w:type="dxa"/>
            <w:vAlign w:val="bottom"/>
          </w:tcPr>
          <w:p w14:paraId="796FF4A2" w14:textId="77777777" w:rsidR="00882C15" w:rsidRPr="008C6CF4" w:rsidRDefault="00882C15" w:rsidP="001B41BD">
            <w:r w:rsidRPr="008C6CF4">
              <w:t>110.1</w:t>
            </w:r>
          </w:p>
        </w:tc>
        <w:tc>
          <w:tcPr>
            <w:tcW w:w="3117" w:type="dxa"/>
            <w:vAlign w:val="bottom"/>
          </w:tcPr>
          <w:p w14:paraId="5708D6D2" w14:textId="77777777" w:rsidR="00882C15" w:rsidRPr="008C6CF4" w:rsidRDefault="00882C15" w:rsidP="001B41BD">
            <w:r w:rsidRPr="008C6CF4">
              <w:t>110.2</w:t>
            </w:r>
          </w:p>
        </w:tc>
      </w:tr>
      <w:tr w:rsidR="00882C15" w14:paraId="79861F98" w14:textId="77777777" w:rsidTr="001B41BD">
        <w:tc>
          <w:tcPr>
            <w:tcW w:w="3116" w:type="dxa"/>
            <w:vAlign w:val="bottom"/>
          </w:tcPr>
          <w:p w14:paraId="188FA243" w14:textId="77777777" w:rsidR="00882C15" w:rsidRPr="008C6CF4" w:rsidRDefault="00882C15" w:rsidP="001B41BD">
            <w:r w:rsidRPr="008C6CF4">
              <w:t>2018</w:t>
            </w:r>
          </w:p>
        </w:tc>
        <w:tc>
          <w:tcPr>
            <w:tcW w:w="3117" w:type="dxa"/>
            <w:vAlign w:val="bottom"/>
          </w:tcPr>
          <w:p w14:paraId="59509604" w14:textId="77777777" w:rsidR="00882C15" w:rsidRPr="008C6CF4" w:rsidRDefault="00882C15" w:rsidP="001B41BD">
            <w:r w:rsidRPr="008C6CF4">
              <w:t>123.1</w:t>
            </w:r>
          </w:p>
        </w:tc>
        <w:tc>
          <w:tcPr>
            <w:tcW w:w="3117" w:type="dxa"/>
            <w:vAlign w:val="bottom"/>
          </w:tcPr>
          <w:p w14:paraId="039801B5" w14:textId="77777777" w:rsidR="00882C15" w:rsidRPr="008C6CF4" w:rsidRDefault="00882C15" w:rsidP="001B41BD">
            <w:r w:rsidRPr="008C6CF4">
              <w:t>109.1</w:t>
            </w:r>
          </w:p>
        </w:tc>
      </w:tr>
      <w:tr w:rsidR="00882C15" w14:paraId="41AEA7F3" w14:textId="77777777" w:rsidTr="001B41BD">
        <w:tc>
          <w:tcPr>
            <w:tcW w:w="3116" w:type="dxa"/>
            <w:vAlign w:val="bottom"/>
          </w:tcPr>
          <w:p w14:paraId="2976F5D1" w14:textId="77777777" w:rsidR="00882C15" w:rsidRPr="008C6CF4" w:rsidRDefault="00882C15" w:rsidP="001B41BD">
            <w:r w:rsidRPr="008C6CF4">
              <w:t>2019</w:t>
            </w:r>
          </w:p>
        </w:tc>
        <w:tc>
          <w:tcPr>
            <w:tcW w:w="3117" w:type="dxa"/>
            <w:vAlign w:val="bottom"/>
          </w:tcPr>
          <w:p w14:paraId="53C12678" w14:textId="77777777" w:rsidR="00882C15" w:rsidRPr="008C6CF4" w:rsidRDefault="00882C15" w:rsidP="001B41BD">
            <w:r w:rsidRPr="008C6CF4">
              <w:t>113.2</w:t>
            </w:r>
          </w:p>
        </w:tc>
        <w:tc>
          <w:tcPr>
            <w:tcW w:w="3117" w:type="dxa"/>
            <w:vAlign w:val="bottom"/>
          </w:tcPr>
          <w:p w14:paraId="33EDB7BD" w14:textId="77777777" w:rsidR="00882C15" w:rsidRPr="008C6CF4" w:rsidRDefault="00882C15" w:rsidP="001B41BD">
            <w:r w:rsidRPr="008C6CF4">
              <w:t>112.0</w:t>
            </w:r>
          </w:p>
        </w:tc>
      </w:tr>
      <w:tr w:rsidR="00882C15" w14:paraId="5D149A69" w14:textId="77777777" w:rsidTr="001B41BD">
        <w:tc>
          <w:tcPr>
            <w:tcW w:w="3116" w:type="dxa"/>
            <w:vAlign w:val="bottom"/>
          </w:tcPr>
          <w:p w14:paraId="646DEA65" w14:textId="77777777" w:rsidR="00882C15" w:rsidRPr="008C6CF4" w:rsidRDefault="00882C15" w:rsidP="001B41BD">
            <w:r w:rsidRPr="008C6CF4">
              <w:t>2020</w:t>
            </w:r>
          </w:p>
        </w:tc>
        <w:tc>
          <w:tcPr>
            <w:tcW w:w="3117" w:type="dxa"/>
            <w:vAlign w:val="bottom"/>
          </w:tcPr>
          <w:p w14:paraId="67C60BB7" w14:textId="77777777" w:rsidR="00882C15" w:rsidRPr="008C6CF4" w:rsidRDefault="00882C15" w:rsidP="001B41BD">
            <w:r w:rsidRPr="008C6CF4">
              <w:t>121.6</w:t>
            </w:r>
          </w:p>
        </w:tc>
        <w:tc>
          <w:tcPr>
            <w:tcW w:w="3117" w:type="dxa"/>
            <w:vAlign w:val="bottom"/>
          </w:tcPr>
          <w:p w14:paraId="33BC6251" w14:textId="77777777" w:rsidR="00882C15" w:rsidRPr="008C6CF4" w:rsidRDefault="00882C15" w:rsidP="001B41BD">
            <w:r w:rsidRPr="008C6CF4">
              <w:t>112.8</w:t>
            </w:r>
          </w:p>
        </w:tc>
      </w:tr>
      <w:tr w:rsidR="00882C15" w14:paraId="67E65E94" w14:textId="77777777" w:rsidTr="001B41BD">
        <w:tc>
          <w:tcPr>
            <w:tcW w:w="3116" w:type="dxa"/>
            <w:vAlign w:val="bottom"/>
          </w:tcPr>
          <w:p w14:paraId="7A7497F1" w14:textId="77777777" w:rsidR="00882C15" w:rsidRPr="008C6CF4" w:rsidRDefault="00882C15" w:rsidP="001B41BD">
            <w:r w:rsidRPr="008C6CF4">
              <w:t>2021</w:t>
            </w:r>
          </w:p>
        </w:tc>
        <w:tc>
          <w:tcPr>
            <w:tcW w:w="3117" w:type="dxa"/>
            <w:vAlign w:val="bottom"/>
          </w:tcPr>
          <w:p w14:paraId="65F5E4AC" w14:textId="77777777" w:rsidR="00882C15" w:rsidRPr="008C6CF4" w:rsidRDefault="00882C15" w:rsidP="001B41BD">
            <w:r w:rsidRPr="008C6CF4">
              <w:t>130.8</w:t>
            </w:r>
          </w:p>
        </w:tc>
        <w:tc>
          <w:tcPr>
            <w:tcW w:w="3117" w:type="dxa"/>
            <w:vAlign w:val="bottom"/>
          </w:tcPr>
          <w:p w14:paraId="25527885" w14:textId="77777777" w:rsidR="00882C15" w:rsidRPr="008C6CF4" w:rsidRDefault="00882C15" w:rsidP="001B41BD">
            <w:r w:rsidRPr="008C6CF4">
              <w:t>114.5</w:t>
            </w:r>
          </w:p>
        </w:tc>
      </w:tr>
    </w:tbl>
    <w:p w14:paraId="0BC752EC" w14:textId="77777777" w:rsidR="00882C15" w:rsidRPr="008C6CF4" w:rsidRDefault="00882C15" w:rsidP="00882C15">
      <w:r w:rsidRPr="008C6CF4">
        <w:t xml:space="preserve">Source: SC DHEC Vital Statistics; CDC NCHS. </w:t>
      </w:r>
    </w:p>
    <w:p w14:paraId="78C4E493" w14:textId="77777777" w:rsidR="00882C15" w:rsidRDefault="00882C15" w:rsidP="00882C15">
      <w:r w:rsidRPr="008C6CF4">
        <w:t>Note: Population for year 2021 based on single-race estimates and for years prior based on bridge-race estimates.</w:t>
      </w:r>
    </w:p>
    <w:p w14:paraId="26403FEF" w14:textId="77777777" w:rsidR="00882C15" w:rsidRDefault="00882C15" w:rsidP="00882C15">
      <w:pPr>
        <w:pStyle w:val="Heading4"/>
      </w:pPr>
    </w:p>
    <w:p w14:paraId="24145565" w14:textId="6DAD23B8" w:rsidR="00882C15" w:rsidRPr="00882C15" w:rsidRDefault="00882C15" w:rsidP="00882C15">
      <w:pPr>
        <w:pStyle w:val="Heading4"/>
      </w:pPr>
      <w:bookmarkStart w:id="983" w:name="_Toc162267664"/>
      <w:r w:rsidRPr="00882C15">
        <w:t>Data Interpretations:</w:t>
      </w:r>
      <w:bookmarkEnd w:id="983"/>
      <w:r w:rsidRPr="00882C15">
        <w:t xml:space="preserve"> </w:t>
      </w:r>
    </w:p>
    <w:p w14:paraId="7BF7C0D9" w14:textId="250343EE" w:rsidR="00882C15" w:rsidRPr="00882C15" w:rsidRDefault="00882C15" w:rsidP="00882C15">
      <w:r w:rsidRPr="00882C15">
        <w:t>In 2021, there were a total of 4,653 deaths in SC due to unintentional injuries, with 27.2% of those deaths being among people 65 and older. There were 88,498 nonfatal unintentional injury ED visits in 2021 among South Carolinians 65 and older. From 2017 to 2021, MVCs were the leading cause of unintentional injury deaths among those aged 65-74, while falls were the leading cause of unintentional injury deaths for those 75 and older (</w:t>
      </w:r>
      <w:r w:rsidRPr="00882C15">
        <w:rPr>
          <w:b/>
          <w:bCs/>
        </w:rPr>
        <w:t>Table 10.2</w:t>
      </w:r>
      <w:r w:rsidRPr="00882C15">
        <w:t>). From 2012 to 2021, there was an 88.9% increase in the number of unintentional injury deaths in SC adults 65 and older. When compared to the US, SC had a lower rate of unintentional injury deaths among those aged 65 and older in 2012 (103.6 deaths per 100,000 population and 96.2 deaths per 100,000 population respectively) but surpassed the national rate in 2021, with a rate of 130.8 deaths per 100,000 population (US 2021 rate 114.5 deaths per 100,000 population) (</w:t>
      </w:r>
      <w:r w:rsidRPr="00882C15">
        <w:rPr>
          <w:b/>
          <w:bCs/>
        </w:rPr>
        <w:t>Figure 10.15</w:t>
      </w:r>
      <w:r w:rsidRPr="00882C15">
        <w:t xml:space="preserve">). </w:t>
      </w:r>
    </w:p>
    <w:p w14:paraId="7B7F7F65" w14:textId="77777777" w:rsidR="00882C15" w:rsidRDefault="00882C15" w:rsidP="00882C15"/>
    <w:p w14:paraId="46BADD68" w14:textId="77777777" w:rsidR="00882C15" w:rsidRPr="00882C15" w:rsidRDefault="00882C15" w:rsidP="00882C15">
      <w:pPr>
        <w:pStyle w:val="Heading5"/>
      </w:pPr>
      <w:r w:rsidRPr="00882C15">
        <w:t>Key Takeaways:</w:t>
      </w:r>
    </w:p>
    <w:p w14:paraId="0C860C70" w14:textId="77777777" w:rsidR="00882C15" w:rsidRPr="00882C15" w:rsidRDefault="00882C15" w:rsidP="00926EB3">
      <w:pPr>
        <w:pStyle w:val="ListParagraph"/>
        <w:numPr>
          <w:ilvl w:val="0"/>
          <w:numId w:val="228"/>
        </w:numPr>
      </w:pPr>
      <w:r w:rsidRPr="00882C15">
        <w:t>Unintentional injuries are a leading cause of death among adults 65 and older, with 1,264 deaths in 2021.</w:t>
      </w:r>
    </w:p>
    <w:p w14:paraId="4C13FD4B" w14:textId="77777777" w:rsidR="00882C15" w:rsidRDefault="00882C15" w:rsidP="00882C15"/>
    <w:p w14:paraId="3130C633" w14:textId="6487E887" w:rsidR="00882C15" w:rsidRPr="00474B85" w:rsidRDefault="00882C15" w:rsidP="00882C15">
      <w:pPr>
        <w:pStyle w:val="Heading4"/>
        <w:rPr>
          <w:rFonts w:asciiTheme="minorHAnsi" w:hAnsiTheme="minorHAnsi" w:cstheme="minorHAnsi"/>
          <w:color w:val="000000" w:themeColor="text1"/>
        </w:rPr>
      </w:pPr>
      <w:bookmarkStart w:id="984" w:name="_Toc162267665"/>
      <w:r w:rsidRPr="00474B85">
        <w:rPr>
          <w:rFonts w:asciiTheme="minorHAnsi" w:hAnsiTheme="minorHAnsi" w:cstheme="minorHAnsi"/>
          <w:color w:val="000000" w:themeColor="text1"/>
        </w:rPr>
        <w:t xml:space="preserve">References </w:t>
      </w:r>
      <w:r>
        <w:rPr>
          <w:rFonts w:asciiTheme="minorHAnsi" w:hAnsiTheme="minorHAnsi" w:cstheme="minorHAnsi"/>
          <w:color w:val="000000" w:themeColor="text1"/>
        </w:rPr>
        <w:t>10.7</w:t>
      </w:r>
      <w:bookmarkEnd w:id="984"/>
      <w:r>
        <w:rPr>
          <w:rFonts w:asciiTheme="minorHAnsi" w:hAnsiTheme="minorHAnsi" w:cstheme="minorHAnsi"/>
          <w:color w:val="000000" w:themeColor="text1"/>
        </w:rPr>
        <w:t xml:space="preserve"> </w:t>
      </w:r>
    </w:p>
    <w:p w14:paraId="41D57C07" w14:textId="4CF05F94" w:rsidR="00D71D29" w:rsidRDefault="00882C15" w:rsidP="00D71D29">
      <w:r w:rsidRPr="00474B85">
        <w:t>Statistics in the preceding section were referenced from the following reports:</w:t>
      </w:r>
    </w:p>
    <w:p w14:paraId="42624FC5" w14:textId="360402DE" w:rsidR="00D71D29" w:rsidRDefault="00D71D29" w:rsidP="003E3A63">
      <w:pPr>
        <w:ind w:left="720" w:hanging="360"/>
      </w:pPr>
      <w:r>
        <w:t>14.</w:t>
      </w:r>
      <w:hyperlink r:id="rId435" w:history="1">
        <w:r w:rsidRPr="00D71D29">
          <w:rPr>
            <w:rStyle w:val="Hyperlink"/>
          </w:rPr>
          <w:t>“National Vital Statistics System, Mortality 2018-2021” by on Centers for Disease Control and Prevention, National Center for Health Statistics via CDC WONDER Online Database, released in 2021.</w:t>
        </w:r>
      </w:hyperlink>
      <w:r w:rsidRPr="00D71D29">
        <w:t xml:space="preserve"> </w:t>
      </w:r>
    </w:p>
    <w:p w14:paraId="3F1688EB" w14:textId="1001724E" w:rsidR="00D71D29" w:rsidRPr="00D71D29" w:rsidRDefault="00000000" w:rsidP="00926EB3">
      <w:pPr>
        <w:pStyle w:val="ListParagraph"/>
        <w:numPr>
          <w:ilvl w:val="0"/>
          <w:numId w:val="199"/>
        </w:numPr>
      </w:pPr>
      <w:hyperlink r:id="rId436" w:history="1">
        <w:r w:rsidR="00D71D29" w:rsidRPr="00D71D29">
          <w:rPr>
            <w:rStyle w:val="Hyperlink"/>
          </w:rPr>
          <w:t>“Common injuries as we age” by Centers for Disease Control and Prevention via cdc.gov, 2022. Retrieved December 15, 2022.</w:t>
        </w:r>
      </w:hyperlink>
      <w:r w:rsidR="00D71D29" w:rsidRPr="00D71D29">
        <w:t xml:space="preserve"> </w:t>
      </w:r>
    </w:p>
    <w:p w14:paraId="5E8F6C9F" w14:textId="7F878448" w:rsidR="00D71D29" w:rsidRPr="00D71D29" w:rsidRDefault="00000000" w:rsidP="00926EB3">
      <w:pPr>
        <w:pStyle w:val="ListParagraph"/>
        <w:numPr>
          <w:ilvl w:val="0"/>
          <w:numId w:val="199"/>
        </w:numPr>
      </w:pPr>
      <w:hyperlink r:id="rId437" w:history="1">
        <w:r w:rsidR="00D71D29" w:rsidRPr="00D71D29">
          <w:rPr>
            <w:rStyle w:val="Hyperlink"/>
          </w:rPr>
          <w:t>“Web-based Injury Statistics Query and Reporting System (WISQARS)” by the Centers for Disease Control and Prevention, National Center for Injury Prevention and Control. Retrieved on May 5, 2023.</w:t>
        </w:r>
      </w:hyperlink>
    </w:p>
    <w:p w14:paraId="3F46F404" w14:textId="125F4098" w:rsidR="00D71D29" w:rsidRPr="00D71D29" w:rsidRDefault="00D71D29" w:rsidP="00926EB3">
      <w:pPr>
        <w:pStyle w:val="ListParagraph"/>
        <w:numPr>
          <w:ilvl w:val="0"/>
          <w:numId w:val="199"/>
        </w:numPr>
      </w:pPr>
      <w:r>
        <w:t>“</w:t>
      </w:r>
      <w:r w:rsidRPr="00D71D29">
        <w:t>Outpatient Emergency Department Visits and Inpatient Discharges among South Carolina residents, 2016-2021</w:t>
      </w:r>
      <w:r>
        <w:t xml:space="preserve">” reported by the </w:t>
      </w:r>
      <w:r w:rsidRPr="00D71D29">
        <w:t>South Carolina Revenue and Fiscal Affairs Office. Initial encounter for injury only. </w:t>
      </w:r>
      <w:r>
        <w:t>No hyperlink.</w:t>
      </w:r>
    </w:p>
    <w:p w14:paraId="491F7D42" w14:textId="77777777" w:rsidR="00882C15" w:rsidRPr="00882C15" w:rsidRDefault="00882C15" w:rsidP="00882C15"/>
    <w:p w14:paraId="25DFA7E3" w14:textId="77777777" w:rsidR="00882C15" w:rsidRPr="00882C15" w:rsidRDefault="00882C15" w:rsidP="00882C15">
      <w:pPr>
        <w:pStyle w:val="Heading3"/>
      </w:pPr>
      <w:bookmarkStart w:id="985" w:name="_Toc162267666"/>
      <w:r w:rsidRPr="00882C15">
        <w:t>Falls</w:t>
      </w:r>
      <w:bookmarkEnd w:id="985"/>
    </w:p>
    <w:p w14:paraId="378B76F4" w14:textId="46099D04" w:rsidR="00882C15" w:rsidRDefault="00882C15" w:rsidP="00882C15">
      <w:r w:rsidRPr="00882C15">
        <w:t xml:space="preserve">Falls are a threat to the health of older adults and reduce their ability to remain independent. Even though all people age, falls are not inevitable and can be </w:t>
      </w:r>
      <w:r w:rsidRPr="00882C15">
        <w:lastRenderedPageBreak/>
        <w:t xml:space="preserve">reduced and prevented. Falls among adults over the age of 65 caused over 36,000 deaths in 2020 in the US, making it the leading cause of injury death for that age group. One out of five falls causes a serious injury such as broken bones and head injuries. These injuries can make it hard for a person to do everyday activities or live on their own. </w:t>
      </w:r>
    </w:p>
    <w:p w14:paraId="28B04E1A" w14:textId="77777777" w:rsidR="00882C15" w:rsidRPr="00882C15" w:rsidRDefault="00882C15" w:rsidP="00882C15"/>
    <w:p w14:paraId="776095C5" w14:textId="1EF916FC" w:rsidR="00882C15" w:rsidRPr="00882C15" w:rsidRDefault="00882C15" w:rsidP="00882C15">
      <w:r w:rsidRPr="00882C15">
        <w:t>Nationally, there were three million fall-related ED visits for older adults in 2020. Older adult falls lead to $50 billion in medical costs annually, with three-fourths being paid by Medicare and Medicaid.</w:t>
      </w:r>
      <w:r w:rsidRPr="00882C15">
        <w:rPr>
          <w:b/>
          <w:bCs/>
        </w:rPr>
        <w:t xml:space="preserve"> </w:t>
      </w:r>
      <w:r w:rsidRPr="00882C15">
        <w:t>Most falls are caused by a combination of risk factors such as lower body weakness, vitamin D deficiency, walking and balance difficulties, certain medications, vision problems, and home hazards.</w:t>
      </w:r>
      <w:r w:rsidRPr="00882C15">
        <w:rPr>
          <w:b/>
          <w:bCs/>
        </w:rPr>
        <w:t xml:space="preserve"> </w:t>
      </w:r>
      <w:r w:rsidRPr="00882C15">
        <w:t>Falling once doubles a person’s chances of falling again.</w:t>
      </w:r>
    </w:p>
    <w:p w14:paraId="5C7762FC" w14:textId="77777777" w:rsidR="00882C15" w:rsidRDefault="00882C15" w:rsidP="00882C15"/>
    <w:p w14:paraId="1B41D14E" w14:textId="77777777" w:rsidR="00882C15" w:rsidRDefault="00882C15" w:rsidP="00882C15">
      <w:pPr>
        <w:pStyle w:val="Heading4"/>
      </w:pPr>
      <w:bookmarkStart w:id="986" w:name="_Toc154576579"/>
      <w:bookmarkStart w:id="987" w:name="_Toc162267667"/>
      <w:r>
        <w:t>Figure 10.16</w:t>
      </w:r>
      <w:r w:rsidRPr="00A67916">
        <w:t xml:space="preserve">: </w:t>
      </w:r>
      <w:r>
        <w:t>Death from Falls</w:t>
      </w:r>
      <w:r w:rsidRPr="008C6CF4">
        <w:t>, Age</w:t>
      </w:r>
      <w:r>
        <w:t>s</w:t>
      </w:r>
      <w:r w:rsidRPr="008C6CF4">
        <w:t xml:space="preserve"> 65+</w:t>
      </w:r>
      <w:r>
        <w:t>.</w:t>
      </w:r>
      <w:bookmarkEnd w:id="986"/>
      <w:bookmarkEnd w:id="987"/>
    </w:p>
    <w:p w14:paraId="47076F3C" w14:textId="77777777" w:rsidR="00882C15" w:rsidRPr="008C6CF4" w:rsidRDefault="00882C15" w:rsidP="00882C15">
      <w:pPr>
        <w:pStyle w:val="Heading5"/>
      </w:pPr>
      <w:r>
        <w:t>Rate per 100,000 population.</w:t>
      </w:r>
    </w:p>
    <w:tbl>
      <w:tblPr>
        <w:tblStyle w:val="TableGrid"/>
        <w:tblW w:w="0" w:type="auto"/>
        <w:tblLook w:val="04A0" w:firstRow="1" w:lastRow="0" w:firstColumn="1" w:lastColumn="0" w:noHBand="0" w:noVBand="1"/>
      </w:tblPr>
      <w:tblGrid>
        <w:gridCol w:w="2337"/>
        <w:gridCol w:w="2337"/>
        <w:gridCol w:w="2338"/>
        <w:gridCol w:w="2338"/>
      </w:tblGrid>
      <w:tr w:rsidR="00882C15" w14:paraId="117B19E2" w14:textId="77777777" w:rsidTr="001B41BD">
        <w:tc>
          <w:tcPr>
            <w:tcW w:w="2337" w:type="dxa"/>
            <w:vAlign w:val="bottom"/>
          </w:tcPr>
          <w:p w14:paraId="034318BB" w14:textId="77777777" w:rsidR="00882C15" w:rsidRPr="000A3CC0" w:rsidRDefault="00882C15" w:rsidP="001B41BD">
            <w:r w:rsidRPr="000A3CC0">
              <w:t>Year</w:t>
            </w:r>
          </w:p>
        </w:tc>
        <w:tc>
          <w:tcPr>
            <w:tcW w:w="2337" w:type="dxa"/>
            <w:vAlign w:val="bottom"/>
          </w:tcPr>
          <w:p w14:paraId="40187FCC" w14:textId="77777777" w:rsidR="00882C15" w:rsidRPr="000A3CC0" w:rsidRDefault="00882C15" w:rsidP="001B41BD">
            <w:r w:rsidRPr="000A3CC0">
              <w:t>South Carolina</w:t>
            </w:r>
          </w:p>
        </w:tc>
        <w:tc>
          <w:tcPr>
            <w:tcW w:w="2338" w:type="dxa"/>
            <w:vAlign w:val="bottom"/>
          </w:tcPr>
          <w:p w14:paraId="06EB81FE" w14:textId="77777777" w:rsidR="00882C15" w:rsidRPr="000A3CC0" w:rsidRDefault="00882C15" w:rsidP="001B41BD">
            <w:r w:rsidRPr="000A3CC0">
              <w:t>United States</w:t>
            </w:r>
          </w:p>
        </w:tc>
        <w:tc>
          <w:tcPr>
            <w:tcW w:w="2338" w:type="dxa"/>
            <w:vAlign w:val="bottom"/>
          </w:tcPr>
          <w:p w14:paraId="13E69F54" w14:textId="77777777" w:rsidR="00882C15" w:rsidRPr="000A3CC0" w:rsidRDefault="00882C15" w:rsidP="001B41BD">
            <w:r w:rsidRPr="000A3CC0">
              <w:t>Healthy People 2030</w:t>
            </w:r>
            <w:r>
              <w:t xml:space="preserve"> Goal</w:t>
            </w:r>
          </w:p>
        </w:tc>
      </w:tr>
      <w:tr w:rsidR="00882C15" w14:paraId="612A780F" w14:textId="77777777" w:rsidTr="001B41BD">
        <w:tc>
          <w:tcPr>
            <w:tcW w:w="2337" w:type="dxa"/>
            <w:vAlign w:val="bottom"/>
          </w:tcPr>
          <w:p w14:paraId="3A9CA7B4" w14:textId="77777777" w:rsidR="00882C15" w:rsidRPr="000A3CC0" w:rsidRDefault="00882C15" w:rsidP="001B41BD">
            <w:r w:rsidRPr="000A3CC0">
              <w:t>2012</w:t>
            </w:r>
          </w:p>
        </w:tc>
        <w:tc>
          <w:tcPr>
            <w:tcW w:w="2337" w:type="dxa"/>
            <w:vAlign w:val="bottom"/>
          </w:tcPr>
          <w:p w14:paraId="26DA6B80" w14:textId="77777777" w:rsidR="00882C15" w:rsidRPr="000A3CC0" w:rsidRDefault="00882C15" w:rsidP="001B41BD">
            <w:r w:rsidRPr="000A3CC0">
              <w:t>45.3</w:t>
            </w:r>
          </w:p>
        </w:tc>
        <w:tc>
          <w:tcPr>
            <w:tcW w:w="2338" w:type="dxa"/>
            <w:vAlign w:val="bottom"/>
          </w:tcPr>
          <w:p w14:paraId="245ACF70" w14:textId="77777777" w:rsidR="00882C15" w:rsidRPr="000A3CC0" w:rsidRDefault="00882C15" w:rsidP="001B41BD">
            <w:r w:rsidRPr="000A3CC0">
              <w:t>55.3</w:t>
            </w:r>
          </w:p>
        </w:tc>
        <w:tc>
          <w:tcPr>
            <w:tcW w:w="2338" w:type="dxa"/>
            <w:vAlign w:val="bottom"/>
          </w:tcPr>
          <w:p w14:paraId="4AD4CF88" w14:textId="77777777" w:rsidR="00882C15" w:rsidRPr="000A3CC0" w:rsidRDefault="00882C15" w:rsidP="001B41BD">
            <w:r w:rsidRPr="000A3CC0">
              <w:t>63.4</w:t>
            </w:r>
          </w:p>
        </w:tc>
      </w:tr>
      <w:tr w:rsidR="00882C15" w14:paraId="74C08612" w14:textId="77777777" w:rsidTr="001B41BD">
        <w:tc>
          <w:tcPr>
            <w:tcW w:w="2337" w:type="dxa"/>
            <w:vAlign w:val="bottom"/>
          </w:tcPr>
          <w:p w14:paraId="354CC79E" w14:textId="77777777" w:rsidR="00882C15" w:rsidRPr="000A3CC0" w:rsidRDefault="00882C15" w:rsidP="001B41BD">
            <w:r w:rsidRPr="000A3CC0">
              <w:t>2013</w:t>
            </w:r>
          </w:p>
        </w:tc>
        <w:tc>
          <w:tcPr>
            <w:tcW w:w="2337" w:type="dxa"/>
            <w:vAlign w:val="bottom"/>
          </w:tcPr>
          <w:p w14:paraId="5D92CF04" w14:textId="77777777" w:rsidR="00882C15" w:rsidRPr="000A3CC0" w:rsidRDefault="00882C15" w:rsidP="001B41BD">
            <w:r w:rsidRPr="000A3CC0">
              <w:t>49.2</w:t>
            </w:r>
          </w:p>
        </w:tc>
        <w:tc>
          <w:tcPr>
            <w:tcW w:w="2338" w:type="dxa"/>
            <w:vAlign w:val="bottom"/>
          </w:tcPr>
          <w:p w14:paraId="641CA564" w14:textId="77777777" w:rsidR="00882C15" w:rsidRPr="000A3CC0" w:rsidRDefault="00882C15" w:rsidP="001B41BD">
            <w:r w:rsidRPr="000A3CC0">
              <w:t>56.7</w:t>
            </w:r>
          </w:p>
        </w:tc>
        <w:tc>
          <w:tcPr>
            <w:tcW w:w="2338" w:type="dxa"/>
            <w:vAlign w:val="bottom"/>
          </w:tcPr>
          <w:p w14:paraId="3A01DE78" w14:textId="77777777" w:rsidR="00882C15" w:rsidRPr="000A3CC0" w:rsidRDefault="00882C15" w:rsidP="001B41BD">
            <w:r w:rsidRPr="000A3CC0">
              <w:t>63.4</w:t>
            </w:r>
          </w:p>
        </w:tc>
      </w:tr>
      <w:tr w:rsidR="00882C15" w14:paraId="0B5EDB7C" w14:textId="77777777" w:rsidTr="001B41BD">
        <w:tc>
          <w:tcPr>
            <w:tcW w:w="2337" w:type="dxa"/>
            <w:vAlign w:val="bottom"/>
          </w:tcPr>
          <w:p w14:paraId="18E450A2" w14:textId="77777777" w:rsidR="00882C15" w:rsidRPr="000A3CC0" w:rsidRDefault="00882C15" w:rsidP="001B41BD">
            <w:r w:rsidRPr="000A3CC0">
              <w:t>2014</w:t>
            </w:r>
          </w:p>
        </w:tc>
        <w:tc>
          <w:tcPr>
            <w:tcW w:w="2337" w:type="dxa"/>
            <w:vAlign w:val="bottom"/>
          </w:tcPr>
          <w:p w14:paraId="09F62681" w14:textId="77777777" w:rsidR="00882C15" w:rsidRPr="000A3CC0" w:rsidRDefault="00882C15" w:rsidP="001B41BD">
            <w:r w:rsidRPr="000A3CC0">
              <w:t>52.3</w:t>
            </w:r>
          </w:p>
        </w:tc>
        <w:tc>
          <w:tcPr>
            <w:tcW w:w="2338" w:type="dxa"/>
            <w:vAlign w:val="bottom"/>
          </w:tcPr>
          <w:p w14:paraId="432FD990" w14:textId="77777777" w:rsidR="00882C15" w:rsidRPr="000A3CC0" w:rsidRDefault="00882C15" w:rsidP="001B41BD">
            <w:r w:rsidRPr="000A3CC0">
              <w:t>58.8</w:t>
            </w:r>
          </w:p>
        </w:tc>
        <w:tc>
          <w:tcPr>
            <w:tcW w:w="2338" w:type="dxa"/>
            <w:vAlign w:val="bottom"/>
          </w:tcPr>
          <w:p w14:paraId="1DBA33B8" w14:textId="77777777" w:rsidR="00882C15" w:rsidRPr="000A3CC0" w:rsidRDefault="00882C15" w:rsidP="001B41BD">
            <w:r w:rsidRPr="000A3CC0">
              <w:t>63.4</w:t>
            </w:r>
          </w:p>
        </w:tc>
      </w:tr>
      <w:tr w:rsidR="00882C15" w14:paraId="5626871B" w14:textId="77777777" w:rsidTr="001B41BD">
        <w:tc>
          <w:tcPr>
            <w:tcW w:w="2337" w:type="dxa"/>
            <w:vAlign w:val="bottom"/>
          </w:tcPr>
          <w:p w14:paraId="5116DC05" w14:textId="77777777" w:rsidR="00882C15" w:rsidRPr="000A3CC0" w:rsidRDefault="00882C15" w:rsidP="001B41BD">
            <w:r w:rsidRPr="000A3CC0">
              <w:t>2015</w:t>
            </w:r>
          </w:p>
        </w:tc>
        <w:tc>
          <w:tcPr>
            <w:tcW w:w="2337" w:type="dxa"/>
            <w:vAlign w:val="bottom"/>
          </w:tcPr>
          <w:p w14:paraId="75037997" w14:textId="77777777" w:rsidR="00882C15" w:rsidRPr="000A3CC0" w:rsidRDefault="00882C15" w:rsidP="001B41BD">
            <w:r w:rsidRPr="000A3CC0">
              <w:t>52.5</w:t>
            </w:r>
          </w:p>
        </w:tc>
        <w:tc>
          <w:tcPr>
            <w:tcW w:w="2338" w:type="dxa"/>
            <w:vAlign w:val="bottom"/>
          </w:tcPr>
          <w:p w14:paraId="215C8487" w14:textId="77777777" w:rsidR="00882C15" w:rsidRPr="000A3CC0" w:rsidRDefault="00882C15" w:rsidP="001B41BD">
            <w:r w:rsidRPr="000A3CC0">
              <w:t>60.5</w:t>
            </w:r>
          </w:p>
        </w:tc>
        <w:tc>
          <w:tcPr>
            <w:tcW w:w="2338" w:type="dxa"/>
            <w:vAlign w:val="bottom"/>
          </w:tcPr>
          <w:p w14:paraId="7554ED75" w14:textId="77777777" w:rsidR="00882C15" w:rsidRPr="000A3CC0" w:rsidRDefault="00882C15" w:rsidP="001B41BD">
            <w:r w:rsidRPr="000A3CC0">
              <w:t>63.4</w:t>
            </w:r>
          </w:p>
        </w:tc>
      </w:tr>
      <w:tr w:rsidR="00882C15" w14:paraId="7617CDC8" w14:textId="77777777" w:rsidTr="001B41BD">
        <w:tc>
          <w:tcPr>
            <w:tcW w:w="2337" w:type="dxa"/>
            <w:vAlign w:val="bottom"/>
          </w:tcPr>
          <w:p w14:paraId="1F19FC57" w14:textId="77777777" w:rsidR="00882C15" w:rsidRPr="000A3CC0" w:rsidRDefault="00882C15" w:rsidP="001B41BD">
            <w:r w:rsidRPr="000A3CC0">
              <w:t>2016</w:t>
            </w:r>
          </w:p>
        </w:tc>
        <w:tc>
          <w:tcPr>
            <w:tcW w:w="2337" w:type="dxa"/>
            <w:vAlign w:val="bottom"/>
          </w:tcPr>
          <w:p w14:paraId="42F24DCD" w14:textId="77777777" w:rsidR="00882C15" w:rsidRPr="000A3CC0" w:rsidRDefault="00882C15" w:rsidP="001B41BD">
            <w:r w:rsidRPr="000A3CC0">
              <w:t>57.7</w:t>
            </w:r>
          </w:p>
        </w:tc>
        <w:tc>
          <w:tcPr>
            <w:tcW w:w="2338" w:type="dxa"/>
            <w:vAlign w:val="bottom"/>
          </w:tcPr>
          <w:p w14:paraId="649F9427" w14:textId="77777777" w:rsidR="00882C15" w:rsidRPr="000A3CC0" w:rsidRDefault="00882C15" w:rsidP="001B41BD">
            <w:r w:rsidRPr="000A3CC0">
              <w:t>61.6</w:t>
            </w:r>
          </w:p>
        </w:tc>
        <w:tc>
          <w:tcPr>
            <w:tcW w:w="2338" w:type="dxa"/>
            <w:vAlign w:val="bottom"/>
          </w:tcPr>
          <w:p w14:paraId="59037E79" w14:textId="77777777" w:rsidR="00882C15" w:rsidRPr="000A3CC0" w:rsidRDefault="00882C15" w:rsidP="001B41BD">
            <w:r w:rsidRPr="000A3CC0">
              <w:t>63.4</w:t>
            </w:r>
          </w:p>
        </w:tc>
      </w:tr>
      <w:tr w:rsidR="00882C15" w14:paraId="683DFFE4" w14:textId="77777777" w:rsidTr="001B41BD">
        <w:tc>
          <w:tcPr>
            <w:tcW w:w="2337" w:type="dxa"/>
            <w:vAlign w:val="bottom"/>
          </w:tcPr>
          <w:p w14:paraId="0A3E6C18" w14:textId="77777777" w:rsidR="00882C15" w:rsidRPr="000A3CC0" w:rsidRDefault="00882C15" w:rsidP="001B41BD">
            <w:r w:rsidRPr="000A3CC0">
              <w:t>2017</w:t>
            </w:r>
          </w:p>
        </w:tc>
        <w:tc>
          <w:tcPr>
            <w:tcW w:w="2337" w:type="dxa"/>
            <w:vAlign w:val="bottom"/>
          </w:tcPr>
          <w:p w14:paraId="17C5808E" w14:textId="77777777" w:rsidR="00882C15" w:rsidRPr="000A3CC0" w:rsidRDefault="00882C15" w:rsidP="001B41BD">
            <w:r w:rsidRPr="000A3CC0">
              <w:t>54.3</w:t>
            </w:r>
          </w:p>
        </w:tc>
        <w:tc>
          <w:tcPr>
            <w:tcW w:w="2338" w:type="dxa"/>
            <w:vAlign w:val="bottom"/>
          </w:tcPr>
          <w:p w14:paraId="0EE18508" w14:textId="77777777" w:rsidR="00882C15" w:rsidRPr="000A3CC0" w:rsidRDefault="00882C15" w:rsidP="001B41BD">
            <w:r w:rsidRPr="000A3CC0">
              <w:t>63.3</w:t>
            </w:r>
          </w:p>
        </w:tc>
        <w:tc>
          <w:tcPr>
            <w:tcW w:w="2338" w:type="dxa"/>
            <w:vAlign w:val="bottom"/>
          </w:tcPr>
          <w:p w14:paraId="7CB93548" w14:textId="77777777" w:rsidR="00882C15" w:rsidRPr="000A3CC0" w:rsidRDefault="00882C15" w:rsidP="001B41BD">
            <w:r w:rsidRPr="000A3CC0">
              <w:t>63.4</w:t>
            </w:r>
          </w:p>
        </w:tc>
      </w:tr>
      <w:tr w:rsidR="00882C15" w14:paraId="3E8E0C7E" w14:textId="77777777" w:rsidTr="001B41BD">
        <w:tc>
          <w:tcPr>
            <w:tcW w:w="2337" w:type="dxa"/>
            <w:vAlign w:val="bottom"/>
          </w:tcPr>
          <w:p w14:paraId="2D8ECDE2" w14:textId="77777777" w:rsidR="00882C15" w:rsidRPr="000A3CC0" w:rsidRDefault="00882C15" w:rsidP="001B41BD">
            <w:r w:rsidRPr="000A3CC0">
              <w:t>2018</w:t>
            </w:r>
          </w:p>
        </w:tc>
        <w:tc>
          <w:tcPr>
            <w:tcW w:w="2337" w:type="dxa"/>
            <w:vAlign w:val="bottom"/>
          </w:tcPr>
          <w:p w14:paraId="5A7D1AD6" w14:textId="77777777" w:rsidR="00882C15" w:rsidRPr="000A3CC0" w:rsidRDefault="00882C15" w:rsidP="001B41BD">
            <w:r w:rsidRPr="000A3CC0">
              <w:t>66.5</w:t>
            </w:r>
          </w:p>
        </w:tc>
        <w:tc>
          <w:tcPr>
            <w:tcW w:w="2338" w:type="dxa"/>
            <w:vAlign w:val="bottom"/>
          </w:tcPr>
          <w:p w14:paraId="0C7B6561" w14:textId="77777777" w:rsidR="00882C15" w:rsidRPr="000A3CC0" w:rsidRDefault="00882C15" w:rsidP="001B41BD">
            <w:r w:rsidRPr="000A3CC0">
              <w:t>64.4</w:t>
            </w:r>
          </w:p>
        </w:tc>
        <w:tc>
          <w:tcPr>
            <w:tcW w:w="2338" w:type="dxa"/>
            <w:vAlign w:val="bottom"/>
          </w:tcPr>
          <w:p w14:paraId="74ECE159" w14:textId="77777777" w:rsidR="00882C15" w:rsidRPr="000A3CC0" w:rsidRDefault="00882C15" w:rsidP="001B41BD">
            <w:r w:rsidRPr="000A3CC0">
              <w:t>63.4</w:t>
            </w:r>
          </w:p>
        </w:tc>
      </w:tr>
      <w:tr w:rsidR="00882C15" w14:paraId="1E6EED01" w14:textId="77777777" w:rsidTr="001B41BD">
        <w:tc>
          <w:tcPr>
            <w:tcW w:w="2337" w:type="dxa"/>
            <w:vAlign w:val="bottom"/>
          </w:tcPr>
          <w:p w14:paraId="6A820CAC" w14:textId="77777777" w:rsidR="00882C15" w:rsidRPr="000A3CC0" w:rsidRDefault="00882C15" w:rsidP="001B41BD">
            <w:r w:rsidRPr="000A3CC0">
              <w:t>2019</w:t>
            </w:r>
          </w:p>
        </w:tc>
        <w:tc>
          <w:tcPr>
            <w:tcW w:w="2337" w:type="dxa"/>
            <w:vAlign w:val="bottom"/>
          </w:tcPr>
          <w:p w14:paraId="1A2D0697" w14:textId="77777777" w:rsidR="00882C15" w:rsidRPr="000A3CC0" w:rsidRDefault="00882C15" w:rsidP="001B41BD">
            <w:r w:rsidRPr="000A3CC0">
              <w:t>63.0</w:t>
            </w:r>
          </w:p>
        </w:tc>
        <w:tc>
          <w:tcPr>
            <w:tcW w:w="2338" w:type="dxa"/>
            <w:vAlign w:val="bottom"/>
          </w:tcPr>
          <w:p w14:paraId="4C629C1B" w14:textId="77777777" w:rsidR="00882C15" w:rsidRPr="000A3CC0" w:rsidRDefault="00882C15" w:rsidP="001B41BD">
            <w:r w:rsidRPr="000A3CC0">
              <w:t>66.3</w:t>
            </w:r>
          </w:p>
        </w:tc>
        <w:tc>
          <w:tcPr>
            <w:tcW w:w="2338" w:type="dxa"/>
            <w:vAlign w:val="bottom"/>
          </w:tcPr>
          <w:p w14:paraId="7E0B9C0F" w14:textId="77777777" w:rsidR="00882C15" w:rsidRPr="000A3CC0" w:rsidRDefault="00882C15" w:rsidP="001B41BD">
            <w:r w:rsidRPr="000A3CC0">
              <w:t>63.4</w:t>
            </w:r>
          </w:p>
        </w:tc>
      </w:tr>
      <w:tr w:rsidR="00882C15" w14:paraId="2F712E2B" w14:textId="77777777" w:rsidTr="001B41BD">
        <w:tc>
          <w:tcPr>
            <w:tcW w:w="2337" w:type="dxa"/>
            <w:vAlign w:val="bottom"/>
          </w:tcPr>
          <w:p w14:paraId="2086F517" w14:textId="77777777" w:rsidR="00882C15" w:rsidRPr="000A3CC0" w:rsidRDefault="00882C15" w:rsidP="001B41BD">
            <w:r w:rsidRPr="000A3CC0">
              <w:t>2020</w:t>
            </w:r>
          </w:p>
        </w:tc>
        <w:tc>
          <w:tcPr>
            <w:tcW w:w="2337" w:type="dxa"/>
            <w:vAlign w:val="bottom"/>
          </w:tcPr>
          <w:p w14:paraId="74752FE5" w14:textId="77777777" w:rsidR="00882C15" w:rsidRPr="000A3CC0" w:rsidRDefault="00882C15" w:rsidP="001B41BD">
            <w:r w:rsidRPr="000A3CC0">
              <w:t>69.8</w:t>
            </w:r>
          </w:p>
        </w:tc>
        <w:tc>
          <w:tcPr>
            <w:tcW w:w="2338" w:type="dxa"/>
            <w:vAlign w:val="bottom"/>
          </w:tcPr>
          <w:p w14:paraId="4EBB5B67" w14:textId="77777777" w:rsidR="00882C15" w:rsidRPr="000A3CC0" w:rsidRDefault="00882C15" w:rsidP="001B41BD">
            <w:r w:rsidRPr="000A3CC0">
              <w:t>69.4</w:t>
            </w:r>
          </w:p>
        </w:tc>
        <w:tc>
          <w:tcPr>
            <w:tcW w:w="2338" w:type="dxa"/>
            <w:vAlign w:val="bottom"/>
          </w:tcPr>
          <w:p w14:paraId="04AE57F6" w14:textId="77777777" w:rsidR="00882C15" w:rsidRPr="000A3CC0" w:rsidRDefault="00882C15" w:rsidP="001B41BD">
            <w:r w:rsidRPr="000A3CC0">
              <w:t>63.4</w:t>
            </w:r>
          </w:p>
        </w:tc>
      </w:tr>
      <w:tr w:rsidR="00882C15" w14:paraId="4E8925F1" w14:textId="77777777" w:rsidTr="001B41BD">
        <w:tc>
          <w:tcPr>
            <w:tcW w:w="2337" w:type="dxa"/>
            <w:vAlign w:val="bottom"/>
          </w:tcPr>
          <w:p w14:paraId="2404EB22" w14:textId="77777777" w:rsidR="00882C15" w:rsidRPr="000A3CC0" w:rsidRDefault="00882C15" w:rsidP="001B41BD">
            <w:r w:rsidRPr="000A3CC0">
              <w:t>2021</w:t>
            </w:r>
          </w:p>
        </w:tc>
        <w:tc>
          <w:tcPr>
            <w:tcW w:w="2337" w:type="dxa"/>
            <w:vAlign w:val="bottom"/>
          </w:tcPr>
          <w:p w14:paraId="6BBD4413" w14:textId="77777777" w:rsidR="00882C15" w:rsidRPr="000A3CC0" w:rsidRDefault="00882C15" w:rsidP="001B41BD">
            <w:r w:rsidRPr="000A3CC0">
              <w:t>74.8</w:t>
            </w:r>
          </w:p>
        </w:tc>
        <w:tc>
          <w:tcPr>
            <w:tcW w:w="2338" w:type="dxa"/>
            <w:vAlign w:val="bottom"/>
          </w:tcPr>
          <w:p w14:paraId="56E98D1B" w14:textId="77777777" w:rsidR="00882C15" w:rsidRPr="000A3CC0" w:rsidRDefault="00882C15" w:rsidP="001B41BD">
            <w:r w:rsidRPr="000A3CC0">
              <w:t>78.0</w:t>
            </w:r>
          </w:p>
        </w:tc>
        <w:tc>
          <w:tcPr>
            <w:tcW w:w="2338" w:type="dxa"/>
            <w:vAlign w:val="bottom"/>
          </w:tcPr>
          <w:p w14:paraId="58D7168E" w14:textId="77777777" w:rsidR="00882C15" w:rsidRPr="000A3CC0" w:rsidRDefault="00882C15" w:rsidP="001B41BD">
            <w:r w:rsidRPr="000A3CC0">
              <w:t>63.4</w:t>
            </w:r>
          </w:p>
        </w:tc>
      </w:tr>
    </w:tbl>
    <w:p w14:paraId="7E817F04" w14:textId="77777777" w:rsidR="00882C15" w:rsidRPr="000A3CC0" w:rsidRDefault="00882C15" w:rsidP="00882C15">
      <w:r w:rsidRPr="000A3CC0">
        <w:t xml:space="preserve">Source: SC DHEC Vital Statistics; CDC NCHS. </w:t>
      </w:r>
    </w:p>
    <w:p w14:paraId="48F2AEF1" w14:textId="77777777" w:rsidR="00882C15" w:rsidRDefault="00882C15" w:rsidP="00882C15">
      <w:r w:rsidRPr="000A3CC0">
        <w:t>Note: Age-adjusted, ages 65 and older; population for year 2021 based on single-race estimates and for years prior based on bridge-race estimates.</w:t>
      </w:r>
    </w:p>
    <w:p w14:paraId="2530FC84" w14:textId="77777777" w:rsidR="00882C15" w:rsidRDefault="00882C15" w:rsidP="00882C15">
      <w:pPr>
        <w:pStyle w:val="Heading4"/>
      </w:pPr>
      <w:bookmarkStart w:id="988" w:name="_Toc154576580"/>
    </w:p>
    <w:p w14:paraId="212E425F" w14:textId="783F085E" w:rsidR="00882C15" w:rsidRDefault="00882C15" w:rsidP="00882C15">
      <w:pPr>
        <w:pStyle w:val="Heading4"/>
      </w:pPr>
      <w:bookmarkStart w:id="989" w:name="_Toc162267668"/>
      <w:r w:rsidRPr="000A3CC0">
        <w:t>Figure 10.17: Nonfatal Fall Injury Emergency Department Visits, Ages 65+, by Age Group and Sex.</w:t>
      </w:r>
      <w:bookmarkEnd w:id="988"/>
      <w:bookmarkEnd w:id="989"/>
    </w:p>
    <w:p w14:paraId="06B502CB" w14:textId="77777777" w:rsidR="00882C15" w:rsidRPr="008C6CF4" w:rsidRDefault="00882C15" w:rsidP="00882C15">
      <w:pPr>
        <w:pStyle w:val="Heading5"/>
      </w:pPr>
      <w:r>
        <w:t>Rate per 100,000 population.</w:t>
      </w:r>
    </w:p>
    <w:tbl>
      <w:tblPr>
        <w:tblStyle w:val="TableGrid"/>
        <w:tblW w:w="0" w:type="auto"/>
        <w:tblLook w:val="04A0" w:firstRow="1" w:lastRow="0" w:firstColumn="1" w:lastColumn="0" w:noHBand="0" w:noVBand="1"/>
      </w:tblPr>
      <w:tblGrid>
        <w:gridCol w:w="3116"/>
        <w:gridCol w:w="3117"/>
        <w:gridCol w:w="3117"/>
      </w:tblGrid>
      <w:tr w:rsidR="00882C15" w14:paraId="6C429862" w14:textId="77777777" w:rsidTr="001B41BD">
        <w:tc>
          <w:tcPr>
            <w:tcW w:w="3116" w:type="dxa"/>
            <w:vAlign w:val="bottom"/>
          </w:tcPr>
          <w:p w14:paraId="6938D5C6" w14:textId="77777777" w:rsidR="00882C15" w:rsidRPr="000A3CC0" w:rsidRDefault="00882C15" w:rsidP="001B41BD">
            <w:r>
              <w:t>Age Group</w:t>
            </w:r>
          </w:p>
        </w:tc>
        <w:tc>
          <w:tcPr>
            <w:tcW w:w="3117" w:type="dxa"/>
            <w:vAlign w:val="bottom"/>
          </w:tcPr>
          <w:p w14:paraId="446DF754" w14:textId="77777777" w:rsidR="00882C15" w:rsidRPr="000A3CC0" w:rsidRDefault="00882C15" w:rsidP="001B41BD">
            <w:r w:rsidRPr="000A3CC0">
              <w:t>Male</w:t>
            </w:r>
          </w:p>
        </w:tc>
        <w:tc>
          <w:tcPr>
            <w:tcW w:w="3117" w:type="dxa"/>
            <w:vAlign w:val="bottom"/>
          </w:tcPr>
          <w:p w14:paraId="49B628A8" w14:textId="77777777" w:rsidR="00882C15" w:rsidRPr="000A3CC0" w:rsidRDefault="00882C15" w:rsidP="001B41BD">
            <w:r w:rsidRPr="000A3CC0">
              <w:t>Female</w:t>
            </w:r>
          </w:p>
        </w:tc>
      </w:tr>
      <w:tr w:rsidR="00882C15" w14:paraId="3597ED83" w14:textId="77777777" w:rsidTr="001B41BD">
        <w:tc>
          <w:tcPr>
            <w:tcW w:w="3116" w:type="dxa"/>
            <w:vAlign w:val="bottom"/>
          </w:tcPr>
          <w:p w14:paraId="51DCE242" w14:textId="77777777" w:rsidR="00882C15" w:rsidRPr="000A3CC0" w:rsidRDefault="00882C15" w:rsidP="001B41BD">
            <w:r w:rsidRPr="000A3CC0">
              <w:t>65 - 74</w:t>
            </w:r>
          </w:p>
        </w:tc>
        <w:tc>
          <w:tcPr>
            <w:tcW w:w="3117" w:type="dxa"/>
            <w:vAlign w:val="bottom"/>
          </w:tcPr>
          <w:p w14:paraId="21E0E528" w14:textId="77777777" w:rsidR="00882C15" w:rsidRPr="000A3CC0" w:rsidRDefault="00882C15" w:rsidP="001B41BD">
            <w:r w:rsidRPr="000A3CC0">
              <w:t xml:space="preserve">2,803.5 </w:t>
            </w:r>
          </w:p>
        </w:tc>
        <w:tc>
          <w:tcPr>
            <w:tcW w:w="3117" w:type="dxa"/>
            <w:vAlign w:val="bottom"/>
          </w:tcPr>
          <w:p w14:paraId="4BC3E794" w14:textId="77777777" w:rsidR="00882C15" w:rsidRPr="000A3CC0" w:rsidRDefault="00882C15" w:rsidP="001B41BD">
            <w:r w:rsidRPr="000A3CC0">
              <w:t xml:space="preserve">4,035.0 </w:t>
            </w:r>
          </w:p>
        </w:tc>
      </w:tr>
      <w:tr w:rsidR="00882C15" w14:paraId="6A248726" w14:textId="77777777" w:rsidTr="001B41BD">
        <w:tc>
          <w:tcPr>
            <w:tcW w:w="3116" w:type="dxa"/>
            <w:vAlign w:val="bottom"/>
          </w:tcPr>
          <w:p w14:paraId="207F7EC7" w14:textId="77777777" w:rsidR="00882C15" w:rsidRPr="000A3CC0" w:rsidRDefault="00882C15" w:rsidP="001B41BD">
            <w:r w:rsidRPr="000A3CC0">
              <w:lastRenderedPageBreak/>
              <w:t>75 - 84</w:t>
            </w:r>
          </w:p>
        </w:tc>
        <w:tc>
          <w:tcPr>
            <w:tcW w:w="3117" w:type="dxa"/>
            <w:vAlign w:val="bottom"/>
          </w:tcPr>
          <w:p w14:paraId="562F5702" w14:textId="77777777" w:rsidR="00882C15" w:rsidRPr="000A3CC0" w:rsidRDefault="00882C15" w:rsidP="001B41BD">
            <w:r w:rsidRPr="000A3CC0">
              <w:t xml:space="preserve">5,390.3 </w:t>
            </w:r>
          </w:p>
        </w:tc>
        <w:tc>
          <w:tcPr>
            <w:tcW w:w="3117" w:type="dxa"/>
            <w:vAlign w:val="bottom"/>
          </w:tcPr>
          <w:p w14:paraId="7129C2D6" w14:textId="77777777" w:rsidR="00882C15" w:rsidRPr="000A3CC0" w:rsidRDefault="00882C15" w:rsidP="001B41BD">
            <w:r w:rsidRPr="000A3CC0">
              <w:t xml:space="preserve">8,330.4 </w:t>
            </w:r>
          </w:p>
        </w:tc>
      </w:tr>
      <w:tr w:rsidR="00882C15" w14:paraId="7ECF65DA" w14:textId="77777777" w:rsidTr="001B41BD">
        <w:tc>
          <w:tcPr>
            <w:tcW w:w="3116" w:type="dxa"/>
            <w:vAlign w:val="bottom"/>
          </w:tcPr>
          <w:p w14:paraId="16619CF1" w14:textId="77777777" w:rsidR="00882C15" w:rsidRPr="000A3CC0" w:rsidRDefault="00882C15" w:rsidP="001B41BD">
            <w:r w:rsidRPr="000A3CC0">
              <w:t>85+</w:t>
            </w:r>
          </w:p>
        </w:tc>
        <w:tc>
          <w:tcPr>
            <w:tcW w:w="3117" w:type="dxa"/>
            <w:vAlign w:val="bottom"/>
          </w:tcPr>
          <w:p w14:paraId="39CE7EC0" w14:textId="77777777" w:rsidR="00882C15" w:rsidRPr="000A3CC0" w:rsidRDefault="00882C15" w:rsidP="001B41BD">
            <w:r w:rsidRPr="000A3CC0">
              <w:t xml:space="preserve">13,396.6 </w:t>
            </w:r>
          </w:p>
        </w:tc>
        <w:tc>
          <w:tcPr>
            <w:tcW w:w="3117" w:type="dxa"/>
            <w:vAlign w:val="bottom"/>
          </w:tcPr>
          <w:p w14:paraId="41E1643E" w14:textId="77777777" w:rsidR="00882C15" w:rsidRPr="000A3CC0" w:rsidRDefault="00882C15" w:rsidP="001B41BD">
            <w:r w:rsidRPr="000A3CC0">
              <w:t xml:space="preserve">18,259.2 </w:t>
            </w:r>
          </w:p>
        </w:tc>
      </w:tr>
    </w:tbl>
    <w:p w14:paraId="75835966" w14:textId="77777777" w:rsidR="00882C15" w:rsidRPr="000A3CC0" w:rsidRDefault="00882C15" w:rsidP="00882C15">
      <w:r w:rsidRPr="000A3CC0">
        <w:t xml:space="preserve">Source: SC RFA, 2019-2021. </w:t>
      </w:r>
    </w:p>
    <w:p w14:paraId="4B098BF9" w14:textId="77777777" w:rsidR="00882C15" w:rsidRDefault="00882C15" w:rsidP="00882C15">
      <w:r w:rsidRPr="000A3CC0">
        <w:t>Note: Includes cases subsequently admitted as an inpatient to the same hospital from the ED, initial encounter for injury only; population for year 2021 based on single-race estimates and for years prior based on bridge-race estimates.</w:t>
      </w:r>
    </w:p>
    <w:p w14:paraId="6A6762AF" w14:textId="77777777" w:rsidR="00882C15" w:rsidRDefault="00882C15" w:rsidP="00882C15"/>
    <w:p w14:paraId="600D14B6" w14:textId="77777777" w:rsidR="00882C15" w:rsidRPr="00882C15" w:rsidRDefault="00882C15" w:rsidP="00882C15">
      <w:pPr>
        <w:pStyle w:val="Heading4"/>
      </w:pPr>
      <w:bookmarkStart w:id="990" w:name="_Toc162267669"/>
      <w:r w:rsidRPr="00882C15">
        <w:t>Data Interpretations:</w:t>
      </w:r>
      <w:bookmarkEnd w:id="990"/>
      <w:r w:rsidRPr="00882C15">
        <w:t xml:space="preserve"> </w:t>
      </w:r>
    </w:p>
    <w:p w14:paraId="12696E4A" w14:textId="4B037E32" w:rsidR="00882C15" w:rsidRDefault="00882C15" w:rsidP="00882C15">
      <w:r w:rsidRPr="00882C15">
        <w:t>Deaths from unintentional falls among adults 65 and older in SC have steadily been on the rise. The falls death rate for adults 65 and older in SC increased from 45.3 deaths per 100,000 population in 2012 to 74.8 deaths per 100,000 population in 2021 (</w:t>
      </w:r>
      <w:r w:rsidRPr="00882C15">
        <w:rPr>
          <w:b/>
          <w:bCs/>
        </w:rPr>
        <w:t>Figure 10.16</w:t>
      </w:r>
      <w:r w:rsidRPr="00882C15">
        <w:t>). SC is almost equivalent to the US’s falls death rate of 78.0 deaths per 100,000 adults 65 and older. As of 2021, SC did not achieve the Healthy People 2030 goal of 63.4 fall deaths per 100,000 adults 65 and older. Among adults ages 65 and older in SC, those 85 and older have the highest number and rate of deaths due to falls. In 2021, SC males ages 65 and older had a higher rate of death due to falls (69.6 deaths per 100,000 adults 65+) compared to females (58.6 deaths per 100,000 adults 65 and older). Non-Hispanic Whites over the age of 65 died the most from falls in 2021 with a rate of 76.8 deaths per 100,000 adults 65+, compared to 22.3 and 33.1 deaths per 100,000 adults 65 and older for non-Hispanic Blacks and Hispanics respectively.</w:t>
      </w:r>
    </w:p>
    <w:p w14:paraId="621D8488" w14:textId="77777777" w:rsidR="00882C15" w:rsidRPr="00882C15" w:rsidRDefault="00882C15" w:rsidP="00882C15"/>
    <w:p w14:paraId="1D2A7E58" w14:textId="0CCE3838" w:rsidR="00882C15" w:rsidRDefault="00882C15" w:rsidP="00882C15">
      <w:r w:rsidRPr="00882C15">
        <w:t>Although men have a higher rate of death due to falls, women have a higher rate of nonfatal ED visits due to falls. From 2019-2021, SC females ages 65 and older experienced higher rates of ED visits due to nonfatal fall injuries compared to males (</w:t>
      </w:r>
      <w:r w:rsidRPr="00882C15">
        <w:rPr>
          <w:b/>
          <w:bCs/>
        </w:rPr>
        <w:t>Figure 10.17</w:t>
      </w:r>
      <w:r w:rsidRPr="00882C15">
        <w:t>). Females 85 and older had the highest rate of nonfatal fall injury ED visits (18,259.2 visits per 100,000 population), which was 36% higher than the rate in males 85 and older (13,396 visits per 100,000 population). Females 85 and older were 2 times more likely to experience an ED visit related to a fall compared to females ages 75-84 and were 4.5 times more likely than females ages 65-74.</w:t>
      </w:r>
    </w:p>
    <w:p w14:paraId="38BE6531" w14:textId="77777777" w:rsidR="00882C15" w:rsidRDefault="00882C15" w:rsidP="00882C15"/>
    <w:p w14:paraId="6FE86418" w14:textId="77777777" w:rsidR="00882C15" w:rsidRPr="00882C15" w:rsidRDefault="00882C15" w:rsidP="00882C15">
      <w:pPr>
        <w:pStyle w:val="Heading5"/>
      </w:pPr>
      <w:r w:rsidRPr="00882C15">
        <w:t>Key Takeaways:</w:t>
      </w:r>
    </w:p>
    <w:p w14:paraId="684320DC" w14:textId="77777777" w:rsidR="00882C15" w:rsidRPr="00882C15" w:rsidRDefault="00882C15" w:rsidP="00926EB3">
      <w:pPr>
        <w:pStyle w:val="ListParagraph"/>
        <w:numPr>
          <w:ilvl w:val="0"/>
          <w:numId w:val="228"/>
        </w:numPr>
      </w:pPr>
      <w:r w:rsidRPr="00882C15">
        <w:t>In 2021, 49% of unintentional injury deaths in adults 65 and older were due to falls.</w:t>
      </w:r>
    </w:p>
    <w:p w14:paraId="2E7C2148" w14:textId="77777777" w:rsidR="00882C15" w:rsidRDefault="00882C15" w:rsidP="00882C15"/>
    <w:p w14:paraId="6B1D42FF" w14:textId="1D95C25C" w:rsidR="00882C15" w:rsidRPr="00474B85" w:rsidRDefault="00882C15" w:rsidP="00882C15">
      <w:pPr>
        <w:pStyle w:val="Heading4"/>
        <w:rPr>
          <w:rFonts w:asciiTheme="minorHAnsi" w:hAnsiTheme="minorHAnsi" w:cstheme="minorHAnsi"/>
          <w:color w:val="000000" w:themeColor="text1"/>
        </w:rPr>
      </w:pPr>
      <w:bookmarkStart w:id="991" w:name="_Toc162267670"/>
      <w:r w:rsidRPr="00474B85">
        <w:rPr>
          <w:rFonts w:asciiTheme="minorHAnsi" w:hAnsiTheme="minorHAnsi" w:cstheme="minorHAnsi"/>
          <w:color w:val="000000" w:themeColor="text1"/>
        </w:rPr>
        <w:lastRenderedPageBreak/>
        <w:t xml:space="preserve">References </w:t>
      </w:r>
      <w:r>
        <w:rPr>
          <w:rFonts w:asciiTheme="minorHAnsi" w:hAnsiTheme="minorHAnsi" w:cstheme="minorHAnsi"/>
          <w:color w:val="000000" w:themeColor="text1"/>
        </w:rPr>
        <w:t>10.8</w:t>
      </w:r>
      <w:bookmarkEnd w:id="991"/>
      <w:r>
        <w:rPr>
          <w:rFonts w:asciiTheme="minorHAnsi" w:hAnsiTheme="minorHAnsi" w:cstheme="minorHAnsi"/>
          <w:color w:val="000000" w:themeColor="text1"/>
        </w:rPr>
        <w:t xml:space="preserve"> </w:t>
      </w:r>
    </w:p>
    <w:p w14:paraId="5CA02E97" w14:textId="77777777" w:rsidR="00882C15" w:rsidRDefault="00882C15" w:rsidP="00882C15">
      <w:r w:rsidRPr="00474B85">
        <w:t>Statistics in the preceding section were referenced from the following reports:</w:t>
      </w:r>
    </w:p>
    <w:p w14:paraId="3C70E350" w14:textId="0F463162" w:rsidR="008071E3" w:rsidRPr="008071E3" w:rsidRDefault="00000000" w:rsidP="00926EB3">
      <w:pPr>
        <w:pStyle w:val="ListParagraph"/>
        <w:numPr>
          <w:ilvl w:val="0"/>
          <w:numId w:val="199"/>
        </w:numPr>
      </w:pPr>
      <w:hyperlink r:id="rId438" w:history="1">
        <w:r w:rsidR="008071E3" w:rsidRPr="008071E3">
          <w:rPr>
            <w:rStyle w:val="Hyperlink"/>
          </w:rPr>
          <w:t>“Older Adult Falls” by Centers for Disease Control and Prevention via cdc.gov, 2023. Retrieved May 11, 2023.</w:t>
        </w:r>
      </w:hyperlink>
      <w:r w:rsidR="008071E3" w:rsidRPr="008071E3">
        <w:t xml:space="preserve"> </w:t>
      </w:r>
    </w:p>
    <w:p w14:paraId="51CD5A7D" w14:textId="47E7F28B" w:rsidR="008071E3" w:rsidRPr="008071E3" w:rsidRDefault="00000000" w:rsidP="00926EB3">
      <w:pPr>
        <w:pStyle w:val="ListParagraph"/>
        <w:numPr>
          <w:ilvl w:val="0"/>
          <w:numId w:val="199"/>
        </w:numPr>
      </w:pPr>
      <w:hyperlink r:id="rId439" w:history="1">
        <w:r w:rsidR="008071E3" w:rsidRPr="008071E3">
          <w:rPr>
            <w:rStyle w:val="Hyperlink"/>
          </w:rPr>
          <w:t>“Facts about falls” by Centers for Disease Control and Prevention via cdc.gov, 2021. Retrieved December 15, 2022.</w:t>
        </w:r>
      </w:hyperlink>
      <w:r w:rsidR="008071E3" w:rsidRPr="008071E3">
        <w:t xml:space="preserve"> </w:t>
      </w:r>
    </w:p>
    <w:p w14:paraId="23662805" w14:textId="77777777" w:rsidR="00882C15" w:rsidRDefault="00882C15" w:rsidP="00882C15"/>
    <w:p w14:paraId="7E796A84" w14:textId="77777777" w:rsidR="00882C15" w:rsidRPr="00882C15" w:rsidRDefault="00882C15" w:rsidP="00882C15">
      <w:pPr>
        <w:pStyle w:val="Heading3"/>
      </w:pPr>
      <w:bookmarkStart w:id="992" w:name="_Toc162267671"/>
      <w:r w:rsidRPr="00882C15">
        <w:t>Traumatic Brain Injury</w:t>
      </w:r>
      <w:bookmarkEnd w:id="992"/>
    </w:p>
    <w:p w14:paraId="60C0F035" w14:textId="770A9C00" w:rsidR="00882C15" w:rsidRPr="00882C15" w:rsidRDefault="00882C15" w:rsidP="00882C15">
      <w:r w:rsidRPr="00882C15">
        <w:t xml:space="preserve">A TBI is an injury that affects how the brain works that may be caused by a bump, blow, or jolt to the head, or a penetrating head injury. The severity of a TBI may range from mild to moderate </w:t>
      </w:r>
      <w:proofErr w:type="gramStart"/>
      <w:r w:rsidRPr="00882C15">
        <w:t>to</w:t>
      </w:r>
      <w:proofErr w:type="gramEnd"/>
      <w:r w:rsidRPr="00882C15">
        <w:t xml:space="preserve"> severe. There were over 69,000 TBI-related deaths in the US in 2021. </w:t>
      </w:r>
    </w:p>
    <w:p w14:paraId="71D964D1" w14:textId="77777777" w:rsidR="00882C15" w:rsidRDefault="00882C15" w:rsidP="00882C15"/>
    <w:p w14:paraId="5B7C4689" w14:textId="0E83607C" w:rsidR="00882C15" w:rsidRDefault="00882C15" w:rsidP="00882C15">
      <w:pPr>
        <w:rPr>
          <w:b/>
          <w:bCs/>
        </w:rPr>
      </w:pPr>
      <w:r w:rsidRPr="00882C15">
        <w:t>TBI is a special health concern for older adults. They have the highest rate of TBI-related hospitalizations and deaths, and they can take longer to recover from the injury. TBIs are more likely to be missed or misdiagnosed in older adults because symptoms of TBI overlap with other medical conditions that are common among older adults, such as dementia. Older adults are also at a higher risk of TBI due to the increased risk of falls, which are the most common cause of TBIs.</w:t>
      </w:r>
    </w:p>
    <w:p w14:paraId="2F32F356" w14:textId="77777777" w:rsidR="00882C15" w:rsidRDefault="00882C15" w:rsidP="00882C15">
      <w:pPr>
        <w:pStyle w:val="Heading5"/>
      </w:pPr>
    </w:p>
    <w:p w14:paraId="72C89E43" w14:textId="77777777" w:rsidR="00882C15" w:rsidRDefault="00882C15" w:rsidP="00882C15">
      <w:pPr>
        <w:pStyle w:val="Heading4"/>
      </w:pPr>
      <w:bookmarkStart w:id="993" w:name="_Toc154576581"/>
      <w:bookmarkStart w:id="994" w:name="_Toc162267672"/>
      <w:r w:rsidRPr="000A3CC0">
        <w:t>Figure 10.1</w:t>
      </w:r>
      <w:r>
        <w:t>8:</w:t>
      </w:r>
      <w:r w:rsidRPr="000A3CC0">
        <w:t xml:space="preserve"> Traumatic Brain Injury Deaths in Adults 65+, by Age Group</w:t>
      </w:r>
      <w:r>
        <w:t>.</w:t>
      </w:r>
      <w:bookmarkEnd w:id="993"/>
      <w:bookmarkEnd w:id="994"/>
    </w:p>
    <w:p w14:paraId="156C56D8" w14:textId="77777777" w:rsidR="00882C15" w:rsidRPr="008C6CF4" w:rsidRDefault="00882C15" w:rsidP="00882C15">
      <w:pPr>
        <w:pStyle w:val="Heading5"/>
      </w:pPr>
      <w:r>
        <w:t>Rate per 100,000 population.</w:t>
      </w:r>
    </w:p>
    <w:tbl>
      <w:tblPr>
        <w:tblStyle w:val="TableGrid"/>
        <w:tblW w:w="0" w:type="auto"/>
        <w:tblLook w:val="04A0" w:firstRow="1" w:lastRow="0" w:firstColumn="1" w:lastColumn="0" w:noHBand="0" w:noVBand="1"/>
      </w:tblPr>
      <w:tblGrid>
        <w:gridCol w:w="3116"/>
        <w:gridCol w:w="3117"/>
        <w:gridCol w:w="3117"/>
      </w:tblGrid>
      <w:tr w:rsidR="00882C15" w14:paraId="3C838D9D" w14:textId="77777777" w:rsidTr="001B41BD">
        <w:tc>
          <w:tcPr>
            <w:tcW w:w="3116" w:type="dxa"/>
            <w:vAlign w:val="bottom"/>
          </w:tcPr>
          <w:p w14:paraId="784C6286" w14:textId="77777777" w:rsidR="00882C15" w:rsidRPr="000A3CC0" w:rsidRDefault="00882C15" w:rsidP="001B41BD">
            <w:r>
              <w:t>Age Group</w:t>
            </w:r>
          </w:p>
        </w:tc>
        <w:tc>
          <w:tcPr>
            <w:tcW w:w="3117" w:type="dxa"/>
            <w:vAlign w:val="bottom"/>
          </w:tcPr>
          <w:p w14:paraId="256CA884" w14:textId="77777777" w:rsidR="00882C15" w:rsidRPr="000A3CC0" w:rsidRDefault="00882C15" w:rsidP="001B41BD">
            <w:r w:rsidRPr="000A3CC0">
              <w:t>South Carolina</w:t>
            </w:r>
          </w:p>
        </w:tc>
        <w:tc>
          <w:tcPr>
            <w:tcW w:w="3117" w:type="dxa"/>
            <w:vAlign w:val="bottom"/>
          </w:tcPr>
          <w:p w14:paraId="548990C4" w14:textId="77777777" w:rsidR="00882C15" w:rsidRPr="000A3CC0" w:rsidRDefault="00882C15" w:rsidP="001B41BD">
            <w:r w:rsidRPr="000A3CC0">
              <w:t>Healthy People 2030</w:t>
            </w:r>
            <w:r>
              <w:t xml:space="preserve"> Goal</w:t>
            </w:r>
          </w:p>
        </w:tc>
      </w:tr>
      <w:tr w:rsidR="00882C15" w14:paraId="370DEF30" w14:textId="77777777" w:rsidTr="001B41BD">
        <w:tc>
          <w:tcPr>
            <w:tcW w:w="3116" w:type="dxa"/>
            <w:vAlign w:val="bottom"/>
          </w:tcPr>
          <w:p w14:paraId="1DDC94C8" w14:textId="77777777" w:rsidR="00882C15" w:rsidRPr="000A3CC0" w:rsidRDefault="00882C15" w:rsidP="001B41BD">
            <w:r w:rsidRPr="000A3CC0">
              <w:t>65 - 74</w:t>
            </w:r>
          </w:p>
        </w:tc>
        <w:tc>
          <w:tcPr>
            <w:tcW w:w="3117" w:type="dxa"/>
            <w:vAlign w:val="bottom"/>
          </w:tcPr>
          <w:p w14:paraId="324480D8" w14:textId="77777777" w:rsidR="00882C15" w:rsidRPr="000A3CC0" w:rsidRDefault="00882C15" w:rsidP="001B41BD">
            <w:r w:rsidRPr="000A3CC0">
              <w:t>29.2</w:t>
            </w:r>
          </w:p>
        </w:tc>
        <w:tc>
          <w:tcPr>
            <w:tcW w:w="3117" w:type="dxa"/>
            <w:vAlign w:val="bottom"/>
          </w:tcPr>
          <w:p w14:paraId="090F9D30" w14:textId="77777777" w:rsidR="00882C15" w:rsidRPr="000A3CC0" w:rsidRDefault="00882C15" w:rsidP="001B41BD">
            <w:r w:rsidRPr="000A3CC0">
              <w:t>16.9</w:t>
            </w:r>
          </w:p>
        </w:tc>
      </w:tr>
      <w:tr w:rsidR="00882C15" w14:paraId="405AFE03" w14:textId="77777777" w:rsidTr="001B41BD">
        <w:tc>
          <w:tcPr>
            <w:tcW w:w="3116" w:type="dxa"/>
            <w:vAlign w:val="bottom"/>
          </w:tcPr>
          <w:p w14:paraId="2C9DD97C" w14:textId="77777777" w:rsidR="00882C15" w:rsidRPr="000A3CC0" w:rsidRDefault="00882C15" w:rsidP="001B41BD">
            <w:r w:rsidRPr="000A3CC0">
              <w:t>75 - 84</w:t>
            </w:r>
          </w:p>
        </w:tc>
        <w:tc>
          <w:tcPr>
            <w:tcW w:w="3117" w:type="dxa"/>
            <w:vAlign w:val="bottom"/>
          </w:tcPr>
          <w:p w14:paraId="3EAD23BE" w14:textId="77777777" w:rsidR="00882C15" w:rsidRPr="000A3CC0" w:rsidRDefault="00882C15" w:rsidP="001B41BD">
            <w:r w:rsidRPr="000A3CC0">
              <w:t>60.9</w:t>
            </w:r>
          </w:p>
        </w:tc>
        <w:tc>
          <w:tcPr>
            <w:tcW w:w="3117" w:type="dxa"/>
            <w:vAlign w:val="bottom"/>
          </w:tcPr>
          <w:p w14:paraId="1341049F" w14:textId="77777777" w:rsidR="00882C15" w:rsidRPr="000A3CC0" w:rsidRDefault="00882C15" w:rsidP="001B41BD">
            <w:r w:rsidRPr="000A3CC0">
              <w:t>16.9</w:t>
            </w:r>
          </w:p>
        </w:tc>
      </w:tr>
      <w:tr w:rsidR="00882C15" w14:paraId="79101726" w14:textId="77777777" w:rsidTr="001B41BD">
        <w:tc>
          <w:tcPr>
            <w:tcW w:w="3116" w:type="dxa"/>
            <w:vAlign w:val="bottom"/>
          </w:tcPr>
          <w:p w14:paraId="7DCF800B" w14:textId="77777777" w:rsidR="00882C15" w:rsidRPr="000A3CC0" w:rsidRDefault="00882C15" w:rsidP="001B41BD">
            <w:r w:rsidRPr="000A3CC0">
              <w:t>85+</w:t>
            </w:r>
          </w:p>
        </w:tc>
        <w:tc>
          <w:tcPr>
            <w:tcW w:w="3117" w:type="dxa"/>
            <w:vAlign w:val="bottom"/>
          </w:tcPr>
          <w:p w14:paraId="1C7026BA" w14:textId="77777777" w:rsidR="00882C15" w:rsidRPr="000A3CC0" w:rsidRDefault="00882C15" w:rsidP="001B41BD">
            <w:r w:rsidRPr="000A3CC0">
              <w:t>149.3</w:t>
            </w:r>
          </w:p>
        </w:tc>
        <w:tc>
          <w:tcPr>
            <w:tcW w:w="3117" w:type="dxa"/>
            <w:vAlign w:val="bottom"/>
          </w:tcPr>
          <w:p w14:paraId="158A634C" w14:textId="77777777" w:rsidR="00882C15" w:rsidRPr="000A3CC0" w:rsidRDefault="00882C15" w:rsidP="001B41BD">
            <w:r w:rsidRPr="000A3CC0">
              <w:t>16.9</w:t>
            </w:r>
          </w:p>
        </w:tc>
      </w:tr>
      <w:tr w:rsidR="00882C15" w14:paraId="5A29BE11" w14:textId="77777777" w:rsidTr="001B41BD">
        <w:tc>
          <w:tcPr>
            <w:tcW w:w="3116" w:type="dxa"/>
            <w:vAlign w:val="bottom"/>
          </w:tcPr>
          <w:p w14:paraId="79550403" w14:textId="77777777" w:rsidR="00882C15" w:rsidRPr="000A3CC0" w:rsidRDefault="00882C15" w:rsidP="001B41BD">
            <w:r w:rsidRPr="000A3CC0">
              <w:t>All Ages</w:t>
            </w:r>
          </w:p>
        </w:tc>
        <w:tc>
          <w:tcPr>
            <w:tcW w:w="3117" w:type="dxa"/>
            <w:vAlign w:val="bottom"/>
          </w:tcPr>
          <w:p w14:paraId="4D87E6FE" w14:textId="77777777" w:rsidR="00882C15" w:rsidRPr="000A3CC0" w:rsidRDefault="00882C15" w:rsidP="001B41BD">
            <w:r w:rsidRPr="000A3CC0">
              <w:t>28.7</w:t>
            </w:r>
          </w:p>
        </w:tc>
        <w:tc>
          <w:tcPr>
            <w:tcW w:w="3117" w:type="dxa"/>
            <w:vAlign w:val="bottom"/>
          </w:tcPr>
          <w:p w14:paraId="71B57A82" w14:textId="77777777" w:rsidR="00882C15" w:rsidRPr="000A3CC0" w:rsidRDefault="00882C15" w:rsidP="001B41BD">
            <w:r w:rsidRPr="000A3CC0">
              <w:t>16.9</w:t>
            </w:r>
          </w:p>
        </w:tc>
      </w:tr>
    </w:tbl>
    <w:p w14:paraId="0E6D8126" w14:textId="77777777" w:rsidR="00882C15" w:rsidRPr="000A3CC0" w:rsidRDefault="00882C15" w:rsidP="00882C15">
      <w:r w:rsidRPr="000A3CC0">
        <w:t xml:space="preserve">Source: SC DHEC Vital Statistics, 2017- 2021. </w:t>
      </w:r>
    </w:p>
    <w:p w14:paraId="1A0042A8" w14:textId="77777777" w:rsidR="00882C15" w:rsidRDefault="00882C15" w:rsidP="00882C15">
      <w:r w:rsidRPr="000A3CC0">
        <w:t>Note: Population for year 2021 based on single-race estimates and for years prior based on bridge-race estimates.</w:t>
      </w:r>
    </w:p>
    <w:p w14:paraId="2D2D736B" w14:textId="77777777" w:rsidR="00882C15" w:rsidRDefault="00882C15" w:rsidP="00882C15">
      <w:pPr>
        <w:pStyle w:val="Heading4"/>
      </w:pPr>
      <w:bookmarkStart w:id="995" w:name="_Toc154576582"/>
    </w:p>
    <w:p w14:paraId="1709F52F" w14:textId="0A02EC3C" w:rsidR="00882C15" w:rsidRDefault="00882C15" w:rsidP="00882C15">
      <w:pPr>
        <w:pStyle w:val="Heading4"/>
      </w:pPr>
      <w:bookmarkStart w:id="996" w:name="_Toc162267673"/>
      <w:r w:rsidRPr="000A3CC0">
        <w:t>Figure 10.1</w:t>
      </w:r>
      <w:r>
        <w:t>9:</w:t>
      </w:r>
      <w:r w:rsidRPr="000A3CC0">
        <w:t xml:space="preserve"> Causes of Nonfatal Traumatic Brain Injuries Seen in the Emergency Department Among Adults Aged 65+</w:t>
      </w:r>
      <w:r>
        <w:t>.</w:t>
      </w:r>
      <w:bookmarkEnd w:id="995"/>
      <w:bookmarkEnd w:id="996"/>
    </w:p>
    <w:tbl>
      <w:tblPr>
        <w:tblStyle w:val="TableGrid"/>
        <w:tblW w:w="0" w:type="auto"/>
        <w:tblLook w:val="04A0" w:firstRow="1" w:lastRow="0" w:firstColumn="1" w:lastColumn="0" w:noHBand="0" w:noVBand="1"/>
      </w:tblPr>
      <w:tblGrid>
        <w:gridCol w:w="3116"/>
        <w:gridCol w:w="3117"/>
        <w:gridCol w:w="3117"/>
      </w:tblGrid>
      <w:tr w:rsidR="00882C15" w14:paraId="5F386010" w14:textId="77777777" w:rsidTr="001B41BD">
        <w:tc>
          <w:tcPr>
            <w:tcW w:w="3116" w:type="dxa"/>
            <w:vAlign w:val="bottom"/>
          </w:tcPr>
          <w:p w14:paraId="740FD0DB" w14:textId="77777777" w:rsidR="00882C15" w:rsidRDefault="00882C15" w:rsidP="001B41BD">
            <w:r>
              <w:t>Cause</w:t>
            </w:r>
          </w:p>
        </w:tc>
        <w:tc>
          <w:tcPr>
            <w:tcW w:w="3117" w:type="dxa"/>
            <w:vAlign w:val="bottom"/>
          </w:tcPr>
          <w:p w14:paraId="1DCC5806" w14:textId="77777777" w:rsidR="00882C15" w:rsidRDefault="00882C15" w:rsidP="001B41BD">
            <w:r>
              <w:t>Number</w:t>
            </w:r>
          </w:p>
        </w:tc>
        <w:tc>
          <w:tcPr>
            <w:tcW w:w="3117" w:type="dxa"/>
            <w:vAlign w:val="bottom"/>
          </w:tcPr>
          <w:p w14:paraId="43599866" w14:textId="77777777" w:rsidR="00882C15" w:rsidRDefault="00882C15" w:rsidP="001B41BD">
            <w:r>
              <w:t>Percent</w:t>
            </w:r>
          </w:p>
        </w:tc>
      </w:tr>
      <w:tr w:rsidR="00882C15" w14:paraId="1A62B31E" w14:textId="77777777" w:rsidTr="001B41BD">
        <w:tc>
          <w:tcPr>
            <w:tcW w:w="3116" w:type="dxa"/>
            <w:vAlign w:val="bottom"/>
          </w:tcPr>
          <w:p w14:paraId="10CA2BF1" w14:textId="77777777" w:rsidR="00882C15" w:rsidRDefault="00882C15" w:rsidP="001B41BD">
            <w:r>
              <w:t>Fall</w:t>
            </w:r>
          </w:p>
        </w:tc>
        <w:tc>
          <w:tcPr>
            <w:tcW w:w="3117" w:type="dxa"/>
            <w:vAlign w:val="bottom"/>
          </w:tcPr>
          <w:p w14:paraId="37048622" w14:textId="77777777" w:rsidR="00882C15" w:rsidRDefault="00882C15" w:rsidP="001B41BD">
            <w:r>
              <w:t>8,523</w:t>
            </w:r>
          </w:p>
        </w:tc>
        <w:tc>
          <w:tcPr>
            <w:tcW w:w="3117" w:type="dxa"/>
            <w:vAlign w:val="bottom"/>
          </w:tcPr>
          <w:p w14:paraId="439A8810" w14:textId="77777777" w:rsidR="00882C15" w:rsidRDefault="00882C15" w:rsidP="001B41BD">
            <w:r>
              <w:t>78.20%</w:t>
            </w:r>
          </w:p>
        </w:tc>
      </w:tr>
      <w:tr w:rsidR="00882C15" w14:paraId="42D4167F" w14:textId="77777777" w:rsidTr="001B41BD">
        <w:tc>
          <w:tcPr>
            <w:tcW w:w="3116" w:type="dxa"/>
            <w:vAlign w:val="bottom"/>
          </w:tcPr>
          <w:p w14:paraId="577E4F8D" w14:textId="77777777" w:rsidR="00882C15" w:rsidRDefault="00882C15" w:rsidP="001B41BD">
            <w:r>
              <w:lastRenderedPageBreak/>
              <w:t>Motor Vehicle Crash</w:t>
            </w:r>
          </w:p>
        </w:tc>
        <w:tc>
          <w:tcPr>
            <w:tcW w:w="3117" w:type="dxa"/>
            <w:vAlign w:val="bottom"/>
          </w:tcPr>
          <w:p w14:paraId="23BEC345" w14:textId="77777777" w:rsidR="00882C15" w:rsidRDefault="00882C15" w:rsidP="001B41BD">
            <w:r>
              <w:t>1,016</w:t>
            </w:r>
          </w:p>
        </w:tc>
        <w:tc>
          <w:tcPr>
            <w:tcW w:w="3117" w:type="dxa"/>
            <w:vAlign w:val="bottom"/>
          </w:tcPr>
          <w:p w14:paraId="6855E8E2" w14:textId="77777777" w:rsidR="00882C15" w:rsidRDefault="00882C15" w:rsidP="001B41BD">
            <w:r>
              <w:t>9.30%</w:t>
            </w:r>
          </w:p>
        </w:tc>
      </w:tr>
      <w:tr w:rsidR="00882C15" w14:paraId="551F7385" w14:textId="77777777" w:rsidTr="001B41BD">
        <w:tc>
          <w:tcPr>
            <w:tcW w:w="3116" w:type="dxa"/>
            <w:vAlign w:val="bottom"/>
          </w:tcPr>
          <w:p w14:paraId="5D6FCB4B" w14:textId="77777777" w:rsidR="00882C15" w:rsidRDefault="00882C15" w:rsidP="001B41BD">
            <w:r>
              <w:t>Struck by/against</w:t>
            </w:r>
          </w:p>
        </w:tc>
        <w:tc>
          <w:tcPr>
            <w:tcW w:w="3117" w:type="dxa"/>
            <w:vAlign w:val="bottom"/>
          </w:tcPr>
          <w:p w14:paraId="24D6EF30" w14:textId="77777777" w:rsidR="00882C15" w:rsidRDefault="00882C15" w:rsidP="001B41BD">
            <w:r>
              <w:t>482</w:t>
            </w:r>
          </w:p>
        </w:tc>
        <w:tc>
          <w:tcPr>
            <w:tcW w:w="3117" w:type="dxa"/>
            <w:vAlign w:val="bottom"/>
          </w:tcPr>
          <w:p w14:paraId="64A2D057" w14:textId="77777777" w:rsidR="00882C15" w:rsidRDefault="00882C15" w:rsidP="001B41BD">
            <w:r>
              <w:t>4.40%</w:t>
            </w:r>
          </w:p>
        </w:tc>
      </w:tr>
      <w:tr w:rsidR="00882C15" w14:paraId="24554424" w14:textId="77777777" w:rsidTr="001B41BD">
        <w:tc>
          <w:tcPr>
            <w:tcW w:w="3116" w:type="dxa"/>
            <w:vAlign w:val="bottom"/>
          </w:tcPr>
          <w:p w14:paraId="329F8DF5" w14:textId="77777777" w:rsidR="00882C15" w:rsidRDefault="00882C15" w:rsidP="001B41BD">
            <w:r>
              <w:t xml:space="preserve">Other specified, </w:t>
            </w:r>
            <w:proofErr w:type="gramStart"/>
            <w:r>
              <w:t>unspecified</w:t>
            </w:r>
            <w:proofErr w:type="gramEnd"/>
            <w:r>
              <w:t xml:space="preserve"> or unclassified</w:t>
            </w:r>
          </w:p>
        </w:tc>
        <w:tc>
          <w:tcPr>
            <w:tcW w:w="3117" w:type="dxa"/>
            <w:vAlign w:val="bottom"/>
          </w:tcPr>
          <w:p w14:paraId="2E15C546" w14:textId="77777777" w:rsidR="00882C15" w:rsidRDefault="00882C15" w:rsidP="001B41BD">
            <w:r>
              <w:t>875</w:t>
            </w:r>
          </w:p>
        </w:tc>
        <w:tc>
          <w:tcPr>
            <w:tcW w:w="3117" w:type="dxa"/>
            <w:vAlign w:val="bottom"/>
          </w:tcPr>
          <w:p w14:paraId="143DDD08" w14:textId="77777777" w:rsidR="00882C15" w:rsidRDefault="00882C15" w:rsidP="001B41BD">
            <w:r>
              <w:t>8.00%</w:t>
            </w:r>
          </w:p>
        </w:tc>
      </w:tr>
    </w:tbl>
    <w:p w14:paraId="7623D072" w14:textId="77777777" w:rsidR="00882C15" w:rsidRPr="000A3CC0" w:rsidRDefault="00882C15" w:rsidP="00882C15">
      <w:r w:rsidRPr="000A3CC0">
        <w:t xml:space="preserve">Source: SC RFA, 2019-2021. </w:t>
      </w:r>
    </w:p>
    <w:p w14:paraId="5700AE88" w14:textId="77777777" w:rsidR="00882C15" w:rsidRDefault="00882C15" w:rsidP="00882C15">
      <w:r w:rsidRPr="000A3CC0">
        <w:t>Note: Includes cases subsequently admitted as an inpatient to the same hospital from the ED, initial encounter for injury only.</w:t>
      </w:r>
    </w:p>
    <w:p w14:paraId="018186F0" w14:textId="77777777" w:rsidR="00882C15" w:rsidRPr="00882C15" w:rsidRDefault="00882C15" w:rsidP="00882C15"/>
    <w:p w14:paraId="112B0DE0" w14:textId="5FE1BBD3" w:rsidR="00882C15" w:rsidRDefault="00882C15" w:rsidP="00882C15">
      <w:r w:rsidRPr="00882C15">
        <w:rPr>
          <w:b/>
          <w:bCs/>
        </w:rPr>
        <w:t xml:space="preserve">Data Interpretations: </w:t>
      </w:r>
      <w:r w:rsidRPr="00882C15">
        <w:t>Rates of TBI deaths in SC older adults have increased over the past few years. In 2017, the rate of TBI death in SC adults 65 and older was 48.5 deaths per 100,000, and in 2021 the rate was 55.7 deaths per 100,000 adults 65 and older. Rates of TBI deaths increase with age. Between 2017-2021, SC adults 85 and older had a TBI death rate of 149.3 deaths per 100,000 population (</w:t>
      </w:r>
      <w:r w:rsidRPr="00882C15">
        <w:rPr>
          <w:b/>
          <w:bCs/>
        </w:rPr>
        <w:t>Figure 10.18</w:t>
      </w:r>
      <w:r w:rsidRPr="00882C15">
        <w:t xml:space="preserve">). This is almost 2.5 times higher than the rate of TBI deaths among ages 75-84 (60.9 deaths per 100,000 population) and over 5 times higher than those aged 65-74 (29.2 deaths per 100,000 population). The rate of TBI deaths for all ages (28.7 deaths per 100,000 population) is </w:t>
      </w:r>
      <w:proofErr w:type="gramStart"/>
      <w:r w:rsidRPr="00882C15">
        <w:t>similar to</w:t>
      </w:r>
      <w:proofErr w:type="gramEnd"/>
      <w:r w:rsidRPr="00882C15">
        <w:t xml:space="preserve"> the rate for ages 65-</w:t>
      </w:r>
      <w:r w:rsidR="00011D79">
        <w:t>7</w:t>
      </w:r>
      <w:r w:rsidRPr="00882C15">
        <w:t>4. As of 2021, SC did not reach the Healthy People 2030 goal of 16.9 deaths per 100,000. In 2021, there were 2,021 nonfatal outpatient ED visits related to TBIs among adults 65 and older in SC. This resulted in an average billing charge of $14,470, for a total of $29 million.</w:t>
      </w:r>
    </w:p>
    <w:p w14:paraId="1D31BB9D" w14:textId="77777777" w:rsidR="00882C15" w:rsidRPr="00882C15" w:rsidRDefault="00882C15" w:rsidP="00882C15"/>
    <w:p w14:paraId="3E4FB1C4" w14:textId="3BC00665" w:rsidR="00882C15" w:rsidRDefault="00882C15" w:rsidP="00882C15">
      <w:r w:rsidRPr="00882C15">
        <w:t>Falls cause the most TBIs in SC older adults. From 2019-2021, 78.2% of nonfatal TBI ED visits in adults 65 and older were caused by falls (</w:t>
      </w:r>
      <w:r w:rsidRPr="00882C15">
        <w:rPr>
          <w:b/>
          <w:bCs/>
        </w:rPr>
        <w:t>Figure 10.19</w:t>
      </w:r>
      <w:r w:rsidRPr="00882C15">
        <w:t xml:space="preserve">). Other causes of TBI ED visits during this </w:t>
      </w:r>
      <w:proofErr w:type="gramStart"/>
      <w:r w:rsidRPr="00882C15">
        <w:t>time period</w:t>
      </w:r>
      <w:proofErr w:type="gramEnd"/>
      <w:r w:rsidRPr="00882C15">
        <w:t xml:space="preserve"> include MVC (9.3%) and being struck by or against something (4.4%). Due to the high percentage of TBIs related to falls, fall prevention efforts are important for the prevention of TBIs in older adults.</w:t>
      </w:r>
    </w:p>
    <w:p w14:paraId="59B422AF" w14:textId="77777777" w:rsidR="00882C15" w:rsidRPr="00882C15" w:rsidRDefault="00882C15" w:rsidP="00882C15"/>
    <w:p w14:paraId="3CB9D981" w14:textId="5CC2909E" w:rsidR="00882C15" w:rsidRPr="00882C15" w:rsidRDefault="00882C15" w:rsidP="00882C15">
      <w:pPr>
        <w:pStyle w:val="Heading5"/>
      </w:pPr>
      <w:r w:rsidRPr="00882C15">
        <w:t>Key Takeaways:</w:t>
      </w:r>
    </w:p>
    <w:p w14:paraId="13A06D85" w14:textId="77777777" w:rsidR="00882C15" w:rsidRPr="00882C15" w:rsidRDefault="00882C15" w:rsidP="00926EB3">
      <w:pPr>
        <w:pStyle w:val="ListParagraph"/>
        <w:numPr>
          <w:ilvl w:val="0"/>
          <w:numId w:val="228"/>
        </w:numPr>
      </w:pPr>
      <w:proofErr w:type="gramStart"/>
      <w:r w:rsidRPr="00882C15">
        <w:t>The majority of</w:t>
      </w:r>
      <w:proofErr w:type="gramEnd"/>
      <w:r w:rsidRPr="00882C15">
        <w:t xml:space="preserve"> traumatic brain injuries in older adults are caused by falls.</w:t>
      </w:r>
    </w:p>
    <w:p w14:paraId="1D4E4D31" w14:textId="77777777" w:rsidR="00882C15" w:rsidRDefault="00882C15" w:rsidP="00882C15">
      <w:pPr>
        <w:rPr>
          <w:b/>
          <w:bCs/>
        </w:rPr>
      </w:pPr>
    </w:p>
    <w:p w14:paraId="3FD5E3E8" w14:textId="45692B12" w:rsidR="00882C15" w:rsidRPr="00474B85" w:rsidRDefault="00882C15" w:rsidP="00882C15">
      <w:pPr>
        <w:pStyle w:val="Heading4"/>
        <w:rPr>
          <w:rFonts w:asciiTheme="minorHAnsi" w:hAnsiTheme="minorHAnsi" w:cstheme="minorHAnsi"/>
          <w:color w:val="000000" w:themeColor="text1"/>
        </w:rPr>
      </w:pPr>
      <w:bookmarkStart w:id="997" w:name="_Toc162267674"/>
      <w:r w:rsidRPr="00474B85">
        <w:rPr>
          <w:rFonts w:asciiTheme="minorHAnsi" w:hAnsiTheme="minorHAnsi" w:cstheme="minorHAnsi"/>
          <w:color w:val="000000" w:themeColor="text1"/>
        </w:rPr>
        <w:t xml:space="preserve">References </w:t>
      </w:r>
      <w:r>
        <w:rPr>
          <w:rFonts w:asciiTheme="minorHAnsi" w:hAnsiTheme="minorHAnsi" w:cstheme="minorHAnsi"/>
          <w:color w:val="000000" w:themeColor="text1"/>
        </w:rPr>
        <w:t>10.9</w:t>
      </w:r>
      <w:bookmarkEnd w:id="997"/>
      <w:r>
        <w:rPr>
          <w:rFonts w:asciiTheme="minorHAnsi" w:hAnsiTheme="minorHAnsi" w:cstheme="minorHAnsi"/>
          <w:color w:val="000000" w:themeColor="text1"/>
        </w:rPr>
        <w:t xml:space="preserve"> </w:t>
      </w:r>
    </w:p>
    <w:p w14:paraId="0B951A38" w14:textId="77777777" w:rsidR="00882C15" w:rsidRDefault="00882C15" w:rsidP="00882C15">
      <w:r w:rsidRPr="00474B85">
        <w:t>Statistics in the preceding section were referenced from the following reports:</w:t>
      </w:r>
    </w:p>
    <w:p w14:paraId="268A32F8" w14:textId="0F80CC60" w:rsidR="008071E3" w:rsidRPr="008071E3" w:rsidRDefault="00000000" w:rsidP="003E3A63">
      <w:pPr>
        <w:ind w:left="720" w:hanging="360"/>
      </w:pPr>
      <w:hyperlink r:id="rId440" w:history="1">
        <w:r w:rsidR="008071E3">
          <w:t xml:space="preserve">25. </w:t>
        </w:r>
        <w:r w:rsidR="008071E3" w:rsidRPr="008071E3">
          <w:rPr>
            <w:rStyle w:val="Hyperlink"/>
          </w:rPr>
          <w:t>“Facts about falls” by Centers for Disease Control and Prevention via cdc.gov, 2021. Retrieved December 15, 2022.</w:t>
        </w:r>
      </w:hyperlink>
      <w:r w:rsidR="008071E3" w:rsidRPr="008071E3">
        <w:t xml:space="preserve"> </w:t>
      </w:r>
    </w:p>
    <w:p w14:paraId="5E2E0532" w14:textId="04708AA0" w:rsidR="008071E3" w:rsidRDefault="008071E3" w:rsidP="00882C15"/>
    <w:p w14:paraId="3A051A1F" w14:textId="7ED7B377" w:rsidR="008071E3" w:rsidRPr="008071E3" w:rsidRDefault="00000000" w:rsidP="00926EB3">
      <w:pPr>
        <w:pStyle w:val="ListParagraph"/>
        <w:numPr>
          <w:ilvl w:val="0"/>
          <w:numId w:val="199"/>
        </w:numPr>
        <w:rPr>
          <w:u w:val="thick"/>
        </w:rPr>
      </w:pPr>
      <w:hyperlink r:id="rId441" w:anchor=":~:text=TBIs%20may%20be%20missed%20in,to%20all%20other%20age%20groups.&amp;amp;text=Still%2C%20TBIs%20may%20be%20missed,older%20adults%2C%20such%20as%20dementia" w:history="1">
        <w:r w:rsidR="008071E3" w:rsidRPr="008071E3">
          <w:rPr>
            <w:rStyle w:val="Hyperlink"/>
          </w:rPr>
          <w:t>“Get the facts about TBI. Centers for Disease Control and Prevention” by Centers for Disease Control and Prevention, 2023. Retrieved June 7, 2023.</w:t>
        </w:r>
      </w:hyperlink>
    </w:p>
    <w:p w14:paraId="0FF3F1DF" w14:textId="77777777" w:rsidR="00882C15" w:rsidRDefault="00882C15" w:rsidP="00882C15"/>
    <w:p w14:paraId="44A6AB1B" w14:textId="77777777" w:rsidR="00882C15" w:rsidRPr="00882C15" w:rsidRDefault="00882C15" w:rsidP="00882C15">
      <w:pPr>
        <w:pStyle w:val="Heading3"/>
      </w:pPr>
      <w:bookmarkStart w:id="998" w:name="_Toc162267675"/>
      <w:r w:rsidRPr="00882C15">
        <w:t>Motor Vehicle Crashes</w:t>
      </w:r>
      <w:bookmarkEnd w:id="998"/>
    </w:p>
    <w:p w14:paraId="76F176C2" w14:textId="58D9FB2E" w:rsidR="00882C15" w:rsidRDefault="00882C15" w:rsidP="00882C15">
      <w:pPr>
        <w:rPr>
          <w:b/>
          <w:bCs/>
        </w:rPr>
      </w:pPr>
      <w:r w:rsidRPr="00882C15">
        <w:t>Driving helps older adults stay independent and mobile as they age, but their risk of being involved in a motor vehicle crash (MVC) is higher. In 2020, there were almost 48 million licensed drivers ages 65 and older in the US, which is a 68% increase since 2000. There were 7,480 adults 65 and older who were killed from MVCs and 195,855 who were treated in EDs for MVC-related injuries in 2020.</w:t>
      </w:r>
    </w:p>
    <w:p w14:paraId="3144AFE7" w14:textId="77777777" w:rsidR="00882C15" w:rsidRPr="00882C15" w:rsidRDefault="00882C15" w:rsidP="00882C15"/>
    <w:p w14:paraId="17782EDA" w14:textId="5A581975" w:rsidR="00882C15" w:rsidRDefault="00882C15" w:rsidP="00882C15">
      <w:r w:rsidRPr="00882C15">
        <w:t>There are certain medical problems that increase the risk of a MVC, including heart disease, dementia, sleep disorders, and hearing and vision loss. Drivers over the age of 70 have higher MVC death rates than middle-aged drivers. Like other age groups, older adult males have substantially higher crash death rates than females.</w:t>
      </w:r>
    </w:p>
    <w:p w14:paraId="2F9FA963" w14:textId="77777777" w:rsidR="00882C15" w:rsidRDefault="00882C15" w:rsidP="00882C15"/>
    <w:p w14:paraId="7C97C57A" w14:textId="77777777" w:rsidR="00882C15" w:rsidRDefault="00882C15" w:rsidP="00882C15">
      <w:pPr>
        <w:pStyle w:val="Heading4"/>
      </w:pPr>
      <w:bookmarkStart w:id="999" w:name="_Toc154576583"/>
      <w:bookmarkStart w:id="1000" w:name="_Toc162267676"/>
      <w:r w:rsidRPr="000A3CC0">
        <w:t>Figure 10.</w:t>
      </w:r>
      <w:r>
        <w:t>20:</w:t>
      </w:r>
      <w:r w:rsidRPr="000A3CC0">
        <w:t xml:space="preserve"> </w:t>
      </w:r>
      <w:r>
        <w:t>Motor Vehicle Crash Deaths</w:t>
      </w:r>
      <w:r w:rsidRPr="000A3CC0">
        <w:t>, by Age Group</w:t>
      </w:r>
      <w:r>
        <w:t>.</w:t>
      </w:r>
      <w:bookmarkEnd w:id="999"/>
      <w:bookmarkEnd w:id="1000"/>
    </w:p>
    <w:p w14:paraId="657FDE17" w14:textId="77777777" w:rsidR="00882C15" w:rsidRPr="008C6CF4" w:rsidRDefault="00882C15" w:rsidP="00882C15">
      <w:pPr>
        <w:pStyle w:val="Heading5"/>
      </w:pPr>
      <w:r>
        <w:t>Rate per 100,000 population.</w:t>
      </w:r>
    </w:p>
    <w:tbl>
      <w:tblPr>
        <w:tblStyle w:val="TableGrid"/>
        <w:tblW w:w="0" w:type="auto"/>
        <w:tblLook w:val="04A0" w:firstRow="1" w:lastRow="0" w:firstColumn="1" w:lastColumn="0" w:noHBand="0" w:noVBand="1"/>
      </w:tblPr>
      <w:tblGrid>
        <w:gridCol w:w="2337"/>
        <w:gridCol w:w="2337"/>
        <w:gridCol w:w="2338"/>
        <w:gridCol w:w="2338"/>
      </w:tblGrid>
      <w:tr w:rsidR="00882C15" w14:paraId="57E8AF5A" w14:textId="77777777" w:rsidTr="001B41BD">
        <w:tc>
          <w:tcPr>
            <w:tcW w:w="2337" w:type="dxa"/>
            <w:vAlign w:val="bottom"/>
          </w:tcPr>
          <w:p w14:paraId="75781376" w14:textId="77777777" w:rsidR="00882C15" w:rsidRPr="000A3CC0" w:rsidRDefault="00882C15" w:rsidP="001B41BD">
            <w:r w:rsidRPr="000A3CC0">
              <w:t>Age Group</w:t>
            </w:r>
          </w:p>
        </w:tc>
        <w:tc>
          <w:tcPr>
            <w:tcW w:w="2337" w:type="dxa"/>
            <w:vAlign w:val="bottom"/>
          </w:tcPr>
          <w:p w14:paraId="1A8F806B" w14:textId="77777777" w:rsidR="00882C15" w:rsidRPr="000A3CC0" w:rsidRDefault="00882C15" w:rsidP="001B41BD">
            <w:r w:rsidRPr="000A3CC0">
              <w:t>South Carolina</w:t>
            </w:r>
          </w:p>
        </w:tc>
        <w:tc>
          <w:tcPr>
            <w:tcW w:w="2338" w:type="dxa"/>
            <w:vAlign w:val="bottom"/>
          </w:tcPr>
          <w:p w14:paraId="0E3E4797" w14:textId="77777777" w:rsidR="00882C15" w:rsidRPr="000A3CC0" w:rsidRDefault="00882C15" w:rsidP="001B41BD">
            <w:r w:rsidRPr="000A3CC0">
              <w:t>United States</w:t>
            </w:r>
          </w:p>
        </w:tc>
        <w:tc>
          <w:tcPr>
            <w:tcW w:w="2338" w:type="dxa"/>
            <w:vAlign w:val="bottom"/>
          </w:tcPr>
          <w:p w14:paraId="064D209C" w14:textId="77777777" w:rsidR="00882C15" w:rsidRPr="000A3CC0" w:rsidRDefault="00882C15" w:rsidP="001B41BD">
            <w:r w:rsidRPr="000A3CC0">
              <w:t>Healthy People 2030</w:t>
            </w:r>
            <w:r>
              <w:t xml:space="preserve"> Goal</w:t>
            </w:r>
          </w:p>
        </w:tc>
      </w:tr>
      <w:tr w:rsidR="00882C15" w14:paraId="2259EA2D" w14:textId="77777777" w:rsidTr="001B41BD">
        <w:tc>
          <w:tcPr>
            <w:tcW w:w="2337" w:type="dxa"/>
            <w:vAlign w:val="bottom"/>
          </w:tcPr>
          <w:p w14:paraId="149BEFC2" w14:textId="77777777" w:rsidR="00882C15" w:rsidRPr="000A3CC0" w:rsidRDefault="00882C15" w:rsidP="001B41BD">
            <w:r w:rsidRPr="000A3CC0">
              <w:t>65 - 74</w:t>
            </w:r>
          </w:p>
        </w:tc>
        <w:tc>
          <w:tcPr>
            <w:tcW w:w="2337" w:type="dxa"/>
            <w:vAlign w:val="bottom"/>
          </w:tcPr>
          <w:p w14:paraId="3D4993B5" w14:textId="77777777" w:rsidR="00882C15" w:rsidRPr="000A3CC0" w:rsidRDefault="00882C15" w:rsidP="001B41BD">
            <w:r w:rsidRPr="000A3CC0">
              <w:t>18.0</w:t>
            </w:r>
          </w:p>
        </w:tc>
        <w:tc>
          <w:tcPr>
            <w:tcW w:w="2338" w:type="dxa"/>
            <w:vAlign w:val="bottom"/>
          </w:tcPr>
          <w:p w14:paraId="4AB4635D" w14:textId="77777777" w:rsidR="00882C15" w:rsidRPr="000A3CC0" w:rsidRDefault="00882C15" w:rsidP="001B41BD">
            <w:r w:rsidRPr="000A3CC0">
              <w:t>12.5</w:t>
            </w:r>
          </w:p>
        </w:tc>
        <w:tc>
          <w:tcPr>
            <w:tcW w:w="2338" w:type="dxa"/>
            <w:vAlign w:val="bottom"/>
          </w:tcPr>
          <w:p w14:paraId="0554D41C" w14:textId="77777777" w:rsidR="00882C15" w:rsidRPr="000A3CC0" w:rsidRDefault="00882C15" w:rsidP="001B41BD">
            <w:r w:rsidRPr="000A3CC0">
              <w:t>10.1</w:t>
            </w:r>
          </w:p>
        </w:tc>
      </w:tr>
      <w:tr w:rsidR="00882C15" w14:paraId="21CF0008" w14:textId="77777777" w:rsidTr="001B41BD">
        <w:tc>
          <w:tcPr>
            <w:tcW w:w="2337" w:type="dxa"/>
            <w:vAlign w:val="bottom"/>
          </w:tcPr>
          <w:p w14:paraId="6E797612" w14:textId="77777777" w:rsidR="00882C15" w:rsidRPr="000A3CC0" w:rsidRDefault="00882C15" w:rsidP="001B41BD">
            <w:r w:rsidRPr="000A3CC0">
              <w:t>75 - 84</w:t>
            </w:r>
          </w:p>
        </w:tc>
        <w:tc>
          <w:tcPr>
            <w:tcW w:w="2337" w:type="dxa"/>
            <w:vAlign w:val="bottom"/>
          </w:tcPr>
          <w:p w14:paraId="44B37372" w14:textId="77777777" w:rsidR="00882C15" w:rsidRPr="000A3CC0" w:rsidRDefault="00882C15" w:rsidP="001B41BD">
            <w:r w:rsidRPr="000A3CC0">
              <w:t>21.3</w:t>
            </w:r>
          </w:p>
        </w:tc>
        <w:tc>
          <w:tcPr>
            <w:tcW w:w="2338" w:type="dxa"/>
            <w:vAlign w:val="bottom"/>
          </w:tcPr>
          <w:p w14:paraId="3360AD43" w14:textId="77777777" w:rsidR="00882C15" w:rsidRPr="000A3CC0" w:rsidRDefault="00882C15" w:rsidP="001B41BD">
            <w:r w:rsidRPr="000A3CC0">
              <w:t>16.9</w:t>
            </w:r>
          </w:p>
        </w:tc>
        <w:tc>
          <w:tcPr>
            <w:tcW w:w="2338" w:type="dxa"/>
            <w:vAlign w:val="bottom"/>
          </w:tcPr>
          <w:p w14:paraId="1EE3BCCE" w14:textId="77777777" w:rsidR="00882C15" w:rsidRPr="000A3CC0" w:rsidRDefault="00882C15" w:rsidP="001B41BD">
            <w:r w:rsidRPr="000A3CC0">
              <w:t>10.1</w:t>
            </w:r>
          </w:p>
        </w:tc>
      </w:tr>
      <w:tr w:rsidR="00882C15" w14:paraId="434420F7" w14:textId="77777777" w:rsidTr="001B41BD">
        <w:tc>
          <w:tcPr>
            <w:tcW w:w="2337" w:type="dxa"/>
            <w:vAlign w:val="bottom"/>
          </w:tcPr>
          <w:p w14:paraId="1D40FA8A" w14:textId="77777777" w:rsidR="00882C15" w:rsidRPr="000A3CC0" w:rsidRDefault="00882C15" w:rsidP="001B41BD">
            <w:r w:rsidRPr="000A3CC0">
              <w:t>85+</w:t>
            </w:r>
          </w:p>
        </w:tc>
        <w:tc>
          <w:tcPr>
            <w:tcW w:w="2337" w:type="dxa"/>
            <w:vAlign w:val="bottom"/>
          </w:tcPr>
          <w:p w14:paraId="60D84C7C" w14:textId="77777777" w:rsidR="00882C15" w:rsidRPr="000A3CC0" w:rsidRDefault="00882C15" w:rsidP="001B41BD">
            <w:r w:rsidRPr="000A3CC0">
              <w:t>27.0</w:t>
            </w:r>
          </w:p>
        </w:tc>
        <w:tc>
          <w:tcPr>
            <w:tcW w:w="2338" w:type="dxa"/>
            <w:vAlign w:val="bottom"/>
          </w:tcPr>
          <w:p w14:paraId="64FB0E68" w14:textId="77777777" w:rsidR="00882C15" w:rsidRPr="000A3CC0" w:rsidRDefault="00882C15" w:rsidP="001B41BD">
            <w:r w:rsidRPr="000A3CC0">
              <w:t>19.7</w:t>
            </w:r>
          </w:p>
        </w:tc>
        <w:tc>
          <w:tcPr>
            <w:tcW w:w="2338" w:type="dxa"/>
            <w:vAlign w:val="bottom"/>
          </w:tcPr>
          <w:p w14:paraId="0E649210" w14:textId="77777777" w:rsidR="00882C15" w:rsidRPr="000A3CC0" w:rsidRDefault="00882C15" w:rsidP="001B41BD">
            <w:r w:rsidRPr="000A3CC0">
              <w:t>10.1</w:t>
            </w:r>
          </w:p>
        </w:tc>
      </w:tr>
    </w:tbl>
    <w:p w14:paraId="27B18391" w14:textId="77777777" w:rsidR="00882C15" w:rsidRPr="000A3CC0" w:rsidRDefault="00882C15" w:rsidP="00882C15">
      <w:r w:rsidRPr="000A3CC0">
        <w:t xml:space="preserve">Source: SC DHEC Vital Statistics, 2017- 2021; CDC NCHS, 2017-2021. </w:t>
      </w:r>
    </w:p>
    <w:p w14:paraId="6011115D" w14:textId="77777777" w:rsidR="00882C15" w:rsidRDefault="00882C15" w:rsidP="00882C15">
      <w:r w:rsidRPr="000A3CC0">
        <w:t>Note: Population for year 2021 based on single-race estimates and for years prior based on bridge-race estimates.</w:t>
      </w:r>
    </w:p>
    <w:p w14:paraId="126C69A8" w14:textId="77777777" w:rsidR="00882C15" w:rsidRDefault="00882C15" w:rsidP="00882C15">
      <w:pPr>
        <w:pStyle w:val="Heading4"/>
      </w:pPr>
      <w:bookmarkStart w:id="1001" w:name="_Toc154576584"/>
    </w:p>
    <w:p w14:paraId="09D405C3" w14:textId="216DF568" w:rsidR="00882C15" w:rsidRDefault="00882C15" w:rsidP="00882C15">
      <w:pPr>
        <w:pStyle w:val="Heading4"/>
      </w:pPr>
      <w:bookmarkStart w:id="1002" w:name="_Toc162267677"/>
      <w:r w:rsidRPr="000A3CC0">
        <w:t>Figure 10.</w:t>
      </w:r>
      <w:r>
        <w:t>21:</w:t>
      </w:r>
      <w:r w:rsidRPr="000A3CC0">
        <w:t xml:space="preserve"> Nonfatal Motor Vehicle Crash Injury Emergency Department Visits, Ages 65+, by Age Group and Sex</w:t>
      </w:r>
      <w:r>
        <w:t>.</w:t>
      </w:r>
      <w:bookmarkEnd w:id="1001"/>
      <w:bookmarkEnd w:id="1002"/>
    </w:p>
    <w:p w14:paraId="25EDCFAD" w14:textId="77777777" w:rsidR="00882C15" w:rsidRPr="008C6CF4" w:rsidRDefault="00882C15" w:rsidP="00882C15">
      <w:pPr>
        <w:pStyle w:val="Heading5"/>
      </w:pPr>
      <w:r>
        <w:t>Rate per 100,000 population.</w:t>
      </w:r>
    </w:p>
    <w:tbl>
      <w:tblPr>
        <w:tblStyle w:val="TableGrid"/>
        <w:tblW w:w="0" w:type="auto"/>
        <w:tblLook w:val="04A0" w:firstRow="1" w:lastRow="0" w:firstColumn="1" w:lastColumn="0" w:noHBand="0" w:noVBand="1"/>
      </w:tblPr>
      <w:tblGrid>
        <w:gridCol w:w="3116"/>
        <w:gridCol w:w="3117"/>
        <w:gridCol w:w="3117"/>
      </w:tblGrid>
      <w:tr w:rsidR="00882C15" w14:paraId="0125923C" w14:textId="77777777" w:rsidTr="001B41BD">
        <w:tc>
          <w:tcPr>
            <w:tcW w:w="3116" w:type="dxa"/>
            <w:vAlign w:val="bottom"/>
          </w:tcPr>
          <w:p w14:paraId="2F44DE6A" w14:textId="77777777" w:rsidR="00882C15" w:rsidRPr="000A3CC0" w:rsidRDefault="00882C15" w:rsidP="001B41BD">
            <w:r w:rsidRPr="000A3CC0">
              <w:t>Age Group</w:t>
            </w:r>
          </w:p>
        </w:tc>
        <w:tc>
          <w:tcPr>
            <w:tcW w:w="3117" w:type="dxa"/>
            <w:vAlign w:val="bottom"/>
          </w:tcPr>
          <w:p w14:paraId="001555B0" w14:textId="77777777" w:rsidR="00882C15" w:rsidRPr="000A3CC0" w:rsidRDefault="00882C15" w:rsidP="001B41BD">
            <w:r w:rsidRPr="000A3CC0">
              <w:t>Male</w:t>
            </w:r>
          </w:p>
        </w:tc>
        <w:tc>
          <w:tcPr>
            <w:tcW w:w="3117" w:type="dxa"/>
            <w:vAlign w:val="bottom"/>
          </w:tcPr>
          <w:p w14:paraId="4D84F7DC" w14:textId="77777777" w:rsidR="00882C15" w:rsidRPr="000A3CC0" w:rsidRDefault="00882C15" w:rsidP="001B41BD">
            <w:r w:rsidRPr="000A3CC0">
              <w:t>Female</w:t>
            </w:r>
          </w:p>
        </w:tc>
      </w:tr>
      <w:tr w:rsidR="00882C15" w14:paraId="2B5659ED" w14:textId="77777777" w:rsidTr="001B41BD">
        <w:tc>
          <w:tcPr>
            <w:tcW w:w="3116" w:type="dxa"/>
            <w:vAlign w:val="bottom"/>
          </w:tcPr>
          <w:p w14:paraId="1967CAB6" w14:textId="77777777" w:rsidR="00882C15" w:rsidRPr="000A3CC0" w:rsidRDefault="00882C15" w:rsidP="001B41BD">
            <w:r w:rsidRPr="000A3CC0">
              <w:t>65 - 74</w:t>
            </w:r>
          </w:p>
        </w:tc>
        <w:tc>
          <w:tcPr>
            <w:tcW w:w="3117" w:type="dxa"/>
            <w:vAlign w:val="bottom"/>
          </w:tcPr>
          <w:p w14:paraId="3DD86376" w14:textId="77777777" w:rsidR="00882C15" w:rsidRPr="000A3CC0" w:rsidRDefault="00882C15" w:rsidP="001B41BD">
            <w:r w:rsidRPr="000A3CC0">
              <w:t>794.2</w:t>
            </w:r>
          </w:p>
        </w:tc>
        <w:tc>
          <w:tcPr>
            <w:tcW w:w="3117" w:type="dxa"/>
            <w:vAlign w:val="bottom"/>
          </w:tcPr>
          <w:p w14:paraId="316C85D0" w14:textId="77777777" w:rsidR="00882C15" w:rsidRPr="000A3CC0" w:rsidRDefault="00882C15" w:rsidP="001B41BD">
            <w:r w:rsidRPr="000A3CC0">
              <w:t>793.5</w:t>
            </w:r>
          </w:p>
        </w:tc>
      </w:tr>
      <w:tr w:rsidR="00882C15" w14:paraId="1E7BD422" w14:textId="77777777" w:rsidTr="001B41BD">
        <w:tc>
          <w:tcPr>
            <w:tcW w:w="3116" w:type="dxa"/>
            <w:vAlign w:val="bottom"/>
          </w:tcPr>
          <w:p w14:paraId="2AC49903" w14:textId="77777777" w:rsidR="00882C15" w:rsidRPr="000A3CC0" w:rsidRDefault="00882C15" w:rsidP="001B41BD">
            <w:r w:rsidRPr="000A3CC0">
              <w:t>75 - 84</w:t>
            </w:r>
          </w:p>
        </w:tc>
        <w:tc>
          <w:tcPr>
            <w:tcW w:w="3117" w:type="dxa"/>
            <w:vAlign w:val="bottom"/>
          </w:tcPr>
          <w:p w14:paraId="532EDF9B" w14:textId="77777777" w:rsidR="00882C15" w:rsidRPr="000A3CC0" w:rsidRDefault="00882C15" w:rsidP="001B41BD">
            <w:r w:rsidRPr="000A3CC0">
              <w:t>633.1</w:t>
            </w:r>
          </w:p>
        </w:tc>
        <w:tc>
          <w:tcPr>
            <w:tcW w:w="3117" w:type="dxa"/>
            <w:vAlign w:val="bottom"/>
          </w:tcPr>
          <w:p w14:paraId="48451D24" w14:textId="77777777" w:rsidR="00882C15" w:rsidRPr="000A3CC0" w:rsidRDefault="00882C15" w:rsidP="001B41BD">
            <w:r w:rsidRPr="000A3CC0">
              <w:t>662.5</w:t>
            </w:r>
          </w:p>
        </w:tc>
      </w:tr>
      <w:tr w:rsidR="00882C15" w14:paraId="041B33B4" w14:textId="77777777" w:rsidTr="001B41BD">
        <w:tc>
          <w:tcPr>
            <w:tcW w:w="3116" w:type="dxa"/>
            <w:vAlign w:val="bottom"/>
          </w:tcPr>
          <w:p w14:paraId="0F85DEF7" w14:textId="77777777" w:rsidR="00882C15" w:rsidRPr="000A3CC0" w:rsidRDefault="00882C15" w:rsidP="001B41BD">
            <w:r w:rsidRPr="000A3CC0">
              <w:t>85+</w:t>
            </w:r>
          </w:p>
        </w:tc>
        <w:tc>
          <w:tcPr>
            <w:tcW w:w="3117" w:type="dxa"/>
            <w:vAlign w:val="bottom"/>
          </w:tcPr>
          <w:p w14:paraId="1DC76F91" w14:textId="77777777" w:rsidR="00882C15" w:rsidRPr="000A3CC0" w:rsidRDefault="00882C15" w:rsidP="001B41BD">
            <w:r w:rsidRPr="000A3CC0">
              <w:t>614.2</w:t>
            </w:r>
          </w:p>
        </w:tc>
        <w:tc>
          <w:tcPr>
            <w:tcW w:w="3117" w:type="dxa"/>
            <w:vAlign w:val="bottom"/>
          </w:tcPr>
          <w:p w14:paraId="070FCC3F" w14:textId="77777777" w:rsidR="00882C15" w:rsidRPr="000A3CC0" w:rsidRDefault="00882C15" w:rsidP="001B41BD">
            <w:r w:rsidRPr="000A3CC0">
              <w:t>391.4</w:t>
            </w:r>
          </w:p>
        </w:tc>
      </w:tr>
    </w:tbl>
    <w:p w14:paraId="229B3751" w14:textId="77777777" w:rsidR="00882C15" w:rsidRPr="000A3CC0" w:rsidRDefault="00882C15" w:rsidP="00882C15">
      <w:r w:rsidRPr="000A3CC0">
        <w:t xml:space="preserve">Source: SC RFA, 2019-2021. </w:t>
      </w:r>
    </w:p>
    <w:p w14:paraId="37A5D75F" w14:textId="77777777" w:rsidR="00882C15" w:rsidRPr="000A3CC0" w:rsidRDefault="00882C15" w:rsidP="00882C15">
      <w:r w:rsidRPr="000A3CC0">
        <w:lastRenderedPageBreak/>
        <w:t>Note: Includes cases subsequently admitted as an inpatient to the same hospital from the ED, initial encounter for injury only; population for year 2021 based on single-race estimates and for years prior based on bridge-race estimates.</w:t>
      </w:r>
    </w:p>
    <w:p w14:paraId="614579E9" w14:textId="6E2AE4E1" w:rsidR="00882C15" w:rsidRDefault="00882C15" w:rsidP="00882C15">
      <w:pPr>
        <w:rPr>
          <w:b/>
          <w:bCs/>
        </w:rPr>
      </w:pPr>
    </w:p>
    <w:p w14:paraId="05A27FC5" w14:textId="460C4F28" w:rsidR="00882C15" w:rsidRDefault="00882C15" w:rsidP="00882C15">
      <w:pPr>
        <w:pStyle w:val="Heading4"/>
      </w:pPr>
      <w:bookmarkStart w:id="1003" w:name="_Toc162267678"/>
      <w:r w:rsidRPr="00882C15">
        <w:t>Data Interpretations:</w:t>
      </w:r>
      <w:bookmarkEnd w:id="1003"/>
      <w:r w:rsidRPr="00882C15">
        <w:t xml:space="preserve"> </w:t>
      </w:r>
    </w:p>
    <w:p w14:paraId="22427132" w14:textId="36701A02" w:rsidR="00882C15" w:rsidRPr="00882C15" w:rsidRDefault="00882C15" w:rsidP="00882C15">
      <w:r w:rsidRPr="00882C15">
        <w:t>MVCs were the leading cause of unintentional injury deaths among adults 65-74 and the second-leading cause among adults 75-84 from 2017-2021. Deaths from MVCs in SC older adults have increased slightly from 2012 with a rate of 16.7 deaths per 100,000 population to 19.8 deaths per 100,000 population in 2021. SC adults 65 and older had higher MVC death rates than the US death rates for these age groups. MVC deaths increase with each age group over the age of 65. When comparing age groups over 65, SC adults ages 85 and older had the highest rate of deaths due to MVCs (27.0 deaths per 100,000 population) (</w:t>
      </w:r>
      <w:r w:rsidRPr="00882C15">
        <w:rPr>
          <w:b/>
          <w:bCs/>
        </w:rPr>
        <w:t>Figure 10.20</w:t>
      </w:r>
      <w:r w:rsidRPr="00882C15">
        <w:t xml:space="preserve">). This rate was 27% higher than those aged 75-84 and 50% higher than those aged 65-74. </w:t>
      </w:r>
    </w:p>
    <w:p w14:paraId="21EC8C0E" w14:textId="77777777" w:rsidR="00882C15" w:rsidRDefault="00882C15" w:rsidP="00882C15"/>
    <w:p w14:paraId="64039C25" w14:textId="461B572F" w:rsidR="00882C15" w:rsidRPr="00882C15" w:rsidRDefault="00882C15" w:rsidP="00882C15">
      <w:r w:rsidRPr="00882C15">
        <w:t>While MVC deaths increase with age, nonfatal ED visits decrease with age. From 2019-2021, rates of unintentional MVC nonfatal ED visits in SC were higher in adults ages 65-74 compared to both the 75-84 and 85 and older age groups (</w:t>
      </w:r>
      <w:r w:rsidRPr="00882C15">
        <w:rPr>
          <w:b/>
          <w:bCs/>
        </w:rPr>
        <w:t>Figure 10.21</w:t>
      </w:r>
      <w:r w:rsidRPr="00882C15">
        <w:t>). When comparing males and females, the rate of nonfatal unintentional MVC ED visits among males 85 and older was almost 57% higher than the rate in females of the same age group. However, the rate of nonfatal unintentional MVC ED visits among males and females were similar in the 65-74 and 75-84 age groups.</w:t>
      </w:r>
    </w:p>
    <w:p w14:paraId="18DA3670" w14:textId="77777777" w:rsidR="00882C15" w:rsidRDefault="00882C15" w:rsidP="00882C15">
      <w:pPr>
        <w:rPr>
          <w:b/>
          <w:bCs/>
        </w:rPr>
      </w:pPr>
    </w:p>
    <w:p w14:paraId="2FEF868A" w14:textId="77777777" w:rsidR="00882C15" w:rsidRPr="00882C15" w:rsidRDefault="00882C15" w:rsidP="00882C15">
      <w:pPr>
        <w:pStyle w:val="Heading5"/>
      </w:pPr>
      <w:r w:rsidRPr="00882C15">
        <w:t>Key Takeaways:</w:t>
      </w:r>
    </w:p>
    <w:p w14:paraId="0ED51B3D" w14:textId="77777777" w:rsidR="00882C15" w:rsidRPr="00882C15" w:rsidRDefault="00882C15" w:rsidP="00926EB3">
      <w:pPr>
        <w:pStyle w:val="ListParagraph"/>
        <w:numPr>
          <w:ilvl w:val="0"/>
          <w:numId w:val="228"/>
        </w:numPr>
      </w:pPr>
      <w:r w:rsidRPr="00882C15">
        <w:t>MVCs were the leading cause of unintentional injury deaths among adults 65-74 and the second leading cause among adults 75-84 from 2017-2021.</w:t>
      </w:r>
    </w:p>
    <w:p w14:paraId="3B6C658E" w14:textId="77777777" w:rsidR="00882C15" w:rsidRDefault="00882C15" w:rsidP="00882C15">
      <w:pPr>
        <w:rPr>
          <w:b/>
          <w:bCs/>
        </w:rPr>
      </w:pPr>
    </w:p>
    <w:p w14:paraId="78AA1185" w14:textId="412F468E" w:rsidR="00882C15" w:rsidRPr="00474B85" w:rsidRDefault="00882C15" w:rsidP="00882C15">
      <w:pPr>
        <w:pStyle w:val="Heading4"/>
        <w:rPr>
          <w:rFonts w:asciiTheme="minorHAnsi" w:hAnsiTheme="minorHAnsi" w:cstheme="minorHAnsi"/>
          <w:color w:val="000000" w:themeColor="text1"/>
        </w:rPr>
      </w:pPr>
      <w:bookmarkStart w:id="1004" w:name="_Toc162267679"/>
      <w:r w:rsidRPr="00474B85">
        <w:rPr>
          <w:rFonts w:asciiTheme="minorHAnsi" w:hAnsiTheme="minorHAnsi" w:cstheme="minorHAnsi"/>
          <w:color w:val="000000" w:themeColor="text1"/>
        </w:rPr>
        <w:t xml:space="preserve">References </w:t>
      </w:r>
      <w:r>
        <w:rPr>
          <w:rFonts w:asciiTheme="minorHAnsi" w:hAnsiTheme="minorHAnsi" w:cstheme="minorHAnsi"/>
          <w:color w:val="000000" w:themeColor="text1"/>
        </w:rPr>
        <w:t>10.10</w:t>
      </w:r>
      <w:bookmarkEnd w:id="1004"/>
    </w:p>
    <w:p w14:paraId="2F6F2197" w14:textId="77777777" w:rsidR="00882C15" w:rsidRDefault="00882C15" w:rsidP="00882C15">
      <w:r w:rsidRPr="00474B85">
        <w:t>Statistics in the preceding section were referenced from the following reports:</w:t>
      </w:r>
    </w:p>
    <w:p w14:paraId="2374815D" w14:textId="3E7A4E4A" w:rsidR="008071E3" w:rsidRDefault="008071E3" w:rsidP="008071E3">
      <w:pPr>
        <w:ind w:left="360"/>
      </w:pPr>
      <w:r>
        <w:t>14.</w:t>
      </w:r>
      <w:hyperlink r:id="rId442" w:history="1">
        <w:r w:rsidRPr="00D71D29">
          <w:rPr>
            <w:rStyle w:val="Hyperlink"/>
          </w:rPr>
          <w:t>“</w:t>
        </w:r>
        <w:r w:rsidR="00D71D29" w:rsidRPr="00D71D29">
          <w:rPr>
            <w:rStyle w:val="Hyperlink"/>
          </w:rPr>
          <w:t>National Vital Statistics System, Mortality 2018-2021</w:t>
        </w:r>
        <w:r w:rsidRPr="00D71D29">
          <w:rPr>
            <w:rStyle w:val="Hyperlink"/>
          </w:rPr>
          <w:t>” by</w:t>
        </w:r>
        <w:r w:rsidR="00D71D29" w:rsidRPr="00D71D29">
          <w:rPr>
            <w:rStyle w:val="Hyperlink"/>
          </w:rPr>
          <w:t xml:space="preserve"> on Centers for Disease Control and Prevention, National Center for Health Statistics</w:t>
        </w:r>
        <w:r w:rsidRPr="00D71D29">
          <w:rPr>
            <w:rStyle w:val="Hyperlink"/>
          </w:rPr>
          <w:t xml:space="preserve"> via</w:t>
        </w:r>
        <w:r w:rsidR="00D71D29" w:rsidRPr="00D71D29">
          <w:rPr>
            <w:rStyle w:val="Hyperlink"/>
          </w:rPr>
          <w:t xml:space="preserve"> CDC WONDER Online Database, released in 2021.</w:t>
        </w:r>
      </w:hyperlink>
      <w:r w:rsidR="00D71D29" w:rsidRPr="00D71D29">
        <w:t xml:space="preserve"> </w:t>
      </w:r>
    </w:p>
    <w:p w14:paraId="2A35E9BB" w14:textId="11A61AEC" w:rsidR="008071E3" w:rsidRPr="00D71D29" w:rsidRDefault="008071E3" w:rsidP="008071E3">
      <w:pPr>
        <w:ind w:left="360"/>
      </w:pPr>
      <w:r>
        <w:t>21.</w:t>
      </w:r>
      <w:hyperlink r:id="rId443" w:history="1">
        <w:r w:rsidRPr="00D71D29">
          <w:rPr>
            <w:rStyle w:val="Hyperlink"/>
          </w:rPr>
          <w:t>“Common injuries as we age” by Centers for Disease Control and Prevention via cdc.gov, 2022. Retrieved December 15, 2022.</w:t>
        </w:r>
      </w:hyperlink>
      <w:r w:rsidRPr="00D71D29">
        <w:t xml:space="preserve"> </w:t>
      </w:r>
    </w:p>
    <w:p w14:paraId="71546EAB" w14:textId="0D52BF67" w:rsidR="008071E3" w:rsidRPr="00D71D29" w:rsidRDefault="008071E3" w:rsidP="008071E3">
      <w:pPr>
        <w:ind w:left="360"/>
      </w:pPr>
      <w:r>
        <w:lastRenderedPageBreak/>
        <w:t>22.</w:t>
      </w:r>
      <w:hyperlink r:id="rId444" w:history="1">
        <w:r w:rsidRPr="00D71D29">
          <w:rPr>
            <w:rStyle w:val="Hyperlink"/>
          </w:rPr>
          <w:t>“Web-based Injury Statistics Query and Reporting System (WISQARS)” by the Centers for Disease Control and Prevention, National Center for Injury Prevention and Control. Retrieved on May 5, 2023.</w:t>
        </w:r>
      </w:hyperlink>
    </w:p>
    <w:p w14:paraId="17E67340" w14:textId="09D13764" w:rsidR="008071E3" w:rsidRPr="008071E3" w:rsidRDefault="00000000" w:rsidP="00926EB3">
      <w:pPr>
        <w:pStyle w:val="ListParagraph"/>
        <w:numPr>
          <w:ilvl w:val="0"/>
          <w:numId w:val="199"/>
        </w:numPr>
        <w:tabs>
          <w:tab w:val="left" w:pos="2867"/>
        </w:tabs>
      </w:pPr>
      <w:hyperlink r:id="rId445" w:history="1">
        <w:r w:rsidR="008071E3" w:rsidRPr="008071E3">
          <w:rPr>
            <w:rStyle w:val="Hyperlink"/>
          </w:rPr>
          <w:t>“Older adult drivers” by Centers for Disease Control and Prevention via cdc.gov, 2022. Retrieved November 30, 2022.</w:t>
        </w:r>
      </w:hyperlink>
      <w:r w:rsidR="008071E3" w:rsidRPr="008071E3">
        <w:t xml:space="preserve"> </w:t>
      </w:r>
    </w:p>
    <w:p w14:paraId="3A5A031B" w14:textId="7EE026ED" w:rsidR="008071E3" w:rsidRDefault="008071E3" w:rsidP="008071E3">
      <w:pPr>
        <w:tabs>
          <w:tab w:val="left" w:pos="2867"/>
        </w:tabs>
      </w:pPr>
    </w:p>
    <w:p w14:paraId="1845E92C" w14:textId="77777777" w:rsidR="00A65BE2" w:rsidRDefault="00A65BE2" w:rsidP="00882C15"/>
    <w:p w14:paraId="5478CA84" w14:textId="77777777" w:rsidR="00A65BE2" w:rsidRPr="00A65BE2" w:rsidRDefault="00A65BE2" w:rsidP="00A65BE2">
      <w:pPr>
        <w:pStyle w:val="Heading3"/>
      </w:pPr>
      <w:bookmarkStart w:id="1005" w:name="_Toc162267680"/>
      <w:r w:rsidRPr="00A65BE2">
        <w:t>Homicide</w:t>
      </w:r>
      <w:bookmarkEnd w:id="1005"/>
    </w:p>
    <w:p w14:paraId="19C3B30D" w14:textId="048A9A89" w:rsidR="00A65BE2" w:rsidRDefault="00A65BE2" w:rsidP="00A65BE2">
      <w:pPr>
        <w:rPr>
          <w:b/>
          <w:bCs/>
        </w:rPr>
      </w:pPr>
      <w:r w:rsidRPr="00A65BE2">
        <w:t>Homicide can happen to anyone, even as an older adult. There were 1,303 homicides among people over the age of 65 in the US in 2021. Homicide among older adults contributes to a significant number of lives lost and lower quality of life among members of this age group due to a heightened sense of vulnerability and fear. Common situations of older adult homicides include familial/intimate partner problems, robbery/burglary, arguments, and illness related.</w:t>
      </w:r>
    </w:p>
    <w:p w14:paraId="29143507" w14:textId="77777777" w:rsidR="00A65BE2" w:rsidRPr="00A65BE2" w:rsidRDefault="00A65BE2" w:rsidP="00A65BE2"/>
    <w:p w14:paraId="75E054C3" w14:textId="682C0AC4" w:rsidR="00A65BE2" w:rsidRDefault="00A65BE2" w:rsidP="00A65BE2">
      <w:pPr>
        <w:rPr>
          <w:b/>
          <w:bCs/>
        </w:rPr>
      </w:pPr>
      <w:r w:rsidRPr="00A65BE2">
        <w:t>From 2002-2016 in the US, more than 643,000 older adults were treated in the ED for nonfatal assaults and over 19,000 homicides occurred. Recent trends indicate that the rates of older adult homicides are increasing, particularly for males. Older adult men and non-Hispanic Blacks have a higher rate of both nonfatal assaults and homicides compared to their respective counterparts.</w:t>
      </w:r>
    </w:p>
    <w:p w14:paraId="11638A64" w14:textId="77777777" w:rsidR="00A65BE2" w:rsidRDefault="00A65BE2" w:rsidP="00A65BE2">
      <w:pPr>
        <w:rPr>
          <w:b/>
          <w:bCs/>
        </w:rPr>
      </w:pPr>
    </w:p>
    <w:p w14:paraId="40494759" w14:textId="77777777" w:rsidR="00A65BE2" w:rsidRDefault="00A65BE2" w:rsidP="00A65BE2">
      <w:pPr>
        <w:pStyle w:val="Heading4"/>
      </w:pPr>
      <w:bookmarkStart w:id="1006" w:name="_Toc154576585"/>
      <w:bookmarkStart w:id="1007" w:name="_Toc162267681"/>
      <w:r w:rsidRPr="000A3CC0">
        <w:t>Figure 10.</w:t>
      </w:r>
      <w:r>
        <w:t>22:</w:t>
      </w:r>
      <w:r w:rsidRPr="000A3CC0">
        <w:t xml:space="preserve"> </w:t>
      </w:r>
      <w:r>
        <w:t>Homicide.</w:t>
      </w:r>
      <w:bookmarkEnd w:id="1006"/>
      <w:bookmarkEnd w:id="1007"/>
    </w:p>
    <w:p w14:paraId="56430882" w14:textId="77777777" w:rsidR="00A65BE2" w:rsidRPr="008C6CF4" w:rsidRDefault="00A65BE2" w:rsidP="00A65BE2">
      <w:pPr>
        <w:pStyle w:val="Heading5"/>
      </w:pPr>
      <w:r>
        <w:t>Rate per 100,000 population.</w:t>
      </w:r>
    </w:p>
    <w:tbl>
      <w:tblPr>
        <w:tblStyle w:val="TableGrid"/>
        <w:tblW w:w="0" w:type="auto"/>
        <w:tblLook w:val="04A0" w:firstRow="1" w:lastRow="0" w:firstColumn="1" w:lastColumn="0" w:noHBand="0" w:noVBand="1"/>
      </w:tblPr>
      <w:tblGrid>
        <w:gridCol w:w="1870"/>
        <w:gridCol w:w="1870"/>
        <w:gridCol w:w="1870"/>
        <w:gridCol w:w="1870"/>
        <w:gridCol w:w="1870"/>
      </w:tblGrid>
      <w:tr w:rsidR="00A65BE2" w14:paraId="26BAEB0A" w14:textId="77777777" w:rsidTr="001B41BD">
        <w:tc>
          <w:tcPr>
            <w:tcW w:w="1870" w:type="dxa"/>
            <w:vAlign w:val="bottom"/>
          </w:tcPr>
          <w:p w14:paraId="64AA41A2" w14:textId="77777777" w:rsidR="00A65BE2" w:rsidRDefault="00A65BE2" w:rsidP="001B41BD">
            <w:r>
              <w:t>Year</w:t>
            </w:r>
          </w:p>
        </w:tc>
        <w:tc>
          <w:tcPr>
            <w:tcW w:w="1870" w:type="dxa"/>
            <w:vAlign w:val="bottom"/>
          </w:tcPr>
          <w:p w14:paraId="72A4DEF5" w14:textId="77777777" w:rsidR="00A65BE2" w:rsidRDefault="00A65BE2" w:rsidP="001B41BD">
            <w:r>
              <w:t>65+ South Carolina</w:t>
            </w:r>
          </w:p>
        </w:tc>
        <w:tc>
          <w:tcPr>
            <w:tcW w:w="1870" w:type="dxa"/>
            <w:vAlign w:val="bottom"/>
          </w:tcPr>
          <w:p w14:paraId="3A0A478D" w14:textId="77777777" w:rsidR="00A65BE2" w:rsidRDefault="00A65BE2" w:rsidP="001B41BD">
            <w:r>
              <w:t>All Ages South Carolina</w:t>
            </w:r>
          </w:p>
        </w:tc>
        <w:tc>
          <w:tcPr>
            <w:tcW w:w="1870" w:type="dxa"/>
            <w:vAlign w:val="bottom"/>
          </w:tcPr>
          <w:p w14:paraId="3767D14D" w14:textId="77777777" w:rsidR="00A65BE2" w:rsidRDefault="00A65BE2" w:rsidP="001B41BD">
            <w:r>
              <w:t>All Ages United States</w:t>
            </w:r>
          </w:p>
        </w:tc>
        <w:tc>
          <w:tcPr>
            <w:tcW w:w="1870" w:type="dxa"/>
            <w:vAlign w:val="bottom"/>
          </w:tcPr>
          <w:p w14:paraId="24D55216" w14:textId="77777777" w:rsidR="00A65BE2" w:rsidRDefault="00A65BE2" w:rsidP="001B41BD">
            <w:r>
              <w:t>Healthy People 2030 Goal</w:t>
            </w:r>
          </w:p>
        </w:tc>
      </w:tr>
      <w:tr w:rsidR="00A65BE2" w14:paraId="6AB6CA5D" w14:textId="77777777" w:rsidTr="001B41BD">
        <w:tc>
          <w:tcPr>
            <w:tcW w:w="1870" w:type="dxa"/>
            <w:vAlign w:val="bottom"/>
          </w:tcPr>
          <w:p w14:paraId="6BD79853" w14:textId="77777777" w:rsidR="00A65BE2" w:rsidRDefault="00A65BE2" w:rsidP="001B41BD">
            <w:r>
              <w:t>2012</w:t>
            </w:r>
          </w:p>
        </w:tc>
        <w:tc>
          <w:tcPr>
            <w:tcW w:w="1870" w:type="dxa"/>
            <w:vAlign w:val="bottom"/>
          </w:tcPr>
          <w:p w14:paraId="48FBA31C" w14:textId="77777777" w:rsidR="00A65BE2" w:rsidRDefault="00A65BE2" w:rsidP="001B41BD">
            <w:r>
              <w:t>4.5</w:t>
            </w:r>
          </w:p>
        </w:tc>
        <w:tc>
          <w:tcPr>
            <w:tcW w:w="1870" w:type="dxa"/>
            <w:vAlign w:val="bottom"/>
          </w:tcPr>
          <w:p w14:paraId="78AD45DB" w14:textId="77777777" w:rsidR="00A65BE2" w:rsidRDefault="00A65BE2" w:rsidP="001B41BD">
            <w:r>
              <w:t>8.2</w:t>
            </w:r>
          </w:p>
        </w:tc>
        <w:tc>
          <w:tcPr>
            <w:tcW w:w="1870" w:type="dxa"/>
            <w:vAlign w:val="bottom"/>
          </w:tcPr>
          <w:p w14:paraId="2A5DD6D9" w14:textId="77777777" w:rsidR="00A65BE2" w:rsidRDefault="00A65BE2" w:rsidP="001B41BD">
            <w:r>
              <w:t>5.4</w:t>
            </w:r>
          </w:p>
        </w:tc>
        <w:tc>
          <w:tcPr>
            <w:tcW w:w="1870" w:type="dxa"/>
            <w:vAlign w:val="bottom"/>
          </w:tcPr>
          <w:p w14:paraId="6D081912" w14:textId="77777777" w:rsidR="00A65BE2" w:rsidRDefault="00A65BE2" w:rsidP="001B41BD">
            <w:r>
              <w:t>5.5</w:t>
            </w:r>
          </w:p>
        </w:tc>
      </w:tr>
      <w:tr w:rsidR="00A65BE2" w14:paraId="0398787B" w14:textId="77777777" w:rsidTr="001B41BD">
        <w:tc>
          <w:tcPr>
            <w:tcW w:w="1870" w:type="dxa"/>
            <w:vAlign w:val="bottom"/>
          </w:tcPr>
          <w:p w14:paraId="017E312C" w14:textId="77777777" w:rsidR="00A65BE2" w:rsidRDefault="00A65BE2" w:rsidP="001B41BD">
            <w:r>
              <w:t>2013</w:t>
            </w:r>
          </w:p>
        </w:tc>
        <w:tc>
          <w:tcPr>
            <w:tcW w:w="1870" w:type="dxa"/>
            <w:vAlign w:val="bottom"/>
          </w:tcPr>
          <w:p w14:paraId="6131213A" w14:textId="77777777" w:rsidR="00A65BE2" w:rsidRDefault="00A65BE2" w:rsidP="001B41BD">
            <w:r>
              <w:t>2.7</w:t>
            </w:r>
          </w:p>
        </w:tc>
        <w:tc>
          <w:tcPr>
            <w:tcW w:w="1870" w:type="dxa"/>
            <w:vAlign w:val="bottom"/>
          </w:tcPr>
          <w:p w14:paraId="34D48969" w14:textId="77777777" w:rsidR="00A65BE2" w:rsidRDefault="00A65BE2" w:rsidP="001B41BD">
            <w:r>
              <w:t>6.8</w:t>
            </w:r>
          </w:p>
        </w:tc>
        <w:tc>
          <w:tcPr>
            <w:tcW w:w="1870" w:type="dxa"/>
            <w:vAlign w:val="bottom"/>
          </w:tcPr>
          <w:p w14:paraId="58A85031" w14:textId="77777777" w:rsidR="00A65BE2" w:rsidRDefault="00A65BE2" w:rsidP="001B41BD">
            <w:r>
              <w:t>5.2</w:t>
            </w:r>
          </w:p>
        </w:tc>
        <w:tc>
          <w:tcPr>
            <w:tcW w:w="1870" w:type="dxa"/>
            <w:vAlign w:val="bottom"/>
          </w:tcPr>
          <w:p w14:paraId="4C1959D7" w14:textId="77777777" w:rsidR="00A65BE2" w:rsidRDefault="00A65BE2" w:rsidP="001B41BD">
            <w:r>
              <w:t>5.5</w:t>
            </w:r>
          </w:p>
        </w:tc>
      </w:tr>
      <w:tr w:rsidR="00A65BE2" w14:paraId="2FC49635" w14:textId="77777777" w:rsidTr="001B41BD">
        <w:tc>
          <w:tcPr>
            <w:tcW w:w="1870" w:type="dxa"/>
            <w:vAlign w:val="bottom"/>
          </w:tcPr>
          <w:p w14:paraId="0B52C554" w14:textId="77777777" w:rsidR="00A65BE2" w:rsidRDefault="00A65BE2" w:rsidP="001B41BD">
            <w:r>
              <w:t>2014</w:t>
            </w:r>
          </w:p>
        </w:tc>
        <w:tc>
          <w:tcPr>
            <w:tcW w:w="1870" w:type="dxa"/>
            <w:vAlign w:val="bottom"/>
          </w:tcPr>
          <w:p w14:paraId="0168D54D" w14:textId="77777777" w:rsidR="00A65BE2" w:rsidRDefault="00A65BE2" w:rsidP="001B41BD">
            <w:r>
              <w:t>3.4</w:t>
            </w:r>
          </w:p>
        </w:tc>
        <w:tc>
          <w:tcPr>
            <w:tcW w:w="1870" w:type="dxa"/>
            <w:vAlign w:val="bottom"/>
          </w:tcPr>
          <w:p w14:paraId="2DCB9DC7" w14:textId="77777777" w:rsidR="00A65BE2" w:rsidRDefault="00A65BE2" w:rsidP="001B41BD">
            <w:r>
              <w:t>7.7</w:t>
            </w:r>
          </w:p>
        </w:tc>
        <w:tc>
          <w:tcPr>
            <w:tcW w:w="1870" w:type="dxa"/>
            <w:vAlign w:val="bottom"/>
          </w:tcPr>
          <w:p w14:paraId="7770949C" w14:textId="77777777" w:rsidR="00A65BE2" w:rsidRDefault="00A65BE2" w:rsidP="001B41BD">
            <w:r>
              <w:t>5.1</w:t>
            </w:r>
          </w:p>
        </w:tc>
        <w:tc>
          <w:tcPr>
            <w:tcW w:w="1870" w:type="dxa"/>
            <w:vAlign w:val="bottom"/>
          </w:tcPr>
          <w:p w14:paraId="35022EA7" w14:textId="77777777" w:rsidR="00A65BE2" w:rsidRDefault="00A65BE2" w:rsidP="001B41BD">
            <w:r>
              <w:t>5.5</w:t>
            </w:r>
          </w:p>
        </w:tc>
      </w:tr>
      <w:tr w:rsidR="00A65BE2" w14:paraId="6D893A31" w14:textId="77777777" w:rsidTr="001B41BD">
        <w:tc>
          <w:tcPr>
            <w:tcW w:w="1870" w:type="dxa"/>
            <w:vAlign w:val="bottom"/>
          </w:tcPr>
          <w:p w14:paraId="23C34B6B" w14:textId="77777777" w:rsidR="00A65BE2" w:rsidRDefault="00A65BE2" w:rsidP="001B41BD">
            <w:r>
              <w:t>2015</w:t>
            </w:r>
          </w:p>
        </w:tc>
        <w:tc>
          <w:tcPr>
            <w:tcW w:w="1870" w:type="dxa"/>
            <w:vAlign w:val="bottom"/>
          </w:tcPr>
          <w:p w14:paraId="16310B62" w14:textId="77777777" w:rsidR="00A65BE2" w:rsidRDefault="00A65BE2" w:rsidP="001B41BD">
            <w:r>
              <w:t>4.3</w:t>
            </w:r>
          </w:p>
        </w:tc>
        <w:tc>
          <w:tcPr>
            <w:tcW w:w="1870" w:type="dxa"/>
            <w:vAlign w:val="bottom"/>
          </w:tcPr>
          <w:p w14:paraId="728E7B53" w14:textId="77777777" w:rsidR="00A65BE2" w:rsidRDefault="00A65BE2" w:rsidP="001B41BD">
            <w:r>
              <w:t>9.5</w:t>
            </w:r>
          </w:p>
        </w:tc>
        <w:tc>
          <w:tcPr>
            <w:tcW w:w="1870" w:type="dxa"/>
            <w:vAlign w:val="bottom"/>
          </w:tcPr>
          <w:p w14:paraId="5F1E1F5A" w14:textId="77777777" w:rsidR="00A65BE2" w:rsidRDefault="00A65BE2" w:rsidP="001B41BD">
            <w:r>
              <w:t>5.7</w:t>
            </w:r>
          </w:p>
        </w:tc>
        <w:tc>
          <w:tcPr>
            <w:tcW w:w="1870" w:type="dxa"/>
            <w:vAlign w:val="bottom"/>
          </w:tcPr>
          <w:p w14:paraId="21A5B7CF" w14:textId="77777777" w:rsidR="00A65BE2" w:rsidRDefault="00A65BE2" w:rsidP="001B41BD">
            <w:r>
              <w:t>5.5</w:t>
            </w:r>
          </w:p>
        </w:tc>
      </w:tr>
      <w:tr w:rsidR="00A65BE2" w14:paraId="67C7A8E4" w14:textId="77777777" w:rsidTr="001B41BD">
        <w:tc>
          <w:tcPr>
            <w:tcW w:w="1870" w:type="dxa"/>
            <w:vAlign w:val="bottom"/>
          </w:tcPr>
          <w:p w14:paraId="448A5A45" w14:textId="77777777" w:rsidR="00A65BE2" w:rsidRDefault="00A65BE2" w:rsidP="001B41BD">
            <w:r>
              <w:t>2016</w:t>
            </w:r>
          </w:p>
        </w:tc>
        <w:tc>
          <w:tcPr>
            <w:tcW w:w="1870" w:type="dxa"/>
            <w:vAlign w:val="bottom"/>
          </w:tcPr>
          <w:p w14:paraId="0AB5D546" w14:textId="77777777" w:rsidR="00A65BE2" w:rsidRDefault="00A65BE2" w:rsidP="001B41BD">
            <w:r>
              <w:t>3.7</w:t>
            </w:r>
          </w:p>
        </w:tc>
        <w:tc>
          <w:tcPr>
            <w:tcW w:w="1870" w:type="dxa"/>
            <w:vAlign w:val="bottom"/>
          </w:tcPr>
          <w:p w14:paraId="7CC3877D" w14:textId="77777777" w:rsidR="00A65BE2" w:rsidRDefault="00A65BE2" w:rsidP="001B41BD">
            <w:r>
              <w:t>9.0</w:t>
            </w:r>
          </w:p>
        </w:tc>
        <w:tc>
          <w:tcPr>
            <w:tcW w:w="1870" w:type="dxa"/>
            <w:vAlign w:val="bottom"/>
          </w:tcPr>
          <w:p w14:paraId="7431B4ED" w14:textId="77777777" w:rsidR="00A65BE2" w:rsidRDefault="00A65BE2" w:rsidP="001B41BD">
            <w:r>
              <w:t>6.2</w:t>
            </w:r>
          </w:p>
        </w:tc>
        <w:tc>
          <w:tcPr>
            <w:tcW w:w="1870" w:type="dxa"/>
            <w:vAlign w:val="bottom"/>
          </w:tcPr>
          <w:p w14:paraId="31F6E54E" w14:textId="77777777" w:rsidR="00A65BE2" w:rsidRDefault="00A65BE2" w:rsidP="001B41BD">
            <w:r>
              <w:t>5.5</w:t>
            </w:r>
          </w:p>
        </w:tc>
      </w:tr>
      <w:tr w:rsidR="00A65BE2" w14:paraId="644F0A27" w14:textId="77777777" w:rsidTr="001B41BD">
        <w:tc>
          <w:tcPr>
            <w:tcW w:w="1870" w:type="dxa"/>
            <w:vAlign w:val="bottom"/>
          </w:tcPr>
          <w:p w14:paraId="71A71E93" w14:textId="77777777" w:rsidR="00A65BE2" w:rsidRDefault="00A65BE2" w:rsidP="001B41BD">
            <w:r>
              <w:t>2017</w:t>
            </w:r>
          </w:p>
        </w:tc>
        <w:tc>
          <w:tcPr>
            <w:tcW w:w="1870" w:type="dxa"/>
            <w:vAlign w:val="bottom"/>
          </w:tcPr>
          <w:p w14:paraId="334CCEE3" w14:textId="77777777" w:rsidR="00A65BE2" w:rsidRDefault="00A65BE2" w:rsidP="001B41BD">
            <w:r>
              <w:t>3.8</w:t>
            </w:r>
          </w:p>
        </w:tc>
        <w:tc>
          <w:tcPr>
            <w:tcW w:w="1870" w:type="dxa"/>
            <w:vAlign w:val="bottom"/>
          </w:tcPr>
          <w:p w14:paraId="24A99A15" w14:textId="77777777" w:rsidR="00A65BE2" w:rsidRDefault="00A65BE2" w:rsidP="001B41BD">
            <w:r>
              <w:t>9.3</w:t>
            </w:r>
          </w:p>
        </w:tc>
        <w:tc>
          <w:tcPr>
            <w:tcW w:w="1870" w:type="dxa"/>
            <w:vAlign w:val="bottom"/>
          </w:tcPr>
          <w:p w14:paraId="1988D346" w14:textId="77777777" w:rsidR="00A65BE2" w:rsidRDefault="00A65BE2" w:rsidP="001B41BD">
            <w:r>
              <w:t>6.2</w:t>
            </w:r>
          </w:p>
        </w:tc>
        <w:tc>
          <w:tcPr>
            <w:tcW w:w="1870" w:type="dxa"/>
            <w:vAlign w:val="bottom"/>
          </w:tcPr>
          <w:p w14:paraId="311DEE63" w14:textId="77777777" w:rsidR="00A65BE2" w:rsidRDefault="00A65BE2" w:rsidP="001B41BD">
            <w:r>
              <w:t>5.5</w:t>
            </w:r>
          </w:p>
        </w:tc>
      </w:tr>
      <w:tr w:rsidR="00A65BE2" w14:paraId="2962205F" w14:textId="77777777" w:rsidTr="001B41BD">
        <w:tc>
          <w:tcPr>
            <w:tcW w:w="1870" w:type="dxa"/>
            <w:vAlign w:val="bottom"/>
          </w:tcPr>
          <w:p w14:paraId="4745713B" w14:textId="77777777" w:rsidR="00A65BE2" w:rsidRDefault="00A65BE2" w:rsidP="001B41BD">
            <w:r>
              <w:t>2018</w:t>
            </w:r>
          </w:p>
        </w:tc>
        <w:tc>
          <w:tcPr>
            <w:tcW w:w="1870" w:type="dxa"/>
            <w:vAlign w:val="bottom"/>
          </w:tcPr>
          <w:p w14:paraId="4E15AFF6" w14:textId="77777777" w:rsidR="00A65BE2" w:rsidRDefault="00A65BE2" w:rsidP="001B41BD">
            <w:r>
              <w:t>2.3</w:t>
            </w:r>
          </w:p>
        </w:tc>
        <w:tc>
          <w:tcPr>
            <w:tcW w:w="1870" w:type="dxa"/>
            <w:vAlign w:val="bottom"/>
          </w:tcPr>
          <w:p w14:paraId="310C4DCE" w14:textId="77777777" w:rsidR="00A65BE2" w:rsidRDefault="00A65BE2" w:rsidP="001B41BD">
            <w:r>
              <w:t>10.2</w:t>
            </w:r>
          </w:p>
        </w:tc>
        <w:tc>
          <w:tcPr>
            <w:tcW w:w="1870" w:type="dxa"/>
            <w:vAlign w:val="bottom"/>
          </w:tcPr>
          <w:p w14:paraId="40119EB8" w14:textId="77777777" w:rsidR="00A65BE2" w:rsidRDefault="00A65BE2" w:rsidP="001B41BD">
            <w:r>
              <w:t>5.9</w:t>
            </w:r>
          </w:p>
        </w:tc>
        <w:tc>
          <w:tcPr>
            <w:tcW w:w="1870" w:type="dxa"/>
            <w:vAlign w:val="bottom"/>
          </w:tcPr>
          <w:p w14:paraId="7F02CC3C" w14:textId="77777777" w:rsidR="00A65BE2" w:rsidRDefault="00A65BE2" w:rsidP="001B41BD">
            <w:r>
              <w:t>5.5</w:t>
            </w:r>
          </w:p>
        </w:tc>
      </w:tr>
      <w:tr w:rsidR="00A65BE2" w14:paraId="4B6B5F60" w14:textId="77777777" w:rsidTr="001B41BD">
        <w:tc>
          <w:tcPr>
            <w:tcW w:w="1870" w:type="dxa"/>
            <w:vAlign w:val="bottom"/>
          </w:tcPr>
          <w:p w14:paraId="348098AE" w14:textId="77777777" w:rsidR="00A65BE2" w:rsidRDefault="00A65BE2" w:rsidP="001B41BD">
            <w:r>
              <w:t>2019</w:t>
            </w:r>
          </w:p>
        </w:tc>
        <w:tc>
          <w:tcPr>
            <w:tcW w:w="1870" w:type="dxa"/>
            <w:vAlign w:val="bottom"/>
          </w:tcPr>
          <w:p w14:paraId="446E1F95" w14:textId="77777777" w:rsidR="00A65BE2" w:rsidRDefault="00A65BE2" w:rsidP="001B41BD">
            <w:r>
              <w:t>2.6</w:t>
            </w:r>
          </w:p>
        </w:tc>
        <w:tc>
          <w:tcPr>
            <w:tcW w:w="1870" w:type="dxa"/>
            <w:vAlign w:val="bottom"/>
          </w:tcPr>
          <w:p w14:paraId="4FBE5ED6" w14:textId="77777777" w:rsidR="00A65BE2" w:rsidRDefault="00A65BE2" w:rsidP="001B41BD">
            <w:r>
              <w:t>11.0</w:t>
            </w:r>
          </w:p>
        </w:tc>
        <w:tc>
          <w:tcPr>
            <w:tcW w:w="1870" w:type="dxa"/>
            <w:vAlign w:val="bottom"/>
          </w:tcPr>
          <w:p w14:paraId="55490B10" w14:textId="77777777" w:rsidR="00A65BE2" w:rsidRDefault="00A65BE2" w:rsidP="001B41BD">
            <w:r>
              <w:t>6.0</w:t>
            </w:r>
          </w:p>
        </w:tc>
        <w:tc>
          <w:tcPr>
            <w:tcW w:w="1870" w:type="dxa"/>
            <w:vAlign w:val="bottom"/>
          </w:tcPr>
          <w:p w14:paraId="6E3A3E0D" w14:textId="77777777" w:rsidR="00A65BE2" w:rsidRDefault="00A65BE2" w:rsidP="001B41BD">
            <w:r>
              <w:t>5.5</w:t>
            </w:r>
          </w:p>
        </w:tc>
      </w:tr>
      <w:tr w:rsidR="00A65BE2" w14:paraId="180F72B9" w14:textId="77777777" w:rsidTr="001B41BD">
        <w:tc>
          <w:tcPr>
            <w:tcW w:w="1870" w:type="dxa"/>
            <w:vAlign w:val="bottom"/>
          </w:tcPr>
          <w:p w14:paraId="7136B9DE" w14:textId="77777777" w:rsidR="00A65BE2" w:rsidRDefault="00A65BE2" w:rsidP="001B41BD">
            <w:r>
              <w:t>2020</w:t>
            </w:r>
          </w:p>
        </w:tc>
        <w:tc>
          <w:tcPr>
            <w:tcW w:w="1870" w:type="dxa"/>
            <w:vAlign w:val="bottom"/>
          </w:tcPr>
          <w:p w14:paraId="5B856B3D" w14:textId="77777777" w:rsidR="00A65BE2" w:rsidRDefault="00A65BE2" w:rsidP="001B41BD">
            <w:r>
              <w:t>2.6</w:t>
            </w:r>
          </w:p>
        </w:tc>
        <w:tc>
          <w:tcPr>
            <w:tcW w:w="1870" w:type="dxa"/>
            <w:vAlign w:val="bottom"/>
          </w:tcPr>
          <w:p w14:paraId="286FEB16" w14:textId="77777777" w:rsidR="00A65BE2" w:rsidRDefault="00A65BE2" w:rsidP="001B41BD">
            <w:r>
              <w:t>12.7</w:t>
            </w:r>
          </w:p>
        </w:tc>
        <w:tc>
          <w:tcPr>
            <w:tcW w:w="1870" w:type="dxa"/>
            <w:vAlign w:val="bottom"/>
          </w:tcPr>
          <w:p w14:paraId="689A825B" w14:textId="77777777" w:rsidR="00A65BE2" w:rsidRDefault="00A65BE2" w:rsidP="001B41BD">
            <w:r>
              <w:t>7.8</w:t>
            </w:r>
          </w:p>
        </w:tc>
        <w:tc>
          <w:tcPr>
            <w:tcW w:w="1870" w:type="dxa"/>
            <w:vAlign w:val="bottom"/>
          </w:tcPr>
          <w:p w14:paraId="0A87D552" w14:textId="77777777" w:rsidR="00A65BE2" w:rsidRDefault="00A65BE2" w:rsidP="001B41BD">
            <w:r>
              <w:t>5.5</w:t>
            </w:r>
          </w:p>
        </w:tc>
      </w:tr>
      <w:tr w:rsidR="00A65BE2" w14:paraId="6C5F670D" w14:textId="77777777" w:rsidTr="001B41BD">
        <w:tc>
          <w:tcPr>
            <w:tcW w:w="1870" w:type="dxa"/>
            <w:vAlign w:val="bottom"/>
          </w:tcPr>
          <w:p w14:paraId="23B0E512" w14:textId="77777777" w:rsidR="00A65BE2" w:rsidRDefault="00A65BE2" w:rsidP="001B41BD">
            <w:r>
              <w:t>2021</w:t>
            </w:r>
          </w:p>
        </w:tc>
        <w:tc>
          <w:tcPr>
            <w:tcW w:w="1870" w:type="dxa"/>
            <w:vAlign w:val="bottom"/>
          </w:tcPr>
          <w:p w14:paraId="5450B06A" w14:textId="77777777" w:rsidR="00A65BE2" w:rsidRDefault="00A65BE2" w:rsidP="001B41BD">
            <w:r>
              <w:t>3.7</w:t>
            </w:r>
          </w:p>
        </w:tc>
        <w:tc>
          <w:tcPr>
            <w:tcW w:w="1870" w:type="dxa"/>
            <w:vAlign w:val="bottom"/>
          </w:tcPr>
          <w:p w14:paraId="368CBA49" w14:textId="77777777" w:rsidR="00A65BE2" w:rsidRDefault="00A65BE2" w:rsidP="001B41BD">
            <w:r>
              <w:t>13.2</w:t>
            </w:r>
          </w:p>
        </w:tc>
        <w:tc>
          <w:tcPr>
            <w:tcW w:w="1870" w:type="dxa"/>
            <w:vAlign w:val="bottom"/>
          </w:tcPr>
          <w:p w14:paraId="4FD34BF3" w14:textId="77777777" w:rsidR="00A65BE2" w:rsidRDefault="00A65BE2" w:rsidP="001B41BD">
            <w:r>
              <w:t>8.2</w:t>
            </w:r>
          </w:p>
        </w:tc>
        <w:tc>
          <w:tcPr>
            <w:tcW w:w="1870" w:type="dxa"/>
            <w:vAlign w:val="bottom"/>
          </w:tcPr>
          <w:p w14:paraId="7815836A" w14:textId="77777777" w:rsidR="00A65BE2" w:rsidRDefault="00A65BE2" w:rsidP="001B41BD">
            <w:r>
              <w:t>5.5</w:t>
            </w:r>
          </w:p>
        </w:tc>
      </w:tr>
    </w:tbl>
    <w:p w14:paraId="23014CFE" w14:textId="77777777" w:rsidR="00A65BE2" w:rsidRPr="000A3CC0" w:rsidRDefault="00A65BE2" w:rsidP="00A65BE2">
      <w:r w:rsidRPr="000A3CC0">
        <w:lastRenderedPageBreak/>
        <w:t xml:space="preserve">Source: SC DHEC Vital Statistics, CDC NCHS. </w:t>
      </w:r>
    </w:p>
    <w:p w14:paraId="03F37C13" w14:textId="77777777" w:rsidR="00A65BE2" w:rsidRDefault="00A65BE2" w:rsidP="00A65BE2">
      <w:r w:rsidRPr="000A3CC0">
        <w:t>Note: Age-adjusted, population for year 2021 based on single-race estimates and for years prior based on bridge-race estimates.</w:t>
      </w:r>
    </w:p>
    <w:p w14:paraId="02B9DC32" w14:textId="77777777" w:rsidR="00A65BE2" w:rsidRDefault="00A65BE2" w:rsidP="00A65BE2">
      <w:pPr>
        <w:pStyle w:val="Heading4"/>
      </w:pPr>
      <w:bookmarkStart w:id="1008" w:name="_Toc154576586"/>
    </w:p>
    <w:p w14:paraId="2EEBA98A" w14:textId="7CA5E11C" w:rsidR="00A65BE2" w:rsidRDefault="00A65BE2" w:rsidP="00A65BE2">
      <w:pPr>
        <w:pStyle w:val="Heading4"/>
      </w:pPr>
      <w:bookmarkStart w:id="1009" w:name="_Toc162267682"/>
      <w:r w:rsidRPr="000A3CC0">
        <w:t>Figure 10.</w:t>
      </w:r>
      <w:r>
        <w:t>23:</w:t>
      </w:r>
      <w:r w:rsidRPr="000A3CC0">
        <w:t xml:space="preserve"> Homicide in Adults Ages 65+, by Race/Ethnicity</w:t>
      </w:r>
      <w:r>
        <w:t>.</w:t>
      </w:r>
      <w:bookmarkEnd w:id="1008"/>
      <w:bookmarkEnd w:id="1009"/>
    </w:p>
    <w:p w14:paraId="21D3D54C" w14:textId="77777777" w:rsidR="00A65BE2" w:rsidRDefault="00A65BE2" w:rsidP="00A65BE2">
      <w:pPr>
        <w:pStyle w:val="Heading5"/>
      </w:pPr>
      <w:r>
        <w:t>Rate per 100,000 population.</w:t>
      </w:r>
    </w:p>
    <w:tbl>
      <w:tblPr>
        <w:tblStyle w:val="TableGrid"/>
        <w:tblW w:w="0" w:type="auto"/>
        <w:tblLook w:val="04A0" w:firstRow="1" w:lastRow="0" w:firstColumn="1" w:lastColumn="0" w:noHBand="0" w:noVBand="1"/>
      </w:tblPr>
      <w:tblGrid>
        <w:gridCol w:w="3116"/>
        <w:gridCol w:w="3117"/>
        <w:gridCol w:w="3117"/>
      </w:tblGrid>
      <w:tr w:rsidR="00A65BE2" w14:paraId="47C71C61" w14:textId="77777777" w:rsidTr="001B41BD">
        <w:tc>
          <w:tcPr>
            <w:tcW w:w="3116" w:type="dxa"/>
            <w:vAlign w:val="bottom"/>
          </w:tcPr>
          <w:p w14:paraId="56AA86FF" w14:textId="77777777" w:rsidR="00A65BE2" w:rsidRPr="004B41E9" w:rsidRDefault="00A65BE2" w:rsidP="001B41BD">
            <w:r>
              <w:t>Age Group</w:t>
            </w:r>
          </w:p>
        </w:tc>
        <w:tc>
          <w:tcPr>
            <w:tcW w:w="3117" w:type="dxa"/>
            <w:vAlign w:val="bottom"/>
          </w:tcPr>
          <w:p w14:paraId="6709BBED" w14:textId="77777777" w:rsidR="00A65BE2" w:rsidRPr="004B41E9" w:rsidRDefault="00A65BE2" w:rsidP="001B41BD">
            <w:r w:rsidRPr="004B41E9">
              <w:t>Non-Hispanic White</w:t>
            </w:r>
          </w:p>
        </w:tc>
        <w:tc>
          <w:tcPr>
            <w:tcW w:w="3117" w:type="dxa"/>
            <w:vAlign w:val="bottom"/>
          </w:tcPr>
          <w:p w14:paraId="7B7B6463" w14:textId="77777777" w:rsidR="00A65BE2" w:rsidRPr="004B41E9" w:rsidRDefault="00A65BE2" w:rsidP="001B41BD">
            <w:r w:rsidRPr="004B41E9">
              <w:t>Non-Hispanic Black</w:t>
            </w:r>
          </w:p>
        </w:tc>
      </w:tr>
      <w:tr w:rsidR="00A65BE2" w14:paraId="7E768D1B" w14:textId="77777777" w:rsidTr="001B41BD">
        <w:tc>
          <w:tcPr>
            <w:tcW w:w="3116" w:type="dxa"/>
            <w:vAlign w:val="bottom"/>
          </w:tcPr>
          <w:p w14:paraId="3C989D2A" w14:textId="77777777" w:rsidR="00A65BE2" w:rsidRPr="004B41E9" w:rsidRDefault="00A65BE2" w:rsidP="001B41BD">
            <w:r w:rsidRPr="004B41E9">
              <w:t>65 - 74</w:t>
            </w:r>
          </w:p>
        </w:tc>
        <w:tc>
          <w:tcPr>
            <w:tcW w:w="3117" w:type="dxa"/>
            <w:vAlign w:val="bottom"/>
          </w:tcPr>
          <w:p w14:paraId="45D22BA0" w14:textId="77777777" w:rsidR="00A65BE2" w:rsidRPr="004B41E9" w:rsidRDefault="00A65BE2" w:rsidP="001B41BD">
            <w:r w:rsidRPr="004B41E9">
              <w:t>2.3</w:t>
            </w:r>
          </w:p>
        </w:tc>
        <w:tc>
          <w:tcPr>
            <w:tcW w:w="3117" w:type="dxa"/>
            <w:vAlign w:val="bottom"/>
          </w:tcPr>
          <w:p w14:paraId="2AE06B06" w14:textId="77777777" w:rsidR="00A65BE2" w:rsidRPr="004B41E9" w:rsidRDefault="00A65BE2" w:rsidP="001B41BD">
            <w:r w:rsidRPr="004B41E9">
              <w:t>5.7</w:t>
            </w:r>
          </w:p>
        </w:tc>
      </w:tr>
      <w:tr w:rsidR="00A65BE2" w14:paraId="32647D7B" w14:textId="77777777" w:rsidTr="001B41BD">
        <w:tc>
          <w:tcPr>
            <w:tcW w:w="3116" w:type="dxa"/>
            <w:vAlign w:val="bottom"/>
          </w:tcPr>
          <w:p w14:paraId="25105366" w14:textId="77777777" w:rsidR="00A65BE2" w:rsidRPr="004B41E9" w:rsidRDefault="00A65BE2" w:rsidP="001B41BD">
            <w:r w:rsidRPr="004B41E9">
              <w:t>75 - 84</w:t>
            </w:r>
          </w:p>
        </w:tc>
        <w:tc>
          <w:tcPr>
            <w:tcW w:w="3117" w:type="dxa"/>
            <w:vAlign w:val="bottom"/>
          </w:tcPr>
          <w:p w14:paraId="7E5C3D01" w14:textId="77777777" w:rsidR="00A65BE2" w:rsidRPr="004B41E9" w:rsidRDefault="00A65BE2" w:rsidP="001B41BD">
            <w:r w:rsidRPr="004B41E9">
              <w:t>2.5</w:t>
            </w:r>
          </w:p>
        </w:tc>
        <w:tc>
          <w:tcPr>
            <w:tcW w:w="3117" w:type="dxa"/>
            <w:vAlign w:val="bottom"/>
          </w:tcPr>
          <w:p w14:paraId="339D3E1C" w14:textId="77777777" w:rsidR="00A65BE2" w:rsidRPr="004B41E9" w:rsidRDefault="00A65BE2" w:rsidP="001B41BD">
            <w:r w:rsidRPr="004B41E9">
              <w:t>4</w:t>
            </w:r>
          </w:p>
        </w:tc>
      </w:tr>
      <w:tr w:rsidR="00A65BE2" w14:paraId="2CE8350B" w14:textId="77777777" w:rsidTr="001B41BD">
        <w:tc>
          <w:tcPr>
            <w:tcW w:w="3116" w:type="dxa"/>
            <w:vAlign w:val="bottom"/>
          </w:tcPr>
          <w:p w14:paraId="542EB232" w14:textId="77777777" w:rsidR="00A65BE2" w:rsidRPr="004B41E9" w:rsidRDefault="00A65BE2" w:rsidP="001B41BD">
            <w:r w:rsidRPr="004B41E9">
              <w:t>85+</w:t>
            </w:r>
          </w:p>
        </w:tc>
        <w:tc>
          <w:tcPr>
            <w:tcW w:w="3117" w:type="dxa"/>
            <w:vAlign w:val="bottom"/>
          </w:tcPr>
          <w:p w14:paraId="1E771231" w14:textId="77777777" w:rsidR="00A65BE2" w:rsidRPr="004B41E9" w:rsidRDefault="00A65BE2" w:rsidP="001B41BD">
            <w:r w:rsidRPr="004B41E9">
              <w:t>1.7</w:t>
            </w:r>
          </w:p>
        </w:tc>
        <w:tc>
          <w:tcPr>
            <w:tcW w:w="3117" w:type="dxa"/>
            <w:vAlign w:val="bottom"/>
          </w:tcPr>
          <w:p w14:paraId="59019619" w14:textId="77777777" w:rsidR="00A65BE2" w:rsidRPr="004B41E9" w:rsidRDefault="00A65BE2" w:rsidP="001B41BD">
            <w:r w:rsidRPr="004B41E9">
              <w:t>5.9</w:t>
            </w:r>
          </w:p>
        </w:tc>
      </w:tr>
    </w:tbl>
    <w:p w14:paraId="6347B96A" w14:textId="77777777" w:rsidR="00A65BE2" w:rsidRPr="004B41E9" w:rsidRDefault="00A65BE2" w:rsidP="00A65BE2">
      <w:r w:rsidRPr="004B41E9">
        <w:t xml:space="preserve">Source: SC DHEC Vital Statistics, 2017- 2021. </w:t>
      </w:r>
    </w:p>
    <w:p w14:paraId="51A11037" w14:textId="77777777" w:rsidR="00A65BE2" w:rsidRPr="004B41E9" w:rsidRDefault="00A65BE2" w:rsidP="00A65BE2">
      <w:r w:rsidRPr="004B41E9">
        <w:t>Note: Population for year 2021 based on single-race estimates and for years prior based on bridge-race estimates.</w:t>
      </w:r>
    </w:p>
    <w:p w14:paraId="42D10CF9" w14:textId="77777777" w:rsidR="00A65BE2" w:rsidRDefault="00A65BE2" w:rsidP="00A65BE2">
      <w:pPr>
        <w:rPr>
          <w:b/>
          <w:bCs/>
        </w:rPr>
      </w:pPr>
    </w:p>
    <w:p w14:paraId="0A84CAC0" w14:textId="77777777" w:rsidR="00A65BE2" w:rsidRPr="00A65BE2" w:rsidRDefault="00A65BE2" w:rsidP="00A65BE2">
      <w:pPr>
        <w:pStyle w:val="Heading4"/>
      </w:pPr>
      <w:bookmarkStart w:id="1010" w:name="_Toc162267683"/>
      <w:r w:rsidRPr="00A65BE2">
        <w:t>Data Interpretations:</w:t>
      </w:r>
      <w:bookmarkEnd w:id="1010"/>
      <w:r w:rsidRPr="00A65BE2">
        <w:t xml:space="preserve"> </w:t>
      </w:r>
    </w:p>
    <w:p w14:paraId="106A70E0" w14:textId="369B9A8C" w:rsidR="00A65BE2" w:rsidRDefault="00A65BE2" w:rsidP="00A65BE2">
      <w:r w:rsidRPr="00A65BE2">
        <w:t>Homicide in older adults in SC has fluctuated over the years but has stayed relatively the same since 2012. In 2012, SC adults 65 and older had a homicide rate of 4.5 deaths per 100,000 population, and in 2021 the homicide rate was 3.7 deaths per 100,000 population (</w:t>
      </w:r>
      <w:r w:rsidRPr="00A65BE2">
        <w:rPr>
          <w:b/>
          <w:bCs/>
        </w:rPr>
        <w:t>Figure 10.22</w:t>
      </w:r>
      <w:r w:rsidRPr="00A65BE2">
        <w:t>). The homicide rate among SC older adults (3.7 deaths per 100,000 population) falls well below the homicide rate among all ages in SC (13.2 deaths per 100,000 population) and the US (8.2 deaths per 100,000 population). The current 2021 homicide rate in SC adults 65 and older is under the Healthy People 2030 goal of 5.5 deaths per 100,000 population for all ages (</w:t>
      </w:r>
      <w:r w:rsidRPr="00A65BE2">
        <w:rPr>
          <w:b/>
          <w:bCs/>
        </w:rPr>
        <w:t>Figure 10.22</w:t>
      </w:r>
      <w:r w:rsidRPr="00A65BE2">
        <w:t xml:space="preserve">). </w:t>
      </w:r>
    </w:p>
    <w:p w14:paraId="67288CA1" w14:textId="77777777" w:rsidR="00A65BE2" w:rsidRPr="00A65BE2" w:rsidRDefault="00A65BE2" w:rsidP="00A65BE2"/>
    <w:p w14:paraId="14752B12" w14:textId="5E78F60C" w:rsidR="00A65BE2" w:rsidRPr="00A65BE2" w:rsidRDefault="00A65BE2" w:rsidP="00A65BE2">
      <w:r w:rsidRPr="00A65BE2">
        <w:t>Among SC adults 65-74, the homicide rate in non-Hispanic Blacks (5.7 deaths per 100,000 population) is 2.5 times higher than the rate among non-Hispanic Whites (2.3 deaths per 100,000 population) (</w:t>
      </w:r>
      <w:r w:rsidRPr="00A65BE2">
        <w:rPr>
          <w:b/>
          <w:bCs/>
        </w:rPr>
        <w:t>Figure 10.23</w:t>
      </w:r>
      <w:r w:rsidRPr="00A65BE2">
        <w:t>). Among SC adults 75-84, the homicide rate in non-Hispanic Blacks (4.0 deaths per 100,000 population) is 1.6 times higher than the rate in non-Hispanic Whites (2.5 deaths per 100,000 population) (</w:t>
      </w:r>
      <w:r w:rsidRPr="00A65BE2">
        <w:rPr>
          <w:b/>
          <w:bCs/>
        </w:rPr>
        <w:t>Figure 10.23</w:t>
      </w:r>
      <w:r w:rsidRPr="00A65BE2">
        <w:t>). Finally, among SC adults 85 and older, the homicide rate in non-Hispanic Blacks (5.9 deaths per 100,000 population) is 3.5 times higher than the rate in non-Hispanic Whites (1.7 deaths per 100,000 population) (</w:t>
      </w:r>
      <w:r w:rsidRPr="00A65BE2">
        <w:rPr>
          <w:b/>
          <w:bCs/>
        </w:rPr>
        <w:t>Figure 10.23</w:t>
      </w:r>
      <w:r w:rsidRPr="00A65BE2">
        <w:t>). Although homicide rates are not as high in the older population, there is still a disparity seen between non-Hispanic Blacks and non-Hispanic Whites.</w:t>
      </w:r>
    </w:p>
    <w:p w14:paraId="5C3FA7DA" w14:textId="77777777" w:rsidR="00A65BE2" w:rsidRDefault="00A65BE2" w:rsidP="00A65BE2">
      <w:pPr>
        <w:pStyle w:val="Heading5"/>
      </w:pPr>
    </w:p>
    <w:p w14:paraId="04169BB5" w14:textId="19A7FA72" w:rsidR="00A65BE2" w:rsidRPr="00882C15" w:rsidRDefault="00A65BE2" w:rsidP="00A65BE2">
      <w:pPr>
        <w:pStyle w:val="Heading5"/>
      </w:pPr>
      <w:r w:rsidRPr="00882C15">
        <w:t>Key Takeaways:</w:t>
      </w:r>
    </w:p>
    <w:p w14:paraId="5DECDF75" w14:textId="308EBFE9" w:rsidR="00A65BE2" w:rsidRPr="00A65BE2" w:rsidRDefault="00A65BE2" w:rsidP="00926EB3">
      <w:pPr>
        <w:pStyle w:val="ListParagraph"/>
        <w:numPr>
          <w:ilvl w:val="0"/>
          <w:numId w:val="228"/>
        </w:numPr>
      </w:pPr>
      <w:r w:rsidRPr="00A65BE2">
        <w:t>Homicide rates in non-Hispanic Black adults 65 and older in SC are nearly double that of their White counterparts.</w:t>
      </w:r>
    </w:p>
    <w:p w14:paraId="7A5E9AD7" w14:textId="77777777" w:rsidR="00A65BE2" w:rsidRDefault="00A65BE2" w:rsidP="00A65BE2">
      <w:pPr>
        <w:rPr>
          <w:b/>
          <w:bCs/>
        </w:rPr>
      </w:pPr>
    </w:p>
    <w:p w14:paraId="38501DD9" w14:textId="01AAB6FA" w:rsidR="00A65BE2" w:rsidRPr="00474B85" w:rsidRDefault="00A65BE2" w:rsidP="00A65BE2">
      <w:pPr>
        <w:pStyle w:val="Heading4"/>
        <w:rPr>
          <w:rFonts w:asciiTheme="minorHAnsi" w:hAnsiTheme="minorHAnsi" w:cstheme="minorHAnsi"/>
          <w:color w:val="000000" w:themeColor="text1"/>
        </w:rPr>
      </w:pPr>
      <w:bookmarkStart w:id="1011" w:name="_Toc162267684"/>
      <w:r w:rsidRPr="00474B85">
        <w:rPr>
          <w:rFonts w:asciiTheme="minorHAnsi" w:hAnsiTheme="minorHAnsi" w:cstheme="minorHAnsi"/>
          <w:color w:val="000000" w:themeColor="text1"/>
        </w:rPr>
        <w:t xml:space="preserve">References </w:t>
      </w:r>
      <w:r>
        <w:rPr>
          <w:rFonts w:asciiTheme="minorHAnsi" w:hAnsiTheme="minorHAnsi" w:cstheme="minorHAnsi"/>
          <w:color w:val="000000" w:themeColor="text1"/>
        </w:rPr>
        <w:t>10.11</w:t>
      </w:r>
      <w:bookmarkEnd w:id="1011"/>
    </w:p>
    <w:p w14:paraId="7495D7C9" w14:textId="77777777" w:rsidR="00A65BE2" w:rsidRDefault="00A65BE2" w:rsidP="00A65BE2">
      <w:r w:rsidRPr="00474B85">
        <w:t>Statistics in the preceding section were referenced from the following reports:</w:t>
      </w:r>
    </w:p>
    <w:p w14:paraId="49DDFC33" w14:textId="65468AE9" w:rsidR="00C75DB8" w:rsidRDefault="00C75DB8" w:rsidP="003E3A63">
      <w:pPr>
        <w:ind w:left="360"/>
      </w:pPr>
      <w:r>
        <w:t>14.</w:t>
      </w:r>
      <w:hyperlink r:id="rId446" w:history="1">
        <w:r w:rsidRPr="00D71D29">
          <w:rPr>
            <w:rStyle w:val="Hyperlink"/>
          </w:rPr>
          <w:t>“</w:t>
        </w:r>
        <w:r w:rsidR="00D71D29" w:rsidRPr="00D71D29">
          <w:rPr>
            <w:rStyle w:val="Hyperlink"/>
          </w:rPr>
          <w:t>National Vital Statistics System, Mortality 2018-2021</w:t>
        </w:r>
        <w:r w:rsidRPr="00D71D29">
          <w:rPr>
            <w:rStyle w:val="Hyperlink"/>
          </w:rPr>
          <w:t>” by</w:t>
        </w:r>
        <w:r w:rsidR="00D71D29" w:rsidRPr="00D71D29">
          <w:rPr>
            <w:rStyle w:val="Hyperlink"/>
          </w:rPr>
          <w:t xml:space="preserve"> on Centers for Disease Control and Prevention, National Center for Health Statistics</w:t>
        </w:r>
        <w:r w:rsidRPr="00D71D29">
          <w:rPr>
            <w:rStyle w:val="Hyperlink"/>
          </w:rPr>
          <w:t xml:space="preserve"> via</w:t>
        </w:r>
        <w:r w:rsidR="00D71D29" w:rsidRPr="00D71D29">
          <w:rPr>
            <w:rStyle w:val="Hyperlink"/>
          </w:rPr>
          <w:t xml:space="preserve"> CDC WONDER Online Database, released in 2021.</w:t>
        </w:r>
      </w:hyperlink>
      <w:r w:rsidR="00D71D29" w:rsidRPr="00D71D29">
        <w:t xml:space="preserve"> </w:t>
      </w:r>
    </w:p>
    <w:p w14:paraId="20BF3351" w14:textId="54384412" w:rsidR="008071E3" w:rsidRPr="008071E3" w:rsidRDefault="00000000" w:rsidP="00926EB3">
      <w:pPr>
        <w:pStyle w:val="ListParagraph"/>
        <w:numPr>
          <w:ilvl w:val="0"/>
          <w:numId w:val="199"/>
        </w:numPr>
      </w:pPr>
      <w:hyperlink r:id="rId447" w:history="1">
        <w:r w:rsidR="00C75DB8" w:rsidRPr="00C75DB8">
          <w:rPr>
            <w:rStyle w:val="Hyperlink"/>
          </w:rPr>
          <w:t>“</w:t>
        </w:r>
        <w:r w:rsidR="008071E3" w:rsidRPr="008071E3">
          <w:rPr>
            <w:rStyle w:val="Hyperlink"/>
          </w:rPr>
          <w:t>Characteristics and patterns of older adult homicides in the United States</w:t>
        </w:r>
        <w:r w:rsidR="00C75DB8" w:rsidRPr="00C75DB8">
          <w:rPr>
            <w:rStyle w:val="Hyperlink"/>
          </w:rPr>
          <w:t xml:space="preserve">” by </w:t>
        </w:r>
        <w:r w:rsidR="00C75DB8" w:rsidRPr="008071E3">
          <w:rPr>
            <w:rStyle w:val="Hyperlink"/>
          </w:rPr>
          <w:t xml:space="preserve">Shawon, R.A., </w:t>
        </w:r>
        <w:proofErr w:type="spellStart"/>
        <w:r w:rsidR="00C75DB8" w:rsidRPr="008071E3">
          <w:rPr>
            <w:rStyle w:val="Hyperlink"/>
          </w:rPr>
          <w:t>Adhia</w:t>
        </w:r>
        <w:proofErr w:type="spellEnd"/>
        <w:r w:rsidR="00C75DB8" w:rsidRPr="008071E3">
          <w:rPr>
            <w:rStyle w:val="Hyperlink"/>
          </w:rPr>
          <w:t xml:space="preserve">, A., </w:t>
        </w:r>
        <w:proofErr w:type="spellStart"/>
        <w:r w:rsidR="00C75DB8" w:rsidRPr="008071E3">
          <w:rPr>
            <w:rStyle w:val="Hyperlink"/>
          </w:rPr>
          <w:t>DeCou</w:t>
        </w:r>
        <w:proofErr w:type="spellEnd"/>
        <w:r w:rsidR="00C75DB8" w:rsidRPr="008071E3">
          <w:rPr>
            <w:rStyle w:val="Hyperlink"/>
          </w:rPr>
          <w:t>, C. et al</w:t>
        </w:r>
        <w:r w:rsidR="008071E3" w:rsidRPr="008071E3">
          <w:rPr>
            <w:rStyle w:val="Hyperlink"/>
          </w:rPr>
          <w:t xml:space="preserve">. </w:t>
        </w:r>
        <w:r w:rsidR="00C75DB8" w:rsidRPr="00C75DB8">
          <w:rPr>
            <w:rStyle w:val="Hyperlink"/>
          </w:rPr>
          <w:t xml:space="preserve">Published in </w:t>
        </w:r>
        <w:r w:rsidR="008071E3" w:rsidRPr="008071E3">
          <w:rPr>
            <w:rStyle w:val="Hyperlink"/>
          </w:rPr>
          <w:t>Inj. Epidemiol</w:t>
        </w:r>
        <w:r w:rsidR="00C75DB8" w:rsidRPr="00C75DB8">
          <w:rPr>
            <w:rStyle w:val="Hyperlink"/>
          </w:rPr>
          <w:t xml:space="preserve">, </w:t>
        </w:r>
        <w:r w:rsidR="008071E3" w:rsidRPr="008071E3">
          <w:rPr>
            <w:rStyle w:val="Hyperlink"/>
          </w:rPr>
          <w:t>2021.</w:t>
        </w:r>
      </w:hyperlink>
      <w:r w:rsidR="008071E3" w:rsidRPr="008071E3">
        <w:t xml:space="preserve"> </w:t>
      </w:r>
    </w:p>
    <w:p w14:paraId="62207CC5" w14:textId="67796B0F" w:rsidR="008071E3" w:rsidRPr="008071E3" w:rsidRDefault="00000000" w:rsidP="00926EB3">
      <w:pPr>
        <w:pStyle w:val="ListParagraph"/>
        <w:numPr>
          <w:ilvl w:val="0"/>
          <w:numId w:val="199"/>
        </w:numPr>
      </w:pPr>
      <w:hyperlink r:id="rId448" w:history="1">
        <w:r w:rsidR="00C75DB8" w:rsidRPr="00C75DB8">
          <w:rPr>
            <w:rStyle w:val="Hyperlink"/>
          </w:rPr>
          <w:t>“</w:t>
        </w:r>
        <w:r w:rsidR="008071E3" w:rsidRPr="008071E3">
          <w:rPr>
            <w:rStyle w:val="Hyperlink"/>
          </w:rPr>
          <w:t>Fast facts: Preventing elder abuse</w:t>
        </w:r>
        <w:r w:rsidR="00C75DB8" w:rsidRPr="00C75DB8">
          <w:rPr>
            <w:rStyle w:val="Hyperlink"/>
          </w:rPr>
          <w:t xml:space="preserve">, </w:t>
        </w:r>
        <w:r w:rsidR="008071E3" w:rsidRPr="008071E3">
          <w:rPr>
            <w:rStyle w:val="Hyperlink"/>
          </w:rPr>
          <w:t>violence prevention</w:t>
        </w:r>
        <w:r w:rsidR="00C75DB8" w:rsidRPr="00C75DB8">
          <w:rPr>
            <w:rStyle w:val="Hyperlink"/>
          </w:rPr>
          <w:t>”</w:t>
        </w:r>
        <w:r w:rsidR="008071E3" w:rsidRPr="008071E3">
          <w:rPr>
            <w:rStyle w:val="Hyperlink"/>
          </w:rPr>
          <w:t>. Centers for Disease Control and Prevention</w:t>
        </w:r>
        <w:r w:rsidR="00C75DB8" w:rsidRPr="00C75DB8">
          <w:rPr>
            <w:rStyle w:val="Hyperlink"/>
          </w:rPr>
          <w:t xml:space="preserve"> via cdc.gov, 2021</w:t>
        </w:r>
        <w:r w:rsidR="008071E3" w:rsidRPr="008071E3">
          <w:rPr>
            <w:rStyle w:val="Hyperlink"/>
          </w:rPr>
          <w:t>. Retrieved December 20, 2022</w:t>
        </w:r>
        <w:r w:rsidR="00C75DB8" w:rsidRPr="00C75DB8">
          <w:rPr>
            <w:rStyle w:val="Hyperlink"/>
          </w:rPr>
          <w:t>.</w:t>
        </w:r>
      </w:hyperlink>
      <w:r w:rsidR="008071E3" w:rsidRPr="008071E3">
        <w:t xml:space="preserve"> </w:t>
      </w:r>
    </w:p>
    <w:p w14:paraId="71C45B1C" w14:textId="77777777" w:rsidR="00A65BE2" w:rsidRDefault="00A65BE2" w:rsidP="00A65BE2"/>
    <w:p w14:paraId="201F6CC2" w14:textId="77777777" w:rsidR="00A65BE2" w:rsidRPr="00A65BE2" w:rsidRDefault="00A65BE2" w:rsidP="00A65BE2">
      <w:pPr>
        <w:pStyle w:val="Heading3"/>
      </w:pPr>
      <w:bookmarkStart w:id="1012" w:name="_Toc162267685"/>
      <w:r w:rsidRPr="00A65BE2">
        <w:t>Suicide</w:t>
      </w:r>
      <w:bookmarkEnd w:id="1012"/>
    </w:p>
    <w:p w14:paraId="735A4BAD" w14:textId="38CBBB31" w:rsidR="00A65BE2" w:rsidRPr="00A65BE2" w:rsidRDefault="00A65BE2" w:rsidP="00A65BE2">
      <w:r w:rsidRPr="00A65BE2">
        <w:t>Suicide is one of the leading causes of death in the US, affecting people of all ages. Older adults are especially vulnerable to suicide. While older adults comprise just 17% of the population, they make up approximately 20% of suicides. There were 9,652 suicides in people aged 65 and older in 2021. Men 65 and older face the highest overall rate of suicide.</w:t>
      </w:r>
    </w:p>
    <w:p w14:paraId="35911146" w14:textId="77777777" w:rsidR="00A65BE2" w:rsidRDefault="00A65BE2" w:rsidP="00A65BE2"/>
    <w:p w14:paraId="0783B23D" w14:textId="4996B456" w:rsidR="00A65BE2" w:rsidRDefault="00A65BE2" w:rsidP="00A65BE2">
      <w:r w:rsidRPr="00A65BE2">
        <w:t>Older adults are more likely to have a fatal suicide attempt compared to other age groups. One in four suicide attempts among seniors will be fatal, and even if they are nonfatal, they are less likely to recover from the effects. Suicidal behavior is common in older adults for several reasons, including loneliness, grief over lost loved ones, loss of self-sufficiency, chronic illness and pain, cognitive impairment, and financial troubles. According to the SC Violent Death Reporting System (SCVDRS), physical health problems were reported as a contributing cause to almost two-thirds of suicides among those aged 65 and older in SC from 2016-2020 (among those who died by suicide and had at least one known contributing cause).</w:t>
      </w:r>
    </w:p>
    <w:p w14:paraId="1B564846" w14:textId="77777777" w:rsidR="00A65BE2" w:rsidRDefault="00A65BE2" w:rsidP="00A65BE2"/>
    <w:p w14:paraId="471BC067" w14:textId="77777777" w:rsidR="00A65BE2" w:rsidRDefault="00A65BE2" w:rsidP="00A65BE2">
      <w:pPr>
        <w:pStyle w:val="Heading4"/>
      </w:pPr>
      <w:bookmarkStart w:id="1013" w:name="_Toc154576587"/>
      <w:bookmarkStart w:id="1014" w:name="_Toc162267686"/>
      <w:r w:rsidRPr="000A3CC0">
        <w:lastRenderedPageBreak/>
        <w:t>Figure 10.</w:t>
      </w:r>
      <w:r>
        <w:t>24:</w:t>
      </w:r>
      <w:r w:rsidRPr="000A3CC0">
        <w:t xml:space="preserve"> </w:t>
      </w:r>
      <w:r>
        <w:t>Suicide.</w:t>
      </w:r>
      <w:bookmarkEnd w:id="1013"/>
      <w:bookmarkEnd w:id="1014"/>
    </w:p>
    <w:p w14:paraId="0EB1031E" w14:textId="77777777" w:rsidR="00A65BE2" w:rsidRDefault="00A65BE2" w:rsidP="00A65BE2">
      <w:pPr>
        <w:pStyle w:val="Heading5"/>
      </w:pPr>
      <w:r>
        <w:t>Rate per 100,000 population.</w:t>
      </w:r>
    </w:p>
    <w:tbl>
      <w:tblPr>
        <w:tblStyle w:val="TableGrid"/>
        <w:tblW w:w="0" w:type="auto"/>
        <w:tblLook w:val="04A0" w:firstRow="1" w:lastRow="0" w:firstColumn="1" w:lastColumn="0" w:noHBand="0" w:noVBand="1"/>
      </w:tblPr>
      <w:tblGrid>
        <w:gridCol w:w="2337"/>
        <w:gridCol w:w="2337"/>
        <w:gridCol w:w="2338"/>
        <w:gridCol w:w="2338"/>
      </w:tblGrid>
      <w:tr w:rsidR="00A65BE2" w14:paraId="562890C7" w14:textId="77777777" w:rsidTr="001B41BD">
        <w:tc>
          <w:tcPr>
            <w:tcW w:w="2337" w:type="dxa"/>
            <w:vAlign w:val="bottom"/>
          </w:tcPr>
          <w:p w14:paraId="37D14541" w14:textId="77777777" w:rsidR="00A65BE2" w:rsidRPr="004B41E9" w:rsidRDefault="00A65BE2" w:rsidP="001B41BD">
            <w:r w:rsidRPr="004B41E9">
              <w:t>Year</w:t>
            </w:r>
          </w:p>
        </w:tc>
        <w:tc>
          <w:tcPr>
            <w:tcW w:w="2337" w:type="dxa"/>
            <w:vAlign w:val="bottom"/>
          </w:tcPr>
          <w:p w14:paraId="725AA0A8" w14:textId="77777777" w:rsidR="00A65BE2" w:rsidRPr="004B41E9" w:rsidRDefault="00A65BE2" w:rsidP="001B41BD">
            <w:r w:rsidRPr="004B41E9">
              <w:t>65+ South Carolina</w:t>
            </w:r>
          </w:p>
        </w:tc>
        <w:tc>
          <w:tcPr>
            <w:tcW w:w="2338" w:type="dxa"/>
            <w:vAlign w:val="bottom"/>
          </w:tcPr>
          <w:p w14:paraId="19D24944" w14:textId="77777777" w:rsidR="00A65BE2" w:rsidRPr="004B41E9" w:rsidRDefault="00A65BE2" w:rsidP="001B41BD">
            <w:r w:rsidRPr="004B41E9">
              <w:t>All Ages South Carolina</w:t>
            </w:r>
          </w:p>
        </w:tc>
        <w:tc>
          <w:tcPr>
            <w:tcW w:w="2338" w:type="dxa"/>
            <w:vAlign w:val="bottom"/>
          </w:tcPr>
          <w:p w14:paraId="33516F53" w14:textId="77777777" w:rsidR="00A65BE2" w:rsidRPr="004B41E9" w:rsidRDefault="00A65BE2" w:rsidP="001B41BD">
            <w:r w:rsidRPr="004B41E9">
              <w:t>Healthy People 2030</w:t>
            </w:r>
            <w:r>
              <w:t xml:space="preserve"> Goal</w:t>
            </w:r>
          </w:p>
        </w:tc>
      </w:tr>
      <w:tr w:rsidR="00A65BE2" w14:paraId="0DC73A68" w14:textId="77777777" w:rsidTr="001B41BD">
        <w:tc>
          <w:tcPr>
            <w:tcW w:w="2337" w:type="dxa"/>
            <w:vAlign w:val="bottom"/>
          </w:tcPr>
          <w:p w14:paraId="6D470306" w14:textId="77777777" w:rsidR="00A65BE2" w:rsidRPr="004B41E9" w:rsidRDefault="00A65BE2" w:rsidP="001B41BD">
            <w:r w:rsidRPr="004B41E9">
              <w:t>2012</w:t>
            </w:r>
          </w:p>
        </w:tc>
        <w:tc>
          <w:tcPr>
            <w:tcW w:w="2337" w:type="dxa"/>
            <w:vAlign w:val="bottom"/>
          </w:tcPr>
          <w:p w14:paraId="584BEA20" w14:textId="77777777" w:rsidR="00A65BE2" w:rsidRPr="004B41E9" w:rsidRDefault="00A65BE2" w:rsidP="001B41BD">
            <w:r w:rsidRPr="004B41E9">
              <w:t>17.4</w:t>
            </w:r>
          </w:p>
        </w:tc>
        <w:tc>
          <w:tcPr>
            <w:tcW w:w="2338" w:type="dxa"/>
            <w:vAlign w:val="bottom"/>
          </w:tcPr>
          <w:p w14:paraId="7361AB82" w14:textId="77777777" w:rsidR="00A65BE2" w:rsidRPr="004B41E9" w:rsidRDefault="00A65BE2" w:rsidP="001B41BD">
            <w:r w:rsidRPr="004B41E9">
              <w:t>13.5</w:t>
            </w:r>
          </w:p>
        </w:tc>
        <w:tc>
          <w:tcPr>
            <w:tcW w:w="2338" w:type="dxa"/>
            <w:vAlign w:val="bottom"/>
          </w:tcPr>
          <w:p w14:paraId="04FD8AEC" w14:textId="77777777" w:rsidR="00A65BE2" w:rsidRPr="004B41E9" w:rsidRDefault="00A65BE2" w:rsidP="001B41BD">
            <w:r w:rsidRPr="004B41E9">
              <w:t>12.8</w:t>
            </w:r>
          </w:p>
        </w:tc>
      </w:tr>
      <w:tr w:rsidR="00A65BE2" w14:paraId="136F1D05" w14:textId="77777777" w:rsidTr="001B41BD">
        <w:tc>
          <w:tcPr>
            <w:tcW w:w="2337" w:type="dxa"/>
            <w:vAlign w:val="bottom"/>
          </w:tcPr>
          <w:p w14:paraId="2F1863E0" w14:textId="77777777" w:rsidR="00A65BE2" w:rsidRPr="004B41E9" w:rsidRDefault="00A65BE2" w:rsidP="001B41BD">
            <w:r w:rsidRPr="004B41E9">
              <w:t>2013</w:t>
            </w:r>
          </w:p>
        </w:tc>
        <w:tc>
          <w:tcPr>
            <w:tcW w:w="2337" w:type="dxa"/>
            <w:vAlign w:val="bottom"/>
          </w:tcPr>
          <w:p w14:paraId="55BC55C6" w14:textId="77777777" w:rsidR="00A65BE2" w:rsidRPr="004B41E9" w:rsidRDefault="00A65BE2" w:rsidP="001B41BD">
            <w:r w:rsidRPr="004B41E9">
              <w:t>18.1</w:t>
            </w:r>
          </w:p>
        </w:tc>
        <w:tc>
          <w:tcPr>
            <w:tcW w:w="2338" w:type="dxa"/>
            <w:vAlign w:val="bottom"/>
          </w:tcPr>
          <w:p w14:paraId="35337F1F" w14:textId="77777777" w:rsidR="00A65BE2" w:rsidRPr="004B41E9" w:rsidRDefault="00A65BE2" w:rsidP="001B41BD">
            <w:r w:rsidRPr="004B41E9">
              <w:t>14.0</w:t>
            </w:r>
          </w:p>
        </w:tc>
        <w:tc>
          <w:tcPr>
            <w:tcW w:w="2338" w:type="dxa"/>
            <w:vAlign w:val="bottom"/>
          </w:tcPr>
          <w:p w14:paraId="13A09B36" w14:textId="77777777" w:rsidR="00A65BE2" w:rsidRPr="004B41E9" w:rsidRDefault="00A65BE2" w:rsidP="001B41BD">
            <w:r w:rsidRPr="004B41E9">
              <w:t>12.8</w:t>
            </w:r>
          </w:p>
        </w:tc>
      </w:tr>
      <w:tr w:rsidR="00A65BE2" w14:paraId="4E44EE93" w14:textId="77777777" w:rsidTr="001B41BD">
        <w:tc>
          <w:tcPr>
            <w:tcW w:w="2337" w:type="dxa"/>
            <w:vAlign w:val="bottom"/>
          </w:tcPr>
          <w:p w14:paraId="28B8F759" w14:textId="77777777" w:rsidR="00A65BE2" w:rsidRPr="004B41E9" w:rsidRDefault="00A65BE2" w:rsidP="001B41BD">
            <w:r w:rsidRPr="004B41E9">
              <w:t>2014</w:t>
            </w:r>
          </w:p>
        </w:tc>
        <w:tc>
          <w:tcPr>
            <w:tcW w:w="2337" w:type="dxa"/>
            <w:vAlign w:val="bottom"/>
          </w:tcPr>
          <w:p w14:paraId="5AF5E374" w14:textId="77777777" w:rsidR="00A65BE2" w:rsidRPr="004B41E9" w:rsidRDefault="00A65BE2" w:rsidP="001B41BD">
            <w:r w:rsidRPr="004B41E9">
              <w:t>17.1</w:t>
            </w:r>
          </w:p>
        </w:tc>
        <w:tc>
          <w:tcPr>
            <w:tcW w:w="2338" w:type="dxa"/>
            <w:vAlign w:val="bottom"/>
          </w:tcPr>
          <w:p w14:paraId="2623B5FB" w14:textId="77777777" w:rsidR="00A65BE2" w:rsidRPr="004B41E9" w:rsidRDefault="00A65BE2" w:rsidP="001B41BD">
            <w:r w:rsidRPr="004B41E9">
              <w:t>15.3</w:t>
            </w:r>
          </w:p>
        </w:tc>
        <w:tc>
          <w:tcPr>
            <w:tcW w:w="2338" w:type="dxa"/>
            <w:vAlign w:val="bottom"/>
          </w:tcPr>
          <w:p w14:paraId="430913AF" w14:textId="77777777" w:rsidR="00A65BE2" w:rsidRPr="004B41E9" w:rsidRDefault="00A65BE2" w:rsidP="001B41BD">
            <w:r w:rsidRPr="004B41E9">
              <w:t>12.8</w:t>
            </w:r>
          </w:p>
        </w:tc>
      </w:tr>
      <w:tr w:rsidR="00A65BE2" w14:paraId="6A0C55EB" w14:textId="77777777" w:rsidTr="001B41BD">
        <w:tc>
          <w:tcPr>
            <w:tcW w:w="2337" w:type="dxa"/>
            <w:vAlign w:val="bottom"/>
          </w:tcPr>
          <w:p w14:paraId="45815A9D" w14:textId="77777777" w:rsidR="00A65BE2" w:rsidRPr="004B41E9" w:rsidRDefault="00A65BE2" w:rsidP="001B41BD">
            <w:r w:rsidRPr="004B41E9">
              <w:t>2015</w:t>
            </w:r>
          </w:p>
        </w:tc>
        <w:tc>
          <w:tcPr>
            <w:tcW w:w="2337" w:type="dxa"/>
            <w:vAlign w:val="bottom"/>
          </w:tcPr>
          <w:p w14:paraId="0E7E1161" w14:textId="77777777" w:rsidR="00A65BE2" w:rsidRPr="004B41E9" w:rsidRDefault="00A65BE2" w:rsidP="001B41BD">
            <w:r w:rsidRPr="004B41E9">
              <w:t>15.2</w:t>
            </w:r>
          </w:p>
        </w:tc>
        <w:tc>
          <w:tcPr>
            <w:tcW w:w="2338" w:type="dxa"/>
            <w:vAlign w:val="bottom"/>
          </w:tcPr>
          <w:p w14:paraId="156D6FA3" w14:textId="77777777" w:rsidR="00A65BE2" w:rsidRPr="004B41E9" w:rsidRDefault="00A65BE2" w:rsidP="001B41BD">
            <w:r w:rsidRPr="004B41E9">
              <w:t>14.8</w:t>
            </w:r>
          </w:p>
        </w:tc>
        <w:tc>
          <w:tcPr>
            <w:tcW w:w="2338" w:type="dxa"/>
            <w:vAlign w:val="bottom"/>
          </w:tcPr>
          <w:p w14:paraId="226078F0" w14:textId="77777777" w:rsidR="00A65BE2" w:rsidRPr="004B41E9" w:rsidRDefault="00A65BE2" w:rsidP="001B41BD">
            <w:r w:rsidRPr="004B41E9">
              <w:t>12.8</w:t>
            </w:r>
          </w:p>
        </w:tc>
      </w:tr>
      <w:tr w:rsidR="00A65BE2" w14:paraId="33DFAF58" w14:textId="77777777" w:rsidTr="001B41BD">
        <w:tc>
          <w:tcPr>
            <w:tcW w:w="2337" w:type="dxa"/>
            <w:vAlign w:val="bottom"/>
          </w:tcPr>
          <w:p w14:paraId="76490431" w14:textId="77777777" w:rsidR="00A65BE2" w:rsidRPr="004B41E9" w:rsidRDefault="00A65BE2" w:rsidP="001B41BD">
            <w:r w:rsidRPr="004B41E9">
              <w:t>2016</w:t>
            </w:r>
          </w:p>
        </w:tc>
        <w:tc>
          <w:tcPr>
            <w:tcW w:w="2337" w:type="dxa"/>
            <w:vAlign w:val="bottom"/>
          </w:tcPr>
          <w:p w14:paraId="6A32B440" w14:textId="77777777" w:rsidR="00A65BE2" w:rsidRPr="004B41E9" w:rsidRDefault="00A65BE2" w:rsidP="001B41BD">
            <w:r w:rsidRPr="004B41E9">
              <w:t>19.0</w:t>
            </w:r>
          </w:p>
        </w:tc>
        <w:tc>
          <w:tcPr>
            <w:tcW w:w="2338" w:type="dxa"/>
            <w:vAlign w:val="bottom"/>
          </w:tcPr>
          <w:p w14:paraId="3639DD08" w14:textId="77777777" w:rsidR="00A65BE2" w:rsidRPr="004B41E9" w:rsidRDefault="00A65BE2" w:rsidP="001B41BD">
            <w:r w:rsidRPr="004B41E9">
              <w:t>15.7</w:t>
            </w:r>
          </w:p>
        </w:tc>
        <w:tc>
          <w:tcPr>
            <w:tcW w:w="2338" w:type="dxa"/>
            <w:vAlign w:val="bottom"/>
          </w:tcPr>
          <w:p w14:paraId="64E15751" w14:textId="77777777" w:rsidR="00A65BE2" w:rsidRPr="004B41E9" w:rsidRDefault="00A65BE2" w:rsidP="001B41BD">
            <w:r w:rsidRPr="004B41E9">
              <w:t>12.8</w:t>
            </w:r>
          </w:p>
        </w:tc>
      </w:tr>
      <w:tr w:rsidR="00A65BE2" w14:paraId="746E5B23" w14:textId="77777777" w:rsidTr="001B41BD">
        <w:tc>
          <w:tcPr>
            <w:tcW w:w="2337" w:type="dxa"/>
            <w:vAlign w:val="bottom"/>
          </w:tcPr>
          <w:p w14:paraId="2756928B" w14:textId="77777777" w:rsidR="00A65BE2" w:rsidRPr="004B41E9" w:rsidRDefault="00A65BE2" w:rsidP="001B41BD">
            <w:r w:rsidRPr="004B41E9">
              <w:t>2017</w:t>
            </w:r>
          </w:p>
        </w:tc>
        <w:tc>
          <w:tcPr>
            <w:tcW w:w="2337" w:type="dxa"/>
            <w:vAlign w:val="bottom"/>
          </w:tcPr>
          <w:p w14:paraId="3F40B497" w14:textId="77777777" w:rsidR="00A65BE2" w:rsidRPr="004B41E9" w:rsidRDefault="00A65BE2" w:rsidP="001B41BD">
            <w:r w:rsidRPr="004B41E9">
              <w:t>16.5</w:t>
            </w:r>
          </w:p>
        </w:tc>
        <w:tc>
          <w:tcPr>
            <w:tcW w:w="2338" w:type="dxa"/>
            <w:vAlign w:val="bottom"/>
          </w:tcPr>
          <w:p w14:paraId="305CD362" w14:textId="77777777" w:rsidR="00A65BE2" w:rsidRPr="004B41E9" w:rsidRDefault="00A65BE2" w:rsidP="001B41BD">
            <w:r w:rsidRPr="004B41E9">
              <w:t>16.3</w:t>
            </w:r>
          </w:p>
        </w:tc>
        <w:tc>
          <w:tcPr>
            <w:tcW w:w="2338" w:type="dxa"/>
            <w:vAlign w:val="bottom"/>
          </w:tcPr>
          <w:p w14:paraId="742617DC" w14:textId="77777777" w:rsidR="00A65BE2" w:rsidRPr="004B41E9" w:rsidRDefault="00A65BE2" w:rsidP="001B41BD">
            <w:r w:rsidRPr="004B41E9">
              <w:t>12.8</w:t>
            </w:r>
          </w:p>
        </w:tc>
      </w:tr>
      <w:tr w:rsidR="00A65BE2" w14:paraId="1254B0D3" w14:textId="77777777" w:rsidTr="001B41BD">
        <w:tc>
          <w:tcPr>
            <w:tcW w:w="2337" w:type="dxa"/>
            <w:vAlign w:val="bottom"/>
          </w:tcPr>
          <w:p w14:paraId="48AB5675" w14:textId="77777777" w:rsidR="00A65BE2" w:rsidRPr="004B41E9" w:rsidRDefault="00A65BE2" w:rsidP="001B41BD">
            <w:r w:rsidRPr="004B41E9">
              <w:t>2018</w:t>
            </w:r>
          </w:p>
        </w:tc>
        <w:tc>
          <w:tcPr>
            <w:tcW w:w="2337" w:type="dxa"/>
            <w:vAlign w:val="bottom"/>
          </w:tcPr>
          <w:p w14:paraId="7020B35F" w14:textId="77777777" w:rsidR="00A65BE2" w:rsidRPr="004B41E9" w:rsidRDefault="00A65BE2" w:rsidP="001B41BD">
            <w:r w:rsidRPr="004B41E9">
              <w:t>16.8</w:t>
            </w:r>
          </w:p>
        </w:tc>
        <w:tc>
          <w:tcPr>
            <w:tcW w:w="2338" w:type="dxa"/>
            <w:vAlign w:val="bottom"/>
          </w:tcPr>
          <w:p w14:paraId="318E40CB" w14:textId="77777777" w:rsidR="00A65BE2" w:rsidRPr="004B41E9" w:rsidRDefault="00A65BE2" w:rsidP="001B41BD">
            <w:r w:rsidRPr="004B41E9">
              <w:t>15.4</w:t>
            </w:r>
          </w:p>
        </w:tc>
        <w:tc>
          <w:tcPr>
            <w:tcW w:w="2338" w:type="dxa"/>
            <w:vAlign w:val="bottom"/>
          </w:tcPr>
          <w:p w14:paraId="39587A32" w14:textId="77777777" w:rsidR="00A65BE2" w:rsidRPr="004B41E9" w:rsidRDefault="00A65BE2" w:rsidP="001B41BD">
            <w:r w:rsidRPr="004B41E9">
              <w:t>12.8</w:t>
            </w:r>
          </w:p>
        </w:tc>
      </w:tr>
      <w:tr w:rsidR="00A65BE2" w14:paraId="0C9DDC6C" w14:textId="77777777" w:rsidTr="001B41BD">
        <w:tc>
          <w:tcPr>
            <w:tcW w:w="2337" w:type="dxa"/>
            <w:vAlign w:val="bottom"/>
          </w:tcPr>
          <w:p w14:paraId="56104E44" w14:textId="77777777" w:rsidR="00A65BE2" w:rsidRPr="004B41E9" w:rsidRDefault="00A65BE2" w:rsidP="001B41BD">
            <w:r w:rsidRPr="004B41E9">
              <w:t>2019</w:t>
            </w:r>
          </w:p>
        </w:tc>
        <w:tc>
          <w:tcPr>
            <w:tcW w:w="2337" w:type="dxa"/>
            <w:vAlign w:val="bottom"/>
          </w:tcPr>
          <w:p w14:paraId="4A9768B6" w14:textId="77777777" w:rsidR="00A65BE2" w:rsidRPr="004B41E9" w:rsidRDefault="00A65BE2" w:rsidP="001B41BD">
            <w:r w:rsidRPr="004B41E9">
              <w:t>17.7</w:t>
            </w:r>
          </w:p>
        </w:tc>
        <w:tc>
          <w:tcPr>
            <w:tcW w:w="2338" w:type="dxa"/>
            <w:vAlign w:val="bottom"/>
          </w:tcPr>
          <w:p w14:paraId="2D98D813" w14:textId="77777777" w:rsidR="00A65BE2" w:rsidRPr="004B41E9" w:rsidRDefault="00A65BE2" w:rsidP="001B41BD">
            <w:r w:rsidRPr="004B41E9">
              <w:t>16.2</w:t>
            </w:r>
          </w:p>
        </w:tc>
        <w:tc>
          <w:tcPr>
            <w:tcW w:w="2338" w:type="dxa"/>
            <w:vAlign w:val="bottom"/>
          </w:tcPr>
          <w:p w14:paraId="5BA60F17" w14:textId="77777777" w:rsidR="00A65BE2" w:rsidRPr="004B41E9" w:rsidRDefault="00A65BE2" w:rsidP="001B41BD">
            <w:r w:rsidRPr="004B41E9">
              <w:t>12.8</w:t>
            </w:r>
          </w:p>
        </w:tc>
      </w:tr>
      <w:tr w:rsidR="00A65BE2" w14:paraId="55949BCE" w14:textId="77777777" w:rsidTr="001B41BD">
        <w:tc>
          <w:tcPr>
            <w:tcW w:w="2337" w:type="dxa"/>
            <w:vAlign w:val="bottom"/>
          </w:tcPr>
          <w:p w14:paraId="1F1DC067" w14:textId="77777777" w:rsidR="00A65BE2" w:rsidRPr="004B41E9" w:rsidRDefault="00A65BE2" w:rsidP="001B41BD">
            <w:r w:rsidRPr="004B41E9">
              <w:t>2020</w:t>
            </w:r>
          </w:p>
        </w:tc>
        <w:tc>
          <w:tcPr>
            <w:tcW w:w="2337" w:type="dxa"/>
            <w:vAlign w:val="bottom"/>
          </w:tcPr>
          <w:p w14:paraId="536AE67D" w14:textId="77777777" w:rsidR="00A65BE2" w:rsidRPr="004B41E9" w:rsidRDefault="00A65BE2" w:rsidP="001B41BD">
            <w:r w:rsidRPr="004B41E9">
              <w:t>16.3</w:t>
            </w:r>
          </w:p>
        </w:tc>
        <w:tc>
          <w:tcPr>
            <w:tcW w:w="2338" w:type="dxa"/>
            <w:vAlign w:val="bottom"/>
          </w:tcPr>
          <w:p w14:paraId="471936A8" w14:textId="77777777" w:rsidR="00A65BE2" w:rsidRPr="004B41E9" w:rsidRDefault="00A65BE2" w:rsidP="001B41BD">
            <w:r w:rsidRPr="004B41E9">
              <w:t>16.2</w:t>
            </w:r>
          </w:p>
        </w:tc>
        <w:tc>
          <w:tcPr>
            <w:tcW w:w="2338" w:type="dxa"/>
            <w:vAlign w:val="bottom"/>
          </w:tcPr>
          <w:p w14:paraId="2D529E6E" w14:textId="77777777" w:rsidR="00A65BE2" w:rsidRPr="004B41E9" w:rsidRDefault="00A65BE2" w:rsidP="001B41BD">
            <w:r w:rsidRPr="004B41E9">
              <w:t>12.8</w:t>
            </w:r>
          </w:p>
        </w:tc>
      </w:tr>
      <w:tr w:rsidR="00A65BE2" w14:paraId="41BCC4BD" w14:textId="77777777" w:rsidTr="001B41BD">
        <w:tc>
          <w:tcPr>
            <w:tcW w:w="2337" w:type="dxa"/>
            <w:vAlign w:val="bottom"/>
          </w:tcPr>
          <w:p w14:paraId="412A105E" w14:textId="77777777" w:rsidR="00A65BE2" w:rsidRPr="004B41E9" w:rsidRDefault="00A65BE2" w:rsidP="001B41BD">
            <w:r w:rsidRPr="004B41E9">
              <w:t>2021</w:t>
            </w:r>
          </w:p>
        </w:tc>
        <w:tc>
          <w:tcPr>
            <w:tcW w:w="2337" w:type="dxa"/>
            <w:vAlign w:val="bottom"/>
          </w:tcPr>
          <w:p w14:paraId="05C2BA86" w14:textId="77777777" w:rsidR="00A65BE2" w:rsidRPr="004B41E9" w:rsidRDefault="00A65BE2" w:rsidP="001B41BD">
            <w:r w:rsidRPr="004B41E9">
              <w:t>17.8</w:t>
            </w:r>
          </w:p>
        </w:tc>
        <w:tc>
          <w:tcPr>
            <w:tcW w:w="2338" w:type="dxa"/>
            <w:vAlign w:val="bottom"/>
          </w:tcPr>
          <w:p w14:paraId="1A7A4807" w14:textId="77777777" w:rsidR="00A65BE2" w:rsidRPr="004B41E9" w:rsidRDefault="00A65BE2" w:rsidP="001B41BD">
            <w:r w:rsidRPr="004B41E9">
              <w:t>15.0</w:t>
            </w:r>
          </w:p>
        </w:tc>
        <w:tc>
          <w:tcPr>
            <w:tcW w:w="2338" w:type="dxa"/>
            <w:vAlign w:val="bottom"/>
          </w:tcPr>
          <w:p w14:paraId="6029E180" w14:textId="77777777" w:rsidR="00A65BE2" w:rsidRPr="004B41E9" w:rsidRDefault="00A65BE2" w:rsidP="001B41BD">
            <w:r w:rsidRPr="004B41E9">
              <w:t>12.8</w:t>
            </w:r>
          </w:p>
        </w:tc>
      </w:tr>
    </w:tbl>
    <w:p w14:paraId="01D46D51" w14:textId="77777777" w:rsidR="00A65BE2" w:rsidRPr="004B41E9" w:rsidRDefault="00A65BE2" w:rsidP="00A65BE2">
      <w:r w:rsidRPr="004B41E9">
        <w:t xml:space="preserve">Source: SC DHEC Vital Statistics. </w:t>
      </w:r>
    </w:p>
    <w:p w14:paraId="4D726A0E" w14:textId="77777777" w:rsidR="00A65BE2" w:rsidRPr="004B41E9" w:rsidRDefault="00A65BE2" w:rsidP="00A65BE2">
      <w:r w:rsidRPr="004B41E9">
        <w:t>Note: Age-adjusted; population for year 2021 based on single-race estimates and for years prior based on bridge-race estimates.</w:t>
      </w:r>
    </w:p>
    <w:p w14:paraId="48F013CF" w14:textId="77777777" w:rsidR="00A65BE2" w:rsidRDefault="00A65BE2" w:rsidP="00A65BE2">
      <w:pPr>
        <w:pStyle w:val="Heading4"/>
      </w:pPr>
      <w:bookmarkStart w:id="1015" w:name="_Toc154576588"/>
    </w:p>
    <w:p w14:paraId="395B8CAE" w14:textId="17CE945E" w:rsidR="00A65BE2" w:rsidRDefault="00A65BE2" w:rsidP="00A65BE2">
      <w:pPr>
        <w:pStyle w:val="Heading4"/>
      </w:pPr>
      <w:bookmarkStart w:id="1016" w:name="_Toc162267687"/>
      <w:r w:rsidRPr="000A3CC0">
        <w:t>Figure 10.</w:t>
      </w:r>
      <w:r>
        <w:t>25:</w:t>
      </w:r>
      <w:r w:rsidRPr="000A3CC0">
        <w:t xml:space="preserve"> </w:t>
      </w:r>
      <w:bookmarkEnd w:id="1015"/>
      <w:r w:rsidR="00011D79" w:rsidRPr="00011D79">
        <w:t>Suicides by Firearm, by Age Group</w:t>
      </w:r>
      <w:r w:rsidR="00011D79">
        <w:t>.</w:t>
      </w:r>
      <w:bookmarkEnd w:id="1016"/>
    </w:p>
    <w:tbl>
      <w:tblPr>
        <w:tblStyle w:val="TableGrid"/>
        <w:tblW w:w="0" w:type="auto"/>
        <w:tblLook w:val="04A0" w:firstRow="1" w:lastRow="0" w:firstColumn="1" w:lastColumn="0" w:noHBand="0" w:noVBand="1"/>
      </w:tblPr>
      <w:tblGrid>
        <w:gridCol w:w="4675"/>
        <w:gridCol w:w="4675"/>
      </w:tblGrid>
      <w:tr w:rsidR="00A65BE2" w14:paraId="3796F8F1" w14:textId="77777777" w:rsidTr="001B41BD">
        <w:tc>
          <w:tcPr>
            <w:tcW w:w="4675" w:type="dxa"/>
            <w:vAlign w:val="bottom"/>
          </w:tcPr>
          <w:p w14:paraId="0830C7C8" w14:textId="77777777" w:rsidR="00A65BE2" w:rsidRPr="004B41E9" w:rsidRDefault="00A65BE2" w:rsidP="001B41BD">
            <w:r w:rsidRPr="004B41E9">
              <w:t>Age Group</w:t>
            </w:r>
          </w:p>
        </w:tc>
        <w:tc>
          <w:tcPr>
            <w:tcW w:w="4675" w:type="dxa"/>
            <w:vAlign w:val="bottom"/>
          </w:tcPr>
          <w:p w14:paraId="526CEB98" w14:textId="77777777" w:rsidR="00A65BE2" w:rsidRPr="004B41E9" w:rsidRDefault="00A65BE2" w:rsidP="001B41BD">
            <w:r w:rsidRPr="004B41E9">
              <w:t>Percent</w:t>
            </w:r>
          </w:p>
        </w:tc>
      </w:tr>
      <w:tr w:rsidR="00A65BE2" w14:paraId="6B3730A1" w14:textId="77777777" w:rsidTr="001B41BD">
        <w:tc>
          <w:tcPr>
            <w:tcW w:w="4675" w:type="dxa"/>
            <w:vAlign w:val="bottom"/>
          </w:tcPr>
          <w:p w14:paraId="35D8FD68" w14:textId="77777777" w:rsidR="00A65BE2" w:rsidRPr="004B41E9" w:rsidRDefault="00A65BE2" w:rsidP="001B41BD">
            <w:r w:rsidRPr="004B41E9">
              <w:t>10 - 17</w:t>
            </w:r>
          </w:p>
        </w:tc>
        <w:tc>
          <w:tcPr>
            <w:tcW w:w="4675" w:type="dxa"/>
            <w:vAlign w:val="bottom"/>
          </w:tcPr>
          <w:p w14:paraId="607E6009" w14:textId="77777777" w:rsidR="00A65BE2" w:rsidRPr="004B41E9" w:rsidRDefault="00A65BE2" w:rsidP="001B41BD">
            <w:r w:rsidRPr="004B41E9">
              <w:t>52.00%</w:t>
            </w:r>
          </w:p>
        </w:tc>
      </w:tr>
      <w:tr w:rsidR="00A65BE2" w14:paraId="18B5EB0A" w14:textId="77777777" w:rsidTr="001B41BD">
        <w:tc>
          <w:tcPr>
            <w:tcW w:w="4675" w:type="dxa"/>
            <w:vAlign w:val="bottom"/>
          </w:tcPr>
          <w:p w14:paraId="3F5177E4" w14:textId="77777777" w:rsidR="00A65BE2" w:rsidRPr="004B41E9" w:rsidRDefault="00A65BE2" w:rsidP="001B41BD">
            <w:r w:rsidRPr="004B41E9">
              <w:t>18 - 34</w:t>
            </w:r>
          </w:p>
        </w:tc>
        <w:tc>
          <w:tcPr>
            <w:tcW w:w="4675" w:type="dxa"/>
            <w:vAlign w:val="bottom"/>
          </w:tcPr>
          <w:p w14:paraId="337132C8" w14:textId="77777777" w:rsidR="00A65BE2" w:rsidRPr="004B41E9" w:rsidRDefault="00A65BE2" w:rsidP="001B41BD">
            <w:r w:rsidRPr="004B41E9">
              <w:t>59.80%</w:t>
            </w:r>
          </w:p>
        </w:tc>
      </w:tr>
      <w:tr w:rsidR="00A65BE2" w14:paraId="0F3662D7" w14:textId="77777777" w:rsidTr="001B41BD">
        <w:tc>
          <w:tcPr>
            <w:tcW w:w="4675" w:type="dxa"/>
            <w:vAlign w:val="bottom"/>
          </w:tcPr>
          <w:p w14:paraId="1606A3F2" w14:textId="77777777" w:rsidR="00A65BE2" w:rsidRPr="004B41E9" w:rsidRDefault="00A65BE2" w:rsidP="001B41BD">
            <w:r w:rsidRPr="004B41E9">
              <w:t>35 - 64</w:t>
            </w:r>
          </w:p>
        </w:tc>
        <w:tc>
          <w:tcPr>
            <w:tcW w:w="4675" w:type="dxa"/>
            <w:vAlign w:val="bottom"/>
          </w:tcPr>
          <w:p w14:paraId="17CC2F11" w14:textId="77777777" w:rsidR="00A65BE2" w:rsidRPr="004B41E9" w:rsidRDefault="00A65BE2" w:rsidP="001B41BD">
            <w:r w:rsidRPr="004B41E9">
              <w:t>60.50%</w:t>
            </w:r>
          </w:p>
        </w:tc>
      </w:tr>
      <w:tr w:rsidR="00A65BE2" w14:paraId="4ED7FCA9" w14:textId="77777777" w:rsidTr="001B41BD">
        <w:tc>
          <w:tcPr>
            <w:tcW w:w="4675" w:type="dxa"/>
            <w:vAlign w:val="bottom"/>
          </w:tcPr>
          <w:p w14:paraId="347A8668" w14:textId="77777777" w:rsidR="00A65BE2" w:rsidRPr="004B41E9" w:rsidRDefault="00A65BE2" w:rsidP="001B41BD">
            <w:r w:rsidRPr="004B41E9">
              <w:t>65+</w:t>
            </w:r>
          </w:p>
        </w:tc>
        <w:tc>
          <w:tcPr>
            <w:tcW w:w="4675" w:type="dxa"/>
            <w:vAlign w:val="bottom"/>
          </w:tcPr>
          <w:p w14:paraId="5B831560" w14:textId="77777777" w:rsidR="00A65BE2" w:rsidRPr="004B41E9" w:rsidRDefault="00A65BE2" w:rsidP="001B41BD">
            <w:r w:rsidRPr="004B41E9">
              <w:t>81.50%</w:t>
            </w:r>
          </w:p>
        </w:tc>
      </w:tr>
    </w:tbl>
    <w:p w14:paraId="4F04B1BD" w14:textId="77777777" w:rsidR="00A65BE2" w:rsidRPr="004B41E9" w:rsidRDefault="00A65BE2" w:rsidP="00A65BE2">
      <w:r w:rsidRPr="004B41E9">
        <w:t xml:space="preserve">Source: SC DHEC Vital Statistics, 2017- 2021. </w:t>
      </w:r>
    </w:p>
    <w:p w14:paraId="02239168" w14:textId="77777777" w:rsidR="00A65BE2" w:rsidRPr="004B41E9" w:rsidRDefault="00A65BE2" w:rsidP="00A65BE2">
      <w:r w:rsidRPr="004B41E9">
        <w:t>Note: Population for year 2021 based on single-race estimates and for years prior based on bridge-race estimates.</w:t>
      </w:r>
    </w:p>
    <w:p w14:paraId="6E1F7015" w14:textId="77777777" w:rsidR="00A65BE2" w:rsidRDefault="00A65BE2" w:rsidP="00A65BE2"/>
    <w:p w14:paraId="0B9611FB" w14:textId="77777777" w:rsidR="00A65BE2" w:rsidRPr="00A65BE2" w:rsidRDefault="00A65BE2" w:rsidP="00A65BE2">
      <w:pPr>
        <w:pStyle w:val="Heading4"/>
      </w:pPr>
      <w:bookmarkStart w:id="1017" w:name="_Toc162267688"/>
      <w:r w:rsidRPr="00A65BE2">
        <w:t>Data Interpretations:</w:t>
      </w:r>
      <w:bookmarkEnd w:id="1017"/>
      <w:r w:rsidRPr="00A65BE2">
        <w:t xml:space="preserve"> </w:t>
      </w:r>
    </w:p>
    <w:p w14:paraId="787FE468" w14:textId="0D69E483" w:rsidR="00A65BE2" w:rsidRPr="00A65BE2" w:rsidRDefault="00A65BE2" w:rsidP="00A65BE2">
      <w:r w:rsidRPr="00A65BE2">
        <w:t>SC adults 65 and older have higher suicide rates than the general SC adult population. The rate of suicide in adults aged 65 and older has increased from 17.4 to 17.8 deaths per 100,000 population from 2012 to 2021, while the overall adult rate has increased from 13.5 to 15.0 deaths per 100,000 population (</w:t>
      </w:r>
      <w:r w:rsidRPr="00A65BE2">
        <w:rPr>
          <w:b/>
          <w:bCs/>
        </w:rPr>
        <w:t>Figure 10.24</w:t>
      </w:r>
      <w:r w:rsidRPr="00A65BE2">
        <w:t>). As of 2021, the SC suicide rate for adults 65 and older has not reached the Healthy People 2030 goal of 12.8 deaths per 100,000 population (</w:t>
      </w:r>
      <w:r w:rsidRPr="00A65BE2">
        <w:rPr>
          <w:b/>
          <w:bCs/>
        </w:rPr>
        <w:t>Figure 10.24</w:t>
      </w:r>
      <w:r w:rsidRPr="00A65BE2">
        <w:t xml:space="preserve">). Among adults 65 and older, non-Hispanic White males 85 and older have the </w:t>
      </w:r>
      <w:r w:rsidRPr="00A65BE2">
        <w:lastRenderedPageBreak/>
        <w:t>highest rate of suicide. SC adults 65 and older are more likely to use a firearm when attempting suicide than other age groups. Among SC adults aged 65 and older who died by suicide from 2017 to 2021, 81.5% were by firearm, compared to 60.5% of adults 35-64, 59.8% of adults 18-34, and 52.0% of adolescents 10-17 (</w:t>
      </w:r>
      <w:r w:rsidRPr="00A65BE2">
        <w:rPr>
          <w:b/>
          <w:bCs/>
        </w:rPr>
        <w:t>Figure 10.25</w:t>
      </w:r>
      <w:r w:rsidRPr="00A65BE2">
        <w:t xml:space="preserve">). SCVDRS data from 2016-2020 shows that almost half of those 65 and older who died by suicide were known to have served in the military, compared to only 13.0% of suicide decedents aged 18-64. </w:t>
      </w:r>
    </w:p>
    <w:p w14:paraId="66F99273" w14:textId="77777777" w:rsidR="00A65BE2" w:rsidRDefault="00A65BE2" w:rsidP="00A65BE2"/>
    <w:p w14:paraId="218185F1" w14:textId="77777777" w:rsidR="00A65BE2" w:rsidRPr="00882C15" w:rsidRDefault="00A65BE2" w:rsidP="00A65BE2">
      <w:pPr>
        <w:pStyle w:val="Heading5"/>
      </w:pPr>
      <w:r w:rsidRPr="00882C15">
        <w:t>Key Takeaways:</w:t>
      </w:r>
    </w:p>
    <w:p w14:paraId="4BAEF2C8" w14:textId="77777777" w:rsidR="00A65BE2" w:rsidRPr="00A65BE2" w:rsidRDefault="00A65BE2" w:rsidP="00926EB3">
      <w:pPr>
        <w:pStyle w:val="ListParagraph"/>
        <w:numPr>
          <w:ilvl w:val="0"/>
          <w:numId w:val="200"/>
        </w:numPr>
      </w:pPr>
      <w:r w:rsidRPr="00A65BE2">
        <w:t>Among SC adults 65 and older, non-Hispanic White males 85 and older have the highest rate of suicide.</w:t>
      </w:r>
    </w:p>
    <w:p w14:paraId="6EAE40FB" w14:textId="77777777" w:rsidR="00A65BE2" w:rsidRDefault="00A65BE2" w:rsidP="00A65BE2"/>
    <w:p w14:paraId="581F6604" w14:textId="74EE8506" w:rsidR="00A65BE2" w:rsidRPr="00474B85" w:rsidRDefault="00A65BE2" w:rsidP="00A65BE2">
      <w:pPr>
        <w:pStyle w:val="Heading4"/>
        <w:rPr>
          <w:rFonts w:asciiTheme="minorHAnsi" w:hAnsiTheme="minorHAnsi" w:cstheme="minorHAnsi"/>
          <w:color w:val="000000" w:themeColor="text1"/>
        </w:rPr>
      </w:pPr>
      <w:bookmarkStart w:id="1018" w:name="_Toc162267689"/>
      <w:r w:rsidRPr="00474B85">
        <w:rPr>
          <w:rFonts w:asciiTheme="minorHAnsi" w:hAnsiTheme="minorHAnsi" w:cstheme="minorHAnsi"/>
          <w:color w:val="000000" w:themeColor="text1"/>
        </w:rPr>
        <w:t xml:space="preserve">References </w:t>
      </w:r>
      <w:r>
        <w:rPr>
          <w:rFonts w:asciiTheme="minorHAnsi" w:hAnsiTheme="minorHAnsi" w:cstheme="minorHAnsi"/>
          <w:color w:val="000000" w:themeColor="text1"/>
        </w:rPr>
        <w:t>10.12</w:t>
      </w:r>
      <w:bookmarkEnd w:id="1018"/>
    </w:p>
    <w:p w14:paraId="47999752" w14:textId="77777777" w:rsidR="00A65BE2" w:rsidRDefault="00A65BE2" w:rsidP="00A65BE2">
      <w:r w:rsidRPr="00474B85">
        <w:t>Statistics in the preceding section were referenced from the following reports:</w:t>
      </w:r>
    </w:p>
    <w:p w14:paraId="76BDD3CB" w14:textId="3654E0ED" w:rsidR="00C75DB8" w:rsidRDefault="00C75DB8" w:rsidP="00C75DB8">
      <w:pPr>
        <w:ind w:left="360"/>
      </w:pPr>
      <w:r>
        <w:t>14.</w:t>
      </w:r>
      <w:hyperlink r:id="rId449" w:history="1">
        <w:r w:rsidRPr="00D71D29">
          <w:rPr>
            <w:rStyle w:val="Hyperlink"/>
          </w:rPr>
          <w:t>“</w:t>
        </w:r>
        <w:r w:rsidR="00D71D29" w:rsidRPr="00D71D29">
          <w:rPr>
            <w:rStyle w:val="Hyperlink"/>
          </w:rPr>
          <w:t>National Vital Statistics System, Mortality 2018-2021</w:t>
        </w:r>
        <w:r w:rsidRPr="00D71D29">
          <w:rPr>
            <w:rStyle w:val="Hyperlink"/>
          </w:rPr>
          <w:t>” by</w:t>
        </w:r>
        <w:r w:rsidR="00D71D29" w:rsidRPr="00D71D29">
          <w:rPr>
            <w:rStyle w:val="Hyperlink"/>
          </w:rPr>
          <w:t xml:space="preserve"> on Centers for Disease Control and Prevention, National Center for Health Statistics</w:t>
        </w:r>
        <w:r w:rsidRPr="00D71D29">
          <w:rPr>
            <w:rStyle w:val="Hyperlink"/>
          </w:rPr>
          <w:t xml:space="preserve"> via</w:t>
        </w:r>
        <w:r w:rsidR="00D71D29" w:rsidRPr="00D71D29">
          <w:rPr>
            <w:rStyle w:val="Hyperlink"/>
          </w:rPr>
          <w:t xml:space="preserve"> CDC WONDER Online Database, released in 2021.</w:t>
        </w:r>
      </w:hyperlink>
      <w:r w:rsidR="00D71D29" w:rsidRPr="00D71D29">
        <w:t xml:space="preserve"> </w:t>
      </w:r>
    </w:p>
    <w:p w14:paraId="22A4BFE6" w14:textId="4F5B83BA" w:rsidR="00C75DB8" w:rsidRPr="00C75DB8" w:rsidRDefault="00000000" w:rsidP="00926EB3">
      <w:pPr>
        <w:pStyle w:val="ListParagraph"/>
        <w:numPr>
          <w:ilvl w:val="0"/>
          <w:numId w:val="199"/>
        </w:numPr>
      </w:pPr>
      <w:hyperlink r:id="rId450" w:history="1">
        <w:r w:rsidR="00C75DB8" w:rsidRPr="00C75DB8">
          <w:rPr>
            <w:rStyle w:val="Hyperlink"/>
          </w:rPr>
          <w:t>“Suicide and Older Adults: what you should know” by The National Council on Aging via ncoa.org, 2021. Retrieved December 21, 2022.</w:t>
        </w:r>
      </w:hyperlink>
      <w:r w:rsidR="00C75DB8" w:rsidRPr="00C75DB8">
        <w:t xml:space="preserve"> </w:t>
      </w:r>
    </w:p>
    <w:p w14:paraId="3DD5C06F" w14:textId="77777777" w:rsidR="00A65BE2" w:rsidRDefault="00A65BE2" w:rsidP="00A65BE2"/>
    <w:p w14:paraId="2FA93C42" w14:textId="77777777" w:rsidR="00A65BE2" w:rsidRPr="00A65BE2" w:rsidRDefault="00A65BE2" w:rsidP="00A65BE2">
      <w:pPr>
        <w:pStyle w:val="Heading3"/>
      </w:pPr>
      <w:bookmarkStart w:id="1019" w:name="_Toc162267690"/>
      <w:r w:rsidRPr="00A65BE2">
        <w:t>Elder Abuse</w:t>
      </w:r>
      <w:bookmarkEnd w:id="1019"/>
    </w:p>
    <w:p w14:paraId="2BF74907" w14:textId="6B1E8C59" w:rsidR="00A65BE2" w:rsidRDefault="00A65BE2" w:rsidP="00A65BE2">
      <w:pPr>
        <w:rPr>
          <w:b/>
          <w:bCs/>
        </w:rPr>
      </w:pPr>
      <w:r w:rsidRPr="00A65BE2">
        <w:t>Each year, hundreds of thousands of adults over the age of 60 are abused, neglected, or financially exploited. Elder abuse can happen in many places, including in their home, a family member’s house, an assisted living facility, or a nursing home. The mistreatment of older adults can be by family members, strangers, healthcare providers, caregivers, or friends. Abuse, including neglect and exploitation, is experienced by about 1 in 10 people aged 60 and older who live at home.</w:t>
      </w:r>
    </w:p>
    <w:p w14:paraId="7CD0BDC1" w14:textId="77777777" w:rsidR="00A65BE2" w:rsidRPr="00A65BE2" w:rsidRDefault="00A65BE2" w:rsidP="00A65BE2"/>
    <w:p w14:paraId="211C6DDD" w14:textId="568E9A43" w:rsidR="00A65BE2" w:rsidRDefault="00A65BE2" w:rsidP="00A65BE2">
      <w:pPr>
        <w:rPr>
          <w:b/>
          <w:bCs/>
        </w:rPr>
      </w:pPr>
      <w:r w:rsidRPr="00A65BE2">
        <w:t>Data on elder abuse is often underestimated because the number of nonfatal injuries is limited to older adults who are treated in the ED. Many cases are not reported because older adults are afraid or unable to tell others about the violence. Elder abuse can have physical and emotional effects on older adults. Victims can become fearful or anxious and have problems trusting others, while some suffer physical injuries that can be serious and cause lasting disabilities.</w:t>
      </w:r>
    </w:p>
    <w:p w14:paraId="19264F6B" w14:textId="77777777" w:rsidR="00A65BE2" w:rsidRDefault="00A65BE2" w:rsidP="00A65BE2">
      <w:pPr>
        <w:rPr>
          <w:b/>
          <w:bCs/>
        </w:rPr>
      </w:pPr>
    </w:p>
    <w:p w14:paraId="110269E1" w14:textId="77777777" w:rsidR="00A65BE2" w:rsidRDefault="00A65BE2" w:rsidP="00A65BE2">
      <w:pPr>
        <w:pStyle w:val="Heading4"/>
      </w:pPr>
      <w:bookmarkStart w:id="1020" w:name="_Toc154576589"/>
      <w:bookmarkStart w:id="1021" w:name="_Toc162267691"/>
      <w:r w:rsidRPr="000A3CC0">
        <w:lastRenderedPageBreak/>
        <w:t>Figure 10.</w:t>
      </w:r>
      <w:r>
        <w:t>26:</w:t>
      </w:r>
      <w:r w:rsidRPr="000A3CC0">
        <w:t xml:space="preserve"> </w:t>
      </w:r>
      <w:r w:rsidRPr="00405FE7">
        <w:t>Adult Protective Services Investigations Among Adults 65+, by Type</w:t>
      </w:r>
      <w:r>
        <w:t>.</w:t>
      </w:r>
      <w:bookmarkEnd w:id="1020"/>
      <w:bookmarkEnd w:id="1021"/>
    </w:p>
    <w:tbl>
      <w:tblPr>
        <w:tblStyle w:val="TableGrid"/>
        <w:tblW w:w="0" w:type="auto"/>
        <w:tblLook w:val="04A0" w:firstRow="1" w:lastRow="0" w:firstColumn="1" w:lastColumn="0" w:noHBand="0" w:noVBand="1"/>
      </w:tblPr>
      <w:tblGrid>
        <w:gridCol w:w="3116"/>
        <w:gridCol w:w="3117"/>
        <w:gridCol w:w="3117"/>
      </w:tblGrid>
      <w:tr w:rsidR="00A65BE2" w14:paraId="4840C8B1" w14:textId="77777777" w:rsidTr="001B41BD">
        <w:tc>
          <w:tcPr>
            <w:tcW w:w="3116" w:type="dxa"/>
            <w:vAlign w:val="bottom"/>
          </w:tcPr>
          <w:p w14:paraId="24A485E0" w14:textId="77777777" w:rsidR="00A65BE2" w:rsidRPr="00405FE7" w:rsidRDefault="00A65BE2" w:rsidP="001B41BD">
            <w:r w:rsidRPr="00405FE7">
              <w:t>Type</w:t>
            </w:r>
          </w:p>
        </w:tc>
        <w:tc>
          <w:tcPr>
            <w:tcW w:w="3117" w:type="dxa"/>
            <w:vAlign w:val="bottom"/>
          </w:tcPr>
          <w:p w14:paraId="56B0B180" w14:textId="77777777" w:rsidR="00A65BE2" w:rsidRPr="00405FE7" w:rsidRDefault="00A65BE2" w:rsidP="001B41BD">
            <w:r w:rsidRPr="00405FE7">
              <w:t>Actual</w:t>
            </w:r>
          </w:p>
        </w:tc>
        <w:tc>
          <w:tcPr>
            <w:tcW w:w="3117" w:type="dxa"/>
            <w:vAlign w:val="bottom"/>
          </w:tcPr>
          <w:p w14:paraId="53964E25" w14:textId="77777777" w:rsidR="00A65BE2" w:rsidRPr="00405FE7" w:rsidRDefault="00A65BE2" w:rsidP="001B41BD">
            <w:r w:rsidRPr="00405FE7">
              <w:t>Potential</w:t>
            </w:r>
          </w:p>
        </w:tc>
      </w:tr>
      <w:tr w:rsidR="00A65BE2" w14:paraId="17FDC388" w14:textId="77777777" w:rsidTr="001B41BD">
        <w:tc>
          <w:tcPr>
            <w:tcW w:w="3116" w:type="dxa"/>
            <w:vAlign w:val="bottom"/>
          </w:tcPr>
          <w:p w14:paraId="786013AD" w14:textId="77777777" w:rsidR="00A65BE2" w:rsidRPr="00405FE7" w:rsidRDefault="00A65BE2" w:rsidP="001B41BD">
            <w:r w:rsidRPr="00405FE7">
              <w:t>Abuse</w:t>
            </w:r>
          </w:p>
        </w:tc>
        <w:tc>
          <w:tcPr>
            <w:tcW w:w="3117" w:type="dxa"/>
            <w:vAlign w:val="bottom"/>
          </w:tcPr>
          <w:p w14:paraId="18DFCAD6" w14:textId="77777777" w:rsidR="00A65BE2" w:rsidRPr="00405FE7" w:rsidRDefault="00A65BE2" w:rsidP="001B41BD">
            <w:r w:rsidRPr="00405FE7">
              <w:t>2.8%</w:t>
            </w:r>
          </w:p>
        </w:tc>
        <w:tc>
          <w:tcPr>
            <w:tcW w:w="3117" w:type="dxa"/>
            <w:vAlign w:val="bottom"/>
          </w:tcPr>
          <w:p w14:paraId="5C75384D" w14:textId="77777777" w:rsidR="00A65BE2" w:rsidRPr="00405FE7" w:rsidRDefault="00A65BE2" w:rsidP="001B41BD">
            <w:r w:rsidRPr="00405FE7">
              <w:t>2.4%</w:t>
            </w:r>
          </w:p>
        </w:tc>
      </w:tr>
      <w:tr w:rsidR="00A65BE2" w14:paraId="59C1FA84" w14:textId="77777777" w:rsidTr="001B41BD">
        <w:tc>
          <w:tcPr>
            <w:tcW w:w="3116" w:type="dxa"/>
            <w:vAlign w:val="bottom"/>
          </w:tcPr>
          <w:p w14:paraId="7D42FEE9" w14:textId="77777777" w:rsidR="00A65BE2" w:rsidRPr="00405FE7" w:rsidRDefault="00A65BE2" w:rsidP="001B41BD">
            <w:r w:rsidRPr="00405FE7">
              <w:t>Exploitation</w:t>
            </w:r>
          </w:p>
        </w:tc>
        <w:tc>
          <w:tcPr>
            <w:tcW w:w="3117" w:type="dxa"/>
            <w:vAlign w:val="bottom"/>
          </w:tcPr>
          <w:p w14:paraId="0E3A2DEE" w14:textId="77777777" w:rsidR="00A65BE2" w:rsidRPr="00405FE7" w:rsidRDefault="00A65BE2" w:rsidP="001B41BD">
            <w:r w:rsidRPr="00405FE7">
              <w:t>4.0%</w:t>
            </w:r>
          </w:p>
        </w:tc>
        <w:tc>
          <w:tcPr>
            <w:tcW w:w="3117" w:type="dxa"/>
            <w:vAlign w:val="bottom"/>
          </w:tcPr>
          <w:p w14:paraId="6900AB8C" w14:textId="77777777" w:rsidR="00A65BE2" w:rsidRPr="00405FE7" w:rsidRDefault="00A65BE2" w:rsidP="001B41BD">
            <w:r w:rsidRPr="00405FE7">
              <w:t>4.1%</w:t>
            </w:r>
          </w:p>
        </w:tc>
      </w:tr>
      <w:tr w:rsidR="00A65BE2" w14:paraId="63C5EE69" w14:textId="77777777" w:rsidTr="001B41BD">
        <w:tc>
          <w:tcPr>
            <w:tcW w:w="3116" w:type="dxa"/>
            <w:vAlign w:val="bottom"/>
          </w:tcPr>
          <w:p w14:paraId="01B47FEF" w14:textId="77777777" w:rsidR="00A65BE2" w:rsidRPr="00405FE7" w:rsidRDefault="00A65BE2" w:rsidP="001B41BD">
            <w:r w:rsidRPr="00405FE7">
              <w:t>Neglect by Caregiver</w:t>
            </w:r>
          </w:p>
        </w:tc>
        <w:tc>
          <w:tcPr>
            <w:tcW w:w="3117" w:type="dxa"/>
            <w:vAlign w:val="bottom"/>
          </w:tcPr>
          <w:p w14:paraId="049CAF79" w14:textId="77777777" w:rsidR="00A65BE2" w:rsidRPr="00405FE7" w:rsidRDefault="00A65BE2" w:rsidP="001B41BD">
            <w:r w:rsidRPr="00405FE7">
              <w:t>9.7%</w:t>
            </w:r>
          </w:p>
        </w:tc>
        <w:tc>
          <w:tcPr>
            <w:tcW w:w="3117" w:type="dxa"/>
            <w:vAlign w:val="bottom"/>
          </w:tcPr>
          <w:p w14:paraId="0A04588E" w14:textId="77777777" w:rsidR="00A65BE2" w:rsidRPr="00405FE7" w:rsidRDefault="00A65BE2" w:rsidP="001B41BD">
            <w:r w:rsidRPr="00405FE7">
              <w:t>18.1%</w:t>
            </w:r>
          </w:p>
        </w:tc>
      </w:tr>
      <w:tr w:rsidR="00A65BE2" w14:paraId="250022F7" w14:textId="77777777" w:rsidTr="001B41BD">
        <w:tc>
          <w:tcPr>
            <w:tcW w:w="3116" w:type="dxa"/>
            <w:vAlign w:val="bottom"/>
          </w:tcPr>
          <w:p w14:paraId="3B581884" w14:textId="77777777" w:rsidR="00A65BE2" w:rsidRPr="00405FE7" w:rsidRDefault="00A65BE2" w:rsidP="001B41BD">
            <w:proofErr w:type="spellStart"/>
            <w:r w:rsidRPr="00405FE7">
              <w:t>Self Neglect</w:t>
            </w:r>
            <w:proofErr w:type="spellEnd"/>
          </w:p>
        </w:tc>
        <w:tc>
          <w:tcPr>
            <w:tcW w:w="3117" w:type="dxa"/>
            <w:vAlign w:val="bottom"/>
          </w:tcPr>
          <w:p w14:paraId="3DB15692" w14:textId="77777777" w:rsidR="00A65BE2" w:rsidRPr="00405FE7" w:rsidRDefault="00A65BE2" w:rsidP="001B41BD">
            <w:r w:rsidRPr="00405FE7">
              <w:t>30.3%</w:t>
            </w:r>
          </w:p>
        </w:tc>
        <w:tc>
          <w:tcPr>
            <w:tcW w:w="3117" w:type="dxa"/>
            <w:vAlign w:val="bottom"/>
          </w:tcPr>
          <w:p w14:paraId="5752F7FA" w14:textId="77777777" w:rsidR="00A65BE2" w:rsidRPr="00405FE7" w:rsidRDefault="00A65BE2" w:rsidP="001B41BD">
            <w:r w:rsidRPr="00405FE7">
              <w:t>28.5%</w:t>
            </w:r>
          </w:p>
        </w:tc>
      </w:tr>
    </w:tbl>
    <w:p w14:paraId="114A1BD9" w14:textId="77777777" w:rsidR="00A65BE2" w:rsidRPr="00405FE7" w:rsidRDefault="00A65BE2" w:rsidP="00A65BE2">
      <w:r w:rsidRPr="00405FE7">
        <w:t xml:space="preserve">Source: SC Department of Social Services (DSS) Adult Protective Services (APS), 2019-2021. </w:t>
      </w:r>
    </w:p>
    <w:p w14:paraId="631B1D8F" w14:textId="77777777" w:rsidR="00A65BE2" w:rsidRDefault="00A65BE2" w:rsidP="00A65BE2">
      <w:r w:rsidRPr="00405FE7">
        <w:t>Notes: Includes actual and potential substantiated events, counts by type are of the non-unique investigation service.</w:t>
      </w:r>
    </w:p>
    <w:p w14:paraId="1820D446" w14:textId="77777777" w:rsidR="00A65BE2" w:rsidRDefault="00A65BE2" w:rsidP="00A65BE2">
      <w:pPr>
        <w:pStyle w:val="Heading4"/>
      </w:pPr>
      <w:bookmarkStart w:id="1022" w:name="_Toc154576590"/>
    </w:p>
    <w:p w14:paraId="2249ECF7" w14:textId="44BCC00F" w:rsidR="00A65BE2" w:rsidRDefault="00A65BE2" w:rsidP="00A65BE2">
      <w:pPr>
        <w:pStyle w:val="Heading4"/>
      </w:pPr>
      <w:bookmarkStart w:id="1023" w:name="_Toc162267692"/>
      <w:r w:rsidRPr="000A3CC0">
        <w:t>Figure 10.</w:t>
      </w:r>
      <w:r>
        <w:t>27:</w:t>
      </w:r>
      <w:r w:rsidRPr="000A3CC0">
        <w:t xml:space="preserve"> </w:t>
      </w:r>
      <w:r w:rsidRPr="00405FE7">
        <w:t xml:space="preserve">Adult Protective Services Investigations Among Adults 65+, by </w:t>
      </w:r>
      <w:r>
        <w:t>Sex.</w:t>
      </w:r>
      <w:bookmarkEnd w:id="1022"/>
      <w:bookmarkEnd w:id="1023"/>
    </w:p>
    <w:p w14:paraId="0914766F" w14:textId="77777777" w:rsidR="00A65BE2" w:rsidRDefault="00A65BE2" w:rsidP="00A65BE2">
      <w:pPr>
        <w:pStyle w:val="Heading5"/>
      </w:pPr>
      <w:r>
        <w:t>Rate per 100,000 population.</w:t>
      </w:r>
    </w:p>
    <w:tbl>
      <w:tblPr>
        <w:tblStyle w:val="TableGrid"/>
        <w:tblW w:w="0" w:type="auto"/>
        <w:tblLook w:val="04A0" w:firstRow="1" w:lastRow="0" w:firstColumn="1" w:lastColumn="0" w:noHBand="0" w:noVBand="1"/>
      </w:tblPr>
      <w:tblGrid>
        <w:gridCol w:w="3116"/>
        <w:gridCol w:w="3117"/>
        <w:gridCol w:w="3117"/>
      </w:tblGrid>
      <w:tr w:rsidR="00A65BE2" w14:paraId="5A84DCD5" w14:textId="77777777" w:rsidTr="001B41BD">
        <w:tc>
          <w:tcPr>
            <w:tcW w:w="3116" w:type="dxa"/>
            <w:vAlign w:val="bottom"/>
          </w:tcPr>
          <w:p w14:paraId="7110245D" w14:textId="77777777" w:rsidR="00A65BE2" w:rsidRPr="00405FE7" w:rsidRDefault="00A65BE2" w:rsidP="001B41BD">
            <w:r w:rsidRPr="00405FE7">
              <w:t>Year</w:t>
            </w:r>
          </w:p>
        </w:tc>
        <w:tc>
          <w:tcPr>
            <w:tcW w:w="3117" w:type="dxa"/>
            <w:vAlign w:val="bottom"/>
          </w:tcPr>
          <w:p w14:paraId="134FEBCA" w14:textId="77777777" w:rsidR="00A65BE2" w:rsidRPr="00405FE7" w:rsidRDefault="00A65BE2" w:rsidP="001B41BD">
            <w:r w:rsidRPr="00405FE7">
              <w:t>Male</w:t>
            </w:r>
          </w:p>
        </w:tc>
        <w:tc>
          <w:tcPr>
            <w:tcW w:w="3117" w:type="dxa"/>
            <w:vAlign w:val="bottom"/>
          </w:tcPr>
          <w:p w14:paraId="7C155C5A" w14:textId="77777777" w:rsidR="00A65BE2" w:rsidRPr="00405FE7" w:rsidRDefault="00A65BE2" w:rsidP="001B41BD">
            <w:r w:rsidRPr="00405FE7">
              <w:t>Female</w:t>
            </w:r>
          </w:p>
        </w:tc>
      </w:tr>
      <w:tr w:rsidR="00A65BE2" w14:paraId="75238A23" w14:textId="77777777" w:rsidTr="001B41BD">
        <w:tc>
          <w:tcPr>
            <w:tcW w:w="3116" w:type="dxa"/>
            <w:vAlign w:val="bottom"/>
          </w:tcPr>
          <w:p w14:paraId="3618C60D" w14:textId="77777777" w:rsidR="00A65BE2" w:rsidRPr="00405FE7" w:rsidRDefault="00A65BE2" w:rsidP="001B41BD">
            <w:r w:rsidRPr="00405FE7">
              <w:t>2018</w:t>
            </w:r>
          </w:p>
        </w:tc>
        <w:tc>
          <w:tcPr>
            <w:tcW w:w="3117" w:type="dxa"/>
            <w:vAlign w:val="bottom"/>
          </w:tcPr>
          <w:p w14:paraId="6F729F0F" w14:textId="77777777" w:rsidR="00A65BE2" w:rsidRPr="00405FE7" w:rsidRDefault="00A65BE2" w:rsidP="001B41BD">
            <w:r w:rsidRPr="00405FE7">
              <w:t>163.7</w:t>
            </w:r>
          </w:p>
        </w:tc>
        <w:tc>
          <w:tcPr>
            <w:tcW w:w="3117" w:type="dxa"/>
            <w:vAlign w:val="bottom"/>
          </w:tcPr>
          <w:p w14:paraId="1B4D0773" w14:textId="77777777" w:rsidR="00A65BE2" w:rsidRPr="00405FE7" w:rsidRDefault="00A65BE2" w:rsidP="001B41BD">
            <w:r w:rsidRPr="00405FE7">
              <w:t>194.9</w:t>
            </w:r>
          </w:p>
        </w:tc>
      </w:tr>
      <w:tr w:rsidR="00A65BE2" w14:paraId="06507EDE" w14:textId="77777777" w:rsidTr="001B41BD">
        <w:tc>
          <w:tcPr>
            <w:tcW w:w="3116" w:type="dxa"/>
            <w:vAlign w:val="bottom"/>
          </w:tcPr>
          <w:p w14:paraId="6F7745DE" w14:textId="77777777" w:rsidR="00A65BE2" w:rsidRPr="00405FE7" w:rsidRDefault="00A65BE2" w:rsidP="001B41BD">
            <w:r w:rsidRPr="00405FE7">
              <w:t>2019</w:t>
            </w:r>
          </w:p>
        </w:tc>
        <w:tc>
          <w:tcPr>
            <w:tcW w:w="3117" w:type="dxa"/>
            <w:vAlign w:val="bottom"/>
          </w:tcPr>
          <w:p w14:paraId="4DC037BB" w14:textId="77777777" w:rsidR="00A65BE2" w:rsidRPr="00405FE7" w:rsidRDefault="00A65BE2" w:rsidP="001B41BD">
            <w:r w:rsidRPr="00405FE7">
              <w:t>155.3</w:t>
            </w:r>
          </w:p>
        </w:tc>
        <w:tc>
          <w:tcPr>
            <w:tcW w:w="3117" w:type="dxa"/>
            <w:vAlign w:val="bottom"/>
          </w:tcPr>
          <w:p w14:paraId="6226D1EE" w14:textId="77777777" w:rsidR="00A65BE2" w:rsidRPr="00405FE7" w:rsidRDefault="00A65BE2" w:rsidP="001B41BD">
            <w:r w:rsidRPr="00405FE7">
              <w:t>174.3</w:t>
            </w:r>
          </w:p>
        </w:tc>
      </w:tr>
      <w:tr w:rsidR="00A65BE2" w14:paraId="5D6F0F59" w14:textId="77777777" w:rsidTr="001B41BD">
        <w:tc>
          <w:tcPr>
            <w:tcW w:w="3116" w:type="dxa"/>
            <w:vAlign w:val="bottom"/>
          </w:tcPr>
          <w:p w14:paraId="591FB13C" w14:textId="77777777" w:rsidR="00A65BE2" w:rsidRPr="00405FE7" w:rsidRDefault="00A65BE2" w:rsidP="001B41BD">
            <w:r w:rsidRPr="00405FE7">
              <w:t>2020</w:t>
            </w:r>
          </w:p>
        </w:tc>
        <w:tc>
          <w:tcPr>
            <w:tcW w:w="3117" w:type="dxa"/>
            <w:vAlign w:val="bottom"/>
          </w:tcPr>
          <w:p w14:paraId="2FDF398B" w14:textId="77777777" w:rsidR="00A65BE2" w:rsidRPr="00405FE7" w:rsidRDefault="00A65BE2" w:rsidP="001B41BD">
            <w:r w:rsidRPr="00405FE7">
              <w:t>127.9</w:t>
            </w:r>
          </w:p>
        </w:tc>
        <w:tc>
          <w:tcPr>
            <w:tcW w:w="3117" w:type="dxa"/>
            <w:vAlign w:val="bottom"/>
          </w:tcPr>
          <w:p w14:paraId="21AF4ECF" w14:textId="77777777" w:rsidR="00A65BE2" w:rsidRPr="00405FE7" w:rsidRDefault="00A65BE2" w:rsidP="001B41BD">
            <w:r w:rsidRPr="00405FE7">
              <w:t>140.7</w:t>
            </w:r>
          </w:p>
        </w:tc>
      </w:tr>
      <w:tr w:rsidR="00011D79" w14:paraId="418E3E28" w14:textId="77777777" w:rsidTr="001B41BD">
        <w:tc>
          <w:tcPr>
            <w:tcW w:w="3116" w:type="dxa"/>
            <w:vAlign w:val="bottom"/>
          </w:tcPr>
          <w:p w14:paraId="4D81F2BE" w14:textId="30480910" w:rsidR="00011D79" w:rsidRPr="00405FE7" w:rsidRDefault="00011D79" w:rsidP="001B41BD">
            <w:r>
              <w:t>2021</w:t>
            </w:r>
          </w:p>
        </w:tc>
        <w:tc>
          <w:tcPr>
            <w:tcW w:w="3117" w:type="dxa"/>
            <w:vAlign w:val="bottom"/>
          </w:tcPr>
          <w:p w14:paraId="0D4A53A5" w14:textId="44BE3EA4" w:rsidR="00011D79" w:rsidRPr="00405FE7" w:rsidRDefault="00011D79" w:rsidP="001B41BD">
            <w:r>
              <w:t>87.3</w:t>
            </w:r>
          </w:p>
        </w:tc>
        <w:tc>
          <w:tcPr>
            <w:tcW w:w="3117" w:type="dxa"/>
            <w:vAlign w:val="bottom"/>
          </w:tcPr>
          <w:p w14:paraId="777794A4" w14:textId="06DF0907" w:rsidR="00011D79" w:rsidRPr="00405FE7" w:rsidRDefault="00011D79" w:rsidP="001B41BD">
            <w:r>
              <w:t>97.7</w:t>
            </w:r>
          </w:p>
        </w:tc>
      </w:tr>
    </w:tbl>
    <w:p w14:paraId="08ACB35C" w14:textId="4F3C8C26" w:rsidR="00A65BE2" w:rsidRPr="00405FE7" w:rsidRDefault="00A65BE2" w:rsidP="00A65BE2">
      <w:r w:rsidRPr="00405FE7">
        <w:t>Source: SC Department of Social Services (DSS) Adult Protective Services (APS), 201</w:t>
      </w:r>
      <w:r w:rsidR="00011D79">
        <w:t>8</w:t>
      </w:r>
      <w:r w:rsidRPr="00405FE7">
        <w:t xml:space="preserve">-2021. </w:t>
      </w:r>
    </w:p>
    <w:p w14:paraId="646984B8" w14:textId="77777777" w:rsidR="00A65BE2" w:rsidRDefault="00A65BE2" w:rsidP="00A65BE2">
      <w:r w:rsidRPr="00405FE7">
        <w:t>Notes: Includes actual and potential events, counts by type are of the non-unique investigation service. Population for year 2021 based on single-race estimates and for years prior based on bridge-race estimates.</w:t>
      </w:r>
    </w:p>
    <w:p w14:paraId="51B43D78" w14:textId="77777777" w:rsidR="00A65BE2" w:rsidRDefault="00A65BE2" w:rsidP="00A65BE2">
      <w:pPr>
        <w:rPr>
          <w:b/>
          <w:bCs/>
        </w:rPr>
      </w:pPr>
    </w:p>
    <w:p w14:paraId="19E4F4B3" w14:textId="77777777" w:rsidR="00A65BE2" w:rsidRPr="00A65BE2" w:rsidRDefault="00A65BE2" w:rsidP="00A65BE2">
      <w:pPr>
        <w:pStyle w:val="Heading4"/>
      </w:pPr>
      <w:bookmarkStart w:id="1024" w:name="_Toc162267693"/>
      <w:r w:rsidRPr="00A65BE2">
        <w:t>Data Interpretations:</w:t>
      </w:r>
      <w:bookmarkEnd w:id="1024"/>
      <w:r w:rsidRPr="00A65BE2">
        <w:t xml:space="preserve"> </w:t>
      </w:r>
    </w:p>
    <w:p w14:paraId="5597B79D" w14:textId="7614E011" w:rsidR="00A65BE2" w:rsidRDefault="00A65BE2" w:rsidP="00A65BE2">
      <w:r w:rsidRPr="00A65BE2">
        <w:t>Elder abuse in SC is reported as either actual or potential in the categories of abuse, exploitation, neglect by caregiver, or self-neglect. Adult Protective Services (APS) must investigate when the alleged victim is a vulnerable adult and if there is an allegation that abuse, neglect, self-</w:t>
      </w:r>
      <w:proofErr w:type="gramStart"/>
      <w:r w:rsidRPr="00A65BE2">
        <w:t>neglect</w:t>
      </w:r>
      <w:proofErr w:type="gramEnd"/>
      <w:r w:rsidRPr="00A65BE2">
        <w:t xml:space="preserve"> or exploitation has occurred or has the potential to occur. If there is evidence to support the allegations, then the investigation is considered substantiated. From 2019-2021, 30.3% of substantiated APS investigation cases among adults 65 and over were actual self-neglect and 28.5% were potential self-neglect, which were </w:t>
      </w:r>
      <w:proofErr w:type="gramStart"/>
      <w:r w:rsidRPr="00A65BE2">
        <w:t>the majority of</w:t>
      </w:r>
      <w:proofErr w:type="gramEnd"/>
      <w:r w:rsidRPr="00A65BE2">
        <w:t xml:space="preserve"> the cases (</w:t>
      </w:r>
      <w:r w:rsidRPr="00A65BE2">
        <w:rPr>
          <w:b/>
          <w:bCs/>
        </w:rPr>
        <w:t>Figure 10.26</w:t>
      </w:r>
      <w:r w:rsidRPr="00A65BE2">
        <w:t>). Following self-neglect was actual neglect by a caregiver (9.7%) and potential neglect by a caregiver (18.1%) (</w:t>
      </w:r>
      <w:r w:rsidRPr="00A65BE2">
        <w:rPr>
          <w:b/>
          <w:bCs/>
        </w:rPr>
        <w:t>Figure 10.26</w:t>
      </w:r>
      <w:r w:rsidRPr="00A65BE2">
        <w:t>). Exploitation (about 4% for both actual and potential) and abuse (about 2% for actual and potential) were not reported as frequently (</w:t>
      </w:r>
      <w:r w:rsidRPr="00A65BE2">
        <w:rPr>
          <w:b/>
          <w:bCs/>
        </w:rPr>
        <w:t>Figure 10.26</w:t>
      </w:r>
      <w:r w:rsidRPr="00A65BE2">
        <w:t xml:space="preserve">). </w:t>
      </w:r>
    </w:p>
    <w:p w14:paraId="14759AA5" w14:textId="77777777" w:rsidR="00A65BE2" w:rsidRPr="00A65BE2" w:rsidRDefault="00A65BE2" w:rsidP="00A65BE2"/>
    <w:p w14:paraId="386BE025" w14:textId="0DFB2700" w:rsidR="00A65BE2" w:rsidRPr="00A65BE2" w:rsidRDefault="00A65BE2" w:rsidP="00A65BE2">
      <w:r w:rsidRPr="00A65BE2">
        <w:t>APS investigations were seen more in females aged 65 and older than males from 2018-2020 (</w:t>
      </w:r>
      <w:r w:rsidRPr="00A65BE2">
        <w:rPr>
          <w:b/>
          <w:bCs/>
        </w:rPr>
        <w:t>Figure 10.27</w:t>
      </w:r>
      <w:r w:rsidRPr="00A65BE2">
        <w:t>). The rate of investigations has decreased since 2018 (</w:t>
      </w:r>
      <w:r w:rsidRPr="00A65BE2">
        <w:rPr>
          <w:b/>
          <w:bCs/>
        </w:rPr>
        <w:t>Figure 10.27</w:t>
      </w:r>
      <w:r w:rsidRPr="00A65BE2">
        <w:t>). In 2018, there was a rate of 163.7 investigations per 100,000 males 65 and older and 194.9 investigations per 100,000 females 65 and older involved in APS investigations (</w:t>
      </w:r>
      <w:r w:rsidRPr="00A65BE2">
        <w:rPr>
          <w:b/>
          <w:bCs/>
        </w:rPr>
        <w:t>Figure 10.27</w:t>
      </w:r>
      <w:r w:rsidRPr="00A65BE2">
        <w:t>). In 2020, those rates decreased and there were 127.9 investigations per 100,000 males and 140.7 per 100,000 females investigated by APS (</w:t>
      </w:r>
      <w:r w:rsidRPr="00A65BE2">
        <w:rPr>
          <w:b/>
          <w:bCs/>
        </w:rPr>
        <w:t>Figure 10.27</w:t>
      </w:r>
      <w:r w:rsidRPr="00A65BE2">
        <w:t>).</w:t>
      </w:r>
    </w:p>
    <w:p w14:paraId="7CE619C3" w14:textId="77777777" w:rsidR="00A65BE2" w:rsidRPr="00A65BE2" w:rsidRDefault="00A65BE2" w:rsidP="00A65BE2"/>
    <w:p w14:paraId="08A67E44" w14:textId="77777777" w:rsidR="00A65BE2" w:rsidRPr="00882C15" w:rsidRDefault="00A65BE2" w:rsidP="00A65BE2">
      <w:pPr>
        <w:pStyle w:val="Heading5"/>
      </w:pPr>
      <w:r w:rsidRPr="00882C15">
        <w:t>Key Takeaways:</w:t>
      </w:r>
    </w:p>
    <w:p w14:paraId="0E074EE4" w14:textId="77777777" w:rsidR="00A65BE2" w:rsidRPr="00A65BE2" w:rsidRDefault="00A65BE2" w:rsidP="00926EB3">
      <w:pPr>
        <w:pStyle w:val="ListParagraph"/>
        <w:numPr>
          <w:ilvl w:val="0"/>
          <w:numId w:val="200"/>
        </w:numPr>
      </w:pPr>
      <w:r w:rsidRPr="00A65BE2">
        <w:t>Elder abuse is a serious problem for older adults, and it is often underreported.</w:t>
      </w:r>
    </w:p>
    <w:p w14:paraId="7D1779BF" w14:textId="77777777" w:rsidR="00A65BE2" w:rsidRDefault="00A65BE2" w:rsidP="00A65BE2">
      <w:pPr>
        <w:rPr>
          <w:b/>
          <w:bCs/>
        </w:rPr>
      </w:pPr>
    </w:p>
    <w:p w14:paraId="6DC16860" w14:textId="048531F0" w:rsidR="00A65BE2" w:rsidRPr="00474B85" w:rsidRDefault="00A65BE2" w:rsidP="00A65BE2">
      <w:pPr>
        <w:pStyle w:val="Heading4"/>
        <w:rPr>
          <w:rFonts w:asciiTheme="minorHAnsi" w:hAnsiTheme="minorHAnsi" w:cstheme="minorHAnsi"/>
          <w:color w:val="000000" w:themeColor="text1"/>
        </w:rPr>
      </w:pPr>
      <w:bookmarkStart w:id="1025" w:name="_Toc162267694"/>
      <w:r w:rsidRPr="00474B85">
        <w:rPr>
          <w:rFonts w:asciiTheme="minorHAnsi" w:hAnsiTheme="minorHAnsi" w:cstheme="minorHAnsi"/>
          <w:color w:val="000000" w:themeColor="text1"/>
        </w:rPr>
        <w:t xml:space="preserve">References </w:t>
      </w:r>
      <w:r>
        <w:rPr>
          <w:rFonts w:asciiTheme="minorHAnsi" w:hAnsiTheme="minorHAnsi" w:cstheme="minorHAnsi"/>
          <w:color w:val="000000" w:themeColor="text1"/>
        </w:rPr>
        <w:t>10.13</w:t>
      </w:r>
      <w:bookmarkEnd w:id="1025"/>
    </w:p>
    <w:p w14:paraId="2FCE2708" w14:textId="77777777" w:rsidR="00A65BE2" w:rsidRDefault="00A65BE2" w:rsidP="00A65BE2">
      <w:r w:rsidRPr="00474B85">
        <w:t>Statistics in the preceding section were referenced from the following reports:</w:t>
      </w:r>
    </w:p>
    <w:p w14:paraId="5D48E079" w14:textId="7B2F8E06" w:rsidR="00C360A7" w:rsidRDefault="00C360A7" w:rsidP="00C360A7">
      <w:pPr>
        <w:ind w:left="360"/>
      </w:pPr>
      <w:r>
        <w:t>29.</w:t>
      </w:r>
      <w:hyperlink r:id="rId451" w:history="1">
        <w:r w:rsidRPr="00C75DB8">
          <w:rPr>
            <w:rStyle w:val="Hyperlink"/>
          </w:rPr>
          <w:t>“</w:t>
        </w:r>
        <w:r w:rsidRPr="008071E3">
          <w:rPr>
            <w:rStyle w:val="Hyperlink"/>
          </w:rPr>
          <w:t>Fast facts: Preventing elder abuse</w:t>
        </w:r>
        <w:r w:rsidRPr="00C75DB8">
          <w:rPr>
            <w:rStyle w:val="Hyperlink"/>
          </w:rPr>
          <w:t xml:space="preserve">, </w:t>
        </w:r>
        <w:r w:rsidRPr="008071E3">
          <w:rPr>
            <w:rStyle w:val="Hyperlink"/>
          </w:rPr>
          <w:t>violence prevention</w:t>
        </w:r>
        <w:r w:rsidRPr="00C75DB8">
          <w:rPr>
            <w:rStyle w:val="Hyperlink"/>
          </w:rPr>
          <w:t>”</w:t>
        </w:r>
        <w:r w:rsidRPr="008071E3">
          <w:rPr>
            <w:rStyle w:val="Hyperlink"/>
          </w:rPr>
          <w:t>. Centers for Disease Control and Prevention</w:t>
        </w:r>
        <w:r w:rsidRPr="00C75DB8">
          <w:rPr>
            <w:rStyle w:val="Hyperlink"/>
          </w:rPr>
          <w:t xml:space="preserve"> via cdc.gov, 2021</w:t>
        </w:r>
        <w:r w:rsidRPr="008071E3">
          <w:rPr>
            <w:rStyle w:val="Hyperlink"/>
          </w:rPr>
          <w:t>. Retrieved December 20, 2022</w:t>
        </w:r>
        <w:r w:rsidRPr="00C75DB8">
          <w:rPr>
            <w:rStyle w:val="Hyperlink"/>
          </w:rPr>
          <w:t>.</w:t>
        </w:r>
      </w:hyperlink>
      <w:r w:rsidRPr="008071E3">
        <w:t xml:space="preserve"> </w:t>
      </w:r>
    </w:p>
    <w:p w14:paraId="2EF1AFD0" w14:textId="7C405CB0" w:rsidR="00C75DB8" w:rsidRPr="00C360A7" w:rsidRDefault="00000000" w:rsidP="00926EB3">
      <w:pPr>
        <w:pStyle w:val="ListParagraph"/>
        <w:numPr>
          <w:ilvl w:val="0"/>
          <w:numId w:val="199"/>
        </w:numPr>
        <w:rPr>
          <w:u w:val="thick"/>
        </w:rPr>
      </w:pPr>
      <w:hyperlink r:id="rId452" w:history="1">
        <w:r w:rsidR="00C75DB8" w:rsidRPr="00C75DB8">
          <w:rPr>
            <w:rStyle w:val="Hyperlink"/>
          </w:rPr>
          <w:t>“Elder abuse” by the U.S. Department of Health and Human Services. Published by the National Institute on Aging. Retrieved December 20, 2022.</w:t>
        </w:r>
      </w:hyperlink>
      <w:r w:rsidR="00C75DB8" w:rsidRPr="00C75DB8">
        <w:t xml:space="preserve"> </w:t>
      </w:r>
    </w:p>
    <w:p w14:paraId="3F458B99" w14:textId="77777777" w:rsidR="00A65BE2" w:rsidRDefault="00A65BE2" w:rsidP="00A65BE2"/>
    <w:p w14:paraId="77F7E31D" w14:textId="77777777" w:rsidR="00A65BE2" w:rsidRPr="00A65BE2" w:rsidRDefault="00A65BE2" w:rsidP="00A65BE2">
      <w:pPr>
        <w:pStyle w:val="Heading3"/>
      </w:pPr>
      <w:bookmarkStart w:id="1026" w:name="_Toc162267695"/>
      <w:r w:rsidRPr="00A65BE2">
        <w:t>Caregiver and Caregiver Health</w:t>
      </w:r>
      <w:bookmarkEnd w:id="1026"/>
    </w:p>
    <w:p w14:paraId="79BA9150" w14:textId="0912A52D" w:rsidR="00A65BE2" w:rsidRPr="00A65BE2" w:rsidRDefault="00A65BE2" w:rsidP="00A65BE2">
      <w:pPr>
        <w:rPr>
          <w:b/>
          <w:bCs/>
        </w:rPr>
      </w:pPr>
      <w:r w:rsidRPr="00A65BE2">
        <w:t>Due to various chronic illnesses, disabilities, and injuries, many people rely on a caregiver to help with daily tasks such as bathing, eating, taking medication, arranging medical care, and assisting with financial decisions.</w:t>
      </w:r>
      <w:r w:rsidRPr="00A65BE2">
        <w:rPr>
          <w:b/>
          <w:bCs/>
        </w:rPr>
        <w:t xml:space="preserve"> </w:t>
      </w:r>
      <w:r w:rsidRPr="00A65BE2">
        <w:t>Current estimates show that over one in five Americans have provided care for a loved one in the past 12 months. Although caregiving can be rewarding and fulfilling, it can also be stressful and overwhelming.</w:t>
      </w:r>
      <w:r w:rsidRPr="00A65BE2">
        <w:rPr>
          <w:b/>
          <w:bCs/>
        </w:rPr>
        <w:t xml:space="preserve"> </w:t>
      </w:r>
      <w:r w:rsidRPr="00A65BE2">
        <w:t>The stress associated with caregiving can cause emotional and physical strains on the caregiver including feeling overwhelmed, irregular sleep patterns, weight issues, becoming easily irritated or angered, and engaging in unhealthy behaviors like smoking or drinking too much alcohol. Long-term stress from caregiving can lead to serious problems such as depression, a weakened immune system, obesity, various chronic diseases, and problems with short-term memory. As the population of older adults and those with a disability increases so does the importance of understanding the impacts caregiving has on the caregiver’s life. The CDC estimates that 17.9% of non-caregivers 45 and older in SC expect to be caregivers within the next two years.</w:t>
      </w:r>
      <w:r w:rsidRPr="00A65BE2">
        <w:rPr>
          <w:b/>
          <w:bCs/>
        </w:rPr>
        <w:t xml:space="preserve"> </w:t>
      </w:r>
      <w:r w:rsidRPr="00A65BE2">
        <w:t xml:space="preserve">With this substantial </w:t>
      </w:r>
      <w:r w:rsidRPr="00A65BE2">
        <w:lastRenderedPageBreak/>
        <w:t xml:space="preserve">increase in the </w:t>
      </w:r>
      <w:proofErr w:type="gramStart"/>
      <w:r w:rsidRPr="00A65BE2">
        <w:t>amount</w:t>
      </w:r>
      <w:proofErr w:type="gramEnd"/>
      <w:r w:rsidRPr="00A65BE2">
        <w:t xml:space="preserve"> of caregivers, it is important that the health and well-being of both the caregivers and their recipients are prioritized and promoted.</w:t>
      </w:r>
    </w:p>
    <w:p w14:paraId="1D7DF526" w14:textId="77777777" w:rsidR="00A65BE2" w:rsidRDefault="00A65BE2" w:rsidP="00A65BE2">
      <w:pPr>
        <w:rPr>
          <w:b/>
          <w:bCs/>
        </w:rPr>
      </w:pPr>
    </w:p>
    <w:p w14:paraId="1CFCC094" w14:textId="77777777" w:rsidR="00A65BE2" w:rsidRDefault="00A65BE2" w:rsidP="00A65BE2">
      <w:pPr>
        <w:pStyle w:val="Heading4"/>
      </w:pPr>
      <w:bookmarkStart w:id="1027" w:name="_Toc154576591"/>
      <w:bookmarkStart w:id="1028" w:name="_Toc162267696"/>
      <w:r w:rsidRPr="000A3CC0">
        <w:t>Figure 10.</w:t>
      </w:r>
      <w:r>
        <w:t>28:</w:t>
      </w:r>
      <w:r w:rsidRPr="000A3CC0">
        <w:t xml:space="preserve"> </w:t>
      </w:r>
      <w:r w:rsidRPr="00405FE7">
        <w:t>Adults Providing Regular Care to a Friend or Family Member Who has a Health Problem or Disability, by Race/Ethnicity</w:t>
      </w:r>
      <w:r>
        <w:t>.</w:t>
      </w:r>
      <w:bookmarkEnd w:id="1027"/>
      <w:bookmarkEnd w:id="1028"/>
    </w:p>
    <w:tbl>
      <w:tblPr>
        <w:tblStyle w:val="TableGrid"/>
        <w:tblW w:w="0" w:type="auto"/>
        <w:tblLook w:val="04A0" w:firstRow="1" w:lastRow="0" w:firstColumn="1" w:lastColumn="0" w:noHBand="0" w:noVBand="1"/>
      </w:tblPr>
      <w:tblGrid>
        <w:gridCol w:w="4675"/>
        <w:gridCol w:w="4675"/>
      </w:tblGrid>
      <w:tr w:rsidR="00A65BE2" w14:paraId="66BB04FA" w14:textId="77777777" w:rsidTr="001B41BD">
        <w:tc>
          <w:tcPr>
            <w:tcW w:w="4675" w:type="dxa"/>
            <w:vAlign w:val="bottom"/>
          </w:tcPr>
          <w:p w14:paraId="2774A511" w14:textId="77777777" w:rsidR="00A65BE2" w:rsidRPr="00405FE7" w:rsidRDefault="00A65BE2" w:rsidP="001B41BD">
            <w:r>
              <w:t>Race/Ethnicity</w:t>
            </w:r>
          </w:p>
        </w:tc>
        <w:tc>
          <w:tcPr>
            <w:tcW w:w="4675" w:type="dxa"/>
            <w:vAlign w:val="bottom"/>
          </w:tcPr>
          <w:p w14:paraId="40ED329A" w14:textId="77777777" w:rsidR="00A65BE2" w:rsidRPr="00405FE7" w:rsidRDefault="00A65BE2" w:rsidP="001B41BD">
            <w:r w:rsidRPr="00405FE7">
              <w:t>Percent</w:t>
            </w:r>
          </w:p>
        </w:tc>
      </w:tr>
      <w:tr w:rsidR="00A65BE2" w14:paraId="4D4217A2" w14:textId="77777777" w:rsidTr="001B41BD">
        <w:tc>
          <w:tcPr>
            <w:tcW w:w="4675" w:type="dxa"/>
            <w:vAlign w:val="bottom"/>
          </w:tcPr>
          <w:p w14:paraId="2FBACC27" w14:textId="77777777" w:rsidR="00A65BE2" w:rsidRPr="00405FE7" w:rsidRDefault="00A65BE2" w:rsidP="001B41BD">
            <w:r w:rsidRPr="00405FE7">
              <w:t>Non-Hispanic White</w:t>
            </w:r>
          </w:p>
        </w:tc>
        <w:tc>
          <w:tcPr>
            <w:tcW w:w="4675" w:type="dxa"/>
            <w:vAlign w:val="bottom"/>
          </w:tcPr>
          <w:p w14:paraId="2C36CC23" w14:textId="77777777" w:rsidR="00A65BE2" w:rsidRPr="00405FE7" w:rsidRDefault="00A65BE2" w:rsidP="001B41BD">
            <w:r w:rsidRPr="00405FE7">
              <w:t>23.70%</w:t>
            </w:r>
          </w:p>
        </w:tc>
      </w:tr>
      <w:tr w:rsidR="00A65BE2" w14:paraId="1180442F" w14:textId="77777777" w:rsidTr="001B41BD">
        <w:tc>
          <w:tcPr>
            <w:tcW w:w="4675" w:type="dxa"/>
            <w:vAlign w:val="bottom"/>
          </w:tcPr>
          <w:p w14:paraId="7B916F2D" w14:textId="77777777" w:rsidR="00A65BE2" w:rsidRPr="00405FE7" w:rsidRDefault="00A65BE2" w:rsidP="001B41BD">
            <w:r w:rsidRPr="00405FE7">
              <w:t>Non-Hispanic Black</w:t>
            </w:r>
          </w:p>
        </w:tc>
        <w:tc>
          <w:tcPr>
            <w:tcW w:w="4675" w:type="dxa"/>
            <w:vAlign w:val="bottom"/>
          </w:tcPr>
          <w:p w14:paraId="1562FC93" w14:textId="77777777" w:rsidR="00A65BE2" w:rsidRPr="00405FE7" w:rsidRDefault="00A65BE2" w:rsidP="001B41BD">
            <w:r w:rsidRPr="00405FE7">
              <w:t>29.30%</w:t>
            </w:r>
          </w:p>
        </w:tc>
      </w:tr>
      <w:tr w:rsidR="00A65BE2" w14:paraId="65C61EB2" w14:textId="77777777" w:rsidTr="001B41BD">
        <w:tc>
          <w:tcPr>
            <w:tcW w:w="4675" w:type="dxa"/>
            <w:vAlign w:val="bottom"/>
          </w:tcPr>
          <w:p w14:paraId="00C47C12" w14:textId="77777777" w:rsidR="00A65BE2" w:rsidRPr="00405FE7" w:rsidRDefault="00A65BE2" w:rsidP="001B41BD">
            <w:r w:rsidRPr="00405FE7">
              <w:t>Non-Hispanic Other</w:t>
            </w:r>
          </w:p>
        </w:tc>
        <w:tc>
          <w:tcPr>
            <w:tcW w:w="4675" w:type="dxa"/>
            <w:vAlign w:val="bottom"/>
          </w:tcPr>
          <w:p w14:paraId="0CD86C79" w14:textId="77777777" w:rsidR="00A65BE2" w:rsidRPr="00405FE7" w:rsidRDefault="00A65BE2" w:rsidP="001B41BD">
            <w:r w:rsidRPr="00405FE7">
              <w:t>27.60%</w:t>
            </w:r>
          </w:p>
        </w:tc>
      </w:tr>
      <w:tr w:rsidR="00A65BE2" w14:paraId="0A24ACD0" w14:textId="77777777" w:rsidTr="001B41BD">
        <w:tc>
          <w:tcPr>
            <w:tcW w:w="4675" w:type="dxa"/>
            <w:vAlign w:val="bottom"/>
          </w:tcPr>
          <w:p w14:paraId="7C94759A" w14:textId="77777777" w:rsidR="00A65BE2" w:rsidRPr="00405FE7" w:rsidRDefault="00A65BE2" w:rsidP="001B41BD">
            <w:r w:rsidRPr="00405FE7">
              <w:t>Hispanic</w:t>
            </w:r>
          </w:p>
        </w:tc>
        <w:tc>
          <w:tcPr>
            <w:tcW w:w="4675" w:type="dxa"/>
            <w:vAlign w:val="bottom"/>
          </w:tcPr>
          <w:p w14:paraId="6670A2DC" w14:textId="77777777" w:rsidR="00A65BE2" w:rsidRPr="00405FE7" w:rsidRDefault="00A65BE2" w:rsidP="001B41BD">
            <w:r w:rsidRPr="00405FE7">
              <w:t>13.80%</w:t>
            </w:r>
          </w:p>
        </w:tc>
      </w:tr>
    </w:tbl>
    <w:p w14:paraId="3C0667B4" w14:textId="77777777" w:rsidR="00A65BE2" w:rsidRPr="00405FE7" w:rsidRDefault="00A65BE2" w:rsidP="00A65BE2">
      <w:r w:rsidRPr="00405FE7">
        <w:t xml:space="preserve">Source: SC BRFSS, 2021. </w:t>
      </w:r>
    </w:p>
    <w:p w14:paraId="5CC52A72" w14:textId="77777777" w:rsidR="00A65BE2" w:rsidRDefault="00A65BE2" w:rsidP="00A65BE2">
      <w:r w:rsidRPr="00405FE7">
        <w:t>Note: Adults 18+. Providing regular care in the past 30 days. Non-Hispanic Other includes multi-racial.</w:t>
      </w:r>
    </w:p>
    <w:p w14:paraId="6E2DC038" w14:textId="77777777" w:rsidR="003E3A63" w:rsidRDefault="003E3A63" w:rsidP="00A65BE2"/>
    <w:p w14:paraId="12FA5140" w14:textId="77777777" w:rsidR="00A65BE2" w:rsidRDefault="00A65BE2" w:rsidP="00A65BE2">
      <w:pPr>
        <w:pStyle w:val="Heading4"/>
      </w:pPr>
      <w:bookmarkStart w:id="1029" w:name="_Toc154576592"/>
      <w:bookmarkStart w:id="1030" w:name="_Toc162267697"/>
      <w:r w:rsidRPr="000A3CC0">
        <w:t>Figure 10.</w:t>
      </w:r>
      <w:r>
        <w:t>29:</w:t>
      </w:r>
      <w:r w:rsidRPr="000A3CC0">
        <w:t xml:space="preserve"> </w:t>
      </w:r>
      <w:r w:rsidRPr="00405FE7">
        <w:t>Type of Care Provided by Adults who Provide Regular Care to a Friend or Family Member</w:t>
      </w:r>
      <w:r>
        <w:t>.</w:t>
      </w:r>
      <w:bookmarkEnd w:id="1029"/>
      <w:bookmarkEnd w:id="1030"/>
    </w:p>
    <w:tbl>
      <w:tblPr>
        <w:tblStyle w:val="TableGrid"/>
        <w:tblW w:w="0" w:type="auto"/>
        <w:tblLook w:val="04A0" w:firstRow="1" w:lastRow="0" w:firstColumn="1" w:lastColumn="0" w:noHBand="0" w:noVBand="1"/>
      </w:tblPr>
      <w:tblGrid>
        <w:gridCol w:w="4675"/>
        <w:gridCol w:w="4675"/>
      </w:tblGrid>
      <w:tr w:rsidR="00A65BE2" w14:paraId="5067C073" w14:textId="77777777" w:rsidTr="001B41BD">
        <w:tc>
          <w:tcPr>
            <w:tcW w:w="4675" w:type="dxa"/>
            <w:vAlign w:val="bottom"/>
          </w:tcPr>
          <w:p w14:paraId="280BC511" w14:textId="77777777" w:rsidR="00A65BE2" w:rsidRPr="00405FE7" w:rsidRDefault="00A65BE2" w:rsidP="001B41BD">
            <w:r>
              <w:t>Type of Care</w:t>
            </w:r>
          </w:p>
        </w:tc>
        <w:tc>
          <w:tcPr>
            <w:tcW w:w="4675" w:type="dxa"/>
            <w:vAlign w:val="bottom"/>
          </w:tcPr>
          <w:p w14:paraId="6693D538" w14:textId="77777777" w:rsidR="00A65BE2" w:rsidRPr="00405FE7" w:rsidRDefault="00A65BE2" w:rsidP="001B41BD">
            <w:r w:rsidRPr="00405FE7">
              <w:t>Percent</w:t>
            </w:r>
          </w:p>
        </w:tc>
      </w:tr>
      <w:tr w:rsidR="00A65BE2" w14:paraId="7CA8298B" w14:textId="77777777" w:rsidTr="001B41BD">
        <w:tc>
          <w:tcPr>
            <w:tcW w:w="4675" w:type="dxa"/>
            <w:vAlign w:val="bottom"/>
          </w:tcPr>
          <w:p w14:paraId="374EE654" w14:textId="77777777" w:rsidR="00A65BE2" w:rsidRPr="00405FE7" w:rsidRDefault="00A65BE2" w:rsidP="001B41BD">
            <w:r w:rsidRPr="00405FE7">
              <w:t xml:space="preserve">Managing personal care (i.e. medications, feeding, </w:t>
            </w:r>
            <w:proofErr w:type="gramStart"/>
            <w:r w:rsidRPr="00405FE7">
              <w:t>dressing</w:t>
            </w:r>
            <w:proofErr w:type="gramEnd"/>
            <w:r w:rsidRPr="00405FE7">
              <w:t xml:space="preserve"> or bathing)</w:t>
            </w:r>
          </w:p>
        </w:tc>
        <w:tc>
          <w:tcPr>
            <w:tcW w:w="4675" w:type="dxa"/>
            <w:vAlign w:val="bottom"/>
          </w:tcPr>
          <w:p w14:paraId="68E6E33A" w14:textId="77777777" w:rsidR="00A65BE2" w:rsidRPr="00405FE7" w:rsidRDefault="00A65BE2" w:rsidP="001B41BD">
            <w:r w:rsidRPr="00405FE7">
              <w:t>51.4%</w:t>
            </w:r>
          </w:p>
        </w:tc>
      </w:tr>
      <w:tr w:rsidR="00A65BE2" w14:paraId="56B2E849" w14:textId="77777777" w:rsidTr="001B41BD">
        <w:tc>
          <w:tcPr>
            <w:tcW w:w="4675" w:type="dxa"/>
            <w:vAlign w:val="bottom"/>
          </w:tcPr>
          <w:p w14:paraId="5A4EB4E7" w14:textId="77777777" w:rsidR="00A65BE2" w:rsidRPr="00405FE7" w:rsidRDefault="00A65BE2" w:rsidP="001B41BD">
            <w:r w:rsidRPr="00405FE7">
              <w:t>Household tasks (i.e. cleaning, managing money, preparing meals)</w:t>
            </w:r>
          </w:p>
        </w:tc>
        <w:tc>
          <w:tcPr>
            <w:tcW w:w="4675" w:type="dxa"/>
            <w:vAlign w:val="bottom"/>
          </w:tcPr>
          <w:p w14:paraId="187EE20E" w14:textId="77777777" w:rsidR="00A65BE2" w:rsidRPr="00405FE7" w:rsidRDefault="00A65BE2" w:rsidP="001B41BD">
            <w:r w:rsidRPr="00405FE7">
              <w:t>82.0%</w:t>
            </w:r>
          </w:p>
        </w:tc>
      </w:tr>
    </w:tbl>
    <w:p w14:paraId="28861103" w14:textId="77777777" w:rsidR="00A65BE2" w:rsidRPr="00405FE7" w:rsidRDefault="00A65BE2" w:rsidP="00A65BE2">
      <w:r w:rsidRPr="00405FE7">
        <w:t xml:space="preserve">Source: SC BRFSS, 2021. </w:t>
      </w:r>
    </w:p>
    <w:p w14:paraId="3A47676C" w14:textId="77777777" w:rsidR="00A65BE2" w:rsidRPr="00405FE7" w:rsidRDefault="00A65BE2" w:rsidP="00A65BE2">
      <w:r w:rsidRPr="00405FE7">
        <w:t>Note: Adults 18+. Providing regular care in the past 30 days.</w:t>
      </w:r>
    </w:p>
    <w:p w14:paraId="2E3AB349" w14:textId="77777777" w:rsidR="00A65BE2" w:rsidRDefault="00A65BE2" w:rsidP="00A65BE2">
      <w:pPr>
        <w:rPr>
          <w:b/>
          <w:bCs/>
        </w:rPr>
      </w:pPr>
    </w:p>
    <w:p w14:paraId="1E3416B1" w14:textId="77777777" w:rsidR="00A65BE2" w:rsidRPr="00A65BE2" w:rsidRDefault="00A65BE2" w:rsidP="00A65BE2">
      <w:pPr>
        <w:pStyle w:val="Heading4"/>
      </w:pPr>
      <w:bookmarkStart w:id="1031" w:name="_Toc162267698"/>
      <w:r w:rsidRPr="00A65BE2">
        <w:t>Data Interpretations:</w:t>
      </w:r>
      <w:bookmarkEnd w:id="1031"/>
      <w:r w:rsidRPr="00A65BE2">
        <w:t xml:space="preserve"> </w:t>
      </w:r>
    </w:p>
    <w:p w14:paraId="625AAB82" w14:textId="04327160" w:rsidR="00A65BE2" w:rsidRPr="00A65BE2" w:rsidRDefault="00A65BE2" w:rsidP="00A65BE2">
      <w:r w:rsidRPr="00A65BE2">
        <w:t>In 2021, 24.8% of SC adults ages 18 and older reported providing regular care in the past 30 days to a friend or family member with a health problem or disability. Non-Hispanic Blacks reported providing care or assistance to a friend or family member with a health problem or a disability more than their non-Hispanic White, non-Hispanic Other, and Hispanic counterparts (</w:t>
      </w:r>
      <w:r w:rsidRPr="00A65BE2">
        <w:rPr>
          <w:b/>
          <w:bCs/>
        </w:rPr>
        <w:t>Figure 10.28</w:t>
      </w:r>
      <w:r w:rsidRPr="00A65BE2">
        <w:t xml:space="preserve">). Nearly 30.0% of adults aged 45-54 provided regular care to a family member or friend, double that seen among those aged 18-24. Among adults who provide regular care to a friend or family member who has a health problem or disability, 51.4% reported that the care they provide includes managing personal care, such as medications, feeding, dressing, or bathing, and 82.0% reported that the care they provide includes household tasks such as cleaning, managing money, and </w:t>
      </w:r>
      <w:r w:rsidRPr="00A65BE2">
        <w:lastRenderedPageBreak/>
        <w:t>preparing meals (</w:t>
      </w:r>
      <w:r w:rsidRPr="00A65BE2">
        <w:rPr>
          <w:b/>
          <w:bCs/>
        </w:rPr>
        <w:t>Figure 10.29</w:t>
      </w:r>
      <w:r w:rsidRPr="00A65BE2">
        <w:t>). Of those who reported providing care, 13.5% reported that the person they care for has Alzheimer’s disease, dementia, or another cognitive impairment disorder. Among those who reported providing regular care to a friend or family member, 51.0% have been doing this for over two years. Over 16.0% of adults 18 and older expect to provide care or assistance to a friend or family member within the next two years.</w:t>
      </w:r>
    </w:p>
    <w:p w14:paraId="2F3A5267" w14:textId="77777777" w:rsidR="00A65BE2" w:rsidRDefault="00A65BE2" w:rsidP="00A65BE2"/>
    <w:p w14:paraId="365578C8" w14:textId="77777777" w:rsidR="00A65BE2" w:rsidRPr="00882C15" w:rsidRDefault="00A65BE2" w:rsidP="00A65BE2">
      <w:pPr>
        <w:pStyle w:val="Heading5"/>
      </w:pPr>
      <w:r w:rsidRPr="00882C15">
        <w:t>Key Takeaways:</w:t>
      </w:r>
    </w:p>
    <w:p w14:paraId="1F1D40DB" w14:textId="77777777" w:rsidR="00A65BE2" w:rsidRPr="00A65BE2" w:rsidRDefault="00A65BE2" w:rsidP="00926EB3">
      <w:pPr>
        <w:pStyle w:val="ListParagraph"/>
        <w:numPr>
          <w:ilvl w:val="0"/>
          <w:numId w:val="200"/>
        </w:numPr>
      </w:pPr>
      <w:r w:rsidRPr="00A65BE2">
        <w:t>1 in 4 adults provide regular care to family or friends with a health problem or disability, many of whom have been providing care for years.</w:t>
      </w:r>
    </w:p>
    <w:p w14:paraId="3FFF0AFE" w14:textId="77777777" w:rsidR="00A65BE2" w:rsidRDefault="00A65BE2" w:rsidP="00A65BE2"/>
    <w:p w14:paraId="68C6C8A2" w14:textId="02FAF4C2" w:rsidR="00A65BE2" w:rsidRPr="00474B85" w:rsidRDefault="00A65BE2" w:rsidP="00A65BE2">
      <w:pPr>
        <w:pStyle w:val="Heading4"/>
        <w:rPr>
          <w:rFonts w:asciiTheme="minorHAnsi" w:hAnsiTheme="minorHAnsi" w:cstheme="minorHAnsi"/>
          <w:color w:val="000000" w:themeColor="text1"/>
        </w:rPr>
      </w:pPr>
      <w:bookmarkStart w:id="1032" w:name="_Toc162267699"/>
      <w:r w:rsidRPr="00474B85">
        <w:rPr>
          <w:rFonts w:asciiTheme="minorHAnsi" w:hAnsiTheme="minorHAnsi" w:cstheme="minorHAnsi"/>
          <w:color w:val="000000" w:themeColor="text1"/>
        </w:rPr>
        <w:t xml:space="preserve">References </w:t>
      </w:r>
      <w:r>
        <w:rPr>
          <w:rFonts w:asciiTheme="minorHAnsi" w:hAnsiTheme="minorHAnsi" w:cstheme="minorHAnsi"/>
          <w:color w:val="000000" w:themeColor="text1"/>
        </w:rPr>
        <w:t>10.14</w:t>
      </w:r>
      <w:bookmarkEnd w:id="1032"/>
    </w:p>
    <w:p w14:paraId="2D0BD0B6" w14:textId="77777777" w:rsidR="00A65BE2" w:rsidRDefault="00A65BE2" w:rsidP="00A65BE2">
      <w:r w:rsidRPr="00474B85">
        <w:t>Statistics in the preceding section were referenced from the following reports:</w:t>
      </w:r>
    </w:p>
    <w:p w14:paraId="4B948026" w14:textId="70A5FEFE" w:rsidR="00C360A7" w:rsidRPr="00C360A7" w:rsidRDefault="00000000" w:rsidP="00926EB3">
      <w:pPr>
        <w:pStyle w:val="ListParagraph"/>
        <w:numPr>
          <w:ilvl w:val="0"/>
          <w:numId w:val="199"/>
        </w:numPr>
      </w:pPr>
      <w:hyperlink r:id="rId453" w:history="1">
        <w:r w:rsidR="00C360A7" w:rsidRPr="00C360A7">
          <w:rPr>
            <w:rStyle w:val="Hyperlink"/>
          </w:rPr>
          <w:t>“Caregiver health” by the U.S. National Library of Medicine. Published by MedlinePlus, 2020. Retrieved May 4, 2023.</w:t>
        </w:r>
      </w:hyperlink>
      <w:r w:rsidR="00C360A7" w:rsidRPr="00C360A7">
        <w:t xml:space="preserve"> </w:t>
      </w:r>
    </w:p>
    <w:p w14:paraId="1B0510D1" w14:textId="6B2DDA2A" w:rsidR="00C360A7" w:rsidRPr="00C360A7" w:rsidRDefault="00000000" w:rsidP="00926EB3">
      <w:pPr>
        <w:pStyle w:val="ListParagraph"/>
        <w:numPr>
          <w:ilvl w:val="0"/>
          <w:numId w:val="199"/>
        </w:numPr>
      </w:pPr>
      <w:hyperlink r:id="rId454" w:history="1">
        <w:r w:rsidR="00C360A7" w:rsidRPr="00C360A7">
          <w:rPr>
            <w:rStyle w:val="Hyperlink"/>
          </w:rPr>
          <w:t>“Family caregiver support” by the South Carolina Department on Aging. Retrieved May 4, 2023.</w:t>
        </w:r>
      </w:hyperlink>
      <w:r w:rsidR="00C360A7" w:rsidRPr="00C360A7">
        <w:t xml:space="preserve"> </w:t>
      </w:r>
    </w:p>
    <w:p w14:paraId="2C62E1B1" w14:textId="65FA47F7" w:rsidR="00C360A7" w:rsidRPr="00C360A7" w:rsidRDefault="00000000" w:rsidP="00926EB3">
      <w:pPr>
        <w:pStyle w:val="ListParagraph"/>
        <w:numPr>
          <w:ilvl w:val="0"/>
          <w:numId w:val="199"/>
        </w:numPr>
      </w:pPr>
      <w:hyperlink r:id="rId455" w:history="1">
        <w:r w:rsidR="00C360A7" w:rsidRPr="00C360A7">
          <w:rPr>
            <w:rStyle w:val="Hyperlink"/>
          </w:rPr>
          <w:t>“Caregiving for family and friends - a public health issue” by Centers for Disease Control and Prevention via cdc.gov, 2019. Retrieved May 4, 2023.</w:t>
        </w:r>
      </w:hyperlink>
      <w:r w:rsidR="00C360A7" w:rsidRPr="00C360A7">
        <w:t xml:space="preserve"> </w:t>
      </w:r>
    </w:p>
    <w:p w14:paraId="2955DBD2" w14:textId="77777777" w:rsidR="00C360A7" w:rsidRDefault="00C360A7" w:rsidP="00A65BE2"/>
    <w:p w14:paraId="18843BC5" w14:textId="77777777" w:rsidR="00A65BE2" w:rsidRPr="00A65BE2" w:rsidRDefault="00A65BE2" w:rsidP="00A65BE2">
      <w:pPr>
        <w:pStyle w:val="Heading3"/>
      </w:pPr>
      <w:bookmarkStart w:id="1033" w:name="_Toc162267700"/>
      <w:r w:rsidRPr="00A65BE2">
        <w:t>Social Interactions &amp; Connectedness</w:t>
      </w:r>
      <w:bookmarkEnd w:id="1033"/>
    </w:p>
    <w:p w14:paraId="0D8393BB" w14:textId="1FC753CC" w:rsidR="00A65BE2" w:rsidRPr="00A65BE2" w:rsidRDefault="00A65BE2" w:rsidP="00A65BE2">
      <w:pPr>
        <w:rPr>
          <w:b/>
          <w:bCs/>
        </w:rPr>
      </w:pPr>
      <w:r w:rsidRPr="00A65BE2">
        <w:t>Social interactions and relationships are important in fulfilling fundamental human needs throughout life. These interactions are especially important for promoting health among older adults and elderly populations. Older adults are at an increased risk for experiencing social isolation due to a variety of factors, including living alone, disability, retirement, death of a spouse, lack of friends and/or family, low income, and language barriers. Social isolation or lack of meaningful social connections has been associated with a reduced quality of life, unhealthy behaviors such as smoking, physical inactivity, and poor diet, and an increase in poor health outcomes (i.e., heart disease, hypertension, dementia, suicide). Additionally, the older adult and elderly populations who suffer from social isolation are more likely to need long-term nursing care as they are more inclined to suffer from forgetfulness, manage medications poorly, and forget medical appointments. One recent study found that nearly 20% of adults aged 62-91 suffered from frequent loneliness, with those having low income seeing the highest rates. Having available resources for older adults and seniors could help decrease social isolation rates while increasing one’s quality of life.</w:t>
      </w:r>
    </w:p>
    <w:p w14:paraId="456AC809" w14:textId="77777777" w:rsidR="00A65BE2" w:rsidRDefault="00A65BE2" w:rsidP="00A65BE2"/>
    <w:p w14:paraId="4EB7E473" w14:textId="77777777" w:rsidR="00A65BE2" w:rsidRDefault="00A65BE2" w:rsidP="00A65BE2">
      <w:pPr>
        <w:pStyle w:val="Heading4"/>
      </w:pPr>
      <w:bookmarkStart w:id="1034" w:name="_Toc154576593"/>
      <w:bookmarkStart w:id="1035" w:name="_Toc162267701"/>
      <w:r w:rsidRPr="000A3CC0">
        <w:t>Figure 10.</w:t>
      </w:r>
      <w:r>
        <w:t>30:</w:t>
      </w:r>
      <w:r w:rsidRPr="000A3CC0">
        <w:t xml:space="preserve"> </w:t>
      </w:r>
      <w:r w:rsidRPr="00405FE7">
        <w:t>Social Associations in South Carolina</w:t>
      </w:r>
      <w:r>
        <w:t>.</w:t>
      </w:r>
      <w:bookmarkEnd w:id="1034"/>
      <w:bookmarkEnd w:id="1035"/>
    </w:p>
    <w:p w14:paraId="7FC3F111" w14:textId="77777777" w:rsidR="00A65BE2" w:rsidRDefault="00A65BE2" w:rsidP="00A65BE2">
      <w:pPr>
        <w:pStyle w:val="Heading5"/>
      </w:pPr>
      <w:r>
        <w:t>Rate per 10,000 population.</w:t>
      </w:r>
    </w:p>
    <w:tbl>
      <w:tblPr>
        <w:tblStyle w:val="TableGrid"/>
        <w:tblW w:w="0" w:type="auto"/>
        <w:tblLook w:val="04A0" w:firstRow="1" w:lastRow="0" w:firstColumn="1" w:lastColumn="0" w:noHBand="0" w:noVBand="1"/>
      </w:tblPr>
      <w:tblGrid>
        <w:gridCol w:w="4675"/>
        <w:gridCol w:w="4675"/>
      </w:tblGrid>
      <w:tr w:rsidR="00A65BE2" w14:paraId="180A9CCF" w14:textId="77777777" w:rsidTr="001B41BD">
        <w:tc>
          <w:tcPr>
            <w:tcW w:w="4675" w:type="dxa"/>
            <w:vAlign w:val="bottom"/>
          </w:tcPr>
          <w:p w14:paraId="1B04273E" w14:textId="77777777" w:rsidR="00A65BE2" w:rsidRPr="00405FE7" w:rsidRDefault="00A65BE2" w:rsidP="001B41BD">
            <w:r w:rsidRPr="00405FE7">
              <w:t>County</w:t>
            </w:r>
          </w:p>
        </w:tc>
        <w:tc>
          <w:tcPr>
            <w:tcW w:w="4675" w:type="dxa"/>
            <w:vAlign w:val="bottom"/>
          </w:tcPr>
          <w:p w14:paraId="096237FD" w14:textId="77777777" w:rsidR="00A65BE2" w:rsidRPr="00405FE7" w:rsidRDefault="00A65BE2" w:rsidP="001B41BD">
            <w:r w:rsidRPr="00405FE7">
              <w:t>Rate</w:t>
            </w:r>
          </w:p>
        </w:tc>
      </w:tr>
      <w:tr w:rsidR="00A65BE2" w14:paraId="159F0980" w14:textId="77777777" w:rsidTr="001B41BD">
        <w:tc>
          <w:tcPr>
            <w:tcW w:w="4675" w:type="dxa"/>
            <w:vAlign w:val="bottom"/>
          </w:tcPr>
          <w:p w14:paraId="6A2E7801" w14:textId="77777777" w:rsidR="00A65BE2" w:rsidRPr="00405FE7" w:rsidRDefault="00A65BE2" w:rsidP="001B41BD">
            <w:r w:rsidRPr="00405FE7">
              <w:t>Abbeville</w:t>
            </w:r>
          </w:p>
        </w:tc>
        <w:tc>
          <w:tcPr>
            <w:tcW w:w="4675" w:type="dxa"/>
            <w:vAlign w:val="bottom"/>
          </w:tcPr>
          <w:p w14:paraId="13BEB128" w14:textId="77777777" w:rsidR="00A65BE2" w:rsidRPr="00405FE7" w:rsidRDefault="00A65BE2" w:rsidP="001B41BD">
            <w:r w:rsidRPr="00405FE7">
              <w:t>11.1</w:t>
            </w:r>
          </w:p>
        </w:tc>
      </w:tr>
      <w:tr w:rsidR="00A65BE2" w14:paraId="0DE3A308" w14:textId="77777777" w:rsidTr="001B41BD">
        <w:tc>
          <w:tcPr>
            <w:tcW w:w="4675" w:type="dxa"/>
            <w:vAlign w:val="bottom"/>
          </w:tcPr>
          <w:p w14:paraId="113C2F4C" w14:textId="77777777" w:rsidR="00A65BE2" w:rsidRPr="00405FE7" w:rsidRDefault="00A65BE2" w:rsidP="001B41BD">
            <w:r w:rsidRPr="00405FE7">
              <w:t>Aiken</w:t>
            </w:r>
          </w:p>
        </w:tc>
        <w:tc>
          <w:tcPr>
            <w:tcW w:w="4675" w:type="dxa"/>
            <w:vAlign w:val="bottom"/>
          </w:tcPr>
          <w:p w14:paraId="4CEF2823" w14:textId="77777777" w:rsidR="00A65BE2" w:rsidRPr="00405FE7" w:rsidRDefault="00A65BE2" w:rsidP="001B41BD">
            <w:r w:rsidRPr="00405FE7">
              <w:t>9.9</w:t>
            </w:r>
          </w:p>
        </w:tc>
      </w:tr>
      <w:tr w:rsidR="00A65BE2" w14:paraId="5AEEA510" w14:textId="77777777" w:rsidTr="001B41BD">
        <w:tc>
          <w:tcPr>
            <w:tcW w:w="4675" w:type="dxa"/>
            <w:vAlign w:val="bottom"/>
          </w:tcPr>
          <w:p w14:paraId="70F214FD" w14:textId="77777777" w:rsidR="00A65BE2" w:rsidRPr="00405FE7" w:rsidRDefault="00A65BE2" w:rsidP="001B41BD">
            <w:r w:rsidRPr="00405FE7">
              <w:t>Allendale</w:t>
            </w:r>
          </w:p>
        </w:tc>
        <w:tc>
          <w:tcPr>
            <w:tcW w:w="4675" w:type="dxa"/>
            <w:vAlign w:val="bottom"/>
          </w:tcPr>
          <w:p w14:paraId="121C18C3" w14:textId="77777777" w:rsidR="00A65BE2" w:rsidRPr="00405FE7" w:rsidRDefault="00A65BE2" w:rsidP="001B41BD">
            <w:r w:rsidRPr="00405FE7">
              <w:t>4.8</w:t>
            </w:r>
          </w:p>
        </w:tc>
      </w:tr>
      <w:tr w:rsidR="00A65BE2" w14:paraId="68F3DB35" w14:textId="77777777" w:rsidTr="001B41BD">
        <w:tc>
          <w:tcPr>
            <w:tcW w:w="4675" w:type="dxa"/>
            <w:vAlign w:val="bottom"/>
          </w:tcPr>
          <w:p w14:paraId="103F47CF" w14:textId="77777777" w:rsidR="00A65BE2" w:rsidRPr="00405FE7" w:rsidRDefault="00A65BE2" w:rsidP="001B41BD">
            <w:r w:rsidRPr="00405FE7">
              <w:t>Anderson</w:t>
            </w:r>
          </w:p>
        </w:tc>
        <w:tc>
          <w:tcPr>
            <w:tcW w:w="4675" w:type="dxa"/>
            <w:vAlign w:val="bottom"/>
          </w:tcPr>
          <w:p w14:paraId="66B28060" w14:textId="77777777" w:rsidR="00A65BE2" w:rsidRPr="00405FE7" w:rsidRDefault="00A65BE2" w:rsidP="001B41BD">
            <w:r w:rsidRPr="00405FE7">
              <w:t>12.5</w:t>
            </w:r>
          </w:p>
        </w:tc>
      </w:tr>
      <w:tr w:rsidR="00A65BE2" w14:paraId="2B8765B4" w14:textId="77777777" w:rsidTr="001B41BD">
        <w:tc>
          <w:tcPr>
            <w:tcW w:w="4675" w:type="dxa"/>
            <w:vAlign w:val="bottom"/>
          </w:tcPr>
          <w:p w14:paraId="6E2D7584" w14:textId="77777777" w:rsidR="00A65BE2" w:rsidRPr="00405FE7" w:rsidRDefault="00A65BE2" w:rsidP="001B41BD">
            <w:r w:rsidRPr="00405FE7">
              <w:t>Bamberg</w:t>
            </w:r>
          </w:p>
        </w:tc>
        <w:tc>
          <w:tcPr>
            <w:tcW w:w="4675" w:type="dxa"/>
            <w:vAlign w:val="bottom"/>
          </w:tcPr>
          <w:p w14:paraId="61022D0E" w14:textId="77777777" w:rsidR="00A65BE2" w:rsidRPr="00405FE7" w:rsidRDefault="00A65BE2" w:rsidP="001B41BD">
            <w:r w:rsidRPr="00405FE7">
              <w:t>18</w:t>
            </w:r>
          </w:p>
        </w:tc>
      </w:tr>
      <w:tr w:rsidR="00A65BE2" w14:paraId="0205A4FC" w14:textId="77777777" w:rsidTr="001B41BD">
        <w:tc>
          <w:tcPr>
            <w:tcW w:w="4675" w:type="dxa"/>
            <w:vAlign w:val="bottom"/>
          </w:tcPr>
          <w:p w14:paraId="04556849" w14:textId="77777777" w:rsidR="00A65BE2" w:rsidRPr="00405FE7" w:rsidRDefault="00A65BE2" w:rsidP="001B41BD">
            <w:r w:rsidRPr="00405FE7">
              <w:t>Barnwell</w:t>
            </w:r>
          </w:p>
        </w:tc>
        <w:tc>
          <w:tcPr>
            <w:tcW w:w="4675" w:type="dxa"/>
            <w:vAlign w:val="bottom"/>
          </w:tcPr>
          <w:p w14:paraId="5B8E6D58" w14:textId="77777777" w:rsidR="00A65BE2" w:rsidRPr="00405FE7" w:rsidRDefault="00A65BE2" w:rsidP="001B41BD">
            <w:r w:rsidRPr="00405FE7">
              <w:t>14.9</w:t>
            </w:r>
          </w:p>
        </w:tc>
      </w:tr>
      <w:tr w:rsidR="00A65BE2" w14:paraId="0BBD4E88" w14:textId="77777777" w:rsidTr="001B41BD">
        <w:tc>
          <w:tcPr>
            <w:tcW w:w="4675" w:type="dxa"/>
            <w:vAlign w:val="bottom"/>
          </w:tcPr>
          <w:p w14:paraId="2D970D1F" w14:textId="77777777" w:rsidR="00A65BE2" w:rsidRPr="00405FE7" w:rsidRDefault="00A65BE2" w:rsidP="001B41BD">
            <w:r w:rsidRPr="00405FE7">
              <w:t>Beaufort</w:t>
            </w:r>
          </w:p>
        </w:tc>
        <w:tc>
          <w:tcPr>
            <w:tcW w:w="4675" w:type="dxa"/>
            <w:vAlign w:val="bottom"/>
          </w:tcPr>
          <w:p w14:paraId="16DF333C" w14:textId="77777777" w:rsidR="00A65BE2" w:rsidRPr="00405FE7" w:rsidRDefault="00A65BE2" w:rsidP="001B41BD">
            <w:r w:rsidRPr="00405FE7">
              <w:t>8.8</w:t>
            </w:r>
          </w:p>
        </w:tc>
      </w:tr>
      <w:tr w:rsidR="00A65BE2" w14:paraId="62111130" w14:textId="77777777" w:rsidTr="001B41BD">
        <w:tc>
          <w:tcPr>
            <w:tcW w:w="4675" w:type="dxa"/>
            <w:vAlign w:val="bottom"/>
          </w:tcPr>
          <w:p w14:paraId="787A60B0" w14:textId="77777777" w:rsidR="00A65BE2" w:rsidRPr="00405FE7" w:rsidRDefault="00A65BE2" w:rsidP="001B41BD">
            <w:r w:rsidRPr="00405FE7">
              <w:t>Berkeley</w:t>
            </w:r>
          </w:p>
        </w:tc>
        <w:tc>
          <w:tcPr>
            <w:tcW w:w="4675" w:type="dxa"/>
            <w:vAlign w:val="bottom"/>
          </w:tcPr>
          <w:p w14:paraId="09DC435E" w14:textId="77777777" w:rsidR="00A65BE2" w:rsidRPr="00405FE7" w:rsidRDefault="00A65BE2" w:rsidP="001B41BD">
            <w:r w:rsidRPr="00405FE7">
              <w:t>6.2</w:t>
            </w:r>
          </w:p>
        </w:tc>
      </w:tr>
      <w:tr w:rsidR="00A65BE2" w14:paraId="5E7754F4" w14:textId="77777777" w:rsidTr="001B41BD">
        <w:tc>
          <w:tcPr>
            <w:tcW w:w="4675" w:type="dxa"/>
            <w:vAlign w:val="bottom"/>
          </w:tcPr>
          <w:p w14:paraId="43CD4670" w14:textId="77777777" w:rsidR="00A65BE2" w:rsidRPr="00405FE7" w:rsidRDefault="00A65BE2" w:rsidP="001B41BD">
            <w:r w:rsidRPr="00405FE7">
              <w:t>Calhoun</w:t>
            </w:r>
          </w:p>
        </w:tc>
        <w:tc>
          <w:tcPr>
            <w:tcW w:w="4675" w:type="dxa"/>
            <w:vAlign w:val="bottom"/>
          </w:tcPr>
          <w:p w14:paraId="35141506" w14:textId="77777777" w:rsidR="00A65BE2" w:rsidRPr="00405FE7" w:rsidRDefault="00A65BE2" w:rsidP="001B41BD">
            <w:r w:rsidRPr="00405FE7">
              <w:t>13.1</w:t>
            </w:r>
          </w:p>
        </w:tc>
      </w:tr>
      <w:tr w:rsidR="00A65BE2" w14:paraId="126E980E" w14:textId="77777777" w:rsidTr="001B41BD">
        <w:tc>
          <w:tcPr>
            <w:tcW w:w="4675" w:type="dxa"/>
            <w:vAlign w:val="bottom"/>
          </w:tcPr>
          <w:p w14:paraId="23030350" w14:textId="77777777" w:rsidR="00A65BE2" w:rsidRPr="00405FE7" w:rsidRDefault="00A65BE2" w:rsidP="001B41BD">
            <w:r w:rsidRPr="00405FE7">
              <w:t>Charleston</w:t>
            </w:r>
          </w:p>
        </w:tc>
        <w:tc>
          <w:tcPr>
            <w:tcW w:w="4675" w:type="dxa"/>
            <w:vAlign w:val="bottom"/>
          </w:tcPr>
          <w:p w14:paraId="45A2D267" w14:textId="77777777" w:rsidR="00A65BE2" w:rsidRPr="00405FE7" w:rsidRDefault="00A65BE2" w:rsidP="001B41BD">
            <w:r w:rsidRPr="00405FE7">
              <w:t>11.3</w:t>
            </w:r>
          </w:p>
        </w:tc>
      </w:tr>
      <w:tr w:rsidR="00A65BE2" w14:paraId="5FDBB8DD" w14:textId="77777777" w:rsidTr="001B41BD">
        <w:tc>
          <w:tcPr>
            <w:tcW w:w="4675" w:type="dxa"/>
            <w:vAlign w:val="bottom"/>
          </w:tcPr>
          <w:p w14:paraId="37CC145F" w14:textId="77777777" w:rsidR="00A65BE2" w:rsidRPr="00405FE7" w:rsidRDefault="00A65BE2" w:rsidP="001B41BD">
            <w:r w:rsidRPr="00405FE7">
              <w:t>Cherokee</w:t>
            </w:r>
          </w:p>
        </w:tc>
        <w:tc>
          <w:tcPr>
            <w:tcW w:w="4675" w:type="dxa"/>
            <w:vAlign w:val="bottom"/>
          </w:tcPr>
          <w:p w14:paraId="2B365EB3" w14:textId="77777777" w:rsidR="00A65BE2" w:rsidRPr="00405FE7" w:rsidRDefault="00A65BE2" w:rsidP="001B41BD">
            <w:r w:rsidRPr="00405FE7">
              <w:t>15.9</w:t>
            </w:r>
          </w:p>
        </w:tc>
      </w:tr>
      <w:tr w:rsidR="00A65BE2" w14:paraId="2EBF1394" w14:textId="77777777" w:rsidTr="001B41BD">
        <w:tc>
          <w:tcPr>
            <w:tcW w:w="4675" w:type="dxa"/>
            <w:vAlign w:val="bottom"/>
          </w:tcPr>
          <w:p w14:paraId="0B4FED33" w14:textId="77777777" w:rsidR="00A65BE2" w:rsidRPr="00405FE7" w:rsidRDefault="00A65BE2" w:rsidP="001B41BD">
            <w:r w:rsidRPr="00405FE7">
              <w:t>Chester</w:t>
            </w:r>
          </w:p>
        </w:tc>
        <w:tc>
          <w:tcPr>
            <w:tcW w:w="4675" w:type="dxa"/>
            <w:vAlign w:val="bottom"/>
          </w:tcPr>
          <w:p w14:paraId="144B7B1F" w14:textId="77777777" w:rsidR="00A65BE2" w:rsidRPr="00405FE7" w:rsidRDefault="00A65BE2" w:rsidP="001B41BD">
            <w:r w:rsidRPr="00405FE7">
              <w:t>15.5</w:t>
            </w:r>
          </w:p>
        </w:tc>
      </w:tr>
      <w:tr w:rsidR="00A65BE2" w14:paraId="43D48A67" w14:textId="77777777" w:rsidTr="001B41BD">
        <w:tc>
          <w:tcPr>
            <w:tcW w:w="4675" w:type="dxa"/>
            <w:vAlign w:val="bottom"/>
          </w:tcPr>
          <w:p w14:paraId="735EDAE5" w14:textId="77777777" w:rsidR="00A65BE2" w:rsidRPr="00405FE7" w:rsidRDefault="00A65BE2" w:rsidP="001B41BD">
            <w:r w:rsidRPr="00405FE7">
              <w:t>Chesterfield</w:t>
            </w:r>
          </w:p>
        </w:tc>
        <w:tc>
          <w:tcPr>
            <w:tcW w:w="4675" w:type="dxa"/>
            <w:vAlign w:val="bottom"/>
          </w:tcPr>
          <w:p w14:paraId="190083FF" w14:textId="77777777" w:rsidR="00A65BE2" w:rsidRPr="00405FE7" w:rsidRDefault="00A65BE2" w:rsidP="001B41BD">
            <w:r w:rsidRPr="00405FE7">
              <w:t>12.3</w:t>
            </w:r>
          </w:p>
        </w:tc>
      </w:tr>
      <w:tr w:rsidR="00A65BE2" w14:paraId="0E104250" w14:textId="77777777" w:rsidTr="001B41BD">
        <w:tc>
          <w:tcPr>
            <w:tcW w:w="4675" w:type="dxa"/>
            <w:vAlign w:val="bottom"/>
          </w:tcPr>
          <w:p w14:paraId="4BCE772C" w14:textId="77777777" w:rsidR="00A65BE2" w:rsidRPr="00405FE7" w:rsidRDefault="00A65BE2" w:rsidP="001B41BD">
            <w:r w:rsidRPr="00405FE7">
              <w:t>Clarendon</w:t>
            </w:r>
          </w:p>
        </w:tc>
        <w:tc>
          <w:tcPr>
            <w:tcW w:w="4675" w:type="dxa"/>
            <w:vAlign w:val="bottom"/>
          </w:tcPr>
          <w:p w14:paraId="4ABEA016" w14:textId="77777777" w:rsidR="00A65BE2" w:rsidRPr="00405FE7" w:rsidRDefault="00A65BE2" w:rsidP="001B41BD">
            <w:r w:rsidRPr="00405FE7">
              <w:t>12.3</w:t>
            </w:r>
          </w:p>
        </w:tc>
      </w:tr>
      <w:tr w:rsidR="00A65BE2" w14:paraId="4299473B" w14:textId="77777777" w:rsidTr="001B41BD">
        <w:tc>
          <w:tcPr>
            <w:tcW w:w="4675" w:type="dxa"/>
            <w:vAlign w:val="bottom"/>
          </w:tcPr>
          <w:p w14:paraId="20CCB422" w14:textId="77777777" w:rsidR="00A65BE2" w:rsidRPr="00405FE7" w:rsidRDefault="00A65BE2" w:rsidP="001B41BD">
            <w:r w:rsidRPr="00405FE7">
              <w:t>Colleton</w:t>
            </w:r>
          </w:p>
        </w:tc>
        <w:tc>
          <w:tcPr>
            <w:tcW w:w="4675" w:type="dxa"/>
            <w:vAlign w:val="bottom"/>
          </w:tcPr>
          <w:p w14:paraId="68273140" w14:textId="77777777" w:rsidR="00A65BE2" w:rsidRPr="00405FE7" w:rsidRDefault="00A65BE2" w:rsidP="001B41BD">
            <w:r w:rsidRPr="00405FE7">
              <w:t>10.1</w:t>
            </w:r>
          </w:p>
        </w:tc>
      </w:tr>
      <w:tr w:rsidR="00A65BE2" w14:paraId="2F00A2CA" w14:textId="77777777" w:rsidTr="001B41BD">
        <w:tc>
          <w:tcPr>
            <w:tcW w:w="4675" w:type="dxa"/>
            <w:vAlign w:val="bottom"/>
          </w:tcPr>
          <w:p w14:paraId="0D4E7A41" w14:textId="77777777" w:rsidR="00A65BE2" w:rsidRPr="00405FE7" w:rsidRDefault="00A65BE2" w:rsidP="001B41BD">
            <w:r w:rsidRPr="00405FE7">
              <w:t>Darlington</w:t>
            </w:r>
          </w:p>
        </w:tc>
        <w:tc>
          <w:tcPr>
            <w:tcW w:w="4675" w:type="dxa"/>
            <w:vAlign w:val="bottom"/>
          </w:tcPr>
          <w:p w14:paraId="16B4BE99" w14:textId="77777777" w:rsidR="00A65BE2" w:rsidRPr="00405FE7" w:rsidRDefault="00A65BE2" w:rsidP="001B41BD">
            <w:r w:rsidRPr="00405FE7">
              <w:t>13.5</w:t>
            </w:r>
          </w:p>
        </w:tc>
      </w:tr>
      <w:tr w:rsidR="00A65BE2" w14:paraId="6D135B55" w14:textId="77777777" w:rsidTr="001B41BD">
        <w:tc>
          <w:tcPr>
            <w:tcW w:w="4675" w:type="dxa"/>
            <w:vAlign w:val="bottom"/>
          </w:tcPr>
          <w:p w14:paraId="4671E37E" w14:textId="77777777" w:rsidR="00A65BE2" w:rsidRPr="00405FE7" w:rsidRDefault="00A65BE2" w:rsidP="001B41BD">
            <w:r w:rsidRPr="00405FE7">
              <w:t>Dillon</w:t>
            </w:r>
          </w:p>
        </w:tc>
        <w:tc>
          <w:tcPr>
            <w:tcW w:w="4675" w:type="dxa"/>
            <w:vAlign w:val="bottom"/>
          </w:tcPr>
          <w:p w14:paraId="1A3136E3" w14:textId="77777777" w:rsidR="00A65BE2" w:rsidRPr="00405FE7" w:rsidRDefault="00A65BE2" w:rsidP="001B41BD">
            <w:r w:rsidRPr="00405FE7">
              <w:t>9.5</w:t>
            </w:r>
          </w:p>
        </w:tc>
      </w:tr>
      <w:tr w:rsidR="00A65BE2" w14:paraId="21CBBFE9" w14:textId="77777777" w:rsidTr="001B41BD">
        <w:tc>
          <w:tcPr>
            <w:tcW w:w="4675" w:type="dxa"/>
            <w:vAlign w:val="bottom"/>
          </w:tcPr>
          <w:p w14:paraId="1AA3C6EA" w14:textId="77777777" w:rsidR="00A65BE2" w:rsidRPr="00405FE7" w:rsidRDefault="00A65BE2" w:rsidP="001B41BD">
            <w:r w:rsidRPr="00405FE7">
              <w:t>Dorchester</w:t>
            </w:r>
          </w:p>
        </w:tc>
        <w:tc>
          <w:tcPr>
            <w:tcW w:w="4675" w:type="dxa"/>
            <w:vAlign w:val="bottom"/>
          </w:tcPr>
          <w:p w14:paraId="1812BC3A" w14:textId="77777777" w:rsidR="00A65BE2" w:rsidRPr="00405FE7" w:rsidRDefault="00A65BE2" w:rsidP="001B41BD">
            <w:r w:rsidRPr="00405FE7">
              <w:t>5.8</w:t>
            </w:r>
          </w:p>
        </w:tc>
      </w:tr>
      <w:tr w:rsidR="00A65BE2" w14:paraId="589547E7" w14:textId="77777777" w:rsidTr="001B41BD">
        <w:tc>
          <w:tcPr>
            <w:tcW w:w="4675" w:type="dxa"/>
            <w:vAlign w:val="bottom"/>
          </w:tcPr>
          <w:p w14:paraId="208E0206" w14:textId="77777777" w:rsidR="00A65BE2" w:rsidRPr="00405FE7" w:rsidRDefault="00A65BE2" w:rsidP="001B41BD">
            <w:r w:rsidRPr="00405FE7">
              <w:t>Edgefield</w:t>
            </w:r>
          </w:p>
        </w:tc>
        <w:tc>
          <w:tcPr>
            <w:tcW w:w="4675" w:type="dxa"/>
            <w:vAlign w:val="bottom"/>
          </w:tcPr>
          <w:p w14:paraId="02F05263" w14:textId="77777777" w:rsidR="00A65BE2" w:rsidRPr="00405FE7" w:rsidRDefault="00A65BE2" w:rsidP="001B41BD">
            <w:r w:rsidRPr="00405FE7">
              <w:t>10.3</w:t>
            </w:r>
          </w:p>
        </w:tc>
      </w:tr>
      <w:tr w:rsidR="00A65BE2" w14:paraId="53F55DE1" w14:textId="77777777" w:rsidTr="001B41BD">
        <w:tc>
          <w:tcPr>
            <w:tcW w:w="4675" w:type="dxa"/>
            <w:vAlign w:val="bottom"/>
          </w:tcPr>
          <w:p w14:paraId="71F43BA3" w14:textId="77777777" w:rsidR="00A65BE2" w:rsidRPr="00405FE7" w:rsidRDefault="00A65BE2" w:rsidP="001B41BD">
            <w:r w:rsidRPr="00405FE7">
              <w:t>Fairfield</w:t>
            </w:r>
          </w:p>
        </w:tc>
        <w:tc>
          <w:tcPr>
            <w:tcW w:w="4675" w:type="dxa"/>
            <w:vAlign w:val="bottom"/>
          </w:tcPr>
          <w:p w14:paraId="41A0E170" w14:textId="77777777" w:rsidR="00A65BE2" w:rsidRPr="00405FE7" w:rsidRDefault="00A65BE2" w:rsidP="001B41BD">
            <w:r w:rsidRPr="00405FE7">
              <w:t>15</w:t>
            </w:r>
          </w:p>
        </w:tc>
      </w:tr>
      <w:tr w:rsidR="00A65BE2" w14:paraId="744FACC6" w14:textId="77777777" w:rsidTr="001B41BD">
        <w:tc>
          <w:tcPr>
            <w:tcW w:w="4675" w:type="dxa"/>
            <w:vAlign w:val="bottom"/>
          </w:tcPr>
          <w:p w14:paraId="071F5290" w14:textId="77777777" w:rsidR="00A65BE2" w:rsidRPr="00405FE7" w:rsidRDefault="00A65BE2" w:rsidP="001B41BD">
            <w:r w:rsidRPr="00405FE7">
              <w:t>Florence</w:t>
            </w:r>
          </w:p>
        </w:tc>
        <w:tc>
          <w:tcPr>
            <w:tcW w:w="4675" w:type="dxa"/>
            <w:vAlign w:val="bottom"/>
          </w:tcPr>
          <w:p w14:paraId="57AF1F46" w14:textId="77777777" w:rsidR="00A65BE2" w:rsidRPr="00405FE7" w:rsidRDefault="00A65BE2" w:rsidP="001B41BD">
            <w:r w:rsidRPr="00405FE7">
              <w:t>12.1</w:t>
            </w:r>
          </w:p>
        </w:tc>
      </w:tr>
      <w:tr w:rsidR="00A65BE2" w14:paraId="5DC468E6" w14:textId="77777777" w:rsidTr="001B41BD">
        <w:tc>
          <w:tcPr>
            <w:tcW w:w="4675" w:type="dxa"/>
            <w:vAlign w:val="bottom"/>
          </w:tcPr>
          <w:p w14:paraId="2FA41ACC" w14:textId="77777777" w:rsidR="00A65BE2" w:rsidRPr="00405FE7" w:rsidRDefault="00A65BE2" w:rsidP="001B41BD">
            <w:r w:rsidRPr="00405FE7">
              <w:t>Georgetown</w:t>
            </w:r>
          </w:p>
        </w:tc>
        <w:tc>
          <w:tcPr>
            <w:tcW w:w="4675" w:type="dxa"/>
            <w:vAlign w:val="bottom"/>
          </w:tcPr>
          <w:p w14:paraId="45A4C91E" w14:textId="77777777" w:rsidR="00A65BE2" w:rsidRPr="00405FE7" w:rsidRDefault="00A65BE2" w:rsidP="001B41BD">
            <w:r w:rsidRPr="00405FE7">
              <w:t>16.7</w:t>
            </w:r>
          </w:p>
        </w:tc>
      </w:tr>
      <w:tr w:rsidR="00A65BE2" w14:paraId="1E706682" w14:textId="77777777" w:rsidTr="001B41BD">
        <w:tc>
          <w:tcPr>
            <w:tcW w:w="4675" w:type="dxa"/>
            <w:vAlign w:val="bottom"/>
          </w:tcPr>
          <w:p w14:paraId="52F93A10" w14:textId="77777777" w:rsidR="00A65BE2" w:rsidRPr="00405FE7" w:rsidRDefault="00A65BE2" w:rsidP="001B41BD">
            <w:r w:rsidRPr="00405FE7">
              <w:t>Greenville</w:t>
            </w:r>
          </w:p>
        </w:tc>
        <w:tc>
          <w:tcPr>
            <w:tcW w:w="4675" w:type="dxa"/>
            <w:vAlign w:val="bottom"/>
          </w:tcPr>
          <w:p w14:paraId="3E3550FA" w14:textId="77777777" w:rsidR="00A65BE2" w:rsidRPr="00405FE7" w:rsidRDefault="00A65BE2" w:rsidP="001B41BD">
            <w:r w:rsidRPr="00405FE7">
              <w:t>11.7</w:t>
            </w:r>
          </w:p>
        </w:tc>
      </w:tr>
      <w:tr w:rsidR="00A65BE2" w14:paraId="526E96B7" w14:textId="77777777" w:rsidTr="001B41BD">
        <w:tc>
          <w:tcPr>
            <w:tcW w:w="4675" w:type="dxa"/>
            <w:vAlign w:val="bottom"/>
          </w:tcPr>
          <w:p w14:paraId="59193AFA" w14:textId="77777777" w:rsidR="00A65BE2" w:rsidRPr="00405FE7" w:rsidRDefault="00A65BE2" w:rsidP="001B41BD">
            <w:r w:rsidRPr="00405FE7">
              <w:t>Greenwood</w:t>
            </w:r>
          </w:p>
        </w:tc>
        <w:tc>
          <w:tcPr>
            <w:tcW w:w="4675" w:type="dxa"/>
            <w:vAlign w:val="bottom"/>
          </w:tcPr>
          <w:p w14:paraId="37F87A0A" w14:textId="77777777" w:rsidR="00A65BE2" w:rsidRPr="00405FE7" w:rsidRDefault="00A65BE2" w:rsidP="001B41BD">
            <w:r w:rsidRPr="00405FE7">
              <w:t>13.5</w:t>
            </w:r>
          </w:p>
        </w:tc>
      </w:tr>
      <w:tr w:rsidR="00A65BE2" w14:paraId="577554CC" w14:textId="77777777" w:rsidTr="001B41BD">
        <w:tc>
          <w:tcPr>
            <w:tcW w:w="4675" w:type="dxa"/>
            <w:vAlign w:val="bottom"/>
          </w:tcPr>
          <w:p w14:paraId="7798D673" w14:textId="77777777" w:rsidR="00A65BE2" w:rsidRPr="00405FE7" w:rsidRDefault="00A65BE2" w:rsidP="001B41BD">
            <w:r w:rsidRPr="00405FE7">
              <w:t>Hampton</w:t>
            </w:r>
          </w:p>
        </w:tc>
        <w:tc>
          <w:tcPr>
            <w:tcW w:w="4675" w:type="dxa"/>
            <w:vAlign w:val="bottom"/>
          </w:tcPr>
          <w:p w14:paraId="3D67F02A" w14:textId="77777777" w:rsidR="00A65BE2" w:rsidRPr="00405FE7" w:rsidRDefault="00A65BE2" w:rsidP="001B41BD">
            <w:r w:rsidRPr="00405FE7">
              <w:t>10.5</w:t>
            </w:r>
          </w:p>
        </w:tc>
      </w:tr>
      <w:tr w:rsidR="00A65BE2" w14:paraId="785D2C46" w14:textId="77777777" w:rsidTr="001B41BD">
        <w:tc>
          <w:tcPr>
            <w:tcW w:w="4675" w:type="dxa"/>
            <w:vAlign w:val="bottom"/>
          </w:tcPr>
          <w:p w14:paraId="4B42F245" w14:textId="77777777" w:rsidR="00A65BE2" w:rsidRPr="00405FE7" w:rsidRDefault="00A65BE2" w:rsidP="001B41BD">
            <w:r w:rsidRPr="00405FE7">
              <w:t>Horry</w:t>
            </w:r>
          </w:p>
        </w:tc>
        <w:tc>
          <w:tcPr>
            <w:tcW w:w="4675" w:type="dxa"/>
            <w:vAlign w:val="bottom"/>
          </w:tcPr>
          <w:p w14:paraId="62552AF0" w14:textId="77777777" w:rsidR="00A65BE2" w:rsidRPr="00405FE7" w:rsidRDefault="00A65BE2" w:rsidP="001B41BD">
            <w:r w:rsidRPr="00405FE7">
              <w:t>8.2</w:t>
            </w:r>
          </w:p>
        </w:tc>
      </w:tr>
      <w:tr w:rsidR="00A65BE2" w14:paraId="411986F1" w14:textId="77777777" w:rsidTr="001B41BD">
        <w:tc>
          <w:tcPr>
            <w:tcW w:w="4675" w:type="dxa"/>
            <w:vAlign w:val="bottom"/>
          </w:tcPr>
          <w:p w14:paraId="297879A2" w14:textId="77777777" w:rsidR="00A65BE2" w:rsidRPr="00405FE7" w:rsidRDefault="00A65BE2" w:rsidP="001B41BD">
            <w:r w:rsidRPr="00405FE7">
              <w:t>Jasper</w:t>
            </w:r>
          </w:p>
        </w:tc>
        <w:tc>
          <w:tcPr>
            <w:tcW w:w="4675" w:type="dxa"/>
            <w:vAlign w:val="bottom"/>
          </w:tcPr>
          <w:p w14:paraId="0DDF0D9A" w14:textId="77777777" w:rsidR="00A65BE2" w:rsidRPr="00405FE7" w:rsidRDefault="00A65BE2" w:rsidP="001B41BD">
            <w:r w:rsidRPr="00405FE7">
              <w:t>6</w:t>
            </w:r>
          </w:p>
        </w:tc>
      </w:tr>
      <w:tr w:rsidR="00A65BE2" w14:paraId="0FF45F5A" w14:textId="77777777" w:rsidTr="001B41BD">
        <w:tc>
          <w:tcPr>
            <w:tcW w:w="4675" w:type="dxa"/>
            <w:vAlign w:val="bottom"/>
          </w:tcPr>
          <w:p w14:paraId="0B5A95A9" w14:textId="77777777" w:rsidR="00A65BE2" w:rsidRPr="00405FE7" w:rsidRDefault="00A65BE2" w:rsidP="001B41BD">
            <w:r w:rsidRPr="00405FE7">
              <w:t>Kershaw</w:t>
            </w:r>
          </w:p>
        </w:tc>
        <w:tc>
          <w:tcPr>
            <w:tcW w:w="4675" w:type="dxa"/>
            <w:vAlign w:val="bottom"/>
          </w:tcPr>
          <w:p w14:paraId="2D2C1A29" w14:textId="77777777" w:rsidR="00A65BE2" w:rsidRPr="00405FE7" w:rsidRDefault="00A65BE2" w:rsidP="001B41BD">
            <w:r w:rsidRPr="00405FE7">
              <w:t>10.8</w:t>
            </w:r>
          </w:p>
        </w:tc>
      </w:tr>
      <w:tr w:rsidR="00A65BE2" w14:paraId="5BD1A03B" w14:textId="77777777" w:rsidTr="001B41BD">
        <w:tc>
          <w:tcPr>
            <w:tcW w:w="4675" w:type="dxa"/>
            <w:vAlign w:val="bottom"/>
          </w:tcPr>
          <w:p w14:paraId="2CFACBF9" w14:textId="77777777" w:rsidR="00A65BE2" w:rsidRPr="00405FE7" w:rsidRDefault="00A65BE2" w:rsidP="001B41BD">
            <w:r w:rsidRPr="00405FE7">
              <w:t>Lancaster</w:t>
            </w:r>
          </w:p>
        </w:tc>
        <w:tc>
          <w:tcPr>
            <w:tcW w:w="4675" w:type="dxa"/>
            <w:vAlign w:val="bottom"/>
          </w:tcPr>
          <w:p w14:paraId="2C6FE5DA" w14:textId="77777777" w:rsidR="00A65BE2" w:rsidRPr="00405FE7" w:rsidRDefault="00A65BE2" w:rsidP="001B41BD">
            <w:r w:rsidRPr="00405FE7">
              <w:t>10.7</w:t>
            </w:r>
          </w:p>
        </w:tc>
      </w:tr>
      <w:tr w:rsidR="00A65BE2" w14:paraId="2D28A6C6" w14:textId="77777777" w:rsidTr="001B41BD">
        <w:tc>
          <w:tcPr>
            <w:tcW w:w="4675" w:type="dxa"/>
            <w:vAlign w:val="bottom"/>
          </w:tcPr>
          <w:p w14:paraId="13FCCE94" w14:textId="77777777" w:rsidR="00A65BE2" w:rsidRPr="00405FE7" w:rsidRDefault="00A65BE2" w:rsidP="001B41BD">
            <w:r w:rsidRPr="00405FE7">
              <w:t>Laurens</w:t>
            </w:r>
          </w:p>
        </w:tc>
        <w:tc>
          <w:tcPr>
            <w:tcW w:w="4675" w:type="dxa"/>
            <w:vAlign w:val="bottom"/>
          </w:tcPr>
          <w:p w14:paraId="648DC0C1" w14:textId="77777777" w:rsidR="00A65BE2" w:rsidRPr="00405FE7" w:rsidRDefault="00A65BE2" w:rsidP="001B41BD">
            <w:r w:rsidRPr="00405FE7">
              <w:t>11.6</w:t>
            </w:r>
          </w:p>
        </w:tc>
      </w:tr>
      <w:tr w:rsidR="00A65BE2" w14:paraId="5D4BB22D" w14:textId="77777777" w:rsidTr="001B41BD">
        <w:tc>
          <w:tcPr>
            <w:tcW w:w="4675" w:type="dxa"/>
            <w:vAlign w:val="bottom"/>
          </w:tcPr>
          <w:p w14:paraId="0B92BAAC" w14:textId="77777777" w:rsidR="00A65BE2" w:rsidRPr="00405FE7" w:rsidRDefault="00A65BE2" w:rsidP="001B41BD">
            <w:r w:rsidRPr="00405FE7">
              <w:t>Lee</w:t>
            </w:r>
          </w:p>
        </w:tc>
        <w:tc>
          <w:tcPr>
            <w:tcW w:w="4675" w:type="dxa"/>
            <w:vAlign w:val="bottom"/>
          </w:tcPr>
          <w:p w14:paraId="17100991" w14:textId="77777777" w:rsidR="00A65BE2" w:rsidRPr="00405FE7" w:rsidRDefault="00A65BE2" w:rsidP="001B41BD">
            <w:r w:rsidRPr="00405FE7">
              <w:t>10.2</w:t>
            </w:r>
          </w:p>
        </w:tc>
      </w:tr>
      <w:tr w:rsidR="00A65BE2" w14:paraId="1EE320BA" w14:textId="77777777" w:rsidTr="001B41BD">
        <w:tc>
          <w:tcPr>
            <w:tcW w:w="4675" w:type="dxa"/>
            <w:vAlign w:val="bottom"/>
          </w:tcPr>
          <w:p w14:paraId="3BFF5286" w14:textId="77777777" w:rsidR="00A65BE2" w:rsidRPr="00405FE7" w:rsidRDefault="00A65BE2" w:rsidP="001B41BD">
            <w:r w:rsidRPr="00405FE7">
              <w:t>Lexington</w:t>
            </w:r>
          </w:p>
        </w:tc>
        <w:tc>
          <w:tcPr>
            <w:tcW w:w="4675" w:type="dxa"/>
            <w:vAlign w:val="bottom"/>
          </w:tcPr>
          <w:p w14:paraId="4D0DA0EA" w14:textId="77777777" w:rsidR="00A65BE2" w:rsidRPr="00405FE7" w:rsidRDefault="00A65BE2" w:rsidP="001B41BD">
            <w:r w:rsidRPr="00405FE7">
              <w:t>11</w:t>
            </w:r>
          </w:p>
        </w:tc>
      </w:tr>
      <w:tr w:rsidR="00A65BE2" w14:paraId="30FC750C" w14:textId="77777777" w:rsidTr="001B41BD">
        <w:tc>
          <w:tcPr>
            <w:tcW w:w="4675" w:type="dxa"/>
            <w:vAlign w:val="bottom"/>
          </w:tcPr>
          <w:p w14:paraId="0A6B52BF" w14:textId="77777777" w:rsidR="00A65BE2" w:rsidRPr="00405FE7" w:rsidRDefault="00A65BE2" w:rsidP="001B41BD">
            <w:r w:rsidRPr="00405FE7">
              <w:lastRenderedPageBreak/>
              <w:t>Marion</w:t>
            </w:r>
          </w:p>
        </w:tc>
        <w:tc>
          <w:tcPr>
            <w:tcW w:w="4675" w:type="dxa"/>
            <w:vAlign w:val="bottom"/>
          </w:tcPr>
          <w:p w14:paraId="52520E53" w14:textId="77777777" w:rsidR="00A65BE2" w:rsidRPr="00405FE7" w:rsidRDefault="00A65BE2" w:rsidP="001B41BD">
            <w:r w:rsidRPr="00405FE7">
              <w:t>9.3</w:t>
            </w:r>
          </w:p>
        </w:tc>
      </w:tr>
      <w:tr w:rsidR="00A65BE2" w14:paraId="1B37948A" w14:textId="77777777" w:rsidTr="001B41BD">
        <w:tc>
          <w:tcPr>
            <w:tcW w:w="4675" w:type="dxa"/>
            <w:vAlign w:val="bottom"/>
          </w:tcPr>
          <w:p w14:paraId="6023209A" w14:textId="77777777" w:rsidR="00A65BE2" w:rsidRPr="00405FE7" w:rsidRDefault="00A65BE2" w:rsidP="001B41BD">
            <w:r w:rsidRPr="00405FE7">
              <w:t>Marlboro</w:t>
            </w:r>
          </w:p>
        </w:tc>
        <w:tc>
          <w:tcPr>
            <w:tcW w:w="4675" w:type="dxa"/>
            <w:vAlign w:val="bottom"/>
          </w:tcPr>
          <w:p w14:paraId="3EA6AC95" w14:textId="77777777" w:rsidR="00A65BE2" w:rsidRPr="00405FE7" w:rsidRDefault="00A65BE2" w:rsidP="001B41BD">
            <w:r w:rsidRPr="00405FE7">
              <w:t>5.5</w:t>
            </w:r>
          </w:p>
        </w:tc>
      </w:tr>
      <w:tr w:rsidR="00A65BE2" w14:paraId="6333B373" w14:textId="77777777" w:rsidTr="001B41BD">
        <w:tc>
          <w:tcPr>
            <w:tcW w:w="4675" w:type="dxa"/>
            <w:vAlign w:val="bottom"/>
          </w:tcPr>
          <w:p w14:paraId="3E4A45C1" w14:textId="77777777" w:rsidR="00A65BE2" w:rsidRPr="00405FE7" w:rsidRDefault="00A65BE2" w:rsidP="001B41BD">
            <w:r w:rsidRPr="00405FE7">
              <w:t>McCormick</w:t>
            </w:r>
          </w:p>
        </w:tc>
        <w:tc>
          <w:tcPr>
            <w:tcW w:w="4675" w:type="dxa"/>
            <w:vAlign w:val="bottom"/>
          </w:tcPr>
          <w:p w14:paraId="4262CBDD" w14:textId="77777777" w:rsidR="00A65BE2" w:rsidRPr="00405FE7" w:rsidRDefault="00A65BE2" w:rsidP="001B41BD">
            <w:r w:rsidRPr="00405FE7">
              <w:t>12.7</w:t>
            </w:r>
          </w:p>
        </w:tc>
      </w:tr>
      <w:tr w:rsidR="00A65BE2" w14:paraId="7B057549" w14:textId="77777777" w:rsidTr="001B41BD">
        <w:tc>
          <w:tcPr>
            <w:tcW w:w="4675" w:type="dxa"/>
            <w:vAlign w:val="bottom"/>
          </w:tcPr>
          <w:p w14:paraId="51783EA2" w14:textId="77777777" w:rsidR="00A65BE2" w:rsidRPr="00405FE7" w:rsidRDefault="00A65BE2" w:rsidP="001B41BD">
            <w:r w:rsidRPr="00405FE7">
              <w:t>Newberry</w:t>
            </w:r>
          </w:p>
        </w:tc>
        <w:tc>
          <w:tcPr>
            <w:tcW w:w="4675" w:type="dxa"/>
            <w:vAlign w:val="bottom"/>
          </w:tcPr>
          <w:p w14:paraId="0D07B05C" w14:textId="77777777" w:rsidR="00A65BE2" w:rsidRPr="00405FE7" w:rsidRDefault="00A65BE2" w:rsidP="001B41BD">
            <w:r w:rsidRPr="00405FE7">
              <w:t>12.7</w:t>
            </w:r>
          </w:p>
        </w:tc>
      </w:tr>
      <w:tr w:rsidR="00A65BE2" w14:paraId="755122CD" w14:textId="77777777" w:rsidTr="001B41BD">
        <w:tc>
          <w:tcPr>
            <w:tcW w:w="4675" w:type="dxa"/>
            <w:vAlign w:val="bottom"/>
          </w:tcPr>
          <w:p w14:paraId="1B7176BF" w14:textId="77777777" w:rsidR="00A65BE2" w:rsidRPr="00405FE7" w:rsidRDefault="00A65BE2" w:rsidP="001B41BD">
            <w:r w:rsidRPr="00405FE7">
              <w:t>Oconee</w:t>
            </w:r>
          </w:p>
        </w:tc>
        <w:tc>
          <w:tcPr>
            <w:tcW w:w="4675" w:type="dxa"/>
            <w:vAlign w:val="bottom"/>
          </w:tcPr>
          <w:p w14:paraId="6AE52F36" w14:textId="77777777" w:rsidR="00A65BE2" w:rsidRPr="00405FE7" w:rsidRDefault="00A65BE2" w:rsidP="001B41BD">
            <w:r w:rsidRPr="00405FE7">
              <w:t>14.2</w:t>
            </w:r>
          </w:p>
        </w:tc>
      </w:tr>
      <w:tr w:rsidR="00A65BE2" w14:paraId="4C6A7BE0" w14:textId="77777777" w:rsidTr="001B41BD">
        <w:tc>
          <w:tcPr>
            <w:tcW w:w="4675" w:type="dxa"/>
            <w:vAlign w:val="bottom"/>
          </w:tcPr>
          <w:p w14:paraId="44B0F9CC" w14:textId="77777777" w:rsidR="00A65BE2" w:rsidRPr="00405FE7" w:rsidRDefault="00A65BE2" w:rsidP="001B41BD">
            <w:r w:rsidRPr="00405FE7">
              <w:t>Orangeburg</w:t>
            </w:r>
          </w:p>
        </w:tc>
        <w:tc>
          <w:tcPr>
            <w:tcW w:w="4675" w:type="dxa"/>
            <w:vAlign w:val="bottom"/>
          </w:tcPr>
          <w:p w14:paraId="546BF388" w14:textId="77777777" w:rsidR="00A65BE2" w:rsidRPr="00405FE7" w:rsidRDefault="00A65BE2" w:rsidP="001B41BD">
            <w:r w:rsidRPr="00405FE7">
              <w:t>13.1</w:t>
            </w:r>
          </w:p>
        </w:tc>
      </w:tr>
      <w:tr w:rsidR="00A65BE2" w14:paraId="3F995D99" w14:textId="77777777" w:rsidTr="001B41BD">
        <w:tc>
          <w:tcPr>
            <w:tcW w:w="4675" w:type="dxa"/>
            <w:vAlign w:val="bottom"/>
          </w:tcPr>
          <w:p w14:paraId="2C1F278E" w14:textId="77777777" w:rsidR="00A65BE2" w:rsidRPr="00405FE7" w:rsidRDefault="00A65BE2" w:rsidP="001B41BD">
            <w:r w:rsidRPr="00405FE7">
              <w:t>Pickens</w:t>
            </w:r>
          </w:p>
        </w:tc>
        <w:tc>
          <w:tcPr>
            <w:tcW w:w="4675" w:type="dxa"/>
            <w:vAlign w:val="bottom"/>
          </w:tcPr>
          <w:p w14:paraId="423D2AA2" w14:textId="77777777" w:rsidR="00A65BE2" w:rsidRPr="00405FE7" w:rsidRDefault="00A65BE2" w:rsidP="001B41BD">
            <w:r w:rsidRPr="00405FE7">
              <w:t>12.3</w:t>
            </w:r>
          </w:p>
        </w:tc>
      </w:tr>
      <w:tr w:rsidR="00A65BE2" w14:paraId="2CE42358" w14:textId="77777777" w:rsidTr="001B41BD">
        <w:tc>
          <w:tcPr>
            <w:tcW w:w="4675" w:type="dxa"/>
            <w:vAlign w:val="bottom"/>
          </w:tcPr>
          <w:p w14:paraId="79A87AC3" w14:textId="77777777" w:rsidR="00A65BE2" w:rsidRPr="00405FE7" w:rsidRDefault="00A65BE2" w:rsidP="001B41BD">
            <w:r w:rsidRPr="00405FE7">
              <w:t>Richland</w:t>
            </w:r>
          </w:p>
        </w:tc>
        <w:tc>
          <w:tcPr>
            <w:tcW w:w="4675" w:type="dxa"/>
            <w:vAlign w:val="bottom"/>
          </w:tcPr>
          <w:p w14:paraId="4F7A9648" w14:textId="77777777" w:rsidR="00A65BE2" w:rsidRPr="00405FE7" w:rsidRDefault="00A65BE2" w:rsidP="001B41BD">
            <w:r w:rsidRPr="00405FE7">
              <w:t>11.6</w:t>
            </w:r>
          </w:p>
        </w:tc>
      </w:tr>
      <w:tr w:rsidR="00A65BE2" w14:paraId="25BBC13B" w14:textId="77777777" w:rsidTr="001B41BD">
        <w:tc>
          <w:tcPr>
            <w:tcW w:w="4675" w:type="dxa"/>
            <w:vAlign w:val="bottom"/>
          </w:tcPr>
          <w:p w14:paraId="472CC2FB" w14:textId="77777777" w:rsidR="00A65BE2" w:rsidRPr="00405FE7" w:rsidRDefault="00A65BE2" w:rsidP="001B41BD">
            <w:r w:rsidRPr="00405FE7">
              <w:t>Saluda</w:t>
            </w:r>
          </w:p>
        </w:tc>
        <w:tc>
          <w:tcPr>
            <w:tcW w:w="4675" w:type="dxa"/>
            <w:vAlign w:val="bottom"/>
          </w:tcPr>
          <w:p w14:paraId="1B40F320" w14:textId="77777777" w:rsidR="00A65BE2" w:rsidRPr="00405FE7" w:rsidRDefault="00A65BE2" w:rsidP="001B41BD">
            <w:r w:rsidRPr="00405FE7">
              <w:t>10.8</w:t>
            </w:r>
          </w:p>
        </w:tc>
      </w:tr>
      <w:tr w:rsidR="00A65BE2" w14:paraId="6EAA0CED" w14:textId="77777777" w:rsidTr="001B41BD">
        <w:tc>
          <w:tcPr>
            <w:tcW w:w="4675" w:type="dxa"/>
            <w:vAlign w:val="bottom"/>
          </w:tcPr>
          <w:p w14:paraId="2EF0CD86" w14:textId="77777777" w:rsidR="00A65BE2" w:rsidRPr="00405FE7" w:rsidRDefault="00A65BE2" w:rsidP="001B41BD">
            <w:r w:rsidRPr="00405FE7">
              <w:t>Spartanburg</w:t>
            </w:r>
          </w:p>
        </w:tc>
        <w:tc>
          <w:tcPr>
            <w:tcW w:w="4675" w:type="dxa"/>
            <w:vAlign w:val="bottom"/>
          </w:tcPr>
          <w:p w14:paraId="67096665" w14:textId="77777777" w:rsidR="00A65BE2" w:rsidRPr="00405FE7" w:rsidRDefault="00A65BE2" w:rsidP="001B41BD">
            <w:r w:rsidRPr="00405FE7">
              <w:t>12.3</w:t>
            </w:r>
          </w:p>
        </w:tc>
      </w:tr>
      <w:tr w:rsidR="00A65BE2" w14:paraId="4F5BB6BF" w14:textId="77777777" w:rsidTr="001B41BD">
        <w:tc>
          <w:tcPr>
            <w:tcW w:w="4675" w:type="dxa"/>
            <w:vAlign w:val="bottom"/>
          </w:tcPr>
          <w:p w14:paraId="0CBED0F1" w14:textId="77777777" w:rsidR="00A65BE2" w:rsidRPr="00405FE7" w:rsidRDefault="00A65BE2" w:rsidP="001B41BD">
            <w:r w:rsidRPr="00405FE7">
              <w:t>Sumter</w:t>
            </w:r>
          </w:p>
        </w:tc>
        <w:tc>
          <w:tcPr>
            <w:tcW w:w="4675" w:type="dxa"/>
            <w:vAlign w:val="bottom"/>
          </w:tcPr>
          <w:p w14:paraId="0F627629" w14:textId="77777777" w:rsidR="00A65BE2" w:rsidRPr="00405FE7" w:rsidRDefault="00A65BE2" w:rsidP="001B41BD">
            <w:r w:rsidRPr="00405FE7">
              <w:t>10</w:t>
            </w:r>
          </w:p>
        </w:tc>
      </w:tr>
      <w:tr w:rsidR="00A65BE2" w14:paraId="5E3C9478" w14:textId="77777777" w:rsidTr="001B41BD">
        <w:tc>
          <w:tcPr>
            <w:tcW w:w="4675" w:type="dxa"/>
            <w:vAlign w:val="bottom"/>
          </w:tcPr>
          <w:p w14:paraId="0C7E8B8A" w14:textId="77777777" w:rsidR="00A65BE2" w:rsidRPr="00405FE7" w:rsidRDefault="00A65BE2" w:rsidP="001B41BD">
            <w:r w:rsidRPr="00405FE7">
              <w:t>Union</w:t>
            </w:r>
          </w:p>
        </w:tc>
        <w:tc>
          <w:tcPr>
            <w:tcW w:w="4675" w:type="dxa"/>
            <w:vAlign w:val="bottom"/>
          </w:tcPr>
          <w:p w14:paraId="6DBBF1EA" w14:textId="77777777" w:rsidR="00A65BE2" w:rsidRPr="00405FE7" w:rsidRDefault="00A65BE2" w:rsidP="001B41BD">
            <w:r w:rsidRPr="00405FE7">
              <w:t>17.4</w:t>
            </w:r>
          </w:p>
        </w:tc>
      </w:tr>
      <w:tr w:rsidR="00A65BE2" w14:paraId="38FE3230" w14:textId="77777777" w:rsidTr="001B41BD">
        <w:tc>
          <w:tcPr>
            <w:tcW w:w="4675" w:type="dxa"/>
            <w:vAlign w:val="bottom"/>
          </w:tcPr>
          <w:p w14:paraId="5518A02D" w14:textId="77777777" w:rsidR="00A65BE2" w:rsidRPr="00405FE7" w:rsidRDefault="00A65BE2" w:rsidP="001B41BD">
            <w:r w:rsidRPr="00405FE7">
              <w:t>Williamsburg</w:t>
            </w:r>
          </w:p>
        </w:tc>
        <w:tc>
          <w:tcPr>
            <w:tcW w:w="4675" w:type="dxa"/>
            <w:vAlign w:val="bottom"/>
          </w:tcPr>
          <w:p w14:paraId="2CC5BD5C" w14:textId="77777777" w:rsidR="00A65BE2" w:rsidRPr="00405FE7" w:rsidRDefault="00A65BE2" w:rsidP="001B41BD">
            <w:r w:rsidRPr="00405FE7">
              <w:t>8.7</w:t>
            </w:r>
          </w:p>
        </w:tc>
      </w:tr>
      <w:tr w:rsidR="00A65BE2" w14:paraId="22350A59" w14:textId="77777777" w:rsidTr="001B41BD">
        <w:tc>
          <w:tcPr>
            <w:tcW w:w="4675" w:type="dxa"/>
            <w:vAlign w:val="bottom"/>
          </w:tcPr>
          <w:p w14:paraId="0AD82505" w14:textId="77777777" w:rsidR="00A65BE2" w:rsidRPr="00405FE7" w:rsidRDefault="00A65BE2" w:rsidP="001B41BD">
            <w:r w:rsidRPr="00405FE7">
              <w:t>York</w:t>
            </w:r>
          </w:p>
        </w:tc>
        <w:tc>
          <w:tcPr>
            <w:tcW w:w="4675" w:type="dxa"/>
            <w:vAlign w:val="bottom"/>
          </w:tcPr>
          <w:p w14:paraId="2110F288" w14:textId="77777777" w:rsidR="00A65BE2" w:rsidRPr="00405FE7" w:rsidRDefault="00A65BE2" w:rsidP="001B41BD">
            <w:r w:rsidRPr="00405FE7">
              <w:t>10.6</w:t>
            </w:r>
          </w:p>
        </w:tc>
      </w:tr>
    </w:tbl>
    <w:p w14:paraId="67DAC1FC" w14:textId="77777777" w:rsidR="00A65BE2" w:rsidRPr="00A7048C" w:rsidRDefault="00A65BE2" w:rsidP="00A65BE2">
      <w:r w:rsidRPr="00A7048C">
        <w:t xml:space="preserve">Source: County Health Rankings, 2023. </w:t>
      </w:r>
    </w:p>
    <w:p w14:paraId="4E50CF97" w14:textId="77777777" w:rsidR="00A65BE2" w:rsidRDefault="00A65BE2" w:rsidP="00A65BE2">
      <w:r w:rsidRPr="00A7048C">
        <w:t>Notes: Membership associations.</w:t>
      </w:r>
    </w:p>
    <w:p w14:paraId="0BD84828" w14:textId="77777777" w:rsidR="00A65BE2" w:rsidRDefault="00A65BE2" w:rsidP="00A65BE2">
      <w:pPr>
        <w:pStyle w:val="Heading4"/>
      </w:pPr>
      <w:bookmarkStart w:id="1036" w:name="_Toc154576594"/>
    </w:p>
    <w:p w14:paraId="0D38B50A" w14:textId="439A2708" w:rsidR="00A65BE2" w:rsidRDefault="00A65BE2" w:rsidP="00A65BE2">
      <w:pPr>
        <w:pStyle w:val="Heading4"/>
      </w:pPr>
      <w:bookmarkStart w:id="1037" w:name="_Toc162267702"/>
      <w:r w:rsidRPr="000A3CC0">
        <w:t>Figure 10.</w:t>
      </w:r>
      <w:r>
        <w:t>31:</w:t>
      </w:r>
      <w:r w:rsidRPr="000A3CC0">
        <w:t xml:space="preserve"> </w:t>
      </w:r>
      <w:r w:rsidRPr="00405FE7">
        <w:t>Social Associations</w:t>
      </w:r>
      <w:r>
        <w:t>.</w:t>
      </w:r>
      <w:bookmarkEnd w:id="1036"/>
      <w:bookmarkEnd w:id="1037"/>
    </w:p>
    <w:p w14:paraId="53860AA9" w14:textId="77777777" w:rsidR="00A65BE2" w:rsidRDefault="00A65BE2" w:rsidP="00A65BE2">
      <w:pPr>
        <w:pStyle w:val="Heading5"/>
      </w:pPr>
      <w:r>
        <w:t>Rate per 10,000 population.</w:t>
      </w:r>
    </w:p>
    <w:tbl>
      <w:tblPr>
        <w:tblStyle w:val="TableGrid"/>
        <w:tblW w:w="0" w:type="auto"/>
        <w:tblLook w:val="04A0" w:firstRow="1" w:lastRow="0" w:firstColumn="1" w:lastColumn="0" w:noHBand="0" w:noVBand="1"/>
      </w:tblPr>
      <w:tblGrid>
        <w:gridCol w:w="4675"/>
        <w:gridCol w:w="4675"/>
      </w:tblGrid>
      <w:tr w:rsidR="00A65BE2" w14:paraId="024F2D2F" w14:textId="77777777" w:rsidTr="001B41BD">
        <w:tc>
          <w:tcPr>
            <w:tcW w:w="4675" w:type="dxa"/>
            <w:vAlign w:val="bottom"/>
          </w:tcPr>
          <w:p w14:paraId="5853E0EA" w14:textId="77777777" w:rsidR="00A65BE2" w:rsidRPr="00A7048C" w:rsidRDefault="00A65BE2" w:rsidP="001B41BD">
            <w:r>
              <w:t>Location</w:t>
            </w:r>
          </w:p>
        </w:tc>
        <w:tc>
          <w:tcPr>
            <w:tcW w:w="4675" w:type="dxa"/>
            <w:vAlign w:val="bottom"/>
          </w:tcPr>
          <w:p w14:paraId="24E863F3" w14:textId="77777777" w:rsidR="00A65BE2" w:rsidRPr="00A7048C" w:rsidRDefault="00A65BE2" w:rsidP="001B41BD">
            <w:r w:rsidRPr="00A7048C">
              <w:t>Rate</w:t>
            </w:r>
          </w:p>
        </w:tc>
      </w:tr>
      <w:tr w:rsidR="00A65BE2" w14:paraId="0430A47A" w14:textId="77777777" w:rsidTr="001B41BD">
        <w:tc>
          <w:tcPr>
            <w:tcW w:w="4675" w:type="dxa"/>
            <w:vAlign w:val="bottom"/>
          </w:tcPr>
          <w:p w14:paraId="328517A0" w14:textId="77777777" w:rsidR="00A65BE2" w:rsidRPr="00A7048C" w:rsidRDefault="00A65BE2" w:rsidP="001B41BD">
            <w:r w:rsidRPr="00A7048C">
              <w:t>South Carolina</w:t>
            </w:r>
          </w:p>
        </w:tc>
        <w:tc>
          <w:tcPr>
            <w:tcW w:w="4675" w:type="dxa"/>
            <w:vAlign w:val="bottom"/>
          </w:tcPr>
          <w:p w14:paraId="36E82DC5" w14:textId="77777777" w:rsidR="00A65BE2" w:rsidRPr="00A7048C" w:rsidRDefault="00A65BE2" w:rsidP="001B41BD">
            <w:r w:rsidRPr="00A7048C">
              <w:t>11.2</w:t>
            </w:r>
          </w:p>
        </w:tc>
      </w:tr>
      <w:tr w:rsidR="00A65BE2" w14:paraId="6B9EBFB1" w14:textId="77777777" w:rsidTr="001B41BD">
        <w:tc>
          <w:tcPr>
            <w:tcW w:w="4675" w:type="dxa"/>
            <w:vAlign w:val="bottom"/>
          </w:tcPr>
          <w:p w14:paraId="5922A1DA" w14:textId="77777777" w:rsidR="00A65BE2" w:rsidRPr="00A7048C" w:rsidRDefault="00A65BE2" w:rsidP="001B41BD">
            <w:r w:rsidRPr="00A7048C">
              <w:t>United States</w:t>
            </w:r>
          </w:p>
        </w:tc>
        <w:tc>
          <w:tcPr>
            <w:tcW w:w="4675" w:type="dxa"/>
            <w:vAlign w:val="bottom"/>
          </w:tcPr>
          <w:p w14:paraId="20A8179E" w14:textId="77777777" w:rsidR="00A65BE2" w:rsidRPr="00A7048C" w:rsidRDefault="00A65BE2" w:rsidP="001B41BD">
            <w:r w:rsidRPr="00A7048C">
              <w:t>9.1</w:t>
            </w:r>
          </w:p>
        </w:tc>
      </w:tr>
    </w:tbl>
    <w:p w14:paraId="442CEB74" w14:textId="77777777" w:rsidR="00A65BE2" w:rsidRPr="00A7048C" w:rsidRDefault="00A65BE2" w:rsidP="00A65BE2">
      <w:r w:rsidRPr="00A7048C">
        <w:t xml:space="preserve">Source: County Health Rankings, 2023. </w:t>
      </w:r>
    </w:p>
    <w:p w14:paraId="0A518840" w14:textId="77777777" w:rsidR="00A65BE2" w:rsidRPr="00A7048C" w:rsidRDefault="00A65BE2" w:rsidP="00A65BE2">
      <w:r w:rsidRPr="00A7048C">
        <w:t>Notes: Membership associations.</w:t>
      </w:r>
    </w:p>
    <w:p w14:paraId="69657EFE" w14:textId="77777777" w:rsidR="00A65BE2" w:rsidRDefault="00A65BE2" w:rsidP="00A65BE2"/>
    <w:p w14:paraId="0E93F49A" w14:textId="77777777" w:rsidR="00A65BE2" w:rsidRDefault="00A65BE2" w:rsidP="00A65BE2">
      <w:pPr>
        <w:pStyle w:val="Heading4"/>
      </w:pPr>
      <w:bookmarkStart w:id="1038" w:name="_Toc162267703"/>
      <w:r w:rsidRPr="00A65BE2">
        <w:t>Data Interpretations:</w:t>
      </w:r>
      <w:bookmarkEnd w:id="1038"/>
      <w:r w:rsidRPr="00A65BE2">
        <w:t xml:space="preserve"> </w:t>
      </w:r>
    </w:p>
    <w:p w14:paraId="0218409C" w14:textId="377B41B1" w:rsidR="00A65BE2" w:rsidRPr="00A65BE2" w:rsidRDefault="00A65BE2" w:rsidP="00A65BE2">
      <w:r w:rsidRPr="00A65BE2">
        <w:t>The number of membership organizations varies across the state. As of 2020, SC had 5,855 membership organizations. Membership organizations include civic organizations, bowling centers, golf clubs, fitness centers, sports organizations, religious organizations, political organizations, labor organizations, business organizations, and professional organizations that can offer support at the local level. The state sees a high of 18.0 membership organizations per 10,000 population in Bamberg County and a low of 4.8 membership organizations per 10,000 population in Allendale County (</w:t>
      </w:r>
      <w:r w:rsidRPr="00A65BE2">
        <w:rPr>
          <w:b/>
          <w:bCs/>
        </w:rPr>
        <w:t>Figure 10.30</w:t>
      </w:r>
      <w:r w:rsidRPr="00A65BE2">
        <w:t>). There are clusters of low rates of membership organizations in the Pee Dee and Lowcountry regions of the state (</w:t>
      </w:r>
      <w:r w:rsidRPr="00A65BE2">
        <w:rPr>
          <w:b/>
          <w:bCs/>
        </w:rPr>
        <w:t>Figure 10.30</w:t>
      </w:r>
      <w:r w:rsidRPr="00A65BE2">
        <w:t xml:space="preserve">). SC sees a rate of 11.2 membership organizations per 10,000, </w:t>
      </w:r>
      <w:r w:rsidRPr="00A65BE2">
        <w:lastRenderedPageBreak/>
        <w:t>23.1% higher than the national average of 9.1 membership organizations per 10,000 (</w:t>
      </w:r>
      <w:r w:rsidRPr="00A65BE2">
        <w:rPr>
          <w:b/>
          <w:bCs/>
        </w:rPr>
        <w:t>Figure 10.31</w:t>
      </w:r>
      <w:r w:rsidRPr="00A65BE2">
        <w:t xml:space="preserve">). </w:t>
      </w:r>
    </w:p>
    <w:p w14:paraId="6EA0FB34" w14:textId="77777777" w:rsidR="00A65BE2" w:rsidRDefault="00A65BE2" w:rsidP="00A65BE2"/>
    <w:p w14:paraId="52437DB3" w14:textId="77777777" w:rsidR="00A65BE2" w:rsidRPr="00882C15" w:rsidRDefault="00A65BE2" w:rsidP="00A65BE2">
      <w:pPr>
        <w:pStyle w:val="Heading5"/>
      </w:pPr>
      <w:r w:rsidRPr="00882C15">
        <w:t>Key Takeaways:</w:t>
      </w:r>
    </w:p>
    <w:p w14:paraId="0D50EA30" w14:textId="77777777" w:rsidR="00A65BE2" w:rsidRPr="00A65BE2" w:rsidRDefault="00A65BE2" w:rsidP="00926EB3">
      <w:pPr>
        <w:pStyle w:val="ListParagraph"/>
        <w:numPr>
          <w:ilvl w:val="0"/>
          <w:numId w:val="200"/>
        </w:numPr>
      </w:pPr>
      <w:r w:rsidRPr="00A65BE2">
        <w:t>SC sees a higher rate of membership organizations compared to the national average.</w:t>
      </w:r>
    </w:p>
    <w:p w14:paraId="4424C918" w14:textId="77777777" w:rsidR="00A65BE2" w:rsidRDefault="00A65BE2" w:rsidP="00A65BE2"/>
    <w:p w14:paraId="7065B688" w14:textId="5D2A25C2" w:rsidR="00A65BE2" w:rsidRPr="00474B85" w:rsidRDefault="00A65BE2" w:rsidP="00A65BE2">
      <w:pPr>
        <w:pStyle w:val="Heading4"/>
        <w:rPr>
          <w:rFonts w:asciiTheme="minorHAnsi" w:hAnsiTheme="minorHAnsi" w:cstheme="minorHAnsi"/>
          <w:color w:val="000000" w:themeColor="text1"/>
        </w:rPr>
      </w:pPr>
      <w:bookmarkStart w:id="1039" w:name="_Toc162267704"/>
      <w:r w:rsidRPr="00474B85">
        <w:rPr>
          <w:rFonts w:asciiTheme="minorHAnsi" w:hAnsiTheme="minorHAnsi" w:cstheme="minorHAnsi"/>
          <w:color w:val="000000" w:themeColor="text1"/>
        </w:rPr>
        <w:t xml:space="preserve">References </w:t>
      </w:r>
      <w:r>
        <w:rPr>
          <w:rFonts w:asciiTheme="minorHAnsi" w:hAnsiTheme="minorHAnsi" w:cstheme="minorHAnsi"/>
          <w:color w:val="000000" w:themeColor="text1"/>
        </w:rPr>
        <w:t>10.15</w:t>
      </w:r>
      <w:bookmarkEnd w:id="1039"/>
    </w:p>
    <w:p w14:paraId="0918725A" w14:textId="77777777" w:rsidR="00A65BE2" w:rsidRDefault="00A65BE2" w:rsidP="00A65BE2">
      <w:r w:rsidRPr="00474B85">
        <w:t>Statistics in the preceding section were referenced from the following reports:</w:t>
      </w:r>
    </w:p>
    <w:p w14:paraId="24D02B1E" w14:textId="08247DE0" w:rsidR="00C360A7" w:rsidRPr="00C360A7" w:rsidRDefault="00C360A7" w:rsidP="00926EB3">
      <w:pPr>
        <w:pStyle w:val="ListParagraph"/>
        <w:numPr>
          <w:ilvl w:val="0"/>
          <w:numId w:val="199"/>
        </w:numPr>
      </w:pPr>
      <w:r>
        <w:t>“</w:t>
      </w:r>
      <w:r w:rsidRPr="00C360A7">
        <w:t>Rethinking social relationships in old age: Digitalization and the social lives of older adults</w:t>
      </w:r>
      <w:r>
        <w:t xml:space="preserve">” by </w:t>
      </w:r>
      <w:proofErr w:type="spellStart"/>
      <w:r w:rsidRPr="00C360A7">
        <w:t>Hülür</w:t>
      </w:r>
      <w:proofErr w:type="spellEnd"/>
      <w:r w:rsidRPr="00C360A7">
        <w:t xml:space="preserve">, G., &amp; Macdonald, B. </w:t>
      </w:r>
      <w:r>
        <w:t xml:space="preserve">Published in </w:t>
      </w:r>
      <w:r w:rsidRPr="00C360A7">
        <w:t xml:space="preserve">American Psychologist, </w:t>
      </w:r>
      <w:r>
        <w:t>2020. No hyperlink.</w:t>
      </w:r>
    </w:p>
    <w:p w14:paraId="6112E3BB" w14:textId="3D0BB984" w:rsidR="00C360A7" w:rsidRPr="00C360A7" w:rsidRDefault="00000000" w:rsidP="00926EB3">
      <w:pPr>
        <w:pStyle w:val="ListParagraph"/>
        <w:numPr>
          <w:ilvl w:val="0"/>
          <w:numId w:val="199"/>
        </w:numPr>
      </w:pPr>
      <w:hyperlink r:id="rId456" w:history="1">
        <w:r w:rsidR="00C360A7" w:rsidRPr="00C360A7">
          <w:rPr>
            <w:rStyle w:val="Hyperlink"/>
          </w:rPr>
          <w:t>“Strategies to Promote Social Connections Among Older Adults During “Social Distancing” Restrictions” by Van Orden, K. A., Bower, E., Lutz, J., Silva, C., Gallegos, A. M., Podgorski, C. A., Santos, E. J., &amp; Conwell, Y.</w:t>
        </w:r>
      </w:hyperlink>
      <w:r w:rsidR="00C360A7" w:rsidRPr="00C360A7">
        <w:t xml:space="preserve"> </w:t>
      </w:r>
      <w:r w:rsidR="00C360A7">
        <w:t xml:space="preserve">Published in </w:t>
      </w:r>
      <w:r w:rsidR="00C360A7" w:rsidRPr="00C360A7">
        <w:t xml:space="preserve">The American journal of geriatric </w:t>
      </w:r>
      <w:proofErr w:type="gramStart"/>
      <w:r w:rsidR="00C360A7" w:rsidRPr="00C360A7">
        <w:t>psychiatry :</w:t>
      </w:r>
      <w:proofErr w:type="gramEnd"/>
      <w:r w:rsidR="00C360A7" w:rsidRPr="00C360A7">
        <w:t xml:space="preserve"> official journal of the American Association for Geriatric Psychiatry, </w:t>
      </w:r>
      <w:r w:rsidR="00C360A7">
        <w:t>2021.</w:t>
      </w:r>
      <w:r w:rsidR="00C360A7" w:rsidRPr="00C360A7">
        <w:t xml:space="preserve"> </w:t>
      </w:r>
    </w:p>
    <w:p w14:paraId="2CB761DD" w14:textId="54B7A34D" w:rsidR="00C360A7" w:rsidRPr="00C360A7" w:rsidRDefault="00000000" w:rsidP="00926EB3">
      <w:pPr>
        <w:pStyle w:val="ListParagraph"/>
        <w:numPr>
          <w:ilvl w:val="0"/>
          <w:numId w:val="199"/>
        </w:numPr>
      </w:pPr>
      <w:hyperlink r:id="rId457" w:history="1">
        <w:r w:rsidR="00C360A7" w:rsidRPr="00C360A7">
          <w:rPr>
            <w:rStyle w:val="Hyperlink"/>
          </w:rPr>
          <w:t>“The importance of social interaction for seniors” by Luther Manor, 2020. Retrieved December 21, 2022.</w:t>
        </w:r>
      </w:hyperlink>
      <w:r w:rsidR="00C360A7" w:rsidRPr="00C360A7">
        <w:rPr>
          <w:u w:val="thick"/>
        </w:rPr>
        <w:t xml:space="preserve"> </w:t>
      </w:r>
    </w:p>
    <w:p w14:paraId="12322877" w14:textId="6D98F41C" w:rsidR="00C360A7" w:rsidRPr="00C360A7" w:rsidRDefault="00C360A7" w:rsidP="00926EB3">
      <w:pPr>
        <w:pStyle w:val="ListParagraph"/>
        <w:numPr>
          <w:ilvl w:val="0"/>
          <w:numId w:val="199"/>
        </w:numPr>
      </w:pPr>
      <w:r>
        <w:t>“</w:t>
      </w:r>
      <w:r w:rsidRPr="00C360A7">
        <w:t>A profile of social connectedness in older adult</w:t>
      </w:r>
      <w:r>
        <w:t xml:space="preserve">s” by </w:t>
      </w:r>
      <w:proofErr w:type="spellStart"/>
      <w:r w:rsidRPr="00C360A7">
        <w:t>Hawkley</w:t>
      </w:r>
      <w:proofErr w:type="spellEnd"/>
      <w:r w:rsidRPr="00C360A7">
        <w:t xml:space="preserve">, L. C., </w:t>
      </w:r>
      <w:proofErr w:type="spellStart"/>
      <w:r w:rsidRPr="00C360A7">
        <w:t>Kozloski</w:t>
      </w:r>
      <w:proofErr w:type="spellEnd"/>
      <w:r w:rsidRPr="00C360A7">
        <w:t>, M., &amp; Wong, J.</w:t>
      </w:r>
      <w:r>
        <w:t xml:space="preserve">, </w:t>
      </w:r>
      <w:r w:rsidRPr="00C360A7">
        <w:t>201</w:t>
      </w:r>
      <w:r>
        <w:t>7. No hyperlink.</w:t>
      </w:r>
    </w:p>
    <w:p w14:paraId="6C7DEAE4" w14:textId="77777777" w:rsidR="00A65BE2" w:rsidRDefault="00A65BE2" w:rsidP="00A65BE2"/>
    <w:p w14:paraId="1CD3B76D" w14:textId="77777777" w:rsidR="00A65BE2" w:rsidRPr="00A65BE2" w:rsidRDefault="00A65BE2" w:rsidP="00A65BE2">
      <w:pPr>
        <w:pStyle w:val="Heading3"/>
      </w:pPr>
      <w:bookmarkStart w:id="1040" w:name="_Toc162267705"/>
      <w:r w:rsidRPr="00A65BE2">
        <w:t>Immunizations</w:t>
      </w:r>
      <w:bookmarkEnd w:id="1040"/>
    </w:p>
    <w:p w14:paraId="74E907CB" w14:textId="3569F582" w:rsidR="00A65BE2" w:rsidRPr="00A65BE2" w:rsidRDefault="00A65BE2" w:rsidP="00A65BE2">
      <w:r w:rsidRPr="00A65BE2">
        <w:t xml:space="preserve">Immunizations are important for people of all ages, but they are especially important for older adults. As people get older, the immune system weakens, increasing the risk for certain diseases. Older adults are also at higher risk for serious complications from these diseases. Nationally, an estimated 45,000 adults die each year from complications due to vaccine-preventable diseases. It is important to be up to date with vaccines as some protection can wear off over time, thus needing a secondary dose. Receiving recommended vaccines not only protects you but also others who could have a weakened immune system. Two of the recommended vaccines for older adults are the Influenza (flu) and Pneumococcal (pneumonia) vaccines. The flu is a virus that can cause fever, chills, sore throat, and muscle aches. The flu can be very serious for older adults as they are at higher risk for developing serious complications. Adults 65 and older receive a higher-dose flu vaccine that helps create a stronger immune response, increasing the protection from the flu. Pneumonia causes significant illness in </w:t>
      </w:r>
      <w:r w:rsidRPr="00A65BE2">
        <w:lastRenderedPageBreak/>
        <w:t>seniors and is responsible for 60,000 deaths each year. Pneumococcal disease is a serious infection that spreads from person to person through the air and can cause pneumonia in the lungs. Receiving the pneumonia vaccine protects older individuals from getting a serious infection. People 65 and older should talk with their doctor or healthcare provider to discuss which vaccines are recommended for them.</w:t>
      </w:r>
    </w:p>
    <w:p w14:paraId="34A80829" w14:textId="77777777" w:rsidR="00A65BE2" w:rsidRDefault="00A65BE2" w:rsidP="00A65BE2"/>
    <w:p w14:paraId="589A1675" w14:textId="77777777" w:rsidR="00A65BE2" w:rsidRDefault="00A65BE2" w:rsidP="00A65BE2">
      <w:pPr>
        <w:pStyle w:val="Heading4"/>
      </w:pPr>
      <w:bookmarkStart w:id="1041" w:name="_Toc154576595"/>
      <w:bookmarkStart w:id="1042" w:name="_Toc162267706"/>
      <w:r w:rsidRPr="000A3CC0">
        <w:t>Figure 10.</w:t>
      </w:r>
      <w:r>
        <w:t>32:</w:t>
      </w:r>
      <w:r w:rsidRPr="000A3CC0">
        <w:t xml:space="preserve"> </w:t>
      </w:r>
      <w:r>
        <w:t>Adults 65+ Receiving Recommended Vaccines.</w:t>
      </w:r>
      <w:bookmarkEnd w:id="1041"/>
      <w:bookmarkEnd w:id="1042"/>
    </w:p>
    <w:tbl>
      <w:tblPr>
        <w:tblStyle w:val="TableGrid"/>
        <w:tblW w:w="0" w:type="auto"/>
        <w:tblLook w:val="04A0" w:firstRow="1" w:lastRow="0" w:firstColumn="1" w:lastColumn="0" w:noHBand="0" w:noVBand="1"/>
      </w:tblPr>
      <w:tblGrid>
        <w:gridCol w:w="3116"/>
        <w:gridCol w:w="3117"/>
        <w:gridCol w:w="3117"/>
      </w:tblGrid>
      <w:tr w:rsidR="00A65BE2" w14:paraId="5F7D4C61" w14:textId="77777777" w:rsidTr="001B41BD">
        <w:tc>
          <w:tcPr>
            <w:tcW w:w="3116" w:type="dxa"/>
            <w:vAlign w:val="bottom"/>
          </w:tcPr>
          <w:p w14:paraId="2A5C77A6" w14:textId="77777777" w:rsidR="00A65BE2" w:rsidRPr="00A7048C" w:rsidRDefault="00A65BE2" w:rsidP="001B41BD">
            <w:r w:rsidRPr="00A7048C">
              <w:t>Year</w:t>
            </w:r>
          </w:p>
        </w:tc>
        <w:tc>
          <w:tcPr>
            <w:tcW w:w="3117" w:type="dxa"/>
            <w:vAlign w:val="bottom"/>
          </w:tcPr>
          <w:p w14:paraId="3866D96C" w14:textId="77777777" w:rsidR="00A65BE2" w:rsidRPr="00A7048C" w:rsidRDefault="00A65BE2" w:rsidP="001B41BD">
            <w:r w:rsidRPr="00A7048C">
              <w:t>Flu</w:t>
            </w:r>
          </w:p>
        </w:tc>
        <w:tc>
          <w:tcPr>
            <w:tcW w:w="3117" w:type="dxa"/>
            <w:vAlign w:val="bottom"/>
          </w:tcPr>
          <w:p w14:paraId="5CAFCDF6" w14:textId="77777777" w:rsidR="00A65BE2" w:rsidRPr="00A7048C" w:rsidRDefault="00A65BE2" w:rsidP="001B41BD">
            <w:r w:rsidRPr="00A7048C">
              <w:t>Pneumonia</w:t>
            </w:r>
          </w:p>
        </w:tc>
      </w:tr>
      <w:tr w:rsidR="00A65BE2" w14:paraId="494A4FB6" w14:textId="77777777" w:rsidTr="001B41BD">
        <w:tc>
          <w:tcPr>
            <w:tcW w:w="3116" w:type="dxa"/>
            <w:vAlign w:val="bottom"/>
          </w:tcPr>
          <w:p w14:paraId="64E8024C" w14:textId="77777777" w:rsidR="00A65BE2" w:rsidRPr="00A7048C" w:rsidRDefault="00A65BE2" w:rsidP="001B41BD">
            <w:r w:rsidRPr="00A7048C">
              <w:t>2012</w:t>
            </w:r>
          </w:p>
        </w:tc>
        <w:tc>
          <w:tcPr>
            <w:tcW w:w="3117" w:type="dxa"/>
            <w:vAlign w:val="bottom"/>
          </w:tcPr>
          <w:p w14:paraId="33AD0E61" w14:textId="77777777" w:rsidR="00A65BE2" w:rsidRPr="00A7048C" w:rsidRDefault="00A65BE2" w:rsidP="001B41BD">
            <w:r w:rsidRPr="00A7048C">
              <w:t>60.10%</w:t>
            </w:r>
          </w:p>
        </w:tc>
        <w:tc>
          <w:tcPr>
            <w:tcW w:w="3117" w:type="dxa"/>
            <w:vAlign w:val="bottom"/>
          </w:tcPr>
          <w:p w14:paraId="110D60E1" w14:textId="77777777" w:rsidR="00A65BE2" w:rsidRPr="00A7048C" w:rsidRDefault="00A65BE2" w:rsidP="001B41BD">
            <w:r w:rsidRPr="00A7048C">
              <w:t>69.40%</w:t>
            </w:r>
          </w:p>
        </w:tc>
      </w:tr>
      <w:tr w:rsidR="00A65BE2" w14:paraId="125151BE" w14:textId="77777777" w:rsidTr="001B41BD">
        <w:tc>
          <w:tcPr>
            <w:tcW w:w="3116" w:type="dxa"/>
            <w:vAlign w:val="bottom"/>
          </w:tcPr>
          <w:p w14:paraId="42E0C6E5" w14:textId="77777777" w:rsidR="00A65BE2" w:rsidRPr="00A7048C" w:rsidRDefault="00A65BE2" w:rsidP="001B41BD">
            <w:r w:rsidRPr="00A7048C">
              <w:t>2013</w:t>
            </w:r>
          </w:p>
        </w:tc>
        <w:tc>
          <w:tcPr>
            <w:tcW w:w="3117" w:type="dxa"/>
            <w:vAlign w:val="bottom"/>
          </w:tcPr>
          <w:p w14:paraId="443B077F" w14:textId="77777777" w:rsidR="00A65BE2" w:rsidRPr="00A7048C" w:rsidRDefault="00A65BE2" w:rsidP="001B41BD">
            <w:r w:rsidRPr="00A7048C">
              <w:t>65.40%</w:t>
            </w:r>
          </w:p>
        </w:tc>
        <w:tc>
          <w:tcPr>
            <w:tcW w:w="3117" w:type="dxa"/>
            <w:vAlign w:val="bottom"/>
          </w:tcPr>
          <w:p w14:paraId="279B77D8" w14:textId="77777777" w:rsidR="00A65BE2" w:rsidRPr="00A7048C" w:rsidRDefault="00A65BE2" w:rsidP="001B41BD">
            <w:r w:rsidRPr="00A7048C">
              <w:t>70.70%</w:t>
            </w:r>
          </w:p>
        </w:tc>
      </w:tr>
      <w:tr w:rsidR="00A65BE2" w14:paraId="3A1F55E2" w14:textId="77777777" w:rsidTr="001B41BD">
        <w:tc>
          <w:tcPr>
            <w:tcW w:w="3116" w:type="dxa"/>
            <w:vAlign w:val="bottom"/>
          </w:tcPr>
          <w:p w14:paraId="54B9A94F" w14:textId="77777777" w:rsidR="00A65BE2" w:rsidRPr="00A7048C" w:rsidRDefault="00A65BE2" w:rsidP="001B41BD">
            <w:r w:rsidRPr="00A7048C">
              <w:t>2014</w:t>
            </w:r>
          </w:p>
        </w:tc>
        <w:tc>
          <w:tcPr>
            <w:tcW w:w="3117" w:type="dxa"/>
            <w:vAlign w:val="bottom"/>
          </w:tcPr>
          <w:p w14:paraId="71A119E2" w14:textId="77777777" w:rsidR="00A65BE2" w:rsidRPr="00A7048C" w:rsidRDefault="00A65BE2" w:rsidP="001B41BD">
            <w:r w:rsidRPr="00A7048C">
              <w:t>63.60%</w:t>
            </w:r>
          </w:p>
        </w:tc>
        <w:tc>
          <w:tcPr>
            <w:tcW w:w="3117" w:type="dxa"/>
            <w:vAlign w:val="bottom"/>
          </w:tcPr>
          <w:p w14:paraId="4C6AD94E" w14:textId="77777777" w:rsidR="00A65BE2" w:rsidRPr="00A7048C" w:rsidRDefault="00A65BE2" w:rsidP="001B41BD">
            <w:r w:rsidRPr="00A7048C">
              <w:t>71.90%</w:t>
            </w:r>
          </w:p>
        </w:tc>
      </w:tr>
      <w:tr w:rsidR="00A65BE2" w14:paraId="3173CBAF" w14:textId="77777777" w:rsidTr="001B41BD">
        <w:tc>
          <w:tcPr>
            <w:tcW w:w="3116" w:type="dxa"/>
            <w:vAlign w:val="bottom"/>
          </w:tcPr>
          <w:p w14:paraId="5F2EA30E" w14:textId="77777777" w:rsidR="00A65BE2" w:rsidRPr="00A7048C" w:rsidRDefault="00A65BE2" w:rsidP="001B41BD">
            <w:r w:rsidRPr="00A7048C">
              <w:t>2015</w:t>
            </w:r>
          </w:p>
        </w:tc>
        <w:tc>
          <w:tcPr>
            <w:tcW w:w="3117" w:type="dxa"/>
            <w:vAlign w:val="bottom"/>
          </w:tcPr>
          <w:p w14:paraId="1B3235C4" w14:textId="77777777" w:rsidR="00A65BE2" w:rsidRPr="00A7048C" w:rsidRDefault="00A65BE2" w:rsidP="001B41BD">
            <w:r w:rsidRPr="00A7048C">
              <w:t>62.80%</w:t>
            </w:r>
          </w:p>
        </w:tc>
        <w:tc>
          <w:tcPr>
            <w:tcW w:w="3117" w:type="dxa"/>
            <w:vAlign w:val="bottom"/>
          </w:tcPr>
          <w:p w14:paraId="70456655" w14:textId="77777777" w:rsidR="00A65BE2" w:rsidRPr="00A7048C" w:rsidRDefault="00A65BE2" w:rsidP="001B41BD">
            <w:r w:rsidRPr="00A7048C">
              <w:t>72.20%</w:t>
            </w:r>
          </w:p>
        </w:tc>
      </w:tr>
      <w:tr w:rsidR="00A65BE2" w14:paraId="34059900" w14:textId="77777777" w:rsidTr="001B41BD">
        <w:tc>
          <w:tcPr>
            <w:tcW w:w="3116" w:type="dxa"/>
            <w:vAlign w:val="bottom"/>
          </w:tcPr>
          <w:p w14:paraId="4259B557" w14:textId="77777777" w:rsidR="00A65BE2" w:rsidRPr="00A7048C" w:rsidRDefault="00A65BE2" w:rsidP="001B41BD">
            <w:r w:rsidRPr="00A7048C">
              <w:t>2016</w:t>
            </w:r>
          </w:p>
        </w:tc>
        <w:tc>
          <w:tcPr>
            <w:tcW w:w="3117" w:type="dxa"/>
            <w:vAlign w:val="bottom"/>
          </w:tcPr>
          <w:p w14:paraId="068EB05D" w14:textId="77777777" w:rsidR="00A65BE2" w:rsidRPr="00A7048C" w:rsidRDefault="00A65BE2" w:rsidP="001B41BD">
            <w:r w:rsidRPr="00A7048C">
              <w:t>62.00%</w:t>
            </w:r>
          </w:p>
        </w:tc>
        <w:tc>
          <w:tcPr>
            <w:tcW w:w="3117" w:type="dxa"/>
            <w:vAlign w:val="bottom"/>
          </w:tcPr>
          <w:p w14:paraId="2B108686" w14:textId="77777777" w:rsidR="00A65BE2" w:rsidRPr="00A7048C" w:rsidRDefault="00A65BE2" w:rsidP="001B41BD">
            <w:r w:rsidRPr="00A7048C">
              <w:t>71.40%</w:t>
            </w:r>
          </w:p>
        </w:tc>
      </w:tr>
      <w:tr w:rsidR="00A65BE2" w14:paraId="6E7B1002" w14:textId="77777777" w:rsidTr="001B41BD">
        <w:tc>
          <w:tcPr>
            <w:tcW w:w="3116" w:type="dxa"/>
            <w:vAlign w:val="bottom"/>
          </w:tcPr>
          <w:p w14:paraId="55CB5211" w14:textId="77777777" w:rsidR="00A65BE2" w:rsidRPr="00A7048C" w:rsidRDefault="00A65BE2" w:rsidP="001B41BD">
            <w:r w:rsidRPr="00A7048C">
              <w:t>2017</w:t>
            </w:r>
          </w:p>
        </w:tc>
        <w:tc>
          <w:tcPr>
            <w:tcW w:w="3117" w:type="dxa"/>
            <w:vAlign w:val="bottom"/>
          </w:tcPr>
          <w:p w14:paraId="74183170" w14:textId="77777777" w:rsidR="00A65BE2" w:rsidRPr="00A7048C" w:rsidRDefault="00A65BE2" w:rsidP="001B41BD">
            <w:r w:rsidRPr="00A7048C">
              <w:t>62.50%</w:t>
            </w:r>
          </w:p>
        </w:tc>
        <w:tc>
          <w:tcPr>
            <w:tcW w:w="3117" w:type="dxa"/>
            <w:vAlign w:val="bottom"/>
          </w:tcPr>
          <w:p w14:paraId="5F2D78AB" w14:textId="77777777" w:rsidR="00A65BE2" w:rsidRPr="00A7048C" w:rsidRDefault="00A65BE2" w:rsidP="001B41BD">
            <w:r w:rsidRPr="00A7048C">
              <w:t>76.40%</w:t>
            </w:r>
          </w:p>
        </w:tc>
      </w:tr>
      <w:tr w:rsidR="00A65BE2" w14:paraId="747229DD" w14:textId="77777777" w:rsidTr="001B41BD">
        <w:tc>
          <w:tcPr>
            <w:tcW w:w="3116" w:type="dxa"/>
            <w:vAlign w:val="bottom"/>
          </w:tcPr>
          <w:p w14:paraId="02221F68" w14:textId="77777777" w:rsidR="00A65BE2" w:rsidRPr="00A7048C" w:rsidRDefault="00A65BE2" w:rsidP="001B41BD">
            <w:r w:rsidRPr="00A7048C">
              <w:t>2018</w:t>
            </w:r>
          </w:p>
        </w:tc>
        <w:tc>
          <w:tcPr>
            <w:tcW w:w="3117" w:type="dxa"/>
            <w:vAlign w:val="bottom"/>
          </w:tcPr>
          <w:p w14:paraId="721B83DD" w14:textId="77777777" w:rsidR="00A65BE2" w:rsidRPr="00A7048C" w:rsidRDefault="00A65BE2" w:rsidP="001B41BD">
            <w:r w:rsidRPr="00A7048C">
              <w:t>58.40%</w:t>
            </w:r>
          </w:p>
        </w:tc>
        <w:tc>
          <w:tcPr>
            <w:tcW w:w="3117" w:type="dxa"/>
            <w:vAlign w:val="bottom"/>
          </w:tcPr>
          <w:p w14:paraId="249EA023" w14:textId="77777777" w:rsidR="00A65BE2" w:rsidRPr="00A7048C" w:rsidRDefault="00A65BE2" w:rsidP="001B41BD">
            <w:r w:rsidRPr="00A7048C">
              <w:t>73.60%</w:t>
            </w:r>
          </w:p>
        </w:tc>
      </w:tr>
      <w:tr w:rsidR="00A65BE2" w14:paraId="3BF0B84E" w14:textId="77777777" w:rsidTr="001B41BD">
        <w:tc>
          <w:tcPr>
            <w:tcW w:w="3116" w:type="dxa"/>
            <w:vAlign w:val="bottom"/>
          </w:tcPr>
          <w:p w14:paraId="5ABD0A9B" w14:textId="77777777" w:rsidR="00A65BE2" w:rsidRPr="00A7048C" w:rsidRDefault="00A65BE2" w:rsidP="001B41BD">
            <w:r w:rsidRPr="00A7048C">
              <w:t>2019</w:t>
            </w:r>
          </w:p>
        </w:tc>
        <w:tc>
          <w:tcPr>
            <w:tcW w:w="3117" w:type="dxa"/>
            <w:vAlign w:val="bottom"/>
          </w:tcPr>
          <w:p w14:paraId="214CB7CC" w14:textId="77777777" w:rsidR="00A65BE2" w:rsidRPr="00A7048C" w:rsidRDefault="00A65BE2" w:rsidP="001B41BD">
            <w:r w:rsidRPr="00A7048C">
              <w:t>65.40%</w:t>
            </w:r>
          </w:p>
        </w:tc>
        <w:tc>
          <w:tcPr>
            <w:tcW w:w="3117" w:type="dxa"/>
            <w:vAlign w:val="bottom"/>
          </w:tcPr>
          <w:p w14:paraId="1733DEA2" w14:textId="77777777" w:rsidR="00A65BE2" w:rsidRPr="00A7048C" w:rsidRDefault="00A65BE2" w:rsidP="001B41BD">
            <w:r w:rsidRPr="00A7048C">
              <w:t>73.80%</w:t>
            </w:r>
          </w:p>
        </w:tc>
      </w:tr>
      <w:tr w:rsidR="00A65BE2" w14:paraId="3DD6355B" w14:textId="77777777" w:rsidTr="001B41BD">
        <w:tc>
          <w:tcPr>
            <w:tcW w:w="3116" w:type="dxa"/>
            <w:vAlign w:val="bottom"/>
          </w:tcPr>
          <w:p w14:paraId="1CDB5ECE" w14:textId="77777777" w:rsidR="00A65BE2" w:rsidRPr="00A7048C" w:rsidRDefault="00A65BE2" w:rsidP="001B41BD">
            <w:r w:rsidRPr="00A7048C">
              <w:t>2020</w:t>
            </w:r>
          </w:p>
        </w:tc>
        <w:tc>
          <w:tcPr>
            <w:tcW w:w="3117" w:type="dxa"/>
            <w:vAlign w:val="bottom"/>
          </w:tcPr>
          <w:p w14:paraId="26D0CFD7" w14:textId="77777777" w:rsidR="00A65BE2" w:rsidRPr="00A7048C" w:rsidRDefault="00A65BE2" w:rsidP="001B41BD">
            <w:r w:rsidRPr="00A7048C">
              <w:t>65.60%</w:t>
            </w:r>
          </w:p>
        </w:tc>
        <w:tc>
          <w:tcPr>
            <w:tcW w:w="3117" w:type="dxa"/>
            <w:vAlign w:val="bottom"/>
          </w:tcPr>
          <w:p w14:paraId="33C23E21" w14:textId="77777777" w:rsidR="00A65BE2" w:rsidRPr="00A7048C" w:rsidRDefault="00A65BE2" w:rsidP="001B41BD">
            <w:r w:rsidRPr="00A7048C">
              <w:t>72.50%</w:t>
            </w:r>
          </w:p>
        </w:tc>
      </w:tr>
      <w:tr w:rsidR="00A65BE2" w14:paraId="04F9B890" w14:textId="77777777" w:rsidTr="001B41BD">
        <w:tc>
          <w:tcPr>
            <w:tcW w:w="3116" w:type="dxa"/>
            <w:vAlign w:val="bottom"/>
          </w:tcPr>
          <w:p w14:paraId="5DC9B4D4" w14:textId="77777777" w:rsidR="00A65BE2" w:rsidRPr="00A7048C" w:rsidRDefault="00A65BE2" w:rsidP="001B41BD">
            <w:r w:rsidRPr="00A7048C">
              <w:t>2021</w:t>
            </w:r>
          </w:p>
        </w:tc>
        <w:tc>
          <w:tcPr>
            <w:tcW w:w="3117" w:type="dxa"/>
            <w:vAlign w:val="bottom"/>
          </w:tcPr>
          <w:p w14:paraId="1E2B21E1" w14:textId="77777777" w:rsidR="00A65BE2" w:rsidRPr="00A7048C" w:rsidRDefault="00A65BE2" w:rsidP="001B41BD">
            <w:r w:rsidRPr="00A7048C">
              <w:t>65.00%</w:t>
            </w:r>
          </w:p>
        </w:tc>
        <w:tc>
          <w:tcPr>
            <w:tcW w:w="3117" w:type="dxa"/>
            <w:vAlign w:val="bottom"/>
          </w:tcPr>
          <w:p w14:paraId="77BF67B0" w14:textId="77777777" w:rsidR="00A65BE2" w:rsidRPr="00A7048C" w:rsidRDefault="00A65BE2" w:rsidP="001B41BD">
            <w:r w:rsidRPr="00A7048C">
              <w:t>70.90%</w:t>
            </w:r>
          </w:p>
        </w:tc>
      </w:tr>
    </w:tbl>
    <w:p w14:paraId="7B2A15E5" w14:textId="77777777" w:rsidR="00A65BE2" w:rsidRPr="00A7048C" w:rsidRDefault="00A65BE2" w:rsidP="00A65BE2">
      <w:r w:rsidRPr="00A7048C">
        <w:t xml:space="preserve">Source: SC BRFSS. </w:t>
      </w:r>
    </w:p>
    <w:p w14:paraId="1896EB21" w14:textId="77777777" w:rsidR="00A65BE2" w:rsidRDefault="00A65BE2" w:rsidP="00A65BE2">
      <w:r w:rsidRPr="00A7048C">
        <w:t>Note: Adults 65+.</w:t>
      </w:r>
    </w:p>
    <w:p w14:paraId="77C98D07" w14:textId="77777777" w:rsidR="00A65BE2" w:rsidRDefault="00A65BE2" w:rsidP="00A65BE2">
      <w:pPr>
        <w:pStyle w:val="Heading4"/>
      </w:pPr>
      <w:bookmarkStart w:id="1043" w:name="_Toc154576596"/>
    </w:p>
    <w:p w14:paraId="70C70AE8" w14:textId="0B0FCA1E" w:rsidR="00A65BE2" w:rsidRDefault="00A65BE2" w:rsidP="00A65BE2">
      <w:pPr>
        <w:pStyle w:val="Heading4"/>
      </w:pPr>
      <w:bookmarkStart w:id="1044" w:name="_Toc162267707"/>
      <w:r w:rsidRPr="000A3CC0">
        <w:t>Figure 10.</w:t>
      </w:r>
      <w:r>
        <w:t>33:</w:t>
      </w:r>
      <w:r w:rsidRPr="000A3CC0">
        <w:t xml:space="preserve"> </w:t>
      </w:r>
      <w:r w:rsidRPr="00A7048C">
        <w:t>Adults 65+ Receiving Recommended Vaccines, by Race/Ethnicity</w:t>
      </w:r>
      <w:r>
        <w:t>.</w:t>
      </w:r>
      <w:bookmarkEnd w:id="1043"/>
      <w:bookmarkEnd w:id="1044"/>
    </w:p>
    <w:tbl>
      <w:tblPr>
        <w:tblStyle w:val="TableGrid"/>
        <w:tblW w:w="0" w:type="auto"/>
        <w:tblLook w:val="04A0" w:firstRow="1" w:lastRow="0" w:firstColumn="1" w:lastColumn="0" w:noHBand="0" w:noVBand="1"/>
      </w:tblPr>
      <w:tblGrid>
        <w:gridCol w:w="3116"/>
        <w:gridCol w:w="3117"/>
        <w:gridCol w:w="3117"/>
      </w:tblGrid>
      <w:tr w:rsidR="00A65BE2" w14:paraId="72032E95" w14:textId="77777777" w:rsidTr="001B41BD">
        <w:tc>
          <w:tcPr>
            <w:tcW w:w="3116" w:type="dxa"/>
            <w:vAlign w:val="bottom"/>
          </w:tcPr>
          <w:p w14:paraId="1EFA4FC8" w14:textId="77777777" w:rsidR="00A65BE2" w:rsidRPr="00A7048C" w:rsidRDefault="00A65BE2" w:rsidP="001B41BD">
            <w:r>
              <w:t>Race/Ethnicity</w:t>
            </w:r>
          </w:p>
        </w:tc>
        <w:tc>
          <w:tcPr>
            <w:tcW w:w="3117" w:type="dxa"/>
            <w:vAlign w:val="bottom"/>
          </w:tcPr>
          <w:p w14:paraId="03D37BE9" w14:textId="77777777" w:rsidR="00A65BE2" w:rsidRPr="00A7048C" w:rsidRDefault="00A65BE2" w:rsidP="001B41BD">
            <w:r w:rsidRPr="00A7048C">
              <w:t>Flu Vaccine</w:t>
            </w:r>
          </w:p>
        </w:tc>
        <w:tc>
          <w:tcPr>
            <w:tcW w:w="3117" w:type="dxa"/>
            <w:vAlign w:val="bottom"/>
          </w:tcPr>
          <w:p w14:paraId="63453B5C" w14:textId="77777777" w:rsidR="00A65BE2" w:rsidRPr="00A7048C" w:rsidRDefault="00A65BE2" w:rsidP="001B41BD">
            <w:r w:rsidRPr="00A7048C">
              <w:t>Pneumonia Vaccine</w:t>
            </w:r>
          </w:p>
        </w:tc>
      </w:tr>
      <w:tr w:rsidR="00A65BE2" w14:paraId="6C900DBF" w14:textId="77777777" w:rsidTr="001B41BD">
        <w:tc>
          <w:tcPr>
            <w:tcW w:w="3116" w:type="dxa"/>
            <w:vAlign w:val="bottom"/>
          </w:tcPr>
          <w:p w14:paraId="7F1EF51F" w14:textId="77777777" w:rsidR="00A65BE2" w:rsidRPr="00A7048C" w:rsidRDefault="00A65BE2" w:rsidP="001B41BD">
            <w:r w:rsidRPr="00A7048C">
              <w:t>Non-Hispanic White</w:t>
            </w:r>
          </w:p>
        </w:tc>
        <w:tc>
          <w:tcPr>
            <w:tcW w:w="3117" w:type="dxa"/>
            <w:vAlign w:val="bottom"/>
          </w:tcPr>
          <w:p w14:paraId="61AEB526" w14:textId="77777777" w:rsidR="00A65BE2" w:rsidRPr="00A7048C" w:rsidRDefault="00A65BE2" w:rsidP="001B41BD">
            <w:r w:rsidRPr="00A7048C">
              <w:t>68.20%</w:t>
            </w:r>
          </w:p>
        </w:tc>
        <w:tc>
          <w:tcPr>
            <w:tcW w:w="3117" w:type="dxa"/>
            <w:vAlign w:val="bottom"/>
          </w:tcPr>
          <w:p w14:paraId="06685BA2" w14:textId="77777777" w:rsidR="00A65BE2" w:rsidRPr="00A7048C" w:rsidRDefault="00A65BE2" w:rsidP="001B41BD">
            <w:r w:rsidRPr="00A7048C">
              <w:t>73.40%</w:t>
            </w:r>
          </w:p>
        </w:tc>
      </w:tr>
      <w:tr w:rsidR="00A65BE2" w14:paraId="5F87A4E2" w14:textId="77777777" w:rsidTr="001B41BD">
        <w:tc>
          <w:tcPr>
            <w:tcW w:w="3116" w:type="dxa"/>
            <w:vAlign w:val="bottom"/>
          </w:tcPr>
          <w:p w14:paraId="6D6C458E" w14:textId="77777777" w:rsidR="00A65BE2" w:rsidRPr="00A7048C" w:rsidRDefault="00A65BE2" w:rsidP="001B41BD">
            <w:r w:rsidRPr="00A7048C">
              <w:t>Non-Hispanic Black</w:t>
            </w:r>
          </w:p>
        </w:tc>
        <w:tc>
          <w:tcPr>
            <w:tcW w:w="3117" w:type="dxa"/>
            <w:vAlign w:val="bottom"/>
          </w:tcPr>
          <w:p w14:paraId="6DB54B73" w14:textId="77777777" w:rsidR="00A65BE2" w:rsidRPr="00A7048C" w:rsidRDefault="00A65BE2" w:rsidP="001B41BD">
            <w:r w:rsidRPr="00A7048C">
              <w:t>53.20%</w:t>
            </w:r>
          </w:p>
        </w:tc>
        <w:tc>
          <w:tcPr>
            <w:tcW w:w="3117" w:type="dxa"/>
            <w:vAlign w:val="bottom"/>
          </w:tcPr>
          <w:p w14:paraId="5F1C6626" w14:textId="77777777" w:rsidR="00A65BE2" w:rsidRPr="00A7048C" w:rsidRDefault="00A65BE2" w:rsidP="001B41BD">
            <w:r w:rsidRPr="00A7048C">
              <w:t>63.90%</w:t>
            </w:r>
          </w:p>
        </w:tc>
      </w:tr>
    </w:tbl>
    <w:p w14:paraId="71CD4D36" w14:textId="77777777" w:rsidR="00A65BE2" w:rsidRPr="00A7048C" w:rsidRDefault="00A65BE2" w:rsidP="00A65BE2">
      <w:r w:rsidRPr="00A7048C">
        <w:t xml:space="preserve">Source: SC BRFSS. </w:t>
      </w:r>
    </w:p>
    <w:p w14:paraId="6C180C06" w14:textId="77777777" w:rsidR="00A65BE2" w:rsidRDefault="00A65BE2" w:rsidP="00A65BE2">
      <w:r w:rsidRPr="00A7048C">
        <w:t>Note: Adults 65+.</w:t>
      </w:r>
    </w:p>
    <w:p w14:paraId="125062F8" w14:textId="77777777" w:rsidR="00A65BE2" w:rsidRDefault="00A65BE2" w:rsidP="00A65BE2">
      <w:pPr>
        <w:pStyle w:val="Heading4"/>
      </w:pPr>
      <w:bookmarkStart w:id="1045" w:name="_Toc154576597"/>
    </w:p>
    <w:p w14:paraId="7192224F" w14:textId="0A344539" w:rsidR="00A65BE2" w:rsidRDefault="00A65BE2" w:rsidP="00A65BE2">
      <w:pPr>
        <w:pStyle w:val="Heading4"/>
      </w:pPr>
      <w:bookmarkStart w:id="1046" w:name="_Toc162267708"/>
      <w:r w:rsidRPr="000A3CC0">
        <w:t>Figure 10.</w:t>
      </w:r>
      <w:r>
        <w:t>34:</w:t>
      </w:r>
      <w:r w:rsidRPr="000A3CC0">
        <w:t xml:space="preserve"> </w:t>
      </w:r>
      <w:r w:rsidRPr="00A7048C">
        <w:t xml:space="preserve">Adults 65+ Receiving Recommended Vaccines, by </w:t>
      </w:r>
      <w:r>
        <w:t>Sex.</w:t>
      </w:r>
      <w:bookmarkEnd w:id="1045"/>
      <w:bookmarkEnd w:id="1046"/>
    </w:p>
    <w:tbl>
      <w:tblPr>
        <w:tblStyle w:val="TableGrid"/>
        <w:tblW w:w="0" w:type="auto"/>
        <w:tblLook w:val="04A0" w:firstRow="1" w:lastRow="0" w:firstColumn="1" w:lastColumn="0" w:noHBand="0" w:noVBand="1"/>
      </w:tblPr>
      <w:tblGrid>
        <w:gridCol w:w="3116"/>
        <w:gridCol w:w="3117"/>
        <w:gridCol w:w="3117"/>
      </w:tblGrid>
      <w:tr w:rsidR="00A65BE2" w14:paraId="3B5C96DF" w14:textId="77777777" w:rsidTr="001B41BD">
        <w:tc>
          <w:tcPr>
            <w:tcW w:w="3116" w:type="dxa"/>
            <w:vAlign w:val="bottom"/>
          </w:tcPr>
          <w:p w14:paraId="0E3B32B4" w14:textId="77777777" w:rsidR="00A65BE2" w:rsidRPr="00A7048C" w:rsidRDefault="00A65BE2" w:rsidP="001B41BD">
            <w:r>
              <w:t>Sex</w:t>
            </w:r>
          </w:p>
        </w:tc>
        <w:tc>
          <w:tcPr>
            <w:tcW w:w="3117" w:type="dxa"/>
            <w:vAlign w:val="bottom"/>
          </w:tcPr>
          <w:p w14:paraId="1014DC90" w14:textId="77777777" w:rsidR="00A65BE2" w:rsidRPr="00A7048C" w:rsidRDefault="00A65BE2" w:rsidP="001B41BD">
            <w:r w:rsidRPr="00A7048C">
              <w:t>Flu Vaccine</w:t>
            </w:r>
          </w:p>
        </w:tc>
        <w:tc>
          <w:tcPr>
            <w:tcW w:w="3117" w:type="dxa"/>
            <w:vAlign w:val="bottom"/>
          </w:tcPr>
          <w:p w14:paraId="0B5E4A7F" w14:textId="77777777" w:rsidR="00A65BE2" w:rsidRPr="00A7048C" w:rsidRDefault="00A65BE2" w:rsidP="001B41BD">
            <w:r w:rsidRPr="00A7048C">
              <w:t>Pneumonia Vaccine</w:t>
            </w:r>
          </w:p>
        </w:tc>
      </w:tr>
      <w:tr w:rsidR="00A65BE2" w14:paraId="3FEF6FAA" w14:textId="77777777" w:rsidTr="001B41BD">
        <w:tc>
          <w:tcPr>
            <w:tcW w:w="3116" w:type="dxa"/>
            <w:vAlign w:val="bottom"/>
          </w:tcPr>
          <w:p w14:paraId="6A14AD58" w14:textId="77777777" w:rsidR="00A65BE2" w:rsidRPr="00A7048C" w:rsidRDefault="00A65BE2" w:rsidP="001B41BD">
            <w:r>
              <w:t>Male</w:t>
            </w:r>
          </w:p>
        </w:tc>
        <w:tc>
          <w:tcPr>
            <w:tcW w:w="3117" w:type="dxa"/>
            <w:vAlign w:val="bottom"/>
          </w:tcPr>
          <w:p w14:paraId="364AFBFC" w14:textId="77777777" w:rsidR="00A65BE2" w:rsidRPr="00A7048C" w:rsidRDefault="00A65BE2" w:rsidP="001B41BD">
            <w:r>
              <w:t>66.30%</w:t>
            </w:r>
          </w:p>
        </w:tc>
        <w:tc>
          <w:tcPr>
            <w:tcW w:w="3117" w:type="dxa"/>
            <w:vAlign w:val="bottom"/>
          </w:tcPr>
          <w:p w14:paraId="75B1C56A" w14:textId="77777777" w:rsidR="00A65BE2" w:rsidRPr="00A7048C" w:rsidRDefault="00A65BE2" w:rsidP="001B41BD">
            <w:r>
              <w:t>68.50%</w:t>
            </w:r>
          </w:p>
        </w:tc>
      </w:tr>
      <w:tr w:rsidR="00A65BE2" w14:paraId="297EE2A3" w14:textId="77777777" w:rsidTr="001B41BD">
        <w:tc>
          <w:tcPr>
            <w:tcW w:w="3116" w:type="dxa"/>
            <w:vAlign w:val="bottom"/>
          </w:tcPr>
          <w:p w14:paraId="5F9BA5D9" w14:textId="77777777" w:rsidR="00A65BE2" w:rsidRPr="00A7048C" w:rsidRDefault="00A65BE2" w:rsidP="001B41BD">
            <w:r>
              <w:t>Female</w:t>
            </w:r>
          </w:p>
        </w:tc>
        <w:tc>
          <w:tcPr>
            <w:tcW w:w="3117" w:type="dxa"/>
            <w:vAlign w:val="bottom"/>
          </w:tcPr>
          <w:p w14:paraId="71364E8B" w14:textId="77777777" w:rsidR="00A65BE2" w:rsidRPr="00A7048C" w:rsidRDefault="00A65BE2" w:rsidP="001B41BD">
            <w:r>
              <w:t>63.90</w:t>
            </w:r>
          </w:p>
        </w:tc>
        <w:tc>
          <w:tcPr>
            <w:tcW w:w="3117" w:type="dxa"/>
            <w:vAlign w:val="bottom"/>
          </w:tcPr>
          <w:p w14:paraId="4B702D19" w14:textId="77777777" w:rsidR="00A65BE2" w:rsidRPr="00A7048C" w:rsidRDefault="00A65BE2" w:rsidP="001B41BD">
            <w:r>
              <w:t>72.90%</w:t>
            </w:r>
          </w:p>
        </w:tc>
      </w:tr>
    </w:tbl>
    <w:p w14:paraId="03C956CB" w14:textId="77777777" w:rsidR="00A65BE2" w:rsidRPr="00A7048C" w:rsidRDefault="00A65BE2" w:rsidP="00A65BE2">
      <w:r w:rsidRPr="00A7048C">
        <w:t xml:space="preserve">Source: SC BRFSS. </w:t>
      </w:r>
    </w:p>
    <w:p w14:paraId="5E135979" w14:textId="77777777" w:rsidR="00A65BE2" w:rsidRDefault="00A65BE2" w:rsidP="00A65BE2">
      <w:r w:rsidRPr="00A7048C">
        <w:t>Note: Adults 65+.</w:t>
      </w:r>
    </w:p>
    <w:p w14:paraId="7D57A877" w14:textId="77777777" w:rsidR="00A65BE2" w:rsidRDefault="00A65BE2" w:rsidP="00A65BE2"/>
    <w:p w14:paraId="4A52B942" w14:textId="77777777" w:rsidR="00A65BE2" w:rsidRPr="00A65BE2" w:rsidRDefault="00A65BE2" w:rsidP="00A65BE2">
      <w:pPr>
        <w:pStyle w:val="Heading4"/>
      </w:pPr>
      <w:bookmarkStart w:id="1047" w:name="_Toc162267709"/>
      <w:r w:rsidRPr="00A65BE2">
        <w:lastRenderedPageBreak/>
        <w:t>Data Interpretations:</w:t>
      </w:r>
      <w:bookmarkEnd w:id="1047"/>
      <w:r w:rsidRPr="00A65BE2">
        <w:t xml:space="preserve"> </w:t>
      </w:r>
    </w:p>
    <w:p w14:paraId="5CE16802" w14:textId="4F1A69B5" w:rsidR="00A65BE2" w:rsidRPr="00A65BE2" w:rsidRDefault="00A65BE2" w:rsidP="00A65BE2">
      <w:r w:rsidRPr="00A65BE2">
        <w:t>There has been an increase in the percentage of adults 65 and older receiving both pneumonia and flu vaccines in the past 10 years (</w:t>
      </w:r>
      <w:r w:rsidRPr="00A65BE2">
        <w:rPr>
          <w:b/>
          <w:bCs/>
        </w:rPr>
        <w:t>Figure 10.32</w:t>
      </w:r>
      <w:r w:rsidRPr="00A65BE2">
        <w:t>). In 2021, over 7 in 10 adults 65 and older have received the pneumonia vaccine, more than those who have received the flu vaccine (65.0%). The percentage of adults receiving the flu vaccine has seen an 8.2% increase from a low of 60.1% in 2012 to a high of 65.0% in 2021. Non-Hispanic White adults 65 and older see higher rates of receiving both the flu and pneumonia vaccines (</w:t>
      </w:r>
      <w:r w:rsidRPr="00A65BE2">
        <w:rPr>
          <w:b/>
          <w:bCs/>
        </w:rPr>
        <w:t>Figure 10.33</w:t>
      </w:r>
      <w:r w:rsidRPr="00A65BE2">
        <w:t xml:space="preserve">). Only </w:t>
      </w:r>
      <w:r w:rsidR="00011D79">
        <w:t>one-half</w:t>
      </w:r>
      <w:r w:rsidRPr="00A65BE2">
        <w:t xml:space="preserve"> of non-Hispanic Black adults 65 and older have received the flu vaccine, 22.0% lower than their non-Hispanic White counterparts. A higher percentage of adult males 65 and older were immunized from flu than their female counterparts (</w:t>
      </w:r>
      <w:r w:rsidRPr="00A65BE2">
        <w:rPr>
          <w:b/>
          <w:bCs/>
        </w:rPr>
        <w:t>Figure 10.34</w:t>
      </w:r>
      <w:r w:rsidRPr="00A65BE2">
        <w:t xml:space="preserve">). However, this association is different for the pneumonia vaccine where females 65 and older saw higher rates of being immunized compared to their male counterparts.  </w:t>
      </w:r>
    </w:p>
    <w:p w14:paraId="1FC2358E" w14:textId="77777777" w:rsidR="00A65BE2" w:rsidRDefault="00A65BE2" w:rsidP="00A65BE2"/>
    <w:p w14:paraId="31CFEF04" w14:textId="77777777" w:rsidR="00A65BE2" w:rsidRPr="00882C15" w:rsidRDefault="00A65BE2" w:rsidP="00A65BE2">
      <w:pPr>
        <w:pStyle w:val="Heading5"/>
      </w:pPr>
      <w:r w:rsidRPr="00882C15">
        <w:t>Key Takeaways:</w:t>
      </w:r>
    </w:p>
    <w:p w14:paraId="5A616F5B" w14:textId="77777777" w:rsidR="00A65BE2" w:rsidRPr="00A65BE2" w:rsidRDefault="00A65BE2" w:rsidP="00926EB3">
      <w:pPr>
        <w:pStyle w:val="ListParagraph"/>
        <w:numPr>
          <w:ilvl w:val="0"/>
          <w:numId w:val="200"/>
        </w:numPr>
      </w:pPr>
      <w:r w:rsidRPr="00A65BE2">
        <w:t xml:space="preserve">Non-Hispanic Black adults 65 and older see lower rates of being immunized for flu and pneumonia illnesses when compared to their non-Hispanic White counterparts. </w:t>
      </w:r>
    </w:p>
    <w:p w14:paraId="4C7EA6C0" w14:textId="77777777" w:rsidR="00A65BE2" w:rsidRDefault="00A65BE2" w:rsidP="00A65BE2"/>
    <w:p w14:paraId="5A029295" w14:textId="1113A805" w:rsidR="00A65BE2" w:rsidRPr="00474B85" w:rsidRDefault="00A65BE2" w:rsidP="00A65BE2">
      <w:pPr>
        <w:pStyle w:val="Heading4"/>
        <w:rPr>
          <w:rFonts w:asciiTheme="minorHAnsi" w:hAnsiTheme="minorHAnsi" w:cstheme="minorHAnsi"/>
          <w:color w:val="000000" w:themeColor="text1"/>
        </w:rPr>
      </w:pPr>
      <w:bookmarkStart w:id="1048" w:name="_Toc162267710"/>
      <w:r w:rsidRPr="00474B85">
        <w:rPr>
          <w:rFonts w:asciiTheme="minorHAnsi" w:hAnsiTheme="minorHAnsi" w:cstheme="minorHAnsi"/>
          <w:color w:val="000000" w:themeColor="text1"/>
        </w:rPr>
        <w:t xml:space="preserve">References </w:t>
      </w:r>
      <w:r>
        <w:rPr>
          <w:rFonts w:asciiTheme="minorHAnsi" w:hAnsiTheme="minorHAnsi" w:cstheme="minorHAnsi"/>
          <w:color w:val="000000" w:themeColor="text1"/>
        </w:rPr>
        <w:t>10.16</w:t>
      </w:r>
      <w:bookmarkEnd w:id="1048"/>
      <w:r>
        <w:rPr>
          <w:rFonts w:asciiTheme="minorHAnsi" w:hAnsiTheme="minorHAnsi" w:cstheme="minorHAnsi"/>
          <w:color w:val="000000" w:themeColor="text1"/>
        </w:rPr>
        <w:t xml:space="preserve"> </w:t>
      </w:r>
    </w:p>
    <w:p w14:paraId="2FBE3D5D" w14:textId="77777777" w:rsidR="00A65BE2" w:rsidRDefault="00A65BE2" w:rsidP="00A65BE2">
      <w:r w:rsidRPr="00474B85">
        <w:t>Statistics in the preceding section were referenced from the following reports:</w:t>
      </w:r>
    </w:p>
    <w:p w14:paraId="05AFC008" w14:textId="1792DA54" w:rsidR="00C360A7" w:rsidRPr="00C360A7" w:rsidRDefault="00000000" w:rsidP="00926EB3">
      <w:pPr>
        <w:pStyle w:val="ListParagraph"/>
        <w:numPr>
          <w:ilvl w:val="0"/>
          <w:numId w:val="199"/>
        </w:numPr>
      </w:pPr>
      <w:hyperlink r:id="rId458" w:history="1">
        <w:r w:rsidR="00C360A7" w:rsidRPr="00C360A7">
          <w:rPr>
            <w:rStyle w:val="Hyperlink"/>
          </w:rPr>
          <w:t xml:space="preserve">“Adults </w:t>
        </w:r>
        <w:proofErr w:type="gramStart"/>
        <w:r w:rsidR="00C360A7" w:rsidRPr="00C360A7">
          <w:rPr>
            <w:rStyle w:val="Hyperlink"/>
          </w:rPr>
          <w:t>age</w:t>
        </w:r>
        <w:proofErr w:type="gramEnd"/>
        <w:r w:rsidR="00C360A7" w:rsidRPr="00C360A7">
          <w:rPr>
            <w:rStyle w:val="Hyperlink"/>
          </w:rPr>
          <w:t xml:space="preserve"> 65 and older: Immunization” by the Office of Infectious Disease and HIV/AIDS Policy (OIDP) via hhs.gov, 2022. Retrieved December 20, 2022.</w:t>
        </w:r>
      </w:hyperlink>
      <w:r w:rsidR="00C360A7" w:rsidRPr="00C360A7">
        <w:t xml:space="preserve"> </w:t>
      </w:r>
    </w:p>
    <w:p w14:paraId="4266B54B" w14:textId="323842AE" w:rsidR="00C360A7" w:rsidRPr="00C360A7" w:rsidRDefault="00000000" w:rsidP="00926EB3">
      <w:pPr>
        <w:pStyle w:val="ListParagraph"/>
        <w:numPr>
          <w:ilvl w:val="0"/>
          <w:numId w:val="199"/>
        </w:numPr>
      </w:pPr>
      <w:hyperlink r:id="rId459" w:history="1">
        <w:r w:rsidR="00C360A7" w:rsidRPr="00C360A7">
          <w:rPr>
            <w:rStyle w:val="Hyperlink"/>
          </w:rPr>
          <w:t xml:space="preserve">“Get vaccines to protect your health (adults </w:t>
        </w:r>
        <w:proofErr w:type="gramStart"/>
        <w:r w:rsidR="00C360A7" w:rsidRPr="00C360A7">
          <w:rPr>
            <w:rStyle w:val="Hyperlink"/>
          </w:rPr>
          <w:t>age</w:t>
        </w:r>
        <w:proofErr w:type="gramEnd"/>
        <w:r w:rsidR="00C360A7" w:rsidRPr="00C360A7">
          <w:rPr>
            <w:rStyle w:val="Hyperlink"/>
          </w:rPr>
          <w:t xml:space="preserve"> 50 or older)” by the US Department of Health and Human Services. Published via </w:t>
        </w:r>
        <w:proofErr w:type="spellStart"/>
        <w:r w:rsidR="00C360A7" w:rsidRPr="00C360A7">
          <w:rPr>
            <w:rStyle w:val="Hyperlink"/>
          </w:rPr>
          <w:t>MyHealthfinder</w:t>
        </w:r>
        <w:proofErr w:type="spellEnd"/>
        <w:r w:rsidR="00C360A7" w:rsidRPr="00C360A7">
          <w:rPr>
            <w:rStyle w:val="Hyperlink"/>
          </w:rPr>
          <w:t>, 2022. Retrieved December 20, 2022.</w:t>
        </w:r>
      </w:hyperlink>
      <w:r w:rsidR="00C360A7" w:rsidRPr="00C360A7">
        <w:t xml:space="preserve"> </w:t>
      </w:r>
    </w:p>
    <w:p w14:paraId="7945D589" w14:textId="0BE88AA7" w:rsidR="00C360A7" w:rsidRPr="00C360A7" w:rsidRDefault="00000000" w:rsidP="00926EB3">
      <w:pPr>
        <w:pStyle w:val="ListParagraph"/>
        <w:numPr>
          <w:ilvl w:val="0"/>
          <w:numId w:val="199"/>
        </w:numPr>
      </w:pPr>
      <w:hyperlink r:id="rId460" w:anchor=":~:text=The%20most%20important%20vaccinations%20seniors,%2Dpertussis%20vaccine%20(Tdap)" w:history="1">
        <w:r w:rsidR="00C360A7" w:rsidRPr="00C360A7">
          <w:rPr>
            <w:rStyle w:val="Hyperlink"/>
          </w:rPr>
          <w:t>“Senior Immunizations by John Muir Health. Retrieved December 20, 2022.</w:t>
        </w:r>
      </w:hyperlink>
    </w:p>
    <w:p w14:paraId="42E510EA" w14:textId="57A5DCC7" w:rsidR="00A65BE2" w:rsidRDefault="00000000" w:rsidP="00926EB3">
      <w:pPr>
        <w:pStyle w:val="ListParagraph"/>
        <w:numPr>
          <w:ilvl w:val="0"/>
          <w:numId w:val="199"/>
        </w:numPr>
      </w:pPr>
      <w:hyperlink r:id="rId461" w:history="1">
        <w:r w:rsidR="00C360A7" w:rsidRPr="00C360A7">
          <w:rPr>
            <w:rStyle w:val="Hyperlink"/>
          </w:rPr>
          <w:t>“Vaccinations and older adults” by the. U.S. Department of Health and Human Services. Published by the National Institute on Aging, 2022. Retrieved December 20, 2022.</w:t>
        </w:r>
      </w:hyperlink>
      <w:r w:rsidR="00C360A7" w:rsidRPr="00C360A7">
        <w:t xml:space="preserve"> </w:t>
      </w:r>
    </w:p>
    <w:p w14:paraId="6DA8F248" w14:textId="77777777" w:rsidR="00A65BE2" w:rsidRDefault="00A65BE2"/>
    <w:p w14:paraId="59286BEA" w14:textId="77777777" w:rsidR="00A65BE2" w:rsidRDefault="00A65BE2">
      <w:r>
        <w:br w:type="page"/>
      </w:r>
    </w:p>
    <w:p w14:paraId="3FC1BA3D" w14:textId="77777777" w:rsidR="00A65BE2" w:rsidRDefault="00A65BE2" w:rsidP="00A65BE2">
      <w:pPr>
        <w:pStyle w:val="Heading2"/>
      </w:pPr>
      <w:bookmarkStart w:id="1049" w:name="_Toc162267711"/>
      <w:r>
        <w:lastRenderedPageBreak/>
        <w:t>Chapter 11: Capacity to Address Health Issues</w:t>
      </w:r>
      <w:bookmarkEnd w:id="1049"/>
    </w:p>
    <w:p w14:paraId="3AFFBDDF" w14:textId="77777777" w:rsidR="00A65BE2" w:rsidRDefault="00A65BE2" w:rsidP="00A65BE2">
      <w:pPr>
        <w:pStyle w:val="Heading3"/>
      </w:pPr>
    </w:p>
    <w:p w14:paraId="36DED7AD" w14:textId="1E04D8D9" w:rsidR="00A65BE2" w:rsidRDefault="00A65BE2" w:rsidP="00A65BE2">
      <w:pPr>
        <w:pStyle w:val="Heading3"/>
      </w:pPr>
      <w:bookmarkStart w:id="1050" w:name="_Toc162267712"/>
      <w:r>
        <w:t>Introduction</w:t>
      </w:r>
      <w:bookmarkEnd w:id="1050"/>
    </w:p>
    <w:p w14:paraId="7FD24568" w14:textId="5A2E1B66" w:rsidR="00A65BE2" w:rsidRPr="00A65BE2" w:rsidRDefault="00A65BE2" w:rsidP="00A65BE2">
      <w:r w:rsidRPr="00A65BE2">
        <w:t>In public health, capacity is the ability to adequately assess, mitigate, and evaluate needs. To effectively do this, we must work systemically at three levels to build and continually assess capacity: individual, organization, and community. South Carolina (SC) is building and enhancing public health capacity through meaningful and innovative community engagement and sustainable partnerships. In broad terms, capacity</w:t>
      </w:r>
      <w:r w:rsidR="00011D79">
        <w:t>-</w:t>
      </w:r>
      <w:r w:rsidRPr="00A65BE2">
        <w:t xml:space="preserve">building activities encompass anything that enables public health systems to improve on their mission work. Whether capacity improvement leads to greater opportunities, outreach, or increased efficiency, it optimizes the ability of individuals, organizations, communities, and systems to achieve a positive impact on those they serve. For health systems, capacity-building represents a long-term effort to promote and support healthy, sustainable behaviors and environments. The COVID-19 pandemic exposed many complex social and health problems, inequities and disparities and challenged all public health systems to build back better and prepare for the next public health challenge. It challenged public health systems to re-evaluate their capacity and total infrastructure. In a Stanford Social Innovation Review brief, </w:t>
      </w:r>
      <w:proofErr w:type="gramStart"/>
      <w:r w:rsidRPr="00A65BE2">
        <w:t>Maxwell</w:t>
      </w:r>
      <w:proofErr w:type="gramEnd"/>
      <w:r w:rsidRPr="00A65BE2">
        <w:t xml:space="preserve"> and </w:t>
      </w:r>
      <w:proofErr w:type="spellStart"/>
      <w:r w:rsidRPr="00A65BE2">
        <w:t>Misra</w:t>
      </w:r>
      <w:proofErr w:type="spellEnd"/>
      <w:r w:rsidRPr="00A65BE2">
        <w:t xml:space="preserve"> (2016) noted that the first step to solving social problems is to understand the system that the problem lives in. They also defined three keys to unlocking systems-level change:</w:t>
      </w:r>
      <w:r>
        <w:t xml:space="preserve"> </w:t>
      </w:r>
      <w:r w:rsidRPr="00A65BE2">
        <w:t xml:space="preserve">developing a systems mindset, identifying the best tool or intervention, and realizing the current human dynamics.  </w:t>
      </w:r>
    </w:p>
    <w:p w14:paraId="5D10453B" w14:textId="77777777" w:rsidR="00A65BE2" w:rsidRDefault="00A65BE2" w:rsidP="00A65BE2"/>
    <w:p w14:paraId="40BDB30C" w14:textId="54A87152" w:rsidR="00A65BE2" w:rsidRPr="00A65BE2" w:rsidRDefault="00A65BE2" w:rsidP="00A65BE2">
      <w:r w:rsidRPr="00A65BE2">
        <w:t>Understanding this concept will help communities identify upstream, or root causes and move from theory to action. Public health systems cannot do this work alone, they will need to involve the affected populations and rely on the power of partnerships. In other words, it is an investment in our success and sustainability to impact the health of the public.</w:t>
      </w:r>
    </w:p>
    <w:p w14:paraId="3E345837" w14:textId="77777777" w:rsidR="00A65BE2" w:rsidRDefault="00A65BE2" w:rsidP="00A65BE2"/>
    <w:p w14:paraId="488AAE66" w14:textId="1F170A0C" w:rsidR="00A65BE2" w:rsidRPr="00A65BE2" w:rsidRDefault="00A65BE2" w:rsidP="00A65BE2">
      <w:r w:rsidRPr="00A65BE2">
        <w:t>The World Health Organization (WHO) defines capacity</w:t>
      </w:r>
      <w:r w:rsidR="00011D79">
        <w:t>-</w:t>
      </w:r>
      <w:r w:rsidRPr="00A65BE2">
        <w:t xml:space="preserve">building as the development of knowledge, skills, commitment, structures, systems, and leadership to enable effective health promotion. SC is a growing state and is home to more than 5.1 million people. The 2020 Census shows that the state’s population has increased by 12.0% since the 2010 Census, so one agency, organization, or entity cannot do this work without adequate funding, workforce, </w:t>
      </w:r>
      <w:r w:rsidRPr="00A65BE2">
        <w:lastRenderedPageBreak/>
        <w:t>intentional and sustainable partnerships, and resources (U.S. Census Reports, 2021). Public health professionals in SC serve a diverse population (62.4% non-Hispanic White, 24.9% non-Hispanic Black, 0.4% non-Hispanic Other, 1.6% non-Hispanic Asian, 0.2% non-Hispanic American Indian and Alaskan Native, &lt;0.1% non-Hispanic Native Hawaiian and Pacific Islander, 6.4% Hispanic, and 3.8% two or more races), so capacity is needed to provide diverse programs and intentional services through a health equity lens (US Census Bureau ACS, 2021).</w:t>
      </w:r>
    </w:p>
    <w:p w14:paraId="1D571554" w14:textId="77777777" w:rsidR="00A65BE2" w:rsidRDefault="00A65BE2" w:rsidP="00A65BE2"/>
    <w:p w14:paraId="0B514D22" w14:textId="3984239D" w:rsidR="00A65BE2" w:rsidRPr="00A65BE2" w:rsidRDefault="00A65BE2" w:rsidP="00A65BE2">
      <w:r w:rsidRPr="00A65BE2">
        <w:t>The SC State Health Assessment (SHA) enhances capacity to guide efforts towards a healthier state. In addition to capturing both quantitative and qualitative data points, the SHA provides a great foundation for sharing knowledge and resources and for building and enhancing equitable and sustainable capacity throughout all public health systems in the state. In addition to the statewide assessment, the DHEC Community Engagement Teams work with community partners and coalitions to conduct local community health assessments that also inform the SHA for a more comprehensive and cohesive approach to assess the state’s overall health status. The recent COVID-19 public health emergency highlighted and exposed many underlying health inequities and the need for more robust programs and services to prepare for the next public health emergency. The SHA is a great tool to inform and prepare public health professionals and educate the public.</w:t>
      </w:r>
    </w:p>
    <w:p w14:paraId="369C9B78" w14:textId="77777777" w:rsidR="00A65BE2" w:rsidRDefault="00A65BE2" w:rsidP="00A65BE2"/>
    <w:p w14:paraId="4908CF2B" w14:textId="369C7A51" w:rsidR="00A65BE2" w:rsidRPr="00A65BE2" w:rsidRDefault="00A65BE2" w:rsidP="00A65BE2">
      <w:r w:rsidRPr="00A65BE2">
        <w:t xml:space="preserve">Many health inequities are associated with a specific social determinant of health (SDOH). SDOHs are the nonmedical factors that influence health </w:t>
      </w:r>
      <w:proofErr w:type="gramStart"/>
      <w:r w:rsidRPr="00A65BE2">
        <w:t>outcomes</w:t>
      </w:r>
      <w:proofErr w:type="gramEnd"/>
      <w:r w:rsidRPr="00A65BE2">
        <w:t xml:space="preserve"> and they are the conditions in which people are born, grow, work, live, age, and the wider set of forces and systems shaping the conditions of daily life. Examples of these forces and systems are economic and social policies, social and structural development agendas, social norms, racism, climate change, and political systems. In a 2017 white paper by Karen DeSalvo, former Acting Assistant Secretary of Health at the US Department of Health and Human Services, public health systems were charged with developing a more innovative model of public health that integrates SDOHs with public health informatics and one that engages multiple sectors of society and community partners for a collective impact. </w:t>
      </w:r>
    </w:p>
    <w:p w14:paraId="7930AC8F" w14:textId="77777777" w:rsidR="00A65BE2" w:rsidRDefault="00A65BE2" w:rsidP="00A65BE2"/>
    <w:p w14:paraId="7A5E4B78" w14:textId="77777777" w:rsidR="00A65BE2" w:rsidRDefault="00A65BE2" w:rsidP="00A65BE2">
      <w:r w:rsidRPr="00A65BE2">
        <w:t xml:space="preserve">Each agency, organization, and partner of Live Healthy South Carolina (LHSC) invests in their members by providing comprehensive and timely training, mentorship opportunities and resources. By focusing on the areas of health </w:t>
      </w:r>
      <w:r w:rsidRPr="00A65BE2">
        <w:lastRenderedPageBreak/>
        <w:t>disparities, health equity, funding, workforce, access to care, partnerships, and other community engagement efforts, this chapter will describe and demonstrate the state’s current capacity to meet its public health needs at the organizational and community levels.</w:t>
      </w:r>
    </w:p>
    <w:p w14:paraId="31873EC7" w14:textId="77777777" w:rsidR="00A65BE2" w:rsidRDefault="00A65BE2" w:rsidP="00A65BE2"/>
    <w:p w14:paraId="627A6EF2" w14:textId="17C79D1D" w:rsidR="00C360A7" w:rsidRPr="00474B85" w:rsidRDefault="00C360A7" w:rsidP="00C360A7">
      <w:pPr>
        <w:pStyle w:val="Heading4"/>
        <w:rPr>
          <w:rFonts w:asciiTheme="minorHAnsi" w:hAnsiTheme="minorHAnsi" w:cstheme="minorHAnsi"/>
          <w:color w:val="000000" w:themeColor="text1"/>
        </w:rPr>
      </w:pPr>
      <w:bookmarkStart w:id="1051" w:name="_Toc162267713"/>
      <w:r w:rsidRPr="00474B85">
        <w:rPr>
          <w:rFonts w:asciiTheme="minorHAnsi" w:hAnsiTheme="minorHAnsi" w:cstheme="minorHAnsi"/>
          <w:color w:val="000000" w:themeColor="text1"/>
        </w:rPr>
        <w:t xml:space="preserve">References </w:t>
      </w:r>
      <w:r>
        <w:rPr>
          <w:rFonts w:asciiTheme="minorHAnsi" w:hAnsiTheme="minorHAnsi" w:cstheme="minorHAnsi"/>
          <w:color w:val="000000" w:themeColor="text1"/>
        </w:rPr>
        <w:t>11.1</w:t>
      </w:r>
      <w:bookmarkEnd w:id="1051"/>
    </w:p>
    <w:p w14:paraId="0DFF2225" w14:textId="77777777" w:rsidR="00C360A7" w:rsidRDefault="00C360A7" w:rsidP="00C360A7">
      <w:r w:rsidRPr="00474B85">
        <w:t>Statistics in the preceding section were referenced from the following reports:</w:t>
      </w:r>
    </w:p>
    <w:p w14:paraId="6AD1591E" w14:textId="0746303D" w:rsidR="007306FE" w:rsidRPr="007306FE" w:rsidRDefault="00000000" w:rsidP="00926EB3">
      <w:pPr>
        <w:pStyle w:val="ListParagraph"/>
        <w:numPr>
          <w:ilvl w:val="0"/>
          <w:numId w:val="209"/>
        </w:numPr>
      </w:pPr>
      <w:hyperlink r:id="rId462" w:history="1">
        <w:r w:rsidR="007306FE" w:rsidRPr="007306FE">
          <w:rPr>
            <w:rStyle w:val="Hyperlink"/>
          </w:rPr>
          <w:t>Retrieved from the Capacity for Health website on March 3, 2023.</w:t>
        </w:r>
      </w:hyperlink>
    </w:p>
    <w:p w14:paraId="7C54CB8E" w14:textId="6231CB1A" w:rsidR="007306FE" w:rsidRPr="007306FE" w:rsidRDefault="00000000" w:rsidP="00926EB3">
      <w:pPr>
        <w:pStyle w:val="ListParagraph"/>
        <w:numPr>
          <w:ilvl w:val="0"/>
          <w:numId w:val="209"/>
        </w:numPr>
      </w:pPr>
      <w:hyperlink r:id="rId463" w:history="1">
        <w:r w:rsidR="007306FE" w:rsidRPr="007306FE">
          <w:rPr>
            <w:rStyle w:val="Hyperlink"/>
          </w:rPr>
          <w:t xml:space="preserve">“Three Keys to Unlocking Systems-Level Change” by Maxwell, J., &amp; </w:t>
        </w:r>
        <w:proofErr w:type="spellStart"/>
        <w:r w:rsidR="007306FE" w:rsidRPr="007306FE">
          <w:rPr>
            <w:rStyle w:val="Hyperlink"/>
          </w:rPr>
          <w:t>Misra</w:t>
        </w:r>
        <w:proofErr w:type="spellEnd"/>
        <w:r w:rsidR="007306FE" w:rsidRPr="007306FE">
          <w:rPr>
            <w:rStyle w:val="Hyperlink"/>
          </w:rPr>
          <w:t>, S., 2016. Published in the Stanford Social Innovation Review.</w:t>
        </w:r>
      </w:hyperlink>
      <w:r w:rsidR="007306FE" w:rsidRPr="007306FE">
        <w:t xml:space="preserve"> </w:t>
      </w:r>
    </w:p>
    <w:p w14:paraId="5C1209EF" w14:textId="52CEB8AB" w:rsidR="007306FE" w:rsidRPr="007306FE" w:rsidRDefault="00000000" w:rsidP="00926EB3">
      <w:pPr>
        <w:pStyle w:val="ListParagraph"/>
        <w:numPr>
          <w:ilvl w:val="0"/>
          <w:numId w:val="209"/>
        </w:numPr>
      </w:pPr>
      <w:hyperlink r:id="rId464" w:history="1">
        <w:r w:rsidR="007306FE" w:rsidRPr="007306FE">
          <w:rPr>
            <w:rStyle w:val="Hyperlink"/>
          </w:rPr>
          <w:t>U.S. Census Reports. Retrieved February 11, 2023.</w:t>
        </w:r>
      </w:hyperlink>
    </w:p>
    <w:p w14:paraId="3B13FFB3" w14:textId="03E56814" w:rsidR="007306FE" w:rsidRPr="007306FE" w:rsidRDefault="00000000" w:rsidP="00926EB3">
      <w:pPr>
        <w:pStyle w:val="ListParagraph"/>
        <w:numPr>
          <w:ilvl w:val="0"/>
          <w:numId w:val="209"/>
        </w:numPr>
      </w:pPr>
      <w:hyperlink r:id="rId465" w:history="1">
        <w:r w:rsidR="007306FE" w:rsidRPr="007306FE">
          <w:rPr>
            <w:rStyle w:val="Hyperlink"/>
          </w:rPr>
          <w:t>“Social Determinants of Health at the CDC” by Centers for Disease Control and Prevention via cdc.gov. Retrieved on February 11, 2023.</w:t>
        </w:r>
      </w:hyperlink>
    </w:p>
    <w:p w14:paraId="094542C2" w14:textId="6246D85A" w:rsidR="007306FE" w:rsidRPr="007306FE" w:rsidRDefault="00000000" w:rsidP="00926EB3">
      <w:pPr>
        <w:pStyle w:val="ListParagraph"/>
        <w:numPr>
          <w:ilvl w:val="0"/>
          <w:numId w:val="209"/>
        </w:numPr>
      </w:pPr>
      <w:hyperlink r:id="rId466" w:history="1">
        <w:r w:rsidR="007306FE" w:rsidRPr="007306FE">
          <w:rPr>
            <w:rStyle w:val="Hyperlink"/>
          </w:rPr>
          <w:t>“Public Health 3.0: A Call to Action for Public Health to Meet the Challenges of the 21st Century” by DeSalvo, K.B., Wang, Y.C., Harris, A., Auerbach, J., Koo, D., O’Carroll, P., Published in Preventing Chronic Disease, 2017.</w:t>
        </w:r>
      </w:hyperlink>
      <w:r w:rsidR="007306FE" w:rsidRPr="007306FE">
        <w:t xml:space="preserve"> </w:t>
      </w:r>
    </w:p>
    <w:p w14:paraId="28E20A0E" w14:textId="77777777" w:rsidR="00C360A7" w:rsidRDefault="00C360A7" w:rsidP="00A65BE2"/>
    <w:p w14:paraId="5E962F96" w14:textId="78A6F632" w:rsidR="00A65BE2" w:rsidRPr="00A65BE2" w:rsidRDefault="00A65BE2" w:rsidP="00A65BE2">
      <w:pPr>
        <w:pStyle w:val="Heading3"/>
      </w:pPr>
      <w:bookmarkStart w:id="1052" w:name="_Toc162267714"/>
      <w:r w:rsidRPr="00A65BE2">
        <w:t xml:space="preserve">Public Health Capacity to </w:t>
      </w:r>
      <w:r w:rsidR="00011D79">
        <w:t>A</w:t>
      </w:r>
      <w:r w:rsidRPr="00A65BE2">
        <w:t>ddress Health Disparities and Health Equity</w:t>
      </w:r>
      <w:bookmarkEnd w:id="1052"/>
    </w:p>
    <w:p w14:paraId="56746A4A" w14:textId="77777777" w:rsidR="00A65BE2" w:rsidRPr="00A65BE2" w:rsidRDefault="00A65BE2" w:rsidP="00A65BE2">
      <w:r w:rsidRPr="00A65BE2">
        <w:t xml:space="preserve">SDOHs cause disparities that impact individual and community health outcomes. Health equity is achieved when everyone can attain their highest level of health. Addressing health disparities and health equity requires strong partnerships and strategic approaches. Our state’s capacity to address health disparities and health equity is dependent on collaboration among multiple agencies, organizations, and individuals to ensure that every South Carolinian has the same opportunity for quality health care and access to resources. </w:t>
      </w:r>
    </w:p>
    <w:p w14:paraId="7D4CB091" w14:textId="77777777" w:rsidR="00A65BE2" w:rsidRDefault="00A65BE2" w:rsidP="00A65BE2">
      <w:pPr>
        <w:pStyle w:val="Heading4"/>
      </w:pPr>
    </w:p>
    <w:p w14:paraId="318E801D" w14:textId="0218D4CD" w:rsidR="00A65BE2" w:rsidRPr="00A65BE2" w:rsidRDefault="00A65BE2" w:rsidP="00A65BE2">
      <w:pPr>
        <w:pStyle w:val="Heading4"/>
      </w:pPr>
      <w:bookmarkStart w:id="1053" w:name="_Toc162267715"/>
      <w:r w:rsidRPr="00A65BE2">
        <w:t xml:space="preserve">Assets in South Carolina to </w:t>
      </w:r>
      <w:r w:rsidR="00011D79">
        <w:t>A</w:t>
      </w:r>
      <w:r w:rsidRPr="00A65BE2">
        <w:t>ddress Health Equity:</w:t>
      </w:r>
      <w:bookmarkEnd w:id="1053"/>
    </w:p>
    <w:p w14:paraId="6300B764" w14:textId="77777777" w:rsidR="00A65BE2" w:rsidRPr="00A65BE2" w:rsidRDefault="00A65BE2" w:rsidP="00A65BE2">
      <w:r w:rsidRPr="00A65BE2">
        <w:t>A diverse variety of agencies and organizations work across the state to ensure access to conditions that improve health (see Appendix F for Asset Inventory). To address health disparities and health equity, the agencies and organizations should view public health through a health equity lens to reach the communities with the greatest need. Below are a few examples of ways SC is building capacity to address health disparities and health equity:</w:t>
      </w:r>
    </w:p>
    <w:p w14:paraId="6D9F8AB5" w14:textId="0F4C3F37" w:rsidR="00A65BE2" w:rsidRDefault="00000000" w:rsidP="00A65BE2">
      <w:pPr>
        <w:rPr>
          <w:u w:val="thick"/>
        </w:rPr>
      </w:pPr>
      <w:hyperlink r:id="rId467" w:history="1">
        <w:r w:rsidR="00A65BE2" w:rsidRPr="00115A6A">
          <w:rPr>
            <w:rStyle w:val="Heading5Char"/>
          </w:rPr>
          <w:t>Alliance for a Healthier SC</w:t>
        </w:r>
      </w:hyperlink>
      <w:r w:rsidR="00A65BE2" w:rsidRPr="00115A6A">
        <w:rPr>
          <w:rStyle w:val="Heading5Char"/>
        </w:rPr>
        <w:t>:</w:t>
      </w:r>
      <w:r w:rsidR="00A65BE2" w:rsidRPr="00A65BE2">
        <w:rPr>
          <w:b/>
          <w:bCs/>
        </w:rPr>
        <w:t xml:space="preserve"> </w:t>
      </w:r>
      <w:hyperlink r:id="rId468" w:history="1">
        <w:r w:rsidR="00A65BE2" w:rsidRPr="00474446">
          <w:rPr>
            <w:rStyle w:val="Hyperlink"/>
          </w:rPr>
          <w:t xml:space="preserve">The Alliance </w:t>
        </w:r>
        <w:r w:rsidR="00474446" w:rsidRPr="00474446">
          <w:rPr>
            <w:rStyle w:val="Hyperlink"/>
          </w:rPr>
          <w:t>for a Healthier SC</w:t>
        </w:r>
      </w:hyperlink>
      <w:r w:rsidR="00474446">
        <w:t xml:space="preserve"> </w:t>
      </w:r>
      <w:r w:rsidR="00A65BE2" w:rsidRPr="00A65BE2">
        <w:t xml:space="preserve">has identified equity-based gaps in health access and health outcomes as some of the greatest health </w:t>
      </w:r>
      <w:r w:rsidR="00A65BE2" w:rsidRPr="00A65BE2">
        <w:lastRenderedPageBreak/>
        <w:t xml:space="preserve">challenges that South Carolinians face. To address these gaps, the Alliance has established a Health Equity Action Team (HEAT). The team has developed health and racial equity strategies to build leadership capacity, to promote health and racial equity as core systemic values and to take collective action at the policy and programmatic levels to eliminate equity-based gaps in health outcomes. HEAT’s Core Strategic Goals identified are (1) build awareness, education, and training; (2) provide equity-stratified data for decision-making; (3) support policy and system changes; and (4) build multi-sector collaborations. The goals are built on a set of six health and racial equity guiding principles. The Alliance has a Health Equity page on its website, which houses a link for individuals and organizations to take a Health Equity Champion Pledge. The Alliance also hosts an annual Health Equity Summit. </w:t>
      </w:r>
    </w:p>
    <w:p w14:paraId="5360993A" w14:textId="77777777" w:rsidR="00C360A7" w:rsidRDefault="00C360A7" w:rsidP="00A65BE2">
      <w:bookmarkStart w:id="1054" w:name="_Toc154569714"/>
    </w:p>
    <w:p w14:paraId="405210BB" w14:textId="600053DE" w:rsidR="00A65BE2" w:rsidRPr="00A65BE2" w:rsidRDefault="00A65BE2" w:rsidP="00A65BE2">
      <w:r w:rsidRPr="00A65BE2">
        <w:rPr>
          <w:rStyle w:val="Heading5Char"/>
        </w:rPr>
        <w:t>Able South Carolina</w:t>
      </w:r>
      <w:r w:rsidRPr="00A65BE2">
        <w:t xml:space="preserve">: </w:t>
      </w:r>
      <w:hyperlink r:id="rId469" w:history="1">
        <w:r w:rsidRPr="00474446">
          <w:rPr>
            <w:rStyle w:val="Hyperlink"/>
          </w:rPr>
          <w:t>Able SC</w:t>
        </w:r>
      </w:hyperlink>
      <w:r w:rsidRPr="00A65BE2">
        <w:t xml:space="preserve"> is a disability-led organization seeking transformational changes in systems, communities, and individuals. The organization’s vision is a</w:t>
      </w:r>
      <w:r w:rsidR="00F4276E">
        <w:t>n</w:t>
      </w:r>
      <w:r w:rsidRPr="00A65BE2">
        <w:t xml:space="preserve"> SC that is a national model of equity and inclusion for all people with disabilities. They focus on equity, disability justice and representation, and true inclusion through consumer-driven independence and disability pride. </w:t>
      </w:r>
    </w:p>
    <w:p w14:paraId="2758B9E4" w14:textId="77777777" w:rsidR="00A65BE2" w:rsidRPr="00A65BE2" w:rsidRDefault="00A65BE2" w:rsidP="00A65BE2"/>
    <w:p w14:paraId="11E01F25" w14:textId="16D0FEA4" w:rsidR="00A65BE2" w:rsidRPr="00A65BE2" w:rsidRDefault="00A65BE2" w:rsidP="00A65BE2">
      <w:r w:rsidRPr="00A65BE2">
        <w:rPr>
          <w:rStyle w:val="Heading5Char"/>
        </w:rPr>
        <w:t>Center for Community Health Alignment (CCHA):</w:t>
      </w:r>
      <w:r w:rsidRPr="00A65BE2">
        <w:t xml:space="preserve"> </w:t>
      </w:r>
      <w:hyperlink r:id="rId470" w:history="1">
        <w:r w:rsidRPr="00474446">
          <w:rPr>
            <w:rStyle w:val="Hyperlink"/>
          </w:rPr>
          <w:t>CCHA’s</w:t>
        </w:r>
      </w:hyperlink>
      <w:r w:rsidRPr="00A65BE2">
        <w:t xml:space="preserve"> mission is to use evidence-based models and meaningful engagement strategies to co-create solutions with community leaders that address health inequities. CCHA has three major initiatives: (1) The Community Health Worker (CHW) Institute supports CHWs, their employers, and their communities through training and technical assistance; (2) PASOs provides education, advocacy, and leadership development in Latino communities across SC (see below for additional information); and (3) Equity through Meaningful Community Engagement, an approach which centers community members to create solutions for health equity. </w:t>
      </w:r>
    </w:p>
    <w:p w14:paraId="5E179493" w14:textId="77777777" w:rsidR="00A65BE2" w:rsidRPr="00A65BE2" w:rsidRDefault="00A65BE2" w:rsidP="00A65BE2"/>
    <w:p w14:paraId="49ABA5D7" w14:textId="39C7B292" w:rsidR="00A65BE2" w:rsidRPr="00A65BE2" w:rsidRDefault="00A65BE2" w:rsidP="00A65BE2">
      <w:r w:rsidRPr="00A65BE2">
        <w:rPr>
          <w:rStyle w:val="Heading5Char"/>
        </w:rPr>
        <w:t>The Center for Rural and Primary Healthcare (CRPH):</w:t>
      </w:r>
      <w:r w:rsidRPr="00A65BE2">
        <w:rPr>
          <w:b/>
          <w:bCs/>
        </w:rPr>
        <w:t xml:space="preserve"> </w:t>
      </w:r>
      <w:r w:rsidRPr="00A65BE2">
        <w:t>With the unique challenges rural communities face</w:t>
      </w:r>
      <w:hyperlink r:id="rId471" w:history="1">
        <w:r w:rsidRPr="00474446">
          <w:rPr>
            <w:rStyle w:val="Hyperlink"/>
          </w:rPr>
          <w:t>, the CRPH</w:t>
        </w:r>
      </w:hyperlink>
      <w:r w:rsidRPr="00A65BE2">
        <w:t xml:space="preserve"> collaborates with multi-sectoral partners to improve health and health care outcomes in rural and underserved populations and to advance health equity, and CRPH is home to over 60 programs working around the state. Their work focuses on improving access to care for rural patients, supporting a strategic and diverse rural clinical workforce, and informing policy and programs through relevant research and evaluation. Through their keystone </w:t>
      </w:r>
      <w:proofErr w:type="spellStart"/>
      <w:r w:rsidRPr="00A65BE2">
        <w:t>iCARE</w:t>
      </w:r>
      <w:proofErr w:type="spellEnd"/>
      <w:r w:rsidRPr="00A65BE2">
        <w:t xml:space="preserve"> program, they have expanded access to specialty care by working </w:t>
      </w:r>
      <w:r w:rsidRPr="00A65BE2">
        <w:lastRenderedPageBreak/>
        <w:t xml:space="preserve">with health systems to reduce the transportation burden for rural patients. By utilizing equitable recruitment strategies, they work to attract diverse talent to rural areas and create a sustainable pipeline of students entering the healthcare workforce. With their Connecting Communities program, they engage community partners to build more equitable and resilient community health systems that serve rural and underserved groups. </w:t>
      </w:r>
    </w:p>
    <w:p w14:paraId="3B4F4F65" w14:textId="77777777" w:rsidR="00A65BE2" w:rsidRDefault="00A65BE2" w:rsidP="00A65BE2">
      <w:pPr>
        <w:rPr>
          <w:b/>
          <w:bCs/>
        </w:rPr>
      </w:pPr>
    </w:p>
    <w:p w14:paraId="59060C29" w14:textId="1CA23634" w:rsidR="00A65BE2" w:rsidRPr="00A65BE2" w:rsidRDefault="00A65BE2" w:rsidP="00A65BE2">
      <w:r w:rsidRPr="00A65BE2">
        <w:rPr>
          <w:rStyle w:val="Heading5Char"/>
        </w:rPr>
        <w:t>Family Connection of SC:</w:t>
      </w:r>
      <w:r w:rsidRPr="00A65BE2">
        <w:t xml:space="preserve"> </w:t>
      </w:r>
      <w:hyperlink r:id="rId472" w:history="1">
        <w:r w:rsidRPr="00474446">
          <w:rPr>
            <w:rStyle w:val="Hyperlink"/>
          </w:rPr>
          <w:t>Family Connection of SC</w:t>
        </w:r>
      </w:hyperlink>
      <w:r w:rsidRPr="00A65BE2">
        <w:t xml:space="preserve"> is a statewide support network whose mission is to strengthen and encourage families of children with special health care needs through parent support. Since 1990, Family Connection has been serving families of children with disabilities and chronic health conditions. It has served more than 100,000 families and today the need is greater than ever. It has been the Parent Training and Information Center for SC since 2015. Its staff are highly trained professionals who are parents themselves, and will provide information, support, education, and referrals to meet the individualized needs of the family. Its staff is ready to help parents navigate the stages of their child’s journey and help them chart a true course for success. </w:t>
      </w:r>
    </w:p>
    <w:p w14:paraId="580D5FAD" w14:textId="77777777" w:rsidR="00A65BE2" w:rsidRPr="00A65BE2" w:rsidRDefault="00A65BE2" w:rsidP="00A65BE2"/>
    <w:p w14:paraId="141C6770" w14:textId="22F0974B" w:rsidR="00A65BE2" w:rsidRPr="00A65BE2" w:rsidRDefault="00A65BE2" w:rsidP="00A65BE2">
      <w:pPr>
        <w:rPr>
          <w:u w:val="thick"/>
        </w:rPr>
      </w:pPr>
      <w:r w:rsidRPr="00A65BE2">
        <w:rPr>
          <w:rStyle w:val="Heading5Char"/>
        </w:rPr>
        <w:t>PASOs:</w:t>
      </w:r>
      <w:r w:rsidRPr="00A65BE2">
        <w:rPr>
          <w:b/>
          <w:bCs/>
        </w:rPr>
        <w:t xml:space="preserve"> </w:t>
      </w:r>
      <w:hyperlink r:id="rId473" w:history="1">
        <w:r w:rsidRPr="00474446">
          <w:rPr>
            <w:rStyle w:val="Hyperlink"/>
          </w:rPr>
          <w:t>PASOs</w:t>
        </w:r>
      </w:hyperlink>
      <w:r w:rsidRPr="00A65BE2">
        <w:t>, which means “steps” in Spanish, uses the Community Health Worker/</w:t>
      </w:r>
      <w:r w:rsidR="00D0571C" w:rsidRPr="00A65BE2">
        <w:t>Promotors</w:t>
      </w:r>
      <w:r w:rsidRPr="00A65BE2">
        <w:t xml:space="preserve"> model statewide to serve individuals and families and strengthen leadership within Latino communities to advance health education and awareness, advocacy, resource navigation, resource connection and leadership development. Their vision is healthy Latino communities contributing to a stronger SC. They build stronger Latino communities through education, advocacy, and leadership development. </w:t>
      </w:r>
    </w:p>
    <w:p w14:paraId="20B8E345" w14:textId="77777777" w:rsidR="00A65BE2" w:rsidRPr="00A65BE2" w:rsidRDefault="00A65BE2" w:rsidP="00A65BE2"/>
    <w:p w14:paraId="6FF38EA7" w14:textId="628F97FF" w:rsidR="00A65BE2" w:rsidRPr="00A65BE2" w:rsidRDefault="00A65BE2" w:rsidP="00A65BE2">
      <w:proofErr w:type="spellStart"/>
      <w:r w:rsidRPr="00A65BE2">
        <w:rPr>
          <w:rStyle w:val="Heading5Char"/>
        </w:rPr>
        <w:t>SmokeFree</w:t>
      </w:r>
      <w:proofErr w:type="spellEnd"/>
      <w:r w:rsidR="00F4276E">
        <w:rPr>
          <w:rStyle w:val="Heading5Char"/>
        </w:rPr>
        <w:t xml:space="preserve"> </w:t>
      </w:r>
      <w:r w:rsidRPr="00A65BE2">
        <w:rPr>
          <w:rStyle w:val="Heading5Char"/>
        </w:rPr>
        <w:t>SC:</w:t>
      </w:r>
      <w:r w:rsidRPr="00A65BE2">
        <w:rPr>
          <w:b/>
          <w:bCs/>
        </w:rPr>
        <w:t xml:space="preserve"> </w:t>
      </w:r>
      <w:hyperlink r:id="rId474" w:history="1">
        <w:r w:rsidRPr="00474446">
          <w:rPr>
            <w:rStyle w:val="Hyperlink"/>
          </w:rPr>
          <w:t>Smokefree SC</w:t>
        </w:r>
      </w:hyperlink>
      <w:r w:rsidRPr="00A65BE2">
        <w:t xml:space="preserve">, a statewide coalition dedicated to supporting and amplifying the work of tobacco prevention and control stakeholders in SC, is committed to eliminating premature death, disease, and other harms caused by tobacco products. This standard will reduce youth smoking, increase cessation, and decrease tobacco-related health disparities. </w:t>
      </w:r>
      <w:r w:rsidRPr="00A65BE2">
        <w:br/>
      </w:r>
    </w:p>
    <w:p w14:paraId="6DB48C89" w14:textId="77777777" w:rsidR="00A65BE2" w:rsidRPr="00A65BE2" w:rsidRDefault="00A65BE2" w:rsidP="00A65BE2"/>
    <w:p w14:paraId="5060848A" w14:textId="1B2848FA" w:rsidR="00A65BE2" w:rsidRPr="00A65BE2" w:rsidRDefault="00A65BE2" w:rsidP="00A65BE2">
      <w:pPr>
        <w:rPr>
          <w:u w:val="thick"/>
        </w:rPr>
      </w:pPr>
      <w:r w:rsidRPr="00A65BE2">
        <w:rPr>
          <w:rStyle w:val="Heading5Char"/>
        </w:rPr>
        <w:t>South Carolina Alliance for Health, Physical Education, Recreation and Dance (SCAHPERD):</w:t>
      </w:r>
      <w:r w:rsidRPr="00A65BE2">
        <w:rPr>
          <w:b/>
          <w:bCs/>
        </w:rPr>
        <w:t xml:space="preserve"> </w:t>
      </w:r>
      <w:hyperlink r:id="rId475" w:history="1">
        <w:r w:rsidRPr="00474446">
          <w:rPr>
            <w:rStyle w:val="Hyperlink"/>
          </w:rPr>
          <w:t>SCAHPERD</w:t>
        </w:r>
      </w:hyperlink>
      <w:r w:rsidRPr="00A65BE2">
        <w:t xml:space="preserve">’s mission is to promote health, physical activity, and wellness among the state’s citizens through effective professional development, leadership, </w:t>
      </w:r>
      <w:proofErr w:type="gramStart"/>
      <w:r w:rsidRPr="00A65BE2">
        <w:t>education</w:t>
      </w:r>
      <w:proofErr w:type="gramEnd"/>
      <w:r w:rsidRPr="00A65BE2">
        <w:t xml:space="preserve"> and advocacy. SCAHPERD has four associations to support </w:t>
      </w:r>
      <w:r w:rsidRPr="00A65BE2">
        <w:lastRenderedPageBreak/>
        <w:t>its mission. The SC Association for the Advancement of Health Education (SCAAHE) supports health education</w:t>
      </w:r>
      <w:r w:rsidRPr="00A65BE2">
        <w:rPr>
          <w:rFonts w:ascii="Muli-Regular" w:hAnsi="Muli-Regular" w:cs="Muli-Regular"/>
          <w:b/>
          <w:bCs/>
          <w:caps/>
          <w:color w:val="000000"/>
          <w:kern w:val="0"/>
          <w:sz w:val="20"/>
          <w:szCs w:val="20"/>
        </w:rPr>
        <w:t xml:space="preserve"> </w:t>
      </w:r>
      <w:r w:rsidRPr="00A65BE2">
        <w:t xml:space="preserve">that meets the needs for all. The SC Association for Physical Education and Sport (SCAPES) supports physical education and activity for all and adaptive PE for those with disabilities. They partner with Able SC to provide equitable PE to students. The SC Dance Association (SCDA) works to promote dance education statewide. The SC Association for Future Professionals (SCAFP) provides opportunities for growth and development of students, who are the future public health workforce. </w:t>
      </w:r>
      <w:r w:rsidRPr="00A65BE2">
        <w:br/>
      </w:r>
    </w:p>
    <w:p w14:paraId="44BE3156" w14:textId="4A434800" w:rsidR="00544798" w:rsidRDefault="00544798" w:rsidP="00A65BE2"/>
    <w:p w14:paraId="21C6EAA3" w14:textId="0CD19544" w:rsidR="00A65BE2" w:rsidRPr="00A65BE2" w:rsidRDefault="00A65BE2" w:rsidP="00A65BE2">
      <w:pPr>
        <w:rPr>
          <w:u w:val="thick"/>
        </w:rPr>
      </w:pPr>
      <w:r w:rsidRPr="00A65BE2">
        <w:rPr>
          <w:rStyle w:val="Heading5Char"/>
        </w:rPr>
        <w:t>South Carolina Commission for Minority Affairs</w:t>
      </w:r>
      <w:r w:rsidRPr="00A65BE2">
        <w:rPr>
          <w:b/>
          <w:bCs/>
        </w:rPr>
        <w:t xml:space="preserve">: </w:t>
      </w:r>
      <w:hyperlink r:id="rId476" w:history="1">
        <w:r w:rsidRPr="00474446">
          <w:rPr>
            <w:rStyle w:val="Hyperlink"/>
          </w:rPr>
          <w:t xml:space="preserve">The SC Commission for Minority </w:t>
        </w:r>
        <w:proofErr w:type="spellStart"/>
        <w:r w:rsidRPr="00474446">
          <w:rPr>
            <w:rStyle w:val="Hyperlink"/>
          </w:rPr>
          <w:t>Affairs’s</w:t>
        </w:r>
        <w:proofErr w:type="spellEnd"/>
      </w:hyperlink>
      <w:r w:rsidRPr="00A65BE2">
        <w:t xml:space="preserve"> Community-Based Programs division assists faith and community-based groups in implementing programs to alleviate socioeconomic deprivation in minority and poor communities. This includes providing technical assistance and training for capacity building. The Commission addresses the needs of diverse populations in the state, including African Americans, Asian-</w:t>
      </w:r>
      <w:proofErr w:type="gramStart"/>
      <w:r w:rsidRPr="00A65BE2">
        <w:t>Americans</w:t>
      </w:r>
      <w:proofErr w:type="gramEnd"/>
      <w:r w:rsidR="0087480F">
        <w:t xml:space="preserve"> </w:t>
      </w:r>
      <w:r w:rsidRPr="00A65BE2">
        <w:t xml:space="preserve">and Pacific Islanders, Hispanic/Latino, and Native Americans. </w:t>
      </w:r>
    </w:p>
    <w:p w14:paraId="67243545" w14:textId="77777777" w:rsidR="00A65BE2" w:rsidRPr="00A65BE2" w:rsidRDefault="00A65BE2" w:rsidP="00A65BE2"/>
    <w:p w14:paraId="731C91E6" w14:textId="36683E1A" w:rsidR="00A65BE2" w:rsidRPr="00A65BE2" w:rsidRDefault="00A65BE2" w:rsidP="00A65BE2">
      <w:r w:rsidRPr="00A65BE2">
        <w:rPr>
          <w:rStyle w:val="Heading5Char"/>
        </w:rPr>
        <w:t>South Carolina Department of Health and Environmental Control (DHEC):</w:t>
      </w:r>
      <w:r w:rsidRPr="00A65BE2">
        <w:t xml:space="preserve"> </w:t>
      </w:r>
      <w:hyperlink r:id="rId477" w:history="1">
        <w:r w:rsidRPr="00474446">
          <w:rPr>
            <w:rStyle w:val="Hyperlink"/>
          </w:rPr>
          <w:t>DHEC</w:t>
        </w:r>
      </w:hyperlink>
      <w:r w:rsidRPr="00A65BE2">
        <w:t xml:space="preserve"> is South Carolina’s lead public health agency, with the vision of “Healthy People Living in Healthy Communities.” DHEC is uniting with our many partners and community members across the state to overcome health disparities and realize the goal of every person having the opportunity to achieve their full health potential. DHEC is committed to working with community partners to address social determinants of health, such as access to quality health care, education, social connectedness, healthy food, housing, wealth, and employment – all of which play a key role in health inequities within our communities. DHEC will continue to work to address the SDOHs and advance health equity in partnership with community leaders and organizations across the state. This includes: (1) increasing awareness of disparities and the SDOHs, (2) improving access to actionable, community-level public health data, (3) working with community members and organizations to provide resources and information to develop sustainable solutions that work for their community, (4) engaging communities in a way that allows them to express their needs and learn about the issues that matter to them, (5) ensuring efforts to include a focus on expecting parents, infants, and children to support healthier head starts early in life, and (6) educating and providing information about policies through a health equity lens. </w:t>
      </w:r>
    </w:p>
    <w:p w14:paraId="2A160BBC" w14:textId="77777777" w:rsidR="00A65BE2" w:rsidRPr="00A65BE2" w:rsidRDefault="00A65BE2" w:rsidP="00A65BE2"/>
    <w:p w14:paraId="2ACCE36B" w14:textId="166C170D" w:rsidR="00A65BE2" w:rsidRPr="00A65BE2" w:rsidRDefault="00A65BE2" w:rsidP="00A65BE2">
      <w:r w:rsidRPr="00A65BE2">
        <w:rPr>
          <w:rStyle w:val="Heading5Char"/>
        </w:rPr>
        <w:t>South Carolina Hospital Association (SCHA):</w:t>
      </w:r>
      <w:r w:rsidRPr="00A65BE2">
        <w:rPr>
          <w:b/>
          <w:bCs/>
        </w:rPr>
        <w:t xml:space="preserve"> </w:t>
      </w:r>
      <w:hyperlink r:id="rId478" w:history="1">
        <w:r w:rsidRPr="00474446">
          <w:rPr>
            <w:rStyle w:val="Hyperlink"/>
          </w:rPr>
          <w:t>SCHA</w:t>
        </w:r>
      </w:hyperlink>
      <w:r w:rsidRPr="00A65BE2">
        <w:t xml:space="preserve"> represents that state’s hospitals and health systems and is committed to advancing health equity among the patients and communities they serve. The SCHA Board has selected key health measures from the SHIP to address health equity gaps and provides hospitals with reports detailing inpatient discharges by disparity to better understand inequities. SCHA also leads learning collaboratives, </w:t>
      </w:r>
      <w:proofErr w:type="gramStart"/>
      <w:r w:rsidRPr="00A65BE2">
        <w:t>develops</w:t>
      </w:r>
      <w:proofErr w:type="gramEnd"/>
      <w:r w:rsidRPr="00A65BE2">
        <w:t xml:space="preserve"> and shares educational content and provides technical assistance to community-based initiatives such as </w:t>
      </w:r>
      <w:proofErr w:type="spellStart"/>
      <w:r w:rsidRPr="00A65BE2">
        <w:t>AccessHealth</w:t>
      </w:r>
      <w:proofErr w:type="spellEnd"/>
      <w:r w:rsidRPr="00A65BE2">
        <w:t xml:space="preserve"> SC and Healthy People, Healthy Carolinas along with their hospital members to promote health equity and establish a more just health care environment in SC. </w:t>
      </w:r>
    </w:p>
    <w:p w14:paraId="3AA96FA7" w14:textId="77777777" w:rsidR="00A65BE2" w:rsidRDefault="00A65BE2" w:rsidP="00A65BE2">
      <w:pPr>
        <w:rPr>
          <w:b/>
          <w:bCs/>
        </w:rPr>
      </w:pPr>
    </w:p>
    <w:p w14:paraId="113D5B96" w14:textId="0BBC2000" w:rsidR="00A65BE2" w:rsidRPr="00A65BE2" w:rsidRDefault="00A65BE2" w:rsidP="00A65BE2">
      <w:pPr>
        <w:rPr>
          <w:u w:val="thick"/>
        </w:rPr>
      </w:pPr>
      <w:r w:rsidRPr="00A65BE2">
        <w:rPr>
          <w:rStyle w:val="Heading5Char"/>
        </w:rPr>
        <w:t>South Carolina First Steps (SCFS):</w:t>
      </w:r>
      <w:r w:rsidRPr="00A65BE2">
        <w:rPr>
          <w:b/>
          <w:bCs/>
        </w:rPr>
        <w:t xml:space="preserve"> </w:t>
      </w:r>
      <w:hyperlink r:id="rId479" w:history="1">
        <w:r w:rsidRPr="00474446">
          <w:rPr>
            <w:rStyle w:val="Hyperlink"/>
          </w:rPr>
          <w:t>SCFS</w:t>
        </w:r>
      </w:hyperlink>
      <w:r w:rsidRPr="00A65BE2">
        <w:t xml:space="preserve"> was established in 1999 by the SC General Assembly to close the gap on students’ preparedness for success in school. Since the beginning, they have taken a holistic approach to accomplishing their mission, offering services that improve </w:t>
      </w:r>
      <w:proofErr w:type="spellStart"/>
      <w:r w:rsidRPr="00A65BE2">
        <w:t>childrens</w:t>
      </w:r>
      <w:proofErr w:type="spellEnd"/>
      <w:r w:rsidRPr="00A65BE2">
        <w:t xml:space="preserve">' health, strengthen families, expand access to quality early care and education, and help transition rising kindergartners into school. They also mobilize partners in building a more effective and efficient early childhood state system. In the role as the connector and convener of all early childhood serving agencies, SCFS operates the Early Childhood Advisory Council (ECAC). Their trustees serve concurrently as ECAC members and their staff coordinates their collaborative efforts to support families and help young children thrive. </w:t>
      </w:r>
    </w:p>
    <w:p w14:paraId="79EF498D" w14:textId="77777777" w:rsidR="00A65BE2" w:rsidRPr="00A65BE2" w:rsidRDefault="00A65BE2" w:rsidP="00A65BE2"/>
    <w:p w14:paraId="4503AC90" w14:textId="271C4EC6" w:rsidR="00A65BE2" w:rsidRPr="00A65BE2" w:rsidRDefault="00A65BE2" w:rsidP="00A65BE2">
      <w:r w:rsidRPr="00A65BE2">
        <w:rPr>
          <w:rStyle w:val="Heading5Char"/>
        </w:rPr>
        <w:t xml:space="preserve">South Carolina Office of Rural Health (SCORH): </w:t>
      </w:r>
      <w:hyperlink r:id="rId480" w:history="1">
        <w:r w:rsidRPr="00474446">
          <w:rPr>
            <w:rStyle w:val="Hyperlink"/>
          </w:rPr>
          <w:t>SCORH</w:t>
        </w:r>
      </w:hyperlink>
      <w:r w:rsidRPr="00A65BE2">
        <w:t xml:space="preserve"> is a non-profit organization with a mission to close the gap in health status and life expectancy between rural and urban communities in the Palmetto State. SCORH has been promoting investment, opportunity, and health within rural communities since 1991. Like its peer organizations in each state, SCORH is the sole organization in South Carolina that is federally designated to address the health needs in rural communities. SCORH works with local, </w:t>
      </w:r>
      <w:proofErr w:type="gramStart"/>
      <w:r w:rsidRPr="00A65BE2">
        <w:t>state</w:t>
      </w:r>
      <w:proofErr w:type="gramEnd"/>
      <w:r w:rsidRPr="00A65BE2">
        <w:t xml:space="preserve"> and national partners to: (1) increase access to quality health care, (2) improve the social determinants that contribute to a community’s overall health, and (3) connect available resources across the state with local needs in rural communities. To accomplish these goals, SCORH: (1) provides technical and financial assistance to healthcare providers, (2) advocates to local and state leaders to encourage rural-friendly policy, and (3) invests in educational activities and health programs at the local level. With 27% of our </w:t>
      </w:r>
      <w:r w:rsidRPr="00A65BE2">
        <w:lastRenderedPageBreak/>
        <w:t xml:space="preserve">state’s residents living in rural areas, SCORH believes in preserving the unique character of rural communities without compromising their opportunities and access to critical services. In 2022, SCORH and DHEC joined a national effort to address health disparities and advance health equity in rural and underserved communities. This focus on equity has touched every aspect of the work they do, from supporting rural clinics and hospitals, to addressing the social determinants of health and bolstering the work of community coalitions. They have also accelerated the response to the opioid crisis in rural communities and are building stronger networks of behavioral health services across the state. They are working collaboratively and collectively with other partner organizations that are focused on improving the health of rural communities, addressing persistent health disparities, and increasing health equity for rural communities, particularly African Americans. </w:t>
      </w:r>
    </w:p>
    <w:p w14:paraId="38FFE20F" w14:textId="77777777" w:rsidR="00A65BE2" w:rsidRPr="00A65BE2" w:rsidRDefault="00A65BE2" w:rsidP="00A65BE2"/>
    <w:p w14:paraId="4B9039CE" w14:textId="5979CA70" w:rsidR="00A65BE2" w:rsidRPr="00A65BE2" w:rsidRDefault="00A65BE2" w:rsidP="00A65BE2">
      <w:pPr>
        <w:rPr>
          <w:u w:val="thick"/>
        </w:rPr>
      </w:pPr>
      <w:r w:rsidRPr="00A65BE2">
        <w:rPr>
          <w:rStyle w:val="Heading5Char"/>
        </w:rPr>
        <w:t>South Carolina Public Health Association (SCPHA):</w:t>
      </w:r>
      <w:r w:rsidRPr="00A65BE2">
        <w:rPr>
          <w:b/>
          <w:bCs/>
        </w:rPr>
        <w:t xml:space="preserve"> </w:t>
      </w:r>
      <w:hyperlink r:id="rId481" w:history="1">
        <w:r w:rsidRPr="00474446">
          <w:rPr>
            <w:rStyle w:val="Hyperlink"/>
          </w:rPr>
          <w:t>SCPHA</w:t>
        </w:r>
      </w:hyperlink>
      <w:r w:rsidRPr="00A65BE2">
        <w:t xml:space="preserve"> is the state’s American Public Health Association affiliate and is committed to advancing health equity in the state. As part of the 2023 Annual Conference, SCPHA featured a preconference on Health Equity. </w:t>
      </w:r>
    </w:p>
    <w:p w14:paraId="7706844D" w14:textId="77777777" w:rsidR="00A65BE2" w:rsidRPr="00A65BE2" w:rsidRDefault="00A65BE2" w:rsidP="00A65BE2"/>
    <w:p w14:paraId="500E7076" w14:textId="467B90F3" w:rsidR="00A65BE2" w:rsidRPr="00A65BE2" w:rsidRDefault="00A65BE2" w:rsidP="00A65BE2">
      <w:r w:rsidRPr="0087480F">
        <w:t>For the</w:t>
      </w:r>
      <w:r w:rsidRPr="00A65BE2">
        <w:rPr>
          <w:rStyle w:val="Heading5Char"/>
        </w:rPr>
        <w:t xml:space="preserve"> American Public Health Association (APHA</w:t>
      </w:r>
      <w:r w:rsidRPr="00A65BE2">
        <w:rPr>
          <w:b/>
          <w:bCs/>
        </w:rPr>
        <w:t>)</w:t>
      </w:r>
      <w:r w:rsidRPr="00A65BE2">
        <w:t xml:space="preserve">, creating health equity is one of its guiding priorities and core values. On the </w:t>
      </w:r>
      <w:hyperlink r:id="rId482" w:history="1">
        <w:r w:rsidRPr="00474446">
          <w:rPr>
            <w:rStyle w:val="Hyperlink"/>
          </w:rPr>
          <w:t xml:space="preserve">APHA </w:t>
        </w:r>
      </w:hyperlink>
      <w:r w:rsidR="00474446">
        <w:t xml:space="preserve"> H</w:t>
      </w:r>
      <w:r w:rsidRPr="00A65BE2">
        <w:t xml:space="preserve">ealth Equity page, the website has a YouTube video on Health Equity, a series of health equity fact sheets and a webinar series. </w:t>
      </w:r>
    </w:p>
    <w:p w14:paraId="54FD4DAF" w14:textId="77777777" w:rsidR="00A65BE2" w:rsidRPr="00A65BE2" w:rsidRDefault="00A65BE2" w:rsidP="00A65BE2"/>
    <w:p w14:paraId="149A2538" w14:textId="0897FEF3" w:rsidR="00A65BE2" w:rsidRPr="00A65BE2" w:rsidRDefault="00A65BE2" w:rsidP="00A65BE2">
      <w:r w:rsidRPr="00A65BE2">
        <w:rPr>
          <w:rStyle w:val="Heading5Char"/>
        </w:rPr>
        <w:t xml:space="preserve">Wholespire: </w:t>
      </w:r>
      <w:r w:rsidRPr="00A65BE2">
        <w:t xml:space="preserve">Diversity, equity and inclusion are among </w:t>
      </w:r>
      <w:hyperlink r:id="rId483" w:history="1">
        <w:proofErr w:type="spellStart"/>
        <w:r w:rsidRPr="00474446">
          <w:rPr>
            <w:rStyle w:val="Hyperlink"/>
          </w:rPr>
          <w:t>Wholespire</w:t>
        </w:r>
      </w:hyperlink>
      <w:r w:rsidRPr="00A65BE2">
        <w:t>’s</w:t>
      </w:r>
      <w:proofErr w:type="spellEnd"/>
      <w:r w:rsidRPr="00A65BE2">
        <w:t xml:space="preserve"> core values and integrating them into the fabric of their organization is part of their current three-year strategic plan. They are also integrating race equity into its operations. Wholespire strives to integrate diversity, equity, and inclusion, with a focus on racial equity, throughout the entire organization and within local Wholespire chapters. The Wholespire diversity</w:t>
      </w:r>
      <w:r w:rsidR="0087480F">
        <w:t>,</w:t>
      </w:r>
      <w:r w:rsidRPr="00A65BE2">
        <w:t xml:space="preserve"> </w:t>
      </w:r>
      <w:proofErr w:type="gramStart"/>
      <w:r w:rsidRPr="00A65BE2">
        <w:t>equity</w:t>
      </w:r>
      <w:proofErr w:type="gramEnd"/>
      <w:r w:rsidR="0087480F">
        <w:t xml:space="preserve"> and </w:t>
      </w:r>
      <w:r w:rsidRPr="00A65BE2">
        <w:t xml:space="preserve">inclusion (DEI) framework is outlined in four areas: culture, hiring, pay equity, and vendor diversity. Their website contains free resources, social media groups, and college courses all centered on diversity, equity, and inclusion. </w:t>
      </w:r>
    </w:p>
    <w:p w14:paraId="6BE5B209" w14:textId="77777777" w:rsidR="00A65BE2" w:rsidRPr="00A65BE2" w:rsidRDefault="00A65BE2" w:rsidP="00A65BE2"/>
    <w:p w14:paraId="37769B57" w14:textId="77777777" w:rsidR="00A65BE2" w:rsidRPr="00AF05AF" w:rsidRDefault="00A65BE2" w:rsidP="00AF05AF">
      <w:pPr>
        <w:pStyle w:val="Heading3"/>
      </w:pPr>
      <w:bookmarkStart w:id="1055" w:name="_Toc162267716"/>
      <w:r w:rsidRPr="00AF05AF">
        <w:t>State Programs</w:t>
      </w:r>
      <w:bookmarkEnd w:id="1055"/>
    </w:p>
    <w:p w14:paraId="0966EF05" w14:textId="77777777" w:rsidR="00AF05AF" w:rsidRPr="00AF05AF" w:rsidRDefault="00AF05AF" w:rsidP="00AF05AF">
      <w:r w:rsidRPr="00AF05AF">
        <w:t xml:space="preserve">In SC, there are several state agencies that share the goal of providing qualified residents with access to health resources and services. These state agencies have </w:t>
      </w:r>
      <w:r w:rsidRPr="00AF05AF">
        <w:lastRenderedPageBreak/>
        <w:t xml:space="preserve">programs intended to improve the health and well-being of SC residents and their communities. </w:t>
      </w:r>
    </w:p>
    <w:p w14:paraId="694F1822" w14:textId="77777777" w:rsidR="00A65BE2" w:rsidRDefault="00A65BE2" w:rsidP="00AF05AF"/>
    <w:p w14:paraId="34714C34" w14:textId="77777777" w:rsidR="00AF05AF" w:rsidRPr="00AF05AF" w:rsidRDefault="00AF05AF" w:rsidP="00AF05AF">
      <w:pPr>
        <w:pStyle w:val="Heading4"/>
      </w:pPr>
      <w:bookmarkStart w:id="1056" w:name="_Toc162267717"/>
      <w:r w:rsidRPr="00AF05AF">
        <w:t>SC Department on Aging</w:t>
      </w:r>
      <w:bookmarkEnd w:id="1056"/>
      <w:r w:rsidRPr="00AF05AF">
        <w:t xml:space="preserve">  </w:t>
      </w:r>
    </w:p>
    <w:p w14:paraId="7985339D" w14:textId="77777777" w:rsidR="00AF05AF" w:rsidRPr="00AF05AF" w:rsidRDefault="00AF05AF" w:rsidP="00AF05AF">
      <w:r w:rsidRPr="00AF05AF">
        <w:t xml:space="preserve">The SC Department on Aging enhances quality of life for seniors in the state by connecting them with services that help them live independently. The agency’s mission is to meet the present and future needs of seniors and to enhance the quality of life for older South Carolinians through advocating, planning, and developing resources in partnership with federal, </w:t>
      </w:r>
      <w:proofErr w:type="gramStart"/>
      <w:r w:rsidRPr="00AF05AF">
        <w:t>state</w:t>
      </w:r>
      <w:proofErr w:type="gramEnd"/>
      <w:r w:rsidRPr="00AF05AF">
        <w:t xml:space="preserve"> and local governments, non-profits, the private sector and individuals. Its vision is to provide leadership, advocacy, and collaboration to assure a full spectrum of services, so that SC seniors and/or adults with disabilities can enjoy an enhanced quality of life, contribute to their communities, have economic security, and receive the support necessary to age with choice and dignity.</w:t>
      </w:r>
    </w:p>
    <w:p w14:paraId="061A0E3E" w14:textId="77777777" w:rsidR="00AF05AF" w:rsidRPr="00AF05AF" w:rsidRDefault="00AF05AF" w:rsidP="00AF05AF"/>
    <w:p w14:paraId="30A10BE8" w14:textId="77777777" w:rsidR="00AF05AF" w:rsidRPr="00AF05AF" w:rsidRDefault="00AF05AF" w:rsidP="00AF05AF">
      <w:pPr>
        <w:pStyle w:val="Heading4"/>
      </w:pPr>
      <w:bookmarkStart w:id="1057" w:name="_Toc162267718"/>
      <w:r w:rsidRPr="00AF05AF">
        <w:t>SC Department of Children’s Advocacy</w:t>
      </w:r>
      <w:bookmarkEnd w:id="1057"/>
    </w:p>
    <w:p w14:paraId="2D52A3A4" w14:textId="77777777" w:rsidR="00AF05AF" w:rsidRPr="00AF05AF" w:rsidRDefault="00AF05AF" w:rsidP="00AF05AF">
      <w:r w:rsidRPr="00AF05AF">
        <w:t>The SC Department of Children’s Advocacy is an independent state agency that examines, on a system-wide basis, the care and services other state agencies provide children. Its mission is to champion advocacy, accountability, and service to improve outcomes for children served by state agencies in South Carolina. Its vision is to grow a community where children thrive.</w:t>
      </w:r>
    </w:p>
    <w:p w14:paraId="565C94AE" w14:textId="77777777" w:rsidR="00AF05AF" w:rsidRPr="00AF05AF" w:rsidRDefault="00AF05AF" w:rsidP="00AF05AF"/>
    <w:p w14:paraId="38C0C9B4" w14:textId="77777777" w:rsidR="00AF05AF" w:rsidRPr="00AF05AF" w:rsidRDefault="00AF05AF" w:rsidP="00AF05AF">
      <w:pPr>
        <w:pStyle w:val="Heading4"/>
      </w:pPr>
      <w:bookmarkStart w:id="1058" w:name="_Toc162267719"/>
      <w:r w:rsidRPr="00AF05AF">
        <w:t>SC Commission for the Blind (SCCB)</w:t>
      </w:r>
      <w:bookmarkEnd w:id="1058"/>
    </w:p>
    <w:p w14:paraId="5706C6D8" w14:textId="77777777" w:rsidR="00AF05AF" w:rsidRPr="00AF05AF" w:rsidRDefault="00AF05AF" w:rsidP="00AF05AF">
      <w:r w:rsidRPr="00AF05AF">
        <w:t xml:space="preserve">SCCB helps residents of our state who are blind or have a visual impairment gain independence and take advantage of opportunities for financial advancement. New legislation, such as the Workforce Innovation and Opportunity Act, has streamlined and strengthened the services offered through Vocational Rehabilitation, making it easier to assist individuals in gaining economic and social independence. In addition to vocational rehabilitation, SCCB also provides the following unique services: </w:t>
      </w:r>
    </w:p>
    <w:p w14:paraId="3A073F1C" w14:textId="14DB8D58" w:rsidR="00AF05AF" w:rsidRPr="00AF05AF" w:rsidRDefault="00AF05AF" w:rsidP="00926EB3">
      <w:pPr>
        <w:pStyle w:val="ListParagraph"/>
        <w:numPr>
          <w:ilvl w:val="0"/>
          <w:numId w:val="200"/>
        </w:numPr>
      </w:pPr>
      <w:r w:rsidRPr="00AF05AF">
        <w:t xml:space="preserve">The Business Enterprise Program provides an opportunity for qualified individuals to operate their own business. Under the Randolph-Sheppard Act, SCCB is the State Licensing Agency for individuals who are blind or visually impaired who operate vending facilities. </w:t>
      </w:r>
    </w:p>
    <w:p w14:paraId="430CEB90" w14:textId="76056F55" w:rsidR="00AF05AF" w:rsidRPr="00AF05AF" w:rsidRDefault="00AF05AF" w:rsidP="00926EB3">
      <w:pPr>
        <w:pStyle w:val="ListParagraph"/>
        <w:numPr>
          <w:ilvl w:val="0"/>
          <w:numId w:val="200"/>
        </w:numPr>
      </w:pPr>
      <w:r w:rsidRPr="00AF05AF">
        <w:t xml:space="preserve">Children’s Services </w:t>
      </w:r>
      <w:proofErr w:type="gramStart"/>
      <w:r w:rsidRPr="00AF05AF">
        <w:t>provides assistance to</w:t>
      </w:r>
      <w:proofErr w:type="gramEnd"/>
      <w:r w:rsidRPr="00AF05AF">
        <w:t xml:space="preserve"> children ages 3 to 12 who are visually impaired, ensuring they have assistive technology and resources available at home, not just in school. </w:t>
      </w:r>
    </w:p>
    <w:p w14:paraId="61B5DDB5" w14:textId="42F3EFB5" w:rsidR="00AF05AF" w:rsidRPr="00AF05AF" w:rsidRDefault="00AF05AF" w:rsidP="00926EB3">
      <w:pPr>
        <w:pStyle w:val="ListParagraph"/>
        <w:numPr>
          <w:ilvl w:val="0"/>
          <w:numId w:val="200"/>
        </w:numPr>
      </w:pPr>
      <w:r w:rsidRPr="00AF05AF">
        <w:lastRenderedPageBreak/>
        <w:t xml:space="preserve">Older Blind Services, for individuals at age 55 and older with severe visual impairments, focuses on assistance that helps individuals remain independent and in their own homes. </w:t>
      </w:r>
    </w:p>
    <w:p w14:paraId="19076643" w14:textId="616D96D4" w:rsidR="00AF05AF" w:rsidRPr="00AF05AF" w:rsidRDefault="00AF05AF" w:rsidP="00926EB3">
      <w:pPr>
        <w:pStyle w:val="ListParagraph"/>
        <w:numPr>
          <w:ilvl w:val="0"/>
          <w:numId w:val="200"/>
        </w:numPr>
      </w:pPr>
      <w:r w:rsidRPr="00AF05AF">
        <w:t>Prevention Services provides sight-saving services such as cataract surgeries and eyeglasses for individuals who do not have insurance.</w:t>
      </w:r>
    </w:p>
    <w:p w14:paraId="4BEAD555" w14:textId="77777777" w:rsidR="00AF05AF" w:rsidRPr="00AF05AF" w:rsidRDefault="00AF05AF" w:rsidP="00AF05AF"/>
    <w:p w14:paraId="0B06F22D" w14:textId="77777777" w:rsidR="00AF05AF" w:rsidRPr="00AF05AF" w:rsidRDefault="00AF05AF" w:rsidP="00AF05AF">
      <w:pPr>
        <w:pStyle w:val="Heading4"/>
      </w:pPr>
      <w:bookmarkStart w:id="1059" w:name="_Toc162267720"/>
      <w:r w:rsidRPr="00AF05AF">
        <w:t>SC Department of Disabilities and Special Needs (DDSN)</w:t>
      </w:r>
      <w:bookmarkEnd w:id="1059"/>
    </w:p>
    <w:p w14:paraId="24856916" w14:textId="77777777" w:rsidR="00AF05AF" w:rsidRPr="00AF05AF" w:rsidRDefault="00AF05AF" w:rsidP="00AF05AF">
      <w:r w:rsidRPr="00AF05AF">
        <w:t>DDSN is the state agency that plans, develops, coordinates and funds services for South Carolinians with severe, lifelong disabilities. The populations served by DDSN include individuals with Intellectual Disabilities, Related Disabilities, Autism Spectrum Disorder, Traumatic Brain Injury, Traumatic Spinal Cord Injury, and Similar Disabilities (disabilities affecting the brain or spinal cord which are not associated with the process of a progressive degenerative illness or disease, dementia, or a neurological disorder related to aging). Its vision is to provide the very best services to assist all persons with disabilities and their families in SC. Its mission is to assist people with disabilities and their families through choices in meeting needs, pursuing possibilities, and achieving life goals; and minimize the occurrence and reduce the severity of disabilities through prevention.</w:t>
      </w:r>
    </w:p>
    <w:p w14:paraId="2D1D486F" w14:textId="77777777" w:rsidR="00AF05AF" w:rsidRPr="00AF05AF" w:rsidRDefault="00AF05AF" w:rsidP="00AF05AF"/>
    <w:p w14:paraId="5770A330" w14:textId="77777777" w:rsidR="00AF05AF" w:rsidRPr="00AF05AF" w:rsidRDefault="00AF05AF" w:rsidP="00AF05AF">
      <w:pPr>
        <w:pStyle w:val="Heading4"/>
      </w:pPr>
      <w:bookmarkStart w:id="1060" w:name="_Toc162267721"/>
      <w:r w:rsidRPr="00AF05AF">
        <w:t>SC Department of Education (SCDE)</w:t>
      </w:r>
      <w:bookmarkEnd w:id="1060"/>
    </w:p>
    <w:p w14:paraId="1731529D" w14:textId="77777777" w:rsidR="00AF05AF" w:rsidRPr="00AF05AF" w:rsidRDefault="00AF05AF" w:rsidP="00AF05AF">
      <w:r w:rsidRPr="00AF05AF">
        <w:t>SCDE is the state education agency of SC. Its vision is that students graduate prepared for success in college, careers, and citizenship. Its mission is to provide leadership and support so that all public education students graduate prepared for success.</w:t>
      </w:r>
    </w:p>
    <w:p w14:paraId="5A3B1345" w14:textId="77777777" w:rsidR="00AF05AF" w:rsidRPr="00AF05AF" w:rsidRDefault="00AF05AF" w:rsidP="00AF05AF"/>
    <w:p w14:paraId="275F2DC9" w14:textId="77777777" w:rsidR="00AF05AF" w:rsidRPr="00AF05AF" w:rsidRDefault="00AF05AF" w:rsidP="00AF05AF">
      <w:pPr>
        <w:pStyle w:val="Heading4"/>
      </w:pPr>
      <w:bookmarkStart w:id="1061" w:name="_Toc162267722"/>
      <w:r w:rsidRPr="00AF05AF">
        <w:t>SC Department of Health and Human Services (DHHS)</w:t>
      </w:r>
      <w:bookmarkEnd w:id="1061"/>
    </w:p>
    <w:p w14:paraId="096C4B32" w14:textId="0241A455" w:rsidR="00AF05AF" w:rsidRPr="00AF05AF" w:rsidRDefault="00AF05AF" w:rsidP="00AF05AF">
      <w:r w:rsidRPr="00AF05AF">
        <w:t>DHHS plays a significant role in administering programs that aid SC residents with low to moderate income. The primary purpose of DHHS is to administer South Carolina’s Medicaid program, Healthy Connections.</w:t>
      </w:r>
      <w:r w:rsidR="00C360A7">
        <w:rPr>
          <w:b/>
          <w:bCs/>
        </w:rPr>
        <w:t xml:space="preserve"> </w:t>
      </w:r>
      <w:r w:rsidRPr="00AF05AF">
        <w:t xml:space="preserve">This program allows federal and state governments to share the cost of providing medical care for people with low incomes. As of October 2022, there were 1,244,839 people enrolled in Medicaid in SC. Additionally, DHHS offers Healthy Connections Prime, which combines the benefits of Medicare and Healthy Connections Medicaid under a single Medicare-Medicaid plan. This makes it easier for members to access essential services. As of December 2020, more than 80% of the state’s 25,866 eligible Medicare-Medicaid beneficiaries were enrolled in Healthy Connections Prime across 42 of the 46 counties in SC. </w:t>
      </w:r>
    </w:p>
    <w:p w14:paraId="1A8D621B" w14:textId="77777777" w:rsidR="00AF05AF" w:rsidRPr="00AF05AF" w:rsidRDefault="00AF05AF" w:rsidP="00AF05AF"/>
    <w:p w14:paraId="3CF96E57" w14:textId="77777777" w:rsidR="00AF05AF" w:rsidRPr="00AF05AF" w:rsidRDefault="00AF05AF" w:rsidP="00AF05AF">
      <w:pPr>
        <w:pStyle w:val="Heading4"/>
      </w:pPr>
      <w:bookmarkStart w:id="1062" w:name="_Toc162267723"/>
      <w:r w:rsidRPr="00AF05AF">
        <w:t>SC Department of Social Services (DSS)</w:t>
      </w:r>
      <w:bookmarkEnd w:id="1062"/>
    </w:p>
    <w:p w14:paraId="480AD2DA" w14:textId="2B4A028F" w:rsidR="00AF05AF" w:rsidRPr="00AF05AF" w:rsidRDefault="00AF05AF" w:rsidP="00AF05AF">
      <w:r w:rsidRPr="00AF05AF">
        <w:t xml:space="preserve">DSS’s mission is to serve SC by promoting the safety, permanency, and well-being of children and vulnerable adults, helping people achieve stability, and strengthening families. One way the agency does this is by helping families in our state obtain access to resources to address challenges such as food insecurity. To address food insecurity, DSS helps South Carolinians apply for Supplemental Nutrition Assistance Program, known as SNAP. This program provides low-income households with nutrition assistance by increasing their food purchasing power. </w:t>
      </w:r>
    </w:p>
    <w:p w14:paraId="6247C777" w14:textId="287450F4" w:rsidR="00AF05AF" w:rsidRPr="00AF05AF" w:rsidRDefault="00AF05AF" w:rsidP="00AF05AF">
      <w:r w:rsidRPr="00AF05AF">
        <w:t xml:space="preserve">Additionally, DSS administers the Temporary Assistance for Needy Families (TANF) program. This is SC’s welfare program that provides temporary financial assistance to qualifying families with dependent children. As of November 2022, there were 17,228 recipients receiving the TANF benefit in SC. </w:t>
      </w:r>
    </w:p>
    <w:p w14:paraId="76BC0B00" w14:textId="77777777" w:rsidR="00AF05AF" w:rsidRPr="00AF05AF" w:rsidRDefault="00AF05AF" w:rsidP="00AF05AF"/>
    <w:p w14:paraId="26FEF8FC" w14:textId="77777777" w:rsidR="00AF05AF" w:rsidRPr="00AF05AF" w:rsidRDefault="00AF05AF" w:rsidP="00AF05AF">
      <w:pPr>
        <w:pStyle w:val="Heading4"/>
      </w:pPr>
      <w:bookmarkStart w:id="1063" w:name="_Toc162267724"/>
      <w:r w:rsidRPr="00AF05AF">
        <w:t>SC Vocational Rehabilitation Department</w:t>
      </w:r>
      <w:bookmarkEnd w:id="1063"/>
    </w:p>
    <w:p w14:paraId="1EA2AA4D" w14:textId="4A1C52E5" w:rsidR="00AF05AF" w:rsidRPr="00AF05AF" w:rsidRDefault="00AF05AF" w:rsidP="00AF05AF">
      <w:r w:rsidRPr="00AF05AF">
        <w:t>The SC Vocational Rehabilitation Department is tasked with helping individuals with barriers achieve employment success and helping businesses find and keep talented employees. They offer services which help individuals acquire the skills, training, and credentials they need to meet the workforce requirements of employers throughout the state. In turn, employers gain access to qualified, dedicated candidates for employment in areas such as construction, manufacturing, transportation, information technology, healthcare, hospitality, and the service industry. Vocational rehabilitation consumers become taxpayers instead of tax consumers when they become employed, reducing their reliance on government disability benefits. Many receive health insurance coverage through their new jobs and no longer rely on Medicaid. Competitively employed consumers pay about $4.08 in taxes for every $1 spent on their rehabilitation.</w:t>
      </w:r>
    </w:p>
    <w:p w14:paraId="616BFBC6" w14:textId="77777777" w:rsidR="00AF05AF" w:rsidRPr="00AF05AF" w:rsidRDefault="00AF05AF" w:rsidP="00AF05AF">
      <w:r w:rsidRPr="00AF05AF">
        <w:t>Employed consumers repay the cost of their vocational rehabilitation in an average of four years. That’s a 25% annual rate of return on taxpayer investment.</w:t>
      </w:r>
    </w:p>
    <w:p w14:paraId="06A6D6CA" w14:textId="77777777" w:rsidR="00AF05AF" w:rsidRPr="00AF05AF" w:rsidRDefault="00AF05AF" w:rsidP="00AF05AF"/>
    <w:p w14:paraId="498AC086" w14:textId="77777777" w:rsidR="00AF05AF" w:rsidRPr="00AF05AF" w:rsidRDefault="00AF05AF" w:rsidP="00AF05AF">
      <w:pPr>
        <w:pStyle w:val="Heading4"/>
      </w:pPr>
      <w:bookmarkStart w:id="1064" w:name="_Toc162267725"/>
      <w:r w:rsidRPr="00AF05AF">
        <w:t>DHEC Direct Service Provision</w:t>
      </w:r>
      <w:bookmarkEnd w:id="1064"/>
    </w:p>
    <w:p w14:paraId="6B08B6E9" w14:textId="77777777" w:rsidR="00AF05AF" w:rsidRPr="00AF05AF" w:rsidRDefault="00AF05AF" w:rsidP="00AF05AF">
      <w:r w:rsidRPr="00AF05AF">
        <w:t>DHEC provides multiple programs and services to ensure that South Carolinians have access to the resources that they need and deserve.</w:t>
      </w:r>
    </w:p>
    <w:p w14:paraId="499AF8DD" w14:textId="77777777" w:rsidR="00AF05AF" w:rsidRPr="00AF05AF" w:rsidRDefault="00AF05AF" w:rsidP="00AF05AF">
      <w:pPr>
        <w:rPr>
          <w:b/>
          <w:bCs/>
        </w:rPr>
      </w:pPr>
    </w:p>
    <w:p w14:paraId="594A0F13" w14:textId="77777777" w:rsidR="00AF05AF" w:rsidRPr="00AF05AF" w:rsidRDefault="00AF05AF" w:rsidP="00AF05AF">
      <w:pPr>
        <w:pStyle w:val="Heading4"/>
      </w:pPr>
      <w:bookmarkStart w:id="1065" w:name="_Toc162267726"/>
      <w:r w:rsidRPr="00AF05AF">
        <w:lastRenderedPageBreak/>
        <w:t>Preventive Health Services (PH)</w:t>
      </w:r>
      <w:bookmarkEnd w:id="1065"/>
      <w:r w:rsidRPr="00AF05AF">
        <w:t xml:space="preserve"> </w:t>
      </w:r>
    </w:p>
    <w:p w14:paraId="09313A93" w14:textId="77777777" w:rsidR="00AF05AF" w:rsidRPr="00AF05AF" w:rsidRDefault="00AF05AF" w:rsidP="00AF05AF">
      <w:r w:rsidRPr="00AF05AF">
        <w:t xml:space="preserve">These services are meant to prevent disease and disability in clients while optimizing their health outcomes. In 2022, the DHEC health departments had a total of 57,737 PH kept appointments. </w:t>
      </w:r>
    </w:p>
    <w:p w14:paraId="40A0D7BE" w14:textId="77777777" w:rsidR="00AF05AF" w:rsidRPr="00AF05AF" w:rsidRDefault="00AF05AF" w:rsidP="00AF05AF">
      <w:r w:rsidRPr="00AF05AF">
        <w:t xml:space="preserve">These appointments were for the following services: </w:t>
      </w:r>
    </w:p>
    <w:p w14:paraId="758172A8" w14:textId="1FBF4592" w:rsidR="00AF05AF" w:rsidRPr="00AF05AF" w:rsidRDefault="00AF05AF" w:rsidP="00926EB3">
      <w:pPr>
        <w:pStyle w:val="ListParagraph"/>
        <w:numPr>
          <w:ilvl w:val="0"/>
          <w:numId w:val="202"/>
        </w:numPr>
      </w:pPr>
      <w:r w:rsidRPr="00AF05AF">
        <w:t xml:space="preserve">Birth Control (Family Planning): confidential reproductive health services that include a health exam and lab tests, as well as information and counseling on birth control methods. </w:t>
      </w:r>
    </w:p>
    <w:p w14:paraId="021880AF" w14:textId="39CEA7B5" w:rsidR="00AF05AF" w:rsidRPr="00AF05AF" w:rsidRDefault="00AF05AF" w:rsidP="00926EB3">
      <w:pPr>
        <w:pStyle w:val="ListParagraph"/>
        <w:numPr>
          <w:ilvl w:val="0"/>
          <w:numId w:val="202"/>
        </w:numPr>
      </w:pPr>
      <w:r w:rsidRPr="00AF05AF">
        <w:t>Pregnancy Testing: pregnancy tests and evaluation of pregnancy health risks as well as referrals to prenatal doctor and other medical services. In 2022, the DHEC health departments conducted almost 5,000 pregnancy tests.</w:t>
      </w:r>
    </w:p>
    <w:p w14:paraId="010D7166" w14:textId="75142DEC" w:rsidR="00AF05AF" w:rsidRPr="00AF05AF" w:rsidRDefault="00AF05AF" w:rsidP="00926EB3">
      <w:pPr>
        <w:pStyle w:val="ListParagraph"/>
        <w:numPr>
          <w:ilvl w:val="0"/>
          <w:numId w:val="202"/>
        </w:numPr>
      </w:pPr>
      <w:r w:rsidRPr="00AF05AF">
        <w:t xml:space="preserve">Sexually Transmitted Infections (STIs) Treatment: blood tests, medicines, and help finding medical services. </w:t>
      </w:r>
    </w:p>
    <w:p w14:paraId="7BC415E5" w14:textId="0DC0B106" w:rsidR="00AF05AF" w:rsidRPr="00AF05AF" w:rsidRDefault="00AF05AF" w:rsidP="00926EB3">
      <w:pPr>
        <w:pStyle w:val="ListParagraph"/>
        <w:numPr>
          <w:ilvl w:val="0"/>
          <w:numId w:val="202"/>
        </w:numPr>
      </w:pPr>
      <w:r w:rsidRPr="00AF05AF">
        <w:t xml:space="preserve">Fast Track (15 Minute) STI Test: 15-minute tests for HIV, syphilis, gonorrhea, and/or chlamydia. In 2022, the DHEC health departments conducted almost 9,000 STI tests. </w:t>
      </w:r>
    </w:p>
    <w:p w14:paraId="2C88D9BD" w14:textId="14EC485E" w:rsidR="00AF05AF" w:rsidRPr="00AF05AF" w:rsidRDefault="00AF05AF" w:rsidP="00926EB3">
      <w:pPr>
        <w:pStyle w:val="ListParagraph"/>
        <w:numPr>
          <w:ilvl w:val="0"/>
          <w:numId w:val="202"/>
        </w:numPr>
      </w:pPr>
      <w:r w:rsidRPr="00AF05AF">
        <w:t xml:space="preserve">Teen Clinics: birth control, STI tests, pregnancy tests, and exams for teenagers. </w:t>
      </w:r>
    </w:p>
    <w:p w14:paraId="1915EF5F" w14:textId="77777777" w:rsidR="00AF05AF" w:rsidRPr="00AF05AF" w:rsidRDefault="00AF05AF" w:rsidP="00AF05AF">
      <w:r w:rsidRPr="00AF05AF">
        <w:t xml:space="preserve"> </w:t>
      </w:r>
    </w:p>
    <w:p w14:paraId="798CBC77" w14:textId="77777777" w:rsidR="00AF05AF" w:rsidRPr="00AF05AF" w:rsidRDefault="00AF05AF" w:rsidP="00AF05AF">
      <w:pPr>
        <w:pStyle w:val="Heading4"/>
      </w:pPr>
      <w:bookmarkStart w:id="1066" w:name="_Toc162267727"/>
      <w:r w:rsidRPr="00AF05AF">
        <w:t>Maternal and Child Health (MCH) Services</w:t>
      </w:r>
      <w:bookmarkEnd w:id="1066"/>
      <w:r w:rsidRPr="00AF05AF">
        <w:t xml:space="preserve"> </w:t>
      </w:r>
    </w:p>
    <w:p w14:paraId="272720D6" w14:textId="77777777" w:rsidR="00AF05AF" w:rsidRPr="00AF05AF" w:rsidRDefault="00AF05AF" w:rsidP="00AF05AF">
      <w:r w:rsidRPr="00AF05AF">
        <w:t xml:space="preserve">These services are designed to ensure that new mothers recover from childbirth and that their children have positive health outcomes. In 2022, the DHEC health departments kept 2,963 appointments. </w:t>
      </w:r>
    </w:p>
    <w:p w14:paraId="2323721C" w14:textId="77777777" w:rsidR="00AF05AF" w:rsidRPr="00AF05AF" w:rsidRDefault="00AF05AF" w:rsidP="00AF05AF">
      <w:r w:rsidRPr="00AF05AF">
        <w:t xml:space="preserve">These appointments were for the following services: </w:t>
      </w:r>
    </w:p>
    <w:p w14:paraId="21DD50C6" w14:textId="66233FFF" w:rsidR="00AF05AF" w:rsidRPr="00AF05AF" w:rsidRDefault="00AF05AF" w:rsidP="00926EB3">
      <w:pPr>
        <w:pStyle w:val="ListParagraph"/>
        <w:numPr>
          <w:ilvl w:val="0"/>
          <w:numId w:val="203"/>
        </w:numPr>
      </w:pPr>
      <w:r w:rsidRPr="00AF05AF">
        <w:t xml:space="preserve">Lead Testing: authorized and funded under the EPA’s Water Infrastructure Improvements for the Nation (WIIN) Act, SC’s Lead Testing in Schools and </w:t>
      </w:r>
      <w:proofErr w:type="gramStart"/>
      <w:r w:rsidRPr="00AF05AF">
        <w:t>Child Care</w:t>
      </w:r>
      <w:proofErr w:type="gramEnd"/>
      <w:r w:rsidRPr="00AF05AF">
        <w:t xml:space="preserve"> Programs grant provides free water lead testing to schools and childcare programs across the state. </w:t>
      </w:r>
    </w:p>
    <w:p w14:paraId="42708309" w14:textId="4C6BBC43" w:rsidR="00AF05AF" w:rsidRPr="00AF05AF" w:rsidRDefault="00AF05AF" w:rsidP="00926EB3">
      <w:pPr>
        <w:pStyle w:val="ListParagraph"/>
        <w:numPr>
          <w:ilvl w:val="0"/>
          <w:numId w:val="203"/>
        </w:numPr>
      </w:pPr>
      <w:r w:rsidRPr="00AF05AF">
        <w:t xml:space="preserve">Newborn Home Visits: With a doctor’s recommendation, Medicaid-eligible new mothers can have a nurse make up to two home visits. During these visits, the nurse will check the baby to make sure they are growing well and hasn’t developed any problems since leaving the hospital. The nurse will also make sure the mother is doing well after having the baby. In 2022, the DHEC health departments completed 2,762 home visits. </w:t>
      </w:r>
    </w:p>
    <w:p w14:paraId="715FD891" w14:textId="29624692" w:rsidR="00AF05AF" w:rsidRPr="00AF05AF" w:rsidRDefault="00AF05AF" w:rsidP="00926EB3">
      <w:pPr>
        <w:pStyle w:val="ListParagraph"/>
        <w:numPr>
          <w:ilvl w:val="0"/>
          <w:numId w:val="203"/>
        </w:numPr>
      </w:pPr>
      <w:r w:rsidRPr="00AF05AF">
        <w:t xml:space="preserve">Services for Children/Teens with Special Health Care Needs: helping children with chronic illnesses, disabling conditions, and/or development delays access the special health care services they need. </w:t>
      </w:r>
    </w:p>
    <w:p w14:paraId="05042CE3" w14:textId="77777777" w:rsidR="00AF05AF" w:rsidRPr="00AF05AF" w:rsidRDefault="00AF05AF" w:rsidP="00AF05AF"/>
    <w:p w14:paraId="0C3ABDD6" w14:textId="77777777" w:rsidR="00AF05AF" w:rsidRPr="00AF05AF" w:rsidRDefault="00AF05AF" w:rsidP="00AF05AF">
      <w:pPr>
        <w:pStyle w:val="Heading4"/>
      </w:pPr>
      <w:bookmarkStart w:id="1067" w:name="_Toc162267728"/>
      <w:r w:rsidRPr="00AF05AF">
        <w:t>Women, Infants and Children (WIC) Services</w:t>
      </w:r>
      <w:bookmarkEnd w:id="1067"/>
      <w:r w:rsidRPr="00AF05AF">
        <w:t xml:space="preserve"> </w:t>
      </w:r>
    </w:p>
    <w:p w14:paraId="44916527" w14:textId="77777777" w:rsidR="00AF05AF" w:rsidRPr="00AF05AF" w:rsidRDefault="00AF05AF" w:rsidP="00AF05AF">
      <w:r w:rsidRPr="00AF05AF">
        <w:t xml:space="preserve">WIC offers food products (including infant formula), health screenings, and health information for low-income women, infants, and children 5 years of age or younger. Every health department offers WIC services. There are also eight off-site locations and mobile WIC units. </w:t>
      </w:r>
    </w:p>
    <w:p w14:paraId="21F3E39A" w14:textId="5BBA5B65" w:rsidR="00AF05AF" w:rsidRPr="00AF05AF" w:rsidRDefault="00AF05AF" w:rsidP="00AF05AF"/>
    <w:p w14:paraId="3EE36213" w14:textId="77777777" w:rsidR="00AF05AF" w:rsidRPr="00AF05AF" w:rsidRDefault="00AF05AF" w:rsidP="00AF05AF">
      <w:pPr>
        <w:pStyle w:val="Heading4"/>
      </w:pPr>
      <w:bookmarkStart w:id="1068" w:name="_Toc162267729"/>
      <w:r w:rsidRPr="00AF05AF">
        <w:t>Immunizations</w:t>
      </w:r>
      <w:bookmarkEnd w:id="1068"/>
      <w:r w:rsidRPr="00AF05AF">
        <w:t xml:space="preserve"> </w:t>
      </w:r>
    </w:p>
    <w:p w14:paraId="34363A29" w14:textId="77777777" w:rsidR="00AF05AF" w:rsidRPr="00AF05AF" w:rsidRDefault="00AF05AF" w:rsidP="00AF05AF">
      <w:r w:rsidRPr="00AF05AF">
        <w:t xml:space="preserve">The health departments offer immunizations for children and adults, including shots for Flu, Pneumonia, and Tetanus/whooping cough (pertussis). This plays a vital role in preventing the spread of disease in the state and safeguarding the health of communities. In 2022, DHEC health departments administered 29,851 shots, 14,755 of which were pediatric. </w:t>
      </w:r>
    </w:p>
    <w:p w14:paraId="1F6206C5" w14:textId="77777777" w:rsidR="00AF05AF" w:rsidRPr="00AF05AF" w:rsidRDefault="00AF05AF" w:rsidP="00AF05AF"/>
    <w:p w14:paraId="0EAA7F2C" w14:textId="77777777" w:rsidR="00AF05AF" w:rsidRPr="00AF05AF" w:rsidRDefault="00AF05AF" w:rsidP="00AF05AF">
      <w:pPr>
        <w:pStyle w:val="Heading4"/>
      </w:pPr>
      <w:bookmarkStart w:id="1069" w:name="_Toc162267730"/>
      <w:r w:rsidRPr="00AF05AF">
        <w:t>Additional Services</w:t>
      </w:r>
      <w:bookmarkEnd w:id="1069"/>
      <w:r w:rsidRPr="00AF05AF">
        <w:t xml:space="preserve"> </w:t>
      </w:r>
    </w:p>
    <w:p w14:paraId="3DDD7907" w14:textId="29A12F90" w:rsidR="00AF05AF" w:rsidRPr="00AF05AF" w:rsidRDefault="00AF05AF" w:rsidP="00926EB3">
      <w:pPr>
        <w:pStyle w:val="ListParagraph"/>
        <w:numPr>
          <w:ilvl w:val="0"/>
          <w:numId w:val="204"/>
        </w:numPr>
      </w:pPr>
      <w:r w:rsidRPr="00AF05AF">
        <w:t xml:space="preserve">Tuberculosis (TB) Treatment: medicines to help treat TB and assistance connecting clients with other medical services. </w:t>
      </w:r>
    </w:p>
    <w:p w14:paraId="7478C44D" w14:textId="503588DA" w:rsidR="00AF05AF" w:rsidRPr="00AF05AF" w:rsidRDefault="00AF05AF" w:rsidP="00926EB3">
      <w:pPr>
        <w:pStyle w:val="ListParagraph"/>
        <w:numPr>
          <w:ilvl w:val="0"/>
          <w:numId w:val="204"/>
        </w:numPr>
      </w:pPr>
      <w:r w:rsidRPr="00AF05AF">
        <w:t xml:space="preserve">Vital Records: access to birth and death certificates. </w:t>
      </w:r>
    </w:p>
    <w:p w14:paraId="580FB81B" w14:textId="77777777" w:rsidR="00AF05AF" w:rsidRPr="00AF05AF" w:rsidRDefault="00AF05AF" w:rsidP="00AF05AF">
      <w:r w:rsidRPr="00AF05AF">
        <w:t xml:space="preserve"> </w:t>
      </w:r>
    </w:p>
    <w:p w14:paraId="44CA8F07" w14:textId="6E16C07E" w:rsidR="00AF05AF" w:rsidRPr="00AF05AF" w:rsidRDefault="00AF05AF" w:rsidP="00AF05AF">
      <w:r w:rsidRPr="00AF05AF">
        <w:t>Most of the services DHEC offers are delivered on-site in the health departments. The COVID-19 pandemic complicated their ability to continue normal operations. The pandemic challenged health departments to think differently about the way they deliver services and reach out to the community. They began offering some services virtually, hired community health workers, and increased their community outreach efforts. This has made the health departments stronger and better able to accomplish the agency’s mission.</w:t>
      </w:r>
    </w:p>
    <w:p w14:paraId="0BBE5320" w14:textId="77777777" w:rsidR="00A65BE2" w:rsidRDefault="00A65BE2" w:rsidP="00A65BE2"/>
    <w:p w14:paraId="1DA9B5C2" w14:textId="6140E60E" w:rsidR="00AF05AF" w:rsidRPr="00AF05AF" w:rsidRDefault="00AF05AF" w:rsidP="00AF05AF">
      <w:pPr>
        <w:pStyle w:val="Heading5"/>
      </w:pPr>
      <w:r w:rsidRPr="00AF05AF">
        <w:t xml:space="preserve">Key Takeaways: </w:t>
      </w:r>
    </w:p>
    <w:p w14:paraId="01F37712" w14:textId="77777777" w:rsidR="00C360A7" w:rsidRDefault="00AF05AF" w:rsidP="00926EB3">
      <w:pPr>
        <w:pStyle w:val="ListParagraph"/>
        <w:numPr>
          <w:ilvl w:val="0"/>
          <w:numId w:val="201"/>
        </w:numPr>
      </w:pPr>
      <w:r w:rsidRPr="00AF05AF">
        <w:t xml:space="preserve">As of 2023, DHEC has 56 health departments across SC’s 46 counties. </w:t>
      </w:r>
    </w:p>
    <w:p w14:paraId="46DE7E5F" w14:textId="77777777" w:rsidR="00C360A7" w:rsidRDefault="00AF05AF" w:rsidP="00926EB3">
      <w:pPr>
        <w:pStyle w:val="ListParagraph"/>
        <w:numPr>
          <w:ilvl w:val="0"/>
          <w:numId w:val="201"/>
        </w:numPr>
      </w:pPr>
      <w:r w:rsidRPr="00AF05AF">
        <w:t xml:space="preserve">These health departments are foundational to the agency’s efforts to promote public health, allowing it to deliver a variety of services to populations across the state. </w:t>
      </w:r>
    </w:p>
    <w:p w14:paraId="31296E69" w14:textId="742B9420" w:rsidR="00AF05AF" w:rsidRPr="00AF05AF" w:rsidRDefault="00AF05AF" w:rsidP="00926EB3">
      <w:pPr>
        <w:pStyle w:val="ListParagraph"/>
        <w:numPr>
          <w:ilvl w:val="0"/>
          <w:numId w:val="201"/>
        </w:numPr>
      </w:pPr>
      <w:r w:rsidRPr="00AF05AF">
        <w:t>Services include Preventive Health (PH), Maternal &amp; Child Health (MCH), Woman, Infants, and Children (WIC), and Immunizations.</w:t>
      </w:r>
    </w:p>
    <w:p w14:paraId="0BE1A102" w14:textId="77777777" w:rsidR="00AF05AF" w:rsidRDefault="00AF05AF" w:rsidP="00A65BE2"/>
    <w:p w14:paraId="613E8598" w14:textId="3A1BD3FF" w:rsidR="00C360A7" w:rsidRPr="00474B85" w:rsidRDefault="00C360A7" w:rsidP="00C360A7">
      <w:pPr>
        <w:pStyle w:val="Heading4"/>
        <w:rPr>
          <w:rFonts w:asciiTheme="minorHAnsi" w:hAnsiTheme="minorHAnsi" w:cstheme="minorHAnsi"/>
          <w:color w:val="000000" w:themeColor="text1"/>
        </w:rPr>
      </w:pPr>
      <w:bookmarkStart w:id="1070" w:name="_Toc162267731"/>
      <w:r w:rsidRPr="00474B85">
        <w:rPr>
          <w:rFonts w:asciiTheme="minorHAnsi" w:hAnsiTheme="minorHAnsi" w:cstheme="minorHAnsi"/>
          <w:color w:val="000000" w:themeColor="text1"/>
        </w:rPr>
        <w:t xml:space="preserve">References </w:t>
      </w:r>
      <w:r>
        <w:rPr>
          <w:rFonts w:asciiTheme="minorHAnsi" w:hAnsiTheme="minorHAnsi" w:cstheme="minorHAnsi"/>
          <w:color w:val="000000" w:themeColor="text1"/>
        </w:rPr>
        <w:t>11.2</w:t>
      </w:r>
      <w:bookmarkEnd w:id="1070"/>
    </w:p>
    <w:p w14:paraId="3697FA3A" w14:textId="77777777" w:rsidR="00C360A7" w:rsidRDefault="00C360A7" w:rsidP="00C360A7">
      <w:r w:rsidRPr="00474B85">
        <w:t>Statistics in the preceding section were referenced from the following reports:</w:t>
      </w:r>
    </w:p>
    <w:p w14:paraId="5E7E5475" w14:textId="6A8E9CB7" w:rsidR="007306FE" w:rsidRPr="007306FE" w:rsidRDefault="00000000" w:rsidP="00926EB3">
      <w:pPr>
        <w:pStyle w:val="ListParagraph"/>
        <w:numPr>
          <w:ilvl w:val="0"/>
          <w:numId w:val="209"/>
        </w:numPr>
      </w:pPr>
      <w:hyperlink r:id="rId484" w:history="1">
        <w:r w:rsidR="007306FE" w:rsidRPr="007306FE">
          <w:rPr>
            <w:rStyle w:val="Hyperlink"/>
          </w:rPr>
          <w:t xml:space="preserve">“Understanding SC DDSN and SC DHHS” by Start, B. </w:t>
        </w:r>
        <w:proofErr w:type="spellStart"/>
        <w:r w:rsidR="007306FE" w:rsidRPr="007306FE">
          <w:rPr>
            <w:rStyle w:val="Hyperlink"/>
          </w:rPr>
          <w:t>Publisehd</w:t>
        </w:r>
        <w:proofErr w:type="spellEnd"/>
        <w:r w:rsidR="007306FE" w:rsidRPr="007306FE">
          <w:rPr>
            <w:rStyle w:val="Hyperlink"/>
          </w:rPr>
          <w:t xml:space="preserve"> by Bright Start SC, 2021. Retrieved February 8, 2023.</w:t>
        </w:r>
      </w:hyperlink>
      <w:r w:rsidR="007306FE" w:rsidRPr="007306FE">
        <w:t xml:space="preserve"> </w:t>
      </w:r>
    </w:p>
    <w:p w14:paraId="2F7B0810" w14:textId="716D11D6" w:rsidR="007306FE" w:rsidRPr="007306FE" w:rsidRDefault="00000000" w:rsidP="00926EB3">
      <w:pPr>
        <w:pStyle w:val="ListParagraph"/>
        <w:numPr>
          <w:ilvl w:val="0"/>
          <w:numId w:val="209"/>
        </w:numPr>
      </w:pPr>
      <w:hyperlink r:id="rId485" w:history="1">
        <w:r w:rsidR="007306FE" w:rsidRPr="007306FE">
          <w:rPr>
            <w:rStyle w:val="Hyperlink"/>
          </w:rPr>
          <w:t>“Medicaid” by the SC Department of Health and Human Services via scdhhs.gov. Retrieved February 8, 2023.</w:t>
        </w:r>
      </w:hyperlink>
    </w:p>
    <w:p w14:paraId="1DF11572" w14:textId="163F47F5" w:rsidR="007306FE" w:rsidRPr="007306FE" w:rsidRDefault="00000000" w:rsidP="00926EB3">
      <w:pPr>
        <w:pStyle w:val="ListParagraph"/>
        <w:numPr>
          <w:ilvl w:val="0"/>
          <w:numId w:val="209"/>
        </w:numPr>
      </w:pPr>
      <w:hyperlink r:id="rId486" w:history="1">
        <w:r w:rsidR="007306FE" w:rsidRPr="007306FE">
          <w:rPr>
            <w:rStyle w:val="Hyperlink"/>
          </w:rPr>
          <w:t>“Medicaid in United States” by KFF. Retrieved February 8, 2023.</w:t>
        </w:r>
      </w:hyperlink>
      <w:r w:rsidR="007306FE" w:rsidRPr="007306FE">
        <w:t xml:space="preserve"> </w:t>
      </w:r>
    </w:p>
    <w:p w14:paraId="44D082C4" w14:textId="1830A5A4" w:rsidR="007306FE" w:rsidRPr="007306FE" w:rsidRDefault="00000000" w:rsidP="00926EB3">
      <w:pPr>
        <w:pStyle w:val="ListParagraph"/>
        <w:numPr>
          <w:ilvl w:val="0"/>
          <w:numId w:val="209"/>
        </w:numPr>
      </w:pPr>
      <w:hyperlink r:id="rId487" w:history="1">
        <w:r w:rsidR="007306FE" w:rsidRPr="007306FE">
          <w:rPr>
            <w:rStyle w:val="Hyperlink"/>
          </w:rPr>
          <w:t>“Healthy connections prime” by SC Department of Health and Human Services via msp.scdhhs.gov.</w:t>
        </w:r>
      </w:hyperlink>
      <w:r w:rsidR="007306FE" w:rsidRPr="007306FE">
        <w:rPr>
          <w:i/>
          <w:iCs/>
        </w:rPr>
        <w:t xml:space="preserve"> </w:t>
      </w:r>
    </w:p>
    <w:p w14:paraId="0E357691" w14:textId="2E0F7504" w:rsidR="007306FE" w:rsidRPr="007306FE" w:rsidRDefault="00000000" w:rsidP="00926EB3">
      <w:pPr>
        <w:pStyle w:val="ListParagraph"/>
        <w:numPr>
          <w:ilvl w:val="0"/>
          <w:numId w:val="209"/>
        </w:numPr>
      </w:pPr>
      <w:hyperlink r:id="rId488" w:history="1">
        <w:r w:rsidR="007306FE" w:rsidRPr="007306FE">
          <w:rPr>
            <w:rStyle w:val="Hyperlink"/>
          </w:rPr>
          <w:t>“CMS Innovation Center homepage” by CMS. Retrieved February 8, 2023.</w:t>
        </w:r>
      </w:hyperlink>
    </w:p>
    <w:p w14:paraId="34125897" w14:textId="105415DB" w:rsidR="007306FE" w:rsidRPr="007306FE" w:rsidRDefault="00000000" w:rsidP="00926EB3">
      <w:pPr>
        <w:pStyle w:val="ListParagraph"/>
        <w:numPr>
          <w:ilvl w:val="0"/>
          <w:numId w:val="209"/>
        </w:numPr>
      </w:pPr>
      <w:hyperlink r:id="rId489" w:history="1">
        <w:r w:rsidR="007306FE" w:rsidRPr="007306FE">
          <w:rPr>
            <w:rStyle w:val="Hyperlink"/>
          </w:rPr>
          <w:t>“About DSS” by the South Carolina Department of Social Services. Retrieved February 8, 2023.</w:t>
        </w:r>
      </w:hyperlink>
      <w:r w:rsidR="007306FE" w:rsidRPr="007306FE">
        <w:t xml:space="preserve"> </w:t>
      </w:r>
    </w:p>
    <w:p w14:paraId="3EDD705F" w14:textId="3B0256C4" w:rsidR="007306FE" w:rsidRPr="007306FE" w:rsidRDefault="00000000" w:rsidP="00926EB3">
      <w:pPr>
        <w:pStyle w:val="ListParagraph"/>
        <w:numPr>
          <w:ilvl w:val="0"/>
          <w:numId w:val="209"/>
        </w:numPr>
      </w:pPr>
      <w:hyperlink r:id="rId490" w:history="1">
        <w:r w:rsidR="007306FE" w:rsidRPr="007306FE">
          <w:rPr>
            <w:rStyle w:val="Hyperlink"/>
          </w:rPr>
          <w:t>“Frequently asked questions - South Carolina Department of Social Services” via dss.sc.gov. Retrieved February 8, 2023</w:t>
        </w:r>
      </w:hyperlink>
      <w:r w:rsidR="007306FE">
        <w:t>.</w:t>
      </w:r>
      <w:r w:rsidR="007306FE" w:rsidRPr="007306FE">
        <w:t xml:space="preserve"> </w:t>
      </w:r>
    </w:p>
    <w:p w14:paraId="502CCC58" w14:textId="52217E33" w:rsidR="007306FE" w:rsidRPr="007306FE" w:rsidRDefault="00000000" w:rsidP="00926EB3">
      <w:pPr>
        <w:pStyle w:val="ListParagraph"/>
        <w:numPr>
          <w:ilvl w:val="0"/>
          <w:numId w:val="209"/>
        </w:numPr>
        <w:rPr>
          <w:u w:val="thick"/>
        </w:rPr>
      </w:pPr>
      <w:hyperlink r:id="rId491" w:history="1">
        <w:r w:rsidR="007306FE" w:rsidRPr="007306FE">
          <w:rPr>
            <w:rStyle w:val="Hyperlink"/>
          </w:rPr>
          <w:t>“Cash assistance program recipients and cash assistance.” Retrieved February 8, 2023.</w:t>
        </w:r>
      </w:hyperlink>
      <w:r w:rsidR="007306FE" w:rsidRPr="007306FE">
        <w:t xml:space="preserve"> </w:t>
      </w:r>
    </w:p>
    <w:p w14:paraId="2D76DE74" w14:textId="77777777" w:rsidR="00C360A7" w:rsidRPr="00AF05AF" w:rsidRDefault="00C360A7" w:rsidP="00A65BE2"/>
    <w:p w14:paraId="1D11BD8E" w14:textId="77777777" w:rsidR="00AF05AF" w:rsidRPr="00AF05AF" w:rsidRDefault="00AF05AF" w:rsidP="00AF05AF">
      <w:pPr>
        <w:pStyle w:val="Heading3"/>
      </w:pPr>
      <w:bookmarkStart w:id="1071" w:name="_Toc162267732"/>
      <w:r w:rsidRPr="00AF05AF">
        <w:t>DHEC Public Health Workforce</w:t>
      </w:r>
      <w:bookmarkEnd w:id="1071"/>
      <w:r w:rsidRPr="00AF05AF">
        <w:t xml:space="preserve"> </w:t>
      </w:r>
    </w:p>
    <w:p w14:paraId="54222BAC" w14:textId="77777777" w:rsidR="00AF05AF" w:rsidRPr="00AF05AF" w:rsidRDefault="00AF05AF" w:rsidP="00AF05AF">
      <w:r w:rsidRPr="00AF05AF">
        <w:t>DHEC has more than 3,700 employees with specialties in environmental affairs, health care quality, and public health. DHEC operates a centralized health system where the local health departments are not stand-alone county agencies but local offices of DHEC, in facilities provided by the counties. The diversity in the organization and the strong collaboration with external partners afford DHEC the opportunity to build upon the strengths and expertise of staff to ignite change and promote the health of the state. However, as has been seen nationwide, there are many issues currently facing public health systems that impact the quantity and quality of services provided, and ultimately the health of their constituents.</w:t>
      </w:r>
    </w:p>
    <w:p w14:paraId="3DF23C40" w14:textId="77777777" w:rsidR="00AF05AF" w:rsidRDefault="00AF05AF" w:rsidP="00AF05AF">
      <w:r w:rsidRPr="00AF05AF">
        <w:t>While DHEC strives to use its staff and resources for the fulfillment of its vision, the COVID-19 pandemic exposed and created many obstacles to providing health services to all communities equitably. Prior to the pandemic, salary rates and inadequate staffing for critical front-line positions such as nurses and nurse practitioners challenged the provision of public health services in SC. Retaining adequate staff once they are hired is also challenging when issues such as pay equity, lack of resources and burnout lead to turnover and take a toll on the workforce. Limited financial resources hamper efforts related to staffing and the function and maintenance of operations and physical infrastructures as well. Addressing newly emerging data needs can be discordant with existing data systems and cause challenges and disruptions to data collection, analysis and sharing.</w:t>
      </w:r>
    </w:p>
    <w:p w14:paraId="3860053E" w14:textId="77777777" w:rsidR="00AF05AF" w:rsidRPr="00AF05AF" w:rsidRDefault="00AF05AF" w:rsidP="00AF05AF"/>
    <w:p w14:paraId="10FE4A21" w14:textId="3AC44D40" w:rsidR="00AF05AF" w:rsidRDefault="00AF05AF" w:rsidP="00AF05AF">
      <w:r w:rsidRPr="00AF05AF">
        <w:t xml:space="preserve">DHEC saw an increase of just over 4% in turnover from fiscal year 2021 to fiscal year 2022. For 2021, the overall staff turnover rate for Public Health was 23%, which is higher than the agency turnover rate of 17.48%. </w:t>
      </w:r>
    </w:p>
    <w:p w14:paraId="3E24670B" w14:textId="77777777" w:rsidR="00AF05AF" w:rsidRPr="00AF05AF" w:rsidRDefault="00AF05AF" w:rsidP="00AF05AF"/>
    <w:p w14:paraId="066E9687" w14:textId="77777777" w:rsidR="00AF05AF" w:rsidRPr="00AF05AF" w:rsidRDefault="00AF05AF" w:rsidP="00AF05AF">
      <w:r w:rsidRPr="00AF05AF">
        <w:t>DHEC particularly struggles to retain employees who have been at the agency for less than 10 years, with that group having a turnover rate of 25%. Those employees at DHEC less than 10 years make up over half of DHEC’s full-time workforce. Furthermore, DHEC’s average salaries are not competitive when compared to average salaries for comparable positions in the private sector. For example, the agency’s Registered Nurse average salary is $55,461 versus $81,536 in the private sector. The disparity is not only apparent in our nursing classifications, but others as well. This highlights a key opportunity for DHEC and other state agencies to continue improving retention creatively and strategically.</w:t>
      </w:r>
    </w:p>
    <w:p w14:paraId="5B9177E8" w14:textId="77777777" w:rsidR="00AF05AF" w:rsidRDefault="00AF05AF" w:rsidP="00AF05AF">
      <w:r w:rsidRPr="00AF05AF">
        <w:t>A gap analysis further highlights the impact of reduced staffing on our communities, which can be seen in the provision of family planning and sexually transmitted disease (STD) services.</w:t>
      </w:r>
    </w:p>
    <w:p w14:paraId="199A7480" w14:textId="77777777" w:rsidR="00AF05AF" w:rsidRPr="00AF05AF" w:rsidRDefault="00AF05AF" w:rsidP="00AF05AF"/>
    <w:p w14:paraId="76B1E854" w14:textId="77777777" w:rsidR="00AF05AF" w:rsidRPr="00AF05AF" w:rsidRDefault="00AF05AF" w:rsidP="00AF05AF">
      <w:r w:rsidRPr="00AF05AF">
        <w:t xml:space="preserve">Over the past 10 years, family planning and STD services in the health departments have been reduced due to DHEC’s inability to recruit and retain qualified staff. Clients are unable to receive timely appointments for family planning, </w:t>
      </w:r>
      <w:proofErr w:type="gramStart"/>
      <w:r w:rsidRPr="00AF05AF">
        <w:t>STD</w:t>
      </w:r>
      <w:proofErr w:type="gramEnd"/>
      <w:r w:rsidRPr="00AF05AF">
        <w:t xml:space="preserve"> and immunization services. The impact is most strongly felt by clients in rural counties where there are few alternative service providers.</w:t>
      </w:r>
    </w:p>
    <w:p w14:paraId="222AD1AF" w14:textId="77777777" w:rsidR="00AF05AF" w:rsidRDefault="00AF05AF" w:rsidP="00AF05AF">
      <w:r w:rsidRPr="00AF05AF">
        <w:t>As the agency focuses on promoting health equity and addressing the SDOH, there is a vital need for resources to address the current staffing shortage. The current volume of DHEC staff is insufficient to achieve health equity and address the SDOH in every county of our state, with many staff assigned to serve in multiple roles and some public services reduced. The 46 counties in SC have differing needs, available resources, and levels of community engagement. With the current personnel shortages, staff do not have the necessary time to build trust and foster relationships in each county, preventing the needs of communities from being fully met. This is particularly apparent in counties with the most vulnerable populations.</w:t>
      </w:r>
    </w:p>
    <w:p w14:paraId="639C855F" w14:textId="77777777" w:rsidR="00AF05AF" w:rsidRPr="00AF05AF" w:rsidRDefault="00AF05AF" w:rsidP="00AF05AF"/>
    <w:p w14:paraId="5D41BEEB" w14:textId="5FBAE117" w:rsidR="00AF05AF" w:rsidRDefault="00AF05AF" w:rsidP="00AF05AF">
      <w:r w:rsidRPr="00AF05AF">
        <w:t xml:space="preserve">While the emergent crisis of the COVID-19 pandemic led to scenarios in which the agency was unable to meet community expectations, there were also instances of successful collaborations and unique partnerships that began during this time. </w:t>
      </w:r>
      <w:r w:rsidRPr="00AF05AF">
        <w:lastRenderedPageBreak/>
        <w:t>One such example is with The Edward Via College of Osteopathic Medicine (VCOM) - Carolinas Campus. DHEC’s severe staffing shortage limited the provision of COVID-19 immunizations in an underserved community in Spartanburg, SC, until the agency, through a unique partnership with VCOM, used medical students to vaccinate people in large COVID-19 clinics. This new partnership then transitioned to providing mobile immunization clinics – and now mobile STD clinics – with VCOM students.</w:t>
      </w:r>
    </w:p>
    <w:p w14:paraId="7C4CEB32" w14:textId="77777777" w:rsidR="00AF05AF" w:rsidRDefault="00AF05AF" w:rsidP="00AF05AF"/>
    <w:p w14:paraId="1904768E" w14:textId="77777777" w:rsidR="00AF05AF" w:rsidRPr="00AF05AF" w:rsidRDefault="00AF05AF" w:rsidP="00AF05AF">
      <w:r w:rsidRPr="00AF05AF">
        <w:t>Additional staffing capacity is needed within the agency to continue collaborations with VCOM and other entities across the state.</w:t>
      </w:r>
    </w:p>
    <w:p w14:paraId="5B44E4AD" w14:textId="77777777" w:rsidR="00AF05AF" w:rsidRPr="00AF05AF" w:rsidRDefault="00AF05AF" w:rsidP="00AF05AF">
      <w:r w:rsidRPr="00AF05AF">
        <w:t>Through DHEC’s bridge strategic plan (2022-2024), agency workforce and infrastructure are key components that are being addressed through investment and provision of quality services:</w:t>
      </w:r>
    </w:p>
    <w:p w14:paraId="7D05986F" w14:textId="613FE545" w:rsidR="00AF05AF" w:rsidRPr="00AF05AF" w:rsidRDefault="00AF05AF" w:rsidP="00926EB3">
      <w:pPr>
        <w:pStyle w:val="ListParagraph"/>
        <w:numPr>
          <w:ilvl w:val="0"/>
          <w:numId w:val="193"/>
        </w:numPr>
      </w:pPr>
      <w:r w:rsidRPr="00AF05AF">
        <w:t>Invest in the development of our current and future workforce and infrastructure to ensure our teams have the resources they need to continue to provide mission-critical services for all South Carolinians.</w:t>
      </w:r>
    </w:p>
    <w:p w14:paraId="5AFA08EC" w14:textId="5D077991" w:rsidR="00AF05AF" w:rsidRDefault="00AF05AF" w:rsidP="00926EB3">
      <w:pPr>
        <w:pStyle w:val="ListParagraph"/>
        <w:numPr>
          <w:ilvl w:val="0"/>
          <w:numId w:val="193"/>
        </w:numPr>
      </w:pPr>
      <w:r w:rsidRPr="00AF05AF">
        <w:t>Advance DHEC’s organizational capacity to provide quality internal and external services by focusing on workforce recruitment, retention, and engagement; agency funding and investments; and internal process improvements</w:t>
      </w:r>
      <w:r>
        <w:t>.</w:t>
      </w:r>
    </w:p>
    <w:p w14:paraId="72AF9DFC" w14:textId="77777777" w:rsidR="00AF05AF" w:rsidRDefault="00AF05AF" w:rsidP="00AF05AF"/>
    <w:p w14:paraId="174F6A7A" w14:textId="6B531032" w:rsidR="00AF05AF" w:rsidRDefault="00AF05AF" w:rsidP="00AF05AF">
      <w:pPr>
        <w:pStyle w:val="Heading5"/>
      </w:pPr>
      <w:r>
        <w:t>Key Takeaways:</w:t>
      </w:r>
    </w:p>
    <w:p w14:paraId="1877FC36" w14:textId="77777777" w:rsidR="00AF05AF" w:rsidRDefault="00AF05AF" w:rsidP="00926EB3">
      <w:pPr>
        <w:pStyle w:val="ListParagraph"/>
        <w:numPr>
          <w:ilvl w:val="0"/>
          <w:numId w:val="205"/>
        </w:numPr>
      </w:pPr>
      <w:r w:rsidRPr="00AF05AF">
        <w:t>Investing in our state’s public health workforce and infrastructure is critical to successfully addressing health priorities and the social determinants of health.</w:t>
      </w:r>
    </w:p>
    <w:p w14:paraId="34395190" w14:textId="77777777" w:rsidR="00AF05AF" w:rsidRDefault="00AF05AF" w:rsidP="00AF05AF"/>
    <w:p w14:paraId="2B56D0A4" w14:textId="52E5343C" w:rsidR="00C360A7" w:rsidRPr="00474B85" w:rsidRDefault="00C360A7" w:rsidP="00C360A7">
      <w:pPr>
        <w:pStyle w:val="Heading4"/>
        <w:rPr>
          <w:rFonts w:asciiTheme="minorHAnsi" w:hAnsiTheme="minorHAnsi" w:cstheme="minorHAnsi"/>
          <w:color w:val="000000" w:themeColor="text1"/>
        </w:rPr>
      </w:pPr>
      <w:bookmarkStart w:id="1072" w:name="_Toc162267733"/>
      <w:r w:rsidRPr="00474B85">
        <w:rPr>
          <w:rFonts w:asciiTheme="minorHAnsi" w:hAnsiTheme="minorHAnsi" w:cstheme="minorHAnsi"/>
          <w:color w:val="000000" w:themeColor="text1"/>
        </w:rPr>
        <w:t xml:space="preserve">References </w:t>
      </w:r>
      <w:r>
        <w:rPr>
          <w:rFonts w:asciiTheme="minorHAnsi" w:hAnsiTheme="minorHAnsi" w:cstheme="minorHAnsi"/>
          <w:color w:val="000000" w:themeColor="text1"/>
        </w:rPr>
        <w:t>11.3</w:t>
      </w:r>
      <w:bookmarkEnd w:id="1072"/>
    </w:p>
    <w:p w14:paraId="51F38231" w14:textId="25137FA2" w:rsidR="00C360A7" w:rsidRDefault="00C360A7" w:rsidP="007306FE">
      <w:r w:rsidRPr="00474B85">
        <w:t xml:space="preserve">Statistics in the preceding section were referenced from </w:t>
      </w:r>
      <w:r w:rsidR="007306FE">
        <w:t>the SC DHEC Office of Human Resources. No hyperlink.</w:t>
      </w:r>
    </w:p>
    <w:p w14:paraId="75CD7E73" w14:textId="7912D651" w:rsidR="00AF05AF" w:rsidRPr="00AF05AF" w:rsidRDefault="00AF05AF" w:rsidP="00AF05AF">
      <w:pPr>
        <w:pStyle w:val="Heading3"/>
      </w:pPr>
      <w:bookmarkStart w:id="1073" w:name="_Toc162267734"/>
      <w:r w:rsidRPr="00AF05AF">
        <w:t>Primary Care and Oral Health Care in SC</w:t>
      </w:r>
      <w:bookmarkEnd w:id="1073"/>
    </w:p>
    <w:p w14:paraId="420AECF3" w14:textId="77777777" w:rsidR="00AF05AF" w:rsidRDefault="00AF05AF" w:rsidP="00AF05AF">
      <w:r w:rsidRPr="00AF05AF">
        <w:t>To understand the health needs of South Carolinians and guide future activities and investments, the SC Office of Primary Care engaged the SC Office of Healthcare Workforce (SCOHW) within the SC Area Health Education Consortium (AHEC) to assist in developing statewide primary care, oral health, and mental health needs assessments.</w:t>
      </w:r>
    </w:p>
    <w:p w14:paraId="6D934EE3" w14:textId="77777777" w:rsidR="00AF05AF" w:rsidRPr="00AF05AF" w:rsidRDefault="00AF05AF" w:rsidP="00AF05AF"/>
    <w:p w14:paraId="3830F8B3" w14:textId="77777777" w:rsidR="00AF05AF" w:rsidRPr="00AF05AF" w:rsidRDefault="00AF05AF" w:rsidP="00AF05AF">
      <w:r w:rsidRPr="00AF05AF">
        <w:t>This work included:</w:t>
      </w:r>
    </w:p>
    <w:p w14:paraId="52BDDB60" w14:textId="77777777" w:rsidR="00AF05AF" w:rsidRDefault="00AF05AF" w:rsidP="00926EB3">
      <w:pPr>
        <w:pStyle w:val="ListParagraph"/>
        <w:numPr>
          <w:ilvl w:val="0"/>
          <w:numId w:val="194"/>
        </w:numPr>
      </w:pPr>
      <w:r w:rsidRPr="00AF05AF">
        <w:lastRenderedPageBreak/>
        <w:t xml:space="preserve">Analyzing unmet needs, care and access disparities, and health workforce issues affecting the availability of primary care physicians and dental care.  </w:t>
      </w:r>
    </w:p>
    <w:p w14:paraId="288AD741" w14:textId="0A6EABB4" w:rsidR="00AF05AF" w:rsidRPr="00AF05AF" w:rsidRDefault="00AF05AF" w:rsidP="00926EB3">
      <w:pPr>
        <w:pStyle w:val="ListParagraph"/>
        <w:numPr>
          <w:ilvl w:val="0"/>
          <w:numId w:val="194"/>
        </w:numPr>
      </w:pPr>
      <w:r w:rsidRPr="00AF05AF">
        <w:t xml:space="preserve">Engaging multiple stakeholder organizations in SC to get feedback on needs assessment methods and measures, and help identifying infrastructure challenges and assets affecting access to care in the state. </w:t>
      </w:r>
    </w:p>
    <w:p w14:paraId="7170A81C" w14:textId="55D680E8" w:rsidR="00AF05AF" w:rsidRPr="00AF05AF" w:rsidRDefault="00AF05AF" w:rsidP="00926EB3">
      <w:pPr>
        <w:pStyle w:val="ListParagraph"/>
        <w:numPr>
          <w:ilvl w:val="0"/>
          <w:numId w:val="194"/>
        </w:numPr>
      </w:pPr>
      <w:r w:rsidRPr="00AF05AF">
        <w:t>Assisting the Office of Primary Care in sharing the methodology and results of the needs assessment with the federal Health Resources and Services Administration and with partners and stakeholders across SC.</w:t>
      </w:r>
    </w:p>
    <w:p w14:paraId="043403A4" w14:textId="77777777" w:rsidR="00AF05AF" w:rsidRDefault="00AF05AF" w:rsidP="00AF05AF"/>
    <w:p w14:paraId="09EE2FAA" w14:textId="498B687B" w:rsidR="00AF05AF" w:rsidRPr="00AF05AF" w:rsidRDefault="00AF05AF" w:rsidP="00AF05AF">
      <w:r w:rsidRPr="00AF05AF">
        <w:t xml:space="preserve">The SCOHW convened advisory committees that included representation from the SC Office of Primary Care, SC Office of Rural Health, SC Primary Health Care Association, SC Area Health Education Consortium, the SC Revenue and Fiscal Affairs Office, SC Medicaid, SC Division of Oral Health, and the MUSC College of Dental Medicine. Members of the committees served as subject matter experts and data sources throughout the development of the primary care and oral health needs assessment reports. </w:t>
      </w:r>
    </w:p>
    <w:p w14:paraId="52B94438" w14:textId="77777777" w:rsidR="00AF05AF" w:rsidRDefault="00AF05AF" w:rsidP="00AF05AF"/>
    <w:p w14:paraId="1F3B55A5" w14:textId="77777777" w:rsidR="00AF05AF" w:rsidRPr="00AF05AF" w:rsidRDefault="00AF05AF" w:rsidP="00AF05AF">
      <w:pPr>
        <w:pStyle w:val="Heading4"/>
      </w:pPr>
      <w:bookmarkStart w:id="1074" w:name="_Toc162267735"/>
      <w:r w:rsidRPr="00AF05AF">
        <w:t>Key Findings for Primary Care Needs Assessment</w:t>
      </w:r>
      <w:bookmarkEnd w:id="1074"/>
    </w:p>
    <w:p w14:paraId="78216577" w14:textId="77777777" w:rsidR="00AF05AF" w:rsidRPr="00AF05AF" w:rsidRDefault="00AF05AF" w:rsidP="00926EB3">
      <w:pPr>
        <w:pStyle w:val="ListParagraph"/>
        <w:numPr>
          <w:ilvl w:val="0"/>
          <w:numId w:val="195"/>
        </w:numPr>
      </w:pPr>
      <w:r w:rsidRPr="00AF05AF">
        <w:t xml:space="preserve">Only 61.5% of the need for services was met in the state’s Primary Care Health Professional Shortage Areas (HPSAs) in 2019 (by dividing the number of physicians available to serve the population by the number of physicians necessary to eliminate the primary care HPSA) (Kaiser Family Foundation, 2019). </w:t>
      </w:r>
    </w:p>
    <w:p w14:paraId="343E7ABF" w14:textId="5955A56D" w:rsidR="00AF05AF" w:rsidRPr="00AF05AF" w:rsidRDefault="00AF05AF" w:rsidP="00926EB3">
      <w:pPr>
        <w:pStyle w:val="ListParagraph"/>
        <w:numPr>
          <w:ilvl w:val="0"/>
          <w:numId w:val="195"/>
        </w:numPr>
      </w:pPr>
      <w:r w:rsidRPr="00AF05AF">
        <w:t xml:space="preserve">In 2018, SC ranked 38th in availability of primary care physicians, with 80.1 primary care physicians per 100,000 population compared to 92.5 in the US (AAMC, 2019). </w:t>
      </w:r>
    </w:p>
    <w:p w14:paraId="5BF7B63F" w14:textId="646846B3" w:rsidR="00AF05AF" w:rsidRPr="00AF05AF" w:rsidRDefault="00AF05AF" w:rsidP="00926EB3">
      <w:pPr>
        <w:pStyle w:val="ListParagraph"/>
        <w:numPr>
          <w:ilvl w:val="0"/>
          <w:numId w:val="195"/>
        </w:numPr>
      </w:pPr>
      <w:r w:rsidRPr="00AF05AF">
        <w:t xml:space="preserve">There were 5,092 primary care physicians actively practicing in SC in 2019. All counties had at least one primary care physician with a primary practice location. Statewide, there are 1,011 people per active primary care physician (1011:1) (SCOHW, 2021). </w:t>
      </w:r>
    </w:p>
    <w:p w14:paraId="491765F4" w14:textId="487042EA" w:rsidR="00AF05AF" w:rsidRPr="00AF05AF" w:rsidRDefault="00AF05AF" w:rsidP="00926EB3">
      <w:pPr>
        <w:pStyle w:val="ListParagraph"/>
        <w:numPr>
          <w:ilvl w:val="0"/>
          <w:numId w:val="195"/>
        </w:numPr>
      </w:pPr>
      <w:r w:rsidRPr="00AF05AF">
        <w:t xml:space="preserve">The number of primary care physicians in the state’s non-metropolitan counties is declining, while the number of physician assistants is increasing modestly, and the number of nurse practitioners is growing sharply. (SCOHW, 2021) </w:t>
      </w:r>
    </w:p>
    <w:p w14:paraId="21AF1E08" w14:textId="033433B4" w:rsidR="00AF05AF" w:rsidRDefault="00AF05AF" w:rsidP="00926EB3">
      <w:pPr>
        <w:pStyle w:val="ListParagraph"/>
        <w:numPr>
          <w:ilvl w:val="0"/>
          <w:numId w:val="195"/>
        </w:numPr>
      </w:pPr>
      <w:r w:rsidRPr="00AF05AF">
        <w:t xml:space="preserve">Current HPSA methodology does not account for nurse practitioners or physician assistants; in turn, HPSAs are not an accurate indicator of unmet </w:t>
      </w:r>
      <w:r w:rsidRPr="00AF05AF">
        <w:lastRenderedPageBreak/>
        <w:t xml:space="preserve">need and may not effectively prioritize funding and programs to areas of greatest need. </w:t>
      </w:r>
    </w:p>
    <w:p w14:paraId="02E06498" w14:textId="77777777" w:rsidR="00AF05AF" w:rsidRDefault="00AF05AF" w:rsidP="00AF05AF"/>
    <w:p w14:paraId="138D61E3" w14:textId="77777777" w:rsidR="00AF05AF" w:rsidRPr="00AF05AF" w:rsidRDefault="00AF05AF" w:rsidP="00AF05AF">
      <w:pPr>
        <w:pStyle w:val="Heading4"/>
      </w:pPr>
      <w:bookmarkStart w:id="1075" w:name="_Toc162267736"/>
      <w:r w:rsidRPr="00AF05AF">
        <w:t>Key Findings for Oral Health Needs Assessment</w:t>
      </w:r>
      <w:bookmarkEnd w:id="1075"/>
    </w:p>
    <w:p w14:paraId="04A0F203" w14:textId="307A0AC9" w:rsidR="00AF05AF" w:rsidRPr="00AF05AF" w:rsidRDefault="00AF05AF" w:rsidP="00AF05AF">
      <w:r w:rsidRPr="00AF05AF">
        <w:t>All but two counties in SC are whole or partial Dental HPSAs.</w:t>
      </w:r>
    </w:p>
    <w:p w14:paraId="2D71015B" w14:textId="0C5FF863" w:rsidR="00AF05AF" w:rsidRPr="00AF05AF" w:rsidRDefault="00AF05AF" w:rsidP="00926EB3">
      <w:pPr>
        <w:pStyle w:val="ListParagraph"/>
        <w:numPr>
          <w:ilvl w:val="0"/>
          <w:numId w:val="196"/>
        </w:numPr>
      </w:pPr>
      <w:r w:rsidRPr="00AF05AF">
        <w:t xml:space="preserve">Only 41% of the need for oral health services was met in the state’s dental HPSAs in 2019 (by dividing the number of dentists available to serve the population by the number of dentists necessary to eliminate the dental HPSA) (Kaiser Family Foundation, 2019). </w:t>
      </w:r>
    </w:p>
    <w:p w14:paraId="634DD699" w14:textId="5CD9A458" w:rsidR="00AF05AF" w:rsidRPr="00AF05AF" w:rsidRDefault="00AF05AF" w:rsidP="00926EB3">
      <w:pPr>
        <w:pStyle w:val="ListParagraph"/>
        <w:numPr>
          <w:ilvl w:val="0"/>
          <w:numId w:val="196"/>
        </w:numPr>
      </w:pPr>
      <w:r w:rsidRPr="00AF05AF">
        <w:t xml:space="preserve">SC ranks 44th in availability of dentists, with 47.8 dentists per 100,000 population (America’s Health Rankings, 2019). </w:t>
      </w:r>
    </w:p>
    <w:p w14:paraId="3C2EA3EB" w14:textId="31817E1B" w:rsidR="00AF05AF" w:rsidRPr="00AF05AF" w:rsidRDefault="00AF05AF" w:rsidP="00926EB3">
      <w:pPr>
        <w:pStyle w:val="ListParagraph"/>
        <w:numPr>
          <w:ilvl w:val="0"/>
          <w:numId w:val="196"/>
        </w:numPr>
      </w:pPr>
      <w:r w:rsidRPr="00AF05AF">
        <w:t xml:space="preserve">There were 2,463 dentists actively practicing in SC in 2019. All counties had at least one dentist with a primary practice location. Statewide, there are 2,090 people per active dentist (2090:1) (SCOHW, 2021). </w:t>
      </w:r>
    </w:p>
    <w:p w14:paraId="64533D45" w14:textId="3BA4F1E2" w:rsidR="00AF05AF" w:rsidRPr="00AF05AF" w:rsidRDefault="00AF05AF" w:rsidP="00926EB3">
      <w:pPr>
        <w:pStyle w:val="ListParagraph"/>
        <w:numPr>
          <w:ilvl w:val="0"/>
          <w:numId w:val="196"/>
        </w:numPr>
      </w:pPr>
      <w:r w:rsidRPr="00AF05AF">
        <w:t>The majority (91.2%) of dentists practice in a metropolitan county, compared to 6.3% in micropolitan counties and 2.4% in non-metropolitan counties (SCOHW, 2021)</w:t>
      </w:r>
      <w:r>
        <w:t>.</w:t>
      </w:r>
    </w:p>
    <w:p w14:paraId="1A37F4B2" w14:textId="77777777" w:rsidR="00AF05AF" w:rsidRDefault="00AF05AF" w:rsidP="00AF05AF"/>
    <w:p w14:paraId="6862642B" w14:textId="20DB5AD2" w:rsidR="00AF05AF" w:rsidRPr="00AF05AF" w:rsidRDefault="00AF05AF" w:rsidP="00AF05AF">
      <w:r w:rsidRPr="00AF05AF">
        <w:t>SC has rich partnerships, many mechanisms in place to grow and support rural primary care providers, and a history of obtaining funding to support dental training and community oral health initiatives. Yet, we still have disparities in access to health care and in health outcomes and have trouble recruiting and retaining physicians in rural areas. The state has not elected to expand Medicaid. Continued work is needed to sustain state, public and private partnerships; train, recruit and retain medical and dental providers for rural and underserved practice; and support payment and policy to improve overall physical and oral health outcomes.</w:t>
      </w:r>
    </w:p>
    <w:p w14:paraId="41624199" w14:textId="77777777" w:rsidR="00AF05AF" w:rsidRPr="00AF05AF" w:rsidRDefault="00AF05AF" w:rsidP="00AF05AF"/>
    <w:p w14:paraId="712B02A0" w14:textId="22A259C6" w:rsidR="00AF05AF" w:rsidRDefault="00AF05AF" w:rsidP="00AF05AF">
      <w:pPr>
        <w:pStyle w:val="Heading5"/>
      </w:pPr>
      <w:r>
        <w:t>Key Takeaways:</w:t>
      </w:r>
    </w:p>
    <w:p w14:paraId="4566F732" w14:textId="41E04B03" w:rsidR="00AF05AF" w:rsidRPr="00AF05AF" w:rsidRDefault="00AF05AF" w:rsidP="00926EB3">
      <w:pPr>
        <w:pStyle w:val="ListParagraph"/>
        <w:numPr>
          <w:ilvl w:val="0"/>
          <w:numId w:val="206"/>
        </w:numPr>
      </w:pPr>
      <w:r w:rsidRPr="00AF05AF">
        <w:t>Continued work is needed to sustain state, public and private partnerships; train, recruit and retain medical and dental providers for rural and underserved practice</w:t>
      </w:r>
      <w:r w:rsidR="0087480F">
        <w:t>s</w:t>
      </w:r>
      <w:r w:rsidRPr="00AF05AF">
        <w:t>; and support payment and policy to improve overall physical and oral health outcomes.</w:t>
      </w:r>
    </w:p>
    <w:p w14:paraId="3826A730" w14:textId="77777777" w:rsidR="00AF05AF" w:rsidRPr="00AF05AF" w:rsidRDefault="00AF05AF" w:rsidP="00AF05AF"/>
    <w:p w14:paraId="4B4AEB8F" w14:textId="77777777" w:rsidR="00AF05AF" w:rsidRPr="00AF05AF" w:rsidRDefault="00AF05AF" w:rsidP="00AF05AF">
      <w:pPr>
        <w:pStyle w:val="Heading4"/>
      </w:pPr>
      <w:bookmarkStart w:id="1076" w:name="_Toc162267737"/>
      <w:r w:rsidRPr="00AF05AF">
        <w:t>Marketplace</w:t>
      </w:r>
      <w:bookmarkEnd w:id="1076"/>
    </w:p>
    <w:p w14:paraId="7539FFE4" w14:textId="6F545992" w:rsidR="00C360A7" w:rsidRDefault="00AF05AF" w:rsidP="00AF05AF">
      <w:pPr>
        <w:rPr>
          <w:b/>
          <w:bCs/>
        </w:rPr>
      </w:pPr>
      <w:r w:rsidRPr="00AF05AF">
        <w:t xml:space="preserve">SC also has a health insurance marketplace platform where </w:t>
      </w:r>
      <w:r w:rsidR="0087480F">
        <w:t>residents</w:t>
      </w:r>
      <w:r w:rsidRPr="00AF05AF">
        <w:t xml:space="preserve"> can shop and sign up for affordable health insurance plans. The Marketplace sells insurance </w:t>
      </w:r>
      <w:r w:rsidRPr="00AF05AF">
        <w:lastRenderedPageBreak/>
        <w:t xml:space="preserve">policies that may be subsidized by the federal government, depending on income and family size. There are currently five health carriers that offer coverage in the SC marketplace. This includes </w:t>
      </w:r>
      <w:proofErr w:type="spellStart"/>
      <w:r w:rsidRPr="00AF05AF">
        <w:t>AmBetter</w:t>
      </w:r>
      <w:proofErr w:type="spellEnd"/>
      <w:r w:rsidRPr="00AF05AF">
        <w:t>/Absolute Total Care, Blue Cross Blue Shield of SC, Cigna, Molina Healthcare, and Select Health of SC. In 2022, there were 300,392 people enrolled through SC’s health insurance exchange, which is a 30% increase from 2021.</w:t>
      </w:r>
    </w:p>
    <w:p w14:paraId="2A3067A7" w14:textId="77777777" w:rsidR="00C360A7" w:rsidRDefault="00C360A7" w:rsidP="00AF05AF">
      <w:pPr>
        <w:rPr>
          <w:b/>
          <w:bCs/>
        </w:rPr>
      </w:pPr>
    </w:p>
    <w:p w14:paraId="7A21871B" w14:textId="1D48B681" w:rsidR="00C360A7" w:rsidRPr="00474B85" w:rsidRDefault="00C360A7" w:rsidP="00C360A7">
      <w:pPr>
        <w:pStyle w:val="Heading4"/>
        <w:rPr>
          <w:rFonts w:asciiTheme="minorHAnsi" w:hAnsiTheme="minorHAnsi" w:cstheme="minorHAnsi"/>
          <w:color w:val="000000" w:themeColor="text1"/>
        </w:rPr>
      </w:pPr>
      <w:bookmarkStart w:id="1077" w:name="_Toc162267738"/>
      <w:r w:rsidRPr="00474B85">
        <w:rPr>
          <w:rFonts w:asciiTheme="minorHAnsi" w:hAnsiTheme="minorHAnsi" w:cstheme="minorHAnsi"/>
          <w:color w:val="000000" w:themeColor="text1"/>
        </w:rPr>
        <w:t xml:space="preserve">References </w:t>
      </w:r>
      <w:r>
        <w:rPr>
          <w:rFonts w:asciiTheme="minorHAnsi" w:hAnsiTheme="minorHAnsi" w:cstheme="minorHAnsi"/>
          <w:color w:val="000000" w:themeColor="text1"/>
        </w:rPr>
        <w:t>11.4</w:t>
      </w:r>
      <w:bookmarkEnd w:id="1077"/>
    </w:p>
    <w:p w14:paraId="73491942" w14:textId="77777777" w:rsidR="00C360A7" w:rsidRDefault="00C360A7" w:rsidP="00C360A7">
      <w:r w:rsidRPr="00474B85">
        <w:t>Statistics in the preceding section were referenced from the following reports:</w:t>
      </w:r>
    </w:p>
    <w:p w14:paraId="1C71C1F3" w14:textId="3447EC14" w:rsidR="007306FE" w:rsidRPr="007306FE" w:rsidRDefault="00000000" w:rsidP="00926EB3">
      <w:pPr>
        <w:pStyle w:val="ListParagraph"/>
        <w:numPr>
          <w:ilvl w:val="0"/>
          <w:numId w:val="210"/>
        </w:numPr>
        <w:rPr>
          <w:u w:val="thick"/>
        </w:rPr>
      </w:pPr>
      <w:hyperlink r:id="rId492" w:history="1">
        <w:r w:rsidR="007306FE" w:rsidRPr="007306FE">
          <w:rPr>
            <w:rStyle w:val="Hyperlink"/>
          </w:rPr>
          <w:t>“What Does “Health Insurance Through the Marketplace” Mean?” via ehealthinsurance.com. Retrieved February 8, 2023.</w:t>
        </w:r>
      </w:hyperlink>
      <w:r w:rsidR="007306FE" w:rsidRPr="007306FE">
        <w:t xml:space="preserve"> </w:t>
      </w:r>
    </w:p>
    <w:p w14:paraId="532A5940" w14:textId="01844A88" w:rsidR="007306FE" w:rsidRPr="007306FE" w:rsidRDefault="00000000" w:rsidP="00926EB3">
      <w:pPr>
        <w:pStyle w:val="ListParagraph"/>
        <w:numPr>
          <w:ilvl w:val="0"/>
          <w:numId w:val="210"/>
        </w:numPr>
      </w:pPr>
      <w:hyperlink r:id="rId493" w:history="1">
        <w:r w:rsidR="007306FE" w:rsidRPr="007306FE">
          <w:rPr>
            <w:rStyle w:val="Hyperlink"/>
          </w:rPr>
          <w:t>“South Carolina Health Insurance Marketplace Guide 2023” via healthinsurance.org. Retrieved February 6, 2023.</w:t>
        </w:r>
      </w:hyperlink>
    </w:p>
    <w:p w14:paraId="1AAEBB27" w14:textId="5CA1EAC0" w:rsidR="007306FE" w:rsidRPr="007306FE" w:rsidRDefault="00000000" w:rsidP="00926EB3">
      <w:pPr>
        <w:pStyle w:val="ListParagraph"/>
        <w:numPr>
          <w:ilvl w:val="0"/>
          <w:numId w:val="210"/>
        </w:numPr>
      </w:pPr>
      <w:hyperlink r:id="rId494" w:history="1">
        <w:r w:rsidR="007306FE" w:rsidRPr="007306FE">
          <w:rPr>
            <w:rStyle w:val="Hyperlink"/>
          </w:rPr>
          <w:t>“South Carolina Health Insurance Marketplace Guide 2023” South Carolina via. healthinsurance.org. Retrieved February 6, 2023.</w:t>
        </w:r>
      </w:hyperlink>
      <w:r w:rsidR="007306FE" w:rsidRPr="007306FE">
        <w:t xml:space="preserve"> </w:t>
      </w:r>
    </w:p>
    <w:p w14:paraId="38485F15" w14:textId="77777777" w:rsidR="007306FE" w:rsidRDefault="007306FE" w:rsidP="00AF05AF"/>
    <w:p w14:paraId="4C05564D" w14:textId="77777777" w:rsidR="00AF05AF" w:rsidRPr="00AF05AF" w:rsidRDefault="00AF05AF" w:rsidP="00AF05AF">
      <w:pPr>
        <w:pStyle w:val="Heading3"/>
      </w:pPr>
      <w:bookmarkStart w:id="1078" w:name="_Toc162267739"/>
      <w:r w:rsidRPr="00AF05AF">
        <w:t>Behavioral Health Capacity in SC</w:t>
      </w:r>
      <w:bookmarkEnd w:id="1078"/>
    </w:p>
    <w:p w14:paraId="17B535D5" w14:textId="11FD23F6" w:rsidR="00AF05AF" w:rsidRPr="00AF05AF" w:rsidRDefault="00AF05AF" w:rsidP="00AF05AF">
      <w:r w:rsidRPr="00AF05AF">
        <w:t xml:space="preserve">In 2021, AHEC’s SCOHW assisted in development of the statewide mental health needs assessment at the request of DHEC’s Office of Primary Care (OPC). The assessment captured feedback from multiple stakeholders on the methods and measures used during the needs assessment, barriers related to access to care, and the distribution of results with both state and federal partners. The SCOHW assessment also analyzed unmet needs, disparities in care and access, as well as healthcare workforce issues that affect access and availability of mental health services across SC. </w:t>
      </w:r>
    </w:p>
    <w:p w14:paraId="5E8EEEBF" w14:textId="77777777" w:rsidR="00AF05AF" w:rsidRDefault="00AF05AF" w:rsidP="00AF05AF"/>
    <w:p w14:paraId="1442534B" w14:textId="77777777" w:rsidR="00AF05AF" w:rsidRDefault="00AF05AF" w:rsidP="00AF05AF">
      <w:r w:rsidRPr="00AF05AF">
        <w:t xml:space="preserve">Below are the key findings from this report: </w:t>
      </w:r>
    </w:p>
    <w:p w14:paraId="46188E70" w14:textId="273E1898" w:rsidR="00AF05AF" w:rsidRDefault="00AF05AF" w:rsidP="00926EB3">
      <w:pPr>
        <w:pStyle w:val="ListParagraph"/>
        <w:numPr>
          <w:ilvl w:val="0"/>
          <w:numId w:val="198"/>
        </w:numPr>
      </w:pPr>
      <w:r w:rsidRPr="00AF05AF">
        <w:t>According to Mental Health America (2021), SC is ranked 45th in the nation on access to mental health care resources across the state, based on indicators such as adults with a mental illness that were uninsured or did not receive treatment, youth with major depression who did not receive mental health services and mental health workforce availability.</w:t>
      </w:r>
    </w:p>
    <w:p w14:paraId="2D0749CD" w14:textId="77777777" w:rsidR="00AF05AF" w:rsidRDefault="00AF05AF" w:rsidP="00926EB3">
      <w:pPr>
        <w:pStyle w:val="ListParagraph"/>
        <w:numPr>
          <w:ilvl w:val="0"/>
          <w:numId w:val="197"/>
        </w:numPr>
      </w:pPr>
      <w:r w:rsidRPr="00AF05AF">
        <w:t>In 2019, there were 694 total psychiatrists, and they were unevenly distributed across the state.</w:t>
      </w:r>
      <w:r w:rsidRPr="00AF05AF">
        <w:br/>
        <w:t>There were no active psychiatrists reporting a primary practice location in 16 counties and half of those were non-metropolitan.</w:t>
      </w:r>
      <w:r w:rsidRPr="00AF05AF">
        <w:tab/>
      </w:r>
      <w:r w:rsidRPr="00AF05AF">
        <w:br/>
        <w:t xml:space="preserve">Three-quarters (74%) of active psychiatrists were in three metropolitan </w:t>
      </w:r>
      <w:r w:rsidRPr="00AF05AF">
        <w:lastRenderedPageBreak/>
        <w:t>counties (Charleston, Richland, and Greenville) where one-quarter (26%) of the state’s population lives.</w:t>
      </w:r>
    </w:p>
    <w:p w14:paraId="4C6A91CB" w14:textId="43AF20A9" w:rsidR="00AF05AF" w:rsidRPr="00AF05AF" w:rsidRDefault="00AF05AF" w:rsidP="00926EB3">
      <w:pPr>
        <w:pStyle w:val="ListParagraph"/>
        <w:numPr>
          <w:ilvl w:val="0"/>
          <w:numId w:val="197"/>
        </w:numPr>
        <w:rPr>
          <w:b/>
          <w:bCs/>
        </w:rPr>
      </w:pPr>
      <w:r w:rsidRPr="00AF05AF">
        <w:t xml:space="preserve">There were 87 child and adolescent psychiatrists for 1,247,839 children aged 0-19. This translates to a statewide ratio of 0.7 child psychiatrists per 10,000 children, or 14,343 children per child psychiatrist. Except for two psychiatrists, most had primary practice locations in metropolitan counties. </w:t>
      </w:r>
    </w:p>
    <w:p w14:paraId="2105CE77" w14:textId="77777777" w:rsidR="00AF05AF" w:rsidRPr="00AF05AF" w:rsidRDefault="00AF05AF" w:rsidP="00AF05AF"/>
    <w:p w14:paraId="2F67F73B" w14:textId="3084C465" w:rsidR="00AF05AF" w:rsidRDefault="00AF05AF" w:rsidP="00AF05AF">
      <w:r w:rsidRPr="00AF05AF">
        <w:t xml:space="preserve">Published in the 2021 SC Health Professions Data Book, the SCOHW found that 13.7% of adults in SC do not have medical insurance, 2.8% are unemployed, 37.7% of households have an income less than $25,000, 43.3% of SC adults possess a high school education or less, and 1,065,536 South Carolinians had full Medicaid benefits (including CHIP recipients). </w:t>
      </w:r>
    </w:p>
    <w:p w14:paraId="48634854" w14:textId="77777777" w:rsidR="00AF05AF" w:rsidRPr="00AF05AF" w:rsidRDefault="00AF05AF" w:rsidP="00AF05AF"/>
    <w:p w14:paraId="42846E25" w14:textId="375959D4" w:rsidR="00AF05AF" w:rsidRPr="00AF05AF" w:rsidRDefault="00AF05AF" w:rsidP="00AF05AF">
      <w:r w:rsidRPr="00AF05AF">
        <w:t xml:space="preserve">The 2022 America’s Health Rankings showed multiple negative behavioral health impacts towards South Carolinians regarding exercise, including those having a dedicated healthcare provider and/or a primary care provider, public health funding, the availability of mental health providers, insufficient sleep, physical inactivity, smoking, non-medical drug use within the past year, teen births, violent crime, experiencing frequent physical and mental distress, being food insecure, having multiple chronic conditions, occupational fatalities, adverse childhood experiences, the high school graduation rate, high-risk HIV behaviors, and premature deaths. Of them all, premature deaths have the most negative impacts. These impacts played a large part in ranking SC as 32nd in Adverse Childhood Experiences and 41st in overall behavioral health including being ranked as 35th in drug deaths, 19th in excessive drinking 40th in frequent mental health distress (having 14 or more poor mental health days in a 30-day period), 39th in past year non-medical drug use, and 27th in suicide. </w:t>
      </w:r>
    </w:p>
    <w:p w14:paraId="14E5834B" w14:textId="77777777" w:rsidR="00AF05AF" w:rsidRDefault="00AF05AF" w:rsidP="00AF05AF"/>
    <w:p w14:paraId="48784EC9" w14:textId="6923B339" w:rsidR="00AF05AF" w:rsidRDefault="00AF05AF" w:rsidP="00AF05AF">
      <w:r w:rsidRPr="00AF05AF">
        <w:t>Data released in the 2023 State of Mental Health in America ranked SC as 44th in Access to Care (</w:t>
      </w:r>
      <w:r w:rsidR="0087480F">
        <w:t>i</w:t>
      </w:r>
      <w:r w:rsidRPr="00AF05AF">
        <w:t xml:space="preserve">.e., access to insurance, access to treatment, quality and cost of insurance, access to special education, and mental health workforce availability) and 41st in Mental Health Workforce Availability with one mental health provider (i.e., psychiatrists, psychologists, licensed clinical social workers, counselors, marriage and family therapists and advanced practice nurses specializing in mental health care) for every 520 individuals. This is considerably higher than the U.S. average of one mental health provider for every 350 individuals. </w:t>
      </w:r>
    </w:p>
    <w:p w14:paraId="3ED7951A" w14:textId="67DDF120" w:rsidR="00AF05AF" w:rsidRPr="00AF05AF" w:rsidRDefault="00AF05AF" w:rsidP="00AF05AF">
      <w:r w:rsidRPr="00AF05AF">
        <w:lastRenderedPageBreak/>
        <w:t xml:space="preserve">There are some things available in SC to aid in providing more accessible behavioral health services for South Carolinians. </w:t>
      </w:r>
    </w:p>
    <w:p w14:paraId="183D2C2F" w14:textId="77777777" w:rsidR="00AF05AF" w:rsidRDefault="00AF05AF" w:rsidP="00AF05AF"/>
    <w:p w14:paraId="6F7FDE09" w14:textId="7C6325EB" w:rsidR="00AF05AF" w:rsidRPr="00AF05AF" w:rsidRDefault="00AF05AF" w:rsidP="00AF05AF">
      <w:r w:rsidRPr="00AF05AF">
        <w:t xml:space="preserve">The SC Department of Mental Health (DMH) has received funding for multiple counties to create the “Highway to Hope” mobile clinics, which offers integrated mental and primary health care to adults and children ages 3 and older. They will accept anyone regardless of insurance status and are a multidisciplinary team including both an adult and child mental health professional, a registered nurse, a nurse practitioner, and will have telehealth access to a psychiatric specialist. </w:t>
      </w:r>
    </w:p>
    <w:p w14:paraId="1775E613" w14:textId="02B29B17" w:rsidR="00AF05AF" w:rsidRPr="00AF05AF" w:rsidRDefault="00AF05AF" w:rsidP="00AF05AF">
      <w:r w:rsidRPr="00AF05AF">
        <w:t xml:space="preserve">An online anonymous mental health screening tool that South Carolinians can use has also been developed between DMH and the SC Department of Alcohol and Other Drug Abuse Services (DAODAS) that will allow someone to dialogue with a professional counselor at their convenience, receive additional information and support about mental health and substance abuse, as well as connect to services if interested. </w:t>
      </w:r>
    </w:p>
    <w:p w14:paraId="473761FA" w14:textId="77777777" w:rsidR="00AF05AF" w:rsidRDefault="00AF05AF" w:rsidP="00AF05AF"/>
    <w:p w14:paraId="21082279" w14:textId="378A6DCA" w:rsidR="00AF05AF" w:rsidRPr="00AF05AF" w:rsidRDefault="00AF05AF" w:rsidP="00AF05AF">
      <w:r w:rsidRPr="00AF05AF">
        <w:t>The DMH’s Office of Suicide Prevention has also implemented the SC’s Communities of Care program where people struggling with self-harm and suicidal thoughts can reach out to friends, family, neighbors, local business owners, etc., that have been trained in trauma-informed suicide prevention strategies and can help connect that person to mental health resources before it is too late.</w:t>
      </w:r>
    </w:p>
    <w:p w14:paraId="501F3EF1" w14:textId="18F4786E" w:rsidR="00AF05AF" w:rsidRPr="00AF05AF" w:rsidRDefault="00AF05AF" w:rsidP="00AF05AF">
      <w:r w:rsidRPr="00AF05AF">
        <w:t xml:space="preserve">Initially funded by the Rural Communities Opioid Response Program (RCORP), local coalitions in Georgetown County, along with multiple state agencies including, but not limited to, SCORH, DHEC, DMH, and DAODAS, are working towards reducing the stigma and shame surrounding mental health, substance use, and recovery with their #OpenADoor campaign. Key stakeholders have been trained in facilitating community conversations to change community perceptions on behavioral health so that those who are suffering feel more open to seeking assistance with problems they may be facing. Ultimately, they hope to have businesses and community members trained to help facilitate individuals seeking additional. </w:t>
      </w:r>
    </w:p>
    <w:p w14:paraId="22A16455" w14:textId="77777777" w:rsidR="00AF05AF" w:rsidRDefault="00AF05AF" w:rsidP="00AF05AF"/>
    <w:p w14:paraId="59BE8C39" w14:textId="54A2C1BD" w:rsidR="00AF05AF" w:rsidRDefault="00AF05AF" w:rsidP="00AF05AF">
      <w:r w:rsidRPr="00AF05AF">
        <w:t xml:space="preserve">BOBC2 (Bringing Our Best Care Consortium), serving Bamberg, Orangeburg, Barnwell, and Calhoun counties, was created to build cooperation, trust, and action among behavioral health providers to improve the lives of residents in these four counties. The consortium strives to strengthen partnerships, increase resource sharing, and bridge gaps to address the behavioral health needs in those </w:t>
      </w:r>
      <w:r w:rsidRPr="00AF05AF">
        <w:lastRenderedPageBreak/>
        <w:t xml:space="preserve">four counties. The consortium is taking pieces from SCORH’s existing behavioral health consortium in Orangeburg County and leveraging the Regional Medical Center’s (RMC) commitment to community partnerships. The core committee consists of representatives from SCORH, the Tri-County Commission on Alcohol and Drug Abuse (TCCADA), RMC, and Orangeburg County. </w:t>
      </w:r>
    </w:p>
    <w:p w14:paraId="0EF1929D" w14:textId="77777777" w:rsidR="00AF05AF" w:rsidRDefault="00AF05AF" w:rsidP="00AF05AF"/>
    <w:p w14:paraId="7ADDF607" w14:textId="431E2678" w:rsidR="00AF05AF" w:rsidRDefault="00AF05AF" w:rsidP="00AF05AF">
      <w:pPr>
        <w:rPr>
          <w:b/>
          <w:bCs/>
        </w:rPr>
      </w:pPr>
      <w:r w:rsidRPr="00AF05AF">
        <w:t>According to the 2021 SC Mental Health Needs Assessment, “continued work is needed to sustain state, public and private partnerships; train, recruit and retain psychiatrists and other mental health providers for rural and underserved practice; and support payment and policy to improve overall mental and physical health outcomes.”</w:t>
      </w:r>
    </w:p>
    <w:p w14:paraId="55360730" w14:textId="77777777" w:rsidR="00C360A7" w:rsidRPr="00AF05AF" w:rsidRDefault="00C360A7" w:rsidP="00AF05AF"/>
    <w:p w14:paraId="5FAFDF52" w14:textId="77777777" w:rsidR="00AF05AF" w:rsidRDefault="00AF05AF" w:rsidP="00AF05AF">
      <w:pPr>
        <w:pStyle w:val="Heading5"/>
      </w:pPr>
      <w:r>
        <w:t>Key Takeaways:</w:t>
      </w:r>
    </w:p>
    <w:p w14:paraId="266EF50E" w14:textId="77777777" w:rsidR="00C360A7" w:rsidRDefault="00AF05AF" w:rsidP="00926EB3">
      <w:pPr>
        <w:pStyle w:val="ListParagraph"/>
        <w:numPr>
          <w:ilvl w:val="0"/>
          <w:numId w:val="207"/>
        </w:numPr>
      </w:pPr>
      <w:r w:rsidRPr="00AF05AF">
        <w:t xml:space="preserve">While access to mental health care appears to be a complex issue, SC does have rich partnerships and multiple stakeholders examining ways to increase access to mental and behavioral health services in the state. </w:t>
      </w:r>
    </w:p>
    <w:p w14:paraId="463463ED" w14:textId="6EDCC498" w:rsidR="00AF05AF" w:rsidRPr="00AF05AF" w:rsidRDefault="00AF05AF" w:rsidP="00926EB3">
      <w:pPr>
        <w:pStyle w:val="ListParagraph"/>
        <w:numPr>
          <w:ilvl w:val="0"/>
          <w:numId w:val="207"/>
        </w:numPr>
      </w:pPr>
      <w:r w:rsidRPr="00AF05AF">
        <w:t xml:space="preserve">However, our biggest barrier continues to be our workforce availability statewide. </w:t>
      </w:r>
    </w:p>
    <w:p w14:paraId="60A72F1F" w14:textId="77777777" w:rsidR="00C360A7" w:rsidRDefault="00C360A7" w:rsidP="00C360A7">
      <w:pPr>
        <w:pStyle w:val="Heading4"/>
        <w:rPr>
          <w:rFonts w:asciiTheme="minorHAnsi" w:hAnsiTheme="minorHAnsi" w:cstheme="minorHAnsi"/>
          <w:color w:val="000000" w:themeColor="text1"/>
        </w:rPr>
      </w:pPr>
    </w:p>
    <w:p w14:paraId="5B4A8CAF" w14:textId="6F53120A" w:rsidR="00C360A7" w:rsidRPr="00474B85" w:rsidRDefault="00C360A7" w:rsidP="00C360A7">
      <w:pPr>
        <w:pStyle w:val="Heading4"/>
        <w:rPr>
          <w:rFonts w:asciiTheme="minorHAnsi" w:hAnsiTheme="minorHAnsi" w:cstheme="minorHAnsi"/>
          <w:color w:val="000000" w:themeColor="text1"/>
        </w:rPr>
      </w:pPr>
      <w:bookmarkStart w:id="1079" w:name="_Toc162267740"/>
      <w:r w:rsidRPr="00474B85">
        <w:rPr>
          <w:rFonts w:asciiTheme="minorHAnsi" w:hAnsiTheme="minorHAnsi" w:cstheme="minorHAnsi"/>
          <w:color w:val="000000" w:themeColor="text1"/>
        </w:rPr>
        <w:t xml:space="preserve">References </w:t>
      </w:r>
      <w:r>
        <w:rPr>
          <w:rFonts w:asciiTheme="minorHAnsi" w:hAnsiTheme="minorHAnsi" w:cstheme="minorHAnsi"/>
          <w:color w:val="000000" w:themeColor="text1"/>
        </w:rPr>
        <w:t>11.5</w:t>
      </w:r>
      <w:bookmarkEnd w:id="1079"/>
    </w:p>
    <w:p w14:paraId="56040F55" w14:textId="77777777" w:rsidR="00C360A7" w:rsidRDefault="00C360A7" w:rsidP="00C360A7">
      <w:r w:rsidRPr="00474B85">
        <w:t>Statistics in the preceding section were referenced from the following reports:</w:t>
      </w:r>
    </w:p>
    <w:p w14:paraId="62814973" w14:textId="3293FF79" w:rsidR="007306FE" w:rsidRPr="007306FE" w:rsidRDefault="007306FE" w:rsidP="00926EB3">
      <w:pPr>
        <w:pStyle w:val="ListParagraph"/>
        <w:numPr>
          <w:ilvl w:val="0"/>
          <w:numId w:val="210"/>
        </w:numPr>
      </w:pPr>
      <w:r w:rsidRPr="007306FE">
        <w:t>Mental Health Needs Assessment, South Carolina, 2021</w:t>
      </w:r>
      <w:r>
        <w:t>. No hyperlink.</w:t>
      </w:r>
    </w:p>
    <w:p w14:paraId="14EBBB37" w14:textId="6CF299CF" w:rsidR="007306FE" w:rsidRPr="007306FE" w:rsidRDefault="007306FE" w:rsidP="00926EB3">
      <w:pPr>
        <w:pStyle w:val="ListParagraph"/>
        <w:numPr>
          <w:ilvl w:val="0"/>
          <w:numId w:val="210"/>
        </w:numPr>
      </w:pPr>
      <w:r w:rsidRPr="007306FE">
        <w:t>2021 South Carolina Health Professions Data Book, 2021</w:t>
      </w:r>
      <w:r>
        <w:t>. No hyperlink.</w:t>
      </w:r>
    </w:p>
    <w:p w14:paraId="3279D8D1" w14:textId="7FB992B6" w:rsidR="007306FE" w:rsidRPr="007306FE" w:rsidRDefault="00000000" w:rsidP="00926EB3">
      <w:pPr>
        <w:pStyle w:val="ListParagraph"/>
        <w:numPr>
          <w:ilvl w:val="0"/>
          <w:numId w:val="210"/>
        </w:numPr>
      </w:pPr>
      <w:hyperlink r:id="rId495" w:history="1">
        <w:r w:rsidR="007306FE" w:rsidRPr="007306FE">
          <w:rPr>
            <w:rStyle w:val="Hyperlink"/>
          </w:rPr>
          <w:t>Retrieved from America’s Health Rankings - Summary of South Carolina.</w:t>
        </w:r>
      </w:hyperlink>
    </w:p>
    <w:p w14:paraId="077F875F" w14:textId="369E0782" w:rsidR="007306FE" w:rsidRPr="007306FE" w:rsidRDefault="00000000" w:rsidP="00926EB3">
      <w:pPr>
        <w:pStyle w:val="ListParagraph"/>
        <w:numPr>
          <w:ilvl w:val="0"/>
          <w:numId w:val="210"/>
        </w:numPr>
      </w:pPr>
      <w:hyperlink r:id="rId496" w:history="1">
        <w:r w:rsidR="007306FE" w:rsidRPr="007306FE">
          <w:rPr>
            <w:rStyle w:val="Hyperlink"/>
          </w:rPr>
          <w:t>“The State of Mental Health in America 2023” published by Mental Health America, Alexandria VA.</w:t>
        </w:r>
      </w:hyperlink>
      <w:r w:rsidR="007306FE" w:rsidRPr="007306FE">
        <w:t xml:space="preserve"> </w:t>
      </w:r>
    </w:p>
    <w:p w14:paraId="4278F8E4" w14:textId="556DA82A" w:rsidR="007306FE" w:rsidRPr="007306FE" w:rsidRDefault="00000000" w:rsidP="00926EB3">
      <w:pPr>
        <w:pStyle w:val="ListParagraph"/>
        <w:numPr>
          <w:ilvl w:val="0"/>
          <w:numId w:val="210"/>
        </w:numPr>
        <w:rPr>
          <w:u w:val="thick"/>
        </w:rPr>
      </w:pPr>
      <w:hyperlink r:id="rId497" w:history="1">
        <w:r w:rsidR="007306FE" w:rsidRPr="007306FE">
          <w:rPr>
            <w:rStyle w:val="Hyperlink"/>
          </w:rPr>
          <w:t>Retrieved from SAMHSA - SC Discretionary Funding Fiscal Year 2020.</w:t>
        </w:r>
      </w:hyperlink>
    </w:p>
    <w:p w14:paraId="35F11134" w14:textId="406B587A" w:rsidR="007306FE" w:rsidRPr="007306FE" w:rsidRDefault="00000000" w:rsidP="00926EB3">
      <w:pPr>
        <w:pStyle w:val="ListParagraph"/>
        <w:numPr>
          <w:ilvl w:val="0"/>
          <w:numId w:val="210"/>
        </w:numPr>
      </w:pPr>
      <w:hyperlink r:id="rId498" w:history="1">
        <w:r w:rsidR="007306FE" w:rsidRPr="007306FE">
          <w:rPr>
            <w:rStyle w:val="Hyperlink"/>
          </w:rPr>
          <w:t xml:space="preserve">Retrieved from Hope Connects You Self Check </w:t>
        </w:r>
        <w:r w:rsidR="005476B7" w:rsidRPr="007306FE">
          <w:rPr>
            <w:rStyle w:val="Hyperlink"/>
          </w:rPr>
          <w:t>Questionnaire</w:t>
        </w:r>
        <w:r w:rsidR="007306FE" w:rsidRPr="007306FE">
          <w:rPr>
            <w:rStyle w:val="Hyperlink"/>
          </w:rPr>
          <w:t>, 2023.</w:t>
        </w:r>
      </w:hyperlink>
      <w:r w:rsidR="007306FE" w:rsidRPr="007306FE">
        <w:t xml:space="preserve"> </w:t>
      </w:r>
    </w:p>
    <w:p w14:paraId="7C2DD194" w14:textId="0D156D13" w:rsidR="007306FE" w:rsidRPr="007306FE" w:rsidRDefault="00000000" w:rsidP="00926EB3">
      <w:pPr>
        <w:pStyle w:val="ListParagraph"/>
        <w:numPr>
          <w:ilvl w:val="0"/>
          <w:numId w:val="210"/>
        </w:numPr>
      </w:pPr>
      <w:hyperlink r:id="rId499" w:history="1">
        <w:r w:rsidR="007306FE" w:rsidRPr="007306FE">
          <w:rPr>
            <w:rStyle w:val="Hyperlink"/>
          </w:rPr>
          <w:t>Retrieved from SCDMH - Communities of Care, 2020.</w:t>
        </w:r>
      </w:hyperlink>
      <w:r w:rsidR="007306FE" w:rsidRPr="007306FE">
        <w:t xml:space="preserve"> </w:t>
      </w:r>
    </w:p>
    <w:p w14:paraId="04CE04DE" w14:textId="77B7B0E1" w:rsidR="007306FE" w:rsidRPr="007306FE" w:rsidRDefault="00000000" w:rsidP="00926EB3">
      <w:pPr>
        <w:pStyle w:val="ListParagraph"/>
        <w:numPr>
          <w:ilvl w:val="0"/>
          <w:numId w:val="210"/>
        </w:numPr>
        <w:rPr>
          <w:u w:val="thick"/>
        </w:rPr>
      </w:pPr>
      <w:hyperlink r:id="rId500" w:history="1">
        <w:r w:rsidR="007306FE" w:rsidRPr="007306FE">
          <w:rPr>
            <w:rStyle w:val="Hyperlink"/>
          </w:rPr>
          <w:t>Retrieved from RCORP-TA - South Carolina Office of Rural Health.</w:t>
        </w:r>
      </w:hyperlink>
    </w:p>
    <w:p w14:paraId="6E9D73EA" w14:textId="79E67D8E" w:rsidR="007306FE" w:rsidRPr="007306FE" w:rsidRDefault="00000000" w:rsidP="00926EB3">
      <w:pPr>
        <w:pStyle w:val="ListParagraph"/>
        <w:numPr>
          <w:ilvl w:val="0"/>
          <w:numId w:val="210"/>
        </w:numPr>
      </w:pPr>
      <w:hyperlink r:id="rId501" w:history="1">
        <w:r w:rsidR="007306FE" w:rsidRPr="007306FE">
          <w:rPr>
            <w:rStyle w:val="Hyperlink"/>
          </w:rPr>
          <w:t>Retrieved from South Carolina Office of Rural Health - BOBC2.</w:t>
        </w:r>
      </w:hyperlink>
      <w:r w:rsidR="007306FE" w:rsidRPr="007306FE">
        <w:t xml:space="preserve"> </w:t>
      </w:r>
    </w:p>
    <w:p w14:paraId="141C08FC" w14:textId="1FA1C74A" w:rsidR="00C360A7" w:rsidRPr="007306FE" w:rsidRDefault="007306FE" w:rsidP="00926EB3">
      <w:pPr>
        <w:pStyle w:val="ListParagraph"/>
        <w:numPr>
          <w:ilvl w:val="0"/>
          <w:numId w:val="210"/>
        </w:numPr>
      </w:pPr>
      <w:r w:rsidRPr="007306FE">
        <w:t>Mental Health Needs Assessment, South Carolina, 2021.</w:t>
      </w:r>
      <w:r>
        <w:t xml:space="preserve"> No hyperlink.</w:t>
      </w:r>
    </w:p>
    <w:p w14:paraId="37D08D6F" w14:textId="77777777" w:rsidR="007306FE" w:rsidRPr="00C360A7" w:rsidRDefault="007306FE" w:rsidP="007306FE"/>
    <w:p w14:paraId="1D6D40AA" w14:textId="6393BE2F" w:rsidR="00AF05AF" w:rsidRPr="00AF05AF" w:rsidRDefault="00AF05AF" w:rsidP="00AF05AF">
      <w:pPr>
        <w:pStyle w:val="Heading3"/>
      </w:pPr>
      <w:bookmarkStart w:id="1080" w:name="_Toc162267741"/>
      <w:r w:rsidRPr="00AF05AF">
        <w:lastRenderedPageBreak/>
        <w:t>Public Health Capacity Through Engagement and Partnerships</w:t>
      </w:r>
      <w:bookmarkEnd w:id="1080"/>
    </w:p>
    <w:p w14:paraId="7BF1E84A" w14:textId="77777777" w:rsidR="00AF05AF" w:rsidRPr="00AF05AF" w:rsidRDefault="00AF05AF" w:rsidP="00AF05AF">
      <w:pPr>
        <w:pStyle w:val="Heading4"/>
      </w:pPr>
      <w:bookmarkStart w:id="1081" w:name="_Toc162267742"/>
      <w:r w:rsidRPr="00AF05AF">
        <w:t>Capacity through State-level Engagement and Partnerships</w:t>
      </w:r>
      <w:bookmarkEnd w:id="1081"/>
    </w:p>
    <w:p w14:paraId="1B456E22" w14:textId="77777777" w:rsidR="00AF05AF" w:rsidRPr="00AF05AF" w:rsidRDefault="00AF05AF" w:rsidP="00AF05AF">
      <w:r w:rsidRPr="00AF05AF">
        <w:t>Many of the partners mentioned throughout this assessment collaborate statewide to impact the health of South Carolinians. These partnerships enhance the capacity of the state to attract funding and evaluate initiatives and their impact on community health. They also allow the state to assess challenging social and health issues using the collective impact model whereby diverse partners collaborate to maximize their resources towards shared goals and objectives. Partnerships are crucial in public health as many issues are multifaceted and require a variety of knowledge, skills, and expertise. Multi-sector and statewide collaboration is essential to implement evidence-based health policies, environmental interventions, and systems approaches that address social determinants of health for major chronic diseases. For instance, tobacco cessation programs alone are insufficient to tackle the issues of cancer, heart, or lung disease; it requires simultaneous efforts in several areas such as the promotion of healthy eating and active living strategies and policy, systems, and environmental changes to have a sustainable impact. Partnerships and engagement between state-level and local agencies can build trust and empower local communities to secure funding and resources to build long-term, sustainable policies, programs, and initiatives.</w:t>
      </w:r>
    </w:p>
    <w:p w14:paraId="024423AC" w14:textId="77777777" w:rsidR="00AF05AF" w:rsidRDefault="00AF05AF" w:rsidP="00AF05AF"/>
    <w:p w14:paraId="62CE0424" w14:textId="77777777" w:rsidR="00AF05AF" w:rsidRPr="00AF05AF" w:rsidRDefault="00AF05AF" w:rsidP="00AF05AF">
      <w:pPr>
        <w:pStyle w:val="Heading4"/>
      </w:pPr>
      <w:bookmarkStart w:id="1082" w:name="_Toc162267743"/>
      <w:r w:rsidRPr="00AF05AF">
        <w:t>Capacity through Local Level Engagement and Partnerships</w:t>
      </w:r>
      <w:bookmarkEnd w:id="1082"/>
      <w:r w:rsidRPr="00AF05AF">
        <w:t xml:space="preserve"> </w:t>
      </w:r>
    </w:p>
    <w:p w14:paraId="7C61AC3F" w14:textId="199F938F" w:rsidR="00AF05AF" w:rsidRPr="00AF05AF" w:rsidRDefault="00AF05AF" w:rsidP="00AF05AF">
      <w:r w:rsidRPr="00AF05AF">
        <w:t xml:space="preserve">Partnerships and engagement on a local level are </w:t>
      </w:r>
      <w:proofErr w:type="gramStart"/>
      <w:r w:rsidRPr="00AF05AF">
        <w:t>similar to</w:t>
      </w:r>
      <w:proofErr w:type="gramEnd"/>
      <w:r w:rsidRPr="00AF05AF">
        <w:t xml:space="preserve"> those on a state level but occur on a more granular scale and concentrate on community opportunities, priorities, and initiatives. Many of these partnerships function as coalitions that assess and focus on specific health priorities, such as chronic disease, HIV, STIs, maternal and child health issues, and tobacco and substance misuse. These coalitions include healthcare systems, schools, Federally Qualified Health Centers, hospitals, behavioral health agencies, DHEC county offices, city and county planning and development offices, colleges and universities, faith communities, community advocates and leaders, and many more. Additionally, efforts on this level often bring nontraditional partners, like law enforcement, businesses, and members of the affected populations, to the table to assist in addressing the health of their communities. Many of these communities across South Carolina have participated in a local community health assessment (CHA) and community health improvement plan (CHIP) </w:t>
      </w:r>
      <w:proofErr w:type="gramStart"/>
      <w:r w:rsidRPr="00AF05AF">
        <w:t>similar to</w:t>
      </w:r>
      <w:proofErr w:type="gramEnd"/>
      <w:r w:rsidRPr="00AF05AF">
        <w:t xml:space="preserve"> SHA and SHIP. This comprehensive assessment and priority process allows communities to identify their health </w:t>
      </w:r>
      <w:r w:rsidRPr="00AF05AF">
        <w:lastRenderedPageBreak/>
        <w:t xml:space="preserve">priorities and more effectively target their efforts. Priorities defined in the local CHA and CHIP are also captured in the state-level SHA and SHIP to assure that local community voices are heard and considered in state-level planning and promotion. </w:t>
      </w:r>
    </w:p>
    <w:p w14:paraId="796F7838" w14:textId="77777777" w:rsidR="00AF05AF" w:rsidRDefault="00AF05AF" w:rsidP="00AF05AF"/>
    <w:p w14:paraId="49836820" w14:textId="77777777" w:rsidR="00AF05AF" w:rsidRDefault="00AF05AF" w:rsidP="00AF05AF">
      <w:r w:rsidRPr="00AF05AF">
        <w:t xml:space="preserve">The COVID-19 pandemic exposed many complex challenges to public health systems. The engagement and partnerships that occur on the state and local level facilitate implementation of the collective impact model to thoroughly address these challenges and improve the lives of South Carolinians. In public health, change is slow, and results are slower, which is why it is crucial that engagement efforts are sustainable, and partners are committed long-term. </w:t>
      </w:r>
    </w:p>
    <w:p w14:paraId="63535BE4" w14:textId="77777777" w:rsidR="00AF05AF" w:rsidRDefault="00AF05AF" w:rsidP="00AF05AF"/>
    <w:p w14:paraId="1C4DECD4" w14:textId="77777777" w:rsidR="00AF05AF" w:rsidRPr="00AF05AF" w:rsidRDefault="00AF05AF" w:rsidP="00AF05AF">
      <w:pPr>
        <w:pStyle w:val="Heading5"/>
      </w:pPr>
      <w:r w:rsidRPr="00AF05AF">
        <w:t xml:space="preserve">Key Takeaways: </w:t>
      </w:r>
    </w:p>
    <w:p w14:paraId="247B088A" w14:textId="63ADFD23" w:rsidR="00AF05AF" w:rsidRDefault="00AF05AF" w:rsidP="00926EB3">
      <w:pPr>
        <w:pStyle w:val="ListParagraph"/>
        <w:numPr>
          <w:ilvl w:val="0"/>
          <w:numId w:val="208"/>
        </w:numPr>
      </w:pPr>
      <w:r w:rsidRPr="00AF05AF">
        <w:t xml:space="preserve">These efforts and partners will enhance public health systems to address issues </w:t>
      </w:r>
      <w:r w:rsidR="0087480F">
        <w:t>in a timely manner</w:t>
      </w:r>
      <w:r w:rsidRPr="00AF05AF">
        <w:t>, identify upstream causes, and provide lasting solutions that support healthy, sustainable behaviors and environments.</w:t>
      </w:r>
    </w:p>
    <w:p w14:paraId="03C049CA" w14:textId="77777777" w:rsidR="00AF05AF" w:rsidRDefault="00AF05AF" w:rsidP="00AF05AF"/>
    <w:p w14:paraId="37504B6D" w14:textId="77777777" w:rsidR="00AF05AF" w:rsidRPr="00AF05AF" w:rsidRDefault="00AF05AF" w:rsidP="00AF05AF"/>
    <w:p w14:paraId="73DF96E8" w14:textId="77ABFE76" w:rsidR="00A65BE2" w:rsidRDefault="00A65BE2" w:rsidP="00AF05AF">
      <w:pPr>
        <w:rPr>
          <w:sz w:val="40"/>
          <w:szCs w:val="26"/>
        </w:rPr>
      </w:pPr>
      <w:r>
        <w:br w:type="page"/>
      </w:r>
    </w:p>
    <w:p w14:paraId="016668D9" w14:textId="5DED4E3E" w:rsidR="00544798" w:rsidRDefault="00544798" w:rsidP="00544798">
      <w:pPr>
        <w:pStyle w:val="Heading2"/>
      </w:pPr>
      <w:bookmarkStart w:id="1083" w:name="_Toc162267744"/>
      <w:r>
        <w:lastRenderedPageBreak/>
        <w:t>Appendices</w:t>
      </w:r>
      <w:bookmarkEnd w:id="1054"/>
      <w:bookmarkEnd w:id="1083"/>
    </w:p>
    <w:p w14:paraId="50D101A8" w14:textId="77777777" w:rsidR="00544798" w:rsidRDefault="00544798" w:rsidP="00544798">
      <w:pPr>
        <w:pStyle w:val="Heading3"/>
      </w:pPr>
      <w:bookmarkStart w:id="1084" w:name="_Toc154569715"/>
      <w:bookmarkStart w:id="1085" w:name="_Toc162267745"/>
      <w:r>
        <w:t>Appendix A: Alliance Member Directory</w:t>
      </w:r>
      <w:bookmarkEnd w:id="1084"/>
      <w:bookmarkEnd w:id="1085"/>
    </w:p>
    <w:p w14:paraId="7D39660A" w14:textId="77777777" w:rsidR="00544798" w:rsidRPr="00162D24" w:rsidRDefault="00000000" w:rsidP="00926EB3">
      <w:pPr>
        <w:pStyle w:val="ListParagraph"/>
        <w:numPr>
          <w:ilvl w:val="0"/>
          <w:numId w:val="56"/>
        </w:numPr>
        <w:rPr>
          <w:u w:val="thick"/>
        </w:rPr>
      </w:pPr>
      <w:hyperlink r:id="rId502" w:history="1">
        <w:r w:rsidR="00544798" w:rsidRPr="00162D24">
          <w:rPr>
            <w:rStyle w:val="Hyperlink"/>
          </w:rPr>
          <w:t>Able South Carolina</w:t>
        </w:r>
      </w:hyperlink>
    </w:p>
    <w:p w14:paraId="1E0C9B66" w14:textId="77777777" w:rsidR="00544798" w:rsidRPr="00162D24" w:rsidRDefault="00000000" w:rsidP="00926EB3">
      <w:pPr>
        <w:pStyle w:val="ListParagraph"/>
        <w:numPr>
          <w:ilvl w:val="0"/>
          <w:numId w:val="56"/>
        </w:numPr>
        <w:rPr>
          <w:u w:val="thick"/>
        </w:rPr>
      </w:pPr>
      <w:hyperlink r:id="rId503" w:history="1">
        <w:proofErr w:type="spellStart"/>
        <w:r w:rsidR="00544798" w:rsidRPr="00162D24">
          <w:rPr>
            <w:rStyle w:val="Hyperlink"/>
          </w:rPr>
          <w:t>AccessHealth</w:t>
        </w:r>
        <w:proofErr w:type="spellEnd"/>
        <w:r w:rsidR="00544798" w:rsidRPr="00162D24">
          <w:rPr>
            <w:rStyle w:val="Hyperlink"/>
          </w:rPr>
          <w:t xml:space="preserve"> SC</w:t>
        </w:r>
      </w:hyperlink>
    </w:p>
    <w:p w14:paraId="64B26501" w14:textId="77777777" w:rsidR="00544798" w:rsidRPr="00162D24" w:rsidRDefault="00000000" w:rsidP="00926EB3">
      <w:pPr>
        <w:pStyle w:val="ListParagraph"/>
        <w:numPr>
          <w:ilvl w:val="0"/>
          <w:numId w:val="56"/>
        </w:numPr>
        <w:rPr>
          <w:u w:val="thick"/>
        </w:rPr>
      </w:pPr>
      <w:hyperlink r:id="rId504" w:history="1">
        <w:proofErr w:type="spellStart"/>
        <w:r w:rsidR="00544798" w:rsidRPr="00162D24">
          <w:rPr>
            <w:rStyle w:val="Hyperlink"/>
          </w:rPr>
          <w:t>AnMed</w:t>
        </w:r>
        <w:proofErr w:type="spellEnd"/>
        <w:r w:rsidR="00544798" w:rsidRPr="00162D24">
          <w:rPr>
            <w:rStyle w:val="Hyperlink"/>
          </w:rPr>
          <w:t xml:space="preserve"> Health</w:t>
        </w:r>
      </w:hyperlink>
    </w:p>
    <w:p w14:paraId="2AD9C61C" w14:textId="77777777" w:rsidR="00544798" w:rsidRPr="00162D24" w:rsidRDefault="00000000" w:rsidP="00926EB3">
      <w:pPr>
        <w:pStyle w:val="ListParagraph"/>
        <w:numPr>
          <w:ilvl w:val="0"/>
          <w:numId w:val="56"/>
        </w:numPr>
        <w:rPr>
          <w:u w:val="thick"/>
        </w:rPr>
      </w:pPr>
      <w:hyperlink r:id="rId505" w:history="1">
        <w:r w:rsidR="00544798" w:rsidRPr="00162D24">
          <w:rPr>
            <w:rStyle w:val="Hyperlink"/>
          </w:rPr>
          <w:t>AstraZeneca</w:t>
        </w:r>
      </w:hyperlink>
      <w:r w:rsidR="00544798" w:rsidRPr="00162D24">
        <w:t xml:space="preserve"> </w:t>
      </w:r>
    </w:p>
    <w:p w14:paraId="7F91E57A" w14:textId="77777777" w:rsidR="00544798" w:rsidRPr="00162D24" w:rsidRDefault="00000000" w:rsidP="00926EB3">
      <w:pPr>
        <w:pStyle w:val="ListParagraph"/>
        <w:numPr>
          <w:ilvl w:val="0"/>
          <w:numId w:val="56"/>
        </w:numPr>
        <w:rPr>
          <w:u w:val="thick"/>
        </w:rPr>
      </w:pPr>
      <w:hyperlink r:id="rId506" w:history="1">
        <w:r w:rsidR="00544798" w:rsidRPr="00162D24">
          <w:rPr>
            <w:rStyle w:val="Hyperlink"/>
          </w:rPr>
          <w:t>Atrium Health</w:t>
        </w:r>
      </w:hyperlink>
    </w:p>
    <w:p w14:paraId="1B1D7A33" w14:textId="77777777" w:rsidR="00544798" w:rsidRPr="00162D24" w:rsidRDefault="00000000" w:rsidP="00926EB3">
      <w:pPr>
        <w:pStyle w:val="ListParagraph"/>
        <w:numPr>
          <w:ilvl w:val="0"/>
          <w:numId w:val="56"/>
        </w:numPr>
        <w:rPr>
          <w:u w:val="thick"/>
        </w:rPr>
      </w:pPr>
      <w:hyperlink r:id="rId507" w:history="1">
        <w:r w:rsidR="00544798" w:rsidRPr="00162D24">
          <w:rPr>
            <w:rStyle w:val="Hyperlink"/>
          </w:rPr>
          <w:t>Benefits Data Trust</w:t>
        </w:r>
      </w:hyperlink>
    </w:p>
    <w:p w14:paraId="54E5BA30" w14:textId="77777777" w:rsidR="00544798" w:rsidRPr="00162D24" w:rsidRDefault="00000000" w:rsidP="00926EB3">
      <w:pPr>
        <w:pStyle w:val="ListParagraph"/>
        <w:numPr>
          <w:ilvl w:val="0"/>
          <w:numId w:val="56"/>
        </w:numPr>
        <w:rPr>
          <w:u w:val="thick"/>
        </w:rPr>
      </w:pPr>
      <w:hyperlink r:id="rId508" w:history="1">
        <w:r w:rsidR="00544798" w:rsidRPr="00162D24">
          <w:rPr>
            <w:rStyle w:val="Hyperlink"/>
          </w:rPr>
          <w:t>BlueCross BlueShield of SC Foundation</w:t>
        </w:r>
      </w:hyperlink>
    </w:p>
    <w:p w14:paraId="0C249E1B" w14:textId="77777777" w:rsidR="00544798" w:rsidRPr="00162D24" w:rsidRDefault="00000000" w:rsidP="00926EB3">
      <w:pPr>
        <w:pStyle w:val="ListParagraph"/>
        <w:numPr>
          <w:ilvl w:val="0"/>
          <w:numId w:val="56"/>
        </w:numPr>
        <w:rPr>
          <w:u w:val="thick"/>
        </w:rPr>
      </w:pPr>
      <w:hyperlink r:id="rId509" w:history="1">
        <w:r w:rsidR="00544798" w:rsidRPr="00162D24">
          <w:rPr>
            <w:rStyle w:val="Hyperlink"/>
          </w:rPr>
          <w:t>BlueCross BlueShield South Carolina</w:t>
        </w:r>
      </w:hyperlink>
    </w:p>
    <w:p w14:paraId="73D21D0A" w14:textId="77777777" w:rsidR="00544798" w:rsidRPr="00162D24" w:rsidRDefault="00000000" w:rsidP="00926EB3">
      <w:pPr>
        <w:pStyle w:val="ListParagraph"/>
        <w:numPr>
          <w:ilvl w:val="0"/>
          <w:numId w:val="56"/>
        </w:numPr>
        <w:rPr>
          <w:u w:val="thick"/>
        </w:rPr>
      </w:pPr>
      <w:hyperlink r:id="rId510" w:history="1">
        <w:r w:rsidR="00544798" w:rsidRPr="00162D24">
          <w:rPr>
            <w:rStyle w:val="Hyperlink"/>
          </w:rPr>
          <w:t>Bon Secours St. Francis Health System, Inc</w:t>
        </w:r>
      </w:hyperlink>
    </w:p>
    <w:p w14:paraId="5EB1016A" w14:textId="77777777" w:rsidR="00544798" w:rsidRPr="00162D24" w:rsidRDefault="00000000" w:rsidP="00926EB3">
      <w:pPr>
        <w:pStyle w:val="ListParagraph"/>
        <w:numPr>
          <w:ilvl w:val="0"/>
          <w:numId w:val="56"/>
        </w:numPr>
        <w:rPr>
          <w:u w:val="thick"/>
        </w:rPr>
      </w:pPr>
      <w:hyperlink r:id="rId511" w:history="1">
        <w:r w:rsidR="00544798" w:rsidRPr="00162D24">
          <w:rPr>
            <w:rStyle w:val="Hyperlink"/>
          </w:rPr>
          <w:t>Centene of South Carolina</w:t>
        </w:r>
      </w:hyperlink>
    </w:p>
    <w:p w14:paraId="47903838" w14:textId="77777777" w:rsidR="00544798" w:rsidRPr="00162D24" w:rsidRDefault="00000000" w:rsidP="00926EB3">
      <w:pPr>
        <w:pStyle w:val="ListParagraph"/>
        <w:numPr>
          <w:ilvl w:val="0"/>
          <w:numId w:val="56"/>
        </w:numPr>
        <w:rPr>
          <w:u w:val="thick"/>
        </w:rPr>
      </w:pPr>
      <w:hyperlink r:id="rId512" w:history="1">
        <w:r w:rsidR="00544798" w:rsidRPr="00162D24">
          <w:rPr>
            <w:rStyle w:val="Hyperlink"/>
          </w:rPr>
          <w:t>Center for Applied Research and Evaluation</w:t>
        </w:r>
      </w:hyperlink>
    </w:p>
    <w:p w14:paraId="02C987BA" w14:textId="77777777" w:rsidR="00544798" w:rsidRPr="00162D24" w:rsidRDefault="00000000" w:rsidP="00926EB3">
      <w:pPr>
        <w:pStyle w:val="ListParagraph"/>
        <w:numPr>
          <w:ilvl w:val="0"/>
          <w:numId w:val="56"/>
        </w:numPr>
        <w:rPr>
          <w:u w:val="thick"/>
        </w:rPr>
      </w:pPr>
      <w:hyperlink r:id="rId513" w:history="1">
        <w:r w:rsidR="00544798" w:rsidRPr="00162D24">
          <w:rPr>
            <w:rStyle w:val="Hyperlink"/>
          </w:rPr>
          <w:t>Center for Community Health Alignment</w:t>
        </w:r>
      </w:hyperlink>
    </w:p>
    <w:p w14:paraId="086893B6" w14:textId="77777777" w:rsidR="00544798" w:rsidRPr="00162D24" w:rsidRDefault="00000000" w:rsidP="00926EB3">
      <w:pPr>
        <w:pStyle w:val="ListParagraph"/>
        <w:numPr>
          <w:ilvl w:val="0"/>
          <w:numId w:val="56"/>
        </w:numPr>
        <w:rPr>
          <w:u w:val="thick"/>
        </w:rPr>
      </w:pPr>
      <w:hyperlink r:id="rId514" w:history="1">
        <w:r w:rsidR="00544798" w:rsidRPr="00162D24">
          <w:rPr>
            <w:rStyle w:val="Hyperlink"/>
          </w:rPr>
          <w:t>Children's Trust of South Carolina</w:t>
        </w:r>
      </w:hyperlink>
    </w:p>
    <w:p w14:paraId="2EF755E2" w14:textId="77777777" w:rsidR="00544798" w:rsidRPr="0087480F" w:rsidRDefault="00000000" w:rsidP="00926EB3">
      <w:pPr>
        <w:pStyle w:val="ListParagraph"/>
        <w:numPr>
          <w:ilvl w:val="0"/>
          <w:numId w:val="56"/>
        </w:numPr>
        <w:rPr>
          <w:rStyle w:val="Hyperlink"/>
          <w:color w:val="auto"/>
          <w:u w:val="thick"/>
        </w:rPr>
      </w:pPr>
      <w:hyperlink r:id="rId515" w:history="1">
        <w:r w:rsidR="00544798" w:rsidRPr="00162D24">
          <w:rPr>
            <w:rStyle w:val="Hyperlink"/>
          </w:rPr>
          <w:t>Clemson Rural Health</w:t>
        </w:r>
      </w:hyperlink>
    </w:p>
    <w:p w14:paraId="2E2BE828" w14:textId="3DF06A7E" w:rsidR="0087480F" w:rsidRPr="0087480F" w:rsidRDefault="00000000" w:rsidP="0087480F">
      <w:pPr>
        <w:pStyle w:val="ListParagraph"/>
        <w:numPr>
          <w:ilvl w:val="0"/>
          <w:numId w:val="56"/>
        </w:numPr>
        <w:rPr>
          <w:u w:val="thick"/>
        </w:rPr>
      </w:pPr>
      <w:hyperlink r:id="rId516" w:history="1">
        <w:r w:rsidR="0087480F">
          <w:rPr>
            <w:rStyle w:val="Hyperlink"/>
          </w:rPr>
          <w:t>Constellation Quality Health</w:t>
        </w:r>
      </w:hyperlink>
    </w:p>
    <w:p w14:paraId="61A68260" w14:textId="303BFA90" w:rsidR="00544798" w:rsidRPr="0087480F" w:rsidRDefault="00544798" w:rsidP="00926EB3">
      <w:pPr>
        <w:pStyle w:val="ListParagraph"/>
        <w:numPr>
          <w:ilvl w:val="0"/>
          <w:numId w:val="56"/>
        </w:numPr>
        <w:rPr>
          <w:rStyle w:val="Hyperlink"/>
          <w:color w:val="auto"/>
          <w:u w:val="thick"/>
        </w:rPr>
      </w:pPr>
      <w:r w:rsidRPr="0087480F">
        <w:t xml:space="preserve">Drs. Bruce &amp; Lee Foundation </w:t>
      </w:r>
    </w:p>
    <w:p w14:paraId="2494BA9A" w14:textId="6E534FD4" w:rsidR="0087480F" w:rsidRPr="00162D24" w:rsidRDefault="00000000" w:rsidP="00926EB3">
      <w:pPr>
        <w:pStyle w:val="ListParagraph"/>
        <w:numPr>
          <w:ilvl w:val="0"/>
          <w:numId w:val="56"/>
        </w:numPr>
        <w:rPr>
          <w:u w:val="thick"/>
        </w:rPr>
      </w:pPr>
      <w:hyperlink r:id="rId517" w:history="1">
        <w:r w:rsidR="0087480F" w:rsidRPr="0087480F">
          <w:rPr>
            <w:rStyle w:val="Hyperlink"/>
          </w:rPr>
          <w:t>Fact Forward</w:t>
        </w:r>
      </w:hyperlink>
    </w:p>
    <w:p w14:paraId="4BE4922D" w14:textId="77777777" w:rsidR="00544798" w:rsidRPr="00162D24" w:rsidRDefault="00000000" w:rsidP="00926EB3">
      <w:pPr>
        <w:pStyle w:val="ListParagraph"/>
        <w:numPr>
          <w:ilvl w:val="0"/>
          <w:numId w:val="56"/>
        </w:numPr>
        <w:rPr>
          <w:u w:val="thick"/>
        </w:rPr>
      </w:pPr>
      <w:hyperlink r:id="rId518" w:history="1">
        <w:r w:rsidR="00544798" w:rsidRPr="00162D24">
          <w:rPr>
            <w:rStyle w:val="Hyperlink"/>
          </w:rPr>
          <w:t>Family Connections of South Carolina</w:t>
        </w:r>
      </w:hyperlink>
    </w:p>
    <w:p w14:paraId="1AC89CCB" w14:textId="77777777" w:rsidR="00544798" w:rsidRPr="00162D24" w:rsidRDefault="00000000" w:rsidP="00926EB3">
      <w:pPr>
        <w:pStyle w:val="ListParagraph"/>
        <w:numPr>
          <w:ilvl w:val="0"/>
          <w:numId w:val="56"/>
        </w:numPr>
        <w:rPr>
          <w:u w:val="thick"/>
        </w:rPr>
      </w:pPr>
      <w:hyperlink r:id="rId519" w:history="1">
        <w:r w:rsidR="00544798" w:rsidRPr="00162D24">
          <w:rPr>
            <w:rStyle w:val="Hyperlink"/>
          </w:rPr>
          <w:t>Furman University Institute for the Advancement of Community Health</w:t>
        </w:r>
      </w:hyperlink>
    </w:p>
    <w:p w14:paraId="1D33E66C" w14:textId="77777777" w:rsidR="00544798" w:rsidRPr="00162D24" w:rsidRDefault="00000000" w:rsidP="00926EB3">
      <w:pPr>
        <w:pStyle w:val="ListParagraph"/>
        <w:numPr>
          <w:ilvl w:val="0"/>
          <w:numId w:val="56"/>
        </w:numPr>
        <w:rPr>
          <w:u w:val="thick"/>
        </w:rPr>
      </w:pPr>
      <w:hyperlink r:id="rId520" w:history="1">
        <w:r w:rsidR="00544798" w:rsidRPr="00162D24">
          <w:rPr>
            <w:rStyle w:val="Hyperlink"/>
          </w:rPr>
          <w:t>Health Sciences South Carolina</w:t>
        </w:r>
      </w:hyperlink>
    </w:p>
    <w:p w14:paraId="6B1B8C6E" w14:textId="77777777" w:rsidR="00544798" w:rsidRPr="00162D24" w:rsidRDefault="00000000" w:rsidP="00926EB3">
      <w:pPr>
        <w:pStyle w:val="ListParagraph"/>
        <w:numPr>
          <w:ilvl w:val="0"/>
          <w:numId w:val="56"/>
        </w:numPr>
        <w:rPr>
          <w:u w:val="thick"/>
        </w:rPr>
      </w:pPr>
      <w:hyperlink r:id="rId521" w:history="1">
        <w:r w:rsidR="00544798" w:rsidRPr="00162D24">
          <w:rPr>
            <w:rStyle w:val="Hyperlink"/>
          </w:rPr>
          <w:t>Humana Healthy Horizons™ in South Carolina</w:t>
        </w:r>
      </w:hyperlink>
    </w:p>
    <w:p w14:paraId="1AE757F1" w14:textId="77777777" w:rsidR="00544798" w:rsidRPr="00162D24" w:rsidRDefault="00000000" w:rsidP="00926EB3">
      <w:pPr>
        <w:pStyle w:val="ListParagraph"/>
        <w:numPr>
          <w:ilvl w:val="0"/>
          <w:numId w:val="56"/>
        </w:numPr>
        <w:rPr>
          <w:u w:val="thick"/>
        </w:rPr>
      </w:pPr>
      <w:hyperlink r:id="rId522" w:history="1">
        <w:r w:rsidR="00544798" w:rsidRPr="00162D24">
          <w:rPr>
            <w:rStyle w:val="Hyperlink"/>
          </w:rPr>
          <w:t>Lexington Medical Center</w:t>
        </w:r>
      </w:hyperlink>
      <w:r w:rsidR="00544798" w:rsidRPr="00162D24">
        <w:t xml:space="preserve"> </w:t>
      </w:r>
    </w:p>
    <w:p w14:paraId="38257552" w14:textId="77777777" w:rsidR="00544798" w:rsidRPr="00162D24" w:rsidRDefault="00000000" w:rsidP="00926EB3">
      <w:pPr>
        <w:pStyle w:val="ListParagraph"/>
        <w:numPr>
          <w:ilvl w:val="0"/>
          <w:numId w:val="56"/>
        </w:numPr>
        <w:rPr>
          <w:u w:val="thick"/>
        </w:rPr>
      </w:pPr>
      <w:hyperlink r:id="rId523" w:history="1">
        <w:r w:rsidR="00544798" w:rsidRPr="00162D24">
          <w:rPr>
            <w:rStyle w:val="Hyperlink"/>
          </w:rPr>
          <w:t>March of Dimes</w:t>
        </w:r>
      </w:hyperlink>
    </w:p>
    <w:p w14:paraId="10128A2F" w14:textId="77777777" w:rsidR="00544798" w:rsidRPr="00162D24" w:rsidRDefault="00000000" w:rsidP="00926EB3">
      <w:pPr>
        <w:pStyle w:val="ListParagraph"/>
        <w:numPr>
          <w:ilvl w:val="0"/>
          <w:numId w:val="56"/>
        </w:numPr>
        <w:rPr>
          <w:u w:val="thick"/>
        </w:rPr>
      </w:pPr>
      <w:hyperlink r:id="rId524" w:history="1">
        <w:r w:rsidR="00544798" w:rsidRPr="00162D24">
          <w:rPr>
            <w:rStyle w:val="Hyperlink"/>
          </w:rPr>
          <w:t>McLeod Health</w:t>
        </w:r>
      </w:hyperlink>
    </w:p>
    <w:p w14:paraId="324BD3D0" w14:textId="77777777" w:rsidR="00544798" w:rsidRPr="00162D24" w:rsidRDefault="00000000" w:rsidP="00926EB3">
      <w:pPr>
        <w:pStyle w:val="ListParagraph"/>
        <w:numPr>
          <w:ilvl w:val="0"/>
          <w:numId w:val="56"/>
        </w:numPr>
        <w:rPr>
          <w:u w:val="thick"/>
        </w:rPr>
      </w:pPr>
      <w:hyperlink r:id="rId525" w:history="1">
        <w:r w:rsidR="00544798" w:rsidRPr="00162D24">
          <w:rPr>
            <w:rStyle w:val="Hyperlink"/>
          </w:rPr>
          <w:t>Medical University of South Carolina</w:t>
        </w:r>
      </w:hyperlink>
      <w:r w:rsidR="00544798" w:rsidRPr="00162D24">
        <w:t xml:space="preserve"> </w:t>
      </w:r>
    </w:p>
    <w:p w14:paraId="2209A8E2" w14:textId="120DD8D1" w:rsidR="00544798" w:rsidRPr="00BE3AB0" w:rsidRDefault="00000000" w:rsidP="00926EB3">
      <w:pPr>
        <w:pStyle w:val="ListParagraph"/>
        <w:numPr>
          <w:ilvl w:val="0"/>
          <w:numId w:val="56"/>
        </w:numPr>
        <w:rPr>
          <w:u w:val="thick"/>
        </w:rPr>
      </w:pPr>
      <w:hyperlink r:id="rId526" w:history="1">
        <w:r w:rsidR="0087480F">
          <w:rPr>
            <w:rStyle w:val="Hyperlink"/>
          </w:rPr>
          <w:t>Molina Healthcare of South Carolina</w:t>
        </w:r>
      </w:hyperlink>
    </w:p>
    <w:p w14:paraId="67A0A32B" w14:textId="77777777" w:rsidR="00544798" w:rsidRPr="00BE3AB0" w:rsidRDefault="00000000" w:rsidP="00926EB3">
      <w:pPr>
        <w:pStyle w:val="ListParagraph"/>
        <w:numPr>
          <w:ilvl w:val="0"/>
          <w:numId w:val="56"/>
        </w:numPr>
        <w:rPr>
          <w:u w:val="thick"/>
        </w:rPr>
      </w:pPr>
      <w:hyperlink r:id="rId527" w:history="1">
        <w:r w:rsidR="00544798" w:rsidRPr="00BE3AB0">
          <w:rPr>
            <w:rStyle w:val="Hyperlink"/>
          </w:rPr>
          <w:t>New Morning Foundation</w:t>
        </w:r>
      </w:hyperlink>
    </w:p>
    <w:p w14:paraId="18A083E3" w14:textId="77777777" w:rsidR="00544798" w:rsidRPr="00BE3AB0" w:rsidRDefault="00000000" w:rsidP="00926EB3">
      <w:pPr>
        <w:pStyle w:val="ListParagraph"/>
        <w:numPr>
          <w:ilvl w:val="0"/>
          <w:numId w:val="56"/>
        </w:numPr>
        <w:rPr>
          <w:u w:val="thick"/>
        </w:rPr>
      </w:pPr>
      <w:hyperlink r:id="rId528" w:history="1">
        <w:r w:rsidR="00544798" w:rsidRPr="00BE3AB0">
          <w:rPr>
            <w:rStyle w:val="Hyperlink"/>
          </w:rPr>
          <w:t>Palmetto Care Connections</w:t>
        </w:r>
      </w:hyperlink>
    </w:p>
    <w:p w14:paraId="60F05815" w14:textId="77777777" w:rsidR="00544798" w:rsidRPr="00BE3AB0" w:rsidRDefault="00000000" w:rsidP="00926EB3">
      <w:pPr>
        <w:pStyle w:val="ListParagraph"/>
        <w:numPr>
          <w:ilvl w:val="0"/>
          <w:numId w:val="56"/>
        </w:numPr>
        <w:rPr>
          <w:u w:val="thick"/>
        </w:rPr>
      </w:pPr>
      <w:hyperlink r:id="rId529" w:history="1">
        <w:r w:rsidR="00544798" w:rsidRPr="00BE3AB0">
          <w:rPr>
            <w:rStyle w:val="Hyperlink"/>
          </w:rPr>
          <w:t>PASOs Programs</w:t>
        </w:r>
      </w:hyperlink>
    </w:p>
    <w:p w14:paraId="7F6FF571" w14:textId="64AB0D62" w:rsidR="00544798" w:rsidRPr="00BE3AB0" w:rsidRDefault="00000000" w:rsidP="00926EB3">
      <w:pPr>
        <w:pStyle w:val="ListParagraph"/>
        <w:numPr>
          <w:ilvl w:val="0"/>
          <w:numId w:val="56"/>
        </w:numPr>
        <w:rPr>
          <w:u w:val="thick"/>
        </w:rPr>
      </w:pPr>
      <w:hyperlink r:id="rId530" w:history="1">
        <w:r w:rsidR="00544798" w:rsidRPr="00BE3AB0">
          <w:rPr>
            <w:rStyle w:val="Hyperlink"/>
          </w:rPr>
          <w:t>Prisma Health</w:t>
        </w:r>
      </w:hyperlink>
    </w:p>
    <w:p w14:paraId="0527EBC3" w14:textId="555B1C05" w:rsidR="00544798" w:rsidRPr="00BE3AB0" w:rsidRDefault="00000000" w:rsidP="00926EB3">
      <w:pPr>
        <w:pStyle w:val="ListParagraph"/>
        <w:numPr>
          <w:ilvl w:val="0"/>
          <w:numId w:val="56"/>
        </w:numPr>
        <w:rPr>
          <w:u w:val="thick"/>
        </w:rPr>
      </w:pPr>
      <w:hyperlink r:id="rId531" w:history="1">
        <w:r w:rsidR="0087480F">
          <w:rPr>
            <w:rStyle w:val="Hyperlink"/>
          </w:rPr>
          <w:t>Roper St. Francis Healthcare</w:t>
        </w:r>
      </w:hyperlink>
      <w:r w:rsidR="00544798" w:rsidRPr="00162D24">
        <w:t xml:space="preserve"> </w:t>
      </w:r>
    </w:p>
    <w:p w14:paraId="678C471E" w14:textId="77777777" w:rsidR="00544798" w:rsidRPr="00BE3AB0" w:rsidRDefault="00000000" w:rsidP="00926EB3">
      <w:pPr>
        <w:pStyle w:val="ListParagraph"/>
        <w:numPr>
          <w:ilvl w:val="0"/>
          <w:numId w:val="56"/>
        </w:numPr>
        <w:rPr>
          <w:u w:val="thick"/>
        </w:rPr>
      </w:pPr>
      <w:hyperlink r:id="rId532" w:history="1">
        <w:r w:rsidR="00544798" w:rsidRPr="00BE3AB0">
          <w:rPr>
            <w:rStyle w:val="Hyperlink"/>
          </w:rPr>
          <w:t>SC Areas Health Education Consortium (SC AHEC)</w:t>
        </w:r>
      </w:hyperlink>
    </w:p>
    <w:p w14:paraId="0B913B58" w14:textId="77777777" w:rsidR="00544798" w:rsidRPr="00BE3AB0" w:rsidRDefault="00000000" w:rsidP="00926EB3">
      <w:pPr>
        <w:pStyle w:val="ListParagraph"/>
        <w:numPr>
          <w:ilvl w:val="0"/>
          <w:numId w:val="56"/>
        </w:numPr>
        <w:rPr>
          <w:u w:val="thick"/>
        </w:rPr>
      </w:pPr>
      <w:hyperlink r:id="rId533" w:history="1">
        <w:r w:rsidR="00544798" w:rsidRPr="00BE3AB0">
          <w:rPr>
            <w:rStyle w:val="Hyperlink"/>
          </w:rPr>
          <w:t>SC Association of Council on Aging Directors</w:t>
        </w:r>
      </w:hyperlink>
    </w:p>
    <w:p w14:paraId="5D9E5298" w14:textId="08082974" w:rsidR="00544798" w:rsidRPr="00BE3AB0" w:rsidRDefault="00000000" w:rsidP="00926EB3">
      <w:pPr>
        <w:pStyle w:val="ListParagraph"/>
        <w:numPr>
          <w:ilvl w:val="0"/>
          <w:numId w:val="56"/>
        </w:numPr>
        <w:rPr>
          <w:u w:val="thick"/>
        </w:rPr>
      </w:pPr>
      <w:hyperlink r:id="rId534" w:history="1">
        <w:r w:rsidR="00544798" w:rsidRPr="00BE3AB0">
          <w:rPr>
            <w:rStyle w:val="Hyperlink"/>
          </w:rPr>
          <w:t>SC Association of Health Underwriters</w:t>
        </w:r>
      </w:hyperlink>
    </w:p>
    <w:p w14:paraId="1DD370D4" w14:textId="1D02CBAC" w:rsidR="00544798" w:rsidRPr="00BE3AB0" w:rsidRDefault="00000000" w:rsidP="00926EB3">
      <w:pPr>
        <w:pStyle w:val="ListParagraph"/>
        <w:numPr>
          <w:ilvl w:val="0"/>
          <w:numId w:val="56"/>
        </w:numPr>
        <w:rPr>
          <w:u w:val="thick"/>
        </w:rPr>
      </w:pPr>
      <w:hyperlink r:id="rId535" w:history="1">
        <w:r w:rsidR="0087480F">
          <w:rPr>
            <w:rStyle w:val="Hyperlink"/>
          </w:rPr>
          <w:t>SC Center for Rural and Primary Healthcare</w:t>
        </w:r>
      </w:hyperlink>
    </w:p>
    <w:p w14:paraId="539C4629" w14:textId="77777777" w:rsidR="00544798" w:rsidRPr="00BE3AB0" w:rsidRDefault="00000000" w:rsidP="00926EB3">
      <w:pPr>
        <w:pStyle w:val="ListParagraph"/>
        <w:numPr>
          <w:ilvl w:val="0"/>
          <w:numId w:val="56"/>
        </w:numPr>
        <w:rPr>
          <w:u w:val="thick"/>
        </w:rPr>
      </w:pPr>
      <w:hyperlink r:id="rId536" w:history="1">
        <w:r w:rsidR="00544798" w:rsidRPr="00BE3AB0">
          <w:rPr>
            <w:rStyle w:val="Hyperlink"/>
          </w:rPr>
          <w:t>SC Community Health Worker Association</w:t>
        </w:r>
      </w:hyperlink>
      <w:r w:rsidR="00544798" w:rsidRPr="00162D24">
        <w:t xml:space="preserve"> </w:t>
      </w:r>
    </w:p>
    <w:p w14:paraId="2D3C883C" w14:textId="77777777" w:rsidR="00544798" w:rsidRPr="00BE3AB0" w:rsidRDefault="00000000" w:rsidP="00926EB3">
      <w:pPr>
        <w:pStyle w:val="ListParagraph"/>
        <w:numPr>
          <w:ilvl w:val="0"/>
          <w:numId w:val="56"/>
        </w:numPr>
        <w:rPr>
          <w:u w:val="thick"/>
        </w:rPr>
      </w:pPr>
      <w:hyperlink r:id="rId537" w:history="1">
        <w:r w:rsidR="00544798" w:rsidRPr="00BE3AB0">
          <w:rPr>
            <w:rStyle w:val="Hyperlink"/>
          </w:rPr>
          <w:t>SC Department of Disabilities and Special Needs</w:t>
        </w:r>
      </w:hyperlink>
    </w:p>
    <w:p w14:paraId="06432A83" w14:textId="77777777" w:rsidR="00544798" w:rsidRPr="00BE3AB0" w:rsidRDefault="00000000" w:rsidP="00926EB3">
      <w:pPr>
        <w:pStyle w:val="ListParagraph"/>
        <w:numPr>
          <w:ilvl w:val="0"/>
          <w:numId w:val="56"/>
        </w:numPr>
        <w:rPr>
          <w:u w:val="thick"/>
        </w:rPr>
      </w:pPr>
      <w:hyperlink r:id="rId538" w:history="1">
        <w:r w:rsidR="00544798" w:rsidRPr="00BE3AB0">
          <w:rPr>
            <w:rStyle w:val="Hyperlink"/>
          </w:rPr>
          <w:t>SC Department of Health and Environmental Control</w:t>
        </w:r>
      </w:hyperlink>
      <w:r w:rsidR="00544798" w:rsidRPr="00162D24">
        <w:t xml:space="preserve"> </w:t>
      </w:r>
    </w:p>
    <w:p w14:paraId="59C2865B" w14:textId="77777777" w:rsidR="00544798" w:rsidRPr="00BE3AB0" w:rsidRDefault="00000000" w:rsidP="00926EB3">
      <w:pPr>
        <w:pStyle w:val="ListParagraph"/>
        <w:numPr>
          <w:ilvl w:val="0"/>
          <w:numId w:val="56"/>
        </w:numPr>
        <w:rPr>
          <w:u w:val="thick"/>
        </w:rPr>
      </w:pPr>
      <w:hyperlink r:id="rId539" w:history="1">
        <w:r w:rsidR="00544798" w:rsidRPr="00BE3AB0">
          <w:rPr>
            <w:rStyle w:val="Hyperlink"/>
          </w:rPr>
          <w:t>SC Department of Health and Human Services</w:t>
        </w:r>
      </w:hyperlink>
      <w:r w:rsidR="00544798" w:rsidRPr="00162D24">
        <w:t xml:space="preserve"> </w:t>
      </w:r>
    </w:p>
    <w:p w14:paraId="16A935B1" w14:textId="77777777" w:rsidR="00544798" w:rsidRPr="00BE3AB0" w:rsidRDefault="00000000" w:rsidP="00926EB3">
      <w:pPr>
        <w:pStyle w:val="ListParagraph"/>
        <w:numPr>
          <w:ilvl w:val="0"/>
          <w:numId w:val="56"/>
        </w:numPr>
        <w:rPr>
          <w:u w:val="thick"/>
        </w:rPr>
      </w:pPr>
      <w:hyperlink r:id="rId540" w:history="1">
        <w:r w:rsidR="00544798" w:rsidRPr="00BE3AB0">
          <w:rPr>
            <w:rStyle w:val="Hyperlink"/>
          </w:rPr>
          <w:t>SC Department of Mental Health</w:t>
        </w:r>
      </w:hyperlink>
      <w:r w:rsidR="00544798" w:rsidRPr="00162D24">
        <w:t xml:space="preserve"> </w:t>
      </w:r>
    </w:p>
    <w:p w14:paraId="747D789A" w14:textId="77777777" w:rsidR="00544798" w:rsidRPr="00BE3AB0" w:rsidRDefault="00000000" w:rsidP="00926EB3">
      <w:pPr>
        <w:pStyle w:val="ListParagraph"/>
        <w:numPr>
          <w:ilvl w:val="0"/>
          <w:numId w:val="56"/>
        </w:numPr>
        <w:rPr>
          <w:u w:val="thick"/>
        </w:rPr>
      </w:pPr>
      <w:hyperlink r:id="rId541" w:history="1">
        <w:r w:rsidR="00544798" w:rsidRPr="00BE3AB0">
          <w:rPr>
            <w:rStyle w:val="Hyperlink"/>
          </w:rPr>
          <w:t>SC Department on Aging</w:t>
        </w:r>
      </w:hyperlink>
    </w:p>
    <w:p w14:paraId="0C8899B8" w14:textId="77777777" w:rsidR="00544798" w:rsidRPr="00BE3AB0" w:rsidRDefault="00000000" w:rsidP="00926EB3">
      <w:pPr>
        <w:pStyle w:val="ListParagraph"/>
        <w:numPr>
          <w:ilvl w:val="0"/>
          <w:numId w:val="56"/>
        </w:numPr>
        <w:rPr>
          <w:u w:val="thick"/>
        </w:rPr>
      </w:pPr>
      <w:hyperlink r:id="rId542" w:history="1">
        <w:r w:rsidR="00544798" w:rsidRPr="00BE3AB0">
          <w:rPr>
            <w:rStyle w:val="Hyperlink"/>
          </w:rPr>
          <w:t>SC Free Clinic Association</w:t>
        </w:r>
      </w:hyperlink>
    </w:p>
    <w:p w14:paraId="6F7DDF5D" w14:textId="77777777" w:rsidR="00544798" w:rsidRPr="00BE3AB0" w:rsidRDefault="00000000" w:rsidP="00926EB3">
      <w:pPr>
        <w:pStyle w:val="ListParagraph"/>
        <w:numPr>
          <w:ilvl w:val="0"/>
          <w:numId w:val="56"/>
        </w:numPr>
        <w:rPr>
          <w:u w:val="thick"/>
        </w:rPr>
      </w:pPr>
      <w:hyperlink r:id="rId543" w:history="1">
        <w:r w:rsidR="00544798" w:rsidRPr="00BE3AB0">
          <w:rPr>
            <w:rStyle w:val="Hyperlink"/>
          </w:rPr>
          <w:t>SC Hospital Association</w:t>
        </w:r>
      </w:hyperlink>
    </w:p>
    <w:p w14:paraId="4AEEE37A" w14:textId="77777777" w:rsidR="00544798" w:rsidRPr="00BE3AB0" w:rsidRDefault="00000000" w:rsidP="00926EB3">
      <w:pPr>
        <w:pStyle w:val="ListParagraph"/>
        <w:numPr>
          <w:ilvl w:val="0"/>
          <w:numId w:val="56"/>
        </w:numPr>
        <w:rPr>
          <w:u w:val="thick"/>
        </w:rPr>
      </w:pPr>
      <w:hyperlink r:id="rId544" w:history="1">
        <w:r w:rsidR="00544798" w:rsidRPr="00BE3AB0">
          <w:rPr>
            <w:rStyle w:val="Hyperlink"/>
          </w:rPr>
          <w:t>SC Institute of Medicine and Public Health</w:t>
        </w:r>
      </w:hyperlink>
    </w:p>
    <w:p w14:paraId="4999A05A" w14:textId="77777777" w:rsidR="00544798" w:rsidRPr="00BE3AB0" w:rsidRDefault="00000000" w:rsidP="00926EB3">
      <w:pPr>
        <w:pStyle w:val="ListParagraph"/>
        <w:numPr>
          <w:ilvl w:val="0"/>
          <w:numId w:val="56"/>
        </w:numPr>
        <w:rPr>
          <w:u w:val="thick"/>
        </w:rPr>
      </w:pPr>
      <w:hyperlink r:id="rId545" w:history="1">
        <w:r w:rsidR="00544798" w:rsidRPr="00BE3AB0">
          <w:rPr>
            <w:rStyle w:val="Hyperlink"/>
          </w:rPr>
          <w:t>SC Medical Association</w:t>
        </w:r>
      </w:hyperlink>
      <w:r w:rsidR="00544798" w:rsidRPr="00162D24">
        <w:t xml:space="preserve"> </w:t>
      </w:r>
    </w:p>
    <w:p w14:paraId="25A97F27" w14:textId="77777777" w:rsidR="00544798" w:rsidRPr="00BE3AB0" w:rsidRDefault="00000000" w:rsidP="00926EB3">
      <w:pPr>
        <w:pStyle w:val="ListParagraph"/>
        <w:numPr>
          <w:ilvl w:val="0"/>
          <w:numId w:val="56"/>
        </w:numPr>
        <w:rPr>
          <w:u w:val="thick"/>
        </w:rPr>
      </w:pPr>
      <w:hyperlink r:id="rId546" w:history="1">
        <w:r w:rsidR="00544798" w:rsidRPr="00BE3AB0">
          <w:rPr>
            <w:rStyle w:val="Hyperlink"/>
          </w:rPr>
          <w:t>SC Nurses Association</w:t>
        </w:r>
      </w:hyperlink>
    </w:p>
    <w:p w14:paraId="727FC891" w14:textId="77777777" w:rsidR="00544798" w:rsidRPr="00BE3AB0" w:rsidRDefault="00000000" w:rsidP="00926EB3">
      <w:pPr>
        <w:pStyle w:val="ListParagraph"/>
        <w:numPr>
          <w:ilvl w:val="0"/>
          <w:numId w:val="56"/>
        </w:numPr>
        <w:rPr>
          <w:u w:val="thick"/>
        </w:rPr>
      </w:pPr>
      <w:hyperlink r:id="rId547" w:history="1">
        <w:r w:rsidR="00544798" w:rsidRPr="00BE3AB0">
          <w:rPr>
            <w:rStyle w:val="Hyperlink"/>
          </w:rPr>
          <w:t>SC Office of Rural Health</w:t>
        </w:r>
      </w:hyperlink>
    </w:p>
    <w:p w14:paraId="2B3E54DE" w14:textId="77777777" w:rsidR="00544798" w:rsidRPr="00BE3AB0" w:rsidRDefault="00000000" w:rsidP="00926EB3">
      <w:pPr>
        <w:pStyle w:val="ListParagraph"/>
        <w:numPr>
          <w:ilvl w:val="0"/>
          <w:numId w:val="56"/>
        </w:numPr>
        <w:rPr>
          <w:u w:val="thick"/>
        </w:rPr>
      </w:pPr>
      <w:hyperlink r:id="rId548" w:history="1">
        <w:r w:rsidR="00544798" w:rsidRPr="00BE3AB0">
          <w:rPr>
            <w:rStyle w:val="Hyperlink"/>
          </w:rPr>
          <w:t>SC Primary Health Care Association</w:t>
        </w:r>
      </w:hyperlink>
    </w:p>
    <w:p w14:paraId="114A9B99" w14:textId="77777777" w:rsidR="00544798" w:rsidRPr="00BE3AB0" w:rsidRDefault="00000000" w:rsidP="00926EB3">
      <w:pPr>
        <w:pStyle w:val="ListParagraph"/>
        <w:numPr>
          <w:ilvl w:val="0"/>
          <w:numId w:val="56"/>
        </w:numPr>
        <w:rPr>
          <w:u w:val="thick"/>
        </w:rPr>
      </w:pPr>
      <w:hyperlink r:id="rId549" w:history="1">
        <w:r w:rsidR="00544798" w:rsidRPr="00BE3AB0">
          <w:rPr>
            <w:rStyle w:val="Hyperlink"/>
          </w:rPr>
          <w:t>SC Telehealth Alliance</w:t>
        </w:r>
      </w:hyperlink>
    </w:p>
    <w:p w14:paraId="763FF2FA" w14:textId="77777777" w:rsidR="00544798" w:rsidRPr="00BE3AB0" w:rsidRDefault="00000000" w:rsidP="00926EB3">
      <w:pPr>
        <w:pStyle w:val="ListParagraph"/>
        <w:numPr>
          <w:ilvl w:val="0"/>
          <w:numId w:val="56"/>
        </w:numPr>
        <w:rPr>
          <w:u w:val="thick"/>
        </w:rPr>
      </w:pPr>
      <w:hyperlink r:id="rId550" w:history="1">
        <w:r w:rsidR="00544798" w:rsidRPr="00BE3AB0">
          <w:rPr>
            <w:rStyle w:val="Hyperlink"/>
          </w:rPr>
          <w:t>SC Thrive</w:t>
        </w:r>
      </w:hyperlink>
    </w:p>
    <w:p w14:paraId="0E595C15" w14:textId="470CDAB3" w:rsidR="00544798" w:rsidRPr="00BE3AB0" w:rsidRDefault="00000000" w:rsidP="00926EB3">
      <w:pPr>
        <w:pStyle w:val="ListParagraph"/>
        <w:numPr>
          <w:ilvl w:val="0"/>
          <w:numId w:val="56"/>
        </w:numPr>
        <w:rPr>
          <w:u w:val="thick"/>
        </w:rPr>
      </w:pPr>
      <w:hyperlink r:id="rId551" w:history="1">
        <w:r w:rsidR="0087480F">
          <w:rPr>
            <w:rStyle w:val="Hyperlink"/>
          </w:rPr>
          <w:t>Select Health of South Carolina Inc.</w:t>
        </w:r>
      </w:hyperlink>
    </w:p>
    <w:p w14:paraId="152E3D77" w14:textId="0C4DADA2" w:rsidR="00544798" w:rsidRPr="00BE3AB0" w:rsidRDefault="00000000" w:rsidP="00926EB3">
      <w:pPr>
        <w:pStyle w:val="ListParagraph"/>
        <w:numPr>
          <w:ilvl w:val="0"/>
          <w:numId w:val="56"/>
        </w:numPr>
        <w:rPr>
          <w:u w:val="thick"/>
        </w:rPr>
      </w:pPr>
      <w:hyperlink r:id="rId552" w:history="1">
        <w:proofErr w:type="spellStart"/>
        <w:r w:rsidR="0087480F">
          <w:rPr>
            <w:rStyle w:val="Hyperlink"/>
          </w:rPr>
          <w:t>Self Regional</w:t>
        </w:r>
        <w:proofErr w:type="spellEnd"/>
        <w:r w:rsidR="0087480F">
          <w:rPr>
            <w:rStyle w:val="Hyperlink"/>
          </w:rPr>
          <w:t xml:space="preserve"> Healthcare</w:t>
        </w:r>
      </w:hyperlink>
    </w:p>
    <w:p w14:paraId="29F8BBAC" w14:textId="70FB4895" w:rsidR="00544798" w:rsidRPr="00BE3AB0" w:rsidRDefault="00000000" w:rsidP="00926EB3">
      <w:pPr>
        <w:pStyle w:val="ListParagraph"/>
        <w:numPr>
          <w:ilvl w:val="0"/>
          <w:numId w:val="56"/>
        </w:numPr>
        <w:rPr>
          <w:u w:val="thick"/>
        </w:rPr>
      </w:pPr>
      <w:hyperlink r:id="rId553" w:history="1">
        <w:r w:rsidR="0087480F">
          <w:rPr>
            <w:rStyle w:val="Hyperlink"/>
          </w:rPr>
          <w:t>Spartanburg Regional Healthcare System</w:t>
        </w:r>
      </w:hyperlink>
    </w:p>
    <w:p w14:paraId="46448D3A" w14:textId="77777777" w:rsidR="00544798" w:rsidRPr="00BE3AB0" w:rsidRDefault="00000000" w:rsidP="00926EB3">
      <w:pPr>
        <w:pStyle w:val="ListParagraph"/>
        <w:numPr>
          <w:ilvl w:val="0"/>
          <w:numId w:val="56"/>
        </w:numPr>
        <w:rPr>
          <w:u w:val="thick"/>
        </w:rPr>
      </w:pPr>
      <w:hyperlink r:id="rId554" w:history="1">
        <w:r w:rsidR="00544798" w:rsidRPr="00BE3AB0">
          <w:rPr>
            <w:rStyle w:val="Hyperlink"/>
          </w:rPr>
          <w:t>Special Olympics South Carolina</w:t>
        </w:r>
      </w:hyperlink>
    </w:p>
    <w:p w14:paraId="6E8D1A8B" w14:textId="77777777" w:rsidR="00544798" w:rsidRPr="00BE3AB0" w:rsidRDefault="00000000" w:rsidP="00926EB3">
      <w:pPr>
        <w:pStyle w:val="ListParagraph"/>
        <w:numPr>
          <w:ilvl w:val="0"/>
          <w:numId w:val="56"/>
        </w:numPr>
        <w:rPr>
          <w:u w:val="thick"/>
        </w:rPr>
      </w:pPr>
      <w:hyperlink r:id="rId555" w:history="1">
        <w:r w:rsidR="00544798" w:rsidRPr="00BE3AB0">
          <w:rPr>
            <w:rStyle w:val="Hyperlink"/>
          </w:rPr>
          <w:t>The Duke Endowment</w:t>
        </w:r>
      </w:hyperlink>
    </w:p>
    <w:p w14:paraId="36402821" w14:textId="77777777" w:rsidR="00544798" w:rsidRPr="00BE3AB0" w:rsidRDefault="00000000" w:rsidP="00926EB3">
      <w:pPr>
        <w:pStyle w:val="ListParagraph"/>
        <w:numPr>
          <w:ilvl w:val="0"/>
          <w:numId w:val="56"/>
        </w:numPr>
        <w:rPr>
          <w:u w:val="thick"/>
        </w:rPr>
      </w:pPr>
      <w:hyperlink r:id="rId556" w:history="1">
        <w:r w:rsidR="00544798" w:rsidRPr="00BE3AB0">
          <w:rPr>
            <w:rStyle w:val="Hyperlink"/>
          </w:rPr>
          <w:t>Tidelands Health</w:t>
        </w:r>
      </w:hyperlink>
    </w:p>
    <w:p w14:paraId="5650478A" w14:textId="77777777" w:rsidR="00544798" w:rsidRPr="00BE3AB0" w:rsidRDefault="00000000" w:rsidP="00926EB3">
      <w:pPr>
        <w:pStyle w:val="ListParagraph"/>
        <w:numPr>
          <w:ilvl w:val="0"/>
          <w:numId w:val="56"/>
        </w:numPr>
        <w:rPr>
          <w:u w:val="thick"/>
        </w:rPr>
      </w:pPr>
      <w:hyperlink r:id="rId557" w:history="1">
        <w:r w:rsidR="00544798" w:rsidRPr="00BE3AB0">
          <w:rPr>
            <w:rStyle w:val="Hyperlink"/>
          </w:rPr>
          <w:t>Unite Us</w:t>
        </w:r>
      </w:hyperlink>
    </w:p>
    <w:p w14:paraId="60D552E5" w14:textId="77777777" w:rsidR="00544798" w:rsidRPr="00BE3AB0" w:rsidRDefault="00000000" w:rsidP="00926EB3">
      <w:pPr>
        <w:pStyle w:val="ListParagraph"/>
        <w:numPr>
          <w:ilvl w:val="0"/>
          <w:numId w:val="56"/>
        </w:numPr>
        <w:rPr>
          <w:u w:val="thick"/>
        </w:rPr>
      </w:pPr>
      <w:hyperlink r:id="rId558" w:history="1">
        <w:r w:rsidR="00544798" w:rsidRPr="00BE3AB0">
          <w:rPr>
            <w:rStyle w:val="Hyperlink"/>
          </w:rPr>
          <w:t>United Way Association of South Carolina</w:t>
        </w:r>
      </w:hyperlink>
    </w:p>
    <w:p w14:paraId="72DA0C41" w14:textId="3B8DA184" w:rsidR="00544798" w:rsidRPr="00BE3AB0" w:rsidRDefault="00000000" w:rsidP="00926EB3">
      <w:pPr>
        <w:pStyle w:val="ListParagraph"/>
        <w:numPr>
          <w:ilvl w:val="0"/>
          <w:numId w:val="56"/>
        </w:numPr>
        <w:rPr>
          <w:u w:val="thick"/>
        </w:rPr>
      </w:pPr>
      <w:hyperlink r:id="rId559" w:history="1">
        <w:r w:rsidR="0087480F">
          <w:rPr>
            <w:rStyle w:val="Hyperlink"/>
          </w:rPr>
          <w:t>UnitedHealthcare</w:t>
        </w:r>
      </w:hyperlink>
    </w:p>
    <w:p w14:paraId="32151D7D" w14:textId="77777777" w:rsidR="00544798" w:rsidRPr="00BE3AB0" w:rsidRDefault="00000000" w:rsidP="00926EB3">
      <w:pPr>
        <w:pStyle w:val="ListParagraph"/>
        <w:numPr>
          <w:ilvl w:val="0"/>
          <w:numId w:val="56"/>
        </w:numPr>
        <w:rPr>
          <w:u w:val="thick"/>
        </w:rPr>
      </w:pPr>
      <w:hyperlink r:id="rId560" w:history="1">
        <w:r w:rsidR="00544798" w:rsidRPr="00BE3AB0">
          <w:rPr>
            <w:rStyle w:val="Hyperlink"/>
          </w:rPr>
          <w:t>University of South Carolina College of Pharmacy</w:t>
        </w:r>
      </w:hyperlink>
    </w:p>
    <w:p w14:paraId="6F191242" w14:textId="77777777" w:rsidR="00544798" w:rsidRPr="00BE3AB0" w:rsidRDefault="00000000" w:rsidP="00926EB3">
      <w:pPr>
        <w:pStyle w:val="ListParagraph"/>
        <w:numPr>
          <w:ilvl w:val="0"/>
          <w:numId w:val="56"/>
        </w:numPr>
        <w:rPr>
          <w:u w:val="thick"/>
        </w:rPr>
      </w:pPr>
      <w:hyperlink r:id="rId561" w:history="1">
        <w:r w:rsidR="00544798" w:rsidRPr="00BE3AB0">
          <w:rPr>
            <w:rStyle w:val="Hyperlink"/>
          </w:rPr>
          <w:t>VCOM-Carolinas</w:t>
        </w:r>
      </w:hyperlink>
      <w:r w:rsidR="00544798" w:rsidRPr="00162D24">
        <w:br/>
      </w:r>
    </w:p>
    <w:p w14:paraId="2388D987" w14:textId="77777777" w:rsidR="00544798" w:rsidRDefault="00544798">
      <w:pPr>
        <w:rPr>
          <w:rFonts w:asciiTheme="majorHAnsi" w:eastAsiaTheme="majorEastAsia" w:hAnsiTheme="majorHAnsi" w:cstheme="majorBidi"/>
          <w:color w:val="2F5496" w:themeColor="accent1" w:themeShade="BF"/>
          <w:sz w:val="36"/>
        </w:rPr>
      </w:pPr>
      <w:bookmarkStart w:id="1086" w:name="_Toc154569716"/>
      <w:r>
        <w:br w:type="page"/>
      </w:r>
    </w:p>
    <w:p w14:paraId="2FDE639E" w14:textId="26E4687A" w:rsidR="00544798" w:rsidRDefault="00544798" w:rsidP="00544798">
      <w:pPr>
        <w:pStyle w:val="Heading3"/>
      </w:pPr>
      <w:bookmarkStart w:id="1087" w:name="_Toc162267746"/>
      <w:r>
        <w:lastRenderedPageBreak/>
        <w:t>Appendix B: South Carolina Community Health Needs Assessment</w:t>
      </w:r>
      <w:bookmarkEnd w:id="1086"/>
      <w:bookmarkEnd w:id="1087"/>
    </w:p>
    <w:p w14:paraId="01A05E9F" w14:textId="437A1846" w:rsidR="00544798" w:rsidRDefault="00544798" w:rsidP="00544798">
      <w:r w:rsidRPr="00BE3AB0">
        <w:t>SC DHEC and The Alliance for a Healthier South Carolina worked together to develop, promote, and administer the South Carolina Community Health Needs Assessment (CHNA) survey. This survey was created to identify health perceptions, barriers in accessing care, utilization of the healthcare system, and other pertinent information relating to the health status of SC communities. The survey was administered beginning on March 15, 2022, and data collection continues to this day. As of August 24, 2023, there had been 4,805 SC respondents to the CHNA, with representation from every county in the state. Greenwood County saw the largest number of respondents with over 950 surveys being completed while Jasper County saw the fewest number of respondents with only three surveys being completed (</w:t>
      </w:r>
      <w:r w:rsidRPr="007A742B">
        <w:rPr>
          <w:b/>
          <w:bCs/>
        </w:rPr>
        <w:t>Figure 1</w:t>
      </w:r>
      <w:r w:rsidRPr="00BE3AB0">
        <w:t>).</w:t>
      </w:r>
    </w:p>
    <w:p w14:paraId="6737DA71" w14:textId="77777777" w:rsidR="00823B72" w:rsidRDefault="00823B72" w:rsidP="00544798"/>
    <w:p w14:paraId="005AB269" w14:textId="77777777" w:rsidR="00544798" w:rsidRDefault="00544798" w:rsidP="00544798">
      <w:pPr>
        <w:pStyle w:val="Heading4"/>
      </w:pPr>
      <w:bookmarkStart w:id="1088" w:name="_Toc154569717"/>
      <w:bookmarkStart w:id="1089" w:name="_Toc162267747"/>
      <w:r>
        <w:t>Figure 1: Community Health Needs Assessment Survey Distribution.</w:t>
      </w:r>
      <w:bookmarkEnd w:id="1088"/>
      <w:bookmarkEnd w:id="1089"/>
      <w:r>
        <w:t xml:space="preserve"> </w:t>
      </w:r>
    </w:p>
    <w:tbl>
      <w:tblPr>
        <w:tblStyle w:val="TableGrid"/>
        <w:tblW w:w="0" w:type="auto"/>
        <w:tblLook w:val="04A0" w:firstRow="1" w:lastRow="0" w:firstColumn="1" w:lastColumn="0" w:noHBand="0" w:noVBand="1"/>
      </w:tblPr>
      <w:tblGrid>
        <w:gridCol w:w="4675"/>
        <w:gridCol w:w="4675"/>
      </w:tblGrid>
      <w:tr w:rsidR="006A527F" w14:paraId="6AF39D33" w14:textId="77777777" w:rsidTr="001B3C26">
        <w:tc>
          <w:tcPr>
            <w:tcW w:w="4675" w:type="dxa"/>
            <w:vAlign w:val="bottom"/>
          </w:tcPr>
          <w:p w14:paraId="02FE92D9" w14:textId="42075C77" w:rsidR="006A527F" w:rsidRDefault="006A527F" w:rsidP="006A527F">
            <w:pPr>
              <w:rPr>
                <w:color w:val="FF0000"/>
              </w:rPr>
            </w:pPr>
            <w:r>
              <w:t>County</w:t>
            </w:r>
          </w:p>
        </w:tc>
        <w:tc>
          <w:tcPr>
            <w:tcW w:w="4675" w:type="dxa"/>
            <w:vAlign w:val="bottom"/>
          </w:tcPr>
          <w:p w14:paraId="7B54454D" w14:textId="2F731FB7" w:rsidR="006A527F" w:rsidRDefault="006A527F" w:rsidP="006A527F">
            <w:pPr>
              <w:rPr>
                <w:color w:val="FF0000"/>
              </w:rPr>
            </w:pPr>
            <w:r>
              <w:t>Number</w:t>
            </w:r>
          </w:p>
        </w:tc>
      </w:tr>
      <w:tr w:rsidR="006A527F" w14:paraId="697B535D" w14:textId="77777777" w:rsidTr="001B3C26">
        <w:tc>
          <w:tcPr>
            <w:tcW w:w="4675" w:type="dxa"/>
            <w:vAlign w:val="bottom"/>
          </w:tcPr>
          <w:p w14:paraId="1EE29275" w14:textId="6E948B31" w:rsidR="006A527F" w:rsidRDefault="006A527F" w:rsidP="006A527F">
            <w:pPr>
              <w:rPr>
                <w:color w:val="FF0000"/>
              </w:rPr>
            </w:pPr>
            <w:r>
              <w:t>Abbeville</w:t>
            </w:r>
          </w:p>
        </w:tc>
        <w:tc>
          <w:tcPr>
            <w:tcW w:w="4675" w:type="dxa"/>
            <w:vAlign w:val="bottom"/>
          </w:tcPr>
          <w:p w14:paraId="75195FC1" w14:textId="53ACBD3A" w:rsidR="006A527F" w:rsidRDefault="006A527F" w:rsidP="006A527F">
            <w:pPr>
              <w:rPr>
                <w:color w:val="FF0000"/>
              </w:rPr>
            </w:pPr>
            <w:r>
              <w:t>128</w:t>
            </w:r>
          </w:p>
        </w:tc>
      </w:tr>
      <w:tr w:rsidR="006A527F" w14:paraId="121FD48E" w14:textId="77777777" w:rsidTr="001B3C26">
        <w:tc>
          <w:tcPr>
            <w:tcW w:w="4675" w:type="dxa"/>
            <w:vAlign w:val="bottom"/>
          </w:tcPr>
          <w:p w14:paraId="3B3A1856" w14:textId="24E43F9A" w:rsidR="006A527F" w:rsidRDefault="006A527F" w:rsidP="006A527F">
            <w:pPr>
              <w:rPr>
                <w:color w:val="FF0000"/>
              </w:rPr>
            </w:pPr>
            <w:r>
              <w:t>Aiken</w:t>
            </w:r>
          </w:p>
        </w:tc>
        <w:tc>
          <w:tcPr>
            <w:tcW w:w="4675" w:type="dxa"/>
            <w:vAlign w:val="bottom"/>
          </w:tcPr>
          <w:p w14:paraId="3EC47741" w14:textId="6368AF24" w:rsidR="006A527F" w:rsidRDefault="006A527F" w:rsidP="006A527F">
            <w:pPr>
              <w:rPr>
                <w:color w:val="FF0000"/>
              </w:rPr>
            </w:pPr>
            <w:r>
              <w:t>65</w:t>
            </w:r>
          </w:p>
        </w:tc>
      </w:tr>
      <w:tr w:rsidR="006A527F" w14:paraId="4F2BBD8B" w14:textId="77777777" w:rsidTr="001B3C26">
        <w:tc>
          <w:tcPr>
            <w:tcW w:w="4675" w:type="dxa"/>
            <w:vAlign w:val="bottom"/>
          </w:tcPr>
          <w:p w14:paraId="6A29FA30" w14:textId="4213DAC2" w:rsidR="006A527F" w:rsidRDefault="006A527F" w:rsidP="006A527F">
            <w:pPr>
              <w:rPr>
                <w:color w:val="FF0000"/>
              </w:rPr>
            </w:pPr>
            <w:r>
              <w:t>Allendale</w:t>
            </w:r>
          </w:p>
        </w:tc>
        <w:tc>
          <w:tcPr>
            <w:tcW w:w="4675" w:type="dxa"/>
            <w:vAlign w:val="bottom"/>
          </w:tcPr>
          <w:p w14:paraId="677002E3" w14:textId="0EBC26C9" w:rsidR="006A527F" w:rsidRDefault="006A527F" w:rsidP="006A527F">
            <w:pPr>
              <w:rPr>
                <w:color w:val="FF0000"/>
              </w:rPr>
            </w:pPr>
            <w:r>
              <w:t>9</w:t>
            </w:r>
          </w:p>
        </w:tc>
      </w:tr>
      <w:tr w:rsidR="006A527F" w14:paraId="0875D9E7" w14:textId="77777777" w:rsidTr="001B3C26">
        <w:tc>
          <w:tcPr>
            <w:tcW w:w="4675" w:type="dxa"/>
            <w:vAlign w:val="bottom"/>
          </w:tcPr>
          <w:p w14:paraId="5C1359BB" w14:textId="6328AC7B" w:rsidR="006A527F" w:rsidRDefault="006A527F" w:rsidP="006A527F">
            <w:pPr>
              <w:rPr>
                <w:color w:val="FF0000"/>
              </w:rPr>
            </w:pPr>
            <w:r>
              <w:t>Anderson</w:t>
            </w:r>
          </w:p>
        </w:tc>
        <w:tc>
          <w:tcPr>
            <w:tcW w:w="4675" w:type="dxa"/>
            <w:vAlign w:val="bottom"/>
          </w:tcPr>
          <w:p w14:paraId="6D664BC6" w14:textId="2A6DE51E" w:rsidR="006A527F" w:rsidRDefault="006A527F" w:rsidP="006A527F">
            <w:pPr>
              <w:rPr>
                <w:color w:val="FF0000"/>
              </w:rPr>
            </w:pPr>
            <w:r>
              <w:t>39</w:t>
            </w:r>
          </w:p>
        </w:tc>
      </w:tr>
      <w:tr w:rsidR="006A527F" w14:paraId="7CE9BE84" w14:textId="77777777" w:rsidTr="001B3C26">
        <w:tc>
          <w:tcPr>
            <w:tcW w:w="4675" w:type="dxa"/>
            <w:vAlign w:val="bottom"/>
          </w:tcPr>
          <w:p w14:paraId="2C3526D8" w14:textId="54FB8218" w:rsidR="006A527F" w:rsidRDefault="006A527F" w:rsidP="006A527F">
            <w:pPr>
              <w:rPr>
                <w:color w:val="FF0000"/>
              </w:rPr>
            </w:pPr>
            <w:r>
              <w:t>Bamberg</w:t>
            </w:r>
          </w:p>
        </w:tc>
        <w:tc>
          <w:tcPr>
            <w:tcW w:w="4675" w:type="dxa"/>
            <w:vAlign w:val="bottom"/>
          </w:tcPr>
          <w:p w14:paraId="0E200197" w14:textId="4FBAB686" w:rsidR="006A527F" w:rsidRDefault="006A527F" w:rsidP="006A527F">
            <w:pPr>
              <w:rPr>
                <w:color w:val="FF0000"/>
              </w:rPr>
            </w:pPr>
            <w:r>
              <w:t>8</w:t>
            </w:r>
          </w:p>
        </w:tc>
      </w:tr>
      <w:tr w:rsidR="006A527F" w14:paraId="42CE3DF3" w14:textId="77777777" w:rsidTr="001B3C26">
        <w:tc>
          <w:tcPr>
            <w:tcW w:w="4675" w:type="dxa"/>
            <w:vAlign w:val="bottom"/>
          </w:tcPr>
          <w:p w14:paraId="2E3EC4CA" w14:textId="48F90A6C" w:rsidR="006A527F" w:rsidRDefault="006A527F" w:rsidP="006A527F">
            <w:pPr>
              <w:rPr>
                <w:color w:val="FF0000"/>
              </w:rPr>
            </w:pPr>
            <w:r>
              <w:t>Barnwell</w:t>
            </w:r>
          </w:p>
        </w:tc>
        <w:tc>
          <w:tcPr>
            <w:tcW w:w="4675" w:type="dxa"/>
            <w:vAlign w:val="bottom"/>
          </w:tcPr>
          <w:p w14:paraId="3910565F" w14:textId="15119F9D" w:rsidR="006A527F" w:rsidRDefault="006A527F" w:rsidP="006A527F">
            <w:pPr>
              <w:rPr>
                <w:color w:val="FF0000"/>
              </w:rPr>
            </w:pPr>
            <w:r>
              <w:t>15</w:t>
            </w:r>
          </w:p>
        </w:tc>
      </w:tr>
      <w:tr w:rsidR="006A527F" w14:paraId="3A2784BB" w14:textId="77777777" w:rsidTr="001B3C26">
        <w:tc>
          <w:tcPr>
            <w:tcW w:w="4675" w:type="dxa"/>
            <w:vAlign w:val="bottom"/>
          </w:tcPr>
          <w:p w14:paraId="7D2B5908" w14:textId="6024FD5C" w:rsidR="006A527F" w:rsidRDefault="006A527F" w:rsidP="006A527F">
            <w:pPr>
              <w:rPr>
                <w:color w:val="FF0000"/>
              </w:rPr>
            </w:pPr>
            <w:r>
              <w:t>Beaufort</w:t>
            </w:r>
          </w:p>
        </w:tc>
        <w:tc>
          <w:tcPr>
            <w:tcW w:w="4675" w:type="dxa"/>
            <w:vAlign w:val="bottom"/>
          </w:tcPr>
          <w:p w14:paraId="03038C3C" w14:textId="06189C86" w:rsidR="006A527F" w:rsidRDefault="006A527F" w:rsidP="006A527F">
            <w:pPr>
              <w:rPr>
                <w:color w:val="FF0000"/>
              </w:rPr>
            </w:pPr>
            <w:r>
              <w:t>20</w:t>
            </w:r>
          </w:p>
        </w:tc>
      </w:tr>
      <w:tr w:rsidR="006A527F" w14:paraId="237A6F27" w14:textId="77777777" w:rsidTr="001B3C26">
        <w:tc>
          <w:tcPr>
            <w:tcW w:w="4675" w:type="dxa"/>
            <w:vAlign w:val="bottom"/>
          </w:tcPr>
          <w:p w14:paraId="191BD6DA" w14:textId="79397BF2" w:rsidR="006A527F" w:rsidRDefault="006A527F" w:rsidP="006A527F">
            <w:pPr>
              <w:rPr>
                <w:color w:val="FF0000"/>
              </w:rPr>
            </w:pPr>
            <w:r>
              <w:t>Berkeley</w:t>
            </w:r>
          </w:p>
        </w:tc>
        <w:tc>
          <w:tcPr>
            <w:tcW w:w="4675" w:type="dxa"/>
            <w:vAlign w:val="bottom"/>
          </w:tcPr>
          <w:p w14:paraId="5C0E164D" w14:textId="2D54E6C1" w:rsidR="006A527F" w:rsidRDefault="006A527F" w:rsidP="006A527F">
            <w:pPr>
              <w:rPr>
                <w:color w:val="FF0000"/>
              </w:rPr>
            </w:pPr>
            <w:r>
              <w:t>190</w:t>
            </w:r>
          </w:p>
        </w:tc>
      </w:tr>
      <w:tr w:rsidR="006A527F" w14:paraId="4D7B68C1" w14:textId="77777777" w:rsidTr="001B3C26">
        <w:tc>
          <w:tcPr>
            <w:tcW w:w="4675" w:type="dxa"/>
            <w:vAlign w:val="bottom"/>
          </w:tcPr>
          <w:p w14:paraId="2B06E337" w14:textId="2D254CE9" w:rsidR="006A527F" w:rsidRDefault="006A527F" w:rsidP="006A527F">
            <w:pPr>
              <w:rPr>
                <w:color w:val="FF0000"/>
              </w:rPr>
            </w:pPr>
            <w:r>
              <w:t>Calhoun</w:t>
            </w:r>
          </w:p>
        </w:tc>
        <w:tc>
          <w:tcPr>
            <w:tcW w:w="4675" w:type="dxa"/>
            <w:vAlign w:val="bottom"/>
          </w:tcPr>
          <w:p w14:paraId="424789B9" w14:textId="0B045579" w:rsidR="006A527F" w:rsidRDefault="006A527F" w:rsidP="006A527F">
            <w:pPr>
              <w:rPr>
                <w:color w:val="FF0000"/>
              </w:rPr>
            </w:pPr>
            <w:r>
              <w:t>13</w:t>
            </w:r>
          </w:p>
        </w:tc>
      </w:tr>
      <w:tr w:rsidR="006A527F" w14:paraId="37BD310D" w14:textId="77777777" w:rsidTr="001B3C26">
        <w:tc>
          <w:tcPr>
            <w:tcW w:w="4675" w:type="dxa"/>
            <w:vAlign w:val="bottom"/>
          </w:tcPr>
          <w:p w14:paraId="126E9932" w14:textId="404FB9BB" w:rsidR="006A527F" w:rsidRDefault="006A527F" w:rsidP="006A527F">
            <w:pPr>
              <w:rPr>
                <w:color w:val="FF0000"/>
              </w:rPr>
            </w:pPr>
            <w:r>
              <w:t>Charleston</w:t>
            </w:r>
          </w:p>
        </w:tc>
        <w:tc>
          <w:tcPr>
            <w:tcW w:w="4675" w:type="dxa"/>
            <w:vAlign w:val="bottom"/>
          </w:tcPr>
          <w:p w14:paraId="37F7C7EA" w14:textId="4D950C4E" w:rsidR="006A527F" w:rsidRDefault="006A527F" w:rsidP="006A527F">
            <w:pPr>
              <w:rPr>
                <w:color w:val="FF0000"/>
              </w:rPr>
            </w:pPr>
            <w:r>
              <w:t>403</w:t>
            </w:r>
          </w:p>
        </w:tc>
      </w:tr>
      <w:tr w:rsidR="006A527F" w14:paraId="79B7C3EF" w14:textId="77777777" w:rsidTr="001B3C26">
        <w:tc>
          <w:tcPr>
            <w:tcW w:w="4675" w:type="dxa"/>
            <w:vAlign w:val="bottom"/>
          </w:tcPr>
          <w:p w14:paraId="700F9FC7" w14:textId="6A05F037" w:rsidR="006A527F" w:rsidRDefault="006A527F" w:rsidP="006A527F">
            <w:pPr>
              <w:rPr>
                <w:color w:val="FF0000"/>
              </w:rPr>
            </w:pPr>
            <w:r>
              <w:t>Cherokee</w:t>
            </w:r>
          </w:p>
        </w:tc>
        <w:tc>
          <w:tcPr>
            <w:tcW w:w="4675" w:type="dxa"/>
            <w:vAlign w:val="bottom"/>
          </w:tcPr>
          <w:p w14:paraId="22719041" w14:textId="00DD4CB2" w:rsidR="006A527F" w:rsidRDefault="006A527F" w:rsidP="006A527F">
            <w:pPr>
              <w:rPr>
                <w:color w:val="FF0000"/>
              </w:rPr>
            </w:pPr>
            <w:r>
              <w:t>11</w:t>
            </w:r>
          </w:p>
        </w:tc>
      </w:tr>
      <w:tr w:rsidR="006A527F" w14:paraId="7CE6E0C0" w14:textId="77777777" w:rsidTr="001B3C26">
        <w:tc>
          <w:tcPr>
            <w:tcW w:w="4675" w:type="dxa"/>
            <w:vAlign w:val="bottom"/>
          </w:tcPr>
          <w:p w14:paraId="19E49C1E" w14:textId="44D3EC8E" w:rsidR="006A527F" w:rsidRDefault="006A527F" w:rsidP="006A527F">
            <w:pPr>
              <w:rPr>
                <w:color w:val="FF0000"/>
              </w:rPr>
            </w:pPr>
            <w:r>
              <w:t>Chester</w:t>
            </w:r>
          </w:p>
        </w:tc>
        <w:tc>
          <w:tcPr>
            <w:tcW w:w="4675" w:type="dxa"/>
            <w:vAlign w:val="bottom"/>
          </w:tcPr>
          <w:p w14:paraId="7245DAC6" w14:textId="1126DDA7" w:rsidR="006A527F" w:rsidRDefault="006A527F" w:rsidP="006A527F">
            <w:pPr>
              <w:rPr>
                <w:color w:val="FF0000"/>
              </w:rPr>
            </w:pPr>
            <w:r>
              <w:t>4</w:t>
            </w:r>
          </w:p>
        </w:tc>
      </w:tr>
      <w:tr w:rsidR="006A527F" w14:paraId="45B1F93B" w14:textId="77777777" w:rsidTr="001B3C26">
        <w:tc>
          <w:tcPr>
            <w:tcW w:w="4675" w:type="dxa"/>
            <w:vAlign w:val="bottom"/>
          </w:tcPr>
          <w:p w14:paraId="40492B7F" w14:textId="1B121B59" w:rsidR="006A527F" w:rsidRDefault="006A527F" w:rsidP="006A527F">
            <w:pPr>
              <w:rPr>
                <w:color w:val="FF0000"/>
              </w:rPr>
            </w:pPr>
            <w:r>
              <w:t>Chesterfield</w:t>
            </w:r>
          </w:p>
        </w:tc>
        <w:tc>
          <w:tcPr>
            <w:tcW w:w="4675" w:type="dxa"/>
            <w:vAlign w:val="bottom"/>
          </w:tcPr>
          <w:p w14:paraId="521689D1" w14:textId="20AFEA58" w:rsidR="006A527F" w:rsidRDefault="006A527F" w:rsidP="006A527F">
            <w:pPr>
              <w:rPr>
                <w:color w:val="FF0000"/>
              </w:rPr>
            </w:pPr>
            <w:r>
              <w:t>12</w:t>
            </w:r>
          </w:p>
        </w:tc>
      </w:tr>
      <w:tr w:rsidR="006A527F" w14:paraId="4CFB7657" w14:textId="77777777" w:rsidTr="001B3C26">
        <w:tc>
          <w:tcPr>
            <w:tcW w:w="4675" w:type="dxa"/>
            <w:vAlign w:val="bottom"/>
          </w:tcPr>
          <w:p w14:paraId="57B33243" w14:textId="17BDF09D" w:rsidR="006A527F" w:rsidRDefault="006A527F" w:rsidP="006A527F">
            <w:pPr>
              <w:rPr>
                <w:color w:val="FF0000"/>
              </w:rPr>
            </w:pPr>
            <w:r>
              <w:t>Clarendon</w:t>
            </w:r>
          </w:p>
        </w:tc>
        <w:tc>
          <w:tcPr>
            <w:tcW w:w="4675" w:type="dxa"/>
            <w:vAlign w:val="bottom"/>
          </w:tcPr>
          <w:p w14:paraId="109C086A" w14:textId="6CC464D0" w:rsidR="006A527F" w:rsidRDefault="006A527F" w:rsidP="006A527F">
            <w:pPr>
              <w:rPr>
                <w:color w:val="FF0000"/>
              </w:rPr>
            </w:pPr>
            <w:r>
              <w:t>11</w:t>
            </w:r>
          </w:p>
        </w:tc>
      </w:tr>
      <w:tr w:rsidR="006A527F" w14:paraId="27CF9CD7" w14:textId="77777777" w:rsidTr="001B3C26">
        <w:tc>
          <w:tcPr>
            <w:tcW w:w="4675" w:type="dxa"/>
            <w:vAlign w:val="bottom"/>
          </w:tcPr>
          <w:p w14:paraId="65F7CB68" w14:textId="455C7F17" w:rsidR="006A527F" w:rsidRDefault="006A527F" w:rsidP="006A527F">
            <w:pPr>
              <w:rPr>
                <w:color w:val="FF0000"/>
              </w:rPr>
            </w:pPr>
            <w:r>
              <w:t>Colleton</w:t>
            </w:r>
          </w:p>
        </w:tc>
        <w:tc>
          <w:tcPr>
            <w:tcW w:w="4675" w:type="dxa"/>
            <w:vAlign w:val="bottom"/>
          </w:tcPr>
          <w:p w14:paraId="6E4352E2" w14:textId="0884750B" w:rsidR="006A527F" w:rsidRDefault="006A527F" w:rsidP="006A527F">
            <w:pPr>
              <w:rPr>
                <w:color w:val="FF0000"/>
              </w:rPr>
            </w:pPr>
            <w:r>
              <w:t>8</w:t>
            </w:r>
          </w:p>
        </w:tc>
      </w:tr>
      <w:tr w:rsidR="006A527F" w14:paraId="4066861A" w14:textId="77777777" w:rsidTr="001B3C26">
        <w:tc>
          <w:tcPr>
            <w:tcW w:w="4675" w:type="dxa"/>
            <w:vAlign w:val="bottom"/>
          </w:tcPr>
          <w:p w14:paraId="62C0BDCB" w14:textId="5C8AD8BF" w:rsidR="006A527F" w:rsidRDefault="006A527F" w:rsidP="006A527F">
            <w:pPr>
              <w:rPr>
                <w:color w:val="FF0000"/>
              </w:rPr>
            </w:pPr>
            <w:r>
              <w:t>Darlington</w:t>
            </w:r>
          </w:p>
        </w:tc>
        <w:tc>
          <w:tcPr>
            <w:tcW w:w="4675" w:type="dxa"/>
            <w:vAlign w:val="bottom"/>
          </w:tcPr>
          <w:p w14:paraId="173DFED9" w14:textId="55AA089A" w:rsidR="006A527F" w:rsidRDefault="006A527F" w:rsidP="006A527F">
            <w:pPr>
              <w:rPr>
                <w:color w:val="FF0000"/>
              </w:rPr>
            </w:pPr>
            <w:r>
              <w:t>87</w:t>
            </w:r>
          </w:p>
        </w:tc>
      </w:tr>
      <w:tr w:rsidR="006A527F" w14:paraId="50F9003B" w14:textId="77777777" w:rsidTr="001B3C26">
        <w:tc>
          <w:tcPr>
            <w:tcW w:w="4675" w:type="dxa"/>
            <w:vAlign w:val="bottom"/>
          </w:tcPr>
          <w:p w14:paraId="383360EC" w14:textId="7718E764" w:rsidR="006A527F" w:rsidRDefault="006A527F" w:rsidP="006A527F">
            <w:pPr>
              <w:rPr>
                <w:color w:val="FF0000"/>
              </w:rPr>
            </w:pPr>
            <w:r>
              <w:t>Dillon</w:t>
            </w:r>
          </w:p>
        </w:tc>
        <w:tc>
          <w:tcPr>
            <w:tcW w:w="4675" w:type="dxa"/>
            <w:vAlign w:val="bottom"/>
          </w:tcPr>
          <w:p w14:paraId="261A1088" w14:textId="1171D34E" w:rsidR="006A527F" w:rsidRDefault="006A527F" w:rsidP="006A527F">
            <w:pPr>
              <w:rPr>
                <w:color w:val="FF0000"/>
              </w:rPr>
            </w:pPr>
            <w:r>
              <w:t>26</w:t>
            </w:r>
          </w:p>
        </w:tc>
      </w:tr>
      <w:tr w:rsidR="006A527F" w14:paraId="4FEE9E06" w14:textId="77777777" w:rsidTr="001B3C26">
        <w:tc>
          <w:tcPr>
            <w:tcW w:w="4675" w:type="dxa"/>
            <w:vAlign w:val="bottom"/>
          </w:tcPr>
          <w:p w14:paraId="7B8AB491" w14:textId="56C40112" w:rsidR="006A527F" w:rsidRDefault="006A527F" w:rsidP="006A527F">
            <w:pPr>
              <w:rPr>
                <w:color w:val="FF0000"/>
              </w:rPr>
            </w:pPr>
            <w:r>
              <w:t>Dorchester</w:t>
            </w:r>
          </w:p>
        </w:tc>
        <w:tc>
          <w:tcPr>
            <w:tcW w:w="4675" w:type="dxa"/>
            <w:vAlign w:val="bottom"/>
          </w:tcPr>
          <w:p w14:paraId="133E166A" w14:textId="3869F00C" w:rsidR="006A527F" w:rsidRDefault="006A527F" w:rsidP="006A527F">
            <w:pPr>
              <w:rPr>
                <w:color w:val="FF0000"/>
              </w:rPr>
            </w:pPr>
            <w:r>
              <w:t>139</w:t>
            </w:r>
          </w:p>
        </w:tc>
      </w:tr>
      <w:tr w:rsidR="006A527F" w14:paraId="4C18FAB1" w14:textId="77777777" w:rsidTr="001B3C26">
        <w:tc>
          <w:tcPr>
            <w:tcW w:w="4675" w:type="dxa"/>
            <w:vAlign w:val="bottom"/>
          </w:tcPr>
          <w:p w14:paraId="10312AE4" w14:textId="532AD466" w:rsidR="006A527F" w:rsidRDefault="006A527F" w:rsidP="006A527F">
            <w:pPr>
              <w:rPr>
                <w:color w:val="FF0000"/>
              </w:rPr>
            </w:pPr>
            <w:r>
              <w:t>Edgefield</w:t>
            </w:r>
          </w:p>
        </w:tc>
        <w:tc>
          <w:tcPr>
            <w:tcW w:w="4675" w:type="dxa"/>
            <w:vAlign w:val="bottom"/>
          </w:tcPr>
          <w:p w14:paraId="49473715" w14:textId="2D23374E" w:rsidR="006A527F" w:rsidRDefault="006A527F" w:rsidP="006A527F">
            <w:pPr>
              <w:rPr>
                <w:color w:val="FF0000"/>
              </w:rPr>
            </w:pPr>
            <w:r>
              <w:t>149</w:t>
            </w:r>
          </w:p>
        </w:tc>
      </w:tr>
      <w:tr w:rsidR="006A527F" w14:paraId="7124D08D" w14:textId="77777777" w:rsidTr="001B3C26">
        <w:tc>
          <w:tcPr>
            <w:tcW w:w="4675" w:type="dxa"/>
            <w:vAlign w:val="bottom"/>
          </w:tcPr>
          <w:p w14:paraId="75563EE0" w14:textId="3B0D748B" w:rsidR="006A527F" w:rsidRDefault="006A527F" w:rsidP="006A527F">
            <w:pPr>
              <w:rPr>
                <w:color w:val="FF0000"/>
              </w:rPr>
            </w:pPr>
            <w:r>
              <w:t>Fairfield</w:t>
            </w:r>
          </w:p>
        </w:tc>
        <w:tc>
          <w:tcPr>
            <w:tcW w:w="4675" w:type="dxa"/>
            <w:vAlign w:val="bottom"/>
          </w:tcPr>
          <w:p w14:paraId="08B70AC5" w14:textId="0E3CBDBC" w:rsidR="006A527F" w:rsidRDefault="006A527F" w:rsidP="006A527F">
            <w:pPr>
              <w:rPr>
                <w:color w:val="FF0000"/>
              </w:rPr>
            </w:pPr>
            <w:r>
              <w:t>21</w:t>
            </w:r>
          </w:p>
        </w:tc>
      </w:tr>
      <w:tr w:rsidR="006A527F" w14:paraId="175B3E6E" w14:textId="77777777" w:rsidTr="001B3C26">
        <w:tc>
          <w:tcPr>
            <w:tcW w:w="4675" w:type="dxa"/>
            <w:vAlign w:val="bottom"/>
          </w:tcPr>
          <w:p w14:paraId="2C6198C6" w14:textId="4B47827A" w:rsidR="006A527F" w:rsidRDefault="006A527F" w:rsidP="006A527F">
            <w:pPr>
              <w:rPr>
                <w:color w:val="FF0000"/>
              </w:rPr>
            </w:pPr>
            <w:r>
              <w:lastRenderedPageBreak/>
              <w:t>Florence</w:t>
            </w:r>
          </w:p>
        </w:tc>
        <w:tc>
          <w:tcPr>
            <w:tcW w:w="4675" w:type="dxa"/>
            <w:vAlign w:val="bottom"/>
          </w:tcPr>
          <w:p w14:paraId="372EBED2" w14:textId="11657078" w:rsidR="006A527F" w:rsidRDefault="006A527F" w:rsidP="006A527F">
            <w:pPr>
              <w:rPr>
                <w:color w:val="FF0000"/>
              </w:rPr>
            </w:pPr>
            <w:r>
              <w:t>59</w:t>
            </w:r>
          </w:p>
        </w:tc>
      </w:tr>
      <w:tr w:rsidR="006A527F" w14:paraId="6BC346B2" w14:textId="77777777" w:rsidTr="001B3C26">
        <w:tc>
          <w:tcPr>
            <w:tcW w:w="4675" w:type="dxa"/>
            <w:vAlign w:val="bottom"/>
          </w:tcPr>
          <w:p w14:paraId="2276C805" w14:textId="7B985F84" w:rsidR="006A527F" w:rsidRDefault="006A527F" w:rsidP="006A527F">
            <w:pPr>
              <w:rPr>
                <w:color w:val="FF0000"/>
              </w:rPr>
            </w:pPr>
            <w:r>
              <w:t>Georgetown</w:t>
            </w:r>
          </w:p>
        </w:tc>
        <w:tc>
          <w:tcPr>
            <w:tcW w:w="4675" w:type="dxa"/>
            <w:vAlign w:val="bottom"/>
          </w:tcPr>
          <w:p w14:paraId="41E43B49" w14:textId="1F954670" w:rsidR="006A527F" w:rsidRDefault="006A527F" w:rsidP="006A527F">
            <w:pPr>
              <w:rPr>
                <w:color w:val="FF0000"/>
              </w:rPr>
            </w:pPr>
            <w:r>
              <w:t>53</w:t>
            </w:r>
          </w:p>
        </w:tc>
      </w:tr>
      <w:tr w:rsidR="006A527F" w14:paraId="57B0FE7D" w14:textId="77777777" w:rsidTr="001B3C26">
        <w:tc>
          <w:tcPr>
            <w:tcW w:w="4675" w:type="dxa"/>
            <w:vAlign w:val="bottom"/>
          </w:tcPr>
          <w:p w14:paraId="3D7BF913" w14:textId="3CBBF75A" w:rsidR="006A527F" w:rsidRDefault="006A527F" w:rsidP="006A527F">
            <w:pPr>
              <w:rPr>
                <w:color w:val="FF0000"/>
              </w:rPr>
            </w:pPr>
            <w:r>
              <w:t>Greenville</w:t>
            </w:r>
          </w:p>
        </w:tc>
        <w:tc>
          <w:tcPr>
            <w:tcW w:w="4675" w:type="dxa"/>
            <w:vAlign w:val="bottom"/>
          </w:tcPr>
          <w:p w14:paraId="580F22A5" w14:textId="120D082C" w:rsidR="006A527F" w:rsidRDefault="006A527F" w:rsidP="006A527F">
            <w:pPr>
              <w:rPr>
                <w:color w:val="FF0000"/>
              </w:rPr>
            </w:pPr>
            <w:r>
              <w:t>92</w:t>
            </w:r>
          </w:p>
        </w:tc>
      </w:tr>
      <w:tr w:rsidR="006A527F" w14:paraId="01B7FDBA" w14:textId="77777777" w:rsidTr="001B3C26">
        <w:tc>
          <w:tcPr>
            <w:tcW w:w="4675" w:type="dxa"/>
            <w:vAlign w:val="bottom"/>
          </w:tcPr>
          <w:p w14:paraId="3C1FE67D" w14:textId="18FF369C" w:rsidR="006A527F" w:rsidRDefault="006A527F" w:rsidP="006A527F">
            <w:pPr>
              <w:rPr>
                <w:color w:val="FF0000"/>
              </w:rPr>
            </w:pPr>
            <w:r>
              <w:t>Greenwood</w:t>
            </w:r>
          </w:p>
        </w:tc>
        <w:tc>
          <w:tcPr>
            <w:tcW w:w="4675" w:type="dxa"/>
            <w:vAlign w:val="bottom"/>
          </w:tcPr>
          <w:p w14:paraId="2EDA2486" w14:textId="11DEC21C" w:rsidR="006A527F" w:rsidRDefault="006A527F" w:rsidP="006A527F">
            <w:pPr>
              <w:rPr>
                <w:color w:val="FF0000"/>
              </w:rPr>
            </w:pPr>
            <w:r>
              <w:t>952</w:t>
            </w:r>
          </w:p>
        </w:tc>
      </w:tr>
      <w:tr w:rsidR="006A527F" w14:paraId="1D483A38" w14:textId="77777777" w:rsidTr="001B3C26">
        <w:tc>
          <w:tcPr>
            <w:tcW w:w="4675" w:type="dxa"/>
            <w:vAlign w:val="bottom"/>
          </w:tcPr>
          <w:p w14:paraId="0A8D8245" w14:textId="29C971EF" w:rsidR="006A527F" w:rsidRDefault="006A527F" w:rsidP="006A527F">
            <w:pPr>
              <w:rPr>
                <w:color w:val="FF0000"/>
              </w:rPr>
            </w:pPr>
            <w:r>
              <w:t>Hampton</w:t>
            </w:r>
          </w:p>
        </w:tc>
        <w:tc>
          <w:tcPr>
            <w:tcW w:w="4675" w:type="dxa"/>
            <w:vAlign w:val="bottom"/>
          </w:tcPr>
          <w:p w14:paraId="71CB3F4C" w14:textId="3024956C" w:rsidR="006A527F" w:rsidRDefault="006A527F" w:rsidP="006A527F">
            <w:pPr>
              <w:rPr>
                <w:color w:val="FF0000"/>
              </w:rPr>
            </w:pPr>
            <w:r>
              <w:t>7</w:t>
            </w:r>
          </w:p>
        </w:tc>
      </w:tr>
      <w:tr w:rsidR="006A527F" w14:paraId="47C6F3C1" w14:textId="77777777" w:rsidTr="001B3C26">
        <w:tc>
          <w:tcPr>
            <w:tcW w:w="4675" w:type="dxa"/>
            <w:vAlign w:val="bottom"/>
          </w:tcPr>
          <w:p w14:paraId="76EE2505" w14:textId="06852189" w:rsidR="006A527F" w:rsidRDefault="006A527F" w:rsidP="006A527F">
            <w:pPr>
              <w:rPr>
                <w:color w:val="FF0000"/>
              </w:rPr>
            </w:pPr>
            <w:r>
              <w:t>Horry</w:t>
            </w:r>
          </w:p>
        </w:tc>
        <w:tc>
          <w:tcPr>
            <w:tcW w:w="4675" w:type="dxa"/>
            <w:vAlign w:val="bottom"/>
          </w:tcPr>
          <w:p w14:paraId="290F373D" w14:textId="3C643B51" w:rsidR="006A527F" w:rsidRDefault="006A527F" w:rsidP="006A527F">
            <w:pPr>
              <w:rPr>
                <w:color w:val="FF0000"/>
              </w:rPr>
            </w:pPr>
            <w:r>
              <w:t>163</w:t>
            </w:r>
          </w:p>
        </w:tc>
      </w:tr>
      <w:tr w:rsidR="006A527F" w14:paraId="03BA2A69" w14:textId="77777777" w:rsidTr="001B3C26">
        <w:tc>
          <w:tcPr>
            <w:tcW w:w="4675" w:type="dxa"/>
            <w:vAlign w:val="bottom"/>
          </w:tcPr>
          <w:p w14:paraId="36820FBA" w14:textId="6C447541" w:rsidR="006A527F" w:rsidRDefault="006A527F" w:rsidP="006A527F">
            <w:pPr>
              <w:rPr>
                <w:color w:val="FF0000"/>
              </w:rPr>
            </w:pPr>
            <w:r>
              <w:t>Jasper</w:t>
            </w:r>
          </w:p>
        </w:tc>
        <w:tc>
          <w:tcPr>
            <w:tcW w:w="4675" w:type="dxa"/>
            <w:vAlign w:val="bottom"/>
          </w:tcPr>
          <w:p w14:paraId="36A21987" w14:textId="19532EDC" w:rsidR="006A527F" w:rsidRDefault="006A527F" w:rsidP="006A527F">
            <w:pPr>
              <w:rPr>
                <w:color w:val="FF0000"/>
              </w:rPr>
            </w:pPr>
            <w:r>
              <w:t>3</w:t>
            </w:r>
          </w:p>
        </w:tc>
      </w:tr>
      <w:tr w:rsidR="006A527F" w14:paraId="0DE4CE70" w14:textId="77777777" w:rsidTr="001B3C26">
        <w:tc>
          <w:tcPr>
            <w:tcW w:w="4675" w:type="dxa"/>
            <w:vAlign w:val="bottom"/>
          </w:tcPr>
          <w:p w14:paraId="17F9B3DF" w14:textId="27396525" w:rsidR="006A527F" w:rsidRDefault="006A527F" w:rsidP="006A527F">
            <w:pPr>
              <w:rPr>
                <w:color w:val="FF0000"/>
              </w:rPr>
            </w:pPr>
            <w:r>
              <w:t>Kershaw</w:t>
            </w:r>
          </w:p>
        </w:tc>
        <w:tc>
          <w:tcPr>
            <w:tcW w:w="4675" w:type="dxa"/>
            <w:vAlign w:val="bottom"/>
          </w:tcPr>
          <w:p w14:paraId="61762E8D" w14:textId="5FEA1142" w:rsidR="006A527F" w:rsidRDefault="006A527F" w:rsidP="006A527F">
            <w:pPr>
              <w:rPr>
                <w:color w:val="FF0000"/>
              </w:rPr>
            </w:pPr>
            <w:r>
              <w:t>34</w:t>
            </w:r>
          </w:p>
        </w:tc>
      </w:tr>
      <w:tr w:rsidR="006A527F" w14:paraId="03040067" w14:textId="77777777" w:rsidTr="001B3C26">
        <w:tc>
          <w:tcPr>
            <w:tcW w:w="4675" w:type="dxa"/>
            <w:vAlign w:val="bottom"/>
          </w:tcPr>
          <w:p w14:paraId="1DD051CA" w14:textId="31A5027E" w:rsidR="006A527F" w:rsidRDefault="006A527F" w:rsidP="006A527F">
            <w:pPr>
              <w:rPr>
                <w:color w:val="FF0000"/>
              </w:rPr>
            </w:pPr>
            <w:r>
              <w:t>Lancaster</w:t>
            </w:r>
          </w:p>
        </w:tc>
        <w:tc>
          <w:tcPr>
            <w:tcW w:w="4675" w:type="dxa"/>
            <w:vAlign w:val="bottom"/>
          </w:tcPr>
          <w:p w14:paraId="5BDE8793" w14:textId="225D7CBC" w:rsidR="006A527F" w:rsidRDefault="006A527F" w:rsidP="006A527F">
            <w:pPr>
              <w:rPr>
                <w:color w:val="FF0000"/>
              </w:rPr>
            </w:pPr>
            <w:r>
              <w:t>19</w:t>
            </w:r>
          </w:p>
        </w:tc>
      </w:tr>
      <w:tr w:rsidR="006A527F" w14:paraId="0C1BA65D" w14:textId="77777777" w:rsidTr="001B3C26">
        <w:tc>
          <w:tcPr>
            <w:tcW w:w="4675" w:type="dxa"/>
            <w:vAlign w:val="bottom"/>
          </w:tcPr>
          <w:p w14:paraId="4B901568" w14:textId="7786ED6B" w:rsidR="006A527F" w:rsidRDefault="006A527F" w:rsidP="006A527F">
            <w:pPr>
              <w:rPr>
                <w:color w:val="FF0000"/>
              </w:rPr>
            </w:pPr>
            <w:r>
              <w:t>Laurens</w:t>
            </w:r>
          </w:p>
        </w:tc>
        <w:tc>
          <w:tcPr>
            <w:tcW w:w="4675" w:type="dxa"/>
            <w:vAlign w:val="bottom"/>
          </w:tcPr>
          <w:p w14:paraId="71921424" w14:textId="0E4F19C2" w:rsidR="006A527F" w:rsidRDefault="006A527F" w:rsidP="006A527F">
            <w:pPr>
              <w:rPr>
                <w:color w:val="FF0000"/>
              </w:rPr>
            </w:pPr>
            <w:r>
              <w:t>103</w:t>
            </w:r>
          </w:p>
        </w:tc>
      </w:tr>
      <w:tr w:rsidR="006A527F" w14:paraId="14AF921A" w14:textId="77777777" w:rsidTr="001B3C26">
        <w:tc>
          <w:tcPr>
            <w:tcW w:w="4675" w:type="dxa"/>
            <w:vAlign w:val="bottom"/>
          </w:tcPr>
          <w:p w14:paraId="1BC9E5E0" w14:textId="0B9BF2EF" w:rsidR="006A527F" w:rsidRDefault="006A527F" w:rsidP="006A527F">
            <w:pPr>
              <w:rPr>
                <w:color w:val="FF0000"/>
              </w:rPr>
            </w:pPr>
            <w:r>
              <w:t>Lee</w:t>
            </w:r>
          </w:p>
        </w:tc>
        <w:tc>
          <w:tcPr>
            <w:tcW w:w="4675" w:type="dxa"/>
            <w:vAlign w:val="bottom"/>
          </w:tcPr>
          <w:p w14:paraId="2B847CAC" w14:textId="78C36AED" w:rsidR="006A527F" w:rsidRDefault="006A527F" w:rsidP="006A527F">
            <w:pPr>
              <w:rPr>
                <w:color w:val="FF0000"/>
              </w:rPr>
            </w:pPr>
            <w:r>
              <w:t>6</w:t>
            </w:r>
          </w:p>
        </w:tc>
      </w:tr>
      <w:tr w:rsidR="006A527F" w14:paraId="664FCA40" w14:textId="77777777" w:rsidTr="001B3C26">
        <w:tc>
          <w:tcPr>
            <w:tcW w:w="4675" w:type="dxa"/>
            <w:vAlign w:val="bottom"/>
          </w:tcPr>
          <w:p w14:paraId="2E84AB17" w14:textId="7BE9F776" w:rsidR="006A527F" w:rsidRDefault="006A527F" w:rsidP="006A527F">
            <w:pPr>
              <w:rPr>
                <w:color w:val="FF0000"/>
              </w:rPr>
            </w:pPr>
            <w:r>
              <w:t>Lexington</w:t>
            </w:r>
          </w:p>
        </w:tc>
        <w:tc>
          <w:tcPr>
            <w:tcW w:w="4675" w:type="dxa"/>
            <w:vAlign w:val="bottom"/>
          </w:tcPr>
          <w:p w14:paraId="32A45B50" w14:textId="59C76353" w:rsidR="006A527F" w:rsidRDefault="006A527F" w:rsidP="006A527F">
            <w:pPr>
              <w:rPr>
                <w:color w:val="FF0000"/>
              </w:rPr>
            </w:pPr>
            <w:r>
              <w:t>678</w:t>
            </w:r>
          </w:p>
        </w:tc>
      </w:tr>
      <w:tr w:rsidR="006A527F" w14:paraId="51BE964A" w14:textId="77777777" w:rsidTr="001B3C26">
        <w:tc>
          <w:tcPr>
            <w:tcW w:w="4675" w:type="dxa"/>
            <w:vAlign w:val="bottom"/>
          </w:tcPr>
          <w:p w14:paraId="1E0EF050" w14:textId="513A51ED" w:rsidR="006A527F" w:rsidRDefault="006A527F" w:rsidP="006A527F">
            <w:pPr>
              <w:rPr>
                <w:color w:val="FF0000"/>
              </w:rPr>
            </w:pPr>
            <w:r>
              <w:t>Marion</w:t>
            </w:r>
          </w:p>
        </w:tc>
        <w:tc>
          <w:tcPr>
            <w:tcW w:w="4675" w:type="dxa"/>
            <w:vAlign w:val="bottom"/>
          </w:tcPr>
          <w:p w14:paraId="3E25F897" w14:textId="4565C4B8" w:rsidR="006A527F" w:rsidRDefault="006A527F" w:rsidP="006A527F">
            <w:pPr>
              <w:rPr>
                <w:color w:val="FF0000"/>
              </w:rPr>
            </w:pPr>
            <w:r>
              <w:t>19</w:t>
            </w:r>
          </w:p>
        </w:tc>
      </w:tr>
      <w:tr w:rsidR="006A527F" w14:paraId="308632D0" w14:textId="77777777" w:rsidTr="001B3C26">
        <w:tc>
          <w:tcPr>
            <w:tcW w:w="4675" w:type="dxa"/>
            <w:vAlign w:val="bottom"/>
          </w:tcPr>
          <w:p w14:paraId="17988222" w14:textId="6C389597" w:rsidR="006A527F" w:rsidRDefault="006A527F" w:rsidP="006A527F">
            <w:pPr>
              <w:rPr>
                <w:color w:val="FF0000"/>
              </w:rPr>
            </w:pPr>
            <w:r>
              <w:t>Marlboro</w:t>
            </w:r>
          </w:p>
        </w:tc>
        <w:tc>
          <w:tcPr>
            <w:tcW w:w="4675" w:type="dxa"/>
            <w:vAlign w:val="bottom"/>
          </w:tcPr>
          <w:p w14:paraId="50C4FF62" w14:textId="51CFBE63" w:rsidR="006A527F" w:rsidRDefault="006A527F" w:rsidP="006A527F">
            <w:pPr>
              <w:rPr>
                <w:color w:val="FF0000"/>
              </w:rPr>
            </w:pPr>
            <w:r>
              <w:t>6</w:t>
            </w:r>
          </w:p>
        </w:tc>
      </w:tr>
      <w:tr w:rsidR="006A527F" w14:paraId="20FE030B" w14:textId="77777777" w:rsidTr="001B3C26">
        <w:tc>
          <w:tcPr>
            <w:tcW w:w="4675" w:type="dxa"/>
            <w:vAlign w:val="bottom"/>
          </w:tcPr>
          <w:p w14:paraId="275811BB" w14:textId="29C7B176" w:rsidR="006A527F" w:rsidRDefault="006A527F" w:rsidP="006A527F">
            <w:pPr>
              <w:rPr>
                <w:color w:val="FF0000"/>
              </w:rPr>
            </w:pPr>
            <w:r>
              <w:t>McCormick</w:t>
            </w:r>
          </w:p>
        </w:tc>
        <w:tc>
          <w:tcPr>
            <w:tcW w:w="4675" w:type="dxa"/>
            <w:vAlign w:val="bottom"/>
          </w:tcPr>
          <w:p w14:paraId="78AD074D" w14:textId="6CEFB902" w:rsidR="006A527F" w:rsidRDefault="006A527F" w:rsidP="006A527F">
            <w:pPr>
              <w:rPr>
                <w:color w:val="FF0000"/>
              </w:rPr>
            </w:pPr>
            <w:r>
              <w:t>313</w:t>
            </w:r>
          </w:p>
        </w:tc>
      </w:tr>
      <w:tr w:rsidR="006A527F" w14:paraId="5BE8664D" w14:textId="77777777" w:rsidTr="001B3C26">
        <w:tc>
          <w:tcPr>
            <w:tcW w:w="4675" w:type="dxa"/>
            <w:vAlign w:val="bottom"/>
          </w:tcPr>
          <w:p w14:paraId="4BC79064" w14:textId="439963F5" w:rsidR="006A527F" w:rsidRDefault="006A527F" w:rsidP="006A527F">
            <w:pPr>
              <w:rPr>
                <w:color w:val="FF0000"/>
              </w:rPr>
            </w:pPr>
            <w:r>
              <w:t>Newberry</w:t>
            </w:r>
          </w:p>
        </w:tc>
        <w:tc>
          <w:tcPr>
            <w:tcW w:w="4675" w:type="dxa"/>
            <w:vAlign w:val="bottom"/>
          </w:tcPr>
          <w:p w14:paraId="41FB2C89" w14:textId="6E9C8CEF" w:rsidR="006A527F" w:rsidRDefault="006A527F" w:rsidP="006A527F">
            <w:pPr>
              <w:rPr>
                <w:color w:val="FF0000"/>
              </w:rPr>
            </w:pPr>
            <w:r>
              <w:t>63</w:t>
            </w:r>
          </w:p>
        </w:tc>
      </w:tr>
      <w:tr w:rsidR="006A527F" w14:paraId="2101473F" w14:textId="77777777" w:rsidTr="001B3C26">
        <w:tc>
          <w:tcPr>
            <w:tcW w:w="4675" w:type="dxa"/>
            <w:vAlign w:val="bottom"/>
          </w:tcPr>
          <w:p w14:paraId="7DA96C57" w14:textId="06D7B25A" w:rsidR="006A527F" w:rsidRDefault="006A527F" w:rsidP="006A527F">
            <w:pPr>
              <w:rPr>
                <w:color w:val="FF0000"/>
              </w:rPr>
            </w:pPr>
            <w:r>
              <w:t>Oconee</w:t>
            </w:r>
          </w:p>
        </w:tc>
        <w:tc>
          <w:tcPr>
            <w:tcW w:w="4675" w:type="dxa"/>
            <w:vAlign w:val="bottom"/>
          </w:tcPr>
          <w:p w14:paraId="67AE33AC" w14:textId="1BE1CE09" w:rsidR="006A527F" w:rsidRDefault="006A527F" w:rsidP="006A527F">
            <w:pPr>
              <w:rPr>
                <w:color w:val="FF0000"/>
              </w:rPr>
            </w:pPr>
            <w:r>
              <w:t>28</w:t>
            </w:r>
          </w:p>
        </w:tc>
      </w:tr>
      <w:tr w:rsidR="006A527F" w14:paraId="2C524E9A" w14:textId="77777777" w:rsidTr="001B3C26">
        <w:tc>
          <w:tcPr>
            <w:tcW w:w="4675" w:type="dxa"/>
            <w:vAlign w:val="bottom"/>
          </w:tcPr>
          <w:p w14:paraId="4916F5BB" w14:textId="40A9F09B" w:rsidR="006A527F" w:rsidRDefault="006A527F" w:rsidP="006A527F">
            <w:pPr>
              <w:rPr>
                <w:color w:val="FF0000"/>
              </w:rPr>
            </w:pPr>
            <w:r>
              <w:t>Orangeburg</w:t>
            </w:r>
          </w:p>
        </w:tc>
        <w:tc>
          <w:tcPr>
            <w:tcW w:w="4675" w:type="dxa"/>
            <w:vAlign w:val="bottom"/>
          </w:tcPr>
          <w:p w14:paraId="10DDE978" w14:textId="52805322" w:rsidR="006A527F" w:rsidRDefault="006A527F" w:rsidP="006A527F">
            <w:pPr>
              <w:rPr>
                <w:color w:val="FF0000"/>
              </w:rPr>
            </w:pPr>
            <w:r>
              <w:t>49</w:t>
            </w:r>
          </w:p>
        </w:tc>
      </w:tr>
      <w:tr w:rsidR="006A527F" w14:paraId="378A1127" w14:textId="77777777" w:rsidTr="001B3C26">
        <w:tc>
          <w:tcPr>
            <w:tcW w:w="4675" w:type="dxa"/>
            <w:vAlign w:val="bottom"/>
          </w:tcPr>
          <w:p w14:paraId="6C9E31A6" w14:textId="20021D9D" w:rsidR="006A527F" w:rsidRDefault="006A527F" w:rsidP="006A527F">
            <w:pPr>
              <w:rPr>
                <w:color w:val="FF0000"/>
              </w:rPr>
            </w:pPr>
            <w:r>
              <w:t>Pickens</w:t>
            </w:r>
          </w:p>
        </w:tc>
        <w:tc>
          <w:tcPr>
            <w:tcW w:w="4675" w:type="dxa"/>
            <w:vAlign w:val="bottom"/>
          </w:tcPr>
          <w:p w14:paraId="0BE3A6FE" w14:textId="0C36D6D9" w:rsidR="006A527F" w:rsidRDefault="006A527F" w:rsidP="006A527F">
            <w:pPr>
              <w:rPr>
                <w:color w:val="FF0000"/>
              </w:rPr>
            </w:pPr>
            <w:r>
              <w:t>20</w:t>
            </w:r>
          </w:p>
        </w:tc>
      </w:tr>
      <w:tr w:rsidR="006A527F" w14:paraId="509B12BA" w14:textId="77777777" w:rsidTr="001B3C26">
        <w:tc>
          <w:tcPr>
            <w:tcW w:w="4675" w:type="dxa"/>
            <w:vAlign w:val="bottom"/>
          </w:tcPr>
          <w:p w14:paraId="46C0C575" w14:textId="2EDCE8E6" w:rsidR="006A527F" w:rsidRDefault="006A527F" w:rsidP="006A527F">
            <w:pPr>
              <w:rPr>
                <w:color w:val="FF0000"/>
              </w:rPr>
            </w:pPr>
            <w:r>
              <w:t>Richland</w:t>
            </w:r>
          </w:p>
        </w:tc>
        <w:tc>
          <w:tcPr>
            <w:tcW w:w="4675" w:type="dxa"/>
            <w:vAlign w:val="bottom"/>
          </w:tcPr>
          <w:p w14:paraId="6C63ED7F" w14:textId="6BDF7D85" w:rsidR="006A527F" w:rsidRDefault="006A527F" w:rsidP="006A527F">
            <w:pPr>
              <w:rPr>
                <w:color w:val="FF0000"/>
              </w:rPr>
            </w:pPr>
            <w:r>
              <w:t>515</w:t>
            </w:r>
          </w:p>
        </w:tc>
      </w:tr>
      <w:tr w:rsidR="006A527F" w14:paraId="26D4C2C3" w14:textId="77777777" w:rsidTr="001B3C26">
        <w:tc>
          <w:tcPr>
            <w:tcW w:w="4675" w:type="dxa"/>
            <w:vAlign w:val="bottom"/>
          </w:tcPr>
          <w:p w14:paraId="682A517E" w14:textId="77DF3978" w:rsidR="006A527F" w:rsidRDefault="006A527F" w:rsidP="006A527F">
            <w:pPr>
              <w:rPr>
                <w:color w:val="FF0000"/>
              </w:rPr>
            </w:pPr>
            <w:r>
              <w:t>Saluda</w:t>
            </w:r>
          </w:p>
        </w:tc>
        <w:tc>
          <w:tcPr>
            <w:tcW w:w="4675" w:type="dxa"/>
            <w:vAlign w:val="bottom"/>
          </w:tcPr>
          <w:p w14:paraId="3A854C81" w14:textId="49ACAED9" w:rsidR="006A527F" w:rsidRDefault="006A527F" w:rsidP="006A527F">
            <w:pPr>
              <w:rPr>
                <w:color w:val="FF0000"/>
              </w:rPr>
            </w:pPr>
            <w:r>
              <w:t>57</w:t>
            </w:r>
          </w:p>
        </w:tc>
      </w:tr>
      <w:tr w:rsidR="006A527F" w14:paraId="7B749B9F" w14:textId="77777777" w:rsidTr="001B3C26">
        <w:tc>
          <w:tcPr>
            <w:tcW w:w="4675" w:type="dxa"/>
            <w:vAlign w:val="bottom"/>
          </w:tcPr>
          <w:p w14:paraId="4B407AC5" w14:textId="00BC9739" w:rsidR="006A527F" w:rsidRDefault="006A527F" w:rsidP="006A527F">
            <w:pPr>
              <w:rPr>
                <w:color w:val="FF0000"/>
              </w:rPr>
            </w:pPr>
            <w:r>
              <w:t>Spartanburg</w:t>
            </w:r>
          </w:p>
        </w:tc>
        <w:tc>
          <w:tcPr>
            <w:tcW w:w="4675" w:type="dxa"/>
            <w:vAlign w:val="bottom"/>
          </w:tcPr>
          <w:p w14:paraId="03B2BFCC" w14:textId="5E0217C2" w:rsidR="006A527F" w:rsidRDefault="006A527F" w:rsidP="006A527F">
            <w:pPr>
              <w:rPr>
                <w:color w:val="FF0000"/>
              </w:rPr>
            </w:pPr>
            <w:r>
              <w:t>54</w:t>
            </w:r>
          </w:p>
        </w:tc>
      </w:tr>
      <w:tr w:rsidR="006A527F" w14:paraId="243C6353" w14:textId="77777777" w:rsidTr="001B3C26">
        <w:tc>
          <w:tcPr>
            <w:tcW w:w="4675" w:type="dxa"/>
            <w:vAlign w:val="bottom"/>
          </w:tcPr>
          <w:p w14:paraId="43830A8A" w14:textId="11565435" w:rsidR="006A527F" w:rsidRDefault="006A527F" w:rsidP="006A527F">
            <w:pPr>
              <w:rPr>
                <w:color w:val="FF0000"/>
              </w:rPr>
            </w:pPr>
            <w:r>
              <w:t>Sumter</w:t>
            </w:r>
          </w:p>
        </w:tc>
        <w:tc>
          <w:tcPr>
            <w:tcW w:w="4675" w:type="dxa"/>
            <w:vAlign w:val="bottom"/>
          </w:tcPr>
          <w:p w14:paraId="153819A4" w14:textId="37E93552" w:rsidR="006A527F" w:rsidRDefault="006A527F" w:rsidP="006A527F">
            <w:pPr>
              <w:rPr>
                <w:color w:val="FF0000"/>
              </w:rPr>
            </w:pPr>
            <w:r>
              <w:t>21</w:t>
            </w:r>
          </w:p>
        </w:tc>
      </w:tr>
      <w:tr w:rsidR="006A527F" w14:paraId="7ABA5B8A" w14:textId="77777777" w:rsidTr="001B3C26">
        <w:tc>
          <w:tcPr>
            <w:tcW w:w="4675" w:type="dxa"/>
            <w:vAlign w:val="bottom"/>
          </w:tcPr>
          <w:p w14:paraId="3BBB2A37" w14:textId="08AF49E2" w:rsidR="006A527F" w:rsidRDefault="006A527F" w:rsidP="006A527F">
            <w:pPr>
              <w:rPr>
                <w:color w:val="FF0000"/>
              </w:rPr>
            </w:pPr>
            <w:r>
              <w:t>Union</w:t>
            </w:r>
          </w:p>
        </w:tc>
        <w:tc>
          <w:tcPr>
            <w:tcW w:w="4675" w:type="dxa"/>
            <w:vAlign w:val="bottom"/>
          </w:tcPr>
          <w:p w14:paraId="164F4943" w14:textId="47B21454" w:rsidR="006A527F" w:rsidRDefault="006A527F" w:rsidP="006A527F">
            <w:pPr>
              <w:rPr>
                <w:color w:val="FF0000"/>
              </w:rPr>
            </w:pPr>
            <w:r>
              <w:t>8</w:t>
            </w:r>
          </w:p>
        </w:tc>
      </w:tr>
      <w:tr w:rsidR="006A527F" w14:paraId="5EA63498" w14:textId="77777777" w:rsidTr="001B3C26">
        <w:tc>
          <w:tcPr>
            <w:tcW w:w="4675" w:type="dxa"/>
            <w:vAlign w:val="bottom"/>
          </w:tcPr>
          <w:p w14:paraId="5A56B2EB" w14:textId="15C2C152" w:rsidR="006A527F" w:rsidRDefault="006A527F" w:rsidP="006A527F">
            <w:pPr>
              <w:rPr>
                <w:color w:val="FF0000"/>
              </w:rPr>
            </w:pPr>
            <w:r>
              <w:t>Williamsburg</w:t>
            </w:r>
          </w:p>
        </w:tc>
        <w:tc>
          <w:tcPr>
            <w:tcW w:w="4675" w:type="dxa"/>
            <w:vAlign w:val="bottom"/>
          </w:tcPr>
          <w:p w14:paraId="4B1ACFE4" w14:textId="6B7F225B" w:rsidR="006A527F" w:rsidRDefault="006A527F" w:rsidP="006A527F">
            <w:pPr>
              <w:rPr>
                <w:color w:val="FF0000"/>
              </w:rPr>
            </w:pPr>
            <w:r>
              <w:t>50</w:t>
            </w:r>
          </w:p>
        </w:tc>
      </w:tr>
      <w:tr w:rsidR="006A527F" w14:paraId="69A211A0" w14:textId="77777777" w:rsidTr="001B3C26">
        <w:tc>
          <w:tcPr>
            <w:tcW w:w="4675" w:type="dxa"/>
            <w:vAlign w:val="bottom"/>
          </w:tcPr>
          <w:p w14:paraId="293C9219" w14:textId="0755E669" w:rsidR="006A527F" w:rsidRDefault="006A527F" w:rsidP="006A527F">
            <w:pPr>
              <w:rPr>
                <w:color w:val="FF0000"/>
              </w:rPr>
            </w:pPr>
            <w:r>
              <w:t>York</w:t>
            </w:r>
          </w:p>
        </w:tc>
        <w:tc>
          <w:tcPr>
            <w:tcW w:w="4675" w:type="dxa"/>
            <w:vAlign w:val="bottom"/>
          </w:tcPr>
          <w:p w14:paraId="13BD8B9F" w14:textId="05750C76" w:rsidR="006A527F" w:rsidRDefault="006A527F" w:rsidP="006A527F">
            <w:pPr>
              <w:rPr>
                <w:color w:val="FF0000"/>
              </w:rPr>
            </w:pPr>
            <w:r>
              <w:t>34</w:t>
            </w:r>
          </w:p>
        </w:tc>
      </w:tr>
    </w:tbl>
    <w:p w14:paraId="396A30B9" w14:textId="0BF645C3" w:rsidR="00544798" w:rsidRPr="007A742B" w:rsidRDefault="00544798" w:rsidP="00544798">
      <w:r w:rsidRPr="007A742B">
        <w:t>Source: SC Community Health Needs Assessment, 2023.</w:t>
      </w:r>
    </w:p>
    <w:p w14:paraId="39DC0BD0" w14:textId="77777777" w:rsidR="00544798" w:rsidRPr="007A742B" w:rsidRDefault="00544798" w:rsidP="00544798">
      <w:r w:rsidRPr="007A742B">
        <w:t>Notes: Data collection as of August 24, 2023.</w:t>
      </w:r>
    </w:p>
    <w:p w14:paraId="49BE05E6" w14:textId="77777777" w:rsidR="00544798" w:rsidRDefault="00544798" w:rsidP="00544798"/>
    <w:p w14:paraId="19F53282" w14:textId="66BF0702" w:rsidR="00544798" w:rsidRDefault="00544798" w:rsidP="00544798">
      <w:r w:rsidRPr="007A742B">
        <w:t xml:space="preserve">Over 60.0% of survey respondents identified themselves as White, followed by 30.4% identifying as Black. This racial distribution is </w:t>
      </w:r>
      <w:proofErr w:type="gramStart"/>
      <w:r w:rsidRPr="007A742B">
        <w:t>similar to</w:t>
      </w:r>
      <w:proofErr w:type="gramEnd"/>
      <w:r w:rsidRPr="007A742B">
        <w:t xml:space="preserve"> what is seen at the state level. </w:t>
      </w:r>
      <w:r w:rsidR="0087480F" w:rsidRPr="0087480F">
        <w:t>Only 3.4% of survey respondents identified as Hispanic, lower than the state distribution of over 6.0%</w:t>
      </w:r>
      <w:r w:rsidRPr="007A742B">
        <w:t xml:space="preserve">. Over three in four survey respondents were female, higher than the sex distribution of the state (51.6%). One in five survey respondents were 65 and older, slightly higher than the state distribution of 18.7%. Although the survey was widely promoted, 50.2% of survey respondents had a bachelor’s degree or higher, nearly double what is seen among residents 18 </w:t>
      </w:r>
      <w:r w:rsidRPr="007A742B">
        <w:lastRenderedPageBreak/>
        <w:t xml:space="preserve">and older (29.2%). Survey respondents were more likely to be employed (70.3%) than compared to the state population (55.5%). An additional 17.9% of survey respondents were retired. </w:t>
      </w:r>
    </w:p>
    <w:p w14:paraId="4FFCB61D" w14:textId="77777777" w:rsidR="0087480F" w:rsidRPr="007A742B" w:rsidRDefault="0087480F" w:rsidP="00544798"/>
    <w:p w14:paraId="6E9F528E" w14:textId="02E7A54E" w:rsidR="00544798" w:rsidRPr="007A742B" w:rsidRDefault="00544798" w:rsidP="00544798">
      <w:r w:rsidRPr="007A742B">
        <w:t>Twenty-eight percent of survey respondents reported the health of their community as very good or excellent, nearly seven times higher than what was reported during the 2018 SC State Health Assessment (</w:t>
      </w:r>
      <w:r w:rsidRPr="007A742B">
        <w:rPr>
          <w:b/>
          <w:bCs/>
        </w:rPr>
        <w:t>Figure 2</w:t>
      </w:r>
      <w:r w:rsidRPr="007A742B">
        <w:t>). An additional 43.3% of survey respondents reported the health of their community as good. Only 4.4% of survey respondents reported their community’s health as poor.</w:t>
      </w:r>
    </w:p>
    <w:p w14:paraId="712F0DAA" w14:textId="77777777" w:rsidR="00544798" w:rsidRDefault="00544798" w:rsidP="00544798"/>
    <w:p w14:paraId="352C2B2B" w14:textId="77777777" w:rsidR="00544798" w:rsidRDefault="00544798" w:rsidP="00544798">
      <w:pPr>
        <w:pStyle w:val="Heading4"/>
      </w:pPr>
      <w:bookmarkStart w:id="1090" w:name="_Toc154569718"/>
      <w:bookmarkStart w:id="1091" w:name="_Toc162267748"/>
      <w:r>
        <w:t>Figure 2: How Healthy is Your Community?</w:t>
      </w:r>
      <w:bookmarkEnd w:id="1090"/>
      <w:bookmarkEnd w:id="1091"/>
    </w:p>
    <w:tbl>
      <w:tblPr>
        <w:tblStyle w:val="TableGrid"/>
        <w:tblW w:w="0" w:type="auto"/>
        <w:tblLook w:val="04A0" w:firstRow="1" w:lastRow="0" w:firstColumn="1" w:lastColumn="0" w:noHBand="0" w:noVBand="1"/>
      </w:tblPr>
      <w:tblGrid>
        <w:gridCol w:w="4675"/>
        <w:gridCol w:w="4675"/>
      </w:tblGrid>
      <w:tr w:rsidR="00544798" w14:paraId="07E23F36" w14:textId="77777777" w:rsidTr="001515D5">
        <w:tc>
          <w:tcPr>
            <w:tcW w:w="4675" w:type="dxa"/>
          </w:tcPr>
          <w:p w14:paraId="7A80E690" w14:textId="77777777" w:rsidR="00544798" w:rsidRDefault="00544798" w:rsidP="001515D5">
            <w:r>
              <w:t>Perception</w:t>
            </w:r>
          </w:p>
        </w:tc>
        <w:tc>
          <w:tcPr>
            <w:tcW w:w="4675" w:type="dxa"/>
          </w:tcPr>
          <w:p w14:paraId="3E1A0944" w14:textId="77777777" w:rsidR="00544798" w:rsidRDefault="00544798" w:rsidP="001515D5">
            <w:r>
              <w:t>Percent</w:t>
            </w:r>
          </w:p>
        </w:tc>
      </w:tr>
      <w:tr w:rsidR="00544798" w14:paraId="1052151D" w14:textId="77777777" w:rsidTr="001515D5">
        <w:tc>
          <w:tcPr>
            <w:tcW w:w="4675" w:type="dxa"/>
          </w:tcPr>
          <w:p w14:paraId="0D9FB55D" w14:textId="77777777" w:rsidR="00544798" w:rsidRDefault="00544798" w:rsidP="001515D5">
            <w:r>
              <w:t>Very Good/Excellent</w:t>
            </w:r>
          </w:p>
        </w:tc>
        <w:tc>
          <w:tcPr>
            <w:tcW w:w="4675" w:type="dxa"/>
          </w:tcPr>
          <w:p w14:paraId="42FD73D9" w14:textId="77777777" w:rsidR="00544798" w:rsidRDefault="00544798" w:rsidP="001515D5">
            <w:r>
              <w:t>28.4%</w:t>
            </w:r>
          </w:p>
        </w:tc>
      </w:tr>
      <w:tr w:rsidR="00544798" w14:paraId="19191B27" w14:textId="77777777" w:rsidTr="001515D5">
        <w:tc>
          <w:tcPr>
            <w:tcW w:w="4675" w:type="dxa"/>
          </w:tcPr>
          <w:p w14:paraId="3800C5BD" w14:textId="77777777" w:rsidR="00544798" w:rsidRDefault="00544798" w:rsidP="001515D5">
            <w:r>
              <w:t>Good</w:t>
            </w:r>
          </w:p>
        </w:tc>
        <w:tc>
          <w:tcPr>
            <w:tcW w:w="4675" w:type="dxa"/>
          </w:tcPr>
          <w:p w14:paraId="10AEB316" w14:textId="77777777" w:rsidR="00544798" w:rsidRDefault="00544798" w:rsidP="001515D5">
            <w:r>
              <w:t>43.3%</w:t>
            </w:r>
          </w:p>
        </w:tc>
      </w:tr>
      <w:tr w:rsidR="00544798" w14:paraId="63E693FB" w14:textId="77777777" w:rsidTr="001515D5">
        <w:tc>
          <w:tcPr>
            <w:tcW w:w="4675" w:type="dxa"/>
          </w:tcPr>
          <w:p w14:paraId="73335792" w14:textId="77777777" w:rsidR="00544798" w:rsidRDefault="00544798" w:rsidP="001515D5">
            <w:r>
              <w:t>Fair</w:t>
            </w:r>
          </w:p>
        </w:tc>
        <w:tc>
          <w:tcPr>
            <w:tcW w:w="4675" w:type="dxa"/>
          </w:tcPr>
          <w:p w14:paraId="13B362EB" w14:textId="77777777" w:rsidR="00544798" w:rsidRDefault="00544798" w:rsidP="001515D5">
            <w:r>
              <w:t>23.9%</w:t>
            </w:r>
          </w:p>
        </w:tc>
      </w:tr>
      <w:tr w:rsidR="00544798" w14:paraId="2689A4CD" w14:textId="77777777" w:rsidTr="001515D5">
        <w:tc>
          <w:tcPr>
            <w:tcW w:w="4675" w:type="dxa"/>
          </w:tcPr>
          <w:p w14:paraId="1FC7F062" w14:textId="77777777" w:rsidR="00544798" w:rsidRDefault="00544798" w:rsidP="001515D5">
            <w:r>
              <w:t>Poor</w:t>
            </w:r>
          </w:p>
        </w:tc>
        <w:tc>
          <w:tcPr>
            <w:tcW w:w="4675" w:type="dxa"/>
          </w:tcPr>
          <w:p w14:paraId="545D9E2A" w14:textId="77777777" w:rsidR="00544798" w:rsidRDefault="00544798" w:rsidP="001515D5">
            <w:r>
              <w:t>4.4%</w:t>
            </w:r>
          </w:p>
        </w:tc>
      </w:tr>
    </w:tbl>
    <w:p w14:paraId="09840366" w14:textId="77777777" w:rsidR="00544798" w:rsidRPr="007A742B" w:rsidRDefault="00544798" w:rsidP="00544798">
      <w:r w:rsidRPr="007A742B">
        <w:t>Source: SC Community Health Needs Assessment, 2023.</w:t>
      </w:r>
    </w:p>
    <w:p w14:paraId="28831900" w14:textId="77777777" w:rsidR="00544798" w:rsidRDefault="00544798" w:rsidP="00544798">
      <w:r w:rsidRPr="007A742B">
        <w:t>Notes: Data collection as of August 24, 2023.</w:t>
      </w:r>
    </w:p>
    <w:p w14:paraId="4862F0A3" w14:textId="77777777" w:rsidR="00544798" w:rsidRDefault="00544798" w:rsidP="00544798"/>
    <w:p w14:paraId="16B67CAD" w14:textId="77777777" w:rsidR="00544798" w:rsidRPr="007A742B" w:rsidRDefault="00544798" w:rsidP="00544798">
      <w:pPr>
        <w:pStyle w:val="Heading5"/>
      </w:pPr>
      <w:r w:rsidRPr="007A742B">
        <w:t>Among Individuals</w:t>
      </w:r>
    </w:p>
    <w:p w14:paraId="71D9BC0E" w14:textId="77777777" w:rsidR="00544798" w:rsidRPr="007A742B" w:rsidRDefault="00544798" w:rsidP="00544798">
      <w:r w:rsidRPr="007A742B">
        <w:t>Survey respondents were asked to identify the health services that were most important to keeping you healthy. The leading response, with nearly 60% of survey respondents listing it in the top four, was attending routine wellness checkups (</w:t>
      </w:r>
      <w:r w:rsidRPr="007A742B">
        <w:rPr>
          <w:b/>
          <w:bCs/>
        </w:rPr>
        <w:t>Figure 3</w:t>
      </w:r>
      <w:r w:rsidRPr="007A742B">
        <w:t xml:space="preserve">). Other common responses included hypertension care (43.0%), mental health/depression care (34.1%), and weight loss support (32.3%). It is important that individuals </w:t>
      </w:r>
      <w:proofErr w:type="gramStart"/>
      <w:r w:rsidRPr="007A742B">
        <w:t>are able to</w:t>
      </w:r>
      <w:proofErr w:type="gramEnd"/>
      <w:r w:rsidRPr="007A742B">
        <w:t xml:space="preserve"> be linked to care or aware of services that are provided in the state. </w:t>
      </w:r>
    </w:p>
    <w:p w14:paraId="491062AA" w14:textId="77777777" w:rsidR="00544798" w:rsidRDefault="00544798" w:rsidP="00544798"/>
    <w:p w14:paraId="14A5FE16" w14:textId="77777777" w:rsidR="00544798" w:rsidRDefault="00544798" w:rsidP="00544798">
      <w:pPr>
        <w:pStyle w:val="Heading4"/>
      </w:pPr>
      <w:bookmarkStart w:id="1092" w:name="_Toc154569719"/>
      <w:bookmarkStart w:id="1093" w:name="_Toc162267749"/>
      <w:r>
        <w:t>Figure 3: Top Four Health Services Most Important to Keeping You Healthy.</w:t>
      </w:r>
      <w:bookmarkEnd w:id="1092"/>
      <w:bookmarkEnd w:id="1093"/>
    </w:p>
    <w:tbl>
      <w:tblPr>
        <w:tblStyle w:val="TableGrid"/>
        <w:tblW w:w="0" w:type="auto"/>
        <w:tblLook w:val="04A0" w:firstRow="1" w:lastRow="0" w:firstColumn="1" w:lastColumn="0" w:noHBand="0" w:noVBand="1"/>
      </w:tblPr>
      <w:tblGrid>
        <w:gridCol w:w="4675"/>
        <w:gridCol w:w="4675"/>
      </w:tblGrid>
      <w:tr w:rsidR="00544798" w14:paraId="35BA5433" w14:textId="77777777" w:rsidTr="001515D5">
        <w:tc>
          <w:tcPr>
            <w:tcW w:w="4675" w:type="dxa"/>
          </w:tcPr>
          <w:p w14:paraId="3F113BCD" w14:textId="77777777" w:rsidR="00544798" w:rsidRDefault="00544798" w:rsidP="001515D5">
            <w:r>
              <w:t>Type of Service</w:t>
            </w:r>
          </w:p>
        </w:tc>
        <w:tc>
          <w:tcPr>
            <w:tcW w:w="4675" w:type="dxa"/>
          </w:tcPr>
          <w:p w14:paraId="13300EF4" w14:textId="77777777" w:rsidR="00544798" w:rsidRDefault="00544798" w:rsidP="001515D5">
            <w:r>
              <w:t>Percent</w:t>
            </w:r>
          </w:p>
        </w:tc>
      </w:tr>
      <w:tr w:rsidR="00544798" w14:paraId="2365AE2B" w14:textId="77777777" w:rsidTr="001515D5">
        <w:tc>
          <w:tcPr>
            <w:tcW w:w="4675" w:type="dxa"/>
          </w:tcPr>
          <w:p w14:paraId="483CECC9" w14:textId="77777777" w:rsidR="00544798" w:rsidRDefault="00544798" w:rsidP="001515D5">
            <w:r>
              <w:t xml:space="preserve">Routine Wellness Checkups </w:t>
            </w:r>
          </w:p>
        </w:tc>
        <w:tc>
          <w:tcPr>
            <w:tcW w:w="4675" w:type="dxa"/>
          </w:tcPr>
          <w:p w14:paraId="6454C710" w14:textId="77777777" w:rsidR="00544798" w:rsidRDefault="00544798" w:rsidP="001515D5">
            <w:r>
              <w:t>58.1%</w:t>
            </w:r>
          </w:p>
        </w:tc>
      </w:tr>
      <w:tr w:rsidR="00544798" w14:paraId="126CE8FA" w14:textId="77777777" w:rsidTr="001515D5">
        <w:tc>
          <w:tcPr>
            <w:tcW w:w="4675" w:type="dxa"/>
          </w:tcPr>
          <w:p w14:paraId="0ED77D0B" w14:textId="77777777" w:rsidR="00544798" w:rsidRDefault="00544798" w:rsidP="001515D5">
            <w:r>
              <w:t>Hypertension Care</w:t>
            </w:r>
          </w:p>
        </w:tc>
        <w:tc>
          <w:tcPr>
            <w:tcW w:w="4675" w:type="dxa"/>
          </w:tcPr>
          <w:p w14:paraId="7BE4C52A" w14:textId="77777777" w:rsidR="00544798" w:rsidRDefault="00544798" w:rsidP="001515D5">
            <w:r>
              <w:t>43.0%</w:t>
            </w:r>
          </w:p>
        </w:tc>
      </w:tr>
      <w:tr w:rsidR="00544798" w14:paraId="22940BC5" w14:textId="77777777" w:rsidTr="001515D5">
        <w:tc>
          <w:tcPr>
            <w:tcW w:w="4675" w:type="dxa"/>
          </w:tcPr>
          <w:p w14:paraId="773276F0" w14:textId="77777777" w:rsidR="00544798" w:rsidRDefault="00544798" w:rsidP="001515D5">
            <w:r>
              <w:t>Mental Health/Depression Care</w:t>
            </w:r>
          </w:p>
        </w:tc>
        <w:tc>
          <w:tcPr>
            <w:tcW w:w="4675" w:type="dxa"/>
          </w:tcPr>
          <w:p w14:paraId="6609D743" w14:textId="77777777" w:rsidR="00544798" w:rsidRDefault="00544798" w:rsidP="001515D5">
            <w:r>
              <w:t>34.1%</w:t>
            </w:r>
          </w:p>
        </w:tc>
      </w:tr>
      <w:tr w:rsidR="00544798" w14:paraId="476BC990" w14:textId="77777777" w:rsidTr="001515D5">
        <w:tc>
          <w:tcPr>
            <w:tcW w:w="4675" w:type="dxa"/>
          </w:tcPr>
          <w:p w14:paraId="249443A8" w14:textId="77777777" w:rsidR="00544798" w:rsidRDefault="00544798" w:rsidP="001515D5">
            <w:r>
              <w:t>Weight Loss Support</w:t>
            </w:r>
          </w:p>
        </w:tc>
        <w:tc>
          <w:tcPr>
            <w:tcW w:w="4675" w:type="dxa"/>
          </w:tcPr>
          <w:p w14:paraId="66F45B9F" w14:textId="77777777" w:rsidR="00544798" w:rsidRDefault="00544798" w:rsidP="001515D5">
            <w:r>
              <w:t>32.3%</w:t>
            </w:r>
          </w:p>
        </w:tc>
      </w:tr>
      <w:tr w:rsidR="00544798" w14:paraId="4C206DB0" w14:textId="77777777" w:rsidTr="001515D5">
        <w:tc>
          <w:tcPr>
            <w:tcW w:w="4675" w:type="dxa"/>
          </w:tcPr>
          <w:p w14:paraId="0D207B3F" w14:textId="77777777" w:rsidR="00544798" w:rsidRDefault="00544798" w:rsidP="001515D5">
            <w:r>
              <w:t>Vaccination/Immunizations</w:t>
            </w:r>
          </w:p>
        </w:tc>
        <w:tc>
          <w:tcPr>
            <w:tcW w:w="4675" w:type="dxa"/>
          </w:tcPr>
          <w:p w14:paraId="3224E2E0" w14:textId="77777777" w:rsidR="00544798" w:rsidRDefault="00544798" w:rsidP="001515D5">
            <w:r>
              <w:t>28.1%</w:t>
            </w:r>
          </w:p>
        </w:tc>
      </w:tr>
      <w:tr w:rsidR="00544798" w14:paraId="0F9D6E02" w14:textId="77777777" w:rsidTr="001515D5">
        <w:tc>
          <w:tcPr>
            <w:tcW w:w="4675" w:type="dxa"/>
          </w:tcPr>
          <w:p w14:paraId="131CC944" w14:textId="77777777" w:rsidR="00544798" w:rsidRDefault="00544798" w:rsidP="001515D5">
            <w:r>
              <w:t>COVID-19 Vaccination and Prevention</w:t>
            </w:r>
          </w:p>
        </w:tc>
        <w:tc>
          <w:tcPr>
            <w:tcW w:w="4675" w:type="dxa"/>
          </w:tcPr>
          <w:p w14:paraId="5261DE63" w14:textId="77777777" w:rsidR="00544798" w:rsidRDefault="00544798" w:rsidP="001515D5">
            <w:r>
              <w:t>24.6%</w:t>
            </w:r>
          </w:p>
        </w:tc>
      </w:tr>
      <w:tr w:rsidR="00544798" w14:paraId="195C0A1F" w14:textId="77777777" w:rsidTr="001515D5">
        <w:tc>
          <w:tcPr>
            <w:tcW w:w="4675" w:type="dxa"/>
          </w:tcPr>
          <w:p w14:paraId="259207BD" w14:textId="77777777" w:rsidR="00544798" w:rsidRDefault="00544798" w:rsidP="001515D5">
            <w:r>
              <w:t>Heart Disease Care</w:t>
            </w:r>
          </w:p>
        </w:tc>
        <w:tc>
          <w:tcPr>
            <w:tcW w:w="4675" w:type="dxa"/>
          </w:tcPr>
          <w:p w14:paraId="6E3F9C4C" w14:textId="77777777" w:rsidR="00544798" w:rsidRDefault="00544798" w:rsidP="001515D5">
            <w:r>
              <w:t>23.8%</w:t>
            </w:r>
          </w:p>
        </w:tc>
      </w:tr>
      <w:tr w:rsidR="00544798" w14:paraId="7D62A524" w14:textId="77777777" w:rsidTr="001515D5">
        <w:tc>
          <w:tcPr>
            <w:tcW w:w="4675" w:type="dxa"/>
          </w:tcPr>
          <w:p w14:paraId="7AFCFA22" w14:textId="77777777" w:rsidR="00544798" w:rsidRDefault="00544798" w:rsidP="001515D5">
            <w:r>
              <w:lastRenderedPageBreak/>
              <w:t>Diabetes Care</w:t>
            </w:r>
          </w:p>
        </w:tc>
        <w:tc>
          <w:tcPr>
            <w:tcW w:w="4675" w:type="dxa"/>
          </w:tcPr>
          <w:p w14:paraId="5614F75E" w14:textId="77777777" w:rsidR="00544798" w:rsidRDefault="00544798" w:rsidP="001515D5">
            <w:r>
              <w:t>23.3%</w:t>
            </w:r>
          </w:p>
        </w:tc>
      </w:tr>
      <w:tr w:rsidR="00544798" w14:paraId="27F6CABA" w14:textId="77777777" w:rsidTr="001515D5">
        <w:tc>
          <w:tcPr>
            <w:tcW w:w="4675" w:type="dxa"/>
          </w:tcPr>
          <w:p w14:paraId="4C6647AB" w14:textId="77777777" w:rsidR="00544798" w:rsidRDefault="00544798" w:rsidP="001515D5">
            <w:r>
              <w:t>Cancer Care</w:t>
            </w:r>
          </w:p>
        </w:tc>
        <w:tc>
          <w:tcPr>
            <w:tcW w:w="4675" w:type="dxa"/>
          </w:tcPr>
          <w:p w14:paraId="0AD8530D" w14:textId="77777777" w:rsidR="00544798" w:rsidRDefault="00544798" w:rsidP="001515D5">
            <w:r>
              <w:t>20.3%</w:t>
            </w:r>
          </w:p>
        </w:tc>
      </w:tr>
      <w:tr w:rsidR="00544798" w14:paraId="0681BEE9" w14:textId="77777777" w:rsidTr="001515D5">
        <w:tc>
          <w:tcPr>
            <w:tcW w:w="4675" w:type="dxa"/>
          </w:tcPr>
          <w:p w14:paraId="41CC1378" w14:textId="77777777" w:rsidR="00544798" w:rsidRDefault="00544798" w:rsidP="001515D5">
            <w:r>
              <w:t>Colorectal Care/Screening</w:t>
            </w:r>
          </w:p>
        </w:tc>
        <w:tc>
          <w:tcPr>
            <w:tcW w:w="4675" w:type="dxa"/>
          </w:tcPr>
          <w:p w14:paraId="4D13AA86" w14:textId="77777777" w:rsidR="00544798" w:rsidRDefault="00544798" w:rsidP="001515D5">
            <w:r>
              <w:t>18.0%</w:t>
            </w:r>
          </w:p>
        </w:tc>
      </w:tr>
    </w:tbl>
    <w:p w14:paraId="3A859729" w14:textId="77777777" w:rsidR="00544798" w:rsidRPr="00344948" w:rsidRDefault="00544798" w:rsidP="00544798">
      <w:r w:rsidRPr="00344948">
        <w:t>Source: SC Community Health Needs Assessment, 2023.</w:t>
      </w:r>
    </w:p>
    <w:p w14:paraId="3204C14F" w14:textId="77777777" w:rsidR="00544798" w:rsidRDefault="00544798" w:rsidP="00544798">
      <w:r w:rsidRPr="00344948">
        <w:t>Notes: Data collection as of August 24, 2023.</w:t>
      </w:r>
    </w:p>
    <w:p w14:paraId="7B78BD20" w14:textId="77777777" w:rsidR="00544798" w:rsidRDefault="00544798" w:rsidP="00544798"/>
    <w:p w14:paraId="61FC7520" w14:textId="0A3655DA" w:rsidR="00544798" w:rsidRPr="00344948" w:rsidRDefault="00544798" w:rsidP="00544798">
      <w:r w:rsidRPr="00344948">
        <w:t>Over two in five survey respondents listed having access to care as the leading health factor for a healthy community (</w:t>
      </w:r>
      <w:r w:rsidRPr="00344948">
        <w:rPr>
          <w:b/>
          <w:bCs/>
        </w:rPr>
        <w:t>Figure 4</w:t>
      </w:r>
      <w:r w:rsidRPr="00344948">
        <w:t xml:space="preserve">). Clinical preventive services, mental health care, obesity, </w:t>
      </w:r>
      <w:proofErr w:type="gramStart"/>
      <w:r w:rsidRPr="00344948">
        <w:t>nutritio</w:t>
      </w:r>
      <w:r w:rsidR="0087480F">
        <w:t>n</w:t>
      </w:r>
      <w:proofErr w:type="gramEnd"/>
      <w:r w:rsidRPr="00344948">
        <w:t xml:space="preserve"> and physical activity services, and maternal, infant and child health care services rounded out the top five health factors for a healthy community. Other health factors needed for a healthy community included oral health services, tobacco use cessation, injury and violence prevention, sexual health services, and substance misuse services. </w:t>
      </w:r>
    </w:p>
    <w:p w14:paraId="2D263A3F" w14:textId="77777777" w:rsidR="00544798" w:rsidRDefault="00544798" w:rsidP="00544798"/>
    <w:p w14:paraId="2E9552C3" w14:textId="77777777" w:rsidR="00544798" w:rsidRDefault="00544798" w:rsidP="00544798">
      <w:pPr>
        <w:pStyle w:val="Heading4"/>
      </w:pPr>
      <w:bookmarkStart w:id="1094" w:name="_Toc154569720"/>
      <w:bookmarkStart w:id="1095" w:name="_Toc162267750"/>
      <w:r>
        <w:t>Figure 4: Leading Health Factors for a Healthy Community.</w:t>
      </w:r>
      <w:bookmarkEnd w:id="1094"/>
      <w:bookmarkEnd w:id="1095"/>
    </w:p>
    <w:p w14:paraId="3194CE72" w14:textId="77777777" w:rsidR="00544798" w:rsidRDefault="00544798" w:rsidP="00544798">
      <w:r>
        <w:t>The Leading Health Factors for a Healthy Community are:</w:t>
      </w:r>
    </w:p>
    <w:p w14:paraId="34C0A975" w14:textId="77777777" w:rsidR="00544798" w:rsidRDefault="00544798" w:rsidP="00926EB3">
      <w:pPr>
        <w:pStyle w:val="ListParagraph"/>
        <w:numPr>
          <w:ilvl w:val="0"/>
          <w:numId w:val="57"/>
        </w:numPr>
      </w:pPr>
      <w:r>
        <w:t>Access to Care</w:t>
      </w:r>
    </w:p>
    <w:p w14:paraId="5E31B043" w14:textId="77777777" w:rsidR="00544798" w:rsidRDefault="00544798" w:rsidP="00926EB3">
      <w:pPr>
        <w:pStyle w:val="ListParagraph"/>
        <w:numPr>
          <w:ilvl w:val="0"/>
          <w:numId w:val="57"/>
        </w:numPr>
      </w:pPr>
      <w:r>
        <w:t>Obesity, Nutrition and Physical Activity</w:t>
      </w:r>
    </w:p>
    <w:p w14:paraId="3343F479" w14:textId="77777777" w:rsidR="00544798" w:rsidRDefault="00544798" w:rsidP="00926EB3">
      <w:pPr>
        <w:pStyle w:val="ListParagraph"/>
        <w:numPr>
          <w:ilvl w:val="0"/>
          <w:numId w:val="57"/>
        </w:numPr>
      </w:pPr>
      <w:r>
        <w:t>Mental Health Services</w:t>
      </w:r>
    </w:p>
    <w:p w14:paraId="5106A2A5" w14:textId="77777777" w:rsidR="00544798" w:rsidRPr="00344948" w:rsidRDefault="00544798" w:rsidP="00926EB3">
      <w:pPr>
        <w:pStyle w:val="ListParagraph"/>
        <w:numPr>
          <w:ilvl w:val="0"/>
          <w:numId w:val="57"/>
        </w:numPr>
      </w:pPr>
      <w:r>
        <w:t xml:space="preserve">Clinical Preventative Services </w:t>
      </w:r>
    </w:p>
    <w:p w14:paraId="069A61DF" w14:textId="39E48D9F" w:rsidR="00544798" w:rsidRDefault="00544798">
      <w:r>
        <w:br w:type="page"/>
      </w:r>
    </w:p>
    <w:p w14:paraId="1019EA5A" w14:textId="77777777" w:rsidR="00544798" w:rsidRDefault="00544798" w:rsidP="00544798"/>
    <w:p w14:paraId="6BA957E3" w14:textId="77777777" w:rsidR="00544798" w:rsidRDefault="00544798" w:rsidP="00544798">
      <w:pPr>
        <w:pStyle w:val="Heading3"/>
      </w:pPr>
      <w:bookmarkStart w:id="1096" w:name="_Toc154569721"/>
      <w:bookmarkStart w:id="1097" w:name="_Toc162267751"/>
      <w:r>
        <w:t>Appendix B: South Carolina Community Health Needs Assessment Survey</w:t>
      </w:r>
      <w:bookmarkEnd w:id="1096"/>
      <w:bookmarkEnd w:id="1097"/>
    </w:p>
    <w:p w14:paraId="5A9DA24A" w14:textId="77777777" w:rsidR="00544798" w:rsidRDefault="00544798" w:rsidP="00544798">
      <w:pPr>
        <w:pStyle w:val="Heading4"/>
      </w:pPr>
      <w:bookmarkStart w:id="1098" w:name="_Toc154569722"/>
      <w:bookmarkStart w:id="1099" w:name="_Toc162267752"/>
      <w:r>
        <w:t>SC Community Health Needs Assessment</w:t>
      </w:r>
      <w:bookmarkEnd w:id="1098"/>
      <w:bookmarkEnd w:id="1099"/>
    </w:p>
    <w:p w14:paraId="6C67D044" w14:textId="77777777" w:rsidR="00544798" w:rsidRDefault="00544798" w:rsidP="00544798">
      <w:r w:rsidRPr="00344948">
        <w:t>The purpose of this survey is to hear about your healthcare needs so we can create and deliver healthcare services that matter most to you and your family. It will take about 10 minutes to complete this survey and responses will remain anonymous. If you do not feel comfortable answering a question, please feel free to skip to the next question.</w:t>
      </w:r>
    </w:p>
    <w:p w14:paraId="65ADA34F" w14:textId="77777777" w:rsidR="00544798" w:rsidRPr="00344948" w:rsidRDefault="00544798" w:rsidP="00544798">
      <w:pPr>
        <w:pStyle w:val="Heading5"/>
      </w:pPr>
      <w:r>
        <w:t>Demographics</w:t>
      </w:r>
    </w:p>
    <w:p w14:paraId="515EE909" w14:textId="77777777" w:rsidR="00544798" w:rsidRDefault="00544798" w:rsidP="00926EB3">
      <w:pPr>
        <w:pStyle w:val="ListParagraph"/>
        <w:numPr>
          <w:ilvl w:val="0"/>
          <w:numId w:val="58"/>
        </w:numPr>
      </w:pPr>
      <w:r>
        <w:t>County.</w:t>
      </w:r>
    </w:p>
    <w:p w14:paraId="411EE838" w14:textId="77777777" w:rsidR="00544798" w:rsidRDefault="00544798" w:rsidP="00926EB3">
      <w:pPr>
        <w:pStyle w:val="ListParagraph"/>
        <w:numPr>
          <w:ilvl w:val="0"/>
          <w:numId w:val="58"/>
        </w:numPr>
      </w:pPr>
      <w:r>
        <w:t>Zip Code.</w:t>
      </w:r>
    </w:p>
    <w:p w14:paraId="59BF800A" w14:textId="77777777" w:rsidR="00544798" w:rsidRDefault="00544798" w:rsidP="00926EB3">
      <w:pPr>
        <w:pStyle w:val="ListParagraph"/>
        <w:numPr>
          <w:ilvl w:val="0"/>
          <w:numId w:val="58"/>
        </w:numPr>
      </w:pPr>
      <w:r>
        <w:t>Age.</w:t>
      </w:r>
    </w:p>
    <w:p w14:paraId="229FD55A" w14:textId="77777777" w:rsidR="00544798" w:rsidRDefault="00544798" w:rsidP="00926EB3">
      <w:pPr>
        <w:pStyle w:val="ListParagraph"/>
        <w:numPr>
          <w:ilvl w:val="0"/>
          <w:numId w:val="58"/>
        </w:numPr>
      </w:pPr>
      <w:r>
        <w:t>Gender Identity.</w:t>
      </w:r>
    </w:p>
    <w:p w14:paraId="68C8AFBD" w14:textId="77777777" w:rsidR="00544798" w:rsidRDefault="00544798" w:rsidP="00926EB3">
      <w:pPr>
        <w:pStyle w:val="ListParagraph"/>
        <w:numPr>
          <w:ilvl w:val="1"/>
          <w:numId w:val="58"/>
        </w:numPr>
      </w:pPr>
      <w:r>
        <w:t>Female.</w:t>
      </w:r>
    </w:p>
    <w:p w14:paraId="760AE1E3" w14:textId="77777777" w:rsidR="00544798" w:rsidRDefault="00544798" w:rsidP="00926EB3">
      <w:pPr>
        <w:pStyle w:val="ListParagraph"/>
        <w:numPr>
          <w:ilvl w:val="1"/>
          <w:numId w:val="58"/>
        </w:numPr>
      </w:pPr>
      <w:r>
        <w:t>Male.</w:t>
      </w:r>
    </w:p>
    <w:p w14:paraId="1A88C7D0" w14:textId="77777777" w:rsidR="00544798" w:rsidRDefault="00544798" w:rsidP="00926EB3">
      <w:pPr>
        <w:pStyle w:val="ListParagraph"/>
        <w:numPr>
          <w:ilvl w:val="1"/>
          <w:numId w:val="58"/>
        </w:numPr>
      </w:pPr>
      <w:r>
        <w:t>Non-Binary.</w:t>
      </w:r>
    </w:p>
    <w:p w14:paraId="0C664444" w14:textId="77777777" w:rsidR="00544798" w:rsidRDefault="00544798" w:rsidP="00926EB3">
      <w:pPr>
        <w:pStyle w:val="ListParagraph"/>
        <w:numPr>
          <w:ilvl w:val="1"/>
          <w:numId w:val="58"/>
        </w:numPr>
      </w:pPr>
      <w:r>
        <w:t>Transgender.</w:t>
      </w:r>
    </w:p>
    <w:p w14:paraId="4A55A60A" w14:textId="77777777" w:rsidR="00544798" w:rsidRDefault="00544798" w:rsidP="00926EB3">
      <w:pPr>
        <w:pStyle w:val="ListParagraph"/>
        <w:numPr>
          <w:ilvl w:val="1"/>
          <w:numId w:val="58"/>
        </w:numPr>
      </w:pPr>
      <w:r>
        <w:t>Other: (list).</w:t>
      </w:r>
    </w:p>
    <w:p w14:paraId="52CFB675" w14:textId="77777777" w:rsidR="00544798" w:rsidRDefault="00544798" w:rsidP="00926EB3">
      <w:pPr>
        <w:pStyle w:val="ListParagraph"/>
        <w:numPr>
          <w:ilvl w:val="0"/>
          <w:numId w:val="58"/>
        </w:numPr>
      </w:pPr>
      <w:r>
        <w:t>Race (check all that apply).</w:t>
      </w:r>
    </w:p>
    <w:p w14:paraId="059784C5" w14:textId="77777777" w:rsidR="00544798" w:rsidRDefault="00544798" w:rsidP="00926EB3">
      <w:pPr>
        <w:pStyle w:val="ListParagraph"/>
        <w:numPr>
          <w:ilvl w:val="1"/>
          <w:numId w:val="58"/>
        </w:numPr>
      </w:pPr>
      <w:r>
        <w:t>American Indian or Alaska Native.</w:t>
      </w:r>
    </w:p>
    <w:p w14:paraId="20CD1A03" w14:textId="77777777" w:rsidR="00544798" w:rsidRDefault="00544798" w:rsidP="00926EB3">
      <w:pPr>
        <w:pStyle w:val="ListParagraph"/>
        <w:numPr>
          <w:ilvl w:val="1"/>
          <w:numId w:val="58"/>
        </w:numPr>
      </w:pPr>
      <w:r>
        <w:t>Asian.</w:t>
      </w:r>
    </w:p>
    <w:p w14:paraId="776BB183" w14:textId="77777777" w:rsidR="00544798" w:rsidRDefault="00544798" w:rsidP="00926EB3">
      <w:pPr>
        <w:pStyle w:val="ListParagraph"/>
        <w:numPr>
          <w:ilvl w:val="1"/>
          <w:numId w:val="58"/>
        </w:numPr>
      </w:pPr>
      <w:r>
        <w:t>Black or African American.</w:t>
      </w:r>
    </w:p>
    <w:p w14:paraId="7985F947" w14:textId="77777777" w:rsidR="00544798" w:rsidRDefault="00544798" w:rsidP="00926EB3">
      <w:pPr>
        <w:pStyle w:val="ListParagraph"/>
        <w:numPr>
          <w:ilvl w:val="1"/>
          <w:numId w:val="58"/>
        </w:numPr>
      </w:pPr>
      <w:r>
        <w:t>Native Hawaiian or Pacific Islander.</w:t>
      </w:r>
    </w:p>
    <w:p w14:paraId="23B92164" w14:textId="77777777" w:rsidR="00544798" w:rsidRDefault="00544798" w:rsidP="00926EB3">
      <w:pPr>
        <w:pStyle w:val="ListParagraph"/>
        <w:numPr>
          <w:ilvl w:val="1"/>
          <w:numId w:val="58"/>
        </w:numPr>
      </w:pPr>
      <w:r>
        <w:t>White or Caucasian.</w:t>
      </w:r>
    </w:p>
    <w:p w14:paraId="1042B1E7" w14:textId="77777777" w:rsidR="00544798" w:rsidRDefault="00544798" w:rsidP="00926EB3">
      <w:pPr>
        <w:pStyle w:val="ListParagraph"/>
        <w:numPr>
          <w:ilvl w:val="1"/>
          <w:numId w:val="58"/>
        </w:numPr>
      </w:pPr>
      <w:r>
        <w:t>Other: (list).</w:t>
      </w:r>
    </w:p>
    <w:p w14:paraId="69AFA3B6" w14:textId="77777777" w:rsidR="00544798" w:rsidRDefault="00544798" w:rsidP="00926EB3">
      <w:pPr>
        <w:pStyle w:val="ListParagraph"/>
        <w:numPr>
          <w:ilvl w:val="0"/>
          <w:numId w:val="58"/>
        </w:numPr>
      </w:pPr>
      <w:r>
        <w:t>Ethnicity.</w:t>
      </w:r>
    </w:p>
    <w:p w14:paraId="1228712F" w14:textId="77777777" w:rsidR="00544798" w:rsidRDefault="00544798" w:rsidP="00926EB3">
      <w:pPr>
        <w:pStyle w:val="ListParagraph"/>
        <w:numPr>
          <w:ilvl w:val="1"/>
          <w:numId w:val="58"/>
        </w:numPr>
      </w:pPr>
      <w:r>
        <w:t>I am of Hispanic, Latino or Spanish origin.</w:t>
      </w:r>
    </w:p>
    <w:p w14:paraId="348AD96A" w14:textId="77777777" w:rsidR="00544798" w:rsidRDefault="00544798" w:rsidP="00926EB3">
      <w:pPr>
        <w:pStyle w:val="ListParagraph"/>
        <w:numPr>
          <w:ilvl w:val="1"/>
          <w:numId w:val="58"/>
        </w:numPr>
      </w:pPr>
      <w:r>
        <w:t>I am not of Hispanic, Latino or Spanish origin.</w:t>
      </w:r>
    </w:p>
    <w:p w14:paraId="4DC379F8" w14:textId="77777777" w:rsidR="00544798" w:rsidRDefault="00544798" w:rsidP="00926EB3">
      <w:pPr>
        <w:pStyle w:val="ListParagraph"/>
        <w:numPr>
          <w:ilvl w:val="0"/>
          <w:numId w:val="58"/>
        </w:numPr>
      </w:pPr>
      <w:r>
        <w:t>Do you identify as a member of the LGBT+ community?</w:t>
      </w:r>
    </w:p>
    <w:p w14:paraId="5F2AFD5A" w14:textId="77777777" w:rsidR="00544798" w:rsidRDefault="00544798" w:rsidP="00926EB3">
      <w:pPr>
        <w:pStyle w:val="ListParagraph"/>
        <w:numPr>
          <w:ilvl w:val="1"/>
          <w:numId w:val="58"/>
        </w:numPr>
      </w:pPr>
      <w:r>
        <w:t>Yes.</w:t>
      </w:r>
    </w:p>
    <w:p w14:paraId="0F4652DE" w14:textId="77777777" w:rsidR="00544798" w:rsidRDefault="00544798" w:rsidP="00926EB3">
      <w:pPr>
        <w:pStyle w:val="ListParagraph"/>
        <w:numPr>
          <w:ilvl w:val="1"/>
          <w:numId w:val="58"/>
        </w:numPr>
      </w:pPr>
      <w:r>
        <w:t>No.</w:t>
      </w:r>
    </w:p>
    <w:p w14:paraId="17E5DB14" w14:textId="77777777" w:rsidR="00544798" w:rsidRDefault="00544798" w:rsidP="00926EB3">
      <w:pPr>
        <w:pStyle w:val="ListParagraph"/>
        <w:numPr>
          <w:ilvl w:val="0"/>
          <w:numId w:val="58"/>
        </w:numPr>
      </w:pPr>
      <w:r>
        <w:t>Are you a veteran?</w:t>
      </w:r>
    </w:p>
    <w:p w14:paraId="68124C3B" w14:textId="77777777" w:rsidR="00544798" w:rsidRDefault="00544798" w:rsidP="00926EB3">
      <w:pPr>
        <w:pStyle w:val="ListParagraph"/>
        <w:numPr>
          <w:ilvl w:val="1"/>
          <w:numId w:val="58"/>
        </w:numPr>
      </w:pPr>
      <w:r>
        <w:t>Yes.</w:t>
      </w:r>
    </w:p>
    <w:p w14:paraId="21035598" w14:textId="77777777" w:rsidR="00544798" w:rsidRDefault="00544798" w:rsidP="00926EB3">
      <w:pPr>
        <w:pStyle w:val="ListParagraph"/>
        <w:numPr>
          <w:ilvl w:val="1"/>
          <w:numId w:val="58"/>
        </w:numPr>
      </w:pPr>
      <w:r>
        <w:t>No.</w:t>
      </w:r>
    </w:p>
    <w:p w14:paraId="17F759C0" w14:textId="77777777" w:rsidR="00544798" w:rsidRDefault="00544798" w:rsidP="00926EB3">
      <w:pPr>
        <w:pStyle w:val="ListParagraph"/>
        <w:numPr>
          <w:ilvl w:val="1"/>
          <w:numId w:val="58"/>
        </w:numPr>
      </w:pPr>
      <w:r>
        <w:t>Currently Enlisted.</w:t>
      </w:r>
    </w:p>
    <w:p w14:paraId="073AD0B4" w14:textId="77777777" w:rsidR="00544798" w:rsidRDefault="00544798" w:rsidP="00926EB3">
      <w:pPr>
        <w:pStyle w:val="ListParagraph"/>
        <w:numPr>
          <w:ilvl w:val="0"/>
          <w:numId w:val="58"/>
        </w:numPr>
      </w:pPr>
      <w:r>
        <w:lastRenderedPageBreak/>
        <w:t>What is the highest degree or level of school you have completed?</w:t>
      </w:r>
    </w:p>
    <w:p w14:paraId="76653479" w14:textId="77777777" w:rsidR="00544798" w:rsidRDefault="00544798" w:rsidP="00926EB3">
      <w:pPr>
        <w:pStyle w:val="ListParagraph"/>
        <w:numPr>
          <w:ilvl w:val="1"/>
          <w:numId w:val="58"/>
        </w:numPr>
      </w:pPr>
      <w:r>
        <w:t>Some high school, but no diploma.</w:t>
      </w:r>
    </w:p>
    <w:p w14:paraId="239AF0CF" w14:textId="77777777" w:rsidR="00544798" w:rsidRDefault="00544798" w:rsidP="00926EB3">
      <w:pPr>
        <w:pStyle w:val="ListParagraph"/>
        <w:numPr>
          <w:ilvl w:val="1"/>
          <w:numId w:val="58"/>
        </w:numPr>
      </w:pPr>
      <w:r>
        <w:t>High school diploma (or GED).</w:t>
      </w:r>
    </w:p>
    <w:p w14:paraId="0A14E96E" w14:textId="77777777" w:rsidR="00544798" w:rsidRDefault="00544798" w:rsidP="00926EB3">
      <w:pPr>
        <w:pStyle w:val="ListParagraph"/>
        <w:numPr>
          <w:ilvl w:val="1"/>
          <w:numId w:val="58"/>
        </w:numPr>
      </w:pPr>
      <w:r>
        <w:t>Some college credit but no degree.</w:t>
      </w:r>
    </w:p>
    <w:p w14:paraId="5F4BC53A" w14:textId="77777777" w:rsidR="00544798" w:rsidRDefault="00544798" w:rsidP="00926EB3">
      <w:pPr>
        <w:pStyle w:val="ListParagraph"/>
        <w:numPr>
          <w:ilvl w:val="1"/>
          <w:numId w:val="58"/>
        </w:numPr>
      </w:pPr>
      <w:proofErr w:type="gramStart"/>
      <w:r>
        <w:t>Associate’s</w:t>
      </w:r>
      <w:proofErr w:type="gramEnd"/>
      <w:r>
        <w:t xml:space="preserve"> degree.</w:t>
      </w:r>
    </w:p>
    <w:p w14:paraId="78DA189C" w14:textId="77777777" w:rsidR="00544798" w:rsidRDefault="00544798" w:rsidP="00926EB3">
      <w:pPr>
        <w:pStyle w:val="ListParagraph"/>
        <w:numPr>
          <w:ilvl w:val="1"/>
          <w:numId w:val="58"/>
        </w:numPr>
      </w:pPr>
      <w:r>
        <w:t>Bachelor’s degree.</w:t>
      </w:r>
    </w:p>
    <w:p w14:paraId="61EF1101" w14:textId="77777777" w:rsidR="00544798" w:rsidRDefault="00544798" w:rsidP="00926EB3">
      <w:pPr>
        <w:pStyle w:val="ListParagraph"/>
        <w:numPr>
          <w:ilvl w:val="1"/>
          <w:numId w:val="58"/>
        </w:numPr>
      </w:pPr>
      <w:r>
        <w:t>Master’s degree.</w:t>
      </w:r>
    </w:p>
    <w:p w14:paraId="2B6C48A1" w14:textId="77777777" w:rsidR="00544798" w:rsidRDefault="00544798" w:rsidP="00926EB3">
      <w:pPr>
        <w:pStyle w:val="ListParagraph"/>
        <w:numPr>
          <w:ilvl w:val="1"/>
          <w:numId w:val="58"/>
        </w:numPr>
      </w:pPr>
      <w:r>
        <w:t>Terminal graduate degree (PhD, MD, DO, etc.).</w:t>
      </w:r>
    </w:p>
    <w:p w14:paraId="742B063A" w14:textId="77777777" w:rsidR="00544798" w:rsidRDefault="00544798" w:rsidP="00926EB3">
      <w:pPr>
        <w:pStyle w:val="ListParagraph"/>
        <w:numPr>
          <w:ilvl w:val="1"/>
          <w:numId w:val="58"/>
        </w:numPr>
      </w:pPr>
      <w:r>
        <w:t>Other: (list).</w:t>
      </w:r>
    </w:p>
    <w:p w14:paraId="319AD2B0" w14:textId="77777777" w:rsidR="00544798" w:rsidRDefault="00544798" w:rsidP="00926EB3">
      <w:pPr>
        <w:pStyle w:val="ListParagraph"/>
        <w:numPr>
          <w:ilvl w:val="0"/>
          <w:numId w:val="58"/>
        </w:numPr>
      </w:pPr>
      <w:r>
        <w:t xml:space="preserve"> What is your current employment status? (choose all that apply).</w:t>
      </w:r>
    </w:p>
    <w:p w14:paraId="1B9167E8" w14:textId="77777777" w:rsidR="00544798" w:rsidRDefault="00544798" w:rsidP="00926EB3">
      <w:pPr>
        <w:pStyle w:val="ListParagraph"/>
        <w:numPr>
          <w:ilvl w:val="1"/>
          <w:numId w:val="58"/>
        </w:numPr>
      </w:pPr>
      <w:r>
        <w:t>Employed, working full-time.</w:t>
      </w:r>
    </w:p>
    <w:p w14:paraId="344BEB13" w14:textId="77777777" w:rsidR="00544798" w:rsidRDefault="00544798" w:rsidP="00926EB3">
      <w:pPr>
        <w:pStyle w:val="ListParagraph"/>
        <w:numPr>
          <w:ilvl w:val="1"/>
          <w:numId w:val="58"/>
        </w:numPr>
      </w:pPr>
      <w:r>
        <w:t>Employed, working part-time.</w:t>
      </w:r>
    </w:p>
    <w:p w14:paraId="5F860FCB" w14:textId="77777777" w:rsidR="00544798" w:rsidRDefault="00544798" w:rsidP="00926EB3">
      <w:pPr>
        <w:pStyle w:val="ListParagraph"/>
        <w:numPr>
          <w:ilvl w:val="1"/>
          <w:numId w:val="58"/>
        </w:numPr>
      </w:pPr>
      <w:r>
        <w:t>Homemaker.</w:t>
      </w:r>
    </w:p>
    <w:p w14:paraId="3518BB0F" w14:textId="77777777" w:rsidR="00544798" w:rsidRDefault="00544798" w:rsidP="00926EB3">
      <w:pPr>
        <w:pStyle w:val="ListParagraph"/>
        <w:numPr>
          <w:ilvl w:val="1"/>
          <w:numId w:val="58"/>
        </w:numPr>
      </w:pPr>
      <w:r>
        <w:t>Military.</w:t>
      </w:r>
    </w:p>
    <w:p w14:paraId="10CCFFE6" w14:textId="77777777" w:rsidR="00544798" w:rsidRDefault="00544798" w:rsidP="00926EB3">
      <w:pPr>
        <w:pStyle w:val="ListParagraph"/>
        <w:numPr>
          <w:ilvl w:val="1"/>
          <w:numId w:val="58"/>
        </w:numPr>
      </w:pPr>
      <w:r>
        <w:t>Self-employed.</w:t>
      </w:r>
    </w:p>
    <w:p w14:paraId="2381DF0B" w14:textId="77777777" w:rsidR="00544798" w:rsidRDefault="00544798" w:rsidP="00926EB3">
      <w:pPr>
        <w:pStyle w:val="ListParagraph"/>
        <w:numPr>
          <w:ilvl w:val="1"/>
          <w:numId w:val="58"/>
        </w:numPr>
      </w:pPr>
      <w:r>
        <w:t>Student.</w:t>
      </w:r>
    </w:p>
    <w:p w14:paraId="48565D39" w14:textId="77777777" w:rsidR="00544798" w:rsidRDefault="00544798" w:rsidP="00926EB3">
      <w:pPr>
        <w:pStyle w:val="ListParagraph"/>
        <w:numPr>
          <w:ilvl w:val="1"/>
          <w:numId w:val="58"/>
        </w:numPr>
      </w:pPr>
      <w:r>
        <w:t>Retired.</w:t>
      </w:r>
    </w:p>
    <w:p w14:paraId="34431E56" w14:textId="77777777" w:rsidR="00544798" w:rsidRDefault="00544798" w:rsidP="00926EB3">
      <w:pPr>
        <w:pStyle w:val="ListParagraph"/>
        <w:numPr>
          <w:ilvl w:val="1"/>
          <w:numId w:val="58"/>
        </w:numPr>
      </w:pPr>
      <w:r>
        <w:t>Out of work, and looking for work.</w:t>
      </w:r>
    </w:p>
    <w:p w14:paraId="0DEF9FCA" w14:textId="77777777" w:rsidR="00544798" w:rsidRDefault="00544798" w:rsidP="00926EB3">
      <w:pPr>
        <w:pStyle w:val="ListParagraph"/>
        <w:numPr>
          <w:ilvl w:val="1"/>
          <w:numId w:val="58"/>
        </w:numPr>
      </w:pPr>
      <w:r>
        <w:t>Out of work, and not currently looking for work.</w:t>
      </w:r>
    </w:p>
    <w:p w14:paraId="3CD1B3FE" w14:textId="77777777" w:rsidR="00544798" w:rsidRDefault="00544798" w:rsidP="00926EB3">
      <w:pPr>
        <w:pStyle w:val="ListParagraph"/>
        <w:numPr>
          <w:ilvl w:val="1"/>
          <w:numId w:val="58"/>
        </w:numPr>
      </w:pPr>
      <w:r>
        <w:t>Unable to work, disabled.</w:t>
      </w:r>
    </w:p>
    <w:p w14:paraId="53F2E62C" w14:textId="77777777" w:rsidR="00544798" w:rsidRDefault="00544798" w:rsidP="00926EB3">
      <w:pPr>
        <w:pStyle w:val="ListParagraph"/>
        <w:numPr>
          <w:ilvl w:val="1"/>
          <w:numId w:val="58"/>
        </w:numPr>
      </w:pPr>
      <w:r>
        <w:t>Other: (list).</w:t>
      </w:r>
    </w:p>
    <w:p w14:paraId="28750A17" w14:textId="77777777" w:rsidR="00544798" w:rsidRDefault="00544798" w:rsidP="00926EB3">
      <w:pPr>
        <w:pStyle w:val="ListParagraph"/>
        <w:numPr>
          <w:ilvl w:val="0"/>
          <w:numId w:val="58"/>
        </w:numPr>
      </w:pPr>
      <w:r>
        <w:t xml:space="preserve"> What was your total household income last year before taxes? </w:t>
      </w:r>
    </w:p>
    <w:p w14:paraId="2D10E19C" w14:textId="77777777" w:rsidR="00544798" w:rsidRDefault="00544798" w:rsidP="00926EB3">
      <w:pPr>
        <w:pStyle w:val="ListParagraph"/>
        <w:numPr>
          <w:ilvl w:val="1"/>
          <w:numId w:val="58"/>
        </w:numPr>
      </w:pPr>
      <w:r>
        <w:t>Less than $10,000.</w:t>
      </w:r>
    </w:p>
    <w:p w14:paraId="7BABDB8F" w14:textId="77777777" w:rsidR="00544798" w:rsidRDefault="00544798" w:rsidP="00926EB3">
      <w:pPr>
        <w:pStyle w:val="ListParagraph"/>
        <w:numPr>
          <w:ilvl w:val="1"/>
          <w:numId w:val="58"/>
        </w:numPr>
      </w:pPr>
      <w:r>
        <w:t>$10,000-$24,999.</w:t>
      </w:r>
    </w:p>
    <w:p w14:paraId="0B12FE81" w14:textId="77777777" w:rsidR="00544798" w:rsidRDefault="00544798" w:rsidP="00926EB3">
      <w:pPr>
        <w:pStyle w:val="ListParagraph"/>
        <w:numPr>
          <w:ilvl w:val="1"/>
          <w:numId w:val="58"/>
        </w:numPr>
      </w:pPr>
      <w:r>
        <w:t>$25,000-$49,999.</w:t>
      </w:r>
    </w:p>
    <w:p w14:paraId="72BA5096" w14:textId="77777777" w:rsidR="00544798" w:rsidRDefault="00544798" w:rsidP="00926EB3">
      <w:pPr>
        <w:pStyle w:val="ListParagraph"/>
        <w:numPr>
          <w:ilvl w:val="1"/>
          <w:numId w:val="58"/>
        </w:numPr>
      </w:pPr>
      <w:r>
        <w:t>$50,000-$99,999.</w:t>
      </w:r>
    </w:p>
    <w:p w14:paraId="70B26D65" w14:textId="77777777" w:rsidR="00544798" w:rsidRDefault="00544798" w:rsidP="00926EB3">
      <w:pPr>
        <w:pStyle w:val="ListParagraph"/>
        <w:numPr>
          <w:ilvl w:val="1"/>
          <w:numId w:val="58"/>
        </w:numPr>
      </w:pPr>
      <w:r>
        <w:t>$100,000-$199,999.</w:t>
      </w:r>
    </w:p>
    <w:p w14:paraId="081BB2E8" w14:textId="77777777" w:rsidR="00544798" w:rsidRDefault="00544798" w:rsidP="00926EB3">
      <w:pPr>
        <w:pStyle w:val="ListParagraph"/>
        <w:numPr>
          <w:ilvl w:val="1"/>
          <w:numId w:val="58"/>
        </w:numPr>
      </w:pPr>
      <w:r>
        <w:t>$200,000 or over.</w:t>
      </w:r>
    </w:p>
    <w:p w14:paraId="29AB2175" w14:textId="77777777" w:rsidR="00544798" w:rsidRPr="00667967" w:rsidRDefault="00544798" w:rsidP="00926EB3">
      <w:pPr>
        <w:pStyle w:val="ListParagraph"/>
        <w:numPr>
          <w:ilvl w:val="0"/>
          <w:numId w:val="58"/>
        </w:numPr>
        <w:rPr>
          <w:rStyle w:val="Heading5Char"/>
          <w:rFonts w:eastAsiaTheme="minorHAnsi" w:cstheme="minorBidi"/>
          <w:color w:val="auto"/>
        </w:rPr>
      </w:pPr>
      <w:r>
        <w:t xml:space="preserve"> How many people live in your house (including you)? </w:t>
      </w:r>
    </w:p>
    <w:p w14:paraId="252F61AB" w14:textId="77777777" w:rsidR="00544798" w:rsidRDefault="00544798" w:rsidP="00544798">
      <w:r w:rsidRPr="00667967">
        <w:rPr>
          <w:rStyle w:val="Heading5Char"/>
        </w:rPr>
        <w:t>About Your Health</w:t>
      </w:r>
      <w:r>
        <w:rPr>
          <w:rStyle w:val="Heading5Char"/>
        </w:rPr>
        <w:t>.</w:t>
      </w:r>
    </w:p>
    <w:p w14:paraId="25C2A0A2" w14:textId="77777777" w:rsidR="00544798" w:rsidRDefault="00544798" w:rsidP="00926EB3">
      <w:pPr>
        <w:pStyle w:val="ListParagraph"/>
        <w:numPr>
          <w:ilvl w:val="0"/>
          <w:numId w:val="58"/>
        </w:numPr>
      </w:pPr>
      <w:r>
        <w:t xml:space="preserve"> I have the following types of health insurance: (choose all that apply). </w:t>
      </w:r>
    </w:p>
    <w:p w14:paraId="36993394" w14:textId="77777777" w:rsidR="00544798" w:rsidRDefault="00544798" w:rsidP="00926EB3">
      <w:pPr>
        <w:pStyle w:val="ListParagraph"/>
        <w:numPr>
          <w:ilvl w:val="1"/>
          <w:numId w:val="58"/>
        </w:numPr>
      </w:pPr>
      <w:r>
        <w:t>Commercial Insurance, individual.</w:t>
      </w:r>
    </w:p>
    <w:p w14:paraId="2E5C8E9B" w14:textId="77777777" w:rsidR="00544798" w:rsidRDefault="00544798" w:rsidP="00926EB3">
      <w:pPr>
        <w:pStyle w:val="ListParagraph"/>
        <w:numPr>
          <w:ilvl w:val="1"/>
          <w:numId w:val="58"/>
        </w:numPr>
      </w:pPr>
      <w:r>
        <w:t>Commercial Insurance, supported by employer or school.</w:t>
      </w:r>
    </w:p>
    <w:p w14:paraId="2FD7A1FB" w14:textId="77777777" w:rsidR="00544798" w:rsidRDefault="00544798" w:rsidP="00926EB3">
      <w:pPr>
        <w:pStyle w:val="ListParagraph"/>
        <w:numPr>
          <w:ilvl w:val="1"/>
          <w:numId w:val="58"/>
        </w:numPr>
      </w:pPr>
      <w:r>
        <w:t>Medicaid.</w:t>
      </w:r>
    </w:p>
    <w:p w14:paraId="7E6DF392" w14:textId="77777777" w:rsidR="00544798" w:rsidRDefault="00544798" w:rsidP="00926EB3">
      <w:pPr>
        <w:pStyle w:val="ListParagraph"/>
        <w:numPr>
          <w:ilvl w:val="1"/>
          <w:numId w:val="58"/>
        </w:numPr>
      </w:pPr>
      <w:r>
        <w:t>Medicare.</w:t>
      </w:r>
    </w:p>
    <w:p w14:paraId="5B261CA0" w14:textId="77777777" w:rsidR="00544798" w:rsidRDefault="00544798" w:rsidP="00926EB3">
      <w:pPr>
        <w:pStyle w:val="ListParagraph"/>
        <w:numPr>
          <w:ilvl w:val="1"/>
          <w:numId w:val="58"/>
        </w:numPr>
      </w:pPr>
      <w:r>
        <w:t xml:space="preserve">Tricare, active </w:t>
      </w:r>
      <w:proofErr w:type="gramStart"/>
      <w:r>
        <w:t>military</w:t>
      </w:r>
      <w:proofErr w:type="gramEnd"/>
      <w:r>
        <w:t xml:space="preserve"> and veterans.</w:t>
      </w:r>
    </w:p>
    <w:p w14:paraId="6025183D" w14:textId="77777777" w:rsidR="00544798" w:rsidRDefault="00544798" w:rsidP="00926EB3">
      <w:pPr>
        <w:pStyle w:val="ListParagraph"/>
        <w:numPr>
          <w:ilvl w:val="1"/>
          <w:numId w:val="58"/>
        </w:numPr>
      </w:pPr>
      <w:r>
        <w:lastRenderedPageBreak/>
        <w:t>No health insurance.</w:t>
      </w:r>
    </w:p>
    <w:p w14:paraId="0A1FCE81" w14:textId="77777777" w:rsidR="00544798" w:rsidRDefault="00544798" w:rsidP="00926EB3">
      <w:pPr>
        <w:pStyle w:val="ListParagraph"/>
        <w:numPr>
          <w:ilvl w:val="1"/>
          <w:numId w:val="58"/>
        </w:numPr>
      </w:pPr>
      <w:r>
        <w:t>Other: (list).</w:t>
      </w:r>
    </w:p>
    <w:p w14:paraId="0141E563" w14:textId="77777777" w:rsidR="00544798" w:rsidRDefault="00544798" w:rsidP="00926EB3">
      <w:pPr>
        <w:pStyle w:val="ListParagraph"/>
        <w:numPr>
          <w:ilvl w:val="0"/>
          <w:numId w:val="58"/>
        </w:numPr>
      </w:pPr>
      <w:r>
        <w:t xml:space="preserve"> My insurance plan includes: (choose all that apply).</w:t>
      </w:r>
    </w:p>
    <w:p w14:paraId="5809B51F" w14:textId="77777777" w:rsidR="00544798" w:rsidRDefault="00544798" w:rsidP="00926EB3">
      <w:pPr>
        <w:pStyle w:val="ListParagraph"/>
        <w:numPr>
          <w:ilvl w:val="1"/>
          <w:numId w:val="58"/>
        </w:numPr>
      </w:pPr>
      <w:r>
        <w:t>Dental.</w:t>
      </w:r>
    </w:p>
    <w:p w14:paraId="07763BE9" w14:textId="77777777" w:rsidR="00544798" w:rsidRDefault="00544798" w:rsidP="00926EB3">
      <w:pPr>
        <w:pStyle w:val="ListParagraph"/>
        <w:numPr>
          <w:ilvl w:val="1"/>
          <w:numId w:val="58"/>
        </w:numPr>
      </w:pPr>
      <w:r>
        <w:t>Vision.</w:t>
      </w:r>
    </w:p>
    <w:p w14:paraId="5DE509D2" w14:textId="77777777" w:rsidR="00544798" w:rsidRDefault="00544798" w:rsidP="00926EB3">
      <w:pPr>
        <w:pStyle w:val="ListParagraph"/>
        <w:numPr>
          <w:ilvl w:val="1"/>
          <w:numId w:val="58"/>
        </w:numPr>
      </w:pPr>
      <w:r>
        <w:t>I do not have health insurance.</w:t>
      </w:r>
    </w:p>
    <w:p w14:paraId="36B6B5A0" w14:textId="77777777" w:rsidR="00544798" w:rsidRDefault="00544798" w:rsidP="00926EB3">
      <w:pPr>
        <w:pStyle w:val="ListParagraph"/>
        <w:numPr>
          <w:ilvl w:val="0"/>
          <w:numId w:val="58"/>
        </w:numPr>
      </w:pPr>
      <w:r>
        <w:t xml:space="preserve"> I have a primary care provider:</w:t>
      </w:r>
    </w:p>
    <w:p w14:paraId="1A628A07" w14:textId="77777777" w:rsidR="00544798" w:rsidRDefault="00544798" w:rsidP="00926EB3">
      <w:pPr>
        <w:pStyle w:val="ListParagraph"/>
        <w:numPr>
          <w:ilvl w:val="1"/>
          <w:numId w:val="58"/>
        </w:numPr>
      </w:pPr>
      <w:r>
        <w:t>Yes.</w:t>
      </w:r>
    </w:p>
    <w:p w14:paraId="5155EC48" w14:textId="77777777" w:rsidR="00544798" w:rsidRDefault="00544798" w:rsidP="00926EB3">
      <w:pPr>
        <w:pStyle w:val="ListParagraph"/>
        <w:numPr>
          <w:ilvl w:val="1"/>
          <w:numId w:val="58"/>
        </w:numPr>
      </w:pPr>
      <w:r>
        <w:t>No.</w:t>
      </w:r>
    </w:p>
    <w:p w14:paraId="685679C5" w14:textId="77777777" w:rsidR="00544798" w:rsidRDefault="00544798" w:rsidP="00926EB3">
      <w:pPr>
        <w:pStyle w:val="ListParagraph"/>
        <w:numPr>
          <w:ilvl w:val="0"/>
          <w:numId w:val="58"/>
        </w:numPr>
      </w:pPr>
      <w:r>
        <w:t xml:space="preserve"> In general, I would rate my overall health as: </w:t>
      </w:r>
    </w:p>
    <w:p w14:paraId="588A5ED2" w14:textId="77777777" w:rsidR="00544798" w:rsidRDefault="00544798" w:rsidP="00926EB3">
      <w:pPr>
        <w:pStyle w:val="ListParagraph"/>
        <w:numPr>
          <w:ilvl w:val="1"/>
          <w:numId w:val="58"/>
        </w:numPr>
      </w:pPr>
      <w:r>
        <w:t>Excellent.</w:t>
      </w:r>
    </w:p>
    <w:p w14:paraId="4F64797A" w14:textId="77777777" w:rsidR="00544798" w:rsidRDefault="00544798" w:rsidP="00926EB3">
      <w:pPr>
        <w:pStyle w:val="ListParagraph"/>
        <w:numPr>
          <w:ilvl w:val="1"/>
          <w:numId w:val="58"/>
        </w:numPr>
      </w:pPr>
      <w:r>
        <w:t>Very Good.</w:t>
      </w:r>
    </w:p>
    <w:p w14:paraId="5C951955" w14:textId="77777777" w:rsidR="00544798" w:rsidRDefault="00544798" w:rsidP="00926EB3">
      <w:pPr>
        <w:pStyle w:val="ListParagraph"/>
        <w:numPr>
          <w:ilvl w:val="1"/>
          <w:numId w:val="58"/>
        </w:numPr>
      </w:pPr>
      <w:r>
        <w:t>Good.</w:t>
      </w:r>
    </w:p>
    <w:p w14:paraId="5EF9ADD0" w14:textId="77777777" w:rsidR="00544798" w:rsidRDefault="00544798" w:rsidP="00926EB3">
      <w:pPr>
        <w:pStyle w:val="ListParagraph"/>
        <w:numPr>
          <w:ilvl w:val="1"/>
          <w:numId w:val="58"/>
        </w:numPr>
      </w:pPr>
      <w:r>
        <w:t>Fair.</w:t>
      </w:r>
    </w:p>
    <w:p w14:paraId="2B8DFFE5" w14:textId="77777777" w:rsidR="00544798" w:rsidRDefault="00544798" w:rsidP="00926EB3">
      <w:pPr>
        <w:pStyle w:val="ListParagraph"/>
        <w:numPr>
          <w:ilvl w:val="1"/>
          <w:numId w:val="58"/>
        </w:numPr>
      </w:pPr>
      <w:r>
        <w:t>Poor.</w:t>
      </w:r>
    </w:p>
    <w:p w14:paraId="019ECD49" w14:textId="77777777" w:rsidR="00544798" w:rsidRDefault="00544798" w:rsidP="00926EB3">
      <w:pPr>
        <w:pStyle w:val="ListParagraph"/>
        <w:numPr>
          <w:ilvl w:val="0"/>
          <w:numId w:val="58"/>
        </w:numPr>
      </w:pPr>
      <w:r>
        <w:t xml:space="preserve"> What types of health services are most important to keep YOU healthy? Check your top four services. </w:t>
      </w:r>
    </w:p>
    <w:p w14:paraId="44361BDF" w14:textId="77777777" w:rsidR="00544798" w:rsidRDefault="00544798" w:rsidP="00926EB3">
      <w:pPr>
        <w:pStyle w:val="ListParagraph"/>
        <w:numPr>
          <w:ilvl w:val="1"/>
          <w:numId w:val="58"/>
        </w:numPr>
      </w:pPr>
      <w:r>
        <w:t>Hypertension/Blood pressure care.</w:t>
      </w:r>
    </w:p>
    <w:p w14:paraId="6AD8163F" w14:textId="77777777" w:rsidR="00544798" w:rsidRDefault="00544798" w:rsidP="00926EB3">
      <w:pPr>
        <w:pStyle w:val="ListParagraph"/>
        <w:numPr>
          <w:ilvl w:val="1"/>
          <w:numId w:val="58"/>
        </w:numPr>
      </w:pPr>
      <w:r>
        <w:t>Cancer care.</w:t>
      </w:r>
    </w:p>
    <w:p w14:paraId="7EDA6B30" w14:textId="77777777" w:rsidR="00544798" w:rsidRDefault="00544798" w:rsidP="00926EB3">
      <w:pPr>
        <w:pStyle w:val="ListParagraph"/>
        <w:numPr>
          <w:ilvl w:val="1"/>
          <w:numId w:val="58"/>
        </w:numPr>
      </w:pPr>
      <w:r>
        <w:t>Fall prevention for elderly.</w:t>
      </w:r>
    </w:p>
    <w:p w14:paraId="1C4F1DD4" w14:textId="77777777" w:rsidR="00544798" w:rsidRDefault="00544798" w:rsidP="00926EB3">
      <w:pPr>
        <w:pStyle w:val="ListParagraph"/>
        <w:numPr>
          <w:ilvl w:val="1"/>
          <w:numId w:val="58"/>
        </w:numPr>
      </w:pPr>
      <w:r>
        <w:t>Colorectal care/screening.</w:t>
      </w:r>
    </w:p>
    <w:p w14:paraId="22381E91" w14:textId="77777777" w:rsidR="00544798" w:rsidRDefault="00544798" w:rsidP="00926EB3">
      <w:pPr>
        <w:pStyle w:val="ListParagraph"/>
        <w:numPr>
          <w:ilvl w:val="1"/>
          <w:numId w:val="58"/>
        </w:numPr>
      </w:pPr>
      <w:r>
        <w:t>HIV/AIDS/STD.</w:t>
      </w:r>
    </w:p>
    <w:p w14:paraId="5DF95E44" w14:textId="77777777" w:rsidR="00544798" w:rsidRDefault="00544798" w:rsidP="00926EB3">
      <w:pPr>
        <w:pStyle w:val="ListParagraph"/>
        <w:numPr>
          <w:ilvl w:val="1"/>
          <w:numId w:val="58"/>
        </w:numPr>
      </w:pPr>
      <w:r>
        <w:t>Heart disease care.</w:t>
      </w:r>
    </w:p>
    <w:p w14:paraId="42A23C62" w14:textId="77777777" w:rsidR="00544798" w:rsidRDefault="00544798" w:rsidP="00926EB3">
      <w:pPr>
        <w:pStyle w:val="ListParagraph"/>
        <w:numPr>
          <w:ilvl w:val="1"/>
          <w:numId w:val="58"/>
        </w:numPr>
      </w:pPr>
      <w:r>
        <w:t>Diabetes care.</w:t>
      </w:r>
    </w:p>
    <w:p w14:paraId="64F341BC" w14:textId="77777777" w:rsidR="00544798" w:rsidRDefault="00544798" w:rsidP="00926EB3">
      <w:pPr>
        <w:pStyle w:val="ListParagraph"/>
        <w:numPr>
          <w:ilvl w:val="1"/>
          <w:numId w:val="58"/>
        </w:numPr>
      </w:pPr>
      <w:r>
        <w:t>Quitting smoking/tobacco products.</w:t>
      </w:r>
    </w:p>
    <w:p w14:paraId="632DA3BC" w14:textId="77777777" w:rsidR="00544798" w:rsidRDefault="00544798" w:rsidP="00926EB3">
      <w:pPr>
        <w:pStyle w:val="ListParagraph"/>
        <w:numPr>
          <w:ilvl w:val="1"/>
          <w:numId w:val="58"/>
        </w:numPr>
      </w:pPr>
      <w:r>
        <w:t>Drug and alcohol misuse.</w:t>
      </w:r>
    </w:p>
    <w:p w14:paraId="68EF465A" w14:textId="77777777" w:rsidR="00544798" w:rsidRDefault="00544798" w:rsidP="00926EB3">
      <w:pPr>
        <w:pStyle w:val="ListParagraph"/>
        <w:numPr>
          <w:ilvl w:val="1"/>
          <w:numId w:val="58"/>
        </w:numPr>
      </w:pPr>
      <w:r>
        <w:t>Suicide prevention.</w:t>
      </w:r>
    </w:p>
    <w:p w14:paraId="3E6AC97B" w14:textId="77777777" w:rsidR="00544798" w:rsidRDefault="00544798" w:rsidP="00926EB3">
      <w:pPr>
        <w:pStyle w:val="ListParagraph"/>
        <w:numPr>
          <w:ilvl w:val="1"/>
          <w:numId w:val="58"/>
        </w:numPr>
      </w:pPr>
      <w:r>
        <w:t>Alzheimer’s/Dementia care.</w:t>
      </w:r>
    </w:p>
    <w:p w14:paraId="21C044E8" w14:textId="77777777" w:rsidR="00544798" w:rsidRDefault="00544798" w:rsidP="00926EB3">
      <w:pPr>
        <w:pStyle w:val="ListParagraph"/>
        <w:numPr>
          <w:ilvl w:val="1"/>
          <w:numId w:val="58"/>
        </w:numPr>
      </w:pPr>
      <w:r>
        <w:t>COVID vaccination or other prevention resources.</w:t>
      </w:r>
    </w:p>
    <w:p w14:paraId="68204E39" w14:textId="77777777" w:rsidR="00544798" w:rsidRDefault="00544798" w:rsidP="00926EB3">
      <w:pPr>
        <w:pStyle w:val="ListParagraph"/>
        <w:numPr>
          <w:ilvl w:val="1"/>
          <w:numId w:val="58"/>
        </w:numPr>
      </w:pPr>
      <w:r>
        <w:t>Emergency preparedness.</w:t>
      </w:r>
    </w:p>
    <w:p w14:paraId="3A65C7A9" w14:textId="77777777" w:rsidR="00544798" w:rsidRDefault="00544798" w:rsidP="00926EB3">
      <w:pPr>
        <w:pStyle w:val="ListParagraph"/>
        <w:numPr>
          <w:ilvl w:val="1"/>
          <w:numId w:val="58"/>
        </w:numPr>
      </w:pPr>
      <w:r>
        <w:t>Mental health/depression care.</w:t>
      </w:r>
    </w:p>
    <w:p w14:paraId="6DA967E6" w14:textId="77777777" w:rsidR="00544798" w:rsidRDefault="00544798" w:rsidP="00926EB3">
      <w:pPr>
        <w:pStyle w:val="ListParagraph"/>
        <w:numPr>
          <w:ilvl w:val="1"/>
          <w:numId w:val="58"/>
        </w:numPr>
      </w:pPr>
      <w:r>
        <w:t>Routine wellness checkup (Mammogram/Cholesterol/Immunization).</w:t>
      </w:r>
    </w:p>
    <w:p w14:paraId="1703C3AA" w14:textId="77777777" w:rsidR="00544798" w:rsidRDefault="00544798" w:rsidP="00926EB3">
      <w:pPr>
        <w:pStyle w:val="ListParagraph"/>
        <w:numPr>
          <w:ilvl w:val="1"/>
          <w:numId w:val="58"/>
        </w:numPr>
      </w:pPr>
      <w:r>
        <w:t>Weight loss support.</w:t>
      </w:r>
    </w:p>
    <w:p w14:paraId="067613D3" w14:textId="77777777" w:rsidR="00544798" w:rsidRDefault="00544798" w:rsidP="00926EB3">
      <w:pPr>
        <w:pStyle w:val="ListParagraph"/>
        <w:numPr>
          <w:ilvl w:val="1"/>
          <w:numId w:val="58"/>
        </w:numPr>
      </w:pPr>
      <w:r>
        <w:t>Nutrition for prenatal care.</w:t>
      </w:r>
    </w:p>
    <w:p w14:paraId="7AE32891" w14:textId="77777777" w:rsidR="00544798" w:rsidRDefault="00544798" w:rsidP="00926EB3">
      <w:pPr>
        <w:pStyle w:val="ListParagraph"/>
        <w:numPr>
          <w:ilvl w:val="1"/>
          <w:numId w:val="58"/>
        </w:numPr>
      </w:pPr>
      <w:r>
        <w:t>Vaccination/Immunization.</w:t>
      </w:r>
    </w:p>
    <w:p w14:paraId="7798353D" w14:textId="77777777" w:rsidR="00544798" w:rsidRDefault="00544798" w:rsidP="00926EB3">
      <w:pPr>
        <w:pStyle w:val="ListParagraph"/>
        <w:numPr>
          <w:ilvl w:val="1"/>
          <w:numId w:val="58"/>
        </w:numPr>
      </w:pPr>
      <w:r>
        <w:t>Other: (list).</w:t>
      </w:r>
    </w:p>
    <w:p w14:paraId="253F5B06" w14:textId="77777777" w:rsidR="00544798" w:rsidRDefault="00544798" w:rsidP="00926EB3">
      <w:pPr>
        <w:pStyle w:val="ListParagraph"/>
        <w:numPr>
          <w:ilvl w:val="0"/>
          <w:numId w:val="58"/>
        </w:numPr>
      </w:pPr>
      <w:r>
        <w:lastRenderedPageBreak/>
        <w:t xml:space="preserve"> I get most of my health information and education from: (check your top three).</w:t>
      </w:r>
    </w:p>
    <w:p w14:paraId="0A93C462" w14:textId="77777777" w:rsidR="00544798" w:rsidRDefault="00544798" w:rsidP="00926EB3">
      <w:pPr>
        <w:pStyle w:val="ListParagraph"/>
        <w:numPr>
          <w:ilvl w:val="1"/>
          <w:numId w:val="58"/>
        </w:numPr>
      </w:pPr>
      <w:r>
        <w:t>Church.</w:t>
      </w:r>
    </w:p>
    <w:p w14:paraId="61E196DA" w14:textId="77777777" w:rsidR="00544798" w:rsidRDefault="00544798" w:rsidP="00926EB3">
      <w:pPr>
        <w:pStyle w:val="ListParagraph"/>
        <w:numPr>
          <w:ilvl w:val="1"/>
          <w:numId w:val="58"/>
        </w:numPr>
      </w:pPr>
      <w:r>
        <w:t>Doctor or healthcare provider.</w:t>
      </w:r>
    </w:p>
    <w:p w14:paraId="26650C54" w14:textId="77777777" w:rsidR="00544798" w:rsidRDefault="00544798" w:rsidP="00926EB3">
      <w:pPr>
        <w:pStyle w:val="ListParagraph"/>
        <w:numPr>
          <w:ilvl w:val="1"/>
          <w:numId w:val="58"/>
        </w:numPr>
      </w:pPr>
      <w:r>
        <w:t>Family, friends.</w:t>
      </w:r>
    </w:p>
    <w:p w14:paraId="0D96B1E9" w14:textId="77777777" w:rsidR="00544798" w:rsidRDefault="00544798" w:rsidP="00926EB3">
      <w:pPr>
        <w:pStyle w:val="ListParagraph"/>
        <w:numPr>
          <w:ilvl w:val="1"/>
          <w:numId w:val="58"/>
        </w:numPr>
      </w:pPr>
      <w:r>
        <w:t>Health department.</w:t>
      </w:r>
    </w:p>
    <w:p w14:paraId="6933DE61" w14:textId="77777777" w:rsidR="00544798" w:rsidRDefault="00544798" w:rsidP="00926EB3">
      <w:pPr>
        <w:pStyle w:val="ListParagraph"/>
        <w:numPr>
          <w:ilvl w:val="1"/>
          <w:numId w:val="58"/>
        </w:numPr>
      </w:pPr>
      <w:r>
        <w:t>Hospital.</w:t>
      </w:r>
    </w:p>
    <w:p w14:paraId="05E72BEC" w14:textId="77777777" w:rsidR="00544798" w:rsidRDefault="00544798" w:rsidP="00926EB3">
      <w:pPr>
        <w:pStyle w:val="ListParagraph"/>
        <w:numPr>
          <w:ilvl w:val="1"/>
          <w:numId w:val="58"/>
        </w:numPr>
      </w:pPr>
      <w:r>
        <w:t>Internet (WebMD, Healthline, etc.).</w:t>
      </w:r>
    </w:p>
    <w:p w14:paraId="108CB9CE" w14:textId="77777777" w:rsidR="00544798" w:rsidRDefault="00544798" w:rsidP="00926EB3">
      <w:pPr>
        <w:pStyle w:val="ListParagraph"/>
        <w:numPr>
          <w:ilvl w:val="1"/>
          <w:numId w:val="58"/>
        </w:numPr>
      </w:pPr>
      <w:r>
        <w:t>Newspaper, magazines.</w:t>
      </w:r>
    </w:p>
    <w:p w14:paraId="01C0C8BD" w14:textId="77777777" w:rsidR="00544798" w:rsidRDefault="00544798" w:rsidP="00926EB3">
      <w:pPr>
        <w:pStyle w:val="ListParagraph"/>
        <w:numPr>
          <w:ilvl w:val="1"/>
          <w:numId w:val="58"/>
        </w:numPr>
      </w:pPr>
      <w:r>
        <w:t>Radio, television.</w:t>
      </w:r>
    </w:p>
    <w:p w14:paraId="5BE1B747" w14:textId="77777777" w:rsidR="00544798" w:rsidRDefault="00544798" w:rsidP="00926EB3">
      <w:pPr>
        <w:pStyle w:val="ListParagraph"/>
        <w:numPr>
          <w:ilvl w:val="1"/>
          <w:numId w:val="58"/>
        </w:numPr>
      </w:pPr>
      <w:r>
        <w:t>School, college.</w:t>
      </w:r>
    </w:p>
    <w:p w14:paraId="7D40F69C" w14:textId="77777777" w:rsidR="00544798" w:rsidRDefault="00544798" w:rsidP="00926EB3">
      <w:pPr>
        <w:pStyle w:val="ListParagraph"/>
        <w:numPr>
          <w:ilvl w:val="1"/>
          <w:numId w:val="58"/>
        </w:numPr>
      </w:pPr>
      <w:r>
        <w:t>Social media (Facebook, TikTok, etc.).</w:t>
      </w:r>
    </w:p>
    <w:p w14:paraId="4041AB05" w14:textId="77777777" w:rsidR="00544798" w:rsidRDefault="00544798" w:rsidP="00926EB3">
      <w:pPr>
        <w:pStyle w:val="ListParagraph"/>
        <w:numPr>
          <w:ilvl w:val="1"/>
          <w:numId w:val="58"/>
        </w:numPr>
      </w:pPr>
      <w:r>
        <w:t>Work.</w:t>
      </w:r>
    </w:p>
    <w:p w14:paraId="324AAB52" w14:textId="77777777" w:rsidR="00544798" w:rsidRDefault="00544798" w:rsidP="00926EB3">
      <w:pPr>
        <w:pStyle w:val="ListParagraph"/>
        <w:numPr>
          <w:ilvl w:val="1"/>
          <w:numId w:val="58"/>
        </w:numPr>
      </w:pPr>
      <w:r>
        <w:t>Other: (list).</w:t>
      </w:r>
    </w:p>
    <w:p w14:paraId="759B2DB8" w14:textId="77777777" w:rsidR="00544798" w:rsidRDefault="00544798" w:rsidP="00926EB3">
      <w:pPr>
        <w:pStyle w:val="ListParagraph"/>
        <w:numPr>
          <w:ilvl w:val="0"/>
          <w:numId w:val="58"/>
        </w:numPr>
      </w:pPr>
      <w:r>
        <w:t xml:space="preserve"> I typically get routine health care services (non-emergencies) from: </w:t>
      </w:r>
    </w:p>
    <w:p w14:paraId="5D35F03E" w14:textId="77777777" w:rsidR="00544798" w:rsidRDefault="00544798" w:rsidP="00926EB3">
      <w:pPr>
        <w:pStyle w:val="ListParagraph"/>
        <w:numPr>
          <w:ilvl w:val="1"/>
          <w:numId w:val="58"/>
        </w:numPr>
      </w:pPr>
      <w:r>
        <w:t>Emergency Room.</w:t>
      </w:r>
    </w:p>
    <w:p w14:paraId="794E52DC" w14:textId="77777777" w:rsidR="00544798" w:rsidRDefault="00544798" w:rsidP="00926EB3">
      <w:pPr>
        <w:pStyle w:val="ListParagraph"/>
        <w:numPr>
          <w:ilvl w:val="1"/>
          <w:numId w:val="58"/>
        </w:numPr>
      </w:pPr>
      <w:r>
        <w:t>Health Department.</w:t>
      </w:r>
    </w:p>
    <w:p w14:paraId="4CCDC80B" w14:textId="77777777" w:rsidR="00544798" w:rsidRDefault="00544798" w:rsidP="00926EB3">
      <w:pPr>
        <w:pStyle w:val="ListParagraph"/>
        <w:numPr>
          <w:ilvl w:val="1"/>
          <w:numId w:val="58"/>
        </w:numPr>
      </w:pPr>
      <w:r>
        <w:t>Physician’s Office.</w:t>
      </w:r>
    </w:p>
    <w:p w14:paraId="0D802D15" w14:textId="77777777" w:rsidR="00544798" w:rsidRDefault="00544798" w:rsidP="00926EB3">
      <w:pPr>
        <w:pStyle w:val="ListParagraph"/>
        <w:numPr>
          <w:ilvl w:val="1"/>
          <w:numId w:val="58"/>
        </w:numPr>
      </w:pPr>
      <w:r>
        <w:t>Urgent Care.</w:t>
      </w:r>
    </w:p>
    <w:p w14:paraId="094E455D" w14:textId="77777777" w:rsidR="00544798" w:rsidRDefault="00544798" w:rsidP="00926EB3">
      <w:pPr>
        <w:pStyle w:val="ListParagraph"/>
        <w:numPr>
          <w:ilvl w:val="1"/>
          <w:numId w:val="58"/>
        </w:numPr>
      </w:pPr>
      <w:r>
        <w:t>Grocery or Drug Store Clinic.</w:t>
      </w:r>
    </w:p>
    <w:p w14:paraId="1AC7C63F" w14:textId="77777777" w:rsidR="00544798" w:rsidRDefault="00544798" w:rsidP="00926EB3">
      <w:pPr>
        <w:pStyle w:val="ListParagraph"/>
        <w:numPr>
          <w:ilvl w:val="1"/>
          <w:numId w:val="58"/>
        </w:numPr>
      </w:pPr>
      <w:r>
        <w:t>I do not receive routine health care services.</w:t>
      </w:r>
    </w:p>
    <w:p w14:paraId="7D0D20F8" w14:textId="77777777" w:rsidR="00544798" w:rsidRDefault="00544798" w:rsidP="00926EB3">
      <w:pPr>
        <w:pStyle w:val="ListParagraph"/>
        <w:numPr>
          <w:ilvl w:val="1"/>
          <w:numId w:val="58"/>
        </w:numPr>
      </w:pPr>
      <w:r>
        <w:t>Other: (list).</w:t>
      </w:r>
    </w:p>
    <w:p w14:paraId="7BB6D23C" w14:textId="77777777" w:rsidR="00544798" w:rsidRDefault="00544798" w:rsidP="00926EB3">
      <w:pPr>
        <w:pStyle w:val="ListParagraph"/>
        <w:numPr>
          <w:ilvl w:val="0"/>
          <w:numId w:val="58"/>
        </w:numPr>
      </w:pPr>
      <w:r>
        <w:t xml:space="preserve"> Please rank the health issues listed from most concerning (10) to least concerning (1) for you and your family: </w:t>
      </w:r>
    </w:p>
    <w:p w14:paraId="2FAC49A6" w14:textId="77777777" w:rsidR="00544798" w:rsidRDefault="00544798" w:rsidP="00926EB3">
      <w:pPr>
        <w:pStyle w:val="ListParagraph"/>
        <w:numPr>
          <w:ilvl w:val="1"/>
          <w:numId w:val="58"/>
        </w:numPr>
      </w:pPr>
      <w:r>
        <w:t>Access to care.</w:t>
      </w:r>
    </w:p>
    <w:p w14:paraId="7F9236E6" w14:textId="77777777" w:rsidR="00544798" w:rsidRDefault="00544798" w:rsidP="00926EB3">
      <w:pPr>
        <w:pStyle w:val="ListParagraph"/>
        <w:numPr>
          <w:ilvl w:val="1"/>
          <w:numId w:val="58"/>
        </w:numPr>
      </w:pPr>
      <w:r>
        <w:t>Clinical preventive services.</w:t>
      </w:r>
    </w:p>
    <w:p w14:paraId="27510E57" w14:textId="77777777" w:rsidR="00544798" w:rsidRDefault="00544798" w:rsidP="00926EB3">
      <w:pPr>
        <w:pStyle w:val="ListParagraph"/>
        <w:numPr>
          <w:ilvl w:val="1"/>
          <w:numId w:val="58"/>
        </w:numPr>
      </w:pPr>
      <w:r>
        <w:t>Oral health.</w:t>
      </w:r>
    </w:p>
    <w:p w14:paraId="6B9FF1F3" w14:textId="77777777" w:rsidR="00544798" w:rsidRDefault="00544798" w:rsidP="00926EB3">
      <w:pPr>
        <w:pStyle w:val="ListParagraph"/>
        <w:numPr>
          <w:ilvl w:val="1"/>
          <w:numId w:val="58"/>
        </w:numPr>
      </w:pPr>
      <w:r>
        <w:t>Sexual health.</w:t>
      </w:r>
    </w:p>
    <w:p w14:paraId="7211E904" w14:textId="77777777" w:rsidR="00544798" w:rsidRDefault="00544798" w:rsidP="00926EB3">
      <w:pPr>
        <w:pStyle w:val="ListParagraph"/>
        <w:numPr>
          <w:ilvl w:val="1"/>
          <w:numId w:val="58"/>
        </w:numPr>
      </w:pPr>
      <w:r>
        <w:t>Substance misuse.</w:t>
      </w:r>
    </w:p>
    <w:p w14:paraId="34253451" w14:textId="77777777" w:rsidR="00544798" w:rsidRDefault="00544798" w:rsidP="00926EB3">
      <w:pPr>
        <w:pStyle w:val="ListParagraph"/>
        <w:numPr>
          <w:ilvl w:val="1"/>
          <w:numId w:val="58"/>
        </w:numPr>
      </w:pPr>
      <w:r>
        <w:t>Tobacco use.</w:t>
      </w:r>
    </w:p>
    <w:p w14:paraId="1254D6A1" w14:textId="77777777" w:rsidR="00544798" w:rsidRDefault="00544798" w:rsidP="00926EB3">
      <w:pPr>
        <w:pStyle w:val="ListParagraph"/>
        <w:numPr>
          <w:ilvl w:val="1"/>
          <w:numId w:val="58"/>
        </w:numPr>
      </w:pPr>
      <w:r>
        <w:t xml:space="preserve">Injury and violence. </w:t>
      </w:r>
    </w:p>
    <w:p w14:paraId="5BBA91BD" w14:textId="77777777" w:rsidR="00544798" w:rsidRDefault="00544798" w:rsidP="00926EB3">
      <w:pPr>
        <w:pStyle w:val="ListParagraph"/>
        <w:numPr>
          <w:ilvl w:val="1"/>
          <w:numId w:val="58"/>
        </w:numPr>
      </w:pPr>
      <w:r>
        <w:t xml:space="preserve">Maternal, infant, and child health. </w:t>
      </w:r>
    </w:p>
    <w:p w14:paraId="1F75E2CB" w14:textId="77777777" w:rsidR="00544798" w:rsidRDefault="00544798" w:rsidP="00926EB3">
      <w:pPr>
        <w:pStyle w:val="ListParagraph"/>
        <w:numPr>
          <w:ilvl w:val="1"/>
          <w:numId w:val="58"/>
        </w:numPr>
      </w:pPr>
      <w:r>
        <w:t>Mental health.</w:t>
      </w:r>
    </w:p>
    <w:p w14:paraId="088A4524" w14:textId="77777777" w:rsidR="00544798" w:rsidRPr="008A2BED" w:rsidRDefault="00544798" w:rsidP="00926EB3">
      <w:pPr>
        <w:pStyle w:val="ListParagraph"/>
        <w:numPr>
          <w:ilvl w:val="1"/>
          <w:numId w:val="58"/>
        </w:numPr>
        <w:rPr>
          <w:rStyle w:val="Heading5Char"/>
          <w:rFonts w:eastAsiaTheme="minorHAnsi" w:cstheme="minorBidi"/>
          <w:color w:val="auto"/>
        </w:rPr>
      </w:pPr>
      <w:r>
        <w:t>Obesity, nutrition, and physical activity.</w:t>
      </w:r>
    </w:p>
    <w:p w14:paraId="3B8B1CD1" w14:textId="77777777" w:rsidR="00544798" w:rsidRDefault="00544798" w:rsidP="00544798">
      <w:pPr>
        <w:rPr>
          <w:rStyle w:val="Heading5Char"/>
        </w:rPr>
      </w:pPr>
      <w:r>
        <w:rPr>
          <w:rStyle w:val="Heading5Char"/>
        </w:rPr>
        <w:t>Social Determinants of Health.</w:t>
      </w:r>
    </w:p>
    <w:p w14:paraId="62DD543E" w14:textId="77777777" w:rsidR="00544798" w:rsidRDefault="00544798" w:rsidP="00544798">
      <w:r w:rsidRPr="00186D0C">
        <w:lastRenderedPageBreak/>
        <w:t>Social determinants of health are the conditions in which we live, work, learn, and play that affect a wide range of health and wellness outcomes. The questions in this section will ask about your core social determinants of health.</w:t>
      </w:r>
    </w:p>
    <w:p w14:paraId="5FF5B1F4" w14:textId="77777777" w:rsidR="00544798" w:rsidRDefault="00544798" w:rsidP="00926EB3">
      <w:pPr>
        <w:pStyle w:val="ListParagraph"/>
        <w:numPr>
          <w:ilvl w:val="0"/>
          <w:numId w:val="58"/>
        </w:numPr>
      </w:pPr>
      <w:r>
        <w:t xml:space="preserve"> This was presented to survey participants as a chart for them to answer how they felt about the following statements. The options for each statement were: Always, Usually, Sometimes, Hardly Ever, and Never. </w:t>
      </w:r>
    </w:p>
    <w:p w14:paraId="6FB8B8E7" w14:textId="77777777" w:rsidR="00544798" w:rsidRDefault="00544798" w:rsidP="00926EB3">
      <w:pPr>
        <w:pStyle w:val="ListParagraph"/>
        <w:numPr>
          <w:ilvl w:val="1"/>
          <w:numId w:val="58"/>
        </w:numPr>
      </w:pPr>
      <w:r w:rsidRPr="00186D0C">
        <w:t>I am worried or concerned that I may not have stable housing within the next two months</w:t>
      </w:r>
      <w:r>
        <w:t>.</w:t>
      </w:r>
    </w:p>
    <w:p w14:paraId="1C9A58E7" w14:textId="77777777" w:rsidR="00544798" w:rsidRDefault="00544798" w:rsidP="00926EB3">
      <w:pPr>
        <w:pStyle w:val="ListParagraph"/>
        <w:numPr>
          <w:ilvl w:val="1"/>
          <w:numId w:val="58"/>
        </w:numPr>
      </w:pPr>
      <w:r w:rsidRPr="00186D0C">
        <w:t>Within the past 12 months, the food I bought just didn’t last and I did not have the money to get more.</w:t>
      </w:r>
    </w:p>
    <w:p w14:paraId="68514772" w14:textId="77777777" w:rsidR="00544798" w:rsidRDefault="00544798" w:rsidP="00926EB3">
      <w:pPr>
        <w:pStyle w:val="ListParagraph"/>
        <w:numPr>
          <w:ilvl w:val="1"/>
          <w:numId w:val="58"/>
        </w:numPr>
      </w:pPr>
      <w:r w:rsidRPr="00186D0C">
        <w:t>I put of</w:t>
      </w:r>
      <w:r>
        <w:t>f</w:t>
      </w:r>
      <w:r w:rsidRPr="00186D0C">
        <w:t xml:space="preserve"> or avoid going to the doctor because of distance or transportation.</w:t>
      </w:r>
    </w:p>
    <w:p w14:paraId="112EBCBB" w14:textId="77777777" w:rsidR="00544798" w:rsidRDefault="00544798" w:rsidP="00926EB3">
      <w:pPr>
        <w:pStyle w:val="ListParagraph"/>
        <w:numPr>
          <w:ilvl w:val="1"/>
          <w:numId w:val="58"/>
        </w:numPr>
      </w:pPr>
      <w:r w:rsidRPr="00186D0C">
        <w:t>In the past 12 months, my electric, gas, or water company has threatened to shut services in my home.</w:t>
      </w:r>
    </w:p>
    <w:p w14:paraId="490AFD04" w14:textId="77777777" w:rsidR="00544798" w:rsidRDefault="00544798" w:rsidP="00926EB3">
      <w:pPr>
        <w:pStyle w:val="ListParagraph"/>
        <w:numPr>
          <w:ilvl w:val="1"/>
          <w:numId w:val="58"/>
        </w:numPr>
      </w:pPr>
      <w:r w:rsidRPr="00186D0C">
        <w:t>I have enough money to pay my bills.</w:t>
      </w:r>
    </w:p>
    <w:p w14:paraId="45996D4D" w14:textId="77777777" w:rsidR="00544798" w:rsidRDefault="00544798" w:rsidP="00926EB3">
      <w:pPr>
        <w:pStyle w:val="ListParagraph"/>
        <w:numPr>
          <w:ilvl w:val="1"/>
          <w:numId w:val="58"/>
        </w:numPr>
      </w:pPr>
      <w:r w:rsidRPr="00186D0C">
        <w:t>I am physically active for at least 30 minutes every day.</w:t>
      </w:r>
    </w:p>
    <w:p w14:paraId="2A02FD90" w14:textId="77777777" w:rsidR="00544798" w:rsidRDefault="00544798" w:rsidP="00926EB3">
      <w:pPr>
        <w:pStyle w:val="ListParagraph"/>
        <w:numPr>
          <w:ilvl w:val="1"/>
          <w:numId w:val="58"/>
        </w:numPr>
      </w:pPr>
      <w:r>
        <w:t>I have access to a smart device (cellphone, tablet, computer) that I know how to use.</w:t>
      </w:r>
    </w:p>
    <w:p w14:paraId="4FC647F1" w14:textId="77777777" w:rsidR="00544798" w:rsidRDefault="00544798" w:rsidP="00926EB3">
      <w:pPr>
        <w:pStyle w:val="ListParagraph"/>
        <w:numPr>
          <w:ilvl w:val="0"/>
          <w:numId w:val="58"/>
        </w:numPr>
      </w:pPr>
      <w:r>
        <w:t xml:space="preserve"> My main form of transportation is: </w:t>
      </w:r>
    </w:p>
    <w:p w14:paraId="04C2BF19" w14:textId="77777777" w:rsidR="00544798" w:rsidRDefault="00544798" w:rsidP="00926EB3">
      <w:pPr>
        <w:pStyle w:val="ListParagraph"/>
        <w:numPr>
          <w:ilvl w:val="1"/>
          <w:numId w:val="58"/>
        </w:numPr>
      </w:pPr>
      <w:r>
        <w:t>Family, friends.</w:t>
      </w:r>
    </w:p>
    <w:p w14:paraId="3E29CDB1" w14:textId="77777777" w:rsidR="00544798" w:rsidRDefault="00544798" w:rsidP="00926EB3">
      <w:pPr>
        <w:pStyle w:val="ListParagraph"/>
        <w:numPr>
          <w:ilvl w:val="1"/>
          <w:numId w:val="58"/>
        </w:numPr>
      </w:pPr>
      <w:r>
        <w:t>Personal vehicle.</w:t>
      </w:r>
    </w:p>
    <w:p w14:paraId="64C4CE33" w14:textId="77777777" w:rsidR="00544798" w:rsidRDefault="00544798" w:rsidP="00926EB3">
      <w:pPr>
        <w:pStyle w:val="ListParagraph"/>
        <w:numPr>
          <w:ilvl w:val="1"/>
          <w:numId w:val="58"/>
        </w:numPr>
      </w:pPr>
      <w:r>
        <w:t>Public transportation (i.e. bus).</w:t>
      </w:r>
    </w:p>
    <w:p w14:paraId="6D275EA1" w14:textId="77777777" w:rsidR="00544798" w:rsidRDefault="00544798" w:rsidP="00926EB3">
      <w:pPr>
        <w:pStyle w:val="ListParagraph"/>
        <w:numPr>
          <w:ilvl w:val="1"/>
          <w:numId w:val="58"/>
        </w:numPr>
      </w:pPr>
      <w:r>
        <w:t>Taxi, rideshare company (i.e. Uber, Lyft).</w:t>
      </w:r>
    </w:p>
    <w:p w14:paraId="1A663A1B" w14:textId="77777777" w:rsidR="00544798" w:rsidRDefault="00544798" w:rsidP="00926EB3">
      <w:pPr>
        <w:pStyle w:val="ListParagraph"/>
        <w:numPr>
          <w:ilvl w:val="1"/>
          <w:numId w:val="58"/>
        </w:numPr>
      </w:pPr>
      <w:r>
        <w:t>Walk or bicycle.</w:t>
      </w:r>
    </w:p>
    <w:p w14:paraId="5ECFDBC6" w14:textId="77777777" w:rsidR="00544798" w:rsidRDefault="00544798" w:rsidP="00926EB3">
      <w:pPr>
        <w:pStyle w:val="ListParagraph"/>
        <w:numPr>
          <w:ilvl w:val="1"/>
          <w:numId w:val="58"/>
        </w:numPr>
      </w:pPr>
      <w:r>
        <w:t>Other: (list).</w:t>
      </w:r>
    </w:p>
    <w:p w14:paraId="672F1D15" w14:textId="77777777" w:rsidR="00544798" w:rsidRDefault="00544798" w:rsidP="00926EB3">
      <w:pPr>
        <w:pStyle w:val="ListParagraph"/>
        <w:numPr>
          <w:ilvl w:val="0"/>
          <w:numId w:val="58"/>
        </w:numPr>
      </w:pPr>
      <w:r>
        <w:t xml:space="preserve"> I would be OK talking face-to-face with my doctor using the internet (video visits, online chat, etc.).</w:t>
      </w:r>
    </w:p>
    <w:p w14:paraId="157BACE3" w14:textId="77777777" w:rsidR="00544798" w:rsidRDefault="00544798" w:rsidP="00926EB3">
      <w:pPr>
        <w:pStyle w:val="ListParagraph"/>
        <w:numPr>
          <w:ilvl w:val="1"/>
          <w:numId w:val="58"/>
        </w:numPr>
      </w:pPr>
      <w:r>
        <w:t>Strongly Agree.</w:t>
      </w:r>
    </w:p>
    <w:p w14:paraId="44A4366A" w14:textId="77777777" w:rsidR="00544798" w:rsidRDefault="00544798" w:rsidP="00926EB3">
      <w:pPr>
        <w:pStyle w:val="ListParagraph"/>
        <w:numPr>
          <w:ilvl w:val="1"/>
          <w:numId w:val="58"/>
        </w:numPr>
      </w:pPr>
      <w:r>
        <w:t>Agree.</w:t>
      </w:r>
    </w:p>
    <w:p w14:paraId="6AC851F4" w14:textId="77777777" w:rsidR="00544798" w:rsidRDefault="00544798" w:rsidP="00926EB3">
      <w:pPr>
        <w:pStyle w:val="ListParagraph"/>
        <w:numPr>
          <w:ilvl w:val="1"/>
          <w:numId w:val="58"/>
        </w:numPr>
      </w:pPr>
      <w:r>
        <w:t>Neutral.</w:t>
      </w:r>
    </w:p>
    <w:p w14:paraId="21FCE87E" w14:textId="77777777" w:rsidR="00544798" w:rsidRDefault="00544798" w:rsidP="00926EB3">
      <w:pPr>
        <w:pStyle w:val="ListParagraph"/>
        <w:numPr>
          <w:ilvl w:val="1"/>
          <w:numId w:val="58"/>
        </w:numPr>
      </w:pPr>
      <w:r>
        <w:t>Disagree.</w:t>
      </w:r>
    </w:p>
    <w:p w14:paraId="7E6FDDFF" w14:textId="77777777" w:rsidR="00544798" w:rsidRDefault="00544798" w:rsidP="00926EB3">
      <w:pPr>
        <w:pStyle w:val="ListParagraph"/>
        <w:numPr>
          <w:ilvl w:val="1"/>
          <w:numId w:val="58"/>
        </w:numPr>
      </w:pPr>
      <w:r>
        <w:t>Strongly Disagree.</w:t>
      </w:r>
    </w:p>
    <w:p w14:paraId="24A470A1" w14:textId="77777777" w:rsidR="00544798" w:rsidRDefault="00544798" w:rsidP="00926EB3">
      <w:pPr>
        <w:pStyle w:val="ListParagraph"/>
        <w:numPr>
          <w:ilvl w:val="0"/>
          <w:numId w:val="58"/>
        </w:numPr>
      </w:pPr>
      <w:r>
        <w:t xml:space="preserve"> My community is a safe place to live. </w:t>
      </w:r>
    </w:p>
    <w:p w14:paraId="5381A708" w14:textId="77777777" w:rsidR="00544798" w:rsidRDefault="00544798" w:rsidP="00926EB3">
      <w:pPr>
        <w:pStyle w:val="ListParagraph"/>
        <w:numPr>
          <w:ilvl w:val="1"/>
          <w:numId w:val="58"/>
        </w:numPr>
      </w:pPr>
      <w:r>
        <w:t>Strongly Agree.</w:t>
      </w:r>
    </w:p>
    <w:p w14:paraId="2FF1AFE1" w14:textId="77777777" w:rsidR="00544798" w:rsidRDefault="00544798" w:rsidP="00926EB3">
      <w:pPr>
        <w:pStyle w:val="ListParagraph"/>
        <w:numPr>
          <w:ilvl w:val="1"/>
          <w:numId w:val="58"/>
        </w:numPr>
      </w:pPr>
      <w:r>
        <w:t>Agree.</w:t>
      </w:r>
    </w:p>
    <w:p w14:paraId="65F519A3" w14:textId="77777777" w:rsidR="00544798" w:rsidRDefault="00544798" w:rsidP="00926EB3">
      <w:pPr>
        <w:pStyle w:val="ListParagraph"/>
        <w:numPr>
          <w:ilvl w:val="1"/>
          <w:numId w:val="58"/>
        </w:numPr>
      </w:pPr>
      <w:r>
        <w:t>Neutral.</w:t>
      </w:r>
    </w:p>
    <w:p w14:paraId="06E56653" w14:textId="77777777" w:rsidR="00544798" w:rsidRDefault="00544798" w:rsidP="00926EB3">
      <w:pPr>
        <w:pStyle w:val="ListParagraph"/>
        <w:numPr>
          <w:ilvl w:val="1"/>
          <w:numId w:val="58"/>
        </w:numPr>
      </w:pPr>
      <w:r>
        <w:lastRenderedPageBreak/>
        <w:t>Disagree.</w:t>
      </w:r>
    </w:p>
    <w:p w14:paraId="2993250B" w14:textId="77777777" w:rsidR="00544798" w:rsidRDefault="00544798" w:rsidP="00926EB3">
      <w:pPr>
        <w:pStyle w:val="ListParagraph"/>
        <w:numPr>
          <w:ilvl w:val="1"/>
          <w:numId w:val="58"/>
        </w:numPr>
      </w:pPr>
      <w:r>
        <w:t>Strongly Disagree.</w:t>
      </w:r>
    </w:p>
    <w:p w14:paraId="0D00D4E4" w14:textId="77777777" w:rsidR="00544798" w:rsidRDefault="00544798" w:rsidP="00926EB3">
      <w:pPr>
        <w:pStyle w:val="ListParagraph"/>
        <w:numPr>
          <w:ilvl w:val="0"/>
          <w:numId w:val="58"/>
        </w:numPr>
      </w:pPr>
      <w:r>
        <w:t xml:space="preserve"> My community is a safe place to live because: </w:t>
      </w:r>
    </w:p>
    <w:p w14:paraId="73F3E3A6" w14:textId="77777777" w:rsidR="00544798" w:rsidRDefault="00544798" w:rsidP="00926EB3">
      <w:pPr>
        <w:pStyle w:val="ListParagraph"/>
        <w:numPr>
          <w:ilvl w:val="1"/>
          <w:numId w:val="58"/>
        </w:numPr>
      </w:pPr>
      <w:r>
        <w:t>There is safe housing.</w:t>
      </w:r>
    </w:p>
    <w:p w14:paraId="6E7159AD" w14:textId="77777777" w:rsidR="00544798" w:rsidRDefault="00544798" w:rsidP="00926EB3">
      <w:pPr>
        <w:pStyle w:val="ListParagraph"/>
        <w:numPr>
          <w:ilvl w:val="1"/>
          <w:numId w:val="58"/>
        </w:numPr>
      </w:pPr>
      <w:r>
        <w:t>There are safe places to play.</w:t>
      </w:r>
    </w:p>
    <w:p w14:paraId="0D8A4427" w14:textId="77777777" w:rsidR="00544798" w:rsidRDefault="00544798" w:rsidP="00926EB3">
      <w:pPr>
        <w:pStyle w:val="ListParagraph"/>
        <w:numPr>
          <w:ilvl w:val="1"/>
          <w:numId w:val="58"/>
        </w:numPr>
      </w:pPr>
      <w:r>
        <w:t>There are safe places to work.</w:t>
      </w:r>
    </w:p>
    <w:p w14:paraId="0C653ADA" w14:textId="77777777" w:rsidR="00544798" w:rsidRDefault="00544798" w:rsidP="00926EB3">
      <w:pPr>
        <w:pStyle w:val="ListParagraph"/>
        <w:numPr>
          <w:ilvl w:val="1"/>
          <w:numId w:val="58"/>
        </w:numPr>
      </w:pPr>
      <w:r>
        <w:t>There are safe schools.</w:t>
      </w:r>
    </w:p>
    <w:p w14:paraId="228F76E4" w14:textId="77777777" w:rsidR="00544798" w:rsidRDefault="00544798" w:rsidP="00926EB3">
      <w:pPr>
        <w:pStyle w:val="ListParagraph"/>
        <w:numPr>
          <w:ilvl w:val="1"/>
          <w:numId w:val="58"/>
        </w:numPr>
      </w:pPr>
      <w:r>
        <w:t>There is good street lighting.</w:t>
      </w:r>
    </w:p>
    <w:p w14:paraId="74D0DD6B" w14:textId="77777777" w:rsidR="00544798" w:rsidRDefault="00544798" w:rsidP="00926EB3">
      <w:pPr>
        <w:pStyle w:val="ListParagraph"/>
        <w:numPr>
          <w:ilvl w:val="1"/>
          <w:numId w:val="58"/>
        </w:numPr>
      </w:pPr>
      <w:r>
        <w:t>There are safe roads and sidewalks.</w:t>
      </w:r>
    </w:p>
    <w:p w14:paraId="0BCB54D9" w14:textId="77777777" w:rsidR="00544798" w:rsidRDefault="00544798" w:rsidP="00926EB3">
      <w:pPr>
        <w:pStyle w:val="ListParagraph"/>
        <w:numPr>
          <w:ilvl w:val="1"/>
          <w:numId w:val="58"/>
        </w:numPr>
      </w:pPr>
      <w:r>
        <w:t>There are safe ways to get to where I need to go (transportation).</w:t>
      </w:r>
    </w:p>
    <w:p w14:paraId="1282CFCB" w14:textId="77777777" w:rsidR="00544798" w:rsidRDefault="00544798" w:rsidP="00926EB3">
      <w:pPr>
        <w:pStyle w:val="ListParagraph"/>
        <w:numPr>
          <w:ilvl w:val="1"/>
          <w:numId w:val="58"/>
        </w:numPr>
      </w:pPr>
      <w:r>
        <w:t>There are good fire/safety/emergency services.</w:t>
      </w:r>
    </w:p>
    <w:p w14:paraId="3F6A52BF" w14:textId="77777777" w:rsidR="00544798" w:rsidRPr="00186D0C" w:rsidRDefault="00544798" w:rsidP="00926EB3">
      <w:pPr>
        <w:pStyle w:val="ListParagraph"/>
        <w:numPr>
          <w:ilvl w:val="1"/>
          <w:numId w:val="58"/>
        </w:numPr>
        <w:rPr>
          <w:rStyle w:val="Heading5Char"/>
          <w:rFonts w:eastAsiaTheme="minorHAnsi" w:cstheme="minorBidi"/>
          <w:color w:val="auto"/>
        </w:rPr>
      </w:pPr>
      <w:r>
        <w:t>There is a strong faith-based community.</w:t>
      </w:r>
    </w:p>
    <w:p w14:paraId="6CF54579" w14:textId="77777777" w:rsidR="00544798" w:rsidRDefault="00544798" w:rsidP="00544798">
      <w:pPr>
        <w:rPr>
          <w:rStyle w:val="Heading5Char"/>
        </w:rPr>
      </w:pPr>
      <w:r>
        <w:rPr>
          <w:rStyle w:val="Heading5Char"/>
        </w:rPr>
        <w:t>About Your Community.</w:t>
      </w:r>
    </w:p>
    <w:p w14:paraId="187715DD" w14:textId="77777777" w:rsidR="00544798" w:rsidRDefault="00544798" w:rsidP="00926EB3">
      <w:pPr>
        <w:pStyle w:val="ListParagraph"/>
        <w:numPr>
          <w:ilvl w:val="0"/>
          <w:numId w:val="58"/>
        </w:numPr>
      </w:pPr>
      <w:r>
        <w:t xml:space="preserve"> I would rate the overall health of my community as: </w:t>
      </w:r>
    </w:p>
    <w:p w14:paraId="2B8E9022" w14:textId="77777777" w:rsidR="00544798" w:rsidRDefault="00544798" w:rsidP="00926EB3">
      <w:pPr>
        <w:pStyle w:val="ListParagraph"/>
        <w:numPr>
          <w:ilvl w:val="1"/>
          <w:numId w:val="58"/>
        </w:numPr>
      </w:pPr>
      <w:r>
        <w:t>Excellent.</w:t>
      </w:r>
    </w:p>
    <w:p w14:paraId="173C41D2" w14:textId="77777777" w:rsidR="00544798" w:rsidRDefault="00544798" w:rsidP="00926EB3">
      <w:pPr>
        <w:pStyle w:val="ListParagraph"/>
        <w:numPr>
          <w:ilvl w:val="1"/>
          <w:numId w:val="58"/>
        </w:numPr>
      </w:pPr>
      <w:r>
        <w:t>Very Good.</w:t>
      </w:r>
    </w:p>
    <w:p w14:paraId="7DB5C41E" w14:textId="77777777" w:rsidR="00544798" w:rsidRDefault="00544798" w:rsidP="00926EB3">
      <w:pPr>
        <w:pStyle w:val="ListParagraph"/>
        <w:numPr>
          <w:ilvl w:val="1"/>
          <w:numId w:val="58"/>
        </w:numPr>
      </w:pPr>
      <w:r>
        <w:t>Good.</w:t>
      </w:r>
    </w:p>
    <w:p w14:paraId="4131A0E5" w14:textId="77777777" w:rsidR="00544798" w:rsidRDefault="00544798" w:rsidP="00926EB3">
      <w:pPr>
        <w:pStyle w:val="ListParagraph"/>
        <w:numPr>
          <w:ilvl w:val="1"/>
          <w:numId w:val="58"/>
        </w:numPr>
      </w:pPr>
      <w:r>
        <w:t>Fair.</w:t>
      </w:r>
    </w:p>
    <w:p w14:paraId="27F63D8C" w14:textId="77777777" w:rsidR="00544798" w:rsidRDefault="00544798" w:rsidP="00926EB3">
      <w:pPr>
        <w:pStyle w:val="ListParagraph"/>
        <w:numPr>
          <w:ilvl w:val="1"/>
          <w:numId w:val="58"/>
        </w:numPr>
      </w:pPr>
      <w:r>
        <w:t>Poor.</w:t>
      </w:r>
    </w:p>
    <w:p w14:paraId="2CA3DADC" w14:textId="77777777" w:rsidR="00544798" w:rsidRDefault="00544798" w:rsidP="00926EB3">
      <w:pPr>
        <w:pStyle w:val="ListParagraph"/>
        <w:numPr>
          <w:ilvl w:val="0"/>
          <w:numId w:val="58"/>
        </w:numPr>
      </w:pPr>
      <w:r>
        <w:t xml:space="preserve"> The main reason that prevents people in my community from receiving preventative screenings and care:</w:t>
      </w:r>
    </w:p>
    <w:p w14:paraId="250FE9D6" w14:textId="77777777" w:rsidR="00544798" w:rsidRDefault="00544798" w:rsidP="00926EB3">
      <w:pPr>
        <w:pStyle w:val="ListParagraph"/>
        <w:numPr>
          <w:ilvl w:val="1"/>
          <w:numId w:val="58"/>
        </w:numPr>
      </w:pPr>
      <w:r>
        <w:t>Access to health facilities.</w:t>
      </w:r>
    </w:p>
    <w:p w14:paraId="6E8A8E42" w14:textId="77777777" w:rsidR="00544798" w:rsidRDefault="00544798" w:rsidP="00926EB3">
      <w:pPr>
        <w:pStyle w:val="ListParagraph"/>
        <w:numPr>
          <w:ilvl w:val="1"/>
          <w:numId w:val="58"/>
        </w:numPr>
      </w:pPr>
      <w:r>
        <w:t>Cost.</w:t>
      </w:r>
    </w:p>
    <w:p w14:paraId="548059CF" w14:textId="77777777" w:rsidR="00544798" w:rsidRDefault="00544798" w:rsidP="00926EB3">
      <w:pPr>
        <w:pStyle w:val="ListParagraph"/>
        <w:numPr>
          <w:ilvl w:val="1"/>
          <w:numId w:val="58"/>
        </w:numPr>
      </w:pPr>
      <w:r>
        <w:t>Fear.</w:t>
      </w:r>
    </w:p>
    <w:p w14:paraId="5B024053" w14:textId="77777777" w:rsidR="00544798" w:rsidRDefault="00544798" w:rsidP="00926EB3">
      <w:pPr>
        <w:pStyle w:val="ListParagraph"/>
        <w:numPr>
          <w:ilvl w:val="1"/>
          <w:numId w:val="58"/>
        </w:numPr>
      </w:pPr>
      <w:r>
        <w:t>Lack of knowledge.</w:t>
      </w:r>
    </w:p>
    <w:p w14:paraId="006AA019" w14:textId="77777777" w:rsidR="00544798" w:rsidRDefault="00544798" w:rsidP="00926EB3">
      <w:pPr>
        <w:pStyle w:val="ListParagraph"/>
        <w:numPr>
          <w:ilvl w:val="1"/>
          <w:numId w:val="58"/>
        </w:numPr>
      </w:pPr>
      <w:r>
        <w:t>Other: (list).</w:t>
      </w:r>
    </w:p>
    <w:p w14:paraId="158CA0CC" w14:textId="77777777" w:rsidR="00544798" w:rsidRDefault="00544798" w:rsidP="00926EB3">
      <w:pPr>
        <w:pStyle w:val="ListParagraph"/>
        <w:numPr>
          <w:ilvl w:val="0"/>
          <w:numId w:val="58"/>
        </w:numPr>
      </w:pPr>
      <w:r>
        <w:t xml:space="preserve"> The main reason that prevents my community from eating healthy foods is:</w:t>
      </w:r>
    </w:p>
    <w:p w14:paraId="4F01710D" w14:textId="77777777" w:rsidR="00544798" w:rsidRDefault="00544798" w:rsidP="00926EB3">
      <w:pPr>
        <w:pStyle w:val="ListParagraph"/>
        <w:numPr>
          <w:ilvl w:val="1"/>
          <w:numId w:val="58"/>
        </w:numPr>
      </w:pPr>
      <w:r>
        <w:t>Don’t cook at home.</w:t>
      </w:r>
    </w:p>
    <w:p w14:paraId="055AD4E2" w14:textId="77777777" w:rsidR="00544798" w:rsidRDefault="00544798" w:rsidP="00926EB3">
      <w:pPr>
        <w:pStyle w:val="ListParagraph"/>
        <w:numPr>
          <w:ilvl w:val="1"/>
          <w:numId w:val="58"/>
        </w:numPr>
      </w:pPr>
      <w:r>
        <w:t>No grocery store nearby.</w:t>
      </w:r>
    </w:p>
    <w:p w14:paraId="08A5931C" w14:textId="77777777" w:rsidR="00544798" w:rsidRDefault="00544798" w:rsidP="00926EB3">
      <w:pPr>
        <w:pStyle w:val="ListParagraph"/>
        <w:numPr>
          <w:ilvl w:val="1"/>
          <w:numId w:val="58"/>
        </w:numPr>
      </w:pPr>
      <w:r>
        <w:t>East fast food regularly.</w:t>
      </w:r>
    </w:p>
    <w:p w14:paraId="530944B4" w14:textId="77777777" w:rsidR="00544798" w:rsidRDefault="00544798" w:rsidP="00926EB3">
      <w:pPr>
        <w:pStyle w:val="ListParagraph"/>
        <w:numPr>
          <w:ilvl w:val="1"/>
          <w:numId w:val="58"/>
        </w:numPr>
      </w:pPr>
      <w:r>
        <w:t>May not know how to eat healthy.</w:t>
      </w:r>
    </w:p>
    <w:p w14:paraId="259D9BB0" w14:textId="77777777" w:rsidR="00544798" w:rsidRDefault="00544798" w:rsidP="00926EB3">
      <w:pPr>
        <w:pStyle w:val="ListParagraph"/>
        <w:numPr>
          <w:ilvl w:val="1"/>
          <w:numId w:val="58"/>
        </w:numPr>
      </w:pPr>
      <w:r>
        <w:t>No community gardens.</w:t>
      </w:r>
    </w:p>
    <w:p w14:paraId="2A6A70CD" w14:textId="77777777" w:rsidR="00544798" w:rsidRDefault="00544798" w:rsidP="00926EB3">
      <w:pPr>
        <w:pStyle w:val="ListParagraph"/>
        <w:numPr>
          <w:ilvl w:val="1"/>
          <w:numId w:val="58"/>
        </w:numPr>
      </w:pPr>
      <w:r>
        <w:t>Stores don’t accept SNAP/EBT/WIC.</w:t>
      </w:r>
    </w:p>
    <w:p w14:paraId="50763559" w14:textId="77777777" w:rsidR="00544798" w:rsidRDefault="00544798" w:rsidP="00926EB3">
      <w:pPr>
        <w:pStyle w:val="ListParagraph"/>
        <w:numPr>
          <w:ilvl w:val="1"/>
          <w:numId w:val="58"/>
        </w:numPr>
      </w:pPr>
      <w:r>
        <w:t>Too expensive.</w:t>
      </w:r>
    </w:p>
    <w:p w14:paraId="61E97F1B" w14:textId="77777777" w:rsidR="00544798" w:rsidRDefault="00544798" w:rsidP="00926EB3">
      <w:pPr>
        <w:pStyle w:val="ListParagraph"/>
        <w:numPr>
          <w:ilvl w:val="1"/>
          <w:numId w:val="58"/>
        </w:numPr>
      </w:pPr>
      <w:r>
        <w:t>Stores don’t have quality fruits and vegetables.</w:t>
      </w:r>
    </w:p>
    <w:p w14:paraId="55BE1E9A" w14:textId="77777777" w:rsidR="00544798" w:rsidRDefault="00544798" w:rsidP="00926EB3">
      <w:pPr>
        <w:pStyle w:val="ListParagraph"/>
        <w:numPr>
          <w:ilvl w:val="1"/>
          <w:numId w:val="58"/>
        </w:numPr>
      </w:pPr>
      <w:r>
        <w:lastRenderedPageBreak/>
        <w:t>Too tired after work.</w:t>
      </w:r>
    </w:p>
    <w:p w14:paraId="79A8D415" w14:textId="77777777" w:rsidR="00544798" w:rsidRDefault="00544798" w:rsidP="00926EB3">
      <w:pPr>
        <w:pStyle w:val="ListParagraph"/>
        <w:numPr>
          <w:ilvl w:val="1"/>
          <w:numId w:val="58"/>
        </w:numPr>
      </w:pPr>
      <w:r>
        <w:t>No farmers market.</w:t>
      </w:r>
    </w:p>
    <w:p w14:paraId="5CDD172C" w14:textId="77777777" w:rsidR="00544798" w:rsidRDefault="00544798" w:rsidP="00926EB3">
      <w:pPr>
        <w:pStyle w:val="ListParagraph"/>
        <w:numPr>
          <w:ilvl w:val="1"/>
          <w:numId w:val="58"/>
        </w:numPr>
      </w:pPr>
      <w:r>
        <w:t>Other: (list).</w:t>
      </w:r>
    </w:p>
    <w:p w14:paraId="28CEE241" w14:textId="77777777" w:rsidR="00544798" w:rsidRDefault="00544798" w:rsidP="00926EB3">
      <w:pPr>
        <w:pStyle w:val="ListParagraph"/>
        <w:numPr>
          <w:ilvl w:val="0"/>
          <w:numId w:val="58"/>
        </w:numPr>
      </w:pPr>
      <w:r>
        <w:t xml:space="preserve"> The main reason that prevents people in my community from being physically active is:</w:t>
      </w:r>
    </w:p>
    <w:p w14:paraId="23CAA757" w14:textId="77777777" w:rsidR="00544798" w:rsidRDefault="00544798" w:rsidP="00926EB3">
      <w:pPr>
        <w:pStyle w:val="ListParagraph"/>
        <w:numPr>
          <w:ilvl w:val="1"/>
          <w:numId w:val="58"/>
        </w:numPr>
      </w:pPr>
      <w:r>
        <w:t>Not enough sidewalks or bike lanes.</w:t>
      </w:r>
    </w:p>
    <w:p w14:paraId="30827246" w14:textId="77777777" w:rsidR="00544798" w:rsidRDefault="00544798" w:rsidP="00926EB3">
      <w:pPr>
        <w:pStyle w:val="ListParagraph"/>
        <w:numPr>
          <w:ilvl w:val="1"/>
          <w:numId w:val="58"/>
        </w:numPr>
      </w:pPr>
      <w:r>
        <w:t>Personal choice.</w:t>
      </w:r>
    </w:p>
    <w:p w14:paraId="1766ADB7" w14:textId="77777777" w:rsidR="00544798" w:rsidRDefault="00544798" w:rsidP="00926EB3">
      <w:pPr>
        <w:pStyle w:val="ListParagraph"/>
        <w:numPr>
          <w:ilvl w:val="1"/>
          <w:numId w:val="58"/>
        </w:numPr>
      </w:pPr>
      <w:r>
        <w:t>Safety.</w:t>
      </w:r>
    </w:p>
    <w:p w14:paraId="5923077E" w14:textId="77777777" w:rsidR="00544798" w:rsidRDefault="00544798" w:rsidP="00926EB3">
      <w:pPr>
        <w:pStyle w:val="ListParagraph"/>
        <w:numPr>
          <w:ilvl w:val="1"/>
          <w:numId w:val="58"/>
        </w:numPr>
      </w:pPr>
      <w:r>
        <w:t>Weather.</w:t>
      </w:r>
    </w:p>
    <w:p w14:paraId="2FE34796" w14:textId="77777777" w:rsidR="00544798" w:rsidRDefault="00544798" w:rsidP="00926EB3">
      <w:pPr>
        <w:pStyle w:val="ListParagraph"/>
        <w:numPr>
          <w:ilvl w:val="1"/>
          <w:numId w:val="58"/>
        </w:numPr>
      </w:pPr>
      <w:r>
        <w:t>No community events.</w:t>
      </w:r>
    </w:p>
    <w:p w14:paraId="3D3E2507" w14:textId="77777777" w:rsidR="00544798" w:rsidRDefault="00544798" w:rsidP="00926EB3">
      <w:pPr>
        <w:pStyle w:val="ListParagraph"/>
        <w:numPr>
          <w:ilvl w:val="1"/>
          <w:numId w:val="58"/>
        </w:numPr>
      </w:pPr>
      <w:r>
        <w:t>Other: (list).</w:t>
      </w:r>
    </w:p>
    <w:p w14:paraId="141F47BA" w14:textId="77777777" w:rsidR="00544798" w:rsidRDefault="00544798" w:rsidP="00926EB3">
      <w:pPr>
        <w:pStyle w:val="ListParagraph"/>
        <w:numPr>
          <w:ilvl w:val="0"/>
          <w:numId w:val="58"/>
        </w:numPr>
      </w:pPr>
      <w:r>
        <w:t xml:space="preserve"> I believe mental and behavioral health issues can be treated effectively with: (choose all that apply).</w:t>
      </w:r>
    </w:p>
    <w:p w14:paraId="0F0F574E" w14:textId="77777777" w:rsidR="00544798" w:rsidRDefault="00544798" w:rsidP="00926EB3">
      <w:pPr>
        <w:pStyle w:val="ListParagraph"/>
        <w:numPr>
          <w:ilvl w:val="1"/>
          <w:numId w:val="58"/>
        </w:numPr>
      </w:pPr>
      <w:r>
        <w:t>Medication.</w:t>
      </w:r>
    </w:p>
    <w:p w14:paraId="5A950FAB" w14:textId="77777777" w:rsidR="00544798" w:rsidRDefault="00544798" w:rsidP="00926EB3">
      <w:pPr>
        <w:pStyle w:val="ListParagraph"/>
        <w:numPr>
          <w:ilvl w:val="1"/>
          <w:numId w:val="58"/>
        </w:numPr>
      </w:pPr>
      <w:r>
        <w:t>Therapy.</w:t>
      </w:r>
    </w:p>
    <w:p w14:paraId="23870623" w14:textId="77777777" w:rsidR="00544798" w:rsidRDefault="00544798" w:rsidP="00926EB3">
      <w:pPr>
        <w:pStyle w:val="ListParagraph"/>
        <w:numPr>
          <w:ilvl w:val="1"/>
          <w:numId w:val="58"/>
        </w:numPr>
      </w:pPr>
      <w:r>
        <w:t>Support groups.</w:t>
      </w:r>
    </w:p>
    <w:p w14:paraId="0E033F97" w14:textId="77777777" w:rsidR="00544798" w:rsidRDefault="00544798" w:rsidP="00926EB3">
      <w:pPr>
        <w:pStyle w:val="ListParagraph"/>
        <w:numPr>
          <w:ilvl w:val="1"/>
          <w:numId w:val="58"/>
        </w:numPr>
      </w:pPr>
      <w:r>
        <w:t>I do not believe mental or behavioral health issues can be treated.</w:t>
      </w:r>
    </w:p>
    <w:p w14:paraId="2DAB3349" w14:textId="77777777" w:rsidR="00544798" w:rsidRDefault="00544798" w:rsidP="00926EB3">
      <w:pPr>
        <w:pStyle w:val="ListParagraph"/>
        <w:numPr>
          <w:ilvl w:val="1"/>
          <w:numId w:val="58"/>
        </w:numPr>
      </w:pPr>
      <w:r>
        <w:t>Other: (list).</w:t>
      </w:r>
    </w:p>
    <w:p w14:paraId="1BDB5089" w14:textId="77777777" w:rsidR="00544798" w:rsidRDefault="00544798" w:rsidP="00926EB3">
      <w:pPr>
        <w:pStyle w:val="ListParagraph"/>
        <w:numPr>
          <w:ilvl w:val="0"/>
          <w:numId w:val="58"/>
        </w:numPr>
      </w:pPr>
      <w:r>
        <w:t xml:space="preserve"> The main reason that prevents people in my community from treating their mental or behavioral health issues is:</w:t>
      </w:r>
    </w:p>
    <w:p w14:paraId="47AD6984" w14:textId="77777777" w:rsidR="00544798" w:rsidRDefault="00544798" w:rsidP="00926EB3">
      <w:pPr>
        <w:pStyle w:val="ListParagraph"/>
        <w:numPr>
          <w:ilvl w:val="1"/>
          <w:numId w:val="58"/>
        </w:numPr>
      </w:pPr>
      <w:r>
        <w:t>Stigma.</w:t>
      </w:r>
    </w:p>
    <w:p w14:paraId="62B5CD4F" w14:textId="77777777" w:rsidR="00544798" w:rsidRDefault="00544798" w:rsidP="00926EB3">
      <w:pPr>
        <w:pStyle w:val="ListParagraph"/>
        <w:numPr>
          <w:ilvl w:val="1"/>
          <w:numId w:val="58"/>
        </w:numPr>
      </w:pPr>
      <w:r>
        <w:t>Shame/Embarrassment.</w:t>
      </w:r>
    </w:p>
    <w:p w14:paraId="7392402A" w14:textId="77777777" w:rsidR="00544798" w:rsidRDefault="00544798" w:rsidP="00926EB3">
      <w:pPr>
        <w:pStyle w:val="ListParagraph"/>
        <w:numPr>
          <w:ilvl w:val="1"/>
          <w:numId w:val="58"/>
        </w:numPr>
      </w:pPr>
      <w:r>
        <w:t>Lack of Awareness.</w:t>
      </w:r>
    </w:p>
    <w:p w14:paraId="4CB47DBF" w14:textId="77777777" w:rsidR="00544798" w:rsidRDefault="00544798" w:rsidP="00926EB3">
      <w:pPr>
        <w:pStyle w:val="ListParagraph"/>
        <w:numPr>
          <w:ilvl w:val="1"/>
          <w:numId w:val="58"/>
        </w:numPr>
      </w:pPr>
      <w:r>
        <w:t>No Community Resources.</w:t>
      </w:r>
    </w:p>
    <w:p w14:paraId="4348F735" w14:textId="77777777" w:rsidR="00544798" w:rsidRDefault="00544798" w:rsidP="00926EB3">
      <w:pPr>
        <w:pStyle w:val="ListParagraph"/>
        <w:numPr>
          <w:ilvl w:val="1"/>
          <w:numId w:val="58"/>
        </w:numPr>
      </w:pPr>
      <w:r>
        <w:t>Too Expensive.</w:t>
      </w:r>
    </w:p>
    <w:p w14:paraId="61407887" w14:textId="77777777" w:rsidR="00544798" w:rsidRPr="00186D0C" w:rsidRDefault="00544798" w:rsidP="00926EB3">
      <w:pPr>
        <w:pStyle w:val="ListParagraph"/>
        <w:numPr>
          <w:ilvl w:val="1"/>
          <w:numId w:val="58"/>
        </w:numPr>
        <w:rPr>
          <w:rStyle w:val="Heading5Char"/>
          <w:rFonts w:eastAsiaTheme="minorHAnsi" w:cstheme="minorBidi"/>
          <w:color w:val="auto"/>
        </w:rPr>
      </w:pPr>
      <w:r>
        <w:t>Other: (list).</w:t>
      </w:r>
    </w:p>
    <w:p w14:paraId="015CCFCD" w14:textId="77777777" w:rsidR="00544798" w:rsidRPr="003970AE" w:rsidRDefault="00544798" w:rsidP="00544798">
      <w:pPr>
        <w:rPr>
          <w:rFonts w:asciiTheme="majorHAnsi" w:eastAsiaTheme="majorEastAsia" w:hAnsiTheme="majorHAnsi" w:cstheme="majorBidi"/>
          <w:color w:val="2F5496" w:themeColor="accent1" w:themeShade="BF"/>
        </w:rPr>
      </w:pPr>
      <w:r>
        <w:rPr>
          <w:rStyle w:val="Heading5Char"/>
        </w:rPr>
        <w:t>Child’s Health.</w:t>
      </w:r>
    </w:p>
    <w:p w14:paraId="609CAF82" w14:textId="77777777" w:rsidR="00544798" w:rsidRDefault="00544798" w:rsidP="00926EB3">
      <w:pPr>
        <w:pStyle w:val="ListParagraph"/>
        <w:numPr>
          <w:ilvl w:val="0"/>
          <w:numId w:val="58"/>
        </w:numPr>
      </w:pPr>
      <w:r>
        <w:t xml:space="preserve"> I am a parent or guardian of a child (or children).</w:t>
      </w:r>
    </w:p>
    <w:p w14:paraId="7605E55E" w14:textId="77777777" w:rsidR="00544798" w:rsidRDefault="00544798" w:rsidP="00926EB3">
      <w:pPr>
        <w:pStyle w:val="ListParagraph"/>
        <w:numPr>
          <w:ilvl w:val="1"/>
          <w:numId w:val="58"/>
        </w:numPr>
      </w:pPr>
      <w:r>
        <w:t>Yes.</w:t>
      </w:r>
    </w:p>
    <w:p w14:paraId="5B3D35F7" w14:textId="77777777" w:rsidR="00544798" w:rsidRDefault="00544798" w:rsidP="00926EB3">
      <w:pPr>
        <w:pStyle w:val="ListParagraph"/>
        <w:numPr>
          <w:ilvl w:val="1"/>
          <w:numId w:val="58"/>
        </w:numPr>
      </w:pPr>
      <w:r>
        <w:t>No.</w:t>
      </w:r>
    </w:p>
    <w:p w14:paraId="564C3772" w14:textId="77777777" w:rsidR="00544798" w:rsidRDefault="00544798" w:rsidP="00926EB3">
      <w:pPr>
        <w:pStyle w:val="ListParagraph"/>
        <w:numPr>
          <w:ilvl w:val="0"/>
          <w:numId w:val="58"/>
        </w:numPr>
      </w:pPr>
      <w:r>
        <w:t xml:space="preserve"> The main reason prevents children in my community from eating health foods:</w:t>
      </w:r>
    </w:p>
    <w:p w14:paraId="44F7EDC6" w14:textId="77777777" w:rsidR="00544798" w:rsidRDefault="00544798" w:rsidP="00926EB3">
      <w:pPr>
        <w:pStyle w:val="ListParagraph"/>
        <w:numPr>
          <w:ilvl w:val="1"/>
          <w:numId w:val="58"/>
        </w:numPr>
      </w:pPr>
      <w:r>
        <w:t>Parent(s) do not cook at home.</w:t>
      </w:r>
    </w:p>
    <w:p w14:paraId="7669AB34" w14:textId="77777777" w:rsidR="00544798" w:rsidRDefault="00544798" w:rsidP="00926EB3">
      <w:pPr>
        <w:pStyle w:val="ListParagraph"/>
        <w:numPr>
          <w:ilvl w:val="1"/>
          <w:numId w:val="58"/>
        </w:numPr>
      </w:pPr>
      <w:r>
        <w:t>No grocery store nearby.</w:t>
      </w:r>
    </w:p>
    <w:p w14:paraId="4ED9E7C5" w14:textId="77777777" w:rsidR="00544798" w:rsidRDefault="00544798" w:rsidP="00926EB3">
      <w:pPr>
        <w:pStyle w:val="ListParagraph"/>
        <w:numPr>
          <w:ilvl w:val="1"/>
          <w:numId w:val="58"/>
        </w:numPr>
      </w:pPr>
      <w:r>
        <w:t>Family eats fast food regularly.</w:t>
      </w:r>
    </w:p>
    <w:p w14:paraId="189D5067" w14:textId="77777777" w:rsidR="00544798" w:rsidRDefault="00544798" w:rsidP="00926EB3">
      <w:pPr>
        <w:pStyle w:val="ListParagraph"/>
        <w:numPr>
          <w:ilvl w:val="1"/>
          <w:numId w:val="58"/>
        </w:numPr>
      </w:pPr>
      <w:r>
        <w:t>May not know how eat healthy.</w:t>
      </w:r>
    </w:p>
    <w:p w14:paraId="66223F1B" w14:textId="77777777" w:rsidR="00544798" w:rsidRDefault="00544798" w:rsidP="00926EB3">
      <w:pPr>
        <w:pStyle w:val="ListParagraph"/>
        <w:numPr>
          <w:ilvl w:val="1"/>
          <w:numId w:val="58"/>
        </w:numPr>
      </w:pPr>
      <w:r>
        <w:lastRenderedPageBreak/>
        <w:t>No community gardens.</w:t>
      </w:r>
    </w:p>
    <w:p w14:paraId="4ADBD7C8" w14:textId="77777777" w:rsidR="00544798" w:rsidRDefault="00544798" w:rsidP="00926EB3">
      <w:pPr>
        <w:pStyle w:val="ListParagraph"/>
        <w:numPr>
          <w:ilvl w:val="1"/>
          <w:numId w:val="58"/>
        </w:numPr>
      </w:pPr>
      <w:r>
        <w:t>Stores don’t accept SNAP/EBT/WIC.</w:t>
      </w:r>
    </w:p>
    <w:p w14:paraId="6EF1FFDA" w14:textId="77777777" w:rsidR="00544798" w:rsidRDefault="00544798" w:rsidP="00926EB3">
      <w:pPr>
        <w:pStyle w:val="ListParagraph"/>
        <w:numPr>
          <w:ilvl w:val="1"/>
          <w:numId w:val="58"/>
        </w:numPr>
      </w:pPr>
      <w:r>
        <w:t>Too expensive for parent/guardian.</w:t>
      </w:r>
    </w:p>
    <w:p w14:paraId="54F1331F" w14:textId="77777777" w:rsidR="00544798" w:rsidRDefault="00544798" w:rsidP="00926EB3">
      <w:pPr>
        <w:pStyle w:val="ListParagraph"/>
        <w:numPr>
          <w:ilvl w:val="1"/>
          <w:numId w:val="58"/>
        </w:numPr>
      </w:pPr>
      <w:r>
        <w:t>Stores don’t have quality fruits or vegetables.</w:t>
      </w:r>
    </w:p>
    <w:p w14:paraId="44431FE0" w14:textId="77777777" w:rsidR="00544798" w:rsidRDefault="00544798" w:rsidP="00926EB3">
      <w:pPr>
        <w:pStyle w:val="ListParagraph"/>
        <w:numPr>
          <w:ilvl w:val="1"/>
          <w:numId w:val="58"/>
        </w:numPr>
      </w:pPr>
      <w:r>
        <w:t>Parents are too tired after work.</w:t>
      </w:r>
    </w:p>
    <w:p w14:paraId="5E2AB8A1" w14:textId="77777777" w:rsidR="00544798" w:rsidRDefault="00544798" w:rsidP="00926EB3">
      <w:pPr>
        <w:pStyle w:val="ListParagraph"/>
        <w:numPr>
          <w:ilvl w:val="1"/>
          <w:numId w:val="58"/>
        </w:numPr>
      </w:pPr>
      <w:r>
        <w:t>No farmers market.</w:t>
      </w:r>
    </w:p>
    <w:p w14:paraId="27F9D3AE" w14:textId="77777777" w:rsidR="00544798" w:rsidRDefault="00544798" w:rsidP="00926EB3">
      <w:pPr>
        <w:pStyle w:val="ListParagraph"/>
        <w:numPr>
          <w:ilvl w:val="1"/>
          <w:numId w:val="58"/>
        </w:numPr>
      </w:pPr>
      <w:r>
        <w:t xml:space="preserve">Other: (list). </w:t>
      </w:r>
    </w:p>
    <w:p w14:paraId="363A6FDC" w14:textId="77777777" w:rsidR="00544798" w:rsidRDefault="00544798" w:rsidP="00926EB3">
      <w:pPr>
        <w:pStyle w:val="ListParagraph"/>
        <w:numPr>
          <w:ilvl w:val="0"/>
          <w:numId w:val="58"/>
        </w:numPr>
      </w:pPr>
      <w:r>
        <w:t xml:space="preserve"> The main reason prevents children in my community from being physically active:</w:t>
      </w:r>
    </w:p>
    <w:p w14:paraId="7AE226DB" w14:textId="77777777" w:rsidR="00544798" w:rsidRDefault="00544798" w:rsidP="00926EB3">
      <w:pPr>
        <w:pStyle w:val="ListParagraph"/>
        <w:numPr>
          <w:ilvl w:val="1"/>
          <w:numId w:val="58"/>
        </w:numPr>
      </w:pPr>
      <w:r>
        <w:t>Not enough sidewalks or bike lanes.</w:t>
      </w:r>
    </w:p>
    <w:p w14:paraId="50F99AE4" w14:textId="77777777" w:rsidR="00544798" w:rsidRDefault="00544798" w:rsidP="00926EB3">
      <w:pPr>
        <w:pStyle w:val="ListParagraph"/>
        <w:numPr>
          <w:ilvl w:val="1"/>
          <w:numId w:val="58"/>
        </w:numPr>
      </w:pPr>
      <w:r>
        <w:t>Parent schedule.</w:t>
      </w:r>
    </w:p>
    <w:p w14:paraId="12B7F5EC" w14:textId="77777777" w:rsidR="00544798" w:rsidRDefault="00544798" w:rsidP="00926EB3">
      <w:pPr>
        <w:pStyle w:val="ListParagraph"/>
        <w:numPr>
          <w:ilvl w:val="1"/>
          <w:numId w:val="58"/>
        </w:numPr>
      </w:pPr>
      <w:r>
        <w:t>Safety.</w:t>
      </w:r>
    </w:p>
    <w:p w14:paraId="36621116" w14:textId="77777777" w:rsidR="00544798" w:rsidRDefault="00544798" w:rsidP="00926EB3">
      <w:pPr>
        <w:pStyle w:val="ListParagraph"/>
        <w:numPr>
          <w:ilvl w:val="1"/>
          <w:numId w:val="58"/>
        </w:numPr>
      </w:pPr>
      <w:r>
        <w:t>School schedule.</w:t>
      </w:r>
    </w:p>
    <w:p w14:paraId="6B36553A" w14:textId="77777777" w:rsidR="00544798" w:rsidRDefault="00544798" w:rsidP="00926EB3">
      <w:pPr>
        <w:pStyle w:val="ListParagraph"/>
        <w:numPr>
          <w:ilvl w:val="1"/>
          <w:numId w:val="58"/>
        </w:numPr>
      </w:pPr>
      <w:r>
        <w:t>Weather.</w:t>
      </w:r>
    </w:p>
    <w:p w14:paraId="1E7082EA" w14:textId="77777777" w:rsidR="00544798" w:rsidRDefault="00544798" w:rsidP="00926EB3">
      <w:pPr>
        <w:pStyle w:val="ListParagraph"/>
        <w:numPr>
          <w:ilvl w:val="1"/>
          <w:numId w:val="58"/>
        </w:numPr>
      </w:pPr>
      <w:r>
        <w:t>No community events.</w:t>
      </w:r>
    </w:p>
    <w:p w14:paraId="5D5B139D" w14:textId="77777777" w:rsidR="00544798" w:rsidRPr="00186D0C" w:rsidRDefault="00544798" w:rsidP="00926EB3">
      <w:pPr>
        <w:pStyle w:val="ListParagraph"/>
        <w:numPr>
          <w:ilvl w:val="1"/>
          <w:numId w:val="58"/>
        </w:numPr>
        <w:rPr>
          <w:rStyle w:val="Heading5Char"/>
          <w:rFonts w:eastAsiaTheme="minorHAnsi" w:cstheme="minorBidi"/>
          <w:color w:val="auto"/>
        </w:rPr>
      </w:pPr>
      <w:r>
        <w:t>Other: (list).</w:t>
      </w:r>
    </w:p>
    <w:p w14:paraId="0A0C4841" w14:textId="77777777" w:rsidR="00544798" w:rsidRPr="003970AE" w:rsidRDefault="00544798" w:rsidP="00544798">
      <w:pPr>
        <w:rPr>
          <w:rFonts w:asciiTheme="majorHAnsi" w:eastAsiaTheme="majorEastAsia" w:hAnsiTheme="majorHAnsi" w:cstheme="majorBidi"/>
          <w:color w:val="2F5496" w:themeColor="accent1" w:themeShade="BF"/>
        </w:rPr>
      </w:pPr>
      <w:r>
        <w:rPr>
          <w:rStyle w:val="Heading5Char"/>
        </w:rPr>
        <w:t>About Your Profession.</w:t>
      </w:r>
    </w:p>
    <w:p w14:paraId="143C8D67" w14:textId="77777777" w:rsidR="00544798" w:rsidRDefault="00544798" w:rsidP="00926EB3">
      <w:pPr>
        <w:pStyle w:val="ListParagraph"/>
        <w:numPr>
          <w:ilvl w:val="0"/>
          <w:numId w:val="58"/>
        </w:numPr>
      </w:pPr>
      <w:r>
        <w:t xml:space="preserve"> Are you a physician, medical professional, social services, or community resource provider?</w:t>
      </w:r>
    </w:p>
    <w:p w14:paraId="72096D33" w14:textId="77777777" w:rsidR="00544798" w:rsidRDefault="00544798" w:rsidP="00926EB3">
      <w:pPr>
        <w:pStyle w:val="ListParagraph"/>
        <w:numPr>
          <w:ilvl w:val="1"/>
          <w:numId w:val="58"/>
        </w:numPr>
      </w:pPr>
      <w:r>
        <w:t>Yes.</w:t>
      </w:r>
    </w:p>
    <w:p w14:paraId="6EAF33FD" w14:textId="77777777" w:rsidR="00544798" w:rsidRPr="00186D0C" w:rsidRDefault="00544798" w:rsidP="00926EB3">
      <w:pPr>
        <w:pStyle w:val="ListParagraph"/>
        <w:numPr>
          <w:ilvl w:val="1"/>
          <w:numId w:val="58"/>
        </w:numPr>
        <w:rPr>
          <w:rStyle w:val="Heading5Char"/>
          <w:rFonts w:eastAsiaTheme="minorHAnsi" w:cstheme="minorBidi"/>
          <w:color w:val="auto"/>
        </w:rPr>
      </w:pPr>
      <w:r>
        <w:t xml:space="preserve">No. </w:t>
      </w:r>
    </w:p>
    <w:p w14:paraId="526A517E" w14:textId="77777777" w:rsidR="00544798" w:rsidRPr="003970AE" w:rsidRDefault="00544798" w:rsidP="00544798">
      <w:pPr>
        <w:rPr>
          <w:rFonts w:asciiTheme="majorHAnsi" w:eastAsiaTheme="majorEastAsia" w:hAnsiTheme="majorHAnsi" w:cstheme="majorBidi"/>
          <w:color w:val="2F5496" w:themeColor="accent1" w:themeShade="BF"/>
        </w:rPr>
      </w:pPr>
      <w:r>
        <w:rPr>
          <w:rStyle w:val="Heading5Char"/>
        </w:rPr>
        <w:t>The Section is for Medical Service Professionals Only.</w:t>
      </w:r>
    </w:p>
    <w:p w14:paraId="53C52DDB" w14:textId="77777777" w:rsidR="00544798" w:rsidRDefault="00544798" w:rsidP="00926EB3">
      <w:pPr>
        <w:pStyle w:val="ListParagraph"/>
        <w:numPr>
          <w:ilvl w:val="0"/>
          <w:numId w:val="58"/>
        </w:numPr>
      </w:pPr>
      <w:r>
        <w:t xml:space="preserve"> Which county does your organization or practice primarily serve?</w:t>
      </w:r>
    </w:p>
    <w:p w14:paraId="4E7D17A7" w14:textId="77777777" w:rsidR="00544798" w:rsidRDefault="00544798" w:rsidP="00926EB3">
      <w:pPr>
        <w:pStyle w:val="ListParagraph"/>
        <w:numPr>
          <w:ilvl w:val="0"/>
          <w:numId w:val="58"/>
        </w:numPr>
      </w:pPr>
      <w:r>
        <w:t xml:space="preserve"> </w:t>
      </w:r>
      <w:r w:rsidRPr="009E13B5">
        <w:t>What is the age group of your primary population? (choose all that apply)</w:t>
      </w:r>
    </w:p>
    <w:p w14:paraId="30014D7E" w14:textId="77777777" w:rsidR="00544798" w:rsidRDefault="00544798" w:rsidP="00926EB3">
      <w:pPr>
        <w:pStyle w:val="ListParagraph"/>
        <w:numPr>
          <w:ilvl w:val="1"/>
          <w:numId w:val="58"/>
        </w:numPr>
      </w:pPr>
      <w:r>
        <w:t>0-5 years old.</w:t>
      </w:r>
    </w:p>
    <w:p w14:paraId="3D069CDC" w14:textId="77777777" w:rsidR="00544798" w:rsidRDefault="00544798" w:rsidP="00926EB3">
      <w:pPr>
        <w:pStyle w:val="ListParagraph"/>
        <w:numPr>
          <w:ilvl w:val="1"/>
          <w:numId w:val="58"/>
        </w:numPr>
      </w:pPr>
      <w:r>
        <w:t>6-17 years old.</w:t>
      </w:r>
    </w:p>
    <w:p w14:paraId="41BC85B4" w14:textId="77777777" w:rsidR="00544798" w:rsidRDefault="00544798" w:rsidP="00926EB3">
      <w:pPr>
        <w:pStyle w:val="ListParagraph"/>
        <w:numPr>
          <w:ilvl w:val="1"/>
          <w:numId w:val="58"/>
        </w:numPr>
      </w:pPr>
      <w:r>
        <w:t>18-24 years old.</w:t>
      </w:r>
    </w:p>
    <w:p w14:paraId="786225CD" w14:textId="77777777" w:rsidR="00544798" w:rsidRDefault="00544798" w:rsidP="00926EB3">
      <w:pPr>
        <w:pStyle w:val="ListParagraph"/>
        <w:numPr>
          <w:ilvl w:val="1"/>
          <w:numId w:val="58"/>
        </w:numPr>
      </w:pPr>
      <w:r>
        <w:t>25-34 years old.</w:t>
      </w:r>
    </w:p>
    <w:p w14:paraId="68511A63" w14:textId="77777777" w:rsidR="00544798" w:rsidRDefault="00544798" w:rsidP="00926EB3">
      <w:pPr>
        <w:pStyle w:val="ListParagraph"/>
        <w:numPr>
          <w:ilvl w:val="1"/>
          <w:numId w:val="58"/>
        </w:numPr>
      </w:pPr>
      <w:r>
        <w:t>35-44 years old.</w:t>
      </w:r>
    </w:p>
    <w:p w14:paraId="0A6E3DFB" w14:textId="77777777" w:rsidR="00544798" w:rsidRDefault="00544798" w:rsidP="00926EB3">
      <w:pPr>
        <w:pStyle w:val="ListParagraph"/>
        <w:numPr>
          <w:ilvl w:val="1"/>
          <w:numId w:val="58"/>
        </w:numPr>
      </w:pPr>
      <w:r>
        <w:t>45-54 years old.</w:t>
      </w:r>
    </w:p>
    <w:p w14:paraId="424C7CE2" w14:textId="77777777" w:rsidR="00544798" w:rsidRDefault="00544798" w:rsidP="00926EB3">
      <w:pPr>
        <w:pStyle w:val="ListParagraph"/>
        <w:numPr>
          <w:ilvl w:val="1"/>
          <w:numId w:val="58"/>
        </w:numPr>
      </w:pPr>
      <w:r>
        <w:t>55-64 years old.</w:t>
      </w:r>
    </w:p>
    <w:p w14:paraId="0B5FB482" w14:textId="77777777" w:rsidR="00544798" w:rsidRDefault="00544798" w:rsidP="00926EB3">
      <w:pPr>
        <w:pStyle w:val="ListParagraph"/>
        <w:numPr>
          <w:ilvl w:val="1"/>
          <w:numId w:val="58"/>
        </w:numPr>
      </w:pPr>
      <w:r>
        <w:t>65 years old and older.</w:t>
      </w:r>
    </w:p>
    <w:p w14:paraId="719CA0DC" w14:textId="77777777" w:rsidR="00544798" w:rsidRDefault="00544798" w:rsidP="00926EB3">
      <w:pPr>
        <w:pStyle w:val="ListParagraph"/>
        <w:numPr>
          <w:ilvl w:val="0"/>
          <w:numId w:val="58"/>
        </w:numPr>
      </w:pPr>
      <w:r>
        <w:t xml:space="preserve"> </w:t>
      </w:r>
      <w:r w:rsidRPr="009E13B5">
        <w:t>Please rate the health issues that concern your primary population from 1 (least concerning)</w:t>
      </w:r>
      <w:r>
        <w:t xml:space="preserve"> to 5. </w:t>
      </w:r>
    </w:p>
    <w:p w14:paraId="20D41C9F" w14:textId="77777777" w:rsidR="00544798" w:rsidRDefault="00544798" w:rsidP="00926EB3">
      <w:pPr>
        <w:pStyle w:val="ListParagraph"/>
        <w:numPr>
          <w:ilvl w:val="1"/>
          <w:numId w:val="58"/>
        </w:numPr>
      </w:pPr>
      <w:r>
        <w:t>Access to care.</w:t>
      </w:r>
    </w:p>
    <w:p w14:paraId="045ACD9E" w14:textId="77777777" w:rsidR="00544798" w:rsidRDefault="00544798" w:rsidP="00926EB3">
      <w:pPr>
        <w:pStyle w:val="ListParagraph"/>
        <w:numPr>
          <w:ilvl w:val="1"/>
          <w:numId w:val="58"/>
        </w:numPr>
      </w:pPr>
      <w:r>
        <w:t>Clinical preventative services.</w:t>
      </w:r>
    </w:p>
    <w:p w14:paraId="2A8ECF50" w14:textId="77777777" w:rsidR="00544798" w:rsidRDefault="00544798" w:rsidP="00926EB3">
      <w:pPr>
        <w:pStyle w:val="ListParagraph"/>
        <w:numPr>
          <w:ilvl w:val="1"/>
          <w:numId w:val="58"/>
        </w:numPr>
      </w:pPr>
      <w:r>
        <w:lastRenderedPageBreak/>
        <w:t>Oral health.</w:t>
      </w:r>
    </w:p>
    <w:p w14:paraId="43B3EA48" w14:textId="77777777" w:rsidR="00544798" w:rsidRDefault="00544798" w:rsidP="00926EB3">
      <w:pPr>
        <w:pStyle w:val="ListParagraph"/>
        <w:numPr>
          <w:ilvl w:val="1"/>
          <w:numId w:val="58"/>
        </w:numPr>
      </w:pPr>
      <w:r>
        <w:t>Sexual health.</w:t>
      </w:r>
    </w:p>
    <w:p w14:paraId="682FAB2A" w14:textId="77777777" w:rsidR="00544798" w:rsidRDefault="00544798" w:rsidP="00926EB3">
      <w:pPr>
        <w:pStyle w:val="ListParagraph"/>
        <w:numPr>
          <w:ilvl w:val="1"/>
          <w:numId w:val="58"/>
        </w:numPr>
      </w:pPr>
      <w:r>
        <w:t>Substance misuse.</w:t>
      </w:r>
    </w:p>
    <w:p w14:paraId="07C65064" w14:textId="77777777" w:rsidR="00544798" w:rsidRDefault="00544798" w:rsidP="00926EB3">
      <w:pPr>
        <w:pStyle w:val="ListParagraph"/>
        <w:numPr>
          <w:ilvl w:val="1"/>
          <w:numId w:val="58"/>
        </w:numPr>
      </w:pPr>
      <w:r>
        <w:t>Tobacco use.</w:t>
      </w:r>
    </w:p>
    <w:p w14:paraId="5E06AF8B" w14:textId="77777777" w:rsidR="00544798" w:rsidRDefault="00544798" w:rsidP="00926EB3">
      <w:pPr>
        <w:pStyle w:val="ListParagraph"/>
        <w:numPr>
          <w:ilvl w:val="1"/>
          <w:numId w:val="58"/>
        </w:numPr>
      </w:pPr>
      <w:r>
        <w:t>Injury and violence.</w:t>
      </w:r>
    </w:p>
    <w:p w14:paraId="41894F92" w14:textId="77777777" w:rsidR="00544798" w:rsidRDefault="00544798" w:rsidP="00926EB3">
      <w:pPr>
        <w:pStyle w:val="ListParagraph"/>
        <w:numPr>
          <w:ilvl w:val="1"/>
          <w:numId w:val="58"/>
        </w:numPr>
      </w:pPr>
      <w:r>
        <w:t>Maternal, infant and child health.</w:t>
      </w:r>
    </w:p>
    <w:p w14:paraId="4BBE7957" w14:textId="77777777" w:rsidR="00544798" w:rsidRDefault="00544798" w:rsidP="00926EB3">
      <w:pPr>
        <w:pStyle w:val="ListParagraph"/>
        <w:numPr>
          <w:ilvl w:val="1"/>
          <w:numId w:val="58"/>
        </w:numPr>
      </w:pPr>
      <w:r>
        <w:t>Mental health.</w:t>
      </w:r>
    </w:p>
    <w:p w14:paraId="6541EE9F" w14:textId="77777777" w:rsidR="00544798" w:rsidRDefault="00544798" w:rsidP="00926EB3">
      <w:pPr>
        <w:pStyle w:val="ListParagraph"/>
        <w:numPr>
          <w:ilvl w:val="1"/>
          <w:numId w:val="58"/>
        </w:numPr>
      </w:pPr>
      <w:r>
        <w:t xml:space="preserve">Obesity, nutrition, and physical activity. </w:t>
      </w:r>
    </w:p>
    <w:p w14:paraId="2D6C38CF" w14:textId="77777777" w:rsidR="00544798" w:rsidRDefault="00544798" w:rsidP="00926EB3">
      <w:pPr>
        <w:pStyle w:val="ListParagraph"/>
        <w:numPr>
          <w:ilvl w:val="0"/>
          <w:numId w:val="58"/>
        </w:numPr>
      </w:pPr>
      <w:r>
        <w:t xml:space="preserve"> What is the primary barrier to accessing healthcare services for the population you serve? </w:t>
      </w:r>
    </w:p>
    <w:p w14:paraId="2BCC1805" w14:textId="77777777" w:rsidR="00544798" w:rsidRDefault="00544798" w:rsidP="00926EB3">
      <w:pPr>
        <w:pStyle w:val="ListParagraph"/>
        <w:numPr>
          <w:ilvl w:val="1"/>
          <w:numId w:val="58"/>
        </w:numPr>
      </w:pPr>
      <w:r>
        <w:t>Affordability.</w:t>
      </w:r>
    </w:p>
    <w:p w14:paraId="4FC241D8" w14:textId="77777777" w:rsidR="00544798" w:rsidRDefault="00544798" w:rsidP="00926EB3">
      <w:pPr>
        <w:pStyle w:val="ListParagraph"/>
        <w:numPr>
          <w:ilvl w:val="1"/>
          <w:numId w:val="58"/>
        </w:numPr>
      </w:pPr>
      <w:r>
        <w:t>Being uninsured.</w:t>
      </w:r>
    </w:p>
    <w:p w14:paraId="6A64E6FD" w14:textId="77777777" w:rsidR="00544798" w:rsidRDefault="00544798" w:rsidP="00926EB3">
      <w:pPr>
        <w:pStyle w:val="ListParagraph"/>
        <w:numPr>
          <w:ilvl w:val="1"/>
          <w:numId w:val="58"/>
        </w:numPr>
      </w:pPr>
      <w:r>
        <w:t>Cultural issues.</w:t>
      </w:r>
    </w:p>
    <w:p w14:paraId="3BFE6ADA" w14:textId="77777777" w:rsidR="00544798" w:rsidRDefault="00544798" w:rsidP="00926EB3">
      <w:pPr>
        <w:pStyle w:val="ListParagraph"/>
        <w:numPr>
          <w:ilvl w:val="1"/>
          <w:numId w:val="58"/>
        </w:numPr>
      </w:pPr>
      <w:r>
        <w:t>Lack of knowledge about resources.</w:t>
      </w:r>
    </w:p>
    <w:p w14:paraId="2A55F919" w14:textId="77777777" w:rsidR="00544798" w:rsidRDefault="00544798" w:rsidP="00926EB3">
      <w:pPr>
        <w:pStyle w:val="ListParagraph"/>
        <w:numPr>
          <w:ilvl w:val="1"/>
          <w:numId w:val="58"/>
        </w:numPr>
      </w:pPr>
      <w:r>
        <w:t>Lack of transportation.</w:t>
      </w:r>
    </w:p>
    <w:p w14:paraId="3F420DFF" w14:textId="77777777" w:rsidR="00544798" w:rsidRDefault="00544798" w:rsidP="00926EB3">
      <w:pPr>
        <w:pStyle w:val="ListParagraph"/>
        <w:numPr>
          <w:ilvl w:val="1"/>
          <w:numId w:val="58"/>
        </w:numPr>
      </w:pPr>
      <w:r>
        <w:t>Lack of trust of provider.</w:t>
      </w:r>
    </w:p>
    <w:p w14:paraId="641FC846" w14:textId="77777777" w:rsidR="00544798" w:rsidRDefault="00544798" w:rsidP="00926EB3">
      <w:pPr>
        <w:pStyle w:val="ListParagraph"/>
        <w:numPr>
          <w:ilvl w:val="1"/>
          <w:numId w:val="58"/>
        </w:numPr>
      </w:pPr>
      <w:r>
        <w:t>Other: (list).</w:t>
      </w:r>
    </w:p>
    <w:p w14:paraId="32532110" w14:textId="77777777" w:rsidR="00544798" w:rsidRDefault="00544798" w:rsidP="00926EB3">
      <w:pPr>
        <w:pStyle w:val="ListParagraph"/>
        <w:numPr>
          <w:ilvl w:val="0"/>
          <w:numId w:val="58"/>
        </w:numPr>
      </w:pPr>
      <w:r>
        <w:t xml:space="preserve"> What is the primary barrier to accessing social support services for the population you serve? </w:t>
      </w:r>
    </w:p>
    <w:p w14:paraId="3A28316A" w14:textId="77777777" w:rsidR="00544798" w:rsidRDefault="00544798" w:rsidP="00926EB3">
      <w:pPr>
        <w:pStyle w:val="ListParagraph"/>
        <w:numPr>
          <w:ilvl w:val="1"/>
          <w:numId w:val="58"/>
        </w:numPr>
      </w:pPr>
      <w:r>
        <w:t>Affordability.</w:t>
      </w:r>
    </w:p>
    <w:p w14:paraId="32FC77BD" w14:textId="77777777" w:rsidR="00544798" w:rsidRDefault="00544798" w:rsidP="00926EB3">
      <w:pPr>
        <w:pStyle w:val="ListParagraph"/>
        <w:numPr>
          <w:ilvl w:val="1"/>
          <w:numId w:val="58"/>
        </w:numPr>
      </w:pPr>
      <w:r>
        <w:t>Being uninsured.</w:t>
      </w:r>
    </w:p>
    <w:p w14:paraId="1A8A6B66" w14:textId="77777777" w:rsidR="00544798" w:rsidRDefault="00544798" w:rsidP="00926EB3">
      <w:pPr>
        <w:pStyle w:val="ListParagraph"/>
        <w:numPr>
          <w:ilvl w:val="1"/>
          <w:numId w:val="58"/>
        </w:numPr>
      </w:pPr>
      <w:r>
        <w:t>Cultural issues.</w:t>
      </w:r>
    </w:p>
    <w:p w14:paraId="4B46E472" w14:textId="77777777" w:rsidR="00544798" w:rsidRDefault="00544798" w:rsidP="00926EB3">
      <w:pPr>
        <w:pStyle w:val="ListParagraph"/>
        <w:numPr>
          <w:ilvl w:val="1"/>
          <w:numId w:val="58"/>
        </w:numPr>
      </w:pPr>
      <w:r>
        <w:t>Lack of knowledge about resources.</w:t>
      </w:r>
    </w:p>
    <w:p w14:paraId="79B6D2AF" w14:textId="77777777" w:rsidR="00544798" w:rsidRDefault="00544798" w:rsidP="00926EB3">
      <w:pPr>
        <w:pStyle w:val="ListParagraph"/>
        <w:numPr>
          <w:ilvl w:val="1"/>
          <w:numId w:val="58"/>
        </w:numPr>
      </w:pPr>
      <w:r>
        <w:t>Lack of transportation.</w:t>
      </w:r>
    </w:p>
    <w:p w14:paraId="75BD8BA4" w14:textId="77777777" w:rsidR="00544798" w:rsidRDefault="00544798" w:rsidP="00926EB3">
      <w:pPr>
        <w:pStyle w:val="ListParagraph"/>
        <w:numPr>
          <w:ilvl w:val="1"/>
          <w:numId w:val="58"/>
        </w:numPr>
      </w:pPr>
      <w:r>
        <w:t>Lack of trust of provider.</w:t>
      </w:r>
    </w:p>
    <w:p w14:paraId="03A30D64" w14:textId="77777777" w:rsidR="00544798" w:rsidRDefault="00544798" w:rsidP="00926EB3">
      <w:pPr>
        <w:pStyle w:val="ListParagraph"/>
        <w:numPr>
          <w:ilvl w:val="1"/>
          <w:numId w:val="58"/>
        </w:numPr>
      </w:pPr>
      <w:r>
        <w:t>Other: (list).</w:t>
      </w:r>
    </w:p>
    <w:p w14:paraId="3210FC52" w14:textId="243C1553" w:rsidR="00544798" w:rsidRDefault="00544798">
      <w:r>
        <w:br w:type="page"/>
      </w:r>
    </w:p>
    <w:p w14:paraId="21455DB7" w14:textId="77777777" w:rsidR="00544798" w:rsidRDefault="00544798" w:rsidP="00544798">
      <w:pPr>
        <w:pStyle w:val="Heading3"/>
      </w:pPr>
      <w:bookmarkStart w:id="1100" w:name="_Toc154569723"/>
      <w:bookmarkStart w:id="1101" w:name="_Toc162267753"/>
      <w:r>
        <w:lastRenderedPageBreak/>
        <w:t>Appendix C: Healthy People 2030</w:t>
      </w:r>
      <w:bookmarkEnd w:id="1100"/>
      <w:bookmarkEnd w:id="1101"/>
    </w:p>
    <w:p w14:paraId="7D290BA5" w14:textId="77777777" w:rsidR="00544798" w:rsidRDefault="00544798" w:rsidP="00544798">
      <w:pPr>
        <w:pStyle w:val="Heading4"/>
      </w:pPr>
      <w:bookmarkStart w:id="1102" w:name="_Toc154569724"/>
      <w:bookmarkStart w:id="1103" w:name="_Toc162267754"/>
      <w:r>
        <w:t>Healthy Communities.</w:t>
      </w:r>
      <w:bookmarkEnd w:id="1102"/>
      <w:bookmarkEnd w:id="1103"/>
    </w:p>
    <w:p w14:paraId="2AB0B4CD" w14:textId="77777777" w:rsidR="00544798" w:rsidRPr="00613251" w:rsidRDefault="00544798" w:rsidP="00926EB3">
      <w:pPr>
        <w:pStyle w:val="ListParagraph"/>
        <w:numPr>
          <w:ilvl w:val="0"/>
          <w:numId w:val="59"/>
        </w:numPr>
      </w:pPr>
      <w:r w:rsidRPr="00613251">
        <w:t>NWS-01: Reduce household food insecurity and hunger</w:t>
      </w:r>
      <w:r>
        <w:t>.</w:t>
      </w:r>
    </w:p>
    <w:p w14:paraId="5814D9B0" w14:textId="77777777" w:rsidR="00544798" w:rsidRPr="00613251" w:rsidRDefault="00544798" w:rsidP="00926EB3">
      <w:pPr>
        <w:pStyle w:val="ListParagraph"/>
        <w:numPr>
          <w:ilvl w:val="0"/>
          <w:numId w:val="59"/>
        </w:numPr>
      </w:pPr>
      <w:r w:rsidRPr="00613251">
        <w:t>PA-01: Reduce the proportion of adults who do no physical activity in their free time.</w:t>
      </w:r>
    </w:p>
    <w:p w14:paraId="32F01E23" w14:textId="77777777" w:rsidR="00544798" w:rsidRPr="00613251" w:rsidRDefault="00544798" w:rsidP="00926EB3">
      <w:pPr>
        <w:pStyle w:val="ListParagraph"/>
        <w:numPr>
          <w:ilvl w:val="0"/>
          <w:numId w:val="59"/>
        </w:numPr>
      </w:pPr>
      <w:r w:rsidRPr="00613251">
        <w:t>PA-05: Increase the proportion of adults who do enough aerobic and muscle-strengthening activity.</w:t>
      </w:r>
    </w:p>
    <w:p w14:paraId="40C0FF74" w14:textId="77777777" w:rsidR="00544798" w:rsidRPr="00613251" w:rsidRDefault="00544798" w:rsidP="00926EB3">
      <w:pPr>
        <w:pStyle w:val="ListParagraph"/>
        <w:numPr>
          <w:ilvl w:val="0"/>
          <w:numId w:val="59"/>
        </w:numPr>
      </w:pPr>
      <w:r w:rsidRPr="00613251">
        <w:t>HAI-02: Reduce MRSA bloodstream infections that people get in the hospital.</w:t>
      </w:r>
    </w:p>
    <w:p w14:paraId="4714DDB5" w14:textId="77777777" w:rsidR="00544798" w:rsidRDefault="00544798" w:rsidP="00926EB3">
      <w:pPr>
        <w:pStyle w:val="ListParagraph"/>
        <w:numPr>
          <w:ilvl w:val="0"/>
          <w:numId w:val="59"/>
        </w:numPr>
      </w:pPr>
      <w:r w:rsidRPr="00613251">
        <w:t>HAI-01: Reduce C. diff infections that people get in the hospital.</w:t>
      </w:r>
    </w:p>
    <w:p w14:paraId="068A370F" w14:textId="77777777" w:rsidR="00544798" w:rsidRDefault="00544798" w:rsidP="00544798">
      <w:pPr>
        <w:pStyle w:val="Heading4"/>
      </w:pPr>
      <w:bookmarkStart w:id="1104" w:name="_Toc154569725"/>
      <w:bookmarkStart w:id="1105" w:name="_Toc162267755"/>
      <w:r>
        <w:t>Healthy Mothers and Infants.</w:t>
      </w:r>
      <w:bookmarkEnd w:id="1104"/>
      <w:bookmarkEnd w:id="1105"/>
    </w:p>
    <w:p w14:paraId="7F6EE6CE" w14:textId="77777777" w:rsidR="00544798" w:rsidRPr="00613251" w:rsidRDefault="00544798" w:rsidP="00926EB3">
      <w:pPr>
        <w:pStyle w:val="ListParagraph"/>
        <w:numPr>
          <w:ilvl w:val="0"/>
          <w:numId w:val="60"/>
        </w:numPr>
      </w:pPr>
      <w:r w:rsidRPr="00613251">
        <w:t xml:space="preserve">MICH-07: Reduce preterm births. </w:t>
      </w:r>
    </w:p>
    <w:p w14:paraId="5C995B0E" w14:textId="77777777" w:rsidR="00544798" w:rsidRPr="00613251" w:rsidRDefault="00544798" w:rsidP="00926EB3">
      <w:pPr>
        <w:pStyle w:val="ListParagraph"/>
        <w:numPr>
          <w:ilvl w:val="0"/>
          <w:numId w:val="60"/>
        </w:numPr>
      </w:pPr>
      <w:r w:rsidRPr="00613251">
        <w:t>MICH-08: Increase the proportion of women who get screened for postpartum depression</w:t>
      </w:r>
      <w:r>
        <w:t>.</w:t>
      </w:r>
      <w:r w:rsidRPr="00613251">
        <w:t xml:space="preserve"> </w:t>
      </w:r>
    </w:p>
    <w:p w14:paraId="0247096C" w14:textId="77777777" w:rsidR="00544798" w:rsidRPr="00613251" w:rsidRDefault="00544798" w:rsidP="00926EB3">
      <w:pPr>
        <w:pStyle w:val="ListParagraph"/>
        <w:numPr>
          <w:ilvl w:val="0"/>
          <w:numId w:val="60"/>
        </w:numPr>
      </w:pPr>
      <w:r w:rsidRPr="00613251">
        <w:t>MICH-13: Increase the proportion of women who had a healthy weight before pregnancy</w:t>
      </w:r>
      <w:r>
        <w:t>.</w:t>
      </w:r>
      <w:r w:rsidRPr="00613251">
        <w:t xml:space="preserve"> </w:t>
      </w:r>
    </w:p>
    <w:p w14:paraId="7A4125D5" w14:textId="77777777" w:rsidR="00544798" w:rsidRPr="00613251" w:rsidRDefault="00544798" w:rsidP="00926EB3">
      <w:pPr>
        <w:pStyle w:val="ListParagraph"/>
        <w:numPr>
          <w:ilvl w:val="0"/>
          <w:numId w:val="60"/>
        </w:numPr>
      </w:pPr>
      <w:r w:rsidRPr="00613251">
        <w:t>MICH-14: Increase the proportion of infants who are put to sleep on their backs</w:t>
      </w:r>
      <w:r>
        <w:t>.</w:t>
      </w:r>
    </w:p>
    <w:p w14:paraId="30556607" w14:textId="77777777" w:rsidR="00544798" w:rsidRDefault="00544798" w:rsidP="00544798">
      <w:pPr>
        <w:pStyle w:val="Heading4"/>
      </w:pPr>
      <w:bookmarkStart w:id="1106" w:name="_Toc154569726"/>
      <w:bookmarkStart w:id="1107" w:name="_Toc162267756"/>
      <w:r>
        <w:t>Healthy Children and Adolescents.</w:t>
      </w:r>
      <w:bookmarkEnd w:id="1106"/>
      <w:bookmarkEnd w:id="1107"/>
    </w:p>
    <w:p w14:paraId="5737D882" w14:textId="77777777" w:rsidR="00544798" w:rsidRPr="00613251" w:rsidRDefault="00544798" w:rsidP="00926EB3">
      <w:pPr>
        <w:pStyle w:val="ListParagraph"/>
        <w:numPr>
          <w:ilvl w:val="0"/>
          <w:numId w:val="61"/>
        </w:numPr>
      </w:pPr>
      <w:r w:rsidRPr="00613251">
        <w:t>IVP-11: Reduce physical fighting among adolescents.</w:t>
      </w:r>
    </w:p>
    <w:p w14:paraId="1479D563" w14:textId="77777777" w:rsidR="00544798" w:rsidRPr="00613251" w:rsidRDefault="00544798" w:rsidP="00926EB3">
      <w:pPr>
        <w:pStyle w:val="ListParagraph"/>
        <w:numPr>
          <w:ilvl w:val="0"/>
          <w:numId w:val="61"/>
        </w:numPr>
      </w:pPr>
      <w:r w:rsidRPr="00613251">
        <w:t>MHMD-02: Reduce suicide attempts by adolescents.</w:t>
      </w:r>
    </w:p>
    <w:p w14:paraId="20FBE87F" w14:textId="77777777" w:rsidR="00544798" w:rsidRPr="00613251" w:rsidRDefault="00544798" w:rsidP="00926EB3">
      <w:pPr>
        <w:pStyle w:val="ListParagraph"/>
        <w:numPr>
          <w:ilvl w:val="0"/>
          <w:numId w:val="61"/>
        </w:numPr>
      </w:pPr>
      <w:r w:rsidRPr="00613251">
        <w:t xml:space="preserve">NWS-04: Reduce the proportion of children and adolescents with obesity. </w:t>
      </w:r>
    </w:p>
    <w:p w14:paraId="7B130615" w14:textId="77777777" w:rsidR="00544798" w:rsidRDefault="00544798" w:rsidP="00926EB3">
      <w:pPr>
        <w:pStyle w:val="ListParagraph"/>
        <w:numPr>
          <w:ilvl w:val="0"/>
          <w:numId w:val="61"/>
        </w:numPr>
      </w:pPr>
      <w:r w:rsidRPr="00613251">
        <w:t>PA-06: Increase the proportion of adolescents who do enough aerobic physical activity</w:t>
      </w:r>
      <w:r>
        <w:t>.</w:t>
      </w:r>
    </w:p>
    <w:p w14:paraId="23DD4B71" w14:textId="77777777" w:rsidR="00544798" w:rsidRDefault="00544798" w:rsidP="00544798">
      <w:pPr>
        <w:pStyle w:val="Heading4"/>
      </w:pPr>
      <w:bookmarkStart w:id="1108" w:name="_Toc154569727"/>
      <w:bookmarkStart w:id="1109" w:name="_Toc162267757"/>
      <w:r>
        <w:t>Healthy Adults.</w:t>
      </w:r>
      <w:bookmarkEnd w:id="1108"/>
      <w:bookmarkEnd w:id="1109"/>
    </w:p>
    <w:p w14:paraId="7BA3F29B" w14:textId="77777777" w:rsidR="00544798" w:rsidRPr="00613251" w:rsidRDefault="00544798" w:rsidP="00926EB3">
      <w:pPr>
        <w:pStyle w:val="ListParagraph"/>
        <w:numPr>
          <w:ilvl w:val="0"/>
          <w:numId w:val="62"/>
        </w:numPr>
      </w:pPr>
      <w:r w:rsidRPr="00613251">
        <w:t xml:space="preserve">C-01: Reduce the overall cancer death rate. </w:t>
      </w:r>
    </w:p>
    <w:p w14:paraId="5B9F2C3A" w14:textId="52870BB6" w:rsidR="00544798" w:rsidRPr="00613251" w:rsidRDefault="00544798" w:rsidP="00926EB3">
      <w:pPr>
        <w:pStyle w:val="ListParagraph"/>
        <w:numPr>
          <w:ilvl w:val="0"/>
          <w:numId w:val="62"/>
        </w:numPr>
      </w:pPr>
      <w:r w:rsidRPr="00613251">
        <w:t>C-02: Reduce the lung cancer death</w:t>
      </w:r>
      <w:r w:rsidR="0087480F">
        <w:t xml:space="preserve"> rate</w:t>
      </w:r>
      <w:r>
        <w:t>.</w:t>
      </w:r>
    </w:p>
    <w:p w14:paraId="047099F2" w14:textId="77777777" w:rsidR="00544798" w:rsidRPr="00613251" w:rsidRDefault="00544798" w:rsidP="00926EB3">
      <w:pPr>
        <w:pStyle w:val="ListParagraph"/>
        <w:numPr>
          <w:ilvl w:val="0"/>
          <w:numId w:val="62"/>
        </w:numPr>
      </w:pPr>
      <w:r w:rsidRPr="00613251">
        <w:t>C-04: Reduce the female breast cancer death rate</w:t>
      </w:r>
      <w:r>
        <w:t>.</w:t>
      </w:r>
      <w:r w:rsidRPr="00613251">
        <w:t xml:space="preserve"> </w:t>
      </w:r>
    </w:p>
    <w:p w14:paraId="6ECE8977" w14:textId="77777777" w:rsidR="00544798" w:rsidRPr="00613251" w:rsidRDefault="00544798" w:rsidP="00926EB3">
      <w:pPr>
        <w:pStyle w:val="ListParagraph"/>
        <w:numPr>
          <w:ilvl w:val="0"/>
          <w:numId w:val="62"/>
        </w:numPr>
      </w:pPr>
      <w:r w:rsidRPr="00613251">
        <w:t>C-04: Reduce the female breast cancer death rate</w:t>
      </w:r>
      <w:r>
        <w:t>.</w:t>
      </w:r>
    </w:p>
    <w:p w14:paraId="047C8F0C" w14:textId="77777777" w:rsidR="00544798" w:rsidRPr="00613251" w:rsidRDefault="00544798" w:rsidP="00926EB3">
      <w:pPr>
        <w:pStyle w:val="ListParagraph"/>
        <w:numPr>
          <w:ilvl w:val="0"/>
          <w:numId w:val="62"/>
        </w:numPr>
      </w:pPr>
      <w:r w:rsidRPr="00613251">
        <w:t>C-06: Reduce the colorectal cancer death rate</w:t>
      </w:r>
      <w:r>
        <w:t>.</w:t>
      </w:r>
    </w:p>
    <w:p w14:paraId="398879BB" w14:textId="77777777" w:rsidR="00544798" w:rsidRPr="00613251" w:rsidRDefault="00544798" w:rsidP="00926EB3">
      <w:pPr>
        <w:pStyle w:val="ListParagraph"/>
        <w:numPr>
          <w:ilvl w:val="0"/>
          <w:numId w:val="62"/>
        </w:numPr>
      </w:pPr>
      <w:r w:rsidRPr="00613251">
        <w:t>C-08: Reduce the p</w:t>
      </w:r>
      <w:r>
        <w:t>r</w:t>
      </w:r>
      <w:r w:rsidRPr="00613251">
        <w:t>ostate cancer death rate</w:t>
      </w:r>
      <w:r>
        <w:t>.</w:t>
      </w:r>
    </w:p>
    <w:p w14:paraId="43B2C184" w14:textId="77777777" w:rsidR="00544798" w:rsidRPr="00613251" w:rsidRDefault="00544798" w:rsidP="00926EB3">
      <w:pPr>
        <w:pStyle w:val="ListParagraph"/>
        <w:numPr>
          <w:ilvl w:val="0"/>
          <w:numId w:val="62"/>
        </w:numPr>
      </w:pPr>
      <w:r w:rsidRPr="00613251">
        <w:t>C-0: Increase the proportion of females who get screened for cervical cancer</w:t>
      </w:r>
      <w:r>
        <w:t>.</w:t>
      </w:r>
    </w:p>
    <w:p w14:paraId="3BB6C2D7" w14:textId="77777777" w:rsidR="00544798" w:rsidRPr="00613251" w:rsidRDefault="00544798" w:rsidP="00926EB3">
      <w:pPr>
        <w:pStyle w:val="ListParagraph"/>
        <w:numPr>
          <w:ilvl w:val="0"/>
          <w:numId w:val="62"/>
        </w:numPr>
      </w:pPr>
      <w:r w:rsidRPr="00613251">
        <w:t>HDS-02: Reduce coronary heart disease deaths</w:t>
      </w:r>
      <w:r>
        <w:t>.</w:t>
      </w:r>
    </w:p>
    <w:p w14:paraId="6D5D7C6F" w14:textId="77777777" w:rsidR="00544798" w:rsidRPr="00613251" w:rsidRDefault="00544798" w:rsidP="00926EB3">
      <w:pPr>
        <w:pStyle w:val="ListParagraph"/>
        <w:numPr>
          <w:ilvl w:val="0"/>
          <w:numId w:val="62"/>
        </w:numPr>
      </w:pPr>
      <w:r w:rsidRPr="00613251">
        <w:t>HDS-04: Reduce the proportion of adults with high blood pressure</w:t>
      </w:r>
      <w:r>
        <w:t>.</w:t>
      </w:r>
    </w:p>
    <w:p w14:paraId="367B8F5B" w14:textId="77777777" w:rsidR="00544798" w:rsidRPr="00613251" w:rsidRDefault="00544798" w:rsidP="00926EB3">
      <w:pPr>
        <w:pStyle w:val="ListParagraph"/>
        <w:numPr>
          <w:ilvl w:val="0"/>
          <w:numId w:val="62"/>
        </w:numPr>
      </w:pPr>
      <w:r w:rsidRPr="00613251">
        <w:t>IID-12: Reduce the rate of acute hepatitis C</w:t>
      </w:r>
      <w:r>
        <w:t>.</w:t>
      </w:r>
    </w:p>
    <w:p w14:paraId="3D377897" w14:textId="77777777" w:rsidR="00544798" w:rsidRPr="00613251" w:rsidRDefault="00544798" w:rsidP="00926EB3">
      <w:pPr>
        <w:pStyle w:val="ListParagraph"/>
        <w:numPr>
          <w:ilvl w:val="0"/>
          <w:numId w:val="62"/>
        </w:numPr>
      </w:pPr>
      <w:r w:rsidRPr="00613251">
        <w:lastRenderedPageBreak/>
        <w:t>IVP-01: Reduce fatal injuries</w:t>
      </w:r>
      <w:r>
        <w:t>.</w:t>
      </w:r>
    </w:p>
    <w:p w14:paraId="141A0D3A" w14:textId="77777777" w:rsidR="00544798" w:rsidRPr="00613251" w:rsidRDefault="00544798" w:rsidP="00926EB3">
      <w:pPr>
        <w:pStyle w:val="ListParagraph"/>
        <w:numPr>
          <w:ilvl w:val="0"/>
          <w:numId w:val="62"/>
        </w:numPr>
      </w:pPr>
      <w:r w:rsidRPr="00613251">
        <w:t>IVP-06: Reduce deaths from motor vehicle crashes</w:t>
      </w:r>
      <w:r>
        <w:t>.</w:t>
      </w:r>
    </w:p>
    <w:p w14:paraId="467A31C7" w14:textId="77777777" w:rsidR="00544798" w:rsidRPr="00613251" w:rsidRDefault="00544798" w:rsidP="00926EB3">
      <w:pPr>
        <w:pStyle w:val="ListParagraph"/>
        <w:numPr>
          <w:ilvl w:val="0"/>
          <w:numId w:val="62"/>
        </w:numPr>
      </w:pPr>
      <w:r w:rsidRPr="00613251">
        <w:t>IVP-07: Reduce the proportion of deaths of car passengers who weren't buckled in</w:t>
      </w:r>
      <w:r>
        <w:t>.</w:t>
      </w:r>
    </w:p>
    <w:p w14:paraId="58D4729D" w14:textId="77777777" w:rsidR="00544798" w:rsidRPr="00613251" w:rsidRDefault="00544798" w:rsidP="00926EB3">
      <w:pPr>
        <w:pStyle w:val="ListParagraph"/>
        <w:numPr>
          <w:ilvl w:val="0"/>
          <w:numId w:val="62"/>
        </w:numPr>
      </w:pPr>
      <w:r w:rsidRPr="00613251">
        <w:t>IVP-09: Reduce homicides</w:t>
      </w:r>
      <w:r>
        <w:t>.</w:t>
      </w:r>
    </w:p>
    <w:p w14:paraId="693DCA46" w14:textId="77777777" w:rsidR="00544798" w:rsidRPr="00613251" w:rsidRDefault="00544798" w:rsidP="00926EB3">
      <w:pPr>
        <w:pStyle w:val="ListParagraph"/>
        <w:numPr>
          <w:ilvl w:val="0"/>
          <w:numId w:val="62"/>
        </w:numPr>
      </w:pPr>
      <w:r w:rsidRPr="00613251">
        <w:t>IVP-13: Reduce firearm-related deaths</w:t>
      </w:r>
      <w:r>
        <w:t>.</w:t>
      </w:r>
    </w:p>
    <w:p w14:paraId="0285C616" w14:textId="77777777" w:rsidR="00544798" w:rsidRPr="00613251" w:rsidRDefault="00544798" w:rsidP="00926EB3">
      <w:pPr>
        <w:pStyle w:val="ListParagraph"/>
        <w:numPr>
          <w:ilvl w:val="0"/>
          <w:numId w:val="62"/>
        </w:numPr>
      </w:pPr>
      <w:r w:rsidRPr="00613251">
        <w:t>IVP-20: Reduce overdose deaths involving opioids</w:t>
      </w:r>
      <w:r>
        <w:t>.</w:t>
      </w:r>
    </w:p>
    <w:p w14:paraId="610CE79F" w14:textId="77777777" w:rsidR="00544798" w:rsidRPr="00613251" w:rsidRDefault="00544798" w:rsidP="00926EB3">
      <w:pPr>
        <w:pStyle w:val="ListParagraph"/>
        <w:numPr>
          <w:ilvl w:val="0"/>
          <w:numId w:val="62"/>
        </w:numPr>
      </w:pPr>
      <w:r w:rsidRPr="00613251">
        <w:t>IVP-21: Reduce overdose deaths involving natural and semisynthetic opioids.</w:t>
      </w:r>
    </w:p>
    <w:p w14:paraId="471EB05B" w14:textId="77777777" w:rsidR="00544798" w:rsidRPr="00613251" w:rsidRDefault="00544798" w:rsidP="00926EB3">
      <w:pPr>
        <w:pStyle w:val="ListParagraph"/>
        <w:numPr>
          <w:ilvl w:val="0"/>
          <w:numId w:val="62"/>
        </w:numPr>
      </w:pPr>
      <w:r w:rsidRPr="00613251">
        <w:t>IVP-22: Reduce overdose deaths involving synthetic opioids other than methadone</w:t>
      </w:r>
      <w:r>
        <w:t>.</w:t>
      </w:r>
    </w:p>
    <w:p w14:paraId="7F606B9F" w14:textId="77777777" w:rsidR="00544798" w:rsidRPr="00613251" w:rsidRDefault="00544798" w:rsidP="00926EB3">
      <w:pPr>
        <w:pStyle w:val="ListParagraph"/>
        <w:numPr>
          <w:ilvl w:val="0"/>
          <w:numId w:val="62"/>
        </w:numPr>
      </w:pPr>
      <w:r w:rsidRPr="00613251">
        <w:t>IVP-23: Reduce overdose deaths involving heroin</w:t>
      </w:r>
      <w:r>
        <w:t>.</w:t>
      </w:r>
    </w:p>
    <w:p w14:paraId="310DA76D" w14:textId="77777777" w:rsidR="00544798" w:rsidRPr="00613251" w:rsidRDefault="00544798" w:rsidP="00926EB3">
      <w:pPr>
        <w:pStyle w:val="ListParagraph"/>
        <w:numPr>
          <w:ilvl w:val="0"/>
          <w:numId w:val="62"/>
        </w:numPr>
      </w:pPr>
      <w:r w:rsidRPr="00613251">
        <w:t>IVP-24: Reduce overdose deaths involving methadone</w:t>
      </w:r>
      <w:r>
        <w:t>.</w:t>
      </w:r>
    </w:p>
    <w:p w14:paraId="73DCD364" w14:textId="77777777" w:rsidR="00544798" w:rsidRPr="00613251" w:rsidRDefault="00544798" w:rsidP="00926EB3">
      <w:pPr>
        <w:pStyle w:val="ListParagraph"/>
        <w:numPr>
          <w:ilvl w:val="0"/>
          <w:numId w:val="62"/>
        </w:numPr>
      </w:pPr>
      <w:r w:rsidRPr="00613251">
        <w:t>MHMD-01: Reduce the suicide rate</w:t>
      </w:r>
      <w:r>
        <w:t>.</w:t>
      </w:r>
    </w:p>
    <w:p w14:paraId="79A69883" w14:textId="77777777" w:rsidR="00544798" w:rsidRPr="00613251" w:rsidRDefault="00544798" w:rsidP="00926EB3">
      <w:pPr>
        <w:pStyle w:val="ListParagraph"/>
        <w:numPr>
          <w:ilvl w:val="0"/>
          <w:numId w:val="62"/>
        </w:numPr>
      </w:pPr>
      <w:r w:rsidRPr="00613251">
        <w:t>NWS-03: Reduce the proportion of adults with obesity</w:t>
      </w:r>
      <w:r>
        <w:t>.</w:t>
      </w:r>
    </w:p>
    <w:p w14:paraId="0735DD18" w14:textId="77777777" w:rsidR="00544798" w:rsidRPr="00613251" w:rsidRDefault="00544798" w:rsidP="00926EB3">
      <w:pPr>
        <w:pStyle w:val="ListParagraph"/>
        <w:numPr>
          <w:ilvl w:val="0"/>
          <w:numId w:val="62"/>
        </w:numPr>
      </w:pPr>
      <w:r w:rsidRPr="00613251">
        <w:t>SU-02: Reduce the cirrhosis deaths</w:t>
      </w:r>
      <w:r>
        <w:t>.</w:t>
      </w:r>
    </w:p>
    <w:p w14:paraId="386F8CCE" w14:textId="77777777" w:rsidR="00544798" w:rsidRPr="00613251" w:rsidRDefault="00544798" w:rsidP="00926EB3">
      <w:pPr>
        <w:pStyle w:val="ListParagraph"/>
        <w:numPr>
          <w:ilvl w:val="0"/>
          <w:numId w:val="62"/>
        </w:numPr>
      </w:pPr>
      <w:r w:rsidRPr="00613251">
        <w:t>SU-03: Reduce drug overdose death</w:t>
      </w:r>
      <w:r>
        <w:t>.</w:t>
      </w:r>
    </w:p>
    <w:p w14:paraId="2A797F52" w14:textId="77777777" w:rsidR="00544798" w:rsidRPr="00613251" w:rsidRDefault="00544798" w:rsidP="00926EB3">
      <w:pPr>
        <w:pStyle w:val="ListParagraph"/>
        <w:numPr>
          <w:ilvl w:val="0"/>
          <w:numId w:val="62"/>
        </w:numPr>
      </w:pPr>
      <w:r w:rsidRPr="00613251">
        <w:t>SU-10: Reduce the proportion of people aged 21 years and over who engaged in binge drinking in the past month</w:t>
      </w:r>
      <w:r>
        <w:t>.</w:t>
      </w:r>
    </w:p>
    <w:p w14:paraId="12164761" w14:textId="77777777" w:rsidR="00544798" w:rsidRPr="00613251" w:rsidRDefault="00544798" w:rsidP="00926EB3">
      <w:pPr>
        <w:pStyle w:val="ListParagraph"/>
        <w:numPr>
          <w:ilvl w:val="0"/>
          <w:numId w:val="62"/>
        </w:numPr>
      </w:pPr>
      <w:r w:rsidRPr="00613251">
        <w:t>TU-02: Reduce current cigarette smoking in adults</w:t>
      </w:r>
      <w:r>
        <w:t>.</w:t>
      </w:r>
    </w:p>
    <w:p w14:paraId="7BBD1EDD" w14:textId="77777777" w:rsidR="00544798" w:rsidRDefault="00544798" w:rsidP="00544798">
      <w:pPr>
        <w:pStyle w:val="Heading4"/>
      </w:pPr>
      <w:bookmarkStart w:id="1110" w:name="_Toc154569728"/>
      <w:bookmarkStart w:id="1111" w:name="_Toc162267758"/>
      <w:r>
        <w:t>Healthy Aging.</w:t>
      </w:r>
      <w:bookmarkEnd w:id="1110"/>
      <w:bookmarkEnd w:id="1111"/>
    </w:p>
    <w:p w14:paraId="21560131" w14:textId="77777777" w:rsidR="00544798" w:rsidRPr="00613251" w:rsidRDefault="00544798" w:rsidP="00926EB3">
      <w:pPr>
        <w:pStyle w:val="ListParagraph"/>
        <w:numPr>
          <w:ilvl w:val="0"/>
          <w:numId w:val="63"/>
        </w:numPr>
      </w:pPr>
      <w:r w:rsidRPr="00613251">
        <w:t>DIA-03: Increase the proportion of adults with subjective cognitive decline who have discussed their symptoms with a provider.</w:t>
      </w:r>
    </w:p>
    <w:p w14:paraId="7B7886D8" w14:textId="77777777" w:rsidR="00544798" w:rsidRPr="00613251" w:rsidRDefault="00544798" w:rsidP="00926EB3">
      <w:pPr>
        <w:pStyle w:val="ListParagraph"/>
        <w:numPr>
          <w:ilvl w:val="0"/>
          <w:numId w:val="63"/>
        </w:numPr>
      </w:pPr>
      <w:r w:rsidRPr="00613251">
        <w:t xml:space="preserve">HDS-03: Reduce stroke deaths. </w:t>
      </w:r>
    </w:p>
    <w:p w14:paraId="59DA08B3" w14:textId="77777777" w:rsidR="00544798" w:rsidRPr="00613251" w:rsidRDefault="00544798" w:rsidP="00926EB3">
      <w:pPr>
        <w:pStyle w:val="ListParagraph"/>
        <w:numPr>
          <w:ilvl w:val="0"/>
          <w:numId w:val="63"/>
        </w:numPr>
      </w:pPr>
      <w:r w:rsidRPr="00613251">
        <w:t>IVP-05: Reduce fatal traumatic brain injuries</w:t>
      </w:r>
      <w:r>
        <w:t>.</w:t>
      </w:r>
    </w:p>
    <w:p w14:paraId="1C8C9B03" w14:textId="77777777" w:rsidR="00544798" w:rsidRPr="00613251" w:rsidRDefault="00544798" w:rsidP="00926EB3">
      <w:pPr>
        <w:pStyle w:val="ListParagraph"/>
        <w:numPr>
          <w:ilvl w:val="0"/>
          <w:numId w:val="63"/>
        </w:numPr>
      </w:pPr>
      <w:r w:rsidRPr="00613251">
        <w:t>IVP-06: Reduce deaths from motor vehicle crashes</w:t>
      </w:r>
      <w:r>
        <w:t>.</w:t>
      </w:r>
      <w:r w:rsidRPr="00613251">
        <w:t xml:space="preserve"> </w:t>
      </w:r>
    </w:p>
    <w:p w14:paraId="59238FB7" w14:textId="77777777" w:rsidR="00544798" w:rsidRPr="00613251" w:rsidRDefault="00544798" w:rsidP="00926EB3">
      <w:pPr>
        <w:pStyle w:val="ListParagraph"/>
        <w:numPr>
          <w:ilvl w:val="0"/>
          <w:numId w:val="63"/>
        </w:numPr>
      </w:pPr>
      <w:r w:rsidRPr="00613251">
        <w:t>IVP-08: Reduce fall-related deaths among older adults</w:t>
      </w:r>
      <w:r>
        <w:t>.</w:t>
      </w:r>
    </w:p>
    <w:p w14:paraId="444D4037" w14:textId="77777777" w:rsidR="00544798" w:rsidRPr="00613251" w:rsidRDefault="00544798" w:rsidP="00926EB3">
      <w:pPr>
        <w:pStyle w:val="ListParagraph"/>
        <w:numPr>
          <w:ilvl w:val="0"/>
          <w:numId w:val="63"/>
        </w:numPr>
      </w:pPr>
      <w:r w:rsidRPr="00613251">
        <w:t>IVP-09: Reduce homicides</w:t>
      </w:r>
      <w:r>
        <w:t>.</w:t>
      </w:r>
    </w:p>
    <w:p w14:paraId="62A54490" w14:textId="77777777" w:rsidR="00544798" w:rsidRPr="00613251" w:rsidRDefault="00544798" w:rsidP="00926EB3">
      <w:pPr>
        <w:pStyle w:val="ListParagraph"/>
        <w:numPr>
          <w:ilvl w:val="0"/>
          <w:numId w:val="63"/>
        </w:numPr>
      </w:pPr>
      <w:r w:rsidRPr="00613251">
        <w:t>MHMD-01: Reduce the suicide rate</w:t>
      </w:r>
      <w:r>
        <w:t>.</w:t>
      </w:r>
    </w:p>
    <w:p w14:paraId="79442632" w14:textId="77777777" w:rsidR="00544798" w:rsidRPr="00613251" w:rsidRDefault="00544798" w:rsidP="00544798">
      <w:pPr>
        <w:pStyle w:val="ListParagraph"/>
      </w:pPr>
    </w:p>
    <w:p w14:paraId="1FF6E7B0" w14:textId="77777777" w:rsidR="00544798" w:rsidRDefault="00544798">
      <w:pPr>
        <w:rPr>
          <w:rFonts w:asciiTheme="majorHAnsi" w:eastAsiaTheme="majorEastAsia" w:hAnsiTheme="majorHAnsi" w:cstheme="majorBidi"/>
          <w:color w:val="2F5496" w:themeColor="accent1" w:themeShade="BF"/>
          <w:sz w:val="36"/>
        </w:rPr>
      </w:pPr>
      <w:bookmarkStart w:id="1112" w:name="_Toc154569729"/>
      <w:r>
        <w:br w:type="page"/>
      </w:r>
    </w:p>
    <w:p w14:paraId="467A3CDB" w14:textId="11E52CDD" w:rsidR="00544798" w:rsidRDefault="00544798" w:rsidP="00544798">
      <w:pPr>
        <w:pStyle w:val="Heading3"/>
      </w:pPr>
      <w:bookmarkStart w:id="1113" w:name="_Toc162267759"/>
      <w:r>
        <w:lastRenderedPageBreak/>
        <w:t>Appendix D: SHA Project Teams</w:t>
      </w:r>
      <w:bookmarkEnd w:id="1112"/>
      <w:bookmarkEnd w:id="1113"/>
    </w:p>
    <w:p w14:paraId="70125457" w14:textId="4A57278E" w:rsidR="00B849D6" w:rsidRDefault="00B849D6" w:rsidP="00544798">
      <w:pPr>
        <w:pStyle w:val="Heading4"/>
      </w:pPr>
      <w:bookmarkStart w:id="1114" w:name="_Toc162267760"/>
      <w:bookmarkStart w:id="1115" w:name="_Toc154569730"/>
      <w:r>
        <w:t>State Health Improvement Office.</w:t>
      </w:r>
      <w:bookmarkEnd w:id="1114"/>
    </w:p>
    <w:p w14:paraId="20BB4D2B" w14:textId="0CF4BECF" w:rsidR="00B849D6" w:rsidRPr="00C64808" w:rsidRDefault="00B849D6" w:rsidP="00B849D6">
      <w:pPr>
        <w:pStyle w:val="ListParagraph"/>
        <w:numPr>
          <w:ilvl w:val="0"/>
          <w:numId w:val="64"/>
        </w:numPr>
      </w:pPr>
      <w:r>
        <w:t>Director, Dr. Kobra Eghtedary</w:t>
      </w:r>
    </w:p>
    <w:p w14:paraId="4C8C2BF5" w14:textId="6954088F" w:rsidR="00B849D6" w:rsidRPr="00C64808" w:rsidRDefault="00B849D6" w:rsidP="00B849D6">
      <w:pPr>
        <w:pStyle w:val="ListParagraph"/>
        <w:numPr>
          <w:ilvl w:val="0"/>
          <w:numId w:val="64"/>
        </w:numPr>
      </w:pPr>
      <w:r>
        <w:t>Project Manager, Farren Allen</w:t>
      </w:r>
    </w:p>
    <w:p w14:paraId="387F3ED4" w14:textId="30BB1C8A" w:rsidR="00B849D6" w:rsidRPr="00C64808" w:rsidRDefault="00B849D6" w:rsidP="00B849D6">
      <w:pPr>
        <w:pStyle w:val="ListParagraph"/>
        <w:numPr>
          <w:ilvl w:val="0"/>
          <w:numId w:val="64"/>
        </w:numPr>
      </w:pPr>
      <w:r>
        <w:t xml:space="preserve">Epidemiologist, Dr. </w:t>
      </w:r>
      <w:proofErr w:type="spellStart"/>
      <w:r w:rsidRPr="00B849D6">
        <w:t>Ermiyas</w:t>
      </w:r>
      <w:proofErr w:type="spellEnd"/>
      <w:r w:rsidRPr="00B849D6">
        <w:t xml:space="preserve"> </w:t>
      </w:r>
      <w:proofErr w:type="spellStart"/>
      <w:r w:rsidRPr="00B849D6">
        <w:t>Woldeamanuel</w:t>
      </w:r>
      <w:proofErr w:type="spellEnd"/>
    </w:p>
    <w:p w14:paraId="5809131A" w14:textId="77777777" w:rsidR="00B849D6" w:rsidRPr="00B849D6" w:rsidRDefault="00B849D6" w:rsidP="00B849D6"/>
    <w:p w14:paraId="5A7D7E97" w14:textId="612F5665" w:rsidR="00544798" w:rsidRDefault="00544798" w:rsidP="00544798">
      <w:pPr>
        <w:pStyle w:val="Heading4"/>
      </w:pPr>
      <w:bookmarkStart w:id="1116" w:name="_Toc162267761"/>
      <w:r>
        <w:t>DHEC Executive Advisory Team.</w:t>
      </w:r>
      <w:bookmarkEnd w:id="1115"/>
      <w:bookmarkEnd w:id="1116"/>
    </w:p>
    <w:p w14:paraId="1B6E4950" w14:textId="77777777" w:rsidR="00544798" w:rsidRPr="00C64808" w:rsidRDefault="00544798" w:rsidP="00926EB3">
      <w:pPr>
        <w:pStyle w:val="ListParagraph"/>
        <w:numPr>
          <w:ilvl w:val="0"/>
          <w:numId w:val="64"/>
        </w:numPr>
      </w:pPr>
      <w:r>
        <w:t xml:space="preserve">DHEC Director, </w:t>
      </w:r>
      <w:r w:rsidRPr="00C64808">
        <w:t>Edward Simmer</w:t>
      </w:r>
      <w:r>
        <w:t>.</w:t>
      </w:r>
    </w:p>
    <w:p w14:paraId="70FF4F76" w14:textId="77777777" w:rsidR="00544798" w:rsidRPr="00C64808" w:rsidRDefault="00544798" w:rsidP="00926EB3">
      <w:pPr>
        <w:pStyle w:val="ListParagraph"/>
        <w:numPr>
          <w:ilvl w:val="0"/>
          <w:numId w:val="64"/>
        </w:numPr>
      </w:pPr>
      <w:r>
        <w:t xml:space="preserve">Chief of Staff, </w:t>
      </w:r>
      <w:r w:rsidRPr="00C64808">
        <w:t>Karla Buru</w:t>
      </w:r>
      <w:r>
        <w:t>.</w:t>
      </w:r>
    </w:p>
    <w:p w14:paraId="0D985410" w14:textId="77777777" w:rsidR="00544798" w:rsidRPr="00C64808" w:rsidRDefault="00544798" w:rsidP="00926EB3">
      <w:pPr>
        <w:pStyle w:val="ListParagraph"/>
        <w:numPr>
          <w:ilvl w:val="0"/>
          <w:numId w:val="64"/>
        </w:numPr>
      </w:pPr>
      <w:r w:rsidRPr="00C64808">
        <w:t>Public Health Director</w:t>
      </w:r>
      <w:r>
        <w:t xml:space="preserve">, </w:t>
      </w:r>
      <w:r w:rsidRPr="00C64808">
        <w:t>Brannon Traxler</w:t>
      </w:r>
      <w:r>
        <w:t>.</w:t>
      </w:r>
    </w:p>
    <w:p w14:paraId="27DD9666" w14:textId="77777777" w:rsidR="00544798" w:rsidRPr="00C64808" w:rsidRDefault="00544798" w:rsidP="00926EB3">
      <w:pPr>
        <w:pStyle w:val="ListParagraph"/>
        <w:numPr>
          <w:ilvl w:val="0"/>
          <w:numId w:val="64"/>
        </w:numPr>
      </w:pPr>
      <w:r w:rsidRPr="00C64808">
        <w:t>State Health Improvement Director</w:t>
      </w:r>
      <w:r>
        <w:t xml:space="preserve">, </w:t>
      </w:r>
      <w:r w:rsidRPr="00C64808">
        <w:t>Kobra Eghtedary</w:t>
      </w:r>
      <w:r>
        <w:t>.</w:t>
      </w:r>
    </w:p>
    <w:p w14:paraId="7ADF7D73" w14:textId="77777777" w:rsidR="00544798" w:rsidRPr="00C64808" w:rsidRDefault="00544798" w:rsidP="00926EB3">
      <w:pPr>
        <w:pStyle w:val="ListParagraph"/>
        <w:numPr>
          <w:ilvl w:val="0"/>
          <w:numId w:val="64"/>
        </w:numPr>
      </w:pPr>
      <w:r w:rsidRPr="00C64808">
        <w:t>Public Health Senior Deputy Director</w:t>
      </w:r>
      <w:r>
        <w:t xml:space="preserve">, </w:t>
      </w:r>
      <w:r w:rsidRPr="00C64808">
        <w:t>Nick Davidson</w:t>
      </w:r>
      <w:r>
        <w:t>.</w:t>
      </w:r>
    </w:p>
    <w:p w14:paraId="6ADCA008" w14:textId="77777777" w:rsidR="00544798" w:rsidRPr="00C64808" w:rsidRDefault="00544798" w:rsidP="00926EB3">
      <w:pPr>
        <w:pStyle w:val="ListParagraph"/>
        <w:numPr>
          <w:ilvl w:val="0"/>
          <w:numId w:val="64"/>
        </w:numPr>
      </w:pPr>
      <w:r w:rsidRPr="00C64808">
        <w:t>Chief Communications Officer</w:t>
      </w:r>
      <w:r>
        <w:t xml:space="preserve">, </w:t>
      </w:r>
      <w:proofErr w:type="spellStart"/>
      <w:r w:rsidRPr="00C64808">
        <w:t>Cristi</w:t>
      </w:r>
      <w:proofErr w:type="spellEnd"/>
      <w:r w:rsidRPr="00C64808">
        <w:t xml:space="preserve"> Moore</w:t>
      </w:r>
      <w:r>
        <w:t>.</w:t>
      </w:r>
    </w:p>
    <w:p w14:paraId="2CF44B78" w14:textId="77777777" w:rsidR="00544798" w:rsidRPr="00C64808" w:rsidRDefault="00544798" w:rsidP="00926EB3">
      <w:pPr>
        <w:pStyle w:val="ListParagraph"/>
        <w:numPr>
          <w:ilvl w:val="0"/>
          <w:numId w:val="64"/>
        </w:numPr>
      </w:pPr>
      <w:r w:rsidRPr="00C64808">
        <w:t>Chief Strategy and Engagement Officer</w:t>
      </w:r>
      <w:r>
        <w:t xml:space="preserve">, </w:t>
      </w:r>
      <w:r w:rsidRPr="00C64808">
        <w:t>Cassandra Harris</w:t>
      </w:r>
      <w:r>
        <w:t>.</w:t>
      </w:r>
    </w:p>
    <w:p w14:paraId="32FFF81C" w14:textId="77777777" w:rsidR="00544798" w:rsidRPr="00C64808" w:rsidRDefault="00544798" w:rsidP="00926EB3">
      <w:pPr>
        <w:pStyle w:val="ListParagraph"/>
        <w:numPr>
          <w:ilvl w:val="0"/>
          <w:numId w:val="64"/>
        </w:numPr>
      </w:pPr>
      <w:r w:rsidRPr="00C64808">
        <w:t>Environmental Affairs Director</w:t>
      </w:r>
      <w:r>
        <w:t xml:space="preserve">, </w:t>
      </w:r>
      <w:r w:rsidRPr="00C64808">
        <w:t>Myra Reece</w:t>
      </w:r>
      <w:r>
        <w:t>.</w:t>
      </w:r>
    </w:p>
    <w:p w14:paraId="20DE28E2" w14:textId="77777777" w:rsidR="00544798" w:rsidRPr="00C64808" w:rsidRDefault="00544798" w:rsidP="00926EB3">
      <w:pPr>
        <w:pStyle w:val="ListParagraph"/>
        <w:numPr>
          <w:ilvl w:val="0"/>
          <w:numId w:val="64"/>
        </w:numPr>
      </w:pPr>
      <w:r w:rsidRPr="00C64808">
        <w:t>State Health Improvement Strategist</w:t>
      </w:r>
      <w:r>
        <w:t xml:space="preserve">, </w:t>
      </w:r>
      <w:r w:rsidRPr="00C64808">
        <w:t>Farren Allen</w:t>
      </w:r>
      <w:r>
        <w:t>.</w:t>
      </w:r>
    </w:p>
    <w:p w14:paraId="05D3305C" w14:textId="77777777" w:rsidR="00544798" w:rsidRPr="00C64808" w:rsidRDefault="00544798" w:rsidP="00926EB3">
      <w:pPr>
        <w:pStyle w:val="ListParagraph"/>
        <w:numPr>
          <w:ilvl w:val="0"/>
          <w:numId w:val="64"/>
        </w:numPr>
      </w:pPr>
      <w:r w:rsidRPr="00C64808">
        <w:t>Director of Community Engagement</w:t>
      </w:r>
      <w:r>
        <w:t xml:space="preserve">, </w:t>
      </w:r>
      <w:r w:rsidRPr="00C64808">
        <w:t>Suzanne Sanders</w:t>
      </w:r>
      <w:r>
        <w:t>.</w:t>
      </w:r>
    </w:p>
    <w:p w14:paraId="11F2ED20" w14:textId="77777777" w:rsidR="00544798" w:rsidRPr="001C434E" w:rsidRDefault="00544798" w:rsidP="00544798">
      <w:pPr>
        <w:pStyle w:val="ListParagraph"/>
      </w:pPr>
    </w:p>
    <w:p w14:paraId="2F7FA4D7" w14:textId="77777777" w:rsidR="00544798" w:rsidRDefault="00544798" w:rsidP="00544798">
      <w:pPr>
        <w:pStyle w:val="Heading4"/>
      </w:pPr>
      <w:bookmarkStart w:id="1117" w:name="_Toc154569731"/>
      <w:bookmarkStart w:id="1118" w:name="_Toc162267762"/>
      <w:r>
        <w:t>LHSC Project Management Team.</w:t>
      </w:r>
      <w:bookmarkEnd w:id="1117"/>
      <w:bookmarkEnd w:id="1118"/>
    </w:p>
    <w:p w14:paraId="4EE39922" w14:textId="77777777" w:rsidR="00544798" w:rsidRPr="00C64808" w:rsidRDefault="00544798" w:rsidP="00926EB3">
      <w:pPr>
        <w:pStyle w:val="ListParagraph"/>
        <w:numPr>
          <w:ilvl w:val="0"/>
          <w:numId w:val="65"/>
        </w:numPr>
      </w:pPr>
      <w:r w:rsidRPr="00C64808">
        <w:t>State Health Improvement Director, DHEC</w:t>
      </w:r>
      <w:r>
        <w:t xml:space="preserve">, </w:t>
      </w:r>
      <w:r w:rsidRPr="00C64808">
        <w:t>Kobra Eghtedary</w:t>
      </w:r>
      <w:r>
        <w:t>.</w:t>
      </w:r>
    </w:p>
    <w:p w14:paraId="0C767CB4" w14:textId="77777777" w:rsidR="00544798" w:rsidRDefault="00544798" w:rsidP="00926EB3">
      <w:pPr>
        <w:pStyle w:val="ListParagraph"/>
        <w:numPr>
          <w:ilvl w:val="0"/>
          <w:numId w:val="65"/>
        </w:numPr>
      </w:pPr>
      <w:r w:rsidRPr="00C64808">
        <w:t>Public Health Senior Deputy Director, DHEC</w:t>
      </w:r>
      <w:r>
        <w:t xml:space="preserve">, </w:t>
      </w:r>
      <w:r w:rsidRPr="00C64808">
        <w:t>Nick Davidson</w:t>
      </w:r>
      <w:r>
        <w:t>.</w:t>
      </w:r>
    </w:p>
    <w:p w14:paraId="1F2D1C42" w14:textId="27DB112F" w:rsidR="00C9754C" w:rsidRPr="00C64808" w:rsidRDefault="00C9754C" w:rsidP="00926EB3">
      <w:pPr>
        <w:pStyle w:val="ListParagraph"/>
        <w:numPr>
          <w:ilvl w:val="0"/>
          <w:numId w:val="65"/>
        </w:numPr>
      </w:pPr>
      <w:r w:rsidRPr="00C64808">
        <w:t>Community Engagement Director, DHEC</w:t>
      </w:r>
      <w:r>
        <w:t xml:space="preserve">, </w:t>
      </w:r>
      <w:r w:rsidRPr="00C64808">
        <w:t>Suzanne Sanders</w:t>
      </w:r>
      <w:r>
        <w:t>.</w:t>
      </w:r>
    </w:p>
    <w:p w14:paraId="389AC694" w14:textId="77777777" w:rsidR="00544798" w:rsidRPr="00C64808" w:rsidRDefault="00544798" w:rsidP="00926EB3">
      <w:pPr>
        <w:pStyle w:val="ListParagraph"/>
        <w:numPr>
          <w:ilvl w:val="0"/>
          <w:numId w:val="65"/>
        </w:numPr>
      </w:pPr>
      <w:r w:rsidRPr="00C64808">
        <w:t>State Health Improvement Strategist, DHEC</w:t>
      </w:r>
      <w:r>
        <w:t xml:space="preserve">, </w:t>
      </w:r>
      <w:r w:rsidRPr="00C64808">
        <w:t>Farren Allen</w:t>
      </w:r>
      <w:r>
        <w:t>.</w:t>
      </w:r>
    </w:p>
    <w:p w14:paraId="24C0F6A8" w14:textId="77777777" w:rsidR="00544798" w:rsidRPr="00C64808" w:rsidRDefault="00544798" w:rsidP="00926EB3">
      <w:pPr>
        <w:pStyle w:val="ListParagraph"/>
        <w:numPr>
          <w:ilvl w:val="0"/>
          <w:numId w:val="65"/>
        </w:numPr>
      </w:pPr>
      <w:r w:rsidRPr="00C64808">
        <w:t>Director, Alliance for a Healthier SC</w:t>
      </w:r>
      <w:r>
        <w:t xml:space="preserve">, </w:t>
      </w:r>
      <w:r w:rsidRPr="00C64808">
        <w:t>Monty Robertson</w:t>
      </w:r>
      <w:r>
        <w:t>.</w:t>
      </w:r>
    </w:p>
    <w:p w14:paraId="74279D0A" w14:textId="77777777" w:rsidR="00544798" w:rsidRPr="00C64808" w:rsidRDefault="00544798" w:rsidP="00926EB3">
      <w:pPr>
        <w:pStyle w:val="ListParagraph"/>
        <w:numPr>
          <w:ilvl w:val="0"/>
          <w:numId w:val="65"/>
        </w:numPr>
      </w:pPr>
      <w:r w:rsidRPr="00C64808">
        <w:t>Health Improvement Consultant, Alliance for a Healthier SC</w:t>
      </w:r>
      <w:r>
        <w:t xml:space="preserve">, </w:t>
      </w:r>
      <w:r w:rsidRPr="00C64808">
        <w:t>Barbara Grice</w:t>
      </w:r>
      <w:r>
        <w:t>.</w:t>
      </w:r>
    </w:p>
    <w:p w14:paraId="2EC08278" w14:textId="77777777" w:rsidR="00544798" w:rsidRPr="00C64808" w:rsidRDefault="00544798" w:rsidP="00926EB3">
      <w:pPr>
        <w:pStyle w:val="ListParagraph"/>
        <w:numPr>
          <w:ilvl w:val="0"/>
          <w:numId w:val="65"/>
        </w:numPr>
      </w:pPr>
      <w:r w:rsidRPr="00C64808">
        <w:t>Program Manager, Alliance for a Healthier SC</w:t>
      </w:r>
      <w:r>
        <w:t xml:space="preserve">, </w:t>
      </w:r>
      <w:r w:rsidRPr="00C64808">
        <w:t>Amanda Cohen</w:t>
      </w:r>
      <w:r>
        <w:t>.</w:t>
      </w:r>
    </w:p>
    <w:p w14:paraId="2A59F669" w14:textId="77777777" w:rsidR="00544798" w:rsidRDefault="00544798" w:rsidP="00544798">
      <w:pPr>
        <w:ind w:left="360"/>
      </w:pPr>
    </w:p>
    <w:p w14:paraId="584ED231" w14:textId="77777777" w:rsidR="00544798" w:rsidRDefault="00544798" w:rsidP="00544798">
      <w:pPr>
        <w:pStyle w:val="Heading4"/>
      </w:pPr>
      <w:bookmarkStart w:id="1119" w:name="_Toc154569732"/>
      <w:bookmarkStart w:id="1120" w:name="_Toc162267763"/>
      <w:r>
        <w:t>DHEC Planning Committee.</w:t>
      </w:r>
      <w:bookmarkEnd w:id="1119"/>
      <w:bookmarkEnd w:id="1120"/>
    </w:p>
    <w:p w14:paraId="62E2768B" w14:textId="77777777" w:rsidR="00544798" w:rsidRDefault="00544798" w:rsidP="00926EB3">
      <w:pPr>
        <w:pStyle w:val="ListParagraph"/>
        <w:numPr>
          <w:ilvl w:val="0"/>
          <w:numId w:val="66"/>
        </w:numPr>
      </w:pPr>
      <w:r w:rsidRPr="00C64808">
        <w:t>State Health Improvement Director, Kobra Eghtedar</w:t>
      </w:r>
      <w:r>
        <w:t>y.</w:t>
      </w:r>
    </w:p>
    <w:p w14:paraId="24EA9D0C" w14:textId="77777777" w:rsidR="00544798" w:rsidRDefault="00544798" w:rsidP="00926EB3">
      <w:pPr>
        <w:pStyle w:val="ListParagraph"/>
        <w:numPr>
          <w:ilvl w:val="0"/>
          <w:numId w:val="66"/>
        </w:numPr>
      </w:pPr>
      <w:r w:rsidRPr="00C64808">
        <w:t>State Health Improvement Strategist</w:t>
      </w:r>
      <w:r>
        <w:t xml:space="preserve">, </w:t>
      </w:r>
      <w:r w:rsidRPr="00C64808">
        <w:t>Farren Allen</w:t>
      </w:r>
      <w:r>
        <w:t>.</w:t>
      </w:r>
    </w:p>
    <w:p w14:paraId="57979413" w14:textId="77777777" w:rsidR="00544798" w:rsidRPr="00C64808" w:rsidRDefault="00544798" w:rsidP="00926EB3">
      <w:pPr>
        <w:pStyle w:val="ListParagraph"/>
        <w:numPr>
          <w:ilvl w:val="0"/>
          <w:numId w:val="66"/>
        </w:numPr>
      </w:pPr>
      <w:r w:rsidRPr="00C64808">
        <w:t>Epidemiology, Analysis &amp; Data Visualization Director</w:t>
      </w:r>
      <w:r>
        <w:t xml:space="preserve">, </w:t>
      </w:r>
      <w:r w:rsidRPr="00C64808">
        <w:t>Katherine O’Shields</w:t>
      </w:r>
      <w:r>
        <w:t>.</w:t>
      </w:r>
    </w:p>
    <w:p w14:paraId="6D187803" w14:textId="77777777" w:rsidR="00544798" w:rsidRPr="00C64808" w:rsidRDefault="00544798" w:rsidP="00926EB3">
      <w:pPr>
        <w:pStyle w:val="ListParagraph"/>
        <w:numPr>
          <w:ilvl w:val="0"/>
          <w:numId w:val="66"/>
        </w:numPr>
      </w:pPr>
      <w:r w:rsidRPr="00C64808">
        <w:t>Chronic Disease and Injury Prevention Epidemiologist</w:t>
      </w:r>
      <w:r>
        <w:t xml:space="preserve">, </w:t>
      </w:r>
      <w:r w:rsidRPr="00C64808">
        <w:t>Betsy Barton</w:t>
      </w:r>
      <w:r>
        <w:t>.</w:t>
      </w:r>
    </w:p>
    <w:p w14:paraId="5EC1067F" w14:textId="77777777" w:rsidR="00544798" w:rsidRDefault="00544798" w:rsidP="00926EB3">
      <w:pPr>
        <w:pStyle w:val="ListParagraph"/>
        <w:numPr>
          <w:ilvl w:val="0"/>
          <w:numId w:val="66"/>
        </w:numPr>
      </w:pPr>
      <w:r w:rsidRPr="00C64808">
        <w:t>Maternal and Child Health Epidemiologist</w:t>
      </w:r>
      <w:r>
        <w:t xml:space="preserve">, </w:t>
      </w:r>
      <w:r w:rsidRPr="00C64808">
        <w:t>Carlos Avalos</w:t>
      </w:r>
      <w:r>
        <w:t>.</w:t>
      </w:r>
    </w:p>
    <w:p w14:paraId="2E231645" w14:textId="77777777" w:rsidR="00544798" w:rsidRDefault="00544798" w:rsidP="00926EB3">
      <w:pPr>
        <w:pStyle w:val="ListParagraph"/>
        <w:numPr>
          <w:ilvl w:val="0"/>
          <w:numId w:val="66"/>
        </w:numPr>
      </w:pPr>
      <w:r w:rsidRPr="00C64808">
        <w:t>Health Equity Epidemiologist Lead</w:t>
      </w:r>
      <w:r>
        <w:t xml:space="preserve">, </w:t>
      </w:r>
      <w:r w:rsidRPr="00C64808">
        <w:t>Linda Kelemen</w:t>
      </w:r>
      <w:r>
        <w:t>.</w:t>
      </w:r>
    </w:p>
    <w:p w14:paraId="5092D415" w14:textId="178D0C5E" w:rsidR="00C9754C" w:rsidRPr="00C64808" w:rsidRDefault="00C9754C" w:rsidP="00926EB3">
      <w:pPr>
        <w:pStyle w:val="ListParagraph"/>
        <w:numPr>
          <w:ilvl w:val="0"/>
          <w:numId w:val="66"/>
        </w:numPr>
      </w:pPr>
      <w:r w:rsidRPr="00C64808">
        <w:t>Director of Community Engagement</w:t>
      </w:r>
      <w:r>
        <w:t xml:space="preserve">, </w:t>
      </w:r>
      <w:r w:rsidRPr="00C64808">
        <w:t>Suzanne Sanders</w:t>
      </w:r>
      <w:r>
        <w:t>.</w:t>
      </w:r>
    </w:p>
    <w:p w14:paraId="131A30A2" w14:textId="77777777" w:rsidR="00544798" w:rsidRPr="00C64808" w:rsidRDefault="00544798" w:rsidP="00926EB3">
      <w:pPr>
        <w:pStyle w:val="ListParagraph"/>
        <w:numPr>
          <w:ilvl w:val="0"/>
          <w:numId w:val="66"/>
        </w:numPr>
      </w:pPr>
      <w:r w:rsidRPr="00C64808">
        <w:lastRenderedPageBreak/>
        <w:t>Population Health Surveillance Director</w:t>
      </w:r>
      <w:r>
        <w:t xml:space="preserve">, </w:t>
      </w:r>
      <w:r w:rsidRPr="00C64808">
        <w:t xml:space="preserve">Josh </w:t>
      </w:r>
      <w:proofErr w:type="spellStart"/>
      <w:r w:rsidRPr="00C64808">
        <w:t>Sellner</w:t>
      </w:r>
      <w:proofErr w:type="spellEnd"/>
      <w:r>
        <w:t>.</w:t>
      </w:r>
    </w:p>
    <w:p w14:paraId="6EC868FA" w14:textId="77777777" w:rsidR="00544798" w:rsidRPr="00C64808" w:rsidRDefault="00544798" w:rsidP="00926EB3">
      <w:pPr>
        <w:pStyle w:val="ListParagraph"/>
        <w:numPr>
          <w:ilvl w:val="0"/>
          <w:numId w:val="66"/>
        </w:numPr>
      </w:pPr>
      <w:r w:rsidRPr="00C64808">
        <w:t>Biostatistics Director</w:t>
      </w:r>
      <w:r>
        <w:t xml:space="preserve">, </w:t>
      </w:r>
      <w:r w:rsidRPr="00C64808">
        <w:t>Jun Tang</w:t>
      </w:r>
      <w:r>
        <w:t>.</w:t>
      </w:r>
    </w:p>
    <w:p w14:paraId="19702C85" w14:textId="77777777" w:rsidR="00544798" w:rsidRPr="00C64808" w:rsidRDefault="00544798" w:rsidP="00926EB3">
      <w:pPr>
        <w:pStyle w:val="ListParagraph"/>
        <w:numPr>
          <w:ilvl w:val="0"/>
          <w:numId w:val="66"/>
        </w:numPr>
      </w:pPr>
      <w:r w:rsidRPr="00C64808">
        <w:t>Medical Consultant</w:t>
      </w:r>
      <w:r>
        <w:t xml:space="preserve">, </w:t>
      </w:r>
      <w:r w:rsidRPr="00C64808">
        <w:t xml:space="preserve">Jonathan </w:t>
      </w:r>
      <w:proofErr w:type="spellStart"/>
      <w:r w:rsidRPr="00C64808">
        <w:t>Knoche</w:t>
      </w:r>
      <w:proofErr w:type="spellEnd"/>
      <w:r>
        <w:t>.</w:t>
      </w:r>
    </w:p>
    <w:p w14:paraId="6B074B97" w14:textId="77777777" w:rsidR="00544798" w:rsidRPr="00C64808" w:rsidRDefault="00544798" w:rsidP="00926EB3">
      <w:pPr>
        <w:pStyle w:val="ListParagraph"/>
        <w:numPr>
          <w:ilvl w:val="0"/>
          <w:numId w:val="66"/>
        </w:numPr>
      </w:pPr>
      <w:r w:rsidRPr="00C64808">
        <w:t>Administrative Coordinator</w:t>
      </w:r>
      <w:r>
        <w:t xml:space="preserve">, </w:t>
      </w:r>
      <w:r w:rsidRPr="00C64808">
        <w:t>Karen Gambrell</w:t>
      </w:r>
      <w:r>
        <w:t>.</w:t>
      </w:r>
    </w:p>
    <w:p w14:paraId="11EBC4A3" w14:textId="77777777" w:rsidR="00544798" w:rsidRDefault="00544798" w:rsidP="00544798"/>
    <w:p w14:paraId="1CE36088" w14:textId="77777777" w:rsidR="00544798" w:rsidRDefault="00544798" w:rsidP="00544798">
      <w:pPr>
        <w:pStyle w:val="Heading4"/>
      </w:pPr>
      <w:bookmarkStart w:id="1121" w:name="_Toc154569733"/>
      <w:bookmarkStart w:id="1122" w:name="_Toc162267764"/>
      <w:r>
        <w:t>LHSC Advisory Committee, by organization.</w:t>
      </w:r>
      <w:bookmarkEnd w:id="1121"/>
      <w:bookmarkEnd w:id="1122"/>
    </w:p>
    <w:p w14:paraId="7D323544" w14:textId="0AC6DF01" w:rsidR="00C9754C" w:rsidRDefault="00C9754C" w:rsidP="00926EB3">
      <w:pPr>
        <w:pStyle w:val="ListParagraph"/>
        <w:numPr>
          <w:ilvl w:val="0"/>
          <w:numId w:val="229"/>
        </w:numPr>
      </w:pPr>
      <w:r>
        <w:t>SC Office of Rural Health, Graham Adams.</w:t>
      </w:r>
    </w:p>
    <w:p w14:paraId="0A3265EC" w14:textId="0A65F0EC" w:rsidR="00C9754C" w:rsidRDefault="00C9754C" w:rsidP="00926EB3">
      <w:pPr>
        <w:pStyle w:val="ListParagraph"/>
        <w:numPr>
          <w:ilvl w:val="0"/>
          <w:numId w:val="229"/>
        </w:numPr>
      </w:pPr>
      <w:r>
        <w:t>SC Department of Health and Environmental Control, Farren Allen.</w:t>
      </w:r>
    </w:p>
    <w:p w14:paraId="4A7CB7B8" w14:textId="03D8531F" w:rsidR="00C9754C" w:rsidRDefault="00C9754C" w:rsidP="00926EB3">
      <w:pPr>
        <w:pStyle w:val="ListParagraph"/>
        <w:numPr>
          <w:ilvl w:val="0"/>
          <w:numId w:val="229"/>
        </w:numPr>
      </w:pPr>
      <w:r>
        <w:t>SC Primary Health Care Association, Chandra Beasley.</w:t>
      </w:r>
    </w:p>
    <w:p w14:paraId="2DA0F565" w14:textId="5CA072A2" w:rsidR="00C9754C" w:rsidRDefault="00C9754C" w:rsidP="00926EB3">
      <w:pPr>
        <w:pStyle w:val="ListParagraph"/>
        <w:numPr>
          <w:ilvl w:val="0"/>
          <w:numId w:val="229"/>
        </w:numPr>
      </w:pPr>
      <w:r>
        <w:t>United Way Association of South Carolina, John-Mark Bell.</w:t>
      </w:r>
    </w:p>
    <w:p w14:paraId="12F2FE95" w14:textId="213C6474" w:rsidR="00C9754C" w:rsidRDefault="00C9754C" w:rsidP="00926EB3">
      <w:pPr>
        <w:pStyle w:val="ListParagraph"/>
        <w:numPr>
          <w:ilvl w:val="0"/>
          <w:numId w:val="229"/>
        </w:numPr>
      </w:pPr>
      <w:r>
        <w:t>SC Department of Health and Environmental Control, Karla Buru.</w:t>
      </w:r>
    </w:p>
    <w:p w14:paraId="0F1D5A45" w14:textId="003C30DC" w:rsidR="00C9754C" w:rsidRDefault="00C9754C" w:rsidP="00926EB3">
      <w:pPr>
        <w:pStyle w:val="ListParagraph"/>
        <w:numPr>
          <w:ilvl w:val="0"/>
          <w:numId w:val="229"/>
        </w:numPr>
      </w:pPr>
      <w:r>
        <w:t>Revenue and Fiscal Affairs Office, Sarah Crawford.</w:t>
      </w:r>
    </w:p>
    <w:p w14:paraId="741CCF1F" w14:textId="41B0224D" w:rsidR="00C9754C" w:rsidRDefault="00C9754C" w:rsidP="00926EB3">
      <w:pPr>
        <w:pStyle w:val="ListParagraph"/>
        <w:numPr>
          <w:ilvl w:val="0"/>
          <w:numId w:val="229"/>
        </w:numPr>
      </w:pPr>
      <w:proofErr w:type="spellStart"/>
      <w:r>
        <w:t>AnMed</w:t>
      </w:r>
      <w:proofErr w:type="spellEnd"/>
      <w:r>
        <w:t xml:space="preserve"> Health, Michael Cunningham.</w:t>
      </w:r>
    </w:p>
    <w:p w14:paraId="1042D219" w14:textId="52908B93" w:rsidR="00C9754C" w:rsidRDefault="00C9754C" w:rsidP="00926EB3">
      <w:pPr>
        <w:pStyle w:val="ListParagraph"/>
        <w:numPr>
          <w:ilvl w:val="0"/>
          <w:numId w:val="229"/>
        </w:numPr>
      </w:pPr>
      <w:r>
        <w:t>Department of Disability and Special Needs, Harley Davis.</w:t>
      </w:r>
    </w:p>
    <w:p w14:paraId="6E82C9E4" w14:textId="72113488" w:rsidR="00C9754C" w:rsidRDefault="00C9754C" w:rsidP="00926EB3">
      <w:pPr>
        <w:pStyle w:val="ListParagraph"/>
        <w:numPr>
          <w:ilvl w:val="0"/>
          <w:numId w:val="229"/>
        </w:numPr>
      </w:pPr>
      <w:r>
        <w:t>SC Department of Health and Environmental Control, Kobra Eghtedary.</w:t>
      </w:r>
    </w:p>
    <w:p w14:paraId="2A88349A" w14:textId="3A4ED5DE" w:rsidR="00C9754C" w:rsidRDefault="00C9754C" w:rsidP="00926EB3">
      <w:pPr>
        <w:pStyle w:val="ListParagraph"/>
        <w:numPr>
          <w:ilvl w:val="0"/>
          <w:numId w:val="229"/>
        </w:numPr>
      </w:pPr>
      <w:r>
        <w:t>AstraZeneca, Morgan Evans.</w:t>
      </w:r>
    </w:p>
    <w:p w14:paraId="4656CCB0" w14:textId="3BA4013B" w:rsidR="00C9754C" w:rsidRDefault="00C9754C" w:rsidP="00926EB3">
      <w:pPr>
        <w:pStyle w:val="ListParagraph"/>
        <w:numPr>
          <w:ilvl w:val="0"/>
          <w:numId w:val="229"/>
        </w:numPr>
      </w:pPr>
      <w:r>
        <w:t>Furman University, Melissa Fair.</w:t>
      </w:r>
    </w:p>
    <w:p w14:paraId="0AF7667D" w14:textId="45FF2318" w:rsidR="00C9754C" w:rsidRDefault="00C9754C" w:rsidP="00926EB3">
      <w:pPr>
        <w:pStyle w:val="ListParagraph"/>
        <w:numPr>
          <w:ilvl w:val="0"/>
          <w:numId w:val="229"/>
        </w:numPr>
      </w:pPr>
      <w:r>
        <w:t>AARP, Charmaine Fuller-Cooper.</w:t>
      </w:r>
    </w:p>
    <w:p w14:paraId="50238820" w14:textId="0A1AB9F9" w:rsidR="00C9754C" w:rsidRDefault="00C9754C" w:rsidP="00926EB3">
      <w:pPr>
        <w:pStyle w:val="ListParagraph"/>
        <w:numPr>
          <w:ilvl w:val="0"/>
          <w:numId w:val="229"/>
        </w:numPr>
      </w:pPr>
      <w:r>
        <w:t>Department of Alcohol and Other Drug Abuse Services, Sara Goldsby.</w:t>
      </w:r>
    </w:p>
    <w:p w14:paraId="7E2A0EBC" w14:textId="258DB281" w:rsidR="00C9754C" w:rsidRDefault="00C9754C" w:rsidP="00926EB3">
      <w:pPr>
        <w:pStyle w:val="ListParagraph"/>
        <w:numPr>
          <w:ilvl w:val="0"/>
          <w:numId w:val="229"/>
        </w:numPr>
      </w:pPr>
      <w:r>
        <w:t xml:space="preserve">Health Sciences Health Innovation Group &amp; Alliance Health Equity Chair, </w:t>
      </w:r>
      <w:proofErr w:type="spellStart"/>
      <w:r>
        <w:t>Marisette</w:t>
      </w:r>
      <w:proofErr w:type="spellEnd"/>
      <w:r>
        <w:t xml:space="preserve"> Hasan.</w:t>
      </w:r>
    </w:p>
    <w:p w14:paraId="2E843DB5" w14:textId="46CA35FF" w:rsidR="00C9754C" w:rsidRDefault="00C9754C" w:rsidP="00926EB3">
      <w:pPr>
        <w:pStyle w:val="ListParagraph"/>
        <w:numPr>
          <w:ilvl w:val="0"/>
          <w:numId w:val="229"/>
        </w:numPr>
      </w:pPr>
      <w:r>
        <w:t>SC Office of Rural Health, Britton Herbert.</w:t>
      </w:r>
    </w:p>
    <w:p w14:paraId="22400287" w14:textId="6662851B" w:rsidR="00C9754C" w:rsidRDefault="00C9754C" w:rsidP="00926EB3">
      <w:pPr>
        <w:pStyle w:val="ListParagraph"/>
        <w:numPr>
          <w:ilvl w:val="0"/>
          <w:numId w:val="229"/>
        </w:numPr>
      </w:pPr>
      <w:r>
        <w:t>Family Connection of SC, Amy Holbert.</w:t>
      </w:r>
    </w:p>
    <w:p w14:paraId="0CADAA3F" w14:textId="5A22F902" w:rsidR="00C9754C" w:rsidRDefault="00C9754C" w:rsidP="00926EB3">
      <w:pPr>
        <w:pStyle w:val="ListParagraph"/>
        <w:numPr>
          <w:ilvl w:val="0"/>
          <w:numId w:val="229"/>
        </w:numPr>
      </w:pPr>
      <w:r>
        <w:t>Department of Health and Human Services, Heather Kirby.</w:t>
      </w:r>
    </w:p>
    <w:p w14:paraId="7D68E503" w14:textId="49179AB1" w:rsidR="00C9754C" w:rsidRDefault="00C9754C" w:rsidP="00926EB3">
      <w:pPr>
        <w:pStyle w:val="ListParagraph"/>
        <w:numPr>
          <w:ilvl w:val="0"/>
          <w:numId w:val="229"/>
        </w:numPr>
      </w:pPr>
      <w:r>
        <w:t>United Way Association of South Carolina, Naomi Lett.</w:t>
      </w:r>
    </w:p>
    <w:p w14:paraId="3C2691C9" w14:textId="31468895" w:rsidR="00C9754C" w:rsidRDefault="00C9754C" w:rsidP="00926EB3">
      <w:pPr>
        <w:pStyle w:val="ListParagraph"/>
        <w:numPr>
          <w:ilvl w:val="0"/>
          <w:numId w:val="229"/>
        </w:numPr>
      </w:pPr>
      <w:r>
        <w:t xml:space="preserve">SC Hospital Association, </w:t>
      </w:r>
      <w:proofErr w:type="spellStart"/>
      <w:r>
        <w:t>Aunyika</w:t>
      </w:r>
      <w:proofErr w:type="spellEnd"/>
      <w:r>
        <w:t xml:space="preserve"> </w:t>
      </w:r>
      <w:proofErr w:type="spellStart"/>
      <w:r>
        <w:t>Moonan</w:t>
      </w:r>
      <w:proofErr w:type="spellEnd"/>
      <w:r>
        <w:t>.</w:t>
      </w:r>
    </w:p>
    <w:p w14:paraId="2EB3A2DD" w14:textId="58761741" w:rsidR="00C9754C" w:rsidRDefault="00C9754C" w:rsidP="00926EB3">
      <w:pPr>
        <w:pStyle w:val="ListParagraph"/>
        <w:numPr>
          <w:ilvl w:val="0"/>
          <w:numId w:val="229"/>
        </w:numPr>
      </w:pPr>
      <w:r>
        <w:t>SC Institute for Medicine and Public Health, Maya Pack.</w:t>
      </w:r>
    </w:p>
    <w:p w14:paraId="3C7BBFC4" w14:textId="0CE4B51D" w:rsidR="00C9754C" w:rsidRDefault="00C9754C" w:rsidP="00926EB3">
      <w:pPr>
        <w:pStyle w:val="ListParagraph"/>
        <w:numPr>
          <w:ilvl w:val="0"/>
          <w:numId w:val="229"/>
        </w:numPr>
      </w:pPr>
      <w:r>
        <w:t>Select Health of South Carolina, Nate Patterson.</w:t>
      </w:r>
    </w:p>
    <w:p w14:paraId="7278A6FB" w14:textId="72456608" w:rsidR="00C9754C" w:rsidRDefault="00C9754C" w:rsidP="00926EB3">
      <w:pPr>
        <w:pStyle w:val="ListParagraph"/>
        <w:numPr>
          <w:ilvl w:val="0"/>
          <w:numId w:val="229"/>
        </w:numPr>
      </w:pPr>
      <w:r>
        <w:t>SC First Steps &amp; Early Childhood Advisory Council, Chelsea Richard.</w:t>
      </w:r>
    </w:p>
    <w:p w14:paraId="19AAD0CA" w14:textId="12F82364" w:rsidR="00C9754C" w:rsidRDefault="00C9754C" w:rsidP="00926EB3">
      <w:pPr>
        <w:pStyle w:val="ListParagraph"/>
        <w:numPr>
          <w:ilvl w:val="0"/>
          <w:numId w:val="229"/>
        </w:numPr>
      </w:pPr>
      <w:r>
        <w:t>SC Thrive, Tricia Richardson.</w:t>
      </w:r>
    </w:p>
    <w:p w14:paraId="4918948C" w14:textId="6F258FB4" w:rsidR="00C9754C" w:rsidRDefault="00C9754C" w:rsidP="00926EB3">
      <w:pPr>
        <w:pStyle w:val="ListParagraph"/>
        <w:numPr>
          <w:ilvl w:val="0"/>
          <w:numId w:val="229"/>
        </w:numPr>
      </w:pPr>
      <w:r>
        <w:t>Wholespire, Kelsey Sanders.</w:t>
      </w:r>
    </w:p>
    <w:p w14:paraId="4F079D6B" w14:textId="41FAF40B" w:rsidR="00C9754C" w:rsidRDefault="00C9754C" w:rsidP="00926EB3">
      <w:pPr>
        <w:pStyle w:val="ListParagraph"/>
        <w:numPr>
          <w:ilvl w:val="0"/>
          <w:numId w:val="229"/>
        </w:numPr>
      </w:pPr>
      <w:r>
        <w:t>Children's Trust of South Carolina, Kayce Singletary.</w:t>
      </w:r>
    </w:p>
    <w:p w14:paraId="722EF48D" w14:textId="247A54EA" w:rsidR="00C9754C" w:rsidRDefault="00C9754C" w:rsidP="00926EB3">
      <w:pPr>
        <w:pStyle w:val="ListParagraph"/>
        <w:numPr>
          <w:ilvl w:val="0"/>
          <w:numId w:val="229"/>
        </w:numPr>
      </w:pPr>
      <w:r>
        <w:t>Department of Education, Katie Smith.</w:t>
      </w:r>
    </w:p>
    <w:p w14:paraId="0E68A788" w14:textId="48465847" w:rsidR="00C9754C" w:rsidRDefault="00C9754C" w:rsidP="00926EB3">
      <w:pPr>
        <w:pStyle w:val="ListParagraph"/>
        <w:numPr>
          <w:ilvl w:val="0"/>
          <w:numId w:val="229"/>
        </w:numPr>
      </w:pPr>
      <w:r>
        <w:t>Wholespire, Meg Stanley.</w:t>
      </w:r>
    </w:p>
    <w:p w14:paraId="5FEFCBDE" w14:textId="21D9234E" w:rsidR="00C9754C" w:rsidRDefault="00C9754C" w:rsidP="00926EB3">
      <w:pPr>
        <w:pStyle w:val="ListParagraph"/>
        <w:numPr>
          <w:ilvl w:val="0"/>
          <w:numId w:val="229"/>
        </w:numPr>
      </w:pPr>
      <w:r>
        <w:t>BlueCross BlueShield of SC &amp; Alliance Chair, Shawn Stinson.</w:t>
      </w:r>
    </w:p>
    <w:p w14:paraId="0D6CFE16" w14:textId="09FF08AB" w:rsidR="00C9754C" w:rsidRDefault="00C9754C" w:rsidP="00926EB3">
      <w:pPr>
        <w:pStyle w:val="ListParagraph"/>
        <w:numPr>
          <w:ilvl w:val="0"/>
          <w:numId w:val="229"/>
        </w:numPr>
      </w:pPr>
      <w:r>
        <w:t xml:space="preserve">SC Institute for Medicine and Public Health, Justina </w:t>
      </w:r>
      <w:proofErr w:type="spellStart"/>
      <w:r>
        <w:t>Suiba</w:t>
      </w:r>
      <w:proofErr w:type="spellEnd"/>
      <w:r>
        <w:t>.</w:t>
      </w:r>
    </w:p>
    <w:p w14:paraId="295C3DD4" w14:textId="5F8BB17C" w:rsidR="00C9754C" w:rsidRDefault="00C9754C" w:rsidP="00926EB3">
      <w:pPr>
        <w:pStyle w:val="ListParagraph"/>
        <w:numPr>
          <w:ilvl w:val="0"/>
          <w:numId w:val="229"/>
        </w:numPr>
      </w:pPr>
      <w:r>
        <w:lastRenderedPageBreak/>
        <w:t xml:space="preserve">SC Medical Association, </w:t>
      </w:r>
      <w:proofErr w:type="spellStart"/>
      <w:r>
        <w:t>Richele</w:t>
      </w:r>
      <w:proofErr w:type="spellEnd"/>
      <w:r>
        <w:t xml:space="preserve"> Taylor.</w:t>
      </w:r>
    </w:p>
    <w:p w14:paraId="52BCAB75" w14:textId="348B5706" w:rsidR="00C9754C" w:rsidRDefault="00C9754C" w:rsidP="00926EB3">
      <w:pPr>
        <w:pStyle w:val="ListParagraph"/>
        <w:numPr>
          <w:ilvl w:val="0"/>
          <w:numId w:val="229"/>
        </w:numPr>
      </w:pPr>
      <w:r>
        <w:t>Department of Social Services, Diana Tester.</w:t>
      </w:r>
    </w:p>
    <w:p w14:paraId="2B0A7F3F" w14:textId="17D9B7B8" w:rsidR="00C9754C" w:rsidRDefault="00C9754C" w:rsidP="00926EB3">
      <w:pPr>
        <w:pStyle w:val="ListParagraph"/>
        <w:numPr>
          <w:ilvl w:val="0"/>
          <w:numId w:val="229"/>
        </w:numPr>
      </w:pPr>
      <w:r>
        <w:t>SC Department of Health and Environmental Control, Brannon Traxler.</w:t>
      </w:r>
    </w:p>
    <w:p w14:paraId="4CC06243" w14:textId="79BC823F" w:rsidR="00C9754C" w:rsidRDefault="00C9754C" w:rsidP="00926EB3">
      <w:pPr>
        <w:pStyle w:val="ListParagraph"/>
        <w:numPr>
          <w:ilvl w:val="0"/>
          <w:numId w:val="229"/>
        </w:numPr>
      </w:pPr>
      <w:r>
        <w:t>Department of Mental Health, Daniel Walker.</w:t>
      </w:r>
    </w:p>
    <w:p w14:paraId="0B867E08" w14:textId="6FB6977A" w:rsidR="00C9754C" w:rsidRDefault="00C9754C" w:rsidP="00926EB3">
      <w:pPr>
        <w:pStyle w:val="ListParagraph"/>
        <w:numPr>
          <w:ilvl w:val="0"/>
          <w:numId w:val="229"/>
        </w:numPr>
      </w:pPr>
      <w:r>
        <w:t>Department of Juvenile Justice, Craig Wheatley.</w:t>
      </w:r>
    </w:p>
    <w:p w14:paraId="425F7010" w14:textId="5CA89653" w:rsidR="00C9754C" w:rsidRDefault="00C9754C" w:rsidP="00926EB3">
      <w:pPr>
        <w:pStyle w:val="ListParagraph"/>
        <w:numPr>
          <w:ilvl w:val="0"/>
          <w:numId w:val="229"/>
        </w:numPr>
      </w:pPr>
      <w:r>
        <w:t>SC Primary Health Care Association, Vicki Young.</w:t>
      </w:r>
    </w:p>
    <w:p w14:paraId="57371738" w14:textId="77777777" w:rsidR="00C9754C" w:rsidRPr="00C9754C" w:rsidRDefault="00C9754C" w:rsidP="00C9754C">
      <w:pPr>
        <w:pStyle w:val="ListParagraph"/>
      </w:pPr>
    </w:p>
    <w:p w14:paraId="706FCB95" w14:textId="77777777" w:rsidR="00544798" w:rsidRDefault="00544798" w:rsidP="00544798">
      <w:pPr>
        <w:pStyle w:val="Heading4"/>
      </w:pPr>
      <w:bookmarkStart w:id="1123" w:name="_Toc154569734"/>
      <w:bookmarkStart w:id="1124" w:name="_Toc162267765"/>
      <w:r>
        <w:t>DHEC SHA Workgroups, by chapter.</w:t>
      </w:r>
      <w:bookmarkEnd w:id="1123"/>
      <w:bookmarkEnd w:id="1124"/>
    </w:p>
    <w:p w14:paraId="0BE1F7D6" w14:textId="77777777" w:rsidR="00544798" w:rsidRDefault="00544798" w:rsidP="00926EB3">
      <w:pPr>
        <w:pStyle w:val="ListParagraph"/>
        <w:numPr>
          <w:ilvl w:val="0"/>
          <w:numId w:val="67"/>
        </w:numPr>
      </w:pPr>
      <w:r>
        <w:t>South Carolina Population.</w:t>
      </w:r>
    </w:p>
    <w:p w14:paraId="76ED8503" w14:textId="77777777" w:rsidR="00544798" w:rsidRDefault="00544798" w:rsidP="00926EB3">
      <w:pPr>
        <w:pStyle w:val="ListParagraph"/>
        <w:numPr>
          <w:ilvl w:val="1"/>
          <w:numId w:val="67"/>
        </w:numPr>
      </w:pPr>
      <w:r>
        <w:t xml:space="preserve">Katherine </w:t>
      </w:r>
      <w:proofErr w:type="spellStart"/>
      <w:r>
        <w:t>O’Shield</w:t>
      </w:r>
      <w:proofErr w:type="spellEnd"/>
      <w:r>
        <w:t xml:space="preserve"> (Lead).</w:t>
      </w:r>
    </w:p>
    <w:p w14:paraId="1114ADBE" w14:textId="77777777" w:rsidR="00544798" w:rsidRDefault="00544798" w:rsidP="00926EB3">
      <w:pPr>
        <w:pStyle w:val="ListParagraph"/>
        <w:numPr>
          <w:ilvl w:val="1"/>
          <w:numId w:val="67"/>
        </w:numPr>
      </w:pPr>
      <w:r>
        <w:t>Claire Carey.</w:t>
      </w:r>
    </w:p>
    <w:p w14:paraId="615A09D8" w14:textId="77777777" w:rsidR="00544798" w:rsidRDefault="00544798" w:rsidP="00926EB3">
      <w:pPr>
        <w:pStyle w:val="ListParagraph"/>
        <w:numPr>
          <w:ilvl w:val="1"/>
          <w:numId w:val="67"/>
        </w:numPr>
      </w:pPr>
      <w:r>
        <w:t xml:space="preserve">Emmanuelle Durant. </w:t>
      </w:r>
    </w:p>
    <w:p w14:paraId="563889AB" w14:textId="77777777" w:rsidR="00544798" w:rsidRDefault="00544798" w:rsidP="00926EB3">
      <w:pPr>
        <w:pStyle w:val="ListParagraph"/>
        <w:numPr>
          <w:ilvl w:val="0"/>
          <w:numId w:val="67"/>
        </w:numPr>
      </w:pPr>
      <w:r>
        <w:t>Health Equity.</w:t>
      </w:r>
    </w:p>
    <w:p w14:paraId="52065C08" w14:textId="77777777" w:rsidR="00544798" w:rsidRPr="00A8025A" w:rsidRDefault="00544798" w:rsidP="00926EB3">
      <w:pPr>
        <w:pStyle w:val="ListParagraph"/>
        <w:numPr>
          <w:ilvl w:val="1"/>
          <w:numId w:val="67"/>
        </w:numPr>
      </w:pPr>
      <w:r w:rsidRPr="00A8025A">
        <w:t>Linda Kelemen (Lead)</w:t>
      </w:r>
      <w:r>
        <w:t>.</w:t>
      </w:r>
    </w:p>
    <w:p w14:paraId="590582DC" w14:textId="77777777" w:rsidR="00544798" w:rsidRPr="00A8025A" w:rsidRDefault="00544798" w:rsidP="00926EB3">
      <w:pPr>
        <w:pStyle w:val="ListParagraph"/>
        <w:numPr>
          <w:ilvl w:val="1"/>
          <w:numId w:val="67"/>
        </w:numPr>
      </w:pPr>
      <w:r w:rsidRPr="00A8025A">
        <w:t>Rebecca Williams Agee</w:t>
      </w:r>
      <w:r>
        <w:t>.</w:t>
      </w:r>
    </w:p>
    <w:p w14:paraId="437A179A" w14:textId="77777777" w:rsidR="00544798" w:rsidRPr="00A8025A" w:rsidRDefault="00544798" w:rsidP="00926EB3">
      <w:pPr>
        <w:pStyle w:val="ListParagraph"/>
        <w:numPr>
          <w:ilvl w:val="1"/>
          <w:numId w:val="67"/>
        </w:numPr>
      </w:pPr>
      <w:r w:rsidRPr="00A8025A">
        <w:t>Marlene Al-</w:t>
      </w:r>
      <w:proofErr w:type="spellStart"/>
      <w:r w:rsidRPr="00A8025A">
        <w:t>Barwani</w:t>
      </w:r>
      <w:proofErr w:type="spellEnd"/>
      <w:r>
        <w:t>.</w:t>
      </w:r>
    </w:p>
    <w:p w14:paraId="3DE83514" w14:textId="77777777" w:rsidR="00544798" w:rsidRPr="00A8025A" w:rsidRDefault="00544798" w:rsidP="00926EB3">
      <w:pPr>
        <w:pStyle w:val="ListParagraph"/>
        <w:numPr>
          <w:ilvl w:val="1"/>
          <w:numId w:val="67"/>
        </w:numPr>
      </w:pPr>
      <w:r w:rsidRPr="00A8025A">
        <w:t>Jennifer Almeda</w:t>
      </w:r>
      <w:r>
        <w:t>.</w:t>
      </w:r>
    </w:p>
    <w:p w14:paraId="10491AB5" w14:textId="77777777" w:rsidR="00544798" w:rsidRPr="00A8025A" w:rsidRDefault="00544798" w:rsidP="00926EB3">
      <w:pPr>
        <w:pStyle w:val="ListParagraph"/>
        <w:numPr>
          <w:ilvl w:val="1"/>
          <w:numId w:val="67"/>
        </w:numPr>
      </w:pPr>
      <w:r w:rsidRPr="00A8025A">
        <w:t>Emily Ash</w:t>
      </w:r>
      <w:r>
        <w:t>.</w:t>
      </w:r>
    </w:p>
    <w:p w14:paraId="5F924E72" w14:textId="77777777" w:rsidR="00544798" w:rsidRPr="00A8025A" w:rsidRDefault="00544798" w:rsidP="00926EB3">
      <w:pPr>
        <w:pStyle w:val="ListParagraph"/>
        <w:numPr>
          <w:ilvl w:val="1"/>
          <w:numId w:val="67"/>
        </w:numPr>
      </w:pPr>
      <w:r w:rsidRPr="00A8025A">
        <w:t>Claire Carey</w:t>
      </w:r>
      <w:r>
        <w:t>.</w:t>
      </w:r>
    </w:p>
    <w:p w14:paraId="0AD84A34" w14:textId="77777777" w:rsidR="00544798" w:rsidRPr="00A8025A" w:rsidRDefault="00544798" w:rsidP="00926EB3">
      <w:pPr>
        <w:pStyle w:val="ListParagraph"/>
        <w:numPr>
          <w:ilvl w:val="1"/>
          <w:numId w:val="67"/>
        </w:numPr>
      </w:pPr>
      <w:r w:rsidRPr="00A8025A">
        <w:t>Anni Crook</w:t>
      </w:r>
      <w:r>
        <w:t>.</w:t>
      </w:r>
    </w:p>
    <w:p w14:paraId="26A357C0" w14:textId="77777777" w:rsidR="00544798" w:rsidRPr="00A8025A" w:rsidRDefault="00544798" w:rsidP="00926EB3">
      <w:pPr>
        <w:pStyle w:val="ListParagraph"/>
        <w:numPr>
          <w:ilvl w:val="1"/>
          <w:numId w:val="67"/>
        </w:numPr>
      </w:pPr>
      <w:r w:rsidRPr="00A8025A">
        <w:t>Michael Dickey</w:t>
      </w:r>
      <w:r>
        <w:t>.</w:t>
      </w:r>
    </w:p>
    <w:p w14:paraId="636A36B1" w14:textId="77777777" w:rsidR="00544798" w:rsidRPr="00A8025A" w:rsidRDefault="00544798" w:rsidP="00926EB3">
      <w:pPr>
        <w:pStyle w:val="ListParagraph"/>
        <w:numPr>
          <w:ilvl w:val="1"/>
          <w:numId w:val="67"/>
        </w:numPr>
      </w:pPr>
      <w:r w:rsidRPr="00A8025A">
        <w:t>Emmanuelle Durant</w:t>
      </w:r>
      <w:r>
        <w:t>.</w:t>
      </w:r>
    </w:p>
    <w:p w14:paraId="7CC10B40" w14:textId="77777777" w:rsidR="00544798" w:rsidRPr="00A8025A" w:rsidRDefault="00544798" w:rsidP="00926EB3">
      <w:pPr>
        <w:pStyle w:val="ListParagraph"/>
        <w:numPr>
          <w:ilvl w:val="1"/>
          <w:numId w:val="67"/>
        </w:numPr>
      </w:pPr>
      <w:r w:rsidRPr="00A8025A">
        <w:t xml:space="preserve">Anna </w:t>
      </w:r>
      <w:proofErr w:type="spellStart"/>
      <w:r w:rsidRPr="00A8025A">
        <w:t>Guryan</w:t>
      </w:r>
      <w:proofErr w:type="spellEnd"/>
      <w:r>
        <w:t>.</w:t>
      </w:r>
    </w:p>
    <w:p w14:paraId="14D9861F" w14:textId="77777777" w:rsidR="00544798" w:rsidRPr="00A8025A" w:rsidRDefault="00544798" w:rsidP="00926EB3">
      <w:pPr>
        <w:pStyle w:val="ListParagraph"/>
        <w:numPr>
          <w:ilvl w:val="1"/>
          <w:numId w:val="67"/>
        </w:numPr>
      </w:pPr>
      <w:r w:rsidRPr="00A8025A">
        <w:t>Mark Hendrix</w:t>
      </w:r>
      <w:r>
        <w:t>.</w:t>
      </w:r>
    </w:p>
    <w:p w14:paraId="77FB0E14" w14:textId="77777777" w:rsidR="00544798" w:rsidRPr="00A8025A" w:rsidRDefault="00544798" w:rsidP="00926EB3">
      <w:pPr>
        <w:pStyle w:val="ListParagraph"/>
        <w:numPr>
          <w:ilvl w:val="1"/>
          <w:numId w:val="67"/>
        </w:numPr>
      </w:pPr>
      <w:r w:rsidRPr="00A8025A">
        <w:t>Keisha Long</w:t>
      </w:r>
      <w:r>
        <w:t>.</w:t>
      </w:r>
    </w:p>
    <w:p w14:paraId="755805A8" w14:textId="77777777" w:rsidR="00544798" w:rsidRPr="00A8025A" w:rsidRDefault="00544798" w:rsidP="00926EB3">
      <w:pPr>
        <w:pStyle w:val="ListParagraph"/>
        <w:numPr>
          <w:ilvl w:val="1"/>
          <w:numId w:val="67"/>
        </w:numPr>
      </w:pPr>
      <w:r w:rsidRPr="00A8025A">
        <w:t>Terrance Middleton</w:t>
      </w:r>
      <w:r>
        <w:t>.</w:t>
      </w:r>
    </w:p>
    <w:p w14:paraId="4CDDE98E" w14:textId="77777777" w:rsidR="00544798" w:rsidRPr="00A8025A" w:rsidRDefault="00544798" w:rsidP="00926EB3">
      <w:pPr>
        <w:pStyle w:val="ListParagraph"/>
        <w:numPr>
          <w:ilvl w:val="1"/>
          <w:numId w:val="67"/>
        </w:numPr>
      </w:pPr>
      <w:r w:rsidRPr="00A8025A">
        <w:t>Kasey O’Neil</w:t>
      </w:r>
      <w:r>
        <w:t>.</w:t>
      </w:r>
    </w:p>
    <w:p w14:paraId="7855B93C" w14:textId="77777777" w:rsidR="00544798" w:rsidRPr="00A8025A" w:rsidRDefault="00544798" w:rsidP="00926EB3">
      <w:pPr>
        <w:pStyle w:val="ListParagraph"/>
        <w:numPr>
          <w:ilvl w:val="1"/>
          <w:numId w:val="67"/>
        </w:numPr>
      </w:pPr>
      <w:r w:rsidRPr="00A8025A">
        <w:t xml:space="preserve">Joshua </w:t>
      </w:r>
      <w:proofErr w:type="spellStart"/>
      <w:r w:rsidRPr="00A8025A">
        <w:t>Sellner</w:t>
      </w:r>
      <w:proofErr w:type="spellEnd"/>
      <w:r>
        <w:t>.</w:t>
      </w:r>
    </w:p>
    <w:p w14:paraId="0BB02C09" w14:textId="77777777" w:rsidR="00544798" w:rsidRDefault="00544798" w:rsidP="00926EB3">
      <w:pPr>
        <w:pStyle w:val="ListParagraph"/>
        <w:numPr>
          <w:ilvl w:val="1"/>
          <w:numId w:val="67"/>
        </w:numPr>
      </w:pPr>
      <w:r w:rsidRPr="00A8025A">
        <w:t>Jessica Threatt</w:t>
      </w:r>
      <w:r>
        <w:t>.</w:t>
      </w:r>
    </w:p>
    <w:p w14:paraId="009604B4" w14:textId="77777777" w:rsidR="00544798" w:rsidRDefault="00544798" w:rsidP="00926EB3">
      <w:pPr>
        <w:pStyle w:val="ListParagraph"/>
        <w:numPr>
          <w:ilvl w:val="0"/>
          <w:numId w:val="67"/>
        </w:numPr>
      </w:pPr>
      <w:r>
        <w:t xml:space="preserve">Healthy Communities. </w:t>
      </w:r>
    </w:p>
    <w:p w14:paraId="163F200C" w14:textId="77777777" w:rsidR="00544798" w:rsidRPr="00A8025A" w:rsidRDefault="00544798" w:rsidP="00926EB3">
      <w:pPr>
        <w:pStyle w:val="ListParagraph"/>
        <w:numPr>
          <w:ilvl w:val="1"/>
          <w:numId w:val="67"/>
        </w:numPr>
      </w:pPr>
      <w:r w:rsidRPr="00A8025A">
        <w:t>Katherine O’Shields (Lead)</w:t>
      </w:r>
      <w:r>
        <w:t>.</w:t>
      </w:r>
    </w:p>
    <w:p w14:paraId="0EBD17BF" w14:textId="77777777" w:rsidR="00544798" w:rsidRPr="00A8025A" w:rsidRDefault="00544798" w:rsidP="00926EB3">
      <w:pPr>
        <w:pStyle w:val="ListParagraph"/>
        <w:numPr>
          <w:ilvl w:val="1"/>
          <w:numId w:val="67"/>
        </w:numPr>
      </w:pPr>
      <w:r w:rsidRPr="00A8025A">
        <w:t>Betsy Barton</w:t>
      </w:r>
      <w:r>
        <w:t>.</w:t>
      </w:r>
    </w:p>
    <w:p w14:paraId="0744BFE3" w14:textId="77777777" w:rsidR="00544798" w:rsidRPr="00A8025A" w:rsidRDefault="00544798" w:rsidP="00926EB3">
      <w:pPr>
        <w:pStyle w:val="ListParagraph"/>
        <w:numPr>
          <w:ilvl w:val="1"/>
          <w:numId w:val="67"/>
        </w:numPr>
      </w:pPr>
      <w:r w:rsidRPr="00A8025A">
        <w:t xml:space="preserve">Dan </w:t>
      </w:r>
      <w:proofErr w:type="spellStart"/>
      <w:r w:rsidRPr="00A8025A">
        <w:t>Drociuk</w:t>
      </w:r>
      <w:proofErr w:type="spellEnd"/>
      <w:r>
        <w:t>.</w:t>
      </w:r>
    </w:p>
    <w:p w14:paraId="738219DA" w14:textId="77777777" w:rsidR="00544798" w:rsidRPr="00A8025A" w:rsidRDefault="00544798" w:rsidP="00926EB3">
      <w:pPr>
        <w:pStyle w:val="ListParagraph"/>
        <w:numPr>
          <w:ilvl w:val="1"/>
          <w:numId w:val="67"/>
        </w:numPr>
      </w:pPr>
      <w:r w:rsidRPr="00A8025A">
        <w:t>Alison Jamison-</w:t>
      </w:r>
      <w:proofErr w:type="spellStart"/>
      <w:r w:rsidRPr="00A8025A">
        <w:t>Hagwood</w:t>
      </w:r>
      <w:proofErr w:type="spellEnd"/>
      <w:r>
        <w:t>.</w:t>
      </w:r>
    </w:p>
    <w:p w14:paraId="6126B319" w14:textId="77777777" w:rsidR="00544798" w:rsidRPr="00A8025A" w:rsidRDefault="00544798" w:rsidP="00926EB3">
      <w:pPr>
        <w:pStyle w:val="ListParagraph"/>
        <w:numPr>
          <w:ilvl w:val="1"/>
          <w:numId w:val="67"/>
        </w:numPr>
      </w:pPr>
      <w:r w:rsidRPr="00A8025A">
        <w:t>Mark Jordan</w:t>
      </w:r>
      <w:r>
        <w:t>.</w:t>
      </w:r>
    </w:p>
    <w:p w14:paraId="24B1A1B9" w14:textId="77777777" w:rsidR="00544798" w:rsidRPr="00A8025A" w:rsidRDefault="00544798" w:rsidP="00926EB3">
      <w:pPr>
        <w:pStyle w:val="ListParagraph"/>
        <w:numPr>
          <w:ilvl w:val="1"/>
          <w:numId w:val="67"/>
        </w:numPr>
      </w:pPr>
      <w:r w:rsidRPr="00A8025A">
        <w:t>Patricia Kopp</w:t>
      </w:r>
      <w:r>
        <w:t>.</w:t>
      </w:r>
    </w:p>
    <w:p w14:paraId="4D95EF4D" w14:textId="77777777" w:rsidR="00544798" w:rsidRPr="00A8025A" w:rsidRDefault="00544798" w:rsidP="00926EB3">
      <w:pPr>
        <w:pStyle w:val="ListParagraph"/>
        <w:numPr>
          <w:ilvl w:val="1"/>
          <w:numId w:val="67"/>
        </w:numPr>
      </w:pPr>
      <w:r w:rsidRPr="00A8025A">
        <w:t>Lori Phillips</w:t>
      </w:r>
      <w:r>
        <w:t>.</w:t>
      </w:r>
    </w:p>
    <w:p w14:paraId="0C0A468D" w14:textId="77777777" w:rsidR="00544798" w:rsidRPr="00A8025A" w:rsidRDefault="00544798" w:rsidP="00926EB3">
      <w:pPr>
        <w:pStyle w:val="ListParagraph"/>
        <w:numPr>
          <w:ilvl w:val="1"/>
          <w:numId w:val="67"/>
        </w:numPr>
      </w:pPr>
      <w:r w:rsidRPr="00A8025A">
        <w:lastRenderedPageBreak/>
        <w:t>Scott Reynolds</w:t>
      </w:r>
      <w:r>
        <w:t>.</w:t>
      </w:r>
    </w:p>
    <w:p w14:paraId="01414014" w14:textId="77777777" w:rsidR="00544798" w:rsidRPr="00A8025A" w:rsidRDefault="00544798" w:rsidP="00926EB3">
      <w:pPr>
        <w:pStyle w:val="ListParagraph"/>
        <w:numPr>
          <w:ilvl w:val="1"/>
          <w:numId w:val="67"/>
        </w:numPr>
      </w:pPr>
      <w:r w:rsidRPr="00A8025A">
        <w:t>Sunanda Sarkar</w:t>
      </w:r>
      <w:r>
        <w:t>.</w:t>
      </w:r>
    </w:p>
    <w:p w14:paraId="3F44033A" w14:textId="77777777" w:rsidR="00544798" w:rsidRDefault="00544798" w:rsidP="00926EB3">
      <w:pPr>
        <w:pStyle w:val="ListParagraph"/>
        <w:numPr>
          <w:ilvl w:val="1"/>
          <w:numId w:val="67"/>
        </w:numPr>
      </w:pPr>
      <w:r w:rsidRPr="00A8025A">
        <w:t>Jessica Threatt</w:t>
      </w:r>
      <w:r>
        <w:t>.</w:t>
      </w:r>
    </w:p>
    <w:p w14:paraId="2F3C983F" w14:textId="77777777" w:rsidR="00544798" w:rsidRDefault="00544798" w:rsidP="00926EB3">
      <w:pPr>
        <w:pStyle w:val="ListParagraph"/>
        <w:numPr>
          <w:ilvl w:val="0"/>
          <w:numId w:val="67"/>
        </w:numPr>
      </w:pPr>
      <w:r>
        <w:t>Healthy Mothers and Infants.</w:t>
      </w:r>
    </w:p>
    <w:p w14:paraId="42A97577" w14:textId="77777777" w:rsidR="00544798" w:rsidRPr="00A8025A" w:rsidRDefault="00544798" w:rsidP="00926EB3">
      <w:pPr>
        <w:pStyle w:val="ListParagraph"/>
        <w:numPr>
          <w:ilvl w:val="1"/>
          <w:numId w:val="67"/>
        </w:numPr>
      </w:pPr>
      <w:r w:rsidRPr="00A8025A">
        <w:t>Carlos Avalos (Lead)</w:t>
      </w:r>
      <w:r>
        <w:t>.</w:t>
      </w:r>
    </w:p>
    <w:p w14:paraId="7A0C2221" w14:textId="77777777" w:rsidR="00544798" w:rsidRPr="00A8025A" w:rsidRDefault="00544798" w:rsidP="00926EB3">
      <w:pPr>
        <w:pStyle w:val="ListParagraph"/>
        <w:numPr>
          <w:ilvl w:val="1"/>
          <w:numId w:val="67"/>
        </w:numPr>
      </w:pPr>
      <w:proofErr w:type="spellStart"/>
      <w:r w:rsidRPr="00A8025A">
        <w:t>Portavia</w:t>
      </w:r>
      <w:proofErr w:type="spellEnd"/>
      <w:r w:rsidRPr="00A8025A">
        <w:t xml:space="preserve"> Chandler</w:t>
      </w:r>
      <w:r>
        <w:t>.</w:t>
      </w:r>
    </w:p>
    <w:p w14:paraId="3E864C44" w14:textId="77777777" w:rsidR="00544798" w:rsidRPr="00A8025A" w:rsidRDefault="00544798" w:rsidP="00926EB3">
      <w:pPr>
        <w:pStyle w:val="ListParagraph"/>
        <w:numPr>
          <w:ilvl w:val="1"/>
          <w:numId w:val="67"/>
        </w:numPr>
      </w:pPr>
      <w:proofErr w:type="spellStart"/>
      <w:r w:rsidRPr="00A8025A">
        <w:t>Andra</w:t>
      </w:r>
      <w:proofErr w:type="spellEnd"/>
      <w:r w:rsidRPr="00A8025A">
        <w:t xml:space="preserve"> Cummings</w:t>
      </w:r>
      <w:r>
        <w:t>.</w:t>
      </w:r>
    </w:p>
    <w:p w14:paraId="4128A558" w14:textId="77777777" w:rsidR="00544798" w:rsidRPr="00A8025A" w:rsidRDefault="00544798" w:rsidP="00926EB3">
      <w:pPr>
        <w:pStyle w:val="ListParagraph"/>
        <w:numPr>
          <w:ilvl w:val="1"/>
          <w:numId w:val="67"/>
        </w:numPr>
      </w:pPr>
      <w:r w:rsidRPr="00A8025A">
        <w:t>Mara Dempsey</w:t>
      </w:r>
      <w:r>
        <w:t>.</w:t>
      </w:r>
    </w:p>
    <w:p w14:paraId="4F5BF63D" w14:textId="77777777" w:rsidR="00544798" w:rsidRPr="00A8025A" w:rsidRDefault="00544798" w:rsidP="00926EB3">
      <w:pPr>
        <w:pStyle w:val="ListParagraph"/>
        <w:numPr>
          <w:ilvl w:val="1"/>
          <w:numId w:val="67"/>
        </w:numPr>
      </w:pPr>
      <w:r w:rsidRPr="00A8025A">
        <w:t xml:space="preserve">Vinita </w:t>
      </w:r>
      <w:proofErr w:type="spellStart"/>
      <w:r w:rsidRPr="00A8025A">
        <w:t>Leedom</w:t>
      </w:r>
      <w:proofErr w:type="spellEnd"/>
      <w:r>
        <w:t>.</w:t>
      </w:r>
    </w:p>
    <w:p w14:paraId="160250C3" w14:textId="77777777" w:rsidR="00544798" w:rsidRDefault="00544798" w:rsidP="00926EB3">
      <w:pPr>
        <w:pStyle w:val="ListParagraph"/>
        <w:numPr>
          <w:ilvl w:val="1"/>
          <w:numId w:val="67"/>
        </w:numPr>
      </w:pPr>
      <w:r w:rsidRPr="00A8025A">
        <w:t xml:space="preserve">Nick </w:t>
      </w:r>
      <w:proofErr w:type="spellStart"/>
      <w:r w:rsidRPr="00A8025A">
        <w:t>Resciniti</w:t>
      </w:r>
      <w:proofErr w:type="spellEnd"/>
      <w:r>
        <w:t>.</w:t>
      </w:r>
    </w:p>
    <w:p w14:paraId="71E11111" w14:textId="77777777" w:rsidR="00544798" w:rsidRDefault="00544798" w:rsidP="00926EB3">
      <w:pPr>
        <w:pStyle w:val="ListParagraph"/>
        <w:numPr>
          <w:ilvl w:val="1"/>
          <w:numId w:val="67"/>
        </w:numPr>
      </w:pPr>
      <w:r>
        <w:t>Kim Seals.</w:t>
      </w:r>
    </w:p>
    <w:p w14:paraId="6258BD46" w14:textId="77777777" w:rsidR="00544798" w:rsidRDefault="00544798" w:rsidP="00926EB3">
      <w:pPr>
        <w:pStyle w:val="ListParagraph"/>
        <w:numPr>
          <w:ilvl w:val="1"/>
          <w:numId w:val="67"/>
        </w:numPr>
      </w:pPr>
      <w:r>
        <w:t xml:space="preserve">Joshua </w:t>
      </w:r>
      <w:proofErr w:type="spellStart"/>
      <w:r>
        <w:t>Sellner</w:t>
      </w:r>
      <w:proofErr w:type="spellEnd"/>
      <w:r>
        <w:t>.</w:t>
      </w:r>
    </w:p>
    <w:p w14:paraId="01620944" w14:textId="77777777" w:rsidR="00544798" w:rsidRDefault="00544798" w:rsidP="00926EB3">
      <w:pPr>
        <w:pStyle w:val="ListParagraph"/>
        <w:numPr>
          <w:ilvl w:val="1"/>
          <w:numId w:val="67"/>
        </w:numPr>
      </w:pPr>
      <w:r>
        <w:t xml:space="preserve">Kristen Shealy. </w:t>
      </w:r>
    </w:p>
    <w:p w14:paraId="290A1939" w14:textId="77777777" w:rsidR="00544798" w:rsidRDefault="00544798" w:rsidP="00926EB3">
      <w:pPr>
        <w:pStyle w:val="ListParagraph"/>
        <w:numPr>
          <w:ilvl w:val="0"/>
          <w:numId w:val="67"/>
        </w:numPr>
      </w:pPr>
      <w:r>
        <w:t>Healthy Children &amp; Adolescents.</w:t>
      </w:r>
    </w:p>
    <w:p w14:paraId="037656EF" w14:textId="77777777" w:rsidR="00544798" w:rsidRPr="00A8025A" w:rsidRDefault="00544798" w:rsidP="00926EB3">
      <w:pPr>
        <w:pStyle w:val="ListParagraph"/>
        <w:numPr>
          <w:ilvl w:val="1"/>
          <w:numId w:val="67"/>
        </w:numPr>
      </w:pPr>
      <w:r w:rsidRPr="00A8025A">
        <w:t>Carlos Avalos (Lead)</w:t>
      </w:r>
      <w:r>
        <w:t>.</w:t>
      </w:r>
    </w:p>
    <w:p w14:paraId="6DF1C8C7" w14:textId="77777777" w:rsidR="00544798" w:rsidRPr="00A8025A" w:rsidRDefault="00544798" w:rsidP="00926EB3">
      <w:pPr>
        <w:pStyle w:val="ListParagraph"/>
        <w:numPr>
          <w:ilvl w:val="1"/>
          <w:numId w:val="67"/>
        </w:numPr>
      </w:pPr>
      <w:r w:rsidRPr="00A8025A">
        <w:t>Emily Ash</w:t>
      </w:r>
      <w:r>
        <w:t>.</w:t>
      </w:r>
    </w:p>
    <w:p w14:paraId="6FB07A75" w14:textId="77777777" w:rsidR="00544798" w:rsidRPr="00A8025A" w:rsidRDefault="00544798" w:rsidP="00926EB3">
      <w:pPr>
        <w:pStyle w:val="ListParagraph"/>
        <w:numPr>
          <w:ilvl w:val="1"/>
          <w:numId w:val="67"/>
        </w:numPr>
      </w:pPr>
      <w:r w:rsidRPr="00A8025A">
        <w:t>Erica Ayers</w:t>
      </w:r>
      <w:r>
        <w:t>.</w:t>
      </w:r>
      <w:r w:rsidRPr="00A8025A">
        <w:t xml:space="preserve"> </w:t>
      </w:r>
    </w:p>
    <w:p w14:paraId="6056BBD6" w14:textId="77777777" w:rsidR="00544798" w:rsidRPr="00A8025A" w:rsidRDefault="00544798" w:rsidP="00926EB3">
      <w:pPr>
        <w:pStyle w:val="ListParagraph"/>
        <w:numPr>
          <w:ilvl w:val="1"/>
          <w:numId w:val="67"/>
        </w:numPr>
      </w:pPr>
      <w:r w:rsidRPr="00A8025A">
        <w:t>Anna Bleasdale</w:t>
      </w:r>
      <w:r>
        <w:t>.</w:t>
      </w:r>
    </w:p>
    <w:p w14:paraId="7A70D8C8" w14:textId="77777777" w:rsidR="00544798" w:rsidRPr="00A8025A" w:rsidRDefault="00544798" w:rsidP="00926EB3">
      <w:pPr>
        <w:pStyle w:val="ListParagraph"/>
        <w:numPr>
          <w:ilvl w:val="1"/>
          <w:numId w:val="67"/>
        </w:numPr>
      </w:pPr>
      <w:proofErr w:type="spellStart"/>
      <w:r w:rsidRPr="00A8025A">
        <w:t>Portavia</w:t>
      </w:r>
      <w:proofErr w:type="spellEnd"/>
      <w:r w:rsidRPr="00A8025A">
        <w:t xml:space="preserve"> Chandler</w:t>
      </w:r>
      <w:r>
        <w:t>.</w:t>
      </w:r>
      <w:r w:rsidRPr="00A8025A">
        <w:t xml:space="preserve"> </w:t>
      </w:r>
    </w:p>
    <w:p w14:paraId="56395AE7" w14:textId="77777777" w:rsidR="00544798" w:rsidRPr="00A8025A" w:rsidRDefault="00544798" w:rsidP="00926EB3">
      <w:pPr>
        <w:pStyle w:val="ListParagraph"/>
        <w:numPr>
          <w:ilvl w:val="1"/>
          <w:numId w:val="67"/>
        </w:numPr>
      </w:pPr>
      <w:r w:rsidRPr="00A8025A">
        <w:t xml:space="preserve">Stephanie </w:t>
      </w:r>
      <w:proofErr w:type="spellStart"/>
      <w:r w:rsidRPr="00A8025A">
        <w:t>Chiodini</w:t>
      </w:r>
      <w:proofErr w:type="spellEnd"/>
      <w:r>
        <w:t>.</w:t>
      </w:r>
      <w:r w:rsidRPr="00A8025A">
        <w:t xml:space="preserve"> </w:t>
      </w:r>
    </w:p>
    <w:p w14:paraId="71613F7C" w14:textId="77777777" w:rsidR="00544798" w:rsidRPr="00A8025A" w:rsidRDefault="00544798" w:rsidP="00926EB3">
      <w:pPr>
        <w:pStyle w:val="ListParagraph"/>
        <w:numPr>
          <w:ilvl w:val="1"/>
          <w:numId w:val="67"/>
        </w:numPr>
      </w:pPr>
      <w:proofErr w:type="spellStart"/>
      <w:r w:rsidRPr="00A8025A">
        <w:t>Andra</w:t>
      </w:r>
      <w:proofErr w:type="spellEnd"/>
      <w:r w:rsidRPr="00A8025A">
        <w:t xml:space="preserve"> Cummings</w:t>
      </w:r>
      <w:r>
        <w:t>.</w:t>
      </w:r>
    </w:p>
    <w:p w14:paraId="3ACD63A5" w14:textId="77777777" w:rsidR="00544798" w:rsidRPr="00A8025A" w:rsidRDefault="00544798" w:rsidP="00926EB3">
      <w:pPr>
        <w:pStyle w:val="ListParagraph"/>
        <w:numPr>
          <w:ilvl w:val="1"/>
          <w:numId w:val="67"/>
        </w:numPr>
      </w:pPr>
      <w:r w:rsidRPr="00A8025A">
        <w:t>Mara Dempsey</w:t>
      </w:r>
      <w:r>
        <w:t>.</w:t>
      </w:r>
    </w:p>
    <w:p w14:paraId="7474847C" w14:textId="77777777" w:rsidR="00544798" w:rsidRPr="00A8025A" w:rsidRDefault="00544798" w:rsidP="00926EB3">
      <w:pPr>
        <w:pStyle w:val="ListParagraph"/>
        <w:numPr>
          <w:ilvl w:val="1"/>
          <w:numId w:val="67"/>
        </w:numPr>
      </w:pPr>
      <w:r w:rsidRPr="00A8025A">
        <w:t>Daniel Hawkins</w:t>
      </w:r>
      <w:r>
        <w:t>.</w:t>
      </w:r>
      <w:r w:rsidRPr="00A8025A">
        <w:t xml:space="preserve"> </w:t>
      </w:r>
    </w:p>
    <w:p w14:paraId="350B7731" w14:textId="77777777" w:rsidR="00544798" w:rsidRPr="00A8025A" w:rsidRDefault="00544798" w:rsidP="00926EB3">
      <w:pPr>
        <w:pStyle w:val="ListParagraph"/>
        <w:numPr>
          <w:ilvl w:val="1"/>
          <w:numId w:val="67"/>
        </w:numPr>
      </w:pPr>
      <w:r w:rsidRPr="00A8025A">
        <w:t>Mary Kenyon Jones</w:t>
      </w:r>
      <w:r>
        <w:t>.</w:t>
      </w:r>
    </w:p>
    <w:p w14:paraId="13E86D18" w14:textId="77777777" w:rsidR="00544798" w:rsidRPr="00A8025A" w:rsidRDefault="00544798" w:rsidP="00926EB3">
      <w:pPr>
        <w:pStyle w:val="ListParagraph"/>
        <w:numPr>
          <w:ilvl w:val="1"/>
          <w:numId w:val="67"/>
        </w:numPr>
      </w:pPr>
      <w:r w:rsidRPr="00A8025A">
        <w:t>Jaron King</w:t>
      </w:r>
      <w:r>
        <w:t>.</w:t>
      </w:r>
    </w:p>
    <w:p w14:paraId="56ADE079" w14:textId="77777777" w:rsidR="00544798" w:rsidRPr="00A8025A" w:rsidRDefault="00544798" w:rsidP="00926EB3">
      <w:pPr>
        <w:pStyle w:val="ListParagraph"/>
        <w:numPr>
          <w:ilvl w:val="1"/>
          <w:numId w:val="67"/>
        </w:numPr>
      </w:pPr>
      <w:r w:rsidRPr="00A8025A">
        <w:t xml:space="preserve">Jonathan </w:t>
      </w:r>
      <w:proofErr w:type="spellStart"/>
      <w:r w:rsidRPr="00A8025A">
        <w:t>Knoche</w:t>
      </w:r>
      <w:proofErr w:type="spellEnd"/>
      <w:r>
        <w:t>.</w:t>
      </w:r>
      <w:r w:rsidRPr="00A8025A">
        <w:t xml:space="preserve"> </w:t>
      </w:r>
    </w:p>
    <w:p w14:paraId="678968FB" w14:textId="77777777" w:rsidR="00544798" w:rsidRPr="00A8025A" w:rsidRDefault="00544798" w:rsidP="00926EB3">
      <w:pPr>
        <w:pStyle w:val="ListParagraph"/>
        <w:numPr>
          <w:ilvl w:val="1"/>
          <w:numId w:val="67"/>
        </w:numPr>
      </w:pPr>
      <w:r w:rsidRPr="00A8025A">
        <w:t>Vicky Ladd</w:t>
      </w:r>
      <w:r>
        <w:t>.</w:t>
      </w:r>
    </w:p>
    <w:p w14:paraId="1D8D5C06" w14:textId="77777777" w:rsidR="00544798" w:rsidRPr="00A8025A" w:rsidRDefault="00544798" w:rsidP="00926EB3">
      <w:pPr>
        <w:pStyle w:val="ListParagraph"/>
        <w:numPr>
          <w:ilvl w:val="1"/>
          <w:numId w:val="67"/>
        </w:numPr>
      </w:pPr>
      <w:r w:rsidRPr="00A8025A">
        <w:t>Padgett Powe</w:t>
      </w:r>
      <w:r>
        <w:t>.</w:t>
      </w:r>
      <w:r w:rsidRPr="00A8025A">
        <w:t xml:space="preserve"> </w:t>
      </w:r>
    </w:p>
    <w:p w14:paraId="531008CD" w14:textId="77777777" w:rsidR="00544798" w:rsidRPr="00A8025A" w:rsidRDefault="00544798" w:rsidP="00926EB3">
      <w:pPr>
        <w:pStyle w:val="ListParagraph"/>
        <w:numPr>
          <w:ilvl w:val="1"/>
          <w:numId w:val="67"/>
        </w:numPr>
      </w:pPr>
      <w:r w:rsidRPr="00A8025A">
        <w:t xml:space="preserve">Nick </w:t>
      </w:r>
      <w:proofErr w:type="spellStart"/>
      <w:r w:rsidRPr="00A8025A">
        <w:t>Resciniti</w:t>
      </w:r>
      <w:proofErr w:type="spellEnd"/>
      <w:r>
        <w:t>.</w:t>
      </w:r>
    </w:p>
    <w:p w14:paraId="292E8A46" w14:textId="77777777" w:rsidR="00544798" w:rsidRPr="00A8025A" w:rsidRDefault="00544798" w:rsidP="00926EB3">
      <w:pPr>
        <w:pStyle w:val="ListParagraph"/>
        <w:numPr>
          <w:ilvl w:val="1"/>
          <w:numId w:val="67"/>
        </w:numPr>
      </w:pPr>
      <w:r w:rsidRPr="00A8025A">
        <w:t>Kim Seals</w:t>
      </w:r>
      <w:r>
        <w:t>.</w:t>
      </w:r>
    </w:p>
    <w:p w14:paraId="797B652F" w14:textId="77777777" w:rsidR="00544798" w:rsidRPr="00A8025A" w:rsidRDefault="00544798" w:rsidP="00926EB3">
      <w:pPr>
        <w:pStyle w:val="ListParagraph"/>
        <w:numPr>
          <w:ilvl w:val="1"/>
          <w:numId w:val="67"/>
        </w:numPr>
      </w:pPr>
      <w:proofErr w:type="spellStart"/>
      <w:r w:rsidRPr="00A8025A">
        <w:t>Indhu</w:t>
      </w:r>
      <w:proofErr w:type="spellEnd"/>
      <w:r w:rsidRPr="00A8025A">
        <w:t xml:space="preserve"> Shanmugam</w:t>
      </w:r>
      <w:r>
        <w:t>.</w:t>
      </w:r>
      <w:r w:rsidRPr="00A8025A">
        <w:t xml:space="preserve"> </w:t>
      </w:r>
    </w:p>
    <w:p w14:paraId="0DE5C067" w14:textId="77777777" w:rsidR="00544798" w:rsidRPr="00A8025A" w:rsidRDefault="00544798" w:rsidP="00926EB3">
      <w:pPr>
        <w:pStyle w:val="ListParagraph"/>
        <w:numPr>
          <w:ilvl w:val="1"/>
          <w:numId w:val="67"/>
        </w:numPr>
      </w:pPr>
      <w:r w:rsidRPr="00A8025A">
        <w:t>Kristen Shealy</w:t>
      </w:r>
      <w:r>
        <w:t>.</w:t>
      </w:r>
    </w:p>
    <w:p w14:paraId="4212DA5A" w14:textId="77777777" w:rsidR="00544798" w:rsidRPr="00A8025A" w:rsidRDefault="00544798" w:rsidP="00926EB3">
      <w:pPr>
        <w:pStyle w:val="ListParagraph"/>
        <w:numPr>
          <w:ilvl w:val="1"/>
          <w:numId w:val="67"/>
        </w:numPr>
      </w:pPr>
      <w:r w:rsidRPr="00A8025A">
        <w:t>Slone Taylor</w:t>
      </w:r>
      <w:r>
        <w:t>.</w:t>
      </w:r>
    </w:p>
    <w:p w14:paraId="684F8B9B" w14:textId="77777777" w:rsidR="00544798" w:rsidRPr="00A8025A" w:rsidRDefault="00544798" w:rsidP="00926EB3">
      <w:pPr>
        <w:pStyle w:val="ListParagraph"/>
        <w:numPr>
          <w:ilvl w:val="1"/>
          <w:numId w:val="67"/>
        </w:numPr>
      </w:pPr>
      <w:proofErr w:type="spellStart"/>
      <w:r w:rsidRPr="00A8025A">
        <w:t>Karilyn</w:t>
      </w:r>
      <w:proofErr w:type="spellEnd"/>
      <w:r w:rsidRPr="00A8025A">
        <w:t xml:space="preserve"> Tremblay</w:t>
      </w:r>
      <w:r>
        <w:t>.</w:t>
      </w:r>
      <w:r w:rsidRPr="00A8025A">
        <w:t xml:space="preserve"> </w:t>
      </w:r>
    </w:p>
    <w:p w14:paraId="4EAB9C23" w14:textId="77777777" w:rsidR="00544798" w:rsidRPr="00A8025A" w:rsidRDefault="00544798" w:rsidP="00926EB3">
      <w:pPr>
        <w:pStyle w:val="ListParagraph"/>
        <w:numPr>
          <w:ilvl w:val="1"/>
          <w:numId w:val="67"/>
        </w:numPr>
      </w:pPr>
      <w:r w:rsidRPr="00A8025A">
        <w:t>Catherine Warner</w:t>
      </w:r>
      <w:r>
        <w:t>.</w:t>
      </w:r>
      <w:r w:rsidRPr="00A8025A">
        <w:t xml:space="preserve"> </w:t>
      </w:r>
    </w:p>
    <w:p w14:paraId="2891DAF6" w14:textId="77777777" w:rsidR="00544798" w:rsidRPr="00A8025A" w:rsidRDefault="00544798" w:rsidP="00926EB3">
      <w:pPr>
        <w:pStyle w:val="ListParagraph"/>
        <w:numPr>
          <w:ilvl w:val="1"/>
          <w:numId w:val="67"/>
        </w:numPr>
      </w:pPr>
      <w:r w:rsidRPr="00A8025A">
        <w:t xml:space="preserve">Jillian Wilks </w:t>
      </w:r>
      <w:proofErr w:type="spellStart"/>
      <w:r w:rsidRPr="00A8025A">
        <w:t>Catoe</w:t>
      </w:r>
      <w:proofErr w:type="spellEnd"/>
      <w:r>
        <w:t>.</w:t>
      </w:r>
    </w:p>
    <w:p w14:paraId="7E89C696" w14:textId="77777777" w:rsidR="00544798" w:rsidRDefault="00544798" w:rsidP="00926EB3">
      <w:pPr>
        <w:pStyle w:val="ListParagraph"/>
        <w:numPr>
          <w:ilvl w:val="1"/>
          <w:numId w:val="67"/>
        </w:numPr>
      </w:pPr>
      <w:r w:rsidRPr="00A8025A">
        <w:t xml:space="preserve">Emma </w:t>
      </w:r>
      <w:proofErr w:type="spellStart"/>
      <w:r w:rsidRPr="00A8025A">
        <w:t>Zawacki</w:t>
      </w:r>
      <w:proofErr w:type="spellEnd"/>
      <w:r>
        <w:t>.</w:t>
      </w:r>
    </w:p>
    <w:p w14:paraId="069463AE" w14:textId="77777777" w:rsidR="00544798" w:rsidRDefault="00544798" w:rsidP="00926EB3">
      <w:pPr>
        <w:pStyle w:val="ListParagraph"/>
        <w:numPr>
          <w:ilvl w:val="0"/>
          <w:numId w:val="67"/>
        </w:numPr>
      </w:pPr>
      <w:r>
        <w:lastRenderedPageBreak/>
        <w:t>Healthy Adults.</w:t>
      </w:r>
    </w:p>
    <w:p w14:paraId="05C0AF01" w14:textId="77777777" w:rsidR="00544798" w:rsidRPr="00A8025A" w:rsidRDefault="00544798" w:rsidP="00926EB3">
      <w:pPr>
        <w:pStyle w:val="ListParagraph"/>
        <w:numPr>
          <w:ilvl w:val="1"/>
          <w:numId w:val="67"/>
        </w:numPr>
      </w:pPr>
      <w:r w:rsidRPr="00A8025A">
        <w:t>Betsy Barton (Lead)</w:t>
      </w:r>
      <w:r>
        <w:t>.</w:t>
      </w:r>
    </w:p>
    <w:p w14:paraId="4C0673F5" w14:textId="77777777" w:rsidR="00544798" w:rsidRPr="00A8025A" w:rsidRDefault="00544798" w:rsidP="00926EB3">
      <w:pPr>
        <w:pStyle w:val="ListParagraph"/>
        <w:numPr>
          <w:ilvl w:val="1"/>
          <w:numId w:val="67"/>
        </w:numPr>
      </w:pPr>
      <w:r w:rsidRPr="00A8025A">
        <w:t>Marlene Al-</w:t>
      </w:r>
      <w:proofErr w:type="spellStart"/>
      <w:r w:rsidRPr="00A8025A">
        <w:t>Barwani</w:t>
      </w:r>
      <w:proofErr w:type="spellEnd"/>
      <w:r>
        <w:t>.</w:t>
      </w:r>
    </w:p>
    <w:p w14:paraId="2E9B597E" w14:textId="77777777" w:rsidR="00544798" w:rsidRPr="00A8025A" w:rsidRDefault="00544798" w:rsidP="00926EB3">
      <w:pPr>
        <w:pStyle w:val="ListParagraph"/>
        <w:numPr>
          <w:ilvl w:val="1"/>
          <w:numId w:val="67"/>
        </w:numPr>
      </w:pPr>
      <w:r w:rsidRPr="00A8025A">
        <w:t>Emily Ash</w:t>
      </w:r>
      <w:r>
        <w:t>.</w:t>
      </w:r>
    </w:p>
    <w:p w14:paraId="18C5084C" w14:textId="77777777" w:rsidR="00544798" w:rsidRPr="00A8025A" w:rsidRDefault="00544798" w:rsidP="00926EB3">
      <w:pPr>
        <w:pStyle w:val="ListParagraph"/>
        <w:numPr>
          <w:ilvl w:val="1"/>
          <w:numId w:val="67"/>
        </w:numPr>
      </w:pPr>
      <w:proofErr w:type="spellStart"/>
      <w:r w:rsidRPr="00A8025A">
        <w:t>Marya</w:t>
      </w:r>
      <w:proofErr w:type="spellEnd"/>
      <w:r w:rsidRPr="00A8025A">
        <w:t xml:space="preserve"> Barker</w:t>
      </w:r>
      <w:r>
        <w:t>.</w:t>
      </w:r>
    </w:p>
    <w:p w14:paraId="59DC1710" w14:textId="77777777" w:rsidR="00544798" w:rsidRPr="00A8025A" w:rsidRDefault="00544798" w:rsidP="00926EB3">
      <w:pPr>
        <w:pStyle w:val="ListParagraph"/>
        <w:numPr>
          <w:ilvl w:val="1"/>
          <w:numId w:val="67"/>
        </w:numPr>
      </w:pPr>
      <w:r w:rsidRPr="00A8025A">
        <w:t xml:space="preserve">Courtney </w:t>
      </w:r>
      <w:proofErr w:type="spellStart"/>
      <w:r w:rsidRPr="00A8025A">
        <w:t>Brightharp</w:t>
      </w:r>
      <w:proofErr w:type="spellEnd"/>
      <w:r>
        <w:t>.</w:t>
      </w:r>
    </w:p>
    <w:p w14:paraId="6B6D9747" w14:textId="77777777" w:rsidR="00544798" w:rsidRPr="00A8025A" w:rsidRDefault="00544798" w:rsidP="00926EB3">
      <w:pPr>
        <w:pStyle w:val="ListParagraph"/>
        <w:numPr>
          <w:ilvl w:val="1"/>
          <w:numId w:val="67"/>
        </w:numPr>
      </w:pPr>
      <w:r w:rsidRPr="00A8025A">
        <w:t xml:space="preserve">Stephanie </w:t>
      </w:r>
      <w:proofErr w:type="spellStart"/>
      <w:r w:rsidRPr="00A8025A">
        <w:t>Chiodini</w:t>
      </w:r>
      <w:proofErr w:type="spellEnd"/>
      <w:r>
        <w:t>.</w:t>
      </w:r>
    </w:p>
    <w:p w14:paraId="66517028" w14:textId="77777777" w:rsidR="00544798" w:rsidRPr="00A8025A" w:rsidRDefault="00544798" w:rsidP="00926EB3">
      <w:pPr>
        <w:pStyle w:val="ListParagraph"/>
        <w:numPr>
          <w:ilvl w:val="1"/>
          <w:numId w:val="67"/>
        </w:numPr>
      </w:pPr>
      <w:r w:rsidRPr="00A8025A">
        <w:t xml:space="preserve">Christina </w:t>
      </w:r>
      <w:proofErr w:type="spellStart"/>
      <w:r w:rsidRPr="00A8025A">
        <w:t>Galardi</w:t>
      </w:r>
      <w:proofErr w:type="spellEnd"/>
      <w:r>
        <w:t>.</w:t>
      </w:r>
    </w:p>
    <w:p w14:paraId="5D48A7FD" w14:textId="77777777" w:rsidR="00544798" w:rsidRPr="00A8025A" w:rsidRDefault="00544798" w:rsidP="00926EB3">
      <w:pPr>
        <w:pStyle w:val="ListParagraph"/>
        <w:numPr>
          <w:ilvl w:val="1"/>
          <w:numId w:val="67"/>
        </w:numPr>
      </w:pPr>
      <w:r w:rsidRPr="00A8025A">
        <w:t>Wesley Gravelle</w:t>
      </w:r>
      <w:r>
        <w:t>.</w:t>
      </w:r>
    </w:p>
    <w:p w14:paraId="47617F9C" w14:textId="77777777" w:rsidR="00544798" w:rsidRPr="00A8025A" w:rsidRDefault="00544798" w:rsidP="00926EB3">
      <w:pPr>
        <w:pStyle w:val="ListParagraph"/>
        <w:numPr>
          <w:ilvl w:val="1"/>
          <w:numId w:val="67"/>
        </w:numPr>
      </w:pPr>
      <w:r w:rsidRPr="00A8025A">
        <w:t>Samira Khan</w:t>
      </w:r>
      <w:r>
        <w:t>.</w:t>
      </w:r>
    </w:p>
    <w:p w14:paraId="02695054" w14:textId="77777777" w:rsidR="00544798" w:rsidRPr="00A8025A" w:rsidRDefault="00544798" w:rsidP="00926EB3">
      <w:pPr>
        <w:pStyle w:val="ListParagraph"/>
        <w:numPr>
          <w:ilvl w:val="1"/>
          <w:numId w:val="67"/>
        </w:numPr>
      </w:pPr>
      <w:r w:rsidRPr="00A8025A">
        <w:t>Daniel Kilpatrick</w:t>
      </w:r>
      <w:r>
        <w:t>.</w:t>
      </w:r>
    </w:p>
    <w:p w14:paraId="1D3B5307" w14:textId="77777777" w:rsidR="00544798" w:rsidRDefault="00544798" w:rsidP="00926EB3">
      <w:pPr>
        <w:pStyle w:val="ListParagraph"/>
        <w:numPr>
          <w:ilvl w:val="1"/>
          <w:numId w:val="67"/>
        </w:numPr>
      </w:pPr>
      <w:r w:rsidRPr="00A8025A">
        <w:t>Jaron King</w:t>
      </w:r>
      <w:r>
        <w:t>.</w:t>
      </w:r>
    </w:p>
    <w:p w14:paraId="07ECE2FB" w14:textId="77777777" w:rsidR="00544798" w:rsidRPr="00A8025A" w:rsidRDefault="00544798" w:rsidP="00926EB3">
      <w:pPr>
        <w:pStyle w:val="ListParagraph"/>
        <w:numPr>
          <w:ilvl w:val="1"/>
          <w:numId w:val="67"/>
        </w:numPr>
      </w:pPr>
      <w:r w:rsidRPr="00A8025A">
        <w:t>Joshua Mercadel</w:t>
      </w:r>
      <w:r>
        <w:t>.</w:t>
      </w:r>
    </w:p>
    <w:p w14:paraId="25CC5A7A" w14:textId="77777777" w:rsidR="00544798" w:rsidRPr="00A8025A" w:rsidRDefault="00544798" w:rsidP="00926EB3">
      <w:pPr>
        <w:pStyle w:val="ListParagraph"/>
        <w:numPr>
          <w:ilvl w:val="1"/>
          <w:numId w:val="67"/>
        </w:numPr>
      </w:pPr>
      <w:r w:rsidRPr="00A8025A">
        <w:t>Katherine O’Shields</w:t>
      </w:r>
      <w:r>
        <w:t>.</w:t>
      </w:r>
    </w:p>
    <w:p w14:paraId="2BB7C301" w14:textId="77777777" w:rsidR="00544798" w:rsidRPr="00A8025A" w:rsidRDefault="00544798" w:rsidP="00926EB3">
      <w:pPr>
        <w:pStyle w:val="ListParagraph"/>
        <w:numPr>
          <w:ilvl w:val="1"/>
          <w:numId w:val="67"/>
        </w:numPr>
      </w:pPr>
      <w:r w:rsidRPr="00A8025A">
        <w:t>Lori Phillips</w:t>
      </w:r>
      <w:r>
        <w:t>.</w:t>
      </w:r>
    </w:p>
    <w:p w14:paraId="43C0B82F" w14:textId="77777777" w:rsidR="00544798" w:rsidRPr="00A8025A" w:rsidRDefault="00544798" w:rsidP="00926EB3">
      <w:pPr>
        <w:pStyle w:val="ListParagraph"/>
        <w:numPr>
          <w:ilvl w:val="1"/>
          <w:numId w:val="67"/>
        </w:numPr>
      </w:pPr>
      <w:r w:rsidRPr="00A8025A">
        <w:t>Padgett Powe</w:t>
      </w:r>
      <w:r>
        <w:t>.</w:t>
      </w:r>
    </w:p>
    <w:p w14:paraId="5366AD1A" w14:textId="77777777" w:rsidR="00544798" w:rsidRPr="00A8025A" w:rsidRDefault="00544798" w:rsidP="00926EB3">
      <w:pPr>
        <w:pStyle w:val="ListParagraph"/>
        <w:numPr>
          <w:ilvl w:val="1"/>
          <w:numId w:val="67"/>
        </w:numPr>
      </w:pPr>
      <w:r w:rsidRPr="00A8025A">
        <w:t xml:space="preserve">William </w:t>
      </w:r>
      <w:proofErr w:type="spellStart"/>
      <w:r w:rsidRPr="00A8025A">
        <w:t>Tanyi</w:t>
      </w:r>
      <w:proofErr w:type="spellEnd"/>
      <w:r>
        <w:t>.</w:t>
      </w:r>
    </w:p>
    <w:p w14:paraId="250BA9F8" w14:textId="77777777" w:rsidR="00544798" w:rsidRPr="00A8025A" w:rsidRDefault="00544798" w:rsidP="00926EB3">
      <w:pPr>
        <w:pStyle w:val="ListParagraph"/>
        <w:numPr>
          <w:ilvl w:val="1"/>
          <w:numId w:val="67"/>
        </w:numPr>
      </w:pPr>
      <w:r w:rsidRPr="00A8025A">
        <w:t>Slone Taylor</w:t>
      </w:r>
      <w:r>
        <w:t>.</w:t>
      </w:r>
    </w:p>
    <w:p w14:paraId="4B845BAC" w14:textId="77777777" w:rsidR="00544798" w:rsidRPr="00A8025A" w:rsidRDefault="00544798" w:rsidP="00926EB3">
      <w:pPr>
        <w:pStyle w:val="ListParagraph"/>
        <w:numPr>
          <w:ilvl w:val="1"/>
          <w:numId w:val="67"/>
        </w:numPr>
      </w:pPr>
      <w:r w:rsidRPr="00A8025A">
        <w:t>Catherine Warner</w:t>
      </w:r>
      <w:r>
        <w:t>.</w:t>
      </w:r>
    </w:p>
    <w:p w14:paraId="2FBDA163" w14:textId="77777777" w:rsidR="00544798" w:rsidRPr="00A8025A" w:rsidRDefault="00544798" w:rsidP="00926EB3">
      <w:pPr>
        <w:pStyle w:val="ListParagraph"/>
        <w:numPr>
          <w:ilvl w:val="1"/>
          <w:numId w:val="67"/>
        </w:numPr>
      </w:pPr>
      <w:r w:rsidRPr="00A8025A">
        <w:t xml:space="preserve">Jillian Wilks </w:t>
      </w:r>
      <w:proofErr w:type="spellStart"/>
      <w:r w:rsidRPr="00A8025A">
        <w:t>Catoe</w:t>
      </w:r>
      <w:proofErr w:type="spellEnd"/>
      <w:r>
        <w:t>.</w:t>
      </w:r>
    </w:p>
    <w:p w14:paraId="18E52CE2" w14:textId="77777777" w:rsidR="00544798" w:rsidRDefault="00544798" w:rsidP="00926EB3">
      <w:pPr>
        <w:pStyle w:val="ListParagraph"/>
        <w:numPr>
          <w:ilvl w:val="1"/>
          <w:numId w:val="67"/>
        </w:numPr>
      </w:pPr>
      <w:r w:rsidRPr="00A8025A">
        <w:t>Claire Youngblood</w:t>
      </w:r>
      <w:r>
        <w:t>.</w:t>
      </w:r>
    </w:p>
    <w:p w14:paraId="2AF78C61" w14:textId="77777777" w:rsidR="00544798" w:rsidRDefault="00544798" w:rsidP="00926EB3">
      <w:pPr>
        <w:pStyle w:val="ListParagraph"/>
        <w:numPr>
          <w:ilvl w:val="0"/>
          <w:numId w:val="67"/>
        </w:numPr>
      </w:pPr>
      <w:r>
        <w:t>Healthy Aging.</w:t>
      </w:r>
    </w:p>
    <w:p w14:paraId="75D13A81" w14:textId="77777777" w:rsidR="00544798" w:rsidRPr="00A8025A" w:rsidRDefault="00544798" w:rsidP="00926EB3">
      <w:pPr>
        <w:pStyle w:val="ListParagraph"/>
        <w:numPr>
          <w:ilvl w:val="1"/>
          <w:numId w:val="67"/>
        </w:numPr>
      </w:pPr>
      <w:r w:rsidRPr="00A8025A">
        <w:t>Katherine O’Shields (Lead</w:t>
      </w:r>
      <w:r>
        <w:t>).</w:t>
      </w:r>
    </w:p>
    <w:p w14:paraId="76BE5BD3" w14:textId="77777777" w:rsidR="00544798" w:rsidRPr="00A8025A" w:rsidRDefault="00544798" w:rsidP="00926EB3">
      <w:pPr>
        <w:pStyle w:val="ListParagraph"/>
        <w:numPr>
          <w:ilvl w:val="1"/>
          <w:numId w:val="67"/>
        </w:numPr>
      </w:pPr>
      <w:r w:rsidRPr="00A8025A">
        <w:t>Emily Ash</w:t>
      </w:r>
      <w:r>
        <w:t>.</w:t>
      </w:r>
    </w:p>
    <w:p w14:paraId="7FD59C51" w14:textId="77777777" w:rsidR="00544798" w:rsidRPr="00A8025A" w:rsidRDefault="00544798" w:rsidP="00926EB3">
      <w:pPr>
        <w:pStyle w:val="ListParagraph"/>
        <w:numPr>
          <w:ilvl w:val="1"/>
          <w:numId w:val="67"/>
        </w:numPr>
      </w:pPr>
      <w:r w:rsidRPr="00A8025A">
        <w:t>Betsy Barton</w:t>
      </w:r>
      <w:r>
        <w:t>.</w:t>
      </w:r>
    </w:p>
    <w:p w14:paraId="40DADA91" w14:textId="77777777" w:rsidR="00544798" w:rsidRPr="00A8025A" w:rsidRDefault="00544798" w:rsidP="00926EB3">
      <w:pPr>
        <w:pStyle w:val="ListParagraph"/>
        <w:numPr>
          <w:ilvl w:val="1"/>
          <w:numId w:val="67"/>
        </w:numPr>
      </w:pPr>
      <w:r w:rsidRPr="00A8025A">
        <w:t>Slone Taylor</w:t>
      </w:r>
      <w:r>
        <w:t>.</w:t>
      </w:r>
    </w:p>
    <w:p w14:paraId="26FFD25B" w14:textId="77777777" w:rsidR="00544798" w:rsidRPr="00A8025A" w:rsidRDefault="00544798" w:rsidP="00926EB3">
      <w:pPr>
        <w:pStyle w:val="ListParagraph"/>
        <w:numPr>
          <w:ilvl w:val="1"/>
          <w:numId w:val="67"/>
        </w:numPr>
      </w:pPr>
      <w:r w:rsidRPr="00A8025A">
        <w:t>Eboni Whitehurst</w:t>
      </w:r>
      <w:r>
        <w:t>.</w:t>
      </w:r>
    </w:p>
    <w:p w14:paraId="3F35B331" w14:textId="77777777" w:rsidR="00544798" w:rsidRDefault="00544798" w:rsidP="00926EB3">
      <w:pPr>
        <w:pStyle w:val="ListParagraph"/>
        <w:numPr>
          <w:ilvl w:val="1"/>
          <w:numId w:val="67"/>
        </w:numPr>
      </w:pPr>
      <w:r w:rsidRPr="00A8025A">
        <w:t xml:space="preserve">Jillian Wilks </w:t>
      </w:r>
      <w:proofErr w:type="spellStart"/>
      <w:r w:rsidRPr="00A8025A">
        <w:t>Catoe</w:t>
      </w:r>
      <w:proofErr w:type="spellEnd"/>
      <w:r>
        <w:t>.</w:t>
      </w:r>
    </w:p>
    <w:p w14:paraId="0A28393E" w14:textId="77777777" w:rsidR="00544798" w:rsidRDefault="00544798" w:rsidP="00926EB3">
      <w:pPr>
        <w:pStyle w:val="ListParagraph"/>
        <w:numPr>
          <w:ilvl w:val="0"/>
          <w:numId w:val="67"/>
        </w:numPr>
      </w:pPr>
      <w:r>
        <w:t>Capacity To Address Public Health Issues.</w:t>
      </w:r>
    </w:p>
    <w:p w14:paraId="4428BC37" w14:textId="77777777" w:rsidR="00544798" w:rsidRPr="00B925BF" w:rsidRDefault="00544798" w:rsidP="00926EB3">
      <w:pPr>
        <w:pStyle w:val="ListParagraph"/>
        <w:numPr>
          <w:ilvl w:val="1"/>
          <w:numId w:val="67"/>
        </w:numPr>
      </w:pPr>
      <w:r w:rsidRPr="00B925BF">
        <w:t>Suzanne Sanders (Lead)</w:t>
      </w:r>
      <w:r>
        <w:t>.</w:t>
      </w:r>
    </w:p>
    <w:p w14:paraId="69C968C3" w14:textId="77777777" w:rsidR="00544798" w:rsidRPr="00B925BF" w:rsidRDefault="00544798" w:rsidP="00926EB3">
      <w:pPr>
        <w:pStyle w:val="ListParagraph"/>
        <w:numPr>
          <w:ilvl w:val="1"/>
          <w:numId w:val="67"/>
        </w:numPr>
      </w:pPr>
      <w:r w:rsidRPr="00B925BF">
        <w:t>Jared Bailey</w:t>
      </w:r>
      <w:r>
        <w:t>.</w:t>
      </w:r>
    </w:p>
    <w:p w14:paraId="6EC4F86C" w14:textId="77777777" w:rsidR="00544798" w:rsidRPr="00B925BF" w:rsidRDefault="00544798" w:rsidP="00926EB3">
      <w:pPr>
        <w:pStyle w:val="ListParagraph"/>
        <w:numPr>
          <w:ilvl w:val="1"/>
          <w:numId w:val="67"/>
        </w:numPr>
      </w:pPr>
      <w:r w:rsidRPr="00B925BF">
        <w:t>Susan Collier</w:t>
      </w:r>
      <w:r>
        <w:t>.</w:t>
      </w:r>
    </w:p>
    <w:p w14:paraId="157B438B" w14:textId="77777777" w:rsidR="00544798" w:rsidRPr="00B925BF" w:rsidRDefault="00544798" w:rsidP="00926EB3">
      <w:pPr>
        <w:pStyle w:val="ListParagraph"/>
        <w:numPr>
          <w:ilvl w:val="1"/>
          <w:numId w:val="67"/>
        </w:numPr>
      </w:pPr>
      <w:r w:rsidRPr="00B925BF">
        <w:t>Anni Crook</w:t>
      </w:r>
      <w:r>
        <w:t>.</w:t>
      </w:r>
    </w:p>
    <w:p w14:paraId="34DAEC29" w14:textId="77777777" w:rsidR="00544798" w:rsidRPr="00B925BF" w:rsidRDefault="00544798" w:rsidP="00926EB3">
      <w:pPr>
        <w:pStyle w:val="ListParagraph"/>
        <w:numPr>
          <w:ilvl w:val="1"/>
          <w:numId w:val="67"/>
        </w:numPr>
      </w:pPr>
      <w:r w:rsidRPr="00B925BF">
        <w:t xml:space="preserve">Elizabeth </w:t>
      </w:r>
      <w:proofErr w:type="spellStart"/>
      <w:r w:rsidRPr="00B925BF">
        <w:t>DeMeo</w:t>
      </w:r>
      <w:proofErr w:type="spellEnd"/>
      <w:r>
        <w:t>.</w:t>
      </w:r>
    </w:p>
    <w:p w14:paraId="4DA2B15E" w14:textId="77777777" w:rsidR="00544798" w:rsidRPr="00B925BF" w:rsidRDefault="00544798" w:rsidP="00926EB3">
      <w:pPr>
        <w:pStyle w:val="ListParagraph"/>
        <w:numPr>
          <w:ilvl w:val="1"/>
          <w:numId w:val="67"/>
        </w:numPr>
      </w:pPr>
      <w:r w:rsidRPr="00B925BF">
        <w:t>Lillie Hall</w:t>
      </w:r>
      <w:r>
        <w:t>.</w:t>
      </w:r>
    </w:p>
    <w:p w14:paraId="757B4022" w14:textId="77777777" w:rsidR="00544798" w:rsidRPr="00B925BF" w:rsidRDefault="00544798" w:rsidP="00926EB3">
      <w:pPr>
        <w:pStyle w:val="ListParagraph"/>
        <w:numPr>
          <w:ilvl w:val="1"/>
          <w:numId w:val="67"/>
        </w:numPr>
      </w:pPr>
      <w:r w:rsidRPr="00B925BF">
        <w:t>Suzette McClellan</w:t>
      </w:r>
      <w:r>
        <w:t>.</w:t>
      </w:r>
    </w:p>
    <w:p w14:paraId="14584227" w14:textId="77777777" w:rsidR="00544798" w:rsidRPr="00C64808" w:rsidRDefault="00544798" w:rsidP="00926EB3">
      <w:pPr>
        <w:pStyle w:val="ListParagraph"/>
        <w:numPr>
          <w:ilvl w:val="1"/>
          <w:numId w:val="67"/>
        </w:numPr>
      </w:pPr>
      <w:r w:rsidRPr="00B925BF">
        <w:t>Kacey Schmitt</w:t>
      </w:r>
      <w:r>
        <w:t>.</w:t>
      </w:r>
    </w:p>
    <w:p w14:paraId="18EE97EE" w14:textId="77777777" w:rsidR="00544798" w:rsidRDefault="00544798" w:rsidP="00544798">
      <w:pPr>
        <w:pStyle w:val="Heading4"/>
      </w:pPr>
      <w:bookmarkStart w:id="1125" w:name="_Toc154569735"/>
      <w:bookmarkStart w:id="1126" w:name="_Toc162267766"/>
      <w:r>
        <w:lastRenderedPageBreak/>
        <w:t>LHSC Editorial Team.</w:t>
      </w:r>
      <w:bookmarkEnd w:id="1125"/>
      <w:bookmarkEnd w:id="1126"/>
    </w:p>
    <w:p w14:paraId="14473D10" w14:textId="77777777" w:rsidR="00544798" w:rsidRPr="00B925BF" w:rsidRDefault="00544798" w:rsidP="00926EB3">
      <w:pPr>
        <w:pStyle w:val="ListParagraph"/>
        <w:numPr>
          <w:ilvl w:val="0"/>
          <w:numId w:val="68"/>
        </w:numPr>
      </w:pPr>
      <w:r w:rsidRPr="00B925BF">
        <w:t>State Health Improvement Director, DHEC</w:t>
      </w:r>
      <w:r>
        <w:t xml:space="preserve">, </w:t>
      </w:r>
      <w:r w:rsidRPr="00B925BF">
        <w:t>Kobra Eghtedary</w:t>
      </w:r>
      <w:r>
        <w:t>.</w:t>
      </w:r>
    </w:p>
    <w:p w14:paraId="0BFE39C0" w14:textId="77777777" w:rsidR="00544798" w:rsidRPr="00B925BF" w:rsidRDefault="00544798" w:rsidP="00926EB3">
      <w:pPr>
        <w:pStyle w:val="ListParagraph"/>
        <w:numPr>
          <w:ilvl w:val="0"/>
          <w:numId w:val="68"/>
        </w:numPr>
      </w:pPr>
      <w:r w:rsidRPr="00B925BF">
        <w:t>Chief Administration Officer, DDSN</w:t>
      </w:r>
      <w:r>
        <w:t xml:space="preserve">, </w:t>
      </w:r>
      <w:r w:rsidRPr="00B925BF">
        <w:t>Harley Davis</w:t>
      </w:r>
      <w:r>
        <w:t>.</w:t>
      </w:r>
    </w:p>
    <w:p w14:paraId="32FA314D" w14:textId="77777777" w:rsidR="00544798" w:rsidRPr="00B925BF" w:rsidRDefault="00544798" w:rsidP="00926EB3">
      <w:pPr>
        <w:pStyle w:val="ListParagraph"/>
        <w:numPr>
          <w:ilvl w:val="0"/>
          <w:numId w:val="68"/>
        </w:numPr>
      </w:pPr>
      <w:r w:rsidRPr="00B925BF">
        <w:t>Communications Strategist, DHEC</w:t>
      </w:r>
      <w:r>
        <w:t xml:space="preserve">, </w:t>
      </w:r>
      <w:r w:rsidRPr="00B925BF">
        <w:t>Warren Bolton</w:t>
      </w:r>
      <w:r>
        <w:t>.</w:t>
      </w:r>
      <w:r w:rsidRPr="00B925BF">
        <w:t xml:space="preserve"> </w:t>
      </w:r>
    </w:p>
    <w:p w14:paraId="43421371" w14:textId="77777777" w:rsidR="00544798" w:rsidRDefault="00544798" w:rsidP="00926EB3">
      <w:pPr>
        <w:pStyle w:val="ListParagraph"/>
        <w:numPr>
          <w:ilvl w:val="0"/>
          <w:numId w:val="68"/>
        </w:numPr>
      </w:pPr>
      <w:r w:rsidRPr="00B925BF">
        <w:t>Healthy Equity Chair, Alliance</w:t>
      </w:r>
      <w:r>
        <w:t xml:space="preserve">, </w:t>
      </w:r>
      <w:proofErr w:type="spellStart"/>
      <w:r w:rsidRPr="00B925BF">
        <w:t>Marisette</w:t>
      </w:r>
      <w:proofErr w:type="spellEnd"/>
      <w:r w:rsidRPr="00B925BF">
        <w:t xml:space="preserve"> Hasan</w:t>
      </w:r>
      <w:r>
        <w:t>.</w:t>
      </w:r>
    </w:p>
    <w:p w14:paraId="6DD92ACD" w14:textId="56B51510" w:rsidR="00B849D6" w:rsidRPr="00B925BF" w:rsidRDefault="00B849D6" w:rsidP="00926EB3">
      <w:pPr>
        <w:pStyle w:val="ListParagraph"/>
        <w:numPr>
          <w:ilvl w:val="0"/>
          <w:numId w:val="68"/>
        </w:numPr>
      </w:pPr>
      <w:r w:rsidRPr="00B849D6">
        <w:t>State Health Improvement Strategist, DHEC</w:t>
      </w:r>
      <w:r>
        <w:t>,</w:t>
      </w:r>
      <w:r w:rsidRPr="00B849D6">
        <w:t xml:space="preserve"> Farren Allen</w:t>
      </w:r>
      <w:r>
        <w:t>.</w:t>
      </w:r>
    </w:p>
    <w:p w14:paraId="58F09FEE" w14:textId="77777777" w:rsidR="00544798" w:rsidRPr="00B925BF" w:rsidRDefault="00544798" w:rsidP="00926EB3">
      <w:pPr>
        <w:pStyle w:val="ListParagraph"/>
        <w:numPr>
          <w:ilvl w:val="0"/>
          <w:numId w:val="68"/>
        </w:numPr>
      </w:pPr>
      <w:r w:rsidRPr="00B925BF">
        <w:t>Public Information Officer, DHEC</w:t>
      </w:r>
      <w:r>
        <w:t xml:space="preserve">, </w:t>
      </w:r>
      <w:r w:rsidRPr="00B925BF">
        <w:t>Laura Renwick</w:t>
      </w:r>
      <w:r>
        <w:t>.</w:t>
      </w:r>
    </w:p>
    <w:p w14:paraId="22344B0C" w14:textId="77777777" w:rsidR="00544798" w:rsidRPr="00B925BF" w:rsidRDefault="00544798" w:rsidP="00926EB3">
      <w:pPr>
        <w:pStyle w:val="ListParagraph"/>
        <w:numPr>
          <w:ilvl w:val="0"/>
          <w:numId w:val="68"/>
        </w:numPr>
      </w:pPr>
      <w:r w:rsidRPr="00B925BF">
        <w:t>Media Relations Director, DHEC</w:t>
      </w:r>
      <w:r>
        <w:t xml:space="preserve">, </w:t>
      </w:r>
      <w:r w:rsidRPr="00B925BF">
        <w:t>Ron Aiken</w:t>
      </w:r>
      <w:r>
        <w:t>.</w:t>
      </w:r>
    </w:p>
    <w:p w14:paraId="4B2FE02E" w14:textId="77777777" w:rsidR="00544798" w:rsidRPr="00B925BF" w:rsidRDefault="00544798" w:rsidP="00926EB3">
      <w:pPr>
        <w:pStyle w:val="ListParagraph"/>
        <w:numPr>
          <w:ilvl w:val="0"/>
          <w:numId w:val="68"/>
        </w:numPr>
      </w:pPr>
      <w:r w:rsidRPr="00B925BF">
        <w:t>Chief of Staff, DHEC</w:t>
      </w:r>
      <w:r>
        <w:t xml:space="preserve">, </w:t>
      </w:r>
      <w:r w:rsidRPr="00B925BF">
        <w:t>Karla Buru</w:t>
      </w:r>
      <w:r>
        <w:t>.</w:t>
      </w:r>
    </w:p>
    <w:p w14:paraId="06B80FDE" w14:textId="77777777" w:rsidR="00544798" w:rsidRPr="00B925BF" w:rsidRDefault="00544798" w:rsidP="00926EB3">
      <w:pPr>
        <w:pStyle w:val="ListParagraph"/>
        <w:numPr>
          <w:ilvl w:val="0"/>
          <w:numId w:val="68"/>
        </w:numPr>
      </w:pPr>
      <w:r w:rsidRPr="00B925BF">
        <w:t>Public Health Director, DHEC</w:t>
      </w:r>
      <w:r>
        <w:t xml:space="preserve">, </w:t>
      </w:r>
      <w:r w:rsidRPr="00B925BF">
        <w:t>Brannon Traxler</w:t>
      </w:r>
      <w:r>
        <w:t>.</w:t>
      </w:r>
    </w:p>
    <w:p w14:paraId="5E45723E" w14:textId="77777777" w:rsidR="00544798" w:rsidRDefault="00544798" w:rsidP="00544798">
      <w:pPr>
        <w:pStyle w:val="Heading4"/>
      </w:pPr>
      <w:bookmarkStart w:id="1127" w:name="_Toc154569736"/>
      <w:bookmarkStart w:id="1128" w:name="_Toc162267767"/>
      <w:r>
        <w:t>DHEC Communications Team.</w:t>
      </w:r>
      <w:bookmarkEnd w:id="1127"/>
      <w:bookmarkEnd w:id="1128"/>
    </w:p>
    <w:p w14:paraId="293C9003" w14:textId="77777777" w:rsidR="00544798" w:rsidRPr="00B925BF" w:rsidRDefault="00544798" w:rsidP="00926EB3">
      <w:pPr>
        <w:pStyle w:val="ListParagraph"/>
        <w:numPr>
          <w:ilvl w:val="0"/>
          <w:numId w:val="69"/>
        </w:numPr>
      </w:pPr>
      <w:r w:rsidRPr="00B925BF">
        <w:t>Director of Public Outreach</w:t>
      </w:r>
      <w:r>
        <w:t xml:space="preserve">, </w:t>
      </w:r>
      <w:r w:rsidRPr="00B925BF">
        <w:t>Elizabeth Childers</w:t>
      </w:r>
      <w:r>
        <w:t>.</w:t>
      </w:r>
    </w:p>
    <w:p w14:paraId="136D949D" w14:textId="77777777" w:rsidR="00544798" w:rsidRPr="00B925BF" w:rsidRDefault="00544798" w:rsidP="00926EB3">
      <w:pPr>
        <w:pStyle w:val="ListParagraph"/>
        <w:numPr>
          <w:ilvl w:val="0"/>
          <w:numId w:val="69"/>
        </w:numPr>
      </w:pPr>
      <w:r w:rsidRPr="00B925BF">
        <w:t>Senior Graphic Designer</w:t>
      </w:r>
      <w:r>
        <w:t xml:space="preserve">, </w:t>
      </w:r>
      <w:r w:rsidRPr="00B925BF">
        <w:t>Joshua Laney</w:t>
      </w:r>
      <w:r>
        <w:t>.</w:t>
      </w:r>
    </w:p>
    <w:p w14:paraId="6DEB167C" w14:textId="77777777" w:rsidR="00544798" w:rsidRPr="00B925BF" w:rsidRDefault="00544798" w:rsidP="00926EB3">
      <w:pPr>
        <w:pStyle w:val="ListParagraph"/>
        <w:numPr>
          <w:ilvl w:val="0"/>
          <w:numId w:val="69"/>
        </w:numPr>
      </w:pPr>
      <w:r w:rsidRPr="00B925BF">
        <w:t>Chief Communications Officer</w:t>
      </w:r>
      <w:r>
        <w:t xml:space="preserve">, </w:t>
      </w:r>
      <w:proofErr w:type="spellStart"/>
      <w:r w:rsidRPr="00B925BF">
        <w:t>Cristi</w:t>
      </w:r>
      <w:proofErr w:type="spellEnd"/>
      <w:r w:rsidRPr="00B925BF">
        <w:t xml:space="preserve"> Moore</w:t>
      </w:r>
      <w:r>
        <w:t>.</w:t>
      </w:r>
    </w:p>
    <w:p w14:paraId="6ECA8FE0" w14:textId="77777777" w:rsidR="00544798" w:rsidRPr="00B925BF" w:rsidRDefault="00544798" w:rsidP="00926EB3">
      <w:pPr>
        <w:pStyle w:val="ListParagraph"/>
        <w:numPr>
          <w:ilvl w:val="0"/>
          <w:numId w:val="69"/>
        </w:numPr>
      </w:pPr>
      <w:r w:rsidRPr="00B925BF">
        <w:t>Media Relations Director</w:t>
      </w:r>
      <w:r>
        <w:t xml:space="preserve">, </w:t>
      </w:r>
      <w:r w:rsidRPr="00B925BF">
        <w:t>Ron Aiken</w:t>
      </w:r>
      <w:r>
        <w:t>.</w:t>
      </w:r>
    </w:p>
    <w:p w14:paraId="6BFE75BD" w14:textId="77777777" w:rsidR="00544798" w:rsidRPr="00B925BF" w:rsidRDefault="00544798" w:rsidP="00926EB3">
      <w:pPr>
        <w:pStyle w:val="ListParagraph"/>
        <w:numPr>
          <w:ilvl w:val="0"/>
          <w:numId w:val="69"/>
        </w:numPr>
      </w:pPr>
      <w:r w:rsidRPr="00B925BF">
        <w:t>Public Information Officer</w:t>
      </w:r>
      <w:r>
        <w:t xml:space="preserve">, </w:t>
      </w:r>
      <w:r w:rsidRPr="00B925BF">
        <w:t>Laura Renwick</w:t>
      </w:r>
      <w:r>
        <w:t>.</w:t>
      </w:r>
    </w:p>
    <w:p w14:paraId="1BF7CD1F" w14:textId="77777777" w:rsidR="00544798" w:rsidRPr="00B925BF" w:rsidRDefault="00544798" w:rsidP="00926EB3">
      <w:pPr>
        <w:pStyle w:val="ListParagraph"/>
        <w:numPr>
          <w:ilvl w:val="0"/>
          <w:numId w:val="69"/>
        </w:numPr>
      </w:pPr>
      <w:r w:rsidRPr="00B925BF">
        <w:t>Communications Strategist</w:t>
      </w:r>
      <w:r>
        <w:t xml:space="preserve">, </w:t>
      </w:r>
      <w:r w:rsidRPr="00B925BF">
        <w:t>Warren Bolton</w:t>
      </w:r>
      <w:r>
        <w:t>.</w:t>
      </w:r>
    </w:p>
    <w:p w14:paraId="0C84E2AD" w14:textId="77777777" w:rsidR="00544798" w:rsidRPr="00C64808" w:rsidRDefault="00544798" w:rsidP="00544798"/>
    <w:p w14:paraId="032D3027" w14:textId="77777777" w:rsidR="00544798" w:rsidRDefault="00544798">
      <w:pPr>
        <w:rPr>
          <w:rFonts w:asciiTheme="majorHAnsi" w:eastAsiaTheme="majorEastAsia" w:hAnsiTheme="majorHAnsi" w:cstheme="majorBidi"/>
          <w:color w:val="2F5496" w:themeColor="accent1" w:themeShade="BF"/>
          <w:sz w:val="36"/>
        </w:rPr>
      </w:pPr>
      <w:bookmarkStart w:id="1129" w:name="_Toc154569737"/>
      <w:r>
        <w:br w:type="page"/>
      </w:r>
    </w:p>
    <w:p w14:paraId="60F8B41A" w14:textId="5E2316C3" w:rsidR="00544798" w:rsidRDefault="00544798" w:rsidP="00544798">
      <w:pPr>
        <w:pStyle w:val="Heading3"/>
      </w:pPr>
      <w:bookmarkStart w:id="1130" w:name="_Toc162267768"/>
      <w:r>
        <w:lastRenderedPageBreak/>
        <w:t>Appendix E: Data Sources</w:t>
      </w:r>
      <w:bookmarkEnd w:id="1129"/>
      <w:bookmarkEnd w:id="1130"/>
    </w:p>
    <w:p w14:paraId="40223E8F" w14:textId="77777777" w:rsidR="00544798" w:rsidRDefault="00544798" w:rsidP="00544798">
      <w:pPr>
        <w:pStyle w:val="Heading5"/>
      </w:pPr>
      <w:r w:rsidRPr="002A286B">
        <w:t>2022 SCICH State of Homelessness Report</w:t>
      </w:r>
      <w:r>
        <w:t>.</w:t>
      </w:r>
    </w:p>
    <w:p w14:paraId="7CC6CA1D" w14:textId="77777777" w:rsidR="00544798" w:rsidRPr="002A286B" w:rsidRDefault="00544798" w:rsidP="00926EB3">
      <w:pPr>
        <w:pStyle w:val="ListParagraph"/>
        <w:numPr>
          <w:ilvl w:val="0"/>
          <w:numId w:val="70"/>
        </w:numPr>
      </w:pPr>
      <w:r w:rsidRPr="002A286B">
        <w:t>Owner: SC Interagency Council on Homelessness</w:t>
      </w:r>
      <w:r>
        <w:t>.</w:t>
      </w:r>
    </w:p>
    <w:p w14:paraId="7144B664" w14:textId="77777777" w:rsidR="00544798" w:rsidRPr="002A286B" w:rsidRDefault="00544798" w:rsidP="00926EB3">
      <w:pPr>
        <w:pStyle w:val="ListParagraph"/>
        <w:numPr>
          <w:ilvl w:val="0"/>
          <w:numId w:val="70"/>
        </w:numPr>
      </w:pPr>
      <w:r w:rsidRPr="002A286B">
        <w:t>Type: Secondary</w:t>
      </w:r>
      <w:r>
        <w:t>.</w:t>
      </w:r>
    </w:p>
    <w:p w14:paraId="7415FDE8" w14:textId="77777777" w:rsidR="00544798" w:rsidRPr="002A286B" w:rsidRDefault="00544798" w:rsidP="00926EB3">
      <w:pPr>
        <w:pStyle w:val="ListParagraph"/>
        <w:numPr>
          <w:ilvl w:val="0"/>
          <w:numId w:val="70"/>
        </w:numPr>
      </w:pPr>
      <w:r w:rsidRPr="002A286B">
        <w:t>Overview: This report was prepared by the South Carolina Interagency Council on Homelessness (SCICH), its partner agencies and the state's four US Dept of HUD Continuums of Care (CoC). This report takes a broad look at homelessness across our state, but also provides a closer look at varying data sets, when in comparison, offer a holistic view of the state of homelessness in South Carolina. Many of these data sets include key trends and indicators that provide our communities with the data needed to prepare for the months and years ahead, as we work together to make homelessness brief, rare and non-recurring.</w:t>
      </w:r>
      <w:r w:rsidRPr="002A286B">
        <w:tab/>
      </w:r>
    </w:p>
    <w:p w14:paraId="0ABA968F" w14:textId="77777777" w:rsidR="00544798" w:rsidRPr="002A286B" w:rsidRDefault="00544798" w:rsidP="00926EB3">
      <w:pPr>
        <w:pStyle w:val="ListParagraph"/>
        <w:numPr>
          <w:ilvl w:val="0"/>
          <w:numId w:val="70"/>
        </w:numPr>
      </w:pPr>
      <w:r w:rsidRPr="002A286B">
        <w:t>Strength(s): The data sources used in this report include South Carolina HMIS data, Point in Time Count data, data from the US Department of Veterans Affairs, McKinney-Vento data (data on children experiencing homelessness in SC schools); PATH data (Projects for Assistance in Transition from Homelessness), data from the SC Department of Corrections, and United Way’s 211 system.</w:t>
      </w:r>
    </w:p>
    <w:p w14:paraId="332EA75E" w14:textId="77777777" w:rsidR="00544798" w:rsidRPr="002A286B" w:rsidRDefault="00544798" w:rsidP="00926EB3">
      <w:pPr>
        <w:pStyle w:val="ListParagraph"/>
        <w:numPr>
          <w:ilvl w:val="0"/>
          <w:numId w:val="70"/>
        </w:numPr>
      </w:pPr>
      <w:r w:rsidRPr="002A286B">
        <w:t>Limitation(s): COVID-19 had impacted the collection of the primary sou</w:t>
      </w:r>
      <w:r>
        <w:t>r</w:t>
      </w:r>
      <w:r w:rsidRPr="002A286B">
        <w:t>ces (i.e.) of this secon</w:t>
      </w:r>
      <w:r>
        <w:t>d</w:t>
      </w:r>
      <w:r w:rsidRPr="002A286B">
        <w:t>ary source. When working with secondary data, one of the challenges is the potential difficulty in identifying the suitable variables that align with our specific objectives.</w:t>
      </w:r>
    </w:p>
    <w:p w14:paraId="1FD79C90" w14:textId="77777777" w:rsidR="00544798" w:rsidRPr="002A286B" w:rsidRDefault="00544798" w:rsidP="00926EB3">
      <w:pPr>
        <w:pStyle w:val="ListParagraph"/>
        <w:numPr>
          <w:ilvl w:val="0"/>
          <w:numId w:val="70"/>
        </w:numPr>
      </w:pPr>
      <w:r w:rsidRPr="002A286B">
        <w:t xml:space="preserve">Access: </w:t>
      </w:r>
      <w:hyperlink r:id="rId562" w:history="1">
        <w:r>
          <w:rPr>
            <w:rStyle w:val="Hyperlink"/>
          </w:rPr>
          <w:t>SC Interagency Council on Homelessness website.</w:t>
        </w:r>
      </w:hyperlink>
    </w:p>
    <w:p w14:paraId="2D9E0ADE" w14:textId="77777777" w:rsidR="00544798" w:rsidRPr="002A286B" w:rsidRDefault="00544798" w:rsidP="00544798"/>
    <w:p w14:paraId="2313B639" w14:textId="77777777" w:rsidR="00544798" w:rsidRPr="002A286B" w:rsidRDefault="00544798" w:rsidP="00544798">
      <w:pPr>
        <w:pStyle w:val="Heading5"/>
      </w:pPr>
      <w:r w:rsidRPr="002A286B">
        <w:t>American Community Survey (ACS)</w:t>
      </w:r>
    </w:p>
    <w:p w14:paraId="46427ECD" w14:textId="77777777" w:rsidR="00544798" w:rsidRDefault="00544798" w:rsidP="00926EB3">
      <w:pPr>
        <w:pStyle w:val="ListParagraph"/>
        <w:numPr>
          <w:ilvl w:val="0"/>
          <w:numId w:val="71"/>
        </w:numPr>
      </w:pPr>
      <w:r w:rsidRPr="002A286B">
        <w:t>Owner: US Census Bureau</w:t>
      </w:r>
      <w:r>
        <w:t>.</w:t>
      </w:r>
    </w:p>
    <w:p w14:paraId="00074D00" w14:textId="77777777" w:rsidR="00544798" w:rsidRDefault="00544798" w:rsidP="00926EB3">
      <w:pPr>
        <w:pStyle w:val="ListParagraph"/>
        <w:numPr>
          <w:ilvl w:val="0"/>
          <w:numId w:val="71"/>
        </w:numPr>
      </w:pPr>
      <w:r w:rsidRPr="002A286B">
        <w:t>Type: Secondary</w:t>
      </w:r>
      <w:r>
        <w:t>.</w:t>
      </w:r>
    </w:p>
    <w:p w14:paraId="3321BA43" w14:textId="77777777" w:rsidR="00544798" w:rsidRDefault="00544798" w:rsidP="00926EB3">
      <w:pPr>
        <w:pStyle w:val="ListParagraph"/>
        <w:numPr>
          <w:ilvl w:val="0"/>
          <w:numId w:val="71"/>
        </w:numPr>
      </w:pPr>
      <w:r w:rsidRPr="002A286B">
        <w:t xml:space="preserve">Overview: The American Community Survey is conducted by the US Census and provides a way for analyzing social, economic, and geographic data. It provides socioeconomic information about individuals at the national, state, county, and zip code level.  </w:t>
      </w:r>
      <w:r w:rsidRPr="002A286B">
        <w:tab/>
      </w:r>
    </w:p>
    <w:p w14:paraId="2FF37E33" w14:textId="77777777" w:rsidR="00544798" w:rsidRDefault="00544798" w:rsidP="00926EB3">
      <w:pPr>
        <w:pStyle w:val="ListParagraph"/>
        <w:numPr>
          <w:ilvl w:val="0"/>
          <w:numId w:val="71"/>
        </w:numPr>
      </w:pPr>
      <w:r w:rsidRPr="002A286B">
        <w:t>Strength(s): It provides local and national leaders with the information they need for programs, economic development, emergency management, and understanding local issues and conditions.</w:t>
      </w:r>
    </w:p>
    <w:p w14:paraId="2B3D342F" w14:textId="77777777" w:rsidR="00544798" w:rsidRDefault="00544798" w:rsidP="00926EB3">
      <w:pPr>
        <w:pStyle w:val="ListParagraph"/>
        <w:numPr>
          <w:ilvl w:val="0"/>
          <w:numId w:val="71"/>
        </w:numPr>
      </w:pPr>
      <w:r w:rsidRPr="002A286B">
        <w:lastRenderedPageBreak/>
        <w:t>Limitation(s): Assessment done every two years, doesn't test every area of water.</w:t>
      </w:r>
    </w:p>
    <w:p w14:paraId="6607B7C1" w14:textId="77777777" w:rsidR="00544798" w:rsidRPr="002A286B" w:rsidRDefault="00544798" w:rsidP="00926EB3">
      <w:pPr>
        <w:pStyle w:val="ListParagraph"/>
        <w:numPr>
          <w:ilvl w:val="0"/>
          <w:numId w:val="71"/>
        </w:numPr>
      </w:pPr>
      <w:r w:rsidRPr="002A286B">
        <w:t xml:space="preserve">Access: </w:t>
      </w:r>
      <w:hyperlink r:id="rId563" w:history="1">
        <w:r w:rsidRPr="004E2055">
          <w:rPr>
            <w:rStyle w:val="Hyperlink"/>
          </w:rPr>
          <w:t>US Census Bureau website.</w:t>
        </w:r>
      </w:hyperlink>
    </w:p>
    <w:p w14:paraId="5121484B" w14:textId="77777777" w:rsidR="00544798" w:rsidRPr="002A286B" w:rsidRDefault="00544798" w:rsidP="00544798"/>
    <w:p w14:paraId="04DF55A4" w14:textId="77777777" w:rsidR="00544798" w:rsidRPr="002A286B" w:rsidRDefault="00544798" w:rsidP="00544798">
      <w:pPr>
        <w:pStyle w:val="Heading5"/>
      </w:pPr>
      <w:r w:rsidRPr="002A286B">
        <w:t>Annual Impact 2022</w:t>
      </w:r>
    </w:p>
    <w:p w14:paraId="06E539BE" w14:textId="77777777" w:rsidR="00544798" w:rsidRDefault="00544798" w:rsidP="00926EB3">
      <w:pPr>
        <w:pStyle w:val="ListParagraph"/>
        <w:numPr>
          <w:ilvl w:val="0"/>
          <w:numId w:val="72"/>
        </w:numPr>
      </w:pPr>
      <w:r w:rsidRPr="002A286B">
        <w:t>Owner: SC Office of Rural Health</w:t>
      </w:r>
      <w:r>
        <w:t>.</w:t>
      </w:r>
    </w:p>
    <w:p w14:paraId="22E4D43D" w14:textId="77777777" w:rsidR="00544798" w:rsidRDefault="00544798" w:rsidP="00926EB3">
      <w:pPr>
        <w:pStyle w:val="ListParagraph"/>
        <w:numPr>
          <w:ilvl w:val="0"/>
          <w:numId w:val="72"/>
        </w:numPr>
      </w:pPr>
      <w:r w:rsidRPr="002A286B">
        <w:t>Type: Secondary</w:t>
      </w:r>
      <w:r>
        <w:t>.</w:t>
      </w:r>
    </w:p>
    <w:p w14:paraId="3FAEF410" w14:textId="77777777" w:rsidR="00544798" w:rsidRDefault="00544798" w:rsidP="00926EB3">
      <w:pPr>
        <w:pStyle w:val="ListParagraph"/>
        <w:numPr>
          <w:ilvl w:val="0"/>
          <w:numId w:val="72"/>
        </w:numPr>
      </w:pPr>
      <w:r w:rsidRPr="002A286B">
        <w:t>Overview: This document summarizes the various programs SC ORH in SC and its impact.</w:t>
      </w:r>
    </w:p>
    <w:p w14:paraId="35D5E3BA" w14:textId="77777777" w:rsidR="00544798" w:rsidRDefault="00544798" w:rsidP="00926EB3">
      <w:pPr>
        <w:pStyle w:val="ListParagraph"/>
        <w:numPr>
          <w:ilvl w:val="0"/>
          <w:numId w:val="72"/>
        </w:numPr>
      </w:pPr>
      <w:r w:rsidRPr="002A286B">
        <w:t>Strength(s): The Annual Impact Report 2022 from the South Carolina Office of Rural Health (SCORH) provides valuable insights into their efforts to promote health equity and strengthen rural communities in South Carolina.</w:t>
      </w:r>
    </w:p>
    <w:p w14:paraId="698E2F35" w14:textId="77777777" w:rsidR="00544798" w:rsidRDefault="00544798" w:rsidP="00926EB3">
      <w:pPr>
        <w:pStyle w:val="ListParagraph"/>
        <w:numPr>
          <w:ilvl w:val="0"/>
          <w:numId w:val="72"/>
        </w:numPr>
      </w:pPr>
      <w:r w:rsidRPr="002A286B">
        <w:t>Limitation(s): The report relies on available data, which may have limitations such as incomplete records or delays in reporting. The report primarily focuses on past achievements. It may not provide detailed projections for future impact.</w:t>
      </w:r>
    </w:p>
    <w:p w14:paraId="0EB5FFE4" w14:textId="77777777" w:rsidR="00544798" w:rsidRPr="002A286B" w:rsidRDefault="00544798" w:rsidP="00926EB3">
      <w:pPr>
        <w:pStyle w:val="ListParagraph"/>
        <w:numPr>
          <w:ilvl w:val="0"/>
          <w:numId w:val="72"/>
        </w:numPr>
      </w:pPr>
      <w:r w:rsidRPr="002A286B">
        <w:t xml:space="preserve">Access: </w:t>
      </w:r>
      <w:hyperlink r:id="rId564" w:history="1">
        <w:r w:rsidRPr="004E2055">
          <w:rPr>
            <w:rStyle w:val="Hyperlink"/>
          </w:rPr>
          <w:t>SC Office of Rural Health website.</w:t>
        </w:r>
      </w:hyperlink>
    </w:p>
    <w:p w14:paraId="77267610" w14:textId="77777777" w:rsidR="00544798" w:rsidRPr="002A286B" w:rsidRDefault="00544798" w:rsidP="00544798"/>
    <w:p w14:paraId="198C3269" w14:textId="77777777" w:rsidR="00544798" w:rsidRPr="002A286B" w:rsidRDefault="00544798" w:rsidP="00544798">
      <w:pPr>
        <w:pStyle w:val="Heading5"/>
      </w:pPr>
      <w:r w:rsidRPr="002A286B">
        <w:t>Annual State Public Water System Annual Reports</w:t>
      </w:r>
    </w:p>
    <w:p w14:paraId="32769D85" w14:textId="77777777" w:rsidR="00544798" w:rsidRDefault="00544798" w:rsidP="00926EB3">
      <w:pPr>
        <w:pStyle w:val="ListParagraph"/>
        <w:numPr>
          <w:ilvl w:val="0"/>
          <w:numId w:val="73"/>
        </w:numPr>
      </w:pPr>
      <w:r w:rsidRPr="002A286B">
        <w:t>Owner: SC DHEC, Bureau of Water</w:t>
      </w:r>
      <w:r>
        <w:t>.</w:t>
      </w:r>
    </w:p>
    <w:p w14:paraId="0B85B3B6" w14:textId="77777777" w:rsidR="00544798" w:rsidRDefault="00544798" w:rsidP="00926EB3">
      <w:pPr>
        <w:pStyle w:val="ListParagraph"/>
        <w:numPr>
          <w:ilvl w:val="0"/>
          <w:numId w:val="73"/>
        </w:numPr>
      </w:pPr>
      <w:r w:rsidRPr="002A286B">
        <w:t>Type: Primary</w:t>
      </w:r>
      <w:r>
        <w:t>.</w:t>
      </w:r>
    </w:p>
    <w:p w14:paraId="234C1008" w14:textId="77777777" w:rsidR="00544798" w:rsidRDefault="00544798" w:rsidP="00926EB3">
      <w:pPr>
        <w:pStyle w:val="ListParagraph"/>
        <w:numPr>
          <w:ilvl w:val="0"/>
          <w:numId w:val="73"/>
        </w:numPr>
      </w:pPr>
      <w:r w:rsidRPr="002A286B">
        <w:t>Overview: The data is based on reported Public Water System inventory information, the incidence of Maximum Contaminant Level, Maximum Residual Disinfectant Level, monitoring and reporting of treatment technique violations, and information on enforcement activity related to these violations in South Carolina.</w:t>
      </w:r>
      <w:r w:rsidRPr="002A286B">
        <w:tab/>
      </w:r>
    </w:p>
    <w:p w14:paraId="380FBE40" w14:textId="77777777" w:rsidR="00544798" w:rsidRDefault="00544798" w:rsidP="00926EB3">
      <w:pPr>
        <w:pStyle w:val="ListParagraph"/>
        <w:numPr>
          <w:ilvl w:val="0"/>
          <w:numId w:val="73"/>
        </w:numPr>
      </w:pPr>
      <w:r w:rsidRPr="002A286B">
        <w:t xml:space="preserve">Strength(s): Updated annually for all public water systems in the </w:t>
      </w:r>
      <w:proofErr w:type="gramStart"/>
      <w:r w:rsidRPr="002A286B">
        <w:t>state</w:t>
      </w:r>
      <w:proofErr w:type="gramEnd"/>
      <w:r w:rsidRPr="002A286B">
        <w:tab/>
      </w:r>
    </w:p>
    <w:p w14:paraId="4F0271B2" w14:textId="77777777" w:rsidR="00544798" w:rsidRDefault="00544798" w:rsidP="00926EB3">
      <w:pPr>
        <w:pStyle w:val="ListParagraph"/>
        <w:numPr>
          <w:ilvl w:val="0"/>
          <w:numId w:val="73"/>
        </w:numPr>
      </w:pPr>
      <w:r w:rsidRPr="002A286B">
        <w:t>Limitation(s): Does not highlight private water systems or provide demographic information of those living in the Public Water Systems.</w:t>
      </w:r>
      <w:r w:rsidRPr="002A286B">
        <w:tab/>
      </w:r>
    </w:p>
    <w:p w14:paraId="2BD08857" w14:textId="77777777" w:rsidR="00544798" w:rsidRPr="004E2055" w:rsidRDefault="00544798" w:rsidP="00926EB3">
      <w:pPr>
        <w:pStyle w:val="ListParagraph"/>
        <w:numPr>
          <w:ilvl w:val="0"/>
          <w:numId w:val="73"/>
        </w:numPr>
      </w:pPr>
      <w:r w:rsidRPr="002A286B">
        <w:t xml:space="preserve">Access: </w:t>
      </w:r>
      <w:hyperlink r:id="rId565" w:history="1">
        <w:r w:rsidRPr="004E2055">
          <w:rPr>
            <w:rStyle w:val="Hyperlink"/>
          </w:rPr>
          <w:t>SC DHEC, Bureau of Water website.</w:t>
        </w:r>
      </w:hyperlink>
    </w:p>
    <w:p w14:paraId="7A0B40CD" w14:textId="77777777" w:rsidR="00544798" w:rsidRPr="002A286B" w:rsidRDefault="00544798" w:rsidP="00544798"/>
    <w:p w14:paraId="1CC1F874" w14:textId="77777777" w:rsidR="00544798" w:rsidRPr="002A286B" w:rsidRDefault="00544798" w:rsidP="00544798">
      <w:pPr>
        <w:pStyle w:val="Heading5"/>
      </w:pPr>
      <w:r w:rsidRPr="002A286B">
        <w:t>Behavioral Risk Factor Surveillance System (BRFSS)</w:t>
      </w:r>
    </w:p>
    <w:p w14:paraId="586536E8" w14:textId="77777777" w:rsidR="00544798" w:rsidRDefault="00544798" w:rsidP="00926EB3">
      <w:pPr>
        <w:pStyle w:val="ListParagraph"/>
        <w:numPr>
          <w:ilvl w:val="0"/>
          <w:numId w:val="74"/>
        </w:numPr>
      </w:pPr>
      <w:r w:rsidRPr="002A286B">
        <w:t>Owner: SC DHEC, CDC</w:t>
      </w:r>
      <w:r>
        <w:t>.</w:t>
      </w:r>
    </w:p>
    <w:p w14:paraId="3DF84809" w14:textId="77777777" w:rsidR="00544798" w:rsidRDefault="00544798" w:rsidP="00926EB3">
      <w:pPr>
        <w:pStyle w:val="ListParagraph"/>
        <w:numPr>
          <w:ilvl w:val="0"/>
          <w:numId w:val="74"/>
        </w:numPr>
      </w:pPr>
      <w:r w:rsidRPr="002A286B">
        <w:t>Type: Primary</w:t>
      </w:r>
      <w:r>
        <w:t>.</w:t>
      </w:r>
    </w:p>
    <w:p w14:paraId="78F04E5E" w14:textId="77777777" w:rsidR="00544798" w:rsidRDefault="00544798" w:rsidP="00926EB3">
      <w:pPr>
        <w:pStyle w:val="ListParagraph"/>
        <w:numPr>
          <w:ilvl w:val="0"/>
          <w:numId w:val="74"/>
        </w:numPr>
      </w:pPr>
      <w:r w:rsidRPr="002A286B">
        <w:t xml:space="preserve">Overview: BRFSS is the world's largest random telephone survey of noninstitutionalized population aged 18 or older that is used to track health </w:t>
      </w:r>
      <w:r w:rsidRPr="002A286B">
        <w:lastRenderedPageBreak/>
        <w:t>risks in the United States. It collects data on actual behaviors, rather than on attitudes or knowledge, that would be especially useful for planning, initiating, supporting, and evaluating health promotion and disease prevention programs.</w:t>
      </w:r>
      <w:r w:rsidRPr="002A286B">
        <w:tab/>
      </w:r>
    </w:p>
    <w:p w14:paraId="35FB68D4" w14:textId="77777777" w:rsidR="00544798" w:rsidRDefault="00544798" w:rsidP="00926EB3">
      <w:pPr>
        <w:pStyle w:val="ListParagraph"/>
        <w:numPr>
          <w:ilvl w:val="0"/>
          <w:numId w:val="74"/>
        </w:numPr>
      </w:pPr>
      <w:r w:rsidRPr="002A286B">
        <w:t>Strength(s): Population-based weighted data representative of the SC population. Due to the strong control over survey questions, SC data is comparable to other states. Contributes to national database and allows for the availability to track trends over time. Responses can be immediately checked, and those that are impossible are thrown out.</w:t>
      </w:r>
    </w:p>
    <w:p w14:paraId="08F17073" w14:textId="77777777" w:rsidR="00544798" w:rsidRDefault="00544798" w:rsidP="00926EB3">
      <w:pPr>
        <w:pStyle w:val="ListParagraph"/>
        <w:numPr>
          <w:ilvl w:val="0"/>
          <w:numId w:val="74"/>
        </w:numPr>
      </w:pPr>
      <w:r w:rsidRPr="002A286B">
        <w:t>Limitation(s): Self-reported data, anonymous, and cannot be linked with other databases. Due to small sample sizes, county and zip code level data is sometimes impossible. Only captures individuals who choose to participate in the telephone survey, and as such response rates have been declining over time.</w:t>
      </w:r>
      <w:r w:rsidRPr="002A286B">
        <w:tab/>
      </w:r>
    </w:p>
    <w:p w14:paraId="3173A0AE" w14:textId="77777777" w:rsidR="00544798" w:rsidRPr="002A286B" w:rsidRDefault="00544798" w:rsidP="00926EB3">
      <w:pPr>
        <w:pStyle w:val="ListParagraph"/>
        <w:numPr>
          <w:ilvl w:val="0"/>
          <w:numId w:val="74"/>
        </w:numPr>
      </w:pPr>
      <w:r w:rsidRPr="002A286B">
        <w:t>Access:</w:t>
      </w:r>
      <w:hyperlink r:id="rId566" w:history="1">
        <w:r w:rsidRPr="004E2055">
          <w:rPr>
            <w:rStyle w:val="Hyperlink"/>
          </w:rPr>
          <w:t xml:space="preserve"> SC DHEC, Behavioral Risk Factor Surveys website.</w:t>
        </w:r>
      </w:hyperlink>
    </w:p>
    <w:p w14:paraId="3BE7EFD4" w14:textId="77777777" w:rsidR="00544798" w:rsidRPr="002A286B" w:rsidRDefault="00544798" w:rsidP="00544798"/>
    <w:p w14:paraId="4BE86FD5" w14:textId="77777777" w:rsidR="00544798" w:rsidRPr="002A286B" w:rsidRDefault="00544798" w:rsidP="00544798">
      <w:pPr>
        <w:pStyle w:val="Heading5"/>
      </w:pPr>
      <w:r w:rsidRPr="002A286B">
        <w:t>Birth Defects Program</w:t>
      </w:r>
    </w:p>
    <w:p w14:paraId="2F1713B9" w14:textId="77777777" w:rsidR="00544798" w:rsidRDefault="00544798" w:rsidP="00926EB3">
      <w:pPr>
        <w:pStyle w:val="ListParagraph"/>
        <w:numPr>
          <w:ilvl w:val="0"/>
          <w:numId w:val="75"/>
        </w:numPr>
      </w:pPr>
      <w:r w:rsidRPr="002A286B">
        <w:t>Owner: SC DHEC</w:t>
      </w:r>
      <w:r>
        <w:t>.</w:t>
      </w:r>
    </w:p>
    <w:p w14:paraId="235C75C7" w14:textId="77777777" w:rsidR="00544798" w:rsidRDefault="00544798" w:rsidP="00926EB3">
      <w:pPr>
        <w:pStyle w:val="ListParagraph"/>
        <w:numPr>
          <w:ilvl w:val="0"/>
          <w:numId w:val="75"/>
        </w:numPr>
      </w:pPr>
      <w:r w:rsidRPr="002A286B">
        <w:t>Type: Primary</w:t>
      </w:r>
      <w:r>
        <w:t>.</w:t>
      </w:r>
    </w:p>
    <w:p w14:paraId="2D1F1767" w14:textId="77777777" w:rsidR="00544798" w:rsidRDefault="00544798" w:rsidP="00926EB3">
      <w:pPr>
        <w:pStyle w:val="ListParagraph"/>
        <w:numPr>
          <w:ilvl w:val="0"/>
          <w:numId w:val="75"/>
        </w:numPr>
      </w:pPr>
      <w:r w:rsidRPr="002A286B">
        <w:t>Overview: In 2004, South Carolina government officials created a way to track birth defects through a law called “The South Carolina Birth Defects Act.” The South Carolina Birth Defects Program (SCBDP) was created through this law. The SCBDP is required to monitor birth defects and refer families impacted by birth defects to services</w:t>
      </w:r>
      <w:r>
        <w:t>.</w:t>
      </w:r>
    </w:p>
    <w:p w14:paraId="1CD1A888" w14:textId="77777777" w:rsidR="00544798" w:rsidRDefault="00544798" w:rsidP="00926EB3">
      <w:pPr>
        <w:pStyle w:val="ListParagraph"/>
        <w:numPr>
          <w:ilvl w:val="0"/>
          <w:numId w:val="75"/>
        </w:numPr>
      </w:pPr>
      <w:r w:rsidRPr="002A286B">
        <w:t>Strength(s): From 2008-2017, the SCBDP identified over 12,000 cases of birth defects in South Carolina from patients admitted to inpatient facilities. These cases are found through the program’s partnerships with hospitals.</w:t>
      </w:r>
    </w:p>
    <w:p w14:paraId="323B2247" w14:textId="77777777" w:rsidR="00544798" w:rsidRDefault="00544798" w:rsidP="00926EB3">
      <w:pPr>
        <w:pStyle w:val="ListParagraph"/>
        <w:numPr>
          <w:ilvl w:val="0"/>
          <w:numId w:val="75"/>
        </w:numPr>
      </w:pPr>
      <w:r w:rsidRPr="002A286B">
        <w:t>Limitation(s): Unfortunately, not all birth defects are found by the SCBDP due to patients with birth defects like those from families who may travel to other states for delivery or care.</w:t>
      </w:r>
    </w:p>
    <w:p w14:paraId="219ED277" w14:textId="77777777" w:rsidR="00544798" w:rsidRPr="002A286B" w:rsidRDefault="00544798" w:rsidP="00926EB3">
      <w:pPr>
        <w:pStyle w:val="ListParagraph"/>
        <w:numPr>
          <w:ilvl w:val="0"/>
          <w:numId w:val="75"/>
        </w:numPr>
      </w:pPr>
      <w:r w:rsidRPr="002A286B">
        <w:t xml:space="preserve">Access: </w:t>
      </w:r>
      <w:hyperlink r:id="rId567" w:history="1">
        <w:r w:rsidRPr="004E2055">
          <w:rPr>
            <w:rStyle w:val="Hyperlink"/>
          </w:rPr>
          <w:t>South Carolina Birth Defects Program Resource Guide</w:t>
        </w:r>
      </w:hyperlink>
      <w:r>
        <w:t>.</w:t>
      </w:r>
    </w:p>
    <w:p w14:paraId="64FCDC72" w14:textId="77777777" w:rsidR="00544798" w:rsidRPr="002A286B" w:rsidRDefault="00544798" w:rsidP="00544798"/>
    <w:p w14:paraId="53A1EA9D" w14:textId="77777777" w:rsidR="00544798" w:rsidRPr="002A286B" w:rsidRDefault="00544798" w:rsidP="00544798">
      <w:pPr>
        <w:pStyle w:val="Heading5"/>
      </w:pPr>
      <w:r w:rsidRPr="002A286B">
        <w:t>America's Health Rankings (AHR)</w:t>
      </w:r>
    </w:p>
    <w:p w14:paraId="05B263C7" w14:textId="77777777" w:rsidR="00544798" w:rsidRDefault="00544798" w:rsidP="00926EB3">
      <w:pPr>
        <w:pStyle w:val="ListParagraph"/>
        <w:numPr>
          <w:ilvl w:val="0"/>
          <w:numId w:val="76"/>
        </w:numPr>
      </w:pPr>
      <w:r w:rsidRPr="002A286B">
        <w:t xml:space="preserve">Owner: United Health Foundation </w:t>
      </w:r>
    </w:p>
    <w:p w14:paraId="27AA7B7F" w14:textId="77777777" w:rsidR="00544798" w:rsidRDefault="00544798" w:rsidP="00926EB3">
      <w:pPr>
        <w:pStyle w:val="ListParagraph"/>
        <w:numPr>
          <w:ilvl w:val="0"/>
          <w:numId w:val="76"/>
        </w:numPr>
      </w:pPr>
      <w:r w:rsidRPr="002A286B">
        <w:t>Type: Secondary</w:t>
      </w:r>
    </w:p>
    <w:p w14:paraId="52508570" w14:textId="77777777" w:rsidR="00544798" w:rsidRDefault="00544798" w:rsidP="00926EB3">
      <w:pPr>
        <w:pStyle w:val="ListParagraph"/>
        <w:numPr>
          <w:ilvl w:val="0"/>
          <w:numId w:val="76"/>
        </w:numPr>
      </w:pPr>
      <w:r w:rsidRPr="002A286B">
        <w:t xml:space="preserve">Overview: Concentrated advantage is a measure of 5 components: Percentage of households (with children) that are located in census tracts </w:t>
      </w:r>
      <w:r w:rsidRPr="002A286B">
        <w:lastRenderedPageBreak/>
        <w:t>for which the averaged z-score of the following factors is above the 75th percentile for: 1) family households below the poverty line, 2) individuals receiving public assistance, 3) female-headed households, 4) unemployment ages 16 and older and 5) population younger than 18 .N.B. Major sou</w:t>
      </w:r>
      <w:r>
        <w:t>rc</w:t>
      </w:r>
      <w:r w:rsidRPr="002A286B">
        <w:t xml:space="preserve">es of this data is U.S. Census Bureau, American Community survey 2017 </w:t>
      </w:r>
      <w:r>
        <w:t>–</w:t>
      </w:r>
      <w:r w:rsidRPr="002A286B">
        <w:t xml:space="preserve"> 2020</w:t>
      </w:r>
    </w:p>
    <w:p w14:paraId="761BEC68" w14:textId="77777777" w:rsidR="00544798" w:rsidRDefault="00544798" w:rsidP="00926EB3">
      <w:pPr>
        <w:pStyle w:val="ListParagraph"/>
        <w:numPr>
          <w:ilvl w:val="0"/>
          <w:numId w:val="76"/>
        </w:numPr>
      </w:pPr>
      <w:r w:rsidRPr="002A286B">
        <w:t>Strength(s): The data highlight areas of social and economic challenge. By focusing on neighborhoods with high poverty rates, unemployment, and other risk factors, it provides valuable insights for policymakers and researchers.</w:t>
      </w:r>
    </w:p>
    <w:p w14:paraId="28494001" w14:textId="77777777" w:rsidR="00544798" w:rsidRDefault="00544798" w:rsidP="00926EB3">
      <w:pPr>
        <w:pStyle w:val="ListParagraph"/>
        <w:numPr>
          <w:ilvl w:val="0"/>
          <w:numId w:val="76"/>
        </w:numPr>
      </w:pPr>
      <w:r w:rsidRPr="002A286B">
        <w:t>Limitation(s): The data may not fully represent all disadvantaged areas, as it focuses on specific census tracts. Another limitation is that it is the data is aggregated at the census tract level, which may not capture local variations. In addition to th</w:t>
      </w:r>
      <w:r>
        <w:t>is,</w:t>
      </w:r>
      <w:r w:rsidRPr="002A286B">
        <w:t xml:space="preserve"> some factors rely on self-reported information, which can introduce biases. Finally, </w:t>
      </w:r>
      <w:r>
        <w:t>i</w:t>
      </w:r>
      <w:r w:rsidRPr="002A286B">
        <w:t xml:space="preserve">t doesn't account for other contextual factors affecting disadvantage. </w:t>
      </w:r>
      <w:proofErr w:type="gramStart"/>
      <w:r w:rsidRPr="002A286B">
        <w:t>Therefore</w:t>
      </w:r>
      <w:proofErr w:type="gramEnd"/>
      <w:r w:rsidRPr="002A286B">
        <w:t xml:space="preserve"> we need to remember these limitations when interpreting the data.</w:t>
      </w:r>
    </w:p>
    <w:p w14:paraId="1D292156" w14:textId="77777777" w:rsidR="00544798" w:rsidRPr="002A286B" w:rsidRDefault="00544798" w:rsidP="00926EB3">
      <w:pPr>
        <w:pStyle w:val="ListParagraph"/>
        <w:numPr>
          <w:ilvl w:val="0"/>
          <w:numId w:val="76"/>
        </w:numPr>
      </w:pPr>
      <w:r w:rsidRPr="002A286B">
        <w:t xml:space="preserve">Access: </w:t>
      </w:r>
      <w:hyperlink r:id="rId568" w:history="1">
        <w:r w:rsidRPr="001A2126">
          <w:rPr>
            <w:rStyle w:val="Hyperlink"/>
          </w:rPr>
          <w:t>America's Health Rankings website.</w:t>
        </w:r>
      </w:hyperlink>
    </w:p>
    <w:p w14:paraId="4DF091D8" w14:textId="77777777" w:rsidR="00544798" w:rsidRPr="002A286B" w:rsidRDefault="00544798" w:rsidP="00544798"/>
    <w:p w14:paraId="2117EEC0" w14:textId="77777777" w:rsidR="00544798" w:rsidRPr="002A286B" w:rsidRDefault="00544798" w:rsidP="00544798">
      <w:pPr>
        <w:pStyle w:val="Heading5"/>
      </w:pPr>
      <w:r w:rsidRPr="002A286B">
        <w:t>County Health Rankings</w:t>
      </w:r>
    </w:p>
    <w:p w14:paraId="2E2F0914" w14:textId="77777777" w:rsidR="00544798" w:rsidRDefault="00544798" w:rsidP="00926EB3">
      <w:pPr>
        <w:pStyle w:val="ListParagraph"/>
        <w:numPr>
          <w:ilvl w:val="0"/>
          <w:numId w:val="77"/>
        </w:numPr>
      </w:pPr>
      <w:r w:rsidRPr="002A286B">
        <w:t>Owner: University of Wisconsin Population Health Institute</w:t>
      </w:r>
      <w:r>
        <w:t>.</w:t>
      </w:r>
    </w:p>
    <w:p w14:paraId="5D7C0920" w14:textId="77777777" w:rsidR="00544798" w:rsidRDefault="00544798" w:rsidP="00926EB3">
      <w:pPr>
        <w:pStyle w:val="ListParagraph"/>
        <w:numPr>
          <w:ilvl w:val="0"/>
          <w:numId w:val="77"/>
        </w:numPr>
      </w:pPr>
      <w:r w:rsidRPr="002A286B">
        <w:t>Type: Secondary</w:t>
      </w:r>
      <w:r>
        <w:t>.</w:t>
      </w:r>
    </w:p>
    <w:p w14:paraId="7A76E7B0" w14:textId="77777777" w:rsidR="00544798" w:rsidRDefault="00544798" w:rsidP="00926EB3">
      <w:pPr>
        <w:pStyle w:val="ListParagraph"/>
        <w:numPr>
          <w:ilvl w:val="0"/>
          <w:numId w:val="77"/>
        </w:numPr>
      </w:pPr>
      <w:r w:rsidRPr="002A286B">
        <w:t>Overview: County Health Rankings provides data, evidence, guidance, and examples to build awareness of multiple factors that influence health and support leaders in growing community power to improve health equity.</w:t>
      </w:r>
    </w:p>
    <w:p w14:paraId="3EA34DB0" w14:textId="77777777" w:rsidR="00544798" w:rsidRDefault="00544798" w:rsidP="00926EB3">
      <w:pPr>
        <w:pStyle w:val="ListParagraph"/>
        <w:numPr>
          <w:ilvl w:val="0"/>
          <w:numId w:val="77"/>
        </w:numPr>
      </w:pPr>
      <w:r w:rsidRPr="002A286B">
        <w:t>Strength(s): Data are compiled annually from numerous data sources at the county level. Demographic stratifications are available for some of the indicators along with trend data. Allows for county comparisons.</w:t>
      </w:r>
    </w:p>
    <w:p w14:paraId="19E8316E" w14:textId="77777777" w:rsidR="00544798" w:rsidRDefault="00544798" w:rsidP="00926EB3">
      <w:pPr>
        <w:pStyle w:val="ListParagraph"/>
        <w:numPr>
          <w:ilvl w:val="0"/>
          <w:numId w:val="77"/>
        </w:numPr>
      </w:pPr>
      <w:r w:rsidRPr="002A286B">
        <w:t>Limitation(s): Does not breakdown data at a sub-county level. Demographic breakouts are limited. Data updates can be several years old.</w:t>
      </w:r>
    </w:p>
    <w:p w14:paraId="7BBD104A" w14:textId="77777777" w:rsidR="00544798" w:rsidRPr="002A286B" w:rsidRDefault="00544798" w:rsidP="00926EB3">
      <w:pPr>
        <w:pStyle w:val="ListParagraph"/>
        <w:numPr>
          <w:ilvl w:val="0"/>
          <w:numId w:val="77"/>
        </w:numPr>
      </w:pPr>
      <w:r w:rsidRPr="002A286B">
        <w:t xml:space="preserve">Access: </w:t>
      </w:r>
      <w:hyperlink r:id="rId569" w:history="1">
        <w:r w:rsidRPr="001A2126">
          <w:rPr>
            <w:rStyle w:val="Hyperlink"/>
          </w:rPr>
          <w:t>County Health Rankings website.</w:t>
        </w:r>
      </w:hyperlink>
    </w:p>
    <w:p w14:paraId="1F26E417" w14:textId="77777777" w:rsidR="00544798" w:rsidRPr="002A286B" w:rsidRDefault="00544798" w:rsidP="00544798"/>
    <w:p w14:paraId="32090DEA" w14:textId="77777777" w:rsidR="00544798" w:rsidRPr="002A286B" w:rsidRDefault="00544798" w:rsidP="00544798">
      <w:pPr>
        <w:pStyle w:val="Heading5"/>
      </w:pPr>
      <w:r w:rsidRPr="002A286B">
        <w:t>Crime in South Carolina Book</w:t>
      </w:r>
    </w:p>
    <w:p w14:paraId="20678F65" w14:textId="77777777" w:rsidR="00544798" w:rsidRDefault="00544798" w:rsidP="00926EB3">
      <w:pPr>
        <w:pStyle w:val="ListParagraph"/>
        <w:numPr>
          <w:ilvl w:val="0"/>
          <w:numId w:val="78"/>
        </w:numPr>
      </w:pPr>
      <w:r w:rsidRPr="002A286B">
        <w:t>Owner: SC SLED</w:t>
      </w:r>
      <w:r>
        <w:t>.</w:t>
      </w:r>
    </w:p>
    <w:p w14:paraId="3FF4D0CF" w14:textId="77777777" w:rsidR="00544798" w:rsidRDefault="00544798" w:rsidP="00926EB3">
      <w:pPr>
        <w:pStyle w:val="ListParagraph"/>
        <w:numPr>
          <w:ilvl w:val="0"/>
          <w:numId w:val="78"/>
        </w:numPr>
      </w:pPr>
      <w:r w:rsidRPr="002A286B">
        <w:t>Type: Secondary</w:t>
      </w:r>
      <w:r>
        <w:t>.</w:t>
      </w:r>
    </w:p>
    <w:p w14:paraId="2DFB7B1A" w14:textId="77777777" w:rsidR="00544798" w:rsidRDefault="00544798" w:rsidP="00926EB3">
      <w:pPr>
        <w:pStyle w:val="ListParagraph"/>
        <w:numPr>
          <w:ilvl w:val="0"/>
          <w:numId w:val="78"/>
        </w:numPr>
      </w:pPr>
      <w:r w:rsidRPr="002A286B">
        <w:t xml:space="preserve">Overview: The data utilized in the book is collected by South Carolina's Uniform Crime Reporting program for the purpose of law enforcement </w:t>
      </w:r>
      <w:r w:rsidRPr="002A286B">
        <w:lastRenderedPageBreak/>
        <w:t xml:space="preserve">administration, operation, and management. All data is based on the incident and arrest reports submitted monthly by state and local law enforcement agencies to SLED. All law enforcement agencies are mandated under South Carolina's Code of Laws to report all criminal related data to SLED. </w:t>
      </w:r>
    </w:p>
    <w:p w14:paraId="23AE6F7C" w14:textId="77777777" w:rsidR="00544798" w:rsidRDefault="00544798" w:rsidP="00926EB3">
      <w:pPr>
        <w:pStyle w:val="ListParagraph"/>
        <w:numPr>
          <w:ilvl w:val="0"/>
          <w:numId w:val="78"/>
        </w:numPr>
      </w:pPr>
      <w:r w:rsidRPr="002A286B">
        <w:t xml:space="preserve">Strength(s): All data are legislatively mandated to be reported. Routine quality checks and assurance steps are performed to ensure data accuracy. </w:t>
      </w:r>
    </w:p>
    <w:p w14:paraId="75F7B61F" w14:textId="77777777" w:rsidR="00544798" w:rsidRDefault="00544798" w:rsidP="00926EB3">
      <w:pPr>
        <w:pStyle w:val="ListParagraph"/>
        <w:numPr>
          <w:ilvl w:val="0"/>
          <w:numId w:val="78"/>
        </w:numPr>
      </w:pPr>
      <w:r w:rsidRPr="002A286B">
        <w:t>Limitation(s): Data for reports are only as complete and accurate as the information submitted to SLED. Unreported crimes are not included in the data book.</w:t>
      </w:r>
    </w:p>
    <w:p w14:paraId="3B12A771" w14:textId="77777777" w:rsidR="00544798" w:rsidRPr="002A286B" w:rsidRDefault="00544798" w:rsidP="00926EB3">
      <w:pPr>
        <w:pStyle w:val="ListParagraph"/>
        <w:numPr>
          <w:ilvl w:val="0"/>
          <w:numId w:val="78"/>
        </w:numPr>
      </w:pPr>
      <w:r w:rsidRPr="002A286B">
        <w:t xml:space="preserve">Access: </w:t>
      </w:r>
      <w:hyperlink r:id="rId570" w:history="1">
        <w:r w:rsidRPr="001A2126">
          <w:rPr>
            <w:rStyle w:val="Hyperlink"/>
          </w:rPr>
          <w:t>SLED, Crime Statistics website.</w:t>
        </w:r>
      </w:hyperlink>
    </w:p>
    <w:p w14:paraId="55AE6E58" w14:textId="77777777" w:rsidR="00544798" w:rsidRPr="002A286B" w:rsidRDefault="00544798" w:rsidP="00544798"/>
    <w:p w14:paraId="1FCC0D13" w14:textId="77777777" w:rsidR="00544798" w:rsidRPr="002A286B" w:rsidRDefault="00544798" w:rsidP="00544798">
      <w:pPr>
        <w:pStyle w:val="Heading5"/>
      </w:pPr>
      <w:r w:rsidRPr="002A286B">
        <w:t>Decennial Census 2010</w:t>
      </w:r>
    </w:p>
    <w:p w14:paraId="721E42FA" w14:textId="77777777" w:rsidR="00544798" w:rsidRDefault="00544798" w:rsidP="00926EB3">
      <w:pPr>
        <w:pStyle w:val="ListParagraph"/>
        <w:numPr>
          <w:ilvl w:val="0"/>
          <w:numId w:val="79"/>
        </w:numPr>
      </w:pPr>
      <w:r w:rsidRPr="002A286B">
        <w:t>Owner: U.S. Census Bureau</w:t>
      </w:r>
      <w:r>
        <w:t>.</w:t>
      </w:r>
    </w:p>
    <w:p w14:paraId="0DFC700D" w14:textId="77777777" w:rsidR="00544798" w:rsidRDefault="00544798" w:rsidP="00926EB3">
      <w:pPr>
        <w:pStyle w:val="ListParagraph"/>
        <w:numPr>
          <w:ilvl w:val="0"/>
          <w:numId w:val="79"/>
        </w:numPr>
      </w:pPr>
      <w:r w:rsidRPr="002A286B">
        <w:t>Type: Secondary</w:t>
      </w:r>
      <w:r>
        <w:t>.</w:t>
      </w:r>
    </w:p>
    <w:p w14:paraId="28636689" w14:textId="77777777" w:rsidR="00544798" w:rsidRDefault="00544798" w:rsidP="00926EB3">
      <w:pPr>
        <w:pStyle w:val="ListParagraph"/>
        <w:numPr>
          <w:ilvl w:val="0"/>
          <w:numId w:val="79"/>
        </w:numPr>
      </w:pPr>
      <w:r w:rsidRPr="002A286B">
        <w:t>Overview: Population totals for the nation, states, counties, and Puerto Rico Population for the 2010 census.</w:t>
      </w:r>
    </w:p>
    <w:p w14:paraId="08615803" w14:textId="77777777" w:rsidR="00544798" w:rsidRDefault="00544798" w:rsidP="00926EB3">
      <w:pPr>
        <w:pStyle w:val="ListParagraph"/>
        <w:numPr>
          <w:ilvl w:val="0"/>
          <w:numId w:val="79"/>
        </w:numPr>
      </w:pPr>
      <w:r w:rsidRPr="002A286B">
        <w:t>Strength(s): The census was able to reach all households in the U.S. and Island Areas, providing a complete picture of the population. It captures essential information such as age, sex, race, ethnicity, and relationship status.</w:t>
      </w:r>
    </w:p>
    <w:p w14:paraId="197A0E16" w14:textId="77777777" w:rsidR="00544798" w:rsidRDefault="00544798" w:rsidP="00926EB3">
      <w:pPr>
        <w:pStyle w:val="ListParagraph"/>
        <w:numPr>
          <w:ilvl w:val="0"/>
          <w:numId w:val="79"/>
        </w:numPr>
      </w:pPr>
      <w:r w:rsidRPr="002A286B">
        <w:t xml:space="preserve">Limitation(s): In Census tracts some individuals may not be counted due to factors like language barriers, homelessness, or fear of government. In addition to this, there can be sampling </w:t>
      </w:r>
      <w:proofErr w:type="gramStart"/>
      <w:r w:rsidRPr="002A286B">
        <w:t>errors  in</w:t>
      </w:r>
      <w:proofErr w:type="gramEnd"/>
      <w:r w:rsidRPr="002A286B">
        <w:t xml:space="preserve"> data collection and reporting despite efforts of completeness. The data can also be outdated over time as demographics evolve rapidly. Also, not all households respond, leading to potential of non-response bias in the results.</w:t>
      </w:r>
    </w:p>
    <w:p w14:paraId="7A7B0ECC" w14:textId="575FE627" w:rsidR="00544798" w:rsidRPr="002A286B" w:rsidRDefault="00544798" w:rsidP="00926EB3">
      <w:pPr>
        <w:pStyle w:val="ListParagraph"/>
        <w:numPr>
          <w:ilvl w:val="0"/>
          <w:numId w:val="79"/>
        </w:numPr>
      </w:pPr>
      <w:r w:rsidRPr="002A286B">
        <w:t xml:space="preserve">Access: </w:t>
      </w:r>
      <w:hyperlink r:id="rId571" w:history="1">
        <w:r w:rsidRPr="001A2126">
          <w:rPr>
            <w:rStyle w:val="Hyperlink"/>
          </w:rPr>
          <w:t>Decennial Census 2010 website.</w:t>
        </w:r>
      </w:hyperlink>
    </w:p>
    <w:p w14:paraId="5DF399C6" w14:textId="77777777" w:rsidR="00544798" w:rsidRPr="002A286B" w:rsidRDefault="00544798" w:rsidP="00544798"/>
    <w:p w14:paraId="655F2FE6" w14:textId="77777777" w:rsidR="00544798" w:rsidRPr="002A286B" w:rsidRDefault="00544798" w:rsidP="00544798">
      <w:pPr>
        <w:pStyle w:val="Heading5"/>
      </w:pPr>
      <w:r w:rsidRPr="002A286B">
        <w:t>DHEC Brownfields Voluntary Cleanup Program</w:t>
      </w:r>
    </w:p>
    <w:p w14:paraId="0FBD64C6" w14:textId="77777777" w:rsidR="00544798" w:rsidRDefault="00544798" w:rsidP="00926EB3">
      <w:pPr>
        <w:pStyle w:val="ListParagraph"/>
        <w:numPr>
          <w:ilvl w:val="0"/>
          <w:numId w:val="80"/>
        </w:numPr>
      </w:pPr>
      <w:r w:rsidRPr="002A286B">
        <w:t>Owner: SC DHEC, Bureau of Land and Waste Management</w:t>
      </w:r>
      <w:r>
        <w:t>.</w:t>
      </w:r>
    </w:p>
    <w:p w14:paraId="6FCFA7B7" w14:textId="77777777" w:rsidR="00544798" w:rsidRDefault="00544798" w:rsidP="00926EB3">
      <w:pPr>
        <w:pStyle w:val="ListParagraph"/>
        <w:numPr>
          <w:ilvl w:val="0"/>
          <w:numId w:val="80"/>
        </w:numPr>
      </w:pPr>
      <w:r w:rsidRPr="002A286B">
        <w:t>Type: Secondary</w:t>
      </w:r>
      <w:r>
        <w:t>.</w:t>
      </w:r>
    </w:p>
    <w:p w14:paraId="0C6202A2" w14:textId="77777777" w:rsidR="00544798" w:rsidRDefault="00544798" w:rsidP="00926EB3">
      <w:pPr>
        <w:pStyle w:val="ListParagraph"/>
        <w:numPr>
          <w:ilvl w:val="0"/>
          <w:numId w:val="80"/>
        </w:numPr>
      </w:pPr>
      <w:r w:rsidRPr="002A286B">
        <w:t>Overview: This data is maintained by the Bureau of Land and Waste Management and tracks execution, progress, and completion of progress of projects that support the return of land to beneficial use. The area restored is defined in the plans along with grants and loans associated with the cleanup projects.</w:t>
      </w:r>
    </w:p>
    <w:p w14:paraId="270BAA97" w14:textId="77777777" w:rsidR="00544798" w:rsidRDefault="00544798" w:rsidP="00926EB3">
      <w:pPr>
        <w:pStyle w:val="ListParagraph"/>
        <w:numPr>
          <w:ilvl w:val="0"/>
          <w:numId w:val="80"/>
        </w:numPr>
      </w:pPr>
      <w:r w:rsidRPr="002A286B">
        <w:lastRenderedPageBreak/>
        <w:t>Strength(s): Timely data looking at cleanup programs in the state.</w:t>
      </w:r>
    </w:p>
    <w:p w14:paraId="059C1D01" w14:textId="77777777" w:rsidR="00544798" w:rsidRDefault="00544798" w:rsidP="00926EB3">
      <w:pPr>
        <w:pStyle w:val="ListParagraph"/>
        <w:numPr>
          <w:ilvl w:val="0"/>
          <w:numId w:val="80"/>
        </w:numPr>
      </w:pPr>
      <w:r w:rsidRPr="002A286B">
        <w:t>Limitation(s): Rely on accurate reporting and data being submitted to SC DHEC</w:t>
      </w:r>
      <w:r>
        <w:t>.</w:t>
      </w:r>
    </w:p>
    <w:p w14:paraId="5111610A" w14:textId="77777777" w:rsidR="00544798" w:rsidRPr="002A286B" w:rsidRDefault="00544798" w:rsidP="00926EB3">
      <w:pPr>
        <w:pStyle w:val="ListParagraph"/>
        <w:numPr>
          <w:ilvl w:val="0"/>
          <w:numId w:val="80"/>
        </w:numPr>
      </w:pPr>
      <w:r w:rsidRPr="002A286B">
        <w:t xml:space="preserve">Access: </w:t>
      </w:r>
      <w:hyperlink r:id="rId572" w:history="1">
        <w:r>
          <w:rPr>
            <w:rStyle w:val="Hyperlink"/>
          </w:rPr>
          <w:t>SC DHEC Brownfields/Voluntary Cleanup Program &amp; Loan Fund website.</w:t>
        </w:r>
      </w:hyperlink>
    </w:p>
    <w:p w14:paraId="22C4A6E2" w14:textId="77777777" w:rsidR="00544798" w:rsidRPr="002A286B" w:rsidRDefault="00544798" w:rsidP="00544798"/>
    <w:p w14:paraId="6D42F54E" w14:textId="77777777" w:rsidR="00544798" w:rsidRPr="002A286B" w:rsidRDefault="00544798" w:rsidP="00544798">
      <w:pPr>
        <w:pStyle w:val="Heading5"/>
      </w:pPr>
      <w:r w:rsidRPr="002A286B">
        <w:t>DHEC School Vaccine 45-Day Report</w:t>
      </w:r>
    </w:p>
    <w:p w14:paraId="3CC99CEF" w14:textId="77777777" w:rsidR="00544798" w:rsidRDefault="00544798" w:rsidP="00926EB3">
      <w:pPr>
        <w:pStyle w:val="ListParagraph"/>
        <w:numPr>
          <w:ilvl w:val="0"/>
          <w:numId w:val="81"/>
        </w:numPr>
      </w:pPr>
      <w:r w:rsidRPr="002A286B">
        <w:t>Owner: SC DHEC</w:t>
      </w:r>
      <w:r>
        <w:t>.</w:t>
      </w:r>
    </w:p>
    <w:p w14:paraId="1D96505F" w14:textId="77777777" w:rsidR="00544798" w:rsidRDefault="00544798" w:rsidP="00926EB3">
      <w:pPr>
        <w:pStyle w:val="ListParagraph"/>
        <w:numPr>
          <w:ilvl w:val="0"/>
          <w:numId w:val="81"/>
        </w:numPr>
      </w:pPr>
      <w:r w:rsidRPr="002A286B">
        <w:t>Type: Primary</w:t>
      </w:r>
      <w:r>
        <w:t>.</w:t>
      </w:r>
    </w:p>
    <w:p w14:paraId="2A96144B" w14:textId="77777777" w:rsidR="00544798" w:rsidRDefault="00544798" w:rsidP="00926EB3">
      <w:pPr>
        <w:pStyle w:val="ListParagraph"/>
        <w:numPr>
          <w:ilvl w:val="0"/>
          <w:numId w:val="81"/>
        </w:numPr>
      </w:pPr>
      <w:r w:rsidRPr="002A286B">
        <w:t>Overview: South Carolina Code Section 44-29-180 (A) requires schools to maintain records of vaccinations or immunizations. Annually, South Carolina Department of Health and Environmental Control (DHEC) requires public and private schools to complete the School Summary of Student Immunization Status to obtain the number of students enrolled in South Carolina schools that are adequately protected against certain vaccine-preventable diseases (DHEC Regulation 61-8).</w:t>
      </w:r>
    </w:p>
    <w:p w14:paraId="5A955B89" w14:textId="222C272D" w:rsidR="00544798" w:rsidRDefault="00544798" w:rsidP="00926EB3">
      <w:pPr>
        <w:pStyle w:val="ListParagraph"/>
        <w:numPr>
          <w:ilvl w:val="0"/>
          <w:numId w:val="81"/>
        </w:numPr>
      </w:pPr>
      <w:r w:rsidRPr="002A286B">
        <w:t>Strength(s): Principals/school administrators submit this report, which includes the number of students admitted to school with exemptions, within forty-five (45) calendar days after the beginning of each school year. This process also ensures that schools identify students who are not adequately protected and can either refer them to a healthcare provider for vaccination or have an available list in the case of a disease outbreak. In the case of an outbreak, students who are not vaccinated against the disease will be recommended to be excluded from school until the outbreak has been declared over.</w:t>
      </w:r>
    </w:p>
    <w:p w14:paraId="2EE56BE4" w14:textId="77777777" w:rsidR="00544798" w:rsidRDefault="00544798" w:rsidP="00926EB3">
      <w:pPr>
        <w:pStyle w:val="ListParagraph"/>
        <w:numPr>
          <w:ilvl w:val="0"/>
          <w:numId w:val="81"/>
        </w:numPr>
      </w:pPr>
      <w:r w:rsidRPr="002A286B">
        <w:t>Limitation(s): The data represents a specific point in time and may not capture real-time changes or individual student vaccination status.</w:t>
      </w:r>
    </w:p>
    <w:p w14:paraId="3268CA7E" w14:textId="77777777" w:rsidR="00544798" w:rsidRPr="002A286B" w:rsidRDefault="00544798" w:rsidP="00926EB3">
      <w:pPr>
        <w:pStyle w:val="ListParagraph"/>
        <w:numPr>
          <w:ilvl w:val="0"/>
          <w:numId w:val="81"/>
        </w:numPr>
      </w:pPr>
      <w:r w:rsidRPr="002A286B">
        <w:t xml:space="preserve">Access: </w:t>
      </w:r>
      <w:hyperlink r:id="rId573" w:history="1">
        <w:r w:rsidRPr="001A2126">
          <w:rPr>
            <w:rStyle w:val="Hyperlink"/>
          </w:rPr>
          <w:t>SC DHEC, School Vaccination Coverage Data website.</w:t>
        </w:r>
      </w:hyperlink>
    </w:p>
    <w:p w14:paraId="792D143E" w14:textId="77777777" w:rsidR="00544798" w:rsidRPr="002A286B" w:rsidRDefault="00544798" w:rsidP="00544798"/>
    <w:p w14:paraId="516E91DF" w14:textId="77777777" w:rsidR="00544798" w:rsidRPr="002A286B" w:rsidRDefault="00544798" w:rsidP="00544798">
      <w:pPr>
        <w:pStyle w:val="Heading5"/>
      </w:pPr>
      <w:r w:rsidRPr="002A286B">
        <w:t>Disability &amp; Health U.S. State Profile Data for South Carolina (Adults 18+ years of age)</w:t>
      </w:r>
    </w:p>
    <w:p w14:paraId="19DF01E3" w14:textId="77777777" w:rsidR="00544798" w:rsidRDefault="00544798" w:rsidP="00926EB3">
      <w:pPr>
        <w:pStyle w:val="ListParagraph"/>
        <w:numPr>
          <w:ilvl w:val="0"/>
          <w:numId w:val="82"/>
        </w:numPr>
      </w:pPr>
      <w:r w:rsidRPr="002A286B">
        <w:t>Owner: CDC</w:t>
      </w:r>
      <w:r>
        <w:t>.</w:t>
      </w:r>
    </w:p>
    <w:p w14:paraId="1B582E32" w14:textId="77777777" w:rsidR="00544798" w:rsidRDefault="00544798" w:rsidP="00926EB3">
      <w:pPr>
        <w:pStyle w:val="ListParagraph"/>
        <w:numPr>
          <w:ilvl w:val="0"/>
          <w:numId w:val="82"/>
        </w:numPr>
      </w:pPr>
      <w:r w:rsidRPr="002A286B">
        <w:t>Type: Secondary</w:t>
      </w:r>
      <w:r>
        <w:t>.</w:t>
      </w:r>
    </w:p>
    <w:p w14:paraId="20F0E7A4" w14:textId="77777777" w:rsidR="00544798" w:rsidRDefault="00544798" w:rsidP="00926EB3">
      <w:pPr>
        <w:pStyle w:val="ListParagraph"/>
        <w:numPr>
          <w:ilvl w:val="0"/>
          <w:numId w:val="82"/>
        </w:numPr>
      </w:pPr>
      <w:r w:rsidRPr="002A286B">
        <w:t>Overview: Provides some statistics based on BRFSS data.</w:t>
      </w:r>
    </w:p>
    <w:p w14:paraId="54F35040" w14:textId="77777777" w:rsidR="00544798" w:rsidRDefault="00544798" w:rsidP="00926EB3">
      <w:pPr>
        <w:pStyle w:val="ListParagraph"/>
        <w:numPr>
          <w:ilvl w:val="0"/>
          <w:numId w:val="82"/>
        </w:numPr>
      </w:pPr>
      <w:r w:rsidRPr="002A286B">
        <w:t>Strength(s): Fast facts.</w:t>
      </w:r>
    </w:p>
    <w:p w14:paraId="155A80A4" w14:textId="77777777" w:rsidR="00544798" w:rsidRDefault="00544798" w:rsidP="00926EB3">
      <w:pPr>
        <w:pStyle w:val="ListParagraph"/>
        <w:numPr>
          <w:ilvl w:val="0"/>
          <w:numId w:val="82"/>
        </w:numPr>
      </w:pPr>
      <w:r w:rsidRPr="002A286B">
        <w:t>Limitation(s): Provides limited information/statistics.</w:t>
      </w:r>
    </w:p>
    <w:p w14:paraId="4C05E1CE" w14:textId="77777777" w:rsidR="00544798" w:rsidRPr="002A286B" w:rsidRDefault="00544798" w:rsidP="00926EB3">
      <w:pPr>
        <w:pStyle w:val="ListParagraph"/>
        <w:numPr>
          <w:ilvl w:val="0"/>
          <w:numId w:val="82"/>
        </w:numPr>
      </w:pPr>
      <w:r w:rsidRPr="002A286B">
        <w:lastRenderedPageBreak/>
        <w:t xml:space="preserve">Access: </w:t>
      </w:r>
      <w:hyperlink r:id="rId574" w:history="1">
        <w:r w:rsidRPr="001A2126">
          <w:rPr>
            <w:rStyle w:val="Hyperlink"/>
          </w:rPr>
          <w:t>CDC Disability &amp; Health U.S. State Profile Data for South Carolina website.</w:t>
        </w:r>
      </w:hyperlink>
    </w:p>
    <w:p w14:paraId="18B46797" w14:textId="77777777" w:rsidR="00544798" w:rsidRPr="002A286B" w:rsidRDefault="00544798" w:rsidP="00544798"/>
    <w:p w14:paraId="5BF6D7D5" w14:textId="77777777" w:rsidR="00544798" w:rsidRPr="001A2126" w:rsidRDefault="00544798" w:rsidP="00544798">
      <w:pPr>
        <w:pStyle w:val="Heading5"/>
      </w:pPr>
      <w:r w:rsidRPr="001A2126">
        <w:t>Disability and Health Data System (DHDS) Data</w:t>
      </w:r>
    </w:p>
    <w:p w14:paraId="27C2E743" w14:textId="77777777" w:rsidR="00544798" w:rsidRDefault="00544798" w:rsidP="00926EB3">
      <w:pPr>
        <w:pStyle w:val="ListParagraph"/>
        <w:numPr>
          <w:ilvl w:val="0"/>
          <w:numId w:val="83"/>
        </w:numPr>
      </w:pPr>
      <w:r w:rsidRPr="002A286B">
        <w:t>Owner: CDC</w:t>
      </w:r>
      <w:r>
        <w:t>.</w:t>
      </w:r>
    </w:p>
    <w:p w14:paraId="7B2EC9DB" w14:textId="77777777" w:rsidR="00544798" w:rsidRDefault="00544798" w:rsidP="00926EB3">
      <w:pPr>
        <w:pStyle w:val="ListParagraph"/>
        <w:numPr>
          <w:ilvl w:val="0"/>
          <w:numId w:val="83"/>
        </w:numPr>
      </w:pPr>
      <w:r w:rsidRPr="002A286B">
        <w:t>Type: Secondary</w:t>
      </w:r>
      <w:r>
        <w:t>.</w:t>
      </w:r>
    </w:p>
    <w:p w14:paraId="4D02D290" w14:textId="77777777" w:rsidR="00544798" w:rsidRDefault="00544798" w:rsidP="00926EB3">
      <w:pPr>
        <w:pStyle w:val="ListParagraph"/>
        <w:numPr>
          <w:ilvl w:val="0"/>
          <w:numId w:val="83"/>
        </w:numPr>
      </w:pPr>
      <w:r w:rsidRPr="002A286B">
        <w:t>Overview: Provides counts and percentages of people in SC with various indicators using the BRFSS data. Includes disability estimates, demographics, mental health, general health conditions and health care access. Can stratify by age group, race/</w:t>
      </w:r>
      <w:proofErr w:type="gramStart"/>
      <w:r w:rsidRPr="002A286B">
        <w:t>ethnicity</w:t>
      </w:r>
      <w:proofErr w:type="gramEnd"/>
      <w:r w:rsidRPr="002A286B">
        <w:t xml:space="preserve"> and sex.</w:t>
      </w:r>
      <w:r w:rsidRPr="002A286B">
        <w:tab/>
      </w:r>
    </w:p>
    <w:p w14:paraId="0054CFD5" w14:textId="77777777" w:rsidR="00544798" w:rsidRDefault="00544798" w:rsidP="00926EB3">
      <w:pPr>
        <w:pStyle w:val="ListParagraph"/>
        <w:numPr>
          <w:ilvl w:val="0"/>
          <w:numId w:val="83"/>
        </w:numPr>
      </w:pPr>
      <w:r w:rsidRPr="002A286B">
        <w:t>Strength(s): Easy to use interface.</w:t>
      </w:r>
    </w:p>
    <w:p w14:paraId="50B5D8F9" w14:textId="77777777" w:rsidR="00544798" w:rsidRDefault="00544798" w:rsidP="00926EB3">
      <w:pPr>
        <w:pStyle w:val="ListParagraph"/>
        <w:numPr>
          <w:ilvl w:val="0"/>
          <w:numId w:val="83"/>
        </w:numPr>
      </w:pPr>
      <w:r w:rsidRPr="002A286B">
        <w:t>Limitation(s): The data is based on surveys and may not fully represent all individuals with disabilities. This Data relies on self-reported information, which can be subject to recall bias or misclassification. Another limitation of this data system is absence of finer granularity (e.g., county or city-level) is as it solely represent solely state level data.</w:t>
      </w:r>
    </w:p>
    <w:p w14:paraId="6B51A3F2" w14:textId="77777777" w:rsidR="00544798" w:rsidRPr="002A286B" w:rsidRDefault="00544798" w:rsidP="00926EB3">
      <w:pPr>
        <w:pStyle w:val="ListParagraph"/>
        <w:numPr>
          <w:ilvl w:val="0"/>
          <w:numId w:val="83"/>
        </w:numPr>
      </w:pPr>
      <w:r w:rsidRPr="002A286B">
        <w:t xml:space="preserve">Access: </w:t>
      </w:r>
      <w:hyperlink r:id="rId575" w:history="1">
        <w:r w:rsidRPr="001A2126">
          <w:rPr>
            <w:rStyle w:val="Hyperlink"/>
          </w:rPr>
          <w:t>CDC Disability and Health Data System (DHDS) website.</w:t>
        </w:r>
      </w:hyperlink>
    </w:p>
    <w:p w14:paraId="360B5AD3" w14:textId="77777777" w:rsidR="00544798" w:rsidRPr="002A286B" w:rsidRDefault="00544798" w:rsidP="00544798"/>
    <w:p w14:paraId="6CA8174F" w14:textId="77777777" w:rsidR="00544798" w:rsidRPr="002A286B" w:rsidRDefault="00544798" w:rsidP="00544798">
      <w:pPr>
        <w:pStyle w:val="Heading5"/>
      </w:pPr>
      <w:r w:rsidRPr="002A286B">
        <w:t>Division of Acute Disease Epidemiology</w:t>
      </w:r>
    </w:p>
    <w:p w14:paraId="0793168E" w14:textId="77777777" w:rsidR="00544798" w:rsidRDefault="00544798" w:rsidP="00926EB3">
      <w:pPr>
        <w:pStyle w:val="ListParagraph"/>
        <w:numPr>
          <w:ilvl w:val="0"/>
          <w:numId w:val="84"/>
        </w:numPr>
      </w:pPr>
      <w:r w:rsidRPr="002A286B">
        <w:t>Owner: SC DHEC</w:t>
      </w:r>
      <w:r>
        <w:t>.</w:t>
      </w:r>
    </w:p>
    <w:p w14:paraId="30D50BCC" w14:textId="77777777" w:rsidR="00544798" w:rsidRDefault="00544798" w:rsidP="00926EB3">
      <w:pPr>
        <w:pStyle w:val="ListParagraph"/>
        <w:numPr>
          <w:ilvl w:val="0"/>
          <w:numId w:val="84"/>
        </w:numPr>
      </w:pPr>
      <w:r w:rsidRPr="002A286B">
        <w:t>Type: Primary</w:t>
      </w:r>
      <w:r>
        <w:t>.</w:t>
      </w:r>
    </w:p>
    <w:p w14:paraId="78324C26" w14:textId="77777777" w:rsidR="00544798" w:rsidRDefault="00544798" w:rsidP="00926EB3">
      <w:pPr>
        <w:pStyle w:val="ListParagraph"/>
        <w:numPr>
          <w:ilvl w:val="0"/>
          <w:numId w:val="84"/>
        </w:numPr>
      </w:pPr>
      <w:r w:rsidRPr="002A286B">
        <w:t>Overview: This division publishes reports annually on numbers and rates of infectious diseases. This division is also responsible for collecting and monitoring reportable conditions. They house all COVID-19 and Hospital Associated Infection Data.</w:t>
      </w:r>
    </w:p>
    <w:p w14:paraId="3CA0531A" w14:textId="77777777" w:rsidR="00544798" w:rsidRDefault="00544798" w:rsidP="00926EB3">
      <w:pPr>
        <w:pStyle w:val="ListParagraph"/>
        <w:numPr>
          <w:ilvl w:val="0"/>
          <w:numId w:val="84"/>
        </w:numPr>
      </w:pPr>
      <w:r w:rsidRPr="002A286B">
        <w:t>Strength(s): This division uses population-based data and hepatitis C is a mandatory reportable condition. State level data is available by several demographic breakdowns, and overall data is available by county when sample size is adequate.</w:t>
      </w:r>
    </w:p>
    <w:p w14:paraId="6DA0EBAD" w14:textId="77777777" w:rsidR="00544798" w:rsidRPr="002A286B" w:rsidRDefault="00544798" w:rsidP="00926EB3">
      <w:pPr>
        <w:pStyle w:val="ListParagraph"/>
        <w:numPr>
          <w:ilvl w:val="0"/>
          <w:numId w:val="84"/>
        </w:numPr>
      </w:pPr>
      <w:r w:rsidRPr="002A286B">
        <w:t>Limitation(s): Due to confidentiality issues, data for specific locations broken down by demographics is limited. Sub-county level is also limited due to small sample sizes.</w:t>
      </w:r>
    </w:p>
    <w:p w14:paraId="517E46E1" w14:textId="77777777" w:rsidR="00544798" w:rsidRPr="002A286B" w:rsidRDefault="00544798" w:rsidP="00544798"/>
    <w:p w14:paraId="74720951" w14:textId="77777777" w:rsidR="00544798" w:rsidRPr="002A286B" w:rsidRDefault="00544798" w:rsidP="00544798">
      <w:pPr>
        <w:pStyle w:val="Heading5"/>
      </w:pPr>
      <w:r w:rsidRPr="002A286B">
        <w:t>Division of Tobacco Prevention and Control</w:t>
      </w:r>
    </w:p>
    <w:p w14:paraId="55DC51A0" w14:textId="77777777" w:rsidR="00544798" w:rsidRDefault="00544798" w:rsidP="00926EB3">
      <w:pPr>
        <w:pStyle w:val="ListParagraph"/>
        <w:numPr>
          <w:ilvl w:val="0"/>
          <w:numId w:val="85"/>
        </w:numPr>
      </w:pPr>
      <w:r w:rsidRPr="002A286B">
        <w:t>Owner: SC DHEC</w:t>
      </w:r>
      <w:r>
        <w:t>.</w:t>
      </w:r>
    </w:p>
    <w:p w14:paraId="003441DE" w14:textId="77777777" w:rsidR="00544798" w:rsidRDefault="00544798" w:rsidP="00926EB3">
      <w:pPr>
        <w:pStyle w:val="ListParagraph"/>
        <w:numPr>
          <w:ilvl w:val="0"/>
          <w:numId w:val="85"/>
        </w:numPr>
      </w:pPr>
      <w:r w:rsidRPr="002A286B">
        <w:t>Type: Primary</w:t>
      </w:r>
      <w:r>
        <w:t>.</w:t>
      </w:r>
    </w:p>
    <w:p w14:paraId="6FCF93D9" w14:textId="77777777" w:rsidR="00544798" w:rsidRDefault="00544798" w:rsidP="00926EB3">
      <w:pPr>
        <w:pStyle w:val="ListParagraph"/>
        <w:numPr>
          <w:ilvl w:val="0"/>
          <w:numId w:val="85"/>
        </w:numPr>
      </w:pPr>
      <w:r w:rsidRPr="002A286B">
        <w:lastRenderedPageBreak/>
        <w:t xml:space="preserve">Overview: The Division monitors and tracks local smoke-free ordinances as they are adopted by cities, towns, and/or counties. </w:t>
      </w:r>
    </w:p>
    <w:p w14:paraId="0967E080" w14:textId="77777777" w:rsidR="00544798" w:rsidRDefault="00544798" w:rsidP="00926EB3">
      <w:pPr>
        <w:pStyle w:val="ListParagraph"/>
        <w:numPr>
          <w:ilvl w:val="0"/>
          <w:numId w:val="85"/>
        </w:numPr>
      </w:pPr>
      <w:r w:rsidRPr="002A286B">
        <w:t xml:space="preserve">Strength(s): The map is a visual representation of where the ordinances are located with an alphabetical listing of the municipalities with ordinances and the adoption date. The percentage of the population protected by the local ordinances is also calculated for cities and towns, and counties. </w:t>
      </w:r>
    </w:p>
    <w:p w14:paraId="711C492B" w14:textId="77777777" w:rsidR="00544798" w:rsidRDefault="00544798" w:rsidP="00926EB3">
      <w:pPr>
        <w:pStyle w:val="ListParagraph"/>
        <w:numPr>
          <w:ilvl w:val="0"/>
          <w:numId w:val="85"/>
        </w:numPr>
      </w:pPr>
      <w:r w:rsidRPr="002A286B">
        <w:t>Limitation(s): Updates for ordinances passed are received through a variety of sources including media posts and articles, regional staff, community partners and others. There may be a delay in receiving ordinance updates.</w:t>
      </w:r>
    </w:p>
    <w:p w14:paraId="652FD913" w14:textId="77777777" w:rsidR="00544798" w:rsidRPr="002A286B" w:rsidRDefault="00544798" w:rsidP="00926EB3">
      <w:pPr>
        <w:pStyle w:val="ListParagraph"/>
        <w:numPr>
          <w:ilvl w:val="0"/>
          <w:numId w:val="85"/>
        </w:numPr>
      </w:pPr>
      <w:r w:rsidRPr="002A286B">
        <w:t xml:space="preserve">Access: </w:t>
      </w:r>
      <w:hyperlink r:id="rId576" w:history="1">
        <w:r w:rsidRPr="00AF0C84">
          <w:rPr>
            <w:rStyle w:val="Hyperlink"/>
          </w:rPr>
          <w:t>SC DHEC, Division of Tobacco Prevention and Control website.</w:t>
        </w:r>
      </w:hyperlink>
    </w:p>
    <w:p w14:paraId="77A7A1AA" w14:textId="77777777" w:rsidR="00544798" w:rsidRPr="002A286B" w:rsidRDefault="00544798" w:rsidP="00544798"/>
    <w:p w14:paraId="74F1E8F2" w14:textId="77777777" w:rsidR="00544798" w:rsidRPr="002A286B" w:rsidRDefault="00544798" w:rsidP="00544798">
      <w:pPr>
        <w:pStyle w:val="Heading5"/>
      </w:pPr>
      <w:r w:rsidRPr="002A286B">
        <w:t>Economic Research Service Food Access Research Atlas</w:t>
      </w:r>
    </w:p>
    <w:p w14:paraId="7F828538" w14:textId="77777777" w:rsidR="00544798" w:rsidRDefault="00544798" w:rsidP="00926EB3">
      <w:pPr>
        <w:pStyle w:val="ListParagraph"/>
        <w:numPr>
          <w:ilvl w:val="0"/>
          <w:numId w:val="86"/>
        </w:numPr>
      </w:pPr>
      <w:r w:rsidRPr="002A286B">
        <w:t>Owner: US Department of Agriculture</w:t>
      </w:r>
      <w:r>
        <w:t>.</w:t>
      </w:r>
    </w:p>
    <w:p w14:paraId="4D3DB88B" w14:textId="77777777" w:rsidR="00544798" w:rsidRDefault="00544798" w:rsidP="00926EB3">
      <w:pPr>
        <w:pStyle w:val="ListParagraph"/>
        <w:numPr>
          <w:ilvl w:val="0"/>
          <w:numId w:val="86"/>
        </w:numPr>
      </w:pPr>
      <w:r w:rsidRPr="002A286B">
        <w:t>Type: Secondary</w:t>
      </w:r>
      <w:r>
        <w:t>.</w:t>
      </w:r>
    </w:p>
    <w:p w14:paraId="53DD886F" w14:textId="77777777" w:rsidR="00544798" w:rsidRDefault="00544798" w:rsidP="00926EB3">
      <w:pPr>
        <w:pStyle w:val="ListParagraph"/>
        <w:numPr>
          <w:ilvl w:val="0"/>
          <w:numId w:val="86"/>
        </w:numPr>
      </w:pPr>
      <w:r w:rsidRPr="002A286B">
        <w:t xml:space="preserve">Overview: Data highlights census </w:t>
      </w:r>
      <w:proofErr w:type="spellStart"/>
      <w:r w:rsidRPr="002A286B">
        <w:t>tracs</w:t>
      </w:r>
      <w:proofErr w:type="spellEnd"/>
      <w:r w:rsidRPr="002A286B">
        <w:t xml:space="preserve"> that qualify as a food desert, meaning they meet low-income and low-access thresholds. </w:t>
      </w:r>
    </w:p>
    <w:p w14:paraId="74C7DF4A" w14:textId="77777777" w:rsidR="00544798" w:rsidRDefault="00544798" w:rsidP="00926EB3">
      <w:pPr>
        <w:pStyle w:val="ListParagraph"/>
        <w:numPr>
          <w:ilvl w:val="0"/>
          <w:numId w:val="86"/>
        </w:numPr>
      </w:pPr>
      <w:r w:rsidRPr="002A286B">
        <w:t>Strength(s): Data available at the census tract, allowing users to see small geographic levels of detail.</w:t>
      </w:r>
    </w:p>
    <w:p w14:paraId="32CE1956" w14:textId="77777777" w:rsidR="00544798" w:rsidRDefault="00544798" w:rsidP="00926EB3">
      <w:pPr>
        <w:pStyle w:val="ListParagraph"/>
        <w:numPr>
          <w:ilvl w:val="0"/>
          <w:numId w:val="86"/>
        </w:numPr>
      </w:pPr>
      <w:r w:rsidRPr="002A286B">
        <w:t>Limitation(s): Unable to look at racial, ethnic, and other demographic disparities. Data updates do not occur annually.</w:t>
      </w:r>
    </w:p>
    <w:p w14:paraId="27AED109" w14:textId="2F024E62" w:rsidR="00544798" w:rsidRPr="002A286B" w:rsidRDefault="00544798" w:rsidP="00926EB3">
      <w:pPr>
        <w:pStyle w:val="ListParagraph"/>
        <w:numPr>
          <w:ilvl w:val="0"/>
          <w:numId w:val="86"/>
        </w:numPr>
      </w:pPr>
      <w:r w:rsidRPr="002A286B">
        <w:t xml:space="preserve">Access: </w:t>
      </w:r>
      <w:hyperlink r:id="rId577" w:history="1">
        <w:r w:rsidRPr="00AF0C84">
          <w:rPr>
            <w:rStyle w:val="Hyperlink"/>
          </w:rPr>
          <w:t>US Department of Agriculture, Mapping Food Des</w:t>
        </w:r>
        <w:r w:rsidR="00F13872">
          <w:rPr>
            <w:rStyle w:val="Hyperlink"/>
          </w:rPr>
          <w:t>x</w:t>
        </w:r>
        <w:r w:rsidRPr="00AF0C84">
          <w:rPr>
            <w:rStyle w:val="Hyperlink"/>
          </w:rPr>
          <w:t>erts website.</w:t>
        </w:r>
      </w:hyperlink>
    </w:p>
    <w:p w14:paraId="7896031C" w14:textId="77777777" w:rsidR="00544798" w:rsidRPr="002A286B" w:rsidRDefault="00544798" w:rsidP="00544798"/>
    <w:p w14:paraId="2E0235E5" w14:textId="77777777" w:rsidR="00544798" w:rsidRPr="00AF0C84" w:rsidRDefault="00544798" w:rsidP="00544798">
      <w:pPr>
        <w:pStyle w:val="Heading5"/>
      </w:pPr>
      <w:r w:rsidRPr="00AF0C84">
        <w:t>Edisto Indian Free Clinic</w:t>
      </w:r>
    </w:p>
    <w:p w14:paraId="25DA5B40" w14:textId="77777777" w:rsidR="00544798" w:rsidRDefault="00544798" w:rsidP="00926EB3">
      <w:pPr>
        <w:pStyle w:val="ListParagraph"/>
        <w:numPr>
          <w:ilvl w:val="0"/>
          <w:numId w:val="87"/>
        </w:numPr>
      </w:pPr>
      <w:r w:rsidRPr="002A286B">
        <w:t>Owner: Edisto Indian Free Clinic</w:t>
      </w:r>
      <w:r>
        <w:t>.</w:t>
      </w:r>
    </w:p>
    <w:p w14:paraId="44EB5D8C" w14:textId="77777777" w:rsidR="00544798" w:rsidRDefault="00544798" w:rsidP="00926EB3">
      <w:pPr>
        <w:pStyle w:val="ListParagraph"/>
        <w:numPr>
          <w:ilvl w:val="0"/>
          <w:numId w:val="87"/>
        </w:numPr>
      </w:pPr>
      <w:r w:rsidRPr="002A286B">
        <w:t>Type: Primary</w:t>
      </w:r>
      <w:r>
        <w:t>.</w:t>
      </w:r>
    </w:p>
    <w:p w14:paraId="14709FA6" w14:textId="77777777" w:rsidR="00544798" w:rsidRDefault="00544798" w:rsidP="00926EB3">
      <w:pPr>
        <w:pStyle w:val="ListParagraph"/>
        <w:numPr>
          <w:ilvl w:val="0"/>
          <w:numId w:val="87"/>
        </w:numPr>
      </w:pPr>
      <w:r w:rsidRPr="002A286B">
        <w:t xml:space="preserve">Overview: Data are a snapshot from 64 American Indian patients seen at the Edisto Indian Free Clinic in 2021, mostly from rural Dorchester County. Edisto Indian Free Clinic has been serving the Lowcountry for over 12 years.  They are a non-profit clinic that relies on grant funding and donations. The clinic provides quality care for uninsured, under-insured, and Medicaid patients. We serve Dorchester, Berkeley, Charleston, and Colleton counties. Everyone is seen by a Family Medicine Board Certified Nurse Practitioner, Physician Assistant, or Medical Doctor. </w:t>
      </w:r>
    </w:p>
    <w:p w14:paraId="3FA96A56" w14:textId="77777777" w:rsidR="00544798" w:rsidRDefault="00544798" w:rsidP="00926EB3">
      <w:pPr>
        <w:pStyle w:val="ListParagraph"/>
        <w:numPr>
          <w:ilvl w:val="0"/>
          <w:numId w:val="87"/>
        </w:numPr>
      </w:pPr>
      <w:r w:rsidRPr="002A286B">
        <w:t xml:space="preserve">Strength(s): Information is derived directly from a medical clinic and is objective and free from many of the biases associated with surveys (recall, volunteer biases, for example). Data complement the BRFSS state-wide data. Relatively speaking, sample of 64 for a hard-to-reach population is </w:t>
      </w:r>
      <w:r w:rsidRPr="002A286B">
        <w:lastRenderedPageBreak/>
        <w:t>pretty good. Patients also represent rural residence. Represents one medical clinic.</w:t>
      </w:r>
    </w:p>
    <w:p w14:paraId="61614693" w14:textId="77777777" w:rsidR="00544798" w:rsidRDefault="00544798" w:rsidP="00926EB3">
      <w:pPr>
        <w:pStyle w:val="ListParagraph"/>
        <w:numPr>
          <w:ilvl w:val="0"/>
          <w:numId w:val="87"/>
        </w:numPr>
      </w:pPr>
      <w:r w:rsidRPr="002A286B">
        <w:t>Limitation(s): Represents one medical clinic.</w:t>
      </w:r>
    </w:p>
    <w:p w14:paraId="6BDD4D5E" w14:textId="77777777" w:rsidR="00544798" w:rsidRPr="002A286B" w:rsidRDefault="00544798" w:rsidP="00926EB3">
      <w:pPr>
        <w:pStyle w:val="ListParagraph"/>
        <w:numPr>
          <w:ilvl w:val="0"/>
          <w:numId w:val="87"/>
        </w:numPr>
      </w:pPr>
      <w:r w:rsidRPr="002A286B">
        <w:t xml:space="preserve">Access: </w:t>
      </w:r>
      <w:hyperlink r:id="rId578" w:history="1">
        <w:r w:rsidRPr="00AF0C84">
          <w:rPr>
            <w:rStyle w:val="Hyperlink"/>
          </w:rPr>
          <w:t>Edisto Indian Free Clinic website.</w:t>
        </w:r>
      </w:hyperlink>
    </w:p>
    <w:p w14:paraId="23EDF26E" w14:textId="77777777" w:rsidR="00544798" w:rsidRPr="002A286B" w:rsidRDefault="00544798" w:rsidP="00544798"/>
    <w:p w14:paraId="7A7A335C" w14:textId="77777777" w:rsidR="00544798" w:rsidRPr="002A286B" w:rsidRDefault="00544798" w:rsidP="00544798">
      <w:pPr>
        <w:pStyle w:val="Heading5"/>
      </w:pPr>
      <w:r w:rsidRPr="002A286B">
        <w:t>Enhanced HIV/AIDS Reporting Surveillance System</w:t>
      </w:r>
    </w:p>
    <w:p w14:paraId="3D11429D" w14:textId="77777777" w:rsidR="00544798" w:rsidRDefault="00544798" w:rsidP="00926EB3">
      <w:pPr>
        <w:pStyle w:val="ListParagraph"/>
        <w:numPr>
          <w:ilvl w:val="0"/>
          <w:numId w:val="88"/>
        </w:numPr>
      </w:pPr>
      <w:r w:rsidRPr="002A286B">
        <w:t>Owner: SC DHEC</w:t>
      </w:r>
      <w:r>
        <w:t>.</w:t>
      </w:r>
    </w:p>
    <w:p w14:paraId="5A3553FB" w14:textId="77777777" w:rsidR="00544798" w:rsidRDefault="00544798" w:rsidP="00926EB3">
      <w:pPr>
        <w:pStyle w:val="ListParagraph"/>
        <w:numPr>
          <w:ilvl w:val="0"/>
          <w:numId w:val="88"/>
        </w:numPr>
      </w:pPr>
      <w:r w:rsidRPr="002A286B">
        <w:t>Type: Primary</w:t>
      </w:r>
      <w:r>
        <w:t>.</w:t>
      </w:r>
    </w:p>
    <w:p w14:paraId="4AE3A0F2" w14:textId="77777777" w:rsidR="00544798" w:rsidRDefault="00544798" w:rsidP="00926EB3">
      <w:pPr>
        <w:pStyle w:val="ListParagraph"/>
        <w:numPr>
          <w:ilvl w:val="0"/>
          <w:numId w:val="88"/>
        </w:numPr>
      </w:pPr>
      <w:r w:rsidRPr="002A286B">
        <w:t>Overview: Publishes reports annually on numbers and rates of STD and HIV.</w:t>
      </w:r>
    </w:p>
    <w:p w14:paraId="19A238CF" w14:textId="77777777" w:rsidR="00544798" w:rsidRDefault="00544798" w:rsidP="00926EB3">
      <w:pPr>
        <w:pStyle w:val="ListParagraph"/>
        <w:numPr>
          <w:ilvl w:val="0"/>
          <w:numId w:val="88"/>
        </w:numPr>
      </w:pPr>
      <w:r w:rsidRPr="002A286B">
        <w:t xml:space="preserve">Strength(s): This is population-based data system that houses mandatory reportable HIV/AIDS data. State level data is available by several demographic breakdowns, and overall data is available by county. The </w:t>
      </w:r>
      <w:proofErr w:type="spellStart"/>
      <w:r w:rsidRPr="002A286B">
        <w:t>eHARS</w:t>
      </w:r>
      <w:proofErr w:type="spellEnd"/>
      <w:r w:rsidRPr="002A286B">
        <w:t xml:space="preserve"> does not contain STI data.</w:t>
      </w:r>
    </w:p>
    <w:p w14:paraId="7F6A2F51" w14:textId="77777777" w:rsidR="00544798" w:rsidRDefault="00544798" w:rsidP="00926EB3">
      <w:pPr>
        <w:pStyle w:val="ListParagraph"/>
        <w:numPr>
          <w:ilvl w:val="0"/>
          <w:numId w:val="88"/>
        </w:numPr>
      </w:pPr>
      <w:r w:rsidRPr="002A286B">
        <w:t>Limitation(s): Data for specific locations broken down by demographics is limited.</w:t>
      </w:r>
    </w:p>
    <w:p w14:paraId="27A639A1" w14:textId="77777777" w:rsidR="00544798" w:rsidRPr="002A286B" w:rsidRDefault="00544798" w:rsidP="00926EB3">
      <w:pPr>
        <w:pStyle w:val="ListParagraph"/>
        <w:numPr>
          <w:ilvl w:val="0"/>
          <w:numId w:val="88"/>
        </w:numPr>
      </w:pPr>
      <w:r w:rsidRPr="002A286B">
        <w:t xml:space="preserve">Access: </w:t>
      </w:r>
      <w:hyperlink r:id="rId579" w:history="1">
        <w:r w:rsidRPr="00AF0C84">
          <w:rPr>
            <w:rStyle w:val="Hyperlink"/>
          </w:rPr>
          <w:t>SC DHEC, HIV, AIDS, STD Data and Reports website.</w:t>
        </w:r>
      </w:hyperlink>
    </w:p>
    <w:p w14:paraId="2EFD8B10" w14:textId="77777777" w:rsidR="00544798" w:rsidRPr="002A286B" w:rsidRDefault="00544798" w:rsidP="00544798"/>
    <w:p w14:paraId="4FCCB9C8" w14:textId="77777777" w:rsidR="00544798" w:rsidRPr="002A286B" w:rsidRDefault="00544798" w:rsidP="00544798">
      <w:pPr>
        <w:pStyle w:val="Heading5"/>
      </w:pPr>
      <w:r w:rsidRPr="002A286B">
        <w:t xml:space="preserve">Fatality Analysis Reporting System (FARS ARF) </w:t>
      </w:r>
    </w:p>
    <w:p w14:paraId="7C0006BE" w14:textId="77777777" w:rsidR="00544798" w:rsidRDefault="00544798" w:rsidP="00926EB3">
      <w:pPr>
        <w:pStyle w:val="ListParagraph"/>
        <w:numPr>
          <w:ilvl w:val="0"/>
          <w:numId w:val="89"/>
        </w:numPr>
      </w:pPr>
      <w:r w:rsidRPr="002A286B">
        <w:t>Owner: National Highway Traffic Safety Administration (NHTSA)</w:t>
      </w:r>
      <w:r>
        <w:t>.</w:t>
      </w:r>
    </w:p>
    <w:p w14:paraId="280FA61B" w14:textId="77777777" w:rsidR="00544798" w:rsidRDefault="00544798" w:rsidP="00926EB3">
      <w:pPr>
        <w:pStyle w:val="ListParagraph"/>
        <w:numPr>
          <w:ilvl w:val="0"/>
          <w:numId w:val="89"/>
        </w:numPr>
      </w:pPr>
      <w:r w:rsidRPr="002A286B">
        <w:t>Type: Secondary</w:t>
      </w:r>
      <w:r>
        <w:t>.</w:t>
      </w:r>
    </w:p>
    <w:p w14:paraId="7B640FAE" w14:textId="77777777" w:rsidR="00544798" w:rsidRDefault="00544798" w:rsidP="00926EB3">
      <w:pPr>
        <w:pStyle w:val="ListParagraph"/>
        <w:numPr>
          <w:ilvl w:val="0"/>
          <w:numId w:val="89"/>
        </w:numPr>
      </w:pPr>
      <w:r w:rsidRPr="002A286B">
        <w:t>Overview: The Fatality Analysis Reporting System (FARS), which became operational in 1975, contains data on a census of fatal traffic crashes within the 50 States, the District of Columbia, and Puerto Rico. To be included in FARS, a crash must involve a motor vehicle traveling on a traffic way customarily open to the public, and must result in the death of a vehicle occupant or a nonoccupant within 30 days of the crash.</w:t>
      </w:r>
    </w:p>
    <w:p w14:paraId="48BA770E" w14:textId="77777777" w:rsidR="00544798" w:rsidRDefault="00544798" w:rsidP="00926EB3">
      <w:pPr>
        <w:pStyle w:val="ListParagraph"/>
        <w:numPr>
          <w:ilvl w:val="0"/>
          <w:numId w:val="89"/>
        </w:numPr>
      </w:pPr>
      <w:r w:rsidRPr="002A286B">
        <w:t>Strength(s): NHTSA has a cooperative agreement with an agency in each State’s government to provide information on all qualifying fatal crashes in the State. These agreements are managed by the National Center for Statistics and Analysis (NCSA) State Data System, Office of Data Acquisition. Trained State employees, called FARS analysts, are responsible for gathering, translating, and transmitting their State’s data to NCSA’s standard format.</w:t>
      </w:r>
    </w:p>
    <w:p w14:paraId="34761CB1" w14:textId="77777777" w:rsidR="00544798" w:rsidRDefault="00544798" w:rsidP="00926EB3">
      <w:pPr>
        <w:pStyle w:val="ListParagraph"/>
        <w:numPr>
          <w:ilvl w:val="0"/>
          <w:numId w:val="89"/>
        </w:numPr>
      </w:pPr>
      <w:r w:rsidRPr="002A286B">
        <w:t>Limitation(s): FARS data relies on the accuracy and completion of state's reports and files.</w:t>
      </w:r>
    </w:p>
    <w:p w14:paraId="32378C84" w14:textId="77777777" w:rsidR="00544798" w:rsidRPr="002A286B" w:rsidRDefault="00544798" w:rsidP="00926EB3">
      <w:pPr>
        <w:pStyle w:val="ListParagraph"/>
        <w:numPr>
          <w:ilvl w:val="0"/>
          <w:numId w:val="89"/>
        </w:numPr>
      </w:pPr>
      <w:r w:rsidRPr="002A286B">
        <w:t xml:space="preserve">Access: </w:t>
      </w:r>
      <w:hyperlink r:id="rId580" w:history="1">
        <w:r w:rsidRPr="00AF0C84">
          <w:rPr>
            <w:rStyle w:val="Hyperlink"/>
          </w:rPr>
          <w:t>National Highway Traffic Safety Administration, Fatality Analysis Reporting System (FARS) website.</w:t>
        </w:r>
      </w:hyperlink>
    </w:p>
    <w:p w14:paraId="1816721B" w14:textId="77777777" w:rsidR="00544798" w:rsidRPr="002A286B" w:rsidRDefault="00544798" w:rsidP="00544798"/>
    <w:p w14:paraId="30243A98" w14:textId="77777777" w:rsidR="00544798" w:rsidRPr="00AF0C84" w:rsidRDefault="00544798" w:rsidP="00544798">
      <w:pPr>
        <w:pStyle w:val="Heading5"/>
      </w:pPr>
      <w:r w:rsidRPr="00AF0C84">
        <w:t>Health Resources and Services Administration (HRSA)</w:t>
      </w:r>
    </w:p>
    <w:p w14:paraId="78E8A950" w14:textId="77777777" w:rsidR="00544798" w:rsidRDefault="00544798" w:rsidP="00926EB3">
      <w:pPr>
        <w:pStyle w:val="ListParagraph"/>
        <w:numPr>
          <w:ilvl w:val="0"/>
          <w:numId w:val="90"/>
        </w:numPr>
      </w:pPr>
      <w:r w:rsidRPr="002A286B">
        <w:t>Owner: Health Resources and Services Administration (HRSA)</w:t>
      </w:r>
      <w:r>
        <w:t>.</w:t>
      </w:r>
    </w:p>
    <w:p w14:paraId="10B468F0" w14:textId="77777777" w:rsidR="00544798" w:rsidRDefault="00544798" w:rsidP="00926EB3">
      <w:pPr>
        <w:pStyle w:val="ListParagraph"/>
        <w:numPr>
          <w:ilvl w:val="0"/>
          <w:numId w:val="90"/>
        </w:numPr>
      </w:pPr>
      <w:r w:rsidRPr="002A286B">
        <w:t>Type: Secondary</w:t>
      </w:r>
      <w:r>
        <w:t>.</w:t>
      </w:r>
    </w:p>
    <w:p w14:paraId="742A70DD" w14:textId="77777777" w:rsidR="00544798" w:rsidRDefault="00544798" w:rsidP="00926EB3">
      <w:pPr>
        <w:pStyle w:val="ListParagraph"/>
        <w:numPr>
          <w:ilvl w:val="0"/>
          <w:numId w:val="90"/>
        </w:numPr>
      </w:pPr>
      <w:r w:rsidRPr="002A286B">
        <w:t>Overview: HRSA provides data on various professional shortage areas, including looking at it by area, population, or facility.</w:t>
      </w:r>
    </w:p>
    <w:p w14:paraId="1B38B889" w14:textId="12E7B9E6" w:rsidR="00544798" w:rsidRDefault="00544798" w:rsidP="00926EB3">
      <w:pPr>
        <w:pStyle w:val="ListParagraph"/>
        <w:numPr>
          <w:ilvl w:val="0"/>
          <w:numId w:val="90"/>
        </w:numPr>
      </w:pPr>
      <w:r w:rsidRPr="002A286B">
        <w:t>Strength(s): The Health Resources and Services Administration (HRSA) offers robust data on professional shortage areas. It includes information about underserved regions where there’s a scarcity of healthcare providers. This data helps identify gaps in medical services, informs recruitment strategies, and guides resource allocation. HRSA’s insights empower targeted interventions to address health</w:t>
      </w:r>
      <w:r w:rsidR="0087480F">
        <w:t xml:space="preserve"> </w:t>
      </w:r>
      <w:r w:rsidRPr="002A286B">
        <w:t>care disparities</w:t>
      </w:r>
      <w:r>
        <w:t>.</w:t>
      </w:r>
    </w:p>
    <w:p w14:paraId="6A0C28F9" w14:textId="6F9BF31E" w:rsidR="00544798" w:rsidRDefault="00544798" w:rsidP="00926EB3">
      <w:pPr>
        <w:pStyle w:val="ListParagraph"/>
        <w:numPr>
          <w:ilvl w:val="0"/>
          <w:numId w:val="90"/>
        </w:numPr>
      </w:pPr>
      <w:r w:rsidRPr="002A286B">
        <w:t>Limitation(s): Updates to the data may not be real-time, leading to potential discrepancies. Additionally, the accuracy and comprehensiveness of data can vary. Health</w:t>
      </w:r>
      <w:r w:rsidR="0087480F">
        <w:t xml:space="preserve"> </w:t>
      </w:r>
      <w:r w:rsidRPr="002A286B">
        <w:t>care needs and provider availability can shift over time. The data also might not fully account for cultural, economic, or social factors affecting health</w:t>
      </w:r>
      <w:r w:rsidR="0087480F">
        <w:t xml:space="preserve"> </w:t>
      </w:r>
      <w:r w:rsidRPr="002A286B">
        <w:t>care access.</w:t>
      </w:r>
    </w:p>
    <w:p w14:paraId="6F8CC40D" w14:textId="77777777" w:rsidR="00544798" w:rsidRPr="002A286B" w:rsidRDefault="00544798" w:rsidP="00926EB3">
      <w:pPr>
        <w:pStyle w:val="ListParagraph"/>
        <w:numPr>
          <w:ilvl w:val="0"/>
          <w:numId w:val="90"/>
        </w:numPr>
      </w:pPr>
      <w:r w:rsidRPr="002A286B">
        <w:t xml:space="preserve">Access: </w:t>
      </w:r>
      <w:hyperlink r:id="rId581" w:history="1">
        <w:r w:rsidRPr="00AF0C84">
          <w:rPr>
            <w:rStyle w:val="Hyperlink"/>
          </w:rPr>
          <w:t>Health Resources and Services Administration, HPSA Find website.</w:t>
        </w:r>
      </w:hyperlink>
    </w:p>
    <w:p w14:paraId="064A20A3" w14:textId="77777777" w:rsidR="00544798" w:rsidRPr="002A286B" w:rsidRDefault="00544798" w:rsidP="00544798"/>
    <w:p w14:paraId="64D2AEB5" w14:textId="77777777" w:rsidR="00544798" w:rsidRPr="002A286B" w:rsidRDefault="00544798" w:rsidP="00544798">
      <w:pPr>
        <w:pStyle w:val="Heading5"/>
      </w:pPr>
      <w:r w:rsidRPr="002A286B">
        <w:t>Map the Meal Gap</w:t>
      </w:r>
    </w:p>
    <w:p w14:paraId="01853704" w14:textId="77777777" w:rsidR="00544798" w:rsidRDefault="00544798" w:rsidP="00926EB3">
      <w:pPr>
        <w:pStyle w:val="ListParagraph"/>
        <w:numPr>
          <w:ilvl w:val="0"/>
          <w:numId w:val="91"/>
        </w:numPr>
      </w:pPr>
      <w:r w:rsidRPr="002A286B">
        <w:t>Owner: Feeding America</w:t>
      </w:r>
      <w:r>
        <w:t>.</w:t>
      </w:r>
    </w:p>
    <w:p w14:paraId="6E9C3F16" w14:textId="77777777" w:rsidR="00544798" w:rsidRDefault="00544798" w:rsidP="00926EB3">
      <w:pPr>
        <w:pStyle w:val="ListParagraph"/>
        <w:numPr>
          <w:ilvl w:val="0"/>
          <w:numId w:val="91"/>
        </w:numPr>
      </w:pPr>
      <w:r w:rsidRPr="002A286B">
        <w:t>Type: Secondary</w:t>
      </w:r>
      <w:r>
        <w:t>.</w:t>
      </w:r>
    </w:p>
    <w:p w14:paraId="7B2D1664" w14:textId="77777777" w:rsidR="00544798" w:rsidRDefault="00544798" w:rsidP="00926EB3">
      <w:pPr>
        <w:pStyle w:val="ListParagraph"/>
        <w:numPr>
          <w:ilvl w:val="0"/>
          <w:numId w:val="91"/>
        </w:numPr>
      </w:pPr>
      <w:r w:rsidRPr="002A286B">
        <w:t>Overview: Map the Meal Gap is a study that provides overall and childhood food insecurity for every county and congressional district in the United States as well as local food insecurity estimates for several racial and ethnic groups.</w:t>
      </w:r>
    </w:p>
    <w:p w14:paraId="0BC0F92F" w14:textId="77777777" w:rsidR="00544798" w:rsidRDefault="00544798" w:rsidP="00926EB3">
      <w:pPr>
        <w:pStyle w:val="ListParagraph"/>
        <w:numPr>
          <w:ilvl w:val="0"/>
          <w:numId w:val="91"/>
        </w:numPr>
      </w:pPr>
      <w:r w:rsidRPr="002A286B">
        <w:t>Strength(s): Data are regularly updated and allows the user to look at various demographic and geographic groups.</w:t>
      </w:r>
    </w:p>
    <w:p w14:paraId="0524477C" w14:textId="77777777" w:rsidR="00544798" w:rsidRDefault="00544798" w:rsidP="00926EB3">
      <w:pPr>
        <w:pStyle w:val="ListParagraph"/>
        <w:numPr>
          <w:ilvl w:val="0"/>
          <w:numId w:val="91"/>
        </w:numPr>
      </w:pPr>
      <w:r w:rsidRPr="002A286B">
        <w:t xml:space="preserve">Limitation(s): Data does not include zip code or other smaller geographic areas. Various demographic groups are unavailable. </w:t>
      </w:r>
    </w:p>
    <w:p w14:paraId="5BD7177E" w14:textId="77777777" w:rsidR="00544798" w:rsidRPr="002A286B" w:rsidRDefault="00544798" w:rsidP="00926EB3">
      <w:pPr>
        <w:pStyle w:val="ListParagraph"/>
        <w:numPr>
          <w:ilvl w:val="0"/>
          <w:numId w:val="91"/>
        </w:numPr>
      </w:pPr>
      <w:r w:rsidRPr="002A286B">
        <w:t xml:space="preserve">Access: </w:t>
      </w:r>
      <w:hyperlink r:id="rId582" w:history="1">
        <w:r w:rsidRPr="00AF0C84">
          <w:rPr>
            <w:rStyle w:val="Hyperlink"/>
          </w:rPr>
          <w:t>Feeding America, Map the Meal Gap website.</w:t>
        </w:r>
      </w:hyperlink>
    </w:p>
    <w:p w14:paraId="65AD267F" w14:textId="77777777" w:rsidR="00544798" w:rsidRPr="002A286B" w:rsidRDefault="00544798" w:rsidP="00544798"/>
    <w:p w14:paraId="3EAABB4A" w14:textId="77777777" w:rsidR="00544798" w:rsidRPr="00AF0C84" w:rsidRDefault="00544798" w:rsidP="00544798">
      <w:pPr>
        <w:pStyle w:val="Heading5"/>
      </w:pPr>
      <w:r w:rsidRPr="00AF0C84">
        <w:t>National Center for Veterans Analysis and Statistics</w:t>
      </w:r>
    </w:p>
    <w:p w14:paraId="36DFE7F7" w14:textId="77777777" w:rsidR="00544798" w:rsidRDefault="00544798" w:rsidP="00926EB3">
      <w:pPr>
        <w:pStyle w:val="ListParagraph"/>
        <w:numPr>
          <w:ilvl w:val="0"/>
          <w:numId w:val="92"/>
        </w:numPr>
      </w:pPr>
      <w:r w:rsidRPr="002A286B">
        <w:t>Owner: Department of Veterans Affair</w:t>
      </w:r>
      <w:r>
        <w:t>s.</w:t>
      </w:r>
    </w:p>
    <w:p w14:paraId="46D2BFA7" w14:textId="77777777" w:rsidR="00544798" w:rsidRDefault="00544798" w:rsidP="00926EB3">
      <w:pPr>
        <w:pStyle w:val="ListParagraph"/>
        <w:numPr>
          <w:ilvl w:val="0"/>
          <w:numId w:val="92"/>
        </w:numPr>
      </w:pPr>
      <w:r w:rsidRPr="002A286B">
        <w:t>Type: Secondary</w:t>
      </w:r>
      <w:r>
        <w:t>.</w:t>
      </w:r>
    </w:p>
    <w:p w14:paraId="1E0F4A1A" w14:textId="77777777" w:rsidR="00544798" w:rsidRDefault="00544798" w:rsidP="00926EB3">
      <w:pPr>
        <w:pStyle w:val="ListParagraph"/>
        <w:numPr>
          <w:ilvl w:val="0"/>
          <w:numId w:val="92"/>
        </w:numPr>
      </w:pPr>
      <w:r w:rsidRPr="002A286B">
        <w:lastRenderedPageBreak/>
        <w:t>Overview: Data are from the National Center for Veterans Analysis and Statistics and provide counts of veterans by state for different wars served, and by demographics.</w:t>
      </w:r>
    </w:p>
    <w:p w14:paraId="4B9A9884" w14:textId="77777777" w:rsidR="00544798" w:rsidRDefault="00544798" w:rsidP="00926EB3">
      <w:pPr>
        <w:pStyle w:val="ListParagraph"/>
        <w:numPr>
          <w:ilvl w:val="0"/>
          <w:numId w:val="92"/>
        </w:numPr>
      </w:pPr>
      <w:r w:rsidRPr="002A286B">
        <w:t>Strength(s): Very comprehensive.</w:t>
      </w:r>
    </w:p>
    <w:p w14:paraId="04D9EE54" w14:textId="77777777" w:rsidR="00544798" w:rsidRDefault="00544798" w:rsidP="00926EB3">
      <w:pPr>
        <w:pStyle w:val="ListParagraph"/>
        <w:numPr>
          <w:ilvl w:val="0"/>
          <w:numId w:val="92"/>
        </w:numPr>
      </w:pPr>
      <w:r w:rsidRPr="002A286B">
        <w:t>Limitation(s): Most recent data are from 2020.</w:t>
      </w:r>
    </w:p>
    <w:p w14:paraId="3798AEFC" w14:textId="77777777" w:rsidR="00544798" w:rsidRPr="002A286B" w:rsidRDefault="00544798" w:rsidP="00926EB3">
      <w:pPr>
        <w:pStyle w:val="ListParagraph"/>
        <w:numPr>
          <w:ilvl w:val="0"/>
          <w:numId w:val="92"/>
        </w:numPr>
      </w:pPr>
      <w:r w:rsidRPr="002A286B">
        <w:t xml:space="preserve">Access: </w:t>
      </w:r>
      <w:hyperlink r:id="rId583" w:history="1">
        <w:r w:rsidRPr="00AF0C84">
          <w:rPr>
            <w:rStyle w:val="Hyperlink"/>
          </w:rPr>
          <w:t>Department of Veterans Affairs website.</w:t>
        </w:r>
      </w:hyperlink>
    </w:p>
    <w:p w14:paraId="777DC24D" w14:textId="77777777" w:rsidR="00544798" w:rsidRPr="002A286B" w:rsidRDefault="00544798" w:rsidP="00544798"/>
    <w:p w14:paraId="2E93EC20" w14:textId="77777777" w:rsidR="00544798" w:rsidRPr="00AF0C84" w:rsidRDefault="00544798" w:rsidP="00544798">
      <w:pPr>
        <w:pStyle w:val="Heading5"/>
      </w:pPr>
      <w:r w:rsidRPr="00AF0C84">
        <w:t>National Immunization Survey (NIS)</w:t>
      </w:r>
    </w:p>
    <w:p w14:paraId="7BD64D88" w14:textId="77777777" w:rsidR="00544798" w:rsidRDefault="00544798" w:rsidP="00926EB3">
      <w:pPr>
        <w:pStyle w:val="ListParagraph"/>
        <w:numPr>
          <w:ilvl w:val="0"/>
          <w:numId w:val="93"/>
        </w:numPr>
      </w:pPr>
      <w:r w:rsidRPr="002A286B">
        <w:t>Owner: CDC</w:t>
      </w:r>
      <w:r>
        <w:t>.</w:t>
      </w:r>
    </w:p>
    <w:p w14:paraId="6769464D" w14:textId="77777777" w:rsidR="00544798" w:rsidRDefault="00544798" w:rsidP="00926EB3">
      <w:pPr>
        <w:pStyle w:val="ListParagraph"/>
        <w:numPr>
          <w:ilvl w:val="0"/>
          <w:numId w:val="93"/>
        </w:numPr>
      </w:pPr>
      <w:r w:rsidRPr="002A286B">
        <w:t>Type: Secondary</w:t>
      </w:r>
      <w:r>
        <w:t>.</w:t>
      </w:r>
    </w:p>
    <w:p w14:paraId="4CBAE764" w14:textId="4CCAB265" w:rsidR="00544798" w:rsidRDefault="00544798" w:rsidP="00926EB3">
      <w:pPr>
        <w:pStyle w:val="ListParagraph"/>
        <w:numPr>
          <w:ilvl w:val="0"/>
          <w:numId w:val="93"/>
        </w:numPr>
      </w:pPr>
      <w:r w:rsidRPr="002A286B">
        <w:t>Overview: The NIS are a group of phone surveys used to monitor vaccination coverage among children 19–35 months and teens 13–17 years, and flu vaccinations for children 6 months–17 years. The surveys collect data through telephone interviews with parents or guardians in all 50 states. Landline and cell phone numbers are randomly selected and called to enroll one or more age-eligible child or teen from the household. The parents and guardians of eligible children are asked during the interview for the names of their children’s vaccination providers and permission to contact them. With this permission, a questionnaire is mailed to each child’s vaccination provider(s) to collect the information on the types of vaccinations, number of doses, dates of administration, and other administrative data about the healthcare facility.</w:t>
      </w:r>
    </w:p>
    <w:p w14:paraId="394BC4FD" w14:textId="77777777" w:rsidR="00544798" w:rsidRDefault="00544798" w:rsidP="00926EB3">
      <w:pPr>
        <w:pStyle w:val="ListParagraph"/>
        <w:numPr>
          <w:ilvl w:val="0"/>
          <w:numId w:val="93"/>
        </w:numPr>
      </w:pPr>
      <w:r w:rsidRPr="002A286B">
        <w:t xml:space="preserve">Strength(s): The NIS provide current, population-based, </w:t>
      </w:r>
      <w:proofErr w:type="gramStart"/>
      <w:r w:rsidRPr="002A286B">
        <w:t>state</w:t>
      </w:r>
      <w:proofErr w:type="gramEnd"/>
      <w:r w:rsidRPr="002A286B">
        <w:t xml:space="preserve"> and local area estimates of vaccination coverage among children and teens using a standard survey methodology. Estimates of vaccination coverage are determined for child and teen vaccinations.</w:t>
      </w:r>
    </w:p>
    <w:p w14:paraId="2AD0F9B3" w14:textId="77777777" w:rsidR="00544798" w:rsidRDefault="00544798" w:rsidP="00926EB3">
      <w:pPr>
        <w:pStyle w:val="ListParagraph"/>
        <w:numPr>
          <w:ilvl w:val="0"/>
          <w:numId w:val="93"/>
        </w:numPr>
      </w:pPr>
      <w:r w:rsidRPr="002A286B">
        <w:t>Limitation(s): There is difficulty reaching families by phone and gaining permission to contact vaccination providers. Estimates at the state/local area and by race/ethnicity could be unreliable due to small sample sizes.</w:t>
      </w:r>
    </w:p>
    <w:p w14:paraId="2E080F10" w14:textId="3FC7F586" w:rsidR="00544798" w:rsidRPr="00AF0C84" w:rsidRDefault="00544798" w:rsidP="00926EB3">
      <w:pPr>
        <w:pStyle w:val="ListParagraph"/>
        <w:numPr>
          <w:ilvl w:val="0"/>
          <w:numId w:val="93"/>
        </w:numPr>
      </w:pPr>
      <w:r w:rsidRPr="002A286B">
        <w:t>Access:</w:t>
      </w:r>
      <w:hyperlink r:id="rId584" w:history="1">
        <w:r w:rsidRPr="001F51B5">
          <w:rPr>
            <w:rStyle w:val="Hyperlink"/>
          </w:rPr>
          <w:t xml:space="preserve"> CDC National Immunization Survey website.</w:t>
        </w:r>
      </w:hyperlink>
    </w:p>
    <w:p w14:paraId="063693C9" w14:textId="77777777" w:rsidR="00544798" w:rsidRPr="002A286B" w:rsidRDefault="00544798" w:rsidP="00544798"/>
    <w:p w14:paraId="76D0379E" w14:textId="77777777" w:rsidR="00544798" w:rsidRPr="002A286B" w:rsidRDefault="00544798" w:rsidP="00544798">
      <w:pPr>
        <w:pStyle w:val="Heading5"/>
      </w:pPr>
      <w:r w:rsidRPr="002A286B">
        <w:t>National Survey of Children's Health (NSCH)</w:t>
      </w:r>
    </w:p>
    <w:p w14:paraId="2CF2B20B" w14:textId="77777777" w:rsidR="00544798" w:rsidRDefault="00544798" w:rsidP="00926EB3">
      <w:pPr>
        <w:pStyle w:val="ListParagraph"/>
        <w:numPr>
          <w:ilvl w:val="0"/>
          <w:numId w:val="94"/>
        </w:numPr>
      </w:pPr>
      <w:r w:rsidRPr="002A286B">
        <w:t>Owner: HRSA</w:t>
      </w:r>
      <w:r>
        <w:t>.</w:t>
      </w:r>
    </w:p>
    <w:p w14:paraId="75A51D65" w14:textId="77777777" w:rsidR="00544798" w:rsidRDefault="00544798" w:rsidP="00926EB3">
      <w:pPr>
        <w:pStyle w:val="ListParagraph"/>
        <w:numPr>
          <w:ilvl w:val="0"/>
          <w:numId w:val="94"/>
        </w:numPr>
      </w:pPr>
      <w:r w:rsidRPr="002A286B">
        <w:t>Type: Secondary</w:t>
      </w:r>
      <w:r>
        <w:t>.</w:t>
      </w:r>
    </w:p>
    <w:p w14:paraId="5A659DE1" w14:textId="77777777" w:rsidR="00544798" w:rsidRDefault="00544798" w:rsidP="00926EB3">
      <w:pPr>
        <w:pStyle w:val="ListParagraph"/>
        <w:numPr>
          <w:ilvl w:val="0"/>
          <w:numId w:val="94"/>
        </w:numPr>
      </w:pPr>
      <w:r w:rsidRPr="002A286B">
        <w:t xml:space="preserve">Overview: The National Survey of Children’s Health (NSCH) provides rich data on multiple, intersecting aspects of children’s lives—including physical </w:t>
      </w:r>
      <w:r w:rsidRPr="002A286B">
        <w:lastRenderedPageBreak/>
        <w:t>and mental health, access to quality health care, and the child’s family, neighborhood, school, and social context.</w:t>
      </w:r>
    </w:p>
    <w:p w14:paraId="0766BA0D" w14:textId="77777777" w:rsidR="00544798" w:rsidRDefault="00544798" w:rsidP="00926EB3">
      <w:pPr>
        <w:pStyle w:val="ListParagraph"/>
        <w:numPr>
          <w:ilvl w:val="0"/>
          <w:numId w:val="94"/>
        </w:numPr>
      </w:pPr>
      <w:r w:rsidRPr="002A286B">
        <w:t xml:space="preserve">Strength(s): The NSCH provides rich data on multiple, intersecting aspects of children’s lives—including physical and mental health, access to quality health care, and the child’s family, neighborhood, school, and social context. </w:t>
      </w:r>
    </w:p>
    <w:p w14:paraId="0AFC3B20" w14:textId="77777777" w:rsidR="00544798" w:rsidRDefault="00544798" w:rsidP="00926EB3">
      <w:pPr>
        <w:pStyle w:val="ListParagraph"/>
        <w:numPr>
          <w:ilvl w:val="0"/>
          <w:numId w:val="94"/>
        </w:numPr>
      </w:pPr>
      <w:r w:rsidRPr="002A286B">
        <w:t>Limitation(s): This is self-reported data by a parent or guardian and the level of detail of results is limited by sample size which limits availability of cross-stratified estimates.</w:t>
      </w:r>
    </w:p>
    <w:p w14:paraId="0974E929" w14:textId="77777777" w:rsidR="00544798" w:rsidRPr="002A286B" w:rsidRDefault="00544798" w:rsidP="00926EB3">
      <w:pPr>
        <w:pStyle w:val="ListParagraph"/>
        <w:numPr>
          <w:ilvl w:val="0"/>
          <w:numId w:val="94"/>
        </w:numPr>
      </w:pPr>
      <w:r w:rsidRPr="002A286B">
        <w:t xml:space="preserve">Access: </w:t>
      </w:r>
      <w:hyperlink r:id="rId585" w:history="1">
        <w:r w:rsidRPr="00AF0C84">
          <w:rPr>
            <w:rStyle w:val="Hyperlink"/>
          </w:rPr>
          <w:t>The National Survey of Children's Health website.</w:t>
        </w:r>
      </w:hyperlink>
    </w:p>
    <w:p w14:paraId="652175A7" w14:textId="77777777" w:rsidR="00544798" w:rsidRPr="002A286B" w:rsidRDefault="00544798" w:rsidP="00544798"/>
    <w:p w14:paraId="4FAB6481" w14:textId="77777777" w:rsidR="00544798" w:rsidRPr="00AF0C84" w:rsidRDefault="00544798" w:rsidP="00544798">
      <w:pPr>
        <w:pStyle w:val="Heading5"/>
      </w:pPr>
      <w:r w:rsidRPr="00AF0C84">
        <w:t>National Survey on Drug Use and Health</w:t>
      </w:r>
    </w:p>
    <w:p w14:paraId="7D3B84B9" w14:textId="77777777" w:rsidR="00544798" w:rsidRDefault="00544798" w:rsidP="00926EB3">
      <w:pPr>
        <w:pStyle w:val="ListParagraph"/>
        <w:numPr>
          <w:ilvl w:val="0"/>
          <w:numId w:val="95"/>
        </w:numPr>
      </w:pPr>
      <w:r w:rsidRPr="002A286B">
        <w:t>Owner: Substance Abuse and Mental Health Services Administration (SAMHSA)</w:t>
      </w:r>
      <w:r>
        <w:t>.</w:t>
      </w:r>
    </w:p>
    <w:p w14:paraId="6F5FA191" w14:textId="77777777" w:rsidR="00544798" w:rsidRDefault="00544798" w:rsidP="00926EB3">
      <w:pPr>
        <w:pStyle w:val="ListParagraph"/>
        <w:numPr>
          <w:ilvl w:val="0"/>
          <w:numId w:val="95"/>
        </w:numPr>
      </w:pPr>
      <w:r w:rsidRPr="002A286B">
        <w:t>Type: Secondary</w:t>
      </w:r>
      <w:r>
        <w:t>.</w:t>
      </w:r>
    </w:p>
    <w:p w14:paraId="42C63B53" w14:textId="5399CCC3" w:rsidR="00544798" w:rsidRDefault="00544798" w:rsidP="00926EB3">
      <w:pPr>
        <w:pStyle w:val="ListParagraph"/>
        <w:numPr>
          <w:ilvl w:val="0"/>
          <w:numId w:val="95"/>
        </w:numPr>
      </w:pPr>
      <w:r w:rsidRPr="002A286B">
        <w:t xml:space="preserve">Overview: </w:t>
      </w:r>
      <w:r w:rsidR="0087480F">
        <w:t>SAMHSA</w:t>
      </w:r>
      <w:r w:rsidRPr="002A286B">
        <w:t xml:space="preserve"> is the agency that leads public health efforts to advance the behavioral health of the nation.</w:t>
      </w:r>
    </w:p>
    <w:p w14:paraId="49DEBE89" w14:textId="53CF4E04" w:rsidR="00544798" w:rsidRDefault="00544798" w:rsidP="00926EB3">
      <w:pPr>
        <w:pStyle w:val="ListParagraph"/>
        <w:numPr>
          <w:ilvl w:val="0"/>
          <w:numId w:val="95"/>
        </w:numPr>
      </w:pPr>
      <w:r w:rsidRPr="002A286B">
        <w:t xml:space="preserve">Strength(s): </w:t>
      </w:r>
      <w:r w:rsidR="0087480F">
        <w:t>SAMHSA</w:t>
      </w:r>
      <w:r w:rsidRPr="002A286B">
        <w:t xml:space="preserve"> has prioritized data, </w:t>
      </w:r>
      <w:proofErr w:type="gramStart"/>
      <w:r w:rsidRPr="002A286B">
        <w:t>outcomes</w:t>
      </w:r>
      <w:proofErr w:type="gramEnd"/>
      <w:r w:rsidRPr="002A286B">
        <w:t xml:space="preserve"> and quality. </w:t>
      </w:r>
      <w:r w:rsidR="0087480F">
        <w:t>SAMHSA</w:t>
      </w:r>
      <w:r w:rsidRPr="002A286B">
        <w:t xml:space="preserve"> has data by state, sex, age group, and payment source.</w:t>
      </w:r>
    </w:p>
    <w:p w14:paraId="01407061" w14:textId="77777777" w:rsidR="00544798" w:rsidRDefault="00544798" w:rsidP="00926EB3">
      <w:pPr>
        <w:pStyle w:val="ListParagraph"/>
        <w:numPr>
          <w:ilvl w:val="0"/>
          <w:numId w:val="95"/>
        </w:numPr>
      </w:pPr>
      <w:r w:rsidRPr="002A286B">
        <w:t>Limitation(s): This is self-reported data, and does not report data on individuals who are homeless, active duty personnel, and persons housed in jails or hospitals.</w:t>
      </w:r>
    </w:p>
    <w:p w14:paraId="2023EE37" w14:textId="77777777" w:rsidR="00544798" w:rsidRPr="002A286B" w:rsidRDefault="00544798" w:rsidP="00926EB3">
      <w:pPr>
        <w:pStyle w:val="ListParagraph"/>
        <w:numPr>
          <w:ilvl w:val="0"/>
          <w:numId w:val="95"/>
        </w:numPr>
      </w:pPr>
      <w:r w:rsidRPr="002A286B">
        <w:t xml:space="preserve">Access: </w:t>
      </w:r>
      <w:hyperlink r:id="rId586" w:history="1">
        <w:r w:rsidRPr="00AF0C84">
          <w:rPr>
            <w:rStyle w:val="Hyperlink"/>
          </w:rPr>
          <w:t>Substance Abuse and Mental Health Services Administration, National Survey on Drug Use and Health website.</w:t>
        </w:r>
      </w:hyperlink>
    </w:p>
    <w:p w14:paraId="1D767792" w14:textId="77777777" w:rsidR="00544798" w:rsidRDefault="00544798" w:rsidP="00544798"/>
    <w:p w14:paraId="64D5D4DF" w14:textId="77777777" w:rsidR="00544798" w:rsidRPr="002A286B" w:rsidRDefault="00544798" w:rsidP="00544798">
      <w:pPr>
        <w:pStyle w:val="Heading5"/>
      </w:pPr>
      <w:r w:rsidRPr="002A286B">
        <w:t>National Vital Statistics System (NVSS)</w:t>
      </w:r>
    </w:p>
    <w:p w14:paraId="7A545360" w14:textId="77777777" w:rsidR="00544798" w:rsidRDefault="00544798" w:rsidP="00926EB3">
      <w:pPr>
        <w:pStyle w:val="ListParagraph"/>
        <w:numPr>
          <w:ilvl w:val="0"/>
          <w:numId w:val="96"/>
        </w:numPr>
      </w:pPr>
      <w:r w:rsidRPr="002A286B">
        <w:t>Owner: CDC, NCHS</w:t>
      </w:r>
      <w:r>
        <w:t>.</w:t>
      </w:r>
    </w:p>
    <w:p w14:paraId="100F82BD" w14:textId="77777777" w:rsidR="00544798" w:rsidRDefault="00544798" w:rsidP="00926EB3">
      <w:pPr>
        <w:pStyle w:val="ListParagraph"/>
        <w:numPr>
          <w:ilvl w:val="0"/>
          <w:numId w:val="96"/>
        </w:numPr>
      </w:pPr>
      <w:r w:rsidRPr="002A286B">
        <w:t>Type: Primary</w:t>
      </w:r>
      <w:r>
        <w:t>.</w:t>
      </w:r>
    </w:p>
    <w:p w14:paraId="3E173FB0" w14:textId="77777777" w:rsidR="00544798" w:rsidRDefault="00544798" w:rsidP="00926EB3">
      <w:pPr>
        <w:pStyle w:val="ListParagraph"/>
        <w:numPr>
          <w:ilvl w:val="0"/>
          <w:numId w:val="96"/>
        </w:numPr>
      </w:pPr>
      <w:r w:rsidRPr="002A286B">
        <w:t>Overview: The National Vital Statistics System (NVSS) provides the most complete data on births and deaths in the United States.</w:t>
      </w:r>
    </w:p>
    <w:p w14:paraId="1CF3112A" w14:textId="77777777" w:rsidR="00544798" w:rsidRDefault="00544798" w:rsidP="00926EB3">
      <w:pPr>
        <w:pStyle w:val="ListParagraph"/>
        <w:numPr>
          <w:ilvl w:val="0"/>
          <w:numId w:val="96"/>
        </w:numPr>
      </w:pPr>
      <w:r w:rsidRPr="002A286B">
        <w:t>Strength(s): The National Vital Statistics System is the oldest and most successful example of inter-governmental data sharing in Public Health and the shared relationships, standards, and procedures form the mechanism by which NCHS collects and disseminates the Nation’s official vital statistics</w:t>
      </w:r>
      <w:r>
        <w:t>.</w:t>
      </w:r>
    </w:p>
    <w:p w14:paraId="33E64403" w14:textId="77777777" w:rsidR="00544798" w:rsidRDefault="00544798" w:rsidP="00926EB3">
      <w:pPr>
        <w:pStyle w:val="ListParagraph"/>
        <w:numPr>
          <w:ilvl w:val="0"/>
          <w:numId w:val="96"/>
        </w:numPr>
      </w:pPr>
      <w:r w:rsidRPr="002A286B">
        <w:t xml:space="preserve">Limitation(s): The NVSS relies on the accuracy and completeness of the information provided by states and territories. As a result, there may be some inconsistencies in the data due to differences in reporting standards and practices across jurisdictions. The NVSS also does not collect </w:t>
      </w:r>
      <w:r w:rsidRPr="002A286B">
        <w:lastRenderedPageBreak/>
        <w:t>information on certain demographic factors such as sexual orientation or gender identity.</w:t>
      </w:r>
    </w:p>
    <w:p w14:paraId="23CBF312" w14:textId="22F7F75B" w:rsidR="00544798" w:rsidRPr="002A286B" w:rsidRDefault="00544798" w:rsidP="00926EB3">
      <w:pPr>
        <w:pStyle w:val="ListParagraph"/>
        <w:numPr>
          <w:ilvl w:val="0"/>
          <w:numId w:val="96"/>
        </w:numPr>
      </w:pPr>
      <w:r w:rsidRPr="002A286B">
        <w:t xml:space="preserve">Access: </w:t>
      </w:r>
      <w:hyperlink r:id="rId587" w:history="1">
        <w:r w:rsidRPr="0033748E">
          <w:rPr>
            <w:rStyle w:val="Hyperlink"/>
          </w:rPr>
          <w:t>CDC, National Vital Statistics System website.</w:t>
        </w:r>
      </w:hyperlink>
    </w:p>
    <w:p w14:paraId="6238B40E" w14:textId="77777777" w:rsidR="00544798" w:rsidRPr="002A286B" w:rsidRDefault="00544798" w:rsidP="00544798"/>
    <w:p w14:paraId="346077F8" w14:textId="77777777" w:rsidR="00544798" w:rsidRPr="002A286B" w:rsidRDefault="00544798" w:rsidP="00544798">
      <w:pPr>
        <w:pStyle w:val="Heading5"/>
      </w:pPr>
      <w:r w:rsidRPr="002A286B">
        <w:t>Pine Hill Health Network</w:t>
      </w:r>
    </w:p>
    <w:p w14:paraId="73E73ABC" w14:textId="77777777" w:rsidR="00544798" w:rsidRDefault="00544798" w:rsidP="00926EB3">
      <w:pPr>
        <w:pStyle w:val="ListParagraph"/>
        <w:numPr>
          <w:ilvl w:val="0"/>
          <w:numId w:val="97"/>
        </w:numPr>
      </w:pPr>
      <w:r w:rsidRPr="002A286B">
        <w:t>Owner: Pine Hill Health Network</w:t>
      </w:r>
      <w:r>
        <w:t>.</w:t>
      </w:r>
    </w:p>
    <w:p w14:paraId="08C52FBE" w14:textId="77777777" w:rsidR="00544798" w:rsidRDefault="00544798" w:rsidP="00926EB3">
      <w:pPr>
        <w:pStyle w:val="ListParagraph"/>
        <w:numPr>
          <w:ilvl w:val="0"/>
          <w:numId w:val="97"/>
        </w:numPr>
      </w:pPr>
      <w:r w:rsidRPr="002A286B">
        <w:t>Type: Primary</w:t>
      </w:r>
      <w:r>
        <w:t>.</w:t>
      </w:r>
    </w:p>
    <w:p w14:paraId="0FC53FA7" w14:textId="77777777" w:rsidR="00544798" w:rsidRDefault="00544798" w:rsidP="00926EB3">
      <w:pPr>
        <w:pStyle w:val="ListParagraph"/>
        <w:numPr>
          <w:ilvl w:val="0"/>
          <w:numId w:val="97"/>
        </w:numPr>
      </w:pPr>
      <w:r w:rsidRPr="002A286B">
        <w:t xml:space="preserve">Overview: Pine Hill Indian Tribe, The First People of Fort Jackson (Pine Hill in northwestern Orangeburg County) created Pine Hill Indian Community Development Initiative. The Initiative operates Pine Hill Health </w:t>
      </w:r>
      <w:proofErr w:type="gramStart"/>
      <w:r w:rsidRPr="002A286B">
        <w:t>Network</w:t>
      </w:r>
      <w:proofErr w:type="gramEnd"/>
      <w:r w:rsidRPr="002A286B">
        <w:t xml:space="preserve"> and that Health facility is in North, SC, also in northwestern Orangeburg County. PHHN provides Indigenous-based health services to tribal communities of SC for up to 15,000 members and target several chronic disease risk factors in culturally meaningful ways. Pine Hill Health Network operates the South Carolina Native American Health Board.</w:t>
      </w:r>
    </w:p>
    <w:p w14:paraId="1D27A2EA" w14:textId="77777777" w:rsidR="00544798" w:rsidRDefault="00544798" w:rsidP="00926EB3">
      <w:pPr>
        <w:pStyle w:val="ListParagraph"/>
        <w:numPr>
          <w:ilvl w:val="0"/>
          <w:numId w:val="97"/>
        </w:numPr>
      </w:pPr>
      <w:r w:rsidRPr="002A286B">
        <w:t>Strength(s): Information is derived directly from community leaders. PHHN represents one of the largest tribal communities in SC.</w:t>
      </w:r>
    </w:p>
    <w:p w14:paraId="14A1BC28" w14:textId="77777777" w:rsidR="00544798" w:rsidRDefault="00544798" w:rsidP="00926EB3">
      <w:pPr>
        <w:pStyle w:val="ListParagraph"/>
        <w:numPr>
          <w:ilvl w:val="0"/>
          <w:numId w:val="97"/>
        </w:numPr>
      </w:pPr>
      <w:r w:rsidRPr="002A286B">
        <w:t>Limitation(s): Although membership is state-wide, does not represent all tribal communities</w:t>
      </w:r>
      <w:r>
        <w:t>.</w:t>
      </w:r>
    </w:p>
    <w:p w14:paraId="1BBC1982" w14:textId="77777777" w:rsidR="00544798" w:rsidRPr="0033748E" w:rsidRDefault="00544798" w:rsidP="00926EB3">
      <w:pPr>
        <w:pStyle w:val="ListParagraph"/>
        <w:numPr>
          <w:ilvl w:val="0"/>
          <w:numId w:val="97"/>
        </w:numPr>
      </w:pPr>
      <w:r w:rsidRPr="002A286B">
        <w:t xml:space="preserve">Access: </w:t>
      </w:r>
      <w:hyperlink r:id="rId588" w:history="1">
        <w:r w:rsidRPr="0033748E">
          <w:rPr>
            <w:rStyle w:val="Hyperlink"/>
          </w:rPr>
          <w:t>Pine Hill Health Network website.</w:t>
        </w:r>
      </w:hyperlink>
    </w:p>
    <w:p w14:paraId="1A2B54F0" w14:textId="77777777" w:rsidR="00544798" w:rsidRPr="002A286B" w:rsidRDefault="00544798" w:rsidP="00544798">
      <w:pPr>
        <w:rPr>
          <w:u w:val="thick"/>
        </w:rPr>
      </w:pPr>
    </w:p>
    <w:p w14:paraId="0B664452" w14:textId="77777777" w:rsidR="00544798" w:rsidRPr="002A286B" w:rsidRDefault="00544798" w:rsidP="00544798">
      <w:pPr>
        <w:pStyle w:val="Heading5"/>
      </w:pPr>
      <w:r w:rsidRPr="002A286B">
        <w:t>Population with Percent in Poverty by County 2011-2021</w:t>
      </w:r>
    </w:p>
    <w:p w14:paraId="6D57BC0D" w14:textId="77777777" w:rsidR="00544798" w:rsidRDefault="00544798" w:rsidP="00926EB3">
      <w:pPr>
        <w:pStyle w:val="ListParagraph"/>
        <w:numPr>
          <w:ilvl w:val="0"/>
          <w:numId w:val="98"/>
        </w:numPr>
      </w:pPr>
      <w:r w:rsidRPr="002A286B">
        <w:t>Owner: SC Revenue and Fiscal Affairs Office</w:t>
      </w:r>
      <w:r>
        <w:t>.</w:t>
      </w:r>
    </w:p>
    <w:p w14:paraId="59D63CC0" w14:textId="77777777" w:rsidR="00544798" w:rsidRDefault="00544798" w:rsidP="00926EB3">
      <w:pPr>
        <w:pStyle w:val="ListParagraph"/>
        <w:numPr>
          <w:ilvl w:val="0"/>
          <w:numId w:val="98"/>
        </w:numPr>
      </w:pPr>
      <w:r w:rsidRPr="002A286B">
        <w:t>Type: Secondary</w:t>
      </w:r>
      <w:r>
        <w:t>.</w:t>
      </w:r>
    </w:p>
    <w:p w14:paraId="0AE57F86" w14:textId="77777777" w:rsidR="00544798" w:rsidRDefault="00544798" w:rsidP="00926EB3">
      <w:pPr>
        <w:pStyle w:val="ListParagraph"/>
        <w:numPr>
          <w:ilvl w:val="0"/>
          <w:numId w:val="98"/>
        </w:numPr>
      </w:pPr>
      <w:r w:rsidRPr="002A286B">
        <w:t>Overview: Provides counts and percentages for percent of people in poverty in SC and by Count over 10 years.  The data is updated annually and is based on estimates from the U.S Census Bureau. The dataset can also be used to track changes in poverty rates over time and evaluate the effectiveness of anti-poverty programs.</w:t>
      </w:r>
    </w:p>
    <w:p w14:paraId="2159EF21" w14:textId="77777777" w:rsidR="00544798" w:rsidRDefault="00544798" w:rsidP="00926EB3">
      <w:pPr>
        <w:pStyle w:val="ListParagraph"/>
        <w:numPr>
          <w:ilvl w:val="0"/>
          <w:numId w:val="98"/>
        </w:numPr>
      </w:pPr>
      <w:r w:rsidRPr="002A286B">
        <w:t>Strength(s): The Population with Percent in Poverty by County 2011-2021 dataset is a reliable source of information for poverty rates in South Carolina. The data is sourced from the U.S Census Bureau’s Small Area and Income and Poverty Estimates program. The dataset is useful for researchers, policymakers, and social workers who are interested in understanding the poverty rates in South Carolina. It can be used to identify areas that require more attention and resources to reduce poverty levels.</w:t>
      </w:r>
    </w:p>
    <w:p w14:paraId="1237885A" w14:textId="77777777" w:rsidR="00544798" w:rsidRDefault="00544798" w:rsidP="00926EB3">
      <w:pPr>
        <w:pStyle w:val="ListParagraph"/>
        <w:numPr>
          <w:ilvl w:val="0"/>
          <w:numId w:val="98"/>
        </w:numPr>
      </w:pPr>
      <w:r w:rsidRPr="002A286B">
        <w:lastRenderedPageBreak/>
        <w:t>Limitation(s): The dataset is based on estimates and may not be completely accurate.</w:t>
      </w:r>
      <w:r>
        <w:t xml:space="preserve"> </w:t>
      </w:r>
      <w:r w:rsidRPr="002A286B">
        <w:t>Additionally, the dataset does not provide information on the causes of poverty or the effectiveness of anti-poverty programs.</w:t>
      </w:r>
    </w:p>
    <w:p w14:paraId="7776A37B" w14:textId="77777777" w:rsidR="00544798" w:rsidRPr="002A286B" w:rsidRDefault="00544798" w:rsidP="00926EB3">
      <w:pPr>
        <w:pStyle w:val="ListParagraph"/>
        <w:numPr>
          <w:ilvl w:val="0"/>
          <w:numId w:val="98"/>
        </w:numPr>
      </w:pPr>
      <w:r w:rsidRPr="002A286B">
        <w:t xml:space="preserve">Access: </w:t>
      </w:r>
      <w:hyperlink r:id="rId589" w:history="1">
        <w:r w:rsidRPr="0033748E">
          <w:rPr>
            <w:rStyle w:val="Hyperlink"/>
          </w:rPr>
          <w:t>SC Revenue and Fiscal Affairs Office, Population with Percent in Poverty website.</w:t>
        </w:r>
      </w:hyperlink>
    </w:p>
    <w:p w14:paraId="1D6AAE21" w14:textId="77777777" w:rsidR="00544798" w:rsidRPr="002A286B" w:rsidRDefault="00544798" w:rsidP="00544798"/>
    <w:p w14:paraId="20A6F8FD" w14:textId="77777777" w:rsidR="00544798" w:rsidRPr="0033748E" w:rsidRDefault="00544798" w:rsidP="00544798">
      <w:pPr>
        <w:pStyle w:val="Heading5"/>
      </w:pPr>
      <w:r w:rsidRPr="0033748E">
        <w:t>Pregnancy Risk Assessment Monitoring System (PRAMS)</w:t>
      </w:r>
    </w:p>
    <w:p w14:paraId="40AAC2F3" w14:textId="77777777" w:rsidR="00544798" w:rsidRDefault="00544798" w:rsidP="00926EB3">
      <w:pPr>
        <w:pStyle w:val="ListParagraph"/>
        <w:numPr>
          <w:ilvl w:val="0"/>
          <w:numId w:val="99"/>
        </w:numPr>
      </w:pPr>
      <w:r w:rsidRPr="002A286B">
        <w:t>Owner: SC DHEC, CDC</w:t>
      </w:r>
      <w:r>
        <w:t>.</w:t>
      </w:r>
    </w:p>
    <w:p w14:paraId="7205B13A" w14:textId="77777777" w:rsidR="00544798" w:rsidRDefault="00544798" w:rsidP="00926EB3">
      <w:pPr>
        <w:pStyle w:val="ListParagraph"/>
        <w:numPr>
          <w:ilvl w:val="0"/>
          <w:numId w:val="99"/>
        </w:numPr>
      </w:pPr>
      <w:r w:rsidRPr="002A286B">
        <w:t>Type: Primary</w:t>
      </w:r>
      <w:r>
        <w:t>.</w:t>
      </w:r>
    </w:p>
    <w:p w14:paraId="5F6CECD0" w14:textId="77777777" w:rsidR="00544798" w:rsidRDefault="00544798" w:rsidP="00926EB3">
      <w:pPr>
        <w:pStyle w:val="ListParagraph"/>
        <w:numPr>
          <w:ilvl w:val="0"/>
          <w:numId w:val="99"/>
        </w:numPr>
      </w:pPr>
      <w:r w:rsidRPr="002A286B">
        <w:t>Overview: PRAMS is a surveillance project of the Centers for Disease Control and Prevention (CDC) and state health departments. Developed in 1987, PRAMS collects state-specific, population-based data on maternal attitudes and experiences before, during, and shortly after pregnancy.</w:t>
      </w:r>
    </w:p>
    <w:p w14:paraId="70C5D33B" w14:textId="77777777" w:rsidR="00544798" w:rsidRDefault="00544798" w:rsidP="00926EB3">
      <w:pPr>
        <w:pStyle w:val="ListParagraph"/>
        <w:numPr>
          <w:ilvl w:val="0"/>
          <w:numId w:val="99"/>
        </w:numPr>
      </w:pPr>
      <w:r w:rsidRPr="002A286B">
        <w:t>Strength(s): PRAMS provide data not available from other sources. This data can be used to identify groups of women and infants at high risk for health problems, to monitor changes in health status, and to measure progress towards goals in improving the health of mothers and infants.</w:t>
      </w:r>
    </w:p>
    <w:p w14:paraId="70457F4F" w14:textId="77777777" w:rsidR="00544798" w:rsidRDefault="00544798" w:rsidP="00926EB3">
      <w:pPr>
        <w:pStyle w:val="ListParagraph"/>
        <w:numPr>
          <w:ilvl w:val="0"/>
          <w:numId w:val="99"/>
        </w:numPr>
      </w:pPr>
      <w:r w:rsidRPr="002A286B">
        <w:t>Limitation(s): No clinical or lab data is available.</w:t>
      </w:r>
    </w:p>
    <w:p w14:paraId="3531E3B9" w14:textId="77777777" w:rsidR="00544798" w:rsidRPr="002A286B" w:rsidRDefault="00544798" w:rsidP="00926EB3">
      <w:pPr>
        <w:pStyle w:val="ListParagraph"/>
        <w:numPr>
          <w:ilvl w:val="0"/>
          <w:numId w:val="99"/>
        </w:numPr>
      </w:pPr>
      <w:r w:rsidRPr="002A286B">
        <w:t xml:space="preserve">Access: </w:t>
      </w:r>
      <w:hyperlink r:id="rId590" w:history="1">
        <w:r w:rsidRPr="0033748E">
          <w:rPr>
            <w:rStyle w:val="Hyperlink"/>
          </w:rPr>
          <w:t>SC DHEC, Pregnancy Risk Assessment Monitoring System website.</w:t>
        </w:r>
      </w:hyperlink>
    </w:p>
    <w:p w14:paraId="55FA0AF2" w14:textId="77777777" w:rsidR="00544798" w:rsidRPr="002A286B" w:rsidRDefault="00544798" w:rsidP="00544798">
      <w:r w:rsidRPr="002A286B">
        <w:tab/>
      </w:r>
    </w:p>
    <w:p w14:paraId="7482BE7A" w14:textId="77777777" w:rsidR="00544798" w:rsidRPr="002A286B" w:rsidRDefault="00544798" w:rsidP="00544798">
      <w:pPr>
        <w:pStyle w:val="Heading5"/>
      </w:pPr>
      <w:r w:rsidRPr="002A286B">
        <w:t>Small Area Health Insurance Estimates</w:t>
      </w:r>
    </w:p>
    <w:p w14:paraId="56D242FC" w14:textId="77777777" w:rsidR="00544798" w:rsidRDefault="00544798" w:rsidP="00926EB3">
      <w:pPr>
        <w:pStyle w:val="ListParagraph"/>
        <w:numPr>
          <w:ilvl w:val="0"/>
          <w:numId w:val="100"/>
        </w:numPr>
      </w:pPr>
      <w:r w:rsidRPr="002A286B">
        <w:t>Owner: US Census Bureau</w:t>
      </w:r>
      <w:r>
        <w:t>.</w:t>
      </w:r>
    </w:p>
    <w:p w14:paraId="5B609057" w14:textId="77777777" w:rsidR="00544798" w:rsidRDefault="00544798" w:rsidP="00926EB3">
      <w:pPr>
        <w:pStyle w:val="ListParagraph"/>
        <w:numPr>
          <w:ilvl w:val="0"/>
          <w:numId w:val="100"/>
        </w:numPr>
      </w:pPr>
      <w:r w:rsidRPr="002A286B">
        <w:t>Type: Secondary</w:t>
      </w:r>
      <w:r>
        <w:t>.</w:t>
      </w:r>
    </w:p>
    <w:p w14:paraId="228E4ECC" w14:textId="77777777" w:rsidR="00544798" w:rsidRDefault="00544798" w:rsidP="00926EB3">
      <w:pPr>
        <w:pStyle w:val="ListParagraph"/>
        <w:numPr>
          <w:ilvl w:val="0"/>
          <w:numId w:val="100"/>
        </w:numPr>
      </w:pPr>
      <w:r w:rsidRPr="002A286B">
        <w:t>Overview: This program produces the only source of data for single-year estimates of health insurance coverage status for all counties in the US by selected economic and demographic characteristics.</w:t>
      </w:r>
    </w:p>
    <w:p w14:paraId="48719EE2" w14:textId="77777777" w:rsidR="00544798" w:rsidRDefault="00544798" w:rsidP="00926EB3">
      <w:pPr>
        <w:pStyle w:val="ListParagraph"/>
        <w:numPr>
          <w:ilvl w:val="0"/>
          <w:numId w:val="100"/>
        </w:numPr>
      </w:pPr>
      <w:r w:rsidRPr="002A286B">
        <w:t>Strength(s): Small Area Health Insurance Estimates have used consistent estimates over time, allowing for changes to over time and geographies to be compared. Demographic breakouts are provided.</w:t>
      </w:r>
    </w:p>
    <w:p w14:paraId="49E91579" w14:textId="77777777" w:rsidR="00544798" w:rsidRDefault="00544798" w:rsidP="00926EB3">
      <w:pPr>
        <w:pStyle w:val="ListParagraph"/>
        <w:numPr>
          <w:ilvl w:val="0"/>
          <w:numId w:val="100"/>
        </w:numPr>
      </w:pPr>
      <w:r w:rsidRPr="002A286B">
        <w:t>Limitation(s): Unable to look at smaller geographic areas, such as zip codes. Does not provide information on type of insurance or those that are under insured.</w:t>
      </w:r>
    </w:p>
    <w:p w14:paraId="0DE9A6D7" w14:textId="77777777" w:rsidR="00544798" w:rsidRPr="002A286B" w:rsidRDefault="00544798" w:rsidP="00926EB3">
      <w:pPr>
        <w:pStyle w:val="ListParagraph"/>
        <w:numPr>
          <w:ilvl w:val="0"/>
          <w:numId w:val="100"/>
        </w:numPr>
      </w:pPr>
      <w:r w:rsidRPr="002A286B">
        <w:t xml:space="preserve">Access: </w:t>
      </w:r>
      <w:hyperlink r:id="rId591" w:history="1">
        <w:r w:rsidRPr="0033748E">
          <w:rPr>
            <w:rStyle w:val="Hyperlink"/>
          </w:rPr>
          <w:t>US Census Bureau, Small Area Health Insurance Estimates website.</w:t>
        </w:r>
      </w:hyperlink>
    </w:p>
    <w:p w14:paraId="57B23E73" w14:textId="77777777" w:rsidR="00544798" w:rsidRPr="002A286B" w:rsidRDefault="00544798" w:rsidP="00544798"/>
    <w:p w14:paraId="6C12B264" w14:textId="77777777" w:rsidR="00544798" w:rsidRPr="0033748E" w:rsidRDefault="00544798" w:rsidP="00544798">
      <w:pPr>
        <w:pStyle w:val="Heading5"/>
      </w:pPr>
      <w:r w:rsidRPr="0033748E">
        <w:t>Social Vulnerability Index</w:t>
      </w:r>
    </w:p>
    <w:p w14:paraId="2452A6C2" w14:textId="77777777" w:rsidR="00544798" w:rsidRDefault="00544798" w:rsidP="00926EB3">
      <w:pPr>
        <w:pStyle w:val="ListParagraph"/>
        <w:numPr>
          <w:ilvl w:val="0"/>
          <w:numId w:val="101"/>
        </w:numPr>
      </w:pPr>
      <w:r w:rsidRPr="002A286B">
        <w:t>Owner: CDC, ATSDR</w:t>
      </w:r>
      <w:r>
        <w:t>.</w:t>
      </w:r>
    </w:p>
    <w:p w14:paraId="11D420B1" w14:textId="77777777" w:rsidR="00544798" w:rsidRDefault="00544798" w:rsidP="00926EB3">
      <w:pPr>
        <w:pStyle w:val="ListParagraph"/>
        <w:numPr>
          <w:ilvl w:val="0"/>
          <w:numId w:val="101"/>
        </w:numPr>
      </w:pPr>
      <w:r w:rsidRPr="002A286B">
        <w:lastRenderedPageBreak/>
        <w:t>Type: Secondary</w:t>
      </w:r>
      <w:r>
        <w:t>.</w:t>
      </w:r>
    </w:p>
    <w:p w14:paraId="11F6F355" w14:textId="77777777" w:rsidR="00544798" w:rsidRDefault="00544798" w:rsidP="00926EB3">
      <w:pPr>
        <w:pStyle w:val="ListParagraph"/>
        <w:numPr>
          <w:ilvl w:val="0"/>
          <w:numId w:val="101"/>
        </w:numPr>
      </w:pPr>
      <w:r w:rsidRPr="002A286B">
        <w:t>Overview: The CDC/ATSDR Social Vulnerability Index (CDC/ATSDR SVI) uses 16 U.S. census variables to help local officials identify communities that may need support before, during, or after disasters.</w:t>
      </w:r>
    </w:p>
    <w:p w14:paraId="49E1ACDD" w14:textId="77777777" w:rsidR="00544798" w:rsidRDefault="00544798" w:rsidP="00926EB3">
      <w:pPr>
        <w:pStyle w:val="ListParagraph"/>
        <w:numPr>
          <w:ilvl w:val="0"/>
          <w:numId w:val="101"/>
        </w:numPr>
      </w:pPr>
      <w:r w:rsidRPr="002A286B">
        <w:t>Strength(s): Provides information on Socioeconomic Status (Below 150% Poverty, Unemployed, Housing Cost Burden, No High School Diploma, No Health Insurance), Household Characteristics (Aged 65 &amp; Older, Aged 17 &amp; Younger, Civilian with a Disability, Single-Parent Households, English Language Proficiency), Racial &amp; Ethnic Minority Status (Hispanic or Latino (of any race); Black and African American, Not Hispanic or Latino; American Indian and Alaska Native, Not Hispanic or Latino; Asian, Not Hispanic or Latino; Native Hawaiian and Other Pacific Islander, Not Hispanic or Latino; Two or More Races, Not Hispanic or Latino; Other Races, Not Hispanic or Latino), Housing Type &amp; Transportation (Multi-Unit Structures, Mobile Homes, Crowding, No Vehicle, Group Quarters). Data are downloadable by geographical region and by counties or census tracts.</w:t>
      </w:r>
    </w:p>
    <w:p w14:paraId="71B181D5" w14:textId="77777777" w:rsidR="00544798" w:rsidRDefault="00544798" w:rsidP="00926EB3">
      <w:pPr>
        <w:pStyle w:val="ListParagraph"/>
        <w:numPr>
          <w:ilvl w:val="0"/>
          <w:numId w:val="101"/>
        </w:numPr>
      </w:pPr>
      <w:r w:rsidRPr="002A286B">
        <w:t>Limitation(s): Last update is for the year 2020.</w:t>
      </w:r>
    </w:p>
    <w:p w14:paraId="41CEC9A1" w14:textId="77777777" w:rsidR="00544798" w:rsidRPr="0033748E" w:rsidRDefault="00544798" w:rsidP="00926EB3">
      <w:pPr>
        <w:pStyle w:val="ListParagraph"/>
        <w:numPr>
          <w:ilvl w:val="0"/>
          <w:numId w:val="101"/>
        </w:numPr>
      </w:pPr>
      <w:r w:rsidRPr="002A286B">
        <w:t xml:space="preserve">Access: </w:t>
      </w:r>
      <w:hyperlink r:id="rId592" w:history="1">
        <w:r w:rsidRPr="000F780A">
          <w:rPr>
            <w:rStyle w:val="Hyperlink"/>
          </w:rPr>
          <w:t>CDC, ATSDR, Social Vulnerability Index website.</w:t>
        </w:r>
      </w:hyperlink>
    </w:p>
    <w:p w14:paraId="351A0C11" w14:textId="77777777" w:rsidR="00544798" w:rsidRPr="002A286B" w:rsidRDefault="00544798" w:rsidP="00544798"/>
    <w:p w14:paraId="434DB534" w14:textId="77777777" w:rsidR="00544798" w:rsidRPr="002A286B" w:rsidRDefault="00544798" w:rsidP="00544798">
      <w:pPr>
        <w:pStyle w:val="Heading5"/>
      </w:pPr>
      <w:r w:rsidRPr="002A286B">
        <w:t>Solid Waste Management Annual Report</w:t>
      </w:r>
    </w:p>
    <w:p w14:paraId="172D5B3E" w14:textId="77777777" w:rsidR="00544798" w:rsidRDefault="00544798" w:rsidP="00926EB3">
      <w:pPr>
        <w:pStyle w:val="ListParagraph"/>
        <w:numPr>
          <w:ilvl w:val="0"/>
          <w:numId w:val="102"/>
        </w:numPr>
      </w:pPr>
      <w:r w:rsidRPr="002A286B">
        <w:t>Owner: SC DHEC, Division of Mining and Solid Waste Management</w:t>
      </w:r>
      <w:r>
        <w:t>.</w:t>
      </w:r>
    </w:p>
    <w:p w14:paraId="42121AB6" w14:textId="77777777" w:rsidR="00544798" w:rsidRDefault="00544798" w:rsidP="00926EB3">
      <w:pPr>
        <w:pStyle w:val="ListParagraph"/>
        <w:numPr>
          <w:ilvl w:val="0"/>
          <w:numId w:val="102"/>
        </w:numPr>
      </w:pPr>
      <w:r w:rsidRPr="002A286B">
        <w:t>Type: Secondary</w:t>
      </w:r>
      <w:r>
        <w:t>.</w:t>
      </w:r>
    </w:p>
    <w:p w14:paraId="4B979301" w14:textId="77777777" w:rsidR="00544798" w:rsidRDefault="00544798" w:rsidP="00926EB3">
      <w:pPr>
        <w:pStyle w:val="ListParagraph"/>
        <w:numPr>
          <w:ilvl w:val="0"/>
          <w:numId w:val="102"/>
        </w:numPr>
      </w:pPr>
      <w:r w:rsidRPr="002A286B">
        <w:t xml:space="preserve">Overview: Solid waste facilities, county governments, and state agencies are required to submit annual reports related to their roles in the disposition of waste and the amount and type of material recycled. </w:t>
      </w:r>
    </w:p>
    <w:p w14:paraId="10EF73DE" w14:textId="77777777" w:rsidR="00544798" w:rsidRDefault="00544798" w:rsidP="00926EB3">
      <w:pPr>
        <w:pStyle w:val="ListParagraph"/>
        <w:numPr>
          <w:ilvl w:val="0"/>
          <w:numId w:val="102"/>
        </w:numPr>
      </w:pPr>
      <w:r w:rsidRPr="002A286B">
        <w:t xml:space="preserve">Strength(s): Updated annually for a variety of jurisdictions. </w:t>
      </w:r>
    </w:p>
    <w:p w14:paraId="4D3CD1B5" w14:textId="77777777" w:rsidR="00544798" w:rsidRDefault="00544798" w:rsidP="00926EB3">
      <w:pPr>
        <w:pStyle w:val="ListParagraph"/>
        <w:numPr>
          <w:ilvl w:val="0"/>
          <w:numId w:val="102"/>
        </w:numPr>
      </w:pPr>
      <w:r w:rsidRPr="002A286B">
        <w:t>Limitation(s): Unable to look at local levels as data is aggregated up.</w:t>
      </w:r>
    </w:p>
    <w:p w14:paraId="3145E03A" w14:textId="77777777" w:rsidR="00544798" w:rsidRPr="002A286B" w:rsidRDefault="00544798" w:rsidP="00926EB3">
      <w:pPr>
        <w:pStyle w:val="ListParagraph"/>
        <w:numPr>
          <w:ilvl w:val="0"/>
          <w:numId w:val="102"/>
        </w:numPr>
      </w:pPr>
      <w:r w:rsidRPr="002A286B">
        <w:t xml:space="preserve">Access: </w:t>
      </w:r>
      <w:hyperlink r:id="rId593" w:history="1">
        <w:r w:rsidRPr="000F780A">
          <w:rPr>
            <w:rStyle w:val="Hyperlink"/>
          </w:rPr>
          <w:t>SC DHEC, Solid Waste Management website.</w:t>
        </w:r>
      </w:hyperlink>
    </w:p>
    <w:p w14:paraId="60B7D1E2" w14:textId="77777777" w:rsidR="00544798" w:rsidRPr="002A286B" w:rsidRDefault="00544798" w:rsidP="00544798"/>
    <w:p w14:paraId="06FBA984" w14:textId="77777777" w:rsidR="00544798" w:rsidRPr="002A286B" w:rsidRDefault="00544798" w:rsidP="00544798">
      <w:r w:rsidRPr="002A286B">
        <w:t>South Carolina Adult Tobacco Survey (ATS)</w:t>
      </w:r>
    </w:p>
    <w:p w14:paraId="7FA2DB55" w14:textId="77777777" w:rsidR="00544798" w:rsidRDefault="00544798" w:rsidP="00926EB3">
      <w:pPr>
        <w:pStyle w:val="ListParagraph"/>
        <w:numPr>
          <w:ilvl w:val="0"/>
          <w:numId w:val="103"/>
        </w:numPr>
      </w:pPr>
      <w:r w:rsidRPr="002A286B">
        <w:t>Owner: SC DHEC, CDC</w:t>
      </w:r>
      <w:r>
        <w:t>.</w:t>
      </w:r>
    </w:p>
    <w:p w14:paraId="25C5366E" w14:textId="77777777" w:rsidR="00544798" w:rsidRDefault="00544798" w:rsidP="00926EB3">
      <w:pPr>
        <w:pStyle w:val="ListParagraph"/>
        <w:numPr>
          <w:ilvl w:val="0"/>
          <w:numId w:val="103"/>
        </w:numPr>
      </w:pPr>
      <w:r w:rsidRPr="002A286B">
        <w:t>Type: Primary</w:t>
      </w:r>
      <w:r>
        <w:t>.</w:t>
      </w:r>
    </w:p>
    <w:p w14:paraId="19C5D8AE" w14:textId="77777777" w:rsidR="00544798" w:rsidRDefault="00544798" w:rsidP="00926EB3">
      <w:pPr>
        <w:pStyle w:val="ListParagraph"/>
        <w:numPr>
          <w:ilvl w:val="0"/>
          <w:numId w:val="103"/>
        </w:numPr>
      </w:pPr>
      <w:r w:rsidRPr="002A286B">
        <w:t>Overview: Adult Tobacco Survey (ATS) was created to assess the prevalence of tobacco use, as well as the factors promoting and impeding tobacco use among adults. ATS also establishes a comprehensive framework for evaluating both the national and state-specific tobacco control programs.</w:t>
      </w:r>
    </w:p>
    <w:p w14:paraId="56163FF6" w14:textId="77777777" w:rsidR="00544798" w:rsidRDefault="00544798" w:rsidP="00926EB3">
      <w:pPr>
        <w:pStyle w:val="ListParagraph"/>
        <w:numPr>
          <w:ilvl w:val="0"/>
          <w:numId w:val="103"/>
        </w:numPr>
      </w:pPr>
      <w:r w:rsidRPr="002A286B">
        <w:lastRenderedPageBreak/>
        <w:t>Strength(s): ATS is the first adult tobacco survey designed within the framework provided by the Office of Smoking and Health's Key Outcome Indicators (KOI) report. The ATS questionnaire is built around KOI from a variety of goal areas. This survey captures landlines and cell phone lines.</w:t>
      </w:r>
    </w:p>
    <w:p w14:paraId="2EA0956A" w14:textId="77777777" w:rsidR="00544798" w:rsidRPr="002A286B" w:rsidRDefault="00544798" w:rsidP="00926EB3">
      <w:pPr>
        <w:pStyle w:val="ListParagraph"/>
        <w:numPr>
          <w:ilvl w:val="0"/>
          <w:numId w:val="103"/>
        </w:numPr>
      </w:pPr>
      <w:r w:rsidRPr="002A286B">
        <w:t>Limitation(s): Self-reported data where the cell phone area codes do not always match up with the state residence.</w:t>
      </w:r>
      <w:r w:rsidRPr="002A286B">
        <w:tab/>
      </w:r>
    </w:p>
    <w:p w14:paraId="6190BD33" w14:textId="77777777" w:rsidR="00544798" w:rsidRPr="002A286B" w:rsidRDefault="00544798" w:rsidP="00544798"/>
    <w:p w14:paraId="08B7487D" w14:textId="77777777" w:rsidR="00544798" w:rsidRPr="000F780A" w:rsidRDefault="00544798" w:rsidP="00544798">
      <w:pPr>
        <w:pStyle w:val="Heading5"/>
      </w:pPr>
      <w:r w:rsidRPr="000F780A">
        <w:t>South Carolina Central Cancer Registry (SC CCR)</w:t>
      </w:r>
    </w:p>
    <w:p w14:paraId="7A6499A8" w14:textId="77777777" w:rsidR="00544798" w:rsidRDefault="00544798" w:rsidP="00926EB3">
      <w:pPr>
        <w:pStyle w:val="ListParagraph"/>
        <w:numPr>
          <w:ilvl w:val="0"/>
          <w:numId w:val="104"/>
        </w:numPr>
      </w:pPr>
      <w:r w:rsidRPr="002A286B">
        <w:t>Owner: SC DHEC, NPCS, and SEER Incidence</w:t>
      </w:r>
      <w:r>
        <w:t>.</w:t>
      </w:r>
    </w:p>
    <w:p w14:paraId="0067AF5B" w14:textId="77777777" w:rsidR="00544798" w:rsidRDefault="00544798" w:rsidP="00926EB3">
      <w:pPr>
        <w:pStyle w:val="ListParagraph"/>
        <w:numPr>
          <w:ilvl w:val="0"/>
          <w:numId w:val="104"/>
        </w:numPr>
      </w:pPr>
      <w:r w:rsidRPr="002A286B">
        <w:t>Type: Primary</w:t>
      </w:r>
      <w:r>
        <w:t>.</w:t>
      </w:r>
    </w:p>
    <w:p w14:paraId="24BEEA23" w14:textId="77777777" w:rsidR="00544798" w:rsidRDefault="00544798" w:rsidP="00926EB3">
      <w:pPr>
        <w:pStyle w:val="ListParagraph"/>
        <w:numPr>
          <w:ilvl w:val="0"/>
          <w:numId w:val="104"/>
        </w:numPr>
      </w:pPr>
      <w:r w:rsidRPr="002A286B">
        <w:t xml:space="preserve">Overview: The CCR is a population-based data system that collects cancer incidence (newly diagnosed cases) in South Carolina. Data in a central cancer registry are used to study trends in how often cancers occur in a defined area, changes in diagnosis and treatment patterns, and patients' survival rates. Strengths: Every cancer diagnosed after January 1, 1996 among SC residents is included in the registry. This allows for the opportunity to study trends over time. </w:t>
      </w:r>
    </w:p>
    <w:p w14:paraId="4B28FD68" w14:textId="77777777" w:rsidR="00544798" w:rsidRDefault="00544798" w:rsidP="00926EB3">
      <w:pPr>
        <w:pStyle w:val="ListParagraph"/>
        <w:numPr>
          <w:ilvl w:val="0"/>
          <w:numId w:val="104"/>
        </w:numPr>
      </w:pPr>
      <w:r w:rsidRPr="002A286B">
        <w:t>Strength(s): Demographic information as well as diagnosis information and treatment type are included.</w:t>
      </w:r>
    </w:p>
    <w:p w14:paraId="7E8E6BF3" w14:textId="77777777" w:rsidR="00544798" w:rsidRDefault="00544798" w:rsidP="00926EB3">
      <w:pPr>
        <w:pStyle w:val="ListParagraph"/>
        <w:numPr>
          <w:ilvl w:val="0"/>
          <w:numId w:val="104"/>
        </w:numPr>
      </w:pPr>
      <w:r w:rsidRPr="002A286B">
        <w:t xml:space="preserve">Limitation(s): Does not include clinical data such as lab tests. Basal and squamous cell carcinomas of the skin and carcinoma in-situ cancers of the cervix are not reported in the registry. </w:t>
      </w:r>
    </w:p>
    <w:p w14:paraId="38D03C11" w14:textId="77777777" w:rsidR="00544798" w:rsidRPr="002A286B" w:rsidRDefault="00544798" w:rsidP="00926EB3">
      <w:pPr>
        <w:pStyle w:val="ListParagraph"/>
        <w:numPr>
          <w:ilvl w:val="0"/>
          <w:numId w:val="104"/>
        </w:numPr>
      </w:pPr>
      <w:r w:rsidRPr="002A286B">
        <w:t xml:space="preserve">Access: </w:t>
      </w:r>
      <w:hyperlink r:id="rId594" w:history="1">
        <w:r w:rsidRPr="000F780A">
          <w:rPr>
            <w:rStyle w:val="Hyperlink"/>
          </w:rPr>
          <w:t>SC DHEC Central Cancer Registry website.</w:t>
        </w:r>
      </w:hyperlink>
    </w:p>
    <w:p w14:paraId="279D3C82" w14:textId="77777777" w:rsidR="00544798" w:rsidRPr="002A286B" w:rsidRDefault="00544798" w:rsidP="00544798"/>
    <w:p w14:paraId="56270305" w14:textId="77777777" w:rsidR="00544798" w:rsidRPr="000F780A" w:rsidRDefault="00544798" w:rsidP="00544798">
      <w:pPr>
        <w:pStyle w:val="Heading5"/>
      </w:pPr>
      <w:r w:rsidRPr="000F780A">
        <w:t>South Carolina Community Health Needs Assessment Survey</w:t>
      </w:r>
    </w:p>
    <w:p w14:paraId="31ABAEB5" w14:textId="77777777" w:rsidR="00544798" w:rsidRDefault="00544798" w:rsidP="00926EB3">
      <w:pPr>
        <w:pStyle w:val="ListParagraph"/>
        <w:numPr>
          <w:ilvl w:val="0"/>
          <w:numId w:val="105"/>
        </w:numPr>
      </w:pPr>
      <w:r w:rsidRPr="002A286B">
        <w:t>Owner: SC DHEC, CDC</w:t>
      </w:r>
      <w:r>
        <w:t>.</w:t>
      </w:r>
    </w:p>
    <w:p w14:paraId="225A3211" w14:textId="77777777" w:rsidR="00544798" w:rsidRDefault="00544798" w:rsidP="00926EB3">
      <w:pPr>
        <w:pStyle w:val="ListParagraph"/>
        <w:numPr>
          <w:ilvl w:val="0"/>
          <w:numId w:val="105"/>
        </w:numPr>
      </w:pPr>
      <w:r w:rsidRPr="002A286B">
        <w:t>Type: Secondary</w:t>
      </w:r>
      <w:r>
        <w:t>.</w:t>
      </w:r>
    </w:p>
    <w:p w14:paraId="793F879F" w14:textId="77777777" w:rsidR="00544798" w:rsidRDefault="00544798" w:rsidP="00926EB3">
      <w:pPr>
        <w:pStyle w:val="ListParagraph"/>
        <w:numPr>
          <w:ilvl w:val="0"/>
          <w:numId w:val="105"/>
        </w:numPr>
      </w:pPr>
      <w:r w:rsidRPr="002A286B">
        <w:t>Overview: This survey analyzes community health perceptions among South Carolina residents. It provides insights on community issues, leading health indicators, and barriers for accessing health care.</w:t>
      </w:r>
    </w:p>
    <w:p w14:paraId="1542C99D" w14:textId="77777777" w:rsidR="00544798" w:rsidRDefault="00544798" w:rsidP="00926EB3">
      <w:pPr>
        <w:pStyle w:val="ListParagraph"/>
        <w:numPr>
          <w:ilvl w:val="0"/>
          <w:numId w:val="105"/>
        </w:numPr>
      </w:pPr>
      <w:r w:rsidRPr="002A286B">
        <w:t>Strength(s): Provides unique data that are not collected elsewhere. Able to stratify data by various sociodemographic groupings.</w:t>
      </w:r>
    </w:p>
    <w:p w14:paraId="3E3D4043" w14:textId="77777777" w:rsidR="00544798" w:rsidRDefault="00544798" w:rsidP="00926EB3">
      <w:pPr>
        <w:pStyle w:val="ListParagraph"/>
        <w:numPr>
          <w:ilvl w:val="0"/>
          <w:numId w:val="105"/>
        </w:numPr>
      </w:pPr>
      <w:r w:rsidRPr="002A286B">
        <w:t>Limitation(s): Unable to stratify data at the county level due to smaller sample size. Data are self-report. Responses are not entirely representative of state population.</w:t>
      </w:r>
    </w:p>
    <w:p w14:paraId="4ED714F8" w14:textId="77777777" w:rsidR="00544798" w:rsidRPr="002A286B" w:rsidRDefault="00544798" w:rsidP="00544798">
      <w:pPr>
        <w:pStyle w:val="ListParagraph"/>
      </w:pPr>
      <w:r w:rsidRPr="002A286B">
        <w:tab/>
      </w:r>
    </w:p>
    <w:p w14:paraId="2C4C44A3" w14:textId="77777777" w:rsidR="00544798" w:rsidRPr="002A286B" w:rsidRDefault="00544798" w:rsidP="00544798">
      <w:pPr>
        <w:pStyle w:val="Heading5"/>
      </w:pPr>
      <w:r w:rsidRPr="002A286B">
        <w:lastRenderedPageBreak/>
        <w:t xml:space="preserve">South Carolina Department of Education </w:t>
      </w:r>
    </w:p>
    <w:p w14:paraId="04F1F331" w14:textId="77777777" w:rsidR="00544798" w:rsidRDefault="00544798" w:rsidP="00926EB3">
      <w:pPr>
        <w:pStyle w:val="ListParagraph"/>
        <w:numPr>
          <w:ilvl w:val="0"/>
          <w:numId w:val="106"/>
        </w:numPr>
      </w:pPr>
      <w:r w:rsidRPr="002A286B">
        <w:t>Owner: SC Department of Education</w:t>
      </w:r>
      <w:r>
        <w:t>.</w:t>
      </w:r>
    </w:p>
    <w:p w14:paraId="510B4756" w14:textId="77777777" w:rsidR="00544798" w:rsidRDefault="00544798" w:rsidP="00926EB3">
      <w:pPr>
        <w:pStyle w:val="ListParagraph"/>
        <w:numPr>
          <w:ilvl w:val="0"/>
          <w:numId w:val="106"/>
        </w:numPr>
      </w:pPr>
      <w:r w:rsidRPr="002A286B">
        <w:t>Type: Secondary</w:t>
      </w:r>
      <w:r>
        <w:t>.</w:t>
      </w:r>
    </w:p>
    <w:p w14:paraId="38BC9259" w14:textId="77777777" w:rsidR="00544798" w:rsidRDefault="00544798" w:rsidP="00926EB3">
      <w:pPr>
        <w:pStyle w:val="ListParagraph"/>
        <w:numPr>
          <w:ilvl w:val="0"/>
          <w:numId w:val="106"/>
        </w:numPr>
      </w:pPr>
      <w:r w:rsidRPr="002A286B">
        <w:t>Overview: The South Carolina Department of Education generates a wealth of data on the performance of schools and districts throughout South Carolina. The data, augmented by analysis and background information, inform the public on the status of educational reform at all levels.</w:t>
      </w:r>
    </w:p>
    <w:p w14:paraId="35472D96" w14:textId="77777777" w:rsidR="00544798" w:rsidRDefault="00544798" w:rsidP="00926EB3">
      <w:pPr>
        <w:pStyle w:val="ListParagraph"/>
        <w:numPr>
          <w:ilvl w:val="0"/>
          <w:numId w:val="106"/>
        </w:numPr>
      </w:pPr>
      <w:r w:rsidRPr="002A286B">
        <w:t>Strength(s): The South Carolina Department of Education generates a wealth of data on the performance of schools and districts throughout South Carolina. The data, augmented by analysis and background information, inform the public on the status of educational reform at all levels.</w:t>
      </w:r>
    </w:p>
    <w:p w14:paraId="06AC9163" w14:textId="77777777" w:rsidR="00544798" w:rsidRPr="002A286B" w:rsidRDefault="00544798" w:rsidP="00926EB3">
      <w:pPr>
        <w:pStyle w:val="ListParagraph"/>
        <w:numPr>
          <w:ilvl w:val="0"/>
          <w:numId w:val="106"/>
        </w:numPr>
      </w:pPr>
      <w:r w:rsidRPr="002A286B">
        <w:t>Limitation(s): As secondary data source the content may not be specific to our needs, and we have no control over the quality of the data.</w:t>
      </w:r>
    </w:p>
    <w:p w14:paraId="255237CB" w14:textId="77777777" w:rsidR="00544798" w:rsidRPr="002A286B" w:rsidRDefault="00544798" w:rsidP="00544798">
      <w:r w:rsidRPr="002A286B">
        <w:t>-</w:t>
      </w:r>
      <w:r w:rsidRPr="002A286B">
        <w:tab/>
        <w:t xml:space="preserve">Access: </w:t>
      </w:r>
      <w:hyperlink r:id="rId595" w:history="1">
        <w:r w:rsidRPr="000F780A">
          <w:rPr>
            <w:rStyle w:val="Hyperlink"/>
          </w:rPr>
          <w:t>SC Department of Education website.</w:t>
        </w:r>
      </w:hyperlink>
    </w:p>
    <w:p w14:paraId="5E331C65" w14:textId="77777777" w:rsidR="00544798" w:rsidRPr="002A286B" w:rsidRDefault="00544798" w:rsidP="00544798"/>
    <w:p w14:paraId="69D52AA0" w14:textId="77777777" w:rsidR="00544798" w:rsidRPr="002A286B" w:rsidRDefault="00544798" w:rsidP="00544798">
      <w:pPr>
        <w:pStyle w:val="Heading5"/>
      </w:pPr>
      <w:r w:rsidRPr="002A286B">
        <w:t>South Carolina Department of Employment and Workforce (SCDEW)</w:t>
      </w:r>
    </w:p>
    <w:p w14:paraId="31D13775" w14:textId="77777777" w:rsidR="00544798" w:rsidRDefault="00544798" w:rsidP="00926EB3">
      <w:pPr>
        <w:pStyle w:val="ListParagraph"/>
        <w:numPr>
          <w:ilvl w:val="0"/>
          <w:numId w:val="107"/>
        </w:numPr>
      </w:pPr>
      <w:r w:rsidRPr="002A286B">
        <w:t>Owner: SCDEW</w:t>
      </w:r>
      <w:r>
        <w:t>.</w:t>
      </w:r>
    </w:p>
    <w:p w14:paraId="42495C98" w14:textId="77777777" w:rsidR="00544798" w:rsidRDefault="00544798" w:rsidP="00926EB3">
      <w:pPr>
        <w:pStyle w:val="ListParagraph"/>
        <w:numPr>
          <w:ilvl w:val="0"/>
          <w:numId w:val="107"/>
        </w:numPr>
      </w:pPr>
      <w:r w:rsidRPr="002A286B">
        <w:t>Type: Secondary</w:t>
      </w:r>
      <w:r>
        <w:t>.</w:t>
      </w:r>
    </w:p>
    <w:p w14:paraId="13720BF0" w14:textId="77777777" w:rsidR="00544798" w:rsidRDefault="00544798" w:rsidP="00926EB3">
      <w:pPr>
        <w:pStyle w:val="ListParagraph"/>
        <w:numPr>
          <w:ilvl w:val="0"/>
          <w:numId w:val="107"/>
        </w:numPr>
      </w:pPr>
      <w:r w:rsidRPr="002A286B">
        <w:t xml:space="preserve">Overview: The South Carolina Department of Employment and Workforce gathers and collects information on current employment statistics across the state. </w:t>
      </w:r>
    </w:p>
    <w:p w14:paraId="1940AC10" w14:textId="77777777" w:rsidR="00544798" w:rsidRDefault="00544798" w:rsidP="00926EB3">
      <w:pPr>
        <w:pStyle w:val="ListParagraph"/>
        <w:numPr>
          <w:ilvl w:val="0"/>
          <w:numId w:val="107"/>
        </w:numPr>
      </w:pPr>
      <w:r w:rsidRPr="002A286B">
        <w:t>Strength(s): SC Department of Employment and Workforce is mandated to collect and disseminate state and federal employment statistics. Data are regularly updated.</w:t>
      </w:r>
    </w:p>
    <w:p w14:paraId="62C82FE6" w14:textId="77777777" w:rsidR="00823B72" w:rsidRDefault="00544798" w:rsidP="00823B72">
      <w:pPr>
        <w:pStyle w:val="ListParagraph"/>
        <w:numPr>
          <w:ilvl w:val="0"/>
          <w:numId w:val="107"/>
        </w:numPr>
      </w:pPr>
      <w:r w:rsidRPr="002A286B">
        <w:t>Limitation(s): Employment data does not always include demographic data and zip code level data is rarely reported out due to small numbers.</w:t>
      </w:r>
    </w:p>
    <w:p w14:paraId="177F81DB" w14:textId="64DB408E" w:rsidR="00544798" w:rsidRPr="001F6D66" w:rsidRDefault="00544798" w:rsidP="00823B72">
      <w:pPr>
        <w:pStyle w:val="ListParagraph"/>
        <w:numPr>
          <w:ilvl w:val="0"/>
          <w:numId w:val="107"/>
        </w:numPr>
      </w:pPr>
      <w:r w:rsidRPr="001F6D66">
        <w:t xml:space="preserve">Access: </w:t>
      </w:r>
      <w:hyperlink r:id="rId596" w:history="1">
        <w:r w:rsidR="00823B72">
          <w:rPr>
            <w:rStyle w:val="Hyperlink"/>
          </w:rPr>
          <w:t>SC Department of Employment and Workforce (SCDEW) website.</w:t>
        </w:r>
      </w:hyperlink>
    </w:p>
    <w:p w14:paraId="11A5626A" w14:textId="77777777" w:rsidR="00544798" w:rsidRPr="002A286B" w:rsidRDefault="00544798" w:rsidP="00544798"/>
    <w:p w14:paraId="10BD244C" w14:textId="77777777" w:rsidR="00544798" w:rsidRPr="002A286B" w:rsidRDefault="00544798" w:rsidP="00544798">
      <w:pPr>
        <w:pStyle w:val="Heading5"/>
      </w:pPr>
      <w:r w:rsidRPr="002A286B">
        <w:t>South Carolina Department of Social Services (DSS) Adult Protective Services (APS)</w:t>
      </w:r>
    </w:p>
    <w:p w14:paraId="43263C65" w14:textId="77777777" w:rsidR="00544798" w:rsidRDefault="00544798" w:rsidP="00926EB3">
      <w:pPr>
        <w:pStyle w:val="ListParagraph"/>
        <w:numPr>
          <w:ilvl w:val="0"/>
          <w:numId w:val="108"/>
        </w:numPr>
      </w:pPr>
      <w:r w:rsidRPr="002A286B">
        <w:t>Owner: SC Department of Social Services (DSS) Adult Protective Services (APS)</w:t>
      </w:r>
      <w:r>
        <w:t>.</w:t>
      </w:r>
    </w:p>
    <w:p w14:paraId="2CE7BECB" w14:textId="77777777" w:rsidR="00544798" w:rsidRDefault="00544798" w:rsidP="00926EB3">
      <w:pPr>
        <w:pStyle w:val="ListParagraph"/>
        <w:numPr>
          <w:ilvl w:val="0"/>
          <w:numId w:val="108"/>
        </w:numPr>
      </w:pPr>
      <w:r w:rsidRPr="002A286B">
        <w:t>Type: Secondary</w:t>
      </w:r>
      <w:r>
        <w:t>.</w:t>
      </w:r>
    </w:p>
    <w:p w14:paraId="518F2BE4" w14:textId="77777777" w:rsidR="00544798" w:rsidRDefault="00544798" w:rsidP="00926EB3">
      <w:pPr>
        <w:pStyle w:val="ListParagraph"/>
        <w:numPr>
          <w:ilvl w:val="0"/>
          <w:numId w:val="108"/>
        </w:numPr>
      </w:pPr>
      <w:r w:rsidRPr="002A286B">
        <w:t xml:space="preserve">Overview: The DSS APS is responsible for investigating reports of maltreatment and provide protective services to vulnerable adults who are 18 or older, reside within the community setting, and are experiencing </w:t>
      </w:r>
      <w:r w:rsidRPr="002A286B">
        <w:lastRenderedPageBreak/>
        <w:t>abuse, neglect, or exploitation. The elder abuse data from DSS APS represents cases of reported abuse, neglect, or exploitation of adults 65+ that were in Investigation Services.</w:t>
      </w:r>
    </w:p>
    <w:p w14:paraId="7C93A1DE" w14:textId="77777777" w:rsidR="00544798" w:rsidRDefault="00544798" w:rsidP="00926EB3">
      <w:pPr>
        <w:pStyle w:val="ListParagraph"/>
        <w:numPr>
          <w:ilvl w:val="0"/>
          <w:numId w:val="108"/>
        </w:numPr>
      </w:pPr>
      <w:r w:rsidRPr="002A286B">
        <w:t>Strength(s): Reported cases of elder abuse in SC that were investigated by DSS APS. This data also provides insight on the type of case, including whether it was abuse, neglect, self-neglect, or exploitation. Provides demographic data.</w:t>
      </w:r>
    </w:p>
    <w:p w14:paraId="46B5ABE6" w14:textId="77777777" w:rsidR="00544798" w:rsidRPr="002A286B" w:rsidRDefault="00544798" w:rsidP="00926EB3">
      <w:pPr>
        <w:pStyle w:val="ListParagraph"/>
        <w:numPr>
          <w:ilvl w:val="0"/>
          <w:numId w:val="108"/>
        </w:numPr>
      </w:pPr>
      <w:r w:rsidRPr="002A286B">
        <w:t>Limitation(s): It is limited to elder abuse cases investigated by DSS APS, therefore, the number of elder abuse cases that are not reported is unknown.</w:t>
      </w:r>
    </w:p>
    <w:p w14:paraId="42905FC3" w14:textId="77777777" w:rsidR="00544798" w:rsidRPr="002A286B" w:rsidRDefault="00544798" w:rsidP="00544798"/>
    <w:p w14:paraId="37B68113" w14:textId="77777777" w:rsidR="00544798" w:rsidRPr="002A286B" w:rsidRDefault="00544798" w:rsidP="00544798">
      <w:pPr>
        <w:pStyle w:val="Heading5"/>
      </w:pPr>
      <w:r w:rsidRPr="002A286B">
        <w:t>South Carolina DHEC Childhood Lead Program</w:t>
      </w:r>
    </w:p>
    <w:p w14:paraId="6F828972" w14:textId="77777777" w:rsidR="00544798" w:rsidRDefault="00544798" w:rsidP="00926EB3">
      <w:pPr>
        <w:pStyle w:val="ListParagraph"/>
        <w:numPr>
          <w:ilvl w:val="0"/>
          <w:numId w:val="109"/>
        </w:numPr>
      </w:pPr>
      <w:r w:rsidRPr="002A286B">
        <w:t>Owner: SC DHEC</w:t>
      </w:r>
      <w:r>
        <w:t>.</w:t>
      </w:r>
    </w:p>
    <w:p w14:paraId="7DDFC88E" w14:textId="77777777" w:rsidR="00544798" w:rsidRDefault="00544798" w:rsidP="00926EB3">
      <w:pPr>
        <w:pStyle w:val="ListParagraph"/>
        <w:numPr>
          <w:ilvl w:val="0"/>
          <w:numId w:val="109"/>
        </w:numPr>
      </w:pPr>
      <w:r w:rsidRPr="002A286B">
        <w:t>Type: Primary</w:t>
      </w:r>
      <w:r>
        <w:t>.</w:t>
      </w:r>
    </w:p>
    <w:p w14:paraId="0D1DF03E" w14:textId="77777777" w:rsidR="00544798" w:rsidRDefault="00544798" w:rsidP="00926EB3">
      <w:pPr>
        <w:pStyle w:val="ListParagraph"/>
        <w:numPr>
          <w:ilvl w:val="0"/>
          <w:numId w:val="109"/>
        </w:numPr>
      </w:pPr>
      <w:r w:rsidRPr="002A286B">
        <w:t>Overview: Testing children for lead exposure may occur for several reasons, such as Medicaid requirements and suspected exposure from a parent’s occupation. But no matter the cause of exposure, SC law requires all blood testing results to be reported to DHEC, which allows for documentation of childhood lead exposure throughout the state.</w:t>
      </w:r>
    </w:p>
    <w:p w14:paraId="5096295A" w14:textId="77777777" w:rsidR="00544798" w:rsidRDefault="00544798" w:rsidP="00926EB3">
      <w:pPr>
        <w:pStyle w:val="ListParagraph"/>
        <w:numPr>
          <w:ilvl w:val="0"/>
          <w:numId w:val="109"/>
        </w:numPr>
      </w:pPr>
      <w:r w:rsidRPr="002A286B">
        <w:t>Strength(s): By law, blood lead records are reportable to DHEC.</w:t>
      </w:r>
    </w:p>
    <w:p w14:paraId="2BBD4FB1" w14:textId="77777777" w:rsidR="00544798" w:rsidRDefault="00544798" w:rsidP="00926EB3">
      <w:pPr>
        <w:pStyle w:val="ListParagraph"/>
        <w:numPr>
          <w:ilvl w:val="0"/>
          <w:numId w:val="109"/>
        </w:numPr>
      </w:pPr>
      <w:r w:rsidRPr="002A286B">
        <w:t>Limitation(s): Missing information such as demographics, addresses and inaccurate test values can prevent inclusion of data in further research and analysis.</w:t>
      </w:r>
    </w:p>
    <w:p w14:paraId="18A705A8" w14:textId="77777777" w:rsidR="00544798" w:rsidRPr="002A286B" w:rsidRDefault="00544798" w:rsidP="00926EB3">
      <w:pPr>
        <w:pStyle w:val="ListParagraph"/>
        <w:numPr>
          <w:ilvl w:val="0"/>
          <w:numId w:val="109"/>
        </w:numPr>
      </w:pPr>
      <w:r w:rsidRPr="002A286B">
        <w:t xml:space="preserve">Access: </w:t>
      </w:r>
      <w:hyperlink r:id="rId597" w:history="1">
        <w:r w:rsidRPr="001F6D66">
          <w:rPr>
            <w:rStyle w:val="Hyperlink"/>
          </w:rPr>
          <w:t>SC DHEC Childhood Lead Program website.</w:t>
        </w:r>
      </w:hyperlink>
    </w:p>
    <w:p w14:paraId="5A90B507" w14:textId="77777777" w:rsidR="00544798" w:rsidRPr="002A286B" w:rsidRDefault="00544798" w:rsidP="00544798"/>
    <w:p w14:paraId="7C7DB3D1" w14:textId="77777777" w:rsidR="00544798" w:rsidRPr="002A286B" w:rsidRDefault="00544798" w:rsidP="00544798">
      <w:pPr>
        <w:pStyle w:val="Heading5"/>
      </w:pPr>
      <w:r w:rsidRPr="002A286B">
        <w:t>South Carolina FitnessGram</w:t>
      </w:r>
    </w:p>
    <w:p w14:paraId="7D6856CD" w14:textId="77777777" w:rsidR="00544798" w:rsidRDefault="00544798" w:rsidP="00926EB3">
      <w:pPr>
        <w:pStyle w:val="ListParagraph"/>
        <w:numPr>
          <w:ilvl w:val="0"/>
          <w:numId w:val="110"/>
        </w:numPr>
      </w:pPr>
      <w:r w:rsidRPr="002A286B">
        <w:t>Owner: SC DHEC and USC Children's Physical Activity Research Group</w:t>
      </w:r>
      <w:r>
        <w:t>.</w:t>
      </w:r>
    </w:p>
    <w:p w14:paraId="26D6FCAC" w14:textId="77777777" w:rsidR="00544798" w:rsidRDefault="00544798" w:rsidP="00926EB3">
      <w:pPr>
        <w:pStyle w:val="ListParagraph"/>
        <w:numPr>
          <w:ilvl w:val="0"/>
          <w:numId w:val="110"/>
        </w:numPr>
      </w:pPr>
      <w:r w:rsidRPr="002A286B">
        <w:t>Type: Primary</w:t>
      </w:r>
      <w:r>
        <w:t>.</w:t>
      </w:r>
    </w:p>
    <w:p w14:paraId="20A81240" w14:textId="77777777" w:rsidR="00544798" w:rsidRDefault="00544798" w:rsidP="00926EB3">
      <w:pPr>
        <w:pStyle w:val="ListParagraph"/>
        <w:numPr>
          <w:ilvl w:val="0"/>
          <w:numId w:val="110"/>
        </w:numPr>
      </w:pPr>
      <w:r w:rsidRPr="002A286B">
        <w:t>Overview: The South Carolina FitnessGram project is a state-wide observational study to evaluate and ultimately improve health related physical fitness among public school students in South Carolina. Its primary purpose is to describe health-related fitness in students attending public schools across the state.</w:t>
      </w:r>
    </w:p>
    <w:p w14:paraId="6AD0EAD4" w14:textId="77777777" w:rsidR="00544798" w:rsidRDefault="00544798" w:rsidP="00926EB3">
      <w:pPr>
        <w:pStyle w:val="ListParagraph"/>
        <w:numPr>
          <w:ilvl w:val="0"/>
          <w:numId w:val="110"/>
        </w:numPr>
      </w:pPr>
      <w:r w:rsidRPr="002A286B">
        <w:t>Strength(s): Findings from the project will be used to support planning and implementation of evidence-based programs and policies to improve health-related physical fitness.</w:t>
      </w:r>
    </w:p>
    <w:p w14:paraId="6BCDAF17" w14:textId="77777777" w:rsidR="00544798" w:rsidRDefault="00544798" w:rsidP="00926EB3">
      <w:pPr>
        <w:pStyle w:val="ListParagraph"/>
        <w:numPr>
          <w:ilvl w:val="0"/>
          <w:numId w:val="110"/>
        </w:numPr>
      </w:pPr>
      <w:r w:rsidRPr="002A286B">
        <w:lastRenderedPageBreak/>
        <w:t>Limitation(s): Because FitnessGram is typically administered by physical education teachers during regularly scheduled in-person classes, participation in FitnessGram in 2019-2020 and 2020-2021 was reduced from the levels seen in the pre-COVID years.</w:t>
      </w:r>
    </w:p>
    <w:p w14:paraId="4CC2EABC" w14:textId="77777777" w:rsidR="00544798" w:rsidRPr="002A286B" w:rsidRDefault="00544798" w:rsidP="00926EB3">
      <w:pPr>
        <w:pStyle w:val="ListParagraph"/>
        <w:numPr>
          <w:ilvl w:val="0"/>
          <w:numId w:val="110"/>
        </w:numPr>
      </w:pPr>
      <w:r w:rsidRPr="002A286B">
        <w:t xml:space="preserve">Access: </w:t>
      </w:r>
      <w:hyperlink r:id="rId598" w:history="1">
        <w:r w:rsidRPr="001F6D66">
          <w:rPr>
            <w:rStyle w:val="Hyperlink"/>
          </w:rPr>
          <w:t>SC DHEC FitnessGram website.</w:t>
        </w:r>
      </w:hyperlink>
    </w:p>
    <w:p w14:paraId="6CB3FEFE" w14:textId="77777777" w:rsidR="00544798" w:rsidRPr="002A286B" w:rsidRDefault="00544798" w:rsidP="00544798"/>
    <w:p w14:paraId="504A482A" w14:textId="77777777" w:rsidR="00544798" w:rsidRPr="002A286B" w:rsidRDefault="00544798" w:rsidP="00544798">
      <w:pPr>
        <w:pStyle w:val="Heading5"/>
      </w:pPr>
      <w:r w:rsidRPr="002A286B">
        <w:t>South Carolina Infectious Disease and Outbreak Network (SCION)</w:t>
      </w:r>
    </w:p>
    <w:p w14:paraId="4CBF50B1" w14:textId="77777777" w:rsidR="00544798" w:rsidRDefault="00544798" w:rsidP="00926EB3">
      <w:pPr>
        <w:pStyle w:val="ListParagraph"/>
        <w:numPr>
          <w:ilvl w:val="0"/>
          <w:numId w:val="111"/>
        </w:numPr>
      </w:pPr>
      <w:r w:rsidRPr="002A286B">
        <w:t>Owner: SC DHEC</w:t>
      </w:r>
      <w:r>
        <w:t>.</w:t>
      </w:r>
    </w:p>
    <w:p w14:paraId="6287838B" w14:textId="77777777" w:rsidR="00544798" w:rsidRDefault="00544798" w:rsidP="00926EB3">
      <w:pPr>
        <w:pStyle w:val="ListParagraph"/>
        <w:numPr>
          <w:ilvl w:val="0"/>
          <w:numId w:val="111"/>
        </w:numPr>
      </w:pPr>
      <w:r w:rsidRPr="002A286B">
        <w:t>Type: Primary</w:t>
      </w:r>
      <w:r>
        <w:t>.</w:t>
      </w:r>
    </w:p>
    <w:p w14:paraId="03CE6542" w14:textId="77777777" w:rsidR="00544798" w:rsidRDefault="00544798" w:rsidP="00926EB3">
      <w:pPr>
        <w:pStyle w:val="ListParagraph"/>
        <w:numPr>
          <w:ilvl w:val="0"/>
          <w:numId w:val="111"/>
        </w:numPr>
      </w:pPr>
      <w:r w:rsidRPr="002A286B">
        <w:t>Overview: Surveillance system that captures information on infectious diseases in SC.</w:t>
      </w:r>
    </w:p>
    <w:p w14:paraId="200F4ED3" w14:textId="77777777" w:rsidR="00544798" w:rsidRDefault="00544798" w:rsidP="00926EB3">
      <w:pPr>
        <w:pStyle w:val="ListParagraph"/>
        <w:numPr>
          <w:ilvl w:val="0"/>
          <w:numId w:val="111"/>
        </w:numPr>
      </w:pPr>
      <w:r w:rsidRPr="002A286B">
        <w:t>Strength(s): Contains information on mandatory reportable conditions. The platform is easily customizable and offers role-based access. It provides a decentralized data entry system that allows for a quicker reporting process. Each program area maintains their own customizable model.</w:t>
      </w:r>
    </w:p>
    <w:p w14:paraId="064FB0D3" w14:textId="77777777" w:rsidR="00544798" w:rsidRDefault="00544798" w:rsidP="00926EB3">
      <w:pPr>
        <w:pStyle w:val="ListParagraph"/>
        <w:numPr>
          <w:ilvl w:val="0"/>
          <w:numId w:val="111"/>
        </w:numPr>
      </w:pPr>
      <w:r w:rsidRPr="002A286B">
        <w:t>Limitation(s): Due to confidentiality issues, data for specific locations broken down by demographics is limited. Decentralized data entry can sometimes create data quality concerns and that makes de-duplication cumbersome. System functionality concerns that cannot be addressed locally are addressed by the system vendor.</w:t>
      </w:r>
    </w:p>
    <w:p w14:paraId="3A3F3CA9" w14:textId="104C0CB2" w:rsidR="00544798" w:rsidRPr="00823B72" w:rsidRDefault="00544798" w:rsidP="00926EB3">
      <w:pPr>
        <w:pStyle w:val="ListParagraph"/>
        <w:numPr>
          <w:ilvl w:val="0"/>
          <w:numId w:val="111"/>
        </w:numPr>
      </w:pPr>
      <w:r w:rsidRPr="00823B72">
        <w:t xml:space="preserve">Access: </w:t>
      </w:r>
      <w:hyperlink r:id="rId599" w:history="1">
        <w:r w:rsidR="00823B72">
          <w:rPr>
            <w:rStyle w:val="Hyperlink"/>
          </w:rPr>
          <w:t>SC DHEC, HIV, AIDS, STD Data and Reports website.</w:t>
        </w:r>
      </w:hyperlink>
    </w:p>
    <w:p w14:paraId="6C1589A7" w14:textId="77777777" w:rsidR="00823B72" w:rsidRPr="00823B72" w:rsidRDefault="00823B72" w:rsidP="00823B72">
      <w:pPr>
        <w:pStyle w:val="ListParagraph"/>
      </w:pPr>
    </w:p>
    <w:p w14:paraId="2706E71A" w14:textId="77777777" w:rsidR="00544798" w:rsidRPr="002A286B" w:rsidRDefault="00544798" w:rsidP="00544798"/>
    <w:p w14:paraId="4EDCA3C4" w14:textId="77777777" w:rsidR="00544798" w:rsidRPr="002A286B" w:rsidRDefault="00544798" w:rsidP="00544798">
      <w:pPr>
        <w:pStyle w:val="Heading5"/>
      </w:pPr>
      <w:r w:rsidRPr="002A286B">
        <w:t>South Carolina Office of Healthcare Workforce</w:t>
      </w:r>
    </w:p>
    <w:p w14:paraId="01836F72" w14:textId="77777777" w:rsidR="00544798" w:rsidRDefault="00544798" w:rsidP="00926EB3">
      <w:pPr>
        <w:pStyle w:val="ListParagraph"/>
        <w:numPr>
          <w:ilvl w:val="0"/>
          <w:numId w:val="112"/>
        </w:numPr>
      </w:pPr>
      <w:r w:rsidRPr="002A286B">
        <w:t>Owner: SC AHEC</w:t>
      </w:r>
      <w:r>
        <w:t>.</w:t>
      </w:r>
    </w:p>
    <w:p w14:paraId="2A5728B4" w14:textId="77777777" w:rsidR="00544798" w:rsidRDefault="00544798" w:rsidP="00926EB3">
      <w:pPr>
        <w:pStyle w:val="ListParagraph"/>
        <w:numPr>
          <w:ilvl w:val="0"/>
          <w:numId w:val="112"/>
        </w:numPr>
      </w:pPr>
      <w:r w:rsidRPr="002A286B">
        <w:t>Type: Secondary</w:t>
      </w:r>
      <w:r>
        <w:t>.</w:t>
      </w:r>
    </w:p>
    <w:p w14:paraId="6CC15562" w14:textId="77777777" w:rsidR="00544798" w:rsidRDefault="00544798" w:rsidP="00926EB3">
      <w:pPr>
        <w:pStyle w:val="ListParagraph"/>
        <w:numPr>
          <w:ilvl w:val="0"/>
          <w:numId w:val="112"/>
        </w:numPr>
      </w:pPr>
      <w:r w:rsidRPr="002A286B">
        <w:t xml:space="preserve">Overview: This publication provides information about the number of healthcare professionals practicing across the state. </w:t>
      </w:r>
    </w:p>
    <w:p w14:paraId="4FF58DB2" w14:textId="77777777" w:rsidR="00544798" w:rsidRDefault="00544798" w:rsidP="00926EB3">
      <w:pPr>
        <w:pStyle w:val="ListParagraph"/>
        <w:numPr>
          <w:ilvl w:val="0"/>
          <w:numId w:val="112"/>
        </w:numPr>
      </w:pPr>
      <w:r w:rsidRPr="002A286B">
        <w:t>Strength(s): Data is acquired from licensing which is mandated in the state. Breaks down the type of medical provider and looks at primary county of work.</w:t>
      </w:r>
    </w:p>
    <w:p w14:paraId="1A49B5EA" w14:textId="77777777" w:rsidR="00544798" w:rsidRDefault="00544798" w:rsidP="00926EB3">
      <w:pPr>
        <w:pStyle w:val="ListParagraph"/>
        <w:numPr>
          <w:ilvl w:val="0"/>
          <w:numId w:val="112"/>
        </w:numPr>
      </w:pPr>
      <w:r w:rsidRPr="002A286B">
        <w:t>Limitation(s): Data can include individuals who are licensed but do not actively engage in direct patient care, such as educators. This also does not breakdown the demographics of the licensed medical professions. Medical Professionals could work in multiple counties, but are assigned the county they primarily work in.</w:t>
      </w:r>
    </w:p>
    <w:p w14:paraId="18D49A17" w14:textId="77777777" w:rsidR="00544798" w:rsidRPr="002A286B" w:rsidRDefault="00544798" w:rsidP="00926EB3">
      <w:pPr>
        <w:pStyle w:val="ListParagraph"/>
        <w:numPr>
          <w:ilvl w:val="0"/>
          <w:numId w:val="112"/>
        </w:numPr>
      </w:pPr>
      <w:r w:rsidRPr="002A286B">
        <w:t xml:space="preserve">Access: </w:t>
      </w:r>
      <w:hyperlink r:id="rId600" w:history="1">
        <w:r w:rsidRPr="001F6D66">
          <w:rPr>
            <w:rStyle w:val="Hyperlink"/>
          </w:rPr>
          <w:t>South Carolina Office for Healthcare Workforce Reports website.</w:t>
        </w:r>
      </w:hyperlink>
    </w:p>
    <w:p w14:paraId="2F283428" w14:textId="77777777" w:rsidR="00544798" w:rsidRPr="002A286B" w:rsidRDefault="00544798" w:rsidP="00544798"/>
    <w:p w14:paraId="3465A72B" w14:textId="77777777" w:rsidR="00544798" w:rsidRPr="001F6D66" w:rsidRDefault="00544798" w:rsidP="00544798">
      <w:pPr>
        <w:pStyle w:val="Heading5"/>
      </w:pPr>
      <w:r w:rsidRPr="001F6D66">
        <w:t>South Carolina Oral Health Needs Assessment</w:t>
      </w:r>
    </w:p>
    <w:p w14:paraId="3ACADEC9" w14:textId="77777777" w:rsidR="00544798" w:rsidRDefault="00544798" w:rsidP="00926EB3">
      <w:pPr>
        <w:pStyle w:val="ListParagraph"/>
        <w:numPr>
          <w:ilvl w:val="0"/>
          <w:numId w:val="113"/>
        </w:numPr>
      </w:pPr>
      <w:r w:rsidRPr="002A286B">
        <w:t>Owner: SC DHEC</w:t>
      </w:r>
      <w:r>
        <w:t>.</w:t>
      </w:r>
    </w:p>
    <w:p w14:paraId="13D18769" w14:textId="77777777" w:rsidR="00544798" w:rsidRDefault="00544798" w:rsidP="00926EB3">
      <w:pPr>
        <w:pStyle w:val="ListParagraph"/>
        <w:numPr>
          <w:ilvl w:val="0"/>
          <w:numId w:val="113"/>
        </w:numPr>
      </w:pPr>
      <w:r w:rsidRPr="002A286B">
        <w:t>Type: Primary</w:t>
      </w:r>
      <w:r>
        <w:t>.</w:t>
      </w:r>
    </w:p>
    <w:p w14:paraId="68447812" w14:textId="77777777" w:rsidR="00544798" w:rsidRDefault="00544798" w:rsidP="00926EB3">
      <w:pPr>
        <w:pStyle w:val="ListParagraph"/>
        <w:numPr>
          <w:ilvl w:val="0"/>
          <w:numId w:val="113"/>
        </w:numPr>
      </w:pPr>
      <w:r w:rsidRPr="002A286B">
        <w:t xml:space="preserve">Overview: The SC Statewide Oral Health Needs Assessment is done every five years to help provide a snapshot of the state's needs and successes </w:t>
      </w:r>
      <w:proofErr w:type="gramStart"/>
      <w:r w:rsidRPr="002A286B">
        <w:t>in the area of</w:t>
      </w:r>
      <w:proofErr w:type="gramEnd"/>
      <w:r w:rsidRPr="002A286B">
        <w:t xml:space="preserve"> oral health. It will help the Division of Oral Health plan future oral health programs and evaluate the effectiveness of existing programs.</w:t>
      </w:r>
    </w:p>
    <w:p w14:paraId="25BF3BD5" w14:textId="77777777" w:rsidR="00544798" w:rsidRDefault="00544798" w:rsidP="00926EB3">
      <w:pPr>
        <w:pStyle w:val="ListParagraph"/>
        <w:numPr>
          <w:ilvl w:val="0"/>
          <w:numId w:val="113"/>
        </w:numPr>
      </w:pPr>
      <w:r w:rsidRPr="002A286B">
        <w:t>Strength(s): It helps the Division of Oral Health plan future oral health programs and evaluate the effectiveness of existing programs.</w:t>
      </w:r>
    </w:p>
    <w:p w14:paraId="3467266F" w14:textId="77777777" w:rsidR="00544798" w:rsidRDefault="00544798" w:rsidP="00926EB3">
      <w:pPr>
        <w:pStyle w:val="ListParagraph"/>
        <w:numPr>
          <w:ilvl w:val="0"/>
          <w:numId w:val="113"/>
        </w:numPr>
      </w:pPr>
      <w:r w:rsidRPr="002A286B">
        <w:t>Limitation(s): The assessment only covers a small subset of the population, namely kindergarten and third grade students from selected schools across the state. Therefore, it may not be representative of the entire population’s oral health needs. Additionally, the assessment is conducted every five years, which means that it may not capture changes in oral health needs or successes that occur between screenings.</w:t>
      </w:r>
    </w:p>
    <w:p w14:paraId="743A31CF" w14:textId="77777777" w:rsidR="00544798" w:rsidRPr="002A286B" w:rsidRDefault="00544798" w:rsidP="00926EB3">
      <w:pPr>
        <w:pStyle w:val="ListParagraph"/>
        <w:numPr>
          <w:ilvl w:val="0"/>
          <w:numId w:val="113"/>
        </w:numPr>
      </w:pPr>
      <w:r w:rsidRPr="002A286B">
        <w:t xml:space="preserve">Access: </w:t>
      </w:r>
      <w:hyperlink r:id="rId601" w:history="1">
        <w:r w:rsidRPr="001F6D66">
          <w:rPr>
            <w:rStyle w:val="Hyperlink"/>
          </w:rPr>
          <w:t>SC DHEC, Oral Health Needs Assessment website.</w:t>
        </w:r>
      </w:hyperlink>
    </w:p>
    <w:p w14:paraId="7795C8F5" w14:textId="77777777" w:rsidR="00544798" w:rsidRPr="002A286B" w:rsidRDefault="00544798" w:rsidP="00544798"/>
    <w:p w14:paraId="484B5B76" w14:textId="77777777" w:rsidR="00544798" w:rsidRPr="002A286B" w:rsidRDefault="00544798" w:rsidP="00544798">
      <w:pPr>
        <w:pStyle w:val="Heading5"/>
      </w:pPr>
      <w:r w:rsidRPr="002A286B">
        <w:t>South Carolina Prescription Drug Monitoring Program</w:t>
      </w:r>
    </w:p>
    <w:p w14:paraId="0E008C78" w14:textId="77777777" w:rsidR="00544798" w:rsidRDefault="00544798" w:rsidP="00926EB3">
      <w:pPr>
        <w:pStyle w:val="ListParagraph"/>
        <w:numPr>
          <w:ilvl w:val="0"/>
          <w:numId w:val="114"/>
        </w:numPr>
      </w:pPr>
      <w:r w:rsidRPr="002A286B">
        <w:t>Owner: SC DHEC</w:t>
      </w:r>
      <w:r>
        <w:t>.</w:t>
      </w:r>
    </w:p>
    <w:p w14:paraId="46199FD3" w14:textId="77777777" w:rsidR="00544798" w:rsidRDefault="00544798" w:rsidP="00926EB3">
      <w:pPr>
        <w:pStyle w:val="ListParagraph"/>
        <w:numPr>
          <w:ilvl w:val="0"/>
          <w:numId w:val="114"/>
        </w:numPr>
      </w:pPr>
      <w:r w:rsidRPr="002A286B">
        <w:t>Type: Primary</w:t>
      </w:r>
      <w:r>
        <w:t>.</w:t>
      </w:r>
    </w:p>
    <w:p w14:paraId="60153F63" w14:textId="77777777" w:rsidR="00544798" w:rsidRDefault="00544798" w:rsidP="00926EB3">
      <w:pPr>
        <w:pStyle w:val="ListParagraph"/>
        <w:numPr>
          <w:ilvl w:val="0"/>
          <w:numId w:val="114"/>
        </w:numPr>
      </w:pPr>
      <w:r w:rsidRPr="002A286B">
        <w:t>Overview: The South Carolina Prescription Monitoring Program (SC PMP) became fully operational on February 1, 2008. The purpose of the PMP is to improve the state’s ability to identify and stop diversion of prescription drugs in an efficient and cost-effective manner that will not impede the appropriate medical utilization of licit controlled substances.</w:t>
      </w:r>
    </w:p>
    <w:p w14:paraId="2A2D9BB9" w14:textId="52F0C638" w:rsidR="00544798" w:rsidRDefault="00544798" w:rsidP="00926EB3">
      <w:pPr>
        <w:pStyle w:val="ListParagraph"/>
        <w:numPr>
          <w:ilvl w:val="0"/>
          <w:numId w:val="114"/>
        </w:numPr>
      </w:pPr>
      <w:r w:rsidRPr="002A286B">
        <w:t>Strength(s): All licensed SC dispensers submit daily dispensation data on Schedule II - IV controlled substances to the PMP. Thus, the PMP is a robust data source of all dispensations in SC.</w:t>
      </w:r>
    </w:p>
    <w:p w14:paraId="32BBCB1E" w14:textId="77777777" w:rsidR="00544798" w:rsidRDefault="00544798" w:rsidP="00926EB3">
      <w:pPr>
        <w:pStyle w:val="ListParagraph"/>
        <w:numPr>
          <w:ilvl w:val="0"/>
          <w:numId w:val="114"/>
        </w:numPr>
      </w:pPr>
      <w:r w:rsidRPr="002A286B">
        <w:t xml:space="preserve">Limitation(s): The dispensation data may be entered or submitted via manual data </w:t>
      </w:r>
      <w:proofErr w:type="gramStart"/>
      <w:r w:rsidRPr="002A286B">
        <w:t>entry,</w:t>
      </w:r>
      <w:proofErr w:type="gramEnd"/>
      <w:r w:rsidRPr="002A286B">
        <w:t xml:space="preserve"> thus it is subject to human error.</w:t>
      </w:r>
    </w:p>
    <w:p w14:paraId="696C1F9A" w14:textId="77777777" w:rsidR="00544798" w:rsidRPr="002A286B" w:rsidRDefault="00544798" w:rsidP="00926EB3">
      <w:pPr>
        <w:pStyle w:val="ListParagraph"/>
        <w:numPr>
          <w:ilvl w:val="0"/>
          <w:numId w:val="114"/>
        </w:numPr>
      </w:pPr>
      <w:r w:rsidRPr="002A286B">
        <w:t xml:space="preserve">Access: </w:t>
      </w:r>
      <w:hyperlink r:id="rId602" w:history="1">
        <w:r w:rsidRPr="001F6D66">
          <w:rPr>
            <w:rStyle w:val="Hyperlink"/>
          </w:rPr>
          <w:t>SC DHEC, Prescription Drug Monitoring Program website.</w:t>
        </w:r>
      </w:hyperlink>
    </w:p>
    <w:p w14:paraId="740551C0" w14:textId="77777777" w:rsidR="00544798" w:rsidRPr="002A286B" w:rsidRDefault="00544798" w:rsidP="00544798"/>
    <w:p w14:paraId="0B1E27CB" w14:textId="77777777" w:rsidR="00544798" w:rsidRPr="002A286B" w:rsidRDefault="00544798" w:rsidP="00544798">
      <w:pPr>
        <w:pStyle w:val="Heading5"/>
      </w:pPr>
      <w:r w:rsidRPr="002A286B">
        <w:t>South Carolina Revenue and Fiscal Affairs Office (RFA)</w:t>
      </w:r>
    </w:p>
    <w:p w14:paraId="1EE93F96" w14:textId="77777777" w:rsidR="00544798" w:rsidRDefault="00544798" w:rsidP="00926EB3">
      <w:pPr>
        <w:pStyle w:val="ListParagraph"/>
        <w:numPr>
          <w:ilvl w:val="0"/>
          <w:numId w:val="115"/>
        </w:numPr>
      </w:pPr>
      <w:r w:rsidRPr="002A286B">
        <w:t>Owner: RFA</w:t>
      </w:r>
      <w:r>
        <w:t>.</w:t>
      </w:r>
    </w:p>
    <w:p w14:paraId="753910BD" w14:textId="77777777" w:rsidR="00544798" w:rsidRDefault="00544798" w:rsidP="00926EB3">
      <w:pPr>
        <w:pStyle w:val="ListParagraph"/>
        <w:numPr>
          <w:ilvl w:val="0"/>
          <w:numId w:val="115"/>
        </w:numPr>
      </w:pPr>
      <w:r w:rsidRPr="002A286B">
        <w:t>Type: Primary</w:t>
      </w:r>
      <w:r>
        <w:t>.</w:t>
      </w:r>
    </w:p>
    <w:p w14:paraId="29442C28" w14:textId="77777777" w:rsidR="00544798" w:rsidRDefault="00544798" w:rsidP="00926EB3">
      <w:pPr>
        <w:pStyle w:val="ListParagraph"/>
        <w:numPr>
          <w:ilvl w:val="0"/>
          <w:numId w:val="115"/>
        </w:numPr>
      </w:pPr>
      <w:r w:rsidRPr="002A286B">
        <w:lastRenderedPageBreak/>
        <w:t>Overview: It collects data from all civilian hospitals in South Carolina. In 2016, the data was converted from ICD-9 CM codes to ICD-10 CM codes.</w:t>
      </w:r>
    </w:p>
    <w:p w14:paraId="375EB9FF" w14:textId="77777777" w:rsidR="00544798" w:rsidRDefault="00544798" w:rsidP="00926EB3">
      <w:pPr>
        <w:pStyle w:val="ListParagraph"/>
        <w:numPr>
          <w:ilvl w:val="0"/>
          <w:numId w:val="115"/>
        </w:numPr>
      </w:pPr>
      <w:r w:rsidRPr="002A286B">
        <w:t>Strength(s): This dataset also contains diagnoses, length of stay, charges, payer source, and other useful information for health surveillance.</w:t>
      </w:r>
    </w:p>
    <w:p w14:paraId="48123FB5" w14:textId="77777777" w:rsidR="00544798" w:rsidRDefault="00544798" w:rsidP="00926EB3">
      <w:pPr>
        <w:pStyle w:val="ListParagraph"/>
        <w:numPr>
          <w:ilvl w:val="0"/>
          <w:numId w:val="115"/>
        </w:numPr>
      </w:pPr>
      <w:r w:rsidRPr="002A286B">
        <w:t>Limitation(s): RFA data is not population-based and does not include information on individuals at the VA hospitals.</w:t>
      </w:r>
    </w:p>
    <w:p w14:paraId="7F22D4F2" w14:textId="77777777" w:rsidR="00544798" w:rsidRPr="002A286B" w:rsidRDefault="00544798" w:rsidP="00926EB3">
      <w:pPr>
        <w:pStyle w:val="ListParagraph"/>
        <w:numPr>
          <w:ilvl w:val="0"/>
          <w:numId w:val="115"/>
        </w:numPr>
      </w:pPr>
      <w:r w:rsidRPr="002A286B">
        <w:t xml:space="preserve">Access: </w:t>
      </w:r>
      <w:hyperlink r:id="rId603" w:history="1">
        <w:r w:rsidRPr="001F6D66">
          <w:rPr>
            <w:rStyle w:val="Hyperlink"/>
          </w:rPr>
          <w:t>South Carolina Revenue and Fiscal Affairs Office website.</w:t>
        </w:r>
      </w:hyperlink>
    </w:p>
    <w:p w14:paraId="76505214" w14:textId="77777777" w:rsidR="00544798" w:rsidRPr="002A286B" w:rsidRDefault="00544798" w:rsidP="00544798"/>
    <w:p w14:paraId="0269C760" w14:textId="77777777" w:rsidR="00544798" w:rsidRPr="002A286B" w:rsidRDefault="00544798" w:rsidP="00544798">
      <w:pPr>
        <w:pStyle w:val="Heading5"/>
      </w:pPr>
      <w:r w:rsidRPr="002A286B">
        <w:t>South Carolina Violent Death Reporting System (SC VDRS)</w:t>
      </w:r>
    </w:p>
    <w:p w14:paraId="2F1255F7" w14:textId="77777777" w:rsidR="00544798" w:rsidRDefault="00544798" w:rsidP="00926EB3">
      <w:pPr>
        <w:pStyle w:val="ListParagraph"/>
        <w:numPr>
          <w:ilvl w:val="0"/>
          <w:numId w:val="116"/>
        </w:numPr>
      </w:pPr>
      <w:r w:rsidRPr="002A286B">
        <w:t>Owner: SC DHEC, CDC</w:t>
      </w:r>
      <w:r>
        <w:t>.</w:t>
      </w:r>
    </w:p>
    <w:p w14:paraId="6D789F06" w14:textId="77777777" w:rsidR="00544798" w:rsidRDefault="00544798" w:rsidP="00926EB3">
      <w:pPr>
        <w:pStyle w:val="ListParagraph"/>
        <w:numPr>
          <w:ilvl w:val="0"/>
          <w:numId w:val="116"/>
        </w:numPr>
      </w:pPr>
      <w:r w:rsidRPr="002A286B">
        <w:t>Type: Primary</w:t>
      </w:r>
      <w:r>
        <w:t>.</w:t>
      </w:r>
    </w:p>
    <w:p w14:paraId="4779A629" w14:textId="77777777" w:rsidR="00544798" w:rsidRDefault="00544798" w:rsidP="00926EB3">
      <w:pPr>
        <w:pStyle w:val="ListParagraph"/>
        <w:numPr>
          <w:ilvl w:val="0"/>
          <w:numId w:val="116"/>
        </w:numPr>
      </w:pPr>
      <w:r w:rsidRPr="002A286B">
        <w:t>Overview: The South Carolina Violent Death Reporting System (SCVDRS) was established in 2002 through a cooperative agreement with the Centers for Disease Control and Prevention (CDC). Data collection began in 2003 and captures homicides, suicides, unintentional firearm injury deaths, and injury deaths of undetermined intent. SCVDRS data includes decedents who were fatally injured within South Carolina whether they were South Carolina residents or not.</w:t>
      </w:r>
    </w:p>
    <w:p w14:paraId="20E84BD6" w14:textId="77777777" w:rsidR="00544798" w:rsidRDefault="00544798" w:rsidP="00926EB3">
      <w:pPr>
        <w:pStyle w:val="ListParagraph"/>
        <w:numPr>
          <w:ilvl w:val="0"/>
          <w:numId w:val="116"/>
        </w:numPr>
      </w:pPr>
      <w:r w:rsidRPr="002A286B">
        <w:t xml:space="preserve">Strength(s): The strength of this data is that it is collected from a variety of sources, including death certificates, medical examiner reports, law enforcement reports, </w:t>
      </w:r>
      <w:proofErr w:type="gramStart"/>
      <w:r w:rsidRPr="002A286B">
        <w:t>toxicology</w:t>
      </w:r>
      <w:proofErr w:type="gramEnd"/>
      <w:r w:rsidRPr="002A286B">
        <w:t xml:space="preserve"> and ballistics reports, and provides contextual information on violent deaths. The collected data is used to define the problem of violent deaths in South Carolina, identify risk and protective factors, test prevention strategies, and assure widespread adoption of successful approaches.</w:t>
      </w:r>
    </w:p>
    <w:p w14:paraId="0AB21B86" w14:textId="77777777" w:rsidR="00544798" w:rsidRDefault="00544798" w:rsidP="00926EB3">
      <w:pPr>
        <w:pStyle w:val="ListParagraph"/>
        <w:numPr>
          <w:ilvl w:val="0"/>
          <w:numId w:val="116"/>
        </w:numPr>
      </w:pPr>
      <w:r w:rsidRPr="002A286B">
        <w:t>Limitation(s): One limitation is that contextual information is subject to the knowledge of family members, friends, and others who report to coroners and law enforcement during investigations. Additionally, the data may be subject to reporting biases or errors that could affect its accuracy.</w:t>
      </w:r>
    </w:p>
    <w:p w14:paraId="6DD6A1CB" w14:textId="77777777" w:rsidR="00544798" w:rsidRPr="002A286B" w:rsidRDefault="00544798" w:rsidP="00926EB3">
      <w:pPr>
        <w:pStyle w:val="ListParagraph"/>
        <w:numPr>
          <w:ilvl w:val="0"/>
          <w:numId w:val="116"/>
        </w:numPr>
      </w:pPr>
      <w:r w:rsidRPr="002A286B">
        <w:t xml:space="preserve">Access: </w:t>
      </w:r>
      <w:hyperlink r:id="rId604" w:history="1">
        <w:r w:rsidRPr="00777B52">
          <w:rPr>
            <w:rStyle w:val="Hyperlink"/>
          </w:rPr>
          <w:t>SC DHEC, Violent Death Reporting System website.</w:t>
        </w:r>
      </w:hyperlink>
    </w:p>
    <w:p w14:paraId="5E09D8D6" w14:textId="77777777" w:rsidR="00544798" w:rsidRPr="002A286B" w:rsidRDefault="00544798" w:rsidP="00544798"/>
    <w:p w14:paraId="3AD07FC1" w14:textId="77777777" w:rsidR="00544798" w:rsidRPr="002A286B" w:rsidRDefault="00544798" w:rsidP="00544798">
      <w:pPr>
        <w:pStyle w:val="Heading5"/>
      </w:pPr>
      <w:r w:rsidRPr="002A286B">
        <w:t>South Carolina Vital Statistics</w:t>
      </w:r>
    </w:p>
    <w:p w14:paraId="6BC1EC2C" w14:textId="77777777" w:rsidR="00544798" w:rsidRDefault="00544798" w:rsidP="00926EB3">
      <w:pPr>
        <w:pStyle w:val="ListParagraph"/>
        <w:numPr>
          <w:ilvl w:val="0"/>
          <w:numId w:val="117"/>
        </w:numPr>
      </w:pPr>
      <w:r w:rsidRPr="002A286B">
        <w:t>Owner: SC DHEC, National Center for Health Statistics</w:t>
      </w:r>
      <w:r>
        <w:t>.</w:t>
      </w:r>
    </w:p>
    <w:p w14:paraId="098E44C1" w14:textId="77777777" w:rsidR="00544798" w:rsidRDefault="00544798" w:rsidP="00926EB3">
      <w:pPr>
        <w:pStyle w:val="ListParagraph"/>
        <w:numPr>
          <w:ilvl w:val="0"/>
          <w:numId w:val="117"/>
        </w:numPr>
      </w:pPr>
      <w:r w:rsidRPr="002A286B">
        <w:t>Type: Primary</w:t>
      </w:r>
      <w:r>
        <w:t>.</w:t>
      </w:r>
    </w:p>
    <w:p w14:paraId="31F061D4" w14:textId="77777777" w:rsidR="00544798" w:rsidRDefault="00544798" w:rsidP="00926EB3">
      <w:pPr>
        <w:pStyle w:val="ListParagraph"/>
        <w:numPr>
          <w:ilvl w:val="0"/>
          <w:numId w:val="117"/>
        </w:numPr>
      </w:pPr>
      <w:r w:rsidRPr="002A286B">
        <w:t>Overview: The Division of Vital Records is the state's official records keeper for vital information pertaining to births, deaths, marriages, and divorces occurring in South Carolina.</w:t>
      </w:r>
    </w:p>
    <w:p w14:paraId="6DE5C0F4" w14:textId="77777777" w:rsidR="00544798" w:rsidRDefault="00544798" w:rsidP="00926EB3">
      <w:pPr>
        <w:pStyle w:val="ListParagraph"/>
        <w:numPr>
          <w:ilvl w:val="0"/>
          <w:numId w:val="117"/>
        </w:numPr>
      </w:pPr>
      <w:r w:rsidRPr="002A286B">
        <w:lastRenderedPageBreak/>
        <w:t xml:space="preserve">Strength(s): Population-based data where all births must be recorded by law. Provides information on birth weight, gestational age, prenatal care, maternal complications during pregnancy that affect birth outcomes. Population based </w:t>
      </w:r>
      <w:proofErr w:type="gramStart"/>
      <w:r w:rsidRPr="002A286B">
        <w:t>data,</w:t>
      </w:r>
      <w:proofErr w:type="gramEnd"/>
      <w:r w:rsidRPr="002A286B">
        <w:t xml:space="preserve"> all deaths must be reported by law. A fundamental source of demographic, geographic, and cause-of-death information.</w:t>
      </w:r>
    </w:p>
    <w:p w14:paraId="222840A9" w14:textId="77777777" w:rsidR="00544798" w:rsidRDefault="00544798" w:rsidP="00926EB3">
      <w:pPr>
        <w:pStyle w:val="ListParagraph"/>
        <w:numPr>
          <w:ilvl w:val="0"/>
          <w:numId w:val="117"/>
        </w:numPr>
      </w:pPr>
      <w:r w:rsidRPr="002A286B">
        <w:t>Limitation(s): Does not include clinical data such as lab tests. Additionally, no information on health status leading up to death.</w:t>
      </w:r>
    </w:p>
    <w:p w14:paraId="7D455C26" w14:textId="77777777" w:rsidR="00544798" w:rsidRPr="002A286B" w:rsidRDefault="00544798" w:rsidP="00926EB3">
      <w:pPr>
        <w:pStyle w:val="ListParagraph"/>
        <w:numPr>
          <w:ilvl w:val="0"/>
          <w:numId w:val="117"/>
        </w:numPr>
      </w:pPr>
      <w:r w:rsidRPr="002A286B">
        <w:t xml:space="preserve">Access: </w:t>
      </w:r>
      <w:hyperlink r:id="rId605" w:history="1">
        <w:r w:rsidRPr="00777B52">
          <w:rPr>
            <w:rStyle w:val="Hyperlink"/>
          </w:rPr>
          <w:t>SC DHEC, Vital Statistics website.</w:t>
        </w:r>
      </w:hyperlink>
    </w:p>
    <w:p w14:paraId="68ED05F4" w14:textId="77777777" w:rsidR="00544798" w:rsidRPr="002A286B" w:rsidRDefault="00544798" w:rsidP="00544798"/>
    <w:p w14:paraId="680A4DE9" w14:textId="77777777" w:rsidR="00544798" w:rsidRPr="002A286B" w:rsidRDefault="00544798" w:rsidP="00544798">
      <w:pPr>
        <w:pStyle w:val="Heading5"/>
      </w:pPr>
      <w:r w:rsidRPr="002A286B">
        <w:t>South Carolina Youth Tobacco Survey (YTS)</w:t>
      </w:r>
    </w:p>
    <w:p w14:paraId="6E5BCF8A" w14:textId="77777777" w:rsidR="00544798" w:rsidRDefault="00544798" w:rsidP="00926EB3">
      <w:pPr>
        <w:pStyle w:val="ListParagraph"/>
        <w:numPr>
          <w:ilvl w:val="0"/>
          <w:numId w:val="118"/>
        </w:numPr>
      </w:pPr>
      <w:r w:rsidRPr="002A286B">
        <w:t>Owner: SC DHEC, CDC</w:t>
      </w:r>
      <w:r>
        <w:t>.</w:t>
      </w:r>
    </w:p>
    <w:p w14:paraId="5335D08D" w14:textId="77777777" w:rsidR="00544798" w:rsidRDefault="00544798" w:rsidP="00926EB3">
      <w:pPr>
        <w:pStyle w:val="ListParagraph"/>
        <w:numPr>
          <w:ilvl w:val="0"/>
          <w:numId w:val="118"/>
        </w:numPr>
      </w:pPr>
      <w:r w:rsidRPr="002A286B">
        <w:t>Type: Primar</w:t>
      </w:r>
      <w:r>
        <w:t>y.</w:t>
      </w:r>
    </w:p>
    <w:p w14:paraId="528E8EF5" w14:textId="77777777" w:rsidR="00544798" w:rsidRDefault="00544798" w:rsidP="00926EB3">
      <w:pPr>
        <w:pStyle w:val="ListParagraph"/>
        <w:numPr>
          <w:ilvl w:val="0"/>
          <w:numId w:val="118"/>
        </w:numPr>
      </w:pPr>
      <w:r w:rsidRPr="002A286B">
        <w:t>Overview: The South Carolina Youth Tobacco Survey (SCYTS) is a comprehensive survey designed to evaluate prevalence of tobacco use, age of initiation and access to tobacco products. SCYTS monitors key behaviors and attitudes toward tobacco among SC teens and helps SC Department of Health and Environmental Control (DHEC) Division of Tobacco Prevention and Control.</w:t>
      </w:r>
    </w:p>
    <w:p w14:paraId="420F2FC2" w14:textId="77777777" w:rsidR="00544798" w:rsidRDefault="00544798" w:rsidP="00926EB3">
      <w:pPr>
        <w:pStyle w:val="ListParagraph"/>
        <w:numPr>
          <w:ilvl w:val="0"/>
          <w:numId w:val="118"/>
        </w:numPr>
      </w:pPr>
      <w:r w:rsidRPr="002A286B">
        <w:t>Strength(s): This survey provides data on tobacco use of both middle and high school students from across the state. It also includes data on school curriculum, knowledge and attitudes, mass media influences and exposure to secondhand smoke.</w:t>
      </w:r>
    </w:p>
    <w:p w14:paraId="5BA80EC0" w14:textId="77777777" w:rsidR="00544798" w:rsidRDefault="00544798" w:rsidP="00926EB3">
      <w:pPr>
        <w:pStyle w:val="ListParagraph"/>
        <w:numPr>
          <w:ilvl w:val="0"/>
          <w:numId w:val="118"/>
        </w:numPr>
      </w:pPr>
      <w:r w:rsidRPr="002A286B">
        <w:t>Limitation(s): The survey relies on self-reported data from students, which may be subject to bias or inaccuracies. Additionally, the survey only captures data from students who are currently enrolled in school and may not be representative of all youth in the state.</w:t>
      </w:r>
    </w:p>
    <w:p w14:paraId="594ABD75" w14:textId="77777777" w:rsidR="00544798" w:rsidRPr="002A286B" w:rsidRDefault="00544798" w:rsidP="00926EB3">
      <w:pPr>
        <w:pStyle w:val="ListParagraph"/>
        <w:numPr>
          <w:ilvl w:val="0"/>
          <w:numId w:val="118"/>
        </w:numPr>
      </w:pPr>
      <w:r w:rsidRPr="002A286B">
        <w:t xml:space="preserve">Access: </w:t>
      </w:r>
      <w:hyperlink r:id="rId606" w:history="1">
        <w:r w:rsidRPr="00777B52">
          <w:rPr>
            <w:rStyle w:val="Hyperlink"/>
          </w:rPr>
          <w:t>SC DHEC, Youth Tobacco Survey website.</w:t>
        </w:r>
      </w:hyperlink>
    </w:p>
    <w:p w14:paraId="235305F3" w14:textId="77777777" w:rsidR="00544798" w:rsidRPr="002A286B" w:rsidRDefault="00544798" w:rsidP="00544798"/>
    <w:p w14:paraId="431809F4" w14:textId="77777777" w:rsidR="00544798" w:rsidRPr="002A286B" w:rsidRDefault="00544798" w:rsidP="00544798">
      <w:pPr>
        <w:pStyle w:val="Heading5"/>
      </w:pPr>
      <w:r w:rsidRPr="002A286B">
        <w:t>State of South Carolina Integrated Reports Part II</w:t>
      </w:r>
    </w:p>
    <w:p w14:paraId="0C42A4D8" w14:textId="77777777" w:rsidR="00544798" w:rsidRDefault="00544798" w:rsidP="00926EB3">
      <w:pPr>
        <w:pStyle w:val="ListParagraph"/>
        <w:numPr>
          <w:ilvl w:val="0"/>
          <w:numId w:val="119"/>
        </w:numPr>
      </w:pPr>
      <w:r w:rsidRPr="002A286B">
        <w:t>Owner: SC DHEC, Bureau of Water</w:t>
      </w:r>
      <w:r>
        <w:t>.</w:t>
      </w:r>
    </w:p>
    <w:p w14:paraId="73BAA5B8" w14:textId="77777777" w:rsidR="00544798" w:rsidRDefault="00544798" w:rsidP="00926EB3">
      <w:pPr>
        <w:pStyle w:val="ListParagraph"/>
        <w:numPr>
          <w:ilvl w:val="0"/>
          <w:numId w:val="119"/>
        </w:numPr>
      </w:pPr>
      <w:r w:rsidRPr="002A286B">
        <w:t>Type: Primary</w:t>
      </w:r>
      <w:r>
        <w:t>.</w:t>
      </w:r>
    </w:p>
    <w:p w14:paraId="5A7466F9" w14:textId="77777777" w:rsidR="00544798" w:rsidRDefault="00544798" w:rsidP="00926EB3">
      <w:pPr>
        <w:pStyle w:val="ListParagraph"/>
        <w:numPr>
          <w:ilvl w:val="0"/>
          <w:numId w:val="119"/>
        </w:numPr>
      </w:pPr>
      <w:r w:rsidRPr="002A286B">
        <w:t>Overview: Part 305(b) of the Clean Water Act requires an assessment of the State's waters every two years. Analysis of five years of data collected from a fixed network of ambient locations supplemented statistical survey sampling allows statistically valid statements about water quality to be made about large areas based on relatively small subsample.</w:t>
      </w:r>
    </w:p>
    <w:p w14:paraId="3E9F4449" w14:textId="77777777" w:rsidR="00544798" w:rsidRDefault="00544798" w:rsidP="00926EB3">
      <w:pPr>
        <w:pStyle w:val="ListParagraph"/>
        <w:numPr>
          <w:ilvl w:val="0"/>
          <w:numId w:val="119"/>
        </w:numPr>
      </w:pPr>
      <w:r w:rsidRPr="002A286B">
        <w:lastRenderedPageBreak/>
        <w:t>Strength(s): Legislatively mandated, unique data source able to look at public water systems.</w:t>
      </w:r>
    </w:p>
    <w:p w14:paraId="7F0B7896" w14:textId="77777777" w:rsidR="00544798" w:rsidRDefault="00544798" w:rsidP="00926EB3">
      <w:pPr>
        <w:pStyle w:val="ListParagraph"/>
        <w:numPr>
          <w:ilvl w:val="0"/>
          <w:numId w:val="119"/>
        </w:numPr>
      </w:pPr>
      <w:r w:rsidRPr="002A286B">
        <w:t>Limitation(s): Assessment done every two years, doesn't test every area of water.</w:t>
      </w:r>
    </w:p>
    <w:p w14:paraId="761E0B0D" w14:textId="77777777" w:rsidR="00544798" w:rsidRPr="002A286B" w:rsidRDefault="00544798" w:rsidP="00926EB3">
      <w:pPr>
        <w:pStyle w:val="ListParagraph"/>
        <w:numPr>
          <w:ilvl w:val="0"/>
          <w:numId w:val="119"/>
        </w:numPr>
      </w:pPr>
      <w:r w:rsidRPr="002A286B">
        <w:t xml:space="preserve">Access: </w:t>
      </w:r>
      <w:hyperlink r:id="rId607" w:history="1">
        <w:r w:rsidRPr="00777B52">
          <w:rPr>
            <w:rStyle w:val="Hyperlink"/>
          </w:rPr>
          <w:t>SC DHEC, Surface Water Quality website.</w:t>
        </w:r>
      </w:hyperlink>
    </w:p>
    <w:p w14:paraId="799AD599" w14:textId="77777777" w:rsidR="00544798" w:rsidRPr="002A286B" w:rsidRDefault="00544798" w:rsidP="00544798"/>
    <w:p w14:paraId="440153BB" w14:textId="77777777" w:rsidR="00544798" w:rsidRPr="002A286B" w:rsidRDefault="00544798" w:rsidP="00544798">
      <w:pPr>
        <w:pStyle w:val="Heading5"/>
      </w:pPr>
      <w:r w:rsidRPr="002A286B">
        <w:t>Statistical Profile FY 21-22. Economic and Employment Trends.</w:t>
      </w:r>
    </w:p>
    <w:p w14:paraId="01F5FE3C" w14:textId="77777777" w:rsidR="00544798" w:rsidRDefault="00544798" w:rsidP="00926EB3">
      <w:pPr>
        <w:pStyle w:val="ListParagraph"/>
        <w:numPr>
          <w:ilvl w:val="0"/>
          <w:numId w:val="120"/>
        </w:numPr>
      </w:pPr>
      <w:r w:rsidRPr="002A286B">
        <w:t>Owner: SC Commission for Minority Affairs</w:t>
      </w:r>
      <w:r>
        <w:t>.</w:t>
      </w:r>
    </w:p>
    <w:p w14:paraId="5526FA58" w14:textId="77777777" w:rsidR="00544798" w:rsidRDefault="00544798" w:rsidP="00926EB3">
      <w:pPr>
        <w:pStyle w:val="ListParagraph"/>
        <w:numPr>
          <w:ilvl w:val="0"/>
          <w:numId w:val="120"/>
        </w:numPr>
      </w:pPr>
      <w:r w:rsidRPr="002A286B">
        <w:t>Type: Secondary</w:t>
      </w:r>
      <w:r>
        <w:t>.</w:t>
      </w:r>
    </w:p>
    <w:p w14:paraId="535EE4CD" w14:textId="77777777" w:rsidR="00544798" w:rsidRDefault="00544798" w:rsidP="00926EB3">
      <w:pPr>
        <w:pStyle w:val="ListParagraph"/>
        <w:numPr>
          <w:ilvl w:val="0"/>
          <w:numId w:val="120"/>
        </w:numPr>
      </w:pPr>
      <w:r w:rsidRPr="002A286B">
        <w:t>Overview: The report provides research on topics related to SC's minority populations of demographic shifts, economic and employment trends, educational attainment and occupational selection, housing and homeownership, poverty/public assistance/health insurance coverage, and linguistic diversity/ethnic identities/citizenship in SC's minority communities.</w:t>
      </w:r>
    </w:p>
    <w:p w14:paraId="7A7C6D5A" w14:textId="77777777" w:rsidR="00544798" w:rsidRDefault="00544798" w:rsidP="00926EB3">
      <w:pPr>
        <w:pStyle w:val="ListParagraph"/>
        <w:numPr>
          <w:ilvl w:val="0"/>
          <w:numId w:val="120"/>
        </w:numPr>
      </w:pPr>
      <w:r w:rsidRPr="002A286B">
        <w:t>Strength(s): The research team at CMA reports statistics from data</w:t>
      </w:r>
      <w:r>
        <w:t xml:space="preserve"> </w:t>
      </w:r>
      <w:r w:rsidRPr="002A286B">
        <w:t xml:space="preserve">sources </w:t>
      </w:r>
      <w:proofErr w:type="gramStart"/>
      <w:r w:rsidRPr="002A286B">
        <w:t>and also</w:t>
      </w:r>
      <w:proofErr w:type="gramEnd"/>
      <w:r w:rsidRPr="002A286B">
        <w:t xml:space="preserve"> performs their own analyses on the data, adding additional insight into trends.</w:t>
      </w:r>
    </w:p>
    <w:p w14:paraId="127C1095" w14:textId="77777777" w:rsidR="00544798" w:rsidRDefault="00544798" w:rsidP="00926EB3">
      <w:pPr>
        <w:pStyle w:val="ListParagraph"/>
        <w:numPr>
          <w:ilvl w:val="0"/>
          <w:numId w:val="120"/>
        </w:numPr>
      </w:pPr>
      <w:r w:rsidRPr="002A286B">
        <w:t>Limitation(s): Unknown limitations.</w:t>
      </w:r>
    </w:p>
    <w:p w14:paraId="3C94D369" w14:textId="77777777" w:rsidR="00544798" w:rsidRPr="002A286B" w:rsidRDefault="00544798" w:rsidP="00926EB3">
      <w:pPr>
        <w:pStyle w:val="ListParagraph"/>
        <w:numPr>
          <w:ilvl w:val="0"/>
          <w:numId w:val="120"/>
        </w:numPr>
      </w:pPr>
      <w:r w:rsidRPr="002A286B">
        <w:t xml:space="preserve">Access: </w:t>
      </w:r>
      <w:hyperlink r:id="rId608" w:history="1">
        <w:r w:rsidRPr="00777B52">
          <w:rPr>
            <w:rStyle w:val="Hyperlink"/>
          </w:rPr>
          <w:t>SC Commission for Minority Affairs, Statistical Profile FY21-22.</w:t>
        </w:r>
      </w:hyperlink>
    </w:p>
    <w:p w14:paraId="347F2E39" w14:textId="77777777" w:rsidR="00544798" w:rsidRPr="002A286B" w:rsidRDefault="00544798" w:rsidP="00544798"/>
    <w:p w14:paraId="0E1D1AB3" w14:textId="77777777" w:rsidR="00544798" w:rsidRPr="002A286B" w:rsidRDefault="00544798" w:rsidP="00544798">
      <w:pPr>
        <w:pStyle w:val="Heading5"/>
      </w:pPr>
      <w:r w:rsidRPr="002A286B">
        <w:t>The South Carolina Maternal Morbidity and Mortality Review (MMMR) Committee</w:t>
      </w:r>
    </w:p>
    <w:p w14:paraId="0D95FE47" w14:textId="77777777" w:rsidR="00544798" w:rsidRDefault="00544798" w:rsidP="00926EB3">
      <w:pPr>
        <w:pStyle w:val="ListParagraph"/>
        <w:numPr>
          <w:ilvl w:val="0"/>
          <w:numId w:val="121"/>
        </w:numPr>
      </w:pPr>
      <w:r w:rsidRPr="002A286B">
        <w:t>Owner: SC DHEC</w:t>
      </w:r>
      <w:r>
        <w:t>.</w:t>
      </w:r>
    </w:p>
    <w:p w14:paraId="4E489494" w14:textId="77777777" w:rsidR="00544798" w:rsidRDefault="00544798" w:rsidP="00926EB3">
      <w:pPr>
        <w:pStyle w:val="ListParagraph"/>
        <w:numPr>
          <w:ilvl w:val="0"/>
          <w:numId w:val="121"/>
        </w:numPr>
      </w:pPr>
      <w:r w:rsidRPr="002A286B">
        <w:t>Type: Primary</w:t>
      </w:r>
      <w:r>
        <w:t>.</w:t>
      </w:r>
    </w:p>
    <w:p w14:paraId="5178C0BD" w14:textId="77777777" w:rsidR="00544798" w:rsidRDefault="00544798" w:rsidP="00926EB3">
      <w:pPr>
        <w:pStyle w:val="ListParagraph"/>
        <w:numPr>
          <w:ilvl w:val="0"/>
          <w:numId w:val="121"/>
        </w:numPr>
      </w:pPr>
      <w:r w:rsidRPr="002A286B">
        <w:t>Overview: The South Carolina Maternal Morbidity and Mortality Review Committee (SCMMMRC), established by state law in 2016, investigates maternal deaths associated with pregnancy. Data are reported through vital records, voluntary reporting, and CDC notification. A pregnancy-related (PR) death occurs when a person dies while pregnant or within one year of pregnancy from a pregnancy complication, a chain of events initiated by the pregnancy, or a condition made worse by the pregnancy.</w:t>
      </w:r>
    </w:p>
    <w:p w14:paraId="2086FDBC" w14:textId="77777777" w:rsidR="00544798" w:rsidRDefault="00544798" w:rsidP="00926EB3">
      <w:pPr>
        <w:pStyle w:val="ListParagraph"/>
        <w:numPr>
          <w:ilvl w:val="0"/>
          <w:numId w:val="121"/>
        </w:numPr>
      </w:pPr>
      <w:r w:rsidRPr="002A286B">
        <w:t xml:space="preserve">Strength(s): SCMMMRC reviews all maternal deaths that occur during pregnancy and up to 365 days following the end of the pregnancy regardless of the cause of death. Each death is reviewed using a standardized approach that includes investigating underlying causes of </w:t>
      </w:r>
      <w:r w:rsidRPr="002A286B">
        <w:lastRenderedPageBreak/>
        <w:t xml:space="preserve">death, pregnancy-relatedness, preventability, </w:t>
      </w:r>
      <w:proofErr w:type="gramStart"/>
      <w:r w:rsidRPr="002A286B">
        <w:t>circumstances</w:t>
      </w:r>
      <w:proofErr w:type="gramEnd"/>
      <w:r w:rsidRPr="002A286B">
        <w:t xml:space="preserve"> and contributing factors surrounding the death.</w:t>
      </w:r>
    </w:p>
    <w:p w14:paraId="75C0DE6D" w14:textId="77777777" w:rsidR="00544798" w:rsidRDefault="00544798" w:rsidP="00926EB3">
      <w:pPr>
        <w:pStyle w:val="ListParagraph"/>
        <w:numPr>
          <w:ilvl w:val="0"/>
          <w:numId w:val="121"/>
        </w:numPr>
      </w:pPr>
      <w:r w:rsidRPr="002A286B">
        <w:t>Limitation(s): The major limitation in examining maternal mortality is that there is no single national system in the U.S. for collecting maternal mortality data.</w:t>
      </w:r>
    </w:p>
    <w:p w14:paraId="0321E03B" w14:textId="77777777" w:rsidR="00544798" w:rsidRPr="002A286B" w:rsidRDefault="00544798" w:rsidP="00926EB3">
      <w:pPr>
        <w:pStyle w:val="ListParagraph"/>
        <w:numPr>
          <w:ilvl w:val="0"/>
          <w:numId w:val="121"/>
        </w:numPr>
      </w:pPr>
      <w:r w:rsidRPr="002A286B">
        <w:t xml:space="preserve">Access: </w:t>
      </w:r>
      <w:hyperlink r:id="rId609" w:history="1">
        <w:r w:rsidRPr="00777B52">
          <w:rPr>
            <w:rStyle w:val="Hyperlink"/>
          </w:rPr>
          <w:t>SC DHEC, SC Morbidity and Mortality Review Committee Legislative Reports website.</w:t>
        </w:r>
      </w:hyperlink>
    </w:p>
    <w:p w14:paraId="45A3E8D0" w14:textId="77777777" w:rsidR="00544798" w:rsidRPr="002A286B" w:rsidRDefault="00544798" w:rsidP="00544798"/>
    <w:p w14:paraId="3C2741F1" w14:textId="77777777" w:rsidR="00544798" w:rsidRPr="002A286B" w:rsidRDefault="00544798" w:rsidP="00544798">
      <w:pPr>
        <w:pStyle w:val="Heading5"/>
      </w:pPr>
      <w:r w:rsidRPr="002A286B">
        <w:t>US EPA National Emissions Inventory</w:t>
      </w:r>
    </w:p>
    <w:p w14:paraId="491984E1" w14:textId="77777777" w:rsidR="00544798" w:rsidRDefault="00544798" w:rsidP="00926EB3">
      <w:pPr>
        <w:pStyle w:val="ListParagraph"/>
        <w:numPr>
          <w:ilvl w:val="0"/>
          <w:numId w:val="122"/>
        </w:numPr>
      </w:pPr>
      <w:r w:rsidRPr="002A286B">
        <w:t>Owner: EPA</w:t>
      </w:r>
      <w:r>
        <w:t>.</w:t>
      </w:r>
    </w:p>
    <w:p w14:paraId="730B8CC5" w14:textId="77777777" w:rsidR="00544798" w:rsidRDefault="00544798" w:rsidP="00926EB3">
      <w:pPr>
        <w:pStyle w:val="ListParagraph"/>
        <w:numPr>
          <w:ilvl w:val="0"/>
          <w:numId w:val="122"/>
        </w:numPr>
      </w:pPr>
      <w:r w:rsidRPr="002A286B">
        <w:t>Type: Secondary</w:t>
      </w:r>
      <w:r>
        <w:t>.</w:t>
      </w:r>
    </w:p>
    <w:p w14:paraId="1D244406" w14:textId="77777777" w:rsidR="00544798" w:rsidRDefault="00544798" w:rsidP="00926EB3">
      <w:pPr>
        <w:pStyle w:val="ListParagraph"/>
        <w:numPr>
          <w:ilvl w:val="0"/>
          <w:numId w:val="122"/>
        </w:numPr>
      </w:pPr>
      <w:r w:rsidRPr="002A286B">
        <w:t>Overview: The National Emissions Inventory (NEI) is a comprehensive and detailed estimate of air emissions of criteria pollutants, criteria precursors, and hazardous air pollutants from air emissions sources. The NEI is released every three years based primarily upon data provided by State, Local, and Tribal air agencies for sources in their jurisdictions and supplemented by data developed by the US EPA. The NEI is built using the Emissions Inventory System (EIS) first to collect the data from State, Local, and Tribal air agencies and then to blend that data with other data sources.</w:t>
      </w:r>
    </w:p>
    <w:p w14:paraId="13526795" w14:textId="77777777" w:rsidR="00544798" w:rsidRDefault="00544798" w:rsidP="00926EB3">
      <w:pPr>
        <w:pStyle w:val="ListParagraph"/>
        <w:numPr>
          <w:ilvl w:val="0"/>
          <w:numId w:val="122"/>
        </w:numPr>
      </w:pPr>
      <w:r w:rsidRPr="002A286B">
        <w:t>Strength(s): Multiple rounds of data quality checks to ensure accuracy. Looks at state, local, and tribal air agencies.</w:t>
      </w:r>
    </w:p>
    <w:p w14:paraId="5B5C8AF4" w14:textId="77777777" w:rsidR="00544798" w:rsidRDefault="00544798" w:rsidP="00926EB3">
      <w:pPr>
        <w:pStyle w:val="ListParagraph"/>
        <w:numPr>
          <w:ilvl w:val="0"/>
          <w:numId w:val="122"/>
        </w:numPr>
      </w:pPr>
      <w:r w:rsidRPr="002A286B">
        <w:t>Limitation(s): Released every three years.</w:t>
      </w:r>
    </w:p>
    <w:p w14:paraId="084BABF4" w14:textId="77777777" w:rsidR="00544798" w:rsidRPr="002A286B" w:rsidRDefault="00544798" w:rsidP="00926EB3">
      <w:pPr>
        <w:pStyle w:val="ListParagraph"/>
        <w:numPr>
          <w:ilvl w:val="0"/>
          <w:numId w:val="122"/>
        </w:numPr>
      </w:pPr>
      <w:r w:rsidRPr="002A286B">
        <w:t xml:space="preserve">Access: </w:t>
      </w:r>
      <w:hyperlink r:id="rId610" w:history="1">
        <w:r w:rsidRPr="00777B52">
          <w:rPr>
            <w:rStyle w:val="Hyperlink"/>
          </w:rPr>
          <w:t>US EPA National Emissions Inventory website.</w:t>
        </w:r>
      </w:hyperlink>
    </w:p>
    <w:p w14:paraId="5A10660A" w14:textId="77777777" w:rsidR="00544798" w:rsidRPr="002A286B" w:rsidRDefault="00544798" w:rsidP="00544798"/>
    <w:p w14:paraId="42276287" w14:textId="77777777" w:rsidR="00544798" w:rsidRPr="002A286B" w:rsidRDefault="00544798" w:rsidP="00544798">
      <w:pPr>
        <w:pStyle w:val="Heading5"/>
      </w:pPr>
      <w:r w:rsidRPr="002A286B">
        <w:t>Where You Live Matters: Maternity Care Deserts and the Crisis of Access and Equity in South Carolina.</w:t>
      </w:r>
    </w:p>
    <w:p w14:paraId="7BFBA729" w14:textId="77777777" w:rsidR="00544798" w:rsidRDefault="00544798" w:rsidP="00926EB3">
      <w:pPr>
        <w:pStyle w:val="ListParagraph"/>
        <w:numPr>
          <w:ilvl w:val="0"/>
          <w:numId w:val="123"/>
        </w:numPr>
      </w:pPr>
      <w:r w:rsidRPr="002A286B">
        <w:t>Owner: March of Dimes</w:t>
      </w:r>
      <w:r>
        <w:t>.</w:t>
      </w:r>
    </w:p>
    <w:p w14:paraId="0048D319" w14:textId="77777777" w:rsidR="00544798" w:rsidRDefault="00544798" w:rsidP="00926EB3">
      <w:pPr>
        <w:pStyle w:val="ListParagraph"/>
        <w:numPr>
          <w:ilvl w:val="0"/>
          <w:numId w:val="123"/>
        </w:numPr>
      </w:pPr>
      <w:r w:rsidRPr="002A286B">
        <w:t>Type: Secondary</w:t>
      </w:r>
      <w:r>
        <w:t>.</w:t>
      </w:r>
    </w:p>
    <w:p w14:paraId="04D71BA9" w14:textId="77777777" w:rsidR="00544798" w:rsidRDefault="00544798" w:rsidP="00926EB3">
      <w:pPr>
        <w:pStyle w:val="ListParagraph"/>
        <w:numPr>
          <w:ilvl w:val="0"/>
          <w:numId w:val="123"/>
        </w:numPr>
      </w:pPr>
      <w:r w:rsidRPr="002A286B">
        <w:t xml:space="preserve">Overview: This report presents data on several important factors: levels of maternity care access and maternity care deserts by county; distance to birthing hospitals; availability of family planning services; community level factors associated with prenatal care usage as well as the burden and consequences of chronic health conditions across the state. While not an exhaustive list, each of these topics contribute to the complexity of maternity care access in each state. </w:t>
      </w:r>
    </w:p>
    <w:p w14:paraId="4B4CD100" w14:textId="77777777" w:rsidR="00544798" w:rsidRDefault="00544798" w:rsidP="00926EB3">
      <w:pPr>
        <w:pStyle w:val="ListParagraph"/>
        <w:numPr>
          <w:ilvl w:val="0"/>
          <w:numId w:val="123"/>
        </w:numPr>
      </w:pPr>
      <w:r w:rsidRPr="002A286B">
        <w:t xml:space="preserve">Strength(s): Working to improve access to maternity care by bringing awareness to maternity care deserts and other factors that limit access is </w:t>
      </w:r>
      <w:r w:rsidRPr="002A286B">
        <w:lastRenderedPageBreak/>
        <w:t>one way in which March of Dimes strives to reduce preventable maternal mortality and morbidity for all pregnant people.</w:t>
      </w:r>
    </w:p>
    <w:p w14:paraId="5CFAD476" w14:textId="77777777" w:rsidR="00544798" w:rsidRDefault="00544798" w:rsidP="00926EB3">
      <w:pPr>
        <w:pStyle w:val="ListParagraph"/>
        <w:numPr>
          <w:ilvl w:val="0"/>
          <w:numId w:val="123"/>
        </w:numPr>
      </w:pPr>
      <w:r w:rsidRPr="002A286B">
        <w:t>Limitation(s): The data presented is not an exhaustive list, but each topic contributes to the complexity of maternity care access in the state.</w:t>
      </w:r>
    </w:p>
    <w:p w14:paraId="1DB5964D" w14:textId="77777777" w:rsidR="00544798" w:rsidRPr="002A286B" w:rsidRDefault="00544798" w:rsidP="00926EB3">
      <w:pPr>
        <w:pStyle w:val="ListParagraph"/>
        <w:numPr>
          <w:ilvl w:val="0"/>
          <w:numId w:val="123"/>
        </w:numPr>
      </w:pPr>
      <w:r w:rsidRPr="002A286B">
        <w:t xml:space="preserve">Access: </w:t>
      </w:r>
      <w:hyperlink r:id="rId611" w:history="1">
        <w:r w:rsidRPr="00777B52">
          <w:rPr>
            <w:rStyle w:val="Hyperlink"/>
          </w:rPr>
          <w:t>March of Dimes, Where You Live Matters: Maternity Care Deserts and the Crisis of Access and Equity website.</w:t>
        </w:r>
      </w:hyperlink>
    </w:p>
    <w:p w14:paraId="5A53BCDF" w14:textId="77777777" w:rsidR="00544798" w:rsidRPr="002A286B" w:rsidRDefault="00544798" w:rsidP="00544798"/>
    <w:p w14:paraId="598199FE" w14:textId="77777777" w:rsidR="00544798" w:rsidRPr="00777B52" w:rsidRDefault="00544798" w:rsidP="00544798">
      <w:pPr>
        <w:pStyle w:val="Heading5"/>
      </w:pPr>
      <w:r w:rsidRPr="00777B52">
        <w:t>Women, Infant, and Children (WIC)</w:t>
      </w:r>
    </w:p>
    <w:p w14:paraId="5BFD7D17" w14:textId="77777777" w:rsidR="00544798" w:rsidRDefault="00544798" w:rsidP="00926EB3">
      <w:pPr>
        <w:pStyle w:val="ListParagraph"/>
        <w:numPr>
          <w:ilvl w:val="0"/>
          <w:numId w:val="124"/>
        </w:numPr>
      </w:pPr>
      <w:r w:rsidRPr="002A286B">
        <w:t>Owner: SCDHEC, USDA</w:t>
      </w:r>
      <w:r>
        <w:t>.</w:t>
      </w:r>
    </w:p>
    <w:p w14:paraId="26B4B0B3" w14:textId="77777777" w:rsidR="00544798" w:rsidRDefault="00544798" w:rsidP="00926EB3">
      <w:pPr>
        <w:pStyle w:val="ListParagraph"/>
        <w:numPr>
          <w:ilvl w:val="0"/>
          <w:numId w:val="124"/>
        </w:numPr>
      </w:pPr>
      <w:r w:rsidRPr="002A286B">
        <w:t>Type: Primary</w:t>
      </w:r>
      <w:r>
        <w:t>.</w:t>
      </w:r>
    </w:p>
    <w:p w14:paraId="7CEB9898" w14:textId="77777777" w:rsidR="00544798" w:rsidRDefault="00544798" w:rsidP="00926EB3">
      <w:pPr>
        <w:pStyle w:val="ListParagraph"/>
        <w:numPr>
          <w:ilvl w:val="0"/>
          <w:numId w:val="124"/>
        </w:numPr>
      </w:pPr>
      <w:r w:rsidRPr="002A286B">
        <w:t>Overview: WIC is a nutrition program that provides health education, healthy foods, breastfeeding support, and other services at no cost to South Carolina families who qualify</w:t>
      </w:r>
      <w:r>
        <w:t>.</w:t>
      </w:r>
    </w:p>
    <w:p w14:paraId="7549E9B0" w14:textId="77777777" w:rsidR="00544798" w:rsidRDefault="00544798" w:rsidP="00926EB3">
      <w:pPr>
        <w:pStyle w:val="ListParagraph"/>
        <w:numPr>
          <w:ilvl w:val="0"/>
          <w:numId w:val="124"/>
        </w:numPr>
      </w:pPr>
      <w:r w:rsidRPr="002A286B">
        <w:t>Strength(s): The WIC program is a reliable source of information for nutrition assistance for low-income pregnant women, breastfeeding mothers, infants, and children up to age 5 who are at nutritional risk in the United States of America.</w:t>
      </w:r>
    </w:p>
    <w:p w14:paraId="2F97097D" w14:textId="77777777" w:rsidR="00544798" w:rsidRDefault="00544798" w:rsidP="00926EB3">
      <w:pPr>
        <w:pStyle w:val="ListParagraph"/>
        <w:numPr>
          <w:ilvl w:val="0"/>
          <w:numId w:val="124"/>
        </w:numPr>
      </w:pPr>
      <w:r w:rsidRPr="002A286B">
        <w:t>Limitation(s): The limitation of this data</w:t>
      </w:r>
      <w:r>
        <w:t>set</w:t>
      </w:r>
      <w:r w:rsidRPr="002A286B">
        <w:t xml:space="preserve"> is that it may not be suitable for all research purposes.</w:t>
      </w:r>
    </w:p>
    <w:p w14:paraId="5053C053" w14:textId="77777777" w:rsidR="00544798" w:rsidRPr="002A286B" w:rsidRDefault="00544798" w:rsidP="00926EB3">
      <w:pPr>
        <w:pStyle w:val="ListParagraph"/>
        <w:numPr>
          <w:ilvl w:val="0"/>
          <w:numId w:val="124"/>
        </w:numPr>
      </w:pPr>
      <w:r w:rsidRPr="002A286B">
        <w:t xml:space="preserve">Access: </w:t>
      </w:r>
      <w:hyperlink r:id="rId612" w:history="1">
        <w:r w:rsidRPr="00777B52">
          <w:rPr>
            <w:rStyle w:val="Hyperlink"/>
          </w:rPr>
          <w:t>SC DHEC, Women, Infants and Children (WIC) Nutrition Program website.</w:t>
        </w:r>
      </w:hyperlink>
    </w:p>
    <w:p w14:paraId="380607AB" w14:textId="77777777" w:rsidR="00544798" w:rsidRPr="002A286B" w:rsidRDefault="00544798" w:rsidP="00544798"/>
    <w:p w14:paraId="5A610AF4" w14:textId="77777777" w:rsidR="00544798" w:rsidRPr="00777B52" w:rsidRDefault="00544798" w:rsidP="00544798">
      <w:pPr>
        <w:pStyle w:val="Heading5"/>
      </w:pPr>
      <w:r w:rsidRPr="00777B52">
        <w:t>Youth Risk Behavior Surveillance System (YRBSS)</w:t>
      </w:r>
    </w:p>
    <w:p w14:paraId="57EE18B1" w14:textId="77777777" w:rsidR="00544798" w:rsidRDefault="00544798" w:rsidP="00926EB3">
      <w:pPr>
        <w:pStyle w:val="ListParagraph"/>
        <w:numPr>
          <w:ilvl w:val="0"/>
          <w:numId w:val="125"/>
        </w:numPr>
      </w:pPr>
      <w:r w:rsidRPr="002A286B">
        <w:t>Owner: SC Department of Education, CDC</w:t>
      </w:r>
      <w:r>
        <w:t>.</w:t>
      </w:r>
    </w:p>
    <w:p w14:paraId="64362746" w14:textId="77777777" w:rsidR="00544798" w:rsidRDefault="00544798" w:rsidP="00926EB3">
      <w:pPr>
        <w:pStyle w:val="ListParagraph"/>
        <w:numPr>
          <w:ilvl w:val="0"/>
          <w:numId w:val="125"/>
        </w:numPr>
      </w:pPr>
      <w:r w:rsidRPr="002A286B">
        <w:t>Type: Secondary</w:t>
      </w:r>
      <w:r>
        <w:t>.</w:t>
      </w:r>
    </w:p>
    <w:p w14:paraId="0C8D94A1" w14:textId="77777777" w:rsidR="00544798" w:rsidRDefault="00544798" w:rsidP="00926EB3">
      <w:pPr>
        <w:pStyle w:val="ListParagraph"/>
        <w:numPr>
          <w:ilvl w:val="0"/>
          <w:numId w:val="125"/>
        </w:numPr>
      </w:pPr>
      <w:r w:rsidRPr="002A286B">
        <w:t xml:space="preserve">Overview: YRBSS is a national school-based survey conducted by the CDC, gauging </w:t>
      </w:r>
      <w:proofErr w:type="gramStart"/>
      <w:r w:rsidRPr="002A286B">
        <w:t>health</w:t>
      </w:r>
      <w:proofErr w:type="gramEnd"/>
      <w:r w:rsidRPr="002A286B">
        <w:t xml:space="preserve"> and behavioral indicators from the youth nationwide.</w:t>
      </w:r>
    </w:p>
    <w:p w14:paraId="2E8BA30E" w14:textId="77777777" w:rsidR="00544798" w:rsidRDefault="00544798" w:rsidP="00926EB3">
      <w:pPr>
        <w:pStyle w:val="ListParagraph"/>
        <w:numPr>
          <w:ilvl w:val="0"/>
          <w:numId w:val="125"/>
        </w:numPr>
      </w:pPr>
      <w:r w:rsidRPr="002A286B">
        <w:t>Strength(s): YRBSS collects a wide range of demographic and health related data. Like BRFSS, SC state data can be compared with other states. Allows for the ability to track trends over time. Allows states to add a small subset of questions.</w:t>
      </w:r>
    </w:p>
    <w:p w14:paraId="3DFB1D43" w14:textId="77777777" w:rsidR="00544798" w:rsidRDefault="00544798" w:rsidP="00926EB3">
      <w:pPr>
        <w:pStyle w:val="ListParagraph"/>
        <w:numPr>
          <w:ilvl w:val="0"/>
          <w:numId w:val="125"/>
        </w:numPr>
      </w:pPr>
      <w:r w:rsidRPr="002A286B">
        <w:t>Limitation(s): Self-reported data, anonymous, cannot be linked with other databases. It lacks the ability to gather detailed information on chronic disease risk factors. Due to sampling design, it is only generalizable to public high school students. Due to small sample sizes county and zip code level data are sometimes impossible.</w:t>
      </w:r>
    </w:p>
    <w:p w14:paraId="03F50400" w14:textId="51999CDF" w:rsidR="00544798" w:rsidRPr="00544798" w:rsidRDefault="00544798" w:rsidP="00926EB3">
      <w:pPr>
        <w:pStyle w:val="ListParagraph"/>
        <w:numPr>
          <w:ilvl w:val="0"/>
          <w:numId w:val="125"/>
        </w:numPr>
      </w:pPr>
      <w:r>
        <w:t xml:space="preserve">Access: </w:t>
      </w:r>
      <w:hyperlink r:id="rId613" w:history="1">
        <w:r w:rsidRPr="00777B52">
          <w:rPr>
            <w:rStyle w:val="Hyperlink"/>
          </w:rPr>
          <w:t>CDC, Youth Risk Behavior Surveillance System website.</w:t>
        </w:r>
      </w:hyperlink>
      <w:bookmarkStart w:id="1131" w:name="_Toc154569738"/>
    </w:p>
    <w:p w14:paraId="41CC42F6" w14:textId="1122ED44" w:rsidR="00544798" w:rsidRDefault="00544798" w:rsidP="00544798">
      <w:pPr>
        <w:pStyle w:val="Heading3"/>
      </w:pPr>
      <w:bookmarkStart w:id="1132" w:name="_Toc162267769"/>
      <w:r>
        <w:lastRenderedPageBreak/>
        <w:t>Appendix F: Asset Inventory</w:t>
      </w:r>
      <w:bookmarkEnd w:id="1131"/>
      <w:bookmarkEnd w:id="1132"/>
    </w:p>
    <w:p w14:paraId="123FA63B" w14:textId="0D23EB62" w:rsidR="00544798" w:rsidRDefault="00544798" w:rsidP="00544798">
      <w:pPr>
        <w:pStyle w:val="Heading4"/>
      </w:pPr>
      <w:bookmarkStart w:id="1133" w:name="_Toc154569739"/>
      <w:bookmarkStart w:id="1134" w:name="_Toc162267770"/>
      <w:r w:rsidRPr="00B875B2">
        <w:t>Equity</w:t>
      </w:r>
      <w:bookmarkEnd w:id="1133"/>
      <w:bookmarkEnd w:id="1134"/>
      <w:r w:rsidRPr="00B875B2">
        <w:t xml:space="preserve"> </w:t>
      </w:r>
    </w:p>
    <w:p w14:paraId="2ED8D64A" w14:textId="77777777" w:rsidR="00544798" w:rsidRPr="00B875B2" w:rsidRDefault="00544798" w:rsidP="00544798">
      <w:r w:rsidRPr="00B875B2">
        <w:rPr>
          <w:rStyle w:val="Heading5Char"/>
        </w:rPr>
        <w:t>Alliance for a Healthier South Carolina:</w:t>
      </w:r>
      <w:r w:rsidRPr="00B875B2">
        <w:t xml:space="preserve"> This is a coalition of over 50 state and community leaders and organizations working together to improve the health and well-being of all South Carolinians, with a focus on health equity-based goals.</w:t>
      </w:r>
    </w:p>
    <w:p w14:paraId="4FA198D8" w14:textId="77777777" w:rsidR="00544798" w:rsidRPr="00B875B2" w:rsidRDefault="00544798" w:rsidP="00926EB3">
      <w:pPr>
        <w:pStyle w:val="ListParagraph"/>
        <w:numPr>
          <w:ilvl w:val="0"/>
          <w:numId w:val="126"/>
        </w:numPr>
      </w:pPr>
      <w:r w:rsidRPr="00B875B2">
        <w:t>Reach: Statewide</w:t>
      </w:r>
    </w:p>
    <w:p w14:paraId="057166A5" w14:textId="77777777" w:rsidR="00544798" w:rsidRPr="00B875B2" w:rsidRDefault="00000000" w:rsidP="00926EB3">
      <w:pPr>
        <w:pStyle w:val="ListParagraph"/>
        <w:numPr>
          <w:ilvl w:val="0"/>
          <w:numId w:val="126"/>
        </w:numPr>
      </w:pPr>
      <w:hyperlink r:id="rId614" w:history="1">
        <w:r w:rsidR="00544798" w:rsidRPr="00B875B2">
          <w:rPr>
            <w:rStyle w:val="Hyperlink"/>
          </w:rPr>
          <w:t>Contact via Alliance for a Healthier South Carolina website.</w:t>
        </w:r>
      </w:hyperlink>
    </w:p>
    <w:p w14:paraId="6A7B890D" w14:textId="77777777" w:rsidR="00544798" w:rsidRPr="00B875B2" w:rsidRDefault="00544798" w:rsidP="00544798"/>
    <w:p w14:paraId="2045B202" w14:textId="7F364880" w:rsidR="00544798" w:rsidRPr="00B875B2" w:rsidRDefault="00544798" w:rsidP="00544798">
      <w:r w:rsidRPr="00B875B2">
        <w:rPr>
          <w:rStyle w:val="Heading5Char"/>
        </w:rPr>
        <w:t>S</w:t>
      </w:r>
      <w:r w:rsidR="0087480F">
        <w:rPr>
          <w:rStyle w:val="Heading5Char"/>
        </w:rPr>
        <w:t xml:space="preserve">outh </w:t>
      </w:r>
      <w:r w:rsidRPr="00B875B2">
        <w:rPr>
          <w:rStyle w:val="Heading5Char"/>
        </w:rPr>
        <w:t>C</w:t>
      </w:r>
      <w:r w:rsidR="0087480F">
        <w:rPr>
          <w:rStyle w:val="Heading5Char"/>
        </w:rPr>
        <w:t>arolina</w:t>
      </w:r>
      <w:r w:rsidRPr="00B875B2">
        <w:rPr>
          <w:rStyle w:val="Heading5Char"/>
        </w:rPr>
        <w:t xml:space="preserve"> Office of Rural Health:</w:t>
      </w:r>
      <w:r w:rsidRPr="00B875B2">
        <w:t xml:space="preserve"> The South Carolina Office of Rural Health is a non-profit organization with a mission to close the gap in health status between rural and urban communities. </w:t>
      </w:r>
      <w:r w:rsidRPr="00B875B2">
        <w:tab/>
      </w:r>
    </w:p>
    <w:p w14:paraId="2CCABAFD" w14:textId="77777777" w:rsidR="00544798" w:rsidRPr="00B875B2" w:rsidRDefault="00544798" w:rsidP="00926EB3">
      <w:pPr>
        <w:pStyle w:val="ListParagraph"/>
        <w:numPr>
          <w:ilvl w:val="0"/>
          <w:numId w:val="127"/>
        </w:numPr>
      </w:pPr>
      <w:r w:rsidRPr="00B875B2">
        <w:t>Reach: Statewide</w:t>
      </w:r>
      <w:r w:rsidRPr="00B875B2">
        <w:tab/>
      </w:r>
    </w:p>
    <w:p w14:paraId="78744197" w14:textId="77777777" w:rsidR="00544798" w:rsidRPr="00B875B2" w:rsidRDefault="00000000" w:rsidP="00926EB3">
      <w:pPr>
        <w:pStyle w:val="ListParagraph"/>
        <w:numPr>
          <w:ilvl w:val="0"/>
          <w:numId w:val="127"/>
        </w:numPr>
      </w:pPr>
      <w:hyperlink r:id="rId615" w:history="1">
        <w:r w:rsidR="00544798" w:rsidRPr="00B875B2">
          <w:rPr>
            <w:rStyle w:val="Hyperlink"/>
          </w:rPr>
          <w:t>Contact via SC Office of Rural Health website.</w:t>
        </w:r>
      </w:hyperlink>
    </w:p>
    <w:p w14:paraId="1F053B36" w14:textId="77777777" w:rsidR="00544798" w:rsidRPr="00B875B2" w:rsidRDefault="00544798" w:rsidP="00544798"/>
    <w:p w14:paraId="26BD5C1D" w14:textId="77777777" w:rsidR="00544798" w:rsidRPr="00B875B2" w:rsidRDefault="00544798" w:rsidP="00544798">
      <w:r w:rsidRPr="00B875B2">
        <w:rPr>
          <w:rStyle w:val="Heading5Char"/>
        </w:rPr>
        <w:t>South Carolina Institute of Medicine &amp; Public Health:</w:t>
      </w:r>
      <w:r w:rsidRPr="00B875B2">
        <w:t xml:space="preserve"> The South Carolina Institute of Medicine &amp; Public Health (IMPH) is a nonpartisan, nonprofit organization working to collectively inform policy to improve health and health care in South Carolina. In conducting its work, IMPH takes a comprehensive approach to advancing health issues through data analysis and translation and collaborative engagement.</w:t>
      </w:r>
      <w:r w:rsidRPr="00B875B2">
        <w:tab/>
      </w:r>
    </w:p>
    <w:p w14:paraId="498381AD" w14:textId="77777777" w:rsidR="00544798" w:rsidRPr="00B875B2" w:rsidRDefault="00544798" w:rsidP="00926EB3">
      <w:pPr>
        <w:pStyle w:val="ListParagraph"/>
        <w:numPr>
          <w:ilvl w:val="0"/>
          <w:numId w:val="128"/>
        </w:numPr>
      </w:pPr>
      <w:r w:rsidRPr="00B875B2">
        <w:t>Reach: Statewide</w:t>
      </w:r>
      <w:r w:rsidRPr="00B875B2">
        <w:tab/>
      </w:r>
    </w:p>
    <w:p w14:paraId="5512AC14" w14:textId="77777777" w:rsidR="00544798" w:rsidRPr="00B875B2" w:rsidRDefault="00000000" w:rsidP="00926EB3">
      <w:pPr>
        <w:pStyle w:val="ListParagraph"/>
        <w:numPr>
          <w:ilvl w:val="0"/>
          <w:numId w:val="128"/>
        </w:numPr>
      </w:pPr>
      <w:hyperlink r:id="rId616" w:history="1">
        <w:r w:rsidR="00544798" w:rsidRPr="00B875B2">
          <w:rPr>
            <w:rStyle w:val="Hyperlink"/>
          </w:rPr>
          <w:t>Contact via South Carolina Institute of Medicine &amp; Public Health website.</w:t>
        </w:r>
      </w:hyperlink>
    </w:p>
    <w:p w14:paraId="48605A20" w14:textId="77777777" w:rsidR="00544798" w:rsidRPr="00B875B2" w:rsidRDefault="00544798" w:rsidP="00544798"/>
    <w:p w14:paraId="336E55D1" w14:textId="774EA0A8" w:rsidR="00544798" w:rsidRPr="00B875B2" w:rsidRDefault="00544798" w:rsidP="00544798">
      <w:r w:rsidRPr="00B875B2">
        <w:rPr>
          <w:rStyle w:val="Heading5Char"/>
        </w:rPr>
        <w:t>S</w:t>
      </w:r>
      <w:r w:rsidR="0087480F">
        <w:rPr>
          <w:rStyle w:val="Heading5Char"/>
        </w:rPr>
        <w:t xml:space="preserve">outh </w:t>
      </w:r>
      <w:r w:rsidRPr="00B875B2">
        <w:rPr>
          <w:rStyle w:val="Heading5Char"/>
        </w:rPr>
        <w:t>C</w:t>
      </w:r>
      <w:r w:rsidR="0087480F">
        <w:rPr>
          <w:rStyle w:val="Heading5Char"/>
        </w:rPr>
        <w:t>arolina</w:t>
      </w:r>
      <w:r w:rsidRPr="00B875B2">
        <w:rPr>
          <w:rStyle w:val="Heading5Char"/>
        </w:rPr>
        <w:t xml:space="preserve"> Dept of Health and Human Services:</w:t>
      </w:r>
      <w:r w:rsidRPr="00B875B2">
        <w:t xml:space="preserve"> This office works with low-income South Carolinians to help them secure medical care through Medicaid.</w:t>
      </w:r>
      <w:r w:rsidRPr="00B875B2">
        <w:tab/>
      </w:r>
    </w:p>
    <w:p w14:paraId="2ADF04C0" w14:textId="77777777" w:rsidR="00544798" w:rsidRPr="00B875B2" w:rsidRDefault="00544798" w:rsidP="00926EB3">
      <w:pPr>
        <w:pStyle w:val="ListParagraph"/>
        <w:numPr>
          <w:ilvl w:val="0"/>
          <w:numId w:val="129"/>
        </w:numPr>
      </w:pPr>
      <w:r w:rsidRPr="00B875B2">
        <w:t>Reach: Statewide</w:t>
      </w:r>
    </w:p>
    <w:p w14:paraId="48C5FAB6" w14:textId="77777777" w:rsidR="00544798" w:rsidRPr="00B875B2" w:rsidRDefault="00000000" w:rsidP="00926EB3">
      <w:pPr>
        <w:pStyle w:val="ListParagraph"/>
        <w:numPr>
          <w:ilvl w:val="0"/>
          <w:numId w:val="129"/>
        </w:numPr>
      </w:pPr>
      <w:hyperlink r:id="rId617" w:history="1">
        <w:r w:rsidR="00544798" w:rsidRPr="00B875B2">
          <w:rPr>
            <w:rStyle w:val="Hyperlink"/>
          </w:rPr>
          <w:t>Contact via SC Dept of Health and Human Services website.</w:t>
        </w:r>
      </w:hyperlink>
    </w:p>
    <w:p w14:paraId="6E300476" w14:textId="77777777" w:rsidR="00544798" w:rsidRPr="00B875B2" w:rsidRDefault="00544798" w:rsidP="00544798"/>
    <w:p w14:paraId="432815BB" w14:textId="77777777" w:rsidR="00544798" w:rsidRPr="00B875B2" w:rsidRDefault="00544798" w:rsidP="00544798">
      <w:r w:rsidRPr="00B875B2">
        <w:rPr>
          <w:rStyle w:val="Heading5Char"/>
        </w:rPr>
        <w:t>Sisters of Charity Foundation of South Carolina:</w:t>
      </w:r>
      <w:r>
        <w:t xml:space="preserve"> </w:t>
      </w:r>
      <w:r w:rsidRPr="00B875B2">
        <w:t xml:space="preserve">The Sisters of Charity Foundation of South Carolina is a ministry of the Sisters of Charity Health System. In response to God’s call and the spirit of the Sisters of Charity of St. Augustine, the Foundation strategically uses resources to reduce poverty through action, </w:t>
      </w:r>
      <w:proofErr w:type="gramStart"/>
      <w:r w:rsidRPr="00B875B2">
        <w:t>advocacy</w:t>
      </w:r>
      <w:proofErr w:type="gramEnd"/>
      <w:r w:rsidRPr="00B875B2">
        <w:t xml:space="preserve"> and leadership.</w:t>
      </w:r>
    </w:p>
    <w:p w14:paraId="73D6924E" w14:textId="77777777" w:rsidR="00544798" w:rsidRPr="00B875B2" w:rsidRDefault="00544798" w:rsidP="00926EB3">
      <w:pPr>
        <w:pStyle w:val="ListParagraph"/>
        <w:numPr>
          <w:ilvl w:val="0"/>
          <w:numId w:val="130"/>
        </w:numPr>
      </w:pPr>
      <w:r w:rsidRPr="00B875B2">
        <w:t>Reach: Statewide</w:t>
      </w:r>
      <w:r w:rsidRPr="00B875B2">
        <w:tab/>
      </w:r>
    </w:p>
    <w:p w14:paraId="09B79F58" w14:textId="77777777" w:rsidR="00544798" w:rsidRPr="00B875B2" w:rsidRDefault="00000000" w:rsidP="00926EB3">
      <w:pPr>
        <w:pStyle w:val="ListParagraph"/>
        <w:numPr>
          <w:ilvl w:val="0"/>
          <w:numId w:val="130"/>
        </w:numPr>
        <w:rPr>
          <w:u w:val="thick"/>
        </w:rPr>
      </w:pPr>
      <w:hyperlink r:id="rId618" w:history="1">
        <w:r w:rsidR="00544798" w:rsidRPr="00B875B2">
          <w:rPr>
            <w:rStyle w:val="Hyperlink"/>
          </w:rPr>
          <w:t>Contact via Sisters of Charity website.</w:t>
        </w:r>
      </w:hyperlink>
    </w:p>
    <w:p w14:paraId="6468A0BF" w14:textId="77777777" w:rsidR="00544798" w:rsidRPr="00B875B2" w:rsidRDefault="00544798" w:rsidP="00544798"/>
    <w:p w14:paraId="1CEBBEEB" w14:textId="3A4D1641" w:rsidR="00544798" w:rsidRPr="00B875B2" w:rsidRDefault="00544798" w:rsidP="00544798">
      <w:r w:rsidRPr="00B875B2">
        <w:rPr>
          <w:rStyle w:val="Heading5Char"/>
        </w:rPr>
        <w:lastRenderedPageBreak/>
        <w:t>Center for Community Health Alignment:</w:t>
      </w:r>
      <w:r w:rsidRPr="00B875B2">
        <w:t xml:space="preserve"> The Center for Community Health Alignment (CCHA) is a community focused organization within the USC Arnold School of Public Health. Our network of partners work alongside community leaders to align efforts addressing health inequities in South Carolina by bringing together three major initiatives: PASOs, the Community Health Worker Institute (CHWI), and Equity through Meaningful Community Engagement (EMCE).</w:t>
      </w:r>
    </w:p>
    <w:p w14:paraId="1B07F6B2" w14:textId="77777777" w:rsidR="00544798" w:rsidRPr="00B875B2" w:rsidRDefault="00544798" w:rsidP="00926EB3">
      <w:pPr>
        <w:pStyle w:val="ListParagraph"/>
        <w:numPr>
          <w:ilvl w:val="0"/>
          <w:numId w:val="131"/>
        </w:numPr>
      </w:pPr>
      <w:r w:rsidRPr="00B875B2">
        <w:t>Reach: Statewide</w:t>
      </w:r>
    </w:p>
    <w:p w14:paraId="1B8FBC6B" w14:textId="77777777" w:rsidR="00544798" w:rsidRPr="00B875B2" w:rsidRDefault="00000000" w:rsidP="00926EB3">
      <w:pPr>
        <w:pStyle w:val="ListParagraph"/>
        <w:numPr>
          <w:ilvl w:val="0"/>
          <w:numId w:val="131"/>
        </w:numPr>
      </w:pPr>
      <w:hyperlink r:id="rId619" w:history="1">
        <w:r w:rsidR="00544798" w:rsidRPr="00B875B2">
          <w:rPr>
            <w:rStyle w:val="Hyperlink"/>
          </w:rPr>
          <w:t>Contact via Center for Community Health Alignment website</w:t>
        </w:r>
      </w:hyperlink>
      <w:r w:rsidR="00544798">
        <w:t>.</w:t>
      </w:r>
    </w:p>
    <w:p w14:paraId="743C1FB9" w14:textId="77777777" w:rsidR="00544798" w:rsidRPr="00B875B2" w:rsidRDefault="00544798" w:rsidP="00544798"/>
    <w:p w14:paraId="4199E7A8" w14:textId="04660269" w:rsidR="00544798" w:rsidRPr="00B875B2" w:rsidRDefault="00544798" w:rsidP="00544798">
      <w:r w:rsidRPr="00B875B2">
        <w:rPr>
          <w:rStyle w:val="Heading5Char"/>
        </w:rPr>
        <w:t>S</w:t>
      </w:r>
      <w:r w:rsidR="0087480F">
        <w:rPr>
          <w:rStyle w:val="Heading5Char"/>
        </w:rPr>
        <w:t xml:space="preserve">outh </w:t>
      </w:r>
      <w:r w:rsidRPr="00B875B2">
        <w:rPr>
          <w:rStyle w:val="Heading5Char"/>
        </w:rPr>
        <w:t>C</w:t>
      </w:r>
      <w:r w:rsidR="0087480F">
        <w:rPr>
          <w:rStyle w:val="Heading5Char"/>
        </w:rPr>
        <w:t>arolina</w:t>
      </w:r>
      <w:r w:rsidRPr="00B875B2">
        <w:rPr>
          <w:rStyle w:val="Heading5Char"/>
        </w:rPr>
        <w:t xml:space="preserve"> Developmental Disabilities Council:</w:t>
      </w:r>
      <w:r w:rsidRPr="00B875B2">
        <w:t xml:space="preserve"> The mission of the South Carolina Developmental Disabilities Council is to provide leadership in planning, funding, and implementing initiatives that lead to improved quality of life for people with developmental disabilities and their families through advocacy, capacity building, and systemic change. The Council engages in community services, individualized support, and other forms of assistance that promote self-determination for individuals with developmental disabilities and their families.</w:t>
      </w:r>
    </w:p>
    <w:p w14:paraId="4858DDA4" w14:textId="77777777" w:rsidR="00544798" w:rsidRPr="00B875B2" w:rsidRDefault="00544798" w:rsidP="00926EB3">
      <w:pPr>
        <w:pStyle w:val="ListParagraph"/>
        <w:numPr>
          <w:ilvl w:val="0"/>
          <w:numId w:val="132"/>
        </w:numPr>
      </w:pPr>
      <w:r w:rsidRPr="00B875B2">
        <w:t>Reach: Statewide</w:t>
      </w:r>
    </w:p>
    <w:p w14:paraId="143BAC9B" w14:textId="77777777" w:rsidR="00544798" w:rsidRPr="00B875B2" w:rsidRDefault="00000000" w:rsidP="00926EB3">
      <w:pPr>
        <w:pStyle w:val="ListParagraph"/>
        <w:numPr>
          <w:ilvl w:val="0"/>
          <w:numId w:val="132"/>
        </w:numPr>
      </w:pPr>
      <w:hyperlink r:id="rId620" w:history="1">
        <w:r w:rsidR="00544798" w:rsidRPr="00B875B2">
          <w:rPr>
            <w:rStyle w:val="Hyperlink"/>
          </w:rPr>
          <w:t>Contact via SC Developmental Disabilities Council website.</w:t>
        </w:r>
      </w:hyperlink>
      <w:r w:rsidR="00544798">
        <w:t xml:space="preserve"> </w:t>
      </w:r>
    </w:p>
    <w:p w14:paraId="5059697C" w14:textId="77777777" w:rsidR="00544798" w:rsidRPr="00B875B2" w:rsidRDefault="00544798" w:rsidP="00544798"/>
    <w:p w14:paraId="11309636" w14:textId="77777777" w:rsidR="00544798" w:rsidRPr="00B875B2" w:rsidRDefault="00544798" w:rsidP="00544798">
      <w:r w:rsidRPr="00B875B2">
        <w:rPr>
          <w:rStyle w:val="Heading5Char"/>
        </w:rPr>
        <w:t>South Carolina Food Policy Council:</w:t>
      </w:r>
      <w:r>
        <w:t xml:space="preserve"> </w:t>
      </w:r>
      <w:r w:rsidRPr="00B875B2">
        <w:t>The mission of the South Carolina Food Policy Council is to build an equitable, accessible, and economically diverse, local food system in South Carolina by promoting multi-sectoral collaboration, community-based programming, and policy change.</w:t>
      </w:r>
    </w:p>
    <w:p w14:paraId="0FFF5921" w14:textId="77777777" w:rsidR="00544798" w:rsidRPr="00B875B2" w:rsidRDefault="00544798" w:rsidP="00926EB3">
      <w:pPr>
        <w:pStyle w:val="ListParagraph"/>
        <w:numPr>
          <w:ilvl w:val="0"/>
          <w:numId w:val="133"/>
        </w:numPr>
      </w:pPr>
      <w:r w:rsidRPr="00B875B2">
        <w:t>Reach: Statewide</w:t>
      </w:r>
    </w:p>
    <w:p w14:paraId="520B13B7" w14:textId="77777777" w:rsidR="00544798" w:rsidRPr="00B875B2" w:rsidRDefault="00000000" w:rsidP="00926EB3">
      <w:pPr>
        <w:pStyle w:val="ListParagraph"/>
        <w:numPr>
          <w:ilvl w:val="0"/>
          <w:numId w:val="133"/>
        </w:numPr>
      </w:pPr>
      <w:hyperlink r:id="rId621" w:history="1">
        <w:r w:rsidR="00544798" w:rsidRPr="00B875B2">
          <w:rPr>
            <w:rStyle w:val="Hyperlink"/>
          </w:rPr>
          <w:t>Contact via South Carolina Food Policy Council website.</w:t>
        </w:r>
      </w:hyperlink>
    </w:p>
    <w:p w14:paraId="0E002D53" w14:textId="77777777" w:rsidR="00544798" w:rsidRPr="00B875B2" w:rsidRDefault="00544798" w:rsidP="00544798"/>
    <w:p w14:paraId="37D77476" w14:textId="77777777" w:rsidR="00544798" w:rsidRPr="00B875B2" w:rsidRDefault="00544798" w:rsidP="00544798">
      <w:r w:rsidRPr="00B875B2">
        <w:rPr>
          <w:rStyle w:val="Heading5Char"/>
        </w:rPr>
        <w:t>South Carolina Department of Disabilities and Special Needs:</w:t>
      </w:r>
      <w:r w:rsidRPr="00B875B2">
        <w:t xml:space="preserve"> SCDDSN is the state agency that plans, develops, </w:t>
      </w:r>
      <w:proofErr w:type="gramStart"/>
      <w:r w:rsidRPr="00B875B2">
        <w:t>oversees</w:t>
      </w:r>
      <w:proofErr w:type="gramEnd"/>
      <w:r w:rsidRPr="00B875B2">
        <w:t xml:space="preserve"> and funds services for South Carolinians with severe, lifelong disabilities of intellectual disability, autism, traumatic brain injury, and spinal cord injury and conditions related to each of these four disabilities. SC DDSN offers both at-home services that enable individuals to remain in their own home and residential services.</w:t>
      </w:r>
    </w:p>
    <w:p w14:paraId="5F9BAC41" w14:textId="77777777" w:rsidR="00544798" w:rsidRPr="00B875B2" w:rsidRDefault="00544798" w:rsidP="00926EB3">
      <w:pPr>
        <w:pStyle w:val="ListParagraph"/>
        <w:numPr>
          <w:ilvl w:val="0"/>
          <w:numId w:val="134"/>
        </w:numPr>
      </w:pPr>
      <w:r w:rsidRPr="00B875B2">
        <w:t>Reach: Statewide</w:t>
      </w:r>
    </w:p>
    <w:p w14:paraId="722C2E33" w14:textId="77777777" w:rsidR="00544798" w:rsidRPr="00B875B2" w:rsidRDefault="00000000" w:rsidP="00926EB3">
      <w:pPr>
        <w:pStyle w:val="ListParagraph"/>
        <w:numPr>
          <w:ilvl w:val="0"/>
          <w:numId w:val="134"/>
        </w:numPr>
      </w:pPr>
      <w:hyperlink r:id="rId622" w:history="1">
        <w:r w:rsidR="00544798" w:rsidRPr="00B875B2">
          <w:rPr>
            <w:rStyle w:val="Hyperlink"/>
          </w:rPr>
          <w:t>Contact via South Carolina Department of Disabilities and Special Needs website.</w:t>
        </w:r>
      </w:hyperlink>
    </w:p>
    <w:p w14:paraId="23F54CA5" w14:textId="77777777" w:rsidR="00544798" w:rsidRDefault="00544798" w:rsidP="00544798"/>
    <w:p w14:paraId="148A21FF" w14:textId="77777777" w:rsidR="00544798" w:rsidRPr="00B875B2" w:rsidRDefault="00544798" w:rsidP="00544798">
      <w:r w:rsidRPr="00B875B2">
        <w:rPr>
          <w:rStyle w:val="Heading5Char"/>
        </w:rPr>
        <w:lastRenderedPageBreak/>
        <w:t>Able South Carolina:</w:t>
      </w:r>
      <w:r w:rsidRPr="00B875B2">
        <w:t xml:space="preserve"> Able SC is an organization of people with disabilities leading the charge to equip people with disabilities with tools to foster pride and to direct their own lives; educate the community to challenge stereotypes and eliminate barriers; and advocate for access, equity, and inclusion at the individual, local, state, and national level.</w:t>
      </w:r>
    </w:p>
    <w:p w14:paraId="1246F521" w14:textId="77777777" w:rsidR="00544798" w:rsidRPr="00B875B2" w:rsidRDefault="00544798" w:rsidP="00926EB3">
      <w:pPr>
        <w:pStyle w:val="ListParagraph"/>
        <w:numPr>
          <w:ilvl w:val="0"/>
          <w:numId w:val="135"/>
        </w:numPr>
      </w:pPr>
      <w:r w:rsidRPr="00B875B2">
        <w:t>Reach: Statewide</w:t>
      </w:r>
    </w:p>
    <w:p w14:paraId="47369D06" w14:textId="77777777" w:rsidR="00544798" w:rsidRPr="00B875B2" w:rsidRDefault="00000000" w:rsidP="00926EB3">
      <w:pPr>
        <w:pStyle w:val="ListParagraph"/>
        <w:numPr>
          <w:ilvl w:val="0"/>
          <w:numId w:val="135"/>
        </w:numPr>
      </w:pPr>
      <w:hyperlink r:id="rId623" w:history="1">
        <w:r w:rsidR="00544798" w:rsidRPr="00B875B2">
          <w:rPr>
            <w:rStyle w:val="Hyperlink"/>
          </w:rPr>
          <w:t>Contact via Able SC website.</w:t>
        </w:r>
      </w:hyperlink>
    </w:p>
    <w:p w14:paraId="1532C533" w14:textId="77777777" w:rsidR="00544798" w:rsidRPr="00B875B2" w:rsidRDefault="00544798" w:rsidP="00544798"/>
    <w:p w14:paraId="57C3FD15" w14:textId="7858482A" w:rsidR="00544798" w:rsidRPr="00B875B2" w:rsidRDefault="00544798" w:rsidP="00544798">
      <w:r w:rsidRPr="00B875B2">
        <w:rPr>
          <w:rStyle w:val="Heading5Char"/>
        </w:rPr>
        <w:t>S</w:t>
      </w:r>
      <w:r w:rsidR="0087480F">
        <w:rPr>
          <w:rStyle w:val="Heading5Char"/>
        </w:rPr>
        <w:t xml:space="preserve">outh </w:t>
      </w:r>
      <w:r w:rsidRPr="00B875B2">
        <w:rPr>
          <w:rStyle w:val="Heading5Char"/>
        </w:rPr>
        <w:t>C</w:t>
      </w:r>
      <w:r w:rsidR="0087480F">
        <w:rPr>
          <w:rStyle w:val="Heading5Char"/>
        </w:rPr>
        <w:t>arolina</w:t>
      </w:r>
      <w:r w:rsidRPr="00B875B2">
        <w:rPr>
          <w:rStyle w:val="Heading5Char"/>
        </w:rPr>
        <w:t xml:space="preserve"> Vocational Rehabilitation Department:</w:t>
      </w:r>
      <w:r w:rsidRPr="00B875B2">
        <w:t xml:space="preserve"> Provides rehabilitation services for people with disabilities. Serves eligible school-aged individuals </w:t>
      </w:r>
      <w:proofErr w:type="gramStart"/>
      <w:r w:rsidRPr="00B875B2">
        <w:t>in an effort to</w:t>
      </w:r>
      <w:proofErr w:type="gramEnd"/>
      <w:r w:rsidRPr="00B875B2">
        <w:t xml:space="preserve"> support their transition into the competitive work environment. Provides services to identify barriers to employment and develop behavior and compensatory strategies to improve their work-related performance.</w:t>
      </w:r>
    </w:p>
    <w:p w14:paraId="14D0FA61" w14:textId="77777777" w:rsidR="00544798" w:rsidRPr="00B875B2" w:rsidRDefault="00544798" w:rsidP="00926EB3">
      <w:pPr>
        <w:pStyle w:val="ListParagraph"/>
        <w:numPr>
          <w:ilvl w:val="0"/>
          <w:numId w:val="136"/>
        </w:numPr>
      </w:pPr>
      <w:r w:rsidRPr="00B875B2">
        <w:t>Reach: Statewide</w:t>
      </w:r>
    </w:p>
    <w:p w14:paraId="3022165C" w14:textId="77777777" w:rsidR="00544798" w:rsidRPr="00B875B2" w:rsidRDefault="00000000" w:rsidP="00926EB3">
      <w:pPr>
        <w:pStyle w:val="ListParagraph"/>
        <w:numPr>
          <w:ilvl w:val="0"/>
          <w:numId w:val="136"/>
        </w:numPr>
      </w:pPr>
      <w:hyperlink r:id="rId624" w:history="1">
        <w:r w:rsidR="00544798" w:rsidRPr="00B875B2">
          <w:rPr>
            <w:rStyle w:val="Hyperlink"/>
          </w:rPr>
          <w:t>Contact via SC Vocational Rehabilitation Department website.</w:t>
        </w:r>
      </w:hyperlink>
      <w:r w:rsidR="00544798">
        <w:t xml:space="preserve"> </w:t>
      </w:r>
    </w:p>
    <w:p w14:paraId="26C086F7" w14:textId="77777777" w:rsidR="00544798" w:rsidRPr="00B875B2" w:rsidRDefault="00544798" w:rsidP="00544798"/>
    <w:p w14:paraId="43066668" w14:textId="77777777" w:rsidR="00544798" w:rsidRPr="00B875B2" w:rsidRDefault="00544798" w:rsidP="00544798">
      <w:r w:rsidRPr="00B875B2">
        <w:rPr>
          <w:rStyle w:val="Heading5Char"/>
        </w:rPr>
        <w:t>SC Thrive:</w:t>
      </w:r>
      <w:r w:rsidRPr="00B875B2">
        <w:t xml:space="preserve"> SC Thrive connects people to crucial benefits — from food security and health care resources to financial wellness and more. We meet you where you are to provide easy access to the resources you need to have a better quality of life.</w:t>
      </w:r>
    </w:p>
    <w:p w14:paraId="679371DB" w14:textId="77777777" w:rsidR="00544798" w:rsidRPr="00B875B2" w:rsidRDefault="00544798" w:rsidP="00926EB3">
      <w:pPr>
        <w:pStyle w:val="ListParagraph"/>
        <w:numPr>
          <w:ilvl w:val="0"/>
          <w:numId w:val="137"/>
        </w:numPr>
      </w:pPr>
      <w:r w:rsidRPr="00B875B2">
        <w:t>Reach: Statewide</w:t>
      </w:r>
    </w:p>
    <w:p w14:paraId="1E83C2BD" w14:textId="77777777" w:rsidR="00544798" w:rsidRPr="00B875B2" w:rsidRDefault="00000000" w:rsidP="00926EB3">
      <w:pPr>
        <w:pStyle w:val="ListParagraph"/>
        <w:numPr>
          <w:ilvl w:val="0"/>
          <w:numId w:val="137"/>
        </w:numPr>
      </w:pPr>
      <w:hyperlink r:id="rId625" w:history="1">
        <w:r w:rsidR="00544798" w:rsidRPr="00B875B2">
          <w:rPr>
            <w:rStyle w:val="Hyperlink"/>
          </w:rPr>
          <w:t>Contact via SC Thrive website.</w:t>
        </w:r>
      </w:hyperlink>
    </w:p>
    <w:p w14:paraId="3FD2A0E1" w14:textId="77777777" w:rsidR="00544798" w:rsidRPr="00B875B2" w:rsidRDefault="00544798" w:rsidP="00544798"/>
    <w:p w14:paraId="0E72B7E0" w14:textId="77777777" w:rsidR="00544798" w:rsidRPr="00B875B2" w:rsidRDefault="00544798" w:rsidP="00544798">
      <w:r w:rsidRPr="00B875B2">
        <w:rPr>
          <w:rStyle w:val="Heading5Char"/>
        </w:rPr>
        <w:t>South Carolina Hospital Association:</w:t>
      </w:r>
      <w:r w:rsidRPr="00B875B2">
        <w:t xml:space="preserve"> The South Carolina Hospital Association is committed to making South Carolina one of the nation’s healthiest states by helping our hospitals and health systems provide the best care possible. We advocate for sound health care policies and legislation, facilitate collaboration to tackle problems that none of us could solve alone, </w:t>
      </w:r>
      <w:proofErr w:type="gramStart"/>
      <w:r w:rsidRPr="00B875B2">
        <w:t>find</w:t>
      </w:r>
      <w:proofErr w:type="gramEnd"/>
      <w:r w:rsidRPr="00B875B2">
        <w:t xml:space="preserve"> and share innovations and best practices, and provide data, education and business solutions to help our members better serve their patients and communities.</w:t>
      </w:r>
    </w:p>
    <w:p w14:paraId="6204C193" w14:textId="77777777" w:rsidR="00544798" w:rsidRPr="00B875B2" w:rsidRDefault="00544798" w:rsidP="00926EB3">
      <w:pPr>
        <w:pStyle w:val="ListParagraph"/>
        <w:numPr>
          <w:ilvl w:val="0"/>
          <w:numId w:val="138"/>
        </w:numPr>
      </w:pPr>
      <w:r w:rsidRPr="00B875B2">
        <w:t>Reach: Statewide</w:t>
      </w:r>
    </w:p>
    <w:p w14:paraId="6B82FCE4" w14:textId="77777777" w:rsidR="00544798" w:rsidRPr="00B875B2" w:rsidRDefault="00000000" w:rsidP="00926EB3">
      <w:pPr>
        <w:pStyle w:val="ListParagraph"/>
        <w:numPr>
          <w:ilvl w:val="0"/>
          <w:numId w:val="138"/>
        </w:numPr>
      </w:pPr>
      <w:hyperlink r:id="rId626" w:history="1">
        <w:r w:rsidR="00544798" w:rsidRPr="00B875B2">
          <w:rPr>
            <w:rStyle w:val="Hyperlink"/>
          </w:rPr>
          <w:t>Contact via SC Hospital Association website.</w:t>
        </w:r>
      </w:hyperlink>
    </w:p>
    <w:p w14:paraId="1B2CA487" w14:textId="77777777" w:rsidR="00544798" w:rsidRPr="00B875B2" w:rsidRDefault="00544798" w:rsidP="00544798"/>
    <w:p w14:paraId="0018FF2A" w14:textId="3609D64F" w:rsidR="00544798" w:rsidRPr="00B875B2" w:rsidRDefault="00544798" w:rsidP="00544798">
      <w:pPr>
        <w:pStyle w:val="Heading4"/>
      </w:pPr>
      <w:bookmarkStart w:id="1135" w:name="_Toc154569740"/>
      <w:bookmarkStart w:id="1136" w:name="_Toc162267771"/>
      <w:r w:rsidRPr="00B875B2">
        <w:t>Communities</w:t>
      </w:r>
      <w:bookmarkEnd w:id="1135"/>
      <w:bookmarkEnd w:id="1136"/>
      <w:r w:rsidRPr="00B875B2">
        <w:t xml:space="preserve"> </w:t>
      </w:r>
    </w:p>
    <w:p w14:paraId="5A01ACAC" w14:textId="1F889416" w:rsidR="00544798" w:rsidRPr="00B875B2" w:rsidRDefault="0087480F" w:rsidP="00544798">
      <w:r>
        <w:rPr>
          <w:rStyle w:val="Heading5Char"/>
        </w:rPr>
        <w:t>South Carolina Department of Health and Environmental Control</w:t>
      </w:r>
      <w:r w:rsidR="00544798" w:rsidRPr="00B875B2">
        <w:rPr>
          <w:rStyle w:val="Heading5Char"/>
        </w:rPr>
        <w:t xml:space="preserve"> (SC DHEC):</w:t>
      </w:r>
      <w:r w:rsidR="00544798" w:rsidRPr="00B875B2">
        <w:t xml:space="preserve"> The S</w:t>
      </w:r>
      <w:r>
        <w:t>C</w:t>
      </w:r>
      <w:r w:rsidR="00544798" w:rsidRPr="00B875B2">
        <w:t xml:space="preserve"> Department of Health and Environmental Control (DHEC) is the state government agency charged with protecting public health, coastal resources, and </w:t>
      </w:r>
      <w:r w:rsidR="00544798" w:rsidRPr="00B875B2">
        <w:lastRenderedPageBreak/>
        <w:t>the state's land, air and water quality as authorized under multiple state and federal laws. DHEC touches the life of every South Carolinian every day</w:t>
      </w:r>
      <w:r w:rsidR="00544798">
        <w:t>.</w:t>
      </w:r>
    </w:p>
    <w:p w14:paraId="0D4A2818" w14:textId="77777777" w:rsidR="00544798" w:rsidRPr="00B875B2" w:rsidRDefault="00544798" w:rsidP="00926EB3">
      <w:pPr>
        <w:pStyle w:val="ListParagraph"/>
        <w:numPr>
          <w:ilvl w:val="0"/>
          <w:numId w:val="139"/>
        </w:numPr>
      </w:pPr>
      <w:r w:rsidRPr="00B875B2">
        <w:t>Reach: Statewide</w:t>
      </w:r>
    </w:p>
    <w:p w14:paraId="70F0C728" w14:textId="77777777" w:rsidR="00544798" w:rsidRPr="00B875B2" w:rsidRDefault="00000000" w:rsidP="00926EB3">
      <w:pPr>
        <w:pStyle w:val="ListParagraph"/>
        <w:numPr>
          <w:ilvl w:val="0"/>
          <w:numId w:val="139"/>
        </w:numPr>
      </w:pPr>
      <w:hyperlink r:id="rId627" w:history="1">
        <w:r w:rsidR="00544798" w:rsidRPr="002402C0">
          <w:rPr>
            <w:rStyle w:val="Hyperlink"/>
          </w:rPr>
          <w:t>Contact via SC DHEC website.</w:t>
        </w:r>
      </w:hyperlink>
    </w:p>
    <w:p w14:paraId="60152A56" w14:textId="77777777" w:rsidR="00544798" w:rsidRPr="00B875B2" w:rsidRDefault="00544798" w:rsidP="00544798"/>
    <w:p w14:paraId="27061928" w14:textId="77777777" w:rsidR="00544798" w:rsidRPr="00B875B2" w:rsidRDefault="00544798" w:rsidP="00544798">
      <w:r w:rsidRPr="00B875B2">
        <w:rPr>
          <w:rStyle w:val="Heading5Char"/>
        </w:rPr>
        <w:t>BlueCross BlueShield of South Carolina Foundation:</w:t>
      </w:r>
      <w:r w:rsidRPr="00B875B2">
        <w:t xml:space="preserve"> The mission of the BlueCross BlueShield of South Carolina Foundation is to promote and support healthier South Carolinians, particularly the economically vulnerable, by supporting solutions to address gaps in health care and serving as an agent of change to support innovation and value-added public-private partnerships. </w:t>
      </w:r>
      <w:r w:rsidRPr="00B875B2">
        <w:tab/>
      </w:r>
    </w:p>
    <w:p w14:paraId="2FFFED4C" w14:textId="77777777" w:rsidR="00544798" w:rsidRPr="00B875B2" w:rsidRDefault="00544798" w:rsidP="00926EB3">
      <w:pPr>
        <w:pStyle w:val="ListParagraph"/>
        <w:numPr>
          <w:ilvl w:val="0"/>
          <w:numId w:val="140"/>
        </w:numPr>
      </w:pPr>
      <w:r w:rsidRPr="00B875B2">
        <w:t>Reach: Statewide</w:t>
      </w:r>
    </w:p>
    <w:p w14:paraId="083F4751" w14:textId="77777777" w:rsidR="00544798" w:rsidRPr="00B875B2" w:rsidRDefault="00000000" w:rsidP="00926EB3">
      <w:pPr>
        <w:pStyle w:val="ListParagraph"/>
        <w:numPr>
          <w:ilvl w:val="0"/>
          <w:numId w:val="140"/>
        </w:numPr>
      </w:pPr>
      <w:hyperlink r:id="rId628" w:history="1">
        <w:r w:rsidR="00544798" w:rsidRPr="002402C0">
          <w:rPr>
            <w:rStyle w:val="Hyperlink"/>
          </w:rPr>
          <w:t>Contact via BlueCross BlueShield of South Carolina Foundation website.</w:t>
        </w:r>
      </w:hyperlink>
    </w:p>
    <w:p w14:paraId="7E9FA592" w14:textId="77777777" w:rsidR="00544798" w:rsidRPr="00B875B2" w:rsidRDefault="00544798" w:rsidP="00544798"/>
    <w:p w14:paraId="4D9FC641" w14:textId="77777777" w:rsidR="00544798" w:rsidRPr="00B875B2" w:rsidRDefault="00544798" w:rsidP="00544798">
      <w:r w:rsidRPr="00B875B2">
        <w:rPr>
          <w:rStyle w:val="Heading5Char"/>
        </w:rPr>
        <w:t>Department of Social Services:</w:t>
      </w:r>
      <w:r w:rsidRPr="00B875B2">
        <w:t xml:space="preserve"> The Department’s mission is to serve South Carolina by promoting the safety, permanency, and well-being of children and vulnerable adults, helping individuals achieve stability and strengthening families.</w:t>
      </w:r>
      <w:r w:rsidRPr="00B875B2">
        <w:tab/>
      </w:r>
    </w:p>
    <w:p w14:paraId="05857AF7" w14:textId="77777777" w:rsidR="00544798" w:rsidRPr="00B875B2" w:rsidRDefault="00544798" w:rsidP="00926EB3">
      <w:pPr>
        <w:pStyle w:val="ListParagraph"/>
        <w:numPr>
          <w:ilvl w:val="0"/>
          <w:numId w:val="141"/>
        </w:numPr>
      </w:pPr>
      <w:r w:rsidRPr="00B875B2">
        <w:t>Reach: Statewide</w:t>
      </w:r>
    </w:p>
    <w:p w14:paraId="6CCB16EA" w14:textId="77777777" w:rsidR="00544798" w:rsidRPr="00B875B2" w:rsidRDefault="00000000" w:rsidP="00926EB3">
      <w:pPr>
        <w:pStyle w:val="ListParagraph"/>
        <w:numPr>
          <w:ilvl w:val="0"/>
          <w:numId w:val="141"/>
        </w:numPr>
      </w:pPr>
      <w:hyperlink r:id="rId629" w:history="1">
        <w:r w:rsidR="00544798" w:rsidRPr="002402C0">
          <w:rPr>
            <w:rStyle w:val="Hyperlink"/>
          </w:rPr>
          <w:t>Contact via Department of Social Services website.</w:t>
        </w:r>
      </w:hyperlink>
      <w:r w:rsidR="00544798">
        <w:t xml:space="preserve"> </w:t>
      </w:r>
    </w:p>
    <w:p w14:paraId="463B1042" w14:textId="77777777" w:rsidR="00544798" w:rsidRPr="00B875B2" w:rsidRDefault="00544798" w:rsidP="00544798"/>
    <w:p w14:paraId="62EB9A8D" w14:textId="77777777" w:rsidR="00544798" w:rsidRPr="00B875B2" w:rsidRDefault="00544798" w:rsidP="00544798">
      <w:r w:rsidRPr="00B875B2">
        <w:rPr>
          <w:rStyle w:val="Heading5Char"/>
        </w:rPr>
        <w:t>SC Chamber of Commerce:</w:t>
      </w:r>
      <w:r w:rsidRPr="00B875B2">
        <w:t xml:space="preserve"> A statewide organization that promotes pro-job and pro-business policies at the state and federal level. We bring together businesses from across the state – both big and small – through coordinated strategies, training opportunities, and networking events. With a unified voice, we will make the biggest impact.</w:t>
      </w:r>
      <w:r w:rsidRPr="00B875B2">
        <w:tab/>
      </w:r>
    </w:p>
    <w:p w14:paraId="0395069E" w14:textId="77777777" w:rsidR="00544798" w:rsidRPr="00B875B2" w:rsidRDefault="00544798" w:rsidP="00926EB3">
      <w:pPr>
        <w:pStyle w:val="ListParagraph"/>
        <w:numPr>
          <w:ilvl w:val="0"/>
          <w:numId w:val="142"/>
        </w:numPr>
      </w:pPr>
      <w:r w:rsidRPr="00B875B2">
        <w:t>Reach: Statewide</w:t>
      </w:r>
      <w:r w:rsidRPr="00B875B2">
        <w:tab/>
      </w:r>
    </w:p>
    <w:p w14:paraId="072B8463" w14:textId="77777777" w:rsidR="00544798" w:rsidRPr="00B875B2" w:rsidRDefault="00000000" w:rsidP="00926EB3">
      <w:pPr>
        <w:pStyle w:val="ListParagraph"/>
        <w:numPr>
          <w:ilvl w:val="0"/>
          <w:numId w:val="142"/>
        </w:numPr>
      </w:pPr>
      <w:hyperlink r:id="rId630" w:history="1">
        <w:r w:rsidR="00544798" w:rsidRPr="002402C0">
          <w:rPr>
            <w:rStyle w:val="Hyperlink"/>
          </w:rPr>
          <w:t>Contact via SC Chamber of Commerce website.</w:t>
        </w:r>
      </w:hyperlink>
    </w:p>
    <w:p w14:paraId="2B828B27" w14:textId="77777777" w:rsidR="00544798" w:rsidRPr="00B875B2" w:rsidRDefault="00544798" w:rsidP="00544798"/>
    <w:p w14:paraId="4A21320E" w14:textId="77777777" w:rsidR="00544798" w:rsidRPr="00B875B2" w:rsidRDefault="00544798" w:rsidP="00544798">
      <w:r w:rsidRPr="00B875B2">
        <w:rPr>
          <w:rStyle w:val="Heading5Char"/>
        </w:rPr>
        <w:t>South Carolina Department of Alcohol and Other Drug Abuse Services (DAODAS):</w:t>
      </w:r>
      <w:r w:rsidRPr="00B875B2">
        <w:t xml:space="preserve"> DAODAS is charged with ensuring quality services to prevent or reduce the negative consequences of substance use and addictions. The mission is to ensure the availability and quality of continuum of substance use services, thereby improving health status, safety, and quality life of individuals, families, and communities across South Carolina</w:t>
      </w:r>
      <w:r>
        <w:t>.</w:t>
      </w:r>
    </w:p>
    <w:p w14:paraId="768A2996" w14:textId="77777777" w:rsidR="00544798" w:rsidRPr="00B875B2" w:rsidRDefault="00544798" w:rsidP="00926EB3">
      <w:pPr>
        <w:pStyle w:val="ListParagraph"/>
        <w:numPr>
          <w:ilvl w:val="0"/>
          <w:numId w:val="143"/>
        </w:numPr>
      </w:pPr>
      <w:r w:rsidRPr="00B875B2">
        <w:t>Reach: Statewide</w:t>
      </w:r>
      <w:r w:rsidRPr="00B875B2">
        <w:tab/>
      </w:r>
    </w:p>
    <w:p w14:paraId="2D6A4BEA" w14:textId="77777777" w:rsidR="00544798" w:rsidRPr="00B875B2" w:rsidRDefault="00000000" w:rsidP="00926EB3">
      <w:pPr>
        <w:pStyle w:val="ListParagraph"/>
        <w:numPr>
          <w:ilvl w:val="0"/>
          <w:numId w:val="143"/>
        </w:numPr>
      </w:pPr>
      <w:hyperlink r:id="rId631" w:history="1">
        <w:r w:rsidR="00544798" w:rsidRPr="002402C0">
          <w:rPr>
            <w:rStyle w:val="Hyperlink"/>
          </w:rPr>
          <w:t>Contact via South Carolina Department of Alcohol and Other Drug Abuse Services (DAODAS) website.</w:t>
        </w:r>
      </w:hyperlink>
      <w:r w:rsidR="00544798">
        <w:t xml:space="preserve"> </w:t>
      </w:r>
    </w:p>
    <w:p w14:paraId="61EF238D" w14:textId="77777777" w:rsidR="00544798" w:rsidRPr="00B875B2" w:rsidRDefault="00544798" w:rsidP="00544798"/>
    <w:p w14:paraId="2E33C65E" w14:textId="77777777" w:rsidR="00544798" w:rsidRPr="00B875B2" w:rsidRDefault="00544798" w:rsidP="00544798">
      <w:r w:rsidRPr="00B875B2">
        <w:rPr>
          <w:rStyle w:val="Heading5Char"/>
        </w:rPr>
        <w:lastRenderedPageBreak/>
        <w:t>FoodShare South Carolina:</w:t>
      </w:r>
      <w:r w:rsidRPr="00B875B2">
        <w:t xml:space="preserve"> Increase access to, knowledge of and consumption of vegetables and fruit through community-led projects</w:t>
      </w:r>
      <w:r w:rsidRPr="00B875B2">
        <w:tab/>
      </w:r>
    </w:p>
    <w:p w14:paraId="134DDE71" w14:textId="77777777" w:rsidR="00544798" w:rsidRPr="00B875B2" w:rsidRDefault="00544798" w:rsidP="00926EB3">
      <w:pPr>
        <w:pStyle w:val="ListParagraph"/>
        <w:numPr>
          <w:ilvl w:val="0"/>
          <w:numId w:val="144"/>
        </w:numPr>
      </w:pPr>
      <w:r w:rsidRPr="00B875B2">
        <w:t>Reach: Statewide</w:t>
      </w:r>
      <w:r w:rsidRPr="00B875B2">
        <w:tab/>
      </w:r>
    </w:p>
    <w:p w14:paraId="2D5B43CF" w14:textId="77777777" w:rsidR="00544798" w:rsidRPr="00B875B2" w:rsidRDefault="00000000" w:rsidP="00926EB3">
      <w:pPr>
        <w:pStyle w:val="ListParagraph"/>
        <w:numPr>
          <w:ilvl w:val="0"/>
          <w:numId w:val="144"/>
        </w:numPr>
      </w:pPr>
      <w:hyperlink r:id="rId632" w:history="1">
        <w:r w:rsidR="00544798" w:rsidRPr="002402C0">
          <w:rPr>
            <w:rStyle w:val="Hyperlink"/>
          </w:rPr>
          <w:t>Contact via FoodShare South Carolina website.</w:t>
        </w:r>
      </w:hyperlink>
      <w:r w:rsidR="00544798">
        <w:t xml:space="preserve"> </w:t>
      </w:r>
    </w:p>
    <w:p w14:paraId="21451CDD" w14:textId="77777777" w:rsidR="00544798" w:rsidRPr="00B875B2" w:rsidRDefault="00544798" w:rsidP="00544798"/>
    <w:p w14:paraId="73711AC1" w14:textId="77777777" w:rsidR="00544798" w:rsidRPr="00B875B2" w:rsidRDefault="00544798" w:rsidP="00544798">
      <w:r w:rsidRPr="00B875B2">
        <w:rPr>
          <w:rStyle w:val="Heading5Char"/>
        </w:rPr>
        <w:t xml:space="preserve">Wholespire: </w:t>
      </w:r>
      <w:r w:rsidRPr="00B875B2">
        <w:t>Wholespire provides communities with proven and sustainable approaches that lead to increased access to healthy choices for ALL people. We want informed influencers and empowered communities who work together to ensure an equitable South Carolina, where everyone has access to healthy choices.</w:t>
      </w:r>
      <w:r w:rsidRPr="00B875B2">
        <w:tab/>
      </w:r>
    </w:p>
    <w:p w14:paraId="551C6176" w14:textId="77777777" w:rsidR="00544798" w:rsidRPr="00B875B2" w:rsidRDefault="00544798" w:rsidP="00926EB3">
      <w:pPr>
        <w:pStyle w:val="ListParagraph"/>
        <w:numPr>
          <w:ilvl w:val="0"/>
          <w:numId w:val="145"/>
        </w:numPr>
      </w:pPr>
      <w:r w:rsidRPr="00B875B2">
        <w:t>Reach: Statewide</w:t>
      </w:r>
      <w:r w:rsidRPr="00B875B2">
        <w:tab/>
      </w:r>
    </w:p>
    <w:p w14:paraId="3CD3D5BE" w14:textId="77777777" w:rsidR="00544798" w:rsidRPr="00B875B2" w:rsidRDefault="00000000" w:rsidP="00926EB3">
      <w:pPr>
        <w:pStyle w:val="ListParagraph"/>
        <w:numPr>
          <w:ilvl w:val="0"/>
          <w:numId w:val="145"/>
        </w:numPr>
      </w:pPr>
      <w:hyperlink r:id="rId633" w:history="1">
        <w:r w:rsidR="00544798" w:rsidRPr="002402C0">
          <w:rPr>
            <w:rStyle w:val="Hyperlink"/>
          </w:rPr>
          <w:t>Contact via Wholespire website.</w:t>
        </w:r>
      </w:hyperlink>
    </w:p>
    <w:p w14:paraId="25BBA6C0" w14:textId="77777777" w:rsidR="00544798" w:rsidRPr="00B875B2" w:rsidRDefault="00544798" w:rsidP="00544798"/>
    <w:p w14:paraId="2ABF8B87" w14:textId="326F6805" w:rsidR="00544798" w:rsidRPr="00B875B2" w:rsidRDefault="00544798" w:rsidP="00544798">
      <w:pPr>
        <w:pStyle w:val="Heading4"/>
      </w:pPr>
      <w:bookmarkStart w:id="1137" w:name="_Toc154569741"/>
      <w:bookmarkStart w:id="1138" w:name="_Toc162267772"/>
      <w:r w:rsidRPr="00B875B2">
        <w:t>Maternal Infant Health</w:t>
      </w:r>
      <w:bookmarkEnd w:id="1137"/>
      <w:bookmarkEnd w:id="1138"/>
    </w:p>
    <w:p w14:paraId="11589370" w14:textId="55650BF4" w:rsidR="00544798" w:rsidRPr="00B875B2" w:rsidRDefault="00544798" w:rsidP="00544798">
      <w:r w:rsidRPr="00B875B2">
        <w:rPr>
          <w:rStyle w:val="Heading5Char"/>
        </w:rPr>
        <w:t>South Carolina Birth Outcomes Initiative (</w:t>
      </w:r>
      <w:r w:rsidR="0087480F">
        <w:rPr>
          <w:rStyle w:val="Heading5Char"/>
        </w:rPr>
        <w:t>SC</w:t>
      </w:r>
      <w:r w:rsidRPr="00B875B2">
        <w:rPr>
          <w:rStyle w:val="Heading5Char"/>
        </w:rPr>
        <w:t>BOI):</w:t>
      </w:r>
      <w:r w:rsidRPr="00B875B2">
        <w:t xml:space="preserve"> The South Carolina Birth Outcomes Initiative was established in 2011. It is a collaborative of the South Carolina Department of Health and Human Services (SCDHHS), the South Carolina Department of Health and Environmental Control (DHEC), South Carolina Hospital Association, March of Dimes, BlueCross BlueShield of South Carolina (BCBSSC) and more than 100 stakeholders. SCBOI’s overall goals are to improve health outcomes in both moms and babies throughout SC. SCBOI leverages the collective impact model to identify a common agenda and provide for continuous communication.</w:t>
      </w:r>
      <w:r w:rsidRPr="00B875B2">
        <w:tab/>
      </w:r>
    </w:p>
    <w:p w14:paraId="0E1CD78D" w14:textId="77777777" w:rsidR="00544798" w:rsidRPr="00B875B2" w:rsidRDefault="00544798" w:rsidP="00926EB3">
      <w:pPr>
        <w:pStyle w:val="ListParagraph"/>
        <w:numPr>
          <w:ilvl w:val="0"/>
          <w:numId w:val="146"/>
        </w:numPr>
      </w:pPr>
      <w:r w:rsidRPr="00B875B2">
        <w:t>Reach: Statewide</w:t>
      </w:r>
      <w:r w:rsidRPr="00B875B2">
        <w:tab/>
      </w:r>
    </w:p>
    <w:p w14:paraId="038607FB" w14:textId="77777777" w:rsidR="00544798" w:rsidRPr="00B875B2" w:rsidRDefault="00000000" w:rsidP="00926EB3">
      <w:pPr>
        <w:pStyle w:val="ListParagraph"/>
        <w:numPr>
          <w:ilvl w:val="0"/>
          <w:numId w:val="146"/>
        </w:numPr>
      </w:pPr>
      <w:hyperlink r:id="rId634" w:history="1">
        <w:r w:rsidR="00544798" w:rsidRPr="002402C0">
          <w:rPr>
            <w:rStyle w:val="Hyperlink"/>
          </w:rPr>
          <w:t>Contact via South Carolina Birth Outcomes Initiative (BOI) website.</w:t>
        </w:r>
      </w:hyperlink>
    </w:p>
    <w:p w14:paraId="47ECCDCC" w14:textId="77777777" w:rsidR="00544798" w:rsidRPr="00B875B2" w:rsidRDefault="00544798" w:rsidP="00544798"/>
    <w:p w14:paraId="629FEBFD" w14:textId="77777777" w:rsidR="00544798" w:rsidRPr="00B875B2" w:rsidRDefault="00544798" w:rsidP="00544798">
      <w:r w:rsidRPr="00B875B2">
        <w:rPr>
          <w:rStyle w:val="Heading5Char"/>
        </w:rPr>
        <w:t>South Carolina First Steps:</w:t>
      </w:r>
      <w:r w:rsidRPr="00B875B2">
        <w:t xml:space="preserve"> South Carolina First Steps is the </w:t>
      </w:r>
      <w:proofErr w:type="gramStart"/>
      <w:r w:rsidRPr="00B875B2">
        <w:t>state’s</w:t>
      </w:r>
      <w:proofErr w:type="gramEnd"/>
      <w:r w:rsidRPr="00B875B2">
        <w:t xml:space="preserve"> only dedicated, comprehensive early childhood initiative focused on getting children ready for school and life success. We partner with families, early educators, and communities statewide to support the success of children from birth through age five.</w:t>
      </w:r>
      <w:r w:rsidRPr="00B875B2">
        <w:tab/>
      </w:r>
    </w:p>
    <w:p w14:paraId="2C2D43CB" w14:textId="77777777" w:rsidR="00544798" w:rsidRPr="00B875B2" w:rsidRDefault="00544798" w:rsidP="00926EB3">
      <w:pPr>
        <w:pStyle w:val="ListParagraph"/>
        <w:numPr>
          <w:ilvl w:val="0"/>
          <w:numId w:val="147"/>
        </w:numPr>
      </w:pPr>
      <w:r w:rsidRPr="00B875B2">
        <w:t>Reach: Statewide</w:t>
      </w:r>
      <w:r w:rsidRPr="00B875B2">
        <w:tab/>
      </w:r>
    </w:p>
    <w:p w14:paraId="5F8E9863" w14:textId="77777777" w:rsidR="00544798" w:rsidRPr="00B875B2" w:rsidRDefault="00000000" w:rsidP="00926EB3">
      <w:pPr>
        <w:pStyle w:val="ListParagraph"/>
        <w:numPr>
          <w:ilvl w:val="0"/>
          <w:numId w:val="147"/>
        </w:numPr>
      </w:pPr>
      <w:hyperlink r:id="rId635" w:history="1">
        <w:r w:rsidR="00544798" w:rsidRPr="002402C0">
          <w:rPr>
            <w:rStyle w:val="Hyperlink"/>
          </w:rPr>
          <w:t>Contact via SC First Steps website.</w:t>
        </w:r>
      </w:hyperlink>
    </w:p>
    <w:p w14:paraId="7C78FF67" w14:textId="77777777" w:rsidR="00544798" w:rsidRPr="00B875B2" w:rsidRDefault="00544798" w:rsidP="00544798"/>
    <w:p w14:paraId="48EB12C5" w14:textId="77777777" w:rsidR="00544798" w:rsidRPr="00B875B2" w:rsidRDefault="00544798" w:rsidP="00544798">
      <w:r w:rsidRPr="00B875B2">
        <w:rPr>
          <w:rStyle w:val="Heading5Char"/>
        </w:rPr>
        <w:t>South Carolina Postpartum Support International:</w:t>
      </w:r>
      <w:r w:rsidRPr="00B875B2">
        <w:t xml:space="preserve"> The mission of South Carolina Chapter of Postpartum Support is to increase awareness, education, prevention, and treatment of perinatal mental health issues affecting individuals, their families, and support systems in all areas of South Carolina.</w:t>
      </w:r>
      <w:r w:rsidRPr="00B875B2">
        <w:tab/>
      </w:r>
    </w:p>
    <w:p w14:paraId="7D3BEF3F" w14:textId="77777777" w:rsidR="00544798" w:rsidRPr="00B875B2" w:rsidRDefault="00544798" w:rsidP="00926EB3">
      <w:pPr>
        <w:pStyle w:val="ListParagraph"/>
        <w:numPr>
          <w:ilvl w:val="0"/>
          <w:numId w:val="148"/>
        </w:numPr>
      </w:pPr>
      <w:r w:rsidRPr="00B875B2">
        <w:lastRenderedPageBreak/>
        <w:t>Reach: Statewide</w:t>
      </w:r>
      <w:r w:rsidRPr="00B875B2">
        <w:tab/>
      </w:r>
    </w:p>
    <w:p w14:paraId="7F56425D" w14:textId="77777777" w:rsidR="00544798" w:rsidRPr="00B875B2" w:rsidRDefault="00000000" w:rsidP="00926EB3">
      <w:pPr>
        <w:pStyle w:val="ListParagraph"/>
        <w:numPr>
          <w:ilvl w:val="0"/>
          <w:numId w:val="148"/>
        </w:numPr>
      </w:pPr>
      <w:hyperlink r:id="rId636" w:history="1">
        <w:r w:rsidR="00544798" w:rsidRPr="002402C0">
          <w:rPr>
            <w:rStyle w:val="Hyperlink"/>
          </w:rPr>
          <w:t>Contact via South Carolina Postpartum Support International website.</w:t>
        </w:r>
      </w:hyperlink>
    </w:p>
    <w:p w14:paraId="2B3CDB01" w14:textId="77777777" w:rsidR="00544798" w:rsidRPr="00B875B2" w:rsidRDefault="00544798" w:rsidP="00544798"/>
    <w:p w14:paraId="58AA7A85" w14:textId="1788EC84" w:rsidR="00544798" w:rsidRPr="00B875B2" w:rsidRDefault="00544798" w:rsidP="00544798">
      <w:r w:rsidRPr="00B875B2">
        <w:rPr>
          <w:rStyle w:val="Heading5Char"/>
        </w:rPr>
        <w:t>S</w:t>
      </w:r>
      <w:r w:rsidR="0087480F">
        <w:rPr>
          <w:rStyle w:val="Heading5Char"/>
        </w:rPr>
        <w:t xml:space="preserve">outh </w:t>
      </w:r>
      <w:r w:rsidRPr="00B875B2">
        <w:rPr>
          <w:rStyle w:val="Heading5Char"/>
        </w:rPr>
        <w:t>C</w:t>
      </w:r>
      <w:r w:rsidR="0087480F">
        <w:rPr>
          <w:rStyle w:val="Heading5Char"/>
        </w:rPr>
        <w:t>arolina</w:t>
      </w:r>
      <w:r w:rsidRPr="00B875B2">
        <w:rPr>
          <w:rStyle w:val="Heading5Char"/>
        </w:rPr>
        <w:t xml:space="preserve"> Perinatal Association:</w:t>
      </w:r>
      <w:r w:rsidRPr="00B875B2">
        <w:t xml:space="preserve"> The South Carolina Perinatal Association (SCPA) is a multidisciplinary organization designed to improve the health of Women and Children in South Carolina. We </w:t>
      </w:r>
      <w:proofErr w:type="gramStart"/>
      <w:r w:rsidRPr="00B875B2">
        <w:t>are able to</w:t>
      </w:r>
      <w:proofErr w:type="gramEnd"/>
      <w:r w:rsidRPr="00B875B2">
        <w:t xml:space="preserve"> accomplish this goal through advocacy to policy makers and education for healthcare professionals.</w:t>
      </w:r>
      <w:r w:rsidRPr="00B875B2">
        <w:tab/>
      </w:r>
    </w:p>
    <w:p w14:paraId="1F2B3342" w14:textId="77777777" w:rsidR="00544798" w:rsidRPr="00B875B2" w:rsidRDefault="00544798" w:rsidP="00926EB3">
      <w:pPr>
        <w:pStyle w:val="ListParagraph"/>
        <w:numPr>
          <w:ilvl w:val="0"/>
          <w:numId w:val="149"/>
        </w:numPr>
      </w:pPr>
      <w:r w:rsidRPr="00B875B2">
        <w:t>Reach: Statewide</w:t>
      </w:r>
      <w:r w:rsidRPr="00B875B2">
        <w:tab/>
      </w:r>
    </w:p>
    <w:p w14:paraId="575A36E1" w14:textId="77777777" w:rsidR="00544798" w:rsidRPr="00B875B2" w:rsidRDefault="00000000" w:rsidP="00926EB3">
      <w:pPr>
        <w:pStyle w:val="ListParagraph"/>
        <w:numPr>
          <w:ilvl w:val="0"/>
          <w:numId w:val="149"/>
        </w:numPr>
      </w:pPr>
      <w:hyperlink r:id="rId637" w:history="1">
        <w:r w:rsidR="00544798" w:rsidRPr="002402C0">
          <w:rPr>
            <w:rStyle w:val="Hyperlink"/>
          </w:rPr>
          <w:t>Contact via SC Perinatal Association website.</w:t>
        </w:r>
      </w:hyperlink>
    </w:p>
    <w:p w14:paraId="3AF82FA7" w14:textId="77777777" w:rsidR="00544798" w:rsidRPr="00B875B2" w:rsidRDefault="00544798" w:rsidP="00544798">
      <w:pPr>
        <w:rPr>
          <w:b/>
          <w:bCs/>
        </w:rPr>
      </w:pPr>
    </w:p>
    <w:p w14:paraId="2F8495F8" w14:textId="76F6610E" w:rsidR="00544798" w:rsidRPr="00544798" w:rsidRDefault="00544798" w:rsidP="00544798">
      <w:pPr>
        <w:pStyle w:val="Heading4"/>
      </w:pPr>
      <w:bookmarkStart w:id="1139" w:name="_Toc162267773"/>
      <w:r w:rsidRPr="00544798">
        <w:t>Child Adolescent</w:t>
      </w:r>
      <w:bookmarkEnd w:id="1139"/>
    </w:p>
    <w:p w14:paraId="0C7A19B2" w14:textId="2211E7F0" w:rsidR="00544798" w:rsidRPr="00B875B2" w:rsidRDefault="0087480F" w:rsidP="00544798">
      <w:r>
        <w:rPr>
          <w:rStyle w:val="Heading5Char"/>
        </w:rPr>
        <w:t>National Alliance on Mental Health (NAMI)</w:t>
      </w:r>
      <w:r w:rsidR="00544798" w:rsidRPr="00B875B2">
        <w:rPr>
          <w:rStyle w:val="Heading5Char"/>
        </w:rPr>
        <w:t xml:space="preserve"> South Carolina:</w:t>
      </w:r>
      <w:r w:rsidR="00544798" w:rsidRPr="00B875B2">
        <w:t xml:space="preserve"> NAMI's mission is to improve the quality of life for individuals who live with mental illnesses and for their families by promoting the availability of effective services and resources, through education, </w:t>
      </w:r>
      <w:proofErr w:type="gramStart"/>
      <w:r w:rsidR="00544798" w:rsidRPr="00B875B2">
        <w:t>support</w:t>
      </w:r>
      <w:proofErr w:type="gramEnd"/>
      <w:r w:rsidR="00544798" w:rsidRPr="00B875B2">
        <w:t xml:space="preserve"> and advocacy.</w:t>
      </w:r>
      <w:r w:rsidR="00544798" w:rsidRPr="00B875B2">
        <w:tab/>
      </w:r>
    </w:p>
    <w:p w14:paraId="433889E5" w14:textId="77777777" w:rsidR="00544798" w:rsidRPr="00B875B2" w:rsidRDefault="00544798" w:rsidP="00926EB3">
      <w:pPr>
        <w:pStyle w:val="ListParagraph"/>
        <w:numPr>
          <w:ilvl w:val="0"/>
          <w:numId w:val="150"/>
        </w:numPr>
      </w:pPr>
      <w:r w:rsidRPr="00B875B2">
        <w:t>Reach: Statewide</w:t>
      </w:r>
      <w:r w:rsidRPr="00B875B2">
        <w:tab/>
      </w:r>
    </w:p>
    <w:p w14:paraId="6B0EF3ED" w14:textId="77777777" w:rsidR="00544798" w:rsidRPr="00B875B2" w:rsidRDefault="00000000" w:rsidP="00926EB3">
      <w:pPr>
        <w:pStyle w:val="ListParagraph"/>
        <w:numPr>
          <w:ilvl w:val="0"/>
          <w:numId w:val="150"/>
        </w:numPr>
      </w:pPr>
      <w:hyperlink r:id="rId638" w:history="1">
        <w:r w:rsidR="00544798" w:rsidRPr="002402C0">
          <w:rPr>
            <w:rStyle w:val="Hyperlink"/>
          </w:rPr>
          <w:t>Contact via NAMI (National Alliance on Mental Illness) South Carolina website.</w:t>
        </w:r>
      </w:hyperlink>
      <w:r w:rsidR="00544798">
        <w:t xml:space="preserve"> </w:t>
      </w:r>
    </w:p>
    <w:p w14:paraId="37B0ADDB" w14:textId="77777777" w:rsidR="00544798" w:rsidRPr="00B875B2" w:rsidRDefault="00544798" w:rsidP="00544798"/>
    <w:p w14:paraId="100A6D79" w14:textId="77777777" w:rsidR="00544798" w:rsidRPr="00B875B2" w:rsidRDefault="00544798" w:rsidP="00544798">
      <w:r w:rsidRPr="00B875B2">
        <w:rPr>
          <w:rStyle w:val="Heading5Char"/>
        </w:rPr>
        <w:t>South Carolina Department of Justice:</w:t>
      </w:r>
      <w:r w:rsidRPr="00B875B2">
        <w:t xml:space="preserve"> DJJ is a state cabinet agency committed to serving SC’s youth offenders. DJJ is responsible for providing custodial care and rehabilitation for the state’s children who are incarcerated, on probation or parole, or in community placement for a criminal or status offense. DJJ also provides a variety of prevention and intervention programs for at-risk youth.</w:t>
      </w:r>
      <w:r w:rsidRPr="00B875B2">
        <w:tab/>
      </w:r>
    </w:p>
    <w:p w14:paraId="7B16764C" w14:textId="77777777" w:rsidR="00544798" w:rsidRPr="00B875B2" w:rsidRDefault="00544798" w:rsidP="00926EB3">
      <w:pPr>
        <w:pStyle w:val="ListParagraph"/>
        <w:numPr>
          <w:ilvl w:val="0"/>
          <w:numId w:val="151"/>
        </w:numPr>
      </w:pPr>
      <w:r w:rsidRPr="00B875B2">
        <w:t>Reach: Statewide</w:t>
      </w:r>
      <w:r w:rsidRPr="00B875B2">
        <w:tab/>
      </w:r>
    </w:p>
    <w:p w14:paraId="27C53C6B" w14:textId="77777777" w:rsidR="00544798" w:rsidRPr="00B875B2" w:rsidRDefault="00000000" w:rsidP="00926EB3">
      <w:pPr>
        <w:pStyle w:val="ListParagraph"/>
        <w:numPr>
          <w:ilvl w:val="0"/>
          <w:numId w:val="151"/>
        </w:numPr>
      </w:pPr>
      <w:hyperlink r:id="rId639" w:history="1">
        <w:r w:rsidR="00544798" w:rsidRPr="002402C0">
          <w:rPr>
            <w:rStyle w:val="Hyperlink"/>
          </w:rPr>
          <w:t>Contact via South Carolina Department of Justice website.</w:t>
        </w:r>
      </w:hyperlink>
    </w:p>
    <w:p w14:paraId="54ABA39F" w14:textId="77777777" w:rsidR="00544798" w:rsidRPr="00B875B2" w:rsidRDefault="00544798" w:rsidP="00544798"/>
    <w:p w14:paraId="57B0E0EE" w14:textId="77777777" w:rsidR="00544798" w:rsidRPr="00B875B2" w:rsidRDefault="00544798" w:rsidP="00544798">
      <w:r w:rsidRPr="00B875B2">
        <w:rPr>
          <w:rStyle w:val="Heading5Char"/>
        </w:rPr>
        <w:t>Children’s Trust of South Carolina:</w:t>
      </w:r>
      <w:r w:rsidRPr="00B875B2">
        <w:t xml:space="preserve"> Children’s Trust of South Carolina is the statewide organization focused on the prevention of child abuse and neglect. We provide funding, </w:t>
      </w:r>
      <w:proofErr w:type="gramStart"/>
      <w:r w:rsidRPr="00B875B2">
        <w:t>resources</w:t>
      </w:r>
      <w:proofErr w:type="gramEnd"/>
      <w:r w:rsidRPr="00B875B2">
        <w:t xml:space="preserve"> and training to help local program partners build strong families and positive childhoods.</w:t>
      </w:r>
      <w:r w:rsidRPr="00B875B2">
        <w:tab/>
      </w:r>
    </w:p>
    <w:p w14:paraId="37B1DFF4" w14:textId="77777777" w:rsidR="00544798" w:rsidRPr="00B875B2" w:rsidRDefault="00544798" w:rsidP="00926EB3">
      <w:pPr>
        <w:pStyle w:val="ListParagraph"/>
        <w:numPr>
          <w:ilvl w:val="0"/>
          <w:numId w:val="152"/>
        </w:numPr>
      </w:pPr>
      <w:r w:rsidRPr="00B875B2">
        <w:t>Reach: Statewide</w:t>
      </w:r>
      <w:r w:rsidRPr="00B875B2">
        <w:tab/>
      </w:r>
    </w:p>
    <w:p w14:paraId="3DE97725" w14:textId="77777777" w:rsidR="00544798" w:rsidRPr="00B875B2" w:rsidRDefault="00000000" w:rsidP="00926EB3">
      <w:pPr>
        <w:pStyle w:val="ListParagraph"/>
        <w:numPr>
          <w:ilvl w:val="0"/>
          <w:numId w:val="152"/>
        </w:numPr>
      </w:pPr>
      <w:hyperlink r:id="rId640" w:history="1">
        <w:r w:rsidR="00544798" w:rsidRPr="002402C0">
          <w:rPr>
            <w:rStyle w:val="Hyperlink"/>
          </w:rPr>
          <w:t>Contact via Children’s Trust of South Carolina website.</w:t>
        </w:r>
      </w:hyperlink>
    </w:p>
    <w:p w14:paraId="408CA8AC" w14:textId="77777777" w:rsidR="00544798" w:rsidRPr="00B875B2" w:rsidRDefault="00544798" w:rsidP="00544798"/>
    <w:p w14:paraId="6F2FAD57" w14:textId="77777777" w:rsidR="00544798" w:rsidRPr="00B875B2" w:rsidRDefault="00544798" w:rsidP="00544798">
      <w:r w:rsidRPr="00B875B2">
        <w:rPr>
          <w:rStyle w:val="Heading5Char"/>
        </w:rPr>
        <w:t>South Carolina Department of Education:</w:t>
      </w:r>
      <w:r w:rsidRPr="00B875B2">
        <w:t xml:space="preserve"> The mission of the South Carolina Department of Education is to provide leadership and support so that all public education students graduate prepared for success.</w:t>
      </w:r>
      <w:r w:rsidRPr="00B875B2">
        <w:tab/>
      </w:r>
    </w:p>
    <w:p w14:paraId="1319E12A" w14:textId="77777777" w:rsidR="00544798" w:rsidRPr="00B875B2" w:rsidRDefault="00544798" w:rsidP="00926EB3">
      <w:pPr>
        <w:pStyle w:val="ListParagraph"/>
        <w:numPr>
          <w:ilvl w:val="0"/>
          <w:numId w:val="153"/>
        </w:numPr>
      </w:pPr>
      <w:r w:rsidRPr="00B875B2">
        <w:lastRenderedPageBreak/>
        <w:t>Reach: Statewide</w:t>
      </w:r>
      <w:r w:rsidRPr="00B875B2">
        <w:tab/>
      </w:r>
    </w:p>
    <w:p w14:paraId="62DFB3CA" w14:textId="77777777" w:rsidR="00544798" w:rsidRPr="00B875B2" w:rsidRDefault="00000000" w:rsidP="00926EB3">
      <w:pPr>
        <w:pStyle w:val="ListParagraph"/>
        <w:numPr>
          <w:ilvl w:val="0"/>
          <w:numId w:val="153"/>
        </w:numPr>
      </w:pPr>
      <w:hyperlink r:id="rId641" w:history="1">
        <w:r w:rsidR="00544798" w:rsidRPr="002402C0">
          <w:rPr>
            <w:rStyle w:val="Hyperlink"/>
          </w:rPr>
          <w:t>Contact via South Carolina Department of Education website.</w:t>
        </w:r>
      </w:hyperlink>
    </w:p>
    <w:p w14:paraId="3B013AAE" w14:textId="77777777" w:rsidR="00544798" w:rsidRPr="00B875B2" w:rsidRDefault="00544798" w:rsidP="00544798"/>
    <w:p w14:paraId="3934E713" w14:textId="77777777" w:rsidR="00544798" w:rsidRPr="00B875B2" w:rsidRDefault="00544798" w:rsidP="00544798">
      <w:r w:rsidRPr="00B875B2">
        <w:rPr>
          <w:rStyle w:val="Heading5Char"/>
        </w:rPr>
        <w:t>Kinship South Carolina:</w:t>
      </w:r>
      <w:r w:rsidRPr="00B875B2">
        <w:t xml:space="preserve"> Kinship SC serves kinship care families across South Carolina by providing information and resources and services for caregivers and the children they are raising.</w:t>
      </w:r>
      <w:r w:rsidRPr="00B875B2">
        <w:tab/>
      </w:r>
    </w:p>
    <w:p w14:paraId="3D9190C7" w14:textId="77777777" w:rsidR="00544798" w:rsidRPr="00B875B2" w:rsidRDefault="00544798" w:rsidP="00926EB3">
      <w:pPr>
        <w:pStyle w:val="ListParagraph"/>
        <w:numPr>
          <w:ilvl w:val="0"/>
          <w:numId w:val="154"/>
        </w:numPr>
      </w:pPr>
      <w:r w:rsidRPr="00B875B2">
        <w:t>Reach: Statewide</w:t>
      </w:r>
      <w:r w:rsidRPr="00B875B2">
        <w:tab/>
      </w:r>
    </w:p>
    <w:p w14:paraId="146C0A12" w14:textId="77777777" w:rsidR="00544798" w:rsidRPr="002402C0" w:rsidRDefault="00000000" w:rsidP="00926EB3">
      <w:pPr>
        <w:pStyle w:val="ListParagraph"/>
        <w:numPr>
          <w:ilvl w:val="0"/>
          <w:numId w:val="154"/>
        </w:numPr>
        <w:rPr>
          <w:u w:val="thick"/>
        </w:rPr>
      </w:pPr>
      <w:hyperlink r:id="rId642" w:history="1">
        <w:r w:rsidR="00544798" w:rsidRPr="002402C0">
          <w:rPr>
            <w:rStyle w:val="Hyperlink"/>
          </w:rPr>
          <w:t>Contact via Kinship South Carolina website.</w:t>
        </w:r>
      </w:hyperlink>
      <w:r w:rsidR="00544798">
        <w:t xml:space="preserve"> </w:t>
      </w:r>
    </w:p>
    <w:p w14:paraId="0FCB1DF9" w14:textId="77777777" w:rsidR="00544798" w:rsidRPr="00B875B2" w:rsidRDefault="00544798" w:rsidP="00544798">
      <w:pPr>
        <w:rPr>
          <w:u w:val="thick"/>
        </w:rPr>
      </w:pPr>
    </w:p>
    <w:p w14:paraId="7E498D3B" w14:textId="77777777" w:rsidR="00544798" w:rsidRPr="00B875B2" w:rsidRDefault="00544798" w:rsidP="00544798">
      <w:r w:rsidRPr="00B875B2">
        <w:rPr>
          <w:rStyle w:val="Heading5Char"/>
        </w:rPr>
        <w:t>Family Connection of South Carolina:</w:t>
      </w:r>
      <w:r w:rsidRPr="00B875B2">
        <w:t xml:space="preserve"> Collaborate with parents of on how to prepare for special education meetings, such as an Individualized Education Plan (IEP), 504, and Individualized Family Service Plan (IFSP).  Match parents seeking information and support with mentor parents. Assist parents in navigating the systems of medical care and insurance coverage for their children with disabilities or special health care needs.</w:t>
      </w:r>
      <w:r w:rsidRPr="00B875B2">
        <w:tab/>
      </w:r>
    </w:p>
    <w:p w14:paraId="66BBFDFA" w14:textId="77777777" w:rsidR="00544798" w:rsidRPr="00B875B2" w:rsidRDefault="00544798" w:rsidP="00926EB3">
      <w:pPr>
        <w:pStyle w:val="ListParagraph"/>
        <w:numPr>
          <w:ilvl w:val="0"/>
          <w:numId w:val="155"/>
        </w:numPr>
      </w:pPr>
      <w:r w:rsidRPr="00B875B2">
        <w:t>Reach: Statewide</w:t>
      </w:r>
    </w:p>
    <w:p w14:paraId="550B4F16" w14:textId="77777777" w:rsidR="00544798" w:rsidRPr="00B875B2" w:rsidRDefault="00000000" w:rsidP="00926EB3">
      <w:pPr>
        <w:pStyle w:val="ListParagraph"/>
        <w:numPr>
          <w:ilvl w:val="0"/>
          <w:numId w:val="155"/>
        </w:numPr>
      </w:pPr>
      <w:hyperlink r:id="rId643" w:history="1">
        <w:r w:rsidR="00544798" w:rsidRPr="002402C0">
          <w:rPr>
            <w:rStyle w:val="Hyperlink"/>
          </w:rPr>
          <w:t>Contact via Family Connection of South Carolina website.</w:t>
        </w:r>
      </w:hyperlink>
    </w:p>
    <w:p w14:paraId="2DE5F515" w14:textId="77777777" w:rsidR="00544798" w:rsidRPr="00B875B2" w:rsidRDefault="00544798" w:rsidP="00544798">
      <w:pPr>
        <w:rPr>
          <w:b/>
          <w:bCs/>
        </w:rPr>
      </w:pPr>
    </w:p>
    <w:p w14:paraId="65FDFDE4" w14:textId="50C0FE73" w:rsidR="00544798" w:rsidRPr="00B875B2" w:rsidRDefault="00544798" w:rsidP="00544798">
      <w:pPr>
        <w:pStyle w:val="Heading4"/>
      </w:pPr>
      <w:bookmarkStart w:id="1140" w:name="_Toc154569742"/>
      <w:bookmarkStart w:id="1141" w:name="_Toc162267774"/>
      <w:r w:rsidRPr="00B875B2">
        <w:t>Adults</w:t>
      </w:r>
      <w:bookmarkEnd w:id="1140"/>
      <w:bookmarkEnd w:id="1141"/>
    </w:p>
    <w:p w14:paraId="5C01FC34" w14:textId="77777777" w:rsidR="00544798" w:rsidRPr="00B875B2" w:rsidRDefault="00544798" w:rsidP="00544798">
      <w:r w:rsidRPr="00B875B2">
        <w:rPr>
          <w:rStyle w:val="Heading5Char"/>
        </w:rPr>
        <w:t>Smokefree SC:</w:t>
      </w:r>
      <w:r w:rsidRPr="00B875B2">
        <w:t xml:space="preserve"> Smokefree SC partners with local communities and coalitions, state governmental agencies, and other area non-profit organizations to provide education and resources related to smoke-free protections, tobacco point-of-sale strategies that reduce exposure to tobacco industry advertising, and other population-based policy approaches that can effectively reduce the burden of commercial tobacco use in South Carolina. </w:t>
      </w:r>
      <w:r w:rsidRPr="00B875B2">
        <w:tab/>
      </w:r>
    </w:p>
    <w:p w14:paraId="533531B4" w14:textId="77777777" w:rsidR="00544798" w:rsidRPr="00B875B2" w:rsidRDefault="00544798" w:rsidP="00926EB3">
      <w:pPr>
        <w:pStyle w:val="ListParagraph"/>
        <w:numPr>
          <w:ilvl w:val="0"/>
          <w:numId w:val="156"/>
        </w:numPr>
      </w:pPr>
      <w:r w:rsidRPr="00B875B2">
        <w:t>Reach: Statewide</w:t>
      </w:r>
      <w:r w:rsidRPr="00B875B2">
        <w:tab/>
      </w:r>
    </w:p>
    <w:p w14:paraId="3AC0A5ED" w14:textId="77777777" w:rsidR="00544798" w:rsidRPr="00B875B2" w:rsidRDefault="00000000" w:rsidP="00926EB3">
      <w:pPr>
        <w:pStyle w:val="ListParagraph"/>
        <w:numPr>
          <w:ilvl w:val="0"/>
          <w:numId w:val="156"/>
        </w:numPr>
      </w:pPr>
      <w:hyperlink r:id="rId644" w:history="1">
        <w:r w:rsidR="00544798" w:rsidRPr="002402C0">
          <w:rPr>
            <w:rStyle w:val="Hyperlink"/>
          </w:rPr>
          <w:t>Contact via Smokefree SC website.</w:t>
        </w:r>
      </w:hyperlink>
    </w:p>
    <w:p w14:paraId="0BAA3F48" w14:textId="77777777" w:rsidR="00544798" w:rsidRPr="00B875B2" w:rsidRDefault="00544798" w:rsidP="00544798"/>
    <w:p w14:paraId="1D4A59E4" w14:textId="23FB9F2E" w:rsidR="00544798" w:rsidRPr="00B875B2" w:rsidRDefault="00544798" w:rsidP="00544798">
      <w:r w:rsidRPr="00B875B2">
        <w:rPr>
          <w:rStyle w:val="Heading5Char"/>
        </w:rPr>
        <w:t>South Carolina Cancer Alliance (SCCA):</w:t>
      </w:r>
      <w:r w:rsidRPr="00B875B2">
        <w:t xml:space="preserve"> The SCCA leads men’s health initiatives to increase colorectal, prostate, and lung cancer screenings among men, especially among underserved populations including rural areas. The Alliance worked with SC lobbyist to secure $500,000 from the SC General Assembly to implement recommendations outlined in the Data Brief - Cancer in African American Men (released in June 2021). </w:t>
      </w:r>
      <w:r w:rsidRPr="00B875B2">
        <w:tab/>
      </w:r>
    </w:p>
    <w:p w14:paraId="4867442A" w14:textId="77777777" w:rsidR="00544798" w:rsidRPr="00B875B2" w:rsidRDefault="00544798" w:rsidP="00926EB3">
      <w:pPr>
        <w:pStyle w:val="ListParagraph"/>
        <w:numPr>
          <w:ilvl w:val="0"/>
          <w:numId w:val="157"/>
        </w:numPr>
      </w:pPr>
      <w:r w:rsidRPr="00B875B2">
        <w:t>Reach: Statewide</w:t>
      </w:r>
      <w:r w:rsidRPr="00B875B2">
        <w:tab/>
      </w:r>
    </w:p>
    <w:p w14:paraId="3CAECBE9" w14:textId="77777777" w:rsidR="00544798" w:rsidRPr="00B875B2" w:rsidRDefault="00000000" w:rsidP="00926EB3">
      <w:pPr>
        <w:pStyle w:val="ListParagraph"/>
        <w:numPr>
          <w:ilvl w:val="0"/>
          <w:numId w:val="157"/>
        </w:numPr>
      </w:pPr>
      <w:hyperlink r:id="rId645" w:history="1">
        <w:r w:rsidR="00544798" w:rsidRPr="002402C0">
          <w:rPr>
            <w:rStyle w:val="Hyperlink"/>
          </w:rPr>
          <w:t>Contact via South Carolina Cancer Alliance (SCCA/Alliance) website.</w:t>
        </w:r>
      </w:hyperlink>
    </w:p>
    <w:p w14:paraId="18D17C85" w14:textId="77777777" w:rsidR="00544798" w:rsidRPr="00B875B2" w:rsidRDefault="00544798" w:rsidP="00544798"/>
    <w:p w14:paraId="37A2A9BF" w14:textId="77777777" w:rsidR="00544798" w:rsidRPr="00B875B2" w:rsidRDefault="00544798" w:rsidP="00544798">
      <w:r w:rsidRPr="00B875B2">
        <w:rPr>
          <w:rStyle w:val="Heading5Char"/>
        </w:rPr>
        <w:lastRenderedPageBreak/>
        <w:t>In It Together SC:</w:t>
      </w:r>
      <w:r w:rsidRPr="00B875B2">
        <w:t xml:space="preserve"> In It Together is about helping each other stay informed and in control of our health. By seeking support and having confidence in ourselves, we can reduce the rate of diabetes and prediabetes in South Carolina.</w:t>
      </w:r>
      <w:r w:rsidRPr="00B875B2">
        <w:tab/>
      </w:r>
    </w:p>
    <w:p w14:paraId="7656DD66" w14:textId="77777777" w:rsidR="00544798" w:rsidRPr="00B875B2" w:rsidRDefault="00544798" w:rsidP="00926EB3">
      <w:pPr>
        <w:pStyle w:val="ListParagraph"/>
        <w:numPr>
          <w:ilvl w:val="0"/>
          <w:numId w:val="158"/>
        </w:numPr>
      </w:pPr>
      <w:r w:rsidRPr="00B875B2">
        <w:t>Reach: Statewide</w:t>
      </w:r>
      <w:r w:rsidRPr="00B875B2">
        <w:tab/>
      </w:r>
    </w:p>
    <w:p w14:paraId="7D788A29" w14:textId="77777777" w:rsidR="00544798" w:rsidRPr="00B875B2" w:rsidRDefault="00000000" w:rsidP="00926EB3">
      <w:pPr>
        <w:pStyle w:val="ListParagraph"/>
        <w:numPr>
          <w:ilvl w:val="0"/>
          <w:numId w:val="158"/>
        </w:numPr>
      </w:pPr>
      <w:hyperlink r:id="rId646" w:history="1">
        <w:r w:rsidR="00544798" w:rsidRPr="002402C0">
          <w:rPr>
            <w:rStyle w:val="Hyperlink"/>
          </w:rPr>
          <w:t>Contact via In It Together SC website.</w:t>
        </w:r>
      </w:hyperlink>
    </w:p>
    <w:p w14:paraId="14594DB2" w14:textId="77777777" w:rsidR="00544798" w:rsidRPr="00B875B2" w:rsidRDefault="00544798" w:rsidP="00544798"/>
    <w:p w14:paraId="41065073" w14:textId="77777777" w:rsidR="00544798" w:rsidRPr="00B875B2" w:rsidRDefault="00544798" w:rsidP="00544798">
      <w:r w:rsidRPr="00B875B2">
        <w:rPr>
          <w:rStyle w:val="Heading5Char"/>
        </w:rPr>
        <w:t>SC Department of Mental Health:</w:t>
      </w:r>
      <w:r w:rsidRPr="00B875B2">
        <w:t xml:space="preserve"> SCDMH’s mission is to support the recovery of people with mental illnesses. Through a statewide network of community mental health centers, clinics, hospitals, and nursing homes</w:t>
      </w:r>
      <w:r>
        <w:t>,</w:t>
      </w:r>
      <w:r w:rsidRPr="00B875B2">
        <w:t xml:space="preserve"> the Department’s clinical staff provide a complete array of medical and support services for children, adults, and families throughout South Carolina.</w:t>
      </w:r>
      <w:r w:rsidRPr="00B875B2">
        <w:tab/>
      </w:r>
    </w:p>
    <w:p w14:paraId="2A491AC1" w14:textId="77777777" w:rsidR="00544798" w:rsidRPr="00B875B2" w:rsidRDefault="00544798" w:rsidP="00926EB3">
      <w:pPr>
        <w:pStyle w:val="ListParagraph"/>
        <w:numPr>
          <w:ilvl w:val="0"/>
          <w:numId w:val="159"/>
        </w:numPr>
      </w:pPr>
      <w:r w:rsidRPr="00B875B2">
        <w:t>Reach: Statewide</w:t>
      </w:r>
      <w:r w:rsidRPr="00B875B2">
        <w:tab/>
      </w:r>
    </w:p>
    <w:p w14:paraId="519422D2" w14:textId="77777777" w:rsidR="00544798" w:rsidRPr="00B875B2" w:rsidRDefault="00000000" w:rsidP="00926EB3">
      <w:pPr>
        <w:pStyle w:val="ListParagraph"/>
        <w:numPr>
          <w:ilvl w:val="0"/>
          <w:numId w:val="159"/>
        </w:numPr>
      </w:pPr>
      <w:hyperlink r:id="rId647" w:history="1">
        <w:r w:rsidR="00544798" w:rsidRPr="005875AE">
          <w:rPr>
            <w:rStyle w:val="Hyperlink"/>
          </w:rPr>
          <w:t>Contact via SC Department of Mental Health website.</w:t>
        </w:r>
      </w:hyperlink>
    </w:p>
    <w:p w14:paraId="3B08C1C8" w14:textId="77777777" w:rsidR="00544798" w:rsidRPr="00B875B2" w:rsidRDefault="00544798" w:rsidP="00544798"/>
    <w:p w14:paraId="59FEFA49" w14:textId="2D70C2D7" w:rsidR="00544798" w:rsidRPr="00B875B2" w:rsidRDefault="00544798" w:rsidP="00544798">
      <w:r w:rsidRPr="00B875B2">
        <w:rPr>
          <w:rStyle w:val="Heading5Char"/>
        </w:rPr>
        <w:t>S</w:t>
      </w:r>
      <w:r w:rsidR="0087480F">
        <w:rPr>
          <w:rStyle w:val="Heading5Char"/>
        </w:rPr>
        <w:t xml:space="preserve">outh </w:t>
      </w:r>
      <w:r w:rsidRPr="00B875B2">
        <w:rPr>
          <w:rStyle w:val="Heading5Char"/>
        </w:rPr>
        <w:t>C</w:t>
      </w:r>
      <w:r w:rsidR="0087480F">
        <w:rPr>
          <w:rStyle w:val="Heading5Char"/>
        </w:rPr>
        <w:t>arolina</w:t>
      </w:r>
      <w:r w:rsidRPr="00B875B2">
        <w:rPr>
          <w:rStyle w:val="Heading5Char"/>
        </w:rPr>
        <w:t xml:space="preserve"> Behavioral Health Coalition:</w:t>
      </w:r>
      <w:r w:rsidRPr="00B875B2">
        <w:t xml:space="preserve"> The coalition is an alliance of public and private agencies, organizations and healthcare providers working together to improve the mental health and well-being of all South Carolinians, with substance use disorder prevention and treatment as a specific strategic priority area.</w:t>
      </w:r>
      <w:r w:rsidRPr="00B875B2">
        <w:tab/>
      </w:r>
    </w:p>
    <w:p w14:paraId="25D49A30" w14:textId="77777777" w:rsidR="00544798" w:rsidRPr="00B875B2" w:rsidRDefault="00544798" w:rsidP="00926EB3">
      <w:pPr>
        <w:pStyle w:val="ListParagraph"/>
        <w:numPr>
          <w:ilvl w:val="0"/>
          <w:numId w:val="160"/>
        </w:numPr>
      </w:pPr>
      <w:r w:rsidRPr="00B875B2">
        <w:t>Reach: Statewide</w:t>
      </w:r>
      <w:r w:rsidRPr="00B875B2">
        <w:tab/>
      </w:r>
    </w:p>
    <w:p w14:paraId="682BEAD8" w14:textId="77777777" w:rsidR="00544798" w:rsidRPr="00B875B2" w:rsidRDefault="00000000" w:rsidP="00926EB3">
      <w:pPr>
        <w:pStyle w:val="ListParagraph"/>
        <w:numPr>
          <w:ilvl w:val="0"/>
          <w:numId w:val="160"/>
        </w:numPr>
      </w:pPr>
      <w:hyperlink r:id="rId648" w:history="1">
        <w:r w:rsidR="00544798" w:rsidRPr="005875AE">
          <w:rPr>
            <w:rStyle w:val="Hyperlink"/>
          </w:rPr>
          <w:t>Contact via SC Behavioral Health Coalition website.</w:t>
        </w:r>
      </w:hyperlink>
      <w:r w:rsidR="00544798">
        <w:t xml:space="preserve"> </w:t>
      </w:r>
    </w:p>
    <w:p w14:paraId="77DD3E47" w14:textId="77777777" w:rsidR="00544798" w:rsidRPr="00B875B2" w:rsidRDefault="00544798" w:rsidP="00544798"/>
    <w:p w14:paraId="2718942F" w14:textId="16EE57F3" w:rsidR="00544798" w:rsidRPr="00B875B2" w:rsidRDefault="00544798" w:rsidP="00544798">
      <w:pPr>
        <w:pStyle w:val="Heading4"/>
      </w:pPr>
      <w:bookmarkStart w:id="1142" w:name="_Toc154569743"/>
      <w:bookmarkStart w:id="1143" w:name="_Toc162267775"/>
      <w:r w:rsidRPr="005875AE">
        <w:t>Aging</w:t>
      </w:r>
      <w:bookmarkEnd w:id="1142"/>
      <w:bookmarkEnd w:id="1143"/>
    </w:p>
    <w:p w14:paraId="74F991D5" w14:textId="311BA120" w:rsidR="00544798" w:rsidRPr="00B875B2" w:rsidRDefault="00544798" w:rsidP="00544798">
      <w:r w:rsidRPr="00B875B2">
        <w:rPr>
          <w:rStyle w:val="Heading5Char"/>
        </w:rPr>
        <w:t>S</w:t>
      </w:r>
      <w:r w:rsidR="0087480F">
        <w:rPr>
          <w:rStyle w:val="Heading5Char"/>
        </w:rPr>
        <w:t xml:space="preserve">outh </w:t>
      </w:r>
      <w:r w:rsidRPr="00B875B2">
        <w:rPr>
          <w:rStyle w:val="Heading5Char"/>
        </w:rPr>
        <w:t>C</w:t>
      </w:r>
      <w:r w:rsidR="0087480F">
        <w:rPr>
          <w:rStyle w:val="Heading5Char"/>
        </w:rPr>
        <w:t>arolina</w:t>
      </w:r>
      <w:r w:rsidRPr="00B875B2">
        <w:rPr>
          <w:rStyle w:val="Heading5Char"/>
        </w:rPr>
        <w:t xml:space="preserve"> Department on Aging:</w:t>
      </w:r>
      <w:r w:rsidRPr="00B875B2">
        <w:t xml:space="preserve"> The South Carolina Department on Aging (SCDOA) enhances the quality of life for seniors in South Carolina. The SCDOA works with a network of regional and local organizations to develop and manage services that help seniors remain independent in their homes and in their communities.</w:t>
      </w:r>
      <w:r w:rsidRPr="00B875B2">
        <w:tab/>
      </w:r>
    </w:p>
    <w:p w14:paraId="255C9284" w14:textId="77777777" w:rsidR="00544798" w:rsidRPr="00B875B2" w:rsidRDefault="00544798" w:rsidP="00926EB3">
      <w:pPr>
        <w:pStyle w:val="ListParagraph"/>
        <w:numPr>
          <w:ilvl w:val="0"/>
          <w:numId w:val="161"/>
        </w:numPr>
      </w:pPr>
      <w:r w:rsidRPr="00B875B2">
        <w:t>Reach: Statewide</w:t>
      </w:r>
      <w:r w:rsidRPr="00B875B2">
        <w:tab/>
      </w:r>
    </w:p>
    <w:p w14:paraId="6B6D8846" w14:textId="77777777" w:rsidR="00544798" w:rsidRPr="00B875B2" w:rsidRDefault="00000000" w:rsidP="00926EB3">
      <w:pPr>
        <w:pStyle w:val="ListParagraph"/>
        <w:numPr>
          <w:ilvl w:val="0"/>
          <w:numId w:val="161"/>
        </w:numPr>
      </w:pPr>
      <w:hyperlink r:id="rId649" w:history="1">
        <w:r w:rsidR="00544798" w:rsidRPr="005875AE">
          <w:rPr>
            <w:rStyle w:val="Hyperlink"/>
          </w:rPr>
          <w:t>Contact via SC Department on Aging website.</w:t>
        </w:r>
      </w:hyperlink>
      <w:r w:rsidR="00544798">
        <w:t xml:space="preserve"> </w:t>
      </w:r>
    </w:p>
    <w:p w14:paraId="6411D9B7" w14:textId="77777777" w:rsidR="00544798" w:rsidRPr="00B875B2" w:rsidRDefault="00544798" w:rsidP="00544798"/>
    <w:p w14:paraId="1BDA3E17" w14:textId="77777777" w:rsidR="00544798" w:rsidRPr="00B875B2" w:rsidRDefault="00544798" w:rsidP="00544798">
      <w:r w:rsidRPr="00B875B2">
        <w:rPr>
          <w:rStyle w:val="Heading5Char"/>
        </w:rPr>
        <w:t>South Carolina Respite Coalition:</w:t>
      </w:r>
      <w:r w:rsidRPr="00B875B2">
        <w:t xml:space="preserve"> This coalition is committed to addressing the needs for respite across the lifespan for all persons caring for a child or adult who has special needs. </w:t>
      </w:r>
      <w:r w:rsidRPr="00B875B2">
        <w:tab/>
      </w:r>
    </w:p>
    <w:p w14:paraId="1E8CAE75" w14:textId="77777777" w:rsidR="00544798" w:rsidRPr="00B875B2" w:rsidRDefault="00544798" w:rsidP="00926EB3">
      <w:pPr>
        <w:pStyle w:val="ListParagraph"/>
        <w:numPr>
          <w:ilvl w:val="0"/>
          <w:numId w:val="162"/>
        </w:numPr>
      </w:pPr>
      <w:r w:rsidRPr="00B875B2">
        <w:t>Reach: Statewide</w:t>
      </w:r>
      <w:r w:rsidRPr="00B875B2">
        <w:tab/>
      </w:r>
    </w:p>
    <w:p w14:paraId="160D7787" w14:textId="77777777" w:rsidR="00544798" w:rsidRDefault="00000000" w:rsidP="00926EB3">
      <w:pPr>
        <w:pStyle w:val="ListParagraph"/>
        <w:numPr>
          <w:ilvl w:val="0"/>
          <w:numId w:val="162"/>
        </w:numPr>
      </w:pPr>
      <w:hyperlink r:id="rId650" w:history="1">
        <w:r w:rsidR="00544798" w:rsidRPr="005875AE">
          <w:rPr>
            <w:rStyle w:val="Hyperlink"/>
          </w:rPr>
          <w:t>Contact via South Carolina Respite Coalition website.</w:t>
        </w:r>
      </w:hyperlink>
    </w:p>
    <w:p w14:paraId="1DAF324A" w14:textId="77777777" w:rsidR="00544798" w:rsidRPr="00B875B2" w:rsidRDefault="00544798" w:rsidP="00544798"/>
    <w:p w14:paraId="6528F5DB" w14:textId="26C13F70" w:rsidR="00544798" w:rsidRPr="00B875B2" w:rsidRDefault="00544798" w:rsidP="00544798">
      <w:r w:rsidRPr="00B875B2">
        <w:rPr>
          <w:rStyle w:val="Heading5Char"/>
        </w:rPr>
        <w:lastRenderedPageBreak/>
        <w:t>Social Carolina Department of Veterans</w:t>
      </w:r>
      <w:r w:rsidR="0087480F">
        <w:rPr>
          <w:rStyle w:val="Heading5Char"/>
        </w:rPr>
        <w:t>’</w:t>
      </w:r>
      <w:r w:rsidRPr="00B875B2">
        <w:rPr>
          <w:rStyle w:val="Heading5Char"/>
        </w:rPr>
        <w:t xml:space="preserve"> Affair</w:t>
      </w:r>
      <w:r>
        <w:rPr>
          <w:rStyle w:val="Heading5Char"/>
        </w:rPr>
        <w:t>s</w:t>
      </w:r>
      <w:r w:rsidRPr="00B875B2">
        <w:rPr>
          <w:rStyle w:val="Heading5Char"/>
        </w:rPr>
        <w:t>:</w:t>
      </w:r>
      <w:r w:rsidRPr="00B875B2">
        <w:t xml:space="preserve"> The South Carolina Department of Veterans’ Affairs leads and enables a state-wide coalition of partners to create and sustain an environment in which Veterans and their families can thrive as valued and contributing members of the South Carolina community and the Nation.</w:t>
      </w:r>
      <w:r w:rsidRPr="00B875B2">
        <w:tab/>
      </w:r>
    </w:p>
    <w:p w14:paraId="6F6CBC81" w14:textId="77777777" w:rsidR="00544798" w:rsidRPr="00B875B2" w:rsidRDefault="00544798" w:rsidP="00926EB3">
      <w:pPr>
        <w:pStyle w:val="ListParagraph"/>
        <w:numPr>
          <w:ilvl w:val="0"/>
          <w:numId w:val="163"/>
        </w:numPr>
      </w:pPr>
      <w:r w:rsidRPr="00B875B2">
        <w:t>Reach: Statewide</w:t>
      </w:r>
      <w:r w:rsidRPr="00B875B2">
        <w:tab/>
      </w:r>
    </w:p>
    <w:p w14:paraId="39889AEC" w14:textId="77777777" w:rsidR="00544798" w:rsidRPr="00B875B2" w:rsidRDefault="00000000" w:rsidP="00926EB3">
      <w:pPr>
        <w:pStyle w:val="ListParagraph"/>
        <w:numPr>
          <w:ilvl w:val="0"/>
          <w:numId w:val="163"/>
        </w:numPr>
      </w:pPr>
      <w:hyperlink r:id="rId651" w:history="1">
        <w:r w:rsidR="00544798" w:rsidRPr="005875AE">
          <w:rPr>
            <w:rStyle w:val="Hyperlink"/>
          </w:rPr>
          <w:t>Contact via Social Carolina Department of Veterans Affairs website.</w:t>
        </w:r>
      </w:hyperlink>
    </w:p>
    <w:p w14:paraId="48AC2587" w14:textId="77777777" w:rsidR="00544798" w:rsidRPr="00B875B2" w:rsidRDefault="00544798" w:rsidP="00544798"/>
    <w:p w14:paraId="0F288510" w14:textId="77777777" w:rsidR="00544798" w:rsidRPr="00B875B2" w:rsidRDefault="00544798" w:rsidP="00544798">
      <w:r w:rsidRPr="00B875B2">
        <w:rPr>
          <w:rStyle w:val="Heading5Char"/>
        </w:rPr>
        <w:t>South Carolina Chapter AARP:</w:t>
      </w:r>
      <w:r w:rsidRPr="00B875B2">
        <w:t xml:space="preserve"> AARP is a nonprofit, nonpartisan organization that empowers people to choose how they live as they age.</w:t>
      </w:r>
      <w:r w:rsidRPr="00B875B2">
        <w:tab/>
      </w:r>
    </w:p>
    <w:p w14:paraId="20856233" w14:textId="77777777" w:rsidR="00544798" w:rsidRPr="00B875B2" w:rsidRDefault="00544798" w:rsidP="00926EB3">
      <w:pPr>
        <w:pStyle w:val="ListParagraph"/>
        <w:numPr>
          <w:ilvl w:val="0"/>
          <w:numId w:val="164"/>
        </w:numPr>
      </w:pPr>
      <w:r w:rsidRPr="00B875B2">
        <w:t>Reach: Statewide</w:t>
      </w:r>
      <w:r w:rsidRPr="00B875B2">
        <w:tab/>
      </w:r>
    </w:p>
    <w:p w14:paraId="3814F886" w14:textId="77777777" w:rsidR="00544798" w:rsidRPr="00B875B2" w:rsidRDefault="00000000" w:rsidP="00926EB3">
      <w:pPr>
        <w:pStyle w:val="ListParagraph"/>
        <w:numPr>
          <w:ilvl w:val="0"/>
          <w:numId w:val="164"/>
        </w:numPr>
      </w:pPr>
      <w:hyperlink r:id="rId652" w:history="1">
        <w:r w:rsidR="00544798" w:rsidRPr="005875AE">
          <w:rPr>
            <w:rStyle w:val="Hyperlink"/>
          </w:rPr>
          <w:t>Contact via South Carolina Chapter AARP website.</w:t>
        </w:r>
      </w:hyperlink>
      <w:r w:rsidR="00544798">
        <w:t xml:space="preserve"> </w:t>
      </w:r>
    </w:p>
    <w:p w14:paraId="178EF6C9" w14:textId="77777777" w:rsidR="00544798" w:rsidRPr="00B875B2" w:rsidRDefault="00544798" w:rsidP="00544798"/>
    <w:p w14:paraId="629E4925" w14:textId="77777777" w:rsidR="00544798" w:rsidRPr="00B875B2" w:rsidRDefault="00544798" w:rsidP="00544798">
      <w:r w:rsidRPr="00B875B2">
        <w:rPr>
          <w:rStyle w:val="Heading5Char"/>
        </w:rPr>
        <w:t>South Carolina Chapter Alzheimer’s Association:</w:t>
      </w:r>
      <w:r w:rsidRPr="00B875B2">
        <w:t xml:space="preserve"> The SC Alzheimer's Association provides services to communities across South Carolina, advocate for the needs and rights of those facing Alzheimer’s and accelerates research.</w:t>
      </w:r>
      <w:r w:rsidRPr="00B875B2">
        <w:tab/>
      </w:r>
    </w:p>
    <w:p w14:paraId="6D68FF42" w14:textId="77777777" w:rsidR="00544798" w:rsidRPr="00B875B2" w:rsidRDefault="00544798" w:rsidP="00926EB3">
      <w:pPr>
        <w:pStyle w:val="ListParagraph"/>
        <w:numPr>
          <w:ilvl w:val="0"/>
          <w:numId w:val="165"/>
        </w:numPr>
      </w:pPr>
      <w:r w:rsidRPr="00B875B2">
        <w:t>Reach: Statewide</w:t>
      </w:r>
      <w:r w:rsidRPr="00B875B2">
        <w:tab/>
      </w:r>
    </w:p>
    <w:p w14:paraId="7015799D" w14:textId="77777777" w:rsidR="00544798" w:rsidRPr="005875AE" w:rsidRDefault="00000000" w:rsidP="00926EB3">
      <w:pPr>
        <w:pStyle w:val="ListParagraph"/>
        <w:numPr>
          <w:ilvl w:val="0"/>
          <w:numId w:val="165"/>
        </w:numPr>
        <w:rPr>
          <w:u w:val="thick"/>
        </w:rPr>
      </w:pPr>
      <w:hyperlink r:id="rId653" w:history="1">
        <w:r w:rsidR="00544798" w:rsidRPr="005875AE">
          <w:rPr>
            <w:rStyle w:val="Hyperlink"/>
          </w:rPr>
          <w:t>Contac via South Carolina Chapter Alzheimer’s Association website.</w:t>
        </w:r>
      </w:hyperlink>
      <w:r w:rsidR="00544798">
        <w:t xml:space="preserve"> </w:t>
      </w:r>
    </w:p>
    <w:p w14:paraId="02E778CB" w14:textId="77777777" w:rsidR="00544798" w:rsidRPr="00B875B2" w:rsidRDefault="00544798" w:rsidP="00544798">
      <w:pPr>
        <w:rPr>
          <w:u w:val="thick"/>
        </w:rPr>
      </w:pPr>
    </w:p>
    <w:p w14:paraId="0511C7DC" w14:textId="77777777" w:rsidR="00544798" w:rsidRPr="00B875B2" w:rsidRDefault="00544798" w:rsidP="00544798"/>
    <w:p w14:paraId="162CFAAC" w14:textId="77777777" w:rsidR="00544798" w:rsidRDefault="00544798" w:rsidP="00544798">
      <w:r w:rsidRPr="00B875B2">
        <w:t xml:space="preserve">The list of assets is not exhaustive, and a full list can found be online at </w:t>
      </w:r>
      <w:hyperlink r:id="rId654" w:history="1">
        <w:r w:rsidRPr="005875AE">
          <w:rPr>
            <w:rStyle w:val="Hyperlink"/>
          </w:rPr>
          <w:t>Live Healthy SC's website.</w:t>
        </w:r>
      </w:hyperlink>
    </w:p>
    <w:p w14:paraId="5699685A" w14:textId="77777777" w:rsidR="00544798" w:rsidRDefault="00544798" w:rsidP="00544798"/>
    <w:p w14:paraId="2605DD4A" w14:textId="77777777" w:rsidR="00544798" w:rsidRDefault="00544798">
      <w:pPr>
        <w:rPr>
          <w:rFonts w:asciiTheme="majorHAnsi" w:eastAsiaTheme="majorEastAsia" w:hAnsiTheme="majorHAnsi" w:cstheme="majorBidi"/>
          <w:color w:val="2F5496" w:themeColor="accent1" w:themeShade="BF"/>
          <w:sz w:val="36"/>
        </w:rPr>
      </w:pPr>
      <w:bookmarkStart w:id="1144" w:name="_Toc154569744"/>
      <w:r>
        <w:br w:type="page"/>
      </w:r>
    </w:p>
    <w:p w14:paraId="56452F09" w14:textId="50B0B468" w:rsidR="00544798" w:rsidRDefault="00544798" w:rsidP="00544798">
      <w:pPr>
        <w:pStyle w:val="Heading3"/>
      </w:pPr>
      <w:bookmarkStart w:id="1145" w:name="_Toc162267776"/>
      <w:r>
        <w:lastRenderedPageBreak/>
        <w:t>Appendix G: Forces of Change Survey</w:t>
      </w:r>
      <w:bookmarkEnd w:id="1144"/>
      <w:bookmarkEnd w:id="1145"/>
    </w:p>
    <w:p w14:paraId="372A5AF1" w14:textId="77777777" w:rsidR="00544798" w:rsidRDefault="00544798" w:rsidP="00544798"/>
    <w:p w14:paraId="6EEF8DE3" w14:textId="77777777" w:rsidR="00544798" w:rsidRDefault="00544798" w:rsidP="00544798">
      <w:r w:rsidRPr="004328ED">
        <w:t xml:space="preserve">The Forces of Change assessment is used in the State Health Assessment process to help identify issues the review of data did not uncover. It identifies forces that affect the health and quality of life of the state now and in the near-to-medium future. Issues could be economic, social, political, technological, environmental, scientific, legal, or even ethical. </w:t>
      </w:r>
    </w:p>
    <w:p w14:paraId="77234276" w14:textId="77777777" w:rsidR="00544798" w:rsidRPr="004328ED" w:rsidRDefault="00544798" w:rsidP="00544798"/>
    <w:p w14:paraId="1EB99298" w14:textId="77777777" w:rsidR="00544798" w:rsidRPr="004328ED" w:rsidRDefault="00544798" w:rsidP="00544798">
      <w:r w:rsidRPr="004328ED">
        <w:t xml:space="preserve">When thinking about forces consider trends, factors, or events. </w:t>
      </w:r>
    </w:p>
    <w:p w14:paraId="50399015" w14:textId="77777777" w:rsidR="00544798" w:rsidRDefault="00544798" w:rsidP="00926EB3">
      <w:pPr>
        <w:pStyle w:val="ListParagraph"/>
        <w:numPr>
          <w:ilvl w:val="0"/>
          <w:numId w:val="166"/>
        </w:numPr>
      </w:pPr>
      <w:r w:rsidRPr="004328ED">
        <w:t xml:space="preserve">Trends are patterns over time, such as migrations in and out of a community or a growing disillusionment with government. </w:t>
      </w:r>
    </w:p>
    <w:p w14:paraId="4B595EAE" w14:textId="77777777" w:rsidR="00544798" w:rsidRDefault="00544798" w:rsidP="00926EB3">
      <w:pPr>
        <w:pStyle w:val="ListParagraph"/>
        <w:numPr>
          <w:ilvl w:val="0"/>
          <w:numId w:val="166"/>
        </w:numPr>
      </w:pPr>
      <w:r w:rsidRPr="004328ED">
        <w:t xml:space="preserve">Factors are discrete elements, such as a community's large ethnic population, an urban setting, or a jurisdiction's proximity to a major waterway. </w:t>
      </w:r>
    </w:p>
    <w:p w14:paraId="3E920603" w14:textId="77777777" w:rsidR="00544798" w:rsidRPr="004328ED" w:rsidRDefault="00544798" w:rsidP="00926EB3">
      <w:pPr>
        <w:pStyle w:val="ListParagraph"/>
        <w:numPr>
          <w:ilvl w:val="0"/>
          <w:numId w:val="166"/>
        </w:numPr>
      </w:pPr>
      <w:r w:rsidRPr="004328ED">
        <w:t xml:space="preserve">Events are one-time occurrences, such as a hospital closure, the opening of a new factory, a natural disaster, or the passage of new legislation. </w:t>
      </w:r>
    </w:p>
    <w:p w14:paraId="02FD81E7" w14:textId="77777777" w:rsidR="00544798" w:rsidRPr="004328ED" w:rsidRDefault="00544798" w:rsidP="00544798"/>
    <w:p w14:paraId="526D221B" w14:textId="77777777" w:rsidR="00544798" w:rsidRPr="004328ED" w:rsidRDefault="00544798" w:rsidP="00544798">
      <w:r w:rsidRPr="004328ED">
        <w:t xml:space="preserve">We invite you to take a few minutes to think about forces to be considered in the 2023 state health assessment process and share your thoughts via this 4 question survey. We thank you in advance for your time! </w:t>
      </w:r>
    </w:p>
    <w:p w14:paraId="3FC23F93" w14:textId="77777777" w:rsidR="00544798" w:rsidRPr="004328ED" w:rsidRDefault="00544798" w:rsidP="00544798"/>
    <w:p w14:paraId="1A0DCC1D" w14:textId="77777777" w:rsidR="00544798" w:rsidRDefault="00544798" w:rsidP="00926EB3">
      <w:pPr>
        <w:pStyle w:val="ListParagraph"/>
        <w:numPr>
          <w:ilvl w:val="0"/>
          <w:numId w:val="167"/>
        </w:numPr>
      </w:pPr>
      <w:r w:rsidRPr="004328ED">
        <w:t>Name of organization completing this survey:</w:t>
      </w:r>
      <w:r w:rsidRPr="004328ED">
        <w:tab/>
      </w:r>
    </w:p>
    <w:p w14:paraId="1E5C229E" w14:textId="77777777" w:rsidR="00544798" w:rsidRDefault="00544798" w:rsidP="00926EB3">
      <w:pPr>
        <w:pStyle w:val="ListParagraph"/>
        <w:numPr>
          <w:ilvl w:val="0"/>
          <w:numId w:val="167"/>
        </w:numPr>
      </w:pPr>
      <w:r w:rsidRPr="004328ED">
        <w:t>What forces are affecting South Carolina? (can list more than one in each box)</w:t>
      </w:r>
    </w:p>
    <w:p w14:paraId="4FA8D613" w14:textId="77777777" w:rsidR="00544798" w:rsidRDefault="00544798" w:rsidP="00926EB3">
      <w:pPr>
        <w:pStyle w:val="ListParagraph"/>
        <w:numPr>
          <w:ilvl w:val="1"/>
          <w:numId w:val="167"/>
        </w:numPr>
      </w:pPr>
      <w:r w:rsidRPr="004328ED">
        <w:t xml:space="preserve">Trends: </w:t>
      </w:r>
      <w:r w:rsidRPr="004328ED">
        <w:tab/>
      </w:r>
    </w:p>
    <w:p w14:paraId="1B29661B" w14:textId="77777777" w:rsidR="00544798" w:rsidRDefault="00544798" w:rsidP="00926EB3">
      <w:pPr>
        <w:pStyle w:val="ListParagraph"/>
        <w:numPr>
          <w:ilvl w:val="1"/>
          <w:numId w:val="167"/>
        </w:numPr>
      </w:pPr>
      <w:r w:rsidRPr="004328ED">
        <w:t xml:space="preserve">Factors: </w:t>
      </w:r>
      <w:r w:rsidRPr="004328ED">
        <w:tab/>
      </w:r>
    </w:p>
    <w:p w14:paraId="1E3ECD10" w14:textId="77777777" w:rsidR="00544798" w:rsidRDefault="00544798" w:rsidP="00926EB3">
      <w:pPr>
        <w:pStyle w:val="ListParagraph"/>
        <w:numPr>
          <w:ilvl w:val="1"/>
          <w:numId w:val="167"/>
        </w:numPr>
      </w:pPr>
      <w:r w:rsidRPr="004328ED">
        <w:t>Events:</w:t>
      </w:r>
    </w:p>
    <w:p w14:paraId="6A4D9B94" w14:textId="77777777" w:rsidR="00544798" w:rsidRDefault="00544798" w:rsidP="00926EB3">
      <w:pPr>
        <w:pStyle w:val="ListParagraph"/>
        <w:numPr>
          <w:ilvl w:val="0"/>
          <w:numId w:val="167"/>
        </w:numPr>
      </w:pPr>
      <w:r w:rsidRPr="004328ED">
        <w:t>What forces might hinder us from creating a healthier state? (can list more than one in each box)</w:t>
      </w:r>
    </w:p>
    <w:p w14:paraId="3E566285" w14:textId="77777777" w:rsidR="00544798" w:rsidRDefault="00544798" w:rsidP="00926EB3">
      <w:pPr>
        <w:pStyle w:val="ListParagraph"/>
        <w:numPr>
          <w:ilvl w:val="1"/>
          <w:numId w:val="167"/>
        </w:numPr>
      </w:pPr>
      <w:r w:rsidRPr="004328ED">
        <w:t xml:space="preserve">Trends: </w:t>
      </w:r>
      <w:r w:rsidRPr="004328ED">
        <w:tab/>
      </w:r>
    </w:p>
    <w:p w14:paraId="130E556C" w14:textId="77777777" w:rsidR="00544798" w:rsidRDefault="00544798" w:rsidP="00926EB3">
      <w:pPr>
        <w:pStyle w:val="ListParagraph"/>
        <w:numPr>
          <w:ilvl w:val="1"/>
          <w:numId w:val="167"/>
        </w:numPr>
      </w:pPr>
      <w:r w:rsidRPr="004328ED">
        <w:t xml:space="preserve">Factors: </w:t>
      </w:r>
      <w:r w:rsidRPr="004328ED">
        <w:tab/>
      </w:r>
    </w:p>
    <w:p w14:paraId="27EFC031" w14:textId="77777777" w:rsidR="00544798" w:rsidRDefault="00544798" w:rsidP="00926EB3">
      <w:pPr>
        <w:pStyle w:val="ListParagraph"/>
        <w:numPr>
          <w:ilvl w:val="1"/>
          <w:numId w:val="167"/>
        </w:numPr>
      </w:pPr>
      <w:r w:rsidRPr="004328ED">
        <w:t>Events:</w:t>
      </w:r>
      <w:r w:rsidRPr="004328ED">
        <w:tab/>
      </w:r>
    </w:p>
    <w:p w14:paraId="33ACD4DE" w14:textId="77777777" w:rsidR="00544798" w:rsidRPr="004328ED" w:rsidRDefault="00544798" w:rsidP="00926EB3">
      <w:pPr>
        <w:pStyle w:val="ListParagraph"/>
        <w:numPr>
          <w:ilvl w:val="0"/>
          <w:numId w:val="167"/>
        </w:numPr>
      </w:pPr>
      <w:r w:rsidRPr="004328ED">
        <w:t>What are the top three actions South Carolina could take in response to those forces that could lead to health improvement?</w:t>
      </w:r>
    </w:p>
    <w:p w14:paraId="086F23EA" w14:textId="77777777" w:rsidR="00544798" w:rsidRDefault="00544798" w:rsidP="00926EB3">
      <w:pPr>
        <w:pStyle w:val="ListParagraph"/>
        <w:numPr>
          <w:ilvl w:val="1"/>
          <w:numId w:val="167"/>
        </w:numPr>
      </w:pPr>
      <w:r w:rsidRPr="004328ED">
        <w:t xml:space="preserve">Trends: </w:t>
      </w:r>
      <w:r w:rsidRPr="004328ED">
        <w:tab/>
      </w:r>
    </w:p>
    <w:p w14:paraId="2AC184A0" w14:textId="77777777" w:rsidR="00544798" w:rsidRDefault="00544798" w:rsidP="00926EB3">
      <w:pPr>
        <w:pStyle w:val="ListParagraph"/>
        <w:numPr>
          <w:ilvl w:val="1"/>
          <w:numId w:val="167"/>
        </w:numPr>
      </w:pPr>
      <w:r w:rsidRPr="004328ED">
        <w:t xml:space="preserve">Factors: </w:t>
      </w:r>
      <w:r w:rsidRPr="004328ED">
        <w:tab/>
      </w:r>
    </w:p>
    <w:p w14:paraId="48D10673" w14:textId="4D28A287" w:rsidR="00544798" w:rsidRPr="00544798" w:rsidRDefault="00544798" w:rsidP="00926EB3">
      <w:pPr>
        <w:pStyle w:val="ListParagraph"/>
        <w:numPr>
          <w:ilvl w:val="1"/>
          <w:numId w:val="167"/>
        </w:numPr>
      </w:pPr>
      <w:r w:rsidRPr="004328ED">
        <w:t>Events:</w:t>
      </w:r>
      <w:bookmarkStart w:id="1146" w:name="_Toc154569745"/>
      <w:r>
        <w:br w:type="page"/>
      </w:r>
    </w:p>
    <w:p w14:paraId="7DFFBDC2" w14:textId="1329E208" w:rsidR="00544798" w:rsidRDefault="00544798" w:rsidP="00544798">
      <w:pPr>
        <w:pStyle w:val="Heading3"/>
      </w:pPr>
      <w:bookmarkStart w:id="1147" w:name="_Toc162267777"/>
      <w:r>
        <w:lastRenderedPageBreak/>
        <w:t>Appendix H: Community Listening Sessions</w:t>
      </w:r>
      <w:bookmarkEnd w:id="1146"/>
      <w:bookmarkEnd w:id="1147"/>
    </w:p>
    <w:p w14:paraId="571FA5F3" w14:textId="77777777" w:rsidR="00544798" w:rsidRDefault="00544798" w:rsidP="00544798"/>
    <w:p w14:paraId="742E3976" w14:textId="77777777" w:rsidR="00544798" w:rsidRDefault="00544798" w:rsidP="00926EB3">
      <w:pPr>
        <w:pStyle w:val="ListParagraph"/>
        <w:numPr>
          <w:ilvl w:val="0"/>
          <w:numId w:val="168"/>
        </w:numPr>
      </w:pPr>
      <w:r w:rsidRPr="004328ED">
        <w:t>Name of Coalition:</w:t>
      </w:r>
    </w:p>
    <w:p w14:paraId="2C5F4A12" w14:textId="77777777" w:rsidR="00544798" w:rsidRDefault="00544798" w:rsidP="00926EB3">
      <w:pPr>
        <w:pStyle w:val="ListParagraph"/>
        <w:numPr>
          <w:ilvl w:val="0"/>
          <w:numId w:val="168"/>
        </w:numPr>
      </w:pPr>
      <w:r w:rsidRPr="004328ED">
        <w:t>Date:</w:t>
      </w:r>
    </w:p>
    <w:p w14:paraId="5EA96516" w14:textId="77777777" w:rsidR="00544798" w:rsidRDefault="00544798" w:rsidP="00926EB3">
      <w:pPr>
        <w:pStyle w:val="ListParagraph"/>
        <w:numPr>
          <w:ilvl w:val="0"/>
          <w:numId w:val="168"/>
        </w:numPr>
      </w:pPr>
      <w:r w:rsidRPr="004328ED">
        <w:t>Number of People Present:</w:t>
      </w:r>
    </w:p>
    <w:p w14:paraId="2397E0F3" w14:textId="77777777" w:rsidR="00544798" w:rsidRPr="004328ED" w:rsidRDefault="00544798" w:rsidP="00926EB3">
      <w:pPr>
        <w:pStyle w:val="ListParagraph"/>
        <w:numPr>
          <w:ilvl w:val="0"/>
          <w:numId w:val="168"/>
        </w:numPr>
      </w:pPr>
      <w:r w:rsidRPr="004328ED">
        <w:t xml:space="preserve">County: </w:t>
      </w:r>
      <w:r w:rsidRPr="004328ED">
        <w:tab/>
      </w:r>
    </w:p>
    <w:p w14:paraId="149D8998" w14:textId="77777777" w:rsidR="00544798" w:rsidRPr="004328ED" w:rsidRDefault="00544798" w:rsidP="00544798"/>
    <w:p w14:paraId="7AB45259" w14:textId="77777777" w:rsidR="00544798" w:rsidRDefault="00544798" w:rsidP="00926EB3">
      <w:pPr>
        <w:pStyle w:val="ListParagraph"/>
        <w:numPr>
          <w:ilvl w:val="0"/>
          <w:numId w:val="169"/>
        </w:numPr>
      </w:pPr>
      <w:r w:rsidRPr="004328ED">
        <w:t>What do you all believe are some of your counties leading health priorities?</w:t>
      </w:r>
      <w:r>
        <w:t xml:space="preserve"> </w:t>
      </w:r>
      <w:r w:rsidRPr="004328ED">
        <w:t>Answer choices:</w:t>
      </w:r>
    </w:p>
    <w:p w14:paraId="72C82122" w14:textId="77777777" w:rsidR="00544798" w:rsidRDefault="00544798" w:rsidP="00926EB3">
      <w:pPr>
        <w:pStyle w:val="ListParagraph"/>
        <w:numPr>
          <w:ilvl w:val="1"/>
          <w:numId w:val="169"/>
        </w:numPr>
      </w:pPr>
      <w:r w:rsidRPr="004328ED">
        <w:t>Access to care</w:t>
      </w:r>
      <w:r>
        <w:t>.</w:t>
      </w:r>
    </w:p>
    <w:p w14:paraId="02ABF87C" w14:textId="77777777" w:rsidR="00544798" w:rsidRDefault="00544798" w:rsidP="00926EB3">
      <w:pPr>
        <w:pStyle w:val="ListParagraph"/>
        <w:numPr>
          <w:ilvl w:val="1"/>
          <w:numId w:val="169"/>
        </w:numPr>
      </w:pPr>
      <w:r w:rsidRPr="004328ED">
        <w:t>Clinical preventive services</w:t>
      </w:r>
      <w:r>
        <w:t>.</w:t>
      </w:r>
    </w:p>
    <w:p w14:paraId="1A686C84" w14:textId="77777777" w:rsidR="00544798" w:rsidRDefault="00544798" w:rsidP="00926EB3">
      <w:pPr>
        <w:pStyle w:val="ListParagraph"/>
        <w:numPr>
          <w:ilvl w:val="1"/>
          <w:numId w:val="169"/>
        </w:numPr>
      </w:pPr>
      <w:r w:rsidRPr="004328ED">
        <w:t>Oral health</w:t>
      </w:r>
      <w:r>
        <w:t>.</w:t>
      </w:r>
    </w:p>
    <w:p w14:paraId="3317B1AA" w14:textId="77777777" w:rsidR="00544798" w:rsidRDefault="00544798" w:rsidP="00926EB3">
      <w:pPr>
        <w:pStyle w:val="ListParagraph"/>
        <w:numPr>
          <w:ilvl w:val="1"/>
          <w:numId w:val="169"/>
        </w:numPr>
      </w:pPr>
      <w:r w:rsidRPr="004328ED">
        <w:t>Sexual health</w:t>
      </w:r>
      <w:r>
        <w:t>.</w:t>
      </w:r>
    </w:p>
    <w:p w14:paraId="2F078998" w14:textId="77777777" w:rsidR="00544798" w:rsidRDefault="00544798" w:rsidP="00926EB3">
      <w:pPr>
        <w:pStyle w:val="ListParagraph"/>
        <w:numPr>
          <w:ilvl w:val="1"/>
          <w:numId w:val="169"/>
        </w:numPr>
      </w:pPr>
      <w:r w:rsidRPr="004328ED">
        <w:t>Substance misuse</w:t>
      </w:r>
      <w:r>
        <w:t>.</w:t>
      </w:r>
    </w:p>
    <w:p w14:paraId="4F3666F5" w14:textId="77777777" w:rsidR="00544798" w:rsidRDefault="00544798" w:rsidP="00926EB3">
      <w:pPr>
        <w:pStyle w:val="ListParagraph"/>
        <w:numPr>
          <w:ilvl w:val="1"/>
          <w:numId w:val="169"/>
        </w:numPr>
      </w:pPr>
      <w:r w:rsidRPr="004328ED">
        <w:t>Tobacco use</w:t>
      </w:r>
      <w:r>
        <w:t>.</w:t>
      </w:r>
    </w:p>
    <w:p w14:paraId="75189D91" w14:textId="77777777" w:rsidR="00544798" w:rsidRDefault="00544798" w:rsidP="00926EB3">
      <w:pPr>
        <w:pStyle w:val="ListParagraph"/>
        <w:numPr>
          <w:ilvl w:val="1"/>
          <w:numId w:val="169"/>
        </w:numPr>
      </w:pPr>
      <w:r w:rsidRPr="004328ED">
        <w:t>Injury and violence</w:t>
      </w:r>
      <w:r>
        <w:t>.</w:t>
      </w:r>
    </w:p>
    <w:p w14:paraId="4C61B857" w14:textId="77777777" w:rsidR="00544798" w:rsidRDefault="00544798" w:rsidP="00926EB3">
      <w:pPr>
        <w:pStyle w:val="ListParagraph"/>
        <w:numPr>
          <w:ilvl w:val="1"/>
          <w:numId w:val="169"/>
        </w:numPr>
      </w:pPr>
      <w:r w:rsidRPr="004328ED">
        <w:t>Maternal, infant and child health</w:t>
      </w:r>
      <w:r>
        <w:t>.</w:t>
      </w:r>
    </w:p>
    <w:p w14:paraId="5BE9B466" w14:textId="77777777" w:rsidR="00544798" w:rsidRDefault="00544798" w:rsidP="00926EB3">
      <w:pPr>
        <w:pStyle w:val="ListParagraph"/>
        <w:numPr>
          <w:ilvl w:val="1"/>
          <w:numId w:val="169"/>
        </w:numPr>
      </w:pPr>
      <w:r w:rsidRPr="004328ED">
        <w:t>Mental health</w:t>
      </w:r>
      <w:r>
        <w:t>.</w:t>
      </w:r>
    </w:p>
    <w:p w14:paraId="2FBAA23E" w14:textId="77777777" w:rsidR="00544798" w:rsidRDefault="00544798" w:rsidP="00926EB3">
      <w:pPr>
        <w:pStyle w:val="ListParagraph"/>
        <w:numPr>
          <w:ilvl w:val="1"/>
          <w:numId w:val="169"/>
        </w:numPr>
      </w:pPr>
      <w:r w:rsidRPr="004328ED">
        <w:t xml:space="preserve">Obesity, </w:t>
      </w:r>
      <w:proofErr w:type="gramStart"/>
      <w:r w:rsidRPr="004328ED">
        <w:t>nutrition</w:t>
      </w:r>
      <w:proofErr w:type="gramEnd"/>
      <w:r w:rsidRPr="004328ED">
        <w:t xml:space="preserve"> and physical activity</w:t>
      </w:r>
      <w:r>
        <w:t>.</w:t>
      </w:r>
    </w:p>
    <w:p w14:paraId="25EF01A9" w14:textId="77777777" w:rsidR="00544798" w:rsidRDefault="00544798" w:rsidP="00926EB3">
      <w:pPr>
        <w:pStyle w:val="ListParagraph"/>
        <w:numPr>
          <w:ilvl w:val="0"/>
          <w:numId w:val="169"/>
        </w:numPr>
      </w:pPr>
      <w:r w:rsidRPr="004328ED">
        <w:t>What do you think are the biggest challenges to improving the overall health of the county?</w:t>
      </w:r>
    </w:p>
    <w:p w14:paraId="5D1F81C4" w14:textId="77777777" w:rsidR="00544798" w:rsidRDefault="00544798" w:rsidP="00926EB3">
      <w:pPr>
        <w:pStyle w:val="ListParagraph"/>
        <w:numPr>
          <w:ilvl w:val="0"/>
          <w:numId w:val="169"/>
        </w:numPr>
      </w:pPr>
      <w:r w:rsidRPr="004328ED">
        <w:t>What strengths or resources can be mobilized to improve the overall health of the county</w:t>
      </w:r>
      <w:r>
        <w:t>?</w:t>
      </w:r>
    </w:p>
    <w:p w14:paraId="1CC22016" w14:textId="77777777" w:rsidR="00544798" w:rsidRDefault="00544798" w:rsidP="00544798"/>
    <w:p w14:paraId="5491C468" w14:textId="77777777" w:rsidR="00544798" w:rsidRDefault="00544798">
      <w:pPr>
        <w:rPr>
          <w:rFonts w:asciiTheme="majorHAnsi" w:eastAsiaTheme="majorEastAsia" w:hAnsiTheme="majorHAnsi" w:cstheme="majorBidi"/>
          <w:color w:val="2F5496" w:themeColor="accent1" w:themeShade="BF"/>
          <w:sz w:val="36"/>
        </w:rPr>
      </w:pPr>
      <w:bookmarkStart w:id="1148" w:name="_Toc154569746"/>
      <w:r>
        <w:br w:type="page"/>
      </w:r>
    </w:p>
    <w:p w14:paraId="5E55A456" w14:textId="2AF00237" w:rsidR="00544798" w:rsidRDefault="00544798" w:rsidP="00544798">
      <w:pPr>
        <w:pStyle w:val="Heading3"/>
      </w:pPr>
      <w:bookmarkStart w:id="1149" w:name="_Toc162267778"/>
      <w:r>
        <w:lastRenderedPageBreak/>
        <w:t>Appendix I: Key Stakeholder Interview Questions</w:t>
      </w:r>
      <w:bookmarkEnd w:id="1148"/>
      <w:bookmarkEnd w:id="1149"/>
    </w:p>
    <w:p w14:paraId="168E67DD" w14:textId="77777777" w:rsidR="00544798" w:rsidRDefault="00544798" w:rsidP="00544798"/>
    <w:p w14:paraId="70333CFC" w14:textId="77777777" w:rsidR="00544798" w:rsidRPr="003F2F28" w:rsidRDefault="00544798" w:rsidP="00926EB3">
      <w:pPr>
        <w:pStyle w:val="ListParagraph"/>
        <w:numPr>
          <w:ilvl w:val="0"/>
          <w:numId w:val="170"/>
        </w:numPr>
      </w:pPr>
      <w:r w:rsidRPr="003F2F28">
        <w:t>Interviewee’s Name:</w:t>
      </w:r>
    </w:p>
    <w:p w14:paraId="78B7761F" w14:textId="77777777" w:rsidR="00544798" w:rsidRPr="003F2F28" w:rsidRDefault="00544798" w:rsidP="00926EB3">
      <w:pPr>
        <w:pStyle w:val="ListParagraph"/>
        <w:numPr>
          <w:ilvl w:val="0"/>
          <w:numId w:val="170"/>
        </w:numPr>
      </w:pPr>
      <w:r w:rsidRPr="003F2F28">
        <w:t>Title:</w:t>
      </w:r>
      <w:r w:rsidRPr="003F2F28">
        <w:tab/>
        <w:t xml:space="preserve"> </w:t>
      </w:r>
    </w:p>
    <w:p w14:paraId="313B76BA" w14:textId="77777777" w:rsidR="00544798" w:rsidRPr="003F2F28" w:rsidRDefault="00544798" w:rsidP="00926EB3">
      <w:pPr>
        <w:pStyle w:val="ListParagraph"/>
        <w:numPr>
          <w:ilvl w:val="0"/>
          <w:numId w:val="170"/>
        </w:numPr>
      </w:pPr>
      <w:r w:rsidRPr="003F2F28">
        <w:t>Name of Organization:</w:t>
      </w:r>
      <w:r w:rsidRPr="003F2F28">
        <w:tab/>
      </w:r>
    </w:p>
    <w:p w14:paraId="514693F6" w14:textId="77777777" w:rsidR="00544798" w:rsidRPr="003F2F28" w:rsidRDefault="00544798" w:rsidP="00926EB3">
      <w:pPr>
        <w:pStyle w:val="ListParagraph"/>
        <w:numPr>
          <w:ilvl w:val="0"/>
          <w:numId w:val="170"/>
        </w:numPr>
      </w:pPr>
      <w:r w:rsidRPr="003F2F28">
        <w:t xml:space="preserve">Description of Services Offered: </w:t>
      </w:r>
      <w:r w:rsidRPr="003F2F28">
        <w:tab/>
      </w:r>
    </w:p>
    <w:p w14:paraId="1BA72EC5" w14:textId="77777777" w:rsidR="00544798" w:rsidRPr="003F2F28" w:rsidRDefault="00544798" w:rsidP="00926EB3">
      <w:pPr>
        <w:pStyle w:val="ListParagraph"/>
        <w:numPr>
          <w:ilvl w:val="0"/>
          <w:numId w:val="170"/>
        </w:numPr>
      </w:pPr>
      <w:r w:rsidRPr="003F2F28">
        <w:t>Description of Target Population:</w:t>
      </w:r>
      <w:r w:rsidRPr="003F2F28">
        <w:tab/>
      </w:r>
    </w:p>
    <w:p w14:paraId="77B9EC57" w14:textId="77777777" w:rsidR="00544798" w:rsidRPr="003F2F28" w:rsidRDefault="00544798" w:rsidP="00926EB3">
      <w:pPr>
        <w:pStyle w:val="ListParagraph"/>
        <w:numPr>
          <w:ilvl w:val="0"/>
          <w:numId w:val="170"/>
        </w:numPr>
      </w:pPr>
      <w:r w:rsidRPr="003F2F28">
        <w:t>Size of Organization:</w:t>
      </w:r>
      <w:r w:rsidRPr="003F2F28">
        <w:tab/>
      </w:r>
    </w:p>
    <w:p w14:paraId="32ACCF53" w14:textId="77777777" w:rsidR="00544798" w:rsidRPr="003F2F28" w:rsidRDefault="00544798" w:rsidP="00926EB3">
      <w:pPr>
        <w:pStyle w:val="ListParagraph"/>
        <w:numPr>
          <w:ilvl w:val="0"/>
          <w:numId w:val="170"/>
        </w:numPr>
      </w:pPr>
      <w:r w:rsidRPr="003F2F28">
        <w:t xml:space="preserve">Type of Organization: </w:t>
      </w:r>
      <w:r w:rsidRPr="003F2F28">
        <w:tab/>
      </w:r>
    </w:p>
    <w:p w14:paraId="2A9A7773" w14:textId="77777777" w:rsidR="00544798" w:rsidRPr="003F2F28" w:rsidRDefault="00544798" w:rsidP="00926EB3">
      <w:pPr>
        <w:pStyle w:val="ListParagraph"/>
        <w:numPr>
          <w:ilvl w:val="0"/>
          <w:numId w:val="170"/>
        </w:numPr>
      </w:pPr>
      <w:r w:rsidRPr="003F2F28">
        <w:t>Other pertinent information about the organization:</w:t>
      </w:r>
      <w:r w:rsidRPr="003F2F28">
        <w:tab/>
      </w:r>
    </w:p>
    <w:p w14:paraId="02E53785" w14:textId="77777777" w:rsidR="00544798" w:rsidRPr="003F2F28" w:rsidRDefault="00544798" w:rsidP="00544798"/>
    <w:p w14:paraId="2E8F9A65" w14:textId="77777777" w:rsidR="00544798" w:rsidRDefault="00544798" w:rsidP="00926EB3">
      <w:pPr>
        <w:pStyle w:val="ListParagraph"/>
        <w:numPr>
          <w:ilvl w:val="0"/>
          <w:numId w:val="171"/>
        </w:numPr>
      </w:pPr>
      <w:r w:rsidRPr="003F2F28">
        <w:t xml:space="preserve">How has the health of the community changed in the last 3-5 years? </w:t>
      </w:r>
    </w:p>
    <w:p w14:paraId="5622ED8F" w14:textId="77777777" w:rsidR="00544798" w:rsidRDefault="00544798" w:rsidP="00926EB3">
      <w:pPr>
        <w:pStyle w:val="ListParagraph"/>
        <w:numPr>
          <w:ilvl w:val="0"/>
          <w:numId w:val="171"/>
        </w:numPr>
      </w:pPr>
      <w:r w:rsidRPr="003F2F28">
        <w:t xml:space="preserve">What do you think are the 3 MOST important health issues in your community? (Choose only three.) </w:t>
      </w:r>
    </w:p>
    <w:p w14:paraId="150061C4" w14:textId="77777777" w:rsidR="00544798" w:rsidRDefault="00544798" w:rsidP="00926EB3">
      <w:pPr>
        <w:pStyle w:val="ListParagraph"/>
        <w:numPr>
          <w:ilvl w:val="1"/>
          <w:numId w:val="171"/>
        </w:numPr>
      </w:pPr>
      <w:r w:rsidRPr="003F2F28">
        <w:t>Tobacco use</w:t>
      </w:r>
      <w:r>
        <w:t>.</w:t>
      </w:r>
    </w:p>
    <w:p w14:paraId="4AB35560" w14:textId="77777777" w:rsidR="00544798" w:rsidRDefault="00544798" w:rsidP="00926EB3">
      <w:pPr>
        <w:pStyle w:val="ListParagraph"/>
        <w:numPr>
          <w:ilvl w:val="1"/>
          <w:numId w:val="171"/>
        </w:numPr>
      </w:pPr>
      <w:r w:rsidRPr="003F2F28">
        <w:t>Mental Health</w:t>
      </w:r>
      <w:r>
        <w:t>.</w:t>
      </w:r>
    </w:p>
    <w:p w14:paraId="5CDF0E0D" w14:textId="77777777" w:rsidR="00544798" w:rsidRDefault="00544798" w:rsidP="00926EB3">
      <w:pPr>
        <w:pStyle w:val="ListParagraph"/>
        <w:numPr>
          <w:ilvl w:val="1"/>
          <w:numId w:val="171"/>
        </w:numPr>
      </w:pPr>
      <w:r w:rsidRPr="003F2F28">
        <w:t>Clinical preventive services</w:t>
      </w:r>
      <w:r>
        <w:t>.</w:t>
      </w:r>
      <w:r w:rsidRPr="003F2F28">
        <w:tab/>
      </w:r>
    </w:p>
    <w:p w14:paraId="742B022E" w14:textId="77777777" w:rsidR="00544798" w:rsidRDefault="00544798" w:rsidP="00926EB3">
      <w:pPr>
        <w:pStyle w:val="ListParagraph"/>
        <w:numPr>
          <w:ilvl w:val="1"/>
          <w:numId w:val="171"/>
        </w:numPr>
      </w:pPr>
      <w:r w:rsidRPr="003F2F28">
        <w:t>Injury and violence</w:t>
      </w:r>
      <w:r w:rsidRPr="003F2F28">
        <w:tab/>
      </w:r>
      <w:r>
        <w:t>.</w:t>
      </w:r>
    </w:p>
    <w:p w14:paraId="30FF8969" w14:textId="77777777" w:rsidR="00544798" w:rsidRDefault="00544798" w:rsidP="00926EB3">
      <w:pPr>
        <w:pStyle w:val="ListParagraph"/>
        <w:numPr>
          <w:ilvl w:val="1"/>
          <w:numId w:val="171"/>
        </w:numPr>
      </w:pPr>
      <w:r w:rsidRPr="003F2F28">
        <w:t>Obesity, nutrition, and physical activity.</w:t>
      </w:r>
    </w:p>
    <w:p w14:paraId="56474DCC" w14:textId="77777777" w:rsidR="00544798" w:rsidRDefault="00544798" w:rsidP="00926EB3">
      <w:pPr>
        <w:pStyle w:val="ListParagraph"/>
        <w:numPr>
          <w:ilvl w:val="1"/>
          <w:numId w:val="171"/>
        </w:numPr>
      </w:pPr>
      <w:r w:rsidRPr="003F2F28">
        <w:t>Oral heal</w:t>
      </w:r>
      <w:r>
        <w:t>th.</w:t>
      </w:r>
    </w:p>
    <w:p w14:paraId="08805DFC" w14:textId="77777777" w:rsidR="00544798" w:rsidRDefault="00544798" w:rsidP="00926EB3">
      <w:pPr>
        <w:pStyle w:val="ListParagraph"/>
        <w:numPr>
          <w:ilvl w:val="1"/>
          <w:numId w:val="171"/>
        </w:numPr>
      </w:pPr>
      <w:r w:rsidRPr="003F2F28">
        <w:t>Maternal, infant, and child health</w:t>
      </w:r>
      <w:r>
        <w:t>.</w:t>
      </w:r>
      <w:r w:rsidRPr="003F2F28">
        <w:tab/>
      </w:r>
    </w:p>
    <w:p w14:paraId="3FA23BFA" w14:textId="77777777" w:rsidR="00544798" w:rsidRPr="003F2F28" w:rsidRDefault="00544798" w:rsidP="00926EB3">
      <w:pPr>
        <w:pStyle w:val="ListParagraph"/>
        <w:numPr>
          <w:ilvl w:val="1"/>
          <w:numId w:val="171"/>
        </w:numPr>
      </w:pPr>
      <w:r w:rsidRPr="003F2F28">
        <w:t>Substance misuse</w:t>
      </w:r>
      <w:r>
        <w:t>.</w:t>
      </w:r>
    </w:p>
    <w:p w14:paraId="4DE3BED6" w14:textId="77777777" w:rsidR="00544798" w:rsidRDefault="00544798" w:rsidP="00926EB3">
      <w:pPr>
        <w:pStyle w:val="ListParagraph"/>
        <w:numPr>
          <w:ilvl w:val="1"/>
          <w:numId w:val="171"/>
        </w:numPr>
      </w:pPr>
      <w:r w:rsidRPr="003F2F28">
        <w:t>Sexual health</w:t>
      </w:r>
      <w:r>
        <w:t>.</w:t>
      </w:r>
    </w:p>
    <w:p w14:paraId="351CE97D" w14:textId="77777777" w:rsidR="00544798" w:rsidRDefault="00544798" w:rsidP="00926EB3">
      <w:pPr>
        <w:pStyle w:val="ListParagraph"/>
        <w:numPr>
          <w:ilvl w:val="0"/>
          <w:numId w:val="171"/>
        </w:numPr>
      </w:pPr>
      <w:r w:rsidRPr="003F2F28">
        <w:t xml:space="preserve">What are the perceived underlying causes of these health issues you chose? </w:t>
      </w:r>
    </w:p>
    <w:p w14:paraId="313640C5" w14:textId="77777777" w:rsidR="00544798" w:rsidRDefault="00544798" w:rsidP="00926EB3">
      <w:pPr>
        <w:pStyle w:val="ListParagraph"/>
        <w:numPr>
          <w:ilvl w:val="0"/>
          <w:numId w:val="171"/>
        </w:numPr>
      </w:pPr>
      <w:r w:rsidRPr="003F2F28">
        <w:t>How do you view your organization’s role in working to improve these needs/issues?</w:t>
      </w:r>
    </w:p>
    <w:p w14:paraId="095F8FAD" w14:textId="77777777" w:rsidR="00544798" w:rsidRPr="003F2F28" w:rsidRDefault="00544798" w:rsidP="00926EB3">
      <w:pPr>
        <w:pStyle w:val="ListParagraph"/>
        <w:numPr>
          <w:ilvl w:val="0"/>
          <w:numId w:val="171"/>
        </w:numPr>
      </w:pPr>
      <w:r w:rsidRPr="003F2F28">
        <w:t xml:space="preserve">How is your organization working to improve the causes of these health issues? </w:t>
      </w:r>
    </w:p>
    <w:p w14:paraId="3217859D" w14:textId="77777777" w:rsidR="00544798" w:rsidRPr="003F2F28" w:rsidRDefault="00544798" w:rsidP="00926EB3">
      <w:pPr>
        <w:pStyle w:val="ListParagraph"/>
        <w:numPr>
          <w:ilvl w:val="0"/>
          <w:numId w:val="171"/>
        </w:numPr>
      </w:pPr>
      <w:r w:rsidRPr="003F2F28">
        <w:t xml:space="preserve">What are the biggest challenges you and/or your organization encountered while trying to improve the health of the county’s residents?  </w:t>
      </w:r>
    </w:p>
    <w:p w14:paraId="4B6DA07E" w14:textId="77777777" w:rsidR="00544798" w:rsidRPr="003F2F28" w:rsidRDefault="00544798" w:rsidP="00926EB3">
      <w:pPr>
        <w:pStyle w:val="ListParagraph"/>
        <w:numPr>
          <w:ilvl w:val="0"/>
          <w:numId w:val="171"/>
        </w:numPr>
      </w:pPr>
      <w:r w:rsidRPr="003F2F28">
        <w:t>In the next 5-10 years, how do you envision your organization working to improve these needs? And their underlying causes?</w:t>
      </w:r>
    </w:p>
    <w:p w14:paraId="47B2CE0D" w14:textId="77777777" w:rsidR="00544798" w:rsidRPr="003F2F28" w:rsidRDefault="00544798" w:rsidP="00926EB3">
      <w:pPr>
        <w:pStyle w:val="ListParagraph"/>
        <w:numPr>
          <w:ilvl w:val="0"/>
          <w:numId w:val="171"/>
        </w:numPr>
      </w:pPr>
      <w:r w:rsidRPr="003F2F28">
        <w:t>What strengths or resources can be mobilized to improve the health of the county?</w:t>
      </w:r>
    </w:p>
    <w:p w14:paraId="31979F1E" w14:textId="77777777" w:rsidR="00544798" w:rsidRDefault="00544798" w:rsidP="00926EB3">
      <w:pPr>
        <w:pStyle w:val="ListParagraph"/>
        <w:numPr>
          <w:ilvl w:val="0"/>
          <w:numId w:val="171"/>
        </w:numPr>
      </w:pPr>
      <w:r w:rsidRPr="003F2F28">
        <w:t xml:space="preserve">What additional comments do you have regarding health in your county? </w:t>
      </w:r>
    </w:p>
    <w:p w14:paraId="6EAC4A53" w14:textId="77777777" w:rsidR="00544798" w:rsidRDefault="00544798">
      <w:pPr>
        <w:rPr>
          <w:rFonts w:asciiTheme="majorHAnsi" w:eastAsiaTheme="majorEastAsia" w:hAnsiTheme="majorHAnsi" w:cstheme="majorBidi"/>
          <w:color w:val="2F5496" w:themeColor="accent1" w:themeShade="BF"/>
          <w:sz w:val="36"/>
        </w:rPr>
      </w:pPr>
      <w:bookmarkStart w:id="1150" w:name="_Toc154569747"/>
      <w:r>
        <w:br w:type="page"/>
      </w:r>
    </w:p>
    <w:p w14:paraId="01B078F8" w14:textId="7728AE1B" w:rsidR="00544798" w:rsidRDefault="00544798" w:rsidP="00544798">
      <w:pPr>
        <w:pStyle w:val="Heading3"/>
      </w:pPr>
      <w:bookmarkStart w:id="1151" w:name="_Toc162267779"/>
      <w:r>
        <w:lastRenderedPageBreak/>
        <w:t>Appendix J: Acronyms</w:t>
      </w:r>
      <w:bookmarkEnd w:id="1150"/>
      <w:bookmarkEnd w:id="1151"/>
    </w:p>
    <w:p w14:paraId="6A1D7F15" w14:textId="77777777" w:rsidR="00544798" w:rsidRPr="003F2F28" w:rsidRDefault="00544798" w:rsidP="00544798">
      <w:pPr>
        <w:pStyle w:val="Heading5"/>
      </w:pPr>
      <w:r w:rsidRPr="003F2F28">
        <w:t>A</w:t>
      </w:r>
    </w:p>
    <w:p w14:paraId="08A1434B" w14:textId="77777777" w:rsidR="00544798" w:rsidRPr="003F2F28" w:rsidRDefault="00544798" w:rsidP="00926EB3">
      <w:pPr>
        <w:pStyle w:val="ListParagraph"/>
        <w:numPr>
          <w:ilvl w:val="0"/>
          <w:numId w:val="173"/>
        </w:numPr>
      </w:pPr>
      <w:r w:rsidRPr="003F2F28">
        <w:t>AAMSM: African American Men who have Sex with Men</w:t>
      </w:r>
      <w:r>
        <w:t>.</w:t>
      </w:r>
    </w:p>
    <w:p w14:paraId="2D9F45A0" w14:textId="71BBE56A" w:rsidR="00544798" w:rsidRPr="003F2F28" w:rsidRDefault="00544798" w:rsidP="00926EB3">
      <w:pPr>
        <w:pStyle w:val="ListParagraph"/>
        <w:numPr>
          <w:ilvl w:val="0"/>
          <w:numId w:val="173"/>
        </w:numPr>
      </w:pPr>
      <w:r w:rsidRPr="003F2F28">
        <w:t>AAWS</w:t>
      </w:r>
      <w:r w:rsidR="0087480F">
        <w:t>W</w:t>
      </w:r>
      <w:r w:rsidRPr="003F2F28">
        <w:t>: African American Women who have Sex with Women</w:t>
      </w:r>
      <w:r>
        <w:t>.</w:t>
      </w:r>
    </w:p>
    <w:p w14:paraId="523ED980" w14:textId="77777777" w:rsidR="00544798" w:rsidRPr="003F2F28" w:rsidRDefault="00544798" w:rsidP="00926EB3">
      <w:pPr>
        <w:pStyle w:val="ListParagraph"/>
        <w:numPr>
          <w:ilvl w:val="0"/>
          <w:numId w:val="173"/>
        </w:numPr>
      </w:pPr>
      <w:r w:rsidRPr="003F2F28">
        <w:t>ABD: Medicaid Aged, Blind, and Disabled Program</w:t>
      </w:r>
      <w:r>
        <w:t>.</w:t>
      </w:r>
    </w:p>
    <w:p w14:paraId="502ADD30" w14:textId="1D9920FD" w:rsidR="00544798" w:rsidRPr="003F2F28" w:rsidRDefault="00544798" w:rsidP="00926EB3">
      <w:pPr>
        <w:pStyle w:val="ListParagraph"/>
        <w:numPr>
          <w:ilvl w:val="0"/>
          <w:numId w:val="173"/>
        </w:numPr>
      </w:pPr>
      <w:r w:rsidRPr="003F2F28">
        <w:t xml:space="preserve">ACEs: Adverse </w:t>
      </w:r>
      <w:r w:rsidR="0087480F">
        <w:t>C</w:t>
      </w:r>
      <w:r w:rsidRPr="003F2F28">
        <w:t>hildhood exposures</w:t>
      </w:r>
      <w:r>
        <w:t>.</w:t>
      </w:r>
    </w:p>
    <w:p w14:paraId="1774648A" w14:textId="77777777" w:rsidR="00544798" w:rsidRPr="003F2F28" w:rsidRDefault="00544798" w:rsidP="00926EB3">
      <w:pPr>
        <w:pStyle w:val="ListParagraph"/>
        <w:numPr>
          <w:ilvl w:val="0"/>
          <w:numId w:val="173"/>
        </w:numPr>
      </w:pPr>
      <w:r w:rsidRPr="003F2F28">
        <w:t>ACS: American Community Survey</w:t>
      </w:r>
      <w:r>
        <w:t>.</w:t>
      </w:r>
    </w:p>
    <w:p w14:paraId="6741BD66" w14:textId="77777777" w:rsidR="00544798" w:rsidRPr="003F2F28" w:rsidRDefault="00544798" w:rsidP="00926EB3">
      <w:pPr>
        <w:pStyle w:val="ListParagraph"/>
        <w:numPr>
          <w:ilvl w:val="0"/>
          <w:numId w:val="173"/>
        </w:numPr>
      </w:pPr>
      <w:r w:rsidRPr="003F2F28">
        <w:t>AHEAD: America’s HIV Epidermic Analysis Dashboard</w:t>
      </w:r>
      <w:r>
        <w:t>.</w:t>
      </w:r>
    </w:p>
    <w:p w14:paraId="600BE5E4" w14:textId="77777777" w:rsidR="00544798" w:rsidRPr="003F2F28" w:rsidRDefault="00544798" w:rsidP="00926EB3">
      <w:pPr>
        <w:pStyle w:val="ListParagraph"/>
        <w:numPr>
          <w:ilvl w:val="0"/>
          <w:numId w:val="173"/>
        </w:numPr>
      </w:pPr>
      <w:r w:rsidRPr="003F2F28">
        <w:t>AI-AN: American Indian or Alaska Native</w:t>
      </w:r>
      <w:r>
        <w:t>.</w:t>
      </w:r>
    </w:p>
    <w:p w14:paraId="437F54FD" w14:textId="77777777" w:rsidR="00544798" w:rsidRPr="003F2F28" w:rsidRDefault="00544798" w:rsidP="00926EB3">
      <w:pPr>
        <w:pStyle w:val="ListParagraph"/>
        <w:numPr>
          <w:ilvl w:val="0"/>
          <w:numId w:val="173"/>
        </w:numPr>
      </w:pPr>
      <w:r w:rsidRPr="003F2F28">
        <w:t>AIDS: Acquired Immune Deficiency Syndrome</w:t>
      </w:r>
      <w:r>
        <w:t>.</w:t>
      </w:r>
    </w:p>
    <w:p w14:paraId="06EC3CBD" w14:textId="77777777" w:rsidR="00544798" w:rsidRPr="003F2F28" w:rsidRDefault="00544798" w:rsidP="00926EB3">
      <w:pPr>
        <w:pStyle w:val="ListParagraph"/>
        <w:numPr>
          <w:ilvl w:val="0"/>
          <w:numId w:val="173"/>
        </w:numPr>
      </w:pPr>
      <w:r w:rsidRPr="003F2F28">
        <w:t>Alliance: Alliance for a Healthier South Carolina</w:t>
      </w:r>
      <w:r>
        <w:t>.</w:t>
      </w:r>
    </w:p>
    <w:p w14:paraId="2FE2D56F" w14:textId="77777777" w:rsidR="00544798" w:rsidRPr="003F2F28" w:rsidRDefault="00544798" w:rsidP="00926EB3">
      <w:pPr>
        <w:pStyle w:val="ListParagraph"/>
        <w:numPr>
          <w:ilvl w:val="0"/>
          <w:numId w:val="173"/>
        </w:numPr>
      </w:pPr>
      <w:r w:rsidRPr="003F2F28">
        <w:t>AME: African Methodist Episcopal</w:t>
      </w:r>
      <w:r>
        <w:t>.</w:t>
      </w:r>
    </w:p>
    <w:p w14:paraId="2C22D4B3" w14:textId="77777777" w:rsidR="00544798" w:rsidRPr="003F2F28" w:rsidRDefault="00544798" w:rsidP="00926EB3">
      <w:pPr>
        <w:pStyle w:val="ListParagraph"/>
        <w:numPr>
          <w:ilvl w:val="0"/>
          <w:numId w:val="173"/>
        </w:numPr>
      </w:pPr>
      <w:r w:rsidRPr="003F2F28">
        <w:t>APHA: American Public Health Association</w:t>
      </w:r>
      <w:r>
        <w:t>.</w:t>
      </w:r>
    </w:p>
    <w:p w14:paraId="4F46948B" w14:textId="77777777" w:rsidR="00544798" w:rsidRPr="003F2F28" w:rsidRDefault="00544798" w:rsidP="00926EB3">
      <w:pPr>
        <w:pStyle w:val="ListParagraph"/>
        <w:numPr>
          <w:ilvl w:val="0"/>
          <w:numId w:val="173"/>
        </w:numPr>
      </w:pPr>
      <w:r w:rsidRPr="003F2F28">
        <w:t>APS: Adult Protective Services</w:t>
      </w:r>
      <w:r>
        <w:t>.</w:t>
      </w:r>
    </w:p>
    <w:p w14:paraId="61BD7734" w14:textId="77777777" w:rsidR="00544798" w:rsidRPr="003F2F28" w:rsidRDefault="00544798" w:rsidP="00926EB3">
      <w:pPr>
        <w:pStyle w:val="ListParagraph"/>
        <w:numPr>
          <w:ilvl w:val="0"/>
          <w:numId w:val="173"/>
        </w:numPr>
      </w:pPr>
      <w:r w:rsidRPr="003F2F28">
        <w:t>ART: Antiretroviral Therapy</w:t>
      </w:r>
      <w:r>
        <w:t>.</w:t>
      </w:r>
    </w:p>
    <w:p w14:paraId="3C92F682" w14:textId="20515303" w:rsidR="00544798" w:rsidRPr="003F2F28" w:rsidRDefault="00544798" w:rsidP="00926EB3">
      <w:pPr>
        <w:pStyle w:val="ListParagraph"/>
        <w:numPr>
          <w:ilvl w:val="0"/>
          <w:numId w:val="173"/>
        </w:numPr>
      </w:pPr>
      <w:r w:rsidRPr="003F2F28">
        <w:t>A</w:t>
      </w:r>
      <w:r w:rsidR="0087480F">
        <w:t>TS</w:t>
      </w:r>
      <w:r w:rsidRPr="003F2F28">
        <w:t>DR: Agency for Toxic Substances and Disease Registry</w:t>
      </w:r>
      <w:r>
        <w:t>.</w:t>
      </w:r>
    </w:p>
    <w:p w14:paraId="6D07B34A" w14:textId="77777777" w:rsidR="00544798" w:rsidRPr="003F2F28" w:rsidRDefault="00544798" w:rsidP="00544798"/>
    <w:p w14:paraId="5B760475" w14:textId="77777777" w:rsidR="00544798" w:rsidRPr="003F2F28" w:rsidRDefault="00544798" w:rsidP="00544798">
      <w:pPr>
        <w:pStyle w:val="Heading5"/>
      </w:pPr>
      <w:r w:rsidRPr="003F2F28">
        <w:t>B</w:t>
      </w:r>
    </w:p>
    <w:p w14:paraId="5995EFF8" w14:textId="77777777" w:rsidR="00544798" w:rsidRPr="003F2F28" w:rsidRDefault="00544798" w:rsidP="00926EB3">
      <w:pPr>
        <w:pStyle w:val="ListParagraph"/>
        <w:numPr>
          <w:ilvl w:val="0"/>
          <w:numId w:val="174"/>
        </w:numPr>
      </w:pPr>
      <w:r w:rsidRPr="003F2F28">
        <w:t>BOBC2: Bringing Our Best Care Consortium</w:t>
      </w:r>
      <w:r>
        <w:t>.</w:t>
      </w:r>
    </w:p>
    <w:p w14:paraId="6823D369" w14:textId="77777777" w:rsidR="00544798" w:rsidRPr="003F2F28" w:rsidRDefault="00544798" w:rsidP="00926EB3">
      <w:pPr>
        <w:pStyle w:val="ListParagraph"/>
        <w:numPr>
          <w:ilvl w:val="0"/>
          <w:numId w:val="174"/>
        </w:numPr>
      </w:pPr>
      <w:r w:rsidRPr="003F2F28">
        <w:t>BRFSS: Behavioral Risk Factor Surveillance System</w:t>
      </w:r>
      <w:r>
        <w:t>.</w:t>
      </w:r>
    </w:p>
    <w:p w14:paraId="41724693" w14:textId="77777777" w:rsidR="00544798" w:rsidRPr="003F2F28" w:rsidRDefault="00544798" w:rsidP="00544798"/>
    <w:p w14:paraId="580A50AA" w14:textId="77777777" w:rsidR="00544798" w:rsidRPr="003F2F28" w:rsidRDefault="00544798" w:rsidP="00544798">
      <w:pPr>
        <w:pStyle w:val="Heading5"/>
      </w:pPr>
      <w:r w:rsidRPr="003F2F28">
        <w:t>C</w:t>
      </w:r>
    </w:p>
    <w:p w14:paraId="1EC56CBE" w14:textId="77777777" w:rsidR="00544798" w:rsidRPr="003F2F28" w:rsidRDefault="00544798" w:rsidP="00926EB3">
      <w:pPr>
        <w:pStyle w:val="ListParagraph"/>
        <w:numPr>
          <w:ilvl w:val="0"/>
          <w:numId w:val="175"/>
        </w:numPr>
      </w:pPr>
      <w:r w:rsidRPr="003F2F28">
        <w:t>C. diff: Clostridioides difficile</w:t>
      </w:r>
      <w:r>
        <w:t>.</w:t>
      </w:r>
    </w:p>
    <w:p w14:paraId="16E9667B" w14:textId="77777777" w:rsidR="00544798" w:rsidRPr="003F2F28" w:rsidRDefault="00544798" w:rsidP="00926EB3">
      <w:pPr>
        <w:pStyle w:val="ListParagraph"/>
        <w:numPr>
          <w:ilvl w:val="0"/>
          <w:numId w:val="175"/>
        </w:numPr>
      </w:pPr>
      <w:r w:rsidRPr="003F2F28">
        <w:t>CAA: Clean Air Act</w:t>
      </w:r>
      <w:r>
        <w:t>.</w:t>
      </w:r>
    </w:p>
    <w:p w14:paraId="130D2BAB" w14:textId="77777777" w:rsidR="00544798" w:rsidRPr="003F2F28" w:rsidRDefault="00544798" w:rsidP="00926EB3">
      <w:pPr>
        <w:pStyle w:val="ListParagraph"/>
        <w:numPr>
          <w:ilvl w:val="0"/>
          <w:numId w:val="175"/>
        </w:numPr>
      </w:pPr>
      <w:r w:rsidRPr="003F2F28">
        <w:t>CBO: Community Based Organization</w:t>
      </w:r>
      <w:r>
        <w:t>.</w:t>
      </w:r>
    </w:p>
    <w:p w14:paraId="7B50EE53" w14:textId="77777777" w:rsidR="00544798" w:rsidRPr="003F2F28" w:rsidRDefault="00544798" w:rsidP="00926EB3">
      <w:pPr>
        <w:pStyle w:val="ListParagraph"/>
        <w:numPr>
          <w:ilvl w:val="0"/>
          <w:numId w:val="175"/>
        </w:numPr>
      </w:pPr>
      <w:r w:rsidRPr="003F2F28">
        <w:t>CCHA: Center for Community Health Alignment</w:t>
      </w:r>
      <w:r>
        <w:t>.</w:t>
      </w:r>
    </w:p>
    <w:p w14:paraId="6AD3D0A0" w14:textId="602D3961" w:rsidR="00544798" w:rsidRPr="003F2F28" w:rsidRDefault="00544798" w:rsidP="00926EB3">
      <w:pPr>
        <w:pStyle w:val="ListParagraph"/>
        <w:numPr>
          <w:ilvl w:val="0"/>
          <w:numId w:val="175"/>
        </w:numPr>
      </w:pPr>
      <w:r w:rsidRPr="003F2F28">
        <w:t xml:space="preserve">CCVI: </w:t>
      </w:r>
      <w:r w:rsidR="0087480F">
        <w:t xml:space="preserve">COVID </w:t>
      </w:r>
      <w:r w:rsidRPr="003F2F28">
        <w:t>Community Vulnerability Index</w:t>
      </w:r>
      <w:r>
        <w:t>.</w:t>
      </w:r>
    </w:p>
    <w:p w14:paraId="5AF7684F" w14:textId="77777777" w:rsidR="00544798" w:rsidRPr="003F2F28" w:rsidRDefault="00544798" w:rsidP="00926EB3">
      <w:pPr>
        <w:pStyle w:val="ListParagraph"/>
        <w:numPr>
          <w:ilvl w:val="0"/>
          <w:numId w:val="175"/>
        </w:numPr>
      </w:pPr>
      <w:r w:rsidRPr="003F2F28">
        <w:t>CDC: Centers for Disease Control and Prevention</w:t>
      </w:r>
      <w:r>
        <w:t>.</w:t>
      </w:r>
    </w:p>
    <w:p w14:paraId="606984FA" w14:textId="7BD7FFDC" w:rsidR="00544798" w:rsidRPr="003F2F28" w:rsidRDefault="00544798" w:rsidP="00926EB3">
      <w:pPr>
        <w:pStyle w:val="ListParagraph"/>
        <w:numPr>
          <w:ilvl w:val="0"/>
          <w:numId w:val="175"/>
        </w:numPr>
      </w:pPr>
      <w:r w:rsidRPr="003F2F28">
        <w:t xml:space="preserve">CDI: Clostridioides </w:t>
      </w:r>
      <w:r w:rsidR="0087480F">
        <w:t>D</w:t>
      </w:r>
      <w:r w:rsidRPr="003F2F28">
        <w:t xml:space="preserve">ifficile </w:t>
      </w:r>
      <w:r w:rsidR="0087480F">
        <w:t>I</w:t>
      </w:r>
      <w:r w:rsidRPr="003F2F28">
        <w:t>nfections</w:t>
      </w:r>
      <w:r>
        <w:t>.</w:t>
      </w:r>
    </w:p>
    <w:p w14:paraId="4B1F4256" w14:textId="77777777" w:rsidR="00544798" w:rsidRPr="003F2F28" w:rsidRDefault="00544798" w:rsidP="00926EB3">
      <w:pPr>
        <w:pStyle w:val="ListParagraph"/>
        <w:numPr>
          <w:ilvl w:val="0"/>
          <w:numId w:val="175"/>
        </w:numPr>
      </w:pPr>
      <w:r w:rsidRPr="003F2F28">
        <w:t>CERCLA: Comprehensive Environmental Response, Compensation, and Liability Act</w:t>
      </w:r>
      <w:r>
        <w:t>.</w:t>
      </w:r>
    </w:p>
    <w:p w14:paraId="0940BD14" w14:textId="77777777" w:rsidR="00544798" w:rsidRPr="003F2F28" w:rsidRDefault="00544798" w:rsidP="00926EB3">
      <w:pPr>
        <w:pStyle w:val="ListParagraph"/>
        <w:numPr>
          <w:ilvl w:val="0"/>
          <w:numId w:val="175"/>
        </w:numPr>
      </w:pPr>
      <w:r w:rsidRPr="003F2F28">
        <w:t>CHA: Community Health Assessment</w:t>
      </w:r>
      <w:r>
        <w:t>.</w:t>
      </w:r>
    </w:p>
    <w:p w14:paraId="13A267F5" w14:textId="77777777" w:rsidR="00544798" w:rsidRPr="003F2F28" w:rsidRDefault="00544798" w:rsidP="00926EB3">
      <w:pPr>
        <w:pStyle w:val="ListParagraph"/>
        <w:numPr>
          <w:ilvl w:val="0"/>
          <w:numId w:val="175"/>
        </w:numPr>
      </w:pPr>
      <w:r w:rsidRPr="003F2F28">
        <w:t>CHIP: Community Health Improvement Plan</w:t>
      </w:r>
      <w:r>
        <w:t>.</w:t>
      </w:r>
    </w:p>
    <w:p w14:paraId="587AE49D" w14:textId="77777777" w:rsidR="00544798" w:rsidRPr="003F2F28" w:rsidRDefault="00544798" w:rsidP="00926EB3">
      <w:pPr>
        <w:pStyle w:val="ListParagraph"/>
        <w:numPr>
          <w:ilvl w:val="0"/>
          <w:numId w:val="175"/>
        </w:numPr>
      </w:pPr>
      <w:r w:rsidRPr="003F2F28">
        <w:t>CHIP: Children’s Health Insurance Program</w:t>
      </w:r>
      <w:r>
        <w:t>.</w:t>
      </w:r>
    </w:p>
    <w:p w14:paraId="7DA1473A" w14:textId="77777777" w:rsidR="00544798" w:rsidRPr="003F2F28" w:rsidRDefault="00544798" w:rsidP="00926EB3">
      <w:pPr>
        <w:pStyle w:val="ListParagraph"/>
        <w:numPr>
          <w:ilvl w:val="0"/>
          <w:numId w:val="175"/>
        </w:numPr>
      </w:pPr>
      <w:r w:rsidRPr="003F2F28">
        <w:t>CHNA: Community Health Needs Assessment</w:t>
      </w:r>
      <w:r>
        <w:t>.</w:t>
      </w:r>
    </w:p>
    <w:p w14:paraId="2F36875D" w14:textId="77777777" w:rsidR="00544798" w:rsidRPr="003F2F28" w:rsidRDefault="00544798" w:rsidP="00926EB3">
      <w:pPr>
        <w:pStyle w:val="ListParagraph"/>
        <w:numPr>
          <w:ilvl w:val="0"/>
          <w:numId w:val="175"/>
        </w:numPr>
      </w:pPr>
      <w:r w:rsidRPr="003F2F28">
        <w:t>CHWs: Community Health Workers</w:t>
      </w:r>
      <w:r>
        <w:t>.</w:t>
      </w:r>
    </w:p>
    <w:p w14:paraId="59F3C809" w14:textId="77777777" w:rsidR="00544798" w:rsidRPr="003F2F28" w:rsidRDefault="00544798" w:rsidP="00926EB3">
      <w:pPr>
        <w:pStyle w:val="ListParagraph"/>
        <w:numPr>
          <w:ilvl w:val="0"/>
          <w:numId w:val="175"/>
        </w:numPr>
      </w:pPr>
      <w:r w:rsidRPr="003F2F28">
        <w:lastRenderedPageBreak/>
        <w:t>CLRD: Chronic Lower Respiratory Disease</w:t>
      </w:r>
      <w:r>
        <w:t>.</w:t>
      </w:r>
    </w:p>
    <w:p w14:paraId="784DE585" w14:textId="77777777" w:rsidR="00544798" w:rsidRPr="003F2F28" w:rsidRDefault="00544798" w:rsidP="00926EB3">
      <w:pPr>
        <w:pStyle w:val="ListParagraph"/>
        <w:numPr>
          <w:ilvl w:val="0"/>
          <w:numId w:val="175"/>
        </w:numPr>
      </w:pPr>
      <w:r w:rsidRPr="003F2F28">
        <w:t>CLTC: Community Long-Term Care</w:t>
      </w:r>
      <w:r>
        <w:t>.</w:t>
      </w:r>
    </w:p>
    <w:p w14:paraId="5F6B20DE" w14:textId="77777777" w:rsidR="00544798" w:rsidRPr="003F2F28" w:rsidRDefault="00544798" w:rsidP="00926EB3">
      <w:pPr>
        <w:pStyle w:val="ListParagraph"/>
        <w:numPr>
          <w:ilvl w:val="0"/>
          <w:numId w:val="175"/>
        </w:numPr>
      </w:pPr>
      <w:r w:rsidRPr="003F2F28">
        <w:t>CMA: Commission for Minority Affairs</w:t>
      </w:r>
      <w:r>
        <w:t>.</w:t>
      </w:r>
    </w:p>
    <w:p w14:paraId="2BD8C0BD" w14:textId="77777777" w:rsidR="00544798" w:rsidRPr="003F2F28" w:rsidRDefault="00544798" w:rsidP="00926EB3">
      <w:pPr>
        <w:pStyle w:val="ListParagraph"/>
        <w:numPr>
          <w:ilvl w:val="0"/>
          <w:numId w:val="175"/>
        </w:numPr>
      </w:pPr>
      <w:r w:rsidRPr="003F2F28">
        <w:t>COPD: Chronic Obstructive Pulmonary Disease</w:t>
      </w:r>
      <w:r>
        <w:t>.</w:t>
      </w:r>
    </w:p>
    <w:p w14:paraId="3566CF34" w14:textId="77777777" w:rsidR="00544798" w:rsidRPr="003F2F28" w:rsidRDefault="00544798" w:rsidP="00926EB3">
      <w:pPr>
        <w:pStyle w:val="ListParagraph"/>
        <w:numPr>
          <w:ilvl w:val="0"/>
          <w:numId w:val="175"/>
        </w:numPr>
      </w:pPr>
      <w:r w:rsidRPr="003F2F28">
        <w:t>COVID-19: Coronavirus disease</w:t>
      </w:r>
      <w:r>
        <w:t>.</w:t>
      </w:r>
    </w:p>
    <w:p w14:paraId="4427CEBD" w14:textId="287F9A9A" w:rsidR="00544798" w:rsidRPr="003F2F28" w:rsidRDefault="00544798" w:rsidP="00926EB3">
      <w:pPr>
        <w:pStyle w:val="ListParagraph"/>
        <w:numPr>
          <w:ilvl w:val="0"/>
          <w:numId w:val="175"/>
        </w:numPr>
      </w:pPr>
      <w:r w:rsidRPr="003F2F28">
        <w:t>CRPH: Center for Rural and Primary Healthcare</w:t>
      </w:r>
      <w:r>
        <w:t>.</w:t>
      </w:r>
    </w:p>
    <w:p w14:paraId="46330220" w14:textId="77777777" w:rsidR="00544798" w:rsidRPr="003F2F28" w:rsidRDefault="00544798" w:rsidP="00926EB3">
      <w:pPr>
        <w:pStyle w:val="ListParagraph"/>
        <w:numPr>
          <w:ilvl w:val="0"/>
          <w:numId w:val="175"/>
        </w:numPr>
      </w:pPr>
      <w:r w:rsidRPr="003F2F28">
        <w:t>CVD: Cardiovascular disease</w:t>
      </w:r>
      <w:r>
        <w:t>.</w:t>
      </w:r>
    </w:p>
    <w:p w14:paraId="2DE55AD2" w14:textId="77777777" w:rsidR="00544798" w:rsidRPr="003F2F28" w:rsidRDefault="00544798" w:rsidP="00544798"/>
    <w:p w14:paraId="52D9F1EB" w14:textId="77777777" w:rsidR="00544798" w:rsidRPr="003F2F28" w:rsidRDefault="00544798" w:rsidP="00544798">
      <w:pPr>
        <w:pStyle w:val="Heading5"/>
      </w:pPr>
      <w:r w:rsidRPr="003F2F28">
        <w:t>D</w:t>
      </w:r>
    </w:p>
    <w:p w14:paraId="0E22B717" w14:textId="77777777" w:rsidR="00544798" w:rsidRPr="003F2F28" w:rsidRDefault="00544798" w:rsidP="00926EB3">
      <w:pPr>
        <w:pStyle w:val="ListParagraph"/>
        <w:numPr>
          <w:ilvl w:val="0"/>
          <w:numId w:val="176"/>
        </w:numPr>
      </w:pPr>
      <w:r w:rsidRPr="003F2F28">
        <w:t>DAODAS: Department of Alcohol and other Drug Abuse Services</w:t>
      </w:r>
      <w:r>
        <w:t>.</w:t>
      </w:r>
    </w:p>
    <w:p w14:paraId="64D6A45A" w14:textId="77777777" w:rsidR="00544798" w:rsidRPr="003F2F28" w:rsidRDefault="00544798" w:rsidP="00926EB3">
      <w:pPr>
        <w:pStyle w:val="ListParagraph"/>
        <w:numPr>
          <w:ilvl w:val="0"/>
          <w:numId w:val="176"/>
        </w:numPr>
      </w:pPr>
      <w:r w:rsidRPr="003F2F28">
        <w:t>DEI: Diversity, Equity, Inclusion</w:t>
      </w:r>
      <w:r>
        <w:t>.</w:t>
      </w:r>
    </w:p>
    <w:p w14:paraId="196BF6FA" w14:textId="77777777" w:rsidR="00544798" w:rsidRPr="003F2F28" w:rsidRDefault="00544798" w:rsidP="00926EB3">
      <w:pPr>
        <w:pStyle w:val="ListParagraph"/>
        <w:numPr>
          <w:ilvl w:val="0"/>
          <w:numId w:val="176"/>
        </w:numPr>
      </w:pPr>
      <w:r w:rsidRPr="003F2F28">
        <w:t>DHEC: Department of Health and Environmental Control</w:t>
      </w:r>
      <w:r>
        <w:t>.</w:t>
      </w:r>
    </w:p>
    <w:p w14:paraId="5DEE85F9" w14:textId="77777777" w:rsidR="00544798" w:rsidRPr="003F2F28" w:rsidRDefault="00544798" w:rsidP="00926EB3">
      <w:pPr>
        <w:pStyle w:val="ListParagraph"/>
        <w:numPr>
          <w:ilvl w:val="0"/>
          <w:numId w:val="176"/>
        </w:numPr>
      </w:pPr>
      <w:r w:rsidRPr="003F2F28">
        <w:t>DOC: Department of Corrections</w:t>
      </w:r>
      <w:r>
        <w:t>.</w:t>
      </w:r>
    </w:p>
    <w:p w14:paraId="2296814B" w14:textId="77777777" w:rsidR="00544798" w:rsidRPr="003F2F28" w:rsidRDefault="00544798" w:rsidP="00926EB3">
      <w:pPr>
        <w:pStyle w:val="ListParagraph"/>
        <w:numPr>
          <w:ilvl w:val="0"/>
          <w:numId w:val="176"/>
        </w:numPr>
      </w:pPr>
      <w:r w:rsidRPr="003F2F28">
        <w:t>DSS: Department of Social Services</w:t>
      </w:r>
      <w:r>
        <w:t>.</w:t>
      </w:r>
    </w:p>
    <w:p w14:paraId="02EAD9F0" w14:textId="77777777" w:rsidR="00544798" w:rsidRPr="003F2F28" w:rsidRDefault="00544798" w:rsidP="00544798"/>
    <w:p w14:paraId="06B78ECD" w14:textId="77777777" w:rsidR="00544798" w:rsidRPr="003F2F28" w:rsidRDefault="00544798" w:rsidP="00544798">
      <w:pPr>
        <w:pStyle w:val="Heading5"/>
      </w:pPr>
      <w:r w:rsidRPr="003F2F28">
        <w:t>E</w:t>
      </w:r>
    </w:p>
    <w:p w14:paraId="4AEE144F" w14:textId="77777777" w:rsidR="00544798" w:rsidRPr="003F2F28" w:rsidRDefault="00544798" w:rsidP="00926EB3">
      <w:pPr>
        <w:pStyle w:val="ListParagraph"/>
        <w:numPr>
          <w:ilvl w:val="0"/>
          <w:numId w:val="177"/>
        </w:numPr>
      </w:pPr>
      <w:r w:rsidRPr="003F2F28">
        <w:t>ECAC: Early Childhood Advisory Council</w:t>
      </w:r>
      <w:r>
        <w:t>.</w:t>
      </w:r>
    </w:p>
    <w:p w14:paraId="2A8DF042" w14:textId="77777777" w:rsidR="00544798" w:rsidRPr="003F2F28" w:rsidRDefault="00544798" w:rsidP="00926EB3">
      <w:pPr>
        <w:pStyle w:val="ListParagraph"/>
        <w:numPr>
          <w:ilvl w:val="0"/>
          <w:numId w:val="177"/>
        </w:numPr>
      </w:pPr>
      <w:r w:rsidRPr="003F2F28">
        <w:t>ED: Emergency Department</w:t>
      </w:r>
      <w:r>
        <w:t>.</w:t>
      </w:r>
    </w:p>
    <w:p w14:paraId="2246EF2B" w14:textId="4D85F03D" w:rsidR="00544798" w:rsidRPr="003F2F28" w:rsidRDefault="00544798" w:rsidP="00926EB3">
      <w:pPr>
        <w:pStyle w:val="ListParagraph"/>
        <w:numPr>
          <w:ilvl w:val="0"/>
          <w:numId w:val="177"/>
        </w:numPr>
      </w:pPr>
      <w:r w:rsidRPr="003F2F28">
        <w:t>EHE: Ending the</w:t>
      </w:r>
      <w:r w:rsidR="0087480F">
        <w:t xml:space="preserve"> HIV</w:t>
      </w:r>
      <w:r w:rsidRPr="003F2F28">
        <w:t xml:space="preserve"> Epidemic</w:t>
      </w:r>
      <w:r>
        <w:t>.</w:t>
      </w:r>
    </w:p>
    <w:p w14:paraId="1651FA46" w14:textId="77777777" w:rsidR="00544798" w:rsidRPr="003F2F28" w:rsidRDefault="00544798" w:rsidP="00926EB3">
      <w:pPr>
        <w:pStyle w:val="ListParagraph"/>
        <w:numPr>
          <w:ilvl w:val="0"/>
          <w:numId w:val="177"/>
        </w:numPr>
      </w:pPr>
      <w:r w:rsidRPr="003F2F28">
        <w:t>EJ: Environmental Justice</w:t>
      </w:r>
      <w:r>
        <w:t>.</w:t>
      </w:r>
    </w:p>
    <w:p w14:paraId="61FB0500" w14:textId="77777777" w:rsidR="00544798" w:rsidRPr="003F2F28" w:rsidRDefault="00544798" w:rsidP="00926EB3">
      <w:pPr>
        <w:pStyle w:val="ListParagraph"/>
        <w:numPr>
          <w:ilvl w:val="0"/>
          <w:numId w:val="177"/>
        </w:numPr>
      </w:pPr>
      <w:r w:rsidRPr="003F2F28">
        <w:t>ENDS: Electronic Nicotine Delivery System</w:t>
      </w:r>
      <w:r>
        <w:t>.</w:t>
      </w:r>
    </w:p>
    <w:p w14:paraId="75FBCC54" w14:textId="77777777" w:rsidR="00544798" w:rsidRPr="003F2F28" w:rsidRDefault="00544798" w:rsidP="00926EB3">
      <w:pPr>
        <w:pStyle w:val="ListParagraph"/>
        <w:numPr>
          <w:ilvl w:val="0"/>
          <w:numId w:val="177"/>
        </w:numPr>
      </w:pPr>
      <w:r w:rsidRPr="003F2F28">
        <w:t>EPA: Environmental Protection Agency</w:t>
      </w:r>
      <w:r>
        <w:t>.</w:t>
      </w:r>
    </w:p>
    <w:p w14:paraId="57DAB1F8" w14:textId="77777777" w:rsidR="00544798" w:rsidRPr="003F2F28" w:rsidRDefault="00544798" w:rsidP="00926EB3">
      <w:pPr>
        <w:pStyle w:val="ListParagraph"/>
        <w:numPr>
          <w:ilvl w:val="0"/>
          <w:numId w:val="177"/>
        </w:numPr>
      </w:pPr>
      <w:r w:rsidRPr="003F2F28">
        <w:t>EPHS: Essential Public Health Services</w:t>
      </w:r>
      <w:r>
        <w:t>.</w:t>
      </w:r>
    </w:p>
    <w:p w14:paraId="7BEA4FE1" w14:textId="77777777" w:rsidR="00544798" w:rsidRPr="003F2F28" w:rsidRDefault="00544798" w:rsidP="00544798"/>
    <w:p w14:paraId="6707744E" w14:textId="77777777" w:rsidR="00544798" w:rsidRPr="003F2F28" w:rsidRDefault="00544798" w:rsidP="00544798">
      <w:pPr>
        <w:pStyle w:val="Heading5"/>
      </w:pPr>
      <w:r w:rsidRPr="003F2F28">
        <w:t>G</w:t>
      </w:r>
    </w:p>
    <w:p w14:paraId="2405C10F" w14:textId="77777777" w:rsidR="00544798" w:rsidRPr="003F2F28" w:rsidRDefault="00544798" w:rsidP="00926EB3">
      <w:pPr>
        <w:pStyle w:val="ListParagraph"/>
        <w:numPr>
          <w:ilvl w:val="0"/>
          <w:numId w:val="178"/>
        </w:numPr>
      </w:pPr>
      <w:r w:rsidRPr="003F2F28">
        <w:t>GDM: Gestational Diabetes</w:t>
      </w:r>
    </w:p>
    <w:p w14:paraId="0BCC256F" w14:textId="77777777" w:rsidR="00544798" w:rsidRPr="003F2F28" w:rsidRDefault="00544798" w:rsidP="00544798"/>
    <w:p w14:paraId="31C4C3A7" w14:textId="77777777" w:rsidR="00544798" w:rsidRPr="003F2F28" w:rsidRDefault="00544798" w:rsidP="00544798">
      <w:pPr>
        <w:pStyle w:val="Heading5"/>
      </w:pPr>
      <w:r w:rsidRPr="003F2F28">
        <w:t>H</w:t>
      </w:r>
    </w:p>
    <w:p w14:paraId="6492BD93" w14:textId="34C40AF7" w:rsidR="00544798" w:rsidRPr="003F2F28" w:rsidRDefault="00544798" w:rsidP="00926EB3">
      <w:pPr>
        <w:pStyle w:val="ListParagraph"/>
        <w:numPr>
          <w:ilvl w:val="0"/>
          <w:numId w:val="178"/>
        </w:numPr>
      </w:pPr>
      <w:r w:rsidRPr="003F2F28">
        <w:t xml:space="preserve">HIV: Human </w:t>
      </w:r>
      <w:r w:rsidR="0087480F">
        <w:t>I</w:t>
      </w:r>
      <w:r w:rsidRPr="003F2F28">
        <w:t xml:space="preserve">mmunodeficiency </w:t>
      </w:r>
      <w:r w:rsidR="0087480F">
        <w:t>V</w:t>
      </w:r>
      <w:r w:rsidRPr="003F2F28">
        <w:t>irus</w:t>
      </w:r>
      <w:r>
        <w:t>.</w:t>
      </w:r>
    </w:p>
    <w:p w14:paraId="6C7F9D6C" w14:textId="77777777" w:rsidR="00544798" w:rsidRPr="003F2F28" w:rsidRDefault="00544798" w:rsidP="00926EB3">
      <w:pPr>
        <w:pStyle w:val="ListParagraph"/>
        <w:numPr>
          <w:ilvl w:val="0"/>
          <w:numId w:val="178"/>
        </w:numPr>
      </w:pPr>
      <w:r w:rsidRPr="003F2F28">
        <w:t>HOPWA: Housing Opportunity for People Living with AIDS</w:t>
      </w:r>
      <w:r>
        <w:t>.</w:t>
      </w:r>
    </w:p>
    <w:p w14:paraId="76C71D16" w14:textId="77777777" w:rsidR="00544798" w:rsidRPr="003F2F28" w:rsidRDefault="00544798" w:rsidP="00926EB3">
      <w:pPr>
        <w:pStyle w:val="ListParagraph"/>
        <w:numPr>
          <w:ilvl w:val="0"/>
          <w:numId w:val="178"/>
        </w:numPr>
      </w:pPr>
      <w:r w:rsidRPr="003F2F28">
        <w:t>HP 2030: Healthy People 2030</w:t>
      </w:r>
      <w:r>
        <w:t>.</w:t>
      </w:r>
    </w:p>
    <w:p w14:paraId="4FB3C190" w14:textId="77777777" w:rsidR="00544798" w:rsidRPr="003F2F28" w:rsidRDefault="00544798" w:rsidP="00926EB3">
      <w:pPr>
        <w:pStyle w:val="ListParagraph"/>
        <w:numPr>
          <w:ilvl w:val="0"/>
          <w:numId w:val="178"/>
        </w:numPr>
      </w:pPr>
      <w:r w:rsidRPr="003F2F28">
        <w:t>HPC: HIV Planning Council</w:t>
      </w:r>
      <w:r>
        <w:t>.</w:t>
      </w:r>
    </w:p>
    <w:p w14:paraId="3E1592CB" w14:textId="77777777" w:rsidR="00544798" w:rsidRPr="003F2F28" w:rsidRDefault="00544798" w:rsidP="00926EB3">
      <w:pPr>
        <w:pStyle w:val="ListParagraph"/>
        <w:numPr>
          <w:ilvl w:val="0"/>
          <w:numId w:val="178"/>
        </w:numPr>
      </w:pPr>
      <w:r w:rsidRPr="003F2F28">
        <w:t>HPSA: Health Professional Shortage Area</w:t>
      </w:r>
      <w:r>
        <w:t>.</w:t>
      </w:r>
    </w:p>
    <w:p w14:paraId="5CAD5BA6" w14:textId="77777777" w:rsidR="00544798" w:rsidRPr="003F2F28" w:rsidRDefault="00544798" w:rsidP="00926EB3">
      <w:pPr>
        <w:pStyle w:val="ListParagraph"/>
        <w:numPr>
          <w:ilvl w:val="0"/>
          <w:numId w:val="178"/>
        </w:numPr>
      </w:pPr>
      <w:r w:rsidRPr="003F2F28">
        <w:t>HRSA: Health Resources and Service Administration</w:t>
      </w:r>
      <w:r>
        <w:t>.</w:t>
      </w:r>
    </w:p>
    <w:p w14:paraId="01A1CA59" w14:textId="77777777" w:rsidR="00544798" w:rsidRPr="003F2F28" w:rsidRDefault="00544798" w:rsidP="00544798"/>
    <w:p w14:paraId="36DC600B" w14:textId="77777777" w:rsidR="00544798" w:rsidRPr="003F2F28" w:rsidRDefault="00544798" w:rsidP="00544798">
      <w:pPr>
        <w:pStyle w:val="Heading5"/>
      </w:pPr>
      <w:r w:rsidRPr="003F2F28">
        <w:lastRenderedPageBreak/>
        <w:t>I</w:t>
      </w:r>
    </w:p>
    <w:p w14:paraId="3F5D6A2D" w14:textId="77777777" w:rsidR="00544798" w:rsidRPr="003F2F28" w:rsidRDefault="00544798" w:rsidP="00926EB3">
      <w:pPr>
        <w:pStyle w:val="ListParagraph"/>
        <w:numPr>
          <w:ilvl w:val="0"/>
          <w:numId w:val="179"/>
        </w:numPr>
      </w:pPr>
      <w:r w:rsidRPr="003F2F28">
        <w:t>ICH: Interagency Council on Homelessness</w:t>
      </w:r>
      <w:r>
        <w:t>.</w:t>
      </w:r>
    </w:p>
    <w:p w14:paraId="7DBF2007" w14:textId="77777777" w:rsidR="00544798" w:rsidRPr="003F2F28" w:rsidRDefault="00544798" w:rsidP="00926EB3">
      <w:pPr>
        <w:pStyle w:val="ListParagraph"/>
        <w:numPr>
          <w:ilvl w:val="0"/>
          <w:numId w:val="179"/>
        </w:numPr>
      </w:pPr>
      <w:r w:rsidRPr="003F2F28">
        <w:t>IUGR: Intrauterine Growth Restriction</w:t>
      </w:r>
      <w:r>
        <w:t>.</w:t>
      </w:r>
    </w:p>
    <w:p w14:paraId="283CAB06" w14:textId="77777777" w:rsidR="00544798" w:rsidRPr="003F2F28" w:rsidRDefault="00544798" w:rsidP="00544798"/>
    <w:p w14:paraId="3A79D009" w14:textId="77777777" w:rsidR="00544798" w:rsidRPr="003F2F28" w:rsidRDefault="00544798" w:rsidP="00544798">
      <w:pPr>
        <w:pStyle w:val="Heading5"/>
      </w:pPr>
      <w:r w:rsidRPr="003F2F28">
        <w:t>K</w:t>
      </w:r>
    </w:p>
    <w:p w14:paraId="6E2EAE5A" w14:textId="77777777" w:rsidR="00544798" w:rsidRPr="003F2F28" w:rsidRDefault="00544798" w:rsidP="00926EB3">
      <w:pPr>
        <w:pStyle w:val="ListParagraph"/>
        <w:numPr>
          <w:ilvl w:val="0"/>
          <w:numId w:val="180"/>
        </w:numPr>
      </w:pPr>
      <w:r w:rsidRPr="003F2F28">
        <w:t>KRA: Kindergarten Readiness Assessment</w:t>
      </w:r>
      <w:r>
        <w:t>.</w:t>
      </w:r>
    </w:p>
    <w:p w14:paraId="0FE39EAC" w14:textId="77777777" w:rsidR="00544798" w:rsidRPr="003F2F28" w:rsidRDefault="00544798" w:rsidP="00544798"/>
    <w:p w14:paraId="2A4AD639" w14:textId="77777777" w:rsidR="00544798" w:rsidRPr="003F2F28" w:rsidRDefault="00544798" w:rsidP="00544798">
      <w:pPr>
        <w:pStyle w:val="Heading5"/>
      </w:pPr>
      <w:r w:rsidRPr="003F2F28">
        <w:t>L</w:t>
      </w:r>
    </w:p>
    <w:p w14:paraId="140902DB" w14:textId="77777777" w:rsidR="00544798" w:rsidRPr="003F2F28" w:rsidRDefault="00544798" w:rsidP="00926EB3">
      <w:pPr>
        <w:pStyle w:val="ListParagraph"/>
        <w:numPr>
          <w:ilvl w:val="0"/>
          <w:numId w:val="180"/>
        </w:numPr>
      </w:pPr>
      <w:r w:rsidRPr="003F2F28">
        <w:t xml:space="preserve">LGBTQIA+: Lesbian, gay, bisexual, transgender, questioning or queer, intersexual, </w:t>
      </w:r>
      <w:proofErr w:type="gramStart"/>
      <w:r w:rsidRPr="003F2F28">
        <w:t>asexual</w:t>
      </w:r>
      <w:proofErr w:type="gramEnd"/>
      <w:r w:rsidRPr="003F2F28">
        <w:t xml:space="preserve"> and other non-heterosexual</w:t>
      </w:r>
      <w:r>
        <w:t>.</w:t>
      </w:r>
    </w:p>
    <w:p w14:paraId="38BF3D3D" w14:textId="77777777" w:rsidR="00544798" w:rsidRPr="003F2F28" w:rsidRDefault="00544798" w:rsidP="00926EB3">
      <w:pPr>
        <w:pStyle w:val="ListParagraph"/>
        <w:numPr>
          <w:ilvl w:val="0"/>
          <w:numId w:val="180"/>
        </w:numPr>
      </w:pPr>
      <w:r w:rsidRPr="003F2F28">
        <w:t>LHSC: Live Healthy South Carolina</w:t>
      </w:r>
      <w:r>
        <w:t>.</w:t>
      </w:r>
    </w:p>
    <w:p w14:paraId="1B9D110C" w14:textId="77777777" w:rsidR="00544798" w:rsidRPr="003F2F28" w:rsidRDefault="00544798" w:rsidP="00544798"/>
    <w:p w14:paraId="73A3C290" w14:textId="77777777" w:rsidR="00544798" w:rsidRPr="003F2F28" w:rsidRDefault="00544798" w:rsidP="00544798">
      <w:pPr>
        <w:pStyle w:val="Heading5"/>
      </w:pPr>
      <w:r w:rsidRPr="003F2F28">
        <w:t>M</w:t>
      </w:r>
    </w:p>
    <w:p w14:paraId="6C6BF9E8" w14:textId="77777777" w:rsidR="00544798" w:rsidRPr="003F2F28" w:rsidRDefault="00544798" w:rsidP="00926EB3">
      <w:pPr>
        <w:pStyle w:val="ListParagraph"/>
        <w:numPr>
          <w:ilvl w:val="0"/>
          <w:numId w:val="181"/>
        </w:numPr>
      </w:pPr>
      <w:r w:rsidRPr="003F2F28">
        <w:t>MAPP: Mobilizing Action through Planning and Partnerships</w:t>
      </w:r>
      <w:r>
        <w:t>.</w:t>
      </w:r>
    </w:p>
    <w:p w14:paraId="055F3332" w14:textId="77777777" w:rsidR="00544798" w:rsidRPr="003F2F28" w:rsidRDefault="00544798" w:rsidP="00926EB3">
      <w:pPr>
        <w:pStyle w:val="ListParagraph"/>
        <w:numPr>
          <w:ilvl w:val="0"/>
          <w:numId w:val="181"/>
        </w:numPr>
      </w:pPr>
      <w:r w:rsidRPr="003F2F28">
        <w:t>MCC: Multiple Chronic Conditions</w:t>
      </w:r>
      <w:r>
        <w:t>.</w:t>
      </w:r>
    </w:p>
    <w:p w14:paraId="303BA6A9" w14:textId="77777777" w:rsidR="00544798" w:rsidRPr="003F2F28" w:rsidRDefault="00544798" w:rsidP="00926EB3">
      <w:pPr>
        <w:pStyle w:val="ListParagraph"/>
        <w:numPr>
          <w:ilvl w:val="0"/>
          <w:numId w:val="181"/>
        </w:numPr>
      </w:pPr>
      <w:r w:rsidRPr="003F2F28">
        <w:t>MCH: Maternal and Child Health</w:t>
      </w:r>
      <w:r>
        <w:t>.</w:t>
      </w:r>
    </w:p>
    <w:p w14:paraId="7B755C49" w14:textId="77777777" w:rsidR="00544798" w:rsidRPr="003F2F28" w:rsidRDefault="00544798" w:rsidP="00926EB3">
      <w:pPr>
        <w:pStyle w:val="ListParagraph"/>
        <w:numPr>
          <w:ilvl w:val="0"/>
          <w:numId w:val="181"/>
        </w:numPr>
      </w:pPr>
      <w:r w:rsidRPr="003F2F28">
        <w:t>MCL: Maximum Containment Levels</w:t>
      </w:r>
      <w:r>
        <w:t>.</w:t>
      </w:r>
      <w:r w:rsidRPr="003F2F28">
        <w:t xml:space="preserve"> </w:t>
      </w:r>
    </w:p>
    <w:p w14:paraId="606253E1" w14:textId="77777777" w:rsidR="00544798" w:rsidRPr="003F2F28" w:rsidRDefault="00544798" w:rsidP="00926EB3">
      <w:pPr>
        <w:pStyle w:val="ListParagraph"/>
        <w:numPr>
          <w:ilvl w:val="0"/>
          <w:numId w:val="181"/>
        </w:numPr>
      </w:pPr>
      <w:r w:rsidRPr="003F2F28">
        <w:t>MDE: Major Depressive Episode</w:t>
      </w:r>
      <w:r>
        <w:t>.</w:t>
      </w:r>
    </w:p>
    <w:p w14:paraId="3738C637" w14:textId="77777777" w:rsidR="00544798" w:rsidRPr="003F2F28" w:rsidRDefault="00544798" w:rsidP="00926EB3">
      <w:pPr>
        <w:pStyle w:val="ListParagraph"/>
        <w:numPr>
          <w:ilvl w:val="0"/>
          <w:numId w:val="181"/>
        </w:numPr>
      </w:pPr>
      <w:r w:rsidRPr="003F2F28">
        <w:t>MH SVI: Minority Health Social Vulnerability Index</w:t>
      </w:r>
      <w:r>
        <w:t>.</w:t>
      </w:r>
    </w:p>
    <w:p w14:paraId="1818FFE7" w14:textId="77777777" w:rsidR="00544798" w:rsidRPr="003F2F28" w:rsidRDefault="00544798" w:rsidP="00926EB3">
      <w:pPr>
        <w:pStyle w:val="ListParagraph"/>
        <w:numPr>
          <w:ilvl w:val="0"/>
          <w:numId w:val="181"/>
        </w:numPr>
      </w:pPr>
      <w:r w:rsidRPr="003F2F28">
        <w:t>MIAP: Medically Indigent Assistance Program</w:t>
      </w:r>
      <w:r>
        <w:t>.</w:t>
      </w:r>
    </w:p>
    <w:p w14:paraId="121E052E" w14:textId="77777777" w:rsidR="00544798" w:rsidRPr="003F2F28" w:rsidRDefault="00544798" w:rsidP="00926EB3">
      <w:pPr>
        <w:pStyle w:val="ListParagraph"/>
        <w:numPr>
          <w:ilvl w:val="0"/>
          <w:numId w:val="181"/>
        </w:numPr>
      </w:pPr>
      <w:r w:rsidRPr="003F2F28">
        <w:t>MMWR: Morbidity and Mortality Weekly Report</w:t>
      </w:r>
      <w:r>
        <w:t>.</w:t>
      </w:r>
    </w:p>
    <w:p w14:paraId="24B97B65" w14:textId="77777777" w:rsidR="00544798" w:rsidRPr="003F2F28" w:rsidRDefault="00544798" w:rsidP="00926EB3">
      <w:pPr>
        <w:pStyle w:val="ListParagraph"/>
        <w:numPr>
          <w:ilvl w:val="0"/>
          <w:numId w:val="181"/>
        </w:numPr>
      </w:pPr>
      <w:r w:rsidRPr="003F2F28">
        <w:t>MRDL: Maximum Residual Disinfectant Level</w:t>
      </w:r>
      <w:r>
        <w:t>.</w:t>
      </w:r>
    </w:p>
    <w:p w14:paraId="7ABFA8AE" w14:textId="6059BFB8" w:rsidR="00544798" w:rsidRPr="003F2F28" w:rsidRDefault="00544798" w:rsidP="00926EB3">
      <w:pPr>
        <w:pStyle w:val="ListParagraph"/>
        <w:numPr>
          <w:ilvl w:val="0"/>
          <w:numId w:val="181"/>
        </w:numPr>
      </w:pPr>
      <w:r w:rsidRPr="003F2F28">
        <w:t>MRSA: Methicillin-</w:t>
      </w:r>
      <w:r w:rsidR="0087480F">
        <w:t>R</w:t>
      </w:r>
      <w:r w:rsidRPr="003F2F28">
        <w:t xml:space="preserve">esistant Staphylococcus </w:t>
      </w:r>
      <w:r w:rsidR="0087480F">
        <w:t>A</w:t>
      </w:r>
      <w:r w:rsidRPr="003F2F28">
        <w:t>ureus</w:t>
      </w:r>
      <w:r>
        <w:t>.</w:t>
      </w:r>
    </w:p>
    <w:p w14:paraId="25B716FF" w14:textId="77777777" w:rsidR="00544798" w:rsidRPr="003F2F28" w:rsidRDefault="00544798" w:rsidP="00926EB3">
      <w:pPr>
        <w:pStyle w:val="ListParagraph"/>
        <w:numPr>
          <w:ilvl w:val="0"/>
          <w:numId w:val="181"/>
        </w:numPr>
      </w:pPr>
      <w:r w:rsidRPr="003F2F28">
        <w:t>MSW: Municipal Solid Waste</w:t>
      </w:r>
      <w:r>
        <w:t>.</w:t>
      </w:r>
    </w:p>
    <w:p w14:paraId="7BF9EACE" w14:textId="77777777" w:rsidR="00544798" w:rsidRPr="003F2F28" w:rsidRDefault="00544798" w:rsidP="00926EB3">
      <w:pPr>
        <w:pStyle w:val="ListParagraph"/>
        <w:numPr>
          <w:ilvl w:val="0"/>
          <w:numId w:val="181"/>
        </w:numPr>
      </w:pPr>
      <w:r w:rsidRPr="003F2F28">
        <w:t>MUSC: Medical University of South Carolina</w:t>
      </w:r>
      <w:r>
        <w:t>.</w:t>
      </w:r>
    </w:p>
    <w:p w14:paraId="3DB1ED8D" w14:textId="66015415" w:rsidR="00544798" w:rsidRDefault="00544798" w:rsidP="00926EB3">
      <w:pPr>
        <w:pStyle w:val="ListParagraph"/>
        <w:numPr>
          <w:ilvl w:val="0"/>
          <w:numId w:val="181"/>
        </w:numPr>
      </w:pPr>
      <w:r w:rsidRPr="003F2F28">
        <w:t>MVC: Motor Vehicle Crash</w:t>
      </w:r>
      <w:r>
        <w:t>.</w:t>
      </w:r>
    </w:p>
    <w:p w14:paraId="6DF318B4" w14:textId="77777777" w:rsidR="00544798" w:rsidRPr="003F2F28" w:rsidRDefault="00544798" w:rsidP="00544798"/>
    <w:p w14:paraId="2207B378" w14:textId="77777777" w:rsidR="00544798" w:rsidRPr="003F2F28" w:rsidRDefault="00544798" w:rsidP="00544798">
      <w:pPr>
        <w:pStyle w:val="Heading5"/>
      </w:pPr>
      <w:r w:rsidRPr="003F2F28">
        <w:t>N</w:t>
      </w:r>
    </w:p>
    <w:p w14:paraId="1C7CC2A9" w14:textId="77777777" w:rsidR="00544798" w:rsidRPr="003F2F28" w:rsidRDefault="00544798" w:rsidP="00926EB3">
      <w:pPr>
        <w:pStyle w:val="ListParagraph"/>
        <w:numPr>
          <w:ilvl w:val="0"/>
          <w:numId w:val="182"/>
        </w:numPr>
      </w:pPr>
      <w:r w:rsidRPr="003F2F28">
        <w:t>NAACP: National Association for the Advancement of Colored People</w:t>
      </w:r>
      <w:r>
        <w:t>.</w:t>
      </w:r>
    </w:p>
    <w:p w14:paraId="79448C7B" w14:textId="77777777" w:rsidR="00544798" w:rsidRPr="003F2F28" w:rsidRDefault="00544798" w:rsidP="00926EB3">
      <w:pPr>
        <w:pStyle w:val="ListParagraph"/>
        <w:numPr>
          <w:ilvl w:val="0"/>
          <w:numId w:val="182"/>
        </w:numPr>
      </w:pPr>
      <w:r w:rsidRPr="003F2F28">
        <w:t>NAAQS: National Ambient Air Quality Standards</w:t>
      </w:r>
      <w:r>
        <w:t>.</w:t>
      </w:r>
    </w:p>
    <w:p w14:paraId="55CE48A3" w14:textId="77777777" w:rsidR="00544798" w:rsidRPr="003F2F28" w:rsidRDefault="00544798" w:rsidP="00926EB3">
      <w:pPr>
        <w:pStyle w:val="ListParagraph"/>
        <w:numPr>
          <w:ilvl w:val="0"/>
          <w:numId w:val="182"/>
        </w:numPr>
      </w:pPr>
      <w:r w:rsidRPr="003F2F28">
        <w:t>NACCHO: National Association of City and County Health Officials</w:t>
      </w:r>
      <w:r>
        <w:t>.</w:t>
      </w:r>
    </w:p>
    <w:p w14:paraId="65C57C17" w14:textId="77777777" w:rsidR="00544798" w:rsidRPr="003F2F28" w:rsidRDefault="00544798" w:rsidP="00926EB3">
      <w:pPr>
        <w:pStyle w:val="ListParagraph"/>
        <w:numPr>
          <w:ilvl w:val="0"/>
          <w:numId w:val="182"/>
        </w:numPr>
      </w:pPr>
      <w:r w:rsidRPr="003F2F28">
        <w:t>NCHS: National Centers for Health Statistics</w:t>
      </w:r>
      <w:r>
        <w:t>.</w:t>
      </w:r>
    </w:p>
    <w:p w14:paraId="64366741" w14:textId="77777777" w:rsidR="00544798" w:rsidRPr="003F2F28" w:rsidRDefault="00544798" w:rsidP="00926EB3">
      <w:pPr>
        <w:pStyle w:val="ListParagraph"/>
        <w:numPr>
          <w:ilvl w:val="0"/>
          <w:numId w:val="182"/>
        </w:numPr>
      </w:pPr>
      <w:r w:rsidRPr="003F2F28">
        <w:t>NEI: National Emissions Inventory</w:t>
      </w:r>
      <w:r>
        <w:t>.</w:t>
      </w:r>
    </w:p>
    <w:p w14:paraId="16240DD8" w14:textId="1369241F" w:rsidR="00544798" w:rsidRPr="003F2F28" w:rsidRDefault="00544798" w:rsidP="00926EB3">
      <w:pPr>
        <w:pStyle w:val="ListParagraph"/>
        <w:numPr>
          <w:ilvl w:val="0"/>
          <w:numId w:val="182"/>
        </w:numPr>
      </w:pPr>
      <w:r w:rsidRPr="003F2F28">
        <w:t xml:space="preserve">NH-PI: Native Hawaiian or </w:t>
      </w:r>
      <w:proofErr w:type="gramStart"/>
      <w:r w:rsidR="0087480F">
        <w:t>o</w:t>
      </w:r>
      <w:r w:rsidRPr="003F2F28">
        <w:t>ther</w:t>
      </w:r>
      <w:proofErr w:type="gramEnd"/>
      <w:r w:rsidRPr="003F2F28">
        <w:t xml:space="preserve"> Pacific Islander</w:t>
      </w:r>
      <w:r>
        <w:t>.</w:t>
      </w:r>
    </w:p>
    <w:p w14:paraId="0033DA29" w14:textId="77777777" w:rsidR="00544798" w:rsidRPr="003F2F28" w:rsidRDefault="00544798" w:rsidP="00926EB3">
      <w:pPr>
        <w:pStyle w:val="ListParagraph"/>
        <w:numPr>
          <w:ilvl w:val="0"/>
          <w:numId w:val="182"/>
        </w:numPr>
      </w:pPr>
      <w:r w:rsidRPr="003F2F28">
        <w:t>NIS: National Immunization Survey</w:t>
      </w:r>
      <w:r>
        <w:t>.</w:t>
      </w:r>
    </w:p>
    <w:p w14:paraId="6044FD55" w14:textId="77777777" w:rsidR="00544798" w:rsidRPr="003F2F28" w:rsidRDefault="00544798" w:rsidP="00926EB3">
      <w:pPr>
        <w:pStyle w:val="ListParagraph"/>
        <w:numPr>
          <w:ilvl w:val="0"/>
          <w:numId w:val="182"/>
        </w:numPr>
      </w:pPr>
      <w:r w:rsidRPr="003F2F28">
        <w:t>NPCR: National Program of Cancer Registries</w:t>
      </w:r>
      <w:r>
        <w:t>.</w:t>
      </w:r>
    </w:p>
    <w:p w14:paraId="51B786B0" w14:textId="77777777" w:rsidR="00544798" w:rsidRPr="003F2F28" w:rsidRDefault="00544798" w:rsidP="00926EB3">
      <w:pPr>
        <w:pStyle w:val="ListParagraph"/>
        <w:numPr>
          <w:ilvl w:val="0"/>
          <w:numId w:val="182"/>
        </w:numPr>
      </w:pPr>
      <w:r w:rsidRPr="003F2F28">
        <w:lastRenderedPageBreak/>
        <w:t>NRP: Non-Responsible Parties</w:t>
      </w:r>
      <w:r>
        <w:t>.</w:t>
      </w:r>
    </w:p>
    <w:p w14:paraId="08B6E9E1" w14:textId="77777777" w:rsidR="00544798" w:rsidRPr="003F2F28" w:rsidRDefault="00544798" w:rsidP="00544798"/>
    <w:p w14:paraId="6C370B57" w14:textId="77777777" w:rsidR="00544798" w:rsidRPr="003F2F28" w:rsidRDefault="00544798" w:rsidP="00544798">
      <w:pPr>
        <w:pStyle w:val="Heading5"/>
      </w:pPr>
      <w:r w:rsidRPr="003F2F28">
        <w:t>O</w:t>
      </w:r>
    </w:p>
    <w:p w14:paraId="16BB0810" w14:textId="77777777" w:rsidR="00544798" w:rsidRPr="003F2F28" w:rsidRDefault="00544798" w:rsidP="00926EB3">
      <w:pPr>
        <w:pStyle w:val="ListParagraph"/>
        <w:numPr>
          <w:ilvl w:val="0"/>
          <w:numId w:val="183"/>
        </w:numPr>
      </w:pPr>
      <w:r w:rsidRPr="003F2F28">
        <w:t>OMB: Office of Management and Budgets</w:t>
      </w:r>
      <w:r>
        <w:t>.</w:t>
      </w:r>
    </w:p>
    <w:p w14:paraId="2031003E" w14:textId="77777777" w:rsidR="00544798" w:rsidRPr="003F2F28" w:rsidRDefault="00544798" w:rsidP="00926EB3">
      <w:pPr>
        <w:pStyle w:val="ListParagraph"/>
        <w:numPr>
          <w:ilvl w:val="0"/>
          <w:numId w:val="183"/>
        </w:numPr>
      </w:pPr>
      <w:r w:rsidRPr="003F2F28">
        <w:t>ORH: Office of Rural Health</w:t>
      </w:r>
      <w:r>
        <w:t>.</w:t>
      </w:r>
    </w:p>
    <w:p w14:paraId="12E3075E" w14:textId="77777777" w:rsidR="00544798" w:rsidRPr="003F2F28" w:rsidRDefault="00544798" w:rsidP="00544798"/>
    <w:p w14:paraId="2A9E6782" w14:textId="77777777" w:rsidR="00544798" w:rsidRPr="003F2F28" w:rsidRDefault="00544798" w:rsidP="00544798">
      <w:pPr>
        <w:pStyle w:val="Heading5"/>
      </w:pPr>
      <w:r w:rsidRPr="003F2F28">
        <w:t>P</w:t>
      </w:r>
    </w:p>
    <w:p w14:paraId="19F5AF36" w14:textId="77777777" w:rsidR="00544798" w:rsidRPr="003F2F28" w:rsidRDefault="00544798" w:rsidP="00926EB3">
      <w:pPr>
        <w:pStyle w:val="ListParagraph"/>
        <w:numPr>
          <w:ilvl w:val="0"/>
          <w:numId w:val="184"/>
        </w:numPr>
      </w:pPr>
      <w:r w:rsidRPr="003F2F28">
        <w:t>P &amp; S Syphilis: Primary and Secondary Syphilis</w:t>
      </w:r>
      <w:r>
        <w:t>.</w:t>
      </w:r>
    </w:p>
    <w:p w14:paraId="014F5AF3" w14:textId="77777777" w:rsidR="00544798" w:rsidRPr="003F2F28" w:rsidRDefault="00544798" w:rsidP="00926EB3">
      <w:pPr>
        <w:pStyle w:val="ListParagraph"/>
        <w:numPr>
          <w:ilvl w:val="0"/>
          <w:numId w:val="184"/>
        </w:numPr>
      </w:pPr>
      <w:r w:rsidRPr="003F2F28">
        <w:t>PACT: Promise to Address Comprehensive Toxics</w:t>
      </w:r>
      <w:r>
        <w:t>.</w:t>
      </w:r>
    </w:p>
    <w:p w14:paraId="5C60D5D2" w14:textId="77777777" w:rsidR="00544798" w:rsidRPr="003F2F28" w:rsidRDefault="00544798" w:rsidP="00926EB3">
      <w:pPr>
        <w:pStyle w:val="ListParagraph"/>
        <w:numPr>
          <w:ilvl w:val="0"/>
          <w:numId w:val="184"/>
        </w:numPr>
      </w:pPr>
      <w:r w:rsidRPr="003F2F28">
        <w:t>PAs: Physician Associates</w:t>
      </w:r>
      <w:r>
        <w:t>.</w:t>
      </w:r>
    </w:p>
    <w:p w14:paraId="09F7C651" w14:textId="40B7F184" w:rsidR="00544798" w:rsidRPr="003F2F28" w:rsidRDefault="00544798" w:rsidP="00926EB3">
      <w:pPr>
        <w:pStyle w:val="ListParagraph"/>
        <w:numPr>
          <w:ilvl w:val="0"/>
          <w:numId w:val="184"/>
        </w:numPr>
      </w:pPr>
      <w:r w:rsidRPr="003F2F28">
        <w:t>PEP: Post-</w:t>
      </w:r>
      <w:r w:rsidR="0087480F">
        <w:t>E</w:t>
      </w:r>
      <w:r w:rsidRPr="003F2F28">
        <w:t>xposure Prophylaxis</w:t>
      </w:r>
      <w:r>
        <w:t>.</w:t>
      </w:r>
    </w:p>
    <w:p w14:paraId="017FB505" w14:textId="77777777" w:rsidR="00544798" w:rsidRPr="003F2F28" w:rsidRDefault="00544798" w:rsidP="00926EB3">
      <w:pPr>
        <w:pStyle w:val="ListParagraph"/>
        <w:numPr>
          <w:ilvl w:val="0"/>
          <w:numId w:val="184"/>
        </w:numPr>
      </w:pPr>
      <w:r w:rsidRPr="003F2F28">
        <w:t>PHS: Preventive Health Services</w:t>
      </w:r>
      <w:r>
        <w:t>.</w:t>
      </w:r>
    </w:p>
    <w:p w14:paraId="1B503F02" w14:textId="77777777" w:rsidR="00544798" w:rsidRPr="003F2F28" w:rsidRDefault="00544798" w:rsidP="00926EB3">
      <w:pPr>
        <w:pStyle w:val="ListParagraph"/>
        <w:numPr>
          <w:ilvl w:val="0"/>
          <w:numId w:val="184"/>
        </w:numPr>
      </w:pPr>
      <w:r w:rsidRPr="003F2F28">
        <w:t>PHAB: Public Health Accreditation Board</w:t>
      </w:r>
      <w:r>
        <w:t>.</w:t>
      </w:r>
    </w:p>
    <w:p w14:paraId="708E006C" w14:textId="77777777" w:rsidR="00544798" w:rsidRPr="003F2F28" w:rsidRDefault="00544798" w:rsidP="00926EB3">
      <w:pPr>
        <w:pStyle w:val="ListParagraph"/>
        <w:numPr>
          <w:ilvl w:val="0"/>
          <w:numId w:val="184"/>
        </w:numPr>
      </w:pPr>
      <w:r w:rsidRPr="003F2F28">
        <w:t>PRAMS: South Carolina Pregnancy Risk Assessment Monitoring Systems</w:t>
      </w:r>
      <w:r>
        <w:t>.</w:t>
      </w:r>
    </w:p>
    <w:p w14:paraId="12B32CA1" w14:textId="3ADA6CB2" w:rsidR="00544798" w:rsidRPr="003F2F28" w:rsidRDefault="00544798" w:rsidP="00926EB3">
      <w:pPr>
        <w:pStyle w:val="ListParagraph"/>
        <w:numPr>
          <w:ilvl w:val="0"/>
          <w:numId w:val="184"/>
        </w:numPr>
      </w:pPr>
      <w:r w:rsidRPr="003F2F28">
        <w:t>PrEP: Pre-</w:t>
      </w:r>
      <w:r w:rsidR="0087480F">
        <w:t>E</w:t>
      </w:r>
      <w:r w:rsidRPr="003F2F28">
        <w:t>xposure Prophylaxis</w:t>
      </w:r>
      <w:r>
        <w:t>.</w:t>
      </w:r>
    </w:p>
    <w:p w14:paraId="7EC3E23E" w14:textId="77777777" w:rsidR="00544798" w:rsidRPr="003F2F28" w:rsidRDefault="00544798" w:rsidP="00926EB3">
      <w:pPr>
        <w:pStyle w:val="ListParagraph"/>
        <w:numPr>
          <w:ilvl w:val="0"/>
          <w:numId w:val="184"/>
        </w:numPr>
      </w:pPr>
      <w:r w:rsidRPr="003F2F28">
        <w:t>PSE: Policy, System, and Environmental</w:t>
      </w:r>
      <w:r>
        <w:t>.</w:t>
      </w:r>
    </w:p>
    <w:p w14:paraId="3BCB68D9" w14:textId="7D40C90E" w:rsidR="00544798" w:rsidRPr="003F2F28" w:rsidRDefault="00544798" w:rsidP="00926EB3">
      <w:pPr>
        <w:pStyle w:val="ListParagraph"/>
        <w:numPr>
          <w:ilvl w:val="0"/>
          <w:numId w:val="184"/>
        </w:numPr>
      </w:pPr>
      <w:r w:rsidRPr="003F2F28">
        <w:t>PTSD: Post-</w:t>
      </w:r>
      <w:r w:rsidR="0087480F">
        <w:t>T</w:t>
      </w:r>
      <w:r w:rsidRPr="003F2F28">
        <w:t xml:space="preserve">raumatic </w:t>
      </w:r>
      <w:r w:rsidR="0087480F">
        <w:t>S</w:t>
      </w:r>
      <w:r w:rsidRPr="003F2F28">
        <w:t xml:space="preserve">tress </w:t>
      </w:r>
      <w:r w:rsidR="0087480F">
        <w:t>D</w:t>
      </w:r>
      <w:r w:rsidRPr="003F2F28">
        <w:t>isorder</w:t>
      </w:r>
      <w:r>
        <w:t>.</w:t>
      </w:r>
    </w:p>
    <w:p w14:paraId="05821E22" w14:textId="77777777" w:rsidR="00544798" w:rsidRPr="003F2F28" w:rsidRDefault="00544798" w:rsidP="00926EB3">
      <w:pPr>
        <w:pStyle w:val="ListParagraph"/>
        <w:numPr>
          <w:ilvl w:val="0"/>
          <w:numId w:val="184"/>
        </w:numPr>
      </w:pPr>
      <w:r w:rsidRPr="003F2F28">
        <w:t>PWH: Persons Living with HIV</w:t>
      </w:r>
      <w:r>
        <w:t>.</w:t>
      </w:r>
    </w:p>
    <w:p w14:paraId="6BCAB4E6" w14:textId="51F13E98" w:rsidR="00544798" w:rsidRPr="003F2F28" w:rsidRDefault="00544798" w:rsidP="00926EB3">
      <w:pPr>
        <w:pStyle w:val="ListParagraph"/>
        <w:numPr>
          <w:ilvl w:val="0"/>
          <w:numId w:val="184"/>
        </w:numPr>
      </w:pPr>
      <w:r w:rsidRPr="003F2F28">
        <w:t xml:space="preserve">PWID: Persons </w:t>
      </w:r>
      <w:r w:rsidR="0087480F">
        <w:t>W</w:t>
      </w:r>
      <w:r w:rsidRPr="003F2F28">
        <w:t>ho Inject Drugs</w:t>
      </w:r>
      <w:r>
        <w:t>.</w:t>
      </w:r>
    </w:p>
    <w:p w14:paraId="5A8ABE62" w14:textId="77777777" w:rsidR="00544798" w:rsidRPr="003F2F28" w:rsidRDefault="00544798" w:rsidP="00926EB3">
      <w:pPr>
        <w:pStyle w:val="ListParagraph"/>
        <w:numPr>
          <w:ilvl w:val="0"/>
          <w:numId w:val="184"/>
        </w:numPr>
      </w:pPr>
      <w:r w:rsidRPr="003F2F28">
        <w:t>PWS: Public Water Systems</w:t>
      </w:r>
      <w:r>
        <w:t>.</w:t>
      </w:r>
    </w:p>
    <w:p w14:paraId="17B6A5EC" w14:textId="77777777" w:rsidR="00544798" w:rsidRPr="003F2F28" w:rsidRDefault="00544798" w:rsidP="00544798"/>
    <w:p w14:paraId="55080CED" w14:textId="77777777" w:rsidR="00544798" w:rsidRPr="003F2F28" w:rsidRDefault="00544798" w:rsidP="00544798">
      <w:pPr>
        <w:pStyle w:val="Heading5"/>
      </w:pPr>
      <w:r w:rsidRPr="003F2F28">
        <w:t>R</w:t>
      </w:r>
    </w:p>
    <w:p w14:paraId="30E4B0CC" w14:textId="77777777" w:rsidR="00544798" w:rsidRPr="003F2F28" w:rsidRDefault="00544798" w:rsidP="00926EB3">
      <w:pPr>
        <w:pStyle w:val="ListParagraph"/>
        <w:numPr>
          <w:ilvl w:val="0"/>
          <w:numId w:val="185"/>
        </w:numPr>
      </w:pPr>
      <w:r w:rsidRPr="003F2F28">
        <w:t>RBA: Results Based Accountability</w:t>
      </w:r>
      <w:r>
        <w:t>.</w:t>
      </w:r>
    </w:p>
    <w:p w14:paraId="505F4DA3" w14:textId="77777777" w:rsidR="00544798" w:rsidRPr="003F2F28" w:rsidRDefault="00544798" w:rsidP="00926EB3">
      <w:pPr>
        <w:pStyle w:val="ListParagraph"/>
        <w:numPr>
          <w:ilvl w:val="0"/>
          <w:numId w:val="185"/>
        </w:numPr>
      </w:pPr>
      <w:r w:rsidRPr="003F2F28">
        <w:t>RCORP: Rural Communities Opioid Response Program</w:t>
      </w:r>
      <w:r>
        <w:t>.</w:t>
      </w:r>
    </w:p>
    <w:p w14:paraId="733243A6" w14:textId="77777777" w:rsidR="00544798" w:rsidRPr="003F2F28" w:rsidRDefault="00544798" w:rsidP="00926EB3">
      <w:pPr>
        <w:pStyle w:val="ListParagraph"/>
        <w:numPr>
          <w:ilvl w:val="0"/>
          <w:numId w:val="185"/>
        </w:numPr>
      </w:pPr>
      <w:r w:rsidRPr="003F2F28">
        <w:t>RFA: Revenue and Fiscal Affairs</w:t>
      </w:r>
      <w:r>
        <w:t>.</w:t>
      </w:r>
    </w:p>
    <w:p w14:paraId="6A5A248C" w14:textId="77777777" w:rsidR="00544798" w:rsidRPr="003F2F28" w:rsidRDefault="00544798" w:rsidP="00926EB3">
      <w:pPr>
        <w:pStyle w:val="ListParagraph"/>
        <w:numPr>
          <w:ilvl w:val="0"/>
          <w:numId w:val="185"/>
        </w:numPr>
      </w:pPr>
      <w:r w:rsidRPr="003F2F28">
        <w:t>RMC: Regional Medical Center</w:t>
      </w:r>
      <w:r>
        <w:t>.</w:t>
      </w:r>
    </w:p>
    <w:p w14:paraId="1F39089F" w14:textId="77777777" w:rsidR="00544798" w:rsidRPr="003F2F28" w:rsidRDefault="00544798" w:rsidP="00926EB3">
      <w:pPr>
        <w:pStyle w:val="ListParagraph"/>
        <w:numPr>
          <w:ilvl w:val="0"/>
          <w:numId w:val="185"/>
        </w:numPr>
      </w:pPr>
      <w:r w:rsidRPr="003F2F28">
        <w:t>RP: Responsible Parties</w:t>
      </w:r>
      <w:r>
        <w:t>.</w:t>
      </w:r>
    </w:p>
    <w:p w14:paraId="6A0C759B" w14:textId="77777777" w:rsidR="00544798" w:rsidRPr="003F2F28" w:rsidRDefault="00544798" w:rsidP="00926EB3">
      <w:pPr>
        <w:pStyle w:val="ListParagraph"/>
        <w:numPr>
          <w:ilvl w:val="0"/>
          <w:numId w:val="185"/>
        </w:numPr>
      </w:pPr>
      <w:r w:rsidRPr="003F2F28">
        <w:t>RUCA: Rural-Urban Commuting Area</w:t>
      </w:r>
      <w:r>
        <w:t>.</w:t>
      </w:r>
    </w:p>
    <w:p w14:paraId="7B089DD6" w14:textId="77777777" w:rsidR="00544798" w:rsidRPr="003F2F28" w:rsidRDefault="00544798" w:rsidP="00544798"/>
    <w:p w14:paraId="149C157A" w14:textId="77777777" w:rsidR="00544798" w:rsidRPr="003F2F28" w:rsidRDefault="00544798" w:rsidP="00544798">
      <w:pPr>
        <w:pStyle w:val="Heading5"/>
      </w:pPr>
      <w:r w:rsidRPr="003F2F28">
        <w:t>S</w:t>
      </w:r>
    </w:p>
    <w:p w14:paraId="42F0B107" w14:textId="77777777" w:rsidR="00544798" w:rsidRPr="003F2F28" w:rsidRDefault="00544798" w:rsidP="00926EB3">
      <w:pPr>
        <w:pStyle w:val="ListParagraph"/>
        <w:numPr>
          <w:ilvl w:val="0"/>
          <w:numId w:val="186"/>
        </w:numPr>
      </w:pPr>
      <w:r w:rsidRPr="003F2F28">
        <w:t>SC: South Carolina</w:t>
      </w:r>
      <w:r>
        <w:t>.</w:t>
      </w:r>
    </w:p>
    <w:p w14:paraId="26C42CDD" w14:textId="77777777" w:rsidR="00544798" w:rsidRPr="003F2F28" w:rsidRDefault="00544798" w:rsidP="00926EB3">
      <w:pPr>
        <w:pStyle w:val="ListParagraph"/>
        <w:numPr>
          <w:ilvl w:val="0"/>
          <w:numId w:val="186"/>
        </w:numPr>
      </w:pPr>
      <w:r w:rsidRPr="003F2F28">
        <w:t>SC AHEC: South Carolina Area Health Education Consortium</w:t>
      </w:r>
      <w:r>
        <w:t>.</w:t>
      </w:r>
    </w:p>
    <w:p w14:paraId="4EF9F386" w14:textId="77777777" w:rsidR="00544798" w:rsidRPr="003F2F28" w:rsidRDefault="00544798" w:rsidP="00926EB3">
      <w:pPr>
        <w:pStyle w:val="ListParagraph"/>
        <w:numPr>
          <w:ilvl w:val="0"/>
          <w:numId w:val="186"/>
        </w:numPr>
      </w:pPr>
      <w:r w:rsidRPr="003F2F28">
        <w:t>SC DHHS: South Carolina Department of Health and Human Services</w:t>
      </w:r>
      <w:r>
        <w:t>.</w:t>
      </w:r>
    </w:p>
    <w:p w14:paraId="66004254" w14:textId="77777777" w:rsidR="00544798" w:rsidRPr="003F2F28" w:rsidRDefault="00544798" w:rsidP="00926EB3">
      <w:pPr>
        <w:pStyle w:val="ListParagraph"/>
        <w:numPr>
          <w:ilvl w:val="0"/>
          <w:numId w:val="186"/>
        </w:numPr>
      </w:pPr>
      <w:r w:rsidRPr="003F2F28">
        <w:t>SC DMH: South Carolina Department of Mental Health</w:t>
      </w:r>
      <w:r>
        <w:t>.</w:t>
      </w:r>
    </w:p>
    <w:p w14:paraId="32FD8AE0" w14:textId="77777777" w:rsidR="00544798" w:rsidRPr="003F2F28" w:rsidRDefault="00544798" w:rsidP="00926EB3">
      <w:pPr>
        <w:pStyle w:val="ListParagraph"/>
        <w:numPr>
          <w:ilvl w:val="0"/>
          <w:numId w:val="186"/>
        </w:numPr>
      </w:pPr>
      <w:r w:rsidRPr="003F2F28">
        <w:t>SC DSS: South Carolina Department of Social Services</w:t>
      </w:r>
      <w:r>
        <w:t>.</w:t>
      </w:r>
    </w:p>
    <w:p w14:paraId="43C57E9A" w14:textId="77777777" w:rsidR="00544798" w:rsidRPr="003F2F28" w:rsidRDefault="00544798" w:rsidP="00926EB3">
      <w:pPr>
        <w:pStyle w:val="ListParagraph"/>
        <w:numPr>
          <w:ilvl w:val="0"/>
          <w:numId w:val="186"/>
        </w:numPr>
      </w:pPr>
      <w:r w:rsidRPr="003F2F28">
        <w:t>SC OPC: South Carolina Office of Primary Care</w:t>
      </w:r>
      <w:r>
        <w:t>.</w:t>
      </w:r>
    </w:p>
    <w:p w14:paraId="0A96C1E0" w14:textId="77777777" w:rsidR="00544798" w:rsidRPr="003F2F28" w:rsidRDefault="00544798" w:rsidP="00926EB3">
      <w:pPr>
        <w:pStyle w:val="ListParagraph"/>
        <w:numPr>
          <w:ilvl w:val="0"/>
          <w:numId w:val="186"/>
        </w:numPr>
      </w:pPr>
      <w:r w:rsidRPr="003F2F28">
        <w:lastRenderedPageBreak/>
        <w:t>SCAAHE: South Carolina Association for the Advancement of Health Education</w:t>
      </w:r>
      <w:r>
        <w:t>.</w:t>
      </w:r>
    </w:p>
    <w:p w14:paraId="54985F61" w14:textId="77777777" w:rsidR="00544798" w:rsidRPr="003F2F28" w:rsidRDefault="00544798" w:rsidP="00926EB3">
      <w:pPr>
        <w:pStyle w:val="ListParagraph"/>
        <w:numPr>
          <w:ilvl w:val="0"/>
          <w:numId w:val="186"/>
        </w:numPr>
      </w:pPr>
      <w:r w:rsidRPr="003F2F28">
        <w:t>SCAFP: South Carolina Association for Future Professionals</w:t>
      </w:r>
      <w:r>
        <w:t>.</w:t>
      </w:r>
    </w:p>
    <w:p w14:paraId="748FDE22" w14:textId="77777777" w:rsidR="00544798" w:rsidRPr="003F2F28" w:rsidRDefault="00544798" w:rsidP="00926EB3">
      <w:pPr>
        <w:pStyle w:val="ListParagraph"/>
        <w:numPr>
          <w:ilvl w:val="0"/>
          <w:numId w:val="186"/>
        </w:numPr>
      </w:pPr>
      <w:r w:rsidRPr="003F2F28">
        <w:t>SCAHPERD: South Carolina Alliance for Health, Physical Education, Recreation and Dance</w:t>
      </w:r>
      <w:r>
        <w:t>.</w:t>
      </w:r>
    </w:p>
    <w:p w14:paraId="4E49ACA5" w14:textId="77777777" w:rsidR="00544798" w:rsidRPr="003F2F28" w:rsidRDefault="00544798" w:rsidP="00926EB3">
      <w:pPr>
        <w:pStyle w:val="ListParagraph"/>
        <w:numPr>
          <w:ilvl w:val="0"/>
          <w:numId w:val="186"/>
        </w:numPr>
      </w:pPr>
      <w:r w:rsidRPr="003F2F28">
        <w:t>SCAPES: South Carolina Association for Physical Education and Sport</w:t>
      </w:r>
      <w:r>
        <w:t>.</w:t>
      </w:r>
    </w:p>
    <w:p w14:paraId="7B711E2A" w14:textId="77777777" w:rsidR="00544798" w:rsidRPr="003F2F28" w:rsidRDefault="00544798" w:rsidP="00926EB3">
      <w:pPr>
        <w:pStyle w:val="ListParagraph"/>
        <w:numPr>
          <w:ilvl w:val="0"/>
          <w:numId w:val="186"/>
        </w:numPr>
      </w:pPr>
      <w:r w:rsidRPr="003F2F28">
        <w:t>SCDA: South Carolina Dance Association</w:t>
      </w:r>
      <w:r>
        <w:t>.</w:t>
      </w:r>
    </w:p>
    <w:p w14:paraId="3D9F247F" w14:textId="77777777" w:rsidR="00544798" w:rsidRPr="003F2F28" w:rsidRDefault="00544798" w:rsidP="00926EB3">
      <w:pPr>
        <w:pStyle w:val="ListParagraph"/>
        <w:numPr>
          <w:ilvl w:val="0"/>
          <w:numId w:val="186"/>
        </w:numPr>
      </w:pPr>
      <w:r w:rsidRPr="003F2F28">
        <w:t>SCDE: South Carolina Department of Education</w:t>
      </w:r>
      <w:r>
        <w:t>.</w:t>
      </w:r>
    </w:p>
    <w:p w14:paraId="1D4803EA" w14:textId="77777777" w:rsidR="00544798" w:rsidRPr="003F2F28" w:rsidRDefault="00544798" w:rsidP="00926EB3">
      <w:pPr>
        <w:pStyle w:val="ListParagraph"/>
        <w:numPr>
          <w:ilvl w:val="0"/>
          <w:numId w:val="186"/>
        </w:numPr>
      </w:pPr>
      <w:r w:rsidRPr="003F2F28">
        <w:t>SCFS: South Carolina First Steps</w:t>
      </w:r>
      <w:r>
        <w:t>.</w:t>
      </w:r>
    </w:p>
    <w:p w14:paraId="6ECAF16F" w14:textId="77777777" w:rsidR="00544798" w:rsidRPr="003F2F28" w:rsidRDefault="00544798" w:rsidP="00926EB3">
      <w:pPr>
        <w:pStyle w:val="ListParagraph"/>
        <w:numPr>
          <w:ilvl w:val="0"/>
          <w:numId w:val="186"/>
        </w:numPr>
      </w:pPr>
      <w:r w:rsidRPr="003F2F28">
        <w:t>SCHA: South Carolina Hospital Association</w:t>
      </w:r>
      <w:r>
        <w:t>.</w:t>
      </w:r>
    </w:p>
    <w:p w14:paraId="7A9D2FD3" w14:textId="77777777" w:rsidR="00544798" w:rsidRPr="003F2F28" w:rsidRDefault="00544798" w:rsidP="00926EB3">
      <w:pPr>
        <w:pStyle w:val="ListParagraph"/>
        <w:numPr>
          <w:ilvl w:val="0"/>
          <w:numId w:val="186"/>
        </w:numPr>
      </w:pPr>
      <w:r w:rsidRPr="003F2F28">
        <w:t>SCMMMRC: South Carolina Maternal Morbidity &amp; Mortality Review Committee</w:t>
      </w:r>
      <w:r>
        <w:t>.</w:t>
      </w:r>
    </w:p>
    <w:p w14:paraId="7B409F45" w14:textId="2EFB214A" w:rsidR="00544798" w:rsidRPr="003F2F28" w:rsidRDefault="00544798" w:rsidP="00926EB3">
      <w:pPr>
        <w:pStyle w:val="ListParagraph"/>
        <w:numPr>
          <w:ilvl w:val="0"/>
          <w:numId w:val="186"/>
        </w:numPr>
      </w:pPr>
      <w:r w:rsidRPr="003F2F28">
        <w:t>SCOHW: South Carolina Office of Healthcare Workforce</w:t>
      </w:r>
      <w:r>
        <w:t>.</w:t>
      </w:r>
    </w:p>
    <w:p w14:paraId="792B1060" w14:textId="77777777" w:rsidR="00544798" w:rsidRPr="003F2F28" w:rsidRDefault="00544798" w:rsidP="00926EB3">
      <w:pPr>
        <w:pStyle w:val="ListParagraph"/>
        <w:numPr>
          <w:ilvl w:val="0"/>
          <w:numId w:val="186"/>
        </w:numPr>
      </w:pPr>
      <w:r w:rsidRPr="003F2F28">
        <w:t>SCORH: South Carolina Office of Rural Health</w:t>
      </w:r>
      <w:r>
        <w:t>.</w:t>
      </w:r>
    </w:p>
    <w:p w14:paraId="04202BE3" w14:textId="77777777" w:rsidR="00544798" w:rsidRPr="003F2F28" w:rsidRDefault="00544798" w:rsidP="00926EB3">
      <w:pPr>
        <w:pStyle w:val="ListParagraph"/>
        <w:numPr>
          <w:ilvl w:val="0"/>
          <w:numId w:val="186"/>
        </w:numPr>
      </w:pPr>
      <w:r w:rsidRPr="003F2F28">
        <w:t>SCPHA: South Carolina Public Health Association</w:t>
      </w:r>
      <w:r>
        <w:t>.</w:t>
      </w:r>
    </w:p>
    <w:p w14:paraId="6140646D" w14:textId="77777777" w:rsidR="00544798" w:rsidRPr="003F2F28" w:rsidRDefault="00544798" w:rsidP="00926EB3">
      <w:pPr>
        <w:pStyle w:val="ListParagraph"/>
        <w:numPr>
          <w:ilvl w:val="0"/>
          <w:numId w:val="186"/>
        </w:numPr>
      </w:pPr>
      <w:r w:rsidRPr="003F2F28">
        <w:t>SCVDRS: South Carolina Violent Death Reporting System</w:t>
      </w:r>
      <w:r>
        <w:t>.</w:t>
      </w:r>
    </w:p>
    <w:p w14:paraId="7E5995F1" w14:textId="77777777" w:rsidR="00544798" w:rsidRPr="003F2F28" w:rsidRDefault="00544798" w:rsidP="00926EB3">
      <w:pPr>
        <w:pStyle w:val="ListParagraph"/>
        <w:numPr>
          <w:ilvl w:val="0"/>
          <w:numId w:val="186"/>
        </w:numPr>
      </w:pPr>
      <w:r w:rsidRPr="003F2F28">
        <w:t>SDOH: Social Determinants of Health</w:t>
      </w:r>
      <w:r>
        <w:t>.</w:t>
      </w:r>
    </w:p>
    <w:p w14:paraId="4DDA316A" w14:textId="77777777" w:rsidR="00544798" w:rsidRPr="003F2F28" w:rsidRDefault="00544798" w:rsidP="00926EB3">
      <w:pPr>
        <w:pStyle w:val="ListParagraph"/>
        <w:numPr>
          <w:ilvl w:val="0"/>
          <w:numId w:val="186"/>
        </w:numPr>
      </w:pPr>
      <w:r w:rsidRPr="003F2F28">
        <w:t>SDWIS/FED: Safe Drinking Water Information System</w:t>
      </w:r>
      <w:r>
        <w:t>.</w:t>
      </w:r>
    </w:p>
    <w:p w14:paraId="46A69AE1" w14:textId="77777777" w:rsidR="00544798" w:rsidRPr="003F2F28" w:rsidRDefault="00544798" w:rsidP="00926EB3">
      <w:pPr>
        <w:pStyle w:val="ListParagraph"/>
        <w:numPr>
          <w:ilvl w:val="0"/>
          <w:numId w:val="186"/>
        </w:numPr>
      </w:pPr>
      <w:r w:rsidRPr="003F2F28">
        <w:t>SEER: Surveillance, Epidemiology, and End Results</w:t>
      </w:r>
      <w:r>
        <w:t>.</w:t>
      </w:r>
    </w:p>
    <w:p w14:paraId="00908EBF" w14:textId="5B157388" w:rsidR="00544798" w:rsidRPr="003F2F28" w:rsidRDefault="00544798" w:rsidP="00926EB3">
      <w:pPr>
        <w:pStyle w:val="ListParagraph"/>
        <w:numPr>
          <w:ilvl w:val="0"/>
          <w:numId w:val="186"/>
        </w:numPr>
      </w:pPr>
      <w:r w:rsidRPr="003F2F28">
        <w:t>SES: Socio-</w:t>
      </w:r>
      <w:r w:rsidR="0087480F">
        <w:t>E</w:t>
      </w:r>
      <w:r w:rsidRPr="003F2F28">
        <w:t xml:space="preserve">conomic </w:t>
      </w:r>
      <w:r w:rsidR="0087480F">
        <w:t>S</w:t>
      </w:r>
      <w:r w:rsidRPr="003F2F28">
        <w:t>tatus</w:t>
      </w:r>
      <w:r>
        <w:t>.</w:t>
      </w:r>
    </w:p>
    <w:p w14:paraId="44C0E32B" w14:textId="77777777" w:rsidR="00544798" w:rsidRPr="003F2F28" w:rsidRDefault="00544798" w:rsidP="00926EB3">
      <w:pPr>
        <w:pStyle w:val="ListParagraph"/>
        <w:numPr>
          <w:ilvl w:val="0"/>
          <w:numId w:val="186"/>
        </w:numPr>
      </w:pPr>
      <w:r w:rsidRPr="003F2F28">
        <w:t>SHA: State Health Assessment</w:t>
      </w:r>
      <w:r>
        <w:t>.</w:t>
      </w:r>
    </w:p>
    <w:p w14:paraId="36D7C1CA" w14:textId="77777777" w:rsidR="00544798" w:rsidRPr="003F2F28" w:rsidRDefault="00544798" w:rsidP="00926EB3">
      <w:pPr>
        <w:pStyle w:val="ListParagraph"/>
        <w:numPr>
          <w:ilvl w:val="0"/>
          <w:numId w:val="186"/>
        </w:numPr>
      </w:pPr>
      <w:r w:rsidRPr="003F2F28">
        <w:t>SHIP: State Health Improvement Plan</w:t>
      </w:r>
      <w:r>
        <w:t>.</w:t>
      </w:r>
    </w:p>
    <w:p w14:paraId="0E32272C" w14:textId="77777777" w:rsidR="00544798" w:rsidRPr="003F2F28" w:rsidRDefault="00544798" w:rsidP="00926EB3">
      <w:pPr>
        <w:pStyle w:val="ListParagraph"/>
        <w:numPr>
          <w:ilvl w:val="0"/>
          <w:numId w:val="186"/>
        </w:numPr>
      </w:pPr>
      <w:r w:rsidRPr="003F2F28">
        <w:t>SIDS: Sudden Infant Death Syndrome</w:t>
      </w:r>
      <w:r>
        <w:t>.</w:t>
      </w:r>
    </w:p>
    <w:p w14:paraId="35156CB8" w14:textId="77777777" w:rsidR="00544798" w:rsidRPr="003F2F28" w:rsidRDefault="00544798" w:rsidP="00926EB3">
      <w:pPr>
        <w:pStyle w:val="ListParagraph"/>
        <w:numPr>
          <w:ilvl w:val="0"/>
          <w:numId w:val="186"/>
        </w:numPr>
      </w:pPr>
      <w:r w:rsidRPr="003F2F28">
        <w:t>SIRs: Standardized Infection Ratios</w:t>
      </w:r>
      <w:r>
        <w:t>.</w:t>
      </w:r>
    </w:p>
    <w:p w14:paraId="11F8AF5B" w14:textId="77777777" w:rsidR="00544798" w:rsidRPr="003F2F28" w:rsidRDefault="00544798" w:rsidP="00926EB3">
      <w:pPr>
        <w:pStyle w:val="ListParagraph"/>
        <w:numPr>
          <w:ilvl w:val="0"/>
          <w:numId w:val="186"/>
        </w:numPr>
      </w:pPr>
      <w:r w:rsidRPr="003F2F28">
        <w:t>SNAP: Supplemental Nutrition Assistance Program</w:t>
      </w:r>
      <w:r>
        <w:t>.</w:t>
      </w:r>
    </w:p>
    <w:p w14:paraId="0C6BE7BD" w14:textId="77777777" w:rsidR="00544798" w:rsidRPr="003F2F28" w:rsidRDefault="00544798" w:rsidP="00926EB3">
      <w:pPr>
        <w:pStyle w:val="ListParagraph"/>
        <w:numPr>
          <w:ilvl w:val="0"/>
          <w:numId w:val="186"/>
        </w:numPr>
      </w:pPr>
      <w:r w:rsidRPr="003F2F28">
        <w:t>SSI: Supplemental Security Income</w:t>
      </w:r>
      <w:r>
        <w:t>.</w:t>
      </w:r>
    </w:p>
    <w:p w14:paraId="22A6018C" w14:textId="77777777" w:rsidR="00544798" w:rsidRPr="003F2F28" w:rsidRDefault="00544798" w:rsidP="00926EB3">
      <w:pPr>
        <w:pStyle w:val="ListParagraph"/>
        <w:numPr>
          <w:ilvl w:val="0"/>
          <w:numId w:val="186"/>
        </w:numPr>
      </w:pPr>
      <w:r w:rsidRPr="003F2F28">
        <w:t>STD: Sexually Transmitted Disease</w:t>
      </w:r>
      <w:r>
        <w:t>.</w:t>
      </w:r>
    </w:p>
    <w:p w14:paraId="55962110" w14:textId="77777777" w:rsidR="00544798" w:rsidRPr="003F2F28" w:rsidRDefault="00544798" w:rsidP="00926EB3">
      <w:pPr>
        <w:pStyle w:val="ListParagraph"/>
        <w:numPr>
          <w:ilvl w:val="0"/>
          <w:numId w:val="186"/>
        </w:numPr>
      </w:pPr>
      <w:r w:rsidRPr="003F2F28">
        <w:t>STI: Sexually Transmitted Infections</w:t>
      </w:r>
      <w:r>
        <w:t>.</w:t>
      </w:r>
    </w:p>
    <w:p w14:paraId="7B7F4E68" w14:textId="272FC798" w:rsidR="00544798" w:rsidRPr="003F2F28" w:rsidRDefault="00544798" w:rsidP="00926EB3">
      <w:pPr>
        <w:pStyle w:val="ListParagraph"/>
        <w:numPr>
          <w:ilvl w:val="0"/>
          <w:numId w:val="186"/>
        </w:numPr>
      </w:pPr>
      <w:r w:rsidRPr="003F2F28">
        <w:t xml:space="preserve">SUD: Substance </w:t>
      </w:r>
      <w:r w:rsidR="0087480F">
        <w:t>U</w:t>
      </w:r>
      <w:r w:rsidRPr="003F2F28">
        <w:t xml:space="preserve">se </w:t>
      </w:r>
      <w:r w:rsidR="0087480F">
        <w:t>D</w:t>
      </w:r>
      <w:r w:rsidRPr="003F2F28">
        <w:t>isorder</w:t>
      </w:r>
      <w:r>
        <w:t>.</w:t>
      </w:r>
    </w:p>
    <w:p w14:paraId="5DEFE5B0" w14:textId="77777777" w:rsidR="00544798" w:rsidRPr="003F2F28" w:rsidRDefault="00544798" w:rsidP="00926EB3">
      <w:pPr>
        <w:pStyle w:val="ListParagraph"/>
        <w:numPr>
          <w:ilvl w:val="0"/>
          <w:numId w:val="186"/>
        </w:numPr>
      </w:pPr>
      <w:r w:rsidRPr="003F2F28">
        <w:t>SVI: Social Vulnerability Index</w:t>
      </w:r>
      <w:r>
        <w:t>.</w:t>
      </w:r>
    </w:p>
    <w:p w14:paraId="574B7F28" w14:textId="695BF3B9" w:rsidR="00544798" w:rsidRPr="003F2F28" w:rsidRDefault="00544798" w:rsidP="00926EB3">
      <w:pPr>
        <w:pStyle w:val="ListParagraph"/>
        <w:numPr>
          <w:ilvl w:val="0"/>
          <w:numId w:val="186"/>
        </w:numPr>
      </w:pPr>
      <w:r w:rsidRPr="003F2F28">
        <w:t xml:space="preserve">SVR: Sustained </w:t>
      </w:r>
      <w:r w:rsidR="0087480F">
        <w:t>V</w:t>
      </w:r>
      <w:r w:rsidRPr="003F2F28">
        <w:t xml:space="preserve">irological </w:t>
      </w:r>
      <w:r w:rsidR="0087480F">
        <w:t>R</w:t>
      </w:r>
      <w:r w:rsidRPr="003F2F28">
        <w:t>esponse</w:t>
      </w:r>
      <w:r>
        <w:t>.</w:t>
      </w:r>
    </w:p>
    <w:p w14:paraId="065A02CB" w14:textId="77777777" w:rsidR="00544798" w:rsidRPr="003F2F28" w:rsidRDefault="00544798" w:rsidP="00544798"/>
    <w:p w14:paraId="4629D061" w14:textId="77777777" w:rsidR="00544798" w:rsidRPr="003F2F28" w:rsidRDefault="00544798" w:rsidP="00544798">
      <w:pPr>
        <w:pStyle w:val="Heading5"/>
      </w:pPr>
      <w:r w:rsidRPr="003F2F28">
        <w:t>T</w:t>
      </w:r>
    </w:p>
    <w:p w14:paraId="4D2C00A4" w14:textId="77777777" w:rsidR="00544798" w:rsidRPr="003F2F28" w:rsidRDefault="00544798" w:rsidP="00926EB3">
      <w:pPr>
        <w:pStyle w:val="ListParagraph"/>
        <w:numPr>
          <w:ilvl w:val="0"/>
          <w:numId w:val="187"/>
        </w:numPr>
      </w:pPr>
      <w:r w:rsidRPr="003F2F28">
        <w:t>TANF: Temporary Assistance for Needy Families</w:t>
      </w:r>
      <w:r>
        <w:t>.</w:t>
      </w:r>
    </w:p>
    <w:p w14:paraId="2C216088" w14:textId="77777777" w:rsidR="00544798" w:rsidRPr="003F2F28" w:rsidRDefault="00544798" w:rsidP="00926EB3">
      <w:pPr>
        <w:pStyle w:val="ListParagraph"/>
        <w:numPr>
          <w:ilvl w:val="0"/>
          <w:numId w:val="187"/>
        </w:numPr>
      </w:pPr>
      <w:r w:rsidRPr="003F2F28">
        <w:t>TB: Tuberculosis</w:t>
      </w:r>
      <w:r>
        <w:t>.</w:t>
      </w:r>
    </w:p>
    <w:p w14:paraId="178109CA" w14:textId="77777777" w:rsidR="00544798" w:rsidRPr="003F2F28" w:rsidRDefault="00544798" w:rsidP="00926EB3">
      <w:pPr>
        <w:pStyle w:val="ListParagraph"/>
        <w:numPr>
          <w:ilvl w:val="0"/>
          <w:numId w:val="187"/>
        </w:numPr>
      </w:pPr>
      <w:r w:rsidRPr="003F2F28">
        <w:t>TBI: Traumatic Brain Injury</w:t>
      </w:r>
      <w:r>
        <w:t>.</w:t>
      </w:r>
    </w:p>
    <w:p w14:paraId="4C614FB1" w14:textId="77777777" w:rsidR="00544798" w:rsidRPr="003F2F28" w:rsidRDefault="00544798" w:rsidP="00926EB3">
      <w:pPr>
        <w:pStyle w:val="ListParagraph"/>
        <w:numPr>
          <w:ilvl w:val="0"/>
          <w:numId w:val="187"/>
        </w:numPr>
      </w:pPr>
      <w:r w:rsidRPr="003F2F28">
        <w:lastRenderedPageBreak/>
        <w:t>TCCADA: Tri-County Commission on Alcohol and Drug Abuse</w:t>
      </w:r>
      <w:r>
        <w:t>.</w:t>
      </w:r>
    </w:p>
    <w:p w14:paraId="4C3B13D0" w14:textId="77777777" w:rsidR="00544798" w:rsidRPr="003F2F28" w:rsidRDefault="00544798" w:rsidP="00926EB3">
      <w:pPr>
        <w:pStyle w:val="ListParagraph"/>
        <w:numPr>
          <w:ilvl w:val="0"/>
          <w:numId w:val="187"/>
        </w:numPr>
      </w:pPr>
      <w:r w:rsidRPr="003F2F28">
        <w:t>TMDL: Total Maximum Daily Load</w:t>
      </w:r>
      <w:r>
        <w:t>.</w:t>
      </w:r>
    </w:p>
    <w:p w14:paraId="1173FC97" w14:textId="77777777" w:rsidR="00544798" w:rsidRPr="003F2F28" w:rsidRDefault="00544798" w:rsidP="00926EB3">
      <w:pPr>
        <w:pStyle w:val="ListParagraph"/>
        <w:numPr>
          <w:ilvl w:val="0"/>
          <w:numId w:val="187"/>
        </w:numPr>
      </w:pPr>
      <w:r w:rsidRPr="003F2F28">
        <w:t>TT: Treatment Techniques</w:t>
      </w:r>
      <w:r>
        <w:t>.</w:t>
      </w:r>
    </w:p>
    <w:p w14:paraId="29ADE128" w14:textId="77777777" w:rsidR="00544798" w:rsidRPr="003F2F28" w:rsidRDefault="00544798" w:rsidP="00544798"/>
    <w:p w14:paraId="0EA38D22" w14:textId="77777777" w:rsidR="00544798" w:rsidRPr="003F2F28" w:rsidRDefault="00544798" w:rsidP="00544798">
      <w:pPr>
        <w:pStyle w:val="Heading5"/>
      </w:pPr>
      <w:r w:rsidRPr="003F2F28">
        <w:t>U</w:t>
      </w:r>
    </w:p>
    <w:p w14:paraId="3369FD69" w14:textId="77777777" w:rsidR="00544798" w:rsidRPr="003F2F28" w:rsidRDefault="00544798" w:rsidP="00926EB3">
      <w:pPr>
        <w:pStyle w:val="ListParagraph"/>
        <w:numPr>
          <w:ilvl w:val="0"/>
          <w:numId w:val="188"/>
        </w:numPr>
      </w:pPr>
      <w:r w:rsidRPr="003F2F28">
        <w:t xml:space="preserve">U=U: Undetectable equals </w:t>
      </w:r>
      <w:proofErr w:type="spellStart"/>
      <w:r w:rsidRPr="003F2F28">
        <w:t>Untransmittable</w:t>
      </w:r>
      <w:proofErr w:type="spellEnd"/>
      <w:r>
        <w:t>.</w:t>
      </w:r>
    </w:p>
    <w:p w14:paraId="042B777F" w14:textId="77777777" w:rsidR="00544798" w:rsidRPr="003F2F28" w:rsidRDefault="00544798" w:rsidP="00926EB3">
      <w:pPr>
        <w:pStyle w:val="ListParagraph"/>
        <w:numPr>
          <w:ilvl w:val="0"/>
          <w:numId w:val="188"/>
        </w:numPr>
      </w:pPr>
      <w:r w:rsidRPr="003F2F28">
        <w:t>US: United States</w:t>
      </w:r>
      <w:r>
        <w:t>.</w:t>
      </w:r>
    </w:p>
    <w:p w14:paraId="1293E828" w14:textId="77777777" w:rsidR="00544798" w:rsidRPr="003F2F28" w:rsidRDefault="00544798" w:rsidP="00926EB3">
      <w:pPr>
        <w:pStyle w:val="ListParagraph"/>
        <w:numPr>
          <w:ilvl w:val="0"/>
          <w:numId w:val="188"/>
        </w:numPr>
      </w:pPr>
      <w:r w:rsidRPr="003F2F28">
        <w:t>USDA: United States Department of Agriculture</w:t>
      </w:r>
      <w:r>
        <w:t>.</w:t>
      </w:r>
    </w:p>
    <w:p w14:paraId="4F3DEFAB" w14:textId="77777777" w:rsidR="00544798" w:rsidRPr="003F2F28" w:rsidRDefault="00544798" w:rsidP="00544798"/>
    <w:p w14:paraId="16204240" w14:textId="77777777" w:rsidR="00544798" w:rsidRPr="003F2F28" w:rsidRDefault="00544798" w:rsidP="00544798">
      <w:pPr>
        <w:pStyle w:val="Heading5"/>
      </w:pPr>
      <w:r w:rsidRPr="003F2F28">
        <w:t>V</w:t>
      </w:r>
    </w:p>
    <w:p w14:paraId="6E9A3D88" w14:textId="77777777" w:rsidR="00544798" w:rsidRPr="003F2F28" w:rsidRDefault="00544798" w:rsidP="00926EB3">
      <w:pPr>
        <w:pStyle w:val="ListParagraph"/>
        <w:numPr>
          <w:ilvl w:val="0"/>
          <w:numId w:val="189"/>
        </w:numPr>
      </w:pPr>
      <w:r w:rsidRPr="003F2F28">
        <w:t>VCOM: Edward Via College of Osteopathic Medicine</w:t>
      </w:r>
      <w:r>
        <w:t>.</w:t>
      </w:r>
    </w:p>
    <w:p w14:paraId="2E3771A9" w14:textId="77777777" w:rsidR="00544798" w:rsidRPr="003F2F28" w:rsidRDefault="00544798" w:rsidP="00926EB3">
      <w:pPr>
        <w:pStyle w:val="ListParagraph"/>
        <w:numPr>
          <w:ilvl w:val="0"/>
          <w:numId w:val="189"/>
        </w:numPr>
      </w:pPr>
      <w:r w:rsidRPr="003F2F28">
        <w:t>VDRS: Violent Death Reporting System</w:t>
      </w:r>
      <w:r>
        <w:t>.</w:t>
      </w:r>
    </w:p>
    <w:p w14:paraId="20101F69" w14:textId="77777777" w:rsidR="00544798" w:rsidRPr="003F2F28" w:rsidRDefault="00544798" w:rsidP="00926EB3">
      <w:pPr>
        <w:pStyle w:val="ListParagraph"/>
        <w:numPr>
          <w:ilvl w:val="0"/>
          <w:numId w:val="189"/>
        </w:numPr>
      </w:pPr>
      <w:r w:rsidRPr="003F2F28">
        <w:t>VPD: Vaccine-Preventable Disease</w:t>
      </w:r>
      <w:r>
        <w:t>.</w:t>
      </w:r>
    </w:p>
    <w:p w14:paraId="2591CFC5" w14:textId="77777777" w:rsidR="00544798" w:rsidRPr="003F2F28" w:rsidRDefault="00544798" w:rsidP="00544798"/>
    <w:p w14:paraId="65DC7D20" w14:textId="77777777" w:rsidR="00544798" w:rsidRPr="003F2F28" w:rsidRDefault="00544798" w:rsidP="00544798">
      <w:pPr>
        <w:pStyle w:val="Heading5"/>
      </w:pPr>
      <w:r w:rsidRPr="003F2F28">
        <w:t>W</w:t>
      </w:r>
    </w:p>
    <w:p w14:paraId="56B9162E" w14:textId="77777777" w:rsidR="00544798" w:rsidRPr="003F2F28" w:rsidRDefault="00544798" w:rsidP="00926EB3">
      <w:pPr>
        <w:pStyle w:val="ListParagraph"/>
        <w:numPr>
          <w:ilvl w:val="0"/>
          <w:numId w:val="191"/>
        </w:numPr>
      </w:pPr>
      <w:r w:rsidRPr="003F2F28">
        <w:t>WHO: World Health Organization</w:t>
      </w:r>
      <w:r>
        <w:t>.</w:t>
      </w:r>
    </w:p>
    <w:p w14:paraId="1594CF96" w14:textId="77777777" w:rsidR="00544798" w:rsidRPr="003F2F28" w:rsidRDefault="00544798" w:rsidP="00926EB3">
      <w:pPr>
        <w:pStyle w:val="ListParagraph"/>
        <w:numPr>
          <w:ilvl w:val="0"/>
          <w:numId w:val="191"/>
        </w:numPr>
      </w:pPr>
      <w:r w:rsidRPr="003F2F28">
        <w:t>WIC: Women, Infants, and Children</w:t>
      </w:r>
      <w:r>
        <w:t>.</w:t>
      </w:r>
      <w:r w:rsidRPr="003F2F28">
        <w:t xml:space="preserve"> </w:t>
      </w:r>
    </w:p>
    <w:p w14:paraId="08EC5E0D" w14:textId="77777777" w:rsidR="00544798" w:rsidRPr="003F2F28" w:rsidRDefault="00544798" w:rsidP="00926EB3">
      <w:pPr>
        <w:pStyle w:val="ListParagraph"/>
        <w:numPr>
          <w:ilvl w:val="0"/>
          <w:numId w:val="191"/>
        </w:numPr>
      </w:pPr>
      <w:r w:rsidRPr="003F2F28">
        <w:t>WIIN: Water Infrastructure Improvements for the Nation Act</w:t>
      </w:r>
      <w:r>
        <w:t>.</w:t>
      </w:r>
    </w:p>
    <w:p w14:paraId="6EE0C0CF" w14:textId="77777777" w:rsidR="00544798" w:rsidRPr="003F2F28" w:rsidRDefault="00544798" w:rsidP="00926EB3">
      <w:pPr>
        <w:pStyle w:val="ListParagraph"/>
        <w:numPr>
          <w:ilvl w:val="0"/>
          <w:numId w:val="191"/>
        </w:numPr>
      </w:pPr>
      <w:r w:rsidRPr="003F2F28">
        <w:t>WMSM: White Men who have Sex with Men</w:t>
      </w:r>
      <w:r>
        <w:t>.</w:t>
      </w:r>
    </w:p>
    <w:p w14:paraId="3F51A5DB" w14:textId="77777777" w:rsidR="00544798" w:rsidRPr="003F2F28" w:rsidRDefault="00544798" w:rsidP="00544798"/>
    <w:p w14:paraId="3A54A889" w14:textId="77777777" w:rsidR="00544798" w:rsidRPr="003F2F28" w:rsidRDefault="00544798" w:rsidP="00544798">
      <w:pPr>
        <w:pStyle w:val="Heading5"/>
      </w:pPr>
      <w:r w:rsidRPr="003F2F28">
        <w:t>Y</w:t>
      </w:r>
    </w:p>
    <w:p w14:paraId="5CD271C6" w14:textId="70B82EC2" w:rsidR="00544798" w:rsidRPr="003F2F28" w:rsidRDefault="00544798" w:rsidP="00926EB3">
      <w:pPr>
        <w:pStyle w:val="ListParagraph"/>
        <w:numPr>
          <w:ilvl w:val="0"/>
          <w:numId w:val="190"/>
        </w:numPr>
      </w:pPr>
      <w:r w:rsidRPr="003F2F28">
        <w:t xml:space="preserve">YPLL: Years of </w:t>
      </w:r>
      <w:r w:rsidR="0087480F">
        <w:t>P</w:t>
      </w:r>
      <w:r w:rsidRPr="003F2F28">
        <w:t xml:space="preserve">otential </w:t>
      </w:r>
      <w:r w:rsidR="0087480F">
        <w:t>Li</w:t>
      </w:r>
      <w:r w:rsidRPr="003F2F28">
        <w:t xml:space="preserve">fe </w:t>
      </w:r>
      <w:r w:rsidR="0087480F">
        <w:t>L</w:t>
      </w:r>
      <w:r w:rsidRPr="003F2F28">
        <w:t>ost</w:t>
      </w:r>
      <w:r>
        <w:t>.</w:t>
      </w:r>
    </w:p>
    <w:p w14:paraId="1063A940" w14:textId="77777777" w:rsidR="00544798" w:rsidRPr="003F2F28" w:rsidRDefault="00544798" w:rsidP="00926EB3">
      <w:pPr>
        <w:pStyle w:val="ListParagraph"/>
        <w:numPr>
          <w:ilvl w:val="0"/>
          <w:numId w:val="190"/>
        </w:numPr>
      </w:pPr>
      <w:r w:rsidRPr="003F2F28">
        <w:t>YRBS: Youth Risk Behavior Survey</w:t>
      </w:r>
      <w:r>
        <w:t>.</w:t>
      </w:r>
    </w:p>
    <w:p w14:paraId="5A60BA70" w14:textId="77777777" w:rsidR="00544798" w:rsidRPr="003F2F28" w:rsidRDefault="00544798" w:rsidP="00926EB3">
      <w:pPr>
        <w:pStyle w:val="ListParagraph"/>
        <w:numPr>
          <w:ilvl w:val="0"/>
          <w:numId w:val="190"/>
        </w:numPr>
      </w:pPr>
      <w:r w:rsidRPr="003F2F28">
        <w:t>YRBSS: Youth Risk Behavior Surveillance System</w:t>
      </w:r>
      <w:r>
        <w:t>.</w:t>
      </w:r>
    </w:p>
    <w:p w14:paraId="4BDD51C0" w14:textId="77777777" w:rsidR="00544798" w:rsidRDefault="00544798" w:rsidP="00544798">
      <w:r w:rsidRPr="003F2F28">
        <w:tab/>
      </w:r>
      <w:r w:rsidRPr="003F2F28">
        <w:tab/>
      </w:r>
    </w:p>
    <w:p w14:paraId="0495FE48" w14:textId="77777777" w:rsidR="00544798" w:rsidRDefault="00544798" w:rsidP="00544798"/>
    <w:p w14:paraId="0948C73B" w14:textId="77777777" w:rsidR="00544798" w:rsidRPr="003F2F28" w:rsidRDefault="00544798" w:rsidP="00544798">
      <w:r w:rsidRPr="003F2F28">
        <w:tab/>
      </w:r>
    </w:p>
    <w:p w14:paraId="480FE951" w14:textId="77777777" w:rsidR="00544798" w:rsidRPr="003F2F28" w:rsidRDefault="00544798" w:rsidP="00544798"/>
    <w:p w14:paraId="25769BD3" w14:textId="77777777" w:rsidR="00544798" w:rsidRPr="003F2F28" w:rsidRDefault="00544798" w:rsidP="00544798">
      <w:pPr>
        <w:rPr>
          <w:b/>
          <w:bCs/>
        </w:rPr>
      </w:pPr>
      <w:r w:rsidRPr="003F2F28">
        <w:rPr>
          <w:b/>
          <w:bCs/>
        </w:rPr>
        <w:tab/>
      </w:r>
    </w:p>
    <w:p w14:paraId="5244A77F" w14:textId="77777777" w:rsidR="00544798" w:rsidRPr="003F2F28" w:rsidRDefault="00544798" w:rsidP="00544798"/>
    <w:p w14:paraId="2EDA95AB" w14:textId="77777777" w:rsidR="00544798" w:rsidRPr="00344948" w:rsidRDefault="00544798" w:rsidP="00544798"/>
    <w:p w14:paraId="4104875C" w14:textId="77777777" w:rsidR="00D33671" w:rsidRPr="00D33671" w:rsidRDefault="00D33671" w:rsidP="00D33671"/>
    <w:sectPr w:rsidR="00D33671" w:rsidRPr="00D336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BF7F0" w14:textId="77777777" w:rsidR="00F854EC" w:rsidRDefault="00F854EC" w:rsidP="00544798">
      <w:r>
        <w:separator/>
      </w:r>
    </w:p>
  </w:endnote>
  <w:endnote w:type="continuationSeparator" w:id="0">
    <w:p w14:paraId="06DE1DD3" w14:textId="77777777" w:rsidR="00F854EC" w:rsidRDefault="00F854EC" w:rsidP="00544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li-Regular">
    <w:altName w:val="Calibri"/>
    <w:panose1 w:val="020B0604020202020204"/>
    <w:charset w:val="4D"/>
    <w:family w:val="auto"/>
    <w:pitch w:val="default"/>
    <w:sig w:usb0="00000003" w:usb1="00000000" w:usb2="00000000" w:usb3="00000000" w:csb0="00000001" w:csb1="00000000"/>
  </w:font>
  <w:font w:name="DicoSlab-ExtraBold">
    <w:altName w:val="Calibri"/>
    <w:panose1 w:val="020B0604020202020204"/>
    <w:charset w:val="4D"/>
    <w:family w:val="auto"/>
    <w:pitch w:val="default"/>
    <w:sig w:usb0="00000003" w:usb1="00000000" w:usb2="00000000" w:usb3="00000000" w:csb0="00000001" w:csb1="00000000"/>
  </w:font>
  <w:font w:name="Muli-Bold">
    <w:altName w:val="Calibri"/>
    <w:panose1 w:val="020B0604020202020204"/>
    <w:charset w:val="4D"/>
    <w:family w:val="auto"/>
    <w:pitch w:val="default"/>
    <w:sig w:usb0="00000003" w:usb1="00000000" w:usb2="00000000" w:usb3="00000000" w:csb0="00000001" w:csb1="00000000"/>
  </w:font>
  <w:font w:name="Muli-SemiBoldItalic">
    <w:altName w:val="Calibri"/>
    <w:panose1 w:val="020B0604020202020204"/>
    <w:charset w:val="4D"/>
    <w:family w:val="auto"/>
    <w:pitch w:val="default"/>
    <w:sig w:usb0="00000003" w:usb1="00000000" w:usb2="00000000" w:usb3="00000000" w:csb0="00000001" w:csb1="00000000"/>
  </w:font>
  <w:font w:name="Muli">
    <w:altName w:val="Muli"/>
    <w:panose1 w:val="020B0604020202020204"/>
    <w:charset w:val="00"/>
    <w:family w:val="swiss"/>
    <w:notTrueType/>
    <w:pitch w:val="default"/>
    <w:sig w:usb0="00000003" w:usb1="00000000" w:usb2="00000000" w:usb3="00000000" w:csb0="00000001" w:csb1="00000000"/>
  </w:font>
  <w:font w:name="FHIXHX+Muli-SemiBold">
    <w:altName w:val="Calibri"/>
    <w:panose1 w:val="020B0604020202020204"/>
    <w:charset w:val="00"/>
    <w:family w:val="swiss"/>
    <w:pitch w:val="default"/>
    <w:sig w:usb0="00000003" w:usb1="00000000" w:usb2="00000000" w:usb3="00000000" w:csb0="00000001" w:csb1="00000000"/>
  </w:font>
  <w:font w:name="Muli SemiBold">
    <w:altName w:val="Calibri"/>
    <w:panose1 w:val="020B0604020202020204"/>
    <w:charset w:val="00"/>
    <w:family w:val="swiss"/>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4EB11" w14:textId="77777777" w:rsidR="00F854EC" w:rsidRDefault="00F854EC" w:rsidP="00544798">
      <w:r>
        <w:separator/>
      </w:r>
    </w:p>
  </w:footnote>
  <w:footnote w:type="continuationSeparator" w:id="0">
    <w:p w14:paraId="1E760FD7" w14:textId="77777777" w:rsidR="00F854EC" w:rsidRDefault="00F854EC" w:rsidP="00544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0AF"/>
    <w:multiLevelType w:val="hybridMultilevel"/>
    <w:tmpl w:val="7BFA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323A3"/>
    <w:multiLevelType w:val="hybridMultilevel"/>
    <w:tmpl w:val="C2C4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72BD6"/>
    <w:multiLevelType w:val="hybridMultilevel"/>
    <w:tmpl w:val="D040A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E83486"/>
    <w:multiLevelType w:val="hybridMultilevel"/>
    <w:tmpl w:val="843C9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E7A5D"/>
    <w:multiLevelType w:val="hybridMultilevel"/>
    <w:tmpl w:val="120A7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796D78"/>
    <w:multiLevelType w:val="hybridMultilevel"/>
    <w:tmpl w:val="A7FC1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836161"/>
    <w:multiLevelType w:val="hybridMultilevel"/>
    <w:tmpl w:val="11C8A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8E68FB"/>
    <w:multiLevelType w:val="hybridMultilevel"/>
    <w:tmpl w:val="DDB046AE"/>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5874E54"/>
    <w:multiLevelType w:val="hybridMultilevel"/>
    <w:tmpl w:val="8AAE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630A4E"/>
    <w:multiLevelType w:val="hybridMultilevel"/>
    <w:tmpl w:val="F558C310"/>
    <w:lvl w:ilvl="0" w:tplc="372C09C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8E106D"/>
    <w:multiLevelType w:val="hybridMultilevel"/>
    <w:tmpl w:val="CF2A32B2"/>
    <w:lvl w:ilvl="0" w:tplc="372C09C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CC5D7E"/>
    <w:multiLevelType w:val="hybridMultilevel"/>
    <w:tmpl w:val="080AAF2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C174A1"/>
    <w:multiLevelType w:val="hybridMultilevel"/>
    <w:tmpl w:val="023E8224"/>
    <w:lvl w:ilvl="0" w:tplc="0409000F">
      <w:start w:val="8"/>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92922DD"/>
    <w:multiLevelType w:val="hybridMultilevel"/>
    <w:tmpl w:val="618A5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9347EA"/>
    <w:multiLevelType w:val="hybridMultilevel"/>
    <w:tmpl w:val="1EECC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CF3BDA"/>
    <w:multiLevelType w:val="hybridMultilevel"/>
    <w:tmpl w:val="B9600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E16F29"/>
    <w:multiLevelType w:val="hybridMultilevel"/>
    <w:tmpl w:val="7A163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374979"/>
    <w:multiLevelType w:val="hybridMultilevel"/>
    <w:tmpl w:val="80B0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5B040C"/>
    <w:multiLevelType w:val="hybridMultilevel"/>
    <w:tmpl w:val="95BA6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6E472A"/>
    <w:multiLevelType w:val="hybridMultilevel"/>
    <w:tmpl w:val="377C1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F862C99"/>
    <w:multiLevelType w:val="hybridMultilevel"/>
    <w:tmpl w:val="5218B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FF07EF"/>
    <w:multiLevelType w:val="hybridMultilevel"/>
    <w:tmpl w:val="05D0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4859D7"/>
    <w:multiLevelType w:val="hybridMultilevel"/>
    <w:tmpl w:val="92A2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8D3809"/>
    <w:multiLevelType w:val="hybridMultilevel"/>
    <w:tmpl w:val="DCC2B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9616BA"/>
    <w:multiLevelType w:val="hybridMultilevel"/>
    <w:tmpl w:val="2AE0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DB5EE2"/>
    <w:multiLevelType w:val="hybridMultilevel"/>
    <w:tmpl w:val="8A74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3E147E1"/>
    <w:multiLevelType w:val="hybridMultilevel"/>
    <w:tmpl w:val="8EFAB1E4"/>
    <w:lvl w:ilvl="0" w:tplc="372C09C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4FB1A35"/>
    <w:multiLevelType w:val="hybridMultilevel"/>
    <w:tmpl w:val="4B206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5075968"/>
    <w:multiLevelType w:val="hybridMultilevel"/>
    <w:tmpl w:val="5B0AF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52B3811"/>
    <w:multiLevelType w:val="hybridMultilevel"/>
    <w:tmpl w:val="4148D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755168"/>
    <w:multiLevelType w:val="hybridMultilevel"/>
    <w:tmpl w:val="B25AB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57F5E71"/>
    <w:multiLevelType w:val="hybridMultilevel"/>
    <w:tmpl w:val="9D8EBF92"/>
    <w:lvl w:ilvl="0" w:tplc="372C09C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5842547"/>
    <w:multiLevelType w:val="hybridMultilevel"/>
    <w:tmpl w:val="CE426686"/>
    <w:lvl w:ilvl="0" w:tplc="0409000F">
      <w:start w:val="8"/>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16AC00B8"/>
    <w:multiLevelType w:val="hybridMultilevel"/>
    <w:tmpl w:val="5E4AC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6B55806"/>
    <w:multiLevelType w:val="hybridMultilevel"/>
    <w:tmpl w:val="2BACB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6DF1A9F"/>
    <w:multiLevelType w:val="hybridMultilevel"/>
    <w:tmpl w:val="E6EED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7013A3E"/>
    <w:multiLevelType w:val="hybridMultilevel"/>
    <w:tmpl w:val="44AAC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738715C"/>
    <w:multiLevelType w:val="hybridMultilevel"/>
    <w:tmpl w:val="4E0A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79979C9"/>
    <w:multiLevelType w:val="hybridMultilevel"/>
    <w:tmpl w:val="BDF4F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7BC46F9"/>
    <w:multiLevelType w:val="hybridMultilevel"/>
    <w:tmpl w:val="139EF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7C75FDD"/>
    <w:multiLevelType w:val="hybridMultilevel"/>
    <w:tmpl w:val="EC3AF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7E72880"/>
    <w:multiLevelType w:val="hybridMultilevel"/>
    <w:tmpl w:val="EF14752C"/>
    <w:lvl w:ilvl="0" w:tplc="5D5E6B52">
      <w:start w:val="1"/>
      <w:numFmt w:val="decimal"/>
      <w:lvlText w:val="%1."/>
      <w:lvlJc w:val="left"/>
      <w:pPr>
        <w:ind w:left="720" w:hanging="360"/>
      </w:pPr>
      <w:rPr>
        <w:rFonts w:asciiTheme="minorHAnsi" w:eastAsiaTheme="minorHAnsi" w:hAnsiTheme="minorHAns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18E66903"/>
    <w:multiLevelType w:val="hybridMultilevel"/>
    <w:tmpl w:val="D01A0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98C58DF"/>
    <w:multiLevelType w:val="hybridMultilevel"/>
    <w:tmpl w:val="7A023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C3B4A60"/>
    <w:multiLevelType w:val="hybridMultilevel"/>
    <w:tmpl w:val="2524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C551D9B"/>
    <w:multiLevelType w:val="hybridMultilevel"/>
    <w:tmpl w:val="54DCD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CAA659B"/>
    <w:multiLevelType w:val="hybridMultilevel"/>
    <w:tmpl w:val="637AB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D24162B"/>
    <w:multiLevelType w:val="hybridMultilevel"/>
    <w:tmpl w:val="F522C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D295256"/>
    <w:multiLevelType w:val="hybridMultilevel"/>
    <w:tmpl w:val="FE941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D2A06EF"/>
    <w:multiLevelType w:val="hybridMultilevel"/>
    <w:tmpl w:val="4120C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E124CDE"/>
    <w:multiLevelType w:val="hybridMultilevel"/>
    <w:tmpl w:val="7206D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E320EEA"/>
    <w:multiLevelType w:val="hybridMultilevel"/>
    <w:tmpl w:val="D264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E501D9E"/>
    <w:multiLevelType w:val="hybridMultilevel"/>
    <w:tmpl w:val="D902CDEA"/>
    <w:lvl w:ilvl="0" w:tplc="372C09C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FA831DE"/>
    <w:multiLevelType w:val="hybridMultilevel"/>
    <w:tmpl w:val="3E5243AA"/>
    <w:lvl w:ilvl="0" w:tplc="372C09C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FD86310"/>
    <w:multiLevelType w:val="hybridMultilevel"/>
    <w:tmpl w:val="7254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040652F"/>
    <w:multiLevelType w:val="hybridMultilevel"/>
    <w:tmpl w:val="019C18B2"/>
    <w:lvl w:ilvl="0" w:tplc="372C09C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2891F8B"/>
    <w:multiLevelType w:val="hybridMultilevel"/>
    <w:tmpl w:val="8FC8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4435E10"/>
    <w:multiLevelType w:val="hybridMultilevel"/>
    <w:tmpl w:val="A706FD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24672AF6"/>
    <w:multiLevelType w:val="hybridMultilevel"/>
    <w:tmpl w:val="98E4C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47B2915"/>
    <w:multiLevelType w:val="hybridMultilevel"/>
    <w:tmpl w:val="BD48F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5584FD7"/>
    <w:multiLevelType w:val="hybridMultilevel"/>
    <w:tmpl w:val="4B045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5DA62C6"/>
    <w:multiLevelType w:val="hybridMultilevel"/>
    <w:tmpl w:val="283A9666"/>
    <w:lvl w:ilvl="0" w:tplc="372C09C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6001638"/>
    <w:multiLevelType w:val="hybridMultilevel"/>
    <w:tmpl w:val="0A92D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66227F2"/>
    <w:multiLevelType w:val="hybridMultilevel"/>
    <w:tmpl w:val="69E01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67927B8"/>
    <w:multiLevelType w:val="hybridMultilevel"/>
    <w:tmpl w:val="DFC64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7326D83"/>
    <w:multiLevelType w:val="hybridMultilevel"/>
    <w:tmpl w:val="86EA6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73C6FB9"/>
    <w:multiLevelType w:val="hybridMultilevel"/>
    <w:tmpl w:val="B5368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7995CCE"/>
    <w:multiLevelType w:val="hybridMultilevel"/>
    <w:tmpl w:val="4B70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7E54284"/>
    <w:multiLevelType w:val="hybridMultilevel"/>
    <w:tmpl w:val="F09C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804533A"/>
    <w:multiLevelType w:val="hybridMultilevel"/>
    <w:tmpl w:val="2CECA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810345F"/>
    <w:multiLevelType w:val="hybridMultilevel"/>
    <w:tmpl w:val="DAD84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89055A9"/>
    <w:multiLevelType w:val="hybridMultilevel"/>
    <w:tmpl w:val="E794D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B0C2494"/>
    <w:multiLevelType w:val="hybridMultilevel"/>
    <w:tmpl w:val="F0383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B4B16C4"/>
    <w:multiLevelType w:val="hybridMultilevel"/>
    <w:tmpl w:val="5EB6C7A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2BDA05D2"/>
    <w:multiLevelType w:val="hybridMultilevel"/>
    <w:tmpl w:val="F81CC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C701213"/>
    <w:multiLevelType w:val="hybridMultilevel"/>
    <w:tmpl w:val="389AF9AA"/>
    <w:lvl w:ilvl="0" w:tplc="A51837EE">
      <w:start w:val="16"/>
      <w:numFmt w:val="decimal"/>
      <w:lvlText w:val="%1."/>
      <w:lvlJc w:val="left"/>
      <w:pPr>
        <w:ind w:left="720" w:hanging="360"/>
      </w:pPr>
      <w:rPr>
        <w:rFonts w:hint="default"/>
        <w:i w:val="0"/>
        <w:i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EFC2FC6"/>
    <w:multiLevelType w:val="hybridMultilevel"/>
    <w:tmpl w:val="F4B2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01E34F9"/>
    <w:multiLevelType w:val="hybridMultilevel"/>
    <w:tmpl w:val="C70E0B52"/>
    <w:lvl w:ilvl="0" w:tplc="372C09C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0945E2A"/>
    <w:multiLevelType w:val="hybridMultilevel"/>
    <w:tmpl w:val="7E6C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14D049D"/>
    <w:multiLevelType w:val="hybridMultilevel"/>
    <w:tmpl w:val="7A4E8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1A2521D"/>
    <w:multiLevelType w:val="hybridMultilevel"/>
    <w:tmpl w:val="CA7C8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2A05ECE"/>
    <w:multiLevelType w:val="hybridMultilevel"/>
    <w:tmpl w:val="B1C08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2A478CC"/>
    <w:multiLevelType w:val="hybridMultilevel"/>
    <w:tmpl w:val="F424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2B45A17"/>
    <w:multiLevelType w:val="hybridMultilevel"/>
    <w:tmpl w:val="DE642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3207FF0"/>
    <w:multiLevelType w:val="hybridMultilevel"/>
    <w:tmpl w:val="F49A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33C32D7"/>
    <w:multiLevelType w:val="hybridMultilevel"/>
    <w:tmpl w:val="37D66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35E6D72"/>
    <w:multiLevelType w:val="hybridMultilevel"/>
    <w:tmpl w:val="1820E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388188B"/>
    <w:multiLevelType w:val="hybridMultilevel"/>
    <w:tmpl w:val="8DB84778"/>
    <w:lvl w:ilvl="0" w:tplc="372C09C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52D417F"/>
    <w:multiLevelType w:val="hybridMultilevel"/>
    <w:tmpl w:val="B728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6470B22"/>
    <w:multiLevelType w:val="hybridMultilevel"/>
    <w:tmpl w:val="A04C0E7C"/>
    <w:lvl w:ilvl="0" w:tplc="372C09C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6D37DE9"/>
    <w:multiLevelType w:val="hybridMultilevel"/>
    <w:tmpl w:val="0FE4167A"/>
    <w:lvl w:ilvl="0" w:tplc="0409000F">
      <w:start w:val="8"/>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3787698E"/>
    <w:multiLevelType w:val="hybridMultilevel"/>
    <w:tmpl w:val="9688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82C3F54"/>
    <w:multiLevelType w:val="hybridMultilevel"/>
    <w:tmpl w:val="618E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8387EDA"/>
    <w:multiLevelType w:val="hybridMultilevel"/>
    <w:tmpl w:val="9572CE30"/>
    <w:lvl w:ilvl="0" w:tplc="372C09C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8C512B8"/>
    <w:multiLevelType w:val="hybridMultilevel"/>
    <w:tmpl w:val="90489B1A"/>
    <w:lvl w:ilvl="0" w:tplc="0409000F">
      <w:start w:val="8"/>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38FA06DA"/>
    <w:multiLevelType w:val="hybridMultilevel"/>
    <w:tmpl w:val="2CD69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A9B0EE5"/>
    <w:multiLevelType w:val="hybridMultilevel"/>
    <w:tmpl w:val="41326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AA51099"/>
    <w:multiLevelType w:val="hybridMultilevel"/>
    <w:tmpl w:val="E81ADAB0"/>
    <w:lvl w:ilvl="0" w:tplc="372C09C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AB2067C"/>
    <w:multiLevelType w:val="hybridMultilevel"/>
    <w:tmpl w:val="EE108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CDE5E33"/>
    <w:multiLevelType w:val="hybridMultilevel"/>
    <w:tmpl w:val="3B26B120"/>
    <w:lvl w:ilvl="0" w:tplc="372C09C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D180D9B"/>
    <w:multiLevelType w:val="hybridMultilevel"/>
    <w:tmpl w:val="5A3AC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D400721"/>
    <w:multiLevelType w:val="hybridMultilevel"/>
    <w:tmpl w:val="36CEE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D4F44F3"/>
    <w:multiLevelType w:val="hybridMultilevel"/>
    <w:tmpl w:val="D2E08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DDF41A7"/>
    <w:multiLevelType w:val="hybridMultilevel"/>
    <w:tmpl w:val="DB84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ECD6CDF"/>
    <w:multiLevelType w:val="hybridMultilevel"/>
    <w:tmpl w:val="E112E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F0C5F79"/>
    <w:multiLevelType w:val="hybridMultilevel"/>
    <w:tmpl w:val="DAF8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FB95D2D"/>
    <w:multiLevelType w:val="hybridMultilevel"/>
    <w:tmpl w:val="8D20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0CB66E3"/>
    <w:multiLevelType w:val="hybridMultilevel"/>
    <w:tmpl w:val="D7904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0E66D94"/>
    <w:multiLevelType w:val="hybridMultilevel"/>
    <w:tmpl w:val="05D2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172018F"/>
    <w:multiLevelType w:val="hybridMultilevel"/>
    <w:tmpl w:val="327AF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19F2A09"/>
    <w:multiLevelType w:val="hybridMultilevel"/>
    <w:tmpl w:val="C818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1B636FD"/>
    <w:multiLevelType w:val="hybridMultilevel"/>
    <w:tmpl w:val="E4786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1B75E6A"/>
    <w:multiLevelType w:val="hybridMultilevel"/>
    <w:tmpl w:val="ECC03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27B27B2"/>
    <w:multiLevelType w:val="hybridMultilevel"/>
    <w:tmpl w:val="1F124C7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42B60802"/>
    <w:multiLevelType w:val="hybridMultilevel"/>
    <w:tmpl w:val="E96EE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2E92237"/>
    <w:multiLevelType w:val="hybridMultilevel"/>
    <w:tmpl w:val="7F9A9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2FB5CB8"/>
    <w:multiLevelType w:val="hybridMultilevel"/>
    <w:tmpl w:val="9D343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3490273"/>
    <w:multiLevelType w:val="hybridMultilevel"/>
    <w:tmpl w:val="5E7408E2"/>
    <w:lvl w:ilvl="0" w:tplc="0409000F">
      <w:start w:val="8"/>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8" w15:restartNumberingAfterBreak="0">
    <w:nsid w:val="43C113D2"/>
    <w:multiLevelType w:val="hybridMultilevel"/>
    <w:tmpl w:val="4508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3EC6B96"/>
    <w:multiLevelType w:val="hybridMultilevel"/>
    <w:tmpl w:val="60423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3FA1B61"/>
    <w:multiLevelType w:val="hybridMultilevel"/>
    <w:tmpl w:val="3328E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4DA1778"/>
    <w:multiLevelType w:val="hybridMultilevel"/>
    <w:tmpl w:val="2D6C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51B63AB"/>
    <w:multiLevelType w:val="hybridMultilevel"/>
    <w:tmpl w:val="E8384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5A351D2"/>
    <w:multiLevelType w:val="hybridMultilevel"/>
    <w:tmpl w:val="69BE3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6933F46"/>
    <w:multiLevelType w:val="hybridMultilevel"/>
    <w:tmpl w:val="2EC23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6AD19B6"/>
    <w:multiLevelType w:val="hybridMultilevel"/>
    <w:tmpl w:val="1D9C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6E86456"/>
    <w:multiLevelType w:val="hybridMultilevel"/>
    <w:tmpl w:val="1974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7095BAF"/>
    <w:multiLevelType w:val="hybridMultilevel"/>
    <w:tmpl w:val="0A000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7C804B4"/>
    <w:multiLevelType w:val="hybridMultilevel"/>
    <w:tmpl w:val="211ED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8651D07"/>
    <w:multiLevelType w:val="hybridMultilevel"/>
    <w:tmpl w:val="D5EC366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48896A43"/>
    <w:multiLevelType w:val="hybridMultilevel"/>
    <w:tmpl w:val="CA12A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9340CBE"/>
    <w:multiLevelType w:val="hybridMultilevel"/>
    <w:tmpl w:val="212C2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AEF0707"/>
    <w:multiLevelType w:val="hybridMultilevel"/>
    <w:tmpl w:val="9B801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D340976"/>
    <w:multiLevelType w:val="multilevel"/>
    <w:tmpl w:val="F8C8BC04"/>
    <w:styleLink w:val="CurrentList1"/>
    <w:lvl w:ilvl="0">
      <w:numFmt w:val="bullet"/>
      <w:lvlText w:val="•"/>
      <w:lvlJc w:val="left"/>
      <w:pPr>
        <w:ind w:left="1080" w:hanging="72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4DDC2DDE"/>
    <w:multiLevelType w:val="hybridMultilevel"/>
    <w:tmpl w:val="CF56A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DFE5FFC"/>
    <w:multiLevelType w:val="hybridMultilevel"/>
    <w:tmpl w:val="17489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E600397"/>
    <w:multiLevelType w:val="hybridMultilevel"/>
    <w:tmpl w:val="EDDA4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EB6570F"/>
    <w:multiLevelType w:val="hybridMultilevel"/>
    <w:tmpl w:val="42CAA472"/>
    <w:lvl w:ilvl="0" w:tplc="372C09C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F3723EC"/>
    <w:multiLevelType w:val="hybridMultilevel"/>
    <w:tmpl w:val="BA6C4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F62163A"/>
    <w:multiLevelType w:val="hybridMultilevel"/>
    <w:tmpl w:val="AFB2C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F8613AD"/>
    <w:multiLevelType w:val="hybridMultilevel"/>
    <w:tmpl w:val="1FFA3EC4"/>
    <w:lvl w:ilvl="0" w:tplc="5D5E6B52">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4FC74167"/>
    <w:multiLevelType w:val="hybridMultilevel"/>
    <w:tmpl w:val="858C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1D11851"/>
    <w:multiLevelType w:val="hybridMultilevel"/>
    <w:tmpl w:val="C73CF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2374DC7"/>
    <w:multiLevelType w:val="hybridMultilevel"/>
    <w:tmpl w:val="3846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2641FB3"/>
    <w:multiLevelType w:val="hybridMultilevel"/>
    <w:tmpl w:val="F356BE64"/>
    <w:lvl w:ilvl="0" w:tplc="0409000F">
      <w:start w:val="27"/>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30A6F73"/>
    <w:multiLevelType w:val="hybridMultilevel"/>
    <w:tmpl w:val="C4CEC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3C44C79"/>
    <w:multiLevelType w:val="hybridMultilevel"/>
    <w:tmpl w:val="009E2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41F63FE"/>
    <w:multiLevelType w:val="hybridMultilevel"/>
    <w:tmpl w:val="E95E40E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4200742"/>
    <w:multiLevelType w:val="hybridMultilevel"/>
    <w:tmpl w:val="23A842BA"/>
    <w:lvl w:ilvl="0" w:tplc="372C09C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4396756"/>
    <w:multiLevelType w:val="hybridMultilevel"/>
    <w:tmpl w:val="3050CC86"/>
    <w:lvl w:ilvl="0" w:tplc="372C09C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4737DC4"/>
    <w:multiLevelType w:val="hybridMultilevel"/>
    <w:tmpl w:val="4398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49355CC"/>
    <w:multiLevelType w:val="hybridMultilevel"/>
    <w:tmpl w:val="72441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4A347D4"/>
    <w:multiLevelType w:val="hybridMultilevel"/>
    <w:tmpl w:val="609C9CA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3" w15:restartNumberingAfterBreak="0">
    <w:nsid w:val="55723B3A"/>
    <w:multiLevelType w:val="hybridMultilevel"/>
    <w:tmpl w:val="C100AE66"/>
    <w:lvl w:ilvl="0" w:tplc="372C09C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57E7F39"/>
    <w:multiLevelType w:val="hybridMultilevel"/>
    <w:tmpl w:val="EB6AF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5A15655"/>
    <w:multiLevelType w:val="hybridMultilevel"/>
    <w:tmpl w:val="70ACF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5F85014"/>
    <w:multiLevelType w:val="hybridMultilevel"/>
    <w:tmpl w:val="E4C28F3A"/>
    <w:lvl w:ilvl="0" w:tplc="04090001">
      <w:start w:val="1"/>
      <w:numFmt w:val="bullet"/>
      <w:lvlText w:val=""/>
      <w:lvlJc w:val="left"/>
      <w:pPr>
        <w:ind w:left="720" w:hanging="360"/>
      </w:pPr>
      <w:rPr>
        <w:rFonts w:ascii="Symbol" w:hAnsi="Symbol" w:hint="default"/>
      </w:rPr>
    </w:lvl>
    <w:lvl w:ilvl="1" w:tplc="48D237A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5FC61F7"/>
    <w:multiLevelType w:val="hybridMultilevel"/>
    <w:tmpl w:val="3D82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56234ABA"/>
    <w:multiLevelType w:val="hybridMultilevel"/>
    <w:tmpl w:val="EC3EB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65C4B3A"/>
    <w:multiLevelType w:val="hybridMultilevel"/>
    <w:tmpl w:val="77743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6C222C7"/>
    <w:multiLevelType w:val="hybridMultilevel"/>
    <w:tmpl w:val="67964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7301602"/>
    <w:multiLevelType w:val="hybridMultilevel"/>
    <w:tmpl w:val="0A36F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781363E"/>
    <w:multiLevelType w:val="hybridMultilevel"/>
    <w:tmpl w:val="7AB87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7B05160"/>
    <w:multiLevelType w:val="hybridMultilevel"/>
    <w:tmpl w:val="083C2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8E8015E"/>
    <w:multiLevelType w:val="hybridMultilevel"/>
    <w:tmpl w:val="1F8C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8EC113B"/>
    <w:multiLevelType w:val="hybridMultilevel"/>
    <w:tmpl w:val="5C9E9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9E85C12"/>
    <w:multiLevelType w:val="hybridMultilevel"/>
    <w:tmpl w:val="BD32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A15308D"/>
    <w:multiLevelType w:val="hybridMultilevel"/>
    <w:tmpl w:val="AA4C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AB22928"/>
    <w:multiLevelType w:val="hybridMultilevel"/>
    <w:tmpl w:val="3B3E0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5ABC2BCF"/>
    <w:multiLevelType w:val="hybridMultilevel"/>
    <w:tmpl w:val="A0463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AE95374"/>
    <w:multiLevelType w:val="hybridMultilevel"/>
    <w:tmpl w:val="7E445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5B047205"/>
    <w:multiLevelType w:val="hybridMultilevel"/>
    <w:tmpl w:val="FF20F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5C11445B"/>
    <w:multiLevelType w:val="hybridMultilevel"/>
    <w:tmpl w:val="2E3C1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5C9476E4"/>
    <w:multiLevelType w:val="hybridMultilevel"/>
    <w:tmpl w:val="CB30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5DA54A62"/>
    <w:multiLevelType w:val="hybridMultilevel"/>
    <w:tmpl w:val="AA6A5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DB24EBC"/>
    <w:multiLevelType w:val="hybridMultilevel"/>
    <w:tmpl w:val="AC6E8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DC21DCA"/>
    <w:multiLevelType w:val="hybridMultilevel"/>
    <w:tmpl w:val="14BE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DFC457F"/>
    <w:multiLevelType w:val="hybridMultilevel"/>
    <w:tmpl w:val="C42C4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E85594C"/>
    <w:multiLevelType w:val="hybridMultilevel"/>
    <w:tmpl w:val="E0001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5ED843D1"/>
    <w:multiLevelType w:val="hybridMultilevel"/>
    <w:tmpl w:val="CA22E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F173264"/>
    <w:multiLevelType w:val="hybridMultilevel"/>
    <w:tmpl w:val="C958D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5F6E5454"/>
    <w:multiLevelType w:val="hybridMultilevel"/>
    <w:tmpl w:val="AB72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60A90DD7"/>
    <w:multiLevelType w:val="hybridMultilevel"/>
    <w:tmpl w:val="F8D49718"/>
    <w:lvl w:ilvl="0" w:tplc="5D5E6B52">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0E02F3F"/>
    <w:multiLevelType w:val="hybridMultilevel"/>
    <w:tmpl w:val="21D8C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0F15A8C"/>
    <w:multiLevelType w:val="hybridMultilevel"/>
    <w:tmpl w:val="E5AE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11F35F7"/>
    <w:multiLevelType w:val="hybridMultilevel"/>
    <w:tmpl w:val="FE6E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14B3BC2"/>
    <w:multiLevelType w:val="hybridMultilevel"/>
    <w:tmpl w:val="9EF24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1611E68"/>
    <w:multiLevelType w:val="hybridMultilevel"/>
    <w:tmpl w:val="9836FCB8"/>
    <w:lvl w:ilvl="0" w:tplc="0409000F">
      <w:start w:val="2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1641178"/>
    <w:multiLevelType w:val="hybridMultilevel"/>
    <w:tmpl w:val="AFE6B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16F3115"/>
    <w:multiLevelType w:val="hybridMultilevel"/>
    <w:tmpl w:val="D65C0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61EA1BDE"/>
    <w:multiLevelType w:val="hybridMultilevel"/>
    <w:tmpl w:val="7450B57A"/>
    <w:lvl w:ilvl="0" w:tplc="5D5E6B52">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24E13D3"/>
    <w:multiLevelType w:val="hybridMultilevel"/>
    <w:tmpl w:val="829E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2B20F22"/>
    <w:multiLevelType w:val="hybridMultilevel"/>
    <w:tmpl w:val="98601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2B32E8F"/>
    <w:multiLevelType w:val="hybridMultilevel"/>
    <w:tmpl w:val="AC166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40B5363"/>
    <w:multiLevelType w:val="hybridMultilevel"/>
    <w:tmpl w:val="8D080A74"/>
    <w:lvl w:ilvl="0" w:tplc="372C09C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60A5F0E"/>
    <w:multiLevelType w:val="hybridMultilevel"/>
    <w:tmpl w:val="DB02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69939C4"/>
    <w:multiLevelType w:val="hybridMultilevel"/>
    <w:tmpl w:val="91C0F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7C6770F"/>
    <w:multiLevelType w:val="hybridMultilevel"/>
    <w:tmpl w:val="8E1E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98F6549"/>
    <w:multiLevelType w:val="hybridMultilevel"/>
    <w:tmpl w:val="47C016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9925465"/>
    <w:multiLevelType w:val="hybridMultilevel"/>
    <w:tmpl w:val="C72C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A12023D"/>
    <w:multiLevelType w:val="hybridMultilevel"/>
    <w:tmpl w:val="1DAE1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6A406382"/>
    <w:multiLevelType w:val="hybridMultilevel"/>
    <w:tmpl w:val="69D0A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6B405101"/>
    <w:multiLevelType w:val="hybridMultilevel"/>
    <w:tmpl w:val="D3201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6C292161"/>
    <w:multiLevelType w:val="hybridMultilevel"/>
    <w:tmpl w:val="82904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6C2A4EA2"/>
    <w:multiLevelType w:val="hybridMultilevel"/>
    <w:tmpl w:val="E4C88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6C636E6D"/>
    <w:multiLevelType w:val="hybridMultilevel"/>
    <w:tmpl w:val="1824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6CAC5EE5"/>
    <w:multiLevelType w:val="hybridMultilevel"/>
    <w:tmpl w:val="6ECE3804"/>
    <w:lvl w:ilvl="0" w:tplc="372C09C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6CC217E7"/>
    <w:multiLevelType w:val="hybridMultilevel"/>
    <w:tmpl w:val="6B5411B4"/>
    <w:lvl w:ilvl="0" w:tplc="372C09C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6D34398F"/>
    <w:multiLevelType w:val="hybridMultilevel"/>
    <w:tmpl w:val="846E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6D6929F7"/>
    <w:multiLevelType w:val="hybridMultilevel"/>
    <w:tmpl w:val="5058A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6E0F0C64"/>
    <w:multiLevelType w:val="hybridMultilevel"/>
    <w:tmpl w:val="F64A2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6E224B91"/>
    <w:multiLevelType w:val="hybridMultilevel"/>
    <w:tmpl w:val="7A8A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6E7127AC"/>
    <w:multiLevelType w:val="hybridMultilevel"/>
    <w:tmpl w:val="375C4ED8"/>
    <w:lvl w:ilvl="0" w:tplc="372C09C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6E772368"/>
    <w:multiLevelType w:val="hybridMultilevel"/>
    <w:tmpl w:val="FC2CC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6F49100A"/>
    <w:multiLevelType w:val="hybridMultilevel"/>
    <w:tmpl w:val="0BDE8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0EF6123"/>
    <w:multiLevelType w:val="hybridMultilevel"/>
    <w:tmpl w:val="A4BEB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2736F04"/>
    <w:multiLevelType w:val="hybridMultilevel"/>
    <w:tmpl w:val="930CD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2BB373D"/>
    <w:multiLevelType w:val="hybridMultilevel"/>
    <w:tmpl w:val="C0BA4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3277533"/>
    <w:multiLevelType w:val="multilevel"/>
    <w:tmpl w:val="BD9E0F40"/>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9" w15:restartNumberingAfterBreak="0">
    <w:nsid w:val="7445564A"/>
    <w:multiLevelType w:val="hybridMultilevel"/>
    <w:tmpl w:val="31ECA348"/>
    <w:lvl w:ilvl="0" w:tplc="372C09C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745A7D44"/>
    <w:multiLevelType w:val="hybridMultilevel"/>
    <w:tmpl w:val="B7C44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749140B7"/>
    <w:multiLevelType w:val="hybridMultilevel"/>
    <w:tmpl w:val="F7503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5494C0E"/>
    <w:multiLevelType w:val="hybridMultilevel"/>
    <w:tmpl w:val="E86A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757C562B"/>
    <w:multiLevelType w:val="hybridMultilevel"/>
    <w:tmpl w:val="0700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6155384"/>
    <w:multiLevelType w:val="hybridMultilevel"/>
    <w:tmpl w:val="EBFA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763C2608"/>
    <w:multiLevelType w:val="hybridMultilevel"/>
    <w:tmpl w:val="867CC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77B12223"/>
    <w:multiLevelType w:val="hybridMultilevel"/>
    <w:tmpl w:val="C7A0D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78760E9E"/>
    <w:multiLevelType w:val="hybridMultilevel"/>
    <w:tmpl w:val="CB982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95B7BCA"/>
    <w:multiLevelType w:val="hybridMultilevel"/>
    <w:tmpl w:val="934A0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9E17261"/>
    <w:multiLevelType w:val="hybridMultilevel"/>
    <w:tmpl w:val="9902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79EE7E1C"/>
    <w:multiLevelType w:val="hybridMultilevel"/>
    <w:tmpl w:val="91421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7A346194"/>
    <w:multiLevelType w:val="hybridMultilevel"/>
    <w:tmpl w:val="4CE68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7A764C83"/>
    <w:multiLevelType w:val="hybridMultilevel"/>
    <w:tmpl w:val="2BA6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AEF76FB"/>
    <w:multiLevelType w:val="hybridMultilevel"/>
    <w:tmpl w:val="931E5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7AF566F6"/>
    <w:multiLevelType w:val="hybridMultilevel"/>
    <w:tmpl w:val="87AA1AEC"/>
    <w:lvl w:ilvl="0" w:tplc="372C09C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7BE37EEB"/>
    <w:multiLevelType w:val="hybridMultilevel"/>
    <w:tmpl w:val="BB64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7CA63A6E"/>
    <w:multiLevelType w:val="hybridMultilevel"/>
    <w:tmpl w:val="AE78E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7CB864EF"/>
    <w:multiLevelType w:val="hybridMultilevel"/>
    <w:tmpl w:val="FE6C0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7CE66320"/>
    <w:multiLevelType w:val="hybridMultilevel"/>
    <w:tmpl w:val="06042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7E9D26D6"/>
    <w:multiLevelType w:val="hybridMultilevel"/>
    <w:tmpl w:val="44721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7EEB544F"/>
    <w:multiLevelType w:val="hybridMultilevel"/>
    <w:tmpl w:val="5742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7F6E7CAE"/>
    <w:multiLevelType w:val="hybridMultilevel"/>
    <w:tmpl w:val="DF4A9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7F721A49"/>
    <w:multiLevelType w:val="hybridMultilevel"/>
    <w:tmpl w:val="1F86C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1869271">
    <w:abstractNumId w:val="231"/>
  </w:num>
  <w:num w:numId="2" w16cid:durableId="784428043">
    <w:abstractNumId w:val="52"/>
  </w:num>
  <w:num w:numId="3" w16cid:durableId="642781275">
    <w:abstractNumId w:val="133"/>
  </w:num>
  <w:num w:numId="4" w16cid:durableId="378282026">
    <w:abstractNumId w:val="86"/>
  </w:num>
  <w:num w:numId="5" w16cid:durableId="1145127524">
    <w:abstractNumId w:val="99"/>
  </w:num>
  <w:num w:numId="6" w16cid:durableId="232397142">
    <w:abstractNumId w:val="93"/>
  </w:num>
  <w:num w:numId="7" w16cid:durableId="1601059835">
    <w:abstractNumId w:val="137"/>
  </w:num>
  <w:num w:numId="8" w16cid:durableId="1782992069">
    <w:abstractNumId w:val="194"/>
  </w:num>
  <w:num w:numId="9" w16cid:durableId="569003063">
    <w:abstractNumId w:val="77"/>
  </w:num>
  <w:num w:numId="10" w16cid:durableId="1590039666">
    <w:abstractNumId w:val="19"/>
  </w:num>
  <w:num w:numId="11" w16cid:durableId="1585920141">
    <w:abstractNumId w:val="114"/>
  </w:num>
  <w:num w:numId="12" w16cid:durableId="4866478">
    <w:abstractNumId w:val="215"/>
  </w:num>
  <w:num w:numId="13" w16cid:durableId="537284017">
    <w:abstractNumId w:val="149"/>
  </w:num>
  <w:num w:numId="14" w16cid:durableId="629552304">
    <w:abstractNumId w:val="234"/>
  </w:num>
  <w:num w:numId="15" w16cid:durableId="260375262">
    <w:abstractNumId w:val="61"/>
  </w:num>
  <w:num w:numId="16" w16cid:durableId="1035156428">
    <w:abstractNumId w:val="89"/>
  </w:num>
  <w:num w:numId="17" w16cid:durableId="2064912044">
    <w:abstractNumId w:val="53"/>
  </w:num>
  <w:num w:numId="18" w16cid:durableId="1353611688">
    <w:abstractNumId w:val="207"/>
  </w:num>
  <w:num w:numId="19" w16cid:durableId="12339435">
    <w:abstractNumId w:val="26"/>
  </w:num>
  <w:num w:numId="20" w16cid:durableId="1410611264">
    <w:abstractNumId w:val="55"/>
  </w:num>
  <w:num w:numId="21" w16cid:durableId="45298331">
    <w:abstractNumId w:val="31"/>
  </w:num>
  <w:num w:numId="22" w16cid:durableId="417598129">
    <w:abstractNumId w:val="206"/>
  </w:num>
  <w:num w:numId="23" w16cid:durableId="763573869">
    <w:abstractNumId w:val="87"/>
  </w:num>
  <w:num w:numId="24" w16cid:durableId="1025524500">
    <w:abstractNumId w:val="9"/>
  </w:num>
  <w:num w:numId="25" w16cid:durableId="1823696918">
    <w:abstractNumId w:val="148"/>
  </w:num>
  <w:num w:numId="26" w16cid:durableId="809833454">
    <w:abstractNumId w:val="97"/>
  </w:num>
  <w:num w:numId="27" w16cid:durableId="414673842">
    <w:abstractNumId w:val="182"/>
  </w:num>
  <w:num w:numId="28" w16cid:durableId="1653173380">
    <w:abstractNumId w:val="190"/>
  </w:num>
  <w:num w:numId="29" w16cid:durableId="374544196">
    <w:abstractNumId w:val="147"/>
  </w:num>
  <w:num w:numId="30" w16cid:durableId="680014379">
    <w:abstractNumId w:val="187"/>
  </w:num>
  <w:num w:numId="31" w16cid:durableId="266815505">
    <w:abstractNumId w:val="144"/>
  </w:num>
  <w:num w:numId="32" w16cid:durableId="1073428194">
    <w:abstractNumId w:val="7"/>
  </w:num>
  <w:num w:numId="33" w16cid:durableId="832571253">
    <w:abstractNumId w:val="153"/>
  </w:num>
  <w:num w:numId="34" w16cid:durableId="101146376">
    <w:abstractNumId w:val="212"/>
  </w:num>
  <w:num w:numId="35" w16cid:durableId="1681665752">
    <w:abstractNumId w:val="189"/>
  </w:num>
  <w:num w:numId="36" w16cid:durableId="622467745">
    <w:abstractNumId w:val="124"/>
  </w:num>
  <w:num w:numId="37" w16cid:durableId="10302616">
    <w:abstractNumId w:val="191"/>
  </w:num>
  <w:num w:numId="38" w16cid:durableId="579485761">
    <w:abstractNumId w:val="110"/>
  </w:num>
  <w:num w:numId="39" w16cid:durableId="218711767">
    <w:abstractNumId w:val="176"/>
  </w:num>
  <w:num w:numId="40" w16cid:durableId="499974439">
    <w:abstractNumId w:val="181"/>
  </w:num>
  <w:num w:numId="41" w16cid:durableId="1516923612">
    <w:abstractNumId w:val="165"/>
  </w:num>
  <w:num w:numId="42" w16cid:durableId="630790964">
    <w:abstractNumId w:val="167"/>
  </w:num>
  <w:num w:numId="43" w16cid:durableId="162858351">
    <w:abstractNumId w:val="27"/>
  </w:num>
  <w:num w:numId="44" w16cid:durableId="369955512">
    <w:abstractNumId w:val="169"/>
  </w:num>
  <w:num w:numId="45" w16cid:durableId="242958855">
    <w:abstractNumId w:val="132"/>
  </w:num>
  <w:num w:numId="46" w16cid:durableId="239141328">
    <w:abstractNumId w:val="91"/>
  </w:num>
  <w:num w:numId="47" w16cid:durableId="238635736">
    <w:abstractNumId w:val="2"/>
  </w:num>
  <w:num w:numId="48" w16cid:durableId="1822765623">
    <w:abstractNumId w:val="78"/>
  </w:num>
  <w:num w:numId="49" w16cid:durableId="2002197633">
    <w:abstractNumId w:val="126"/>
  </w:num>
  <w:num w:numId="50" w16cid:durableId="560948059">
    <w:abstractNumId w:val="150"/>
  </w:num>
  <w:num w:numId="51" w16cid:durableId="1318077089">
    <w:abstractNumId w:val="201"/>
  </w:num>
  <w:num w:numId="52" w16cid:durableId="120347509">
    <w:abstractNumId w:val="217"/>
  </w:num>
  <w:num w:numId="53" w16cid:durableId="1405302943">
    <w:abstractNumId w:val="233"/>
  </w:num>
  <w:num w:numId="54" w16cid:durableId="2079554029">
    <w:abstractNumId w:val="156"/>
  </w:num>
  <w:num w:numId="55" w16cid:durableId="14384221">
    <w:abstractNumId w:val="141"/>
  </w:num>
  <w:num w:numId="56" w16cid:durableId="1014305775">
    <w:abstractNumId w:val="204"/>
  </w:num>
  <w:num w:numId="57" w16cid:durableId="156504764">
    <w:abstractNumId w:val="174"/>
  </w:num>
  <w:num w:numId="58" w16cid:durableId="1787306397">
    <w:abstractNumId w:val="113"/>
  </w:num>
  <w:num w:numId="59" w16cid:durableId="2079401736">
    <w:abstractNumId w:val="56"/>
  </w:num>
  <w:num w:numId="60" w16cid:durableId="964851389">
    <w:abstractNumId w:val="221"/>
  </w:num>
  <w:num w:numId="61" w16cid:durableId="416368634">
    <w:abstractNumId w:val="230"/>
  </w:num>
  <w:num w:numId="62" w16cid:durableId="1727794665">
    <w:abstractNumId w:val="146"/>
  </w:num>
  <w:num w:numId="63" w16cid:durableId="635646611">
    <w:abstractNumId w:val="188"/>
  </w:num>
  <w:num w:numId="64" w16cid:durableId="519857389">
    <w:abstractNumId w:val="76"/>
  </w:num>
  <w:num w:numId="65" w16cid:durableId="533226450">
    <w:abstractNumId w:val="88"/>
  </w:num>
  <w:num w:numId="66" w16cid:durableId="576591572">
    <w:abstractNumId w:val="222"/>
  </w:num>
  <w:num w:numId="67" w16cid:durableId="1851142475">
    <w:abstractNumId w:val="101"/>
  </w:num>
  <w:num w:numId="68" w16cid:durableId="1979648979">
    <w:abstractNumId w:val="119"/>
  </w:num>
  <w:num w:numId="69" w16cid:durableId="1319847643">
    <w:abstractNumId w:val="235"/>
  </w:num>
  <w:num w:numId="70" w16cid:durableId="1840344589">
    <w:abstractNumId w:val="121"/>
  </w:num>
  <w:num w:numId="71" w16cid:durableId="353390077">
    <w:abstractNumId w:val="49"/>
  </w:num>
  <w:num w:numId="72" w16cid:durableId="1681930454">
    <w:abstractNumId w:val="83"/>
  </w:num>
  <w:num w:numId="73" w16cid:durableId="1218052905">
    <w:abstractNumId w:val="214"/>
  </w:num>
  <w:num w:numId="74" w16cid:durableId="880096475">
    <w:abstractNumId w:val="1"/>
  </w:num>
  <w:num w:numId="75" w16cid:durableId="1430588746">
    <w:abstractNumId w:val="232"/>
  </w:num>
  <w:num w:numId="76" w16cid:durableId="1322540126">
    <w:abstractNumId w:val="96"/>
  </w:num>
  <w:num w:numId="77" w16cid:durableId="602421575">
    <w:abstractNumId w:val="70"/>
  </w:num>
  <w:num w:numId="78" w16cid:durableId="900092376">
    <w:abstractNumId w:val="6"/>
  </w:num>
  <w:num w:numId="79" w16cid:durableId="390156200">
    <w:abstractNumId w:val="66"/>
  </w:num>
  <w:num w:numId="80" w16cid:durableId="895815964">
    <w:abstractNumId w:val="22"/>
  </w:num>
  <w:num w:numId="81" w16cid:durableId="1113356322">
    <w:abstractNumId w:val="4"/>
  </w:num>
  <w:num w:numId="82" w16cid:durableId="2042852847">
    <w:abstractNumId w:val="21"/>
  </w:num>
  <w:num w:numId="83" w16cid:durableId="183641221">
    <w:abstractNumId w:val="131"/>
  </w:num>
  <w:num w:numId="84" w16cid:durableId="820580675">
    <w:abstractNumId w:val="211"/>
  </w:num>
  <w:num w:numId="85" w16cid:durableId="425612811">
    <w:abstractNumId w:val="98"/>
  </w:num>
  <w:num w:numId="86" w16cid:durableId="206838374">
    <w:abstractNumId w:val="203"/>
  </w:num>
  <w:num w:numId="87" w16cid:durableId="1786804946">
    <w:abstractNumId w:val="24"/>
  </w:num>
  <w:num w:numId="88" w16cid:durableId="2138601468">
    <w:abstractNumId w:val="106"/>
  </w:num>
  <w:num w:numId="89" w16cid:durableId="501549900">
    <w:abstractNumId w:val="42"/>
  </w:num>
  <w:num w:numId="90" w16cid:durableId="970209382">
    <w:abstractNumId w:val="135"/>
  </w:num>
  <w:num w:numId="91" w16cid:durableId="402872474">
    <w:abstractNumId w:val="143"/>
  </w:num>
  <w:num w:numId="92" w16cid:durableId="2031490570">
    <w:abstractNumId w:val="116"/>
  </w:num>
  <w:num w:numId="93" w16cid:durableId="602883844">
    <w:abstractNumId w:val="48"/>
  </w:num>
  <w:num w:numId="94" w16cid:durableId="839153180">
    <w:abstractNumId w:val="195"/>
  </w:num>
  <w:num w:numId="95" w16cid:durableId="393357936">
    <w:abstractNumId w:val="136"/>
  </w:num>
  <w:num w:numId="96" w16cid:durableId="1303659595">
    <w:abstractNumId w:val="71"/>
  </w:num>
  <w:num w:numId="97" w16cid:durableId="266039665">
    <w:abstractNumId w:val="102"/>
  </w:num>
  <w:num w:numId="98" w16cid:durableId="1906258170">
    <w:abstractNumId w:val="80"/>
  </w:num>
  <w:num w:numId="99" w16cid:durableId="1310403079">
    <w:abstractNumId w:val="23"/>
  </w:num>
  <w:num w:numId="100" w16cid:durableId="1450516357">
    <w:abstractNumId w:val="227"/>
  </w:num>
  <w:num w:numId="101" w16cid:durableId="745419083">
    <w:abstractNumId w:val="120"/>
  </w:num>
  <w:num w:numId="102" w16cid:durableId="1558857226">
    <w:abstractNumId w:val="54"/>
  </w:num>
  <w:num w:numId="103" w16cid:durableId="2143886668">
    <w:abstractNumId w:val="69"/>
  </w:num>
  <w:num w:numId="104" w16cid:durableId="2009402078">
    <w:abstractNumId w:val="16"/>
  </w:num>
  <w:num w:numId="105" w16cid:durableId="359890576">
    <w:abstractNumId w:val="103"/>
  </w:num>
  <w:num w:numId="106" w16cid:durableId="51736045">
    <w:abstractNumId w:val="178"/>
  </w:num>
  <w:num w:numId="107" w16cid:durableId="871262339">
    <w:abstractNumId w:val="62"/>
  </w:num>
  <w:num w:numId="108" w16cid:durableId="1235428954">
    <w:abstractNumId w:val="3"/>
  </w:num>
  <w:num w:numId="109" w16cid:durableId="1454327376">
    <w:abstractNumId w:val="51"/>
  </w:num>
  <w:num w:numId="110" w16cid:durableId="1540127928">
    <w:abstractNumId w:val="220"/>
  </w:num>
  <w:num w:numId="111" w16cid:durableId="1762020690">
    <w:abstractNumId w:val="225"/>
  </w:num>
  <w:num w:numId="112" w16cid:durableId="408158523">
    <w:abstractNumId w:val="155"/>
  </w:num>
  <w:num w:numId="113" w16cid:durableId="1750275101">
    <w:abstractNumId w:val="192"/>
  </w:num>
  <w:num w:numId="114" w16cid:durableId="1298342042">
    <w:abstractNumId w:val="237"/>
  </w:num>
  <w:num w:numId="115" w16cid:durableId="621762827">
    <w:abstractNumId w:val="158"/>
  </w:num>
  <w:num w:numId="116" w16cid:durableId="150022261">
    <w:abstractNumId w:val="164"/>
  </w:num>
  <w:num w:numId="117" w16cid:durableId="506872492">
    <w:abstractNumId w:val="216"/>
  </w:num>
  <w:num w:numId="118" w16cid:durableId="1031372246">
    <w:abstractNumId w:val="100"/>
  </w:num>
  <w:num w:numId="119" w16cid:durableId="1575898676">
    <w:abstractNumId w:val="166"/>
  </w:num>
  <w:num w:numId="120" w16cid:durableId="1871184939">
    <w:abstractNumId w:val="25"/>
  </w:num>
  <w:num w:numId="121" w16cid:durableId="2035030139">
    <w:abstractNumId w:val="179"/>
  </w:num>
  <w:num w:numId="122" w16cid:durableId="559025293">
    <w:abstractNumId w:val="50"/>
  </w:num>
  <w:num w:numId="123" w16cid:durableId="93792673">
    <w:abstractNumId w:val="130"/>
  </w:num>
  <w:num w:numId="124" w16cid:durableId="1029911845">
    <w:abstractNumId w:val="43"/>
  </w:num>
  <w:num w:numId="125" w16cid:durableId="227695691">
    <w:abstractNumId w:val="185"/>
  </w:num>
  <w:num w:numId="126" w16cid:durableId="1051071641">
    <w:abstractNumId w:val="171"/>
  </w:num>
  <w:num w:numId="127" w16cid:durableId="1218934953">
    <w:abstractNumId w:val="82"/>
  </w:num>
  <w:num w:numId="128" w16cid:durableId="551886414">
    <w:abstractNumId w:val="175"/>
  </w:num>
  <w:num w:numId="129" w16cid:durableId="1429307276">
    <w:abstractNumId w:val="236"/>
  </w:num>
  <w:num w:numId="130" w16cid:durableId="1143431193">
    <w:abstractNumId w:val="161"/>
  </w:num>
  <w:num w:numId="131" w16cid:durableId="1870295751">
    <w:abstractNumId w:val="35"/>
  </w:num>
  <w:num w:numId="132" w16cid:durableId="1804230928">
    <w:abstractNumId w:val="209"/>
  </w:num>
  <w:num w:numId="133" w16cid:durableId="358896660">
    <w:abstractNumId w:val="95"/>
  </w:num>
  <w:num w:numId="134" w16cid:durableId="1575316200">
    <w:abstractNumId w:val="28"/>
  </w:num>
  <w:num w:numId="135" w16cid:durableId="1899901550">
    <w:abstractNumId w:val="168"/>
  </w:num>
  <w:num w:numId="136" w16cid:durableId="492986337">
    <w:abstractNumId w:val="29"/>
  </w:num>
  <w:num w:numId="137" w16cid:durableId="924647872">
    <w:abstractNumId w:val="115"/>
  </w:num>
  <w:num w:numId="138" w16cid:durableId="1443108903">
    <w:abstractNumId w:val="151"/>
  </w:num>
  <w:num w:numId="139" w16cid:durableId="21636029">
    <w:abstractNumId w:val="125"/>
  </w:num>
  <w:num w:numId="140" w16cid:durableId="1213617752">
    <w:abstractNumId w:val="85"/>
  </w:num>
  <w:num w:numId="141" w16cid:durableId="1319922320">
    <w:abstractNumId w:val="196"/>
  </w:num>
  <w:num w:numId="142" w16cid:durableId="2130662755">
    <w:abstractNumId w:val="205"/>
  </w:num>
  <w:num w:numId="143" w16cid:durableId="2127189278">
    <w:abstractNumId w:val="92"/>
  </w:num>
  <w:num w:numId="144" w16cid:durableId="429740712">
    <w:abstractNumId w:val="107"/>
  </w:num>
  <w:num w:numId="145" w16cid:durableId="714473550">
    <w:abstractNumId w:val="163"/>
  </w:num>
  <w:num w:numId="146" w16cid:durableId="1209219943">
    <w:abstractNumId w:val="20"/>
  </w:num>
  <w:num w:numId="147" w16cid:durableId="565263636">
    <w:abstractNumId w:val="199"/>
  </w:num>
  <w:num w:numId="148" w16cid:durableId="1922567105">
    <w:abstractNumId w:val="38"/>
  </w:num>
  <w:num w:numId="149" w16cid:durableId="110589933">
    <w:abstractNumId w:val="36"/>
  </w:num>
  <w:num w:numId="150" w16cid:durableId="660935137">
    <w:abstractNumId w:val="8"/>
  </w:num>
  <w:num w:numId="151" w16cid:durableId="1750492804">
    <w:abstractNumId w:val="79"/>
  </w:num>
  <w:num w:numId="152" w16cid:durableId="362294947">
    <w:abstractNumId w:val="180"/>
  </w:num>
  <w:num w:numId="153" w16cid:durableId="120002731">
    <w:abstractNumId w:val="242"/>
  </w:num>
  <w:num w:numId="154" w16cid:durableId="1112701321">
    <w:abstractNumId w:val="123"/>
  </w:num>
  <w:num w:numId="155" w16cid:durableId="1637180288">
    <w:abstractNumId w:val="241"/>
  </w:num>
  <w:num w:numId="156" w16cid:durableId="2022969118">
    <w:abstractNumId w:val="72"/>
  </w:num>
  <w:num w:numId="157" w16cid:durableId="858084603">
    <w:abstractNumId w:val="202"/>
  </w:num>
  <w:num w:numId="158" w16cid:durableId="431704804">
    <w:abstractNumId w:val="186"/>
  </w:num>
  <w:num w:numId="159" w16cid:durableId="1606763298">
    <w:abstractNumId w:val="63"/>
  </w:num>
  <w:num w:numId="160" w16cid:durableId="311757267">
    <w:abstractNumId w:val="58"/>
  </w:num>
  <w:num w:numId="161" w16cid:durableId="1013412994">
    <w:abstractNumId w:val="184"/>
  </w:num>
  <w:num w:numId="162" w16cid:durableId="659306005">
    <w:abstractNumId w:val="239"/>
  </w:num>
  <w:num w:numId="163" w16cid:durableId="868104745">
    <w:abstractNumId w:val="5"/>
  </w:num>
  <w:num w:numId="164" w16cid:durableId="1568807283">
    <w:abstractNumId w:val="40"/>
  </w:num>
  <w:num w:numId="165" w16cid:durableId="1074429941">
    <w:abstractNumId w:val="68"/>
  </w:num>
  <w:num w:numId="166" w16cid:durableId="1508594659">
    <w:abstractNumId w:val="238"/>
  </w:num>
  <w:num w:numId="167" w16cid:durableId="577836180">
    <w:abstractNumId w:val="57"/>
  </w:num>
  <w:num w:numId="168" w16cid:durableId="1151097614">
    <w:abstractNumId w:val="129"/>
  </w:num>
  <w:num w:numId="169" w16cid:durableId="1159732825">
    <w:abstractNumId w:val="198"/>
  </w:num>
  <w:num w:numId="170" w16cid:durableId="41365099">
    <w:abstractNumId w:val="226"/>
  </w:num>
  <w:num w:numId="171" w16cid:durableId="714280605">
    <w:abstractNumId w:val="160"/>
  </w:num>
  <w:num w:numId="172" w16cid:durableId="1754234000">
    <w:abstractNumId w:val="218"/>
  </w:num>
  <w:num w:numId="173" w16cid:durableId="1671374550">
    <w:abstractNumId w:val="34"/>
  </w:num>
  <w:num w:numId="174" w16cid:durableId="2113278630">
    <w:abstractNumId w:val="33"/>
  </w:num>
  <w:num w:numId="175" w16cid:durableId="1130628837">
    <w:abstractNumId w:val="60"/>
  </w:num>
  <w:num w:numId="176" w16cid:durableId="1406033975">
    <w:abstractNumId w:val="200"/>
  </w:num>
  <w:num w:numId="177" w16cid:durableId="845361220">
    <w:abstractNumId w:val="134"/>
  </w:num>
  <w:num w:numId="178" w16cid:durableId="1440025262">
    <w:abstractNumId w:val="154"/>
  </w:num>
  <w:num w:numId="179" w16cid:durableId="1396199610">
    <w:abstractNumId w:val="64"/>
  </w:num>
  <w:num w:numId="180" w16cid:durableId="1468356706">
    <w:abstractNumId w:val="177"/>
  </w:num>
  <w:num w:numId="181" w16cid:durableId="822967164">
    <w:abstractNumId w:val="39"/>
  </w:num>
  <w:num w:numId="182" w16cid:durableId="412973063">
    <w:abstractNumId w:val="197"/>
  </w:num>
  <w:num w:numId="183" w16cid:durableId="215045492">
    <w:abstractNumId w:val="240"/>
  </w:num>
  <w:num w:numId="184" w16cid:durableId="142704604">
    <w:abstractNumId w:val="210"/>
  </w:num>
  <w:num w:numId="185" w16cid:durableId="681662720">
    <w:abstractNumId w:val="15"/>
  </w:num>
  <w:num w:numId="186" w16cid:durableId="156506983">
    <w:abstractNumId w:val="223"/>
  </w:num>
  <w:num w:numId="187" w16cid:durableId="899749294">
    <w:abstractNumId w:val="172"/>
  </w:num>
  <w:num w:numId="188" w16cid:durableId="1333142595">
    <w:abstractNumId w:val="128"/>
  </w:num>
  <w:num w:numId="189" w16cid:durableId="602299171">
    <w:abstractNumId w:val="30"/>
  </w:num>
  <w:num w:numId="190" w16cid:durableId="1266159244">
    <w:abstractNumId w:val="157"/>
  </w:num>
  <w:num w:numId="191" w16cid:durableId="1757825355">
    <w:abstractNumId w:val="37"/>
  </w:num>
  <w:num w:numId="192" w16cid:durableId="1669559725">
    <w:abstractNumId w:val="152"/>
  </w:num>
  <w:num w:numId="193" w16cid:durableId="156306487">
    <w:abstractNumId w:val="118"/>
  </w:num>
  <w:num w:numId="194" w16cid:durableId="45229700">
    <w:abstractNumId w:val="112"/>
  </w:num>
  <w:num w:numId="195" w16cid:durableId="1047802496">
    <w:abstractNumId w:val="14"/>
  </w:num>
  <w:num w:numId="196" w16cid:durableId="537543979">
    <w:abstractNumId w:val="122"/>
  </w:num>
  <w:num w:numId="197" w16cid:durableId="1495148532">
    <w:abstractNumId w:val="213"/>
  </w:num>
  <w:num w:numId="198" w16cid:durableId="1216427700">
    <w:abstractNumId w:val="139"/>
  </w:num>
  <w:num w:numId="199" w16cid:durableId="728770172">
    <w:abstractNumId w:val="45"/>
  </w:num>
  <w:num w:numId="200" w16cid:durableId="839201612">
    <w:abstractNumId w:val="59"/>
  </w:num>
  <w:num w:numId="201" w16cid:durableId="287011837">
    <w:abstractNumId w:val="229"/>
  </w:num>
  <w:num w:numId="202" w16cid:durableId="734623412">
    <w:abstractNumId w:val="81"/>
  </w:num>
  <w:num w:numId="203" w16cid:durableId="709769911">
    <w:abstractNumId w:val="138"/>
  </w:num>
  <w:num w:numId="204" w16cid:durableId="1984002406">
    <w:abstractNumId w:val="0"/>
  </w:num>
  <w:num w:numId="205" w16cid:durableId="1092242782">
    <w:abstractNumId w:val="170"/>
  </w:num>
  <w:num w:numId="206" w16cid:durableId="978261340">
    <w:abstractNumId w:val="74"/>
  </w:num>
  <w:num w:numId="207" w16cid:durableId="2001804728">
    <w:abstractNumId w:val="173"/>
  </w:num>
  <w:num w:numId="208" w16cid:durableId="623345190">
    <w:abstractNumId w:val="145"/>
  </w:num>
  <w:num w:numId="209" w16cid:durableId="274949268">
    <w:abstractNumId w:val="159"/>
  </w:num>
  <w:num w:numId="210" w16cid:durableId="306016857">
    <w:abstractNumId w:val="75"/>
  </w:num>
  <w:num w:numId="211" w16cid:durableId="883368201">
    <w:abstractNumId w:val="13"/>
  </w:num>
  <w:num w:numId="212" w16cid:durableId="136651502">
    <w:abstractNumId w:val="108"/>
  </w:num>
  <w:num w:numId="213" w16cid:durableId="1772385925">
    <w:abstractNumId w:val="44"/>
  </w:num>
  <w:num w:numId="214" w16cid:durableId="1477990730">
    <w:abstractNumId w:val="84"/>
  </w:num>
  <w:num w:numId="215" w16cid:durableId="781145135">
    <w:abstractNumId w:val="127"/>
  </w:num>
  <w:num w:numId="216" w16cid:durableId="1799570516">
    <w:abstractNumId w:val="17"/>
  </w:num>
  <w:num w:numId="217" w16cid:durableId="95366641">
    <w:abstractNumId w:val="105"/>
  </w:num>
  <w:num w:numId="218" w16cid:durableId="1051463548">
    <w:abstractNumId w:val="111"/>
  </w:num>
  <w:num w:numId="219" w16cid:durableId="1755130863">
    <w:abstractNumId w:val="46"/>
  </w:num>
  <w:num w:numId="220" w16cid:durableId="1009406639">
    <w:abstractNumId w:val="162"/>
  </w:num>
  <w:num w:numId="221" w16cid:durableId="2145584957">
    <w:abstractNumId w:val="183"/>
  </w:num>
  <w:num w:numId="222" w16cid:durableId="1304457858">
    <w:abstractNumId w:val="104"/>
  </w:num>
  <w:num w:numId="223" w16cid:durableId="180511827">
    <w:abstractNumId w:val="18"/>
  </w:num>
  <w:num w:numId="224" w16cid:durableId="1446536016">
    <w:abstractNumId w:val="142"/>
  </w:num>
  <w:num w:numId="225" w16cid:durableId="454951591">
    <w:abstractNumId w:val="224"/>
  </w:num>
  <w:num w:numId="226" w16cid:durableId="37632678">
    <w:abstractNumId w:val="65"/>
  </w:num>
  <w:num w:numId="227" w16cid:durableId="68889144">
    <w:abstractNumId w:val="208"/>
  </w:num>
  <w:num w:numId="228" w16cid:durableId="1764573860">
    <w:abstractNumId w:val="109"/>
  </w:num>
  <w:num w:numId="229" w16cid:durableId="1759474147">
    <w:abstractNumId w:val="193"/>
  </w:num>
  <w:num w:numId="230" w16cid:durableId="114376695">
    <w:abstractNumId w:val="73"/>
  </w:num>
  <w:num w:numId="231" w16cid:durableId="482234994">
    <w:abstractNumId w:val="117"/>
  </w:num>
  <w:num w:numId="232" w16cid:durableId="901015942">
    <w:abstractNumId w:val="11"/>
  </w:num>
  <w:num w:numId="233" w16cid:durableId="584143420">
    <w:abstractNumId w:val="12"/>
  </w:num>
  <w:num w:numId="234" w16cid:durableId="1562402346">
    <w:abstractNumId w:val="94"/>
  </w:num>
  <w:num w:numId="235" w16cid:durableId="1241909967">
    <w:abstractNumId w:val="32"/>
  </w:num>
  <w:num w:numId="236" w16cid:durableId="192116036">
    <w:abstractNumId w:val="10"/>
  </w:num>
  <w:num w:numId="237" w16cid:durableId="602307045">
    <w:abstractNumId w:val="90"/>
  </w:num>
  <w:num w:numId="238" w16cid:durableId="1849706877">
    <w:abstractNumId w:val="41"/>
  </w:num>
  <w:num w:numId="239" w16cid:durableId="374084924">
    <w:abstractNumId w:val="140"/>
  </w:num>
  <w:num w:numId="240" w16cid:durableId="1376270209">
    <w:abstractNumId w:val="47"/>
  </w:num>
  <w:num w:numId="241" w16cid:durableId="1009137880">
    <w:abstractNumId w:val="228"/>
  </w:num>
  <w:num w:numId="242" w16cid:durableId="1566144824">
    <w:abstractNumId w:val="67"/>
  </w:num>
  <w:num w:numId="243" w16cid:durableId="1124887611">
    <w:abstractNumId w:val="219"/>
  </w:num>
  <w:numIdMacAtCleanup w:val="2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FCA"/>
    <w:rsid w:val="00011D79"/>
    <w:rsid w:val="0001559A"/>
    <w:rsid w:val="00016FCA"/>
    <w:rsid w:val="000302FE"/>
    <w:rsid w:val="00031CF5"/>
    <w:rsid w:val="00056587"/>
    <w:rsid w:val="0006142D"/>
    <w:rsid w:val="000F3154"/>
    <w:rsid w:val="0010456C"/>
    <w:rsid w:val="00113B57"/>
    <w:rsid w:val="001144C9"/>
    <w:rsid w:val="00115A6A"/>
    <w:rsid w:val="00121557"/>
    <w:rsid w:val="00123D8C"/>
    <w:rsid w:val="001315B0"/>
    <w:rsid w:val="00142CC9"/>
    <w:rsid w:val="00195941"/>
    <w:rsid w:val="00195CD4"/>
    <w:rsid w:val="001E28D5"/>
    <w:rsid w:val="001E2F9C"/>
    <w:rsid w:val="001F51B5"/>
    <w:rsid w:val="00201E12"/>
    <w:rsid w:val="00204068"/>
    <w:rsid w:val="0021028C"/>
    <w:rsid w:val="00210626"/>
    <w:rsid w:val="002122F9"/>
    <w:rsid w:val="00213AF8"/>
    <w:rsid w:val="002167FE"/>
    <w:rsid w:val="002246CB"/>
    <w:rsid w:val="0022487C"/>
    <w:rsid w:val="00236A4C"/>
    <w:rsid w:val="0024002A"/>
    <w:rsid w:val="00251959"/>
    <w:rsid w:val="00270B2E"/>
    <w:rsid w:val="002748B7"/>
    <w:rsid w:val="00290012"/>
    <w:rsid w:val="002A0CBD"/>
    <w:rsid w:val="002B2178"/>
    <w:rsid w:val="002C5A0B"/>
    <w:rsid w:val="0030357E"/>
    <w:rsid w:val="00320FF1"/>
    <w:rsid w:val="00341D4E"/>
    <w:rsid w:val="00353117"/>
    <w:rsid w:val="00357E27"/>
    <w:rsid w:val="00372998"/>
    <w:rsid w:val="003B45FB"/>
    <w:rsid w:val="003E38E5"/>
    <w:rsid w:val="003E3A63"/>
    <w:rsid w:val="00402A2F"/>
    <w:rsid w:val="00413704"/>
    <w:rsid w:val="004147A8"/>
    <w:rsid w:val="00416AC2"/>
    <w:rsid w:val="00421192"/>
    <w:rsid w:val="00422E66"/>
    <w:rsid w:val="00425D3B"/>
    <w:rsid w:val="00436C88"/>
    <w:rsid w:val="004503E5"/>
    <w:rsid w:val="00461CC0"/>
    <w:rsid w:val="0046224F"/>
    <w:rsid w:val="00473EE8"/>
    <w:rsid w:val="00474446"/>
    <w:rsid w:val="00474B85"/>
    <w:rsid w:val="0048436D"/>
    <w:rsid w:val="004C35A5"/>
    <w:rsid w:val="00506CC7"/>
    <w:rsid w:val="005253DC"/>
    <w:rsid w:val="00544798"/>
    <w:rsid w:val="00544ADD"/>
    <w:rsid w:val="005476B7"/>
    <w:rsid w:val="00550CDE"/>
    <w:rsid w:val="005561F7"/>
    <w:rsid w:val="00556722"/>
    <w:rsid w:val="00560BFC"/>
    <w:rsid w:val="00571B04"/>
    <w:rsid w:val="00576857"/>
    <w:rsid w:val="00584244"/>
    <w:rsid w:val="00595EF9"/>
    <w:rsid w:val="005A01D1"/>
    <w:rsid w:val="005A5FEB"/>
    <w:rsid w:val="005C6756"/>
    <w:rsid w:val="0060334A"/>
    <w:rsid w:val="00637B75"/>
    <w:rsid w:val="006449E8"/>
    <w:rsid w:val="00661074"/>
    <w:rsid w:val="00664140"/>
    <w:rsid w:val="006751F6"/>
    <w:rsid w:val="006A527F"/>
    <w:rsid w:val="006C6A5C"/>
    <w:rsid w:val="006D4802"/>
    <w:rsid w:val="006E427F"/>
    <w:rsid w:val="006F0EE7"/>
    <w:rsid w:val="00722CE9"/>
    <w:rsid w:val="007306FE"/>
    <w:rsid w:val="00736DA9"/>
    <w:rsid w:val="00751E60"/>
    <w:rsid w:val="007579CE"/>
    <w:rsid w:val="00786B14"/>
    <w:rsid w:val="007A7C83"/>
    <w:rsid w:val="007E1D8A"/>
    <w:rsid w:val="007F17C6"/>
    <w:rsid w:val="007F56A0"/>
    <w:rsid w:val="008071E3"/>
    <w:rsid w:val="00807D00"/>
    <w:rsid w:val="00823B72"/>
    <w:rsid w:val="00843475"/>
    <w:rsid w:val="00857809"/>
    <w:rsid w:val="00864DF2"/>
    <w:rsid w:val="0087480F"/>
    <w:rsid w:val="00882C15"/>
    <w:rsid w:val="008A08A0"/>
    <w:rsid w:val="008C0FDF"/>
    <w:rsid w:val="00905E34"/>
    <w:rsid w:val="00906194"/>
    <w:rsid w:val="0090713C"/>
    <w:rsid w:val="00926EB3"/>
    <w:rsid w:val="0093795F"/>
    <w:rsid w:val="00951CC1"/>
    <w:rsid w:val="00965D6E"/>
    <w:rsid w:val="00980919"/>
    <w:rsid w:val="00983AE8"/>
    <w:rsid w:val="009B1DA6"/>
    <w:rsid w:val="00A037B8"/>
    <w:rsid w:val="00A23EFF"/>
    <w:rsid w:val="00A24B26"/>
    <w:rsid w:val="00A33C67"/>
    <w:rsid w:val="00A41236"/>
    <w:rsid w:val="00A61713"/>
    <w:rsid w:val="00A65BE2"/>
    <w:rsid w:val="00A704C1"/>
    <w:rsid w:val="00AB38AF"/>
    <w:rsid w:val="00AB5ABB"/>
    <w:rsid w:val="00AE0C75"/>
    <w:rsid w:val="00AF05AF"/>
    <w:rsid w:val="00B849D6"/>
    <w:rsid w:val="00B90936"/>
    <w:rsid w:val="00BB20AF"/>
    <w:rsid w:val="00BF5FF4"/>
    <w:rsid w:val="00C152A8"/>
    <w:rsid w:val="00C2195E"/>
    <w:rsid w:val="00C2531F"/>
    <w:rsid w:val="00C360A7"/>
    <w:rsid w:val="00C4272A"/>
    <w:rsid w:val="00C63AA7"/>
    <w:rsid w:val="00C65F72"/>
    <w:rsid w:val="00C75DB8"/>
    <w:rsid w:val="00C81CDC"/>
    <w:rsid w:val="00C82C60"/>
    <w:rsid w:val="00C8794F"/>
    <w:rsid w:val="00C91F90"/>
    <w:rsid w:val="00C9754C"/>
    <w:rsid w:val="00CA3B89"/>
    <w:rsid w:val="00CC70B7"/>
    <w:rsid w:val="00CD2C4C"/>
    <w:rsid w:val="00CE6208"/>
    <w:rsid w:val="00CF1BB1"/>
    <w:rsid w:val="00D0571C"/>
    <w:rsid w:val="00D26A8E"/>
    <w:rsid w:val="00D33671"/>
    <w:rsid w:val="00D43F4B"/>
    <w:rsid w:val="00D47A09"/>
    <w:rsid w:val="00D71D29"/>
    <w:rsid w:val="00DA29BD"/>
    <w:rsid w:val="00DA2D21"/>
    <w:rsid w:val="00DC77AC"/>
    <w:rsid w:val="00DD210D"/>
    <w:rsid w:val="00E10258"/>
    <w:rsid w:val="00E13FB3"/>
    <w:rsid w:val="00E25FEE"/>
    <w:rsid w:val="00E50F24"/>
    <w:rsid w:val="00E56B2F"/>
    <w:rsid w:val="00E81625"/>
    <w:rsid w:val="00EA168E"/>
    <w:rsid w:val="00ED3390"/>
    <w:rsid w:val="00ED5B1E"/>
    <w:rsid w:val="00EE100D"/>
    <w:rsid w:val="00EE21C4"/>
    <w:rsid w:val="00F0225E"/>
    <w:rsid w:val="00F13872"/>
    <w:rsid w:val="00F15E75"/>
    <w:rsid w:val="00F1687C"/>
    <w:rsid w:val="00F4276E"/>
    <w:rsid w:val="00F678C8"/>
    <w:rsid w:val="00F73294"/>
    <w:rsid w:val="00F75FA5"/>
    <w:rsid w:val="00F813C0"/>
    <w:rsid w:val="00F854EC"/>
    <w:rsid w:val="00F97C7C"/>
    <w:rsid w:val="00FA4A1D"/>
    <w:rsid w:val="00FB4D78"/>
    <w:rsid w:val="00FC41EB"/>
    <w:rsid w:val="00FF332B"/>
    <w:rsid w:val="00FF4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2AA4F"/>
  <w15:chartTrackingRefBased/>
  <w15:docId w15:val="{3A25D89D-7F89-5146-88D1-55E9C7AE3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27F"/>
    <w:rPr>
      <w:sz w:val="28"/>
    </w:rPr>
  </w:style>
  <w:style w:type="paragraph" w:styleId="Heading1">
    <w:name w:val="heading 1"/>
    <w:basedOn w:val="Normal"/>
    <w:next w:val="Normal"/>
    <w:link w:val="Heading1Char"/>
    <w:uiPriority w:val="9"/>
    <w:qFormat/>
    <w:rsid w:val="00DC77AC"/>
    <w:pPr>
      <w:keepNext/>
      <w:keepLines/>
      <w:spacing w:before="240"/>
      <w:outlineLvl w:val="0"/>
    </w:pPr>
    <w:rPr>
      <w:rFonts w:asciiTheme="majorHAnsi" w:eastAsiaTheme="majorEastAsia" w:hAnsiTheme="majorHAnsi" w:cstheme="majorBidi"/>
      <w:color w:val="2F5496" w:themeColor="accent1" w:themeShade="BF"/>
      <w:sz w:val="52"/>
      <w:szCs w:val="32"/>
    </w:rPr>
  </w:style>
  <w:style w:type="paragraph" w:styleId="Heading2">
    <w:name w:val="heading 2"/>
    <w:basedOn w:val="Normal"/>
    <w:next w:val="Normal"/>
    <w:link w:val="Heading2Char"/>
    <w:uiPriority w:val="9"/>
    <w:unhideWhenUsed/>
    <w:qFormat/>
    <w:rsid w:val="00DC77AC"/>
    <w:pPr>
      <w:keepNext/>
      <w:keepLines/>
      <w:spacing w:before="40"/>
      <w:outlineLvl w:val="1"/>
    </w:pPr>
    <w:rPr>
      <w:rFonts w:asciiTheme="majorHAnsi" w:eastAsiaTheme="majorEastAsia" w:hAnsiTheme="majorHAnsi" w:cstheme="majorBidi"/>
      <w:b/>
      <w:color w:val="2F5496" w:themeColor="accent1" w:themeShade="BF"/>
      <w:sz w:val="40"/>
      <w:szCs w:val="26"/>
    </w:rPr>
  </w:style>
  <w:style w:type="paragraph" w:styleId="Heading3">
    <w:name w:val="heading 3"/>
    <w:basedOn w:val="Normal"/>
    <w:next w:val="Normal"/>
    <w:link w:val="Heading3Char"/>
    <w:uiPriority w:val="9"/>
    <w:unhideWhenUsed/>
    <w:qFormat/>
    <w:rsid w:val="00DC77AC"/>
    <w:pPr>
      <w:keepNext/>
      <w:keepLines/>
      <w:spacing w:before="40"/>
      <w:outlineLvl w:val="2"/>
    </w:pPr>
    <w:rPr>
      <w:rFonts w:asciiTheme="majorHAnsi" w:eastAsiaTheme="majorEastAsia" w:hAnsiTheme="majorHAnsi" w:cstheme="majorBidi"/>
      <w:color w:val="2F5496" w:themeColor="accent1" w:themeShade="BF"/>
      <w:sz w:val="36"/>
    </w:rPr>
  </w:style>
  <w:style w:type="paragraph" w:styleId="Heading4">
    <w:name w:val="heading 4"/>
    <w:basedOn w:val="Normal"/>
    <w:next w:val="Normal"/>
    <w:link w:val="Heading4Char"/>
    <w:uiPriority w:val="9"/>
    <w:unhideWhenUsed/>
    <w:qFormat/>
    <w:rsid w:val="00461CC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82C15"/>
    <w:pPr>
      <w:keepNext/>
      <w:keepLines/>
      <w:spacing w:before="40"/>
      <w:outlineLvl w:val="4"/>
    </w:pPr>
    <w:rPr>
      <w:rFonts w:eastAsiaTheme="majorEastAsia" w:cstheme="majorBidi"/>
      <w:b/>
      <w:color w:val="2F5496" w:themeColor="accent1" w:themeShade="BF"/>
    </w:rPr>
  </w:style>
  <w:style w:type="paragraph" w:styleId="Heading6">
    <w:name w:val="heading 6"/>
    <w:basedOn w:val="Normal"/>
    <w:next w:val="Normal"/>
    <w:link w:val="Heading6Char"/>
    <w:uiPriority w:val="9"/>
    <w:unhideWhenUsed/>
    <w:qFormat/>
    <w:rsid w:val="00980919"/>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7AC"/>
    <w:rPr>
      <w:rFonts w:asciiTheme="majorHAnsi" w:eastAsiaTheme="majorEastAsia" w:hAnsiTheme="majorHAnsi" w:cstheme="majorBidi"/>
      <w:color w:val="2F5496" w:themeColor="accent1" w:themeShade="BF"/>
      <w:sz w:val="52"/>
      <w:szCs w:val="32"/>
    </w:rPr>
  </w:style>
  <w:style w:type="paragraph" w:styleId="TOCHeading">
    <w:name w:val="TOC Heading"/>
    <w:basedOn w:val="Heading1"/>
    <w:next w:val="Normal"/>
    <w:uiPriority w:val="39"/>
    <w:unhideWhenUsed/>
    <w:qFormat/>
    <w:rsid w:val="00016FCA"/>
    <w:pPr>
      <w:spacing w:before="480" w:line="276" w:lineRule="auto"/>
      <w:outlineLvl w:val="9"/>
    </w:pPr>
    <w:rPr>
      <w:b/>
      <w:bCs/>
      <w:kern w:val="0"/>
      <w:sz w:val="28"/>
      <w:szCs w:val="28"/>
      <w14:ligatures w14:val="none"/>
    </w:rPr>
  </w:style>
  <w:style w:type="paragraph" w:styleId="TOC1">
    <w:name w:val="toc 1"/>
    <w:basedOn w:val="Normal"/>
    <w:next w:val="Normal"/>
    <w:autoRedefine/>
    <w:uiPriority w:val="39"/>
    <w:unhideWhenUsed/>
    <w:rsid w:val="00016FCA"/>
    <w:pPr>
      <w:spacing w:before="360"/>
    </w:pPr>
    <w:rPr>
      <w:rFonts w:asciiTheme="majorHAnsi" w:hAnsiTheme="majorHAnsi" w:cstheme="majorHAnsi"/>
      <w:b/>
      <w:bCs/>
      <w:caps/>
      <w:sz w:val="24"/>
    </w:rPr>
  </w:style>
  <w:style w:type="paragraph" w:styleId="TOC2">
    <w:name w:val="toc 2"/>
    <w:basedOn w:val="Normal"/>
    <w:next w:val="Normal"/>
    <w:autoRedefine/>
    <w:uiPriority w:val="39"/>
    <w:unhideWhenUsed/>
    <w:rsid w:val="00016FCA"/>
    <w:pPr>
      <w:spacing w:before="240"/>
    </w:pPr>
    <w:rPr>
      <w:rFonts w:cstheme="minorHAnsi"/>
      <w:b/>
      <w:bCs/>
      <w:sz w:val="20"/>
      <w:szCs w:val="20"/>
    </w:rPr>
  </w:style>
  <w:style w:type="paragraph" w:styleId="TOC3">
    <w:name w:val="toc 3"/>
    <w:basedOn w:val="Normal"/>
    <w:next w:val="Normal"/>
    <w:autoRedefine/>
    <w:uiPriority w:val="39"/>
    <w:unhideWhenUsed/>
    <w:rsid w:val="00016FCA"/>
    <w:pPr>
      <w:ind w:left="280"/>
    </w:pPr>
    <w:rPr>
      <w:rFonts w:cstheme="minorHAnsi"/>
      <w:sz w:val="20"/>
      <w:szCs w:val="20"/>
    </w:rPr>
  </w:style>
  <w:style w:type="paragraph" w:styleId="TOC4">
    <w:name w:val="toc 4"/>
    <w:basedOn w:val="Normal"/>
    <w:next w:val="Normal"/>
    <w:autoRedefine/>
    <w:uiPriority w:val="39"/>
    <w:unhideWhenUsed/>
    <w:rsid w:val="00016FCA"/>
    <w:pPr>
      <w:ind w:left="560"/>
    </w:pPr>
    <w:rPr>
      <w:rFonts w:cstheme="minorHAnsi"/>
      <w:sz w:val="20"/>
      <w:szCs w:val="20"/>
    </w:rPr>
  </w:style>
  <w:style w:type="paragraph" w:styleId="TOC5">
    <w:name w:val="toc 5"/>
    <w:basedOn w:val="Normal"/>
    <w:next w:val="Normal"/>
    <w:autoRedefine/>
    <w:uiPriority w:val="39"/>
    <w:unhideWhenUsed/>
    <w:rsid w:val="00016FCA"/>
    <w:pPr>
      <w:ind w:left="840"/>
    </w:pPr>
    <w:rPr>
      <w:rFonts w:cstheme="minorHAnsi"/>
      <w:sz w:val="20"/>
      <w:szCs w:val="20"/>
    </w:rPr>
  </w:style>
  <w:style w:type="paragraph" w:styleId="TOC6">
    <w:name w:val="toc 6"/>
    <w:basedOn w:val="Normal"/>
    <w:next w:val="Normal"/>
    <w:autoRedefine/>
    <w:uiPriority w:val="39"/>
    <w:unhideWhenUsed/>
    <w:rsid w:val="00016FCA"/>
    <w:pPr>
      <w:ind w:left="1120"/>
    </w:pPr>
    <w:rPr>
      <w:rFonts w:cstheme="minorHAnsi"/>
      <w:sz w:val="20"/>
      <w:szCs w:val="20"/>
    </w:rPr>
  </w:style>
  <w:style w:type="paragraph" w:styleId="TOC7">
    <w:name w:val="toc 7"/>
    <w:basedOn w:val="Normal"/>
    <w:next w:val="Normal"/>
    <w:autoRedefine/>
    <w:uiPriority w:val="39"/>
    <w:unhideWhenUsed/>
    <w:rsid w:val="00016FCA"/>
    <w:pPr>
      <w:ind w:left="1400"/>
    </w:pPr>
    <w:rPr>
      <w:rFonts w:cstheme="minorHAnsi"/>
      <w:sz w:val="20"/>
      <w:szCs w:val="20"/>
    </w:rPr>
  </w:style>
  <w:style w:type="paragraph" w:styleId="TOC8">
    <w:name w:val="toc 8"/>
    <w:basedOn w:val="Normal"/>
    <w:next w:val="Normal"/>
    <w:autoRedefine/>
    <w:uiPriority w:val="39"/>
    <w:unhideWhenUsed/>
    <w:rsid w:val="00016FCA"/>
    <w:pPr>
      <w:ind w:left="1680"/>
    </w:pPr>
    <w:rPr>
      <w:rFonts w:cstheme="minorHAnsi"/>
      <w:sz w:val="20"/>
      <w:szCs w:val="20"/>
    </w:rPr>
  </w:style>
  <w:style w:type="paragraph" w:styleId="TOC9">
    <w:name w:val="toc 9"/>
    <w:basedOn w:val="Normal"/>
    <w:next w:val="Normal"/>
    <w:autoRedefine/>
    <w:uiPriority w:val="39"/>
    <w:unhideWhenUsed/>
    <w:rsid w:val="00016FCA"/>
    <w:pPr>
      <w:ind w:left="1960"/>
    </w:pPr>
    <w:rPr>
      <w:rFonts w:cstheme="minorHAnsi"/>
      <w:sz w:val="20"/>
      <w:szCs w:val="20"/>
    </w:rPr>
  </w:style>
  <w:style w:type="character" w:customStyle="1" w:styleId="Heading2Char">
    <w:name w:val="Heading 2 Char"/>
    <w:basedOn w:val="DefaultParagraphFont"/>
    <w:link w:val="Heading2"/>
    <w:uiPriority w:val="9"/>
    <w:rsid w:val="00DC77AC"/>
    <w:rPr>
      <w:rFonts w:asciiTheme="majorHAnsi" w:eastAsiaTheme="majorEastAsia" w:hAnsiTheme="majorHAnsi" w:cstheme="majorBidi"/>
      <w:b/>
      <w:color w:val="2F5496" w:themeColor="accent1" w:themeShade="BF"/>
      <w:sz w:val="40"/>
      <w:szCs w:val="26"/>
    </w:rPr>
  </w:style>
  <w:style w:type="character" w:customStyle="1" w:styleId="Heading3Char">
    <w:name w:val="Heading 3 Char"/>
    <w:basedOn w:val="DefaultParagraphFont"/>
    <w:link w:val="Heading3"/>
    <w:uiPriority w:val="9"/>
    <w:rsid w:val="00DC77AC"/>
    <w:rPr>
      <w:rFonts w:asciiTheme="majorHAnsi" w:eastAsiaTheme="majorEastAsia" w:hAnsiTheme="majorHAnsi" w:cstheme="majorBidi"/>
      <w:color w:val="2F5496" w:themeColor="accent1" w:themeShade="BF"/>
      <w:sz w:val="36"/>
    </w:rPr>
  </w:style>
  <w:style w:type="character" w:styleId="Hyperlink">
    <w:name w:val="Hyperlink"/>
    <w:basedOn w:val="DefaultParagraphFont"/>
    <w:uiPriority w:val="99"/>
    <w:unhideWhenUsed/>
    <w:rsid w:val="00016FCA"/>
    <w:rPr>
      <w:color w:val="0563C1" w:themeColor="hyperlink"/>
      <w:u w:val="single"/>
    </w:rPr>
  </w:style>
  <w:style w:type="character" w:styleId="UnresolvedMention">
    <w:name w:val="Unresolved Mention"/>
    <w:basedOn w:val="DefaultParagraphFont"/>
    <w:uiPriority w:val="99"/>
    <w:semiHidden/>
    <w:unhideWhenUsed/>
    <w:rsid w:val="00CC70B7"/>
    <w:rPr>
      <w:color w:val="605E5C"/>
      <w:shd w:val="clear" w:color="auto" w:fill="E1DFDD"/>
    </w:rPr>
  </w:style>
  <w:style w:type="paragraph" w:styleId="ListParagraph">
    <w:name w:val="List Paragraph"/>
    <w:basedOn w:val="Normal"/>
    <w:uiPriority w:val="34"/>
    <w:qFormat/>
    <w:rsid w:val="00195941"/>
    <w:pPr>
      <w:ind w:left="720"/>
      <w:contextualSpacing/>
    </w:pPr>
  </w:style>
  <w:style w:type="character" w:styleId="FollowedHyperlink">
    <w:name w:val="FollowedHyperlink"/>
    <w:basedOn w:val="DefaultParagraphFont"/>
    <w:uiPriority w:val="99"/>
    <w:semiHidden/>
    <w:unhideWhenUsed/>
    <w:rsid w:val="00195941"/>
    <w:rPr>
      <w:color w:val="954F72" w:themeColor="followedHyperlink"/>
      <w:u w:val="single"/>
    </w:rPr>
  </w:style>
  <w:style w:type="table" w:styleId="TableGrid">
    <w:name w:val="Table Grid"/>
    <w:basedOn w:val="TableNormal"/>
    <w:uiPriority w:val="39"/>
    <w:rsid w:val="00461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61CC0"/>
    <w:rPr>
      <w:rFonts w:asciiTheme="majorHAnsi" w:eastAsiaTheme="majorEastAsia" w:hAnsiTheme="majorHAnsi" w:cstheme="majorBidi"/>
      <w:i/>
      <w:iCs/>
      <w:color w:val="2F5496" w:themeColor="accent1" w:themeShade="BF"/>
      <w:sz w:val="28"/>
    </w:rPr>
  </w:style>
  <w:style w:type="character" w:customStyle="1" w:styleId="Heading5Char">
    <w:name w:val="Heading 5 Char"/>
    <w:basedOn w:val="DefaultParagraphFont"/>
    <w:link w:val="Heading5"/>
    <w:uiPriority w:val="9"/>
    <w:rsid w:val="00882C15"/>
    <w:rPr>
      <w:rFonts w:eastAsiaTheme="majorEastAsia" w:cstheme="majorBidi"/>
      <w:b/>
      <w:color w:val="2F5496" w:themeColor="accent1" w:themeShade="BF"/>
      <w:sz w:val="28"/>
    </w:rPr>
  </w:style>
  <w:style w:type="character" w:styleId="CommentReference">
    <w:name w:val="annotation reference"/>
    <w:basedOn w:val="DefaultParagraphFont"/>
    <w:uiPriority w:val="99"/>
    <w:semiHidden/>
    <w:unhideWhenUsed/>
    <w:rsid w:val="00DC77AC"/>
    <w:rPr>
      <w:sz w:val="16"/>
      <w:szCs w:val="16"/>
    </w:rPr>
  </w:style>
  <w:style w:type="paragraph" w:styleId="CommentText">
    <w:name w:val="annotation text"/>
    <w:basedOn w:val="Normal"/>
    <w:link w:val="CommentTextChar"/>
    <w:uiPriority w:val="99"/>
    <w:semiHidden/>
    <w:unhideWhenUsed/>
    <w:rsid w:val="00DC77AC"/>
    <w:rPr>
      <w:sz w:val="20"/>
      <w:szCs w:val="20"/>
    </w:rPr>
  </w:style>
  <w:style w:type="character" w:customStyle="1" w:styleId="CommentTextChar">
    <w:name w:val="Comment Text Char"/>
    <w:basedOn w:val="DefaultParagraphFont"/>
    <w:link w:val="CommentText"/>
    <w:uiPriority w:val="99"/>
    <w:semiHidden/>
    <w:rsid w:val="00DC77AC"/>
    <w:rPr>
      <w:sz w:val="20"/>
      <w:szCs w:val="20"/>
    </w:rPr>
  </w:style>
  <w:style w:type="paragraph" w:styleId="CommentSubject">
    <w:name w:val="annotation subject"/>
    <w:basedOn w:val="CommentText"/>
    <w:next w:val="CommentText"/>
    <w:link w:val="CommentSubjectChar"/>
    <w:uiPriority w:val="99"/>
    <w:semiHidden/>
    <w:unhideWhenUsed/>
    <w:rsid w:val="00DC77AC"/>
    <w:rPr>
      <w:b/>
      <w:bCs/>
    </w:rPr>
  </w:style>
  <w:style w:type="character" w:customStyle="1" w:styleId="CommentSubjectChar">
    <w:name w:val="Comment Subject Char"/>
    <w:basedOn w:val="CommentTextChar"/>
    <w:link w:val="CommentSubject"/>
    <w:uiPriority w:val="99"/>
    <w:semiHidden/>
    <w:rsid w:val="00DC77AC"/>
    <w:rPr>
      <w:b/>
      <w:bCs/>
      <w:sz w:val="20"/>
      <w:szCs w:val="20"/>
    </w:rPr>
  </w:style>
  <w:style w:type="numbering" w:customStyle="1" w:styleId="CurrentList1">
    <w:name w:val="Current List1"/>
    <w:uiPriority w:val="99"/>
    <w:rsid w:val="00DC77AC"/>
    <w:pPr>
      <w:numPr>
        <w:numId w:val="3"/>
      </w:numPr>
    </w:pPr>
  </w:style>
  <w:style w:type="paragraph" w:customStyle="1" w:styleId="P1">
    <w:name w:val="P1"/>
    <w:basedOn w:val="Normal"/>
    <w:uiPriority w:val="99"/>
    <w:rsid w:val="00DC77AC"/>
    <w:pPr>
      <w:suppressAutoHyphens/>
      <w:autoSpaceDE w:val="0"/>
      <w:autoSpaceDN w:val="0"/>
      <w:adjustRightInd w:val="0"/>
      <w:spacing w:after="101" w:line="280" w:lineRule="atLeast"/>
      <w:textAlignment w:val="center"/>
    </w:pPr>
    <w:rPr>
      <w:rFonts w:ascii="Muli-Regular" w:hAnsi="Muli-Regular" w:cs="Muli-Regular"/>
      <w:color w:val="000000"/>
      <w:kern w:val="0"/>
      <w:sz w:val="20"/>
      <w:szCs w:val="20"/>
    </w:rPr>
  </w:style>
  <w:style w:type="paragraph" w:customStyle="1" w:styleId="H3">
    <w:name w:val="H3"/>
    <w:basedOn w:val="Normal"/>
    <w:uiPriority w:val="99"/>
    <w:rsid w:val="00E25FEE"/>
    <w:pPr>
      <w:autoSpaceDE w:val="0"/>
      <w:autoSpaceDN w:val="0"/>
      <w:adjustRightInd w:val="0"/>
      <w:spacing w:line="320" w:lineRule="atLeast"/>
      <w:textAlignment w:val="center"/>
    </w:pPr>
    <w:rPr>
      <w:rFonts w:ascii="DicoSlab-ExtraBold" w:hAnsi="DicoSlab-ExtraBold" w:cs="DicoSlab-ExtraBold"/>
      <w:b/>
      <w:bCs/>
      <w:color w:val="000000"/>
      <w:kern w:val="0"/>
      <w:sz w:val="24"/>
    </w:rPr>
  </w:style>
  <w:style w:type="paragraph" w:customStyle="1" w:styleId="H2">
    <w:name w:val="H2"/>
    <w:basedOn w:val="Normal"/>
    <w:uiPriority w:val="99"/>
    <w:rsid w:val="00F73294"/>
    <w:pPr>
      <w:autoSpaceDE w:val="0"/>
      <w:autoSpaceDN w:val="0"/>
      <w:adjustRightInd w:val="0"/>
      <w:spacing w:line="360" w:lineRule="atLeast"/>
      <w:textAlignment w:val="center"/>
    </w:pPr>
    <w:rPr>
      <w:rFonts w:ascii="DicoSlab-ExtraBold" w:hAnsi="DicoSlab-ExtraBold" w:cs="DicoSlab-ExtraBold"/>
      <w:b/>
      <w:bCs/>
      <w:color w:val="000000"/>
      <w:kern w:val="0"/>
      <w:szCs w:val="28"/>
    </w:rPr>
  </w:style>
  <w:style w:type="paragraph" w:customStyle="1" w:styleId="KeyTakeAwayCopy">
    <w:name w:val="Key Take Away Copy"/>
    <w:basedOn w:val="H2"/>
    <w:uiPriority w:val="99"/>
    <w:rsid w:val="00CF1BB1"/>
    <w:pPr>
      <w:suppressAutoHyphens/>
    </w:pPr>
    <w:rPr>
      <w:rFonts w:ascii="Muli-Bold" w:hAnsi="Muli-Bold" w:cs="Muli-Bold"/>
      <w:color w:val="34A6B7"/>
      <w:sz w:val="24"/>
      <w:szCs w:val="24"/>
    </w:rPr>
  </w:style>
  <w:style w:type="paragraph" w:customStyle="1" w:styleId="FigureTitle">
    <w:name w:val="Figure Title"/>
    <w:basedOn w:val="Normal"/>
    <w:uiPriority w:val="99"/>
    <w:rsid w:val="00EE21C4"/>
    <w:pPr>
      <w:suppressAutoHyphens/>
      <w:autoSpaceDE w:val="0"/>
      <w:autoSpaceDN w:val="0"/>
      <w:adjustRightInd w:val="0"/>
      <w:spacing w:after="90" w:line="320" w:lineRule="atLeast"/>
      <w:textAlignment w:val="center"/>
    </w:pPr>
    <w:rPr>
      <w:rFonts w:ascii="Muli-Regular" w:hAnsi="Muli-Regular" w:cs="Muli-Regular"/>
      <w:color w:val="000000"/>
      <w:kern w:val="0"/>
      <w:sz w:val="26"/>
      <w:szCs w:val="26"/>
    </w:rPr>
  </w:style>
  <w:style w:type="character" w:customStyle="1" w:styleId="BoldP">
    <w:name w:val="Bold P"/>
    <w:basedOn w:val="DefaultParagraphFont"/>
    <w:uiPriority w:val="99"/>
    <w:rsid w:val="00864DF2"/>
    <w:rPr>
      <w:rFonts w:ascii="Muli-Bold" w:hAnsi="Muli-Bold" w:cs="Muli-Bold"/>
      <w:b/>
      <w:bCs/>
      <w:spacing w:val="0"/>
      <w:sz w:val="20"/>
      <w:szCs w:val="20"/>
      <w:u w:val="none"/>
      <w:vertAlign w:val="baseline"/>
    </w:rPr>
  </w:style>
  <w:style w:type="paragraph" w:customStyle="1" w:styleId="TableBody1">
    <w:name w:val="Table Body 1"/>
    <w:basedOn w:val="Normal"/>
    <w:uiPriority w:val="99"/>
    <w:rsid w:val="002A0CBD"/>
    <w:pPr>
      <w:suppressAutoHyphens/>
      <w:autoSpaceDE w:val="0"/>
      <w:autoSpaceDN w:val="0"/>
      <w:adjustRightInd w:val="0"/>
      <w:spacing w:after="101" w:line="240" w:lineRule="atLeast"/>
      <w:textAlignment w:val="center"/>
    </w:pPr>
    <w:rPr>
      <w:rFonts w:ascii="Muli-Regular" w:hAnsi="Muli-Regular" w:cs="Muli-Regular"/>
      <w:color w:val="000000"/>
      <w:kern w:val="0"/>
      <w:sz w:val="20"/>
      <w:szCs w:val="20"/>
    </w:rPr>
  </w:style>
  <w:style w:type="character" w:customStyle="1" w:styleId="FigureTitleItalic">
    <w:name w:val="Figure Title Italic"/>
    <w:uiPriority w:val="99"/>
    <w:rsid w:val="001E2F9C"/>
    <w:rPr>
      <w:rFonts w:ascii="Muli-SemiBoldItalic" w:hAnsi="Muli-SemiBoldItalic" w:cs="Muli-SemiBoldItalic"/>
      <w:b/>
      <w:bCs/>
      <w:i/>
      <w:iCs/>
      <w:spacing w:val="0"/>
      <w:sz w:val="22"/>
      <w:szCs w:val="22"/>
      <w:u w:val="none"/>
      <w:vertAlign w:val="baseline"/>
    </w:rPr>
  </w:style>
  <w:style w:type="character" w:customStyle="1" w:styleId="Heading6Char">
    <w:name w:val="Heading 6 Char"/>
    <w:basedOn w:val="DefaultParagraphFont"/>
    <w:link w:val="Heading6"/>
    <w:uiPriority w:val="9"/>
    <w:rsid w:val="00980919"/>
    <w:rPr>
      <w:rFonts w:asciiTheme="majorHAnsi" w:eastAsiaTheme="majorEastAsia" w:hAnsiTheme="majorHAnsi" w:cstheme="majorBidi"/>
      <w:color w:val="1F3763" w:themeColor="accent1" w:themeShade="7F"/>
      <w:sz w:val="28"/>
    </w:rPr>
  </w:style>
  <w:style w:type="paragraph" w:customStyle="1" w:styleId="Source">
    <w:name w:val="Source"/>
    <w:basedOn w:val="Normal"/>
    <w:uiPriority w:val="99"/>
    <w:rsid w:val="00980919"/>
    <w:pPr>
      <w:suppressAutoHyphens/>
      <w:autoSpaceDE w:val="0"/>
      <w:autoSpaceDN w:val="0"/>
      <w:adjustRightInd w:val="0"/>
      <w:spacing w:after="101" w:line="200" w:lineRule="atLeast"/>
      <w:textAlignment w:val="center"/>
    </w:pPr>
    <w:rPr>
      <w:rFonts w:ascii="Muli-Regular" w:hAnsi="Muli-Regular" w:cs="Muli-Regular"/>
      <w:color w:val="000000"/>
      <w:kern w:val="0"/>
      <w:sz w:val="16"/>
      <w:szCs w:val="16"/>
    </w:rPr>
  </w:style>
  <w:style w:type="paragraph" w:customStyle="1" w:styleId="Pa18">
    <w:name w:val="Pa18"/>
    <w:basedOn w:val="Normal"/>
    <w:next w:val="Normal"/>
    <w:uiPriority w:val="99"/>
    <w:rsid w:val="00980919"/>
    <w:pPr>
      <w:autoSpaceDE w:val="0"/>
      <w:autoSpaceDN w:val="0"/>
      <w:adjustRightInd w:val="0"/>
      <w:spacing w:line="161" w:lineRule="atLeast"/>
    </w:pPr>
    <w:rPr>
      <w:rFonts w:ascii="Muli" w:hAnsi="Muli"/>
      <w:kern w:val="0"/>
      <w:sz w:val="24"/>
    </w:rPr>
  </w:style>
  <w:style w:type="paragraph" w:customStyle="1" w:styleId="Pa7">
    <w:name w:val="Pa7"/>
    <w:basedOn w:val="Normal"/>
    <w:next w:val="Normal"/>
    <w:uiPriority w:val="99"/>
    <w:rsid w:val="00980919"/>
    <w:pPr>
      <w:autoSpaceDE w:val="0"/>
      <w:autoSpaceDN w:val="0"/>
      <w:adjustRightInd w:val="0"/>
      <w:spacing w:line="261" w:lineRule="atLeast"/>
    </w:pPr>
    <w:rPr>
      <w:rFonts w:ascii="Muli" w:hAnsi="Muli"/>
      <w:kern w:val="0"/>
      <w:sz w:val="24"/>
    </w:rPr>
  </w:style>
  <w:style w:type="paragraph" w:customStyle="1" w:styleId="Default">
    <w:name w:val="Default"/>
    <w:rsid w:val="00980919"/>
    <w:pPr>
      <w:autoSpaceDE w:val="0"/>
      <w:autoSpaceDN w:val="0"/>
      <w:adjustRightInd w:val="0"/>
    </w:pPr>
    <w:rPr>
      <w:rFonts w:ascii="FHIXHX+Muli-SemiBold" w:hAnsi="FHIXHX+Muli-SemiBold" w:cs="FHIXHX+Muli-SemiBold"/>
      <w:color w:val="000000"/>
      <w:kern w:val="0"/>
    </w:rPr>
  </w:style>
  <w:style w:type="paragraph" w:styleId="NoSpacing">
    <w:name w:val="No Spacing"/>
    <w:uiPriority w:val="1"/>
    <w:qFormat/>
    <w:rsid w:val="00980919"/>
    <w:rPr>
      <w:sz w:val="28"/>
    </w:rPr>
  </w:style>
  <w:style w:type="paragraph" w:styleId="NormalWeb">
    <w:name w:val="Normal (Web)"/>
    <w:basedOn w:val="Normal"/>
    <w:uiPriority w:val="99"/>
    <w:semiHidden/>
    <w:unhideWhenUsed/>
    <w:rsid w:val="00980919"/>
    <w:pPr>
      <w:spacing w:before="100" w:beforeAutospacing="1" w:after="100" w:afterAutospacing="1"/>
    </w:pPr>
    <w:rPr>
      <w:rFonts w:ascii="Times New Roman" w:eastAsia="Times New Roman" w:hAnsi="Times New Roman" w:cs="Times New Roman"/>
      <w:kern w:val="0"/>
      <w:sz w:val="24"/>
      <w14:ligatures w14:val="none"/>
    </w:rPr>
  </w:style>
  <w:style w:type="character" w:customStyle="1" w:styleId="A10">
    <w:name w:val="A10"/>
    <w:uiPriority w:val="99"/>
    <w:rsid w:val="00980919"/>
    <w:rPr>
      <w:rFonts w:ascii="Muli SemiBold" w:hAnsi="Muli SemiBold" w:cs="Muli SemiBold"/>
      <w:b/>
      <w:bCs/>
      <w:i/>
      <w:iCs/>
      <w:color w:val="000000"/>
      <w:sz w:val="22"/>
      <w:szCs w:val="22"/>
    </w:rPr>
  </w:style>
  <w:style w:type="paragraph" w:styleId="Header">
    <w:name w:val="header"/>
    <w:basedOn w:val="Normal"/>
    <w:link w:val="HeaderChar"/>
    <w:uiPriority w:val="99"/>
    <w:unhideWhenUsed/>
    <w:rsid w:val="00980919"/>
    <w:pPr>
      <w:tabs>
        <w:tab w:val="center" w:pos="4680"/>
        <w:tab w:val="right" w:pos="9360"/>
      </w:tabs>
    </w:pPr>
  </w:style>
  <w:style w:type="character" w:customStyle="1" w:styleId="HeaderChar">
    <w:name w:val="Header Char"/>
    <w:basedOn w:val="DefaultParagraphFont"/>
    <w:link w:val="Header"/>
    <w:uiPriority w:val="99"/>
    <w:rsid w:val="00980919"/>
    <w:rPr>
      <w:sz w:val="28"/>
    </w:rPr>
  </w:style>
  <w:style w:type="paragraph" w:styleId="Footer">
    <w:name w:val="footer"/>
    <w:basedOn w:val="Normal"/>
    <w:link w:val="FooterChar"/>
    <w:uiPriority w:val="99"/>
    <w:unhideWhenUsed/>
    <w:rsid w:val="00980919"/>
    <w:pPr>
      <w:tabs>
        <w:tab w:val="center" w:pos="4680"/>
        <w:tab w:val="right" w:pos="9360"/>
      </w:tabs>
    </w:pPr>
  </w:style>
  <w:style w:type="character" w:customStyle="1" w:styleId="FooterChar">
    <w:name w:val="Footer Char"/>
    <w:basedOn w:val="DefaultParagraphFont"/>
    <w:link w:val="Footer"/>
    <w:uiPriority w:val="99"/>
    <w:rsid w:val="00980919"/>
    <w:rPr>
      <w:sz w:val="28"/>
    </w:rPr>
  </w:style>
  <w:style w:type="numbering" w:customStyle="1" w:styleId="CurrentList2">
    <w:name w:val="Current List2"/>
    <w:uiPriority w:val="99"/>
    <w:rsid w:val="00544798"/>
    <w:pPr>
      <w:numPr>
        <w:numId w:val="172"/>
      </w:numPr>
    </w:pPr>
  </w:style>
  <w:style w:type="paragraph" w:customStyle="1" w:styleId="P1References">
    <w:name w:val="P1 References"/>
    <w:basedOn w:val="P1"/>
    <w:uiPriority w:val="99"/>
    <w:rsid w:val="008071E3"/>
    <w:pPr>
      <w:keepLines/>
      <w:ind w:left="480" w:hanging="480"/>
    </w:pPr>
  </w:style>
  <w:style w:type="table" w:styleId="TableGridLight">
    <w:name w:val="Grid Table Light"/>
    <w:basedOn w:val="TableNormal"/>
    <w:uiPriority w:val="40"/>
    <w:rsid w:val="0037299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F15E7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629234">
      <w:bodyDiv w:val="1"/>
      <w:marLeft w:val="0"/>
      <w:marRight w:val="0"/>
      <w:marTop w:val="0"/>
      <w:marBottom w:val="0"/>
      <w:divBdr>
        <w:top w:val="none" w:sz="0" w:space="0" w:color="auto"/>
        <w:left w:val="none" w:sz="0" w:space="0" w:color="auto"/>
        <w:bottom w:val="none" w:sz="0" w:space="0" w:color="auto"/>
        <w:right w:val="none" w:sz="0" w:space="0" w:color="auto"/>
      </w:divBdr>
    </w:div>
    <w:div w:id="910192269">
      <w:bodyDiv w:val="1"/>
      <w:marLeft w:val="0"/>
      <w:marRight w:val="0"/>
      <w:marTop w:val="0"/>
      <w:marBottom w:val="0"/>
      <w:divBdr>
        <w:top w:val="none" w:sz="0" w:space="0" w:color="auto"/>
        <w:left w:val="none" w:sz="0" w:space="0" w:color="auto"/>
        <w:bottom w:val="none" w:sz="0" w:space="0" w:color="auto"/>
        <w:right w:val="none" w:sz="0" w:space="0" w:color="auto"/>
      </w:divBdr>
    </w:div>
    <w:div w:id="1071582771">
      <w:bodyDiv w:val="1"/>
      <w:marLeft w:val="0"/>
      <w:marRight w:val="0"/>
      <w:marTop w:val="0"/>
      <w:marBottom w:val="0"/>
      <w:divBdr>
        <w:top w:val="none" w:sz="0" w:space="0" w:color="auto"/>
        <w:left w:val="none" w:sz="0" w:space="0" w:color="auto"/>
        <w:bottom w:val="none" w:sz="0" w:space="0" w:color="auto"/>
        <w:right w:val="none" w:sz="0" w:space="0" w:color="auto"/>
      </w:divBdr>
    </w:div>
    <w:div w:id="1157453110">
      <w:bodyDiv w:val="1"/>
      <w:marLeft w:val="0"/>
      <w:marRight w:val="0"/>
      <w:marTop w:val="0"/>
      <w:marBottom w:val="0"/>
      <w:divBdr>
        <w:top w:val="none" w:sz="0" w:space="0" w:color="auto"/>
        <w:left w:val="none" w:sz="0" w:space="0" w:color="auto"/>
        <w:bottom w:val="none" w:sz="0" w:space="0" w:color="auto"/>
        <w:right w:val="none" w:sz="0" w:space="0" w:color="auto"/>
      </w:divBdr>
    </w:div>
    <w:div w:id="1300723081">
      <w:bodyDiv w:val="1"/>
      <w:marLeft w:val="0"/>
      <w:marRight w:val="0"/>
      <w:marTop w:val="0"/>
      <w:marBottom w:val="0"/>
      <w:divBdr>
        <w:top w:val="none" w:sz="0" w:space="0" w:color="auto"/>
        <w:left w:val="none" w:sz="0" w:space="0" w:color="auto"/>
        <w:bottom w:val="none" w:sz="0" w:space="0" w:color="auto"/>
        <w:right w:val="none" w:sz="0" w:space="0" w:color="auto"/>
      </w:divBdr>
    </w:div>
    <w:div w:id="1399137040">
      <w:bodyDiv w:val="1"/>
      <w:marLeft w:val="0"/>
      <w:marRight w:val="0"/>
      <w:marTop w:val="0"/>
      <w:marBottom w:val="0"/>
      <w:divBdr>
        <w:top w:val="none" w:sz="0" w:space="0" w:color="auto"/>
        <w:left w:val="none" w:sz="0" w:space="0" w:color="auto"/>
        <w:bottom w:val="none" w:sz="0" w:space="0" w:color="auto"/>
        <w:right w:val="none" w:sz="0" w:space="0" w:color="auto"/>
      </w:divBdr>
    </w:div>
    <w:div w:id="195501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5585/mmwr.mm6934e1" TargetMode="External"/><Relationship Id="rId21" Type="http://schemas.openxmlformats.org/officeDocument/2006/relationships/hyperlink" Target="https://www.cms.gov/pillar/health-equity" TargetMode="External"/><Relationship Id="rId324" Type="http://schemas.openxmlformats.org/officeDocument/2006/relationships/hyperlink" Target="https://doi.10.1016/j.amepre.2010.12.019" TargetMode="External"/><Relationship Id="rId531" Type="http://schemas.openxmlformats.org/officeDocument/2006/relationships/hyperlink" Target="https://www.rsfh.com/" TargetMode="External"/><Relationship Id="rId629" Type="http://schemas.openxmlformats.org/officeDocument/2006/relationships/hyperlink" Target="https://dss.sc.gov/" TargetMode="External"/><Relationship Id="rId170" Type="http://schemas.openxmlformats.org/officeDocument/2006/relationships/hyperlink" Target="https://my.clevelandclinic.org/health/articles/16507-the-importance-of-having-a-primary-care-doctor" TargetMode="External"/><Relationship Id="rId268" Type="http://schemas.openxmlformats.org/officeDocument/2006/relationships/hyperlink" Target="https://monitoringthefuture.org/" TargetMode="External"/><Relationship Id="rId475" Type="http://schemas.openxmlformats.org/officeDocument/2006/relationships/hyperlink" Target="https://scahperd.org/" TargetMode="External"/><Relationship Id="rId32" Type="http://schemas.openxmlformats.org/officeDocument/2006/relationships/hyperlink" Target="https://scdhec.gov/sites/default/files/Library/CR-013028.pdf" TargetMode="External"/><Relationship Id="rId128" Type="http://schemas.openxmlformats.org/officeDocument/2006/relationships/hyperlink" Target="https://doi.org/10.7759/cureus.1184" TargetMode="External"/><Relationship Id="rId335" Type="http://schemas.openxmlformats.org/officeDocument/2006/relationships/hyperlink" Target="https://doi.org/10.1093/ntr/ntab059" TargetMode="External"/><Relationship Id="rId542" Type="http://schemas.openxmlformats.org/officeDocument/2006/relationships/hyperlink" Target="https://www.scfreeclinics.org/" TargetMode="External"/><Relationship Id="rId181" Type="http://schemas.openxmlformats.org/officeDocument/2006/relationships/hyperlink" Target="https://www.cdc.gov/mrsa/health%20care/index.html" TargetMode="External"/><Relationship Id="rId402" Type="http://schemas.openxmlformats.org/officeDocument/2006/relationships/hyperlink" Target="https://apps.dhec.sc.gov/Health/scan/scan/index.aspx" TargetMode="External"/><Relationship Id="rId279" Type="http://schemas.openxmlformats.org/officeDocument/2006/relationships/hyperlink" Target="http://www.cdc.gov/violenceprevention/aces/index.html" TargetMode="External"/><Relationship Id="rId486" Type="http://schemas.openxmlformats.org/officeDocument/2006/relationships/hyperlink" Target="file:///Users/emma/ADCO%20Dropbox/Clients/DHEC/Docs/2023%20Docs/23-181-DHEC%20Live%20Healthy%20SC%20Report/Accessible%20Word%20Doc/1.%09https:/files.kff.org/attachment/fact-sheet-medicaid-state-US" TargetMode="External"/><Relationship Id="rId43" Type="http://schemas.openxmlformats.org/officeDocument/2006/relationships/hyperlink" Target="https://www.brookings.edu/articles/black-and-hispanic-americans-at-higher-risk-of-hypertension-diabetes-obesity-time-to-fix-our-broken-food-system/" TargetMode="External"/><Relationship Id="rId139" Type="http://schemas.openxmlformats.org/officeDocument/2006/relationships/hyperlink" Target="https://health.gov/healthypeople/priority-areas/social-determinants-health/literature-summaries/crime-and-violence" TargetMode="External"/><Relationship Id="rId346" Type="http://schemas.openxmlformats.org/officeDocument/2006/relationships/hyperlink" Target="https://www.ncbi.nlm.nih.gov/books/NBK179276/pdf/Bookshelf_NBK179276.pdf" TargetMode="External"/><Relationship Id="rId553" Type="http://schemas.openxmlformats.org/officeDocument/2006/relationships/hyperlink" Target="https://www.spartanburgregional.com/" TargetMode="External"/><Relationship Id="rId192" Type="http://schemas.openxmlformats.org/officeDocument/2006/relationships/hyperlink" Target="https://www.cdc.gov/nchs/data/databriefs/db427.pdf" TargetMode="External"/><Relationship Id="rId206" Type="http://schemas.openxmlformats.org/officeDocument/2006/relationships/hyperlink" Target="https://www.womenshealth.gov/a-z-topics/prenatal-care" TargetMode="External"/><Relationship Id="rId413" Type="http://schemas.openxmlformats.org/officeDocument/2006/relationships/hyperlink" Target="https://www.cdc.gov/hepatitis/statistics/2020surveillance/index.htm" TargetMode="External"/><Relationship Id="rId497" Type="http://schemas.openxmlformats.org/officeDocument/2006/relationships/hyperlink" Target="https://www.samhsa.gov/grants-awards-by-state/sc/discretionary/all/details?page=12" TargetMode="External"/><Relationship Id="rId620" Type="http://schemas.openxmlformats.org/officeDocument/2006/relationships/hyperlink" Target="https://scddc.sc.gov/" TargetMode="External"/><Relationship Id="rId357" Type="http://schemas.openxmlformats.org/officeDocument/2006/relationships/hyperlink" Target="https://www.cdc.gov/cancer/dataviz" TargetMode="External"/><Relationship Id="rId54" Type="http://schemas.openxmlformats.org/officeDocument/2006/relationships/hyperlink" Target="https://doi.org/10.1016/j.drugalcdep.2020.108127" TargetMode="External"/><Relationship Id="rId217" Type="http://schemas.openxmlformats.org/officeDocument/2006/relationships/hyperlink" Target="https://www.cdc.gov/reproductivehealth/maternalinfanthealth/substance-abuse/substance-abuse-during-pregnancy.htm" TargetMode="External"/><Relationship Id="rId564" Type="http://schemas.openxmlformats.org/officeDocument/2006/relationships/hyperlink" Target="https://scorh.net/" TargetMode="External"/><Relationship Id="rId424" Type="http://schemas.openxmlformats.org/officeDocument/2006/relationships/hyperlink" Target="https://www.cdc.gov/copd/basics-about.html" TargetMode="External"/><Relationship Id="rId631" Type="http://schemas.openxmlformats.org/officeDocument/2006/relationships/hyperlink" Target="https://www.daodas.sc.gov/" TargetMode="External"/><Relationship Id="rId270" Type="http://schemas.openxmlformats.org/officeDocument/2006/relationships/hyperlink" Target="https://www.samhsa.gov/resource/ebp/preventing-marijuana-use-among-youth" TargetMode="External"/><Relationship Id="rId65" Type="http://schemas.openxmlformats.org/officeDocument/2006/relationships/hyperlink" Target="https://scorh.net/" TargetMode="External"/><Relationship Id="rId130" Type="http://schemas.openxmlformats.org/officeDocument/2006/relationships/hyperlink" Target="https://doi.org/10.1177/2333794X221078708" TargetMode="External"/><Relationship Id="rId368" Type="http://schemas.openxmlformats.org/officeDocument/2006/relationships/hyperlink" Target="https://www.americashealthrankings.org/explore/annual/measure/Immunize_HPV/state/ALL" TargetMode="External"/><Relationship Id="rId575" Type="http://schemas.openxmlformats.org/officeDocument/2006/relationships/hyperlink" Target="https://dhds.cdc.gov/" TargetMode="External"/><Relationship Id="rId228" Type="http://schemas.openxmlformats.org/officeDocument/2006/relationships/hyperlink" Target="http://www.cdc.gov/nccdphp/dnpao" TargetMode="External"/><Relationship Id="rId435" Type="http://schemas.openxmlformats.org/officeDocument/2006/relationships/hyperlink" Target="https://wonder.cdc.gov/Deaths-by-Underlying-Cause.html" TargetMode="External"/><Relationship Id="rId642" Type="http://schemas.openxmlformats.org/officeDocument/2006/relationships/hyperlink" Target="https://www.kinshipsc.org/" TargetMode="External"/><Relationship Id="rId281" Type="http://schemas.openxmlformats.org/officeDocument/2006/relationships/hyperlink" Target="https://scdhec.gov/vital-records/sc-vital-records-data-and-statistics" TargetMode="External"/><Relationship Id="rId502" Type="http://schemas.openxmlformats.org/officeDocument/2006/relationships/hyperlink" Target="https://www.able-sc.org/" TargetMode="External"/><Relationship Id="rId76" Type="http://schemas.openxmlformats.org/officeDocument/2006/relationships/hyperlink" Target="https://www.kff.org/racial-equity-and-health-policy/issue-brief/disparities-in-health-and-health-care-5-key-question-and-answers" TargetMode="External"/><Relationship Id="rId141" Type="http://schemas.openxmlformats.org/officeDocument/2006/relationships/hyperlink" Target="https://www.ers.usda.gov/topics/food-nutrition-assistance/food-security-in-the-u-s/definitions-of-food-security/" TargetMode="External"/><Relationship Id="rId379" Type="http://schemas.openxmlformats.org/officeDocument/2006/relationships/hyperlink" Target="https://archive.hshsl.umaryland.edu/handle/10713/17070" TargetMode="External"/><Relationship Id="rId586" Type="http://schemas.openxmlformats.org/officeDocument/2006/relationships/hyperlink" Target="http://www.datafiles.samhsa.gov/study-series/national-survey-drug-use-and-health-nsduh-nid13517" TargetMode="External"/><Relationship Id="rId7" Type="http://schemas.openxmlformats.org/officeDocument/2006/relationships/endnotes" Target="endnotes.xml"/><Relationship Id="rId239" Type="http://schemas.openxmlformats.org/officeDocument/2006/relationships/hyperlink" Target="https://www.cdc.gov/injury/wisqars/index.html" TargetMode="External"/><Relationship Id="rId446" Type="http://schemas.openxmlformats.org/officeDocument/2006/relationships/hyperlink" Target="https://wonder.cdc.gov/Deaths-by-Underlying-Cause.html" TargetMode="External"/><Relationship Id="rId653" Type="http://schemas.openxmlformats.org/officeDocument/2006/relationships/hyperlink" Target="https://www.alz.org/sc" TargetMode="External"/><Relationship Id="rId292" Type="http://schemas.openxmlformats.org/officeDocument/2006/relationships/hyperlink" Target="https://www.cdc.gov/pcd/issues/2007/oct/07_0063.htm" TargetMode="External"/><Relationship Id="rId306" Type="http://schemas.openxmlformats.org/officeDocument/2006/relationships/hyperlink" Target="https://www.fda.gov/drugs/special-features/high-blood-pressure-understanding-silent-kill-er" TargetMode="External"/><Relationship Id="rId87" Type="http://schemas.openxmlformats.org/officeDocument/2006/relationships/hyperlink" Target="https://www.census.gov/data/developers/data-sets.html" TargetMode="External"/><Relationship Id="rId513" Type="http://schemas.openxmlformats.org/officeDocument/2006/relationships/hyperlink" Target="https://communityhealthalignment.org/" TargetMode="External"/><Relationship Id="rId597" Type="http://schemas.openxmlformats.org/officeDocument/2006/relationships/hyperlink" Target="https://scdhec.gov/environment/your-home/lead" TargetMode="External"/><Relationship Id="rId152" Type="http://schemas.openxmlformats.org/officeDocument/2006/relationships/hyperlink" Target="https://scdhec.gov/bow/south-carolina-303d-list-impaired-waters-tmdls" TargetMode="External"/><Relationship Id="rId457" Type="http://schemas.openxmlformats.org/officeDocument/2006/relationships/hyperlink" Target="https://www.luthermanor.org/importance-of-social-interaction" TargetMode="External"/><Relationship Id="rId14" Type="http://schemas.openxmlformats.org/officeDocument/2006/relationships/hyperlink" Target="http://www.countyhealthrankings.org/" TargetMode="External"/><Relationship Id="rId317" Type="http://schemas.openxmlformats.org/officeDocument/2006/relationships/hyperlink" Target="https://scdhec.gov/sites/default/files/Library/CR-011657.pdf" TargetMode="External"/><Relationship Id="rId524" Type="http://schemas.openxmlformats.org/officeDocument/2006/relationships/hyperlink" Target="https://www.mcleodhealth.org/" TargetMode="External"/><Relationship Id="rId98" Type="http://schemas.openxmlformats.org/officeDocument/2006/relationships/hyperlink" Target="file:////Users/emma/ADCO%20Dropbox/Clients/DHEC/Docs/2023%20Docs/23-181-DHEC%20Live%20Healthy%20SC%20Report/Accessible%20Word%20Doc/&#8226;https:/rfa.sc.gov/data-research/population-demographics/census-state-data-center/socioeconomic-data/Population-with-percent-in-poverty-by-county-2011-2020" TargetMode="External"/><Relationship Id="rId163" Type="http://schemas.openxmlformats.org/officeDocument/2006/relationships/hyperlink" Target="http://dx.doi.org/10.15585/mmwr.mm6936a4" TargetMode="External"/><Relationship Id="rId370" Type="http://schemas.openxmlformats.org/officeDocument/2006/relationships/hyperlink" Target="https://seer.cancer.gov/statfacts/html/common.html" TargetMode="External"/><Relationship Id="rId230" Type="http://schemas.openxmlformats.org/officeDocument/2006/relationships/hyperlink" Target="https://www.fns.usda.gov/wic/breastfeeding-priority-wic-program" TargetMode="External"/><Relationship Id="rId468" Type="http://schemas.openxmlformats.org/officeDocument/2006/relationships/hyperlink" Target="https://healthiersc.org/" TargetMode="External"/><Relationship Id="rId25" Type="http://schemas.openxmlformats.org/officeDocument/2006/relationships/hyperlink" Target="https://www.epa.gov/environmentaljustice" TargetMode="External"/><Relationship Id="rId328" Type="http://schemas.openxmlformats.org/officeDocument/2006/relationships/hyperlink" Target="https://www.cdc.gov/oralhealth/fast-facts/index.html" TargetMode="External"/><Relationship Id="rId535" Type="http://schemas.openxmlformats.org/officeDocument/2006/relationships/hyperlink" Target="https://sc.edu/study/colleges_schools/medicine/centers_and_institutes_new/center_for_rural_and_primary_healthcare/index.php" TargetMode="External"/><Relationship Id="rId174" Type="http://schemas.openxmlformats.org/officeDocument/2006/relationships/hyperlink" Target="https://physicianoneurgentcare.com/blog/importance-mental-health-services/" TargetMode="External"/><Relationship Id="rId381" Type="http://schemas.openxmlformats.org/officeDocument/2006/relationships/hyperlink" Target="https://www.cdc.gov/stopoverdose/stigma/index.html" TargetMode="External"/><Relationship Id="rId602" Type="http://schemas.openxmlformats.org/officeDocument/2006/relationships/hyperlink" Target="https://scdhec.gov/healthcare-quality/drug-control-register-verify/prescription-monitoring" TargetMode="External"/><Relationship Id="rId241" Type="http://schemas.openxmlformats.org/officeDocument/2006/relationships/hyperlink" Target="https://www.cdc.gov/transportationsafety/child_passenger_safety/cps-factsheet.html" TargetMode="External"/><Relationship Id="rId479" Type="http://schemas.openxmlformats.org/officeDocument/2006/relationships/hyperlink" Target="http://www.scfirststeps.org/" TargetMode="External"/><Relationship Id="rId36" Type="http://schemas.openxmlformats.org/officeDocument/2006/relationships/hyperlink" Target="https://doi.org/10.1007/s11892-020-01369-x" TargetMode="External"/><Relationship Id="rId339" Type="http://schemas.openxmlformats.org/officeDocument/2006/relationships/hyperlink" Target="https://www.apa.org/news/press/releases/stress/2015/impact-of-discrimination.pdf" TargetMode="External"/><Relationship Id="rId546" Type="http://schemas.openxmlformats.org/officeDocument/2006/relationships/hyperlink" Target="https://www.scnurses.org/" TargetMode="External"/><Relationship Id="rId101" Type="http://schemas.openxmlformats.org/officeDocument/2006/relationships/hyperlink" Target="https://www.cdc.gov/ncbddd/disabilityandhealth/impacts/south-carolina.html" TargetMode="External"/><Relationship Id="rId185" Type="http://schemas.openxmlformats.org/officeDocument/2006/relationships/hyperlink" Target="https://www.cdc.gov/drugresistance/biggest-threats.html" TargetMode="External"/><Relationship Id="rId406" Type="http://schemas.openxmlformats.org/officeDocument/2006/relationships/hyperlink" Target="https://www.cdc.gov/opioids/basics/fentanyl.html" TargetMode="External"/><Relationship Id="rId392" Type="http://schemas.openxmlformats.org/officeDocument/2006/relationships/hyperlink" Target="https://www.samhsa.gov/data/sites/default/files/reports/slides-2020-nsduh/2020NSDUHNationalSlides072522.pdf" TargetMode="External"/><Relationship Id="rId613" Type="http://schemas.openxmlformats.org/officeDocument/2006/relationships/hyperlink" Target="https://www.cdc.gov/healthyyouth/data/yrbs/index.htm" TargetMode="External"/><Relationship Id="rId252" Type="http://schemas.openxmlformats.org/officeDocument/2006/relationships/hyperlink" Target="https://www.biausa.org/children-what-to-expect/incidence-of-brain-injury-in-children" TargetMode="External"/><Relationship Id="rId47" Type="http://schemas.openxmlformats.org/officeDocument/2006/relationships/hyperlink" Target="https://scdhec.gov/sites/default/files/Library/CR-012142-2021.pdf" TargetMode="External"/><Relationship Id="rId112" Type="http://schemas.openxmlformats.org/officeDocument/2006/relationships/hyperlink" Target="https://doi.org/10.2105/ajph.2022.307043" TargetMode="External"/><Relationship Id="rId557" Type="http://schemas.openxmlformats.org/officeDocument/2006/relationships/hyperlink" Target="https://uniteus.com/" TargetMode="External"/><Relationship Id="rId196" Type="http://schemas.openxmlformats.org/officeDocument/2006/relationships/hyperlink" Target="https://health.gov/healthypeople" TargetMode="External"/><Relationship Id="rId417" Type="http://schemas.openxmlformats.org/officeDocument/2006/relationships/hyperlink" Target="https://www.ncoa.org/article/get-the-facts-on-healthy-aging" TargetMode="External"/><Relationship Id="rId624" Type="http://schemas.openxmlformats.org/officeDocument/2006/relationships/hyperlink" Target="https://scvrd.net/" TargetMode="External"/><Relationship Id="rId263" Type="http://schemas.openxmlformats.org/officeDocument/2006/relationships/hyperlink" Target="https://www.hhs.gov/surgeongeneral/priorities/youth-mental-health/index.html" TargetMode="External"/><Relationship Id="rId470" Type="http://schemas.openxmlformats.org/officeDocument/2006/relationships/hyperlink" Target="https://communityhealthalignment.org/" TargetMode="External"/><Relationship Id="rId58" Type="http://schemas.openxmlformats.org/officeDocument/2006/relationships/hyperlink" Target="https://doi.org/10.1001/jamanetworkopen.2020.25134" TargetMode="External"/><Relationship Id="rId123" Type="http://schemas.openxmlformats.org/officeDocument/2006/relationships/hyperlink" Target="https://www.census.gov/data/developers/data-sets.html" TargetMode="External"/><Relationship Id="rId330" Type="http://schemas.openxmlformats.org/officeDocument/2006/relationships/hyperlink" Target="https://www.ncbi.nlm.nih.gov/books/NBK179276/pdf/Bookshelf_NBK179276.pdf" TargetMode="External"/><Relationship Id="rId568" Type="http://schemas.openxmlformats.org/officeDocument/2006/relationships/hyperlink" Target="https://www.americashealthrankings.org/explore/measures/concentrated_disadvantage_c/SC" TargetMode="External"/><Relationship Id="rId165" Type="http://schemas.openxmlformats.org/officeDocument/2006/relationships/hyperlink" Target="https://bhw.hrsa.gov/workforce-shortage-areas/shortage-designation" TargetMode="External"/><Relationship Id="rId372" Type="http://schemas.openxmlformats.org/officeDocument/2006/relationships/hyperlink" Target="https://store.samhsa.gov/sites/default/files/d7/priv/pep17-ismicc-rtc.pdf" TargetMode="External"/><Relationship Id="rId428" Type="http://schemas.openxmlformats.org/officeDocument/2006/relationships/hyperlink" Target="https://wonder.cdc.gov/Deaths-by-Underlying-Cause.html" TargetMode="External"/><Relationship Id="rId635" Type="http://schemas.openxmlformats.org/officeDocument/2006/relationships/hyperlink" Target="https://www.scfirststeps.org/" TargetMode="External"/><Relationship Id="rId232" Type="http://schemas.openxmlformats.org/officeDocument/2006/relationships/hyperlink" Target="https://www.cdc.gov/reproductivehealth/maternalinfanthealth/infantmortality.htm" TargetMode="External"/><Relationship Id="rId274" Type="http://schemas.openxmlformats.org/officeDocument/2006/relationships/hyperlink" Target="https://www.cdc.gov/violenceprevention/youthviolence/schoolviolence/fastfact.html" TargetMode="External"/><Relationship Id="rId481" Type="http://schemas.openxmlformats.org/officeDocument/2006/relationships/hyperlink" Target="http://www.scpha.com/" TargetMode="External"/><Relationship Id="rId27" Type="http://schemas.openxmlformats.org/officeDocument/2006/relationships/hyperlink" Target="https://howwerespond.aaas.org/community-spotlight/residents-of-north-charleston-address-environmental-racism-and-prepare-for-future-challenges/" TargetMode="External"/><Relationship Id="rId69" Type="http://schemas.openxmlformats.org/officeDocument/2006/relationships/hyperlink" Target="https://doi.org/10.2105/ajph.2020.305703" TargetMode="External"/><Relationship Id="rId134" Type="http://schemas.openxmlformats.org/officeDocument/2006/relationships/hyperlink" Target="https://perma.cc/ZE6J-RT25" TargetMode="External"/><Relationship Id="rId537" Type="http://schemas.openxmlformats.org/officeDocument/2006/relationships/hyperlink" Target="https://ddsn.sc.gov/" TargetMode="External"/><Relationship Id="rId579" Type="http://schemas.openxmlformats.org/officeDocument/2006/relationships/hyperlink" Target="https://scdhec.gov/hiv-aids-std-data-reports" TargetMode="External"/><Relationship Id="rId80" Type="http://schemas.openxmlformats.org/officeDocument/2006/relationships/hyperlink" Target="https://data.census.gov/" TargetMode="External"/><Relationship Id="rId176" Type="http://schemas.openxmlformats.org/officeDocument/2006/relationships/hyperlink" Target="https://doi.org/10.1097/01.npr.0000453648.45942.d0" TargetMode="External"/><Relationship Id="rId341" Type="http://schemas.openxmlformats.org/officeDocument/2006/relationships/hyperlink" Target="https://www.census.gov/programs-surveys/saipe.html" TargetMode="External"/><Relationship Id="rId383" Type="http://schemas.openxmlformats.org/officeDocument/2006/relationships/hyperlink" Target="https://www.cdc.gov/stopoverdose/polysubstance-use/index.html" TargetMode="External"/><Relationship Id="rId439" Type="http://schemas.openxmlformats.org/officeDocument/2006/relationships/hyperlink" Target="https://www.cdc.gov/falls/facts.html" TargetMode="External"/><Relationship Id="rId590" Type="http://schemas.openxmlformats.org/officeDocument/2006/relationships/hyperlink" Target="https://scdhec.gov/health/sc-public-health-statistics-maps/pregnancy-risk-assessment-monitoring-system" TargetMode="External"/><Relationship Id="rId604" Type="http://schemas.openxmlformats.org/officeDocument/2006/relationships/hyperlink" Target="https://scdhec.gov/south-carolina-violent-death-reporting-system" TargetMode="External"/><Relationship Id="rId646" Type="http://schemas.openxmlformats.org/officeDocument/2006/relationships/hyperlink" Target="https://www.inittogethersc.org/" TargetMode="External"/><Relationship Id="rId201" Type="http://schemas.openxmlformats.org/officeDocument/2006/relationships/hyperlink" Target="https://www.cdc.gov/bloodpressure/pregnancy.htm" TargetMode="External"/><Relationship Id="rId243" Type="http://schemas.openxmlformats.org/officeDocument/2006/relationships/hyperlink" Target="https://www.cdc.gov/violenceprevention/youthviolence/fastfact.html" TargetMode="External"/><Relationship Id="rId285" Type="http://schemas.openxmlformats.org/officeDocument/2006/relationships/hyperlink" Target="https://www.mayoclinic.org/diseases-conditions/childhood-asthma/symptoms-causes/syc-20351507" TargetMode="External"/><Relationship Id="rId450" Type="http://schemas.openxmlformats.org/officeDocument/2006/relationships/hyperlink" Target="https://ncoa.org/article/suicide-and-older-adults-what-you-should-know" TargetMode="External"/><Relationship Id="rId506" Type="http://schemas.openxmlformats.org/officeDocument/2006/relationships/hyperlink" Target="https://atriumhealth.org/" TargetMode="External"/><Relationship Id="rId38" Type="http://schemas.openxmlformats.org/officeDocument/2006/relationships/hyperlink" Target="https://health.gov/healthypeople/priority-areas/social-determinants-health/literature-summaries/access-health-services" TargetMode="External"/><Relationship Id="rId103" Type="http://schemas.openxmlformats.org/officeDocument/2006/relationships/hyperlink" Target="https://www.census.gov/data/developers/data-sets.html" TargetMode="External"/><Relationship Id="rId310" Type="http://schemas.openxmlformats.org/officeDocument/2006/relationships/hyperlink" Target="https://www.ahajournals.org/doi/10.1161/CIR.0000000000001052" TargetMode="External"/><Relationship Id="rId492" Type="http://schemas.openxmlformats.org/officeDocument/2006/relationships/hyperlink" Target="https://www.ehealthinsurance.com/resources/affordable-care-act/what-does-health-insurance-through-the-marketplace-mean" TargetMode="External"/><Relationship Id="rId548" Type="http://schemas.openxmlformats.org/officeDocument/2006/relationships/hyperlink" Target="https://www.scphca.org/" TargetMode="External"/><Relationship Id="rId91" Type="http://schemas.openxmlformats.org/officeDocument/2006/relationships/hyperlink" Target="https://doi.org/https:/doi.org/10.1002/9781118410868.wbehibs395" TargetMode="External"/><Relationship Id="rId145" Type="http://schemas.openxmlformats.org/officeDocument/2006/relationships/hyperlink" Target="https://crsreports.congress.gov/product/pdf/RL/RL30853" TargetMode="External"/><Relationship Id="rId187" Type="http://schemas.openxmlformats.org/officeDocument/2006/relationships/hyperlink" Target="https://www.cdc.gov/cdiff/clinicians/index.html" TargetMode="External"/><Relationship Id="rId352" Type="http://schemas.openxmlformats.org/officeDocument/2006/relationships/hyperlink" Target="https://www.cdc.gov/nchs/pressroom/states/southcarolina/sc.htm" TargetMode="External"/><Relationship Id="rId394" Type="http://schemas.openxmlformats.org/officeDocument/2006/relationships/hyperlink" Target="https://www.cdc.gov/injury/features/health-econ-cost-of-injury/index.html" TargetMode="External"/><Relationship Id="rId408" Type="http://schemas.openxmlformats.org/officeDocument/2006/relationships/hyperlink" Target="https://scdps.sc.gov/sites/scdps/files/Documents/ohsjp/fact%20book/2021%20Fact%20Book%20Final.pdf" TargetMode="External"/><Relationship Id="rId615" Type="http://schemas.openxmlformats.org/officeDocument/2006/relationships/hyperlink" Target="http://www.scorh.net/" TargetMode="External"/><Relationship Id="rId212" Type="http://schemas.openxmlformats.org/officeDocument/2006/relationships/hyperlink" Target="https://www.cdc.gov/reproductivehealth/WomensRH/index.htm" TargetMode="External"/><Relationship Id="rId254" Type="http://schemas.openxmlformats.org/officeDocument/2006/relationships/hyperlink" Target="https://www.rwjf.org/en/insights/blog/2022/07/a-generational-opportunity-to-invest-in-our-children.html" TargetMode="External"/><Relationship Id="rId49" Type="http://schemas.openxmlformats.org/officeDocument/2006/relationships/hyperlink" Target="https://www.cdc.gov/drugoverdose/deaths/index.html" TargetMode="External"/><Relationship Id="rId114" Type="http://schemas.openxmlformats.org/officeDocument/2006/relationships/hyperlink" Target="https://www.cbpp.org/research/food-assistance/the-historical-determinants-of-food-insecurity-in-native-communities" TargetMode="External"/><Relationship Id="rId296" Type="http://schemas.openxmlformats.org/officeDocument/2006/relationships/hyperlink" Target="https://www.cdc.gov/obesity/data/prevalence-maps.html" TargetMode="External"/><Relationship Id="rId461" Type="http://schemas.openxmlformats.org/officeDocument/2006/relationships/hyperlink" Target="https://www.nia.nih.gov/health/vaccinations-older-adults" TargetMode="External"/><Relationship Id="rId517" Type="http://schemas.openxmlformats.org/officeDocument/2006/relationships/hyperlink" Target="https://www.factforward.org/" TargetMode="External"/><Relationship Id="rId559" Type="http://schemas.openxmlformats.org/officeDocument/2006/relationships/hyperlink" Target="https://www.uhc.com/" TargetMode="External"/><Relationship Id="rId60" Type="http://schemas.openxmlformats.org/officeDocument/2006/relationships/hyperlink" Target="https://doi.org/10.14423/SMJ.0000000000000259" TargetMode="External"/><Relationship Id="rId156" Type="http://schemas.openxmlformats.org/officeDocument/2006/relationships/hyperlink" Target="https://www.epa.gov/ground-water-and-drinking-water/national-primary-drinking-water-regulations" TargetMode="External"/><Relationship Id="rId198" Type="http://schemas.openxmlformats.org/officeDocument/2006/relationships/hyperlink" Target="https://www.cdc.gov/preconception/overview.html" TargetMode="External"/><Relationship Id="rId321" Type="http://schemas.openxmlformats.org/officeDocument/2006/relationships/hyperlink" Target="https://www.cdc.gov/diabetes/basics/type2.html" TargetMode="External"/><Relationship Id="rId363" Type="http://schemas.openxmlformats.org/officeDocument/2006/relationships/hyperlink" Target="http://www.seer.cancer.gov/" TargetMode="External"/><Relationship Id="rId419" Type="http://schemas.openxmlformats.org/officeDocument/2006/relationships/hyperlink" Target="https://www.nia.nih.gov/health/what-do-we-know-about-healthy-aging" TargetMode="External"/><Relationship Id="rId570" Type="http://schemas.openxmlformats.org/officeDocument/2006/relationships/hyperlink" Target="https://www.sled.sc.gov/crimestatistics" TargetMode="External"/><Relationship Id="rId626" Type="http://schemas.openxmlformats.org/officeDocument/2006/relationships/hyperlink" Target="https://scha.org/" TargetMode="External"/><Relationship Id="rId223" Type="http://schemas.openxmlformats.org/officeDocument/2006/relationships/hyperlink" Target="https://www.cdc.gov/ncbddd/birthdefects/surveillancemanual/appendices/appendix-c.html" TargetMode="External"/><Relationship Id="rId430" Type="http://schemas.openxmlformats.org/officeDocument/2006/relationships/hyperlink" Target="https://www.alz.org/media/Documents/alzheimers-facts-and-figures.pdf" TargetMode="External"/><Relationship Id="rId18" Type="http://schemas.openxmlformats.org/officeDocument/2006/relationships/hyperlink" Target="https://doi.org/10.1016/j.hjdsi.2022.100655" TargetMode="External"/><Relationship Id="rId265" Type="http://schemas.openxmlformats.org/officeDocument/2006/relationships/hyperlink" Target="https://www.cdc.gov/healthyyouth/data/yrbs/index.htm" TargetMode="External"/><Relationship Id="rId472" Type="http://schemas.openxmlformats.org/officeDocument/2006/relationships/hyperlink" Target="https://www.familyconnectionsc.org/" TargetMode="External"/><Relationship Id="rId528" Type="http://schemas.openxmlformats.org/officeDocument/2006/relationships/hyperlink" Target="https://www.palmettocareconnections.org/" TargetMode="External"/><Relationship Id="rId125" Type="http://schemas.openxmlformats.org/officeDocument/2006/relationships/hyperlink" Target="https://www.publichealth.va.gov/exposures/benefits/PACT_Act.asp" TargetMode="External"/><Relationship Id="rId167" Type="http://schemas.openxmlformats.org/officeDocument/2006/relationships/hyperlink" Target="https://hpsa.us/services/hpsa/hpsa-101/" TargetMode="External"/><Relationship Id="rId332" Type="http://schemas.openxmlformats.org/officeDocument/2006/relationships/hyperlink" Target="https://doi.org/10.1136/bmj.327.7428.1394" TargetMode="External"/><Relationship Id="rId374" Type="http://schemas.openxmlformats.org/officeDocument/2006/relationships/hyperlink" Target="https://doi.org/10.1007/s10597-022-01001-0" TargetMode="External"/><Relationship Id="rId581" Type="http://schemas.openxmlformats.org/officeDocument/2006/relationships/hyperlink" Target="https://data.hrsa.gov/tools/shortage-area/hpsa-find" TargetMode="External"/><Relationship Id="rId71" Type="http://schemas.openxmlformats.org/officeDocument/2006/relationships/hyperlink" Target="https://doi.org/10.2105/ajph.2020.305824" TargetMode="External"/><Relationship Id="rId234" Type="http://schemas.openxmlformats.org/officeDocument/2006/relationships/hyperlink" Target="https://www.cdc.gov/vitalsigns/safesleep/index.html" TargetMode="External"/><Relationship Id="rId637" Type="http://schemas.openxmlformats.org/officeDocument/2006/relationships/hyperlink" Target="https://scperinatal.org/" TargetMode="External"/><Relationship Id="rId2" Type="http://schemas.openxmlformats.org/officeDocument/2006/relationships/numbering" Target="numbering.xml"/><Relationship Id="rId29" Type="http://schemas.openxmlformats.org/officeDocument/2006/relationships/hyperlink" Target="https://www.southcarolinapublicradio.org/sc-news/2023-05-02/in-a-community-prone-to-flooding-now-sits-the-souths-first-environmental-justice-training-center" TargetMode="External"/><Relationship Id="rId276" Type="http://schemas.openxmlformats.org/officeDocument/2006/relationships/hyperlink" Target="https://www.cdc.gov/teenpregnancy/about/index.htm" TargetMode="External"/><Relationship Id="rId441" Type="http://schemas.openxmlformats.org/officeDocument/2006/relationships/hyperlink" Target="https://www.cdc.gov/traumaticbraininjury/get_the_facts.html" TargetMode="External"/><Relationship Id="rId483" Type="http://schemas.openxmlformats.org/officeDocument/2006/relationships/hyperlink" Target="https://wholespire.org/" TargetMode="External"/><Relationship Id="rId539" Type="http://schemas.openxmlformats.org/officeDocument/2006/relationships/hyperlink" Target="https://www.scdhhs.gov/" TargetMode="External"/><Relationship Id="rId40" Type="http://schemas.openxmlformats.org/officeDocument/2006/relationships/hyperlink" Target="https://scdhec.gov/sites/default/files/Library/CR-013357.pdf" TargetMode="External"/><Relationship Id="rId136" Type="http://schemas.openxmlformats.org/officeDocument/2006/relationships/hyperlink" Target="https://www.in.gov/ifa/brownfields/files/Brownfields_Basics_rev_12-4-09.pdf" TargetMode="External"/><Relationship Id="rId178" Type="http://schemas.openxmlformats.org/officeDocument/2006/relationships/hyperlink" Target="https://www.cdc.gov/oralhealth/oral_health_disparities/index.htm" TargetMode="External"/><Relationship Id="rId301" Type="http://schemas.openxmlformats.org/officeDocument/2006/relationships/hyperlink" Target="https://www.cdc.gov/cholesterol/about.htm" TargetMode="External"/><Relationship Id="rId343" Type="http://schemas.openxmlformats.org/officeDocument/2006/relationships/hyperlink" Target="https://www.census.gov/quickfacts" TargetMode="External"/><Relationship Id="rId550" Type="http://schemas.openxmlformats.org/officeDocument/2006/relationships/hyperlink" Target="https://scthrive.org/" TargetMode="External"/><Relationship Id="rId82" Type="http://schemas.openxmlformats.org/officeDocument/2006/relationships/hyperlink" Target="https://www.census.gov/data/developers/data-sets.html" TargetMode="External"/><Relationship Id="rId203" Type="http://schemas.openxmlformats.org/officeDocument/2006/relationships/hyperlink" Target="https://www.cdc.gov/reproductivehealth/contraception/unintendedpregnancy/index.htm" TargetMode="External"/><Relationship Id="rId385" Type="http://schemas.openxmlformats.org/officeDocument/2006/relationships/hyperlink" Target="https://health.gov/healthypeople/objectives-and-data/browse-objectives/drug-and-alcohol-use/reduce-cirrhosis-deaths-su-02" TargetMode="External"/><Relationship Id="rId592" Type="http://schemas.openxmlformats.org/officeDocument/2006/relationships/hyperlink" Target="https://www.atsdr.cdc.gov/placeandhealth/svi/interactive_map.html" TargetMode="External"/><Relationship Id="rId606" Type="http://schemas.openxmlformats.org/officeDocument/2006/relationships/hyperlink" Target="https://scdhec.gov/health/under-18-tobacco-use/south-carolina-youth-tobacco-survey" TargetMode="External"/><Relationship Id="rId648" Type="http://schemas.openxmlformats.org/officeDocument/2006/relationships/hyperlink" Target="https://www.scbhc.org/" TargetMode="External"/><Relationship Id="rId245" Type="http://schemas.openxmlformats.org/officeDocument/2006/relationships/hyperlink" Target="https://scdhec.gov/south-carolina-violent-death-reporting-system" TargetMode="External"/><Relationship Id="rId287" Type="http://schemas.openxmlformats.org/officeDocument/2006/relationships/hyperlink" Target="https://pd.kready.org/info" TargetMode="External"/><Relationship Id="rId410" Type="http://schemas.openxmlformats.org/officeDocument/2006/relationships/hyperlink" Target="file:///Users/emma/ADCO%20Dropbox/Clients/DHEC/Docs/2023%20Docs/23-181-DHEC%20Live%20Healthy%20SC%20Report/Accessible%20Word%20Doc/1.%09https:/www.cdc.gov/std/life-stages-populations/stdfact-teens.htm" TargetMode="External"/><Relationship Id="rId452" Type="http://schemas.openxmlformats.org/officeDocument/2006/relationships/hyperlink" Target="https://www.nia.nih.gov/health/elder-abuse" TargetMode="External"/><Relationship Id="rId494" Type="http://schemas.openxmlformats.org/officeDocument/2006/relationships/hyperlink" Target="https://www.healthinsurance.org/health-insurance-marketplaces/south-carolina/" TargetMode="External"/><Relationship Id="rId508" Type="http://schemas.openxmlformats.org/officeDocument/2006/relationships/hyperlink" Target="https://www.bcbsscfoundation.org/" TargetMode="External"/><Relationship Id="rId105" Type="http://schemas.openxmlformats.org/officeDocument/2006/relationships/hyperlink" Target="https://www.census.gov/data/developers/data-sets.html" TargetMode="External"/><Relationship Id="rId147" Type="http://schemas.openxmlformats.org/officeDocument/2006/relationships/hyperlink" Target="https://doi.org/10.1016/j.jpeds.2012.06.064" TargetMode="External"/><Relationship Id="rId312" Type="http://schemas.openxmlformats.org/officeDocument/2006/relationships/hyperlink" Target="https://www.cdc.gov/heartdisease/risk_factors.htm" TargetMode="External"/><Relationship Id="rId354" Type="http://schemas.openxmlformats.org/officeDocument/2006/relationships/hyperlink" Target="http://www.seer.cancer.gov/" TargetMode="External"/><Relationship Id="rId51" Type="http://schemas.openxmlformats.org/officeDocument/2006/relationships/hyperlink" Target="https://scdhec.gov/sites/default/files/media/document/Drug%20Overdose%20Report%202021.pdf" TargetMode="External"/><Relationship Id="rId93" Type="http://schemas.openxmlformats.org/officeDocument/2006/relationships/hyperlink" Target="http://lighthouseinstitute.org.au/wp-content/uploads/sites/2/2013/09/Par2013V026N10_020.pdf" TargetMode="External"/><Relationship Id="rId189" Type="http://schemas.openxmlformats.org/officeDocument/2006/relationships/hyperlink" Target="https://scdhec.gov/news-releases/dhec-investigating-two-possible-cases-2019-novel-coronavirus-south-carolina" TargetMode="External"/><Relationship Id="rId396" Type="http://schemas.openxmlformats.org/officeDocument/2006/relationships/hyperlink" Target="https://doi.org/10.1111/1475-6773.13631" TargetMode="External"/><Relationship Id="rId561" Type="http://schemas.openxmlformats.org/officeDocument/2006/relationships/hyperlink" Target="https://www.vcom.edu/" TargetMode="External"/><Relationship Id="rId617" Type="http://schemas.openxmlformats.org/officeDocument/2006/relationships/hyperlink" Target="https://www.scdhhs.gov/" TargetMode="External"/><Relationship Id="rId214" Type="http://schemas.openxmlformats.org/officeDocument/2006/relationships/hyperlink" Target="https://americanpregnancy.org/healthy-pregnancy/pregnancy-health-wellness/depression-during-pregnancy-2/" TargetMode="External"/><Relationship Id="rId256" Type="http://schemas.openxmlformats.org/officeDocument/2006/relationships/hyperlink" Target="https://scdhec.gov/fitnessgram" TargetMode="External"/><Relationship Id="rId298" Type="http://schemas.openxmlformats.org/officeDocument/2006/relationships/hyperlink" Target="https://www.americashealthrankings.org/explore/annual/measure/Obesity/state/SC" TargetMode="External"/><Relationship Id="rId421" Type="http://schemas.openxmlformats.org/officeDocument/2006/relationships/hyperlink" Target="https://www.cdc.gov/stroke/about.htm" TargetMode="External"/><Relationship Id="rId463" Type="http://schemas.openxmlformats.org/officeDocument/2006/relationships/hyperlink" Target="https://doi.org/10.48558/RZ96-N674" TargetMode="External"/><Relationship Id="rId519" Type="http://schemas.openxmlformats.org/officeDocument/2006/relationships/hyperlink" Target="https://www.furman.edu/institute-advancement-community-health/" TargetMode="External"/><Relationship Id="rId116" Type="http://schemas.openxmlformats.org/officeDocument/2006/relationships/hyperlink" Target="https://www.census.gov/data/developers/data-sets.html" TargetMode="External"/><Relationship Id="rId158" Type="http://schemas.openxmlformats.org/officeDocument/2006/relationships/hyperlink" Target="https://scdhec.gov/sites/default/files/Library/OR-2405.pdf" TargetMode="External"/><Relationship Id="rId323" Type="http://schemas.openxmlformats.org/officeDocument/2006/relationships/hyperlink" Target="https://archive.cdc.gov/" TargetMode="External"/><Relationship Id="rId530" Type="http://schemas.openxmlformats.org/officeDocument/2006/relationships/hyperlink" Target="https://www.prismahealth.org/" TargetMode="External"/><Relationship Id="rId20" Type="http://schemas.openxmlformats.org/officeDocument/2006/relationships/hyperlink" Target="https://doi.org/10.17226/26834" TargetMode="External"/><Relationship Id="rId62" Type="http://schemas.openxmlformats.org/officeDocument/2006/relationships/hyperlink" Target="https://doi.org/10.15620/cdc:118999" TargetMode="External"/><Relationship Id="rId365" Type="http://schemas.openxmlformats.org/officeDocument/2006/relationships/hyperlink" Target="https://www.cancer.net/cancer-types/breast-cancer/statistics" TargetMode="External"/><Relationship Id="rId572" Type="http://schemas.openxmlformats.org/officeDocument/2006/relationships/hyperlink" Target="https://scdhec.gov/environment/pollution-types-advisories-monitoring/clean-projects-progress/brownfieldsvoluntary" TargetMode="External"/><Relationship Id="rId628" Type="http://schemas.openxmlformats.org/officeDocument/2006/relationships/hyperlink" Target="https://www.bcbsscfoundation.org/" TargetMode="External"/><Relationship Id="rId225" Type="http://schemas.openxmlformats.org/officeDocument/2006/relationships/hyperlink" Target="file:////Users/emma/ADCO%20Dropbox/Clients/DHEC/Docs/2023%20Docs/23-181-DHEC%20Live%20Healthy%20SC%20Report/Accessible%20Word%20Doc/27.https:/health.gov/healthypeople/objectives-and-data/browse-objectives/infants/increase-proportion-infants-who-are-breastfed-exclusively-through-age-6-months-mich-15" TargetMode="External"/><Relationship Id="rId267" Type="http://schemas.openxmlformats.org/officeDocument/2006/relationships/hyperlink" Target="https://www.cdc.gov/alcohol/fact-sheets/underage-drinking.htm" TargetMode="External"/><Relationship Id="rId432" Type="http://schemas.openxmlformats.org/officeDocument/2006/relationships/hyperlink" Target="https://www.cdc.gov/arthritis/communications/features/4things.htm" TargetMode="External"/><Relationship Id="rId474" Type="http://schemas.openxmlformats.org/officeDocument/2006/relationships/hyperlink" Target="http://www.smokefreesc.org/" TargetMode="External"/><Relationship Id="rId127" Type="http://schemas.openxmlformats.org/officeDocument/2006/relationships/hyperlink" Target="https://www.americanprogress.org/article/state-lgbtq-community-2020/" TargetMode="External"/><Relationship Id="rId31" Type="http://schemas.openxmlformats.org/officeDocument/2006/relationships/hyperlink" Target="https://precisionforcovid.org/ccvi" TargetMode="External"/><Relationship Id="rId73" Type="http://schemas.openxmlformats.org/officeDocument/2006/relationships/hyperlink" Target="https://apps.dhec.sc.gov/Health/SCAN_BDP/tables/death2table.aspx" TargetMode="External"/><Relationship Id="rId169" Type="http://schemas.openxmlformats.org/officeDocument/2006/relationships/hyperlink" Target="https://www.health.harvard.edu/blog/why-do-you-need-a-primary-care-physician-2019081917527" TargetMode="External"/><Relationship Id="rId334" Type="http://schemas.openxmlformats.org/officeDocument/2006/relationships/hyperlink" Target="https://www.cdc.gov/tobacco/health-equity/african-american/unfair-and-unjust.html" TargetMode="External"/><Relationship Id="rId376" Type="http://schemas.openxmlformats.org/officeDocument/2006/relationships/hyperlink" Target="https://www.nimh.nih.gov/health/statistics/major-depression" TargetMode="External"/><Relationship Id="rId541" Type="http://schemas.openxmlformats.org/officeDocument/2006/relationships/hyperlink" Target="https://aging.sc.gov/" TargetMode="External"/><Relationship Id="rId583" Type="http://schemas.openxmlformats.org/officeDocument/2006/relationships/hyperlink" Target="https://www.va.gov/vetdata/Veteran_Population.asp" TargetMode="External"/><Relationship Id="rId639" Type="http://schemas.openxmlformats.org/officeDocument/2006/relationships/hyperlink" Target="https://djj.sc.gov/" TargetMode="External"/><Relationship Id="rId4" Type="http://schemas.openxmlformats.org/officeDocument/2006/relationships/settings" Target="settings.xml"/><Relationship Id="rId180" Type="http://schemas.openxmlformats.org/officeDocument/2006/relationships/hyperlink" Target="https://www.cdc.gov/mrsa/index.html" TargetMode="External"/><Relationship Id="rId236" Type="http://schemas.openxmlformats.org/officeDocument/2006/relationships/hyperlink" Target="https://www.cdc.gov/nchs/fastats/child-health.htm" TargetMode="External"/><Relationship Id="rId278" Type="http://schemas.openxmlformats.org/officeDocument/2006/relationships/hyperlink" Target="http://www.cdc.gov/violenceprevention/aces/index.html" TargetMode="External"/><Relationship Id="rId401" Type="http://schemas.openxmlformats.org/officeDocument/2006/relationships/hyperlink" Target="https://www.cdc.gov/suicide/facts/index.html" TargetMode="External"/><Relationship Id="rId443" Type="http://schemas.openxmlformats.org/officeDocument/2006/relationships/hyperlink" Target="https://www.cdc.gov/stillgoingstrong/about/common-injuries-as-we-age.html" TargetMode="External"/><Relationship Id="rId650" Type="http://schemas.openxmlformats.org/officeDocument/2006/relationships/hyperlink" Target="https://www.screspitecoalition.org/" TargetMode="External"/><Relationship Id="rId303" Type="http://schemas.openxmlformats.org/officeDocument/2006/relationships/hyperlink" Target="https://www.cdc.gov/cholesterol/risk_factors.htm" TargetMode="External"/><Relationship Id="rId485" Type="http://schemas.openxmlformats.org/officeDocument/2006/relationships/hyperlink" Target="https://www.scdhhs.gov/site-page/medicaid" TargetMode="External"/><Relationship Id="rId42" Type="http://schemas.openxmlformats.org/officeDocument/2006/relationships/hyperlink" Target="https://doi.org/10.1089/jwh.2020.8874" TargetMode="External"/><Relationship Id="rId84" Type="http://schemas.openxmlformats.org/officeDocument/2006/relationships/hyperlink" Target="https://rfa.sc.gov/data-research/population-demographics/census-state-data-center/socioeconomic-data/Population-with-percent-in-poverty-by-county-2011-2020" TargetMode="External"/><Relationship Id="rId138" Type="http://schemas.openxmlformats.org/officeDocument/2006/relationships/hyperlink" Target="https://performance.seattle.gov/stories/s/Safe-and-Healthy-Communities/kkjg-fxvb/" TargetMode="External"/><Relationship Id="rId345" Type="http://schemas.openxmlformats.org/officeDocument/2006/relationships/hyperlink" Target="http://www.countyhealthrankings.org/" TargetMode="External"/><Relationship Id="rId387" Type="http://schemas.openxmlformats.org/officeDocument/2006/relationships/hyperlink" Target="https://www.cdc.gov/drugoverdose/featured-topics/linkage-to-care.html" TargetMode="External"/><Relationship Id="rId510" Type="http://schemas.openxmlformats.org/officeDocument/2006/relationships/hyperlink" Target="https://www.bonsecours.com/locations/hospitals-medical-centers/greenville" TargetMode="External"/><Relationship Id="rId552" Type="http://schemas.openxmlformats.org/officeDocument/2006/relationships/hyperlink" Target="https://www.selfregional.org/" TargetMode="External"/><Relationship Id="rId594" Type="http://schemas.openxmlformats.org/officeDocument/2006/relationships/hyperlink" Target="https://scdhec.gov/CancerRegistry" TargetMode="External"/><Relationship Id="rId608" Type="http://schemas.openxmlformats.org/officeDocument/2006/relationships/hyperlink" Target="https://drive.google.com/file/d/1klD7BsZfLsMLdAVmqhidEb9umZ4Ymh4U/view" TargetMode="External"/><Relationship Id="rId191" Type="http://schemas.openxmlformats.org/officeDocument/2006/relationships/hyperlink" Target="https://scdhec.gov/covid19/covid-19-data" TargetMode="External"/><Relationship Id="rId205" Type="http://schemas.openxmlformats.org/officeDocument/2006/relationships/hyperlink" Target="https://www.nichd.nih.gov/health/topics/pregnancy/conditioninfo/prenatal-care" TargetMode="External"/><Relationship Id="rId247" Type="http://schemas.openxmlformats.org/officeDocument/2006/relationships/hyperlink" Target="https://www.healthychildren.org/English/health-issues/conditions/emotional-problems/Pages/Which-Kids-are-at-Highest-Risk-for-Suicide.aspx" TargetMode="External"/><Relationship Id="rId412" Type="http://schemas.openxmlformats.org/officeDocument/2006/relationships/hyperlink" Target="https://www.cdc.gov/hepatitis/hcv/index.htm" TargetMode="External"/><Relationship Id="rId107" Type="http://schemas.openxmlformats.org/officeDocument/2006/relationships/hyperlink" Target="file:///Users/emma/ADCO%20Dropbox/Clients/DHEC/Docs/2023%20Docs/23-181-DHEC%20Live%20Healthy%20SC%20Report/Accessible%20Word%20Doc/&#8226;%09https:/www.cdc.gov/ncbddd/disabilityandhealth/disability-barriers.html" TargetMode="External"/><Relationship Id="rId289" Type="http://schemas.openxmlformats.org/officeDocument/2006/relationships/hyperlink" Target="https://www.cdc.gov/ncbddd/watchmetraining/resources.html" TargetMode="External"/><Relationship Id="rId454" Type="http://schemas.openxmlformats.org/officeDocument/2006/relationships/hyperlink" Target="https://aging.sc.gov/programs-initiatives/family-caregiver-support" TargetMode="External"/><Relationship Id="rId496" Type="http://schemas.openxmlformats.org/officeDocument/2006/relationships/hyperlink" Target="https://mhanational.org/sites/default/files/2023-State-of-Mental-Health-in-America-Report.pdf" TargetMode="External"/><Relationship Id="rId11" Type="http://schemas.openxmlformats.org/officeDocument/2006/relationships/hyperlink" Target="https://www.cdc.gov/publichealthgateway/publichealthservices/essentialhealthservices.html" TargetMode="External"/><Relationship Id="rId53" Type="http://schemas.openxmlformats.org/officeDocument/2006/relationships/hyperlink" Target="https://doi.org/10.1371/journal.pone.0227966" TargetMode="External"/><Relationship Id="rId149" Type="http://schemas.openxmlformats.org/officeDocument/2006/relationships/hyperlink" Target="https://scdhec.gov/air-pollution-overview" TargetMode="External"/><Relationship Id="rId314" Type="http://schemas.openxmlformats.org/officeDocument/2006/relationships/hyperlink" Target="https://meps.ahrq.gov/mepstrends/%20home/index.html" TargetMode="External"/><Relationship Id="rId356" Type="http://schemas.openxmlformats.org/officeDocument/2006/relationships/hyperlink" Target="http://www.seer.cancer.gov/" TargetMode="External"/><Relationship Id="rId398" Type="http://schemas.openxmlformats.org/officeDocument/2006/relationships/hyperlink" Target="https://doi.org/10.1016/j.amepre.2022.01.018" TargetMode="External"/><Relationship Id="rId521" Type="http://schemas.openxmlformats.org/officeDocument/2006/relationships/hyperlink" Target="https://www.humana.com/medicaid/south-carolina" TargetMode="External"/><Relationship Id="rId563" Type="http://schemas.openxmlformats.org/officeDocument/2006/relationships/hyperlink" Target="https://www.census.gov/en.html" TargetMode="External"/><Relationship Id="rId619" Type="http://schemas.openxmlformats.org/officeDocument/2006/relationships/hyperlink" Target="https://communityhealthalignment.org/" TargetMode="External"/><Relationship Id="rId95" Type="http://schemas.openxmlformats.org/officeDocument/2006/relationships/hyperlink" Target="https://www.cdc.gov/orr/science/homelessness/definition.html?CDC_AA_refVal=https%3A%2F%2Fwww.cdc.gov%2Fddid%2Fhomelessness%2Fdefinition.html" TargetMode="External"/><Relationship Id="rId160" Type="http://schemas.openxmlformats.org/officeDocument/2006/relationships/hyperlink" Target="https://www.aha.org/guidesreports/report-importance-health-coverage" TargetMode="External"/><Relationship Id="rId216" Type="http://schemas.openxmlformats.org/officeDocument/2006/relationships/hyperlink" Target="https://www.marchofdimes.org/find-support/topics/pregnancy/alcohol-during-pregnancy" TargetMode="External"/><Relationship Id="rId423" Type="http://schemas.openxmlformats.org/officeDocument/2006/relationships/hyperlink" Target="https://medlineplus.gov/copd.html" TargetMode="External"/><Relationship Id="rId258" Type="http://schemas.openxmlformats.org/officeDocument/2006/relationships/hyperlink" Target="https://scdhec.gov/environment/your-home/lead" TargetMode="External"/><Relationship Id="rId465" Type="http://schemas.openxmlformats.org/officeDocument/2006/relationships/hyperlink" Target="https://www.cdc.gov/about/sdoh/index.html" TargetMode="External"/><Relationship Id="rId630" Type="http://schemas.openxmlformats.org/officeDocument/2006/relationships/hyperlink" Target="https://www.scchamber.net/" TargetMode="External"/><Relationship Id="rId22" Type="http://schemas.openxmlformats.org/officeDocument/2006/relationships/hyperlink" Target="https://health.gov/healthypeople/priority-areas/health-equity-healthy-people-2030" TargetMode="External"/><Relationship Id="rId64" Type="http://schemas.openxmlformats.org/officeDocument/2006/relationships/hyperlink" Target="https://scorh.net/" TargetMode="External"/><Relationship Id="rId118" Type="http://schemas.openxmlformats.org/officeDocument/2006/relationships/hyperlink" Target="https://doi.org/10.1001/jama.2014.7346" TargetMode="External"/><Relationship Id="rId325" Type="http://schemas.openxmlformats.org/officeDocument/2006/relationships/hyperlink" Target="https://stacks.cdc.gov/view/cdc/46013" TargetMode="External"/><Relationship Id="rId367" Type="http://schemas.openxmlformats.org/officeDocument/2006/relationships/hyperlink" Target="https://www.cdc.gov/vitalsigns/cervical-can-cer/index.html" TargetMode="External"/><Relationship Id="rId532" Type="http://schemas.openxmlformats.org/officeDocument/2006/relationships/hyperlink" Target="https://www.scahec.net/" TargetMode="External"/><Relationship Id="rId574" Type="http://schemas.openxmlformats.org/officeDocument/2006/relationships/hyperlink" Target="https://www.cdc.gov/ncbddd/disabilityandhealth/impacts/south-carolina.html" TargetMode="External"/><Relationship Id="rId171" Type="http://schemas.openxmlformats.org/officeDocument/2006/relationships/hyperlink" Target="https://www.ahrq.gov/research/findings/factsheets/primary/pcwork2/index.html" TargetMode="External"/><Relationship Id="rId227" Type="http://schemas.openxmlformats.org/officeDocument/2006/relationships/hyperlink" Target="https://www.cdc.gov/breastfeeding/about-breastfeeding/why-it-matters.html" TargetMode="External"/><Relationship Id="rId269" Type="http://schemas.openxmlformats.org/officeDocument/2006/relationships/hyperlink" Target="https://www.cdc.gov/marijuana/health-effects/teens.html" TargetMode="External"/><Relationship Id="rId434" Type="http://schemas.openxmlformats.org/officeDocument/2006/relationships/hyperlink" Target="https://www.cdc.gov/arthritis/data_statistics/cost.htm" TargetMode="External"/><Relationship Id="rId476" Type="http://schemas.openxmlformats.org/officeDocument/2006/relationships/hyperlink" Target="https://cmasc.org/" TargetMode="External"/><Relationship Id="rId641" Type="http://schemas.openxmlformats.org/officeDocument/2006/relationships/hyperlink" Target="https://ed.sc.gov/" TargetMode="External"/><Relationship Id="rId33" Type="http://schemas.openxmlformats.org/officeDocument/2006/relationships/hyperlink" Target="https://diabetes.org/sites/default/files/2022-04/ADV_2022_State_Fact_sheets_all_rev_SC-4-4-22.pdf" TargetMode="External"/><Relationship Id="rId129" Type="http://schemas.openxmlformats.org/officeDocument/2006/relationships/hyperlink" Target="https://doi.org/10.1111/j.1468-0009.2005.00409.x" TargetMode="External"/><Relationship Id="rId280" Type="http://schemas.openxmlformats.org/officeDocument/2006/relationships/hyperlink" Target="https://developingchild.harvard.edu/resources/aces-and-toxic-stress-frequently-asked-questions/" TargetMode="External"/><Relationship Id="rId336" Type="http://schemas.openxmlformats.org/officeDocument/2006/relationships/hyperlink" Target="https://www.cdc.gov/tobacco/health-equity/african-american/unfair-and-unjust.html" TargetMode="External"/><Relationship Id="rId501" Type="http://schemas.openxmlformats.org/officeDocument/2006/relationships/hyperlink" Target="https://scorh.net/bobc2/" TargetMode="External"/><Relationship Id="rId543" Type="http://schemas.openxmlformats.org/officeDocument/2006/relationships/hyperlink" Target="https://scha.org/" TargetMode="External"/><Relationship Id="rId75" Type="http://schemas.openxmlformats.org/officeDocument/2006/relationships/hyperlink" Target="https://doi.org/10.1002/9781118410868.wbehibs395" TargetMode="External"/><Relationship Id="rId140" Type="http://schemas.openxmlformats.org/officeDocument/2006/relationships/hyperlink" Target="https://ldi.upenn.edu/our-work/research-updates/the-ripple-effect-of-neighborhood-crime/" TargetMode="External"/><Relationship Id="rId182" Type="http://schemas.openxmlformats.org/officeDocument/2006/relationships/hyperlink" Target="https://scdhec.gov/health-professionals/health%20care-associated-infections-hai-division-acute-disease-epidemiology/hida-public-reports" TargetMode="External"/><Relationship Id="rId378" Type="http://schemas.openxmlformats.org/officeDocument/2006/relationships/hyperlink" Target="https://www.nimh.nih.gov/health/publications/chronic-illness-mental-health" TargetMode="External"/><Relationship Id="rId403" Type="http://schemas.openxmlformats.org/officeDocument/2006/relationships/hyperlink" Target="https://www.cdc.gov/violenceprevention/firearms/fastfact.html" TargetMode="External"/><Relationship Id="rId585" Type="http://schemas.openxmlformats.org/officeDocument/2006/relationships/hyperlink" Target="https://www.childhealthdata.org/learn-about-the-nsch/NSCH" TargetMode="External"/><Relationship Id="rId6" Type="http://schemas.openxmlformats.org/officeDocument/2006/relationships/footnotes" Target="footnotes.xml"/><Relationship Id="rId238" Type="http://schemas.openxmlformats.org/officeDocument/2006/relationships/hyperlink" Target="https://www.cdc.gov/drowning/facts/index.html" TargetMode="External"/><Relationship Id="rId445" Type="http://schemas.openxmlformats.org/officeDocument/2006/relationships/hyperlink" Target="https://www.cdc.gov/transportationsafety/older_adult_drivers/index.html" TargetMode="External"/><Relationship Id="rId487" Type="http://schemas.openxmlformats.org/officeDocument/2006/relationships/hyperlink" Target="https://www.scdhhs.gov/resources/health-managed-care-plans/healthy-connections-prime" TargetMode="External"/><Relationship Id="rId610" Type="http://schemas.openxmlformats.org/officeDocument/2006/relationships/hyperlink" Target="https://www.epa.gov/air-emissions-inventories/national-emissions-inventory-nei" TargetMode="External"/><Relationship Id="rId652" Type="http://schemas.openxmlformats.org/officeDocument/2006/relationships/hyperlink" Target="https://states.aarp.org/south-carolina/" TargetMode="External"/><Relationship Id="rId291" Type="http://schemas.openxmlformats.org/officeDocument/2006/relationships/hyperlink" Target="https://www.apha.org/-/media/Files/PDF/SBHC/Dropout_Crisis.ashx" TargetMode="External"/><Relationship Id="rId305" Type="http://schemas.openxmlformats.org/officeDocument/2006/relationships/hyperlink" Target="https://www.cdc.gov/bloodpressure/facts.htm" TargetMode="External"/><Relationship Id="rId347" Type="http://schemas.openxmlformats.org/officeDocument/2006/relationships/hyperlink" Target="http://dx.doi.org/10.15585/mmwr.mm6524a4external%20icon" TargetMode="External"/><Relationship Id="rId512" Type="http://schemas.openxmlformats.org/officeDocument/2006/relationships/hyperlink" Target="https://www.sc.edu/study/colleges_schools/public_health/research/research_centers/care/index.php" TargetMode="External"/><Relationship Id="rId44" Type="http://schemas.openxmlformats.org/officeDocument/2006/relationships/hyperlink" Target="https://scdhec.gov/sites/default/files/Library/CR-013357.pdf" TargetMode="External"/><Relationship Id="rId86" Type="http://schemas.openxmlformats.org/officeDocument/2006/relationships/hyperlink" Target="https://www.census.gov/data/developers/data-sets.html" TargetMode="External"/><Relationship Id="rId151" Type="http://schemas.openxmlformats.org/officeDocument/2006/relationships/hyperlink" Target="https://scdhec.gov/environment/your-water-coast/how-dhec-measures-surface-water-quality" TargetMode="External"/><Relationship Id="rId389" Type="http://schemas.openxmlformats.org/officeDocument/2006/relationships/hyperlink" Target="file:///Users/emma/ADCO%20Dropbox/Clients/DHEC/Docs/2023%20Docs/23-181-DHEC%20Live%20Healthy%20SC%20Report/Accessible%20Word%20Doc/1.%09https:/www.cdc.gov/stopoverdose/naloxone/index.html" TargetMode="External"/><Relationship Id="rId554" Type="http://schemas.openxmlformats.org/officeDocument/2006/relationships/hyperlink" Target="https://so-sc.org/" TargetMode="External"/><Relationship Id="rId596" Type="http://schemas.openxmlformats.org/officeDocument/2006/relationships/hyperlink" Target="https://dew.sc.gov/" TargetMode="External"/><Relationship Id="rId193" Type="http://schemas.openxmlformats.org/officeDocument/2006/relationships/hyperlink" Target="https://scdhec.gov/covid19)" TargetMode="External"/><Relationship Id="rId207" Type="http://schemas.openxmlformats.org/officeDocument/2006/relationships/hyperlink" Target="https://www.cdc.gov/diabetes/basics/gestational.html" TargetMode="External"/><Relationship Id="rId249" Type="http://schemas.openxmlformats.org/officeDocument/2006/relationships/hyperlink" Target="file:///Users/emma/ADCO%20Dropbox/Clients/DHEC/Docs/2023%20Docs/23-181-DHEC%20Live%20Healthy%20SC%20Report/Accessible%20Word%20Doc/.%20https:/www.kff.org/other/issue-brief/the-impact-of-gun-violence-on-children-and-adolescents" TargetMode="External"/><Relationship Id="rId414" Type="http://schemas.openxmlformats.org/officeDocument/2006/relationships/hyperlink" Target="https://www.cdc.gov/hiv/basics/whatishiv.html" TargetMode="External"/><Relationship Id="rId456" Type="http://schemas.openxmlformats.org/officeDocument/2006/relationships/hyperlink" Target="https://doi.org/10.1016/j.jagp.2020.05.004" TargetMode="External"/><Relationship Id="rId498" Type="http://schemas.openxmlformats.org/officeDocument/2006/relationships/hyperlink" Target="https://hope.connectsyou.org/welcome.cfm" TargetMode="External"/><Relationship Id="rId621" Type="http://schemas.openxmlformats.org/officeDocument/2006/relationships/hyperlink" Target="https://www.scfoodpolicy.org/" TargetMode="External"/><Relationship Id="rId13" Type="http://schemas.openxmlformats.org/officeDocument/2006/relationships/hyperlink" Target="https://www.naccho.org/programs/public-health-infrastructure/performance-improvement/community-health-assessment/mapp" TargetMode="External"/><Relationship Id="rId109" Type="http://schemas.openxmlformats.org/officeDocument/2006/relationships/hyperlink" Target="https://doi.org/10.1177/0033354920979807" TargetMode="External"/><Relationship Id="rId260" Type="http://schemas.openxmlformats.org/officeDocument/2006/relationships/hyperlink" Target="https://dc.statelibrary.sc.gov/handle/10827/25243" TargetMode="External"/><Relationship Id="rId316" Type="http://schemas.openxmlformats.org/officeDocument/2006/relationships/hyperlink" Target="https://www.cdc.gov/nchs/data/hus/2017/019.pdf" TargetMode="External"/><Relationship Id="rId523" Type="http://schemas.openxmlformats.org/officeDocument/2006/relationships/hyperlink" Target="https://www.marchforbabies.org/" TargetMode="External"/><Relationship Id="rId55" Type="http://schemas.openxmlformats.org/officeDocument/2006/relationships/hyperlink" Target="https://data.census.gov/table?q=south+carolina+P2" TargetMode="External"/><Relationship Id="rId97" Type="http://schemas.openxmlformats.org/officeDocument/2006/relationships/hyperlink" Target="https://www.usich.gov/All_In_The_Federal_Strategic_Plan_to_Prevent_and_End_Homelessness.pdf" TargetMode="External"/><Relationship Id="rId120" Type="http://schemas.openxmlformats.org/officeDocument/2006/relationships/hyperlink" Target="https://doi.org/10.1001/jamanetworkopen.2022.23236" TargetMode="External"/><Relationship Id="rId358" Type="http://schemas.openxmlformats.org/officeDocument/2006/relationships/hyperlink" Target="https://www.cancer.org/cancer/types/lung-cancer/causes-risks-prevention/risk-factors.html" TargetMode="External"/><Relationship Id="rId565" Type="http://schemas.openxmlformats.org/officeDocument/2006/relationships/hyperlink" Target="https://scdhec.gov/environment/your-home/drinking-water-protection-program-overview/drinking-water-quality" TargetMode="External"/><Relationship Id="rId162" Type="http://schemas.openxmlformats.org/officeDocument/2006/relationships/hyperlink" Target="https://health.gov/healthypeople/objectives-and-data/browse-objectives/health-care-access-and-quality/reduce-proportion-people-who-cant-get-medical-care-when-they-need-it-ahs-04" TargetMode="External"/><Relationship Id="rId218" Type="http://schemas.openxmlformats.org/officeDocument/2006/relationships/hyperlink" Target="https://www.cdc.gov/reproductivehealth/maternalinfanthealth/pretermbirth.htm" TargetMode="External"/><Relationship Id="rId425" Type="http://schemas.openxmlformats.org/officeDocument/2006/relationships/hyperlink" Target="https://www.mayoclinic.org/diseases-conditions/copd/symptoms-causes/syc-20353679" TargetMode="External"/><Relationship Id="rId467" Type="http://schemas.openxmlformats.org/officeDocument/2006/relationships/hyperlink" Target="http://www.healthiersc.org/" TargetMode="External"/><Relationship Id="rId632" Type="http://schemas.openxmlformats.org/officeDocument/2006/relationships/hyperlink" Target="https://foodsharesc.org/" TargetMode="External"/><Relationship Id="rId271" Type="http://schemas.openxmlformats.org/officeDocument/2006/relationships/hyperlink" Target="https://www.ncbi.nlm.nih.gov/books/NBK99237/" TargetMode="External"/><Relationship Id="rId24" Type="http://schemas.openxmlformats.org/officeDocument/2006/relationships/hyperlink" Target="https://www.cdc.gov/healthequity/about/index.html" TargetMode="External"/><Relationship Id="rId66" Type="http://schemas.openxmlformats.org/officeDocument/2006/relationships/hyperlink" Target="https://doi.org/10.2105/ajph.2020.305895" TargetMode="External"/><Relationship Id="rId131" Type="http://schemas.openxmlformats.org/officeDocument/2006/relationships/hyperlink" Target="https://www.census.gov/data/developers/data-sets.html" TargetMode="External"/><Relationship Id="rId327" Type="http://schemas.openxmlformats.org/officeDocument/2006/relationships/hyperlink" Target="https://www.cdc.gov/oralhealth/fast-facts/diabetes/index.html" TargetMode="External"/><Relationship Id="rId369" Type="http://schemas.openxmlformats.org/officeDocument/2006/relationships/hyperlink" Target="http://www.seer.cancer.gov/" TargetMode="External"/><Relationship Id="rId534" Type="http://schemas.openxmlformats.org/officeDocument/2006/relationships/hyperlink" Target="https://scahu.org/" TargetMode="External"/><Relationship Id="rId576" Type="http://schemas.openxmlformats.org/officeDocument/2006/relationships/hyperlink" Target="https://scdhec.gov/sites/default/files/media/document/CR-012574_Jan%202023_update%20FINAL.pdf" TargetMode="External"/><Relationship Id="rId173" Type="http://schemas.openxmlformats.org/officeDocument/2006/relationships/hyperlink" Target="https://www.cdc.gov/mentalhealth/learn/index.htm" TargetMode="External"/><Relationship Id="rId229" Type="http://schemas.openxmlformats.org/officeDocument/2006/relationships/hyperlink" Target="https://doi.org/101177/2333794X19847923.%202019;6.%20doi:10.1177/2333794X19847923" TargetMode="External"/><Relationship Id="rId380" Type="http://schemas.openxmlformats.org/officeDocument/2006/relationships/hyperlink" Target="https://www.samhsa.gov/adult-drug-use" TargetMode="External"/><Relationship Id="rId436" Type="http://schemas.openxmlformats.org/officeDocument/2006/relationships/hyperlink" Target="https://www.cdc.gov/stillgoingstrong/about/common-injuries-as-we-age.html" TargetMode="External"/><Relationship Id="rId601" Type="http://schemas.openxmlformats.org/officeDocument/2006/relationships/hyperlink" Target="https://scdhec.gov/health/oral-health/child-and-teen-oral-health/sc-oral-health-statewide-screening" TargetMode="External"/><Relationship Id="rId643" Type="http://schemas.openxmlformats.org/officeDocument/2006/relationships/hyperlink" Target="http://www.familyconnectionsc.org/" TargetMode="External"/><Relationship Id="rId240" Type="http://schemas.openxmlformats.org/officeDocument/2006/relationships/hyperlink" Target="https://www.cdc.gov/injury/wisqars/" TargetMode="External"/><Relationship Id="rId478" Type="http://schemas.openxmlformats.org/officeDocument/2006/relationships/hyperlink" Target="http://www.scha.org/" TargetMode="External"/><Relationship Id="rId35" Type="http://schemas.openxmlformats.org/officeDocument/2006/relationships/hyperlink" Target="https://doi.org/10.2105/ajph.2013.301420" TargetMode="External"/><Relationship Id="rId77" Type="http://schemas.openxmlformats.org/officeDocument/2006/relationships/hyperlink" Target="https://doi.org/10.1093/epirev/mxh003" TargetMode="External"/><Relationship Id="rId100" Type="http://schemas.openxmlformats.org/officeDocument/2006/relationships/hyperlink" Target="https://dhds.cdc.gov/" TargetMode="External"/><Relationship Id="rId282" Type="http://schemas.openxmlformats.org/officeDocument/2006/relationships/hyperlink" Target="https://seer.cancer.gov/" TargetMode="External"/><Relationship Id="rId338" Type="http://schemas.openxmlformats.org/officeDocument/2006/relationships/hyperlink" Target="https://www.ncbi.nlm.nih.gov/books/NBK425844/" TargetMode="External"/><Relationship Id="rId503" Type="http://schemas.openxmlformats.org/officeDocument/2006/relationships/hyperlink" Target="https://scha.org/initiatives/healthier-communities/accesshealth/" TargetMode="External"/><Relationship Id="rId545" Type="http://schemas.openxmlformats.org/officeDocument/2006/relationships/hyperlink" Target="https://www.scmedical.org/" TargetMode="External"/><Relationship Id="rId587" Type="http://schemas.openxmlformats.org/officeDocument/2006/relationships/hyperlink" Target="https://www.cdc.gov/vaccines/imz-managers/nis/index.html" TargetMode="External"/><Relationship Id="rId8" Type="http://schemas.openxmlformats.org/officeDocument/2006/relationships/hyperlink" Target="https://scdhec.gov/sha" TargetMode="External"/><Relationship Id="rId142" Type="http://schemas.openxmlformats.org/officeDocument/2006/relationships/hyperlink" Target="file:///Users/emma/ADCO%20Dropbox/Clients/DHEC/Docs/2023%20Docs/23-181-DHEC%20Live%20Healthy%20SC%20Report/Accessible%20Word%20Doc/1.%09https:/www.feedingamerica.org/hunger-in-america/food-insecurity" TargetMode="External"/><Relationship Id="rId184" Type="http://schemas.openxmlformats.org/officeDocument/2006/relationships/hyperlink" Target="https://www.cdc.gov/cdiff/index.html" TargetMode="External"/><Relationship Id="rId391" Type="http://schemas.openxmlformats.org/officeDocument/2006/relationships/hyperlink" Target="file:///Users/emma/ADCO%20Dropbox/Clients/DHEC/Docs/2023%20Docs/23-181-DHEC%20Live%20Healthy%20SC%20Report/Accessible%20Word%20Doc/1.%09https:/www.cdc.gov/drugoverdose/deaths/other-drugs.html" TargetMode="External"/><Relationship Id="rId405" Type="http://schemas.openxmlformats.org/officeDocument/2006/relationships/hyperlink" Target="https://www.cdc.gov/injury/stateprograms/coresipp/index.html/" TargetMode="External"/><Relationship Id="rId447" Type="http://schemas.openxmlformats.org/officeDocument/2006/relationships/hyperlink" Target="https://doi.org/10.1186/s40621-021-00299-w" TargetMode="External"/><Relationship Id="rId612" Type="http://schemas.openxmlformats.org/officeDocument/2006/relationships/hyperlink" Target="https://scdhec.gov/health/women-infants-children-wic-nutrition-program" TargetMode="External"/><Relationship Id="rId251" Type="http://schemas.openxmlformats.org/officeDocument/2006/relationships/hyperlink" Target="https://www.biausa.org/children-what-to-expect" TargetMode="External"/><Relationship Id="rId489" Type="http://schemas.openxmlformats.org/officeDocument/2006/relationships/hyperlink" Target="https://dss.sc.gov/about/" TargetMode="External"/><Relationship Id="rId654" Type="http://schemas.openxmlformats.org/officeDocument/2006/relationships/hyperlink" Target="http://livehealthy.sc.gov/" TargetMode="External"/><Relationship Id="rId46" Type="http://schemas.openxmlformats.org/officeDocument/2006/relationships/hyperlink" Target="https://www.nichd.nih.gov/health/topics/infant-mortality" TargetMode="External"/><Relationship Id="rId293" Type="http://schemas.openxmlformats.org/officeDocument/2006/relationships/hyperlink" Target="https://www.healthline.com/health/leading-causes-of-death" TargetMode="External"/><Relationship Id="rId307" Type="http://schemas.openxmlformats.org/officeDocument/2006/relationships/hyperlink" Target="https://www.heart.org/en/health-topics/high-blood-pressure/why-high-blood-pressure-is-a-silent-killer/know-your-risk-factors-for-high-blood-pressure" TargetMode="External"/><Relationship Id="rId349" Type="http://schemas.openxmlformats.org/officeDocument/2006/relationships/hyperlink" Target="https://www.census.gov/data-tools/demo/sahie/" TargetMode="External"/><Relationship Id="rId514" Type="http://schemas.openxmlformats.org/officeDocument/2006/relationships/hyperlink" Target="https://scchildren.org/" TargetMode="External"/><Relationship Id="rId556" Type="http://schemas.openxmlformats.org/officeDocument/2006/relationships/hyperlink" Target="https://www.tidelandshealth.org/" TargetMode="External"/><Relationship Id="rId88" Type="http://schemas.openxmlformats.org/officeDocument/2006/relationships/hyperlink" Target="https://www.census.gov/data/developers/data-sets.html" TargetMode="External"/><Relationship Id="rId111" Type="http://schemas.openxmlformats.org/officeDocument/2006/relationships/hyperlink" Target="https://www.census.gov/data/developers/data-sets.html" TargetMode="External"/><Relationship Id="rId153" Type="http://schemas.openxmlformats.org/officeDocument/2006/relationships/hyperlink" Target="https://scdhec.gov/environment/your-home/drinking-water-protection-program-overview" TargetMode="External"/><Relationship Id="rId195" Type="http://schemas.openxmlformats.org/officeDocument/2006/relationships/hyperlink" Target="https://www.cdc.gov/reproductivehealth/maternalinfanthealth/infantmortality.htm" TargetMode="External"/><Relationship Id="rId209" Type="http://schemas.openxmlformats.org/officeDocument/2006/relationships/hyperlink" Target="https://www.nih.gov/news-events/nih-research-matters/treating-mild-gestational-diabetes-reduces-birth-complications" TargetMode="External"/><Relationship Id="rId360" Type="http://schemas.openxmlformats.org/officeDocument/2006/relationships/hyperlink" Target="https://seer.cancer.gov/statfacts/html/common.html" TargetMode="External"/><Relationship Id="rId416" Type="http://schemas.openxmlformats.org/officeDocument/2006/relationships/hyperlink" Target="https://www.cdc.gov/chronicdisease/resources/publications/factsheets/promoting-health-for-older-adults.htm" TargetMode="External"/><Relationship Id="rId598" Type="http://schemas.openxmlformats.org/officeDocument/2006/relationships/hyperlink" Target="https://scdhec.gov/fitnessgram" TargetMode="External"/><Relationship Id="rId220" Type="http://schemas.openxmlformats.org/officeDocument/2006/relationships/hyperlink" Target="https://www.marchofdimes.org/find-support/topics/birth/premature-babies" TargetMode="External"/><Relationship Id="rId458" Type="http://schemas.openxmlformats.org/officeDocument/2006/relationships/hyperlink" Target="https://www.hhs.gov/immunization/who-and-when/adults/seniors/index.html" TargetMode="External"/><Relationship Id="rId623" Type="http://schemas.openxmlformats.org/officeDocument/2006/relationships/hyperlink" Target="http://www.able-sc.org/" TargetMode="External"/><Relationship Id="rId15" Type="http://schemas.openxmlformats.org/officeDocument/2006/relationships/hyperlink" Target="https://www.cdc.gov/nchs/nvss/bridged_race.htm" TargetMode="External"/><Relationship Id="rId57" Type="http://schemas.openxmlformats.org/officeDocument/2006/relationships/hyperlink" Target="https://doi.org/10.1186/s40985-016-0043-2" TargetMode="External"/><Relationship Id="rId262" Type="http://schemas.openxmlformats.org/officeDocument/2006/relationships/hyperlink" Target="https://mhanational.org/issues/state-mental-health-america" TargetMode="External"/><Relationship Id="rId318" Type="http://schemas.openxmlformats.org/officeDocument/2006/relationships/hyperlink" Target="https://doi.org/10.2337/dc18-1226" TargetMode="External"/><Relationship Id="rId525" Type="http://schemas.openxmlformats.org/officeDocument/2006/relationships/hyperlink" Target="https://web.musc.edu/" TargetMode="External"/><Relationship Id="rId567" Type="http://schemas.openxmlformats.org/officeDocument/2006/relationships/hyperlink" Target="https://scdhec.gov/sites/default/files/Library/CR-012491.pdf" TargetMode="External"/><Relationship Id="rId99" Type="http://schemas.openxmlformats.org/officeDocument/2006/relationships/hyperlink" Target="https://www.ada.gov/topics/intro-to-ada/" TargetMode="External"/><Relationship Id="rId122" Type="http://schemas.openxmlformats.org/officeDocument/2006/relationships/hyperlink" Target="https://www.va.gov/vetdata/Veteran_Population.asp" TargetMode="External"/><Relationship Id="rId164" Type="http://schemas.openxmlformats.org/officeDocument/2006/relationships/hyperlink" Target="https://innovation.cms.gov/files/x/tcpi-changepkgmod-edvisits.pdf" TargetMode="External"/><Relationship Id="rId371" Type="http://schemas.openxmlformats.org/officeDocument/2006/relationships/hyperlink" Target="https://www.cancer.org/cancer/prostate-cancer/causes-risks-prevention/risk-factors.html" TargetMode="External"/><Relationship Id="rId427" Type="http://schemas.openxmlformats.org/officeDocument/2006/relationships/hyperlink" Target="https://www.who.int/news-room/fact-sheets/detail/chronic-obstructive-pulmonary-disease-(copd)" TargetMode="External"/><Relationship Id="rId469" Type="http://schemas.openxmlformats.org/officeDocument/2006/relationships/hyperlink" Target="http://www.able-sc.org/" TargetMode="External"/><Relationship Id="rId634" Type="http://schemas.openxmlformats.org/officeDocument/2006/relationships/hyperlink" Target="https://vip.scdhhs.gov/boi/" TargetMode="External"/><Relationship Id="rId26" Type="http://schemas.openxmlformats.org/officeDocument/2006/relationships/hyperlink" Target="https://www.epa.gov/environmentaljustice/ej-2020-national-ej-challenges" TargetMode="External"/><Relationship Id="rId231" Type="http://schemas.openxmlformats.org/officeDocument/2006/relationships/hyperlink" Target="https://www.hhs.gov/surgeongeneral/reports-and-publications/breastfeeding/factsheet/index.html" TargetMode="External"/><Relationship Id="rId273" Type="http://schemas.openxmlformats.org/officeDocument/2006/relationships/hyperlink" Target="https://www.cdc.gov/violenceprevention/youthviolence/bullyingresearch/fastfact.html" TargetMode="External"/><Relationship Id="rId329" Type="http://schemas.openxmlformats.org/officeDocument/2006/relationships/hyperlink" Target="https://www.cdc.gov/oralhealth/oral_health_disparities/index.htm" TargetMode="External"/><Relationship Id="rId480" Type="http://schemas.openxmlformats.org/officeDocument/2006/relationships/hyperlink" Target="http://www.scorh.net/" TargetMode="External"/><Relationship Id="rId536" Type="http://schemas.openxmlformats.org/officeDocument/2006/relationships/hyperlink" Target="https://scchwa.org/" TargetMode="External"/><Relationship Id="rId68" Type="http://schemas.openxmlformats.org/officeDocument/2006/relationships/hyperlink" Target="https://www.federalregister.gov/documents/2021/01/19/2021-00988/recommendations-from-the-metropolitan-and-micropolitan-statistical-area-standards-review-committee" TargetMode="External"/><Relationship Id="rId133" Type="http://schemas.openxmlformats.org/officeDocument/2006/relationships/hyperlink" Target="https://www.cdc.gov/%20hepatitis/hcv/hcvfaq.htm" TargetMode="External"/><Relationship Id="rId175" Type="http://schemas.openxmlformats.org/officeDocument/2006/relationships/hyperlink" Target="https://www.nami.org/About-Mental-Illness/Treatments/Types-of-Mental-Health-Professionals" TargetMode="External"/><Relationship Id="rId340" Type="http://schemas.openxmlformats.org/officeDocument/2006/relationships/hyperlink" Target="https://www.cdc.gov/tobacco/health-equity/index.htm" TargetMode="External"/><Relationship Id="rId578" Type="http://schemas.openxmlformats.org/officeDocument/2006/relationships/hyperlink" Target="https://edistoindianfreeclinic.com/index.html" TargetMode="External"/><Relationship Id="rId200" Type="http://schemas.openxmlformats.org/officeDocument/2006/relationships/hyperlink" Target="https://www.cdc.gov/preconception/planning.html" TargetMode="External"/><Relationship Id="rId382" Type="http://schemas.openxmlformats.org/officeDocument/2006/relationships/hyperlink" Target="http://dx.doi.org/10.15585/mmwr.mm7129e2." TargetMode="External"/><Relationship Id="rId438" Type="http://schemas.openxmlformats.org/officeDocument/2006/relationships/hyperlink" Target="https://www.cdc.gov/falls/index.html" TargetMode="External"/><Relationship Id="rId603" Type="http://schemas.openxmlformats.org/officeDocument/2006/relationships/hyperlink" Target="https://rfa.sc.gov/data-research" TargetMode="External"/><Relationship Id="rId645" Type="http://schemas.openxmlformats.org/officeDocument/2006/relationships/hyperlink" Target="https://www.sccancer.org/" TargetMode="External"/><Relationship Id="rId242" Type="http://schemas.openxmlformats.org/officeDocument/2006/relationships/hyperlink" Target="https://www.cdc.gov/injury/wisqars/" TargetMode="External"/><Relationship Id="rId284" Type="http://schemas.openxmlformats.org/officeDocument/2006/relationships/hyperlink" Target="https://archive.cdc.gov/www_cdc_gov/vitalsigns/childhood-asthma/index.html" TargetMode="External"/><Relationship Id="rId491" Type="http://schemas.openxmlformats.org/officeDocument/2006/relationships/hyperlink" Target="https://dss.sc.gov/media/4037/novtab6.pdf" TargetMode="External"/><Relationship Id="rId505" Type="http://schemas.openxmlformats.org/officeDocument/2006/relationships/hyperlink" Target="https://www.astrazeneca.com/" TargetMode="External"/><Relationship Id="rId37" Type="http://schemas.openxmlformats.org/officeDocument/2006/relationships/hyperlink" Target="https://www.liberationnews.org/black-south-carolina-county-has-highest-diabetic-amputation-rate-in-deep-south/" TargetMode="External"/><Relationship Id="rId79" Type="http://schemas.openxmlformats.org/officeDocument/2006/relationships/hyperlink" Target="https://doi.org/10.1186/s13584-019-0306-8" TargetMode="External"/><Relationship Id="rId102" Type="http://schemas.openxmlformats.org/officeDocument/2006/relationships/hyperlink" Target="https://www.census.gov/data/developers/data-sets.html" TargetMode="External"/><Relationship Id="rId144" Type="http://schemas.openxmlformats.org/officeDocument/2006/relationships/hyperlink" Target="https://map.feedingamerica.org/county/2020/overall/south-carolina" TargetMode="External"/><Relationship Id="rId547" Type="http://schemas.openxmlformats.org/officeDocument/2006/relationships/hyperlink" Target="https://scorh.net/" TargetMode="External"/><Relationship Id="rId589" Type="http://schemas.openxmlformats.org/officeDocument/2006/relationships/hyperlink" Target="https://rfa.sc.gov/data-research/population-demographics/census-state-data-center/socioeconomic-data/Population-with-percent-in-poverty-by-county-2011-2020" TargetMode="External"/><Relationship Id="rId90" Type="http://schemas.openxmlformats.org/officeDocument/2006/relationships/hyperlink" Target="https://www.schomeless.org/resources/reports/2022-scich-state-of-homelessness-report/" TargetMode="External"/><Relationship Id="rId186" Type="http://schemas.openxmlformats.org/officeDocument/2006/relationships/hyperlink" Target="https://scdhec.gov/health-professionals/health%20care-associated-infections-hai-division-acute-disease-epidemiology/hida-public-reports" TargetMode="External"/><Relationship Id="rId351" Type="http://schemas.openxmlformats.org/officeDocument/2006/relationships/hyperlink" Target="https://schealthviz.sc.edu/county-profiles" TargetMode="External"/><Relationship Id="rId393" Type="http://schemas.openxmlformats.org/officeDocument/2006/relationships/hyperlink" Target="https://www.cdc.gov/injury/pdfs/researchpriorities/cdc-injury-research-priorities.pdf" TargetMode="External"/><Relationship Id="rId407" Type="http://schemas.openxmlformats.org/officeDocument/2006/relationships/hyperlink" Target="https://www.cdc.gov/transportationsafety/" TargetMode="External"/><Relationship Id="rId449" Type="http://schemas.openxmlformats.org/officeDocument/2006/relationships/hyperlink" Target="https://wonder.cdc.gov/Deaths-by-Underlying-Cause.html" TargetMode="External"/><Relationship Id="rId614" Type="http://schemas.openxmlformats.org/officeDocument/2006/relationships/hyperlink" Target="https://healthiersc.org/" TargetMode="External"/><Relationship Id="rId656" Type="http://schemas.openxmlformats.org/officeDocument/2006/relationships/theme" Target="theme/theme1.xml"/><Relationship Id="rId211" Type="http://schemas.openxmlformats.org/officeDocument/2006/relationships/hyperlink" Target="https://dc.statelibrary.sc.gov/handle/10827/44192" TargetMode="External"/><Relationship Id="rId253" Type="http://schemas.openxmlformats.org/officeDocument/2006/relationships/hyperlink" Target="https://www.cdc.gov/traumaticbraininjury/health-disparities-tbi.html" TargetMode="External"/><Relationship Id="rId295" Type="http://schemas.openxmlformats.org/officeDocument/2006/relationships/hyperlink" Target="https://archive.cdc.gov/www_cdc_gov/media/releases/2018/s0614-obesity-rates.html" TargetMode="External"/><Relationship Id="rId309" Type="http://schemas.openxmlformats.org/officeDocument/2006/relationships/hyperlink" Target="https://wonder.cdc.gov/mcd-icd10.html" TargetMode="External"/><Relationship Id="rId460" Type="http://schemas.openxmlformats.org/officeDocument/2006/relationships/hyperlink" Target="https://www.johnmuirhealth.com/health-education/health-wellness/Immunizations/senior-immuniza-tions.html" TargetMode="External"/><Relationship Id="rId516" Type="http://schemas.openxmlformats.org/officeDocument/2006/relationships/hyperlink" Target="https://constellationqualityhealth.org/" TargetMode="External"/><Relationship Id="rId48" Type="http://schemas.openxmlformats.org/officeDocument/2006/relationships/hyperlink" Target="https://health.gov/healthypeople/objectives-and-data/browse-objectives/infants/reduce-rate-infant-deaths-mich-02" TargetMode="External"/><Relationship Id="rId113" Type="http://schemas.openxmlformats.org/officeDocument/2006/relationships/hyperlink" Target="https://www.ihs.gov/newsroom/factsheets/disparities/" TargetMode="External"/><Relationship Id="rId320" Type="http://schemas.openxmlformats.org/officeDocument/2006/relationships/hyperlink" Target="https://www.cdc.gov/diabetes/basics/diabetes.html" TargetMode="External"/><Relationship Id="rId558" Type="http://schemas.openxmlformats.org/officeDocument/2006/relationships/hyperlink" Target="https://www.uwasc.org/" TargetMode="External"/><Relationship Id="rId155" Type="http://schemas.openxmlformats.org/officeDocument/2006/relationships/hyperlink" Target="https://scdhec.gov/environment/your-home/drinking-water-protection-program-overview/drinking-water-quality" TargetMode="External"/><Relationship Id="rId197" Type="http://schemas.openxmlformats.org/officeDocument/2006/relationships/hyperlink" Target="https://www.cdc.gov/reproductivehealth/maternal-mortality/pregnancy-mortality-surveillance-system.htm" TargetMode="External"/><Relationship Id="rId362" Type="http://schemas.openxmlformats.org/officeDocument/2006/relationships/hyperlink" Target="https://www.cancer.org/cancer/colon-rectal-cancer/detection-diagnosis-staging/acs-recommendations.html" TargetMode="External"/><Relationship Id="rId418" Type="http://schemas.openxmlformats.org/officeDocument/2006/relationships/hyperlink" Target="https://health.gov/healthypeople/objectives-and-data/browse-objectives/older-adults" TargetMode="External"/><Relationship Id="rId625" Type="http://schemas.openxmlformats.org/officeDocument/2006/relationships/hyperlink" Target="https://scthrive.org/" TargetMode="External"/><Relationship Id="rId222" Type="http://schemas.openxmlformats.org/officeDocument/2006/relationships/hyperlink" Target="file:///Users/emma/ADCO%20Dropbox/Clients/DHEC/Docs/2023%20Docs/23-181-DHEC%20Live%20Healthy%20SC%20Report/Accessible%20Word%20Doc/27.%09https:/www.marchofdimes.org/find-support/topics/birth/low-birthweight" TargetMode="External"/><Relationship Id="rId264" Type="http://schemas.openxmlformats.org/officeDocument/2006/relationships/hyperlink" Target="https://www.hopkinsmedicine.org/health/conditions-and-diseases/teen-suicide" TargetMode="External"/><Relationship Id="rId471" Type="http://schemas.openxmlformats.org/officeDocument/2006/relationships/hyperlink" Target="https://www.scruralhealth.org/" TargetMode="External"/><Relationship Id="rId17" Type="http://schemas.openxmlformats.org/officeDocument/2006/relationships/hyperlink" Target="https://www.naccho.org/programs/public-health-infrastructure/performance-improvement/community-health-assessment/mapp/phase-3-the-four-assessments" TargetMode="External"/><Relationship Id="rId59" Type="http://schemas.openxmlformats.org/officeDocument/2006/relationships/hyperlink" Target="http://dx.doi.org/10.18235/0002432" TargetMode="External"/><Relationship Id="rId124" Type="http://schemas.openxmlformats.org/officeDocument/2006/relationships/hyperlink" Target="https://www.census.gov/data/developers/data-sets.html" TargetMode="External"/><Relationship Id="rId527" Type="http://schemas.openxmlformats.org/officeDocument/2006/relationships/hyperlink" Target="https://newmorning.org/" TargetMode="External"/><Relationship Id="rId569" Type="http://schemas.openxmlformats.org/officeDocument/2006/relationships/hyperlink" Target="https://www.countyhealthrankings.org/" TargetMode="External"/><Relationship Id="rId70" Type="http://schemas.openxmlformats.org/officeDocument/2006/relationships/hyperlink" Target="https://doi.org/10.15585/mmwr.ss6623a1" TargetMode="External"/><Relationship Id="rId166" Type="http://schemas.openxmlformats.org/officeDocument/2006/relationships/hyperlink" Target="https://www.kff.org/other/state-indicator/primary-care-health-professional-shortage-areas-hpsas/?currentTimeframe=0&amp;sortModel=%7B%22colId%22%3A%22Location%22%2C%22sort%22%3A%22asc%22%7D" TargetMode="External"/><Relationship Id="rId331" Type="http://schemas.openxmlformats.org/officeDocument/2006/relationships/hyperlink" Target="https://archive.cdc.gov/" TargetMode="External"/><Relationship Id="rId373" Type="http://schemas.openxmlformats.org/officeDocument/2006/relationships/hyperlink" Target="https://doi.org/10.1016/j.amepre.2021.08.032" TargetMode="External"/><Relationship Id="rId429" Type="http://schemas.openxmlformats.org/officeDocument/2006/relationships/hyperlink" Target="https://www.alz.org/media/Documents/southcarolina-alzheimers-facts-figures-2023.pdf" TargetMode="External"/><Relationship Id="rId580" Type="http://schemas.openxmlformats.org/officeDocument/2006/relationships/hyperlink" Target="https://www.nhtsa.gov/research-data/fatality-analysis-reporting-system-fars" TargetMode="External"/><Relationship Id="rId636" Type="http://schemas.openxmlformats.org/officeDocument/2006/relationships/hyperlink" Target="https://psichapters.com/sc/" TargetMode="External"/><Relationship Id="rId1" Type="http://schemas.openxmlformats.org/officeDocument/2006/relationships/customXml" Target="../customXml/item1.xml"/><Relationship Id="rId233" Type="http://schemas.openxmlformats.org/officeDocument/2006/relationships/hyperlink" Target="https://health.gov/healthypeople" TargetMode="External"/><Relationship Id="rId440" Type="http://schemas.openxmlformats.org/officeDocument/2006/relationships/hyperlink" Target="https://www.cdc.gov/falls/facts.html" TargetMode="External"/><Relationship Id="rId28" Type="http://schemas.openxmlformats.org/officeDocument/2006/relationships/hyperlink" Target="https://www.ruralhealthinfo.org/toolkits/emergency-preparedness/case-studies/preparedness-and-partnerships/environmental-justice-strong" TargetMode="External"/><Relationship Id="rId275" Type="http://schemas.openxmlformats.org/officeDocument/2006/relationships/hyperlink" Target="http://wonder.cdc.gov/natality-expanded-current.html." TargetMode="External"/><Relationship Id="rId300" Type="http://schemas.openxmlformats.org/officeDocument/2006/relationships/hyperlink" Target="https://www.nhlbi.nih.gov/health/blood-cholesterol" TargetMode="External"/><Relationship Id="rId482" Type="http://schemas.openxmlformats.org/officeDocument/2006/relationships/hyperlink" Target="https://www.apha.org/" TargetMode="External"/><Relationship Id="rId538" Type="http://schemas.openxmlformats.org/officeDocument/2006/relationships/hyperlink" Target="https://scdhec.gov/" TargetMode="External"/><Relationship Id="rId81" Type="http://schemas.openxmlformats.org/officeDocument/2006/relationships/hyperlink" Target="https://data.census.gov/" TargetMode="External"/><Relationship Id="rId135" Type="http://schemas.openxmlformats.org/officeDocument/2006/relationships/hyperlink" Target="https://www.eli.org/brownfields-program/brownfields-basics" TargetMode="External"/><Relationship Id="rId177" Type="http://schemas.openxmlformats.org/officeDocument/2006/relationships/hyperlink" Target="https://lecom.edu/dental/dental-ca-reer/" TargetMode="External"/><Relationship Id="rId342" Type="http://schemas.openxmlformats.org/officeDocument/2006/relationships/hyperlink" Target="https://www.tobaccofreekids.org/problem/toll-us/south_carolina" TargetMode="External"/><Relationship Id="rId384" Type="http://schemas.openxmlformats.org/officeDocument/2006/relationships/hyperlink" Target="https://www.cdc.gov/pwid/opioid-use.html" TargetMode="External"/><Relationship Id="rId591" Type="http://schemas.openxmlformats.org/officeDocument/2006/relationships/hyperlink" Target="https://www.census.gov/programs-surveys/sahie.html" TargetMode="External"/><Relationship Id="rId605" Type="http://schemas.openxmlformats.org/officeDocument/2006/relationships/hyperlink" Target="https://scdhec.gov/vital-records" TargetMode="External"/><Relationship Id="rId202" Type="http://schemas.openxmlformats.org/officeDocument/2006/relationships/hyperlink" Target="https://www.cdc.gov/preconception/planning.html" TargetMode="External"/><Relationship Id="rId244" Type="http://schemas.openxmlformats.org/officeDocument/2006/relationships/hyperlink" Target="https://www.un.org/youthenvoy/2015/12/youth-violence-is-a-global-public-health-problem-who/" TargetMode="External"/><Relationship Id="rId647" Type="http://schemas.openxmlformats.org/officeDocument/2006/relationships/hyperlink" Target="https://scdmh.net/" TargetMode="External"/><Relationship Id="rId39" Type="http://schemas.openxmlformats.org/officeDocument/2006/relationships/hyperlink" Target="https://www.cdc.gov/reproductivehealth/maternal-mortality/pregnancy-mortality-surveillance-system.htm" TargetMode="External"/><Relationship Id="rId286" Type="http://schemas.openxmlformats.org/officeDocument/2006/relationships/hyperlink" Target="https://www.who.int/health-topics/%20vaccines-and-immunization" TargetMode="External"/><Relationship Id="rId451" Type="http://schemas.openxmlformats.org/officeDocument/2006/relationships/hyperlink" Target="https://www.cdc.gov/violenceprevention/elderabuse/fastfact.html" TargetMode="External"/><Relationship Id="rId493" Type="http://schemas.openxmlformats.org/officeDocument/2006/relationships/hyperlink" Target="https://www.healthinsurance.org/health-insurance-marketplaces/south-carolina/" TargetMode="External"/><Relationship Id="rId507" Type="http://schemas.openxmlformats.org/officeDocument/2006/relationships/hyperlink" Target="https://bdtrust.org/sc-benefits-center/" TargetMode="External"/><Relationship Id="rId549" Type="http://schemas.openxmlformats.org/officeDocument/2006/relationships/hyperlink" Target="https://sctelehealth.org/" TargetMode="External"/><Relationship Id="rId50" Type="http://schemas.openxmlformats.org/officeDocument/2006/relationships/hyperlink" Target="https://scdhec.gov/news-releases/drug-overdose-deaths-south-carolina-continue-alarming-increase-dhec-daodas-share" TargetMode="External"/><Relationship Id="rId104" Type="http://schemas.openxmlformats.org/officeDocument/2006/relationships/hyperlink" Target="https://www.census.gov/data/developers/data-sets.html" TargetMode="External"/><Relationship Id="rId146" Type="http://schemas.openxmlformats.org/officeDocument/2006/relationships/hyperlink" Target="https://www.law.cornell.edu/wex/clean_air_act_(caa)" TargetMode="External"/><Relationship Id="rId188" Type="http://schemas.openxmlformats.org/officeDocument/2006/relationships/hyperlink" Target="https://www.cdc.gov/museum/timeline/covid19.html" TargetMode="External"/><Relationship Id="rId311" Type="http://schemas.openxmlformats.org/officeDocument/2006/relationships/hyperlink" Target="https://www.cdc.gov/heartdisease/about.htm" TargetMode="External"/><Relationship Id="rId353" Type="http://schemas.openxmlformats.org/officeDocument/2006/relationships/hyperlink" Target="https://dx.doi.org/10.15620/cdc:112079" TargetMode="External"/><Relationship Id="rId395" Type="http://schemas.openxmlformats.org/officeDocument/2006/relationships/hyperlink" Target="http://www.cdc.gov/injury/wisqars" TargetMode="External"/><Relationship Id="rId409" Type="http://schemas.openxmlformats.org/officeDocument/2006/relationships/hyperlink" Target="file:///Users/emma/ADCO%20Dropbox/Clients/DHEC/Docs/2023%20Docs/23-181-DHEC%20Live%20Healthy%20SC%20Report/Accessible%20Word%20Doc/1.%09https:/www.cdc.gov/vitalsigns/pdf/2016-07-vitalsigns.pdf" TargetMode="External"/><Relationship Id="rId560" Type="http://schemas.openxmlformats.org/officeDocument/2006/relationships/hyperlink" Target="https://sc.edu/study/colleges_schools/pharmacy/index.php" TargetMode="External"/><Relationship Id="rId92" Type="http://schemas.openxmlformats.org/officeDocument/2006/relationships/hyperlink" Target="https://doi.org/10.3390/ijerph14121535" TargetMode="External"/><Relationship Id="rId213" Type="http://schemas.openxmlformats.org/officeDocument/2006/relationships/hyperlink" Target="https://www.nichd.nih.gov/ncmhep/initiatives/moms-mental-health-matters/moms" TargetMode="External"/><Relationship Id="rId420" Type="http://schemas.openxmlformats.org/officeDocument/2006/relationships/hyperlink" Target="https://www.rand.org/pubs/tools/TL221.html" TargetMode="External"/><Relationship Id="rId616" Type="http://schemas.openxmlformats.org/officeDocument/2006/relationships/hyperlink" Target="https://imph.org/" TargetMode="External"/><Relationship Id="rId255" Type="http://schemas.openxmlformats.org/officeDocument/2006/relationships/hyperlink" Target="https://scdhec.gov/health/women-infants-children-wic-nutrition-program" TargetMode="External"/><Relationship Id="rId297" Type="http://schemas.openxmlformats.org/officeDocument/2006/relationships/hyperlink" Target="https://www.tfah.org/report-details/state-of-obesity-2020/" TargetMode="External"/><Relationship Id="rId462" Type="http://schemas.openxmlformats.org/officeDocument/2006/relationships/hyperlink" Target="https://capacity4health.org/examples-of-capacity-building-activities/" TargetMode="External"/><Relationship Id="rId518" Type="http://schemas.openxmlformats.org/officeDocument/2006/relationships/hyperlink" Target="https://www.familyconnectionsc.org/" TargetMode="External"/><Relationship Id="rId115" Type="http://schemas.openxmlformats.org/officeDocument/2006/relationships/hyperlink" Target="https://www.census.gov/data/developers/data-sets.html" TargetMode="External"/><Relationship Id="rId157" Type="http://schemas.openxmlformats.org/officeDocument/2006/relationships/hyperlink" Target="https://scdhec.gov/sites/default/files/media/document/SCDHEC%20ACR%20CY2021.pdf" TargetMode="External"/><Relationship Id="rId322" Type="http://schemas.openxmlformats.org/officeDocument/2006/relationships/hyperlink" Target="https://scdhec.gov/sites/default/files/Library/CR-013028.pdf" TargetMode="External"/><Relationship Id="rId364" Type="http://schemas.openxmlformats.org/officeDocument/2006/relationships/hyperlink" Target="https://www.cancer.org/cancer/breast-cancer/about/how-common-is-breast-cancer.html" TargetMode="External"/><Relationship Id="rId61" Type="http://schemas.openxmlformats.org/officeDocument/2006/relationships/hyperlink" Target="https://doi.org/10.1215/03616878-3802940" TargetMode="External"/><Relationship Id="rId199" Type="http://schemas.openxmlformats.org/officeDocument/2006/relationships/hyperlink" Target="file:////Users/emma/ADCO%20Dropbox/Clients/DHEC/Docs/2023%20Docs/23-181-DHEC%20Live%20Healthy%20SC%20Report/Accessible%20Word%20Doc/1.https:/health.gov/healthypeople/objectives-and-data/browse-objectives/pregnancy-and-childbirth/increase-proportion-women-who-had-healthy-weight-pregnancy-mich-13" TargetMode="External"/><Relationship Id="rId571" Type="http://schemas.openxmlformats.org/officeDocument/2006/relationships/hyperlink" Target="https://www.census.gov/data/developers/data-sets/decennial-census.html" TargetMode="External"/><Relationship Id="rId627" Type="http://schemas.openxmlformats.org/officeDocument/2006/relationships/hyperlink" Target="https://scdhec.gov/" TargetMode="External"/><Relationship Id="rId19" Type="http://schemas.openxmlformats.org/officeDocument/2006/relationships/hyperlink" Target="https://onlinepubs.trb.org/onlinepubs/trnews/trnews299feature.pdf" TargetMode="External"/><Relationship Id="rId224" Type="http://schemas.openxmlformats.org/officeDocument/2006/relationships/hyperlink" Target="https://www.cdc.gov/ncbddd/birthdefects/index.html" TargetMode="External"/><Relationship Id="rId266" Type="http://schemas.openxmlformats.org/officeDocument/2006/relationships/hyperlink" Target="https://www.cdc.gov/alcohol/fact-sheets/underage-drinking.htm" TargetMode="External"/><Relationship Id="rId431" Type="http://schemas.openxmlformats.org/officeDocument/2006/relationships/hyperlink" Target="https://medlineplus.gov/arthritis.html" TargetMode="External"/><Relationship Id="rId473" Type="http://schemas.openxmlformats.org/officeDocument/2006/relationships/hyperlink" Target="https://www.scpasos.org/" TargetMode="External"/><Relationship Id="rId529" Type="http://schemas.openxmlformats.org/officeDocument/2006/relationships/hyperlink" Target="https://www.scpasos.org/" TargetMode="External"/><Relationship Id="rId30" Type="http://schemas.openxmlformats.org/officeDocument/2006/relationships/hyperlink" Target="https://www.atsdr.cdc.gov/placeandhealth/svi/interactive_map.html" TargetMode="External"/><Relationship Id="rId126" Type="http://schemas.openxmlformats.org/officeDocument/2006/relationships/hyperlink" Target="https://news.gallup.com/poll/389792/lgbt-identification-ticks-up.aspx" TargetMode="External"/><Relationship Id="rId168" Type="http://schemas.openxmlformats.org/officeDocument/2006/relationships/hyperlink" Target="https://www.mayoclinichealthsystem.org/hometown-health/speaking-of-health/the-importance-of-a-primary-care-provider" TargetMode="External"/><Relationship Id="rId333" Type="http://schemas.openxmlformats.org/officeDocument/2006/relationships/hyperlink" Target="https://www.cdc.gov/tobacco/features/health-equity/index.html" TargetMode="External"/><Relationship Id="rId540" Type="http://schemas.openxmlformats.org/officeDocument/2006/relationships/hyperlink" Target="https://scdmh.net/" TargetMode="External"/><Relationship Id="rId72" Type="http://schemas.openxmlformats.org/officeDocument/2006/relationships/hyperlink" Target="https://www.ers.usda.gov/data-products/rural-urban-commuting-area-codes/" TargetMode="External"/><Relationship Id="rId375" Type="http://schemas.openxmlformats.org/officeDocument/2006/relationships/hyperlink" Target="https://doi.org/10.1016/j.dhjo.2021.101110" TargetMode="External"/><Relationship Id="rId582" Type="http://schemas.openxmlformats.org/officeDocument/2006/relationships/hyperlink" Target="https://www.feedingamerica.org/research/map-the-meal-gap/by-county" TargetMode="External"/><Relationship Id="rId638" Type="http://schemas.openxmlformats.org/officeDocument/2006/relationships/hyperlink" Target="https://namisc.org/" TargetMode="External"/><Relationship Id="rId3" Type="http://schemas.openxmlformats.org/officeDocument/2006/relationships/styles" Target="styles.xml"/><Relationship Id="rId235" Type="http://schemas.openxmlformats.org/officeDocument/2006/relationships/hyperlink" Target="https://www.aap.org/en/patient-care/safe-sleep/" TargetMode="External"/><Relationship Id="rId277" Type="http://schemas.openxmlformats.org/officeDocument/2006/relationships/hyperlink" Target="https://youth.gov/youth-topics/pregnancy-prevention/adverse-effects-teen-pregnancy" TargetMode="External"/><Relationship Id="rId400" Type="http://schemas.openxmlformats.org/officeDocument/2006/relationships/hyperlink" Target="https://www.cdc.gov/violenceprevention/communityviolence/" TargetMode="External"/><Relationship Id="rId442" Type="http://schemas.openxmlformats.org/officeDocument/2006/relationships/hyperlink" Target="https://wonder.cdc.gov/Deaths-by-Underlying-Cause.html" TargetMode="External"/><Relationship Id="rId484" Type="http://schemas.openxmlformats.org/officeDocument/2006/relationships/hyperlink" Target="file:///Users/emma/ADCO%20Dropbox/Clients/DHEC/Docs/2023%20Docs/23-181-DHEC%20Live%20Healthy%20SC%20Report/Accessible%20Word%20Doc/1.%09https:/www.brightstartsc.com/news/understanding-sc-ddsn-and-sc" TargetMode="External"/><Relationship Id="rId137" Type="http://schemas.openxmlformats.org/officeDocument/2006/relationships/hyperlink" Target="https://scdhec.gov/environment/pollution-types-advisories-monitoring/clean-projects-progress/brownfieldsvoluntary" TargetMode="External"/><Relationship Id="rId302" Type="http://schemas.openxmlformats.org/officeDocument/2006/relationships/hyperlink" Target="https://www.cdc.gov/cholesterol/facts.htm" TargetMode="External"/><Relationship Id="rId344" Type="http://schemas.openxmlformats.org/officeDocument/2006/relationships/hyperlink" Target="https://www.hhs.gov/guidance/document/interactive-atlas-chronic-conditions" TargetMode="External"/><Relationship Id="rId41" Type="http://schemas.openxmlformats.org/officeDocument/2006/relationships/hyperlink" Target="https://www.marchofdimes.org/where-you-live-matters-maternity-care-deserts-and-crisis-access-and-equity" TargetMode="External"/><Relationship Id="rId83" Type="http://schemas.openxmlformats.org/officeDocument/2006/relationships/hyperlink" Target="https://www.americashealthrankings.org/explore/measures/concentrated_disadvantage_c/SC" TargetMode="External"/><Relationship Id="rId179" Type="http://schemas.openxmlformats.org/officeDocument/2006/relationships/hyperlink" Target="https://www.cdc.gov/oralhealth/oral_health_disparities/index.htm" TargetMode="External"/><Relationship Id="rId386" Type="http://schemas.openxmlformats.org/officeDocument/2006/relationships/hyperlink" Target="https://nida.nih.gov/research-topics/prevention" TargetMode="External"/><Relationship Id="rId551" Type="http://schemas.openxmlformats.org/officeDocument/2006/relationships/hyperlink" Target="https://www.selecthealthofsc.com/" TargetMode="External"/><Relationship Id="rId593" Type="http://schemas.openxmlformats.org/officeDocument/2006/relationships/hyperlink" Target="https://scdhec.gov/sites/default/files/media/document/S.C.%20Solid%20Waste%20Management%20Annual%20Report%20for%20FY22%20-%20OR-2405.pdf" TargetMode="External"/><Relationship Id="rId607" Type="http://schemas.openxmlformats.org/officeDocument/2006/relationships/hyperlink" Target="https://scdhec.gov/sites/default/files/media/document/Surface%20Water%20Quality.pdf" TargetMode="External"/><Relationship Id="rId649" Type="http://schemas.openxmlformats.org/officeDocument/2006/relationships/hyperlink" Target="https://aging.sc.gov/" TargetMode="External"/><Relationship Id="rId190" Type="http://schemas.openxmlformats.org/officeDocument/2006/relationships/hyperlink" Target="https://scdhec.gov/news-releases/state-south-carolina-reports-first-covid-19-related-death" TargetMode="External"/><Relationship Id="rId204" Type="http://schemas.openxmlformats.org/officeDocument/2006/relationships/hyperlink" Target="https://www.census.gov/library/stories/2022/04/fertility-rates-declined-for-younger-women-increased-for-older-women.html" TargetMode="External"/><Relationship Id="rId246" Type="http://schemas.openxmlformats.org/officeDocument/2006/relationships/hyperlink" Target="https://www.choc.org/health-topics/suicide-prevention-in-teens-and-kids/" TargetMode="External"/><Relationship Id="rId288" Type="http://schemas.openxmlformats.org/officeDocument/2006/relationships/hyperlink" Target="https://education.jhu.edu/cte/initiatives/early-childhood/" TargetMode="External"/><Relationship Id="rId411" Type="http://schemas.openxmlformats.org/officeDocument/2006/relationships/hyperlink" Target="https://www.cdc.gov/std/treatment-guidelines/default.htm" TargetMode="External"/><Relationship Id="rId453" Type="http://schemas.openxmlformats.org/officeDocument/2006/relationships/hyperlink" Target="https://medlineplus.gov/caregiverhealth.html" TargetMode="External"/><Relationship Id="rId509" Type="http://schemas.openxmlformats.org/officeDocument/2006/relationships/hyperlink" Target="https://www.southcarolinablues.com/web/public/brands/sc/" TargetMode="External"/><Relationship Id="rId106" Type="http://schemas.openxmlformats.org/officeDocument/2006/relationships/hyperlink" Target="https://www.ncd.gov/report/the-current-state-of-health-care-for-people-with-disabilities/" TargetMode="External"/><Relationship Id="rId313" Type="http://schemas.openxmlformats.org/officeDocument/2006/relationships/hyperlink" Target="https://www.cdc.gov/heartdisease/women.htm" TargetMode="External"/><Relationship Id="rId495" Type="http://schemas.openxmlformats.org/officeDocument/2006/relationships/hyperlink" Target="https://www.americashealthrankings.org/explore/states/SC" TargetMode="External"/><Relationship Id="rId10" Type="http://schemas.openxmlformats.org/officeDocument/2006/relationships/hyperlink" Target="https://livehealthy.sc.gov/" TargetMode="External"/><Relationship Id="rId52" Type="http://schemas.openxmlformats.org/officeDocument/2006/relationships/hyperlink" Target="https://dx.doi.org/10.15620/cdc:118601" TargetMode="External"/><Relationship Id="rId94" Type="http://schemas.openxmlformats.org/officeDocument/2006/relationships/hyperlink" Target="https://www.cdc.gov/violenceprevention/aces/fastfact.html" TargetMode="External"/><Relationship Id="rId148" Type="http://schemas.openxmlformats.org/officeDocument/2006/relationships/hyperlink" Target="https://scdhec.gov/environment/your-air/ambient-air-monitoring-network" TargetMode="External"/><Relationship Id="rId355" Type="http://schemas.openxmlformats.org/officeDocument/2006/relationships/hyperlink" Target="https://www.cancer.org/latest-news/more-than-4-in-10-cancers-and-cancer-deaths-linked-to-modifiable-risk-factors.html" TargetMode="External"/><Relationship Id="rId397" Type="http://schemas.openxmlformats.org/officeDocument/2006/relationships/hyperlink" Target="https://doi.org/10.1016/j.jpubeco.2019.104050" TargetMode="External"/><Relationship Id="rId520" Type="http://schemas.openxmlformats.org/officeDocument/2006/relationships/hyperlink" Target="https://www.healthsciencessc.org/" TargetMode="External"/><Relationship Id="rId562" Type="http://schemas.openxmlformats.org/officeDocument/2006/relationships/hyperlink" Target="https://www.schomeless.org/" TargetMode="External"/><Relationship Id="rId618" Type="http://schemas.openxmlformats.org/officeDocument/2006/relationships/hyperlink" Target="https://sistersofcharitysc.com/" TargetMode="External"/><Relationship Id="rId215" Type="http://schemas.openxmlformats.org/officeDocument/2006/relationships/hyperlink" Target="https://www.marchofdimes.org/find-support/topics/postpartum/postpartum-depression" TargetMode="External"/><Relationship Id="rId257" Type="http://schemas.openxmlformats.org/officeDocument/2006/relationships/hyperlink" Target="https://www.cdc.gov/nceh/features/leadpoisoning/index.html" TargetMode="External"/><Relationship Id="rId422" Type="http://schemas.openxmlformats.org/officeDocument/2006/relationships/hyperlink" Target="https://www.cdc.gov/nchs/fastats/deaths.htm" TargetMode="External"/><Relationship Id="rId464" Type="http://schemas.openxmlformats.org/officeDocument/2006/relationships/hyperlink" Target="https://www.census.gov/library/stories/state-by-state/south-carolina-population-change-between-census-decade.html" TargetMode="External"/><Relationship Id="rId299" Type="http://schemas.openxmlformats.org/officeDocument/2006/relationships/hyperlink" Target="https://www.preventioninstitute.org/sites/default/files/publications/Prevention%20for%20a%20Healthier%20America_0.pdf" TargetMode="External"/><Relationship Id="rId63" Type="http://schemas.openxmlformats.org/officeDocument/2006/relationships/hyperlink" Target="https://www.schomeless.org/resources/reports/2022-scich-state-of-homelessness-report/" TargetMode="External"/><Relationship Id="rId159" Type="http://schemas.openxmlformats.org/officeDocument/2006/relationships/hyperlink" Target="https://www.medicalnewstoday.com/articles/323367" TargetMode="External"/><Relationship Id="rId366" Type="http://schemas.openxmlformats.org/officeDocument/2006/relationships/hyperlink" Target="http://www.seer.cancer.gov/" TargetMode="External"/><Relationship Id="rId573" Type="http://schemas.openxmlformats.org/officeDocument/2006/relationships/hyperlink" Target="https://scdhec.gov/health/vaccinations/childcare-school-vaccine-requirements/school-vaccination-coverage-data" TargetMode="External"/><Relationship Id="rId226" Type="http://schemas.openxmlformats.org/officeDocument/2006/relationships/hyperlink" Target="https://www.paho.org/en/documents/quantifying-benefits-breastfeeding-summary-evidence" TargetMode="External"/><Relationship Id="rId433" Type="http://schemas.openxmlformats.org/officeDocument/2006/relationships/hyperlink" Target="https://www.nia.nih.gov/health/osteoarthritis" TargetMode="External"/><Relationship Id="rId640" Type="http://schemas.openxmlformats.org/officeDocument/2006/relationships/hyperlink" Target="https://scchildren.org/" TargetMode="External"/><Relationship Id="rId74" Type="http://schemas.openxmlformats.org/officeDocument/2006/relationships/hyperlink" Target="https://www.cdc.gov/nchs/data_access/urban_rural.htm" TargetMode="External"/><Relationship Id="rId377" Type="http://schemas.openxmlformats.org/officeDocument/2006/relationships/hyperlink" Target="https://www.samhsa.gov/data/" TargetMode="External"/><Relationship Id="rId500" Type="http://schemas.openxmlformats.org/officeDocument/2006/relationships/hyperlink" Target="https://www.rcorp-ta.org/grantees/implementation-i-south-carolina-office-rural-health" TargetMode="External"/><Relationship Id="rId584" Type="http://schemas.openxmlformats.org/officeDocument/2006/relationships/hyperlink" Target="https://www.cdc.gov/vaccines/imz-managers/nis/" TargetMode="External"/><Relationship Id="rId5" Type="http://schemas.openxmlformats.org/officeDocument/2006/relationships/webSettings" Target="webSettings.xml"/><Relationship Id="rId237" Type="http://schemas.openxmlformats.org/officeDocument/2006/relationships/hyperlink" Target="https://www.cdc.gov/nchs/fastats/adolescent-health.htm" TargetMode="External"/><Relationship Id="rId444" Type="http://schemas.openxmlformats.org/officeDocument/2006/relationships/hyperlink" Target="http://www.cdc.gov/injury/wisqars" TargetMode="External"/><Relationship Id="rId651" Type="http://schemas.openxmlformats.org/officeDocument/2006/relationships/hyperlink" Target="https://scdva.sc.gov/" TargetMode="External"/><Relationship Id="rId290" Type="http://schemas.openxmlformats.org/officeDocument/2006/relationships/hyperlink" Target="https://www.healthychildren.org/English/ages-stages/preschool/Pages/Is-Your-Child-Ready-for-School.aspx" TargetMode="External"/><Relationship Id="rId304" Type="http://schemas.openxmlformats.org/officeDocument/2006/relationships/hyperlink" Target="https://www.cdc.gov/workplacehealthpromotion/health-strategies/cholesterol/interventions/programs.html/" TargetMode="External"/><Relationship Id="rId388" Type="http://schemas.openxmlformats.org/officeDocument/2006/relationships/hyperlink" Target="https://www.samhsa.gov/find-help/harm-reduction" TargetMode="External"/><Relationship Id="rId511" Type="http://schemas.openxmlformats.org/officeDocument/2006/relationships/hyperlink" Target="https://www.centene.com/products-and-services/browse-by-state/south-carolina.html" TargetMode="External"/><Relationship Id="rId609" Type="http://schemas.openxmlformats.org/officeDocument/2006/relationships/hyperlink" Target="https://scdhec.gov/sc-morbidity-mortality-review-committee-legislative-reports" TargetMode="External"/><Relationship Id="rId85" Type="http://schemas.openxmlformats.org/officeDocument/2006/relationships/hyperlink" Target="https://www.census.gov/data/developers/data-sets.html" TargetMode="External"/><Relationship Id="rId150" Type="http://schemas.openxmlformats.org/officeDocument/2006/relationships/hyperlink" Target="https://www.sciencedirect.com/topics/earth-and-planetary-sciences/urban-pollutant" TargetMode="External"/><Relationship Id="rId595" Type="http://schemas.openxmlformats.org/officeDocument/2006/relationships/hyperlink" Target="https://ed.sc.gov/data/" TargetMode="External"/><Relationship Id="rId248" Type="http://schemas.openxmlformats.org/officeDocument/2006/relationships/hyperlink" Target="https://scdhec.gov/south-carolina-violent-death-reporting-system" TargetMode="External"/><Relationship Id="rId455" Type="http://schemas.openxmlformats.org/officeDocument/2006/relationships/hyperlink" Target="https://www.cdc.gov/aging/caregiving/caregiver-brief.html" TargetMode="External"/><Relationship Id="rId12" Type="http://schemas.openxmlformats.org/officeDocument/2006/relationships/hyperlink" Target="https://health.gov/healthypeople/priority-areas/health-equity-healthy-people-2030" TargetMode="External"/><Relationship Id="rId108" Type="http://schemas.openxmlformats.org/officeDocument/2006/relationships/hyperlink" Target="https://doi.org/10.1377/hlthaff.2020.01452" TargetMode="External"/><Relationship Id="rId315" Type="http://schemas.openxmlformats.org/officeDocument/2006/relationships/hyperlink" Target="https://nccd.cdc.gov/DHDSPAtlas/" TargetMode="External"/><Relationship Id="rId522" Type="http://schemas.openxmlformats.org/officeDocument/2006/relationships/hyperlink" Target="https://www.lexmed.com/" TargetMode="External"/><Relationship Id="rId96" Type="http://schemas.openxmlformats.org/officeDocument/2006/relationships/hyperlink" Target="https://www.hudexchange.info/news/huds-definition-of-homelessness-resources-and-guidance/" TargetMode="External"/><Relationship Id="rId161" Type="http://schemas.openxmlformats.org/officeDocument/2006/relationships/hyperlink" Target="https://www.kff.org/uninsured/issue-brief/key-facts-about-the-uninsured-population/" TargetMode="External"/><Relationship Id="rId399" Type="http://schemas.openxmlformats.org/officeDocument/2006/relationships/hyperlink" Target="https://www.cdc.gov/nchs/pressroom/podcasts/2021/20211008/20211008.htm" TargetMode="External"/><Relationship Id="rId259" Type="http://schemas.openxmlformats.org/officeDocument/2006/relationships/hyperlink" Target="https://www.cdc.gov/oralhealth/index.html" TargetMode="External"/><Relationship Id="rId466" Type="http://schemas.openxmlformats.org/officeDocument/2006/relationships/hyperlink" Target="http://dx.doi.org/10.5888/pcd14.170017" TargetMode="External"/><Relationship Id="rId23" Type="http://schemas.openxmlformats.org/officeDocument/2006/relationships/hyperlink" Target="https://theavarnagroup.com/and-heres-yet-another-equity-v-equality-v-justice-image-series/" TargetMode="External"/><Relationship Id="rId119" Type="http://schemas.openxmlformats.org/officeDocument/2006/relationships/hyperlink" Target="https://doi.org/10.1186/s12888-017-1547-0" TargetMode="External"/><Relationship Id="rId326" Type="http://schemas.openxmlformats.org/officeDocument/2006/relationships/hyperlink" Target="https://www.cdc.gov/oralhealth/basics/adult-oral-health/index.html" TargetMode="External"/><Relationship Id="rId533" Type="http://schemas.openxmlformats.org/officeDocument/2006/relationships/hyperlink" Target="https://scaging.wordpress.com/" TargetMode="External"/><Relationship Id="rId172" Type="http://schemas.openxmlformats.org/officeDocument/2006/relationships/hyperlink" Target="https://doi.org/10.1111/j.1748-0361.2009.00252.x" TargetMode="External"/><Relationship Id="rId477" Type="http://schemas.openxmlformats.org/officeDocument/2006/relationships/hyperlink" Target="https://scdhec.gov/" TargetMode="External"/><Relationship Id="rId600" Type="http://schemas.openxmlformats.org/officeDocument/2006/relationships/hyperlink" Target="https://www.scahec.net/scohw/reports" TargetMode="External"/><Relationship Id="rId337" Type="http://schemas.openxmlformats.org/officeDocument/2006/relationships/hyperlink" Target="https://doi.org/10.1093/ntr/ntab059" TargetMode="External"/><Relationship Id="rId34" Type="http://schemas.openxmlformats.org/officeDocument/2006/relationships/hyperlink" Target="https://www.cdc.gov/diabetes/prevention/about-prediabetes.html" TargetMode="External"/><Relationship Id="rId544" Type="http://schemas.openxmlformats.org/officeDocument/2006/relationships/hyperlink" Target="https://imph.org/" TargetMode="External"/><Relationship Id="rId183" Type="http://schemas.openxmlformats.org/officeDocument/2006/relationships/hyperlink" Target="https://www.cdc.gov/hai/prevent/staph-prevention-strategies.html" TargetMode="External"/><Relationship Id="rId390" Type="http://schemas.openxmlformats.org/officeDocument/2006/relationships/hyperlink" Target="https://facesandvoicesofrecovery.org/wp-content/uploads/2019/06/Words-Matter-How-Language-Choice-Can-Reduce-Stigma.pdf" TargetMode="External"/><Relationship Id="rId404" Type="http://schemas.openxmlformats.org/officeDocument/2006/relationships/hyperlink" Target="https://www.cdc.gov/injury/features/injury-center/index.html" TargetMode="External"/><Relationship Id="rId611" Type="http://schemas.openxmlformats.org/officeDocument/2006/relationships/hyperlink" Target="https://www.marchofdimes.org/where-you-live-matters-maternity-care-deserts-and-crisis-access-and-equity" TargetMode="External"/><Relationship Id="rId250" Type="http://schemas.openxmlformats.org/officeDocument/2006/relationships/hyperlink" Target="https://scdhec.gov/vital-records/sc-vital-records-data-and-statistics" TargetMode="External"/><Relationship Id="rId488" Type="http://schemas.openxmlformats.org/officeDocument/2006/relationships/hyperlink" Target="https://innovation.cms.gov/data-and-reports/2022/fai-sc-er2" TargetMode="External"/><Relationship Id="rId45" Type="http://schemas.openxmlformats.org/officeDocument/2006/relationships/hyperlink" Target="https://www.marchofdimes.org/where-you-live-matters-maternity-care-deserts-and-crisis-access-and-equity" TargetMode="External"/><Relationship Id="rId110" Type="http://schemas.openxmlformats.org/officeDocument/2006/relationships/hyperlink" Target="https://www.census.gov/acs/www/data/data-tables-and-tools/subject-tables/" TargetMode="External"/><Relationship Id="rId348" Type="http://schemas.openxmlformats.org/officeDocument/2006/relationships/hyperlink" Target="https://www.bls.gov/lau/tables.htm" TargetMode="External"/><Relationship Id="rId555" Type="http://schemas.openxmlformats.org/officeDocument/2006/relationships/hyperlink" Target="https://www.dukeendowment.org/" TargetMode="External"/><Relationship Id="rId194" Type="http://schemas.openxmlformats.org/officeDocument/2006/relationships/hyperlink" Target="https://www.cdc.gov/coronavirus/2019-ncov/prevent-getting-sick/prevention.html)" TargetMode="External"/><Relationship Id="rId208" Type="http://schemas.openxmlformats.org/officeDocument/2006/relationships/hyperlink" Target="https://www.verywellfamily.com/gestational-diabetes-and-premature-birth-4135642" TargetMode="External"/><Relationship Id="rId415" Type="http://schemas.openxmlformats.org/officeDocument/2006/relationships/hyperlink" Target="https://scdhec.gov/sites/default/files/media/document/2022-EPI-State-Profile.pdf" TargetMode="External"/><Relationship Id="rId622" Type="http://schemas.openxmlformats.org/officeDocument/2006/relationships/hyperlink" Target="https://ddsn.sc.gov/" TargetMode="External"/><Relationship Id="rId261" Type="http://schemas.openxmlformats.org/officeDocument/2006/relationships/hyperlink" Target="https://youth.gov/youth-topics/youth-suicide-prevention" TargetMode="External"/><Relationship Id="rId499" Type="http://schemas.openxmlformats.org/officeDocument/2006/relationships/hyperlink" Target="http://osp.scdmh.org/communities-of-care/" TargetMode="External"/><Relationship Id="rId56" Type="http://schemas.openxmlformats.org/officeDocument/2006/relationships/hyperlink" Target="https://www.census.gov/data/tables/time-series/demo/popest/2020s-national-total.html" TargetMode="External"/><Relationship Id="rId359" Type="http://schemas.openxmlformats.org/officeDocument/2006/relationships/hyperlink" Target="http://www.seer.cancer.gov/" TargetMode="External"/><Relationship Id="rId566" Type="http://schemas.openxmlformats.org/officeDocument/2006/relationships/hyperlink" Target="https://scdhec.gov/healthdata/behavioral-risk-factor-surveys" TargetMode="External"/><Relationship Id="rId121" Type="http://schemas.openxmlformats.org/officeDocument/2006/relationships/hyperlink" Target="https://doi.org/10.1016/j.annepidem.2021.12.002" TargetMode="External"/><Relationship Id="rId219" Type="http://schemas.openxmlformats.org/officeDocument/2006/relationships/hyperlink" Target="https://health.gov/healthypeople/objectives-and-data/browse-objectives/pregnancy-and-childbirth/reduce-preterm-births-mich-07" TargetMode="External"/><Relationship Id="rId426" Type="http://schemas.openxmlformats.org/officeDocument/2006/relationships/hyperlink" Target="https://www.lung.org/research/trends-in-lung-disease/copd-trends-brief/" TargetMode="External"/><Relationship Id="rId633" Type="http://schemas.openxmlformats.org/officeDocument/2006/relationships/hyperlink" Target="https://wholespire.org/" TargetMode="External"/><Relationship Id="rId67" Type="http://schemas.openxmlformats.org/officeDocument/2006/relationships/hyperlink" Target="https://doi.org/10.1377/hlthaff.2019.00910" TargetMode="External"/><Relationship Id="rId272" Type="http://schemas.openxmlformats.org/officeDocument/2006/relationships/hyperlink" Target="https://www.cdc.gov/tobacco/basic_information/e-cigarettes/Quick-Facts-on-the-Risks-of-E-cigarettes-for-Kids-Teens-and-Young-Adults.html" TargetMode="External"/><Relationship Id="rId577" Type="http://schemas.openxmlformats.org/officeDocument/2006/relationships/hyperlink" Target="https://www.ers.usda.gov/amber-waves/2011/december/data-feature-mapping-food-deserts-in-the-u-s/" TargetMode="External"/><Relationship Id="rId132" Type="http://schemas.openxmlformats.org/officeDocument/2006/relationships/hyperlink" Target="https://trends.vera.org/state/SC" TargetMode="External"/><Relationship Id="rId437" Type="http://schemas.openxmlformats.org/officeDocument/2006/relationships/hyperlink" Target="http://www.cdc.gov/injury/wisqars" TargetMode="External"/><Relationship Id="rId644" Type="http://schemas.openxmlformats.org/officeDocument/2006/relationships/hyperlink" Target="https://www.smokefreesc.org/" TargetMode="External"/><Relationship Id="rId283" Type="http://schemas.openxmlformats.org/officeDocument/2006/relationships/hyperlink" Target="https://scdhec.gov/CancerRegistry" TargetMode="External"/><Relationship Id="rId490" Type="http://schemas.openxmlformats.org/officeDocument/2006/relationships/hyperlink" Target="https://dss.sc.gov/assistance-programs/tanf/faq/" TargetMode="External"/><Relationship Id="rId504" Type="http://schemas.openxmlformats.org/officeDocument/2006/relationships/hyperlink" Target="https://anmedhealth.org/" TargetMode="External"/><Relationship Id="rId78" Type="http://schemas.openxmlformats.org/officeDocument/2006/relationships/hyperlink" Target="https://doi.org/10.1016/j.socscimed.2014.12.031" TargetMode="External"/><Relationship Id="rId143" Type="http://schemas.openxmlformats.org/officeDocument/2006/relationships/hyperlink" Target="https://www.feedingamerica.org/hunger-in-america/south-caroli-na" TargetMode="External"/><Relationship Id="rId350" Type="http://schemas.openxmlformats.org/officeDocument/2006/relationships/hyperlink" Target="https://www.cdc.gov/nchs/nvss/bridged_race/data_documentation.htm" TargetMode="External"/><Relationship Id="rId588" Type="http://schemas.openxmlformats.org/officeDocument/2006/relationships/hyperlink" Target="https://www.phhn.org/" TargetMode="External"/><Relationship Id="rId9" Type="http://schemas.openxmlformats.org/officeDocument/2006/relationships/hyperlink" Target="https://healthiersc.org/live-healthy-sc" TargetMode="External"/><Relationship Id="rId210" Type="http://schemas.openxmlformats.org/officeDocument/2006/relationships/hyperlink" Target="https://www.marchofdimes.org/find-support/topics/pregnancy/dental-health-during-pregnancy" TargetMode="External"/><Relationship Id="rId448" Type="http://schemas.openxmlformats.org/officeDocument/2006/relationships/hyperlink" Target="https://www.cdc.gov/violenceprevention/elderabuse/fastfact.html" TargetMode="External"/><Relationship Id="rId655" Type="http://schemas.openxmlformats.org/officeDocument/2006/relationships/fontTable" Target="fontTable.xml"/><Relationship Id="rId294" Type="http://schemas.openxmlformats.org/officeDocument/2006/relationships/hyperlink" Target="https://www.ahrq.gov/patient-safety/settings/long-term-care/resource/multichronic/mcc.html" TargetMode="External"/><Relationship Id="rId308" Type="http://schemas.openxmlformats.org/officeDocument/2006/relationships/hyperlink" Target="https://pubmed.ncbi.nlm.nih.gov/29848493/" TargetMode="External"/><Relationship Id="rId515" Type="http://schemas.openxmlformats.org/officeDocument/2006/relationships/hyperlink" Target="https://www.clemson.edu/cbshs/about/building-communities/index.html" TargetMode="External"/><Relationship Id="rId89" Type="http://schemas.openxmlformats.org/officeDocument/2006/relationships/hyperlink" Target="https://www.census.gov/data/developers/data-sets.html" TargetMode="External"/><Relationship Id="rId154" Type="http://schemas.openxmlformats.org/officeDocument/2006/relationships/hyperlink" Target="https://www.cdc.gov/healthywater/drinking/public/index.html" TargetMode="External"/><Relationship Id="rId361" Type="http://schemas.openxmlformats.org/officeDocument/2006/relationships/hyperlink" Target="https://www.cancer.org/cancer/colon-rectal-cancer/causes-risks-prevention/risk-factors.html" TargetMode="External"/><Relationship Id="rId599" Type="http://schemas.openxmlformats.org/officeDocument/2006/relationships/hyperlink" Target="https://scdhec.gov/hiv-aids-std-data-reports" TargetMode="External"/><Relationship Id="rId459" Type="http://schemas.openxmlformats.org/officeDocument/2006/relationships/hyperlink" Target="https://health.gov/myhealthfinder/doctor-visits/vaccines-shots/get-vaccines-protect-your-health-adults-age-50-or-older" TargetMode="External"/><Relationship Id="rId16" Type="http://schemas.openxmlformats.org/officeDocument/2006/relationships/hyperlink" Target="https://www.shadac.org/news/CDC-change-pop-estimates" TargetMode="External"/><Relationship Id="rId221" Type="http://schemas.openxmlformats.org/officeDocument/2006/relationships/hyperlink" Target="https://www.stanfordchildrens.org/en/topic/default?id=low-birth-weight-90-P02382" TargetMode="External"/><Relationship Id="rId319" Type="http://schemas.openxmlformats.org/officeDocument/2006/relationships/hyperlink" Target="https://www.southcarolinablues.com/web/public/brands/sc/members/live-healthy/health-conditions/diabetes/prediabetes/" TargetMode="External"/><Relationship Id="rId526" Type="http://schemas.openxmlformats.org/officeDocument/2006/relationships/hyperlink" Target="https://www.molinahealthc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9C49E-D27C-1746-BB7F-1E479B66F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517</Pages>
  <Words>143836</Words>
  <Characters>809801</Characters>
  <Application>Microsoft Office Word</Application>
  <DocSecurity>8</DocSecurity>
  <Lines>29992</Lines>
  <Paragraphs>22705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ADCO Staff</dc:creator>
  <cp:keywords/>
  <dc:description/>
  <cp:lastModifiedBy>ADCO Staff</cp:lastModifiedBy>
  <cp:revision>2</cp:revision>
  <dcterms:created xsi:type="dcterms:W3CDTF">2024-04-17T14:22:00Z</dcterms:created>
  <dcterms:modified xsi:type="dcterms:W3CDTF">2024-04-17T14:22:00Z</dcterms:modified>
</cp:coreProperties>
</file>